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Default Extension="png" ContentType="image/png"/>
  <Default Extension="jpeg" ContentType="image/jpeg"/>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jc w:val="left"/>
        <w:rPr>
          <w:rFonts w:ascii="Times New Roman"/>
          <w:sz w:val="56"/>
        </w:rPr>
      </w:pPr>
    </w:p>
    <w:p>
      <w:pPr>
        <w:pStyle w:val="BodyText"/>
        <w:jc w:val="left"/>
        <w:rPr>
          <w:rFonts w:ascii="Times New Roman"/>
          <w:sz w:val="56"/>
        </w:rPr>
      </w:pPr>
    </w:p>
    <w:p>
      <w:pPr>
        <w:pStyle w:val="BodyText"/>
        <w:jc w:val="left"/>
        <w:rPr>
          <w:rFonts w:ascii="Times New Roman"/>
          <w:sz w:val="56"/>
        </w:rPr>
      </w:pPr>
    </w:p>
    <w:p>
      <w:pPr>
        <w:pStyle w:val="BodyText"/>
        <w:jc w:val="left"/>
        <w:rPr>
          <w:rFonts w:ascii="Times New Roman"/>
          <w:sz w:val="56"/>
        </w:rPr>
      </w:pPr>
    </w:p>
    <w:p>
      <w:pPr>
        <w:pStyle w:val="BodyText"/>
        <w:jc w:val="left"/>
        <w:rPr>
          <w:rFonts w:ascii="Times New Roman"/>
          <w:sz w:val="56"/>
        </w:rPr>
      </w:pPr>
    </w:p>
    <w:p>
      <w:pPr>
        <w:pStyle w:val="BodyText"/>
        <w:jc w:val="left"/>
        <w:rPr>
          <w:rFonts w:ascii="Times New Roman"/>
          <w:sz w:val="56"/>
        </w:rPr>
      </w:pPr>
    </w:p>
    <w:p>
      <w:pPr>
        <w:pStyle w:val="BodyText"/>
        <w:spacing w:before="211"/>
        <w:jc w:val="left"/>
        <w:rPr>
          <w:rFonts w:ascii="Times New Roman"/>
          <w:sz w:val="56"/>
        </w:rPr>
      </w:pPr>
    </w:p>
    <w:p>
      <w:pPr>
        <w:pStyle w:val="Heading1"/>
        <w:ind w:left="3510" w:right="3507"/>
        <w:jc w:val="center"/>
      </w:pPr>
      <w:r>
        <w:rPr>
          <w:color w:val="B52628"/>
          <w:w w:val="115"/>
        </w:rPr>
        <w:t>Informe</w:t>
      </w:r>
      <w:r>
        <w:rPr>
          <w:color w:val="B52628"/>
          <w:spacing w:val="-43"/>
          <w:w w:val="115"/>
        </w:rPr>
        <w:t> </w:t>
      </w:r>
      <w:r>
        <w:rPr>
          <w:color w:val="B52628"/>
          <w:w w:val="115"/>
        </w:rPr>
        <w:t>de</w:t>
      </w:r>
      <w:r>
        <w:rPr>
          <w:color w:val="B52628"/>
          <w:spacing w:val="-43"/>
          <w:w w:val="115"/>
        </w:rPr>
        <w:t> </w:t>
      </w:r>
      <w:r>
        <w:rPr>
          <w:color w:val="B52628"/>
          <w:spacing w:val="-4"/>
          <w:w w:val="115"/>
        </w:rPr>
        <w:t>Cuba</w:t>
      </w:r>
    </w:p>
    <w:p>
      <w:pPr>
        <w:spacing w:line="216" w:lineRule="auto" w:before="301"/>
        <w:ind w:left="3618" w:right="3613" w:firstLine="0"/>
        <w:jc w:val="center"/>
        <w:rPr>
          <w:rFonts w:ascii="Segoe UI Semibold" w:hAnsi="Segoe UI Semibold"/>
          <w:b/>
          <w:i/>
          <w:sz w:val="28"/>
        </w:rPr>
      </w:pPr>
      <w:r>
        <w:rPr>
          <w:i/>
          <w:color w:val="231F20"/>
          <w:sz w:val="28"/>
        </w:rPr>
        <w:t>En virtud de la resolución 77/7 de la</w:t>
      </w:r>
      <w:r>
        <w:rPr>
          <w:i/>
          <w:color w:val="231F20"/>
          <w:sz w:val="28"/>
        </w:rPr>
        <w:t> Asamblea General de las Naciones Unidas, titulada </w:t>
      </w:r>
      <w:r>
        <w:rPr>
          <w:rFonts w:ascii="Segoe UI Semibold" w:hAnsi="Segoe UI Semibold"/>
          <w:b/>
          <w:i/>
          <w:color w:val="231F20"/>
          <w:sz w:val="28"/>
        </w:rPr>
        <w:t>“Necesidad de poner</w:t>
      </w:r>
      <w:r>
        <w:rPr>
          <w:rFonts w:ascii="Segoe UI Semibold" w:hAnsi="Segoe UI Semibold"/>
          <w:b/>
          <w:i/>
          <w:color w:val="231F20"/>
          <w:sz w:val="28"/>
        </w:rPr>
        <w:t> fin al bloqueo económico, comercial y</w:t>
      </w:r>
      <w:r>
        <w:rPr>
          <w:rFonts w:ascii="Segoe UI Semibold" w:hAnsi="Segoe UI Semibold"/>
          <w:b/>
          <w:i/>
          <w:color w:val="231F20"/>
          <w:spacing w:val="-7"/>
          <w:sz w:val="28"/>
        </w:rPr>
        <w:t> </w:t>
      </w:r>
      <w:r>
        <w:rPr>
          <w:rFonts w:ascii="Segoe UI Semibold" w:hAnsi="Segoe UI Semibold"/>
          <w:b/>
          <w:i/>
          <w:color w:val="231F20"/>
          <w:sz w:val="28"/>
        </w:rPr>
        <w:t>financiero</w:t>
      </w:r>
      <w:r>
        <w:rPr>
          <w:rFonts w:ascii="Segoe UI Semibold" w:hAnsi="Segoe UI Semibold"/>
          <w:b/>
          <w:i/>
          <w:color w:val="231F20"/>
          <w:spacing w:val="-8"/>
          <w:sz w:val="28"/>
        </w:rPr>
        <w:t> </w:t>
      </w:r>
      <w:r>
        <w:rPr>
          <w:rFonts w:ascii="Segoe UI Semibold" w:hAnsi="Segoe UI Semibold"/>
          <w:b/>
          <w:i/>
          <w:color w:val="231F20"/>
          <w:sz w:val="28"/>
        </w:rPr>
        <w:t>impuesto</w:t>
      </w:r>
      <w:r>
        <w:rPr>
          <w:rFonts w:ascii="Segoe UI Semibold" w:hAnsi="Segoe UI Semibold"/>
          <w:b/>
          <w:i/>
          <w:color w:val="231F20"/>
          <w:spacing w:val="-8"/>
          <w:sz w:val="28"/>
        </w:rPr>
        <w:t> </w:t>
      </w:r>
      <w:r>
        <w:rPr>
          <w:rFonts w:ascii="Segoe UI Semibold" w:hAnsi="Segoe UI Semibold"/>
          <w:b/>
          <w:i/>
          <w:color w:val="231F20"/>
          <w:sz w:val="28"/>
        </w:rPr>
        <w:t>por</w:t>
      </w:r>
      <w:r>
        <w:rPr>
          <w:rFonts w:ascii="Segoe UI Semibold" w:hAnsi="Segoe UI Semibold"/>
          <w:b/>
          <w:i/>
          <w:color w:val="231F20"/>
          <w:spacing w:val="-8"/>
          <w:sz w:val="28"/>
        </w:rPr>
        <w:t> </w:t>
      </w:r>
      <w:r>
        <w:rPr>
          <w:rFonts w:ascii="Segoe UI Semibold" w:hAnsi="Segoe UI Semibold"/>
          <w:b/>
          <w:i/>
          <w:color w:val="231F20"/>
          <w:sz w:val="28"/>
        </w:rPr>
        <w:t>los</w:t>
      </w:r>
      <w:r>
        <w:rPr>
          <w:rFonts w:ascii="Segoe UI Semibold" w:hAnsi="Segoe UI Semibold"/>
          <w:b/>
          <w:i/>
          <w:color w:val="231F20"/>
          <w:spacing w:val="-7"/>
          <w:sz w:val="28"/>
        </w:rPr>
        <w:t> </w:t>
      </w:r>
      <w:r>
        <w:rPr>
          <w:rFonts w:ascii="Segoe UI Semibold" w:hAnsi="Segoe UI Semibold"/>
          <w:b/>
          <w:i/>
          <w:color w:val="231F20"/>
          <w:sz w:val="28"/>
        </w:rPr>
        <w:t>Estados Unidos de América contra Cuba”</w:t>
      </w:r>
    </w:p>
    <w:p>
      <w:pPr>
        <w:pStyle w:val="BodyText"/>
        <w:spacing w:before="107"/>
        <w:jc w:val="left"/>
        <w:rPr>
          <w:rFonts w:ascii="Segoe UI Semibold"/>
          <w:b/>
          <w:i/>
          <w:sz w:val="20"/>
        </w:rPr>
      </w:pPr>
      <w:r>
        <w:rPr/>
        <mc:AlternateContent>
          <mc:Choice Requires="wps">
            <w:drawing>
              <wp:anchor distT="0" distB="0" distL="0" distR="0" allowOverlap="1" layoutInCell="1" locked="0" behindDoc="1" simplePos="0" relativeHeight="487587840">
                <wp:simplePos x="0" y="0"/>
                <wp:positionH relativeFrom="page">
                  <wp:posOffset>3326688</wp:posOffset>
                </wp:positionH>
                <wp:positionV relativeFrom="paragraph">
                  <wp:posOffset>253289</wp:posOffset>
                </wp:positionV>
                <wp:extent cx="909319" cy="26034"/>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61.9440pt;margin-top:19.944031pt;width:71.584pt;height:2.021pt;mso-position-horizontal-relative:page;mso-position-vertical-relative:paragraph;z-index:-15728640;mso-wrap-distance-left:0;mso-wrap-distance-right:0" id="docshape1" filled="true" fillcolor="#1f4282" stroked="false">
                <v:fill type="solid"/>
                <w10:wrap type="topAndBottom"/>
              </v:rect>
            </w:pict>
          </mc:Fallback>
        </mc:AlternateContent>
      </w:r>
    </w:p>
    <w:p>
      <w:pPr>
        <w:pStyle w:val="BodyText"/>
        <w:spacing w:before="38"/>
        <w:jc w:val="left"/>
        <w:rPr>
          <w:rFonts w:ascii="Segoe UI Semibold"/>
          <w:b/>
          <w:i/>
          <w:sz w:val="28"/>
        </w:rPr>
      </w:pPr>
    </w:p>
    <w:p>
      <w:pPr>
        <w:spacing w:before="0"/>
        <w:ind w:left="3510" w:right="3507" w:firstLine="0"/>
        <w:jc w:val="center"/>
        <w:rPr>
          <w:i/>
          <w:sz w:val="28"/>
        </w:rPr>
      </w:pPr>
      <w:r>
        <w:rPr>
          <w:i/>
          <w:color w:val="231F20"/>
          <w:sz w:val="28"/>
        </w:rPr>
        <w:t>Julio</w:t>
      </w:r>
      <w:r>
        <w:rPr>
          <w:i/>
          <w:color w:val="231F20"/>
          <w:spacing w:val="-5"/>
          <w:sz w:val="28"/>
        </w:rPr>
        <w:t> </w:t>
      </w:r>
      <w:r>
        <w:rPr>
          <w:i/>
          <w:color w:val="231F20"/>
          <w:spacing w:val="-4"/>
          <w:sz w:val="28"/>
        </w:rPr>
        <w:t>2023</w:t>
      </w:r>
    </w:p>
    <w:p>
      <w:pPr>
        <w:spacing w:after="0"/>
        <w:jc w:val="center"/>
        <w:rPr>
          <w:sz w:val="28"/>
        </w:rPr>
        <w:sectPr>
          <w:type w:val="continuous"/>
          <w:pgSz w:w="11910" w:h="16840"/>
          <w:pgMar w:top="1920" w:bottom="280" w:left="0" w:right="0"/>
        </w:sectPr>
      </w:pPr>
    </w:p>
    <w:p>
      <w:pPr>
        <w:pStyle w:val="BodyText"/>
        <w:jc w:val="left"/>
        <w:rPr>
          <w:i/>
          <w:sz w:val="15"/>
        </w:rPr>
      </w:pPr>
    </w:p>
    <w:p>
      <w:pPr>
        <w:spacing w:after="0"/>
        <w:jc w:val="left"/>
        <w:rPr>
          <w:sz w:val="15"/>
        </w:rPr>
        <w:sectPr>
          <w:pgSz w:w="11910" w:h="16840"/>
          <w:pgMar w:top="1920" w:bottom="280" w:left="0" w:right="0"/>
        </w:sectPr>
      </w:pPr>
    </w:p>
    <w:p>
      <w:pPr>
        <w:pStyle w:val="Heading1"/>
        <w:spacing w:before="85"/>
        <w:ind w:left="1445"/>
      </w:pPr>
      <w:r>
        <w:rPr>
          <w:color w:val="1A4796"/>
          <w:spacing w:val="-2"/>
          <w:w w:val="115"/>
        </w:rPr>
        <w:t>Índice</w:t>
      </w:r>
    </w:p>
    <w:p>
      <w:pPr>
        <w:pStyle w:val="BodyText"/>
        <w:spacing w:before="198"/>
        <w:jc w:val="left"/>
        <w:rPr>
          <w:rFonts w:ascii="Trebuchet MS"/>
          <w:sz w:val="20"/>
        </w:rPr>
      </w:pPr>
      <w:r>
        <w:rPr/>
        <mc:AlternateContent>
          <mc:Choice Requires="wps">
            <w:drawing>
              <wp:anchor distT="0" distB="0" distL="0" distR="0" allowOverlap="1" layoutInCell="1" locked="0" behindDoc="1" simplePos="0" relativeHeight="487588352">
                <wp:simplePos x="0" y="0"/>
                <wp:positionH relativeFrom="page">
                  <wp:posOffset>936002</wp:posOffset>
                </wp:positionH>
                <wp:positionV relativeFrom="paragraph">
                  <wp:posOffset>288509</wp:posOffset>
                </wp:positionV>
                <wp:extent cx="909319" cy="26034"/>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73.700996pt;margin-top:22.717281pt;width:71.584pt;height:2.021pt;mso-position-horizontal-relative:page;mso-position-vertical-relative:paragraph;z-index:-15728128;mso-wrap-distance-left:0;mso-wrap-distance-right:0" id="docshape2" filled="true" fillcolor="#b52628" stroked="false">
                <v:fill type="solid"/>
                <w10:wrap type="topAndBottom"/>
              </v:rect>
            </w:pict>
          </mc:Fallback>
        </mc:AlternateContent>
      </w:r>
    </w:p>
    <w:p>
      <w:pPr>
        <w:pStyle w:val="BodyText"/>
        <w:spacing w:before="94"/>
        <w:jc w:val="left"/>
        <w:rPr>
          <w:rFonts w:ascii="Trebuchet MS"/>
          <w:sz w:val="20"/>
        </w:rPr>
      </w:pPr>
    </w:p>
    <w:p>
      <w:pPr>
        <w:spacing w:after="0"/>
        <w:jc w:val="left"/>
        <w:rPr>
          <w:rFonts w:ascii="Trebuchet MS"/>
          <w:sz w:val="20"/>
        </w:rPr>
        <w:sectPr>
          <w:pgSz w:w="11910" w:h="16840"/>
          <w:pgMar w:top="1920" w:bottom="280" w:left="0" w:right="0"/>
        </w:sectPr>
      </w:pPr>
    </w:p>
    <w:p>
      <w:pPr>
        <w:pStyle w:val="Heading4"/>
      </w:pPr>
      <w:r>
        <w:rPr>
          <w:color w:val="1A4796"/>
        </w:rPr>
        <w:t>7/</w:t>
      </w:r>
      <w:r>
        <w:rPr>
          <w:color w:val="1A4796"/>
          <w:spacing w:val="-4"/>
        </w:rPr>
        <w:t> </w:t>
      </w:r>
      <w:r>
        <w:rPr>
          <w:color w:val="231F20"/>
          <w:spacing w:val="-2"/>
        </w:rPr>
        <w:t>Introducción</w:t>
      </w:r>
    </w:p>
    <w:p>
      <w:pPr>
        <w:pStyle w:val="BodyText"/>
        <w:spacing w:before="1"/>
        <w:jc w:val="left"/>
        <w:rPr>
          <w:b/>
        </w:rPr>
      </w:pPr>
    </w:p>
    <w:p>
      <w:pPr>
        <w:pStyle w:val="ListParagraph"/>
        <w:numPr>
          <w:ilvl w:val="0"/>
          <w:numId w:val="1"/>
        </w:numPr>
        <w:tabs>
          <w:tab w:pos="1881" w:val="left" w:leader="none"/>
        </w:tabs>
        <w:spacing w:line="240" w:lineRule="auto" w:before="0" w:after="0"/>
        <w:ind w:left="1474" w:right="886" w:firstLine="0"/>
        <w:jc w:val="left"/>
        <w:rPr>
          <w:b/>
          <w:sz w:val="24"/>
        </w:rPr>
      </w:pPr>
      <w:r>
        <w:rPr>
          <w:b/>
          <w:color w:val="B52628"/>
          <w:sz w:val="24"/>
        </w:rPr>
        <w:t>Continuidad</w:t>
      </w:r>
      <w:r>
        <w:rPr>
          <w:b/>
          <w:color w:val="B52628"/>
          <w:spacing w:val="-17"/>
          <w:sz w:val="24"/>
        </w:rPr>
        <w:t> </w:t>
      </w:r>
      <w:r>
        <w:rPr>
          <w:b/>
          <w:color w:val="B52628"/>
          <w:sz w:val="24"/>
        </w:rPr>
        <w:t>y</w:t>
      </w:r>
      <w:r>
        <w:rPr>
          <w:b/>
          <w:color w:val="B52628"/>
          <w:spacing w:val="-17"/>
          <w:sz w:val="24"/>
        </w:rPr>
        <w:t> </w:t>
      </w:r>
      <w:r>
        <w:rPr>
          <w:b/>
          <w:color w:val="B52628"/>
          <w:sz w:val="24"/>
        </w:rPr>
        <w:t>recrudecimiento de la política de bloqueo</w:t>
      </w:r>
    </w:p>
    <w:p>
      <w:pPr>
        <w:spacing w:before="1"/>
        <w:ind w:left="1938" w:right="0" w:hanging="465"/>
        <w:jc w:val="left"/>
        <w:rPr>
          <w:rFonts w:ascii="Segoe UI Semibold" w:hAnsi="Segoe UI Semibold"/>
          <w:b/>
          <w:i/>
          <w:sz w:val="24"/>
        </w:rPr>
      </w:pPr>
      <w:r>
        <w:rPr>
          <w:b/>
          <w:i/>
          <w:color w:val="1A4796"/>
          <w:sz w:val="24"/>
        </w:rPr>
        <w:t>10/ </w:t>
      </w:r>
      <w:r>
        <w:rPr>
          <w:rFonts w:ascii="Segoe UI Semibold" w:hAnsi="Segoe UI Semibold"/>
          <w:b/>
          <w:i/>
          <w:color w:val="231F20"/>
          <w:sz w:val="24"/>
        </w:rPr>
        <w:t>Vigencia de las leyes del bloqueo</w:t>
      </w:r>
      <w:r>
        <w:rPr>
          <w:rFonts w:ascii="Segoe UI Semibold" w:hAnsi="Segoe UI Semibold"/>
          <w:b/>
          <w:i/>
          <w:color w:val="231F20"/>
          <w:sz w:val="24"/>
        </w:rPr>
        <w:t> económico,</w:t>
      </w:r>
      <w:r>
        <w:rPr>
          <w:rFonts w:ascii="Segoe UI Semibold" w:hAnsi="Segoe UI Semibold"/>
          <w:b/>
          <w:i/>
          <w:color w:val="231F20"/>
          <w:spacing w:val="-17"/>
          <w:sz w:val="24"/>
        </w:rPr>
        <w:t> </w:t>
      </w:r>
      <w:r>
        <w:rPr>
          <w:rFonts w:ascii="Segoe UI Semibold" w:hAnsi="Segoe UI Semibold"/>
          <w:b/>
          <w:i/>
          <w:color w:val="231F20"/>
          <w:sz w:val="24"/>
        </w:rPr>
        <w:t>comercial</w:t>
      </w:r>
      <w:r>
        <w:rPr>
          <w:rFonts w:ascii="Segoe UI Semibold" w:hAnsi="Segoe UI Semibold"/>
          <w:b/>
          <w:i/>
          <w:color w:val="231F20"/>
          <w:spacing w:val="-15"/>
          <w:sz w:val="24"/>
        </w:rPr>
        <w:t> </w:t>
      </w:r>
      <w:r>
        <w:rPr>
          <w:rFonts w:ascii="Segoe UI Semibold" w:hAnsi="Segoe UI Semibold"/>
          <w:b/>
          <w:i/>
          <w:color w:val="231F20"/>
          <w:sz w:val="24"/>
        </w:rPr>
        <w:t>y</w:t>
      </w:r>
      <w:r>
        <w:rPr>
          <w:rFonts w:ascii="Segoe UI Semibold" w:hAnsi="Segoe UI Semibold"/>
          <w:b/>
          <w:i/>
          <w:color w:val="231F20"/>
          <w:spacing w:val="-16"/>
          <w:sz w:val="24"/>
        </w:rPr>
        <w:t> </w:t>
      </w:r>
      <w:r>
        <w:rPr>
          <w:rFonts w:ascii="Segoe UI Semibold" w:hAnsi="Segoe UI Semibold"/>
          <w:b/>
          <w:i/>
          <w:color w:val="231F20"/>
          <w:sz w:val="24"/>
        </w:rPr>
        <w:t>financiero</w:t>
      </w:r>
    </w:p>
    <w:p>
      <w:pPr>
        <w:spacing w:before="0"/>
        <w:ind w:left="1938" w:right="0" w:hanging="465"/>
        <w:jc w:val="left"/>
        <w:rPr>
          <w:rFonts w:ascii="Segoe UI Semibold"/>
          <w:b/>
          <w:i/>
          <w:sz w:val="24"/>
        </w:rPr>
      </w:pPr>
      <w:r>
        <w:rPr>
          <w:b/>
          <w:i/>
          <w:color w:val="1A4796"/>
          <w:sz w:val="24"/>
        </w:rPr>
        <w:t>12/</w:t>
      </w:r>
      <w:r>
        <w:rPr>
          <w:b/>
          <w:i/>
          <w:color w:val="1A4796"/>
          <w:spacing w:val="21"/>
          <w:sz w:val="24"/>
        </w:rPr>
        <w:t> </w:t>
      </w:r>
      <w:r>
        <w:rPr>
          <w:rFonts w:ascii="Segoe UI Semibold"/>
          <w:b/>
          <w:i/>
          <w:color w:val="231F20"/>
          <w:sz w:val="24"/>
        </w:rPr>
        <w:t>Principales</w:t>
      </w:r>
      <w:r>
        <w:rPr>
          <w:rFonts w:ascii="Segoe UI Semibold"/>
          <w:b/>
          <w:i/>
          <w:color w:val="231F20"/>
          <w:spacing w:val="-8"/>
          <w:sz w:val="24"/>
        </w:rPr>
        <w:t> </w:t>
      </w:r>
      <w:r>
        <w:rPr>
          <w:rFonts w:ascii="Segoe UI Semibold"/>
          <w:b/>
          <w:i/>
          <w:color w:val="231F20"/>
          <w:sz w:val="24"/>
        </w:rPr>
        <w:t>acciones</w:t>
      </w:r>
      <w:r>
        <w:rPr>
          <w:rFonts w:ascii="Segoe UI Semibold"/>
          <w:b/>
          <w:i/>
          <w:color w:val="231F20"/>
          <w:spacing w:val="-8"/>
          <w:sz w:val="24"/>
        </w:rPr>
        <w:t> </w:t>
      </w:r>
      <w:r>
        <w:rPr>
          <w:rFonts w:ascii="Segoe UI Semibold"/>
          <w:b/>
          <w:i/>
          <w:color w:val="231F20"/>
          <w:sz w:val="24"/>
        </w:rPr>
        <w:t>del</w:t>
      </w:r>
      <w:r>
        <w:rPr>
          <w:rFonts w:ascii="Segoe UI Semibold"/>
          <w:b/>
          <w:i/>
          <w:color w:val="231F20"/>
          <w:spacing w:val="-8"/>
          <w:sz w:val="24"/>
        </w:rPr>
        <w:t> </w:t>
      </w:r>
      <w:r>
        <w:rPr>
          <w:rFonts w:ascii="Segoe UI Semibold"/>
          <w:b/>
          <w:i/>
          <w:color w:val="231F20"/>
          <w:sz w:val="24"/>
        </w:rPr>
        <w:t>bloqueo</w:t>
      </w:r>
      <w:r>
        <w:rPr>
          <w:rFonts w:ascii="Segoe UI Semibold"/>
          <w:b/>
          <w:i/>
          <w:color w:val="231F20"/>
          <w:spacing w:val="-8"/>
          <w:sz w:val="24"/>
        </w:rPr>
        <w:t> </w:t>
      </w:r>
      <w:r>
        <w:rPr>
          <w:rFonts w:ascii="Segoe UI Semibold"/>
          <w:b/>
          <w:i/>
          <w:color w:val="231F20"/>
          <w:sz w:val="24"/>
        </w:rPr>
        <w:t>entre</w:t>
      </w:r>
      <w:r>
        <w:rPr>
          <w:rFonts w:ascii="Segoe UI Semibold"/>
          <w:b/>
          <w:i/>
          <w:color w:val="231F20"/>
          <w:sz w:val="24"/>
        </w:rPr>
        <w:t> marzo de 2022 y febrero de 2023</w:t>
      </w:r>
    </w:p>
    <w:p>
      <w:pPr>
        <w:spacing w:line="320" w:lineRule="exact" w:before="0"/>
        <w:ind w:left="1474" w:right="0" w:firstLine="0"/>
        <w:jc w:val="left"/>
        <w:rPr>
          <w:rFonts w:ascii="Segoe UI Semibold" w:hAnsi="Segoe UI Semibold"/>
          <w:b/>
          <w:i/>
          <w:sz w:val="24"/>
        </w:rPr>
      </w:pPr>
      <w:r>
        <w:rPr>
          <w:b/>
          <w:i/>
          <w:color w:val="1A4796"/>
          <w:sz w:val="24"/>
        </w:rPr>
        <w:t>13/</w:t>
      </w:r>
      <w:r>
        <w:rPr>
          <w:b/>
          <w:i/>
          <w:color w:val="1A4796"/>
          <w:spacing w:val="-6"/>
          <w:sz w:val="24"/>
        </w:rPr>
        <w:t> </w:t>
      </w:r>
      <w:r>
        <w:rPr>
          <w:rFonts w:ascii="Segoe UI Semibold" w:hAnsi="Segoe UI Semibold"/>
          <w:b/>
          <w:i/>
          <w:color w:val="231F20"/>
          <w:sz w:val="24"/>
        </w:rPr>
        <w:t>Aplicación</w:t>
      </w:r>
      <w:r>
        <w:rPr>
          <w:rFonts w:ascii="Segoe UI Semibold" w:hAnsi="Segoe UI Semibold"/>
          <w:b/>
          <w:i/>
          <w:color w:val="231F20"/>
          <w:spacing w:val="-4"/>
          <w:sz w:val="24"/>
        </w:rPr>
        <w:t> </w:t>
      </w:r>
      <w:r>
        <w:rPr>
          <w:rFonts w:ascii="Segoe UI Semibold" w:hAnsi="Segoe UI Semibold"/>
          <w:b/>
          <w:i/>
          <w:color w:val="231F20"/>
          <w:sz w:val="24"/>
        </w:rPr>
        <w:t>de</w:t>
      </w:r>
      <w:r>
        <w:rPr>
          <w:rFonts w:ascii="Segoe UI Semibold" w:hAnsi="Segoe UI Semibold"/>
          <w:b/>
          <w:i/>
          <w:color w:val="231F20"/>
          <w:spacing w:val="-6"/>
          <w:sz w:val="24"/>
        </w:rPr>
        <w:t> </w:t>
      </w:r>
      <w:r>
        <w:rPr>
          <w:rFonts w:ascii="Segoe UI Semibold" w:hAnsi="Segoe UI Semibold"/>
          <w:b/>
          <w:i/>
          <w:color w:val="231F20"/>
          <w:sz w:val="24"/>
        </w:rPr>
        <w:t>la</w:t>
      </w:r>
      <w:r>
        <w:rPr>
          <w:rFonts w:ascii="Segoe UI Semibold" w:hAnsi="Segoe UI Semibold"/>
          <w:b/>
          <w:i/>
          <w:color w:val="231F20"/>
          <w:spacing w:val="-5"/>
          <w:sz w:val="24"/>
        </w:rPr>
        <w:t> </w:t>
      </w:r>
      <w:r>
        <w:rPr>
          <w:rFonts w:ascii="Segoe UI Semibold" w:hAnsi="Segoe UI Semibold"/>
          <w:b/>
          <w:i/>
          <w:color w:val="231F20"/>
          <w:sz w:val="24"/>
        </w:rPr>
        <w:t>Ley</w:t>
      </w:r>
      <w:r>
        <w:rPr>
          <w:rFonts w:ascii="Segoe UI Semibold" w:hAnsi="Segoe UI Semibold"/>
          <w:b/>
          <w:i/>
          <w:color w:val="231F20"/>
          <w:spacing w:val="-4"/>
          <w:sz w:val="24"/>
        </w:rPr>
        <w:t> </w:t>
      </w:r>
      <w:r>
        <w:rPr>
          <w:rFonts w:ascii="Segoe UI Semibold" w:hAnsi="Segoe UI Semibold"/>
          <w:b/>
          <w:i/>
          <w:color w:val="231F20"/>
          <w:sz w:val="24"/>
        </w:rPr>
        <w:t>Helms-</w:t>
      </w:r>
      <w:r>
        <w:rPr>
          <w:rFonts w:ascii="Segoe UI Semibold" w:hAnsi="Segoe UI Semibold"/>
          <w:b/>
          <w:i/>
          <w:color w:val="231F20"/>
          <w:spacing w:val="-2"/>
          <w:sz w:val="24"/>
        </w:rPr>
        <w:t>Burton.</w:t>
      </w:r>
    </w:p>
    <w:p>
      <w:pPr>
        <w:spacing w:line="320" w:lineRule="exact" w:before="0"/>
        <w:ind w:left="1938" w:right="0" w:firstLine="0"/>
        <w:jc w:val="left"/>
        <w:rPr>
          <w:rFonts w:ascii="Segoe UI Semibold"/>
          <w:b/>
          <w:i/>
          <w:sz w:val="24"/>
        </w:rPr>
      </w:pPr>
      <w:r>
        <w:rPr>
          <w:rFonts w:ascii="Segoe UI Semibold"/>
          <w:b/>
          <w:i/>
          <w:color w:val="231F20"/>
          <w:sz w:val="24"/>
        </w:rPr>
        <w:t>Demandas </w:t>
      </w:r>
      <w:r>
        <w:rPr>
          <w:rFonts w:ascii="Segoe UI Semibold"/>
          <w:b/>
          <w:i/>
          <w:color w:val="231F20"/>
          <w:spacing w:val="-2"/>
          <w:sz w:val="24"/>
        </w:rPr>
        <w:t>presentadas</w:t>
      </w:r>
    </w:p>
    <w:p>
      <w:pPr>
        <w:spacing w:before="0"/>
        <w:ind w:left="1938" w:right="414" w:hanging="465"/>
        <w:jc w:val="left"/>
        <w:rPr>
          <w:rFonts w:ascii="Segoe UI Semibold" w:hAnsi="Segoe UI Semibold"/>
          <w:b/>
          <w:i/>
          <w:sz w:val="24"/>
        </w:rPr>
      </w:pPr>
      <w:r>
        <w:rPr>
          <w:b/>
          <w:i/>
          <w:color w:val="1A4796"/>
          <w:sz w:val="24"/>
        </w:rPr>
        <w:t>14/</w:t>
      </w:r>
      <w:r>
        <w:rPr>
          <w:b/>
          <w:i/>
          <w:color w:val="1A4796"/>
          <w:spacing w:val="-6"/>
          <w:sz w:val="24"/>
        </w:rPr>
        <w:t> </w:t>
      </w:r>
      <w:r>
        <w:rPr>
          <w:rFonts w:ascii="Segoe UI Semibold" w:hAnsi="Segoe UI Semibold"/>
          <w:b/>
          <w:i/>
          <w:color w:val="231F20"/>
          <w:sz w:val="24"/>
        </w:rPr>
        <w:t>Impacto</w:t>
      </w:r>
      <w:r>
        <w:rPr>
          <w:rFonts w:ascii="Segoe UI Semibold" w:hAnsi="Segoe UI Semibold"/>
          <w:b/>
          <w:i/>
          <w:color w:val="231F20"/>
          <w:spacing w:val="-6"/>
          <w:sz w:val="24"/>
        </w:rPr>
        <w:t> </w:t>
      </w:r>
      <w:r>
        <w:rPr>
          <w:rFonts w:ascii="Segoe UI Semibold" w:hAnsi="Segoe UI Semibold"/>
          <w:b/>
          <w:i/>
          <w:color w:val="231F20"/>
          <w:sz w:val="24"/>
        </w:rPr>
        <w:t>de</w:t>
      </w:r>
      <w:r>
        <w:rPr>
          <w:rFonts w:ascii="Segoe UI Semibold" w:hAnsi="Segoe UI Semibold"/>
          <w:b/>
          <w:i/>
          <w:color w:val="231F20"/>
          <w:spacing w:val="-6"/>
          <w:sz w:val="24"/>
        </w:rPr>
        <w:t> </w:t>
      </w:r>
      <w:r>
        <w:rPr>
          <w:rFonts w:ascii="Segoe UI Semibold" w:hAnsi="Segoe UI Semibold"/>
          <w:b/>
          <w:i/>
          <w:color w:val="231F20"/>
          <w:sz w:val="24"/>
        </w:rPr>
        <w:t>la</w:t>
      </w:r>
      <w:r>
        <w:rPr>
          <w:rFonts w:ascii="Segoe UI Semibold" w:hAnsi="Segoe UI Semibold"/>
          <w:b/>
          <w:i/>
          <w:color w:val="231F20"/>
          <w:spacing w:val="-6"/>
          <w:sz w:val="24"/>
        </w:rPr>
        <w:t> </w:t>
      </w:r>
      <w:r>
        <w:rPr>
          <w:rFonts w:ascii="Segoe UI Semibold" w:hAnsi="Segoe UI Semibold"/>
          <w:b/>
          <w:i/>
          <w:color w:val="231F20"/>
          <w:sz w:val="24"/>
        </w:rPr>
        <w:t>inclusión</w:t>
      </w:r>
      <w:r>
        <w:rPr>
          <w:rFonts w:ascii="Segoe UI Semibold" w:hAnsi="Segoe UI Semibold"/>
          <w:b/>
          <w:i/>
          <w:color w:val="231F20"/>
          <w:spacing w:val="-5"/>
          <w:sz w:val="24"/>
        </w:rPr>
        <w:t> </w:t>
      </w:r>
      <w:r>
        <w:rPr>
          <w:rFonts w:ascii="Segoe UI Semibold" w:hAnsi="Segoe UI Semibold"/>
          <w:b/>
          <w:i/>
          <w:color w:val="231F20"/>
          <w:sz w:val="24"/>
        </w:rPr>
        <w:t>de</w:t>
      </w:r>
      <w:r>
        <w:rPr>
          <w:rFonts w:ascii="Segoe UI Semibold" w:hAnsi="Segoe UI Semibold"/>
          <w:b/>
          <w:i/>
          <w:color w:val="231F20"/>
          <w:spacing w:val="-6"/>
          <w:sz w:val="24"/>
        </w:rPr>
        <w:t> </w:t>
      </w:r>
      <w:r>
        <w:rPr>
          <w:rFonts w:ascii="Segoe UI Semibold" w:hAnsi="Segoe UI Semibold"/>
          <w:b/>
          <w:i/>
          <w:color w:val="231F20"/>
          <w:sz w:val="24"/>
        </w:rPr>
        <w:t>Cuba</w:t>
      </w:r>
      <w:r>
        <w:rPr>
          <w:rFonts w:ascii="Segoe UI Semibold" w:hAnsi="Segoe UI Semibold"/>
          <w:b/>
          <w:i/>
          <w:color w:val="231F20"/>
          <w:spacing w:val="-6"/>
          <w:sz w:val="24"/>
        </w:rPr>
        <w:t> </w:t>
      </w:r>
      <w:r>
        <w:rPr>
          <w:rFonts w:ascii="Segoe UI Semibold" w:hAnsi="Segoe UI Semibold"/>
          <w:b/>
          <w:i/>
          <w:color w:val="231F20"/>
          <w:sz w:val="24"/>
        </w:rPr>
        <w:t>en</w:t>
      </w:r>
      <w:r>
        <w:rPr>
          <w:rFonts w:ascii="Segoe UI Semibold" w:hAnsi="Segoe UI Semibold"/>
          <w:b/>
          <w:i/>
          <w:color w:val="231F20"/>
          <w:sz w:val="24"/>
        </w:rPr>
        <w:t> la Lista unilateral de Estados Patrocinadores del Terrorismo</w:t>
      </w:r>
    </w:p>
    <w:p>
      <w:pPr>
        <w:spacing w:before="0"/>
        <w:ind w:left="1910" w:right="0" w:hanging="437"/>
        <w:jc w:val="left"/>
        <w:rPr>
          <w:rFonts w:ascii="Segoe UI Semibold"/>
          <w:b/>
          <w:i/>
          <w:sz w:val="24"/>
        </w:rPr>
      </w:pPr>
      <w:r>
        <w:rPr>
          <w:b/>
          <w:i/>
          <w:color w:val="1A4796"/>
          <w:spacing w:val="-2"/>
          <w:sz w:val="24"/>
        </w:rPr>
        <w:t>16/</w:t>
      </w:r>
      <w:r>
        <w:rPr>
          <w:b/>
          <w:i/>
          <w:color w:val="1A4796"/>
          <w:spacing w:val="-12"/>
          <w:sz w:val="24"/>
        </w:rPr>
        <w:t> </w:t>
      </w:r>
      <w:r>
        <w:rPr>
          <w:rFonts w:ascii="Segoe UI Semibold"/>
          <w:b/>
          <w:i/>
          <w:color w:val="231F20"/>
          <w:spacing w:val="-2"/>
          <w:sz w:val="24"/>
        </w:rPr>
        <w:t>Prerrogativas</w:t>
      </w:r>
      <w:r>
        <w:rPr>
          <w:rFonts w:ascii="Segoe UI Semibold"/>
          <w:b/>
          <w:i/>
          <w:color w:val="231F20"/>
          <w:spacing w:val="-14"/>
          <w:sz w:val="24"/>
        </w:rPr>
        <w:t> </w:t>
      </w:r>
      <w:r>
        <w:rPr>
          <w:rFonts w:ascii="Segoe UI Semibold"/>
          <w:b/>
          <w:i/>
          <w:color w:val="231F20"/>
          <w:spacing w:val="-2"/>
          <w:sz w:val="24"/>
        </w:rPr>
        <w:t>del</w:t>
      </w:r>
      <w:r>
        <w:rPr>
          <w:rFonts w:ascii="Segoe UI Semibold"/>
          <w:b/>
          <w:i/>
          <w:color w:val="231F20"/>
          <w:spacing w:val="-14"/>
          <w:sz w:val="24"/>
        </w:rPr>
        <w:t> </w:t>
      </w:r>
      <w:r>
        <w:rPr>
          <w:rFonts w:ascii="Segoe UI Semibold"/>
          <w:b/>
          <w:i/>
          <w:color w:val="231F20"/>
          <w:spacing w:val="-2"/>
          <w:sz w:val="24"/>
        </w:rPr>
        <w:t>Presidente</w:t>
      </w:r>
      <w:r>
        <w:rPr>
          <w:rFonts w:ascii="Segoe UI Semibold"/>
          <w:b/>
          <w:i/>
          <w:color w:val="231F20"/>
          <w:spacing w:val="-14"/>
          <w:sz w:val="24"/>
        </w:rPr>
        <w:t> </w:t>
      </w:r>
      <w:r>
        <w:rPr>
          <w:rFonts w:ascii="Segoe UI Semibold"/>
          <w:b/>
          <w:i/>
          <w:color w:val="231F20"/>
          <w:spacing w:val="-2"/>
          <w:sz w:val="24"/>
        </w:rPr>
        <w:t>de</w:t>
      </w:r>
      <w:r>
        <w:rPr>
          <w:rFonts w:ascii="Segoe UI Semibold"/>
          <w:b/>
          <w:i/>
          <w:color w:val="231F20"/>
          <w:spacing w:val="-14"/>
          <w:sz w:val="24"/>
        </w:rPr>
        <w:t> </w:t>
      </w:r>
      <w:r>
        <w:rPr>
          <w:rFonts w:ascii="Segoe UI Semibold"/>
          <w:b/>
          <w:i/>
          <w:color w:val="231F20"/>
          <w:spacing w:val="-2"/>
          <w:sz w:val="24"/>
        </w:rPr>
        <w:t>los</w:t>
      </w:r>
      <w:r>
        <w:rPr>
          <w:rFonts w:ascii="Segoe UI Semibold"/>
          <w:b/>
          <w:i/>
          <w:color w:val="231F20"/>
          <w:spacing w:val="-2"/>
          <w:sz w:val="24"/>
        </w:rPr>
        <w:t> </w:t>
      </w:r>
      <w:r>
        <w:rPr>
          <w:rFonts w:ascii="Segoe UI Semibold"/>
          <w:b/>
          <w:i/>
          <w:color w:val="231F20"/>
          <w:sz w:val="24"/>
        </w:rPr>
        <w:t>Estados Unidos para modificar</w:t>
      </w:r>
    </w:p>
    <w:p>
      <w:pPr>
        <w:spacing w:line="320" w:lineRule="exact" w:before="0"/>
        <w:ind w:left="1910" w:right="0" w:firstLine="0"/>
        <w:jc w:val="left"/>
        <w:rPr>
          <w:rFonts w:ascii="Segoe UI Semibold" w:hAnsi="Segoe UI Semibold"/>
          <w:b/>
          <w:i/>
          <w:sz w:val="24"/>
        </w:rPr>
      </w:pPr>
      <w:r>
        <w:rPr>
          <w:rFonts w:ascii="Segoe UI Semibold" w:hAnsi="Segoe UI Semibold"/>
          <w:b/>
          <w:i/>
          <w:color w:val="231F20"/>
          <w:spacing w:val="-2"/>
          <w:sz w:val="24"/>
        </w:rPr>
        <w:t>la</w:t>
      </w:r>
      <w:r>
        <w:rPr>
          <w:rFonts w:ascii="Segoe UI Semibold" w:hAnsi="Segoe UI Semibold"/>
          <w:b/>
          <w:i/>
          <w:color w:val="231F20"/>
          <w:spacing w:val="-7"/>
          <w:sz w:val="24"/>
        </w:rPr>
        <w:t> </w:t>
      </w:r>
      <w:r>
        <w:rPr>
          <w:rFonts w:ascii="Segoe UI Semibold" w:hAnsi="Segoe UI Semibold"/>
          <w:b/>
          <w:i/>
          <w:color w:val="231F20"/>
          <w:spacing w:val="-2"/>
          <w:sz w:val="24"/>
        </w:rPr>
        <w:t>aplicación</w:t>
      </w:r>
      <w:r>
        <w:rPr>
          <w:rFonts w:ascii="Segoe UI Semibold" w:hAnsi="Segoe UI Semibold"/>
          <w:b/>
          <w:i/>
          <w:color w:val="231F20"/>
          <w:spacing w:val="-7"/>
          <w:sz w:val="24"/>
        </w:rPr>
        <w:t> </w:t>
      </w:r>
      <w:r>
        <w:rPr>
          <w:rFonts w:ascii="Segoe UI Semibold" w:hAnsi="Segoe UI Semibold"/>
          <w:b/>
          <w:i/>
          <w:color w:val="231F20"/>
          <w:spacing w:val="-2"/>
          <w:sz w:val="24"/>
        </w:rPr>
        <w:t>del</w:t>
      </w:r>
      <w:r>
        <w:rPr>
          <w:rFonts w:ascii="Segoe UI Semibold" w:hAnsi="Segoe UI Semibold"/>
          <w:b/>
          <w:i/>
          <w:color w:val="231F20"/>
          <w:spacing w:val="-7"/>
          <w:sz w:val="24"/>
        </w:rPr>
        <w:t> </w:t>
      </w:r>
      <w:r>
        <w:rPr>
          <w:rFonts w:ascii="Segoe UI Semibold" w:hAnsi="Segoe UI Semibold"/>
          <w:b/>
          <w:i/>
          <w:color w:val="231F20"/>
          <w:spacing w:val="-2"/>
          <w:sz w:val="24"/>
        </w:rPr>
        <w:t>bloqueo</w:t>
      </w:r>
    </w:p>
    <w:p>
      <w:pPr>
        <w:pStyle w:val="Heading4"/>
        <w:numPr>
          <w:ilvl w:val="0"/>
          <w:numId w:val="1"/>
        </w:numPr>
        <w:tabs>
          <w:tab w:pos="1881" w:val="left" w:leader="none"/>
        </w:tabs>
        <w:spacing w:line="240" w:lineRule="auto" w:before="159" w:after="0"/>
        <w:ind w:left="1474" w:right="695" w:firstLine="0"/>
        <w:jc w:val="left"/>
      </w:pPr>
      <w:r>
        <w:rPr>
          <w:color w:val="B52628"/>
        </w:rPr>
        <w:t>El</w:t>
      </w:r>
      <w:r>
        <w:rPr>
          <w:color w:val="B52628"/>
          <w:spacing w:val="-9"/>
        </w:rPr>
        <w:t> </w:t>
      </w:r>
      <w:r>
        <w:rPr>
          <w:color w:val="B52628"/>
        </w:rPr>
        <w:t>bloqueo</w:t>
      </w:r>
      <w:r>
        <w:rPr>
          <w:color w:val="B52628"/>
          <w:spacing w:val="-9"/>
        </w:rPr>
        <w:t> </w:t>
      </w:r>
      <w:r>
        <w:rPr>
          <w:color w:val="B52628"/>
        </w:rPr>
        <w:t>viola</w:t>
      </w:r>
      <w:r>
        <w:rPr>
          <w:color w:val="B52628"/>
          <w:spacing w:val="-8"/>
        </w:rPr>
        <w:t> </w:t>
      </w:r>
      <w:r>
        <w:rPr>
          <w:color w:val="B52628"/>
        </w:rPr>
        <w:t>los</w:t>
      </w:r>
      <w:r>
        <w:rPr>
          <w:color w:val="B52628"/>
          <w:spacing w:val="-8"/>
        </w:rPr>
        <w:t> </w:t>
      </w:r>
      <w:r>
        <w:rPr>
          <w:color w:val="B52628"/>
        </w:rPr>
        <w:t>derechos</w:t>
      </w:r>
      <w:r>
        <w:rPr>
          <w:color w:val="B52628"/>
          <w:spacing w:val="-8"/>
        </w:rPr>
        <w:t> </w:t>
      </w:r>
      <w:r>
        <w:rPr>
          <w:color w:val="B52628"/>
        </w:rPr>
        <w:t>del pueblo cubano</w:t>
      </w:r>
    </w:p>
    <w:p>
      <w:pPr>
        <w:spacing w:before="0"/>
        <w:ind w:left="1938" w:right="0" w:hanging="465"/>
        <w:jc w:val="left"/>
        <w:rPr>
          <w:rFonts w:ascii="Segoe UI Semibold"/>
          <w:b/>
          <w:i/>
          <w:sz w:val="24"/>
        </w:rPr>
      </w:pPr>
      <w:r>
        <w:rPr>
          <w:b/>
          <w:i/>
          <w:color w:val="1A4796"/>
          <w:sz w:val="24"/>
        </w:rPr>
        <w:t>18/</w:t>
      </w:r>
      <w:r>
        <w:rPr>
          <w:b/>
          <w:i/>
          <w:color w:val="1A4796"/>
          <w:spacing w:val="-8"/>
          <w:sz w:val="24"/>
        </w:rPr>
        <w:t> </w:t>
      </w:r>
      <w:r>
        <w:rPr>
          <w:rFonts w:ascii="Segoe UI Semibold"/>
          <w:b/>
          <w:i/>
          <w:color w:val="231F20"/>
          <w:sz w:val="24"/>
        </w:rPr>
        <w:t>Afectaciones</w:t>
      </w:r>
      <w:r>
        <w:rPr>
          <w:rFonts w:ascii="Segoe UI Semibold"/>
          <w:b/>
          <w:i/>
          <w:color w:val="231F20"/>
          <w:spacing w:val="-7"/>
          <w:sz w:val="24"/>
        </w:rPr>
        <w:t> </w:t>
      </w:r>
      <w:r>
        <w:rPr>
          <w:rFonts w:ascii="Segoe UI Semibold"/>
          <w:b/>
          <w:i/>
          <w:color w:val="231F20"/>
          <w:sz w:val="24"/>
        </w:rPr>
        <w:t>en</w:t>
      </w:r>
      <w:r>
        <w:rPr>
          <w:rFonts w:ascii="Segoe UI Semibold"/>
          <w:b/>
          <w:i/>
          <w:color w:val="231F20"/>
          <w:spacing w:val="-7"/>
          <w:sz w:val="24"/>
        </w:rPr>
        <w:t> </w:t>
      </w:r>
      <w:r>
        <w:rPr>
          <w:rFonts w:ascii="Segoe UI Semibold"/>
          <w:b/>
          <w:i/>
          <w:color w:val="231F20"/>
          <w:sz w:val="24"/>
        </w:rPr>
        <w:t>los</w:t>
      </w:r>
      <w:r>
        <w:rPr>
          <w:rFonts w:ascii="Segoe UI Semibold"/>
          <w:b/>
          <w:i/>
          <w:color w:val="231F20"/>
          <w:spacing w:val="-7"/>
          <w:sz w:val="24"/>
        </w:rPr>
        <w:t> </w:t>
      </w:r>
      <w:r>
        <w:rPr>
          <w:rFonts w:ascii="Segoe UI Semibold"/>
          <w:b/>
          <w:i/>
          <w:color w:val="231F20"/>
          <w:sz w:val="24"/>
        </w:rPr>
        <w:t>sectores</w:t>
      </w:r>
      <w:r>
        <w:rPr>
          <w:rFonts w:ascii="Segoe UI Semibold"/>
          <w:b/>
          <w:i/>
          <w:color w:val="231F20"/>
          <w:spacing w:val="-7"/>
          <w:sz w:val="24"/>
        </w:rPr>
        <w:t> </w:t>
      </w:r>
      <w:r>
        <w:rPr>
          <w:rFonts w:ascii="Segoe UI Semibold"/>
          <w:b/>
          <w:i/>
          <w:color w:val="231F20"/>
          <w:sz w:val="24"/>
        </w:rPr>
        <w:t>de</w:t>
      </w:r>
      <w:r>
        <w:rPr>
          <w:rFonts w:ascii="Segoe UI Semibold"/>
          <w:b/>
          <w:i/>
          <w:color w:val="231F20"/>
          <w:spacing w:val="-8"/>
          <w:sz w:val="24"/>
        </w:rPr>
        <w:t> </w:t>
      </w:r>
      <w:r>
        <w:rPr>
          <w:rFonts w:ascii="Segoe UI Semibold"/>
          <w:b/>
          <w:i/>
          <w:color w:val="231F20"/>
          <w:sz w:val="24"/>
        </w:rPr>
        <w:t>mayor</w:t>
      </w:r>
      <w:r>
        <w:rPr>
          <w:rFonts w:ascii="Segoe UI Semibold"/>
          <w:b/>
          <w:i/>
          <w:color w:val="231F20"/>
          <w:sz w:val="24"/>
        </w:rPr>
        <w:t> impacto social</w:t>
      </w:r>
    </w:p>
    <w:p>
      <w:pPr>
        <w:spacing w:line="320" w:lineRule="exact" w:before="0"/>
        <w:ind w:left="1474" w:right="0" w:firstLine="0"/>
        <w:jc w:val="left"/>
        <w:rPr>
          <w:rFonts w:ascii="Segoe UI Semibold" w:hAnsi="Segoe UI Semibold"/>
          <w:b/>
          <w:i/>
          <w:sz w:val="24"/>
        </w:rPr>
      </w:pPr>
      <w:r>
        <w:rPr>
          <w:b/>
          <w:i/>
          <w:color w:val="1A4796"/>
          <w:sz w:val="24"/>
        </w:rPr>
        <w:t>28/</w:t>
      </w:r>
      <w:r>
        <w:rPr>
          <w:b/>
          <w:i/>
          <w:color w:val="1A4796"/>
          <w:spacing w:val="-5"/>
          <w:sz w:val="24"/>
        </w:rPr>
        <w:t> </w:t>
      </w:r>
      <w:r>
        <w:rPr>
          <w:rFonts w:ascii="Segoe UI Semibold" w:hAnsi="Segoe UI Semibold"/>
          <w:b/>
          <w:i/>
          <w:color w:val="231F20"/>
          <w:sz w:val="24"/>
        </w:rPr>
        <w:t>Afectaciones</w:t>
      </w:r>
      <w:r>
        <w:rPr>
          <w:rFonts w:ascii="Segoe UI Semibold" w:hAnsi="Segoe UI Semibold"/>
          <w:b/>
          <w:i/>
          <w:color w:val="231F20"/>
          <w:spacing w:val="-4"/>
          <w:sz w:val="24"/>
        </w:rPr>
        <w:t> </w:t>
      </w:r>
      <w:r>
        <w:rPr>
          <w:rFonts w:ascii="Segoe UI Semibold" w:hAnsi="Segoe UI Semibold"/>
          <w:b/>
          <w:i/>
          <w:color w:val="231F20"/>
          <w:sz w:val="24"/>
        </w:rPr>
        <w:t>al</w:t>
      </w:r>
      <w:r>
        <w:rPr>
          <w:rFonts w:ascii="Segoe UI Semibold" w:hAnsi="Segoe UI Semibold"/>
          <w:b/>
          <w:i/>
          <w:color w:val="231F20"/>
          <w:spacing w:val="-5"/>
          <w:sz w:val="24"/>
        </w:rPr>
        <w:t> </w:t>
      </w:r>
      <w:r>
        <w:rPr>
          <w:rFonts w:ascii="Segoe UI Semibold" w:hAnsi="Segoe UI Semibold"/>
          <w:b/>
          <w:i/>
          <w:color w:val="231F20"/>
          <w:sz w:val="24"/>
        </w:rPr>
        <w:t>desarrollo</w:t>
      </w:r>
      <w:r>
        <w:rPr>
          <w:rFonts w:ascii="Segoe UI Semibold" w:hAnsi="Segoe UI Semibold"/>
          <w:b/>
          <w:i/>
          <w:color w:val="231F20"/>
          <w:spacing w:val="-4"/>
          <w:sz w:val="24"/>
        </w:rPr>
        <w:t> </w:t>
      </w:r>
      <w:r>
        <w:rPr>
          <w:rFonts w:ascii="Segoe UI Semibold" w:hAnsi="Segoe UI Semibold"/>
          <w:b/>
          <w:i/>
          <w:color w:val="231F20"/>
          <w:spacing w:val="-2"/>
          <w:sz w:val="24"/>
        </w:rPr>
        <w:t>económico</w:t>
      </w:r>
    </w:p>
    <w:p>
      <w:pPr>
        <w:spacing w:before="0"/>
        <w:ind w:left="1474" w:right="0" w:firstLine="0"/>
        <w:jc w:val="left"/>
        <w:rPr>
          <w:rFonts w:ascii="Segoe UI Semibold" w:hAnsi="Segoe UI Semibold"/>
          <w:b/>
          <w:i/>
          <w:sz w:val="24"/>
        </w:rPr>
      </w:pPr>
      <w:r>
        <w:rPr>
          <w:b/>
          <w:i/>
          <w:color w:val="1A4796"/>
          <w:sz w:val="24"/>
        </w:rPr>
        <w:t>37/</w:t>
      </w:r>
      <w:r>
        <w:rPr>
          <w:b/>
          <w:i/>
          <w:color w:val="1A4796"/>
          <w:spacing w:val="-4"/>
          <w:sz w:val="24"/>
        </w:rPr>
        <w:t> </w:t>
      </w:r>
      <w:r>
        <w:rPr>
          <w:rFonts w:ascii="Segoe UI Semibold" w:hAnsi="Segoe UI Semibold"/>
          <w:b/>
          <w:i/>
          <w:color w:val="231F20"/>
          <w:sz w:val="24"/>
        </w:rPr>
        <w:t>Daño</w:t>
      </w:r>
      <w:r>
        <w:rPr>
          <w:rFonts w:ascii="Segoe UI Semibold" w:hAnsi="Segoe UI Semibold"/>
          <w:b/>
          <w:i/>
          <w:color w:val="231F20"/>
          <w:spacing w:val="-3"/>
          <w:sz w:val="24"/>
        </w:rPr>
        <w:t> </w:t>
      </w:r>
      <w:r>
        <w:rPr>
          <w:rFonts w:ascii="Segoe UI Semibold" w:hAnsi="Segoe UI Semibold"/>
          <w:b/>
          <w:i/>
          <w:color w:val="231F20"/>
          <w:sz w:val="24"/>
        </w:rPr>
        <w:t>humano</w:t>
      </w:r>
      <w:r>
        <w:rPr>
          <w:rFonts w:ascii="Segoe UI Semibold" w:hAnsi="Segoe UI Semibold"/>
          <w:b/>
          <w:i/>
          <w:color w:val="231F20"/>
          <w:spacing w:val="-3"/>
          <w:sz w:val="24"/>
        </w:rPr>
        <w:t> </w:t>
      </w:r>
      <w:r>
        <w:rPr>
          <w:rFonts w:ascii="Segoe UI Semibold" w:hAnsi="Segoe UI Semibold"/>
          <w:b/>
          <w:i/>
          <w:color w:val="231F20"/>
          <w:sz w:val="24"/>
        </w:rPr>
        <w:t>no</w:t>
      </w:r>
      <w:r>
        <w:rPr>
          <w:rFonts w:ascii="Segoe UI Semibold" w:hAnsi="Segoe UI Semibold"/>
          <w:b/>
          <w:i/>
          <w:color w:val="231F20"/>
          <w:spacing w:val="-3"/>
          <w:sz w:val="24"/>
        </w:rPr>
        <w:t> </w:t>
      </w:r>
      <w:r>
        <w:rPr>
          <w:rFonts w:ascii="Segoe UI Semibold" w:hAnsi="Segoe UI Semibold"/>
          <w:b/>
          <w:i/>
          <w:color w:val="231F20"/>
          <w:spacing w:val="-2"/>
          <w:sz w:val="24"/>
        </w:rPr>
        <w:t>cuantificable</w:t>
      </w:r>
    </w:p>
    <w:p>
      <w:pPr>
        <w:pStyle w:val="Heading4"/>
        <w:numPr>
          <w:ilvl w:val="0"/>
          <w:numId w:val="1"/>
        </w:numPr>
        <w:tabs>
          <w:tab w:pos="1881" w:val="left" w:leader="none"/>
        </w:tabs>
        <w:spacing w:line="240" w:lineRule="auto" w:before="161" w:after="0"/>
        <w:ind w:left="1474" w:right="642" w:firstLine="0"/>
        <w:jc w:val="left"/>
      </w:pPr>
      <w:r>
        <w:rPr>
          <w:color w:val="B52628"/>
        </w:rPr>
        <w:t>Afectaciones</w:t>
      </w:r>
      <w:r>
        <w:rPr>
          <w:color w:val="B52628"/>
          <w:spacing w:val="-9"/>
        </w:rPr>
        <w:t> </w:t>
      </w:r>
      <w:r>
        <w:rPr>
          <w:color w:val="B52628"/>
        </w:rPr>
        <w:t>al</w:t>
      </w:r>
      <w:r>
        <w:rPr>
          <w:color w:val="B52628"/>
          <w:spacing w:val="-10"/>
        </w:rPr>
        <w:t> </w:t>
      </w:r>
      <w:r>
        <w:rPr>
          <w:color w:val="B52628"/>
        </w:rPr>
        <w:t>sector</w:t>
      </w:r>
      <w:r>
        <w:rPr>
          <w:color w:val="B52628"/>
          <w:spacing w:val="-9"/>
        </w:rPr>
        <w:t> </w:t>
      </w:r>
      <w:r>
        <w:rPr>
          <w:color w:val="B52628"/>
        </w:rPr>
        <w:t>externo</w:t>
      </w:r>
      <w:r>
        <w:rPr>
          <w:color w:val="B52628"/>
          <w:spacing w:val="-10"/>
        </w:rPr>
        <w:t> </w:t>
      </w:r>
      <w:r>
        <w:rPr>
          <w:color w:val="B52628"/>
        </w:rPr>
        <w:t>de la economía cubana</w:t>
      </w:r>
    </w:p>
    <w:p>
      <w:pPr>
        <w:spacing w:line="320" w:lineRule="exact" w:before="1"/>
        <w:ind w:left="1474" w:right="0" w:firstLine="0"/>
        <w:jc w:val="left"/>
        <w:rPr>
          <w:rFonts w:ascii="Segoe UI Semibold"/>
          <w:b/>
          <w:i/>
          <w:sz w:val="24"/>
        </w:rPr>
      </w:pPr>
      <w:r>
        <w:rPr>
          <w:b/>
          <w:i/>
          <w:color w:val="1A4796"/>
          <w:sz w:val="24"/>
        </w:rPr>
        <w:t>39/</w:t>
      </w:r>
      <w:r>
        <w:rPr>
          <w:b/>
          <w:i/>
          <w:color w:val="1A4796"/>
          <w:spacing w:val="-5"/>
          <w:sz w:val="24"/>
        </w:rPr>
        <w:t> </w:t>
      </w:r>
      <w:r>
        <w:rPr>
          <w:rFonts w:ascii="Segoe UI Semibold"/>
          <w:b/>
          <w:i/>
          <w:color w:val="231F20"/>
          <w:sz w:val="24"/>
        </w:rPr>
        <w:t>Afectaciones</w:t>
      </w:r>
      <w:r>
        <w:rPr>
          <w:rFonts w:ascii="Segoe UI Semibold"/>
          <w:b/>
          <w:i/>
          <w:color w:val="231F20"/>
          <w:spacing w:val="-4"/>
          <w:sz w:val="24"/>
        </w:rPr>
        <w:t> </w:t>
      </w:r>
      <w:r>
        <w:rPr>
          <w:rFonts w:ascii="Segoe UI Semibold"/>
          <w:b/>
          <w:i/>
          <w:color w:val="231F20"/>
          <w:sz w:val="24"/>
        </w:rPr>
        <w:t>al</w:t>
      </w:r>
      <w:r>
        <w:rPr>
          <w:rFonts w:ascii="Segoe UI Semibold"/>
          <w:b/>
          <w:i/>
          <w:color w:val="231F20"/>
          <w:spacing w:val="-5"/>
          <w:sz w:val="24"/>
        </w:rPr>
        <w:t> </w:t>
      </w:r>
      <w:r>
        <w:rPr>
          <w:rFonts w:ascii="Segoe UI Semibold"/>
          <w:b/>
          <w:i/>
          <w:color w:val="231F20"/>
          <w:sz w:val="24"/>
        </w:rPr>
        <w:t>comercio</w:t>
      </w:r>
      <w:r>
        <w:rPr>
          <w:rFonts w:ascii="Segoe UI Semibold"/>
          <w:b/>
          <w:i/>
          <w:color w:val="231F20"/>
          <w:spacing w:val="-4"/>
          <w:sz w:val="24"/>
        </w:rPr>
        <w:t> </w:t>
      </w:r>
      <w:r>
        <w:rPr>
          <w:rFonts w:ascii="Segoe UI Semibold"/>
          <w:b/>
          <w:i/>
          <w:color w:val="231F20"/>
          <w:spacing w:val="-2"/>
          <w:sz w:val="24"/>
        </w:rPr>
        <w:t>exterior</w:t>
      </w:r>
    </w:p>
    <w:p>
      <w:pPr>
        <w:spacing w:before="0"/>
        <w:ind w:left="1474" w:right="0" w:firstLine="0"/>
        <w:jc w:val="left"/>
        <w:rPr>
          <w:rFonts w:ascii="Segoe UI Semibold"/>
          <w:b/>
          <w:i/>
          <w:sz w:val="24"/>
        </w:rPr>
      </w:pPr>
      <w:r>
        <w:rPr>
          <w:b/>
          <w:i/>
          <w:color w:val="1A4796"/>
          <w:spacing w:val="-6"/>
          <w:sz w:val="24"/>
        </w:rPr>
        <w:t>40/</w:t>
      </w:r>
      <w:r>
        <w:rPr>
          <w:b/>
          <w:i/>
          <w:color w:val="1A4796"/>
          <w:spacing w:val="-17"/>
          <w:sz w:val="24"/>
        </w:rPr>
        <w:t> </w:t>
      </w:r>
      <w:r>
        <w:rPr>
          <w:rFonts w:ascii="Segoe UI Semibold"/>
          <w:b/>
          <w:i/>
          <w:color w:val="231F20"/>
          <w:spacing w:val="-6"/>
          <w:sz w:val="24"/>
        </w:rPr>
        <w:t>Afectaciones</w:t>
      </w:r>
      <w:r>
        <w:rPr>
          <w:rFonts w:ascii="Segoe UI Semibold"/>
          <w:b/>
          <w:i/>
          <w:color w:val="231F20"/>
          <w:spacing w:val="-21"/>
          <w:sz w:val="24"/>
        </w:rPr>
        <w:t> </w:t>
      </w:r>
      <w:r>
        <w:rPr>
          <w:rFonts w:ascii="Segoe UI Semibold"/>
          <w:b/>
          <w:i/>
          <w:color w:val="231F20"/>
          <w:spacing w:val="-6"/>
          <w:sz w:val="24"/>
        </w:rPr>
        <w:t>al</w:t>
      </w:r>
      <w:r>
        <w:rPr>
          <w:rFonts w:ascii="Segoe UI Semibold"/>
          <w:b/>
          <w:i/>
          <w:color w:val="231F20"/>
          <w:spacing w:val="-21"/>
          <w:sz w:val="24"/>
        </w:rPr>
        <w:t> </w:t>
      </w:r>
      <w:r>
        <w:rPr>
          <w:rFonts w:ascii="Segoe UI Semibold"/>
          <w:b/>
          <w:i/>
          <w:color w:val="231F20"/>
          <w:spacing w:val="-6"/>
          <w:sz w:val="24"/>
        </w:rPr>
        <w:t>sector</w:t>
      </w:r>
      <w:r>
        <w:rPr>
          <w:rFonts w:ascii="Segoe UI Semibold"/>
          <w:b/>
          <w:i/>
          <w:color w:val="231F20"/>
          <w:spacing w:val="-21"/>
          <w:sz w:val="24"/>
        </w:rPr>
        <w:t> </w:t>
      </w:r>
      <w:r>
        <w:rPr>
          <w:rFonts w:ascii="Segoe UI Semibold"/>
          <w:b/>
          <w:i/>
          <w:color w:val="231F20"/>
          <w:spacing w:val="-6"/>
          <w:sz w:val="24"/>
        </w:rPr>
        <w:t>bancario</w:t>
      </w:r>
      <w:r>
        <w:rPr>
          <w:rFonts w:ascii="Segoe UI Semibold"/>
          <w:b/>
          <w:i/>
          <w:color w:val="231F20"/>
          <w:spacing w:val="-21"/>
          <w:sz w:val="24"/>
        </w:rPr>
        <w:t> </w:t>
      </w:r>
      <w:r>
        <w:rPr>
          <w:rFonts w:ascii="Segoe UI Semibold"/>
          <w:b/>
          <w:i/>
          <w:color w:val="231F20"/>
          <w:spacing w:val="-6"/>
          <w:sz w:val="24"/>
        </w:rPr>
        <w:t>y</w:t>
      </w:r>
      <w:r>
        <w:rPr>
          <w:rFonts w:ascii="Segoe UI Semibold"/>
          <w:b/>
          <w:i/>
          <w:color w:val="231F20"/>
          <w:spacing w:val="-21"/>
          <w:sz w:val="24"/>
        </w:rPr>
        <w:t> </w:t>
      </w:r>
      <w:r>
        <w:rPr>
          <w:rFonts w:ascii="Segoe UI Semibold"/>
          <w:b/>
          <w:i/>
          <w:color w:val="231F20"/>
          <w:spacing w:val="-6"/>
          <w:sz w:val="24"/>
        </w:rPr>
        <w:t>financiero</w:t>
      </w:r>
    </w:p>
    <w:p>
      <w:pPr>
        <w:pStyle w:val="ListParagraph"/>
        <w:numPr>
          <w:ilvl w:val="0"/>
          <w:numId w:val="1"/>
        </w:numPr>
        <w:tabs>
          <w:tab w:pos="1870" w:val="left" w:leader="none"/>
        </w:tabs>
        <w:spacing w:line="240" w:lineRule="auto" w:before="160" w:after="0"/>
        <w:ind w:left="1474" w:right="367" w:firstLine="0"/>
        <w:jc w:val="left"/>
        <w:rPr>
          <w:rFonts w:ascii="Segoe UI Semibold" w:hAnsi="Segoe UI Semibold"/>
          <w:b/>
          <w:i/>
          <w:sz w:val="24"/>
        </w:rPr>
      </w:pPr>
      <w:r>
        <w:rPr>
          <w:b/>
          <w:color w:val="B52628"/>
          <w:sz w:val="24"/>
        </w:rPr>
        <w:t>El bloqueo viola el Derecho </w:t>
      </w:r>
      <w:r>
        <w:rPr>
          <w:b/>
          <w:color w:val="B52628"/>
          <w:spacing w:val="-2"/>
          <w:sz w:val="24"/>
        </w:rPr>
        <w:t>Internacional.</w:t>
      </w:r>
      <w:r>
        <w:rPr>
          <w:b/>
          <w:color w:val="B52628"/>
          <w:spacing w:val="-15"/>
          <w:sz w:val="24"/>
        </w:rPr>
        <w:t> </w:t>
      </w:r>
      <w:r>
        <w:rPr>
          <w:b/>
          <w:color w:val="B52628"/>
          <w:spacing w:val="-2"/>
          <w:sz w:val="24"/>
        </w:rPr>
        <w:t>Aplicación</w:t>
      </w:r>
      <w:r>
        <w:rPr>
          <w:b/>
          <w:color w:val="B52628"/>
          <w:spacing w:val="-15"/>
          <w:sz w:val="24"/>
        </w:rPr>
        <w:t> </w:t>
      </w:r>
      <w:r>
        <w:rPr>
          <w:b/>
          <w:color w:val="B52628"/>
          <w:spacing w:val="-2"/>
          <w:sz w:val="24"/>
        </w:rPr>
        <w:t>extraterritorial </w:t>
      </w:r>
      <w:r>
        <w:rPr>
          <w:b/>
          <w:i/>
          <w:color w:val="1A4796"/>
          <w:sz w:val="24"/>
        </w:rPr>
        <w:t>44/ </w:t>
      </w:r>
      <w:r>
        <w:rPr>
          <w:rFonts w:ascii="Segoe UI Semibold" w:hAnsi="Segoe UI Semibold"/>
          <w:b/>
          <w:i/>
          <w:color w:val="231F20"/>
          <w:sz w:val="24"/>
        </w:rPr>
        <w:t>Afectaciones a entidades cubanas</w:t>
      </w:r>
      <w:r>
        <w:rPr>
          <w:rFonts w:ascii="Segoe UI Semibold" w:hAnsi="Segoe UI Semibold"/>
          <w:b/>
          <w:i/>
          <w:color w:val="231F20"/>
          <w:sz w:val="24"/>
        </w:rPr>
        <w:t> </w:t>
      </w:r>
      <w:r>
        <w:rPr>
          <w:b/>
          <w:i/>
          <w:color w:val="1A4796"/>
          <w:sz w:val="24"/>
        </w:rPr>
        <w:t>45/ </w:t>
      </w:r>
      <w:r>
        <w:rPr>
          <w:rFonts w:ascii="Segoe UI Semibold" w:hAnsi="Segoe UI Semibold"/>
          <w:b/>
          <w:i/>
          <w:color w:val="231F20"/>
          <w:sz w:val="24"/>
        </w:rPr>
        <w:t>Otras afectaciones extraterritoriales</w:t>
      </w:r>
    </w:p>
    <w:p>
      <w:pPr>
        <w:pStyle w:val="Heading4"/>
        <w:numPr>
          <w:ilvl w:val="0"/>
          <w:numId w:val="1"/>
        </w:numPr>
        <w:tabs>
          <w:tab w:pos="1870" w:val="left" w:leader="none"/>
        </w:tabs>
        <w:spacing w:line="319" w:lineRule="exact" w:before="161" w:after="0"/>
        <w:ind w:left="1870" w:right="0" w:hanging="396"/>
        <w:jc w:val="left"/>
      </w:pPr>
      <w:r>
        <w:rPr>
          <w:color w:val="B52628"/>
          <w:spacing w:val="-2"/>
        </w:rPr>
        <w:t>Rechazo</w:t>
      </w:r>
      <w:r>
        <w:rPr>
          <w:color w:val="B52628"/>
          <w:spacing w:val="-10"/>
        </w:rPr>
        <w:t> </w:t>
      </w:r>
      <w:r>
        <w:rPr>
          <w:color w:val="B52628"/>
          <w:spacing w:val="-2"/>
        </w:rPr>
        <w:t>universal</w:t>
      </w:r>
      <w:r>
        <w:rPr>
          <w:color w:val="B52628"/>
          <w:spacing w:val="-10"/>
        </w:rPr>
        <w:t> </w:t>
      </w:r>
      <w:r>
        <w:rPr>
          <w:color w:val="B52628"/>
          <w:spacing w:val="-2"/>
        </w:rPr>
        <w:t>al</w:t>
      </w:r>
      <w:r>
        <w:rPr>
          <w:color w:val="B52628"/>
          <w:spacing w:val="-10"/>
        </w:rPr>
        <w:t> </w:t>
      </w:r>
      <w:r>
        <w:rPr>
          <w:color w:val="B52628"/>
          <w:spacing w:val="-2"/>
        </w:rPr>
        <w:t>bloqueo</w:t>
      </w:r>
    </w:p>
    <w:p>
      <w:pPr>
        <w:spacing w:line="320" w:lineRule="exact" w:before="0"/>
        <w:ind w:left="1474" w:right="0" w:firstLine="0"/>
        <w:jc w:val="left"/>
        <w:rPr>
          <w:rFonts w:ascii="Segoe UI Semibold" w:hAnsi="Segoe UI Semibold"/>
          <w:b/>
          <w:i/>
          <w:sz w:val="24"/>
        </w:rPr>
      </w:pPr>
      <w:r>
        <w:rPr>
          <w:b/>
          <w:i/>
          <w:color w:val="1A4796"/>
          <w:sz w:val="24"/>
        </w:rPr>
        <w:t>48/</w:t>
      </w:r>
      <w:r>
        <w:rPr>
          <w:b/>
          <w:i/>
          <w:color w:val="1A4796"/>
          <w:spacing w:val="-4"/>
          <w:sz w:val="24"/>
        </w:rPr>
        <w:t> </w:t>
      </w:r>
      <w:r>
        <w:rPr>
          <w:rFonts w:ascii="Segoe UI Semibold" w:hAnsi="Segoe UI Semibold"/>
          <w:b/>
          <w:i/>
          <w:color w:val="231F20"/>
          <w:sz w:val="24"/>
        </w:rPr>
        <w:t>Oposición</w:t>
      </w:r>
      <w:r>
        <w:rPr>
          <w:rFonts w:ascii="Segoe UI Semibold" w:hAnsi="Segoe UI Semibold"/>
          <w:b/>
          <w:i/>
          <w:color w:val="231F20"/>
          <w:spacing w:val="-3"/>
          <w:sz w:val="24"/>
        </w:rPr>
        <w:t> </w:t>
      </w:r>
      <w:r>
        <w:rPr>
          <w:rFonts w:ascii="Segoe UI Semibold" w:hAnsi="Segoe UI Semibold"/>
          <w:b/>
          <w:i/>
          <w:color w:val="231F20"/>
          <w:sz w:val="24"/>
        </w:rPr>
        <w:t>dentro</w:t>
      </w:r>
      <w:r>
        <w:rPr>
          <w:rFonts w:ascii="Segoe UI Semibold" w:hAnsi="Segoe UI Semibold"/>
          <w:b/>
          <w:i/>
          <w:color w:val="231F20"/>
          <w:spacing w:val="-4"/>
          <w:sz w:val="24"/>
        </w:rPr>
        <w:t> </w:t>
      </w:r>
      <w:r>
        <w:rPr>
          <w:rFonts w:ascii="Segoe UI Semibold" w:hAnsi="Segoe UI Semibold"/>
          <w:b/>
          <w:i/>
          <w:color w:val="231F20"/>
          <w:sz w:val="24"/>
        </w:rPr>
        <w:t>de</w:t>
      </w:r>
      <w:r>
        <w:rPr>
          <w:rFonts w:ascii="Segoe UI Semibold" w:hAnsi="Segoe UI Semibold"/>
          <w:b/>
          <w:i/>
          <w:color w:val="231F20"/>
          <w:spacing w:val="-4"/>
          <w:sz w:val="24"/>
        </w:rPr>
        <w:t> </w:t>
      </w:r>
      <w:r>
        <w:rPr>
          <w:rFonts w:ascii="Segoe UI Semibold" w:hAnsi="Segoe UI Semibold"/>
          <w:b/>
          <w:i/>
          <w:color w:val="231F20"/>
          <w:sz w:val="24"/>
        </w:rPr>
        <w:t>los</w:t>
      </w:r>
      <w:r>
        <w:rPr>
          <w:rFonts w:ascii="Segoe UI Semibold" w:hAnsi="Segoe UI Semibold"/>
          <w:b/>
          <w:i/>
          <w:color w:val="231F20"/>
          <w:spacing w:val="-3"/>
          <w:sz w:val="24"/>
        </w:rPr>
        <w:t> </w:t>
      </w:r>
      <w:r>
        <w:rPr>
          <w:rFonts w:ascii="Segoe UI Semibold" w:hAnsi="Segoe UI Semibold"/>
          <w:b/>
          <w:i/>
          <w:color w:val="231F20"/>
          <w:sz w:val="24"/>
        </w:rPr>
        <w:t>Estados</w:t>
      </w:r>
      <w:r>
        <w:rPr>
          <w:rFonts w:ascii="Segoe UI Semibold" w:hAnsi="Segoe UI Semibold"/>
          <w:b/>
          <w:i/>
          <w:color w:val="231F20"/>
          <w:spacing w:val="-3"/>
          <w:sz w:val="24"/>
        </w:rPr>
        <w:t> </w:t>
      </w:r>
      <w:r>
        <w:rPr>
          <w:rFonts w:ascii="Segoe UI Semibold" w:hAnsi="Segoe UI Semibold"/>
          <w:b/>
          <w:i/>
          <w:color w:val="231F20"/>
          <w:spacing w:val="-2"/>
          <w:sz w:val="24"/>
        </w:rPr>
        <w:t>Unidos</w:t>
      </w:r>
    </w:p>
    <w:p>
      <w:pPr>
        <w:spacing w:before="0"/>
        <w:ind w:left="1474" w:right="0" w:firstLine="0"/>
        <w:jc w:val="left"/>
        <w:rPr>
          <w:rFonts w:ascii="Segoe UI Semibold" w:hAnsi="Segoe UI Semibold"/>
          <w:b/>
          <w:i/>
          <w:sz w:val="24"/>
        </w:rPr>
      </w:pPr>
      <w:r>
        <w:rPr>
          <w:b/>
          <w:i/>
          <w:color w:val="1A4796"/>
          <w:spacing w:val="-2"/>
          <w:sz w:val="24"/>
        </w:rPr>
        <w:t>55/</w:t>
      </w:r>
      <w:r>
        <w:rPr>
          <w:b/>
          <w:i/>
          <w:color w:val="1A4796"/>
          <w:spacing w:val="-9"/>
          <w:sz w:val="24"/>
        </w:rPr>
        <w:t> </w:t>
      </w:r>
      <w:r>
        <w:rPr>
          <w:rFonts w:ascii="Segoe UI Semibold" w:hAnsi="Segoe UI Semibold"/>
          <w:b/>
          <w:i/>
          <w:color w:val="231F20"/>
          <w:spacing w:val="-2"/>
          <w:sz w:val="24"/>
        </w:rPr>
        <w:t>Oposición</w:t>
      </w:r>
      <w:r>
        <w:rPr>
          <w:rFonts w:ascii="Segoe UI Semibold" w:hAnsi="Segoe UI Semibold"/>
          <w:b/>
          <w:i/>
          <w:color w:val="231F20"/>
          <w:spacing w:val="-7"/>
          <w:sz w:val="24"/>
        </w:rPr>
        <w:t> </w:t>
      </w:r>
      <w:r>
        <w:rPr>
          <w:rFonts w:ascii="Segoe UI Semibold" w:hAnsi="Segoe UI Semibold"/>
          <w:b/>
          <w:i/>
          <w:color w:val="231F20"/>
          <w:spacing w:val="-2"/>
          <w:sz w:val="24"/>
        </w:rPr>
        <w:t>de</w:t>
      </w:r>
      <w:r>
        <w:rPr>
          <w:rFonts w:ascii="Segoe UI Semibold" w:hAnsi="Segoe UI Semibold"/>
          <w:b/>
          <w:i/>
          <w:color w:val="231F20"/>
          <w:spacing w:val="-8"/>
          <w:sz w:val="24"/>
        </w:rPr>
        <w:t> </w:t>
      </w:r>
      <w:r>
        <w:rPr>
          <w:rFonts w:ascii="Segoe UI Semibold" w:hAnsi="Segoe UI Semibold"/>
          <w:b/>
          <w:i/>
          <w:color w:val="231F20"/>
          <w:spacing w:val="-2"/>
          <w:sz w:val="24"/>
        </w:rPr>
        <w:t>la</w:t>
      </w:r>
      <w:r>
        <w:rPr>
          <w:rFonts w:ascii="Segoe UI Semibold" w:hAnsi="Segoe UI Semibold"/>
          <w:b/>
          <w:i/>
          <w:color w:val="231F20"/>
          <w:spacing w:val="-7"/>
          <w:sz w:val="24"/>
        </w:rPr>
        <w:t> </w:t>
      </w:r>
      <w:r>
        <w:rPr>
          <w:rFonts w:ascii="Segoe UI Semibold" w:hAnsi="Segoe UI Semibold"/>
          <w:b/>
          <w:i/>
          <w:color w:val="231F20"/>
          <w:spacing w:val="-2"/>
          <w:sz w:val="24"/>
        </w:rPr>
        <w:t>comunidad</w:t>
      </w:r>
      <w:r>
        <w:rPr>
          <w:rFonts w:ascii="Segoe UI Semibold" w:hAnsi="Segoe UI Semibold"/>
          <w:b/>
          <w:i/>
          <w:color w:val="231F20"/>
          <w:spacing w:val="-7"/>
          <w:sz w:val="24"/>
        </w:rPr>
        <w:t> </w:t>
      </w:r>
      <w:r>
        <w:rPr>
          <w:rFonts w:ascii="Segoe UI Semibold" w:hAnsi="Segoe UI Semibold"/>
          <w:b/>
          <w:i/>
          <w:color w:val="231F20"/>
          <w:spacing w:val="-2"/>
          <w:sz w:val="24"/>
        </w:rPr>
        <w:t>internacional</w:t>
      </w:r>
    </w:p>
    <w:p>
      <w:pPr>
        <w:pStyle w:val="Heading4"/>
        <w:ind w:left="328"/>
      </w:pPr>
      <w:r>
        <w:rPr>
          <w:b w:val="0"/>
        </w:rPr>
        <w:br w:type="column"/>
      </w:r>
      <w:r>
        <w:rPr>
          <w:color w:val="1A4796"/>
        </w:rPr>
        <w:t>62/</w:t>
      </w:r>
      <w:r>
        <w:rPr>
          <w:color w:val="1A4796"/>
          <w:spacing w:val="-5"/>
        </w:rPr>
        <w:t> </w:t>
      </w:r>
      <w:r>
        <w:rPr>
          <w:color w:val="231F20"/>
          <w:spacing w:val="-2"/>
        </w:rPr>
        <w:t>Conclusiones</w:t>
      </w:r>
    </w:p>
    <w:p>
      <w:pPr>
        <w:spacing w:line="319" w:lineRule="exact" w:before="160"/>
        <w:ind w:left="328" w:right="0" w:firstLine="0"/>
        <w:jc w:val="left"/>
        <w:rPr>
          <w:b/>
          <w:sz w:val="24"/>
        </w:rPr>
      </w:pPr>
      <w:r>
        <w:rPr>
          <w:b/>
          <w:color w:val="1A4796"/>
          <w:sz w:val="24"/>
        </w:rPr>
        <w:t>64/</w:t>
      </w:r>
      <w:r>
        <w:rPr>
          <w:b/>
          <w:color w:val="1A4796"/>
          <w:spacing w:val="-5"/>
          <w:sz w:val="24"/>
        </w:rPr>
        <w:t> </w:t>
      </w:r>
      <w:r>
        <w:rPr>
          <w:b/>
          <w:color w:val="231F20"/>
          <w:spacing w:val="-2"/>
          <w:sz w:val="24"/>
        </w:rPr>
        <w:t>Anexos</w:t>
      </w:r>
    </w:p>
    <w:p>
      <w:pPr>
        <w:pStyle w:val="ListParagraph"/>
        <w:numPr>
          <w:ilvl w:val="0"/>
          <w:numId w:val="2"/>
        </w:numPr>
        <w:tabs>
          <w:tab w:pos="520" w:val="left" w:leader="none"/>
        </w:tabs>
        <w:spacing w:line="240" w:lineRule="auto" w:before="0" w:after="0"/>
        <w:ind w:left="328" w:right="1408" w:firstLine="0"/>
        <w:jc w:val="left"/>
        <w:rPr>
          <w:rFonts w:ascii="Segoe UI Semibold" w:hAnsi="Segoe UI Semibold"/>
          <w:b/>
          <w:i/>
          <w:sz w:val="24"/>
        </w:rPr>
      </w:pPr>
      <w:r>
        <w:rPr>
          <w:rFonts w:ascii="Segoe UI Semibold" w:hAnsi="Segoe UI Semibold"/>
          <w:b/>
          <w:i/>
          <w:color w:val="231F20"/>
          <w:sz w:val="24"/>
        </w:rPr>
        <w:t>Tabla</w:t>
      </w:r>
      <w:r>
        <w:rPr>
          <w:rFonts w:ascii="Segoe UI Semibold" w:hAnsi="Segoe UI Semibold"/>
          <w:b/>
          <w:i/>
          <w:color w:val="231F20"/>
          <w:spacing w:val="-15"/>
          <w:sz w:val="24"/>
        </w:rPr>
        <w:t> </w:t>
      </w:r>
      <w:r>
        <w:rPr>
          <w:rFonts w:ascii="Segoe UI Semibold" w:hAnsi="Segoe UI Semibold"/>
          <w:b/>
          <w:i/>
          <w:color w:val="231F20"/>
          <w:sz w:val="24"/>
        </w:rPr>
        <w:t>resumen</w:t>
      </w:r>
      <w:r>
        <w:rPr>
          <w:rFonts w:ascii="Segoe UI Semibold" w:hAnsi="Segoe UI Semibold"/>
          <w:b/>
          <w:i/>
          <w:color w:val="231F20"/>
          <w:spacing w:val="-15"/>
          <w:sz w:val="24"/>
        </w:rPr>
        <w:t> </w:t>
      </w:r>
      <w:r>
        <w:rPr>
          <w:rFonts w:ascii="Segoe UI Semibold" w:hAnsi="Segoe UI Semibold"/>
          <w:b/>
          <w:i/>
          <w:color w:val="231F20"/>
          <w:sz w:val="24"/>
        </w:rPr>
        <w:t>de</w:t>
      </w:r>
      <w:r>
        <w:rPr>
          <w:rFonts w:ascii="Segoe UI Semibold" w:hAnsi="Segoe UI Semibold"/>
          <w:b/>
          <w:i/>
          <w:color w:val="231F20"/>
          <w:spacing w:val="-15"/>
          <w:sz w:val="24"/>
        </w:rPr>
        <w:t> </w:t>
      </w:r>
      <w:r>
        <w:rPr>
          <w:rFonts w:ascii="Segoe UI Semibold" w:hAnsi="Segoe UI Semibold"/>
          <w:b/>
          <w:i/>
          <w:color w:val="231F20"/>
          <w:sz w:val="24"/>
        </w:rPr>
        <w:t>las</w:t>
      </w:r>
      <w:r>
        <w:rPr>
          <w:rFonts w:ascii="Segoe UI Semibold" w:hAnsi="Segoe UI Semibold"/>
          <w:b/>
          <w:i/>
          <w:color w:val="231F20"/>
          <w:spacing w:val="-15"/>
          <w:sz w:val="24"/>
        </w:rPr>
        <w:t> </w:t>
      </w:r>
      <w:r>
        <w:rPr>
          <w:rFonts w:ascii="Segoe UI Semibold" w:hAnsi="Segoe UI Semibold"/>
          <w:b/>
          <w:i/>
          <w:color w:val="231F20"/>
          <w:sz w:val="24"/>
        </w:rPr>
        <w:t>afectaciones</w:t>
      </w:r>
      <w:r>
        <w:rPr>
          <w:rFonts w:ascii="Segoe UI Semibold" w:hAnsi="Segoe UI Semibold"/>
          <w:b/>
          <w:i/>
          <w:color w:val="231F20"/>
          <w:sz w:val="24"/>
        </w:rPr>
        <w:t> cuantificadas por sectores, en el período marzo de 2022 a febrero de </w:t>
      </w:r>
      <w:r>
        <w:rPr>
          <w:rFonts w:ascii="Segoe UI Semibold" w:hAnsi="Segoe UI Semibold"/>
          <w:b/>
          <w:i/>
          <w:color w:val="231F20"/>
          <w:spacing w:val="-4"/>
          <w:sz w:val="24"/>
        </w:rPr>
        <w:t>2023</w:t>
      </w:r>
    </w:p>
    <w:p>
      <w:pPr>
        <w:pStyle w:val="ListParagraph"/>
        <w:numPr>
          <w:ilvl w:val="0"/>
          <w:numId w:val="2"/>
        </w:numPr>
        <w:tabs>
          <w:tab w:pos="589" w:val="left" w:leader="none"/>
        </w:tabs>
        <w:spacing w:line="240" w:lineRule="auto" w:before="159" w:after="0"/>
        <w:ind w:left="328" w:right="1266" w:firstLine="0"/>
        <w:jc w:val="left"/>
        <w:rPr>
          <w:rFonts w:ascii="Segoe UI Semibold" w:hAnsi="Segoe UI Semibold"/>
          <w:b/>
          <w:i/>
          <w:sz w:val="24"/>
        </w:rPr>
      </w:pPr>
      <w:r>
        <w:rPr>
          <w:rFonts w:ascii="Segoe UI Semibold" w:hAnsi="Segoe UI Semibold"/>
          <w:b/>
          <w:i/>
          <w:color w:val="231F20"/>
          <w:sz w:val="24"/>
        </w:rPr>
        <w:t>Comportamiento histórico de las</w:t>
      </w:r>
      <w:r>
        <w:rPr>
          <w:rFonts w:ascii="Segoe UI Semibold" w:hAnsi="Segoe UI Semibold"/>
          <w:b/>
          <w:i/>
          <w:color w:val="231F20"/>
          <w:sz w:val="24"/>
        </w:rPr>
        <w:t> votaciones de la resolución de la Asamblea General de las Naciones Unidas titulada “Necesidad de poner fin al bloqueo económico, comercial y</w:t>
      </w:r>
      <w:r>
        <w:rPr>
          <w:rFonts w:ascii="Segoe UI Semibold" w:hAnsi="Segoe UI Semibold"/>
          <w:b/>
          <w:i/>
          <w:color w:val="231F20"/>
          <w:spacing w:val="-7"/>
          <w:sz w:val="24"/>
        </w:rPr>
        <w:t> </w:t>
      </w:r>
      <w:r>
        <w:rPr>
          <w:rFonts w:ascii="Segoe UI Semibold" w:hAnsi="Segoe UI Semibold"/>
          <w:b/>
          <w:i/>
          <w:color w:val="231F20"/>
          <w:sz w:val="24"/>
        </w:rPr>
        <w:t>financiero</w:t>
      </w:r>
      <w:r>
        <w:rPr>
          <w:rFonts w:ascii="Segoe UI Semibold" w:hAnsi="Segoe UI Semibold"/>
          <w:b/>
          <w:i/>
          <w:color w:val="231F20"/>
          <w:spacing w:val="-8"/>
          <w:sz w:val="24"/>
        </w:rPr>
        <w:t> </w:t>
      </w:r>
      <w:r>
        <w:rPr>
          <w:rFonts w:ascii="Segoe UI Semibold" w:hAnsi="Segoe UI Semibold"/>
          <w:b/>
          <w:i/>
          <w:color w:val="231F20"/>
          <w:sz w:val="24"/>
        </w:rPr>
        <w:t>impuesto</w:t>
      </w:r>
      <w:r>
        <w:rPr>
          <w:rFonts w:ascii="Segoe UI Semibold" w:hAnsi="Segoe UI Semibold"/>
          <w:b/>
          <w:i/>
          <w:color w:val="231F20"/>
          <w:spacing w:val="-8"/>
          <w:sz w:val="24"/>
        </w:rPr>
        <w:t> </w:t>
      </w:r>
      <w:r>
        <w:rPr>
          <w:rFonts w:ascii="Segoe UI Semibold" w:hAnsi="Segoe UI Semibold"/>
          <w:b/>
          <w:i/>
          <w:color w:val="231F20"/>
          <w:sz w:val="24"/>
        </w:rPr>
        <w:t>por</w:t>
      </w:r>
      <w:r>
        <w:rPr>
          <w:rFonts w:ascii="Segoe UI Semibold" w:hAnsi="Segoe UI Semibold"/>
          <w:b/>
          <w:i/>
          <w:color w:val="231F20"/>
          <w:spacing w:val="-8"/>
          <w:sz w:val="24"/>
        </w:rPr>
        <w:t> </w:t>
      </w:r>
      <w:r>
        <w:rPr>
          <w:rFonts w:ascii="Segoe UI Semibold" w:hAnsi="Segoe UI Semibold"/>
          <w:b/>
          <w:i/>
          <w:color w:val="231F20"/>
          <w:sz w:val="24"/>
        </w:rPr>
        <w:t>los</w:t>
      </w:r>
      <w:r>
        <w:rPr>
          <w:rFonts w:ascii="Segoe UI Semibold" w:hAnsi="Segoe UI Semibold"/>
          <w:b/>
          <w:i/>
          <w:color w:val="231F20"/>
          <w:spacing w:val="-7"/>
          <w:sz w:val="24"/>
        </w:rPr>
        <w:t> </w:t>
      </w:r>
      <w:r>
        <w:rPr>
          <w:rFonts w:ascii="Segoe UI Semibold" w:hAnsi="Segoe UI Semibold"/>
          <w:b/>
          <w:i/>
          <w:color w:val="231F20"/>
          <w:sz w:val="24"/>
        </w:rPr>
        <w:t>Estados Unidos de América contra Cuba” </w:t>
      </w:r>
      <w:r>
        <w:rPr>
          <w:rFonts w:ascii="Segoe UI Semibold" w:hAnsi="Segoe UI Semibold"/>
          <w:b/>
          <w:i/>
          <w:color w:val="231F20"/>
          <w:spacing w:val="-2"/>
          <w:sz w:val="24"/>
        </w:rPr>
        <w:t>(1992-2022)</w:t>
      </w:r>
    </w:p>
    <w:p>
      <w:pPr>
        <w:spacing w:after="0" w:line="240" w:lineRule="auto"/>
        <w:jc w:val="left"/>
        <w:rPr>
          <w:rFonts w:ascii="Segoe UI Semibold" w:hAnsi="Segoe UI Semibold"/>
          <w:sz w:val="24"/>
        </w:rPr>
        <w:sectPr>
          <w:type w:val="continuous"/>
          <w:pgSz w:w="11910" w:h="16840"/>
          <w:pgMar w:top="1920" w:bottom="280" w:left="0" w:right="0"/>
          <w:cols w:num="2" w:equalWidth="0">
            <w:col w:w="6265" w:space="40"/>
            <w:col w:w="5605"/>
          </w:cols>
        </w:sectPr>
      </w:pPr>
    </w:p>
    <w:p>
      <w:pPr>
        <w:pStyle w:val="Heading1"/>
        <w:spacing w:line="213" w:lineRule="auto" w:before="125"/>
        <w:ind w:left="1105" w:right="5894"/>
      </w:pPr>
      <w:r>
        <w:rPr>
          <w:color w:val="1A4796"/>
          <w:w w:val="115"/>
        </w:rPr>
        <w:t>Table of </w:t>
      </w:r>
      <w:r>
        <w:rPr>
          <w:color w:val="1A4796"/>
          <w:spacing w:val="-2"/>
          <w:w w:val="115"/>
        </w:rPr>
        <w:t>Contents</w:t>
      </w:r>
    </w:p>
    <w:p>
      <w:pPr>
        <w:pStyle w:val="BodyText"/>
        <w:spacing w:before="210"/>
        <w:jc w:val="left"/>
        <w:rPr>
          <w:rFonts w:ascii="Trebuchet MS"/>
          <w:sz w:val="20"/>
        </w:rPr>
      </w:pPr>
      <w:r>
        <w:rPr/>
        <mc:AlternateContent>
          <mc:Choice Requires="wps">
            <w:drawing>
              <wp:anchor distT="0" distB="0" distL="0" distR="0" allowOverlap="1" layoutInCell="1" locked="0" behindDoc="1" simplePos="0" relativeHeight="487588864">
                <wp:simplePos x="0" y="0"/>
                <wp:positionH relativeFrom="page">
                  <wp:posOffset>720001</wp:posOffset>
                </wp:positionH>
                <wp:positionV relativeFrom="paragraph">
                  <wp:posOffset>296648</wp:posOffset>
                </wp:positionV>
                <wp:extent cx="909319" cy="26034"/>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56.693001pt;margin-top:23.358141pt;width:71.584pt;height:2.021pt;mso-position-horizontal-relative:page;mso-position-vertical-relative:paragraph;z-index:-15727616;mso-wrap-distance-left:0;mso-wrap-distance-right:0" id="docshape3" filled="true" fillcolor="#b52628" stroked="false">
                <v:fill type="solid"/>
                <w10:wrap type="topAndBottom"/>
              </v:rect>
            </w:pict>
          </mc:Fallback>
        </mc:AlternateContent>
      </w:r>
    </w:p>
    <w:p>
      <w:pPr>
        <w:pStyle w:val="BodyText"/>
        <w:spacing w:before="94"/>
        <w:jc w:val="left"/>
        <w:rPr>
          <w:rFonts w:ascii="Trebuchet MS"/>
          <w:sz w:val="20"/>
        </w:rPr>
      </w:pPr>
    </w:p>
    <w:p>
      <w:pPr>
        <w:spacing w:after="0"/>
        <w:jc w:val="left"/>
        <w:rPr>
          <w:rFonts w:ascii="Trebuchet MS"/>
          <w:sz w:val="20"/>
        </w:rPr>
        <w:sectPr>
          <w:pgSz w:w="11910" w:h="16840"/>
          <w:pgMar w:top="1360" w:bottom="280" w:left="0" w:right="0"/>
        </w:sectPr>
      </w:pPr>
    </w:p>
    <w:p>
      <w:pPr>
        <w:spacing w:before="101"/>
        <w:ind w:left="1133" w:right="0" w:firstLine="0"/>
        <w:jc w:val="left"/>
        <w:rPr>
          <w:b/>
          <w:sz w:val="24"/>
        </w:rPr>
      </w:pPr>
      <w:r>
        <w:rPr>
          <w:b/>
          <w:color w:val="1A4796"/>
          <w:sz w:val="24"/>
        </w:rPr>
        <w:t>69/</w:t>
      </w:r>
      <w:r>
        <w:rPr>
          <w:b/>
          <w:color w:val="1A4796"/>
          <w:spacing w:val="-5"/>
          <w:sz w:val="24"/>
        </w:rPr>
        <w:t> </w:t>
      </w:r>
      <w:r>
        <w:rPr>
          <w:b/>
          <w:color w:val="231F20"/>
          <w:spacing w:val="-2"/>
          <w:sz w:val="24"/>
        </w:rPr>
        <w:t>Introduction</w:t>
      </w:r>
    </w:p>
    <w:p>
      <w:pPr>
        <w:pStyle w:val="BodyText"/>
        <w:spacing w:before="1"/>
        <w:jc w:val="left"/>
        <w:rPr>
          <w:b/>
        </w:rPr>
      </w:pPr>
    </w:p>
    <w:p>
      <w:pPr>
        <w:pStyle w:val="ListParagraph"/>
        <w:numPr>
          <w:ilvl w:val="1"/>
          <w:numId w:val="2"/>
        </w:numPr>
        <w:tabs>
          <w:tab w:pos="1540" w:val="left" w:leader="none"/>
        </w:tabs>
        <w:spacing w:line="240" w:lineRule="auto" w:before="0" w:after="0"/>
        <w:ind w:left="1540" w:right="0" w:hanging="407"/>
        <w:jc w:val="left"/>
        <w:rPr>
          <w:b/>
          <w:sz w:val="24"/>
        </w:rPr>
      </w:pPr>
      <w:r>
        <w:rPr>
          <w:b/>
          <w:color w:val="B52628"/>
          <w:sz w:val="24"/>
        </w:rPr>
        <w:t>Continuity</w:t>
      </w:r>
      <w:r>
        <w:rPr>
          <w:b/>
          <w:color w:val="B52628"/>
          <w:spacing w:val="-6"/>
          <w:sz w:val="24"/>
        </w:rPr>
        <w:t> </w:t>
      </w:r>
      <w:r>
        <w:rPr>
          <w:b/>
          <w:color w:val="B52628"/>
          <w:sz w:val="24"/>
        </w:rPr>
        <w:t>and</w:t>
      </w:r>
      <w:r>
        <w:rPr>
          <w:b/>
          <w:color w:val="B52628"/>
          <w:spacing w:val="-5"/>
          <w:sz w:val="24"/>
        </w:rPr>
        <w:t> </w:t>
      </w:r>
      <w:r>
        <w:rPr>
          <w:b/>
          <w:color w:val="B52628"/>
          <w:spacing w:val="-2"/>
          <w:sz w:val="24"/>
        </w:rPr>
        <w:t>intensification</w:t>
      </w:r>
    </w:p>
    <w:p>
      <w:pPr>
        <w:spacing w:line="319" w:lineRule="exact" w:before="1"/>
        <w:ind w:left="1133" w:right="0" w:firstLine="0"/>
        <w:jc w:val="left"/>
        <w:rPr>
          <w:b/>
          <w:sz w:val="24"/>
        </w:rPr>
      </w:pPr>
      <w:r>
        <w:rPr>
          <w:b/>
          <w:color w:val="B52628"/>
          <w:sz w:val="24"/>
        </w:rPr>
        <w:t>of</w:t>
      </w:r>
      <w:r>
        <w:rPr>
          <w:b/>
          <w:color w:val="B52628"/>
          <w:spacing w:val="-3"/>
          <w:sz w:val="24"/>
        </w:rPr>
        <w:t> </w:t>
      </w:r>
      <w:r>
        <w:rPr>
          <w:b/>
          <w:color w:val="B52628"/>
          <w:sz w:val="24"/>
        </w:rPr>
        <w:t>the</w:t>
      </w:r>
      <w:r>
        <w:rPr>
          <w:b/>
          <w:color w:val="B52628"/>
          <w:spacing w:val="-1"/>
          <w:sz w:val="24"/>
        </w:rPr>
        <w:t> </w:t>
      </w:r>
      <w:r>
        <w:rPr>
          <w:b/>
          <w:color w:val="B52628"/>
          <w:sz w:val="24"/>
        </w:rPr>
        <w:t>blockade</w:t>
      </w:r>
      <w:r>
        <w:rPr>
          <w:b/>
          <w:color w:val="B52628"/>
          <w:spacing w:val="-1"/>
          <w:sz w:val="24"/>
        </w:rPr>
        <w:t> </w:t>
      </w:r>
      <w:r>
        <w:rPr>
          <w:b/>
          <w:color w:val="B52628"/>
          <w:spacing w:val="-2"/>
          <w:sz w:val="24"/>
        </w:rPr>
        <w:t>policy</w:t>
      </w:r>
    </w:p>
    <w:p>
      <w:pPr>
        <w:spacing w:before="0"/>
        <w:ind w:left="1570" w:right="543" w:hanging="437"/>
        <w:jc w:val="left"/>
        <w:rPr>
          <w:rFonts w:ascii="Segoe UI Semibold"/>
          <w:b/>
          <w:i/>
          <w:sz w:val="24"/>
        </w:rPr>
      </w:pPr>
      <w:r>
        <w:rPr>
          <w:b/>
          <w:i/>
          <w:color w:val="1A4796"/>
          <w:sz w:val="24"/>
        </w:rPr>
        <w:t>72/ </w:t>
      </w:r>
      <w:r>
        <w:rPr>
          <w:rFonts w:ascii="Segoe UI Semibold"/>
          <w:b/>
          <w:i/>
          <w:color w:val="231F20"/>
          <w:sz w:val="24"/>
        </w:rPr>
        <w:t>Economic, Commercial and</w:t>
      </w:r>
      <w:r>
        <w:rPr>
          <w:rFonts w:ascii="Segoe UI Semibold"/>
          <w:b/>
          <w:i/>
          <w:color w:val="231F20"/>
          <w:sz w:val="24"/>
        </w:rPr>
        <w:t> Financial</w:t>
      </w:r>
      <w:r>
        <w:rPr>
          <w:rFonts w:ascii="Segoe UI Semibold"/>
          <w:b/>
          <w:i/>
          <w:color w:val="231F20"/>
          <w:spacing w:val="-12"/>
          <w:sz w:val="24"/>
        </w:rPr>
        <w:t> </w:t>
      </w:r>
      <w:r>
        <w:rPr>
          <w:rFonts w:ascii="Segoe UI Semibold"/>
          <w:b/>
          <w:i/>
          <w:color w:val="231F20"/>
          <w:sz w:val="24"/>
        </w:rPr>
        <w:t>Blockade</w:t>
      </w:r>
      <w:r>
        <w:rPr>
          <w:rFonts w:ascii="Segoe UI Semibold"/>
          <w:b/>
          <w:i/>
          <w:color w:val="231F20"/>
          <w:spacing w:val="-13"/>
          <w:sz w:val="24"/>
        </w:rPr>
        <w:t> </w:t>
      </w:r>
      <w:r>
        <w:rPr>
          <w:rFonts w:ascii="Segoe UI Semibold"/>
          <w:b/>
          <w:i/>
          <w:color w:val="231F20"/>
          <w:sz w:val="24"/>
        </w:rPr>
        <w:t>laws</w:t>
      </w:r>
      <w:r>
        <w:rPr>
          <w:rFonts w:ascii="Segoe UI Semibold"/>
          <w:b/>
          <w:i/>
          <w:color w:val="231F20"/>
          <w:spacing w:val="-12"/>
          <w:sz w:val="24"/>
        </w:rPr>
        <w:t> </w:t>
      </w:r>
      <w:r>
        <w:rPr>
          <w:rFonts w:ascii="Segoe UI Semibold"/>
          <w:b/>
          <w:i/>
          <w:color w:val="231F20"/>
          <w:sz w:val="24"/>
        </w:rPr>
        <w:t>in</w:t>
      </w:r>
      <w:r>
        <w:rPr>
          <w:rFonts w:ascii="Segoe UI Semibold"/>
          <w:b/>
          <w:i/>
          <w:color w:val="231F20"/>
          <w:spacing w:val="-12"/>
          <w:sz w:val="24"/>
        </w:rPr>
        <w:t> </w:t>
      </w:r>
      <w:r>
        <w:rPr>
          <w:rFonts w:ascii="Segoe UI Semibold"/>
          <w:b/>
          <w:i/>
          <w:color w:val="231F20"/>
          <w:sz w:val="24"/>
        </w:rPr>
        <w:t>force</w:t>
      </w:r>
    </w:p>
    <w:p>
      <w:pPr>
        <w:spacing w:before="0"/>
        <w:ind w:left="1570" w:right="489" w:hanging="437"/>
        <w:jc w:val="left"/>
        <w:rPr>
          <w:rFonts w:ascii="Segoe UI Semibold"/>
          <w:b/>
          <w:i/>
          <w:sz w:val="24"/>
        </w:rPr>
      </w:pPr>
      <w:r>
        <w:rPr>
          <w:b/>
          <w:i/>
          <w:color w:val="1A4796"/>
          <w:sz w:val="24"/>
        </w:rPr>
        <w:t>73/ </w:t>
      </w:r>
      <w:r>
        <w:rPr>
          <w:rFonts w:ascii="Segoe UI Semibold"/>
          <w:b/>
          <w:i/>
          <w:color w:val="231F20"/>
          <w:sz w:val="24"/>
        </w:rPr>
        <w:t>Main blockade measures applied</w:t>
      </w:r>
      <w:r>
        <w:rPr>
          <w:rFonts w:ascii="Segoe UI Semibold"/>
          <w:b/>
          <w:i/>
          <w:color w:val="231F20"/>
          <w:sz w:val="24"/>
        </w:rPr>
        <w:t> from</w:t>
      </w:r>
      <w:r>
        <w:rPr>
          <w:rFonts w:ascii="Segoe UI Semibold"/>
          <w:b/>
          <w:i/>
          <w:color w:val="231F20"/>
          <w:spacing w:val="-8"/>
          <w:sz w:val="24"/>
        </w:rPr>
        <w:t> </w:t>
      </w:r>
      <w:r>
        <w:rPr>
          <w:rFonts w:ascii="Segoe UI Semibold"/>
          <w:b/>
          <w:i/>
          <w:color w:val="231F20"/>
          <w:sz w:val="24"/>
        </w:rPr>
        <w:t>March</w:t>
      </w:r>
      <w:r>
        <w:rPr>
          <w:rFonts w:ascii="Segoe UI Semibold"/>
          <w:b/>
          <w:i/>
          <w:color w:val="231F20"/>
          <w:spacing w:val="-7"/>
          <w:sz w:val="24"/>
        </w:rPr>
        <w:t> </w:t>
      </w:r>
      <w:r>
        <w:rPr>
          <w:rFonts w:ascii="Segoe UI Semibold"/>
          <w:b/>
          <w:i/>
          <w:color w:val="231F20"/>
          <w:sz w:val="24"/>
        </w:rPr>
        <w:t>2022</w:t>
      </w:r>
      <w:r>
        <w:rPr>
          <w:rFonts w:ascii="Segoe UI Semibold"/>
          <w:b/>
          <w:i/>
          <w:color w:val="231F20"/>
          <w:spacing w:val="-7"/>
          <w:sz w:val="24"/>
        </w:rPr>
        <w:t> </w:t>
      </w:r>
      <w:r>
        <w:rPr>
          <w:rFonts w:ascii="Segoe UI Semibold"/>
          <w:b/>
          <w:i/>
          <w:color w:val="231F20"/>
          <w:sz w:val="24"/>
        </w:rPr>
        <w:t>to</w:t>
      </w:r>
      <w:r>
        <w:rPr>
          <w:rFonts w:ascii="Segoe UI Semibold"/>
          <w:b/>
          <w:i/>
          <w:color w:val="231F20"/>
          <w:spacing w:val="-8"/>
          <w:sz w:val="24"/>
        </w:rPr>
        <w:t> </w:t>
      </w:r>
      <w:r>
        <w:rPr>
          <w:rFonts w:ascii="Segoe UI Semibold"/>
          <w:b/>
          <w:i/>
          <w:color w:val="231F20"/>
          <w:sz w:val="24"/>
        </w:rPr>
        <w:t>February</w:t>
      </w:r>
      <w:r>
        <w:rPr>
          <w:rFonts w:ascii="Segoe UI Semibold"/>
          <w:b/>
          <w:i/>
          <w:color w:val="231F20"/>
          <w:spacing w:val="-7"/>
          <w:sz w:val="24"/>
        </w:rPr>
        <w:t> </w:t>
      </w:r>
      <w:r>
        <w:rPr>
          <w:rFonts w:ascii="Segoe UI Semibold"/>
          <w:b/>
          <w:i/>
          <w:color w:val="231F20"/>
          <w:sz w:val="24"/>
        </w:rPr>
        <w:t>2023</w:t>
      </w:r>
    </w:p>
    <w:p>
      <w:pPr>
        <w:spacing w:before="0"/>
        <w:ind w:left="1598" w:right="489" w:hanging="465"/>
        <w:jc w:val="left"/>
        <w:rPr>
          <w:rFonts w:ascii="Segoe UI Semibold"/>
          <w:b/>
          <w:i/>
          <w:sz w:val="24"/>
        </w:rPr>
      </w:pPr>
      <w:r>
        <w:rPr>
          <w:b/>
          <w:i/>
          <w:color w:val="1A4796"/>
          <w:sz w:val="24"/>
        </w:rPr>
        <w:t>74/</w:t>
      </w:r>
      <w:r>
        <w:rPr>
          <w:b/>
          <w:i/>
          <w:color w:val="1A4796"/>
          <w:spacing w:val="-10"/>
          <w:sz w:val="24"/>
        </w:rPr>
        <w:t> </w:t>
      </w:r>
      <w:r>
        <w:rPr>
          <w:rFonts w:ascii="Segoe UI Semibold"/>
          <w:b/>
          <w:i/>
          <w:color w:val="231F20"/>
          <w:sz w:val="24"/>
        </w:rPr>
        <w:t>Application</w:t>
      </w:r>
      <w:r>
        <w:rPr>
          <w:rFonts w:ascii="Segoe UI Semibold"/>
          <w:b/>
          <w:i/>
          <w:color w:val="231F20"/>
          <w:spacing w:val="-9"/>
          <w:sz w:val="24"/>
        </w:rPr>
        <w:t> </w:t>
      </w:r>
      <w:r>
        <w:rPr>
          <w:rFonts w:ascii="Segoe UI Semibold"/>
          <w:b/>
          <w:i/>
          <w:color w:val="231F20"/>
          <w:sz w:val="24"/>
        </w:rPr>
        <w:t>of</w:t>
      </w:r>
      <w:r>
        <w:rPr>
          <w:rFonts w:ascii="Segoe UI Semibold"/>
          <w:b/>
          <w:i/>
          <w:color w:val="231F20"/>
          <w:spacing w:val="-9"/>
          <w:sz w:val="24"/>
        </w:rPr>
        <w:t> </w:t>
      </w:r>
      <w:r>
        <w:rPr>
          <w:rFonts w:ascii="Segoe UI Semibold"/>
          <w:b/>
          <w:i/>
          <w:color w:val="231F20"/>
          <w:sz w:val="24"/>
        </w:rPr>
        <w:t>the</w:t>
      </w:r>
      <w:r>
        <w:rPr>
          <w:rFonts w:ascii="Segoe UI Semibold"/>
          <w:b/>
          <w:i/>
          <w:color w:val="231F20"/>
          <w:spacing w:val="-10"/>
          <w:sz w:val="24"/>
        </w:rPr>
        <w:t> </w:t>
      </w:r>
      <w:r>
        <w:rPr>
          <w:rFonts w:ascii="Segoe UI Semibold"/>
          <w:b/>
          <w:i/>
          <w:color w:val="231F20"/>
          <w:sz w:val="24"/>
        </w:rPr>
        <w:t>Helms-Burton</w:t>
      </w:r>
      <w:r>
        <w:rPr>
          <w:rFonts w:ascii="Segoe UI Semibold"/>
          <w:b/>
          <w:i/>
          <w:color w:val="231F20"/>
          <w:sz w:val="24"/>
        </w:rPr>
        <w:t> Act. Lawsuits filed</w:t>
      </w:r>
    </w:p>
    <w:p>
      <w:pPr>
        <w:spacing w:before="0"/>
        <w:ind w:left="1570" w:right="254" w:hanging="437"/>
        <w:jc w:val="left"/>
        <w:rPr>
          <w:rFonts w:ascii="Segoe UI Semibold" w:hAnsi="Segoe UI Semibold"/>
          <w:b/>
          <w:i/>
          <w:sz w:val="24"/>
        </w:rPr>
      </w:pPr>
      <w:r>
        <w:rPr>
          <w:b/>
          <w:i/>
          <w:color w:val="1A4796"/>
          <w:sz w:val="24"/>
        </w:rPr>
        <w:t>75/ </w:t>
      </w:r>
      <w:r>
        <w:rPr>
          <w:rFonts w:ascii="Segoe UI Semibold" w:hAnsi="Segoe UI Semibold"/>
          <w:b/>
          <w:i/>
          <w:color w:val="231F20"/>
          <w:sz w:val="24"/>
        </w:rPr>
        <w:t>Implications of Cuba’s inclusion on</w:t>
      </w:r>
      <w:r>
        <w:rPr>
          <w:rFonts w:ascii="Segoe UI Semibold" w:hAnsi="Segoe UI Semibold"/>
          <w:b/>
          <w:i/>
          <w:color w:val="231F20"/>
          <w:sz w:val="24"/>
        </w:rPr>
        <w:t> the</w:t>
      </w:r>
      <w:r>
        <w:rPr>
          <w:rFonts w:ascii="Segoe UI Semibold" w:hAnsi="Segoe UI Semibold"/>
          <w:b/>
          <w:i/>
          <w:color w:val="231F20"/>
          <w:spacing w:val="-10"/>
          <w:sz w:val="24"/>
        </w:rPr>
        <w:t> </w:t>
      </w:r>
      <w:r>
        <w:rPr>
          <w:rFonts w:ascii="Segoe UI Semibold" w:hAnsi="Segoe UI Semibold"/>
          <w:b/>
          <w:i/>
          <w:color w:val="231F20"/>
          <w:sz w:val="24"/>
        </w:rPr>
        <w:t>list</w:t>
      </w:r>
      <w:r>
        <w:rPr>
          <w:rFonts w:ascii="Segoe UI Semibold" w:hAnsi="Segoe UI Semibold"/>
          <w:b/>
          <w:i/>
          <w:color w:val="231F20"/>
          <w:spacing w:val="-9"/>
          <w:sz w:val="24"/>
        </w:rPr>
        <w:t> </w:t>
      </w:r>
      <w:r>
        <w:rPr>
          <w:rFonts w:ascii="Segoe UI Semibold" w:hAnsi="Segoe UI Semibold"/>
          <w:b/>
          <w:i/>
          <w:color w:val="231F20"/>
          <w:sz w:val="24"/>
        </w:rPr>
        <w:t>of</w:t>
      </w:r>
      <w:r>
        <w:rPr>
          <w:rFonts w:ascii="Segoe UI Semibold" w:hAnsi="Segoe UI Semibold"/>
          <w:b/>
          <w:i/>
          <w:color w:val="231F20"/>
          <w:spacing w:val="-9"/>
          <w:sz w:val="24"/>
        </w:rPr>
        <w:t> </w:t>
      </w:r>
      <w:r>
        <w:rPr>
          <w:rFonts w:ascii="Segoe UI Semibold" w:hAnsi="Segoe UI Semibold"/>
          <w:b/>
          <w:i/>
          <w:color w:val="231F20"/>
          <w:sz w:val="24"/>
        </w:rPr>
        <w:t>state</w:t>
      </w:r>
      <w:r>
        <w:rPr>
          <w:rFonts w:ascii="Segoe UI Semibold" w:hAnsi="Segoe UI Semibold"/>
          <w:b/>
          <w:i/>
          <w:color w:val="231F20"/>
          <w:spacing w:val="-10"/>
          <w:sz w:val="24"/>
        </w:rPr>
        <w:t> </w:t>
      </w:r>
      <w:r>
        <w:rPr>
          <w:rFonts w:ascii="Segoe UI Semibold" w:hAnsi="Segoe UI Semibold"/>
          <w:b/>
          <w:i/>
          <w:color w:val="231F20"/>
          <w:sz w:val="24"/>
        </w:rPr>
        <w:t>sponsors</w:t>
      </w:r>
      <w:r>
        <w:rPr>
          <w:rFonts w:ascii="Segoe UI Semibold" w:hAnsi="Segoe UI Semibold"/>
          <w:b/>
          <w:i/>
          <w:color w:val="231F20"/>
          <w:spacing w:val="-9"/>
          <w:sz w:val="24"/>
        </w:rPr>
        <w:t> </w:t>
      </w:r>
      <w:r>
        <w:rPr>
          <w:rFonts w:ascii="Segoe UI Semibold" w:hAnsi="Segoe UI Semibold"/>
          <w:b/>
          <w:i/>
          <w:color w:val="231F20"/>
          <w:sz w:val="24"/>
        </w:rPr>
        <w:t>of</w:t>
      </w:r>
      <w:r>
        <w:rPr>
          <w:rFonts w:ascii="Segoe UI Semibold" w:hAnsi="Segoe UI Semibold"/>
          <w:b/>
          <w:i/>
          <w:color w:val="231F20"/>
          <w:spacing w:val="-9"/>
          <w:sz w:val="24"/>
        </w:rPr>
        <w:t> </w:t>
      </w:r>
      <w:r>
        <w:rPr>
          <w:rFonts w:ascii="Segoe UI Semibold" w:hAnsi="Segoe UI Semibold"/>
          <w:b/>
          <w:i/>
          <w:color w:val="231F20"/>
          <w:sz w:val="24"/>
        </w:rPr>
        <w:t>terrorism</w:t>
      </w:r>
    </w:p>
    <w:p>
      <w:pPr>
        <w:spacing w:before="0"/>
        <w:ind w:left="1570" w:right="0" w:hanging="437"/>
        <w:jc w:val="left"/>
        <w:rPr>
          <w:rFonts w:ascii="Segoe UI Semibold"/>
          <w:b/>
          <w:i/>
          <w:sz w:val="24"/>
        </w:rPr>
      </w:pPr>
      <w:r>
        <w:rPr>
          <w:b/>
          <w:i/>
          <w:color w:val="1A4796"/>
          <w:sz w:val="24"/>
        </w:rPr>
        <w:t>77/</w:t>
      </w:r>
      <w:r>
        <w:rPr>
          <w:b/>
          <w:i/>
          <w:color w:val="1A4796"/>
          <w:spacing w:val="-2"/>
          <w:sz w:val="24"/>
        </w:rPr>
        <w:t> </w:t>
      </w:r>
      <w:r>
        <w:rPr>
          <w:rFonts w:ascii="Segoe UI Semibold"/>
          <w:b/>
          <w:i/>
          <w:color w:val="231F20"/>
          <w:sz w:val="24"/>
        </w:rPr>
        <w:t>Prerogatives</w:t>
      </w:r>
      <w:r>
        <w:rPr>
          <w:rFonts w:ascii="Segoe UI Semibold"/>
          <w:b/>
          <w:i/>
          <w:color w:val="231F20"/>
          <w:spacing w:val="-9"/>
          <w:sz w:val="24"/>
        </w:rPr>
        <w:t> </w:t>
      </w:r>
      <w:r>
        <w:rPr>
          <w:rFonts w:ascii="Segoe UI Semibold"/>
          <w:b/>
          <w:i/>
          <w:color w:val="231F20"/>
          <w:sz w:val="24"/>
        </w:rPr>
        <w:t>of</w:t>
      </w:r>
      <w:r>
        <w:rPr>
          <w:rFonts w:ascii="Segoe UI Semibold"/>
          <w:b/>
          <w:i/>
          <w:color w:val="231F20"/>
          <w:spacing w:val="-9"/>
          <w:sz w:val="24"/>
        </w:rPr>
        <w:t> </w:t>
      </w:r>
      <w:r>
        <w:rPr>
          <w:rFonts w:ascii="Segoe UI Semibold"/>
          <w:b/>
          <w:i/>
          <w:color w:val="231F20"/>
          <w:sz w:val="24"/>
        </w:rPr>
        <w:t>the</w:t>
      </w:r>
      <w:r>
        <w:rPr>
          <w:rFonts w:ascii="Segoe UI Semibold"/>
          <w:b/>
          <w:i/>
          <w:color w:val="231F20"/>
          <w:spacing w:val="-9"/>
          <w:sz w:val="24"/>
        </w:rPr>
        <w:t> </w:t>
      </w:r>
      <w:r>
        <w:rPr>
          <w:rFonts w:ascii="Segoe UI Semibold"/>
          <w:b/>
          <w:i/>
          <w:color w:val="231F20"/>
          <w:sz w:val="24"/>
        </w:rPr>
        <w:t>U.S.</w:t>
      </w:r>
      <w:r>
        <w:rPr>
          <w:rFonts w:ascii="Segoe UI Semibold"/>
          <w:b/>
          <w:i/>
          <w:color w:val="231F20"/>
          <w:spacing w:val="-9"/>
          <w:sz w:val="24"/>
        </w:rPr>
        <w:t> </w:t>
      </w:r>
      <w:r>
        <w:rPr>
          <w:rFonts w:ascii="Segoe UI Semibold"/>
          <w:b/>
          <w:i/>
          <w:color w:val="231F20"/>
          <w:sz w:val="24"/>
        </w:rPr>
        <w:t>president</w:t>
      </w:r>
      <w:r>
        <w:rPr>
          <w:rFonts w:ascii="Segoe UI Semibold"/>
          <w:b/>
          <w:i/>
          <w:color w:val="231F20"/>
          <w:spacing w:val="-9"/>
          <w:sz w:val="24"/>
        </w:rPr>
        <w:t> </w:t>
      </w:r>
      <w:r>
        <w:rPr>
          <w:rFonts w:ascii="Segoe UI Semibold"/>
          <w:b/>
          <w:i/>
          <w:color w:val="231F20"/>
          <w:sz w:val="24"/>
        </w:rPr>
        <w:t>to</w:t>
      </w:r>
      <w:r>
        <w:rPr>
          <w:rFonts w:ascii="Segoe UI Semibold"/>
          <w:b/>
          <w:i/>
          <w:color w:val="231F20"/>
          <w:sz w:val="24"/>
        </w:rPr>
        <w:t> </w:t>
      </w:r>
      <w:r>
        <w:rPr>
          <w:rFonts w:ascii="Segoe UI Semibold"/>
          <w:b/>
          <w:i/>
          <w:color w:val="231F20"/>
          <w:spacing w:val="-6"/>
          <w:sz w:val="24"/>
        </w:rPr>
        <w:t>modify the application of the blockade</w:t>
      </w:r>
    </w:p>
    <w:p>
      <w:pPr>
        <w:pStyle w:val="Heading4"/>
        <w:numPr>
          <w:ilvl w:val="1"/>
          <w:numId w:val="2"/>
        </w:numPr>
        <w:tabs>
          <w:tab w:pos="1540" w:val="left" w:leader="none"/>
        </w:tabs>
        <w:spacing w:line="240" w:lineRule="auto" w:before="158" w:after="0"/>
        <w:ind w:left="1133" w:right="786" w:firstLine="0"/>
        <w:jc w:val="left"/>
      </w:pPr>
      <w:r>
        <w:rPr>
          <w:color w:val="B52628"/>
        </w:rPr>
        <w:t>The</w:t>
      </w:r>
      <w:r>
        <w:rPr>
          <w:color w:val="B52628"/>
          <w:spacing w:val="-9"/>
        </w:rPr>
        <w:t> </w:t>
      </w:r>
      <w:r>
        <w:rPr>
          <w:color w:val="B52628"/>
        </w:rPr>
        <w:t>blockade</w:t>
      </w:r>
      <w:r>
        <w:rPr>
          <w:color w:val="B52628"/>
          <w:spacing w:val="-9"/>
        </w:rPr>
        <w:t> </w:t>
      </w:r>
      <w:r>
        <w:rPr>
          <w:color w:val="B52628"/>
        </w:rPr>
        <w:t>violates</w:t>
      </w:r>
      <w:r>
        <w:rPr>
          <w:color w:val="B52628"/>
          <w:spacing w:val="-9"/>
        </w:rPr>
        <w:t> </w:t>
      </w:r>
      <w:r>
        <w:rPr>
          <w:color w:val="B52628"/>
        </w:rPr>
        <w:t>the</w:t>
      </w:r>
      <w:r>
        <w:rPr>
          <w:color w:val="B52628"/>
          <w:spacing w:val="-9"/>
        </w:rPr>
        <w:t> </w:t>
      </w:r>
      <w:r>
        <w:rPr>
          <w:color w:val="B52628"/>
        </w:rPr>
        <w:t>rights of the Cuban people</w:t>
      </w:r>
    </w:p>
    <w:p>
      <w:pPr>
        <w:spacing w:before="1"/>
        <w:ind w:left="1570" w:right="543" w:hanging="437"/>
        <w:jc w:val="left"/>
        <w:rPr>
          <w:rFonts w:ascii="Segoe UI Semibold"/>
          <w:b/>
          <w:i/>
          <w:sz w:val="24"/>
        </w:rPr>
      </w:pPr>
      <w:r>
        <w:rPr>
          <w:b/>
          <w:i/>
          <w:color w:val="1A4796"/>
          <w:sz w:val="24"/>
        </w:rPr>
        <w:t>79/</w:t>
      </w:r>
      <w:r>
        <w:rPr>
          <w:b/>
          <w:i/>
          <w:color w:val="1A4796"/>
          <w:spacing w:val="-9"/>
          <w:sz w:val="24"/>
        </w:rPr>
        <w:t> </w:t>
      </w:r>
      <w:r>
        <w:rPr>
          <w:rFonts w:ascii="Segoe UI Semibold"/>
          <w:b/>
          <w:i/>
          <w:color w:val="231F20"/>
          <w:sz w:val="24"/>
        </w:rPr>
        <w:t>Effects</w:t>
      </w:r>
      <w:r>
        <w:rPr>
          <w:rFonts w:ascii="Segoe UI Semibold"/>
          <w:b/>
          <w:i/>
          <w:color w:val="231F20"/>
          <w:spacing w:val="-8"/>
          <w:sz w:val="24"/>
        </w:rPr>
        <w:t> </w:t>
      </w:r>
      <w:r>
        <w:rPr>
          <w:rFonts w:ascii="Segoe UI Semibold"/>
          <w:b/>
          <w:i/>
          <w:color w:val="231F20"/>
          <w:sz w:val="24"/>
        </w:rPr>
        <w:t>on</w:t>
      </w:r>
      <w:r>
        <w:rPr>
          <w:rFonts w:ascii="Segoe UI Semibold"/>
          <w:b/>
          <w:i/>
          <w:color w:val="231F20"/>
          <w:spacing w:val="-8"/>
          <w:sz w:val="24"/>
        </w:rPr>
        <w:t> </w:t>
      </w:r>
      <w:r>
        <w:rPr>
          <w:rFonts w:ascii="Segoe UI Semibold"/>
          <w:b/>
          <w:i/>
          <w:color w:val="231F20"/>
          <w:sz w:val="24"/>
        </w:rPr>
        <w:t>the</w:t>
      </w:r>
      <w:r>
        <w:rPr>
          <w:rFonts w:ascii="Segoe UI Semibold"/>
          <w:b/>
          <w:i/>
          <w:color w:val="231F20"/>
          <w:spacing w:val="-9"/>
          <w:sz w:val="24"/>
        </w:rPr>
        <w:t> </w:t>
      </w:r>
      <w:r>
        <w:rPr>
          <w:rFonts w:ascii="Segoe UI Semibold"/>
          <w:b/>
          <w:i/>
          <w:color w:val="231F20"/>
          <w:sz w:val="24"/>
        </w:rPr>
        <w:t>most</w:t>
      </w:r>
      <w:r>
        <w:rPr>
          <w:rFonts w:ascii="Segoe UI Semibold"/>
          <w:b/>
          <w:i/>
          <w:color w:val="231F20"/>
          <w:spacing w:val="-8"/>
          <w:sz w:val="24"/>
        </w:rPr>
        <w:t> </w:t>
      </w:r>
      <w:r>
        <w:rPr>
          <w:rFonts w:ascii="Segoe UI Semibold"/>
          <w:b/>
          <w:i/>
          <w:color w:val="231F20"/>
          <w:sz w:val="24"/>
        </w:rPr>
        <w:t>vulnerable</w:t>
      </w:r>
      <w:r>
        <w:rPr>
          <w:rFonts w:ascii="Segoe UI Semibold"/>
          <w:b/>
          <w:i/>
          <w:color w:val="231F20"/>
          <w:sz w:val="24"/>
        </w:rPr>
        <w:t> social sectors</w:t>
      </w:r>
    </w:p>
    <w:p>
      <w:pPr>
        <w:spacing w:line="320" w:lineRule="exact" w:before="0"/>
        <w:ind w:left="1133" w:right="0" w:firstLine="0"/>
        <w:jc w:val="left"/>
        <w:rPr>
          <w:rFonts w:ascii="Segoe UI Semibold"/>
          <w:b/>
          <w:i/>
          <w:sz w:val="24"/>
        </w:rPr>
      </w:pPr>
      <w:r>
        <w:rPr>
          <w:b/>
          <w:i/>
          <w:color w:val="1A4796"/>
          <w:sz w:val="24"/>
        </w:rPr>
        <w:t>88/</w:t>
      </w:r>
      <w:r>
        <w:rPr>
          <w:b/>
          <w:i/>
          <w:color w:val="1A4796"/>
          <w:spacing w:val="-3"/>
          <w:sz w:val="24"/>
        </w:rPr>
        <w:t> </w:t>
      </w:r>
      <w:r>
        <w:rPr>
          <w:rFonts w:ascii="Segoe UI Semibold"/>
          <w:b/>
          <w:i/>
          <w:color w:val="231F20"/>
          <w:sz w:val="24"/>
        </w:rPr>
        <w:t>Impacts</w:t>
      </w:r>
      <w:r>
        <w:rPr>
          <w:rFonts w:ascii="Segoe UI Semibold"/>
          <w:b/>
          <w:i/>
          <w:color w:val="231F20"/>
          <w:spacing w:val="-2"/>
          <w:sz w:val="24"/>
        </w:rPr>
        <w:t> </w:t>
      </w:r>
      <w:r>
        <w:rPr>
          <w:rFonts w:ascii="Segoe UI Semibold"/>
          <w:b/>
          <w:i/>
          <w:color w:val="231F20"/>
          <w:sz w:val="24"/>
        </w:rPr>
        <w:t>on</w:t>
      </w:r>
      <w:r>
        <w:rPr>
          <w:rFonts w:ascii="Segoe UI Semibold"/>
          <w:b/>
          <w:i/>
          <w:color w:val="231F20"/>
          <w:spacing w:val="-2"/>
          <w:sz w:val="24"/>
        </w:rPr>
        <w:t> </w:t>
      </w:r>
      <w:r>
        <w:rPr>
          <w:rFonts w:ascii="Segoe UI Semibold"/>
          <w:b/>
          <w:i/>
          <w:color w:val="231F20"/>
          <w:sz w:val="24"/>
        </w:rPr>
        <w:t>economic</w:t>
      </w:r>
      <w:r>
        <w:rPr>
          <w:rFonts w:ascii="Segoe UI Semibold"/>
          <w:b/>
          <w:i/>
          <w:color w:val="231F20"/>
          <w:spacing w:val="-2"/>
          <w:sz w:val="24"/>
        </w:rPr>
        <w:t> development</w:t>
      </w:r>
    </w:p>
    <w:p>
      <w:pPr>
        <w:spacing w:before="0"/>
        <w:ind w:left="1133" w:right="0" w:firstLine="0"/>
        <w:jc w:val="left"/>
        <w:rPr>
          <w:rFonts w:ascii="Segoe UI Semibold"/>
          <w:b/>
          <w:i/>
          <w:sz w:val="24"/>
        </w:rPr>
      </w:pPr>
      <w:r>
        <w:rPr>
          <w:b/>
          <w:i/>
          <w:color w:val="1A4796"/>
          <w:sz w:val="24"/>
        </w:rPr>
        <w:t>95/</w:t>
      </w:r>
      <w:r>
        <w:rPr>
          <w:b/>
          <w:i/>
          <w:color w:val="1A4796"/>
          <w:spacing w:val="-5"/>
          <w:sz w:val="24"/>
        </w:rPr>
        <w:t> </w:t>
      </w:r>
      <w:r>
        <w:rPr>
          <w:rFonts w:ascii="Segoe UI Semibold"/>
          <w:b/>
          <w:i/>
          <w:color w:val="231F20"/>
          <w:sz w:val="24"/>
        </w:rPr>
        <w:t>Unquantifiable</w:t>
      </w:r>
      <w:r>
        <w:rPr>
          <w:rFonts w:ascii="Segoe UI Semibold"/>
          <w:b/>
          <w:i/>
          <w:color w:val="231F20"/>
          <w:spacing w:val="-5"/>
          <w:sz w:val="24"/>
        </w:rPr>
        <w:t> </w:t>
      </w:r>
      <w:r>
        <w:rPr>
          <w:rFonts w:ascii="Segoe UI Semibold"/>
          <w:b/>
          <w:i/>
          <w:color w:val="231F20"/>
          <w:sz w:val="24"/>
        </w:rPr>
        <w:t>harm</w:t>
      </w:r>
      <w:r>
        <w:rPr>
          <w:rFonts w:ascii="Segoe UI Semibold"/>
          <w:b/>
          <w:i/>
          <w:color w:val="231F20"/>
          <w:spacing w:val="-5"/>
          <w:sz w:val="24"/>
        </w:rPr>
        <w:t> </w:t>
      </w:r>
      <w:r>
        <w:rPr>
          <w:rFonts w:ascii="Segoe UI Semibold"/>
          <w:b/>
          <w:i/>
          <w:color w:val="231F20"/>
          <w:sz w:val="24"/>
        </w:rPr>
        <w:t>to</w:t>
      </w:r>
      <w:r>
        <w:rPr>
          <w:rFonts w:ascii="Segoe UI Semibold"/>
          <w:b/>
          <w:i/>
          <w:color w:val="231F20"/>
          <w:spacing w:val="-5"/>
          <w:sz w:val="24"/>
        </w:rPr>
        <w:t> </w:t>
      </w:r>
      <w:r>
        <w:rPr>
          <w:rFonts w:ascii="Segoe UI Semibold"/>
          <w:b/>
          <w:i/>
          <w:color w:val="231F20"/>
          <w:sz w:val="24"/>
        </w:rPr>
        <w:t>human</w:t>
      </w:r>
      <w:r>
        <w:rPr>
          <w:rFonts w:ascii="Segoe UI Semibold"/>
          <w:b/>
          <w:i/>
          <w:color w:val="231F20"/>
          <w:spacing w:val="-3"/>
          <w:sz w:val="24"/>
        </w:rPr>
        <w:t> </w:t>
      </w:r>
      <w:r>
        <w:rPr>
          <w:rFonts w:ascii="Segoe UI Semibold"/>
          <w:b/>
          <w:i/>
          <w:color w:val="231F20"/>
          <w:spacing w:val="-2"/>
          <w:sz w:val="24"/>
        </w:rPr>
        <w:t>beings</w:t>
      </w:r>
    </w:p>
    <w:p>
      <w:pPr>
        <w:pStyle w:val="ListParagraph"/>
        <w:numPr>
          <w:ilvl w:val="1"/>
          <w:numId w:val="2"/>
        </w:numPr>
        <w:tabs>
          <w:tab w:pos="1540" w:val="left" w:leader="none"/>
        </w:tabs>
        <w:spacing w:line="240" w:lineRule="auto" w:before="160" w:after="0"/>
        <w:ind w:left="1133" w:right="1106" w:firstLine="0"/>
        <w:jc w:val="left"/>
        <w:rPr>
          <w:rFonts w:ascii="Segoe UI Semibold"/>
          <w:b/>
          <w:i/>
          <w:sz w:val="24"/>
        </w:rPr>
      </w:pPr>
      <w:r>
        <w:rPr>
          <w:b/>
          <w:color w:val="B52628"/>
          <w:sz w:val="24"/>
        </w:rPr>
        <w:t>Repercussions</w:t>
      </w:r>
      <w:r>
        <w:rPr>
          <w:b/>
          <w:color w:val="B52628"/>
          <w:spacing w:val="-15"/>
          <w:sz w:val="24"/>
        </w:rPr>
        <w:t> </w:t>
      </w:r>
      <w:r>
        <w:rPr>
          <w:b/>
          <w:color w:val="B52628"/>
          <w:sz w:val="24"/>
        </w:rPr>
        <w:t>on</w:t>
      </w:r>
      <w:r>
        <w:rPr>
          <w:b/>
          <w:color w:val="B52628"/>
          <w:spacing w:val="-15"/>
          <w:sz w:val="24"/>
        </w:rPr>
        <w:t> </w:t>
      </w:r>
      <w:r>
        <w:rPr>
          <w:b/>
          <w:color w:val="B52628"/>
          <w:sz w:val="24"/>
        </w:rPr>
        <w:t>the</w:t>
      </w:r>
      <w:r>
        <w:rPr>
          <w:b/>
          <w:color w:val="B52628"/>
          <w:spacing w:val="-15"/>
          <w:sz w:val="24"/>
        </w:rPr>
        <w:t> </w:t>
      </w:r>
      <w:r>
        <w:rPr>
          <w:b/>
          <w:color w:val="B52628"/>
          <w:sz w:val="24"/>
        </w:rPr>
        <w:t>foreign sector of the Cuban economy </w:t>
      </w:r>
      <w:r>
        <w:rPr>
          <w:b/>
          <w:i/>
          <w:color w:val="1A4796"/>
          <w:sz w:val="24"/>
        </w:rPr>
        <w:t>97/ </w:t>
      </w:r>
      <w:r>
        <w:rPr>
          <w:rFonts w:ascii="Segoe UI Semibold"/>
          <w:b/>
          <w:i/>
          <w:color w:val="231F20"/>
          <w:sz w:val="24"/>
        </w:rPr>
        <w:t>Impacts on foreign trade</w:t>
      </w:r>
    </w:p>
    <w:p>
      <w:pPr>
        <w:spacing w:before="0"/>
        <w:ind w:left="1133" w:right="0" w:firstLine="0"/>
        <w:jc w:val="left"/>
        <w:rPr>
          <w:rFonts w:ascii="Segoe UI Semibold"/>
          <w:b/>
          <w:i/>
          <w:sz w:val="24"/>
        </w:rPr>
      </w:pPr>
      <w:r>
        <w:rPr>
          <w:b/>
          <w:i/>
          <w:color w:val="1A4796"/>
          <w:spacing w:val="-6"/>
          <w:sz w:val="24"/>
        </w:rPr>
        <w:t>98/</w:t>
      </w:r>
      <w:r>
        <w:rPr>
          <w:b/>
          <w:i/>
          <w:color w:val="1A4796"/>
          <w:spacing w:val="-8"/>
          <w:sz w:val="24"/>
        </w:rPr>
        <w:t> </w:t>
      </w:r>
      <w:r>
        <w:rPr>
          <w:rFonts w:ascii="Segoe UI Semibold"/>
          <w:b/>
          <w:i/>
          <w:color w:val="231F20"/>
          <w:spacing w:val="-6"/>
          <w:sz w:val="24"/>
        </w:rPr>
        <w:t>Impacts</w:t>
      </w:r>
      <w:r>
        <w:rPr>
          <w:rFonts w:ascii="Segoe UI Semibold"/>
          <w:b/>
          <w:i/>
          <w:color w:val="231F20"/>
          <w:spacing w:val="-14"/>
          <w:sz w:val="24"/>
        </w:rPr>
        <w:t> </w:t>
      </w:r>
      <w:r>
        <w:rPr>
          <w:rFonts w:ascii="Segoe UI Semibold"/>
          <w:b/>
          <w:i/>
          <w:color w:val="231F20"/>
          <w:spacing w:val="-6"/>
          <w:sz w:val="24"/>
        </w:rPr>
        <w:t>in</w:t>
      </w:r>
      <w:r>
        <w:rPr>
          <w:rFonts w:ascii="Segoe UI Semibold"/>
          <w:b/>
          <w:i/>
          <w:color w:val="231F20"/>
          <w:spacing w:val="-14"/>
          <w:sz w:val="24"/>
        </w:rPr>
        <w:t> </w:t>
      </w:r>
      <w:r>
        <w:rPr>
          <w:rFonts w:ascii="Segoe UI Semibold"/>
          <w:b/>
          <w:i/>
          <w:color w:val="231F20"/>
          <w:spacing w:val="-6"/>
          <w:sz w:val="24"/>
        </w:rPr>
        <w:t>the</w:t>
      </w:r>
      <w:r>
        <w:rPr>
          <w:rFonts w:ascii="Segoe UI Semibold"/>
          <w:b/>
          <w:i/>
          <w:color w:val="231F20"/>
          <w:spacing w:val="-14"/>
          <w:sz w:val="24"/>
        </w:rPr>
        <w:t> </w:t>
      </w:r>
      <w:r>
        <w:rPr>
          <w:rFonts w:ascii="Segoe UI Semibold"/>
          <w:b/>
          <w:i/>
          <w:color w:val="231F20"/>
          <w:spacing w:val="-6"/>
          <w:sz w:val="24"/>
        </w:rPr>
        <w:t>banking</w:t>
      </w:r>
      <w:r>
        <w:rPr>
          <w:rFonts w:ascii="Segoe UI Semibold"/>
          <w:b/>
          <w:i/>
          <w:color w:val="231F20"/>
          <w:spacing w:val="-14"/>
          <w:sz w:val="24"/>
        </w:rPr>
        <w:t> </w:t>
      </w:r>
      <w:r>
        <w:rPr>
          <w:rFonts w:ascii="Segoe UI Semibold"/>
          <w:b/>
          <w:i/>
          <w:color w:val="231F20"/>
          <w:spacing w:val="-6"/>
          <w:sz w:val="24"/>
        </w:rPr>
        <w:t>and</w:t>
      </w:r>
      <w:r>
        <w:rPr>
          <w:rFonts w:ascii="Segoe UI Semibold"/>
          <w:b/>
          <w:i/>
          <w:color w:val="231F20"/>
          <w:spacing w:val="-14"/>
          <w:sz w:val="24"/>
        </w:rPr>
        <w:t> </w:t>
      </w:r>
      <w:r>
        <w:rPr>
          <w:rFonts w:ascii="Segoe UI Semibold"/>
          <w:b/>
          <w:i/>
          <w:color w:val="231F20"/>
          <w:spacing w:val="-6"/>
          <w:sz w:val="24"/>
        </w:rPr>
        <w:t>finance</w:t>
      </w:r>
      <w:r>
        <w:rPr>
          <w:rFonts w:ascii="Segoe UI Semibold"/>
          <w:b/>
          <w:i/>
          <w:color w:val="231F20"/>
          <w:spacing w:val="-14"/>
          <w:sz w:val="24"/>
        </w:rPr>
        <w:t> </w:t>
      </w:r>
      <w:r>
        <w:rPr>
          <w:rFonts w:ascii="Segoe UI Semibold"/>
          <w:b/>
          <w:i/>
          <w:color w:val="231F20"/>
          <w:spacing w:val="-6"/>
          <w:sz w:val="24"/>
        </w:rPr>
        <w:t>sector</w:t>
      </w:r>
    </w:p>
    <w:p>
      <w:pPr>
        <w:pStyle w:val="Heading4"/>
        <w:numPr>
          <w:ilvl w:val="1"/>
          <w:numId w:val="2"/>
        </w:numPr>
        <w:tabs>
          <w:tab w:pos="1528" w:val="left" w:leader="none"/>
        </w:tabs>
        <w:spacing w:line="240" w:lineRule="auto" w:before="161" w:after="0"/>
        <w:ind w:left="1133" w:right="0" w:firstLine="0"/>
        <w:jc w:val="left"/>
      </w:pPr>
      <w:r>
        <w:rPr>
          <w:color w:val="B52628"/>
          <w:spacing w:val="-6"/>
        </w:rPr>
        <w:t>The</w:t>
      </w:r>
      <w:r>
        <w:rPr>
          <w:color w:val="B52628"/>
          <w:spacing w:val="-10"/>
        </w:rPr>
        <w:t> </w:t>
      </w:r>
      <w:r>
        <w:rPr>
          <w:color w:val="B52628"/>
          <w:spacing w:val="-6"/>
        </w:rPr>
        <w:t>blockade</w:t>
      </w:r>
      <w:r>
        <w:rPr>
          <w:color w:val="B52628"/>
          <w:spacing w:val="-10"/>
        </w:rPr>
        <w:t> </w:t>
      </w:r>
      <w:r>
        <w:rPr>
          <w:color w:val="B52628"/>
          <w:spacing w:val="-6"/>
        </w:rPr>
        <w:t>breaches</w:t>
      </w:r>
      <w:r>
        <w:rPr>
          <w:color w:val="B52628"/>
          <w:spacing w:val="-10"/>
        </w:rPr>
        <w:t> </w:t>
      </w:r>
      <w:r>
        <w:rPr>
          <w:color w:val="B52628"/>
          <w:spacing w:val="-6"/>
        </w:rPr>
        <w:t>international</w:t>
      </w:r>
      <w:r>
        <w:rPr>
          <w:color w:val="B52628"/>
          <w:spacing w:val="-10"/>
        </w:rPr>
        <w:t> </w:t>
      </w:r>
      <w:r>
        <w:rPr>
          <w:color w:val="B52628"/>
          <w:spacing w:val="-6"/>
        </w:rPr>
        <w:t>law. </w:t>
      </w:r>
      <w:r>
        <w:rPr>
          <w:color w:val="B52628"/>
          <w:spacing w:val="-2"/>
        </w:rPr>
        <w:t>Extraterritorial</w:t>
      </w:r>
      <w:r>
        <w:rPr>
          <w:color w:val="B52628"/>
          <w:spacing w:val="-10"/>
        </w:rPr>
        <w:t> </w:t>
      </w:r>
      <w:r>
        <w:rPr>
          <w:color w:val="B52628"/>
          <w:spacing w:val="-2"/>
        </w:rPr>
        <w:t>application</w:t>
      </w:r>
    </w:p>
    <w:p>
      <w:pPr>
        <w:spacing w:line="320" w:lineRule="exact" w:before="1"/>
        <w:ind w:left="1133" w:right="0" w:firstLine="0"/>
        <w:jc w:val="left"/>
        <w:rPr>
          <w:rFonts w:ascii="Segoe UI Semibold"/>
          <w:b/>
          <w:i/>
          <w:sz w:val="24"/>
        </w:rPr>
      </w:pPr>
      <w:r>
        <w:rPr>
          <w:b/>
          <w:i/>
          <w:color w:val="1A4796"/>
          <w:sz w:val="24"/>
        </w:rPr>
        <w:t>101/</w:t>
      </w:r>
      <w:r>
        <w:rPr>
          <w:b/>
          <w:i/>
          <w:color w:val="1A4796"/>
          <w:spacing w:val="-4"/>
          <w:sz w:val="24"/>
        </w:rPr>
        <w:t> </w:t>
      </w:r>
      <w:r>
        <w:rPr>
          <w:rFonts w:ascii="Segoe UI Semibold"/>
          <w:b/>
          <w:i/>
          <w:color w:val="231F20"/>
          <w:sz w:val="24"/>
        </w:rPr>
        <w:t>Impact</w:t>
      </w:r>
      <w:r>
        <w:rPr>
          <w:rFonts w:ascii="Segoe UI Semibold"/>
          <w:b/>
          <w:i/>
          <w:color w:val="231F20"/>
          <w:spacing w:val="-3"/>
          <w:sz w:val="24"/>
        </w:rPr>
        <w:t> </w:t>
      </w:r>
      <w:r>
        <w:rPr>
          <w:rFonts w:ascii="Segoe UI Semibold"/>
          <w:b/>
          <w:i/>
          <w:color w:val="231F20"/>
          <w:sz w:val="24"/>
        </w:rPr>
        <w:t>on</w:t>
      </w:r>
      <w:r>
        <w:rPr>
          <w:rFonts w:ascii="Segoe UI Semibold"/>
          <w:b/>
          <w:i/>
          <w:color w:val="231F20"/>
          <w:spacing w:val="-3"/>
          <w:sz w:val="24"/>
        </w:rPr>
        <w:t> </w:t>
      </w:r>
      <w:r>
        <w:rPr>
          <w:rFonts w:ascii="Segoe UI Semibold"/>
          <w:b/>
          <w:i/>
          <w:color w:val="231F20"/>
          <w:sz w:val="24"/>
        </w:rPr>
        <w:t>Cuban</w:t>
      </w:r>
      <w:r>
        <w:rPr>
          <w:rFonts w:ascii="Segoe UI Semibold"/>
          <w:b/>
          <w:i/>
          <w:color w:val="231F20"/>
          <w:spacing w:val="-3"/>
          <w:sz w:val="24"/>
        </w:rPr>
        <w:t> </w:t>
      </w:r>
      <w:r>
        <w:rPr>
          <w:rFonts w:ascii="Segoe UI Semibold"/>
          <w:b/>
          <w:i/>
          <w:color w:val="231F20"/>
          <w:spacing w:val="-2"/>
          <w:sz w:val="24"/>
        </w:rPr>
        <w:t>entities</w:t>
      </w:r>
    </w:p>
    <w:p>
      <w:pPr>
        <w:spacing w:before="0"/>
        <w:ind w:left="1133" w:right="0" w:firstLine="0"/>
        <w:jc w:val="left"/>
        <w:rPr>
          <w:rFonts w:ascii="Segoe UI Semibold"/>
          <w:b/>
          <w:i/>
          <w:sz w:val="24"/>
        </w:rPr>
      </w:pPr>
      <w:r>
        <w:rPr>
          <w:b/>
          <w:i/>
          <w:color w:val="1A4796"/>
          <w:spacing w:val="-2"/>
          <w:sz w:val="24"/>
        </w:rPr>
        <w:t>102/</w:t>
      </w:r>
      <w:r>
        <w:rPr>
          <w:b/>
          <w:i/>
          <w:color w:val="1A4796"/>
          <w:spacing w:val="-14"/>
          <w:sz w:val="24"/>
        </w:rPr>
        <w:t> </w:t>
      </w:r>
      <w:r>
        <w:rPr>
          <w:rFonts w:ascii="Segoe UI Semibold"/>
          <w:b/>
          <w:i/>
          <w:color w:val="231F20"/>
          <w:spacing w:val="-2"/>
          <w:sz w:val="24"/>
        </w:rPr>
        <w:t>Other</w:t>
      </w:r>
      <w:r>
        <w:rPr>
          <w:rFonts w:ascii="Segoe UI Semibold"/>
          <w:b/>
          <w:i/>
          <w:color w:val="231F20"/>
          <w:spacing w:val="-11"/>
          <w:sz w:val="24"/>
        </w:rPr>
        <w:t> </w:t>
      </w:r>
      <w:r>
        <w:rPr>
          <w:rFonts w:ascii="Segoe UI Semibold"/>
          <w:b/>
          <w:i/>
          <w:color w:val="231F20"/>
          <w:spacing w:val="-2"/>
          <w:sz w:val="24"/>
        </w:rPr>
        <w:t>extraterritorial</w:t>
      </w:r>
      <w:r>
        <w:rPr>
          <w:rFonts w:ascii="Segoe UI Semibold"/>
          <w:b/>
          <w:i/>
          <w:color w:val="231F20"/>
          <w:spacing w:val="-10"/>
          <w:sz w:val="24"/>
        </w:rPr>
        <w:t> </w:t>
      </w:r>
      <w:r>
        <w:rPr>
          <w:rFonts w:ascii="Segoe UI Semibold"/>
          <w:b/>
          <w:i/>
          <w:color w:val="231F20"/>
          <w:spacing w:val="-2"/>
          <w:sz w:val="24"/>
        </w:rPr>
        <w:t>impacts</w:t>
      </w:r>
    </w:p>
    <w:p>
      <w:pPr>
        <w:pStyle w:val="ListParagraph"/>
        <w:numPr>
          <w:ilvl w:val="1"/>
          <w:numId w:val="2"/>
        </w:numPr>
        <w:tabs>
          <w:tab w:pos="1529" w:val="left" w:leader="none"/>
        </w:tabs>
        <w:spacing w:line="240" w:lineRule="auto" w:before="160" w:after="0"/>
        <w:ind w:left="1133" w:right="34" w:firstLine="0"/>
        <w:jc w:val="left"/>
        <w:rPr>
          <w:rFonts w:ascii="Segoe UI Semibold"/>
          <w:b/>
          <w:i/>
          <w:sz w:val="24"/>
        </w:rPr>
      </w:pPr>
      <w:r>
        <w:rPr>
          <w:b/>
          <w:color w:val="B52628"/>
          <w:sz w:val="24"/>
        </w:rPr>
        <w:t>Universal rejection of the blockade </w:t>
      </w:r>
      <w:r>
        <w:rPr>
          <w:b/>
          <w:i/>
          <w:color w:val="1A4796"/>
          <w:sz w:val="24"/>
        </w:rPr>
        <w:t>104/ </w:t>
      </w:r>
      <w:r>
        <w:rPr>
          <w:rFonts w:ascii="Segoe UI Semibold"/>
          <w:b/>
          <w:i/>
          <w:color w:val="231F20"/>
          <w:sz w:val="24"/>
        </w:rPr>
        <w:t>Opposition within the United States</w:t>
      </w:r>
      <w:r>
        <w:rPr>
          <w:rFonts w:ascii="Segoe UI Semibold"/>
          <w:b/>
          <w:i/>
          <w:color w:val="231F20"/>
          <w:sz w:val="24"/>
        </w:rPr>
        <w:t> </w:t>
      </w:r>
      <w:r>
        <w:rPr>
          <w:b/>
          <w:i/>
          <w:color w:val="1A4796"/>
          <w:spacing w:val="-12"/>
          <w:sz w:val="24"/>
        </w:rPr>
        <w:t>110/</w:t>
      </w:r>
      <w:r>
        <w:rPr>
          <w:b/>
          <w:i/>
          <w:color w:val="1A4796"/>
          <w:sz w:val="24"/>
        </w:rPr>
        <w:t> </w:t>
      </w:r>
      <w:r>
        <w:rPr>
          <w:rFonts w:ascii="Segoe UI Semibold"/>
          <w:b/>
          <w:i/>
          <w:color w:val="231F20"/>
          <w:spacing w:val="-12"/>
          <w:sz w:val="24"/>
        </w:rPr>
        <w:t>Opposition</w:t>
      </w:r>
      <w:r>
        <w:rPr>
          <w:rFonts w:ascii="Segoe UI Semibold"/>
          <w:b/>
          <w:i/>
          <w:color w:val="231F20"/>
          <w:spacing w:val="-15"/>
          <w:sz w:val="24"/>
        </w:rPr>
        <w:t> </w:t>
      </w:r>
      <w:r>
        <w:rPr>
          <w:rFonts w:ascii="Segoe UI Semibold"/>
          <w:b/>
          <w:i/>
          <w:color w:val="231F20"/>
          <w:spacing w:val="-12"/>
          <w:sz w:val="24"/>
        </w:rPr>
        <w:t>by</w:t>
      </w:r>
      <w:r>
        <w:rPr>
          <w:rFonts w:ascii="Segoe UI Semibold"/>
          <w:b/>
          <w:i/>
          <w:color w:val="231F20"/>
          <w:spacing w:val="-15"/>
          <w:sz w:val="24"/>
        </w:rPr>
        <w:t> </w:t>
      </w:r>
      <w:r>
        <w:rPr>
          <w:rFonts w:ascii="Segoe UI Semibold"/>
          <w:b/>
          <w:i/>
          <w:color w:val="231F20"/>
          <w:spacing w:val="-12"/>
          <w:sz w:val="24"/>
        </w:rPr>
        <w:t>the</w:t>
      </w:r>
      <w:r>
        <w:rPr>
          <w:rFonts w:ascii="Segoe UI Semibold"/>
          <w:b/>
          <w:i/>
          <w:color w:val="231F20"/>
          <w:spacing w:val="-16"/>
          <w:sz w:val="24"/>
        </w:rPr>
        <w:t> </w:t>
      </w:r>
      <w:r>
        <w:rPr>
          <w:rFonts w:ascii="Segoe UI Semibold"/>
          <w:b/>
          <w:i/>
          <w:color w:val="231F20"/>
          <w:spacing w:val="-12"/>
          <w:sz w:val="24"/>
        </w:rPr>
        <w:t>international</w:t>
      </w:r>
      <w:r>
        <w:rPr>
          <w:rFonts w:ascii="Segoe UI Semibold"/>
          <w:b/>
          <w:i/>
          <w:color w:val="231F20"/>
          <w:spacing w:val="-15"/>
          <w:sz w:val="24"/>
        </w:rPr>
        <w:t> </w:t>
      </w:r>
      <w:r>
        <w:rPr>
          <w:rFonts w:ascii="Segoe UI Semibold"/>
          <w:b/>
          <w:i/>
          <w:color w:val="231F20"/>
          <w:spacing w:val="-12"/>
          <w:sz w:val="24"/>
        </w:rPr>
        <w:t>community</w:t>
      </w:r>
    </w:p>
    <w:p>
      <w:pPr>
        <w:pStyle w:val="Heading4"/>
        <w:ind w:left="327"/>
      </w:pPr>
      <w:r>
        <w:rPr>
          <w:b w:val="0"/>
        </w:rPr>
        <w:br w:type="column"/>
      </w:r>
      <w:r>
        <w:rPr>
          <w:color w:val="1A4796"/>
        </w:rPr>
        <w:t>116/</w:t>
      </w:r>
      <w:r>
        <w:rPr>
          <w:color w:val="1A4796"/>
          <w:spacing w:val="-4"/>
        </w:rPr>
        <w:t> </w:t>
      </w:r>
      <w:r>
        <w:rPr>
          <w:color w:val="231F20"/>
          <w:spacing w:val="-2"/>
        </w:rPr>
        <w:t>Conclusions</w:t>
      </w:r>
    </w:p>
    <w:p>
      <w:pPr>
        <w:spacing w:line="319" w:lineRule="exact" w:before="160"/>
        <w:ind w:left="327" w:right="0" w:firstLine="0"/>
        <w:jc w:val="left"/>
        <w:rPr>
          <w:b/>
          <w:sz w:val="24"/>
        </w:rPr>
      </w:pPr>
      <w:r>
        <w:rPr>
          <w:b/>
          <w:color w:val="1A4796"/>
          <w:sz w:val="24"/>
        </w:rPr>
        <w:t>118/</w:t>
      </w:r>
      <w:r>
        <w:rPr>
          <w:b/>
          <w:color w:val="1A4796"/>
          <w:spacing w:val="-4"/>
          <w:sz w:val="24"/>
        </w:rPr>
        <w:t> </w:t>
      </w:r>
      <w:r>
        <w:rPr>
          <w:b/>
          <w:color w:val="231F20"/>
          <w:spacing w:val="-2"/>
          <w:sz w:val="24"/>
        </w:rPr>
        <w:t>Annexes</w:t>
      </w:r>
    </w:p>
    <w:p>
      <w:pPr>
        <w:pStyle w:val="ListParagraph"/>
        <w:numPr>
          <w:ilvl w:val="0"/>
          <w:numId w:val="3"/>
        </w:numPr>
        <w:tabs>
          <w:tab w:pos="519" w:val="left" w:leader="none"/>
        </w:tabs>
        <w:spacing w:line="240" w:lineRule="auto" w:before="0" w:after="0"/>
        <w:ind w:left="327" w:right="1909" w:firstLine="0"/>
        <w:jc w:val="left"/>
        <w:rPr>
          <w:rFonts w:ascii="Segoe UI Semibold"/>
          <w:b/>
          <w:i/>
          <w:sz w:val="24"/>
        </w:rPr>
      </w:pPr>
      <w:r>
        <w:rPr>
          <w:rFonts w:ascii="Segoe UI Semibold"/>
          <w:b/>
          <w:i/>
          <w:color w:val="231F20"/>
          <w:sz w:val="24"/>
        </w:rPr>
        <w:t>Table summarizing the losses</w:t>
      </w:r>
      <w:r>
        <w:rPr>
          <w:rFonts w:ascii="Segoe UI Semibold"/>
          <w:b/>
          <w:i/>
          <w:color w:val="231F20"/>
          <w:sz w:val="24"/>
        </w:rPr>
        <w:t> quantified</w:t>
      </w:r>
      <w:r>
        <w:rPr>
          <w:rFonts w:ascii="Segoe UI Semibold"/>
          <w:b/>
          <w:i/>
          <w:color w:val="231F20"/>
          <w:spacing w:val="-12"/>
          <w:sz w:val="24"/>
        </w:rPr>
        <w:t> </w:t>
      </w:r>
      <w:r>
        <w:rPr>
          <w:rFonts w:ascii="Segoe UI Semibold"/>
          <w:b/>
          <w:i/>
          <w:color w:val="231F20"/>
          <w:sz w:val="24"/>
        </w:rPr>
        <w:t>by</w:t>
      </w:r>
      <w:r>
        <w:rPr>
          <w:rFonts w:ascii="Segoe UI Semibold"/>
          <w:b/>
          <w:i/>
          <w:color w:val="231F20"/>
          <w:spacing w:val="-12"/>
          <w:sz w:val="24"/>
        </w:rPr>
        <w:t> </w:t>
      </w:r>
      <w:r>
        <w:rPr>
          <w:rFonts w:ascii="Segoe UI Semibold"/>
          <w:b/>
          <w:i/>
          <w:color w:val="231F20"/>
          <w:sz w:val="24"/>
        </w:rPr>
        <w:t>sector,</w:t>
      </w:r>
      <w:r>
        <w:rPr>
          <w:rFonts w:ascii="Segoe UI Semibold"/>
          <w:b/>
          <w:i/>
          <w:color w:val="231F20"/>
          <w:spacing w:val="-12"/>
          <w:sz w:val="24"/>
        </w:rPr>
        <w:t> </w:t>
      </w:r>
      <w:r>
        <w:rPr>
          <w:rFonts w:ascii="Segoe UI Semibold"/>
          <w:b/>
          <w:i/>
          <w:color w:val="231F20"/>
          <w:sz w:val="24"/>
        </w:rPr>
        <w:t>for</w:t>
      </w:r>
      <w:r>
        <w:rPr>
          <w:rFonts w:ascii="Segoe UI Semibold"/>
          <w:b/>
          <w:i/>
          <w:color w:val="231F20"/>
          <w:spacing w:val="-12"/>
          <w:sz w:val="24"/>
        </w:rPr>
        <w:t> </w:t>
      </w:r>
      <w:r>
        <w:rPr>
          <w:rFonts w:ascii="Segoe UI Semibold"/>
          <w:b/>
          <w:i/>
          <w:color w:val="231F20"/>
          <w:sz w:val="24"/>
        </w:rPr>
        <w:t>the</w:t>
      </w:r>
      <w:r>
        <w:rPr>
          <w:rFonts w:ascii="Segoe UI Semibold"/>
          <w:b/>
          <w:i/>
          <w:color w:val="231F20"/>
          <w:spacing w:val="-12"/>
          <w:sz w:val="24"/>
        </w:rPr>
        <w:t> </w:t>
      </w:r>
      <w:r>
        <w:rPr>
          <w:rFonts w:ascii="Segoe UI Semibold"/>
          <w:b/>
          <w:i/>
          <w:color w:val="231F20"/>
          <w:sz w:val="24"/>
        </w:rPr>
        <w:t>period March 2022 to February 2023</w:t>
      </w:r>
    </w:p>
    <w:p>
      <w:pPr>
        <w:pStyle w:val="ListParagraph"/>
        <w:numPr>
          <w:ilvl w:val="0"/>
          <w:numId w:val="3"/>
        </w:numPr>
        <w:tabs>
          <w:tab w:pos="588" w:val="left" w:leader="none"/>
        </w:tabs>
        <w:spacing w:line="240" w:lineRule="auto" w:before="159" w:after="0"/>
        <w:ind w:left="327" w:right="1720" w:firstLine="0"/>
        <w:jc w:val="left"/>
        <w:rPr>
          <w:rFonts w:ascii="Segoe UI Semibold" w:hAnsi="Segoe UI Semibold"/>
          <w:b/>
          <w:i/>
          <w:sz w:val="24"/>
        </w:rPr>
      </w:pPr>
      <w:r>
        <w:rPr>
          <w:rFonts w:ascii="Segoe UI Semibold" w:hAnsi="Segoe UI Semibold"/>
          <w:b/>
          <w:i/>
          <w:color w:val="231F20"/>
          <w:sz w:val="24"/>
        </w:rPr>
        <w:t>History of the voting in the UN</w:t>
      </w:r>
      <w:r>
        <w:rPr>
          <w:rFonts w:ascii="Segoe UI Semibold" w:hAnsi="Segoe UI Semibold"/>
          <w:b/>
          <w:i/>
          <w:color w:val="231F20"/>
          <w:sz w:val="24"/>
        </w:rPr>
        <w:t> General Assembly on the resolution entitled “Necessity of ending the economic,</w:t>
      </w:r>
      <w:r>
        <w:rPr>
          <w:rFonts w:ascii="Segoe UI Semibold" w:hAnsi="Segoe UI Semibold"/>
          <w:b/>
          <w:i/>
          <w:color w:val="231F20"/>
          <w:spacing w:val="-14"/>
          <w:sz w:val="24"/>
        </w:rPr>
        <w:t> </w:t>
      </w:r>
      <w:r>
        <w:rPr>
          <w:rFonts w:ascii="Segoe UI Semibold" w:hAnsi="Segoe UI Semibold"/>
          <w:b/>
          <w:i/>
          <w:color w:val="231F20"/>
          <w:sz w:val="24"/>
        </w:rPr>
        <w:t>commercial</w:t>
      </w:r>
      <w:r>
        <w:rPr>
          <w:rFonts w:ascii="Segoe UI Semibold" w:hAnsi="Segoe UI Semibold"/>
          <w:b/>
          <w:i/>
          <w:color w:val="231F20"/>
          <w:spacing w:val="-13"/>
          <w:sz w:val="24"/>
        </w:rPr>
        <w:t> </w:t>
      </w:r>
      <w:r>
        <w:rPr>
          <w:rFonts w:ascii="Segoe UI Semibold" w:hAnsi="Segoe UI Semibold"/>
          <w:b/>
          <w:i/>
          <w:color w:val="231F20"/>
          <w:sz w:val="24"/>
        </w:rPr>
        <w:t>and</w:t>
      </w:r>
      <w:r>
        <w:rPr>
          <w:rFonts w:ascii="Segoe UI Semibold" w:hAnsi="Segoe UI Semibold"/>
          <w:b/>
          <w:i/>
          <w:color w:val="231F20"/>
          <w:spacing w:val="-14"/>
          <w:sz w:val="24"/>
        </w:rPr>
        <w:t> </w:t>
      </w:r>
      <w:r>
        <w:rPr>
          <w:rFonts w:ascii="Segoe UI Semibold" w:hAnsi="Segoe UI Semibold"/>
          <w:b/>
          <w:i/>
          <w:color w:val="231F20"/>
          <w:sz w:val="24"/>
        </w:rPr>
        <w:t>financial blockade imposed by the United States of America against Cuba” </w:t>
      </w:r>
      <w:r>
        <w:rPr>
          <w:rFonts w:ascii="Segoe UI Semibold" w:hAnsi="Segoe UI Semibold"/>
          <w:b/>
          <w:i/>
          <w:color w:val="231F20"/>
          <w:spacing w:val="-2"/>
          <w:sz w:val="24"/>
        </w:rPr>
        <w:t>(1992-2022)</w:t>
      </w:r>
    </w:p>
    <w:p>
      <w:pPr>
        <w:spacing w:after="0" w:line="240" w:lineRule="auto"/>
        <w:jc w:val="left"/>
        <w:rPr>
          <w:rFonts w:ascii="Segoe UI Semibold" w:hAnsi="Segoe UI Semibold"/>
          <w:sz w:val="24"/>
        </w:rPr>
        <w:sectPr>
          <w:type w:val="continuous"/>
          <w:pgSz w:w="11910" w:h="16840"/>
          <w:pgMar w:top="1920" w:bottom="280" w:left="0" w:right="0"/>
          <w:cols w:num="2" w:equalWidth="0">
            <w:col w:w="5926" w:space="40"/>
            <w:col w:w="5944"/>
          </w:cols>
        </w:sectPr>
      </w:pPr>
    </w:p>
    <w:p>
      <w:pPr>
        <w:pStyle w:val="Heading1"/>
        <w:spacing w:line="615" w:lineRule="exact" w:before="72"/>
        <w:ind w:left="1445"/>
      </w:pPr>
      <w:r>
        <w:rPr>
          <w:color w:val="1A4796"/>
          <w:spacing w:val="-2"/>
          <w:w w:val="115"/>
        </w:rPr>
        <w:t>Table</w:t>
      </w:r>
    </w:p>
    <w:p>
      <w:pPr>
        <w:spacing w:line="615" w:lineRule="exact" w:before="0"/>
        <w:ind w:left="1445" w:right="0" w:firstLine="0"/>
        <w:jc w:val="left"/>
        <w:rPr>
          <w:rFonts w:ascii="Trebuchet MS" w:hAnsi="Trebuchet MS"/>
          <w:sz w:val="56"/>
        </w:rPr>
      </w:pPr>
      <w:r>
        <w:rPr>
          <w:rFonts w:ascii="Trebuchet MS" w:hAnsi="Trebuchet MS"/>
          <w:color w:val="1A4796"/>
          <w:w w:val="115"/>
          <w:sz w:val="56"/>
        </w:rPr>
        <w:t>des</w:t>
      </w:r>
      <w:r>
        <w:rPr>
          <w:rFonts w:ascii="Trebuchet MS" w:hAnsi="Trebuchet MS"/>
          <w:color w:val="1A4796"/>
          <w:spacing w:val="-6"/>
          <w:w w:val="115"/>
          <w:sz w:val="56"/>
        </w:rPr>
        <w:t> </w:t>
      </w:r>
      <w:r>
        <w:rPr>
          <w:rFonts w:ascii="Trebuchet MS" w:hAnsi="Trebuchet MS"/>
          <w:color w:val="1A4796"/>
          <w:spacing w:val="-2"/>
          <w:w w:val="115"/>
          <w:sz w:val="56"/>
        </w:rPr>
        <w:t>matières</w:t>
      </w:r>
    </w:p>
    <w:p>
      <w:pPr>
        <w:pStyle w:val="BodyText"/>
        <w:spacing w:before="171"/>
        <w:jc w:val="left"/>
        <w:rPr>
          <w:rFonts w:ascii="Trebuchet MS"/>
          <w:sz w:val="20"/>
        </w:rPr>
      </w:pPr>
      <w:r>
        <w:rPr/>
        <mc:AlternateContent>
          <mc:Choice Requires="wps">
            <w:drawing>
              <wp:anchor distT="0" distB="0" distL="0" distR="0" allowOverlap="1" layoutInCell="1" locked="0" behindDoc="1" simplePos="0" relativeHeight="487589376">
                <wp:simplePos x="0" y="0"/>
                <wp:positionH relativeFrom="page">
                  <wp:posOffset>936002</wp:posOffset>
                </wp:positionH>
                <wp:positionV relativeFrom="paragraph">
                  <wp:posOffset>271364</wp:posOffset>
                </wp:positionV>
                <wp:extent cx="909319" cy="26034"/>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73.700996pt;margin-top:21.367281pt;width:71.584pt;height:2.021pt;mso-position-horizontal-relative:page;mso-position-vertical-relative:paragraph;z-index:-15727104;mso-wrap-distance-left:0;mso-wrap-distance-right:0" id="docshape4" filled="true" fillcolor="#b52628" stroked="false">
                <v:fill type="solid"/>
                <w10:wrap type="topAndBottom"/>
              </v:rect>
            </w:pict>
          </mc:Fallback>
        </mc:AlternateContent>
      </w:r>
    </w:p>
    <w:p>
      <w:pPr>
        <w:pStyle w:val="BodyText"/>
        <w:spacing w:before="94"/>
        <w:jc w:val="left"/>
        <w:rPr>
          <w:rFonts w:ascii="Trebuchet MS"/>
          <w:sz w:val="20"/>
        </w:rPr>
      </w:pPr>
    </w:p>
    <w:p>
      <w:pPr>
        <w:spacing w:after="0"/>
        <w:jc w:val="left"/>
        <w:rPr>
          <w:rFonts w:ascii="Trebuchet MS"/>
          <w:sz w:val="20"/>
        </w:rPr>
        <w:sectPr>
          <w:pgSz w:w="11910" w:h="16840"/>
          <w:pgMar w:top="1380" w:bottom="280" w:left="0" w:right="0"/>
        </w:sectPr>
      </w:pPr>
    </w:p>
    <w:p>
      <w:pPr>
        <w:pStyle w:val="Heading4"/>
      </w:pPr>
      <w:r>
        <w:rPr>
          <w:color w:val="1A4796"/>
        </w:rPr>
        <w:t>123/</w:t>
      </w:r>
      <w:r>
        <w:rPr>
          <w:color w:val="1A4796"/>
          <w:spacing w:val="-4"/>
        </w:rPr>
        <w:t> </w:t>
      </w:r>
      <w:r>
        <w:rPr>
          <w:color w:val="231F20"/>
          <w:spacing w:val="-2"/>
        </w:rPr>
        <w:t>Introduction</w:t>
      </w:r>
    </w:p>
    <w:p>
      <w:pPr>
        <w:pStyle w:val="BodyText"/>
        <w:spacing w:before="1"/>
        <w:jc w:val="left"/>
        <w:rPr>
          <w:b/>
        </w:rPr>
      </w:pPr>
    </w:p>
    <w:p>
      <w:pPr>
        <w:pStyle w:val="ListParagraph"/>
        <w:numPr>
          <w:ilvl w:val="1"/>
          <w:numId w:val="3"/>
        </w:numPr>
        <w:tabs>
          <w:tab w:pos="1881" w:val="left" w:leader="none"/>
        </w:tabs>
        <w:spacing w:line="240" w:lineRule="auto" w:before="0" w:after="0"/>
        <w:ind w:left="1474" w:right="1009" w:firstLine="0"/>
        <w:jc w:val="left"/>
        <w:rPr>
          <w:b/>
          <w:sz w:val="24"/>
        </w:rPr>
      </w:pPr>
      <w:r>
        <w:rPr>
          <w:b/>
          <w:color w:val="B52628"/>
          <w:sz w:val="24"/>
        </w:rPr>
        <w:t>Poursuite</w:t>
      </w:r>
      <w:r>
        <w:rPr>
          <w:b/>
          <w:color w:val="B52628"/>
          <w:spacing w:val="-15"/>
          <w:sz w:val="24"/>
        </w:rPr>
        <w:t> </w:t>
      </w:r>
      <w:r>
        <w:rPr>
          <w:b/>
          <w:color w:val="B52628"/>
          <w:sz w:val="24"/>
        </w:rPr>
        <w:t>et</w:t>
      </w:r>
      <w:r>
        <w:rPr>
          <w:b/>
          <w:color w:val="B52628"/>
          <w:spacing w:val="-15"/>
          <w:sz w:val="24"/>
        </w:rPr>
        <w:t> </w:t>
      </w:r>
      <w:r>
        <w:rPr>
          <w:b/>
          <w:color w:val="B52628"/>
          <w:sz w:val="24"/>
        </w:rPr>
        <w:t>recrudescence</w:t>
      </w:r>
      <w:r>
        <w:rPr>
          <w:b/>
          <w:color w:val="B52628"/>
          <w:spacing w:val="-15"/>
          <w:sz w:val="24"/>
        </w:rPr>
        <w:t> </w:t>
      </w:r>
      <w:r>
        <w:rPr>
          <w:b/>
          <w:color w:val="B52628"/>
          <w:sz w:val="24"/>
        </w:rPr>
        <w:t>de la politique de blocus</w:t>
      </w:r>
    </w:p>
    <w:p>
      <w:pPr>
        <w:spacing w:before="1"/>
        <w:ind w:left="2040" w:right="0" w:hanging="567"/>
        <w:jc w:val="left"/>
        <w:rPr>
          <w:rFonts w:ascii="Segoe UI Semibold" w:hAnsi="Segoe UI Semibold"/>
          <w:b/>
          <w:i/>
          <w:sz w:val="24"/>
        </w:rPr>
      </w:pPr>
      <w:r>
        <w:rPr>
          <w:b/>
          <w:i/>
          <w:color w:val="1A4796"/>
          <w:sz w:val="24"/>
        </w:rPr>
        <w:t>126/ </w:t>
      </w:r>
      <w:r>
        <w:rPr>
          <w:rFonts w:ascii="Segoe UI Semibold" w:hAnsi="Segoe UI Semibold"/>
          <w:b/>
          <w:i/>
          <w:color w:val="231F20"/>
          <w:sz w:val="24"/>
        </w:rPr>
        <w:t>Actualité des lois relatives au blocus</w:t>
      </w:r>
      <w:r>
        <w:rPr>
          <w:rFonts w:ascii="Segoe UI Semibold" w:hAnsi="Segoe UI Semibold"/>
          <w:b/>
          <w:i/>
          <w:color w:val="231F20"/>
          <w:sz w:val="24"/>
        </w:rPr>
        <w:t> économique,</w:t>
      </w:r>
      <w:r>
        <w:rPr>
          <w:rFonts w:ascii="Segoe UI Semibold" w:hAnsi="Segoe UI Semibold"/>
          <w:b/>
          <w:i/>
          <w:color w:val="231F20"/>
          <w:spacing w:val="-15"/>
          <w:sz w:val="24"/>
        </w:rPr>
        <w:t> </w:t>
      </w:r>
      <w:r>
        <w:rPr>
          <w:rFonts w:ascii="Segoe UI Semibold" w:hAnsi="Segoe UI Semibold"/>
          <w:b/>
          <w:i/>
          <w:color w:val="231F20"/>
          <w:sz w:val="24"/>
        </w:rPr>
        <w:t>commercial</w:t>
      </w:r>
      <w:r>
        <w:rPr>
          <w:rFonts w:ascii="Segoe UI Semibold" w:hAnsi="Segoe UI Semibold"/>
          <w:b/>
          <w:i/>
          <w:color w:val="231F20"/>
          <w:spacing w:val="-15"/>
          <w:sz w:val="24"/>
        </w:rPr>
        <w:t> </w:t>
      </w:r>
      <w:r>
        <w:rPr>
          <w:rFonts w:ascii="Segoe UI Semibold" w:hAnsi="Segoe UI Semibold"/>
          <w:b/>
          <w:i/>
          <w:color w:val="231F20"/>
          <w:sz w:val="24"/>
        </w:rPr>
        <w:t>et</w:t>
      </w:r>
      <w:r>
        <w:rPr>
          <w:rFonts w:ascii="Segoe UI Semibold" w:hAnsi="Segoe UI Semibold"/>
          <w:b/>
          <w:i/>
          <w:color w:val="231F20"/>
          <w:spacing w:val="-15"/>
          <w:sz w:val="24"/>
        </w:rPr>
        <w:t> </w:t>
      </w:r>
      <w:r>
        <w:rPr>
          <w:rFonts w:ascii="Segoe UI Semibold" w:hAnsi="Segoe UI Semibold"/>
          <w:b/>
          <w:i/>
          <w:color w:val="231F20"/>
          <w:sz w:val="24"/>
        </w:rPr>
        <w:t>financier</w:t>
      </w:r>
    </w:p>
    <w:p>
      <w:pPr>
        <w:spacing w:before="0"/>
        <w:ind w:left="2040" w:right="0" w:hanging="567"/>
        <w:jc w:val="left"/>
        <w:rPr>
          <w:rFonts w:ascii="Segoe UI Semibold" w:hAnsi="Segoe UI Semibold"/>
          <w:b/>
          <w:i/>
          <w:sz w:val="24"/>
        </w:rPr>
      </w:pPr>
      <w:r>
        <w:rPr>
          <w:b/>
          <w:i/>
          <w:color w:val="1A4796"/>
          <w:sz w:val="24"/>
        </w:rPr>
        <w:t>128/</w:t>
      </w:r>
      <w:r>
        <w:rPr>
          <w:b/>
          <w:i/>
          <w:color w:val="1A4796"/>
          <w:spacing w:val="-8"/>
          <w:sz w:val="24"/>
        </w:rPr>
        <w:t> </w:t>
      </w:r>
      <w:r>
        <w:rPr>
          <w:rFonts w:ascii="Segoe UI Semibold" w:hAnsi="Segoe UI Semibold"/>
          <w:b/>
          <w:i/>
          <w:color w:val="231F20"/>
          <w:sz w:val="24"/>
        </w:rPr>
        <w:t>Principales</w:t>
      </w:r>
      <w:r>
        <w:rPr>
          <w:rFonts w:ascii="Segoe UI Semibold" w:hAnsi="Segoe UI Semibold"/>
          <w:b/>
          <w:i/>
          <w:color w:val="231F20"/>
          <w:spacing w:val="-8"/>
          <w:sz w:val="24"/>
        </w:rPr>
        <w:t> </w:t>
      </w:r>
      <w:r>
        <w:rPr>
          <w:rFonts w:ascii="Segoe UI Semibold" w:hAnsi="Segoe UI Semibold"/>
          <w:b/>
          <w:i/>
          <w:color w:val="231F20"/>
          <w:sz w:val="24"/>
        </w:rPr>
        <w:t>actions</w:t>
      </w:r>
      <w:r>
        <w:rPr>
          <w:rFonts w:ascii="Segoe UI Semibold" w:hAnsi="Segoe UI Semibold"/>
          <w:b/>
          <w:i/>
          <w:color w:val="231F20"/>
          <w:spacing w:val="-8"/>
          <w:sz w:val="24"/>
        </w:rPr>
        <w:t> </w:t>
      </w:r>
      <w:r>
        <w:rPr>
          <w:rFonts w:ascii="Segoe UI Semibold" w:hAnsi="Segoe UI Semibold"/>
          <w:b/>
          <w:i/>
          <w:color w:val="231F20"/>
          <w:sz w:val="24"/>
        </w:rPr>
        <w:t>de</w:t>
      </w:r>
      <w:r>
        <w:rPr>
          <w:rFonts w:ascii="Segoe UI Semibold" w:hAnsi="Segoe UI Semibold"/>
          <w:b/>
          <w:i/>
          <w:color w:val="231F20"/>
          <w:spacing w:val="-8"/>
          <w:sz w:val="24"/>
        </w:rPr>
        <w:t> </w:t>
      </w:r>
      <w:r>
        <w:rPr>
          <w:rFonts w:ascii="Segoe UI Semibold" w:hAnsi="Segoe UI Semibold"/>
          <w:b/>
          <w:i/>
          <w:color w:val="231F20"/>
          <w:sz w:val="24"/>
        </w:rPr>
        <w:t>blocus</w:t>
      </w:r>
      <w:r>
        <w:rPr>
          <w:rFonts w:ascii="Segoe UI Semibold" w:hAnsi="Segoe UI Semibold"/>
          <w:b/>
          <w:i/>
          <w:color w:val="231F20"/>
          <w:spacing w:val="-8"/>
          <w:sz w:val="24"/>
        </w:rPr>
        <w:t> </w:t>
      </w:r>
      <w:r>
        <w:rPr>
          <w:rFonts w:ascii="Segoe UI Semibold" w:hAnsi="Segoe UI Semibold"/>
          <w:b/>
          <w:i/>
          <w:color w:val="231F20"/>
          <w:sz w:val="24"/>
        </w:rPr>
        <w:t>adoptées</w:t>
      </w:r>
      <w:r>
        <w:rPr>
          <w:rFonts w:ascii="Segoe UI Semibold" w:hAnsi="Segoe UI Semibold"/>
          <w:b/>
          <w:i/>
          <w:color w:val="231F20"/>
          <w:sz w:val="24"/>
        </w:rPr>
        <w:t> entre mars 2022 et février 2023</w:t>
      </w:r>
    </w:p>
    <w:p>
      <w:pPr>
        <w:spacing w:line="320" w:lineRule="exact" w:before="0"/>
        <w:ind w:left="988" w:right="0" w:firstLine="0"/>
        <w:jc w:val="center"/>
        <w:rPr>
          <w:rFonts w:ascii="Segoe UI Semibold"/>
          <w:b/>
          <w:i/>
          <w:sz w:val="24"/>
        </w:rPr>
      </w:pPr>
      <w:r>
        <w:rPr>
          <w:b/>
          <w:i/>
          <w:color w:val="1A4796"/>
          <w:sz w:val="24"/>
        </w:rPr>
        <w:t>129/</w:t>
      </w:r>
      <w:r>
        <w:rPr>
          <w:b/>
          <w:i/>
          <w:color w:val="1A4796"/>
          <w:spacing w:val="-6"/>
          <w:sz w:val="24"/>
        </w:rPr>
        <w:t> </w:t>
      </w:r>
      <w:r>
        <w:rPr>
          <w:rFonts w:ascii="Segoe UI Semibold"/>
          <w:b/>
          <w:i/>
          <w:color w:val="231F20"/>
          <w:sz w:val="24"/>
        </w:rPr>
        <w:t>Aplication</w:t>
      </w:r>
      <w:r>
        <w:rPr>
          <w:rFonts w:ascii="Segoe UI Semibold"/>
          <w:b/>
          <w:i/>
          <w:color w:val="231F20"/>
          <w:spacing w:val="-5"/>
          <w:sz w:val="24"/>
        </w:rPr>
        <w:t> </w:t>
      </w:r>
      <w:r>
        <w:rPr>
          <w:rFonts w:ascii="Segoe UI Semibold"/>
          <w:b/>
          <w:i/>
          <w:color w:val="231F20"/>
          <w:sz w:val="24"/>
        </w:rPr>
        <w:t>de</w:t>
      </w:r>
      <w:r>
        <w:rPr>
          <w:rFonts w:ascii="Segoe UI Semibold"/>
          <w:b/>
          <w:i/>
          <w:color w:val="231F20"/>
          <w:spacing w:val="-5"/>
          <w:sz w:val="24"/>
        </w:rPr>
        <w:t> </w:t>
      </w:r>
      <w:r>
        <w:rPr>
          <w:rFonts w:ascii="Segoe UI Semibold"/>
          <w:b/>
          <w:i/>
          <w:color w:val="231F20"/>
          <w:sz w:val="24"/>
        </w:rPr>
        <w:t>la</w:t>
      </w:r>
      <w:r>
        <w:rPr>
          <w:rFonts w:ascii="Segoe UI Semibold"/>
          <w:b/>
          <w:i/>
          <w:color w:val="231F20"/>
          <w:spacing w:val="-6"/>
          <w:sz w:val="24"/>
        </w:rPr>
        <w:t> </w:t>
      </w:r>
      <w:r>
        <w:rPr>
          <w:rFonts w:ascii="Segoe UI Semibold"/>
          <w:b/>
          <w:i/>
          <w:color w:val="231F20"/>
          <w:sz w:val="24"/>
        </w:rPr>
        <w:t>Loi</w:t>
      </w:r>
      <w:r>
        <w:rPr>
          <w:rFonts w:ascii="Segoe UI Semibold"/>
          <w:b/>
          <w:i/>
          <w:color w:val="231F20"/>
          <w:spacing w:val="-4"/>
          <w:sz w:val="24"/>
        </w:rPr>
        <w:t> </w:t>
      </w:r>
      <w:r>
        <w:rPr>
          <w:rFonts w:ascii="Segoe UI Semibold"/>
          <w:b/>
          <w:i/>
          <w:color w:val="231F20"/>
          <w:sz w:val="24"/>
        </w:rPr>
        <w:t>Helms-</w:t>
      </w:r>
      <w:r>
        <w:rPr>
          <w:rFonts w:ascii="Segoe UI Semibold"/>
          <w:b/>
          <w:i/>
          <w:color w:val="231F20"/>
          <w:spacing w:val="-2"/>
          <w:sz w:val="24"/>
        </w:rPr>
        <w:t>Burton.</w:t>
      </w:r>
    </w:p>
    <w:p>
      <w:pPr>
        <w:spacing w:line="320" w:lineRule="exact" w:before="0"/>
        <w:ind w:left="988" w:right="14" w:firstLine="0"/>
        <w:jc w:val="center"/>
        <w:rPr>
          <w:rFonts w:ascii="Segoe UI Semibold" w:hAnsi="Segoe UI Semibold"/>
          <w:b/>
          <w:i/>
          <w:sz w:val="24"/>
        </w:rPr>
      </w:pPr>
      <w:r>
        <w:rPr>
          <w:rFonts w:ascii="Segoe UI Semibold" w:hAnsi="Segoe UI Semibold"/>
          <w:b/>
          <w:i/>
          <w:color w:val="231F20"/>
          <w:sz w:val="24"/>
        </w:rPr>
        <w:t>Demandes légales </w:t>
      </w:r>
      <w:r>
        <w:rPr>
          <w:rFonts w:ascii="Segoe UI Semibold" w:hAnsi="Segoe UI Semibold"/>
          <w:b/>
          <w:i/>
          <w:color w:val="231F20"/>
          <w:spacing w:val="-2"/>
          <w:sz w:val="24"/>
        </w:rPr>
        <w:t>présentées</w:t>
      </w:r>
    </w:p>
    <w:p>
      <w:pPr>
        <w:spacing w:before="0"/>
        <w:ind w:left="2040" w:right="471" w:hanging="567"/>
        <w:jc w:val="left"/>
        <w:rPr>
          <w:rFonts w:ascii="Segoe UI Semibold" w:hAnsi="Segoe UI Semibold"/>
          <w:b/>
          <w:i/>
          <w:sz w:val="24"/>
        </w:rPr>
      </w:pPr>
      <w:r>
        <w:rPr>
          <w:b/>
          <w:i/>
          <w:color w:val="1A4796"/>
          <w:sz w:val="24"/>
        </w:rPr>
        <w:t>130/</w:t>
      </w:r>
      <w:r>
        <w:rPr>
          <w:b/>
          <w:i/>
          <w:color w:val="1A4796"/>
          <w:spacing w:val="-8"/>
          <w:sz w:val="24"/>
        </w:rPr>
        <w:t> </w:t>
      </w:r>
      <w:r>
        <w:rPr>
          <w:rFonts w:ascii="Segoe UI Semibold" w:hAnsi="Segoe UI Semibold"/>
          <w:b/>
          <w:i/>
          <w:color w:val="231F20"/>
          <w:sz w:val="24"/>
        </w:rPr>
        <w:t>Effets</w:t>
      </w:r>
      <w:r>
        <w:rPr>
          <w:rFonts w:ascii="Segoe UI Semibold" w:hAnsi="Segoe UI Semibold"/>
          <w:b/>
          <w:i/>
          <w:color w:val="231F20"/>
          <w:spacing w:val="-7"/>
          <w:sz w:val="24"/>
        </w:rPr>
        <w:t> </w:t>
      </w:r>
      <w:r>
        <w:rPr>
          <w:rFonts w:ascii="Segoe UI Semibold" w:hAnsi="Segoe UI Semibold"/>
          <w:b/>
          <w:i/>
          <w:color w:val="231F20"/>
          <w:sz w:val="24"/>
        </w:rPr>
        <w:t>de</w:t>
      </w:r>
      <w:r>
        <w:rPr>
          <w:rFonts w:ascii="Segoe UI Semibold" w:hAnsi="Segoe UI Semibold"/>
          <w:b/>
          <w:i/>
          <w:color w:val="231F20"/>
          <w:spacing w:val="-8"/>
          <w:sz w:val="24"/>
        </w:rPr>
        <w:t> </w:t>
      </w:r>
      <w:r>
        <w:rPr>
          <w:rFonts w:ascii="Segoe UI Semibold" w:hAnsi="Segoe UI Semibold"/>
          <w:b/>
          <w:i/>
          <w:color w:val="231F20"/>
          <w:sz w:val="24"/>
        </w:rPr>
        <w:t>l’inscription</w:t>
      </w:r>
      <w:r>
        <w:rPr>
          <w:rFonts w:ascii="Segoe UI Semibold" w:hAnsi="Segoe UI Semibold"/>
          <w:b/>
          <w:i/>
          <w:color w:val="231F20"/>
          <w:spacing w:val="-7"/>
          <w:sz w:val="24"/>
        </w:rPr>
        <w:t> </w:t>
      </w:r>
      <w:r>
        <w:rPr>
          <w:rFonts w:ascii="Segoe UI Semibold" w:hAnsi="Segoe UI Semibold"/>
          <w:b/>
          <w:i/>
          <w:color w:val="231F20"/>
          <w:sz w:val="24"/>
        </w:rPr>
        <w:t>de</w:t>
      </w:r>
      <w:r>
        <w:rPr>
          <w:rFonts w:ascii="Segoe UI Semibold" w:hAnsi="Segoe UI Semibold"/>
          <w:b/>
          <w:i/>
          <w:color w:val="231F20"/>
          <w:spacing w:val="-8"/>
          <w:sz w:val="24"/>
        </w:rPr>
        <w:t> </w:t>
      </w:r>
      <w:r>
        <w:rPr>
          <w:rFonts w:ascii="Segoe UI Semibold" w:hAnsi="Segoe UI Semibold"/>
          <w:b/>
          <w:i/>
          <w:color w:val="231F20"/>
          <w:sz w:val="24"/>
        </w:rPr>
        <w:t>Cuba</w:t>
      </w:r>
      <w:r>
        <w:rPr>
          <w:rFonts w:ascii="Segoe UI Semibold" w:hAnsi="Segoe UI Semibold"/>
          <w:b/>
          <w:i/>
          <w:color w:val="231F20"/>
          <w:spacing w:val="-8"/>
          <w:sz w:val="24"/>
        </w:rPr>
        <w:t> </w:t>
      </w:r>
      <w:r>
        <w:rPr>
          <w:rFonts w:ascii="Segoe UI Semibold" w:hAnsi="Segoe UI Semibold"/>
          <w:b/>
          <w:i/>
          <w:color w:val="231F20"/>
          <w:sz w:val="24"/>
        </w:rPr>
        <w:t>sur</w:t>
      </w:r>
      <w:r>
        <w:rPr>
          <w:rFonts w:ascii="Segoe UI Semibold" w:hAnsi="Segoe UI Semibold"/>
          <w:b/>
          <w:i/>
          <w:color w:val="231F20"/>
          <w:sz w:val="24"/>
        </w:rPr>
        <w:t> la liste unilatérale des États commanditaires de terrorisme</w:t>
      </w:r>
    </w:p>
    <w:p>
      <w:pPr>
        <w:spacing w:before="0"/>
        <w:ind w:left="2040" w:right="1106" w:hanging="567"/>
        <w:jc w:val="left"/>
        <w:rPr>
          <w:rFonts w:ascii="Segoe UI Semibold" w:hAnsi="Segoe UI Semibold"/>
          <w:b/>
          <w:i/>
          <w:sz w:val="24"/>
        </w:rPr>
      </w:pPr>
      <w:r>
        <w:rPr>
          <w:b/>
          <w:i/>
          <w:color w:val="1A4796"/>
          <w:spacing w:val="-2"/>
          <w:sz w:val="24"/>
        </w:rPr>
        <w:t>131/</w:t>
      </w:r>
      <w:r>
        <w:rPr>
          <w:b/>
          <w:i/>
          <w:color w:val="1A4796"/>
          <w:spacing w:val="-13"/>
          <w:sz w:val="24"/>
        </w:rPr>
        <w:t> </w:t>
      </w:r>
      <w:r>
        <w:rPr>
          <w:rFonts w:ascii="Segoe UI Semibold" w:hAnsi="Segoe UI Semibold"/>
          <w:b/>
          <w:i/>
          <w:color w:val="231F20"/>
          <w:spacing w:val="-2"/>
          <w:sz w:val="24"/>
        </w:rPr>
        <w:t>Prérogatives</w:t>
      </w:r>
      <w:r>
        <w:rPr>
          <w:rFonts w:ascii="Segoe UI Semibold" w:hAnsi="Segoe UI Semibold"/>
          <w:b/>
          <w:i/>
          <w:color w:val="231F20"/>
          <w:spacing w:val="-15"/>
          <w:sz w:val="24"/>
        </w:rPr>
        <w:t> </w:t>
      </w:r>
      <w:r>
        <w:rPr>
          <w:rFonts w:ascii="Segoe UI Semibold" w:hAnsi="Segoe UI Semibold"/>
          <w:b/>
          <w:i/>
          <w:color w:val="231F20"/>
          <w:spacing w:val="-2"/>
          <w:sz w:val="24"/>
        </w:rPr>
        <w:t>du</w:t>
      </w:r>
      <w:r>
        <w:rPr>
          <w:rFonts w:ascii="Segoe UI Semibold" w:hAnsi="Segoe UI Semibold"/>
          <w:b/>
          <w:i/>
          <w:color w:val="231F20"/>
          <w:spacing w:val="-14"/>
          <w:sz w:val="24"/>
        </w:rPr>
        <w:t> </w:t>
      </w:r>
      <w:r>
        <w:rPr>
          <w:rFonts w:ascii="Segoe UI Semibold" w:hAnsi="Segoe UI Semibold"/>
          <w:b/>
          <w:i/>
          <w:color w:val="231F20"/>
          <w:spacing w:val="-2"/>
          <w:sz w:val="24"/>
        </w:rPr>
        <w:t>président</w:t>
      </w:r>
      <w:r>
        <w:rPr>
          <w:rFonts w:ascii="Segoe UI Semibold" w:hAnsi="Segoe UI Semibold"/>
          <w:b/>
          <w:i/>
          <w:color w:val="231F20"/>
          <w:spacing w:val="-15"/>
          <w:sz w:val="24"/>
        </w:rPr>
        <w:t> </w:t>
      </w:r>
      <w:r>
        <w:rPr>
          <w:rFonts w:ascii="Segoe UI Semibold" w:hAnsi="Segoe UI Semibold"/>
          <w:b/>
          <w:i/>
          <w:color w:val="231F20"/>
          <w:spacing w:val="-2"/>
          <w:sz w:val="24"/>
        </w:rPr>
        <w:t>des</w:t>
      </w:r>
      <w:r>
        <w:rPr>
          <w:rFonts w:ascii="Segoe UI Semibold" w:hAnsi="Segoe UI Semibold"/>
          <w:b/>
          <w:i/>
          <w:color w:val="231F20"/>
          <w:spacing w:val="-2"/>
          <w:sz w:val="24"/>
        </w:rPr>
        <w:t> </w:t>
      </w:r>
      <w:r>
        <w:rPr>
          <w:rFonts w:ascii="Segoe UI Semibold" w:hAnsi="Segoe UI Semibold"/>
          <w:b/>
          <w:i/>
          <w:color w:val="231F20"/>
          <w:sz w:val="24"/>
        </w:rPr>
        <w:t>États-Unis pour modifier l’application du blocus</w:t>
      </w:r>
    </w:p>
    <w:p>
      <w:pPr>
        <w:pStyle w:val="Heading4"/>
        <w:numPr>
          <w:ilvl w:val="1"/>
          <w:numId w:val="3"/>
        </w:numPr>
        <w:tabs>
          <w:tab w:pos="1881" w:val="left" w:leader="none"/>
        </w:tabs>
        <w:spacing w:line="240" w:lineRule="auto" w:before="158" w:after="0"/>
        <w:ind w:left="1474" w:right="1268" w:firstLine="0"/>
        <w:jc w:val="left"/>
      </w:pPr>
      <w:r>
        <w:rPr>
          <w:color w:val="B52628"/>
        </w:rPr>
        <w:t>Le</w:t>
      </w:r>
      <w:r>
        <w:rPr>
          <w:color w:val="B52628"/>
          <w:spacing w:val="-8"/>
        </w:rPr>
        <w:t> </w:t>
      </w:r>
      <w:r>
        <w:rPr>
          <w:color w:val="B52628"/>
        </w:rPr>
        <w:t>blocus</w:t>
      </w:r>
      <w:r>
        <w:rPr>
          <w:color w:val="B52628"/>
          <w:spacing w:val="-8"/>
        </w:rPr>
        <w:t> </w:t>
      </w:r>
      <w:r>
        <w:rPr>
          <w:color w:val="B52628"/>
        </w:rPr>
        <w:t>viole</w:t>
      </w:r>
      <w:r>
        <w:rPr>
          <w:color w:val="B52628"/>
          <w:spacing w:val="-8"/>
        </w:rPr>
        <w:t> </w:t>
      </w:r>
      <w:r>
        <w:rPr>
          <w:color w:val="B52628"/>
        </w:rPr>
        <w:t>les</w:t>
      </w:r>
      <w:r>
        <w:rPr>
          <w:color w:val="B52628"/>
          <w:spacing w:val="-8"/>
        </w:rPr>
        <w:t> </w:t>
      </w:r>
      <w:r>
        <w:rPr>
          <w:color w:val="B52628"/>
        </w:rPr>
        <w:t>droits</w:t>
      </w:r>
      <w:r>
        <w:rPr>
          <w:color w:val="B52628"/>
          <w:spacing w:val="-8"/>
        </w:rPr>
        <w:t> </w:t>
      </w:r>
      <w:r>
        <w:rPr>
          <w:color w:val="B52628"/>
        </w:rPr>
        <w:t>du peuple cubain</w:t>
      </w:r>
    </w:p>
    <w:p>
      <w:pPr>
        <w:spacing w:before="1"/>
        <w:ind w:left="2021" w:right="885" w:hanging="548"/>
        <w:jc w:val="left"/>
        <w:rPr>
          <w:rFonts w:ascii="Segoe UI Semibold" w:hAnsi="Segoe UI Semibold"/>
          <w:b/>
          <w:i/>
          <w:sz w:val="24"/>
        </w:rPr>
      </w:pPr>
      <w:r>
        <w:rPr>
          <w:b/>
          <w:i/>
          <w:color w:val="1A4796"/>
          <w:sz w:val="24"/>
        </w:rPr>
        <w:t>133/</w:t>
      </w:r>
      <w:r>
        <w:rPr>
          <w:b/>
          <w:i/>
          <w:color w:val="1A4796"/>
          <w:spacing w:val="-12"/>
          <w:sz w:val="24"/>
        </w:rPr>
        <w:t> </w:t>
      </w:r>
      <w:r>
        <w:rPr>
          <w:rFonts w:ascii="Segoe UI Semibold" w:hAnsi="Segoe UI Semibold"/>
          <w:b/>
          <w:i/>
          <w:color w:val="231F20"/>
          <w:sz w:val="24"/>
        </w:rPr>
        <w:t>Préjudices</w:t>
      </w:r>
      <w:r>
        <w:rPr>
          <w:rFonts w:ascii="Segoe UI Semibold" w:hAnsi="Segoe UI Semibold"/>
          <w:b/>
          <w:i/>
          <w:color w:val="231F20"/>
          <w:spacing w:val="-11"/>
          <w:sz w:val="24"/>
        </w:rPr>
        <w:t> </w:t>
      </w:r>
      <w:r>
        <w:rPr>
          <w:rFonts w:ascii="Segoe UI Semibold" w:hAnsi="Segoe UI Semibold"/>
          <w:b/>
          <w:i/>
          <w:color w:val="231F20"/>
          <w:sz w:val="24"/>
        </w:rPr>
        <w:t>causés</w:t>
      </w:r>
      <w:r>
        <w:rPr>
          <w:rFonts w:ascii="Segoe UI Semibold" w:hAnsi="Segoe UI Semibold"/>
          <w:b/>
          <w:i/>
          <w:color w:val="231F20"/>
          <w:spacing w:val="-11"/>
          <w:sz w:val="24"/>
        </w:rPr>
        <w:t> </w:t>
      </w:r>
      <w:r>
        <w:rPr>
          <w:rFonts w:ascii="Segoe UI Semibold" w:hAnsi="Segoe UI Semibold"/>
          <w:b/>
          <w:i/>
          <w:color w:val="231F20"/>
          <w:sz w:val="24"/>
        </w:rPr>
        <w:t>aux</w:t>
      </w:r>
      <w:r>
        <w:rPr>
          <w:rFonts w:ascii="Segoe UI Semibold" w:hAnsi="Segoe UI Semibold"/>
          <w:b/>
          <w:i/>
          <w:color w:val="231F20"/>
          <w:spacing w:val="-12"/>
          <w:sz w:val="24"/>
        </w:rPr>
        <w:t> </w:t>
      </w:r>
      <w:r>
        <w:rPr>
          <w:rFonts w:ascii="Segoe UI Semibold" w:hAnsi="Segoe UI Semibold"/>
          <w:b/>
          <w:i/>
          <w:color w:val="231F20"/>
          <w:sz w:val="24"/>
        </w:rPr>
        <w:t>secteurs</w:t>
      </w:r>
      <w:r>
        <w:rPr>
          <w:rFonts w:ascii="Segoe UI Semibold" w:hAnsi="Segoe UI Semibold"/>
          <w:b/>
          <w:i/>
          <w:color w:val="231F20"/>
          <w:sz w:val="24"/>
        </w:rPr>
        <w:t> à plus forte incidence sociale</w:t>
      </w:r>
    </w:p>
    <w:p>
      <w:pPr>
        <w:spacing w:before="0"/>
        <w:ind w:left="2021" w:right="1212" w:hanging="548"/>
        <w:jc w:val="left"/>
        <w:rPr>
          <w:rFonts w:ascii="Segoe UI Semibold" w:hAnsi="Segoe UI Semibold"/>
          <w:b/>
          <w:i/>
          <w:sz w:val="24"/>
        </w:rPr>
      </w:pPr>
      <w:r>
        <w:rPr>
          <w:b/>
          <w:i/>
          <w:color w:val="1A4796"/>
          <w:sz w:val="24"/>
        </w:rPr>
        <w:t>142/ </w:t>
      </w:r>
      <w:r>
        <w:rPr>
          <w:rFonts w:ascii="Segoe UI Semibold" w:hAnsi="Segoe UI Semibold"/>
          <w:b/>
          <w:i/>
          <w:color w:val="231F20"/>
          <w:sz w:val="24"/>
        </w:rPr>
        <w:t>Préjudices causés au</w:t>
      </w:r>
      <w:r>
        <w:rPr>
          <w:rFonts w:ascii="Segoe UI Semibold" w:hAnsi="Segoe UI Semibold"/>
          <w:b/>
          <w:i/>
          <w:color w:val="231F20"/>
          <w:sz w:val="24"/>
        </w:rPr>
        <w:t> développement</w:t>
      </w:r>
      <w:r>
        <w:rPr>
          <w:rFonts w:ascii="Segoe UI Semibold" w:hAnsi="Segoe UI Semibold"/>
          <w:b/>
          <w:i/>
          <w:color w:val="231F20"/>
          <w:spacing w:val="-17"/>
          <w:sz w:val="24"/>
        </w:rPr>
        <w:t> </w:t>
      </w:r>
      <w:r>
        <w:rPr>
          <w:rFonts w:ascii="Segoe UI Semibold" w:hAnsi="Segoe UI Semibold"/>
          <w:b/>
          <w:i/>
          <w:color w:val="231F20"/>
          <w:sz w:val="24"/>
        </w:rPr>
        <w:t>économique</w:t>
      </w:r>
    </w:p>
    <w:p>
      <w:pPr>
        <w:spacing w:line="320" w:lineRule="exact" w:before="0"/>
        <w:ind w:left="1474" w:right="0" w:firstLine="0"/>
        <w:jc w:val="left"/>
        <w:rPr>
          <w:rFonts w:ascii="Segoe UI Semibold" w:hAnsi="Segoe UI Semibold"/>
          <w:b/>
          <w:i/>
          <w:sz w:val="24"/>
        </w:rPr>
      </w:pPr>
      <w:r>
        <w:rPr>
          <w:b/>
          <w:i/>
          <w:color w:val="1A4796"/>
          <w:sz w:val="24"/>
        </w:rPr>
        <w:t>149/</w:t>
      </w:r>
      <w:r>
        <w:rPr>
          <w:b/>
          <w:i/>
          <w:color w:val="1A4796"/>
          <w:spacing w:val="-5"/>
          <w:sz w:val="24"/>
        </w:rPr>
        <w:t> </w:t>
      </w:r>
      <w:r>
        <w:rPr>
          <w:rFonts w:ascii="Segoe UI Semibold" w:hAnsi="Segoe UI Semibold"/>
          <w:b/>
          <w:i/>
          <w:color w:val="231F20"/>
          <w:sz w:val="24"/>
        </w:rPr>
        <w:t>Préjudices</w:t>
      </w:r>
      <w:r>
        <w:rPr>
          <w:rFonts w:ascii="Segoe UI Semibold" w:hAnsi="Segoe UI Semibold"/>
          <w:b/>
          <w:i/>
          <w:color w:val="231F20"/>
          <w:spacing w:val="-2"/>
          <w:sz w:val="24"/>
        </w:rPr>
        <w:t> </w:t>
      </w:r>
      <w:r>
        <w:rPr>
          <w:rFonts w:ascii="Segoe UI Semibold" w:hAnsi="Segoe UI Semibold"/>
          <w:b/>
          <w:i/>
          <w:color w:val="231F20"/>
          <w:sz w:val="24"/>
        </w:rPr>
        <w:t>humains</w:t>
      </w:r>
      <w:r>
        <w:rPr>
          <w:rFonts w:ascii="Segoe UI Semibold" w:hAnsi="Segoe UI Semibold"/>
          <w:b/>
          <w:i/>
          <w:color w:val="231F20"/>
          <w:spacing w:val="-2"/>
          <w:sz w:val="24"/>
        </w:rPr>
        <w:t> </w:t>
      </w:r>
      <w:r>
        <w:rPr>
          <w:rFonts w:ascii="Segoe UI Semibold" w:hAnsi="Segoe UI Semibold"/>
          <w:b/>
          <w:i/>
          <w:color w:val="231F20"/>
          <w:sz w:val="24"/>
        </w:rPr>
        <w:t>non</w:t>
      </w:r>
      <w:r>
        <w:rPr>
          <w:rFonts w:ascii="Segoe UI Semibold" w:hAnsi="Segoe UI Semibold"/>
          <w:b/>
          <w:i/>
          <w:color w:val="231F20"/>
          <w:spacing w:val="-1"/>
          <w:sz w:val="24"/>
        </w:rPr>
        <w:t> </w:t>
      </w:r>
      <w:r>
        <w:rPr>
          <w:rFonts w:ascii="Segoe UI Semibold" w:hAnsi="Segoe UI Semibold"/>
          <w:b/>
          <w:i/>
          <w:color w:val="231F20"/>
          <w:spacing w:val="-2"/>
          <w:sz w:val="24"/>
        </w:rPr>
        <w:t>quantifiables</w:t>
      </w:r>
    </w:p>
    <w:p>
      <w:pPr>
        <w:pStyle w:val="Heading4"/>
        <w:numPr>
          <w:ilvl w:val="1"/>
          <w:numId w:val="3"/>
        </w:numPr>
        <w:tabs>
          <w:tab w:pos="1924" w:val="left" w:leader="none"/>
        </w:tabs>
        <w:spacing w:line="240" w:lineRule="auto" w:before="160" w:after="0"/>
        <w:ind w:left="1474" w:right="0" w:firstLine="0"/>
        <w:jc w:val="left"/>
      </w:pPr>
      <w:r>
        <w:rPr>
          <w:color w:val="B52628"/>
        </w:rPr>
        <w:t>Préjudices</w:t>
      </w:r>
      <w:r>
        <w:rPr>
          <w:color w:val="B52628"/>
          <w:spacing w:val="10"/>
        </w:rPr>
        <w:t> </w:t>
      </w:r>
      <w:r>
        <w:rPr>
          <w:color w:val="B52628"/>
        </w:rPr>
        <w:t>causés</w:t>
      </w:r>
      <w:r>
        <w:rPr>
          <w:color w:val="B52628"/>
          <w:spacing w:val="10"/>
        </w:rPr>
        <w:t> </w:t>
      </w:r>
      <w:r>
        <w:rPr>
          <w:color w:val="B52628"/>
        </w:rPr>
        <w:t>au</w:t>
      </w:r>
      <w:r>
        <w:rPr>
          <w:color w:val="B52628"/>
          <w:spacing w:val="10"/>
        </w:rPr>
        <w:t> </w:t>
      </w:r>
      <w:r>
        <w:rPr>
          <w:color w:val="B52628"/>
        </w:rPr>
        <w:t>secteur</w:t>
      </w:r>
      <w:r>
        <w:rPr>
          <w:color w:val="B52628"/>
          <w:spacing w:val="10"/>
        </w:rPr>
        <w:t> </w:t>
      </w:r>
      <w:r>
        <w:rPr>
          <w:color w:val="B52628"/>
        </w:rPr>
        <w:t>extérieur de l’économie cubaine</w:t>
      </w:r>
    </w:p>
    <w:p>
      <w:pPr>
        <w:spacing w:line="320" w:lineRule="exact" w:before="1"/>
        <w:ind w:left="1474" w:right="0" w:firstLine="0"/>
        <w:jc w:val="left"/>
        <w:rPr>
          <w:rFonts w:ascii="Segoe UI Semibold" w:hAnsi="Segoe UI Semibold"/>
          <w:b/>
          <w:i/>
          <w:sz w:val="24"/>
        </w:rPr>
      </w:pPr>
      <w:r>
        <w:rPr>
          <w:b/>
          <w:i/>
          <w:color w:val="1A4796"/>
          <w:spacing w:val="-4"/>
          <w:sz w:val="24"/>
        </w:rPr>
        <w:t>151/</w:t>
      </w:r>
      <w:r>
        <w:rPr>
          <w:b/>
          <w:i/>
          <w:color w:val="1A4796"/>
          <w:spacing w:val="-11"/>
          <w:sz w:val="24"/>
        </w:rPr>
        <w:t> </w:t>
      </w:r>
      <w:r>
        <w:rPr>
          <w:rFonts w:ascii="Segoe UI Semibold" w:hAnsi="Segoe UI Semibold"/>
          <w:b/>
          <w:i/>
          <w:color w:val="231F20"/>
          <w:spacing w:val="-4"/>
          <w:sz w:val="24"/>
        </w:rPr>
        <w:t>Préjudices</w:t>
      </w:r>
      <w:r>
        <w:rPr>
          <w:rFonts w:ascii="Segoe UI Semibold" w:hAnsi="Segoe UI Semibold"/>
          <w:b/>
          <w:i/>
          <w:color w:val="231F20"/>
          <w:spacing w:val="-13"/>
          <w:sz w:val="24"/>
        </w:rPr>
        <w:t> </w:t>
      </w:r>
      <w:r>
        <w:rPr>
          <w:rFonts w:ascii="Segoe UI Semibold" w:hAnsi="Segoe UI Semibold"/>
          <w:b/>
          <w:i/>
          <w:color w:val="231F20"/>
          <w:spacing w:val="-4"/>
          <w:sz w:val="24"/>
        </w:rPr>
        <w:t>causés</w:t>
      </w:r>
      <w:r>
        <w:rPr>
          <w:rFonts w:ascii="Segoe UI Semibold" w:hAnsi="Segoe UI Semibold"/>
          <w:b/>
          <w:i/>
          <w:color w:val="231F20"/>
          <w:spacing w:val="-13"/>
          <w:sz w:val="24"/>
        </w:rPr>
        <w:t> </w:t>
      </w:r>
      <w:r>
        <w:rPr>
          <w:rFonts w:ascii="Segoe UI Semibold" w:hAnsi="Segoe UI Semibold"/>
          <w:b/>
          <w:i/>
          <w:color w:val="231F20"/>
          <w:spacing w:val="-4"/>
          <w:sz w:val="24"/>
        </w:rPr>
        <w:t>au</w:t>
      </w:r>
      <w:r>
        <w:rPr>
          <w:rFonts w:ascii="Segoe UI Semibold" w:hAnsi="Segoe UI Semibold"/>
          <w:b/>
          <w:i/>
          <w:color w:val="231F20"/>
          <w:spacing w:val="-13"/>
          <w:sz w:val="24"/>
        </w:rPr>
        <w:t> </w:t>
      </w:r>
      <w:r>
        <w:rPr>
          <w:rFonts w:ascii="Segoe UI Semibold" w:hAnsi="Segoe UI Semibold"/>
          <w:b/>
          <w:i/>
          <w:color w:val="231F20"/>
          <w:spacing w:val="-4"/>
          <w:sz w:val="24"/>
        </w:rPr>
        <w:t>commerce</w:t>
      </w:r>
      <w:r>
        <w:rPr>
          <w:rFonts w:ascii="Segoe UI Semibold" w:hAnsi="Segoe UI Semibold"/>
          <w:b/>
          <w:i/>
          <w:color w:val="231F20"/>
          <w:spacing w:val="-13"/>
          <w:sz w:val="24"/>
        </w:rPr>
        <w:t> </w:t>
      </w:r>
      <w:r>
        <w:rPr>
          <w:rFonts w:ascii="Segoe UI Semibold" w:hAnsi="Segoe UI Semibold"/>
          <w:b/>
          <w:i/>
          <w:color w:val="231F20"/>
          <w:spacing w:val="-4"/>
          <w:sz w:val="24"/>
        </w:rPr>
        <w:t>extérieur</w:t>
      </w:r>
    </w:p>
    <w:p>
      <w:pPr>
        <w:spacing w:before="0"/>
        <w:ind w:left="2021" w:right="168" w:hanging="548"/>
        <w:jc w:val="left"/>
        <w:rPr>
          <w:rFonts w:ascii="Segoe UI Semibold" w:hAnsi="Segoe UI Semibold"/>
          <w:b/>
          <w:i/>
          <w:sz w:val="24"/>
        </w:rPr>
      </w:pPr>
      <w:r>
        <w:rPr>
          <w:b/>
          <w:i/>
          <w:color w:val="1A4796"/>
          <w:spacing w:val="-2"/>
          <w:sz w:val="24"/>
        </w:rPr>
        <w:t>152/</w:t>
      </w:r>
      <w:r>
        <w:rPr>
          <w:b/>
          <w:i/>
          <w:color w:val="1A4796"/>
          <w:spacing w:val="-15"/>
          <w:sz w:val="24"/>
        </w:rPr>
        <w:t> </w:t>
      </w:r>
      <w:r>
        <w:rPr>
          <w:rFonts w:ascii="Segoe UI Semibold" w:hAnsi="Segoe UI Semibold"/>
          <w:b/>
          <w:i/>
          <w:color w:val="231F20"/>
          <w:spacing w:val="-2"/>
          <w:sz w:val="24"/>
        </w:rPr>
        <w:t>Préjudices</w:t>
      </w:r>
      <w:r>
        <w:rPr>
          <w:rFonts w:ascii="Segoe UI Semibold" w:hAnsi="Segoe UI Semibold"/>
          <w:b/>
          <w:i/>
          <w:color w:val="231F20"/>
          <w:spacing w:val="-14"/>
          <w:sz w:val="24"/>
        </w:rPr>
        <w:t> </w:t>
      </w:r>
      <w:r>
        <w:rPr>
          <w:rFonts w:ascii="Segoe UI Semibold" w:hAnsi="Segoe UI Semibold"/>
          <w:b/>
          <w:i/>
          <w:color w:val="231F20"/>
          <w:spacing w:val="-2"/>
          <w:sz w:val="24"/>
        </w:rPr>
        <w:t>causés</w:t>
      </w:r>
      <w:r>
        <w:rPr>
          <w:rFonts w:ascii="Segoe UI Semibold" w:hAnsi="Segoe UI Semibold"/>
          <w:b/>
          <w:i/>
          <w:color w:val="231F20"/>
          <w:spacing w:val="-15"/>
          <w:sz w:val="24"/>
        </w:rPr>
        <w:t> </w:t>
      </w:r>
      <w:r>
        <w:rPr>
          <w:rFonts w:ascii="Segoe UI Semibold" w:hAnsi="Segoe UI Semibold"/>
          <w:b/>
          <w:i/>
          <w:color w:val="231F20"/>
          <w:spacing w:val="-2"/>
          <w:sz w:val="24"/>
        </w:rPr>
        <w:t>au</w:t>
      </w:r>
      <w:r>
        <w:rPr>
          <w:rFonts w:ascii="Segoe UI Semibold" w:hAnsi="Segoe UI Semibold"/>
          <w:b/>
          <w:i/>
          <w:color w:val="231F20"/>
          <w:spacing w:val="-14"/>
          <w:sz w:val="24"/>
        </w:rPr>
        <w:t> </w:t>
      </w:r>
      <w:r>
        <w:rPr>
          <w:rFonts w:ascii="Segoe UI Semibold" w:hAnsi="Segoe UI Semibold"/>
          <w:b/>
          <w:i/>
          <w:color w:val="231F20"/>
          <w:spacing w:val="-2"/>
          <w:sz w:val="24"/>
        </w:rPr>
        <w:t>secteur</w:t>
      </w:r>
      <w:r>
        <w:rPr>
          <w:rFonts w:ascii="Segoe UI Semibold" w:hAnsi="Segoe UI Semibold"/>
          <w:b/>
          <w:i/>
          <w:color w:val="231F20"/>
          <w:spacing w:val="-15"/>
          <w:sz w:val="24"/>
        </w:rPr>
        <w:t> </w:t>
      </w:r>
      <w:r>
        <w:rPr>
          <w:rFonts w:ascii="Segoe UI Semibold" w:hAnsi="Segoe UI Semibold"/>
          <w:b/>
          <w:i/>
          <w:color w:val="231F20"/>
          <w:spacing w:val="-2"/>
          <w:sz w:val="24"/>
        </w:rPr>
        <w:t>bancaire</w:t>
      </w:r>
      <w:r>
        <w:rPr>
          <w:rFonts w:ascii="Segoe UI Semibold" w:hAnsi="Segoe UI Semibold"/>
          <w:b/>
          <w:i/>
          <w:color w:val="231F20"/>
          <w:spacing w:val="-2"/>
          <w:sz w:val="24"/>
        </w:rPr>
        <w:t> </w:t>
      </w:r>
      <w:r>
        <w:rPr>
          <w:rFonts w:ascii="Segoe UI Semibold" w:hAnsi="Segoe UI Semibold"/>
          <w:b/>
          <w:i/>
          <w:color w:val="231F20"/>
          <w:sz w:val="24"/>
        </w:rPr>
        <w:t>et financier</w:t>
      </w:r>
    </w:p>
    <w:p>
      <w:pPr>
        <w:pStyle w:val="Heading4"/>
        <w:numPr>
          <w:ilvl w:val="1"/>
          <w:numId w:val="3"/>
        </w:numPr>
        <w:tabs>
          <w:tab w:pos="1929" w:val="left" w:leader="none"/>
        </w:tabs>
        <w:spacing w:line="240" w:lineRule="auto" w:before="160" w:after="0"/>
        <w:ind w:left="1474" w:right="0" w:firstLine="0"/>
        <w:jc w:val="left"/>
      </w:pPr>
      <w:r>
        <w:rPr>
          <w:color w:val="B52628"/>
        </w:rPr>
        <w:t>Le</w:t>
      </w:r>
      <w:r>
        <w:rPr>
          <w:color w:val="B52628"/>
          <w:spacing w:val="33"/>
        </w:rPr>
        <w:t> </w:t>
      </w:r>
      <w:r>
        <w:rPr>
          <w:color w:val="B52628"/>
        </w:rPr>
        <w:t>blocus</w:t>
      </w:r>
      <w:r>
        <w:rPr>
          <w:color w:val="B52628"/>
          <w:spacing w:val="33"/>
        </w:rPr>
        <w:t> </w:t>
      </w:r>
      <w:r>
        <w:rPr>
          <w:color w:val="B52628"/>
        </w:rPr>
        <w:t>viole</w:t>
      </w:r>
      <w:r>
        <w:rPr>
          <w:color w:val="B52628"/>
          <w:spacing w:val="33"/>
        </w:rPr>
        <w:t> </w:t>
      </w:r>
      <w:r>
        <w:rPr>
          <w:color w:val="B52628"/>
        </w:rPr>
        <w:t>le</w:t>
      </w:r>
      <w:r>
        <w:rPr>
          <w:color w:val="B52628"/>
          <w:spacing w:val="33"/>
        </w:rPr>
        <w:t> </w:t>
      </w:r>
      <w:r>
        <w:rPr>
          <w:color w:val="B52628"/>
        </w:rPr>
        <w:t>droit</w:t>
      </w:r>
      <w:r>
        <w:rPr>
          <w:color w:val="B52628"/>
          <w:spacing w:val="33"/>
        </w:rPr>
        <w:t> </w:t>
      </w:r>
      <w:r>
        <w:rPr>
          <w:color w:val="B52628"/>
        </w:rPr>
        <w:t>international. Application extraterritoriale</w:t>
      </w:r>
    </w:p>
    <w:p>
      <w:pPr>
        <w:spacing w:before="0"/>
        <w:ind w:left="2021" w:right="168" w:hanging="548"/>
        <w:jc w:val="left"/>
        <w:rPr>
          <w:rFonts w:ascii="Segoe UI Semibold" w:hAnsi="Segoe UI Semibold"/>
          <w:b/>
          <w:i/>
          <w:sz w:val="24"/>
        </w:rPr>
      </w:pPr>
      <w:r>
        <w:rPr>
          <w:b/>
          <w:i/>
          <w:color w:val="1A4796"/>
          <w:sz w:val="24"/>
        </w:rPr>
        <w:t>155/</w:t>
      </w:r>
      <w:r>
        <w:rPr>
          <w:b/>
          <w:i/>
          <w:color w:val="1A4796"/>
          <w:spacing w:val="-8"/>
          <w:sz w:val="24"/>
        </w:rPr>
        <w:t> </w:t>
      </w:r>
      <w:r>
        <w:rPr>
          <w:rFonts w:ascii="Segoe UI Semibold" w:hAnsi="Segoe UI Semibold"/>
          <w:b/>
          <w:i/>
          <w:color w:val="231F20"/>
          <w:sz w:val="24"/>
        </w:rPr>
        <w:t>Préjudices</w:t>
      </w:r>
      <w:r>
        <w:rPr>
          <w:rFonts w:ascii="Segoe UI Semibold" w:hAnsi="Segoe UI Semibold"/>
          <w:b/>
          <w:i/>
          <w:color w:val="231F20"/>
          <w:spacing w:val="-8"/>
          <w:sz w:val="24"/>
        </w:rPr>
        <w:t> </w:t>
      </w:r>
      <w:r>
        <w:rPr>
          <w:rFonts w:ascii="Segoe UI Semibold" w:hAnsi="Segoe UI Semibold"/>
          <w:b/>
          <w:i/>
          <w:color w:val="231F20"/>
          <w:sz w:val="24"/>
        </w:rPr>
        <w:t>causés</w:t>
      </w:r>
      <w:r>
        <w:rPr>
          <w:rFonts w:ascii="Segoe UI Semibold" w:hAnsi="Segoe UI Semibold"/>
          <w:b/>
          <w:i/>
          <w:color w:val="231F20"/>
          <w:spacing w:val="-8"/>
          <w:sz w:val="24"/>
        </w:rPr>
        <w:t> </w:t>
      </w:r>
      <w:r>
        <w:rPr>
          <w:rFonts w:ascii="Segoe UI Semibold" w:hAnsi="Segoe UI Semibold"/>
          <w:b/>
          <w:i/>
          <w:color w:val="231F20"/>
          <w:sz w:val="24"/>
        </w:rPr>
        <w:t>à</w:t>
      </w:r>
      <w:r>
        <w:rPr>
          <w:rFonts w:ascii="Segoe UI Semibold" w:hAnsi="Segoe UI Semibold"/>
          <w:b/>
          <w:i/>
          <w:color w:val="231F20"/>
          <w:spacing w:val="-8"/>
          <w:sz w:val="24"/>
        </w:rPr>
        <w:t> </w:t>
      </w:r>
      <w:r>
        <w:rPr>
          <w:rFonts w:ascii="Segoe UI Semibold" w:hAnsi="Segoe UI Semibold"/>
          <w:b/>
          <w:i/>
          <w:color w:val="231F20"/>
          <w:sz w:val="24"/>
        </w:rPr>
        <w:t>des</w:t>
      </w:r>
      <w:r>
        <w:rPr>
          <w:rFonts w:ascii="Segoe UI Semibold" w:hAnsi="Segoe UI Semibold"/>
          <w:b/>
          <w:i/>
          <w:color w:val="231F20"/>
          <w:spacing w:val="-8"/>
          <w:sz w:val="24"/>
        </w:rPr>
        <w:t> </w:t>
      </w:r>
      <w:r>
        <w:rPr>
          <w:rFonts w:ascii="Segoe UI Semibold" w:hAnsi="Segoe UI Semibold"/>
          <w:b/>
          <w:i/>
          <w:color w:val="231F20"/>
          <w:sz w:val="24"/>
        </w:rPr>
        <w:t>entités</w:t>
      </w:r>
      <w:r>
        <w:rPr>
          <w:rFonts w:ascii="Segoe UI Semibold" w:hAnsi="Segoe UI Semibold"/>
          <w:b/>
          <w:i/>
          <w:color w:val="231F20"/>
          <w:spacing w:val="-8"/>
          <w:sz w:val="24"/>
        </w:rPr>
        <w:t> </w:t>
      </w:r>
      <w:r>
        <w:rPr>
          <w:rFonts w:ascii="Segoe UI Semibold" w:hAnsi="Segoe UI Semibold"/>
          <w:b/>
          <w:i/>
          <w:color w:val="231F20"/>
          <w:sz w:val="24"/>
        </w:rPr>
        <w:t>de</w:t>
      </w:r>
      <w:r>
        <w:rPr>
          <w:rFonts w:ascii="Segoe UI Semibold" w:hAnsi="Segoe UI Semibold"/>
          <w:b/>
          <w:i/>
          <w:color w:val="231F20"/>
          <w:sz w:val="24"/>
        </w:rPr>
        <w:t> droit cubaines</w:t>
      </w:r>
    </w:p>
    <w:p>
      <w:pPr>
        <w:spacing w:line="320" w:lineRule="exact" w:before="0"/>
        <w:ind w:left="1474" w:right="0" w:firstLine="0"/>
        <w:jc w:val="left"/>
        <w:rPr>
          <w:rFonts w:ascii="Segoe UI Semibold" w:hAnsi="Segoe UI Semibold"/>
          <w:b/>
          <w:i/>
          <w:sz w:val="24"/>
        </w:rPr>
      </w:pPr>
      <w:r>
        <w:rPr>
          <w:b/>
          <w:i/>
          <w:color w:val="1A4796"/>
          <w:spacing w:val="-2"/>
          <w:sz w:val="24"/>
        </w:rPr>
        <w:t>156/</w:t>
      </w:r>
      <w:r>
        <w:rPr>
          <w:b/>
          <w:i/>
          <w:color w:val="1A4796"/>
          <w:spacing w:val="-12"/>
          <w:sz w:val="24"/>
        </w:rPr>
        <w:t> </w:t>
      </w:r>
      <w:r>
        <w:rPr>
          <w:rFonts w:ascii="Segoe UI Semibold" w:hAnsi="Segoe UI Semibold"/>
          <w:b/>
          <w:i/>
          <w:color w:val="231F20"/>
          <w:spacing w:val="-2"/>
          <w:sz w:val="24"/>
        </w:rPr>
        <w:t>Autres</w:t>
      </w:r>
      <w:r>
        <w:rPr>
          <w:rFonts w:ascii="Segoe UI Semibold" w:hAnsi="Segoe UI Semibold"/>
          <w:b/>
          <w:i/>
          <w:color w:val="231F20"/>
          <w:spacing w:val="-11"/>
          <w:sz w:val="24"/>
        </w:rPr>
        <w:t> </w:t>
      </w:r>
      <w:r>
        <w:rPr>
          <w:rFonts w:ascii="Segoe UI Semibold" w:hAnsi="Segoe UI Semibold"/>
          <w:b/>
          <w:i/>
          <w:color w:val="231F20"/>
          <w:spacing w:val="-2"/>
          <w:sz w:val="24"/>
        </w:rPr>
        <w:t>préjudices</w:t>
      </w:r>
      <w:r>
        <w:rPr>
          <w:rFonts w:ascii="Segoe UI Semibold" w:hAnsi="Segoe UI Semibold"/>
          <w:b/>
          <w:i/>
          <w:color w:val="231F20"/>
          <w:spacing w:val="-10"/>
          <w:sz w:val="24"/>
        </w:rPr>
        <w:t> </w:t>
      </w:r>
      <w:r>
        <w:rPr>
          <w:rFonts w:ascii="Segoe UI Semibold" w:hAnsi="Segoe UI Semibold"/>
          <w:b/>
          <w:i/>
          <w:color w:val="231F20"/>
          <w:spacing w:val="-2"/>
          <w:sz w:val="24"/>
        </w:rPr>
        <w:t>extraterritoriaux</w:t>
      </w:r>
    </w:p>
    <w:p>
      <w:pPr>
        <w:pStyle w:val="Heading4"/>
        <w:numPr>
          <w:ilvl w:val="1"/>
          <w:numId w:val="3"/>
        </w:numPr>
        <w:tabs>
          <w:tab w:pos="725" w:val="left" w:leader="none"/>
        </w:tabs>
        <w:spacing w:line="319" w:lineRule="exact" w:before="101" w:after="0"/>
        <w:ind w:left="725" w:right="0" w:hanging="396"/>
        <w:jc w:val="left"/>
      </w:pPr>
      <w:r>
        <w:rPr>
          <w:b w:val="0"/>
        </w:rPr>
        <w:br w:type="column"/>
      </w:r>
      <w:r>
        <w:rPr>
          <w:color w:val="B52628"/>
          <w:spacing w:val="-2"/>
        </w:rPr>
        <w:t>Rejet</w:t>
      </w:r>
      <w:r>
        <w:rPr>
          <w:color w:val="B52628"/>
          <w:spacing w:val="-10"/>
        </w:rPr>
        <w:t> </w:t>
      </w:r>
      <w:r>
        <w:rPr>
          <w:color w:val="B52628"/>
          <w:spacing w:val="-2"/>
        </w:rPr>
        <w:t>universel</w:t>
      </w:r>
      <w:r>
        <w:rPr>
          <w:color w:val="B52628"/>
          <w:spacing w:val="-9"/>
        </w:rPr>
        <w:t> </w:t>
      </w:r>
      <w:r>
        <w:rPr>
          <w:color w:val="B52628"/>
          <w:spacing w:val="-2"/>
        </w:rPr>
        <w:t>du</w:t>
      </w:r>
      <w:r>
        <w:rPr>
          <w:color w:val="B52628"/>
          <w:spacing w:val="-9"/>
        </w:rPr>
        <w:t> </w:t>
      </w:r>
      <w:r>
        <w:rPr>
          <w:color w:val="B52628"/>
          <w:spacing w:val="-2"/>
        </w:rPr>
        <w:t>blocus</w:t>
      </w:r>
    </w:p>
    <w:p>
      <w:pPr>
        <w:spacing w:line="320" w:lineRule="exact" w:before="0"/>
        <w:ind w:left="329" w:right="0" w:firstLine="0"/>
        <w:jc w:val="left"/>
        <w:rPr>
          <w:rFonts w:ascii="Segoe UI Semibold" w:hAnsi="Segoe UI Semibold"/>
          <w:b/>
          <w:i/>
          <w:sz w:val="24"/>
        </w:rPr>
      </w:pPr>
      <w:r>
        <w:rPr>
          <w:b/>
          <w:i/>
          <w:color w:val="1A4796"/>
          <w:sz w:val="24"/>
        </w:rPr>
        <w:t>158/</w:t>
      </w:r>
      <w:r>
        <w:rPr>
          <w:b/>
          <w:i/>
          <w:color w:val="1A4796"/>
          <w:spacing w:val="-6"/>
          <w:sz w:val="24"/>
        </w:rPr>
        <w:t> </w:t>
      </w:r>
      <w:r>
        <w:rPr>
          <w:rFonts w:ascii="Segoe UI Semibold" w:hAnsi="Segoe UI Semibold"/>
          <w:b/>
          <w:i/>
          <w:color w:val="231F20"/>
          <w:sz w:val="24"/>
        </w:rPr>
        <w:t>Opposition</w:t>
      </w:r>
      <w:r>
        <w:rPr>
          <w:rFonts w:ascii="Segoe UI Semibold" w:hAnsi="Segoe UI Semibold"/>
          <w:b/>
          <w:i/>
          <w:color w:val="231F20"/>
          <w:spacing w:val="-4"/>
          <w:sz w:val="24"/>
        </w:rPr>
        <w:t> </w:t>
      </w:r>
      <w:r>
        <w:rPr>
          <w:rFonts w:ascii="Segoe UI Semibold" w:hAnsi="Segoe UI Semibold"/>
          <w:b/>
          <w:i/>
          <w:color w:val="231F20"/>
          <w:sz w:val="24"/>
        </w:rPr>
        <w:t>aux</w:t>
      </w:r>
      <w:r>
        <w:rPr>
          <w:rFonts w:ascii="Segoe UI Semibold" w:hAnsi="Segoe UI Semibold"/>
          <w:b/>
          <w:i/>
          <w:color w:val="231F20"/>
          <w:spacing w:val="-5"/>
          <w:sz w:val="24"/>
        </w:rPr>
        <w:t> </w:t>
      </w:r>
      <w:r>
        <w:rPr>
          <w:rFonts w:ascii="Segoe UI Semibold" w:hAnsi="Segoe UI Semibold"/>
          <w:b/>
          <w:i/>
          <w:color w:val="231F20"/>
          <w:sz w:val="24"/>
        </w:rPr>
        <w:t>États-</w:t>
      </w:r>
      <w:r>
        <w:rPr>
          <w:rFonts w:ascii="Segoe UI Semibold" w:hAnsi="Segoe UI Semibold"/>
          <w:b/>
          <w:i/>
          <w:color w:val="231F20"/>
          <w:spacing w:val="-4"/>
          <w:sz w:val="24"/>
        </w:rPr>
        <w:t>Unis</w:t>
      </w:r>
    </w:p>
    <w:p>
      <w:pPr>
        <w:spacing w:before="0"/>
        <w:ind w:left="913" w:right="56" w:hanging="584"/>
        <w:jc w:val="left"/>
        <w:rPr>
          <w:rFonts w:ascii="Segoe UI Semibold" w:hAnsi="Segoe UI Semibold"/>
          <w:b/>
          <w:i/>
          <w:sz w:val="24"/>
        </w:rPr>
      </w:pPr>
      <w:r>
        <w:rPr>
          <w:b/>
          <w:i/>
          <w:color w:val="1A4796"/>
          <w:spacing w:val="-2"/>
          <w:sz w:val="24"/>
        </w:rPr>
        <w:t>164/</w:t>
      </w:r>
      <w:r>
        <w:rPr>
          <w:b/>
          <w:i/>
          <w:color w:val="1A4796"/>
          <w:spacing w:val="-15"/>
          <w:sz w:val="24"/>
        </w:rPr>
        <w:t> </w:t>
      </w:r>
      <w:r>
        <w:rPr>
          <w:rFonts w:ascii="Segoe UI Semibold" w:hAnsi="Segoe UI Semibold"/>
          <w:b/>
          <w:i/>
          <w:color w:val="231F20"/>
          <w:spacing w:val="-2"/>
          <w:sz w:val="24"/>
        </w:rPr>
        <w:t>Opposition</w:t>
      </w:r>
      <w:r>
        <w:rPr>
          <w:rFonts w:ascii="Segoe UI Semibold" w:hAnsi="Segoe UI Semibold"/>
          <w:b/>
          <w:i/>
          <w:color w:val="231F20"/>
          <w:spacing w:val="-14"/>
          <w:sz w:val="24"/>
        </w:rPr>
        <w:t> </w:t>
      </w:r>
      <w:r>
        <w:rPr>
          <w:rFonts w:ascii="Segoe UI Semibold" w:hAnsi="Segoe UI Semibold"/>
          <w:b/>
          <w:i/>
          <w:color w:val="231F20"/>
          <w:spacing w:val="-2"/>
          <w:sz w:val="24"/>
        </w:rPr>
        <w:t>de</w:t>
      </w:r>
      <w:r>
        <w:rPr>
          <w:rFonts w:ascii="Segoe UI Semibold" w:hAnsi="Segoe UI Semibold"/>
          <w:b/>
          <w:i/>
          <w:color w:val="231F20"/>
          <w:spacing w:val="-15"/>
          <w:sz w:val="24"/>
        </w:rPr>
        <w:t> </w:t>
      </w:r>
      <w:r>
        <w:rPr>
          <w:rFonts w:ascii="Segoe UI Semibold" w:hAnsi="Segoe UI Semibold"/>
          <w:b/>
          <w:i/>
          <w:color w:val="231F20"/>
          <w:spacing w:val="-2"/>
          <w:sz w:val="24"/>
        </w:rPr>
        <w:t>la</w:t>
      </w:r>
      <w:r>
        <w:rPr>
          <w:rFonts w:ascii="Segoe UI Semibold" w:hAnsi="Segoe UI Semibold"/>
          <w:b/>
          <w:i/>
          <w:color w:val="231F20"/>
          <w:spacing w:val="-14"/>
          <w:sz w:val="24"/>
        </w:rPr>
        <w:t> </w:t>
      </w:r>
      <w:r>
        <w:rPr>
          <w:rFonts w:ascii="Segoe UI Semibold" w:hAnsi="Segoe UI Semibold"/>
          <w:b/>
          <w:i/>
          <w:color w:val="231F20"/>
          <w:spacing w:val="-2"/>
          <w:sz w:val="24"/>
        </w:rPr>
        <w:t>communauté</w:t>
      </w:r>
      <w:r>
        <w:rPr>
          <w:rFonts w:ascii="Segoe UI Semibold" w:hAnsi="Segoe UI Semibold"/>
          <w:b/>
          <w:i/>
          <w:color w:val="231F20"/>
          <w:spacing w:val="-2"/>
          <w:sz w:val="24"/>
        </w:rPr>
        <w:t> internationale</w:t>
      </w:r>
    </w:p>
    <w:p>
      <w:pPr>
        <w:pStyle w:val="Heading4"/>
        <w:spacing w:line="480" w:lineRule="exact" w:before="35"/>
        <w:ind w:left="329" w:right="2865"/>
      </w:pPr>
      <w:r>
        <w:rPr>
          <w:color w:val="1A4796"/>
        </w:rPr>
        <w:t>180/</w:t>
      </w:r>
      <w:r>
        <w:rPr>
          <w:color w:val="1A4796"/>
          <w:spacing w:val="-17"/>
        </w:rPr>
        <w:t> </w:t>
      </w:r>
      <w:r>
        <w:rPr>
          <w:color w:val="231F20"/>
        </w:rPr>
        <w:t>Conclusions </w:t>
      </w:r>
      <w:r>
        <w:rPr>
          <w:color w:val="1A4796"/>
        </w:rPr>
        <w:t>172/ </w:t>
      </w:r>
      <w:r>
        <w:rPr>
          <w:color w:val="231F20"/>
        </w:rPr>
        <w:t>Annexes</w:t>
      </w:r>
    </w:p>
    <w:p>
      <w:pPr>
        <w:pStyle w:val="ListParagraph"/>
        <w:numPr>
          <w:ilvl w:val="2"/>
          <w:numId w:val="3"/>
        </w:numPr>
        <w:tabs>
          <w:tab w:pos="515" w:val="left" w:leader="none"/>
        </w:tabs>
        <w:spacing w:line="284" w:lineRule="exact" w:before="0" w:after="0"/>
        <w:ind w:left="515" w:right="0" w:hanging="186"/>
        <w:jc w:val="left"/>
        <w:rPr>
          <w:rFonts w:ascii="Segoe UI Semibold" w:hAnsi="Segoe UI Semibold"/>
          <w:b/>
          <w:i/>
          <w:sz w:val="24"/>
        </w:rPr>
      </w:pPr>
      <w:r>
        <w:rPr>
          <w:rFonts w:ascii="Segoe UI Semibold" w:hAnsi="Segoe UI Semibold"/>
          <w:b/>
          <w:i/>
          <w:color w:val="231F20"/>
          <w:spacing w:val="-2"/>
          <w:sz w:val="24"/>
        </w:rPr>
        <w:t>Résumé</w:t>
      </w:r>
      <w:r>
        <w:rPr>
          <w:rFonts w:ascii="Segoe UI Semibold" w:hAnsi="Segoe UI Semibold"/>
          <w:b/>
          <w:i/>
          <w:color w:val="231F20"/>
          <w:spacing w:val="-14"/>
          <w:sz w:val="24"/>
        </w:rPr>
        <w:t> </w:t>
      </w:r>
      <w:r>
        <w:rPr>
          <w:rFonts w:ascii="Segoe UI Semibold" w:hAnsi="Segoe UI Semibold"/>
          <w:b/>
          <w:i/>
          <w:color w:val="231F20"/>
          <w:spacing w:val="-2"/>
          <w:sz w:val="24"/>
        </w:rPr>
        <w:t>des</w:t>
      </w:r>
      <w:r>
        <w:rPr>
          <w:rFonts w:ascii="Segoe UI Semibold" w:hAnsi="Segoe UI Semibold"/>
          <w:b/>
          <w:i/>
          <w:color w:val="231F20"/>
          <w:spacing w:val="-12"/>
          <w:sz w:val="24"/>
        </w:rPr>
        <w:t> </w:t>
      </w:r>
      <w:r>
        <w:rPr>
          <w:rFonts w:ascii="Segoe UI Semibold" w:hAnsi="Segoe UI Semibold"/>
          <w:b/>
          <w:i/>
          <w:color w:val="231F20"/>
          <w:spacing w:val="-2"/>
          <w:sz w:val="24"/>
        </w:rPr>
        <w:t>préjudices</w:t>
      </w:r>
      <w:r>
        <w:rPr>
          <w:rFonts w:ascii="Segoe UI Semibold" w:hAnsi="Segoe UI Semibold"/>
          <w:b/>
          <w:i/>
          <w:color w:val="231F20"/>
          <w:spacing w:val="-12"/>
          <w:sz w:val="24"/>
        </w:rPr>
        <w:t> </w:t>
      </w:r>
      <w:r>
        <w:rPr>
          <w:rFonts w:ascii="Segoe UI Semibold" w:hAnsi="Segoe UI Semibold"/>
          <w:b/>
          <w:i/>
          <w:color w:val="231F20"/>
          <w:spacing w:val="-2"/>
          <w:sz w:val="24"/>
        </w:rPr>
        <w:t>quantifiés</w:t>
      </w:r>
      <w:r>
        <w:rPr>
          <w:rFonts w:ascii="Segoe UI Semibold" w:hAnsi="Segoe UI Semibold"/>
          <w:b/>
          <w:i/>
          <w:color w:val="231F20"/>
          <w:spacing w:val="-12"/>
          <w:sz w:val="24"/>
        </w:rPr>
        <w:t> </w:t>
      </w:r>
      <w:r>
        <w:rPr>
          <w:rFonts w:ascii="Segoe UI Semibold" w:hAnsi="Segoe UI Semibold"/>
          <w:b/>
          <w:i/>
          <w:color w:val="231F20"/>
          <w:spacing w:val="-5"/>
          <w:sz w:val="24"/>
        </w:rPr>
        <w:t>par</w:t>
      </w:r>
    </w:p>
    <w:p>
      <w:pPr>
        <w:spacing w:before="0"/>
        <w:ind w:left="329" w:right="0" w:firstLine="0"/>
        <w:jc w:val="left"/>
        <w:rPr>
          <w:rFonts w:ascii="Segoe UI Semibold" w:hAnsi="Segoe UI Semibold"/>
          <w:b/>
          <w:i/>
          <w:sz w:val="24"/>
        </w:rPr>
      </w:pPr>
      <w:r>
        <w:rPr>
          <w:rFonts w:ascii="Segoe UI Semibold" w:hAnsi="Segoe UI Semibold"/>
          <w:b/>
          <w:i/>
          <w:color w:val="231F20"/>
          <w:sz w:val="24"/>
        </w:rPr>
        <w:t>secteur</w:t>
      </w:r>
      <w:r>
        <w:rPr>
          <w:rFonts w:ascii="Segoe UI Semibold" w:hAnsi="Segoe UI Semibold"/>
          <w:b/>
          <w:i/>
          <w:color w:val="231F20"/>
          <w:spacing w:val="-15"/>
          <w:sz w:val="24"/>
        </w:rPr>
        <w:t> </w:t>
      </w:r>
      <w:r>
        <w:rPr>
          <w:rFonts w:ascii="Segoe UI Semibold" w:hAnsi="Segoe UI Semibold"/>
          <w:b/>
          <w:i/>
          <w:color w:val="231F20"/>
          <w:sz w:val="24"/>
        </w:rPr>
        <w:t>de</w:t>
      </w:r>
      <w:r>
        <w:rPr>
          <w:rFonts w:ascii="Segoe UI Semibold" w:hAnsi="Segoe UI Semibold"/>
          <w:b/>
          <w:i/>
          <w:color w:val="231F20"/>
          <w:spacing w:val="-14"/>
          <w:sz w:val="24"/>
        </w:rPr>
        <w:t> </w:t>
      </w:r>
      <w:r>
        <w:rPr>
          <w:rFonts w:ascii="Segoe UI Semibold" w:hAnsi="Segoe UI Semibold"/>
          <w:b/>
          <w:i/>
          <w:color w:val="231F20"/>
          <w:sz w:val="24"/>
        </w:rPr>
        <w:t>mars</w:t>
      </w:r>
      <w:r>
        <w:rPr>
          <w:rFonts w:ascii="Segoe UI Semibold" w:hAnsi="Segoe UI Semibold"/>
          <w:b/>
          <w:i/>
          <w:color w:val="231F20"/>
          <w:spacing w:val="-15"/>
          <w:sz w:val="24"/>
        </w:rPr>
        <w:t> </w:t>
      </w:r>
      <w:r>
        <w:rPr>
          <w:rFonts w:ascii="Segoe UI Semibold" w:hAnsi="Segoe UI Semibold"/>
          <w:b/>
          <w:i/>
          <w:color w:val="231F20"/>
          <w:sz w:val="24"/>
        </w:rPr>
        <w:t>2022</w:t>
      </w:r>
      <w:r>
        <w:rPr>
          <w:rFonts w:ascii="Segoe UI Semibold" w:hAnsi="Segoe UI Semibold"/>
          <w:b/>
          <w:i/>
          <w:color w:val="231F20"/>
          <w:spacing w:val="-14"/>
          <w:sz w:val="24"/>
        </w:rPr>
        <w:t> </w:t>
      </w:r>
      <w:r>
        <w:rPr>
          <w:rFonts w:ascii="Segoe UI Semibold" w:hAnsi="Segoe UI Semibold"/>
          <w:b/>
          <w:i/>
          <w:color w:val="231F20"/>
          <w:sz w:val="24"/>
        </w:rPr>
        <w:t>à</w:t>
      </w:r>
      <w:r>
        <w:rPr>
          <w:rFonts w:ascii="Segoe UI Semibold" w:hAnsi="Segoe UI Semibold"/>
          <w:b/>
          <w:i/>
          <w:color w:val="231F20"/>
          <w:spacing w:val="-15"/>
          <w:sz w:val="24"/>
        </w:rPr>
        <w:t> </w:t>
      </w:r>
      <w:r>
        <w:rPr>
          <w:rFonts w:ascii="Segoe UI Semibold" w:hAnsi="Segoe UI Semibold"/>
          <w:b/>
          <w:i/>
          <w:color w:val="231F20"/>
          <w:sz w:val="24"/>
        </w:rPr>
        <w:t>février</w:t>
      </w:r>
      <w:r>
        <w:rPr>
          <w:rFonts w:ascii="Segoe UI Semibold" w:hAnsi="Segoe UI Semibold"/>
          <w:b/>
          <w:i/>
          <w:color w:val="231F20"/>
          <w:spacing w:val="-14"/>
          <w:sz w:val="24"/>
        </w:rPr>
        <w:t> </w:t>
      </w:r>
      <w:r>
        <w:rPr>
          <w:rFonts w:ascii="Segoe UI Semibold" w:hAnsi="Segoe UI Semibold"/>
          <w:b/>
          <w:i/>
          <w:color w:val="231F20"/>
          <w:spacing w:val="-4"/>
          <w:sz w:val="24"/>
        </w:rPr>
        <w:t>2023</w:t>
      </w:r>
    </w:p>
    <w:p>
      <w:pPr>
        <w:pStyle w:val="ListParagraph"/>
        <w:numPr>
          <w:ilvl w:val="2"/>
          <w:numId w:val="3"/>
        </w:numPr>
        <w:tabs>
          <w:tab w:pos="573" w:val="left" w:leader="none"/>
        </w:tabs>
        <w:spacing w:line="240" w:lineRule="auto" w:before="159" w:after="0"/>
        <w:ind w:left="329" w:right="1209" w:firstLine="0"/>
        <w:jc w:val="left"/>
        <w:rPr>
          <w:rFonts w:ascii="Segoe UI Semibold" w:hAnsi="Segoe UI Semibold"/>
          <w:b/>
          <w:i/>
          <w:sz w:val="24"/>
        </w:rPr>
      </w:pPr>
      <w:r>
        <w:rPr>
          <w:rFonts w:ascii="Segoe UI Semibold" w:hAnsi="Segoe UI Semibold"/>
          <w:b/>
          <w:i/>
          <w:color w:val="231F20"/>
          <w:sz w:val="24"/>
        </w:rPr>
        <w:t>Évolution (1992-2022) du vote à</w:t>
      </w:r>
      <w:r>
        <w:rPr>
          <w:rFonts w:ascii="Segoe UI Semibold" w:hAnsi="Segoe UI Semibold"/>
          <w:b/>
          <w:i/>
          <w:color w:val="231F20"/>
          <w:sz w:val="24"/>
        </w:rPr>
        <w:t> </w:t>
      </w:r>
      <w:r>
        <w:rPr>
          <w:rFonts w:ascii="Segoe UI Semibold" w:hAnsi="Segoe UI Semibold"/>
          <w:b/>
          <w:i/>
          <w:color w:val="231F20"/>
          <w:spacing w:val="-6"/>
          <w:sz w:val="24"/>
        </w:rPr>
        <w:t>l’Assemblée</w:t>
      </w:r>
      <w:r>
        <w:rPr>
          <w:rFonts w:ascii="Segoe UI Semibold" w:hAnsi="Segoe UI Semibold"/>
          <w:b/>
          <w:i/>
          <w:color w:val="231F20"/>
          <w:spacing w:val="-10"/>
          <w:sz w:val="24"/>
        </w:rPr>
        <w:t> </w:t>
      </w:r>
      <w:r>
        <w:rPr>
          <w:rFonts w:ascii="Segoe UI Semibold" w:hAnsi="Segoe UI Semibold"/>
          <w:b/>
          <w:i/>
          <w:color w:val="231F20"/>
          <w:spacing w:val="-6"/>
          <w:sz w:val="24"/>
        </w:rPr>
        <w:t>générale</w:t>
      </w:r>
      <w:r>
        <w:rPr>
          <w:rFonts w:ascii="Segoe UI Semibold" w:hAnsi="Segoe UI Semibold"/>
          <w:b/>
          <w:i/>
          <w:color w:val="231F20"/>
          <w:spacing w:val="-10"/>
          <w:sz w:val="24"/>
        </w:rPr>
        <w:t> </w:t>
      </w:r>
      <w:r>
        <w:rPr>
          <w:rFonts w:ascii="Segoe UI Semibold" w:hAnsi="Segoe UI Semibold"/>
          <w:b/>
          <w:i/>
          <w:color w:val="231F20"/>
          <w:spacing w:val="-6"/>
          <w:sz w:val="24"/>
        </w:rPr>
        <w:t>des</w:t>
      </w:r>
      <w:r>
        <w:rPr>
          <w:rFonts w:ascii="Segoe UI Semibold" w:hAnsi="Segoe UI Semibold"/>
          <w:b/>
          <w:i/>
          <w:color w:val="231F20"/>
          <w:spacing w:val="-10"/>
          <w:sz w:val="24"/>
        </w:rPr>
        <w:t> </w:t>
      </w:r>
      <w:r>
        <w:rPr>
          <w:rFonts w:ascii="Segoe UI Semibold" w:hAnsi="Segoe UI Semibold"/>
          <w:b/>
          <w:i/>
          <w:color w:val="231F20"/>
          <w:spacing w:val="-6"/>
          <w:sz w:val="24"/>
        </w:rPr>
        <w:t>Nations</w:t>
      </w:r>
      <w:r>
        <w:rPr>
          <w:rFonts w:ascii="Segoe UI Semibold" w:hAnsi="Segoe UI Semibold"/>
          <w:b/>
          <w:i/>
          <w:color w:val="231F20"/>
          <w:spacing w:val="-10"/>
          <w:sz w:val="24"/>
        </w:rPr>
        <w:t> </w:t>
      </w:r>
      <w:r>
        <w:rPr>
          <w:rFonts w:ascii="Segoe UI Semibold" w:hAnsi="Segoe UI Semibold"/>
          <w:b/>
          <w:i/>
          <w:color w:val="231F20"/>
          <w:spacing w:val="-6"/>
          <w:sz w:val="24"/>
        </w:rPr>
        <w:t>Unies </w:t>
      </w:r>
      <w:r>
        <w:rPr>
          <w:rFonts w:ascii="Segoe UI Semibold" w:hAnsi="Segoe UI Semibold"/>
          <w:b/>
          <w:i/>
          <w:color w:val="231F20"/>
          <w:sz w:val="24"/>
        </w:rPr>
        <w:t>de</w:t>
      </w:r>
      <w:r>
        <w:rPr>
          <w:rFonts w:ascii="Segoe UI Semibold" w:hAnsi="Segoe UI Semibold"/>
          <w:b/>
          <w:i/>
          <w:color w:val="231F20"/>
          <w:spacing w:val="-10"/>
          <w:sz w:val="24"/>
        </w:rPr>
        <w:t> </w:t>
      </w:r>
      <w:r>
        <w:rPr>
          <w:rFonts w:ascii="Segoe UI Semibold" w:hAnsi="Segoe UI Semibold"/>
          <w:b/>
          <w:i/>
          <w:color w:val="231F20"/>
          <w:sz w:val="24"/>
        </w:rPr>
        <w:t>la</w:t>
      </w:r>
      <w:r>
        <w:rPr>
          <w:rFonts w:ascii="Segoe UI Semibold" w:hAnsi="Segoe UI Semibold"/>
          <w:b/>
          <w:i/>
          <w:color w:val="231F20"/>
          <w:spacing w:val="-10"/>
          <w:sz w:val="24"/>
        </w:rPr>
        <w:t> </w:t>
      </w:r>
      <w:r>
        <w:rPr>
          <w:rFonts w:ascii="Segoe UI Semibold" w:hAnsi="Segoe UI Semibold"/>
          <w:b/>
          <w:i/>
          <w:color w:val="231F20"/>
          <w:sz w:val="24"/>
        </w:rPr>
        <w:t>Résolution</w:t>
      </w:r>
      <w:r>
        <w:rPr>
          <w:rFonts w:ascii="Segoe UI Semibold" w:hAnsi="Segoe UI Semibold"/>
          <w:b/>
          <w:i/>
          <w:color w:val="231F20"/>
          <w:spacing w:val="-10"/>
          <w:sz w:val="24"/>
        </w:rPr>
        <w:t> </w:t>
      </w:r>
      <w:r>
        <w:rPr>
          <w:rFonts w:ascii="Segoe UI Semibold" w:hAnsi="Segoe UI Semibold"/>
          <w:b/>
          <w:i/>
          <w:color w:val="231F20"/>
          <w:sz w:val="24"/>
        </w:rPr>
        <w:t>intitulée</w:t>
      </w:r>
      <w:r>
        <w:rPr>
          <w:rFonts w:ascii="Segoe UI Semibold" w:hAnsi="Segoe UI Semibold"/>
          <w:b/>
          <w:i/>
          <w:color w:val="231F20"/>
          <w:spacing w:val="-10"/>
          <w:sz w:val="24"/>
        </w:rPr>
        <w:t> </w:t>
      </w:r>
      <w:r>
        <w:rPr>
          <w:rFonts w:ascii="Segoe UI Semibold" w:hAnsi="Segoe UI Semibold"/>
          <w:b/>
          <w:i/>
          <w:color w:val="231F20"/>
          <w:sz w:val="24"/>
        </w:rPr>
        <w:t>:</w:t>
      </w:r>
      <w:r>
        <w:rPr>
          <w:rFonts w:ascii="Segoe UI Semibold" w:hAnsi="Segoe UI Semibold"/>
          <w:b/>
          <w:i/>
          <w:color w:val="231F20"/>
          <w:spacing w:val="-10"/>
          <w:sz w:val="24"/>
        </w:rPr>
        <w:t> </w:t>
      </w:r>
      <w:r>
        <w:rPr>
          <w:rFonts w:ascii="Segoe UI Semibold" w:hAnsi="Segoe UI Semibold"/>
          <w:b/>
          <w:i/>
          <w:color w:val="231F20"/>
          <w:sz w:val="24"/>
        </w:rPr>
        <w:t>«</w:t>
      </w:r>
      <w:r>
        <w:rPr>
          <w:rFonts w:ascii="Segoe UI Semibold" w:hAnsi="Segoe UI Semibold"/>
          <w:b/>
          <w:i/>
          <w:color w:val="231F20"/>
          <w:spacing w:val="-10"/>
          <w:sz w:val="24"/>
        </w:rPr>
        <w:t> </w:t>
      </w:r>
      <w:r>
        <w:rPr>
          <w:rFonts w:ascii="Segoe UI Semibold" w:hAnsi="Segoe UI Semibold"/>
          <w:b/>
          <w:i/>
          <w:color w:val="231F20"/>
          <w:sz w:val="24"/>
        </w:rPr>
        <w:t>Nécessité de lever le blocus économique, commercial</w:t>
      </w:r>
      <w:r>
        <w:rPr>
          <w:rFonts w:ascii="Segoe UI Semibold" w:hAnsi="Segoe UI Semibold"/>
          <w:b/>
          <w:i/>
          <w:color w:val="231F20"/>
          <w:spacing w:val="-2"/>
          <w:sz w:val="24"/>
        </w:rPr>
        <w:t> </w:t>
      </w:r>
      <w:r>
        <w:rPr>
          <w:rFonts w:ascii="Segoe UI Semibold" w:hAnsi="Segoe UI Semibold"/>
          <w:b/>
          <w:i/>
          <w:color w:val="231F20"/>
          <w:sz w:val="24"/>
        </w:rPr>
        <w:t>et</w:t>
      </w:r>
      <w:r>
        <w:rPr>
          <w:rFonts w:ascii="Segoe UI Semibold" w:hAnsi="Segoe UI Semibold"/>
          <w:b/>
          <w:i/>
          <w:color w:val="231F20"/>
          <w:spacing w:val="-2"/>
          <w:sz w:val="24"/>
        </w:rPr>
        <w:t> </w:t>
      </w:r>
      <w:r>
        <w:rPr>
          <w:rFonts w:ascii="Segoe UI Semibold" w:hAnsi="Segoe UI Semibold"/>
          <w:b/>
          <w:i/>
          <w:color w:val="231F20"/>
          <w:sz w:val="24"/>
        </w:rPr>
        <w:t>financier</w:t>
      </w:r>
      <w:r>
        <w:rPr>
          <w:rFonts w:ascii="Segoe UI Semibold" w:hAnsi="Segoe UI Semibold"/>
          <w:b/>
          <w:i/>
          <w:color w:val="231F20"/>
          <w:spacing w:val="-2"/>
          <w:sz w:val="24"/>
        </w:rPr>
        <w:t> </w:t>
      </w:r>
      <w:r>
        <w:rPr>
          <w:rFonts w:ascii="Segoe UI Semibold" w:hAnsi="Segoe UI Semibold"/>
          <w:b/>
          <w:i/>
          <w:color w:val="231F20"/>
          <w:sz w:val="24"/>
        </w:rPr>
        <w:t>appliqué</w:t>
      </w:r>
      <w:r>
        <w:rPr>
          <w:rFonts w:ascii="Segoe UI Semibold" w:hAnsi="Segoe UI Semibold"/>
          <w:b/>
          <w:i/>
          <w:color w:val="231F20"/>
          <w:spacing w:val="-2"/>
          <w:sz w:val="24"/>
        </w:rPr>
        <w:t> </w:t>
      </w:r>
      <w:r>
        <w:rPr>
          <w:rFonts w:ascii="Segoe UI Semibold" w:hAnsi="Segoe UI Semibold"/>
          <w:b/>
          <w:i/>
          <w:color w:val="231F20"/>
          <w:sz w:val="24"/>
        </w:rPr>
        <w:t>à Cuba</w:t>
      </w:r>
      <w:r>
        <w:rPr>
          <w:rFonts w:ascii="Segoe UI Semibold" w:hAnsi="Segoe UI Semibold"/>
          <w:b/>
          <w:i/>
          <w:color w:val="231F20"/>
          <w:spacing w:val="-9"/>
          <w:sz w:val="24"/>
        </w:rPr>
        <w:t> </w:t>
      </w:r>
      <w:r>
        <w:rPr>
          <w:rFonts w:ascii="Segoe UI Semibold" w:hAnsi="Segoe UI Semibold"/>
          <w:b/>
          <w:i/>
          <w:color w:val="231F20"/>
          <w:sz w:val="24"/>
        </w:rPr>
        <w:t>par</w:t>
      </w:r>
      <w:r>
        <w:rPr>
          <w:rFonts w:ascii="Segoe UI Semibold" w:hAnsi="Segoe UI Semibold"/>
          <w:b/>
          <w:i/>
          <w:color w:val="231F20"/>
          <w:spacing w:val="-9"/>
          <w:sz w:val="24"/>
        </w:rPr>
        <w:t> </w:t>
      </w:r>
      <w:r>
        <w:rPr>
          <w:rFonts w:ascii="Segoe UI Semibold" w:hAnsi="Segoe UI Semibold"/>
          <w:b/>
          <w:i/>
          <w:color w:val="231F20"/>
          <w:sz w:val="24"/>
        </w:rPr>
        <w:t>les</w:t>
      </w:r>
      <w:r>
        <w:rPr>
          <w:rFonts w:ascii="Segoe UI Semibold" w:hAnsi="Segoe UI Semibold"/>
          <w:b/>
          <w:i/>
          <w:color w:val="231F20"/>
          <w:spacing w:val="-9"/>
          <w:sz w:val="24"/>
        </w:rPr>
        <w:t> </w:t>
      </w:r>
      <w:r>
        <w:rPr>
          <w:rFonts w:ascii="Segoe UI Semibold" w:hAnsi="Segoe UI Semibold"/>
          <w:b/>
          <w:i/>
          <w:color w:val="231F20"/>
          <w:sz w:val="24"/>
        </w:rPr>
        <w:t>États-Unis</w:t>
      </w:r>
      <w:r>
        <w:rPr>
          <w:rFonts w:ascii="Segoe UI Semibold" w:hAnsi="Segoe UI Semibold"/>
          <w:b/>
          <w:i/>
          <w:color w:val="231F20"/>
          <w:spacing w:val="-9"/>
          <w:sz w:val="24"/>
        </w:rPr>
        <w:t> </w:t>
      </w:r>
      <w:r>
        <w:rPr>
          <w:rFonts w:ascii="Segoe UI Semibold" w:hAnsi="Segoe UI Semibold"/>
          <w:b/>
          <w:i/>
          <w:color w:val="231F20"/>
          <w:sz w:val="24"/>
        </w:rPr>
        <w:t>d’Amérique</w:t>
      </w:r>
      <w:r>
        <w:rPr>
          <w:rFonts w:ascii="Segoe UI Semibold" w:hAnsi="Segoe UI Semibold"/>
          <w:b/>
          <w:i/>
          <w:color w:val="231F20"/>
          <w:spacing w:val="-9"/>
          <w:sz w:val="24"/>
        </w:rPr>
        <w:t> </w:t>
      </w:r>
      <w:r>
        <w:rPr>
          <w:rFonts w:ascii="Segoe UI Semibold" w:hAnsi="Segoe UI Semibold"/>
          <w:b/>
          <w:i/>
          <w:color w:val="231F20"/>
          <w:sz w:val="24"/>
        </w:rPr>
        <w:t>»</w:t>
      </w:r>
    </w:p>
    <w:p>
      <w:pPr>
        <w:spacing w:after="0" w:line="240" w:lineRule="auto"/>
        <w:jc w:val="left"/>
        <w:rPr>
          <w:rFonts w:ascii="Segoe UI Semibold" w:hAnsi="Segoe UI Semibold"/>
          <w:sz w:val="24"/>
        </w:rPr>
        <w:sectPr>
          <w:type w:val="continuous"/>
          <w:pgSz w:w="11910" w:h="16840"/>
          <w:pgMar w:top="1920" w:bottom="280" w:left="0" w:right="0"/>
          <w:cols w:num="2" w:equalWidth="0">
            <w:col w:w="6264" w:space="40"/>
            <w:col w:w="5606"/>
          </w:cols>
        </w:sectPr>
      </w:pPr>
    </w:p>
    <w:p>
      <w:pPr>
        <w:pStyle w:val="BodyText"/>
        <w:spacing w:before="13"/>
        <w:jc w:val="left"/>
        <w:rPr>
          <w:rFonts w:ascii="Segoe UI Semibold"/>
          <w:b/>
          <w:i/>
          <w:sz w:val="14"/>
        </w:rPr>
      </w:pPr>
      <w:r>
        <w:rPr/>
        <mc:AlternateContent>
          <mc:Choice Requires="wps">
            <w:drawing>
              <wp:anchor distT="0" distB="0" distL="0" distR="0" allowOverlap="1" layoutInCell="1" locked="0" behindDoc="0" simplePos="0" relativeHeight="15730688">
                <wp:simplePos x="0" y="0"/>
                <wp:positionH relativeFrom="page">
                  <wp:posOffset>7560005</wp:posOffset>
                </wp:positionH>
                <wp:positionV relativeFrom="page">
                  <wp:posOffset>5088801</wp:posOffset>
                </wp:positionV>
                <wp:extent cx="1270" cy="3352800"/>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1270" cy="3352800"/>
                        </a:xfrm>
                        <a:custGeom>
                          <a:avLst/>
                          <a:gdLst/>
                          <a:ahLst/>
                          <a:cxnLst/>
                          <a:rect l="l" t="t" r="r" b="b"/>
                          <a:pathLst>
                            <a:path w="0" h="3352800">
                              <a:moveTo>
                                <a:pt x="0" y="0"/>
                              </a:moveTo>
                              <a:lnTo>
                                <a:pt x="0" y="3352800"/>
                              </a:lnTo>
                              <a:lnTo>
                                <a:pt x="0" y="0"/>
                              </a:lnTo>
                              <a:close/>
                            </a:path>
                          </a:pathLst>
                        </a:custGeom>
                        <a:solidFill>
                          <a:srgbClr val="E0E2E2"/>
                        </a:solidFill>
                      </wps:spPr>
                      <wps:bodyPr wrap="square" lIns="0" tIns="0" rIns="0" bIns="0" rtlCol="0">
                        <a:prstTxWarp prst="textNoShape">
                          <a:avLst/>
                        </a:prstTxWarp>
                        <a:noAutofit/>
                      </wps:bodyPr>
                    </wps:wsp>
                  </a:graphicData>
                </a:graphic>
              </wp:anchor>
            </w:drawing>
          </mc:Choice>
          <mc:Fallback>
            <w:pict>
              <v:shape style="position:absolute;margin-left:595.276001pt;margin-top:400.693024pt;width:.1pt;height:264pt;mso-position-horizontal-relative:page;mso-position-vertical-relative:page;z-index:15730688" id="docshape5" coordorigin="11906,8014" coordsize="0,5280" path="m11906,8014l11906,13294,11906,8014xe" filled="true" fillcolor="#e0e2e2" stroked="false">
                <v:path arrowok="t"/>
                <v:fill type="solid"/>
                <w10:wrap type="none"/>
              </v:shape>
            </w:pict>
          </mc:Fallback>
        </mc:AlternateContent>
      </w:r>
    </w:p>
    <w:p>
      <w:pPr>
        <w:spacing w:after="0"/>
        <w:jc w:val="left"/>
        <w:rPr>
          <w:rFonts w:ascii="Segoe UI Semibold"/>
          <w:sz w:val="14"/>
        </w:rPr>
        <w:sectPr>
          <w:pgSz w:w="11910" w:h="16840"/>
          <w:pgMar w:top="1920" w:bottom="280" w:left="0" w:right="0"/>
        </w:sectPr>
      </w:pPr>
    </w:p>
    <w:p>
      <w:pPr>
        <w:pStyle w:val="Heading1"/>
        <w:spacing w:before="154"/>
        <w:ind w:left="1445"/>
      </w:pPr>
      <w:r>
        <w:rPr>
          <w:color w:val="1A4796"/>
          <w:spacing w:val="-2"/>
          <w:w w:val="115"/>
        </w:rPr>
        <w:t>Introducción</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590400">
                <wp:simplePos x="0" y="0"/>
                <wp:positionH relativeFrom="page">
                  <wp:posOffset>936002</wp:posOffset>
                </wp:positionH>
                <wp:positionV relativeFrom="paragraph">
                  <wp:posOffset>288395</wp:posOffset>
                </wp:positionV>
                <wp:extent cx="909319" cy="26034"/>
                <wp:effectExtent l="0" t="0" r="0" b="0"/>
                <wp:wrapTopAndBottom/>
                <wp:docPr id="14" name="Graphic 14"/>
                <wp:cNvGraphicFramePr>
                  <a:graphicFrameLocks/>
                </wp:cNvGraphicFramePr>
                <a:graphic>
                  <a:graphicData uri="http://schemas.microsoft.com/office/word/2010/wordprocessingShape">
                    <wps:wsp>
                      <wps:cNvPr id="14" name="Graphic 14"/>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73.700996pt;margin-top:22.708281pt;width:71.584pt;height:2.021pt;mso-position-horizontal-relative:page;mso-position-vertical-relative:paragraph;z-index:-15726080;mso-wrap-distance-left:0;mso-wrap-distance-right:0" id="docshape10" filled="true" fillcolor="#b52628" stroked="false">
                <v:fill type="solid"/>
                <w10:wrap type="topAndBottom"/>
              </v:rect>
            </w:pict>
          </mc:Fallback>
        </mc:AlternateContent>
      </w:r>
    </w:p>
    <w:p>
      <w:pPr>
        <w:pStyle w:val="BodyText"/>
        <w:spacing w:before="186"/>
        <w:jc w:val="left"/>
        <w:rPr>
          <w:rFonts w:ascii="Trebuchet MS"/>
          <w:sz w:val="20"/>
        </w:rPr>
      </w:pPr>
    </w:p>
    <w:p>
      <w:pPr>
        <w:spacing w:after="0"/>
        <w:jc w:val="left"/>
        <w:rPr>
          <w:rFonts w:ascii="Trebuchet MS"/>
          <w:sz w:val="20"/>
        </w:rPr>
        <w:sectPr>
          <w:footerReference w:type="default" r:id="rId5"/>
          <w:footerReference w:type="even" r:id="rId6"/>
          <w:pgSz w:w="11910" w:h="16840"/>
          <w:pgMar w:header="0" w:footer="695" w:top="1920" w:bottom="880" w:left="0" w:right="0"/>
          <w:pgNumType w:start="7"/>
        </w:sectPr>
      </w:pPr>
    </w:p>
    <w:p>
      <w:pPr>
        <w:pStyle w:val="BodyText"/>
        <w:spacing w:before="100"/>
        <w:ind w:left="1474"/>
      </w:pPr>
      <w:r>
        <w:rPr>
          <w:color w:val="231F20"/>
        </w:rPr>
        <w:t>El bloqueo económico, comercial y financiero es el elemento central que ha definido la política de los Estados Unidos (EE.UU.) hacia Cuba por más de </w:t>
      </w:r>
      <w:r>
        <w:rPr>
          <w:color w:val="231F20"/>
        </w:rPr>
        <w:t>seis décadas. Los efectos de esta guerra no declarada</w:t>
      </w:r>
      <w:r>
        <w:rPr>
          <w:color w:val="231F20"/>
          <w:spacing w:val="-17"/>
        </w:rPr>
        <w:t> </w:t>
      </w:r>
      <w:r>
        <w:rPr>
          <w:color w:val="231F20"/>
        </w:rPr>
        <w:t>contra</w:t>
      </w:r>
      <w:r>
        <w:rPr>
          <w:color w:val="231F20"/>
          <w:spacing w:val="-16"/>
        </w:rPr>
        <w:t> </w:t>
      </w:r>
      <w:r>
        <w:rPr>
          <w:color w:val="231F20"/>
        </w:rPr>
        <w:t>la</w:t>
      </w:r>
      <w:r>
        <w:rPr>
          <w:color w:val="231F20"/>
          <w:spacing w:val="-17"/>
        </w:rPr>
        <w:t> </w:t>
      </w:r>
      <w:r>
        <w:rPr>
          <w:color w:val="231F20"/>
        </w:rPr>
        <w:t>economía,</w:t>
      </w:r>
      <w:r>
        <w:rPr>
          <w:color w:val="231F20"/>
          <w:spacing w:val="-16"/>
        </w:rPr>
        <w:t> </w:t>
      </w:r>
      <w:r>
        <w:rPr>
          <w:color w:val="231F20"/>
        </w:rPr>
        <w:t>la</w:t>
      </w:r>
      <w:r>
        <w:rPr>
          <w:color w:val="231F20"/>
          <w:spacing w:val="-17"/>
        </w:rPr>
        <w:t> </w:t>
      </w:r>
      <w:r>
        <w:rPr>
          <w:color w:val="231F20"/>
        </w:rPr>
        <w:t>sociedad, la</w:t>
      </w:r>
      <w:r>
        <w:rPr>
          <w:color w:val="231F20"/>
          <w:spacing w:val="-7"/>
        </w:rPr>
        <w:t> </w:t>
      </w:r>
      <w:r>
        <w:rPr>
          <w:color w:val="231F20"/>
        </w:rPr>
        <w:t>vida</w:t>
      </w:r>
      <w:r>
        <w:rPr>
          <w:color w:val="231F20"/>
          <w:spacing w:val="-7"/>
        </w:rPr>
        <w:t> </w:t>
      </w:r>
      <w:r>
        <w:rPr>
          <w:color w:val="231F20"/>
        </w:rPr>
        <w:t>cotidiana</w:t>
      </w:r>
      <w:r>
        <w:rPr>
          <w:color w:val="231F20"/>
          <w:spacing w:val="-7"/>
        </w:rPr>
        <w:t> </w:t>
      </w:r>
      <w:r>
        <w:rPr>
          <w:color w:val="231F20"/>
        </w:rPr>
        <w:t>y</w:t>
      </w:r>
      <w:r>
        <w:rPr>
          <w:color w:val="231F20"/>
          <w:spacing w:val="-7"/>
        </w:rPr>
        <w:t> </w:t>
      </w:r>
      <w:r>
        <w:rPr>
          <w:color w:val="231F20"/>
        </w:rPr>
        <w:t>los</w:t>
      </w:r>
      <w:r>
        <w:rPr>
          <w:color w:val="231F20"/>
          <w:spacing w:val="-7"/>
        </w:rPr>
        <w:t> </w:t>
      </w:r>
      <w:r>
        <w:rPr>
          <w:color w:val="231F20"/>
        </w:rPr>
        <w:t>sueños</w:t>
      </w:r>
      <w:r>
        <w:rPr>
          <w:color w:val="231F20"/>
          <w:spacing w:val="-7"/>
        </w:rPr>
        <w:t> </w:t>
      </w:r>
      <w:r>
        <w:rPr>
          <w:color w:val="231F20"/>
        </w:rPr>
        <w:t>de</w:t>
      </w:r>
      <w:r>
        <w:rPr>
          <w:color w:val="231F20"/>
          <w:spacing w:val="-7"/>
        </w:rPr>
        <w:t> </w:t>
      </w:r>
      <w:r>
        <w:rPr>
          <w:color w:val="231F20"/>
        </w:rPr>
        <w:t>progreso de</w:t>
      </w:r>
      <w:r>
        <w:rPr>
          <w:color w:val="231F20"/>
          <w:spacing w:val="-17"/>
        </w:rPr>
        <w:t> </w:t>
      </w:r>
      <w:r>
        <w:rPr>
          <w:color w:val="231F20"/>
        </w:rPr>
        <w:t>más</w:t>
      </w:r>
      <w:r>
        <w:rPr>
          <w:color w:val="231F20"/>
          <w:spacing w:val="-16"/>
        </w:rPr>
        <w:t> </w:t>
      </w:r>
      <w:r>
        <w:rPr>
          <w:color w:val="231F20"/>
        </w:rPr>
        <w:t>de</w:t>
      </w:r>
      <w:r>
        <w:rPr>
          <w:color w:val="231F20"/>
          <w:spacing w:val="-16"/>
        </w:rPr>
        <w:t> </w:t>
      </w:r>
      <w:r>
        <w:rPr>
          <w:color w:val="231F20"/>
        </w:rPr>
        <w:t>11</w:t>
      </w:r>
      <w:r>
        <w:rPr>
          <w:color w:val="231F20"/>
          <w:spacing w:val="-17"/>
        </w:rPr>
        <w:t> </w:t>
      </w:r>
      <w:r>
        <w:rPr>
          <w:color w:val="231F20"/>
        </w:rPr>
        <w:t>millones</w:t>
      </w:r>
      <w:r>
        <w:rPr>
          <w:color w:val="231F20"/>
          <w:spacing w:val="-15"/>
        </w:rPr>
        <w:t> </w:t>
      </w:r>
      <w:r>
        <w:rPr>
          <w:color w:val="231F20"/>
        </w:rPr>
        <w:t>de</w:t>
      </w:r>
      <w:r>
        <w:rPr>
          <w:color w:val="231F20"/>
          <w:spacing w:val="-17"/>
        </w:rPr>
        <w:t> </w:t>
      </w:r>
      <w:r>
        <w:rPr>
          <w:color w:val="231F20"/>
        </w:rPr>
        <w:t>cubanos,</w:t>
      </w:r>
      <w:r>
        <w:rPr>
          <w:color w:val="231F20"/>
          <w:spacing w:val="-16"/>
        </w:rPr>
        <w:t> </w:t>
      </w:r>
      <w:r>
        <w:rPr>
          <w:color w:val="231F20"/>
        </w:rPr>
        <w:t>no</w:t>
      </w:r>
      <w:r>
        <w:rPr>
          <w:color w:val="231F20"/>
          <w:spacing w:val="-16"/>
        </w:rPr>
        <w:t> </w:t>
      </w:r>
      <w:r>
        <w:rPr>
          <w:color w:val="231F20"/>
        </w:rPr>
        <w:t>han cesado ni un solo día.</w:t>
      </w:r>
    </w:p>
    <w:p>
      <w:pPr>
        <w:pStyle w:val="Heading5"/>
        <w:spacing w:before="167"/>
        <w:ind w:right="1"/>
      </w:pPr>
      <w:r>
        <w:rPr>
          <w:i/>
          <w:color w:val="231F20"/>
        </w:rPr>
        <w:t>Más del 80% de la población cubana</w:t>
      </w:r>
      <w:r>
        <w:rPr>
          <w:color w:val="231F20"/>
        </w:rPr>
        <w:t> actual solo ha conocido una Cuba</w:t>
      </w:r>
    </w:p>
    <w:p>
      <w:pPr>
        <w:spacing w:before="1"/>
        <w:ind w:left="1474" w:right="0" w:firstLine="0"/>
        <w:jc w:val="both"/>
        <w:rPr>
          <w:b/>
          <w:i/>
          <w:sz w:val="24"/>
        </w:rPr>
      </w:pPr>
      <w:r>
        <w:rPr/>
        <mc:AlternateContent>
          <mc:Choice Requires="wps">
            <w:drawing>
              <wp:anchor distT="0" distB="0" distL="0" distR="0" allowOverlap="1" layoutInCell="1" locked="0" behindDoc="0" simplePos="0" relativeHeight="15731712">
                <wp:simplePos x="0" y="0"/>
                <wp:positionH relativeFrom="page">
                  <wp:posOffset>0</wp:posOffset>
                </wp:positionH>
                <wp:positionV relativeFrom="paragraph">
                  <wp:posOffset>368672</wp:posOffset>
                </wp:positionV>
                <wp:extent cx="3888104" cy="335343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3888104" cy="3353435"/>
                        </a:xfrm>
                        <a:prstGeom prst="rect">
                          <a:avLst/>
                        </a:prstGeom>
                        <a:solidFill>
                          <a:srgbClr val="E0E2E2"/>
                        </a:solidFill>
                      </wps:spPr>
                      <wps:txbx>
                        <w:txbxContent>
                          <w:p>
                            <w:pPr>
                              <w:spacing w:line="220" w:lineRule="auto" w:before="221"/>
                              <w:ind w:left="1474" w:right="270" w:firstLine="0"/>
                              <w:jc w:val="left"/>
                              <w:rPr>
                                <w:rFonts w:ascii="Segoe UI Semibold" w:hAnsi="Segoe UI Semibold"/>
                                <w:b/>
                                <w:i/>
                                <w:color w:val="000000"/>
                                <w:sz w:val="26"/>
                              </w:rPr>
                            </w:pPr>
                            <w:r>
                              <w:rPr>
                                <w:rFonts w:ascii="Segoe UI Semibold" w:hAnsi="Segoe UI Semibold"/>
                                <w:b/>
                                <w:i/>
                                <w:color w:val="1A4796"/>
                                <w:sz w:val="26"/>
                              </w:rPr>
                              <w:t>El</w:t>
                            </w:r>
                            <w:r>
                              <w:rPr>
                                <w:rFonts w:ascii="Segoe UI Semibold" w:hAnsi="Segoe UI Semibold"/>
                                <w:b/>
                                <w:i/>
                                <w:color w:val="1A4796"/>
                                <w:spacing w:val="-9"/>
                                <w:sz w:val="26"/>
                              </w:rPr>
                              <w:t> </w:t>
                            </w:r>
                            <w:r>
                              <w:rPr>
                                <w:rFonts w:ascii="Segoe UI Semibold" w:hAnsi="Segoe UI Semibold"/>
                                <w:b/>
                                <w:i/>
                                <w:color w:val="1A4796"/>
                                <w:sz w:val="26"/>
                              </w:rPr>
                              <w:t>presente</w:t>
                            </w:r>
                            <w:r>
                              <w:rPr>
                                <w:rFonts w:ascii="Segoe UI Semibold" w:hAnsi="Segoe UI Semibold"/>
                                <w:b/>
                                <w:i/>
                                <w:color w:val="1A4796"/>
                                <w:spacing w:val="-10"/>
                                <w:sz w:val="26"/>
                              </w:rPr>
                              <w:t> </w:t>
                            </w:r>
                            <w:r>
                              <w:rPr>
                                <w:rFonts w:ascii="Segoe UI Semibold" w:hAnsi="Segoe UI Semibold"/>
                                <w:b/>
                                <w:i/>
                                <w:color w:val="1A4796"/>
                                <w:sz w:val="26"/>
                              </w:rPr>
                              <w:t>informe</w:t>
                            </w:r>
                            <w:r>
                              <w:rPr>
                                <w:rFonts w:ascii="Segoe UI Semibold" w:hAnsi="Segoe UI Semibold"/>
                                <w:b/>
                                <w:i/>
                                <w:color w:val="1A4796"/>
                                <w:spacing w:val="-10"/>
                                <w:sz w:val="26"/>
                              </w:rPr>
                              <w:t> </w:t>
                            </w:r>
                            <w:r>
                              <w:rPr>
                                <w:rFonts w:ascii="Segoe UI Semibold" w:hAnsi="Segoe UI Semibold"/>
                                <w:b/>
                                <w:i/>
                                <w:color w:val="1A4796"/>
                                <w:sz w:val="26"/>
                              </w:rPr>
                              <w:t>abarca</w:t>
                            </w:r>
                            <w:r>
                              <w:rPr>
                                <w:rFonts w:ascii="Segoe UI Semibold" w:hAnsi="Segoe UI Semibold"/>
                                <w:b/>
                                <w:i/>
                                <w:color w:val="1A4796"/>
                                <w:spacing w:val="-10"/>
                                <w:sz w:val="26"/>
                              </w:rPr>
                              <w:t> </w:t>
                            </w:r>
                            <w:r>
                              <w:rPr>
                                <w:rFonts w:ascii="Segoe UI Semibold" w:hAnsi="Segoe UI Semibold"/>
                                <w:b/>
                                <w:i/>
                                <w:color w:val="1A4796"/>
                                <w:sz w:val="26"/>
                              </w:rPr>
                              <w:t>los</w:t>
                            </w:r>
                            <w:r>
                              <w:rPr>
                                <w:rFonts w:ascii="Segoe UI Semibold" w:hAnsi="Segoe UI Semibold"/>
                                <w:b/>
                                <w:i/>
                                <w:color w:val="1A4796"/>
                                <w:spacing w:val="-9"/>
                                <w:sz w:val="26"/>
                              </w:rPr>
                              <w:t> </w:t>
                            </w:r>
                            <w:r>
                              <w:rPr>
                                <w:rFonts w:ascii="Segoe UI Semibold" w:hAnsi="Segoe UI Semibold"/>
                                <w:b/>
                                <w:i/>
                                <w:color w:val="1A4796"/>
                                <w:sz w:val="26"/>
                              </w:rPr>
                              <w:t>daños</w:t>
                            </w:r>
                            <w:r>
                              <w:rPr>
                                <w:rFonts w:ascii="Segoe UI Semibold" w:hAnsi="Segoe UI Semibold"/>
                                <w:b/>
                                <w:i/>
                                <w:color w:val="1A4796"/>
                                <w:sz w:val="26"/>
                              </w:rPr>
                              <w:t> provocados por esta política entre</w:t>
                            </w:r>
                          </w:p>
                          <w:p>
                            <w:pPr>
                              <w:spacing w:line="220" w:lineRule="auto" w:before="1"/>
                              <w:ind w:left="1474" w:right="270" w:firstLine="0"/>
                              <w:jc w:val="left"/>
                              <w:rPr>
                                <w:rFonts w:ascii="Segoe UI Semibold" w:hAnsi="Segoe UI Semibold"/>
                                <w:b/>
                                <w:i/>
                                <w:color w:val="000000"/>
                                <w:sz w:val="26"/>
                              </w:rPr>
                            </w:pPr>
                            <w:r>
                              <w:rPr>
                                <w:rFonts w:ascii="Segoe UI Semibold" w:hAnsi="Segoe UI Semibold"/>
                                <w:b/>
                                <w:i/>
                                <w:color w:val="1A4796"/>
                                <w:sz w:val="26"/>
                              </w:rPr>
                              <w:t>el 1º de marzo de 2022 y el 28 de</w:t>
                            </w:r>
                            <w:r>
                              <w:rPr>
                                <w:rFonts w:ascii="Segoe UI Semibold" w:hAnsi="Segoe UI Semibold"/>
                                <w:b/>
                                <w:i/>
                                <w:color w:val="1A4796"/>
                                <w:sz w:val="26"/>
                              </w:rPr>
                              <w:t> febrero</w:t>
                            </w:r>
                            <w:r>
                              <w:rPr>
                                <w:rFonts w:ascii="Segoe UI Semibold" w:hAnsi="Segoe UI Semibold"/>
                                <w:b/>
                                <w:i/>
                                <w:color w:val="1A4796"/>
                                <w:spacing w:val="-9"/>
                                <w:sz w:val="26"/>
                              </w:rPr>
                              <w:t> </w:t>
                            </w:r>
                            <w:r>
                              <w:rPr>
                                <w:rFonts w:ascii="Segoe UI Semibold" w:hAnsi="Segoe UI Semibold"/>
                                <w:b/>
                                <w:i/>
                                <w:color w:val="1A4796"/>
                                <w:sz w:val="26"/>
                              </w:rPr>
                              <w:t>de</w:t>
                            </w:r>
                            <w:r>
                              <w:rPr>
                                <w:rFonts w:ascii="Segoe UI Semibold" w:hAnsi="Segoe UI Semibold"/>
                                <w:b/>
                                <w:i/>
                                <w:color w:val="1A4796"/>
                                <w:spacing w:val="-9"/>
                                <w:sz w:val="26"/>
                              </w:rPr>
                              <w:t> </w:t>
                            </w:r>
                            <w:r>
                              <w:rPr>
                                <w:rFonts w:ascii="Segoe UI Semibold" w:hAnsi="Segoe UI Semibold"/>
                                <w:b/>
                                <w:i/>
                                <w:color w:val="1A4796"/>
                                <w:sz w:val="26"/>
                              </w:rPr>
                              <w:t>2023,</w:t>
                            </w:r>
                            <w:r>
                              <w:rPr>
                                <w:rFonts w:ascii="Segoe UI Semibold" w:hAnsi="Segoe UI Semibold"/>
                                <w:b/>
                                <w:i/>
                                <w:color w:val="1A4796"/>
                                <w:spacing w:val="-9"/>
                                <w:sz w:val="26"/>
                              </w:rPr>
                              <w:t> </w:t>
                            </w:r>
                            <w:r>
                              <w:rPr>
                                <w:rFonts w:ascii="Segoe UI Semibold" w:hAnsi="Segoe UI Semibold"/>
                                <w:b/>
                                <w:i/>
                                <w:color w:val="1A4796"/>
                                <w:sz w:val="26"/>
                              </w:rPr>
                              <w:t>período</w:t>
                            </w:r>
                            <w:r>
                              <w:rPr>
                                <w:rFonts w:ascii="Segoe UI Semibold" w:hAnsi="Segoe UI Semibold"/>
                                <w:b/>
                                <w:i/>
                                <w:color w:val="1A4796"/>
                                <w:spacing w:val="-9"/>
                                <w:sz w:val="26"/>
                              </w:rPr>
                              <w:t> </w:t>
                            </w:r>
                            <w:r>
                              <w:rPr>
                                <w:rFonts w:ascii="Segoe UI Semibold" w:hAnsi="Segoe UI Semibold"/>
                                <w:b/>
                                <w:i/>
                                <w:color w:val="1A4796"/>
                                <w:sz w:val="26"/>
                              </w:rPr>
                              <w:t>marcado</w:t>
                            </w:r>
                            <w:r>
                              <w:rPr>
                                <w:rFonts w:ascii="Segoe UI Semibold" w:hAnsi="Segoe UI Semibold"/>
                                <w:b/>
                                <w:i/>
                                <w:color w:val="1A4796"/>
                                <w:spacing w:val="-9"/>
                                <w:sz w:val="26"/>
                              </w:rPr>
                              <w:t> </w:t>
                            </w:r>
                            <w:r>
                              <w:rPr>
                                <w:rFonts w:ascii="Segoe UI Semibold" w:hAnsi="Segoe UI Semibold"/>
                                <w:b/>
                                <w:i/>
                                <w:color w:val="1A4796"/>
                                <w:sz w:val="26"/>
                              </w:rPr>
                              <w:t>por la aplicación continua y deliberada de las medidas de máxima presión instauradas durante el gobierno de Donald Trump, la vigencia de las leyes que conforman este sistema de medidas coercitivas unilaterales, y</w:t>
                            </w:r>
                          </w:p>
                          <w:p>
                            <w:pPr>
                              <w:spacing w:line="220" w:lineRule="auto" w:before="6"/>
                              <w:ind w:left="1474" w:right="306" w:firstLine="0"/>
                              <w:jc w:val="left"/>
                              <w:rPr>
                                <w:rFonts w:ascii="Segoe UI Semibold"/>
                                <w:b/>
                                <w:i/>
                                <w:color w:val="000000"/>
                                <w:sz w:val="26"/>
                              </w:rPr>
                            </w:pPr>
                            <w:r>
                              <w:rPr>
                                <w:rFonts w:ascii="Segoe UI Semibold"/>
                                <w:b/>
                                <w:i/>
                                <w:color w:val="1A4796"/>
                                <w:sz w:val="26"/>
                              </w:rPr>
                              <w:t>la inercia e inmovilismo del actual</w:t>
                            </w:r>
                            <w:r>
                              <w:rPr>
                                <w:rFonts w:ascii="Segoe UI Semibold"/>
                                <w:b/>
                                <w:i/>
                                <w:color w:val="1A4796"/>
                                <w:sz w:val="26"/>
                              </w:rPr>
                              <w:t> gobierno</w:t>
                            </w:r>
                            <w:r>
                              <w:rPr>
                                <w:rFonts w:ascii="Segoe UI Semibold"/>
                                <w:b/>
                                <w:i/>
                                <w:color w:val="1A4796"/>
                                <w:spacing w:val="-11"/>
                                <w:sz w:val="26"/>
                              </w:rPr>
                              <w:t> </w:t>
                            </w:r>
                            <w:r>
                              <w:rPr>
                                <w:rFonts w:ascii="Segoe UI Semibold"/>
                                <w:b/>
                                <w:i/>
                                <w:color w:val="1A4796"/>
                                <w:sz w:val="26"/>
                              </w:rPr>
                              <w:t>del</w:t>
                            </w:r>
                            <w:r>
                              <w:rPr>
                                <w:rFonts w:ascii="Segoe UI Semibold"/>
                                <w:b/>
                                <w:i/>
                                <w:color w:val="1A4796"/>
                                <w:spacing w:val="-10"/>
                                <w:sz w:val="26"/>
                              </w:rPr>
                              <w:t> </w:t>
                            </w:r>
                            <w:r>
                              <w:rPr>
                                <w:rFonts w:ascii="Segoe UI Semibold"/>
                                <w:b/>
                                <w:i/>
                                <w:color w:val="1A4796"/>
                                <w:sz w:val="26"/>
                              </w:rPr>
                              <w:t>presidente</w:t>
                            </w:r>
                            <w:r>
                              <w:rPr>
                                <w:rFonts w:ascii="Segoe UI Semibold"/>
                                <w:b/>
                                <w:i/>
                                <w:color w:val="1A4796"/>
                                <w:spacing w:val="-11"/>
                                <w:sz w:val="26"/>
                              </w:rPr>
                              <w:t> </w:t>
                            </w:r>
                            <w:r>
                              <w:rPr>
                                <w:rFonts w:ascii="Segoe UI Semibold"/>
                                <w:b/>
                                <w:i/>
                                <w:color w:val="1A4796"/>
                                <w:sz w:val="26"/>
                              </w:rPr>
                              <w:t>Joseph</w:t>
                            </w:r>
                            <w:r>
                              <w:rPr>
                                <w:rFonts w:ascii="Segoe UI Semibold"/>
                                <w:b/>
                                <w:i/>
                                <w:color w:val="1A4796"/>
                                <w:spacing w:val="-10"/>
                                <w:sz w:val="26"/>
                              </w:rPr>
                              <w:t> </w:t>
                            </w:r>
                            <w:r>
                              <w:rPr>
                                <w:rFonts w:ascii="Segoe UI Semibold"/>
                                <w:b/>
                                <w:i/>
                                <w:color w:val="1A4796"/>
                                <w:sz w:val="26"/>
                              </w:rPr>
                              <w:t>Biden para impulsar avances reales en las relaciones bilaterales entre Cuba y los Estados Unidos.</w:t>
                            </w:r>
                          </w:p>
                        </w:txbxContent>
                      </wps:txbx>
                      <wps:bodyPr wrap="square" lIns="0" tIns="0" rIns="0" bIns="0" rtlCol="0">
                        <a:noAutofit/>
                      </wps:bodyPr>
                    </wps:wsp>
                  </a:graphicData>
                </a:graphic>
              </wp:anchor>
            </w:drawing>
          </mc:Choice>
          <mc:Fallback>
            <w:pict>
              <v:shape style="position:absolute;margin-left:0pt;margin-top:29.02936pt;width:306.150pt;height:264.05pt;mso-position-horizontal-relative:page;mso-position-vertical-relative:paragraph;z-index:15731712" type="#_x0000_t202" id="docshape11" filled="true" fillcolor="#e0e2e2" stroked="false">
                <v:textbox inset="0,0,0,0">
                  <w:txbxContent>
                    <w:p>
                      <w:pPr>
                        <w:spacing w:line="220" w:lineRule="auto" w:before="221"/>
                        <w:ind w:left="1474" w:right="270" w:firstLine="0"/>
                        <w:jc w:val="left"/>
                        <w:rPr>
                          <w:rFonts w:ascii="Segoe UI Semibold" w:hAnsi="Segoe UI Semibold"/>
                          <w:b/>
                          <w:i/>
                          <w:color w:val="000000"/>
                          <w:sz w:val="26"/>
                        </w:rPr>
                      </w:pPr>
                      <w:r>
                        <w:rPr>
                          <w:rFonts w:ascii="Segoe UI Semibold" w:hAnsi="Segoe UI Semibold"/>
                          <w:b/>
                          <w:i/>
                          <w:color w:val="1A4796"/>
                          <w:sz w:val="26"/>
                        </w:rPr>
                        <w:t>El</w:t>
                      </w:r>
                      <w:r>
                        <w:rPr>
                          <w:rFonts w:ascii="Segoe UI Semibold" w:hAnsi="Segoe UI Semibold"/>
                          <w:b/>
                          <w:i/>
                          <w:color w:val="1A4796"/>
                          <w:spacing w:val="-9"/>
                          <w:sz w:val="26"/>
                        </w:rPr>
                        <w:t> </w:t>
                      </w:r>
                      <w:r>
                        <w:rPr>
                          <w:rFonts w:ascii="Segoe UI Semibold" w:hAnsi="Segoe UI Semibold"/>
                          <w:b/>
                          <w:i/>
                          <w:color w:val="1A4796"/>
                          <w:sz w:val="26"/>
                        </w:rPr>
                        <w:t>presente</w:t>
                      </w:r>
                      <w:r>
                        <w:rPr>
                          <w:rFonts w:ascii="Segoe UI Semibold" w:hAnsi="Segoe UI Semibold"/>
                          <w:b/>
                          <w:i/>
                          <w:color w:val="1A4796"/>
                          <w:spacing w:val="-10"/>
                          <w:sz w:val="26"/>
                        </w:rPr>
                        <w:t> </w:t>
                      </w:r>
                      <w:r>
                        <w:rPr>
                          <w:rFonts w:ascii="Segoe UI Semibold" w:hAnsi="Segoe UI Semibold"/>
                          <w:b/>
                          <w:i/>
                          <w:color w:val="1A4796"/>
                          <w:sz w:val="26"/>
                        </w:rPr>
                        <w:t>informe</w:t>
                      </w:r>
                      <w:r>
                        <w:rPr>
                          <w:rFonts w:ascii="Segoe UI Semibold" w:hAnsi="Segoe UI Semibold"/>
                          <w:b/>
                          <w:i/>
                          <w:color w:val="1A4796"/>
                          <w:spacing w:val="-10"/>
                          <w:sz w:val="26"/>
                        </w:rPr>
                        <w:t> </w:t>
                      </w:r>
                      <w:r>
                        <w:rPr>
                          <w:rFonts w:ascii="Segoe UI Semibold" w:hAnsi="Segoe UI Semibold"/>
                          <w:b/>
                          <w:i/>
                          <w:color w:val="1A4796"/>
                          <w:sz w:val="26"/>
                        </w:rPr>
                        <w:t>abarca</w:t>
                      </w:r>
                      <w:r>
                        <w:rPr>
                          <w:rFonts w:ascii="Segoe UI Semibold" w:hAnsi="Segoe UI Semibold"/>
                          <w:b/>
                          <w:i/>
                          <w:color w:val="1A4796"/>
                          <w:spacing w:val="-10"/>
                          <w:sz w:val="26"/>
                        </w:rPr>
                        <w:t> </w:t>
                      </w:r>
                      <w:r>
                        <w:rPr>
                          <w:rFonts w:ascii="Segoe UI Semibold" w:hAnsi="Segoe UI Semibold"/>
                          <w:b/>
                          <w:i/>
                          <w:color w:val="1A4796"/>
                          <w:sz w:val="26"/>
                        </w:rPr>
                        <w:t>los</w:t>
                      </w:r>
                      <w:r>
                        <w:rPr>
                          <w:rFonts w:ascii="Segoe UI Semibold" w:hAnsi="Segoe UI Semibold"/>
                          <w:b/>
                          <w:i/>
                          <w:color w:val="1A4796"/>
                          <w:spacing w:val="-9"/>
                          <w:sz w:val="26"/>
                        </w:rPr>
                        <w:t> </w:t>
                      </w:r>
                      <w:r>
                        <w:rPr>
                          <w:rFonts w:ascii="Segoe UI Semibold" w:hAnsi="Segoe UI Semibold"/>
                          <w:b/>
                          <w:i/>
                          <w:color w:val="1A4796"/>
                          <w:sz w:val="26"/>
                        </w:rPr>
                        <w:t>daños</w:t>
                      </w:r>
                      <w:r>
                        <w:rPr>
                          <w:rFonts w:ascii="Segoe UI Semibold" w:hAnsi="Segoe UI Semibold"/>
                          <w:b/>
                          <w:i/>
                          <w:color w:val="1A4796"/>
                          <w:sz w:val="26"/>
                        </w:rPr>
                        <w:t> provocados por esta política entre</w:t>
                      </w:r>
                    </w:p>
                    <w:p>
                      <w:pPr>
                        <w:spacing w:line="220" w:lineRule="auto" w:before="1"/>
                        <w:ind w:left="1474" w:right="270" w:firstLine="0"/>
                        <w:jc w:val="left"/>
                        <w:rPr>
                          <w:rFonts w:ascii="Segoe UI Semibold" w:hAnsi="Segoe UI Semibold"/>
                          <w:b/>
                          <w:i/>
                          <w:color w:val="000000"/>
                          <w:sz w:val="26"/>
                        </w:rPr>
                      </w:pPr>
                      <w:r>
                        <w:rPr>
                          <w:rFonts w:ascii="Segoe UI Semibold" w:hAnsi="Segoe UI Semibold"/>
                          <w:b/>
                          <w:i/>
                          <w:color w:val="1A4796"/>
                          <w:sz w:val="26"/>
                        </w:rPr>
                        <w:t>el 1º de marzo de 2022 y el 28 de</w:t>
                      </w:r>
                      <w:r>
                        <w:rPr>
                          <w:rFonts w:ascii="Segoe UI Semibold" w:hAnsi="Segoe UI Semibold"/>
                          <w:b/>
                          <w:i/>
                          <w:color w:val="1A4796"/>
                          <w:sz w:val="26"/>
                        </w:rPr>
                        <w:t> febrero</w:t>
                      </w:r>
                      <w:r>
                        <w:rPr>
                          <w:rFonts w:ascii="Segoe UI Semibold" w:hAnsi="Segoe UI Semibold"/>
                          <w:b/>
                          <w:i/>
                          <w:color w:val="1A4796"/>
                          <w:spacing w:val="-9"/>
                          <w:sz w:val="26"/>
                        </w:rPr>
                        <w:t> </w:t>
                      </w:r>
                      <w:r>
                        <w:rPr>
                          <w:rFonts w:ascii="Segoe UI Semibold" w:hAnsi="Segoe UI Semibold"/>
                          <w:b/>
                          <w:i/>
                          <w:color w:val="1A4796"/>
                          <w:sz w:val="26"/>
                        </w:rPr>
                        <w:t>de</w:t>
                      </w:r>
                      <w:r>
                        <w:rPr>
                          <w:rFonts w:ascii="Segoe UI Semibold" w:hAnsi="Segoe UI Semibold"/>
                          <w:b/>
                          <w:i/>
                          <w:color w:val="1A4796"/>
                          <w:spacing w:val="-9"/>
                          <w:sz w:val="26"/>
                        </w:rPr>
                        <w:t> </w:t>
                      </w:r>
                      <w:r>
                        <w:rPr>
                          <w:rFonts w:ascii="Segoe UI Semibold" w:hAnsi="Segoe UI Semibold"/>
                          <w:b/>
                          <w:i/>
                          <w:color w:val="1A4796"/>
                          <w:sz w:val="26"/>
                        </w:rPr>
                        <w:t>2023,</w:t>
                      </w:r>
                      <w:r>
                        <w:rPr>
                          <w:rFonts w:ascii="Segoe UI Semibold" w:hAnsi="Segoe UI Semibold"/>
                          <w:b/>
                          <w:i/>
                          <w:color w:val="1A4796"/>
                          <w:spacing w:val="-9"/>
                          <w:sz w:val="26"/>
                        </w:rPr>
                        <w:t> </w:t>
                      </w:r>
                      <w:r>
                        <w:rPr>
                          <w:rFonts w:ascii="Segoe UI Semibold" w:hAnsi="Segoe UI Semibold"/>
                          <w:b/>
                          <w:i/>
                          <w:color w:val="1A4796"/>
                          <w:sz w:val="26"/>
                        </w:rPr>
                        <w:t>período</w:t>
                      </w:r>
                      <w:r>
                        <w:rPr>
                          <w:rFonts w:ascii="Segoe UI Semibold" w:hAnsi="Segoe UI Semibold"/>
                          <w:b/>
                          <w:i/>
                          <w:color w:val="1A4796"/>
                          <w:spacing w:val="-9"/>
                          <w:sz w:val="26"/>
                        </w:rPr>
                        <w:t> </w:t>
                      </w:r>
                      <w:r>
                        <w:rPr>
                          <w:rFonts w:ascii="Segoe UI Semibold" w:hAnsi="Segoe UI Semibold"/>
                          <w:b/>
                          <w:i/>
                          <w:color w:val="1A4796"/>
                          <w:sz w:val="26"/>
                        </w:rPr>
                        <w:t>marcado</w:t>
                      </w:r>
                      <w:r>
                        <w:rPr>
                          <w:rFonts w:ascii="Segoe UI Semibold" w:hAnsi="Segoe UI Semibold"/>
                          <w:b/>
                          <w:i/>
                          <w:color w:val="1A4796"/>
                          <w:spacing w:val="-9"/>
                          <w:sz w:val="26"/>
                        </w:rPr>
                        <w:t> </w:t>
                      </w:r>
                      <w:r>
                        <w:rPr>
                          <w:rFonts w:ascii="Segoe UI Semibold" w:hAnsi="Segoe UI Semibold"/>
                          <w:b/>
                          <w:i/>
                          <w:color w:val="1A4796"/>
                          <w:sz w:val="26"/>
                        </w:rPr>
                        <w:t>por la aplicación continua y deliberada de las medidas de máxima presión instauradas durante el gobierno de Donald Trump, la vigencia de las leyes que conforman este sistema de medidas coercitivas unilaterales, y</w:t>
                      </w:r>
                    </w:p>
                    <w:p>
                      <w:pPr>
                        <w:spacing w:line="220" w:lineRule="auto" w:before="6"/>
                        <w:ind w:left="1474" w:right="306" w:firstLine="0"/>
                        <w:jc w:val="left"/>
                        <w:rPr>
                          <w:rFonts w:ascii="Segoe UI Semibold"/>
                          <w:b/>
                          <w:i/>
                          <w:color w:val="000000"/>
                          <w:sz w:val="26"/>
                        </w:rPr>
                      </w:pPr>
                      <w:r>
                        <w:rPr>
                          <w:rFonts w:ascii="Segoe UI Semibold"/>
                          <w:b/>
                          <w:i/>
                          <w:color w:val="1A4796"/>
                          <w:sz w:val="26"/>
                        </w:rPr>
                        <w:t>la inercia e inmovilismo del actual</w:t>
                      </w:r>
                      <w:r>
                        <w:rPr>
                          <w:rFonts w:ascii="Segoe UI Semibold"/>
                          <w:b/>
                          <w:i/>
                          <w:color w:val="1A4796"/>
                          <w:sz w:val="26"/>
                        </w:rPr>
                        <w:t> gobierno</w:t>
                      </w:r>
                      <w:r>
                        <w:rPr>
                          <w:rFonts w:ascii="Segoe UI Semibold"/>
                          <w:b/>
                          <w:i/>
                          <w:color w:val="1A4796"/>
                          <w:spacing w:val="-11"/>
                          <w:sz w:val="26"/>
                        </w:rPr>
                        <w:t> </w:t>
                      </w:r>
                      <w:r>
                        <w:rPr>
                          <w:rFonts w:ascii="Segoe UI Semibold"/>
                          <w:b/>
                          <w:i/>
                          <w:color w:val="1A4796"/>
                          <w:sz w:val="26"/>
                        </w:rPr>
                        <w:t>del</w:t>
                      </w:r>
                      <w:r>
                        <w:rPr>
                          <w:rFonts w:ascii="Segoe UI Semibold"/>
                          <w:b/>
                          <w:i/>
                          <w:color w:val="1A4796"/>
                          <w:spacing w:val="-10"/>
                          <w:sz w:val="26"/>
                        </w:rPr>
                        <w:t> </w:t>
                      </w:r>
                      <w:r>
                        <w:rPr>
                          <w:rFonts w:ascii="Segoe UI Semibold"/>
                          <w:b/>
                          <w:i/>
                          <w:color w:val="1A4796"/>
                          <w:sz w:val="26"/>
                        </w:rPr>
                        <w:t>presidente</w:t>
                      </w:r>
                      <w:r>
                        <w:rPr>
                          <w:rFonts w:ascii="Segoe UI Semibold"/>
                          <w:b/>
                          <w:i/>
                          <w:color w:val="1A4796"/>
                          <w:spacing w:val="-11"/>
                          <w:sz w:val="26"/>
                        </w:rPr>
                        <w:t> </w:t>
                      </w:r>
                      <w:r>
                        <w:rPr>
                          <w:rFonts w:ascii="Segoe UI Semibold"/>
                          <w:b/>
                          <w:i/>
                          <w:color w:val="1A4796"/>
                          <w:sz w:val="26"/>
                        </w:rPr>
                        <w:t>Joseph</w:t>
                      </w:r>
                      <w:r>
                        <w:rPr>
                          <w:rFonts w:ascii="Segoe UI Semibold"/>
                          <w:b/>
                          <w:i/>
                          <w:color w:val="1A4796"/>
                          <w:spacing w:val="-10"/>
                          <w:sz w:val="26"/>
                        </w:rPr>
                        <w:t> </w:t>
                      </w:r>
                      <w:r>
                        <w:rPr>
                          <w:rFonts w:ascii="Segoe UI Semibold"/>
                          <w:b/>
                          <w:i/>
                          <w:color w:val="1A4796"/>
                          <w:sz w:val="26"/>
                        </w:rPr>
                        <w:t>Biden para impulsar avances reales en las relaciones bilaterales entre Cuba y los Estados Unidos.</w:t>
                      </w:r>
                    </w:p>
                  </w:txbxContent>
                </v:textbox>
                <v:fill type="solid"/>
                <w10:wrap type="none"/>
              </v:shape>
            </w:pict>
          </mc:Fallback>
        </mc:AlternateContent>
      </w:r>
      <w:r>
        <w:rPr>
          <w:b/>
          <w:i/>
          <w:color w:val="231F20"/>
          <w:sz w:val="24"/>
        </w:rPr>
        <w:t>con</w:t>
      </w:r>
      <w:r>
        <w:rPr>
          <w:b/>
          <w:i/>
          <w:color w:val="231F20"/>
          <w:spacing w:val="-5"/>
          <w:sz w:val="24"/>
        </w:rPr>
        <w:t> </w:t>
      </w:r>
      <w:r>
        <w:rPr>
          <w:b/>
          <w:i/>
          <w:color w:val="231F20"/>
          <w:spacing w:val="-2"/>
          <w:sz w:val="24"/>
        </w:rPr>
        <w:t>bloqueo.</w:t>
      </w: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spacing w:before="15"/>
        <w:jc w:val="left"/>
        <w:rPr>
          <w:b/>
          <w:i/>
        </w:rPr>
      </w:pPr>
    </w:p>
    <w:p>
      <w:pPr>
        <w:pStyle w:val="BodyText"/>
        <w:ind w:left="1474"/>
      </w:pPr>
      <w:r>
        <w:rPr>
          <w:color w:val="231F20"/>
        </w:rPr>
        <w:t>El gobierno de Joseph Biden no ha sido capaz de articular una política propia hacia Cuba que lleve a vías de hecho las promesas</w:t>
      </w:r>
      <w:r>
        <w:rPr>
          <w:color w:val="231F20"/>
          <w:spacing w:val="80"/>
        </w:rPr>
        <w:t> </w:t>
      </w:r>
      <w:r>
        <w:rPr>
          <w:color w:val="231F20"/>
        </w:rPr>
        <w:t>electorales</w:t>
      </w:r>
      <w:r>
        <w:rPr>
          <w:color w:val="231F20"/>
          <w:spacing w:val="80"/>
        </w:rPr>
        <w:t> </w:t>
      </w:r>
      <w:r>
        <w:rPr>
          <w:color w:val="231F20"/>
        </w:rPr>
        <w:t>que</w:t>
      </w:r>
      <w:r>
        <w:rPr>
          <w:color w:val="231F20"/>
          <w:spacing w:val="80"/>
        </w:rPr>
        <w:t> </w:t>
      </w:r>
      <w:r>
        <w:rPr>
          <w:color w:val="231F20"/>
        </w:rPr>
        <w:t>sustentaron la plataforma del Partido Demócrata en 2020.</w:t>
      </w:r>
      <w:r>
        <w:rPr>
          <w:color w:val="231F20"/>
          <w:spacing w:val="-14"/>
        </w:rPr>
        <w:t> </w:t>
      </w:r>
      <w:r>
        <w:rPr>
          <w:color w:val="231F20"/>
        </w:rPr>
        <w:t>En</w:t>
      </w:r>
      <w:r>
        <w:rPr>
          <w:color w:val="231F20"/>
          <w:spacing w:val="-13"/>
        </w:rPr>
        <w:t> </w:t>
      </w:r>
      <w:r>
        <w:rPr>
          <w:color w:val="231F20"/>
        </w:rPr>
        <w:t>la</w:t>
      </w:r>
      <w:r>
        <w:rPr>
          <w:color w:val="231F20"/>
          <w:spacing w:val="-14"/>
        </w:rPr>
        <w:t> </w:t>
      </w:r>
      <w:r>
        <w:rPr>
          <w:color w:val="231F20"/>
        </w:rPr>
        <w:t>práctica,</w:t>
      </w:r>
      <w:r>
        <w:rPr>
          <w:color w:val="231F20"/>
          <w:spacing w:val="-13"/>
        </w:rPr>
        <w:t> </w:t>
      </w:r>
      <w:r>
        <w:rPr>
          <w:color w:val="231F20"/>
        </w:rPr>
        <w:t>ha</w:t>
      </w:r>
      <w:r>
        <w:rPr>
          <w:color w:val="231F20"/>
          <w:spacing w:val="-14"/>
        </w:rPr>
        <w:t> </w:t>
      </w:r>
      <w:r>
        <w:rPr>
          <w:color w:val="231F20"/>
        </w:rPr>
        <w:t>mantenido</w:t>
      </w:r>
      <w:r>
        <w:rPr>
          <w:color w:val="231F20"/>
          <w:spacing w:val="-13"/>
        </w:rPr>
        <w:t> </w:t>
      </w:r>
      <w:r>
        <w:rPr>
          <w:color w:val="231F20"/>
          <w:spacing w:val="-2"/>
        </w:rPr>
        <w:t>intactas</w:t>
      </w:r>
    </w:p>
    <w:p>
      <w:pPr>
        <w:pStyle w:val="BodyText"/>
        <w:spacing w:before="100"/>
        <w:ind w:left="412" w:right="1133"/>
      </w:pPr>
      <w:r>
        <w:rPr/>
        <w:br w:type="column"/>
      </w:r>
      <w:r>
        <w:rPr>
          <w:color w:val="231F20"/>
        </w:rPr>
        <w:t>las acciones de mayor hostilidad contra</w:t>
      </w:r>
      <w:r>
        <w:rPr>
          <w:color w:val="231F20"/>
          <w:spacing w:val="80"/>
        </w:rPr>
        <w:t> </w:t>
      </w:r>
      <w:r>
        <w:rPr>
          <w:color w:val="231F20"/>
        </w:rPr>
        <w:t>la Isla, que continúan ocasionando daños significativos a todos los cubanos.</w:t>
      </w:r>
    </w:p>
    <w:p>
      <w:pPr>
        <w:pStyle w:val="BodyText"/>
        <w:spacing w:before="162"/>
        <w:ind w:left="412" w:right="1132"/>
      </w:pPr>
      <w:r>
        <w:rPr>
          <w:color w:val="231F20"/>
        </w:rPr>
        <w:t>La posibilidad de tomar acción en los </w:t>
      </w:r>
      <w:r>
        <w:rPr>
          <w:color w:val="231F20"/>
          <w:spacing w:val="-4"/>
        </w:rPr>
        <w:t>tribunales</w:t>
      </w:r>
      <w:r>
        <w:rPr>
          <w:color w:val="231F20"/>
          <w:spacing w:val="-13"/>
        </w:rPr>
        <w:t> </w:t>
      </w:r>
      <w:r>
        <w:rPr>
          <w:color w:val="231F20"/>
          <w:spacing w:val="-4"/>
        </w:rPr>
        <w:t>estadounidenses</w:t>
      </w:r>
      <w:r>
        <w:rPr>
          <w:color w:val="231F20"/>
          <w:spacing w:val="-12"/>
        </w:rPr>
        <w:t> </w:t>
      </w:r>
      <w:r>
        <w:rPr>
          <w:color w:val="231F20"/>
          <w:spacing w:val="-4"/>
        </w:rPr>
        <w:t>ante</w:t>
      </w:r>
      <w:r>
        <w:rPr>
          <w:color w:val="231F20"/>
          <w:spacing w:val="-13"/>
        </w:rPr>
        <w:t> </w:t>
      </w:r>
      <w:r>
        <w:rPr>
          <w:color w:val="231F20"/>
          <w:spacing w:val="-4"/>
        </w:rPr>
        <w:t>demandas </w:t>
      </w:r>
      <w:r>
        <w:rPr>
          <w:color w:val="231F20"/>
        </w:rPr>
        <w:t>presentadas</w:t>
      </w:r>
      <w:r>
        <w:rPr>
          <w:color w:val="231F20"/>
          <w:spacing w:val="40"/>
        </w:rPr>
        <w:t> </w:t>
      </w:r>
      <w:r>
        <w:rPr>
          <w:color w:val="231F20"/>
        </w:rPr>
        <w:t>al</w:t>
      </w:r>
      <w:r>
        <w:rPr>
          <w:color w:val="231F20"/>
          <w:spacing w:val="40"/>
        </w:rPr>
        <w:t> </w:t>
      </w:r>
      <w:r>
        <w:rPr>
          <w:color w:val="231F20"/>
        </w:rPr>
        <w:t>amparo</w:t>
      </w:r>
      <w:r>
        <w:rPr>
          <w:color w:val="231F20"/>
          <w:spacing w:val="40"/>
        </w:rPr>
        <w:t> </w:t>
      </w:r>
      <w:r>
        <w:rPr>
          <w:color w:val="231F20"/>
        </w:rPr>
        <w:t>del</w:t>
      </w:r>
      <w:r>
        <w:rPr>
          <w:color w:val="231F20"/>
          <w:spacing w:val="40"/>
        </w:rPr>
        <w:t> </w:t>
      </w:r>
      <w:r>
        <w:rPr>
          <w:color w:val="231F20"/>
        </w:rPr>
        <w:t>Título</w:t>
      </w:r>
      <w:r>
        <w:rPr>
          <w:color w:val="231F20"/>
          <w:spacing w:val="40"/>
        </w:rPr>
        <w:t> </w:t>
      </w:r>
      <w:r>
        <w:rPr>
          <w:color w:val="231F20"/>
        </w:rPr>
        <w:t>III</w:t>
      </w:r>
      <w:r>
        <w:rPr>
          <w:color w:val="231F20"/>
          <w:spacing w:val="40"/>
        </w:rPr>
        <w:t> </w:t>
      </w:r>
      <w:r>
        <w:rPr>
          <w:color w:val="231F20"/>
        </w:rPr>
        <w:t>de la Ley Helms-Burton, la permanencia de Cuba en la arbitraria Lista de Estados patrocinadores del terrorismo elaborada por el Departamento de Estado de los Estados Unidos, la persecución de las transacciones financieras y comerciales del país, la imposibilidad de procesar visas de no inmigrantes en La Habana, la intimidación a las empresas que envían suministros de combustible a la Isla, los intentos por frustrar la recuperación del sector turístico tras la pandemia de la COVID-19 y la campaña de descrédito contra los programas de cooperación </w:t>
      </w:r>
      <w:r>
        <w:rPr>
          <w:color w:val="231F20"/>
          <w:spacing w:val="-2"/>
        </w:rPr>
        <w:t>médica</w:t>
      </w:r>
      <w:r>
        <w:rPr>
          <w:color w:val="231F20"/>
          <w:spacing w:val="-15"/>
        </w:rPr>
        <w:t> </w:t>
      </w:r>
      <w:r>
        <w:rPr>
          <w:color w:val="231F20"/>
          <w:spacing w:val="-2"/>
        </w:rPr>
        <w:t>cubana,</w:t>
      </w:r>
      <w:r>
        <w:rPr>
          <w:color w:val="231F20"/>
          <w:spacing w:val="-14"/>
        </w:rPr>
        <w:t> </w:t>
      </w:r>
      <w:r>
        <w:rPr>
          <w:color w:val="231F20"/>
          <w:spacing w:val="-2"/>
        </w:rPr>
        <w:t>definen</w:t>
      </w:r>
      <w:r>
        <w:rPr>
          <w:color w:val="231F20"/>
          <w:spacing w:val="-15"/>
        </w:rPr>
        <w:t> </w:t>
      </w:r>
      <w:r>
        <w:rPr>
          <w:color w:val="231F20"/>
          <w:spacing w:val="-2"/>
        </w:rPr>
        <w:t>los</w:t>
      </w:r>
      <w:r>
        <w:rPr>
          <w:color w:val="231F20"/>
          <w:spacing w:val="-14"/>
        </w:rPr>
        <w:t> </w:t>
      </w:r>
      <w:r>
        <w:rPr>
          <w:color w:val="231F20"/>
          <w:spacing w:val="-2"/>
        </w:rPr>
        <w:t>rasgos</w:t>
      </w:r>
      <w:r>
        <w:rPr>
          <w:color w:val="231F20"/>
          <w:spacing w:val="-15"/>
        </w:rPr>
        <w:t> </w:t>
      </w:r>
      <w:r>
        <w:rPr>
          <w:color w:val="231F20"/>
          <w:spacing w:val="-2"/>
        </w:rPr>
        <w:t>actuales </w:t>
      </w:r>
      <w:r>
        <w:rPr>
          <w:color w:val="231F20"/>
        </w:rPr>
        <w:t>más severos de la política hostil de los Estados Unidos hacia Cuba.</w:t>
      </w:r>
    </w:p>
    <w:p>
      <w:pPr>
        <w:pStyle w:val="BodyText"/>
        <w:spacing w:before="176"/>
        <w:ind w:left="412" w:right="1133"/>
      </w:pPr>
      <w:r>
        <w:rPr>
          <w:color w:val="231F20"/>
          <w:spacing w:val="-6"/>
        </w:rPr>
        <w:t>Son medidas particularmente nocivas en las </w:t>
      </w:r>
      <w:r>
        <w:rPr>
          <w:color w:val="231F20"/>
          <w:spacing w:val="-4"/>
        </w:rPr>
        <w:t>condiciones</w:t>
      </w:r>
      <w:r>
        <w:rPr>
          <w:color w:val="231F20"/>
          <w:spacing w:val="-13"/>
        </w:rPr>
        <w:t> </w:t>
      </w:r>
      <w:r>
        <w:rPr>
          <w:color w:val="231F20"/>
          <w:spacing w:val="-4"/>
        </w:rPr>
        <w:t>de</w:t>
      </w:r>
      <w:r>
        <w:rPr>
          <w:color w:val="231F20"/>
          <w:spacing w:val="-12"/>
        </w:rPr>
        <w:t> </w:t>
      </w:r>
      <w:r>
        <w:rPr>
          <w:color w:val="231F20"/>
          <w:spacing w:val="-4"/>
        </w:rPr>
        <w:t>una</w:t>
      </w:r>
      <w:r>
        <w:rPr>
          <w:color w:val="231F20"/>
          <w:spacing w:val="-13"/>
        </w:rPr>
        <w:t> </w:t>
      </w:r>
      <w:r>
        <w:rPr>
          <w:color w:val="231F20"/>
          <w:spacing w:val="-4"/>
        </w:rPr>
        <w:t>economía</w:t>
      </w:r>
      <w:r>
        <w:rPr>
          <w:color w:val="231F20"/>
          <w:spacing w:val="-12"/>
        </w:rPr>
        <w:t> </w:t>
      </w:r>
      <w:r>
        <w:rPr>
          <w:color w:val="231F20"/>
          <w:spacing w:val="-4"/>
        </w:rPr>
        <w:t>internacional </w:t>
      </w:r>
      <w:r>
        <w:rPr>
          <w:color w:val="231F20"/>
        </w:rPr>
        <w:t>en crisis, cada vez más interconectada, interdependiente y sujeta al dictado de los centros financieros de poder que se controlan desde Washington.</w:t>
      </w:r>
    </w:p>
    <w:p>
      <w:pPr>
        <w:pStyle w:val="BodyText"/>
        <w:spacing w:before="164"/>
        <w:ind w:left="412" w:right="1132"/>
      </w:pPr>
      <w:r>
        <w:rPr>
          <w:color w:val="231F20"/>
        </w:rPr>
        <w:t>Junto a los efectos recrudecidos del bloqueo, Cuba ha debido enfrentar las </w:t>
      </w:r>
      <w:r>
        <w:rPr>
          <w:color w:val="231F20"/>
          <w:spacing w:val="-2"/>
        </w:rPr>
        <w:t>consecuencias</w:t>
      </w:r>
      <w:r>
        <w:rPr>
          <w:color w:val="231F20"/>
          <w:spacing w:val="-15"/>
        </w:rPr>
        <w:t> </w:t>
      </w:r>
      <w:r>
        <w:rPr>
          <w:color w:val="231F20"/>
          <w:spacing w:val="-2"/>
        </w:rPr>
        <w:t>persistentes</w:t>
      </w:r>
      <w:r>
        <w:rPr>
          <w:color w:val="231F20"/>
          <w:spacing w:val="-14"/>
        </w:rPr>
        <w:t> </w:t>
      </w:r>
      <w:r>
        <w:rPr>
          <w:color w:val="231F20"/>
          <w:spacing w:val="-2"/>
        </w:rPr>
        <w:t>de</w:t>
      </w:r>
      <w:r>
        <w:rPr>
          <w:color w:val="231F20"/>
          <w:spacing w:val="-15"/>
        </w:rPr>
        <w:t> </w:t>
      </w:r>
      <w:r>
        <w:rPr>
          <w:color w:val="231F20"/>
          <w:spacing w:val="-2"/>
        </w:rPr>
        <w:t>la</w:t>
      </w:r>
      <w:r>
        <w:rPr>
          <w:color w:val="231F20"/>
          <w:spacing w:val="-14"/>
        </w:rPr>
        <w:t> </w:t>
      </w:r>
      <w:r>
        <w:rPr>
          <w:color w:val="231F20"/>
          <w:spacing w:val="-2"/>
        </w:rPr>
        <w:t>pandemia </w:t>
      </w:r>
      <w:r>
        <w:rPr>
          <w:color w:val="231F20"/>
        </w:rPr>
        <w:t>de la COVID-19 que gravitan sobre todos los</w:t>
      </w:r>
      <w:r>
        <w:rPr>
          <w:color w:val="231F20"/>
          <w:spacing w:val="-12"/>
        </w:rPr>
        <w:t> </w:t>
      </w:r>
      <w:r>
        <w:rPr>
          <w:color w:val="231F20"/>
        </w:rPr>
        <w:t>ámbitos</w:t>
      </w:r>
      <w:r>
        <w:rPr>
          <w:color w:val="231F20"/>
          <w:spacing w:val="-12"/>
        </w:rPr>
        <w:t> </w:t>
      </w:r>
      <w:r>
        <w:rPr>
          <w:color w:val="231F20"/>
        </w:rPr>
        <w:t>de</w:t>
      </w:r>
      <w:r>
        <w:rPr>
          <w:color w:val="231F20"/>
          <w:spacing w:val="-12"/>
        </w:rPr>
        <w:t> </w:t>
      </w:r>
      <w:r>
        <w:rPr>
          <w:color w:val="231F20"/>
        </w:rPr>
        <w:t>la</w:t>
      </w:r>
      <w:r>
        <w:rPr>
          <w:color w:val="231F20"/>
          <w:spacing w:val="-12"/>
        </w:rPr>
        <w:t> </w:t>
      </w:r>
      <w:r>
        <w:rPr>
          <w:color w:val="231F20"/>
        </w:rPr>
        <w:t>vida</w:t>
      </w:r>
      <w:r>
        <w:rPr>
          <w:color w:val="231F20"/>
          <w:spacing w:val="-12"/>
        </w:rPr>
        <w:t> </w:t>
      </w:r>
      <w:r>
        <w:rPr>
          <w:color w:val="231F20"/>
        </w:rPr>
        <w:t>socioeconómica</w:t>
      </w:r>
      <w:r>
        <w:rPr>
          <w:color w:val="231F20"/>
          <w:spacing w:val="-12"/>
        </w:rPr>
        <w:t> </w:t>
      </w:r>
      <w:r>
        <w:rPr>
          <w:color w:val="231F20"/>
        </w:rPr>
        <w:t>del </w:t>
      </w:r>
      <w:r>
        <w:rPr>
          <w:color w:val="231F20"/>
          <w:spacing w:val="-4"/>
        </w:rPr>
        <w:t>país,</w:t>
      </w:r>
      <w:r>
        <w:rPr>
          <w:color w:val="231F20"/>
          <w:spacing w:val="-8"/>
        </w:rPr>
        <w:t> </w:t>
      </w:r>
      <w:r>
        <w:rPr>
          <w:color w:val="231F20"/>
          <w:spacing w:val="-4"/>
        </w:rPr>
        <w:t>así</w:t>
      </w:r>
      <w:r>
        <w:rPr>
          <w:color w:val="231F20"/>
          <w:spacing w:val="-7"/>
        </w:rPr>
        <w:t> </w:t>
      </w:r>
      <w:r>
        <w:rPr>
          <w:color w:val="231F20"/>
          <w:spacing w:val="-4"/>
        </w:rPr>
        <w:t>como</w:t>
      </w:r>
      <w:r>
        <w:rPr>
          <w:color w:val="231F20"/>
          <w:spacing w:val="-8"/>
        </w:rPr>
        <w:t> </w:t>
      </w:r>
      <w:r>
        <w:rPr>
          <w:color w:val="231F20"/>
          <w:spacing w:val="-4"/>
        </w:rPr>
        <w:t>los</w:t>
      </w:r>
      <w:r>
        <w:rPr>
          <w:color w:val="231F20"/>
          <w:spacing w:val="-7"/>
        </w:rPr>
        <w:t> </w:t>
      </w:r>
      <w:r>
        <w:rPr>
          <w:color w:val="231F20"/>
          <w:spacing w:val="-4"/>
        </w:rPr>
        <w:t>impactos</w:t>
      </w:r>
      <w:r>
        <w:rPr>
          <w:color w:val="231F20"/>
          <w:spacing w:val="-8"/>
        </w:rPr>
        <w:t> </w:t>
      </w:r>
      <w:r>
        <w:rPr>
          <w:color w:val="231F20"/>
          <w:spacing w:val="-4"/>
        </w:rPr>
        <w:t>combinados</w:t>
      </w:r>
      <w:r>
        <w:rPr>
          <w:color w:val="231F20"/>
          <w:spacing w:val="-7"/>
        </w:rPr>
        <w:t> </w:t>
      </w:r>
      <w:r>
        <w:rPr>
          <w:color w:val="231F20"/>
          <w:spacing w:val="-5"/>
        </w:rPr>
        <w:t>de</w:t>
      </w:r>
    </w:p>
    <w:p>
      <w:pPr>
        <w:spacing w:after="0"/>
        <w:sectPr>
          <w:type w:val="continuous"/>
          <w:pgSz w:w="11910" w:h="16840"/>
          <w:pgMar w:header="0" w:footer="695" w:top="1920" w:bottom="280" w:left="0" w:right="0"/>
          <w:cols w:num="2" w:equalWidth="0">
            <w:col w:w="5898" w:space="40"/>
            <w:col w:w="5972"/>
          </w:cols>
        </w:sectPr>
      </w:pPr>
    </w:p>
    <w:p>
      <w:pPr>
        <w:pStyle w:val="BodyText"/>
        <w:spacing w:before="77"/>
        <w:ind w:left="1133"/>
      </w:pPr>
      <w:r>
        <w:rPr>
          <w:color w:val="231F20"/>
          <w:spacing w:val="-2"/>
        </w:rPr>
        <w:t>una</w:t>
      </w:r>
      <w:r>
        <w:rPr>
          <w:color w:val="231F20"/>
          <w:spacing w:val="-11"/>
        </w:rPr>
        <w:t> </w:t>
      </w:r>
      <w:r>
        <w:rPr>
          <w:color w:val="231F20"/>
          <w:spacing w:val="-2"/>
        </w:rPr>
        <w:t>crisis</w:t>
      </w:r>
      <w:r>
        <w:rPr>
          <w:color w:val="231F20"/>
          <w:spacing w:val="-8"/>
        </w:rPr>
        <w:t> </w:t>
      </w:r>
      <w:r>
        <w:rPr>
          <w:color w:val="231F20"/>
          <w:spacing w:val="-2"/>
        </w:rPr>
        <w:t>multidimensional</w:t>
      </w:r>
      <w:r>
        <w:rPr>
          <w:color w:val="231F20"/>
          <w:spacing w:val="-8"/>
        </w:rPr>
        <w:t> </w:t>
      </w:r>
      <w:r>
        <w:rPr>
          <w:color w:val="231F20"/>
          <w:spacing w:val="-2"/>
        </w:rPr>
        <w:t>a</w:t>
      </w:r>
      <w:r>
        <w:rPr>
          <w:color w:val="231F20"/>
          <w:spacing w:val="-8"/>
        </w:rPr>
        <w:t> </w:t>
      </w:r>
      <w:r>
        <w:rPr>
          <w:color w:val="231F20"/>
          <w:spacing w:val="-2"/>
        </w:rPr>
        <w:t>nivel</w:t>
      </w:r>
      <w:r>
        <w:rPr>
          <w:color w:val="231F20"/>
          <w:spacing w:val="-8"/>
        </w:rPr>
        <w:t> </w:t>
      </w:r>
      <w:r>
        <w:rPr>
          <w:color w:val="231F20"/>
          <w:spacing w:val="-2"/>
        </w:rPr>
        <w:t>global.</w:t>
      </w:r>
    </w:p>
    <w:p>
      <w:pPr>
        <w:pStyle w:val="BodyText"/>
        <w:spacing w:before="161"/>
        <w:ind w:left="1133" w:right="1"/>
      </w:pPr>
      <w:r>
        <w:rPr>
          <w:color w:val="231F20"/>
          <w:spacing w:val="-6"/>
        </w:rPr>
        <w:t>El gobierno de los Estados Unidos identificó </w:t>
      </w:r>
      <w:r>
        <w:rPr>
          <w:color w:val="231F20"/>
          <w:spacing w:val="-2"/>
        </w:rPr>
        <w:t>oportunistamente</w:t>
      </w:r>
      <w:r>
        <w:rPr>
          <w:color w:val="231F20"/>
          <w:spacing w:val="-15"/>
        </w:rPr>
        <w:t> </w:t>
      </w:r>
      <w:r>
        <w:rPr>
          <w:color w:val="231F20"/>
          <w:spacing w:val="-2"/>
        </w:rPr>
        <w:t>en</w:t>
      </w:r>
      <w:r>
        <w:rPr>
          <w:color w:val="231F20"/>
          <w:spacing w:val="-14"/>
        </w:rPr>
        <w:t> </w:t>
      </w:r>
      <w:r>
        <w:rPr>
          <w:color w:val="231F20"/>
          <w:spacing w:val="-2"/>
        </w:rPr>
        <w:t>la</w:t>
      </w:r>
      <w:r>
        <w:rPr>
          <w:color w:val="231F20"/>
          <w:spacing w:val="-15"/>
        </w:rPr>
        <w:t> </w:t>
      </w:r>
      <w:r>
        <w:rPr>
          <w:color w:val="231F20"/>
          <w:spacing w:val="-2"/>
        </w:rPr>
        <w:t>situación</w:t>
      </w:r>
      <w:r>
        <w:rPr>
          <w:color w:val="231F20"/>
          <w:spacing w:val="-14"/>
        </w:rPr>
        <w:t> </w:t>
      </w:r>
      <w:r>
        <w:rPr>
          <w:color w:val="231F20"/>
          <w:spacing w:val="-2"/>
        </w:rPr>
        <w:t>generada </w:t>
      </w:r>
      <w:r>
        <w:rPr>
          <w:color w:val="231F20"/>
          <w:spacing w:val="-4"/>
        </w:rPr>
        <w:t>por</w:t>
      </w:r>
      <w:r>
        <w:rPr>
          <w:color w:val="231F20"/>
          <w:spacing w:val="-12"/>
        </w:rPr>
        <w:t> </w:t>
      </w:r>
      <w:r>
        <w:rPr>
          <w:color w:val="231F20"/>
          <w:spacing w:val="-4"/>
        </w:rPr>
        <w:t>la</w:t>
      </w:r>
      <w:r>
        <w:rPr>
          <w:color w:val="231F20"/>
          <w:spacing w:val="-12"/>
        </w:rPr>
        <w:t> </w:t>
      </w:r>
      <w:r>
        <w:rPr>
          <w:color w:val="231F20"/>
          <w:spacing w:val="-4"/>
        </w:rPr>
        <w:t>COVID-19,</w:t>
      </w:r>
      <w:r>
        <w:rPr>
          <w:color w:val="231F20"/>
          <w:spacing w:val="-12"/>
        </w:rPr>
        <w:t> </w:t>
      </w:r>
      <w:r>
        <w:rPr>
          <w:color w:val="231F20"/>
          <w:spacing w:val="-4"/>
        </w:rPr>
        <w:t>una</w:t>
      </w:r>
      <w:r>
        <w:rPr>
          <w:color w:val="231F20"/>
          <w:spacing w:val="-12"/>
        </w:rPr>
        <w:t> </w:t>
      </w:r>
      <w:r>
        <w:rPr>
          <w:color w:val="231F20"/>
          <w:spacing w:val="-4"/>
        </w:rPr>
        <w:t>aliada</w:t>
      </w:r>
      <w:r>
        <w:rPr>
          <w:color w:val="231F20"/>
          <w:spacing w:val="-12"/>
        </w:rPr>
        <w:t> </w:t>
      </w:r>
      <w:r>
        <w:rPr>
          <w:color w:val="231F20"/>
          <w:spacing w:val="-4"/>
        </w:rPr>
        <w:t>para</w:t>
      </w:r>
      <w:r>
        <w:rPr>
          <w:color w:val="231F20"/>
          <w:spacing w:val="-12"/>
        </w:rPr>
        <w:t> </w:t>
      </w:r>
      <w:r>
        <w:rPr>
          <w:color w:val="231F20"/>
          <w:spacing w:val="-4"/>
        </w:rPr>
        <w:t>su</w:t>
      </w:r>
      <w:r>
        <w:rPr>
          <w:color w:val="231F20"/>
          <w:spacing w:val="-12"/>
        </w:rPr>
        <w:t> </w:t>
      </w:r>
      <w:r>
        <w:rPr>
          <w:color w:val="231F20"/>
          <w:spacing w:val="-4"/>
        </w:rPr>
        <w:t>política </w:t>
      </w:r>
      <w:r>
        <w:rPr>
          <w:color w:val="231F20"/>
        </w:rPr>
        <w:t>hostil</w:t>
      </w:r>
      <w:r>
        <w:rPr>
          <w:color w:val="231F20"/>
          <w:spacing w:val="-8"/>
        </w:rPr>
        <w:t> </w:t>
      </w:r>
      <w:r>
        <w:rPr>
          <w:color w:val="231F20"/>
        </w:rPr>
        <w:t>contra</w:t>
      </w:r>
      <w:r>
        <w:rPr>
          <w:color w:val="231F20"/>
          <w:spacing w:val="-8"/>
        </w:rPr>
        <w:t> </w:t>
      </w:r>
      <w:r>
        <w:rPr>
          <w:color w:val="231F20"/>
        </w:rPr>
        <w:t>Cuba.</w:t>
      </w:r>
      <w:r>
        <w:rPr>
          <w:color w:val="231F20"/>
          <w:spacing w:val="40"/>
        </w:rPr>
        <w:t> </w:t>
      </w:r>
      <w:r>
        <w:rPr>
          <w:color w:val="231F20"/>
        </w:rPr>
        <w:t>La</w:t>
      </w:r>
      <w:r>
        <w:rPr>
          <w:color w:val="231F20"/>
          <w:spacing w:val="-8"/>
        </w:rPr>
        <w:t> </w:t>
      </w:r>
      <w:r>
        <w:rPr>
          <w:color w:val="231F20"/>
        </w:rPr>
        <w:t>aviesa</w:t>
      </w:r>
      <w:r>
        <w:rPr>
          <w:color w:val="231F20"/>
          <w:spacing w:val="-8"/>
        </w:rPr>
        <w:t> </w:t>
      </w:r>
      <w:r>
        <w:rPr>
          <w:color w:val="231F20"/>
        </w:rPr>
        <w:t>intención</w:t>
      </w:r>
      <w:r>
        <w:rPr>
          <w:color w:val="231F20"/>
          <w:spacing w:val="-8"/>
        </w:rPr>
        <w:t> </w:t>
      </w:r>
      <w:r>
        <w:rPr>
          <w:color w:val="231F20"/>
        </w:rPr>
        <w:t>de fortalecer el bloqueo en esta coyuntura revela su particular rostro inhumano y el marcado</w:t>
      </w:r>
      <w:r>
        <w:rPr>
          <w:color w:val="231F20"/>
          <w:spacing w:val="-17"/>
        </w:rPr>
        <w:t> </w:t>
      </w:r>
      <w:r>
        <w:rPr>
          <w:color w:val="231F20"/>
        </w:rPr>
        <w:t>interés</w:t>
      </w:r>
      <w:r>
        <w:rPr>
          <w:color w:val="231F20"/>
          <w:spacing w:val="-16"/>
        </w:rPr>
        <w:t> </w:t>
      </w:r>
      <w:r>
        <w:rPr>
          <w:color w:val="231F20"/>
        </w:rPr>
        <w:t>de</w:t>
      </w:r>
      <w:r>
        <w:rPr>
          <w:color w:val="231F20"/>
          <w:spacing w:val="-17"/>
        </w:rPr>
        <w:t> </w:t>
      </w:r>
      <w:r>
        <w:rPr>
          <w:color w:val="231F20"/>
        </w:rPr>
        <w:t>aprovechar</w:t>
      </w:r>
      <w:r>
        <w:rPr>
          <w:color w:val="231F20"/>
          <w:spacing w:val="-16"/>
        </w:rPr>
        <w:t> </w:t>
      </w:r>
      <w:r>
        <w:rPr>
          <w:color w:val="231F20"/>
        </w:rPr>
        <w:t>la</w:t>
      </w:r>
      <w:r>
        <w:rPr>
          <w:color w:val="231F20"/>
          <w:spacing w:val="-17"/>
        </w:rPr>
        <w:t> </w:t>
      </w:r>
      <w:r>
        <w:rPr>
          <w:color w:val="231F20"/>
        </w:rPr>
        <w:t>recesión </w:t>
      </w:r>
      <w:r>
        <w:rPr>
          <w:color w:val="231F20"/>
          <w:spacing w:val="-2"/>
        </w:rPr>
        <w:t>económica</w:t>
      </w:r>
      <w:r>
        <w:rPr>
          <w:color w:val="231F20"/>
          <w:spacing w:val="-15"/>
        </w:rPr>
        <w:t> </w:t>
      </w:r>
      <w:r>
        <w:rPr>
          <w:color w:val="231F20"/>
          <w:spacing w:val="-2"/>
        </w:rPr>
        <w:t>derivada</w:t>
      </w:r>
      <w:r>
        <w:rPr>
          <w:color w:val="231F20"/>
          <w:spacing w:val="-14"/>
        </w:rPr>
        <w:t> </w:t>
      </w:r>
      <w:r>
        <w:rPr>
          <w:color w:val="231F20"/>
          <w:spacing w:val="-2"/>
        </w:rPr>
        <w:t>de</w:t>
      </w:r>
      <w:r>
        <w:rPr>
          <w:color w:val="231F20"/>
          <w:spacing w:val="-15"/>
        </w:rPr>
        <w:t> </w:t>
      </w:r>
      <w:r>
        <w:rPr>
          <w:color w:val="231F20"/>
          <w:spacing w:val="-2"/>
        </w:rPr>
        <w:t>la</w:t>
      </w:r>
      <w:r>
        <w:rPr>
          <w:color w:val="231F20"/>
          <w:spacing w:val="-14"/>
        </w:rPr>
        <w:t> </w:t>
      </w:r>
      <w:r>
        <w:rPr>
          <w:color w:val="231F20"/>
          <w:spacing w:val="-2"/>
        </w:rPr>
        <w:t>pandemia</w:t>
      </w:r>
      <w:r>
        <w:rPr>
          <w:color w:val="231F20"/>
          <w:spacing w:val="-15"/>
        </w:rPr>
        <w:t> </w:t>
      </w:r>
      <w:r>
        <w:rPr>
          <w:color w:val="231F20"/>
          <w:spacing w:val="-2"/>
        </w:rPr>
        <w:t>a</w:t>
      </w:r>
      <w:r>
        <w:rPr>
          <w:color w:val="231F20"/>
          <w:spacing w:val="-14"/>
        </w:rPr>
        <w:t> </w:t>
      </w:r>
      <w:r>
        <w:rPr>
          <w:color w:val="231F20"/>
          <w:spacing w:val="-2"/>
        </w:rPr>
        <w:t>nivel </w:t>
      </w:r>
      <w:r>
        <w:rPr>
          <w:color w:val="231F20"/>
          <w:spacing w:val="-4"/>
        </w:rPr>
        <w:t>mundial</w:t>
      </w:r>
      <w:r>
        <w:rPr>
          <w:color w:val="231F20"/>
          <w:spacing w:val="-6"/>
        </w:rPr>
        <w:t> </w:t>
      </w:r>
      <w:r>
        <w:rPr>
          <w:color w:val="231F20"/>
          <w:spacing w:val="-4"/>
        </w:rPr>
        <w:t>para</w:t>
      </w:r>
      <w:r>
        <w:rPr>
          <w:color w:val="231F20"/>
          <w:spacing w:val="-6"/>
        </w:rPr>
        <w:t> </w:t>
      </w:r>
      <w:r>
        <w:rPr>
          <w:color w:val="231F20"/>
          <w:spacing w:val="-4"/>
        </w:rPr>
        <w:t>promover</w:t>
      </w:r>
      <w:r>
        <w:rPr>
          <w:color w:val="231F20"/>
          <w:spacing w:val="-6"/>
        </w:rPr>
        <w:t> </w:t>
      </w:r>
      <w:r>
        <w:rPr>
          <w:color w:val="231F20"/>
          <w:spacing w:val="-4"/>
        </w:rPr>
        <w:t>inestabilidad</w:t>
      </w:r>
      <w:r>
        <w:rPr>
          <w:color w:val="231F20"/>
          <w:spacing w:val="-7"/>
        </w:rPr>
        <w:t> </w:t>
      </w:r>
      <w:r>
        <w:rPr>
          <w:color w:val="231F20"/>
          <w:spacing w:val="-4"/>
        </w:rPr>
        <w:t>social </w:t>
      </w:r>
      <w:r>
        <w:rPr>
          <w:color w:val="231F20"/>
        </w:rPr>
        <w:t>y rendir al pueblo cubano por hambre y </w:t>
      </w:r>
      <w:r>
        <w:rPr>
          <w:color w:val="231F20"/>
          <w:spacing w:val="-2"/>
        </w:rPr>
        <w:t>desesperación.</w:t>
      </w:r>
    </w:p>
    <w:p>
      <w:pPr>
        <w:pStyle w:val="BodyText"/>
        <w:spacing w:before="168"/>
        <w:ind w:left="1133" w:right="3"/>
      </w:pPr>
      <w:r>
        <w:rPr>
          <w:color w:val="231F20"/>
        </w:rPr>
        <w:t>El alcance de esta política, por tanto,</w:t>
      </w:r>
      <w:r>
        <w:rPr>
          <w:color w:val="231F20"/>
          <w:spacing w:val="40"/>
        </w:rPr>
        <w:t> </w:t>
      </w:r>
      <w:r>
        <w:rPr>
          <w:color w:val="231F20"/>
        </w:rPr>
        <w:t>tiene en este período una dimensión más perversa</w:t>
      </w:r>
      <w:r>
        <w:rPr>
          <w:color w:val="231F20"/>
          <w:spacing w:val="-1"/>
        </w:rPr>
        <w:t> </w:t>
      </w:r>
      <w:r>
        <w:rPr>
          <w:color w:val="231F20"/>
        </w:rPr>
        <w:t>y</w:t>
      </w:r>
      <w:r>
        <w:rPr>
          <w:color w:val="231F20"/>
          <w:spacing w:val="-1"/>
        </w:rPr>
        <w:t> </w:t>
      </w:r>
      <w:r>
        <w:rPr>
          <w:color w:val="231F20"/>
        </w:rPr>
        <w:t>dañina</w:t>
      </w:r>
      <w:r>
        <w:rPr>
          <w:color w:val="231F20"/>
          <w:spacing w:val="-1"/>
        </w:rPr>
        <w:t> </w:t>
      </w:r>
      <w:r>
        <w:rPr>
          <w:color w:val="231F20"/>
        </w:rPr>
        <w:t>desde</w:t>
      </w:r>
      <w:r>
        <w:rPr>
          <w:color w:val="231F20"/>
          <w:spacing w:val="-1"/>
        </w:rPr>
        <w:t> </w:t>
      </w:r>
      <w:r>
        <w:rPr>
          <w:color w:val="231F20"/>
        </w:rPr>
        <w:t>el</w:t>
      </w:r>
      <w:r>
        <w:rPr>
          <w:color w:val="231F20"/>
          <w:spacing w:val="-1"/>
        </w:rPr>
        <w:t> </w:t>
      </w:r>
      <w:r>
        <w:rPr>
          <w:color w:val="231F20"/>
        </w:rPr>
        <w:t>punto</w:t>
      </w:r>
      <w:r>
        <w:rPr>
          <w:color w:val="231F20"/>
          <w:spacing w:val="-1"/>
        </w:rPr>
        <w:t> </w:t>
      </w:r>
      <w:r>
        <w:rPr>
          <w:color w:val="231F20"/>
        </w:rPr>
        <w:t>de</w:t>
      </w:r>
      <w:r>
        <w:rPr>
          <w:color w:val="231F20"/>
          <w:spacing w:val="-1"/>
        </w:rPr>
        <w:t> </w:t>
      </w:r>
      <w:r>
        <w:rPr>
          <w:color w:val="231F20"/>
        </w:rPr>
        <w:t>vista </w:t>
      </w:r>
      <w:r>
        <w:rPr>
          <w:color w:val="231F20"/>
          <w:spacing w:val="-2"/>
        </w:rPr>
        <w:t>humanitario.</w:t>
      </w:r>
    </w:p>
    <w:p>
      <w:pPr>
        <w:pStyle w:val="BodyText"/>
        <w:spacing w:before="163"/>
        <w:ind w:left="1133" w:right="3"/>
      </w:pPr>
      <w:r>
        <w:rPr>
          <w:color w:val="231F20"/>
        </w:rPr>
        <w:t>El bloqueo provoca daños directos extremos por el engranaje integral de sus medidas, pero al mismo tiempo tiene el propósito</w:t>
      </w:r>
      <w:r>
        <w:rPr>
          <w:color w:val="231F20"/>
          <w:spacing w:val="-8"/>
        </w:rPr>
        <w:t> </w:t>
      </w:r>
      <w:r>
        <w:rPr>
          <w:color w:val="231F20"/>
        </w:rPr>
        <w:t>cruel</w:t>
      </w:r>
      <w:r>
        <w:rPr>
          <w:color w:val="231F20"/>
          <w:spacing w:val="-8"/>
        </w:rPr>
        <w:t> </w:t>
      </w:r>
      <w:r>
        <w:rPr>
          <w:color w:val="231F20"/>
        </w:rPr>
        <w:t>y</w:t>
      </w:r>
      <w:r>
        <w:rPr>
          <w:color w:val="231F20"/>
          <w:spacing w:val="-8"/>
        </w:rPr>
        <w:t> </w:t>
      </w:r>
      <w:r>
        <w:rPr>
          <w:color w:val="231F20"/>
        </w:rPr>
        <w:t>práctico</w:t>
      </w:r>
      <w:r>
        <w:rPr>
          <w:color w:val="231F20"/>
          <w:spacing w:val="-8"/>
        </w:rPr>
        <w:t> </w:t>
      </w:r>
      <w:r>
        <w:rPr>
          <w:color w:val="231F20"/>
        </w:rPr>
        <w:t>de</w:t>
      </w:r>
      <w:r>
        <w:rPr>
          <w:color w:val="231F20"/>
          <w:spacing w:val="-8"/>
        </w:rPr>
        <w:t> </w:t>
      </w:r>
      <w:r>
        <w:rPr>
          <w:color w:val="231F20"/>
        </w:rPr>
        <w:t>privar</w:t>
      </w:r>
      <w:r>
        <w:rPr>
          <w:color w:val="231F20"/>
          <w:spacing w:val="-8"/>
        </w:rPr>
        <w:t> </w:t>
      </w:r>
      <w:r>
        <w:rPr>
          <w:color w:val="231F20"/>
        </w:rPr>
        <w:t>al</w:t>
      </w:r>
      <w:r>
        <w:rPr>
          <w:color w:val="231F20"/>
          <w:spacing w:val="-8"/>
        </w:rPr>
        <w:t> </w:t>
      </w:r>
      <w:r>
        <w:rPr>
          <w:color w:val="231F20"/>
        </w:rPr>
        <w:t>país de los ingresos financieros que resultan indispensables para adquirir alimentos, </w:t>
      </w:r>
      <w:r>
        <w:rPr>
          <w:color w:val="231F20"/>
          <w:spacing w:val="-6"/>
        </w:rPr>
        <w:t>suministros, equipamientos, partes y piezas, </w:t>
      </w:r>
      <w:r>
        <w:rPr>
          <w:color w:val="231F20"/>
        </w:rPr>
        <w:t>tecnologías y softwares, en medio de la situación</w:t>
      </w:r>
      <w:r>
        <w:rPr>
          <w:color w:val="231F20"/>
          <w:spacing w:val="-17"/>
        </w:rPr>
        <w:t> </w:t>
      </w:r>
      <w:r>
        <w:rPr>
          <w:color w:val="231F20"/>
        </w:rPr>
        <w:t>de</w:t>
      </w:r>
      <w:r>
        <w:rPr>
          <w:color w:val="231F20"/>
          <w:spacing w:val="-16"/>
        </w:rPr>
        <w:t> </w:t>
      </w:r>
      <w:r>
        <w:rPr>
          <w:color w:val="231F20"/>
        </w:rPr>
        <w:t>carencias,</w:t>
      </w:r>
      <w:r>
        <w:rPr>
          <w:color w:val="231F20"/>
          <w:spacing w:val="-17"/>
        </w:rPr>
        <w:t> </w:t>
      </w:r>
      <w:r>
        <w:rPr>
          <w:color w:val="231F20"/>
        </w:rPr>
        <w:t>desabastecimiento, largas</w:t>
      </w:r>
      <w:r>
        <w:rPr>
          <w:color w:val="231F20"/>
          <w:spacing w:val="-9"/>
        </w:rPr>
        <w:t> </w:t>
      </w:r>
      <w:r>
        <w:rPr>
          <w:color w:val="231F20"/>
        </w:rPr>
        <w:t>colas</w:t>
      </w:r>
      <w:r>
        <w:rPr>
          <w:color w:val="231F20"/>
          <w:spacing w:val="-9"/>
        </w:rPr>
        <w:t> </w:t>
      </w:r>
      <w:r>
        <w:rPr>
          <w:color w:val="231F20"/>
        </w:rPr>
        <w:t>y</w:t>
      </w:r>
      <w:r>
        <w:rPr>
          <w:color w:val="231F20"/>
          <w:spacing w:val="-9"/>
        </w:rPr>
        <w:t> </w:t>
      </w:r>
      <w:r>
        <w:rPr>
          <w:color w:val="231F20"/>
        </w:rPr>
        <w:t>ansiedad</w:t>
      </w:r>
      <w:r>
        <w:rPr>
          <w:color w:val="231F20"/>
          <w:spacing w:val="-9"/>
        </w:rPr>
        <w:t> </w:t>
      </w:r>
      <w:r>
        <w:rPr>
          <w:color w:val="231F20"/>
        </w:rPr>
        <w:t>que</w:t>
      </w:r>
      <w:r>
        <w:rPr>
          <w:color w:val="231F20"/>
          <w:spacing w:val="-9"/>
        </w:rPr>
        <w:t> </w:t>
      </w:r>
      <w:r>
        <w:rPr>
          <w:color w:val="231F20"/>
        </w:rPr>
        <w:t>marcan</w:t>
      </w:r>
      <w:r>
        <w:rPr>
          <w:color w:val="231F20"/>
          <w:spacing w:val="-9"/>
        </w:rPr>
        <w:t> </w:t>
      </w:r>
      <w:r>
        <w:rPr>
          <w:color w:val="231F20"/>
        </w:rPr>
        <w:t>hoy</w:t>
      </w:r>
      <w:r>
        <w:rPr>
          <w:color w:val="231F20"/>
          <w:spacing w:val="-9"/>
        </w:rPr>
        <w:t> </w:t>
      </w:r>
      <w:r>
        <w:rPr>
          <w:color w:val="231F20"/>
        </w:rPr>
        <w:t>el quehacer</w:t>
      </w:r>
      <w:r>
        <w:rPr>
          <w:color w:val="231F20"/>
          <w:spacing w:val="-15"/>
        </w:rPr>
        <w:t> </w:t>
      </w:r>
      <w:r>
        <w:rPr>
          <w:color w:val="231F20"/>
        </w:rPr>
        <w:t>diario</w:t>
      </w:r>
      <w:r>
        <w:rPr>
          <w:color w:val="231F20"/>
          <w:spacing w:val="-15"/>
        </w:rPr>
        <w:t> </w:t>
      </w:r>
      <w:r>
        <w:rPr>
          <w:color w:val="231F20"/>
        </w:rPr>
        <w:t>de</w:t>
      </w:r>
      <w:r>
        <w:rPr>
          <w:color w:val="231F20"/>
          <w:spacing w:val="-15"/>
        </w:rPr>
        <w:t> </w:t>
      </w:r>
      <w:r>
        <w:rPr>
          <w:color w:val="231F20"/>
        </w:rPr>
        <w:t>los</w:t>
      </w:r>
      <w:r>
        <w:rPr>
          <w:color w:val="231F20"/>
          <w:spacing w:val="-15"/>
        </w:rPr>
        <w:t> </w:t>
      </w:r>
      <w:r>
        <w:rPr>
          <w:color w:val="231F20"/>
        </w:rPr>
        <w:t>cubanos</w:t>
      </w:r>
      <w:r>
        <w:rPr>
          <w:color w:val="231F20"/>
          <w:spacing w:val="-15"/>
        </w:rPr>
        <w:t> </w:t>
      </w:r>
      <w:r>
        <w:rPr>
          <w:color w:val="231F20"/>
        </w:rPr>
        <w:t>y</w:t>
      </w:r>
      <w:r>
        <w:rPr>
          <w:color w:val="231F20"/>
          <w:spacing w:val="-15"/>
        </w:rPr>
        <w:t> </w:t>
      </w:r>
      <w:r>
        <w:rPr>
          <w:color w:val="231F20"/>
        </w:rPr>
        <w:t>cubanas. Son perjuicios reales que se reflejan notablemente en el deterioro de los indicadores socioeconómicos del país.</w:t>
      </w:r>
    </w:p>
    <w:p>
      <w:pPr>
        <w:pStyle w:val="BodyText"/>
        <w:spacing w:before="171"/>
        <w:ind w:left="1133"/>
      </w:pPr>
      <w:r>
        <w:rPr>
          <w:color w:val="231F20"/>
        </w:rPr>
        <w:t>A</w:t>
      </w:r>
      <w:r>
        <w:rPr>
          <w:color w:val="231F20"/>
          <w:spacing w:val="-17"/>
        </w:rPr>
        <w:t> </w:t>
      </w:r>
      <w:r>
        <w:rPr>
          <w:color w:val="231F20"/>
        </w:rPr>
        <w:t>lo</w:t>
      </w:r>
      <w:r>
        <w:rPr>
          <w:color w:val="231F20"/>
          <w:spacing w:val="-16"/>
        </w:rPr>
        <w:t> </w:t>
      </w:r>
      <w:r>
        <w:rPr>
          <w:color w:val="231F20"/>
        </w:rPr>
        <w:t>anterior,</w:t>
      </w:r>
      <w:r>
        <w:rPr>
          <w:color w:val="231F20"/>
          <w:spacing w:val="-17"/>
        </w:rPr>
        <w:t> </w:t>
      </w:r>
      <w:r>
        <w:rPr>
          <w:color w:val="231F20"/>
        </w:rPr>
        <w:t>se</w:t>
      </w:r>
      <w:r>
        <w:rPr>
          <w:color w:val="231F20"/>
          <w:spacing w:val="-16"/>
        </w:rPr>
        <w:t> </w:t>
      </w:r>
      <w:r>
        <w:rPr>
          <w:color w:val="231F20"/>
        </w:rPr>
        <w:t>suma</w:t>
      </w:r>
      <w:r>
        <w:rPr>
          <w:color w:val="231F20"/>
          <w:spacing w:val="-17"/>
        </w:rPr>
        <w:t> </w:t>
      </w:r>
      <w:r>
        <w:rPr>
          <w:color w:val="231F20"/>
        </w:rPr>
        <w:t>la</w:t>
      </w:r>
      <w:r>
        <w:rPr>
          <w:color w:val="231F20"/>
          <w:spacing w:val="-16"/>
        </w:rPr>
        <w:t> </w:t>
      </w:r>
      <w:r>
        <w:rPr>
          <w:color w:val="231F20"/>
        </w:rPr>
        <w:t>cruzada</w:t>
      </w:r>
      <w:r>
        <w:rPr>
          <w:color w:val="231F20"/>
          <w:spacing w:val="-17"/>
        </w:rPr>
        <w:t> </w:t>
      </w:r>
      <w:r>
        <w:rPr>
          <w:color w:val="231F20"/>
        </w:rPr>
        <w:t>mediática que</w:t>
      </w:r>
      <w:r>
        <w:rPr>
          <w:color w:val="231F20"/>
          <w:spacing w:val="40"/>
        </w:rPr>
        <w:t> </w:t>
      </w:r>
      <w:r>
        <w:rPr>
          <w:color w:val="231F20"/>
        </w:rPr>
        <w:t>desde</w:t>
      </w:r>
      <w:r>
        <w:rPr>
          <w:color w:val="231F20"/>
          <w:spacing w:val="40"/>
        </w:rPr>
        <w:t> </w:t>
      </w:r>
      <w:r>
        <w:rPr>
          <w:color w:val="231F20"/>
        </w:rPr>
        <w:t>los</w:t>
      </w:r>
      <w:r>
        <w:rPr>
          <w:color w:val="231F20"/>
          <w:spacing w:val="40"/>
        </w:rPr>
        <w:t> </w:t>
      </w:r>
      <w:r>
        <w:rPr>
          <w:color w:val="231F20"/>
        </w:rPr>
        <w:t>nodos</w:t>
      </w:r>
      <w:r>
        <w:rPr>
          <w:color w:val="231F20"/>
          <w:spacing w:val="40"/>
        </w:rPr>
        <w:t> </w:t>
      </w:r>
      <w:r>
        <w:rPr>
          <w:color w:val="231F20"/>
        </w:rPr>
        <w:t>comunicacionales y de inteligencia de los Estados Unidos</w:t>
      </w:r>
      <w:r>
        <w:rPr>
          <w:color w:val="231F20"/>
          <w:spacing w:val="80"/>
        </w:rPr>
        <w:t> </w:t>
      </w:r>
      <w:r>
        <w:rPr>
          <w:color w:val="231F20"/>
        </w:rPr>
        <w:t>se articula contra Cuba para construir</w:t>
      </w:r>
      <w:r>
        <w:rPr>
          <w:color w:val="231F20"/>
          <w:spacing w:val="80"/>
        </w:rPr>
        <w:t> </w:t>
      </w:r>
      <w:r>
        <w:rPr>
          <w:color w:val="231F20"/>
        </w:rPr>
        <w:t>una realidad tergiversada en el escenario virtual, alentar el descontento, crear la percepción de una situación de crisis política</w:t>
      </w:r>
      <w:r>
        <w:rPr>
          <w:color w:val="231F20"/>
          <w:spacing w:val="-17"/>
        </w:rPr>
        <w:t> </w:t>
      </w:r>
      <w:r>
        <w:rPr>
          <w:color w:val="231F20"/>
        </w:rPr>
        <w:t>interna,</w:t>
      </w:r>
      <w:r>
        <w:rPr>
          <w:color w:val="231F20"/>
          <w:spacing w:val="-16"/>
        </w:rPr>
        <w:t> </w:t>
      </w:r>
      <w:r>
        <w:rPr>
          <w:color w:val="231F20"/>
        </w:rPr>
        <w:t>demeritar</w:t>
      </w:r>
      <w:r>
        <w:rPr>
          <w:color w:val="231F20"/>
          <w:spacing w:val="-17"/>
        </w:rPr>
        <w:t> </w:t>
      </w:r>
      <w:r>
        <w:rPr>
          <w:color w:val="231F20"/>
        </w:rPr>
        <w:t>las</w:t>
      </w:r>
      <w:r>
        <w:rPr>
          <w:color w:val="231F20"/>
          <w:spacing w:val="-16"/>
        </w:rPr>
        <w:t> </w:t>
      </w:r>
      <w:r>
        <w:rPr>
          <w:color w:val="231F20"/>
        </w:rPr>
        <w:t>instituciones del gobierno y minimizar los ingentes esfuerzos que el país realiza para superar los</w:t>
      </w:r>
      <w:r>
        <w:rPr>
          <w:color w:val="231F20"/>
          <w:spacing w:val="2"/>
        </w:rPr>
        <w:t> </w:t>
      </w:r>
      <w:r>
        <w:rPr>
          <w:color w:val="231F20"/>
        </w:rPr>
        <w:t>desafíos</w:t>
      </w:r>
      <w:r>
        <w:rPr>
          <w:color w:val="231F20"/>
          <w:spacing w:val="3"/>
        </w:rPr>
        <w:t> </w:t>
      </w:r>
      <w:r>
        <w:rPr>
          <w:color w:val="231F20"/>
        </w:rPr>
        <w:t>de</w:t>
      </w:r>
      <w:r>
        <w:rPr>
          <w:color w:val="231F20"/>
          <w:spacing w:val="2"/>
        </w:rPr>
        <w:t> </w:t>
      </w:r>
      <w:r>
        <w:rPr>
          <w:color w:val="231F20"/>
        </w:rPr>
        <w:t>una</w:t>
      </w:r>
      <w:r>
        <w:rPr>
          <w:color w:val="231F20"/>
          <w:spacing w:val="3"/>
        </w:rPr>
        <w:t> </w:t>
      </w:r>
      <w:r>
        <w:rPr>
          <w:color w:val="231F20"/>
        </w:rPr>
        <w:t>economía</w:t>
      </w:r>
      <w:r>
        <w:rPr>
          <w:color w:val="231F20"/>
          <w:spacing w:val="3"/>
        </w:rPr>
        <w:t> </w:t>
      </w:r>
      <w:r>
        <w:rPr>
          <w:color w:val="231F20"/>
          <w:spacing w:val="-2"/>
        </w:rPr>
        <w:t>bloqueada.</w:t>
      </w:r>
    </w:p>
    <w:p>
      <w:pPr>
        <w:pStyle w:val="BodyText"/>
        <w:spacing w:before="77"/>
        <w:ind w:left="409" w:right="1472"/>
      </w:pPr>
      <w:r>
        <w:rPr/>
        <w:br w:type="column"/>
      </w:r>
      <w:r>
        <w:rPr>
          <w:color w:val="231F20"/>
        </w:rPr>
        <w:t>A pesar de que la atención al ser humano ha sido la prioridad del gobierno cubano, es</w:t>
      </w:r>
      <w:r>
        <w:rPr>
          <w:color w:val="231F20"/>
          <w:spacing w:val="40"/>
        </w:rPr>
        <w:t> </w:t>
      </w:r>
      <w:r>
        <w:rPr>
          <w:color w:val="231F20"/>
        </w:rPr>
        <w:t>innegable</w:t>
      </w:r>
      <w:r>
        <w:rPr>
          <w:color w:val="231F20"/>
          <w:spacing w:val="40"/>
        </w:rPr>
        <w:t> </w:t>
      </w:r>
      <w:r>
        <w:rPr>
          <w:color w:val="231F20"/>
        </w:rPr>
        <w:t>el</w:t>
      </w:r>
      <w:r>
        <w:rPr>
          <w:color w:val="231F20"/>
          <w:spacing w:val="40"/>
        </w:rPr>
        <w:t> </w:t>
      </w:r>
      <w:r>
        <w:rPr>
          <w:color w:val="231F20"/>
        </w:rPr>
        <w:t>impacto</w:t>
      </w:r>
      <w:r>
        <w:rPr>
          <w:color w:val="231F20"/>
          <w:spacing w:val="40"/>
        </w:rPr>
        <w:t> </w:t>
      </w:r>
      <w:r>
        <w:rPr>
          <w:color w:val="231F20"/>
        </w:rPr>
        <w:t>del</w:t>
      </w:r>
      <w:r>
        <w:rPr>
          <w:color w:val="231F20"/>
          <w:spacing w:val="40"/>
        </w:rPr>
        <w:t> </w:t>
      </w:r>
      <w:r>
        <w:rPr>
          <w:color w:val="231F20"/>
        </w:rPr>
        <w:t>bloqueo</w:t>
      </w:r>
      <w:r>
        <w:rPr>
          <w:color w:val="231F20"/>
          <w:spacing w:val="80"/>
          <w:w w:val="150"/>
        </w:rPr>
        <w:t> </w:t>
      </w:r>
      <w:r>
        <w:rPr>
          <w:color w:val="231F20"/>
        </w:rPr>
        <w:t>en la calidad de vida y los servicios que</w:t>
      </w:r>
      <w:r>
        <w:rPr>
          <w:color w:val="231F20"/>
          <w:spacing w:val="40"/>
        </w:rPr>
        <w:t> </w:t>
      </w:r>
      <w:r>
        <w:rPr>
          <w:color w:val="231F20"/>
        </w:rPr>
        <w:t>se brindan a la población, que nunca antes enfrentó niveles tan extremos de escasez de medicamentos, alimentos y combustibles</w:t>
      </w:r>
      <w:r>
        <w:rPr>
          <w:color w:val="231F20"/>
          <w:spacing w:val="-17"/>
        </w:rPr>
        <w:t> </w:t>
      </w:r>
      <w:r>
        <w:rPr>
          <w:color w:val="231F20"/>
        </w:rPr>
        <w:t>como</w:t>
      </w:r>
      <w:r>
        <w:rPr>
          <w:color w:val="231F20"/>
          <w:spacing w:val="-16"/>
        </w:rPr>
        <w:t> </w:t>
      </w:r>
      <w:r>
        <w:rPr>
          <w:color w:val="231F20"/>
        </w:rPr>
        <w:t>en</w:t>
      </w:r>
      <w:r>
        <w:rPr>
          <w:color w:val="231F20"/>
          <w:spacing w:val="-17"/>
        </w:rPr>
        <w:t> </w:t>
      </w:r>
      <w:r>
        <w:rPr>
          <w:color w:val="231F20"/>
        </w:rPr>
        <w:t>estos</w:t>
      </w:r>
      <w:r>
        <w:rPr>
          <w:color w:val="231F20"/>
          <w:spacing w:val="-16"/>
        </w:rPr>
        <w:t> </w:t>
      </w:r>
      <w:r>
        <w:rPr>
          <w:color w:val="231F20"/>
        </w:rPr>
        <w:t>últimos</w:t>
      </w:r>
      <w:r>
        <w:rPr>
          <w:color w:val="231F20"/>
          <w:spacing w:val="-17"/>
        </w:rPr>
        <w:t> </w:t>
      </w:r>
      <w:r>
        <w:rPr>
          <w:color w:val="231F20"/>
        </w:rPr>
        <w:t>años. Son</w:t>
      </w:r>
      <w:r>
        <w:rPr>
          <w:color w:val="231F20"/>
          <w:spacing w:val="-7"/>
        </w:rPr>
        <w:t> </w:t>
      </w:r>
      <w:r>
        <w:rPr>
          <w:color w:val="231F20"/>
        </w:rPr>
        <w:t>circunstancias</w:t>
      </w:r>
      <w:r>
        <w:rPr>
          <w:color w:val="231F20"/>
          <w:spacing w:val="-7"/>
        </w:rPr>
        <w:t> </w:t>
      </w:r>
      <w:r>
        <w:rPr>
          <w:color w:val="231F20"/>
        </w:rPr>
        <w:t>que</w:t>
      </w:r>
      <w:r>
        <w:rPr>
          <w:color w:val="231F20"/>
          <w:spacing w:val="-6"/>
        </w:rPr>
        <w:t> </w:t>
      </w:r>
      <w:r>
        <w:rPr>
          <w:color w:val="231F20"/>
        </w:rPr>
        <w:t>no</w:t>
      </w:r>
      <w:r>
        <w:rPr>
          <w:color w:val="231F20"/>
          <w:spacing w:val="-7"/>
        </w:rPr>
        <w:t> </w:t>
      </w:r>
      <w:r>
        <w:rPr>
          <w:color w:val="231F20"/>
        </w:rPr>
        <w:t>solo</w:t>
      </w:r>
      <w:r>
        <w:rPr>
          <w:color w:val="231F20"/>
          <w:spacing w:val="-7"/>
        </w:rPr>
        <w:t> </w:t>
      </w:r>
      <w:r>
        <w:rPr>
          <w:color w:val="231F20"/>
        </w:rPr>
        <w:t>deterioran las condiciones materiales de vida, sino que lesionan la dignidad humana.</w:t>
      </w:r>
    </w:p>
    <w:p>
      <w:pPr>
        <w:pStyle w:val="BodyText"/>
        <w:spacing w:before="168"/>
        <w:ind w:left="409" w:right="1473"/>
      </w:pPr>
      <w:r>
        <w:rPr/>
        <mc:AlternateContent>
          <mc:Choice Requires="wps">
            <w:drawing>
              <wp:anchor distT="0" distB="0" distL="0" distR="0" allowOverlap="1" layoutInCell="1" locked="0" behindDoc="1" simplePos="0" relativeHeight="485755904">
                <wp:simplePos x="0" y="0"/>
                <wp:positionH relativeFrom="page">
                  <wp:posOffset>3672001</wp:posOffset>
                </wp:positionH>
                <wp:positionV relativeFrom="paragraph">
                  <wp:posOffset>2201959</wp:posOffset>
                </wp:positionV>
                <wp:extent cx="3888104" cy="2235200"/>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3888104" cy="2235200"/>
                        </a:xfrm>
                        <a:custGeom>
                          <a:avLst/>
                          <a:gdLst/>
                          <a:ahLst/>
                          <a:cxnLst/>
                          <a:rect l="l" t="t" r="r" b="b"/>
                          <a:pathLst>
                            <a:path w="3888104" h="2235200">
                              <a:moveTo>
                                <a:pt x="3887990" y="0"/>
                              </a:moveTo>
                              <a:lnTo>
                                <a:pt x="0" y="0"/>
                              </a:lnTo>
                              <a:lnTo>
                                <a:pt x="0" y="2235200"/>
                              </a:lnTo>
                              <a:lnTo>
                                <a:pt x="3887990" y="2235200"/>
                              </a:lnTo>
                              <a:lnTo>
                                <a:pt x="3887990" y="0"/>
                              </a:lnTo>
                              <a:close/>
                            </a:path>
                          </a:pathLst>
                        </a:custGeom>
                        <a:solidFill>
                          <a:srgbClr val="E0E2E2"/>
                        </a:solidFill>
                      </wps:spPr>
                      <wps:bodyPr wrap="square" lIns="0" tIns="0" rIns="0" bIns="0" rtlCol="0">
                        <a:prstTxWarp prst="textNoShape">
                          <a:avLst/>
                        </a:prstTxWarp>
                        <a:noAutofit/>
                      </wps:bodyPr>
                    </wps:wsp>
                  </a:graphicData>
                </a:graphic>
              </wp:anchor>
            </w:drawing>
          </mc:Choice>
          <mc:Fallback>
            <w:pict>
              <v:rect style="position:absolute;margin-left:289.134003pt;margin-top:173.38266pt;width:306.141015pt;height:176.000008pt;mso-position-horizontal-relative:page;mso-position-vertical-relative:paragraph;z-index:-17560576" id="docshape12" filled="true" fillcolor="#e0e2e2" stroked="false">
                <v:fill type="solid"/>
                <w10:wrap type="none"/>
              </v:rect>
            </w:pict>
          </mc:Fallback>
        </mc:AlternateContent>
      </w:r>
      <w:r>
        <w:rPr>
          <w:color w:val="231F20"/>
        </w:rPr>
        <w:t>El incremento de la emigración cubana está vinculado directamente con el endurecimiento del bloqueo. Faltaría a la verdad quien no reconozca esta política como la principal causa del deterioro de la situación económica del país, que ha llevado</w:t>
      </w:r>
      <w:r>
        <w:rPr>
          <w:color w:val="231F20"/>
          <w:spacing w:val="-13"/>
        </w:rPr>
        <w:t> </w:t>
      </w:r>
      <w:r>
        <w:rPr>
          <w:color w:val="231F20"/>
        </w:rPr>
        <w:t>a</w:t>
      </w:r>
      <w:r>
        <w:rPr>
          <w:color w:val="231F20"/>
          <w:spacing w:val="-13"/>
        </w:rPr>
        <w:t> </w:t>
      </w:r>
      <w:r>
        <w:rPr>
          <w:color w:val="231F20"/>
        </w:rPr>
        <w:t>una</w:t>
      </w:r>
      <w:r>
        <w:rPr>
          <w:color w:val="231F20"/>
          <w:spacing w:val="-13"/>
        </w:rPr>
        <w:t> </w:t>
      </w:r>
      <w:r>
        <w:rPr>
          <w:color w:val="231F20"/>
        </w:rPr>
        <w:t>cantidad</w:t>
      </w:r>
      <w:r>
        <w:rPr>
          <w:color w:val="231F20"/>
          <w:spacing w:val="-13"/>
        </w:rPr>
        <w:t> </w:t>
      </w:r>
      <w:r>
        <w:rPr>
          <w:color w:val="231F20"/>
        </w:rPr>
        <w:t>no</w:t>
      </w:r>
      <w:r>
        <w:rPr>
          <w:color w:val="231F20"/>
          <w:spacing w:val="-13"/>
        </w:rPr>
        <w:t> </w:t>
      </w:r>
      <w:r>
        <w:rPr>
          <w:color w:val="231F20"/>
        </w:rPr>
        <w:t>despreciable</w:t>
      </w:r>
      <w:r>
        <w:rPr>
          <w:color w:val="231F20"/>
          <w:spacing w:val="-13"/>
        </w:rPr>
        <w:t> </w:t>
      </w:r>
      <w:r>
        <w:rPr>
          <w:color w:val="231F20"/>
        </w:rPr>
        <w:t>de cubanos</w:t>
      </w:r>
      <w:r>
        <w:rPr>
          <w:color w:val="231F20"/>
          <w:spacing w:val="-5"/>
        </w:rPr>
        <w:t> </w:t>
      </w:r>
      <w:r>
        <w:rPr>
          <w:color w:val="231F20"/>
        </w:rPr>
        <w:t>a</w:t>
      </w:r>
      <w:r>
        <w:rPr>
          <w:color w:val="231F20"/>
          <w:spacing w:val="-5"/>
        </w:rPr>
        <w:t> </w:t>
      </w:r>
      <w:r>
        <w:rPr>
          <w:color w:val="231F20"/>
        </w:rPr>
        <w:t>buscar</w:t>
      </w:r>
      <w:r>
        <w:rPr>
          <w:color w:val="231F20"/>
          <w:spacing w:val="-5"/>
        </w:rPr>
        <w:t> </w:t>
      </w:r>
      <w:r>
        <w:rPr>
          <w:color w:val="231F20"/>
        </w:rPr>
        <w:t>otras</w:t>
      </w:r>
      <w:r>
        <w:rPr>
          <w:color w:val="231F20"/>
          <w:spacing w:val="-5"/>
        </w:rPr>
        <w:t> </w:t>
      </w:r>
      <w:r>
        <w:rPr>
          <w:color w:val="231F20"/>
        </w:rPr>
        <w:t>vías</w:t>
      </w:r>
      <w:r>
        <w:rPr>
          <w:color w:val="231F20"/>
          <w:spacing w:val="-5"/>
        </w:rPr>
        <w:t> </w:t>
      </w:r>
      <w:r>
        <w:rPr>
          <w:color w:val="231F20"/>
        </w:rPr>
        <w:t>de</w:t>
      </w:r>
      <w:r>
        <w:rPr>
          <w:color w:val="231F20"/>
          <w:spacing w:val="-5"/>
        </w:rPr>
        <w:t> </w:t>
      </w:r>
      <w:r>
        <w:rPr>
          <w:color w:val="231F20"/>
        </w:rPr>
        <w:t>realización personal fuera de Cuba.</w:t>
      </w:r>
    </w:p>
    <w:p>
      <w:pPr>
        <w:pStyle w:val="BodyText"/>
        <w:spacing w:before="136"/>
        <w:jc w:val="left"/>
        <w:rPr>
          <w:sz w:val="20"/>
        </w:rPr>
      </w:pPr>
      <w:r>
        <w:rPr/>
        <mc:AlternateContent>
          <mc:Choice Requires="wps">
            <w:drawing>
              <wp:anchor distT="0" distB="0" distL="0" distR="0" allowOverlap="1" layoutInCell="1" locked="0" behindDoc="1" simplePos="0" relativeHeight="487591424">
                <wp:simplePos x="0" y="0"/>
                <wp:positionH relativeFrom="page">
                  <wp:posOffset>3672001</wp:posOffset>
                </wp:positionH>
                <wp:positionV relativeFrom="paragraph">
                  <wp:posOffset>270944</wp:posOffset>
                </wp:positionV>
                <wp:extent cx="3888104" cy="2235200"/>
                <wp:effectExtent l="0" t="0" r="0" b="0"/>
                <wp:wrapTopAndBottom/>
                <wp:docPr id="17" name="Textbox 17"/>
                <wp:cNvGraphicFramePr>
                  <a:graphicFrameLocks/>
                </wp:cNvGraphicFramePr>
                <a:graphic>
                  <a:graphicData uri="http://schemas.microsoft.com/office/word/2010/wordprocessingShape">
                    <wps:wsp>
                      <wps:cNvPr id="17" name="Textbox 17"/>
                      <wps:cNvSpPr txBox="1"/>
                      <wps:spPr>
                        <a:xfrm>
                          <a:off x="0" y="0"/>
                          <a:ext cx="3888104" cy="2235200"/>
                        </a:xfrm>
                        <a:prstGeom prst="rect">
                          <a:avLst/>
                        </a:prstGeom>
                      </wps:spPr>
                      <wps:txbx>
                        <w:txbxContent>
                          <w:p>
                            <w:pPr>
                              <w:pStyle w:val="BodyText"/>
                              <w:spacing w:before="60"/>
                              <w:jc w:val="left"/>
                            </w:pPr>
                          </w:p>
                          <w:p>
                            <w:pPr>
                              <w:spacing w:before="0"/>
                              <w:ind w:left="350" w:right="1471" w:firstLine="453"/>
                              <w:jc w:val="right"/>
                              <w:rPr>
                                <w:rFonts w:ascii="Segoe UI Semibold" w:hAnsi="Segoe UI Semibold"/>
                                <w:b/>
                                <w:i/>
                                <w:sz w:val="24"/>
                              </w:rPr>
                            </w:pPr>
                            <w:r>
                              <w:rPr>
                                <w:rFonts w:ascii="Segoe UI Semibold" w:hAnsi="Segoe UI Semibold"/>
                                <w:b/>
                                <w:i/>
                                <w:color w:val="231F20"/>
                                <w:sz w:val="24"/>
                              </w:rPr>
                              <w:t>Del</w:t>
                            </w:r>
                            <w:r>
                              <w:rPr>
                                <w:rFonts w:ascii="Segoe UI Semibold" w:hAnsi="Segoe UI Semibold"/>
                                <w:b/>
                                <w:i/>
                                <w:color w:val="231F20"/>
                                <w:spacing w:val="-4"/>
                                <w:sz w:val="24"/>
                              </w:rPr>
                              <w:t> </w:t>
                            </w:r>
                            <w:r>
                              <w:rPr>
                                <w:rFonts w:ascii="Segoe UI Semibold" w:hAnsi="Segoe UI Semibold"/>
                                <w:b/>
                                <w:i/>
                                <w:color w:val="231F20"/>
                                <w:sz w:val="24"/>
                              </w:rPr>
                              <w:t>1º</w:t>
                            </w:r>
                            <w:r>
                              <w:rPr>
                                <w:rFonts w:ascii="Segoe UI Semibold" w:hAnsi="Segoe UI Semibold"/>
                                <w:b/>
                                <w:i/>
                                <w:color w:val="231F20"/>
                                <w:spacing w:val="-5"/>
                                <w:sz w:val="24"/>
                              </w:rPr>
                              <w:t> </w:t>
                            </w:r>
                            <w:r>
                              <w:rPr>
                                <w:rFonts w:ascii="Segoe UI Semibold" w:hAnsi="Segoe UI Semibold"/>
                                <w:b/>
                                <w:i/>
                                <w:color w:val="231F20"/>
                                <w:sz w:val="24"/>
                              </w:rPr>
                              <w:t>de</w:t>
                            </w:r>
                            <w:r>
                              <w:rPr>
                                <w:rFonts w:ascii="Segoe UI Semibold" w:hAnsi="Segoe UI Semibold"/>
                                <w:b/>
                                <w:i/>
                                <w:color w:val="231F20"/>
                                <w:spacing w:val="-5"/>
                                <w:sz w:val="24"/>
                              </w:rPr>
                              <w:t> </w:t>
                            </w:r>
                            <w:r>
                              <w:rPr>
                                <w:rFonts w:ascii="Segoe UI Semibold" w:hAnsi="Segoe UI Semibold"/>
                                <w:b/>
                                <w:i/>
                                <w:color w:val="231F20"/>
                                <w:sz w:val="24"/>
                              </w:rPr>
                              <w:t>marzo</w:t>
                            </w:r>
                            <w:r>
                              <w:rPr>
                                <w:rFonts w:ascii="Segoe UI Semibold" w:hAnsi="Segoe UI Semibold"/>
                                <w:b/>
                                <w:i/>
                                <w:color w:val="231F20"/>
                                <w:spacing w:val="-5"/>
                                <w:sz w:val="24"/>
                              </w:rPr>
                              <w:t> </w:t>
                            </w:r>
                            <w:r>
                              <w:rPr>
                                <w:rFonts w:ascii="Segoe UI Semibold" w:hAnsi="Segoe UI Semibold"/>
                                <w:b/>
                                <w:i/>
                                <w:color w:val="231F20"/>
                                <w:sz w:val="24"/>
                              </w:rPr>
                              <w:t>de</w:t>
                            </w:r>
                            <w:r>
                              <w:rPr>
                                <w:rFonts w:ascii="Segoe UI Semibold" w:hAnsi="Segoe UI Semibold"/>
                                <w:b/>
                                <w:i/>
                                <w:color w:val="231F20"/>
                                <w:spacing w:val="-5"/>
                                <w:sz w:val="24"/>
                              </w:rPr>
                              <w:t> </w:t>
                            </w:r>
                            <w:r>
                              <w:rPr>
                                <w:rFonts w:ascii="Segoe UI Semibold" w:hAnsi="Segoe UI Semibold"/>
                                <w:b/>
                                <w:i/>
                                <w:color w:val="231F20"/>
                                <w:sz w:val="24"/>
                              </w:rPr>
                              <w:t>2022</w:t>
                            </w:r>
                            <w:r>
                              <w:rPr>
                                <w:rFonts w:ascii="Segoe UI Semibold" w:hAnsi="Segoe UI Semibold"/>
                                <w:b/>
                                <w:i/>
                                <w:color w:val="231F20"/>
                                <w:spacing w:val="-4"/>
                                <w:sz w:val="24"/>
                              </w:rPr>
                              <w:t> </w:t>
                            </w:r>
                            <w:r>
                              <w:rPr>
                                <w:rFonts w:ascii="Segoe UI Semibold" w:hAnsi="Segoe UI Semibold"/>
                                <w:b/>
                                <w:i/>
                                <w:color w:val="231F20"/>
                                <w:sz w:val="24"/>
                              </w:rPr>
                              <w:t>hasta</w:t>
                            </w:r>
                            <w:r>
                              <w:rPr>
                                <w:rFonts w:ascii="Segoe UI Semibold" w:hAnsi="Segoe UI Semibold"/>
                                <w:b/>
                                <w:i/>
                                <w:color w:val="231F20"/>
                                <w:spacing w:val="-5"/>
                                <w:sz w:val="24"/>
                              </w:rPr>
                              <w:t> </w:t>
                            </w:r>
                            <w:r>
                              <w:rPr>
                                <w:rFonts w:ascii="Segoe UI Semibold" w:hAnsi="Segoe UI Semibold"/>
                                <w:b/>
                                <w:i/>
                                <w:color w:val="231F20"/>
                                <w:sz w:val="24"/>
                              </w:rPr>
                              <w:t>el</w:t>
                            </w:r>
                            <w:r>
                              <w:rPr>
                                <w:rFonts w:ascii="Segoe UI Semibold" w:hAnsi="Segoe UI Semibold"/>
                                <w:b/>
                                <w:i/>
                                <w:color w:val="231F20"/>
                                <w:spacing w:val="-4"/>
                                <w:sz w:val="24"/>
                              </w:rPr>
                              <w:t> </w:t>
                            </w:r>
                            <w:r>
                              <w:rPr>
                                <w:rFonts w:ascii="Segoe UI Semibold" w:hAnsi="Segoe UI Semibold"/>
                                <w:b/>
                                <w:i/>
                                <w:color w:val="231F20"/>
                                <w:sz w:val="24"/>
                              </w:rPr>
                              <w:t>28</w:t>
                            </w:r>
                            <w:r>
                              <w:rPr>
                                <w:rFonts w:ascii="Segoe UI Semibold" w:hAnsi="Segoe UI Semibold"/>
                                <w:b/>
                                <w:i/>
                                <w:color w:val="231F20"/>
                                <w:sz w:val="24"/>
                              </w:rPr>
                              <w:t> de febrero de 2023, el bloqueo causó daños</w:t>
                            </w:r>
                            <w:r>
                              <w:rPr>
                                <w:rFonts w:ascii="Segoe UI Semibold" w:hAnsi="Segoe UI Semibold"/>
                                <w:b/>
                                <w:i/>
                                <w:color w:val="231F20"/>
                                <w:spacing w:val="-7"/>
                                <w:sz w:val="24"/>
                              </w:rPr>
                              <w:t> </w:t>
                            </w:r>
                            <w:r>
                              <w:rPr>
                                <w:rFonts w:ascii="Segoe UI Semibold" w:hAnsi="Segoe UI Semibold"/>
                                <w:b/>
                                <w:i/>
                                <w:color w:val="231F20"/>
                                <w:sz w:val="24"/>
                              </w:rPr>
                              <w:t>y</w:t>
                            </w:r>
                            <w:r>
                              <w:rPr>
                                <w:rFonts w:ascii="Segoe UI Semibold" w:hAnsi="Segoe UI Semibold"/>
                                <w:b/>
                                <w:i/>
                                <w:color w:val="231F20"/>
                                <w:spacing w:val="-7"/>
                                <w:sz w:val="24"/>
                              </w:rPr>
                              <w:t> </w:t>
                            </w:r>
                            <w:r>
                              <w:rPr>
                                <w:rFonts w:ascii="Segoe UI Semibold" w:hAnsi="Segoe UI Semibold"/>
                                <w:b/>
                                <w:i/>
                                <w:color w:val="231F20"/>
                                <w:sz w:val="24"/>
                              </w:rPr>
                              <w:t>perjuicios</w:t>
                            </w:r>
                            <w:r>
                              <w:rPr>
                                <w:rFonts w:ascii="Segoe UI Semibold" w:hAnsi="Segoe UI Semibold"/>
                                <w:b/>
                                <w:i/>
                                <w:color w:val="231F20"/>
                                <w:spacing w:val="-7"/>
                                <w:sz w:val="24"/>
                              </w:rPr>
                              <w:t> </w:t>
                            </w:r>
                            <w:r>
                              <w:rPr>
                                <w:rFonts w:ascii="Segoe UI Semibold" w:hAnsi="Segoe UI Semibold"/>
                                <w:b/>
                                <w:i/>
                                <w:color w:val="231F20"/>
                                <w:sz w:val="24"/>
                              </w:rPr>
                              <w:t>a</w:t>
                            </w:r>
                            <w:r>
                              <w:rPr>
                                <w:rFonts w:ascii="Segoe UI Semibold" w:hAnsi="Segoe UI Semibold"/>
                                <w:b/>
                                <w:i/>
                                <w:color w:val="231F20"/>
                                <w:spacing w:val="-7"/>
                                <w:sz w:val="24"/>
                              </w:rPr>
                              <w:t> </w:t>
                            </w:r>
                            <w:r>
                              <w:rPr>
                                <w:rFonts w:ascii="Segoe UI Semibold" w:hAnsi="Segoe UI Semibold"/>
                                <w:b/>
                                <w:i/>
                                <w:color w:val="231F20"/>
                                <w:sz w:val="24"/>
                              </w:rPr>
                              <w:t>Cuba,</w:t>
                            </w:r>
                            <w:r>
                              <w:rPr>
                                <w:rFonts w:ascii="Segoe UI Semibold" w:hAnsi="Segoe UI Semibold"/>
                                <w:b/>
                                <w:i/>
                                <w:color w:val="231F20"/>
                                <w:spacing w:val="-7"/>
                                <w:sz w:val="24"/>
                              </w:rPr>
                              <w:t> </w:t>
                            </w:r>
                            <w:r>
                              <w:rPr>
                                <w:rFonts w:ascii="Segoe UI Semibold" w:hAnsi="Segoe UI Semibold"/>
                                <w:b/>
                                <w:i/>
                                <w:color w:val="231F20"/>
                                <w:sz w:val="24"/>
                              </w:rPr>
                              <w:t>estimados</w:t>
                            </w:r>
                            <w:r>
                              <w:rPr>
                                <w:rFonts w:ascii="Segoe UI Semibold" w:hAnsi="Segoe UI Semibold"/>
                                <w:b/>
                                <w:i/>
                                <w:color w:val="231F20"/>
                                <w:spacing w:val="-7"/>
                                <w:sz w:val="24"/>
                              </w:rPr>
                              <w:t> </w:t>
                            </w:r>
                            <w:r>
                              <w:rPr>
                                <w:rFonts w:ascii="Segoe UI Semibold" w:hAnsi="Segoe UI Semibold"/>
                                <w:b/>
                                <w:i/>
                                <w:color w:val="231F20"/>
                                <w:sz w:val="24"/>
                              </w:rPr>
                              <w:t>en el orden de los </w:t>
                            </w:r>
                            <w:r>
                              <w:rPr>
                                <w:b/>
                                <w:i/>
                                <w:color w:val="231F20"/>
                                <w:sz w:val="24"/>
                              </w:rPr>
                              <w:t>4 mil 867 millones de</w:t>
                            </w:r>
                            <w:r>
                              <w:rPr>
                                <w:b/>
                                <w:i/>
                                <w:color w:val="231F20"/>
                                <w:sz w:val="24"/>
                              </w:rPr>
                              <w:t> dólares</w:t>
                            </w:r>
                            <w:r>
                              <w:rPr>
                                <w:rFonts w:ascii="Segoe UI Semibold" w:hAnsi="Segoe UI Semibold"/>
                                <w:b/>
                                <w:i/>
                                <w:color w:val="231F20"/>
                                <w:sz w:val="24"/>
                              </w:rPr>
                              <w:t>. Esto representa una afectación</w:t>
                            </w:r>
                            <w:r>
                              <w:rPr>
                                <w:rFonts w:ascii="Segoe UI Semibold" w:hAnsi="Segoe UI Semibold"/>
                                <w:b/>
                                <w:i/>
                                <w:color w:val="231F20"/>
                                <w:sz w:val="24"/>
                              </w:rPr>
                              <w:t> de más de </w:t>
                            </w:r>
                            <w:r>
                              <w:rPr>
                                <w:b/>
                                <w:i/>
                                <w:color w:val="231F20"/>
                                <w:sz w:val="24"/>
                              </w:rPr>
                              <w:t>405 millones de dólares</w:t>
                            </w:r>
                            <w:r>
                              <w:rPr>
                                <w:b/>
                                <w:i/>
                                <w:color w:val="231F20"/>
                                <w:sz w:val="24"/>
                              </w:rPr>
                              <w:t> </w:t>
                            </w:r>
                            <w:r>
                              <w:rPr>
                                <w:rFonts w:ascii="Segoe UI Semibold" w:hAnsi="Segoe UI Semibold"/>
                                <w:b/>
                                <w:i/>
                                <w:color w:val="231F20"/>
                                <w:sz w:val="24"/>
                              </w:rPr>
                              <w:t>mensuales, más de </w:t>
                            </w:r>
                            <w:r>
                              <w:rPr>
                                <w:b/>
                                <w:i/>
                                <w:color w:val="231F20"/>
                                <w:sz w:val="24"/>
                              </w:rPr>
                              <w:t>13 millones de</w:t>
                            </w:r>
                            <w:r>
                              <w:rPr>
                                <w:b/>
                                <w:i/>
                                <w:color w:val="231F20"/>
                                <w:sz w:val="24"/>
                              </w:rPr>
                              <w:t> dólares </w:t>
                            </w:r>
                            <w:r>
                              <w:rPr>
                                <w:rFonts w:ascii="Segoe UI Semibold" w:hAnsi="Segoe UI Semibold"/>
                                <w:b/>
                                <w:i/>
                                <w:color w:val="231F20"/>
                                <w:sz w:val="24"/>
                              </w:rPr>
                              <w:t>diarios, y más de </w:t>
                            </w:r>
                            <w:r>
                              <w:rPr>
                                <w:b/>
                                <w:i/>
                                <w:color w:val="231F20"/>
                                <w:sz w:val="24"/>
                              </w:rPr>
                              <w:t>555 mil</w:t>
                            </w:r>
                            <w:r>
                              <w:rPr>
                                <w:b/>
                                <w:i/>
                                <w:color w:val="231F20"/>
                                <w:sz w:val="24"/>
                              </w:rPr>
                              <w:t> dólares </w:t>
                            </w:r>
                            <w:r>
                              <w:rPr>
                                <w:rFonts w:ascii="Segoe UI Semibold" w:hAnsi="Segoe UI Semibold"/>
                                <w:b/>
                                <w:i/>
                                <w:color w:val="231F20"/>
                                <w:sz w:val="24"/>
                              </w:rPr>
                              <w:t>por cada hora de bloqueo.</w:t>
                            </w:r>
                          </w:p>
                        </w:txbxContent>
                      </wps:txbx>
                      <wps:bodyPr wrap="square" lIns="0" tIns="0" rIns="0" bIns="0" rtlCol="0">
                        <a:noAutofit/>
                      </wps:bodyPr>
                    </wps:wsp>
                  </a:graphicData>
                </a:graphic>
              </wp:anchor>
            </w:drawing>
          </mc:Choice>
          <mc:Fallback>
            <w:pict>
              <v:shape style="position:absolute;margin-left:289.134003pt;margin-top:21.334249pt;width:306.150pt;height:176pt;mso-position-horizontal-relative:page;mso-position-vertical-relative:paragraph;z-index:-15725056;mso-wrap-distance-left:0;mso-wrap-distance-right:0" type="#_x0000_t202" id="docshape13" filled="false" stroked="false">
                <v:textbox inset="0,0,0,0">
                  <w:txbxContent>
                    <w:p>
                      <w:pPr>
                        <w:pStyle w:val="BodyText"/>
                        <w:spacing w:before="60"/>
                        <w:jc w:val="left"/>
                      </w:pPr>
                    </w:p>
                    <w:p>
                      <w:pPr>
                        <w:spacing w:before="0"/>
                        <w:ind w:left="350" w:right="1471" w:firstLine="453"/>
                        <w:jc w:val="right"/>
                        <w:rPr>
                          <w:rFonts w:ascii="Segoe UI Semibold" w:hAnsi="Segoe UI Semibold"/>
                          <w:b/>
                          <w:i/>
                          <w:sz w:val="24"/>
                        </w:rPr>
                      </w:pPr>
                      <w:r>
                        <w:rPr>
                          <w:rFonts w:ascii="Segoe UI Semibold" w:hAnsi="Segoe UI Semibold"/>
                          <w:b/>
                          <w:i/>
                          <w:color w:val="231F20"/>
                          <w:sz w:val="24"/>
                        </w:rPr>
                        <w:t>Del</w:t>
                      </w:r>
                      <w:r>
                        <w:rPr>
                          <w:rFonts w:ascii="Segoe UI Semibold" w:hAnsi="Segoe UI Semibold"/>
                          <w:b/>
                          <w:i/>
                          <w:color w:val="231F20"/>
                          <w:spacing w:val="-4"/>
                          <w:sz w:val="24"/>
                        </w:rPr>
                        <w:t> </w:t>
                      </w:r>
                      <w:r>
                        <w:rPr>
                          <w:rFonts w:ascii="Segoe UI Semibold" w:hAnsi="Segoe UI Semibold"/>
                          <w:b/>
                          <w:i/>
                          <w:color w:val="231F20"/>
                          <w:sz w:val="24"/>
                        </w:rPr>
                        <w:t>1º</w:t>
                      </w:r>
                      <w:r>
                        <w:rPr>
                          <w:rFonts w:ascii="Segoe UI Semibold" w:hAnsi="Segoe UI Semibold"/>
                          <w:b/>
                          <w:i/>
                          <w:color w:val="231F20"/>
                          <w:spacing w:val="-5"/>
                          <w:sz w:val="24"/>
                        </w:rPr>
                        <w:t> </w:t>
                      </w:r>
                      <w:r>
                        <w:rPr>
                          <w:rFonts w:ascii="Segoe UI Semibold" w:hAnsi="Segoe UI Semibold"/>
                          <w:b/>
                          <w:i/>
                          <w:color w:val="231F20"/>
                          <w:sz w:val="24"/>
                        </w:rPr>
                        <w:t>de</w:t>
                      </w:r>
                      <w:r>
                        <w:rPr>
                          <w:rFonts w:ascii="Segoe UI Semibold" w:hAnsi="Segoe UI Semibold"/>
                          <w:b/>
                          <w:i/>
                          <w:color w:val="231F20"/>
                          <w:spacing w:val="-5"/>
                          <w:sz w:val="24"/>
                        </w:rPr>
                        <w:t> </w:t>
                      </w:r>
                      <w:r>
                        <w:rPr>
                          <w:rFonts w:ascii="Segoe UI Semibold" w:hAnsi="Segoe UI Semibold"/>
                          <w:b/>
                          <w:i/>
                          <w:color w:val="231F20"/>
                          <w:sz w:val="24"/>
                        </w:rPr>
                        <w:t>marzo</w:t>
                      </w:r>
                      <w:r>
                        <w:rPr>
                          <w:rFonts w:ascii="Segoe UI Semibold" w:hAnsi="Segoe UI Semibold"/>
                          <w:b/>
                          <w:i/>
                          <w:color w:val="231F20"/>
                          <w:spacing w:val="-5"/>
                          <w:sz w:val="24"/>
                        </w:rPr>
                        <w:t> </w:t>
                      </w:r>
                      <w:r>
                        <w:rPr>
                          <w:rFonts w:ascii="Segoe UI Semibold" w:hAnsi="Segoe UI Semibold"/>
                          <w:b/>
                          <w:i/>
                          <w:color w:val="231F20"/>
                          <w:sz w:val="24"/>
                        </w:rPr>
                        <w:t>de</w:t>
                      </w:r>
                      <w:r>
                        <w:rPr>
                          <w:rFonts w:ascii="Segoe UI Semibold" w:hAnsi="Segoe UI Semibold"/>
                          <w:b/>
                          <w:i/>
                          <w:color w:val="231F20"/>
                          <w:spacing w:val="-5"/>
                          <w:sz w:val="24"/>
                        </w:rPr>
                        <w:t> </w:t>
                      </w:r>
                      <w:r>
                        <w:rPr>
                          <w:rFonts w:ascii="Segoe UI Semibold" w:hAnsi="Segoe UI Semibold"/>
                          <w:b/>
                          <w:i/>
                          <w:color w:val="231F20"/>
                          <w:sz w:val="24"/>
                        </w:rPr>
                        <w:t>2022</w:t>
                      </w:r>
                      <w:r>
                        <w:rPr>
                          <w:rFonts w:ascii="Segoe UI Semibold" w:hAnsi="Segoe UI Semibold"/>
                          <w:b/>
                          <w:i/>
                          <w:color w:val="231F20"/>
                          <w:spacing w:val="-4"/>
                          <w:sz w:val="24"/>
                        </w:rPr>
                        <w:t> </w:t>
                      </w:r>
                      <w:r>
                        <w:rPr>
                          <w:rFonts w:ascii="Segoe UI Semibold" w:hAnsi="Segoe UI Semibold"/>
                          <w:b/>
                          <w:i/>
                          <w:color w:val="231F20"/>
                          <w:sz w:val="24"/>
                        </w:rPr>
                        <w:t>hasta</w:t>
                      </w:r>
                      <w:r>
                        <w:rPr>
                          <w:rFonts w:ascii="Segoe UI Semibold" w:hAnsi="Segoe UI Semibold"/>
                          <w:b/>
                          <w:i/>
                          <w:color w:val="231F20"/>
                          <w:spacing w:val="-5"/>
                          <w:sz w:val="24"/>
                        </w:rPr>
                        <w:t> </w:t>
                      </w:r>
                      <w:r>
                        <w:rPr>
                          <w:rFonts w:ascii="Segoe UI Semibold" w:hAnsi="Segoe UI Semibold"/>
                          <w:b/>
                          <w:i/>
                          <w:color w:val="231F20"/>
                          <w:sz w:val="24"/>
                        </w:rPr>
                        <w:t>el</w:t>
                      </w:r>
                      <w:r>
                        <w:rPr>
                          <w:rFonts w:ascii="Segoe UI Semibold" w:hAnsi="Segoe UI Semibold"/>
                          <w:b/>
                          <w:i/>
                          <w:color w:val="231F20"/>
                          <w:spacing w:val="-4"/>
                          <w:sz w:val="24"/>
                        </w:rPr>
                        <w:t> </w:t>
                      </w:r>
                      <w:r>
                        <w:rPr>
                          <w:rFonts w:ascii="Segoe UI Semibold" w:hAnsi="Segoe UI Semibold"/>
                          <w:b/>
                          <w:i/>
                          <w:color w:val="231F20"/>
                          <w:sz w:val="24"/>
                        </w:rPr>
                        <w:t>28</w:t>
                      </w:r>
                      <w:r>
                        <w:rPr>
                          <w:rFonts w:ascii="Segoe UI Semibold" w:hAnsi="Segoe UI Semibold"/>
                          <w:b/>
                          <w:i/>
                          <w:color w:val="231F20"/>
                          <w:sz w:val="24"/>
                        </w:rPr>
                        <w:t> de febrero de 2023, el bloqueo causó daños</w:t>
                      </w:r>
                      <w:r>
                        <w:rPr>
                          <w:rFonts w:ascii="Segoe UI Semibold" w:hAnsi="Segoe UI Semibold"/>
                          <w:b/>
                          <w:i/>
                          <w:color w:val="231F20"/>
                          <w:spacing w:val="-7"/>
                          <w:sz w:val="24"/>
                        </w:rPr>
                        <w:t> </w:t>
                      </w:r>
                      <w:r>
                        <w:rPr>
                          <w:rFonts w:ascii="Segoe UI Semibold" w:hAnsi="Segoe UI Semibold"/>
                          <w:b/>
                          <w:i/>
                          <w:color w:val="231F20"/>
                          <w:sz w:val="24"/>
                        </w:rPr>
                        <w:t>y</w:t>
                      </w:r>
                      <w:r>
                        <w:rPr>
                          <w:rFonts w:ascii="Segoe UI Semibold" w:hAnsi="Segoe UI Semibold"/>
                          <w:b/>
                          <w:i/>
                          <w:color w:val="231F20"/>
                          <w:spacing w:val="-7"/>
                          <w:sz w:val="24"/>
                        </w:rPr>
                        <w:t> </w:t>
                      </w:r>
                      <w:r>
                        <w:rPr>
                          <w:rFonts w:ascii="Segoe UI Semibold" w:hAnsi="Segoe UI Semibold"/>
                          <w:b/>
                          <w:i/>
                          <w:color w:val="231F20"/>
                          <w:sz w:val="24"/>
                        </w:rPr>
                        <w:t>perjuicios</w:t>
                      </w:r>
                      <w:r>
                        <w:rPr>
                          <w:rFonts w:ascii="Segoe UI Semibold" w:hAnsi="Segoe UI Semibold"/>
                          <w:b/>
                          <w:i/>
                          <w:color w:val="231F20"/>
                          <w:spacing w:val="-7"/>
                          <w:sz w:val="24"/>
                        </w:rPr>
                        <w:t> </w:t>
                      </w:r>
                      <w:r>
                        <w:rPr>
                          <w:rFonts w:ascii="Segoe UI Semibold" w:hAnsi="Segoe UI Semibold"/>
                          <w:b/>
                          <w:i/>
                          <w:color w:val="231F20"/>
                          <w:sz w:val="24"/>
                        </w:rPr>
                        <w:t>a</w:t>
                      </w:r>
                      <w:r>
                        <w:rPr>
                          <w:rFonts w:ascii="Segoe UI Semibold" w:hAnsi="Segoe UI Semibold"/>
                          <w:b/>
                          <w:i/>
                          <w:color w:val="231F20"/>
                          <w:spacing w:val="-7"/>
                          <w:sz w:val="24"/>
                        </w:rPr>
                        <w:t> </w:t>
                      </w:r>
                      <w:r>
                        <w:rPr>
                          <w:rFonts w:ascii="Segoe UI Semibold" w:hAnsi="Segoe UI Semibold"/>
                          <w:b/>
                          <w:i/>
                          <w:color w:val="231F20"/>
                          <w:sz w:val="24"/>
                        </w:rPr>
                        <w:t>Cuba,</w:t>
                      </w:r>
                      <w:r>
                        <w:rPr>
                          <w:rFonts w:ascii="Segoe UI Semibold" w:hAnsi="Segoe UI Semibold"/>
                          <w:b/>
                          <w:i/>
                          <w:color w:val="231F20"/>
                          <w:spacing w:val="-7"/>
                          <w:sz w:val="24"/>
                        </w:rPr>
                        <w:t> </w:t>
                      </w:r>
                      <w:r>
                        <w:rPr>
                          <w:rFonts w:ascii="Segoe UI Semibold" w:hAnsi="Segoe UI Semibold"/>
                          <w:b/>
                          <w:i/>
                          <w:color w:val="231F20"/>
                          <w:sz w:val="24"/>
                        </w:rPr>
                        <w:t>estimados</w:t>
                      </w:r>
                      <w:r>
                        <w:rPr>
                          <w:rFonts w:ascii="Segoe UI Semibold" w:hAnsi="Segoe UI Semibold"/>
                          <w:b/>
                          <w:i/>
                          <w:color w:val="231F20"/>
                          <w:spacing w:val="-7"/>
                          <w:sz w:val="24"/>
                        </w:rPr>
                        <w:t> </w:t>
                      </w:r>
                      <w:r>
                        <w:rPr>
                          <w:rFonts w:ascii="Segoe UI Semibold" w:hAnsi="Segoe UI Semibold"/>
                          <w:b/>
                          <w:i/>
                          <w:color w:val="231F20"/>
                          <w:sz w:val="24"/>
                        </w:rPr>
                        <w:t>en el orden de los </w:t>
                      </w:r>
                      <w:r>
                        <w:rPr>
                          <w:b/>
                          <w:i/>
                          <w:color w:val="231F20"/>
                          <w:sz w:val="24"/>
                        </w:rPr>
                        <w:t>4 mil 867 millones de</w:t>
                      </w:r>
                      <w:r>
                        <w:rPr>
                          <w:b/>
                          <w:i/>
                          <w:color w:val="231F20"/>
                          <w:sz w:val="24"/>
                        </w:rPr>
                        <w:t> dólares</w:t>
                      </w:r>
                      <w:r>
                        <w:rPr>
                          <w:rFonts w:ascii="Segoe UI Semibold" w:hAnsi="Segoe UI Semibold"/>
                          <w:b/>
                          <w:i/>
                          <w:color w:val="231F20"/>
                          <w:sz w:val="24"/>
                        </w:rPr>
                        <w:t>. Esto representa una afectación</w:t>
                      </w:r>
                      <w:r>
                        <w:rPr>
                          <w:rFonts w:ascii="Segoe UI Semibold" w:hAnsi="Segoe UI Semibold"/>
                          <w:b/>
                          <w:i/>
                          <w:color w:val="231F20"/>
                          <w:sz w:val="24"/>
                        </w:rPr>
                        <w:t> de más de </w:t>
                      </w:r>
                      <w:r>
                        <w:rPr>
                          <w:b/>
                          <w:i/>
                          <w:color w:val="231F20"/>
                          <w:sz w:val="24"/>
                        </w:rPr>
                        <w:t>405 millones de dólares</w:t>
                      </w:r>
                      <w:r>
                        <w:rPr>
                          <w:b/>
                          <w:i/>
                          <w:color w:val="231F20"/>
                          <w:sz w:val="24"/>
                        </w:rPr>
                        <w:t> </w:t>
                      </w:r>
                      <w:r>
                        <w:rPr>
                          <w:rFonts w:ascii="Segoe UI Semibold" w:hAnsi="Segoe UI Semibold"/>
                          <w:b/>
                          <w:i/>
                          <w:color w:val="231F20"/>
                          <w:sz w:val="24"/>
                        </w:rPr>
                        <w:t>mensuales, más de </w:t>
                      </w:r>
                      <w:r>
                        <w:rPr>
                          <w:b/>
                          <w:i/>
                          <w:color w:val="231F20"/>
                          <w:sz w:val="24"/>
                        </w:rPr>
                        <w:t>13 millones de</w:t>
                      </w:r>
                      <w:r>
                        <w:rPr>
                          <w:b/>
                          <w:i/>
                          <w:color w:val="231F20"/>
                          <w:sz w:val="24"/>
                        </w:rPr>
                        <w:t> dólares </w:t>
                      </w:r>
                      <w:r>
                        <w:rPr>
                          <w:rFonts w:ascii="Segoe UI Semibold" w:hAnsi="Segoe UI Semibold"/>
                          <w:b/>
                          <w:i/>
                          <w:color w:val="231F20"/>
                          <w:sz w:val="24"/>
                        </w:rPr>
                        <w:t>diarios, y más de </w:t>
                      </w:r>
                      <w:r>
                        <w:rPr>
                          <w:b/>
                          <w:i/>
                          <w:color w:val="231F20"/>
                          <w:sz w:val="24"/>
                        </w:rPr>
                        <w:t>555 mil</w:t>
                      </w:r>
                      <w:r>
                        <w:rPr>
                          <w:b/>
                          <w:i/>
                          <w:color w:val="231F20"/>
                          <w:sz w:val="24"/>
                        </w:rPr>
                        <w:t> dólares </w:t>
                      </w:r>
                      <w:r>
                        <w:rPr>
                          <w:rFonts w:ascii="Segoe UI Semibold" w:hAnsi="Segoe UI Semibold"/>
                          <w:b/>
                          <w:i/>
                          <w:color w:val="231F20"/>
                          <w:sz w:val="24"/>
                        </w:rPr>
                        <w:t>por cada hora de bloqueo.</w:t>
                      </w:r>
                    </w:p>
                  </w:txbxContent>
                </v:textbox>
                <w10:wrap type="topAndBottom"/>
              </v:shape>
            </w:pict>
          </mc:Fallback>
        </mc:AlternateContent>
      </w:r>
    </w:p>
    <w:p>
      <w:pPr>
        <w:pStyle w:val="BodyText"/>
        <w:spacing w:before="221"/>
        <w:ind w:left="409" w:right="1470"/>
      </w:pPr>
      <w:r>
        <w:rPr>
          <w:color w:val="231F20"/>
        </w:rPr>
        <w:t>Este monto es reflejo del impacto recrudecido del bloqueo sobre las </w:t>
      </w:r>
      <w:r>
        <w:rPr>
          <w:color w:val="231F20"/>
          <w:spacing w:val="-6"/>
        </w:rPr>
        <w:t>exportaciones</w:t>
      </w:r>
      <w:r>
        <w:rPr>
          <w:color w:val="231F20"/>
          <w:spacing w:val="-11"/>
        </w:rPr>
        <w:t> </w:t>
      </w:r>
      <w:r>
        <w:rPr>
          <w:color w:val="231F20"/>
          <w:spacing w:val="-6"/>
        </w:rPr>
        <w:t>cubanas,</w:t>
      </w:r>
      <w:r>
        <w:rPr>
          <w:color w:val="231F20"/>
          <w:spacing w:val="-10"/>
        </w:rPr>
        <w:t> </w:t>
      </w:r>
      <w:r>
        <w:rPr>
          <w:color w:val="231F20"/>
          <w:spacing w:val="-6"/>
        </w:rPr>
        <w:t>principalmente</w:t>
      </w:r>
      <w:r>
        <w:rPr>
          <w:color w:val="231F20"/>
          <w:spacing w:val="-11"/>
        </w:rPr>
        <w:t> </w:t>
      </w:r>
      <w:r>
        <w:rPr>
          <w:color w:val="231F20"/>
          <w:spacing w:val="-6"/>
        </w:rPr>
        <w:t>en</w:t>
      </w:r>
      <w:r>
        <w:rPr>
          <w:color w:val="231F20"/>
          <w:spacing w:val="-10"/>
        </w:rPr>
        <w:t> </w:t>
      </w:r>
      <w:r>
        <w:rPr>
          <w:color w:val="231F20"/>
          <w:spacing w:val="-6"/>
        </w:rPr>
        <w:t>el sector</w:t>
      </w:r>
      <w:r>
        <w:rPr>
          <w:color w:val="231F20"/>
          <w:spacing w:val="-7"/>
        </w:rPr>
        <w:t> </w:t>
      </w:r>
      <w:r>
        <w:rPr>
          <w:color w:val="231F20"/>
          <w:spacing w:val="-6"/>
        </w:rPr>
        <w:t>turístico,</w:t>
      </w:r>
      <w:r>
        <w:rPr>
          <w:color w:val="231F20"/>
          <w:spacing w:val="-7"/>
        </w:rPr>
        <w:t> </w:t>
      </w:r>
      <w:r>
        <w:rPr>
          <w:color w:val="231F20"/>
          <w:spacing w:val="-6"/>
        </w:rPr>
        <w:t>la</w:t>
      </w:r>
      <w:r>
        <w:rPr>
          <w:color w:val="231F20"/>
          <w:spacing w:val="-7"/>
        </w:rPr>
        <w:t> </w:t>
      </w:r>
      <w:r>
        <w:rPr>
          <w:color w:val="231F20"/>
          <w:spacing w:val="-6"/>
        </w:rPr>
        <w:t>despiadada</w:t>
      </w:r>
      <w:r>
        <w:rPr>
          <w:color w:val="231F20"/>
          <w:spacing w:val="-7"/>
        </w:rPr>
        <w:t> </w:t>
      </w:r>
      <w:r>
        <w:rPr>
          <w:color w:val="231F20"/>
          <w:spacing w:val="-6"/>
        </w:rPr>
        <w:t>persecución</w:t>
      </w:r>
      <w:r>
        <w:rPr>
          <w:color w:val="231F20"/>
          <w:spacing w:val="-7"/>
        </w:rPr>
        <w:t> </w:t>
      </w:r>
      <w:r>
        <w:rPr>
          <w:color w:val="231F20"/>
          <w:spacing w:val="-6"/>
        </w:rPr>
        <w:t>a </w:t>
      </w:r>
      <w:r>
        <w:rPr>
          <w:color w:val="231F20"/>
          <w:spacing w:val="-8"/>
        </w:rPr>
        <w:t>las</w:t>
      </w:r>
      <w:r>
        <w:rPr>
          <w:color w:val="231F20"/>
          <w:spacing w:val="-9"/>
        </w:rPr>
        <w:t> </w:t>
      </w:r>
      <w:r>
        <w:rPr>
          <w:color w:val="231F20"/>
          <w:spacing w:val="-8"/>
        </w:rPr>
        <w:t>operaciones bancario-financieras</w:t>
      </w:r>
      <w:r>
        <w:rPr>
          <w:color w:val="231F20"/>
          <w:spacing w:val="-9"/>
        </w:rPr>
        <w:t> </w:t>
      </w:r>
      <w:r>
        <w:rPr>
          <w:color w:val="231F20"/>
          <w:spacing w:val="-8"/>
        </w:rPr>
        <w:t>del país, </w:t>
      </w:r>
      <w:r>
        <w:rPr>
          <w:color w:val="231F20"/>
        </w:rPr>
        <w:t>los costos por reubicación geográfica del comercio,</w:t>
      </w:r>
      <w:r>
        <w:rPr>
          <w:color w:val="231F20"/>
          <w:spacing w:val="-13"/>
        </w:rPr>
        <w:t> </w:t>
      </w:r>
      <w:r>
        <w:rPr>
          <w:color w:val="231F20"/>
        </w:rPr>
        <w:t>las</w:t>
      </w:r>
      <w:r>
        <w:rPr>
          <w:color w:val="231F20"/>
          <w:spacing w:val="-13"/>
        </w:rPr>
        <w:t> </w:t>
      </w:r>
      <w:r>
        <w:rPr>
          <w:color w:val="231F20"/>
        </w:rPr>
        <w:t>afectaciones</w:t>
      </w:r>
      <w:r>
        <w:rPr>
          <w:color w:val="231F20"/>
          <w:spacing w:val="-13"/>
        </w:rPr>
        <w:t> </w:t>
      </w:r>
      <w:r>
        <w:rPr>
          <w:color w:val="231F20"/>
        </w:rPr>
        <w:t>a</w:t>
      </w:r>
      <w:r>
        <w:rPr>
          <w:color w:val="231F20"/>
          <w:spacing w:val="-13"/>
        </w:rPr>
        <w:t> </w:t>
      </w:r>
      <w:r>
        <w:rPr>
          <w:color w:val="231F20"/>
        </w:rPr>
        <w:t>la</w:t>
      </w:r>
      <w:r>
        <w:rPr>
          <w:color w:val="231F20"/>
          <w:spacing w:val="-13"/>
        </w:rPr>
        <w:t> </w:t>
      </w:r>
      <w:r>
        <w:rPr>
          <w:color w:val="231F20"/>
        </w:rPr>
        <w:t>producción </w:t>
      </w:r>
      <w:r>
        <w:rPr>
          <w:color w:val="231F20"/>
          <w:spacing w:val="-4"/>
        </w:rPr>
        <w:t>y</w:t>
      </w:r>
      <w:r>
        <w:rPr>
          <w:color w:val="231F20"/>
          <w:spacing w:val="-10"/>
        </w:rPr>
        <w:t> </w:t>
      </w:r>
      <w:r>
        <w:rPr>
          <w:color w:val="231F20"/>
          <w:spacing w:val="-4"/>
        </w:rPr>
        <w:t>los</w:t>
      </w:r>
      <w:r>
        <w:rPr>
          <w:color w:val="231F20"/>
          <w:spacing w:val="-10"/>
        </w:rPr>
        <w:t> </w:t>
      </w:r>
      <w:r>
        <w:rPr>
          <w:color w:val="231F20"/>
          <w:spacing w:val="-4"/>
        </w:rPr>
        <w:t>servicios</w:t>
      </w:r>
      <w:r>
        <w:rPr>
          <w:color w:val="231F20"/>
          <w:spacing w:val="-10"/>
        </w:rPr>
        <w:t> </w:t>
      </w:r>
      <w:r>
        <w:rPr>
          <w:color w:val="231F20"/>
          <w:spacing w:val="-4"/>
        </w:rPr>
        <w:t>que</w:t>
      </w:r>
      <w:r>
        <w:rPr>
          <w:color w:val="231F20"/>
          <w:spacing w:val="-10"/>
        </w:rPr>
        <w:t> </w:t>
      </w:r>
      <w:r>
        <w:rPr>
          <w:color w:val="231F20"/>
          <w:spacing w:val="-4"/>
        </w:rPr>
        <w:t>se</w:t>
      </w:r>
      <w:r>
        <w:rPr>
          <w:color w:val="231F20"/>
          <w:spacing w:val="-10"/>
        </w:rPr>
        <w:t> </w:t>
      </w:r>
      <w:r>
        <w:rPr>
          <w:color w:val="231F20"/>
          <w:spacing w:val="-4"/>
        </w:rPr>
        <w:t>prestan</w:t>
      </w:r>
      <w:r>
        <w:rPr>
          <w:color w:val="231F20"/>
          <w:spacing w:val="-10"/>
        </w:rPr>
        <w:t> </w:t>
      </w:r>
      <w:r>
        <w:rPr>
          <w:color w:val="231F20"/>
          <w:spacing w:val="-4"/>
        </w:rPr>
        <w:t>a</w:t>
      </w:r>
      <w:r>
        <w:rPr>
          <w:color w:val="231F20"/>
          <w:spacing w:val="-10"/>
        </w:rPr>
        <w:t> </w:t>
      </w:r>
      <w:r>
        <w:rPr>
          <w:color w:val="231F20"/>
          <w:spacing w:val="-4"/>
        </w:rPr>
        <w:t>la</w:t>
      </w:r>
      <w:r>
        <w:rPr>
          <w:color w:val="231F20"/>
          <w:spacing w:val="-10"/>
        </w:rPr>
        <w:t> </w:t>
      </w:r>
      <w:r>
        <w:rPr>
          <w:color w:val="231F20"/>
          <w:spacing w:val="-4"/>
        </w:rPr>
        <w:t>población </w:t>
      </w:r>
      <w:r>
        <w:rPr>
          <w:color w:val="231F20"/>
          <w:spacing w:val="-2"/>
        </w:rPr>
        <w:t>y</w:t>
      </w:r>
      <w:r>
        <w:rPr>
          <w:color w:val="231F20"/>
          <w:spacing w:val="-15"/>
        </w:rPr>
        <w:t> </w:t>
      </w:r>
      <w:r>
        <w:rPr>
          <w:color w:val="231F20"/>
          <w:spacing w:val="-2"/>
        </w:rPr>
        <w:t>los</w:t>
      </w:r>
      <w:r>
        <w:rPr>
          <w:color w:val="231F20"/>
          <w:spacing w:val="-14"/>
        </w:rPr>
        <w:t> </w:t>
      </w:r>
      <w:r>
        <w:rPr>
          <w:color w:val="231F20"/>
          <w:spacing w:val="-2"/>
        </w:rPr>
        <w:t>obstáculos</w:t>
      </w:r>
      <w:r>
        <w:rPr>
          <w:color w:val="231F20"/>
          <w:spacing w:val="-15"/>
        </w:rPr>
        <w:t> </w:t>
      </w:r>
      <w:r>
        <w:rPr>
          <w:color w:val="231F20"/>
          <w:spacing w:val="-2"/>
        </w:rPr>
        <w:t>para</w:t>
      </w:r>
      <w:r>
        <w:rPr>
          <w:color w:val="231F20"/>
          <w:spacing w:val="-14"/>
        </w:rPr>
        <w:t> </w:t>
      </w:r>
      <w:r>
        <w:rPr>
          <w:color w:val="231F20"/>
          <w:spacing w:val="-2"/>
        </w:rPr>
        <w:t>acceder</w:t>
      </w:r>
      <w:r>
        <w:rPr>
          <w:color w:val="231F20"/>
          <w:spacing w:val="-15"/>
        </w:rPr>
        <w:t> </w:t>
      </w:r>
      <w:r>
        <w:rPr>
          <w:color w:val="231F20"/>
          <w:spacing w:val="-2"/>
        </w:rPr>
        <w:t>a</w:t>
      </w:r>
      <w:r>
        <w:rPr>
          <w:color w:val="231F20"/>
          <w:spacing w:val="-14"/>
        </w:rPr>
        <w:t> </w:t>
      </w:r>
      <w:r>
        <w:rPr>
          <w:color w:val="231F20"/>
          <w:spacing w:val="-2"/>
        </w:rPr>
        <w:t>tecnologías </w:t>
      </w:r>
      <w:r>
        <w:rPr>
          <w:color w:val="231F20"/>
        </w:rPr>
        <w:t>de avanzada.</w:t>
      </w:r>
    </w:p>
    <w:p>
      <w:pPr>
        <w:spacing w:after="0"/>
        <w:sectPr>
          <w:pgSz w:w="11910" w:h="16840"/>
          <w:pgMar w:header="0" w:footer="695" w:top="1260" w:bottom="880" w:left="0" w:right="0"/>
          <w:cols w:num="2" w:equalWidth="0">
            <w:col w:w="5561" w:space="40"/>
            <w:col w:w="6309"/>
          </w:cols>
        </w:sectPr>
      </w:pPr>
    </w:p>
    <w:p>
      <w:pPr>
        <w:pStyle w:val="BodyText"/>
        <w:spacing w:before="77"/>
        <w:ind w:left="6349" w:right="1131"/>
      </w:pPr>
      <w:r>
        <w:rPr/>
        <mc:AlternateContent>
          <mc:Choice Requires="wps">
            <w:drawing>
              <wp:anchor distT="0" distB="0" distL="0" distR="0" allowOverlap="1" layoutInCell="1" locked="0" behindDoc="0" simplePos="0" relativeHeight="15733760">
                <wp:simplePos x="0" y="0"/>
                <wp:positionH relativeFrom="page">
                  <wp:posOffset>0</wp:posOffset>
                </wp:positionH>
                <wp:positionV relativeFrom="paragraph">
                  <wp:posOffset>111798</wp:posOffset>
                </wp:positionV>
                <wp:extent cx="3888104" cy="4368800"/>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3888104" cy="4368800"/>
                        </a:xfrm>
                        <a:prstGeom prst="rect">
                          <a:avLst/>
                        </a:prstGeom>
                        <a:solidFill>
                          <a:srgbClr val="E0E2E2"/>
                        </a:solidFill>
                      </wps:spPr>
                      <wps:txbx>
                        <w:txbxContent>
                          <w:p>
                            <w:pPr>
                              <w:spacing w:line="220" w:lineRule="auto" w:before="221"/>
                              <w:ind w:left="1474" w:right="270" w:firstLine="0"/>
                              <w:jc w:val="left"/>
                              <w:rPr>
                                <w:rFonts w:ascii="Segoe UI Semibold"/>
                                <w:b/>
                                <w:i/>
                                <w:color w:val="000000"/>
                                <w:sz w:val="26"/>
                              </w:rPr>
                            </w:pPr>
                            <w:r>
                              <w:rPr>
                                <w:rFonts w:ascii="Segoe UI Semibold"/>
                                <w:b/>
                                <w:i/>
                                <w:color w:val="000000"/>
                                <w:sz w:val="26"/>
                              </w:rPr>
                              <w:t>Se estima que, de no existir el</w:t>
                            </w:r>
                            <w:r>
                              <w:rPr>
                                <w:rFonts w:ascii="Segoe UI Semibold"/>
                                <w:b/>
                                <w:i/>
                                <w:color w:val="000000"/>
                                <w:sz w:val="26"/>
                              </w:rPr>
                              <w:t> bloqueo,</w:t>
                            </w:r>
                            <w:r>
                              <w:rPr>
                                <w:rFonts w:ascii="Segoe UI Semibold"/>
                                <w:b/>
                                <w:i/>
                                <w:color w:val="000000"/>
                                <w:spacing w:val="-7"/>
                                <w:sz w:val="26"/>
                              </w:rPr>
                              <w:t> </w:t>
                            </w:r>
                            <w:r>
                              <w:rPr>
                                <w:rFonts w:ascii="Segoe UI Semibold"/>
                                <w:b/>
                                <w:i/>
                                <w:color w:val="000000"/>
                                <w:sz w:val="26"/>
                              </w:rPr>
                              <w:t>el</w:t>
                            </w:r>
                            <w:r>
                              <w:rPr>
                                <w:rFonts w:ascii="Segoe UI Semibold"/>
                                <w:b/>
                                <w:i/>
                                <w:color w:val="000000"/>
                                <w:spacing w:val="-6"/>
                                <w:sz w:val="26"/>
                              </w:rPr>
                              <w:t> </w:t>
                            </w:r>
                            <w:r>
                              <w:rPr>
                                <w:rFonts w:ascii="Segoe UI Semibold"/>
                                <w:b/>
                                <w:i/>
                                <w:color w:val="000000"/>
                                <w:sz w:val="26"/>
                              </w:rPr>
                              <w:t>PIB</w:t>
                            </w:r>
                            <w:r>
                              <w:rPr>
                                <w:rFonts w:ascii="Segoe UI Semibold"/>
                                <w:b/>
                                <w:i/>
                                <w:color w:val="000000"/>
                                <w:spacing w:val="-7"/>
                                <w:sz w:val="26"/>
                              </w:rPr>
                              <w:t> </w:t>
                            </w:r>
                            <w:r>
                              <w:rPr>
                                <w:rFonts w:ascii="Segoe UI Semibold"/>
                                <w:b/>
                                <w:i/>
                                <w:color w:val="000000"/>
                                <w:sz w:val="26"/>
                              </w:rPr>
                              <w:t>de</w:t>
                            </w:r>
                            <w:r>
                              <w:rPr>
                                <w:rFonts w:ascii="Segoe UI Semibold"/>
                                <w:b/>
                                <w:i/>
                                <w:color w:val="000000"/>
                                <w:spacing w:val="-7"/>
                                <w:sz w:val="26"/>
                              </w:rPr>
                              <w:t> </w:t>
                            </w:r>
                            <w:r>
                              <w:rPr>
                                <w:rFonts w:ascii="Segoe UI Semibold"/>
                                <w:b/>
                                <w:i/>
                                <w:color w:val="000000"/>
                                <w:sz w:val="26"/>
                              </w:rPr>
                              <w:t>Cuba</w:t>
                            </w:r>
                            <w:r>
                              <w:rPr>
                                <w:rFonts w:ascii="Segoe UI Semibold"/>
                                <w:b/>
                                <w:i/>
                                <w:color w:val="000000"/>
                                <w:spacing w:val="-7"/>
                                <w:sz w:val="26"/>
                              </w:rPr>
                              <w:t> </w:t>
                            </w:r>
                            <w:r>
                              <w:rPr>
                                <w:rFonts w:ascii="Segoe UI Semibold"/>
                                <w:b/>
                                <w:i/>
                                <w:color w:val="000000"/>
                                <w:sz w:val="26"/>
                              </w:rPr>
                              <w:t>pudo</w:t>
                            </w:r>
                            <w:r>
                              <w:rPr>
                                <w:rFonts w:ascii="Segoe UI Semibold"/>
                                <w:b/>
                                <w:i/>
                                <w:color w:val="000000"/>
                                <w:spacing w:val="-7"/>
                                <w:sz w:val="26"/>
                              </w:rPr>
                              <w:t> </w:t>
                            </w:r>
                            <w:r>
                              <w:rPr>
                                <w:rFonts w:ascii="Segoe UI Semibold"/>
                                <w:b/>
                                <w:i/>
                                <w:color w:val="000000"/>
                                <w:sz w:val="26"/>
                              </w:rPr>
                              <w:t>haber crecido un 9% en 2022.</w:t>
                            </w:r>
                          </w:p>
                          <w:p>
                            <w:pPr>
                              <w:spacing w:line="220" w:lineRule="auto" w:before="2"/>
                              <w:ind w:left="1474" w:right="745" w:firstLine="0"/>
                              <w:jc w:val="left"/>
                              <w:rPr>
                                <w:rFonts w:ascii="Segoe UI Semibold" w:hAnsi="Segoe UI Semibold"/>
                                <w:b/>
                                <w:i/>
                                <w:color w:val="000000"/>
                                <w:sz w:val="26"/>
                              </w:rPr>
                            </w:pPr>
                            <w:r>
                              <w:rPr>
                                <w:rFonts w:ascii="Segoe UI Semibold" w:hAnsi="Segoe UI Semibold"/>
                                <w:b/>
                                <w:i/>
                                <w:color w:val="000000"/>
                                <w:sz w:val="26"/>
                              </w:rPr>
                              <w:t>A precios corrientes, los daños</w:t>
                            </w:r>
                            <w:r>
                              <w:rPr>
                                <w:rFonts w:ascii="Segoe UI Semibold" w:hAnsi="Segoe UI Semibold"/>
                                <w:b/>
                                <w:i/>
                                <w:color w:val="000000"/>
                                <w:sz w:val="26"/>
                              </w:rPr>
                              <w:t> acumulados durante más de seis décadas de aplicación de esta política</w:t>
                            </w:r>
                            <w:r>
                              <w:rPr>
                                <w:rFonts w:ascii="Segoe UI Semibold" w:hAnsi="Segoe UI Semibold"/>
                                <w:b/>
                                <w:i/>
                                <w:color w:val="000000"/>
                                <w:spacing w:val="-9"/>
                                <w:sz w:val="26"/>
                              </w:rPr>
                              <w:t> </w:t>
                            </w:r>
                            <w:r>
                              <w:rPr>
                                <w:rFonts w:ascii="Segoe UI Semibold" w:hAnsi="Segoe UI Semibold"/>
                                <w:b/>
                                <w:i/>
                                <w:color w:val="000000"/>
                                <w:sz w:val="26"/>
                              </w:rPr>
                              <w:t>ascienden</w:t>
                            </w:r>
                            <w:r>
                              <w:rPr>
                                <w:rFonts w:ascii="Segoe UI Semibold" w:hAnsi="Segoe UI Semibold"/>
                                <w:b/>
                                <w:i/>
                                <w:color w:val="000000"/>
                                <w:spacing w:val="-8"/>
                                <w:sz w:val="26"/>
                              </w:rPr>
                              <w:t> </w:t>
                            </w:r>
                            <w:r>
                              <w:rPr>
                                <w:rFonts w:ascii="Segoe UI Semibold" w:hAnsi="Segoe UI Semibold"/>
                                <w:b/>
                                <w:i/>
                                <w:color w:val="000000"/>
                                <w:sz w:val="26"/>
                              </w:rPr>
                              <w:t>a</w:t>
                            </w:r>
                            <w:r>
                              <w:rPr>
                                <w:rFonts w:ascii="Segoe UI Semibold" w:hAnsi="Segoe UI Semibold"/>
                                <w:b/>
                                <w:i/>
                                <w:color w:val="000000"/>
                                <w:spacing w:val="-8"/>
                                <w:sz w:val="26"/>
                              </w:rPr>
                              <w:t> </w:t>
                            </w:r>
                            <w:r>
                              <w:rPr>
                                <w:b/>
                                <w:i/>
                                <w:color w:val="000000"/>
                                <w:sz w:val="26"/>
                              </w:rPr>
                              <w:t>159</w:t>
                            </w:r>
                            <w:r>
                              <w:rPr>
                                <w:b/>
                                <w:i/>
                                <w:color w:val="000000"/>
                                <w:spacing w:val="-9"/>
                                <w:sz w:val="26"/>
                              </w:rPr>
                              <w:t> </w:t>
                            </w:r>
                            <w:r>
                              <w:rPr>
                                <w:b/>
                                <w:i/>
                                <w:color w:val="000000"/>
                                <w:sz w:val="26"/>
                              </w:rPr>
                              <w:t>mil</w:t>
                            </w:r>
                            <w:r>
                              <w:rPr>
                                <w:b/>
                                <w:i/>
                                <w:color w:val="000000"/>
                                <w:spacing w:val="-9"/>
                                <w:sz w:val="26"/>
                              </w:rPr>
                              <w:t> </w:t>
                            </w:r>
                            <w:r>
                              <w:rPr>
                                <w:b/>
                                <w:i/>
                                <w:color w:val="000000"/>
                                <w:sz w:val="26"/>
                              </w:rPr>
                              <w:t>84,3</w:t>
                            </w:r>
                            <w:r>
                              <w:rPr>
                                <w:b/>
                                <w:i/>
                                <w:color w:val="000000"/>
                                <w:sz w:val="26"/>
                              </w:rPr>
                              <w:t> millones de dólares</w:t>
                            </w:r>
                            <w:r>
                              <w:rPr>
                                <w:rFonts w:ascii="Segoe UI Semibold" w:hAnsi="Segoe UI Semibold"/>
                                <w:b/>
                                <w:i/>
                                <w:color w:val="000000"/>
                                <w:sz w:val="26"/>
                              </w:rPr>
                              <w:t>. Tomando</w:t>
                            </w:r>
                            <w:r>
                              <w:rPr>
                                <w:rFonts w:ascii="Segoe UI Semibold" w:hAnsi="Segoe UI Semibold"/>
                                <w:b/>
                                <w:i/>
                                <w:color w:val="000000"/>
                                <w:sz w:val="26"/>
                              </w:rPr>
                              <w:t> en cuenta el comportamiento del dólar frente al valor del oro en el</w:t>
                            </w:r>
                          </w:p>
                          <w:p>
                            <w:pPr>
                              <w:spacing w:line="220" w:lineRule="auto" w:before="5"/>
                              <w:ind w:left="1474" w:right="299" w:firstLine="0"/>
                              <w:jc w:val="left"/>
                              <w:rPr>
                                <w:rFonts w:ascii="Segoe UI Semibold" w:hAnsi="Segoe UI Semibold"/>
                                <w:b/>
                                <w:i/>
                                <w:color w:val="000000"/>
                                <w:sz w:val="26"/>
                              </w:rPr>
                            </w:pPr>
                            <w:r>
                              <w:rPr>
                                <w:rFonts w:ascii="Segoe UI Semibold" w:hAnsi="Segoe UI Semibold"/>
                                <w:b/>
                                <w:i/>
                                <w:color w:val="000000"/>
                                <w:sz w:val="26"/>
                              </w:rPr>
                              <w:t>mercado</w:t>
                            </w:r>
                            <w:r>
                              <w:rPr>
                                <w:rFonts w:ascii="Segoe UI Semibold" w:hAnsi="Segoe UI Semibold"/>
                                <w:b/>
                                <w:i/>
                                <w:color w:val="000000"/>
                                <w:spacing w:val="-11"/>
                                <w:sz w:val="26"/>
                              </w:rPr>
                              <w:t> </w:t>
                            </w:r>
                            <w:r>
                              <w:rPr>
                                <w:rFonts w:ascii="Segoe UI Semibold" w:hAnsi="Segoe UI Semibold"/>
                                <w:b/>
                                <w:i/>
                                <w:color w:val="000000"/>
                                <w:sz w:val="26"/>
                              </w:rPr>
                              <w:t>internacional,</w:t>
                            </w:r>
                            <w:r>
                              <w:rPr>
                                <w:rFonts w:ascii="Segoe UI Semibold" w:hAnsi="Segoe UI Semibold"/>
                                <w:b/>
                                <w:i/>
                                <w:color w:val="000000"/>
                                <w:spacing w:val="-11"/>
                                <w:sz w:val="26"/>
                              </w:rPr>
                              <w:t> </w:t>
                            </w:r>
                            <w:r>
                              <w:rPr>
                                <w:rFonts w:ascii="Segoe UI Semibold" w:hAnsi="Segoe UI Semibold"/>
                                <w:b/>
                                <w:i/>
                                <w:color w:val="000000"/>
                                <w:sz w:val="26"/>
                              </w:rPr>
                              <w:t>el</w:t>
                            </w:r>
                            <w:r>
                              <w:rPr>
                                <w:rFonts w:ascii="Segoe UI Semibold" w:hAnsi="Segoe UI Semibold"/>
                                <w:b/>
                                <w:i/>
                                <w:color w:val="000000"/>
                                <w:spacing w:val="-10"/>
                                <w:sz w:val="26"/>
                              </w:rPr>
                              <w:t> </w:t>
                            </w:r>
                            <w:r>
                              <w:rPr>
                                <w:rFonts w:ascii="Segoe UI Semibold" w:hAnsi="Segoe UI Semibold"/>
                                <w:b/>
                                <w:i/>
                                <w:color w:val="000000"/>
                                <w:sz w:val="26"/>
                              </w:rPr>
                              <w:t>bloqueo</w:t>
                            </w:r>
                            <w:r>
                              <w:rPr>
                                <w:rFonts w:ascii="Segoe UI Semibold" w:hAnsi="Segoe UI Semibold"/>
                                <w:b/>
                                <w:i/>
                                <w:color w:val="000000"/>
                                <w:spacing w:val="-11"/>
                                <w:sz w:val="26"/>
                              </w:rPr>
                              <w:t> </w:t>
                            </w:r>
                            <w:r>
                              <w:rPr>
                                <w:rFonts w:ascii="Segoe UI Semibold" w:hAnsi="Segoe UI Semibold"/>
                                <w:b/>
                                <w:i/>
                                <w:color w:val="000000"/>
                                <w:sz w:val="26"/>
                              </w:rPr>
                              <w:t>ha</w:t>
                            </w:r>
                            <w:r>
                              <w:rPr>
                                <w:rFonts w:ascii="Segoe UI Semibold" w:hAnsi="Segoe UI Semibold"/>
                                <w:b/>
                                <w:i/>
                                <w:color w:val="000000"/>
                                <w:sz w:val="26"/>
                              </w:rPr>
                              <w:t> provocado perjuicios cuantificables por más de </w:t>
                            </w:r>
                            <w:r>
                              <w:rPr>
                                <w:b/>
                                <w:i/>
                                <w:color w:val="000000"/>
                                <w:sz w:val="26"/>
                              </w:rPr>
                              <w:t>1 billón 337 mil 57</w:t>
                            </w:r>
                            <w:r>
                              <w:rPr>
                                <w:b/>
                                <w:i/>
                                <w:color w:val="000000"/>
                                <w:sz w:val="26"/>
                              </w:rPr>
                              <w:t> millones de dólares</w:t>
                            </w:r>
                            <w:r>
                              <w:rPr>
                                <w:rFonts w:ascii="Segoe UI Semibold" w:hAnsi="Segoe UI Semibold"/>
                                <w:b/>
                                <w:i/>
                                <w:color w:val="000000"/>
                                <w:sz w:val="26"/>
                              </w:rPr>
                              <w:t>, cifra inferior a</w:t>
                            </w:r>
                            <w:r>
                              <w:rPr>
                                <w:rFonts w:ascii="Segoe UI Semibold" w:hAnsi="Segoe UI Semibold"/>
                                <w:b/>
                                <w:i/>
                                <w:color w:val="000000"/>
                                <w:sz w:val="26"/>
                              </w:rPr>
                              <w:t> la reportada en el informe anterior que abarcó de agosto de 2021 a febrero de 2022, en tanto el precio</w:t>
                            </w:r>
                            <w:r>
                              <w:rPr>
                                <w:rFonts w:ascii="Segoe UI Semibold" w:hAnsi="Segoe UI Semibold"/>
                                <w:b/>
                                <w:i/>
                                <w:color w:val="000000"/>
                                <w:sz w:val="26"/>
                              </w:rPr>
                              <w:t> del oro al cierre de febrero de 2023 disminuyó un 4,2% en comparación con el mismo mes de 2022.</w:t>
                            </w:r>
                          </w:p>
                        </w:txbxContent>
                      </wps:txbx>
                      <wps:bodyPr wrap="square" lIns="0" tIns="0" rIns="0" bIns="0" rtlCol="0">
                        <a:noAutofit/>
                      </wps:bodyPr>
                    </wps:wsp>
                  </a:graphicData>
                </a:graphic>
              </wp:anchor>
            </w:drawing>
          </mc:Choice>
          <mc:Fallback>
            <w:pict>
              <v:shape style="position:absolute;margin-left:0pt;margin-top:8.803pt;width:306.150pt;height:344pt;mso-position-horizontal-relative:page;mso-position-vertical-relative:paragraph;z-index:15733760" type="#_x0000_t202" id="docshape14" filled="true" fillcolor="#e0e2e2" stroked="false">
                <v:textbox inset="0,0,0,0">
                  <w:txbxContent>
                    <w:p>
                      <w:pPr>
                        <w:spacing w:line="220" w:lineRule="auto" w:before="221"/>
                        <w:ind w:left="1474" w:right="270" w:firstLine="0"/>
                        <w:jc w:val="left"/>
                        <w:rPr>
                          <w:rFonts w:ascii="Segoe UI Semibold"/>
                          <w:b/>
                          <w:i/>
                          <w:color w:val="000000"/>
                          <w:sz w:val="26"/>
                        </w:rPr>
                      </w:pPr>
                      <w:r>
                        <w:rPr>
                          <w:rFonts w:ascii="Segoe UI Semibold"/>
                          <w:b/>
                          <w:i/>
                          <w:color w:val="000000"/>
                          <w:sz w:val="26"/>
                        </w:rPr>
                        <w:t>Se estima que, de no existir el</w:t>
                      </w:r>
                      <w:r>
                        <w:rPr>
                          <w:rFonts w:ascii="Segoe UI Semibold"/>
                          <w:b/>
                          <w:i/>
                          <w:color w:val="000000"/>
                          <w:sz w:val="26"/>
                        </w:rPr>
                        <w:t> bloqueo,</w:t>
                      </w:r>
                      <w:r>
                        <w:rPr>
                          <w:rFonts w:ascii="Segoe UI Semibold"/>
                          <w:b/>
                          <w:i/>
                          <w:color w:val="000000"/>
                          <w:spacing w:val="-7"/>
                          <w:sz w:val="26"/>
                        </w:rPr>
                        <w:t> </w:t>
                      </w:r>
                      <w:r>
                        <w:rPr>
                          <w:rFonts w:ascii="Segoe UI Semibold"/>
                          <w:b/>
                          <w:i/>
                          <w:color w:val="000000"/>
                          <w:sz w:val="26"/>
                        </w:rPr>
                        <w:t>el</w:t>
                      </w:r>
                      <w:r>
                        <w:rPr>
                          <w:rFonts w:ascii="Segoe UI Semibold"/>
                          <w:b/>
                          <w:i/>
                          <w:color w:val="000000"/>
                          <w:spacing w:val="-6"/>
                          <w:sz w:val="26"/>
                        </w:rPr>
                        <w:t> </w:t>
                      </w:r>
                      <w:r>
                        <w:rPr>
                          <w:rFonts w:ascii="Segoe UI Semibold"/>
                          <w:b/>
                          <w:i/>
                          <w:color w:val="000000"/>
                          <w:sz w:val="26"/>
                        </w:rPr>
                        <w:t>PIB</w:t>
                      </w:r>
                      <w:r>
                        <w:rPr>
                          <w:rFonts w:ascii="Segoe UI Semibold"/>
                          <w:b/>
                          <w:i/>
                          <w:color w:val="000000"/>
                          <w:spacing w:val="-7"/>
                          <w:sz w:val="26"/>
                        </w:rPr>
                        <w:t> </w:t>
                      </w:r>
                      <w:r>
                        <w:rPr>
                          <w:rFonts w:ascii="Segoe UI Semibold"/>
                          <w:b/>
                          <w:i/>
                          <w:color w:val="000000"/>
                          <w:sz w:val="26"/>
                        </w:rPr>
                        <w:t>de</w:t>
                      </w:r>
                      <w:r>
                        <w:rPr>
                          <w:rFonts w:ascii="Segoe UI Semibold"/>
                          <w:b/>
                          <w:i/>
                          <w:color w:val="000000"/>
                          <w:spacing w:val="-7"/>
                          <w:sz w:val="26"/>
                        </w:rPr>
                        <w:t> </w:t>
                      </w:r>
                      <w:r>
                        <w:rPr>
                          <w:rFonts w:ascii="Segoe UI Semibold"/>
                          <w:b/>
                          <w:i/>
                          <w:color w:val="000000"/>
                          <w:sz w:val="26"/>
                        </w:rPr>
                        <w:t>Cuba</w:t>
                      </w:r>
                      <w:r>
                        <w:rPr>
                          <w:rFonts w:ascii="Segoe UI Semibold"/>
                          <w:b/>
                          <w:i/>
                          <w:color w:val="000000"/>
                          <w:spacing w:val="-7"/>
                          <w:sz w:val="26"/>
                        </w:rPr>
                        <w:t> </w:t>
                      </w:r>
                      <w:r>
                        <w:rPr>
                          <w:rFonts w:ascii="Segoe UI Semibold"/>
                          <w:b/>
                          <w:i/>
                          <w:color w:val="000000"/>
                          <w:sz w:val="26"/>
                        </w:rPr>
                        <w:t>pudo</w:t>
                      </w:r>
                      <w:r>
                        <w:rPr>
                          <w:rFonts w:ascii="Segoe UI Semibold"/>
                          <w:b/>
                          <w:i/>
                          <w:color w:val="000000"/>
                          <w:spacing w:val="-7"/>
                          <w:sz w:val="26"/>
                        </w:rPr>
                        <w:t> </w:t>
                      </w:r>
                      <w:r>
                        <w:rPr>
                          <w:rFonts w:ascii="Segoe UI Semibold"/>
                          <w:b/>
                          <w:i/>
                          <w:color w:val="000000"/>
                          <w:sz w:val="26"/>
                        </w:rPr>
                        <w:t>haber crecido un 9% en 2022.</w:t>
                      </w:r>
                    </w:p>
                    <w:p>
                      <w:pPr>
                        <w:spacing w:line="220" w:lineRule="auto" w:before="2"/>
                        <w:ind w:left="1474" w:right="745" w:firstLine="0"/>
                        <w:jc w:val="left"/>
                        <w:rPr>
                          <w:rFonts w:ascii="Segoe UI Semibold" w:hAnsi="Segoe UI Semibold"/>
                          <w:b/>
                          <w:i/>
                          <w:color w:val="000000"/>
                          <w:sz w:val="26"/>
                        </w:rPr>
                      </w:pPr>
                      <w:r>
                        <w:rPr>
                          <w:rFonts w:ascii="Segoe UI Semibold" w:hAnsi="Segoe UI Semibold"/>
                          <w:b/>
                          <w:i/>
                          <w:color w:val="000000"/>
                          <w:sz w:val="26"/>
                        </w:rPr>
                        <w:t>A precios corrientes, los daños</w:t>
                      </w:r>
                      <w:r>
                        <w:rPr>
                          <w:rFonts w:ascii="Segoe UI Semibold" w:hAnsi="Segoe UI Semibold"/>
                          <w:b/>
                          <w:i/>
                          <w:color w:val="000000"/>
                          <w:sz w:val="26"/>
                        </w:rPr>
                        <w:t> acumulados durante más de seis décadas de aplicación de esta política</w:t>
                      </w:r>
                      <w:r>
                        <w:rPr>
                          <w:rFonts w:ascii="Segoe UI Semibold" w:hAnsi="Segoe UI Semibold"/>
                          <w:b/>
                          <w:i/>
                          <w:color w:val="000000"/>
                          <w:spacing w:val="-9"/>
                          <w:sz w:val="26"/>
                        </w:rPr>
                        <w:t> </w:t>
                      </w:r>
                      <w:r>
                        <w:rPr>
                          <w:rFonts w:ascii="Segoe UI Semibold" w:hAnsi="Segoe UI Semibold"/>
                          <w:b/>
                          <w:i/>
                          <w:color w:val="000000"/>
                          <w:sz w:val="26"/>
                        </w:rPr>
                        <w:t>ascienden</w:t>
                      </w:r>
                      <w:r>
                        <w:rPr>
                          <w:rFonts w:ascii="Segoe UI Semibold" w:hAnsi="Segoe UI Semibold"/>
                          <w:b/>
                          <w:i/>
                          <w:color w:val="000000"/>
                          <w:spacing w:val="-8"/>
                          <w:sz w:val="26"/>
                        </w:rPr>
                        <w:t> </w:t>
                      </w:r>
                      <w:r>
                        <w:rPr>
                          <w:rFonts w:ascii="Segoe UI Semibold" w:hAnsi="Segoe UI Semibold"/>
                          <w:b/>
                          <w:i/>
                          <w:color w:val="000000"/>
                          <w:sz w:val="26"/>
                        </w:rPr>
                        <w:t>a</w:t>
                      </w:r>
                      <w:r>
                        <w:rPr>
                          <w:rFonts w:ascii="Segoe UI Semibold" w:hAnsi="Segoe UI Semibold"/>
                          <w:b/>
                          <w:i/>
                          <w:color w:val="000000"/>
                          <w:spacing w:val="-8"/>
                          <w:sz w:val="26"/>
                        </w:rPr>
                        <w:t> </w:t>
                      </w:r>
                      <w:r>
                        <w:rPr>
                          <w:b/>
                          <w:i/>
                          <w:color w:val="000000"/>
                          <w:sz w:val="26"/>
                        </w:rPr>
                        <w:t>159</w:t>
                      </w:r>
                      <w:r>
                        <w:rPr>
                          <w:b/>
                          <w:i/>
                          <w:color w:val="000000"/>
                          <w:spacing w:val="-9"/>
                          <w:sz w:val="26"/>
                        </w:rPr>
                        <w:t> </w:t>
                      </w:r>
                      <w:r>
                        <w:rPr>
                          <w:b/>
                          <w:i/>
                          <w:color w:val="000000"/>
                          <w:sz w:val="26"/>
                        </w:rPr>
                        <w:t>mil</w:t>
                      </w:r>
                      <w:r>
                        <w:rPr>
                          <w:b/>
                          <w:i/>
                          <w:color w:val="000000"/>
                          <w:spacing w:val="-9"/>
                          <w:sz w:val="26"/>
                        </w:rPr>
                        <w:t> </w:t>
                      </w:r>
                      <w:r>
                        <w:rPr>
                          <w:b/>
                          <w:i/>
                          <w:color w:val="000000"/>
                          <w:sz w:val="26"/>
                        </w:rPr>
                        <w:t>84,3</w:t>
                      </w:r>
                      <w:r>
                        <w:rPr>
                          <w:b/>
                          <w:i/>
                          <w:color w:val="000000"/>
                          <w:sz w:val="26"/>
                        </w:rPr>
                        <w:t> millones de dólares</w:t>
                      </w:r>
                      <w:r>
                        <w:rPr>
                          <w:rFonts w:ascii="Segoe UI Semibold" w:hAnsi="Segoe UI Semibold"/>
                          <w:b/>
                          <w:i/>
                          <w:color w:val="000000"/>
                          <w:sz w:val="26"/>
                        </w:rPr>
                        <w:t>. Tomando</w:t>
                      </w:r>
                      <w:r>
                        <w:rPr>
                          <w:rFonts w:ascii="Segoe UI Semibold" w:hAnsi="Segoe UI Semibold"/>
                          <w:b/>
                          <w:i/>
                          <w:color w:val="000000"/>
                          <w:sz w:val="26"/>
                        </w:rPr>
                        <w:t> en cuenta el comportamiento del dólar frente al valor del oro en el</w:t>
                      </w:r>
                    </w:p>
                    <w:p>
                      <w:pPr>
                        <w:spacing w:line="220" w:lineRule="auto" w:before="5"/>
                        <w:ind w:left="1474" w:right="299" w:firstLine="0"/>
                        <w:jc w:val="left"/>
                        <w:rPr>
                          <w:rFonts w:ascii="Segoe UI Semibold" w:hAnsi="Segoe UI Semibold"/>
                          <w:b/>
                          <w:i/>
                          <w:color w:val="000000"/>
                          <w:sz w:val="26"/>
                        </w:rPr>
                      </w:pPr>
                      <w:r>
                        <w:rPr>
                          <w:rFonts w:ascii="Segoe UI Semibold" w:hAnsi="Segoe UI Semibold"/>
                          <w:b/>
                          <w:i/>
                          <w:color w:val="000000"/>
                          <w:sz w:val="26"/>
                        </w:rPr>
                        <w:t>mercado</w:t>
                      </w:r>
                      <w:r>
                        <w:rPr>
                          <w:rFonts w:ascii="Segoe UI Semibold" w:hAnsi="Segoe UI Semibold"/>
                          <w:b/>
                          <w:i/>
                          <w:color w:val="000000"/>
                          <w:spacing w:val="-11"/>
                          <w:sz w:val="26"/>
                        </w:rPr>
                        <w:t> </w:t>
                      </w:r>
                      <w:r>
                        <w:rPr>
                          <w:rFonts w:ascii="Segoe UI Semibold" w:hAnsi="Segoe UI Semibold"/>
                          <w:b/>
                          <w:i/>
                          <w:color w:val="000000"/>
                          <w:sz w:val="26"/>
                        </w:rPr>
                        <w:t>internacional,</w:t>
                      </w:r>
                      <w:r>
                        <w:rPr>
                          <w:rFonts w:ascii="Segoe UI Semibold" w:hAnsi="Segoe UI Semibold"/>
                          <w:b/>
                          <w:i/>
                          <w:color w:val="000000"/>
                          <w:spacing w:val="-11"/>
                          <w:sz w:val="26"/>
                        </w:rPr>
                        <w:t> </w:t>
                      </w:r>
                      <w:r>
                        <w:rPr>
                          <w:rFonts w:ascii="Segoe UI Semibold" w:hAnsi="Segoe UI Semibold"/>
                          <w:b/>
                          <w:i/>
                          <w:color w:val="000000"/>
                          <w:sz w:val="26"/>
                        </w:rPr>
                        <w:t>el</w:t>
                      </w:r>
                      <w:r>
                        <w:rPr>
                          <w:rFonts w:ascii="Segoe UI Semibold" w:hAnsi="Segoe UI Semibold"/>
                          <w:b/>
                          <w:i/>
                          <w:color w:val="000000"/>
                          <w:spacing w:val="-10"/>
                          <w:sz w:val="26"/>
                        </w:rPr>
                        <w:t> </w:t>
                      </w:r>
                      <w:r>
                        <w:rPr>
                          <w:rFonts w:ascii="Segoe UI Semibold" w:hAnsi="Segoe UI Semibold"/>
                          <w:b/>
                          <w:i/>
                          <w:color w:val="000000"/>
                          <w:sz w:val="26"/>
                        </w:rPr>
                        <w:t>bloqueo</w:t>
                      </w:r>
                      <w:r>
                        <w:rPr>
                          <w:rFonts w:ascii="Segoe UI Semibold" w:hAnsi="Segoe UI Semibold"/>
                          <w:b/>
                          <w:i/>
                          <w:color w:val="000000"/>
                          <w:spacing w:val="-11"/>
                          <w:sz w:val="26"/>
                        </w:rPr>
                        <w:t> </w:t>
                      </w:r>
                      <w:r>
                        <w:rPr>
                          <w:rFonts w:ascii="Segoe UI Semibold" w:hAnsi="Segoe UI Semibold"/>
                          <w:b/>
                          <w:i/>
                          <w:color w:val="000000"/>
                          <w:sz w:val="26"/>
                        </w:rPr>
                        <w:t>ha</w:t>
                      </w:r>
                      <w:r>
                        <w:rPr>
                          <w:rFonts w:ascii="Segoe UI Semibold" w:hAnsi="Segoe UI Semibold"/>
                          <w:b/>
                          <w:i/>
                          <w:color w:val="000000"/>
                          <w:sz w:val="26"/>
                        </w:rPr>
                        <w:t> provocado perjuicios cuantificables por más de </w:t>
                      </w:r>
                      <w:r>
                        <w:rPr>
                          <w:b/>
                          <w:i/>
                          <w:color w:val="000000"/>
                          <w:sz w:val="26"/>
                        </w:rPr>
                        <w:t>1 billón 337 mil 57</w:t>
                      </w:r>
                      <w:r>
                        <w:rPr>
                          <w:b/>
                          <w:i/>
                          <w:color w:val="000000"/>
                          <w:sz w:val="26"/>
                        </w:rPr>
                        <w:t> millones de dólares</w:t>
                      </w:r>
                      <w:r>
                        <w:rPr>
                          <w:rFonts w:ascii="Segoe UI Semibold" w:hAnsi="Segoe UI Semibold"/>
                          <w:b/>
                          <w:i/>
                          <w:color w:val="000000"/>
                          <w:sz w:val="26"/>
                        </w:rPr>
                        <w:t>, cifra inferior a</w:t>
                      </w:r>
                      <w:r>
                        <w:rPr>
                          <w:rFonts w:ascii="Segoe UI Semibold" w:hAnsi="Segoe UI Semibold"/>
                          <w:b/>
                          <w:i/>
                          <w:color w:val="000000"/>
                          <w:sz w:val="26"/>
                        </w:rPr>
                        <w:t> la reportada en el informe anterior que abarcó de agosto de 2021 a febrero de 2022, en tanto el precio</w:t>
                      </w:r>
                      <w:r>
                        <w:rPr>
                          <w:rFonts w:ascii="Segoe UI Semibold" w:hAnsi="Segoe UI Semibold"/>
                          <w:b/>
                          <w:i/>
                          <w:color w:val="000000"/>
                          <w:sz w:val="26"/>
                        </w:rPr>
                        <w:t> del oro al cierre de febrero de 2023 disminuyó un 4,2% en comparación con el mismo mes de 2022.</w:t>
                      </w:r>
                    </w:p>
                  </w:txbxContent>
                </v:textbox>
                <v:fill type="solid"/>
                <w10:wrap type="none"/>
              </v:shape>
            </w:pict>
          </mc:Fallback>
        </mc:AlternateContent>
      </w:r>
      <w:r>
        <w:rPr>
          <w:color w:val="231F20"/>
        </w:rPr>
        <w:t>Esta política unilateral constituye el </w:t>
      </w:r>
      <w:r>
        <w:rPr>
          <w:color w:val="231F20"/>
          <w:spacing w:val="-4"/>
        </w:rPr>
        <w:t>principal</w:t>
      </w:r>
      <w:r>
        <w:rPr>
          <w:color w:val="231F20"/>
          <w:spacing w:val="-5"/>
        </w:rPr>
        <w:t> </w:t>
      </w:r>
      <w:r>
        <w:rPr>
          <w:color w:val="231F20"/>
          <w:spacing w:val="-4"/>
        </w:rPr>
        <w:t>obstáculo</w:t>
      </w:r>
      <w:r>
        <w:rPr>
          <w:color w:val="231F20"/>
          <w:spacing w:val="-5"/>
        </w:rPr>
        <w:t> </w:t>
      </w:r>
      <w:r>
        <w:rPr>
          <w:color w:val="231F20"/>
          <w:spacing w:val="-4"/>
        </w:rPr>
        <w:t>para</w:t>
      </w:r>
      <w:r>
        <w:rPr>
          <w:color w:val="231F20"/>
          <w:spacing w:val="-5"/>
        </w:rPr>
        <w:t> </w:t>
      </w:r>
      <w:r>
        <w:rPr>
          <w:color w:val="231F20"/>
          <w:spacing w:val="-4"/>
        </w:rPr>
        <w:t>la</w:t>
      </w:r>
      <w:r>
        <w:rPr>
          <w:color w:val="231F20"/>
          <w:spacing w:val="-5"/>
        </w:rPr>
        <w:t> </w:t>
      </w:r>
      <w:r>
        <w:rPr>
          <w:color w:val="231F20"/>
          <w:spacing w:val="-4"/>
        </w:rPr>
        <w:t>implementación </w:t>
      </w:r>
      <w:r>
        <w:rPr>
          <w:color w:val="231F20"/>
          <w:spacing w:val="-2"/>
        </w:rPr>
        <w:t>del</w:t>
      </w:r>
      <w:r>
        <w:rPr>
          <w:color w:val="231F20"/>
          <w:spacing w:val="-15"/>
        </w:rPr>
        <w:t> </w:t>
      </w:r>
      <w:r>
        <w:rPr>
          <w:color w:val="231F20"/>
          <w:spacing w:val="-2"/>
        </w:rPr>
        <w:t>Plan</w:t>
      </w:r>
      <w:r>
        <w:rPr>
          <w:color w:val="231F20"/>
          <w:spacing w:val="-14"/>
        </w:rPr>
        <w:t> </w:t>
      </w:r>
      <w:r>
        <w:rPr>
          <w:color w:val="231F20"/>
          <w:spacing w:val="-2"/>
        </w:rPr>
        <w:t>Nacional</w:t>
      </w:r>
      <w:r>
        <w:rPr>
          <w:color w:val="231F20"/>
          <w:spacing w:val="-15"/>
        </w:rPr>
        <w:t> </w:t>
      </w:r>
      <w:r>
        <w:rPr>
          <w:color w:val="231F20"/>
          <w:spacing w:val="-2"/>
        </w:rPr>
        <w:t>de</w:t>
      </w:r>
      <w:r>
        <w:rPr>
          <w:color w:val="231F20"/>
          <w:spacing w:val="-14"/>
        </w:rPr>
        <w:t> </w:t>
      </w:r>
      <w:r>
        <w:rPr>
          <w:color w:val="231F20"/>
          <w:spacing w:val="-2"/>
        </w:rPr>
        <w:t>Desarrollo</w:t>
      </w:r>
      <w:r>
        <w:rPr>
          <w:color w:val="231F20"/>
          <w:spacing w:val="-15"/>
        </w:rPr>
        <w:t> </w:t>
      </w:r>
      <w:r>
        <w:rPr>
          <w:color w:val="231F20"/>
          <w:spacing w:val="-2"/>
        </w:rPr>
        <w:t>Económico </w:t>
      </w:r>
      <w:r>
        <w:rPr>
          <w:color w:val="231F20"/>
        </w:rPr>
        <w:t>y Social de Cuba hasta 2030 (PNDES), así como para la consecución de la </w:t>
      </w:r>
      <w:r>
        <w:rPr>
          <w:color w:val="231F20"/>
        </w:rPr>
        <w:t>Agenda 2030 y sus Objetivos de Desarrollo Sostenible (ODS).</w:t>
      </w:r>
    </w:p>
    <w:p>
      <w:pPr>
        <w:pStyle w:val="BodyText"/>
        <w:spacing w:before="165"/>
        <w:ind w:left="6349" w:right="1130"/>
      </w:pPr>
      <w:r>
        <w:rPr>
          <w:color w:val="231F20"/>
        </w:rPr>
        <w:t>Pocos temas han logrado aglutinar tanto a la comunidad internacional como la condena</w:t>
      </w:r>
      <w:r>
        <w:rPr>
          <w:color w:val="231F20"/>
          <w:spacing w:val="-11"/>
        </w:rPr>
        <w:t> </w:t>
      </w:r>
      <w:r>
        <w:rPr>
          <w:color w:val="231F20"/>
        </w:rPr>
        <w:t>al</w:t>
      </w:r>
      <w:r>
        <w:rPr>
          <w:color w:val="231F20"/>
          <w:spacing w:val="-11"/>
        </w:rPr>
        <w:t> </w:t>
      </w:r>
      <w:r>
        <w:rPr>
          <w:color w:val="231F20"/>
        </w:rPr>
        <w:t>bloqueo.</w:t>
      </w:r>
      <w:r>
        <w:rPr>
          <w:color w:val="231F20"/>
          <w:spacing w:val="-11"/>
        </w:rPr>
        <w:t> </w:t>
      </w:r>
      <w:r>
        <w:rPr>
          <w:color w:val="231F20"/>
        </w:rPr>
        <w:t>Cada</w:t>
      </w:r>
      <w:r>
        <w:rPr>
          <w:color w:val="231F20"/>
          <w:spacing w:val="-11"/>
        </w:rPr>
        <w:t> </w:t>
      </w:r>
      <w:r>
        <w:rPr>
          <w:color w:val="231F20"/>
        </w:rPr>
        <w:t>vez</w:t>
      </w:r>
      <w:r>
        <w:rPr>
          <w:color w:val="231F20"/>
          <w:spacing w:val="-11"/>
        </w:rPr>
        <w:t> </w:t>
      </w:r>
      <w:r>
        <w:rPr>
          <w:color w:val="231F20"/>
        </w:rPr>
        <w:t>son</w:t>
      </w:r>
      <w:r>
        <w:rPr>
          <w:color w:val="231F20"/>
          <w:spacing w:val="-11"/>
        </w:rPr>
        <w:t> </w:t>
      </w:r>
      <w:r>
        <w:rPr>
          <w:color w:val="231F20"/>
        </w:rPr>
        <w:t>más</w:t>
      </w:r>
      <w:r>
        <w:rPr>
          <w:color w:val="231F20"/>
          <w:spacing w:val="-11"/>
        </w:rPr>
        <w:t> </w:t>
      </w:r>
      <w:r>
        <w:rPr>
          <w:color w:val="231F20"/>
        </w:rPr>
        <w:t>las </w:t>
      </w:r>
      <w:r>
        <w:rPr>
          <w:color w:val="231F20"/>
          <w:spacing w:val="-2"/>
        </w:rPr>
        <w:t>fuerzas</w:t>
      </w:r>
      <w:r>
        <w:rPr>
          <w:color w:val="231F20"/>
          <w:spacing w:val="-13"/>
        </w:rPr>
        <w:t> </w:t>
      </w:r>
      <w:r>
        <w:rPr>
          <w:color w:val="231F20"/>
          <w:spacing w:val="-2"/>
        </w:rPr>
        <w:t>y</w:t>
      </w:r>
      <w:r>
        <w:rPr>
          <w:color w:val="231F20"/>
          <w:spacing w:val="-13"/>
        </w:rPr>
        <w:t> </w:t>
      </w:r>
      <w:r>
        <w:rPr>
          <w:color w:val="231F20"/>
          <w:spacing w:val="-2"/>
        </w:rPr>
        <w:t>actores</w:t>
      </w:r>
      <w:r>
        <w:rPr>
          <w:color w:val="231F20"/>
          <w:spacing w:val="-13"/>
        </w:rPr>
        <w:t> </w:t>
      </w:r>
      <w:r>
        <w:rPr>
          <w:color w:val="231F20"/>
          <w:spacing w:val="-2"/>
        </w:rPr>
        <w:t>alrededor</w:t>
      </w:r>
      <w:r>
        <w:rPr>
          <w:color w:val="231F20"/>
          <w:spacing w:val="-13"/>
        </w:rPr>
        <w:t> </w:t>
      </w:r>
      <w:r>
        <w:rPr>
          <w:color w:val="231F20"/>
          <w:spacing w:val="-2"/>
        </w:rPr>
        <w:t>del</w:t>
      </w:r>
      <w:r>
        <w:rPr>
          <w:color w:val="231F20"/>
          <w:spacing w:val="-13"/>
        </w:rPr>
        <w:t> </w:t>
      </w:r>
      <w:r>
        <w:rPr>
          <w:color w:val="231F20"/>
          <w:spacing w:val="-2"/>
        </w:rPr>
        <w:t>mundo</w:t>
      </w:r>
      <w:r>
        <w:rPr>
          <w:color w:val="231F20"/>
          <w:spacing w:val="-13"/>
        </w:rPr>
        <w:t> </w:t>
      </w:r>
      <w:r>
        <w:rPr>
          <w:color w:val="231F20"/>
          <w:spacing w:val="-2"/>
        </w:rPr>
        <w:t>que </w:t>
      </w:r>
      <w:r>
        <w:rPr>
          <w:color w:val="231F20"/>
        </w:rPr>
        <w:t>asumen la responsabilidad de </w:t>
      </w:r>
      <w:r>
        <w:rPr>
          <w:color w:val="231F20"/>
        </w:rPr>
        <w:t>denunciar esta política inhumana e ilegal en cada oportunidad y en cada escenario. El presente informe pretende ser un aporte a esos esfuerzos.</w:t>
      </w:r>
    </w:p>
    <w:p>
      <w:pPr>
        <w:pStyle w:val="BodyText"/>
        <w:spacing w:before="235"/>
        <w:jc w:val="left"/>
        <w:rPr>
          <w:sz w:val="20"/>
        </w:rPr>
      </w:pPr>
      <w:r>
        <w:rPr/>
        <mc:AlternateContent>
          <mc:Choice Requires="wps">
            <w:drawing>
              <wp:anchor distT="0" distB="0" distL="0" distR="0" allowOverlap="1" layoutInCell="1" locked="0" behindDoc="1" simplePos="0" relativeHeight="487592448">
                <wp:simplePos x="0" y="0"/>
                <wp:positionH relativeFrom="page">
                  <wp:posOffset>5930887</wp:posOffset>
                </wp:positionH>
                <wp:positionV relativeFrom="paragraph">
                  <wp:posOffset>333883</wp:posOffset>
                </wp:positionV>
                <wp:extent cx="909319" cy="26034"/>
                <wp:effectExtent l="0" t="0" r="0" b="0"/>
                <wp:wrapTopAndBottom/>
                <wp:docPr id="19" name="Graphic 19"/>
                <wp:cNvGraphicFramePr>
                  <a:graphicFrameLocks/>
                </wp:cNvGraphicFramePr>
                <a:graphic>
                  <a:graphicData uri="http://schemas.microsoft.com/office/word/2010/wordprocessingShape">
                    <wps:wsp>
                      <wps:cNvPr id="19" name="Graphic 19"/>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466.998993pt;margin-top:26.290001pt;width:71.584pt;height:2.021pt;mso-position-horizontal-relative:page;mso-position-vertical-relative:paragraph;z-index:-15724032;mso-wrap-distance-left:0;mso-wrap-distance-right:0" id="docshape15" filled="true" fillcolor="#b52628" stroked="false">
                <v:fill type="solid"/>
                <w10:wrap type="topAndBottom"/>
              </v:rect>
            </w:pict>
          </mc:Fallback>
        </mc:AlternateContent>
      </w:r>
    </w:p>
    <w:p>
      <w:pPr>
        <w:pStyle w:val="BodyText"/>
        <w:jc w:val="left"/>
      </w:pPr>
    </w:p>
    <w:p>
      <w:pPr>
        <w:pStyle w:val="BodyText"/>
        <w:jc w:val="left"/>
      </w:pPr>
    </w:p>
    <w:p>
      <w:pPr>
        <w:pStyle w:val="BodyText"/>
        <w:jc w:val="left"/>
      </w:pPr>
    </w:p>
    <w:p>
      <w:pPr>
        <w:pStyle w:val="BodyText"/>
        <w:spacing w:before="84"/>
        <w:jc w:val="left"/>
      </w:pPr>
    </w:p>
    <w:p>
      <w:pPr>
        <w:pStyle w:val="BodyText"/>
        <w:ind w:left="1474" w:right="6005"/>
      </w:pPr>
      <w:r>
        <w:rPr>
          <w:color w:val="231F20"/>
        </w:rPr>
        <w:t>Ningún</w:t>
      </w:r>
      <w:r>
        <w:rPr>
          <w:color w:val="231F20"/>
          <w:spacing w:val="40"/>
        </w:rPr>
        <w:t> </w:t>
      </w:r>
      <w:r>
        <w:rPr>
          <w:color w:val="231F20"/>
        </w:rPr>
        <w:t>otro</w:t>
      </w:r>
      <w:r>
        <w:rPr>
          <w:color w:val="231F20"/>
          <w:spacing w:val="40"/>
        </w:rPr>
        <w:t> </w:t>
      </w:r>
      <w:r>
        <w:rPr>
          <w:color w:val="231F20"/>
        </w:rPr>
        <w:t>pueblo</w:t>
      </w:r>
      <w:r>
        <w:rPr>
          <w:color w:val="231F20"/>
          <w:spacing w:val="40"/>
        </w:rPr>
        <w:t> </w:t>
      </w:r>
      <w:r>
        <w:rPr>
          <w:color w:val="231F20"/>
        </w:rPr>
        <w:t>ha</w:t>
      </w:r>
      <w:r>
        <w:rPr>
          <w:color w:val="231F20"/>
          <w:spacing w:val="40"/>
        </w:rPr>
        <w:t> </w:t>
      </w:r>
      <w:r>
        <w:rPr>
          <w:color w:val="231F20"/>
        </w:rPr>
        <w:t>debido</w:t>
      </w:r>
      <w:r>
        <w:rPr>
          <w:color w:val="231F20"/>
          <w:spacing w:val="40"/>
        </w:rPr>
        <w:t> </w:t>
      </w:r>
      <w:r>
        <w:rPr>
          <w:color w:val="231F20"/>
        </w:rPr>
        <w:t>asumir un</w:t>
      </w:r>
      <w:r>
        <w:rPr>
          <w:color w:val="231F20"/>
          <w:spacing w:val="80"/>
          <w:w w:val="150"/>
        </w:rPr>
        <w:t> </w:t>
      </w:r>
      <w:r>
        <w:rPr>
          <w:color w:val="231F20"/>
        </w:rPr>
        <w:t>proyecto</w:t>
      </w:r>
      <w:r>
        <w:rPr>
          <w:color w:val="231F20"/>
          <w:spacing w:val="80"/>
          <w:w w:val="150"/>
        </w:rPr>
        <w:t> </w:t>
      </w:r>
      <w:r>
        <w:rPr>
          <w:color w:val="231F20"/>
        </w:rPr>
        <w:t>social</w:t>
      </w:r>
      <w:r>
        <w:rPr>
          <w:color w:val="231F20"/>
          <w:spacing w:val="80"/>
          <w:w w:val="150"/>
        </w:rPr>
        <w:t> </w:t>
      </w:r>
      <w:r>
        <w:rPr>
          <w:color w:val="231F20"/>
        </w:rPr>
        <w:t>y</w:t>
      </w:r>
      <w:r>
        <w:rPr>
          <w:color w:val="231F20"/>
          <w:spacing w:val="80"/>
          <w:w w:val="150"/>
        </w:rPr>
        <w:t> </w:t>
      </w:r>
      <w:r>
        <w:rPr>
          <w:color w:val="231F20"/>
        </w:rPr>
        <w:t>de</w:t>
      </w:r>
      <w:r>
        <w:rPr>
          <w:color w:val="231F20"/>
          <w:spacing w:val="80"/>
          <w:w w:val="150"/>
        </w:rPr>
        <w:t> </w:t>
      </w:r>
      <w:r>
        <w:rPr>
          <w:color w:val="231F20"/>
        </w:rPr>
        <w:t>desarrollo</w:t>
      </w:r>
      <w:r>
        <w:rPr>
          <w:color w:val="231F20"/>
          <w:spacing w:val="40"/>
        </w:rPr>
        <w:t> </w:t>
      </w:r>
      <w:r>
        <w:rPr>
          <w:color w:val="231F20"/>
        </w:rPr>
        <w:t>en semejantes condiciones, con una hostilidad tan sistemática y prolongada, por parte de la mayor potencia que ha conocido la humanidad. Aun así, bajo las peores</w:t>
      </w:r>
      <w:r>
        <w:rPr>
          <w:color w:val="231F20"/>
          <w:spacing w:val="-3"/>
        </w:rPr>
        <w:t> </w:t>
      </w:r>
      <w:r>
        <w:rPr>
          <w:color w:val="231F20"/>
        </w:rPr>
        <w:t>circunstancias</w:t>
      </w:r>
      <w:r>
        <w:rPr>
          <w:color w:val="231F20"/>
          <w:spacing w:val="-3"/>
        </w:rPr>
        <w:t> </w:t>
      </w:r>
      <w:r>
        <w:rPr>
          <w:color w:val="231F20"/>
        </w:rPr>
        <w:t>y</w:t>
      </w:r>
      <w:r>
        <w:rPr>
          <w:color w:val="231F20"/>
          <w:spacing w:val="-3"/>
        </w:rPr>
        <w:t> </w:t>
      </w:r>
      <w:r>
        <w:rPr>
          <w:color w:val="231F20"/>
        </w:rPr>
        <w:t>las</w:t>
      </w:r>
      <w:r>
        <w:rPr>
          <w:color w:val="231F20"/>
          <w:spacing w:val="-3"/>
        </w:rPr>
        <w:t> </w:t>
      </w:r>
      <w:r>
        <w:rPr>
          <w:color w:val="231F20"/>
        </w:rPr>
        <w:t>más</w:t>
      </w:r>
      <w:r>
        <w:rPr>
          <w:color w:val="231F20"/>
          <w:spacing w:val="-3"/>
        </w:rPr>
        <w:t> </w:t>
      </w:r>
      <w:r>
        <w:rPr>
          <w:color w:val="231F20"/>
        </w:rPr>
        <w:t>criminales presiones, Cuba fue capaz de vencer la severa pandemia de la Covid-19 con sus propios esfuerzos y talento.</w:t>
      </w:r>
    </w:p>
    <w:p>
      <w:pPr>
        <w:pStyle w:val="BodyText"/>
        <w:spacing w:before="168"/>
        <w:ind w:left="1474" w:right="6006"/>
      </w:pPr>
      <w:r>
        <w:rPr>
          <w:color w:val="231F20"/>
        </w:rPr>
        <w:t>El bloqueo constituye una </w:t>
      </w:r>
      <w:r>
        <w:rPr>
          <w:color w:val="231F20"/>
        </w:rPr>
        <w:t>violación masiva, flagrante y sistemática de los derechos humanos de todas las cubanas</w:t>
      </w:r>
      <w:r>
        <w:rPr>
          <w:color w:val="231F20"/>
          <w:spacing w:val="40"/>
        </w:rPr>
        <w:t> </w:t>
      </w:r>
      <w:r>
        <w:rPr>
          <w:color w:val="231F20"/>
        </w:rPr>
        <w:t>y</w:t>
      </w:r>
      <w:r>
        <w:rPr>
          <w:color w:val="231F20"/>
          <w:spacing w:val="-14"/>
        </w:rPr>
        <w:t> </w:t>
      </w:r>
      <w:r>
        <w:rPr>
          <w:color w:val="231F20"/>
        </w:rPr>
        <w:t>cubanos.</w:t>
      </w:r>
      <w:r>
        <w:rPr>
          <w:color w:val="231F20"/>
          <w:spacing w:val="-14"/>
        </w:rPr>
        <w:t> </w:t>
      </w:r>
      <w:r>
        <w:rPr>
          <w:color w:val="231F20"/>
        </w:rPr>
        <w:t>Por</w:t>
      </w:r>
      <w:r>
        <w:rPr>
          <w:color w:val="231F20"/>
          <w:spacing w:val="-14"/>
        </w:rPr>
        <w:t> </w:t>
      </w:r>
      <w:r>
        <w:rPr>
          <w:color w:val="231F20"/>
        </w:rPr>
        <w:t>su</w:t>
      </w:r>
      <w:r>
        <w:rPr>
          <w:color w:val="231F20"/>
          <w:spacing w:val="-14"/>
        </w:rPr>
        <w:t> </w:t>
      </w:r>
      <w:r>
        <w:rPr>
          <w:color w:val="231F20"/>
        </w:rPr>
        <w:t>declarado</w:t>
      </w:r>
      <w:r>
        <w:rPr>
          <w:color w:val="231F20"/>
          <w:spacing w:val="-15"/>
        </w:rPr>
        <w:t> </w:t>
      </w:r>
      <w:r>
        <w:rPr>
          <w:color w:val="231F20"/>
        </w:rPr>
        <w:t>propósito</w:t>
      </w:r>
      <w:r>
        <w:rPr>
          <w:color w:val="231F20"/>
          <w:spacing w:val="-15"/>
        </w:rPr>
        <w:t> </w:t>
      </w:r>
      <w:r>
        <w:rPr>
          <w:color w:val="231F20"/>
        </w:rPr>
        <w:t>y</w:t>
      </w:r>
      <w:r>
        <w:rPr>
          <w:color w:val="231F20"/>
          <w:spacing w:val="-14"/>
        </w:rPr>
        <w:t> </w:t>
      </w:r>
      <w:r>
        <w:rPr>
          <w:color w:val="231F20"/>
        </w:rPr>
        <w:t>el andamiaje político, legal y administrativo </w:t>
      </w:r>
      <w:r>
        <w:rPr>
          <w:color w:val="231F20"/>
          <w:spacing w:val="-2"/>
        </w:rPr>
        <w:t>en</w:t>
      </w:r>
      <w:r>
        <w:rPr>
          <w:color w:val="231F20"/>
          <w:spacing w:val="-15"/>
        </w:rPr>
        <w:t> </w:t>
      </w:r>
      <w:r>
        <w:rPr>
          <w:color w:val="231F20"/>
          <w:spacing w:val="-2"/>
        </w:rPr>
        <w:t>el</w:t>
      </w:r>
      <w:r>
        <w:rPr>
          <w:color w:val="231F20"/>
          <w:spacing w:val="-14"/>
        </w:rPr>
        <w:t> </w:t>
      </w:r>
      <w:r>
        <w:rPr>
          <w:color w:val="231F20"/>
          <w:spacing w:val="-2"/>
        </w:rPr>
        <w:t>que</w:t>
      </w:r>
      <w:r>
        <w:rPr>
          <w:color w:val="231F20"/>
          <w:spacing w:val="-15"/>
        </w:rPr>
        <w:t> </w:t>
      </w:r>
      <w:r>
        <w:rPr>
          <w:color w:val="231F20"/>
          <w:spacing w:val="-2"/>
        </w:rPr>
        <w:t>se</w:t>
      </w:r>
      <w:r>
        <w:rPr>
          <w:color w:val="231F20"/>
          <w:spacing w:val="-14"/>
        </w:rPr>
        <w:t> </w:t>
      </w:r>
      <w:r>
        <w:rPr>
          <w:color w:val="231F20"/>
          <w:spacing w:val="-2"/>
        </w:rPr>
        <w:t>sustenta,</w:t>
      </w:r>
      <w:r>
        <w:rPr>
          <w:color w:val="231F20"/>
          <w:spacing w:val="-15"/>
        </w:rPr>
        <w:t> </w:t>
      </w:r>
      <w:r>
        <w:rPr>
          <w:color w:val="231F20"/>
          <w:spacing w:val="-2"/>
        </w:rPr>
        <w:t>califica</w:t>
      </w:r>
      <w:r>
        <w:rPr>
          <w:color w:val="231F20"/>
          <w:spacing w:val="-14"/>
        </w:rPr>
        <w:t> </w:t>
      </w:r>
      <w:r>
        <w:rPr>
          <w:color w:val="231F20"/>
          <w:spacing w:val="-2"/>
        </w:rPr>
        <w:t>como</w:t>
      </w:r>
      <w:r>
        <w:rPr>
          <w:color w:val="231F20"/>
          <w:spacing w:val="-15"/>
        </w:rPr>
        <w:t> </w:t>
      </w:r>
      <w:r>
        <w:rPr>
          <w:color w:val="231F20"/>
          <w:spacing w:val="-2"/>
        </w:rPr>
        <w:t>un</w:t>
      </w:r>
      <w:r>
        <w:rPr>
          <w:color w:val="231F20"/>
          <w:spacing w:val="-14"/>
        </w:rPr>
        <w:t> </w:t>
      </w:r>
      <w:r>
        <w:rPr>
          <w:color w:val="231F20"/>
          <w:spacing w:val="-2"/>
        </w:rPr>
        <w:t>acto </w:t>
      </w:r>
      <w:r>
        <w:rPr>
          <w:color w:val="231F20"/>
        </w:rPr>
        <w:t>de genocidio a tenor de la Convención para</w:t>
      </w:r>
      <w:r>
        <w:rPr>
          <w:color w:val="231F20"/>
          <w:spacing w:val="-8"/>
        </w:rPr>
        <w:t> </w:t>
      </w:r>
      <w:r>
        <w:rPr>
          <w:color w:val="231F20"/>
        </w:rPr>
        <w:t>la</w:t>
      </w:r>
      <w:r>
        <w:rPr>
          <w:color w:val="231F20"/>
          <w:spacing w:val="-8"/>
        </w:rPr>
        <w:t> </w:t>
      </w:r>
      <w:r>
        <w:rPr>
          <w:color w:val="231F20"/>
        </w:rPr>
        <w:t>Prevención</w:t>
      </w:r>
      <w:r>
        <w:rPr>
          <w:color w:val="231F20"/>
          <w:spacing w:val="-8"/>
        </w:rPr>
        <w:t> </w:t>
      </w:r>
      <w:r>
        <w:rPr>
          <w:color w:val="231F20"/>
        </w:rPr>
        <w:t>y</w:t>
      </w:r>
      <w:r>
        <w:rPr>
          <w:color w:val="231F20"/>
          <w:spacing w:val="-8"/>
        </w:rPr>
        <w:t> </w:t>
      </w:r>
      <w:r>
        <w:rPr>
          <w:color w:val="231F20"/>
        </w:rPr>
        <w:t>Sanción</w:t>
      </w:r>
      <w:r>
        <w:rPr>
          <w:color w:val="231F20"/>
          <w:spacing w:val="-8"/>
        </w:rPr>
        <w:t> </w:t>
      </w:r>
      <w:r>
        <w:rPr>
          <w:color w:val="231F20"/>
        </w:rPr>
        <w:t>del</w:t>
      </w:r>
      <w:r>
        <w:rPr>
          <w:color w:val="231F20"/>
          <w:spacing w:val="-8"/>
        </w:rPr>
        <w:t> </w:t>
      </w:r>
      <w:r>
        <w:rPr>
          <w:color w:val="231F20"/>
        </w:rPr>
        <w:t>Delito</w:t>
      </w:r>
      <w:r>
        <w:rPr>
          <w:color w:val="231F20"/>
          <w:spacing w:val="-8"/>
        </w:rPr>
        <w:t> </w:t>
      </w:r>
      <w:r>
        <w:rPr>
          <w:color w:val="231F20"/>
        </w:rPr>
        <w:t>de Genocidio de 1948.</w:t>
      </w:r>
    </w:p>
    <w:p>
      <w:pPr>
        <w:spacing w:after="0"/>
        <w:sectPr>
          <w:pgSz w:w="11910" w:h="16840"/>
          <w:pgMar w:header="0" w:footer="695" w:top="1260" w:bottom="880" w:left="0" w:right="0"/>
        </w:sectPr>
      </w:pPr>
    </w:p>
    <w:p>
      <w:pPr>
        <w:pStyle w:val="BodyText"/>
        <w:spacing w:before="568"/>
        <w:jc w:val="left"/>
        <w:rPr>
          <w:sz w:val="56"/>
        </w:rPr>
      </w:pPr>
    </w:p>
    <w:p>
      <w:pPr>
        <w:pStyle w:val="Heading1"/>
        <w:spacing w:line="220" w:lineRule="auto"/>
        <w:ind w:right="5894"/>
      </w:pPr>
      <w:r>
        <w:rPr/>
        <mc:AlternateContent>
          <mc:Choice Requires="wps">
            <w:drawing>
              <wp:anchor distT="0" distB="0" distL="0" distR="0" allowOverlap="1" layoutInCell="1" locked="0" behindDoc="1" simplePos="0" relativeHeight="485758976">
                <wp:simplePos x="0" y="0"/>
                <wp:positionH relativeFrom="page">
                  <wp:posOffset>624240</wp:posOffset>
                </wp:positionH>
                <wp:positionV relativeFrom="paragraph">
                  <wp:posOffset>-782554</wp:posOffset>
                </wp:positionV>
                <wp:extent cx="1296035" cy="1544955"/>
                <wp:effectExtent l="0" t="0" r="0" b="0"/>
                <wp:wrapNone/>
                <wp:docPr id="20" name="Textbox 20"/>
                <wp:cNvGraphicFramePr>
                  <a:graphicFrameLocks/>
                </wp:cNvGraphicFramePr>
                <a:graphic>
                  <a:graphicData uri="http://schemas.microsoft.com/office/word/2010/wordprocessingShape">
                    <wps:wsp>
                      <wps:cNvPr id="20" name="Textbox 20"/>
                      <wps:cNvSpPr txBox="1"/>
                      <wps:spPr>
                        <a:xfrm>
                          <a:off x="0" y="0"/>
                          <a:ext cx="1296035"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58"/>
                                <w:w w:val="132"/>
                                <w:sz w:val="243"/>
                              </w:rPr>
                              <w:t>0</w:t>
                            </w:r>
                            <w:r>
                              <w:rPr>
                                <w:rFonts w:ascii="Arial"/>
                                <w:color w:val="B3B4CF"/>
                                <w:spacing w:val="-627"/>
                                <w:w w:val="68"/>
                                <w:sz w:val="243"/>
                              </w:rPr>
                              <w:t>1</w:t>
                            </w:r>
                          </w:p>
                        </w:txbxContent>
                      </wps:txbx>
                      <wps:bodyPr wrap="square" lIns="0" tIns="0" rIns="0" bIns="0" rtlCol="0">
                        <a:noAutofit/>
                      </wps:bodyPr>
                    </wps:wsp>
                  </a:graphicData>
                </a:graphic>
              </wp:anchor>
            </w:drawing>
          </mc:Choice>
          <mc:Fallback>
            <w:pict>
              <v:shape style="position:absolute;margin-left:49.152802pt;margin-top:-61.618481pt;width:102.05pt;height:121.65pt;mso-position-horizontal-relative:page;mso-position-vertical-relative:paragraph;z-index:-17557504" type="#_x0000_t202" id="docshape16" filled="false" stroked="false">
                <v:textbox inset="0,0,0,0">
                  <w:txbxContent>
                    <w:p>
                      <w:pPr>
                        <w:spacing w:line="2432" w:lineRule="exact" w:before="0"/>
                        <w:ind w:left="0" w:right="0" w:firstLine="0"/>
                        <w:jc w:val="left"/>
                        <w:rPr>
                          <w:rFonts w:ascii="Arial"/>
                          <w:sz w:val="243"/>
                        </w:rPr>
                      </w:pPr>
                      <w:r>
                        <w:rPr>
                          <w:rFonts w:ascii="Arial"/>
                          <w:color w:val="B3B4CF"/>
                          <w:spacing w:val="-58"/>
                          <w:w w:val="132"/>
                          <w:sz w:val="243"/>
                        </w:rPr>
                        <w:t>0</w:t>
                      </w:r>
                      <w:r>
                        <w:rPr>
                          <w:rFonts w:ascii="Arial"/>
                          <w:color w:val="B3B4CF"/>
                          <w:spacing w:val="-627"/>
                          <w:w w:val="68"/>
                          <w:sz w:val="243"/>
                        </w:rPr>
                        <w:t>1</w:t>
                      </w:r>
                    </w:p>
                  </w:txbxContent>
                </v:textbox>
                <w10:wrap type="none"/>
              </v:shape>
            </w:pict>
          </mc:Fallback>
        </mc:AlternateContent>
      </w:r>
      <w:r>
        <w:rPr>
          <w:color w:val="B52628"/>
          <w:w w:val="115"/>
        </w:rPr>
        <w:t>Continuidad y </w:t>
      </w:r>
      <w:r>
        <w:rPr>
          <w:color w:val="B52628"/>
          <w:spacing w:val="-2"/>
          <w:w w:val="110"/>
        </w:rPr>
        <w:t>recrudecimiento </w:t>
      </w:r>
      <w:r>
        <w:rPr>
          <w:color w:val="B52628"/>
          <w:w w:val="115"/>
        </w:rPr>
        <w:t>de la política</w:t>
      </w:r>
    </w:p>
    <w:p>
      <w:pPr>
        <w:spacing w:line="614" w:lineRule="exact" w:before="0"/>
        <w:ind w:left="1133" w:right="0" w:firstLine="0"/>
        <w:jc w:val="left"/>
        <w:rPr>
          <w:rFonts w:ascii="Trebuchet MS"/>
          <w:sz w:val="56"/>
        </w:rPr>
      </w:pPr>
      <w:r>
        <w:rPr>
          <w:rFonts w:ascii="Trebuchet MS"/>
          <w:color w:val="B52628"/>
          <w:w w:val="115"/>
          <w:sz w:val="56"/>
        </w:rPr>
        <w:t>de</w:t>
      </w:r>
      <w:r>
        <w:rPr>
          <w:rFonts w:ascii="Trebuchet MS"/>
          <w:color w:val="B52628"/>
          <w:spacing w:val="-34"/>
          <w:w w:val="115"/>
          <w:sz w:val="56"/>
        </w:rPr>
        <w:t> </w:t>
      </w:r>
      <w:r>
        <w:rPr>
          <w:rFonts w:ascii="Trebuchet MS"/>
          <w:color w:val="B52628"/>
          <w:spacing w:val="-2"/>
          <w:w w:val="115"/>
          <w:sz w:val="56"/>
        </w:rPr>
        <w:t>bloqueo</w:t>
      </w:r>
    </w:p>
    <w:p>
      <w:pPr>
        <w:pStyle w:val="BodyText"/>
        <w:spacing w:before="5"/>
        <w:jc w:val="left"/>
        <w:rPr>
          <w:rFonts w:ascii="Trebuchet MS"/>
          <w:sz w:val="20"/>
        </w:rPr>
      </w:pPr>
      <w:r>
        <w:rPr/>
        <mc:AlternateContent>
          <mc:Choice Requires="wps">
            <w:drawing>
              <wp:anchor distT="0" distB="0" distL="0" distR="0" allowOverlap="1" layoutInCell="1" locked="0" behindDoc="1" simplePos="0" relativeHeight="487593472">
                <wp:simplePos x="0" y="0"/>
                <wp:positionH relativeFrom="page">
                  <wp:posOffset>720001</wp:posOffset>
                </wp:positionH>
                <wp:positionV relativeFrom="paragraph">
                  <wp:posOffset>166362</wp:posOffset>
                </wp:positionV>
                <wp:extent cx="909319" cy="26034"/>
                <wp:effectExtent l="0" t="0" r="0" b="0"/>
                <wp:wrapTopAndBottom/>
                <wp:docPr id="21" name="Graphic 21"/>
                <wp:cNvGraphicFramePr>
                  <a:graphicFrameLocks/>
                </wp:cNvGraphicFramePr>
                <a:graphic>
                  <a:graphicData uri="http://schemas.microsoft.com/office/word/2010/wordprocessingShape">
                    <wps:wsp>
                      <wps:cNvPr id="21" name="Graphic 21"/>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56.693001pt;margin-top:13.099375pt;width:71.584pt;height:2.021pt;mso-position-horizontal-relative:page;mso-position-vertical-relative:paragraph;z-index:-15723008;mso-wrap-distance-left:0;mso-wrap-distance-right:0" id="docshape17" filled="true" fillcolor="#1f4282" stroked="false">
                <v:fill type="solid"/>
                <w10:wrap type="topAndBottom"/>
              </v:rect>
            </w:pict>
          </mc:Fallback>
        </mc:AlternateContent>
      </w:r>
    </w:p>
    <w:p>
      <w:pPr>
        <w:pStyle w:val="BodyText"/>
        <w:spacing w:before="12"/>
        <w:jc w:val="left"/>
        <w:rPr>
          <w:rFonts w:ascii="Trebuchet MS"/>
          <w:sz w:val="20"/>
        </w:rPr>
      </w:pPr>
    </w:p>
    <w:p>
      <w:pPr>
        <w:spacing w:after="0"/>
        <w:jc w:val="left"/>
        <w:rPr>
          <w:rFonts w:ascii="Trebuchet MS"/>
          <w:sz w:val="20"/>
        </w:rPr>
        <w:sectPr>
          <w:pgSz w:w="11910" w:h="16840"/>
          <w:pgMar w:header="0" w:footer="695" w:top="800" w:bottom="880" w:left="0" w:right="0"/>
        </w:sectPr>
      </w:pPr>
    </w:p>
    <w:p>
      <w:pPr>
        <w:pStyle w:val="Heading2"/>
        <w:spacing w:line="256" w:lineRule="auto" w:before="101"/>
      </w:pPr>
      <w:r>
        <w:rPr>
          <w:color w:val="1F4282"/>
          <w:w w:val="115"/>
        </w:rPr>
        <w:t>Vigencia de las leyes del bloqueo</w:t>
      </w:r>
      <w:r>
        <w:rPr>
          <w:color w:val="1F4282"/>
          <w:spacing w:val="-22"/>
          <w:w w:val="115"/>
        </w:rPr>
        <w:t> </w:t>
      </w:r>
      <w:r>
        <w:rPr>
          <w:color w:val="1F4282"/>
          <w:w w:val="115"/>
        </w:rPr>
        <w:t>económico,</w:t>
      </w:r>
      <w:r>
        <w:rPr>
          <w:color w:val="1F4282"/>
          <w:spacing w:val="-21"/>
          <w:w w:val="115"/>
        </w:rPr>
        <w:t> </w:t>
      </w:r>
      <w:r>
        <w:rPr>
          <w:color w:val="1F4282"/>
          <w:w w:val="115"/>
        </w:rPr>
        <w:t>comercial y financiero</w:t>
      </w:r>
    </w:p>
    <w:p>
      <w:pPr>
        <w:pStyle w:val="BodyText"/>
        <w:spacing w:before="110"/>
        <w:ind w:left="1133" w:right="1"/>
      </w:pPr>
      <w:r>
        <w:rPr>
          <w:color w:val="231F20"/>
        </w:rPr>
        <w:t>Contrario a lo que dispone la </w:t>
      </w:r>
      <w:r>
        <w:rPr>
          <w:color w:val="231F20"/>
        </w:rPr>
        <w:t>resolución A/RES/77/7</w:t>
      </w:r>
      <w:r>
        <w:rPr>
          <w:color w:val="231F20"/>
          <w:spacing w:val="-12"/>
        </w:rPr>
        <w:t> </w:t>
      </w:r>
      <w:r>
        <w:rPr>
          <w:color w:val="231F20"/>
        </w:rPr>
        <w:t>de</w:t>
      </w:r>
      <w:r>
        <w:rPr>
          <w:color w:val="231F20"/>
          <w:spacing w:val="-12"/>
        </w:rPr>
        <w:t> </w:t>
      </w:r>
      <w:r>
        <w:rPr>
          <w:color w:val="231F20"/>
        </w:rPr>
        <w:t>la</w:t>
      </w:r>
      <w:r>
        <w:rPr>
          <w:color w:val="231F20"/>
          <w:spacing w:val="-12"/>
        </w:rPr>
        <w:t> </w:t>
      </w:r>
      <w:r>
        <w:rPr>
          <w:color w:val="231F20"/>
        </w:rPr>
        <w:t>Asamblea</w:t>
      </w:r>
      <w:r>
        <w:rPr>
          <w:color w:val="231F20"/>
          <w:spacing w:val="-12"/>
        </w:rPr>
        <w:t> </w:t>
      </w:r>
      <w:r>
        <w:rPr>
          <w:color w:val="231F20"/>
        </w:rPr>
        <w:t>General</w:t>
      </w:r>
      <w:r>
        <w:rPr>
          <w:color w:val="231F20"/>
          <w:spacing w:val="-12"/>
        </w:rPr>
        <w:t> </w:t>
      </w:r>
      <w:r>
        <w:rPr>
          <w:color w:val="231F20"/>
        </w:rPr>
        <w:t>de</w:t>
      </w:r>
      <w:r>
        <w:rPr>
          <w:color w:val="231F20"/>
          <w:spacing w:val="-12"/>
        </w:rPr>
        <w:t> </w:t>
      </w:r>
      <w:r>
        <w:rPr>
          <w:color w:val="231F20"/>
        </w:rPr>
        <w:t>las Naciones Unidas, las agencias estaduales y</w:t>
      </w:r>
      <w:r>
        <w:rPr>
          <w:color w:val="231F20"/>
          <w:spacing w:val="-15"/>
        </w:rPr>
        <w:t> </w:t>
      </w:r>
      <w:r>
        <w:rPr>
          <w:color w:val="231F20"/>
        </w:rPr>
        <w:t>gubernamentales</w:t>
      </w:r>
      <w:r>
        <w:rPr>
          <w:color w:val="231F20"/>
          <w:spacing w:val="-15"/>
        </w:rPr>
        <w:t> </w:t>
      </w:r>
      <w:r>
        <w:rPr>
          <w:color w:val="231F20"/>
        </w:rPr>
        <w:t>de</w:t>
      </w:r>
      <w:r>
        <w:rPr>
          <w:color w:val="231F20"/>
          <w:spacing w:val="-15"/>
        </w:rPr>
        <w:t> </w:t>
      </w:r>
      <w:r>
        <w:rPr>
          <w:color w:val="231F20"/>
        </w:rPr>
        <w:t>los</w:t>
      </w:r>
      <w:r>
        <w:rPr>
          <w:color w:val="231F20"/>
          <w:spacing w:val="-15"/>
        </w:rPr>
        <w:t> </w:t>
      </w:r>
      <w:r>
        <w:rPr>
          <w:color w:val="231F20"/>
        </w:rPr>
        <w:t>Estados</w:t>
      </w:r>
      <w:r>
        <w:rPr>
          <w:color w:val="231F20"/>
          <w:spacing w:val="-15"/>
        </w:rPr>
        <w:t> </w:t>
      </w:r>
      <w:r>
        <w:rPr>
          <w:color w:val="231F20"/>
        </w:rPr>
        <w:t>Unidos, incluidos los Departamentos de Estado, Tesoro y Comercio de ese país, aplican con estricto rigor las disposiciones que conforman</w:t>
      </w:r>
      <w:r>
        <w:rPr>
          <w:color w:val="231F20"/>
          <w:spacing w:val="40"/>
        </w:rPr>
        <w:t> </w:t>
      </w:r>
      <w:r>
        <w:rPr>
          <w:color w:val="231F20"/>
        </w:rPr>
        <w:t>el</w:t>
      </w:r>
      <w:r>
        <w:rPr>
          <w:color w:val="231F20"/>
          <w:spacing w:val="40"/>
        </w:rPr>
        <w:t> </w:t>
      </w:r>
      <w:r>
        <w:rPr>
          <w:color w:val="231F20"/>
        </w:rPr>
        <w:t>bloqueo</w:t>
      </w:r>
      <w:r>
        <w:rPr>
          <w:color w:val="231F20"/>
          <w:spacing w:val="40"/>
        </w:rPr>
        <w:t> </w:t>
      </w:r>
      <w:r>
        <w:rPr>
          <w:color w:val="231F20"/>
        </w:rPr>
        <w:t>contra</w:t>
      </w:r>
      <w:r>
        <w:rPr>
          <w:color w:val="231F20"/>
          <w:spacing w:val="40"/>
        </w:rPr>
        <w:t> </w:t>
      </w:r>
      <w:r>
        <w:rPr>
          <w:color w:val="231F20"/>
        </w:rPr>
        <w:t>Cuba.</w:t>
      </w:r>
      <w:r>
        <w:rPr>
          <w:color w:val="231F20"/>
          <w:spacing w:val="40"/>
        </w:rPr>
        <w:t> </w:t>
      </w:r>
      <w:r>
        <w:rPr>
          <w:color w:val="231F20"/>
        </w:rPr>
        <w:t>En el período que comprende este Informe, se mantuvieron vigentes las leyes y regulaciones estadounidenses siguientes:</w:t>
      </w:r>
    </w:p>
    <w:p>
      <w:pPr>
        <w:pStyle w:val="BodyText"/>
        <w:spacing w:before="168"/>
        <w:ind w:left="1394" w:hanging="261"/>
      </w:pPr>
      <w:r>
        <w:rPr>
          <w:position w:val="3"/>
        </w:rPr>
        <w:drawing>
          <wp:inline distT="0" distB="0" distL="0" distR="0">
            <wp:extent cx="59207" cy="59207"/>
            <wp:effectExtent l="0" t="0" r="0" b="0"/>
            <wp:docPr id="22" name="Image 22"/>
            <wp:cNvGraphicFramePr>
              <a:graphicFrameLocks/>
            </wp:cNvGraphicFramePr>
            <a:graphic>
              <a:graphicData uri="http://schemas.openxmlformats.org/drawingml/2006/picture">
                <pic:pic>
                  <pic:nvPicPr>
                    <pic:cNvPr id="22" name="Image 22"/>
                    <pic:cNvPicPr/>
                  </pic:nvPicPr>
                  <pic:blipFill>
                    <a:blip r:embed="rId7"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rFonts w:ascii="Segoe UI Semibold" w:hAnsi="Segoe UI Semibold"/>
          <w:b/>
          <w:color w:val="1A4796"/>
        </w:rPr>
        <w:t>Ley de Comercio con el Enemigo (1917): </w:t>
      </w:r>
      <w:r>
        <w:rPr>
          <w:color w:val="231F20"/>
        </w:rPr>
        <w:t>Su sección 5 (b) delegó en el máximo</w:t>
      </w:r>
      <w:r>
        <w:rPr>
          <w:color w:val="231F20"/>
          <w:spacing w:val="-10"/>
        </w:rPr>
        <w:t> </w:t>
      </w:r>
      <w:r>
        <w:rPr>
          <w:color w:val="231F20"/>
        </w:rPr>
        <w:t>jefe</w:t>
      </w:r>
      <w:r>
        <w:rPr>
          <w:color w:val="231F20"/>
          <w:spacing w:val="-10"/>
        </w:rPr>
        <w:t> </w:t>
      </w:r>
      <w:r>
        <w:rPr>
          <w:color w:val="231F20"/>
        </w:rPr>
        <w:t>del</w:t>
      </w:r>
      <w:r>
        <w:rPr>
          <w:color w:val="231F20"/>
          <w:spacing w:val="-10"/>
        </w:rPr>
        <w:t> </w:t>
      </w:r>
      <w:r>
        <w:rPr>
          <w:color w:val="231F20"/>
        </w:rPr>
        <w:t>Ejecutivo</w:t>
      </w:r>
      <w:r>
        <w:rPr>
          <w:color w:val="231F20"/>
          <w:spacing w:val="-10"/>
        </w:rPr>
        <w:t> </w:t>
      </w:r>
      <w:r>
        <w:rPr>
          <w:color w:val="231F20"/>
        </w:rPr>
        <w:t>la</w:t>
      </w:r>
      <w:r>
        <w:rPr>
          <w:color w:val="231F20"/>
          <w:spacing w:val="-10"/>
        </w:rPr>
        <w:t> </w:t>
      </w:r>
      <w:r>
        <w:rPr>
          <w:color w:val="231F20"/>
        </w:rPr>
        <w:t>posibilidad de aplicar medidas coercitivas en tiempo de guerra o en cualquier otro período de emergencia nacional y prohibió el comercio con el enemigo o aliados del enemigo durante conflictos bélicos. A pesar de que en 1977 la Ley de</w:t>
      </w:r>
      <w:r>
        <w:rPr>
          <w:color w:val="231F20"/>
          <w:spacing w:val="-5"/>
        </w:rPr>
        <w:t> </w:t>
      </w:r>
      <w:r>
        <w:rPr>
          <w:color w:val="231F20"/>
        </w:rPr>
        <w:t>Poderes</w:t>
      </w:r>
      <w:r>
        <w:rPr>
          <w:color w:val="231F20"/>
          <w:spacing w:val="-6"/>
        </w:rPr>
        <w:t> </w:t>
      </w:r>
      <w:r>
        <w:rPr>
          <w:color w:val="231F20"/>
        </w:rPr>
        <w:t>Económicos</w:t>
      </w:r>
      <w:r>
        <w:rPr>
          <w:color w:val="231F20"/>
          <w:spacing w:val="-6"/>
        </w:rPr>
        <w:t> </w:t>
      </w:r>
      <w:r>
        <w:rPr>
          <w:color w:val="231F20"/>
        </w:rPr>
        <w:t>de</w:t>
      </w:r>
      <w:r>
        <w:rPr>
          <w:color w:val="231F20"/>
          <w:spacing w:val="-5"/>
        </w:rPr>
        <w:t> </w:t>
      </w:r>
      <w:r>
        <w:rPr>
          <w:color w:val="231F20"/>
        </w:rPr>
        <w:t>Emergencia Internacional restringió las facultades del Presidente para imponer medidas en base a “situaciones de emergencia nacional”,</w:t>
      </w:r>
      <w:r>
        <w:rPr>
          <w:color w:val="231F20"/>
          <w:spacing w:val="40"/>
        </w:rPr>
        <w:t> </w:t>
      </w:r>
      <w:r>
        <w:rPr>
          <w:color w:val="231F20"/>
        </w:rPr>
        <w:t>continuó</w:t>
      </w:r>
      <w:r>
        <w:rPr>
          <w:color w:val="231F20"/>
          <w:spacing w:val="40"/>
        </w:rPr>
        <w:t> </w:t>
      </w:r>
      <w:r>
        <w:rPr>
          <w:color w:val="231F20"/>
        </w:rPr>
        <w:t>la</w:t>
      </w:r>
      <w:r>
        <w:rPr>
          <w:color w:val="231F20"/>
          <w:spacing w:val="40"/>
        </w:rPr>
        <w:t> </w:t>
      </w:r>
      <w:r>
        <w:rPr>
          <w:color w:val="231F20"/>
        </w:rPr>
        <w:t>aplicación</w:t>
      </w:r>
      <w:r>
        <w:rPr>
          <w:color w:val="231F20"/>
          <w:spacing w:val="40"/>
        </w:rPr>
        <w:t> </w:t>
      </w:r>
      <w:r>
        <w:rPr>
          <w:color w:val="231F20"/>
        </w:rPr>
        <w:t>de</w:t>
      </w:r>
      <w:r>
        <w:rPr>
          <w:color w:val="231F20"/>
          <w:spacing w:val="80"/>
        </w:rPr>
        <w:t> </w:t>
      </w:r>
      <w:r>
        <w:rPr>
          <w:color w:val="231F20"/>
        </w:rPr>
        <w:t>la Ley de Comercio con el Enemigo para Cuba, sin declaración de una emergencia nacional.</w:t>
      </w:r>
    </w:p>
    <w:p>
      <w:pPr>
        <w:spacing w:line="240" w:lineRule="auto" w:before="0"/>
        <w:rPr>
          <w:sz w:val="24"/>
        </w:rPr>
      </w:pPr>
      <w:r>
        <w:rPr/>
        <w:br w:type="column"/>
      </w:r>
      <w:r>
        <w:rPr>
          <w:sz w:val="24"/>
        </w:rPr>
      </w:r>
    </w:p>
    <w:p>
      <w:pPr>
        <w:pStyle w:val="BodyText"/>
        <w:jc w:val="left"/>
      </w:pPr>
    </w:p>
    <w:p>
      <w:pPr>
        <w:pStyle w:val="BodyText"/>
        <w:spacing w:before="270"/>
        <w:jc w:val="left"/>
      </w:pPr>
    </w:p>
    <w:p>
      <w:pPr>
        <w:pStyle w:val="BodyText"/>
        <w:ind w:left="670" w:right="1479"/>
      </w:pPr>
      <w:r>
        <w:rPr>
          <w:rFonts w:ascii="Segoe UI Semibold" w:hAnsi="Segoe UI Semibold"/>
          <w:b/>
          <w:color w:val="1A4796"/>
        </w:rPr>
        <w:t>Ley de Asistencia Exterior </w:t>
      </w:r>
      <w:r>
        <w:rPr>
          <w:rFonts w:ascii="Segoe UI Semibold" w:hAnsi="Segoe UI Semibold"/>
          <w:b/>
          <w:color w:val="1A4796"/>
        </w:rPr>
        <w:t>(1961): </w:t>
      </w:r>
      <w:r>
        <w:rPr>
          <w:color w:val="231F20"/>
        </w:rPr>
        <w:t>Autorizó al Presidente de los Estados Unidos a establecer y mantener un “embargo” total al comercio con Cuba y</w:t>
      </w:r>
      <w:r>
        <w:rPr>
          <w:color w:val="231F20"/>
          <w:spacing w:val="-17"/>
        </w:rPr>
        <w:t> </w:t>
      </w:r>
      <w:r>
        <w:rPr>
          <w:color w:val="231F20"/>
        </w:rPr>
        <w:t>prohibió</w:t>
      </w:r>
      <w:r>
        <w:rPr>
          <w:color w:val="231F20"/>
          <w:spacing w:val="-16"/>
        </w:rPr>
        <w:t> </w:t>
      </w:r>
      <w:r>
        <w:rPr>
          <w:color w:val="231F20"/>
        </w:rPr>
        <w:t>el</w:t>
      </w:r>
      <w:r>
        <w:rPr>
          <w:color w:val="231F20"/>
          <w:spacing w:val="-17"/>
        </w:rPr>
        <w:t> </w:t>
      </w:r>
      <w:r>
        <w:rPr>
          <w:color w:val="231F20"/>
        </w:rPr>
        <w:t>otorgamiento</w:t>
      </w:r>
      <w:r>
        <w:rPr>
          <w:color w:val="231F20"/>
          <w:spacing w:val="-16"/>
        </w:rPr>
        <w:t> </w:t>
      </w:r>
      <w:r>
        <w:rPr>
          <w:color w:val="231F20"/>
        </w:rPr>
        <w:t>de</w:t>
      </w:r>
      <w:r>
        <w:rPr>
          <w:color w:val="231F20"/>
          <w:spacing w:val="-17"/>
        </w:rPr>
        <w:t> </w:t>
      </w:r>
      <w:r>
        <w:rPr>
          <w:color w:val="231F20"/>
        </w:rPr>
        <w:t>cualquier </w:t>
      </w:r>
      <w:r>
        <w:rPr>
          <w:color w:val="231F20"/>
          <w:spacing w:val="-4"/>
        </w:rPr>
        <w:t>ayuda</w:t>
      </w:r>
      <w:r>
        <w:rPr>
          <w:color w:val="231F20"/>
          <w:spacing w:val="-13"/>
        </w:rPr>
        <w:t> </w:t>
      </w:r>
      <w:r>
        <w:rPr>
          <w:color w:val="231F20"/>
          <w:spacing w:val="-4"/>
        </w:rPr>
        <w:t>al</w:t>
      </w:r>
      <w:r>
        <w:rPr>
          <w:color w:val="231F20"/>
          <w:spacing w:val="-12"/>
        </w:rPr>
        <w:t> </w:t>
      </w:r>
      <w:r>
        <w:rPr>
          <w:color w:val="231F20"/>
          <w:spacing w:val="-4"/>
        </w:rPr>
        <w:t>gobierno</w:t>
      </w:r>
      <w:r>
        <w:rPr>
          <w:color w:val="231F20"/>
          <w:spacing w:val="-13"/>
        </w:rPr>
        <w:t> </w:t>
      </w:r>
      <w:r>
        <w:rPr>
          <w:color w:val="231F20"/>
          <w:spacing w:val="-4"/>
        </w:rPr>
        <w:t>cubano.</w:t>
      </w:r>
      <w:r>
        <w:rPr>
          <w:color w:val="231F20"/>
          <w:spacing w:val="-12"/>
        </w:rPr>
        <w:t> </w:t>
      </w:r>
      <w:r>
        <w:rPr>
          <w:color w:val="231F20"/>
          <w:spacing w:val="-4"/>
        </w:rPr>
        <w:t>Establece</w:t>
      </w:r>
      <w:r>
        <w:rPr>
          <w:color w:val="231F20"/>
          <w:spacing w:val="-13"/>
        </w:rPr>
        <w:t> </w:t>
      </w:r>
      <w:r>
        <w:rPr>
          <w:color w:val="231F20"/>
          <w:spacing w:val="-4"/>
        </w:rPr>
        <w:t>que </w:t>
      </w:r>
      <w:r>
        <w:rPr>
          <w:color w:val="231F20"/>
        </w:rPr>
        <w:t>los fondos del gobierno de los Estados </w:t>
      </w:r>
      <w:r>
        <w:rPr>
          <w:color w:val="231F20"/>
          <w:spacing w:val="-10"/>
        </w:rPr>
        <w:t>Unidos</w:t>
      </w:r>
      <w:r>
        <w:rPr>
          <w:color w:val="231F20"/>
          <w:spacing w:val="-7"/>
        </w:rPr>
        <w:t> </w:t>
      </w:r>
      <w:r>
        <w:rPr>
          <w:color w:val="231F20"/>
          <w:spacing w:val="-10"/>
        </w:rPr>
        <w:t>destinados</w:t>
      </w:r>
      <w:r>
        <w:rPr>
          <w:color w:val="231F20"/>
          <w:spacing w:val="-6"/>
        </w:rPr>
        <w:t> </w:t>
      </w:r>
      <w:r>
        <w:rPr>
          <w:color w:val="231F20"/>
          <w:spacing w:val="-10"/>
        </w:rPr>
        <w:t>a</w:t>
      </w:r>
      <w:r>
        <w:rPr>
          <w:color w:val="231F20"/>
          <w:spacing w:val="-7"/>
        </w:rPr>
        <w:t> </w:t>
      </w:r>
      <w:r>
        <w:rPr>
          <w:color w:val="231F20"/>
          <w:spacing w:val="-10"/>
        </w:rPr>
        <w:t>la</w:t>
      </w:r>
      <w:r>
        <w:rPr>
          <w:color w:val="231F20"/>
          <w:spacing w:val="-6"/>
        </w:rPr>
        <w:t> </w:t>
      </w:r>
      <w:r>
        <w:rPr>
          <w:color w:val="231F20"/>
          <w:spacing w:val="-10"/>
        </w:rPr>
        <w:t>ayuda</w:t>
      </w:r>
      <w:r>
        <w:rPr>
          <w:color w:val="231F20"/>
          <w:spacing w:val="-7"/>
        </w:rPr>
        <w:t> </w:t>
      </w:r>
      <w:r>
        <w:rPr>
          <w:color w:val="231F20"/>
          <w:spacing w:val="-10"/>
        </w:rPr>
        <w:t>internacional </w:t>
      </w:r>
      <w:r>
        <w:rPr>
          <w:color w:val="231F20"/>
        </w:rPr>
        <w:t>y entregados a los organismos </w:t>
      </w:r>
      <w:r>
        <w:rPr>
          <w:color w:val="231F20"/>
          <w:spacing w:val="-2"/>
        </w:rPr>
        <w:t>internacionales,</w:t>
      </w:r>
      <w:r>
        <w:rPr>
          <w:color w:val="231F20"/>
          <w:spacing w:val="-15"/>
        </w:rPr>
        <w:t> </w:t>
      </w:r>
      <w:r>
        <w:rPr>
          <w:color w:val="231F20"/>
          <w:spacing w:val="-2"/>
        </w:rPr>
        <w:t>no</w:t>
      </w:r>
      <w:r>
        <w:rPr>
          <w:color w:val="231F20"/>
          <w:spacing w:val="-14"/>
        </w:rPr>
        <w:t> </w:t>
      </w:r>
      <w:r>
        <w:rPr>
          <w:color w:val="231F20"/>
          <w:spacing w:val="-2"/>
        </w:rPr>
        <w:t>podrán</w:t>
      </w:r>
      <w:r>
        <w:rPr>
          <w:color w:val="231F20"/>
          <w:spacing w:val="-15"/>
        </w:rPr>
        <w:t> </w:t>
      </w:r>
      <w:r>
        <w:rPr>
          <w:color w:val="231F20"/>
          <w:spacing w:val="-2"/>
        </w:rPr>
        <w:t>ser</w:t>
      </w:r>
      <w:r>
        <w:rPr>
          <w:color w:val="231F20"/>
          <w:spacing w:val="-14"/>
        </w:rPr>
        <w:t> </w:t>
      </w:r>
      <w:r>
        <w:rPr>
          <w:color w:val="231F20"/>
          <w:spacing w:val="-2"/>
        </w:rPr>
        <w:t>utilizados </w:t>
      </w:r>
      <w:r>
        <w:rPr>
          <w:color w:val="231F20"/>
        </w:rPr>
        <w:t>para</w:t>
      </w:r>
      <w:r>
        <w:rPr>
          <w:color w:val="231F20"/>
          <w:spacing w:val="-17"/>
        </w:rPr>
        <w:t> </w:t>
      </w:r>
      <w:r>
        <w:rPr>
          <w:color w:val="231F20"/>
        </w:rPr>
        <w:t>programas</w:t>
      </w:r>
      <w:r>
        <w:rPr>
          <w:color w:val="231F20"/>
          <w:spacing w:val="-16"/>
        </w:rPr>
        <w:t> </w:t>
      </w:r>
      <w:r>
        <w:rPr>
          <w:color w:val="231F20"/>
        </w:rPr>
        <w:t>relacionados</w:t>
      </w:r>
      <w:r>
        <w:rPr>
          <w:color w:val="231F20"/>
          <w:spacing w:val="-17"/>
        </w:rPr>
        <w:t> </w:t>
      </w:r>
      <w:r>
        <w:rPr>
          <w:color w:val="231F20"/>
        </w:rPr>
        <w:t>con</w:t>
      </w:r>
      <w:r>
        <w:rPr>
          <w:color w:val="231F20"/>
          <w:spacing w:val="-16"/>
        </w:rPr>
        <w:t> </w:t>
      </w:r>
      <w:r>
        <w:rPr>
          <w:color w:val="231F20"/>
        </w:rPr>
        <w:t>Cuba; prohíbe conceder cualquier asistencia prevista bajo esta ley o cualquier otro </w:t>
      </w:r>
      <w:r>
        <w:rPr>
          <w:color w:val="231F20"/>
          <w:spacing w:val="-10"/>
        </w:rPr>
        <w:t>beneficio</w:t>
      </w:r>
      <w:r>
        <w:rPr>
          <w:color w:val="231F20"/>
          <w:spacing w:val="-7"/>
        </w:rPr>
        <w:t> </w:t>
      </w:r>
      <w:r>
        <w:rPr>
          <w:color w:val="231F20"/>
          <w:spacing w:val="-10"/>
        </w:rPr>
        <w:t>previsto</w:t>
      </w:r>
      <w:r>
        <w:rPr>
          <w:color w:val="231F20"/>
          <w:spacing w:val="-6"/>
        </w:rPr>
        <w:t> </w:t>
      </w:r>
      <w:r>
        <w:rPr>
          <w:color w:val="231F20"/>
          <w:spacing w:val="-10"/>
        </w:rPr>
        <w:t>en</w:t>
      </w:r>
      <w:r>
        <w:rPr>
          <w:color w:val="231F20"/>
          <w:spacing w:val="-7"/>
        </w:rPr>
        <w:t> </w:t>
      </w:r>
      <w:r>
        <w:rPr>
          <w:color w:val="231F20"/>
          <w:spacing w:val="-10"/>
        </w:rPr>
        <w:t>otra</w:t>
      </w:r>
      <w:r>
        <w:rPr>
          <w:color w:val="231F20"/>
          <w:spacing w:val="-6"/>
        </w:rPr>
        <w:t> </w:t>
      </w:r>
      <w:r>
        <w:rPr>
          <w:color w:val="231F20"/>
          <w:spacing w:val="-10"/>
        </w:rPr>
        <w:t>ley</w:t>
      </w:r>
      <w:r>
        <w:rPr>
          <w:color w:val="231F20"/>
          <w:spacing w:val="-7"/>
        </w:rPr>
        <w:t> </w:t>
      </w:r>
      <w:r>
        <w:rPr>
          <w:color w:val="231F20"/>
          <w:spacing w:val="-10"/>
        </w:rPr>
        <w:t>a</w:t>
      </w:r>
      <w:r>
        <w:rPr>
          <w:color w:val="231F20"/>
          <w:spacing w:val="-6"/>
        </w:rPr>
        <w:t> </w:t>
      </w:r>
      <w:r>
        <w:rPr>
          <w:color w:val="231F20"/>
          <w:spacing w:val="-10"/>
        </w:rPr>
        <w:t>Cuba,</w:t>
      </w:r>
      <w:r>
        <w:rPr>
          <w:color w:val="231F20"/>
          <w:spacing w:val="-7"/>
        </w:rPr>
        <w:t> </w:t>
      </w:r>
      <w:r>
        <w:rPr>
          <w:color w:val="231F20"/>
          <w:spacing w:val="-10"/>
        </w:rPr>
        <w:t>hasta que</w:t>
      </w:r>
      <w:r>
        <w:rPr>
          <w:color w:val="231F20"/>
          <w:spacing w:val="-6"/>
        </w:rPr>
        <w:t> </w:t>
      </w:r>
      <w:r>
        <w:rPr>
          <w:color w:val="231F20"/>
          <w:spacing w:val="-10"/>
        </w:rPr>
        <w:t>el</w:t>
      </w:r>
      <w:r>
        <w:rPr>
          <w:color w:val="231F20"/>
          <w:spacing w:val="-6"/>
        </w:rPr>
        <w:t> </w:t>
      </w:r>
      <w:r>
        <w:rPr>
          <w:color w:val="231F20"/>
          <w:spacing w:val="-10"/>
        </w:rPr>
        <w:t>Presidente</w:t>
      </w:r>
      <w:r>
        <w:rPr>
          <w:color w:val="231F20"/>
          <w:spacing w:val="-6"/>
        </w:rPr>
        <w:t> </w:t>
      </w:r>
      <w:r>
        <w:rPr>
          <w:color w:val="231F20"/>
          <w:spacing w:val="-10"/>
        </w:rPr>
        <w:t>determine</w:t>
      </w:r>
      <w:r>
        <w:rPr>
          <w:color w:val="231F20"/>
          <w:spacing w:val="-6"/>
        </w:rPr>
        <w:t> </w:t>
      </w:r>
      <w:r>
        <w:rPr>
          <w:color w:val="231F20"/>
          <w:spacing w:val="-10"/>
        </w:rPr>
        <w:t>que</w:t>
      </w:r>
      <w:r>
        <w:rPr>
          <w:color w:val="231F20"/>
          <w:spacing w:val="-6"/>
        </w:rPr>
        <w:t> </w:t>
      </w:r>
      <w:r>
        <w:rPr>
          <w:color w:val="231F20"/>
          <w:spacing w:val="-10"/>
        </w:rPr>
        <w:t>el</w:t>
      </w:r>
      <w:r>
        <w:rPr>
          <w:color w:val="231F20"/>
          <w:spacing w:val="-6"/>
        </w:rPr>
        <w:t> </w:t>
      </w:r>
      <w:r>
        <w:rPr>
          <w:color w:val="231F20"/>
          <w:spacing w:val="-10"/>
        </w:rPr>
        <w:t>país</w:t>
      </w:r>
      <w:r>
        <w:rPr>
          <w:color w:val="231F20"/>
          <w:spacing w:val="-6"/>
        </w:rPr>
        <w:t> </w:t>
      </w:r>
      <w:r>
        <w:rPr>
          <w:color w:val="231F20"/>
          <w:spacing w:val="-10"/>
        </w:rPr>
        <w:t>ha realizado</w:t>
      </w:r>
      <w:r>
        <w:rPr>
          <w:color w:val="231F20"/>
        </w:rPr>
        <w:t> </w:t>
      </w:r>
      <w:r>
        <w:rPr>
          <w:color w:val="231F20"/>
          <w:spacing w:val="-10"/>
        </w:rPr>
        <w:t>acciones</w:t>
      </w:r>
      <w:r>
        <w:rPr>
          <w:color w:val="231F20"/>
        </w:rPr>
        <w:t> </w:t>
      </w:r>
      <w:r>
        <w:rPr>
          <w:color w:val="231F20"/>
          <w:spacing w:val="-10"/>
        </w:rPr>
        <w:t>encaminadas</w:t>
      </w:r>
      <w:r>
        <w:rPr>
          <w:color w:val="231F20"/>
        </w:rPr>
        <w:t> </w:t>
      </w:r>
      <w:r>
        <w:rPr>
          <w:color w:val="231F20"/>
          <w:spacing w:val="-10"/>
        </w:rPr>
        <w:t>a</w:t>
      </w:r>
      <w:r>
        <w:rPr>
          <w:color w:val="231F20"/>
        </w:rPr>
        <w:t> </w:t>
      </w:r>
      <w:r>
        <w:rPr>
          <w:color w:val="231F20"/>
          <w:spacing w:val="-10"/>
        </w:rPr>
        <w:t>retornar a</w:t>
      </w:r>
      <w:r>
        <w:rPr>
          <w:color w:val="231F20"/>
          <w:spacing w:val="-6"/>
        </w:rPr>
        <w:t> </w:t>
      </w:r>
      <w:r>
        <w:rPr>
          <w:color w:val="231F20"/>
          <w:spacing w:val="-10"/>
        </w:rPr>
        <w:t>ciudadanos</w:t>
      </w:r>
      <w:r>
        <w:rPr>
          <w:color w:val="231F20"/>
          <w:spacing w:val="-6"/>
        </w:rPr>
        <w:t> </w:t>
      </w:r>
      <w:r>
        <w:rPr>
          <w:color w:val="231F20"/>
          <w:spacing w:val="-10"/>
        </w:rPr>
        <w:t>y</w:t>
      </w:r>
      <w:r>
        <w:rPr>
          <w:color w:val="231F20"/>
          <w:spacing w:val="-6"/>
        </w:rPr>
        <w:t> </w:t>
      </w:r>
      <w:r>
        <w:rPr>
          <w:color w:val="231F20"/>
          <w:spacing w:val="-10"/>
        </w:rPr>
        <w:t>empresas</w:t>
      </w:r>
      <w:r>
        <w:rPr>
          <w:color w:val="231F20"/>
          <w:spacing w:val="-6"/>
        </w:rPr>
        <w:t> </w:t>
      </w:r>
      <w:r>
        <w:rPr>
          <w:color w:val="231F20"/>
          <w:spacing w:val="-10"/>
        </w:rPr>
        <w:t>estadounidenses </w:t>
      </w:r>
      <w:r>
        <w:rPr>
          <w:color w:val="231F20"/>
        </w:rPr>
        <w:t>no menos del 50 % del valor, o una justa</w:t>
      </w:r>
      <w:r>
        <w:rPr>
          <w:color w:val="231F20"/>
          <w:spacing w:val="-17"/>
        </w:rPr>
        <w:t> </w:t>
      </w:r>
      <w:r>
        <w:rPr>
          <w:color w:val="231F20"/>
        </w:rPr>
        <w:t>compensación,</w:t>
      </w:r>
      <w:r>
        <w:rPr>
          <w:color w:val="231F20"/>
          <w:spacing w:val="-16"/>
        </w:rPr>
        <w:t> </w:t>
      </w:r>
      <w:r>
        <w:rPr>
          <w:color w:val="231F20"/>
        </w:rPr>
        <w:t>de</w:t>
      </w:r>
      <w:r>
        <w:rPr>
          <w:color w:val="231F20"/>
          <w:spacing w:val="-17"/>
        </w:rPr>
        <w:t> </w:t>
      </w:r>
      <w:r>
        <w:rPr>
          <w:color w:val="231F20"/>
        </w:rPr>
        <w:t>las</w:t>
      </w:r>
      <w:r>
        <w:rPr>
          <w:color w:val="231F20"/>
          <w:spacing w:val="-16"/>
        </w:rPr>
        <w:t> </w:t>
      </w:r>
      <w:r>
        <w:rPr>
          <w:color w:val="231F20"/>
        </w:rPr>
        <w:t>propiedades </w:t>
      </w:r>
      <w:r>
        <w:rPr>
          <w:color w:val="231F20"/>
          <w:spacing w:val="-12"/>
        </w:rPr>
        <w:t>nacionalizadas</w:t>
      </w:r>
      <w:r>
        <w:rPr>
          <w:color w:val="231F20"/>
          <w:spacing w:val="-1"/>
        </w:rPr>
        <w:t> </w:t>
      </w:r>
      <w:r>
        <w:rPr>
          <w:color w:val="231F20"/>
          <w:spacing w:val="-12"/>
        </w:rPr>
        <w:t>por</w:t>
      </w:r>
      <w:r>
        <w:rPr>
          <w:color w:val="231F20"/>
          <w:spacing w:val="-1"/>
        </w:rPr>
        <w:t> </w:t>
      </w:r>
      <w:r>
        <w:rPr>
          <w:color w:val="231F20"/>
          <w:spacing w:val="-12"/>
        </w:rPr>
        <w:t>el</w:t>
      </w:r>
      <w:r>
        <w:rPr>
          <w:color w:val="231F20"/>
          <w:spacing w:val="-1"/>
        </w:rPr>
        <w:t> </w:t>
      </w:r>
      <w:r>
        <w:rPr>
          <w:color w:val="231F20"/>
          <w:spacing w:val="-12"/>
        </w:rPr>
        <w:t>gobierno</w:t>
      </w:r>
      <w:r>
        <w:rPr>
          <w:color w:val="231F20"/>
          <w:spacing w:val="-1"/>
        </w:rPr>
        <w:t> </w:t>
      </w:r>
      <w:r>
        <w:rPr>
          <w:color w:val="231F20"/>
          <w:spacing w:val="-12"/>
        </w:rPr>
        <w:t>cubano</w:t>
      </w:r>
      <w:r>
        <w:rPr>
          <w:color w:val="231F20"/>
          <w:spacing w:val="-1"/>
        </w:rPr>
        <w:t> </w:t>
      </w:r>
      <w:r>
        <w:rPr>
          <w:color w:val="231F20"/>
          <w:spacing w:val="-12"/>
        </w:rPr>
        <w:t>con </w:t>
      </w:r>
      <w:r>
        <w:rPr>
          <w:color w:val="231F20"/>
          <w:spacing w:val="-4"/>
        </w:rPr>
        <w:t>posterioridad</w:t>
      </w:r>
      <w:r>
        <w:rPr>
          <w:color w:val="231F20"/>
          <w:spacing w:val="-20"/>
        </w:rPr>
        <w:t> </w:t>
      </w:r>
      <w:r>
        <w:rPr>
          <w:color w:val="231F20"/>
          <w:spacing w:val="-4"/>
        </w:rPr>
        <w:t>al</w:t>
      </w:r>
      <w:r>
        <w:rPr>
          <w:color w:val="231F20"/>
          <w:spacing w:val="-20"/>
        </w:rPr>
        <w:t> </w:t>
      </w:r>
      <w:r>
        <w:rPr>
          <w:color w:val="231F20"/>
          <w:spacing w:val="-4"/>
        </w:rPr>
        <w:t>triunfo</w:t>
      </w:r>
      <w:r>
        <w:rPr>
          <w:color w:val="231F20"/>
          <w:spacing w:val="-20"/>
        </w:rPr>
        <w:t> </w:t>
      </w:r>
      <w:r>
        <w:rPr>
          <w:color w:val="231F20"/>
          <w:spacing w:val="-4"/>
        </w:rPr>
        <w:t>de</w:t>
      </w:r>
      <w:r>
        <w:rPr>
          <w:color w:val="231F20"/>
          <w:spacing w:val="-20"/>
        </w:rPr>
        <w:t> </w:t>
      </w:r>
      <w:r>
        <w:rPr>
          <w:color w:val="231F20"/>
          <w:spacing w:val="-4"/>
        </w:rPr>
        <w:t>la</w:t>
      </w:r>
      <w:r>
        <w:rPr>
          <w:color w:val="231F20"/>
          <w:spacing w:val="-20"/>
        </w:rPr>
        <w:t> </w:t>
      </w:r>
      <w:r>
        <w:rPr>
          <w:color w:val="231F20"/>
          <w:spacing w:val="-4"/>
        </w:rPr>
        <w:t>Revolución.</w:t>
      </w:r>
    </w:p>
    <w:p>
      <w:pPr>
        <w:pStyle w:val="BodyText"/>
        <w:spacing w:before="177"/>
        <w:ind w:left="670" w:right="1471"/>
      </w:pPr>
      <w:r>
        <w:rPr/>
        <mc:AlternateContent>
          <mc:Choice Requires="wps">
            <w:drawing>
              <wp:anchor distT="0" distB="0" distL="0" distR="0" allowOverlap="1" layoutInCell="1" locked="0" behindDoc="0" simplePos="0" relativeHeight="15734784">
                <wp:simplePos x="0" y="0"/>
                <wp:positionH relativeFrom="page">
                  <wp:posOffset>3815998</wp:posOffset>
                </wp:positionH>
                <wp:positionV relativeFrom="paragraph">
                  <wp:posOffset>-4152835</wp:posOffset>
                </wp:positionV>
                <wp:extent cx="59690" cy="59690"/>
                <wp:effectExtent l="0" t="0" r="0" b="0"/>
                <wp:wrapNone/>
                <wp:docPr id="23" name="Graphic 23"/>
                <wp:cNvGraphicFramePr>
                  <a:graphicFrameLocks/>
                </wp:cNvGraphicFramePr>
                <a:graphic>
                  <a:graphicData uri="http://schemas.microsoft.com/office/word/2010/wordprocessingShape">
                    <wps:wsp>
                      <wps:cNvPr id="23" name="Graphic 2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326.994934pt;width:4.7pt;height:4.7pt;mso-position-horizontal-relative:page;mso-position-vertical-relative:paragraph;z-index:15734784" id="docshape18" coordorigin="6009,-6540" coordsize="94,94" path="m6056,-6540l6038,-6536,6023,-6526,6013,-6511,6009,-6493,6013,-6475,6023,-6460,6038,-6450,6056,-6447,6074,-6450,6089,-6460,6099,-6475,6103,-6493,6099,-6511,6089,-6526,6074,-6536,6056,-6540xe" filled="true" fillcolor="#1a4796" stroked="false">
                <v:path arrowok="t"/>
                <v:fill type="solid"/>
                <w10:wrap type="none"/>
              </v:shape>
            </w:pict>
          </mc:Fallback>
        </mc:AlternateContent>
      </w:r>
      <w:r>
        <w:rPr/>
        <mc:AlternateContent>
          <mc:Choice Requires="wps">
            <w:drawing>
              <wp:anchor distT="0" distB="0" distL="0" distR="0" allowOverlap="1" layoutInCell="1" locked="0" behindDoc="0" simplePos="0" relativeHeight="15735296">
                <wp:simplePos x="0" y="0"/>
                <wp:positionH relativeFrom="page">
                  <wp:posOffset>3815998</wp:posOffset>
                </wp:positionH>
                <wp:positionV relativeFrom="paragraph">
                  <wp:posOffset>200963</wp:posOffset>
                </wp:positionV>
                <wp:extent cx="59690" cy="59690"/>
                <wp:effectExtent l="0" t="0" r="0" b="0"/>
                <wp:wrapNone/>
                <wp:docPr id="24" name="Graphic 24"/>
                <wp:cNvGraphicFramePr>
                  <a:graphicFrameLocks/>
                </wp:cNvGraphicFramePr>
                <a:graphic>
                  <a:graphicData uri="http://schemas.microsoft.com/office/word/2010/wordprocessingShape">
                    <wps:wsp>
                      <wps:cNvPr id="24" name="Graphic 2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823872pt;width:4.7pt;height:4.7pt;mso-position-horizontal-relative:page;mso-position-vertical-relative:paragraph;z-index:15735296" id="docshape19" coordorigin="6009,316" coordsize="94,94" path="m6056,316l6038,320,6023,330,6013,345,6009,363,6013,381,6023,396,6038,406,6056,410,6074,406,6089,396,6099,381,6103,363,6099,345,6089,330,6074,320,6056,316xe" filled="true" fillcolor="#1a4796" stroked="false">
                <v:path arrowok="t"/>
                <v:fill type="solid"/>
                <w10:wrap type="none"/>
              </v:shape>
            </w:pict>
          </mc:Fallback>
        </mc:AlternateContent>
      </w:r>
      <w:r>
        <w:rPr>
          <w:rFonts w:ascii="Segoe UI Semibold"/>
          <w:b/>
          <w:color w:val="1A4796"/>
          <w:spacing w:val="-4"/>
        </w:rPr>
        <w:t>Proclama</w:t>
      </w:r>
      <w:r>
        <w:rPr>
          <w:rFonts w:ascii="Segoe UI Semibold"/>
          <w:b/>
          <w:color w:val="1A4796"/>
          <w:spacing w:val="-13"/>
        </w:rPr>
        <w:t> </w:t>
      </w:r>
      <w:r>
        <w:rPr>
          <w:rFonts w:ascii="Segoe UI Semibold"/>
          <w:b/>
          <w:color w:val="1A4796"/>
          <w:spacing w:val="-4"/>
        </w:rPr>
        <w:t>Presidencial</w:t>
      </w:r>
      <w:r>
        <w:rPr>
          <w:rFonts w:ascii="Segoe UI Semibold"/>
          <w:b/>
          <w:color w:val="1A4796"/>
          <w:spacing w:val="-12"/>
        </w:rPr>
        <w:t> </w:t>
      </w:r>
      <w:r>
        <w:rPr>
          <w:rFonts w:ascii="Segoe UI Semibold"/>
          <w:b/>
          <w:color w:val="1A4796"/>
          <w:spacing w:val="-4"/>
        </w:rPr>
        <w:t>3447:</w:t>
      </w:r>
      <w:r>
        <w:rPr>
          <w:rFonts w:ascii="Segoe UI Semibold"/>
          <w:b/>
          <w:color w:val="1A4796"/>
          <w:spacing w:val="-13"/>
        </w:rPr>
        <w:t> </w:t>
      </w:r>
      <w:r>
        <w:rPr>
          <w:color w:val="231F20"/>
          <w:spacing w:val="-4"/>
        </w:rPr>
        <w:t>Emitida</w:t>
      </w:r>
      <w:r>
        <w:rPr>
          <w:color w:val="231F20"/>
          <w:spacing w:val="-12"/>
        </w:rPr>
        <w:t> </w:t>
      </w:r>
      <w:r>
        <w:rPr>
          <w:color w:val="231F20"/>
          <w:spacing w:val="-4"/>
        </w:rPr>
        <w:t>el</w:t>
      </w:r>
      <w:r>
        <w:rPr>
          <w:color w:val="231F20"/>
          <w:spacing w:val="-13"/>
        </w:rPr>
        <w:t> </w:t>
      </w:r>
      <w:r>
        <w:rPr>
          <w:color w:val="231F20"/>
          <w:spacing w:val="-4"/>
        </w:rPr>
        <w:t>3 de</w:t>
      </w:r>
      <w:r>
        <w:rPr>
          <w:color w:val="231F20"/>
          <w:spacing w:val="-24"/>
        </w:rPr>
        <w:t> </w:t>
      </w:r>
      <w:r>
        <w:rPr>
          <w:color w:val="231F20"/>
          <w:spacing w:val="-4"/>
        </w:rPr>
        <w:t>febrero</w:t>
      </w:r>
      <w:r>
        <w:rPr>
          <w:color w:val="231F20"/>
          <w:spacing w:val="-23"/>
        </w:rPr>
        <w:t> </w:t>
      </w:r>
      <w:r>
        <w:rPr>
          <w:color w:val="231F20"/>
          <w:spacing w:val="-4"/>
        </w:rPr>
        <w:t>de</w:t>
      </w:r>
      <w:r>
        <w:rPr>
          <w:color w:val="231F20"/>
          <w:spacing w:val="-23"/>
        </w:rPr>
        <w:t> </w:t>
      </w:r>
      <w:r>
        <w:rPr>
          <w:color w:val="231F20"/>
          <w:spacing w:val="-4"/>
        </w:rPr>
        <w:t>1962</w:t>
      </w:r>
      <w:r>
        <w:rPr>
          <w:color w:val="231F20"/>
          <w:spacing w:val="-24"/>
        </w:rPr>
        <w:t> </w:t>
      </w:r>
      <w:r>
        <w:rPr>
          <w:color w:val="231F20"/>
          <w:spacing w:val="-4"/>
        </w:rPr>
        <w:t>por</w:t>
      </w:r>
      <w:r>
        <w:rPr>
          <w:color w:val="231F20"/>
          <w:spacing w:val="-23"/>
        </w:rPr>
        <w:t> </w:t>
      </w:r>
      <w:r>
        <w:rPr>
          <w:color w:val="231F20"/>
          <w:spacing w:val="-4"/>
        </w:rPr>
        <w:t>el</w:t>
      </w:r>
      <w:r>
        <w:rPr>
          <w:color w:val="231F20"/>
          <w:spacing w:val="-23"/>
        </w:rPr>
        <w:t> </w:t>
      </w:r>
      <w:r>
        <w:rPr>
          <w:color w:val="231F20"/>
          <w:spacing w:val="-4"/>
        </w:rPr>
        <w:t>presidente</w:t>
      </w:r>
      <w:r>
        <w:rPr>
          <w:color w:val="231F20"/>
          <w:spacing w:val="-23"/>
        </w:rPr>
        <w:t> </w:t>
      </w:r>
      <w:r>
        <w:rPr>
          <w:color w:val="231F20"/>
          <w:spacing w:val="-4"/>
        </w:rPr>
        <w:t>John</w:t>
      </w:r>
    </w:p>
    <w:p>
      <w:pPr>
        <w:pStyle w:val="BodyText"/>
        <w:spacing w:before="1"/>
        <w:ind w:left="670" w:right="1473"/>
      </w:pPr>
      <w:r>
        <w:rPr>
          <w:color w:val="231F20"/>
        </w:rPr>
        <w:t>F. Kennedy, decretó el “embargo” total del</w:t>
      </w:r>
      <w:r>
        <w:rPr>
          <w:color w:val="231F20"/>
          <w:spacing w:val="-16"/>
        </w:rPr>
        <w:t> </w:t>
      </w:r>
      <w:r>
        <w:rPr>
          <w:color w:val="231F20"/>
        </w:rPr>
        <w:t>comercio</w:t>
      </w:r>
      <w:r>
        <w:rPr>
          <w:color w:val="231F20"/>
          <w:spacing w:val="-16"/>
        </w:rPr>
        <w:t> </w:t>
      </w:r>
      <w:r>
        <w:rPr>
          <w:color w:val="231F20"/>
        </w:rPr>
        <w:t>entre</w:t>
      </w:r>
      <w:r>
        <w:rPr>
          <w:color w:val="231F20"/>
          <w:spacing w:val="-16"/>
        </w:rPr>
        <w:t> </w:t>
      </w:r>
      <w:r>
        <w:rPr>
          <w:color w:val="231F20"/>
        </w:rPr>
        <w:t>los</w:t>
      </w:r>
      <w:r>
        <w:rPr>
          <w:color w:val="231F20"/>
          <w:spacing w:val="-16"/>
        </w:rPr>
        <w:t> </w:t>
      </w:r>
      <w:r>
        <w:rPr>
          <w:color w:val="231F20"/>
        </w:rPr>
        <w:t>Estados</w:t>
      </w:r>
      <w:r>
        <w:rPr>
          <w:color w:val="231F20"/>
          <w:spacing w:val="-16"/>
        </w:rPr>
        <w:t> </w:t>
      </w:r>
      <w:r>
        <w:rPr>
          <w:color w:val="231F20"/>
        </w:rPr>
        <w:t>Unidos</w:t>
      </w:r>
      <w:r>
        <w:rPr>
          <w:color w:val="231F20"/>
          <w:spacing w:val="-16"/>
        </w:rPr>
        <w:t> </w:t>
      </w:r>
      <w:r>
        <w:rPr>
          <w:color w:val="231F20"/>
        </w:rPr>
        <w:t>y </w:t>
      </w:r>
      <w:r>
        <w:rPr>
          <w:color w:val="231F20"/>
          <w:spacing w:val="-4"/>
        </w:rPr>
        <w:t>Cuba,</w:t>
      </w:r>
      <w:r>
        <w:rPr>
          <w:color w:val="231F20"/>
          <w:spacing w:val="-8"/>
        </w:rPr>
        <w:t> </w:t>
      </w:r>
      <w:r>
        <w:rPr>
          <w:color w:val="231F20"/>
          <w:spacing w:val="-4"/>
        </w:rPr>
        <w:t>en</w:t>
      </w:r>
      <w:r>
        <w:rPr>
          <w:color w:val="231F20"/>
          <w:spacing w:val="-8"/>
        </w:rPr>
        <w:t> </w:t>
      </w:r>
      <w:r>
        <w:rPr>
          <w:color w:val="231F20"/>
          <w:spacing w:val="-4"/>
        </w:rPr>
        <w:t>cumplimiento</w:t>
      </w:r>
      <w:r>
        <w:rPr>
          <w:color w:val="231F20"/>
          <w:spacing w:val="-8"/>
        </w:rPr>
        <w:t> </w:t>
      </w:r>
      <w:r>
        <w:rPr>
          <w:color w:val="231F20"/>
          <w:spacing w:val="-4"/>
        </w:rPr>
        <w:t>de</w:t>
      </w:r>
      <w:r>
        <w:rPr>
          <w:color w:val="231F20"/>
          <w:spacing w:val="-8"/>
        </w:rPr>
        <w:t> </w:t>
      </w:r>
      <w:r>
        <w:rPr>
          <w:color w:val="231F20"/>
          <w:spacing w:val="-4"/>
        </w:rPr>
        <w:t>la</w:t>
      </w:r>
      <w:r>
        <w:rPr>
          <w:color w:val="231F20"/>
          <w:spacing w:val="-8"/>
        </w:rPr>
        <w:t> </w:t>
      </w:r>
      <w:r>
        <w:rPr>
          <w:color w:val="231F20"/>
          <w:spacing w:val="-4"/>
        </w:rPr>
        <w:t>sección</w:t>
      </w:r>
      <w:r>
        <w:rPr>
          <w:color w:val="231F20"/>
          <w:spacing w:val="-8"/>
        </w:rPr>
        <w:t> </w:t>
      </w:r>
      <w:r>
        <w:rPr>
          <w:color w:val="231F20"/>
          <w:spacing w:val="-5"/>
        </w:rPr>
        <w:t>620</w:t>
      </w:r>
    </w:p>
    <w:p>
      <w:pPr>
        <w:pStyle w:val="BodyText"/>
        <w:spacing w:before="3"/>
        <w:ind w:left="670"/>
      </w:pPr>
      <w:r>
        <w:rPr>
          <w:color w:val="231F20"/>
          <w:spacing w:val="-4"/>
        </w:rPr>
        <w:t>(a)</w:t>
      </w:r>
      <w:r>
        <w:rPr>
          <w:color w:val="231F20"/>
          <w:spacing w:val="-9"/>
        </w:rPr>
        <w:t> </w:t>
      </w:r>
      <w:r>
        <w:rPr>
          <w:color w:val="231F20"/>
          <w:spacing w:val="-4"/>
        </w:rPr>
        <w:t>de</w:t>
      </w:r>
      <w:r>
        <w:rPr>
          <w:color w:val="231F20"/>
          <w:spacing w:val="-9"/>
        </w:rPr>
        <w:t> </w:t>
      </w:r>
      <w:r>
        <w:rPr>
          <w:color w:val="231F20"/>
          <w:spacing w:val="-4"/>
        </w:rPr>
        <w:t>la</w:t>
      </w:r>
      <w:r>
        <w:rPr>
          <w:color w:val="231F20"/>
          <w:spacing w:val="-8"/>
        </w:rPr>
        <w:t> </w:t>
      </w:r>
      <w:r>
        <w:rPr>
          <w:color w:val="231F20"/>
          <w:spacing w:val="-4"/>
        </w:rPr>
        <w:t>Ley</w:t>
      </w:r>
      <w:r>
        <w:rPr>
          <w:color w:val="231F20"/>
          <w:spacing w:val="-9"/>
        </w:rPr>
        <w:t> </w:t>
      </w:r>
      <w:r>
        <w:rPr>
          <w:color w:val="231F20"/>
          <w:spacing w:val="-4"/>
        </w:rPr>
        <w:t>de</w:t>
      </w:r>
      <w:r>
        <w:rPr>
          <w:color w:val="231F20"/>
          <w:spacing w:val="-9"/>
        </w:rPr>
        <w:t> </w:t>
      </w:r>
      <w:r>
        <w:rPr>
          <w:color w:val="231F20"/>
          <w:spacing w:val="-4"/>
        </w:rPr>
        <w:t>Asistencia</w:t>
      </w:r>
      <w:r>
        <w:rPr>
          <w:color w:val="231F20"/>
          <w:spacing w:val="-8"/>
        </w:rPr>
        <w:t> </w:t>
      </w:r>
      <w:r>
        <w:rPr>
          <w:color w:val="231F20"/>
          <w:spacing w:val="-4"/>
        </w:rPr>
        <w:t>Exterior.</w:t>
      </w:r>
    </w:p>
    <w:p>
      <w:pPr>
        <w:spacing w:after="0"/>
        <w:sectPr>
          <w:type w:val="continuous"/>
          <w:pgSz w:w="11910" w:h="16840"/>
          <w:pgMar w:header="0" w:footer="695" w:top="1920" w:bottom="280" w:left="0" w:right="0"/>
          <w:cols w:num="2" w:equalWidth="0">
            <w:col w:w="5560" w:space="40"/>
            <w:col w:w="6310"/>
          </w:cols>
        </w:sectPr>
      </w:pPr>
    </w:p>
    <w:p>
      <w:pPr>
        <w:pStyle w:val="BodyText"/>
        <w:spacing w:before="77"/>
        <w:ind w:left="1734" w:right="1"/>
      </w:pPr>
      <w:r>
        <w:rPr/>
        <mc:AlternateContent>
          <mc:Choice Requires="wps">
            <w:drawing>
              <wp:anchor distT="0" distB="0" distL="0" distR="0" allowOverlap="1" layoutInCell="1" locked="0" behindDoc="0" simplePos="0" relativeHeight="15736320">
                <wp:simplePos x="0" y="0"/>
                <wp:positionH relativeFrom="page">
                  <wp:posOffset>935997</wp:posOffset>
                </wp:positionH>
                <wp:positionV relativeFrom="paragraph">
                  <wp:posOffset>105597</wp:posOffset>
                </wp:positionV>
                <wp:extent cx="59690" cy="59690"/>
                <wp:effectExtent l="0" t="0" r="0" b="0"/>
                <wp:wrapNone/>
                <wp:docPr id="25" name="Graphic 25"/>
                <wp:cNvGraphicFramePr>
                  <a:graphicFrameLocks/>
                </wp:cNvGraphicFramePr>
                <a:graphic>
                  <a:graphicData uri="http://schemas.microsoft.com/office/word/2010/wordprocessingShape">
                    <wps:wsp>
                      <wps:cNvPr id="25" name="Graphic 2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8.3148pt;width:4.7pt;height:4.7pt;mso-position-horizontal-relative:page;mso-position-vertical-relative:paragraph;z-index:15736320" id="docshape20" coordorigin="1474,166" coordsize="94,94" path="m1521,166l1502,170,1488,180,1478,195,1474,213,1478,231,1488,246,1502,256,1521,260,1539,256,1554,246,1564,231,1567,213,1564,195,1554,180,1539,170,1521,166xe" filled="true" fillcolor="#1a4796" stroked="false">
                <v:path arrowok="t"/>
                <v:fill type="solid"/>
                <w10:wrap type="none"/>
              </v:shape>
            </w:pict>
          </mc:Fallback>
        </mc:AlternateContent>
      </w:r>
      <w:r>
        <w:rPr>
          <w:rFonts w:ascii="Segoe UI Semibold" w:hAnsi="Segoe UI Semibold"/>
          <w:b/>
          <w:color w:val="1A4796"/>
          <w:spacing w:val="-4"/>
        </w:rPr>
        <w:t>Regulaciones</w:t>
      </w:r>
      <w:r>
        <w:rPr>
          <w:rFonts w:ascii="Segoe UI Semibold" w:hAnsi="Segoe UI Semibold"/>
          <w:b/>
          <w:color w:val="1A4796"/>
          <w:spacing w:val="-13"/>
        </w:rPr>
        <w:t> </w:t>
      </w:r>
      <w:r>
        <w:rPr>
          <w:rFonts w:ascii="Segoe UI Semibold" w:hAnsi="Segoe UI Semibold"/>
          <w:b/>
          <w:color w:val="1A4796"/>
          <w:spacing w:val="-4"/>
        </w:rPr>
        <w:t>para</w:t>
      </w:r>
      <w:r>
        <w:rPr>
          <w:rFonts w:ascii="Segoe UI Semibold" w:hAnsi="Segoe UI Semibold"/>
          <w:b/>
          <w:color w:val="1A4796"/>
          <w:spacing w:val="-12"/>
        </w:rPr>
        <w:t> </w:t>
      </w:r>
      <w:r>
        <w:rPr>
          <w:rFonts w:ascii="Segoe UI Semibold" w:hAnsi="Segoe UI Semibold"/>
          <w:b/>
          <w:color w:val="1A4796"/>
          <w:spacing w:val="-4"/>
        </w:rPr>
        <w:t>el</w:t>
      </w:r>
      <w:r>
        <w:rPr>
          <w:rFonts w:ascii="Segoe UI Semibold" w:hAnsi="Segoe UI Semibold"/>
          <w:b/>
          <w:color w:val="1A4796"/>
          <w:spacing w:val="-13"/>
        </w:rPr>
        <w:t> </w:t>
      </w:r>
      <w:r>
        <w:rPr>
          <w:rFonts w:ascii="Segoe UI Semibold" w:hAnsi="Segoe UI Semibold"/>
          <w:b/>
          <w:color w:val="1A4796"/>
          <w:spacing w:val="-4"/>
        </w:rPr>
        <w:t>Control</w:t>
      </w:r>
      <w:r>
        <w:rPr>
          <w:rFonts w:ascii="Segoe UI Semibold" w:hAnsi="Segoe UI Semibold"/>
          <w:b/>
          <w:color w:val="1A4796"/>
          <w:spacing w:val="-12"/>
        </w:rPr>
        <w:t> </w:t>
      </w:r>
      <w:r>
        <w:rPr>
          <w:rFonts w:ascii="Segoe UI Semibold" w:hAnsi="Segoe UI Semibold"/>
          <w:b/>
          <w:color w:val="1A4796"/>
          <w:spacing w:val="-4"/>
        </w:rPr>
        <w:t>de</w:t>
      </w:r>
      <w:r>
        <w:rPr>
          <w:rFonts w:ascii="Segoe UI Semibold" w:hAnsi="Segoe UI Semibold"/>
          <w:b/>
          <w:color w:val="1A4796"/>
          <w:spacing w:val="-13"/>
        </w:rPr>
        <w:t> </w:t>
      </w:r>
      <w:r>
        <w:rPr>
          <w:rFonts w:ascii="Segoe UI Semibold" w:hAnsi="Segoe UI Semibold"/>
          <w:b/>
          <w:color w:val="1A4796"/>
          <w:spacing w:val="-4"/>
        </w:rPr>
        <w:t>Activos </w:t>
      </w:r>
      <w:r>
        <w:rPr>
          <w:rFonts w:ascii="Segoe UI Semibold" w:hAnsi="Segoe UI Semibold"/>
          <w:b/>
          <w:color w:val="1A4796"/>
        </w:rPr>
        <w:t>Cubanos</w:t>
      </w:r>
      <w:r>
        <w:rPr>
          <w:rFonts w:ascii="Segoe UI Semibold" w:hAnsi="Segoe UI Semibold"/>
          <w:b/>
          <w:color w:val="1A4796"/>
          <w:spacing w:val="-17"/>
        </w:rPr>
        <w:t> </w:t>
      </w:r>
      <w:r>
        <w:rPr>
          <w:rFonts w:ascii="Segoe UI Semibold" w:hAnsi="Segoe UI Semibold"/>
          <w:b/>
          <w:color w:val="1A4796"/>
        </w:rPr>
        <w:t>del</w:t>
      </w:r>
      <w:r>
        <w:rPr>
          <w:rFonts w:ascii="Segoe UI Semibold" w:hAnsi="Segoe UI Semibold"/>
          <w:b/>
          <w:color w:val="1A4796"/>
          <w:spacing w:val="-16"/>
        </w:rPr>
        <w:t> </w:t>
      </w:r>
      <w:r>
        <w:rPr>
          <w:rFonts w:ascii="Segoe UI Semibold" w:hAnsi="Segoe UI Semibold"/>
          <w:b/>
          <w:color w:val="1A4796"/>
        </w:rPr>
        <w:t>Departamento</w:t>
      </w:r>
      <w:r>
        <w:rPr>
          <w:rFonts w:ascii="Segoe UI Semibold" w:hAnsi="Segoe UI Semibold"/>
          <w:b/>
          <w:color w:val="1A4796"/>
          <w:spacing w:val="-17"/>
        </w:rPr>
        <w:t> </w:t>
      </w:r>
      <w:r>
        <w:rPr>
          <w:rFonts w:ascii="Segoe UI Semibold" w:hAnsi="Segoe UI Semibold"/>
          <w:b/>
          <w:color w:val="1A4796"/>
        </w:rPr>
        <w:t>del</w:t>
      </w:r>
      <w:r>
        <w:rPr>
          <w:rFonts w:ascii="Segoe UI Semibold" w:hAnsi="Segoe UI Semibold"/>
          <w:b/>
          <w:color w:val="1A4796"/>
          <w:spacing w:val="-16"/>
        </w:rPr>
        <w:t> </w:t>
      </w:r>
      <w:r>
        <w:rPr>
          <w:rFonts w:ascii="Segoe UI Semibold" w:hAnsi="Segoe UI Semibold"/>
          <w:b/>
          <w:color w:val="1A4796"/>
        </w:rPr>
        <w:t>Tesoro (1963):</w:t>
      </w:r>
      <w:r>
        <w:rPr>
          <w:rFonts w:ascii="Segoe UI Semibold" w:hAnsi="Segoe UI Semibold"/>
          <w:b/>
          <w:color w:val="1A4796"/>
          <w:spacing w:val="-17"/>
        </w:rPr>
        <w:t> </w:t>
      </w:r>
      <w:r>
        <w:rPr>
          <w:color w:val="231F20"/>
        </w:rPr>
        <w:t>Estipularon</w:t>
      </w:r>
      <w:r>
        <w:rPr>
          <w:color w:val="231F20"/>
          <w:spacing w:val="-16"/>
        </w:rPr>
        <w:t> </w:t>
      </w:r>
      <w:r>
        <w:rPr>
          <w:color w:val="231F20"/>
        </w:rPr>
        <w:t>el</w:t>
      </w:r>
      <w:r>
        <w:rPr>
          <w:color w:val="231F20"/>
          <w:spacing w:val="-17"/>
        </w:rPr>
        <w:t> </w:t>
      </w:r>
      <w:r>
        <w:rPr>
          <w:color w:val="231F20"/>
        </w:rPr>
        <w:t>congelamiento</w:t>
      </w:r>
      <w:r>
        <w:rPr>
          <w:color w:val="231F20"/>
          <w:spacing w:val="-16"/>
        </w:rPr>
        <w:t> </w:t>
      </w:r>
      <w:r>
        <w:rPr>
          <w:color w:val="231F20"/>
        </w:rPr>
        <w:t>de </w:t>
      </w:r>
      <w:r>
        <w:rPr>
          <w:color w:val="231F20"/>
          <w:spacing w:val="-2"/>
        </w:rPr>
        <w:t>todos</w:t>
      </w:r>
      <w:r>
        <w:rPr>
          <w:color w:val="231F20"/>
          <w:spacing w:val="-15"/>
        </w:rPr>
        <w:t> </w:t>
      </w:r>
      <w:r>
        <w:rPr>
          <w:color w:val="231F20"/>
          <w:spacing w:val="-2"/>
        </w:rPr>
        <w:t>los</w:t>
      </w:r>
      <w:r>
        <w:rPr>
          <w:color w:val="231F20"/>
          <w:spacing w:val="-14"/>
        </w:rPr>
        <w:t> </w:t>
      </w:r>
      <w:r>
        <w:rPr>
          <w:color w:val="231F20"/>
          <w:spacing w:val="-2"/>
        </w:rPr>
        <w:t>activos</w:t>
      </w:r>
      <w:r>
        <w:rPr>
          <w:color w:val="231F20"/>
          <w:spacing w:val="-15"/>
        </w:rPr>
        <w:t> </w:t>
      </w:r>
      <w:r>
        <w:rPr>
          <w:color w:val="231F20"/>
          <w:spacing w:val="-2"/>
        </w:rPr>
        <w:t>cubanos</w:t>
      </w:r>
      <w:r>
        <w:rPr>
          <w:color w:val="231F20"/>
          <w:spacing w:val="-14"/>
        </w:rPr>
        <w:t> </w:t>
      </w:r>
      <w:r>
        <w:rPr>
          <w:color w:val="231F20"/>
          <w:spacing w:val="-2"/>
        </w:rPr>
        <w:t>en</w:t>
      </w:r>
      <w:r>
        <w:rPr>
          <w:color w:val="231F20"/>
          <w:spacing w:val="-15"/>
        </w:rPr>
        <w:t> </w:t>
      </w:r>
      <w:r>
        <w:rPr>
          <w:color w:val="231F20"/>
          <w:spacing w:val="-2"/>
        </w:rPr>
        <w:t>los</w:t>
      </w:r>
      <w:r>
        <w:rPr>
          <w:color w:val="231F20"/>
          <w:spacing w:val="-14"/>
        </w:rPr>
        <w:t> </w:t>
      </w:r>
      <w:r>
        <w:rPr>
          <w:color w:val="231F20"/>
          <w:spacing w:val="-2"/>
        </w:rPr>
        <w:t>Estados </w:t>
      </w:r>
      <w:r>
        <w:rPr>
          <w:color w:val="231F20"/>
        </w:rPr>
        <w:t>Unidos; la prohibición de todas las transacciones</w:t>
      </w:r>
      <w:r>
        <w:rPr>
          <w:color w:val="231F20"/>
          <w:spacing w:val="-16"/>
        </w:rPr>
        <w:t> </w:t>
      </w:r>
      <w:r>
        <w:rPr>
          <w:color w:val="231F20"/>
        </w:rPr>
        <w:t>financieras</w:t>
      </w:r>
      <w:r>
        <w:rPr>
          <w:color w:val="231F20"/>
          <w:spacing w:val="-16"/>
        </w:rPr>
        <w:t> </w:t>
      </w:r>
      <w:r>
        <w:rPr>
          <w:color w:val="231F20"/>
        </w:rPr>
        <w:t>y</w:t>
      </w:r>
      <w:r>
        <w:rPr>
          <w:color w:val="231F20"/>
          <w:spacing w:val="-16"/>
        </w:rPr>
        <w:t> </w:t>
      </w:r>
      <w:r>
        <w:rPr>
          <w:color w:val="231F20"/>
        </w:rPr>
        <w:t>comerciales, a</w:t>
      </w:r>
      <w:r>
        <w:rPr>
          <w:color w:val="231F20"/>
          <w:spacing w:val="-14"/>
        </w:rPr>
        <w:t> </w:t>
      </w:r>
      <w:r>
        <w:rPr>
          <w:color w:val="231F20"/>
        </w:rPr>
        <w:t>menos</w:t>
      </w:r>
      <w:r>
        <w:rPr>
          <w:color w:val="231F20"/>
          <w:spacing w:val="-14"/>
        </w:rPr>
        <w:t> </w:t>
      </w:r>
      <w:r>
        <w:rPr>
          <w:color w:val="231F20"/>
        </w:rPr>
        <w:t>que</w:t>
      </w:r>
      <w:r>
        <w:rPr>
          <w:color w:val="231F20"/>
          <w:spacing w:val="-14"/>
        </w:rPr>
        <w:t> </w:t>
      </w:r>
      <w:r>
        <w:rPr>
          <w:color w:val="231F20"/>
        </w:rPr>
        <w:t>fuesen</w:t>
      </w:r>
      <w:r>
        <w:rPr>
          <w:color w:val="231F20"/>
          <w:spacing w:val="-14"/>
        </w:rPr>
        <w:t> </w:t>
      </w:r>
      <w:r>
        <w:rPr>
          <w:color w:val="231F20"/>
        </w:rPr>
        <w:t>aprobadas</w:t>
      </w:r>
      <w:r>
        <w:rPr>
          <w:color w:val="231F20"/>
          <w:spacing w:val="-14"/>
        </w:rPr>
        <w:t> </w:t>
      </w:r>
      <w:r>
        <w:rPr>
          <w:color w:val="231F20"/>
        </w:rPr>
        <w:t>por</w:t>
      </w:r>
      <w:r>
        <w:rPr>
          <w:color w:val="231F20"/>
          <w:spacing w:val="-14"/>
        </w:rPr>
        <w:t> </w:t>
      </w:r>
      <w:r>
        <w:rPr>
          <w:color w:val="231F20"/>
        </w:rPr>
        <w:t>una </w:t>
      </w:r>
      <w:r>
        <w:rPr>
          <w:color w:val="231F20"/>
          <w:spacing w:val="-2"/>
        </w:rPr>
        <w:t>licencia;</w:t>
      </w:r>
      <w:r>
        <w:rPr>
          <w:color w:val="231F20"/>
          <w:spacing w:val="-7"/>
        </w:rPr>
        <w:t> </w:t>
      </w:r>
      <w:r>
        <w:rPr>
          <w:color w:val="231F20"/>
          <w:spacing w:val="-2"/>
        </w:rPr>
        <w:t>la</w:t>
      </w:r>
      <w:r>
        <w:rPr>
          <w:color w:val="231F20"/>
          <w:spacing w:val="-7"/>
        </w:rPr>
        <w:t> </w:t>
      </w:r>
      <w:r>
        <w:rPr>
          <w:color w:val="231F20"/>
          <w:spacing w:val="-2"/>
        </w:rPr>
        <w:t>prohibición</w:t>
      </w:r>
      <w:r>
        <w:rPr>
          <w:color w:val="231F20"/>
          <w:spacing w:val="-7"/>
        </w:rPr>
        <w:t> </w:t>
      </w:r>
      <w:r>
        <w:rPr>
          <w:color w:val="231F20"/>
          <w:spacing w:val="-2"/>
        </w:rPr>
        <w:t>de</w:t>
      </w:r>
      <w:r>
        <w:rPr>
          <w:color w:val="231F20"/>
          <w:spacing w:val="-7"/>
        </w:rPr>
        <w:t> </w:t>
      </w:r>
      <w:r>
        <w:rPr>
          <w:color w:val="231F20"/>
          <w:spacing w:val="-2"/>
        </w:rPr>
        <w:t>exportaciones </w:t>
      </w:r>
      <w:r>
        <w:rPr>
          <w:color w:val="231F20"/>
        </w:rPr>
        <w:t>cubanas a los Estados Unidos; la prohibición</w:t>
      </w:r>
      <w:r>
        <w:rPr>
          <w:color w:val="231F20"/>
          <w:spacing w:val="-7"/>
        </w:rPr>
        <w:t> </w:t>
      </w:r>
      <w:r>
        <w:rPr>
          <w:color w:val="231F20"/>
        </w:rPr>
        <w:t>a</w:t>
      </w:r>
      <w:r>
        <w:rPr>
          <w:color w:val="231F20"/>
          <w:spacing w:val="-7"/>
        </w:rPr>
        <w:t> </w:t>
      </w:r>
      <w:r>
        <w:rPr>
          <w:color w:val="231F20"/>
        </w:rPr>
        <w:t>cualquier</w:t>
      </w:r>
      <w:r>
        <w:rPr>
          <w:color w:val="231F20"/>
          <w:spacing w:val="-7"/>
        </w:rPr>
        <w:t> </w:t>
      </w:r>
      <w:r>
        <w:rPr>
          <w:color w:val="231F20"/>
        </w:rPr>
        <w:t>persona</w:t>
      </w:r>
      <w:r>
        <w:rPr>
          <w:color w:val="231F20"/>
          <w:spacing w:val="-7"/>
        </w:rPr>
        <w:t> </w:t>
      </w:r>
      <w:r>
        <w:rPr>
          <w:color w:val="231F20"/>
        </w:rPr>
        <w:t>natural o jurídica de los Estados Unidos o </w:t>
      </w:r>
      <w:r>
        <w:rPr>
          <w:color w:val="231F20"/>
          <w:spacing w:val="-2"/>
        </w:rPr>
        <w:t>terceros</w:t>
      </w:r>
      <w:r>
        <w:rPr>
          <w:color w:val="231F20"/>
          <w:spacing w:val="-7"/>
        </w:rPr>
        <w:t> </w:t>
      </w:r>
      <w:r>
        <w:rPr>
          <w:color w:val="231F20"/>
          <w:spacing w:val="-2"/>
        </w:rPr>
        <w:t>países</w:t>
      </w:r>
      <w:r>
        <w:rPr>
          <w:color w:val="231F20"/>
          <w:spacing w:val="-7"/>
        </w:rPr>
        <w:t> </w:t>
      </w:r>
      <w:r>
        <w:rPr>
          <w:color w:val="231F20"/>
          <w:spacing w:val="-2"/>
        </w:rPr>
        <w:t>de</w:t>
      </w:r>
      <w:r>
        <w:rPr>
          <w:color w:val="231F20"/>
          <w:spacing w:val="-7"/>
        </w:rPr>
        <w:t> </w:t>
      </w:r>
      <w:r>
        <w:rPr>
          <w:color w:val="231F20"/>
          <w:spacing w:val="-2"/>
        </w:rPr>
        <w:t>realizar</w:t>
      </w:r>
      <w:r>
        <w:rPr>
          <w:color w:val="231F20"/>
          <w:spacing w:val="-7"/>
        </w:rPr>
        <w:t> </w:t>
      </w:r>
      <w:r>
        <w:rPr>
          <w:color w:val="231F20"/>
          <w:spacing w:val="-2"/>
        </w:rPr>
        <w:t>transacciones </w:t>
      </w:r>
      <w:r>
        <w:rPr>
          <w:color w:val="231F20"/>
        </w:rPr>
        <w:t>en dólares estadounidenses con Cuba; entre otras disposiciones.</w:t>
      </w:r>
    </w:p>
    <w:p>
      <w:pPr>
        <w:pStyle w:val="BodyText"/>
        <w:spacing w:before="171"/>
        <w:ind w:left="1734"/>
      </w:pPr>
      <w:r>
        <w:rPr/>
        <mc:AlternateContent>
          <mc:Choice Requires="wps">
            <w:drawing>
              <wp:anchor distT="0" distB="0" distL="0" distR="0" allowOverlap="1" layoutInCell="1" locked="0" behindDoc="0" simplePos="0" relativeHeight="15736832">
                <wp:simplePos x="0" y="0"/>
                <wp:positionH relativeFrom="page">
                  <wp:posOffset>935997</wp:posOffset>
                </wp:positionH>
                <wp:positionV relativeFrom="paragraph">
                  <wp:posOffset>193448</wp:posOffset>
                </wp:positionV>
                <wp:extent cx="59690" cy="59690"/>
                <wp:effectExtent l="0" t="0" r="0" b="0"/>
                <wp:wrapNone/>
                <wp:docPr id="26" name="Graphic 26"/>
                <wp:cNvGraphicFramePr>
                  <a:graphicFrameLocks/>
                </wp:cNvGraphicFramePr>
                <a:graphic>
                  <a:graphicData uri="http://schemas.microsoft.com/office/word/2010/wordprocessingShape">
                    <wps:wsp>
                      <wps:cNvPr id="26" name="Graphic 2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232175pt;width:4.7pt;height:4.7pt;mso-position-horizontal-relative:page;mso-position-vertical-relative:paragraph;z-index:15736832" id="docshape21" coordorigin="1474,305" coordsize="94,94" path="m1521,305l1502,308,1488,318,1478,333,1474,351,1478,369,1488,384,1502,394,1521,398,1539,394,1554,384,1564,369,1567,351,1564,333,1554,318,1539,308,1521,305xe" filled="true" fillcolor="#1a4796" stroked="false">
                <v:path arrowok="t"/>
                <v:fill type="solid"/>
                <w10:wrap type="none"/>
              </v:shape>
            </w:pict>
          </mc:Fallback>
        </mc:AlternateContent>
      </w:r>
      <w:r>
        <w:rPr>
          <w:rFonts w:ascii="Segoe UI Semibold" w:hAnsi="Segoe UI Semibold"/>
          <w:b/>
          <w:color w:val="1A4796"/>
        </w:rPr>
        <w:t>Ley para la Administración de las Exportaciones</w:t>
      </w:r>
      <w:r>
        <w:rPr>
          <w:rFonts w:ascii="Segoe UI Semibold" w:hAnsi="Segoe UI Semibold"/>
          <w:b/>
          <w:color w:val="1A4796"/>
          <w:spacing w:val="40"/>
        </w:rPr>
        <w:t> </w:t>
      </w:r>
      <w:r>
        <w:rPr>
          <w:rFonts w:ascii="Segoe UI Semibold" w:hAnsi="Segoe UI Semibold"/>
          <w:b/>
          <w:color w:val="1A4796"/>
        </w:rPr>
        <w:t>(1979):</w:t>
      </w:r>
      <w:r>
        <w:rPr>
          <w:rFonts w:ascii="Segoe UI Semibold" w:hAnsi="Segoe UI Semibold"/>
          <w:b/>
          <w:color w:val="1A4796"/>
          <w:spacing w:val="40"/>
        </w:rPr>
        <w:t> </w:t>
      </w:r>
      <w:r>
        <w:rPr>
          <w:color w:val="231F20"/>
        </w:rPr>
        <w:t>La</w:t>
      </w:r>
      <w:r>
        <w:rPr>
          <w:color w:val="231F20"/>
          <w:spacing w:val="40"/>
        </w:rPr>
        <w:t> </w:t>
      </w:r>
      <w:r>
        <w:rPr>
          <w:color w:val="231F20"/>
        </w:rPr>
        <w:t>Sección</w:t>
      </w:r>
      <w:r>
        <w:rPr>
          <w:color w:val="231F20"/>
          <w:spacing w:val="40"/>
        </w:rPr>
        <w:t> </w:t>
      </w:r>
      <w:r>
        <w:rPr>
          <w:color w:val="231F20"/>
        </w:rPr>
        <w:t>2401 (b) (1) “Control de la Seguridad Nacional”,</w:t>
      </w:r>
      <w:r>
        <w:rPr>
          <w:color w:val="231F20"/>
          <w:spacing w:val="-4"/>
        </w:rPr>
        <w:t> </w:t>
      </w:r>
      <w:r>
        <w:rPr>
          <w:color w:val="231F20"/>
        </w:rPr>
        <w:t>“Política</w:t>
      </w:r>
      <w:r>
        <w:rPr>
          <w:color w:val="231F20"/>
          <w:spacing w:val="-4"/>
        </w:rPr>
        <w:t> </w:t>
      </w:r>
      <w:r>
        <w:rPr>
          <w:color w:val="231F20"/>
        </w:rPr>
        <w:t>hacia</w:t>
      </w:r>
      <w:r>
        <w:rPr>
          <w:color w:val="231F20"/>
          <w:spacing w:val="-4"/>
        </w:rPr>
        <w:t> </w:t>
      </w:r>
      <w:r>
        <w:rPr>
          <w:color w:val="231F20"/>
        </w:rPr>
        <w:t>determinados Estados”, establece la Lista de Control del Comercio, en la cual el </w:t>
      </w:r>
      <w:r>
        <w:rPr>
          <w:color w:val="231F20"/>
        </w:rPr>
        <w:t>Presidente de los Estados Unidos mantiene a un </w:t>
      </w:r>
      <w:r>
        <w:rPr>
          <w:color w:val="231F20"/>
          <w:spacing w:val="-4"/>
        </w:rPr>
        <w:t>número</w:t>
      </w:r>
      <w:r>
        <w:rPr>
          <w:color w:val="231F20"/>
          <w:spacing w:val="-13"/>
        </w:rPr>
        <w:t> </w:t>
      </w:r>
      <w:r>
        <w:rPr>
          <w:color w:val="231F20"/>
          <w:spacing w:val="-4"/>
        </w:rPr>
        <w:t>de</w:t>
      </w:r>
      <w:r>
        <w:rPr>
          <w:color w:val="231F20"/>
          <w:spacing w:val="-12"/>
        </w:rPr>
        <w:t> </w:t>
      </w:r>
      <w:r>
        <w:rPr>
          <w:color w:val="231F20"/>
          <w:spacing w:val="-4"/>
        </w:rPr>
        <w:t>países</w:t>
      </w:r>
      <w:r>
        <w:rPr>
          <w:color w:val="231F20"/>
          <w:spacing w:val="-13"/>
        </w:rPr>
        <w:t> </w:t>
      </w:r>
      <w:r>
        <w:rPr>
          <w:color w:val="231F20"/>
          <w:spacing w:val="-4"/>
        </w:rPr>
        <w:t>a</w:t>
      </w:r>
      <w:r>
        <w:rPr>
          <w:color w:val="231F20"/>
          <w:spacing w:val="-12"/>
        </w:rPr>
        <w:t> </w:t>
      </w:r>
      <w:r>
        <w:rPr>
          <w:color w:val="231F20"/>
          <w:spacing w:val="-4"/>
        </w:rPr>
        <w:t>los</w:t>
      </w:r>
      <w:r>
        <w:rPr>
          <w:color w:val="231F20"/>
          <w:spacing w:val="-13"/>
        </w:rPr>
        <w:t> </w:t>
      </w:r>
      <w:r>
        <w:rPr>
          <w:color w:val="231F20"/>
          <w:spacing w:val="-4"/>
        </w:rPr>
        <w:t>que</w:t>
      </w:r>
      <w:r>
        <w:rPr>
          <w:color w:val="231F20"/>
          <w:spacing w:val="-12"/>
        </w:rPr>
        <w:t> </w:t>
      </w:r>
      <w:r>
        <w:rPr>
          <w:color w:val="231F20"/>
          <w:spacing w:val="-4"/>
        </w:rPr>
        <w:t>se</w:t>
      </w:r>
      <w:r>
        <w:rPr>
          <w:color w:val="231F20"/>
          <w:spacing w:val="-13"/>
        </w:rPr>
        <w:t> </w:t>
      </w:r>
      <w:r>
        <w:rPr>
          <w:color w:val="231F20"/>
          <w:spacing w:val="-4"/>
        </w:rPr>
        <w:t>les</w:t>
      </w:r>
      <w:r>
        <w:rPr>
          <w:color w:val="231F20"/>
          <w:spacing w:val="-12"/>
        </w:rPr>
        <w:t> </w:t>
      </w:r>
      <w:r>
        <w:rPr>
          <w:color w:val="231F20"/>
          <w:spacing w:val="-4"/>
        </w:rPr>
        <w:t>podrán </w:t>
      </w:r>
      <w:r>
        <w:rPr>
          <w:color w:val="231F20"/>
        </w:rPr>
        <w:t>establecer controles de exportación especiales por consideraciones de seguridad nacional. Cuba está incluida en este listado.</w:t>
      </w:r>
    </w:p>
    <w:p>
      <w:pPr>
        <w:pStyle w:val="BodyText"/>
        <w:spacing w:before="169"/>
        <w:ind w:left="1734" w:right="1"/>
      </w:pPr>
      <w:r>
        <w:rPr/>
        <mc:AlternateContent>
          <mc:Choice Requires="wps">
            <w:drawing>
              <wp:anchor distT="0" distB="0" distL="0" distR="0" allowOverlap="1" layoutInCell="1" locked="0" behindDoc="0" simplePos="0" relativeHeight="15737344">
                <wp:simplePos x="0" y="0"/>
                <wp:positionH relativeFrom="page">
                  <wp:posOffset>935997</wp:posOffset>
                </wp:positionH>
                <wp:positionV relativeFrom="paragraph">
                  <wp:posOffset>191855</wp:posOffset>
                </wp:positionV>
                <wp:extent cx="59690" cy="59690"/>
                <wp:effectExtent l="0" t="0" r="0" b="0"/>
                <wp:wrapNone/>
                <wp:docPr id="27" name="Graphic 27"/>
                <wp:cNvGraphicFramePr>
                  <a:graphicFrameLocks/>
                </wp:cNvGraphicFramePr>
                <a:graphic>
                  <a:graphicData uri="http://schemas.microsoft.com/office/word/2010/wordprocessingShape">
                    <wps:wsp>
                      <wps:cNvPr id="27" name="Graphic 2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106725pt;width:4.7pt;height:4.7pt;mso-position-horizontal-relative:page;mso-position-vertical-relative:paragraph;z-index:15737344" id="docshape22" coordorigin="1474,302" coordsize="94,94" path="m1521,302l1502,306,1488,316,1478,331,1474,349,1478,367,1488,382,1502,392,1521,395,1539,392,1554,382,1564,367,1567,349,1564,331,1554,316,1539,306,1521,302xe" filled="true" fillcolor="#1a4796" stroked="false">
                <v:path arrowok="t"/>
                <v:fill type="solid"/>
                <w10:wrap type="none"/>
              </v:shape>
            </w:pict>
          </mc:Fallback>
        </mc:AlternateContent>
      </w:r>
      <w:r>
        <w:rPr>
          <w:rFonts w:ascii="Segoe UI Semibold" w:hAnsi="Segoe UI Semibold"/>
          <w:b/>
          <w:color w:val="1A4796"/>
          <w:spacing w:val="-4"/>
        </w:rPr>
        <w:t>Regulaciones</w:t>
      </w:r>
      <w:r>
        <w:rPr>
          <w:rFonts w:ascii="Segoe UI Semibold" w:hAnsi="Segoe UI Semibold"/>
          <w:b/>
          <w:color w:val="1A4796"/>
          <w:spacing w:val="-9"/>
        </w:rPr>
        <w:t> </w:t>
      </w:r>
      <w:r>
        <w:rPr>
          <w:rFonts w:ascii="Segoe UI Semibold" w:hAnsi="Segoe UI Semibold"/>
          <w:b/>
          <w:color w:val="1A4796"/>
          <w:spacing w:val="-4"/>
        </w:rPr>
        <w:t>para</w:t>
      </w:r>
      <w:r>
        <w:rPr>
          <w:rFonts w:ascii="Segoe UI Semibold" w:hAnsi="Segoe UI Semibold"/>
          <w:b/>
          <w:color w:val="1A4796"/>
          <w:spacing w:val="-9"/>
        </w:rPr>
        <w:t> </w:t>
      </w:r>
      <w:r>
        <w:rPr>
          <w:rFonts w:ascii="Segoe UI Semibold" w:hAnsi="Segoe UI Semibold"/>
          <w:b/>
          <w:color w:val="1A4796"/>
          <w:spacing w:val="-4"/>
        </w:rPr>
        <w:t>la</w:t>
      </w:r>
      <w:r>
        <w:rPr>
          <w:rFonts w:ascii="Segoe UI Semibold" w:hAnsi="Segoe UI Semibold"/>
          <w:b/>
          <w:color w:val="1A4796"/>
          <w:spacing w:val="-9"/>
        </w:rPr>
        <w:t> </w:t>
      </w:r>
      <w:r>
        <w:rPr>
          <w:rFonts w:ascii="Segoe UI Semibold" w:hAnsi="Segoe UI Semibold"/>
          <w:b/>
          <w:color w:val="1A4796"/>
          <w:spacing w:val="-4"/>
        </w:rPr>
        <w:t>Administración</w:t>
      </w:r>
      <w:r>
        <w:rPr>
          <w:rFonts w:ascii="Segoe UI Semibold" w:hAnsi="Segoe UI Semibold"/>
          <w:b/>
          <w:color w:val="1A4796"/>
          <w:spacing w:val="-9"/>
        </w:rPr>
        <w:t> </w:t>
      </w:r>
      <w:r>
        <w:rPr>
          <w:rFonts w:ascii="Segoe UI Semibold" w:hAnsi="Segoe UI Semibold"/>
          <w:b/>
          <w:color w:val="1A4796"/>
          <w:spacing w:val="-4"/>
        </w:rPr>
        <w:t>de </w:t>
      </w:r>
      <w:r>
        <w:rPr>
          <w:rFonts w:ascii="Segoe UI Semibold" w:hAnsi="Segoe UI Semibold"/>
          <w:b/>
          <w:color w:val="1A4796"/>
        </w:rPr>
        <w:t>las Exportaciones (EAR por sus siglas en inglés, 1979): </w:t>
      </w:r>
      <w:r>
        <w:rPr>
          <w:color w:val="231F20"/>
        </w:rPr>
        <w:t>Establecen las bases </w:t>
      </w:r>
      <w:r>
        <w:rPr>
          <w:color w:val="231F20"/>
          <w:spacing w:val="-2"/>
        </w:rPr>
        <w:t>de</w:t>
      </w:r>
      <w:r>
        <w:rPr>
          <w:color w:val="231F20"/>
          <w:spacing w:val="-12"/>
        </w:rPr>
        <w:t> </w:t>
      </w:r>
      <w:r>
        <w:rPr>
          <w:color w:val="231F20"/>
          <w:spacing w:val="-2"/>
        </w:rPr>
        <w:t>los</w:t>
      </w:r>
      <w:r>
        <w:rPr>
          <w:color w:val="231F20"/>
          <w:spacing w:val="-12"/>
        </w:rPr>
        <w:t> </w:t>
      </w:r>
      <w:r>
        <w:rPr>
          <w:color w:val="231F20"/>
          <w:spacing w:val="-2"/>
        </w:rPr>
        <w:t>controles</w:t>
      </w:r>
      <w:r>
        <w:rPr>
          <w:color w:val="231F20"/>
          <w:spacing w:val="-12"/>
        </w:rPr>
        <w:t> </w:t>
      </w:r>
      <w:r>
        <w:rPr>
          <w:color w:val="231F20"/>
          <w:spacing w:val="-2"/>
        </w:rPr>
        <w:t>generales</w:t>
      </w:r>
      <w:r>
        <w:rPr>
          <w:color w:val="231F20"/>
          <w:spacing w:val="-12"/>
        </w:rPr>
        <w:t> </w:t>
      </w:r>
      <w:r>
        <w:rPr>
          <w:color w:val="231F20"/>
          <w:spacing w:val="-2"/>
        </w:rPr>
        <w:t>para</w:t>
      </w:r>
      <w:r>
        <w:rPr>
          <w:color w:val="231F20"/>
          <w:spacing w:val="-12"/>
        </w:rPr>
        <w:t> </w:t>
      </w:r>
      <w:r>
        <w:rPr>
          <w:color w:val="231F20"/>
          <w:spacing w:val="-2"/>
        </w:rPr>
        <w:t>artículos </w:t>
      </w:r>
      <w:r>
        <w:rPr>
          <w:color w:val="231F20"/>
        </w:rPr>
        <w:t>y actividades sujetas al control de las EAR, en consonancia con las medidas </w:t>
      </w:r>
      <w:r>
        <w:rPr>
          <w:color w:val="231F20"/>
          <w:spacing w:val="-4"/>
        </w:rPr>
        <w:t>impuestas</w:t>
      </w:r>
      <w:r>
        <w:rPr>
          <w:color w:val="231F20"/>
          <w:spacing w:val="-13"/>
        </w:rPr>
        <w:t> </w:t>
      </w:r>
      <w:r>
        <w:rPr>
          <w:color w:val="231F20"/>
          <w:spacing w:val="-4"/>
        </w:rPr>
        <w:t>por</w:t>
      </w:r>
      <w:r>
        <w:rPr>
          <w:color w:val="231F20"/>
          <w:spacing w:val="-12"/>
        </w:rPr>
        <w:t> </w:t>
      </w:r>
      <w:r>
        <w:rPr>
          <w:color w:val="231F20"/>
          <w:spacing w:val="-4"/>
        </w:rPr>
        <w:t>el</w:t>
      </w:r>
      <w:r>
        <w:rPr>
          <w:color w:val="231F20"/>
          <w:spacing w:val="-13"/>
        </w:rPr>
        <w:t> </w:t>
      </w:r>
      <w:r>
        <w:rPr>
          <w:color w:val="231F20"/>
          <w:spacing w:val="-4"/>
        </w:rPr>
        <w:t>gobierno</w:t>
      </w:r>
      <w:r>
        <w:rPr>
          <w:color w:val="231F20"/>
          <w:spacing w:val="-12"/>
        </w:rPr>
        <w:t> </w:t>
      </w:r>
      <w:r>
        <w:rPr>
          <w:color w:val="231F20"/>
          <w:spacing w:val="-4"/>
        </w:rPr>
        <w:t>de</w:t>
      </w:r>
      <w:r>
        <w:rPr>
          <w:color w:val="231F20"/>
          <w:spacing w:val="-13"/>
        </w:rPr>
        <w:t> </w:t>
      </w:r>
      <w:r>
        <w:rPr>
          <w:color w:val="231F20"/>
          <w:spacing w:val="-4"/>
        </w:rPr>
        <w:t>los</w:t>
      </w:r>
      <w:r>
        <w:rPr>
          <w:color w:val="231F20"/>
          <w:spacing w:val="-12"/>
        </w:rPr>
        <w:t> </w:t>
      </w:r>
      <w:r>
        <w:rPr>
          <w:color w:val="231F20"/>
          <w:spacing w:val="-4"/>
        </w:rPr>
        <w:t>Estados </w:t>
      </w:r>
      <w:r>
        <w:rPr>
          <w:color w:val="231F20"/>
        </w:rPr>
        <w:t>Unidos.</w:t>
      </w:r>
      <w:r>
        <w:rPr>
          <w:color w:val="231F20"/>
          <w:spacing w:val="-4"/>
        </w:rPr>
        <w:t> </w:t>
      </w:r>
      <w:r>
        <w:rPr>
          <w:color w:val="231F20"/>
        </w:rPr>
        <w:t>Establecen</w:t>
      </w:r>
      <w:r>
        <w:rPr>
          <w:color w:val="231F20"/>
          <w:spacing w:val="-4"/>
        </w:rPr>
        <w:t> </w:t>
      </w:r>
      <w:r>
        <w:rPr>
          <w:color w:val="231F20"/>
        </w:rPr>
        <w:t>una</w:t>
      </w:r>
      <w:r>
        <w:rPr>
          <w:color w:val="231F20"/>
          <w:spacing w:val="-4"/>
        </w:rPr>
        <w:t> </w:t>
      </w:r>
      <w:r>
        <w:rPr>
          <w:color w:val="231F20"/>
        </w:rPr>
        <w:t>política</w:t>
      </w:r>
      <w:r>
        <w:rPr>
          <w:color w:val="231F20"/>
          <w:spacing w:val="-4"/>
        </w:rPr>
        <w:t> </w:t>
      </w:r>
      <w:r>
        <w:rPr>
          <w:color w:val="231F20"/>
        </w:rPr>
        <w:t>general de</w:t>
      </w:r>
      <w:r>
        <w:rPr>
          <w:color w:val="231F20"/>
          <w:spacing w:val="-11"/>
        </w:rPr>
        <w:t> </w:t>
      </w:r>
      <w:r>
        <w:rPr>
          <w:color w:val="231F20"/>
        </w:rPr>
        <w:t>denegación</w:t>
      </w:r>
      <w:r>
        <w:rPr>
          <w:color w:val="231F20"/>
          <w:spacing w:val="-11"/>
        </w:rPr>
        <w:t> </w:t>
      </w:r>
      <w:r>
        <w:rPr>
          <w:color w:val="231F20"/>
        </w:rPr>
        <w:t>para</w:t>
      </w:r>
      <w:r>
        <w:rPr>
          <w:color w:val="231F20"/>
          <w:spacing w:val="-11"/>
        </w:rPr>
        <w:t> </w:t>
      </w:r>
      <w:r>
        <w:rPr>
          <w:color w:val="231F20"/>
        </w:rPr>
        <w:t>las</w:t>
      </w:r>
      <w:r>
        <w:rPr>
          <w:color w:val="231F20"/>
          <w:spacing w:val="-11"/>
        </w:rPr>
        <w:t> </w:t>
      </w:r>
      <w:r>
        <w:rPr>
          <w:color w:val="231F20"/>
        </w:rPr>
        <w:t>exportaciones</w:t>
      </w:r>
      <w:r>
        <w:rPr>
          <w:color w:val="231F20"/>
          <w:spacing w:val="-11"/>
        </w:rPr>
        <w:t> </w:t>
      </w:r>
      <w:r>
        <w:rPr>
          <w:color w:val="231F20"/>
        </w:rPr>
        <w:t>y reexportaciones a Cuba.</w:t>
      </w:r>
    </w:p>
    <w:p>
      <w:pPr>
        <w:pStyle w:val="BodyText"/>
        <w:spacing w:before="168"/>
        <w:ind w:left="1734" w:right="1"/>
      </w:pPr>
      <w:r>
        <w:rPr/>
        <mc:AlternateContent>
          <mc:Choice Requires="wps">
            <w:drawing>
              <wp:anchor distT="0" distB="0" distL="0" distR="0" allowOverlap="1" layoutInCell="1" locked="0" behindDoc="0" simplePos="0" relativeHeight="15737856">
                <wp:simplePos x="0" y="0"/>
                <wp:positionH relativeFrom="page">
                  <wp:posOffset>935997</wp:posOffset>
                </wp:positionH>
                <wp:positionV relativeFrom="paragraph">
                  <wp:posOffset>190862</wp:posOffset>
                </wp:positionV>
                <wp:extent cx="59690" cy="59690"/>
                <wp:effectExtent l="0" t="0" r="0" b="0"/>
                <wp:wrapNone/>
                <wp:docPr id="28" name="Graphic 28"/>
                <wp:cNvGraphicFramePr>
                  <a:graphicFrameLocks/>
                </wp:cNvGraphicFramePr>
                <a:graphic>
                  <a:graphicData uri="http://schemas.microsoft.com/office/word/2010/wordprocessingShape">
                    <wps:wsp>
                      <wps:cNvPr id="28" name="Graphic 2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02855pt;width:4.7pt;height:4.7pt;mso-position-horizontal-relative:page;mso-position-vertical-relative:paragraph;z-index:15737856" id="docshape23" coordorigin="1474,301" coordsize="94,94" path="m1521,301l1502,304,1488,314,1478,329,1474,347,1478,365,1488,380,1502,390,1521,394,1539,390,1554,380,1564,365,1567,347,1564,329,1554,314,1539,304,1521,301xe" filled="true" fillcolor="#1a4796" stroked="false">
                <v:path arrowok="t"/>
                <v:fill type="solid"/>
                <w10:wrap type="none"/>
              </v:shape>
            </w:pict>
          </mc:Fallback>
        </mc:AlternateContent>
      </w:r>
      <w:r>
        <w:rPr>
          <w:rFonts w:ascii="Segoe UI Semibold" w:hAnsi="Segoe UI Semibold"/>
          <w:b/>
          <w:color w:val="1A4796"/>
        </w:rPr>
        <w:t>Ley para la Democracia Cubana o Ley </w:t>
      </w:r>
      <w:r>
        <w:rPr>
          <w:rFonts w:ascii="Segoe UI Semibold" w:hAnsi="Segoe UI Semibold"/>
          <w:b/>
          <w:color w:val="1A4796"/>
          <w:spacing w:val="-6"/>
        </w:rPr>
        <w:t>Torricelli</w:t>
      </w:r>
      <w:r>
        <w:rPr>
          <w:rFonts w:ascii="Segoe UI Semibold" w:hAnsi="Segoe UI Semibold"/>
          <w:b/>
          <w:color w:val="1A4796"/>
          <w:spacing w:val="-11"/>
        </w:rPr>
        <w:t> </w:t>
      </w:r>
      <w:r>
        <w:rPr>
          <w:rFonts w:ascii="Segoe UI Semibold" w:hAnsi="Segoe UI Semibold"/>
          <w:b/>
          <w:color w:val="1A4796"/>
          <w:spacing w:val="-6"/>
        </w:rPr>
        <w:t>(1992):</w:t>
      </w:r>
      <w:r>
        <w:rPr>
          <w:rFonts w:ascii="Segoe UI Semibold" w:hAnsi="Segoe UI Semibold"/>
          <w:b/>
          <w:color w:val="1A4796"/>
          <w:spacing w:val="-10"/>
        </w:rPr>
        <w:t> </w:t>
      </w:r>
      <w:r>
        <w:rPr>
          <w:color w:val="231F20"/>
          <w:spacing w:val="-6"/>
        </w:rPr>
        <w:t>Prohíbe</w:t>
      </w:r>
      <w:r>
        <w:rPr>
          <w:color w:val="231F20"/>
          <w:spacing w:val="-11"/>
        </w:rPr>
        <w:t> </w:t>
      </w:r>
      <w:r>
        <w:rPr>
          <w:color w:val="231F20"/>
          <w:spacing w:val="-6"/>
        </w:rPr>
        <w:t>a</w:t>
      </w:r>
      <w:r>
        <w:rPr>
          <w:color w:val="231F20"/>
          <w:spacing w:val="-10"/>
        </w:rPr>
        <w:t> </w:t>
      </w:r>
      <w:r>
        <w:rPr>
          <w:color w:val="231F20"/>
          <w:spacing w:val="-6"/>
        </w:rPr>
        <w:t>las</w:t>
      </w:r>
      <w:r>
        <w:rPr>
          <w:color w:val="231F20"/>
          <w:spacing w:val="-11"/>
        </w:rPr>
        <w:t> </w:t>
      </w:r>
      <w:r>
        <w:rPr>
          <w:color w:val="231F20"/>
          <w:spacing w:val="-6"/>
        </w:rPr>
        <w:t>subsidiarias </w:t>
      </w:r>
      <w:r>
        <w:rPr>
          <w:color w:val="231F20"/>
        </w:rPr>
        <w:t>de compañías estadounidenses en terceros países comerciar bienes con Cuba</w:t>
      </w:r>
      <w:r>
        <w:rPr>
          <w:color w:val="231F20"/>
          <w:spacing w:val="40"/>
        </w:rPr>
        <w:t> </w:t>
      </w:r>
      <w:r>
        <w:rPr>
          <w:color w:val="231F20"/>
        </w:rPr>
        <w:t>o</w:t>
      </w:r>
      <w:r>
        <w:rPr>
          <w:color w:val="231F20"/>
          <w:spacing w:val="40"/>
        </w:rPr>
        <w:t> </w:t>
      </w:r>
      <w:r>
        <w:rPr>
          <w:color w:val="231F20"/>
        </w:rPr>
        <w:t>nacionales</w:t>
      </w:r>
      <w:r>
        <w:rPr>
          <w:color w:val="231F20"/>
          <w:spacing w:val="40"/>
        </w:rPr>
        <w:t> </w:t>
      </w:r>
      <w:r>
        <w:rPr>
          <w:color w:val="231F20"/>
        </w:rPr>
        <w:t>cubanos.</w:t>
      </w:r>
      <w:r>
        <w:rPr>
          <w:color w:val="231F20"/>
          <w:spacing w:val="40"/>
        </w:rPr>
        <w:t> </w:t>
      </w:r>
      <w:r>
        <w:rPr>
          <w:color w:val="231F20"/>
        </w:rPr>
        <w:t>Prohíbe</w:t>
      </w:r>
      <w:r>
        <w:rPr>
          <w:color w:val="231F20"/>
          <w:spacing w:val="40"/>
        </w:rPr>
        <w:t> </w:t>
      </w:r>
      <w:r>
        <w:rPr>
          <w:color w:val="231F20"/>
        </w:rPr>
        <w:t>a</w:t>
      </w:r>
      <w:r>
        <w:rPr>
          <w:color w:val="231F20"/>
          <w:spacing w:val="76"/>
        </w:rPr>
        <w:t> </w:t>
      </w:r>
      <w:r>
        <w:rPr>
          <w:color w:val="231F20"/>
        </w:rPr>
        <w:t>los</w:t>
      </w:r>
      <w:r>
        <w:rPr>
          <w:color w:val="231F20"/>
          <w:spacing w:val="76"/>
        </w:rPr>
        <w:t> </w:t>
      </w:r>
      <w:r>
        <w:rPr>
          <w:color w:val="231F20"/>
        </w:rPr>
        <w:t>barcos</w:t>
      </w:r>
      <w:r>
        <w:rPr>
          <w:color w:val="231F20"/>
          <w:spacing w:val="76"/>
        </w:rPr>
        <w:t> </w:t>
      </w:r>
      <w:r>
        <w:rPr>
          <w:color w:val="231F20"/>
        </w:rPr>
        <w:t>de</w:t>
      </w:r>
      <w:r>
        <w:rPr>
          <w:color w:val="231F20"/>
          <w:spacing w:val="76"/>
        </w:rPr>
        <w:t> </w:t>
      </w:r>
      <w:r>
        <w:rPr>
          <w:color w:val="231F20"/>
        </w:rPr>
        <w:t>terceros</w:t>
      </w:r>
      <w:r>
        <w:rPr>
          <w:color w:val="231F20"/>
          <w:spacing w:val="76"/>
        </w:rPr>
        <w:t> </w:t>
      </w:r>
      <w:r>
        <w:rPr>
          <w:color w:val="231F20"/>
        </w:rPr>
        <w:t>países</w:t>
      </w:r>
      <w:r>
        <w:rPr>
          <w:color w:val="231F20"/>
          <w:spacing w:val="76"/>
        </w:rPr>
        <w:t> </w:t>
      </w:r>
      <w:r>
        <w:rPr>
          <w:color w:val="231F20"/>
          <w:spacing w:val="-5"/>
        </w:rPr>
        <w:t>que</w:t>
      </w:r>
    </w:p>
    <w:p>
      <w:pPr>
        <w:pStyle w:val="BodyText"/>
        <w:spacing w:before="77"/>
        <w:ind w:left="673" w:right="1133"/>
      </w:pPr>
      <w:r>
        <w:rPr/>
        <w:br w:type="column"/>
      </w:r>
      <w:r>
        <w:rPr>
          <w:color w:val="231F20"/>
          <w:spacing w:val="-2"/>
        </w:rPr>
        <w:t>toquen</w:t>
      </w:r>
      <w:r>
        <w:rPr>
          <w:color w:val="231F20"/>
          <w:spacing w:val="-15"/>
        </w:rPr>
        <w:t> </w:t>
      </w:r>
      <w:r>
        <w:rPr>
          <w:color w:val="231F20"/>
          <w:spacing w:val="-2"/>
        </w:rPr>
        <w:t>puerto</w:t>
      </w:r>
      <w:r>
        <w:rPr>
          <w:color w:val="231F20"/>
          <w:spacing w:val="-14"/>
        </w:rPr>
        <w:t> </w:t>
      </w:r>
      <w:r>
        <w:rPr>
          <w:color w:val="231F20"/>
          <w:spacing w:val="-2"/>
        </w:rPr>
        <w:t>cubano</w:t>
      </w:r>
      <w:r>
        <w:rPr>
          <w:color w:val="231F20"/>
          <w:spacing w:val="-15"/>
        </w:rPr>
        <w:t> </w:t>
      </w:r>
      <w:r>
        <w:rPr>
          <w:color w:val="231F20"/>
          <w:spacing w:val="-2"/>
        </w:rPr>
        <w:t>entrar</w:t>
      </w:r>
      <w:r>
        <w:rPr>
          <w:color w:val="231F20"/>
          <w:spacing w:val="-14"/>
        </w:rPr>
        <w:t> </w:t>
      </w:r>
      <w:r>
        <w:rPr>
          <w:color w:val="231F20"/>
          <w:spacing w:val="-2"/>
        </w:rPr>
        <w:t>a</w:t>
      </w:r>
      <w:r>
        <w:rPr>
          <w:color w:val="231F20"/>
          <w:spacing w:val="-15"/>
        </w:rPr>
        <w:t> </w:t>
      </w:r>
      <w:r>
        <w:rPr>
          <w:color w:val="231F20"/>
          <w:spacing w:val="-2"/>
        </w:rPr>
        <w:t>territorio estadounidense</w:t>
      </w:r>
      <w:r>
        <w:rPr>
          <w:color w:val="231F20"/>
          <w:spacing w:val="-15"/>
        </w:rPr>
        <w:t> </w:t>
      </w:r>
      <w:r>
        <w:rPr>
          <w:color w:val="231F20"/>
          <w:spacing w:val="-2"/>
        </w:rPr>
        <w:t>en</w:t>
      </w:r>
      <w:r>
        <w:rPr>
          <w:color w:val="231F20"/>
          <w:spacing w:val="-14"/>
        </w:rPr>
        <w:t> </w:t>
      </w:r>
      <w:r>
        <w:rPr>
          <w:color w:val="231F20"/>
          <w:spacing w:val="-2"/>
        </w:rPr>
        <w:t>un</w:t>
      </w:r>
      <w:r>
        <w:rPr>
          <w:color w:val="231F20"/>
          <w:spacing w:val="-15"/>
        </w:rPr>
        <w:t> </w:t>
      </w:r>
      <w:r>
        <w:rPr>
          <w:color w:val="231F20"/>
          <w:spacing w:val="-2"/>
        </w:rPr>
        <w:t>plazo</w:t>
      </w:r>
      <w:r>
        <w:rPr>
          <w:color w:val="231F20"/>
          <w:spacing w:val="-14"/>
        </w:rPr>
        <w:t> </w:t>
      </w:r>
      <w:r>
        <w:rPr>
          <w:color w:val="231F20"/>
          <w:spacing w:val="-2"/>
        </w:rPr>
        <w:t>de</w:t>
      </w:r>
      <w:r>
        <w:rPr>
          <w:color w:val="231F20"/>
          <w:spacing w:val="-15"/>
        </w:rPr>
        <w:t> </w:t>
      </w:r>
      <w:r>
        <w:rPr>
          <w:color w:val="231F20"/>
          <w:spacing w:val="-2"/>
        </w:rPr>
        <w:t>180</w:t>
      </w:r>
      <w:r>
        <w:rPr>
          <w:color w:val="231F20"/>
          <w:spacing w:val="-14"/>
        </w:rPr>
        <w:t> </w:t>
      </w:r>
      <w:r>
        <w:rPr>
          <w:color w:val="231F20"/>
          <w:spacing w:val="-2"/>
        </w:rPr>
        <w:t>días, excepto</w:t>
      </w:r>
      <w:r>
        <w:rPr>
          <w:color w:val="231F20"/>
          <w:spacing w:val="-15"/>
        </w:rPr>
        <w:t> </w:t>
      </w:r>
      <w:r>
        <w:rPr>
          <w:color w:val="231F20"/>
          <w:spacing w:val="-2"/>
        </w:rPr>
        <w:t>aquellos</w:t>
      </w:r>
      <w:r>
        <w:rPr>
          <w:color w:val="231F20"/>
          <w:spacing w:val="-14"/>
        </w:rPr>
        <w:t> </w:t>
      </w:r>
      <w:r>
        <w:rPr>
          <w:color w:val="231F20"/>
          <w:spacing w:val="-2"/>
        </w:rPr>
        <w:t>que</w:t>
      </w:r>
      <w:r>
        <w:rPr>
          <w:color w:val="231F20"/>
          <w:spacing w:val="-15"/>
        </w:rPr>
        <w:t> </w:t>
      </w:r>
      <w:r>
        <w:rPr>
          <w:color w:val="231F20"/>
          <w:spacing w:val="-2"/>
        </w:rPr>
        <w:t>tengan</w:t>
      </w:r>
      <w:r>
        <w:rPr>
          <w:color w:val="231F20"/>
          <w:spacing w:val="-14"/>
        </w:rPr>
        <w:t> </w:t>
      </w:r>
      <w:r>
        <w:rPr>
          <w:color w:val="231F20"/>
          <w:spacing w:val="-2"/>
        </w:rPr>
        <w:t>licencia</w:t>
      </w:r>
      <w:r>
        <w:rPr>
          <w:color w:val="231F20"/>
          <w:spacing w:val="-15"/>
        </w:rPr>
        <w:t> </w:t>
      </w:r>
      <w:r>
        <w:rPr>
          <w:color w:val="231F20"/>
          <w:spacing w:val="-2"/>
        </w:rPr>
        <w:t>del </w:t>
      </w:r>
      <w:r>
        <w:rPr>
          <w:color w:val="231F20"/>
        </w:rPr>
        <w:t>Secretario del Tesoro.</w:t>
      </w:r>
    </w:p>
    <w:p>
      <w:pPr>
        <w:pStyle w:val="BodyText"/>
        <w:spacing w:before="163"/>
        <w:ind w:left="673" w:right="1131"/>
      </w:pPr>
      <w:r>
        <w:rPr/>
        <mc:AlternateContent>
          <mc:Choice Requires="wps">
            <w:drawing>
              <wp:anchor distT="0" distB="0" distL="0" distR="0" allowOverlap="1" layoutInCell="1" locked="0" behindDoc="0" simplePos="0" relativeHeight="15738368">
                <wp:simplePos x="0" y="0"/>
                <wp:positionH relativeFrom="page">
                  <wp:posOffset>4031997</wp:posOffset>
                </wp:positionH>
                <wp:positionV relativeFrom="paragraph">
                  <wp:posOffset>188645</wp:posOffset>
                </wp:positionV>
                <wp:extent cx="59690" cy="59690"/>
                <wp:effectExtent l="0" t="0" r="0" b="0"/>
                <wp:wrapNone/>
                <wp:docPr id="29" name="Graphic 29"/>
                <wp:cNvGraphicFramePr>
                  <a:graphicFrameLocks/>
                </wp:cNvGraphicFramePr>
                <a:graphic>
                  <a:graphicData uri="http://schemas.microsoft.com/office/word/2010/wordprocessingShape">
                    <wps:wsp>
                      <wps:cNvPr id="29" name="Graphic 2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85395pt;width:4.7pt;height:4.7pt;mso-position-horizontal-relative:page;mso-position-vertical-relative:paragraph;z-index:15738368" id="docshape24" coordorigin="6350,297" coordsize="94,94" path="m6396,297l6378,301,6363,311,6353,326,6350,344,6353,362,6363,377,6378,387,6396,390,6414,387,6429,377,6439,362,6443,344,6439,326,6429,311,6414,301,6396,297xe" filled="true" fillcolor="#1a4796" stroked="false">
                <v:path arrowok="t"/>
                <v:fill type="solid"/>
                <w10:wrap type="none"/>
              </v:shape>
            </w:pict>
          </mc:Fallback>
        </mc:AlternateContent>
      </w:r>
      <w:r>
        <w:rPr>
          <w:rFonts w:ascii="Segoe UI Semibold" w:hAnsi="Segoe UI Semibold"/>
          <w:b/>
          <w:color w:val="1A4796"/>
        </w:rPr>
        <w:t>Ley para la Libertad y la Solidaridad Democrática Cubanas o Ley </w:t>
      </w:r>
      <w:r>
        <w:rPr>
          <w:rFonts w:ascii="Segoe UI Semibold" w:hAnsi="Segoe UI Semibold"/>
          <w:b/>
          <w:color w:val="1A4796"/>
        </w:rPr>
        <w:t>Helms- </w:t>
      </w:r>
      <w:r>
        <w:rPr>
          <w:rFonts w:ascii="Segoe UI Semibold" w:hAnsi="Segoe UI Semibold"/>
          <w:b/>
          <w:color w:val="1A4796"/>
          <w:spacing w:val="-4"/>
        </w:rPr>
        <w:t>Burton</w:t>
      </w:r>
      <w:r>
        <w:rPr>
          <w:rFonts w:ascii="Segoe UI Semibold" w:hAnsi="Segoe UI Semibold"/>
          <w:b/>
          <w:color w:val="1A4796"/>
          <w:spacing w:val="-5"/>
        </w:rPr>
        <w:t> </w:t>
      </w:r>
      <w:r>
        <w:rPr>
          <w:rFonts w:ascii="Segoe UI Semibold" w:hAnsi="Segoe UI Semibold"/>
          <w:b/>
          <w:color w:val="1A4796"/>
          <w:spacing w:val="-4"/>
        </w:rPr>
        <w:t>(1996):</w:t>
      </w:r>
      <w:r>
        <w:rPr>
          <w:rFonts w:ascii="Segoe UI Semibold" w:hAnsi="Segoe UI Semibold"/>
          <w:b/>
          <w:color w:val="1A4796"/>
          <w:spacing w:val="-5"/>
        </w:rPr>
        <w:t> </w:t>
      </w:r>
      <w:r>
        <w:rPr>
          <w:color w:val="231F20"/>
          <w:spacing w:val="-4"/>
        </w:rPr>
        <w:t>Codificó</w:t>
      </w:r>
      <w:r>
        <w:rPr>
          <w:color w:val="231F20"/>
          <w:spacing w:val="-5"/>
        </w:rPr>
        <w:t> </w:t>
      </w:r>
      <w:r>
        <w:rPr>
          <w:color w:val="231F20"/>
          <w:spacing w:val="-4"/>
        </w:rPr>
        <w:t>las</w:t>
      </w:r>
      <w:r>
        <w:rPr>
          <w:color w:val="231F20"/>
          <w:spacing w:val="-5"/>
        </w:rPr>
        <w:t> </w:t>
      </w:r>
      <w:r>
        <w:rPr>
          <w:color w:val="231F20"/>
          <w:spacing w:val="-4"/>
        </w:rPr>
        <w:t>disposiciones </w:t>
      </w:r>
      <w:r>
        <w:rPr>
          <w:color w:val="231F20"/>
        </w:rPr>
        <w:t>del bloqueo, ampliando su alcance extraterritorial, mediante la imposición de sanciones a directivos de empresas extranjeras que realicen transacciones con propiedades estadounidenses nacionalizadas</w:t>
      </w:r>
      <w:r>
        <w:rPr>
          <w:color w:val="231F20"/>
          <w:spacing w:val="-17"/>
        </w:rPr>
        <w:t> </w:t>
      </w:r>
      <w:r>
        <w:rPr>
          <w:color w:val="231F20"/>
        </w:rPr>
        <w:t>en</w:t>
      </w:r>
      <w:r>
        <w:rPr>
          <w:color w:val="231F20"/>
          <w:spacing w:val="-16"/>
        </w:rPr>
        <w:t> </w:t>
      </w:r>
      <w:r>
        <w:rPr>
          <w:color w:val="231F20"/>
        </w:rPr>
        <w:t>Cuba</w:t>
      </w:r>
      <w:r>
        <w:rPr>
          <w:color w:val="231F20"/>
          <w:spacing w:val="-17"/>
        </w:rPr>
        <w:t> </w:t>
      </w:r>
      <w:r>
        <w:rPr>
          <w:color w:val="231F20"/>
        </w:rPr>
        <w:t>y</w:t>
      </w:r>
      <w:r>
        <w:rPr>
          <w:color w:val="231F20"/>
          <w:spacing w:val="-16"/>
        </w:rPr>
        <w:t> </w:t>
      </w:r>
      <w:r>
        <w:rPr>
          <w:color w:val="231F20"/>
        </w:rPr>
        <w:t>la</w:t>
      </w:r>
      <w:r>
        <w:rPr>
          <w:color w:val="231F20"/>
          <w:spacing w:val="-17"/>
        </w:rPr>
        <w:t> </w:t>
      </w:r>
      <w:r>
        <w:rPr>
          <w:color w:val="231F20"/>
        </w:rPr>
        <w:t>amenaza</w:t>
      </w:r>
      <w:r>
        <w:rPr>
          <w:color w:val="231F20"/>
          <w:spacing w:val="-16"/>
        </w:rPr>
        <w:t> </w:t>
      </w:r>
      <w:r>
        <w:rPr>
          <w:color w:val="231F20"/>
        </w:rPr>
        <w:t>de demandas en tribunales de los Estados Unidos por igual motivo. Asimismo, limitó las prerrogativas del Presidente para levantar la política del bloqueo en su conjunto.</w:t>
      </w:r>
    </w:p>
    <w:p>
      <w:pPr>
        <w:pStyle w:val="BodyText"/>
        <w:spacing w:before="171"/>
        <w:ind w:left="673" w:right="1134"/>
      </w:pPr>
      <w:r>
        <w:rPr/>
        <mc:AlternateContent>
          <mc:Choice Requires="wps">
            <w:drawing>
              <wp:anchor distT="0" distB="0" distL="0" distR="0" allowOverlap="1" layoutInCell="1" locked="0" behindDoc="0" simplePos="0" relativeHeight="15738880">
                <wp:simplePos x="0" y="0"/>
                <wp:positionH relativeFrom="page">
                  <wp:posOffset>4031997</wp:posOffset>
                </wp:positionH>
                <wp:positionV relativeFrom="paragraph">
                  <wp:posOffset>193528</wp:posOffset>
                </wp:positionV>
                <wp:extent cx="59690" cy="59690"/>
                <wp:effectExtent l="0" t="0" r="0" b="0"/>
                <wp:wrapNone/>
                <wp:docPr id="30" name="Graphic 30"/>
                <wp:cNvGraphicFramePr>
                  <a:graphicFrameLocks/>
                </wp:cNvGraphicFramePr>
                <a:graphic>
                  <a:graphicData uri="http://schemas.microsoft.com/office/word/2010/wordprocessingShape">
                    <wps:wsp>
                      <wps:cNvPr id="30" name="Graphic 3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238425pt;width:4.7pt;height:4.7pt;mso-position-horizontal-relative:page;mso-position-vertical-relative:paragraph;z-index:15738880" id="docshape25" coordorigin="6350,305" coordsize="94,94" path="m6396,305l6378,308,6363,318,6353,333,6350,351,6353,370,6363,384,6378,394,6396,398,6414,394,6429,384,6439,370,6443,351,6439,333,6429,318,6414,308,6396,305xe" filled="true" fillcolor="#1a4796" stroked="false">
                <v:path arrowok="t"/>
                <v:fill type="solid"/>
                <w10:wrap type="none"/>
              </v:shape>
            </w:pict>
          </mc:Fallback>
        </mc:AlternateContent>
      </w:r>
      <w:r>
        <w:rPr>
          <w:rFonts w:ascii="Segoe UI Semibold" w:hAnsi="Segoe UI Semibold"/>
          <w:b/>
          <w:color w:val="1A4796"/>
        </w:rPr>
        <w:t>Sección 211 de la Ley de Asignaciones Suplementarias</w:t>
      </w:r>
      <w:r>
        <w:rPr>
          <w:rFonts w:ascii="Segoe UI Semibold" w:hAnsi="Segoe UI Semibold"/>
          <w:b/>
          <w:color w:val="1A4796"/>
          <w:spacing w:val="40"/>
        </w:rPr>
        <w:t> </w:t>
      </w:r>
      <w:r>
        <w:rPr>
          <w:rFonts w:ascii="Segoe UI Semibold" w:hAnsi="Segoe UI Semibold"/>
          <w:b/>
          <w:color w:val="1A4796"/>
        </w:rPr>
        <w:t>y</w:t>
      </w:r>
      <w:r>
        <w:rPr>
          <w:rFonts w:ascii="Segoe UI Semibold" w:hAnsi="Segoe UI Semibold"/>
          <w:b/>
          <w:color w:val="1A4796"/>
          <w:spacing w:val="40"/>
        </w:rPr>
        <w:t> </w:t>
      </w:r>
      <w:r>
        <w:rPr>
          <w:rFonts w:ascii="Segoe UI Semibold" w:hAnsi="Segoe UI Semibold"/>
          <w:b/>
          <w:color w:val="1A4796"/>
        </w:rPr>
        <w:t>de</w:t>
      </w:r>
      <w:r>
        <w:rPr>
          <w:rFonts w:ascii="Segoe UI Semibold" w:hAnsi="Segoe UI Semibold"/>
          <w:b/>
          <w:color w:val="1A4796"/>
          <w:spacing w:val="40"/>
        </w:rPr>
        <w:t> </w:t>
      </w:r>
      <w:r>
        <w:rPr>
          <w:rFonts w:ascii="Segoe UI Semibold" w:hAnsi="Segoe UI Semibold"/>
          <w:b/>
          <w:color w:val="1A4796"/>
        </w:rPr>
        <w:t>Emergencia para el año fiscal 1999: </w:t>
      </w:r>
      <w:r>
        <w:rPr>
          <w:color w:val="231F20"/>
        </w:rPr>
        <w:t>Prohíbe el reconocimiento por los tribunales estadounidenses</w:t>
      </w:r>
      <w:r>
        <w:rPr>
          <w:color w:val="231F20"/>
          <w:spacing w:val="80"/>
          <w:w w:val="150"/>
        </w:rPr>
        <w:t> </w:t>
      </w:r>
      <w:r>
        <w:rPr>
          <w:color w:val="231F20"/>
        </w:rPr>
        <w:t>de</w:t>
      </w:r>
      <w:r>
        <w:rPr>
          <w:color w:val="231F20"/>
          <w:spacing w:val="80"/>
          <w:w w:val="150"/>
        </w:rPr>
        <w:t> </w:t>
      </w:r>
      <w:r>
        <w:rPr>
          <w:color w:val="231F20"/>
        </w:rPr>
        <w:t>los</w:t>
      </w:r>
      <w:r>
        <w:rPr>
          <w:color w:val="231F20"/>
          <w:spacing w:val="80"/>
          <w:w w:val="150"/>
        </w:rPr>
        <w:t> </w:t>
      </w:r>
      <w:r>
        <w:rPr>
          <w:color w:val="231F20"/>
        </w:rPr>
        <w:t>derechos</w:t>
      </w:r>
      <w:r>
        <w:rPr>
          <w:color w:val="231F20"/>
          <w:spacing w:val="40"/>
        </w:rPr>
        <w:t> </w:t>
      </w:r>
      <w:r>
        <w:rPr>
          <w:color w:val="231F20"/>
        </w:rPr>
        <w:t>de empresas cubanas sobre marcas </w:t>
      </w:r>
      <w:r>
        <w:rPr>
          <w:color w:val="231F20"/>
          <w:spacing w:val="-2"/>
        </w:rPr>
        <w:t>asociadas</w:t>
      </w:r>
      <w:r>
        <w:rPr>
          <w:color w:val="231F20"/>
          <w:spacing w:val="-9"/>
        </w:rPr>
        <w:t> </w:t>
      </w:r>
      <w:r>
        <w:rPr>
          <w:color w:val="231F20"/>
          <w:spacing w:val="-2"/>
        </w:rPr>
        <w:t>a</w:t>
      </w:r>
      <w:r>
        <w:rPr>
          <w:color w:val="231F20"/>
          <w:spacing w:val="-9"/>
        </w:rPr>
        <w:t> </w:t>
      </w:r>
      <w:r>
        <w:rPr>
          <w:color w:val="231F20"/>
          <w:spacing w:val="-2"/>
        </w:rPr>
        <w:t>propiedades</w:t>
      </w:r>
      <w:r>
        <w:rPr>
          <w:color w:val="231F20"/>
          <w:spacing w:val="-9"/>
        </w:rPr>
        <w:t> </w:t>
      </w:r>
      <w:r>
        <w:rPr>
          <w:color w:val="231F20"/>
          <w:spacing w:val="-2"/>
        </w:rPr>
        <w:t>nacionalizadas.</w:t>
      </w:r>
    </w:p>
    <w:p>
      <w:pPr>
        <w:pStyle w:val="BodyText"/>
        <w:spacing w:before="165"/>
        <w:ind w:left="673" w:right="1130"/>
      </w:pPr>
      <w:r>
        <w:rPr/>
        <mc:AlternateContent>
          <mc:Choice Requires="wps">
            <w:drawing>
              <wp:anchor distT="0" distB="0" distL="0" distR="0" allowOverlap="1" layoutInCell="1" locked="0" behindDoc="0" simplePos="0" relativeHeight="15739392">
                <wp:simplePos x="0" y="0"/>
                <wp:positionH relativeFrom="page">
                  <wp:posOffset>4031997</wp:posOffset>
                </wp:positionH>
                <wp:positionV relativeFrom="paragraph">
                  <wp:posOffset>190973</wp:posOffset>
                </wp:positionV>
                <wp:extent cx="59690" cy="59690"/>
                <wp:effectExtent l="0" t="0" r="0" b="0"/>
                <wp:wrapNone/>
                <wp:docPr id="31" name="Graphic 31"/>
                <wp:cNvGraphicFramePr>
                  <a:graphicFrameLocks/>
                </wp:cNvGraphicFramePr>
                <a:graphic>
                  <a:graphicData uri="http://schemas.microsoft.com/office/word/2010/wordprocessingShape">
                    <wps:wsp>
                      <wps:cNvPr id="31" name="Graphic 3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037263pt;width:4.7pt;height:4.7pt;mso-position-horizontal-relative:page;mso-position-vertical-relative:paragraph;z-index:15739392" id="docshape26" coordorigin="6350,301" coordsize="94,94" path="m6396,301l6378,304,6363,314,6353,329,6350,347,6353,366,6363,380,6378,390,6396,394,6414,390,6429,380,6439,366,6443,347,6439,329,6429,314,6414,304,6396,301xe" filled="true" fillcolor="#1a4796" stroked="false">
                <v:path arrowok="t"/>
                <v:fill type="solid"/>
                <w10:wrap type="none"/>
              </v:shape>
            </w:pict>
          </mc:Fallback>
        </mc:AlternateContent>
      </w:r>
      <w:r>
        <w:rPr>
          <w:rFonts w:ascii="Segoe UI Semibold" w:hAnsi="Segoe UI Semibold"/>
          <w:b/>
          <w:color w:val="1A4796"/>
        </w:rPr>
        <w:t>Ley de Reforma a las Sanciones Comerciales y Ampliación de las Exportaciones (2000): </w:t>
      </w:r>
      <w:r>
        <w:rPr>
          <w:color w:val="231F20"/>
        </w:rPr>
        <w:t>Autorizó la exportación de productos agrícolas a Cuba,</w:t>
      </w:r>
      <w:r>
        <w:rPr>
          <w:color w:val="231F20"/>
          <w:spacing w:val="-17"/>
        </w:rPr>
        <w:t> </w:t>
      </w:r>
      <w:r>
        <w:rPr>
          <w:color w:val="231F20"/>
        </w:rPr>
        <w:t>condicionada</w:t>
      </w:r>
      <w:r>
        <w:rPr>
          <w:color w:val="231F20"/>
          <w:spacing w:val="-16"/>
        </w:rPr>
        <w:t> </w:t>
      </w:r>
      <w:r>
        <w:rPr>
          <w:color w:val="231F20"/>
        </w:rPr>
        <w:t>al</w:t>
      </w:r>
      <w:r>
        <w:rPr>
          <w:color w:val="231F20"/>
          <w:spacing w:val="-17"/>
        </w:rPr>
        <w:t> </w:t>
      </w:r>
      <w:r>
        <w:rPr>
          <w:color w:val="231F20"/>
        </w:rPr>
        <w:t>pago</w:t>
      </w:r>
      <w:r>
        <w:rPr>
          <w:color w:val="231F20"/>
          <w:spacing w:val="-16"/>
        </w:rPr>
        <w:t> </w:t>
      </w:r>
      <w:r>
        <w:rPr>
          <w:color w:val="231F20"/>
        </w:rPr>
        <w:t>en</w:t>
      </w:r>
      <w:r>
        <w:rPr>
          <w:color w:val="231F20"/>
          <w:spacing w:val="-17"/>
        </w:rPr>
        <w:t> </w:t>
      </w:r>
      <w:r>
        <w:rPr>
          <w:color w:val="231F20"/>
        </w:rPr>
        <w:t>efectivo, por</w:t>
      </w:r>
      <w:r>
        <w:rPr>
          <w:color w:val="231F20"/>
          <w:spacing w:val="-1"/>
        </w:rPr>
        <w:t> </w:t>
      </w:r>
      <w:r>
        <w:rPr>
          <w:color w:val="231F20"/>
        </w:rPr>
        <w:t>adelantado</w:t>
      </w:r>
      <w:r>
        <w:rPr>
          <w:color w:val="231F20"/>
          <w:spacing w:val="-1"/>
        </w:rPr>
        <w:t> </w:t>
      </w:r>
      <w:r>
        <w:rPr>
          <w:color w:val="231F20"/>
        </w:rPr>
        <w:t>y</w:t>
      </w:r>
      <w:r>
        <w:rPr>
          <w:color w:val="231F20"/>
          <w:spacing w:val="-1"/>
        </w:rPr>
        <w:t> </w:t>
      </w:r>
      <w:r>
        <w:rPr>
          <w:color w:val="231F20"/>
        </w:rPr>
        <w:t>sin</w:t>
      </w:r>
      <w:r>
        <w:rPr>
          <w:color w:val="231F20"/>
          <w:spacing w:val="-1"/>
        </w:rPr>
        <w:t> </w:t>
      </w:r>
      <w:r>
        <w:rPr>
          <w:color w:val="231F20"/>
        </w:rPr>
        <w:t>financiamiento</w:t>
      </w:r>
      <w:r>
        <w:rPr>
          <w:color w:val="231F20"/>
          <w:spacing w:val="-1"/>
        </w:rPr>
        <w:t> </w:t>
      </w:r>
      <w:r>
        <w:rPr>
          <w:color w:val="231F20"/>
        </w:rPr>
        <w:t>de los Estados Unidos Prohibió los viajes de</w:t>
      </w:r>
      <w:r>
        <w:rPr>
          <w:color w:val="231F20"/>
          <w:spacing w:val="-3"/>
        </w:rPr>
        <w:t> </w:t>
      </w:r>
      <w:r>
        <w:rPr>
          <w:color w:val="231F20"/>
        </w:rPr>
        <w:t>estadounidenses</w:t>
      </w:r>
      <w:r>
        <w:rPr>
          <w:color w:val="231F20"/>
          <w:spacing w:val="-4"/>
        </w:rPr>
        <w:t> </w:t>
      </w:r>
      <w:r>
        <w:rPr>
          <w:color w:val="231F20"/>
        </w:rPr>
        <w:t>con</w:t>
      </w:r>
      <w:r>
        <w:rPr>
          <w:color w:val="231F20"/>
          <w:spacing w:val="-3"/>
        </w:rPr>
        <w:t> </w:t>
      </w:r>
      <w:r>
        <w:rPr>
          <w:color w:val="231F20"/>
        </w:rPr>
        <w:t>fines</w:t>
      </w:r>
      <w:r>
        <w:rPr>
          <w:color w:val="231F20"/>
          <w:spacing w:val="-4"/>
        </w:rPr>
        <w:t> </w:t>
      </w:r>
      <w:r>
        <w:rPr>
          <w:color w:val="231F20"/>
        </w:rPr>
        <w:t>turísticos a Cuba, al definir la “actividad turística” como cualquier actividad relacionada con viajar hacia, desde o dentro de Cuba que no estuviese expresamente autorizada en la sección 515.560 del Título 31 del Código de Regulaciones Federales.</w:t>
      </w:r>
      <w:r>
        <w:rPr>
          <w:color w:val="231F20"/>
          <w:spacing w:val="-10"/>
        </w:rPr>
        <w:t> </w:t>
      </w:r>
      <w:r>
        <w:rPr>
          <w:color w:val="231F20"/>
        </w:rPr>
        <w:t>Es</w:t>
      </w:r>
      <w:r>
        <w:rPr>
          <w:color w:val="231F20"/>
          <w:spacing w:val="-10"/>
        </w:rPr>
        <w:t> </w:t>
      </w:r>
      <w:r>
        <w:rPr>
          <w:color w:val="231F20"/>
        </w:rPr>
        <w:t>decir,</w:t>
      </w:r>
      <w:r>
        <w:rPr>
          <w:color w:val="231F20"/>
          <w:spacing w:val="-11"/>
        </w:rPr>
        <w:t> </w:t>
      </w:r>
      <w:r>
        <w:rPr>
          <w:color w:val="231F20"/>
        </w:rPr>
        <w:t>limitó</w:t>
      </w:r>
      <w:r>
        <w:rPr>
          <w:color w:val="231F20"/>
          <w:spacing w:val="-10"/>
        </w:rPr>
        <w:t> </w:t>
      </w:r>
      <w:r>
        <w:rPr>
          <w:color w:val="231F20"/>
        </w:rPr>
        <w:t>los</w:t>
      </w:r>
      <w:r>
        <w:rPr>
          <w:color w:val="231F20"/>
          <w:spacing w:val="-10"/>
        </w:rPr>
        <w:t> </w:t>
      </w:r>
      <w:r>
        <w:rPr>
          <w:color w:val="231F20"/>
        </w:rPr>
        <w:t>viajes</w:t>
      </w:r>
      <w:r>
        <w:rPr>
          <w:color w:val="231F20"/>
          <w:spacing w:val="-10"/>
        </w:rPr>
        <w:t> </w:t>
      </w:r>
      <w:r>
        <w:rPr>
          <w:color w:val="231F20"/>
        </w:rPr>
        <w:t>a</w:t>
      </w:r>
      <w:r>
        <w:rPr>
          <w:color w:val="231F20"/>
          <w:spacing w:val="-10"/>
        </w:rPr>
        <w:t> </w:t>
      </w:r>
      <w:r>
        <w:rPr>
          <w:color w:val="231F20"/>
        </w:rPr>
        <w:t>las 12 categorías autorizadas al momento en que se promulgó esta legislación.</w:t>
      </w:r>
    </w:p>
    <w:p>
      <w:pPr>
        <w:spacing w:after="0"/>
        <w:sectPr>
          <w:pgSz w:w="11910" w:h="16840"/>
          <w:pgMar w:header="0" w:footer="695" w:top="1260" w:bottom="880" w:left="0" w:right="0"/>
          <w:cols w:num="2" w:equalWidth="0">
            <w:col w:w="5898" w:space="40"/>
            <w:col w:w="5972"/>
          </w:cols>
        </w:sectPr>
      </w:pPr>
    </w:p>
    <w:p>
      <w:pPr>
        <w:pStyle w:val="Heading2"/>
        <w:spacing w:line="220" w:lineRule="auto" w:before="203"/>
        <w:ind w:right="130"/>
      </w:pPr>
      <w:r>
        <w:rPr/>
        <mc:AlternateContent>
          <mc:Choice Requires="wps">
            <w:drawing>
              <wp:anchor distT="0" distB="0" distL="0" distR="0" allowOverlap="1" layoutInCell="1" locked="0" behindDoc="1" simplePos="0" relativeHeight="485763072">
                <wp:simplePos x="0" y="0"/>
                <wp:positionH relativeFrom="page">
                  <wp:posOffset>3672001</wp:posOffset>
                </wp:positionH>
                <wp:positionV relativeFrom="page">
                  <wp:posOffset>720001</wp:posOffset>
                </wp:positionV>
                <wp:extent cx="2952115" cy="9252585"/>
                <wp:effectExtent l="0" t="0" r="0" b="0"/>
                <wp:wrapNone/>
                <wp:docPr id="32" name="Graphic 32"/>
                <wp:cNvGraphicFramePr>
                  <a:graphicFrameLocks/>
                </wp:cNvGraphicFramePr>
                <a:graphic>
                  <a:graphicData uri="http://schemas.microsoft.com/office/word/2010/wordprocessingShape">
                    <wps:wsp>
                      <wps:cNvPr id="32" name="Graphic 32"/>
                      <wps:cNvSpPr/>
                      <wps:spPr>
                        <a:xfrm>
                          <a:off x="0" y="0"/>
                          <a:ext cx="2952115" cy="9252585"/>
                        </a:xfrm>
                        <a:custGeom>
                          <a:avLst/>
                          <a:gdLst/>
                          <a:ahLst/>
                          <a:cxnLst/>
                          <a:rect l="l" t="t" r="r" b="b"/>
                          <a:pathLst>
                            <a:path w="2952115" h="9252585">
                              <a:moveTo>
                                <a:pt x="2952000" y="0"/>
                              </a:moveTo>
                              <a:lnTo>
                                <a:pt x="0" y="0"/>
                              </a:lnTo>
                              <a:lnTo>
                                <a:pt x="0" y="9252000"/>
                              </a:lnTo>
                              <a:lnTo>
                                <a:pt x="2952000" y="9252000"/>
                              </a:lnTo>
                              <a:lnTo>
                                <a:pt x="2952000"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rect style="position:absolute;margin-left:289.134003pt;margin-top:56.693016pt;width:232.441pt;height:728.504pt;mso-position-horizontal-relative:page;mso-position-vertical-relative:page;z-index:-17553408" id="docshape27" filled="true" fillcolor="#1a4796" stroked="false">
                <v:fill type="solid"/>
                <w10:wrap type="none"/>
              </v:rect>
            </w:pict>
          </mc:Fallback>
        </mc:AlternateContent>
      </w:r>
      <w:r>
        <w:rPr>
          <w:color w:val="1F4282"/>
          <w:w w:val="115"/>
        </w:rPr>
        <w:t>Principales acciones del bloqueo</w:t>
      </w:r>
      <w:r>
        <w:rPr>
          <w:color w:val="1F4282"/>
          <w:spacing w:val="-10"/>
          <w:w w:val="115"/>
        </w:rPr>
        <w:t> </w:t>
      </w:r>
      <w:r>
        <w:rPr>
          <w:color w:val="1F4282"/>
          <w:w w:val="115"/>
        </w:rPr>
        <w:t>entre</w:t>
      </w:r>
      <w:r>
        <w:rPr>
          <w:color w:val="1F4282"/>
          <w:spacing w:val="-10"/>
          <w:w w:val="115"/>
        </w:rPr>
        <w:t> </w:t>
      </w:r>
      <w:r>
        <w:rPr>
          <w:color w:val="1F4282"/>
          <w:w w:val="115"/>
        </w:rPr>
        <w:t>marzo</w:t>
      </w:r>
      <w:r>
        <w:rPr>
          <w:color w:val="1F4282"/>
          <w:spacing w:val="-10"/>
          <w:w w:val="115"/>
        </w:rPr>
        <w:t> </w:t>
      </w:r>
      <w:r>
        <w:rPr>
          <w:color w:val="1F4282"/>
          <w:w w:val="115"/>
        </w:rPr>
        <w:t>de</w:t>
      </w:r>
      <w:r>
        <w:rPr>
          <w:color w:val="1F4282"/>
          <w:spacing w:val="-10"/>
          <w:w w:val="115"/>
        </w:rPr>
        <w:t> </w:t>
      </w:r>
      <w:r>
        <w:rPr>
          <w:color w:val="1F4282"/>
          <w:w w:val="115"/>
        </w:rPr>
        <w:t>2022 y febrero de 2023</w:t>
      </w:r>
    </w:p>
    <w:p>
      <w:pPr>
        <w:pStyle w:val="BodyText"/>
        <w:spacing w:before="259"/>
        <w:ind w:left="1133"/>
      </w:pPr>
      <w:r>
        <w:rPr>
          <w:color w:val="231F20"/>
        </w:rPr>
        <w:t>Entre</w:t>
      </w:r>
      <w:r>
        <w:rPr>
          <w:color w:val="231F20"/>
          <w:spacing w:val="-6"/>
        </w:rPr>
        <w:t> </w:t>
      </w:r>
      <w:r>
        <w:rPr>
          <w:color w:val="231F20"/>
        </w:rPr>
        <w:t>marzo</w:t>
      </w:r>
      <w:r>
        <w:rPr>
          <w:color w:val="231F20"/>
          <w:spacing w:val="-7"/>
        </w:rPr>
        <w:t> </w:t>
      </w:r>
      <w:r>
        <w:rPr>
          <w:color w:val="231F20"/>
        </w:rPr>
        <w:t>de</w:t>
      </w:r>
      <w:r>
        <w:rPr>
          <w:color w:val="231F20"/>
          <w:spacing w:val="-6"/>
        </w:rPr>
        <w:t> </w:t>
      </w:r>
      <w:r>
        <w:rPr>
          <w:color w:val="231F20"/>
        </w:rPr>
        <w:t>2022</w:t>
      </w:r>
      <w:r>
        <w:rPr>
          <w:color w:val="231F20"/>
          <w:spacing w:val="-6"/>
        </w:rPr>
        <w:t> </w:t>
      </w:r>
      <w:r>
        <w:rPr>
          <w:color w:val="231F20"/>
        </w:rPr>
        <w:t>y</w:t>
      </w:r>
      <w:r>
        <w:rPr>
          <w:color w:val="231F20"/>
          <w:spacing w:val="-6"/>
        </w:rPr>
        <w:t> </w:t>
      </w:r>
      <w:r>
        <w:rPr>
          <w:color w:val="231F20"/>
        </w:rPr>
        <w:t>febrero</w:t>
      </w:r>
      <w:r>
        <w:rPr>
          <w:color w:val="231F20"/>
          <w:spacing w:val="-6"/>
        </w:rPr>
        <w:t> </w:t>
      </w:r>
      <w:r>
        <w:rPr>
          <w:color w:val="231F20"/>
        </w:rPr>
        <w:t>de</w:t>
      </w:r>
      <w:r>
        <w:rPr>
          <w:color w:val="231F20"/>
          <w:spacing w:val="-7"/>
        </w:rPr>
        <w:t> </w:t>
      </w:r>
      <w:r>
        <w:rPr>
          <w:color w:val="231F20"/>
        </w:rPr>
        <w:t>2023,</w:t>
      </w:r>
      <w:r>
        <w:rPr>
          <w:color w:val="231F20"/>
          <w:spacing w:val="-6"/>
        </w:rPr>
        <w:t> </w:t>
      </w:r>
      <w:r>
        <w:rPr>
          <w:color w:val="231F20"/>
        </w:rPr>
        <w:t>el gobierno</w:t>
      </w:r>
      <w:r>
        <w:rPr>
          <w:color w:val="231F20"/>
          <w:spacing w:val="-17"/>
        </w:rPr>
        <w:t> </w:t>
      </w:r>
      <w:r>
        <w:rPr>
          <w:color w:val="231F20"/>
        </w:rPr>
        <w:t>de</w:t>
      </w:r>
      <w:r>
        <w:rPr>
          <w:color w:val="231F20"/>
          <w:spacing w:val="-16"/>
        </w:rPr>
        <w:t> </w:t>
      </w:r>
      <w:r>
        <w:rPr>
          <w:color w:val="231F20"/>
        </w:rPr>
        <w:t>Joseph</w:t>
      </w:r>
      <w:r>
        <w:rPr>
          <w:color w:val="231F20"/>
          <w:spacing w:val="-17"/>
        </w:rPr>
        <w:t> </w:t>
      </w:r>
      <w:r>
        <w:rPr>
          <w:color w:val="231F20"/>
        </w:rPr>
        <w:t>Biden</w:t>
      </w:r>
      <w:r>
        <w:rPr>
          <w:color w:val="231F20"/>
          <w:spacing w:val="-15"/>
        </w:rPr>
        <w:t> </w:t>
      </w:r>
      <w:r>
        <w:rPr>
          <w:color w:val="231F20"/>
        </w:rPr>
        <w:t>aplicó</w:t>
      </w:r>
      <w:r>
        <w:rPr>
          <w:color w:val="231F20"/>
          <w:spacing w:val="-16"/>
        </w:rPr>
        <w:t> </w:t>
      </w:r>
      <w:r>
        <w:rPr>
          <w:color w:val="231F20"/>
        </w:rPr>
        <w:t>con</w:t>
      </w:r>
      <w:r>
        <w:rPr>
          <w:color w:val="231F20"/>
          <w:spacing w:val="-17"/>
        </w:rPr>
        <w:t> </w:t>
      </w:r>
      <w:r>
        <w:rPr>
          <w:color w:val="231F20"/>
        </w:rPr>
        <w:t>rigor la política de máxima presión y asfixia de su antecesor contra Cuba. El bloqueo impactó negativamente, en términos absolutos, en todos los sectores de la economía del país.</w:t>
      </w:r>
    </w:p>
    <w:p>
      <w:pPr>
        <w:pStyle w:val="BodyText"/>
        <w:spacing w:before="166"/>
        <w:ind w:left="1133"/>
      </w:pPr>
      <w:r>
        <w:rPr>
          <w:color w:val="231F20"/>
          <w:spacing w:val="-6"/>
        </w:rPr>
        <w:t>Elmantenimientodeladeshonestacalificación </w:t>
      </w:r>
      <w:r>
        <w:rPr>
          <w:color w:val="231F20"/>
        </w:rPr>
        <w:t>de Cuba como Estado patrocinador del </w:t>
      </w:r>
      <w:r>
        <w:rPr>
          <w:color w:val="231F20"/>
          <w:spacing w:val="-8"/>
        </w:rPr>
        <w:t>terrorismo, la posibilidad de tomar acción en </w:t>
      </w:r>
      <w:r>
        <w:rPr>
          <w:color w:val="231F20"/>
          <w:spacing w:val="-4"/>
        </w:rPr>
        <w:t>tribunales</w:t>
      </w:r>
      <w:r>
        <w:rPr>
          <w:color w:val="231F20"/>
          <w:spacing w:val="-13"/>
        </w:rPr>
        <w:t> </w:t>
      </w:r>
      <w:r>
        <w:rPr>
          <w:color w:val="231F20"/>
          <w:spacing w:val="-4"/>
        </w:rPr>
        <w:t>estadounidenses</w:t>
      </w:r>
      <w:r>
        <w:rPr>
          <w:color w:val="231F20"/>
          <w:spacing w:val="-12"/>
        </w:rPr>
        <w:t> </w:t>
      </w:r>
      <w:r>
        <w:rPr>
          <w:color w:val="231F20"/>
          <w:spacing w:val="-4"/>
        </w:rPr>
        <w:t>ante</w:t>
      </w:r>
      <w:r>
        <w:rPr>
          <w:color w:val="231F20"/>
          <w:spacing w:val="-13"/>
        </w:rPr>
        <w:t> </w:t>
      </w:r>
      <w:r>
        <w:rPr>
          <w:color w:val="231F20"/>
          <w:spacing w:val="-4"/>
        </w:rPr>
        <w:t>demandas </w:t>
      </w:r>
      <w:r>
        <w:rPr>
          <w:color w:val="231F20"/>
          <w:spacing w:val="-6"/>
        </w:rPr>
        <w:t>presentadas</w:t>
      </w:r>
      <w:r>
        <w:rPr>
          <w:color w:val="231F20"/>
          <w:spacing w:val="-11"/>
        </w:rPr>
        <w:t> </w:t>
      </w:r>
      <w:r>
        <w:rPr>
          <w:color w:val="231F20"/>
          <w:spacing w:val="-6"/>
        </w:rPr>
        <w:t>al</w:t>
      </w:r>
      <w:r>
        <w:rPr>
          <w:color w:val="231F20"/>
          <w:spacing w:val="-10"/>
        </w:rPr>
        <w:t> </w:t>
      </w:r>
      <w:r>
        <w:rPr>
          <w:color w:val="231F20"/>
          <w:spacing w:val="-6"/>
        </w:rPr>
        <w:t>amparo</w:t>
      </w:r>
      <w:r>
        <w:rPr>
          <w:color w:val="231F20"/>
          <w:spacing w:val="-11"/>
        </w:rPr>
        <w:t> </w:t>
      </w:r>
      <w:r>
        <w:rPr>
          <w:color w:val="231F20"/>
          <w:spacing w:val="-6"/>
        </w:rPr>
        <w:t>del</w:t>
      </w:r>
      <w:r>
        <w:rPr>
          <w:color w:val="231F20"/>
          <w:spacing w:val="-10"/>
        </w:rPr>
        <w:t> </w:t>
      </w:r>
      <w:r>
        <w:rPr>
          <w:color w:val="231F20"/>
          <w:spacing w:val="-6"/>
        </w:rPr>
        <w:t>Título</w:t>
      </w:r>
      <w:r>
        <w:rPr>
          <w:color w:val="231F20"/>
          <w:spacing w:val="-11"/>
        </w:rPr>
        <w:t> </w:t>
      </w:r>
      <w:r>
        <w:rPr>
          <w:color w:val="231F20"/>
          <w:spacing w:val="-6"/>
        </w:rPr>
        <w:t>III</w:t>
      </w:r>
      <w:r>
        <w:rPr>
          <w:color w:val="231F20"/>
          <w:spacing w:val="-10"/>
        </w:rPr>
        <w:t> </w:t>
      </w:r>
      <w:r>
        <w:rPr>
          <w:color w:val="231F20"/>
          <w:spacing w:val="-6"/>
        </w:rPr>
        <w:t>de</w:t>
      </w:r>
      <w:r>
        <w:rPr>
          <w:color w:val="231F20"/>
          <w:spacing w:val="-11"/>
        </w:rPr>
        <w:t> </w:t>
      </w:r>
      <w:r>
        <w:rPr>
          <w:color w:val="231F20"/>
          <w:spacing w:val="-6"/>
        </w:rPr>
        <w:t>la</w:t>
      </w:r>
      <w:r>
        <w:rPr>
          <w:color w:val="231F20"/>
          <w:spacing w:val="-10"/>
        </w:rPr>
        <w:t> </w:t>
      </w:r>
      <w:r>
        <w:rPr>
          <w:color w:val="231F20"/>
          <w:spacing w:val="-6"/>
        </w:rPr>
        <w:t>Ley </w:t>
      </w:r>
      <w:r>
        <w:rPr>
          <w:color w:val="231F20"/>
        </w:rPr>
        <w:t>Helms-Burton,</w:t>
      </w:r>
      <w:r>
        <w:rPr>
          <w:color w:val="231F20"/>
          <w:spacing w:val="-12"/>
        </w:rPr>
        <w:t> </w:t>
      </w:r>
      <w:r>
        <w:rPr>
          <w:color w:val="231F20"/>
        </w:rPr>
        <w:t>la</w:t>
      </w:r>
      <w:r>
        <w:rPr>
          <w:color w:val="231F20"/>
          <w:spacing w:val="-12"/>
        </w:rPr>
        <w:t> </w:t>
      </w:r>
      <w:r>
        <w:rPr>
          <w:color w:val="231F20"/>
        </w:rPr>
        <w:t>persecución</w:t>
      </w:r>
      <w:r>
        <w:rPr>
          <w:color w:val="231F20"/>
          <w:spacing w:val="-12"/>
        </w:rPr>
        <w:t> </w:t>
      </w:r>
      <w:r>
        <w:rPr>
          <w:color w:val="231F20"/>
        </w:rPr>
        <w:t>minuciosa</w:t>
      </w:r>
      <w:r>
        <w:rPr>
          <w:color w:val="231F20"/>
          <w:spacing w:val="-12"/>
        </w:rPr>
        <w:t> </w:t>
      </w:r>
      <w:r>
        <w:rPr>
          <w:color w:val="231F20"/>
        </w:rPr>
        <w:t>a las</w:t>
      </w:r>
      <w:r>
        <w:rPr>
          <w:color w:val="231F20"/>
          <w:spacing w:val="-15"/>
        </w:rPr>
        <w:t> </w:t>
      </w:r>
      <w:r>
        <w:rPr>
          <w:color w:val="231F20"/>
        </w:rPr>
        <w:t>transacciones</w:t>
      </w:r>
      <w:r>
        <w:rPr>
          <w:color w:val="231F20"/>
          <w:spacing w:val="-15"/>
        </w:rPr>
        <w:t> </w:t>
      </w:r>
      <w:r>
        <w:rPr>
          <w:color w:val="231F20"/>
        </w:rPr>
        <w:t>financieras</w:t>
      </w:r>
      <w:r>
        <w:rPr>
          <w:color w:val="231F20"/>
          <w:spacing w:val="-15"/>
        </w:rPr>
        <w:t> </w:t>
      </w:r>
      <w:r>
        <w:rPr>
          <w:color w:val="231F20"/>
        </w:rPr>
        <w:t>cubanas</w:t>
      </w:r>
      <w:r>
        <w:rPr>
          <w:color w:val="231F20"/>
          <w:spacing w:val="-15"/>
        </w:rPr>
        <w:t> </w:t>
      </w:r>
      <w:r>
        <w:rPr>
          <w:color w:val="231F20"/>
        </w:rPr>
        <w:t>y</w:t>
      </w:r>
      <w:r>
        <w:rPr>
          <w:color w:val="231F20"/>
          <w:spacing w:val="-15"/>
        </w:rPr>
        <w:t> </w:t>
      </w:r>
      <w:r>
        <w:rPr>
          <w:color w:val="231F20"/>
        </w:rPr>
        <w:t>los </w:t>
      </w:r>
      <w:r>
        <w:rPr>
          <w:color w:val="231F20"/>
          <w:spacing w:val="-4"/>
        </w:rPr>
        <w:t>consiguientes</w:t>
      </w:r>
      <w:r>
        <w:rPr>
          <w:color w:val="231F20"/>
          <w:spacing w:val="-13"/>
        </w:rPr>
        <w:t> </w:t>
      </w:r>
      <w:r>
        <w:rPr>
          <w:color w:val="231F20"/>
          <w:spacing w:val="-4"/>
        </w:rPr>
        <w:t>obstáculos</w:t>
      </w:r>
      <w:r>
        <w:rPr>
          <w:color w:val="231F20"/>
          <w:spacing w:val="-12"/>
        </w:rPr>
        <w:t> </w:t>
      </w:r>
      <w:r>
        <w:rPr>
          <w:color w:val="231F20"/>
          <w:spacing w:val="-4"/>
        </w:rPr>
        <w:t>para</w:t>
      </w:r>
      <w:r>
        <w:rPr>
          <w:color w:val="231F20"/>
          <w:spacing w:val="-13"/>
        </w:rPr>
        <w:t> </w:t>
      </w:r>
      <w:r>
        <w:rPr>
          <w:color w:val="231F20"/>
          <w:spacing w:val="-4"/>
        </w:rPr>
        <w:t>el</w:t>
      </w:r>
      <w:r>
        <w:rPr>
          <w:color w:val="231F20"/>
          <w:spacing w:val="-12"/>
        </w:rPr>
        <w:t> </w:t>
      </w:r>
      <w:r>
        <w:rPr>
          <w:color w:val="231F20"/>
          <w:spacing w:val="-4"/>
        </w:rPr>
        <w:t>suministro </w:t>
      </w:r>
      <w:r>
        <w:rPr>
          <w:color w:val="231F20"/>
          <w:spacing w:val="-6"/>
        </w:rPr>
        <w:t>de</w:t>
      </w:r>
      <w:r>
        <w:rPr>
          <w:color w:val="231F20"/>
          <w:spacing w:val="-11"/>
        </w:rPr>
        <w:t> </w:t>
      </w:r>
      <w:r>
        <w:rPr>
          <w:color w:val="231F20"/>
          <w:spacing w:val="-6"/>
        </w:rPr>
        <w:t>combustibles</w:t>
      </w:r>
      <w:r>
        <w:rPr>
          <w:color w:val="231F20"/>
          <w:spacing w:val="-10"/>
        </w:rPr>
        <w:t> </w:t>
      </w:r>
      <w:r>
        <w:rPr>
          <w:color w:val="231F20"/>
          <w:spacing w:val="-6"/>
        </w:rPr>
        <w:t>al</w:t>
      </w:r>
      <w:r>
        <w:rPr>
          <w:color w:val="231F20"/>
          <w:spacing w:val="-11"/>
        </w:rPr>
        <w:t> </w:t>
      </w:r>
      <w:r>
        <w:rPr>
          <w:color w:val="231F20"/>
          <w:spacing w:val="-6"/>
        </w:rPr>
        <w:t>país,</w:t>
      </w:r>
      <w:r>
        <w:rPr>
          <w:color w:val="231F20"/>
          <w:spacing w:val="-10"/>
        </w:rPr>
        <w:t> </w:t>
      </w:r>
      <w:r>
        <w:rPr>
          <w:color w:val="231F20"/>
          <w:spacing w:val="-6"/>
        </w:rPr>
        <w:t>así</w:t>
      </w:r>
      <w:r>
        <w:rPr>
          <w:color w:val="231F20"/>
          <w:spacing w:val="-11"/>
        </w:rPr>
        <w:t> </w:t>
      </w:r>
      <w:r>
        <w:rPr>
          <w:color w:val="231F20"/>
          <w:spacing w:val="-6"/>
        </w:rPr>
        <w:t>como</w:t>
      </w:r>
      <w:r>
        <w:rPr>
          <w:color w:val="231F20"/>
          <w:spacing w:val="-10"/>
        </w:rPr>
        <w:t> </w:t>
      </w:r>
      <w:r>
        <w:rPr>
          <w:color w:val="231F20"/>
          <w:spacing w:val="-6"/>
        </w:rPr>
        <w:t>la</w:t>
      </w:r>
      <w:r>
        <w:rPr>
          <w:color w:val="231F20"/>
          <w:spacing w:val="-11"/>
        </w:rPr>
        <w:t> </w:t>
      </w:r>
      <w:r>
        <w:rPr>
          <w:color w:val="231F20"/>
          <w:spacing w:val="-6"/>
        </w:rPr>
        <w:t>vigencia </w:t>
      </w:r>
      <w:r>
        <w:rPr>
          <w:color w:val="231F20"/>
        </w:rPr>
        <w:t>de listados unilaterales que impiden transacciones financieras con entidades </w:t>
      </w:r>
      <w:r>
        <w:rPr>
          <w:color w:val="231F20"/>
          <w:spacing w:val="-4"/>
        </w:rPr>
        <w:t>cubanas,</w:t>
      </w:r>
      <w:r>
        <w:rPr>
          <w:color w:val="231F20"/>
          <w:spacing w:val="-13"/>
        </w:rPr>
        <w:t> </w:t>
      </w:r>
      <w:r>
        <w:rPr>
          <w:color w:val="231F20"/>
          <w:spacing w:val="-4"/>
        </w:rPr>
        <w:t>constituyeron</w:t>
      </w:r>
      <w:r>
        <w:rPr>
          <w:color w:val="231F20"/>
          <w:spacing w:val="-12"/>
        </w:rPr>
        <w:t> </w:t>
      </w:r>
      <w:r>
        <w:rPr>
          <w:color w:val="231F20"/>
          <w:spacing w:val="-4"/>
        </w:rPr>
        <w:t>las</w:t>
      </w:r>
      <w:r>
        <w:rPr>
          <w:color w:val="231F20"/>
          <w:spacing w:val="-13"/>
        </w:rPr>
        <w:t> </w:t>
      </w:r>
      <w:r>
        <w:rPr>
          <w:color w:val="231F20"/>
          <w:spacing w:val="-4"/>
        </w:rPr>
        <w:t>disposiciones</w:t>
      </w:r>
      <w:r>
        <w:rPr>
          <w:color w:val="231F20"/>
          <w:spacing w:val="-12"/>
        </w:rPr>
        <w:t> </w:t>
      </w:r>
      <w:r>
        <w:rPr>
          <w:color w:val="231F20"/>
          <w:spacing w:val="-4"/>
        </w:rPr>
        <w:t>de </w:t>
      </w:r>
      <w:r>
        <w:rPr>
          <w:color w:val="231F20"/>
        </w:rPr>
        <w:t>mayor</w:t>
      </w:r>
      <w:r>
        <w:rPr>
          <w:color w:val="231F20"/>
          <w:spacing w:val="-5"/>
        </w:rPr>
        <w:t> </w:t>
      </w:r>
      <w:r>
        <w:rPr>
          <w:color w:val="231F20"/>
        </w:rPr>
        <w:t>severidad.</w:t>
      </w:r>
    </w:p>
    <w:p>
      <w:pPr>
        <w:pStyle w:val="BodyText"/>
        <w:spacing w:before="170"/>
        <w:ind w:left="1133"/>
      </w:pPr>
      <w:r>
        <w:rPr>
          <w:color w:val="231F20"/>
        </w:rPr>
        <w:t>El 16 de mayo de 2022, el gobierno </w:t>
      </w:r>
      <w:r>
        <w:rPr>
          <w:color w:val="231F20"/>
        </w:rPr>
        <w:t>de</w:t>
      </w:r>
      <w:r>
        <w:rPr>
          <w:color w:val="231F20"/>
          <w:spacing w:val="40"/>
        </w:rPr>
        <w:t> </w:t>
      </w:r>
      <w:r>
        <w:rPr>
          <w:color w:val="231F20"/>
        </w:rPr>
        <w:t>los Estados Unidos anunció un grupo de medidas</w:t>
      </w:r>
      <w:r>
        <w:rPr>
          <w:color w:val="231F20"/>
          <w:spacing w:val="-12"/>
        </w:rPr>
        <w:t> </w:t>
      </w:r>
      <w:r>
        <w:rPr>
          <w:color w:val="231F20"/>
        </w:rPr>
        <w:t>en</w:t>
      </w:r>
      <w:r>
        <w:rPr>
          <w:color w:val="231F20"/>
          <w:spacing w:val="-12"/>
        </w:rPr>
        <w:t> </w:t>
      </w:r>
      <w:r>
        <w:rPr>
          <w:color w:val="231F20"/>
        </w:rPr>
        <w:t>materia</w:t>
      </w:r>
      <w:r>
        <w:rPr>
          <w:color w:val="231F20"/>
          <w:spacing w:val="-12"/>
        </w:rPr>
        <w:t> </w:t>
      </w:r>
      <w:r>
        <w:rPr>
          <w:color w:val="231F20"/>
        </w:rPr>
        <w:t>de</w:t>
      </w:r>
      <w:r>
        <w:rPr>
          <w:color w:val="231F20"/>
          <w:spacing w:val="-12"/>
        </w:rPr>
        <w:t> </w:t>
      </w:r>
      <w:r>
        <w:rPr>
          <w:color w:val="231F20"/>
        </w:rPr>
        <w:t>visados,</w:t>
      </w:r>
      <w:r>
        <w:rPr>
          <w:color w:val="231F20"/>
          <w:spacing w:val="-12"/>
        </w:rPr>
        <w:t> </w:t>
      </w:r>
      <w:r>
        <w:rPr>
          <w:color w:val="231F20"/>
        </w:rPr>
        <w:t>migración regular, vuelos y remesas. Si bien estas nuevas</w:t>
      </w:r>
      <w:r>
        <w:rPr>
          <w:color w:val="231F20"/>
          <w:spacing w:val="-7"/>
        </w:rPr>
        <w:t> </w:t>
      </w:r>
      <w:r>
        <w:rPr>
          <w:color w:val="231F20"/>
        </w:rPr>
        <w:t>disposiciones</w:t>
      </w:r>
      <w:r>
        <w:rPr>
          <w:color w:val="231F20"/>
          <w:spacing w:val="-6"/>
        </w:rPr>
        <w:t> </w:t>
      </w:r>
      <w:r>
        <w:rPr>
          <w:color w:val="231F20"/>
        </w:rPr>
        <w:t>constituyeron</w:t>
      </w:r>
      <w:r>
        <w:rPr>
          <w:color w:val="231F20"/>
          <w:spacing w:val="-7"/>
        </w:rPr>
        <w:t> </w:t>
      </w:r>
      <w:r>
        <w:rPr>
          <w:color w:val="231F20"/>
        </w:rPr>
        <w:t>pasos en la dirección correcta, no modificaron los</w:t>
      </w:r>
      <w:r>
        <w:rPr>
          <w:color w:val="231F20"/>
          <w:spacing w:val="40"/>
        </w:rPr>
        <w:t> </w:t>
      </w:r>
      <w:r>
        <w:rPr>
          <w:color w:val="231F20"/>
        </w:rPr>
        <w:t>aspectos</w:t>
      </w:r>
      <w:r>
        <w:rPr>
          <w:color w:val="231F20"/>
          <w:spacing w:val="40"/>
        </w:rPr>
        <w:t> </w:t>
      </w:r>
      <w:r>
        <w:rPr>
          <w:color w:val="231F20"/>
        </w:rPr>
        <w:t>más</w:t>
      </w:r>
      <w:r>
        <w:rPr>
          <w:color w:val="231F20"/>
          <w:spacing w:val="40"/>
        </w:rPr>
        <w:t> </w:t>
      </w:r>
      <w:r>
        <w:rPr>
          <w:color w:val="231F20"/>
        </w:rPr>
        <w:t>dañinos</w:t>
      </w:r>
      <w:r>
        <w:rPr>
          <w:color w:val="231F20"/>
          <w:spacing w:val="40"/>
        </w:rPr>
        <w:t> </w:t>
      </w:r>
      <w:r>
        <w:rPr>
          <w:color w:val="231F20"/>
        </w:rPr>
        <w:t>del</w:t>
      </w:r>
      <w:r>
        <w:rPr>
          <w:color w:val="231F20"/>
          <w:spacing w:val="40"/>
        </w:rPr>
        <w:t> </w:t>
      </w:r>
      <w:r>
        <w:rPr>
          <w:color w:val="231F20"/>
        </w:rPr>
        <w:t>bloqueo, ni revirtieron las medidas más agresivas impuestas</w:t>
      </w:r>
      <w:r>
        <w:rPr>
          <w:color w:val="231F20"/>
          <w:spacing w:val="-15"/>
        </w:rPr>
        <w:t> </w:t>
      </w:r>
      <w:r>
        <w:rPr>
          <w:color w:val="231F20"/>
        </w:rPr>
        <w:t>contra</w:t>
      </w:r>
      <w:r>
        <w:rPr>
          <w:color w:val="231F20"/>
          <w:spacing w:val="-15"/>
        </w:rPr>
        <w:t> </w:t>
      </w:r>
      <w:r>
        <w:rPr>
          <w:color w:val="231F20"/>
        </w:rPr>
        <w:t>Cuba</w:t>
      </w:r>
      <w:r>
        <w:rPr>
          <w:color w:val="231F20"/>
          <w:spacing w:val="-15"/>
        </w:rPr>
        <w:t> </w:t>
      </w:r>
      <w:r>
        <w:rPr>
          <w:color w:val="231F20"/>
        </w:rPr>
        <w:t>por</w:t>
      </w:r>
      <w:r>
        <w:rPr>
          <w:color w:val="231F20"/>
          <w:spacing w:val="-15"/>
        </w:rPr>
        <w:t> </w:t>
      </w:r>
      <w:r>
        <w:rPr>
          <w:color w:val="231F20"/>
        </w:rPr>
        <w:t>el</w:t>
      </w:r>
      <w:r>
        <w:rPr>
          <w:color w:val="231F20"/>
          <w:spacing w:val="-15"/>
        </w:rPr>
        <w:t> </w:t>
      </w:r>
      <w:r>
        <w:rPr>
          <w:color w:val="231F20"/>
        </w:rPr>
        <w:t>gobierno</w:t>
      </w:r>
      <w:r>
        <w:rPr>
          <w:color w:val="231F20"/>
          <w:spacing w:val="-15"/>
        </w:rPr>
        <w:t> </w:t>
      </w:r>
      <w:r>
        <w:rPr>
          <w:color w:val="231F20"/>
        </w:rPr>
        <w:t>de Donald Trump.</w:t>
      </w:r>
    </w:p>
    <w:p>
      <w:pPr>
        <w:pStyle w:val="BodyText"/>
        <w:spacing w:before="168"/>
        <w:ind w:left="1133"/>
      </w:pPr>
      <w:r>
        <w:rPr>
          <w:color w:val="231F20"/>
        </w:rPr>
        <w:t>En</w:t>
      </w:r>
      <w:r>
        <w:rPr>
          <w:color w:val="231F20"/>
          <w:spacing w:val="40"/>
        </w:rPr>
        <w:t> </w:t>
      </w:r>
      <w:r>
        <w:rPr>
          <w:color w:val="231F20"/>
        </w:rPr>
        <w:t>el</w:t>
      </w:r>
      <w:r>
        <w:rPr>
          <w:color w:val="231F20"/>
          <w:spacing w:val="40"/>
        </w:rPr>
        <w:t> </w:t>
      </w:r>
      <w:r>
        <w:rPr>
          <w:color w:val="231F20"/>
        </w:rPr>
        <w:t>período</w:t>
      </w:r>
      <w:r>
        <w:rPr>
          <w:color w:val="231F20"/>
          <w:spacing w:val="40"/>
        </w:rPr>
        <w:t> </w:t>
      </w:r>
      <w:r>
        <w:rPr>
          <w:color w:val="231F20"/>
        </w:rPr>
        <w:t>que</w:t>
      </w:r>
      <w:r>
        <w:rPr>
          <w:color w:val="231F20"/>
          <w:spacing w:val="40"/>
        </w:rPr>
        <w:t> </w:t>
      </w:r>
      <w:r>
        <w:rPr>
          <w:color w:val="231F20"/>
        </w:rPr>
        <w:t>abarca</w:t>
      </w:r>
      <w:r>
        <w:rPr>
          <w:color w:val="231F20"/>
          <w:spacing w:val="40"/>
        </w:rPr>
        <w:t> </w:t>
      </w:r>
      <w:r>
        <w:rPr>
          <w:color w:val="231F20"/>
        </w:rPr>
        <w:t>este</w:t>
      </w:r>
      <w:r>
        <w:rPr>
          <w:color w:val="231F20"/>
          <w:spacing w:val="40"/>
        </w:rPr>
        <w:t> </w:t>
      </w:r>
      <w:r>
        <w:rPr>
          <w:color w:val="231F20"/>
        </w:rPr>
        <w:t>Informe, el Ejecutivo estadounidense </w:t>
      </w:r>
      <w:r>
        <w:rPr>
          <w:color w:val="231F20"/>
        </w:rPr>
        <w:t>prorrogó leyes</w:t>
      </w:r>
      <w:r>
        <w:rPr>
          <w:color w:val="231F20"/>
          <w:spacing w:val="-9"/>
        </w:rPr>
        <w:t> </w:t>
      </w:r>
      <w:r>
        <w:rPr>
          <w:color w:val="231F20"/>
        </w:rPr>
        <w:t>y</w:t>
      </w:r>
      <w:r>
        <w:rPr>
          <w:color w:val="231F20"/>
          <w:spacing w:val="-9"/>
        </w:rPr>
        <w:t> </w:t>
      </w:r>
      <w:r>
        <w:rPr>
          <w:color w:val="231F20"/>
        </w:rPr>
        <w:t>disposiciones</w:t>
      </w:r>
      <w:r>
        <w:rPr>
          <w:color w:val="231F20"/>
          <w:spacing w:val="-9"/>
        </w:rPr>
        <w:t> </w:t>
      </w:r>
      <w:r>
        <w:rPr>
          <w:color w:val="231F20"/>
        </w:rPr>
        <w:t>severas</w:t>
      </w:r>
      <w:r>
        <w:rPr>
          <w:color w:val="231F20"/>
          <w:spacing w:val="-9"/>
        </w:rPr>
        <w:t> </w:t>
      </w:r>
      <w:r>
        <w:rPr>
          <w:color w:val="231F20"/>
        </w:rPr>
        <w:t>relacionadas con Cuba, cuyo impacto reforzó las consecuencias nocivas del bloqueo. En este sentido, sobresalieron los anuncios oficiales siguientes:</w:t>
      </w:r>
    </w:p>
    <w:p>
      <w:pPr>
        <w:spacing w:line="240" w:lineRule="auto" w:before="57"/>
        <w:rPr>
          <w:sz w:val="24"/>
        </w:rPr>
      </w:pPr>
      <w:r>
        <w:rPr/>
        <w:br w:type="column"/>
      </w:r>
      <w:r>
        <w:rPr>
          <w:sz w:val="24"/>
        </w:rPr>
      </w:r>
    </w:p>
    <w:p>
      <w:pPr>
        <w:pStyle w:val="BodyText"/>
        <w:spacing w:before="1"/>
        <w:ind w:left="412" w:right="1733"/>
        <w:rPr>
          <w:rFonts w:ascii="Segoe UI Semibold" w:hAnsi="Segoe UI Semibold"/>
          <w:b/>
        </w:rPr>
      </w:pPr>
      <w:r>
        <w:rPr>
          <w:b/>
          <w:color w:val="FFFFFF"/>
        </w:rPr>
        <w:t>El 11 de mayo de 2022</w:t>
      </w:r>
      <w:r>
        <w:rPr>
          <w:rFonts w:ascii="Segoe UI Semibold" w:hAnsi="Segoe UI Semibold"/>
          <w:b/>
          <w:color w:val="FFFFFF"/>
        </w:rPr>
        <w:t>, el Secretario de Estado notificó al Congreso la </w:t>
      </w:r>
      <w:r>
        <w:rPr>
          <w:rFonts w:ascii="Segoe UI Semibold" w:hAnsi="Segoe UI Semibold"/>
          <w:b/>
          <w:color w:val="FFFFFF"/>
          <w:spacing w:val="-6"/>
        </w:rPr>
        <w:t>certificación</w:t>
      </w:r>
      <w:r>
        <w:rPr>
          <w:rFonts w:ascii="Segoe UI Semibold" w:hAnsi="Segoe UI Semibold"/>
          <w:b/>
          <w:color w:val="FFFFFF"/>
          <w:spacing w:val="-11"/>
        </w:rPr>
        <w:t> </w:t>
      </w:r>
      <w:r>
        <w:rPr>
          <w:rFonts w:ascii="Segoe UI Semibold" w:hAnsi="Segoe UI Semibold"/>
          <w:b/>
          <w:color w:val="FFFFFF"/>
          <w:spacing w:val="-6"/>
        </w:rPr>
        <w:t>de</w:t>
      </w:r>
      <w:r>
        <w:rPr>
          <w:rFonts w:ascii="Segoe UI Semibold" w:hAnsi="Segoe UI Semibold"/>
          <w:b/>
          <w:color w:val="FFFFFF"/>
          <w:spacing w:val="-10"/>
        </w:rPr>
        <w:t> </w:t>
      </w:r>
      <w:r>
        <w:rPr>
          <w:rFonts w:ascii="Segoe UI Semibold" w:hAnsi="Segoe UI Semibold"/>
          <w:b/>
          <w:color w:val="FFFFFF"/>
          <w:spacing w:val="-6"/>
        </w:rPr>
        <w:t>Cuba</w:t>
      </w:r>
      <w:r>
        <w:rPr>
          <w:rFonts w:ascii="Segoe UI Semibold" w:hAnsi="Segoe UI Semibold"/>
          <w:b/>
          <w:color w:val="FFFFFF"/>
          <w:spacing w:val="-11"/>
        </w:rPr>
        <w:t> </w:t>
      </w:r>
      <w:r>
        <w:rPr>
          <w:rFonts w:ascii="Segoe UI Semibold" w:hAnsi="Segoe UI Semibold"/>
          <w:b/>
          <w:color w:val="FFFFFF"/>
          <w:spacing w:val="-6"/>
        </w:rPr>
        <w:t>como</w:t>
      </w:r>
      <w:r>
        <w:rPr>
          <w:rFonts w:ascii="Segoe UI Semibold" w:hAnsi="Segoe UI Semibold"/>
          <w:b/>
          <w:color w:val="FFFFFF"/>
          <w:spacing w:val="-10"/>
        </w:rPr>
        <w:t> </w:t>
      </w:r>
      <w:r>
        <w:rPr>
          <w:rFonts w:ascii="Segoe UI Semibold" w:hAnsi="Segoe UI Semibold"/>
          <w:b/>
          <w:color w:val="FFFFFF"/>
          <w:spacing w:val="-6"/>
        </w:rPr>
        <w:t>país</w:t>
      </w:r>
      <w:r>
        <w:rPr>
          <w:rFonts w:ascii="Segoe UI Semibold" w:hAnsi="Segoe UI Semibold"/>
          <w:b/>
          <w:color w:val="FFFFFF"/>
          <w:spacing w:val="-11"/>
        </w:rPr>
        <w:t> </w:t>
      </w:r>
      <w:r>
        <w:rPr>
          <w:rFonts w:ascii="Segoe UI Semibold" w:hAnsi="Segoe UI Semibold"/>
          <w:b/>
          <w:color w:val="FFFFFF"/>
          <w:spacing w:val="-6"/>
        </w:rPr>
        <w:t>que</w:t>
      </w:r>
      <w:r>
        <w:rPr>
          <w:rFonts w:ascii="Segoe UI Semibold" w:hAnsi="Segoe UI Semibold"/>
          <w:b/>
          <w:color w:val="FFFFFF"/>
          <w:spacing w:val="-10"/>
        </w:rPr>
        <w:t> </w:t>
      </w:r>
      <w:r>
        <w:rPr>
          <w:rFonts w:ascii="Segoe UI Semibold" w:hAnsi="Segoe UI Semibold"/>
          <w:b/>
          <w:color w:val="FFFFFF"/>
          <w:spacing w:val="-6"/>
        </w:rPr>
        <w:t>“no </w:t>
      </w:r>
      <w:r>
        <w:rPr>
          <w:rFonts w:ascii="Segoe UI Semibold" w:hAnsi="Segoe UI Semibold"/>
          <w:b/>
          <w:color w:val="FFFFFF"/>
          <w:spacing w:val="-4"/>
        </w:rPr>
        <w:t>coopera</w:t>
      </w:r>
      <w:r>
        <w:rPr>
          <w:rFonts w:ascii="Segoe UI Semibold" w:hAnsi="Segoe UI Semibold"/>
          <w:b/>
          <w:color w:val="FFFFFF"/>
          <w:spacing w:val="-6"/>
        </w:rPr>
        <w:t> </w:t>
      </w:r>
      <w:r>
        <w:rPr>
          <w:rFonts w:ascii="Segoe UI Semibold" w:hAnsi="Segoe UI Semibold"/>
          <w:b/>
          <w:color w:val="FFFFFF"/>
          <w:spacing w:val="-4"/>
        </w:rPr>
        <w:t>plenamente”</w:t>
      </w:r>
      <w:r>
        <w:rPr>
          <w:rFonts w:ascii="Segoe UI Semibold" w:hAnsi="Segoe UI Semibold"/>
          <w:b/>
          <w:color w:val="FFFFFF"/>
          <w:spacing w:val="-6"/>
        </w:rPr>
        <w:t> </w:t>
      </w:r>
      <w:r>
        <w:rPr>
          <w:rFonts w:ascii="Segoe UI Semibold" w:hAnsi="Segoe UI Semibold"/>
          <w:b/>
          <w:color w:val="FFFFFF"/>
          <w:spacing w:val="-4"/>
        </w:rPr>
        <w:t>con</w:t>
      </w:r>
      <w:r>
        <w:rPr>
          <w:rFonts w:ascii="Segoe UI Semibold" w:hAnsi="Segoe UI Semibold"/>
          <w:b/>
          <w:color w:val="FFFFFF"/>
          <w:spacing w:val="-6"/>
        </w:rPr>
        <w:t> </w:t>
      </w:r>
      <w:r>
        <w:rPr>
          <w:rFonts w:ascii="Segoe UI Semibold" w:hAnsi="Segoe UI Semibold"/>
          <w:b/>
          <w:color w:val="FFFFFF"/>
          <w:spacing w:val="-4"/>
        </w:rPr>
        <w:t>los</w:t>
      </w:r>
      <w:r>
        <w:rPr>
          <w:rFonts w:ascii="Segoe UI Semibold" w:hAnsi="Segoe UI Semibold"/>
          <w:b/>
          <w:color w:val="FFFFFF"/>
          <w:spacing w:val="-6"/>
        </w:rPr>
        <w:t> </w:t>
      </w:r>
      <w:r>
        <w:rPr>
          <w:rFonts w:ascii="Segoe UI Semibold" w:hAnsi="Segoe UI Semibold"/>
          <w:b/>
          <w:color w:val="FFFFFF"/>
          <w:spacing w:val="-4"/>
        </w:rPr>
        <w:t>esfuerzos </w:t>
      </w:r>
      <w:r>
        <w:rPr>
          <w:rFonts w:ascii="Segoe UI Semibold" w:hAnsi="Segoe UI Semibold"/>
          <w:b/>
          <w:color w:val="FFFFFF"/>
          <w:spacing w:val="-8"/>
        </w:rPr>
        <w:t>antiterroristas de EE.UU., de acuerdo con </w:t>
      </w:r>
      <w:r>
        <w:rPr>
          <w:rFonts w:ascii="Segoe UI Semibold" w:hAnsi="Segoe UI Semibold"/>
          <w:b/>
          <w:color w:val="FFFFFF"/>
        </w:rPr>
        <w:t>la</w:t>
      </w:r>
      <w:r>
        <w:rPr>
          <w:rFonts w:ascii="Segoe UI Semibold" w:hAnsi="Segoe UI Semibold"/>
          <w:b/>
          <w:color w:val="FFFFFF"/>
          <w:spacing w:val="-7"/>
        </w:rPr>
        <w:t> </w:t>
      </w:r>
      <w:r>
        <w:rPr>
          <w:rFonts w:ascii="Segoe UI Semibold" w:hAnsi="Segoe UI Semibold"/>
          <w:b/>
          <w:color w:val="FFFFFF"/>
        </w:rPr>
        <w:t>Sección</w:t>
      </w:r>
      <w:r>
        <w:rPr>
          <w:rFonts w:ascii="Segoe UI Semibold" w:hAnsi="Segoe UI Semibold"/>
          <w:b/>
          <w:color w:val="FFFFFF"/>
          <w:spacing w:val="-7"/>
        </w:rPr>
        <w:t> </w:t>
      </w:r>
      <w:r>
        <w:rPr>
          <w:rFonts w:ascii="Segoe UI Semibold" w:hAnsi="Segoe UI Semibold"/>
          <w:b/>
          <w:color w:val="FFFFFF"/>
        </w:rPr>
        <w:t>40A</w:t>
      </w:r>
      <w:r>
        <w:rPr>
          <w:rFonts w:ascii="Segoe UI Semibold" w:hAnsi="Segoe UI Semibold"/>
          <w:b/>
          <w:color w:val="FFFFFF"/>
          <w:spacing w:val="-7"/>
        </w:rPr>
        <w:t> </w:t>
      </w:r>
      <w:r>
        <w:rPr>
          <w:rFonts w:ascii="Segoe UI Semibold" w:hAnsi="Segoe UI Semibold"/>
          <w:b/>
          <w:color w:val="FFFFFF"/>
        </w:rPr>
        <w:t>(a)</w:t>
      </w:r>
      <w:r>
        <w:rPr>
          <w:rFonts w:ascii="Segoe UI Semibold" w:hAnsi="Segoe UI Semibold"/>
          <w:b/>
          <w:color w:val="FFFFFF"/>
          <w:spacing w:val="-7"/>
        </w:rPr>
        <w:t> </w:t>
      </w:r>
      <w:r>
        <w:rPr>
          <w:rFonts w:ascii="Segoe UI Semibold" w:hAnsi="Segoe UI Semibold"/>
          <w:b/>
          <w:color w:val="FFFFFF"/>
        </w:rPr>
        <w:t>de</w:t>
      </w:r>
      <w:r>
        <w:rPr>
          <w:rFonts w:ascii="Segoe UI Semibold" w:hAnsi="Segoe UI Semibold"/>
          <w:b/>
          <w:color w:val="FFFFFF"/>
          <w:spacing w:val="-7"/>
        </w:rPr>
        <w:t> </w:t>
      </w:r>
      <w:r>
        <w:rPr>
          <w:rFonts w:ascii="Segoe UI Semibold" w:hAnsi="Segoe UI Semibold"/>
          <w:b/>
          <w:color w:val="FFFFFF"/>
        </w:rPr>
        <w:t>la</w:t>
      </w:r>
      <w:r>
        <w:rPr>
          <w:rFonts w:ascii="Segoe UI Semibold" w:hAnsi="Segoe UI Semibold"/>
          <w:b/>
          <w:color w:val="FFFFFF"/>
          <w:spacing w:val="-7"/>
        </w:rPr>
        <w:t> </w:t>
      </w:r>
      <w:r>
        <w:rPr>
          <w:rFonts w:ascii="Segoe UI Semibold" w:hAnsi="Segoe UI Semibold"/>
          <w:b/>
          <w:color w:val="FFFFFF"/>
        </w:rPr>
        <w:t>Ley</w:t>
      </w:r>
      <w:r>
        <w:rPr>
          <w:rFonts w:ascii="Segoe UI Semibold" w:hAnsi="Segoe UI Semibold"/>
          <w:b/>
          <w:color w:val="FFFFFF"/>
          <w:spacing w:val="-7"/>
        </w:rPr>
        <w:t> </w:t>
      </w:r>
      <w:r>
        <w:rPr>
          <w:rFonts w:ascii="Segoe UI Semibold" w:hAnsi="Segoe UI Semibold"/>
          <w:b/>
          <w:color w:val="FFFFFF"/>
        </w:rPr>
        <w:t>de</w:t>
      </w:r>
      <w:r>
        <w:rPr>
          <w:rFonts w:ascii="Segoe UI Semibold" w:hAnsi="Segoe UI Semibold"/>
          <w:b/>
          <w:color w:val="FFFFFF"/>
          <w:spacing w:val="-7"/>
        </w:rPr>
        <w:t> </w:t>
      </w:r>
      <w:r>
        <w:rPr>
          <w:rFonts w:ascii="Segoe UI Semibold" w:hAnsi="Segoe UI Semibold"/>
          <w:b/>
          <w:color w:val="FFFFFF"/>
        </w:rPr>
        <w:t>Control de Exportación de Armas y la Orden </w:t>
      </w:r>
      <w:r>
        <w:rPr>
          <w:rFonts w:ascii="Segoe UI Semibold" w:hAnsi="Segoe UI Semibold"/>
          <w:b/>
          <w:color w:val="FFFFFF"/>
          <w:spacing w:val="-2"/>
        </w:rPr>
        <w:t>Ejecutiva</w:t>
      </w:r>
      <w:r>
        <w:rPr>
          <w:rFonts w:ascii="Segoe UI Semibold" w:hAnsi="Segoe UI Semibold"/>
          <w:b/>
          <w:color w:val="FFFFFF"/>
          <w:spacing w:val="-15"/>
        </w:rPr>
        <w:t> </w:t>
      </w:r>
      <w:r>
        <w:rPr>
          <w:rFonts w:ascii="Segoe UI Semibold" w:hAnsi="Segoe UI Semibold"/>
          <w:b/>
          <w:color w:val="FFFFFF"/>
          <w:spacing w:val="-2"/>
        </w:rPr>
        <w:t>13637.</w:t>
      </w:r>
      <w:r>
        <w:rPr>
          <w:rFonts w:ascii="Segoe UI Semibold" w:hAnsi="Segoe UI Semibold"/>
          <w:b/>
          <w:color w:val="FFFFFF"/>
          <w:spacing w:val="-14"/>
        </w:rPr>
        <w:t> </w:t>
      </w:r>
      <w:r>
        <w:rPr>
          <w:rFonts w:ascii="Segoe UI Semibold" w:hAnsi="Segoe UI Semibold"/>
          <w:b/>
          <w:color w:val="FFFFFF"/>
          <w:spacing w:val="-2"/>
        </w:rPr>
        <w:t>Con</w:t>
      </w:r>
      <w:r>
        <w:rPr>
          <w:rFonts w:ascii="Segoe UI Semibold" w:hAnsi="Segoe UI Semibold"/>
          <w:b/>
          <w:color w:val="FFFFFF"/>
          <w:spacing w:val="-15"/>
        </w:rPr>
        <w:t> </w:t>
      </w:r>
      <w:r>
        <w:rPr>
          <w:rFonts w:ascii="Segoe UI Semibold" w:hAnsi="Segoe UI Semibold"/>
          <w:b/>
          <w:color w:val="FFFFFF"/>
          <w:spacing w:val="-2"/>
        </w:rPr>
        <w:t>ello,</w:t>
      </w:r>
      <w:r>
        <w:rPr>
          <w:rFonts w:ascii="Segoe UI Semibold" w:hAnsi="Segoe UI Semibold"/>
          <w:b/>
          <w:color w:val="FFFFFF"/>
          <w:spacing w:val="-14"/>
        </w:rPr>
        <w:t> </w:t>
      </w:r>
      <w:r>
        <w:rPr>
          <w:rFonts w:ascii="Segoe UI Semibold" w:hAnsi="Segoe UI Semibold"/>
          <w:b/>
          <w:color w:val="FFFFFF"/>
          <w:spacing w:val="-2"/>
        </w:rPr>
        <w:t>se</w:t>
      </w:r>
      <w:r>
        <w:rPr>
          <w:rFonts w:ascii="Segoe UI Semibold" w:hAnsi="Segoe UI Semibold"/>
          <w:b/>
          <w:color w:val="FFFFFF"/>
          <w:spacing w:val="-15"/>
        </w:rPr>
        <w:t> </w:t>
      </w:r>
      <w:r>
        <w:rPr>
          <w:rFonts w:ascii="Segoe UI Semibold" w:hAnsi="Segoe UI Semibold"/>
          <w:b/>
          <w:color w:val="FFFFFF"/>
          <w:spacing w:val="-2"/>
        </w:rPr>
        <w:t>ratificó</w:t>
      </w:r>
      <w:r>
        <w:rPr>
          <w:rFonts w:ascii="Segoe UI Semibold" w:hAnsi="Segoe UI Semibold"/>
          <w:b/>
          <w:color w:val="FFFFFF"/>
          <w:spacing w:val="-14"/>
        </w:rPr>
        <w:t> </w:t>
      </w:r>
      <w:r>
        <w:rPr>
          <w:rFonts w:ascii="Segoe UI Semibold" w:hAnsi="Segoe UI Semibold"/>
          <w:b/>
          <w:color w:val="FFFFFF"/>
          <w:spacing w:val="-2"/>
        </w:rPr>
        <w:t>por tercera</w:t>
      </w:r>
      <w:r>
        <w:rPr>
          <w:rFonts w:ascii="Segoe UI Semibold" w:hAnsi="Segoe UI Semibold"/>
          <w:b/>
          <w:color w:val="FFFFFF"/>
          <w:spacing w:val="-15"/>
        </w:rPr>
        <w:t> </w:t>
      </w:r>
      <w:r>
        <w:rPr>
          <w:rFonts w:ascii="Segoe UI Semibold" w:hAnsi="Segoe UI Semibold"/>
          <w:b/>
          <w:color w:val="FFFFFF"/>
          <w:spacing w:val="-2"/>
        </w:rPr>
        <w:t>ocasión</w:t>
      </w:r>
      <w:r>
        <w:rPr>
          <w:rFonts w:ascii="Segoe UI Semibold" w:hAnsi="Segoe UI Semibold"/>
          <w:b/>
          <w:color w:val="FFFFFF"/>
          <w:spacing w:val="-14"/>
        </w:rPr>
        <w:t> </w:t>
      </w:r>
      <w:r>
        <w:rPr>
          <w:rFonts w:ascii="Segoe UI Semibold" w:hAnsi="Segoe UI Semibold"/>
          <w:b/>
          <w:color w:val="FFFFFF"/>
          <w:spacing w:val="-2"/>
        </w:rPr>
        <w:t>consecutiva</w:t>
      </w:r>
      <w:r>
        <w:rPr>
          <w:rFonts w:ascii="Segoe UI Semibold" w:hAnsi="Segoe UI Semibold"/>
          <w:b/>
          <w:color w:val="FFFFFF"/>
          <w:spacing w:val="-15"/>
        </w:rPr>
        <w:t> </w:t>
      </w:r>
      <w:r>
        <w:rPr>
          <w:rFonts w:ascii="Segoe UI Semibold" w:hAnsi="Segoe UI Semibold"/>
          <w:b/>
          <w:color w:val="FFFFFF"/>
          <w:spacing w:val="-2"/>
        </w:rPr>
        <w:t>la</w:t>
      </w:r>
      <w:r>
        <w:rPr>
          <w:rFonts w:ascii="Segoe UI Semibold" w:hAnsi="Segoe UI Semibold"/>
          <w:b/>
          <w:color w:val="FFFFFF"/>
          <w:spacing w:val="-14"/>
        </w:rPr>
        <w:t> </w:t>
      </w:r>
      <w:r>
        <w:rPr>
          <w:rFonts w:ascii="Segoe UI Semibold" w:hAnsi="Segoe UI Semibold"/>
          <w:b/>
          <w:color w:val="FFFFFF"/>
          <w:spacing w:val="-2"/>
        </w:rPr>
        <w:t>inclusión </w:t>
      </w:r>
      <w:r>
        <w:rPr>
          <w:rFonts w:ascii="Segoe UI Semibold" w:hAnsi="Segoe UI Semibold"/>
          <w:b/>
          <w:color w:val="FFFFFF"/>
          <w:spacing w:val="-8"/>
        </w:rPr>
        <w:t>de Cuba en este listado. La medida entró </w:t>
      </w:r>
      <w:r>
        <w:rPr>
          <w:rFonts w:ascii="Segoe UI Semibold" w:hAnsi="Segoe UI Semibold"/>
          <w:b/>
          <w:color w:val="FFFFFF"/>
        </w:rPr>
        <w:t>en</w:t>
      </w:r>
      <w:r>
        <w:rPr>
          <w:rFonts w:ascii="Segoe UI Semibold" w:hAnsi="Segoe UI Semibold"/>
          <w:b/>
          <w:color w:val="FFFFFF"/>
          <w:spacing w:val="-16"/>
        </w:rPr>
        <w:t> </w:t>
      </w:r>
      <w:r>
        <w:rPr>
          <w:rFonts w:ascii="Segoe UI Semibold" w:hAnsi="Segoe UI Semibold"/>
          <w:b/>
          <w:color w:val="FFFFFF"/>
        </w:rPr>
        <w:t>vigor</w:t>
      </w:r>
      <w:r>
        <w:rPr>
          <w:rFonts w:ascii="Segoe UI Semibold" w:hAnsi="Segoe UI Semibold"/>
          <w:b/>
          <w:color w:val="FFFFFF"/>
          <w:spacing w:val="-16"/>
        </w:rPr>
        <w:t> </w:t>
      </w:r>
      <w:r>
        <w:rPr>
          <w:rFonts w:ascii="Segoe UI Semibold" w:hAnsi="Segoe UI Semibold"/>
          <w:b/>
          <w:color w:val="FFFFFF"/>
        </w:rPr>
        <w:t>el</w:t>
      </w:r>
      <w:r>
        <w:rPr>
          <w:rFonts w:ascii="Segoe UI Semibold" w:hAnsi="Segoe UI Semibold"/>
          <w:b/>
          <w:color w:val="FFFFFF"/>
          <w:spacing w:val="-16"/>
        </w:rPr>
        <w:t> </w:t>
      </w:r>
      <w:r>
        <w:rPr>
          <w:rFonts w:ascii="Segoe UI Semibold" w:hAnsi="Segoe UI Semibold"/>
          <w:b/>
          <w:color w:val="FFFFFF"/>
        </w:rPr>
        <w:t>20</w:t>
      </w:r>
      <w:r>
        <w:rPr>
          <w:rFonts w:ascii="Segoe UI Semibold" w:hAnsi="Segoe UI Semibold"/>
          <w:b/>
          <w:color w:val="FFFFFF"/>
          <w:spacing w:val="-16"/>
        </w:rPr>
        <w:t> </w:t>
      </w:r>
      <w:r>
        <w:rPr>
          <w:rFonts w:ascii="Segoe UI Semibold" w:hAnsi="Segoe UI Semibold"/>
          <w:b/>
          <w:color w:val="FFFFFF"/>
        </w:rPr>
        <w:t>de</w:t>
      </w:r>
      <w:r>
        <w:rPr>
          <w:rFonts w:ascii="Segoe UI Semibold" w:hAnsi="Segoe UI Semibold"/>
          <w:b/>
          <w:color w:val="FFFFFF"/>
          <w:spacing w:val="-16"/>
        </w:rPr>
        <w:t> </w:t>
      </w:r>
      <w:r>
        <w:rPr>
          <w:rFonts w:ascii="Segoe UI Semibold" w:hAnsi="Segoe UI Semibold"/>
          <w:b/>
          <w:color w:val="FFFFFF"/>
        </w:rPr>
        <w:t>mayo</w:t>
      </w:r>
      <w:r>
        <w:rPr>
          <w:rFonts w:ascii="Segoe UI Semibold" w:hAnsi="Segoe UI Semibold"/>
          <w:b/>
          <w:color w:val="FFFFFF"/>
          <w:spacing w:val="-16"/>
        </w:rPr>
        <w:t> </w:t>
      </w:r>
      <w:r>
        <w:rPr>
          <w:rFonts w:ascii="Segoe UI Semibold" w:hAnsi="Segoe UI Semibold"/>
          <w:b/>
          <w:color w:val="FFFFFF"/>
        </w:rPr>
        <w:t>de</w:t>
      </w:r>
      <w:r>
        <w:rPr>
          <w:rFonts w:ascii="Segoe UI Semibold" w:hAnsi="Segoe UI Semibold"/>
          <w:b/>
          <w:color w:val="FFFFFF"/>
          <w:spacing w:val="-16"/>
        </w:rPr>
        <w:t> </w:t>
      </w:r>
      <w:r>
        <w:rPr>
          <w:rFonts w:ascii="Segoe UI Semibold" w:hAnsi="Segoe UI Semibold"/>
          <w:b/>
          <w:color w:val="FFFFFF"/>
        </w:rPr>
        <w:t>2022,</w:t>
      </w:r>
      <w:r>
        <w:rPr>
          <w:rFonts w:ascii="Segoe UI Semibold" w:hAnsi="Segoe UI Semibold"/>
          <w:b/>
          <w:color w:val="FFFFFF"/>
          <w:spacing w:val="-16"/>
        </w:rPr>
        <w:t> </w:t>
      </w:r>
      <w:r>
        <w:rPr>
          <w:rFonts w:ascii="Segoe UI Semibold" w:hAnsi="Segoe UI Semibold"/>
          <w:b/>
          <w:color w:val="FFFFFF"/>
        </w:rPr>
        <w:t>tras</w:t>
      </w:r>
      <w:r>
        <w:rPr>
          <w:rFonts w:ascii="Segoe UI Semibold" w:hAnsi="Segoe UI Semibold"/>
          <w:b/>
          <w:color w:val="FFFFFF"/>
          <w:spacing w:val="-16"/>
        </w:rPr>
        <w:t> </w:t>
      </w:r>
      <w:r>
        <w:rPr>
          <w:rFonts w:ascii="Segoe UI Semibold" w:hAnsi="Segoe UI Semibold"/>
          <w:b/>
          <w:color w:val="FFFFFF"/>
        </w:rPr>
        <w:t>su publicación</w:t>
      </w:r>
      <w:r>
        <w:rPr>
          <w:rFonts w:ascii="Segoe UI Semibold" w:hAnsi="Segoe UI Semibold"/>
          <w:b/>
          <w:color w:val="FFFFFF"/>
          <w:spacing w:val="-7"/>
        </w:rPr>
        <w:t> </w:t>
      </w:r>
      <w:r>
        <w:rPr>
          <w:rFonts w:ascii="Segoe UI Semibold" w:hAnsi="Segoe UI Semibold"/>
          <w:b/>
          <w:color w:val="FFFFFF"/>
        </w:rPr>
        <w:t>en</w:t>
      </w:r>
      <w:r>
        <w:rPr>
          <w:rFonts w:ascii="Segoe UI Semibold" w:hAnsi="Segoe UI Semibold"/>
          <w:b/>
          <w:color w:val="FFFFFF"/>
          <w:spacing w:val="-7"/>
        </w:rPr>
        <w:t> </w:t>
      </w:r>
      <w:r>
        <w:rPr>
          <w:rFonts w:ascii="Segoe UI Semibold" w:hAnsi="Segoe UI Semibold"/>
          <w:b/>
          <w:color w:val="FFFFFF"/>
        </w:rPr>
        <w:t>el</w:t>
      </w:r>
      <w:r>
        <w:rPr>
          <w:rFonts w:ascii="Segoe UI Semibold" w:hAnsi="Segoe UI Semibold"/>
          <w:b/>
          <w:color w:val="FFFFFF"/>
          <w:spacing w:val="-7"/>
        </w:rPr>
        <w:t> </w:t>
      </w:r>
      <w:r>
        <w:rPr>
          <w:rFonts w:ascii="Segoe UI Semibold" w:hAnsi="Segoe UI Semibold"/>
          <w:b/>
          <w:color w:val="FFFFFF"/>
        </w:rPr>
        <w:t>Registro</w:t>
      </w:r>
      <w:r>
        <w:rPr>
          <w:rFonts w:ascii="Segoe UI Semibold" w:hAnsi="Segoe UI Semibold"/>
          <w:b/>
          <w:color w:val="FFFFFF"/>
          <w:spacing w:val="-7"/>
        </w:rPr>
        <w:t> </w:t>
      </w:r>
      <w:r>
        <w:rPr>
          <w:rFonts w:ascii="Segoe UI Semibold" w:hAnsi="Segoe UI Semibold"/>
          <w:b/>
          <w:color w:val="FFFFFF"/>
        </w:rPr>
        <w:t>Federal.</w:t>
      </w:r>
    </w:p>
    <w:p>
      <w:pPr>
        <w:pStyle w:val="BodyText"/>
        <w:spacing w:before="169"/>
        <w:ind w:left="412" w:right="1732"/>
        <w:rPr>
          <w:rFonts w:ascii="Segoe UI Semibold" w:hAnsi="Segoe UI Semibold"/>
          <w:b/>
        </w:rPr>
      </w:pPr>
      <w:r>
        <w:rPr>
          <w:b/>
          <w:color w:val="FFFFFF"/>
          <w:spacing w:val="-12"/>
        </w:rPr>
        <w:t>El</w:t>
      </w:r>
      <w:r>
        <w:rPr>
          <w:b/>
          <w:color w:val="FFFFFF"/>
          <w:spacing w:val="-5"/>
        </w:rPr>
        <w:t> </w:t>
      </w:r>
      <w:r>
        <w:rPr>
          <w:b/>
          <w:color w:val="FFFFFF"/>
          <w:spacing w:val="-12"/>
        </w:rPr>
        <w:t>2</w:t>
      </w:r>
      <w:r>
        <w:rPr>
          <w:b/>
          <w:color w:val="FFFFFF"/>
          <w:spacing w:val="-5"/>
        </w:rPr>
        <w:t> </w:t>
      </w:r>
      <w:r>
        <w:rPr>
          <w:b/>
          <w:color w:val="FFFFFF"/>
          <w:spacing w:val="-12"/>
        </w:rPr>
        <w:t>de</w:t>
      </w:r>
      <w:r>
        <w:rPr>
          <w:b/>
          <w:color w:val="FFFFFF"/>
          <w:spacing w:val="-4"/>
        </w:rPr>
        <w:t> </w:t>
      </w:r>
      <w:r>
        <w:rPr>
          <w:b/>
          <w:color w:val="FFFFFF"/>
          <w:spacing w:val="-12"/>
        </w:rPr>
        <w:t>septiembre</w:t>
      </w:r>
      <w:r>
        <w:rPr>
          <w:b/>
          <w:color w:val="FFFFFF"/>
          <w:spacing w:val="-5"/>
        </w:rPr>
        <w:t> </w:t>
      </w:r>
      <w:r>
        <w:rPr>
          <w:b/>
          <w:color w:val="FFFFFF"/>
          <w:spacing w:val="-12"/>
        </w:rPr>
        <w:t>de</w:t>
      </w:r>
      <w:r>
        <w:rPr>
          <w:b/>
          <w:color w:val="FFFFFF"/>
          <w:spacing w:val="-4"/>
        </w:rPr>
        <w:t> </w:t>
      </w:r>
      <w:r>
        <w:rPr>
          <w:b/>
          <w:color w:val="FFFFFF"/>
          <w:spacing w:val="-12"/>
        </w:rPr>
        <w:t>2022</w:t>
      </w:r>
      <w:r>
        <w:rPr>
          <w:rFonts w:ascii="Segoe UI Semibold" w:hAnsi="Segoe UI Semibold"/>
          <w:b/>
          <w:color w:val="FFFFFF"/>
          <w:spacing w:val="-12"/>
        </w:rPr>
        <w:t>,</w:t>
      </w:r>
      <w:r>
        <w:rPr>
          <w:rFonts w:ascii="Segoe UI Semibold" w:hAnsi="Segoe UI Semibold"/>
          <w:b/>
          <w:color w:val="FFFFFF"/>
          <w:spacing w:val="-5"/>
        </w:rPr>
        <w:t> </w:t>
      </w:r>
      <w:r>
        <w:rPr>
          <w:rFonts w:ascii="Segoe UI Semibold" w:hAnsi="Segoe UI Semibold"/>
          <w:b/>
          <w:color w:val="FFFFFF"/>
          <w:spacing w:val="-12"/>
        </w:rPr>
        <w:t>el</w:t>
      </w:r>
      <w:r>
        <w:rPr>
          <w:rFonts w:ascii="Segoe UI Semibold" w:hAnsi="Segoe UI Semibold"/>
          <w:b/>
          <w:color w:val="FFFFFF"/>
          <w:spacing w:val="-4"/>
        </w:rPr>
        <w:t> </w:t>
      </w:r>
      <w:r>
        <w:rPr>
          <w:rFonts w:ascii="Segoe UI Semibold" w:hAnsi="Segoe UI Semibold"/>
          <w:b/>
          <w:color w:val="FFFFFF"/>
          <w:spacing w:val="-12"/>
        </w:rPr>
        <w:t>presidente </w:t>
      </w:r>
      <w:r>
        <w:rPr>
          <w:rFonts w:ascii="Segoe UI Semibold" w:hAnsi="Segoe UI Semibold"/>
          <w:b/>
          <w:color w:val="FFFFFF"/>
        </w:rPr>
        <w:t>Joseph Biden extendió por un año las restricciones del bloqueo contra Cuba </w:t>
      </w:r>
      <w:r>
        <w:rPr>
          <w:rFonts w:ascii="Segoe UI Semibold" w:hAnsi="Segoe UI Semibold"/>
          <w:b/>
          <w:color w:val="FFFFFF"/>
          <w:spacing w:val="-6"/>
        </w:rPr>
        <w:t>bajo</w:t>
      </w:r>
      <w:r>
        <w:rPr>
          <w:rFonts w:ascii="Segoe UI Semibold" w:hAnsi="Segoe UI Semibold"/>
          <w:b/>
          <w:color w:val="FFFFFF"/>
          <w:spacing w:val="-11"/>
        </w:rPr>
        <w:t> </w:t>
      </w:r>
      <w:r>
        <w:rPr>
          <w:rFonts w:ascii="Segoe UI Semibold" w:hAnsi="Segoe UI Semibold"/>
          <w:b/>
          <w:color w:val="FFFFFF"/>
          <w:spacing w:val="-6"/>
        </w:rPr>
        <w:t>la</w:t>
      </w:r>
      <w:r>
        <w:rPr>
          <w:rFonts w:ascii="Segoe UI Semibold" w:hAnsi="Segoe UI Semibold"/>
          <w:b/>
          <w:color w:val="FFFFFF"/>
          <w:spacing w:val="-10"/>
        </w:rPr>
        <w:t> </w:t>
      </w:r>
      <w:r>
        <w:rPr>
          <w:rFonts w:ascii="Segoe UI Semibold" w:hAnsi="Segoe UI Semibold"/>
          <w:b/>
          <w:color w:val="FFFFFF"/>
          <w:spacing w:val="-6"/>
        </w:rPr>
        <w:t>Ley</w:t>
      </w:r>
      <w:r>
        <w:rPr>
          <w:rFonts w:ascii="Segoe UI Semibold" w:hAnsi="Segoe UI Semibold"/>
          <w:b/>
          <w:color w:val="FFFFFF"/>
          <w:spacing w:val="-11"/>
        </w:rPr>
        <w:t> </w:t>
      </w:r>
      <w:r>
        <w:rPr>
          <w:rFonts w:ascii="Segoe UI Semibold" w:hAnsi="Segoe UI Semibold"/>
          <w:b/>
          <w:color w:val="FFFFFF"/>
          <w:spacing w:val="-6"/>
        </w:rPr>
        <w:t>de</w:t>
      </w:r>
      <w:r>
        <w:rPr>
          <w:rFonts w:ascii="Segoe UI Semibold" w:hAnsi="Segoe UI Semibold"/>
          <w:b/>
          <w:color w:val="FFFFFF"/>
          <w:spacing w:val="-10"/>
        </w:rPr>
        <w:t> </w:t>
      </w:r>
      <w:r>
        <w:rPr>
          <w:rFonts w:ascii="Segoe UI Semibold" w:hAnsi="Segoe UI Semibold"/>
          <w:b/>
          <w:color w:val="FFFFFF"/>
          <w:spacing w:val="-6"/>
        </w:rPr>
        <w:t>Comercio</w:t>
      </w:r>
      <w:r>
        <w:rPr>
          <w:rFonts w:ascii="Segoe UI Semibold" w:hAnsi="Segoe UI Semibold"/>
          <w:b/>
          <w:color w:val="FFFFFF"/>
          <w:spacing w:val="-11"/>
        </w:rPr>
        <w:t> </w:t>
      </w:r>
      <w:r>
        <w:rPr>
          <w:rFonts w:ascii="Segoe UI Semibold" w:hAnsi="Segoe UI Semibold"/>
          <w:b/>
          <w:color w:val="FFFFFF"/>
          <w:spacing w:val="-6"/>
        </w:rPr>
        <w:t>con</w:t>
      </w:r>
      <w:r>
        <w:rPr>
          <w:rFonts w:ascii="Segoe UI Semibold" w:hAnsi="Segoe UI Semibold"/>
          <w:b/>
          <w:color w:val="FFFFFF"/>
          <w:spacing w:val="-10"/>
        </w:rPr>
        <w:t> </w:t>
      </w:r>
      <w:r>
        <w:rPr>
          <w:rFonts w:ascii="Segoe UI Semibold" w:hAnsi="Segoe UI Semibold"/>
          <w:b/>
          <w:color w:val="FFFFFF"/>
          <w:spacing w:val="-6"/>
        </w:rPr>
        <w:t>el</w:t>
      </w:r>
      <w:r>
        <w:rPr>
          <w:rFonts w:ascii="Segoe UI Semibold" w:hAnsi="Segoe UI Semibold"/>
          <w:b/>
          <w:color w:val="FFFFFF"/>
          <w:spacing w:val="-11"/>
        </w:rPr>
        <w:t> </w:t>
      </w:r>
      <w:r>
        <w:rPr>
          <w:rFonts w:ascii="Segoe UI Semibold" w:hAnsi="Segoe UI Semibold"/>
          <w:b/>
          <w:color w:val="FFFFFF"/>
          <w:spacing w:val="-6"/>
        </w:rPr>
        <w:t>Enemigo. </w:t>
      </w:r>
      <w:r>
        <w:rPr>
          <w:rFonts w:ascii="Segoe UI Semibold" w:hAnsi="Segoe UI Semibold"/>
          <w:b/>
          <w:color w:val="FFFFFF"/>
          <w:spacing w:val="-4"/>
        </w:rPr>
        <w:t>La</w:t>
      </w:r>
      <w:r>
        <w:rPr>
          <w:rFonts w:ascii="Segoe UI Semibold" w:hAnsi="Segoe UI Semibold"/>
          <w:b/>
          <w:color w:val="FFFFFF"/>
          <w:spacing w:val="-11"/>
        </w:rPr>
        <w:t> </w:t>
      </w:r>
      <w:r>
        <w:rPr>
          <w:rFonts w:ascii="Segoe UI Semibold" w:hAnsi="Segoe UI Semibold"/>
          <w:b/>
          <w:color w:val="FFFFFF"/>
          <w:spacing w:val="-4"/>
        </w:rPr>
        <w:t>decisión</w:t>
      </w:r>
      <w:r>
        <w:rPr>
          <w:rFonts w:ascii="Segoe UI Semibold" w:hAnsi="Segoe UI Semibold"/>
          <w:b/>
          <w:color w:val="FFFFFF"/>
          <w:spacing w:val="-11"/>
        </w:rPr>
        <w:t> </w:t>
      </w:r>
      <w:r>
        <w:rPr>
          <w:rFonts w:ascii="Segoe UI Semibold" w:hAnsi="Segoe UI Semibold"/>
          <w:b/>
          <w:color w:val="FFFFFF"/>
          <w:spacing w:val="-4"/>
        </w:rPr>
        <w:t>se</w:t>
      </w:r>
      <w:r>
        <w:rPr>
          <w:rFonts w:ascii="Segoe UI Semibold" w:hAnsi="Segoe UI Semibold"/>
          <w:b/>
          <w:color w:val="FFFFFF"/>
          <w:spacing w:val="-11"/>
        </w:rPr>
        <w:t> </w:t>
      </w:r>
      <w:r>
        <w:rPr>
          <w:rFonts w:ascii="Segoe UI Semibold" w:hAnsi="Segoe UI Semibold"/>
          <w:b/>
          <w:color w:val="FFFFFF"/>
          <w:spacing w:val="-4"/>
        </w:rPr>
        <w:t>hizo</w:t>
      </w:r>
      <w:r>
        <w:rPr>
          <w:rFonts w:ascii="Segoe UI Semibold" w:hAnsi="Segoe UI Semibold"/>
          <w:b/>
          <w:color w:val="FFFFFF"/>
          <w:spacing w:val="-11"/>
        </w:rPr>
        <w:t> </w:t>
      </w:r>
      <w:r>
        <w:rPr>
          <w:rFonts w:ascii="Segoe UI Semibold" w:hAnsi="Segoe UI Semibold"/>
          <w:b/>
          <w:color w:val="FFFFFF"/>
          <w:spacing w:val="-4"/>
        </w:rPr>
        <w:t>pública</w:t>
      </w:r>
      <w:r>
        <w:rPr>
          <w:rFonts w:ascii="Segoe UI Semibold" w:hAnsi="Segoe UI Semibold"/>
          <w:b/>
          <w:color w:val="FFFFFF"/>
          <w:spacing w:val="-11"/>
        </w:rPr>
        <w:t> </w:t>
      </w:r>
      <w:r>
        <w:rPr>
          <w:rFonts w:ascii="Segoe UI Semibold" w:hAnsi="Segoe UI Semibold"/>
          <w:b/>
          <w:color w:val="FFFFFF"/>
          <w:spacing w:val="-4"/>
        </w:rPr>
        <w:t>mediante</w:t>
      </w:r>
      <w:r>
        <w:rPr>
          <w:rFonts w:ascii="Segoe UI Semibold" w:hAnsi="Segoe UI Semibold"/>
          <w:b/>
          <w:color w:val="FFFFFF"/>
          <w:spacing w:val="-11"/>
        </w:rPr>
        <w:t> </w:t>
      </w:r>
      <w:r>
        <w:rPr>
          <w:rFonts w:ascii="Segoe UI Semibold" w:hAnsi="Segoe UI Semibold"/>
          <w:b/>
          <w:color w:val="FFFFFF"/>
          <w:spacing w:val="-4"/>
        </w:rPr>
        <w:t>un </w:t>
      </w:r>
      <w:r>
        <w:rPr>
          <w:rFonts w:ascii="Segoe UI Semibold" w:hAnsi="Segoe UI Semibold"/>
          <w:b/>
          <w:color w:val="FFFFFF"/>
        </w:rPr>
        <w:t>comunicado</w:t>
      </w:r>
      <w:r>
        <w:rPr>
          <w:rFonts w:ascii="Segoe UI Semibold" w:hAnsi="Segoe UI Semibold"/>
          <w:b/>
          <w:color w:val="FFFFFF"/>
          <w:spacing w:val="-17"/>
        </w:rPr>
        <w:t> </w:t>
      </w:r>
      <w:r>
        <w:rPr>
          <w:rFonts w:ascii="Segoe UI Semibold" w:hAnsi="Segoe UI Semibold"/>
          <w:b/>
          <w:color w:val="FFFFFF"/>
        </w:rPr>
        <w:t>de</w:t>
      </w:r>
      <w:r>
        <w:rPr>
          <w:rFonts w:ascii="Segoe UI Semibold" w:hAnsi="Segoe UI Semibold"/>
          <w:b/>
          <w:color w:val="FFFFFF"/>
          <w:spacing w:val="-16"/>
        </w:rPr>
        <w:t> </w:t>
      </w:r>
      <w:r>
        <w:rPr>
          <w:rFonts w:ascii="Segoe UI Semibold" w:hAnsi="Segoe UI Semibold"/>
          <w:b/>
          <w:color w:val="FFFFFF"/>
        </w:rPr>
        <w:t>la</w:t>
      </w:r>
      <w:r>
        <w:rPr>
          <w:rFonts w:ascii="Segoe UI Semibold" w:hAnsi="Segoe UI Semibold"/>
          <w:b/>
          <w:color w:val="FFFFFF"/>
          <w:spacing w:val="-17"/>
        </w:rPr>
        <w:t> </w:t>
      </w:r>
      <w:r>
        <w:rPr>
          <w:rFonts w:ascii="Segoe UI Semibold" w:hAnsi="Segoe UI Semibold"/>
          <w:b/>
          <w:color w:val="FFFFFF"/>
        </w:rPr>
        <w:t>Casa</w:t>
      </w:r>
      <w:r>
        <w:rPr>
          <w:rFonts w:ascii="Segoe UI Semibold" w:hAnsi="Segoe UI Semibold"/>
          <w:b/>
          <w:color w:val="FFFFFF"/>
          <w:spacing w:val="-16"/>
        </w:rPr>
        <w:t> </w:t>
      </w:r>
      <w:r>
        <w:rPr>
          <w:rFonts w:ascii="Segoe UI Semibold" w:hAnsi="Segoe UI Semibold"/>
          <w:b/>
          <w:color w:val="FFFFFF"/>
        </w:rPr>
        <w:t>Blanca.</w:t>
      </w:r>
    </w:p>
    <w:p>
      <w:pPr>
        <w:pStyle w:val="BodyText"/>
        <w:spacing w:before="165"/>
        <w:ind w:left="412" w:right="1732"/>
        <w:rPr>
          <w:rFonts w:ascii="Segoe UI Semibold" w:hAnsi="Segoe UI Semibold"/>
          <w:b/>
        </w:rPr>
      </w:pPr>
      <w:r>
        <w:rPr>
          <w:b/>
          <w:color w:val="FFFFFF"/>
        </w:rPr>
        <w:t>El 14 de octubre de 2022</w:t>
      </w:r>
      <w:r>
        <w:rPr>
          <w:rFonts w:ascii="Segoe UI Semibold" w:hAnsi="Segoe UI Semibold"/>
          <w:b/>
          <w:color w:val="FFFFFF"/>
        </w:rPr>
        <w:t>, mediante directiva presidencial, Joseph Biden extendió por un año las restricciones de otorgar fondos federales para </w:t>
      </w:r>
      <w:r>
        <w:rPr>
          <w:rFonts w:ascii="Segoe UI Semibold" w:hAnsi="Segoe UI Semibold"/>
          <w:b/>
          <w:color w:val="FFFFFF"/>
          <w:spacing w:val="-4"/>
        </w:rPr>
        <w:t>intercambios</w:t>
      </w:r>
      <w:r>
        <w:rPr>
          <w:rFonts w:ascii="Segoe UI Semibold" w:hAnsi="Segoe UI Semibold"/>
          <w:b/>
          <w:color w:val="FFFFFF"/>
          <w:spacing w:val="-13"/>
        </w:rPr>
        <w:t> </w:t>
      </w:r>
      <w:r>
        <w:rPr>
          <w:rFonts w:ascii="Segoe UI Semibold" w:hAnsi="Segoe UI Semibold"/>
          <w:b/>
          <w:color w:val="FFFFFF"/>
          <w:spacing w:val="-4"/>
        </w:rPr>
        <w:t>culturales</w:t>
      </w:r>
      <w:r>
        <w:rPr>
          <w:rFonts w:ascii="Segoe UI Semibold" w:hAnsi="Segoe UI Semibold"/>
          <w:b/>
          <w:color w:val="FFFFFF"/>
          <w:spacing w:val="-12"/>
        </w:rPr>
        <w:t> </w:t>
      </w:r>
      <w:r>
        <w:rPr>
          <w:rFonts w:ascii="Segoe UI Semibold" w:hAnsi="Segoe UI Semibold"/>
          <w:b/>
          <w:color w:val="FFFFFF"/>
          <w:spacing w:val="-4"/>
        </w:rPr>
        <w:t>y</w:t>
      </w:r>
      <w:r>
        <w:rPr>
          <w:rFonts w:ascii="Segoe UI Semibold" w:hAnsi="Segoe UI Semibold"/>
          <w:b/>
          <w:color w:val="FFFFFF"/>
          <w:spacing w:val="-13"/>
        </w:rPr>
        <w:t> </w:t>
      </w:r>
      <w:r>
        <w:rPr>
          <w:rFonts w:ascii="Segoe UI Semibold" w:hAnsi="Segoe UI Semibold"/>
          <w:b/>
          <w:color w:val="FFFFFF"/>
          <w:spacing w:val="-4"/>
        </w:rPr>
        <w:t>educacionales </w:t>
      </w:r>
      <w:r>
        <w:rPr>
          <w:rFonts w:ascii="Segoe UI Semibold" w:hAnsi="Segoe UI Semibold"/>
          <w:b/>
          <w:color w:val="FFFFFF"/>
          <w:spacing w:val="-14"/>
        </w:rPr>
        <w:t>con</w:t>
      </w:r>
      <w:r>
        <w:rPr>
          <w:rFonts w:ascii="Segoe UI Semibold" w:hAnsi="Segoe UI Semibold"/>
          <w:b/>
          <w:color w:val="FFFFFF"/>
          <w:spacing w:val="-3"/>
        </w:rPr>
        <w:t> </w:t>
      </w:r>
      <w:r>
        <w:rPr>
          <w:rFonts w:ascii="Segoe UI Semibold" w:hAnsi="Segoe UI Semibold"/>
          <w:b/>
          <w:color w:val="FFFFFF"/>
          <w:spacing w:val="-14"/>
        </w:rPr>
        <w:t>Cuba,</w:t>
      </w:r>
      <w:r>
        <w:rPr>
          <w:rFonts w:ascii="Segoe UI Semibold" w:hAnsi="Segoe UI Semibold"/>
          <w:b/>
          <w:color w:val="FFFFFF"/>
          <w:spacing w:val="-2"/>
        </w:rPr>
        <w:t> </w:t>
      </w:r>
      <w:r>
        <w:rPr>
          <w:rFonts w:ascii="Segoe UI Semibold" w:hAnsi="Segoe UI Semibold"/>
          <w:b/>
          <w:color w:val="FFFFFF"/>
          <w:spacing w:val="-14"/>
        </w:rPr>
        <w:t>entre</w:t>
      </w:r>
      <w:r>
        <w:rPr>
          <w:rFonts w:ascii="Segoe UI Semibold" w:hAnsi="Segoe UI Semibold"/>
          <w:b/>
          <w:color w:val="FFFFFF"/>
          <w:spacing w:val="-3"/>
        </w:rPr>
        <w:t> </w:t>
      </w:r>
      <w:r>
        <w:rPr>
          <w:rFonts w:ascii="Segoe UI Semibold" w:hAnsi="Segoe UI Semibold"/>
          <w:b/>
          <w:color w:val="FFFFFF"/>
          <w:spacing w:val="-14"/>
        </w:rPr>
        <w:t>otras</w:t>
      </w:r>
      <w:r>
        <w:rPr>
          <w:rFonts w:ascii="Segoe UI Semibold" w:hAnsi="Segoe UI Semibold"/>
          <w:b/>
          <w:color w:val="FFFFFF"/>
          <w:spacing w:val="-2"/>
        </w:rPr>
        <w:t> </w:t>
      </w:r>
      <w:r>
        <w:rPr>
          <w:rFonts w:ascii="Segoe UI Semibold" w:hAnsi="Segoe UI Semibold"/>
          <w:b/>
          <w:color w:val="FFFFFF"/>
          <w:spacing w:val="-14"/>
        </w:rPr>
        <w:t>medidas.</w:t>
      </w:r>
      <w:r>
        <w:rPr>
          <w:rFonts w:ascii="Segoe UI Semibold" w:hAnsi="Segoe UI Semibold"/>
          <w:b/>
          <w:color w:val="FFFFFF"/>
          <w:spacing w:val="-3"/>
        </w:rPr>
        <w:t> </w:t>
      </w:r>
      <w:r>
        <w:rPr>
          <w:rFonts w:ascii="Segoe UI Semibold" w:hAnsi="Segoe UI Semibold"/>
          <w:b/>
          <w:color w:val="FFFFFF"/>
          <w:spacing w:val="-14"/>
        </w:rPr>
        <w:t>Esta</w:t>
      </w:r>
      <w:r>
        <w:rPr>
          <w:rFonts w:ascii="Segoe UI Semibold" w:hAnsi="Segoe UI Semibold"/>
          <w:b/>
          <w:color w:val="FFFFFF"/>
        </w:rPr>
        <w:t> </w:t>
      </w:r>
      <w:r>
        <w:rPr>
          <w:rFonts w:ascii="Segoe UI Semibold" w:hAnsi="Segoe UI Semibold"/>
          <w:b/>
          <w:color w:val="FFFFFF"/>
          <w:spacing w:val="-14"/>
        </w:rPr>
        <w:t>acción </w:t>
      </w:r>
      <w:r>
        <w:rPr>
          <w:rFonts w:ascii="Segoe UI Semibold" w:hAnsi="Segoe UI Semibold"/>
          <w:b/>
          <w:color w:val="FFFFFF"/>
          <w:spacing w:val="-6"/>
        </w:rPr>
        <w:t>se</w:t>
      </w:r>
      <w:r>
        <w:rPr>
          <w:rFonts w:ascii="Segoe UI Semibold" w:hAnsi="Segoe UI Semibold"/>
          <w:b/>
          <w:color w:val="FFFFFF"/>
          <w:spacing w:val="-10"/>
        </w:rPr>
        <w:t> </w:t>
      </w:r>
      <w:r>
        <w:rPr>
          <w:rFonts w:ascii="Segoe UI Semibold" w:hAnsi="Segoe UI Semibold"/>
          <w:b/>
          <w:color w:val="FFFFFF"/>
          <w:spacing w:val="-6"/>
        </w:rPr>
        <w:t>derivó</w:t>
      </w:r>
      <w:r>
        <w:rPr>
          <w:rFonts w:ascii="Segoe UI Semibold" w:hAnsi="Segoe UI Semibold"/>
          <w:b/>
          <w:color w:val="FFFFFF"/>
          <w:spacing w:val="-10"/>
        </w:rPr>
        <w:t> </w:t>
      </w:r>
      <w:r>
        <w:rPr>
          <w:rFonts w:ascii="Segoe UI Semibold" w:hAnsi="Segoe UI Semibold"/>
          <w:b/>
          <w:color w:val="FFFFFF"/>
          <w:spacing w:val="-6"/>
        </w:rPr>
        <w:t>de</w:t>
      </w:r>
      <w:r>
        <w:rPr>
          <w:rFonts w:ascii="Segoe UI Semibold" w:hAnsi="Segoe UI Semibold"/>
          <w:b/>
          <w:color w:val="FFFFFF"/>
          <w:spacing w:val="-10"/>
        </w:rPr>
        <w:t> </w:t>
      </w:r>
      <w:r>
        <w:rPr>
          <w:rFonts w:ascii="Segoe UI Semibold" w:hAnsi="Segoe UI Semibold"/>
          <w:b/>
          <w:color w:val="FFFFFF"/>
          <w:spacing w:val="-6"/>
        </w:rPr>
        <w:t>la</w:t>
      </w:r>
      <w:r>
        <w:rPr>
          <w:rFonts w:ascii="Segoe UI Semibold" w:hAnsi="Segoe UI Semibold"/>
          <w:b/>
          <w:color w:val="FFFFFF"/>
          <w:spacing w:val="-10"/>
        </w:rPr>
        <w:t> </w:t>
      </w:r>
      <w:r>
        <w:rPr>
          <w:rFonts w:ascii="Segoe UI Semibold" w:hAnsi="Segoe UI Semibold"/>
          <w:b/>
          <w:color w:val="FFFFFF"/>
          <w:spacing w:val="-6"/>
        </w:rPr>
        <w:t>permanencia</w:t>
      </w:r>
      <w:r>
        <w:rPr>
          <w:rFonts w:ascii="Segoe UI Semibold" w:hAnsi="Segoe UI Semibold"/>
          <w:b/>
          <w:color w:val="FFFFFF"/>
          <w:spacing w:val="-10"/>
        </w:rPr>
        <w:t> </w:t>
      </w:r>
      <w:r>
        <w:rPr>
          <w:rFonts w:ascii="Segoe UI Semibold" w:hAnsi="Segoe UI Semibold"/>
          <w:b/>
          <w:color w:val="FFFFFF"/>
          <w:spacing w:val="-6"/>
        </w:rPr>
        <w:t>de</w:t>
      </w:r>
      <w:r>
        <w:rPr>
          <w:rFonts w:ascii="Segoe UI Semibold" w:hAnsi="Segoe UI Semibold"/>
          <w:b/>
          <w:color w:val="FFFFFF"/>
          <w:spacing w:val="-10"/>
        </w:rPr>
        <w:t> </w:t>
      </w:r>
      <w:r>
        <w:rPr>
          <w:rFonts w:ascii="Segoe UI Semibold" w:hAnsi="Segoe UI Semibold"/>
          <w:b/>
          <w:color w:val="FFFFFF"/>
          <w:spacing w:val="-6"/>
        </w:rPr>
        <w:t>la</w:t>
      </w:r>
      <w:r>
        <w:rPr>
          <w:rFonts w:ascii="Segoe UI Semibold" w:hAnsi="Segoe UI Semibold"/>
          <w:b/>
          <w:color w:val="FFFFFF"/>
          <w:spacing w:val="-10"/>
        </w:rPr>
        <w:t> </w:t>
      </w:r>
      <w:r>
        <w:rPr>
          <w:rFonts w:ascii="Segoe UI Semibold" w:hAnsi="Segoe UI Semibold"/>
          <w:b/>
          <w:color w:val="FFFFFF"/>
          <w:spacing w:val="-6"/>
        </w:rPr>
        <w:t>Isla</w:t>
      </w:r>
      <w:r>
        <w:rPr>
          <w:rFonts w:ascii="Segoe UI Semibold" w:hAnsi="Segoe UI Semibold"/>
          <w:b/>
          <w:color w:val="FFFFFF"/>
          <w:spacing w:val="-10"/>
        </w:rPr>
        <w:t> </w:t>
      </w:r>
      <w:r>
        <w:rPr>
          <w:rFonts w:ascii="Segoe UI Semibold" w:hAnsi="Segoe UI Semibold"/>
          <w:b/>
          <w:color w:val="FFFFFF"/>
          <w:spacing w:val="-6"/>
        </w:rPr>
        <w:t>en </w:t>
      </w:r>
      <w:r>
        <w:rPr>
          <w:rFonts w:ascii="Segoe UI Semibold" w:hAnsi="Segoe UI Semibold"/>
          <w:b/>
          <w:color w:val="FFFFFF"/>
          <w:spacing w:val="-4"/>
        </w:rPr>
        <w:t>el</w:t>
      </w:r>
      <w:r>
        <w:rPr>
          <w:rFonts w:ascii="Segoe UI Semibold" w:hAnsi="Segoe UI Semibold"/>
          <w:b/>
          <w:color w:val="FFFFFF"/>
          <w:spacing w:val="-12"/>
        </w:rPr>
        <w:t> </w:t>
      </w:r>
      <w:r>
        <w:rPr>
          <w:rFonts w:ascii="Segoe UI Semibold" w:hAnsi="Segoe UI Semibold"/>
          <w:b/>
          <w:color w:val="FFFFFF"/>
          <w:spacing w:val="-4"/>
        </w:rPr>
        <w:t>Nivel</w:t>
      </w:r>
      <w:r>
        <w:rPr>
          <w:rFonts w:ascii="Segoe UI Semibold" w:hAnsi="Segoe UI Semibold"/>
          <w:b/>
          <w:color w:val="FFFFFF"/>
          <w:spacing w:val="-12"/>
        </w:rPr>
        <w:t> </w:t>
      </w:r>
      <w:r>
        <w:rPr>
          <w:rFonts w:ascii="Segoe UI Semibold" w:hAnsi="Segoe UI Semibold"/>
          <w:b/>
          <w:color w:val="FFFFFF"/>
          <w:spacing w:val="-4"/>
        </w:rPr>
        <w:t>3</w:t>
      </w:r>
      <w:r>
        <w:rPr>
          <w:rFonts w:ascii="Segoe UI Semibold" w:hAnsi="Segoe UI Semibold"/>
          <w:b/>
          <w:color w:val="FFFFFF"/>
          <w:spacing w:val="-12"/>
        </w:rPr>
        <w:t> </w:t>
      </w:r>
      <w:r>
        <w:rPr>
          <w:rFonts w:ascii="Segoe UI Semibold" w:hAnsi="Segoe UI Semibold"/>
          <w:b/>
          <w:color w:val="FFFFFF"/>
          <w:spacing w:val="-4"/>
        </w:rPr>
        <w:t>del</w:t>
      </w:r>
      <w:r>
        <w:rPr>
          <w:rFonts w:ascii="Segoe UI Semibold" w:hAnsi="Segoe UI Semibold"/>
          <w:b/>
          <w:color w:val="FFFFFF"/>
          <w:spacing w:val="-12"/>
        </w:rPr>
        <w:t> </w:t>
      </w:r>
      <w:r>
        <w:rPr>
          <w:rFonts w:ascii="Segoe UI Semibold" w:hAnsi="Segoe UI Semibold"/>
          <w:b/>
          <w:color w:val="FFFFFF"/>
          <w:spacing w:val="-4"/>
        </w:rPr>
        <w:t>Informe</w:t>
      </w:r>
      <w:r>
        <w:rPr>
          <w:rFonts w:ascii="Segoe UI Semibold" w:hAnsi="Segoe UI Semibold"/>
          <w:b/>
          <w:color w:val="FFFFFF"/>
          <w:spacing w:val="-12"/>
        </w:rPr>
        <w:t> </w:t>
      </w:r>
      <w:r>
        <w:rPr>
          <w:rFonts w:ascii="Segoe UI Semibold" w:hAnsi="Segoe UI Semibold"/>
          <w:b/>
          <w:color w:val="FFFFFF"/>
          <w:spacing w:val="-4"/>
        </w:rPr>
        <w:t>Anual</w:t>
      </w:r>
      <w:r>
        <w:rPr>
          <w:rFonts w:ascii="Segoe UI Semibold" w:hAnsi="Segoe UI Semibold"/>
          <w:b/>
          <w:color w:val="FFFFFF"/>
          <w:spacing w:val="-12"/>
        </w:rPr>
        <w:t> </w:t>
      </w:r>
      <w:r>
        <w:rPr>
          <w:rFonts w:ascii="Segoe UI Semibold" w:hAnsi="Segoe UI Semibold"/>
          <w:b/>
          <w:color w:val="FFFFFF"/>
          <w:spacing w:val="-4"/>
        </w:rPr>
        <w:t>sobre</w:t>
      </w:r>
      <w:r>
        <w:rPr>
          <w:rFonts w:ascii="Segoe UI Semibold" w:hAnsi="Segoe UI Semibold"/>
          <w:b/>
          <w:color w:val="FFFFFF"/>
          <w:spacing w:val="-12"/>
        </w:rPr>
        <w:t> </w:t>
      </w:r>
      <w:r>
        <w:rPr>
          <w:rFonts w:ascii="Segoe UI Semibold" w:hAnsi="Segoe UI Semibold"/>
          <w:b/>
          <w:color w:val="FFFFFF"/>
          <w:spacing w:val="-4"/>
        </w:rPr>
        <w:t>Trata </w:t>
      </w:r>
      <w:r>
        <w:rPr>
          <w:rFonts w:ascii="Segoe UI Semibold" w:hAnsi="Segoe UI Semibold"/>
          <w:b/>
          <w:color w:val="FFFFFF"/>
          <w:spacing w:val="-10"/>
        </w:rPr>
        <w:t>de</w:t>
      </w:r>
      <w:r>
        <w:rPr>
          <w:rFonts w:ascii="Segoe UI Semibold" w:hAnsi="Segoe UI Semibold"/>
          <w:b/>
          <w:color w:val="FFFFFF"/>
          <w:spacing w:val="-16"/>
        </w:rPr>
        <w:t> </w:t>
      </w:r>
      <w:r>
        <w:rPr>
          <w:rFonts w:ascii="Segoe UI Semibold" w:hAnsi="Segoe UI Semibold"/>
          <w:b/>
          <w:color w:val="FFFFFF"/>
          <w:spacing w:val="-10"/>
        </w:rPr>
        <w:t>Personas</w:t>
      </w:r>
      <w:r>
        <w:rPr>
          <w:rFonts w:ascii="Segoe UI Semibold" w:hAnsi="Segoe UI Semibold"/>
          <w:b/>
          <w:color w:val="FFFFFF"/>
          <w:spacing w:val="-14"/>
        </w:rPr>
        <w:t> </w:t>
      </w:r>
      <w:r>
        <w:rPr>
          <w:rFonts w:ascii="Segoe UI Semibold" w:hAnsi="Segoe UI Semibold"/>
          <w:b/>
          <w:color w:val="FFFFFF"/>
          <w:spacing w:val="-10"/>
        </w:rPr>
        <w:t>del</w:t>
      </w:r>
      <w:r>
        <w:rPr>
          <w:rFonts w:ascii="Segoe UI Semibold" w:hAnsi="Segoe UI Semibold"/>
          <w:b/>
          <w:color w:val="FFFFFF"/>
          <w:spacing w:val="-14"/>
        </w:rPr>
        <w:t> </w:t>
      </w:r>
      <w:r>
        <w:rPr>
          <w:rFonts w:ascii="Segoe UI Semibold" w:hAnsi="Segoe UI Semibold"/>
          <w:b/>
          <w:color w:val="FFFFFF"/>
          <w:spacing w:val="-10"/>
        </w:rPr>
        <w:t>Departamento</w:t>
      </w:r>
      <w:r>
        <w:rPr>
          <w:rFonts w:ascii="Segoe UI Semibold" w:hAnsi="Segoe UI Semibold"/>
          <w:b/>
          <w:color w:val="FFFFFF"/>
          <w:spacing w:val="-14"/>
        </w:rPr>
        <w:t> </w:t>
      </w:r>
      <w:r>
        <w:rPr>
          <w:rFonts w:ascii="Segoe UI Semibold" w:hAnsi="Segoe UI Semibold"/>
          <w:b/>
          <w:color w:val="FFFFFF"/>
          <w:spacing w:val="-10"/>
        </w:rPr>
        <w:t>de</w:t>
      </w:r>
      <w:r>
        <w:rPr>
          <w:rFonts w:ascii="Segoe UI Semibold" w:hAnsi="Segoe UI Semibold"/>
          <w:b/>
          <w:color w:val="FFFFFF"/>
          <w:spacing w:val="-13"/>
        </w:rPr>
        <w:t> </w:t>
      </w:r>
      <w:r>
        <w:rPr>
          <w:rFonts w:ascii="Segoe UI Semibold" w:hAnsi="Segoe UI Semibold"/>
          <w:b/>
          <w:color w:val="FFFFFF"/>
          <w:spacing w:val="-10"/>
        </w:rPr>
        <w:t>Estado.</w:t>
      </w:r>
    </w:p>
    <w:p>
      <w:pPr>
        <w:pStyle w:val="BodyText"/>
        <w:spacing w:before="167"/>
        <w:ind w:left="412" w:right="1733"/>
        <w:rPr>
          <w:rFonts w:ascii="Segoe UI Semibold" w:hAnsi="Segoe UI Semibold"/>
          <w:b/>
        </w:rPr>
      </w:pPr>
      <w:r>
        <w:rPr>
          <w:b/>
          <w:color w:val="FFFFFF"/>
        </w:rPr>
        <w:t>El 30 de noviembre de 2022</w:t>
      </w:r>
      <w:r>
        <w:rPr>
          <w:color w:val="FFFFFF"/>
        </w:rPr>
        <w:t>, el </w:t>
      </w:r>
      <w:r>
        <w:rPr>
          <w:rFonts w:ascii="Segoe UI Semibold" w:hAnsi="Segoe UI Semibold"/>
          <w:b/>
          <w:color w:val="FFFFFF"/>
        </w:rPr>
        <w:t>Departamento de Justicia publicó una </w:t>
      </w:r>
      <w:r>
        <w:rPr>
          <w:rFonts w:ascii="Segoe UI Semibold" w:hAnsi="Segoe UI Semibold"/>
          <w:b/>
          <w:color w:val="FFFFFF"/>
          <w:spacing w:val="-14"/>
        </w:rPr>
        <w:t>recomendación</w:t>
      </w:r>
      <w:r>
        <w:rPr>
          <w:rFonts w:ascii="Segoe UI Semibold" w:hAnsi="Segoe UI Semibold"/>
          <w:b/>
          <w:color w:val="FFFFFF"/>
        </w:rPr>
        <w:t> </w:t>
      </w:r>
      <w:r>
        <w:rPr>
          <w:rFonts w:ascii="Segoe UI Semibold" w:hAnsi="Segoe UI Semibold"/>
          <w:b/>
          <w:color w:val="FFFFFF"/>
          <w:spacing w:val="-14"/>
        </w:rPr>
        <w:t>realizada</w:t>
      </w:r>
      <w:r>
        <w:rPr>
          <w:rFonts w:ascii="Segoe UI Semibold" w:hAnsi="Segoe UI Semibold"/>
          <w:b/>
          <w:color w:val="FFFFFF"/>
        </w:rPr>
        <w:t> </w:t>
      </w:r>
      <w:r>
        <w:rPr>
          <w:rFonts w:ascii="Segoe UI Semibold" w:hAnsi="Segoe UI Semibold"/>
          <w:b/>
          <w:color w:val="FFFFFF"/>
          <w:spacing w:val="-14"/>
        </w:rPr>
        <w:t>por</w:t>
      </w:r>
      <w:r>
        <w:rPr>
          <w:rFonts w:ascii="Segoe UI Semibold" w:hAnsi="Segoe UI Semibold"/>
          <w:b/>
          <w:color w:val="FFFFFF"/>
        </w:rPr>
        <w:t> </w:t>
      </w:r>
      <w:r>
        <w:rPr>
          <w:rFonts w:ascii="Segoe UI Semibold" w:hAnsi="Segoe UI Semibold"/>
          <w:b/>
          <w:color w:val="FFFFFF"/>
          <w:spacing w:val="-14"/>
        </w:rPr>
        <w:t>el</w:t>
      </w:r>
      <w:r>
        <w:rPr>
          <w:rFonts w:ascii="Segoe UI Semibold" w:hAnsi="Segoe UI Semibold"/>
          <w:b/>
          <w:color w:val="FFFFFF"/>
        </w:rPr>
        <w:t> </w:t>
      </w:r>
      <w:r>
        <w:rPr>
          <w:rFonts w:ascii="Segoe UI Semibold" w:hAnsi="Segoe UI Semibold"/>
          <w:b/>
          <w:color w:val="FFFFFF"/>
          <w:spacing w:val="-14"/>
        </w:rPr>
        <w:t>Comité</w:t>
      </w:r>
      <w:r>
        <w:rPr>
          <w:rFonts w:ascii="Segoe UI Semibold" w:hAnsi="Segoe UI Semibold"/>
          <w:b/>
          <w:color w:val="FFFFFF"/>
        </w:rPr>
        <w:t> </w:t>
      </w:r>
      <w:r>
        <w:rPr>
          <w:rFonts w:ascii="Segoe UI Semibold" w:hAnsi="Segoe UI Semibold"/>
          <w:b/>
          <w:color w:val="FFFFFF"/>
          <w:spacing w:val="-14"/>
        </w:rPr>
        <w:t>de </w:t>
      </w:r>
      <w:r>
        <w:rPr>
          <w:rFonts w:ascii="Segoe UI Semibold" w:hAnsi="Segoe UI Semibold"/>
          <w:b/>
          <w:color w:val="FFFFFF"/>
          <w:spacing w:val="-6"/>
        </w:rPr>
        <w:t>Evaluación</w:t>
      </w:r>
      <w:r>
        <w:rPr>
          <w:rFonts w:ascii="Segoe UI Semibold" w:hAnsi="Segoe UI Semibold"/>
          <w:b/>
          <w:color w:val="FFFFFF"/>
          <w:spacing w:val="-8"/>
        </w:rPr>
        <w:t> </w:t>
      </w:r>
      <w:r>
        <w:rPr>
          <w:rFonts w:ascii="Segoe UI Semibold" w:hAnsi="Segoe UI Semibold"/>
          <w:b/>
          <w:color w:val="FFFFFF"/>
          <w:spacing w:val="-6"/>
        </w:rPr>
        <w:t>de</w:t>
      </w:r>
      <w:r>
        <w:rPr>
          <w:rFonts w:ascii="Segoe UI Semibold" w:hAnsi="Segoe UI Semibold"/>
          <w:b/>
          <w:color w:val="FFFFFF"/>
          <w:spacing w:val="-8"/>
        </w:rPr>
        <w:t> </w:t>
      </w:r>
      <w:r>
        <w:rPr>
          <w:rFonts w:ascii="Segoe UI Semibold" w:hAnsi="Segoe UI Semibold"/>
          <w:b/>
          <w:color w:val="FFFFFF"/>
          <w:spacing w:val="-6"/>
        </w:rPr>
        <w:t>la</w:t>
      </w:r>
      <w:r>
        <w:rPr>
          <w:rFonts w:ascii="Segoe UI Semibold" w:hAnsi="Segoe UI Semibold"/>
          <w:b/>
          <w:color w:val="FFFFFF"/>
          <w:spacing w:val="-8"/>
        </w:rPr>
        <w:t> </w:t>
      </w:r>
      <w:r>
        <w:rPr>
          <w:rFonts w:ascii="Segoe UI Semibold" w:hAnsi="Segoe UI Semibold"/>
          <w:b/>
          <w:color w:val="FFFFFF"/>
          <w:spacing w:val="-6"/>
        </w:rPr>
        <w:t>Participación</w:t>
      </w:r>
      <w:r>
        <w:rPr>
          <w:rFonts w:ascii="Segoe UI Semibold" w:hAnsi="Segoe UI Semibold"/>
          <w:b/>
          <w:color w:val="FFFFFF"/>
          <w:spacing w:val="-8"/>
        </w:rPr>
        <w:t> </w:t>
      </w:r>
      <w:r>
        <w:rPr>
          <w:rFonts w:ascii="Segoe UI Semibold" w:hAnsi="Segoe UI Semibold"/>
          <w:b/>
          <w:color w:val="FFFFFF"/>
          <w:spacing w:val="-6"/>
        </w:rPr>
        <w:t>Extranjera </w:t>
      </w:r>
      <w:r>
        <w:rPr>
          <w:rFonts w:ascii="Segoe UI Semibold" w:hAnsi="Segoe UI Semibold"/>
          <w:b/>
          <w:color w:val="FFFFFF"/>
          <w:spacing w:val="-12"/>
        </w:rPr>
        <w:t>en</w:t>
      </w:r>
      <w:r>
        <w:rPr>
          <w:rFonts w:ascii="Segoe UI Semibold" w:hAnsi="Segoe UI Semibold"/>
          <w:b/>
          <w:color w:val="FFFFFF"/>
          <w:spacing w:val="-5"/>
        </w:rPr>
        <w:t> </w:t>
      </w:r>
      <w:r>
        <w:rPr>
          <w:rFonts w:ascii="Segoe UI Semibold" w:hAnsi="Segoe UI Semibold"/>
          <w:b/>
          <w:color w:val="FFFFFF"/>
          <w:spacing w:val="-12"/>
        </w:rPr>
        <w:t>los</w:t>
      </w:r>
      <w:r>
        <w:rPr>
          <w:rFonts w:ascii="Segoe UI Semibold" w:hAnsi="Segoe UI Semibold"/>
          <w:b/>
          <w:color w:val="FFFFFF"/>
          <w:spacing w:val="-4"/>
        </w:rPr>
        <w:t> </w:t>
      </w:r>
      <w:r>
        <w:rPr>
          <w:rFonts w:ascii="Segoe UI Semibold" w:hAnsi="Segoe UI Semibold"/>
          <w:b/>
          <w:color w:val="FFFFFF"/>
          <w:spacing w:val="-12"/>
        </w:rPr>
        <w:t>Servicios</w:t>
      </w:r>
      <w:r>
        <w:rPr>
          <w:rFonts w:ascii="Segoe UI Semibold" w:hAnsi="Segoe UI Semibold"/>
          <w:b/>
          <w:color w:val="FFFFFF"/>
          <w:spacing w:val="-5"/>
        </w:rPr>
        <w:t> </w:t>
      </w:r>
      <w:r>
        <w:rPr>
          <w:rFonts w:ascii="Segoe UI Semibold" w:hAnsi="Segoe UI Semibold"/>
          <w:b/>
          <w:color w:val="FFFFFF"/>
          <w:spacing w:val="-12"/>
        </w:rPr>
        <w:t>de</w:t>
      </w:r>
      <w:r>
        <w:rPr>
          <w:rFonts w:ascii="Segoe UI Semibold" w:hAnsi="Segoe UI Semibold"/>
          <w:b/>
          <w:color w:val="FFFFFF"/>
          <w:spacing w:val="-4"/>
        </w:rPr>
        <w:t> </w:t>
      </w:r>
      <w:r>
        <w:rPr>
          <w:rFonts w:ascii="Segoe UI Semibold" w:hAnsi="Segoe UI Semibold"/>
          <w:b/>
          <w:color w:val="FFFFFF"/>
          <w:spacing w:val="-12"/>
        </w:rPr>
        <w:t>Telecomunicaciones</w:t>
      </w:r>
      <w:r>
        <w:rPr>
          <w:rFonts w:ascii="Segoe UI Semibold" w:hAnsi="Segoe UI Semibold"/>
          <w:b/>
          <w:color w:val="FFFFFF"/>
          <w:spacing w:val="-5"/>
        </w:rPr>
        <w:t> </w:t>
      </w:r>
      <w:r>
        <w:rPr>
          <w:rFonts w:ascii="Segoe UI Semibold" w:hAnsi="Segoe UI Semibold"/>
          <w:b/>
          <w:color w:val="FFFFFF"/>
          <w:spacing w:val="-12"/>
        </w:rPr>
        <w:t>de </w:t>
      </w:r>
      <w:r>
        <w:rPr>
          <w:rFonts w:ascii="Segoe UI Semibold" w:hAnsi="Segoe UI Semibold"/>
          <w:b/>
          <w:color w:val="FFFFFF"/>
          <w:spacing w:val="-8"/>
        </w:rPr>
        <w:t>los</w:t>
      </w:r>
      <w:r>
        <w:rPr>
          <w:rFonts w:ascii="Segoe UI Semibold" w:hAnsi="Segoe UI Semibold"/>
          <w:b/>
          <w:color w:val="FFFFFF"/>
          <w:spacing w:val="-4"/>
        </w:rPr>
        <w:t> </w:t>
      </w:r>
      <w:r>
        <w:rPr>
          <w:rFonts w:ascii="Segoe UI Semibold" w:hAnsi="Segoe UI Semibold"/>
          <w:b/>
          <w:color w:val="FFFFFF"/>
          <w:spacing w:val="-8"/>
        </w:rPr>
        <w:t>Estados Unidos a la Comisión Federal </w:t>
      </w:r>
      <w:r>
        <w:rPr>
          <w:rFonts w:ascii="Segoe UI Semibold" w:hAnsi="Segoe UI Semibold"/>
          <w:b/>
          <w:color w:val="FFFFFF"/>
        </w:rPr>
        <w:t>de</w:t>
      </w:r>
      <w:r>
        <w:rPr>
          <w:rFonts w:ascii="Segoe UI Semibold" w:hAnsi="Segoe UI Semibold"/>
          <w:b/>
          <w:color w:val="FFFFFF"/>
          <w:spacing w:val="-10"/>
        </w:rPr>
        <w:t> </w:t>
      </w:r>
      <w:r>
        <w:rPr>
          <w:rFonts w:ascii="Segoe UI Semibold" w:hAnsi="Segoe UI Semibold"/>
          <w:b/>
          <w:color w:val="FFFFFF"/>
        </w:rPr>
        <w:t>Comunicaciones,</w:t>
      </w:r>
      <w:r>
        <w:rPr>
          <w:rFonts w:ascii="Segoe UI Semibold" w:hAnsi="Segoe UI Semibold"/>
          <w:b/>
          <w:color w:val="FFFFFF"/>
          <w:spacing w:val="-9"/>
        </w:rPr>
        <w:t> </w:t>
      </w:r>
      <w:r>
        <w:rPr>
          <w:rFonts w:ascii="Segoe UI Semibold" w:hAnsi="Segoe UI Semibold"/>
          <w:b/>
          <w:color w:val="FFFFFF"/>
        </w:rPr>
        <w:t>para</w:t>
      </w:r>
      <w:r>
        <w:rPr>
          <w:rFonts w:ascii="Segoe UI Semibold" w:hAnsi="Segoe UI Semibold"/>
          <w:b/>
          <w:color w:val="FFFFFF"/>
          <w:spacing w:val="-7"/>
        </w:rPr>
        <w:t> </w:t>
      </w:r>
      <w:r>
        <w:rPr>
          <w:rFonts w:ascii="Segoe UI Semibold" w:hAnsi="Segoe UI Semibold"/>
          <w:b/>
          <w:color w:val="FFFFFF"/>
        </w:rPr>
        <w:t>denegar</w:t>
      </w:r>
      <w:r>
        <w:rPr>
          <w:rFonts w:ascii="Segoe UI Semibold" w:hAnsi="Segoe UI Semibold"/>
          <w:b/>
          <w:color w:val="FFFFFF"/>
          <w:spacing w:val="-7"/>
        </w:rPr>
        <w:t> </w:t>
      </w:r>
      <w:r>
        <w:rPr>
          <w:rFonts w:ascii="Segoe UI Semibold" w:hAnsi="Segoe UI Semibold"/>
          <w:b/>
          <w:color w:val="FFFFFF"/>
        </w:rPr>
        <w:t>una </w:t>
      </w:r>
      <w:r>
        <w:rPr>
          <w:rFonts w:ascii="Segoe UI Semibold" w:hAnsi="Segoe UI Semibold"/>
          <w:b/>
          <w:color w:val="FFFFFF"/>
          <w:spacing w:val="-2"/>
        </w:rPr>
        <w:t>solicitud</w:t>
      </w:r>
      <w:r>
        <w:rPr>
          <w:rFonts w:ascii="Segoe UI Semibold" w:hAnsi="Segoe UI Semibold"/>
          <w:b/>
          <w:color w:val="FFFFFF"/>
          <w:spacing w:val="-15"/>
        </w:rPr>
        <w:t> </w:t>
      </w:r>
      <w:r>
        <w:rPr>
          <w:rFonts w:ascii="Segoe UI Semibold" w:hAnsi="Segoe UI Semibold"/>
          <w:b/>
          <w:color w:val="FFFFFF"/>
          <w:spacing w:val="-2"/>
        </w:rPr>
        <w:t>de</w:t>
      </w:r>
      <w:r>
        <w:rPr>
          <w:rFonts w:ascii="Segoe UI Semibold" w:hAnsi="Segoe UI Semibold"/>
          <w:b/>
          <w:color w:val="FFFFFF"/>
          <w:spacing w:val="-14"/>
        </w:rPr>
        <w:t> </w:t>
      </w:r>
      <w:r>
        <w:rPr>
          <w:rFonts w:ascii="Segoe UI Semibold" w:hAnsi="Segoe UI Semibold"/>
          <w:b/>
          <w:color w:val="FFFFFF"/>
          <w:spacing w:val="-2"/>
        </w:rPr>
        <w:t>licencia</w:t>
      </w:r>
      <w:r>
        <w:rPr>
          <w:rFonts w:ascii="Segoe UI Semibold" w:hAnsi="Segoe UI Semibold"/>
          <w:b/>
          <w:color w:val="FFFFFF"/>
          <w:spacing w:val="-15"/>
        </w:rPr>
        <w:t> </w:t>
      </w:r>
      <w:r>
        <w:rPr>
          <w:rFonts w:ascii="Segoe UI Semibold" w:hAnsi="Segoe UI Semibold"/>
          <w:b/>
          <w:color w:val="FFFFFF"/>
          <w:spacing w:val="-2"/>
        </w:rPr>
        <w:t>al</w:t>
      </w:r>
      <w:r>
        <w:rPr>
          <w:rFonts w:ascii="Segoe UI Semibold" w:hAnsi="Segoe UI Semibold"/>
          <w:b/>
          <w:color w:val="FFFFFF"/>
          <w:spacing w:val="-14"/>
        </w:rPr>
        <w:t> </w:t>
      </w:r>
      <w:r>
        <w:rPr>
          <w:rFonts w:ascii="Segoe UI Semibold" w:hAnsi="Segoe UI Semibold"/>
          <w:b/>
          <w:color w:val="FFFFFF"/>
          <w:spacing w:val="-2"/>
        </w:rPr>
        <w:t>Sistema</w:t>
      </w:r>
      <w:r>
        <w:rPr>
          <w:rFonts w:ascii="Segoe UI Semibold" w:hAnsi="Segoe UI Semibold"/>
          <w:b/>
          <w:color w:val="FFFFFF"/>
          <w:spacing w:val="-15"/>
        </w:rPr>
        <w:t> </w:t>
      </w:r>
      <w:r>
        <w:rPr>
          <w:rFonts w:ascii="Segoe UI Semibold" w:hAnsi="Segoe UI Semibold"/>
          <w:b/>
          <w:color w:val="FFFFFF"/>
          <w:spacing w:val="-2"/>
        </w:rPr>
        <w:t>de</w:t>
      </w:r>
      <w:r>
        <w:rPr>
          <w:rFonts w:ascii="Segoe UI Semibold" w:hAnsi="Segoe UI Semibold"/>
          <w:b/>
          <w:color w:val="FFFFFF"/>
          <w:spacing w:val="-14"/>
        </w:rPr>
        <w:t> </w:t>
      </w:r>
      <w:r>
        <w:rPr>
          <w:rFonts w:ascii="Segoe UI Semibold" w:hAnsi="Segoe UI Semibold"/>
          <w:b/>
          <w:color w:val="FFFFFF"/>
          <w:spacing w:val="-2"/>
        </w:rPr>
        <w:t>Cable </w:t>
      </w:r>
      <w:r>
        <w:rPr>
          <w:rFonts w:ascii="Segoe UI Semibold" w:hAnsi="Segoe UI Semibold"/>
          <w:b/>
          <w:color w:val="FFFFFF"/>
          <w:spacing w:val="-10"/>
        </w:rPr>
        <w:t>Submarino</w:t>
      </w:r>
      <w:r>
        <w:rPr>
          <w:rFonts w:ascii="Segoe UI Semibold" w:hAnsi="Segoe UI Semibold"/>
          <w:b/>
          <w:color w:val="FFFFFF"/>
          <w:spacing w:val="-4"/>
        </w:rPr>
        <w:t> </w:t>
      </w:r>
      <w:r>
        <w:rPr>
          <w:rFonts w:ascii="Segoe UI Semibold" w:hAnsi="Segoe UI Semibold"/>
          <w:b/>
          <w:color w:val="FFFFFF"/>
          <w:spacing w:val="-10"/>
        </w:rPr>
        <w:t>ARCOS-1,</w:t>
      </w:r>
      <w:r>
        <w:rPr>
          <w:rFonts w:ascii="Segoe UI Semibold" w:hAnsi="Segoe UI Semibold"/>
          <w:b/>
          <w:color w:val="FFFFFF"/>
          <w:spacing w:val="-4"/>
        </w:rPr>
        <w:t> </w:t>
      </w:r>
      <w:r>
        <w:rPr>
          <w:rFonts w:ascii="Segoe UI Semibold" w:hAnsi="Segoe UI Semibold"/>
          <w:b/>
          <w:color w:val="FFFFFF"/>
          <w:spacing w:val="-10"/>
        </w:rPr>
        <w:t>que</w:t>
      </w:r>
      <w:r>
        <w:rPr>
          <w:rFonts w:ascii="Segoe UI Semibold" w:hAnsi="Segoe UI Semibold"/>
          <w:b/>
          <w:color w:val="FFFFFF"/>
          <w:spacing w:val="-4"/>
        </w:rPr>
        <w:t> </w:t>
      </w:r>
      <w:r>
        <w:rPr>
          <w:rFonts w:ascii="Segoe UI Semibold" w:hAnsi="Segoe UI Semibold"/>
          <w:b/>
          <w:color w:val="FFFFFF"/>
          <w:spacing w:val="-10"/>
        </w:rPr>
        <w:t>buscaba</w:t>
      </w:r>
      <w:r>
        <w:rPr>
          <w:rFonts w:ascii="Segoe UI Semibold" w:hAnsi="Segoe UI Semibold"/>
          <w:b/>
          <w:color w:val="FFFFFF"/>
          <w:spacing w:val="-4"/>
        </w:rPr>
        <w:t> </w:t>
      </w:r>
      <w:r>
        <w:rPr>
          <w:rFonts w:ascii="Segoe UI Semibold" w:hAnsi="Segoe UI Semibold"/>
          <w:b/>
          <w:color w:val="FFFFFF"/>
          <w:spacing w:val="-10"/>
        </w:rPr>
        <w:t>añadir </w:t>
      </w:r>
      <w:r>
        <w:rPr>
          <w:rFonts w:ascii="Segoe UI Semibold" w:hAnsi="Segoe UI Semibold"/>
          <w:b/>
          <w:color w:val="FFFFFF"/>
        </w:rPr>
        <w:t>una</w:t>
      </w:r>
      <w:r>
        <w:rPr>
          <w:rFonts w:ascii="Segoe UI Semibold" w:hAnsi="Segoe UI Semibold"/>
          <w:b/>
          <w:color w:val="FFFFFF"/>
          <w:spacing w:val="-17"/>
        </w:rPr>
        <w:t> </w:t>
      </w:r>
      <w:r>
        <w:rPr>
          <w:rFonts w:ascii="Segoe UI Semibold" w:hAnsi="Segoe UI Semibold"/>
          <w:b/>
          <w:color w:val="FFFFFF"/>
        </w:rPr>
        <w:t>estación</w:t>
      </w:r>
      <w:r>
        <w:rPr>
          <w:rFonts w:ascii="Segoe UI Semibold" w:hAnsi="Segoe UI Semibold"/>
          <w:b/>
          <w:color w:val="FFFFFF"/>
          <w:spacing w:val="-16"/>
        </w:rPr>
        <w:t> </w:t>
      </w:r>
      <w:r>
        <w:rPr>
          <w:rFonts w:ascii="Segoe UI Semibold" w:hAnsi="Segoe UI Semibold"/>
          <w:b/>
          <w:color w:val="FFFFFF"/>
        </w:rPr>
        <w:t>de</w:t>
      </w:r>
      <w:r>
        <w:rPr>
          <w:rFonts w:ascii="Segoe UI Semibold" w:hAnsi="Segoe UI Semibold"/>
          <w:b/>
          <w:color w:val="FFFFFF"/>
          <w:spacing w:val="-17"/>
        </w:rPr>
        <w:t> </w:t>
      </w:r>
      <w:r>
        <w:rPr>
          <w:rFonts w:ascii="Segoe UI Semibold" w:hAnsi="Segoe UI Semibold"/>
          <w:b/>
          <w:color w:val="FFFFFF"/>
        </w:rPr>
        <w:t>aterrizaje</w:t>
      </w:r>
      <w:r>
        <w:rPr>
          <w:rFonts w:ascii="Segoe UI Semibold" w:hAnsi="Segoe UI Semibold"/>
          <w:b/>
          <w:color w:val="FFFFFF"/>
          <w:spacing w:val="-16"/>
        </w:rPr>
        <w:t> </w:t>
      </w:r>
      <w:r>
        <w:rPr>
          <w:rFonts w:ascii="Segoe UI Semibold" w:hAnsi="Segoe UI Semibold"/>
          <w:b/>
          <w:color w:val="FFFFFF"/>
        </w:rPr>
        <w:t>en</w:t>
      </w:r>
      <w:r>
        <w:rPr>
          <w:rFonts w:ascii="Segoe UI Semibold" w:hAnsi="Segoe UI Semibold"/>
          <w:b/>
          <w:color w:val="FFFFFF"/>
          <w:spacing w:val="-17"/>
        </w:rPr>
        <w:t> </w:t>
      </w:r>
      <w:r>
        <w:rPr>
          <w:rFonts w:ascii="Segoe UI Semibold" w:hAnsi="Segoe UI Semibold"/>
          <w:b/>
          <w:color w:val="FFFFFF"/>
        </w:rPr>
        <w:t>Cuba.</w:t>
      </w:r>
      <w:r>
        <w:rPr>
          <w:rFonts w:ascii="Segoe UI Semibold" w:hAnsi="Segoe UI Semibold"/>
          <w:b/>
          <w:color w:val="FFFFFF"/>
          <w:spacing w:val="-16"/>
        </w:rPr>
        <w:t> </w:t>
      </w:r>
      <w:r>
        <w:rPr>
          <w:rFonts w:ascii="Segoe UI Semibold" w:hAnsi="Segoe UI Semibold"/>
          <w:b/>
          <w:color w:val="FFFFFF"/>
        </w:rPr>
        <w:t>Los argumentos del Comité incluyeron la </w:t>
      </w:r>
      <w:r>
        <w:rPr>
          <w:rFonts w:ascii="Segoe UI Semibold" w:hAnsi="Segoe UI Semibold"/>
          <w:b/>
          <w:color w:val="FFFFFF"/>
          <w:spacing w:val="-6"/>
        </w:rPr>
        <w:t>supuesta</w:t>
      </w:r>
      <w:r>
        <w:rPr>
          <w:rFonts w:ascii="Segoe UI Semibold" w:hAnsi="Segoe UI Semibold"/>
          <w:b/>
          <w:color w:val="FFFFFF"/>
          <w:spacing w:val="-9"/>
        </w:rPr>
        <w:t> </w:t>
      </w:r>
      <w:r>
        <w:rPr>
          <w:rFonts w:ascii="Segoe UI Semibold" w:hAnsi="Segoe UI Semibold"/>
          <w:b/>
          <w:color w:val="FFFFFF"/>
          <w:spacing w:val="-6"/>
        </w:rPr>
        <w:t>amenaza</w:t>
      </w:r>
      <w:r>
        <w:rPr>
          <w:rFonts w:ascii="Segoe UI Semibold" w:hAnsi="Segoe UI Semibold"/>
          <w:b/>
          <w:color w:val="FFFFFF"/>
          <w:spacing w:val="-9"/>
        </w:rPr>
        <w:t> </w:t>
      </w:r>
      <w:r>
        <w:rPr>
          <w:rFonts w:ascii="Segoe UI Semibold" w:hAnsi="Segoe UI Semibold"/>
          <w:b/>
          <w:color w:val="FFFFFF"/>
          <w:spacing w:val="-6"/>
        </w:rPr>
        <w:t>de</w:t>
      </w:r>
      <w:r>
        <w:rPr>
          <w:rFonts w:ascii="Segoe UI Semibold" w:hAnsi="Segoe UI Semibold"/>
          <w:b/>
          <w:color w:val="FFFFFF"/>
          <w:spacing w:val="-9"/>
        </w:rPr>
        <w:t> </w:t>
      </w:r>
      <w:r>
        <w:rPr>
          <w:rFonts w:ascii="Segoe UI Semibold" w:hAnsi="Segoe UI Semibold"/>
          <w:b/>
          <w:color w:val="FFFFFF"/>
          <w:spacing w:val="-6"/>
        </w:rPr>
        <w:t>contrainteligencia </w:t>
      </w:r>
      <w:r>
        <w:rPr>
          <w:rFonts w:ascii="Segoe UI Semibold" w:hAnsi="Segoe UI Semibold"/>
          <w:b/>
          <w:color w:val="FFFFFF"/>
        </w:rPr>
        <w:t>que</w:t>
      </w:r>
      <w:r>
        <w:rPr>
          <w:rFonts w:ascii="Segoe UI Semibold" w:hAnsi="Segoe UI Semibold"/>
          <w:b/>
          <w:color w:val="FFFFFF"/>
          <w:spacing w:val="-16"/>
        </w:rPr>
        <w:t> </w:t>
      </w:r>
      <w:r>
        <w:rPr>
          <w:rFonts w:ascii="Segoe UI Semibold" w:hAnsi="Segoe UI Semibold"/>
          <w:b/>
          <w:color w:val="FFFFFF"/>
        </w:rPr>
        <w:t>representa</w:t>
      </w:r>
      <w:r>
        <w:rPr>
          <w:rFonts w:ascii="Segoe UI Semibold" w:hAnsi="Segoe UI Semibold"/>
          <w:b/>
          <w:color w:val="FFFFFF"/>
          <w:spacing w:val="-16"/>
        </w:rPr>
        <w:t> </w:t>
      </w:r>
      <w:r>
        <w:rPr>
          <w:rFonts w:ascii="Segoe UI Semibold" w:hAnsi="Segoe UI Semibold"/>
          <w:b/>
          <w:color w:val="FFFFFF"/>
        </w:rPr>
        <w:t>el</w:t>
      </w:r>
      <w:r>
        <w:rPr>
          <w:rFonts w:ascii="Segoe UI Semibold" w:hAnsi="Segoe UI Semibold"/>
          <w:b/>
          <w:color w:val="FFFFFF"/>
          <w:spacing w:val="-16"/>
        </w:rPr>
        <w:t> </w:t>
      </w:r>
      <w:r>
        <w:rPr>
          <w:rFonts w:ascii="Segoe UI Semibold" w:hAnsi="Segoe UI Semibold"/>
          <w:b/>
          <w:color w:val="FFFFFF"/>
        </w:rPr>
        <w:t>país</w:t>
      </w:r>
      <w:r>
        <w:rPr>
          <w:rFonts w:ascii="Segoe UI Semibold" w:hAnsi="Segoe UI Semibold"/>
          <w:b/>
          <w:color w:val="FFFFFF"/>
          <w:spacing w:val="-16"/>
        </w:rPr>
        <w:t> </w:t>
      </w:r>
      <w:r>
        <w:rPr>
          <w:rFonts w:ascii="Segoe UI Semibold" w:hAnsi="Segoe UI Semibold"/>
          <w:b/>
          <w:color w:val="FFFFFF"/>
        </w:rPr>
        <w:t>para</w:t>
      </w:r>
      <w:r>
        <w:rPr>
          <w:rFonts w:ascii="Segoe UI Semibold" w:hAnsi="Segoe UI Semibold"/>
          <w:b/>
          <w:color w:val="FFFFFF"/>
          <w:spacing w:val="-16"/>
        </w:rPr>
        <w:t> </w:t>
      </w:r>
      <w:r>
        <w:rPr>
          <w:rFonts w:ascii="Segoe UI Semibold" w:hAnsi="Segoe UI Semibold"/>
          <w:b/>
          <w:color w:val="FFFFFF"/>
        </w:rPr>
        <w:t>los</w:t>
      </w:r>
      <w:r>
        <w:rPr>
          <w:rFonts w:ascii="Segoe UI Semibold" w:hAnsi="Segoe UI Semibold"/>
          <w:b/>
          <w:color w:val="FFFFFF"/>
          <w:spacing w:val="-16"/>
        </w:rPr>
        <w:t> </w:t>
      </w:r>
      <w:r>
        <w:rPr>
          <w:rFonts w:ascii="Segoe UI Semibold" w:hAnsi="Segoe UI Semibold"/>
          <w:b/>
          <w:color w:val="FFFFFF"/>
        </w:rPr>
        <w:t>Estados Unidos y su designación como Estado </w:t>
      </w:r>
      <w:r>
        <w:rPr>
          <w:rFonts w:ascii="Segoe UI Semibold" w:hAnsi="Segoe UI Semibold"/>
          <w:b/>
          <w:color w:val="FFFFFF"/>
          <w:spacing w:val="-4"/>
        </w:rPr>
        <w:t>patrocinador</w:t>
      </w:r>
      <w:r>
        <w:rPr>
          <w:rFonts w:ascii="Segoe UI Semibold" w:hAnsi="Segoe UI Semibold"/>
          <w:b/>
          <w:color w:val="FFFFFF"/>
          <w:spacing w:val="-13"/>
        </w:rPr>
        <w:t> </w:t>
      </w:r>
      <w:r>
        <w:rPr>
          <w:rFonts w:ascii="Segoe UI Semibold" w:hAnsi="Segoe UI Semibold"/>
          <w:b/>
          <w:color w:val="FFFFFF"/>
          <w:spacing w:val="-4"/>
        </w:rPr>
        <w:t>del</w:t>
      </w:r>
      <w:r>
        <w:rPr>
          <w:rFonts w:ascii="Segoe UI Semibold" w:hAnsi="Segoe UI Semibold"/>
          <w:b/>
          <w:color w:val="FFFFFF"/>
          <w:spacing w:val="-13"/>
        </w:rPr>
        <w:t> </w:t>
      </w:r>
      <w:r>
        <w:rPr>
          <w:rFonts w:ascii="Segoe UI Semibold" w:hAnsi="Segoe UI Semibold"/>
          <w:b/>
          <w:color w:val="FFFFFF"/>
          <w:spacing w:val="-4"/>
        </w:rPr>
        <w:t>terrorismo.</w:t>
      </w:r>
    </w:p>
    <w:p>
      <w:pPr>
        <w:spacing w:after="0"/>
        <w:rPr>
          <w:rFonts w:ascii="Segoe UI Semibold" w:hAnsi="Segoe UI Semibold"/>
        </w:rPr>
        <w:sectPr>
          <w:pgSz w:w="11910" w:h="16840"/>
          <w:pgMar w:header="0" w:footer="695" w:top="1120" w:bottom="880" w:left="0" w:right="0"/>
          <w:cols w:num="2" w:equalWidth="0">
            <w:col w:w="5558" w:space="40"/>
            <w:col w:w="6312"/>
          </w:cols>
        </w:sectPr>
      </w:pPr>
    </w:p>
    <w:p>
      <w:pPr>
        <w:pStyle w:val="Heading2"/>
        <w:spacing w:line="232" w:lineRule="auto" w:before="90"/>
        <w:ind w:left="1474" w:right="835"/>
      </w:pPr>
      <w:r>
        <w:rPr>
          <w:color w:val="1F4282"/>
          <w:w w:val="110"/>
        </w:rPr>
        <w:t>Aplicación de la Ley Helms-Burton. </w:t>
      </w:r>
      <w:r>
        <w:rPr>
          <w:color w:val="1F4282"/>
          <w:w w:val="110"/>
        </w:rPr>
        <w:t>Demandas </w:t>
      </w:r>
      <w:r>
        <w:rPr>
          <w:color w:val="1F4282"/>
          <w:spacing w:val="-2"/>
          <w:w w:val="110"/>
        </w:rPr>
        <w:t>presentadas</w:t>
      </w:r>
    </w:p>
    <w:p>
      <w:pPr>
        <w:pStyle w:val="BodyText"/>
        <w:spacing w:before="225"/>
        <w:ind w:left="1474"/>
      </w:pPr>
      <w:r>
        <w:rPr>
          <w:color w:val="231F20"/>
        </w:rPr>
        <w:t>Desde su entrada en vigor en 1996, la</w:t>
      </w:r>
      <w:r>
        <w:rPr>
          <w:color w:val="231F20"/>
          <w:spacing w:val="80"/>
        </w:rPr>
        <w:t> </w:t>
      </w:r>
      <w:r>
        <w:rPr>
          <w:color w:val="231F20"/>
        </w:rPr>
        <w:t>Ley para la Libertad y la Solidaridad Democráticas</w:t>
      </w:r>
      <w:r>
        <w:rPr>
          <w:color w:val="231F20"/>
          <w:spacing w:val="-13"/>
        </w:rPr>
        <w:t> </w:t>
      </w:r>
      <w:r>
        <w:rPr>
          <w:color w:val="231F20"/>
        </w:rPr>
        <w:t>Cubanas,</w:t>
      </w:r>
      <w:r>
        <w:rPr>
          <w:color w:val="231F20"/>
          <w:spacing w:val="-13"/>
        </w:rPr>
        <w:t> </w:t>
      </w:r>
      <w:r>
        <w:rPr>
          <w:color w:val="231F20"/>
        </w:rPr>
        <w:t>también</w:t>
      </w:r>
      <w:r>
        <w:rPr>
          <w:color w:val="231F20"/>
          <w:spacing w:val="-13"/>
        </w:rPr>
        <w:t> </w:t>
      </w:r>
      <w:r>
        <w:rPr>
          <w:color w:val="231F20"/>
        </w:rPr>
        <w:t>conocida como Helms-Burton, fortaleció el alcance </w:t>
      </w:r>
      <w:r>
        <w:rPr>
          <w:color w:val="231F20"/>
          <w:spacing w:val="-4"/>
        </w:rPr>
        <w:t>extraterritorial</w:t>
      </w:r>
      <w:r>
        <w:rPr>
          <w:color w:val="231F20"/>
          <w:spacing w:val="-13"/>
        </w:rPr>
        <w:t> </w:t>
      </w:r>
      <w:r>
        <w:rPr>
          <w:color w:val="231F20"/>
          <w:spacing w:val="-4"/>
        </w:rPr>
        <w:t>del</w:t>
      </w:r>
      <w:r>
        <w:rPr>
          <w:color w:val="231F20"/>
          <w:spacing w:val="-12"/>
        </w:rPr>
        <w:t> </w:t>
      </w:r>
      <w:r>
        <w:rPr>
          <w:color w:val="231F20"/>
          <w:spacing w:val="-4"/>
        </w:rPr>
        <w:t>bloqueo</w:t>
      </w:r>
      <w:r>
        <w:rPr>
          <w:color w:val="231F20"/>
          <w:spacing w:val="-13"/>
        </w:rPr>
        <w:t> </w:t>
      </w:r>
      <w:r>
        <w:rPr>
          <w:color w:val="231F20"/>
          <w:spacing w:val="-4"/>
        </w:rPr>
        <w:t>a</w:t>
      </w:r>
      <w:r>
        <w:rPr>
          <w:color w:val="231F20"/>
          <w:spacing w:val="-12"/>
        </w:rPr>
        <w:t> </w:t>
      </w:r>
      <w:r>
        <w:rPr>
          <w:color w:val="231F20"/>
          <w:spacing w:val="-4"/>
        </w:rPr>
        <w:t>Cuba.</w:t>
      </w:r>
      <w:r>
        <w:rPr>
          <w:color w:val="231F20"/>
          <w:spacing w:val="-13"/>
        </w:rPr>
        <w:t> </w:t>
      </w:r>
      <w:r>
        <w:rPr>
          <w:color w:val="231F20"/>
          <w:spacing w:val="-4"/>
        </w:rPr>
        <w:t>Además </w:t>
      </w:r>
      <w:r>
        <w:rPr>
          <w:color w:val="231F20"/>
        </w:rPr>
        <w:t>de buscar la imposición en el país de un gobierno</w:t>
      </w:r>
      <w:r>
        <w:rPr>
          <w:color w:val="231F20"/>
          <w:spacing w:val="-3"/>
        </w:rPr>
        <w:t> </w:t>
      </w:r>
      <w:r>
        <w:rPr>
          <w:color w:val="231F20"/>
        </w:rPr>
        <w:t>subordinado</w:t>
      </w:r>
      <w:r>
        <w:rPr>
          <w:color w:val="231F20"/>
          <w:spacing w:val="-3"/>
        </w:rPr>
        <w:t> </w:t>
      </w:r>
      <w:r>
        <w:rPr>
          <w:color w:val="231F20"/>
        </w:rPr>
        <w:t>directamente</w:t>
      </w:r>
      <w:r>
        <w:rPr>
          <w:color w:val="231F20"/>
          <w:spacing w:val="-3"/>
        </w:rPr>
        <w:t> </w:t>
      </w:r>
      <w:r>
        <w:rPr>
          <w:color w:val="231F20"/>
        </w:rPr>
        <w:t>a</w:t>
      </w:r>
      <w:r>
        <w:rPr>
          <w:color w:val="231F20"/>
          <w:spacing w:val="-3"/>
        </w:rPr>
        <w:t> </w:t>
      </w:r>
      <w:r>
        <w:rPr>
          <w:color w:val="231F20"/>
        </w:rPr>
        <w:t>los intereses de Washington, esta legislación fue diseñada para internacionalizar el </w:t>
      </w:r>
      <w:r>
        <w:rPr>
          <w:color w:val="231F20"/>
          <w:spacing w:val="-2"/>
        </w:rPr>
        <w:t>bloqueo</w:t>
      </w:r>
      <w:r>
        <w:rPr>
          <w:color w:val="231F20"/>
          <w:spacing w:val="-14"/>
        </w:rPr>
        <w:t> </w:t>
      </w:r>
      <w:r>
        <w:rPr>
          <w:color w:val="231F20"/>
          <w:spacing w:val="-2"/>
        </w:rPr>
        <w:t>por</w:t>
      </w:r>
      <w:r>
        <w:rPr>
          <w:color w:val="231F20"/>
          <w:spacing w:val="-14"/>
        </w:rPr>
        <w:t> </w:t>
      </w:r>
      <w:r>
        <w:rPr>
          <w:color w:val="231F20"/>
          <w:spacing w:val="-2"/>
        </w:rPr>
        <w:t>medio</w:t>
      </w:r>
      <w:r>
        <w:rPr>
          <w:color w:val="231F20"/>
          <w:spacing w:val="-14"/>
        </w:rPr>
        <w:t> </w:t>
      </w:r>
      <w:r>
        <w:rPr>
          <w:color w:val="231F20"/>
          <w:spacing w:val="-2"/>
        </w:rPr>
        <w:t>de</w:t>
      </w:r>
      <w:r>
        <w:rPr>
          <w:color w:val="231F20"/>
          <w:spacing w:val="-14"/>
        </w:rPr>
        <w:t> </w:t>
      </w:r>
      <w:r>
        <w:rPr>
          <w:color w:val="231F20"/>
          <w:spacing w:val="-2"/>
        </w:rPr>
        <w:t>medidas</w:t>
      </w:r>
      <w:r>
        <w:rPr>
          <w:color w:val="231F20"/>
          <w:spacing w:val="-14"/>
        </w:rPr>
        <w:t> </w:t>
      </w:r>
      <w:r>
        <w:rPr>
          <w:color w:val="231F20"/>
          <w:spacing w:val="-2"/>
        </w:rPr>
        <w:t>coercitivas </w:t>
      </w:r>
      <w:r>
        <w:rPr>
          <w:color w:val="231F20"/>
        </w:rPr>
        <w:t>contra terceros países, dirigidas a obstaculizar e interrumpir sus relaciones comerciales y de inversión con Cuba.</w:t>
      </w:r>
    </w:p>
    <w:p>
      <w:pPr>
        <w:pStyle w:val="BodyText"/>
        <w:spacing w:before="170"/>
        <w:ind w:left="1474" w:right="1"/>
      </w:pPr>
      <w:r>
        <w:rPr>
          <w:color w:val="231F20"/>
        </w:rPr>
        <w:t>Su Título III permite a los antiguos</w:t>
      </w:r>
      <w:r>
        <w:rPr>
          <w:color w:val="231F20"/>
          <w:spacing w:val="40"/>
        </w:rPr>
        <w:t> </w:t>
      </w:r>
      <w:r>
        <w:rPr>
          <w:color w:val="231F20"/>
        </w:rPr>
        <w:t>dueños de propiedades que fueron nacionalizadas en Cuba, incluyendo a ciudadanos cubanos devenidos con el tiempo</w:t>
      </w:r>
      <w:r>
        <w:rPr>
          <w:color w:val="231F20"/>
          <w:spacing w:val="-17"/>
        </w:rPr>
        <w:t> </w:t>
      </w:r>
      <w:r>
        <w:rPr>
          <w:color w:val="231F20"/>
        </w:rPr>
        <w:t>en</w:t>
      </w:r>
      <w:r>
        <w:rPr>
          <w:color w:val="231F20"/>
          <w:spacing w:val="-16"/>
        </w:rPr>
        <w:t> </w:t>
      </w:r>
      <w:r>
        <w:rPr>
          <w:color w:val="231F20"/>
        </w:rPr>
        <w:t>estadounidenses,</w:t>
      </w:r>
      <w:r>
        <w:rPr>
          <w:color w:val="231F20"/>
          <w:spacing w:val="-16"/>
        </w:rPr>
        <w:t> </w:t>
      </w:r>
      <w:r>
        <w:rPr>
          <w:color w:val="231F20"/>
        </w:rPr>
        <w:t>la</w:t>
      </w:r>
      <w:r>
        <w:rPr>
          <w:color w:val="231F20"/>
          <w:spacing w:val="-17"/>
        </w:rPr>
        <w:t> </w:t>
      </w:r>
      <w:r>
        <w:rPr>
          <w:color w:val="231F20"/>
        </w:rPr>
        <w:t>posibilidad de demandar ante los tribunales de los Estados Unidos a aquellas personas naturales y jurídicas que, de cierto modo, tuvieran</w:t>
      </w:r>
      <w:r>
        <w:rPr>
          <w:color w:val="231F20"/>
          <w:spacing w:val="-17"/>
        </w:rPr>
        <w:t> </w:t>
      </w:r>
      <w:r>
        <w:rPr>
          <w:color w:val="231F20"/>
        </w:rPr>
        <w:t>contacto</w:t>
      </w:r>
      <w:r>
        <w:rPr>
          <w:color w:val="231F20"/>
          <w:spacing w:val="-16"/>
        </w:rPr>
        <w:t> </w:t>
      </w:r>
      <w:r>
        <w:rPr>
          <w:color w:val="231F20"/>
        </w:rPr>
        <w:t>con</w:t>
      </w:r>
      <w:r>
        <w:rPr>
          <w:color w:val="231F20"/>
          <w:spacing w:val="-17"/>
        </w:rPr>
        <w:t> </w:t>
      </w:r>
      <w:r>
        <w:rPr>
          <w:color w:val="231F20"/>
        </w:rPr>
        <w:t>dichas</w:t>
      </w:r>
      <w:r>
        <w:rPr>
          <w:color w:val="231F20"/>
          <w:spacing w:val="-16"/>
        </w:rPr>
        <w:t> </w:t>
      </w:r>
      <w:r>
        <w:rPr>
          <w:color w:val="231F20"/>
        </w:rPr>
        <w:t>propiedades, a lo cual la ley califica como “tráfico”.</w:t>
      </w:r>
    </w:p>
    <w:p>
      <w:pPr>
        <w:pStyle w:val="BodyText"/>
        <w:spacing w:before="168"/>
        <w:ind w:left="1474"/>
      </w:pPr>
      <w:r>
        <w:rPr>
          <w:color w:val="231F20"/>
        </w:rPr>
        <w:t>Este término incluye, según la propia legislación, a todo aquel que “traspasa, distribuye, reparte, revende o de otra forma enajena una propiedad confiscada; </w:t>
      </w:r>
      <w:r>
        <w:rPr>
          <w:color w:val="231F20"/>
          <w:spacing w:val="-4"/>
        </w:rPr>
        <w:t>o</w:t>
      </w:r>
      <w:r>
        <w:rPr>
          <w:color w:val="231F20"/>
          <w:spacing w:val="-13"/>
        </w:rPr>
        <w:t> </w:t>
      </w:r>
      <w:r>
        <w:rPr>
          <w:color w:val="231F20"/>
          <w:spacing w:val="-4"/>
        </w:rPr>
        <w:t>compra,</w:t>
      </w:r>
      <w:r>
        <w:rPr>
          <w:color w:val="231F20"/>
          <w:spacing w:val="-12"/>
        </w:rPr>
        <w:t> </w:t>
      </w:r>
      <w:r>
        <w:rPr>
          <w:color w:val="231F20"/>
          <w:spacing w:val="-4"/>
        </w:rPr>
        <w:t>recibe</w:t>
      </w:r>
      <w:r>
        <w:rPr>
          <w:color w:val="231F20"/>
          <w:spacing w:val="-13"/>
        </w:rPr>
        <w:t> </w:t>
      </w:r>
      <w:r>
        <w:rPr>
          <w:color w:val="231F20"/>
          <w:spacing w:val="-4"/>
        </w:rPr>
        <w:t>o</w:t>
      </w:r>
      <w:r>
        <w:rPr>
          <w:color w:val="231F20"/>
          <w:spacing w:val="-12"/>
        </w:rPr>
        <w:t> </w:t>
      </w:r>
      <w:r>
        <w:rPr>
          <w:color w:val="231F20"/>
          <w:spacing w:val="-4"/>
        </w:rPr>
        <w:t>adquiere</w:t>
      </w:r>
      <w:r>
        <w:rPr>
          <w:color w:val="231F20"/>
          <w:spacing w:val="-13"/>
        </w:rPr>
        <w:t> </w:t>
      </w:r>
      <w:r>
        <w:rPr>
          <w:color w:val="231F20"/>
          <w:spacing w:val="-4"/>
        </w:rPr>
        <w:t>una</w:t>
      </w:r>
      <w:r>
        <w:rPr>
          <w:color w:val="231F20"/>
          <w:spacing w:val="-12"/>
        </w:rPr>
        <w:t> </w:t>
      </w:r>
      <w:r>
        <w:rPr>
          <w:color w:val="231F20"/>
          <w:spacing w:val="-4"/>
        </w:rPr>
        <w:t>propiedad </w:t>
      </w:r>
      <w:r>
        <w:rPr>
          <w:color w:val="231F20"/>
        </w:rPr>
        <w:t>confiscada, o de otra forma asume el control de esta; o introduce mejoras, o invierte</w:t>
      </w:r>
      <w:r>
        <w:rPr>
          <w:color w:val="231F20"/>
          <w:spacing w:val="-3"/>
        </w:rPr>
        <w:t> </w:t>
      </w:r>
      <w:r>
        <w:rPr>
          <w:color w:val="231F20"/>
        </w:rPr>
        <w:t>en</w:t>
      </w:r>
      <w:r>
        <w:rPr>
          <w:color w:val="231F20"/>
          <w:spacing w:val="-3"/>
        </w:rPr>
        <w:t> </w:t>
      </w:r>
      <w:r>
        <w:rPr>
          <w:color w:val="231F20"/>
        </w:rPr>
        <w:t>una</w:t>
      </w:r>
      <w:r>
        <w:rPr>
          <w:color w:val="231F20"/>
          <w:spacing w:val="-3"/>
        </w:rPr>
        <w:t> </w:t>
      </w:r>
      <w:r>
        <w:rPr>
          <w:color w:val="231F20"/>
        </w:rPr>
        <w:t>propiedad</w:t>
      </w:r>
      <w:r>
        <w:rPr>
          <w:color w:val="231F20"/>
          <w:spacing w:val="-3"/>
        </w:rPr>
        <w:t> </w:t>
      </w:r>
      <w:r>
        <w:rPr>
          <w:color w:val="231F20"/>
        </w:rPr>
        <w:t>confiscada;</w:t>
      </w:r>
      <w:r>
        <w:rPr>
          <w:color w:val="231F20"/>
          <w:spacing w:val="-3"/>
        </w:rPr>
        <w:t> </w:t>
      </w:r>
      <w:r>
        <w:rPr>
          <w:color w:val="231F20"/>
        </w:rPr>
        <w:t>o</w:t>
      </w:r>
      <w:r>
        <w:rPr>
          <w:color w:val="231F20"/>
          <w:spacing w:val="-3"/>
        </w:rPr>
        <w:t> </w:t>
      </w:r>
      <w:r>
        <w:rPr>
          <w:color w:val="231F20"/>
        </w:rPr>
        <w:t>si después de la fecha de promulgación de la</w:t>
      </w:r>
      <w:r>
        <w:rPr>
          <w:color w:val="231F20"/>
          <w:spacing w:val="-13"/>
        </w:rPr>
        <w:t> </w:t>
      </w:r>
      <w:r>
        <w:rPr>
          <w:color w:val="231F20"/>
        </w:rPr>
        <w:t>presente</w:t>
      </w:r>
      <w:r>
        <w:rPr>
          <w:color w:val="231F20"/>
          <w:spacing w:val="-13"/>
        </w:rPr>
        <w:t> </w:t>
      </w:r>
      <w:r>
        <w:rPr>
          <w:color w:val="231F20"/>
        </w:rPr>
        <w:t>ley</w:t>
      </w:r>
      <w:r>
        <w:rPr>
          <w:color w:val="231F20"/>
          <w:spacing w:val="-13"/>
        </w:rPr>
        <w:t> </w:t>
      </w:r>
      <w:r>
        <w:rPr>
          <w:color w:val="231F20"/>
        </w:rPr>
        <w:t>asume</w:t>
      </w:r>
      <w:r>
        <w:rPr>
          <w:color w:val="231F20"/>
          <w:spacing w:val="-13"/>
        </w:rPr>
        <w:t> </w:t>
      </w:r>
      <w:r>
        <w:rPr>
          <w:color w:val="231F20"/>
        </w:rPr>
        <w:t>la</w:t>
      </w:r>
      <w:r>
        <w:rPr>
          <w:color w:val="231F20"/>
          <w:spacing w:val="-13"/>
        </w:rPr>
        <w:t> </w:t>
      </w:r>
      <w:r>
        <w:rPr>
          <w:color w:val="231F20"/>
        </w:rPr>
        <w:t>administración,</w:t>
      </w:r>
      <w:r>
        <w:rPr>
          <w:color w:val="231F20"/>
          <w:spacing w:val="-13"/>
        </w:rPr>
        <w:t> </w:t>
      </w:r>
      <w:r>
        <w:rPr>
          <w:color w:val="231F20"/>
        </w:rPr>
        <w:t>el </w:t>
      </w:r>
      <w:r>
        <w:rPr>
          <w:color w:val="231F20"/>
          <w:spacing w:val="-4"/>
        </w:rPr>
        <w:t>arrendamiento,</w:t>
      </w:r>
      <w:r>
        <w:rPr>
          <w:color w:val="231F20"/>
          <w:spacing w:val="-6"/>
        </w:rPr>
        <w:t> </w:t>
      </w:r>
      <w:r>
        <w:rPr>
          <w:color w:val="231F20"/>
          <w:spacing w:val="-4"/>
        </w:rPr>
        <w:t>la</w:t>
      </w:r>
      <w:r>
        <w:rPr>
          <w:color w:val="231F20"/>
          <w:spacing w:val="-6"/>
        </w:rPr>
        <w:t> </w:t>
      </w:r>
      <w:r>
        <w:rPr>
          <w:color w:val="231F20"/>
          <w:spacing w:val="-4"/>
        </w:rPr>
        <w:t>tenencia</w:t>
      </w:r>
      <w:r>
        <w:rPr>
          <w:color w:val="231F20"/>
          <w:spacing w:val="-6"/>
        </w:rPr>
        <w:t> </w:t>
      </w:r>
      <w:r>
        <w:rPr>
          <w:color w:val="231F20"/>
          <w:spacing w:val="-4"/>
        </w:rPr>
        <w:t>o</w:t>
      </w:r>
      <w:r>
        <w:rPr>
          <w:color w:val="231F20"/>
          <w:spacing w:val="-6"/>
        </w:rPr>
        <w:t> </w:t>
      </w:r>
      <w:r>
        <w:rPr>
          <w:color w:val="231F20"/>
          <w:spacing w:val="-4"/>
        </w:rPr>
        <w:t>la</w:t>
      </w:r>
      <w:r>
        <w:rPr>
          <w:color w:val="231F20"/>
          <w:spacing w:val="-6"/>
        </w:rPr>
        <w:t> </w:t>
      </w:r>
      <w:r>
        <w:rPr>
          <w:color w:val="231F20"/>
          <w:spacing w:val="-4"/>
        </w:rPr>
        <w:t>explotación </w:t>
      </w:r>
      <w:r>
        <w:rPr>
          <w:color w:val="231F20"/>
        </w:rPr>
        <w:t>de una propiedad confiscada o posee intereses en una propiedad confiscada; celebra un acuerdo comercial en el que utiliza o de otra forma explota en su provecho</w:t>
      </w:r>
      <w:r>
        <w:rPr>
          <w:color w:val="231F20"/>
          <w:spacing w:val="64"/>
        </w:rPr>
        <w:t>  </w:t>
      </w:r>
      <w:r>
        <w:rPr>
          <w:color w:val="231F20"/>
        </w:rPr>
        <w:t>una</w:t>
      </w:r>
      <w:r>
        <w:rPr>
          <w:color w:val="231F20"/>
          <w:spacing w:val="64"/>
        </w:rPr>
        <w:t>  </w:t>
      </w:r>
      <w:r>
        <w:rPr>
          <w:color w:val="231F20"/>
        </w:rPr>
        <w:t>propiedad</w:t>
      </w:r>
      <w:r>
        <w:rPr>
          <w:color w:val="231F20"/>
          <w:spacing w:val="64"/>
        </w:rPr>
        <w:t>  </w:t>
      </w:r>
      <w:r>
        <w:rPr>
          <w:color w:val="231F20"/>
          <w:spacing w:val="-2"/>
        </w:rPr>
        <w:t>confiscada;</w:t>
      </w:r>
    </w:p>
    <w:p>
      <w:pPr>
        <w:pStyle w:val="BodyText"/>
        <w:spacing w:before="117"/>
        <w:ind w:left="413" w:right="1133"/>
      </w:pPr>
      <w:r>
        <w:rPr/>
        <w:br w:type="column"/>
      </w:r>
      <w:r>
        <w:rPr>
          <w:color w:val="231F20"/>
        </w:rPr>
        <w:t>provoca o dirige el tráfico descrito en los apartados o por otra persona, o participa en</w:t>
      </w:r>
      <w:r>
        <w:rPr>
          <w:color w:val="231F20"/>
          <w:spacing w:val="-3"/>
        </w:rPr>
        <w:t> </w:t>
      </w:r>
      <w:r>
        <w:rPr>
          <w:color w:val="231F20"/>
        </w:rPr>
        <w:t>él</w:t>
      </w:r>
      <w:r>
        <w:rPr>
          <w:color w:val="231F20"/>
          <w:spacing w:val="-3"/>
        </w:rPr>
        <w:t> </w:t>
      </w:r>
      <w:r>
        <w:rPr>
          <w:color w:val="231F20"/>
        </w:rPr>
        <w:t>o</w:t>
      </w:r>
      <w:r>
        <w:rPr>
          <w:color w:val="231F20"/>
          <w:spacing w:val="-3"/>
        </w:rPr>
        <w:t> </w:t>
      </w:r>
      <w:r>
        <w:rPr>
          <w:color w:val="231F20"/>
        </w:rPr>
        <w:t>se</w:t>
      </w:r>
      <w:r>
        <w:rPr>
          <w:color w:val="231F20"/>
          <w:spacing w:val="-3"/>
        </w:rPr>
        <w:t> </w:t>
      </w:r>
      <w:r>
        <w:rPr>
          <w:color w:val="231F20"/>
        </w:rPr>
        <w:t>beneficia</w:t>
      </w:r>
      <w:r>
        <w:rPr>
          <w:color w:val="231F20"/>
          <w:spacing w:val="-3"/>
        </w:rPr>
        <w:t> </w:t>
      </w:r>
      <w:r>
        <w:rPr>
          <w:color w:val="231F20"/>
        </w:rPr>
        <w:t>de</w:t>
      </w:r>
      <w:r>
        <w:rPr>
          <w:color w:val="231F20"/>
          <w:spacing w:val="-3"/>
        </w:rPr>
        <w:t> </w:t>
      </w:r>
      <w:r>
        <w:rPr>
          <w:color w:val="231F20"/>
        </w:rPr>
        <w:t>él,</w:t>
      </w:r>
      <w:r>
        <w:rPr>
          <w:color w:val="231F20"/>
          <w:spacing w:val="-3"/>
        </w:rPr>
        <w:t> </w:t>
      </w:r>
      <w:r>
        <w:rPr>
          <w:color w:val="231F20"/>
        </w:rPr>
        <w:t>o</w:t>
      </w:r>
      <w:r>
        <w:rPr>
          <w:color w:val="231F20"/>
          <w:spacing w:val="-3"/>
        </w:rPr>
        <w:t> </w:t>
      </w:r>
      <w:r>
        <w:rPr>
          <w:color w:val="231F20"/>
        </w:rPr>
        <w:t>de</w:t>
      </w:r>
      <w:r>
        <w:rPr>
          <w:color w:val="231F20"/>
          <w:spacing w:val="-3"/>
        </w:rPr>
        <w:t> </w:t>
      </w:r>
      <w:r>
        <w:rPr>
          <w:color w:val="231F20"/>
        </w:rPr>
        <w:t>otro</w:t>
      </w:r>
      <w:r>
        <w:rPr>
          <w:color w:val="231F20"/>
          <w:spacing w:val="-3"/>
        </w:rPr>
        <w:t> </w:t>
      </w:r>
      <w:r>
        <w:rPr>
          <w:color w:val="231F20"/>
        </w:rPr>
        <w:t>modo realiza el tráfico por mediación de otra persona, sin la autorización del nacional de los Estados Unidos que posee una reclamación de dicha propiedad”.</w:t>
      </w:r>
    </w:p>
    <w:p>
      <w:pPr>
        <w:pStyle w:val="BodyText"/>
        <w:spacing w:before="165"/>
        <w:ind w:left="413" w:right="1133"/>
      </w:pPr>
      <w:r>
        <w:rPr>
          <w:color w:val="231F20"/>
        </w:rPr>
        <w:t>La Ley Helms-Burton ha trascendido como un mecanismo a través del cual el gobierno estadounidense ejerce ilegales</w:t>
      </w:r>
      <w:r>
        <w:rPr>
          <w:color w:val="231F20"/>
          <w:spacing w:val="40"/>
        </w:rPr>
        <w:t> </w:t>
      </w:r>
      <w:r>
        <w:rPr>
          <w:color w:val="231F20"/>
        </w:rPr>
        <w:t>y</w:t>
      </w:r>
      <w:r>
        <w:rPr>
          <w:color w:val="231F20"/>
          <w:spacing w:val="-6"/>
        </w:rPr>
        <w:t> </w:t>
      </w:r>
      <w:r>
        <w:rPr>
          <w:color w:val="231F20"/>
        </w:rPr>
        <w:t>brutales</w:t>
      </w:r>
      <w:r>
        <w:rPr>
          <w:color w:val="231F20"/>
          <w:spacing w:val="-6"/>
        </w:rPr>
        <w:t> </w:t>
      </w:r>
      <w:r>
        <w:rPr>
          <w:color w:val="231F20"/>
        </w:rPr>
        <w:t>presiones,</w:t>
      </w:r>
      <w:r>
        <w:rPr>
          <w:color w:val="231F20"/>
          <w:spacing w:val="-6"/>
        </w:rPr>
        <w:t> </w:t>
      </w:r>
      <w:r>
        <w:rPr>
          <w:color w:val="231F20"/>
        </w:rPr>
        <w:t>no</w:t>
      </w:r>
      <w:r>
        <w:rPr>
          <w:color w:val="231F20"/>
          <w:spacing w:val="-6"/>
        </w:rPr>
        <w:t> </w:t>
      </w:r>
      <w:r>
        <w:rPr>
          <w:color w:val="231F20"/>
        </w:rPr>
        <w:t>solo</w:t>
      </w:r>
      <w:r>
        <w:rPr>
          <w:color w:val="231F20"/>
          <w:spacing w:val="-6"/>
        </w:rPr>
        <w:t> </w:t>
      </w:r>
      <w:r>
        <w:rPr>
          <w:color w:val="231F20"/>
        </w:rPr>
        <w:t>contra</w:t>
      </w:r>
      <w:r>
        <w:rPr>
          <w:color w:val="231F20"/>
          <w:spacing w:val="-6"/>
        </w:rPr>
        <w:t> </w:t>
      </w:r>
      <w:r>
        <w:rPr>
          <w:color w:val="231F20"/>
        </w:rPr>
        <w:t>Cuba, </w:t>
      </w:r>
      <w:r>
        <w:rPr>
          <w:color w:val="231F20"/>
          <w:spacing w:val="-2"/>
        </w:rPr>
        <w:t>sino</w:t>
      </w:r>
      <w:r>
        <w:rPr>
          <w:color w:val="231F20"/>
          <w:spacing w:val="-10"/>
        </w:rPr>
        <w:t> </w:t>
      </w:r>
      <w:r>
        <w:rPr>
          <w:color w:val="231F20"/>
          <w:spacing w:val="-2"/>
        </w:rPr>
        <w:t>también</w:t>
      </w:r>
      <w:r>
        <w:rPr>
          <w:color w:val="231F20"/>
          <w:spacing w:val="-10"/>
        </w:rPr>
        <w:t> </w:t>
      </w:r>
      <w:r>
        <w:rPr>
          <w:color w:val="231F20"/>
          <w:spacing w:val="-2"/>
        </w:rPr>
        <w:t>contra</w:t>
      </w:r>
      <w:r>
        <w:rPr>
          <w:color w:val="231F20"/>
          <w:spacing w:val="-10"/>
        </w:rPr>
        <w:t> </w:t>
      </w:r>
      <w:r>
        <w:rPr>
          <w:color w:val="231F20"/>
          <w:spacing w:val="-2"/>
        </w:rPr>
        <w:t>gobiernos</w:t>
      </w:r>
      <w:r>
        <w:rPr>
          <w:color w:val="231F20"/>
          <w:spacing w:val="-10"/>
        </w:rPr>
        <w:t> </w:t>
      </w:r>
      <w:r>
        <w:rPr>
          <w:color w:val="231F20"/>
          <w:spacing w:val="-2"/>
        </w:rPr>
        <w:t>y</w:t>
      </w:r>
      <w:r>
        <w:rPr>
          <w:color w:val="231F20"/>
          <w:spacing w:val="-10"/>
        </w:rPr>
        <w:t> </w:t>
      </w:r>
      <w:r>
        <w:rPr>
          <w:color w:val="231F20"/>
          <w:spacing w:val="-2"/>
        </w:rPr>
        <w:t>empresas </w:t>
      </w:r>
      <w:r>
        <w:rPr>
          <w:color w:val="231F20"/>
        </w:rPr>
        <w:t>de terceros países. Sus pretensiones son ilegítimas, violatorias de la Carta de las </w:t>
      </w:r>
      <w:r>
        <w:rPr>
          <w:color w:val="231F20"/>
          <w:spacing w:val="-4"/>
        </w:rPr>
        <w:t>Naciones</w:t>
      </w:r>
      <w:r>
        <w:rPr>
          <w:color w:val="231F20"/>
          <w:spacing w:val="-22"/>
        </w:rPr>
        <w:t> </w:t>
      </w:r>
      <w:r>
        <w:rPr>
          <w:color w:val="231F20"/>
          <w:spacing w:val="-4"/>
        </w:rPr>
        <w:t>Unidas</w:t>
      </w:r>
      <w:r>
        <w:rPr>
          <w:color w:val="231F20"/>
          <w:spacing w:val="-21"/>
        </w:rPr>
        <w:t> </w:t>
      </w:r>
      <w:r>
        <w:rPr>
          <w:color w:val="231F20"/>
          <w:spacing w:val="-4"/>
        </w:rPr>
        <w:t>y</w:t>
      </w:r>
      <w:r>
        <w:rPr>
          <w:color w:val="231F20"/>
          <w:spacing w:val="-21"/>
        </w:rPr>
        <w:t> </w:t>
      </w:r>
      <w:r>
        <w:rPr>
          <w:color w:val="231F20"/>
          <w:spacing w:val="-4"/>
        </w:rPr>
        <w:t>el</w:t>
      </w:r>
      <w:r>
        <w:rPr>
          <w:color w:val="231F20"/>
          <w:spacing w:val="-21"/>
        </w:rPr>
        <w:t> </w:t>
      </w:r>
      <w:r>
        <w:rPr>
          <w:color w:val="231F20"/>
          <w:spacing w:val="-4"/>
        </w:rPr>
        <w:t>Derecho</w:t>
      </w:r>
      <w:r>
        <w:rPr>
          <w:color w:val="231F20"/>
          <w:spacing w:val="-21"/>
        </w:rPr>
        <w:t> </w:t>
      </w:r>
      <w:r>
        <w:rPr>
          <w:color w:val="231F20"/>
          <w:spacing w:val="-4"/>
        </w:rPr>
        <w:t>Internacional.</w:t>
      </w:r>
    </w:p>
    <w:p>
      <w:pPr>
        <w:pStyle w:val="BodyText"/>
        <w:spacing w:before="166"/>
        <w:ind w:left="413" w:right="1132"/>
      </w:pPr>
      <w:r>
        <w:rPr>
          <w:color w:val="231F20"/>
          <w:spacing w:val="-4"/>
        </w:rPr>
        <w:t>Al</w:t>
      </w:r>
      <w:r>
        <w:rPr>
          <w:color w:val="231F20"/>
          <w:spacing w:val="-13"/>
        </w:rPr>
        <w:t> </w:t>
      </w:r>
      <w:r>
        <w:rPr>
          <w:color w:val="231F20"/>
          <w:spacing w:val="-4"/>
        </w:rPr>
        <w:t>respecto,</w:t>
      </w:r>
      <w:r>
        <w:rPr>
          <w:color w:val="231F20"/>
          <w:spacing w:val="-12"/>
        </w:rPr>
        <w:t> </w:t>
      </w:r>
      <w:r>
        <w:rPr>
          <w:color w:val="231F20"/>
          <w:spacing w:val="-4"/>
        </w:rPr>
        <w:t>la</w:t>
      </w:r>
      <w:r>
        <w:rPr>
          <w:color w:val="231F20"/>
          <w:spacing w:val="-13"/>
        </w:rPr>
        <w:t> </w:t>
      </w:r>
      <w:r>
        <w:rPr>
          <w:color w:val="231F20"/>
          <w:spacing w:val="-4"/>
        </w:rPr>
        <w:t>Relatora</w:t>
      </w:r>
      <w:r>
        <w:rPr>
          <w:color w:val="231F20"/>
          <w:spacing w:val="-12"/>
        </w:rPr>
        <w:t> </w:t>
      </w:r>
      <w:r>
        <w:rPr>
          <w:color w:val="231F20"/>
          <w:spacing w:val="-4"/>
        </w:rPr>
        <w:t>Especial</w:t>
      </w:r>
      <w:r>
        <w:rPr>
          <w:color w:val="231F20"/>
          <w:spacing w:val="-13"/>
        </w:rPr>
        <w:t> </w:t>
      </w:r>
      <w:r>
        <w:rPr>
          <w:color w:val="231F20"/>
          <w:spacing w:val="-4"/>
        </w:rPr>
        <w:t>del</w:t>
      </w:r>
      <w:r>
        <w:rPr>
          <w:color w:val="231F20"/>
          <w:spacing w:val="-12"/>
        </w:rPr>
        <w:t> </w:t>
      </w:r>
      <w:r>
        <w:rPr>
          <w:color w:val="231F20"/>
          <w:spacing w:val="-4"/>
        </w:rPr>
        <w:t>Consejo </w:t>
      </w:r>
      <w:r>
        <w:rPr>
          <w:color w:val="231F20"/>
        </w:rPr>
        <w:t>de Derechos Humanos de las Naciones Unidas sobre el impacto negativo de las medidas coercitivas unilaterales en el </w:t>
      </w:r>
      <w:r>
        <w:rPr>
          <w:color w:val="231F20"/>
          <w:spacing w:val="-8"/>
        </w:rPr>
        <w:t>disfrute</w:t>
      </w:r>
      <w:r>
        <w:rPr>
          <w:color w:val="231F20"/>
          <w:spacing w:val="-9"/>
        </w:rPr>
        <w:t> </w:t>
      </w:r>
      <w:r>
        <w:rPr>
          <w:color w:val="231F20"/>
          <w:spacing w:val="-8"/>
        </w:rPr>
        <w:t>de los</w:t>
      </w:r>
      <w:r>
        <w:rPr>
          <w:color w:val="231F20"/>
          <w:spacing w:val="-9"/>
        </w:rPr>
        <w:t> </w:t>
      </w:r>
      <w:r>
        <w:rPr>
          <w:color w:val="231F20"/>
          <w:spacing w:val="-8"/>
        </w:rPr>
        <w:t>derechos humanos,</w:t>
      </w:r>
      <w:r>
        <w:rPr>
          <w:color w:val="231F20"/>
          <w:spacing w:val="-9"/>
        </w:rPr>
        <w:t> </w:t>
      </w:r>
      <w:r>
        <w:rPr>
          <w:color w:val="231F20"/>
          <w:spacing w:val="-8"/>
        </w:rPr>
        <w:t>Sra. Alena </w:t>
      </w:r>
      <w:r>
        <w:rPr>
          <w:color w:val="231F20"/>
          <w:spacing w:val="-4"/>
        </w:rPr>
        <w:t>Dohan,</w:t>
      </w:r>
      <w:r>
        <w:rPr>
          <w:color w:val="231F20"/>
          <w:spacing w:val="-13"/>
        </w:rPr>
        <w:t> </w:t>
      </w:r>
      <w:r>
        <w:rPr>
          <w:color w:val="231F20"/>
          <w:spacing w:val="-4"/>
        </w:rPr>
        <w:t>en</w:t>
      </w:r>
      <w:r>
        <w:rPr>
          <w:color w:val="231F20"/>
          <w:spacing w:val="-12"/>
        </w:rPr>
        <w:t> </w:t>
      </w:r>
      <w:r>
        <w:rPr>
          <w:color w:val="231F20"/>
          <w:spacing w:val="-4"/>
        </w:rPr>
        <w:t>Conferencia</w:t>
      </w:r>
      <w:r>
        <w:rPr>
          <w:color w:val="231F20"/>
          <w:spacing w:val="-13"/>
        </w:rPr>
        <w:t> </w:t>
      </w:r>
      <w:r>
        <w:rPr>
          <w:color w:val="231F20"/>
          <w:spacing w:val="-4"/>
        </w:rPr>
        <w:t>Magistral</w:t>
      </w:r>
      <w:r>
        <w:rPr>
          <w:color w:val="231F20"/>
          <w:spacing w:val="-12"/>
        </w:rPr>
        <w:t> </w:t>
      </w:r>
      <w:r>
        <w:rPr>
          <w:color w:val="231F20"/>
          <w:spacing w:val="-4"/>
        </w:rPr>
        <w:t>ofrecida</w:t>
      </w:r>
      <w:r>
        <w:rPr>
          <w:color w:val="231F20"/>
          <w:spacing w:val="-13"/>
        </w:rPr>
        <w:t> </w:t>
      </w:r>
      <w:r>
        <w:rPr>
          <w:color w:val="231F20"/>
          <w:spacing w:val="-4"/>
        </w:rPr>
        <w:t>el </w:t>
      </w:r>
      <w:r>
        <w:rPr>
          <w:color w:val="231F20"/>
        </w:rPr>
        <w:t>4</w:t>
      </w:r>
      <w:r>
        <w:rPr>
          <w:color w:val="231F20"/>
          <w:spacing w:val="-17"/>
        </w:rPr>
        <w:t> </w:t>
      </w:r>
      <w:r>
        <w:rPr>
          <w:color w:val="231F20"/>
        </w:rPr>
        <w:t>de</w:t>
      </w:r>
      <w:r>
        <w:rPr>
          <w:color w:val="231F20"/>
          <w:spacing w:val="-16"/>
        </w:rPr>
        <w:t> </w:t>
      </w:r>
      <w:r>
        <w:rPr>
          <w:color w:val="231F20"/>
        </w:rPr>
        <w:t>mayo</w:t>
      </w:r>
      <w:r>
        <w:rPr>
          <w:color w:val="231F20"/>
          <w:spacing w:val="-17"/>
        </w:rPr>
        <w:t> </w:t>
      </w:r>
      <w:r>
        <w:rPr>
          <w:color w:val="231F20"/>
        </w:rPr>
        <w:t>de</w:t>
      </w:r>
      <w:r>
        <w:rPr>
          <w:color w:val="231F20"/>
          <w:spacing w:val="-16"/>
        </w:rPr>
        <w:t> </w:t>
      </w:r>
      <w:r>
        <w:rPr>
          <w:color w:val="231F20"/>
        </w:rPr>
        <w:t>2023</w:t>
      </w:r>
      <w:r>
        <w:rPr>
          <w:color w:val="231F20"/>
          <w:spacing w:val="-17"/>
        </w:rPr>
        <w:t> </w:t>
      </w:r>
      <w:r>
        <w:rPr>
          <w:color w:val="231F20"/>
        </w:rPr>
        <w:t>en</w:t>
      </w:r>
      <w:r>
        <w:rPr>
          <w:color w:val="231F20"/>
          <w:spacing w:val="-16"/>
        </w:rPr>
        <w:t> </w:t>
      </w:r>
      <w:r>
        <w:rPr>
          <w:color w:val="231F20"/>
        </w:rPr>
        <w:t>la</w:t>
      </w:r>
      <w:r>
        <w:rPr>
          <w:color w:val="231F20"/>
          <w:spacing w:val="-17"/>
        </w:rPr>
        <w:t> </w:t>
      </w:r>
      <w:r>
        <w:rPr>
          <w:color w:val="231F20"/>
        </w:rPr>
        <w:t>Universidad</w:t>
      </w:r>
      <w:r>
        <w:rPr>
          <w:color w:val="231F20"/>
          <w:spacing w:val="-16"/>
        </w:rPr>
        <w:t> </w:t>
      </w:r>
      <w:r>
        <w:rPr>
          <w:color w:val="231F20"/>
        </w:rPr>
        <w:t>de</w:t>
      </w:r>
      <w:r>
        <w:rPr>
          <w:color w:val="231F20"/>
          <w:spacing w:val="-16"/>
        </w:rPr>
        <w:t> </w:t>
      </w:r>
      <w:r>
        <w:rPr>
          <w:color w:val="231F20"/>
        </w:rPr>
        <w:t>La Habana,</w:t>
      </w:r>
      <w:r>
        <w:rPr>
          <w:color w:val="231F20"/>
          <w:spacing w:val="-17"/>
        </w:rPr>
        <w:t> </w:t>
      </w:r>
      <w:r>
        <w:rPr>
          <w:color w:val="231F20"/>
        </w:rPr>
        <w:t>en</w:t>
      </w:r>
      <w:r>
        <w:rPr>
          <w:color w:val="231F20"/>
          <w:spacing w:val="-16"/>
        </w:rPr>
        <w:t> </w:t>
      </w:r>
      <w:r>
        <w:rPr>
          <w:color w:val="231F20"/>
        </w:rPr>
        <w:t>ocasión</w:t>
      </w:r>
      <w:r>
        <w:rPr>
          <w:color w:val="231F20"/>
          <w:spacing w:val="-17"/>
        </w:rPr>
        <w:t> </w:t>
      </w:r>
      <w:r>
        <w:rPr>
          <w:color w:val="231F20"/>
        </w:rPr>
        <w:t>de</w:t>
      </w:r>
      <w:r>
        <w:rPr>
          <w:color w:val="231F20"/>
          <w:spacing w:val="-16"/>
        </w:rPr>
        <w:t> </w:t>
      </w:r>
      <w:r>
        <w:rPr>
          <w:color w:val="231F20"/>
        </w:rPr>
        <w:t>su</w:t>
      </w:r>
      <w:r>
        <w:rPr>
          <w:color w:val="231F20"/>
          <w:spacing w:val="-17"/>
        </w:rPr>
        <w:t> </w:t>
      </w:r>
      <w:r>
        <w:rPr>
          <w:color w:val="231F20"/>
        </w:rPr>
        <w:t>visita</w:t>
      </w:r>
      <w:r>
        <w:rPr>
          <w:color w:val="231F20"/>
          <w:spacing w:val="-16"/>
        </w:rPr>
        <w:t> </w:t>
      </w:r>
      <w:r>
        <w:rPr>
          <w:color w:val="231F20"/>
        </w:rPr>
        <w:t>académica a la Isla, expresó: “Todas estas sanciones son tan complejas y abarcadoras, que ni </w:t>
      </w:r>
      <w:r>
        <w:rPr>
          <w:color w:val="231F20"/>
          <w:spacing w:val="-2"/>
        </w:rPr>
        <w:t>siquiera</w:t>
      </w:r>
      <w:r>
        <w:rPr>
          <w:color w:val="231F20"/>
          <w:spacing w:val="-13"/>
        </w:rPr>
        <w:t> </w:t>
      </w:r>
      <w:r>
        <w:rPr>
          <w:color w:val="231F20"/>
          <w:spacing w:val="-2"/>
        </w:rPr>
        <w:t>el</w:t>
      </w:r>
      <w:r>
        <w:rPr>
          <w:color w:val="231F20"/>
          <w:spacing w:val="-13"/>
        </w:rPr>
        <w:t> </w:t>
      </w:r>
      <w:r>
        <w:rPr>
          <w:color w:val="231F20"/>
          <w:spacing w:val="-2"/>
        </w:rPr>
        <w:t>llamado</w:t>
      </w:r>
      <w:r>
        <w:rPr>
          <w:color w:val="231F20"/>
          <w:spacing w:val="-13"/>
        </w:rPr>
        <w:t> </w:t>
      </w:r>
      <w:r>
        <w:rPr>
          <w:color w:val="231F20"/>
          <w:spacing w:val="-2"/>
        </w:rPr>
        <w:t>Estatuto</w:t>
      </w:r>
      <w:r>
        <w:rPr>
          <w:color w:val="231F20"/>
          <w:spacing w:val="-13"/>
        </w:rPr>
        <w:t> </w:t>
      </w:r>
      <w:r>
        <w:rPr>
          <w:color w:val="231F20"/>
          <w:spacing w:val="-2"/>
        </w:rPr>
        <w:t>de</w:t>
      </w:r>
      <w:r>
        <w:rPr>
          <w:color w:val="231F20"/>
          <w:spacing w:val="-13"/>
        </w:rPr>
        <w:t> </w:t>
      </w:r>
      <w:r>
        <w:rPr>
          <w:color w:val="231F20"/>
          <w:spacing w:val="-2"/>
        </w:rPr>
        <w:t>Bloqueo</w:t>
      </w:r>
      <w:r>
        <w:rPr>
          <w:color w:val="231F20"/>
          <w:spacing w:val="-13"/>
        </w:rPr>
        <w:t> </w:t>
      </w:r>
      <w:r>
        <w:rPr>
          <w:color w:val="231F20"/>
          <w:spacing w:val="-2"/>
        </w:rPr>
        <w:t>de </w:t>
      </w:r>
      <w:r>
        <w:rPr>
          <w:color w:val="231F20"/>
        </w:rPr>
        <w:t>la</w:t>
      </w:r>
      <w:r>
        <w:rPr>
          <w:color w:val="231F20"/>
          <w:spacing w:val="-16"/>
        </w:rPr>
        <w:t> </w:t>
      </w:r>
      <w:r>
        <w:rPr>
          <w:color w:val="231F20"/>
        </w:rPr>
        <w:t>Unión</w:t>
      </w:r>
      <w:r>
        <w:rPr>
          <w:color w:val="231F20"/>
          <w:spacing w:val="-16"/>
        </w:rPr>
        <w:t> </w:t>
      </w:r>
      <w:r>
        <w:rPr>
          <w:color w:val="231F20"/>
        </w:rPr>
        <w:t>Europea</w:t>
      </w:r>
      <w:r>
        <w:rPr>
          <w:color w:val="231F20"/>
          <w:spacing w:val="-16"/>
        </w:rPr>
        <w:t> </w:t>
      </w:r>
      <w:r>
        <w:rPr>
          <w:color w:val="231F20"/>
        </w:rPr>
        <w:t>protege</w:t>
      </w:r>
      <w:r>
        <w:rPr>
          <w:color w:val="231F20"/>
          <w:spacing w:val="-16"/>
        </w:rPr>
        <w:t> </w:t>
      </w:r>
      <w:r>
        <w:rPr>
          <w:color w:val="231F20"/>
        </w:rPr>
        <w:t>completamente </w:t>
      </w:r>
      <w:r>
        <w:rPr>
          <w:color w:val="231F20"/>
          <w:spacing w:val="-2"/>
        </w:rPr>
        <w:t>a</w:t>
      </w:r>
      <w:r>
        <w:rPr>
          <w:color w:val="231F20"/>
          <w:spacing w:val="-15"/>
        </w:rPr>
        <w:t> </w:t>
      </w:r>
      <w:r>
        <w:rPr>
          <w:color w:val="231F20"/>
          <w:spacing w:val="-2"/>
        </w:rPr>
        <w:t>sus</w:t>
      </w:r>
      <w:r>
        <w:rPr>
          <w:color w:val="231F20"/>
          <w:spacing w:val="-14"/>
        </w:rPr>
        <w:t> </w:t>
      </w:r>
      <w:r>
        <w:rPr>
          <w:color w:val="231F20"/>
          <w:spacing w:val="-2"/>
        </w:rPr>
        <w:t>propias</w:t>
      </w:r>
      <w:r>
        <w:rPr>
          <w:color w:val="231F20"/>
          <w:spacing w:val="-15"/>
        </w:rPr>
        <w:t> </w:t>
      </w:r>
      <w:r>
        <w:rPr>
          <w:color w:val="231F20"/>
          <w:spacing w:val="-2"/>
        </w:rPr>
        <w:t>empresas</w:t>
      </w:r>
      <w:r>
        <w:rPr>
          <w:color w:val="231F20"/>
          <w:spacing w:val="-14"/>
        </w:rPr>
        <w:t> </w:t>
      </w:r>
      <w:r>
        <w:rPr>
          <w:color w:val="231F20"/>
          <w:spacing w:val="-2"/>
        </w:rPr>
        <w:t>que</w:t>
      </w:r>
      <w:r>
        <w:rPr>
          <w:color w:val="231F20"/>
          <w:spacing w:val="-15"/>
        </w:rPr>
        <w:t> </w:t>
      </w:r>
      <w:r>
        <w:rPr>
          <w:color w:val="231F20"/>
          <w:spacing w:val="-2"/>
        </w:rPr>
        <w:t>desean</w:t>
      </w:r>
      <w:r>
        <w:rPr>
          <w:color w:val="231F20"/>
          <w:spacing w:val="-14"/>
        </w:rPr>
        <w:t> </w:t>
      </w:r>
      <w:r>
        <w:rPr>
          <w:color w:val="231F20"/>
          <w:spacing w:val="-2"/>
        </w:rPr>
        <w:t>realizar operaciones</w:t>
      </w:r>
      <w:r>
        <w:rPr>
          <w:color w:val="231F20"/>
          <w:spacing w:val="-15"/>
        </w:rPr>
        <w:t> </w:t>
      </w:r>
      <w:r>
        <w:rPr>
          <w:color w:val="231F20"/>
          <w:spacing w:val="-2"/>
        </w:rPr>
        <w:t>con</w:t>
      </w:r>
      <w:r>
        <w:rPr>
          <w:color w:val="231F20"/>
          <w:spacing w:val="-14"/>
        </w:rPr>
        <w:t> </w:t>
      </w:r>
      <w:r>
        <w:rPr>
          <w:color w:val="231F20"/>
          <w:spacing w:val="-2"/>
        </w:rPr>
        <w:t>Cuba,</w:t>
      </w:r>
      <w:r>
        <w:rPr>
          <w:color w:val="231F20"/>
          <w:spacing w:val="-15"/>
        </w:rPr>
        <w:t> </w:t>
      </w:r>
      <w:r>
        <w:rPr>
          <w:color w:val="231F20"/>
          <w:spacing w:val="-2"/>
        </w:rPr>
        <w:t>a</w:t>
      </w:r>
      <w:r>
        <w:rPr>
          <w:color w:val="231F20"/>
          <w:spacing w:val="-14"/>
        </w:rPr>
        <w:t> </w:t>
      </w:r>
      <w:r>
        <w:rPr>
          <w:color w:val="231F20"/>
          <w:spacing w:val="-2"/>
        </w:rPr>
        <w:t>pesar</w:t>
      </w:r>
      <w:r>
        <w:rPr>
          <w:color w:val="231F20"/>
          <w:spacing w:val="-15"/>
        </w:rPr>
        <w:t> </w:t>
      </w:r>
      <w:r>
        <w:rPr>
          <w:color w:val="231F20"/>
          <w:spacing w:val="-2"/>
        </w:rPr>
        <w:t>de</w:t>
      </w:r>
      <w:r>
        <w:rPr>
          <w:color w:val="231F20"/>
          <w:spacing w:val="-14"/>
        </w:rPr>
        <w:t> </w:t>
      </w:r>
      <w:r>
        <w:rPr>
          <w:color w:val="231F20"/>
          <w:spacing w:val="-2"/>
        </w:rPr>
        <w:t>que</w:t>
      </w:r>
      <w:r>
        <w:rPr>
          <w:color w:val="231F20"/>
          <w:spacing w:val="-15"/>
        </w:rPr>
        <w:t> </w:t>
      </w:r>
      <w:r>
        <w:rPr>
          <w:color w:val="231F20"/>
          <w:spacing w:val="-2"/>
        </w:rPr>
        <w:t>esos </w:t>
      </w:r>
      <w:r>
        <w:rPr>
          <w:color w:val="231F20"/>
        </w:rPr>
        <w:t>países rechazan la Ley Helms-Burton”.</w:t>
      </w:r>
    </w:p>
    <w:p>
      <w:pPr>
        <w:pStyle w:val="BodyText"/>
        <w:spacing w:before="172"/>
        <w:ind w:left="413" w:right="1132"/>
      </w:pPr>
      <w:r>
        <w:rPr>
          <w:color w:val="231F20"/>
        </w:rPr>
        <w:t>La posibilidad de demandar a los supuestos beneficiarios del “tráfico”</w:t>
      </w:r>
      <w:r>
        <w:rPr>
          <w:color w:val="231F20"/>
          <w:spacing w:val="80"/>
        </w:rPr>
        <w:t> </w:t>
      </w:r>
      <w:r>
        <w:rPr>
          <w:color w:val="231F20"/>
        </w:rPr>
        <w:t>había sido suspendida consistentemente cada seis meses, desde 1996, por todos los presidentes de los Estados Unidos, utilizando</w:t>
      </w:r>
      <w:r>
        <w:rPr>
          <w:color w:val="231F20"/>
          <w:spacing w:val="-17"/>
        </w:rPr>
        <w:t> </w:t>
      </w:r>
      <w:r>
        <w:rPr>
          <w:color w:val="231F20"/>
        </w:rPr>
        <w:t>una</w:t>
      </w:r>
      <w:r>
        <w:rPr>
          <w:color w:val="231F20"/>
          <w:spacing w:val="-16"/>
        </w:rPr>
        <w:t> </w:t>
      </w:r>
      <w:r>
        <w:rPr>
          <w:color w:val="231F20"/>
        </w:rPr>
        <w:t>excepción</w:t>
      </w:r>
      <w:r>
        <w:rPr>
          <w:color w:val="231F20"/>
          <w:spacing w:val="-17"/>
        </w:rPr>
        <w:t> </w:t>
      </w:r>
      <w:r>
        <w:rPr>
          <w:color w:val="231F20"/>
        </w:rPr>
        <w:t>incluida</w:t>
      </w:r>
      <w:r>
        <w:rPr>
          <w:color w:val="231F20"/>
          <w:spacing w:val="-16"/>
        </w:rPr>
        <w:t> </w:t>
      </w:r>
      <w:r>
        <w:rPr>
          <w:color w:val="231F20"/>
        </w:rPr>
        <w:t>en</w:t>
      </w:r>
      <w:r>
        <w:rPr>
          <w:color w:val="231F20"/>
          <w:spacing w:val="-17"/>
        </w:rPr>
        <w:t> </w:t>
      </w:r>
      <w:r>
        <w:rPr>
          <w:color w:val="231F20"/>
        </w:rPr>
        <w:t>la</w:t>
      </w:r>
      <w:r>
        <w:rPr>
          <w:color w:val="231F20"/>
          <w:spacing w:val="-16"/>
        </w:rPr>
        <w:t> </w:t>
      </w:r>
      <w:r>
        <w:rPr>
          <w:color w:val="231F20"/>
        </w:rPr>
        <w:t>Ley que les otorga esa facultad. El 17 de abril de 2019, el gobierno de Donald Trump anunció que, a partir del 2 de mayo del propio</w:t>
      </w:r>
      <w:r>
        <w:rPr>
          <w:color w:val="231F20"/>
          <w:spacing w:val="-15"/>
        </w:rPr>
        <w:t> </w:t>
      </w:r>
      <w:r>
        <w:rPr>
          <w:color w:val="231F20"/>
        </w:rPr>
        <w:t>año,</w:t>
      </w:r>
      <w:r>
        <w:rPr>
          <w:color w:val="231F20"/>
          <w:spacing w:val="-15"/>
        </w:rPr>
        <w:t> </w:t>
      </w:r>
      <w:r>
        <w:rPr>
          <w:color w:val="231F20"/>
        </w:rPr>
        <w:t>se</w:t>
      </w:r>
      <w:r>
        <w:rPr>
          <w:color w:val="231F20"/>
          <w:spacing w:val="-15"/>
        </w:rPr>
        <w:t> </w:t>
      </w:r>
      <w:r>
        <w:rPr>
          <w:color w:val="231F20"/>
        </w:rPr>
        <w:t>activaría</w:t>
      </w:r>
      <w:r>
        <w:rPr>
          <w:color w:val="231F20"/>
          <w:spacing w:val="-15"/>
        </w:rPr>
        <w:t> </w:t>
      </w:r>
      <w:r>
        <w:rPr>
          <w:color w:val="231F20"/>
        </w:rPr>
        <w:t>esta</w:t>
      </w:r>
      <w:r>
        <w:rPr>
          <w:color w:val="231F20"/>
          <w:spacing w:val="-15"/>
        </w:rPr>
        <w:t> </w:t>
      </w:r>
      <w:r>
        <w:rPr>
          <w:color w:val="231F20"/>
        </w:rPr>
        <w:t>posibilidad,</w:t>
      </w:r>
      <w:r>
        <w:rPr>
          <w:color w:val="231F20"/>
          <w:spacing w:val="-15"/>
        </w:rPr>
        <w:t> </w:t>
      </w:r>
      <w:r>
        <w:rPr>
          <w:color w:val="231F20"/>
        </w:rPr>
        <w:t>al permitir</w:t>
      </w:r>
      <w:r>
        <w:rPr>
          <w:color w:val="231F20"/>
          <w:spacing w:val="-17"/>
        </w:rPr>
        <w:t> </w:t>
      </w:r>
      <w:r>
        <w:rPr>
          <w:color w:val="231F20"/>
        </w:rPr>
        <w:t>que</w:t>
      </w:r>
      <w:r>
        <w:rPr>
          <w:color w:val="231F20"/>
          <w:spacing w:val="-16"/>
        </w:rPr>
        <w:t> </w:t>
      </w:r>
      <w:r>
        <w:rPr>
          <w:color w:val="231F20"/>
        </w:rPr>
        <w:t>los</w:t>
      </w:r>
      <w:r>
        <w:rPr>
          <w:color w:val="231F20"/>
          <w:spacing w:val="-17"/>
        </w:rPr>
        <w:t> </w:t>
      </w:r>
      <w:r>
        <w:rPr>
          <w:color w:val="231F20"/>
        </w:rPr>
        <w:t>tribunales</w:t>
      </w:r>
      <w:r>
        <w:rPr>
          <w:color w:val="231F20"/>
          <w:spacing w:val="-16"/>
        </w:rPr>
        <w:t> </w:t>
      </w:r>
      <w:r>
        <w:rPr>
          <w:color w:val="231F20"/>
        </w:rPr>
        <w:t>tomaran</w:t>
      </w:r>
      <w:r>
        <w:rPr>
          <w:color w:val="231F20"/>
          <w:spacing w:val="-17"/>
        </w:rPr>
        <w:t> </w:t>
      </w:r>
      <w:r>
        <w:rPr>
          <w:color w:val="231F20"/>
        </w:rPr>
        <w:t>acción ante las demandas presentadas.</w:t>
      </w:r>
    </w:p>
    <w:p>
      <w:pPr>
        <w:spacing w:after="0"/>
        <w:sectPr>
          <w:pgSz w:w="11910" w:h="16840"/>
          <w:pgMar w:header="0" w:footer="695" w:top="1220" w:bottom="880" w:left="0" w:right="0"/>
          <w:cols w:num="2" w:equalWidth="0">
            <w:col w:w="5897" w:space="40"/>
            <w:col w:w="5973"/>
          </w:cols>
        </w:sectPr>
      </w:pPr>
    </w:p>
    <w:p>
      <w:pPr>
        <w:pStyle w:val="BodyText"/>
        <w:spacing w:before="117"/>
        <w:ind w:left="1133"/>
      </w:pPr>
      <w:r>
        <w:rPr>
          <w:color w:val="231F20"/>
        </w:rPr>
        <w:t>La</w:t>
      </w:r>
      <w:r>
        <w:rPr>
          <w:color w:val="231F20"/>
          <w:spacing w:val="80"/>
        </w:rPr>
        <w:t> </w:t>
      </w:r>
      <w:r>
        <w:rPr>
          <w:color w:val="231F20"/>
        </w:rPr>
        <w:t>decisión</w:t>
      </w:r>
      <w:r>
        <w:rPr>
          <w:color w:val="231F20"/>
          <w:spacing w:val="80"/>
        </w:rPr>
        <w:t> </w:t>
      </w:r>
      <w:r>
        <w:rPr>
          <w:color w:val="231F20"/>
        </w:rPr>
        <w:t>no</w:t>
      </w:r>
      <w:r>
        <w:rPr>
          <w:color w:val="231F20"/>
          <w:spacing w:val="80"/>
        </w:rPr>
        <w:t> </w:t>
      </w:r>
      <w:r>
        <w:rPr>
          <w:color w:val="231F20"/>
        </w:rPr>
        <w:t>ha</w:t>
      </w:r>
      <w:r>
        <w:rPr>
          <w:color w:val="231F20"/>
          <w:spacing w:val="80"/>
        </w:rPr>
        <w:t> </w:t>
      </w:r>
      <w:r>
        <w:rPr>
          <w:color w:val="231F20"/>
        </w:rPr>
        <w:t>sido</w:t>
      </w:r>
      <w:r>
        <w:rPr>
          <w:color w:val="231F20"/>
          <w:spacing w:val="80"/>
        </w:rPr>
        <w:t> </w:t>
      </w:r>
      <w:r>
        <w:rPr>
          <w:color w:val="231F20"/>
        </w:rPr>
        <w:t>revertida</w:t>
      </w:r>
      <w:r>
        <w:rPr>
          <w:color w:val="231F20"/>
          <w:spacing w:val="80"/>
        </w:rPr>
        <w:t> </w:t>
      </w:r>
      <w:r>
        <w:rPr>
          <w:color w:val="231F20"/>
        </w:rPr>
        <w:t>por el gobierno de Biden, de manera que persisten las afectaciones a empresas estadounidenses</w:t>
      </w:r>
      <w:r>
        <w:rPr>
          <w:color w:val="231F20"/>
          <w:spacing w:val="-2"/>
        </w:rPr>
        <w:t> </w:t>
      </w:r>
      <w:r>
        <w:rPr>
          <w:color w:val="231F20"/>
        </w:rPr>
        <w:t>y</w:t>
      </w:r>
      <w:r>
        <w:rPr>
          <w:color w:val="231F20"/>
          <w:spacing w:val="-2"/>
        </w:rPr>
        <w:t> </w:t>
      </w:r>
      <w:r>
        <w:rPr>
          <w:color w:val="231F20"/>
        </w:rPr>
        <w:t>de</w:t>
      </w:r>
      <w:r>
        <w:rPr>
          <w:color w:val="231F20"/>
          <w:spacing w:val="-1"/>
        </w:rPr>
        <w:t> </w:t>
      </w:r>
      <w:r>
        <w:rPr>
          <w:color w:val="231F20"/>
        </w:rPr>
        <w:t>terceros</w:t>
      </w:r>
      <w:r>
        <w:rPr>
          <w:color w:val="231F20"/>
          <w:spacing w:val="-2"/>
        </w:rPr>
        <w:t> </w:t>
      </w:r>
      <w:r>
        <w:rPr>
          <w:color w:val="231F20"/>
        </w:rPr>
        <w:t>países</w:t>
      </w:r>
      <w:r>
        <w:rPr>
          <w:color w:val="231F20"/>
          <w:spacing w:val="-2"/>
        </w:rPr>
        <w:t> </w:t>
      </w:r>
      <w:r>
        <w:rPr>
          <w:color w:val="231F20"/>
        </w:rPr>
        <w:t>que han realizado o realizan negocios con Cuba, así como a empresas nacionales.</w:t>
      </w:r>
    </w:p>
    <w:p>
      <w:pPr>
        <w:pStyle w:val="BodyText"/>
        <w:spacing w:before="164"/>
        <w:ind w:left="1133"/>
      </w:pPr>
      <w:r>
        <w:rPr>
          <w:color w:val="231F20"/>
        </w:rPr>
        <w:t>Hasta el 31 de marzo de 2023, se habían presentado un total de 42 demandas en virtud del Título III. Entre marzo de 2022</w:t>
      </w:r>
      <w:r>
        <w:rPr>
          <w:color w:val="231F20"/>
          <w:spacing w:val="80"/>
        </w:rPr>
        <w:t> </w:t>
      </w:r>
      <w:r>
        <w:rPr>
          <w:color w:val="231F20"/>
        </w:rPr>
        <w:t>y febrero de 2023, específicamente, se registraron los anuncios siguientes:</w:t>
      </w:r>
    </w:p>
    <w:p>
      <w:pPr>
        <w:pStyle w:val="BodyText"/>
        <w:spacing w:before="164"/>
        <w:ind w:left="1133" w:right="2"/>
      </w:pPr>
      <w:r>
        <w:rPr>
          <w:b/>
          <w:color w:val="231F20"/>
          <w:spacing w:val="-2"/>
        </w:rPr>
        <w:t>El</w:t>
      </w:r>
      <w:r>
        <w:rPr>
          <w:b/>
          <w:color w:val="231F20"/>
          <w:spacing w:val="-14"/>
        </w:rPr>
        <w:t> </w:t>
      </w:r>
      <w:r>
        <w:rPr>
          <w:b/>
          <w:color w:val="231F20"/>
          <w:spacing w:val="-2"/>
        </w:rPr>
        <w:t>22</w:t>
      </w:r>
      <w:r>
        <w:rPr>
          <w:b/>
          <w:color w:val="231F20"/>
          <w:spacing w:val="-14"/>
        </w:rPr>
        <w:t> </w:t>
      </w:r>
      <w:r>
        <w:rPr>
          <w:b/>
          <w:color w:val="231F20"/>
          <w:spacing w:val="-2"/>
        </w:rPr>
        <w:t>de</w:t>
      </w:r>
      <w:r>
        <w:rPr>
          <w:b/>
          <w:color w:val="231F20"/>
          <w:spacing w:val="-14"/>
        </w:rPr>
        <w:t> </w:t>
      </w:r>
      <w:r>
        <w:rPr>
          <w:b/>
          <w:color w:val="231F20"/>
          <w:spacing w:val="-2"/>
        </w:rPr>
        <w:t>marzo</w:t>
      </w:r>
      <w:r>
        <w:rPr>
          <w:b/>
          <w:color w:val="231F20"/>
          <w:spacing w:val="-14"/>
        </w:rPr>
        <w:t> </w:t>
      </w:r>
      <w:r>
        <w:rPr>
          <w:b/>
          <w:color w:val="231F20"/>
          <w:spacing w:val="-2"/>
        </w:rPr>
        <w:t>de</w:t>
      </w:r>
      <w:r>
        <w:rPr>
          <w:b/>
          <w:color w:val="231F20"/>
          <w:spacing w:val="-14"/>
        </w:rPr>
        <w:t> </w:t>
      </w:r>
      <w:r>
        <w:rPr>
          <w:b/>
          <w:color w:val="231F20"/>
          <w:spacing w:val="-2"/>
        </w:rPr>
        <w:t>2022</w:t>
      </w:r>
      <w:r>
        <w:rPr>
          <w:color w:val="231F20"/>
          <w:spacing w:val="-2"/>
        </w:rPr>
        <w:t>,</w:t>
      </w:r>
      <w:r>
        <w:rPr>
          <w:color w:val="231F20"/>
          <w:spacing w:val="-14"/>
        </w:rPr>
        <w:t> </w:t>
      </w:r>
      <w:r>
        <w:rPr>
          <w:color w:val="231F20"/>
          <w:spacing w:val="-2"/>
        </w:rPr>
        <w:t>los</w:t>
      </w:r>
      <w:r>
        <w:rPr>
          <w:color w:val="231F20"/>
          <w:spacing w:val="-14"/>
        </w:rPr>
        <w:t> </w:t>
      </w:r>
      <w:r>
        <w:rPr>
          <w:color w:val="231F20"/>
          <w:spacing w:val="-2"/>
        </w:rPr>
        <w:t>demandantes </w:t>
      </w:r>
      <w:r>
        <w:rPr>
          <w:color w:val="231F20"/>
        </w:rPr>
        <w:t>Richard Sierra, Veronica Gooch, Roland Sierra, Lucía Lleras De Labrada y Priscilla Lleras-Bush,</w:t>
      </w:r>
      <w:r>
        <w:rPr>
          <w:color w:val="231F20"/>
          <w:spacing w:val="-8"/>
        </w:rPr>
        <w:t> </w:t>
      </w:r>
      <w:r>
        <w:rPr>
          <w:color w:val="231F20"/>
        </w:rPr>
        <w:t>presentaron</w:t>
      </w:r>
      <w:r>
        <w:rPr>
          <w:color w:val="231F20"/>
          <w:spacing w:val="-8"/>
        </w:rPr>
        <w:t> </w:t>
      </w:r>
      <w:r>
        <w:rPr>
          <w:color w:val="231F20"/>
        </w:rPr>
        <w:t>una</w:t>
      </w:r>
      <w:r>
        <w:rPr>
          <w:color w:val="231F20"/>
          <w:spacing w:val="-8"/>
        </w:rPr>
        <w:t> </w:t>
      </w:r>
      <w:r>
        <w:rPr>
          <w:color w:val="231F20"/>
        </w:rPr>
        <w:t>reclamación </w:t>
      </w:r>
      <w:r>
        <w:rPr>
          <w:color w:val="231F20"/>
          <w:spacing w:val="-6"/>
        </w:rPr>
        <w:t>ante</w:t>
      </w:r>
      <w:r>
        <w:rPr>
          <w:color w:val="231F20"/>
          <w:spacing w:val="-11"/>
        </w:rPr>
        <w:t> </w:t>
      </w:r>
      <w:r>
        <w:rPr>
          <w:color w:val="231F20"/>
          <w:spacing w:val="-6"/>
        </w:rPr>
        <w:t>la</w:t>
      </w:r>
      <w:r>
        <w:rPr>
          <w:color w:val="231F20"/>
          <w:spacing w:val="-10"/>
        </w:rPr>
        <w:t> </w:t>
      </w:r>
      <w:r>
        <w:rPr>
          <w:color w:val="231F20"/>
          <w:spacing w:val="-6"/>
        </w:rPr>
        <w:t>Corte</w:t>
      </w:r>
      <w:r>
        <w:rPr>
          <w:color w:val="231F20"/>
          <w:spacing w:val="-11"/>
        </w:rPr>
        <w:t> </w:t>
      </w:r>
      <w:r>
        <w:rPr>
          <w:color w:val="231F20"/>
          <w:spacing w:val="-6"/>
        </w:rPr>
        <w:t>del</w:t>
      </w:r>
      <w:r>
        <w:rPr>
          <w:color w:val="231F20"/>
          <w:spacing w:val="-10"/>
        </w:rPr>
        <w:t> </w:t>
      </w:r>
      <w:r>
        <w:rPr>
          <w:color w:val="231F20"/>
          <w:spacing w:val="-6"/>
        </w:rPr>
        <w:t>Distrito</w:t>
      </w:r>
      <w:r>
        <w:rPr>
          <w:color w:val="231F20"/>
          <w:spacing w:val="-11"/>
        </w:rPr>
        <w:t> </w:t>
      </w:r>
      <w:r>
        <w:rPr>
          <w:color w:val="231F20"/>
          <w:spacing w:val="-6"/>
        </w:rPr>
        <w:t>de</w:t>
      </w:r>
      <w:r>
        <w:rPr>
          <w:color w:val="231F20"/>
          <w:spacing w:val="-10"/>
        </w:rPr>
        <w:t> </w:t>
      </w:r>
      <w:r>
        <w:rPr>
          <w:color w:val="231F20"/>
          <w:spacing w:val="-6"/>
        </w:rPr>
        <w:t>Delaware</w:t>
      </w:r>
      <w:r>
        <w:rPr>
          <w:color w:val="231F20"/>
          <w:spacing w:val="-11"/>
        </w:rPr>
        <w:t> </w:t>
      </w:r>
      <w:r>
        <w:rPr>
          <w:color w:val="231F20"/>
          <w:spacing w:val="-6"/>
        </w:rPr>
        <w:t>contra Trafigura</w:t>
      </w:r>
      <w:r>
        <w:rPr>
          <w:color w:val="231F20"/>
          <w:spacing w:val="-10"/>
        </w:rPr>
        <w:t> </w:t>
      </w:r>
      <w:r>
        <w:rPr>
          <w:color w:val="231F20"/>
          <w:spacing w:val="-6"/>
        </w:rPr>
        <w:t>Trading</w:t>
      </w:r>
      <w:r>
        <w:rPr>
          <w:color w:val="231F20"/>
          <w:spacing w:val="-10"/>
        </w:rPr>
        <w:t> </w:t>
      </w:r>
      <w:r>
        <w:rPr>
          <w:color w:val="231F20"/>
          <w:spacing w:val="-6"/>
        </w:rPr>
        <w:t>LLC,</w:t>
      </w:r>
      <w:r>
        <w:rPr>
          <w:color w:val="231F20"/>
          <w:spacing w:val="-10"/>
        </w:rPr>
        <w:t> </w:t>
      </w:r>
      <w:r>
        <w:rPr>
          <w:color w:val="231F20"/>
          <w:spacing w:val="-6"/>
        </w:rPr>
        <w:t>bajo</w:t>
      </w:r>
      <w:r>
        <w:rPr>
          <w:color w:val="231F20"/>
          <w:spacing w:val="-10"/>
        </w:rPr>
        <w:t> </w:t>
      </w:r>
      <w:r>
        <w:rPr>
          <w:color w:val="231F20"/>
          <w:spacing w:val="-6"/>
        </w:rPr>
        <w:t>el</w:t>
      </w:r>
      <w:r>
        <w:rPr>
          <w:color w:val="231F20"/>
          <w:spacing w:val="-10"/>
        </w:rPr>
        <w:t> </w:t>
      </w:r>
      <w:r>
        <w:rPr>
          <w:color w:val="231F20"/>
          <w:spacing w:val="-6"/>
        </w:rPr>
        <w:t>argumento</w:t>
      </w:r>
      <w:r>
        <w:rPr>
          <w:color w:val="231F20"/>
          <w:spacing w:val="-10"/>
        </w:rPr>
        <w:t> </w:t>
      </w:r>
      <w:r>
        <w:rPr>
          <w:color w:val="231F20"/>
          <w:spacing w:val="-6"/>
        </w:rPr>
        <w:t>de </w:t>
      </w:r>
      <w:r>
        <w:rPr>
          <w:color w:val="231F20"/>
          <w:spacing w:val="-8"/>
        </w:rPr>
        <w:t>ser</w:t>
      </w:r>
      <w:r>
        <w:rPr>
          <w:color w:val="231F20"/>
          <w:spacing w:val="-5"/>
        </w:rPr>
        <w:t> </w:t>
      </w:r>
      <w:r>
        <w:rPr>
          <w:color w:val="231F20"/>
          <w:spacing w:val="-8"/>
        </w:rPr>
        <w:t>accionistas de</w:t>
      </w:r>
      <w:r>
        <w:rPr>
          <w:color w:val="231F20"/>
          <w:spacing w:val="-5"/>
        </w:rPr>
        <w:t> </w:t>
      </w:r>
      <w:r>
        <w:rPr>
          <w:color w:val="231F20"/>
          <w:spacing w:val="-8"/>
        </w:rPr>
        <w:t>las compañías propietarias </w:t>
      </w:r>
      <w:r>
        <w:rPr>
          <w:color w:val="231F20"/>
        </w:rPr>
        <w:t>de las Minas de Matahambre, la terminal portuaria de Santa Lucía en Pinar del Río, muelles,</w:t>
      </w:r>
      <w:r>
        <w:rPr>
          <w:color w:val="231F20"/>
          <w:spacing w:val="-2"/>
        </w:rPr>
        <w:t> </w:t>
      </w:r>
      <w:r>
        <w:rPr>
          <w:color w:val="231F20"/>
        </w:rPr>
        <w:t>almacenes,</w:t>
      </w:r>
      <w:r>
        <w:rPr>
          <w:color w:val="231F20"/>
          <w:spacing w:val="-2"/>
        </w:rPr>
        <w:t> </w:t>
      </w:r>
      <w:r>
        <w:rPr>
          <w:color w:val="231F20"/>
        </w:rPr>
        <w:t>edificios</w:t>
      </w:r>
      <w:r>
        <w:rPr>
          <w:color w:val="231F20"/>
          <w:spacing w:val="-2"/>
        </w:rPr>
        <w:t> </w:t>
      </w:r>
      <w:r>
        <w:rPr>
          <w:color w:val="231F20"/>
        </w:rPr>
        <w:t>comerciales, </w:t>
      </w:r>
      <w:r>
        <w:rPr>
          <w:color w:val="231F20"/>
          <w:spacing w:val="-8"/>
        </w:rPr>
        <w:t>ranchos,</w:t>
      </w:r>
      <w:r>
        <w:rPr>
          <w:color w:val="231F20"/>
          <w:spacing w:val="-9"/>
        </w:rPr>
        <w:t> </w:t>
      </w:r>
      <w:r>
        <w:rPr>
          <w:color w:val="231F20"/>
          <w:spacing w:val="-8"/>
        </w:rPr>
        <w:t>carreteras, planta</w:t>
      </w:r>
      <w:r>
        <w:rPr>
          <w:color w:val="231F20"/>
          <w:spacing w:val="-9"/>
        </w:rPr>
        <w:t> </w:t>
      </w:r>
      <w:r>
        <w:rPr>
          <w:color w:val="231F20"/>
          <w:spacing w:val="-8"/>
        </w:rPr>
        <w:t>de procesamiento </w:t>
      </w:r>
      <w:r>
        <w:rPr>
          <w:color w:val="231F20"/>
        </w:rPr>
        <w:t>de</w:t>
      </w:r>
      <w:r>
        <w:rPr>
          <w:color w:val="231F20"/>
          <w:spacing w:val="-17"/>
        </w:rPr>
        <w:t> </w:t>
      </w:r>
      <w:r>
        <w:rPr>
          <w:color w:val="231F20"/>
        </w:rPr>
        <w:t>minerales,</w:t>
      </w:r>
      <w:r>
        <w:rPr>
          <w:color w:val="231F20"/>
          <w:spacing w:val="-16"/>
        </w:rPr>
        <w:t> </w:t>
      </w:r>
      <w:r>
        <w:rPr>
          <w:color w:val="231F20"/>
        </w:rPr>
        <w:t>entre</w:t>
      </w:r>
      <w:r>
        <w:rPr>
          <w:color w:val="231F20"/>
          <w:spacing w:val="-17"/>
        </w:rPr>
        <w:t> </w:t>
      </w:r>
      <w:r>
        <w:rPr>
          <w:color w:val="231F20"/>
        </w:rPr>
        <w:t>otras</w:t>
      </w:r>
      <w:r>
        <w:rPr>
          <w:color w:val="231F20"/>
          <w:spacing w:val="-16"/>
        </w:rPr>
        <w:t> </w:t>
      </w:r>
      <w:r>
        <w:rPr>
          <w:color w:val="231F20"/>
        </w:rPr>
        <w:t>propiedades</w:t>
      </w:r>
      <w:r>
        <w:rPr>
          <w:color w:val="231F20"/>
          <w:spacing w:val="-17"/>
        </w:rPr>
        <w:t> </w:t>
      </w:r>
      <w:r>
        <w:rPr>
          <w:color w:val="231F20"/>
        </w:rPr>
        <w:t>que fueron</w:t>
      </w:r>
      <w:r>
        <w:rPr>
          <w:color w:val="231F20"/>
          <w:spacing w:val="-6"/>
        </w:rPr>
        <w:t> </w:t>
      </w:r>
      <w:r>
        <w:rPr>
          <w:color w:val="231F20"/>
        </w:rPr>
        <w:t>nacionalizadas</w:t>
      </w:r>
      <w:r>
        <w:rPr>
          <w:color w:val="231F20"/>
          <w:spacing w:val="-6"/>
        </w:rPr>
        <w:t> </w:t>
      </w:r>
      <w:r>
        <w:rPr>
          <w:color w:val="231F20"/>
        </w:rPr>
        <w:t>después</w:t>
      </w:r>
      <w:r>
        <w:rPr>
          <w:color w:val="231F20"/>
          <w:spacing w:val="-6"/>
        </w:rPr>
        <w:t> </w:t>
      </w:r>
      <w:r>
        <w:rPr>
          <w:color w:val="231F20"/>
        </w:rPr>
        <w:t>del</w:t>
      </w:r>
      <w:r>
        <w:rPr>
          <w:color w:val="231F20"/>
          <w:spacing w:val="-6"/>
        </w:rPr>
        <w:t> </w:t>
      </w:r>
      <w:r>
        <w:rPr>
          <w:color w:val="231F20"/>
        </w:rPr>
        <w:t>triunfo de la Revolución en 1959.</w:t>
      </w:r>
    </w:p>
    <w:p>
      <w:pPr>
        <w:pStyle w:val="BodyText"/>
        <w:spacing w:before="171"/>
        <w:ind w:left="1133"/>
      </w:pPr>
      <w:r>
        <w:rPr>
          <w:b/>
          <w:color w:val="231F20"/>
        </w:rPr>
        <w:t>El 22 de marzo de 2022</w:t>
      </w:r>
      <w:r>
        <w:rPr>
          <w:color w:val="231F20"/>
        </w:rPr>
        <w:t>, la empresa demandante estadounidense Central Santa Lucía L.C, constituida justo antes del 12 de marzo de 1996 por la familia Sánchez</w:t>
      </w:r>
      <w:r>
        <w:rPr>
          <w:color w:val="231F20"/>
          <w:spacing w:val="-15"/>
        </w:rPr>
        <w:t> </w:t>
      </w:r>
      <w:r>
        <w:rPr>
          <w:color w:val="231F20"/>
        </w:rPr>
        <w:t>Hill,</w:t>
      </w:r>
      <w:r>
        <w:rPr>
          <w:color w:val="231F20"/>
          <w:spacing w:val="-15"/>
        </w:rPr>
        <w:t> </w:t>
      </w:r>
      <w:r>
        <w:rPr>
          <w:color w:val="231F20"/>
        </w:rPr>
        <w:t>y</w:t>
      </w:r>
      <w:r>
        <w:rPr>
          <w:color w:val="231F20"/>
          <w:spacing w:val="-15"/>
        </w:rPr>
        <w:t> </w:t>
      </w:r>
      <w:r>
        <w:rPr>
          <w:color w:val="231F20"/>
        </w:rPr>
        <w:t>que</w:t>
      </w:r>
      <w:r>
        <w:rPr>
          <w:color w:val="231F20"/>
          <w:spacing w:val="-15"/>
        </w:rPr>
        <w:t> </w:t>
      </w:r>
      <w:r>
        <w:rPr>
          <w:color w:val="231F20"/>
        </w:rPr>
        <w:t>alegan</w:t>
      </w:r>
      <w:r>
        <w:rPr>
          <w:color w:val="231F20"/>
          <w:spacing w:val="-15"/>
        </w:rPr>
        <w:t> </w:t>
      </w:r>
      <w:r>
        <w:rPr>
          <w:color w:val="231F20"/>
        </w:rPr>
        <w:t>ser</w:t>
      </w:r>
      <w:r>
        <w:rPr>
          <w:color w:val="231F20"/>
          <w:spacing w:val="-15"/>
        </w:rPr>
        <w:t> </w:t>
      </w:r>
      <w:r>
        <w:rPr>
          <w:color w:val="231F20"/>
        </w:rPr>
        <w:t>propietarios de la compañía cubana Central Santa Lucía Co. S.A, presentaron una </w:t>
      </w:r>
      <w:r>
        <w:rPr>
          <w:color w:val="231F20"/>
        </w:rPr>
        <w:t>demanda contra</w:t>
      </w:r>
      <w:r>
        <w:rPr>
          <w:color w:val="231F20"/>
          <w:spacing w:val="80"/>
        </w:rPr>
        <w:t> </w:t>
      </w:r>
      <w:r>
        <w:rPr>
          <w:color w:val="231F20"/>
        </w:rPr>
        <w:t>la</w:t>
      </w:r>
      <w:r>
        <w:rPr>
          <w:color w:val="231F20"/>
          <w:spacing w:val="80"/>
        </w:rPr>
        <w:t> </w:t>
      </w:r>
      <w:r>
        <w:rPr>
          <w:color w:val="231F20"/>
        </w:rPr>
        <w:t>empresa</w:t>
      </w:r>
      <w:r>
        <w:rPr>
          <w:color w:val="231F20"/>
          <w:spacing w:val="80"/>
        </w:rPr>
        <w:t> </w:t>
      </w:r>
      <w:r>
        <w:rPr>
          <w:color w:val="231F20"/>
        </w:rPr>
        <w:t>Expedia</w:t>
      </w:r>
      <w:r>
        <w:rPr>
          <w:color w:val="231F20"/>
          <w:spacing w:val="80"/>
        </w:rPr>
        <w:t> </w:t>
      </w:r>
      <w:r>
        <w:rPr>
          <w:color w:val="231F20"/>
        </w:rPr>
        <w:t>Group</w:t>
      </w:r>
      <w:r>
        <w:rPr>
          <w:color w:val="231F20"/>
          <w:spacing w:val="80"/>
        </w:rPr>
        <w:t> </w:t>
      </w:r>
      <w:r>
        <w:rPr>
          <w:color w:val="231F20"/>
        </w:rPr>
        <w:t>en la Corte del Distrito de Delaware. Los demandantes alegan que Expedia Group Inc. hizo arreglos de viaje para estancias en varios hoteles de lujo en Holguín o</w:t>
      </w:r>
      <w:r>
        <w:rPr>
          <w:color w:val="231F20"/>
          <w:spacing w:val="80"/>
        </w:rPr>
        <w:t> </w:t>
      </w:r>
      <w:r>
        <w:rPr>
          <w:color w:val="231F20"/>
        </w:rPr>
        <w:t>sus alrededores, que supuestamente se construyeron</w:t>
      </w:r>
      <w:r>
        <w:rPr>
          <w:color w:val="231F20"/>
          <w:spacing w:val="-7"/>
        </w:rPr>
        <w:t> </w:t>
      </w:r>
      <w:r>
        <w:rPr>
          <w:color w:val="231F20"/>
        </w:rPr>
        <w:t>en</w:t>
      </w:r>
      <w:r>
        <w:rPr>
          <w:color w:val="231F20"/>
          <w:spacing w:val="-7"/>
        </w:rPr>
        <w:t> </w:t>
      </w:r>
      <w:r>
        <w:rPr>
          <w:color w:val="231F20"/>
        </w:rPr>
        <w:t>terrenos</w:t>
      </w:r>
      <w:r>
        <w:rPr>
          <w:color w:val="231F20"/>
          <w:spacing w:val="-7"/>
        </w:rPr>
        <w:t> </w:t>
      </w:r>
      <w:r>
        <w:rPr>
          <w:color w:val="231F20"/>
        </w:rPr>
        <w:t>que</w:t>
      </w:r>
      <w:r>
        <w:rPr>
          <w:color w:val="231F20"/>
          <w:spacing w:val="-7"/>
        </w:rPr>
        <w:t> </w:t>
      </w:r>
      <w:r>
        <w:rPr>
          <w:color w:val="231F20"/>
        </w:rPr>
        <w:t>habían</w:t>
      </w:r>
      <w:r>
        <w:rPr>
          <w:color w:val="231F20"/>
          <w:spacing w:val="-7"/>
        </w:rPr>
        <w:t> </w:t>
      </w:r>
      <w:r>
        <w:rPr>
          <w:color w:val="231F20"/>
        </w:rPr>
        <w:t>sido propiedad de la empresa cubana.</w:t>
      </w:r>
    </w:p>
    <w:p>
      <w:pPr>
        <w:pStyle w:val="Heading2"/>
        <w:spacing w:line="204" w:lineRule="auto" w:before="121"/>
        <w:ind w:left="412" w:right="1436"/>
      </w:pPr>
      <w:r>
        <w:rPr/>
        <w:br w:type="column"/>
      </w:r>
      <w:r>
        <w:rPr>
          <w:color w:val="1A4796"/>
          <w:w w:val="115"/>
        </w:rPr>
        <w:t>Impacto de la inclusión de Cuba</w:t>
      </w:r>
      <w:r>
        <w:rPr>
          <w:color w:val="1A4796"/>
          <w:spacing w:val="-22"/>
          <w:w w:val="115"/>
        </w:rPr>
        <w:t> </w:t>
      </w:r>
      <w:r>
        <w:rPr>
          <w:color w:val="1A4796"/>
          <w:w w:val="115"/>
        </w:rPr>
        <w:t>en</w:t>
      </w:r>
      <w:r>
        <w:rPr>
          <w:color w:val="1A4796"/>
          <w:spacing w:val="-21"/>
          <w:w w:val="115"/>
        </w:rPr>
        <w:t> </w:t>
      </w:r>
      <w:r>
        <w:rPr>
          <w:color w:val="1A4796"/>
          <w:w w:val="115"/>
        </w:rPr>
        <w:t>la</w:t>
      </w:r>
      <w:r>
        <w:rPr>
          <w:color w:val="1A4796"/>
          <w:spacing w:val="-22"/>
          <w:w w:val="115"/>
        </w:rPr>
        <w:t> </w:t>
      </w:r>
      <w:r>
        <w:rPr>
          <w:color w:val="1A4796"/>
          <w:w w:val="115"/>
        </w:rPr>
        <w:t>Lista</w:t>
      </w:r>
      <w:r>
        <w:rPr>
          <w:color w:val="1A4796"/>
          <w:spacing w:val="-21"/>
          <w:w w:val="115"/>
        </w:rPr>
        <w:t> </w:t>
      </w:r>
      <w:r>
        <w:rPr>
          <w:color w:val="1A4796"/>
          <w:w w:val="115"/>
        </w:rPr>
        <w:t>unilateral</w:t>
      </w:r>
      <w:r>
        <w:rPr>
          <w:color w:val="1A4796"/>
          <w:spacing w:val="-21"/>
          <w:w w:val="115"/>
        </w:rPr>
        <w:t> </w:t>
      </w:r>
      <w:r>
        <w:rPr>
          <w:color w:val="1A4796"/>
          <w:w w:val="115"/>
        </w:rPr>
        <w:t>de Estados Patrocinadores</w:t>
      </w:r>
    </w:p>
    <w:p>
      <w:pPr>
        <w:spacing w:before="10"/>
        <w:ind w:left="412" w:right="0" w:firstLine="0"/>
        <w:jc w:val="left"/>
        <w:rPr>
          <w:rFonts w:ascii="Microsoft Sans Serif"/>
          <w:sz w:val="28"/>
        </w:rPr>
      </w:pPr>
      <w:r>
        <w:rPr>
          <w:rFonts w:ascii="Microsoft Sans Serif"/>
          <w:color w:val="1A4796"/>
          <w:w w:val="115"/>
          <w:sz w:val="28"/>
        </w:rPr>
        <w:t>del</w:t>
      </w:r>
      <w:r>
        <w:rPr>
          <w:rFonts w:ascii="Microsoft Sans Serif"/>
          <w:color w:val="1A4796"/>
          <w:spacing w:val="1"/>
          <w:w w:val="115"/>
          <w:sz w:val="28"/>
        </w:rPr>
        <w:t> </w:t>
      </w:r>
      <w:r>
        <w:rPr>
          <w:rFonts w:ascii="Microsoft Sans Serif"/>
          <w:color w:val="1A4796"/>
          <w:spacing w:val="-2"/>
          <w:w w:val="115"/>
          <w:sz w:val="28"/>
        </w:rPr>
        <w:t>Terrorismo</w:t>
      </w:r>
    </w:p>
    <w:p>
      <w:pPr>
        <w:pStyle w:val="BodyText"/>
        <w:spacing w:before="141"/>
        <w:ind w:left="412" w:right="1473"/>
      </w:pPr>
      <w:r>
        <w:rPr>
          <w:color w:val="231F20"/>
        </w:rPr>
        <w:t>El</w:t>
      </w:r>
      <w:r>
        <w:rPr>
          <w:color w:val="231F20"/>
          <w:spacing w:val="-5"/>
        </w:rPr>
        <w:t> </w:t>
      </w:r>
      <w:r>
        <w:rPr>
          <w:color w:val="231F20"/>
        </w:rPr>
        <w:t>11</w:t>
      </w:r>
      <w:r>
        <w:rPr>
          <w:color w:val="231F20"/>
          <w:spacing w:val="-5"/>
        </w:rPr>
        <w:t> </w:t>
      </w:r>
      <w:r>
        <w:rPr>
          <w:color w:val="231F20"/>
        </w:rPr>
        <w:t>de</w:t>
      </w:r>
      <w:r>
        <w:rPr>
          <w:color w:val="231F20"/>
          <w:spacing w:val="-5"/>
        </w:rPr>
        <w:t> </w:t>
      </w:r>
      <w:r>
        <w:rPr>
          <w:color w:val="231F20"/>
        </w:rPr>
        <w:t>enero</w:t>
      </w:r>
      <w:r>
        <w:rPr>
          <w:color w:val="231F20"/>
          <w:spacing w:val="-5"/>
        </w:rPr>
        <w:t> </w:t>
      </w:r>
      <w:r>
        <w:rPr>
          <w:color w:val="231F20"/>
        </w:rPr>
        <w:t>de</w:t>
      </w:r>
      <w:r>
        <w:rPr>
          <w:color w:val="231F20"/>
          <w:spacing w:val="-5"/>
        </w:rPr>
        <w:t> </w:t>
      </w:r>
      <w:r>
        <w:rPr>
          <w:color w:val="231F20"/>
        </w:rPr>
        <w:t>2021,</w:t>
      </w:r>
      <w:r>
        <w:rPr>
          <w:color w:val="231F20"/>
          <w:spacing w:val="-5"/>
        </w:rPr>
        <w:t> </w:t>
      </w:r>
      <w:r>
        <w:rPr>
          <w:color w:val="231F20"/>
        </w:rPr>
        <w:t>a</w:t>
      </w:r>
      <w:r>
        <w:rPr>
          <w:color w:val="231F20"/>
          <w:spacing w:val="-5"/>
        </w:rPr>
        <w:t> </w:t>
      </w:r>
      <w:r>
        <w:rPr>
          <w:color w:val="231F20"/>
        </w:rPr>
        <w:t>pocos</w:t>
      </w:r>
      <w:r>
        <w:rPr>
          <w:color w:val="231F20"/>
          <w:spacing w:val="-5"/>
        </w:rPr>
        <w:t> </w:t>
      </w:r>
      <w:r>
        <w:rPr>
          <w:color w:val="231F20"/>
        </w:rPr>
        <w:t>días</w:t>
      </w:r>
      <w:r>
        <w:rPr>
          <w:color w:val="231F20"/>
          <w:spacing w:val="-5"/>
        </w:rPr>
        <w:t> </w:t>
      </w:r>
      <w:r>
        <w:rPr>
          <w:color w:val="231F20"/>
        </w:rPr>
        <w:t>de</w:t>
      </w:r>
      <w:r>
        <w:rPr>
          <w:color w:val="231F20"/>
          <w:spacing w:val="-5"/>
        </w:rPr>
        <w:t> </w:t>
      </w:r>
      <w:r>
        <w:rPr>
          <w:color w:val="231F20"/>
        </w:rPr>
        <w:t>la salida</w:t>
      </w:r>
      <w:r>
        <w:rPr>
          <w:color w:val="231F20"/>
          <w:spacing w:val="-12"/>
        </w:rPr>
        <w:t> </w:t>
      </w:r>
      <w:r>
        <w:rPr>
          <w:color w:val="231F20"/>
        </w:rPr>
        <w:t>de</w:t>
      </w:r>
      <w:r>
        <w:rPr>
          <w:color w:val="231F20"/>
          <w:spacing w:val="-12"/>
        </w:rPr>
        <w:t> </w:t>
      </w:r>
      <w:r>
        <w:rPr>
          <w:color w:val="231F20"/>
        </w:rPr>
        <w:t>Donald</w:t>
      </w:r>
      <w:r>
        <w:rPr>
          <w:color w:val="231F20"/>
          <w:spacing w:val="-12"/>
        </w:rPr>
        <w:t> </w:t>
      </w:r>
      <w:r>
        <w:rPr>
          <w:color w:val="231F20"/>
        </w:rPr>
        <w:t>Trump</w:t>
      </w:r>
      <w:r>
        <w:rPr>
          <w:color w:val="231F20"/>
          <w:spacing w:val="-12"/>
        </w:rPr>
        <w:t> </w:t>
      </w:r>
      <w:r>
        <w:rPr>
          <w:color w:val="231F20"/>
        </w:rPr>
        <w:t>de</w:t>
      </w:r>
      <w:r>
        <w:rPr>
          <w:color w:val="231F20"/>
          <w:spacing w:val="-12"/>
        </w:rPr>
        <w:t> </w:t>
      </w:r>
      <w:r>
        <w:rPr>
          <w:color w:val="231F20"/>
        </w:rPr>
        <w:t>la</w:t>
      </w:r>
      <w:r>
        <w:rPr>
          <w:color w:val="231F20"/>
          <w:spacing w:val="-12"/>
        </w:rPr>
        <w:t> </w:t>
      </w:r>
      <w:r>
        <w:rPr>
          <w:color w:val="231F20"/>
        </w:rPr>
        <w:t>Casa</w:t>
      </w:r>
      <w:r>
        <w:rPr>
          <w:color w:val="231F20"/>
          <w:spacing w:val="-12"/>
        </w:rPr>
        <w:t> </w:t>
      </w:r>
      <w:r>
        <w:rPr>
          <w:color w:val="231F20"/>
        </w:rPr>
        <w:t>Blanca, el</w:t>
      </w:r>
      <w:r>
        <w:rPr>
          <w:color w:val="231F20"/>
          <w:spacing w:val="-13"/>
        </w:rPr>
        <w:t> </w:t>
      </w:r>
      <w:r>
        <w:rPr>
          <w:color w:val="231F20"/>
        </w:rPr>
        <w:t>Departamento</w:t>
      </w:r>
      <w:r>
        <w:rPr>
          <w:color w:val="231F20"/>
          <w:spacing w:val="-13"/>
        </w:rPr>
        <w:t> </w:t>
      </w:r>
      <w:r>
        <w:rPr>
          <w:color w:val="231F20"/>
        </w:rPr>
        <w:t>de</w:t>
      </w:r>
      <w:r>
        <w:rPr>
          <w:color w:val="231F20"/>
          <w:spacing w:val="-13"/>
        </w:rPr>
        <w:t> </w:t>
      </w:r>
      <w:r>
        <w:rPr>
          <w:color w:val="231F20"/>
        </w:rPr>
        <w:t>Estado</w:t>
      </w:r>
      <w:r>
        <w:rPr>
          <w:color w:val="231F20"/>
          <w:spacing w:val="-13"/>
        </w:rPr>
        <w:t> </w:t>
      </w:r>
      <w:r>
        <w:rPr>
          <w:color w:val="231F20"/>
        </w:rPr>
        <w:t>de</w:t>
      </w:r>
      <w:r>
        <w:rPr>
          <w:color w:val="231F20"/>
          <w:spacing w:val="-13"/>
        </w:rPr>
        <w:t> </w:t>
      </w:r>
      <w:r>
        <w:rPr>
          <w:color w:val="231F20"/>
        </w:rPr>
        <w:t>los</w:t>
      </w:r>
      <w:r>
        <w:rPr>
          <w:color w:val="231F20"/>
          <w:spacing w:val="-13"/>
        </w:rPr>
        <w:t> </w:t>
      </w:r>
      <w:r>
        <w:rPr>
          <w:color w:val="231F20"/>
        </w:rPr>
        <w:t>Estados Unidos anunció la reinserción de Cuba</w:t>
      </w:r>
      <w:r>
        <w:rPr>
          <w:color w:val="231F20"/>
          <w:spacing w:val="80"/>
        </w:rPr>
        <w:t> </w:t>
      </w:r>
      <w:r>
        <w:rPr>
          <w:color w:val="231F20"/>
        </w:rPr>
        <w:t>en la Lista de Estados patrocinadores del terrorismo, sobre la base de argumentos </w:t>
      </w:r>
      <w:r>
        <w:rPr>
          <w:color w:val="231F20"/>
          <w:spacing w:val="-6"/>
        </w:rPr>
        <w:t>inconsistentes</w:t>
      </w:r>
      <w:r>
        <w:rPr>
          <w:color w:val="231F20"/>
          <w:spacing w:val="-11"/>
        </w:rPr>
        <w:t> </w:t>
      </w:r>
      <w:r>
        <w:rPr>
          <w:color w:val="231F20"/>
          <w:spacing w:val="-6"/>
        </w:rPr>
        <w:t>y</w:t>
      </w:r>
      <w:r>
        <w:rPr>
          <w:color w:val="231F20"/>
          <w:spacing w:val="-10"/>
        </w:rPr>
        <w:t> </w:t>
      </w:r>
      <w:r>
        <w:rPr>
          <w:color w:val="231F20"/>
          <w:spacing w:val="-6"/>
        </w:rPr>
        <w:t>sin</w:t>
      </w:r>
      <w:r>
        <w:rPr>
          <w:color w:val="231F20"/>
          <w:spacing w:val="-11"/>
        </w:rPr>
        <w:t> </w:t>
      </w:r>
      <w:r>
        <w:rPr>
          <w:color w:val="231F20"/>
          <w:spacing w:val="-6"/>
        </w:rPr>
        <w:t>evidencias.</w:t>
      </w:r>
      <w:r>
        <w:rPr>
          <w:color w:val="231F20"/>
          <w:spacing w:val="-10"/>
        </w:rPr>
        <w:t> </w:t>
      </w:r>
      <w:r>
        <w:rPr>
          <w:color w:val="231F20"/>
          <w:spacing w:val="-6"/>
        </w:rPr>
        <w:t>En</w:t>
      </w:r>
      <w:r>
        <w:rPr>
          <w:color w:val="231F20"/>
          <w:spacing w:val="-11"/>
        </w:rPr>
        <w:t> </w:t>
      </w:r>
      <w:r>
        <w:rPr>
          <w:color w:val="231F20"/>
          <w:spacing w:val="-6"/>
        </w:rPr>
        <w:t>el</w:t>
      </w:r>
      <w:r>
        <w:rPr>
          <w:color w:val="231F20"/>
          <w:spacing w:val="-10"/>
        </w:rPr>
        <w:t> </w:t>
      </w:r>
      <w:r>
        <w:rPr>
          <w:color w:val="231F20"/>
          <w:spacing w:val="-6"/>
        </w:rPr>
        <w:t>período </w:t>
      </w:r>
      <w:r>
        <w:rPr>
          <w:color w:val="231F20"/>
        </w:rPr>
        <w:t>que cubre este informe, el gobierno de Biden</w:t>
      </w:r>
      <w:r>
        <w:rPr>
          <w:color w:val="231F20"/>
          <w:spacing w:val="-17"/>
        </w:rPr>
        <w:t> </w:t>
      </w:r>
      <w:r>
        <w:rPr>
          <w:color w:val="231F20"/>
        </w:rPr>
        <w:t>mantuvo</w:t>
      </w:r>
      <w:r>
        <w:rPr>
          <w:color w:val="231F20"/>
          <w:spacing w:val="-16"/>
        </w:rPr>
        <w:t> </w:t>
      </w:r>
      <w:r>
        <w:rPr>
          <w:color w:val="231F20"/>
        </w:rPr>
        <w:t>esta</w:t>
      </w:r>
      <w:r>
        <w:rPr>
          <w:color w:val="231F20"/>
          <w:spacing w:val="-17"/>
        </w:rPr>
        <w:t> </w:t>
      </w:r>
      <w:r>
        <w:rPr>
          <w:color w:val="231F20"/>
        </w:rPr>
        <w:t>designación,</w:t>
      </w:r>
      <w:r>
        <w:rPr>
          <w:color w:val="231F20"/>
          <w:spacing w:val="-16"/>
        </w:rPr>
        <w:t> </w:t>
      </w:r>
      <w:r>
        <w:rPr>
          <w:color w:val="231F20"/>
        </w:rPr>
        <w:t>con</w:t>
      </w:r>
      <w:r>
        <w:rPr>
          <w:color w:val="231F20"/>
          <w:spacing w:val="-17"/>
        </w:rPr>
        <w:t> </w:t>
      </w:r>
      <w:r>
        <w:rPr>
          <w:color w:val="231F20"/>
        </w:rPr>
        <w:t>total conocimiento de que los pretextos que la justificaron fueron deshonestos.</w:t>
      </w:r>
    </w:p>
    <w:p>
      <w:pPr>
        <w:pStyle w:val="BodyText"/>
        <w:spacing w:before="168"/>
        <w:ind w:left="412" w:right="1471"/>
      </w:pPr>
      <w:r>
        <w:rPr>
          <w:color w:val="231F20"/>
        </w:rPr>
        <w:t>La presencia en la Lista de Estados patrocinadores del terrorismo genera </w:t>
      </w:r>
      <w:r>
        <w:rPr>
          <w:color w:val="231F20"/>
          <w:spacing w:val="-6"/>
        </w:rPr>
        <w:t>consecuencias severas para la economía del </w:t>
      </w:r>
      <w:r>
        <w:rPr>
          <w:color w:val="231F20"/>
        </w:rPr>
        <w:t>país,</w:t>
      </w:r>
      <w:r>
        <w:rPr>
          <w:color w:val="231F20"/>
          <w:spacing w:val="-17"/>
        </w:rPr>
        <w:t> </w:t>
      </w:r>
      <w:r>
        <w:rPr>
          <w:color w:val="231F20"/>
        </w:rPr>
        <w:t>principalmente</w:t>
      </w:r>
      <w:r>
        <w:rPr>
          <w:color w:val="231F20"/>
          <w:spacing w:val="-16"/>
        </w:rPr>
        <w:t> </w:t>
      </w:r>
      <w:r>
        <w:rPr>
          <w:color w:val="231F20"/>
        </w:rPr>
        <w:t>en</w:t>
      </w:r>
      <w:r>
        <w:rPr>
          <w:color w:val="231F20"/>
          <w:spacing w:val="-17"/>
        </w:rPr>
        <w:t> </w:t>
      </w:r>
      <w:r>
        <w:rPr>
          <w:color w:val="231F20"/>
        </w:rPr>
        <w:t>el</w:t>
      </w:r>
      <w:r>
        <w:rPr>
          <w:color w:val="231F20"/>
          <w:spacing w:val="-16"/>
        </w:rPr>
        <w:t> </w:t>
      </w:r>
      <w:r>
        <w:rPr>
          <w:color w:val="231F20"/>
        </w:rPr>
        <w:t>sector</w:t>
      </w:r>
      <w:r>
        <w:rPr>
          <w:color w:val="231F20"/>
          <w:spacing w:val="-17"/>
        </w:rPr>
        <w:t> </w:t>
      </w:r>
      <w:r>
        <w:rPr>
          <w:color w:val="231F20"/>
        </w:rPr>
        <w:t>bancario- financiero, al tiempo que refuerza los efectos disuasivos e intimidatorios hacia terceros en sus relaciones comerciales con Cuba. Su impacto no solo resulta en extremo</w:t>
      </w:r>
      <w:r>
        <w:rPr>
          <w:color w:val="231F20"/>
          <w:spacing w:val="-5"/>
        </w:rPr>
        <w:t> </w:t>
      </w:r>
      <w:r>
        <w:rPr>
          <w:color w:val="231F20"/>
        </w:rPr>
        <w:t>perjudicial</w:t>
      </w:r>
      <w:r>
        <w:rPr>
          <w:color w:val="231F20"/>
          <w:spacing w:val="-5"/>
        </w:rPr>
        <w:t> </w:t>
      </w:r>
      <w:r>
        <w:rPr>
          <w:color w:val="231F20"/>
        </w:rPr>
        <w:t>para</w:t>
      </w:r>
      <w:r>
        <w:rPr>
          <w:color w:val="231F20"/>
          <w:spacing w:val="-5"/>
        </w:rPr>
        <w:t> </w:t>
      </w:r>
      <w:r>
        <w:rPr>
          <w:color w:val="231F20"/>
        </w:rPr>
        <w:t>el</w:t>
      </w:r>
      <w:r>
        <w:rPr>
          <w:color w:val="231F20"/>
          <w:spacing w:val="-5"/>
        </w:rPr>
        <w:t> </w:t>
      </w:r>
      <w:r>
        <w:rPr>
          <w:color w:val="231F20"/>
        </w:rPr>
        <w:t>comercio,</w:t>
      </w:r>
      <w:r>
        <w:rPr>
          <w:color w:val="231F20"/>
          <w:spacing w:val="-5"/>
        </w:rPr>
        <w:t> </w:t>
      </w:r>
      <w:r>
        <w:rPr>
          <w:color w:val="231F20"/>
        </w:rPr>
        <w:t>sino también</w:t>
      </w:r>
      <w:r>
        <w:rPr>
          <w:color w:val="231F20"/>
          <w:spacing w:val="-10"/>
        </w:rPr>
        <w:t> </w:t>
      </w:r>
      <w:r>
        <w:rPr>
          <w:color w:val="231F20"/>
        </w:rPr>
        <w:t>para</w:t>
      </w:r>
      <w:r>
        <w:rPr>
          <w:color w:val="231F20"/>
          <w:spacing w:val="-10"/>
        </w:rPr>
        <w:t> </w:t>
      </w:r>
      <w:r>
        <w:rPr>
          <w:color w:val="231F20"/>
        </w:rPr>
        <w:t>las</w:t>
      </w:r>
      <w:r>
        <w:rPr>
          <w:color w:val="231F20"/>
          <w:spacing w:val="-10"/>
        </w:rPr>
        <w:t> </w:t>
      </w:r>
      <w:r>
        <w:rPr>
          <w:color w:val="231F20"/>
        </w:rPr>
        <w:t>posibilidades</w:t>
      </w:r>
      <w:r>
        <w:rPr>
          <w:color w:val="231F20"/>
          <w:spacing w:val="-10"/>
        </w:rPr>
        <w:t> </w:t>
      </w:r>
      <w:r>
        <w:rPr>
          <w:color w:val="231F20"/>
        </w:rPr>
        <w:t>de</w:t>
      </w:r>
      <w:r>
        <w:rPr>
          <w:color w:val="231F20"/>
          <w:spacing w:val="-10"/>
        </w:rPr>
        <w:t> </w:t>
      </w:r>
      <w:r>
        <w:rPr>
          <w:color w:val="231F20"/>
        </w:rPr>
        <w:t>obtener créditos y realizar pagos de bienes e </w:t>
      </w:r>
      <w:r>
        <w:rPr>
          <w:color w:val="231F20"/>
          <w:spacing w:val="-2"/>
        </w:rPr>
        <w:t>insumos</w:t>
      </w:r>
      <w:r>
        <w:rPr>
          <w:color w:val="231F20"/>
          <w:spacing w:val="-9"/>
        </w:rPr>
        <w:t> </w:t>
      </w:r>
      <w:r>
        <w:rPr>
          <w:color w:val="231F20"/>
          <w:spacing w:val="-2"/>
        </w:rPr>
        <w:t>imprescindibles</w:t>
      </w:r>
      <w:r>
        <w:rPr>
          <w:color w:val="231F20"/>
          <w:spacing w:val="-9"/>
        </w:rPr>
        <w:t> </w:t>
      </w:r>
      <w:r>
        <w:rPr>
          <w:color w:val="231F20"/>
          <w:spacing w:val="-2"/>
        </w:rPr>
        <w:t>para</w:t>
      </w:r>
      <w:r>
        <w:rPr>
          <w:color w:val="231F20"/>
          <w:spacing w:val="-9"/>
        </w:rPr>
        <w:t> </w:t>
      </w:r>
      <w:r>
        <w:rPr>
          <w:color w:val="231F20"/>
          <w:spacing w:val="-2"/>
        </w:rPr>
        <w:t>el</w:t>
      </w:r>
      <w:r>
        <w:rPr>
          <w:color w:val="231F20"/>
          <w:spacing w:val="-9"/>
        </w:rPr>
        <w:t> </w:t>
      </w:r>
      <w:r>
        <w:rPr>
          <w:color w:val="231F20"/>
          <w:spacing w:val="-2"/>
        </w:rPr>
        <w:t>desarrollo </w:t>
      </w:r>
      <w:r>
        <w:rPr>
          <w:color w:val="231F20"/>
        </w:rPr>
        <w:t>del país.</w:t>
      </w:r>
    </w:p>
    <w:p>
      <w:pPr>
        <w:pStyle w:val="BodyText"/>
        <w:spacing w:before="170"/>
        <w:ind w:left="412" w:right="1472"/>
      </w:pPr>
      <w:r>
        <w:rPr>
          <w:color w:val="231F20"/>
        </w:rPr>
        <w:t>Debido a la calificación como Estado que supuestamente patrocina el terrorismo, en</w:t>
      </w:r>
      <w:r>
        <w:rPr>
          <w:color w:val="231F20"/>
          <w:spacing w:val="80"/>
          <w:w w:val="150"/>
        </w:rPr>
        <w:t> </w:t>
      </w:r>
      <w:r>
        <w:rPr>
          <w:color w:val="231F20"/>
        </w:rPr>
        <w:t>el</w:t>
      </w:r>
      <w:r>
        <w:rPr>
          <w:color w:val="231F20"/>
          <w:spacing w:val="80"/>
          <w:w w:val="150"/>
        </w:rPr>
        <w:t> </w:t>
      </w:r>
      <w:r>
        <w:rPr>
          <w:color w:val="231F20"/>
        </w:rPr>
        <w:t>período</w:t>
      </w:r>
      <w:r>
        <w:rPr>
          <w:color w:val="231F20"/>
          <w:spacing w:val="80"/>
          <w:w w:val="150"/>
        </w:rPr>
        <w:t> </w:t>
      </w:r>
      <w:r>
        <w:rPr>
          <w:color w:val="231F20"/>
        </w:rPr>
        <w:t>numerosas</w:t>
      </w:r>
      <w:r>
        <w:rPr>
          <w:color w:val="231F20"/>
          <w:spacing w:val="80"/>
          <w:w w:val="150"/>
        </w:rPr>
        <w:t> </w:t>
      </w:r>
      <w:r>
        <w:rPr>
          <w:color w:val="231F20"/>
        </w:rPr>
        <w:t>compañías</w:t>
      </w:r>
      <w:r>
        <w:rPr>
          <w:color w:val="231F20"/>
          <w:spacing w:val="40"/>
        </w:rPr>
        <w:t> </w:t>
      </w:r>
      <w:r>
        <w:rPr>
          <w:color w:val="231F20"/>
        </w:rPr>
        <w:t>y entidades financieras del mundo se rehusaron a operar con Cuba por temor</w:t>
      </w:r>
      <w:r>
        <w:rPr>
          <w:color w:val="231F20"/>
          <w:spacing w:val="80"/>
        </w:rPr>
        <w:t> </w:t>
      </w:r>
      <w:r>
        <w:rPr>
          <w:color w:val="231F20"/>
        </w:rPr>
        <w:t>a represalias del gobierno de los Estados </w:t>
      </w:r>
      <w:r>
        <w:rPr>
          <w:color w:val="231F20"/>
          <w:spacing w:val="-4"/>
        </w:rPr>
        <w:t>Unidos,</w:t>
      </w:r>
      <w:r>
        <w:rPr>
          <w:color w:val="231F20"/>
          <w:spacing w:val="-6"/>
        </w:rPr>
        <w:t> </w:t>
      </w:r>
      <w:r>
        <w:rPr>
          <w:color w:val="231F20"/>
          <w:spacing w:val="-4"/>
        </w:rPr>
        <w:t>específicamente</w:t>
      </w:r>
      <w:r>
        <w:rPr>
          <w:color w:val="231F20"/>
          <w:spacing w:val="-6"/>
        </w:rPr>
        <w:t> </w:t>
      </w:r>
      <w:r>
        <w:rPr>
          <w:color w:val="231F20"/>
          <w:spacing w:val="-4"/>
        </w:rPr>
        <w:t>del</w:t>
      </w:r>
      <w:r>
        <w:rPr>
          <w:color w:val="231F20"/>
          <w:spacing w:val="-6"/>
        </w:rPr>
        <w:t> </w:t>
      </w:r>
      <w:r>
        <w:rPr>
          <w:color w:val="231F20"/>
          <w:spacing w:val="-4"/>
        </w:rPr>
        <w:t>Departamento </w:t>
      </w:r>
      <w:r>
        <w:rPr>
          <w:color w:val="231F20"/>
        </w:rPr>
        <w:t>del Tesoro.</w:t>
      </w:r>
    </w:p>
    <w:p>
      <w:pPr>
        <w:pStyle w:val="BodyText"/>
        <w:spacing w:before="167"/>
        <w:ind w:left="412" w:right="1472"/>
      </w:pPr>
      <w:r>
        <w:rPr>
          <w:color w:val="231F20"/>
        </w:rPr>
        <w:t>Decenas de bancos suspendieron sus operaciones con el país, incluyendo </w:t>
      </w:r>
      <w:r>
        <w:rPr>
          <w:color w:val="231F20"/>
          <w:spacing w:val="-4"/>
        </w:rPr>
        <w:t>transferencias</w:t>
      </w:r>
      <w:r>
        <w:rPr>
          <w:color w:val="231F20"/>
          <w:spacing w:val="-11"/>
        </w:rPr>
        <w:t> </w:t>
      </w:r>
      <w:r>
        <w:rPr>
          <w:color w:val="231F20"/>
          <w:spacing w:val="-4"/>
        </w:rPr>
        <w:t>para</w:t>
      </w:r>
      <w:r>
        <w:rPr>
          <w:color w:val="231F20"/>
          <w:spacing w:val="-11"/>
        </w:rPr>
        <w:t> </w:t>
      </w:r>
      <w:r>
        <w:rPr>
          <w:color w:val="231F20"/>
          <w:spacing w:val="-4"/>
        </w:rPr>
        <w:t>la</w:t>
      </w:r>
      <w:r>
        <w:rPr>
          <w:color w:val="231F20"/>
          <w:spacing w:val="-11"/>
        </w:rPr>
        <w:t> </w:t>
      </w:r>
      <w:r>
        <w:rPr>
          <w:color w:val="231F20"/>
          <w:spacing w:val="-4"/>
        </w:rPr>
        <w:t>compra</w:t>
      </w:r>
      <w:r>
        <w:rPr>
          <w:color w:val="231F20"/>
          <w:spacing w:val="-11"/>
        </w:rPr>
        <w:t> </w:t>
      </w:r>
      <w:r>
        <w:rPr>
          <w:color w:val="231F20"/>
          <w:spacing w:val="-4"/>
        </w:rPr>
        <w:t>de</w:t>
      </w:r>
      <w:r>
        <w:rPr>
          <w:color w:val="231F20"/>
          <w:spacing w:val="-11"/>
        </w:rPr>
        <w:t> </w:t>
      </w:r>
      <w:r>
        <w:rPr>
          <w:color w:val="231F20"/>
          <w:spacing w:val="-4"/>
        </w:rPr>
        <w:t>alimentos, </w:t>
      </w:r>
      <w:r>
        <w:rPr>
          <w:color w:val="231F20"/>
        </w:rPr>
        <w:t>medicamentos, combustibles, materiales, piezas y otros bienes. Debido a esta posición</w:t>
      </w:r>
      <w:r>
        <w:rPr>
          <w:color w:val="231F20"/>
          <w:spacing w:val="-12"/>
        </w:rPr>
        <w:t> </w:t>
      </w:r>
      <w:r>
        <w:rPr>
          <w:color w:val="231F20"/>
        </w:rPr>
        <w:t>de</w:t>
      </w:r>
      <w:r>
        <w:rPr>
          <w:color w:val="231F20"/>
          <w:spacing w:val="-12"/>
        </w:rPr>
        <w:t> </w:t>
      </w:r>
      <w:r>
        <w:rPr>
          <w:color w:val="231F20"/>
        </w:rPr>
        <w:t>varias</w:t>
      </w:r>
      <w:r>
        <w:rPr>
          <w:color w:val="231F20"/>
          <w:spacing w:val="-12"/>
        </w:rPr>
        <w:t> </w:t>
      </w:r>
      <w:r>
        <w:rPr>
          <w:color w:val="231F20"/>
        </w:rPr>
        <w:t>instituciones</w:t>
      </w:r>
      <w:r>
        <w:rPr>
          <w:color w:val="231F20"/>
          <w:spacing w:val="-11"/>
        </w:rPr>
        <w:t> </w:t>
      </w:r>
      <w:r>
        <w:rPr>
          <w:color w:val="231F20"/>
          <w:spacing w:val="-2"/>
        </w:rPr>
        <w:t>financieras</w:t>
      </w:r>
    </w:p>
    <w:p>
      <w:pPr>
        <w:spacing w:after="0"/>
        <w:sectPr>
          <w:pgSz w:w="11910" w:h="16840"/>
          <w:pgMar w:header="0" w:footer="695" w:top="1220" w:bottom="880" w:left="0" w:right="0"/>
          <w:cols w:num="2" w:equalWidth="0">
            <w:col w:w="5557" w:space="40"/>
            <w:col w:w="6313"/>
          </w:cols>
        </w:sectPr>
      </w:pPr>
    </w:p>
    <w:p>
      <w:pPr>
        <w:pStyle w:val="BodyText"/>
        <w:spacing w:before="77"/>
        <w:ind w:left="1474"/>
      </w:pPr>
      <w:r>
        <w:rPr>
          <w:color w:val="231F20"/>
        </w:rPr>
        <w:t>para el pago a los proveedores, y ante la imposibilidad</w:t>
      </w:r>
      <w:r>
        <w:rPr>
          <w:color w:val="231F20"/>
          <w:spacing w:val="-17"/>
        </w:rPr>
        <w:t> </w:t>
      </w:r>
      <w:r>
        <w:rPr>
          <w:color w:val="231F20"/>
        </w:rPr>
        <w:t>de</w:t>
      </w:r>
      <w:r>
        <w:rPr>
          <w:color w:val="231F20"/>
          <w:spacing w:val="-16"/>
        </w:rPr>
        <w:t> </w:t>
      </w:r>
      <w:r>
        <w:rPr>
          <w:color w:val="231F20"/>
        </w:rPr>
        <w:t>acceder</w:t>
      </w:r>
      <w:r>
        <w:rPr>
          <w:color w:val="231F20"/>
          <w:spacing w:val="-16"/>
        </w:rPr>
        <w:t> </w:t>
      </w:r>
      <w:r>
        <w:rPr>
          <w:color w:val="231F20"/>
        </w:rPr>
        <w:t>a</w:t>
      </w:r>
      <w:r>
        <w:rPr>
          <w:color w:val="231F20"/>
          <w:spacing w:val="-17"/>
        </w:rPr>
        <w:t> </w:t>
      </w:r>
      <w:r>
        <w:rPr>
          <w:color w:val="231F20"/>
        </w:rPr>
        <w:t>rutas</w:t>
      </w:r>
      <w:r>
        <w:rPr>
          <w:color w:val="231F20"/>
          <w:spacing w:val="-16"/>
        </w:rPr>
        <w:t> </w:t>
      </w:r>
      <w:r>
        <w:rPr>
          <w:color w:val="231F20"/>
        </w:rPr>
        <w:t>logísticas </w:t>
      </w:r>
      <w:r>
        <w:rPr>
          <w:color w:val="231F20"/>
          <w:spacing w:val="-6"/>
        </w:rPr>
        <w:t>más rápidas y expeditas, Cuba debió asumir </w:t>
      </w:r>
      <w:r>
        <w:rPr>
          <w:color w:val="231F20"/>
        </w:rPr>
        <w:t>elevados costos adicionales para adquirir insumos de prioridad.</w:t>
      </w:r>
    </w:p>
    <w:p>
      <w:pPr>
        <w:pStyle w:val="BodyText"/>
        <w:spacing w:before="164"/>
        <w:ind w:left="1474"/>
      </w:pPr>
      <w:r>
        <w:rPr>
          <w:color w:val="231F20"/>
          <w:spacing w:val="-6"/>
        </w:rPr>
        <w:t>Asimismo,</w:t>
      </w:r>
      <w:r>
        <w:rPr>
          <w:color w:val="231F20"/>
          <w:spacing w:val="-8"/>
        </w:rPr>
        <w:t> </w:t>
      </w:r>
      <w:r>
        <w:rPr>
          <w:color w:val="231F20"/>
          <w:spacing w:val="-6"/>
        </w:rPr>
        <w:t>más</w:t>
      </w:r>
      <w:r>
        <w:rPr>
          <w:color w:val="231F20"/>
          <w:spacing w:val="-8"/>
        </w:rPr>
        <w:t> </w:t>
      </w:r>
      <w:r>
        <w:rPr>
          <w:color w:val="231F20"/>
          <w:spacing w:val="-6"/>
        </w:rPr>
        <w:t>de</w:t>
      </w:r>
      <w:r>
        <w:rPr>
          <w:color w:val="231F20"/>
          <w:spacing w:val="-8"/>
        </w:rPr>
        <w:t> </w:t>
      </w:r>
      <w:r>
        <w:rPr>
          <w:color w:val="231F20"/>
          <w:spacing w:val="-6"/>
        </w:rPr>
        <w:t>50</w:t>
      </w:r>
      <w:r>
        <w:rPr>
          <w:color w:val="231F20"/>
          <w:spacing w:val="-8"/>
        </w:rPr>
        <w:t> </w:t>
      </w:r>
      <w:r>
        <w:rPr>
          <w:color w:val="231F20"/>
          <w:spacing w:val="-6"/>
        </w:rPr>
        <w:t>misiones</w:t>
      </w:r>
      <w:r>
        <w:rPr>
          <w:color w:val="231F20"/>
          <w:spacing w:val="-8"/>
        </w:rPr>
        <w:t> </w:t>
      </w:r>
      <w:r>
        <w:rPr>
          <w:color w:val="231F20"/>
          <w:spacing w:val="-6"/>
        </w:rPr>
        <w:t>diplomáticas </w:t>
      </w:r>
      <w:r>
        <w:rPr>
          <w:color w:val="231F20"/>
        </w:rPr>
        <w:t>cubanas enfrentaron dificultades con las entidades</w:t>
      </w:r>
      <w:r>
        <w:rPr>
          <w:color w:val="231F20"/>
          <w:spacing w:val="-12"/>
        </w:rPr>
        <w:t> </w:t>
      </w:r>
      <w:r>
        <w:rPr>
          <w:color w:val="231F20"/>
        </w:rPr>
        <w:t>bancarias</w:t>
      </w:r>
      <w:r>
        <w:rPr>
          <w:color w:val="231F20"/>
          <w:spacing w:val="-12"/>
        </w:rPr>
        <w:t> </w:t>
      </w:r>
      <w:r>
        <w:rPr>
          <w:color w:val="231F20"/>
        </w:rPr>
        <w:t>que</w:t>
      </w:r>
      <w:r>
        <w:rPr>
          <w:color w:val="231F20"/>
          <w:spacing w:val="-12"/>
        </w:rPr>
        <w:t> </w:t>
      </w:r>
      <w:r>
        <w:rPr>
          <w:color w:val="231F20"/>
        </w:rPr>
        <w:t>tradicionalmente les prestaban servicios, situación que afectó</w:t>
      </w:r>
      <w:r>
        <w:rPr>
          <w:color w:val="231F20"/>
          <w:spacing w:val="-14"/>
        </w:rPr>
        <w:t> </w:t>
      </w:r>
      <w:r>
        <w:rPr>
          <w:color w:val="231F20"/>
        </w:rPr>
        <w:t>el</w:t>
      </w:r>
      <w:r>
        <w:rPr>
          <w:color w:val="231F20"/>
          <w:spacing w:val="-14"/>
        </w:rPr>
        <w:t> </w:t>
      </w:r>
      <w:r>
        <w:rPr>
          <w:color w:val="231F20"/>
        </w:rPr>
        <w:t>funcionamiento</w:t>
      </w:r>
      <w:r>
        <w:rPr>
          <w:color w:val="231F20"/>
          <w:spacing w:val="-14"/>
        </w:rPr>
        <w:t> </w:t>
      </w:r>
      <w:r>
        <w:rPr>
          <w:color w:val="231F20"/>
        </w:rPr>
        <w:t>y</w:t>
      </w:r>
      <w:r>
        <w:rPr>
          <w:color w:val="231F20"/>
          <w:spacing w:val="-14"/>
        </w:rPr>
        <w:t> </w:t>
      </w:r>
      <w:r>
        <w:rPr>
          <w:color w:val="231F20"/>
        </w:rPr>
        <w:t>sustento</w:t>
      </w:r>
      <w:r>
        <w:rPr>
          <w:color w:val="231F20"/>
          <w:spacing w:val="-14"/>
        </w:rPr>
        <w:t> </w:t>
      </w:r>
      <w:r>
        <w:rPr>
          <w:color w:val="231F20"/>
        </w:rPr>
        <w:t>de</w:t>
      </w:r>
      <w:r>
        <w:rPr>
          <w:color w:val="231F20"/>
          <w:spacing w:val="-14"/>
        </w:rPr>
        <w:t> </w:t>
      </w:r>
      <w:r>
        <w:rPr>
          <w:color w:val="231F20"/>
        </w:rPr>
        <w:t>las </w:t>
      </w:r>
      <w:r>
        <w:rPr>
          <w:color w:val="231F20"/>
          <w:spacing w:val="-2"/>
        </w:rPr>
        <w:t>Embajadas</w:t>
      </w:r>
      <w:r>
        <w:rPr>
          <w:color w:val="231F20"/>
          <w:spacing w:val="-15"/>
        </w:rPr>
        <w:t> </w:t>
      </w:r>
      <w:r>
        <w:rPr>
          <w:color w:val="231F20"/>
          <w:spacing w:val="-2"/>
        </w:rPr>
        <w:t>y</w:t>
      </w:r>
      <w:r>
        <w:rPr>
          <w:color w:val="231F20"/>
          <w:spacing w:val="-14"/>
        </w:rPr>
        <w:t> </w:t>
      </w:r>
      <w:r>
        <w:rPr>
          <w:color w:val="231F20"/>
          <w:spacing w:val="-2"/>
        </w:rPr>
        <w:t>sus</w:t>
      </w:r>
      <w:r>
        <w:rPr>
          <w:color w:val="231F20"/>
          <w:spacing w:val="-15"/>
        </w:rPr>
        <w:t> </w:t>
      </w:r>
      <w:r>
        <w:rPr>
          <w:color w:val="231F20"/>
          <w:spacing w:val="-2"/>
        </w:rPr>
        <w:t>consulados.</w:t>
      </w:r>
      <w:r>
        <w:rPr>
          <w:color w:val="231F20"/>
          <w:spacing w:val="-14"/>
        </w:rPr>
        <w:t> </w:t>
      </w:r>
      <w:r>
        <w:rPr>
          <w:color w:val="231F20"/>
          <w:spacing w:val="-2"/>
        </w:rPr>
        <w:t>El</w:t>
      </w:r>
      <w:r>
        <w:rPr>
          <w:color w:val="231F20"/>
          <w:spacing w:val="-15"/>
        </w:rPr>
        <w:t> </w:t>
      </w:r>
      <w:r>
        <w:rPr>
          <w:color w:val="231F20"/>
          <w:spacing w:val="-2"/>
        </w:rPr>
        <w:t>pago</w:t>
      </w:r>
      <w:r>
        <w:rPr>
          <w:color w:val="231F20"/>
          <w:spacing w:val="-14"/>
        </w:rPr>
        <w:t> </w:t>
      </w:r>
      <w:r>
        <w:rPr>
          <w:color w:val="231F20"/>
          <w:spacing w:val="-2"/>
        </w:rPr>
        <w:t>de</w:t>
      </w:r>
      <w:r>
        <w:rPr>
          <w:color w:val="231F20"/>
          <w:spacing w:val="-15"/>
        </w:rPr>
        <w:t> </w:t>
      </w:r>
      <w:r>
        <w:rPr>
          <w:color w:val="231F20"/>
          <w:spacing w:val="-2"/>
        </w:rPr>
        <w:t>las </w:t>
      </w:r>
      <w:r>
        <w:rPr>
          <w:color w:val="231F20"/>
          <w:spacing w:val="-4"/>
        </w:rPr>
        <w:t>obligaciones</w:t>
      </w:r>
      <w:r>
        <w:rPr>
          <w:color w:val="231F20"/>
          <w:spacing w:val="-13"/>
        </w:rPr>
        <w:t> </w:t>
      </w:r>
      <w:r>
        <w:rPr>
          <w:color w:val="231F20"/>
          <w:spacing w:val="-4"/>
        </w:rPr>
        <w:t>financieras</w:t>
      </w:r>
      <w:r>
        <w:rPr>
          <w:color w:val="231F20"/>
          <w:spacing w:val="-12"/>
        </w:rPr>
        <w:t> </w:t>
      </w:r>
      <w:r>
        <w:rPr>
          <w:color w:val="231F20"/>
          <w:spacing w:val="-4"/>
        </w:rPr>
        <w:t>de</w:t>
      </w:r>
      <w:r>
        <w:rPr>
          <w:color w:val="231F20"/>
          <w:spacing w:val="-13"/>
        </w:rPr>
        <w:t> </w:t>
      </w:r>
      <w:r>
        <w:rPr>
          <w:color w:val="231F20"/>
          <w:spacing w:val="-4"/>
        </w:rPr>
        <w:t>Cuba</w:t>
      </w:r>
      <w:r>
        <w:rPr>
          <w:color w:val="231F20"/>
          <w:spacing w:val="-12"/>
        </w:rPr>
        <w:t> </w:t>
      </w:r>
      <w:r>
        <w:rPr>
          <w:color w:val="231F20"/>
          <w:spacing w:val="-4"/>
        </w:rPr>
        <w:t>con</w:t>
      </w:r>
      <w:r>
        <w:rPr>
          <w:color w:val="231F20"/>
          <w:spacing w:val="-13"/>
        </w:rPr>
        <w:t> </w:t>
      </w:r>
      <w:r>
        <w:rPr>
          <w:color w:val="231F20"/>
          <w:spacing w:val="-4"/>
        </w:rPr>
        <w:t>varios </w:t>
      </w:r>
      <w:r>
        <w:rPr>
          <w:color w:val="231F20"/>
        </w:rPr>
        <w:t>organismos internacionales y regionales, también registró serias afectaciones.</w:t>
      </w:r>
    </w:p>
    <w:p>
      <w:pPr>
        <w:pStyle w:val="BodyText"/>
        <w:spacing w:before="167"/>
        <w:ind w:left="1474"/>
      </w:pPr>
      <w:r>
        <w:rPr>
          <w:color w:val="231F20"/>
        </w:rPr>
        <w:t>Cuba no puede adquirir bienes y tecnologías</w:t>
      </w:r>
      <w:r>
        <w:rPr>
          <w:color w:val="231F20"/>
          <w:spacing w:val="40"/>
        </w:rPr>
        <w:t> </w:t>
      </w:r>
      <w:r>
        <w:rPr>
          <w:color w:val="231F20"/>
        </w:rPr>
        <w:t>fabricados</w:t>
      </w:r>
      <w:r>
        <w:rPr>
          <w:color w:val="231F20"/>
          <w:spacing w:val="40"/>
        </w:rPr>
        <w:t> </w:t>
      </w:r>
      <w:r>
        <w:rPr>
          <w:color w:val="231F20"/>
        </w:rPr>
        <w:t>en</w:t>
      </w:r>
      <w:r>
        <w:rPr>
          <w:color w:val="231F20"/>
          <w:spacing w:val="40"/>
        </w:rPr>
        <w:t> </w:t>
      </w:r>
      <w:r>
        <w:rPr>
          <w:color w:val="231F20"/>
        </w:rPr>
        <w:t>terceros</w:t>
      </w:r>
      <w:r>
        <w:rPr>
          <w:color w:val="231F20"/>
          <w:spacing w:val="40"/>
        </w:rPr>
        <w:t> </w:t>
      </w:r>
      <w:r>
        <w:rPr>
          <w:color w:val="231F20"/>
        </w:rPr>
        <w:t>países con más de un 10 por ciento de componentes estadounidenses, lo que </w:t>
      </w:r>
      <w:r>
        <w:rPr>
          <w:color w:val="231F20"/>
          <w:spacing w:val="-2"/>
        </w:rPr>
        <w:t>supone</w:t>
      </w:r>
      <w:r>
        <w:rPr>
          <w:color w:val="231F20"/>
          <w:spacing w:val="-15"/>
        </w:rPr>
        <w:t> </w:t>
      </w:r>
      <w:r>
        <w:rPr>
          <w:color w:val="231F20"/>
          <w:spacing w:val="-2"/>
        </w:rPr>
        <w:t>un</w:t>
      </w:r>
      <w:r>
        <w:rPr>
          <w:color w:val="231F20"/>
          <w:spacing w:val="-14"/>
        </w:rPr>
        <w:t> </w:t>
      </w:r>
      <w:r>
        <w:rPr>
          <w:color w:val="231F20"/>
          <w:spacing w:val="-2"/>
        </w:rPr>
        <w:t>obstáculo</w:t>
      </w:r>
      <w:r>
        <w:rPr>
          <w:color w:val="231F20"/>
          <w:spacing w:val="-15"/>
        </w:rPr>
        <w:t> </w:t>
      </w:r>
      <w:r>
        <w:rPr>
          <w:color w:val="231F20"/>
          <w:spacing w:val="-2"/>
        </w:rPr>
        <w:t>adicional</w:t>
      </w:r>
      <w:r>
        <w:rPr>
          <w:color w:val="231F20"/>
          <w:spacing w:val="-14"/>
        </w:rPr>
        <w:t> </w:t>
      </w:r>
      <w:r>
        <w:rPr>
          <w:color w:val="231F20"/>
          <w:spacing w:val="-2"/>
        </w:rPr>
        <w:t>derivado</w:t>
      </w:r>
      <w:r>
        <w:rPr>
          <w:color w:val="231F20"/>
          <w:spacing w:val="-15"/>
        </w:rPr>
        <w:t> </w:t>
      </w:r>
      <w:r>
        <w:rPr>
          <w:color w:val="231F20"/>
          <w:spacing w:val="-2"/>
        </w:rPr>
        <w:t>de </w:t>
      </w:r>
      <w:r>
        <w:rPr>
          <w:color w:val="231F20"/>
        </w:rPr>
        <w:t>la</w:t>
      </w:r>
      <w:r>
        <w:rPr>
          <w:color w:val="231F20"/>
          <w:spacing w:val="-5"/>
        </w:rPr>
        <w:t> </w:t>
      </w:r>
      <w:r>
        <w:rPr>
          <w:color w:val="231F20"/>
        </w:rPr>
        <w:t>presencia</w:t>
      </w:r>
      <w:r>
        <w:rPr>
          <w:color w:val="231F20"/>
          <w:spacing w:val="-5"/>
        </w:rPr>
        <w:t> </w:t>
      </w:r>
      <w:r>
        <w:rPr>
          <w:color w:val="231F20"/>
        </w:rPr>
        <w:t>en</w:t>
      </w:r>
      <w:r>
        <w:rPr>
          <w:color w:val="231F20"/>
          <w:spacing w:val="-5"/>
        </w:rPr>
        <w:t> </w:t>
      </w:r>
      <w:r>
        <w:rPr>
          <w:color w:val="231F20"/>
        </w:rPr>
        <w:t>este</w:t>
      </w:r>
      <w:r>
        <w:rPr>
          <w:color w:val="231F20"/>
          <w:spacing w:val="-5"/>
        </w:rPr>
        <w:t> </w:t>
      </w:r>
      <w:r>
        <w:rPr>
          <w:color w:val="231F20"/>
        </w:rPr>
        <w:t>listado.</w:t>
      </w:r>
      <w:r>
        <w:rPr>
          <w:color w:val="231F20"/>
          <w:spacing w:val="-5"/>
        </w:rPr>
        <w:t> </w:t>
      </w:r>
      <w:r>
        <w:rPr>
          <w:color w:val="231F20"/>
        </w:rPr>
        <w:t>En</w:t>
      </w:r>
      <w:r>
        <w:rPr>
          <w:color w:val="231F20"/>
          <w:spacing w:val="-5"/>
        </w:rPr>
        <w:t> </w:t>
      </w:r>
      <w:r>
        <w:rPr>
          <w:color w:val="231F20"/>
        </w:rPr>
        <w:t>la</w:t>
      </w:r>
      <w:r>
        <w:rPr>
          <w:color w:val="231F20"/>
          <w:spacing w:val="-5"/>
        </w:rPr>
        <w:t> </w:t>
      </w:r>
      <w:r>
        <w:rPr>
          <w:color w:val="231F20"/>
        </w:rPr>
        <w:t>práctica, es una restricción que ya se imponía a </w:t>
      </w:r>
      <w:r>
        <w:rPr>
          <w:color w:val="231F20"/>
          <w:spacing w:val="-4"/>
        </w:rPr>
        <w:t>Cuba</w:t>
      </w:r>
      <w:r>
        <w:rPr>
          <w:color w:val="231F20"/>
          <w:spacing w:val="-13"/>
        </w:rPr>
        <w:t> </w:t>
      </w:r>
      <w:r>
        <w:rPr>
          <w:color w:val="231F20"/>
          <w:spacing w:val="-4"/>
        </w:rPr>
        <w:t>antes</w:t>
      </w:r>
      <w:r>
        <w:rPr>
          <w:color w:val="231F20"/>
          <w:spacing w:val="-12"/>
        </w:rPr>
        <w:t> </w:t>
      </w:r>
      <w:r>
        <w:rPr>
          <w:color w:val="231F20"/>
          <w:spacing w:val="-4"/>
        </w:rPr>
        <w:t>de</w:t>
      </w:r>
      <w:r>
        <w:rPr>
          <w:color w:val="231F20"/>
          <w:spacing w:val="-13"/>
        </w:rPr>
        <w:t> </w:t>
      </w:r>
      <w:r>
        <w:rPr>
          <w:color w:val="231F20"/>
          <w:spacing w:val="-4"/>
        </w:rPr>
        <w:t>su</w:t>
      </w:r>
      <w:r>
        <w:rPr>
          <w:color w:val="231F20"/>
          <w:spacing w:val="-12"/>
        </w:rPr>
        <w:t> </w:t>
      </w:r>
      <w:r>
        <w:rPr>
          <w:color w:val="231F20"/>
          <w:spacing w:val="-4"/>
        </w:rPr>
        <w:t>designación</w:t>
      </w:r>
      <w:r>
        <w:rPr>
          <w:color w:val="231F20"/>
          <w:spacing w:val="-12"/>
        </w:rPr>
        <w:t> </w:t>
      </w:r>
      <w:r>
        <w:rPr>
          <w:color w:val="231F20"/>
          <w:spacing w:val="-4"/>
        </w:rPr>
        <w:t>como</w:t>
      </w:r>
      <w:r>
        <w:rPr>
          <w:color w:val="231F20"/>
          <w:spacing w:val="-13"/>
        </w:rPr>
        <w:t> </w:t>
      </w:r>
      <w:r>
        <w:rPr>
          <w:color w:val="231F20"/>
          <w:spacing w:val="-4"/>
        </w:rPr>
        <w:t>Estado </w:t>
      </w:r>
      <w:r>
        <w:rPr>
          <w:color w:val="231F20"/>
        </w:rPr>
        <w:t>patrocinador del terrorismo.</w:t>
      </w:r>
    </w:p>
    <w:p>
      <w:pPr>
        <w:pStyle w:val="BodyText"/>
        <w:spacing w:before="167"/>
        <w:ind w:left="1474" w:right="1"/>
      </w:pPr>
      <w:r>
        <w:rPr>
          <w:color w:val="231F20"/>
        </w:rPr>
        <w:t>Como resultado de esta medida, los nacionales de los países beneficiados por el sistema ESTA para ingresar al territorio estadounidense,</w:t>
      </w:r>
      <w:r>
        <w:rPr>
          <w:color w:val="231F20"/>
          <w:spacing w:val="40"/>
        </w:rPr>
        <w:t> </w:t>
      </w:r>
      <w:r>
        <w:rPr>
          <w:color w:val="231F20"/>
        </w:rPr>
        <w:t>no</w:t>
      </w:r>
      <w:r>
        <w:rPr>
          <w:color w:val="231F20"/>
          <w:spacing w:val="40"/>
        </w:rPr>
        <w:t> </w:t>
      </w:r>
      <w:r>
        <w:rPr>
          <w:color w:val="231F20"/>
        </w:rPr>
        <w:t>pudieron</w:t>
      </w:r>
      <w:r>
        <w:rPr>
          <w:color w:val="231F20"/>
          <w:spacing w:val="40"/>
        </w:rPr>
        <w:t> </w:t>
      </w:r>
      <w:r>
        <w:rPr>
          <w:color w:val="231F20"/>
        </w:rPr>
        <w:t>acogerse al programa de exención de visados con </w:t>
      </w:r>
      <w:r>
        <w:rPr>
          <w:color w:val="231F20"/>
          <w:spacing w:val="-2"/>
        </w:rPr>
        <w:t>Estados</w:t>
      </w:r>
      <w:r>
        <w:rPr>
          <w:color w:val="231F20"/>
          <w:spacing w:val="-15"/>
        </w:rPr>
        <w:t> </w:t>
      </w:r>
      <w:r>
        <w:rPr>
          <w:color w:val="231F20"/>
          <w:spacing w:val="-2"/>
        </w:rPr>
        <w:t>Unidos,</w:t>
      </w:r>
      <w:r>
        <w:rPr>
          <w:color w:val="231F20"/>
          <w:spacing w:val="-14"/>
        </w:rPr>
        <w:t> </w:t>
      </w:r>
      <w:r>
        <w:rPr>
          <w:color w:val="231F20"/>
          <w:spacing w:val="-2"/>
        </w:rPr>
        <w:t>sino</w:t>
      </w:r>
      <w:r>
        <w:rPr>
          <w:color w:val="231F20"/>
          <w:spacing w:val="-15"/>
        </w:rPr>
        <w:t> </w:t>
      </w:r>
      <w:r>
        <w:rPr>
          <w:color w:val="231F20"/>
          <w:spacing w:val="-2"/>
        </w:rPr>
        <w:t>que</w:t>
      </w:r>
      <w:r>
        <w:rPr>
          <w:color w:val="231F20"/>
          <w:spacing w:val="-14"/>
        </w:rPr>
        <w:t> </w:t>
      </w:r>
      <w:r>
        <w:rPr>
          <w:color w:val="231F20"/>
          <w:spacing w:val="-2"/>
        </w:rPr>
        <w:t>debieron</w:t>
      </w:r>
      <w:r>
        <w:rPr>
          <w:color w:val="231F20"/>
          <w:spacing w:val="-15"/>
        </w:rPr>
        <w:t> </w:t>
      </w:r>
      <w:r>
        <w:rPr>
          <w:color w:val="231F20"/>
          <w:spacing w:val="-2"/>
        </w:rPr>
        <w:t>solicitar </w:t>
      </w:r>
      <w:r>
        <w:rPr>
          <w:color w:val="231F20"/>
        </w:rPr>
        <w:t>formalmente una visa de entrada a ese país si visitaron Cuba en fecha posterior</w:t>
      </w:r>
      <w:r>
        <w:rPr>
          <w:color w:val="231F20"/>
          <w:spacing w:val="40"/>
        </w:rPr>
        <w:t> </w:t>
      </w:r>
      <w:r>
        <w:rPr>
          <w:color w:val="231F20"/>
        </w:rPr>
        <w:t>al 1ro de marzo de 2011. Informaciones de</w:t>
      </w:r>
      <w:r>
        <w:rPr>
          <w:color w:val="231F20"/>
          <w:spacing w:val="40"/>
        </w:rPr>
        <w:t> </w:t>
      </w:r>
      <w:r>
        <w:rPr>
          <w:color w:val="231F20"/>
        </w:rPr>
        <w:t>prensa</w:t>
      </w:r>
      <w:r>
        <w:rPr>
          <w:color w:val="231F20"/>
          <w:spacing w:val="40"/>
        </w:rPr>
        <w:t> </w:t>
      </w:r>
      <w:r>
        <w:rPr>
          <w:color w:val="231F20"/>
        </w:rPr>
        <w:t>de</w:t>
      </w:r>
      <w:r>
        <w:rPr>
          <w:color w:val="231F20"/>
          <w:spacing w:val="40"/>
        </w:rPr>
        <w:t> </w:t>
      </w:r>
      <w:r>
        <w:rPr>
          <w:color w:val="231F20"/>
        </w:rPr>
        <w:t>varios</w:t>
      </w:r>
      <w:r>
        <w:rPr>
          <w:color w:val="231F20"/>
          <w:spacing w:val="40"/>
        </w:rPr>
        <w:t> </w:t>
      </w:r>
      <w:r>
        <w:rPr>
          <w:color w:val="231F20"/>
        </w:rPr>
        <w:t>países</w:t>
      </w:r>
      <w:r>
        <w:rPr>
          <w:color w:val="231F20"/>
          <w:spacing w:val="40"/>
        </w:rPr>
        <w:t> </w:t>
      </w:r>
      <w:r>
        <w:rPr>
          <w:color w:val="231F20"/>
        </w:rPr>
        <w:t>recogieron las alertas de gobiernos europeos a sus ciudadanos sobre esta disposición, que en la práctica atenta contra una de las principales</w:t>
      </w:r>
      <w:r>
        <w:rPr>
          <w:color w:val="231F20"/>
          <w:spacing w:val="-1"/>
        </w:rPr>
        <w:t> </w:t>
      </w:r>
      <w:r>
        <w:rPr>
          <w:color w:val="231F20"/>
        </w:rPr>
        <w:t>industrias</w:t>
      </w:r>
      <w:r>
        <w:rPr>
          <w:color w:val="231F20"/>
          <w:spacing w:val="-1"/>
        </w:rPr>
        <w:t> </w:t>
      </w:r>
      <w:r>
        <w:rPr>
          <w:color w:val="231F20"/>
        </w:rPr>
        <w:t>cubanas:</w:t>
      </w:r>
      <w:r>
        <w:rPr>
          <w:color w:val="231F20"/>
          <w:spacing w:val="-1"/>
        </w:rPr>
        <w:t> </w:t>
      </w:r>
      <w:r>
        <w:rPr>
          <w:color w:val="231F20"/>
        </w:rPr>
        <w:t>el</w:t>
      </w:r>
      <w:r>
        <w:rPr>
          <w:color w:val="231F20"/>
          <w:spacing w:val="-1"/>
        </w:rPr>
        <w:t> </w:t>
      </w:r>
      <w:r>
        <w:rPr>
          <w:color w:val="231F20"/>
        </w:rPr>
        <w:t>turismo.</w:t>
      </w:r>
    </w:p>
    <w:p>
      <w:pPr>
        <w:pStyle w:val="BodyText"/>
        <w:spacing w:before="171"/>
        <w:ind w:left="1474"/>
      </w:pPr>
      <w:r>
        <w:rPr>
          <w:color w:val="231F20"/>
        </w:rPr>
        <w:t>Algunas disposiciones restrictivas asociadas a la inclusión en la Lista de Estados patrocinadores del terrorismo tienen</w:t>
      </w:r>
      <w:r>
        <w:rPr>
          <w:color w:val="231F20"/>
          <w:spacing w:val="-15"/>
        </w:rPr>
        <w:t> </w:t>
      </w:r>
      <w:r>
        <w:rPr>
          <w:color w:val="231F20"/>
        </w:rPr>
        <w:t>reflejo</w:t>
      </w:r>
      <w:r>
        <w:rPr>
          <w:color w:val="231F20"/>
          <w:spacing w:val="-15"/>
        </w:rPr>
        <w:t> </w:t>
      </w:r>
      <w:r>
        <w:rPr>
          <w:color w:val="231F20"/>
        </w:rPr>
        <w:t>en</w:t>
      </w:r>
      <w:r>
        <w:rPr>
          <w:color w:val="231F20"/>
          <w:spacing w:val="-15"/>
        </w:rPr>
        <w:t> </w:t>
      </w:r>
      <w:r>
        <w:rPr>
          <w:color w:val="231F20"/>
        </w:rPr>
        <w:t>diferentes</w:t>
      </w:r>
      <w:r>
        <w:rPr>
          <w:color w:val="231F20"/>
          <w:spacing w:val="-15"/>
        </w:rPr>
        <w:t> </w:t>
      </w:r>
      <w:r>
        <w:rPr>
          <w:color w:val="231F20"/>
        </w:rPr>
        <w:t>leyes</w:t>
      </w:r>
      <w:r>
        <w:rPr>
          <w:color w:val="231F20"/>
          <w:spacing w:val="-15"/>
        </w:rPr>
        <w:t> </w:t>
      </w:r>
      <w:r>
        <w:rPr>
          <w:color w:val="231F20"/>
        </w:rPr>
        <w:t>federales de los Estados Unidos:</w:t>
      </w:r>
    </w:p>
    <w:p>
      <w:pPr>
        <w:pStyle w:val="BodyText"/>
        <w:spacing w:before="77"/>
        <w:ind w:left="673" w:right="1132"/>
      </w:pPr>
      <w:r>
        <w:rPr/>
        <w:br w:type="column"/>
      </w:r>
      <w:r>
        <w:rPr>
          <w:rFonts w:ascii="Segoe UI Semibold" w:hAnsi="Segoe UI Semibold"/>
          <w:b/>
          <w:color w:val="1A4796"/>
        </w:rPr>
        <w:t>La Ley de la Administración de las Exportaciones (1979): </w:t>
      </w:r>
      <w:r>
        <w:rPr>
          <w:color w:val="231F20"/>
        </w:rPr>
        <w:t>En virtud de</w:t>
      </w:r>
      <w:r>
        <w:rPr>
          <w:color w:val="231F20"/>
          <w:spacing w:val="80"/>
        </w:rPr>
        <w:t> </w:t>
      </w:r>
      <w:r>
        <w:rPr>
          <w:color w:val="231F20"/>
        </w:rPr>
        <w:t>esta ley se restringen los beneficios comerciales, la ayuda exterior y el apoyo de las instituciones financieras </w:t>
      </w:r>
      <w:r>
        <w:rPr>
          <w:color w:val="231F20"/>
          <w:spacing w:val="-4"/>
        </w:rPr>
        <w:t>internacionales</w:t>
      </w:r>
      <w:r>
        <w:rPr>
          <w:color w:val="231F20"/>
          <w:spacing w:val="-13"/>
        </w:rPr>
        <w:t> </w:t>
      </w:r>
      <w:r>
        <w:rPr>
          <w:color w:val="231F20"/>
          <w:spacing w:val="-4"/>
        </w:rPr>
        <w:t>a</w:t>
      </w:r>
      <w:r>
        <w:rPr>
          <w:color w:val="231F20"/>
          <w:spacing w:val="-11"/>
        </w:rPr>
        <w:t> </w:t>
      </w:r>
      <w:r>
        <w:rPr>
          <w:color w:val="231F20"/>
          <w:spacing w:val="-4"/>
        </w:rPr>
        <w:t>los</w:t>
      </w:r>
      <w:r>
        <w:rPr>
          <w:color w:val="231F20"/>
          <w:spacing w:val="-13"/>
        </w:rPr>
        <w:t> </w:t>
      </w:r>
      <w:r>
        <w:rPr>
          <w:color w:val="231F20"/>
          <w:spacing w:val="-4"/>
        </w:rPr>
        <w:t>países</w:t>
      </w:r>
      <w:r>
        <w:rPr>
          <w:color w:val="231F20"/>
          <w:spacing w:val="-12"/>
        </w:rPr>
        <w:t> </w:t>
      </w:r>
      <w:r>
        <w:rPr>
          <w:color w:val="231F20"/>
          <w:spacing w:val="-4"/>
        </w:rPr>
        <w:t>de</w:t>
      </w:r>
      <w:r>
        <w:rPr>
          <w:color w:val="231F20"/>
          <w:spacing w:val="-12"/>
        </w:rPr>
        <w:t> </w:t>
      </w:r>
      <w:r>
        <w:rPr>
          <w:color w:val="231F20"/>
          <w:spacing w:val="-4"/>
        </w:rPr>
        <w:t>la</w:t>
      </w:r>
      <w:r>
        <w:rPr>
          <w:color w:val="231F20"/>
          <w:spacing w:val="-11"/>
        </w:rPr>
        <w:t> </w:t>
      </w:r>
      <w:r>
        <w:rPr>
          <w:color w:val="231F20"/>
          <w:spacing w:val="-4"/>
        </w:rPr>
        <w:t>Lista.</w:t>
      </w:r>
      <w:r>
        <w:rPr>
          <w:color w:val="231F20"/>
          <w:spacing w:val="-11"/>
        </w:rPr>
        <w:t> </w:t>
      </w:r>
      <w:r>
        <w:rPr>
          <w:color w:val="231F20"/>
          <w:spacing w:val="-4"/>
        </w:rPr>
        <w:t>Se requieren</w:t>
      </w:r>
      <w:r>
        <w:rPr>
          <w:color w:val="231F20"/>
          <w:spacing w:val="-13"/>
        </w:rPr>
        <w:t> </w:t>
      </w:r>
      <w:r>
        <w:rPr>
          <w:color w:val="231F20"/>
          <w:spacing w:val="-4"/>
        </w:rPr>
        <w:t>licencias</w:t>
      </w:r>
      <w:r>
        <w:rPr>
          <w:color w:val="231F20"/>
          <w:spacing w:val="-12"/>
        </w:rPr>
        <w:t> </w:t>
      </w:r>
      <w:r>
        <w:rPr>
          <w:color w:val="231F20"/>
          <w:spacing w:val="-4"/>
        </w:rPr>
        <w:t>o</w:t>
      </w:r>
      <w:r>
        <w:rPr>
          <w:color w:val="231F20"/>
          <w:spacing w:val="-13"/>
        </w:rPr>
        <w:t> </w:t>
      </w:r>
      <w:r>
        <w:rPr>
          <w:color w:val="231F20"/>
          <w:spacing w:val="-4"/>
        </w:rPr>
        <w:t>permisos</w:t>
      </w:r>
      <w:r>
        <w:rPr>
          <w:color w:val="231F20"/>
          <w:spacing w:val="-12"/>
        </w:rPr>
        <w:t> </w:t>
      </w:r>
      <w:r>
        <w:rPr>
          <w:color w:val="231F20"/>
          <w:spacing w:val="-4"/>
        </w:rPr>
        <w:t>especiales </w:t>
      </w:r>
      <w:r>
        <w:rPr>
          <w:color w:val="231F20"/>
          <w:spacing w:val="-2"/>
        </w:rPr>
        <w:t>para</w:t>
      </w:r>
      <w:r>
        <w:rPr>
          <w:color w:val="231F20"/>
          <w:spacing w:val="-15"/>
        </w:rPr>
        <w:t> </w:t>
      </w:r>
      <w:r>
        <w:rPr>
          <w:color w:val="231F20"/>
          <w:spacing w:val="-2"/>
        </w:rPr>
        <w:t>exportar</w:t>
      </w:r>
      <w:r>
        <w:rPr>
          <w:color w:val="231F20"/>
          <w:spacing w:val="-14"/>
        </w:rPr>
        <w:t> </w:t>
      </w:r>
      <w:r>
        <w:rPr>
          <w:color w:val="231F20"/>
          <w:spacing w:val="-2"/>
        </w:rPr>
        <w:t>la</w:t>
      </w:r>
      <w:r>
        <w:rPr>
          <w:color w:val="231F20"/>
          <w:spacing w:val="-15"/>
        </w:rPr>
        <w:t> </w:t>
      </w:r>
      <w:r>
        <w:rPr>
          <w:color w:val="231F20"/>
          <w:spacing w:val="-2"/>
        </w:rPr>
        <w:t>mayoría</w:t>
      </w:r>
      <w:r>
        <w:rPr>
          <w:color w:val="231F20"/>
          <w:spacing w:val="-14"/>
        </w:rPr>
        <w:t> </w:t>
      </w:r>
      <w:r>
        <w:rPr>
          <w:color w:val="231F20"/>
          <w:spacing w:val="-2"/>
        </w:rPr>
        <w:t>de</w:t>
      </w:r>
      <w:r>
        <w:rPr>
          <w:color w:val="231F20"/>
          <w:spacing w:val="-15"/>
        </w:rPr>
        <w:t> </w:t>
      </w:r>
      <w:r>
        <w:rPr>
          <w:color w:val="231F20"/>
          <w:spacing w:val="-2"/>
        </w:rPr>
        <w:t>bienes</w:t>
      </w:r>
      <w:r>
        <w:rPr>
          <w:color w:val="231F20"/>
          <w:spacing w:val="-14"/>
        </w:rPr>
        <w:t> </w:t>
      </w:r>
      <w:r>
        <w:rPr>
          <w:color w:val="231F20"/>
          <w:spacing w:val="-2"/>
        </w:rPr>
        <w:t>hacia </w:t>
      </w:r>
      <w:r>
        <w:rPr>
          <w:color w:val="231F20"/>
        </w:rPr>
        <w:t>los Estados incluidos en el listado.</w:t>
      </w:r>
    </w:p>
    <w:p>
      <w:pPr>
        <w:pStyle w:val="BodyText"/>
        <w:spacing w:before="167"/>
        <w:ind w:left="673" w:right="1133"/>
      </w:pPr>
      <w:r>
        <w:rPr/>
        <mc:AlternateContent>
          <mc:Choice Requires="wps">
            <w:drawing>
              <wp:anchor distT="0" distB="0" distL="0" distR="0" allowOverlap="1" layoutInCell="1" locked="0" behindDoc="0" simplePos="0" relativeHeight="15740416">
                <wp:simplePos x="0" y="0"/>
                <wp:positionH relativeFrom="page">
                  <wp:posOffset>4031997</wp:posOffset>
                </wp:positionH>
                <wp:positionV relativeFrom="paragraph">
                  <wp:posOffset>-1737832</wp:posOffset>
                </wp:positionV>
                <wp:extent cx="59690" cy="59690"/>
                <wp:effectExtent l="0" t="0" r="0" b="0"/>
                <wp:wrapNone/>
                <wp:docPr id="33" name="Graphic 33"/>
                <wp:cNvGraphicFramePr>
                  <a:graphicFrameLocks/>
                </wp:cNvGraphicFramePr>
                <a:graphic>
                  <a:graphicData uri="http://schemas.microsoft.com/office/word/2010/wordprocessingShape">
                    <wps:wsp>
                      <wps:cNvPr id="33" name="Graphic 3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36.837234pt;width:4.7pt;height:4.7pt;mso-position-horizontal-relative:page;mso-position-vertical-relative:paragraph;z-index:15740416" id="docshape28" coordorigin="6350,-2737" coordsize="94,94" path="m6396,-2737l6378,-2733,6363,-2723,6353,-2708,6350,-2690,6353,-2672,6363,-2657,6378,-2647,6396,-2644,6414,-2647,6429,-2657,6439,-2672,6443,-2690,6439,-2708,6429,-2723,6414,-2733,6396,-2737xe" filled="true" fillcolor="#1a4796" stroked="false">
                <v:path arrowok="t"/>
                <v:fill type="solid"/>
                <w10:wrap type="none"/>
              </v:shape>
            </w:pict>
          </mc:Fallback>
        </mc:AlternateContent>
      </w:r>
      <w:r>
        <w:rPr/>
        <mc:AlternateContent>
          <mc:Choice Requires="wps">
            <w:drawing>
              <wp:anchor distT="0" distB="0" distL="0" distR="0" allowOverlap="1" layoutInCell="1" locked="0" behindDoc="0" simplePos="0" relativeHeight="15740928">
                <wp:simplePos x="0" y="0"/>
                <wp:positionH relativeFrom="page">
                  <wp:posOffset>4031997</wp:posOffset>
                </wp:positionH>
                <wp:positionV relativeFrom="paragraph">
                  <wp:posOffset>190164</wp:posOffset>
                </wp:positionV>
                <wp:extent cx="59690" cy="59690"/>
                <wp:effectExtent l="0" t="0" r="0" b="0"/>
                <wp:wrapNone/>
                <wp:docPr id="34" name="Graphic 34"/>
                <wp:cNvGraphicFramePr>
                  <a:graphicFrameLocks/>
                </wp:cNvGraphicFramePr>
                <a:graphic>
                  <a:graphicData uri="http://schemas.microsoft.com/office/word/2010/wordprocessingShape">
                    <wps:wsp>
                      <wps:cNvPr id="34" name="Graphic 3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73562pt;width:4.7pt;height:4.7pt;mso-position-horizontal-relative:page;mso-position-vertical-relative:paragraph;z-index:15740928" id="docshape29" coordorigin="6350,299" coordsize="94,94" path="m6396,299l6378,303,6363,313,6353,328,6350,346,6353,364,6363,379,6378,389,6396,393,6414,389,6429,379,6439,364,6443,346,6439,328,6429,313,6414,303,6396,299xe" filled="true" fillcolor="#1a4796" stroked="false">
                <v:path arrowok="t"/>
                <v:fill type="solid"/>
                <w10:wrap type="none"/>
              </v:shape>
            </w:pict>
          </mc:Fallback>
        </mc:AlternateContent>
      </w:r>
      <w:r>
        <w:rPr>
          <w:rFonts w:ascii="Segoe UI Semibold" w:hAnsi="Segoe UI Semibold"/>
          <w:b/>
          <w:color w:val="1A4796"/>
        </w:rPr>
        <w:t>La Ley de Asistencia Exterior (1961): </w:t>
      </w:r>
      <w:r>
        <w:rPr>
          <w:color w:val="231F20"/>
        </w:rPr>
        <w:t>Prohíbe el otorgamiento de cualquier “ayuda”</w:t>
      </w:r>
      <w:r>
        <w:rPr>
          <w:color w:val="231F20"/>
          <w:spacing w:val="-2"/>
        </w:rPr>
        <w:t> </w:t>
      </w:r>
      <w:r>
        <w:rPr>
          <w:color w:val="231F20"/>
        </w:rPr>
        <w:t>al</w:t>
      </w:r>
      <w:r>
        <w:rPr>
          <w:color w:val="231F20"/>
          <w:spacing w:val="-2"/>
        </w:rPr>
        <w:t> </w:t>
      </w:r>
      <w:r>
        <w:rPr>
          <w:color w:val="231F20"/>
        </w:rPr>
        <w:t>gobierno</w:t>
      </w:r>
      <w:r>
        <w:rPr>
          <w:color w:val="231F20"/>
          <w:spacing w:val="-2"/>
        </w:rPr>
        <w:t> </w:t>
      </w:r>
      <w:r>
        <w:rPr>
          <w:color w:val="231F20"/>
        </w:rPr>
        <w:t>de</w:t>
      </w:r>
      <w:r>
        <w:rPr>
          <w:color w:val="231F20"/>
          <w:spacing w:val="-2"/>
        </w:rPr>
        <w:t> </w:t>
      </w:r>
      <w:r>
        <w:rPr>
          <w:color w:val="231F20"/>
        </w:rPr>
        <w:t>un</w:t>
      </w:r>
      <w:r>
        <w:rPr>
          <w:color w:val="231F20"/>
          <w:spacing w:val="-2"/>
        </w:rPr>
        <w:t> </w:t>
      </w:r>
      <w:r>
        <w:rPr>
          <w:color w:val="231F20"/>
        </w:rPr>
        <w:t>país</w:t>
      </w:r>
      <w:r>
        <w:rPr>
          <w:color w:val="231F20"/>
          <w:spacing w:val="-2"/>
        </w:rPr>
        <w:t> </w:t>
      </w:r>
      <w:r>
        <w:rPr>
          <w:color w:val="231F20"/>
        </w:rPr>
        <w:t>que</w:t>
      </w:r>
      <w:r>
        <w:rPr>
          <w:color w:val="231F20"/>
          <w:spacing w:val="-2"/>
        </w:rPr>
        <w:t> </w:t>
      </w:r>
      <w:r>
        <w:rPr>
          <w:color w:val="231F20"/>
        </w:rPr>
        <w:t>“ha brindado</w:t>
      </w:r>
      <w:r>
        <w:rPr>
          <w:color w:val="231F20"/>
          <w:spacing w:val="-15"/>
        </w:rPr>
        <w:t> </w:t>
      </w:r>
      <w:r>
        <w:rPr>
          <w:color w:val="231F20"/>
        </w:rPr>
        <w:t>apoyo</w:t>
      </w:r>
      <w:r>
        <w:rPr>
          <w:color w:val="231F20"/>
          <w:spacing w:val="-15"/>
        </w:rPr>
        <w:t> </w:t>
      </w:r>
      <w:r>
        <w:rPr>
          <w:color w:val="231F20"/>
        </w:rPr>
        <w:t>reiteradamente</w:t>
      </w:r>
      <w:r>
        <w:rPr>
          <w:color w:val="231F20"/>
          <w:spacing w:val="-15"/>
        </w:rPr>
        <w:t> </w:t>
      </w:r>
      <w:r>
        <w:rPr>
          <w:color w:val="231F20"/>
        </w:rPr>
        <w:t>a</w:t>
      </w:r>
      <w:r>
        <w:rPr>
          <w:color w:val="231F20"/>
          <w:spacing w:val="-15"/>
        </w:rPr>
        <w:t> </w:t>
      </w:r>
      <w:r>
        <w:rPr>
          <w:color w:val="231F20"/>
        </w:rPr>
        <w:t>actos de terrorismo internacional”.</w:t>
      </w:r>
    </w:p>
    <w:p>
      <w:pPr>
        <w:pStyle w:val="BodyText"/>
        <w:spacing w:before="164"/>
        <w:ind w:left="673" w:right="1132"/>
      </w:pPr>
      <w:r>
        <w:rPr/>
        <mc:AlternateContent>
          <mc:Choice Requires="wps">
            <w:drawing>
              <wp:anchor distT="0" distB="0" distL="0" distR="0" allowOverlap="1" layoutInCell="1" locked="0" behindDoc="0" simplePos="0" relativeHeight="15741440">
                <wp:simplePos x="0" y="0"/>
                <wp:positionH relativeFrom="page">
                  <wp:posOffset>4031997</wp:posOffset>
                </wp:positionH>
                <wp:positionV relativeFrom="paragraph">
                  <wp:posOffset>191802</wp:posOffset>
                </wp:positionV>
                <wp:extent cx="59690" cy="59690"/>
                <wp:effectExtent l="0" t="0" r="0" b="0"/>
                <wp:wrapNone/>
                <wp:docPr id="35" name="Graphic 35"/>
                <wp:cNvGraphicFramePr>
                  <a:graphicFrameLocks/>
                </wp:cNvGraphicFramePr>
                <a:graphic>
                  <a:graphicData uri="http://schemas.microsoft.com/office/word/2010/wordprocessingShape">
                    <wps:wsp>
                      <wps:cNvPr id="35" name="Graphic 3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102575pt;width:4.7pt;height:4.7pt;mso-position-horizontal-relative:page;mso-position-vertical-relative:paragraph;z-index:15741440" id="docshape30" coordorigin="6350,302" coordsize="94,94" path="m6396,302l6378,306,6363,316,6353,331,6350,349,6353,367,6363,382,6378,392,6396,395,6414,392,6429,382,6439,367,6443,349,6439,331,6429,316,6414,306,6396,302xe" filled="true" fillcolor="#1a4796" stroked="false">
                <v:path arrowok="t"/>
                <v:fill type="solid"/>
                <w10:wrap type="none"/>
              </v:shape>
            </w:pict>
          </mc:Fallback>
        </mc:AlternateContent>
      </w:r>
      <w:r>
        <w:rPr>
          <w:rFonts w:ascii="Segoe UI Semibold" w:hAnsi="Segoe UI Semibold"/>
          <w:b/>
          <w:color w:val="1A4796"/>
        </w:rPr>
        <w:t>La Ley para el Control de Exportación </w:t>
      </w:r>
      <w:r>
        <w:rPr>
          <w:rFonts w:ascii="Segoe UI Semibold" w:hAnsi="Segoe UI Semibold"/>
          <w:b/>
          <w:color w:val="1A4796"/>
          <w:spacing w:val="-2"/>
        </w:rPr>
        <w:t>de</w:t>
      </w:r>
      <w:r>
        <w:rPr>
          <w:rFonts w:ascii="Segoe UI Semibold" w:hAnsi="Segoe UI Semibold"/>
          <w:b/>
          <w:color w:val="1A4796"/>
          <w:spacing w:val="-13"/>
        </w:rPr>
        <w:t> </w:t>
      </w:r>
      <w:r>
        <w:rPr>
          <w:rFonts w:ascii="Segoe UI Semibold" w:hAnsi="Segoe UI Semibold"/>
          <w:b/>
          <w:color w:val="1A4796"/>
          <w:spacing w:val="-2"/>
        </w:rPr>
        <w:t>Armas</w:t>
      </w:r>
      <w:r>
        <w:rPr>
          <w:rFonts w:ascii="Segoe UI Semibold" w:hAnsi="Segoe UI Semibold"/>
          <w:b/>
          <w:color w:val="1A4796"/>
          <w:spacing w:val="-13"/>
        </w:rPr>
        <w:t> </w:t>
      </w:r>
      <w:r>
        <w:rPr>
          <w:rFonts w:ascii="Segoe UI Semibold" w:hAnsi="Segoe UI Semibold"/>
          <w:b/>
          <w:color w:val="1A4796"/>
          <w:spacing w:val="-2"/>
        </w:rPr>
        <w:t>(1968):</w:t>
      </w:r>
      <w:r>
        <w:rPr>
          <w:rFonts w:ascii="Segoe UI Semibold" w:hAnsi="Segoe UI Semibold"/>
          <w:b/>
          <w:color w:val="1A4796"/>
          <w:spacing w:val="-13"/>
        </w:rPr>
        <w:t> </w:t>
      </w:r>
      <w:r>
        <w:rPr>
          <w:color w:val="231F20"/>
          <w:spacing w:val="-2"/>
        </w:rPr>
        <w:t>Prohíbe</w:t>
      </w:r>
      <w:r>
        <w:rPr>
          <w:color w:val="231F20"/>
          <w:spacing w:val="-13"/>
        </w:rPr>
        <w:t> </w:t>
      </w:r>
      <w:r>
        <w:rPr>
          <w:color w:val="231F20"/>
          <w:spacing w:val="-2"/>
        </w:rPr>
        <w:t>la</w:t>
      </w:r>
      <w:r>
        <w:rPr>
          <w:color w:val="231F20"/>
          <w:spacing w:val="-13"/>
        </w:rPr>
        <w:t> </w:t>
      </w:r>
      <w:r>
        <w:rPr>
          <w:color w:val="231F20"/>
          <w:spacing w:val="-2"/>
        </w:rPr>
        <w:t>exportación </w:t>
      </w:r>
      <w:r>
        <w:rPr>
          <w:color w:val="231F20"/>
        </w:rPr>
        <w:t>o transferencia de cualquier tipo de municiones</w:t>
      </w:r>
      <w:r>
        <w:rPr>
          <w:color w:val="231F20"/>
          <w:spacing w:val="-17"/>
        </w:rPr>
        <w:t> </w:t>
      </w:r>
      <w:r>
        <w:rPr>
          <w:color w:val="231F20"/>
        </w:rPr>
        <w:t>a</w:t>
      </w:r>
      <w:r>
        <w:rPr>
          <w:color w:val="231F20"/>
          <w:spacing w:val="-16"/>
        </w:rPr>
        <w:t> </w:t>
      </w:r>
      <w:r>
        <w:rPr>
          <w:color w:val="231F20"/>
        </w:rPr>
        <w:t>un</w:t>
      </w:r>
      <w:r>
        <w:rPr>
          <w:color w:val="231F20"/>
          <w:spacing w:val="-17"/>
        </w:rPr>
        <w:t> </w:t>
      </w:r>
      <w:r>
        <w:rPr>
          <w:color w:val="231F20"/>
        </w:rPr>
        <w:t>país</w:t>
      </w:r>
      <w:r>
        <w:rPr>
          <w:color w:val="231F20"/>
          <w:spacing w:val="-16"/>
        </w:rPr>
        <w:t> </w:t>
      </w:r>
      <w:r>
        <w:rPr>
          <w:color w:val="231F20"/>
        </w:rPr>
        <w:t>cuyo</w:t>
      </w:r>
      <w:r>
        <w:rPr>
          <w:color w:val="231F20"/>
          <w:spacing w:val="-17"/>
        </w:rPr>
        <w:t> </w:t>
      </w:r>
      <w:r>
        <w:rPr>
          <w:color w:val="231F20"/>
        </w:rPr>
        <w:t>gobierno</w:t>
      </w:r>
      <w:r>
        <w:rPr>
          <w:color w:val="231F20"/>
          <w:spacing w:val="-16"/>
        </w:rPr>
        <w:t> </w:t>
      </w:r>
      <w:r>
        <w:rPr>
          <w:color w:val="231F20"/>
        </w:rPr>
        <w:t>“ha brindado apoyo repetidamente a actos de terrorismo internacional”.</w:t>
      </w:r>
    </w:p>
    <w:p>
      <w:pPr>
        <w:pStyle w:val="BodyText"/>
        <w:spacing w:before="164"/>
        <w:ind w:left="673" w:right="1133"/>
      </w:pPr>
      <w:r>
        <w:rPr/>
        <mc:AlternateContent>
          <mc:Choice Requires="wps">
            <w:drawing>
              <wp:anchor distT="0" distB="0" distL="0" distR="0" allowOverlap="1" layoutInCell="1" locked="0" behindDoc="0" simplePos="0" relativeHeight="15741952">
                <wp:simplePos x="0" y="0"/>
                <wp:positionH relativeFrom="page">
                  <wp:posOffset>4031997</wp:posOffset>
                </wp:positionH>
                <wp:positionV relativeFrom="paragraph">
                  <wp:posOffset>191836</wp:posOffset>
                </wp:positionV>
                <wp:extent cx="59690" cy="59690"/>
                <wp:effectExtent l="0" t="0" r="0" b="0"/>
                <wp:wrapNone/>
                <wp:docPr id="36" name="Graphic 36"/>
                <wp:cNvGraphicFramePr>
                  <a:graphicFrameLocks/>
                </wp:cNvGraphicFramePr>
                <a:graphic>
                  <a:graphicData uri="http://schemas.microsoft.com/office/word/2010/wordprocessingShape">
                    <wps:wsp>
                      <wps:cNvPr id="36" name="Graphic 3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10525pt;width:4.7pt;height:4.7pt;mso-position-horizontal-relative:page;mso-position-vertical-relative:paragraph;z-index:15741952" id="docshape31" coordorigin="6350,302" coordsize="94,94" path="m6396,302l6378,306,6363,316,6353,331,6350,349,6353,367,6363,382,6378,392,6396,395,6414,392,6429,382,6439,367,6443,349,6439,331,6429,316,6414,306,6396,302xe" filled="true" fillcolor="#1a4796" stroked="false">
                <v:path arrowok="t"/>
                <v:fill type="solid"/>
                <w10:wrap type="none"/>
              </v:shape>
            </w:pict>
          </mc:Fallback>
        </mc:AlternateContent>
      </w:r>
      <w:r>
        <w:rPr>
          <w:rFonts w:ascii="Segoe UI Semibold" w:hAnsi="Segoe UI Semibold"/>
          <w:b/>
          <w:color w:val="1A4796"/>
        </w:rPr>
        <w:t>La Ley para la Administración de las Exportaciones (1979) y la Ley para el Control de Exportación de Armas: </w:t>
      </w:r>
      <w:r>
        <w:rPr>
          <w:color w:val="231F20"/>
        </w:rPr>
        <w:t>Prohíben la venta o exportación de artículos de defensa y servicios de defensa</w:t>
      </w:r>
      <w:r>
        <w:rPr>
          <w:color w:val="231F20"/>
          <w:spacing w:val="80"/>
        </w:rPr>
        <w:t> </w:t>
      </w:r>
      <w:r>
        <w:rPr>
          <w:color w:val="231F20"/>
        </w:rPr>
        <w:t>si</w:t>
      </w:r>
      <w:r>
        <w:rPr>
          <w:color w:val="231F20"/>
          <w:spacing w:val="80"/>
        </w:rPr>
        <w:t> </w:t>
      </w:r>
      <w:r>
        <w:rPr>
          <w:color w:val="231F20"/>
        </w:rPr>
        <w:t>el</w:t>
      </w:r>
      <w:r>
        <w:rPr>
          <w:color w:val="231F20"/>
          <w:spacing w:val="80"/>
        </w:rPr>
        <w:t> </w:t>
      </w:r>
      <w:r>
        <w:rPr>
          <w:color w:val="231F20"/>
        </w:rPr>
        <w:t>Presidente</w:t>
      </w:r>
      <w:r>
        <w:rPr>
          <w:color w:val="231F20"/>
          <w:spacing w:val="80"/>
        </w:rPr>
        <w:t> </w:t>
      </w:r>
      <w:r>
        <w:rPr>
          <w:color w:val="231F20"/>
        </w:rPr>
        <w:t>determina</w:t>
      </w:r>
      <w:r>
        <w:rPr>
          <w:color w:val="231F20"/>
          <w:spacing w:val="80"/>
        </w:rPr>
        <w:t> </w:t>
      </w:r>
      <w:r>
        <w:rPr>
          <w:color w:val="231F20"/>
        </w:rPr>
        <w:t>y</w:t>
      </w:r>
      <w:r>
        <w:rPr>
          <w:color w:val="231F20"/>
          <w:spacing w:val="40"/>
        </w:rPr>
        <w:t> </w:t>
      </w:r>
      <w:r>
        <w:rPr>
          <w:color w:val="231F20"/>
        </w:rPr>
        <w:t>certifica</w:t>
      </w:r>
      <w:r>
        <w:rPr>
          <w:color w:val="231F20"/>
          <w:spacing w:val="40"/>
        </w:rPr>
        <w:t> </w:t>
      </w:r>
      <w:r>
        <w:rPr>
          <w:color w:val="231F20"/>
        </w:rPr>
        <w:t>al</w:t>
      </w:r>
      <w:r>
        <w:rPr>
          <w:color w:val="231F20"/>
          <w:spacing w:val="40"/>
        </w:rPr>
        <w:t> </w:t>
      </w:r>
      <w:r>
        <w:rPr>
          <w:color w:val="231F20"/>
        </w:rPr>
        <w:t>Congreso,</w:t>
      </w:r>
      <w:r>
        <w:rPr>
          <w:color w:val="231F20"/>
          <w:spacing w:val="40"/>
        </w:rPr>
        <w:t> </w:t>
      </w:r>
      <w:r>
        <w:rPr>
          <w:color w:val="231F20"/>
        </w:rPr>
        <w:t>antes</w:t>
      </w:r>
      <w:r>
        <w:rPr>
          <w:color w:val="231F20"/>
          <w:spacing w:val="40"/>
        </w:rPr>
        <w:t> </w:t>
      </w:r>
      <w:r>
        <w:rPr>
          <w:color w:val="231F20"/>
        </w:rPr>
        <w:t>del</w:t>
      </w:r>
      <w:r>
        <w:rPr>
          <w:color w:val="231F20"/>
          <w:spacing w:val="40"/>
        </w:rPr>
        <w:t> </w:t>
      </w:r>
      <w:r>
        <w:rPr>
          <w:color w:val="231F20"/>
        </w:rPr>
        <w:t>15 de mayo de cada año, que el país “no está cooperando plenamente con los esfuerzos antiterroristas de los Estados Unidos”. La lista de Estados que “no cooperan</w:t>
      </w:r>
      <w:r>
        <w:rPr>
          <w:color w:val="231F20"/>
          <w:spacing w:val="-17"/>
        </w:rPr>
        <w:t> </w:t>
      </w:r>
      <w:r>
        <w:rPr>
          <w:color w:val="231F20"/>
        </w:rPr>
        <w:t>plenamente</w:t>
      </w:r>
      <w:r>
        <w:rPr>
          <w:color w:val="231F20"/>
          <w:spacing w:val="-16"/>
        </w:rPr>
        <w:t> </w:t>
      </w:r>
      <w:r>
        <w:rPr>
          <w:color w:val="231F20"/>
        </w:rPr>
        <w:t>con</w:t>
      </w:r>
      <w:r>
        <w:rPr>
          <w:color w:val="231F20"/>
          <w:spacing w:val="-17"/>
        </w:rPr>
        <w:t> </w:t>
      </w:r>
      <w:r>
        <w:rPr>
          <w:color w:val="231F20"/>
        </w:rPr>
        <w:t>los</w:t>
      </w:r>
      <w:r>
        <w:rPr>
          <w:color w:val="231F20"/>
          <w:spacing w:val="-16"/>
        </w:rPr>
        <w:t> </w:t>
      </w:r>
      <w:r>
        <w:rPr>
          <w:color w:val="231F20"/>
        </w:rPr>
        <w:t>esfuerzos antiterroristas de los Estados Unidos”, incluye a Cuba actualmente.</w:t>
      </w:r>
    </w:p>
    <w:p>
      <w:pPr>
        <w:pStyle w:val="BodyText"/>
        <w:spacing w:before="171"/>
        <w:ind w:left="673" w:right="1131"/>
      </w:pPr>
      <w:r>
        <w:rPr/>
        <mc:AlternateContent>
          <mc:Choice Requires="wps">
            <w:drawing>
              <wp:anchor distT="0" distB="0" distL="0" distR="0" allowOverlap="1" layoutInCell="1" locked="0" behindDoc="0" simplePos="0" relativeHeight="15742464">
                <wp:simplePos x="0" y="0"/>
                <wp:positionH relativeFrom="page">
                  <wp:posOffset>4031997</wp:posOffset>
                </wp:positionH>
                <wp:positionV relativeFrom="paragraph">
                  <wp:posOffset>195444</wp:posOffset>
                </wp:positionV>
                <wp:extent cx="59690" cy="59690"/>
                <wp:effectExtent l="0" t="0" r="0" b="0"/>
                <wp:wrapNone/>
                <wp:docPr id="37" name="Graphic 37"/>
                <wp:cNvGraphicFramePr>
                  <a:graphicFrameLocks/>
                </wp:cNvGraphicFramePr>
                <a:graphic>
                  <a:graphicData uri="http://schemas.microsoft.com/office/word/2010/wordprocessingShape">
                    <wps:wsp>
                      <wps:cNvPr id="37" name="Graphic 3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389325pt;width:4.7pt;height:4.7pt;mso-position-horizontal-relative:page;mso-position-vertical-relative:paragraph;z-index:15742464" id="docshape32" coordorigin="6350,308" coordsize="94,94" path="m6396,308l6378,311,6363,321,6353,336,6350,354,6353,373,6363,387,6378,397,6396,401,6414,397,6429,387,6439,373,6443,354,6439,336,6429,321,6414,311,6396,308xe" filled="true" fillcolor="#1a4796" stroked="false">
                <v:path arrowok="t"/>
                <v:fill type="solid"/>
                <w10:wrap type="none"/>
              </v:shape>
            </w:pict>
          </mc:Fallback>
        </mc:AlternateContent>
      </w:r>
      <w:r>
        <w:rPr>
          <w:rFonts w:ascii="Segoe UI Semibold"/>
          <w:b/>
          <w:color w:val="1A4796"/>
        </w:rPr>
        <w:t>Al</w:t>
      </w:r>
      <w:r>
        <w:rPr>
          <w:rFonts w:ascii="Segoe UI Semibold"/>
          <w:b/>
          <w:color w:val="1A4796"/>
          <w:spacing w:val="40"/>
        </w:rPr>
        <w:t> </w:t>
      </w:r>
      <w:r>
        <w:rPr>
          <w:rFonts w:ascii="Segoe UI Semibold"/>
          <w:b/>
          <w:color w:val="1A4796"/>
        </w:rPr>
        <w:t>amparo</w:t>
      </w:r>
      <w:r>
        <w:rPr>
          <w:rFonts w:ascii="Segoe UI Semibold"/>
          <w:b/>
          <w:color w:val="1A4796"/>
          <w:spacing w:val="40"/>
        </w:rPr>
        <w:t> </w:t>
      </w:r>
      <w:r>
        <w:rPr>
          <w:rFonts w:ascii="Segoe UI Semibold"/>
          <w:b/>
          <w:color w:val="1A4796"/>
        </w:rPr>
        <w:t>de</w:t>
      </w:r>
      <w:r>
        <w:rPr>
          <w:rFonts w:ascii="Segoe UI Semibold"/>
          <w:b/>
          <w:color w:val="1A4796"/>
          <w:spacing w:val="40"/>
        </w:rPr>
        <w:t> </w:t>
      </w:r>
      <w:r>
        <w:rPr>
          <w:rFonts w:ascii="Segoe UI Semibold"/>
          <w:b/>
          <w:color w:val="1A4796"/>
        </w:rPr>
        <w:t>una</w:t>
      </w:r>
      <w:r>
        <w:rPr>
          <w:rFonts w:ascii="Segoe UI Semibold"/>
          <w:b/>
          <w:color w:val="1A4796"/>
          <w:spacing w:val="40"/>
        </w:rPr>
        <w:t> </w:t>
      </w:r>
      <w:r>
        <w:rPr>
          <w:rFonts w:ascii="Segoe UI Semibold"/>
          <w:b/>
          <w:color w:val="1A4796"/>
        </w:rPr>
        <w:t>enmienda</w:t>
      </w:r>
      <w:r>
        <w:rPr>
          <w:rFonts w:ascii="Segoe UI Semibold"/>
          <w:b/>
          <w:color w:val="1A4796"/>
          <w:spacing w:val="40"/>
        </w:rPr>
        <w:t> </w:t>
      </w:r>
      <w:r>
        <w:rPr>
          <w:rFonts w:ascii="Segoe UI Semibold"/>
          <w:b/>
          <w:color w:val="1A4796"/>
        </w:rPr>
        <w:t>a</w:t>
      </w:r>
      <w:r>
        <w:rPr>
          <w:rFonts w:ascii="Segoe UI Semibold"/>
          <w:b/>
          <w:color w:val="1A4796"/>
          <w:spacing w:val="40"/>
        </w:rPr>
        <w:t> </w:t>
      </w:r>
      <w:r>
        <w:rPr>
          <w:rFonts w:ascii="Segoe UI Semibold"/>
          <w:b/>
          <w:color w:val="1A4796"/>
        </w:rPr>
        <w:t>la</w:t>
      </w:r>
      <w:r>
        <w:rPr>
          <w:rFonts w:ascii="Segoe UI Semibold"/>
          <w:b/>
          <w:color w:val="1A4796"/>
          <w:spacing w:val="40"/>
        </w:rPr>
        <w:t> </w:t>
      </w:r>
      <w:r>
        <w:rPr>
          <w:rFonts w:ascii="Segoe UI Semibold"/>
          <w:b/>
          <w:color w:val="1A4796"/>
        </w:rPr>
        <w:t>Ley de Inmunidades de Soberanos Extranjeros</w:t>
      </w:r>
      <w:r>
        <w:rPr>
          <w:rFonts w:ascii="Segoe UI Semibold"/>
          <w:b/>
          <w:color w:val="1A4796"/>
          <w:spacing w:val="-6"/>
        </w:rPr>
        <w:t> </w:t>
      </w:r>
      <w:r>
        <w:rPr>
          <w:rFonts w:ascii="Segoe UI Semibold"/>
          <w:b/>
          <w:color w:val="1A4796"/>
        </w:rPr>
        <w:t>(1976):</w:t>
      </w:r>
      <w:r>
        <w:rPr>
          <w:rFonts w:ascii="Segoe UI Semibold"/>
          <w:b/>
          <w:color w:val="1A4796"/>
          <w:spacing w:val="-6"/>
        </w:rPr>
        <w:t> </w:t>
      </w:r>
      <w:r>
        <w:rPr>
          <w:color w:val="231F20"/>
        </w:rPr>
        <w:t>Pueden</w:t>
      </w:r>
      <w:r>
        <w:rPr>
          <w:color w:val="231F20"/>
          <w:spacing w:val="-6"/>
        </w:rPr>
        <w:t> </w:t>
      </w:r>
      <w:r>
        <w:rPr>
          <w:color w:val="231F20"/>
        </w:rPr>
        <w:t>presentarse litigios</w:t>
      </w:r>
      <w:r>
        <w:rPr>
          <w:color w:val="231F20"/>
          <w:spacing w:val="-14"/>
        </w:rPr>
        <w:t> </w:t>
      </w:r>
      <w:r>
        <w:rPr>
          <w:color w:val="231F20"/>
        </w:rPr>
        <w:t>contra</w:t>
      </w:r>
      <w:r>
        <w:rPr>
          <w:color w:val="231F20"/>
          <w:spacing w:val="-14"/>
        </w:rPr>
        <w:t> </w:t>
      </w:r>
      <w:r>
        <w:rPr>
          <w:color w:val="231F20"/>
        </w:rPr>
        <w:t>el</w:t>
      </w:r>
      <w:r>
        <w:rPr>
          <w:color w:val="231F20"/>
          <w:spacing w:val="-14"/>
        </w:rPr>
        <w:t> </w:t>
      </w:r>
      <w:r>
        <w:rPr>
          <w:color w:val="231F20"/>
        </w:rPr>
        <w:t>Estado</w:t>
      </w:r>
      <w:r>
        <w:rPr>
          <w:color w:val="231F20"/>
          <w:spacing w:val="-14"/>
        </w:rPr>
        <w:t> </w:t>
      </w:r>
      <w:r>
        <w:rPr>
          <w:color w:val="231F20"/>
        </w:rPr>
        <w:t>designado</w:t>
      </w:r>
      <w:r>
        <w:rPr>
          <w:color w:val="231F20"/>
          <w:spacing w:val="-14"/>
        </w:rPr>
        <w:t> </w:t>
      </w:r>
      <w:r>
        <w:rPr>
          <w:color w:val="231F20"/>
        </w:rPr>
        <w:t>en</w:t>
      </w:r>
      <w:r>
        <w:rPr>
          <w:color w:val="231F20"/>
          <w:spacing w:val="-14"/>
        </w:rPr>
        <w:t> </w:t>
      </w:r>
      <w:r>
        <w:rPr>
          <w:color w:val="231F20"/>
        </w:rPr>
        <w:t>la Lista o sus funcionarios.</w:t>
      </w:r>
    </w:p>
    <w:p>
      <w:pPr>
        <w:pStyle w:val="BodyText"/>
        <w:spacing w:before="164"/>
        <w:ind w:left="673" w:right="1134"/>
      </w:pPr>
      <w:r>
        <w:rPr>
          <w:color w:val="231F20"/>
        </w:rPr>
        <w:t>En el caso de Cuba, algunas de estas </w:t>
      </w:r>
      <w:r>
        <w:rPr>
          <w:color w:val="231F20"/>
          <w:spacing w:val="-2"/>
        </w:rPr>
        <w:t>restricciones</w:t>
      </w:r>
      <w:r>
        <w:rPr>
          <w:color w:val="231F20"/>
          <w:spacing w:val="-4"/>
        </w:rPr>
        <w:t> </w:t>
      </w:r>
      <w:r>
        <w:rPr>
          <w:color w:val="231F20"/>
          <w:spacing w:val="-2"/>
        </w:rPr>
        <w:t>confieren</w:t>
      </w:r>
      <w:r>
        <w:rPr>
          <w:color w:val="231F20"/>
          <w:spacing w:val="-4"/>
        </w:rPr>
        <w:t> </w:t>
      </w:r>
      <w:r>
        <w:rPr>
          <w:color w:val="231F20"/>
          <w:spacing w:val="-2"/>
        </w:rPr>
        <w:t>una</w:t>
      </w:r>
      <w:r>
        <w:rPr>
          <w:color w:val="231F20"/>
          <w:spacing w:val="-4"/>
        </w:rPr>
        <w:t> </w:t>
      </w:r>
      <w:r>
        <w:rPr>
          <w:color w:val="231F20"/>
          <w:spacing w:val="-2"/>
        </w:rPr>
        <w:t>base</w:t>
      </w:r>
      <w:r>
        <w:rPr>
          <w:color w:val="231F20"/>
          <w:spacing w:val="-3"/>
        </w:rPr>
        <w:t> </w:t>
      </w:r>
      <w:r>
        <w:rPr>
          <w:color w:val="231F20"/>
          <w:spacing w:val="-2"/>
        </w:rPr>
        <w:t>jurídica</w:t>
      </w:r>
    </w:p>
    <w:p>
      <w:pPr>
        <w:spacing w:after="0"/>
        <w:sectPr>
          <w:pgSz w:w="11910" w:h="16840"/>
          <w:pgMar w:header="0" w:footer="695" w:top="1260" w:bottom="880" w:left="0" w:right="0"/>
          <w:cols w:num="2" w:equalWidth="0">
            <w:col w:w="5897" w:space="40"/>
            <w:col w:w="5973"/>
          </w:cols>
        </w:sectPr>
      </w:pPr>
    </w:p>
    <w:p>
      <w:pPr>
        <w:pStyle w:val="BodyText"/>
        <w:spacing w:before="77"/>
        <w:ind w:left="1133" w:right="1"/>
      </w:pPr>
      <w:r>
        <w:rPr>
          <w:color w:val="231F20"/>
        </w:rPr>
        <w:t>adicional a las prohibiciones que ya se aplican a nuestro país debido al bloqueo. Es</w:t>
      </w:r>
      <w:r>
        <w:rPr>
          <w:color w:val="231F20"/>
          <w:spacing w:val="-7"/>
        </w:rPr>
        <w:t> </w:t>
      </w:r>
      <w:r>
        <w:rPr>
          <w:color w:val="231F20"/>
        </w:rPr>
        <w:t>decir,</w:t>
      </w:r>
      <w:r>
        <w:rPr>
          <w:color w:val="231F20"/>
          <w:spacing w:val="-7"/>
        </w:rPr>
        <w:t> </w:t>
      </w:r>
      <w:r>
        <w:rPr>
          <w:color w:val="231F20"/>
        </w:rPr>
        <w:t>coinciden</w:t>
      </w:r>
      <w:r>
        <w:rPr>
          <w:color w:val="231F20"/>
          <w:spacing w:val="-7"/>
        </w:rPr>
        <w:t> </w:t>
      </w:r>
      <w:r>
        <w:rPr>
          <w:color w:val="231F20"/>
        </w:rPr>
        <w:t>con</w:t>
      </w:r>
      <w:r>
        <w:rPr>
          <w:color w:val="231F20"/>
          <w:spacing w:val="-7"/>
        </w:rPr>
        <w:t> </w:t>
      </w:r>
      <w:r>
        <w:rPr>
          <w:color w:val="231F20"/>
        </w:rPr>
        <w:t>lo</w:t>
      </w:r>
      <w:r>
        <w:rPr>
          <w:color w:val="231F20"/>
          <w:spacing w:val="-7"/>
        </w:rPr>
        <w:t> </w:t>
      </w:r>
      <w:r>
        <w:rPr>
          <w:color w:val="231F20"/>
        </w:rPr>
        <w:t>dispuesto</w:t>
      </w:r>
      <w:r>
        <w:rPr>
          <w:color w:val="231F20"/>
          <w:spacing w:val="-7"/>
        </w:rPr>
        <w:t> </w:t>
      </w:r>
      <w:r>
        <w:rPr>
          <w:color w:val="231F20"/>
        </w:rPr>
        <w:t>en</w:t>
      </w:r>
      <w:r>
        <w:rPr>
          <w:color w:val="231F20"/>
          <w:spacing w:val="-7"/>
        </w:rPr>
        <w:t> </w:t>
      </w:r>
      <w:r>
        <w:rPr>
          <w:color w:val="231F20"/>
        </w:rPr>
        <w:t>las Regulaciones para el Control de Activos Cubanos,</w:t>
      </w:r>
      <w:r>
        <w:rPr>
          <w:color w:val="231F20"/>
          <w:spacing w:val="-17"/>
        </w:rPr>
        <w:t> </w:t>
      </w:r>
      <w:r>
        <w:rPr>
          <w:color w:val="231F20"/>
        </w:rPr>
        <w:t>entramado</w:t>
      </w:r>
      <w:r>
        <w:rPr>
          <w:color w:val="231F20"/>
          <w:spacing w:val="-16"/>
        </w:rPr>
        <w:t> </w:t>
      </w:r>
      <w:r>
        <w:rPr>
          <w:color w:val="231F20"/>
        </w:rPr>
        <w:t>legal</w:t>
      </w:r>
      <w:r>
        <w:rPr>
          <w:color w:val="231F20"/>
          <w:spacing w:val="-17"/>
        </w:rPr>
        <w:t> </w:t>
      </w:r>
      <w:r>
        <w:rPr>
          <w:color w:val="231F20"/>
        </w:rPr>
        <w:t>de</w:t>
      </w:r>
      <w:r>
        <w:rPr>
          <w:color w:val="231F20"/>
          <w:spacing w:val="-16"/>
        </w:rPr>
        <w:t> </w:t>
      </w:r>
      <w:r>
        <w:rPr>
          <w:color w:val="231F20"/>
        </w:rPr>
        <w:t>este</w:t>
      </w:r>
      <w:r>
        <w:rPr>
          <w:color w:val="231F20"/>
          <w:spacing w:val="-17"/>
        </w:rPr>
        <w:t> </w:t>
      </w:r>
      <w:r>
        <w:rPr>
          <w:color w:val="231F20"/>
        </w:rPr>
        <w:t>sistema de medidas coercitivas unilaterales.</w:t>
      </w:r>
    </w:p>
    <w:p>
      <w:pPr>
        <w:pStyle w:val="BodyText"/>
        <w:spacing w:before="164"/>
        <w:ind w:left="1133" w:right="1"/>
      </w:pPr>
      <w:r>
        <w:rPr>
          <w:color w:val="231F20"/>
        </w:rPr>
        <w:t>Ejemplos concretos del impacto de esta </w:t>
      </w:r>
      <w:r>
        <w:rPr>
          <w:color w:val="231F20"/>
          <w:spacing w:val="-2"/>
        </w:rPr>
        <w:t>medida</w:t>
      </w:r>
      <w:r>
        <w:rPr>
          <w:color w:val="231F20"/>
          <w:spacing w:val="-15"/>
        </w:rPr>
        <w:t> </w:t>
      </w:r>
      <w:r>
        <w:rPr>
          <w:color w:val="231F20"/>
          <w:spacing w:val="-2"/>
        </w:rPr>
        <w:t>para</w:t>
      </w:r>
      <w:r>
        <w:rPr>
          <w:color w:val="231F20"/>
          <w:spacing w:val="-14"/>
        </w:rPr>
        <w:t> </w:t>
      </w:r>
      <w:r>
        <w:rPr>
          <w:color w:val="231F20"/>
          <w:spacing w:val="-2"/>
        </w:rPr>
        <w:t>Cuba</w:t>
      </w:r>
      <w:r>
        <w:rPr>
          <w:color w:val="231F20"/>
          <w:spacing w:val="-15"/>
        </w:rPr>
        <w:t> </w:t>
      </w:r>
      <w:r>
        <w:rPr>
          <w:color w:val="231F20"/>
          <w:spacing w:val="-2"/>
        </w:rPr>
        <w:t>y</w:t>
      </w:r>
      <w:r>
        <w:rPr>
          <w:color w:val="231F20"/>
          <w:spacing w:val="-14"/>
        </w:rPr>
        <w:t> </w:t>
      </w:r>
      <w:r>
        <w:rPr>
          <w:color w:val="231F20"/>
          <w:spacing w:val="-2"/>
        </w:rPr>
        <w:t>nacionales</w:t>
      </w:r>
      <w:r>
        <w:rPr>
          <w:color w:val="231F20"/>
          <w:spacing w:val="-15"/>
        </w:rPr>
        <w:t> </w:t>
      </w:r>
      <w:r>
        <w:rPr>
          <w:color w:val="231F20"/>
          <w:spacing w:val="-2"/>
        </w:rPr>
        <w:t>de</w:t>
      </w:r>
      <w:r>
        <w:rPr>
          <w:color w:val="231F20"/>
          <w:spacing w:val="-14"/>
        </w:rPr>
        <w:t> </w:t>
      </w:r>
      <w:r>
        <w:rPr>
          <w:color w:val="231F20"/>
          <w:spacing w:val="-2"/>
        </w:rPr>
        <w:t>terceros países,</w:t>
      </w:r>
      <w:r>
        <w:rPr>
          <w:color w:val="231F20"/>
          <w:spacing w:val="-12"/>
        </w:rPr>
        <w:t> </w:t>
      </w:r>
      <w:r>
        <w:rPr>
          <w:color w:val="231F20"/>
          <w:spacing w:val="-2"/>
        </w:rPr>
        <w:t>serán</w:t>
      </w:r>
      <w:r>
        <w:rPr>
          <w:color w:val="231F20"/>
          <w:spacing w:val="-12"/>
        </w:rPr>
        <w:t> </w:t>
      </w:r>
      <w:r>
        <w:rPr>
          <w:color w:val="231F20"/>
          <w:spacing w:val="-2"/>
        </w:rPr>
        <w:t>expuestos</w:t>
      </w:r>
      <w:r>
        <w:rPr>
          <w:color w:val="231F20"/>
          <w:spacing w:val="-12"/>
        </w:rPr>
        <w:t> </w:t>
      </w:r>
      <w:r>
        <w:rPr>
          <w:color w:val="231F20"/>
          <w:spacing w:val="-2"/>
        </w:rPr>
        <w:t>en</w:t>
      </w:r>
      <w:r>
        <w:rPr>
          <w:color w:val="231F20"/>
          <w:spacing w:val="-12"/>
        </w:rPr>
        <w:t> </w:t>
      </w:r>
      <w:r>
        <w:rPr>
          <w:color w:val="231F20"/>
          <w:spacing w:val="-2"/>
        </w:rPr>
        <w:t>las</w:t>
      </w:r>
      <w:r>
        <w:rPr>
          <w:color w:val="231F20"/>
          <w:spacing w:val="-12"/>
        </w:rPr>
        <w:t> </w:t>
      </w:r>
      <w:r>
        <w:rPr>
          <w:color w:val="231F20"/>
          <w:spacing w:val="-2"/>
        </w:rPr>
        <w:t>afectaciones </w:t>
      </w:r>
      <w:r>
        <w:rPr>
          <w:color w:val="231F20"/>
        </w:rPr>
        <w:t>sectoriales que se abordan a lo largo del presente informe.</w:t>
      </w:r>
    </w:p>
    <w:p>
      <w:pPr>
        <w:pStyle w:val="Heading2"/>
        <w:spacing w:line="228" w:lineRule="auto" w:before="95"/>
        <w:ind w:right="115"/>
      </w:pPr>
      <w:r>
        <w:rPr>
          <w:color w:val="1A4796"/>
          <w:spacing w:val="-2"/>
          <w:w w:val="115"/>
        </w:rPr>
        <w:t>Prerrogativas</w:t>
      </w:r>
      <w:r>
        <w:rPr>
          <w:color w:val="1A4796"/>
          <w:spacing w:val="-20"/>
          <w:w w:val="115"/>
        </w:rPr>
        <w:t> </w:t>
      </w:r>
      <w:r>
        <w:rPr>
          <w:color w:val="1A4796"/>
          <w:spacing w:val="-2"/>
          <w:w w:val="115"/>
        </w:rPr>
        <w:t>del</w:t>
      </w:r>
      <w:r>
        <w:rPr>
          <w:color w:val="1A4796"/>
          <w:spacing w:val="-19"/>
          <w:w w:val="115"/>
        </w:rPr>
        <w:t> </w:t>
      </w:r>
      <w:r>
        <w:rPr>
          <w:color w:val="1A4796"/>
          <w:spacing w:val="-2"/>
          <w:w w:val="115"/>
        </w:rPr>
        <w:t>Presidente </w:t>
      </w:r>
      <w:r>
        <w:rPr>
          <w:color w:val="1A4796"/>
          <w:w w:val="115"/>
        </w:rPr>
        <w:t>de los Estados Unidos para modificar la aplicación</w:t>
      </w:r>
    </w:p>
    <w:p>
      <w:pPr>
        <w:spacing w:before="0"/>
        <w:ind w:left="1133" w:right="0" w:firstLine="0"/>
        <w:jc w:val="left"/>
        <w:rPr>
          <w:rFonts w:ascii="Microsoft Sans Serif"/>
          <w:sz w:val="28"/>
        </w:rPr>
      </w:pPr>
      <w:r>
        <w:rPr>
          <w:rFonts w:ascii="Microsoft Sans Serif"/>
          <w:color w:val="1A4796"/>
          <w:w w:val="115"/>
          <w:sz w:val="28"/>
        </w:rPr>
        <w:t>del</w:t>
      </w:r>
      <w:r>
        <w:rPr>
          <w:rFonts w:ascii="Microsoft Sans Serif"/>
          <w:color w:val="1A4796"/>
          <w:spacing w:val="1"/>
          <w:w w:val="115"/>
          <w:sz w:val="28"/>
        </w:rPr>
        <w:t> </w:t>
      </w:r>
      <w:r>
        <w:rPr>
          <w:rFonts w:ascii="Microsoft Sans Serif"/>
          <w:color w:val="1A4796"/>
          <w:spacing w:val="-2"/>
          <w:w w:val="115"/>
          <w:sz w:val="28"/>
        </w:rPr>
        <w:t>bloqueo</w:t>
      </w:r>
    </w:p>
    <w:p>
      <w:pPr>
        <w:pStyle w:val="BodyText"/>
        <w:spacing w:before="129"/>
        <w:ind w:left="1133" w:right="1"/>
      </w:pPr>
      <w:r>
        <w:rPr>
          <w:color w:val="231F20"/>
        </w:rPr>
        <w:t>Con</w:t>
      </w:r>
      <w:r>
        <w:rPr>
          <w:color w:val="231F20"/>
          <w:spacing w:val="-15"/>
        </w:rPr>
        <w:t> </w:t>
      </w:r>
      <w:r>
        <w:rPr>
          <w:color w:val="231F20"/>
        </w:rPr>
        <w:t>la</w:t>
      </w:r>
      <w:r>
        <w:rPr>
          <w:color w:val="231F20"/>
          <w:spacing w:val="-15"/>
        </w:rPr>
        <w:t> </w:t>
      </w:r>
      <w:r>
        <w:rPr>
          <w:color w:val="231F20"/>
        </w:rPr>
        <w:t>firma</w:t>
      </w:r>
      <w:r>
        <w:rPr>
          <w:color w:val="231F20"/>
          <w:spacing w:val="-15"/>
        </w:rPr>
        <w:t> </w:t>
      </w:r>
      <w:r>
        <w:rPr>
          <w:color w:val="231F20"/>
        </w:rPr>
        <w:t>de</w:t>
      </w:r>
      <w:r>
        <w:rPr>
          <w:color w:val="231F20"/>
          <w:spacing w:val="-15"/>
        </w:rPr>
        <w:t> </w:t>
      </w:r>
      <w:r>
        <w:rPr>
          <w:color w:val="231F20"/>
        </w:rPr>
        <w:t>la</w:t>
      </w:r>
      <w:r>
        <w:rPr>
          <w:color w:val="231F20"/>
          <w:spacing w:val="-15"/>
        </w:rPr>
        <w:t> </w:t>
      </w:r>
      <w:r>
        <w:rPr>
          <w:color w:val="231F20"/>
        </w:rPr>
        <w:t>Ley</w:t>
      </w:r>
      <w:r>
        <w:rPr>
          <w:color w:val="231F20"/>
          <w:spacing w:val="-15"/>
        </w:rPr>
        <w:t> </w:t>
      </w:r>
      <w:r>
        <w:rPr>
          <w:color w:val="231F20"/>
        </w:rPr>
        <w:t>Helms-Burton</w:t>
      </w:r>
      <w:r>
        <w:rPr>
          <w:color w:val="231F20"/>
          <w:spacing w:val="-15"/>
        </w:rPr>
        <w:t> </w:t>
      </w:r>
      <w:r>
        <w:rPr>
          <w:color w:val="231F20"/>
        </w:rPr>
        <w:t>por</w:t>
      </w:r>
      <w:r>
        <w:rPr>
          <w:color w:val="231F20"/>
          <w:spacing w:val="-15"/>
        </w:rPr>
        <w:t> </w:t>
      </w:r>
      <w:r>
        <w:rPr>
          <w:color w:val="231F20"/>
        </w:rPr>
        <w:t>el presidente</w:t>
      </w:r>
      <w:r>
        <w:rPr>
          <w:color w:val="231F20"/>
          <w:spacing w:val="-17"/>
        </w:rPr>
        <w:t> </w:t>
      </w:r>
      <w:r>
        <w:rPr>
          <w:color w:val="231F20"/>
        </w:rPr>
        <w:t>William</w:t>
      </w:r>
      <w:r>
        <w:rPr>
          <w:color w:val="231F20"/>
          <w:spacing w:val="-16"/>
        </w:rPr>
        <w:t> </w:t>
      </w:r>
      <w:r>
        <w:rPr>
          <w:color w:val="231F20"/>
        </w:rPr>
        <w:t>Clinton,</w:t>
      </w:r>
      <w:r>
        <w:rPr>
          <w:color w:val="231F20"/>
          <w:spacing w:val="-17"/>
        </w:rPr>
        <w:t> </w:t>
      </w:r>
      <w:r>
        <w:rPr>
          <w:color w:val="231F20"/>
        </w:rPr>
        <w:t>el</w:t>
      </w:r>
      <w:r>
        <w:rPr>
          <w:color w:val="231F20"/>
          <w:spacing w:val="-16"/>
        </w:rPr>
        <w:t> </w:t>
      </w:r>
      <w:r>
        <w:rPr>
          <w:color w:val="231F20"/>
        </w:rPr>
        <w:t>12</w:t>
      </w:r>
      <w:r>
        <w:rPr>
          <w:color w:val="231F20"/>
          <w:spacing w:val="-17"/>
        </w:rPr>
        <w:t> </w:t>
      </w:r>
      <w:r>
        <w:rPr>
          <w:color w:val="231F20"/>
        </w:rPr>
        <w:t>de</w:t>
      </w:r>
      <w:r>
        <w:rPr>
          <w:color w:val="231F20"/>
          <w:spacing w:val="-16"/>
        </w:rPr>
        <w:t> </w:t>
      </w:r>
      <w:r>
        <w:rPr>
          <w:color w:val="231F20"/>
        </w:rPr>
        <w:t>marzo de 1996, quedaron codificadas las leyes del bloqueo contra Cuba y la madeja de normativas ejecutivas que sustentan esta </w:t>
      </w:r>
      <w:r>
        <w:rPr>
          <w:color w:val="231F20"/>
          <w:spacing w:val="-2"/>
        </w:rPr>
        <w:t>política.</w:t>
      </w:r>
      <w:r>
        <w:rPr>
          <w:color w:val="231F20"/>
          <w:spacing w:val="-14"/>
        </w:rPr>
        <w:t> </w:t>
      </w:r>
      <w:r>
        <w:rPr>
          <w:color w:val="231F20"/>
          <w:spacing w:val="-2"/>
        </w:rPr>
        <w:t>El</w:t>
      </w:r>
      <w:r>
        <w:rPr>
          <w:color w:val="231F20"/>
          <w:spacing w:val="-14"/>
        </w:rPr>
        <w:t> </w:t>
      </w:r>
      <w:r>
        <w:rPr>
          <w:color w:val="231F20"/>
          <w:spacing w:val="-2"/>
        </w:rPr>
        <w:t>Congreso</w:t>
      </w:r>
      <w:r>
        <w:rPr>
          <w:color w:val="231F20"/>
          <w:spacing w:val="-14"/>
        </w:rPr>
        <w:t> </w:t>
      </w:r>
      <w:r>
        <w:rPr>
          <w:color w:val="231F20"/>
          <w:spacing w:val="-2"/>
        </w:rPr>
        <w:t>de</w:t>
      </w:r>
      <w:r>
        <w:rPr>
          <w:color w:val="231F20"/>
          <w:spacing w:val="-14"/>
        </w:rPr>
        <w:t> </w:t>
      </w:r>
      <w:r>
        <w:rPr>
          <w:color w:val="231F20"/>
          <w:spacing w:val="-2"/>
        </w:rPr>
        <w:t>los</w:t>
      </w:r>
      <w:r>
        <w:rPr>
          <w:color w:val="231F20"/>
          <w:spacing w:val="-14"/>
        </w:rPr>
        <w:t> </w:t>
      </w:r>
      <w:r>
        <w:rPr>
          <w:color w:val="231F20"/>
          <w:spacing w:val="-2"/>
        </w:rPr>
        <w:t>Estados</w:t>
      </w:r>
      <w:r>
        <w:rPr>
          <w:color w:val="231F20"/>
          <w:spacing w:val="-14"/>
        </w:rPr>
        <w:t> </w:t>
      </w:r>
      <w:r>
        <w:rPr>
          <w:color w:val="231F20"/>
          <w:spacing w:val="-2"/>
        </w:rPr>
        <w:t>Unidos </w:t>
      </w:r>
      <w:r>
        <w:rPr>
          <w:color w:val="231F20"/>
        </w:rPr>
        <w:t>se</w:t>
      </w:r>
      <w:r>
        <w:rPr>
          <w:color w:val="231F20"/>
          <w:spacing w:val="-12"/>
        </w:rPr>
        <w:t> </w:t>
      </w:r>
      <w:r>
        <w:rPr>
          <w:color w:val="231F20"/>
        </w:rPr>
        <w:t>convirtió,</w:t>
      </w:r>
      <w:r>
        <w:rPr>
          <w:color w:val="231F20"/>
          <w:spacing w:val="-12"/>
        </w:rPr>
        <w:t> </w:t>
      </w:r>
      <w:r>
        <w:rPr>
          <w:color w:val="231F20"/>
        </w:rPr>
        <w:t>desde</w:t>
      </w:r>
      <w:r>
        <w:rPr>
          <w:color w:val="231F20"/>
          <w:spacing w:val="-12"/>
        </w:rPr>
        <w:t> </w:t>
      </w:r>
      <w:r>
        <w:rPr>
          <w:color w:val="231F20"/>
        </w:rPr>
        <w:t>entonces,</w:t>
      </w:r>
      <w:r>
        <w:rPr>
          <w:color w:val="231F20"/>
          <w:spacing w:val="-12"/>
        </w:rPr>
        <w:t> </w:t>
      </w:r>
      <w:r>
        <w:rPr>
          <w:color w:val="231F20"/>
        </w:rPr>
        <w:t>en</w:t>
      </w:r>
      <w:r>
        <w:rPr>
          <w:color w:val="231F20"/>
          <w:spacing w:val="-12"/>
        </w:rPr>
        <w:t> </w:t>
      </w:r>
      <w:r>
        <w:rPr>
          <w:color w:val="231F20"/>
        </w:rPr>
        <w:t>el</w:t>
      </w:r>
      <w:r>
        <w:rPr>
          <w:color w:val="231F20"/>
          <w:spacing w:val="-12"/>
        </w:rPr>
        <w:t> </w:t>
      </w:r>
      <w:r>
        <w:rPr>
          <w:color w:val="231F20"/>
        </w:rPr>
        <w:t>órgano </w:t>
      </w:r>
      <w:r>
        <w:rPr>
          <w:color w:val="231F20"/>
          <w:spacing w:val="-4"/>
        </w:rPr>
        <w:t>facultado</w:t>
      </w:r>
      <w:r>
        <w:rPr>
          <w:color w:val="231F20"/>
          <w:spacing w:val="-11"/>
        </w:rPr>
        <w:t> </w:t>
      </w:r>
      <w:r>
        <w:rPr>
          <w:color w:val="231F20"/>
          <w:spacing w:val="-4"/>
        </w:rPr>
        <w:t>para</w:t>
      </w:r>
      <w:r>
        <w:rPr>
          <w:color w:val="231F20"/>
          <w:spacing w:val="-11"/>
        </w:rPr>
        <w:t> </w:t>
      </w:r>
      <w:r>
        <w:rPr>
          <w:color w:val="231F20"/>
          <w:spacing w:val="-4"/>
        </w:rPr>
        <w:t>revocar</w:t>
      </w:r>
      <w:r>
        <w:rPr>
          <w:color w:val="231F20"/>
          <w:spacing w:val="-11"/>
        </w:rPr>
        <w:t> </w:t>
      </w:r>
      <w:r>
        <w:rPr>
          <w:color w:val="231F20"/>
          <w:spacing w:val="-4"/>
        </w:rPr>
        <w:t>las</w:t>
      </w:r>
      <w:r>
        <w:rPr>
          <w:color w:val="231F20"/>
          <w:spacing w:val="-11"/>
        </w:rPr>
        <w:t> </w:t>
      </w:r>
      <w:r>
        <w:rPr>
          <w:color w:val="231F20"/>
          <w:spacing w:val="-4"/>
        </w:rPr>
        <w:t>legislaciones</w:t>
      </w:r>
      <w:r>
        <w:rPr>
          <w:color w:val="231F20"/>
          <w:spacing w:val="-11"/>
        </w:rPr>
        <w:t> </w:t>
      </w:r>
      <w:r>
        <w:rPr>
          <w:color w:val="231F20"/>
          <w:spacing w:val="-4"/>
        </w:rPr>
        <w:t>que </w:t>
      </w:r>
      <w:r>
        <w:rPr>
          <w:color w:val="231F20"/>
        </w:rPr>
        <w:t>sostienen el bloqueo y decretar su fin.</w:t>
      </w:r>
    </w:p>
    <w:p>
      <w:pPr>
        <w:pStyle w:val="BodyText"/>
        <w:spacing w:before="167"/>
        <w:ind w:left="1133" w:right="1"/>
      </w:pPr>
      <w:r>
        <w:rPr>
          <w:color w:val="231F20"/>
        </w:rPr>
        <w:t>La propia Ley dispuso la preservación de prerrogativas</w:t>
      </w:r>
      <w:r>
        <w:rPr>
          <w:color w:val="231F20"/>
          <w:spacing w:val="-4"/>
        </w:rPr>
        <w:t> </w:t>
      </w:r>
      <w:r>
        <w:rPr>
          <w:color w:val="231F20"/>
        </w:rPr>
        <w:t>presidenciales</w:t>
      </w:r>
      <w:r>
        <w:rPr>
          <w:color w:val="231F20"/>
          <w:spacing w:val="-4"/>
        </w:rPr>
        <w:t> </w:t>
      </w:r>
      <w:r>
        <w:rPr>
          <w:color w:val="231F20"/>
        </w:rPr>
        <w:t>para</w:t>
      </w:r>
      <w:r>
        <w:rPr>
          <w:color w:val="231F20"/>
          <w:spacing w:val="-4"/>
        </w:rPr>
        <w:t> </w:t>
      </w:r>
      <w:r>
        <w:rPr>
          <w:color w:val="231F20"/>
        </w:rPr>
        <w:t>permitir determinadas</w:t>
      </w:r>
      <w:r>
        <w:rPr>
          <w:color w:val="231F20"/>
          <w:spacing w:val="-5"/>
        </w:rPr>
        <w:t> </w:t>
      </w:r>
      <w:r>
        <w:rPr>
          <w:color w:val="231F20"/>
        </w:rPr>
        <w:t>transacciones</w:t>
      </w:r>
      <w:r>
        <w:rPr>
          <w:color w:val="231F20"/>
          <w:spacing w:val="-5"/>
        </w:rPr>
        <w:t> </w:t>
      </w:r>
      <w:r>
        <w:rPr>
          <w:color w:val="231F20"/>
        </w:rPr>
        <w:t>a</w:t>
      </w:r>
      <w:r>
        <w:rPr>
          <w:color w:val="231F20"/>
          <w:spacing w:val="-5"/>
        </w:rPr>
        <w:t> </w:t>
      </w:r>
      <w:r>
        <w:rPr>
          <w:color w:val="231F20"/>
        </w:rPr>
        <w:t>través</w:t>
      </w:r>
      <w:r>
        <w:rPr>
          <w:color w:val="231F20"/>
          <w:spacing w:val="-5"/>
        </w:rPr>
        <w:t> </w:t>
      </w:r>
      <w:r>
        <w:rPr>
          <w:color w:val="231F20"/>
        </w:rPr>
        <w:t>de</w:t>
      </w:r>
      <w:r>
        <w:rPr>
          <w:color w:val="231F20"/>
          <w:spacing w:val="-5"/>
        </w:rPr>
        <w:t> </w:t>
      </w:r>
      <w:r>
        <w:rPr>
          <w:color w:val="231F20"/>
        </w:rPr>
        <w:t>la emisión de licencias, lo que hace posible desmontar</w:t>
      </w:r>
      <w:r>
        <w:rPr>
          <w:color w:val="231F20"/>
          <w:spacing w:val="40"/>
        </w:rPr>
        <w:t> </w:t>
      </w:r>
      <w:r>
        <w:rPr>
          <w:color w:val="231F20"/>
        </w:rPr>
        <w:t>restricciones</w:t>
      </w:r>
      <w:r>
        <w:rPr>
          <w:color w:val="231F20"/>
          <w:spacing w:val="40"/>
        </w:rPr>
        <w:t> </w:t>
      </w:r>
      <w:r>
        <w:rPr>
          <w:color w:val="231F20"/>
        </w:rPr>
        <w:t>del</w:t>
      </w:r>
      <w:r>
        <w:rPr>
          <w:color w:val="231F20"/>
          <w:spacing w:val="40"/>
        </w:rPr>
        <w:t> </w:t>
      </w:r>
      <w:r>
        <w:rPr>
          <w:color w:val="231F20"/>
        </w:rPr>
        <w:t>bloqueo</w:t>
      </w:r>
      <w:r>
        <w:rPr>
          <w:color w:val="231F20"/>
          <w:spacing w:val="80"/>
        </w:rPr>
        <w:t> </w:t>
      </w:r>
      <w:r>
        <w:rPr>
          <w:color w:val="231F20"/>
        </w:rPr>
        <w:t>por medio de acciones ejecutivas. Por tanto,</w:t>
      </w:r>
      <w:r>
        <w:rPr>
          <w:color w:val="231F20"/>
          <w:spacing w:val="-4"/>
        </w:rPr>
        <w:t> </w:t>
      </w:r>
      <w:r>
        <w:rPr>
          <w:color w:val="231F20"/>
        </w:rPr>
        <w:t>en</w:t>
      </w:r>
      <w:r>
        <w:rPr>
          <w:color w:val="231F20"/>
          <w:spacing w:val="-4"/>
        </w:rPr>
        <w:t> </w:t>
      </w:r>
      <w:r>
        <w:rPr>
          <w:color w:val="231F20"/>
        </w:rPr>
        <w:t>base</w:t>
      </w:r>
      <w:r>
        <w:rPr>
          <w:color w:val="231F20"/>
          <w:spacing w:val="-4"/>
        </w:rPr>
        <w:t> </w:t>
      </w:r>
      <w:r>
        <w:rPr>
          <w:color w:val="231F20"/>
        </w:rPr>
        <w:t>a</w:t>
      </w:r>
      <w:r>
        <w:rPr>
          <w:color w:val="231F20"/>
          <w:spacing w:val="-4"/>
        </w:rPr>
        <w:t> </w:t>
      </w:r>
      <w:r>
        <w:rPr>
          <w:color w:val="231F20"/>
        </w:rPr>
        <w:t>sus</w:t>
      </w:r>
      <w:r>
        <w:rPr>
          <w:color w:val="231F20"/>
          <w:spacing w:val="-4"/>
        </w:rPr>
        <w:t> </w:t>
      </w:r>
      <w:r>
        <w:rPr>
          <w:color w:val="231F20"/>
        </w:rPr>
        <w:t>amplias</w:t>
      </w:r>
      <w:r>
        <w:rPr>
          <w:color w:val="231F20"/>
          <w:spacing w:val="-4"/>
        </w:rPr>
        <w:t> </w:t>
      </w:r>
      <w:r>
        <w:rPr>
          <w:color w:val="231F20"/>
        </w:rPr>
        <w:t>facultades,</w:t>
      </w:r>
      <w:r>
        <w:rPr>
          <w:color w:val="231F20"/>
          <w:spacing w:val="-4"/>
        </w:rPr>
        <w:t> </w:t>
      </w:r>
      <w:r>
        <w:rPr>
          <w:color w:val="231F20"/>
        </w:rPr>
        <w:t>el Presidente de los Estados Unidos puede anunciar</w:t>
      </w:r>
      <w:r>
        <w:rPr>
          <w:color w:val="231F20"/>
          <w:spacing w:val="40"/>
        </w:rPr>
        <w:t> </w:t>
      </w:r>
      <w:r>
        <w:rPr>
          <w:color w:val="231F20"/>
        </w:rPr>
        <w:t>modificaciones</w:t>
      </w:r>
      <w:r>
        <w:rPr>
          <w:color w:val="231F20"/>
          <w:spacing w:val="40"/>
        </w:rPr>
        <w:t> </w:t>
      </w:r>
      <w:r>
        <w:rPr>
          <w:color w:val="231F20"/>
        </w:rPr>
        <w:t>sustantivas</w:t>
      </w:r>
      <w:r>
        <w:rPr>
          <w:color w:val="231F20"/>
          <w:spacing w:val="40"/>
        </w:rPr>
        <w:t> </w:t>
      </w:r>
      <w:r>
        <w:rPr>
          <w:color w:val="231F20"/>
        </w:rPr>
        <w:t>a</w:t>
      </w:r>
      <w:r>
        <w:rPr>
          <w:color w:val="231F20"/>
          <w:spacing w:val="40"/>
        </w:rPr>
        <w:t> </w:t>
      </w:r>
      <w:r>
        <w:rPr>
          <w:color w:val="231F20"/>
        </w:rPr>
        <w:t>las disposiciones del bloqueo mediante </w:t>
      </w:r>
      <w:r>
        <w:rPr>
          <w:color w:val="231F20"/>
          <w:spacing w:val="-4"/>
        </w:rPr>
        <w:t>cambios</w:t>
      </w:r>
      <w:r>
        <w:rPr>
          <w:color w:val="231F20"/>
          <w:spacing w:val="-13"/>
        </w:rPr>
        <w:t> </w:t>
      </w:r>
      <w:r>
        <w:rPr>
          <w:color w:val="231F20"/>
          <w:spacing w:val="-4"/>
        </w:rPr>
        <w:t>regulatorios</w:t>
      </w:r>
      <w:r>
        <w:rPr>
          <w:color w:val="231F20"/>
          <w:spacing w:val="-12"/>
        </w:rPr>
        <w:t> </w:t>
      </w:r>
      <w:r>
        <w:rPr>
          <w:color w:val="231F20"/>
          <w:spacing w:val="-4"/>
        </w:rPr>
        <w:t>de</w:t>
      </w:r>
      <w:r>
        <w:rPr>
          <w:color w:val="231F20"/>
          <w:spacing w:val="-13"/>
        </w:rPr>
        <w:t> </w:t>
      </w:r>
      <w:r>
        <w:rPr>
          <w:color w:val="231F20"/>
          <w:spacing w:val="-4"/>
        </w:rPr>
        <w:t>los</w:t>
      </w:r>
      <w:r>
        <w:rPr>
          <w:color w:val="231F20"/>
          <w:spacing w:val="-12"/>
        </w:rPr>
        <w:t> </w:t>
      </w:r>
      <w:r>
        <w:rPr>
          <w:color w:val="231F20"/>
          <w:spacing w:val="-4"/>
        </w:rPr>
        <w:t>departamentos </w:t>
      </w:r>
      <w:r>
        <w:rPr>
          <w:color w:val="231F20"/>
        </w:rPr>
        <w:t>del Tesoro y el Comercio, tales como:</w:t>
      </w:r>
    </w:p>
    <w:p>
      <w:pPr>
        <w:spacing w:before="170"/>
        <w:ind w:left="1133" w:right="0" w:firstLine="0"/>
        <w:jc w:val="both"/>
        <w:rPr>
          <w:i/>
          <w:sz w:val="24"/>
        </w:rPr>
      </w:pPr>
      <w:r>
        <w:rPr/>
        <w:drawing>
          <wp:inline distT="0" distB="0" distL="0" distR="0">
            <wp:extent cx="117165" cy="86804"/>
            <wp:effectExtent l="0" t="0" r="0" b="0"/>
            <wp:docPr id="38" name="Image 38"/>
            <wp:cNvGraphicFramePr>
              <a:graphicFrameLocks/>
            </wp:cNvGraphicFramePr>
            <a:graphic>
              <a:graphicData uri="http://schemas.openxmlformats.org/drawingml/2006/picture">
                <pic:pic>
                  <pic:nvPicPr>
                    <pic:cNvPr id="38" name="Image 38"/>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pacing w:val="23"/>
          <w:sz w:val="20"/>
        </w:rPr>
        <w:t> </w:t>
      </w:r>
      <w:r>
        <w:rPr>
          <w:i/>
          <w:color w:val="1A4796"/>
          <w:sz w:val="24"/>
        </w:rPr>
        <w:t>Revertir</w:t>
      </w:r>
      <w:r>
        <w:rPr>
          <w:i/>
          <w:color w:val="1A4796"/>
          <w:spacing w:val="49"/>
          <w:sz w:val="24"/>
        </w:rPr>
        <w:t>  </w:t>
      </w:r>
      <w:r>
        <w:rPr>
          <w:i/>
          <w:color w:val="1A4796"/>
          <w:sz w:val="24"/>
        </w:rPr>
        <w:t>la</w:t>
      </w:r>
      <w:r>
        <w:rPr>
          <w:i/>
          <w:color w:val="1A4796"/>
          <w:spacing w:val="50"/>
          <w:sz w:val="24"/>
        </w:rPr>
        <w:t>  </w:t>
      </w:r>
      <w:r>
        <w:rPr>
          <w:i/>
          <w:color w:val="1A4796"/>
          <w:sz w:val="24"/>
        </w:rPr>
        <w:t>política</w:t>
      </w:r>
      <w:r>
        <w:rPr>
          <w:i/>
          <w:color w:val="1A4796"/>
          <w:spacing w:val="49"/>
          <w:sz w:val="24"/>
        </w:rPr>
        <w:t>  </w:t>
      </w:r>
      <w:r>
        <w:rPr>
          <w:i/>
          <w:color w:val="1A4796"/>
          <w:sz w:val="24"/>
        </w:rPr>
        <w:t>de</w:t>
      </w:r>
      <w:r>
        <w:rPr>
          <w:i/>
          <w:color w:val="1A4796"/>
          <w:spacing w:val="50"/>
          <w:sz w:val="24"/>
        </w:rPr>
        <w:t>  </w:t>
      </w:r>
      <w:r>
        <w:rPr>
          <w:i/>
          <w:color w:val="1A4796"/>
          <w:sz w:val="24"/>
        </w:rPr>
        <w:t>persecución</w:t>
      </w:r>
    </w:p>
    <w:p>
      <w:pPr>
        <w:spacing w:before="0"/>
        <w:ind w:left="1394" w:right="0" w:firstLine="0"/>
        <w:jc w:val="left"/>
        <w:rPr>
          <w:i/>
          <w:sz w:val="24"/>
        </w:rPr>
      </w:pPr>
      <w:r>
        <w:rPr>
          <w:i/>
          <w:color w:val="1A4796"/>
          <w:sz w:val="24"/>
        </w:rPr>
        <w:t>financiera</w:t>
      </w:r>
      <w:r>
        <w:rPr>
          <w:i/>
          <w:color w:val="1A4796"/>
          <w:spacing w:val="-4"/>
          <w:sz w:val="24"/>
        </w:rPr>
        <w:t> </w:t>
      </w:r>
      <w:r>
        <w:rPr>
          <w:i/>
          <w:color w:val="1A4796"/>
          <w:sz w:val="24"/>
        </w:rPr>
        <w:t>contra</w:t>
      </w:r>
      <w:r>
        <w:rPr>
          <w:i/>
          <w:color w:val="1A4796"/>
          <w:spacing w:val="-3"/>
          <w:sz w:val="24"/>
        </w:rPr>
        <w:t> </w:t>
      </w:r>
      <w:r>
        <w:rPr>
          <w:i/>
          <w:color w:val="1A4796"/>
          <w:spacing w:val="-2"/>
          <w:sz w:val="24"/>
        </w:rPr>
        <w:t>Cuba.</w:t>
      </w:r>
    </w:p>
    <w:p>
      <w:pPr>
        <w:spacing w:before="161"/>
        <w:ind w:left="1394" w:right="0" w:hanging="261"/>
        <w:jc w:val="both"/>
        <w:rPr>
          <w:i/>
          <w:sz w:val="24"/>
        </w:rPr>
      </w:pPr>
      <w:r>
        <w:rPr/>
        <w:drawing>
          <wp:inline distT="0" distB="0" distL="0" distR="0">
            <wp:extent cx="117165" cy="86804"/>
            <wp:effectExtent l="0" t="0" r="0" b="0"/>
            <wp:docPr id="39" name="Image 39"/>
            <wp:cNvGraphicFramePr>
              <a:graphicFrameLocks/>
            </wp:cNvGraphicFramePr>
            <a:graphic>
              <a:graphicData uri="http://schemas.openxmlformats.org/drawingml/2006/picture">
                <pic:pic>
                  <pic:nvPicPr>
                    <pic:cNvPr id="39" name="Image 39"/>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spacing w:val="-13"/>
          <w:sz w:val="20"/>
        </w:rPr>
        <w:t> </w:t>
      </w:r>
      <w:r>
        <w:rPr>
          <w:i/>
          <w:color w:val="1A4796"/>
          <w:spacing w:val="-6"/>
          <w:sz w:val="24"/>
        </w:rPr>
        <w:t>Posibilitar</w:t>
      </w:r>
      <w:r>
        <w:rPr>
          <w:i/>
          <w:color w:val="1A4796"/>
          <w:spacing w:val="-10"/>
          <w:sz w:val="24"/>
        </w:rPr>
        <w:t> </w:t>
      </w:r>
      <w:r>
        <w:rPr>
          <w:i/>
          <w:color w:val="1A4796"/>
          <w:spacing w:val="-6"/>
          <w:sz w:val="24"/>
        </w:rPr>
        <w:t>a</w:t>
      </w:r>
      <w:r>
        <w:rPr>
          <w:i/>
          <w:color w:val="1A4796"/>
          <w:spacing w:val="-11"/>
          <w:sz w:val="24"/>
        </w:rPr>
        <w:t> </w:t>
      </w:r>
      <w:r>
        <w:rPr>
          <w:i/>
          <w:color w:val="1A4796"/>
          <w:spacing w:val="-6"/>
          <w:sz w:val="24"/>
        </w:rPr>
        <w:t>entidades</w:t>
      </w:r>
      <w:r>
        <w:rPr>
          <w:i/>
          <w:color w:val="1A4796"/>
          <w:spacing w:val="-10"/>
          <w:sz w:val="24"/>
        </w:rPr>
        <w:t> </w:t>
      </w:r>
      <w:r>
        <w:rPr>
          <w:i/>
          <w:color w:val="1A4796"/>
          <w:spacing w:val="-6"/>
          <w:sz w:val="24"/>
        </w:rPr>
        <w:t>cubanas,</w:t>
      </w:r>
      <w:r>
        <w:rPr>
          <w:i/>
          <w:color w:val="1A4796"/>
          <w:spacing w:val="-11"/>
          <w:sz w:val="24"/>
        </w:rPr>
        <w:t> </w:t>
      </w:r>
      <w:r>
        <w:rPr>
          <w:i/>
          <w:color w:val="1A4796"/>
          <w:spacing w:val="-6"/>
          <w:sz w:val="24"/>
        </w:rPr>
        <w:t>incluyendo</w:t>
      </w:r>
      <w:r>
        <w:rPr>
          <w:i/>
          <w:color w:val="1A4796"/>
          <w:spacing w:val="-6"/>
          <w:sz w:val="24"/>
        </w:rPr>
        <w:t> </w:t>
      </w:r>
      <w:r>
        <w:rPr>
          <w:i/>
          <w:color w:val="1A4796"/>
          <w:spacing w:val="-18"/>
          <w:sz w:val="24"/>
        </w:rPr>
        <w:t>bancos</w:t>
      </w:r>
      <w:r>
        <w:rPr>
          <w:i/>
          <w:color w:val="1A4796"/>
          <w:spacing w:val="3"/>
          <w:sz w:val="24"/>
        </w:rPr>
        <w:t> </w:t>
      </w:r>
      <w:r>
        <w:rPr>
          <w:i/>
          <w:color w:val="1A4796"/>
          <w:spacing w:val="-18"/>
          <w:sz w:val="24"/>
        </w:rPr>
        <w:t>o</w:t>
      </w:r>
      <w:r>
        <w:rPr>
          <w:i/>
          <w:color w:val="1A4796"/>
          <w:spacing w:val="3"/>
          <w:sz w:val="24"/>
        </w:rPr>
        <w:t> </w:t>
      </w:r>
      <w:r>
        <w:rPr>
          <w:i/>
          <w:color w:val="1A4796"/>
          <w:spacing w:val="-18"/>
          <w:sz w:val="24"/>
        </w:rPr>
        <w:t>empresas,</w:t>
      </w:r>
      <w:r>
        <w:rPr>
          <w:i/>
          <w:color w:val="1A4796"/>
          <w:spacing w:val="3"/>
          <w:sz w:val="24"/>
        </w:rPr>
        <w:t> </w:t>
      </w:r>
      <w:r>
        <w:rPr>
          <w:i/>
          <w:color w:val="1A4796"/>
          <w:spacing w:val="-18"/>
          <w:sz w:val="24"/>
        </w:rPr>
        <w:t>abrir</w:t>
      </w:r>
      <w:r>
        <w:rPr>
          <w:i/>
          <w:color w:val="1A4796"/>
          <w:spacing w:val="3"/>
          <w:sz w:val="24"/>
        </w:rPr>
        <w:t> </w:t>
      </w:r>
      <w:r>
        <w:rPr>
          <w:i/>
          <w:color w:val="1A4796"/>
          <w:spacing w:val="-18"/>
          <w:sz w:val="24"/>
        </w:rPr>
        <w:t>cuentas</w:t>
      </w:r>
      <w:r>
        <w:rPr>
          <w:i/>
          <w:color w:val="1A4796"/>
          <w:spacing w:val="3"/>
          <w:sz w:val="24"/>
        </w:rPr>
        <w:t> </w:t>
      </w:r>
      <w:r>
        <w:rPr>
          <w:i/>
          <w:color w:val="1A4796"/>
          <w:spacing w:val="-18"/>
          <w:sz w:val="24"/>
        </w:rPr>
        <w:t>corresponsa- </w:t>
      </w:r>
      <w:r>
        <w:rPr>
          <w:i/>
          <w:color w:val="1A4796"/>
          <w:spacing w:val="-6"/>
          <w:sz w:val="24"/>
        </w:rPr>
        <w:t>les</w:t>
      </w:r>
      <w:r>
        <w:rPr>
          <w:i/>
          <w:color w:val="1A4796"/>
          <w:spacing w:val="-29"/>
          <w:sz w:val="24"/>
        </w:rPr>
        <w:t> </w:t>
      </w:r>
      <w:r>
        <w:rPr>
          <w:i/>
          <w:color w:val="1A4796"/>
          <w:spacing w:val="-6"/>
          <w:sz w:val="24"/>
        </w:rPr>
        <w:t>en</w:t>
      </w:r>
      <w:r>
        <w:rPr>
          <w:i/>
          <w:color w:val="1A4796"/>
          <w:spacing w:val="-29"/>
          <w:sz w:val="24"/>
        </w:rPr>
        <w:t> </w:t>
      </w:r>
      <w:r>
        <w:rPr>
          <w:i/>
          <w:color w:val="1A4796"/>
          <w:spacing w:val="-6"/>
          <w:sz w:val="24"/>
        </w:rPr>
        <w:t>bancos</w:t>
      </w:r>
      <w:r>
        <w:rPr>
          <w:i/>
          <w:color w:val="1A4796"/>
          <w:spacing w:val="-29"/>
          <w:sz w:val="24"/>
        </w:rPr>
        <w:t> </w:t>
      </w:r>
      <w:r>
        <w:rPr>
          <w:i/>
          <w:color w:val="1A4796"/>
          <w:spacing w:val="-6"/>
          <w:sz w:val="24"/>
        </w:rPr>
        <w:t>de</w:t>
      </w:r>
      <w:r>
        <w:rPr>
          <w:i/>
          <w:color w:val="1A4796"/>
          <w:spacing w:val="-29"/>
          <w:sz w:val="24"/>
        </w:rPr>
        <w:t> </w:t>
      </w:r>
      <w:r>
        <w:rPr>
          <w:i/>
          <w:color w:val="1A4796"/>
          <w:spacing w:val="-6"/>
          <w:sz w:val="24"/>
        </w:rPr>
        <w:t>los</w:t>
      </w:r>
      <w:r>
        <w:rPr>
          <w:i/>
          <w:color w:val="1A4796"/>
          <w:spacing w:val="-29"/>
          <w:sz w:val="24"/>
        </w:rPr>
        <w:t> </w:t>
      </w:r>
      <w:r>
        <w:rPr>
          <w:i/>
          <w:color w:val="1A4796"/>
          <w:spacing w:val="-6"/>
          <w:sz w:val="24"/>
        </w:rPr>
        <w:t>Estados</w:t>
      </w:r>
      <w:r>
        <w:rPr>
          <w:i/>
          <w:color w:val="1A4796"/>
          <w:spacing w:val="-29"/>
          <w:sz w:val="24"/>
        </w:rPr>
        <w:t> </w:t>
      </w:r>
      <w:r>
        <w:rPr>
          <w:i/>
          <w:color w:val="1A4796"/>
          <w:spacing w:val="-6"/>
          <w:sz w:val="24"/>
        </w:rPr>
        <w:t>Unidos.</w:t>
      </w:r>
    </w:p>
    <w:p>
      <w:pPr>
        <w:spacing w:before="77"/>
        <w:ind w:left="674" w:right="1471" w:hanging="261"/>
        <w:jc w:val="both"/>
        <w:rPr>
          <w:i/>
          <w:sz w:val="24"/>
        </w:rPr>
      </w:pPr>
      <w:r>
        <w:rPr/>
        <w:br w:type="column"/>
      </w:r>
      <w:r>
        <w:rPr/>
        <w:drawing>
          <wp:inline distT="0" distB="0" distL="0" distR="0">
            <wp:extent cx="117165" cy="86804"/>
            <wp:effectExtent l="0" t="0" r="0" b="0"/>
            <wp:docPr id="40" name="Image 40"/>
            <wp:cNvGraphicFramePr>
              <a:graphicFrameLocks/>
            </wp:cNvGraphicFramePr>
            <a:graphic>
              <a:graphicData uri="http://schemas.openxmlformats.org/drawingml/2006/picture">
                <pic:pic>
                  <pic:nvPicPr>
                    <pic:cNvPr id="40" name="Image 40"/>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z w:val="20"/>
        </w:rPr>
        <w:t> </w:t>
      </w:r>
      <w:r>
        <w:rPr>
          <w:i/>
          <w:color w:val="1A4796"/>
          <w:sz w:val="24"/>
        </w:rPr>
        <w:t>Autorizar las exportaciones a Cuba de</w:t>
      </w:r>
      <w:r>
        <w:rPr>
          <w:i/>
          <w:color w:val="1A4796"/>
          <w:sz w:val="24"/>
        </w:rPr>
        <w:t> productos estadounidenses para ramas claves de la economía, como</w:t>
      </w:r>
      <w:r>
        <w:rPr>
          <w:i/>
          <w:color w:val="1A4796"/>
          <w:spacing w:val="-1"/>
          <w:sz w:val="24"/>
        </w:rPr>
        <w:t> </w:t>
      </w:r>
      <w:r>
        <w:rPr>
          <w:i/>
          <w:color w:val="1A4796"/>
          <w:sz w:val="24"/>
        </w:rPr>
        <w:t>la minería, el turismo o la biotecnología.</w:t>
      </w:r>
    </w:p>
    <w:p>
      <w:pPr>
        <w:spacing w:before="163"/>
        <w:ind w:left="674" w:right="1471" w:hanging="261"/>
        <w:jc w:val="both"/>
        <w:rPr>
          <w:i/>
          <w:sz w:val="24"/>
        </w:rPr>
      </w:pPr>
      <w:r>
        <w:rPr/>
        <w:drawing>
          <wp:inline distT="0" distB="0" distL="0" distR="0">
            <wp:extent cx="117165" cy="86804"/>
            <wp:effectExtent l="0" t="0" r="0" b="0"/>
            <wp:docPr id="41" name="Image 41"/>
            <wp:cNvGraphicFramePr>
              <a:graphicFrameLocks/>
            </wp:cNvGraphicFramePr>
            <a:graphic>
              <a:graphicData uri="http://schemas.openxmlformats.org/drawingml/2006/picture">
                <pic:pic>
                  <pic:nvPicPr>
                    <pic:cNvPr id="41" name="Image 41"/>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z w:val="20"/>
        </w:rPr>
        <w:t> </w:t>
      </w:r>
      <w:r>
        <w:rPr>
          <w:i/>
          <w:color w:val="1A4796"/>
          <w:sz w:val="24"/>
        </w:rPr>
        <w:t>Autorizar la importación en los Estados</w:t>
      </w:r>
      <w:r>
        <w:rPr>
          <w:i/>
          <w:color w:val="1A4796"/>
          <w:sz w:val="24"/>
        </w:rPr>
        <w:t> </w:t>
      </w:r>
      <w:r>
        <w:rPr>
          <w:i/>
          <w:color w:val="1A4796"/>
          <w:spacing w:val="-2"/>
          <w:sz w:val="24"/>
        </w:rPr>
        <w:t>Unidos</w:t>
      </w:r>
      <w:r>
        <w:rPr>
          <w:i/>
          <w:color w:val="1A4796"/>
          <w:spacing w:val="-9"/>
          <w:sz w:val="24"/>
        </w:rPr>
        <w:t> </w:t>
      </w:r>
      <w:r>
        <w:rPr>
          <w:i/>
          <w:color w:val="1A4796"/>
          <w:spacing w:val="-2"/>
          <w:sz w:val="24"/>
        </w:rPr>
        <w:t>de</w:t>
      </w:r>
      <w:r>
        <w:rPr>
          <w:i/>
          <w:color w:val="1A4796"/>
          <w:spacing w:val="-9"/>
          <w:sz w:val="24"/>
        </w:rPr>
        <w:t> </w:t>
      </w:r>
      <w:r>
        <w:rPr>
          <w:i/>
          <w:color w:val="1A4796"/>
          <w:spacing w:val="-2"/>
          <w:sz w:val="24"/>
        </w:rPr>
        <w:t>cualquier</w:t>
      </w:r>
      <w:r>
        <w:rPr>
          <w:i/>
          <w:color w:val="1A4796"/>
          <w:spacing w:val="-9"/>
          <w:sz w:val="24"/>
        </w:rPr>
        <w:t> </w:t>
      </w:r>
      <w:r>
        <w:rPr>
          <w:i/>
          <w:color w:val="1A4796"/>
          <w:spacing w:val="-2"/>
          <w:sz w:val="24"/>
        </w:rPr>
        <w:t>mercancía</w:t>
      </w:r>
      <w:r>
        <w:rPr>
          <w:i/>
          <w:color w:val="1A4796"/>
          <w:spacing w:val="-9"/>
          <w:sz w:val="24"/>
        </w:rPr>
        <w:t> </w:t>
      </w:r>
      <w:r>
        <w:rPr>
          <w:i/>
          <w:color w:val="1A4796"/>
          <w:spacing w:val="-2"/>
          <w:sz w:val="24"/>
        </w:rPr>
        <w:t>fabricada </w:t>
      </w:r>
      <w:r>
        <w:rPr>
          <w:i/>
          <w:color w:val="1A4796"/>
          <w:sz w:val="24"/>
        </w:rPr>
        <w:t>o derivada de productos cultivados, producidos o manufacturados en Cuba por empresas estatales (níquel, azúcar, tabaco, ron u otros).</w:t>
      </w:r>
    </w:p>
    <w:p>
      <w:pPr>
        <w:spacing w:before="165"/>
        <w:ind w:left="674" w:right="1471" w:hanging="261"/>
        <w:jc w:val="both"/>
        <w:rPr>
          <w:i/>
          <w:sz w:val="24"/>
        </w:rPr>
      </w:pPr>
      <w:r>
        <w:rPr/>
        <w:drawing>
          <wp:inline distT="0" distB="0" distL="0" distR="0">
            <wp:extent cx="117165" cy="86804"/>
            <wp:effectExtent l="0" t="0" r="0" b="0"/>
            <wp:docPr id="42" name="Image 42"/>
            <wp:cNvGraphicFramePr>
              <a:graphicFrameLocks/>
            </wp:cNvGraphicFramePr>
            <a:graphic>
              <a:graphicData uri="http://schemas.openxmlformats.org/drawingml/2006/picture">
                <pic:pic>
                  <pic:nvPicPr>
                    <pic:cNvPr id="42" name="Image 42"/>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z w:val="20"/>
        </w:rPr>
        <w:t> </w:t>
      </w:r>
      <w:r>
        <w:rPr>
          <w:i/>
          <w:color w:val="1A4796"/>
          <w:sz w:val="24"/>
        </w:rPr>
        <w:t>Permitir la exportación a Cuba de</w:t>
      </w:r>
      <w:r>
        <w:rPr>
          <w:i/>
          <w:color w:val="1A4796"/>
          <w:sz w:val="24"/>
        </w:rPr>
        <w:t> insumos y equipos médicos que </w:t>
      </w:r>
      <w:r>
        <w:rPr>
          <w:i/>
          <w:color w:val="1A4796"/>
          <w:sz w:val="24"/>
        </w:rPr>
        <w:t>puedan utilizarse</w:t>
      </w:r>
      <w:r>
        <w:rPr>
          <w:i/>
          <w:color w:val="1A4796"/>
          <w:spacing w:val="-11"/>
          <w:sz w:val="24"/>
        </w:rPr>
        <w:t> </w:t>
      </w:r>
      <w:r>
        <w:rPr>
          <w:i/>
          <w:color w:val="1A4796"/>
          <w:sz w:val="24"/>
        </w:rPr>
        <w:t>en</w:t>
      </w:r>
      <w:r>
        <w:rPr>
          <w:i/>
          <w:color w:val="1A4796"/>
          <w:spacing w:val="-11"/>
          <w:sz w:val="24"/>
        </w:rPr>
        <w:t> </w:t>
      </w:r>
      <w:r>
        <w:rPr>
          <w:i/>
          <w:color w:val="1A4796"/>
          <w:sz w:val="24"/>
        </w:rPr>
        <w:t>la</w:t>
      </w:r>
      <w:r>
        <w:rPr>
          <w:i/>
          <w:color w:val="1A4796"/>
          <w:spacing w:val="-11"/>
          <w:sz w:val="24"/>
        </w:rPr>
        <w:t> </w:t>
      </w:r>
      <w:r>
        <w:rPr>
          <w:i/>
          <w:color w:val="1A4796"/>
          <w:sz w:val="24"/>
        </w:rPr>
        <w:t>elaboración</w:t>
      </w:r>
      <w:r>
        <w:rPr>
          <w:i/>
          <w:color w:val="1A4796"/>
          <w:spacing w:val="-11"/>
          <w:sz w:val="24"/>
        </w:rPr>
        <w:t> </w:t>
      </w:r>
      <w:r>
        <w:rPr>
          <w:i/>
          <w:color w:val="1A4796"/>
          <w:sz w:val="24"/>
        </w:rPr>
        <w:t>de</w:t>
      </w:r>
      <w:r>
        <w:rPr>
          <w:i/>
          <w:color w:val="1A4796"/>
          <w:spacing w:val="-11"/>
          <w:sz w:val="24"/>
        </w:rPr>
        <w:t> </w:t>
      </w:r>
      <w:r>
        <w:rPr>
          <w:i/>
          <w:color w:val="1A4796"/>
          <w:sz w:val="24"/>
        </w:rPr>
        <w:t>productos biotecnológicos cubanos.</w:t>
      </w:r>
    </w:p>
    <w:p>
      <w:pPr>
        <w:spacing w:before="163"/>
        <w:ind w:left="674" w:right="1472" w:hanging="261"/>
        <w:jc w:val="both"/>
        <w:rPr>
          <w:i/>
          <w:sz w:val="24"/>
        </w:rPr>
      </w:pPr>
      <w:r>
        <w:rPr/>
        <w:drawing>
          <wp:inline distT="0" distB="0" distL="0" distR="0">
            <wp:extent cx="117165" cy="86804"/>
            <wp:effectExtent l="0" t="0" r="0" b="0"/>
            <wp:docPr id="43" name="Image 43"/>
            <wp:cNvGraphicFramePr>
              <a:graphicFrameLocks/>
            </wp:cNvGraphicFramePr>
            <a:graphic>
              <a:graphicData uri="http://schemas.openxmlformats.org/drawingml/2006/picture">
                <pic:pic>
                  <pic:nvPicPr>
                    <pic:cNvPr id="43" name="Image 43"/>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pacing w:val="16"/>
          <w:sz w:val="20"/>
        </w:rPr>
        <w:t> </w:t>
      </w:r>
      <w:r>
        <w:rPr>
          <w:i/>
          <w:color w:val="1A4796"/>
          <w:spacing w:val="-2"/>
          <w:sz w:val="24"/>
        </w:rPr>
        <w:t>Flexibilizar</w:t>
      </w:r>
      <w:r>
        <w:rPr>
          <w:i/>
          <w:color w:val="1A4796"/>
          <w:spacing w:val="-15"/>
          <w:sz w:val="24"/>
        </w:rPr>
        <w:t> </w:t>
      </w:r>
      <w:r>
        <w:rPr>
          <w:i/>
          <w:color w:val="1A4796"/>
          <w:spacing w:val="-2"/>
          <w:sz w:val="24"/>
        </w:rPr>
        <w:t>la</w:t>
      </w:r>
      <w:r>
        <w:rPr>
          <w:i/>
          <w:color w:val="1A4796"/>
          <w:spacing w:val="-14"/>
          <w:sz w:val="24"/>
        </w:rPr>
        <w:t> </w:t>
      </w:r>
      <w:r>
        <w:rPr>
          <w:i/>
          <w:color w:val="1A4796"/>
          <w:spacing w:val="-2"/>
          <w:sz w:val="24"/>
        </w:rPr>
        <w:t>política</w:t>
      </w:r>
      <w:r>
        <w:rPr>
          <w:i/>
          <w:color w:val="1A4796"/>
          <w:spacing w:val="-15"/>
          <w:sz w:val="24"/>
        </w:rPr>
        <w:t> </w:t>
      </w:r>
      <w:r>
        <w:rPr>
          <w:i/>
          <w:color w:val="1A4796"/>
          <w:spacing w:val="-2"/>
          <w:sz w:val="24"/>
        </w:rPr>
        <w:t>de</w:t>
      </w:r>
      <w:r>
        <w:rPr>
          <w:i/>
          <w:color w:val="1A4796"/>
          <w:spacing w:val="-14"/>
          <w:sz w:val="24"/>
        </w:rPr>
        <w:t> </w:t>
      </w:r>
      <w:r>
        <w:rPr>
          <w:i/>
          <w:color w:val="1A4796"/>
          <w:spacing w:val="-2"/>
          <w:sz w:val="24"/>
        </w:rPr>
        <w:t>otorgamiento</w:t>
      </w:r>
      <w:r>
        <w:rPr>
          <w:i/>
          <w:color w:val="1A4796"/>
          <w:spacing w:val="-15"/>
          <w:sz w:val="24"/>
        </w:rPr>
        <w:t> </w:t>
      </w:r>
      <w:r>
        <w:rPr>
          <w:i/>
          <w:color w:val="1A4796"/>
          <w:spacing w:val="-2"/>
          <w:sz w:val="24"/>
        </w:rPr>
        <w:t>de</w:t>
      </w:r>
      <w:r>
        <w:rPr>
          <w:i/>
          <w:color w:val="1A4796"/>
          <w:spacing w:val="-2"/>
          <w:sz w:val="24"/>
        </w:rPr>
        <w:t> </w:t>
      </w:r>
      <w:r>
        <w:rPr>
          <w:i/>
          <w:color w:val="1A4796"/>
          <w:sz w:val="24"/>
        </w:rPr>
        <w:t>licencias para inversiones de </w:t>
      </w:r>
      <w:r>
        <w:rPr>
          <w:i/>
          <w:color w:val="1A4796"/>
          <w:sz w:val="24"/>
        </w:rPr>
        <w:t>compañías estadounidenses en Cuba.</w:t>
      </w:r>
    </w:p>
    <w:p>
      <w:pPr>
        <w:spacing w:before="162"/>
        <w:ind w:left="674" w:right="1472" w:hanging="261"/>
        <w:jc w:val="both"/>
        <w:rPr>
          <w:i/>
          <w:sz w:val="24"/>
        </w:rPr>
      </w:pPr>
      <w:r>
        <w:rPr/>
        <w:drawing>
          <wp:inline distT="0" distB="0" distL="0" distR="0">
            <wp:extent cx="117165" cy="86804"/>
            <wp:effectExtent l="0" t="0" r="0" b="0"/>
            <wp:docPr id="44" name="Image 44"/>
            <wp:cNvGraphicFramePr>
              <a:graphicFrameLocks/>
            </wp:cNvGraphicFramePr>
            <a:graphic>
              <a:graphicData uri="http://schemas.openxmlformats.org/drawingml/2006/picture">
                <pic:pic>
                  <pic:nvPicPr>
                    <pic:cNvPr id="44" name="Image 44"/>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z w:val="20"/>
        </w:rPr>
        <w:t> </w:t>
      </w:r>
      <w:r>
        <w:rPr>
          <w:i/>
          <w:color w:val="1A4796"/>
          <w:sz w:val="24"/>
        </w:rPr>
        <w:t>Autorizar a ciudadanos de los Estados</w:t>
      </w:r>
      <w:r>
        <w:rPr>
          <w:i/>
          <w:color w:val="1A4796"/>
          <w:sz w:val="24"/>
        </w:rPr>
        <w:t> Unidos a recibir tratamientos médicos en Cuba.</w:t>
      </w:r>
    </w:p>
    <w:p>
      <w:pPr>
        <w:spacing w:before="162"/>
        <w:ind w:left="674" w:right="1472" w:hanging="261"/>
        <w:jc w:val="both"/>
        <w:rPr>
          <w:i/>
          <w:sz w:val="24"/>
        </w:rPr>
      </w:pPr>
      <w:r>
        <w:rPr/>
        <w:drawing>
          <wp:inline distT="0" distB="0" distL="0" distR="0">
            <wp:extent cx="117165" cy="86804"/>
            <wp:effectExtent l="0" t="0" r="0" b="0"/>
            <wp:docPr id="45" name="Image 45"/>
            <wp:cNvGraphicFramePr>
              <a:graphicFrameLocks/>
            </wp:cNvGraphicFramePr>
            <a:graphic>
              <a:graphicData uri="http://schemas.openxmlformats.org/drawingml/2006/picture">
                <pic:pic>
                  <pic:nvPicPr>
                    <pic:cNvPr id="45" name="Image 45"/>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pacing w:val="-13"/>
          <w:sz w:val="20"/>
        </w:rPr>
        <w:t> </w:t>
      </w:r>
      <w:r>
        <w:rPr>
          <w:i/>
          <w:color w:val="1A4796"/>
          <w:spacing w:val="-6"/>
          <w:sz w:val="24"/>
        </w:rPr>
        <w:t>Modificar</w:t>
      </w:r>
      <w:r>
        <w:rPr>
          <w:i/>
          <w:color w:val="1A4796"/>
          <w:spacing w:val="-10"/>
          <w:sz w:val="24"/>
        </w:rPr>
        <w:t> </w:t>
      </w:r>
      <w:r>
        <w:rPr>
          <w:i/>
          <w:color w:val="1A4796"/>
          <w:spacing w:val="-6"/>
          <w:sz w:val="24"/>
        </w:rPr>
        <w:t>el</w:t>
      </w:r>
      <w:r>
        <w:rPr>
          <w:i/>
          <w:color w:val="1A4796"/>
          <w:spacing w:val="-11"/>
          <w:sz w:val="24"/>
        </w:rPr>
        <w:t> </w:t>
      </w:r>
      <w:r>
        <w:rPr>
          <w:i/>
          <w:color w:val="1A4796"/>
          <w:spacing w:val="-6"/>
          <w:sz w:val="24"/>
        </w:rPr>
        <w:t>límite</w:t>
      </w:r>
      <w:r>
        <w:rPr>
          <w:i/>
          <w:color w:val="1A4796"/>
          <w:spacing w:val="-10"/>
          <w:sz w:val="24"/>
        </w:rPr>
        <w:t> </w:t>
      </w:r>
      <w:r>
        <w:rPr>
          <w:i/>
          <w:color w:val="1A4796"/>
          <w:spacing w:val="-6"/>
          <w:sz w:val="24"/>
        </w:rPr>
        <w:t>de</w:t>
      </w:r>
      <w:r>
        <w:rPr>
          <w:i/>
          <w:color w:val="1A4796"/>
          <w:spacing w:val="-11"/>
          <w:sz w:val="24"/>
        </w:rPr>
        <w:t> </w:t>
      </w:r>
      <w:r>
        <w:rPr>
          <w:i/>
          <w:color w:val="1A4796"/>
          <w:spacing w:val="-6"/>
          <w:sz w:val="24"/>
        </w:rPr>
        <w:t>10%</w:t>
      </w:r>
      <w:r>
        <w:rPr>
          <w:i/>
          <w:color w:val="1A4796"/>
          <w:spacing w:val="-10"/>
          <w:sz w:val="24"/>
        </w:rPr>
        <w:t> </w:t>
      </w:r>
      <w:r>
        <w:rPr>
          <w:i/>
          <w:color w:val="1A4796"/>
          <w:spacing w:val="-6"/>
          <w:sz w:val="24"/>
        </w:rPr>
        <w:t>de</w:t>
      </w:r>
      <w:r>
        <w:rPr>
          <w:i/>
          <w:color w:val="1A4796"/>
          <w:spacing w:val="-11"/>
          <w:sz w:val="24"/>
        </w:rPr>
        <w:t> </w:t>
      </w:r>
      <w:r>
        <w:rPr>
          <w:i/>
          <w:color w:val="1A4796"/>
          <w:spacing w:val="-6"/>
          <w:sz w:val="24"/>
        </w:rPr>
        <w:t>componentes</w:t>
      </w:r>
      <w:r>
        <w:rPr>
          <w:i/>
          <w:color w:val="1A4796"/>
          <w:spacing w:val="-6"/>
          <w:sz w:val="24"/>
        </w:rPr>
        <w:t> </w:t>
      </w:r>
      <w:r>
        <w:rPr>
          <w:i/>
          <w:color w:val="1A4796"/>
          <w:sz w:val="24"/>
        </w:rPr>
        <w:t>estadounidenses</w:t>
      </w:r>
      <w:r>
        <w:rPr>
          <w:i/>
          <w:color w:val="1A4796"/>
          <w:spacing w:val="-5"/>
          <w:sz w:val="24"/>
        </w:rPr>
        <w:t> </w:t>
      </w:r>
      <w:r>
        <w:rPr>
          <w:i/>
          <w:color w:val="1A4796"/>
          <w:sz w:val="24"/>
        </w:rPr>
        <w:t>en</w:t>
      </w:r>
      <w:r>
        <w:rPr>
          <w:i/>
          <w:color w:val="1A4796"/>
          <w:spacing w:val="-5"/>
          <w:sz w:val="24"/>
        </w:rPr>
        <w:t> </w:t>
      </w:r>
      <w:r>
        <w:rPr>
          <w:i/>
          <w:color w:val="1A4796"/>
          <w:sz w:val="24"/>
        </w:rPr>
        <w:t>los</w:t>
      </w:r>
      <w:r>
        <w:rPr>
          <w:i/>
          <w:color w:val="1A4796"/>
          <w:spacing w:val="-5"/>
          <w:sz w:val="24"/>
        </w:rPr>
        <w:t> </w:t>
      </w:r>
      <w:r>
        <w:rPr>
          <w:i/>
          <w:color w:val="1A4796"/>
          <w:sz w:val="24"/>
        </w:rPr>
        <w:t>bienes</w:t>
      </w:r>
      <w:r>
        <w:rPr>
          <w:i/>
          <w:color w:val="1A4796"/>
          <w:spacing w:val="-5"/>
          <w:sz w:val="24"/>
        </w:rPr>
        <w:t> </w:t>
      </w:r>
      <w:r>
        <w:rPr>
          <w:i/>
          <w:color w:val="1A4796"/>
          <w:sz w:val="24"/>
        </w:rPr>
        <w:t>que</w:t>
      </w:r>
      <w:r>
        <w:rPr>
          <w:i/>
          <w:color w:val="1A4796"/>
          <w:spacing w:val="-5"/>
          <w:sz w:val="24"/>
        </w:rPr>
        <w:t> </w:t>
      </w:r>
      <w:r>
        <w:rPr>
          <w:i/>
          <w:color w:val="1A4796"/>
          <w:sz w:val="24"/>
        </w:rPr>
        <w:t>Cuba puede importar de cualquier país del </w:t>
      </w:r>
      <w:r>
        <w:rPr>
          <w:i/>
          <w:color w:val="1A4796"/>
          <w:spacing w:val="-2"/>
          <w:sz w:val="24"/>
        </w:rPr>
        <w:t>mundo.</w:t>
      </w:r>
    </w:p>
    <w:p>
      <w:pPr>
        <w:pStyle w:val="BodyText"/>
        <w:spacing w:before="164"/>
        <w:ind w:left="413" w:right="1474"/>
      </w:pPr>
      <w:r>
        <w:rPr>
          <w:color w:val="231F20"/>
        </w:rPr>
        <w:t>Solo existen determinados aspectos del bloqueo que el Presidente de los Estados Unidos no puede revertir, pues requieren de</w:t>
      </w:r>
      <w:r>
        <w:rPr>
          <w:color w:val="231F20"/>
          <w:spacing w:val="-15"/>
        </w:rPr>
        <w:t> </w:t>
      </w:r>
      <w:r>
        <w:rPr>
          <w:color w:val="231F20"/>
        </w:rPr>
        <w:t>la</w:t>
      </w:r>
      <w:r>
        <w:rPr>
          <w:color w:val="231F20"/>
          <w:spacing w:val="-15"/>
        </w:rPr>
        <w:t> </w:t>
      </w:r>
      <w:r>
        <w:rPr>
          <w:color w:val="231F20"/>
        </w:rPr>
        <w:t>acción</w:t>
      </w:r>
      <w:r>
        <w:rPr>
          <w:color w:val="231F20"/>
          <w:spacing w:val="-15"/>
        </w:rPr>
        <w:t> </w:t>
      </w:r>
      <w:r>
        <w:rPr>
          <w:color w:val="231F20"/>
        </w:rPr>
        <w:t>del</w:t>
      </w:r>
      <w:r>
        <w:rPr>
          <w:color w:val="231F20"/>
          <w:spacing w:val="-15"/>
        </w:rPr>
        <w:t> </w:t>
      </w:r>
      <w:r>
        <w:rPr>
          <w:color w:val="231F20"/>
        </w:rPr>
        <w:t>Congreso</w:t>
      </w:r>
      <w:r>
        <w:rPr>
          <w:color w:val="231F20"/>
          <w:spacing w:val="-15"/>
        </w:rPr>
        <w:t> </w:t>
      </w:r>
      <w:r>
        <w:rPr>
          <w:color w:val="231F20"/>
        </w:rPr>
        <w:t>de</w:t>
      </w:r>
      <w:r>
        <w:rPr>
          <w:color w:val="231F20"/>
          <w:spacing w:val="-15"/>
        </w:rPr>
        <w:t> </w:t>
      </w:r>
      <w:r>
        <w:rPr>
          <w:color w:val="231F20"/>
        </w:rPr>
        <w:t>ese</w:t>
      </w:r>
      <w:r>
        <w:rPr>
          <w:color w:val="231F20"/>
          <w:spacing w:val="-15"/>
        </w:rPr>
        <w:t> </w:t>
      </w:r>
      <w:r>
        <w:rPr>
          <w:color w:val="231F20"/>
        </w:rPr>
        <w:t>país</w:t>
      </w:r>
      <w:r>
        <w:rPr>
          <w:color w:val="231F20"/>
          <w:spacing w:val="-16"/>
        </w:rPr>
        <w:t> </w:t>
      </w:r>
      <w:r>
        <w:rPr>
          <w:color w:val="231F20"/>
        </w:rPr>
        <w:t>para su eliminación o modificación, a saber:</w:t>
      </w:r>
    </w:p>
    <w:p>
      <w:pPr>
        <w:pStyle w:val="ListParagraph"/>
        <w:numPr>
          <w:ilvl w:val="3"/>
          <w:numId w:val="3"/>
        </w:numPr>
        <w:tabs>
          <w:tab w:pos="767" w:val="left" w:leader="none"/>
        </w:tabs>
        <w:spacing w:line="240" w:lineRule="auto" w:before="163" w:after="0"/>
        <w:ind w:left="413" w:right="1475" w:firstLine="0"/>
        <w:jc w:val="both"/>
        <w:rPr>
          <w:sz w:val="24"/>
        </w:rPr>
      </w:pPr>
      <w:r>
        <w:rPr>
          <w:color w:val="231F20"/>
          <w:sz w:val="24"/>
        </w:rPr>
        <w:t>La prohibición a subsidiarias de los Estados Unidos en terceros países de comerciar</w:t>
      </w:r>
      <w:r>
        <w:rPr>
          <w:color w:val="231F20"/>
          <w:spacing w:val="-13"/>
          <w:sz w:val="24"/>
        </w:rPr>
        <w:t> </w:t>
      </w:r>
      <w:r>
        <w:rPr>
          <w:color w:val="231F20"/>
          <w:sz w:val="24"/>
        </w:rPr>
        <w:t>bienes</w:t>
      </w:r>
      <w:r>
        <w:rPr>
          <w:color w:val="231F20"/>
          <w:spacing w:val="-13"/>
          <w:sz w:val="24"/>
        </w:rPr>
        <w:t> </w:t>
      </w:r>
      <w:r>
        <w:rPr>
          <w:color w:val="231F20"/>
          <w:sz w:val="24"/>
        </w:rPr>
        <w:t>con</w:t>
      </w:r>
      <w:r>
        <w:rPr>
          <w:color w:val="231F20"/>
          <w:spacing w:val="-13"/>
          <w:sz w:val="24"/>
        </w:rPr>
        <w:t> </w:t>
      </w:r>
      <w:r>
        <w:rPr>
          <w:color w:val="231F20"/>
          <w:sz w:val="24"/>
        </w:rPr>
        <w:t>Cuba</w:t>
      </w:r>
      <w:r>
        <w:rPr>
          <w:color w:val="231F20"/>
          <w:spacing w:val="-13"/>
          <w:sz w:val="24"/>
        </w:rPr>
        <w:t> </w:t>
      </w:r>
      <w:r>
        <w:rPr>
          <w:color w:val="231F20"/>
          <w:sz w:val="24"/>
        </w:rPr>
        <w:t>(Ley</w:t>
      </w:r>
      <w:r>
        <w:rPr>
          <w:color w:val="231F20"/>
          <w:spacing w:val="-13"/>
          <w:sz w:val="24"/>
        </w:rPr>
        <w:t> </w:t>
      </w:r>
      <w:r>
        <w:rPr>
          <w:color w:val="231F20"/>
          <w:sz w:val="24"/>
        </w:rPr>
        <w:t>Torricelli).</w:t>
      </w:r>
    </w:p>
    <w:p>
      <w:pPr>
        <w:pStyle w:val="ListParagraph"/>
        <w:numPr>
          <w:ilvl w:val="3"/>
          <w:numId w:val="3"/>
        </w:numPr>
        <w:tabs>
          <w:tab w:pos="692" w:val="left" w:leader="none"/>
        </w:tabs>
        <w:spacing w:line="240" w:lineRule="auto" w:before="163" w:after="0"/>
        <w:ind w:left="413" w:right="1474" w:firstLine="0"/>
        <w:jc w:val="both"/>
        <w:rPr>
          <w:sz w:val="24"/>
        </w:rPr>
      </w:pPr>
      <w:r>
        <w:rPr>
          <w:color w:val="231F20"/>
          <w:sz w:val="24"/>
        </w:rPr>
        <w:t>La</w:t>
      </w:r>
      <w:r>
        <w:rPr>
          <w:color w:val="231F20"/>
          <w:spacing w:val="-13"/>
          <w:sz w:val="24"/>
        </w:rPr>
        <w:t> </w:t>
      </w:r>
      <w:r>
        <w:rPr>
          <w:color w:val="231F20"/>
          <w:sz w:val="24"/>
        </w:rPr>
        <w:t>prohibición</w:t>
      </w:r>
      <w:r>
        <w:rPr>
          <w:color w:val="231F20"/>
          <w:spacing w:val="-14"/>
          <w:sz w:val="24"/>
        </w:rPr>
        <w:t> </w:t>
      </w:r>
      <w:r>
        <w:rPr>
          <w:color w:val="231F20"/>
          <w:sz w:val="24"/>
        </w:rPr>
        <w:t>de</w:t>
      </w:r>
      <w:r>
        <w:rPr>
          <w:color w:val="231F20"/>
          <w:spacing w:val="-14"/>
          <w:sz w:val="24"/>
        </w:rPr>
        <w:t> </w:t>
      </w:r>
      <w:r>
        <w:rPr>
          <w:color w:val="231F20"/>
          <w:sz w:val="24"/>
        </w:rPr>
        <w:t>realizar</w:t>
      </w:r>
      <w:r>
        <w:rPr>
          <w:color w:val="231F20"/>
          <w:spacing w:val="-13"/>
          <w:sz w:val="24"/>
        </w:rPr>
        <w:t> </w:t>
      </w:r>
      <w:r>
        <w:rPr>
          <w:color w:val="231F20"/>
          <w:sz w:val="24"/>
        </w:rPr>
        <w:t>transacciones con propiedades estadounidenses que </w:t>
      </w:r>
      <w:r>
        <w:rPr>
          <w:color w:val="231F20"/>
          <w:spacing w:val="-2"/>
          <w:sz w:val="24"/>
        </w:rPr>
        <w:t>fueron</w:t>
      </w:r>
      <w:r>
        <w:rPr>
          <w:color w:val="231F20"/>
          <w:spacing w:val="-15"/>
          <w:sz w:val="24"/>
        </w:rPr>
        <w:t> </w:t>
      </w:r>
      <w:r>
        <w:rPr>
          <w:color w:val="231F20"/>
          <w:spacing w:val="-2"/>
          <w:sz w:val="24"/>
        </w:rPr>
        <w:t>nacionalizadas</w:t>
      </w:r>
      <w:r>
        <w:rPr>
          <w:color w:val="231F20"/>
          <w:spacing w:val="-14"/>
          <w:sz w:val="24"/>
        </w:rPr>
        <w:t> </w:t>
      </w:r>
      <w:r>
        <w:rPr>
          <w:color w:val="231F20"/>
          <w:spacing w:val="-2"/>
          <w:sz w:val="24"/>
        </w:rPr>
        <w:t>en</w:t>
      </w:r>
      <w:r>
        <w:rPr>
          <w:color w:val="231F20"/>
          <w:spacing w:val="-15"/>
          <w:sz w:val="24"/>
        </w:rPr>
        <w:t> </w:t>
      </w:r>
      <w:r>
        <w:rPr>
          <w:color w:val="231F20"/>
          <w:spacing w:val="-2"/>
          <w:sz w:val="24"/>
        </w:rPr>
        <w:t>Cuba</w:t>
      </w:r>
      <w:r>
        <w:rPr>
          <w:color w:val="231F20"/>
          <w:spacing w:val="-14"/>
          <w:sz w:val="24"/>
        </w:rPr>
        <w:t> </w:t>
      </w:r>
      <w:r>
        <w:rPr>
          <w:color w:val="231F20"/>
          <w:spacing w:val="-2"/>
          <w:sz w:val="24"/>
        </w:rPr>
        <w:t>(Ley</w:t>
      </w:r>
      <w:r>
        <w:rPr>
          <w:color w:val="231F20"/>
          <w:spacing w:val="-15"/>
          <w:sz w:val="24"/>
        </w:rPr>
        <w:t> </w:t>
      </w:r>
      <w:r>
        <w:rPr>
          <w:color w:val="231F20"/>
          <w:spacing w:val="-2"/>
          <w:sz w:val="24"/>
        </w:rPr>
        <w:t>Helms- Burton).</w:t>
      </w:r>
    </w:p>
    <w:p>
      <w:pPr>
        <w:pStyle w:val="ListParagraph"/>
        <w:numPr>
          <w:ilvl w:val="3"/>
          <w:numId w:val="3"/>
        </w:numPr>
        <w:tabs>
          <w:tab w:pos="812" w:val="left" w:leader="none"/>
        </w:tabs>
        <w:spacing w:line="240" w:lineRule="auto" w:before="163" w:after="0"/>
        <w:ind w:left="413" w:right="1472" w:firstLine="0"/>
        <w:jc w:val="both"/>
        <w:rPr>
          <w:sz w:val="24"/>
        </w:rPr>
      </w:pPr>
      <w:r>
        <w:rPr>
          <w:color w:val="231F20"/>
          <w:sz w:val="24"/>
        </w:rPr>
        <w:t>El impedimento a los ciudadanos estadounidenses de viajar a Cuba con fines</w:t>
      </w:r>
      <w:r>
        <w:rPr>
          <w:color w:val="231F20"/>
          <w:spacing w:val="68"/>
          <w:sz w:val="24"/>
        </w:rPr>
        <w:t> </w:t>
      </w:r>
      <w:r>
        <w:rPr>
          <w:color w:val="231F20"/>
          <w:sz w:val="24"/>
        </w:rPr>
        <w:t>turísticos</w:t>
      </w:r>
      <w:r>
        <w:rPr>
          <w:color w:val="231F20"/>
          <w:spacing w:val="69"/>
          <w:sz w:val="24"/>
        </w:rPr>
        <w:t> </w:t>
      </w:r>
      <w:r>
        <w:rPr>
          <w:color w:val="231F20"/>
          <w:sz w:val="24"/>
        </w:rPr>
        <w:t>(Ley</w:t>
      </w:r>
      <w:r>
        <w:rPr>
          <w:color w:val="231F20"/>
          <w:spacing w:val="69"/>
          <w:sz w:val="24"/>
        </w:rPr>
        <w:t> </w:t>
      </w:r>
      <w:r>
        <w:rPr>
          <w:color w:val="231F20"/>
          <w:sz w:val="24"/>
        </w:rPr>
        <w:t>de</w:t>
      </w:r>
      <w:r>
        <w:rPr>
          <w:color w:val="231F20"/>
          <w:spacing w:val="68"/>
          <w:sz w:val="24"/>
        </w:rPr>
        <w:t> </w:t>
      </w:r>
      <w:r>
        <w:rPr>
          <w:color w:val="231F20"/>
          <w:sz w:val="24"/>
        </w:rPr>
        <w:t>Reforma</w:t>
      </w:r>
      <w:r>
        <w:rPr>
          <w:color w:val="231F20"/>
          <w:spacing w:val="69"/>
          <w:sz w:val="24"/>
        </w:rPr>
        <w:t> </w:t>
      </w:r>
      <w:r>
        <w:rPr>
          <w:color w:val="231F20"/>
          <w:sz w:val="24"/>
        </w:rPr>
        <w:t>de</w:t>
      </w:r>
      <w:r>
        <w:rPr>
          <w:color w:val="231F20"/>
          <w:spacing w:val="69"/>
          <w:sz w:val="24"/>
        </w:rPr>
        <w:t> </w:t>
      </w:r>
      <w:r>
        <w:rPr>
          <w:color w:val="231F20"/>
          <w:spacing w:val="-5"/>
          <w:sz w:val="24"/>
        </w:rPr>
        <w:t>las</w:t>
      </w:r>
    </w:p>
    <w:p>
      <w:pPr>
        <w:spacing w:after="0" w:line="240" w:lineRule="auto"/>
        <w:jc w:val="both"/>
        <w:rPr>
          <w:sz w:val="24"/>
        </w:rPr>
        <w:sectPr>
          <w:pgSz w:w="11910" w:h="16840"/>
          <w:pgMar w:header="0" w:footer="695" w:top="1260" w:bottom="880" w:left="0" w:right="0"/>
          <w:cols w:num="2" w:equalWidth="0">
            <w:col w:w="5556" w:space="40"/>
            <w:col w:w="6314"/>
          </w:cols>
        </w:sectPr>
      </w:pPr>
    </w:p>
    <w:p>
      <w:pPr>
        <w:pStyle w:val="BodyText"/>
        <w:spacing w:before="77"/>
        <w:ind w:left="1474" w:right="6008"/>
      </w:pPr>
      <w:r>
        <w:rPr>
          <w:color w:val="231F20"/>
        </w:rPr>
        <w:t>Sanciones Comerciales y Ampliación de las Exportaciones del 2000).</w:t>
      </w:r>
    </w:p>
    <w:p>
      <w:pPr>
        <w:pStyle w:val="ListParagraph"/>
        <w:numPr>
          <w:ilvl w:val="3"/>
          <w:numId w:val="3"/>
        </w:numPr>
        <w:tabs>
          <w:tab w:pos="1699" w:val="left" w:leader="none"/>
        </w:tabs>
        <w:spacing w:line="240" w:lineRule="auto" w:before="161" w:after="0"/>
        <w:ind w:left="1474" w:right="6010" w:firstLine="0"/>
        <w:jc w:val="both"/>
        <w:rPr>
          <w:sz w:val="24"/>
        </w:rPr>
      </w:pPr>
      <w:r>
        <w:rPr>
          <w:color w:val="231F20"/>
          <w:spacing w:val="-6"/>
          <w:sz w:val="24"/>
        </w:rPr>
        <w:t>La</w:t>
      </w:r>
      <w:r>
        <w:rPr>
          <w:color w:val="231F20"/>
          <w:spacing w:val="-11"/>
          <w:sz w:val="24"/>
        </w:rPr>
        <w:t> </w:t>
      </w:r>
      <w:r>
        <w:rPr>
          <w:color w:val="231F20"/>
          <w:spacing w:val="-6"/>
          <w:sz w:val="24"/>
        </w:rPr>
        <w:t>prohibición</w:t>
      </w:r>
      <w:r>
        <w:rPr>
          <w:color w:val="231F20"/>
          <w:spacing w:val="-10"/>
          <w:sz w:val="24"/>
        </w:rPr>
        <w:t> </w:t>
      </w:r>
      <w:r>
        <w:rPr>
          <w:color w:val="231F20"/>
          <w:spacing w:val="-6"/>
          <w:sz w:val="24"/>
        </w:rPr>
        <w:t>de</w:t>
      </w:r>
      <w:r>
        <w:rPr>
          <w:color w:val="231F20"/>
          <w:spacing w:val="-11"/>
          <w:sz w:val="24"/>
        </w:rPr>
        <w:t> </w:t>
      </w:r>
      <w:r>
        <w:rPr>
          <w:color w:val="231F20"/>
          <w:spacing w:val="-6"/>
          <w:sz w:val="24"/>
        </w:rPr>
        <w:t>otorgar</w:t>
      </w:r>
      <w:r>
        <w:rPr>
          <w:color w:val="231F20"/>
          <w:spacing w:val="-10"/>
          <w:sz w:val="24"/>
        </w:rPr>
        <w:t> </w:t>
      </w:r>
      <w:r>
        <w:rPr>
          <w:color w:val="231F20"/>
          <w:spacing w:val="-6"/>
          <w:sz w:val="24"/>
        </w:rPr>
        <w:t>financiamientos </w:t>
      </w:r>
      <w:r>
        <w:rPr>
          <w:color w:val="231F20"/>
          <w:sz w:val="24"/>
        </w:rPr>
        <w:t>para las ventas de productos agrícolas de </w:t>
      </w:r>
      <w:r>
        <w:rPr>
          <w:color w:val="231F20"/>
          <w:spacing w:val="-2"/>
          <w:sz w:val="24"/>
        </w:rPr>
        <w:t>los</w:t>
      </w:r>
      <w:r>
        <w:rPr>
          <w:color w:val="231F20"/>
          <w:spacing w:val="-15"/>
          <w:sz w:val="24"/>
        </w:rPr>
        <w:t> </w:t>
      </w:r>
      <w:r>
        <w:rPr>
          <w:color w:val="231F20"/>
          <w:spacing w:val="-2"/>
          <w:sz w:val="24"/>
        </w:rPr>
        <w:t>Estados</w:t>
      </w:r>
      <w:r>
        <w:rPr>
          <w:color w:val="231F20"/>
          <w:spacing w:val="-14"/>
          <w:sz w:val="24"/>
        </w:rPr>
        <w:t> </w:t>
      </w:r>
      <w:r>
        <w:rPr>
          <w:color w:val="231F20"/>
          <w:spacing w:val="-2"/>
          <w:sz w:val="24"/>
        </w:rPr>
        <w:t>Unidos</w:t>
      </w:r>
      <w:r>
        <w:rPr>
          <w:color w:val="231F20"/>
          <w:spacing w:val="-15"/>
          <w:sz w:val="24"/>
        </w:rPr>
        <w:t> </w:t>
      </w:r>
      <w:r>
        <w:rPr>
          <w:color w:val="231F20"/>
          <w:spacing w:val="-2"/>
          <w:sz w:val="24"/>
        </w:rPr>
        <w:t>a</w:t>
      </w:r>
      <w:r>
        <w:rPr>
          <w:color w:val="231F20"/>
          <w:spacing w:val="-14"/>
          <w:sz w:val="24"/>
        </w:rPr>
        <w:t> </w:t>
      </w:r>
      <w:r>
        <w:rPr>
          <w:color w:val="231F20"/>
          <w:spacing w:val="-2"/>
          <w:sz w:val="24"/>
        </w:rPr>
        <w:t>Cuba</w:t>
      </w:r>
      <w:r>
        <w:rPr>
          <w:color w:val="231F20"/>
          <w:spacing w:val="-15"/>
          <w:sz w:val="24"/>
        </w:rPr>
        <w:t> </w:t>
      </w:r>
      <w:r>
        <w:rPr>
          <w:color w:val="231F20"/>
          <w:spacing w:val="-2"/>
          <w:sz w:val="24"/>
        </w:rPr>
        <w:t>(Ley</w:t>
      </w:r>
      <w:r>
        <w:rPr>
          <w:color w:val="231F20"/>
          <w:spacing w:val="-14"/>
          <w:sz w:val="24"/>
        </w:rPr>
        <w:t> </w:t>
      </w:r>
      <w:r>
        <w:rPr>
          <w:color w:val="231F20"/>
          <w:spacing w:val="-2"/>
          <w:sz w:val="24"/>
        </w:rPr>
        <w:t>de</w:t>
      </w:r>
      <w:r>
        <w:rPr>
          <w:color w:val="231F20"/>
          <w:spacing w:val="-15"/>
          <w:sz w:val="24"/>
        </w:rPr>
        <w:t> </w:t>
      </w:r>
      <w:r>
        <w:rPr>
          <w:color w:val="231F20"/>
          <w:spacing w:val="-2"/>
          <w:sz w:val="24"/>
        </w:rPr>
        <w:t>Reforma de</w:t>
      </w:r>
      <w:r>
        <w:rPr>
          <w:color w:val="231F20"/>
          <w:spacing w:val="-13"/>
          <w:sz w:val="24"/>
        </w:rPr>
        <w:t> </w:t>
      </w:r>
      <w:r>
        <w:rPr>
          <w:color w:val="231F20"/>
          <w:spacing w:val="-2"/>
          <w:sz w:val="24"/>
        </w:rPr>
        <w:t>las</w:t>
      </w:r>
      <w:r>
        <w:rPr>
          <w:color w:val="231F20"/>
          <w:spacing w:val="-13"/>
          <w:sz w:val="24"/>
        </w:rPr>
        <w:t> </w:t>
      </w:r>
      <w:r>
        <w:rPr>
          <w:color w:val="231F20"/>
          <w:spacing w:val="-2"/>
          <w:sz w:val="24"/>
        </w:rPr>
        <w:t>Sanciones</w:t>
      </w:r>
      <w:r>
        <w:rPr>
          <w:color w:val="231F20"/>
          <w:spacing w:val="-13"/>
          <w:sz w:val="24"/>
        </w:rPr>
        <w:t> </w:t>
      </w:r>
      <w:r>
        <w:rPr>
          <w:color w:val="231F20"/>
          <w:spacing w:val="-2"/>
          <w:sz w:val="24"/>
        </w:rPr>
        <w:t>Comerciales</w:t>
      </w:r>
      <w:r>
        <w:rPr>
          <w:color w:val="231F20"/>
          <w:spacing w:val="-13"/>
          <w:sz w:val="24"/>
        </w:rPr>
        <w:t> </w:t>
      </w:r>
      <w:r>
        <w:rPr>
          <w:color w:val="231F20"/>
          <w:spacing w:val="-2"/>
          <w:sz w:val="24"/>
        </w:rPr>
        <w:t>y</w:t>
      </w:r>
      <w:r>
        <w:rPr>
          <w:color w:val="231F20"/>
          <w:spacing w:val="-13"/>
          <w:sz w:val="24"/>
        </w:rPr>
        <w:t> </w:t>
      </w:r>
      <w:r>
        <w:rPr>
          <w:color w:val="231F20"/>
          <w:spacing w:val="-2"/>
          <w:sz w:val="24"/>
        </w:rPr>
        <w:t>Ampliación </w:t>
      </w:r>
      <w:r>
        <w:rPr>
          <w:color w:val="231F20"/>
          <w:sz w:val="24"/>
        </w:rPr>
        <w:t>de las Exportaciones del 2000).</w:t>
      </w:r>
    </w:p>
    <w:p>
      <w:pPr>
        <w:pStyle w:val="BodyText"/>
        <w:spacing w:before="164"/>
        <w:ind w:left="1474" w:right="6008"/>
      </w:pPr>
      <w:r>
        <w:rPr>
          <w:color w:val="231F20"/>
          <w:spacing w:val="-4"/>
        </w:rPr>
        <w:t>El</w:t>
      </w:r>
      <w:r>
        <w:rPr>
          <w:color w:val="231F20"/>
          <w:spacing w:val="-13"/>
        </w:rPr>
        <w:t> </w:t>
      </w:r>
      <w:r>
        <w:rPr>
          <w:color w:val="231F20"/>
          <w:spacing w:val="-4"/>
        </w:rPr>
        <w:t>Presidente</w:t>
      </w:r>
      <w:r>
        <w:rPr>
          <w:color w:val="231F20"/>
          <w:spacing w:val="-12"/>
        </w:rPr>
        <w:t> </w:t>
      </w:r>
      <w:r>
        <w:rPr>
          <w:color w:val="231F20"/>
          <w:spacing w:val="-4"/>
        </w:rPr>
        <w:t>de</w:t>
      </w:r>
      <w:r>
        <w:rPr>
          <w:color w:val="231F20"/>
          <w:spacing w:val="-13"/>
        </w:rPr>
        <w:t> </w:t>
      </w:r>
      <w:r>
        <w:rPr>
          <w:color w:val="231F20"/>
          <w:spacing w:val="-4"/>
        </w:rPr>
        <w:t>los</w:t>
      </w:r>
      <w:r>
        <w:rPr>
          <w:color w:val="231F20"/>
          <w:spacing w:val="-12"/>
        </w:rPr>
        <w:t> </w:t>
      </w:r>
      <w:r>
        <w:rPr>
          <w:color w:val="231F20"/>
          <w:spacing w:val="-4"/>
        </w:rPr>
        <w:t>Estados</w:t>
      </w:r>
      <w:r>
        <w:rPr>
          <w:color w:val="231F20"/>
          <w:spacing w:val="-13"/>
        </w:rPr>
        <w:t> </w:t>
      </w:r>
      <w:r>
        <w:rPr>
          <w:color w:val="231F20"/>
          <w:spacing w:val="-4"/>
        </w:rPr>
        <w:t>Unidos</w:t>
      </w:r>
      <w:r>
        <w:rPr>
          <w:color w:val="231F20"/>
          <w:spacing w:val="-12"/>
        </w:rPr>
        <w:t> </w:t>
      </w:r>
      <w:r>
        <w:rPr>
          <w:color w:val="231F20"/>
          <w:spacing w:val="-4"/>
        </w:rPr>
        <w:t>pudiera </w:t>
      </w:r>
      <w:r>
        <w:rPr>
          <w:color w:val="231F20"/>
        </w:rPr>
        <w:t>hacer</w:t>
      </w:r>
      <w:r>
        <w:rPr>
          <w:color w:val="231F20"/>
          <w:spacing w:val="40"/>
        </w:rPr>
        <w:t> </w:t>
      </w:r>
      <w:r>
        <w:rPr>
          <w:color w:val="231F20"/>
        </w:rPr>
        <w:t>uso</w:t>
      </w:r>
      <w:r>
        <w:rPr>
          <w:color w:val="231F20"/>
          <w:spacing w:val="40"/>
        </w:rPr>
        <w:t> </w:t>
      </w:r>
      <w:r>
        <w:rPr>
          <w:color w:val="231F20"/>
        </w:rPr>
        <w:t>de</w:t>
      </w:r>
      <w:r>
        <w:rPr>
          <w:color w:val="231F20"/>
          <w:spacing w:val="40"/>
        </w:rPr>
        <w:t> </w:t>
      </w:r>
      <w:r>
        <w:rPr>
          <w:color w:val="231F20"/>
        </w:rPr>
        <w:t>sus</w:t>
      </w:r>
      <w:r>
        <w:rPr>
          <w:color w:val="231F20"/>
          <w:spacing w:val="40"/>
        </w:rPr>
        <w:t> </w:t>
      </w:r>
      <w:r>
        <w:rPr>
          <w:color w:val="231F20"/>
        </w:rPr>
        <w:t>amplias</w:t>
      </w:r>
      <w:r>
        <w:rPr>
          <w:color w:val="231F20"/>
          <w:spacing w:val="40"/>
        </w:rPr>
        <w:t> </w:t>
      </w:r>
      <w:r>
        <w:rPr>
          <w:color w:val="231F20"/>
        </w:rPr>
        <w:t>prorrogativas si existiera la voluntad de aliviar el daño que</w:t>
      </w:r>
      <w:r>
        <w:rPr>
          <w:color w:val="231F20"/>
          <w:spacing w:val="-7"/>
        </w:rPr>
        <w:t> </w:t>
      </w:r>
      <w:r>
        <w:rPr>
          <w:color w:val="231F20"/>
        </w:rPr>
        <w:t>provoca</w:t>
      </w:r>
      <w:r>
        <w:rPr>
          <w:color w:val="231F20"/>
          <w:spacing w:val="-7"/>
        </w:rPr>
        <w:t> </w:t>
      </w:r>
      <w:r>
        <w:rPr>
          <w:color w:val="231F20"/>
        </w:rPr>
        <w:t>el</w:t>
      </w:r>
      <w:r>
        <w:rPr>
          <w:color w:val="231F20"/>
          <w:spacing w:val="-7"/>
        </w:rPr>
        <w:t> </w:t>
      </w:r>
      <w:r>
        <w:rPr>
          <w:color w:val="231F20"/>
        </w:rPr>
        <w:t>bloqueo</w:t>
      </w:r>
      <w:r>
        <w:rPr>
          <w:color w:val="231F20"/>
          <w:spacing w:val="-7"/>
        </w:rPr>
        <w:t> </w:t>
      </w:r>
      <w:r>
        <w:rPr>
          <w:color w:val="231F20"/>
        </w:rPr>
        <w:t>al</w:t>
      </w:r>
      <w:r>
        <w:rPr>
          <w:color w:val="231F20"/>
          <w:spacing w:val="-7"/>
        </w:rPr>
        <w:t> </w:t>
      </w:r>
      <w:r>
        <w:rPr>
          <w:color w:val="231F20"/>
        </w:rPr>
        <w:t>pueblo</w:t>
      </w:r>
      <w:r>
        <w:rPr>
          <w:color w:val="231F20"/>
          <w:spacing w:val="-7"/>
        </w:rPr>
        <w:t> </w:t>
      </w:r>
      <w:r>
        <w:rPr>
          <w:color w:val="231F20"/>
        </w:rPr>
        <w:t>cubano y la disposición de superar el mayor obstáculo</w:t>
      </w:r>
      <w:r>
        <w:rPr>
          <w:color w:val="231F20"/>
          <w:spacing w:val="-7"/>
        </w:rPr>
        <w:t> </w:t>
      </w:r>
      <w:r>
        <w:rPr>
          <w:color w:val="231F20"/>
        </w:rPr>
        <w:t>para</w:t>
      </w:r>
      <w:r>
        <w:rPr>
          <w:color w:val="231F20"/>
          <w:spacing w:val="-7"/>
        </w:rPr>
        <w:t> </w:t>
      </w:r>
      <w:r>
        <w:rPr>
          <w:color w:val="231F20"/>
        </w:rPr>
        <w:t>las</w:t>
      </w:r>
      <w:r>
        <w:rPr>
          <w:color w:val="231F20"/>
          <w:spacing w:val="-7"/>
        </w:rPr>
        <w:t> </w:t>
      </w:r>
      <w:r>
        <w:rPr>
          <w:color w:val="231F20"/>
        </w:rPr>
        <w:t>relaciones</w:t>
      </w:r>
      <w:r>
        <w:rPr>
          <w:color w:val="231F20"/>
          <w:spacing w:val="-7"/>
        </w:rPr>
        <w:t> </w:t>
      </w:r>
      <w:r>
        <w:rPr>
          <w:color w:val="231F20"/>
        </w:rPr>
        <w:t>económicas, comerciales y financieras de Cuba con los Estados Unidos y el resto del mundo, así </w:t>
      </w:r>
      <w:r>
        <w:rPr>
          <w:color w:val="231F20"/>
          <w:spacing w:val="-2"/>
        </w:rPr>
        <w:t>como</w:t>
      </w:r>
      <w:r>
        <w:rPr>
          <w:color w:val="231F20"/>
          <w:spacing w:val="-9"/>
        </w:rPr>
        <w:t> </w:t>
      </w:r>
      <w:r>
        <w:rPr>
          <w:color w:val="231F20"/>
          <w:spacing w:val="-2"/>
        </w:rPr>
        <w:t>para</w:t>
      </w:r>
      <w:r>
        <w:rPr>
          <w:color w:val="231F20"/>
          <w:spacing w:val="-9"/>
        </w:rPr>
        <w:t> </w:t>
      </w:r>
      <w:r>
        <w:rPr>
          <w:color w:val="231F20"/>
          <w:spacing w:val="-2"/>
        </w:rPr>
        <w:t>el</w:t>
      </w:r>
      <w:r>
        <w:rPr>
          <w:color w:val="231F20"/>
          <w:spacing w:val="-8"/>
        </w:rPr>
        <w:t> </w:t>
      </w:r>
      <w:r>
        <w:rPr>
          <w:color w:val="231F20"/>
          <w:spacing w:val="-2"/>
        </w:rPr>
        <w:t>bienestar</w:t>
      </w:r>
      <w:r>
        <w:rPr>
          <w:color w:val="231F20"/>
          <w:spacing w:val="-9"/>
        </w:rPr>
        <w:t> </w:t>
      </w:r>
      <w:r>
        <w:rPr>
          <w:color w:val="231F20"/>
          <w:spacing w:val="-2"/>
        </w:rPr>
        <w:t>del</w:t>
      </w:r>
      <w:r>
        <w:rPr>
          <w:color w:val="231F20"/>
          <w:spacing w:val="-9"/>
        </w:rPr>
        <w:t> </w:t>
      </w:r>
      <w:r>
        <w:rPr>
          <w:color w:val="231F20"/>
          <w:spacing w:val="-2"/>
        </w:rPr>
        <w:t>pueblo</w:t>
      </w:r>
      <w:r>
        <w:rPr>
          <w:color w:val="231F20"/>
          <w:spacing w:val="-8"/>
        </w:rPr>
        <w:t> </w:t>
      </w:r>
      <w:r>
        <w:rPr>
          <w:color w:val="231F20"/>
          <w:spacing w:val="-2"/>
        </w:rPr>
        <w:t>cubano.</w:t>
      </w:r>
    </w:p>
    <w:p>
      <w:pPr>
        <w:pStyle w:val="BodyText"/>
        <w:spacing w:before="108"/>
        <w:jc w:val="left"/>
        <w:rPr>
          <w:sz w:val="20"/>
        </w:rPr>
      </w:pPr>
      <w:r>
        <w:rPr/>
        <mc:AlternateContent>
          <mc:Choice Requires="wps">
            <w:drawing>
              <wp:anchor distT="0" distB="0" distL="0" distR="0" allowOverlap="1" layoutInCell="1" locked="0" behindDoc="1" simplePos="0" relativeHeight="487602176">
                <wp:simplePos x="0" y="0"/>
                <wp:positionH relativeFrom="page">
                  <wp:posOffset>2835008</wp:posOffset>
                </wp:positionH>
                <wp:positionV relativeFrom="paragraph">
                  <wp:posOffset>252755</wp:posOffset>
                </wp:positionV>
                <wp:extent cx="909319" cy="26034"/>
                <wp:effectExtent l="0" t="0" r="0" b="0"/>
                <wp:wrapTopAndBottom/>
                <wp:docPr id="46" name="Graphic 46"/>
                <wp:cNvGraphicFramePr>
                  <a:graphicFrameLocks/>
                </wp:cNvGraphicFramePr>
                <a:graphic>
                  <a:graphicData uri="http://schemas.microsoft.com/office/word/2010/wordprocessingShape">
                    <wps:wsp>
                      <wps:cNvPr id="46" name="Graphic 46"/>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23.229004pt;margin-top:19.902pt;width:71.584pt;height:2.021pt;mso-position-horizontal-relative:page;mso-position-vertical-relative:paragraph;z-index:-15714304;mso-wrap-distance-left:0;mso-wrap-distance-right:0" id="docshape33"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sectPr>
      </w:pPr>
    </w:p>
    <w:p>
      <w:pPr>
        <w:pStyle w:val="BodyText"/>
        <w:spacing w:before="568"/>
        <w:jc w:val="left"/>
        <w:rPr>
          <w:sz w:val="56"/>
        </w:rPr>
      </w:pPr>
    </w:p>
    <w:p>
      <w:pPr>
        <w:pStyle w:val="Heading1"/>
        <w:spacing w:line="220" w:lineRule="auto"/>
        <w:ind w:right="6134"/>
        <w:jc w:val="both"/>
      </w:pPr>
      <w:r>
        <w:rPr/>
        <mc:AlternateContent>
          <mc:Choice Requires="wps">
            <w:drawing>
              <wp:anchor distT="0" distB="0" distL="0" distR="0" allowOverlap="1" layoutInCell="1" locked="0" behindDoc="1" simplePos="0" relativeHeight="485767168">
                <wp:simplePos x="0" y="0"/>
                <wp:positionH relativeFrom="page">
                  <wp:posOffset>624235</wp:posOffset>
                </wp:positionH>
                <wp:positionV relativeFrom="paragraph">
                  <wp:posOffset>-782549</wp:posOffset>
                </wp:positionV>
                <wp:extent cx="1118870" cy="1544955"/>
                <wp:effectExtent l="0" t="0" r="0" b="0"/>
                <wp:wrapNone/>
                <wp:docPr id="47" name="Textbox 47"/>
                <wp:cNvGraphicFramePr>
                  <a:graphicFrameLocks/>
                </wp:cNvGraphicFramePr>
                <a:graphic>
                  <a:graphicData uri="http://schemas.microsoft.com/office/word/2010/wordprocessingShape">
                    <wps:wsp>
                      <wps:cNvPr id="47" name="Textbox 47"/>
                      <wps:cNvSpPr txBox="1"/>
                      <wps:spPr>
                        <a:xfrm>
                          <a:off x="0" y="0"/>
                          <a:ext cx="1118870"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11"/>
                                <w:w w:val="125"/>
                                <w:sz w:val="243"/>
                              </w:rPr>
                              <w:t>0</w:t>
                            </w:r>
                            <w:r>
                              <w:rPr>
                                <w:rFonts w:ascii="Arial"/>
                                <w:color w:val="B3B4CF"/>
                                <w:spacing w:val="-1446"/>
                                <w:w w:val="104"/>
                                <w:sz w:val="243"/>
                              </w:rPr>
                              <w:t>2</w:t>
                            </w:r>
                          </w:p>
                        </w:txbxContent>
                      </wps:txbx>
                      <wps:bodyPr wrap="square" lIns="0" tIns="0" rIns="0" bIns="0" rtlCol="0">
                        <a:noAutofit/>
                      </wps:bodyPr>
                    </wps:wsp>
                  </a:graphicData>
                </a:graphic>
              </wp:anchor>
            </w:drawing>
          </mc:Choice>
          <mc:Fallback>
            <w:pict>
              <v:shape style="position:absolute;margin-left:49.152401pt;margin-top:-61.61808pt;width:88.1pt;height:121.65pt;mso-position-horizontal-relative:page;mso-position-vertical-relative:paragraph;z-index:-17549312" type="#_x0000_t202" id="docshape34" filled="false" stroked="false">
                <v:textbox inset="0,0,0,0">
                  <w:txbxContent>
                    <w:p>
                      <w:pPr>
                        <w:spacing w:line="2432" w:lineRule="exact" w:before="0"/>
                        <w:ind w:left="0" w:right="0" w:firstLine="0"/>
                        <w:jc w:val="left"/>
                        <w:rPr>
                          <w:rFonts w:ascii="Arial"/>
                          <w:sz w:val="243"/>
                        </w:rPr>
                      </w:pPr>
                      <w:r>
                        <w:rPr>
                          <w:rFonts w:ascii="Arial"/>
                          <w:color w:val="B3B4CF"/>
                          <w:spacing w:val="-11"/>
                          <w:w w:val="125"/>
                          <w:sz w:val="243"/>
                        </w:rPr>
                        <w:t>0</w:t>
                      </w:r>
                      <w:r>
                        <w:rPr>
                          <w:rFonts w:ascii="Arial"/>
                          <w:color w:val="B3B4CF"/>
                          <w:spacing w:val="-1446"/>
                          <w:w w:val="104"/>
                          <w:sz w:val="243"/>
                        </w:rPr>
                        <w:t>2</w:t>
                      </w:r>
                    </w:p>
                  </w:txbxContent>
                </v:textbox>
                <w10:wrap type="none"/>
              </v:shape>
            </w:pict>
          </mc:Fallback>
        </mc:AlternateContent>
      </w:r>
      <w:r>
        <w:rPr>
          <w:color w:val="B52628"/>
          <w:w w:val="115"/>
        </w:rPr>
        <w:t>El bloqueo viola los</w:t>
      </w:r>
      <w:r>
        <w:rPr>
          <w:color w:val="B52628"/>
          <w:spacing w:val="-35"/>
          <w:w w:val="115"/>
        </w:rPr>
        <w:t> </w:t>
      </w:r>
      <w:r>
        <w:rPr>
          <w:color w:val="B52628"/>
          <w:w w:val="115"/>
        </w:rPr>
        <w:t>derechos</w:t>
      </w:r>
      <w:r>
        <w:rPr>
          <w:color w:val="B52628"/>
          <w:spacing w:val="-35"/>
          <w:w w:val="115"/>
        </w:rPr>
        <w:t> </w:t>
      </w:r>
      <w:r>
        <w:rPr>
          <w:color w:val="B52628"/>
          <w:w w:val="115"/>
        </w:rPr>
        <w:t>del pueblo cubano</w:t>
      </w:r>
    </w:p>
    <w:p>
      <w:pPr>
        <w:pStyle w:val="BodyText"/>
        <w:spacing w:before="151"/>
        <w:jc w:val="left"/>
        <w:rPr>
          <w:rFonts w:ascii="Trebuchet MS"/>
          <w:sz w:val="20"/>
        </w:rPr>
      </w:pPr>
      <w:r>
        <w:rPr/>
        <mc:AlternateContent>
          <mc:Choice Requires="wps">
            <w:drawing>
              <wp:anchor distT="0" distB="0" distL="0" distR="0" allowOverlap="1" layoutInCell="1" locked="0" behindDoc="1" simplePos="0" relativeHeight="487602688">
                <wp:simplePos x="0" y="0"/>
                <wp:positionH relativeFrom="page">
                  <wp:posOffset>720001</wp:posOffset>
                </wp:positionH>
                <wp:positionV relativeFrom="paragraph">
                  <wp:posOffset>258806</wp:posOffset>
                </wp:positionV>
                <wp:extent cx="909319" cy="26034"/>
                <wp:effectExtent l="0" t="0" r="0" b="0"/>
                <wp:wrapTopAndBottom/>
                <wp:docPr id="48" name="Graphic 48"/>
                <wp:cNvGraphicFramePr>
                  <a:graphicFrameLocks/>
                </wp:cNvGraphicFramePr>
                <a:graphic>
                  <a:graphicData uri="http://schemas.microsoft.com/office/word/2010/wordprocessingShape">
                    <wps:wsp>
                      <wps:cNvPr id="48" name="Graphic 48"/>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56.693001pt;margin-top:20.378469pt;width:71.584pt;height:2.021pt;mso-position-horizontal-relative:page;mso-position-vertical-relative:paragraph;z-index:-15713792;mso-wrap-distance-left:0;mso-wrap-distance-right:0" id="docshape35" filled="true" fillcolor="#1f4282" stroked="false">
                <v:fill type="solid"/>
                <w10:wrap type="topAndBottom"/>
              </v:rect>
            </w:pict>
          </mc:Fallback>
        </mc:AlternateContent>
      </w:r>
    </w:p>
    <w:p>
      <w:pPr>
        <w:pStyle w:val="BodyText"/>
        <w:spacing w:before="6"/>
        <w:jc w:val="left"/>
        <w:rPr>
          <w:rFonts w:ascii="Trebuchet MS"/>
          <w:sz w:val="20"/>
        </w:rPr>
      </w:pPr>
    </w:p>
    <w:p>
      <w:pPr>
        <w:spacing w:after="0"/>
        <w:jc w:val="left"/>
        <w:rPr>
          <w:rFonts w:ascii="Trebuchet MS"/>
          <w:sz w:val="20"/>
        </w:rPr>
        <w:sectPr>
          <w:pgSz w:w="11910" w:h="16840"/>
          <w:pgMar w:header="0" w:footer="695" w:top="800" w:bottom="880" w:left="0" w:right="0"/>
        </w:sectPr>
      </w:pPr>
    </w:p>
    <w:p>
      <w:pPr>
        <w:pStyle w:val="Heading2"/>
        <w:spacing w:line="211" w:lineRule="auto" w:before="131"/>
        <w:ind w:right="130"/>
      </w:pPr>
      <w:r>
        <w:rPr>
          <w:color w:val="1F4282"/>
          <w:spacing w:val="-2"/>
          <w:w w:val="115"/>
        </w:rPr>
        <w:t>Afectaciones</w:t>
      </w:r>
      <w:r>
        <w:rPr>
          <w:color w:val="1F4282"/>
          <w:spacing w:val="-20"/>
          <w:w w:val="115"/>
        </w:rPr>
        <w:t> </w:t>
      </w:r>
      <w:r>
        <w:rPr>
          <w:color w:val="1F4282"/>
          <w:spacing w:val="-2"/>
          <w:w w:val="115"/>
        </w:rPr>
        <w:t>en</w:t>
      </w:r>
      <w:r>
        <w:rPr>
          <w:color w:val="1F4282"/>
          <w:spacing w:val="-19"/>
          <w:w w:val="115"/>
        </w:rPr>
        <w:t> </w:t>
      </w:r>
      <w:r>
        <w:rPr>
          <w:color w:val="1F4282"/>
          <w:spacing w:val="-2"/>
          <w:w w:val="115"/>
        </w:rPr>
        <w:t>los</w:t>
      </w:r>
      <w:r>
        <w:rPr>
          <w:color w:val="1F4282"/>
          <w:spacing w:val="-20"/>
          <w:w w:val="115"/>
        </w:rPr>
        <w:t> </w:t>
      </w:r>
      <w:r>
        <w:rPr>
          <w:color w:val="1F4282"/>
          <w:spacing w:val="-2"/>
          <w:w w:val="115"/>
        </w:rPr>
        <w:t>sectores </w:t>
      </w:r>
      <w:r>
        <w:rPr>
          <w:color w:val="1F4282"/>
          <w:w w:val="115"/>
        </w:rPr>
        <w:t>de mayor impacto social.</w:t>
      </w:r>
    </w:p>
    <w:p>
      <w:pPr>
        <w:pStyle w:val="BodyText"/>
        <w:spacing w:before="213"/>
        <w:ind w:left="1133"/>
      </w:pPr>
      <w:r>
        <w:rPr>
          <w:color w:val="231F20"/>
        </w:rPr>
        <w:t>El</w:t>
      </w:r>
      <w:r>
        <w:rPr>
          <w:color w:val="231F20"/>
          <w:spacing w:val="-17"/>
        </w:rPr>
        <w:t> </w:t>
      </w:r>
      <w:r>
        <w:rPr>
          <w:color w:val="231F20"/>
        </w:rPr>
        <w:t>73%</w:t>
      </w:r>
      <w:r>
        <w:rPr>
          <w:color w:val="231F20"/>
          <w:spacing w:val="-16"/>
        </w:rPr>
        <w:t> </w:t>
      </w:r>
      <w:r>
        <w:rPr>
          <w:color w:val="231F20"/>
        </w:rPr>
        <w:t>del</w:t>
      </w:r>
      <w:r>
        <w:rPr>
          <w:color w:val="231F20"/>
          <w:spacing w:val="-17"/>
        </w:rPr>
        <w:t> </w:t>
      </w:r>
      <w:r>
        <w:rPr>
          <w:color w:val="231F20"/>
        </w:rPr>
        <w:t>presupuesto</w:t>
      </w:r>
      <w:r>
        <w:rPr>
          <w:color w:val="231F20"/>
          <w:spacing w:val="-16"/>
        </w:rPr>
        <w:t> </w:t>
      </w:r>
      <w:r>
        <w:rPr>
          <w:color w:val="231F20"/>
        </w:rPr>
        <w:t>del</w:t>
      </w:r>
      <w:r>
        <w:rPr>
          <w:color w:val="231F20"/>
          <w:spacing w:val="-17"/>
        </w:rPr>
        <w:t> </w:t>
      </w:r>
      <w:r>
        <w:rPr>
          <w:color w:val="231F20"/>
        </w:rPr>
        <w:t>Estado</w:t>
      </w:r>
      <w:r>
        <w:rPr>
          <w:color w:val="231F20"/>
          <w:spacing w:val="-16"/>
        </w:rPr>
        <w:t> </w:t>
      </w:r>
      <w:r>
        <w:rPr>
          <w:color w:val="231F20"/>
        </w:rPr>
        <w:t>cubano en</w:t>
      </w:r>
      <w:r>
        <w:rPr>
          <w:color w:val="231F20"/>
          <w:spacing w:val="-3"/>
        </w:rPr>
        <w:t> </w:t>
      </w:r>
      <w:r>
        <w:rPr>
          <w:color w:val="231F20"/>
        </w:rPr>
        <w:t>2022</w:t>
      </w:r>
      <w:r>
        <w:rPr>
          <w:color w:val="231F20"/>
          <w:spacing w:val="-3"/>
        </w:rPr>
        <w:t> </w:t>
      </w:r>
      <w:r>
        <w:rPr>
          <w:color w:val="231F20"/>
        </w:rPr>
        <w:t>fue</w:t>
      </w:r>
      <w:r>
        <w:rPr>
          <w:color w:val="231F20"/>
          <w:spacing w:val="-3"/>
        </w:rPr>
        <w:t> </w:t>
      </w:r>
      <w:r>
        <w:rPr>
          <w:color w:val="231F20"/>
        </w:rPr>
        <w:t>destinado</w:t>
      </w:r>
      <w:r>
        <w:rPr>
          <w:color w:val="231F20"/>
          <w:spacing w:val="-3"/>
        </w:rPr>
        <w:t> </w:t>
      </w:r>
      <w:r>
        <w:rPr>
          <w:color w:val="231F20"/>
        </w:rPr>
        <w:t>íntegramente</w:t>
      </w:r>
      <w:r>
        <w:rPr>
          <w:color w:val="231F20"/>
          <w:spacing w:val="-4"/>
        </w:rPr>
        <w:t> </w:t>
      </w:r>
      <w:r>
        <w:rPr>
          <w:color w:val="231F20"/>
        </w:rPr>
        <w:t>a</w:t>
      </w:r>
      <w:r>
        <w:rPr>
          <w:color w:val="231F20"/>
          <w:spacing w:val="-3"/>
        </w:rPr>
        <w:t> </w:t>
      </w:r>
      <w:r>
        <w:rPr>
          <w:color w:val="231F20"/>
        </w:rPr>
        <w:t>los </w:t>
      </w:r>
      <w:r>
        <w:rPr>
          <w:color w:val="231F20"/>
          <w:spacing w:val="-4"/>
        </w:rPr>
        <w:t>sectores</w:t>
      </w:r>
      <w:r>
        <w:rPr>
          <w:color w:val="231F20"/>
          <w:spacing w:val="-13"/>
        </w:rPr>
        <w:t> </w:t>
      </w:r>
      <w:r>
        <w:rPr>
          <w:color w:val="231F20"/>
          <w:spacing w:val="-4"/>
        </w:rPr>
        <w:t>de</w:t>
      </w:r>
      <w:r>
        <w:rPr>
          <w:color w:val="231F20"/>
          <w:spacing w:val="-12"/>
        </w:rPr>
        <w:t> </w:t>
      </w:r>
      <w:r>
        <w:rPr>
          <w:color w:val="231F20"/>
          <w:spacing w:val="-4"/>
        </w:rPr>
        <w:t>mayor</w:t>
      </w:r>
      <w:r>
        <w:rPr>
          <w:color w:val="231F20"/>
          <w:spacing w:val="-13"/>
        </w:rPr>
        <w:t> </w:t>
      </w:r>
      <w:r>
        <w:rPr>
          <w:color w:val="231F20"/>
          <w:spacing w:val="-4"/>
        </w:rPr>
        <w:t>impacto</w:t>
      </w:r>
      <w:r>
        <w:rPr>
          <w:color w:val="231F20"/>
          <w:spacing w:val="-12"/>
        </w:rPr>
        <w:t> </w:t>
      </w:r>
      <w:r>
        <w:rPr>
          <w:color w:val="231F20"/>
          <w:spacing w:val="-4"/>
        </w:rPr>
        <w:t>en</w:t>
      </w:r>
      <w:r>
        <w:rPr>
          <w:color w:val="231F20"/>
          <w:spacing w:val="-13"/>
        </w:rPr>
        <w:t> </w:t>
      </w:r>
      <w:r>
        <w:rPr>
          <w:color w:val="231F20"/>
          <w:spacing w:val="-4"/>
        </w:rPr>
        <w:t>la</w:t>
      </w:r>
      <w:r>
        <w:rPr>
          <w:color w:val="231F20"/>
          <w:spacing w:val="-12"/>
        </w:rPr>
        <w:t> </w:t>
      </w:r>
      <w:r>
        <w:rPr>
          <w:color w:val="231F20"/>
          <w:spacing w:val="-4"/>
        </w:rPr>
        <w:t>población, </w:t>
      </w:r>
      <w:r>
        <w:rPr>
          <w:color w:val="231F20"/>
        </w:rPr>
        <w:t>entre</w:t>
      </w:r>
      <w:r>
        <w:rPr>
          <w:color w:val="231F20"/>
          <w:spacing w:val="80"/>
        </w:rPr>
        <w:t> </w:t>
      </w:r>
      <w:r>
        <w:rPr>
          <w:color w:val="231F20"/>
        </w:rPr>
        <w:t>ellos,</w:t>
      </w:r>
      <w:r>
        <w:rPr>
          <w:color w:val="231F20"/>
          <w:spacing w:val="80"/>
        </w:rPr>
        <w:t> </w:t>
      </w:r>
      <w:r>
        <w:rPr>
          <w:color w:val="231F20"/>
        </w:rPr>
        <w:t>la</w:t>
      </w:r>
      <w:r>
        <w:rPr>
          <w:color w:val="231F20"/>
          <w:spacing w:val="80"/>
        </w:rPr>
        <w:t> </w:t>
      </w:r>
      <w:r>
        <w:rPr>
          <w:color w:val="231F20"/>
        </w:rPr>
        <w:t>salud,</w:t>
      </w:r>
      <w:r>
        <w:rPr>
          <w:color w:val="231F20"/>
          <w:spacing w:val="80"/>
        </w:rPr>
        <w:t> </w:t>
      </w:r>
      <w:r>
        <w:rPr>
          <w:color w:val="231F20"/>
        </w:rPr>
        <w:t>la</w:t>
      </w:r>
      <w:r>
        <w:rPr>
          <w:color w:val="231F20"/>
          <w:spacing w:val="80"/>
        </w:rPr>
        <w:t> </w:t>
      </w:r>
      <w:r>
        <w:rPr>
          <w:color w:val="231F20"/>
        </w:rPr>
        <w:t>educación</w:t>
      </w:r>
      <w:r>
        <w:rPr>
          <w:color w:val="231F20"/>
          <w:spacing w:val="80"/>
        </w:rPr>
        <w:t> </w:t>
      </w:r>
      <w:r>
        <w:rPr>
          <w:color w:val="231F20"/>
        </w:rPr>
        <w:t>y</w:t>
      </w:r>
      <w:r>
        <w:rPr>
          <w:color w:val="231F20"/>
          <w:spacing w:val="80"/>
          <w:w w:val="150"/>
        </w:rPr>
        <w:t> </w:t>
      </w:r>
      <w:r>
        <w:rPr>
          <w:color w:val="231F20"/>
        </w:rPr>
        <w:t>la seguridad social. Es una estrategia gubernamental de profunda convicción humanista, constantemente afectada por las acciones del bloqueo, que pretende convertir en reveses las conquistas que</w:t>
      </w:r>
      <w:r>
        <w:rPr>
          <w:color w:val="231F20"/>
          <w:spacing w:val="40"/>
        </w:rPr>
        <w:t> </w:t>
      </w:r>
      <w:r>
        <w:rPr>
          <w:color w:val="231F20"/>
        </w:rPr>
        <w:t>en más de 60 años ha exhibido Cuba en materia de desarrollo humano.</w:t>
      </w:r>
    </w:p>
    <w:p>
      <w:pPr>
        <w:spacing w:before="168"/>
        <w:ind w:left="1133" w:right="0" w:firstLine="0"/>
        <w:jc w:val="both"/>
        <w:rPr>
          <w:b/>
          <w:i/>
          <w:sz w:val="24"/>
        </w:rPr>
      </w:pPr>
      <w:r>
        <w:rPr>
          <w:rFonts w:ascii="Segoe UI Semibold" w:hAnsi="Segoe UI Semibold"/>
          <w:b/>
          <w:i/>
          <w:color w:val="231F20"/>
          <w:sz w:val="24"/>
        </w:rPr>
        <w:t>Durante el período que abarca este</w:t>
      </w:r>
      <w:r>
        <w:rPr>
          <w:rFonts w:ascii="Segoe UI Semibold" w:hAnsi="Segoe UI Semibold"/>
          <w:b/>
          <w:i/>
          <w:color w:val="231F20"/>
          <w:sz w:val="24"/>
        </w:rPr>
        <w:t> informe, esta política causó pérdidas en el</w:t>
      </w:r>
      <w:r>
        <w:rPr>
          <w:rFonts w:ascii="Segoe UI Semibold" w:hAnsi="Segoe UI Semibold"/>
          <w:b/>
          <w:i/>
          <w:color w:val="231F20"/>
          <w:spacing w:val="-2"/>
          <w:sz w:val="24"/>
        </w:rPr>
        <w:t> </w:t>
      </w:r>
      <w:r>
        <w:rPr>
          <w:b/>
          <w:i/>
          <w:color w:val="B52628"/>
          <w:sz w:val="24"/>
        </w:rPr>
        <w:t>sector</w:t>
      </w:r>
      <w:r>
        <w:rPr>
          <w:b/>
          <w:i/>
          <w:color w:val="B52628"/>
          <w:spacing w:val="-3"/>
          <w:sz w:val="24"/>
        </w:rPr>
        <w:t> </w:t>
      </w:r>
      <w:r>
        <w:rPr>
          <w:b/>
          <w:i/>
          <w:color w:val="B52628"/>
          <w:sz w:val="24"/>
        </w:rPr>
        <w:t>de</w:t>
      </w:r>
      <w:r>
        <w:rPr>
          <w:b/>
          <w:i/>
          <w:color w:val="B52628"/>
          <w:spacing w:val="-3"/>
          <w:sz w:val="24"/>
        </w:rPr>
        <w:t> </w:t>
      </w:r>
      <w:r>
        <w:rPr>
          <w:b/>
          <w:i/>
          <w:color w:val="B52628"/>
          <w:sz w:val="24"/>
        </w:rPr>
        <w:t>la</w:t>
      </w:r>
      <w:r>
        <w:rPr>
          <w:b/>
          <w:i/>
          <w:color w:val="B52628"/>
          <w:spacing w:val="-3"/>
          <w:sz w:val="24"/>
        </w:rPr>
        <w:t> </w:t>
      </w:r>
      <w:r>
        <w:rPr>
          <w:b/>
          <w:i/>
          <w:color w:val="B52628"/>
          <w:sz w:val="24"/>
        </w:rPr>
        <w:t>salud</w:t>
      </w:r>
      <w:r>
        <w:rPr>
          <w:b/>
          <w:i/>
          <w:color w:val="B52628"/>
          <w:spacing w:val="-3"/>
          <w:sz w:val="24"/>
        </w:rPr>
        <w:t> </w:t>
      </w:r>
      <w:r>
        <w:rPr>
          <w:rFonts w:ascii="Segoe UI Semibold" w:hAnsi="Segoe UI Semibold"/>
          <w:b/>
          <w:i/>
          <w:color w:val="231F20"/>
          <w:sz w:val="24"/>
        </w:rPr>
        <w:t>por</w:t>
      </w:r>
      <w:r>
        <w:rPr>
          <w:rFonts w:ascii="Segoe UI Semibold" w:hAnsi="Segoe UI Semibold"/>
          <w:b/>
          <w:i/>
          <w:color w:val="231F20"/>
          <w:spacing w:val="-2"/>
          <w:sz w:val="24"/>
        </w:rPr>
        <w:t> </w:t>
      </w:r>
      <w:r>
        <w:rPr>
          <w:rFonts w:ascii="Segoe UI Semibold" w:hAnsi="Segoe UI Semibold"/>
          <w:b/>
          <w:i/>
          <w:color w:val="231F20"/>
          <w:sz w:val="24"/>
        </w:rPr>
        <w:t>un</w:t>
      </w:r>
      <w:r>
        <w:rPr>
          <w:rFonts w:ascii="Segoe UI Semibold" w:hAnsi="Segoe UI Semibold"/>
          <w:b/>
          <w:i/>
          <w:color w:val="231F20"/>
          <w:spacing w:val="-2"/>
          <w:sz w:val="24"/>
        </w:rPr>
        <w:t> </w:t>
      </w:r>
      <w:r>
        <w:rPr>
          <w:rFonts w:ascii="Segoe UI Semibold" w:hAnsi="Segoe UI Semibold"/>
          <w:b/>
          <w:i/>
          <w:color w:val="231F20"/>
          <w:sz w:val="24"/>
        </w:rPr>
        <w:t>valor</w:t>
      </w:r>
      <w:r>
        <w:rPr>
          <w:rFonts w:ascii="Segoe UI Semibold" w:hAnsi="Segoe UI Semibold"/>
          <w:b/>
          <w:i/>
          <w:color w:val="231F20"/>
          <w:spacing w:val="-2"/>
          <w:sz w:val="24"/>
        </w:rPr>
        <w:t> </w:t>
      </w:r>
      <w:r>
        <w:rPr>
          <w:rFonts w:ascii="Segoe UI Semibold" w:hAnsi="Segoe UI Semibold"/>
          <w:b/>
          <w:i/>
          <w:color w:val="231F20"/>
          <w:sz w:val="24"/>
        </w:rPr>
        <w:t>de</w:t>
      </w:r>
      <w:r>
        <w:rPr>
          <w:rFonts w:ascii="Segoe UI Semibold" w:hAnsi="Segoe UI Semibold"/>
          <w:b/>
          <w:i/>
          <w:color w:val="231F20"/>
          <w:spacing w:val="-2"/>
          <w:sz w:val="24"/>
        </w:rPr>
        <w:t> </w:t>
      </w:r>
      <w:r>
        <w:rPr>
          <w:b/>
          <w:i/>
          <w:color w:val="231F20"/>
          <w:sz w:val="24"/>
        </w:rPr>
        <w:t>239</w:t>
      </w:r>
      <w:r>
        <w:rPr>
          <w:b/>
          <w:i/>
          <w:color w:val="231F20"/>
          <w:sz w:val="24"/>
        </w:rPr>
        <w:t> millones 803 mil 690 dólares</w:t>
      </w:r>
      <w:r>
        <w:rPr>
          <w:rFonts w:ascii="Segoe UI Semibold" w:hAnsi="Segoe UI Semibold"/>
          <w:b/>
          <w:i/>
          <w:color w:val="231F20"/>
          <w:sz w:val="24"/>
        </w:rPr>
        <w:t>, cifra que</w:t>
      </w:r>
      <w:r>
        <w:rPr>
          <w:rFonts w:ascii="Segoe UI Semibold" w:hAnsi="Segoe UI Semibold"/>
          <w:b/>
          <w:i/>
          <w:color w:val="231F20"/>
          <w:sz w:val="24"/>
        </w:rPr>
        <w:t> </w:t>
      </w:r>
      <w:r>
        <w:rPr>
          <w:rFonts w:ascii="Segoe UI Semibold" w:hAnsi="Segoe UI Semibold"/>
          <w:b/>
          <w:i/>
          <w:color w:val="231F20"/>
          <w:spacing w:val="-4"/>
          <w:sz w:val="24"/>
        </w:rPr>
        <w:t>supera</w:t>
      </w:r>
      <w:r>
        <w:rPr>
          <w:rFonts w:ascii="Segoe UI Semibold" w:hAnsi="Segoe UI Semibold"/>
          <w:b/>
          <w:i/>
          <w:color w:val="231F20"/>
          <w:spacing w:val="-13"/>
          <w:sz w:val="24"/>
        </w:rPr>
        <w:t> </w:t>
      </w:r>
      <w:r>
        <w:rPr>
          <w:rFonts w:ascii="Segoe UI Semibold" w:hAnsi="Segoe UI Semibold"/>
          <w:b/>
          <w:i/>
          <w:color w:val="231F20"/>
          <w:spacing w:val="-4"/>
          <w:sz w:val="24"/>
        </w:rPr>
        <w:t>en</w:t>
      </w:r>
      <w:r>
        <w:rPr>
          <w:rFonts w:ascii="Segoe UI Semibold" w:hAnsi="Segoe UI Semibold"/>
          <w:b/>
          <w:i/>
          <w:color w:val="231F20"/>
          <w:spacing w:val="-12"/>
          <w:sz w:val="24"/>
        </w:rPr>
        <w:t> </w:t>
      </w:r>
      <w:r>
        <w:rPr>
          <w:rFonts w:ascii="Segoe UI Semibold" w:hAnsi="Segoe UI Semibold"/>
          <w:b/>
          <w:i/>
          <w:color w:val="231F20"/>
          <w:spacing w:val="-4"/>
          <w:sz w:val="24"/>
        </w:rPr>
        <w:t>casi</w:t>
      </w:r>
      <w:r>
        <w:rPr>
          <w:rFonts w:ascii="Segoe UI Semibold" w:hAnsi="Segoe UI Semibold"/>
          <w:b/>
          <w:i/>
          <w:color w:val="231F20"/>
          <w:spacing w:val="-13"/>
          <w:sz w:val="24"/>
        </w:rPr>
        <w:t> </w:t>
      </w:r>
      <w:r>
        <w:rPr>
          <w:rFonts w:ascii="Segoe UI Semibold" w:hAnsi="Segoe UI Semibold"/>
          <w:b/>
          <w:i/>
          <w:color w:val="231F20"/>
          <w:spacing w:val="-4"/>
          <w:sz w:val="24"/>
        </w:rPr>
        <w:t>80</w:t>
      </w:r>
      <w:r>
        <w:rPr>
          <w:rFonts w:ascii="Segoe UI Semibold" w:hAnsi="Segoe UI Semibold"/>
          <w:b/>
          <w:i/>
          <w:color w:val="231F20"/>
          <w:spacing w:val="-12"/>
          <w:sz w:val="24"/>
        </w:rPr>
        <w:t> </w:t>
      </w:r>
      <w:r>
        <w:rPr>
          <w:rFonts w:ascii="Segoe UI Semibold" w:hAnsi="Segoe UI Semibold"/>
          <w:b/>
          <w:i/>
          <w:color w:val="231F20"/>
          <w:spacing w:val="-4"/>
          <w:sz w:val="24"/>
        </w:rPr>
        <w:t>millones</w:t>
      </w:r>
      <w:r>
        <w:rPr>
          <w:rFonts w:ascii="Segoe UI Semibold" w:hAnsi="Segoe UI Semibold"/>
          <w:b/>
          <w:i/>
          <w:color w:val="231F20"/>
          <w:spacing w:val="-13"/>
          <w:sz w:val="24"/>
        </w:rPr>
        <w:t> </w:t>
      </w:r>
      <w:r>
        <w:rPr>
          <w:rFonts w:ascii="Segoe UI Semibold" w:hAnsi="Segoe UI Semibold"/>
          <w:b/>
          <w:i/>
          <w:color w:val="231F20"/>
          <w:spacing w:val="-4"/>
          <w:sz w:val="24"/>
        </w:rPr>
        <w:t>las</w:t>
      </w:r>
      <w:r>
        <w:rPr>
          <w:rFonts w:ascii="Segoe UI Semibold" w:hAnsi="Segoe UI Semibold"/>
          <w:b/>
          <w:i/>
          <w:color w:val="231F20"/>
          <w:spacing w:val="-12"/>
          <w:sz w:val="24"/>
        </w:rPr>
        <w:t> </w:t>
      </w:r>
      <w:r>
        <w:rPr>
          <w:rFonts w:ascii="Segoe UI Semibold" w:hAnsi="Segoe UI Semibold"/>
          <w:b/>
          <w:i/>
          <w:color w:val="231F20"/>
          <w:spacing w:val="-4"/>
          <w:sz w:val="24"/>
        </w:rPr>
        <w:t>afectaciones </w:t>
      </w:r>
      <w:r>
        <w:rPr>
          <w:rFonts w:ascii="Segoe UI Semibold" w:hAnsi="Segoe UI Semibold"/>
          <w:b/>
          <w:i/>
          <w:color w:val="231F20"/>
          <w:sz w:val="24"/>
        </w:rPr>
        <w:t>reportadas en el período previo a la pandemia de la COVID-19 (abril de 2019 a</w:t>
      </w:r>
      <w:r>
        <w:rPr>
          <w:rFonts w:ascii="Segoe UI Semibold" w:hAnsi="Segoe UI Semibold"/>
          <w:b/>
          <w:i/>
          <w:color w:val="231F20"/>
          <w:spacing w:val="-9"/>
          <w:sz w:val="24"/>
        </w:rPr>
        <w:t> </w:t>
      </w:r>
      <w:r>
        <w:rPr>
          <w:rFonts w:ascii="Segoe UI Semibold" w:hAnsi="Segoe UI Semibold"/>
          <w:b/>
          <w:i/>
          <w:color w:val="231F20"/>
          <w:sz w:val="24"/>
        </w:rPr>
        <w:t>marzo</w:t>
      </w:r>
      <w:r>
        <w:rPr>
          <w:rFonts w:ascii="Segoe UI Semibold" w:hAnsi="Segoe UI Semibold"/>
          <w:b/>
          <w:i/>
          <w:color w:val="231F20"/>
          <w:spacing w:val="-9"/>
          <w:sz w:val="24"/>
        </w:rPr>
        <w:t> </w:t>
      </w:r>
      <w:r>
        <w:rPr>
          <w:rFonts w:ascii="Segoe UI Semibold" w:hAnsi="Segoe UI Semibold"/>
          <w:b/>
          <w:i/>
          <w:color w:val="231F20"/>
          <w:sz w:val="24"/>
        </w:rPr>
        <w:t>de</w:t>
      </w:r>
      <w:r>
        <w:rPr>
          <w:rFonts w:ascii="Segoe UI Semibold" w:hAnsi="Segoe UI Semibold"/>
          <w:b/>
          <w:i/>
          <w:color w:val="231F20"/>
          <w:spacing w:val="-9"/>
          <w:sz w:val="24"/>
        </w:rPr>
        <w:t> </w:t>
      </w:r>
      <w:r>
        <w:rPr>
          <w:rFonts w:ascii="Segoe UI Semibold" w:hAnsi="Segoe UI Semibold"/>
          <w:b/>
          <w:i/>
          <w:color w:val="231F20"/>
          <w:sz w:val="24"/>
        </w:rPr>
        <w:t>2020).</w:t>
      </w:r>
      <w:r>
        <w:rPr>
          <w:rFonts w:ascii="Segoe UI Semibold" w:hAnsi="Segoe UI Semibold"/>
          <w:b/>
          <w:i/>
          <w:color w:val="231F20"/>
          <w:spacing w:val="-9"/>
          <w:sz w:val="24"/>
        </w:rPr>
        <w:t> </w:t>
      </w:r>
      <w:r>
        <w:rPr>
          <w:rFonts w:ascii="Segoe UI Semibold" w:hAnsi="Segoe UI Semibold"/>
          <w:b/>
          <w:i/>
          <w:color w:val="231F20"/>
          <w:sz w:val="24"/>
        </w:rPr>
        <w:t>Los</w:t>
      </w:r>
      <w:r>
        <w:rPr>
          <w:rFonts w:ascii="Segoe UI Semibold" w:hAnsi="Segoe UI Semibold"/>
          <w:b/>
          <w:i/>
          <w:color w:val="231F20"/>
          <w:spacing w:val="-9"/>
          <w:sz w:val="24"/>
        </w:rPr>
        <w:t> </w:t>
      </w:r>
      <w:r>
        <w:rPr>
          <w:rFonts w:ascii="Segoe UI Semibold" w:hAnsi="Segoe UI Semibold"/>
          <w:b/>
          <w:i/>
          <w:color w:val="231F20"/>
          <w:sz w:val="24"/>
        </w:rPr>
        <w:t>daños</w:t>
      </w:r>
      <w:r>
        <w:rPr>
          <w:rFonts w:ascii="Segoe UI Semibold" w:hAnsi="Segoe UI Semibold"/>
          <w:b/>
          <w:i/>
          <w:color w:val="231F20"/>
          <w:spacing w:val="-9"/>
          <w:sz w:val="24"/>
        </w:rPr>
        <w:t> </w:t>
      </w:r>
      <w:r>
        <w:rPr>
          <w:rFonts w:ascii="Segoe UI Semibold" w:hAnsi="Segoe UI Semibold"/>
          <w:b/>
          <w:i/>
          <w:color w:val="231F20"/>
          <w:sz w:val="24"/>
        </w:rPr>
        <w:t>acumulados a</w:t>
      </w:r>
      <w:r>
        <w:rPr>
          <w:rFonts w:ascii="Segoe UI Semibold" w:hAnsi="Segoe UI Semibold"/>
          <w:b/>
          <w:i/>
          <w:color w:val="231F20"/>
          <w:spacing w:val="-11"/>
          <w:sz w:val="24"/>
        </w:rPr>
        <w:t> </w:t>
      </w:r>
      <w:r>
        <w:rPr>
          <w:rFonts w:ascii="Segoe UI Semibold" w:hAnsi="Segoe UI Semibold"/>
          <w:b/>
          <w:i/>
          <w:color w:val="231F20"/>
          <w:sz w:val="24"/>
        </w:rPr>
        <w:t>los</w:t>
      </w:r>
      <w:r>
        <w:rPr>
          <w:rFonts w:ascii="Segoe UI Semibold" w:hAnsi="Segoe UI Semibold"/>
          <w:b/>
          <w:i/>
          <w:color w:val="231F20"/>
          <w:spacing w:val="-11"/>
          <w:sz w:val="24"/>
        </w:rPr>
        <w:t> </w:t>
      </w:r>
      <w:r>
        <w:rPr>
          <w:rFonts w:ascii="Segoe UI Semibold" w:hAnsi="Segoe UI Semibold"/>
          <w:b/>
          <w:i/>
          <w:color w:val="231F20"/>
          <w:sz w:val="24"/>
        </w:rPr>
        <w:t>servicios</w:t>
      </w:r>
      <w:r>
        <w:rPr>
          <w:rFonts w:ascii="Segoe UI Semibold" w:hAnsi="Segoe UI Semibold"/>
          <w:b/>
          <w:i/>
          <w:color w:val="231F20"/>
          <w:spacing w:val="-11"/>
          <w:sz w:val="24"/>
        </w:rPr>
        <w:t> </w:t>
      </w:r>
      <w:r>
        <w:rPr>
          <w:rFonts w:ascii="Segoe UI Semibold" w:hAnsi="Segoe UI Semibold"/>
          <w:b/>
          <w:i/>
          <w:color w:val="231F20"/>
          <w:sz w:val="24"/>
        </w:rPr>
        <w:t>en</w:t>
      </w:r>
      <w:r>
        <w:rPr>
          <w:rFonts w:ascii="Segoe UI Semibold" w:hAnsi="Segoe UI Semibold"/>
          <w:b/>
          <w:i/>
          <w:color w:val="231F20"/>
          <w:spacing w:val="-10"/>
          <w:sz w:val="24"/>
        </w:rPr>
        <w:t> </w:t>
      </w:r>
      <w:r>
        <w:rPr>
          <w:rFonts w:ascii="Segoe UI Semibold" w:hAnsi="Segoe UI Semibold"/>
          <w:b/>
          <w:i/>
          <w:color w:val="231F20"/>
          <w:sz w:val="24"/>
        </w:rPr>
        <w:t>esta</w:t>
      </w:r>
      <w:r>
        <w:rPr>
          <w:rFonts w:ascii="Segoe UI Semibold" w:hAnsi="Segoe UI Semibold"/>
          <w:b/>
          <w:i/>
          <w:color w:val="231F20"/>
          <w:spacing w:val="-11"/>
          <w:sz w:val="24"/>
        </w:rPr>
        <w:t> </w:t>
      </w:r>
      <w:r>
        <w:rPr>
          <w:rFonts w:ascii="Segoe UI Semibold" w:hAnsi="Segoe UI Semibold"/>
          <w:b/>
          <w:i/>
          <w:color w:val="231F20"/>
          <w:sz w:val="24"/>
        </w:rPr>
        <w:t>esfera</w:t>
      </w:r>
      <w:r>
        <w:rPr>
          <w:rFonts w:ascii="Segoe UI Semibold" w:hAnsi="Segoe UI Semibold"/>
          <w:b/>
          <w:i/>
          <w:color w:val="231F20"/>
          <w:spacing w:val="-11"/>
          <w:sz w:val="24"/>
        </w:rPr>
        <w:t> </w:t>
      </w:r>
      <w:r>
        <w:rPr>
          <w:rFonts w:ascii="Segoe UI Semibold" w:hAnsi="Segoe UI Semibold"/>
          <w:b/>
          <w:i/>
          <w:color w:val="231F20"/>
          <w:sz w:val="24"/>
        </w:rPr>
        <w:t>durante</w:t>
      </w:r>
      <w:r>
        <w:rPr>
          <w:rFonts w:ascii="Segoe UI Semibold" w:hAnsi="Segoe UI Semibold"/>
          <w:b/>
          <w:i/>
          <w:color w:val="231F20"/>
          <w:spacing w:val="-11"/>
          <w:sz w:val="24"/>
        </w:rPr>
        <w:t> </w:t>
      </w:r>
      <w:r>
        <w:rPr>
          <w:rFonts w:ascii="Segoe UI Semibold" w:hAnsi="Segoe UI Semibold"/>
          <w:b/>
          <w:i/>
          <w:color w:val="231F20"/>
          <w:sz w:val="24"/>
        </w:rPr>
        <w:t>más de</w:t>
      </w:r>
      <w:r>
        <w:rPr>
          <w:rFonts w:ascii="Segoe UI Semibold" w:hAnsi="Segoe UI Semibold"/>
          <w:b/>
          <w:i/>
          <w:color w:val="231F20"/>
          <w:spacing w:val="-15"/>
          <w:sz w:val="24"/>
        </w:rPr>
        <w:t> </w:t>
      </w:r>
      <w:r>
        <w:rPr>
          <w:rFonts w:ascii="Segoe UI Semibold" w:hAnsi="Segoe UI Semibold"/>
          <w:b/>
          <w:i/>
          <w:color w:val="231F20"/>
          <w:sz w:val="24"/>
        </w:rPr>
        <w:t>seis</w:t>
      </w:r>
      <w:r>
        <w:rPr>
          <w:rFonts w:ascii="Segoe UI Semibold" w:hAnsi="Segoe UI Semibold"/>
          <w:b/>
          <w:i/>
          <w:color w:val="231F20"/>
          <w:spacing w:val="-15"/>
          <w:sz w:val="24"/>
        </w:rPr>
        <w:t> </w:t>
      </w:r>
      <w:r>
        <w:rPr>
          <w:rFonts w:ascii="Segoe UI Semibold" w:hAnsi="Segoe UI Semibold"/>
          <w:b/>
          <w:i/>
          <w:color w:val="231F20"/>
          <w:sz w:val="24"/>
        </w:rPr>
        <w:t>décadas</w:t>
      </w:r>
      <w:r>
        <w:rPr>
          <w:rFonts w:ascii="Segoe UI Semibold" w:hAnsi="Segoe UI Semibold"/>
          <w:b/>
          <w:i/>
          <w:color w:val="231F20"/>
          <w:spacing w:val="-15"/>
          <w:sz w:val="24"/>
        </w:rPr>
        <w:t> </w:t>
      </w:r>
      <w:r>
        <w:rPr>
          <w:rFonts w:ascii="Segoe UI Semibold" w:hAnsi="Segoe UI Semibold"/>
          <w:b/>
          <w:i/>
          <w:color w:val="231F20"/>
          <w:sz w:val="24"/>
        </w:rPr>
        <w:t>de</w:t>
      </w:r>
      <w:r>
        <w:rPr>
          <w:rFonts w:ascii="Segoe UI Semibold" w:hAnsi="Segoe UI Semibold"/>
          <w:b/>
          <w:i/>
          <w:color w:val="231F20"/>
          <w:spacing w:val="-15"/>
          <w:sz w:val="24"/>
        </w:rPr>
        <w:t> </w:t>
      </w:r>
      <w:r>
        <w:rPr>
          <w:rFonts w:ascii="Segoe UI Semibold" w:hAnsi="Segoe UI Semibold"/>
          <w:b/>
          <w:i/>
          <w:color w:val="231F20"/>
          <w:sz w:val="24"/>
        </w:rPr>
        <w:t>aplicación</w:t>
      </w:r>
      <w:r>
        <w:rPr>
          <w:rFonts w:ascii="Segoe UI Semibold" w:hAnsi="Segoe UI Semibold"/>
          <w:b/>
          <w:i/>
          <w:color w:val="231F20"/>
          <w:spacing w:val="-15"/>
          <w:sz w:val="24"/>
        </w:rPr>
        <w:t> </w:t>
      </w:r>
      <w:r>
        <w:rPr>
          <w:rFonts w:ascii="Segoe UI Semibold" w:hAnsi="Segoe UI Semibold"/>
          <w:b/>
          <w:i/>
          <w:color w:val="231F20"/>
          <w:sz w:val="24"/>
        </w:rPr>
        <w:t>del</w:t>
      </w:r>
      <w:r>
        <w:rPr>
          <w:rFonts w:ascii="Segoe UI Semibold" w:hAnsi="Segoe UI Semibold"/>
          <w:b/>
          <w:i/>
          <w:color w:val="231F20"/>
          <w:spacing w:val="-15"/>
          <w:sz w:val="24"/>
        </w:rPr>
        <w:t> </w:t>
      </w:r>
      <w:r>
        <w:rPr>
          <w:rFonts w:ascii="Segoe UI Semibold" w:hAnsi="Segoe UI Semibold"/>
          <w:b/>
          <w:i/>
          <w:color w:val="231F20"/>
          <w:sz w:val="24"/>
        </w:rPr>
        <w:t>bloqueo ascienden</w:t>
      </w:r>
      <w:r>
        <w:rPr>
          <w:rFonts w:ascii="Segoe UI Semibold" w:hAnsi="Segoe UI Semibold"/>
          <w:b/>
          <w:i/>
          <w:color w:val="231F20"/>
          <w:spacing w:val="8"/>
          <w:sz w:val="24"/>
        </w:rPr>
        <w:t> </w:t>
      </w:r>
      <w:r>
        <w:rPr>
          <w:rFonts w:ascii="Segoe UI Semibold" w:hAnsi="Segoe UI Semibold"/>
          <w:b/>
          <w:i/>
          <w:color w:val="231F20"/>
          <w:sz w:val="24"/>
        </w:rPr>
        <w:t>a</w:t>
      </w:r>
      <w:r>
        <w:rPr>
          <w:rFonts w:ascii="Segoe UI Semibold" w:hAnsi="Segoe UI Semibold"/>
          <w:b/>
          <w:i/>
          <w:color w:val="231F20"/>
          <w:spacing w:val="10"/>
          <w:sz w:val="24"/>
        </w:rPr>
        <w:t> </w:t>
      </w:r>
      <w:r>
        <w:rPr>
          <w:b/>
          <w:i/>
          <w:color w:val="231F20"/>
          <w:sz w:val="24"/>
        </w:rPr>
        <w:t>3</w:t>
      </w:r>
      <w:r>
        <w:rPr>
          <w:b/>
          <w:i/>
          <w:color w:val="231F20"/>
          <w:spacing w:val="9"/>
          <w:sz w:val="24"/>
        </w:rPr>
        <w:t> </w:t>
      </w:r>
      <w:r>
        <w:rPr>
          <w:b/>
          <w:i/>
          <w:color w:val="231F20"/>
          <w:sz w:val="24"/>
        </w:rPr>
        <w:t>mil</w:t>
      </w:r>
      <w:r>
        <w:rPr>
          <w:b/>
          <w:i/>
          <w:color w:val="231F20"/>
          <w:spacing w:val="10"/>
          <w:sz w:val="24"/>
        </w:rPr>
        <w:t> </w:t>
      </w:r>
      <w:r>
        <w:rPr>
          <w:b/>
          <w:i/>
          <w:color w:val="231F20"/>
          <w:sz w:val="24"/>
        </w:rPr>
        <w:t>625</w:t>
      </w:r>
      <w:r>
        <w:rPr>
          <w:b/>
          <w:i/>
          <w:color w:val="231F20"/>
          <w:spacing w:val="9"/>
          <w:sz w:val="24"/>
        </w:rPr>
        <w:t> </w:t>
      </w:r>
      <w:r>
        <w:rPr>
          <w:b/>
          <w:i/>
          <w:color w:val="231F20"/>
          <w:sz w:val="24"/>
        </w:rPr>
        <w:t>millones</w:t>
      </w:r>
      <w:r>
        <w:rPr>
          <w:b/>
          <w:i/>
          <w:color w:val="231F20"/>
          <w:spacing w:val="11"/>
          <w:sz w:val="24"/>
        </w:rPr>
        <w:t> </w:t>
      </w:r>
      <w:r>
        <w:rPr>
          <w:b/>
          <w:i/>
          <w:color w:val="231F20"/>
          <w:sz w:val="24"/>
        </w:rPr>
        <w:t>840</w:t>
      </w:r>
      <w:r>
        <w:rPr>
          <w:b/>
          <w:i/>
          <w:color w:val="231F20"/>
          <w:spacing w:val="10"/>
          <w:sz w:val="24"/>
        </w:rPr>
        <w:t> </w:t>
      </w:r>
      <w:r>
        <w:rPr>
          <w:b/>
          <w:i/>
          <w:color w:val="231F20"/>
          <w:spacing w:val="-5"/>
          <w:sz w:val="24"/>
        </w:rPr>
        <w:t>mil</w:t>
      </w:r>
    </w:p>
    <w:p>
      <w:pPr>
        <w:pStyle w:val="Heading5"/>
        <w:spacing w:line="317" w:lineRule="exact"/>
        <w:ind w:left="1133"/>
        <w:rPr>
          <w:i/>
        </w:rPr>
      </w:pPr>
      <w:r>
        <w:rPr>
          <w:i/>
          <w:color w:val="231F20"/>
        </w:rPr>
        <w:t>594</w:t>
      </w:r>
      <w:r>
        <w:rPr>
          <w:i/>
          <w:color w:val="231F20"/>
          <w:spacing w:val="-5"/>
        </w:rPr>
        <w:t> </w:t>
      </w:r>
      <w:r>
        <w:rPr>
          <w:i/>
          <w:color w:val="231F20"/>
          <w:spacing w:val="-2"/>
        </w:rPr>
        <w:t>dólares.</w:t>
      </w:r>
    </w:p>
    <w:p>
      <w:pPr>
        <w:pStyle w:val="BodyText"/>
        <w:spacing w:before="161"/>
        <w:ind w:left="1133"/>
      </w:pPr>
      <w:r>
        <w:rPr>
          <w:color w:val="231F20"/>
          <w:spacing w:val="-2"/>
        </w:rPr>
        <w:t>La</w:t>
      </w:r>
      <w:r>
        <w:rPr>
          <w:color w:val="231F20"/>
          <w:spacing w:val="-8"/>
        </w:rPr>
        <w:t> </w:t>
      </w:r>
      <w:r>
        <w:rPr>
          <w:color w:val="231F20"/>
          <w:spacing w:val="-2"/>
        </w:rPr>
        <w:t>cancelación</w:t>
      </w:r>
      <w:r>
        <w:rPr>
          <w:color w:val="231F20"/>
          <w:spacing w:val="-9"/>
        </w:rPr>
        <w:t> </w:t>
      </w:r>
      <w:r>
        <w:rPr>
          <w:color w:val="231F20"/>
          <w:spacing w:val="-2"/>
        </w:rPr>
        <w:t>de</w:t>
      </w:r>
      <w:r>
        <w:rPr>
          <w:color w:val="231F20"/>
          <w:spacing w:val="-8"/>
        </w:rPr>
        <w:t> </w:t>
      </w:r>
      <w:r>
        <w:rPr>
          <w:color w:val="231F20"/>
          <w:spacing w:val="-2"/>
        </w:rPr>
        <w:t>contratos,</w:t>
      </w:r>
      <w:r>
        <w:rPr>
          <w:color w:val="231F20"/>
          <w:spacing w:val="-9"/>
        </w:rPr>
        <w:t> </w:t>
      </w:r>
      <w:r>
        <w:rPr>
          <w:color w:val="231F20"/>
          <w:spacing w:val="-2"/>
        </w:rPr>
        <w:t>el</w:t>
      </w:r>
      <w:r>
        <w:rPr>
          <w:color w:val="231F20"/>
          <w:spacing w:val="-8"/>
        </w:rPr>
        <w:t> </w:t>
      </w:r>
      <w:r>
        <w:rPr>
          <w:color w:val="231F20"/>
          <w:spacing w:val="-2"/>
        </w:rPr>
        <w:t>incremento </w:t>
      </w:r>
      <w:r>
        <w:rPr>
          <w:color w:val="231F20"/>
        </w:rPr>
        <w:t>de los costos de comercialización y la creciente presión sobre los bancos en cualquier rincón del planeta, han tenido un impacto negativo notable en el proceso de adquisición de insumos para la</w:t>
      </w:r>
      <w:r>
        <w:rPr>
          <w:color w:val="231F20"/>
          <w:spacing w:val="54"/>
          <w:w w:val="150"/>
        </w:rPr>
        <w:t> </w:t>
      </w:r>
      <w:r>
        <w:rPr>
          <w:color w:val="231F20"/>
        </w:rPr>
        <w:t>sostenibilidad</w:t>
      </w:r>
      <w:r>
        <w:rPr>
          <w:color w:val="231F20"/>
          <w:spacing w:val="55"/>
          <w:w w:val="150"/>
        </w:rPr>
        <w:t> </w:t>
      </w:r>
      <w:r>
        <w:rPr>
          <w:color w:val="231F20"/>
        </w:rPr>
        <w:t>del</w:t>
      </w:r>
      <w:r>
        <w:rPr>
          <w:color w:val="231F20"/>
          <w:spacing w:val="55"/>
          <w:w w:val="150"/>
        </w:rPr>
        <w:t> </w:t>
      </w:r>
      <w:r>
        <w:rPr>
          <w:color w:val="231F20"/>
        </w:rPr>
        <w:t>sistema</w:t>
      </w:r>
      <w:r>
        <w:rPr>
          <w:color w:val="231F20"/>
          <w:spacing w:val="54"/>
          <w:w w:val="150"/>
        </w:rPr>
        <w:t> </w:t>
      </w:r>
      <w:r>
        <w:rPr>
          <w:color w:val="231F20"/>
        </w:rPr>
        <w:t>de</w:t>
      </w:r>
      <w:r>
        <w:rPr>
          <w:color w:val="231F20"/>
          <w:spacing w:val="55"/>
          <w:w w:val="150"/>
        </w:rPr>
        <w:t> </w:t>
      </w:r>
      <w:r>
        <w:rPr>
          <w:color w:val="231F20"/>
          <w:spacing w:val="-2"/>
        </w:rPr>
        <w:t>salud,</w:t>
      </w:r>
    </w:p>
    <w:p>
      <w:pPr>
        <w:pStyle w:val="BodyText"/>
        <w:spacing w:before="102"/>
        <w:ind w:left="412" w:right="1473"/>
      </w:pPr>
      <w:r>
        <w:rPr/>
        <w:br w:type="column"/>
      </w:r>
      <w:r>
        <w:rPr>
          <w:color w:val="231F20"/>
        </w:rPr>
        <w:t>agravado por los efectos persistentes de la pandemia de la COVID-19.</w:t>
      </w:r>
    </w:p>
    <w:p>
      <w:pPr>
        <w:pStyle w:val="BodyText"/>
        <w:spacing w:before="162"/>
        <w:ind w:left="412" w:right="1470"/>
      </w:pPr>
      <w:r>
        <w:rPr>
          <w:color w:val="231F20"/>
          <w:spacing w:val="-2"/>
        </w:rPr>
        <w:t>Mientras</w:t>
      </w:r>
      <w:r>
        <w:rPr>
          <w:color w:val="231F20"/>
          <w:spacing w:val="-11"/>
        </w:rPr>
        <w:t> </w:t>
      </w:r>
      <w:r>
        <w:rPr>
          <w:color w:val="231F20"/>
          <w:spacing w:val="-2"/>
        </w:rPr>
        <w:t>la</w:t>
      </w:r>
      <w:r>
        <w:rPr>
          <w:color w:val="231F20"/>
          <w:spacing w:val="-11"/>
        </w:rPr>
        <w:t> </w:t>
      </w:r>
      <w:r>
        <w:rPr>
          <w:color w:val="231F20"/>
          <w:spacing w:val="-2"/>
        </w:rPr>
        <w:t>COVID-19</w:t>
      </w:r>
      <w:r>
        <w:rPr>
          <w:color w:val="231F20"/>
          <w:spacing w:val="-11"/>
        </w:rPr>
        <w:t> </w:t>
      </w:r>
      <w:r>
        <w:rPr>
          <w:color w:val="231F20"/>
          <w:spacing w:val="-2"/>
        </w:rPr>
        <w:t>cobraba</w:t>
      </w:r>
      <w:r>
        <w:rPr>
          <w:color w:val="231F20"/>
          <w:spacing w:val="-11"/>
        </w:rPr>
        <w:t> </w:t>
      </w:r>
      <w:r>
        <w:rPr>
          <w:color w:val="231F20"/>
          <w:spacing w:val="-2"/>
        </w:rPr>
        <w:t>millones</w:t>
      </w:r>
      <w:r>
        <w:rPr>
          <w:color w:val="231F20"/>
          <w:spacing w:val="-11"/>
        </w:rPr>
        <w:t> </w:t>
      </w:r>
      <w:r>
        <w:rPr>
          <w:color w:val="231F20"/>
          <w:spacing w:val="-2"/>
        </w:rPr>
        <w:t>de </w:t>
      </w:r>
      <w:r>
        <w:rPr>
          <w:color w:val="231F20"/>
        </w:rPr>
        <w:t>vidas alrededor del mundo y tensaba las condiciones del sistema de salud cubano, que es público, gratuito y universal, el gobierno de los Estados Unidos no aplicó ni una sola medida de alivio del </w:t>
      </w:r>
      <w:r>
        <w:rPr>
          <w:color w:val="231F20"/>
        </w:rPr>
        <w:t>bloqueo. En su lugar, esta política inhumana se </w:t>
      </w:r>
      <w:r>
        <w:rPr>
          <w:color w:val="231F20"/>
          <w:spacing w:val="-2"/>
        </w:rPr>
        <w:t>intensificó</w:t>
      </w:r>
      <w:r>
        <w:rPr>
          <w:color w:val="231F20"/>
          <w:spacing w:val="-12"/>
        </w:rPr>
        <w:t> </w:t>
      </w:r>
      <w:r>
        <w:rPr>
          <w:color w:val="231F20"/>
          <w:spacing w:val="-2"/>
        </w:rPr>
        <w:t>y</w:t>
      </w:r>
      <w:r>
        <w:rPr>
          <w:color w:val="231F20"/>
          <w:spacing w:val="-12"/>
        </w:rPr>
        <w:t> </w:t>
      </w:r>
      <w:r>
        <w:rPr>
          <w:color w:val="231F20"/>
          <w:spacing w:val="-2"/>
        </w:rPr>
        <w:t>generó</w:t>
      </w:r>
      <w:r>
        <w:rPr>
          <w:color w:val="231F20"/>
          <w:spacing w:val="-12"/>
        </w:rPr>
        <w:t> </w:t>
      </w:r>
      <w:r>
        <w:rPr>
          <w:color w:val="231F20"/>
          <w:spacing w:val="-2"/>
        </w:rPr>
        <w:t>dificultades</w:t>
      </w:r>
      <w:r>
        <w:rPr>
          <w:color w:val="231F20"/>
          <w:spacing w:val="-12"/>
        </w:rPr>
        <w:t> </w:t>
      </w:r>
      <w:r>
        <w:rPr>
          <w:color w:val="231F20"/>
          <w:spacing w:val="-2"/>
        </w:rPr>
        <w:t>y</w:t>
      </w:r>
      <w:r>
        <w:rPr>
          <w:color w:val="231F20"/>
          <w:spacing w:val="-12"/>
        </w:rPr>
        <w:t> </w:t>
      </w:r>
      <w:r>
        <w:rPr>
          <w:color w:val="231F20"/>
          <w:spacing w:val="-2"/>
        </w:rPr>
        <w:t>demoras </w:t>
      </w:r>
      <w:r>
        <w:rPr>
          <w:color w:val="231F20"/>
        </w:rPr>
        <w:t>para</w:t>
      </w:r>
      <w:r>
        <w:rPr>
          <w:color w:val="231F20"/>
          <w:spacing w:val="-17"/>
        </w:rPr>
        <w:t> </w:t>
      </w:r>
      <w:r>
        <w:rPr>
          <w:color w:val="231F20"/>
        </w:rPr>
        <w:t>el</w:t>
      </w:r>
      <w:r>
        <w:rPr>
          <w:color w:val="231F20"/>
          <w:spacing w:val="-16"/>
        </w:rPr>
        <w:t> </w:t>
      </w:r>
      <w:r>
        <w:rPr>
          <w:color w:val="231F20"/>
        </w:rPr>
        <w:t>arribo</w:t>
      </w:r>
      <w:r>
        <w:rPr>
          <w:color w:val="231F20"/>
          <w:spacing w:val="-17"/>
        </w:rPr>
        <w:t> </w:t>
      </w:r>
      <w:r>
        <w:rPr>
          <w:color w:val="231F20"/>
        </w:rPr>
        <w:t>de</w:t>
      </w:r>
      <w:r>
        <w:rPr>
          <w:color w:val="231F20"/>
          <w:spacing w:val="-16"/>
        </w:rPr>
        <w:t> </w:t>
      </w:r>
      <w:r>
        <w:rPr>
          <w:color w:val="231F20"/>
        </w:rPr>
        <w:t>insumos</w:t>
      </w:r>
      <w:r>
        <w:rPr>
          <w:color w:val="231F20"/>
          <w:spacing w:val="-17"/>
        </w:rPr>
        <w:t> </w:t>
      </w:r>
      <w:r>
        <w:rPr>
          <w:color w:val="231F20"/>
        </w:rPr>
        <w:t>y</w:t>
      </w:r>
      <w:r>
        <w:rPr>
          <w:color w:val="231F20"/>
          <w:spacing w:val="-16"/>
        </w:rPr>
        <w:t> </w:t>
      </w:r>
      <w:r>
        <w:rPr>
          <w:color w:val="231F20"/>
        </w:rPr>
        <w:t>equipamientos médicos</w:t>
      </w:r>
      <w:r>
        <w:rPr>
          <w:color w:val="231F20"/>
          <w:spacing w:val="-7"/>
        </w:rPr>
        <w:t> </w:t>
      </w:r>
      <w:r>
        <w:rPr>
          <w:color w:val="231F20"/>
        </w:rPr>
        <w:t>imprescindibles,</w:t>
      </w:r>
      <w:r>
        <w:rPr>
          <w:color w:val="231F20"/>
          <w:spacing w:val="-7"/>
        </w:rPr>
        <w:t> </w:t>
      </w:r>
      <w:r>
        <w:rPr>
          <w:color w:val="231F20"/>
        </w:rPr>
        <w:t>incluyendo</w:t>
      </w:r>
      <w:r>
        <w:rPr>
          <w:color w:val="231F20"/>
          <w:spacing w:val="-7"/>
        </w:rPr>
        <w:t> </w:t>
      </w:r>
      <w:r>
        <w:rPr>
          <w:color w:val="231F20"/>
        </w:rPr>
        <w:t>para </w:t>
      </w:r>
      <w:r>
        <w:rPr>
          <w:color w:val="231F20"/>
          <w:spacing w:val="-2"/>
        </w:rPr>
        <w:t>la</w:t>
      </w:r>
      <w:r>
        <w:rPr>
          <w:color w:val="231F20"/>
          <w:spacing w:val="-14"/>
        </w:rPr>
        <w:t> </w:t>
      </w:r>
      <w:r>
        <w:rPr>
          <w:color w:val="231F20"/>
          <w:spacing w:val="-2"/>
        </w:rPr>
        <w:t>industrialización</w:t>
      </w:r>
      <w:r>
        <w:rPr>
          <w:color w:val="231F20"/>
          <w:spacing w:val="-14"/>
        </w:rPr>
        <w:t> </w:t>
      </w:r>
      <w:r>
        <w:rPr>
          <w:color w:val="231F20"/>
          <w:spacing w:val="-2"/>
        </w:rPr>
        <w:t>de</w:t>
      </w:r>
      <w:r>
        <w:rPr>
          <w:color w:val="231F20"/>
          <w:spacing w:val="-14"/>
        </w:rPr>
        <w:t> </w:t>
      </w:r>
      <w:r>
        <w:rPr>
          <w:color w:val="231F20"/>
          <w:spacing w:val="-2"/>
        </w:rPr>
        <w:t>las</w:t>
      </w:r>
      <w:r>
        <w:rPr>
          <w:color w:val="231F20"/>
          <w:spacing w:val="-14"/>
        </w:rPr>
        <w:t> </w:t>
      </w:r>
      <w:r>
        <w:rPr>
          <w:color w:val="231F20"/>
          <w:spacing w:val="-2"/>
        </w:rPr>
        <w:t>vacunas</w:t>
      </w:r>
      <w:r>
        <w:rPr>
          <w:color w:val="231F20"/>
          <w:spacing w:val="-14"/>
        </w:rPr>
        <w:t> </w:t>
      </w:r>
      <w:r>
        <w:rPr>
          <w:color w:val="231F20"/>
          <w:spacing w:val="-2"/>
        </w:rPr>
        <w:t>cubanas. </w:t>
      </w:r>
      <w:r>
        <w:rPr>
          <w:color w:val="231F20"/>
        </w:rPr>
        <w:t>Se obstaculizó, incluso, la adquisición de oxígeno medicinal en terceros países.</w:t>
      </w:r>
    </w:p>
    <w:p>
      <w:pPr>
        <w:pStyle w:val="BodyText"/>
        <w:spacing w:before="170"/>
        <w:ind w:left="412" w:right="1471"/>
      </w:pPr>
      <w:r>
        <w:rPr>
          <w:color w:val="231F20"/>
        </w:rPr>
        <w:t>La acción vil y deliberada de impedir el suministro de ventiladores pulmonares cuando</w:t>
      </w:r>
      <w:r>
        <w:rPr>
          <w:color w:val="231F20"/>
          <w:spacing w:val="-17"/>
        </w:rPr>
        <w:t> </w:t>
      </w:r>
      <w:r>
        <w:rPr>
          <w:color w:val="231F20"/>
        </w:rPr>
        <w:t>más</w:t>
      </w:r>
      <w:r>
        <w:rPr>
          <w:color w:val="231F20"/>
          <w:spacing w:val="-16"/>
        </w:rPr>
        <w:t> </w:t>
      </w:r>
      <w:r>
        <w:rPr>
          <w:color w:val="231F20"/>
        </w:rPr>
        <w:t>lo</w:t>
      </w:r>
      <w:r>
        <w:rPr>
          <w:color w:val="231F20"/>
          <w:spacing w:val="-17"/>
        </w:rPr>
        <w:t> </w:t>
      </w:r>
      <w:r>
        <w:rPr>
          <w:color w:val="231F20"/>
        </w:rPr>
        <w:t>necesitaba</w:t>
      </w:r>
      <w:r>
        <w:rPr>
          <w:color w:val="231F20"/>
          <w:spacing w:val="-16"/>
        </w:rPr>
        <w:t> </w:t>
      </w:r>
      <w:r>
        <w:rPr>
          <w:color w:val="231F20"/>
        </w:rPr>
        <w:t>nuestro</w:t>
      </w:r>
      <w:r>
        <w:rPr>
          <w:color w:val="231F20"/>
          <w:spacing w:val="-17"/>
        </w:rPr>
        <w:t> </w:t>
      </w:r>
      <w:r>
        <w:rPr>
          <w:color w:val="231F20"/>
        </w:rPr>
        <w:t>sistema de salud, dejó en evidencia la dimensión </w:t>
      </w:r>
      <w:r>
        <w:rPr>
          <w:color w:val="231F20"/>
          <w:spacing w:val="-2"/>
        </w:rPr>
        <w:t>profundamente</w:t>
      </w:r>
      <w:r>
        <w:rPr>
          <w:color w:val="231F20"/>
          <w:spacing w:val="-8"/>
        </w:rPr>
        <w:t> </w:t>
      </w:r>
      <w:r>
        <w:rPr>
          <w:color w:val="231F20"/>
          <w:spacing w:val="-2"/>
        </w:rPr>
        <w:t>inhumana</w:t>
      </w:r>
      <w:r>
        <w:rPr>
          <w:color w:val="231F20"/>
          <w:spacing w:val="-6"/>
        </w:rPr>
        <w:t> </w:t>
      </w:r>
      <w:r>
        <w:rPr>
          <w:color w:val="231F20"/>
          <w:spacing w:val="-2"/>
        </w:rPr>
        <w:t>de</w:t>
      </w:r>
      <w:r>
        <w:rPr>
          <w:color w:val="231F20"/>
          <w:spacing w:val="-6"/>
        </w:rPr>
        <w:t> </w:t>
      </w:r>
      <w:r>
        <w:rPr>
          <w:color w:val="231F20"/>
          <w:spacing w:val="-2"/>
        </w:rPr>
        <w:t>esta</w:t>
      </w:r>
      <w:r>
        <w:rPr>
          <w:color w:val="231F20"/>
          <w:spacing w:val="-6"/>
        </w:rPr>
        <w:t> </w:t>
      </w:r>
      <w:r>
        <w:rPr>
          <w:color w:val="231F20"/>
          <w:spacing w:val="-2"/>
        </w:rPr>
        <w:t>política, </w:t>
      </w:r>
      <w:r>
        <w:rPr>
          <w:color w:val="231F20"/>
        </w:rPr>
        <w:t>y su impacto en el derecho a la vida. El pueblo cubano supo sobreponerse y desarrollar su producción nacional con prototipos propios.</w:t>
      </w:r>
    </w:p>
    <w:p>
      <w:pPr>
        <w:pStyle w:val="BodyText"/>
        <w:spacing w:before="167"/>
        <w:ind w:left="412" w:right="1471"/>
      </w:pPr>
      <w:r>
        <w:rPr>
          <w:color w:val="231F20"/>
        </w:rPr>
        <w:t>Las condiciones excepcionales en las que </w:t>
      </w:r>
      <w:r>
        <w:rPr>
          <w:color w:val="231F20"/>
          <w:spacing w:val="-2"/>
        </w:rPr>
        <w:t>Cuba</w:t>
      </w:r>
      <w:r>
        <w:rPr>
          <w:color w:val="231F20"/>
          <w:spacing w:val="-15"/>
        </w:rPr>
        <w:t> </w:t>
      </w:r>
      <w:r>
        <w:rPr>
          <w:color w:val="231F20"/>
          <w:spacing w:val="-2"/>
        </w:rPr>
        <w:t>tuvo</w:t>
      </w:r>
      <w:r>
        <w:rPr>
          <w:color w:val="231F20"/>
          <w:spacing w:val="-14"/>
        </w:rPr>
        <w:t> </w:t>
      </w:r>
      <w:r>
        <w:rPr>
          <w:color w:val="231F20"/>
          <w:spacing w:val="-2"/>
        </w:rPr>
        <w:t>que</w:t>
      </w:r>
      <w:r>
        <w:rPr>
          <w:color w:val="231F20"/>
          <w:spacing w:val="-15"/>
        </w:rPr>
        <w:t> </w:t>
      </w:r>
      <w:r>
        <w:rPr>
          <w:color w:val="231F20"/>
          <w:spacing w:val="-2"/>
        </w:rPr>
        <w:t>hacer</w:t>
      </w:r>
      <w:r>
        <w:rPr>
          <w:color w:val="231F20"/>
          <w:spacing w:val="-14"/>
        </w:rPr>
        <w:t> </w:t>
      </w:r>
      <w:r>
        <w:rPr>
          <w:color w:val="231F20"/>
          <w:spacing w:val="-2"/>
        </w:rPr>
        <w:t>frente</w:t>
      </w:r>
      <w:r>
        <w:rPr>
          <w:color w:val="231F20"/>
          <w:spacing w:val="-15"/>
        </w:rPr>
        <w:t> </w:t>
      </w:r>
      <w:r>
        <w:rPr>
          <w:color w:val="231F20"/>
          <w:spacing w:val="-2"/>
        </w:rPr>
        <w:t>al</w:t>
      </w:r>
      <w:r>
        <w:rPr>
          <w:color w:val="231F20"/>
          <w:spacing w:val="-14"/>
        </w:rPr>
        <w:t> </w:t>
      </w:r>
      <w:r>
        <w:rPr>
          <w:color w:val="231F20"/>
          <w:spacing w:val="-2"/>
        </w:rPr>
        <w:t>SARS-COV-2 fueron</w:t>
      </w:r>
      <w:r>
        <w:rPr>
          <w:color w:val="231F20"/>
          <w:spacing w:val="-15"/>
        </w:rPr>
        <w:t> </w:t>
      </w:r>
      <w:r>
        <w:rPr>
          <w:color w:val="231F20"/>
          <w:spacing w:val="-2"/>
        </w:rPr>
        <w:t>reconocidas</w:t>
      </w:r>
      <w:r>
        <w:rPr>
          <w:color w:val="231F20"/>
          <w:spacing w:val="-14"/>
        </w:rPr>
        <w:t> </w:t>
      </w:r>
      <w:r>
        <w:rPr>
          <w:color w:val="231F20"/>
          <w:spacing w:val="-2"/>
        </w:rPr>
        <w:t>por</w:t>
      </w:r>
      <w:r>
        <w:rPr>
          <w:color w:val="231F20"/>
          <w:spacing w:val="-15"/>
        </w:rPr>
        <w:t> </w:t>
      </w:r>
      <w:r>
        <w:rPr>
          <w:color w:val="231F20"/>
          <w:spacing w:val="-2"/>
        </w:rPr>
        <w:t>la</w:t>
      </w:r>
      <w:r>
        <w:rPr>
          <w:color w:val="231F20"/>
          <w:spacing w:val="-14"/>
        </w:rPr>
        <w:t> </w:t>
      </w:r>
      <w:r>
        <w:rPr>
          <w:color w:val="231F20"/>
          <w:spacing w:val="-2"/>
        </w:rPr>
        <w:t>Relatora</w:t>
      </w:r>
      <w:r>
        <w:rPr>
          <w:color w:val="231F20"/>
          <w:spacing w:val="-15"/>
        </w:rPr>
        <w:t> </w:t>
      </w:r>
      <w:r>
        <w:rPr>
          <w:color w:val="231F20"/>
          <w:spacing w:val="-2"/>
        </w:rPr>
        <w:t>Especial </w:t>
      </w:r>
      <w:r>
        <w:rPr>
          <w:color w:val="231F20"/>
        </w:rPr>
        <w:t>del</w:t>
      </w:r>
      <w:r>
        <w:rPr>
          <w:color w:val="231F20"/>
          <w:spacing w:val="-1"/>
        </w:rPr>
        <w:t> </w:t>
      </w:r>
      <w:r>
        <w:rPr>
          <w:color w:val="231F20"/>
        </w:rPr>
        <w:t>Consejo</w:t>
      </w:r>
      <w:r>
        <w:rPr>
          <w:color w:val="231F20"/>
          <w:spacing w:val="-1"/>
        </w:rPr>
        <w:t> </w:t>
      </w:r>
      <w:r>
        <w:rPr>
          <w:color w:val="231F20"/>
        </w:rPr>
        <w:t>de</w:t>
      </w:r>
      <w:r>
        <w:rPr>
          <w:color w:val="231F20"/>
          <w:spacing w:val="-1"/>
        </w:rPr>
        <w:t> </w:t>
      </w:r>
      <w:r>
        <w:rPr>
          <w:color w:val="231F20"/>
        </w:rPr>
        <w:t>Derechos</w:t>
      </w:r>
      <w:r>
        <w:rPr>
          <w:color w:val="231F20"/>
          <w:spacing w:val="-2"/>
        </w:rPr>
        <w:t> </w:t>
      </w:r>
      <w:r>
        <w:rPr>
          <w:color w:val="231F20"/>
        </w:rPr>
        <w:t>Humanos</w:t>
      </w:r>
      <w:r>
        <w:rPr>
          <w:color w:val="231F20"/>
          <w:spacing w:val="-1"/>
        </w:rPr>
        <w:t> </w:t>
      </w:r>
      <w:r>
        <w:rPr>
          <w:color w:val="231F20"/>
        </w:rPr>
        <w:t>de</w:t>
      </w:r>
      <w:r>
        <w:rPr>
          <w:color w:val="231F20"/>
          <w:spacing w:val="-1"/>
        </w:rPr>
        <w:t> </w:t>
      </w:r>
      <w:r>
        <w:rPr>
          <w:color w:val="231F20"/>
        </w:rPr>
        <w:t>las </w:t>
      </w:r>
      <w:r>
        <w:rPr>
          <w:color w:val="231F20"/>
          <w:spacing w:val="-4"/>
        </w:rPr>
        <w:t>Naciones</w:t>
      </w:r>
      <w:r>
        <w:rPr>
          <w:color w:val="231F20"/>
          <w:spacing w:val="-11"/>
        </w:rPr>
        <w:t> </w:t>
      </w:r>
      <w:r>
        <w:rPr>
          <w:color w:val="231F20"/>
          <w:spacing w:val="-4"/>
        </w:rPr>
        <w:t>Unidas</w:t>
      </w:r>
      <w:r>
        <w:rPr>
          <w:color w:val="231F20"/>
          <w:spacing w:val="-11"/>
        </w:rPr>
        <w:t> </w:t>
      </w:r>
      <w:r>
        <w:rPr>
          <w:color w:val="231F20"/>
          <w:spacing w:val="-4"/>
        </w:rPr>
        <w:t>sobre</w:t>
      </w:r>
      <w:r>
        <w:rPr>
          <w:color w:val="231F20"/>
          <w:spacing w:val="-11"/>
        </w:rPr>
        <w:t> </w:t>
      </w:r>
      <w:r>
        <w:rPr>
          <w:color w:val="231F20"/>
          <w:spacing w:val="-4"/>
        </w:rPr>
        <w:t>el</w:t>
      </w:r>
      <w:r>
        <w:rPr>
          <w:color w:val="231F20"/>
          <w:spacing w:val="-11"/>
        </w:rPr>
        <w:t> </w:t>
      </w:r>
      <w:r>
        <w:rPr>
          <w:color w:val="231F20"/>
          <w:spacing w:val="-4"/>
        </w:rPr>
        <w:t>impacto</w:t>
      </w:r>
      <w:r>
        <w:rPr>
          <w:color w:val="231F20"/>
          <w:spacing w:val="-11"/>
        </w:rPr>
        <w:t> </w:t>
      </w:r>
      <w:r>
        <w:rPr>
          <w:color w:val="231F20"/>
          <w:spacing w:val="-4"/>
        </w:rPr>
        <w:t>negativo </w:t>
      </w:r>
      <w:r>
        <w:rPr>
          <w:color w:val="231F20"/>
        </w:rPr>
        <w:t>de</w:t>
      </w:r>
      <w:r>
        <w:rPr>
          <w:color w:val="231F20"/>
          <w:spacing w:val="40"/>
        </w:rPr>
        <w:t> </w:t>
      </w:r>
      <w:r>
        <w:rPr>
          <w:color w:val="231F20"/>
        </w:rPr>
        <w:t>las</w:t>
      </w:r>
      <w:r>
        <w:rPr>
          <w:color w:val="231F20"/>
          <w:spacing w:val="40"/>
        </w:rPr>
        <w:t> </w:t>
      </w:r>
      <w:r>
        <w:rPr>
          <w:color w:val="231F20"/>
        </w:rPr>
        <w:t>medidas</w:t>
      </w:r>
      <w:r>
        <w:rPr>
          <w:color w:val="231F20"/>
          <w:spacing w:val="40"/>
        </w:rPr>
        <w:t> </w:t>
      </w:r>
      <w:r>
        <w:rPr>
          <w:color w:val="231F20"/>
        </w:rPr>
        <w:t>coercitivas</w:t>
      </w:r>
      <w:r>
        <w:rPr>
          <w:color w:val="231F20"/>
          <w:spacing w:val="40"/>
        </w:rPr>
        <w:t> </w:t>
      </w:r>
      <w:r>
        <w:rPr>
          <w:color w:val="231F20"/>
        </w:rPr>
        <w:t>unilaterales en el disfrute de los derechos humanos, Sra.</w:t>
      </w:r>
      <w:r>
        <w:rPr>
          <w:color w:val="231F20"/>
          <w:spacing w:val="6"/>
        </w:rPr>
        <w:t> </w:t>
      </w:r>
      <w:r>
        <w:rPr>
          <w:color w:val="231F20"/>
        </w:rPr>
        <w:t>Alena</w:t>
      </w:r>
      <w:r>
        <w:rPr>
          <w:color w:val="231F20"/>
          <w:spacing w:val="6"/>
        </w:rPr>
        <w:t> </w:t>
      </w:r>
      <w:r>
        <w:rPr>
          <w:color w:val="231F20"/>
        </w:rPr>
        <w:t>Dohan,</w:t>
      </w:r>
      <w:r>
        <w:rPr>
          <w:color w:val="231F20"/>
          <w:spacing w:val="6"/>
        </w:rPr>
        <w:t> </w:t>
      </w:r>
      <w:r>
        <w:rPr>
          <w:color w:val="231F20"/>
        </w:rPr>
        <w:t>durante</w:t>
      </w:r>
      <w:r>
        <w:rPr>
          <w:color w:val="231F20"/>
          <w:spacing w:val="6"/>
        </w:rPr>
        <w:t> </w:t>
      </w:r>
      <w:r>
        <w:rPr>
          <w:color w:val="231F20"/>
        </w:rPr>
        <w:t>su</w:t>
      </w:r>
      <w:r>
        <w:rPr>
          <w:color w:val="231F20"/>
          <w:spacing w:val="6"/>
        </w:rPr>
        <w:t> </w:t>
      </w:r>
      <w:r>
        <w:rPr>
          <w:color w:val="231F20"/>
          <w:spacing w:val="-2"/>
        </w:rPr>
        <w:t>Conferencia</w:t>
      </w:r>
    </w:p>
    <w:p>
      <w:pPr>
        <w:spacing w:after="0"/>
        <w:sectPr>
          <w:type w:val="continuous"/>
          <w:pgSz w:w="11910" w:h="16840"/>
          <w:pgMar w:header="0" w:footer="695" w:top="1920" w:bottom="280" w:left="0" w:right="0"/>
          <w:cols w:num="2" w:equalWidth="0">
            <w:col w:w="5558" w:space="40"/>
            <w:col w:w="6312"/>
          </w:cols>
        </w:sectPr>
      </w:pPr>
    </w:p>
    <w:p>
      <w:pPr>
        <w:spacing w:before="77"/>
        <w:ind w:left="1474" w:right="0" w:firstLine="0"/>
        <w:jc w:val="both"/>
        <w:rPr>
          <w:sz w:val="24"/>
        </w:rPr>
      </w:pPr>
      <w:r>
        <w:rPr>
          <w:color w:val="231F20"/>
          <w:spacing w:val="-2"/>
          <w:sz w:val="24"/>
        </w:rPr>
        <w:t>Magistral</w:t>
      </w:r>
      <w:r>
        <w:rPr>
          <w:color w:val="231F20"/>
          <w:spacing w:val="-15"/>
          <w:sz w:val="24"/>
        </w:rPr>
        <w:t> </w:t>
      </w:r>
      <w:r>
        <w:rPr>
          <w:color w:val="231F20"/>
          <w:spacing w:val="-2"/>
          <w:sz w:val="24"/>
        </w:rPr>
        <w:t>ofrecida</w:t>
      </w:r>
      <w:r>
        <w:rPr>
          <w:color w:val="231F20"/>
          <w:spacing w:val="-14"/>
          <w:sz w:val="24"/>
        </w:rPr>
        <w:t> </w:t>
      </w:r>
      <w:r>
        <w:rPr>
          <w:color w:val="231F20"/>
          <w:spacing w:val="-2"/>
          <w:sz w:val="24"/>
        </w:rPr>
        <w:t>el</w:t>
      </w:r>
      <w:r>
        <w:rPr>
          <w:color w:val="231F20"/>
          <w:spacing w:val="-15"/>
          <w:sz w:val="24"/>
        </w:rPr>
        <w:t> </w:t>
      </w:r>
      <w:r>
        <w:rPr>
          <w:color w:val="231F20"/>
          <w:spacing w:val="-2"/>
          <w:sz w:val="24"/>
        </w:rPr>
        <w:t>4</w:t>
      </w:r>
      <w:r>
        <w:rPr>
          <w:color w:val="231F20"/>
          <w:spacing w:val="-14"/>
          <w:sz w:val="24"/>
        </w:rPr>
        <w:t> </w:t>
      </w:r>
      <w:r>
        <w:rPr>
          <w:color w:val="231F20"/>
          <w:spacing w:val="-2"/>
          <w:sz w:val="24"/>
        </w:rPr>
        <w:t>de</w:t>
      </w:r>
      <w:r>
        <w:rPr>
          <w:color w:val="231F20"/>
          <w:spacing w:val="-15"/>
          <w:sz w:val="24"/>
        </w:rPr>
        <w:t> </w:t>
      </w:r>
      <w:r>
        <w:rPr>
          <w:color w:val="231F20"/>
          <w:spacing w:val="-2"/>
          <w:sz w:val="24"/>
        </w:rPr>
        <w:t>mayo</w:t>
      </w:r>
      <w:r>
        <w:rPr>
          <w:color w:val="231F20"/>
          <w:spacing w:val="-14"/>
          <w:sz w:val="24"/>
        </w:rPr>
        <w:t> </w:t>
      </w:r>
      <w:r>
        <w:rPr>
          <w:color w:val="231F20"/>
          <w:spacing w:val="-2"/>
          <w:sz w:val="24"/>
        </w:rPr>
        <w:t>de</w:t>
      </w:r>
      <w:r>
        <w:rPr>
          <w:color w:val="231F20"/>
          <w:spacing w:val="-15"/>
          <w:sz w:val="24"/>
        </w:rPr>
        <w:t> </w:t>
      </w:r>
      <w:r>
        <w:rPr>
          <w:color w:val="231F20"/>
          <w:spacing w:val="-2"/>
          <w:sz w:val="24"/>
        </w:rPr>
        <w:t>2023</w:t>
      </w:r>
      <w:r>
        <w:rPr>
          <w:color w:val="231F20"/>
          <w:spacing w:val="-14"/>
          <w:sz w:val="24"/>
        </w:rPr>
        <w:t> </w:t>
      </w:r>
      <w:r>
        <w:rPr>
          <w:color w:val="231F20"/>
          <w:spacing w:val="-2"/>
          <w:sz w:val="24"/>
        </w:rPr>
        <w:t>en </w:t>
      </w:r>
      <w:r>
        <w:rPr>
          <w:color w:val="231F20"/>
          <w:sz w:val="24"/>
        </w:rPr>
        <w:t>la Universidad de La Habana, en el </w:t>
      </w:r>
      <w:r>
        <w:rPr>
          <w:color w:val="231F20"/>
          <w:sz w:val="24"/>
        </w:rPr>
        <w:t>marco de</w:t>
      </w:r>
      <w:r>
        <w:rPr>
          <w:color w:val="231F20"/>
          <w:spacing w:val="-2"/>
          <w:sz w:val="24"/>
        </w:rPr>
        <w:t> </w:t>
      </w:r>
      <w:r>
        <w:rPr>
          <w:color w:val="231F20"/>
          <w:sz w:val="24"/>
        </w:rPr>
        <w:t>su</w:t>
      </w:r>
      <w:r>
        <w:rPr>
          <w:color w:val="231F20"/>
          <w:spacing w:val="-2"/>
          <w:sz w:val="24"/>
        </w:rPr>
        <w:t> </w:t>
      </w:r>
      <w:r>
        <w:rPr>
          <w:color w:val="231F20"/>
          <w:sz w:val="24"/>
        </w:rPr>
        <w:t>visita</w:t>
      </w:r>
      <w:r>
        <w:rPr>
          <w:color w:val="231F20"/>
          <w:spacing w:val="-2"/>
          <w:sz w:val="24"/>
        </w:rPr>
        <w:t> </w:t>
      </w:r>
      <w:r>
        <w:rPr>
          <w:color w:val="231F20"/>
          <w:sz w:val="24"/>
        </w:rPr>
        <w:t>académica</w:t>
      </w:r>
      <w:r>
        <w:rPr>
          <w:color w:val="231F20"/>
          <w:spacing w:val="-2"/>
          <w:sz w:val="24"/>
        </w:rPr>
        <w:t> </w:t>
      </w:r>
      <w:r>
        <w:rPr>
          <w:color w:val="231F20"/>
          <w:sz w:val="24"/>
        </w:rPr>
        <w:t>a</w:t>
      </w:r>
      <w:r>
        <w:rPr>
          <w:color w:val="231F20"/>
          <w:spacing w:val="-2"/>
          <w:sz w:val="24"/>
        </w:rPr>
        <w:t> </w:t>
      </w:r>
      <w:r>
        <w:rPr>
          <w:color w:val="231F20"/>
          <w:sz w:val="24"/>
        </w:rPr>
        <w:t>la</w:t>
      </w:r>
      <w:r>
        <w:rPr>
          <w:color w:val="231F20"/>
          <w:spacing w:val="-2"/>
          <w:sz w:val="24"/>
        </w:rPr>
        <w:t> </w:t>
      </w:r>
      <w:r>
        <w:rPr>
          <w:color w:val="231F20"/>
          <w:sz w:val="24"/>
        </w:rPr>
        <w:t>Isla:</w:t>
      </w:r>
      <w:r>
        <w:rPr>
          <w:color w:val="231F20"/>
          <w:spacing w:val="-2"/>
          <w:sz w:val="24"/>
        </w:rPr>
        <w:t> </w:t>
      </w:r>
      <w:r>
        <w:rPr>
          <w:rFonts w:ascii="Segoe UI Semibold" w:hAnsi="Segoe UI Semibold"/>
          <w:b/>
          <w:i/>
          <w:color w:val="231F20"/>
          <w:sz w:val="24"/>
        </w:rPr>
        <w:t>“Cuba</w:t>
      </w:r>
      <w:r>
        <w:rPr>
          <w:rFonts w:ascii="Segoe UI Semibold" w:hAnsi="Segoe UI Semibold"/>
          <w:b/>
          <w:i/>
          <w:color w:val="231F20"/>
          <w:spacing w:val="-2"/>
          <w:sz w:val="24"/>
        </w:rPr>
        <w:t> </w:t>
      </w:r>
      <w:r>
        <w:rPr>
          <w:rFonts w:ascii="Segoe UI Semibold" w:hAnsi="Segoe UI Semibold"/>
          <w:b/>
          <w:i/>
          <w:color w:val="231F20"/>
          <w:sz w:val="24"/>
        </w:rPr>
        <w:t>fue</w:t>
      </w:r>
      <w:r>
        <w:rPr>
          <w:rFonts w:ascii="Segoe UI Semibold" w:hAnsi="Segoe UI Semibold"/>
          <w:b/>
          <w:i/>
          <w:color w:val="231F20"/>
          <w:sz w:val="24"/>
        </w:rPr>
        <w:t> el único país donde AliExpress no pudo llevar</w:t>
      </w:r>
      <w:r>
        <w:rPr>
          <w:rFonts w:ascii="Segoe UI Semibold" w:hAnsi="Segoe UI Semibold"/>
          <w:b/>
          <w:i/>
          <w:color w:val="231F20"/>
          <w:spacing w:val="-12"/>
          <w:sz w:val="24"/>
        </w:rPr>
        <w:t> </w:t>
      </w:r>
      <w:r>
        <w:rPr>
          <w:rFonts w:ascii="Segoe UI Semibold" w:hAnsi="Segoe UI Semibold"/>
          <w:b/>
          <w:i/>
          <w:color w:val="231F20"/>
          <w:sz w:val="24"/>
        </w:rPr>
        <w:t>y</w:t>
      </w:r>
      <w:r>
        <w:rPr>
          <w:rFonts w:ascii="Segoe UI Semibold" w:hAnsi="Segoe UI Semibold"/>
          <w:b/>
          <w:i/>
          <w:color w:val="231F20"/>
          <w:spacing w:val="-12"/>
          <w:sz w:val="24"/>
        </w:rPr>
        <w:t> </w:t>
      </w:r>
      <w:r>
        <w:rPr>
          <w:rFonts w:ascii="Segoe UI Semibold" w:hAnsi="Segoe UI Semibold"/>
          <w:b/>
          <w:i/>
          <w:color w:val="231F20"/>
          <w:sz w:val="24"/>
        </w:rPr>
        <w:t>entregar</w:t>
      </w:r>
      <w:r>
        <w:rPr>
          <w:rFonts w:ascii="Segoe UI Semibold" w:hAnsi="Segoe UI Semibold"/>
          <w:b/>
          <w:i/>
          <w:color w:val="231F20"/>
          <w:spacing w:val="-12"/>
          <w:sz w:val="24"/>
        </w:rPr>
        <w:t> </w:t>
      </w:r>
      <w:r>
        <w:rPr>
          <w:rFonts w:ascii="Segoe UI Semibold" w:hAnsi="Segoe UI Semibold"/>
          <w:b/>
          <w:i/>
          <w:color w:val="231F20"/>
          <w:sz w:val="24"/>
        </w:rPr>
        <w:t>donaciones</w:t>
      </w:r>
      <w:r>
        <w:rPr>
          <w:rFonts w:ascii="Segoe UI Semibold" w:hAnsi="Segoe UI Semibold"/>
          <w:b/>
          <w:i/>
          <w:color w:val="231F20"/>
          <w:spacing w:val="-12"/>
          <w:sz w:val="24"/>
        </w:rPr>
        <w:t> </w:t>
      </w:r>
      <w:r>
        <w:rPr>
          <w:rFonts w:ascii="Segoe UI Semibold" w:hAnsi="Segoe UI Semibold"/>
          <w:b/>
          <w:i/>
          <w:color w:val="231F20"/>
          <w:sz w:val="24"/>
        </w:rPr>
        <w:t>por</w:t>
      </w:r>
      <w:r>
        <w:rPr>
          <w:rFonts w:ascii="Segoe UI Semibold" w:hAnsi="Segoe UI Semibold"/>
          <w:b/>
          <w:i/>
          <w:color w:val="231F20"/>
          <w:spacing w:val="-12"/>
          <w:sz w:val="24"/>
        </w:rPr>
        <w:t> </w:t>
      </w:r>
      <w:r>
        <w:rPr>
          <w:rFonts w:ascii="Segoe UI Semibold" w:hAnsi="Segoe UI Semibold"/>
          <w:b/>
          <w:i/>
          <w:color w:val="231F20"/>
          <w:sz w:val="24"/>
        </w:rPr>
        <w:t>el</w:t>
      </w:r>
      <w:r>
        <w:rPr>
          <w:rFonts w:ascii="Segoe UI Semibold" w:hAnsi="Segoe UI Semibold"/>
          <w:b/>
          <w:i/>
          <w:color w:val="231F20"/>
          <w:spacing w:val="-12"/>
          <w:sz w:val="24"/>
        </w:rPr>
        <w:t> </w:t>
      </w:r>
      <w:r>
        <w:rPr>
          <w:rFonts w:ascii="Segoe UI Semibold" w:hAnsi="Segoe UI Semibold"/>
          <w:b/>
          <w:i/>
          <w:color w:val="231F20"/>
          <w:sz w:val="24"/>
        </w:rPr>
        <w:t>efecto disuasivo</w:t>
      </w:r>
      <w:r>
        <w:rPr>
          <w:rFonts w:ascii="Segoe UI Semibold" w:hAnsi="Segoe UI Semibold"/>
          <w:b/>
          <w:i/>
          <w:color w:val="231F20"/>
          <w:spacing w:val="-17"/>
          <w:sz w:val="24"/>
        </w:rPr>
        <w:t>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las</w:t>
      </w:r>
      <w:r>
        <w:rPr>
          <w:rFonts w:ascii="Segoe UI Semibold" w:hAnsi="Segoe UI Semibold"/>
          <w:b/>
          <w:i/>
          <w:color w:val="231F20"/>
          <w:spacing w:val="-17"/>
          <w:sz w:val="24"/>
        </w:rPr>
        <w:t> </w:t>
      </w:r>
      <w:r>
        <w:rPr>
          <w:rFonts w:ascii="Segoe UI Semibold" w:hAnsi="Segoe UI Semibold"/>
          <w:b/>
          <w:i/>
          <w:color w:val="231F20"/>
          <w:sz w:val="24"/>
        </w:rPr>
        <w:t>sanciones</w:t>
      </w:r>
      <w:r>
        <w:rPr>
          <w:rFonts w:ascii="Segoe UI Semibold" w:hAnsi="Segoe UI Semibold"/>
          <w:b/>
          <w:i/>
          <w:color w:val="231F20"/>
          <w:spacing w:val="-16"/>
          <w:sz w:val="24"/>
        </w:rPr>
        <w:t> </w:t>
      </w:r>
      <w:r>
        <w:rPr>
          <w:rFonts w:ascii="Segoe UI Semibold" w:hAnsi="Segoe UI Semibold"/>
          <w:b/>
          <w:i/>
          <w:color w:val="231F20"/>
          <w:sz w:val="24"/>
        </w:rPr>
        <w:t>unilaterales</w:t>
      </w:r>
      <w:r>
        <w:rPr>
          <w:rFonts w:ascii="Segoe UI Semibold" w:hAnsi="Segoe UI Semibold"/>
          <w:b/>
          <w:i/>
          <w:color w:val="231F20"/>
          <w:spacing w:val="-17"/>
          <w:sz w:val="24"/>
        </w:rPr>
        <w:t> </w:t>
      </w:r>
      <w:r>
        <w:rPr>
          <w:rFonts w:ascii="Segoe UI Semibold" w:hAnsi="Segoe UI Semibold"/>
          <w:b/>
          <w:i/>
          <w:color w:val="231F20"/>
          <w:sz w:val="24"/>
        </w:rPr>
        <w:t>de los Estados Unidos. Eso es ilegal”</w:t>
      </w:r>
      <w:r>
        <w:rPr>
          <w:color w:val="231F20"/>
          <w:sz w:val="24"/>
        </w:rPr>
        <w:t>.</w:t>
      </w:r>
    </w:p>
    <w:p>
      <w:pPr>
        <w:pStyle w:val="BodyText"/>
        <w:spacing w:before="160"/>
        <w:ind w:left="1474" w:right="1"/>
      </w:pPr>
      <w:r>
        <w:rPr>
          <w:color w:val="231F20"/>
          <w:spacing w:val="-2"/>
        </w:rPr>
        <w:t>Enlosúltimosaños,decenasdeproveedores </w:t>
      </w:r>
      <w:r>
        <w:rPr>
          <w:color w:val="231F20"/>
        </w:rPr>
        <w:t>alrededor del mundo han </w:t>
      </w:r>
      <w:r>
        <w:rPr>
          <w:color w:val="231F20"/>
        </w:rPr>
        <w:t>interrumpido sus</w:t>
      </w:r>
      <w:r>
        <w:rPr>
          <w:color w:val="231F20"/>
          <w:spacing w:val="-3"/>
        </w:rPr>
        <w:t> </w:t>
      </w:r>
      <w:r>
        <w:rPr>
          <w:color w:val="231F20"/>
        </w:rPr>
        <w:t>relaciones</w:t>
      </w:r>
      <w:r>
        <w:rPr>
          <w:color w:val="231F20"/>
          <w:spacing w:val="-3"/>
        </w:rPr>
        <w:t> </w:t>
      </w:r>
      <w:r>
        <w:rPr>
          <w:color w:val="231F20"/>
        </w:rPr>
        <w:t>con</w:t>
      </w:r>
      <w:r>
        <w:rPr>
          <w:color w:val="231F20"/>
          <w:spacing w:val="-3"/>
        </w:rPr>
        <w:t> </w:t>
      </w:r>
      <w:r>
        <w:rPr>
          <w:color w:val="231F20"/>
        </w:rPr>
        <w:t>Cuba.</w:t>
      </w:r>
      <w:r>
        <w:rPr>
          <w:color w:val="231F20"/>
          <w:spacing w:val="-3"/>
        </w:rPr>
        <w:t> </w:t>
      </w:r>
      <w:r>
        <w:rPr>
          <w:color w:val="231F20"/>
        </w:rPr>
        <w:t>Como</w:t>
      </w:r>
      <w:r>
        <w:rPr>
          <w:color w:val="231F20"/>
          <w:spacing w:val="-3"/>
        </w:rPr>
        <w:t> </w:t>
      </w:r>
      <w:r>
        <w:rPr>
          <w:color w:val="231F20"/>
        </w:rPr>
        <w:t>resultado, la industria farmacéutica debió enfrentar tensiones nunca antes vistas, al extremo de verse afectada gravemente su línea de suministro.</w:t>
      </w:r>
      <w:r>
        <w:rPr>
          <w:color w:val="231F20"/>
          <w:spacing w:val="-14"/>
        </w:rPr>
        <w:t> </w:t>
      </w:r>
      <w:r>
        <w:rPr>
          <w:color w:val="231F20"/>
        </w:rPr>
        <w:t>El</w:t>
      </w:r>
      <w:r>
        <w:rPr>
          <w:color w:val="231F20"/>
          <w:spacing w:val="-14"/>
        </w:rPr>
        <w:t> </w:t>
      </w:r>
      <w:r>
        <w:rPr>
          <w:color w:val="231F20"/>
        </w:rPr>
        <w:t>efecto</w:t>
      </w:r>
      <w:r>
        <w:rPr>
          <w:color w:val="231F20"/>
          <w:spacing w:val="-14"/>
        </w:rPr>
        <w:t> </w:t>
      </w:r>
      <w:r>
        <w:rPr>
          <w:color w:val="231F20"/>
        </w:rPr>
        <w:t>negativo</w:t>
      </w:r>
      <w:r>
        <w:rPr>
          <w:color w:val="231F20"/>
          <w:spacing w:val="-14"/>
        </w:rPr>
        <w:t> </w:t>
      </w:r>
      <w:r>
        <w:rPr>
          <w:color w:val="231F20"/>
        </w:rPr>
        <w:t>del</w:t>
      </w:r>
      <w:r>
        <w:rPr>
          <w:color w:val="231F20"/>
          <w:spacing w:val="-14"/>
        </w:rPr>
        <w:t> </w:t>
      </w:r>
      <w:r>
        <w:rPr>
          <w:color w:val="231F20"/>
        </w:rPr>
        <w:t>bloqueo sobre el poder adquisitivo del país, ha </w:t>
      </w:r>
      <w:r>
        <w:rPr>
          <w:color w:val="231F20"/>
          <w:spacing w:val="-2"/>
        </w:rPr>
        <w:t>limitado</w:t>
      </w:r>
      <w:r>
        <w:rPr>
          <w:color w:val="231F20"/>
          <w:spacing w:val="-13"/>
        </w:rPr>
        <w:t> </w:t>
      </w:r>
      <w:r>
        <w:rPr>
          <w:color w:val="231F20"/>
          <w:spacing w:val="-2"/>
        </w:rPr>
        <w:t>también</w:t>
      </w:r>
      <w:r>
        <w:rPr>
          <w:color w:val="231F20"/>
          <w:spacing w:val="-13"/>
        </w:rPr>
        <w:t> </w:t>
      </w:r>
      <w:r>
        <w:rPr>
          <w:color w:val="231F20"/>
          <w:spacing w:val="-2"/>
        </w:rPr>
        <w:t>la</w:t>
      </w:r>
      <w:r>
        <w:rPr>
          <w:color w:val="231F20"/>
          <w:spacing w:val="-13"/>
        </w:rPr>
        <w:t> </w:t>
      </w:r>
      <w:r>
        <w:rPr>
          <w:color w:val="231F20"/>
          <w:spacing w:val="-2"/>
        </w:rPr>
        <w:t>posibilidad</w:t>
      </w:r>
      <w:r>
        <w:rPr>
          <w:color w:val="231F20"/>
          <w:spacing w:val="-13"/>
        </w:rPr>
        <w:t> </w:t>
      </w:r>
      <w:r>
        <w:rPr>
          <w:color w:val="231F20"/>
          <w:spacing w:val="-2"/>
        </w:rPr>
        <w:t>de</w:t>
      </w:r>
      <w:r>
        <w:rPr>
          <w:color w:val="231F20"/>
          <w:spacing w:val="-13"/>
        </w:rPr>
        <w:t> </w:t>
      </w:r>
      <w:r>
        <w:rPr>
          <w:color w:val="231F20"/>
          <w:spacing w:val="-2"/>
        </w:rPr>
        <w:t>destinar </w:t>
      </w:r>
      <w:r>
        <w:rPr>
          <w:color w:val="231F20"/>
        </w:rPr>
        <w:t>recursos</w:t>
      </w:r>
      <w:r>
        <w:rPr>
          <w:color w:val="231F20"/>
          <w:spacing w:val="-5"/>
        </w:rPr>
        <w:t> </w:t>
      </w:r>
      <w:r>
        <w:rPr>
          <w:color w:val="231F20"/>
        </w:rPr>
        <w:t>adicionales</w:t>
      </w:r>
      <w:r>
        <w:rPr>
          <w:color w:val="231F20"/>
          <w:spacing w:val="-5"/>
        </w:rPr>
        <w:t> </w:t>
      </w:r>
      <w:r>
        <w:rPr>
          <w:color w:val="231F20"/>
        </w:rPr>
        <w:t>a</w:t>
      </w:r>
      <w:r>
        <w:rPr>
          <w:color w:val="231F20"/>
          <w:spacing w:val="-5"/>
        </w:rPr>
        <w:t> </w:t>
      </w:r>
      <w:r>
        <w:rPr>
          <w:color w:val="231F20"/>
        </w:rPr>
        <w:t>medicamentos</w:t>
      </w:r>
      <w:r>
        <w:rPr>
          <w:color w:val="231F20"/>
          <w:spacing w:val="-5"/>
        </w:rPr>
        <w:t> </w:t>
      </w:r>
      <w:r>
        <w:rPr>
          <w:color w:val="231F20"/>
        </w:rPr>
        <w:t>que se obtendrían a un valor tres o cuatros veces inferior a su precio actual de no existir esta política.</w:t>
      </w:r>
    </w:p>
    <w:p>
      <w:pPr>
        <w:pStyle w:val="BodyText"/>
        <w:spacing w:before="170"/>
        <w:ind w:left="1474" w:right="5"/>
      </w:pPr>
      <w:r>
        <w:rPr>
          <w:color w:val="231F20"/>
        </w:rPr>
        <w:t>Estas severas limitaciones perjudican la calidad de los servicios prestados a la </w:t>
      </w:r>
      <w:r>
        <w:rPr>
          <w:color w:val="231F20"/>
          <w:spacing w:val="-10"/>
        </w:rPr>
        <w:t>población</w:t>
      </w:r>
      <w:r>
        <w:rPr>
          <w:color w:val="231F20"/>
          <w:spacing w:val="-5"/>
        </w:rPr>
        <w:t> </w:t>
      </w:r>
      <w:r>
        <w:rPr>
          <w:color w:val="231F20"/>
          <w:spacing w:val="-10"/>
        </w:rPr>
        <w:t>cubana,</w:t>
      </w:r>
      <w:r>
        <w:rPr>
          <w:color w:val="231F20"/>
          <w:spacing w:val="-5"/>
        </w:rPr>
        <w:t> </w:t>
      </w:r>
      <w:r>
        <w:rPr>
          <w:color w:val="231F20"/>
          <w:spacing w:val="-10"/>
        </w:rPr>
        <w:t>pues</w:t>
      </w:r>
      <w:r>
        <w:rPr>
          <w:color w:val="231F20"/>
          <w:spacing w:val="-5"/>
        </w:rPr>
        <w:t> </w:t>
      </w:r>
      <w:r>
        <w:rPr>
          <w:color w:val="231F20"/>
          <w:spacing w:val="-10"/>
        </w:rPr>
        <w:t>se</w:t>
      </w:r>
      <w:r>
        <w:rPr>
          <w:color w:val="231F20"/>
          <w:spacing w:val="-5"/>
        </w:rPr>
        <w:t> </w:t>
      </w:r>
      <w:r>
        <w:rPr>
          <w:color w:val="231F20"/>
          <w:spacing w:val="-10"/>
        </w:rPr>
        <w:t>generan</w:t>
      </w:r>
      <w:r>
        <w:rPr>
          <w:color w:val="231F20"/>
          <w:spacing w:val="-5"/>
        </w:rPr>
        <w:t> </w:t>
      </w:r>
      <w:r>
        <w:rPr>
          <w:color w:val="231F20"/>
          <w:spacing w:val="-10"/>
        </w:rPr>
        <w:t>demoras, </w:t>
      </w:r>
      <w:r>
        <w:rPr>
          <w:color w:val="231F20"/>
        </w:rPr>
        <w:t>listas de espera para recibir atenciones médicas especializadas, incrementos en las estadías hospitalarias y otros efectos </w:t>
      </w:r>
      <w:r>
        <w:rPr>
          <w:color w:val="231F20"/>
          <w:spacing w:val="-4"/>
        </w:rPr>
        <w:t>negativos,</w:t>
      </w:r>
      <w:r>
        <w:rPr>
          <w:color w:val="231F20"/>
          <w:spacing w:val="-13"/>
        </w:rPr>
        <w:t> </w:t>
      </w:r>
      <w:r>
        <w:rPr>
          <w:color w:val="231F20"/>
          <w:spacing w:val="-4"/>
        </w:rPr>
        <w:t>con</w:t>
      </w:r>
      <w:r>
        <w:rPr>
          <w:color w:val="231F20"/>
          <w:spacing w:val="-12"/>
        </w:rPr>
        <w:t> </w:t>
      </w:r>
      <w:r>
        <w:rPr>
          <w:color w:val="231F20"/>
          <w:spacing w:val="-4"/>
        </w:rPr>
        <w:t>un</w:t>
      </w:r>
      <w:r>
        <w:rPr>
          <w:color w:val="231F20"/>
          <w:spacing w:val="-13"/>
        </w:rPr>
        <w:t> </w:t>
      </w:r>
      <w:r>
        <w:rPr>
          <w:color w:val="231F20"/>
          <w:spacing w:val="-4"/>
        </w:rPr>
        <w:t>impacto</w:t>
      </w:r>
      <w:r>
        <w:rPr>
          <w:color w:val="231F20"/>
          <w:spacing w:val="-12"/>
        </w:rPr>
        <w:t> </w:t>
      </w:r>
      <w:r>
        <w:rPr>
          <w:color w:val="231F20"/>
          <w:spacing w:val="-4"/>
        </w:rPr>
        <w:t>directo</w:t>
      </w:r>
      <w:r>
        <w:rPr>
          <w:color w:val="231F20"/>
          <w:spacing w:val="-13"/>
        </w:rPr>
        <w:t> </w:t>
      </w:r>
      <w:r>
        <w:rPr>
          <w:color w:val="231F20"/>
          <w:spacing w:val="-4"/>
        </w:rPr>
        <w:t>sobre</w:t>
      </w:r>
      <w:r>
        <w:rPr>
          <w:color w:val="231F20"/>
          <w:spacing w:val="-12"/>
        </w:rPr>
        <w:t> </w:t>
      </w:r>
      <w:r>
        <w:rPr>
          <w:color w:val="231F20"/>
          <w:spacing w:val="-4"/>
        </w:rPr>
        <w:t>los </w:t>
      </w:r>
      <w:r>
        <w:rPr>
          <w:color w:val="231F20"/>
        </w:rPr>
        <w:t>indicadores</w:t>
      </w:r>
      <w:r>
        <w:rPr>
          <w:color w:val="231F20"/>
          <w:spacing w:val="-1"/>
        </w:rPr>
        <w:t> </w:t>
      </w:r>
      <w:r>
        <w:rPr>
          <w:color w:val="231F20"/>
        </w:rPr>
        <w:t>nacionales</w:t>
      </w:r>
      <w:r>
        <w:rPr>
          <w:color w:val="231F20"/>
          <w:spacing w:val="-1"/>
        </w:rPr>
        <w:t> </w:t>
      </w:r>
      <w:r>
        <w:rPr>
          <w:color w:val="231F20"/>
        </w:rPr>
        <w:t>de</w:t>
      </w:r>
      <w:r>
        <w:rPr>
          <w:color w:val="231F20"/>
          <w:spacing w:val="-1"/>
        </w:rPr>
        <w:t> </w:t>
      </w:r>
      <w:r>
        <w:rPr>
          <w:color w:val="231F20"/>
        </w:rPr>
        <w:t>salud.</w:t>
      </w:r>
    </w:p>
    <w:p>
      <w:pPr>
        <w:pStyle w:val="BodyText"/>
        <w:spacing w:before="166"/>
        <w:ind w:left="1474"/>
      </w:pPr>
      <w:r>
        <w:rPr>
          <w:color w:val="231F20"/>
        </w:rPr>
        <w:t>Por solo citar un ejemplo, la </w:t>
      </w:r>
      <w:r>
        <w:rPr>
          <w:color w:val="231F20"/>
        </w:rPr>
        <w:t>mortalidad infantil</w:t>
      </w:r>
      <w:r>
        <w:rPr>
          <w:color w:val="231F20"/>
          <w:spacing w:val="40"/>
        </w:rPr>
        <w:t> </w:t>
      </w:r>
      <w:r>
        <w:rPr>
          <w:color w:val="231F20"/>
        </w:rPr>
        <w:t>reportó</w:t>
      </w:r>
      <w:r>
        <w:rPr>
          <w:color w:val="231F20"/>
          <w:spacing w:val="40"/>
        </w:rPr>
        <w:t> </w:t>
      </w:r>
      <w:r>
        <w:rPr>
          <w:color w:val="231F20"/>
        </w:rPr>
        <w:t>en</w:t>
      </w:r>
      <w:r>
        <w:rPr>
          <w:color w:val="231F20"/>
          <w:spacing w:val="40"/>
        </w:rPr>
        <w:t> </w:t>
      </w:r>
      <w:r>
        <w:rPr>
          <w:color w:val="231F20"/>
        </w:rPr>
        <w:t>2022</w:t>
      </w:r>
      <w:r>
        <w:rPr>
          <w:color w:val="231F20"/>
          <w:spacing w:val="40"/>
        </w:rPr>
        <w:t> </w:t>
      </w:r>
      <w:r>
        <w:rPr>
          <w:color w:val="231F20"/>
        </w:rPr>
        <w:t>una</w:t>
      </w:r>
      <w:r>
        <w:rPr>
          <w:color w:val="231F20"/>
          <w:spacing w:val="40"/>
        </w:rPr>
        <w:t> </w:t>
      </w:r>
      <w:r>
        <w:rPr>
          <w:color w:val="231F20"/>
        </w:rPr>
        <w:t>tasa</w:t>
      </w:r>
      <w:r>
        <w:rPr>
          <w:color w:val="231F20"/>
          <w:spacing w:val="40"/>
        </w:rPr>
        <w:t> </w:t>
      </w:r>
      <w:r>
        <w:rPr>
          <w:color w:val="231F20"/>
        </w:rPr>
        <w:t>de</w:t>
      </w:r>
      <w:r>
        <w:rPr>
          <w:color w:val="231F20"/>
          <w:spacing w:val="80"/>
        </w:rPr>
        <w:t> </w:t>
      </w:r>
      <w:r>
        <w:rPr>
          <w:color w:val="231F20"/>
        </w:rPr>
        <w:t>7,5</w:t>
      </w:r>
      <w:r>
        <w:rPr>
          <w:color w:val="231F20"/>
          <w:spacing w:val="80"/>
        </w:rPr>
        <w:t> </w:t>
      </w:r>
      <w:r>
        <w:rPr>
          <w:color w:val="231F20"/>
        </w:rPr>
        <w:t>por</w:t>
      </w:r>
      <w:r>
        <w:rPr>
          <w:color w:val="231F20"/>
          <w:spacing w:val="80"/>
        </w:rPr>
        <w:t> </w:t>
      </w:r>
      <w:r>
        <w:rPr>
          <w:color w:val="231F20"/>
        </w:rPr>
        <w:t>mil</w:t>
      </w:r>
      <w:r>
        <w:rPr>
          <w:color w:val="231F20"/>
          <w:spacing w:val="80"/>
        </w:rPr>
        <w:t> </w:t>
      </w:r>
      <w:r>
        <w:rPr>
          <w:color w:val="231F20"/>
        </w:rPr>
        <w:t>nacidos</w:t>
      </w:r>
      <w:r>
        <w:rPr>
          <w:color w:val="231F20"/>
          <w:spacing w:val="80"/>
        </w:rPr>
        <w:t> </w:t>
      </w:r>
      <w:r>
        <w:rPr>
          <w:color w:val="231F20"/>
        </w:rPr>
        <w:t>vivos,</w:t>
      </w:r>
      <w:r>
        <w:rPr>
          <w:color w:val="231F20"/>
          <w:spacing w:val="80"/>
        </w:rPr>
        <w:t> </w:t>
      </w:r>
      <w:r>
        <w:rPr>
          <w:color w:val="231F20"/>
        </w:rPr>
        <w:t>mientras que, previo al 2019, se había logrado mantener en torno o inferior a 5 por mil nacidos vivos. Las crecientes limitaciones financieras, la imposibilidad de acceder a insumos</w:t>
      </w:r>
      <w:r>
        <w:rPr>
          <w:color w:val="231F20"/>
          <w:spacing w:val="-17"/>
        </w:rPr>
        <w:t> </w:t>
      </w:r>
      <w:r>
        <w:rPr>
          <w:color w:val="231F20"/>
        </w:rPr>
        <w:t>imprescindibles</w:t>
      </w:r>
      <w:r>
        <w:rPr>
          <w:color w:val="231F20"/>
          <w:spacing w:val="-16"/>
        </w:rPr>
        <w:t> </w:t>
      </w:r>
      <w:r>
        <w:rPr>
          <w:color w:val="231F20"/>
        </w:rPr>
        <w:t>para</w:t>
      </w:r>
      <w:r>
        <w:rPr>
          <w:color w:val="231F20"/>
          <w:spacing w:val="-17"/>
        </w:rPr>
        <w:t> </w:t>
      </w:r>
      <w:r>
        <w:rPr>
          <w:color w:val="231F20"/>
        </w:rPr>
        <w:t>el</w:t>
      </w:r>
      <w:r>
        <w:rPr>
          <w:color w:val="231F20"/>
          <w:spacing w:val="-16"/>
        </w:rPr>
        <w:t> </w:t>
      </w:r>
      <w:r>
        <w:rPr>
          <w:color w:val="231F20"/>
        </w:rPr>
        <w:t>Programa Nacional</w:t>
      </w:r>
      <w:r>
        <w:rPr>
          <w:color w:val="231F20"/>
          <w:spacing w:val="-13"/>
        </w:rPr>
        <w:t> </w:t>
      </w:r>
      <w:r>
        <w:rPr>
          <w:color w:val="231F20"/>
        </w:rPr>
        <w:t>de</w:t>
      </w:r>
      <w:r>
        <w:rPr>
          <w:color w:val="231F20"/>
          <w:spacing w:val="-13"/>
        </w:rPr>
        <w:t> </w:t>
      </w:r>
      <w:r>
        <w:rPr>
          <w:color w:val="231F20"/>
        </w:rPr>
        <w:t>Atención</w:t>
      </w:r>
      <w:r>
        <w:rPr>
          <w:color w:val="231F20"/>
          <w:spacing w:val="-13"/>
        </w:rPr>
        <w:t> </w:t>
      </w:r>
      <w:r>
        <w:rPr>
          <w:color w:val="231F20"/>
        </w:rPr>
        <w:t>Materno</w:t>
      </w:r>
      <w:r>
        <w:rPr>
          <w:color w:val="231F20"/>
          <w:spacing w:val="-13"/>
        </w:rPr>
        <w:t> </w:t>
      </w:r>
      <w:r>
        <w:rPr>
          <w:color w:val="231F20"/>
        </w:rPr>
        <w:t>Infantil</w:t>
      </w:r>
      <w:r>
        <w:rPr>
          <w:color w:val="231F20"/>
          <w:spacing w:val="-13"/>
        </w:rPr>
        <w:t> </w:t>
      </w:r>
      <w:r>
        <w:rPr>
          <w:color w:val="231F20"/>
        </w:rPr>
        <w:t>y</w:t>
      </w:r>
      <w:r>
        <w:rPr>
          <w:color w:val="231F20"/>
          <w:spacing w:val="-13"/>
        </w:rPr>
        <w:t> </w:t>
      </w:r>
      <w:r>
        <w:rPr>
          <w:color w:val="231F20"/>
        </w:rPr>
        <w:t>la persecución a los socios tradicionales de </w:t>
      </w:r>
      <w:r>
        <w:rPr>
          <w:color w:val="231F20"/>
          <w:spacing w:val="-2"/>
        </w:rPr>
        <w:t>Cuba</w:t>
      </w:r>
      <w:r>
        <w:rPr>
          <w:color w:val="231F20"/>
          <w:spacing w:val="-11"/>
        </w:rPr>
        <w:t> </w:t>
      </w:r>
      <w:r>
        <w:rPr>
          <w:color w:val="231F20"/>
          <w:spacing w:val="-2"/>
        </w:rPr>
        <w:t>para</w:t>
      </w:r>
      <w:r>
        <w:rPr>
          <w:color w:val="231F20"/>
          <w:spacing w:val="-11"/>
        </w:rPr>
        <w:t> </w:t>
      </w:r>
      <w:r>
        <w:rPr>
          <w:color w:val="231F20"/>
          <w:spacing w:val="-2"/>
        </w:rPr>
        <w:t>el</w:t>
      </w:r>
      <w:r>
        <w:rPr>
          <w:color w:val="231F20"/>
          <w:spacing w:val="-11"/>
        </w:rPr>
        <w:t> </w:t>
      </w:r>
      <w:r>
        <w:rPr>
          <w:color w:val="231F20"/>
          <w:spacing w:val="-2"/>
        </w:rPr>
        <w:t>suministro</w:t>
      </w:r>
      <w:r>
        <w:rPr>
          <w:color w:val="231F20"/>
          <w:spacing w:val="-10"/>
        </w:rPr>
        <w:t> </w:t>
      </w:r>
      <w:r>
        <w:rPr>
          <w:color w:val="231F20"/>
          <w:spacing w:val="-2"/>
        </w:rPr>
        <w:t>de</w:t>
      </w:r>
      <w:r>
        <w:rPr>
          <w:color w:val="231F20"/>
          <w:spacing w:val="-11"/>
        </w:rPr>
        <w:t> </w:t>
      </w:r>
      <w:r>
        <w:rPr>
          <w:color w:val="231F20"/>
          <w:spacing w:val="-2"/>
        </w:rPr>
        <w:t>medicamentos, </w:t>
      </w:r>
      <w:r>
        <w:rPr>
          <w:color w:val="231F20"/>
        </w:rPr>
        <w:t>equipamientos, tecnologías, entre otros, han</w:t>
      </w:r>
      <w:r>
        <w:rPr>
          <w:color w:val="231F20"/>
          <w:spacing w:val="-7"/>
        </w:rPr>
        <w:t> </w:t>
      </w:r>
      <w:r>
        <w:rPr>
          <w:color w:val="231F20"/>
        </w:rPr>
        <w:t>tenido</w:t>
      </w:r>
      <w:r>
        <w:rPr>
          <w:color w:val="231F20"/>
          <w:spacing w:val="-7"/>
        </w:rPr>
        <w:t> </w:t>
      </w:r>
      <w:r>
        <w:rPr>
          <w:color w:val="231F20"/>
        </w:rPr>
        <w:t>un</w:t>
      </w:r>
      <w:r>
        <w:rPr>
          <w:color w:val="231F20"/>
          <w:spacing w:val="-7"/>
        </w:rPr>
        <w:t> </w:t>
      </w:r>
      <w:r>
        <w:rPr>
          <w:color w:val="231F20"/>
        </w:rPr>
        <w:t>impacto</w:t>
      </w:r>
      <w:r>
        <w:rPr>
          <w:color w:val="231F20"/>
          <w:spacing w:val="-7"/>
        </w:rPr>
        <w:t> </w:t>
      </w:r>
      <w:r>
        <w:rPr>
          <w:color w:val="231F20"/>
        </w:rPr>
        <w:t>directo</w:t>
      </w:r>
      <w:r>
        <w:rPr>
          <w:color w:val="231F20"/>
          <w:spacing w:val="-7"/>
        </w:rPr>
        <w:t> </w:t>
      </w:r>
      <w:r>
        <w:rPr>
          <w:color w:val="231F20"/>
        </w:rPr>
        <w:t>en</w:t>
      </w:r>
      <w:r>
        <w:rPr>
          <w:color w:val="231F20"/>
          <w:spacing w:val="-7"/>
        </w:rPr>
        <w:t> </w:t>
      </w:r>
      <w:r>
        <w:rPr>
          <w:color w:val="231F20"/>
        </w:rPr>
        <w:t>la</w:t>
      </w:r>
      <w:r>
        <w:rPr>
          <w:color w:val="231F20"/>
          <w:spacing w:val="-7"/>
        </w:rPr>
        <w:t> </w:t>
      </w:r>
      <w:r>
        <w:rPr>
          <w:color w:val="231F20"/>
        </w:rPr>
        <w:t>plena realización</w:t>
      </w:r>
      <w:r>
        <w:rPr>
          <w:color w:val="231F20"/>
          <w:spacing w:val="-1"/>
        </w:rPr>
        <w:t> </w:t>
      </w:r>
      <w:r>
        <w:rPr>
          <w:color w:val="231F20"/>
        </w:rPr>
        <w:t>del</w:t>
      </w:r>
      <w:r>
        <w:rPr>
          <w:color w:val="231F20"/>
          <w:spacing w:val="-1"/>
        </w:rPr>
        <w:t> </w:t>
      </w:r>
      <w:r>
        <w:rPr>
          <w:color w:val="231F20"/>
        </w:rPr>
        <w:t>derecho</w:t>
      </w:r>
      <w:r>
        <w:rPr>
          <w:color w:val="231F20"/>
          <w:spacing w:val="-1"/>
        </w:rPr>
        <w:t> </w:t>
      </w:r>
      <w:r>
        <w:rPr>
          <w:color w:val="231F20"/>
        </w:rPr>
        <w:t>a</w:t>
      </w:r>
      <w:r>
        <w:rPr>
          <w:color w:val="231F20"/>
          <w:spacing w:val="-1"/>
        </w:rPr>
        <w:t> </w:t>
      </w:r>
      <w:r>
        <w:rPr>
          <w:color w:val="231F20"/>
        </w:rPr>
        <w:t>la</w:t>
      </w:r>
      <w:r>
        <w:rPr>
          <w:color w:val="231F20"/>
          <w:spacing w:val="-1"/>
        </w:rPr>
        <w:t> </w:t>
      </w:r>
      <w:r>
        <w:rPr>
          <w:color w:val="231F20"/>
        </w:rPr>
        <w:t>salud.</w:t>
      </w:r>
      <w:r>
        <w:rPr>
          <w:color w:val="231F20"/>
          <w:spacing w:val="-1"/>
        </w:rPr>
        <w:t> </w:t>
      </w:r>
      <w:r>
        <w:rPr>
          <w:color w:val="231F20"/>
          <w:spacing w:val="-2"/>
        </w:rPr>
        <w:t>Ningún</w:t>
      </w:r>
    </w:p>
    <w:p>
      <w:pPr>
        <w:pStyle w:val="BodyText"/>
        <w:spacing w:before="77"/>
        <w:ind w:left="410" w:right="1129"/>
      </w:pPr>
      <w:r>
        <w:rPr/>
        <w:br w:type="column"/>
      </w:r>
      <w:r>
        <w:rPr>
          <w:color w:val="231F20"/>
        </w:rPr>
        <w:t>país merece ser sometido a semejantes condiciones</w:t>
      </w:r>
      <w:r>
        <w:rPr>
          <w:color w:val="231F20"/>
          <w:spacing w:val="-4"/>
        </w:rPr>
        <w:t> </w:t>
      </w:r>
      <w:r>
        <w:rPr>
          <w:color w:val="231F20"/>
        </w:rPr>
        <w:t>de</w:t>
      </w:r>
      <w:r>
        <w:rPr>
          <w:color w:val="231F20"/>
          <w:spacing w:val="-3"/>
        </w:rPr>
        <w:t> </w:t>
      </w:r>
      <w:r>
        <w:rPr>
          <w:color w:val="231F20"/>
        </w:rPr>
        <w:t>hostigamiento</w:t>
      </w:r>
      <w:r>
        <w:rPr>
          <w:color w:val="231F20"/>
          <w:spacing w:val="-4"/>
        </w:rPr>
        <w:t> </w:t>
      </w:r>
      <w:r>
        <w:rPr>
          <w:color w:val="231F20"/>
        </w:rPr>
        <w:t>y</w:t>
      </w:r>
      <w:r>
        <w:rPr>
          <w:color w:val="231F20"/>
          <w:spacing w:val="-3"/>
        </w:rPr>
        <w:t> </w:t>
      </w:r>
      <w:r>
        <w:rPr>
          <w:color w:val="231F20"/>
          <w:spacing w:val="-2"/>
        </w:rPr>
        <w:t>crueldad.</w:t>
      </w:r>
    </w:p>
    <w:p>
      <w:pPr>
        <w:pStyle w:val="BodyText"/>
        <w:spacing w:before="161"/>
        <w:ind w:left="410" w:right="1132"/>
      </w:pPr>
      <w:r>
        <w:rPr>
          <w:color w:val="231F20"/>
        </w:rPr>
        <w:t>Estas circunstancias han hecho surgir dentro de las comunidades cubanas, </w:t>
      </w:r>
      <w:r>
        <w:rPr>
          <w:color w:val="231F20"/>
          <w:spacing w:val="-6"/>
        </w:rPr>
        <w:t>proyectos</w:t>
      </w:r>
      <w:r>
        <w:rPr>
          <w:color w:val="231F20"/>
          <w:spacing w:val="-9"/>
        </w:rPr>
        <w:t> </w:t>
      </w:r>
      <w:r>
        <w:rPr>
          <w:color w:val="231F20"/>
          <w:spacing w:val="-6"/>
        </w:rPr>
        <w:t>solidarios</w:t>
      </w:r>
      <w:r>
        <w:rPr>
          <w:color w:val="231F20"/>
          <w:spacing w:val="-9"/>
        </w:rPr>
        <w:t> </w:t>
      </w:r>
      <w:r>
        <w:rPr>
          <w:color w:val="231F20"/>
          <w:spacing w:val="-6"/>
        </w:rPr>
        <w:t>que</w:t>
      </w:r>
      <w:r>
        <w:rPr>
          <w:color w:val="231F20"/>
          <w:spacing w:val="-9"/>
        </w:rPr>
        <w:t> </w:t>
      </w:r>
      <w:r>
        <w:rPr>
          <w:color w:val="231F20"/>
          <w:spacing w:val="-6"/>
        </w:rPr>
        <w:t>buscan</w:t>
      </w:r>
      <w:r>
        <w:rPr>
          <w:color w:val="231F20"/>
          <w:spacing w:val="-9"/>
        </w:rPr>
        <w:t> </w:t>
      </w:r>
      <w:r>
        <w:rPr>
          <w:color w:val="231F20"/>
          <w:spacing w:val="-6"/>
        </w:rPr>
        <w:t>acompañar </w:t>
      </w:r>
      <w:r>
        <w:rPr>
          <w:color w:val="231F20"/>
        </w:rPr>
        <w:t>al gobierno en sus esfuerzos por paliar la difícil situación actual.</w:t>
      </w:r>
    </w:p>
    <w:p>
      <w:pPr>
        <w:pStyle w:val="BodyText"/>
        <w:spacing w:before="164"/>
        <w:ind w:left="410" w:right="1131"/>
      </w:pPr>
      <w:r>
        <w:rPr>
          <w:color w:val="231F20"/>
        </w:rPr>
        <w:t>Es</w:t>
      </w:r>
      <w:r>
        <w:rPr>
          <w:color w:val="231F20"/>
          <w:spacing w:val="40"/>
        </w:rPr>
        <w:t> </w:t>
      </w:r>
      <w:r>
        <w:rPr>
          <w:color w:val="231F20"/>
        </w:rPr>
        <w:t>el</w:t>
      </w:r>
      <w:r>
        <w:rPr>
          <w:color w:val="231F20"/>
          <w:spacing w:val="40"/>
        </w:rPr>
        <w:t> </w:t>
      </w:r>
      <w:r>
        <w:rPr>
          <w:color w:val="231F20"/>
        </w:rPr>
        <w:t>caso</w:t>
      </w:r>
      <w:r>
        <w:rPr>
          <w:color w:val="231F20"/>
          <w:spacing w:val="40"/>
        </w:rPr>
        <w:t> </w:t>
      </w:r>
      <w:r>
        <w:rPr>
          <w:color w:val="231F20"/>
        </w:rPr>
        <w:t>de</w:t>
      </w:r>
      <w:r>
        <w:rPr>
          <w:color w:val="231F20"/>
          <w:spacing w:val="40"/>
        </w:rPr>
        <w:t> </w:t>
      </w:r>
      <w:r>
        <w:rPr>
          <w:color w:val="231F20"/>
        </w:rPr>
        <w:t>la</w:t>
      </w:r>
      <w:r>
        <w:rPr>
          <w:color w:val="231F20"/>
          <w:spacing w:val="40"/>
        </w:rPr>
        <w:t> </w:t>
      </w:r>
      <w:r>
        <w:rPr>
          <w:b/>
          <w:color w:val="231F20"/>
        </w:rPr>
        <w:t>Red</w:t>
      </w:r>
      <w:r>
        <w:rPr>
          <w:b/>
          <w:color w:val="231F20"/>
          <w:spacing w:val="40"/>
        </w:rPr>
        <w:t> </w:t>
      </w:r>
      <w:r>
        <w:rPr>
          <w:b/>
          <w:color w:val="231F20"/>
        </w:rPr>
        <w:t>“De</w:t>
      </w:r>
      <w:r>
        <w:rPr>
          <w:b/>
          <w:color w:val="231F20"/>
          <w:spacing w:val="40"/>
        </w:rPr>
        <w:t> </w:t>
      </w:r>
      <w:r>
        <w:rPr>
          <w:b/>
          <w:color w:val="231F20"/>
        </w:rPr>
        <w:t>Corazón”</w:t>
      </w:r>
      <w:r>
        <w:rPr>
          <w:color w:val="231F20"/>
        </w:rPr>
        <w:t>, una iniciativa de jóvenes que se han</w:t>
      </w:r>
      <w:r>
        <w:rPr>
          <w:color w:val="231F20"/>
          <w:spacing w:val="80"/>
        </w:rPr>
        <w:t> </w:t>
      </w:r>
      <w:r>
        <w:rPr>
          <w:color w:val="231F20"/>
        </w:rPr>
        <w:t>dado a la tarea de crear una plataforma para la recolecta de medicamentos y su donación a las personas más vulnerables. Diversas organizaciones y movimientos de solidaridad en los Estados Unidos han donado a la Red, entre ellos: Puentes de Amor, el Sindicato de Inquilinos de los Ángeles (SILA), Put People First! PA y US Hands Off Cuba, a pesar de los múltiples obstáculos</w:t>
      </w:r>
      <w:r>
        <w:rPr>
          <w:color w:val="231F20"/>
          <w:spacing w:val="-17"/>
        </w:rPr>
        <w:t> </w:t>
      </w:r>
      <w:r>
        <w:rPr>
          <w:color w:val="231F20"/>
        </w:rPr>
        <w:t>que</w:t>
      </w:r>
      <w:r>
        <w:rPr>
          <w:color w:val="231F20"/>
          <w:spacing w:val="-16"/>
        </w:rPr>
        <w:t> </w:t>
      </w:r>
      <w:r>
        <w:rPr>
          <w:color w:val="231F20"/>
        </w:rPr>
        <w:t>han</w:t>
      </w:r>
      <w:r>
        <w:rPr>
          <w:color w:val="231F20"/>
          <w:spacing w:val="-17"/>
        </w:rPr>
        <w:t> </w:t>
      </w:r>
      <w:r>
        <w:rPr>
          <w:color w:val="231F20"/>
        </w:rPr>
        <w:t>enfrentado</w:t>
      </w:r>
      <w:r>
        <w:rPr>
          <w:color w:val="231F20"/>
          <w:spacing w:val="-16"/>
        </w:rPr>
        <w:t> </w:t>
      </w:r>
      <w:r>
        <w:rPr>
          <w:color w:val="231F20"/>
        </w:rPr>
        <w:t>para</w:t>
      </w:r>
      <w:r>
        <w:rPr>
          <w:color w:val="231F20"/>
          <w:spacing w:val="-17"/>
        </w:rPr>
        <w:t> </w:t>
      </w:r>
      <w:r>
        <w:rPr>
          <w:color w:val="231F20"/>
        </w:rPr>
        <w:t>hacer llegar los insumos al país.</w:t>
      </w:r>
    </w:p>
    <w:p>
      <w:pPr>
        <w:pStyle w:val="BodyText"/>
        <w:spacing w:before="170"/>
        <w:ind w:left="410" w:right="1128"/>
      </w:pPr>
      <w:r>
        <w:rPr>
          <w:color w:val="231F20"/>
        </w:rPr>
        <w:t>Contrario</w:t>
      </w:r>
      <w:r>
        <w:rPr>
          <w:color w:val="231F20"/>
          <w:spacing w:val="80"/>
        </w:rPr>
        <w:t> </w:t>
      </w:r>
      <w:r>
        <w:rPr>
          <w:color w:val="231F20"/>
        </w:rPr>
        <w:t>a</w:t>
      </w:r>
      <w:r>
        <w:rPr>
          <w:color w:val="231F20"/>
          <w:spacing w:val="80"/>
        </w:rPr>
        <w:t> </w:t>
      </w:r>
      <w:r>
        <w:rPr>
          <w:color w:val="231F20"/>
        </w:rPr>
        <w:t>la</w:t>
      </w:r>
      <w:r>
        <w:rPr>
          <w:color w:val="231F20"/>
          <w:spacing w:val="80"/>
        </w:rPr>
        <w:t> </w:t>
      </w:r>
      <w:r>
        <w:rPr>
          <w:color w:val="231F20"/>
        </w:rPr>
        <w:t>voluntad</w:t>
      </w:r>
      <w:r>
        <w:rPr>
          <w:color w:val="231F20"/>
          <w:spacing w:val="80"/>
        </w:rPr>
        <w:t> </w:t>
      </w:r>
      <w:r>
        <w:rPr>
          <w:color w:val="231F20"/>
        </w:rPr>
        <w:t>de</w:t>
      </w:r>
      <w:r>
        <w:rPr>
          <w:color w:val="231F20"/>
          <w:spacing w:val="80"/>
        </w:rPr>
        <w:t> </w:t>
      </w:r>
      <w:r>
        <w:rPr>
          <w:color w:val="231F20"/>
        </w:rPr>
        <w:t>su</w:t>
      </w:r>
      <w:r>
        <w:rPr>
          <w:color w:val="231F20"/>
          <w:spacing w:val="80"/>
        </w:rPr>
        <w:t> </w:t>
      </w:r>
      <w:r>
        <w:rPr>
          <w:color w:val="231F20"/>
        </w:rPr>
        <w:t>pueblo y de la propia comunidad científica estadounidense, el gobierno de los Estados Unidos continúa imponiendo barreras a una más amplia y provechosa cooperación</w:t>
      </w:r>
      <w:r>
        <w:rPr>
          <w:color w:val="231F20"/>
          <w:spacing w:val="-8"/>
        </w:rPr>
        <w:t> </w:t>
      </w:r>
      <w:r>
        <w:rPr>
          <w:color w:val="231F20"/>
        </w:rPr>
        <w:t>bilateral</w:t>
      </w:r>
      <w:r>
        <w:rPr>
          <w:color w:val="231F20"/>
          <w:spacing w:val="-6"/>
        </w:rPr>
        <w:t> </w:t>
      </w:r>
      <w:r>
        <w:rPr>
          <w:color w:val="231F20"/>
        </w:rPr>
        <w:t>en</w:t>
      </w:r>
      <w:r>
        <w:rPr>
          <w:color w:val="231F20"/>
          <w:spacing w:val="-5"/>
        </w:rPr>
        <w:t> </w:t>
      </w:r>
      <w:r>
        <w:rPr>
          <w:color w:val="231F20"/>
        </w:rPr>
        <w:t>materia</w:t>
      </w:r>
      <w:r>
        <w:rPr>
          <w:color w:val="231F20"/>
          <w:spacing w:val="-6"/>
        </w:rPr>
        <w:t> </w:t>
      </w:r>
      <w:r>
        <w:rPr>
          <w:color w:val="231F20"/>
        </w:rPr>
        <w:t>de</w:t>
      </w:r>
      <w:r>
        <w:rPr>
          <w:color w:val="231F20"/>
          <w:spacing w:val="-5"/>
        </w:rPr>
        <w:t> </w:t>
      </w:r>
      <w:r>
        <w:rPr>
          <w:color w:val="231F20"/>
          <w:spacing w:val="-2"/>
        </w:rPr>
        <w:t>salud.</w:t>
      </w:r>
    </w:p>
    <w:p>
      <w:pPr>
        <w:spacing w:before="165"/>
        <w:ind w:left="410" w:right="1133" w:firstLine="0"/>
        <w:jc w:val="both"/>
        <w:rPr>
          <w:rFonts w:ascii="Segoe UI Semibold" w:hAnsi="Segoe UI Semibold"/>
          <w:b/>
          <w:i/>
          <w:sz w:val="24"/>
        </w:rPr>
      </w:pPr>
      <w:r>
        <w:rPr>
          <w:color w:val="231F20"/>
          <w:spacing w:val="-2"/>
          <w:sz w:val="24"/>
        </w:rPr>
        <w:t>Al</w:t>
      </w:r>
      <w:r>
        <w:rPr>
          <w:color w:val="231F20"/>
          <w:spacing w:val="-15"/>
          <w:sz w:val="24"/>
        </w:rPr>
        <w:t> </w:t>
      </w:r>
      <w:r>
        <w:rPr>
          <w:color w:val="231F20"/>
          <w:spacing w:val="-2"/>
          <w:sz w:val="24"/>
        </w:rPr>
        <w:t>respecto,</w:t>
      </w:r>
      <w:r>
        <w:rPr>
          <w:color w:val="231F20"/>
          <w:spacing w:val="-14"/>
          <w:sz w:val="24"/>
        </w:rPr>
        <w:t> </w:t>
      </w:r>
      <w:r>
        <w:rPr>
          <w:color w:val="231F20"/>
          <w:spacing w:val="-2"/>
          <w:sz w:val="24"/>
        </w:rPr>
        <w:t>Grettel</w:t>
      </w:r>
      <w:r>
        <w:rPr>
          <w:color w:val="231F20"/>
          <w:spacing w:val="-15"/>
          <w:sz w:val="24"/>
        </w:rPr>
        <w:t> </w:t>
      </w:r>
      <w:r>
        <w:rPr>
          <w:color w:val="231F20"/>
          <w:spacing w:val="-2"/>
          <w:sz w:val="24"/>
        </w:rPr>
        <w:t>Gómez</w:t>
      </w:r>
      <w:r>
        <w:rPr>
          <w:color w:val="231F20"/>
          <w:spacing w:val="-14"/>
          <w:sz w:val="24"/>
        </w:rPr>
        <w:t> </w:t>
      </w:r>
      <w:r>
        <w:rPr>
          <w:color w:val="231F20"/>
          <w:spacing w:val="-2"/>
          <w:sz w:val="24"/>
        </w:rPr>
        <w:t>González,</w:t>
      </w:r>
      <w:r>
        <w:rPr>
          <w:color w:val="231F20"/>
          <w:spacing w:val="-15"/>
          <w:sz w:val="24"/>
        </w:rPr>
        <w:t> </w:t>
      </w:r>
      <w:r>
        <w:rPr>
          <w:color w:val="231F20"/>
          <w:spacing w:val="-2"/>
          <w:sz w:val="24"/>
        </w:rPr>
        <w:t>joven </w:t>
      </w:r>
      <w:r>
        <w:rPr>
          <w:color w:val="231F20"/>
          <w:spacing w:val="-6"/>
          <w:sz w:val="24"/>
        </w:rPr>
        <w:t>cubana</w:t>
      </w:r>
      <w:r>
        <w:rPr>
          <w:color w:val="231F20"/>
          <w:spacing w:val="-11"/>
          <w:sz w:val="24"/>
        </w:rPr>
        <w:t> </w:t>
      </w:r>
      <w:r>
        <w:rPr>
          <w:color w:val="231F20"/>
          <w:spacing w:val="-6"/>
          <w:sz w:val="24"/>
        </w:rPr>
        <w:t>universitaria,</w:t>
      </w:r>
      <w:r>
        <w:rPr>
          <w:color w:val="231F20"/>
          <w:spacing w:val="-10"/>
          <w:sz w:val="24"/>
        </w:rPr>
        <w:t> </w:t>
      </w:r>
      <w:r>
        <w:rPr>
          <w:color w:val="231F20"/>
          <w:spacing w:val="-6"/>
          <w:sz w:val="24"/>
        </w:rPr>
        <w:t>fundadora</w:t>
      </w:r>
      <w:r>
        <w:rPr>
          <w:color w:val="231F20"/>
          <w:spacing w:val="-11"/>
          <w:sz w:val="24"/>
        </w:rPr>
        <w:t> </w:t>
      </w:r>
      <w:r>
        <w:rPr>
          <w:color w:val="231F20"/>
          <w:spacing w:val="-6"/>
          <w:sz w:val="24"/>
        </w:rPr>
        <w:t>de</w:t>
      </w:r>
      <w:r>
        <w:rPr>
          <w:color w:val="231F20"/>
          <w:spacing w:val="-10"/>
          <w:sz w:val="24"/>
        </w:rPr>
        <w:t> </w:t>
      </w:r>
      <w:r>
        <w:rPr>
          <w:color w:val="231F20"/>
          <w:spacing w:val="-6"/>
          <w:sz w:val="24"/>
        </w:rPr>
        <w:t>esta</w:t>
      </w:r>
      <w:r>
        <w:rPr>
          <w:color w:val="231F20"/>
          <w:spacing w:val="-11"/>
          <w:sz w:val="24"/>
        </w:rPr>
        <w:t> </w:t>
      </w:r>
      <w:r>
        <w:rPr>
          <w:color w:val="231F20"/>
          <w:spacing w:val="-6"/>
          <w:sz w:val="24"/>
        </w:rPr>
        <w:t>Red, </w:t>
      </w:r>
      <w:r>
        <w:rPr>
          <w:color w:val="231F20"/>
          <w:spacing w:val="-8"/>
          <w:sz w:val="24"/>
        </w:rPr>
        <w:t>señala:</w:t>
      </w:r>
      <w:r>
        <w:rPr>
          <w:color w:val="231F20"/>
          <w:spacing w:val="-9"/>
          <w:sz w:val="24"/>
        </w:rPr>
        <w:t> </w:t>
      </w:r>
      <w:r>
        <w:rPr>
          <w:rFonts w:ascii="Segoe UI Semibold" w:hAnsi="Segoe UI Semibold"/>
          <w:b/>
          <w:i/>
          <w:color w:val="231F20"/>
          <w:spacing w:val="-8"/>
          <w:sz w:val="24"/>
        </w:rPr>
        <w:t>“Si la</w:t>
      </w:r>
      <w:r>
        <w:rPr>
          <w:rFonts w:ascii="Segoe UI Semibold" w:hAnsi="Segoe UI Semibold"/>
          <w:b/>
          <w:i/>
          <w:color w:val="231F20"/>
          <w:spacing w:val="-9"/>
          <w:sz w:val="24"/>
        </w:rPr>
        <w:t> </w:t>
      </w:r>
      <w:r>
        <w:rPr>
          <w:rFonts w:ascii="Segoe UI Semibold" w:hAnsi="Segoe UI Semibold"/>
          <w:b/>
          <w:i/>
          <w:color w:val="231F20"/>
          <w:spacing w:val="-8"/>
          <w:sz w:val="24"/>
        </w:rPr>
        <w:t>iniciativa de</w:t>
      </w:r>
      <w:r>
        <w:rPr>
          <w:rFonts w:ascii="Segoe UI Semibold" w:hAnsi="Segoe UI Semibold"/>
          <w:b/>
          <w:i/>
          <w:color w:val="231F20"/>
          <w:spacing w:val="-9"/>
          <w:sz w:val="24"/>
        </w:rPr>
        <w:t> </w:t>
      </w:r>
      <w:r>
        <w:rPr>
          <w:rFonts w:ascii="Segoe UI Semibold" w:hAnsi="Segoe UI Semibold"/>
          <w:b/>
          <w:i/>
          <w:color w:val="231F20"/>
          <w:spacing w:val="-8"/>
          <w:sz w:val="24"/>
        </w:rPr>
        <w:t>personas o</w:t>
      </w:r>
      <w:r>
        <w:rPr>
          <w:rFonts w:ascii="Segoe UI Semibold" w:hAnsi="Segoe UI Semibold"/>
          <w:b/>
          <w:i/>
          <w:color w:val="231F20"/>
          <w:spacing w:val="-9"/>
          <w:sz w:val="24"/>
        </w:rPr>
        <w:t> </w:t>
      </w:r>
      <w:r>
        <w:rPr>
          <w:rFonts w:ascii="Segoe UI Semibold" w:hAnsi="Segoe UI Semibold"/>
          <w:b/>
          <w:i/>
          <w:color w:val="231F20"/>
          <w:spacing w:val="-8"/>
          <w:sz w:val="24"/>
        </w:rPr>
        <w:t>grupos</w:t>
      </w:r>
      <w:r>
        <w:rPr>
          <w:rFonts w:ascii="Segoe UI Semibold" w:hAnsi="Segoe UI Semibold"/>
          <w:b/>
          <w:i/>
          <w:color w:val="231F20"/>
          <w:spacing w:val="-8"/>
          <w:sz w:val="24"/>
        </w:rPr>
        <w:t> </w:t>
      </w:r>
      <w:r>
        <w:rPr>
          <w:rFonts w:ascii="Segoe UI Semibold" w:hAnsi="Segoe UI Semibold"/>
          <w:b/>
          <w:i/>
          <w:color w:val="231F20"/>
          <w:sz w:val="24"/>
        </w:rPr>
        <w:t>pequeños logra movilizar voluntades para traer medicamentos a Cuba, ¿cuán beneficiosa</w:t>
      </w:r>
      <w:r>
        <w:rPr>
          <w:rFonts w:ascii="Segoe UI Semibold" w:hAnsi="Segoe UI Semibold"/>
          <w:b/>
          <w:i/>
          <w:color w:val="231F20"/>
          <w:spacing w:val="-9"/>
          <w:sz w:val="24"/>
        </w:rPr>
        <w:t> </w:t>
      </w:r>
      <w:r>
        <w:rPr>
          <w:rFonts w:ascii="Segoe UI Semibold" w:hAnsi="Segoe UI Semibold"/>
          <w:b/>
          <w:i/>
          <w:color w:val="231F20"/>
          <w:sz w:val="24"/>
        </w:rPr>
        <w:t>sería</w:t>
      </w:r>
      <w:r>
        <w:rPr>
          <w:rFonts w:ascii="Segoe UI Semibold" w:hAnsi="Segoe UI Semibold"/>
          <w:b/>
          <w:i/>
          <w:color w:val="231F20"/>
          <w:spacing w:val="-9"/>
          <w:sz w:val="24"/>
        </w:rPr>
        <w:t> </w:t>
      </w:r>
      <w:r>
        <w:rPr>
          <w:rFonts w:ascii="Segoe UI Semibold" w:hAnsi="Segoe UI Semibold"/>
          <w:b/>
          <w:i/>
          <w:color w:val="231F20"/>
          <w:sz w:val="24"/>
        </w:rPr>
        <w:t>la</w:t>
      </w:r>
      <w:r>
        <w:rPr>
          <w:rFonts w:ascii="Segoe UI Semibold" w:hAnsi="Segoe UI Semibold"/>
          <w:b/>
          <w:i/>
          <w:color w:val="231F20"/>
          <w:spacing w:val="-9"/>
          <w:sz w:val="24"/>
        </w:rPr>
        <w:t> </w:t>
      </w:r>
      <w:r>
        <w:rPr>
          <w:rFonts w:ascii="Segoe UI Semibold" w:hAnsi="Segoe UI Semibold"/>
          <w:b/>
          <w:i/>
          <w:color w:val="231F20"/>
          <w:sz w:val="24"/>
        </w:rPr>
        <w:t>relación</w:t>
      </w:r>
      <w:r>
        <w:rPr>
          <w:rFonts w:ascii="Segoe UI Semibold" w:hAnsi="Segoe UI Semibold"/>
          <w:b/>
          <w:i/>
          <w:color w:val="231F20"/>
          <w:spacing w:val="-9"/>
          <w:sz w:val="24"/>
        </w:rPr>
        <w:t> </w:t>
      </w:r>
      <w:r>
        <w:rPr>
          <w:rFonts w:ascii="Segoe UI Semibold" w:hAnsi="Segoe UI Semibold"/>
          <w:b/>
          <w:i/>
          <w:color w:val="231F20"/>
          <w:sz w:val="24"/>
        </w:rPr>
        <w:t>directa</w:t>
      </w:r>
      <w:r>
        <w:rPr>
          <w:rFonts w:ascii="Segoe UI Semibold" w:hAnsi="Segoe UI Semibold"/>
          <w:b/>
          <w:i/>
          <w:color w:val="231F20"/>
          <w:spacing w:val="-9"/>
          <w:sz w:val="24"/>
        </w:rPr>
        <w:t> </w:t>
      </w:r>
      <w:r>
        <w:rPr>
          <w:rFonts w:ascii="Segoe UI Semibold" w:hAnsi="Segoe UI Semibold"/>
          <w:b/>
          <w:i/>
          <w:color w:val="231F20"/>
          <w:sz w:val="24"/>
        </w:rPr>
        <w:t>entre </w:t>
      </w:r>
      <w:r>
        <w:rPr>
          <w:rFonts w:ascii="Segoe UI Semibold" w:hAnsi="Segoe UI Semibold"/>
          <w:b/>
          <w:i/>
          <w:color w:val="231F20"/>
          <w:spacing w:val="-6"/>
          <w:sz w:val="24"/>
        </w:rPr>
        <w:t>los</w:t>
      </w:r>
      <w:r>
        <w:rPr>
          <w:rFonts w:ascii="Segoe UI Semibold" w:hAnsi="Segoe UI Semibold"/>
          <w:b/>
          <w:i/>
          <w:color w:val="231F20"/>
          <w:spacing w:val="-11"/>
          <w:sz w:val="24"/>
        </w:rPr>
        <w:t> </w:t>
      </w:r>
      <w:r>
        <w:rPr>
          <w:rFonts w:ascii="Segoe UI Semibold" w:hAnsi="Segoe UI Semibold"/>
          <w:b/>
          <w:i/>
          <w:color w:val="231F20"/>
          <w:spacing w:val="-6"/>
          <w:sz w:val="24"/>
        </w:rPr>
        <w:t>laboratorios</w:t>
      </w:r>
      <w:r>
        <w:rPr>
          <w:rFonts w:ascii="Segoe UI Semibold" w:hAnsi="Segoe UI Semibold"/>
          <w:b/>
          <w:i/>
          <w:color w:val="231F20"/>
          <w:spacing w:val="-10"/>
          <w:sz w:val="24"/>
        </w:rPr>
        <w:t> </w:t>
      </w:r>
      <w:r>
        <w:rPr>
          <w:rFonts w:ascii="Segoe UI Semibold" w:hAnsi="Segoe UI Semibold"/>
          <w:b/>
          <w:i/>
          <w:color w:val="231F20"/>
          <w:spacing w:val="-6"/>
          <w:sz w:val="24"/>
        </w:rPr>
        <w:t>farmacéuticos</w:t>
      </w:r>
      <w:r>
        <w:rPr>
          <w:rFonts w:ascii="Segoe UI Semibold" w:hAnsi="Segoe UI Semibold"/>
          <w:b/>
          <w:i/>
          <w:color w:val="231F20"/>
          <w:spacing w:val="-11"/>
          <w:sz w:val="24"/>
        </w:rPr>
        <w:t> </w:t>
      </w:r>
      <w:r>
        <w:rPr>
          <w:rFonts w:ascii="Segoe UI Semibold" w:hAnsi="Segoe UI Semibold"/>
          <w:b/>
          <w:i/>
          <w:color w:val="231F20"/>
          <w:spacing w:val="-6"/>
          <w:sz w:val="24"/>
        </w:rPr>
        <w:t>cubanos</w:t>
      </w:r>
      <w:r>
        <w:rPr>
          <w:rFonts w:ascii="Segoe UI Semibold" w:hAnsi="Segoe UI Semibold"/>
          <w:b/>
          <w:i/>
          <w:color w:val="231F20"/>
          <w:spacing w:val="-10"/>
          <w:sz w:val="24"/>
        </w:rPr>
        <w:t> </w:t>
      </w:r>
      <w:r>
        <w:rPr>
          <w:rFonts w:ascii="Segoe UI Semibold" w:hAnsi="Segoe UI Semibold"/>
          <w:b/>
          <w:i/>
          <w:color w:val="231F20"/>
          <w:spacing w:val="-6"/>
          <w:sz w:val="24"/>
        </w:rPr>
        <w:t>con </w:t>
      </w:r>
      <w:r>
        <w:rPr>
          <w:rFonts w:ascii="Segoe UI Semibold" w:hAnsi="Segoe UI Semibold"/>
          <w:b/>
          <w:i/>
          <w:color w:val="231F20"/>
          <w:sz w:val="24"/>
        </w:rPr>
        <w:t>sus</w:t>
      </w:r>
      <w:r>
        <w:rPr>
          <w:rFonts w:ascii="Segoe UI Semibold" w:hAnsi="Segoe UI Semibold"/>
          <w:b/>
          <w:i/>
          <w:color w:val="231F20"/>
          <w:spacing w:val="-7"/>
          <w:sz w:val="24"/>
        </w:rPr>
        <w:t> </w:t>
      </w:r>
      <w:r>
        <w:rPr>
          <w:rFonts w:ascii="Segoe UI Semibold" w:hAnsi="Segoe UI Semibold"/>
          <w:b/>
          <w:i/>
          <w:color w:val="231F20"/>
          <w:sz w:val="24"/>
        </w:rPr>
        <w:t>homólogos</w:t>
      </w:r>
      <w:r>
        <w:rPr>
          <w:rFonts w:ascii="Segoe UI Semibold" w:hAnsi="Segoe UI Semibold"/>
          <w:b/>
          <w:i/>
          <w:color w:val="231F20"/>
          <w:spacing w:val="-7"/>
          <w:sz w:val="24"/>
        </w:rPr>
        <w:t> </w:t>
      </w:r>
      <w:r>
        <w:rPr>
          <w:rFonts w:ascii="Segoe UI Semibold" w:hAnsi="Segoe UI Semibold"/>
          <w:b/>
          <w:i/>
          <w:color w:val="231F20"/>
          <w:sz w:val="24"/>
        </w:rPr>
        <w:t>estadounidenses?”.</w:t>
      </w:r>
    </w:p>
    <w:p>
      <w:pPr>
        <w:pStyle w:val="BodyText"/>
        <w:spacing w:before="160"/>
        <w:ind w:left="410" w:right="1130"/>
      </w:pPr>
      <w:r>
        <w:rPr>
          <w:color w:val="231F20"/>
          <w:spacing w:val="-4"/>
        </w:rPr>
        <w:t>En</w:t>
      </w:r>
      <w:r>
        <w:rPr>
          <w:color w:val="231F20"/>
          <w:spacing w:val="-10"/>
        </w:rPr>
        <w:t> </w:t>
      </w:r>
      <w:r>
        <w:rPr>
          <w:color w:val="231F20"/>
          <w:spacing w:val="-4"/>
        </w:rPr>
        <w:t>el</w:t>
      </w:r>
      <w:r>
        <w:rPr>
          <w:color w:val="231F20"/>
          <w:spacing w:val="-10"/>
        </w:rPr>
        <w:t> </w:t>
      </w:r>
      <w:r>
        <w:rPr>
          <w:color w:val="231F20"/>
          <w:spacing w:val="-4"/>
        </w:rPr>
        <w:t>período,</w:t>
      </w:r>
      <w:r>
        <w:rPr>
          <w:color w:val="231F20"/>
          <w:spacing w:val="-10"/>
        </w:rPr>
        <w:t> </w:t>
      </w:r>
      <w:r>
        <w:rPr>
          <w:color w:val="231F20"/>
          <w:spacing w:val="-4"/>
        </w:rPr>
        <w:t>la</w:t>
      </w:r>
      <w:r>
        <w:rPr>
          <w:color w:val="231F20"/>
          <w:spacing w:val="-10"/>
        </w:rPr>
        <w:t> </w:t>
      </w:r>
      <w:r>
        <w:rPr>
          <w:color w:val="231F20"/>
          <w:spacing w:val="-4"/>
        </w:rPr>
        <w:t>empresa</w:t>
      </w:r>
      <w:r>
        <w:rPr>
          <w:color w:val="231F20"/>
          <w:spacing w:val="-10"/>
        </w:rPr>
        <w:t> </w:t>
      </w:r>
      <w:r>
        <w:rPr>
          <w:color w:val="231F20"/>
          <w:spacing w:val="-4"/>
        </w:rPr>
        <w:t>MediCuba</w:t>
      </w:r>
      <w:r>
        <w:rPr>
          <w:color w:val="231F20"/>
          <w:spacing w:val="-10"/>
        </w:rPr>
        <w:t> </w:t>
      </w:r>
      <w:r>
        <w:rPr>
          <w:color w:val="231F20"/>
          <w:spacing w:val="-4"/>
        </w:rPr>
        <w:t>realizó </w:t>
      </w:r>
      <w:r>
        <w:rPr>
          <w:color w:val="231F20"/>
          <w:spacing w:val="-6"/>
        </w:rPr>
        <w:t>69</w:t>
      </w:r>
      <w:r>
        <w:rPr>
          <w:color w:val="231F20"/>
          <w:spacing w:val="-11"/>
        </w:rPr>
        <w:t> </w:t>
      </w:r>
      <w:r>
        <w:rPr>
          <w:color w:val="231F20"/>
          <w:spacing w:val="-6"/>
        </w:rPr>
        <w:t>solicitudes</w:t>
      </w:r>
      <w:r>
        <w:rPr>
          <w:color w:val="231F20"/>
          <w:spacing w:val="-10"/>
        </w:rPr>
        <w:t> </w:t>
      </w:r>
      <w:r>
        <w:rPr>
          <w:color w:val="231F20"/>
          <w:spacing w:val="-6"/>
        </w:rPr>
        <w:t>a</w:t>
      </w:r>
      <w:r>
        <w:rPr>
          <w:color w:val="231F20"/>
          <w:spacing w:val="-11"/>
        </w:rPr>
        <w:t> </w:t>
      </w:r>
      <w:r>
        <w:rPr>
          <w:color w:val="231F20"/>
          <w:spacing w:val="-6"/>
        </w:rPr>
        <w:t>compañías</w:t>
      </w:r>
      <w:r>
        <w:rPr>
          <w:color w:val="231F20"/>
          <w:spacing w:val="-10"/>
        </w:rPr>
        <w:t> </w:t>
      </w:r>
      <w:r>
        <w:rPr>
          <w:color w:val="231F20"/>
          <w:spacing w:val="-6"/>
        </w:rPr>
        <w:t>estadounidenses </w:t>
      </w:r>
      <w:r>
        <w:rPr>
          <w:color w:val="231F20"/>
        </w:rPr>
        <w:t>para acceder a recursos y demás insumos necesarios</w:t>
      </w:r>
      <w:r>
        <w:rPr>
          <w:color w:val="231F20"/>
          <w:spacing w:val="-17"/>
        </w:rPr>
        <w:t> </w:t>
      </w:r>
      <w:r>
        <w:rPr>
          <w:color w:val="231F20"/>
        </w:rPr>
        <w:t>en</w:t>
      </w:r>
      <w:r>
        <w:rPr>
          <w:color w:val="231F20"/>
          <w:spacing w:val="-16"/>
        </w:rPr>
        <w:t> </w:t>
      </w:r>
      <w:r>
        <w:rPr>
          <w:color w:val="231F20"/>
        </w:rPr>
        <w:t>el</w:t>
      </w:r>
      <w:r>
        <w:rPr>
          <w:color w:val="231F20"/>
          <w:spacing w:val="-17"/>
        </w:rPr>
        <w:t> </w:t>
      </w:r>
      <w:r>
        <w:rPr>
          <w:color w:val="231F20"/>
        </w:rPr>
        <w:t>sistema</w:t>
      </w:r>
      <w:r>
        <w:rPr>
          <w:color w:val="231F20"/>
          <w:spacing w:val="-16"/>
        </w:rPr>
        <w:t> </w:t>
      </w:r>
      <w:r>
        <w:rPr>
          <w:color w:val="231F20"/>
        </w:rPr>
        <w:t>nacional</w:t>
      </w:r>
      <w:r>
        <w:rPr>
          <w:color w:val="231F20"/>
          <w:spacing w:val="-17"/>
        </w:rPr>
        <w:t> </w:t>
      </w:r>
      <w:r>
        <w:rPr>
          <w:color w:val="231F20"/>
        </w:rPr>
        <w:t>de</w:t>
      </w:r>
      <w:r>
        <w:rPr>
          <w:color w:val="231F20"/>
          <w:spacing w:val="-16"/>
        </w:rPr>
        <w:t> </w:t>
      </w:r>
      <w:r>
        <w:rPr>
          <w:color w:val="231F20"/>
        </w:rPr>
        <w:t>salud, </w:t>
      </w:r>
      <w:r>
        <w:rPr>
          <w:color w:val="231F20"/>
          <w:spacing w:val="-6"/>
        </w:rPr>
        <w:t>en</w:t>
      </w:r>
      <w:r>
        <w:rPr>
          <w:color w:val="231F20"/>
          <w:spacing w:val="-11"/>
        </w:rPr>
        <w:t> </w:t>
      </w:r>
      <w:r>
        <w:rPr>
          <w:color w:val="231F20"/>
          <w:spacing w:val="-6"/>
        </w:rPr>
        <w:t>particular,</w:t>
      </w:r>
      <w:r>
        <w:rPr>
          <w:color w:val="231F20"/>
          <w:spacing w:val="-9"/>
        </w:rPr>
        <w:t> </w:t>
      </w:r>
      <w:r>
        <w:rPr>
          <w:color w:val="231F20"/>
          <w:spacing w:val="-6"/>
        </w:rPr>
        <w:t>para</w:t>
      </w:r>
      <w:r>
        <w:rPr>
          <w:color w:val="231F20"/>
          <w:spacing w:val="-10"/>
        </w:rPr>
        <w:t> </w:t>
      </w:r>
      <w:r>
        <w:rPr>
          <w:color w:val="231F20"/>
          <w:spacing w:val="-6"/>
        </w:rPr>
        <w:t>el</w:t>
      </w:r>
      <w:r>
        <w:rPr>
          <w:color w:val="231F20"/>
          <w:spacing w:val="-10"/>
        </w:rPr>
        <w:t> </w:t>
      </w:r>
      <w:r>
        <w:rPr>
          <w:color w:val="231F20"/>
          <w:spacing w:val="-6"/>
        </w:rPr>
        <w:t>Instituto</w:t>
      </w:r>
      <w:r>
        <w:rPr>
          <w:color w:val="231F20"/>
          <w:spacing w:val="-11"/>
        </w:rPr>
        <w:t> </w:t>
      </w:r>
      <w:r>
        <w:rPr>
          <w:color w:val="231F20"/>
          <w:spacing w:val="-6"/>
        </w:rPr>
        <w:t>de</w:t>
      </w:r>
      <w:r>
        <w:rPr>
          <w:color w:val="231F20"/>
          <w:spacing w:val="-10"/>
        </w:rPr>
        <w:t> </w:t>
      </w:r>
      <w:r>
        <w:rPr>
          <w:color w:val="231F20"/>
          <w:spacing w:val="-6"/>
        </w:rPr>
        <w:t>Neurología </w:t>
      </w:r>
      <w:r>
        <w:rPr>
          <w:color w:val="231F20"/>
          <w:spacing w:val="-4"/>
        </w:rPr>
        <w:t>y</w:t>
      </w:r>
      <w:r>
        <w:rPr>
          <w:color w:val="231F20"/>
          <w:spacing w:val="-10"/>
        </w:rPr>
        <w:t> </w:t>
      </w:r>
      <w:r>
        <w:rPr>
          <w:color w:val="231F20"/>
          <w:spacing w:val="-4"/>
        </w:rPr>
        <w:t>Neurocirugía</w:t>
      </w:r>
      <w:r>
        <w:rPr>
          <w:color w:val="231F20"/>
          <w:spacing w:val="-10"/>
        </w:rPr>
        <w:t> </w:t>
      </w:r>
      <w:r>
        <w:rPr>
          <w:color w:val="231F20"/>
          <w:spacing w:val="-4"/>
        </w:rPr>
        <w:t>y</w:t>
      </w:r>
      <w:r>
        <w:rPr>
          <w:color w:val="231F20"/>
          <w:spacing w:val="-10"/>
        </w:rPr>
        <w:t> </w:t>
      </w:r>
      <w:r>
        <w:rPr>
          <w:color w:val="231F20"/>
          <w:spacing w:val="-4"/>
        </w:rPr>
        <w:t>el</w:t>
      </w:r>
      <w:r>
        <w:rPr>
          <w:color w:val="231F20"/>
          <w:spacing w:val="-10"/>
        </w:rPr>
        <w:t> </w:t>
      </w:r>
      <w:r>
        <w:rPr>
          <w:color w:val="231F20"/>
          <w:spacing w:val="-4"/>
        </w:rPr>
        <w:t>Instituto</w:t>
      </w:r>
      <w:r>
        <w:rPr>
          <w:color w:val="231F20"/>
          <w:spacing w:val="-10"/>
        </w:rPr>
        <w:t> </w:t>
      </w:r>
      <w:r>
        <w:rPr>
          <w:color w:val="231F20"/>
          <w:spacing w:val="-4"/>
        </w:rPr>
        <w:t>de</w:t>
      </w:r>
      <w:r>
        <w:rPr>
          <w:color w:val="231F20"/>
          <w:spacing w:val="-10"/>
        </w:rPr>
        <w:t> </w:t>
      </w:r>
      <w:r>
        <w:rPr>
          <w:color w:val="231F20"/>
          <w:spacing w:val="-4"/>
        </w:rPr>
        <w:t>Oncología</w:t>
      </w:r>
      <w:r>
        <w:rPr>
          <w:color w:val="231F20"/>
          <w:spacing w:val="-10"/>
        </w:rPr>
        <w:t> </w:t>
      </w:r>
      <w:r>
        <w:rPr>
          <w:color w:val="231F20"/>
          <w:spacing w:val="-4"/>
        </w:rPr>
        <w:t>y </w:t>
      </w:r>
      <w:r>
        <w:rPr>
          <w:color w:val="231F20"/>
          <w:spacing w:val="-6"/>
        </w:rPr>
        <w:t>Radiobiología.</w:t>
      </w:r>
      <w:r>
        <w:rPr>
          <w:color w:val="231F20"/>
          <w:spacing w:val="-18"/>
        </w:rPr>
        <w:t> </w:t>
      </w:r>
      <w:r>
        <w:rPr>
          <w:color w:val="231F20"/>
          <w:spacing w:val="-6"/>
        </w:rPr>
        <w:t>Tres</w:t>
      </w:r>
      <w:r>
        <w:rPr>
          <w:color w:val="231F20"/>
          <w:spacing w:val="-16"/>
        </w:rPr>
        <w:t> </w:t>
      </w:r>
      <w:r>
        <w:rPr>
          <w:color w:val="231F20"/>
          <w:spacing w:val="-6"/>
        </w:rPr>
        <w:t>respondieron</w:t>
      </w:r>
      <w:r>
        <w:rPr>
          <w:color w:val="231F20"/>
          <w:spacing w:val="-15"/>
        </w:rPr>
        <w:t> </w:t>
      </w:r>
      <w:r>
        <w:rPr>
          <w:color w:val="231F20"/>
          <w:spacing w:val="-6"/>
        </w:rPr>
        <w:t>de</w:t>
      </w:r>
      <w:r>
        <w:rPr>
          <w:color w:val="231F20"/>
          <w:spacing w:val="-15"/>
        </w:rPr>
        <w:t> </w:t>
      </w:r>
      <w:r>
        <w:rPr>
          <w:color w:val="231F20"/>
          <w:spacing w:val="-6"/>
        </w:rPr>
        <w:t>manera</w:t>
      </w:r>
    </w:p>
    <w:p>
      <w:pPr>
        <w:spacing w:after="0"/>
        <w:sectPr>
          <w:pgSz w:w="11910" w:h="16840"/>
          <w:pgMar w:header="0" w:footer="695" w:top="1260" w:bottom="880" w:left="0" w:right="0"/>
          <w:cols w:num="2" w:equalWidth="0">
            <w:col w:w="5900" w:space="40"/>
            <w:col w:w="5970"/>
          </w:cols>
        </w:sectPr>
      </w:pPr>
    </w:p>
    <w:p>
      <w:pPr>
        <w:pStyle w:val="BodyText"/>
        <w:spacing w:before="77"/>
        <w:ind w:left="1133" w:right="1"/>
      </w:pPr>
      <w:r>
        <w:rPr/>
        <mc:AlternateContent>
          <mc:Choice Requires="wps">
            <w:drawing>
              <wp:anchor distT="0" distB="0" distL="0" distR="0" allowOverlap="1" layoutInCell="1" locked="0" behindDoc="0" simplePos="0" relativeHeight="15744512">
                <wp:simplePos x="0" y="0"/>
                <wp:positionH relativeFrom="page">
                  <wp:posOffset>0</wp:posOffset>
                </wp:positionH>
                <wp:positionV relativeFrom="paragraph">
                  <wp:posOffset>914895</wp:posOffset>
                </wp:positionV>
                <wp:extent cx="3816350" cy="5283200"/>
                <wp:effectExtent l="0" t="0" r="0" b="0"/>
                <wp:wrapNone/>
                <wp:docPr id="49" name="Textbox 49"/>
                <wp:cNvGraphicFramePr>
                  <a:graphicFrameLocks/>
                </wp:cNvGraphicFramePr>
                <a:graphic>
                  <a:graphicData uri="http://schemas.microsoft.com/office/word/2010/wordprocessingShape">
                    <wps:wsp>
                      <wps:cNvPr id="49" name="Textbox 49"/>
                      <wps:cNvSpPr txBox="1"/>
                      <wps:spPr>
                        <a:xfrm>
                          <a:off x="0" y="0"/>
                          <a:ext cx="3816350" cy="5283200"/>
                        </a:xfrm>
                        <a:prstGeom prst="rect">
                          <a:avLst/>
                        </a:prstGeom>
                        <a:solidFill>
                          <a:srgbClr val="E0E2E2"/>
                        </a:solidFill>
                      </wps:spPr>
                      <wps:txbx>
                        <w:txbxContent>
                          <w:p>
                            <w:pPr>
                              <w:pStyle w:val="BodyText"/>
                              <w:spacing w:before="210"/>
                              <w:jc w:val="left"/>
                              <w:rPr>
                                <w:color w:val="000000"/>
                                <w:sz w:val="26"/>
                              </w:rPr>
                            </w:pPr>
                          </w:p>
                          <w:p>
                            <w:pPr>
                              <w:spacing w:line="220" w:lineRule="auto" w:before="0"/>
                              <w:ind w:left="1133" w:right="536" w:firstLine="0"/>
                              <w:jc w:val="left"/>
                              <w:rPr>
                                <w:rFonts w:ascii="Segoe UI Semibold" w:hAnsi="Segoe UI Semibold"/>
                                <w:b/>
                                <w:i/>
                                <w:color w:val="000000"/>
                                <w:sz w:val="26"/>
                              </w:rPr>
                            </w:pPr>
                            <w:r>
                              <w:rPr>
                                <w:rFonts w:ascii="Segoe UI Semibold" w:hAnsi="Segoe UI Semibold"/>
                                <w:b/>
                                <w:i/>
                                <w:color w:val="1A4796"/>
                                <w:sz w:val="26"/>
                              </w:rPr>
                              <w:t>En</w:t>
                            </w:r>
                            <w:r>
                              <w:rPr>
                                <w:rFonts w:ascii="Segoe UI Semibold" w:hAnsi="Segoe UI Semibold"/>
                                <w:b/>
                                <w:i/>
                                <w:color w:val="1A4796"/>
                                <w:spacing w:val="-7"/>
                                <w:sz w:val="26"/>
                              </w:rPr>
                              <w:t> </w:t>
                            </w:r>
                            <w:r>
                              <w:rPr>
                                <w:rFonts w:ascii="Segoe UI Semibold" w:hAnsi="Segoe UI Semibold"/>
                                <w:b/>
                                <w:i/>
                                <w:color w:val="1A4796"/>
                                <w:sz w:val="26"/>
                              </w:rPr>
                              <w:t>Cuba</w:t>
                            </w:r>
                            <w:r>
                              <w:rPr>
                                <w:rFonts w:ascii="Segoe UI Semibold" w:hAnsi="Segoe UI Semibold"/>
                                <w:b/>
                                <w:i/>
                                <w:color w:val="1A4796"/>
                                <w:spacing w:val="-7"/>
                                <w:sz w:val="26"/>
                              </w:rPr>
                              <w:t> </w:t>
                            </w:r>
                            <w:r>
                              <w:rPr>
                                <w:rFonts w:ascii="Segoe UI Semibold" w:hAnsi="Segoe UI Semibold"/>
                                <w:b/>
                                <w:i/>
                                <w:color w:val="1A4796"/>
                                <w:sz w:val="26"/>
                              </w:rPr>
                              <w:t>se</w:t>
                            </w:r>
                            <w:r>
                              <w:rPr>
                                <w:rFonts w:ascii="Segoe UI Semibold" w:hAnsi="Segoe UI Semibold"/>
                                <w:b/>
                                <w:i/>
                                <w:color w:val="1A4796"/>
                                <w:spacing w:val="-7"/>
                                <w:sz w:val="26"/>
                              </w:rPr>
                              <w:t> </w:t>
                            </w:r>
                            <w:r>
                              <w:rPr>
                                <w:rFonts w:ascii="Segoe UI Semibold" w:hAnsi="Segoe UI Semibold"/>
                                <w:b/>
                                <w:i/>
                                <w:color w:val="1A4796"/>
                                <w:sz w:val="26"/>
                              </w:rPr>
                              <w:t>diagnostican</w:t>
                            </w:r>
                            <w:r>
                              <w:rPr>
                                <w:rFonts w:ascii="Segoe UI Semibold" w:hAnsi="Segoe UI Semibold"/>
                                <w:b/>
                                <w:i/>
                                <w:color w:val="1A4796"/>
                                <w:spacing w:val="-7"/>
                                <w:sz w:val="26"/>
                              </w:rPr>
                              <w:t> </w:t>
                            </w:r>
                            <w:r>
                              <w:rPr>
                                <w:rFonts w:ascii="Segoe UI Semibold" w:hAnsi="Segoe UI Semibold"/>
                                <w:b/>
                                <w:i/>
                                <w:color w:val="1A4796"/>
                                <w:sz w:val="26"/>
                              </w:rPr>
                              <w:t>anualmente</w:t>
                            </w:r>
                            <w:r>
                              <w:rPr>
                                <w:rFonts w:ascii="Segoe UI Semibold" w:hAnsi="Segoe UI Semibold"/>
                                <w:b/>
                                <w:i/>
                                <w:color w:val="1A4796"/>
                                <w:sz w:val="26"/>
                              </w:rPr>
                              <w:t> alrededor de 450 casos nuevos de cáncer</w:t>
                            </w:r>
                            <w:r>
                              <w:rPr>
                                <w:rFonts w:ascii="Segoe UI Semibold" w:hAnsi="Segoe UI Semibold"/>
                                <w:b/>
                                <w:i/>
                                <w:color w:val="1A4796"/>
                                <w:spacing w:val="-11"/>
                                <w:sz w:val="26"/>
                              </w:rPr>
                              <w:t> </w:t>
                            </w:r>
                            <w:r>
                              <w:rPr>
                                <w:rFonts w:ascii="Segoe UI Semibold" w:hAnsi="Segoe UI Semibold"/>
                                <w:b/>
                                <w:i/>
                                <w:color w:val="1A4796"/>
                                <w:sz w:val="26"/>
                              </w:rPr>
                              <w:t>infantil.</w:t>
                            </w:r>
                            <w:r>
                              <w:rPr>
                                <w:rFonts w:ascii="Segoe UI Semibold" w:hAnsi="Segoe UI Semibold"/>
                                <w:b/>
                                <w:i/>
                                <w:color w:val="1A4796"/>
                                <w:spacing w:val="-11"/>
                                <w:sz w:val="26"/>
                              </w:rPr>
                              <w:t> </w:t>
                            </w:r>
                            <w:r>
                              <w:rPr>
                                <w:rFonts w:ascii="Segoe UI Semibold" w:hAnsi="Segoe UI Semibold"/>
                                <w:b/>
                                <w:i/>
                                <w:color w:val="1A4796"/>
                                <w:sz w:val="26"/>
                              </w:rPr>
                              <w:t>A</w:t>
                            </w:r>
                            <w:r>
                              <w:rPr>
                                <w:rFonts w:ascii="Segoe UI Semibold" w:hAnsi="Segoe UI Semibold"/>
                                <w:b/>
                                <w:i/>
                                <w:color w:val="1A4796"/>
                                <w:spacing w:val="-11"/>
                                <w:sz w:val="26"/>
                              </w:rPr>
                              <w:t> </w:t>
                            </w:r>
                            <w:r>
                              <w:rPr>
                                <w:rFonts w:ascii="Segoe UI Semibold" w:hAnsi="Segoe UI Semibold"/>
                                <w:b/>
                                <w:i/>
                                <w:color w:val="1A4796"/>
                                <w:sz w:val="26"/>
                              </w:rPr>
                              <w:t>una</w:t>
                            </w:r>
                            <w:r>
                              <w:rPr>
                                <w:rFonts w:ascii="Segoe UI Semibold" w:hAnsi="Segoe UI Semibold"/>
                                <w:b/>
                                <w:i/>
                                <w:color w:val="1A4796"/>
                                <w:spacing w:val="-11"/>
                                <w:sz w:val="26"/>
                              </w:rPr>
                              <w:t> </w:t>
                            </w:r>
                            <w:r>
                              <w:rPr>
                                <w:rFonts w:ascii="Segoe UI Semibold" w:hAnsi="Segoe UI Semibold"/>
                                <w:b/>
                                <w:i/>
                                <w:color w:val="1A4796"/>
                                <w:sz w:val="26"/>
                              </w:rPr>
                              <w:t>niña</w:t>
                            </w:r>
                            <w:r>
                              <w:rPr>
                                <w:rFonts w:ascii="Segoe UI Semibold" w:hAnsi="Segoe UI Semibold"/>
                                <w:b/>
                                <w:i/>
                                <w:color w:val="1A4796"/>
                                <w:spacing w:val="-11"/>
                                <w:sz w:val="26"/>
                              </w:rPr>
                              <w:t> </w:t>
                            </w:r>
                            <w:r>
                              <w:rPr>
                                <w:rFonts w:ascii="Segoe UI Semibold" w:hAnsi="Segoe UI Semibold"/>
                                <w:b/>
                                <w:i/>
                                <w:color w:val="1A4796"/>
                                <w:sz w:val="26"/>
                              </w:rPr>
                              <w:t>de</w:t>
                            </w:r>
                            <w:r>
                              <w:rPr>
                                <w:rFonts w:ascii="Segoe UI Semibold" w:hAnsi="Segoe UI Semibold"/>
                                <w:b/>
                                <w:i/>
                                <w:color w:val="1A4796"/>
                                <w:spacing w:val="-11"/>
                                <w:sz w:val="26"/>
                              </w:rPr>
                              <w:t> </w:t>
                            </w:r>
                            <w:r>
                              <w:rPr>
                                <w:rFonts w:ascii="Segoe UI Semibold" w:hAnsi="Segoe UI Semibold"/>
                                <w:b/>
                                <w:i/>
                                <w:color w:val="1A4796"/>
                                <w:sz w:val="26"/>
                              </w:rPr>
                              <w:t>apenas 6 años, se le debió realizar una </w:t>
                            </w:r>
                            <w:r>
                              <w:rPr>
                                <w:rFonts w:ascii="Segoe UI Semibold" w:hAnsi="Segoe UI Semibold"/>
                                <w:b/>
                                <w:i/>
                                <w:color w:val="1A4796"/>
                                <w:spacing w:val="-2"/>
                                <w:sz w:val="26"/>
                              </w:rPr>
                              <w:t>intervención</w:t>
                            </w:r>
                            <w:r>
                              <w:rPr>
                                <w:rFonts w:ascii="Segoe UI Semibold" w:hAnsi="Segoe UI Semibold"/>
                                <w:b/>
                                <w:i/>
                                <w:color w:val="1A4796"/>
                                <w:spacing w:val="-16"/>
                                <w:sz w:val="26"/>
                              </w:rPr>
                              <w:t> </w:t>
                            </w:r>
                            <w:r>
                              <w:rPr>
                                <w:rFonts w:ascii="Segoe UI Semibold" w:hAnsi="Segoe UI Semibold"/>
                                <w:b/>
                                <w:i/>
                                <w:color w:val="1A4796"/>
                                <w:spacing w:val="-2"/>
                                <w:sz w:val="26"/>
                              </w:rPr>
                              <w:t>quirúrgica</w:t>
                            </w:r>
                            <w:r>
                              <w:rPr>
                                <w:rFonts w:ascii="Segoe UI Semibold" w:hAnsi="Segoe UI Semibold"/>
                                <w:b/>
                                <w:i/>
                                <w:color w:val="1A4796"/>
                                <w:spacing w:val="-16"/>
                                <w:sz w:val="26"/>
                              </w:rPr>
                              <w:t> </w:t>
                            </w:r>
                            <w:r>
                              <w:rPr>
                                <w:rFonts w:ascii="Segoe UI Semibold" w:hAnsi="Segoe UI Semibold"/>
                                <w:b/>
                                <w:i/>
                                <w:color w:val="1A4796"/>
                                <w:spacing w:val="-2"/>
                                <w:sz w:val="26"/>
                              </w:rPr>
                              <w:t>para</w:t>
                            </w:r>
                            <w:r>
                              <w:rPr>
                                <w:rFonts w:ascii="Segoe UI Semibold" w:hAnsi="Segoe UI Semibold"/>
                                <w:b/>
                                <w:i/>
                                <w:color w:val="1A4796"/>
                                <w:spacing w:val="-16"/>
                                <w:sz w:val="26"/>
                              </w:rPr>
                              <w:t> </w:t>
                            </w:r>
                            <w:r>
                              <w:rPr>
                                <w:rFonts w:ascii="Segoe UI Semibold" w:hAnsi="Segoe UI Semibold"/>
                                <w:b/>
                                <w:i/>
                                <w:color w:val="1A4796"/>
                                <w:spacing w:val="-2"/>
                                <w:sz w:val="26"/>
                              </w:rPr>
                              <w:t>extraerle </w:t>
                            </w:r>
                            <w:r>
                              <w:rPr>
                                <w:rFonts w:ascii="Segoe UI Semibold" w:hAnsi="Segoe UI Semibold"/>
                                <w:b/>
                                <w:i/>
                                <w:color w:val="1A4796"/>
                                <w:sz w:val="26"/>
                              </w:rPr>
                              <w:t>parcialmente un tumor de grado</w:t>
                            </w:r>
                          </w:p>
                          <w:p>
                            <w:pPr>
                              <w:spacing w:line="220" w:lineRule="auto" w:before="5"/>
                              <w:ind w:left="1133" w:right="339" w:firstLine="0"/>
                              <w:jc w:val="left"/>
                              <w:rPr>
                                <w:rFonts w:ascii="Segoe UI Semibold" w:hAnsi="Segoe UI Semibold"/>
                                <w:b/>
                                <w:i/>
                                <w:color w:val="000000"/>
                                <w:sz w:val="26"/>
                              </w:rPr>
                            </w:pPr>
                            <w:r>
                              <w:rPr>
                                <w:rFonts w:ascii="Segoe UI Semibold" w:hAnsi="Segoe UI Semibold"/>
                                <w:b/>
                                <w:i/>
                                <w:color w:val="1A4796"/>
                                <w:sz w:val="26"/>
                              </w:rPr>
                              <w:t>4 alojado en el área intracraneal.</w:t>
                            </w:r>
                            <w:r>
                              <w:rPr>
                                <w:rFonts w:ascii="Segoe UI Semibold" w:hAnsi="Segoe UI Semibold"/>
                                <w:b/>
                                <w:i/>
                                <w:color w:val="1A4796"/>
                                <w:sz w:val="26"/>
                              </w:rPr>
                              <w:t> Aunque se le ha garantizado el tratamiento de quimioterapia para combatir la tumoración, no ha sido posible administrarle la Lomustina, medicamento al que no es posible acceder producto del bloqueo y que constituye la primera línea para este tipo de tumores de alto grado que afectan el sistema nervioso central. </w:t>
                            </w:r>
                            <w:r>
                              <w:rPr>
                                <w:rFonts w:ascii="Segoe UI Semibold" w:hAnsi="Segoe UI Semibold"/>
                                <w:b/>
                                <w:i/>
                                <w:color w:val="1A4796"/>
                                <w:spacing w:val="-2"/>
                                <w:sz w:val="26"/>
                              </w:rPr>
                              <w:t>Actualmente,</w:t>
                            </w:r>
                            <w:r>
                              <w:rPr>
                                <w:rFonts w:ascii="Segoe UI Semibold" w:hAnsi="Segoe UI Semibold"/>
                                <w:b/>
                                <w:i/>
                                <w:color w:val="1A4796"/>
                                <w:spacing w:val="-16"/>
                                <w:sz w:val="26"/>
                              </w:rPr>
                              <w:t> </w:t>
                            </w:r>
                            <w:r>
                              <w:rPr>
                                <w:rFonts w:ascii="Segoe UI Semibold" w:hAnsi="Segoe UI Semibold"/>
                                <w:b/>
                                <w:i/>
                                <w:color w:val="1A4796"/>
                                <w:spacing w:val="-2"/>
                                <w:sz w:val="26"/>
                              </w:rPr>
                              <w:t>la</w:t>
                            </w:r>
                            <w:r>
                              <w:rPr>
                                <w:rFonts w:ascii="Segoe UI Semibold" w:hAnsi="Segoe UI Semibold"/>
                                <w:b/>
                                <w:i/>
                                <w:color w:val="1A4796"/>
                                <w:spacing w:val="-16"/>
                                <w:sz w:val="26"/>
                              </w:rPr>
                              <w:t> </w:t>
                            </w:r>
                            <w:r>
                              <w:rPr>
                                <w:rFonts w:ascii="Segoe UI Semibold" w:hAnsi="Segoe UI Semibold"/>
                                <w:b/>
                                <w:i/>
                                <w:color w:val="1A4796"/>
                                <w:spacing w:val="-2"/>
                                <w:sz w:val="26"/>
                              </w:rPr>
                              <w:t>paciente</w:t>
                            </w:r>
                            <w:r>
                              <w:rPr>
                                <w:rFonts w:ascii="Segoe UI Semibold" w:hAnsi="Segoe UI Semibold"/>
                                <w:b/>
                                <w:i/>
                                <w:color w:val="1A4796"/>
                                <w:spacing w:val="-16"/>
                                <w:sz w:val="26"/>
                              </w:rPr>
                              <w:t> </w:t>
                            </w:r>
                            <w:r>
                              <w:rPr>
                                <w:rFonts w:ascii="Segoe UI Semibold" w:hAnsi="Segoe UI Semibold"/>
                                <w:b/>
                                <w:i/>
                                <w:color w:val="1A4796"/>
                                <w:spacing w:val="-2"/>
                                <w:sz w:val="26"/>
                              </w:rPr>
                              <w:t>se</w:t>
                            </w:r>
                            <w:r>
                              <w:rPr>
                                <w:rFonts w:ascii="Segoe UI Semibold" w:hAnsi="Segoe UI Semibold"/>
                                <w:b/>
                                <w:i/>
                                <w:color w:val="1A4796"/>
                                <w:spacing w:val="-16"/>
                                <w:sz w:val="26"/>
                              </w:rPr>
                              <w:t> </w:t>
                            </w:r>
                            <w:r>
                              <w:rPr>
                                <w:rFonts w:ascii="Segoe UI Semibold" w:hAnsi="Segoe UI Semibold"/>
                                <w:b/>
                                <w:i/>
                                <w:color w:val="1A4796"/>
                                <w:spacing w:val="-2"/>
                                <w:sz w:val="26"/>
                              </w:rPr>
                              <w:t>encuentra </w:t>
                            </w:r>
                            <w:r>
                              <w:rPr>
                                <w:rFonts w:ascii="Segoe UI Semibold" w:hAnsi="Segoe UI Semibold"/>
                                <w:b/>
                                <w:i/>
                                <w:color w:val="1A4796"/>
                                <w:sz w:val="26"/>
                              </w:rPr>
                              <w:t>en recaída y se le aplica un esquema de rescate. Para esta pequeña, como para otros niños cubanos, el bloqueo sigue</w:t>
                            </w:r>
                            <w:r>
                              <w:rPr>
                                <w:rFonts w:ascii="Segoe UI Semibold" w:hAnsi="Segoe UI Semibold"/>
                                <w:b/>
                                <w:i/>
                                <w:color w:val="1A4796"/>
                                <w:spacing w:val="-8"/>
                                <w:sz w:val="26"/>
                              </w:rPr>
                              <w:t> </w:t>
                            </w:r>
                            <w:r>
                              <w:rPr>
                                <w:rFonts w:ascii="Segoe UI Semibold" w:hAnsi="Segoe UI Semibold"/>
                                <w:b/>
                                <w:i/>
                                <w:color w:val="1A4796"/>
                                <w:sz w:val="26"/>
                              </w:rPr>
                              <w:t>marcando</w:t>
                            </w:r>
                            <w:r>
                              <w:rPr>
                                <w:rFonts w:ascii="Segoe UI Semibold" w:hAnsi="Segoe UI Semibold"/>
                                <w:b/>
                                <w:i/>
                                <w:color w:val="1A4796"/>
                                <w:spacing w:val="-8"/>
                                <w:sz w:val="26"/>
                              </w:rPr>
                              <w:t> </w:t>
                            </w:r>
                            <w:r>
                              <w:rPr>
                                <w:rFonts w:ascii="Segoe UI Semibold" w:hAnsi="Segoe UI Semibold"/>
                                <w:b/>
                                <w:i/>
                                <w:color w:val="1A4796"/>
                                <w:sz w:val="26"/>
                              </w:rPr>
                              <w:t>la</w:t>
                            </w:r>
                            <w:r>
                              <w:rPr>
                                <w:rFonts w:ascii="Segoe UI Semibold" w:hAnsi="Segoe UI Semibold"/>
                                <w:b/>
                                <w:i/>
                                <w:color w:val="1A4796"/>
                                <w:spacing w:val="-8"/>
                                <w:sz w:val="26"/>
                              </w:rPr>
                              <w:t> </w:t>
                            </w:r>
                            <w:r>
                              <w:rPr>
                                <w:rFonts w:ascii="Segoe UI Semibold" w:hAnsi="Segoe UI Semibold"/>
                                <w:b/>
                                <w:i/>
                                <w:color w:val="1A4796"/>
                                <w:sz w:val="26"/>
                              </w:rPr>
                              <w:t>diferencia</w:t>
                            </w:r>
                            <w:r>
                              <w:rPr>
                                <w:rFonts w:ascii="Segoe UI Semibold" w:hAnsi="Segoe UI Semibold"/>
                                <w:b/>
                                <w:i/>
                                <w:color w:val="1A4796"/>
                                <w:spacing w:val="-8"/>
                                <w:sz w:val="26"/>
                              </w:rPr>
                              <w:t> </w:t>
                            </w:r>
                            <w:r>
                              <w:rPr>
                                <w:rFonts w:ascii="Segoe UI Semibold" w:hAnsi="Segoe UI Semibold"/>
                                <w:b/>
                                <w:i/>
                                <w:color w:val="1A4796"/>
                                <w:sz w:val="26"/>
                              </w:rPr>
                              <w:t>entre</w:t>
                            </w:r>
                            <w:r>
                              <w:rPr>
                                <w:rFonts w:ascii="Segoe UI Semibold" w:hAnsi="Segoe UI Semibold"/>
                                <w:b/>
                                <w:i/>
                                <w:color w:val="1A4796"/>
                                <w:spacing w:val="-8"/>
                                <w:sz w:val="26"/>
                              </w:rPr>
                              <w:t> </w:t>
                            </w:r>
                            <w:r>
                              <w:rPr>
                                <w:rFonts w:ascii="Segoe UI Semibold" w:hAnsi="Segoe UI Semibold"/>
                                <w:b/>
                                <w:i/>
                                <w:color w:val="1A4796"/>
                                <w:sz w:val="26"/>
                              </w:rPr>
                              <w:t>la vida y la muerte.</w:t>
                            </w:r>
                          </w:p>
                        </w:txbxContent>
                      </wps:txbx>
                      <wps:bodyPr wrap="square" lIns="0" tIns="0" rIns="0" bIns="0" rtlCol="0">
                        <a:noAutofit/>
                      </wps:bodyPr>
                    </wps:wsp>
                  </a:graphicData>
                </a:graphic>
              </wp:anchor>
            </w:drawing>
          </mc:Choice>
          <mc:Fallback>
            <w:pict>
              <v:shape style="position:absolute;margin-left:0pt;margin-top:72.039001pt;width:300.5pt;height:416pt;mso-position-horizontal-relative:page;mso-position-vertical-relative:paragraph;z-index:15744512" type="#_x0000_t202" id="docshape36" filled="true" fillcolor="#e0e2e2" stroked="false">
                <v:textbox inset="0,0,0,0">
                  <w:txbxContent>
                    <w:p>
                      <w:pPr>
                        <w:pStyle w:val="BodyText"/>
                        <w:spacing w:before="210"/>
                        <w:jc w:val="left"/>
                        <w:rPr>
                          <w:color w:val="000000"/>
                          <w:sz w:val="26"/>
                        </w:rPr>
                      </w:pPr>
                    </w:p>
                    <w:p>
                      <w:pPr>
                        <w:spacing w:line="220" w:lineRule="auto" w:before="0"/>
                        <w:ind w:left="1133" w:right="536" w:firstLine="0"/>
                        <w:jc w:val="left"/>
                        <w:rPr>
                          <w:rFonts w:ascii="Segoe UI Semibold" w:hAnsi="Segoe UI Semibold"/>
                          <w:b/>
                          <w:i/>
                          <w:color w:val="000000"/>
                          <w:sz w:val="26"/>
                        </w:rPr>
                      </w:pPr>
                      <w:r>
                        <w:rPr>
                          <w:rFonts w:ascii="Segoe UI Semibold" w:hAnsi="Segoe UI Semibold"/>
                          <w:b/>
                          <w:i/>
                          <w:color w:val="1A4796"/>
                          <w:sz w:val="26"/>
                        </w:rPr>
                        <w:t>En</w:t>
                      </w:r>
                      <w:r>
                        <w:rPr>
                          <w:rFonts w:ascii="Segoe UI Semibold" w:hAnsi="Segoe UI Semibold"/>
                          <w:b/>
                          <w:i/>
                          <w:color w:val="1A4796"/>
                          <w:spacing w:val="-7"/>
                          <w:sz w:val="26"/>
                        </w:rPr>
                        <w:t> </w:t>
                      </w:r>
                      <w:r>
                        <w:rPr>
                          <w:rFonts w:ascii="Segoe UI Semibold" w:hAnsi="Segoe UI Semibold"/>
                          <w:b/>
                          <w:i/>
                          <w:color w:val="1A4796"/>
                          <w:sz w:val="26"/>
                        </w:rPr>
                        <w:t>Cuba</w:t>
                      </w:r>
                      <w:r>
                        <w:rPr>
                          <w:rFonts w:ascii="Segoe UI Semibold" w:hAnsi="Segoe UI Semibold"/>
                          <w:b/>
                          <w:i/>
                          <w:color w:val="1A4796"/>
                          <w:spacing w:val="-7"/>
                          <w:sz w:val="26"/>
                        </w:rPr>
                        <w:t> </w:t>
                      </w:r>
                      <w:r>
                        <w:rPr>
                          <w:rFonts w:ascii="Segoe UI Semibold" w:hAnsi="Segoe UI Semibold"/>
                          <w:b/>
                          <w:i/>
                          <w:color w:val="1A4796"/>
                          <w:sz w:val="26"/>
                        </w:rPr>
                        <w:t>se</w:t>
                      </w:r>
                      <w:r>
                        <w:rPr>
                          <w:rFonts w:ascii="Segoe UI Semibold" w:hAnsi="Segoe UI Semibold"/>
                          <w:b/>
                          <w:i/>
                          <w:color w:val="1A4796"/>
                          <w:spacing w:val="-7"/>
                          <w:sz w:val="26"/>
                        </w:rPr>
                        <w:t> </w:t>
                      </w:r>
                      <w:r>
                        <w:rPr>
                          <w:rFonts w:ascii="Segoe UI Semibold" w:hAnsi="Segoe UI Semibold"/>
                          <w:b/>
                          <w:i/>
                          <w:color w:val="1A4796"/>
                          <w:sz w:val="26"/>
                        </w:rPr>
                        <w:t>diagnostican</w:t>
                      </w:r>
                      <w:r>
                        <w:rPr>
                          <w:rFonts w:ascii="Segoe UI Semibold" w:hAnsi="Segoe UI Semibold"/>
                          <w:b/>
                          <w:i/>
                          <w:color w:val="1A4796"/>
                          <w:spacing w:val="-7"/>
                          <w:sz w:val="26"/>
                        </w:rPr>
                        <w:t> </w:t>
                      </w:r>
                      <w:r>
                        <w:rPr>
                          <w:rFonts w:ascii="Segoe UI Semibold" w:hAnsi="Segoe UI Semibold"/>
                          <w:b/>
                          <w:i/>
                          <w:color w:val="1A4796"/>
                          <w:sz w:val="26"/>
                        </w:rPr>
                        <w:t>anualmente</w:t>
                      </w:r>
                      <w:r>
                        <w:rPr>
                          <w:rFonts w:ascii="Segoe UI Semibold" w:hAnsi="Segoe UI Semibold"/>
                          <w:b/>
                          <w:i/>
                          <w:color w:val="1A4796"/>
                          <w:sz w:val="26"/>
                        </w:rPr>
                        <w:t> alrededor de 450 casos nuevos de cáncer</w:t>
                      </w:r>
                      <w:r>
                        <w:rPr>
                          <w:rFonts w:ascii="Segoe UI Semibold" w:hAnsi="Segoe UI Semibold"/>
                          <w:b/>
                          <w:i/>
                          <w:color w:val="1A4796"/>
                          <w:spacing w:val="-11"/>
                          <w:sz w:val="26"/>
                        </w:rPr>
                        <w:t> </w:t>
                      </w:r>
                      <w:r>
                        <w:rPr>
                          <w:rFonts w:ascii="Segoe UI Semibold" w:hAnsi="Segoe UI Semibold"/>
                          <w:b/>
                          <w:i/>
                          <w:color w:val="1A4796"/>
                          <w:sz w:val="26"/>
                        </w:rPr>
                        <w:t>infantil.</w:t>
                      </w:r>
                      <w:r>
                        <w:rPr>
                          <w:rFonts w:ascii="Segoe UI Semibold" w:hAnsi="Segoe UI Semibold"/>
                          <w:b/>
                          <w:i/>
                          <w:color w:val="1A4796"/>
                          <w:spacing w:val="-11"/>
                          <w:sz w:val="26"/>
                        </w:rPr>
                        <w:t> </w:t>
                      </w:r>
                      <w:r>
                        <w:rPr>
                          <w:rFonts w:ascii="Segoe UI Semibold" w:hAnsi="Segoe UI Semibold"/>
                          <w:b/>
                          <w:i/>
                          <w:color w:val="1A4796"/>
                          <w:sz w:val="26"/>
                        </w:rPr>
                        <w:t>A</w:t>
                      </w:r>
                      <w:r>
                        <w:rPr>
                          <w:rFonts w:ascii="Segoe UI Semibold" w:hAnsi="Segoe UI Semibold"/>
                          <w:b/>
                          <w:i/>
                          <w:color w:val="1A4796"/>
                          <w:spacing w:val="-11"/>
                          <w:sz w:val="26"/>
                        </w:rPr>
                        <w:t> </w:t>
                      </w:r>
                      <w:r>
                        <w:rPr>
                          <w:rFonts w:ascii="Segoe UI Semibold" w:hAnsi="Segoe UI Semibold"/>
                          <w:b/>
                          <w:i/>
                          <w:color w:val="1A4796"/>
                          <w:sz w:val="26"/>
                        </w:rPr>
                        <w:t>una</w:t>
                      </w:r>
                      <w:r>
                        <w:rPr>
                          <w:rFonts w:ascii="Segoe UI Semibold" w:hAnsi="Segoe UI Semibold"/>
                          <w:b/>
                          <w:i/>
                          <w:color w:val="1A4796"/>
                          <w:spacing w:val="-11"/>
                          <w:sz w:val="26"/>
                        </w:rPr>
                        <w:t> </w:t>
                      </w:r>
                      <w:r>
                        <w:rPr>
                          <w:rFonts w:ascii="Segoe UI Semibold" w:hAnsi="Segoe UI Semibold"/>
                          <w:b/>
                          <w:i/>
                          <w:color w:val="1A4796"/>
                          <w:sz w:val="26"/>
                        </w:rPr>
                        <w:t>niña</w:t>
                      </w:r>
                      <w:r>
                        <w:rPr>
                          <w:rFonts w:ascii="Segoe UI Semibold" w:hAnsi="Segoe UI Semibold"/>
                          <w:b/>
                          <w:i/>
                          <w:color w:val="1A4796"/>
                          <w:spacing w:val="-11"/>
                          <w:sz w:val="26"/>
                        </w:rPr>
                        <w:t> </w:t>
                      </w:r>
                      <w:r>
                        <w:rPr>
                          <w:rFonts w:ascii="Segoe UI Semibold" w:hAnsi="Segoe UI Semibold"/>
                          <w:b/>
                          <w:i/>
                          <w:color w:val="1A4796"/>
                          <w:sz w:val="26"/>
                        </w:rPr>
                        <w:t>de</w:t>
                      </w:r>
                      <w:r>
                        <w:rPr>
                          <w:rFonts w:ascii="Segoe UI Semibold" w:hAnsi="Segoe UI Semibold"/>
                          <w:b/>
                          <w:i/>
                          <w:color w:val="1A4796"/>
                          <w:spacing w:val="-11"/>
                          <w:sz w:val="26"/>
                        </w:rPr>
                        <w:t> </w:t>
                      </w:r>
                      <w:r>
                        <w:rPr>
                          <w:rFonts w:ascii="Segoe UI Semibold" w:hAnsi="Segoe UI Semibold"/>
                          <w:b/>
                          <w:i/>
                          <w:color w:val="1A4796"/>
                          <w:sz w:val="26"/>
                        </w:rPr>
                        <w:t>apenas 6 años, se le debió realizar una </w:t>
                      </w:r>
                      <w:r>
                        <w:rPr>
                          <w:rFonts w:ascii="Segoe UI Semibold" w:hAnsi="Segoe UI Semibold"/>
                          <w:b/>
                          <w:i/>
                          <w:color w:val="1A4796"/>
                          <w:spacing w:val="-2"/>
                          <w:sz w:val="26"/>
                        </w:rPr>
                        <w:t>intervención</w:t>
                      </w:r>
                      <w:r>
                        <w:rPr>
                          <w:rFonts w:ascii="Segoe UI Semibold" w:hAnsi="Segoe UI Semibold"/>
                          <w:b/>
                          <w:i/>
                          <w:color w:val="1A4796"/>
                          <w:spacing w:val="-16"/>
                          <w:sz w:val="26"/>
                        </w:rPr>
                        <w:t> </w:t>
                      </w:r>
                      <w:r>
                        <w:rPr>
                          <w:rFonts w:ascii="Segoe UI Semibold" w:hAnsi="Segoe UI Semibold"/>
                          <w:b/>
                          <w:i/>
                          <w:color w:val="1A4796"/>
                          <w:spacing w:val="-2"/>
                          <w:sz w:val="26"/>
                        </w:rPr>
                        <w:t>quirúrgica</w:t>
                      </w:r>
                      <w:r>
                        <w:rPr>
                          <w:rFonts w:ascii="Segoe UI Semibold" w:hAnsi="Segoe UI Semibold"/>
                          <w:b/>
                          <w:i/>
                          <w:color w:val="1A4796"/>
                          <w:spacing w:val="-16"/>
                          <w:sz w:val="26"/>
                        </w:rPr>
                        <w:t> </w:t>
                      </w:r>
                      <w:r>
                        <w:rPr>
                          <w:rFonts w:ascii="Segoe UI Semibold" w:hAnsi="Segoe UI Semibold"/>
                          <w:b/>
                          <w:i/>
                          <w:color w:val="1A4796"/>
                          <w:spacing w:val="-2"/>
                          <w:sz w:val="26"/>
                        </w:rPr>
                        <w:t>para</w:t>
                      </w:r>
                      <w:r>
                        <w:rPr>
                          <w:rFonts w:ascii="Segoe UI Semibold" w:hAnsi="Segoe UI Semibold"/>
                          <w:b/>
                          <w:i/>
                          <w:color w:val="1A4796"/>
                          <w:spacing w:val="-16"/>
                          <w:sz w:val="26"/>
                        </w:rPr>
                        <w:t> </w:t>
                      </w:r>
                      <w:r>
                        <w:rPr>
                          <w:rFonts w:ascii="Segoe UI Semibold" w:hAnsi="Segoe UI Semibold"/>
                          <w:b/>
                          <w:i/>
                          <w:color w:val="1A4796"/>
                          <w:spacing w:val="-2"/>
                          <w:sz w:val="26"/>
                        </w:rPr>
                        <w:t>extraerle </w:t>
                      </w:r>
                      <w:r>
                        <w:rPr>
                          <w:rFonts w:ascii="Segoe UI Semibold" w:hAnsi="Segoe UI Semibold"/>
                          <w:b/>
                          <w:i/>
                          <w:color w:val="1A4796"/>
                          <w:sz w:val="26"/>
                        </w:rPr>
                        <w:t>parcialmente un tumor de grado</w:t>
                      </w:r>
                    </w:p>
                    <w:p>
                      <w:pPr>
                        <w:spacing w:line="220" w:lineRule="auto" w:before="5"/>
                        <w:ind w:left="1133" w:right="339" w:firstLine="0"/>
                        <w:jc w:val="left"/>
                        <w:rPr>
                          <w:rFonts w:ascii="Segoe UI Semibold" w:hAnsi="Segoe UI Semibold"/>
                          <w:b/>
                          <w:i/>
                          <w:color w:val="000000"/>
                          <w:sz w:val="26"/>
                        </w:rPr>
                      </w:pPr>
                      <w:r>
                        <w:rPr>
                          <w:rFonts w:ascii="Segoe UI Semibold" w:hAnsi="Segoe UI Semibold"/>
                          <w:b/>
                          <w:i/>
                          <w:color w:val="1A4796"/>
                          <w:sz w:val="26"/>
                        </w:rPr>
                        <w:t>4 alojado en el área intracraneal.</w:t>
                      </w:r>
                      <w:r>
                        <w:rPr>
                          <w:rFonts w:ascii="Segoe UI Semibold" w:hAnsi="Segoe UI Semibold"/>
                          <w:b/>
                          <w:i/>
                          <w:color w:val="1A4796"/>
                          <w:sz w:val="26"/>
                        </w:rPr>
                        <w:t> Aunque se le ha garantizado el tratamiento de quimioterapia para combatir la tumoración, no ha sido posible administrarle la Lomustina, medicamento al que no es posible acceder producto del bloqueo y que constituye la primera línea para este tipo de tumores de alto grado que afectan el sistema nervioso central. </w:t>
                      </w:r>
                      <w:r>
                        <w:rPr>
                          <w:rFonts w:ascii="Segoe UI Semibold" w:hAnsi="Segoe UI Semibold"/>
                          <w:b/>
                          <w:i/>
                          <w:color w:val="1A4796"/>
                          <w:spacing w:val="-2"/>
                          <w:sz w:val="26"/>
                        </w:rPr>
                        <w:t>Actualmente,</w:t>
                      </w:r>
                      <w:r>
                        <w:rPr>
                          <w:rFonts w:ascii="Segoe UI Semibold" w:hAnsi="Segoe UI Semibold"/>
                          <w:b/>
                          <w:i/>
                          <w:color w:val="1A4796"/>
                          <w:spacing w:val="-16"/>
                          <w:sz w:val="26"/>
                        </w:rPr>
                        <w:t> </w:t>
                      </w:r>
                      <w:r>
                        <w:rPr>
                          <w:rFonts w:ascii="Segoe UI Semibold" w:hAnsi="Segoe UI Semibold"/>
                          <w:b/>
                          <w:i/>
                          <w:color w:val="1A4796"/>
                          <w:spacing w:val="-2"/>
                          <w:sz w:val="26"/>
                        </w:rPr>
                        <w:t>la</w:t>
                      </w:r>
                      <w:r>
                        <w:rPr>
                          <w:rFonts w:ascii="Segoe UI Semibold" w:hAnsi="Segoe UI Semibold"/>
                          <w:b/>
                          <w:i/>
                          <w:color w:val="1A4796"/>
                          <w:spacing w:val="-16"/>
                          <w:sz w:val="26"/>
                        </w:rPr>
                        <w:t> </w:t>
                      </w:r>
                      <w:r>
                        <w:rPr>
                          <w:rFonts w:ascii="Segoe UI Semibold" w:hAnsi="Segoe UI Semibold"/>
                          <w:b/>
                          <w:i/>
                          <w:color w:val="1A4796"/>
                          <w:spacing w:val="-2"/>
                          <w:sz w:val="26"/>
                        </w:rPr>
                        <w:t>paciente</w:t>
                      </w:r>
                      <w:r>
                        <w:rPr>
                          <w:rFonts w:ascii="Segoe UI Semibold" w:hAnsi="Segoe UI Semibold"/>
                          <w:b/>
                          <w:i/>
                          <w:color w:val="1A4796"/>
                          <w:spacing w:val="-16"/>
                          <w:sz w:val="26"/>
                        </w:rPr>
                        <w:t> </w:t>
                      </w:r>
                      <w:r>
                        <w:rPr>
                          <w:rFonts w:ascii="Segoe UI Semibold" w:hAnsi="Segoe UI Semibold"/>
                          <w:b/>
                          <w:i/>
                          <w:color w:val="1A4796"/>
                          <w:spacing w:val="-2"/>
                          <w:sz w:val="26"/>
                        </w:rPr>
                        <w:t>se</w:t>
                      </w:r>
                      <w:r>
                        <w:rPr>
                          <w:rFonts w:ascii="Segoe UI Semibold" w:hAnsi="Segoe UI Semibold"/>
                          <w:b/>
                          <w:i/>
                          <w:color w:val="1A4796"/>
                          <w:spacing w:val="-16"/>
                          <w:sz w:val="26"/>
                        </w:rPr>
                        <w:t> </w:t>
                      </w:r>
                      <w:r>
                        <w:rPr>
                          <w:rFonts w:ascii="Segoe UI Semibold" w:hAnsi="Segoe UI Semibold"/>
                          <w:b/>
                          <w:i/>
                          <w:color w:val="1A4796"/>
                          <w:spacing w:val="-2"/>
                          <w:sz w:val="26"/>
                        </w:rPr>
                        <w:t>encuentra </w:t>
                      </w:r>
                      <w:r>
                        <w:rPr>
                          <w:rFonts w:ascii="Segoe UI Semibold" w:hAnsi="Segoe UI Semibold"/>
                          <w:b/>
                          <w:i/>
                          <w:color w:val="1A4796"/>
                          <w:sz w:val="26"/>
                        </w:rPr>
                        <w:t>en recaída y se le aplica un esquema de rescate. Para esta pequeña, como para otros niños cubanos, el bloqueo sigue</w:t>
                      </w:r>
                      <w:r>
                        <w:rPr>
                          <w:rFonts w:ascii="Segoe UI Semibold" w:hAnsi="Segoe UI Semibold"/>
                          <w:b/>
                          <w:i/>
                          <w:color w:val="1A4796"/>
                          <w:spacing w:val="-8"/>
                          <w:sz w:val="26"/>
                        </w:rPr>
                        <w:t> </w:t>
                      </w:r>
                      <w:r>
                        <w:rPr>
                          <w:rFonts w:ascii="Segoe UI Semibold" w:hAnsi="Segoe UI Semibold"/>
                          <w:b/>
                          <w:i/>
                          <w:color w:val="1A4796"/>
                          <w:sz w:val="26"/>
                        </w:rPr>
                        <w:t>marcando</w:t>
                      </w:r>
                      <w:r>
                        <w:rPr>
                          <w:rFonts w:ascii="Segoe UI Semibold" w:hAnsi="Segoe UI Semibold"/>
                          <w:b/>
                          <w:i/>
                          <w:color w:val="1A4796"/>
                          <w:spacing w:val="-8"/>
                          <w:sz w:val="26"/>
                        </w:rPr>
                        <w:t> </w:t>
                      </w:r>
                      <w:r>
                        <w:rPr>
                          <w:rFonts w:ascii="Segoe UI Semibold" w:hAnsi="Segoe UI Semibold"/>
                          <w:b/>
                          <w:i/>
                          <w:color w:val="1A4796"/>
                          <w:sz w:val="26"/>
                        </w:rPr>
                        <w:t>la</w:t>
                      </w:r>
                      <w:r>
                        <w:rPr>
                          <w:rFonts w:ascii="Segoe UI Semibold" w:hAnsi="Segoe UI Semibold"/>
                          <w:b/>
                          <w:i/>
                          <w:color w:val="1A4796"/>
                          <w:spacing w:val="-8"/>
                          <w:sz w:val="26"/>
                        </w:rPr>
                        <w:t> </w:t>
                      </w:r>
                      <w:r>
                        <w:rPr>
                          <w:rFonts w:ascii="Segoe UI Semibold" w:hAnsi="Segoe UI Semibold"/>
                          <w:b/>
                          <w:i/>
                          <w:color w:val="1A4796"/>
                          <w:sz w:val="26"/>
                        </w:rPr>
                        <w:t>diferencia</w:t>
                      </w:r>
                      <w:r>
                        <w:rPr>
                          <w:rFonts w:ascii="Segoe UI Semibold" w:hAnsi="Segoe UI Semibold"/>
                          <w:b/>
                          <w:i/>
                          <w:color w:val="1A4796"/>
                          <w:spacing w:val="-8"/>
                          <w:sz w:val="26"/>
                        </w:rPr>
                        <w:t> </w:t>
                      </w:r>
                      <w:r>
                        <w:rPr>
                          <w:rFonts w:ascii="Segoe UI Semibold" w:hAnsi="Segoe UI Semibold"/>
                          <w:b/>
                          <w:i/>
                          <w:color w:val="1A4796"/>
                          <w:sz w:val="26"/>
                        </w:rPr>
                        <w:t>entre</w:t>
                      </w:r>
                      <w:r>
                        <w:rPr>
                          <w:rFonts w:ascii="Segoe UI Semibold" w:hAnsi="Segoe UI Semibold"/>
                          <w:b/>
                          <w:i/>
                          <w:color w:val="1A4796"/>
                          <w:spacing w:val="-8"/>
                          <w:sz w:val="26"/>
                        </w:rPr>
                        <w:t> </w:t>
                      </w:r>
                      <w:r>
                        <w:rPr>
                          <w:rFonts w:ascii="Segoe UI Semibold" w:hAnsi="Segoe UI Semibold"/>
                          <w:b/>
                          <w:i/>
                          <w:color w:val="1A4796"/>
                          <w:sz w:val="26"/>
                        </w:rPr>
                        <w:t>la vida y la muerte.</w:t>
                      </w:r>
                    </w:p>
                  </w:txbxContent>
                </v:textbox>
                <v:fill type="solid"/>
                <w10:wrap type="none"/>
              </v:shape>
            </w:pict>
          </mc:Fallback>
        </mc:AlternateContent>
      </w:r>
      <w:r>
        <w:rPr>
          <w:color w:val="231F20"/>
        </w:rPr>
        <w:t>negativa: Termo Fisher Scientific, New England Biolabs y Agilent Technologies, </w:t>
      </w:r>
      <w:r>
        <w:rPr>
          <w:color w:val="231F20"/>
          <w:spacing w:val="-4"/>
        </w:rPr>
        <w:t>mientras</w:t>
      </w:r>
      <w:r>
        <w:rPr>
          <w:color w:val="231F20"/>
          <w:spacing w:val="-10"/>
        </w:rPr>
        <w:t> </w:t>
      </w:r>
      <w:r>
        <w:rPr>
          <w:color w:val="231F20"/>
          <w:spacing w:val="-4"/>
        </w:rPr>
        <w:t>que</w:t>
      </w:r>
      <w:r>
        <w:rPr>
          <w:color w:val="231F20"/>
          <w:spacing w:val="-10"/>
        </w:rPr>
        <w:t> </w:t>
      </w:r>
      <w:r>
        <w:rPr>
          <w:color w:val="231F20"/>
          <w:spacing w:val="-4"/>
        </w:rPr>
        <w:t>de</w:t>
      </w:r>
      <w:r>
        <w:rPr>
          <w:color w:val="231F20"/>
          <w:spacing w:val="-10"/>
        </w:rPr>
        <w:t> </w:t>
      </w:r>
      <w:r>
        <w:rPr>
          <w:color w:val="231F20"/>
          <w:spacing w:val="-4"/>
        </w:rPr>
        <w:t>64</w:t>
      </w:r>
      <w:r>
        <w:rPr>
          <w:color w:val="231F20"/>
          <w:spacing w:val="-10"/>
        </w:rPr>
        <w:t> </w:t>
      </w:r>
      <w:r>
        <w:rPr>
          <w:color w:val="231F20"/>
          <w:spacing w:val="-4"/>
        </w:rPr>
        <w:t>no</w:t>
      </w:r>
      <w:r>
        <w:rPr>
          <w:color w:val="231F20"/>
          <w:spacing w:val="-10"/>
        </w:rPr>
        <w:t> </w:t>
      </w:r>
      <w:r>
        <w:rPr>
          <w:color w:val="231F20"/>
          <w:spacing w:val="-4"/>
        </w:rPr>
        <w:t>se</w:t>
      </w:r>
      <w:r>
        <w:rPr>
          <w:color w:val="231F20"/>
          <w:spacing w:val="-10"/>
        </w:rPr>
        <w:t> </w:t>
      </w:r>
      <w:r>
        <w:rPr>
          <w:color w:val="231F20"/>
          <w:spacing w:val="-4"/>
        </w:rPr>
        <w:t>recibió</w:t>
      </w:r>
      <w:r>
        <w:rPr>
          <w:color w:val="231F20"/>
          <w:spacing w:val="-10"/>
        </w:rPr>
        <w:t> </w:t>
      </w:r>
      <w:r>
        <w:rPr>
          <w:color w:val="231F20"/>
          <w:spacing w:val="-4"/>
        </w:rPr>
        <w:t>respuesta.</w:t>
      </w: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spacing w:before="24"/>
        <w:jc w:val="left"/>
      </w:pPr>
    </w:p>
    <w:p>
      <w:pPr>
        <w:pStyle w:val="BodyText"/>
        <w:ind w:left="1133"/>
      </w:pPr>
      <w:r>
        <w:rPr>
          <w:color w:val="231F20"/>
          <w:spacing w:val="-12"/>
        </w:rPr>
        <w:t>En</w:t>
      </w:r>
      <w:r>
        <w:rPr>
          <w:color w:val="231F20"/>
          <w:spacing w:val="-5"/>
        </w:rPr>
        <w:t> </w:t>
      </w:r>
      <w:r>
        <w:rPr>
          <w:color w:val="231F20"/>
          <w:spacing w:val="-12"/>
        </w:rPr>
        <w:t>el</w:t>
      </w:r>
      <w:r>
        <w:rPr>
          <w:color w:val="231F20"/>
          <w:spacing w:val="-4"/>
        </w:rPr>
        <w:t> </w:t>
      </w:r>
      <w:r>
        <w:rPr>
          <w:color w:val="231F20"/>
          <w:spacing w:val="-12"/>
        </w:rPr>
        <w:t>presente,</w:t>
      </w:r>
      <w:r>
        <w:rPr>
          <w:color w:val="231F20"/>
          <w:spacing w:val="25"/>
        </w:rPr>
        <w:t> </w:t>
      </w:r>
      <w:r>
        <w:rPr>
          <w:color w:val="231F20"/>
          <w:spacing w:val="-12"/>
        </w:rPr>
        <w:t>existen</w:t>
      </w:r>
      <w:r>
        <w:rPr>
          <w:color w:val="231F20"/>
          <w:spacing w:val="-4"/>
        </w:rPr>
        <w:t> </w:t>
      </w:r>
      <w:r>
        <w:rPr>
          <w:color w:val="231F20"/>
          <w:spacing w:val="-12"/>
        </w:rPr>
        <w:t>20</w:t>
      </w:r>
      <w:r>
        <w:rPr>
          <w:color w:val="231F20"/>
          <w:spacing w:val="-5"/>
        </w:rPr>
        <w:t> </w:t>
      </w:r>
      <w:r>
        <w:rPr>
          <w:color w:val="231F20"/>
          <w:spacing w:val="-12"/>
        </w:rPr>
        <w:t>mil</w:t>
      </w:r>
      <w:r>
        <w:rPr>
          <w:color w:val="231F20"/>
          <w:spacing w:val="-4"/>
        </w:rPr>
        <w:t> </w:t>
      </w:r>
      <w:r>
        <w:rPr>
          <w:color w:val="231F20"/>
          <w:spacing w:val="-12"/>
        </w:rPr>
        <w:t>familias</w:t>
      </w:r>
      <w:r>
        <w:rPr>
          <w:color w:val="231F20"/>
          <w:spacing w:val="-5"/>
        </w:rPr>
        <w:t> </w:t>
      </w:r>
      <w:r>
        <w:rPr>
          <w:color w:val="231F20"/>
          <w:spacing w:val="-12"/>
        </w:rPr>
        <w:t>cubanas </w:t>
      </w:r>
      <w:r>
        <w:rPr>
          <w:color w:val="231F20"/>
          <w:spacing w:val="-6"/>
        </w:rPr>
        <w:t>que esperan diagnósticos de enfermedades </w:t>
      </w:r>
      <w:r>
        <w:rPr>
          <w:color w:val="231F20"/>
          <w:spacing w:val="-4"/>
        </w:rPr>
        <w:t>genéticas</w:t>
      </w:r>
      <w:r>
        <w:rPr>
          <w:color w:val="231F20"/>
          <w:spacing w:val="-9"/>
        </w:rPr>
        <w:t> </w:t>
      </w:r>
      <w:r>
        <w:rPr>
          <w:color w:val="231F20"/>
          <w:spacing w:val="-4"/>
        </w:rPr>
        <w:t>que</w:t>
      </w:r>
      <w:r>
        <w:rPr>
          <w:color w:val="231F20"/>
          <w:spacing w:val="-9"/>
        </w:rPr>
        <w:t> </w:t>
      </w:r>
      <w:r>
        <w:rPr>
          <w:color w:val="231F20"/>
          <w:spacing w:val="-4"/>
        </w:rPr>
        <w:t>no</w:t>
      </w:r>
      <w:r>
        <w:rPr>
          <w:color w:val="231F20"/>
          <w:spacing w:val="-9"/>
        </w:rPr>
        <w:t> </w:t>
      </w:r>
      <w:r>
        <w:rPr>
          <w:color w:val="231F20"/>
          <w:spacing w:val="-4"/>
        </w:rPr>
        <w:t>han</w:t>
      </w:r>
      <w:r>
        <w:rPr>
          <w:color w:val="231F20"/>
          <w:spacing w:val="-9"/>
        </w:rPr>
        <w:t> </w:t>
      </w:r>
      <w:r>
        <w:rPr>
          <w:color w:val="231F20"/>
          <w:spacing w:val="-4"/>
        </w:rPr>
        <w:t>podido</w:t>
      </w:r>
      <w:r>
        <w:rPr>
          <w:color w:val="231F20"/>
          <w:spacing w:val="-9"/>
        </w:rPr>
        <w:t> </w:t>
      </w:r>
      <w:r>
        <w:rPr>
          <w:color w:val="231F20"/>
          <w:spacing w:val="-4"/>
        </w:rPr>
        <w:t>ser</w:t>
      </w:r>
      <w:r>
        <w:rPr>
          <w:color w:val="231F20"/>
          <w:spacing w:val="-9"/>
        </w:rPr>
        <w:t> </w:t>
      </w:r>
      <w:r>
        <w:rPr>
          <w:color w:val="231F20"/>
          <w:spacing w:val="-4"/>
        </w:rPr>
        <w:t>atendidas </w:t>
      </w:r>
      <w:r>
        <w:rPr>
          <w:color w:val="231F20"/>
          <w:spacing w:val="-8"/>
        </w:rPr>
        <w:t>debidamente,</w:t>
      </w:r>
      <w:r>
        <w:rPr>
          <w:color w:val="231F20"/>
          <w:spacing w:val="-9"/>
        </w:rPr>
        <w:t> </w:t>
      </w:r>
      <w:r>
        <w:rPr>
          <w:color w:val="231F20"/>
          <w:spacing w:val="-8"/>
        </w:rPr>
        <w:t>por no</w:t>
      </w:r>
      <w:r>
        <w:rPr>
          <w:color w:val="231F20"/>
          <w:spacing w:val="-9"/>
        </w:rPr>
        <w:t> </w:t>
      </w:r>
      <w:r>
        <w:rPr>
          <w:color w:val="231F20"/>
          <w:spacing w:val="-8"/>
        </w:rPr>
        <w:t>acceder a la</w:t>
      </w:r>
      <w:r>
        <w:rPr>
          <w:color w:val="231F20"/>
          <w:spacing w:val="-9"/>
        </w:rPr>
        <w:t> </w:t>
      </w:r>
      <w:r>
        <w:rPr>
          <w:color w:val="231F20"/>
          <w:spacing w:val="-8"/>
        </w:rPr>
        <w:t>tecnología </w:t>
      </w:r>
      <w:r>
        <w:rPr>
          <w:color w:val="231F20"/>
        </w:rPr>
        <w:t>requerida,</w:t>
      </w:r>
      <w:r>
        <w:rPr>
          <w:color w:val="231F20"/>
          <w:spacing w:val="-10"/>
        </w:rPr>
        <w:t> </w:t>
      </w:r>
      <w:r>
        <w:rPr>
          <w:color w:val="231F20"/>
        </w:rPr>
        <w:t>la</w:t>
      </w:r>
      <w:r>
        <w:rPr>
          <w:color w:val="231F20"/>
          <w:spacing w:val="-10"/>
        </w:rPr>
        <w:t> </w:t>
      </w:r>
      <w:r>
        <w:rPr>
          <w:color w:val="231F20"/>
        </w:rPr>
        <w:t>que</w:t>
      </w:r>
      <w:r>
        <w:rPr>
          <w:color w:val="231F20"/>
          <w:spacing w:val="-10"/>
        </w:rPr>
        <w:t> </w:t>
      </w:r>
      <w:r>
        <w:rPr>
          <w:color w:val="231F20"/>
        </w:rPr>
        <w:t>contiene</w:t>
      </w:r>
      <w:r>
        <w:rPr>
          <w:color w:val="231F20"/>
          <w:spacing w:val="-10"/>
        </w:rPr>
        <w:t> </w:t>
      </w:r>
      <w:r>
        <w:rPr>
          <w:color w:val="231F20"/>
        </w:rPr>
        <w:t>más</w:t>
      </w:r>
      <w:r>
        <w:rPr>
          <w:color w:val="231F20"/>
          <w:spacing w:val="-10"/>
        </w:rPr>
        <w:t> </w:t>
      </w:r>
      <w:r>
        <w:rPr>
          <w:color w:val="231F20"/>
        </w:rPr>
        <w:t>de</w:t>
      </w:r>
      <w:r>
        <w:rPr>
          <w:color w:val="231F20"/>
          <w:spacing w:val="-10"/>
        </w:rPr>
        <w:t> </w:t>
      </w:r>
      <w:r>
        <w:rPr>
          <w:color w:val="231F20"/>
        </w:rPr>
        <w:t>un</w:t>
      </w:r>
      <w:r>
        <w:rPr>
          <w:color w:val="231F20"/>
          <w:spacing w:val="-10"/>
        </w:rPr>
        <w:t> </w:t>
      </w:r>
      <w:r>
        <w:rPr>
          <w:color w:val="231F20"/>
        </w:rPr>
        <w:t>10% de fabricación estadounidense. Por solo </w:t>
      </w:r>
      <w:r>
        <w:rPr>
          <w:color w:val="231F20"/>
          <w:spacing w:val="-8"/>
        </w:rPr>
        <w:t>citar un ejemplo, la empresa norteamericana </w:t>
      </w:r>
      <w:r>
        <w:rPr>
          <w:color w:val="231F20"/>
        </w:rPr>
        <w:t>Chroma ha prohibido al país acceder a </w:t>
      </w:r>
      <w:r>
        <w:rPr>
          <w:color w:val="231F20"/>
          <w:spacing w:val="-4"/>
        </w:rPr>
        <w:t>suministros</w:t>
      </w:r>
      <w:r>
        <w:rPr>
          <w:color w:val="231F20"/>
          <w:spacing w:val="-7"/>
        </w:rPr>
        <w:t> </w:t>
      </w:r>
      <w:r>
        <w:rPr>
          <w:color w:val="231F20"/>
          <w:spacing w:val="-4"/>
        </w:rPr>
        <w:t>para</w:t>
      </w:r>
      <w:r>
        <w:rPr>
          <w:color w:val="231F20"/>
          <w:spacing w:val="-7"/>
        </w:rPr>
        <w:t> </w:t>
      </w:r>
      <w:r>
        <w:rPr>
          <w:color w:val="231F20"/>
          <w:spacing w:val="-4"/>
        </w:rPr>
        <w:t>los</w:t>
      </w:r>
      <w:r>
        <w:rPr>
          <w:color w:val="231F20"/>
          <w:spacing w:val="-7"/>
        </w:rPr>
        <w:t> </w:t>
      </w:r>
      <w:r>
        <w:rPr>
          <w:color w:val="231F20"/>
          <w:spacing w:val="-4"/>
        </w:rPr>
        <w:t>sistemas</w:t>
      </w:r>
      <w:r>
        <w:rPr>
          <w:color w:val="231F20"/>
          <w:spacing w:val="-7"/>
        </w:rPr>
        <w:t> </w:t>
      </w:r>
      <w:r>
        <w:rPr>
          <w:color w:val="231F20"/>
          <w:spacing w:val="-4"/>
        </w:rPr>
        <w:t>de</w:t>
      </w:r>
      <w:r>
        <w:rPr>
          <w:color w:val="231F20"/>
          <w:spacing w:val="-7"/>
        </w:rPr>
        <w:t> </w:t>
      </w:r>
      <w:r>
        <w:rPr>
          <w:color w:val="231F20"/>
          <w:spacing w:val="-4"/>
        </w:rPr>
        <w:t>Cytovision </w:t>
      </w:r>
      <w:r>
        <w:rPr>
          <w:color w:val="231F20"/>
        </w:rPr>
        <w:t>instalados en los centros nacionales de </w:t>
      </w:r>
      <w:r>
        <w:rPr>
          <w:color w:val="231F20"/>
          <w:spacing w:val="-6"/>
        </w:rPr>
        <w:t>genética</w:t>
      </w:r>
      <w:r>
        <w:rPr>
          <w:color w:val="231F20"/>
          <w:spacing w:val="-11"/>
        </w:rPr>
        <w:t> </w:t>
      </w:r>
      <w:r>
        <w:rPr>
          <w:color w:val="231F20"/>
          <w:spacing w:val="-6"/>
        </w:rPr>
        <w:t>médica,</w:t>
      </w:r>
      <w:r>
        <w:rPr>
          <w:color w:val="231F20"/>
          <w:spacing w:val="-10"/>
        </w:rPr>
        <w:t> </w:t>
      </w:r>
      <w:r>
        <w:rPr>
          <w:color w:val="231F20"/>
          <w:spacing w:val="-6"/>
        </w:rPr>
        <w:t>que</w:t>
      </w:r>
      <w:r>
        <w:rPr>
          <w:color w:val="231F20"/>
          <w:spacing w:val="-11"/>
        </w:rPr>
        <w:t> </w:t>
      </w:r>
      <w:r>
        <w:rPr>
          <w:color w:val="231F20"/>
          <w:spacing w:val="-6"/>
        </w:rPr>
        <w:t>incluyen</w:t>
      </w:r>
      <w:r>
        <w:rPr>
          <w:color w:val="231F20"/>
          <w:spacing w:val="-10"/>
        </w:rPr>
        <w:t> </w:t>
      </w:r>
      <w:r>
        <w:rPr>
          <w:color w:val="231F20"/>
          <w:spacing w:val="-6"/>
        </w:rPr>
        <w:t>microscopios </w:t>
      </w:r>
      <w:r>
        <w:rPr>
          <w:color w:val="231F20"/>
        </w:rPr>
        <w:t>de</w:t>
      </w:r>
      <w:r>
        <w:rPr>
          <w:color w:val="231F20"/>
          <w:spacing w:val="-16"/>
        </w:rPr>
        <w:t> </w:t>
      </w:r>
      <w:r>
        <w:rPr>
          <w:color w:val="231F20"/>
        </w:rPr>
        <w:t>inmunofluorescencia.</w:t>
      </w:r>
    </w:p>
    <w:p>
      <w:pPr>
        <w:pStyle w:val="BodyText"/>
        <w:tabs>
          <w:tab w:pos="1930" w:val="left" w:leader="none"/>
          <w:tab w:pos="2247" w:val="left" w:leader="none"/>
          <w:tab w:pos="2376" w:val="left" w:leader="none"/>
          <w:tab w:pos="2846" w:val="left" w:leader="none"/>
          <w:tab w:pos="3132" w:val="left" w:leader="none"/>
          <w:tab w:pos="3475" w:val="left" w:leader="none"/>
          <w:tab w:pos="4208" w:val="left" w:leader="none"/>
        </w:tabs>
        <w:spacing w:before="77"/>
        <w:ind w:left="412" w:right="1472"/>
        <w:jc w:val="right"/>
      </w:pPr>
      <w:r>
        <w:rPr/>
        <w:br w:type="column"/>
      </w:r>
      <w:r>
        <w:rPr>
          <w:color w:val="231F20"/>
        </w:rPr>
        <w:t>La</w:t>
      </w:r>
      <w:r>
        <w:rPr>
          <w:color w:val="231F20"/>
          <w:spacing w:val="40"/>
        </w:rPr>
        <w:t> </w:t>
      </w:r>
      <w:r>
        <w:rPr>
          <w:color w:val="231F20"/>
        </w:rPr>
        <w:t>empresa</w:t>
      </w:r>
      <w:r>
        <w:rPr>
          <w:color w:val="231F20"/>
          <w:spacing w:val="40"/>
        </w:rPr>
        <w:t> </w:t>
      </w:r>
      <w:r>
        <w:rPr>
          <w:color w:val="231F20"/>
        </w:rPr>
        <w:t>japonesa</w:t>
      </w:r>
      <w:r>
        <w:rPr>
          <w:color w:val="231F20"/>
          <w:spacing w:val="40"/>
        </w:rPr>
        <w:t> </w:t>
      </w:r>
      <w:r>
        <w:rPr>
          <w:color w:val="231F20"/>
        </w:rPr>
        <w:t>JASCO,</w:t>
      </w:r>
      <w:r>
        <w:rPr>
          <w:color w:val="231F20"/>
          <w:spacing w:val="40"/>
        </w:rPr>
        <w:t> </w:t>
      </w:r>
      <w:r>
        <w:rPr>
          <w:color w:val="231F20"/>
        </w:rPr>
        <w:t>fabricante de</w:t>
      </w:r>
      <w:r>
        <w:rPr>
          <w:color w:val="231F20"/>
          <w:spacing w:val="40"/>
        </w:rPr>
        <w:t> </w:t>
      </w:r>
      <w:r>
        <w:rPr>
          <w:color w:val="231F20"/>
        </w:rPr>
        <w:t>piezas</w:t>
      </w:r>
      <w:r>
        <w:rPr>
          <w:color w:val="231F20"/>
          <w:spacing w:val="40"/>
        </w:rPr>
        <w:t> </w:t>
      </w:r>
      <w:r>
        <w:rPr>
          <w:color w:val="231F20"/>
        </w:rPr>
        <w:t>de</w:t>
      </w:r>
      <w:r>
        <w:rPr>
          <w:color w:val="231F20"/>
          <w:spacing w:val="40"/>
        </w:rPr>
        <w:t> </w:t>
      </w:r>
      <w:r>
        <w:rPr>
          <w:color w:val="231F20"/>
        </w:rPr>
        <w:t>repuesto</w:t>
      </w:r>
      <w:r>
        <w:rPr>
          <w:color w:val="231F20"/>
          <w:spacing w:val="40"/>
        </w:rPr>
        <w:t> </w:t>
      </w:r>
      <w:r>
        <w:rPr>
          <w:color w:val="231F20"/>
        </w:rPr>
        <w:t>para</w:t>
      </w:r>
      <w:r>
        <w:rPr>
          <w:color w:val="231F20"/>
          <w:spacing w:val="40"/>
        </w:rPr>
        <w:t> </w:t>
      </w:r>
      <w:r>
        <w:rPr>
          <w:color w:val="231F20"/>
        </w:rPr>
        <w:t>equipos</w:t>
      </w:r>
      <w:r>
        <w:rPr>
          <w:color w:val="231F20"/>
          <w:spacing w:val="40"/>
        </w:rPr>
        <w:t> </w:t>
      </w:r>
      <w:r>
        <w:rPr>
          <w:color w:val="231F20"/>
        </w:rPr>
        <w:t>de </w:t>
      </w:r>
      <w:r>
        <w:rPr>
          <w:color w:val="231F20"/>
          <w:spacing w:val="-2"/>
        </w:rPr>
        <w:t>laboratorios,</w:t>
      </w:r>
      <w:r>
        <w:rPr>
          <w:color w:val="231F20"/>
        </w:rPr>
        <w:tab/>
      </w:r>
      <w:r>
        <w:rPr>
          <w:color w:val="231F20"/>
          <w:spacing w:val="-6"/>
        </w:rPr>
        <w:t>se</w:t>
      </w:r>
      <w:r>
        <w:rPr>
          <w:color w:val="231F20"/>
        </w:rPr>
        <w:tab/>
        <w:tab/>
      </w:r>
      <w:r>
        <w:rPr>
          <w:color w:val="231F20"/>
          <w:spacing w:val="-4"/>
        </w:rPr>
        <w:t>negó</w:t>
      </w:r>
      <w:r>
        <w:rPr>
          <w:color w:val="231F20"/>
        </w:rPr>
        <w:tab/>
      </w:r>
      <w:r>
        <w:rPr>
          <w:color w:val="231F20"/>
          <w:spacing w:val="-10"/>
        </w:rPr>
        <w:t>a</w:t>
      </w:r>
      <w:r>
        <w:rPr>
          <w:color w:val="231F20"/>
        </w:rPr>
        <w:tab/>
      </w:r>
      <w:r>
        <w:rPr>
          <w:color w:val="231F20"/>
          <w:spacing w:val="-4"/>
        </w:rPr>
        <w:t>comercializar </w:t>
      </w:r>
      <w:r>
        <w:rPr>
          <w:color w:val="231F20"/>
        </w:rPr>
        <w:t>productos</w:t>
      </w:r>
      <w:r>
        <w:rPr>
          <w:color w:val="231F20"/>
          <w:spacing w:val="80"/>
        </w:rPr>
        <w:t> </w:t>
      </w:r>
      <w:r>
        <w:rPr>
          <w:color w:val="231F20"/>
        </w:rPr>
        <w:t>con</w:t>
      </w:r>
      <w:r>
        <w:rPr>
          <w:color w:val="231F20"/>
          <w:spacing w:val="80"/>
        </w:rPr>
        <w:t> </w:t>
      </w:r>
      <w:r>
        <w:rPr>
          <w:color w:val="231F20"/>
        </w:rPr>
        <w:t>Cuba,</w:t>
      </w:r>
      <w:r>
        <w:rPr>
          <w:color w:val="231F20"/>
          <w:spacing w:val="80"/>
        </w:rPr>
        <w:t> </w:t>
      </w:r>
      <w:r>
        <w:rPr>
          <w:color w:val="231F20"/>
        </w:rPr>
        <w:t>debido</w:t>
      </w:r>
      <w:r>
        <w:rPr>
          <w:color w:val="231F20"/>
          <w:spacing w:val="80"/>
        </w:rPr>
        <w:t> </w:t>
      </w:r>
      <w:r>
        <w:rPr>
          <w:color w:val="231F20"/>
        </w:rPr>
        <w:t>a</w:t>
      </w:r>
      <w:r>
        <w:rPr>
          <w:color w:val="231F20"/>
          <w:spacing w:val="80"/>
        </w:rPr>
        <w:t> </w:t>
      </w:r>
      <w:r>
        <w:rPr>
          <w:color w:val="231F20"/>
        </w:rPr>
        <w:t>su política</w:t>
      </w:r>
      <w:r>
        <w:rPr>
          <w:color w:val="231F20"/>
          <w:spacing w:val="40"/>
        </w:rPr>
        <w:t> </w:t>
      </w:r>
      <w:r>
        <w:rPr>
          <w:color w:val="231F20"/>
        </w:rPr>
        <w:t>de</w:t>
      </w:r>
      <w:r>
        <w:rPr>
          <w:color w:val="231F20"/>
          <w:spacing w:val="40"/>
        </w:rPr>
        <w:t> </w:t>
      </w:r>
      <w:r>
        <w:rPr>
          <w:color w:val="231F20"/>
        </w:rPr>
        <w:t>no</w:t>
      </w:r>
      <w:r>
        <w:rPr>
          <w:color w:val="231F20"/>
          <w:spacing w:val="40"/>
        </w:rPr>
        <w:t> </w:t>
      </w:r>
      <w:r>
        <w:rPr>
          <w:color w:val="231F20"/>
        </w:rPr>
        <w:t>relacionarse</w:t>
      </w:r>
      <w:r>
        <w:rPr>
          <w:color w:val="231F20"/>
          <w:spacing w:val="40"/>
        </w:rPr>
        <w:t> </w:t>
      </w:r>
      <w:r>
        <w:rPr>
          <w:color w:val="231F20"/>
        </w:rPr>
        <w:t>con</w:t>
      </w:r>
      <w:r>
        <w:rPr>
          <w:color w:val="231F20"/>
          <w:spacing w:val="40"/>
        </w:rPr>
        <w:t> </w:t>
      </w:r>
      <w:r>
        <w:rPr>
          <w:color w:val="231F20"/>
        </w:rPr>
        <w:t>países que se encuentran en la lista de Estados </w:t>
      </w:r>
      <w:r>
        <w:rPr>
          <w:color w:val="231F20"/>
          <w:spacing w:val="-2"/>
        </w:rPr>
        <w:t>patrocinadores</w:t>
      </w:r>
      <w:r>
        <w:rPr>
          <w:color w:val="231F20"/>
        </w:rPr>
        <w:tab/>
      </w:r>
      <w:r>
        <w:rPr>
          <w:color w:val="231F20"/>
          <w:spacing w:val="-4"/>
        </w:rPr>
        <w:t>del</w:t>
      </w:r>
      <w:r>
        <w:rPr>
          <w:color w:val="231F20"/>
        </w:rPr>
        <w:tab/>
      </w:r>
      <w:r>
        <w:rPr>
          <w:color w:val="231F20"/>
          <w:spacing w:val="-2"/>
        </w:rPr>
        <w:t>terrorismo</w:t>
      </w:r>
      <w:r>
        <w:rPr>
          <w:color w:val="231F20"/>
        </w:rPr>
        <w:tab/>
      </w:r>
      <w:r>
        <w:rPr>
          <w:color w:val="231F20"/>
          <w:spacing w:val="-4"/>
        </w:rPr>
        <w:t>del </w:t>
      </w:r>
      <w:r>
        <w:rPr>
          <w:color w:val="231F20"/>
        </w:rPr>
        <w:t>Departamento de Estado de los Estados Unidos.</w:t>
      </w:r>
      <w:r>
        <w:rPr>
          <w:color w:val="231F20"/>
          <w:spacing w:val="40"/>
        </w:rPr>
        <w:t> </w:t>
      </w:r>
      <w:r>
        <w:rPr>
          <w:color w:val="231F20"/>
        </w:rPr>
        <w:t>Los</w:t>
      </w:r>
      <w:r>
        <w:rPr>
          <w:color w:val="231F20"/>
          <w:spacing w:val="40"/>
        </w:rPr>
        <w:t> </w:t>
      </w:r>
      <w:r>
        <w:rPr>
          <w:color w:val="231F20"/>
        </w:rPr>
        <w:t>efectos</w:t>
      </w:r>
      <w:r>
        <w:rPr>
          <w:color w:val="231F20"/>
          <w:spacing w:val="40"/>
        </w:rPr>
        <w:t> </w:t>
      </w:r>
      <w:r>
        <w:rPr>
          <w:color w:val="231F20"/>
        </w:rPr>
        <w:t>de</w:t>
      </w:r>
      <w:r>
        <w:rPr>
          <w:color w:val="231F20"/>
          <w:spacing w:val="40"/>
        </w:rPr>
        <w:t> </w:t>
      </w:r>
      <w:r>
        <w:rPr>
          <w:color w:val="231F20"/>
        </w:rPr>
        <w:t>estas</w:t>
      </w:r>
      <w:r>
        <w:rPr>
          <w:color w:val="231F20"/>
          <w:spacing w:val="40"/>
        </w:rPr>
        <w:t> </w:t>
      </w:r>
      <w:r>
        <w:rPr>
          <w:color w:val="231F20"/>
        </w:rPr>
        <w:t>medidas impactan con particular crudeza en las</w:t>
      </w:r>
    </w:p>
    <w:p>
      <w:pPr>
        <w:pStyle w:val="BodyText"/>
        <w:spacing w:before="8"/>
        <w:ind w:left="717"/>
      </w:pPr>
      <w:r>
        <w:rPr>
          <w:color w:val="231F20"/>
          <w:spacing w:val="-2"/>
        </w:rPr>
        <w:t>personas</w:t>
      </w:r>
      <w:r>
        <w:rPr>
          <w:color w:val="231F20"/>
          <w:spacing w:val="-8"/>
        </w:rPr>
        <w:t> </w:t>
      </w:r>
      <w:r>
        <w:rPr>
          <w:color w:val="231F20"/>
          <w:spacing w:val="-2"/>
        </w:rPr>
        <w:t>más</w:t>
      </w:r>
      <w:r>
        <w:rPr>
          <w:color w:val="231F20"/>
          <w:spacing w:val="-7"/>
        </w:rPr>
        <w:t> </w:t>
      </w:r>
      <w:r>
        <w:rPr>
          <w:color w:val="231F20"/>
          <w:spacing w:val="-2"/>
        </w:rPr>
        <w:t>vulnerables.</w:t>
      </w:r>
    </w:p>
    <w:p>
      <w:pPr>
        <w:pStyle w:val="BodyText"/>
        <w:spacing w:before="159"/>
        <w:ind w:left="717" w:right="1472"/>
      </w:pPr>
      <w:r>
        <w:rPr>
          <w:rFonts w:ascii="Segoe UI Semibold" w:hAnsi="Segoe UI Semibold"/>
          <w:b/>
          <w:i/>
          <w:color w:val="231F20"/>
        </w:rPr>
        <w:t>Una niña cubana de solo 2 años fue</w:t>
      </w:r>
      <w:r>
        <w:rPr>
          <w:rFonts w:ascii="Segoe UI Semibold" w:hAnsi="Segoe UI Semibold"/>
          <w:b/>
          <w:i/>
          <w:color w:val="231F20"/>
        </w:rPr>
        <w:t> llevada a consulta de Genética en su </w:t>
      </w:r>
      <w:r>
        <w:rPr>
          <w:rFonts w:ascii="Segoe UI Semibold" w:hAnsi="Segoe UI Semibold"/>
          <w:b/>
          <w:i/>
          <w:color w:val="231F20"/>
          <w:spacing w:val="-2"/>
        </w:rPr>
        <w:t>primer</w:t>
      </w:r>
      <w:r>
        <w:rPr>
          <w:rFonts w:ascii="Segoe UI Semibold" w:hAnsi="Segoe UI Semibold"/>
          <w:b/>
          <w:i/>
          <w:color w:val="231F20"/>
          <w:spacing w:val="-15"/>
        </w:rPr>
        <w:t> </w:t>
      </w:r>
      <w:r>
        <w:rPr>
          <w:rFonts w:ascii="Segoe UI Semibold" w:hAnsi="Segoe UI Semibold"/>
          <w:b/>
          <w:i/>
          <w:color w:val="231F20"/>
          <w:spacing w:val="-2"/>
        </w:rPr>
        <w:t>año</w:t>
      </w:r>
      <w:r>
        <w:rPr>
          <w:rFonts w:ascii="Segoe UI Semibold" w:hAnsi="Segoe UI Semibold"/>
          <w:b/>
          <w:i/>
          <w:color w:val="231F20"/>
          <w:spacing w:val="-14"/>
        </w:rPr>
        <w:t> </w:t>
      </w:r>
      <w:r>
        <w:rPr>
          <w:rFonts w:ascii="Segoe UI Semibold" w:hAnsi="Segoe UI Semibold"/>
          <w:b/>
          <w:i/>
          <w:color w:val="231F20"/>
          <w:spacing w:val="-2"/>
        </w:rPr>
        <w:t>de</w:t>
      </w:r>
      <w:r>
        <w:rPr>
          <w:rFonts w:ascii="Segoe UI Semibold" w:hAnsi="Segoe UI Semibold"/>
          <w:b/>
          <w:i/>
          <w:color w:val="231F20"/>
          <w:spacing w:val="-15"/>
        </w:rPr>
        <w:t> </w:t>
      </w:r>
      <w:r>
        <w:rPr>
          <w:rFonts w:ascii="Segoe UI Semibold" w:hAnsi="Segoe UI Semibold"/>
          <w:b/>
          <w:i/>
          <w:color w:val="231F20"/>
          <w:spacing w:val="-2"/>
        </w:rPr>
        <w:t>vida.</w:t>
      </w:r>
      <w:r>
        <w:rPr>
          <w:rFonts w:ascii="Segoe UI Semibold" w:hAnsi="Segoe UI Semibold"/>
          <w:b/>
          <w:i/>
          <w:color w:val="231F20"/>
          <w:spacing w:val="-14"/>
        </w:rPr>
        <w:t> </w:t>
      </w:r>
      <w:r>
        <w:rPr>
          <w:color w:val="231F20"/>
          <w:spacing w:val="-2"/>
        </w:rPr>
        <w:t>Su</w:t>
      </w:r>
      <w:r>
        <w:rPr>
          <w:color w:val="231F20"/>
          <w:spacing w:val="-15"/>
        </w:rPr>
        <w:t> </w:t>
      </w:r>
      <w:r>
        <w:rPr>
          <w:color w:val="231F20"/>
          <w:spacing w:val="-2"/>
        </w:rPr>
        <w:t>familia</w:t>
      </w:r>
      <w:r>
        <w:rPr>
          <w:color w:val="231F20"/>
          <w:spacing w:val="-14"/>
        </w:rPr>
        <w:t> </w:t>
      </w:r>
      <w:r>
        <w:rPr>
          <w:color w:val="231F20"/>
          <w:spacing w:val="-2"/>
        </w:rPr>
        <w:t>identificó </w:t>
      </w:r>
      <w:r>
        <w:rPr>
          <w:color w:val="231F20"/>
        </w:rPr>
        <w:t>una importante desviación de su columna</w:t>
      </w:r>
      <w:r>
        <w:rPr>
          <w:color w:val="231F20"/>
          <w:spacing w:val="-9"/>
        </w:rPr>
        <w:t> </w:t>
      </w:r>
      <w:r>
        <w:rPr>
          <w:color w:val="231F20"/>
        </w:rPr>
        <w:t>vertebral</w:t>
      </w:r>
      <w:r>
        <w:rPr>
          <w:color w:val="231F20"/>
          <w:spacing w:val="-9"/>
        </w:rPr>
        <w:t> </w:t>
      </w:r>
      <w:r>
        <w:rPr>
          <w:color w:val="231F20"/>
        </w:rPr>
        <w:t>y</w:t>
      </w:r>
      <w:r>
        <w:rPr>
          <w:color w:val="231F20"/>
          <w:spacing w:val="-9"/>
        </w:rPr>
        <w:t> </w:t>
      </w:r>
      <w:r>
        <w:rPr>
          <w:color w:val="231F20"/>
        </w:rPr>
        <w:t>un</w:t>
      </w:r>
      <w:r>
        <w:rPr>
          <w:color w:val="231F20"/>
          <w:spacing w:val="-9"/>
        </w:rPr>
        <w:t> </w:t>
      </w:r>
      <w:r>
        <w:rPr>
          <w:color w:val="231F20"/>
        </w:rPr>
        <w:t>abombamiento en la región del tórax y en su columna dorsal. Los genetistas sospecharon la presencia del Síndrome de Kozlowski, una displasia ósea severa que afecta la </w:t>
      </w:r>
      <w:r>
        <w:rPr>
          <w:color w:val="231F20"/>
          <w:spacing w:val="-6"/>
        </w:rPr>
        <w:t>columna</w:t>
      </w:r>
      <w:r>
        <w:rPr>
          <w:color w:val="231F20"/>
          <w:spacing w:val="-8"/>
        </w:rPr>
        <w:t> </w:t>
      </w:r>
      <w:r>
        <w:rPr>
          <w:color w:val="231F20"/>
          <w:spacing w:val="-6"/>
        </w:rPr>
        <w:t>vertebral</w:t>
      </w:r>
      <w:r>
        <w:rPr>
          <w:color w:val="231F20"/>
          <w:spacing w:val="-8"/>
        </w:rPr>
        <w:t> </w:t>
      </w:r>
      <w:r>
        <w:rPr>
          <w:color w:val="231F20"/>
          <w:spacing w:val="-6"/>
        </w:rPr>
        <w:t>y</w:t>
      </w:r>
      <w:r>
        <w:rPr>
          <w:color w:val="231F20"/>
          <w:spacing w:val="-8"/>
        </w:rPr>
        <w:t> </w:t>
      </w:r>
      <w:r>
        <w:rPr>
          <w:color w:val="231F20"/>
          <w:spacing w:val="-6"/>
        </w:rPr>
        <w:t>la</w:t>
      </w:r>
      <w:r>
        <w:rPr>
          <w:color w:val="231F20"/>
          <w:spacing w:val="-8"/>
        </w:rPr>
        <w:t> </w:t>
      </w:r>
      <w:r>
        <w:rPr>
          <w:color w:val="231F20"/>
          <w:spacing w:val="-6"/>
        </w:rPr>
        <w:t>metáfisis</w:t>
      </w:r>
      <w:r>
        <w:rPr>
          <w:color w:val="231F20"/>
          <w:spacing w:val="-8"/>
        </w:rPr>
        <w:t> </w:t>
      </w:r>
      <w:r>
        <w:rPr>
          <w:color w:val="231F20"/>
          <w:spacing w:val="-6"/>
        </w:rPr>
        <w:t>de</w:t>
      </w:r>
      <w:r>
        <w:rPr>
          <w:color w:val="231F20"/>
          <w:spacing w:val="-8"/>
        </w:rPr>
        <w:t> </w:t>
      </w:r>
      <w:r>
        <w:rPr>
          <w:color w:val="231F20"/>
          <w:spacing w:val="-6"/>
        </w:rPr>
        <w:t>todos </w:t>
      </w:r>
      <w:r>
        <w:rPr>
          <w:color w:val="231F20"/>
        </w:rPr>
        <w:t>los huesos largos del cuerpo. Existen </w:t>
      </w:r>
      <w:r>
        <w:rPr>
          <w:color w:val="231F20"/>
          <w:spacing w:val="-4"/>
        </w:rPr>
        <w:t>alrededor</w:t>
      </w:r>
      <w:r>
        <w:rPr>
          <w:color w:val="231F20"/>
          <w:spacing w:val="-9"/>
        </w:rPr>
        <w:t> </w:t>
      </w:r>
      <w:r>
        <w:rPr>
          <w:color w:val="231F20"/>
          <w:spacing w:val="-4"/>
        </w:rPr>
        <w:t>de</w:t>
      </w:r>
      <w:r>
        <w:rPr>
          <w:color w:val="231F20"/>
          <w:spacing w:val="-11"/>
        </w:rPr>
        <w:t> </w:t>
      </w:r>
      <w:r>
        <w:rPr>
          <w:color w:val="231F20"/>
          <w:spacing w:val="-4"/>
        </w:rPr>
        <w:t>1000</w:t>
      </w:r>
      <w:r>
        <w:rPr>
          <w:color w:val="231F20"/>
          <w:spacing w:val="-11"/>
        </w:rPr>
        <w:t> </w:t>
      </w:r>
      <w:r>
        <w:rPr>
          <w:color w:val="231F20"/>
          <w:spacing w:val="-4"/>
        </w:rPr>
        <w:t>casos</w:t>
      </w:r>
      <w:r>
        <w:rPr>
          <w:color w:val="231F20"/>
          <w:spacing w:val="-11"/>
        </w:rPr>
        <w:t> </w:t>
      </w:r>
      <w:r>
        <w:rPr>
          <w:color w:val="231F20"/>
          <w:spacing w:val="-4"/>
        </w:rPr>
        <w:t>en</w:t>
      </w:r>
      <w:r>
        <w:rPr>
          <w:color w:val="231F20"/>
          <w:spacing w:val="-11"/>
        </w:rPr>
        <w:t> </w:t>
      </w:r>
      <w:r>
        <w:rPr>
          <w:color w:val="231F20"/>
          <w:spacing w:val="-4"/>
        </w:rPr>
        <w:t>el</w:t>
      </w:r>
      <w:r>
        <w:rPr>
          <w:color w:val="231F20"/>
          <w:spacing w:val="-11"/>
        </w:rPr>
        <w:t> </w:t>
      </w:r>
      <w:r>
        <w:rPr>
          <w:color w:val="231F20"/>
          <w:spacing w:val="-4"/>
        </w:rPr>
        <w:t>mundo.</w:t>
      </w:r>
      <w:r>
        <w:rPr>
          <w:color w:val="231F20"/>
          <w:spacing w:val="-9"/>
        </w:rPr>
        <w:t> </w:t>
      </w:r>
      <w:r>
        <w:rPr>
          <w:color w:val="231F20"/>
          <w:spacing w:val="-4"/>
        </w:rPr>
        <w:t>El </w:t>
      </w:r>
      <w:r>
        <w:rPr>
          <w:color w:val="231F20"/>
        </w:rPr>
        <w:t>bloqueo</w:t>
      </w:r>
      <w:r>
        <w:rPr>
          <w:color w:val="231F20"/>
          <w:spacing w:val="-10"/>
        </w:rPr>
        <w:t> </w:t>
      </w:r>
      <w:r>
        <w:rPr>
          <w:color w:val="231F20"/>
        </w:rPr>
        <w:t>impidió</w:t>
      </w:r>
      <w:r>
        <w:rPr>
          <w:color w:val="231F20"/>
          <w:spacing w:val="-10"/>
        </w:rPr>
        <w:t> </w:t>
      </w:r>
      <w:r>
        <w:rPr>
          <w:color w:val="231F20"/>
        </w:rPr>
        <w:t>el</w:t>
      </w:r>
      <w:r>
        <w:rPr>
          <w:color w:val="231F20"/>
          <w:spacing w:val="-10"/>
        </w:rPr>
        <w:t> </w:t>
      </w:r>
      <w:r>
        <w:rPr>
          <w:color w:val="231F20"/>
        </w:rPr>
        <w:t>diagnóstico</w:t>
      </w:r>
      <w:r>
        <w:rPr>
          <w:color w:val="231F20"/>
          <w:spacing w:val="-10"/>
        </w:rPr>
        <w:t> </w:t>
      </w:r>
      <w:r>
        <w:rPr>
          <w:color w:val="231F20"/>
        </w:rPr>
        <w:t>de</w:t>
      </w:r>
      <w:r>
        <w:rPr>
          <w:color w:val="231F20"/>
          <w:spacing w:val="-10"/>
        </w:rPr>
        <w:t> </w:t>
      </w:r>
      <w:r>
        <w:rPr>
          <w:color w:val="231F20"/>
        </w:rPr>
        <w:t>esta enfermedad en el país, en tanto no se </w:t>
      </w:r>
      <w:r>
        <w:rPr>
          <w:color w:val="231F20"/>
          <w:spacing w:val="-2"/>
        </w:rPr>
        <w:t>cuenta</w:t>
      </w:r>
      <w:r>
        <w:rPr>
          <w:color w:val="231F20"/>
          <w:spacing w:val="-12"/>
        </w:rPr>
        <w:t> </w:t>
      </w:r>
      <w:r>
        <w:rPr>
          <w:color w:val="231F20"/>
          <w:spacing w:val="-2"/>
        </w:rPr>
        <w:t>con</w:t>
      </w:r>
      <w:r>
        <w:rPr>
          <w:color w:val="231F20"/>
          <w:spacing w:val="-12"/>
        </w:rPr>
        <w:t> </w:t>
      </w:r>
      <w:r>
        <w:rPr>
          <w:color w:val="231F20"/>
          <w:spacing w:val="-2"/>
        </w:rPr>
        <w:t>la</w:t>
      </w:r>
      <w:r>
        <w:rPr>
          <w:color w:val="231F20"/>
          <w:spacing w:val="-12"/>
        </w:rPr>
        <w:t> </w:t>
      </w:r>
      <w:r>
        <w:rPr>
          <w:color w:val="231F20"/>
          <w:spacing w:val="-2"/>
        </w:rPr>
        <w:t>tecnología</w:t>
      </w:r>
      <w:r>
        <w:rPr>
          <w:color w:val="231F20"/>
          <w:spacing w:val="-12"/>
        </w:rPr>
        <w:t> </w:t>
      </w:r>
      <w:r>
        <w:rPr>
          <w:color w:val="231F20"/>
          <w:spacing w:val="-2"/>
        </w:rPr>
        <w:t>requerida</w:t>
      </w:r>
      <w:r>
        <w:rPr>
          <w:color w:val="231F20"/>
          <w:spacing w:val="-12"/>
        </w:rPr>
        <w:t> </w:t>
      </w:r>
      <w:r>
        <w:rPr>
          <w:color w:val="231F20"/>
          <w:spacing w:val="-2"/>
        </w:rPr>
        <w:t>para ello.</w:t>
      </w:r>
      <w:r>
        <w:rPr>
          <w:color w:val="231F20"/>
          <w:spacing w:val="-9"/>
        </w:rPr>
        <w:t> </w:t>
      </w:r>
      <w:r>
        <w:rPr>
          <w:color w:val="231F20"/>
          <w:spacing w:val="-2"/>
        </w:rPr>
        <w:t>Fue</w:t>
      </w:r>
      <w:r>
        <w:rPr>
          <w:color w:val="231F20"/>
          <w:spacing w:val="-9"/>
        </w:rPr>
        <w:t> </w:t>
      </w:r>
      <w:r>
        <w:rPr>
          <w:color w:val="231F20"/>
          <w:spacing w:val="-2"/>
        </w:rPr>
        <w:t>necesario</w:t>
      </w:r>
      <w:r>
        <w:rPr>
          <w:color w:val="231F20"/>
          <w:spacing w:val="-9"/>
        </w:rPr>
        <w:t> </w:t>
      </w:r>
      <w:r>
        <w:rPr>
          <w:color w:val="231F20"/>
          <w:spacing w:val="-2"/>
        </w:rPr>
        <w:t>sufragar</w:t>
      </w:r>
      <w:r>
        <w:rPr>
          <w:color w:val="231F20"/>
          <w:spacing w:val="-9"/>
        </w:rPr>
        <w:t> </w:t>
      </w:r>
      <w:r>
        <w:rPr>
          <w:color w:val="231F20"/>
          <w:spacing w:val="-2"/>
        </w:rPr>
        <w:t>los</w:t>
      </w:r>
      <w:r>
        <w:rPr>
          <w:color w:val="231F20"/>
          <w:spacing w:val="-9"/>
        </w:rPr>
        <w:t> </w:t>
      </w:r>
      <w:r>
        <w:rPr>
          <w:color w:val="231F20"/>
          <w:spacing w:val="-2"/>
        </w:rPr>
        <w:t>estudios </w:t>
      </w:r>
      <w:r>
        <w:rPr>
          <w:color w:val="231F20"/>
        </w:rPr>
        <w:t>en un laboratorio internacional, donde se confirmó este padecimiento.</w:t>
      </w:r>
    </w:p>
    <w:p>
      <w:pPr>
        <w:spacing w:before="171"/>
        <w:ind w:left="412" w:right="1470" w:firstLine="304"/>
        <w:jc w:val="both"/>
        <w:rPr>
          <w:sz w:val="24"/>
        </w:rPr>
      </w:pPr>
      <w:r>
        <w:rPr>
          <w:rFonts w:ascii="Segoe UI Semibold" w:hAnsi="Segoe UI Semibold"/>
          <w:b/>
          <w:i/>
          <w:color w:val="231F20"/>
          <w:spacing w:val="-4"/>
          <w:sz w:val="24"/>
        </w:rPr>
        <w:t>Un</w:t>
      </w:r>
      <w:r>
        <w:rPr>
          <w:rFonts w:ascii="Segoe UI Semibold" w:hAnsi="Segoe UI Semibold"/>
          <w:b/>
          <w:i/>
          <w:color w:val="231F20"/>
          <w:spacing w:val="-12"/>
          <w:sz w:val="24"/>
        </w:rPr>
        <w:t> </w:t>
      </w:r>
      <w:r>
        <w:rPr>
          <w:rFonts w:ascii="Segoe UI Semibold" w:hAnsi="Segoe UI Semibold"/>
          <w:b/>
          <w:i/>
          <w:color w:val="231F20"/>
          <w:spacing w:val="-4"/>
          <w:sz w:val="24"/>
        </w:rPr>
        <w:t>niño</w:t>
      </w:r>
      <w:r>
        <w:rPr>
          <w:rFonts w:ascii="Segoe UI Semibold" w:hAnsi="Segoe UI Semibold"/>
          <w:b/>
          <w:i/>
          <w:color w:val="231F20"/>
          <w:spacing w:val="-12"/>
          <w:sz w:val="24"/>
        </w:rPr>
        <w:t> </w:t>
      </w:r>
      <w:r>
        <w:rPr>
          <w:rFonts w:ascii="Segoe UI Semibold" w:hAnsi="Segoe UI Semibold"/>
          <w:b/>
          <w:i/>
          <w:color w:val="231F20"/>
          <w:spacing w:val="-4"/>
          <w:sz w:val="24"/>
        </w:rPr>
        <w:t>de</w:t>
      </w:r>
      <w:r>
        <w:rPr>
          <w:rFonts w:ascii="Segoe UI Semibold" w:hAnsi="Segoe UI Semibold"/>
          <w:b/>
          <w:i/>
          <w:color w:val="231F20"/>
          <w:spacing w:val="-12"/>
          <w:sz w:val="24"/>
        </w:rPr>
        <w:t> </w:t>
      </w:r>
      <w:r>
        <w:rPr>
          <w:rFonts w:ascii="Segoe UI Semibold" w:hAnsi="Segoe UI Semibold"/>
          <w:b/>
          <w:i/>
          <w:color w:val="231F20"/>
          <w:spacing w:val="-4"/>
          <w:sz w:val="24"/>
        </w:rPr>
        <w:t>8</w:t>
      </w:r>
      <w:r>
        <w:rPr>
          <w:rFonts w:ascii="Segoe UI Semibold" w:hAnsi="Segoe UI Semibold"/>
          <w:b/>
          <w:i/>
          <w:color w:val="231F20"/>
          <w:spacing w:val="-12"/>
          <w:sz w:val="24"/>
        </w:rPr>
        <w:t> </w:t>
      </w:r>
      <w:r>
        <w:rPr>
          <w:rFonts w:ascii="Segoe UI Semibold" w:hAnsi="Segoe UI Semibold"/>
          <w:b/>
          <w:i/>
          <w:color w:val="231F20"/>
          <w:spacing w:val="-4"/>
          <w:sz w:val="24"/>
        </w:rPr>
        <w:t>años</w:t>
      </w:r>
      <w:r>
        <w:rPr>
          <w:rFonts w:ascii="Segoe UI Semibold" w:hAnsi="Segoe UI Semibold"/>
          <w:b/>
          <w:i/>
          <w:color w:val="231F20"/>
          <w:spacing w:val="-12"/>
          <w:sz w:val="24"/>
        </w:rPr>
        <w:t> </w:t>
      </w:r>
      <w:r>
        <w:rPr>
          <w:rFonts w:ascii="Segoe UI Semibold" w:hAnsi="Segoe UI Semibold"/>
          <w:b/>
          <w:i/>
          <w:color w:val="231F20"/>
          <w:spacing w:val="-4"/>
          <w:sz w:val="24"/>
        </w:rPr>
        <w:t>de</w:t>
      </w:r>
      <w:r>
        <w:rPr>
          <w:rFonts w:ascii="Segoe UI Semibold" w:hAnsi="Segoe UI Semibold"/>
          <w:b/>
          <w:i/>
          <w:color w:val="231F20"/>
          <w:spacing w:val="-12"/>
          <w:sz w:val="24"/>
        </w:rPr>
        <w:t> </w:t>
      </w:r>
      <w:r>
        <w:rPr>
          <w:rFonts w:ascii="Segoe UI Semibold" w:hAnsi="Segoe UI Semibold"/>
          <w:b/>
          <w:i/>
          <w:color w:val="231F20"/>
          <w:spacing w:val="-4"/>
          <w:sz w:val="24"/>
        </w:rPr>
        <w:t>edad,</w:t>
      </w:r>
      <w:r>
        <w:rPr>
          <w:rFonts w:ascii="Segoe UI Semibold" w:hAnsi="Segoe UI Semibold"/>
          <w:b/>
          <w:i/>
          <w:color w:val="231F20"/>
          <w:spacing w:val="-12"/>
          <w:sz w:val="24"/>
        </w:rPr>
        <w:t> </w:t>
      </w:r>
      <w:r>
        <w:rPr>
          <w:rFonts w:ascii="Segoe UI Semibold" w:hAnsi="Segoe UI Semibold"/>
          <w:b/>
          <w:i/>
          <w:color w:val="231F20"/>
          <w:spacing w:val="-4"/>
          <w:sz w:val="24"/>
        </w:rPr>
        <w:t>residente</w:t>
      </w:r>
      <w:r>
        <w:rPr>
          <w:rFonts w:ascii="Segoe UI Semibold" w:hAnsi="Segoe UI Semibold"/>
          <w:b/>
          <w:i/>
          <w:color w:val="231F20"/>
          <w:spacing w:val="-12"/>
          <w:sz w:val="24"/>
        </w:rPr>
        <w:t> </w:t>
      </w:r>
      <w:r>
        <w:rPr>
          <w:rFonts w:ascii="Segoe UI Semibold" w:hAnsi="Segoe UI Semibold"/>
          <w:b/>
          <w:i/>
          <w:color w:val="231F20"/>
          <w:spacing w:val="-4"/>
          <w:sz w:val="24"/>
        </w:rPr>
        <w:t>en</w:t>
      </w:r>
      <w:r>
        <w:rPr>
          <w:rFonts w:ascii="Segoe UI Semibold" w:hAnsi="Segoe UI Semibold"/>
          <w:b/>
          <w:i/>
          <w:color w:val="231F20"/>
          <w:spacing w:val="-4"/>
          <w:sz w:val="24"/>
        </w:rPr>
        <w:t> </w:t>
      </w:r>
      <w:r>
        <w:rPr>
          <w:rFonts w:ascii="Segoe UI Semibold" w:hAnsi="Segoe UI Semibold"/>
          <w:b/>
          <w:i/>
          <w:color w:val="231F20"/>
          <w:sz w:val="24"/>
        </w:rPr>
        <w:t>la</w:t>
      </w:r>
      <w:r>
        <w:rPr>
          <w:rFonts w:ascii="Segoe UI Semibold" w:hAnsi="Segoe UI Semibold"/>
          <w:b/>
          <w:i/>
          <w:color w:val="231F20"/>
          <w:spacing w:val="-3"/>
          <w:sz w:val="24"/>
        </w:rPr>
        <w:t> </w:t>
      </w:r>
      <w:r>
        <w:rPr>
          <w:rFonts w:ascii="Segoe UI Semibold" w:hAnsi="Segoe UI Semibold"/>
          <w:b/>
          <w:i/>
          <w:color w:val="231F20"/>
          <w:sz w:val="24"/>
        </w:rPr>
        <w:t>región</w:t>
      </w:r>
      <w:r>
        <w:rPr>
          <w:rFonts w:ascii="Segoe UI Semibold" w:hAnsi="Segoe UI Semibold"/>
          <w:b/>
          <w:i/>
          <w:color w:val="231F20"/>
          <w:spacing w:val="-3"/>
          <w:sz w:val="24"/>
        </w:rPr>
        <w:t> </w:t>
      </w:r>
      <w:r>
        <w:rPr>
          <w:rFonts w:ascii="Segoe UI Semibold" w:hAnsi="Segoe UI Semibold"/>
          <w:b/>
          <w:i/>
          <w:color w:val="231F20"/>
          <w:sz w:val="24"/>
        </w:rPr>
        <w:t>oriental</w:t>
      </w:r>
      <w:r>
        <w:rPr>
          <w:rFonts w:ascii="Segoe UI Semibold" w:hAnsi="Segoe UI Semibold"/>
          <w:b/>
          <w:i/>
          <w:color w:val="231F20"/>
          <w:spacing w:val="-3"/>
          <w:sz w:val="24"/>
        </w:rPr>
        <w:t> </w:t>
      </w:r>
      <w:r>
        <w:rPr>
          <w:rFonts w:ascii="Segoe UI Semibold" w:hAnsi="Segoe UI Semibold"/>
          <w:b/>
          <w:i/>
          <w:color w:val="231F20"/>
          <w:sz w:val="24"/>
        </w:rPr>
        <w:t>del</w:t>
      </w:r>
      <w:r>
        <w:rPr>
          <w:rFonts w:ascii="Segoe UI Semibold" w:hAnsi="Segoe UI Semibold"/>
          <w:b/>
          <w:i/>
          <w:color w:val="231F20"/>
          <w:spacing w:val="-3"/>
          <w:sz w:val="24"/>
        </w:rPr>
        <w:t> </w:t>
      </w:r>
      <w:r>
        <w:rPr>
          <w:rFonts w:ascii="Segoe UI Semibold" w:hAnsi="Segoe UI Semibold"/>
          <w:b/>
          <w:i/>
          <w:color w:val="231F20"/>
          <w:sz w:val="24"/>
        </w:rPr>
        <w:t>país,</w:t>
      </w:r>
      <w:r>
        <w:rPr>
          <w:rFonts w:ascii="Segoe UI Semibold" w:hAnsi="Segoe UI Semibold"/>
          <w:b/>
          <w:i/>
          <w:color w:val="231F20"/>
          <w:spacing w:val="-3"/>
          <w:sz w:val="24"/>
        </w:rPr>
        <w:t> </w:t>
      </w:r>
      <w:r>
        <w:rPr>
          <w:rFonts w:ascii="Segoe UI Semibold" w:hAnsi="Segoe UI Semibold"/>
          <w:b/>
          <w:i/>
          <w:color w:val="231F20"/>
          <w:sz w:val="24"/>
        </w:rPr>
        <w:t>fue</w:t>
      </w:r>
      <w:r>
        <w:rPr>
          <w:rFonts w:ascii="Segoe UI Semibold" w:hAnsi="Segoe UI Semibold"/>
          <w:b/>
          <w:i/>
          <w:color w:val="231F20"/>
          <w:spacing w:val="-3"/>
          <w:sz w:val="24"/>
        </w:rPr>
        <w:t> </w:t>
      </w:r>
      <w:r>
        <w:rPr>
          <w:rFonts w:ascii="Segoe UI Semibold" w:hAnsi="Segoe UI Semibold"/>
          <w:b/>
          <w:i/>
          <w:color w:val="231F20"/>
          <w:sz w:val="24"/>
        </w:rPr>
        <w:t>llevado</w:t>
      </w:r>
      <w:r>
        <w:rPr>
          <w:rFonts w:ascii="Segoe UI Semibold" w:hAnsi="Segoe UI Semibold"/>
          <w:b/>
          <w:i/>
          <w:color w:val="231F20"/>
          <w:spacing w:val="-3"/>
          <w:sz w:val="24"/>
        </w:rPr>
        <w:t> </w:t>
      </w:r>
      <w:r>
        <w:rPr>
          <w:rFonts w:ascii="Segoe UI Semibold" w:hAnsi="Segoe UI Semibold"/>
          <w:b/>
          <w:i/>
          <w:color w:val="231F20"/>
          <w:sz w:val="24"/>
        </w:rPr>
        <w:t>en 2018,</w:t>
      </w:r>
      <w:r>
        <w:rPr>
          <w:rFonts w:ascii="Segoe UI Semibold" w:hAnsi="Segoe UI Semibold"/>
          <w:b/>
          <w:i/>
          <w:color w:val="231F20"/>
          <w:spacing w:val="-4"/>
          <w:sz w:val="24"/>
        </w:rPr>
        <w:t> </w:t>
      </w:r>
      <w:r>
        <w:rPr>
          <w:rFonts w:ascii="Segoe UI Semibold" w:hAnsi="Segoe UI Semibold"/>
          <w:b/>
          <w:i/>
          <w:color w:val="231F20"/>
          <w:sz w:val="24"/>
        </w:rPr>
        <w:t>con</w:t>
      </w:r>
      <w:r>
        <w:rPr>
          <w:rFonts w:ascii="Segoe UI Semibold" w:hAnsi="Segoe UI Semibold"/>
          <w:b/>
          <w:i/>
          <w:color w:val="231F20"/>
          <w:spacing w:val="-4"/>
          <w:sz w:val="24"/>
        </w:rPr>
        <w:t> </w:t>
      </w:r>
      <w:r>
        <w:rPr>
          <w:rFonts w:ascii="Segoe UI Semibold" w:hAnsi="Segoe UI Semibold"/>
          <w:b/>
          <w:i/>
          <w:color w:val="231F20"/>
          <w:sz w:val="24"/>
        </w:rPr>
        <w:t>apenas</w:t>
      </w:r>
      <w:r>
        <w:rPr>
          <w:rFonts w:ascii="Segoe UI Semibold" w:hAnsi="Segoe UI Semibold"/>
          <w:b/>
          <w:i/>
          <w:color w:val="231F20"/>
          <w:spacing w:val="-4"/>
          <w:sz w:val="24"/>
        </w:rPr>
        <w:t> </w:t>
      </w:r>
      <w:r>
        <w:rPr>
          <w:rFonts w:ascii="Segoe UI Semibold" w:hAnsi="Segoe UI Semibold"/>
          <w:b/>
          <w:i/>
          <w:color w:val="231F20"/>
          <w:sz w:val="24"/>
        </w:rPr>
        <w:t>3</w:t>
      </w:r>
      <w:r>
        <w:rPr>
          <w:rFonts w:ascii="Segoe UI Semibold" w:hAnsi="Segoe UI Semibold"/>
          <w:b/>
          <w:i/>
          <w:color w:val="231F20"/>
          <w:spacing w:val="-4"/>
          <w:sz w:val="24"/>
        </w:rPr>
        <w:t> </w:t>
      </w:r>
      <w:r>
        <w:rPr>
          <w:rFonts w:ascii="Segoe UI Semibold" w:hAnsi="Segoe UI Semibold"/>
          <w:b/>
          <w:i/>
          <w:color w:val="231F20"/>
          <w:sz w:val="24"/>
        </w:rPr>
        <w:t>años,</w:t>
      </w:r>
      <w:r>
        <w:rPr>
          <w:rFonts w:ascii="Segoe UI Semibold" w:hAnsi="Segoe UI Semibold"/>
          <w:b/>
          <w:i/>
          <w:color w:val="231F20"/>
          <w:spacing w:val="-4"/>
          <w:sz w:val="24"/>
        </w:rPr>
        <w:t> </w:t>
      </w:r>
      <w:r>
        <w:rPr>
          <w:rFonts w:ascii="Segoe UI Semibold" w:hAnsi="Segoe UI Semibold"/>
          <w:b/>
          <w:i/>
          <w:color w:val="231F20"/>
          <w:sz w:val="24"/>
        </w:rPr>
        <w:t>a</w:t>
      </w:r>
      <w:r>
        <w:rPr>
          <w:rFonts w:ascii="Segoe UI Semibold" w:hAnsi="Segoe UI Semibold"/>
          <w:b/>
          <w:i/>
          <w:color w:val="231F20"/>
          <w:spacing w:val="-4"/>
          <w:sz w:val="24"/>
        </w:rPr>
        <w:t> </w:t>
      </w:r>
      <w:r>
        <w:rPr>
          <w:rFonts w:ascii="Segoe UI Semibold" w:hAnsi="Segoe UI Semibold"/>
          <w:b/>
          <w:i/>
          <w:color w:val="231F20"/>
          <w:sz w:val="24"/>
        </w:rPr>
        <w:t>la</w:t>
      </w:r>
      <w:r>
        <w:rPr>
          <w:rFonts w:ascii="Segoe UI Semibold" w:hAnsi="Segoe UI Semibold"/>
          <w:b/>
          <w:i/>
          <w:color w:val="231F20"/>
          <w:spacing w:val="-4"/>
          <w:sz w:val="24"/>
        </w:rPr>
        <w:t> </w:t>
      </w:r>
      <w:r>
        <w:rPr>
          <w:rFonts w:ascii="Segoe UI Semibold" w:hAnsi="Segoe UI Semibold"/>
          <w:b/>
          <w:i/>
          <w:color w:val="231F20"/>
          <w:sz w:val="24"/>
        </w:rPr>
        <w:t>consulta</w:t>
      </w:r>
      <w:r>
        <w:rPr>
          <w:rFonts w:ascii="Segoe UI Semibold" w:hAnsi="Segoe UI Semibold"/>
          <w:b/>
          <w:i/>
          <w:color w:val="231F20"/>
          <w:spacing w:val="-4"/>
          <w:sz w:val="24"/>
        </w:rPr>
        <w:t> </w:t>
      </w:r>
      <w:r>
        <w:rPr>
          <w:rFonts w:ascii="Segoe UI Semibold" w:hAnsi="Segoe UI Semibold"/>
          <w:b/>
          <w:i/>
          <w:color w:val="231F20"/>
          <w:sz w:val="24"/>
        </w:rPr>
        <w:t>de </w:t>
      </w:r>
      <w:r>
        <w:rPr>
          <w:rFonts w:ascii="Segoe UI Semibold" w:hAnsi="Segoe UI Semibold"/>
          <w:b/>
          <w:i/>
          <w:color w:val="231F20"/>
          <w:spacing w:val="-2"/>
          <w:sz w:val="24"/>
        </w:rPr>
        <w:t>Genética</w:t>
      </w:r>
      <w:r>
        <w:rPr>
          <w:rFonts w:ascii="Segoe UI Semibold" w:hAnsi="Segoe UI Semibold"/>
          <w:b/>
          <w:i/>
          <w:color w:val="231F20"/>
          <w:spacing w:val="-14"/>
          <w:sz w:val="24"/>
        </w:rPr>
        <w:t> </w:t>
      </w:r>
      <w:r>
        <w:rPr>
          <w:rFonts w:ascii="Segoe UI Semibold" w:hAnsi="Segoe UI Semibold"/>
          <w:b/>
          <w:i/>
          <w:color w:val="231F20"/>
          <w:spacing w:val="-2"/>
          <w:sz w:val="24"/>
        </w:rPr>
        <w:t>clínica.</w:t>
      </w:r>
      <w:r>
        <w:rPr>
          <w:rFonts w:ascii="Segoe UI Semibold" w:hAnsi="Segoe UI Semibold"/>
          <w:b/>
          <w:i/>
          <w:color w:val="231F20"/>
          <w:spacing w:val="-13"/>
          <w:sz w:val="24"/>
        </w:rPr>
        <w:t> </w:t>
      </w:r>
      <w:r>
        <w:rPr>
          <w:color w:val="231F20"/>
          <w:spacing w:val="-2"/>
          <w:sz w:val="24"/>
        </w:rPr>
        <w:t>Presentaba</w:t>
      </w:r>
      <w:r>
        <w:rPr>
          <w:color w:val="231F20"/>
          <w:spacing w:val="-14"/>
          <w:sz w:val="24"/>
        </w:rPr>
        <w:t> </w:t>
      </w:r>
      <w:r>
        <w:rPr>
          <w:color w:val="231F20"/>
          <w:spacing w:val="-2"/>
          <w:sz w:val="24"/>
        </w:rPr>
        <w:t>una</w:t>
      </w:r>
      <w:r>
        <w:rPr>
          <w:color w:val="231F20"/>
          <w:spacing w:val="-14"/>
          <w:sz w:val="24"/>
        </w:rPr>
        <w:t> </w:t>
      </w:r>
      <w:r>
        <w:rPr>
          <w:color w:val="231F20"/>
          <w:spacing w:val="-2"/>
          <w:sz w:val="24"/>
        </w:rPr>
        <w:t>debilidad </w:t>
      </w:r>
      <w:r>
        <w:rPr>
          <w:color w:val="231F20"/>
          <w:sz w:val="24"/>
        </w:rPr>
        <w:t>muscular generalizada y se sospechó la presencia de una Miopatía Congénita de causa no precisada. La no disponibilidad de la tecnología de laboratorio necesaria impidió concluir el diagnóstico. Tomó 3 </w:t>
      </w:r>
      <w:r>
        <w:rPr>
          <w:color w:val="231F20"/>
          <w:spacing w:val="-6"/>
          <w:sz w:val="24"/>
        </w:rPr>
        <w:t>años,</w:t>
      </w:r>
      <w:r>
        <w:rPr>
          <w:color w:val="231F20"/>
          <w:spacing w:val="-11"/>
          <w:sz w:val="24"/>
        </w:rPr>
        <w:t> </w:t>
      </w:r>
      <w:r>
        <w:rPr>
          <w:color w:val="231F20"/>
          <w:spacing w:val="-6"/>
          <w:sz w:val="24"/>
        </w:rPr>
        <w:t>cuantiosos</w:t>
      </w:r>
      <w:r>
        <w:rPr>
          <w:color w:val="231F20"/>
          <w:spacing w:val="-10"/>
          <w:sz w:val="24"/>
        </w:rPr>
        <w:t> </w:t>
      </w:r>
      <w:r>
        <w:rPr>
          <w:color w:val="231F20"/>
          <w:spacing w:val="-6"/>
          <w:sz w:val="24"/>
        </w:rPr>
        <w:t>esfuerzos</w:t>
      </w:r>
      <w:r>
        <w:rPr>
          <w:color w:val="231F20"/>
          <w:spacing w:val="-11"/>
          <w:sz w:val="24"/>
        </w:rPr>
        <w:t> </w:t>
      </w:r>
      <w:r>
        <w:rPr>
          <w:color w:val="231F20"/>
          <w:spacing w:val="-6"/>
          <w:sz w:val="24"/>
        </w:rPr>
        <w:t>e</w:t>
      </w:r>
      <w:r>
        <w:rPr>
          <w:color w:val="231F20"/>
          <w:spacing w:val="-10"/>
          <w:sz w:val="24"/>
        </w:rPr>
        <w:t> </w:t>
      </w:r>
      <w:r>
        <w:rPr>
          <w:color w:val="231F20"/>
          <w:spacing w:val="-6"/>
          <w:sz w:val="24"/>
        </w:rPr>
        <w:t>investigaciones </w:t>
      </w:r>
      <w:r>
        <w:rPr>
          <w:color w:val="231F20"/>
          <w:sz w:val="24"/>
        </w:rPr>
        <w:t>costosas</w:t>
      </w:r>
      <w:r>
        <w:rPr>
          <w:color w:val="231F20"/>
          <w:spacing w:val="-6"/>
          <w:sz w:val="24"/>
        </w:rPr>
        <w:t> </w:t>
      </w:r>
      <w:r>
        <w:rPr>
          <w:color w:val="231F20"/>
          <w:sz w:val="24"/>
        </w:rPr>
        <w:t>en</w:t>
      </w:r>
      <w:r>
        <w:rPr>
          <w:color w:val="231F20"/>
          <w:spacing w:val="-6"/>
          <w:sz w:val="24"/>
        </w:rPr>
        <w:t> </w:t>
      </w:r>
      <w:r>
        <w:rPr>
          <w:color w:val="231F20"/>
          <w:sz w:val="24"/>
        </w:rPr>
        <w:t>el</w:t>
      </w:r>
      <w:r>
        <w:rPr>
          <w:color w:val="231F20"/>
          <w:spacing w:val="-6"/>
          <w:sz w:val="24"/>
        </w:rPr>
        <w:t> </w:t>
      </w:r>
      <w:r>
        <w:rPr>
          <w:color w:val="231F20"/>
          <w:sz w:val="24"/>
        </w:rPr>
        <w:t>extranjero</w:t>
      </w:r>
      <w:r>
        <w:rPr>
          <w:color w:val="231F20"/>
          <w:spacing w:val="-6"/>
          <w:sz w:val="24"/>
        </w:rPr>
        <w:t> </w:t>
      </w:r>
      <w:r>
        <w:rPr>
          <w:color w:val="231F20"/>
          <w:sz w:val="24"/>
        </w:rPr>
        <w:t>para</w:t>
      </w:r>
      <w:r>
        <w:rPr>
          <w:color w:val="231F20"/>
          <w:spacing w:val="-6"/>
          <w:sz w:val="24"/>
        </w:rPr>
        <w:t> </w:t>
      </w:r>
      <w:r>
        <w:rPr>
          <w:color w:val="231F20"/>
          <w:sz w:val="24"/>
        </w:rPr>
        <w:t>arribar</w:t>
      </w:r>
      <w:r>
        <w:rPr>
          <w:color w:val="231F20"/>
          <w:spacing w:val="-6"/>
          <w:sz w:val="24"/>
        </w:rPr>
        <w:t> </w:t>
      </w:r>
      <w:r>
        <w:rPr>
          <w:color w:val="231F20"/>
          <w:sz w:val="24"/>
        </w:rPr>
        <w:t>a</w:t>
      </w:r>
      <w:r>
        <w:rPr>
          <w:color w:val="231F20"/>
          <w:spacing w:val="-6"/>
          <w:sz w:val="24"/>
        </w:rPr>
        <w:t> </w:t>
      </w:r>
      <w:r>
        <w:rPr>
          <w:color w:val="231F20"/>
          <w:sz w:val="24"/>
        </w:rPr>
        <w:t>un </w:t>
      </w:r>
      <w:r>
        <w:rPr>
          <w:color w:val="231F20"/>
          <w:spacing w:val="-2"/>
          <w:sz w:val="24"/>
        </w:rPr>
        <w:t>diagnóstico</w:t>
      </w:r>
      <w:r>
        <w:rPr>
          <w:color w:val="231F20"/>
          <w:spacing w:val="-15"/>
          <w:sz w:val="24"/>
        </w:rPr>
        <w:t> </w:t>
      </w:r>
      <w:r>
        <w:rPr>
          <w:color w:val="231F20"/>
          <w:spacing w:val="-2"/>
          <w:sz w:val="24"/>
        </w:rPr>
        <w:t>final,</w:t>
      </w:r>
      <w:r>
        <w:rPr>
          <w:color w:val="231F20"/>
          <w:spacing w:val="-14"/>
          <w:sz w:val="24"/>
        </w:rPr>
        <w:t> </w:t>
      </w:r>
      <w:r>
        <w:rPr>
          <w:color w:val="231F20"/>
          <w:spacing w:val="-2"/>
          <w:sz w:val="24"/>
        </w:rPr>
        <w:t>confirmado</w:t>
      </w:r>
      <w:r>
        <w:rPr>
          <w:color w:val="231F20"/>
          <w:spacing w:val="-14"/>
          <w:sz w:val="24"/>
        </w:rPr>
        <w:t> </w:t>
      </w:r>
      <w:r>
        <w:rPr>
          <w:color w:val="231F20"/>
          <w:spacing w:val="-2"/>
          <w:sz w:val="24"/>
        </w:rPr>
        <w:t>en</w:t>
      </w:r>
      <w:r>
        <w:rPr>
          <w:color w:val="231F20"/>
          <w:spacing w:val="-15"/>
          <w:sz w:val="24"/>
        </w:rPr>
        <w:t> </w:t>
      </w:r>
      <w:r>
        <w:rPr>
          <w:color w:val="231F20"/>
          <w:spacing w:val="-2"/>
          <w:sz w:val="24"/>
        </w:rPr>
        <w:t>diciembre </w:t>
      </w:r>
      <w:r>
        <w:rPr>
          <w:color w:val="231F20"/>
          <w:spacing w:val="-6"/>
          <w:sz w:val="24"/>
        </w:rPr>
        <w:t>de</w:t>
      </w:r>
      <w:r>
        <w:rPr>
          <w:color w:val="231F20"/>
          <w:spacing w:val="-10"/>
          <w:sz w:val="24"/>
        </w:rPr>
        <w:t> </w:t>
      </w:r>
      <w:r>
        <w:rPr>
          <w:color w:val="231F20"/>
          <w:spacing w:val="-6"/>
          <w:sz w:val="24"/>
        </w:rPr>
        <w:t>2021,</w:t>
      </w:r>
      <w:r>
        <w:rPr>
          <w:color w:val="231F20"/>
          <w:spacing w:val="-10"/>
          <w:sz w:val="24"/>
        </w:rPr>
        <w:t> </w:t>
      </w:r>
      <w:r>
        <w:rPr>
          <w:color w:val="231F20"/>
          <w:spacing w:val="-6"/>
          <w:sz w:val="24"/>
        </w:rPr>
        <w:t>a</w:t>
      </w:r>
      <w:r>
        <w:rPr>
          <w:color w:val="231F20"/>
          <w:spacing w:val="-10"/>
          <w:sz w:val="24"/>
        </w:rPr>
        <w:t> </w:t>
      </w:r>
      <w:r>
        <w:rPr>
          <w:color w:val="231F20"/>
          <w:spacing w:val="-6"/>
          <w:sz w:val="24"/>
        </w:rPr>
        <w:t>la</w:t>
      </w:r>
      <w:r>
        <w:rPr>
          <w:color w:val="231F20"/>
          <w:spacing w:val="-10"/>
          <w:sz w:val="24"/>
        </w:rPr>
        <w:t> </w:t>
      </w:r>
      <w:r>
        <w:rPr>
          <w:color w:val="231F20"/>
          <w:spacing w:val="-6"/>
          <w:sz w:val="24"/>
        </w:rPr>
        <w:t>edad</w:t>
      </w:r>
      <w:r>
        <w:rPr>
          <w:color w:val="231F20"/>
          <w:spacing w:val="-10"/>
          <w:sz w:val="24"/>
        </w:rPr>
        <w:t> </w:t>
      </w:r>
      <w:r>
        <w:rPr>
          <w:color w:val="231F20"/>
          <w:spacing w:val="-6"/>
          <w:sz w:val="24"/>
        </w:rPr>
        <w:t>de</w:t>
      </w:r>
      <w:r>
        <w:rPr>
          <w:color w:val="231F20"/>
          <w:spacing w:val="-10"/>
          <w:sz w:val="24"/>
        </w:rPr>
        <w:t> </w:t>
      </w:r>
      <w:r>
        <w:rPr>
          <w:color w:val="231F20"/>
          <w:spacing w:val="-6"/>
          <w:sz w:val="24"/>
        </w:rPr>
        <w:t>6</w:t>
      </w:r>
      <w:r>
        <w:rPr>
          <w:color w:val="231F20"/>
          <w:spacing w:val="-10"/>
          <w:sz w:val="24"/>
        </w:rPr>
        <w:t> </w:t>
      </w:r>
      <w:r>
        <w:rPr>
          <w:color w:val="231F20"/>
          <w:spacing w:val="-6"/>
          <w:sz w:val="24"/>
        </w:rPr>
        <w:t>años.</w:t>
      </w:r>
      <w:r>
        <w:rPr>
          <w:color w:val="231F20"/>
          <w:spacing w:val="-10"/>
          <w:sz w:val="24"/>
        </w:rPr>
        <w:t> </w:t>
      </w:r>
      <w:r>
        <w:rPr>
          <w:color w:val="231F20"/>
          <w:spacing w:val="-6"/>
          <w:sz w:val="24"/>
        </w:rPr>
        <w:t>El</w:t>
      </w:r>
      <w:r>
        <w:rPr>
          <w:color w:val="231F20"/>
          <w:spacing w:val="-10"/>
          <w:sz w:val="24"/>
        </w:rPr>
        <w:t> </w:t>
      </w:r>
      <w:r>
        <w:rPr>
          <w:color w:val="231F20"/>
          <w:spacing w:val="-6"/>
          <w:sz w:val="24"/>
        </w:rPr>
        <w:t>niño</w:t>
      </w:r>
      <w:r>
        <w:rPr>
          <w:color w:val="231F20"/>
          <w:spacing w:val="-10"/>
          <w:sz w:val="24"/>
        </w:rPr>
        <w:t> </w:t>
      </w:r>
      <w:r>
        <w:rPr>
          <w:color w:val="231F20"/>
          <w:spacing w:val="-6"/>
          <w:sz w:val="24"/>
        </w:rPr>
        <w:t>padece </w:t>
      </w:r>
      <w:r>
        <w:rPr>
          <w:color w:val="231F20"/>
          <w:spacing w:val="-2"/>
          <w:sz w:val="24"/>
        </w:rPr>
        <w:t>el</w:t>
      </w:r>
      <w:r>
        <w:rPr>
          <w:color w:val="231F20"/>
          <w:spacing w:val="-8"/>
          <w:sz w:val="24"/>
        </w:rPr>
        <w:t> </w:t>
      </w:r>
      <w:r>
        <w:rPr>
          <w:color w:val="231F20"/>
          <w:spacing w:val="-2"/>
          <w:sz w:val="24"/>
        </w:rPr>
        <w:t>síndrome</w:t>
      </w:r>
      <w:r>
        <w:rPr>
          <w:color w:val="231F20"/>
          <w:spacing w:val="-5"/>
          <w:sz w:val="24"/>
        </w:rPr>
        <w:t> </w:t>
      </w:r>
      <w:r>
        <w:rPr>
          <w:color w:val="231F20"/>
          <w:spacing w:val="-2"/>
          <w:sz w:val="24"/>
        </w:rPr>
        <w:t>de</w:t>
      </w:r>
      <w:r>
        <w:rPr>
          <w:color w:val="231F20"/>
          <w:spacing w:val="-6"/>
          <w:sz w:val="24"/>
        </w:rPr>
        <w:t> </w:t>
      </w:r>
      <w:r>
        <w:rPr>
          <w:color w:val="231F20"/>
          <w:spacing w:val="-2"/>
          <w:sz w:val="24"/>
        </w:rPr>
        <w:t>Pelizaeus–Merzbacher,</w:t>
      </w:r>
      <w:r>
        <w:rPr>
          <w:color w:val="231F20"/>
          <w:spacing w:val="-5"/>
          <w:sz w:val="24"/>
        </w:rPr>
        <w:t> una</w:t>
      </w:r>
    </w:p>
    <w:p>
      <w:pPr>
        <w:spacing w:after="0"/>
        <w:jc w:val="both"/>
        <w:rPr>
          <w:sz w:val="24"/>
        </w:rPr>
        <w:sectPr>
          <w:pgSz w:w="11910" w:h="16840"/>
          <w:pgMar w:header="0" w:footer="695" w:top="1260" w:bottom="880" w:left="0" w:right="0"/>
          <w:cols w:num="2" w:equalWidth="0">
            <w:col w:w="5557" w:space="40"/>
            <w:col w:w="6313"/>
          </w:cols>
        </w:sectPr>
      </w:pPr>
    </w:p>
    <w:p>
      <w:pPr>
        <w:pStyle w:val="BodyText"/>
        <w:spacing w:before="77"/>
        <w:ind w:left="1474"/>
      </w:pPr>
      <w:r>
        <w:rPr>
          <w:color w:val="231F20"/>
        </w:rPr>
        <w:t>variante de leucodistrofia, que implica un defecto en la materia blanca que recubre las</w:t>
      </w:r>
      <w:r>
        <w:rPr>
          <w:color w:val="231F20"/>
          <w:spacing w:val="-15"/>
        </w:rPr>
        <w:t> </w:t>
      </w:r>
      <w:r>
        <w:rPr>
          <w:color w:val="231F20"/>
        </w:rPr>
        <w:t>fibras</w:t>
      </w:r>
      <w:r>
        <w:rPr>
          <w:color w:val="231F20"/>
          <w:spacing w:val="-15"/>
        </w:rPr>
        <w:t> </w:t>
      </w:r>
      <w:r>
        <w:rPr>
          <w:color w:val="231F20"/>
        </w:rPr>
        <w:t>nerviosas.</w:t>
      </w:r>
      <w:r>
        <w:rPr>
          <w:color w:val="231F20"/>
          <w:spacing w:val="-15"/>
        </w:rPr>
        <w:t> </w:t>
      </w:r>
      <w:r>
        <w:rPr>
          <w:color w:val="231F20"/>
        </w:rPr>
        <w:t>Solo</w:t>
      </w:r>
      <w:r>
        <w:rPr>
          <w:color w:val="231F20"/>
          <w:spacing w:val="-15"/>
        </w:rPr>
        <w:t> </w:t>
      </w:r>
      <w:r>
        <w:rPr>
          <w:color w:val="231F20"/>
        </w:rPr>
        <w:t>1</w:t>
      </w:r>
      <w:r>
        <w:rPr>
          <w:color w:val="231F20"/>
          <w:spacing w:val="-15"/>
        </w:rPr>
        <w:t> </w:t>
      </w:r>
      <w:r>
        <w:rPr>
          <w:color w:val="231F20"/>
        </w:rPr>
        <w:t>de</w:t>
      </w:r>
      <w:r>
        <w:rPr>
          <w:color w:val="231F20"/>
          <w:spacing w:val="-15"/>
        </w:rPr>
        <w:t> </w:t>
      </w:r>
      <w:r>
        <w:rPr>
          <w:color w:val="231F20"/>
        </w:rPr>
        <w:t>cada</w:t>
      </w:r>
      <w:r>
        <w:rPr>
          <w:color w:val="231F20"/>
          <w:spacing w:val="-15"/>
        </w:rPr>
        <w:t> </w:t>
      </w:r>
      <w:r>
        <w:rPr>
          <w:color w:val="231F20"/>
        </w:rPr>
        <w:t>400</w:t>
      </w:r>
      <w:r>
        <w:rPr>
          <w:color w:val="231F20"/>
          <w:spacing w:val="-15"/>
        </w:rPr>
        <w:t> </w:t>
      </w:r>
      <w:r>
        <w:rPr>
          <w:color w:val="231F20"/>
        </w:rPr>
        <w:t>mil personas en el mundo padecen de esta </w:t>
      </w:r>
      <w:r>
        <w:rPr>
          <w:color w:val="231F20"/>
          <w:spacing w:val="-2"/>
        </w:rPr>
        <w:t>enfermedad.</w:t>
      </w:r>
    </w:p>
    <w:p>
      <w:pPr>
        <w:pStyle w:val="BodyText"/>
        <w:spacing w:before="164"/>
        <w:ind w:left="1474"/>
      </w:pPr>
      <w:r>
        <w:rPr>
          <w:color w:val="231F20"/>
        </w:rPr>
        <w:t>Cuba no puede comprar a empresas estadounidenses Quelantes de Fósforo, específicamente el Sevelamer, el cual es </w:t>
      </w:r>
      <w:r>
        <w:rPr>
          <w:color w:val="231F20"/>
          <w:spacing w:val="-2"/>
        </w:rPr>
        <w:t>utilizado</w:t>
      </w:r>
      <w:r>
        <w:rPr>
          <w:color w:val="231F20"/>
          <w:spacing w:val="-15"/>
        </w:rPr>
        <w:t> </w:t>
      </w:r>
      <w:r>
        <w:rPr>
          <w:color w:val="231F20"/>
          <w:spacing w:val="-2"/>
        </w:rPr>
        <w:t>en</w:t>
      </w:r>
      <w:r>
        <w:rPr>
          <w:color w:val="231F20"/>
          <w:spacing w:val="-14"/>
        </w:rPr>
        <w:t> </w:t>
      </w:r>
      <w:r>
        <w:rPr>
          <w:color w:val="231F20"/>
          <w:spacing w:val="-2"/>
        </w:rPr>
        <w:t>el</w:t>
      </w:r>
      <w:r>
        <w:rPr>
          <w:color w:val="231F20"/>
          <w:spacing w:val="-15"/>
        </w:rPr>
        <w:t> </w:t>
      </w:r>
      <w:r>
        <w:rPr>
          <w:color w:val="231F20"/>
          <w:spacing w:val="-2"/>
        </w:rPr>
        <w:t>tratamiento</w:t>
      </w:r>
      <w:r>
        <w:rPr>
          <w:color w:val="231F20"/>
          <w:spacing w:val="-14"/>
        </w:rPr>
        <w:t> </w:t>
      </w:r>
      <w:r>
        <w:rPr>
          <w:color w:val="231F20"/>
          <w:spacing w:val="-2"/>
        </w:rPr>
        <w:t>de</w:t>
      </w:r>
      <w:r>
        <w:rPr>
          <w:color w:val="231F20"/>
          <w:spacing w:val="-15"/>
        </w:rPr>
        <w:t> </w:t>
      </w:r>
      <w:r>
        <w:rPr>
          <w:color w:val="231F20"/>
          <w:spacing w:val="-2"/>
        </w:rPr>
        <w:t>los</w:t>
      </w:r>
      <w:r>
        <w:rPr>
          <w:color w:val="231F20"/>
          <w:spacing w:val="-14"/>
        </w:rPr>
        <w:t> </w:t>
      </w:r>
      <w:r>
        <w:rPr>
          <w:color w:val="231F20"/>
          <w:spacing w:val="-2"/>
        </w:rPr>
        <w:t>pacientes </w:t>
      </w:r>
      <w:r>
        <w:rPr>
          <w:color w:val="231F20"/>
        </w:rPr>
        <w:t>pediátricos con patologías renales. No administrar este fármaco </w:t>
      </w:r>
      <w:r>
        <w:rPr>
          <w:color w:val="231F20"/>
        </w:rPr>
        <w:t>oportunamente expone a los enfermos a desarrollar una Osteodistrofia renal, que causa severas malformaciones</w:t>
      </w:r>
      <w:r>
        <w:rPr>
          <w:color w:val="231F20"/>
          <w:spacing w:val="-1"/>
        </w:rPr>
        <w:t> </w:t>
      </w:r>
      <w:r>
        <w:rPr>
          <w:color w:val="231F20"/>
        </w:rPr>
        <w:t>óseas</w:t>
      </w:r>
      <w:r>
        <w:rPr>
          <w:color w:val="231F20"/>
          <w:spacing w:val="-1"/>
        </w:rPr>
        <w:t> </w:t>
      </w:r>
      <w:r>
        <w:rPr>
          <w:color w:val="231F20"/>
        </w:rPr>
        <w:t>que</w:t>
      </w:r>
      <w:r>
        <w:rPr>
          <w:color w:val="231F20"/>
          <w:spacing w:val="-1"/>
        </w:rPr>
        <w:t> </w:t>
      </w:r>
      <w:r>
        <w:rPr>
          <w:color w:val="231F20"/>
        </w:rPr>
        <w:t>progresan</w:t>
      </w:r>
      <w:r>
        <w:rPr>
          <w:color w:val="231F20"/>
          <w:spacing w:val="-1"/>
        </w:rPr>
        <w:t> </w:t>
      </w:r>
      <w:r>
        <w:rPr>
          <w:color w:val="231F20"/>
        </w:rPr>
        <w:t>a</w:t>
      </w:r>
      <w:r>
        <w:rPr>
          <w:color w:val="231F20"/>
          <w:spacing w:val="-1"/>
        </w:rPr>
        <w:t> </w:t>
      </w:r>
      <w:r>
        <w:rPr>
          <w:color w:val="231F20"/>
        </w:rPr>
        <w:t>la </w:t>
      </w:r>
      <w:r>
        <w:rPr>
          <w:color w:val="231F20"/>
          <w:spacing w:val="-2"/>
        </w:rPr>
        <w:t>invalidez.</w:t>
      </w:r>
    </w:p>
    <w:p>
      <w:pPr>
        <w:pStyle w:val="BodyText"/>
        <w:spacing w:before="167"/>
        <w:ind w:left="1474"/>
      </w:pPr>
      <w:r>
        <w:rPr>
          <w:color w:val="231F20"/>
        </w:rPr>
        <w:t>A los recién nacidos cubanos con fallo renal agudo se les dificultan las diálisis necesarias, ante la falta de catéteres con los</w:t>
      </w:r>
      <w:r>
        <w:rPr>
          <w:color w:val="231F20"/>
          <w:spacing w:val="-16"/>
        </w:rPr>
        <w:t> </w:t>
      </w:r>
      <w:r>
        <w:rPr>
          <w:color w:val="231F20"/>
        </w:rPr>
        <w:t>calibres</w:t>
      </w:r>
      <w:r>
        <w:rPr>
          <w:color w:val="231F20"/>
          <w:spacing w:val="-16"/>
        </w:rPr>
        <w:t> </w:t>
      </w:r>
      <w:r>
        <w:rPr>
          <w:color w:val="231F20"/>
        </w:rPr>
        <w:t>recomendados</w:t>
      </w:r>
      <w:r>
        <w:rPr>
          <w:color w:val="231F20"/>
          <w:spacing w:val="-16"/>
        </w:rPr>
        <w:t> </w:t>
      </w:r>
      <w:r>
        <w:rPr>
          <w:color w:val="231F20"/>
        </w:rPr>
        <w:t>para</w:t>
      </w:r>
      <w:r>
        <w:rPr>
          <w:color w:val="231F20"/>
          <w:spacing w:val="-16"/>
        </w:rPr>
        <w:t> </w:t>
      </w:r>
      <w:r>
        <w:rPr>
          <w:color w:val="231F20"/>
        </w:rPr>
        <w:t>neonatos. Estos insumos no se han podido adquirir dado que son fabricados por compañías estadounidenses que tienen vetado el vínculo con Cuba.</w:t>
      </w:r>
      <w:r>
        <w:rPr>
          <w:color w:val="231F20"/>
          <w:spacing w:val="40"/>
        </w:rPr>
        <w:t> </w:t>
      </w:r>
      <w:r>
        <w:rPr>
          <w:color w:val="231F20"/>
        </w:rPr>
        <w:t>Como resultado, ha sido</w:t>
      </w:r>
      <w:r>
        <w:rPr>
          <w:color w:val="231F20"/>
          <w:spacing w:val="-17"/>
        </w:rPr>
        <w:t> </w:t>
      </w:r>
      <w:r>
        <w:rPr>
          <w:color w:val="231F20"/>
        </w:rPr>
        <w:t>necesario</w:t>
      </w:r>
      <w:r>
        <w:rPr>
          <w:color w:val="231F20"/>
          <w:spacing w:val="-16"/>
        </w:rPr>
        <w:t> </w:t>
      </w:r>
      <w:r>
        <w:rPr>
          <w:color w:val="231F20"/>
        </w:rPr>
        <w:t>adaptar</w:t>
      </w:r>
      <w:r>
        <w:rPr>
          <w:color w:val="231F20"/>
          <w:spacing w:val="-17"/>
        </w:rPr>
        <w:t> </w:t>
      </w:r>
      <w:r>
        <w:rPr>
          <w:color w:val="231F20"/>
        </w:rPr>
        <w:t>catéteres</w:t>
      </w:r>
      <w:r>
        <w:rPr>
          <w:color w:val="231F20"/>
          <w:spacing w:val="-16"/>
        </w:rPr>
        <w:t> </w:t>
      </w:r>
      <w:r>
        <w:rPr>
          <w:color w:val="231F20"/>
        </w:rPr>
        <w:t>de</w:t>
      </w:r>
      <w:r>
        <w:rPr>
          <w:color w:val="231F20"/>
          <w:spacing w:val="-17"/>
        </w:rPr>
        <w:t> </w:t>
      </w:r>
      <w:r>
        <w:rPr>
          <w:color w:val="231F20"/>
        </w:rPr>
        <w:t>mayor calibre para salvar estas vidas.</w:t>
      </w:r>
    </w:p>
    <w:p>
      <w:pPr>
        <w:pStyle w:val="BodyText"/>
        <w:spacing w:before="168"/>
        <w:ind w:left="1474"/>
      </w:pPr>
      <w:r>
        <w:rPr>
          <w:color w:val="231F20"/>
          <w:spacing w:val="-6"/>
        </w:rPr>
        <w:t>NUTRICIA,</w:t>
      </w:r>
      <w:r>
        <w:rPr>
          <w:color w:val="231F20"/>
          <w:spacing w:val="-11"/>
        </w:rPr>
        <w:t> </w:t>
      </w:r>
      <w:r>
        <w:rPr>
          <w:color w:val="231F20"/>
          <w:spacing w:val="-6"/>
        </w:rPr>
        <w:t>compañía</w:t>
      </w:r>
      <w:r>
        <w:rPr>
          <w:color w:val="231F20"/>
          <w:spacing w:val="-10"/>
        </w:rPr>
        <w:t> </w:t>
      </w:r>
      <w:r>
        <w:rPr>
          <w:color w:val="231F20"/>
          <w:spacing w:val="-6"/>
        </w:rPr>
        <w:t>multinacional</w:t>
      </w:r>
      <w:r>
        <w:rPr>
          <w:color w:val="231F20"/>
          <w:spacing w:val="-11"/>
        </w:rPr>
        <w:t> </w:t>
      </w:r>
      <w:r>
        <w:rPr>
          <w:color w:val="231F20"/>
          <w:spacing w:val="-6"/>
        </w:rPr>
        <w:t>radicada </w:t>
      </w:r>
      <w:r>
        <w:rPr>
          <w:color w:val="231F20"/>
        </w:rPr>
        <w:t>en Países Bajos, continuó negándose a </w:t>
      </w:r>
      <w:r>
        <w:rPr>
          <w:color w:val="231F20"/>
          <w:spacing w:val="-2"/>
        </w:rPr>
        <w:t>vender</w:t>
      </w:r>
      <w:r>
        <w:rPr>
          <w:color w:val="231F20"/>
          <w:spacing w:val="-15"/>
        </w:rPr>
        <w:t> </w:t>
      </w:r>
      <w:r>
        <w:rPr>
          <w:color w:val="231F20"/>
          <w:spacing w:val="-2"/>
        </w:rPr>
        <w:t>a</w:t>
      </w:r>
      <w:r>
        <w:rPr>
          <w:color w:val="231F20"/>
          <w:spacing w:val="-14"/>
        </w:rPr>
        <w:t> </w:t>
      </w:r>
      <w:r>
        <w:rPr>
          <w:color w:val="231F20"/>
          <w:spacing w:val="-2"/>
        </w:rPr>
        <w:t>Cuba</w:t>
      </w:r>
      <w:r>
        <w:rPr>
          <w:color w:val="231F20"/>
          <w:spacing w:val="-15"/>
        </w:rPr>
        <w:t> </w:t>
      </w:r>
      <w:r>
        <w:rPr>
          <w:color w:val="231F20"/>
          <w:spacing w:val="-2"/>
        </w:rPr>
        <w:t>productos</w:t>
      </w:r>
      <w:r>
        <w:rPr>
          <w:color w:val="231F20"/>
          <w:spacing w:val="-14"/>
        </w:rPr>
        <w:t> </w:t>
      </w:r>
      <w:r>
        <w:rPr>
          <w:color w:val="231F20"/>
          <w:spacing w:val="-2"/>
        </w:rPr>
        <w:t>para</w:t>
      </w:r>
      <w:r>
        <w:rPr>
          <w:color w:val="231F20"/>
          <w:spacing w:val="-15"/>
        </w:rPr>
        <w:t> </w:t>
      </w:r>
      <w:r>
        <w:rPr>
          <w:color w:val="231F20"/>
          <w:spacing w:val="-2"/>
        </w:rPr>
        <w:t>el</w:t>
      </w:r>
      <w:r>
        <w:rPr>
          <w:color w:val="231F20"/>
          <w:spacing w:val="-14"/>
        </w:rPr>
        <w:t> </w:t>
      </w:r>
      <w:r>
        <w:rPr>
          <w:color w:val="231F20"/>
          <w:spacing w:val="-2"/>
        </w:rPr>
        <w:t>Programa </w:t>
      </w:r>
      <w:r>
        <w:rPr>
          <w:color w:val="231F20"/>
        </w:rPr>
        <w:t>Nacional de Atención Materno Infantil, alegando la activación del Título III de la </w:t>
      </w:r>
      <w:r>
        <w:rPr>
          <w:color w:val="231F20"/>
          <w:spacing w:val="-4"/>
        </w:rPr>
        <w:t>Ley</w:t>
      </w:r>
      <w:r>
        <w:rPr>
          <w:color w:val="231F20"/>
          <w:spacing w:val="-10"/>
        </w:rPr>
        <w:t> </w:t>
      </w:r>
      <w:r>
        <w:rPr>
          <w:color w:val="231F20"/>
          <w:spacing w:val="-4"/>
        </w:rPr>
        <w:t>Helms-Burton.</w:t>
      </w:r>
      <w:r>
        <w:rPr>
          <w:color w:val="231F20"/>
          <w:spacing w:val="-10"/>
        </w:rPr>
        <w:t> </w:t>
      </w:r>
      <w:r>
        <w:rPr>
          <w:color w:val="231F20"/>
          <w:spacing w:val="-4"/>
        </w:rPr>
        <w:t>Se</w:t>
      </w:r>
      <w:r>
        <w:rPr>
          <w:color w:val="231F20"/>
          <w:spacing w:val="-10"/>
        </w:rPr>
        <w:t> </w:t>
      </w:r>
      <w:r>
        <w:rPr>
          <w:color w:val="231F20"/>
          <w:spacing w:val="-4"/>
        </w:rPr>
        <w:t>trata</w:t>
      </w:r>
      <w:r>
        <w:rPr>
          <w:color w:val="231F20"/>
          <w:spacing w:val="-10"/>
        </w:rPr>
        <w:t> </w:t>
      </w:r>
      <w:r>
        <w:rPr>
          <w:color w:val="231F20"/>
          <w:spacing w:val="-4"/>
        </w:rPr>
        <w:t>de</w:t>
      </w:r>
      <w:r>
        <w:rPr>
          <w:color w:val="231F20"/>
          <w:spacing w:val="-10"/>
        </w:rPr>
        <w:t> </w:t>
      </w:r>
      <w:r>
        <w:rPr>
          <w:color w:val="231F20"/>
          <w:spacing w:val="-4"/>
        </w:rPr>
        <w:t>suplementos </w:t>
      </w:r>
      <w:r>
        <w:rPr>
          <w:color w:val="231F20"/>
        </w:rPr>
        <w:t>nutricionales para fines médicos de niños que padecen enfermedades asociadas </w:t>
      </w:r>
      <w:r>
        <w:rPr>
          <w:color w:val="231F20"/>
        </w:rPr>
        <w:t>a errores</w:t>
      </w:r>
      <w:r>
        <w:rPr>
          <w:color w:val="231F20"/>
          <w:spacing w:val="-17"/>
        </w:rPr>
        <w:t> </w:t>
      </w:r>
      <w:r>
        <w:rPr>
          <w:color w:val="231F20"/>
        </w:rPr>
        <w:t>innatos</w:t>
      </w:r>
      <w:r>
        <w:rPr>
          <w:color w:val="231F20"/>
          <w:spacing w:val="-16"/>
        </w:rPr>
        <w:t> </w:t>
      </w:r>
      <w:r>
        <w:rPr>
          <w:color w:val="231F20"/>
        </w:rPr>
        <w:t>del</w:t>
      </w:r>
      <w:r>
        <w:rPr>
          <w:color w:val="231F20"/>
          <w:spacing w:val="-17"/>
        </w:rPr>
        <w:t> </w:t>
      </w:r>
      <w:r>
        <w:rPr>
          <w:color w:val="231F20"/>
        </w:rPr>
        <w:t>metabolismo,</w:t>
      </w:r>
      <w:r>
        <w:rPr>
          <w:color w:val="231F20"/>
          <w:spacing w:val="-16"/>
        </w:rPr>
        <w:t> </w:t>
      </w:r>
      <w:r>
        <w:rPr>
          <w:color w:val="231F20"/>
        </w:rPr>
        <w:t>así</w:t>
      </w:r>
      <w:r>
        <w:rPr>
          <w:color w:val="231F20"/>
          <w:spacing w:val="-17"/>
        </w:rPr>
        <w:t> </w:t>
      </w:r>
      <w:r>
        <w:rPr>
          <w:color w:val="231F20"/>
        </w:rPr>
        <w:t>como otros alimentos parenterales para recién nacidos de muy bajo peso, alérgicos a proteínas o con muy mala absorción de nutrientes, entre ellos: Anamix Junior, Anamix</w:t>
      </w:r>
      <w:r>
        <w:rPr>
          <w:color w:val="231F20"/>
          <w:spacing w:val="-5"/>
        </w:rPr>
        <w:t> </w:t>
      </w:r>
      <w:r>
        <w:rPr>
          <w:color w:val="231F20"/>
        </w:rPr>
        <w:t>Infant,</w:t>
      </w:r>
      <w:r>
        <w:rPr>
          <w:color w:val="231F20"/>
          <w:spacing w:val="-5"/>
        </w:rPr>
        <w:t> </w:t>
      </w:r>
      <w:r>
        <w:rPr>
          <w:color w:val="231F20"/>
        </w:rPr>
        <w:t>XP</w:t>
      </w:r>
      <w:r>
        <w:rPr>
          <w:color w:val="231F20"/>
          <w:spacing w:val="-5"/>
        </w:rPr>
        <w:t> </w:t>
      </w:r>
      <w:r>
        <w:rPr>
          <w:color w:val="231F20"/>
        </w:rPr>
        <w:t>Maxamun</w:t>
      </w:r>
      <w:r>
        <w:rPr>
          <w:color w:val="231F20"/>
          <w:spacing w:val="-5"/>
        </w:rPr>
        <w:t> </w:t>
      </w:r>
      <w:r>
        <w:rPr>
          <w:color w:val="231F20"/>
        </w:rPr>
        <w:t>y</w:t>
      </w:r>
      <w:r>
        <w:rPr>
          <w:color w:val="231F20"/>
          <w:spacing w:val="-5"/>
        </w:rPr>
        <w:t> </w:t>
      </w:r>
      <w:r>
        <w:rPr>
          <w:color w:val="231F20"/>
        </w:rPr>
        <w:t>Neocate.</w:t>
      </w:r>
    </w:p>
    <w:p>
      <w:pPr>
        <w:pStyle w:val="BodyText"/>
        <w:spacing w:before="171"/>
        <w:ind w:left="1474" w:right="1"/>
      </w:pPr>
      <w:r>
        <w:rPr>
          <w:color w:val="231F20"/>
          <w:spacing w:val="-10"/>
        </w:rPr>
        <w:t>No</w:t>
      </w:r>
      <w:r>
        <w:rPr>
          <w:color w:val="231F20"/>
          <w:spacing w:val="-7"/>
        </w:rPr>
        <w:t> </w:t>
      </w:r>
      <w:r>
        <w:rPr>
          <w:color w:val="231F20"/>
          <w:spacing w:val="-10"/>
        </w:rPr>
        <w:t>es</w:t>
      </w:r>
      <w:r>
        <w:rPr>
          <w:color w:val="231F20"/>
          <w:spacing w:val="-6"/>
        </w:rPr>
        <w:t> </w:t>
      </w:r>
      <w:r>
        <w:rPr>
          <w:color w:val="231F20"/>
          <w:spacing w:val="-10"/>
        </w:rPr>
        <w:t>posible</w:t>
      </w:r>
      <w:r>
        <w:rPr>
          <w:color w:val="231F20"/>
          <w:spacing w:val="-7"/>
        </w:rPr>
        <w:t> </w:t>
      </w:r>
      <w:r>
        <w:rPr>
          <w:color w:val="231F20"/>
          <w:spacing w:val="-10"/>
        </w:rPr>
        <w:t>acceder</w:t>
      </w:r>
      <w:r>
        <w:rPr>
          <w:color w:val="231F20"/>
          <w:spacing w:val="-6"/>
        </w:rPr>
        <w:t> </w:t>
      </w:r>
      <w:r>
        <w:rPr>
          <w:color w:val="231F20"/>
          <w:spacing w:val="-10"/>
        </w:rPr>
        <w:t>tampoco</w:t>
      </w:r>
      <w:r>
        <w:rPr>
          <w:color w:val="231F20"/>
          <w:spacing w:val="-7"/>
        </w:rPr>
        <w:t> </w:t>
      </w:r>
      <w:r>
        <w:rPr>
          <w:color w:val="231F20"/>
          <w:spacing w:val="-10"/>
        </w:rPr>
        <w:t>a</w:t>
      </w:r>
      <w:r>
        <w:rPr>
          <w:color w:val="231F20"/>
          <w:spacing w:val="-6"/>
        </w:rPr>
        <w:t> </w:t>
      </w:r>
      <w:r>
        <w:rPr>
          <w:color w:val="231F20"/>
          <w:spacing w:val="-10"/>
        </w:rPr>
        <w:t>las</w:t>
      </w:r>
      <w:r>
        <w:rPr>
          <w:color w:val="231F20"/>
          <w:spacing w:val="-7"/>
        </w:rPr>
        <w:t> </w:t>
      </w:r>
      <w:r>
        <w:rPr>
          <w:color w:val="231F20"/>
          <w:spacing w:val="-10"/>
        </w:rPr>
        <w:t>pruebas </w:t>
      </w:r>
      <w:r>
        <w:rPr>
          <w:color w:val="231F20"/>
          <w:spacing w:val="-4"/>
        </w:rPr>
        <w:t>de</w:t>
      </w:r>
      <w:r>
        <w:rPr>
          <w:color w:val="231F20"/>
          <w:spacing w:val="-5"/>
        </w:rPr>
        <w:t> </w:t>
      </w:r>
      <w:r>
        <w:rPr>
          <w:color w:val="231F20"/>
          <w:spacing w:val="-4"/>
        </w:rPr>
        <w:t>diagnóstico</w:t>
      </w:r>
      <w:r>
        <w:rPr>
          <w:color w:val="231F20"/>
          <w:spacing w:val="-5"/>
        </w:rPr>
        <w:t> </w:t>
      </w:r>
      <w:r>
        <w:rPr>
          <w:color w:val="231F20"/>
          <w:spacing w:val="-4"/>
        </w:rPr>
        <w:t>molecular</w:t>
      </w:r>
      <w:r>
        <w:rPr>
          <w:color w:val="231F20"/>
          <w:spacing w:val="-5"/>
        </w:rPr>
        <w:t> </w:t>
      </w:r>
      <w:r>
        <w:rPr>
          <w:color w:val="231F20"/>
          <w:spacing w:val="-4"/>
        </w:rPr>
        <w:t>para</w:t>
      </w:r>
      <w:r>
        <w:rPr>
          <w:color w:val="231F20"/>
          <w:spacing w:val="-5"/>
        </w:rPr>
        <w:t> </w:t>
      </w:r>
      <w:r>
        <w:rPr>
          <w:color w:val="231F20"/>
          <w:spacing w:val="-4"/>
        </w:rPr>
        <w:t>personalizar </w:t>
      </w:r>
      <w:r>
        <w:rPr>
          <w:color w:val="231F20"/>
        </w:rPr>
        <w:t>el</w:t>
      </w:r>
      <w:r>
        <w:rPr>
          <w:color w:val="231F20"/>
          <w:spacing w:val="-8"/>
        </w:rPr>
        <w:t> </w:t>
      </w:r>
      <w:r>
        <w:rPr>
          <w:color w:val="231F20"/>
        </w:rPr>
        <w:t>tratamiento</w:t>
      </w:r>
      <w:r>
        <w:rPr>
          <w:color w:val="231F20"/>
          <w:spacing w:val="-8"/>
        </w:rPr>
        <w:t> </w:t>
      </w:r>
      <w:r>
        <w:rPr>
          <w:color w:val="231F20"/>
        </w:rPr>
        <w:t>de</w:t>
      </w:r>
      <w:r>
        <w:rPr>
          <w:color w:val="231F20"/>
          <w:spacing w:val="-8"/>
        </w:rPr>
        <w:t> </w:t>
      </w:r>
      <w:r>
        <w:rPr>
          <w:color w:val="231F20"/>
        </w:rPr>
        <w:t>los</w:t>
      </w:r>
      <w:r>
        <w:rPr>
          <w:color w:val="231F20"/>
          <w:spacing w:val="-8"/>
        </w:rPr>
        <w:t> </w:t>
      </w:r>
      <w:r>
        <w:rPr>
          <w:color w:val="231F20"/>
        </w:rPr>
        <w:t>pacientes</w:t>
      </w:r>
      <w:r>
        <w:rPr>
          <w:color w:val="231F20"/>
          <w:spacing w:val="-8"/>
        </w:rPr>
        <w:t> </w:t>
      </w:r>
      <w:r>
        <w:rPr>
          <w:color w:val="231F20"/>
        </w:rPr>
        <w:t>con</w:t>
      </w:r>
      <w:r>
        <w:rPr>
          <w:color w:val="231F20"/>
          <w:spacing w:val="-8"/>
        </w:rPr>
        <w:t> </w:t>
      </w:r>
      <w:r>
        <w:rPr>
          <w:color w:val="231F20"/>
          <w:spacing w:val="-2"/>
        </w:rPr>
        <w:t>cáncer</w:t>
      </w:r>
    </w:p>
    <w:p>
      <w:pPr>
        <w:pStyle w:val="BodyText"/>
        <w:spacing w:before="77"/>
        <w:ind w:left="412" w:right="1132"/>
      </w:pPr>
      <w:r>
        <w:rPr/>
        <w:br w:type="column"/>
      </w:r>
      <w:r>
        <w:rPr>
          <w:color w:val="231F20"/>
        </w:rPr>
        <w:t>de mama o cáncer de colon y predecir el </w:t>
      </w:r>
      <w:r>
        <w:rPr>
          <w:color w:val="231F20"/>
          <w:spacing w:val="-2"/>
        </w:rPr>
        <w:t>riesgo</w:t>
      </w:r>
      <w:r>
        <w:rPr>
          <w:color w:val="231F20"/>
          <w:spacing w:val="-15"/>
        </w:rPr>
        <w:t> </w:t>
      </w:r>
      <w:r>
        <w:rPr>
          <w:color w:val="231F20"/>
          <w:spacing w:val="-2"/>
        </w:rPr>
        <w:t>de</w:t>
      </w:r>
      <w:r>
        <w:rPr>
          <w:color w:val="231F20"/>
          <w:spacing w:val="-14"/>
        </w:rPr>
        <w:t> </w:t>
      </w:r>
      <w:r>
        <w:rPr>
          <w:color w:val="231F20"/>
          <w:spacing w:val="-2"/>
        </w:rPr>
        <w:t>recaídas.</w:t>
      </w:r>
      <w:r>
        <w:rPr>
          <w:color w:val="231F20"/>
          <w:spacing w:val="-15"/>
        </w:rPr>
        <w:t> </w:t>
      </w:r>
      <w:r>
        <w:rPr>
          <w:color w:val="231F20"/>
          <w:spacing w:val="-2"/>
        </w:rPr>
        <w:t>Las</w:t>
      </w:r>
      <w:r>
        <w:rPr>
          <w:color w:val="231F20"/>
          <w:spacing w:val="-14"/>
        </w:rPr>
        <w:t> </w:t>
      </w:r>
      <w:r>
        <w:rPr>
          <w:color w:val="231F20"/>
          <w:spacing w:val="-2"/>
        </w:rPr>
        <w:t>dificultades</w:t>
      </w:r>
      <w:r>
        <w:rPr>
          <w:color w:val="231F20"/>
          <w:spacing w:val="-15"/>
        </w:rPr>
        <w:t> </w:t>
      </w:r>
      <w:r>
        <w:rPr>
          <w:color w:val="231F20"/>
          <w:spacing w:val="-2"/>
        </w:rPr>
        <w:t>actuales </w:t>
      </w:r>
      <w:r>
        <w:rPr>
          <w:color w:val="231F20"/>
        </w:rPr>
        <w:t>repercuten en que la lista de espera se </w:t>
      </w:r>
      <w:r>
        <w:rPr>
          <w:color w:val="231F20"/>
          <w:spacing w:val="-2"/>
        </w:rPr>
        <w:t>extienda</w:t>
      </w:r>
      <w:r>
        <w:rPr>
          <w:color w:val="231F20"/>
          <w:spacing w:val="-13"/>
        </w:rPr>
        <w:t> </w:t>
      </w:r>
      <w:r>
        <w:rPr>
          <w:color w:val="231F20"/>
          <w:spacing w:val="-2"/>
        </w:rPr>
        <w:t>hasta</w:t>
      </w:r>
      <w:r>
        <w:rPr>
          <w:color w:val="231F20"/>
          <w:spacing w:val="-13"/>
        </w:rPr>
        <w:t> </w:t>
      </w:r>
      <w:r>
        <w:rPr>
          <w:color w:val="231F20"/>
          <w:spacing w:val="-2"/>
        </w:rPr>
        <w:t>3</w:t>
      </w:r>
      <w:r>
        <w:rPr>
          <w:color w:val="231F20"/>
          <w:spacing w:val="-13"/>
        </w:rPr>
        <w:t> </w:t>
      </w:r>
      <w:r>
        <w:rPr>
          <w:color w:val="231F20"/>
          <w:spacing w:val="-2"/>
        </w:rPr>
        <w:t>meses</w:t>
      </w:r>
      <w:r>
        <w:rPr>
          <w:color w:val="231F20"/>
          <w:spacing w:val="-13"/>
        </w:rPr>
        <w:t> </w:t>
      </w:r>
      <w:r>
        <w:rPr>
          <w:color w:val="231F20"/>
          <w:spacing w:val="-2"/>
        </w:rPr>
        <w:t>para</w:t>
      </w:r>
      <w:r>
        <w:rPr>
          <w:color w:val="231F20"/>
          <w:spacing w:val="-13"/>
        </w:rPr>
        <w:t> </w:t>
      </w:r>
      <w:r>
        <w:rPr>
          <w:color w:val="231F20"/>
          <w:spacing w:val="-2"/>
        </w:rPr>
        <w:t>el</w:t>
      </w:r>
      <w:r>
        <w:rPr>
          <w:color w:val="231F20"/>
          <w:spacing w:val="-13"/>
        </w:rPr>
        <w:t> </w:t>
      </w:r>
      <w:r>
        <w:rPr>
          <w:color w:val="231F20"/>
          <w:spacing w:val="-2"/>
        </w:rPr>
        <w:t>diagnóstico </w:t>
      </w:r>
      <w:r>
        <w:rPr>
          <w:color w:val="231F20"/>
        </w:rPr>
        <w:t>y seguimiento de pacientes con cáncer, afectando directamente la calidad de los servicios que se brindan.</w:t>
      </w:r>
    </w:p>
    <w:p>
      <w:pPr>
        <w:pStyle w:val="BodyText"/>
        <w:spacing w:before="165"/>
        <w:ind w:left="412" w:right="1132"/>
      </w:pPr>
      <w:r>
        <w:rPr>
          <w:color w:val="231F20"/>
        </w:rPr>
        <w:t>Novedosos medicamentos producidos por farmacéuticas norteamericanas en el área</w:t>
      </w:r>
      <w:r>
        <w:rPr>
          <w:color w:val="231F20"/>
          <w:spacing w:val="-8"/>
        </w:rPr>
        <w:t> </w:t>
      </w:r>
      <w:r>
        <w:rPr>
          <w:color w:val="231F20"/>
        </w:rPr>
        <w:t>de</w:t>
      </w:r>
      <w:r>
        <w:rPr>
          <w:color w:val="231F20"/>
          <w:spacing w:val="-8"/>
        </w:rPr>
        <w:t> </w:t>
      </w:r>
      <w:r>
        <w:rPr>
          <w:color w:val="231F20"/>
        </w:rPr>
        <w:t>los</w:t>
      </w:r>
      <w:r>
        <w:rPr>
          <w:color w:val="231F20"/>
          <w:spacing w:val="-8"/>
        </w:rPr>
        <w:t> </w:t>
      </w:r>
      <w:r>
        <w:rPr>
          <w:color w:val="231F20"/>
        </w:rPr>
        <w:t>servicios</w:t>
      </w:r>
      <w:r>
        <w:rPr>
          <w:color w:val="231F20"/>
          <w:spacing w:val="-8"/>
        </w:rPr>
        <w:t> </w:t>
      </w:r>
      <w:r>
        <w:rPr>
          <w:color w:val="231F20"/>
        </w:rPr>
        <w:t>oncológicos</w:t>
      </w:r>
      <w:r>
        <w:rPr>
          <w:color w:val="231F20"/>
          <w:spacing w:val="-8"/>
        </w:rPr>
        <w:t> </w:t>
      </w:r>
      <w:r>
        <w:rPr>
          <w:color w:val="231F20"/>
        </w:rPr>
        <w:t>no</w:t>
      </w:r>
      <w:r>
        <w:rPr>
          <w:color w:val="231F20"/>
          <w:spacing w:val="-8"/>
        </w:rPr>
        <w:t> </w:t>
      </w:r>
      <w:r>
        <w:rPr>
          <w:color w:val="231F20"/>
        </w:rPr>
        <w:t>están </w:t>
      </w:r>
      <w:r>
        <w:rPr>
          <w:color w:val="231F20"/>
          <w:spacing w:val="-8"/>
        </w:rPr>
        <w:t>disponibles para Cuba, entre ellos: el Acetato </w:t>
      </w:r>
      <w:r>
        <w:rPr>
          <w:color w:val="231F20"/>
        </w:rPr>
        <w:t>de Abiraterona para el tratamiento del </w:t>
      </w:r>
      <w:r>
        <w:rPr>
          <w:color w:val="231F20"/>
          <w:spacing w:val="-6"/>
        </w:rPr>
        <w:t>cáncer</w:t>
      </w:r>
      <w:r>
        <w:rPr>
          <w:color w:val="231F20"/>
          <w:spacing w:val="-7"/>
        </w:rPr>
        <w:t> </w:t>
      </w:r>
      <w:r>
        <w:rPr>
          <w:color w:val="231F20"/>
          <w:spacing w:val="-6"/>
        </w:rPr>
        <w:t>de</w:t>
      </w:r>
      <w:r>
        <w:rPr>
          <w:color w:val="231F20"/>
          <w:spacing w:val="-7"/>
        </w:rPr>
        <w:t> </w:t>
      </w:r>
      <w:r>
        <w:rPr>
          <w:color w:val="231F20"/>
          <w:spacing w:val="-6"/>
        </w:rPr>
        <w:t>próstata</w:t>
      </w:r>
      <w:r>
        <w:rPr>
          <w:color w:val="231F20"/>
          <w:spacing w:val="-7"/>
        </w:rPr>
        <w:t> </w:t>
      </w:r>
      <w:r>
        <w:rPr>
          <w:color w:val="231F20"/>
          <w:spacing w:val="-6"/>
        </w:rPr>
        <w:t>resistente</w:t>
      </w:r>
      <w:r>
        <w:rPr>
          <w:color w:val="231F20"/>
          <w:spacing w:val="-7"/>
        </w:rPr>
        <w:t> </w:t>
      </w:r>
      <w:r>
        <w:rPr>
          <w:color w:val="231F20"/>
          <w:spacing w:val="-6"/>
        </w:rPr>
        <w:t>a</w:t>
      </w:r>
      <w:r>
        <w:rPr>
          <w:color w:val="231F20"/>
          <w:spacing w:val="-7"/>
        </w:rPr>
        <w:t> </w:t>
      </w:r>
      <w:r>
        <w:rPr>
          <w:color w:val="231F20"/>
          <w:spacing w:val="-6"/>
        </w:rPr>
        <w:t>la</w:t>
      </w:r>
      <w:r>
        <w:rPr>
          <w:color w:val="231F20"/>
          <w:spacing w:val="-7"/>
        </w:rPr>
        <w:t> </w:t>
      </w:r>
      <w:r>
        <w:rPr>
          <w:color w:val="231F20"/>
          <w:spacing w:val="-6"/>
        </w:rPr>
        <w:t>castración, </w:t>
      </w:r>
      <w:r>
        <w:rPr>
          <w:color w:val="231F20"/>
        </w:rPr>
        <w:t>procedente de la Farmacéutica Janssen, filial de Johnson &amp; Johnson; el producto Pemetrexed, para el adenocarcinoma de </w:t>
      </w:r>
      <w:r>
        <w:rPr>
          <w:color w:val="231F20"/>
          <w:spacing w:val="-4"/>
        </w:rPr>
        <w:t>pulmón,</w:t>
      </w:r>
      <w:r>
        <w:rPr>
          <w:color w:val="231F20"/>
          <w:spacing w:val="-11"/>
        </w:rPr>
        <w:t> </w:t>
      </w:r>
      <w:r>
        <w:rPr>
          <w:color w:val="231F20"/>
          <w:spacing w:val="-4"/>
        </w:rPr>
        <w:t>comercializado</w:t>
      </w:r>
      <w:r>
        <w:rPr>
          <w:color w:val="231F20"/>
          <w:spacing w:val="-11"/>
        </w:rPr>
        <w:t> </w:t>
      </w:r>
      <w:r>
        <w:rPr>
          <w:color w:val="231F20"/>
          <w:spacing w:val="-4"/>
        </w:rPr>
        <w:t>por</w:t>
      </w:r>
      <w:r>
        <w:rPr>
          <w:color w:val="231F20"/>
          <w:spacing w:val="-11"/>
        </w:rPr>
        <w:t> </w:t>
      </w:r>
      <w:r>
        <w:rPr>
          <w:color w:val="231F20"/>
          <w:spacing w:val="-4"/>
        </w:rPr>
        <w:t>Eli</w:t>
      </w:r>
      <w:r>
        <w:rPr>
          <w:color w:val="231F20"/>
          <w:spacing w:val="-11"/>
        </w:rPr>
        <w:t> </w:t>
      </w:r>
      <w:r>
        <w:rPr>
          <w:color w:val="231F20"/>
          <w:spacing w:val="-4"/>
        </w:rPr>
        <w:t>Lilly</w:t>
      </w:r>
      <w:r>
        <w:rPr>
          <w:color w:val="231F20"/>
          <w:spacing w:val="-11"/>
        </w:rPr>
        <w:t> </w:t>
      </w:r>
      <w:r>
        <w:rPr>
          <w:color w:val="231F20"/>
          <w:spacing w:val="-4"/>
        </w:rPr>
        <w:t>y</w:t>
      </w:r>
      <w:r>
        <w:rPr>
          <w:color w:val="231F20"/>
          <w:spacing w:val="-11"/>
        </w:rPr>
        <w:t> </w:t>
      </w:r>
      <w:r>
        <w:rPr>
          <w:color w:val="231F20"/>
          <w:spacing w:val="-4"/>
        </w:rPr>
        <w:t>Pfizer; </w:t>
      </w:r>
      <w:r>
        <w:rPr>
          <w:color w:val="231F20"/>
        </w:rPr>
        <w:t>el fármaco Sunitinib, para el carcinoma renal metastásico, producido igualmente por Pfizer; entre otros.</w:t>
      </w:r>
    </w:p>
    <w:p>
      <w:pPr>
        <w:pStyle w:val="BodyText"/>
        <w:spacing w:before="170"/>
        <w:ind w:left="412" w:right="1130"/>
      </w:pPr>
      <w:r>
        <w:rPr>
          <w:color w:val="231F20"/>
        </w:rPr>
        <w:t>Cuba</w:t>
      </w:r>
      <w:r>
        <w:rPr>
          <w:color w:val="231F20"/>
          <w:spacing w:val="-8"/>
        </w:rPr>
        <w:t> </w:t>
      </w:r>
      <w:r>
        <w:rPr>
          <w:color w:val="231F20"/>
        </w:rPr>
        <w:t>no</w:t>
      </w:r>
      <w:r>
        <w:rPr>
          <w:color w:val="231F20"/>
          <w:spacing w:val="-8"/>
        </w:rPr>
        <w:t> </w:t>
      </w:r>
      <w:r>
        <w:rPr>
          <w:color w:val="231F20"/>
        </w:rPr>
        <w:t>tiene</w:t>
      </w:r>
      <w:r>
        <w:rPr>
          <w:color w:val="231F20"/>
          <w:spacing w:val="-8"/>
        </w:rPr>
        <w:t> </w:t>
      </w:r>
      <w:r>
        <w:rPr>
          <w:color w:val="231F20"/>
        </w:rPr>
        <w:t>acceso</w:t>
      </w:r>
      <w:r>
        <w:rPr>
          <w:color w:val="231F20"/>
          <w:spacing w:val="-8"/>
        </w:rPr>
        <w:t> </w:t>
      </w:r>
      <w:r>
        <w:rPr>
          <w:color w:val="231F20"/>
        </w:rPr>
        <w:t>a</w:t>
      </w:r>
      <w:r>
        <w:rPr>
          <w:color w:val="231F20"/>
          <w:spacing w:val="-8"/>
        </w:rPr>
        <w:t> </w:t>
      </w:r>
      <w:r>
        <w:rPr>
          <w:color w:val="231F20"/>
        </w:rPr>
        <w:t>los</w:t>
      </w:r>
      <w:r>
        <w:rPr>
          <w:color w:val="231F20"/>
          <w:spacing w:val="-8"/>
        </w:rPr>
        <w:t> </w:t>
      </w:r>
      <w:r>
        <w:rPr>
          <w:color w:val="231F20"/>
        </w:rPr>
        <w:t>medicamentos de origen estadounidense </w:t>
      </w:r>
      <w:r>
        <w:rPr>
          <w:color w:val="231F20"/>
        </w:rPr>
        <w:t>Memantine, Donepezilo y Rivastigmina para el tratamiento</w:t>
      </w:r>
      <w:r>
        <w:rPr>
          <w:color w:val="231F20"/>
          <w:spacing w:val="-13"/>
        </w:rPr>
        <w:t> </w:t>
      </w:r>
      <w:r>
        <w:rPr>
          <w:color w:val="231F20"/>
        </w:rPr>
        <w:t>de</w:t>
      </w:r>
      <w:r>
        <w:rPr>
          <w:color w:val="231F20"/>
          <w:spacing w:val="-13"/>
        </w:rPr>
        <w:t> </w:t>
      </w:r>
      <w:r>
        <w:rPr>
          <w:color w:val="231F20"/>
        </w:rPr>
        <w:t>las</w:t>
      </w:r>
      <w:r>
        <w:rPr>
          <w:color w:val="231F20"/>
          <w:spacing w:val="-13"/>
        </w:rPr>
        <w:t> </w:t>
      </w:r>
      <w:r>
        <w:rPr>
          <w:color w:val="231F20"/>
        </w:rPr>
        <w:t>demencias,</w:t>
      </w:r>
      <w:r>
        <w:rPr>
          <w:color w:val="231F20"/>
          <w:spacing w:val="-13"/>
        </w:rPr>
        <w:t> </w:t>
      </w:r>
      <w:r>
        <w:rPr>
          <w:color w:val="231F20"/>
        </w:rPr>
        <w:t>ni</w:t>
      </w:r>
      <w:r>
        <w:rPr>
          <w:color w:val="231F20"/>
          <w:spacing w:val="-13"/>
        </w:rPr>
        <w:t> </w:t>
      </w:r>
      <w:r>
        <w:rPr>
          <w:color w:val="231F20"/>
        </w:rPr>
        <w:t>análogos de la insulina para la Diabetes Mellitus en el anciano.</w:t>
      </w:r>
    </w:p>
    <w:p>
      <w:pPr>
        <w:pStyle w:val="BodyText"/>
        <w:spacing w:before="165"/>
        <w:ind w:left="412" w:right="1132"/>
      </w:pPr>
      <w:r>
        <w:rPr>
          <w:color w:val="231F20"/>
        </w:rPr>
        <w:t>El medicamento Nusinersen se emplea para combatir la atrofia espinal infantil.</w:t>
      </w:r>
      <w:r>
        <w:rPr>
          <w:color w:val="231F20"/>
          <w:spacing w:val="80"/>
        </w:rPr>
        <w:t> </w:t>
      </w:r>
      <w:r>
        <w:rPr>
          <w:color w:val="231F20"/>
        </w:rPr>
        <w:t>Es de alto costo, aproximadamente un cuarto de millón de dólares por cada año de tratamiento, pero su efectividad ha sido demostrada para mantener con vida a más de la mitad de los niños con esta </w:t>
      </w:r>
      <w:r>
        <w:rPr>
          <w:color w:val="231F20"/>
          <w:spacing w:val="-2"/>
        </w:rPr>
        <w:t>enfermedad</w:t>
      </w:r>
      <w:r>
        <w:rPr>
          <w:color w:val="231F20"/>
          <w:spacing w:val="-11"/>
        </w:rPr>
        <w:t> </w:t>
      </w:r>
      <w:r>
        <w:rPr>
          <w:color w:val="231F20"/>
          <w:spacing w:val="-2"/>
        </w:rPr>
        <w:t>mortal.</w:t>
      </w:r>
      <w:r>
        <w:rPr>
          <w:color w:val="231F20"/>
          <w:spacing w:val="-11"/>
        </w:rPr>
        <w:t> </w:t>
      </w:r>
      <w:r>
        <w:rPr>
          <w:color w:val="231F20"/>
          <w:spacing w:val="-2"/>
        </w:rPr>
        <w:t>Solo</w:t>
      </w:r>
      <w:r>
        <w:rPr>
          <w:color w:val="231F20"/>
          <w:spacing w:val="-11"/>
        </w:rPr>
        <w:t> </w:t>
      </w:r>
      <w:r>
        <w:rPr>
          <w:color w:val="231F20"/>
          <w:spacing w:val="-2"/>
        </w:rPr>
        <w:t>es</w:t>
      </w:r>
      <w:r>
        <w:rPr>
          <w:color w:val="231F20"/>
          <w:spacing w:val="-11"/>
        </w:rPr>
        <w:t> </w:t>
      </w:r>
      <w:r>
        <w:rPr>
          <w:color w:val="231F20"/>
          <w:spacing w:val="-2"/>
        </w:rPr>
        <w:t>producido</w:t>
      </w:r>
      <w:r>
        <w:rPr>
          <w:color w:val="231F20"/>
          <w:spacing w:val="-11"/>
        </w:rPr>
        <w:t> </w:t>
      </w:r>
      <w:r>
        <w:rPr>
          <w:color w:val="231F20"/>
          <w:spacing w:val="-2"/>
        </w:rPr>
        <w:t>por </w:t>
      </w:r>
      <w:r>
        <w:rPr>
          <w:color w:val="231F20"/>
        </w:rPr>
        <w:t>la empresa multinacional estadounidense Biogen,</w:t>
      </w:r>
      <w:r>
        <w:rPr>
          <w:color w:val="231F20"/>
          <w:spacing w:val="-9"/>
        </w:rPr>
        <w:t> </w:t>
      </w:r>
      <w:r>
        <w:rPr>
          <w:color w:val="231F20"/>
        </w:rPr>
        <w:t>por</w:t>
      </w:r>
      <w:r>
        <w:rPr>
          <w:color w:val="231F20"/>
          <w:spacing w:val="-9"/>
        </w:rPr>
        <w:t> </w:t>
      </w:r>
      <w:r>
        <w:rPr>
          <w:color w:val="231F20"/>
        </w:rPr>
        <w:t>tanto,</w:t>
      </w:r>
      <w:r>
        <w:rPr>
          <w:color w:val="231F20"/>
          <w:spacing w:val="-9"/>
        </w:rPr>
        <w:t> </w:t>
      </w:r>
      <w:r>
        <w:rPr>
          <w:color w:val="231F20"/>
        </w:rPr>
        <w:t>no</w:t>
      </w:r>
      <w:r>
        <w:rPr>
          <w:color w:val="231F20"/>
          <w:spacing w:val="-9"/>
        </w:rPr>
        <w:t> </w:t>
      </w:r>
      <w:r>
        <w:rPr>
          <w:color w:val="231F20"/>
        </w:rPr>
        <w:t>está</w:t>
      </w:r>
      <w:r>
        <w:rPr>
          <w:color w:val="231F20"/>
          <w:spacing w:val="-9"/>
        </w:rPr>
        <w:t> </w:t>
      </w:r>
      <w:r>
        <w:rPr>
          <w:color w:val="231F20"/>
        </w:rPr>
        <w:t>disponible</w:t>
      </w:r>
      <w:r>
        <w:rPr>
          <w:color w:val="231F20"/>
          <w:spacing w:val="-9"/>
        </w:rPr>
        <w:t> </w:t>
      </w:r>
      <w:r>
        <w:rPr>
          <w:color w:val="231F20"/>
        </w:rPr>
        <w:t>para pacientes cubanos.</w:t>
      </w:r>
    </w:p>
    <w:p>
      <w:pPr>
        <w:pStyle w:val="BodyText"/>
        <w:spacing w:before="169"/>
        <w:ind w:left="412" w:right="1130"/>
      </w:pPr>
      <w:r>
        <w:rPr>
          <w:color w:val="231F20"/>
        </w:rPr>
        <w:t>Los equipos para aplicar estimulación cerebral profunda y estimulación invasiva del nervio vago, son una alternativa </w:t>
      </w:r>
      <w:r>
        <w:rPr>
          <w:color w:val="231F20"/>
          <w:spacing w:val="-2"/>
        </w:rPr>
        <w:t>terapéutica</w:t>
      </w:r>
      <w:r>
        <w:rPr>
          <w:color w:val="231F20"/>
          <w:spacing w:val="-14"/>
        </w:rPr>
        <w:t> </w:t>
      </w:r>
      <w:r>
        <w:rPr>
          <w:color w:val="231F20"/>
          <w:spacing w:val="-2"/>
        </w:rPr>
        <w:t>con</w:t>
      </w:r>
      <w:r>
        <w:rPr>
          <w:color w:val="231F20"/>
          <w:spacing w:val="-14"/>
        </w:rPr>
        <w:t> </w:t>
      </w:r>
      <w:r>
        <w:rPr>
          <w:color w:val="231F20"/>
          <w:spacing w:val="-2"/>
        </w:rPr>
        <w:t>efectividad</w:t>
      </w:r>
      <w:r>
        <w:rPr>
          <w:color w:val="231F20"/>
          <w:spacing w:val="-14"/>
        </w:rPr>
        <w:t> </w:t>
      </w:r>
      <w:r>
        <w:rPr>
          <w:color w:val="231F20"/>
          <w:spacing w:val="-2"/>
        </w:rPr>
        <w:t>demostrada</w:t>
      </w:r>
      <w:r>
        <w:rPr>
          <w:color w:val="231F20"/>
          <w:spacing w:val="-14"/>
        </w:rPr>
        <w:t> </w:t>
      </w:r>
      <w:r>
        <w:rPr>
          <w:color w:val="231F20"/>
          <w:spacing w:val="-2"/>
        </w:rPr>
        <w:t>en </w:t>
      </w:r>
      <w:r>
        <w:rPr>
          <w:color w:val="231F20"/>
        </w:rPr>
        <w:t>varios</w:t>
      </w:r>
      <w:r>
        <w:rPr>
          <w:color w:val="231F20"/>
          <w:spacing w:val="-14"/>
        </w:rPr>
        <w:t> </w:t>
      </w:r>
      <w:r>
        <w:rPr>
          <w:color w:val="231F20"/>
        </w:rPr>
        <w:t>ensayos</w:t>
      </w:r>
      <w:r>
        <w:rPr>
          <w:color w:val="231F20"/>
          <w:spacing w:val="-12"/>
        </w:rPr>
        <w:t> </w:t>
      </w:r>
      <w:r>
        <w:rPr>
          <w:color w:val="231F20"/>
        </w:rPr>
        <w:t>clínicos</w:t>
      </w:r>
      <w:r>
        <w:rPr>
          <w:color w:val="231F20"/>
          <w:spacing w:val="-12"/>
        </w:rPr>
        <w:t> </w:t>
      </w:r>
      <w:r>
        <w:rPr>
          <w:color w:val="231F20"/>
        </w:rPr>
        <w:t>para</w:t>
      </w:r>
      <w:r>
        <w:rPr>
          <w:color w:val="231F20"/>
          <w:spacing w:val="-12"/>
        </w:rPr>
        <w:t> </w:t>
      </w:r>
      <w:r>
        <w:rPr>
          <w:color w:val="231F20"/>
        </w:rPr>
        <w:t>el</w:t>
      </w:r>
      <w:r>
        <w:rPr>
          <w:color w:val="231F20"/>
          <w:spacing w:val="-11"/>
        </w:rPr>
        <w:t> </w:t>
      </w:r>
      <w:r>
        <w:rPr>
          <w:color w:val="231F20"/>
          <w:spacing w:val="-2"/>
        </w:rPr>
        <w:t>tratamiento</w:t>
      </w:r>
    </w:p>
    <w:p>
      <w:pPr>
        <w:spacing w:after="0"/>
        <w:sectPr>
          <w:pgSz w:w="11910" w:h="16840"/>
          <w:pgMar w:header="0" w:footer="695" w:top="1260" w:bottom="880" w:left="0" w:right="0"/>
          <w:cols w:num="2" w:equalWidth="0">
            <w:col w:w="5898" w:space="40"/>
            <w:col w:w="5972"/>
          </w:cols>
        </w:sectPr>
      </w:pPr>
    </w:p>
    <w:p>
      <w:pPr>
        <w:pStyle w:val="BodyText"/>
        <w:spacing w:before="77"/>
        <w:ind w:left="1133"/>
      </w:pPr>
      <w:r>
        <w:rPr>
          <w:color w:val="231F20"/>
        </w:rPr>
        <w:t>de algunos pacientes con trastornos del movimiento</w:t>
      </w:r>
      <w:r>
        <w:rPr>
          <w:color w:val="231F20"/>
          <w:spacing w:val="-9"/>
        </w:rPr>
        <w:t> </w:t>
      </w:r>
      <w:r>
        <w:rPr>
          <w:color w:val="231F20"/>
        </w:rPr>
        <w:t>y</w:t>
      </w:r>
      <w:r>
        <w:rPr>
          <w:color w:val="231F20"/>
          <w:spacing w:val="-9"/>
        </w:rPr>
        <w:t> </w:t>
      </w:r>
      <w:r>
        <w:rPr>
          <w:color w:val="231F20"/>
        </w:rPr>
        <w:t>epilepsia.</w:t>
      </w:r>
      <w:r>
        <w:rPr>
          <w:color w:val="231F20"/>
          <w:spacing w:val="-9"/>
        </w:rPr>
        <w:t> </w:t>
      </w:r>
      <w:r>
        <w:rPr>
          <w:color w:val="231F20"/>
        </w:rPr>
        <w:t>Estos</w:t>
      </w:r>
      <w:r>
        <w:rPr>
          <w:color w:val="231F20"/>
          <w:spacing w:val="-9"/>
        </w:rPr>
        <w:t> </w:t>
      </w:r>
      <w:r>
        <w:rPr>
          <w:color w:val="231F20"/>
        </w:rPr>
        <w:t>dispositivos solo son producidos y comercializados fundamentalmente por tres empresas estadounidenses: Medtronic, </w:t>
      </w:r>
      <w:r>
        <w:rPr>
          <w:color w:val="231F20"/>
        </w:rPr>
        <w:t>Boston Scientific y St. Jude Medical, Inc., no autorizadas a vender a Cuba.</w:t>
      </w:r>
    </w:p>
    <w:p>
      <w:pPr>
        <w:pStyle w:val="BodyText"/>
        <w:spacing w:before="165"/>
        <w:ind w:left="1133" w:right="1"/>
      </w:pPr>
      <w:r>
        <w:rPr>
          <w:color w:val="231F20"/>
        </w:rPr>
        <w:t>Al</w:t>
      </w:r>
      <w:r>
        <w:rPr>
          <w:color w:val="231F20"/>
          <w:spacing w:val="-14"/>
        </w:rPr>
        <w:t> </w:t>
      </w:r>
      <w:r>
        <w:rPr>
          <w:color w:val="231F20"/>
        </w:rPr>
        <w:t>país</w:t>
      </w:r>
      <w:r>
        <w:rPr>
          <w:color w:val="231F20"/>
          <w:spacing w:val="-14"/>
        </w:rPr>
        <w:t> </w:t>
      </w:r>
      <w:r>
        <w:rPr>
          <w:color w:val="231F20"/>
        </w:rPr>
        <w:t>se</w:t>
      </w:r>
      <w:r>
        <w:rPr>
          <w:color w:val="231F20"/>
          <w:spacing w:val="-14"/>
        </w:rPr>
        <w:t> </w:t>
      </w:r>
      <w:r>
        <w:rPr>
          <w:color w:val="231F20"/>
        </w:rPr>
        <w:t>le</w:t>
      </w:r>
      <w:r>
        <w:rPr>
          <w:color w:val="231F20"/>
          <w:spacing w:val="-14"/>
        </w:rPr>
        <w:t> </w:t>
      </w:r>
      <w:r>
        <w:rPr>
          <w:color w:val="231F20"/>
        </w:rPr>
        <w:t>ha</w:t>
      </w:r>
      <w:r>
        <w:rPr>
          <w:color w:val="231F20"/>
          <w:spacing w:val="-14"/>
        </w:rPr>
        <w:t> </w:t>
      </w:r>
      <w:r>
        <w:rPr>
          <w:color w:val="231F20"/>
        </w:rPr>
        <w:t>negado</w:t>
      </w:r>
      <w:r>
        <w:rPr>
          <w:color w:val="231F20"/>
          <w:spacing w:val="-14"/>
        </w:rPr>
        <w:t> </w:t>
      </w:r>
      <w:r>
        <w:rPr>
          <w:color w:val="231F20"/>
        </w:rPr>
        <w:t>también</w:t>
      </w:r>
      <w:r>
        <w:rPr>
          <w:color w:val="231F20"/>
          <w:spacing w:val="-14"/>
        </w:rPr>
        <w:t> </w:t>
      </w:r>
      <w:r>
        <w:rPr>
          <w:color w:val="231F20"/>
        </w:rPr>
        <w:t>la</w:t>
      </w:r>
      <w:r>
        <w:rPr>
          <w:color w:val="231F20"/>
          <w:spacing w:val="-14"/>
        </w:rPr>
        <w:t> </w:t>
      </w:r>
      <w:r>
        <w:rPr>
          <w:color w:val="231F20"/>
        </w:rPr>
        <w:t>compra del robot quirúrgico Da Vinci Xi Surgical System</w:t>
      </w:r>
      <w:r>
        <w:rPr>
          <w:color w:val="231F20"/>
          <w:spacing w:val="-17"/>
        </w:rPr>
        <w:t> </w:t>
      </w:r>
      <w:r>
        <w:rPr>
          <w:color w:val="231F20"/>
        </w:rPr>
        <w:t>Model</w:t>
      </w:r>
      <w:r>
        <w:rPr>
          <w:color w:val="231F20"/>
          <w:spacing w:val="-16"/>
        </w:rPr>
        <w:t> </w:t>
      </w:r>
      <w:r>
        <w:rPr>
          <w:color w:val="231F20"/>
        </w:rPr>
        <w:t>IS4000,</w:t>
      </w:r>
      <w:r>
        <w:rPr>
          <w:color w:val="231F20"/>
          <w:spacing w:val="-17"/>
        </w:rPr>
        <w:t> </w:t>
      </w:r>
      <w:r>
        <w:rPr>
          <w:color w:val="231F20"/>
        </w:rPr>
        <w:t>privando</w:t>
      </w:r>
      <w:r>
        <w:rPr>
          <w:color w:val="231F20"/>
          <w:spacing w:val="-16"/>
        </w:rPr>
        <w:t> </w:t>
      </w:r>
      <w:r>
        <w:rPr>
          <w:color w:val="231F20"/>
        </w:rPr>
        <w:t>a</w:t>
      </w:r>
      <w:r>
        <w:rPr>
          <w:color w:val="231F20"/>
          <w:spacing w:val="-17"/>
        </w:rPr>
        <w:t> </w:t>
      </w:r>
      <w:r>
        <w:rPr>
          <w:color w:val="231F20"/>
        </w:rPr>
        <w:t>nuestros </w:t>
      </w:r>
      <w:r>
        <w:rPr>
          <w:color w:val="231F20"/>
          <w:spacing w:val="-4"/>
        </w:rPr>
        <w:t>pacientes</w:t>
      </w:r>
      <w:r>
        <w:rPr>
          <w:color w:val="231F20"/>
          <w:spacing w:val="-8"/>
        </w:rPr>
        <w:t> </w:t>
      </w:r>
      <w:r>
        <w:rPr>
          <w:color w:val="231F20"/>
          <w:spacing w:val="-4"/>
        </w:rPr>
        <w:t>de</w:t>
      </w:r>
      <w:r>
        <w:rPr>
          <w:color w:val="231F20"/>
          <w:spacing w:val="-8"/>
        </w:rPr>
        <w:t> </w:t>
      </w:r>
      <w:r>
        <w:rPr>
          <w:color w:val="231F20"/>
          <w:spacing w:val="-4"/>
        </w:rPr>
        <w:t>las</w:t>
      </w:r>
      <w:r>
        <w:rPr>
          <w:color w:val="231F20"/>
          <w:spacing w:val="-8"/>
        </w:rPr>
        <w:t> </w:t>
      </w:r>
      <w:r>
        <w:rPr>
          <w:color w:val="231F20"/>
          <w:spacing w:val="-4"/>
        </w:rPr>
        <w:t>posibilidades</w:t>
      </w:r>
      <w:r>
        <w:rPr>
          <w:color w:val="231F20"/>
          <w:spacing w:val="-8"/>
        </w:rPr>
        <w:t> </w:t>
      </w:r>
      <w:r>
        <w:rPr>
          <w:color w:val="231F20"/>
          <w:spacing w:val="-4"/>
        </w:rPr>
        <w:t>que</w:t>
      </w:r>
      <w:r>
        <w:rPr>
          <w:color w:val="231F20"/>
          <w:spacing w:val="-8"/>
        </w:rPr>
        <w:t> </w:t>
      </w:r>
      <w:r>
        <w:rPr>
          <w:color w:val="231F20"/>
          <w:spacing w:val="-4"/>
        </w:rPr>
        <w:t>ofrece</w:t>
      </w:r>
      <w:r>
        <w:rPr>
          <w:color w:val="231F20"/>
          <w:spacing w:val="-8"/>
        </w:rPr>
        <w:t> </w:t>
      </w:r>
      <w:r>
        <w:rPr>
          <w:color w:val="231F20"/>
          <w:spacing w:val="-4"/>
        </w:rPr>
        <w:t>la </w:t>
      </w:r>
      <w:r>
        <w:rPr>
          <w:color w:val="231F20"/>
        </w:rPr>
        <w:t>cirugía robótica más segura y precisa.</w:t>
      </w:r>
    </w:p>
    <w:p>
      <w:pPr>
        <w:pStyle w:val="BodyText"/>
        <w:spacing w:before="164"/>
        <w:ind w:left="1133"/>
      </w:pPr>
      <w:r>
        <w:rPr>
          <w:color w:val="231F20"/>
        </w:rPr>
        <w:t>Actualmente, resulta en extremo costosa la renovación de la tecnología para el tratamiento terapéutico integral de los pacientes</w:t>
      </w:r>
      <w:r>
        <w:rPr>
          <w:color w:val="231F20"/>
          <w:spacing w:val="80"/>
        </w:rPr>
        <w:t> </w:t>
      </w:r>
      <w:r>
        <w:rPr>
          <w:color w:val="231F20"/>
        </w:rPr>
        <w:t>quemados.</w:t>
      </w:r>
      <w:r>
        <w:rPr>
          <w:color w:val="231F20"/>
          <w:spacing w:val="80"/>
        </w:rPr>
        <w:t> </w:t>
      </w:r>
      <w:r>
        <w:rPr>
          <w:color w:val="231F20"/>
        </w:rPr>
        <w:t>No</w:t>
      </w:r>
      <w:r>
        <w:rPr>
          <w:color w:val="231F20"/>
          <w:spacing w:val="80"/>
        </w:rPr>
        <w:t> </w:t>
      </w:r>
      <w:r>
        <w:rPr>
          <w:color w:val="231F20"/>
        </w:rPr>
        <w:t>se</w:t>
      </w:r>
      <w:r>
        <w:rPr>
          <w:color w:val="231F20"/>
          <w:spacing w:val="80"/>
        </w:rPr>
        <w:t> </w:t>
      </w:r>
      <w:r>
        <w:rPr>
          <w:color w:val="231F20"/>
        </w:rPr>
        <w:t>dispone de bañeras, dermatomos, instrumental quirúrgico</w:t>
      </w:r>
      <w:r>
        <w:rPr>
          <w:color w:val="231F20"/>
          <w:spacing w:val="-17"/>
        </w:rPr>
        <w:t> </w:t>
      </w:r>
      <w:r>
        <w:rPr>
          <w:color w:val="231F20"/>
        </w:rPr>
        <w:t>endoscópico,</w:t>
      </w:r>
      <w:r>
        <w:rPr>
          <w:color w:val="231F20"/>
          <w:spacing w:val="-16"/>
        </w:rPr>
        <w:t> </w:t>
      </w:r>
      <w:r>
        <w:rPr>
          <w:color w:val="231F20"/>
        </w:rPr>
        <w:t>sustitutos</w:t>
      </w:r>
      <w:r>
        <w:rPr>
          <w:color w:val="231F20"/>
          <w:spacing w:val="-17"/>
        </w:rPr>
        <w:t> </w:t>
      </w:r>
      <w:r>
        <w:rPr>
          <w:color w:val="231F20"/>
        </w:rPr>
        <w:t>de</w:t>
      </w:r>
      <w:r>
        <w:rPr>
          <w:color w:val="231F20"/>
          <w:spacing w:val="-16"/>
        </w:rPr>
        <w:t> </w:t>
      </w:r>
      <w:r>
        <w:rPr>
          <w:color w:val="231F20"/>
        </w:rPr>
        <w:t>piel, </w:t>
      </w:r>
      <w:r>
        <w:rPr>
          <w:color w:val="231F20"/>
          <w:spacing w:val="-4"/>
        </w:rPr>
        <w:t>apósitos</w:t>
      </w:r>
      <w:r>
        <w:rPr>
          <w:color w:val="231F20"/>
          <w:spacing w:val="-10"/>
        </w:rPr>
        <w:t> </w:t>
      </w:r>
      <w:r>
        <w:rPr>
          <w:color w:val="231F20"/>
          <w:spacing w:val="-4"/>
        </w:rPr>
        <w:t>biológicos,</w:t>
      </w:r>
      <w:r>
        <w:rPr>
          <w:color w:val="231F20"/>
          <w:spacing w:val="-10"/>
        </w:rPr>
        <w:t> </w:t>
      </w:r>
      <w:r>
        <w:rPr>
          <w:color w:val="231F20"/>
          <w:spacing w:val="-4"/>
        </w:rPr>
        <w:t>soluciones</w:t>
      </w:r>
      <w:r>
        <w:rPr>
          <w:color w:val="231F20"/>
          <w:spacing w:val="-10"/>
        </w:rPr>
        <w:t> </w:t>
      </w:r>
      <w:r>
        <w:rPr>
          <w:color w:val="231F20"/>
          <w:spacing w:val="-4"/>
        </w:rPr>
        <w:t>antisépticas </w:t>
      </w:r>
      <w:r>
        <w:rPr>
          <w:color w:val="231F20"/>
        </w:rPr>
        <w:t>de primera línea para la atención al quemado crítico.</w:t>
      </w:r>
    </w:p>
    <w:p>
      <w:pPr>
        <w:pStyle w:val="BodyText"/>
        <w:spacing w:before="167"/>
        <w:ind w:left="1133"/>
      </w:pPr>
      <w:r>
        <w:rPr>
          <w:color w:val="231F20"/>
        </w:rPr>
        <w:t>Los bancos suizos UBS, Banque Cler y Banco Cantonal de Basilea se negaron a </w:t>
      </w:r>
      <w:r>
        <w:rPr>
          <w:color w:val="231F20"/>
          <w:spacing w:val="-4"/>
        </w:rPr>
        <w:t>transferir</w:t>
      </w:r>
      <w:r>
        <w:rPr>
          <w:color w:val="231F20"/>
          <w:spacing w:val="-7"/>
        </w:rPr>
        <w:t> </w:t>
      </w:r>
      <w:r>
        <w:rPr>
          <w:color w:val="231F20"/>
          <w:spacing w:val="-4"/>
        </w:rPr>
        <w:t>donaciones</w:t>
      </w:r>
      <w:r>
        <w:rPr>
          <w:color w:val="231F20"/>
          <w:spacing w:val="-7"/>
        </w:rPr>
        <w:t> </w:t>
      </w:r>
      <w:r>
        <w:rPr>
          <w:color w:val="231F20"/>
          <w:spacing w:val="-4"/>
        </w:rPr>
        <w:t>realizadas</w:t>
      </w:r>
      <w:r>
        <w:rPr>
          <w:color w:val="231F20"/>
          <w:spacing w:val="-7"/>
        </w:rPr>
        <w:t> </w:t>
      </w:r>
      <w:r>
        <w:rPr>
          <w:color w:val="231F20"/>
          <w:spacing w:val="-4"/>
        </w:rPr>
        <w:t>a</w:t>
      </w:r>
      <w:r>
        <w:rPr>
          <w:color w:val="231F20"/>
          <w:spacing w:val="-7"/>
        </w:rPr>
        <w:t> </w:t>
      </w:r>
      <w:r>
        <w:rPr>
          <w:color w:val="231F20"/>
          <w:spacing w:val="-4"/>
        </w:rPr>
        <w:t>Cuba</w:t>
      </w:r>
      <w:r>
        <w:rPr>
          <w:color w:val="231F20"/>
          <w:spacing w:val="-7"/>
        </w:rPr>
        <w:t> </w:t>
      </w:r>
      <w:r>
        <w:rPr>
          <w:color w:val="231F20"/>
          <w:spacing w:val="-4"/>
        </w:rPr>
        <w:t>por las</w:t>
      </w:r>
      <w:r>
        <w:rPr>
          <w:color w:val="231F20"/>
          <w:spacing w:val="-13"/>
        </w:rPr>
        <w:t> </w:t>
      </w:r>
      <w:r>
        <w:rPr>
          <w:color w:val="231F20"/>
          <w:spacing w:val="-4"/>
        </w:rPr>
        <w:t>organizaciones</w:t>
      </w:r>
      <w:r>
        <w:rPr>
          <w:color w:val="231F20"/>
          <w:spacing w:val="-12"/>
        </w:rPr>
        <w:t> </w:t>
      </w:r>
      <w:r>
        <w:rPr>
          <w:color w:val="231F20"/>
          <w:spacing w:val="-4"/>
        </w:rPr>
        <w:t>de</w:t>
      </w:r>
      <w:r>
        <w:rPr>
          <w:color w:val="231F20"/>
          <w:spacing w:val="-13"/>
        </w:rPr>
        <w:t> </w:t>
      </w:r>
      <w:r>
        <w:rPr>
          <w:color w:val="231F20"/>
          <w:spacing w:val="-4"/>
        </w:rPr>
        <w:t>solidaridad</w:t>
      </w:r>
      <w:r>
        <w:rPr>
          <w:color w:val="231F20"/>
          <w:spacing w:val="-12"/>
        </w:rPr>
        <w:t> </w:t>
      </w:r>
      <w:r>
        <w:rPr>
          <w:color w:val="231F20"/>
          <w:spacing w:val="-4"/>
        </w:rPr>
        <w:t>helvéticas </w:t>
      </w:r>
      <w:r>
        <w:rPr>
          <w:color w:val="231F20"/>
        </w:rPr>
        <w:t>MediCuba-Suiza</w:t>
      </w:r>
      <w:r>
        <w:rPr>
          <w:color w:val="231F20"/>
          <w:spacing w:val="-16"/>
        </w:rPr>
        <w:t> </w:t>
      </w:r>
      <w:r>
        <w:rPr>
          <w:color w:val="231F20"/>
        </w:rPr>
        <w:t>y</w:t>
      </w:r>
      <w:r>
        <w:rPr>
          <w:color w:val="231F20"/>
          <w:spacing w:val="-16"/>
        </w:rPr>
        <w:t> </w:t>
      </w:r>
      <w:r>
        <w:rPr>
          <w:color w:val="231F20"/>
        </w:rPr>
        <w:t>Asociación</w:t>
      </w:r>
      <w:r>
        <w:rPr>
          <w:color w:val="231F20"/>
          <w:spacing w:val="-16"/>
        </w:rPr>
        <w:t> </w:t>
      </w:r>
      <w:r>
        <w:rPr>
          <w:color w:val="231F20"/>
        </w:rPr>
        <w:t>Suiza-Cuba, que serían destinadas a la compra de instrumental quirúrgico para la unidad</w:t>
      </w:r>
      <w:r>
        <w:rPr>
          <w:color w:val="231F20"/>
          <w:spacing w:val="80"/>
        </w:rPr>
        <w:t> </w:t>
      </w:r>
      <w:r>
        <w:rPr>
          <w:color w:val="231F20"/>
        </w:rPr>
        <w:t>de quemados y cirugía reconstructiva del Hospital Hermanos Ameijeiras.</w:t>
      </w:r>
    </w:p>
    <w:p>
      <w:pPr>
        <w:pStyle w:val="BodyText"/>
        <w:spacing w:before="167"/>
        <w:ind w:left="1133" w:right="2"/>
      </w:pPr>
      <w:r>
        <w:rPr>
          <w:color w:val="231F20"/>
        </w:rPr>
        <w:t>Durante el período que cubre el presente informe, se canceló la ejecución de un </w:t>
      </w:r>
      <w:r>
        <w:rPr>
          <w:color w:val="231F20"/>
          <w:spacing w:val="-6"/>
        </w:rPr>
        <w:t>contrato</w:t>
      </w:r>
      <w:r>
        <w:rPr>
          <w:color w:val="231F20"/>
          <w:spacing w:val="-10"/>
        </w:rPr>
        <w:t> </w:t>
      </w:r>
      <w:r>
        <w:rPr>
          <w:color w:val="231F20"/>
          <w:spacing w:val="-6"/>
        </w:rPr>
        <w:t>de</w:t>
      </w:r>
      <w:r>
        <w:rPr>
          <w:color w:val="231F20"/>
          <w:spacing w:val="-10"/>
        </w:rPr>
        <w:t> </w:t>
      </w:r>
      <w:r>
        <w:rPr>
          <w:color w:val="231F20"/>
          <w:spacing w:val="-6"/>
        </w:rPr>
        <w:t>gases</w:t>
      </w:r>
      <w:r>
        <w:rPr>
          <w:color w:val="231F20"/>
          <w:spacing w:val="-10"/>
        </w:rPr>
        <w:t> </w:t>
      </w:r>
      <w:r>
        <w:rPr>
          <w:color w:val="231F20"/>
          <w:spacing w:val="-6"/>
        </w:rPr>
        <w:t>con</w:t>
      </w:r>
      <w:r>
        <w:rPr>
          <w:color w:val="231F20"/>
          <w:spacing w:val="-10"/>
        </w:rPr>
        <w:t> </w:t>
      </w:r>
      <w:r>
        <w:rPr>
          <w:color w:val="231F20"/>
          <w:spacing w:val="-6"/>
        </w:rPr>
        <w:t>la</w:t>
      </w:r>
      <w:r>
        <w:rPr>
          <w:color w:val="231F20"/>
          <w:spacing w:val="-10"/>
        </w:rPr>
        <w:t> </w:t>
      </w:r>
      <w:r>
        <w:rPr>
          <w:color w:val="231F20"/>
          <w:spacing w:val="-6"/>
        </w:rPr>
        <w:t>compañía</w:t>
      </w:r>
      <w:r>
        <w:rPr>
          <w:color w:val="231F20"/>
          <w:spacing w:val="-10"/>
        </w:rPr>
        <w:t> </w:t>
      </w:r>
      <w:r>
        <w:rPr>
          <w:color w:val="231F20"/>
          <w:spacing w:val="-6"/>
        </w:rPr>
        <w:t>alemana </w:t>
      </w:r>
      <w:r>
        <w:rPr>
          <w:color w:val="231F20"/>
          <w:spacing w:val="-2"/>
        </w:rPr>
        <w:t>Westfalen</w:t>
      </w:r>
      <w:r>
        <w:rPr>
          <w:color w:val="231F20"/>
          <w:spacing w:val="-15"/>
        </w:rPr>
        <w:t> </w:t>
      </w:r>
      <w:r>
        <w:rPr>
          <w:color w:val="231F20"/>
          <w:spacing w:val="-2"/>
        </w:rPr>
        <w:t>AG</w:t>
      </w:r>
      <w:r>
        <w:rPr>
          <w:color w:val="231F20"/>
          <w:spacing w:val="-14"/>
        </w:rPr>
        <w:t> </w:t>
      </w:r>
      <w:r>
        <w:rPr>
          <w:color w:val="231F20"/>
          <w:spacing w:val="-2"/>
        </w:rPr>
        <w:t>para</w:t>
      </w:r>
      <w:r>
        <w:rPr>
          <w:color w:val="231F20"/>
          <w:spacing w:val="-15"/>
        </w:rPr>
        <w:t> </w:t>
      </w:r>
      <w:r>
        <w:rPr>
          <w:color w:val="231F20"/>
          <w:spacing w:val="-2"/>
        </w:rPr>
        <w:t>la</w:t>
      </w:r>
      <w:r>
        <w:rPr>
          <w:color w:val="231F20"/>
          <w:spacing w:val="-14"/>
        </w:rPr>
        <w:t> </w:t>
      </w:r>
      <w:r>
        <w:rPr>
          <w:color w:val="231F20"/>
          <w:spacing w:val="-2"/>
        </w:rPr>
        <w:t>puesta</w:t>
      </w:r>
      <w:r>
        <w:rPr>
          <w:color w:val="231F20"/>
          <w:spacing w:val="-15"/>
        </w:rPr>
        <w:t> </w:t>
      </w:r>
      <w:r>
        <w:rPr>
          <w:color w:val="231F20"/>
          <w:spacing w:val="-2"/>
        </w:rPr>
        <w:t>en</w:t>
      </w:r>
      <w:r>
        <w:rPr>
          <w:color w:val="231F20"/>
          <w:spacing w:val="-14"/>
        </w:rPr>
        <w:t> </w:t>
      </w:r>
      <w:r>
        <w:rPr>
          <w:color w:val="231F20"/>
          <w:spacing w:val="-2"/>
        </w:rPr>
        <w:t>marcha</w:t>
      </w:r>
      <w:r>
        <w:rPr>
          <w:color w:val="231F20"/>
          <w:spacing w:val="-15"/>
        </w:rPr>
        <w:t> </w:t>
      </w:r>
      <w:r>
        <w:rPr>
          <w:color w:val="231F20"/>
          <w:spacing w:val="-2"/>
        </w:rPr>
        <w:t>del </w:t>
      </w:r>
      <w:r>
        <w:rPr>
          <w:color w:val="231F20"/>
          <w:spacing w:val="-6"/>
        </w:rPr>
        <w:t>capnógrafo,</w:t>
      </w:r>
      <w:r>
        <w:rPr>
          <w:color w:val="231F20"/>
          <w:spacing w:val="-11"/>
        </w:rPr>
        <w:t> </w:t>
      </w:r>
      <w:r>
        <w:rPr>
          <w:color w:val="231F20"/>
          <w:spacing w:val="-6"/>
        </w:rPr>
        <w:t>equipo</w:t>
      </w:r>
      <w:r>
        <w:rPr>
          <w:color w:val="231F20"/>
          <w:spacing w:val="-10"/>
        </w:rPr>
        <w:t> </w:t>
      </w:r>
      <w:r>
        <w:rPr>
          <w:color w:val="231F20"/>
          <w:spacing w:val="-6"/>
        </w:rPr>
        <w:t>destinado</w:t>
      </w:r>
      <w:r>
        <w:rPr>
          <w:color w:val="231F20"/>
          <w:spacing w:val="-11"/>
        </w:rPr>
        <w:t> </w:t>
      </w:r>
      <w:r>
        <w:rPr>
          <w:color w:val="231F20"/>
          <w:spacing w:val="-6"/>
        </w:rPr>
        <w:t>a</w:t>
      </w:r>
      <w:r>
        <w:rPr>
          <w:color w:val="231F20"/>
          <w:spacing w:val="-10"/>
        </w:rPr>
        <w:t> </w:t>
      </w:r>
      <w:r>
        <w:rPr>
          <w:color w:val="231F20"/>
          <w:spacing w:val="-6"/>
        </w:rPr>
        <w:t>la</w:t>
      </w:r>
      <w:r>
        <w:rPr>
          <w:color w:val="231F20"/>
          <w:spacing w:val="-11"/>
        </w:rPr>
        <w:t> </w:t>
      </w:r>
      <w:r>
        <w:rPr>
          <w:color w:val="231F20"/>
          <w:spacing w:val="-6"/>
        </w:rPr>
        <w:t>medición </w:t>
      </w:r>
      <w:r>
        <w:rPr>
          <w:color w:val="231F20"/>
        </w:rPr>
        <w:t>del dióxido de carbono exhalado por el paciente. El proveedor alegó que, como consecuencia del bloqueo, podrían ser </w:t>
      </w:r>
      <w:r>
        <w:rPr>
          <w:color w:val="231F20"/>
          <w:spacing w:val="-10"/>
        </w:rPr>
        <w:t>incluidos</w:t>
      </w:r>
      <w:r>
        <w:rPr>
          <w:color w:val="231F20"/>
          <w:spacing w:val="-7"/>
        </w:rPr>
        <w:t> </w:t>
      </w:r>
      <w:r>
        <w:rPr>
          <w:color w:val="231F20"/>
          <w:spacing w:val="-10"/>
        </w:rPr>
        <w:t>en</w:t>
      </w:r>
      <w:r>
        <w:rPr>
          <w:color w:val="231F20"/>
          <w:spacing w:val="-6"/>
        </w:rPr>
        <w:t> </w:t>
      </w:r>
      <w:r>
        <w:rPr>
          <w:color w:val="231F20"/>
          <w:spacing w:val="-10"/>
        </w:rPr>
        <w:t>una</w:t>
      </w:r>
      <w:r>
        <w:rPr>
          <w:color w:val="231F20"/>
          <w:spacing w:val="-7"/>
        </w:rPr>
        <w:t> </w:t>
      </w:r>
      <w:r>
        <w:rPr>
          <w:color w:val="231F20"/>
          <w:spacing w:val="-10"/>
        </w:rPr>
        <w:t>lista</w:t>
      </w:r>
      <w:r>
        <w:rPr>
          <w:color w:val="231F20"/>
          <w:spacing w:val="-6"/>
        </w:rPr>
        <w:t> </w:t>
      </w:r>
      <w:r>
        <w:rPr>
          <w:color w:val="231F20"/>
          <w:spacing w:val="-10"/>
        </w:rPr>
        <w:t>negra,</w:t>
      </w:r>
      <w:r>
        <w:rPr>
          <w:color w:val="231F20"/>
          <w:spacing w:val="-7"/>
        </w:rPr>
        <w:t> </w:t>
      </w:r>
      <w:r>
        <w:rPr>
          <w:color w:val="231F20"/>
          <w:spacing w:val="-10"/>
        </w:rPr>
        <w:t>lo</w:t>
      </w:r>
      <w:r>
        <w:rPr>
          <w:color w:val="231F20"/>
          <w:spacing w:val="-6"/>
        </w:rPr>
        <w:t> </w:t>
      </w:r>
      <w:r>
        <w:rPr>
          <w:color w:val="231F20"/>
          <w:spacing w:val="-10"/>
        </w:rPr>
        <w:t>que</w:t>
      </w:r>
      <w:r>
        <w:rPr>
          <w:color w:val="231F20"/>
          <w:spacing w:val="-7"/>
        </w:rPr>
        <w:t> </w:t>
      </w:r>
      <w:r>
        <w:rPr>
          <w:color w:val="231F20"/>
          <w:spacing w:val="-10"/>
        </w:rPr>
        <w:t>significaría </w:t>
      </w:r>
      <w:r>
        <w:rPr>
          <w:color w:val="231F20"/>
        </w:rPr>
        <w:t>no obtener suministros de ninguna otra compañía de los Estados Unidos.</w:t>
      </w:r>
    </w:p>
    <w:p>
      <w:pPr>
        <w:pStyle w:val="BodyText"/>
        <w:spacing w:before="77"/>
        <w:ind w:left="412" w:right="1472"/>
      </w:pPr>
      <w:r>
        <w:rPr/>
        <w:br w:type="column"/>
      </w:r>
      <w:r>
        <w:rPr>
          <w:color w:val="231F20"/>
        </w:rPr>
        <w:t>La</w:t>
      </w:r>
      <w:r>
        <w:rPr>
          <w:color w:val="231F20"/>
          <w:spacing w:val="-10"/>
        </w:rPr>
        <w:t> </w:t>
      </w:r>
      <w:r>
        <w:rPr>
          <w:color w:val="231F20"/>
        </w:rPr>
        <w:t>Empresa</w:t>
      </w:r>
      <w:r>
        <w:rPr>
          <w:color w:val="231F20"/>
          <w:spacing w:val="-10"/>
        </w:rPr>
        <w:t> </w:t>
      </w:r>
      <w:r>
        <w:rPr>
          <w:color w:val="231F20"/>
        </w:rPr>
        <w:t>cubana</w:t>
      </w:r>
      <w:r>
        <w:rPr>
          <w:color w:val="231F20"/>
          <w:spacing w:val="-10"/>
        </w:rPr>
        <w:t> </w:t>
      </w:r>
      <w:r>
        <w:rPr>
          <w:color w:val="231F20"/>
        </w:rPr>
        <w:t>de</w:t>
      </w:r>
      <w:r>
        <w:rPr>
          <w:color w:val="231F20"/>
          <w:spacing w:val="-10"/>
        </w:rPr>
        <w:t> </w:t>
      </w:r>
      <w:r>
        <w:rPr>
          <w:color w:val="231F20"/>
        </w:rPr>
        <w:t>Tecnología</w:t>
      </w:r>
      <w:r>
        <w:rPr>
          <w:color w:val="231F20"/>
          <w:spacing w:val="-10"/>
        </w:rPr>
        <w:t> </w:t>
      </w:r>
      <w:r>
        <w:rPr>
          <w:color w:val="231F20"/>
        </w:rPr>
        <w:t>Médica Digital, Combiomed, ha enfrentado </w:t>
      </w:r>
      <w:r>
        <w:rPr>
          <w:color w:val="231F20"/>
          <w:spacing w:val="-4"/>
        </w:rPr>
        <w:t>dificultades</w:t>
      </w:r>
      <w:r>
        <w:rPr>
          <w:color w:val="231F20"/>
          <w:spacing w:val="-11"/>
        </w:rPr>
        <w:t> </w:t>
      </w:r>
      <w:r>
        <w:rPr>
          <w:color w:val="231F20"/>
          <w:spacing w:val="-4"/>
        </w:rPr>
        <w:t>para</w:t>
      </w:r>
      <w:r>
        <w:rPr>
          <w:color w:val="231F20"/>
          <w:spacing w:val="-10"/>
        </w:rPr>
        <w:t> </w:t>
      </w:r>
      <w:r>
        <w:rPr>
          <w:color w:val="231F20"/>
          <w:spacing w:val="-4"/>
        </w:rPr>
        <w:t>adquirir</w:t>
      </w:r>
      <w:r>
        <w:rPr>
          <w:color w:val="231F20"/>
          <w:spacing w:val="-10"/>
        </w:rPr>
        <w:t> </w:t>
      </w:r>
      <w:r>
        <w:rPr>
          <w:color w:val="231F20"/>
          <w:spacing w:val="-4"/>
        </w:rPr>
        <w:t>las</w:t>
      </w:r>
      <w:r>
        <w:rPr>
          <w:color w:val="231F20"/>
          <w:spacing w:val="-11"/>
        </w:rPr>
        <w:t> </w:t>
      </w:r>
      <w:r>
        <w:rPr>
          <w:color w:val="231F20"/>
          <w:spacing w:val="-4"/>
        </w:rPr>
        <w:t>partes</w:t>
      </w:r>
      <w:r>
        <w:rPr>
          <w:color w:val="231F20"/>
          <w:spacing w:val="-11"/>
        </w:rPr>
        <w:t> </w:t>
      </w:r>
      <w:r>
        <w:rPr>
          <w:color w:val="231F20"/>
          <w:spacing w:val="-4"/>
        </w:rPr>
        <w:t>y</w:t>
      </w:r>
      <w:r>
        <w:rPr>
          <w:color w:val="231F20"/>
          <w:spacing w:val="-11"/>
        </w:rPr>
        <w:t> </w:t>
      </w:r>
      <w:r>
        <w:rPr>
          <w:color w:val="231F20"/>
          <w:spacing w:val="-4"/>
        </w:rPr>
        <w:t>piezas de</w:t>
      </w:r>
      <w:r>
        <w:rPr>
          <w:color w:val="231F20"/>
          <w:spacing w:val="-10"/>
        </w:rPr>
        <w:t> </w:t>
      </w:r>
      <w:r>
        <w:rPr>
          <w:color w:val="231F20"/>
          <w:spacing w:val="-4"/>
        </w:rPr>
        <w:t>los</w:t>
      </w:r>
      <w:r>
        <w:rPr>
          <w:color w:val="231F20"/>
          <w:spacing w:val="-10"/>
        </w:rPr>
        <w:t> </w:t>
      </w:r>
      <w:r>
        <w:rPr>
          <w:color w:val="231F20"/>
          <w:spacing w:val="-4"/>
        </w:rPr>
        <w:t>equipos</w:t>
      </w:r>
      <w:r>
        <w:rPr>
          <w:color w:val="231F20"/>
          <w:spacing w:val="-10"/>
        </w:rPr>
        <w:t> </w:t>
      </w:r>
      <w:r>
        <w:rPr>
          <w:color w:val="231F20"/>
          <w:spacing w:val="-4"/>
        </w:rPr>
        <w:t>de</w:t>
      </w:r>
      <w:r>
        <w:rPr>
          <w:color w:val="231F20"/>
          <w:spacing w:val="-10"/>
        </w:rPr>
        <w:t> </w:t>
      </w:r>
      <w:r>
        <w:rPr>
          <w:color w:val="231F20"/>
          <w:spacing w:val="-4"/>
        </w:rPr>
        <w:t>automedición</w:t>
      </w:r>
      <w:r>
        <w:rPr>
          <w:color w:val="231F20"/>
          <w:spacing w:val="-10"/>
        </w:rPr>
        <w:t> </w:t>
      </w:r>
      <w:r>
        <w:rPr>
          <w:color w:val="231F20"/>
          <w:spacing w:val="-4"/>
        </w:rPr>
        <w:t>de</w:t>
      </w:r>
      <w:r>
        <w:rPr>
          <w:color w:val="231F20"/>
          <w:spacing w:val="-10"/>
        </w:rPr>
        <w:t> </w:t>
      </w:r>
      <w:r>
        <w:rPr>
          <w:color w:val="231F20"/>
          <w:spacing w:val="-4"/>
        </w:rPr>
        <w:t>presión </w:t>
      </w:r>
      <w:r>
        <w:rPr>
          <w:color w:val="231F20"/>
        </w:rPr>
        <w:t>arterial Hipermax BF y los módulos de oximetría para la producción del monitor de pacientes Doctus VIII requerido en las salas</w:t>
      </w:r>
      <w:r>
        <w:rPr>
          <w:color w:val="231F20"/>
          <w:spacing w:val="-3"/>
        </w:rPr>
        <w:t> </w:t>
      </w:r>
      <w:r>
        <w:rPr>
          <w:color w:val="231F20"/>
        </w:rPr>
        <w:t>de</w:t>
      </w:r>
      <w:r>
        <w:rPr>
          <w:color w:val="231F20"/>
          <w:spacing w:val="-3"/>
        </w:rPr>
        <w:t> </w:t>
      </w:r>
      <w:r>
        <w:rPr>
          <w:color w:val="231F20"/>
        </w:rPr>
        <w:t>terapia</w:t>
      </w:r>
      <w:r>
        <w:rPr>
          <w:color w:val="231F20"/>
          <w:spacing w:val="-4"/>
        </w:rPr>
        <w:t> </w:t>
      </w:r>
      <w:r>
        <w:rPr>
          <w:color w:val="231F20"/>
        </w:rPr>
        <w:t>intensiva,</w:t>
      </w:r>
      <w:r>
        <w:rPr>
          <w:color w:val="231F20"/>
          <w:spacing w:val="-3"/>
        </w:rPr>
        <w:t> </w:t>
      </w:r>
      <w:r>
        <w:rPr>
          <w:color w:val="231F20"/>
        </w:rPr>
        <w:t>debido</w:t>
      </w:r>
      <w:r>
        <w:rPr>
          <w:color w:val="231F20"/>
          <w:spacing w:val="-3"/>
        </w:rPr>
        <w:t> </w:t>
      </w:r>
      <w:r>
        <w:rPr>
          <w:color w:val="231F20"/>
        </w:rPr>
        <w:t>a</w:t>
      </w:r>
      <w:r>
        <w:rPr>
          <w:color w:val="231F20"/>
          <w:spacing w:val="-4"/>
        </w:rPr>
        <w:t> </w:t>
      </w:r>
      <w:r>
        <w:rPr>
          <w:color w:val="231F20"/>
        </w:rPr>
        <w:t>que</w:t>
      </w:r>
      <w:r>
        <w:rPr>
          <w:color w:val="231F20"/>
          <w:spacing w:val="-3"/>
        </w:rPr>
        <w:t> </w:t>
      </w:r>
      <w:r>
        <w:rPr>
          <w:color w:val="231F20"/>
        </w:rPr>
        <w:t>el </w:t>
      </w:r>
      <w:r>
        <w:rPr>
          <w:color w:val="231F20"/>
          <w:spacing w:val="-2"/>
        </w:rPr>
        <w:t>transportista</w:t>
      </w:r>
      <w:r>
        <w:rPr>
          <w:color w:val="231F20"/>
          <w:spacing w:val="-11"/>
        </w:rPr>
        <w:t> </w:t>
      </w:r>
      <w:r>
        <w:rPr>
          <w:color w:val="231F20"/>
          <w:spacing w:val="-2"/>
        </w:rPr>
        <w:t>ha</w:t>
      </w:r>
      <w:r>
        <w:rPr>
          <w:color w:val="231F20"/>
          <w:spacing w:val="-11"/>
        </w:rPr>
        <w:t> </w:t>
      </w:r>
      <w:r>
        <w:rPr>
          <w:color w:val="231F20"/>
          <w:spacing w:val="-2"/>
        </w:rPr>
        <w:t>alegado</w:t>
      </w:r>
      <w:r>
        <w:rPr>
          <w:color w:val="231F20"/>
          <w:spacing w:val="-11"/>
        </w:rPr>
        <w:t> </w:t>
      </w:r>
      <w:r>
        <w:rPr>
          <w:color w:val="231F20"/>
          <w:spacing w:val="-2"/>
        </w:rPr>
        <w:t>que</w:t>
      </w:r>
      <w:r>
        <w:rPr>
          <w:color w:val="231F20"/>
          <w:spacing w:val="-11"/>
        </w:rPr>
        <w:t> </w:t>
      </w:r>
      <w:r>
        <w:rPr>
          <w:color w:val="231F20"/>
          <w:spacing w:val="-2"/>
        </w:rPr>
        <w:t>esta</w:t>
      </w:r>
      <w:r>
        <w:rPr>
          <w:color w:val="231F20"/>
          <w:spacing w:val="-11"/>
        </w:rPr>
        <w:t> </w:t>
      </w:r>
      <w:r>
        <w:rPr>
          <w:color w:val="231F20"/>
          <w:spacing w:val="-2"/>
        </w:rPr>
        <w:t>empresa </w:t>
      </w:r>
      <w:r>
        <w:rPr>
          <w:color w:val="231F20"/>
        </w:rPr>
        <w:t>se encuentra en la lista de entidades sancionadas por los Estados Unidos.</w:t>
      </w:r>
    </w:p>
    <w:p>
      <w:pPr>
        <w:pStyle w:val="BodyText"/>
        <w:spacing w:before="168"/>
        <w:ind w:left="412" w:right="1473"/>
      </w:pPr>
      <w:r>
        <w:rPr>
          <w:color w:val="231F20"/>
          <w:spacing w:val="-4"/>
        </w:rPr>
        <w:t>En</w:t>
      </w:r>
      <w:r>
        <w:rPr>
          <w:color w:val="231F20"/>
          <w:spacing w:val="-13"/>
        </w:rPr>
        <w:t> </w:t>
      </w:r>
      <w:r>
        <w:rPr>
          <w:color w:val="231F20"/>
          <w:spacing w:val="-4"/>
        </w:rPr>
        <w:t>el</w:t>
      </w:r>
      <w:r>
        <w:rPr>
          <w:color w:val="231F20"/>
          <w:spacing w:val="-12"/>
        </w:rPr>
        <w:t> </w:t>
      </w:r>
      <w:r>
        <w:rPr>
          <w:color w:val="231F20"/>
          <w:spacing w:val="-4"/>
        </w:rPr>
        <w:t>área</w:t>
      </w:r>
      <w:r>
        <w:rPr>
          <w:color w:val="231F20"/>
          <w:spacing w:val="-13"/>
        </w:rPr>
        <w:t> </w:t>
      </w:r>
      <w:r>
        <w:rPr>
          <w:color w:val="231F20"/>
          <w:spacing w:val="-4"/>
        </w:rPr>
        <w:t>de</w:t>
      </w:r>
      <w:r>
        <w:rPr>
          <w:color w:val="231F20"/>
          <w:spacing w:val="-12"/>
        </w:rPr>
        <w:t> </w:t>
      </w:r>
      <w:r>
        <w:rPr>
          <w:color w:val="231F20"/>
          <w:spacing w:val="-4"/>
        </w:rPr>
        <w:t>la</w:t>
      </w:r>
      <w:r>
        <w:rPr>
          <w:color w:val="231F20"/>
          <w:spacing w:val="-13"/>
        </w:rPr>
        <w:t> </w:t>
      </w:r>
      <w:r>
        <w:rPr>
          <w:color w:val="231F20"/>
          <w:spacing w:val="-4"/>
        </w:rPr>
        <w:t>atención</w:t>
      </w:r>
      <w:r>
        <w:rPr>
          <w:color w:val="231F20"/>
          <w:spacing w:val="-12"/>
        </w:rPr>
        <w:t> </w:t>
      </w:r>
      <w:r>
        <w:rPr>
          <w:color w:val="231F20"/>
          <w:spacing w:val="-4"/>
        </w:rPr>
        <w:t>estomatológica</w:t>
      </w:r>
      <w:r>
        <w:rPr>
          <w:color w:val="231F20"/>
          <w:spacing w:val="-13"/>
        </w:rPr>
        <w:t> </w:t>
      </w:r>
      <w:r>
        <w:rPr>
          <w:color w:val="231F20"/>
          <w:spacing w:val="-4"/>
        </w:rPr>
        <w:t>las </w:t>
      </w:r>
      <w:r>
        <w:rPr>
          <w:color w:val="231F20"/>
        </w:rPr>
        <w:t>afectaciones han sido sustanciales. Se ha </w:t>
      </w:r>
      <w:r>
        <w:rPr>
          <w:color w:val="231F20"/>
          <w:spacing w:val="-2"/>
        </w:rPr>
        <w:t>confrontado</w:t>
      </w:r>
      <w:r>
        <w:rPr>
          <w:color w:val="231F20"/>
          <w:spacing w:val="-5"/>
        </w:rPr>
        <w:t> </w:t>
      </w:r>
      <w:r>
        <w:rPr>
          <w:color w:val="231F20"/>
          <w:spacing w:val="-2"/>
        </w:rPr>
        <w:t>una</w:t>
      </w:r>
      <w:r>
        <w:rPr>
          <w:color w:val="231F20"/>
          <w:spacing w:val="-5"/>
        </w:rPr>
        <w:t> </w:t>
      </w:r>
      <w:r>
        <w:rPr>
          <w:color w:val="231F20"/>
          <w:spacing w:val="-2"/>
        </w:rPr>
        <w:t>significativa</w:t>
      </w:r>
      <w:r>
        <w:rPr>
          <w:color w:val="231F20"/>
          <w:spacing w:val="-5"/>
        </w:rPr>
        <w:t> </w:t>
      </w:r>
      <w:r>
        <w:rPr>
          <w:color w:val="231F20"/>
          <w:spacing w:val="-2"/>
        </w:rPr>
        <w:t>inestabilidad </w:t>
      </w:r>
      <w:r>
        <w:rPr>
          <w:color w:val="231F20"/>
        </w:rPr>
        <w:t>en</w:t>
      </w:r>
      <w:r>
        <w:rPr>
          <w:color w:val="231F20"/>
          <w:spacing w:val="40"/>
        </w:rPr>
        <w:t> </w:t>
      </w:r>
      <w:r>
        <w:rPr>
          <w:color w:val="231F20"/>
        </w:rPr>
        <w:t>el</w:t>
      </w:r>
      <w:r>
        <w:rPr>
          <w:color w:val="231F20"/>
          <w:spacing w:val="40"/>
        </w:rPr>
        <w:t> </w:t>
      </w:r>
      <w:r>
        <w:rPr>
          <w:color w:val="231F20"/>
        </w:rPr>
        <w:t>suministro</w:t>
      </w:r>
      <w:r>
        <w:rPr>
          <w:color w:val="231F20"/>
          <w:spacing w:val="40"/>
        </w:rPr>
        <w:t> </w:t>
      </w:r>
      <w:r>
        <w:rPr>
          <w:color w:val="231F20"/>
        </w:rPr>
        <w:t>de</w:t>
      </w:r>
      <w:r>
        <w:rPr>
          <w:color w:val="231F20"/>
          <w:spacing w:val="40"/>
        </w:rPr>
        <w:t> </w:t>
      </w:r>
      <w:r>
        <w:rPr>
          <w:color w:val="231F20"/>
        </w:rPr>
        <w:t>guantes</w:t>
      </w:r>
      <w:r>
        <w:rPr>
          <w:color w:val="231F20"/>
          <w:spacing w:val="40"/>
        </w:rPr>
        <w:t> </w:t>
      </w:r>
      <w:r>
        <w:rPr>
          <w:color w:val="231F20"/>
        </w:rPr>
        <w:t>quirúrgicos y de examen, alginatos, yeso y cementos dentales, entre otros. En el período, se dejaron</w:t>
      </w:r>
      <w:r>
        <w:rPr>
          <w:color w:val="231F20"/>
          <w:spacing w:val="-4"/>
        </w:rPr>
        <w:t> </w:t>
      </w:r>
      <w:r>
        <w:rPr>
          <w:color w:val="231F20"/>
        </w:rPr>
        <w:t>de</w:t>
      </w:r>
      <w:r>
        <w:rPr>
          <w:color w:val="231F20"/>
          <w:spacing w:val="-4"/>
        </w:rPr>
        <w:t> </w:t>
      </w:r>
      <w:r>
        <w:rPr>
          <w:color w:val="231F20"/>
        </w:rPr>
        <w:t>producir</w:t>
      </w:r>
      <w:r>
        <w:rPr>
          <w:color w:val="231F20"/>
          <w:spacing w:val="-4"/>
        </w:rPr>
        <w:t> </w:t>
      </w:r>
      <w:r>
        <w:rPr>
          <w:color w:val="231F20"/>
        </w:rPr>
        <w:t>más</w:t>
      </w:r>
      <w:r>
        <w:rPr>
          <w:color w:val="231F20"/>
          <w:spacing w:val="-4"/>
        </w:rPr>
        <w:t> </w:t>
      </w:r>
      <w:r>
        <w:rPr>
          <w:color w:val="231F20"/>
        </w:rPr>
        <w:t>de</w:t>
      </w:r>
      <w:r>
        <w:rPr>
          <w:color w:val="231F20"/>
          <w:spacing w:val="-4"/>
        </w:rPr>
        <w:t> </w:t>
      </w:r>
      <w:r>
        <w:rPr>
          <w:color w:val="231F20"/>
        </w:rPr>
        <w:t>300</w:t>
      </w:r>
      <w:r>
        <w:rPr>
          <w:color w:val="231F20"/>
          <w:spacing w:val="-4"/>
        </w:rPr>
        <w:t> </w:t>
      </w:r>
      <w:r>
        <w:rPr>
          <w:color w:val="231F20"/>
        </w:rPr>
        <w:t>unidades físicas de prótesis dentales.</w:t>
      </w:r>
    </w:p>
    <w:p>
      <w:pPr>
        <w:pStyle w:val="BodyText"/>
        <w:spacing w:before="167"/>
        <w:ind w:left="412" w:right="1471"/>
      </w:pPr>
      <w:r>
        <w:rPr>
          <w:color w:val="231F20"/>
        </w:rPr>
        <w:t>En adición, el gobierno estadounidense ha continuado su campaña de odio para intentar desacreditar y obstaculizar la cooperación médica internacional que Cuba ofrece, divulgando calumnias y disuadiendo a otros Estados para que se abstengan de solicitarla. Es parte de un ataque deliberado para privar a Cuba de los ingresos justos, honestos y legítimos que, con su esfuerzo, aseguran miles de </w:t>
      </w:r>
      <w:r>
        <w:rPr>
          <w:color w:val="231F20"/>
          <w:spacing w:val="-2"/>
        </w:rPr>
        <w:t>profesionales</w:t>
      </w:r>
      <w:r>
        <w:rPr>
          <w:color w:val="231F20"/>
          <w:spacing w:val="-15"/>
        </w:rPr>
        <w:t> </w:t>
      </w:r>
      <w:r>
        <w:rPr>
          <w:color w:val="231F20"/>
          <w:spacing w:val="-2"/>
        </w:rPr>
        <w:t>formados</w:t>
      </w:r>
      <w:r>
        <w:rPr>
          <w:color w:val="231F20"/>
          <w:spacing w:val="-14"/>
        </w:rPr>
        <w:t> </w:t>
      </w:r>
      <w:r>
        <w:rPr>
          <w:color w:val="231F20"/>
          <w:spacing w:val="-2"/>
        </w:rPr>
        <w:t>técnica,</w:t>
      </w:r>
      <w:r>
        <w:rPr>
          <w:color w:val="231F20"/>
          <w:spacing w:val="-15"/>
        </w:rPr>
        <w:t> </w:t>
      </w:r>
      <w:r>
        <w:rPr>
          <w:color w:val="231F20"/>
          <w:spacing w:val="-2"/>
        </w:rPr>
        <w:t>humanista </w:t>
      </w:r>
      <w:r>
        <w:rPr>
          <w:color w:val="231F20"/>
        </w:rPr>
        <w:t>y éticamente en el país.</w:t>
      </w:r>
    </w:p>
    <w:p>
      <w:pPr>
        <w:pStyle w:val="BodyText"/>
        <w:spacing w:before="169"/>
        <w:ind w:left="412" w:right="1474"/>
      </w:pPr>
      <w:r>
        <w:rPr>
          <w:color w:val="231F20"/>
          <w:spacing w:val="-2"/>
        </w:rPr>
        <w:t>La</w:t>
      </w:r>
      <w:r>
        <w:rPr>
          <w:color w:val="231F20"/>
          <w:spacing w:val="-12"/>
        </w:rPr>
        <w:t> </w:t>
      </w:r>
      <w:r>
        <w:rPr>
          <w:color w:val="231F20"/>
          <w:spacing w:val="-2"/>
        </w:rPr>
        <w:t>comunidad</w:t>
      </w:r>
      <w:r>
        <w:rPr>
          <w:color w:val="231F20"/>
          <w:spacing w:val="-12"/>
        </w:rPr>
        <w:t> </w:t>
      </w:r>
      <w:r>
        <w:rPr>
          <w:color w:val="231F20"/>
          <w:spacing w:val="-2"/>
        </w:rPr>
        <w:t>internacional</w:t>
      </w:r>
      <w:r>
        <w:rPr>
          <w:color w:val="231F20"/>
          <w:spacing w:val="-13"/>
        </w:rPr>
        <w:t> </w:t>
      </w:r>
      <w:r>
        <w:rPr>
          <w:color w:val="231F20"/>
          <w:spacing w:val="-2"/>
        </w:rPr>
        <w:t>ha</w:t>
      </w:r>
      <w:r>
        <w:rPr>
          <w:color w:val="231F20"/>
          <w:spacing w:val="-12"/>
        </w:rPr>
        <w:t> </w:t>
      </w:r>
      <w:r>
        <w:rPr>
          <w:color w:val="231F20"/>
          <w:spacing w:val="-2"/>
        </w:rPr>
        <w:t>reconocido </w:t>
      </w:r>
      <w:r>
        <w:rPr>
          <w:color w:val="231F20"/>
        </w:rPr>
        <w:t>en múltiples ocasiones la profesionalidad y el altruismo de los más de 605 mil colaboradores</w:t>
      </w:r>
      <w:r>
        <w:rPr>
          <w:color w:val="231F20"/>
          <w:spacing w:val="-14"/>
        </w:rPr>
        <w:t> </w:t>
      </w:r>
      <w:r>
        <w:rPr>
          <w:color w:val="231F20"/>
        </w:rPr>
        <w:t>cubanos</w:t>
      </w:r>
      <w:r>
        <w:rPr>
          <w:color w:val="231F20"/>
          <w:spacing w:val="-14"/>
        </w:rPr>
        <w:t> </w:t>
      </w:r>
      <w:r>
        <w:rPr>
          <w:color w:val="231F20"/>
        </w:rPr>
        <w:t>de</w:t>
      </w:r>
      <w:r>
        <w:rPr>
          <w:color w:val="231F20"/>
          <w:spacing w:val="-14"/>
        </w:rPr>
        <w:t> </w:t>
      </w:r>
      <w:r>
        <w:rPr>
          <w:color w:val="231F20"/>
        </w:rPr>
        <w:t>la</w:t>
      </w:r>
      <w:r>
        <w:rPr>
          <w:color w:val="231F20"/>
          <w:spacing w:val="-14"/>
        </w:rPr>
        <w:t> </w:t>
      </w:r>
      <w:r>
        <w:rPr>
          <w:color w:val="231F20"/>
        </w:rPr>
        <w:t>salud</w:t>
      </w:r>
      <w:r>
        <w:rPr>
          <w:color w:val="231F20"/>
          <w:spacing w:val="-14"/>
        </w:rPr>
        <w:t> </w:t>
      </w:r>
      <w:r>
        <w:rPr>
          <w:color w:val="231F20"/>
        </w:rPr>
        <w:t>que</w:t>
      </w:r>
      <w:r>
        <w:rPr>
          <w:color w:val="231F20"/>
          <w:spacing w:val="-14"/>
        </w:rPr>
        <w:t> </w:t>
      </w:r>
      <w:r>
        <w:rPr>
          <w:color w:val="231F20"/>
        </w:rPr>
        <w:t>en </w:t>
      </w:r>
      <w:r>
        <w:rPr>
          <w:color w:val="231F20"/>
          <w:spacing w:val="-2"/>
        </w:rPr>
        <w:t>los</w:t>
      </w:r>
      <w:r>
        <w:rPr>
          <w:color w:val="231F20"/>
          <w:spacing w:val="-15"/>
        </w:rPr>
        <w:t> </w:t>
      </w:r>
      <w:r>
        <w:rPr>
          <w:color w:val="231F20"/>
          <w:spacing w:val="-2"/>
        </w:rPr>
        <w:t>últimos</w:t>
      </w:r>
      <w:r>
        <w:rPr>
          <w:color w:val="231F20"/>
          <w:spacing w:val="-14"/>
        </w:rPr>
        <w:t> </w:t>
      </w:r>
      <w:r>
        <w:rPr>
          <w:color w:val="231F20"/>
          <w:spacing w:val="-2"/>
        </w:rPr>
        <w:t>60</w:t>
      </w:r>
      <w:r>
        <w:rPr>
          <w:color w:val="231F20"/>
          <w:spacing w:val="-15"/>
        </w:rPr>
        <w:t> </w:t>
      </w:r>
      <w:r>
        <w:rPr>
          <w:color w:val="231F20"/>
          <w:spacing w:val="-2"/>
        </w:rPr>
        <w:t>años</w:t>
      </w:r>
      <w:r>
        <w:rPr>
          <w:color w:val="231F20"/>
          <w:spacing w:val="-14"/>
        </w:rPr>
        <w:t> </w:t>
      </w:r>
      <w:r>
        <w:rPr>
          <w:color w:val="231F20"/>
          <w:spacing w:val="-2"/>
        </w:rPr>
        <w:t>han</w:t>
      </w:r>
      <w:r>
        <w:rPr>
          <w:color w:val="231F20"/>
          <w:spacing w:val="-15"/>
        </w:rPr>
        <w:t> </w:t>
      </w:r>
      <w:r>
        <w:rPr>
          <w:color w:val="231F20"/>
          <w:spacing w:val="-2"/>
        </w:rPr>
        <w:t>cumplido</w:t>
      </w:r>
      <w:r>
        <w:rPr>
          <w:color w:val="231F20"/>
          <w:spacing w:val="-14"/>
        </w:rPr>
        <w:t> </w:t>
      </w:r>
      <w:r>
        <w:rPr>
          <w:color w:val="231F20"/>
          <w:spacing w:val="-2"/>
        </w:rPr>
        <w:t>misiones </w:t>
      </w:r>
      <w:r>
        <w:rPr>
          <w:color w:val="231F20"/>
        </w:rPr>
        <w:t>en 165 naciones.</w:t>
      </w:r>
    </w:p>
    <w:p>
      <w:pPr>
        <w:pStyle w:val="BodyText"/>
        <w:spacing w:before="165"/>
        <w:ind w:left="412" w:right="1473"/>
      </w:pPr>
      <w:r>
        <w:rPr>
          <w:color w:val="231F20"/>
        </w:rPr>
        <w:t>Gracias a la cooperación médica que Cuba brinda, al cierre de abril de 2023, se </w:t>
      </w:r>
      <w:r>
        <w:rPr>
          <w:color w:val="231F20"/>
          <w:spacing w:val="-2"/>
        </w:rPr>
        <w:t>habían</w:t>
      </w:r>
      <w:r>
        <w:rPr>
          <w:color w:val="231F20"/>
          <w:spacing w:val="-13"/>
        </w:rPr>
        <w:t> </w:t>
      </w:r>
      <w:r>
        <w:rPr>
          <w:color w:val="231F20"/>
          <w:spacing w:val="-2"/>
        </w:rPr>
        <w:t>atendido</w:t>
      </w:r>
      <w:r>
        <w:rPr>
          <w:color w:val="231F20"/>
          <w:spacing w:val="-13"/>
        </w:rPr>
        <w:t> </w:t>
      </w:r>
      <w:r>
        <w:rPr>
          <w:color w:val="231F20"/>
          <w:spacing w:val="-2"/>
        </w:rPr>
        <w:t>más</w:t>
      </w:r>
      <w:r>
        <w:rPr>
          <w:color w:val="231F20"/>
          <w:spacing w:val="-13"/>
        </w:rPr>
        <w:t> </w:t>
      </w:r>
      <w:r>
        <w:rPr>
          <w:color w:val="231F20"/>
          <w:spacing w:val="-2"/>
        </w:rPr>
        <w:t>de</w:t>
      </w:r>
      <w:r>
        <w:rPr>
          <w:color w:val="231F20"/>
          <w:spacing w:val="-13"/>
        </w:rPr>
        <w:t> </w:t>
      </w:r>
      <w:r>
        <w:rPr>
          <w:color w:val="231F20"/>
          <w:spacing w:val="-2"/>
        </w:rPr>
        <w:t>2</w:t>
      </w:r>
      <w:r>
        <w:rPr>
          <w:color w:val="231F20"/>
          <w:spacing w:val="-13"/>
        </w:rPr>
        <w:t> </w:t>
      </w:r>
      <w:r>
        <w:rPr>
          <w:color w:val="231F20"/>
          <w:spacing w:val="-2"/>
        </w:rPr>
        <w:t>mil</w:t>
      </w:r>
      <w:r>
        <w:rPr>
          <w:color w:val="231F20"/>
          <w:spacing w:val="-13"/>
        </w:rPr>
        <w:t> </w:t>
      </w:r>
      <w:r>
        <w:rPr>
          <w:color w:val="231F20"/>
          <w:spacing w:val="-2"/>
        </w:rPr>
        <w:t>198</w:t>
      </w:r>
      <w:r>
        <w:rPr>
          <w:color w:val="231F20"/>
          <w:spacing w:val="-13"/>
        </w:rPr>
        <w:t> </w:t>
      </w:r>
      <w:r>
        <w:rPr>
          <w:color w:val="231F20"/>
          <w:spacing w:val="-2"/>
        </w:rPr>
        <w:t>millones </w:t>
      </w:r>
      <w:r>
        <w:rPr>
          <w:color w:val="231F20"/>
        </w:rPr>
        <w:t>de pacientes en consultas alrededor del mundo;</w:t>
      </w:r>
      <w:r>
        <w:rPr>
          <w:color w:val="231F20"/>
          <w:spacing w:val="23"/>
        </w:rPr>
        <w:t> </w:t>
      </w:r>
      <w:r>
        <w:rPr>
          <w:color w:val="231F20"/>
        </w:rPr>
        <w:t>más</w:t>
      </w:r>
      <w:r>
        <w:rPr>
          <w:color w:val="231F20"/>
          <w:spacing w:val="25"/>
        </w:rPr>
        <w:t> </w:t>
      </w:r>
      <w:r>
        <w:rPr>
          <w:color w:val="231F20"/>
        </w:rPr>
        <w:t>de</w:t>
      </w:r>
      <w:r>
        <w:rPr>
          <w:color w:val="231F20"/>
          <w:spacing w:val="26"/>
        </w:rPr>
        <w:t> </w:t>
      </w:r>
      <w:r>
        <w:rPr>
          <w:color w:val="231F20"/>
        </w:rPr>
        <w:t>10</w:t>
      </w:r>
      <w:r>
        <w:rPr>
          <w:color w:val="231F20"/>
          <w:spacing w:val="26"/>
        </w:rPr>
        <w:t> </w:t>
      </w:r>
      <w:r>
        <w:rPr>
          <w:color w:val="231F20"/>
        </w:rPr>
        <w:t>millones</w:t>
      </w:r>
      <w:r>
        <w:rPr>
          <w:color w:val="231F20"/>
          <w:spacing w:val="25"/>
        </w:rPr>
        <w:t> </w:t>
      </w:r>
      <w:r>
        <w:rPr>
          <w:color w:val="231F20"/>
        </w:rPr>
        <w:t>35</w:t>
      </w:r>
      <w:r>
        <w:rPr>
          <w:color w:val="231F20"/>
          <w:spacing w:val="26"/>
        </w:rPr>
        <w:t> </w:t>
      </w:r>
      <w:r>
        <w:rPr>
          <w:color w:val="231F20"/>
        </w:rPr>
        <w:t>mil</w:t>
      </w:r>
      <w:r>
        <w:rPr>
          <w:color w:val="231F20"/>
          <w:spacing w:val="26"/>
        </w:rPr>
        <w:t> </w:t>
      </w:r>
      <w:r>
        <w:rPr>
          <w:color w:val="231F20"/>
          <w:spacing w:val="-2"/>
        </w:rPr>
        <w:t>vidas</w:t>
      </w:r>
    </w:p>
    <w:p>
      <w:pPr>
        <w:spacing w:after="0"/>
        <w:sectPr>
          <w:pgSz w:w="11910" w:h="16840"/>
          <w:pgMar w:header="0" w:footer="695" w:top="1260" w:bottom="880" w:left="0" w:right="0"/>
          <w:cols w:num="2" w:equalWidth="0">
            <w:col w:w="5558" w:space="40"/>
            <w:col w:w="6312"/>
          </w:cols>
        </w:sectPr>
      </w:pPr>
    </w:p>
    <w:p>
      <w:pPr>
        <w:pStyle w:val="BodyText"/>
        <w:spacing w:before="77"/>
        <w:ind w:left="1474" w:right="1"/>
      </w:pPr>
      <w:r>
        <w:rPr>
          <w:color w:val="231F20"/>
          <w:spacing w:val="-6"/>
        </w:rPr>
        <w:t>habían</w:t>
      </w:r>
      <w:r>
        <w:rPr>
          <w:color w:val="231F20"/>
          <w:spacing w:val="-8"/>
        </w:rPr>
        <w:t> </w:t>
      </w:r>
      <w:r>
        <w:rPr>
          <w:color w:val="231F20"/>
          <w:spacing w:val="-6"/>
        </w:rPr>
        <w:t>sido</w:t>
      </w:r>
      <w:r>
        <w:rPr>
          <w:color w:val="231F20"/>
          <w:spacing w:val="-8"/>
        </w:rPr>
        <w:t> </w:t>
      </w:r>
      <w:r>
        <w:rPr>
          <w:color w:val="231F20"/>
          <w:spacing w:val="-6"/>
        </w:rPr>
        <w:t>salvadas;</w:t>
      </w:r>
      <w:r>
        <w:rPr>
          <w:color w:val="231F20"/>
          <w:spacing w:val="-8"/>
        </w:rPr>
        <w:t> </w:t>
      </w:r>
      <w:r>
        <w:rPr>
          <w:color w:val="231F20"/>
          <w:spacing w:val="-6"/>
        </w:rPr>
        <w:t>más</w:t>
      </w:r>
      <w:r>
        <w:rPr>
          <w:color w:val="231F20"/>
          <w:spacing w:val="-8"/>
        </w:rPr>
        <w:t> </w:t>
      </w:r>
      <w:r>
        <w:rPr>
          <w:color w:val="231F20"/>
          <w:spacing w:val="-6"/>
        </w:rPr>
        <w:t>de</w:t>
      </w:r>
      <w:r>
        <w:rPr>
          <w:color w:val="231F20"/>
          <w:spacing w:val="-8"/>
        </w:rPr>
        <w:t> </w:t>
      </w:r>
      <w:r>
        <w:rPr>
          <w:color w:val="231F20"/>
          <w:spacing w:val="-6"/>
        </w:rPr>
        <w:t>5</w:t>
      </w:r>
      <w:r>
        <w:rPr>
          <w:color w:val="231F20"/>
          <w:spacing w:val="-8"/>
        </w:rPr>
        <w:t> </w:t>
      </w:r>
      <w:r>
        <w:rPr>
          <w:color w:val="231F20"/>
          <w:spacing w:val="-6"/>
        </w:rPr>
        <w:t>millones</w:t>
      </w:r>
      <w:r>
        <w:rPr>
          <w:color w:val="231F20"/>
          <w:spacing w:val="-8"/>
        </w:rPr>
        <w:t> </w:t>
      </w:r>
      <w:r>
        <w:rPr>
          <w:color w:val="231F20"/>
          <w:spacing w:val="-6"/>
        </w:rPr>
        <w:t>112 </w:t>
      </w:r>
      <w:r>
        <w:rPr>
          <w:color w:val="231F20"/>
        </w:rPr>
        <w:t>mil</w:t>
      </w:r>
      <w:r>
        <w:rPr>
          <w:color w:val="231F20"/>
          <w:spacing w:val="-15"/>
        </w:rPr>
        <w:t> </w:t>
      </w:r>
      <w:r>
        <w:rPr>
          <w:color w:val="231F20"/>
        </w:rPr>
        <w:t>partos</w:t>
      </w:r>
      <w:r>
        <w:rPr>
          <w:color w:val="231F20"/>
          <w:spacing w:val="-15"/>
        </w:rPr>
        <w:t> </w:t>
      </w:r>
      <w:r>
        <w:rPr>
          <w:color w:val="231F20"/>
        </w:rPr>
        <w:t>se</w:t>
      </w:r>
      <w:r>
        <w:rPr>
          <w:color w:val="231F20"/>
          <w:spacing w:val="-15"/>
        </w:rPr>
        <w:t> </w:t>
      </w:r>
      <w:r>
        <w:rPr>
          <w:color w:val="231F20"/>
        </w:rPr>
        <w:t>habían</w:t>
      </w:r>
      <w:r>
        <w:rPr>
          <w:color w:val="231F20"/>
          <w:spacing w:val="-15"/>
        </w:rPr>
        <w:t> </w:t>
      </w:r>
      <w:r>
        <w:rPr>
          <w:color w:val="231F20"/>
        </w:rPr>
        <w:t>realizado</w:t>
      </w:r>
      <w:r>
        <w:rPr>
          <w:color w:val="231F20"/>
          <w:spacing w:val="-15"/>
        </w:rPr>
        <w:t> </w:t>
      </w:r>
      <w:r>
        <w:rPr>
          <w:color w:val="231F20"/>
        </w:rPr>
        <w:t>y</w:t>
      </w:r>
      <w:r>
        <w:rPr>
          <w:color w:val="231F20"/>
          <w:spacing w:val="-15"/>
        </w:rPr>
        <w:t> </w:t>
      </w:r>
      <w:r>
        <w:rPr>
          <w:color w:val="231F20"/>
        </w:rPr>
        <w:t>más</w:t>
      </w:r>
      <w:r>
        <w:rPr>
          <w:color w:val="231F20"/>
          <w:spacing w:val="-15"/>
        </w:rPr>
        <w:t> </w:t>
      </w:r>
      <w:r>
        <w:rPr>
          <w:color w:val="231F20"/>
        </w:rPr>
        <w:t>de</w:t>
      </w:r>
      <w:r>
        <w:rPr>
          <w:color w:val="231F20"/>
          <w:spacing w:val="-15"/>
        </w:rPr>
        <w:t> </w:t>
      </w:r>
      <w:r>
        <w:rPr>
          <w:color w:val="231F20"/>
        </w:rPr>
        <w:t>16 millones de intervenciones quirúrgicas se habían</w:t>
      </w:r>
      <w:r>
        <w:rPr>
          <w:color w:val="231F20"/>
          <w:spacing w:val="-3"/>
        </w:rPr>
        <w:t> </w:t>
      </w:r>
      <w:r>
        <w:rPr>
          <w:color w:val="231F20"/>
        </w:rPr>
        <w:t>practicado.</w:t>
      </w:r>
      <w:r>
        <w:rPr>
          <w:color w:val="231F20"/>
          <w:spacing w:val="-3"/>
        </w:rPr>
        <w:t> </w:t>
      </w:r>
      <w:r>
        <w:rPr>
          <w:color w:val="231F20"/>
        </w:rPr>
        <w:t>Asimismo,</w:t>
      </w:r>
      <w:r>
        <w:rPr>
          <w:color w:val="231F20"/>
          <w:spacing w:val="-3"/>
        </w:rPr>
        <w:t> </w:t>
      </w:r>
      <w:r>
        <w:rPr>
          <w:color w:val="231F20"/>
        </w:rPr>
        <w:t>57</w:t>
      </w:r>
      <w:r>
        <w:rPr>
          <w:color w:val="231F20"/>
          <w:spacing w:val="-3"/>
        </w:rPr>
        <w:t> </w:t>
      </w:r>
      <w:r>
        <w:rPr>
          <w:color w:val="231F20"/>
        </w:rPr>
        <w:t>brigadas médicas, con 22 632 colaboradores, ofrecían su aporte solidario en el mundo.</w:t>
      </w:r>
    </w:p>
    <w:p>
      <w:pPr>
        <w:pStyle w:val="BodyText"/>
        <w:spacing w:before="164"/>
        <w:ind w:left="1474"/>
      </w:pPr>
      <w:r>
        <w:rPr>
          <w:color w:val="231F20"/>
        </w:rPr>
        <w:t>Esta</w:t>
      </w:r>
      <w:r>
        <w:rPr>
          <w:color w:val="231F20"/>
          <w:spacing w:val="-17"/>
        </w:rPr>
        <w:t> </w:t>
      </w:r>
      <w:r>
        <w:rPr>
          <w:color w:val="231F20"/>
        </w:rPr>
        <w:t>campaña</w:t>
      </w:r>
      <w:r>
        <w:rPr>
          <w:color w:val="231F20"/>
          <w:spacing w:val="-16"/>
        </w:rPr>
        <w:t> </w:t>
      </w:r>
      <w:r>
        <w:rPr>
          <w:color w:val="231F20"/>
        </w:rPr>
        <w:t>de</w:t>
      </w:r>
      <w:r>
        <w:rPr>
          <w:color w:val="231F20"/>
          <w:spacing w:val="-17"/>
        </w:rPr>
        <w:t> </w:t>
      </w:r>
      <w:r>
        <w:rPr>
          <w:color w:val="231F20"/>
        </w:rPr>
        <w:t>descrédito</w:t>
      </w:r>
      <w:r>
        <w:rPr>
          <w:color w:val="231F20"/>
          <w:spacing w:val="-16"/>
        </w:rPr>
        <w:t> </w:t>
      </w:r>
      <w:r>
        <w:rPr>
          <w:color w:val="231F20"/>
        </w:rPr>
        <w:t>ejecutada</w:t>
      </w:r>
      <w:r>
        <w:rPr>
          <w:color w:val="231F20"/>
          <w:spacing w:val="-17"/>
        </w:rPr>
        <w:t> </w:t>
      </w:r>
      <w:r>
        <w:rPr>
          <w:color w:val="231F20"/>
        </w:rPr>
        <w:t>por el</w:t>
      </w:r>
      <w:r>
        <w:rPr>
          <w:color w:val="231F20"/>
          <w:spacing w:val="-13"/>
        </w:rPr>
        <w:t> </w:t>
      </w:r>
      <w:r>
        <w:rPr>
          <w:color w:val="231F20"/>
        </w:rPr>
        <w:t>gobierno</w:t>
      </w:r>
      <w:r>
        <w:rPr>
          <w:color w:val="231F20"/>
          <w:spacing w:val="-13"/>
        </w:rPr>
        <w:t> </w:t>
      </w:r>
      <w:r>
        <w:rPr>
          <w:color w:val="231F20"/>
        </w:rPr>
        <w:t>estadounidense</w:t>
      </w:r>
      <w:r>
        <w:rPr>
          <w:color w:val="231F20"/>
          <w:spacing w:val="-13"/>
        </w:rPr>
        <w:t> </w:t>
      </w:r>
      <w:r>
        <w:rPr>
          <w:color w:val="231F20"/>
        </w:rPr>
        <w:t>es</w:t>
      </w:r>
      <w:r>
        <w:rPr>
          <w:color w:val="231F20"/>
          <w:spacing w:val="-13"/>
        </w:rPr>
        <w:t> </w:t>
      </w:r>
      <w:r>
        <w:rPr>
          <w:color w:val="231F20"/>
        </w:rPr>
        <w:t>inmoral</w:t>
      </w:r>
      <w:r>
        <w:rPr>
          <w:color w:val="231F20"/>
          <w:spacing w:val="-13"/>
        </w:rPr>
        <w:t> </w:t>
      </w:r>
      <w:r>
        <w:rPr>
          <w:color w:val="231F20"/>
        </w:rPr>
        <w:t>en cualquier circunstancia, y particularmente </w:t>
      </w:r>
      <w:r>
        <w:rPr>
          <w:color w:val="231F20"/>
          <w:spacing w:val="-10"/>
        </w:rPr>
        <w:t>ofensiva</w:t>
      </w:r>
      <w:r>
        <w:rPr>
          <w:color w:val="231F20"/>
          <w:spacing w:val="-7"/>
        </w:rPr>
        <w:t> </w:t>
      </w:r>
      <w:r>
        <w:rPr>
          <w:color w:val="231F20"/>
          <w:spacing w:val="-10"/>
        </w:rPr>
        <w:t>en</w:t>
      </w:r>
      <w:r>
        <w:rPr>
          <w:color w:val="231F20"/>
          <w:spacing w:val="-6"/>
        </w:rPr>
        <w:t> </w:t>
      </w:r>
      <w:r>
        <w:rPr>
          <w:color w:val="231F20"/>
          <w:spacing w:val="-10"/>
        </w:rPr>
        <w:t>el</w:t>
      </w:r>
      <w:r>
        <w:rPr>
          <w:color w:val="231F20"/>
          <w:spacing w:val="-7"/>
        </w:rPr>
        <w:t> </w:t>
      </w:r>
      <w:r>
        <w:rPr>
          <w:color w:val="231F20"/>
          <w:spacing w:val="-10"/>
        </w:rPr>
        <w:t>contexto</w:t>
      </w:r>
      <w:r>
        <w:rPr>
          <w:color w:val="231F20"/>
          <w:spacing w:val="-6"/>
        </w:rPr>
        <w:t> </w:t>
      </w:r>
      <w:r>
        <w:rPr>
          <w:color w:val="231F20"/>
          <w:spacing w:val="-10"/>
        </w:rPr>
        <w:t>de</w:t>
      </w:r>
      <w:r>
        <w:rPr>
          <w:color w:val="231F20"/>
          <w:spacing w:val="-7"/>
        </w:rPr>
        <w:t> </w:t>
      </w:r>
      <w:r>
        <w:rPr>
          <w:color w:val="231F20"/>
          <w:spacing w:val="-10"/>
        </w:rPr>
        <w:t>recuperación</w:t>
      </w:r>
      <w:r>
        <w:rPr>
          <w:color w:val="231F20"/>
          <w:spacing w:val="-6"/>
        </w:rPr>
        <w:t> </w:t>
      </w:r>
      <w:r>
        <w:rPr>
          <w:color w:val="231F20"/>
          <w:spacing w:val="-10"/>
        </w:rPr>
        <w:t>post- </w:t>
      </w:r>
      <w:r>
        <w:rPr>
          <w:color w:val="231F20"/>
          <w:spacing w:val="-6"/>
        </w:rPr>
        <w:t>pandemia.</w:t>
      </w:r>
      <w:r>
        <w:rPr>
          <w:color w:val="231F20"/>
          <w:spacing w:val="-8"/>
        </w:rPr>
        <w:t> </w:t>
      </w:r>
      <w:r>
        <w:rPr>
          <w:color w:val="231F20"/>
          <w:spacing w:val="-6"/>
        </w:rPr>
        <w:t>Cuba</w:t>
      </w:r>
      <w:r>
        <w:rPr>
          <w:color w:val="231F20"/>
          <w:spacing w:val="-8"/>
        </w:rPr>
        <w:t> </w:t>
      </w:r>
      <w:r>
        <w:rPr>
          <w:color w:val="231F20"/>
          <w:spacing w:val="-6"/>
        </w:rPr>
        <w:t>apoyó</w:t>
      </w:r>
      <w:r>
        <w:rPr>
          <w:color w:val="231F20"/>
          <w:spacing w:val="-8"/>
        </w:rPr>
        <w:t> </w:t>
      </w:r>
      <w:r>
        <w:rPr>
          <w:color w:val="231F20"/>
          <w:spacing w:val="-6"/>
        </w:rPr>
        <w:t>el</w:t>
      </w:r>
      <w:r>
        <w:rPr>
          <w:color w:val="231F20"/>
          <w:spacing w:val="-8"/>
        </w:rPr>
        <w:t> </w:t>
      </w:r>
      <w:r>
        <w:rPr>
          <w:color w:val="231F20"/>
          <w:spacing w:val="-6"/>
        </w:rPr>
        <w:t>enfrentamiento</w:t>
      </w:r>
      <w:r>
        <w:rPr>
          <w:color w:val="231F20"/>
          <w:spacing w:val="-8"/>
        </w:rPr>
        <w:t> </w:t>
      </w:r>
      <w:r>
        <w:rPr>
          <w:color w:val="231F20"/>
          <w:spacing w:val="-6"/>
        </w:rPr>
        <w:t>al </w:t>
      </w:r>
      <w:r>
        <w:rPr>
          <w:color w:val="231F20"/>
          <w:spacing w:val="-4"/>
        </w:rPr>
        <w:t>SARS-COV-2</w:t>
      </w:r>
      <w:r>
        <w:rPr>
          <w:color w:val="231F20"/>
          <w:spacing w:val="-12"/>
        </w:rPr>
        <w:t> </w:t>
      </w:r>
      <w:r>
        <w:rPr>
          <w:color w:val="231F20"/>
          <w:spacing w:val="-4"/>
        </w:rPr>
        <w:t>en</w:t>
      </w:r>
      <w:r>
        <w:rPr>
          <w:color w:val="231F20"/>
          <w:spacing w:val="-12"/>
        </w:rPr>
        <w:t> </w:t>
      </w:r>
      <w:r>
        <w:rPr>
          <w:color w:val="231F20"/>
          <w:spacing w:val="-4"/>
        </w:rPr>
        <w:t>42</w:t>
      </w:r>
      <w:r>
        <w:rPr>
          <w:color w:val="231F20"/>
          <w:spacing w:val="-12"/>
        </w:rPr>
        <w:t> </w:t>
      </w:r>
      <w:r>
        <w:rPr>
          <w:color w:val="231F20"/>
          <w:spacing w:val="-4"/>
        </w:rPr>
        <w:t>países</w:t>
      </w:r>
      <w:r>
        <w:rPr>
          <w:color w:val="231F20"/>
          <w:spacing w:val="-12"/>
        </w:rPr>
        <w:t> </w:t>
      </w:r>
      <w:r>
        <w:rPr>
          <w:color w:val="231F20"/>
          <w:spacing w:val="-4"/>
        </w:rPr>
        <w:t>y</w:t>
      </w:r>
      <w:r>
        <w:rPr>
          <w:color w:val="231F20"/>
          <w:spacing w:val="-12"/>
        </w:rPr>
        <w:t> </w:t>
      </w:r>
      <w:r>
        <w:rPr>
          <w:color w:val="231F20"/>
          <w:spacing w:val="-4"/>
        </w:rPr>
        <w:t>territorios,</w:t>
      </w:r>
      <w:r>
        <w:rPr>
          <w:color w:val="231F20"/>
          <w:spacing w:val="-12"/>
        </w:rPr>
        <w:t> </w:t>
      </w:r>
      <w:r>
        <w:rPr>
          <w:color w:val="231F20"/>
          <w:spacing w:val="-4"/>
        </w:rPr>
        <w:t>a</w:t>
      </w:r>
      <w:r>
        <w:rPr>
          <w:color w:val="231F20"/>
          <w:spacing w:val="-12"/>
        </w:rPr>
        <w:t> </w:t>
      </w:r>
      <w:r>
        <w:rPr>
          <w:color w:val="231F20"/>
          <w:spacing w:val="-4"/>
        </w:rPr>
        <w:t>los </w:t>
      </w:r>
      <w:r>
        <w:rPr>
          <w:color w:val="231F20"/>
        </w:rPr>
        <w:t>que llegaron 58 brigadas médicas, que se sumaron</w:t>
      </w:r>
      <w:r>
        <w:rPr>
          <w:color w:val="231F20"/>
          <w:spacing w:val="-17"/>
        </w:rPr>
        <w:t> </w:t>
      </w:r>
      <w:r>
        <w:rPr>
          <w:color w:val="231F20"/>
        </w:rPr>
        <w:t>a</w:t>
      </w:r>
      <w:r>
        <w:rPr>
          <w:color w:val="231F20"/>
          <w:spacing w:val="-16"/>
        </w:rPr>
        <w:t> </w:t>
      </w:r>
      <w:r>
        <w:rPr>
          <w:color w:val="231F20"/>
        </w:rPr>
        <w:t>los</w:t>
      </w:r>
      <w:r>
        <w:rPr>
          <w:color w:val="231F20"/>
          <w:spacing w:val="-17"/>
        </w:rPr>
        <w:t> </w:t>
      </w:r>
      <w:r>
        <w:rPr>
          <w:color w:val="231F20"/>
        </w:rPr>
        <w:t>más</w:t>
      </w:r>
      <w:r>
        <w:rPr>
          <w:color w:val="231F20"/>
          <w:spacing w:val="-16"/>
        </w:rPr>
        <w:t> </w:t>
      </w:r>
      <w:r>
        <w:rPr>
          <w:color w:val="231F20"/>
        </w:rPr>
        <w:t>de</w:t>
      </w:r>
      <w:r>
        <w:rPr>
          <w:color w:val="231F20"/>
          <w:spacing w:val="-17"/>
        </w:rPr>
        <w:t> </w:t>
      </w:r>
      <w:r>
        <w:rPr>
          <w:color w:val="231F20"/>
        </w:rPr>
        <w:t>27</w:t>
      </w:r>
      <w:r>
        <w:rPr>
          <w:color w:val="231F20"/>
          <w:spacing w:val="-16"/>
        </w:rPr>
        <w:t> </w:t>
      </w:r>
      <w:r>
        <w:rPr>
          <w:color w:val="231F20"/>
        </w:rPr>
        <w:t>mil</w:t>
      </w:r>
      <w:r>
        <w:rPr>
          <w:color w:val="231F20"/>
          <w:spacing w:val="-17"/>
        </w:rPr>
        <w:t> </w:t>
      </w:r>
      <w:r>
        <w:rPr>
          <w:color w:val="231F20"/>
        </w:rPr>
        <w:t>profesionales </w:t>
      </w:r>
      <w:r>
        <w:rPr>
          <w:color w:val="231F20"/>
          <w:spacing w:val="-10"/>
        </w:rPr>
        <w:t>de</w:t>
      </w:r>
      <w:r>
        <w:rPr>
          <w:color w:val="231F20"/>
          <w:spacing w:val="-7"/>
        </w:rPr>
        <w:t> </w:t>
      </w:r>
      <w:r>
        <w:rPr>
          <w:color w:val="231F20"/>
          <w:spacing w:val="-10"/>
        </w:rPr>
        <w:t>la</w:t>
      </w:r>
      <w:r>
        <w:rPr>
          <w:color w:val="231F20"/>
          <w:spacing w:val="-6"/>
        </w:rPr>
        <w:t> </w:t>
      </w:r>
      <w:r>
        <w:rPr>
          <w:color w:val="231F20"/>
          <w:spacing w:val="-10"/>
        </w:rPr>
        <w:t>salud</w:t>
      </w:r>
      <w:r>
        <w:rPr>
          <w:color w:val="231F20"/>
          <w:spacing w:val="-7"/>
        </w:rPr>
        <w:t> </w:t>
      </w:r>
      <w:r>
        <w:rPr>
          <w:color w:val="231F20"/>
          <w:spacing w:val="-10"/>
        </w:rPr>
        <w:t>que</w:t>
      </w:r>
      <w:r>
        <w:rPr>
          <w:color w:val="231F20"/>
          <w:spacing w:val="-6"/>
        </w:rPr>
        <w:t> </w:t>
      </w:r>
      <w:r>
        <w:rPr>
          <w:color w:val="231F20"/>
          <w:spacing w:val="-10"/>
        </w:rPr>
        <w:t>ya</w:t>
      </w:r>
      <w:r>
        <w:rPr>
          <w:color w:val="231F20"/>
          <w:spacing w:val="-7"/>
        </w:rPr>
        <w:t> </w:t>
      </w:r>
      <w:r>
        <w:rPr>
          <w:color w:val="231F20"/>
          <w:spacing w:val="-10"/>
        </w:rPr>
        <w:t>trabajaban</w:t>
      </w:r>
      <w:r>
        <w:rPr>
          <w:color w:val="231F20"/>
          <w:spacing w:val="-6"/>
        </w:rPr>
        <w:t> </w:t>
      </w:r>
      <w:r>
        <w:rPr>
          <w:color w:val="231F20"/>
          <w:spacing w:val="-10"/>
        </w:rPr>
        <w:t>en</w:t>
      </w:r>
      <w:r>
        <w:rPr>
          <w:color w:val="231F20"/>
          <w:spacing w:val="-7"/>
        </w:rPr>
        <w:t> </w:t>
      </w:r>
      <w:r>
        <w:rPr>
          <w:color w:val="231F20"/>
          <w:spacing w:val="-10"/>
        </w:rPr>
        <w:t>59</w:t>
      </w:r>
      <w:r>
        <w:rPr>
          <w:color w:val="231F20"/>
          <w:spacing w:val="-6"/>
        </w:rPr>
        <w:t> </w:t>
      </w:r>
      <w:r>
        <w:rPr>
          <w:color w:val="231F20"/>
          <w:spacing w:val="-10"/>
        </w:rPr>
        <w:t>naciones. </w:t>
      </w:r>
      <w:r>
        <w:rPr>
          <w:color w:val="231F20"/>
        </w:rPr>
        <w:t>Estas brigadas han atendido a más de </w:t>
      </w:r>
      <w:r>
        <w:rPr>
          <w:color w:val="231F20"/>
        </w:rPr>
        <w:t>4 </w:t>
      </w:r>
      <w:r>
        <w:rPr>
          <w:color w:val="231F20"/>
          <w:spacing w:val="-4"/>
        </w:rPr>
        <w:t>millones</w:t>
      </w:r>
      <w:r>
        <w:rPr>
          <w:color w:val="231F20"/>
          <w:spacing w:val="-13"/>
        </w:rPr>
        <w:t> </w:t>
      </w:r>
      <w:r>
        <w:rPr>
          <w:color w:val="231F20"/>
          <w:spacing w:val="-4"/>
        </w:rPr>
        <w:t>de</w:t>
      </w:r>
      <w:r>
        <w:rPr>
          <w:color w:val="231F20"/>
          <w:spacing w:val="-12"/>
        </w:rPr>
        <w:t> </w:t>
      </w:r>
      <w:r>
        <w:rPr>
          <w:color w:val="231F20"/>
          <w:spacing w:val="-4"/>
        </w:rPr>
        <w:t>pacientes</w:t>
      </w:r>
      <w:r>
        <w:rPr>
          <w:color w:val="231F20"/>
          <w:spacing w:val="-13"/>
        </w:rPr>
        <w:t> </w:t>
      </w:r>
      <w:r>
        <w:rPr>
          <w:color w:val="231F20"/>
          <w:spacing w:val="-4"/>
        </w:rPr>
        <w:t>y</w:t>
      </w:r>
      <w:r>
        <w:rPr>
          <w:color w:val="231F20"/>
          <w:spacing w:val="-12"/>
        </w:rPr>
        <w:t> </w:t>
      </w:r>
      <w:r>
        <w:rPr>
          <w:color w:val="231F20"/>
          <w:spacing w:val="-4"/>
        </w:rPr>
        <w:t>han</w:t>
      </w:r>
      <w:r>
        <w:rPr>
          <w:color w:val="231F20"/>
          <w:spacing w:val="-13"/>
        </w:rPr>
        <w:t> </w:t>
      </w:r>
      <w:r>
        <w:rPr>
          <w:color w:val="231F20"/>
          <w:spacing w:val="-4"/>
        </w:rPr>
        <w:t>salvado</w:t>
      </w:r>
      <w:r>
        <w:rPr>
          <w:color w:val="231F20"/>
          <w:spacing w:val="-12"/>
        </w:rPr>
        <w:t> </w:t>
      </w:r>
      <w:r>
        <w:rPr>
          <w:color w:val="231F20"/>
          <w:spacing w:val="-4"/>
        </w:rPr>
        <w:t>más</w:t>
      </w:r>
      <w:r>
        <w:rPr>
          <w:color w:val="231F20"/>
          <w:spacing w:val="-13"/>
        </w:rPr>
        <w:t> </w:t>
      </w:r>
      <w:r>
        <w:rPr>
          <w:color w:val="231F20"/>
          <w:spacing w:val="-4"/>
        </w:rPr>
        <w:t>de </w:t>
      </w:r>
      <w:r>
        <w:rPr>
          <w:color w:val="231F20"/>
          <w:spacing w:val="-2"/>
        </w:rPr>
        <w:t>80</w:t>
      </w:r>
      <w:r>
        <w:rPr>
          <w:color w:val="231F20"/>
          <w:spacing w:val="-15"/>
        </w:rPr>
        <w:t> </w:t>
      </w:r>
      <w:r>
        <w:rPr>
          <w:color w:val="231F20"/>
          <w:spacing w:val="-2"/>
        </w:rPr>
        <w:t>mil</w:t>
      </w:r>
      <w:r>
        <w:rPr>
          <w:color w:val="231F20"/>
          <w:spacing w:val="-14"/>
        </w:rPr>
        <w:t> </w:t>
      </w:r>
      <w:r>
        <w:rPr>
          <w:color w:val="231F20"/>
          <w:spacing w:val="-2"/>
        </w:rPr>
        <w:t>vidas.</w:t>
      </w:r>
      <w:r>
        <w:rPr>
          <w:color w:val="231F20"/>
          <w:spacing w:val="-15"/>
        </w:rPr>
        <w:t> </w:t>
      </w:r>
      <w:r>
        <w:rPr>
          <w:color w:val="231F20"/>
          <w:spacing w:val="-2"/>
        </w:rPr>
        <w:t>Es</w:t>
      </w:r>
      <w:r>
        <w:rPr>
          <w:color w:val="231F20"/>
          <w:spacing w:val="-14"/>
        </w:rPr>
        <w:t> </w:t>
      </w:r>
      <w:r>
        <w:rPr>
          <w:color w:val="231F20"/>
          <w:spacing w:val="-2"/>
        </w:rPr>
        <w:t>un</w:t>
      </w:r>
      <w:r>
        <w:rPr>
          <w:color w:val="231F20"/>
          <w:spacing w:val="-15"/>
        </w:rPr>
        <w:t> </w:t>
      </w:r>
      <w:r>
        <w:rPr>
          <w:color w:val="231F20"/>
          <w:spacing w:val="-2"/>
        </w:rPr>
        <w:t>esfuerzo</w:t>
      </w:r>
      <w:r>
        <w:rPr>
          <w:color w:val="231F20"/>
          <w:spacing w:val="-14"/>
        </w:rPr>
        <w:t> </w:t>
      </w:r>
      <w:r>
        <w:rPr>
          <w:color w:val="231F20"/>
          <w:spacing w:val="-2"/>
        </w:rPr>
        <w:t>consustancial</w:t>
      </w:r>
      <w:r>
        <w:rPr>
          <w:color w:val="231F20"/>
          <w:spacing w:val="-15"/>
        </w:rPr>
        <w:t> </w:t>
      </w:r>
      <w:r>
        <w:rPr>
          <w:color w:val="231F20"/>
          <w:spacing w:val="-2"/>
        </w:rPr>
        <w:t>a los</w:t>
      </w:r>
      <w:r>
        <w:rPr>
          <w:color w:val="231F20"/>
          <w:spacing w:val="-15"/>
        </w:rPr>
        <w:t> </w:t>
      </w:r>
      <w:r>
        <w:rPr>
          <w:color w:val="231F20"/>
          <w:spacing w:val="-2"/>
        </w:rPr>
        <w:t>principios</w:t>
      </w:r>
      <w:r>
        <w:rPr>
          <w:color w:val="231F20"/>
          <w:spacing w:val="-14"/>
        </w:rPr>
        <w:t> </w:t>
      </w:r>
      <w:r>
        <w:rPr>
          <w:color w:val="231F20"/>
          <w:spacing w:val="-2"/>
        </w:rPr>
        <w:t>éticos</w:t>
      </w:r>
      <w:r>
        <w:rPr>
          <w:color w:val="231F20"/>
          <w:spacing w:val="-15"/>
        </w:rPr>
        <w:t> </w:t>
      </w:r>
      <w:r>
        <w:rPr>
          <w:color w:val="231F20"/>
          <w:spacing w:val="-2"/>
        </w:rPr>
        <w:t>y</w:t>
      </w:r>
      <w:r>
        <w:rPr>
          <w:color w:val="231F20"/>
          <w:spacing w:val="-14"/>
        </w:rPr>
        <w:t> </w:t>
      </w:r>
      <w:r>
        <w:rPr>
          <w:color w:val="231F20"/>
          <w:spacing w:val="-2"/>
        </w:rPr>
        <w:t>humanistas</w:t>
      </w:r>
      <w:r>
        <w:rPr>
          <w:color w:val="231F20"/>
          <w:spacing w:val="-15"/>
        </w:rPr>
        <w:t> </w:t>
      </w:r>
      <w:r>
        <w:rPr>
          <w:color w:val="231F20"/>
          <w:spacing w:val="-2"/>
        </w:rPr>
        <w:t>sobre</w:t>
      </w:r>
      <w:r>
        <w:rPr>
          <w:color w:val="231F20"/>
          <w:spacing w:val="-14"/>
        </w:rPr>
        <w:t> </w:t>
      </w:r>
      <w:r>
        <w:rPr>
          <w:color w:val="231F20"/>
          <w:spacing w:val="-2"/>
        </w:rPr>
        <w:t>los </w:t>
      </w:r>
      <w:r>
        <w:rPr>
          <w:color w:val="231F20"/>
        </w:rPr>
        <w:t>que</w:t>
      </w:r>
      <w:r>
        <w:rPr>
          <w:color w:val="231F20"/>
          <w:spacing w:val="-2"/>
        </w:rPr>
        <w:t> </w:t>
      </w:r>
      <w:r>
        <w:rPr>
          <w:color w:val="231F20"/>
        </w:rPr>
        <w:t>se</w:t>
      </w:r>
      <w:r>
        <w:rPr>
          <w:color w:val="231F20"/>
          <w:spacing w:val="-2"/>
        </w:rPr>
        <w:t> </w:t>
      </w:r>
      <w:r>
        <w:rPr>
          <w:color w:val="231F20"/>
        </w:rPr>
        <w:t>edifica</w:t>
      </w:r>
      <w:r>
        <w:rPr>
          <w:color w:val="231F20"/>
          <w:spacing w:val="-2"/>
        </w:rPr>
        <w:t> </w:t>
      </w:r>
      <w:r>
        <w:rPr>
          <w:color w:val="231F20"/>
        </w:rPr>
        <w:t>la</w:t>
      </w:r>
      <w:r>
        <w:rPr>
          <w:color w:val="231F20"/>
          <w:spacing w:val="-2"/>
        </w:rPr>
        <w:t> </w:t>
      </w:r>
      <w:r>
        <w:rPr>
          <w:color w:val="231F20"/>
        </w:rPr>
        <w:t>sociedad</w:t>
      </w:r>
      <w:r>
        <w:rPr>
          <w:color w:val="231F20"/>
          <w:spacing w:val="-2"/>
        </w:rPr>
        <w:t> </w:t>
      </w:r>
      <w:r>
        <w:rPr>
          <w:color w:val="231F20"/>
        </w:rPr>
        <w:t>cubana.</w:t>
      </w:r>
    </w:p>
    <w:p>
      <w:pPr>
        <w:spacing w:before="171"/>
        <w:ind w:left="1474" w:right="0" w:firstLine="0"/>
        <w:jc w:val="both"/>
        <w:rPr>
          <w:rFonts w:ascii="Segoe UI Semibold" w:hAnsi="Segoe UI Semibold"/>
          <w:b/>
          <w:i/>
          <w:sz w:val="24"/>
        </w:rPr>
      </w:pPr>
      <w:r>
        <w:rPr>
          <w:b/>
          <w:i/>
          <w:color w:val="B52628"/>
          <w:sz w:val="24"/>
        </w:rPr>
        <w:t>La rama de la alimentación y la agri-</w:t>
      </w:r>
      <w:r>
        <w:rPr>
          <w:b/>
          <w:i/>
          <w:color w:val="B52628"/>
          <w:sz w:val="24"/>
        </w:rPr>
        <w:t> cultura </w:t>
      </w:r>
      <w:r>
        <w:rPr>
          <w:rFonts w:ascii="Segoe UI Semibold" w:hAnsi="Segoe UI Semibold"/>
          <w:b/>
          <w:i/>
          <w:color w:val="231F20"/>
          <w:sz w:val="24"/>
        </w:rPr>
        <w:t>constituye la base para alcanzar</w:t>
      </w:r>
      <w:r>
        <w:rPr>
          <w:rFonts w:ascii="Segoe UI Semibold" w:hAnsi="Segoe UI Semibold"/>
          <w:b/>
          <w:i/>
          <w:color w:val="231F20"/>
          <w:sz w:val="24"/>
        </w:rPr>
        <w:t> la seguridad y soberanía alimentarias, dos metas que se encuentran entre las prioridades del gobierno cubano y están directamente vinculadas con la imple- mentación del Plan Nacional de Sobera- nía Alimentaria y Educación Nutricional (Plan SAN) y el cumplimiento de los ob- jetivos</w:t>
      </w:r>
      <w:r>
        <w:rPr>
          <w:rFonts w:ascii="Segoe UI Semibold" w:hAnsi="Segoe UI Semibold"/>
          <w:b/>
          <w:i/>
          <w:color w:val="231F20"/>
          <w:spacing w:val="-17"/>
          <w:sz w:val="24"/>
        </w:rPr>
        <w:t> </w:t>
      </w:r>
      <w:r>
        <w:rPr>
          <w:rFonts w:ascii="Segoe UI Semibold" w:hAnsi="Segoe UI Semibold"/>
          <w:b/>
          <w:i/>
          <w:color w:val="231F20"/>
          <w:sz w:val="24"/>
        </w:rPr>
        <w:t>acordados</w:t>
      </w:r>
      <w:r>
        <w:rPr>
          <w:rFonts w:ascii="Segoe UI Semibold" w:hAnsi="Segoe UI Semibold"/>
          <w:b/>
          <w:i/>
          <w:color w:val="231F20"/>
          <w:spacing w:val="-16"/>
          <w:sz w:val="24"/>
        </w:rPr>
        <w:t> </w:t>
      </w:r>
      <w:r>
        <w:rPr>
          <w:rFonts w:ascii="Segoe UI Semibold" w:hAnsi="Segoe UI Semibold"/>
          <w:b/>
          <w:i/>
          <w:color w:val="231F20"/>
          <w:sz w:val="24"/>
        </w:rPr>
        <w:t>en</w:t>
      </w:r>
      <w:r>
        <w:rPr>
          <w:rFonts w:ascii="Segoe UI Semibold" w:hAnsi="Segoe UI Semibold"/>
          <w:b/>
          <w:i/>
          <w:color w:val="231F20"/>
          <w:spacing w:val="-17"/>
          <w:sz w:val="24"/>
        </w:rPr>
        <w:t> </w:t>
      </w:r>
      <w:r>
        <w:rPr>
          <w:rFonts w:ascii="Segoe UI Semibold" w:hAnsi="Segoe UI Semibold"/>
          <w:b/>
          <w:i/>
          <w:color w:val="231F20"/>
          <w:sz w:val="24"/>
        </w:rPr>
        <w:t>la</w:t>
      </w:r>
      <w:r>
        <w:rPr>
          <w:rFonts w:ascii="Segoe UI Semibold" w:hAnsi="Segoe UI Semibold"/>
          <w:b/>
          <w:i/>
          <w:color w:val="231F20"/>
          <w:spacing w:val="-16"/>
          <w:sz w:val="24"/>
        </w:rPr>
        <w:t> </w:t>
      </w:r>
      <w:r>
        <w:rPr>
          <w:rFonts w:ascii="Segoe UI Semibold" w:hAnsi="Segoe UI Semibold"/>
          <w:b/>
          <w:i/>
          <w:color w:val="231F20"/>
          <w:sz w:val="24"/>
        </w:rPr>
        <w:t>Agenda</w:t>
      </w:r>
      <w:r>
        <w:rPr>
          <w:rFonts w:ascii="Segoe UI Semibold" w:hAnsi="Segoe UI Semibold"/>
          <w:b/>
          <w:i/>
          <w:color w:val="231F20"/>
          <w:spacing w:val="-17"/>
          <w:sz w:val="24"/>
        </w:rPr>
        <w:t> </w:t>
      </w:r>
      <w:r>
        <w:rPr>
          <w:rFonts w:ascii="Segoe UI Semibold" w:hAnsi="Segoe UI Semibold"/>
          <w:b/>
          <w:i/>
          <w:color w:val="231F20"/>
          <w:sz w:val="24"/>
        </w:rPr>
        <w:t>2030</w:t>
      </w:r>
      <w:r>
        <w:rPr>
          <w:rFonts w:ascii="Segoe UI Semibold" w:hAnsi="Segoe UI Semibold"/>
          <w:b/>
          <w:i/>
          <w:color w:val="231F20"/>
          <w:spacing w:val="-16"/>
          <w:sz w:val="24"/>
        </w:rPr>
        <w:t> </w:t>
      </w:r>
      <w:r>
        <w:rPr>
          <w:rFonts w:ascii="Segoe UI Semibold" w:hAnsi="Segoe UI Semibold"/>
          <w:b/>
          <w:i/>
          <w:color w:val="231F20"/>
          <w:sz w:val="24"/>
        </w:rPr>
        <w:t>para el Desarrollo Sostenible.</w:t>
      </w:r>
    </w:p>
    <w:p>
      <w:pPr>
        <w:pStyle w:val="BodyText"/>
        <w:spacing w:before="158"/>
        <w:ind w:left="1474"/>
      </w:pPr>
      <w:r>
        <w:rPr>
          <w:color w:val="231F20"/>
          <w:spacing w:val="-2"/>
        </w:rPr>
        <w:t>En</w:t>
      </w:r>
      <w:r>
        <w:rPr>
          <w:color w:val="231F20"/>
          <w:spacing w:val="-15"/>
        </w:rPr>
        <w:t> </w:t>
      </w:r>
      <w:r>
        <w:rPr>
          <w:color w:val="231F20"/>
          <w:spacing w:val="-2"/>
        </w:rPr>
        <w:t>el</w:t>
      </w:r>
      <w:r>
        <w:rPr>
          <w:color w:val="231F20"/>
          <w:spacing w:val="-14"/>
        </w:rPr>
        <w:t> </w:t>
      </w:r>
      <w:r>
        <w:rPr>
          <w:color w:val="231F20"/>
          <w:spacing w:val="-2"/>
        </w:rPr>
        <w:t>país</w:t>
      </w:r>
      <w:r>
        <w:rPr>
          <w:color w:val="231F20"/>
          <w:spacing w:val="-15"/>
        </w:rPr>
        <w:t> </w:t>
      </w:r>
      <w:r>
        <w:rPr>
          <w:color w:val="231F20"/>
          <w:spacing w:val="-2"/>
        </w:rPr>
        <w:t>fue</w:t>
      </w:r>
      <w:r>
        <w:rPr>
          <w:color w:val="231F20"/>
          <w:spacing w:val="-14"/>
        </w:rPr>
        <w:t> </w:t>
      </w:r>
      <w:r>
        <w:rPr>
          <w:color w:val="231F20"/>
          <w:spacing w:val="-2"/>
        </w:rPr>
        <w:t>aprobada</w:t>
      </w:r>
      <w:r>
        <w:rPr>
          <w:color w:val="231F20"/>
          <w:spacing w:val="-15"/>
        </w:rPr>
        <w:t> </w:t>
      </w:r>
      <w:r>
        <w:rPr>
          <w:color w:val="231F20"/>
          <w:spacing w:val="-2"/>
        </w:rPr>
        <w:t>la</w:t>
      </w:r>
      <w:r>
        <w:rPr>
          <w:color w:val="231F20"/>
          <w:spacing w:val="-14"/>
        </w:rPr>
        <w:t> </w:t>
      </w:r>
      <w:r>
        <w:rPr>
          <w:color w:val="231F20"/>
          <w:spacing w:val="-2"/>
        </w:rPr>
        <w:t>Ley</w:t>
      </w:r>
      <w:r>
        <w:rPr>
          <w:color w:val="231F20"/>
          <w:spacing w:val="-15"/>
        </w:rPr>
        <w:t> </w:t>
      </w:r>
      <w:r>
        <w:rPr>
          <w:color w:val="231F20"/>
          <w:spacing w:val="-2"/>
        </w:rPr>
        <w:t>de</w:t>
      </w:r>
      <w:r>
        <w:rPr>
          <w:color w:val="231F20"/>
          <w:spacing w:val="-14"/>
        </w:rPr>
        <w:t> </w:t>
      </w:r>
      <w:r>
        <w:rPr>
          <w:color w:val="231F20"/>
          <w:spacing w:val="-2"/>
        </w:rPr>
        <w:t>Soberanía </w:t>
      </w:r>
      <w:r>
        <w:rPr>
          <w:color w:val="231F20"/>
        </w:rPr>
        <w:t>Alimentaria</w:t>
      </w:r>
      <w:r>
        <w:rPr>
          <w:color w:val="231F20"/>
          <w:spacing w:val="-16"/>
        </w:rPr>
        <w:t> </w:t>
      </w:r>
      <w:r>
        <w:rPr>
          <w:color w:val="231F20"/>
        </w:rPr>
        <w:t>y</w:t>
      </w:r>
      <w:r>
        <w:rPr>
          <w:color w:val="231F20"/>
          <w:spacing w:val="-16"/>
        </w:rPr>
        <w:t> </w:t>
      </w:r>
      <w:r>
        <w:rPr>
          <w:color w:val="231F20"/>
        </w:rPr>
        <w:t>Seguridad</w:t>
      </w:r>
      <w:r>
        <w:rPr>
          <w:color w:val="231F20"/>
          <w:spacing w:val="-16"/>
        </w:rPr>
        <w:t> </w:t>
      </w:r>
      <w:r>
        <w:rPr>
          <w:color w:val="231F20"/>
        </w:rPr>
        <w:t>Alimentaria</w:t>
      </w:r>
      <w:r>
        <w:rPr>
          <w:color w:val="231F20"/>
          <w:spacing w:val="-16"/>
        </w:rPr>
        <w:t> </w:t>
      </w:r>
      <w:r>
        <w:rPr>
          <w:color w:val="231F20"/>
        </w:rPr>
        <w:t>y</w:t>
      </w:r>
      <w:r>
        <w:rPr>
          <w:color w:val="231F20"/>
          <w:spacing w:val="-16"/>
        </w:rPr>
        <w:t> </w:t>
      </w:r>
      <w:r>
        <w:rPr>
          <w:color w:val="231F20"/>
        </w:rPr>
        <w:t>Nu- </w:t>
      </w:r>
      <w:r>
        <w:rPr>
          <w:color w:val="231F20"/>
          <w:spacing w:val="-2"/>
        </w:rPr>
        <w:t>tricional</w:t>
      </w:r>
      <w:r>
        <w:rPr>
          <w:color w:val="231F20"/>
          <w:spacing w:val="-15"/>
        </w:rPr>
        <w:t> </w:t>
      </w:r>
      <w:r>
        <w:rPr>
          <w:color w:val="231F20"/>
          <w:spacing w:val="-2"/>
        </w:rPr>
        <w:t>en</w:t>
      </w:r>
      <w:r>
        <w:rPr>
          <w:color w:val="231F20"/>
          <w:spacing w:val="-14"/>
        </w:rPr>
        <w:t> </w:t>
      </w:r>
      <w:r>
        <w:rPr>
          <w:color w:val="231F20"/>
          <w:spacing w:val="-2"/>
        </w:rPr>
        <w:t>mayo</w:t>
      </w:r>
      <w:r>
        <w:rPr>
          <w:color w:val="231F20"/>
          <w:spacing w:val="-15"/>
        </w:rPr>
        <w:t> </w:t>
      </w:r>
      <w:r>
        <w:rPr>
          <w:color w:val="231F20"/>
          <w:spacing w:val="-2"/>
        </w:rPr>
        <w:t>de</w:t>
      </w:r>
      <w:r>
        <w:rPr>
          <w:color w:val="231F20"/>
          <w:spacing w:val="-14"/>
        </w:rPr>
        <w:t> </w:t>
      </w:r>
      <w:r>
        <w:rPr>
          <w:color w:val="231F20"/>
          <w:spacing w:val="-2"/>
        </w:rPr>
        <w:t>2022,</w:t>
      </w:r>
      <w:r>
        <w:rPr>
          <w:color w:val="231F20"/>
          <w:spacing w:val="-15"/>
        </w:rPr>
        <w:t> </w:t>
      </w:r>
      <w:r>
        <w:rPr>
          <w:color w:val="231F20"/>
          <w:spacing w:val="-2"/>
        </w:rPr>
        <w:t>que</w:t>
      </w:r>
      <w:r>
        <w:rPr>
          <w:color w:val="231F20"/>
          <w:spacing w:val="-14"/>
        </w:rPr>
        <w:t> </w:t>
      </w:r>
      <w:r>
        <w:rPr>
          <w:color w:val="231F20"/>
          <w:spacing w:val="-2"/>
        </w:rPr>
        <w:t>responde</w:t>
      </w:r>
      <w:r>
        <w:rPr>
          <w:color w:val="231F20"/>
          <w:spacing w:val="-15"/>
        </w:rPr>
        <w:t> </w:t>
      </w:r>
      <w:r>
        <w:rPr>
          <w:color w:val="231F20"/>
          <w:spacing w:val="-2"/>
        </w:rPr>
        <w:t>al reconocimiento</w:t>
      </w:r>
      <w:r>
        <w:rPr>
          <w:color w:val="231F20"/>
          <w:spacing w:val="-15"/>
        </w:rPr>
        <w:t> </w:t>
      </w:r>
      <w:r>
        <w:rPr>
          <w:color w:val="231F20"/>
          <w:spacing w:val="-2"/>
        </w:rPr>
        <w:t>expreso</w:t>
      </w:r>
      <w:r>
        <w:rPr>
          <w:color w:val="231F20"/>
          <w:spacing w:val="-14"/>
        </w:rPr>
        <w:t> </w:t>
      </w:r>
      <w:r>
        <w:rPr>
          <w:color w:val="231F20"/>
          <w:spacing w:val="-2"/>
        </w:rPr>
        <w:t>en</w:t>
      </w:r>
      <w:r>
        <w:rPr>
          <w:color w:val="231F20"/>
          <w:spacing w:val="-15"/>
        </w:rPr>
        <w:t> </w:t>
      </w:r>
      <w:r>
        <w:rPr>
          <w:color w:val="231F20"/>
          <w:spacing w:val="-2"/>
        </w:rPr>
        <w:t>la</w:t>
      </w:r>
      <w:r>
        <w:rPr>
          <w:color w:val="231F20"/>
          <w:spacing w:val="-14"/>
        </w:rPr>
        <w:t> </w:t>
      </w:r>
      <w:r>
        <w:rPr>
          <w:color w:val="231F20"/>
          <w:spacing w:val="-2"/>
        </w:rPr>
        <w:t>Constitución </w:t>
      </w:r>
      <w:r>
        <w:rPr>
          <w:color w:val="231F20"/>
        </w:rPr>
        <w:t>de la República de Cuba del derecho a la </w:t>
      </w:r>
      <w:r>
        <w:rPr>
          <w:color w:val="231F20"/>
          <w:spacing w:val="-4"/>
        </w:rPr>
        <w:t>alimentación</w:t>
      </w:r>
      <w:r>
        <w:rPr>
          <w:color w:val="231F20"/>
          <w:spacing w:val="-13"/>
        </w:rPr>
        <w:t> </w:t>
      </w:r>
      <w:r>
        <w:rPr>
          <w:color w:val="231F20"/>
          <w:spacing w:val="-4"/>
        </w:rPr>
        <w:t>sana</w:t>
      </w:r>
      <w:r>
        <w:rPr>
          <w:color w:val="231F20"/>
          <w:spacing w:val="-12"/>
        </w:rPr>
        <w:t> </w:t>
      </w:r>
      <w:r>
        <w:rPr>
          <w:color w:val="231F20"/>
          <w:spacing w:val="-4"/>
        </w:rPr>
        <w:t>y</w:t>
      </w:r>
      <w:r>
        <w:rPr>
          <w:color w:val="231F20"/>
          <w:spacing w:val="-13"/>
        </w:rPr>
        <w:t> </w:t>
      </w:r>
      <w:r>
        <w:rPr>
          <w:color w:val="231F20"/>
          <w:spacing w:val="-4"/>
        </w:rPr>
        <w:t>adecuada</w:t>
      </w:r>
      <w:r>
        <w:rPr>
          <w:color w:val="231F20"/>
          <w:spacing w:val="-12"/>
        </w:rPr>
        <w:t> </w:t>
      </w:r>
      <w:r>
        <w:rPr>
          <w:color w:val="231F20"/>
          <w:spacing w:val="-4"/>
        </w:rPr>
        <w:t>de</w:t>
      </w:r>
      <w:r>
        <w:rPr>
          <w:color w:val="231F20"/>
          <w:spacing w:val="-13"/>
        </w:rPr>
        <w:t> </w:t>
      </w:r>
      <w:r>
        <w:rPr>
          <w:color w:val="231F20"/>
          <w:spacing w:val="-4"/>
        </w:rPr>
        <w:t>las</w:t>
      </w:r>
      <w:r>
        <w:rPr>
          <w:color w:val="231F20"/>
          <w:spacing w:val="-12"/>
        </w:rPr>
        <w:t> </w:t>
      </w:r>
      <w:r>
        <w:rPr>
          <w:color w:val="231F20"/>
          <w:spacing w:val="-4"/>
        </w:rPr>
        <w:t>perso- </w:t>
      </w:r>
      <w:r>
        <w:rPr>
          <w:color w:val="231F20"/>
        </w:rPr>
        <w:t>nas.</w:t>
      </w:r>
      <w:r>
        <w:rPr>
          <w:color w:val="231F20"/>
          <w:spacing w:val="-6"/>
        </w:rPr>
        <w:t> </w:t>
      </w:r>
      <w:r>
        <w:rPr>
          <w:color w:val="231F20"/>
        </w:rPr>
        <w:t>Esta</w:t>
      </w:r>
      <w:r>
        <w:rPr>
          <w:color w:val="231F20"/>
          <w:spacing w:val="-6"/>
        </w:rPr>
        <w:t> </w:t>
      </w:r>
      <w:r>
        <w:rPr>
          <w:color w:val="231F20"/>
        </w:rPr>
        <w:t>Ley</w:t>
      </w:r>
      <w:r>
        <w:rPr>
          <w:color w:val="231F20"/>
          <w:spacing w:val="-6"/>
        </w:rPr>
        <w:t> </w:t>
      </w:r>
      <w:r>
        <w:rPr>
          <w:color w:val="231F20"/>
        </w:rPr>
        <w:t>regula</w:t>
      </w:r>
      <w:r>
        <w:rPr>
          <w:color w:val="231F20"/>
          <w:spacing w:val="-6"/>
        </w:rPr>
        <w:t> </w:t>
      </w:r>
      <w:r>
        <w:rPr>
          <w:color w:val="231F20"/>
        </w:rPr>
        <w:t>la</w:t>
      </w:r>
      <w:r>
        <w:rPr>
          <w:color w:val="231F20"/>
          <w:spacing w:val="-6"/>
        </w:rPr>
        <w:t> </w:t>
      </w:r>
      <w:r>
        <w:rPr>
          <w:color w:val="231F20"/>
        </w:rPr>
        <w:t>organización</w:t>
      </w:r>
      <w:r>
        <w:rPr>
          <w:color w:val="231F20"/>
          <w:spacing w:val="-6"/>
        </w:rPr>
        <w:t> </w:t>
      </w:r>
      <w:r>
        <w:rPr>
          <w:color w:val="231F20"/>
        </w:rPr>
        <w:t>de</w:t>
      </w:r>
      <w:r>
        <w:rPr>
          <w:color w:val="231F20"/>
          <w:spacing w:val="-6"/>
        </w:rPr>
        <w:t> </w:t>
      </w:r>
      <w:r>
        <w:rPr>
          <w:color w:val="231F20"/>
        </w:rPr>
        <w:t>los </w:t>
      </w:r>
      <w:r>
        <w:rPr>
          <w:color w:val="231F20"/>
          <w:spacing w:val="-2"/>
        </w:rPr>
        <w:t>sistemas</w:t>
      </w:r>
      <w:r>
        <w:rPr>
          <w:color w:val="231F20"/>
          <w:spacing w:val="-6"/>
        </w:rPr>
        <w:t> </w:t>
      </w:r>
      <w:r>
        <w:rPr>
          <w:color w:val="231F20"/>
          <w:spacing w:val="-2"/>
        </w:rPr>
        <w:t>alimentarios</w:t>
      </w:r>
      <w:r>
        <w:rPr>
          <w:color w:val="231F20"/>
          <w:spacing w:val="-6"/>
        </w:rPr>
        <w:t> </w:t>
      </w:r>
      <w:r>
        <w:rPr>
          <w:color w:val="231F20"/>
          <w:spacing w:val="-2"/>
        </w:rPr>
        <w:t>locales</w:t>
      </w:r>
      <w:r>
        <w:rPr>
          <w:color w:val="231F20"/>
          <w:spacing w:val="-6"/>
        </w:rPr>
        <w:t> </w:t>
      </w:r>
      <w:r>
        <w:rPr>
          <w:color w:val="231F20"/>
          <w:spacing w:val="-2"/>
        </w:rPr>
        <w:t>que</w:t>
      </w:r>
      <w:r>
        <w:rPr>
          <w:color w:val="231F20"/>
          <w:spacing w:val="-6"/>
        </w:rPr>
        <w:t> </w:t>
      </w:r>
      <w:r>
        <w:rPr>
          <w:color w:val="231F20"/>
          <w:spacing w:val="-2"/>
        </w:rPr>
        <w:t>articulan </w:t>
      </w:r>
      <w:r>
        <w:rPr>
          <w:color w:val="231F20"/>
        </w:rPr>
        <w:t>de</w:t>
      </w:r>
      <w:r>
        <w:rPr>
          <w:color w:val="231F20"/>
          <w:spacing w:val="-8"/>
        </w:rPr>
        <w:t> </w:t>
      </w:r>
      <w:r>
        <w:rPr>
          <w:color w:val="231F20"/>
        </w:rPr>
        <w:t>forma</w:t>
      </w:r>
      <w:r>
        <w:rPr>
          <w:color w:val="231F20"/>
          <w:spacing w:val="-8"/>
        </w:rPr>
        <w:t> </w:t>
      </w:r>
      <w:r>
        <w:rPr>
          <w:color w:val="231F20"/>
        </w:rPr>
        <w:t>intersectorial</w:t>
      </w:r>
      <w:r>
        <w:rPr>
          <w:color w:val="231F20"/>
          <w:spacing w:val="-8"/>
        </w:rPr>
        <w:t> </w:t>
      </w:r>
      <w:r>
        <w:rPr>
          <w:color w:val="231F20"/>
        </w:rPr>
        <w:t>e</w:t>
      </w:r>
      <w:r>
        <w:rPr>
          <w:color w:val="231F20"/>
          <w:spacing w:val="-8"/>
        </w:rPr>
        <w:t> </w:t>
      </w:r>
      <w:r>
        <w:rPr>
          <w:color w:val="231F20"/>
        </w:rPr>
        <w:t>interinstitucional la</w:t>
      </w:r>
      <w:r>
        <w:rPr>
          <w:color w:val="231F20"/>
          <w:spacing w:val="-17"/>
        </w:rPr>
        <w:t> </w:t>
      </w:r>
      <w:r>
        <w:rPr>
          <w:color w:val="231F20"/>
        </w:rPr>
        <w:t>producción,</w:t>
      </w:r>
      <w:r>
        <w:rPr>
          <w:color w:val="231F20"/>
          <w:spacing w:val="-16"/>
        </w:rPr>
        <w:t> </w:t>
      </w:r>
      <w:r>
        <w:rPr>
          <w:color w:val="231F20"/>
        </w:rPr>
        <w:t>transformación,</w:t>
      </w:r>
      <w:r>
        <w:rPr>
          <w:color w:val="231F20"/>
          <w:spacing w:val="-17"/>
        </w:rPr>
        <w:t> </w:t>
      </w:r>
      <w:r>
        <w:rPr>
          <w:color w:val="231F20"/>
        </w:rPr>
        <w:t>comerciali- zación y consumo de alimentos.</w:t>
      </w:r>
    </w:p>
    <w:p>
      <w:pPr>
        <w:spacing w:before="76"/>
        <w:ind w:left="413" w:right="1132" w:firstLine="0"/>
        <w:jc w:val="both"/>
        <w:rPr>
          <w:b/>
          <w:i/>
          <w:sz w:val="24"/>
        </w:rPr>
      </w:pPr>
      <w:r>
        <w:rPr/>
        <w:br w:type="column"/>
      </w:r>
      <w:r>
        <w:rPr>
          <w:rFonts w:ascii="Segoe UI Semibold" w:hAnsi="Segoe UI Semibold"/>
          <w:b/>
          <w:i/>
          <w:color w:val="231F20"/>
          <w:sz w:val="24"/>
        </w:rPr>
        <w:t>A pesar de los cuantiosos recursos y</w:t>
      </w:r>
      <w:r>
        <w:rPr>
          <w:rFonts w:ascii="Segoe UI Semibold" w:hAnsi="Segoe UI Semibold"/>
          <w:b/>
          <w:i/>
          <w:color w:val="231F20"/>
          <w:sz w:val="24"/>
        </w:rPr>
        <w:t> </w:t>
      </w:r>
      <w:r>
        <w:rPr>
          <w:rFonts w:ascii="Segoe UI Semibold" w:hAnsi="Segoe UI Semibold"/>
          <w:b/>
          <w:i/>
          <w:color w:val="231F20"/>
          <w:spacing w:val="-2"/>
          <w:sz w:val="24"/>
        </w:rPr>
        <w:t>esfuerzos</w:t>
      </w:r>
      <w:r>
        <w:rPr>
          <w:rFonts w:ascii="Segoe UI Semibold" w:hAnsi="Segoe UI Semibold"/>
          <w:b/>
          <w:i/>
          <w:color w:val="231F20"/>
          <w:spacing w:val="-15"/>
          <w:sz w:val="24"/>
        </w:rPr>
        <w:t> </w:t>
      </w:r>
      <w:r>
        <w:rPr>
          <w:rFonts w:ascii="Segoe UI Semibold" w:hAnsi="Segoe UI Semibold"/>
          <w:b/>
          <w:i/>
          <w:color w:val="231F20"/>
          <w:spacing w:val="-2"/>
          <w:sz w:val="24"/>
        </w:rPr>
        <w:t>destinados</w:t>
      </w:r>
      <w:r>
        <w:rPr>
          <w:rFonts w:ascii="Segoe UI Semibold" w:hAnsi="Segoe UI Semibold"/>
          <w:b/>
          <w:i/>
          <w:color w:val="231F20"/>
          <w:spacing w:val="-14"/>
          <w:sz w:val="24"/>
        </w:rPr>
        <w:t> </w:t>
      </w:r>
      <w:r>
        <w:rPr>
          <w:rFonts w:ascii="Segoe UI Semibold" w:hAnsi="Segoe UI Semibold"/>
          <w:b/>
          <w:i/>
          <w:color w:val="231F20"/>
          <w:spacing w:val="-2"/>
          <w:sz w:val="24"/>
        </w:rPr>
        <w:t>por</w:t>
      </w:r>
      <w:r>
        <w:rPr>
          <w:rFonts w:ascii="Segoe UI Semibold" w:hAnsi="Segoe UI Semibold"/>
          <w:b/>
          <w:i/>
          <w:color w:val="231F20"/>
          <w:spacing w:val="-15"/>
          <w:sz w:val="24"/>
        </w:rPr>
        <w:t> </w:t>
      </w:r>
      <w:r>
        <w:rPr>
          <w:rFonts w:ascii="Segoe UI Semibold" w:hAnsi="Segoe UI Semibold"/>
          <w:b/>
          <w:i/>
          <w:color w:val="231F20"/>
          <w:spacing w:val="-2"/>
          <w:sz w:val="24"/>
        </w:rPr>
        <w:t>el</w:t>
      </w:r>
      <w:r>
        <w:rPr>
          <w:rFonts w:ascii="Segoe UI Semibold" w:hAnsi="Segoe UI Semibold"/>
          <w:b/>
          <w:i/>
          <w:color w:val="231F20"/>
          <w:spacing w:val="-14"/>
          <w:sz w:val="24"/>
        </w:rPr>
        <w:t> </w:t>
      </w:r>
      <w:r>
        <w:rPr>
          <w:rFonts w:ascii="Segoe UI Semibold" w:hAnsi="Segoe UI Semibold"/>
          <w:b/>
          <w:i/>
          <w:color w:val="231F20"/>
          <w:spacing w:val="-2"/>
          <w:sz w:val="24"/>
        </w:rPr>
        <w:t>Estado</w:t>
      </w:r>
      <w:r>
        <w:rPr>
          <w:rFonts w:ascii="Segoe UI Semibold" w:hAnsi="Segoe UI Semibold"/>
          <w:b/>
          <w:i/>
          <w:color w:val="231F20"/>
          <w:spacing w:val="-15"/>
          <w:sz w:val="24"/>
        </w:rPr>
        <w:t> </w:t>
      </w:r>
      <w:r>
        <w:rPr>
          <w:rFonts w:ascii="Segoe UI Semibold" w:hAnsi="Segoe UI Semibold"/>
          <w:b/>
          <w:i/>
          <w:color w:val="231F20"/>
          <w:spacing w:val="-2"/>
          <w:sz w:val="24"/>
        </w:rPr>
        <w:t>cubano </w:t>
      </w:r>
      <w:r>
        <w:rPr>
          <w:rFonts w:ascii="Segoe UI Semibold" w:hAnsi="Segoe UI Semibold"/>
          <w:b/>
          <w:i/>
          <w:color w:val="231F20"/>
          <w:spacing w:val="-4"/>
          <w:sz w:val="24"/>
        </w:rPr>
        <w:t>al</w:t>
      </w:r>
      <w:r>
        <w:rPr>
          <w:rFonts w:ascii="Segoe UI Semibold" w:hAnsi="Segoe UI Semibold"/>
          <w:b/>
          <w:i/>
          <w:color w:val="231F20"/>
          <w:spacing w:val="-13"/>
          <w:sz w:val="24"/>
        </w:rPr>
        <w:t> </w:t>
      </w:r>
      <w:r>
        <w:rPr>
          <w:rFonts w:ascii="Segoe UI Semibold" w:hAnsi="Segoe UI Semibold"/>
          <w:b/>
          <w:i/>
          <w:color w:val="231F20"/>
          <w:spacing w:val="-4"/>
          <w:sz w:val="24"/>
        </w:rPr>
        <w:t>desarrollo</w:t>
      </w:r>
      <w:r>
        <w:rPr>
          <w:rFonts w:ascii="Segoe UI Semibold" w:hAnsi="Segoe UI Semibold"/>
          <w:b/>
          <w:i/>
          <w:color w:val="231F20"/>
          <w:spacing w:val="-12"/>
          <w:sz w:val="24"/>
        </w:rPr>
        <w:t> </w:t>
      </w:r>
      <w:r>
        <w:rPr>
          <w:rFonts w:ascii="Segoe UI Semibold" w:hAnsi="Segoe UI Semibold"/>
          <w:b/>
          <w:i/>
          <w:color w:val="231F20"/>
          <w:spacing w:val="-4"/>
          <w:sz w:val="24"/>
        </w:rPr>
        <w:t>del</w:t>
      </w:r>
      <w:r>
        <w:rPr>
          <w:rFonts w:ascii="Segoe UI Semibold" w:hAnsi="Segoe UI Semibold"/>
          <w:b/>
          <w:i/>
          <w:color w:val="231F20"/>
          <w:spacing w:val="-13"/>
          <w:sz w:val="24"/>
        </w:rPr>
        <w:t> </w:t>
      </w:r>
      <w:r>
        <w:rPr>
          <w:rFonts w:ascii="Segoe UI Semibold" w:hAnsi="Segoe UI Semibold"/>
          <w:b/>
          <w:i/>
          <w:color w:val="231F20"/>
          <w:spacing w:val="-4"/>
          <w:sz w:val="24"/>
        </w:rPr>
        <w:t>sector</w:t>
      </w:r>
      <w:r>
        <w:rPr>
          <w:rFonts w:ascii="Segoe UI Semibold" w:hAnsi="Segoe UI Semibold"/>
          <w:b/>
          <w:i/>
          <w:color w:val="231F20"/>
          <w:spacing w:val="-12"/>
          <w:sz w:val="24"/>
        </w:rPr>
        <w:t> </w:t>
      </w:r>
      <w:r>
        <w:rPr>
          <w:rFonts w:ascii="Segoe UI Semibold" w:hAnsi="Segoe UI Semibold"/>
          <w:b/>
          <w:i/>
          <w:color w:val="231F20"/>
          <w:spacing w:val="-4"/>
          <w:sz w:val="24"/>
        </w:rPr>
        <w:t>agrícola,</w:t>
      </w:r>
      <w:r>
        <w:rPr>
          <w:rFonts w:ascii="Segoe UI Semibold" w:hAnsi="Segoe UI Semibold"/>
          <w:b/>
          <w:i/>
          <w:color w:val="231F20"/>
          <w:spacing w:val="-13"/>
          <w:sz w:val="24"/>
        </w:rPr>
        <w:t> </w:t>
      </w:r>
      <w:r>
        <w:rPr>
          <w:rFonts w:ascii="Segoe UI Semibold" w:hAnsi="Segoe UI Semibold"/>
          <w:b/>
          <w:i/>
          <w:color w:val="231F20"/>
          <w:spacing w:val="-4"/>
          <w:sz w:val="24"/>
        </w:rPr>
        <w:t>el</w:t>
      </w:r>
      <w:r>
        <w:rPr>
          <w:rFonts w:ascii="Segoe UI Semibold" w:hAnsi="Segoe UI Semibold"/>
          <w:b/>
          <w:i/>
          <w:color w:val="231F20"/>
          <w:spacing w:val="-12"/>
          <w:sz w:val="24"/>
        </w:rPr>
        <w:t> </w:t>
      </w:r>
      <w:r>
        <w:rPr>
          <w:rFonts w:ascii="Segoe UI Semibold" w:hAnsi="Segoe UI Semibold"/>
          <w:b/>
          <w:i/>
          <w:color w:val="231F20"/>
          <w:spacing w:val="-4"/>
          <w:sz w:val="24"/>
        </w:rPr>
        <w:t>impacto </w:t>
      </w:r>
      <w:r>
        <w:rPr>
          <w:rFonts w:ascii="Segoe UI Semibold" w:hAnsi="Segoe UI Semibold"/>
          <w:b/>
          <w:i/>
          <w:color w:val="231F20"/>
          <w:sz w:val="24"/>
        </w:rPr>
        <w:t>del bloqueo en este ámbito es notable. Entre</w:t>
      </w:r>
      <w:r>
        <w:rPr>
          <w:rFonts w:ascii="Segoe UI Semibold" w:hAnsi="Segoe UI Semibold"/>
          <w:b/>
          <w:i/>
          <w:color w:val="231F20"/>
          <w:spacing w:val="-9"/>
          <w:sz w:val="24"/>
        </w:rPr>
        <w:t> </w:t>
      </w:r>
      <w:r>
        <w:rPr>
          <w:rFonts w:ascii="Segoe UI Semibold" w:hAnsi="Segoe UI Semibold"/>
          <w:b/>
          <w:i/>
          <w:color w:val="231F20"/>
          <w:sz w:val="24"/>
        </w:rPr>
        <w:t>marzo</w:t>
      </w:r>
      <w:r>
        <w:rPr>
          <w:rFonts w:ascii="Segoe UI Semibold" w:hAnsi="Segoe UI Semibold"/>
          <w:b/>
          <w:i/>
          <w:color w:val="231F20"/>
          <w:spacing w:val="-9"/>
          <w:sz w:val="24"/>
        </w:rPr>
        <w:t> </w:t>
      </w:r>
      <w:r>
        <w:rPr>
          <w:rFonts w:ascii="Segoe UI Semibold" w:hAnsi="Segoe UI Semibold"/>
          <w:b/>
          <w:i/>
          <w:color w:val="231F20"/>
          <w:sz w:val="24"/>
        </w:rPr>
        <w:t>de</w:t>
      </w:r>
      <w:r>
        <w:rPr>
          <w:rFonts w:ascii="Segoe UI Semibold" w:hAnsi="Segoe UI Semibold"/>
          <w:b/>
          <w:i/>
          <w:color w:val="231F20"/>
          <w:spacing w:val="-9"/>
          <w:sz w:val="24"/>
        </w:rPr>
        <w:t> </w:t>
      </w:r>
      <w:r>
        <w:rPr>
          <w:rFonts w:ascii="Segoe UI Semibold" w:hAnsi="Segoe UI Semibold"/>
          <w:b/>
          <w:i/>
          <w:color w:val="231F20"/>
          <w:sz w:val="24"/>
        </w:rPr>
        <w:t>2022</w:t>
      </w:r>
      <w:r>
        <w:rPr>
          <w:rFonts w:ascii="Segoe UI Semibold" w:hAnsi="Segoe UI Semibold"/>
          <w:b/>
          <w:i/>
          <w:color w:val="231F20"/>
          <w:spacing w:val="-9"/>
          <w:sz w:val="24"/>
        </w:rPr>
        <w:t> </w:t>
      </w:r>
      <w:r>
        <w:rPr>
          <w:rFonts w:ascii="Segoe UI Semibold" w:hAnsi="Segoe UI Semibold"/>
          <w:b/>
          <w:i/>
          <w:color w:val="231F20"/>
          <w:sz w:val="24"/>
        </w:rPr>
        <w:t>y</w:t>
      </w:r>
      <w:r>
        <w:rPr>
          <w:rFonts w:ascii="Segoe UI Semibold" w:hAnsi="Segoe UI Semibold"/>
          <w:b/>
          <w:i/>
          <w:color w:val="231F20"/>
          <w:spacing w:val="-9"/>
          <w:sz w:val="24"/>
        </w:rPr>
        <w:t> </w:t>
      </w:r>
      <w:r>
        <w:rPr>
          <w:rFonts w:ascii="Segoe UI Semibold" w:hAnsi="Segoe UI Semibold"/>
          <w:b/>
          <w:i/>
          <w:color w:val="231F20"/>
          <w:sz w:val="24"/>
        </w:rPr>
        <w:t>febrero</w:t>
      </w:r>
      <w:r>
        <w:rPr>
          <w:rFonts w:ascii="Segoe UI Semibold" w:hAnsi="Segoe UI Semibold"/>
          <w:b/>
          <w:i/>
          <w:color w:val="231F20"/>
          <w:spacing w:val="-9"/>
          <w:sz w:val="24"/>
        </w:rPr>
        <w:t> </w:t>
      </w:r>
      <w:r>
        <w:rPr>
          <w:rFonts w:ascii="Segoe UI Semibold" w:hAnsi="Segoe UI Semibold"/>
          <w:b/>
          <w:i/>
          <w:color w:val="231F20"/>
          <w:sz w:val="24"/>
        </w:rPr>
        <w:t>de</w:t>
      </w:r>
      <w:r>
        <w:rPr>
          <w:rFonts w:ascii="Segoe UI Semibold" w:hAnsi="Segoe UI Semibold"/>
          <w:b/>
          <w:i/>
          <w:color w:val="231F20"/>
          <w:spacing w:val="-9"/>
          <w:sz w:val="24"/>
        </w:rPr>
        <w:t> </w:t>
      </w:r>
      <w:r>
        <w:rPr>
          <w:rFonts w:ascii="Segoe UI Semibold" w:hAnsi="Segoe UI Semibold"/>
          <w:b/>
          <w:i/>
          <w:color w:val="231F20"/>
          <w:sz w:val="24"/>
        </w:rPr>
        <w:t>2023,</w:t>
      </w:r>
      <w:r>
        <w:rPr>
          <w:rFonts w:ascii="Segoe UI Semibold" w:hAnsi="Segoe UI Semibold"/>
          <w:b/>
          <w:i/>
          <w:color w:val="231F20"/>
          <w:spacing w:val="-9"/>
          <w:sz w:val="24"/>
        </w:rPr>
        <w:t> </w:t>
      </w:r>
      <w:r>
        <w:rPr>
          <w:rFonts w:ascii="Segoe UI Semibold" w:hAnsi="Segoe UI Semibold"/>
          <w:b/>
          <w:i/>
          <w:color w:val="231F20"/>
          <w:sz w:val="24"/>
        </w:rPr>
        <w:t>se contabilizan daños por un valor de </w:t>
      </w:r>
      <w:r>
        <w:rPr>
          <w:b/>
          <w:i/>
          <w:color w:val="231F20"/>
          <w:sz w:val="24"/>
        </w:rPr>
        <w:t>273</w:t>
      </w:r>
      <w:r>
        <w:rPr>
          <w:b/>
          <w:i/>
          <w:color w:val="231F20"/>
          <w:sz w:val="24"/>
        </w:rPr>
        <w:t> millones 390 mil 800 dólares.</w:t>
      </w:r>
    </w:p>
    <w:p>
      <w:pPr>
        <w:pStyle w:val="BodyText"/>
        <w:spacing w:before="160"/>
        <w:ind w:left="413" w:right="1130"/>
      </w:pPr>
      <w:r>
        <w:rPr>
          <w:color w:val="231F20"/>
        </w:rPr>
        <w:t>El impacto negativo del cerco </w:t>
      </w:r>
      <w:r>
        <w:rPr>
          <w:color w:val="231F20"/>
        </w:rPr>
        <w:t>económico en el acceso a insumos, materias primas, productos</w:t>
      </w:r>
      <w:r>
        <w:rPr>
          <w:color w:val="231F20"/>
          <w:spacing w:val="-15"/>
        </w:rPr>
        <w:t> </w:t>
      </w:r>
      <w:r>
        <w:rPr>
          <w:color w:val="231F20"/>
        </w:rPr>
        <w:t>químicos</w:t>
      </w:r>
      <w:r>
        <w:rPr>
          <w:color w:val="231F20"/>
          <w:spacing w:val="-15"/>
        </w:rPr>
        <w:t> </w:t>
      </w:r>
      <w:r>
        <w:rPr>
          <w:color w:val="231F20"/>
        </w:rPr>
        <w:t>y</w:t>
      </w:r>
      <w:r>
        <w:rPr>
          <w:color w:val="231F20"/>
          <w:spacing w:val="-15"/>
        </w:rPr>
        <w:t> </w:t>
      </w:r>
      <w:r>
        <w:rPr>
          <w:color w:val="231F20"/>
        </w:rPr>
        <w:t>tecnologías</w:t>
      </w:r>
      <w:r>
        <w:rPr>
          <w:color w:val="231F20"/>
          <w:spacing w:val="-15"/>
        </w:rPr>
        <w:t> </w:t>
      </w:r>
      <w:r>
        <w:rPr>
          <w:color w:val="231F20"/>
        </w:rPr>
        <w:t>para</w:t>
      </w:r>
      <w:r>
        <w:rPr>
          <w:color w:val="231F20"/>
          <w:spacing w:val="-15"/>
        </w:rPr>
        <w:t> </w:t>
      </w:r>
      <w:r>
        <w:rPr>
          <w:color w:val="231F20"/>
        </w:rPr>
        <w:t>los procesos productivos, ha ocasionado una </w:t>
      </w:r>
      <w:r>
        <w:rPr>
          <w:color w:val="231F20"/>
          <w:spacing w:val="-2"/>
        </w:rPr>
        <w:t>considerable</w:t>
      </w:r>
      <w:r>
        <w:rPr>
          <w:color w:val="231F20"/>
          <w:spacing w:val="-15"/>
        </w:rPr>
        <w:t> </w:t>
      </w:r>
      <w:r>
        <w:rPr>
          <w:color w:val="231F20"/>
          <w:spacing w:val="-2"/>
        </w:rPr>
        <w:t>disminución</w:t>
      </w:r>
      <w:r>
        <w:rPr>
          <w:color w:val="231F20"/>
          <w:spacing w:val="-14"/>
        </w:rPr>
        <w:t> </w:t>
      </w:r>
      <w:r>
        <w:rPr>
          <w:color w:val="231F20"/>
          <w:spacing w:val="-2"/>
        </w:rPr>
        <w:t>de</w:t>
      </w:r>
      <w:r>
        <w:rPr>
          <w:color w:val="231F20"/>
          <w:spacing w:val="-15"/>
        </w:rPr>
        <w:t> </w:t>
      </w:r>
      <w:r>
        <w:rPr>
          <w:color w:val="231F20"/>
          <w:spacing w:val="-2"/>
        </w:rPr>
        <w:t>la</w:t>
      </w:r>
      <w:r>
        <w:rPr>
          <w:color w:val="231F20"/>
          <w:spacing w:val="-14"/>
        </w:rPr>
        <w:t> </w:t>
      </w:r>
      <w:r>
        <w:rPr>
          <w:color w:val="231F20"/>
          <w:spacing w:val="-2"/>
        </w:rPr>
        <w:t>producción </w:t>
      </w:r>
      <w:r>
        <w:rPr>
          <w:color w:val="231F20"/>
        </w:rPr>
        <w:t>nacional. Por solo mencionar un ejemplo, la empresa mixta hispano-cubana Bravo S.A., pudo haber adquirido 384 toneladas más</w:t>
      </w:r>
      <w:r>
        <w:rPr>
          <w:color w:val="231F20"/>
          <w:spacing w:val="-7"/>
        </w:rPr>
        <w:t> </w:t>
      </w:r>
      <w:r>
        <w:rPr>
          <w:color w:val="231F20"/>
        </w:rPr>
        <w:t>de</w:t>
      </w:r>
      <w:r>
        <w:rPr>
          <w:color w:val="231F20"/>
          <w:spacing w:val="-6"/>
        </w:rPr>
        <w:t> </w:t>
      </w:r>
      <w:r>
        <w:rPr>
          <w:color w:val="231F20"/>
        </w:rPr>
        <w:t>materia</w:t>
      </w:r>
      <w:r>
        <w:rPr>
          <w:color w:val="231F20"/>
          <w:spacing w:val="-6"/>
        </w:rPr>
        <w:t> </w:t>
      </w:r>
      <w:r>
        <w:rPr>
          <w:color w:val="231F20"/>
        </w:rPr>
        <w:t>prima</w:t>
      </w:r>
      <w:r>
        <w:rPr>
          <w:color w:val="231F20"/>
          <w:spacing w:val="-7"/>
        </w:rPr>
        <w:t> </w:t>
      </w:r>
      <w:r>
        <w:rPr>
          <w:color w:val="231F20"/>
        </w:rPr>
        <w:t>cárnica</w:t>
      </w:r>
      <w:r>
        <w:rPr>
          <w:color w:val="231F20"/>
          <w:spacing w:val="-6"/>
        </w:rPr>
        <w:t> </w:t>
      </w:r>
      <w:r>
        <w:rPr>
          <w:color w:val="231F20"/>
        </w:rPr>
        <w:t>y</w:t>
      </w:r>
      <w:r>
        <w:rPr>
          <w:color w:val="231F20"/>
          <w:spacing w:val="-6"/>
        </w:rPr>
        <w:t> </w:t>
      </w:r>
      <w:r>
        <w:rPr>
          <w:color w:val="231F20"/>
          <w:spacing w:val="-2"/>
        </w:rPr>
        <w:t>producido</w:t>
      </w:r>
    </w:p>
    <w:p>
      <w:pPr>
        <w:pStyle w:val="BodyText"/>
        <w:spacing w:before="7"/>
        <w:ind w:left="413" w:right="1131"/>
      </w:pPr>
      <w:r>
        <w:rPr>
          <w:color w:val="231F20"/>
        </w:rPr>
        <w:t>626.2 toneladas de producto terminado en el período que se analiza, de haber podido suministrarse directamente del mercado estadounidense.</w:t>
      </w:r>
    </w:p>
    <w:p>
      <w:pPr>
        <w:pStyle w:val="BodyText"/>
        <w:spacing w:before="163"/>
        <w:ind w:left="413" w:right="1134"/>
      </w:pPr>
      <w:r>
        <w:rPr>
          <w:color w:val="231F20"/>
        </w:rPr>
        <w:t>La insuficiente maquinaria agrícola, alimentación</w:t>
      </w:r>
      <w:r>
        <w:rPr>
          <w:color w:val="231F20"/>
          <w:spacing w:val="-14"/>
        </w:rPr>
        <w:t> </w:t>
      </w:r>
      <w:r>
        <w:rPr>
          <w:color w:val="231F20"/>
        </w:rPr>
        <w:t>animal,</w:t>
      </w:r>
      <w:r>
        <w:rPr>
          <w:color w:val="231F20"/>
          <w:spacing w:val="-14"/>
        </w:rPr>
        <w:t> </w:t>
      </w:r>
      <w:r>
        <w:rPr>
          <w:color w:val="231F20"/>
        </w:rPr>
        <w:t>la</w:t>
      </w:r>
      <w:r>
        <w:rPr>
          <w:color w:val="231F20"/>
          <w:spacing w:val="-14"/>
        </w:rPr>
        <w:t> </w:t>
      </w:r>
      <w:r>
        <w:rPr>
          <w:color w:val="231F20"/>
        </w:rPr>
        <w:t>ausencia</w:t>
      </w:r>
      <w:r>
        <w:rPr>
          <w:color w:val="231F20"/>
          <w:spacing w:val="-14"/>
        </w:rPr>
        <w:t> </w:t>
      </w:r>
      <w:r>
        <w:rPr>
          <w:color w:val="231F20"/>
        </w:rPr>
        <w:t>de</w:t>
      </w:r>
      <w:r>
        <w:rPr>
          <w:color w:val="231F20"/>
          <w:spacing w:val="-14"/>
        </w:rPr>
        <w:t> </w:t>
      </w:r>
      <w:r>
        <w:rPr>
          <w:color w:val="231F20"/>
        </w:rPr>
        <w:t>partes y</w:t>
      </w:r>
      <w:r>
        <w:rPr>
          <w:color w:val="231F20"/>
          <w:spacing w:val="-4"/>
        </w:rPr>
        <w:t> </w:t>
      </w:r>
      <w:r>
        <w:rPr>
          <w:color w:val="231F20"/>
        </w:rPr>
        <w:t>piezas</w:t>
      </w:r>
      <w:r>
        <w:rPr>
          <w:color w:val="231F20"/>
          <w:spacing w:val="-4"/>
        </w:rPr>
        <w:t> </w:t>
      </w:r>
      <w:r>
        <w:rPr>
          <w:color w:val="231F20"/>
        </w:rPr>
        <w:t>de</w:t>
      </w:r>
      <w:r>
        <w:rPr>
          <w:color w:val="231F20"/>
          <w:spacing w:val="-4"/>
        </w:rPr>
        <w:t> </w:t>
      </w:r>
      <w:r>
        <w:rPr>
          <w:color w:val="231F20"/>
        </w:rPr>
        <w:t>repuesto</w:t>
      </w:r>
      <w:r>
        <w:rPr>
          <w:color w:val="231F20"/>
          <w:spacing w:val="-4"/>
        </w:rPr>
        <w:t> </w:t>
      </w:r>
      <w:r>
        <w:rPr>
          <w:color w:val="231F20"/>
        </w:rPr>
        <w:t>para</w:t>
      </w:r>
      <w:r>
        <w:rPr>
          <w:color w:val="231F20"/>
          <w:spacing w:val="-4"/>
        </w:rPr>
        <w:t> </w:t>
      </w:r>
      <w:r>
        <w:rPr>
          <w:color w:val="231F20"/>
        </w:rPr>
        <w:t>los</w:t>
      </w:r>
      <w:r>
        <w:rPr>
          <w:color w:val="231F20"/>
          <w:spacing w:val="-4"/>
        </w:rPr>
        <w:t> </w:t>
      </w:r>
      <w:r>
        <w:rPr>
          <w:color w:val="231F20"/>
        </w:rPr>
        <w:t>equipos</w:t>
      </w:r>
      <w:r>
        <w:rPr>
          <w:color w:val="231F20"/>
          <w:spacing w:val="-4"/>
        </w:rPr>
        <w:t> </w:t>
      </w:r>
      <w:r>
        <w:rPr>
          <w:color w:val="231F20"/>
        </w:rPr>
        <w:t>y</w:t>
      </w:r>
      <w:r>
        <w:rPr>
          <w:color w:val="231F20"/>
          <w:spacing w:val="-4"/>
        </w:rPr>
        <w:t> </w:t>
      </w:r>
      <w:r>
        <w:rPr>
          <w:color w:val="231F20"/>
        </w:rPr>
        <w:t>la </w:t>
      </w:r>
      <w:r>
        <w:rPr>
          <w:color w:val="231F20"/>
          <w:spacing w:val="-6"/>
        </w:rPr>
        <w:t>industria,</w:t>
      </w:r>
      <w:r>
        <w:rPr>
          <w:color w:val="231F20"/>
          <w:spacing w:val="-11"/>
        </w:rPr>
        <w:t> </w:t>
      </w:r>
      <w:r>
        <w:rPr>
          <w:color w:val="231F20"/>
          <w:spacing w:val="-6"/>
        </w:rPr>
        <w:t>unido</w:t>
      </w:r>
      <w:r>
        <w:rPr>
          <w:color w:val="231F20"/>
          <w:spacing w:val="-10"/>
        </w:rPr>
        <w:t> </w:t>
      </w:r>
      <w:r>
        <w:rPr>
          <w:color w:val="231F20"/>
          <w:spacing w:val="-6"/>
        </w:rPr>
        <w:t>a</w:t>
      </w:r>
      <w:r>
        <w:rPr>
          <w:color w:val="231F20"/>
          <w:spacing w:val="-11"/>
        </w:rPr>
        <w:t> </w:t>
      </w:r>
      <w:r>
        <w:rPr>
          <w:color w:val="231F20"/>
          <w:spacing w:val="-6"/>
        </w:rPr>
        <w:t>la</w:t>
      </w:r>
      <w:r>
        <w:rPr>
          <w:color w:val="231F20"/>
          <w:spacing w:val="-10"/>
        </w:rPr>
        <w:t> </w:t>
      </w:r>
      <w:r>
        <w:rPr>
          <w:color w:val="231F20"/>
          <w:spacing w:val="-6"/>
        </w:rPr>
        <w:t>escasez</w:t>
      </w:r>
      <w:r>
        <w:rPr>
          <w:color w:val="231F20"/>
          <w:spacing w:val="-11"/>
        </w:rPr>
        <w:t> </w:t>
      </w:r>
      <w:r>
        <w:rPr>
          <w:color w:val="231F20"/>
          <w:spacing w:val="-6"/>
        </w:rPr>
        <w:t>de</w:t>
      </w:r>
      <w:r>
        <w:rPr>
          <w:color w:val="231F20"/>
          <w:spacing w:val="-10"/>
        </w:rPr>
        <w:t> </w:t>
      </w:r>
      <w:r>
        <w:rPr>
          <w:color w:val="231F20"/>
          <w:spacing w:val="-6"/>
        </w:rPr>
        <w:t>combustible, </w:t>
      </w:r>
      <w:r>
        <w:rPr>
          <w:color w:val="231F20"/>
        </w:rPr>
        <w:t>han</w:t>
      </w:r>
      <w:r>
        <w:rPr>
          <w:color w:val="231F20"/>
          <w:spacing w:val="-17"/>
        </w:rPr>
        <w:t> </w:t>
      </w:r>
      <w:r>
        <w:rPr>
          <w:color w:val="231F20"/>
        </w:rPr>
        <w:t>impedido</w:t>
      </w:r>
      <w:r>
        <w:rPr>
          <w:color w:val="231F20"/>
          <w:spacing w:val="-16"/>
        </w:rPr>
        <w:t> </w:t>
      </w:r>
      <w:r>
        <w:rPr>
          <w:color w:val="231F20"/>
        </w:rPr>
        <w:t>el</w:t>
      </w:r>
      <w:r>
        <w:rPr>
          <w:color w:val="231F20"/>
          <w:spacing w:val="-17"/>
        </w:rPr>
        <w:t> </w:t>
      </w:r>
      <w:r>
        <w:rPr>
          <w:color w:val="231F20"/>
        </w:rPr>
        <w:t>completo</w:t>
      </w:r>
      <w:r>
        <w:rPr>
          <w:color w:val="231F20"/>
          <w:spacing w:val="-16"/>
        </w:rPr>
        <w:t> </w:t>
      </w:r>
      <w:r>
        <w:rPr>
          <w:color w:val="231F20"/>
        </w:rPr>
        <w:t>abastecimiento del</w:t>
      </w:r>
      <w:r>
        <w:rPr>
          <w:color w:val="231F20"/>
          <w:spacing w:val="-11"/>
        </w:rPr>
        <w:t> </w:t>
      </w:r>
      <w:r>
        <w:rPr>
          <w:color w:val="231F20"/>
        </w:rPr>
        <w:t>sistema</w:t>
      </w:r>
      <w:r>
        <w:rPr>
          <w:color w:val="231F20"/>
          <w:spacing w:val="-11"/>
        </w:rPr>
        <w:t> </w:t>
      </w:r>
      <w:r>
        <w:rPr>
          <w:color w:val="231F20"/>
        </w:rPr>
        <w:t>de</w:t>
      </w:r>
      <w:r>
        <w:rPr>
          <w:color w:val="231F20"/>
          <w:spacing w:val="-11"/>
        </w:rPr>
        <w:t> </w:t>
      </w:r>
      <w:r>
        <w:rPr>
          <w:color w:val="231F20"/>
        </w:rPr>
        <w:t>la</w:t>
      </w:r>
      <w:r>
        <w:rPr>
          <w:color w:val="231F20"/>
          <w:spacing w:val="-11"/>
        </w:rPr>
        <w:t> </w:t>
      </w:r>
      <w:r>
        <w:rPr>
          <w:color w:val="231F20"/>
        </w:rPr>
        <w:t>agricultura</w:t>
      </w:r>
      <w:r>
        <w:rPr>
          <w:color w:val="231F20"/>
          <w:spacing w:val="-11"/>
        </w:rPr>
        <w:t> </w:t>
      </w:r>
      <w:r>
        <w:rPr>
          <w:color w:val="231F20"/>
        </w:rPr>
        <w:t>nacional</w:t>
      </w:r>
      <w:r>
        <w:rPr>
          <w:color w:val="231F20"/>
          <w:spacing w:val="-11"/>
        </w:rPr>
        <w:t> </w:t>
      </w:r>
      <w:r>
        <w:rPr>
          <w:color w:val="231F20"/>
        </w:rPr>
        <w:t>para el</w:t>
      </w:r>
      <w:r>
        <w:rPr>
          <w:color w:val="231F20"/>
          <w:spacing w:val="-5"/>
        </w:rPr>
        <w:t> </w:t>
      </w:r>
      <w:r>
        <w:rPr>
          <w:color w:val="231F20"/>
        </w:rPr>
        <w:t>cumplimiento</w:t>
      </w:r>
      <w:r>
        <w:rPr>
          <w:color w:val="231F20"/>
          <w:spacing w:val="-5"/>
        </w:rPr>
        <w:t> </w:t>
      </w:r>
      <w:r>
        <w:rPr>
          <w:color w:val="231F20"/>
        </w:rPr>
        <w:t>de</w:t>
      </w:r>
      <w:r>
        <w:rPr>
          <w:color w:val="231F20"/>
          <w:spacing w:val="-5"/>
        </w:rPr>
        <w:t> </w:t>
      </w:r>
      <w:r>
        <w:rPr>
          <w:color w:val="231F20"/>
        </w:rPr>
        <w:t>la</w:t>
      </w:r>
      <w:r>
        <w:rPr>
          <w:color w:val="231F20"/>
          <w:spacing w:val="-5"/>
        </w:rPr>
        <w:t> </w:t>
      </w:r>
      <w:r>
        <w:rPr>
          <w:color w:val="231F20"/>
        </w:rPr>
        <w:t>demanda</w:t>
      </w:r>
      <w:r>
        <w:rPr>
          <w:color w:val="231F20"/>
          <w:spacing w:val="-5"/>
        </w:rPr>
        <w:t> </w:t>
      </w:r>
      <w:r>
        <w:rPr>
          <w:color w:val="231F20"/>
        </w:rPr>
        <w:t>existente, </w:t>
      </w:r>
      <w:r>
        <w:rPr>
          <w:color w:val="231F20"/>
          <w:spacing w:val="-4"/>
        </w:rPr>
        <w:t>tanto</w:t>
      </w:r>
      <w:r>
        <w:rPr>
          <w:color w:val="231F20"/>
          <w:spacing w:val="-13"/>
        </w:rPr>
        <w:t> </w:t>
      </w:r>
      <w:r>
        <w:rPr>
          <w:color w:val="231F20"/>
          <w:spacing w:val="-4"/>
        </w:rPr>
        <w:t>a</w:t>
      </w:r>
      <w:r>
        <w:rPr>
          <w:color w:val="231F20"/>
          <w:spacing w:val="-12"/>
        </w:rPr>
        <w:t> </w:t>
      </w:r>
      <w:r>
        <w:rPr>
          <w:color w:val="231F20"/>
          <w:spacing w:val="-4"/>
        </w:rPr>
        <w:t>nivel</w:t>
      </w:r>
      <w:r>
        <w:rPr>
          <w:color w:val="231F20"/>
          <w:spacing w:val="-13"/>
        </w:rPr>
        <w:t> </w:t>
      </w:r>
      <w:r>
        <w:rPr>
          <w:color w:val="231F20"/>
          <w:spacing w:val="-4"/>
        </w:rPr>
        <w:t>interno</w:t>
      </w:r>
      <w:r>
        <w:rPr>
          <w:color w:val="231F20"/>
          <w:spacing w:val="-12"/>
        </w:rPr>
        <w:t> </w:t>
      </w:r>
      <w:r>
        <w:rPr>
          <w:color w:val="231F20"/>
          <w:spacing w:val="-4"/>
        </w:rPr>
        <w:t>como</w:t>
      </w:r>
      <w:r>
        <w:rPr>
          <w:color w:val="231F20"/>
          <w:spacing w:val="-13"/>
        </w:rPr>
        <w:t> </w:t>
      </w:r>
      <w:r>
        <w:rPr>
          <w:color w:val="231F20"/>
          <w:spacing w:val="-4"/>
        </w:rPr>
        <w:t>para</w:t>
      </w:r>
      <w:r>
        <w:rPr>
          <w:color w:val="231F20"/>
          <w:spacing w:val="-12"/>
        </w:rPr>
        <w:t> </w:t>
      </w:r>
      <w:r>
        <w:rPr>
          <w:color w:val="231F20"/>
          <w:spacing w:val="-4"/>
        </w:rPr>
        <w:t>el</w:t>
      </w:r>
      <w:r>
        <w:rPr>
          <w:color w:val="231F20"/>
          <w:spacing w:val="-13"/>
        </w:rPr>
        <w:t> </w:t>
      </w:r>
      <w:r>
        <w:rPr>
          <w:color w:val="231F20"/>
          <w:spacing w:val="-4"/>
        </w:rPr>
        <w:t>comercio </w:t>
      </w:r>
      <w:r>
        <w:rPr>
          <w:color w:val="231F20"/>
        </w:rPr>
        <w:t>exterior. Adicionalmente, la imposibilidad de contratar un número considerable de navieras,</w:t>
      </w:r>
      <w:r>
        <w:rPr>
          <w:color w:val="231F20"/>
          <w:spacing w:val="-17"/>
        </w:rPr>
        <w:t> </w:t>
      </w:r>
      <w:r>
        <w:rPr>
          <w:color w:val="231F20"/>
        </w:rPr>
        <w:t>ha</w:t>
      </w:r>
      <w:r>
        <w:rPr>
          <w:color w:val="231F20"/>
          <w:spacing w:val="-16"/>
        </w:rPr>
        <w:t> </w:t>
      </w:r>
      <w:r>
        <w:rPr>
          <w:color w:val="231F20"/>
        </w:rPr>
        <w:t>interrumpido</w:t>
      </w:r>
      <w:r>
        <w:rPr>
          <w:color w:val="231F20"/>
          <w:spacing w:val="-17"/>
        </w:rPr>
        <w:t> </w:t>
      </w:r>
      <w:r>
        <w:rPr>
          <w:color w:val="231F20"/>
        </w:rPr>
        <w:t>la</w:t>
      </w:r>
      <w:r>
        <w:rPr>
          <w:color w:val="231F20"/>
          <w:spacing w:val="-16"/>
        </w:rPr>
        <w:t> </w:t>
      </w:r>
      <w:r>
        <w:rPr>
          <w:color w:val="231F20"/>
        </w:rPr>
        <w:t>llegada</w:t>
      </w:r>
      <w:r>
        <w:rPr>
          <w:color w:val="231F20"/>
          <w:spacing w:val="-17"/>
        </w:rPr>
        <w:t> </w:t>
      </w:r>
      <w:r>
        <w:rPr>
          <w:color w:val="231F20"/>
        </w:rPr>
        <w:t>al</w:t>
      </w:r>
      <w:r>
        <w:rPr>
          <w:color w:val="231F20"/>
          <w:spacing w:val="-16"/>
        </w:rPr>
        <w:t> </w:t>
      </w:r>
      <w:r>
        <w:rPr>
          <w:color w:val="231F20"/>
        </w:rPr>
        <w:t>país de suministros ya pagados.</w:t>
      </w:r>
    </w:p>
    <w:p>
      <w:pPr>
        <w:pStyle w:val="BodyText"/>
        <w:spacing w:before="169"/>
        <w:ind w:left="413" w:right="1128"/>
      </w:pPr>
      <w:r>
        <w:rPr>
          <w:color w:val="231F20"/>
        </w:rPr>
        <w:t>Se destaca también la imposibilidad </w:t>
      </w:r>
      <w:r>
        <w:rPr>
          <w:color w:val="231F20"/>
        </w:rPr>
        <w:t>de adquirir medicamentos para la masa </w:t>
      </w:r>
      <w:r>
        <w:rPr>
          <w:color w:val="231F20"/>
          <w:spacing w:val="-6"/>
        </w:rPr>
        <w:t>ganadera,</w:t>
      </w:r>
      <w:r>
        <w:rPr>
          <w:color w:val="231F20"/>
          <w:spacing w:val="-11"/>
        </w:rPr>
        <w:t> </w:t>
      </w:r>
      <w:r>
        <w:rPr>
          <w:color w:val="231F20"/>
          <w:spacing w:val="-6"/>
        </w:rPr>
        <w:t>que</w:t>
      </w:r>
      <w:r>
        <w:rPr>
          <w:color w:val="231F20"/>
          <w:spacing w:val="-10"/>
        </w:rPr>
        <w:t> </w:t>
      </w:r>
      <w:r>
        <w:rPr>
          <w:color w:val="231F20"/>
          <w:spacing w:val="-6"/>
        </w:rPr>
        <w:t>en</w:t>
      </w:r>
      <w:r>
        <w:rPr>
          <w:color w:val="231F20"/>
          <w:spacing w:val="-11"/>
        </w:rPr>
        <w:t> </w:t>
      </w:r>
      <w:r>
        <w:rPr>
          <w:color w:val="231F20"/>
          <w:spacing w:val="-6"/>
        </w:rPr>
        <w:t>su</w:t>
      </w:r>
      <w:r>
        <w:rPr>
          <w:color w:val="231F20"/>
          <w:spacing w:val="-10"/>
        </w:rPr>
        <w:t> </w:t>
      </w:r>
      <w:r>
        <w:rPr>
          <w:color w:val="231F20"/>
          <w:spacing w:val="-6"/>
        </w:rPr>
        <w:t>mayoría</w:t>
      </w:r>
      <w:r>
        <w:rPr>
          <w:color w:val="231F20"/>
          <w:spacing w:val="-11"/>
        </w:rPr>
        <w:t> </w:t>
      </w:r>
      <w:r>
        <w:rPr>
          <w:color w:val="231F20"/>
          <w:spacing w:val="-6"/>
        </w:rPr>
        <w:t>se</w:t>
      </w:r>
      <w:r>
        <w:rPr>
          <w:color w:val="231F20"/>
          <w:spacing w:val="-10"/>
        </w:rPr>
        <w:t> </w:t>
      </w:r>
      <w:r>
        <w:rPr>
          <w:color w:val="231F20"/>
          <w:spacing w:val="-6"/>
        </w:rPr>
        <w:t>obtenían</w:t>
      </w:r>
      <w:r>
        <w:rPr>
          <w:color w:val="231F20"/>
          <w:spacing w:val="-11"/>
        </w:rPr>
        <w:t> </w:t>
      </w:r>
      <w:r>
        <w:rPr>
          <w:color w:val="231F20"/>
          <w:spacing w:val="-6"/>
        </w:rPr>
        <w:t>de </w:t>
      </w:r>
      <w:r>
        <w:rPr>
          <w:color w:val="231F20"/>
        </w:rPr>
        <w:t>la compañía alemana Bayer. Luego de su fusión con un consorcio estadounidense, esta empresa dejó de realizar negocios con Cuba.</w:t>
      </w:r>
    </w:p>
    <w:p>
      <w:pPr>
        <w:pStyle w:val="BodyText"/>
        <w:spacing w:before="166"/>
        <w:ind w:left="413" w:right="1128"/>
      </w:pPr>
      <w:r>
        <w:rPr>
          <w:color w:val="231F20"/>
        </w:rPr>
        <w:t>En la etapa que se analiza, la empresa cubana</w:t>
      </w:r>
      <w:r>
        <w:rPr>
          <w:color w:val="231F20"/>
          <w:spacing w:val="-9"/>
        </w:rPr>
        <w:t> </w:t>
      </w:r>
      <w:r>
        <w:rPr>
          <w:color w:val="231F20"/>
        </w:rPr>
        <w:t>Alimport</w:t>
      </w:r>
      <w:r>
        <w:rPr>
          <w:color w:val="231F20"/>
          <w:spacing w:val="-9"/>
        </w:rPr>
        <w:t> </w:t>
      </w:r>
      <w:r>
        <w:rPr>
          <w:color w:val="231F20"/>
        </w:rPr>
        <w:t>reportó</w:t>
      </w:r>
      <w:r>
        <w:rPr>
          <w:color w:val="231F20"/>
          <w:spacing w:val="-9"/>
        </w:rPr>
        <w:t> </w:t>
      </w:r>
      <w:r>
        <w:rPr>
          <w:color w:val="231F20"/>
        </w:rPr>
        <w:t>afectaciones</w:t>
      </w:r>
      <w:r>
        <w:rPr>
          <w:color w:val="231F20"/>
          <w:spacing w:val="-9"/>
        </w:rPr>
        <w:t> </w:t>
      </w:r>
      <w:r>
        <w:rPr>
          <w:color w:val="231F20"/>
        </w:rPr>
        <w:t>por un</w:t>
      </w:r>
      <w:r>
        <w:rPr>
          <w:color w:val="231F20"/>
          <w:spacing w:val="-1"/>
        </w:rPr>
        <w:t> </w:t>
      </w:r>
      <w:r>
        <w:rPr>
          <w:color w:val="231F20"/>
        </w:rPr>
        <w:t>monto</w:t>
      </w:r>
      <w:r>
        <w:rPr>
          <w:color w:val="231F20"/>
          <w:spacing w:val="1"/>
        </w:rPr>
        <w:t> </w:t>
      </w:r>
      <w:r>
        <w:rPr>
          <w:color w:val="231F20"/>
        </w:rPr>
        <w:t>de</w:t>
      </w:r>
      <w:r>
        <w:rPr>
          <w:color w:val="231F20"/>
          <w:spacing w:val="1"/>
        </w:rPr>
        <w:t> </w:t>
      </w:r>
      <w:r>
        <w:rPr>
          <w:color w:val="231F20"/>
        </w:rPr>
        <w:t>35</w:t>
      </w:r>
      <w:r>
        <w:rPr>
          <w:color w:val="231F20"/>
          <w:spacing w:val="1"/>
        </w:rPr>
        <w:t> </w:t>
      </w:r>
      <w:r>
        <w:rPr>
          <w:color w:val="231F20"/>
        </w:rPr>
        <w:t>millones</w:t>
      </w:r>
      <w:r>
        <w:rPr>
          <w:color w:val="231F20"/>
          <w:spacing w:val="1"/>
        </w:rPr>
        <w:t> </w:t>
      </w:r>
      <w:r>
        <w:rPr>
          <w:color w:val="231F20"/>
        </w:rPr>
        <w:t>200</w:t>
      </w:r>
      <w:r>
        <w:rPr>
          <w:color w:val="231F20"/>
          <w:spacing w:val="1"/>
        </w:rPr>
        <w:t> </w:t>
      </w:r>
      <w:r>
        <w:rPr>
          <w:color w:val="231F20"/>
        </w:rPr>
        <w:t>mil</w:t>
      </w:r>
      <w:r>
        <w:rPr>
          <w:color w:val="231F20"/>
          <w:spacing w:val="2"/>
        </w:rPr>
        <w:t> </w:t>
      </w:r>
      <w:r>
        <w:rPr>
          <w:color w:val="231F20"/>
          <w:spacing w:val="-2"/>
        </w:rPr>
        <w:t>dólares,</w:t>
      </w:r>
    </w:p>
    <w:p>
      <w:pPr>
        <w:spacing w:after="0"/>
        <w:sectPr>
          <w:pgSz w:w="11910" w:h="16840"/>
          <w:pgMar w:header="0" w:footer="695" w:top="1260" w:bottom="880" w:left="0" w:right="0"/>
          <w:cols w:num="2" w:equalWidth="0">
            <w:col w:w="5897" w:space="40"/>
            <w:col w:w="5973"/>
          </w:cols>
        </w:sectPr>
      </w:pPr>
    </w:p>
    <w:p>
      <w:pPr>
        <w:pStyle w:val="BodyText"/>
        <w:spacing w:before="77"/>
        <w:ind w:left="1133" w:right="1"/>
      </w:pPr>
      <w:r>
        <w:rPr>
          <w:color w:val="231F20"/>
        </w:rPr>
        <w:t>lo que representa el 90% de todas las pérdidas declaradas por las entidades importadoras del Grupo Empresarial del Comercio Exterior de Cuba (GECOMEX).</w:t>
      </w:r>
    </w:p>
    <w:p>
      <w:pPr>
        <w:pStyle w:val="BodyText"/>
        <w:spacing w:before="163"/>
        <w:ind w:left="1133" w:right="1"/>
      </w:pPr>
      <w:r>
        <w:rPr>
          <w:color w:val="231F20"/>
        </w:rPr>
        <w:t>Estos</w:t>
      </w:r>
      <w:r>
        <w:rPr>
          <w:color w:val="231F20"/>
          <w:spacing w:val="-4"/>
        </w:rPr>
        <w:t> </w:t>
      </w:r>
      <w:r>
        <w:rPr>
          <w:color w:val="231F20"/>
        </w:rPr>
        <w:t>daños</w:t>
      </w:r>
      <w:r>
        <w:rPr>
          <w:color w:val="231F20"/>
          <w:spacing w:val="-4"/>
        </w:rPr>
        <w:t> </w:t>
      </w:r>
      <w:r>
        <w:rPr>
          <w:color w:val="231F20"/>
        </w:rPr>
        <w:t>se</w:t>
      </w:r>
      <w:r>
        <w:rPr>
          <w:color w:val="231F20"/>
          <w:spacing w:val="-4"/>
        </w:rPr>
        <w:t> </w:t>
      </w:r>
      <w:r>
        <w:rPr>
          <w:color w:val="231F20"/>
        </w:rPr>
        <w:t>debieron,</w:t>
      </w:r>
      <w:r>
        <w:rPr>
          <w:color w:val="231F20"/>
          <w:spacing w:val="-4"/>
        </w:rPr>
        <w:t> </w:t>
      </w:r>
      <w:r>
        <w:rPr>
          <w:color w:val="231F20"/>
        </w:rPr>
        <w:t>en</w:t>
      </w:r>
      <w:r>
        <w:rPr>
          <w:color w:val="231F20"/>
          <w:spacing w:val="-4"/>
        </w:rPr>
        <w:t> </w:t>
      </w:r>
      <w:r>
        <w:rPr>
          <w:color w:val="231F20"/>
        </w:rPr>
        <w:t>gran</w:t>
      </w:r>
      <w:r>
        <w:rPr>
          <w:color w:val="231F20"/>
          <w:spacing w:val="-4"/>
        </w:rPr>
        <w:t> </w:t>
      </w:r>
      <w:r>
        <w:rPr>
          <w:color w:val="231F20"/>
        </w:rPr>
        <w:t>medida, a la negativa de una decena de bancos a </w:t>
      </w:r>
      <w:r>
        <w:rPr>
          <w:color w:val="231F20"/>
          <w:spacing w:val="-2"/>
        </w:rPr>
        <w:t>tramitar</w:t>
      </w:r>
      <w:r>
        <w:rPr>
          <w:color w:val="231F20"/>
          <w:spacing w:val="-15"/>
        </w:rPr>
        <w:t> </w:t>
      </w:r>
      <w:r>
        <w:rPr>
          <w:color w:val="231F20"/>
          <w:spacing w:val="-2"/>
        </w:rPr>
        <w:t>pagos</w:t>
      </w:r>
      <w:r>
        <w:rPr>
          <w:color w:val="231F20"/>
          <w:spacing w:val="-14"/>
        </w:rPr>
        <w:t> </w:t>
      </w:r>
      <w:r>
        <w:rPr>
          <w:color w:val="231F20"/>
          <w:spacing w:val="-2"/>
        </w:rPr>
        <w:t>a</w:t>
      </w:r>
      <w:r>
        <w:rPr>
          <w:color w:val="231F20"/>
          <w:spacing w:val="-15"/>
        </w:rPr>
        <w:t> </w:t>
      </w:r>
      <w:r>
        <w:rPr>
          <w:color w:val="231F20"/>
          <w:spacing w:val="-2"/>
        </w:rPr>
        <w:t>proveedores</w:t>
      </w:r>
      <w:r>
        <w:rPr>
          <w:color w:val="231F20"/>
          <w:spacing w:val="-14"/>
        </w:rPr>
        <w:t> </w:t>
      </w:r>
      <w:r>
        <w:rPr>
          <w:color w:val="231F20"/>
          <w:spacing w:val="-2"/>
        </w:rPr>
        <w:t>tradicionales </w:t>
      </w:r>
      <w:r>
        <w:rPr>
          <w:color w:val="231F20"/>
        </w:rPr>
        <w:t>de la empresa para el suministro de </w:t>
      </w:r>
      <w:r>
        <w:rPr>
          <w:color w:val="231F20"/>
          <w:spacing w:val="-4"/>
        </w:rPr>
        <w:t>alimentos,</w:t>
      </w:r>
      <w:r>
        <w:rPr>
          <w:color w:val="231F20"/>
          <w:spacing w:val="-13"/>
        </w:rPr>
        <w:t> </w:t>
      </w:r>
      <w:r>
        <w:rPr>
          <w:color w:val="231F20"/>
          <w:spacing w:val="-4"/>
        </w:rPr>
        <w:t>entre</w:t>
      </w:r>
      <w:r>
        <w:rPr>
          <w:color w:val="231F20"/>
          <w:spacing w:val="-12"/>
        </w:rPr>
        <w:t> </w:t>
      </w:r>
      <w:r>
        <w:rPr>
          <w:color w:val="231F20"/>
          <w:spacing w:val="-4"/>
        </w:rPr>
        <w:t>ellos,</w:t>
      </w:r>
      <w:r>
        <w:rPr>
          <w:color w:val="231F20"/>
          <w:spacing w:val="-13"/>
        </w:rPr>
        <w:t> </w:t>
      </w:r>
      <w:r>
        <w:rPr>
          <w:color w:val="231F20"/>
          <w:spacing w:val="-4"/>
        </w:rPr>
        <w:t>avena,</w:t>
      </w:r>
      <w:r>
        <w:rPr>
          <w:color w:val="231F20"/>
          <w:spacing w:val="-12"/>
        </w:rPr>
        <w:t> </w:t>
      </w:r>
      <w:r>
        <w:rPr>
          <w:color w:val="231F20"/>
          <w:spacing w:val="-4"/>
        </w:rPr>
        <w:t>grano</w:t>
      </w:r>
      <w:r>
        <w:rPr>
          <w:color w:val="231F20"/>
          <w:spacing w:val="-13"/>
        </w:rPr>
        <w:t> </w:t>
      </w:r>
      <w:r>
        <w:rPr>
          <w:color w:val="231F20"/>
          <w:spacing w:val="-4"/>
        </w:rPr>
        <w:t>vegetal, </w:t>
      </w:r>
      <w:r>
        <w:rPr>
          <w:color w:val="231F20"/>
        </w:rPr>
        <w:t>cocoa, pienso porcino, entre otros.</w:t>
      </w:r>
    </w:p>
    <w:p>
      <w:pPr>
        <w:pStyle w:val="BodyText"/>
        <w:spacing w:before="165"/>
        <w:ind w:left="1133"/>
      </w:pPr>
      <w:r>
        <w:rPr>
          <w:color w:val="231F20"/>
        </w:rPr>
        <w:t>Asimismo,</w:t>
      </w:r>
      <w:r>
        <w:rPr>
          <w:color w:val="231F20"/>
          <w:spacing w:val="-11"/>
        </w:rPr>
        <w:t> </w:t>
      </w:r>
      <w:r>
        <w:rPr>
          <w:color w:val="231F20"/>
        </w:rPr>
        <w:t>la</w:t>
      </w:r>
      <w:r>
        <w:rPr>
          <w:color w:val="231F20"/>
          <w:spacing w:val="-11"/>
        </w:rPr>
        <w:t> </w:t>
      </w:r>
      <w:r>
        <w:rPr>
          <w:color w:val="231F20"/>
        </w:rPr>
        <w:t>empresa</w:t>
      </w:r>
      <w:r>
        <w:rPr>
          <w:color w:val="231F20"/>
          <w:spacing w:val="-11"/>
        </w:rPr>
        <w:t> </w:t>
      </w:r>
      <w:r>
        <w:rPr>
          <w:color w:val="231F20"/>
        </w:rPr>
        <w:t>canadiense</w:t>
      </w:r>
      <w:r>
        <w:rPr>
          <w:color w:val="231F20"/>
          <w:spacing w:val="-11"/>
        </w:rPr>
        <w:t> </w:t>
      </w:r>
      <w:r>
        <w:rPr>
          <w:color w:val="231F20"/>
        </w:rPr>
        <w:t>Cypress View Land decidió no continuar un pro- yecto de producción de granos con el Centro de Ingeniería Genética y </w:t>
      </w:r>
      <w:r>
        <w:rPr>
          <w:color w:val="231F20"/>
        </w:rPr>
        <w:t>Biotec- nología (CIGB), debido a la aplicación del Título III de la Ley Helms-Burton. Alegó que la empresa y sus socios realizan ope- raciones agrícolas en terrenos estadou- nidenses, por lo que podrían ser objeto de acciones legales. La capacidad de sus empresarios</w:t>
      </w:r>
      <w:r>
        <w:rPr>
          <w:color w:val="231F20"/>
          <w:spacing w:val="-17"/>
        </w:rPr>
        <w:t> </w:t>
      </w:r>
      <w:r>
        <w:rPr>
          <w:color w:val="231F20"/>
        </w:rPr>
        <w:t>de</w:t>
      </w:r>
      <w:r>
        <w:rPr>
          <w:color w:val="231F20"/>
          <w:spacing w:val="-16"/>
        </w:rPr>
        <w:t> </w:t>
      </w:r>
      <w:r>
        <w:rPr>
          <w:color w:val="231F20"/>
        </w:rPr>
        <w:t>viajar</w:t>
      </w:r>
      <w:r>
        <w:rPr>
          <w:color w:val="231F20"/>
          <w:spacing w:val="-17"/>
        </w:rPr>
        <w:t> </w:t>
      </w:r>
      <w:r>
        <w:rPr>
          <w:color w:val="231F20"/>
        </w:rPr>
        <w:t>a</w:t>
      </w:r>
      <w:r>
        <w:rPr>
          <w:color w:val="231F20"/>
          <w:spacing w:val="-16"/>
        </w:rPr>
        <w:t> </w:t>
      </w:r>
      <w:r>
        <w:rPr>
          <w:color w:val="231F20"/>
        </w:rPr>
        <w:t>los</w:t>
      </w:r>
      <w:r>
        <w:rPr>
          <w:color w:val="231F20"/>
          <w:spacing w:val="-17"/>
        </w:rPr>
        <w:t> </w:t>
      </w:r>
      <w:r>
        <w:rPr>
          <w:color w:val="231F20"/>
        </w:rPr>
        <w:t>Estados</w:t>
      </w:r>
      <w:r>
        <w:rPr>
          <w:color w:val="231F20"/>
          <w:spacing w:val="-16"/>
        </w:rPr>
        <w:t> </w:t>
      </w:r>
      <w:r>
        <w:rPr>
          <w:color w:val="231F20"/>
        </w:rPr>
        <w:t>Unidos también podría comprometerse.</w:t>
      </w:r>
    </w:p>
    <w:p>
      <w:pPr>
        <w:pStyle w:val="BodyText"/>
        <w:spacing w:before="169"/>
        <w:ind w:left="1133"/>
      </w:pPr>
      <w:r>
        <w:rPr>
          <w:color w:val="231F20"/>
        </w:rPr>
        <w:t>En este sector, la principal afectación a</w:t>
      </w:r>
      <w:r>
        <w:rPr>
          <w:color w:val="231F20"/>
          <w:spacing w:val="80"/>
        </w:rPr>
        <w:t> </w:t>
      </w:r>
      <w:r>
        <w:rPr>
          <w:color w:val="231F20"/>
        </w:rPr>
        <w:t>las exportaciones cubanas radica en las dificultades originadas por las medidas restrictivas del gobierno estadounidense para colocar el tabaco cubano en el mercado de los Estados Unidos. El monto de las pérdidas por este concepto es valorado en 237,5 millones de dólares.</w:t>
      </w:r>
    </w:p>
    <w:p>
      <w:pPr>
        <w:pStyle w:val="BodyText"/>
        <w:spacing w:before="166"/>
        <w:ind w:left="1133"/>
      </w:pPr>
      <w:r>
        <w:rPr>
          <w:color w:val="231F20"/>
        </w:rPr>
        <w:t>Las limitaciones financieras que se producen como resultado y efecto acumulativo</w:t>
      </w:r>
      <w:r>
        <w:rPr>
          <w:color w:val="231F20"/>
          <w:spacing w:val="40"/>
        </w:rPr>
        <w:t> </w:t>
      </w:r>
      <w:r>
        <w:rPr>
          <w:color w:val="231F20"/>
        </w:rPr>
        <w:t>del</w:t>
      </w:r>
      <w:r>
        <w:rPr>
          <w:color w:val="231F20"/>
          <w:spacing w:val="40"/>
        </w:rPr>
        <w:t> </w:t>
      </w:r>
      <w:r>
        <w:rPr>
          <w:color w:val="231F20"/>
        </w:rPr>
        <w:t>bloqueo</w:t>
      </w:r>
      <w:r>
        <w:rPr>
          <w:color w:val="231F20"/>
          <w:spacing w:val="40"/>
        </w:rPr>
        <w:t> </w:t>
      </w:r>
      <w:r>
        <w:rPr>
          <w:color w:val="231F20"/>
        </w:rPr>
        <w:t>contra</w:t>
      </w:r>
      <w:r>
        <w:rPr>
          <w:color w:val="231F20"/>
          <w:spacing w:val="40"/>
        </w:rPr>
        <w:t> </w:t>
      </w:r>
      <w:r>
        <w:rPr>
          <w:color w:val="231F20"/>
        </w:rPr>
        <w:t>Cuba,</w:t>
      </w:r>
      <w:r>
        <w:rPr>
          <w:color w:val="231F20"/>
          <w:spacing w:val="40"/>
        </w:rPr>
        <w:t> </w:t>
      </w:r>
      <w:r>
        <w:rPr>
          <w:color w:val="231F20"/>
        </w:rPr>
        <w:t>el incremento de los precios y las dificultades para acceder a materias primas cárnicas, heladeras, tripolifosfato, nitrito, entre otros, también ha afectado</w:t>
      </w:r>
      <w:r>
        <w:rPr>
          <w:color w:val="231F20"/>
          <w:spacing w:val="40"/>
        </w:rPr>
        <w:t> </w:t>
      </w:r>
      <w:r>
        <w:rPr>
          <w:color w:val="231F20"/>
        </w:rPr>
        <w:t>la producción nacional de alimentos. Como consecuencia, se ha generalizado</w:t>
      </w:r>
      <w:r>
        <w:rPr>
          <w:color w:val="231F20"/>
          <w:spacing w:val="40"/>
        </w:rPr>
        <w:t> </w:t>
      </w:r>
      <w:r>
        <w:rPr>
          <w:color w:val="231F20"/>
        </w:rPr>
        <w:t>el desabastecimiento en el mercado minorista,</w:t>
      </w:r>
      <w:r>
        <w:rPr>
          <w:color w:val="231F20"/>
          <w:spacing w:val="-5"/>
        </w:rPr>
        <w:t> </w:t>
      </w:r>
      <w:r>
        <w:rPr>
          <w:color w:val="231F20"/>
        </w:rPr>
        <w:t>con</w:t>
      </w:r>
      <w:r>
        <w:rPr>
          <w:color w:val="231F20"/>
          <w:spacing w:val="-5"/>
        </w:rPr>
        <w:t> </w:t>
      </w:r>
      <w:r>
        <w:rPr>
          <w:color w:val="231F20"/>
        </w:rPr>
        <w:t>una</w:t>
      </w:r>
      <w:r>
        <w:rPr>
          <w:color w:val="231F20"/>
          <w:spacing w:val="-5"/>
        </w:rPr>
        <w:t> </w:t>
      </w:r>
      <w:r>
        <w:rPr>
          <w:color w:val="231F20"/>
        </w:rPr>
        <w:t>significativa</w:t>
      </w:r>
      <w:r>
        <w:rPr>
          <w:color w:val="231F20"/>
          <w:spacing w:val="-5"/>
        </w:rPr>
        <w:t> </w:t>
      </w:r>
      <w:r>
        <w:rPr>
          <w:color w:val="231F20"/>
        </w:rPr>
        <w:t>afectación en</w:t>
      </w:r>
      <w:r>
        <w:rPr>
          <w:color w:val="231F20"/>
          <w:spacing w:val="-8"/>
        </w:rPr>
        <w:t> </w:t>
      </w:r>
      <w:r>
        <w:rPr>
          <w:color w:val="231F20"/>
        </w:rPr>
        <w:t>la</w:t>
      </w:r>
      <w:r>
        <w:rPr>
          <w:color w:val="231F20"/>
          <w:spacing w:val="-7"/>
        </w:rPr>
        <w:t> </w:t>
      </w:r>
      <w:r>
        <w:rPr>
          <w:color w:val="231F20"/>
        </w:rPr>
        <w:t>población</w:t>
      </w:r>
      <w:r>
        <w:rPr>
          <w:color w:val="231F20"/>
          <w:spacing w:val="-7"/>
        </w:rPr>
        <w:t> </w:t>
      </w:r>
      <w:r>
        <w:rPr>
          <w:color w:val="231F20"/>
        </w:rPr>
        <w:t>y</w:t>
      </w:r>
      <w:r>
        <w:rPr>
          <w:color w:val="231F20"/>
          <w:spacing w:val="-7"/>
        </w:rPr>
        <w:t> </w:t>
      </w:r>
      <w:r>
        <w:rPr>
          <w:color w:val="231F20"/>
        </w:rPr>
        <w:t>en</w:t>
      </w:r>
      <w:r>
        <w:rPr>
          <w:color w:val="231F20"/>
          <w:spacing w:val="-8"/>
        </w:rPr>
        <w:t> </w:t>
      </w:r>
      <w:r>
        <w:rPr>
          <w:color w:val="231F20"/>
        </w:rPr>
        <w:t>las</w:t>
      </w:r>
      <w:r>
        <w:rPr>
          <w:color w:val="231F20"/>
          <w:spacing w:val="-7"/>
        </w:rPr>
        <w:t> </w:t>
      </w:r>
      <w:r>
        <w:rPr>
          <w:color w:val="231F20"/>
        </w:rPr>
        <w:t>formas</w:t>
      </w:r>
      <w:r>
        <w:rPr>
          <w:color w:val="231F20"/>
          <w:spacing w:val="-7"/>
        </w:rPr>
        <w:t> </w:t>
      </w:r>
      <w:r>
        <w:rPr>
          <w:color w:val="231F20"/>
        </w:rPr>
        <w:t>de</w:t>
      </w:r>
      <w:r>
        <w:rPr>
          <w:color w:val="231F20"/>
          <w:spacing w:val="-7"/>
        </w:rPr>
        <w:t> </w:t>
      </w:r>
      <w:r>
        <w:rPr>
          <w:color w:val="231F20"/>
          <w:spacing w:val="-2"/>
        </w:rPr>
        <w:t>gestión</w:t>
      </w:r>
    </w:p>
    <w:p>
      <w:pPr>
        <w:pStyle w:val="BodyText"/>
        <w:spacing w:before="77"/>
        <w:ind w:left="409" w:right="1468"/>
      </w:pPr>
      <w:r>
        <w:rPr/>
        <w:br w:type="column"/>
      </w:r>
      <w:r>
        <w:rPr>
          <w:color w:val="231F20"/>
        </w:rPr>
        <w:t>no</w:t>
      </w:r>
      <w:r>
        <w:rPr>
          <w:color w:val="231F20"/>
          <w:spacing w:val="40"/>
        </w:rPr>
        <w:t> </w:t>
      </w:r>
      <w:r>
        <w:rPr>
          <w:color w:val="231F20"/>
        </w:rPr>
        <w:t>estatal.</w:t>
      </w:r>
      <w:r>
        <w:rPr>
          <w:color w:val="231F20"/>
          <w:spacing w:val="40"/>
        </w:rPr>
        <w:t> </w:t>
      </w:r>
      <w:r>
        <w:rPr>
          <w:color w:val="231F20"/>
        </w:rPr>
        <w:t>A</w:t>
      </w:r>
      <w:r>
        <w:rPr>
          <w:color w:val="231F20"/>
          <w:spacing w:val="40"/>
        </w:rPr>
        <w:t> </w:t>
      </w:r>
      <w:r>
        <w:rPr>
          <w:color w:val="231F20"/>
        </w:rPr>
        <w:t>ello</w:t>
      </w:r>
      <w:r>
        <w:rPr>
          <w:color w:val="231F20"/>
          <w:spacing w:val="40"/>
        </w:rPr>
        <w:t> </w:t>
      </w:r>
      <w:r>
        <w:rPr>
          <w:color w:val="231F20"/>
        </w:rPr>
        <w:t>se</w:t>
      </w:r>
      <w:r>
        <w:rPr>
          <w:color w:val="231F20"/>
          <w:spacing w:val="40"/>
        </w:rPr>
        <w:t> </w:t>
      </w:r>
      <w:r>
        <w:rPr>
          <w:color w:val="231F20"/>
        </w:rPr>
        <w:t>suma</w:t>
      </w:r>
      <w:r>
        <w:rPr>
          <w:color w:val="231F20"/>
          <w:spacing w:val="40"/>
        </w:rPr>
        <w:t> </w:t>
      </w:r>
      <w:r>
        <w:rPr>
          <w:color w:val="231F20"/>
        </w:rPr>
        <w:t>el</w:t>
      </w:r>
      <w:r>
        <w:rPr>
          <w:color w:val="231F20"/>
          <w:spacing w:val="40"/>
        </w:rPr>
        <w:t> </w:t>
      </w:r>
      <w:r>
        <w:rPr>
          <w:color w:val="231F20"/>
        </w:rPr>
        <w:t>deterioro de</w:t>
      </w:r>
      <w:r>
        <w:rPr>
          <w:color w:val="231F20"/>
          <w:spacing w:val="40"/>
        </w:rPr>
        <w:t> </w:t>
      </w:r>
      <w:r>
        <w:rPr>
          <w:color w:val="231F20"/>
        </w:rPr>
        <w:t>la</w:t>
      </w:r>
      <w:r>
        <w:rPr>
          <w:color w:val="231F20"/>
          <w:spacing w:val="40"/>
        </w:rPr>
        <w:t> </w:t>
      </w:r>
      <w:r>
        <w:rPr>
          <w:color w:val="231F20"/>
        </w:rPr>
        <w:t>infraestructura</w:t>
      </w:r>
      <w:r>
        <w:rPr>
          <w:color w:val="231F20"/>
          <w:spacing w:val="40"/>
        </w:rPr>
        <w:t> </w:t>
      </w:r>
      <w:r>
        <w:rPr>
          <w:color w:val="231F20"/>
        </w:rPr>
        <w:t>de</w:t>
      </w:r>
      <w:r>
        <w:rPr>
          <w:color w:val="231F20"/>
          <w:spacing w:val="40"/>
        </w:rPr>
        <w:t> </w:t>
      </w:r>
      <w:r>
        <w:rPr>
          <w:color w:val="231F20"/>
        </w:rPr>
        <w:t>los</w:t>
      </w:r>
      <w:r>
        <w:rPr>
          <w:color w:val="231F20"/>
          <w:spacing w:val="40"/>
        </w:rPr>
        <w:t> </w:t>
      </w:r>
      <w:r>
        <w:rPr>
          <w:color w:val="231F20"/>
        </w:rPr>
        <w:t>frigoríficos</w:t>
      </w:r>
      <w:r>
        <w:rPr>
          <w:color w:val="231F20"/>
          <w:spacing w:val="80"/>
          <w:w w:val="150"/>
        </w:rPr>
        <w:t> </w:t>
      </w:r>
      <w:r>
        <w:rPr>
          <w:color w:val="231F20"/>
        </w:rPr>
        <w:t>y almacenes convencionales, equipos tecnológicos y transporte.</w:t>
      </w:r>
    </w:p>
    <w:p>
      <w:pPr>
        <w:pStyle w:val="BodyText"/>
        <w:spacing w:before="163"/>
        <w:ind w:left="409" w:right="1468"/>
      </w:pPr>
      <w:r>
        <w:rPr>
          <w:color w:val="231F20"/>
        </w:rPr>
        <w:t>El bloqueo también priva a la industria nacional</w:t>
      </w:r>
      <w:r>
        <w:rPr>
          <w:color w:val="231F20"/>
          <w:spacing w:val="-8"/>
        </w:rPr>
        <w:t> </w:t>
      </w:r>
      <w:r>
        <w:rPr>
          <w:color w:val="231F20"/>
        </w:rPr>
        <w:t>del</w:t>
      </w:r>
      <w:r>
        <w:rPr>
          <w:color w:val="231F20"/>
          <w:spacing w:val="-8"/>
        </w:rPr>
        <w:t> </w:t>
      </w:r>
      <w:r>
        <w:rPr>
          <w:color w:val="231F20"/>
        </w:rPr>
        <w:t>financiamiento</w:t>
      </w:r>
      <w:r>
        <w:rPr>
          <w:color w:val="231F20"/>
          <w:spacing w:val="-8"/>
        </w:rPr>
        <w:t> </w:t>
      </w:r>
      <w:r>
        <w:rPr>
          <w:color w:val="231F20"/>
        </w:rPr>
        <w:t>para</w:t>
      </w:r>
      <w:r>
        <w:rPr>
          <w:color w:val="231F20"/>
          <w:spacing w:val="-8"/>
        </w:rPr>
        <w:t> </w:t>
      </w:r>
      <w:r>
        <w:rPr>
          <w:color w:val="231F20"/>
        </w:rPr>
        <w:t>importar los insumos necesarios destinados a la producción de alimentos.</w:t>
      </w:r>
    </w:p>
    <w:p>
      <w:pPr>
        <w:pStyle w:val="BodyText"/>
        <w:spacing w:before="163"/>
        <w:ind w:left="409" w:right="1468"/>
      </w:pPr>
      <w:r>
        <w:rPr>
          <w:color w:val="231F20"/>
        </w:rPr>
        <w:t>Bajo permisos sujetos a restricciones impuestas por ley, Cuba puede adquirir por vía comercial limitados productos agrícolas en los Estados Unidos, pero</w:t>
      </w:r>
      <w:r>
        <w:rPr>
          <w:color w:val="231F20"/>
          <w:spacing w:val="80"/>
        </w:rPr>
        <w:t> </w:t>
      </w:r>
      <w:r>
        <w:rPr>
          <w:color w:val="231F20"/>
        </w:rPr>
        <w:t>está obligada a pagar por adelantado, y sin acceso a créditos, lo cual resulta en extremo difícil cuando, al mismo tiempo, se obstaculizan las fuentes de ingreso</w:t>
      </w:r>
      <w:r>
        <w:rPr>
          <w:color w:val="231F20"/>
          <w:spacing w:val="80"/>
          <w:w w:val="150"/>
        </w:rPr>
        <w:t> </w:t>
      </w:r>
      <w:r>
        <w:rPr>
          <w:color w:val="231F20"/>
        </w:rPr>
        <w:t>del país. En estas circunstancias de acoso financiero, son incalculables los esfuerzos del gobierno cubano para asegurar la canasta alimenticia familiar normada.</w:t>
      </w:r>
    </w:p>
    <w:p>
      <w:pPr>
        <w:pStyle w:val="BodyText"/>
        <w:spacing w:before="169"/>
        <w:ind w:left="409" w:right="1468"/>
      </w:pPr>
      <w:r>
        <w:rPr>
          <w:color w:val="231F20"/>
        </w:rPr>
        <w:t>La canasta básica la conforman 24 productos</w:t>
      </w:r>
      <w:r>
        <w:rPr>
          <w:color w:val="231F20"/>
          <w:spacing w:val="40"/>
        </w:rPr>
        <w:t> </w:t>
      </w:r>
      <w:r>
        <w:rPr>
          <w:color w:val="231F20"/>
        </w:rPr>
        <w:t>altamente</w:t>
      </w:r>
      <w:r>
        <w:rPr>
          <w:color w:val="231F20"/>
          <w:spacing w:val="40"/>
        </w:rPr>
        <w:t> </w:t>
      </w:r>
      <w:r>
        <w:rPr>
          <w:color w:val="231F20"/>
        </w:rPr>
        <w:t>subsidiados</w:t>
      </w:r>
      <w:r>
        <w:rPr>
          <w:color w:val="231F20"/>
          <w:spacing w:val="40"/>
        </w:rPr>
        <w:t> </w:t>
      </w:r>
      <w:r>
        <w:rPr>
          <w:color w:val="231F20"/>
        </w:rPr>
        <w:t>que</w:t>
      </w:r>
      <w:r>
        <w:rPr>
          <w:color w:val="231F20"/>
          <w:spacing w:val="80"/>
          <w:w w:val="150"/>
        </w:rPr>
        <w:t> </w:t>
      </w:r>
      <w:r>
        <w:rPr>
          <w:color w:val="231F20"/>
        </w:rPr>
        <w:t>se</w:t>
      </w:r>
      <w:r>
        <w:rPr>
          <w:color w:val="231F20"/>
          <w:spacing w:val="80"/>
        </w:rPr>
        <w:t> </w:t>
      </w:r>
      <w:r>
        <w:rPr>
          <w:color w:val="231F20"/>
        </w:rPr>
        <w:t>distribuyen</w:t>
      </w:r>
      <w:r>
        <w:rPr>
          <w:color w:val="231F20"/>
          <w:spacing w:val="80"/>
        </w:rPr>
        <w:t> </w:t>
      </w:r>
      <w:r>
        <w:rPr>
          <w:color w:val="231F20"/>
        </w:rPr>
        <w:t>con</w:t>
      </w:r>
      <w:r>
        <w:rPr>
          <w:color w:val="231F20"/>
          <w:spacing w:val="80"/>
        </w:rPr>
        <w:t> </w:t>
      </w:r>
      <w:r>
        <w:rPr>
          <w:color w:val="231F20"/>
        </w:rPr>
        <w:t>frecuencia</w:t>
      </w:r>
      <w:r>
        <w:rPr>
          <w:color w:val="231F20"/>
          <w:spacing w:val="80"/>
        </w:rPr>
        <w:t> </w:t>
      </w:r>
      <w:r>
        <w:rPr>
          <w:color w:val="231F20"/>
        </w:rPr>
        <w:t>mensual a toda la población. Adicionalmente, se garantizan productos específicos a un millón 218 mil personas y se subsidian la leche, las compotas, carne de res y pollo para los niños, embarazadas y enfermos de VIH/SIDA.</w:t>
      </w:r>
    </w:p>
    <w:p>
      <w:pPr>
        <w:pStyle w:val="BodyText"/>
        <w:spacing w:before="167"/>
        <w:ind w:left="409" w:right="1470"/>
      </w:pPr>
      <w:r>
        <w:rPr>
          <w:color w:val="231F20"/>
        </w:rPr>
        <w:t>Se realizan ingentes esfuerzos para mantener</w:t>
      </w:r>
      <w:r>
        <w:rPr>
          <w:color w:val="231F20"/>
          <w:spacing w:val="80"/>
        </w:rPr>
        <w:t> </w:t>
      </w:r>
      <w:r>
        <w:rPr>
          <w:color w:val="231F20"/>
        </w:rPr>
        <w:t>el</w:t>
      </w:r>
      <w:r>
        <w:rPr>
          <w:color w:val="231F20"/>
          <w:spacing w:val="80"/>
        </w:rPr>
        <w:t> </w:t>
      </w:r>
      <w:r>
        <w:rPr>
          <w:color w:val="231F20"/>
        </w:rPr>
        <w:t>sistema</w:t>
      </w:r>
      <w:r>
        <w:rPr>
          <w:color w:val="231F20"/>
          <w:spacing w:val="80"/>
        </w:rPr>
        <w:t> </w:t>
      </w:r>
      <w:r>
        <w:rPr>
          <w:color w:val="231F20"/>
        </w:rPr>
        <w:t>de</w:t>
      </w:r>
      <w:r>
        <w:rPr>
          <w:color w:val="231F20"/>
          <w:spacing w:val="80"/>
        </w:rPr>
        <w:t> </w:t>
      </w:r>
      <w:r>
        <w:rPr>
          <w:color w:val="231F20"/>
        </w:rPr>
        <w:t>alimentación</w:t>
      </w:r>
      <w:r>
        <w:rPr>
          <w:color w:val="231F20"/>
          <w:spacing w:val="80"/>
          <w:w w:val="150"/>
        </w:rPr>
        <w:t> </w:t>
      </w:r>
      <w:r>
        <w:rPr>
          <w:color w:val="231F20"/>
        </w:rPr>
        <w:t>a 58 mil 457 personas, que incluyen adultos mayores, personas en situación de discapacidad y otras en situación de vulnerabilidad, asociada a insuficiencia</w:t>
      </w:r>
      <w:r>
        <w:rPr>
          <w:color w:val="231F20"/>
          <w:spacing w:val="80"/>
        </w:rPr>
        <w:t> </w:t>
      </w:r>
      <w:r>
        <w:rPr>
          <w:color w:val="231F20"/>
        </w:rPr>
        <w:t>de ingresos, carentes de familiares en condiciones de prestar ayuda u otras; así como para asegurar la merienda escolar gratuita que beneficia a 124 mil 664 estudiantes en 764 escuelas.</w:t>
      </w:r>
    </w:p>
    <w:p>
      <w:pPr>
        <w:pStyle w:val="BodyText"/>
        <w:spacing w:before="169"/>
        <w:ind w:left="409"/>
      </w:pPr>
      <w:r>
        <w:rPr>
          <w:color w:val="231F20"/>
        </w:rPr>
        <w:t>Los</w:t>
      </w:r>
      <w:r>
        <w:rPr>
          <w:color w:val="231F20"/>
          <w:spacing w:val="38"/>
        </w:rPr>
        <w:t>  </w:t>
      </w:r>
      <w:r>
        <w:rPr>
          <w:color w:val="231F20"/>
        </w:rPr>
        <w:t>factores</w:t>
      </w:r>
      <w:r>
        <w:rPr>
          <w:color w:val="231F20"/>
          <w:spacing w:val="39"/>
        </w:rPr>
        <w:t>  </w:t>
      </w:r>
      <w:r>
        <w:rPr>
          <w:color w:val="231F20"/>
        </w:rPr>
        <w:t>anteriormente</w:t>
      </w:r>
      <w:r>
        <w:rPr>
          <w:color w:val="231F20"/>
          <w:spacing w:val="38"/>
        </w:rPr>
        <w:t>  </w:t>
      </w:r>
      <w:r>
        <w:rPr>
          <w:color w:val="231F20"/>
          <w:spacing w:val="-2"/>
        </w:rPr>
        <w:t>expuestos</w:t>
      </w:r>
    </w:p>
    <w:p>
      <w:pPr>
        <w:spacing w:after="0"/>
        <w:sectPr>
          <w:pgSz w:w="11910" w:h="16840"/>
          <w:pgMar w:header="0" w:footer="695" w:top="1260" w:bottom="880" w:left="0" w:right="0"/>
          <w:cols w:num="2" w:equalWidth="0">
            <w:col w:w="5560" w:space="40"/>
            <w:col w:w="6310"/>
          </w:cols>
        </w:sectPr>
      </w:pPr>
    </w:p>
    <w:p>
      <w:pPr>
        <w:pStyle w:val="BodyText"/>
        <w:spacing w:before="77"/>
        <w:ind w:left="1474" w:right="1"/>
      </w:pPr>
      <w:r>
        <w:rPr>
          <w:color w:val="231F20"/>
        </w:rPr>
        <w:t>han impactado en la inestabilidad de los suministros fundamentales y el fraccio- namiento</w:t>
      </w:r>
      <w:r>
        <w:rPr>
          <w:color w:val="231F20"/>
          <w:spacing w:val="8"/>
        </w:rPr>
        <w:t> </w:t>
      </w:r>
      <w:r>
        <w:rPr>
          <w:color w:val="231F20"/>
        </w:rPr>
        <w:t>en</w:t>
      </w:r>
      <w:r>
        <w:rPr>
          <w:color w:val="231F20"/>
          <w:spacing w:val="10"/>
        </w:rPr>
        <w:t> </w:t>
      </w:r>
      <w:r>
        <w:rPr>
          <w:color w:val="231F20"/>
        </w:rPr>
        <w:t>sus</w:t>
      </w:r>
      <w:r>
        <w:rPr>
          <w:color w:val="231F20"/>
          <w:spacing w:val="10"/>
        </w:rPr>
        <w:t> </w:t>
      </w:r>
      <w:r>
        <w:rPr>
          <w:color w:val="231F20"/>
        </w:rPr>
        <w:t>entregas</w:t>
      </w:r>
      <w:r>
        <w:rPr>
          <w:color w:val="231F20"/>
          <w:spacing w:val="10"/>
        </w:rPr>
        <w:t> </w:t>
      </w:r>
      <w:r>
        <w:rPr>
          <w:color w:val="231F20"/>
        </w:rPr>
        <w:t>a</w:t>
      </w:r>
      <w:r>
        <w:rPr>
          <w:color w:val="231F20"/>
          <w:spacing w:val="10"/>
        </w:rPr>
        <w:t> </w:t>
      </w:r>
      <w:r>
        <w:rPr>
          <w:color w:val="231F20"/>
        </w:rPr>
        <w:t>la</w:t>
      </w:r>
      <w:r>
        <w:rPr>
          <w:color w:val="231F20"/>
          <w:spacing w:val="10"/>
        </w:rPr>
        <w:t> </w:t>
      </w:r>
      <w:r>
        <w:rPr>
          <w:color w:val="231F20"/>
          <w:spacing w:val="-2"/>
        </w:rPr>
        <w:t>población.</w:t>
      </w:r>
    </w:p>
    <w:p>
      <w:pPr>
        <w:pStyle w:val="BodyText"/>
        <w:spacing w:before="162"/>
        <w:ind w:left="1474"/>
      </w:pPr>
      <w:r>
        <w:rPr>
          <w:color w:val="231F20"/>
        </w:rPr>
        <w:t>En 2023, la canasta familiar normada se planificó en mil 648 millones de dólares. Solo con un tercio del monto de las afectaciones ocasionadas por el bloqueo entre marzo de 2022 y febrero de 2023, se podrían cubrir todos los gastos por este concepto, para beneficio de nuestra </w:t>
      </w:r>
      <w:r>
        <w:rPr>
          <w:color w:val="231F20"/>
          <w:spacing w:val="-2"/>
        </w:rPr>
        <w:t>población.</w:t>
      </w:r>
    </w:p>
    <w:p>
      <w:pPr>
        <w:spacing w:before="166"/>
        <w:ind w:left="1474" w:right="2" w:firstLine="0"/>
        <w:jc w:val="both"/>
        <w:rPr>
          <w:rFonts w:ascii="Segoe UI Semibold" w:hAnsi="Segoe UI Semibold"/>
          <w:b/>
          <w:i/>
          <w:sz w:val="24"/>
        </w:rPr>
      </w:pPr>
      <w:r>
        <w:rPr>
          <w:b/>
          <w:i/>
          <w:color w:val="B52628"/>
          <w:sz w:val="24"/>
        </w:rPr>
        <w:t>La educación, el deporte y la cultura</w:t>
      </w:r>
      <w:r>
        <w:rPr>
          <w:b/>
          <w:i/>
          <w:color w:val="B52628"/>
          <w:sz w:val="24"/>
        </w:rPr>
        <w:t> </w:t>
      </w:r>
      <w:r>
        <w:rPr>
          <w:rFonts w:ascii="Segoe UI Semibold" w:hAnsi="Segoe UI Semibold"/>
          <w:b/>
          <w:i/>
          <w:color w:val="231F20"/>
          <w:sz w:val="24"/>
        </w:rPr>
        <w:t>constituyen también prioridades en la</w:t>
      </w:r>
      <w:r>
        <w:rPr>
          <w:rFonts w:ascii="Segoe UI Semibold" w:hAnsi="Segoe UI Semibold"/>
          <w:b/>
          <w:i/>
          <w:color w:val="231F20"/>
          <w:sz w:val="24"/>
        </w:rPr>
        <w:t> </w:t>
      </w:r>
      <w:r>
        <w:rPr>
          <w:rFonts w:ascii="Segoe UI Semibold" w:hAnsi="Segoe UI Semibold"/>
          <w:b/>
          <w:i/>
          <w:color w:val="231F20"/>
          <w:spacing w:val="-14"/>
          <w:sz w:val="24"/>
        </w:rPr>
        <w:t>gestión</w:t>
      </w:r>
      <w:r>
        <w:rPr>
          <w:rFonts w:ascii="Segoe UI Semibold" w:hAnsi="Segoe UI Semibold"/>
          <w:b/>
          <w:i/>
          <w:color w:val="231F20"/>
          <w:spacing w:val="-3"/>
          <w:sz w:val="24"/>
        </w:rPr>
        <w:t> </w:t>
      </w:r>
      <w:r>
        <w:rPr>
          <w:rFonts w:ascii="Segoe UI Semibold" w:hAnsi="Segoe UI Semibold"/>
          <w:b/>
          <w:i/>
          <w:color w:val="231F20"/>
          <w:spacing w:val="-14"/>
          <w:sz w:val="24"/>
        </w:rPr>
        <w:t>del</w:t>
      </w:r>
      <w:r>
        <w:rPr>
          <w:rFonts w:ascii="Segoe UI Semibold" w:hAnsi="Segoe UI Semibold"/>
          <w:b/>
          <w:i/>
          <w:color w:val="231F20"/>
          <w:spacing w:val="-2"/>
          <w:sz w:val="24"/>
        </w:rPr>
        <w:t> </w:t>
      </w:r>
      <w:r>
        <w:rPr>
          <w:rFonts w:ascii="Segoe UI Semibold" w:hAnsi="Segoe UI Semibold"/>
          <w:b/>
          <w:i/>
          <w:color w:val="231F20"/>
          <w:spacing w:val="-14"/>
          <w:sz w:val="24"/>
        </w:rPr>
        <w:t>gobierno</w:t>
      </w:r>
      <w:r>
        <w:rPr>
          <w:rFonts w:ascii="Segoe UI Semibold" w:hAnsi="Segoe UI Semibold"/>
          <w:b/>
          <w:i/>
          <w:color w:val="231F20"/>
          <w:spacing w:val="-3"/>
          <w:sz w:val="24"/>
        </w:rPr>
        <w:t> </w:t>
      </w:r>
      <w:r>
        <w:rPr>
          <w:rFonts w:ascii="Segoe UI Semibold" w:hAnsi="Segoe UI Semibold"/>
          <w:b/>
          <w:i/>
          <w:color w:val="231F20"/>
          <w:spacing w:val="-14"/>
          <w:sz w:val="24"/>
        </w:rPr>
        <w:t>cubano</w:t>
      </w:r>
      <w:r>
        <w:rPr>
          <w:rFonts w:ascii="Segoe UI Semibold" w:hAnsi="Segoe UI Semibold"/>
          <w:b/>
          <w:i/>
          <w:color w:val="231F20"/>
          <w:spacing w:val="-2"/>
          <w:sz w:val="24"/>
        </w:rPr>
        <w:t> </w:t>
      </w:r>
      <w:r>
        <w:rPr>
          <w:rFonts w:ascii="Segoe UI Semibold" w:hAnsi="Segoe UI Semibold"/>
          <w:b/>
          <w:i/>
          <w:color w:val="231F20"/>
          <w:spacing w:val="-14"/>
          <w:sz w:val="24"/>
        </w:rPr>
        <w:t>como</w:t>
      </w:r>
      <w:r>
        <w:rPr>
          <w:rFonts w:ascii="Segoe UI Semibold" w:hAnsi="Segoe UI Semibold"/>
          <w:b/>
          <w:i/>
          <w:color w:val="231F20"/>
          <w:spacing w:val="-3"/>
          <w:sz w:val="24"/>
        </w:rPr>
        <w:t> </w:t>
      </w:r>
      <w:r>
        <w:rPr>
          <w:rFonts w:ascii="Segoe UI Semibold" w:hAnsi="Segoe UI Semibold"/>
          <w:b/>
          <w:i/>
          <w:color w:val="231F20"/>
          <w:spacing w:val="-14"/>
          <w:sz w:val="24"/>
        </w:rPr>
        <w:t>parte</w:t>
      </w:r>
      <w:r>
        <w:rPr>
          <w:rFonts w:ascii="Segoe UI Semibold" w:hAnsi="Segoe UI Semibold"/>
          <w:b/>
          <w:i/>
          <w:color w:val="231F20"/>
          <w:spacing w:val="-2"/>
          <w:sz w:val="24"/>
        </w:rPr>
        <w:t> </w:t>
      </w:r>
      <w:r>
        <w:rPr>
          <w:rFonts w:ascii="Segoe UI Semibold" w:hAnsi="Segoe UI Semibold"/>
          <w:b/>
          <w:i/>
          <w:color w:val="231F20"/>
          <w:spacing w:val="-14"/>
          <w:sz w:val="24"/>
        </w:rPr>
        <w:t>de</w:t>
      </w:r>
      <w:r>
        <w:rPr>
          <w:rFonts w:ascii="Segoe UI Semibold" w:hAnsi="Segoe UI Semibold"/>
          <w:b/>
          <w:i/>
          <w:color w:val="231F20"/>
          <w:spacing w:val="-3"/>
          <w:sz w:val="24"/>
        </w:rPr>
        <w:t> </w:t>
      </w:r>
      <w:r>
        <w:rPr>
          <w:rFonts w:ascii="Segoe UI Semibold" w:hAnsi="Segoe UI Semibold"/>
          <w:b/>
          <w:i/>
          <w:color w:val="231F20"/>
          <w:spacing w:val="-14"/>
          <w:sz w:val="24"/>
        </w:rPr>
        <w:t>la atención</w:t>
      </w:r>
      <w:r>
        <w:rPr>
          <w:rFonts w:ascii="Segoe UI Semibold" w:hAnsi="Segoe UI Semibold"/>
          <w:b/>
          <w:i/>
          <w:color w:val="231F20"/>
          <w:spacing w:val="-1"/>
          <w:sz w:val="24"/>
        </w:rPr>
        <w:t> </w:t>
      </w:r>
      <w:r>
        <w:rPr>
          <w:rFonts w:ascii="Segoe UI Semibold" w:hAnsi="Segoe UI Semibold"/>
          <w:b/>
          <w:i/>
          <w:color w:val="231F20"/>
          <w:spacing w:val="-14"/>
          <w:sz w:val="24"/>
        </w:rPr>
        <w:t>al</w:t>
      </w:r>
      <w:r>
        <w:rPr>
          <w:rFonts w:ascii="Segoe UI Semibold" w:hAnsi="Segoe UI Semibold"/>
          <w:b/>
          <w:i/>
          <w:color w:val="231F20"/>
          <w:spacing w:val="-1"/>
          <w:sz w:val="24"/>
        </w:rPr>
        <w:t> </w:t>
      </w:r>
      <w:r>
        <w:rPr>
          <w:rFonts w:ascii="Segoe UI Semibold" w:hAnsi="Segoe UI Semibold"/>
          <w:b/>
          <w:i/>
          <w:color w:val="231F20"/>
          <w:spacing w:val="-14"/>
          <w:sz w:val="24"/>
        </w:rPr>
        <w:t>hombre.</w:t>
      </w:r>
      <w:r>
        <w:rPr>
          <w:rFonts w:ascii="Segoe UI Semibold" w:hAnsi="Segoe UI Semibold"/>
          <w:b/>
          <w:i/>
          <w:color w:val="231F20"/>
          <w:spacing w:val="-1"/>
          <w:sz w:val="24"/>
        </w:rPr>
        <w:t> </w:t>
      </w:r>
      <w:r>
        <w:rPr>
          <w:rFonts w:ascii="Segoe UI Semibold" w:hAnsi="Segoe UI Semibold"/>
          <w:b/>
          <w:i/>
          <w:color w:val="231F20"/>
          <w:spacing w:val="-14"/>
          <w:sz w:val="24"/>
        </w:rPr>
        <w:t>El</w:t>
      </w:r>
      <w:r>
        <w:rPr>
          <w:rFonts w:ascii="Segoe UI Semibold" w:hAnsi="Segoe UI Semibold"/>
          <w:b/>
          <w:i/>
          <w:color w:val="231F20"/>
          <w:spacing w:val="-1"/>
          <w:sz w:val="24"/>
        </w:rPr>
        <w:t> </w:t>
      </w:r>
      <w:r>
        <w:rPr>
          <w:rFonts w:ascii="Segoe UI Semibold" w:hAnsi="Segoe UI Semibold"/>
          <w:b/>
          <w:i/>
          <w:color w:val="231F20"/>
          <w:spacing w:val="-14"/>
          <w:sz w:val="24"/>
        </w:rPr>
        <w:t>bloqueo</w:t>
      </w:r>
      <w:r>
        <w:rPr>
          <w:rFonts w:ascii="Segoe UI Semibold" w:hAnsi="Segoe UI Semibold"/>
          <w:b/>
          <w:i/>
          <w:color w:val="231F20"/>
          <w:spacing w:val="-1"/>
          <w:sz w:val="24"/>
        </w:rPr>
        <w:t> </w:t>
      </w:r>
      <w:r>
        <w:rPr>
          <w:rFonts w:ascii="Segoe UI Semibold" w:hAnsi="Segoe UI Semibold"/>
          <w:b/>
          <w:i/>
          <w:color w:val="231F20"/>
          <w:spacing w:val="-14"/>
          <w:sz w:val="24"/>
        </w:rPr>
        <w:t>ha</w:t>
      </w:r>
      <w:r>
        <w:rPr>
          <w:rFonts w:ascii="Segoe UI Semibold" w:hAnsi="Segoe UI Semibold"/>
          <w:b/>
          <w:i/>
          <w:color w:val="231F20"/>
          <w:spacing w:val="-1"/>
          <w:sz w:val="24"/>
        </w:rPr>
        <w:t> </w:t>
      </w:r>
      <w:r>
        <w:rPr>
          <w:rFonts w:ascii="Segoe UI Semibold" w:hAnsi="Segoe UI Semibold"/>
          <w:b/>
          <w:i/>
          <w:color w:val="231F20"/>
          <w:spacing w:val="-14"/>
          <w:sz w:val="24"/>
        </w:rPr>
        <w:t>impactado </w:t>
      </w:r>
      <w:r>
        <w:rPr>
          <w:rFonts w:ascii="Segoe UI Semibold" w:hAnsi="Segoe UI Semibold"/>
          <w:b/>
          <w:i/>
          <w:color w:val="231F20"/>
          <w:sz w:val="24"/>
        </w:rPr>
        <w:t>de</w:t>
      </w:r>
      <w:r>
        <w:rPr>
          <w:rFonts w:ascii="Segoe UI Semibold" w:hAnsi="Segoe UI Semibold"/>
          <w:b/>
          <w:i/>
          <w:color w:val="231F20"/>
          <w:spacing w:val="-14"/>
          <w:sz w:val="24"/>
        </w:rPr>
        <w:t> </w:t>
      </w:r>
      <w:r>
        <w:rPr>
          <w:rFonts w:ascii="Segoe UI Semibold" w:hAnsi="Segoe UI Semibold"/>
          <w:b/>
          <w:i/>
          <w:color w:val="231F20"/>
          <w:sz w:val="24"/>
        </w:rPr>
        <w:t>manera</w:t>
      </w:r>
      <w:r>
        <w:rPr>
          <w:rFonts w:ascii="Segoe UI Semibold" w:hAnsi="Segoe UI Semibold"/>
          <w:b/>
          <w:i/>
          <w:color w:val="231F20"/>
          <w:spacing w:val="-14"/>
          <w:sz w:val="24"/>
        </w:rPr>
        <w:t> </w:t>
      </w:r>
      <w:r>
        <w:rPr>
          <w:rFonts w:ascii="Segoe UI Semibold" w:hAnsi="Segoe UI Semibold"/>
          <w:b/>
          <w:i/>
          <w:color w:val="231F20"/>
          <w:sz w:val="24"/>
        </w:rPr>
        <w:t>directa</w:t>
      </w:r>
      <w:r>
        <w:rPr>
          <w:rFonts w:ascii="Segoe UI Semibold" w:hAnsi="Segoe UI Semibold"/>
          <w:b/>
          <w:i/>
          <w:color w:val="231F20"/>
          <w:spacing w:val="-14"/>
          <w:sz w:val="24"/>
        </w:rPr>
        <w:t> </w:t>
      </w:r>
      <w:r>
        <w:rPr>
          <w:rFonts w:ascii="Segoe UI Semibold" w:hAnsi="Segoe UI Semibold"/>
          <w:b/>
          <w:i/>
          <w:color w:val="231F20"/>
          <w:sz w:val="24"/>
        </w:rPr>
        <w:t>en</w:t>
      </w:r>
      <w:r>
        <w:rPr>
          <w:rFonts w:ascii="Segoe UI Semibold" w:hAnsi="Segoe UI Semibold"/>
          <w:b/>
          <w:i/>
          <w:color w:val="231F20"/>
          <w:spacing w:val="-14"/>
          <w:sz w:val="24"/>
        </w:rPr>
        <w:t> </w:t>
      </w:r>
      <w:r>
        <w:rPr>
          <w:rFonts w:ascii="Segoe UI Semibold" w:hAnsi="Segoe UI Semibold"/>
          <w:b/>
          <w:i/>
          <w:color w:val="231F20"/>
          <w:sz w:val="24"/>
        </w:rPr>
        <w:t>estos</w:t>
      </w:r>
      <w:r>
        <w:rPr>
          <w:rFonts w:ascii="Segoe UI Semibold" w:hAnsi="Segoe UI Semibold"/>
          <w:b/>
          <w:i/>
          <w:color w:val="231F20"/>
          <w:spacing w:val="-14"/>
          <w:sz w:val="24"/>
        </w:rPr>
        <w:t> </w:t>
      </w:r>
      <w:r>
        <w:rPr>
          <w:rFonts w:ascii="Segoe UI Semibold" w:hAnsi="Segoe UI Semibold"/>
          <w:b/>
          <w:i/>
          <w:color w:val="231F20"/>
          <w:sz w:val="24"/>
        </w:rPr>
        <w:t>sectores</w:t>
      </w:r>
      <w:r>
        <w:rPr>
          <w:rFonts w:ascii="Segoe UI Semibold" w:hAnsi="Segoe UI Semibold"/>
          <w:b/>
          <w:i/>
          <w:color w:val="231F20"/>
          <w:spacing w:val="-14"/>
          <w:sz w:val="24"/>
        </w:rPr>
        <w:t> </w:t>
      </w:r>
      <w:r>
        <w:rPr>
          <w:rFonts w:ascii="Segoe UI Semibold" w:hAnsi="Segoe UI Semibold"/>
          <w:b/>
          <w:i/>
          <w:color w:val="231F20"/>
          <w:sz w:val="24"/>
        </w:rPr>
        <w:t>tanto por las dificultades para el acceso a </w:t>
      </w:r>
      <w:r>
        <w:rPr>
          <w:rFonts w:ascii="Segoe UI Semibold" w:hAnsi="Segoe UI Semibold"/>
          <w:b/>
          <w:i/>
          <w:color w:val="231F20"/>
          <w:spacing w:val="-6"/>
          <w:sz w:val="24"/>
        </w:rPr>
        <w:t>financiamientos,</w:t>
      </w:r>
      <w:r>
        <w:rPr>
          <w:rFonts w:ascii="Segoe UI Semibold" w:hAnsi="Segoe UI Semibold"/>
          <w:b/>
          <w:i/>
          <w:color w:val="231F20"/>
          <w:spacing w:val="-11"/>
          <w:sz w:val="24"/>
        </w:rPr>
        <w:t> </w:t>
      </w:r>
      <w:r>
        <w:rPr>
          <w:rFonts w:ascii="Segoe UI Semibold" w:hAnsi="Segoe UI Semibold"/>
          <w:b/>
          <w:i/>
          <w:color w:val="231F20"/>
          <w:spacing w:val="-6"/>
          <w:sz w:val="24"/>
        </w:rPr>
        <w:t>las</w:t>
      </w:r>
      <w:r>
        <w:rPr>
          <w:rFonts w:ascii="Segoe UI Semibold" w:hAnsi="Segoe UI Semibold"/>
          <w:b/>
          <w:i/>
          <w:color w:val="231F20"/>
          <w:spacing w:val="-10"/>
          <w:sz w:val="24"/>
        </w:rPr>
        <w:t> </w:t>
      </w:r>
      <w:r>
        <w:rPr>
          <w:rFonts w:ascii="Segoe UI Semibold" w:hAnsi="Segoe UI Semibold"/>
          <w:b/>
          <w:i/>
          <w:color w:val="231F20"/>
          <w:spacing w:val="-6"/>
          <w:sz w:val="24"/>
        </w:rPr>
        <w:t>limitaciones</w:t>
      </w:r>
      <w:r>
        <w:rPr>
          <w:rFonts w:ascii="Segoe UI Semibold" w:hAnsi="Segoe UI Semibold"/>
          <w:b/>
          <w:i/>
          <w:color w:val="231F20"/>
          <w:spacing w:val="-11"/>
          <w:sz w:val="24"/>
        </w:rPr>
        <w:t> </w:t>
      </w:r>
      <w:r>
        <w:rPr>
          <w:rFonts w:ascii="Segoe UI Semibold" w:hAnsi="Segoe UI Semibold"/>
          <w:b/>
          <w:i/>
          <w:color w:val="231F20"/>
          <w:spacing w:val="-6"/>
          <w:sz w:val="24"/>
        </w:rPr>
        <w:t>asociadas </w:t>
      </w:r>
      <w:r>
        <w:rPr>
          <w:rFonts w:ascii="Segoe UI Semibold" w:hAnsi="Segoe UI Semibold"/>
          <w:b/>
          <w:i/>
          <w:color w:val="231F20"/>
          <w:sz w:val="24"/>
        </w:rPr>
        <w:t>a la falta de combustible, los elevados </w:t>
      </w:r>
      <w:r>
        <w:rPr>
          <w:rFonts w:ascii="Segoe UI Semibold" w:hAnsi="Segoe UI Semibold"/>
          <w:b/>
          <w:i/>
          <w:color w:val="231F20"/>
          <w:spacing w:val="-10"/>
          <w:sz w:val="24"/>
        </w:rPr>
        <w:t>costos</w:t>
      </w:r>
      <w:r>
        <w:rPr>
          <w:rFonts w:ascii="Segoe UI Semibold" w:hAnsi="Segoe UI Semibold"/>
          <w:b/>
          <w:i/>
          <w:color w:val="231F20"/>
          <w:spacing w:val="-5"/>
          <w:sz w:val="24"/>
        </w:rPr>
        <w:t> </w:t>
      </w:r>
      <w:r>
        <w:rPr>
          <w:rFonts w:ascii="Segoe UI Semibold" w:hAnsi="Segoe UI Semibold"/>
          <w:b/>
          <w:i/>
          <w:color w:val="231F20"/>
          <w:spacing w:val="-10"/>
          <w:sz w:val="24"/>
        </w:rPr>
        <w:t>de</w:t>
      </w:r>
      <w:r>
        <w:rPr>
          <w:rFonts w:ascii="Segoe UI Semibold" w:hAnsi="Segoe UI Semibold"/>
          <w:b/>
          <w:i/>
          <w:color w:val="231F20"/>
          <w:spacing w:val="-6"/>
          <w:sz w:val="24"/>
        </w:rPr>
        <w:t> </w:t>
      </w:r>
      <w:r>
        <w:rPr>
          <w:rFonts w:ascii="Segoe UI Semibold" w:hAnsi="Segoe UI Semibold"/>
          <w:b/>
          <w:i/>
          <w:color w:val="231F20"/>
          <w:spacing w:val="-10"/>
          <w:sz w:val="24"/>
        </w:rPr>
        <w:t>adquisición</w:t>
      </w:r>
      <w:r>
        <w:rPr>
          <w:rFonts w:ascii="Segoe UI Semibold" w:hAnsi="Segoe UI Semibold"/>
          <w:b/>
          <w:i/>
          <w:color w:val="231F20"/>
          <w:spacing w:val="-6"/>
          <w:sz w:val="24"/>
        </w:rPr>
        <w:t> </w:t>
      </w:r>
      <w:r>
        <w:rPr>
          <w:rFonts w:ascii="Segoe UI Semibold" w:hAnsi="Segoe UI Semibold"/>
          <w:b/>
          <w:i/>
          <w:color w:val="231F20"/>
          <w:spacing w:val="-10"/>
          <w:sz w:val="24"/>
        </w:rPr>
        <w:t>y</w:t>
      </w:r>
      <w:r>
        <w:rPr>
          <w:rFonts w:ascii="Segoe UI Semibold" w:hAnsi="Segoe UI Semibold"/>
          <w:b/>
          <w:i/>
          <w:color w:val="231F20"/>
          <w:spacing w:val="-5"/>
          <w:sz w:val="24"/>
        </w:rPr>
        <w:t> </w:t>
      </w:r>
      <w:r>
        <w:rPr>
          <w:rFonts w:ascii="Segoe UI Semibold" w:hAnsi="Segoe UI Semibold"/>
          <w:b/>
          <w:i/>
          <w:color w:val="231F20"/>
          <w:spacing w:val="-10"/>
          <w:sz w:val="24"/>
        </w:rPr>
        <w:t>transportación</w:t>
      </w:r>
      <w:r>
        <w:rPr>
          <w:rFonts w:ascii="Segoe UI Semibold" w:hAnsi="Segoe UI Semibold"/>
          <w:b/>
          <w:i/>
          <w:color w:val="231F20"/>
          <w:spacing w:val="-6"/>
          <w:sz w:val="24"/>
        </w:rPr>
        <w:t> </w:t>
      </w:r>
      <w:r>
        <w:rPr>
          <w:rFonts w:ascii="Segoe UI Semibold" w:hAnsi="Segoe UI Semibold"/>
          <w:b/>
          <w:i/>
          <w:color w:val="231F20"/>
          <w:spacing w:val="-10"/>
          <w:sz w:val="24"/>
        </w:rPr>
        <w:t>de</w:t>
      </w:r>
      <w:r>
        <w:rPr>
          <w:rFonts w:ascii="Segoe UI Semibold" w:hAnsi="Segoe UI Semibold"/>
          <w:b/>
          <w:i/>
          <w:color w:val="231F20"/>
          <w:spacing w:val="-6"/>
          <w:sz w:val="24"/>
        </w:rPr>
        <w:t> </w:t>
      </w:r>
      <w:r>
        <w:rPr>
          <w:rFonts w:ascii="Segoe UI Semibold" w:hAnsi="Segoe UI Semibold"/>
          <w:b/>
          <w:i/>
          <w:color w:val="231F20"/>
          <w:spacing w:val="-10"/>
          <w:sz w:val="24"/>
        </w:rPr>
        <w:t>los </w:t>
      </w:r>
      <w:r>
        <w:rPr>
          <w:rFonts w:ascii="Segoe UI Semibold" w:hAnsi="Segoe UI Semibold"/>
          <w:b/>
          <w:i/>
          <w:color w:val="231F20"/>
          <w:spacing w:val="-8"/>
          <w:sz w:val="24"/>
        </w:rPr>
        <w:t>insumos</w:t>
      </w:r>
      <w:r>
        <w:rPr>
          <w:rFonts w:ascii="Segoe UI Semibold" w:hAnsi="Segoe UI Semibold"/>
          <w:b/>
          <w:i/>
          <w:color w:val="231F20"/>
          <w:spacing w:val="-9"/>
          <w:sz w:val="24"/>
        </w:rPr>
        <w:t> </w:t>
      </w:r>
      <w:r>
        <w:rPr>
          <w:rFonts w:ascii="Segoe UI Semibold" w:hAnsi="Segoe UI Semibold"/>
          <w:b/>
          <w:i/>
          <w:color w:val="231F20"/>
          <w:spacing w:val="-8"/>
          <w:sz w:val="24"/>
        </w:rPr>
        <w:t>requeridos, así</w:t>
      </w:r>
      <w:r>
        <w:rPr>
          <w:rFonts w:ascii="Segoe UI Semibold" w:hAnsi="Segoe UI Semibold"/>
          <w:b/>
          <w:i/>
          <w:color w:val="231F20"/>
          <w:spacing w:val="-9"/>
          <w:sz w:val="24"/>
        </w:rPr>
        <w:t> </w:t>
      </w:r>
      <w:r>
        <w:rPr>
          <w:rFonts w:ascii="Segoe UI Semibold" w:hAnsi="Segoe UI Semibold"/>
          <w:b/>
          <w:i/>
          <w:color w:val="231F20"/>
          <w:spacing w:val="-8"/>
          <w:sz w:val="24"/>
        </w:rPr>
        <w:t>como los</w:t>
      </w:r>
      <w:r>
        <w:rPr>
          <w:rFonts w:ascii="Segoe UI Semibold" w:hAnsi="Segoe UI Semibold"/>
          <w:b/>
          <w:i/>
          <w:color w:val="231F20"/>
          <w:spacing w:val="-9"/>
          <w:sz w:val="24"/>
        </w:rPr>
        <w:t> </w:t>
      </w:r>
      <w:r>
        <w:rPr>
          <w:rFonts w:ascii="Segoe UI Semibold" w:hAnsi="Segoe UI Semibold"/>
          <w:b/>
          <w:i/>
          <w:color w:val="231F20"/>
          <w:spacing w:val="-8"/>
          <w:sz w:val="24"/>
        </w:rPr>
        <w:t>obstáculos </w:t>
      </w:r>
      <w:r>
        <w:rPr>
          <w:rFonts w:ascii="Segoe UI Semibold" w:hAnsi="Segoe UI Semibold"/>
          <w:b/>
          <w:i/>
          <w:color w:val="231F20"/>
          <w:spacing w:val="-6"/>
          <w:sz w:val="24"/>
        </w:rPr>
        <w:t>bancario-financieros para recibir los pagos </w:t>
      </w:r>
      <w:r>
        <w:rPr>
          <w:rFonts w:ascii="Segoe UI Semibold" w:hAnsi="Segoe UI Semibold"/>
          <w:b/>
          <w:i/>
          <w:color w:val="231F20"/>
          <w:spacing w:val="-8"/>
          <w:sz w:val="24"/>
        </w:rPr>
        <w:t>por</w:t>
      </w:r>
      <w:r>
        <w:rPr>
          <w:rFonts w:ascii="Segoe UI Semibold" w:hAnsi="Segoe UI Semibold"/>
          <w:b/>
          <w:i/>
          <w:color w:val="231F20"/>
          <w:spacing w:val="-9"/>
          <w:sz w:val="24"/>
        </w:rPr>
        <w:t> </w:t>
      </w:r>
      <w:r>
        <w:rPr>
          <w:rFonts w:ascii="Segoe UI Semibold" w:hAnsi="Segoe UI Semibold"/>
          <w:b/>
          <w:i/>
          <w:color w:val="231F20"/>
          <w:spacing w:val="-8"/>
          <w:sz w:val="24"/>
        </w:rPr>
        <w:t>servicios profesionales</w:t>
      </w:r>
      <w:r>
        <w:rPr>
          <w:rFonts w:ascii="Segoe UI Semibold" w:hAnsi="Segoe UI Semibold"/>
          <w:b/>
          <w:i/>
          <w:color w:val="231F20"/>
          <w:spacing w:val="-9"/>
          <w:sz w:val="24"/>
        </w:rPr>
        <w:t> </w:t>
      </w:r>
      <w:r>
        <w:rPr>
          <w:rFonts w:ascii="Segoe UI Semibold" w:hAnsi="Segoe UI Semibold"/>
          <w:b/>
          <w:i/>
          <w:color w:val="231F20"/>
          <w:spacing w:val="-8"/>
          <w:sz w:val="24"/>
        </w:rPr>
        <w:t>que se</w:t>
      </w:r>
      <w:r>
        <w:rPr>
          <w:rFonts w:ascii="Segoe UI Semibold" w:hAnsi="Segoe UI Semibold"/>
          <w:b/>
          <w:i/>
          <w:color w:val="231F20"/>
          <w:spacing w:val="-9"/>
          <w:sz w:val="24"/>
        </w:rPr>
        <w:t> </w:t>
      </w:r>
      <w:r>
        <w:rPr>
          <w:rFonts w:ascii="Segoe UI Semibold" w:hAnsi="Segoe UI Semibold"/>
          <w:b/>
          <w:i/>
          <w:color w:val="231F20"/>
          <w:spacing w:val="-8"/>
          <w:sz w:val="24"/>
        </w:rPr>
        <w:t>ofrecen en </w:t>
      </w:r>
      <w:r>
        <w:rPr>
          <w:rFonts w:ascii="Segoe UI Semibold" w:hAnsi="Segoe UI Semibold"/>
          <w:b/>
          <w:i/>
          <w:color w:val="231F20"/>
          <w:sz w:val="24"/>
        </w:rPr>
        <w:t>el</w:t>
      </w:r>
      <w:r>
        <w:rPr>
          <w:rFonts w:ascii="Segoe UI Semibold" w:hAnsi="Segoe UI Semibold"/>
          <w:b/>
          <w:i/>
          <w:color w:val="231F20"/>
          <w:spacing w:val="-5"/>
          <w:sz w:val="24"/>
        </w:rPr>
        <w:t> </w:t>
      </w:r>
      <w:r>
        <w:rPr>
          <w:rFonts w:ascii="Segoe UI Semibold" w:hAnsi="Segoe UI Semibold"/>
          <w:b/>
          <w:i/>
          <w:color w:val="231F20"/>
          <w:sz w:val="24"/>
        </w:rPr>
        <w:t>extranjero.</w:t>
      </w:r>
    </w:p>
    <w:p>
      <w:pPr>
        <w:pStyle w:val="BodyText"/>
        <w:spacing w:before="158"/>
        <w:ind w:left="1474" w:right="1"/>
      </w:pPr>
      <w:r>
        <w:rPr>
          <w:color w:val="231F20"/>
        </w:rPr>
        <w:t>Entre marzo de 2022 y febrero de 2023, los daños al sector de la educación se estimaron en </w:t>
      </w:r>
      <w:r>
        <w:rPr>
          <w:rFonts w:ascii="Segoe UI Semibold" w:hAnsi="Segoe UI Semibold"/>
          <w:b/>
          <w:i/>
          <w:color w:val="231F20"/>
        </w:rPr>
        <w:t>75 millones 551 mil 799</w:t>
      </w:r>
      <w:r>
        <w:rPr>
          <w:rFonts w:ascii="Segoe UI Semibold" w:hAnsi="Segoe UI Semibold"/>
          <w:b/>
          <w:i/>
          <w:color w:val="231F20"/>
        </w:rPr>
        <w:t> dólares</w:t>
      </w:r>
      <w:r>
        <w:rPr>
          <w:color w:val="231F20"/>
        </w:rPr>
        <w:t>. Entre las principales afectaciones en el período analizado destacan las </w:t>
      </w:r>
      <w:r>
        <w:rPr>
          <w:color w:val="231F20"/>
          <w:spacing w:val="-2"/>
        </w:rPr>
        <w:t>siguientes:</w:t>
      </w:r>
    </w:p>
    <w:p>
      <w:pPr>
        <w:pStyle w:val="BodyText"/>
        <w:spacing w:before="162"/>
        <w:ind w:left="1734" w:right="3" w:hanging="261"/>
        <w:rPr>
          <w:i/>
        </w:rPr>
      </w:pPr>
      <w:r>
        <w:rPr>
          <w:position w:val="3"/>
        </w:rPr>
        <w:drawing>
          <wp:inline distT="0" distB="0" distL="0" distR="0">
            <wp:extent cx="59207" cy="59207"/>
            <wp:effectExtent l="0" t="0" r="0" b="0"/>
            <wp:docPr id="50" name="Image 50"/>
            <wp:cNvGraphicFramePr>
              <a:graphicFrameLocks/>
            </wp:cNvGraphicFramePr>
            <a:graphic>
              <a:graphicData uri="http://schemas.openxmlformats.org/drawingml/2006/picture">
                <pic:pic>
                  <pic:nvPicPr>
                    <pic:cNvPr id="50" name="Image 50"/>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13"/>
          <w:sz w:val="20"/>
        </w:rPr>
        <w:t> </w:t>
      </w:r>
      <w:r>
        <w:rPr>
          <w:color w:val="231F20"/>
          <w:spacing w:val="-2"/>
        </w:rPr>
        <w:t>Dificultades</w:t>
      </w:r>
      <w:r>
        <w:rPr>
          <w:color w:val="231F20"/>
          <w:spacing w:val="-14"/>
        </w:rPr>
        <w:t> </w:t>
      </w:r>
      <w:r>
        <w:rPr>
          <w:color w:val="231F20"/>
          <w:spacing w:val="-2"/>
        </w:rPr>
        <w:t>para</w:t>
      </w:r>
      <w:r>
        <w:rPr>
          <w:color w:val="231F20"/>
          <w:spacing w:val="-15"/>
        </w:rPr>
        <w:t> </w:t>
      </w:r>
      <w:r>
        <w:rPr>
          <w:color w:val="231F20"/>
          <w:spacing w:val="-2"/>
        </w:rPr>
        <w:t>adquirir</w:t>
      </w:r>
      <w:r>
        <w:rPr>
          <w:color w:val="231F20"/>
          <w:spacing w:val="-14"/>
        </w:rPr>
        <w:t> </w:t>
      </w:r>
      <w:r>
        <w:rPr>
          <w:color w:val="231F20"/>
          <w:spacing w:val="-2"/>
        </w:rPr>
        <w:t>los</w:t>
      </w:r>
      <w:r>
        <w:rPr>
          <w:color w:val="231F20"/>
          <w:spacing w:val="-15"/>
        </w:rPr>
        <w:t> </w:t>
      </w:r>
      <w:r>
        <w:rPr>
          <w:color w:val="231F20"/>
          <w:spacing w:val="-2"/>
        </w:rPr>
        <w:t>insumos</w:t>
      </w:r>
      <w:r>
        <w:rPr>
          <w:color w:val="231F20"/>
          <w:spacing w:val="-14"/>
        </w:rPr>
        <w:t> </w:t>
      </w:r>
      <w:r>
        <w:rPr>
          <w:color w:val="231F20"/>
          <w:spacing w:val="-2"/>
        </w:rPr>
        <w:t>con </w:t>
      </w:r>
      <w:r>
        <w:rPr>
          <w:color w:val="231F20"/>
          <w:spacing w:val="-4"/>
        </w:rPr>
        <w:t>destino</w:t>
      </w:r>
      <w:r>
        <w:rPr>
          <w:color w:val="231F20"/>
          <w:spacing w:val="-13"/>
        </w:rPr>
        <w:t> </w:t>
      </w:r>
      <w:r>
        <w:rPr>
          <w:color w:val="231F20"/>
          <w:spacing w:val="-4"/>
        </w:rPr>
        <w:t>a</w:t>
      </w:r>
      <w:r>
        <w:rPr>
          <w:color w:val="231F20"/>
          <w:spacing w:val="-12"/>
        </w:rPr>
        <w:t> </w:t>
      </w:r>
      <w:r>
        <w:rPr>
          <w:color w:val="231F20"/>
          <w:spacing w:val="-4"/>
        </w:rPr>
        <w:t>la</w:t>
      </w:r>
      <w:r>
        <w:rPr>
          <w:color w:val="231F20"/>
          <w:spacing w:val="-13"/>
        </w:rPr>
        <w:t> </w:t>
      </w:r>
      <w:r>
        <w:rPr>
          <w:color w:val="231F20"/>
          <w:spacing w:val="-4"/>
        </w:rPr>
        <w:t>producción</w:t>
      </w:r>
      <w:r>
        <w:rPr>
          <w:color w:val="231F20"/>
          <w:spacing w:val="-12"/>
        </w:rPr>
        <w:t> </w:t>
      </w:r>
      <w:r>
        <w:rPr>
          <w:color w:val="231F20"/>
          <w:spacing w:val="-4"/>
        </w:rPr>
        <w:t>de</w:t>
      </w:r>
      <w:r>
        <w:rPr>
          <w:color w:val="231F20"/>
          <w:spacing w:val="-13"/>
        </w:rPr>
        <w:t> </w:t>
      </w:r>
      <w:r>
        <w:rPr>
          <w:color w:val="231F20"/>
          <w:spacing w:val="-4"/>
        </w:rPr>
        <w:t>libros,</w:t>
      </w:r>
      <w:r>
        <w:rPr>
          <w:color w:val="231F20"/>
          <w:spacing w:val="-12"/>
        </w:rPr>
        <w:t> </w:t>
      </w:r>
      <w:r>
        <w:rPr>
          <w:color w:val="231F20"/>
          <w:spacing w:val="-4"/>
        </w:rPr>
        <w:t>folletos </w:t>
      </w:r>
      <w:r>
        <w:rPr>
          <w:color w:val="231F20"/>
        </w:rPr>
        <w:t>y demás bienes didácticos impresos, lo que ha imposibilitado disponer de los textos</w:t>
      </w:r>
      <w:r>
        <w:rPr>
          <w:color w:val="231F20"/>
          <w:spacing w:val="-5"/>
        </w:rPr>
        <w:t> </w:t>
      </w:r>
      <w:r>
        <w:rPr>
          <w:color w:val="231F20"/>
        </w:rPr>
        <w:t>del</w:t>
      </w:r>
      <w:r>
        <w:rPr>
          <w:color w:val="231F20"/>
          <w:spacing w:val="-5"/>
        </w:rPr>
        <w:t> </w:t>
      </w:r>
      <w:r>
        <w:rPr>
          <w:color w:val="231F20"/>
        </w:rPr>
        <w:t>tercer</w:t>
      </w:r>
      <w:r>
        <w:rPr>
          <w:color w:val="231F20"/>
          <w:spacing w:val="-5"/>
        </w:rPr>
        <w:t> </w:t>
      </w:r>
      <w:r>
        <w:rPr>
          <w:color w:val="231F20"/>
        </w:rPr>
        <w:t>perfeccionamiento</w:t>
      </w:r>
      <w:r>
        <w:rPr>
          <w:color w:val="231F20"/>
          <w:spacing w:val="-5"/>
        </w:rPr>
        <w:t> </w:t>
      </w:r>
      <w:r>
        <w:rPr>
          <w:color w:val="231F20"/>
        </w:rPr>
        <w:t>del sistema</w:t>
      </w:r>
      <w:r>
        <w:rPr>
          <w:color w:val="231F20"/>
          <w:spacing w:val="7"/>
        </w:rPr>
        <w:t> </w:t>
      </w:r>
      <w:r>
        <w:rPr>
          <w:color w:val="231F20"/>
        </w:rPr>
        <w:t>nacional</w:t>
      </w:r>
      <w:r>
        <w:rPr>
          <w:color w:val="231F20"/>
          <w:spacing w:val="7"/>
        </w:rPr>
        <w:t> </w:t>
      </w:r>
      <w:r>
        <w:rPr>
          <w:color w:val="231F20"/>
        </w:rPr>
        <w:t>de</w:t>
      </w:r>
      <w:r>
        <w:rPr>
          <w:color w:val="231F20"/>
          <w:spacing w:val="7"/>
        </w:rPr>
        <w:t> </w:t>
      </w:r>
      <w:r>
        <w:rPr>
          <w:color w:val="231F20"/>
        </w:rPr>
        <w:t>enseñanza.</w:t>
      </w:r>
      <w:r>
        <w:rPr>
          <w:color w:val="231F20"/>
          <w:spacing w:val="7"/>
        </w:rPr>
        <w:t> </w:t>
      </w:r>
      <w:r>
        <w:rPr>
          <w:i/>
          <w:color w:val="231F20"/>
        </w:rPr>
        <w:t>Más</w:t>
      </w:r>
      <w:r>
        <w:rPr>
          <w:i/>
          <w:color w:val="231F20"/>
          <w:spacing w:val="7"/>
        </w:rPr>
        <w:t> </w:t>
      </w:r>
      <w:r>
        <w:rPr>
          <w:i/>
          <w:color w:val="231F20"/>
          <w:spacing w:val="-5"/>
        </w:rPr>
        <w:t>de</w:t>
      </w:r>
    </w:p>
    <w:p>
      <w:pPr>
        <w:spacing w:before="5"/>
        <w:ind w:left="1734" w:right="2" w:firstLine="0"/>
        <w:jc w:val="both"/>
        <w:rPr>
          <w:sz w:val="24"/>
        </w:rPr>
      </w:pPr>
      <w:r>
        <w:rPr>
          <w:i/>
          <w:color w:val="231F20"/>
          <w:sz w:val="24"/>
        </w:rPr>
        <w:t>118 mil 600 educandos, esencialmente</w:t>
      </w:r>
      <w:r>
        <w:rPr>
          <w:i/>
          <w:color w:val="231F20"/>
          <w:sz w:val="24"/>
        </w:rPr>
        <w:t> de preescolar y primer grado, se vieron afectados por no contar íntegramente con los cuadernos de aprendizaje en las áreas</w:t>
      </w:r>
      <w:r>
        <w:rPr>
          <w:i/>
          <w:color w:val="231F20"/>
          <w:spacing w:val="-15"/>
          <w:sz w:val="24"/>
        </w:rPr>
        <w:t> </w:t>
      </w:r>
      <w:r>
        <w:rPr>
          <w:i/>
          <w:color w:val="231F20"/>
          <w:sz w:val="24"/>
        </w:rPr>
        <w:t>de</w:t>
      </w:r>
      <w:r>
        <w:rPr>
          <w:i/>
          <w:color w:val="231F20"/>
          <w:spacing w:val="-15"/>
          <w:sz w:val="24"/>
        </w:rPr>
        <w:t> </w:t>
      </w:r>
      <w:r>
        <w:rPr>
          <w:i/>
          <w:color w:val="231F20"/>
          <w:sz w:val="24"/>
        </w:rPr>
        <w:t>lectura,</w:t>
      </w:r>
      <w:r>
        <w:rPr>
          <w:i/>
          <w:color w:val="231F20"/>
          <w:spacing w:val="-15"/>
          <w:sz w:val="24"/>
        </w:rPr>
        <w:t> </w:t>
      </w:r>
      <w:r>
        <w:rPr>
          <w:i/>
          <w:color w:val="231F20"/>
          <w:sz w:val="24"/>
        </w:rPr>
        <w:t>escritura</w:t>
      </w:r>
      <w:r>
        <w:rPr>
          <w:i/>
          <w:color w:val="231F20"/>
          <w:spacing w:val="-15"/>
          <w:sz w:val="24"/>
        </w:rPr>
        <w:t> </w:t>
      </w:r>
      <w:r>
        <w:rPr>
          <w:i/>
          <w:color w:val="231F20"/>
          <w:sz w:val="24"/>
        </w:rPr>
        <w:t>y</w:t>
      </w:r>
      <w:r>
        <w:rPr>
          <w:i/>
          <w:color w:val="231F20"/>
          <w:spacing w:val="-15"/>
          <w:sz w:val="24"/>
        </w:rPr>
        <w:t> </w:t>
      </w:r>
      <w:r>
        <w:rPr>
          <w:i/>
          <w:color w:val="231F20"/>
          <w:sz w:val="24"/>
        </w:rPr>
        <w:t>matemática</w:t>
      </w:r>
      <w:r>
        <w:rPr>
          <w:color w:val="231F20"/>
          <w:sz w:val="24"/>
        </w:rPr>
        <w:t>.</w:t>
      </w:r>
    </w:p>
    <w:p>
      <w:pPr>
        <w:spacing w:before="77"/>
        <w:ind w:left="670" w:right="1132" w:firstLine="0"/>
        <w:jc w:val="both"/>
        <w:rPr>
          <w:sz w:val="24"/>
        </w:rPr>
      </w:pPr>
      <w:r>
        <w:rPr/>
        <w:br w:type="column"/>
      </w:r>
      <w:r>
        <w:rPr>
          <w:i/>
          <w:color w:val="231F20"/>
          <w:sz w:val="24"/>
        </w:rPr>
        <w:t>Las Empresas de Periódicos y Ediciones</w:t>
      </w:r>
      <w:r>
        <w:rPr>
          <w:i/>
          <w:color w:val="231F20"/>
          <w:sz w:val="24"/>
        </w:rPr>
        <w:t> Caribe</w:t>
      </w:r>
      <w:r>
        <w:rPr>
          <w:i/>
          <w:color w:val="231F20"/>
          <w:spacing w:val="-16"/>
          <w:sz w:val="24"/>
        </w:rPr>
        <w:t> </w:t>
      </w:r>
      <w:r>
        <w:rPr>
          <w:i/>
          <w:color w:val="231F20"/>
          <w:sz w:val="24"/>
        </w:rPr>
        <w:t>dejaron</w:t>
      </w:r>
      <w:r>
        <w:rPr>
          <w:i/>
          <w:color w:val="231F20"/>
          <w:spacing w:val="-16"/>
          <w:sz w:val="24"/>
        </w:rPr>
        <w:t> </w:t>
      </w:r>
      <w:r>
        <w:rPr>
          <w:i/>
          <w:color w:val="231F20"/>
          <w:sz w:val="24"/>
        </w:rPr>
        <w:t>de</w:t>
      </w:r>
      <w:r>
        <w:rPr>
          <w:i/>
          <w:color w:val="231F20"/>
          <w:spacing w:val="-16"/>
          <w:sz w:val="24"/>
        </w:rPr>
        <w:t> </w:t>
      </w:r>
      <w:r>
        <w:rPr>
          <w:i/>
          <w:color w:val="231F20"/>
          <w:sz w:val="24"/>
        </w:rPr>
        <w:t>producir</w:t>
      </w:r>
      <w:r>
        <w:rPr>
          <w:i/>
          <w:color w:val="231F20"/>
          <w:spacing w:val="-16"/>
          <w:sz w:val="24"/>
        </w:rPr>
        <w:t> </w:t>
      </w:r>
      <w:r>
        <w:rPr>
          <w:i/>
          <w:color w:val="231F20"/>
          <w:sz w:val="24"/>
        </w:rPr>
        <w:t>76,9</w:t>
      </w:r>
      <w:r>
        <w:rPr>
          <w:i/>
          <w:color w:val="231F20"/>
          <w:spacing w:val="-16"/>
          <w:sz w:val="24"/>
        </w:rPr>
        <w:t> </w:t>
      </w:r>
      <w:r>
        <w:rPr>
          <w:i/>
          <w:color w:val="231F20"/>
          <w:sz w:val="24"/>
        </w:rPr>
        <w:t>millones de libretas, libros, cuadernos y recetas médicas y 97,4 millones de ejemplares de la prensa</w:t>
      </w:r>
      <w:r>
        <w:rPr>
          <w:color w:val="231F20"/>
          <w:sz w:val="24"/>
        </w:rPr>
        <w:t>. Estas afectaciones fueron ocasionadas</w:t>
      </w:r>
      <w:r>
        <w:rPr>
          <w:color w:val="231F20"/>
          <w:spacing w:val="-17"/>
          <w:sz w:val="24"/>
        </w:rPr>
        <w:t> </w:t>
      </w:r>
      <w:r>
        <w:rPr>
          <w:color w:val="231F20"/>
          <w:sz w:val="24"/>
        </w:rPr>
        <w:t>en</w:t>
      </w:r>
      <w:r>
        <w:rPr>
          <w:color w:val="231F20"/>
          <w:spacing w:val="-16"/>
          <w:sz w:val="24"/>
        </w:rPr>
        <w:t> </w:t>
      </w:r>
      <w:r>
        <w:rPr>
          <w:color w:val="231F20"/>
          <w:sz w:val="24"/>
        </w:rPr>
        <w:t>parte</w:t>
      </w:r>
      <w:r>
        <w:rPr>
          <w:color w:val="231F20"/>
          <w:spacing w:val="-17"/>
          <w:sz w:val="24"/>
        </w:rPr>
        <w:t> </w:t>
      </w:r>
      <w:r>
        <w:rPr>
          <w:color w:val="231F20"/>
          <w:sz w:val="24"/>
        </w:rPr>
        <w:t>por</w:t>
      </w:r>
      <w:r>
        <w:rPr>
          <w:color w:val="231F20"/>
          <w:spacing w:val="-16"/>
          <w:sz w:val="24"/>
        </w:rPr>
        <w:t> </w:t>
      </w:r>
      <w:r>
        <w:rPr>
          <w:color w:val="231F20"/>
          <w:sz w:val="24"/>
        </w:rPr>
        <w:t>la</w:t>
      </w:r>
      <w:r>
        <w:rPr>
          <w:color w:val="231F20"/>
          <w:spacing w:val="-17"/>
          <w:sz w:val="24"/>
        </w:rPr>
        <w:t> </w:t>
      </w:r>
      <w:r>
        <w:rPr>
          <w:color w:val="231F20"/>
          <w:sz w:val="24"/>
        </w:rPr>
        <w:t>cancelación de una línea de crédito, asociada a la decisión de un molino canadiense de no producir más para el destino Cuba debido al bloqueo.</w:t>
      </w:r>
    </w:p>
    <w:p>
      <w:pPr>
        <w:spacing w:before="168"/>
        <w:ind w:left="670" w:right="1131" w:firstLine="0"/>
        <w:jc w:val="both"/>
        <w:rPr>
          <w:i/>
          <w:sz w:val="24"/>
        </w:rPr>
      </w:pPr>
      <w:r>
        <w:rPr/>
        <mc:AlternateContent>
          <mc:Choice Requires="wps">
            <w:drawing>
              <wp:anchor distT="0" distB="0" distL="0" distR="0" allowOverlap="1" layoutInCell="1" locked="0" behindDoc="0" simplePos="0" relativeHeight="15745024">
                <wp:simplePos x="0" y="0"/>
                <wp:positionH relativeFrom="page">
                  <wp:posOffset>4031997</wp:posOffset>
                </wp:positionH>
                <wp:positionV relativeFrom="paragraph">
                  <wp:posOffset>-1942989</wp:posOffset>
                </wp:positionV>
                <wp:extent cx="59690" cy="59690"/>
                <wp:effectExtent l="0" t="0" r="0" b="0"/>
                <wp:wrapNone/>
                <wp:docPr id="51" name="Graphic 51"/>
                <wp:cNvGraphicFramePr>
                  <a:graphicFrameLocks/>
                </wp:cNvGraphicFramePr>
                <a:graphic>
                  <a:graphicData uri="http://schemas.microsoft.com/office/word/2010/wordprocessingShape">
                    <wps:wsp>
                      <wps:cNvPr id="51" name="Graphic 5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2.991272pt;width:4.7pt;height:4.7pt;mso-position-horizontal-relative:page;mso-position-vertical-relative:paragraph;z-index:15745024" id="docshape37" coordorigin="6350,-3060" coordsize="94,94" path="m6396,-3060l6378,-3056,6363,-3046,6353,-3031,6350,-3013,6353,-2995,6363,-2980,6378,-2970,6396,-2967,6414,-2970,6429,-2980,6439,-2995,6443,-3013,6439,-3031,6429,-3046,6414,-3056,6396,-3060xe" filled="true" fillcolor="#1a4796" stroked="false">
                <v:path arrowok="t"/>
                <v:fill type="solid"/>
                <w10:wrap type="none"/>
              </v:shape>
            </w:pict>
          </mc:Fallback>
        </mc:AlternateContent>
      </w:r>
      <w:r>
        <w:rPr/>
        <mc:AlternateContent>
          <mc:Choice Requires="wps">
            <w:drawing>
              <wp:anchor distT="0" distB="0" distL="0" distR="0" allowOverlap="1" layoutInCell="1" locked="0" behindDoc="0" simplePos="0" relativeHeight="15745536">
                <wp:simplePos x="0" y="0"/>
                <wp:positionH relativeFrom="page">
                  <wp:posOffset>4031997</wp:posOffset>
                </wp:positionH>
                <wp:positionV relativeFrom="paragraph">
                  <wp:posOffset>190664</wp:posOffset>
                </wp:positionV>
                <wp:extent cx="59690" cy="59690"/>
                <wp:effectExtent l="0" t="0" r="0" b="0"/>
                <wp:wrapNone/>
                <wp:docPr id="52" name="Graphic 52"/>
                <wp:cNvGraphicFramePr>
                  <a:graphicFrameLocks/>
                </wp:cNvGraphicFramePr>
                <a:graphic>
                  <a:graphicData uri="http://schemas.microsoft.com/office/word/2010/wordprocessingShape">
                    <wps:wsp>
                      <wps:cNvPr id="52" name="Graphic 5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012925pt;width:4.7pt;height:4.7pt;mso-position-horizontal-relative:page;mso-position-vertical-relative:paragraph;z-index:15745536" id="docshape38" coordorigin="6350,300" coordsize="94,94" path="m6396,300l6378,304,6363,314,6353,329,6350,347,6353,365,6363,380,6378,390,6396,393,6414,390,6429,380,6439,365,6443,347,6439,329,6429,314,6414,304,6396,300xe" filled="true" fillcolor="#1a4796" stroked="false">
                <v:path arrowok="t"/>
                <v:fill type="solid"/>
                <w10:wrap type="none"/>
              </v:shape>
            </w:pict>
          </mc:Fallback>
        </mc:AlternateContent>
      </w:r>
      <w:r>
        <w:rPr>
          <w:i/>
          <w:color w:val="231F20"/>
          <w:sz w:val="24"/>
        </w:rPr>
        <w:t>En</w:t>
      </w:r>
      <w:r>
        <w:rPr>
          <w:i/>
          <w:color w:val="231F20"/>
          <w:spacing w:val="40"/>
          <w:sz w:val="24"/>
        </w:rPr>
        <w:t> </w:t>
      </w:r>
      <w:r>
        <w:rPr>
          <w:i/>
          <w:color w:val="231F20"/>
          <w:sz w:val="24"/>
        </w:rPr>
        <w:t>el</w:t>
      </w:r>
      <w:r>
        <w:rPr>
          <w:i/>
          <w:color w:val="231F20"/>
          <w:spacing w:val="40"/>
          <w:sz w:val="24"/>
        </w:rPr>
        <w:t> </w:t>
      </w:r>
      <w:r>
        <w:rPr>
          <w:i/>
          <w:color w:val="231F20"/>
          <w:sz w:val="24"/>
        </w:rPr>
        <w:t>Sistema</w:t>
      </w:r>
      <w:r>
        <w:rPr>
          <w:i/>
          <w:color w:val="231F20"/>
          <w:spacing w:val="40"/>
          <w:sz w:val="24"/>
        </w:rPr>
        <w:t> </w:t>
      </w:r>
      <w:r>
        <w:rPr>
          <w:i/>
          <w:color w:val="231F20"/>
          <w:sz w:val="24"/>
        </w:rPr>
        <w:t>Nacional</w:t>
      </w:r>
      <w:r>
        <w:rPr>
          <w:i/>
          <w:color w:val="231F20"/>
          <w:spacing w:val="40"/>
          <w:sz w:val="24"/>
        </w:rPr>
        <w:t> </w:t>
      </w:r>
      <w:r>
        <w:rPr>
          <w:i/>
          <w:color w:val="231F20"/>
          <w:sz w:val="24"/>
        </w:rPr>
        <w:t>de</w:t>
      </w:r>
      <w:r>
        <w:rPr>
          <w:i/>
          <w:color w:val="231F20"/>
          <w:spacing w:val="40"/>
          <w:sz w:val="24"/>
        </w:rPr>
        <w:t> </w:t>
      </w:r>
      <w:r>
        <w:rPr>
          <w:i/>
          <w:color w:val="231F20"/>
          <w:sz w:val="24"/>
        </w:rPr>
        <w:t>Educación</w:t>
      </w:r>
      <w:r>
        <w:rPr>
          <w:i/>
          <w:color w:val="231F20"/>
          <w:sz w:val="24"/>
        </w:rPr>
        <w:t> se registran 1315 instituciones que requieren reparación, calculándose una afectación total de 6 millones 500 mil dólares. 12 horas sin bloqueo equivalen al monto necesario para cubrir las necesidades del sector de la educación por este concepto.</w:t>
      </w:r>
    </w:p>
    <w:p>
      <w:pPr>
        <w:spacing w:before="166"/>
        <w:ind w:left="670" w:right="1131" w:firstLine="0"/>
        <w:jc w:val="both"/>
        <w:rPr>
          <w:sz w:val="24"/>
        </w:rPr>
      </w:pPr>
      <w:r>
        <w:rPr/>
        <mc:AlternateContent>
          <mc:Choice Requires="wps">
            <w:drawing>
              <wp:anchor distT="0" distB="0" distL="0" distR="0" allowOverlap="1" layoutInCell="1" locked="0" behindDoc="0" simplePos="0" relativeHeight="15746048">
                <wp:simplePos x="0" y="0"/>
                <wp:positionH relativeFrom="page">
                  <wp:posOffset>4031997</wp:posOffset>
                </wp:positionH>
                <wp:positionV relativeFrom="paragraph">
                  <wp:posOffset>189632</wp:posOffset>
                </wp:positionV>
                <wp:extent cx="59690" cy="59690"/>
                <wp:effectExtent l="0" t="0" r="0" b="0"/>
                <wp:wrapNone/>
                <wp:docPr id="53" name="Graphic 53"/>
                <wp:cNvGraphicFramePr>
                  <a:graphicFrameLocks/>
                </wp:cNvGraphicFramePr>
                <a:graphic>
                  <a:graphicData uri="http://schemas.microsoft.com/office/word/2010/wordprocessingShape">
                    <wps:wsp>
                      <wps:cNvPr id="53" name="Graphic 5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31725pt;width:4.7pt;height:4.7pt;mso-position-horizontal-relative:page;mso-position-vertical-relative:paragraph;z-index:15746048" id="docshape39" coordorigin="6350,299" coordsize="94,94" path="m6396,299l6378,302,6363,312,6353,327,6350,345,6353,363,6363,378,6378,388,6396,392,6414,388,6429,378,6439,363,6443,345,6439,327,6429,312,6414,302,6396,299xe" filled="true" fillcolor="#1a4796" stroked="false">
                <v:path arrowok="t"/>
                <v:fill type="solid"/>
                <w10:wrap type="none"/>
              </v:shape>
            </w:pict>
          </mc:Fallback>
        </mc:AlternateContent>
      </w:r>
      <w:r>
        <w:rPr>
          <w:color w:val="231F20"/>
          <w:sz w:val="24"/>
        </w:rPr>
        <w:t>Resulta</w:t>
      </w:r>
      <w:r>
        <w:rPr>
          <w:color w:val="231F20"/>
          <w:spacing w:val="40"/>
          <w:sz w:val="24"/>
        </w:rPr>
        <w:t> </w:t>
      </w:r>
      <w:r>
        <w:rPr>
          <w:color w:val="231F20"/>
          <w:sz w:val="24"/>
        </w:rPr>
        <w:t>difícil</w:t>
      </w:r>
      <w:r>
        <w:rPr>
          <w:color w:val="231F20"/>
          <w:spacing w:val="40"/>
          <w:sz w:val="24"/>
        </w:rPr>
        <w:t> </w:t>
      </w:r>
      <w:r>
        <w:rPr>
          <w:color w:val="231F20"/>
          <w:sz w:val="24"/>
        </w:rPr>
        <w:t>importar</w:t>
      </w:r>
      <w:r>
        <w:rPr>
          <w:color w:val="231F20"/>
          <w:spacing w:val="40"/>
          <w:sz w:val="24"/>
        </w:rPr>
        <w:t> </w:t>
      </w:r>
      <w:r>
        <w:rPr>
          <w:color w:val="231F20"/>
          <w:sz w:val="24"/>
        </w:rPr>
        <w:t>las</w:t>
      </w:r>
      <w:r>
        <w:rPr>
          <w:color w:val="231F20"/>
          <w:spacing w:val="40"/>
          <w:sz w:val="24"/>
        </w:rPr>
        <w:t> </w:t>
      </w:r>
      <w:r>
        <w:rPr>
          <w:color w:val="231F20"/>
          <w:sz w:val="24"/>
        </w:rPr>
        <w:t>baterías</w:t>
      </w:r>
      <w:r>
        <w:rPr>
          <w:color w:val="231F20"/>
          <w:spacing w:val="80"/>
          <w:w w:val="150"/>
          <w:sz w:val="24"/>
        </w:rPr>
        <w:t> </w:t>
      </w:r>
      <w:r>
        <w:rPr>
          <w:color w:val="231F20"/>
          <w:sz w:val="24"/>
        </w:rPr>
        <w:t>de las prótesis auditivas para los educandos</w:t>
      </w:r>
      <w:r>
        <w:rPr>
          <w:color w:val="231F20"/>
          <w:spacing w:val="40"/>
          <w:sz w:val="24"/>
        </w:rPr>
        <w:t> </w:t>
      </w:r>
      <w:r>
        <w:rPr>
          <w:color w:val="231F20"/>
          <w:sz w:val="24"/>
        </w:rPr>
        <w:t>con</w:t>
      </w:r>
      <w:r>
        <w:rPr>
          <w:color w:val="231F20"/>
          <w:spacing w:val="40"/>
          <w:sz w:val="24"/>
        </w:rPr>
        <w:t> </w:t>
      </w:r>
      <w:r>
        <w:rPr>
          <w:color w:val="231F20"/>
          <w:sz w:val="24"/>
        </w:rPr>
        <w:t>esa</w:t>
      </w:r>
      <w:r>
        <w:rPr>
          <w:color w:val="231F20"/>
          <w:spacing w:val="40"/>
          <w:sz w:val="24"/>
        </w:rPr>
        <w:t> </w:t>
      </w:r>
      <w:r>
        <w:rPr>
          <w:color w:val="231F20"/>
          <w:sz w:val="24"/>
        </w:rPr>
        <w:t>necesidad,</w:t>
      </w:r>
      <w:r>
        <w:rPr>
          <w:color w:val="231F20"/>
          <w:spacing w:val="40"/>
          <w:sz w:val="24"/>
        </w:rPr>
        <w:t> </w:t>
      </w:r>
      <w:r>
        <w:rPr>
          <w:color w:val="231F20"/>
          <w:sz w:val="24"/>
        </w:rPr>
        <w:t>pues en su gran mayoría son de </w:t>
      </w:r>
      <w:r>
        <w:rPr>
          <w:color w:val="231F20"/>
          <w:sz w:val="24"/>
        </w:rPr>
        <w:t>fabricación estadounidense. </w:t>
      </w:r>
      <w:r>
        <w:rPr>
          <w:i/>
          <w:color w:val="231F20"/>
          <w:sz w:val="24"/>
        </w:rPr>
        <w:t>De 1152 educandos</w:t>
      </w:r>
      <w:r>
        <w:rPr>
          <w:i/>
          <w:color w:val="231F20"/>
          <w:sz w:val="24"/>
        </w:rPr>
        <w:t> con</w:t>
      </w:r>
      <w:r>
        <w:rPr>
          <w:i/>
          <w:color w:val="231F20"/>
          <w:spacing w:val="-17"/>
          <w:sz w:val="24"/>
        </w:rPr>
        <w:t> </w:t>
      </w:r>
      <w:r>
        <w:rPr>
          <w:i/>
          <w:color w:val="231F20"/>
          <w:sz w:val="24"/>
        </w:rPr>
        <w:t>discapacidad</w:t>
      </w:r>
      <w:r>
        <w:rPr>
          <w:i/>
          <w:color w:val="231F20"/>
          <w:spacing w:val="-16"/>
          <w:sz w:val="24"/>
        </w:rPr>
        <w:t> </w:t>
      </w:r>
      <w:r>
        <w:rPr>
          <w:i/>
          <w:color w:val="231F20"/>
          <w:sz w:val="24"/>
        </w:rPr>
        <w:t>auditiva,</w:t>
      </w:r>
      <w:r>
        <w:rPr>
          <w:i/>
          <w:color w:val="231F20"/>
          <w:spacing w:val="-17"/>
          <w:sz w:val="24"/>
        </w:rPr>
        <w:t> </w:t>
      </w:r>
      <w:r>
        <w:rPr>
          <w:i/>
          <w:color w:val="231F20"/>
          <w:sz w:val="24"/>
        </w:rPr>
        <w:t>920</w:t>
      </w:r>
      <w:r>
        <w:rPr>
          <w:i/>
          <w:color w:val="231F20"/>
          <w:spacing w:val="-16"/>
          <w:sz w:val="24"/>
        </w:rPr>
        <w:t> </w:t>
      </w:r>
      <w:r>
        <w:rPr>
          <w:i/>
          <w:color w:val="231F20"/>
          <w:sz w:val="24"/>
        </w:rPr>
        <w:t>necesitan las</w:t>
      </w:r>
      <w:r>
        <w:rPr>
          <w:i/>
          <w:color w:val="231F20"/>
          <w:spacing w:val="-17"/>
          <w:sz w:val="24"/>
        </w:rPr>
        <w:t> </w:t>
      </w:r>
      <w:r>
        <w:rPr>
          <w:i/>
          <w:color w:val="231F20"/>
          <w:sz w:val="24"/>
        </w:rPr>
        <w:t>prótesis</w:t>
      </w:r>
      <w:r>
        <w:rPr>
          <w:i/>
          <w:color w:val="231F20"/>
          <w:spacing w:val="-16"/>
          <w:sz w:val="24"/>
        </w:rPr>
        <w:t> </w:t>
      </w:r>
      <w:r>
        <w:rPr>
          <w:i/>
          <w:color w:val="231F20"/>
          <w:sz w:val="24"/>
        </w:rPr>
        <w:t>y,</w:t>
      </w:r>
      <w:r>
        <w:rPr>
          <w:i/>
          <w:color w:val="231F20"/>
          <w:spacing w:val="-17"/>
          <w:sz w:val="24"/>
        </w:rPr>
        <w:t> </w:t>
      </w:r>
      <w:r>
        <w:rPr>
          <w:i/>
          <w:color w:val="231F20"/>
          <w:sz w:val="24"/>
        </w:rPr>
        <w:t>de</w:t>
      </w:r>
      <w:r>
        <w:rPr>
          <w:i/>
          <w:color w:val="231F20"/>
          <w:spacing w:val="-16"/>
          <w:sz w:val="24"/>
        </w:rPr>
        <w:t> </w:t>
      </w:r>
      <w:r>
        <w:rPr>
          <w:i/>
          <w:color w:val="231F20"/>
          <w:sz w:val="24"/>
        </w:rPr>
        <w:t>ellos,</w:t>
      </w:r>
      <w:r>
        <w:rPr>
          <w:i/>
          <w:color w:val="231F20"/>
          <w:spacing w:val="-17"/>
          <w:sz w:val="24"/>
        </w:rPr>
        <w:t> </w:t>
      </w:r>
      <w:r>
        <w:rPr>
          <w:i/>
          <w:color w:val="231F20"/>
          <w:sz w:val="24"/>
        </w:rPr>
        <w:t>219</w:t>
      </w:r>
      <w:r>
        <w:rPr>
          <w:i/>
          <w:color w:val="231F20"/>
          <w:spacing w:val="-16"/>
          <w:sz w:val="24"/>
        </w:rPr>
        <w:t> </w:t>
      </w:r>
      <w:r>
        <w:rPr>
          <w:i/>
          <w:color w:val="231F20"/>
          <w:sz w:val="24"/>
        </w:rPr>
        <w:t>se</w:t>
      </w:r>
      <w:r>
        <w:rPr>
          <w:i/>
          <w:color w:val="231F20"/>
          <w:spacing w:val="-16"/>
          <w:sz w:val="24"/>
        </w:rPr>
        <w:t> </w:t>
      </w:r>
      <w:r>
        <w:rPr>
          <w:i/>
          <w:color w:val="231F20"/>
          <w:sz w:val="24"/>
        </w:rPr>
        <w:t>encuentran </w:t>
      </w:r>
      <w:r>
        <w:rPr>
          <w:i/>
          <w:color w:val="231F20"/>
          <w:spacing w:val="-4"/>
          <w:sz w:val="24"/>
        </w:rPr>
        <w:t>afectados</w:t>
      </w:r>
      <w:r>
        <w:rPr>
          <w:i/>
          <w:color w:val="231F20"/>
          <w:spacing w:val="-21"/>
          <w:sz w:val="24"/>
        </w:rPr>
        <w:t> </w:t>
      </w:r>
      <w:r>
        <w:rPr>
          <w:i/>
          <w:color w:val="231F20"/>
          <w:spacing w:val="-4"/>
          <w:sz w:val="24"/>
        </w:rPr>
        <w:t>por</w:t>
      </w:r>
      <w:r>
        <w:rPr>
          <w:i/>
          <w:color w:val="231F20"/>
          <w:spacing w:val="-20"/>
          <w:sz w:val="24"/>
        </w:rPr>
        <w:t> </w:t>
      </w:r>
      <w:r>
        <w:rPr>
          <w:i/>
          <w:color w:val="231F20"/>
          <w:spacing w:val="-4"/>
          <w:sz w:val="24"/>
        </w:rPr>
        <w:t>roturas</w:t>
      </w:r>
      <w:r>
        <w:rPr>
          <w:i/>
          <w:color w:val="231F20"/>
          <w:spacing w:val="-21"/>
          <w:sz w:val="24"/>
        </w:rPr>
        <w:t> </w:t>
      </w:r>
      <w:r>
        <w:rPr>
          <w:i/>
          <w:color w:val="231F20"/>
          <w:spacing w:val="-4"/>
          <w:sz w:val="24"/>
        </w:rPr>
        <w:t>de</w:t>
      </w:r>
      <w:r>
        <w:rPr>
          <w:i/>
          <w:color w:val="231F20"/>
          <w:spacing w:val="-20"/>
          <w:sz w:val="24"/>
        </w:rPr>
        <w:t> </w:t>
      </w:r>
      <w:r>
        <w:rPr>
          <w:i/>
          <w:color w:val="231F20"/>
          <w:spacing w:val="-4"/>
          <w:sz w:val="24"/>
        </w:rPr>
        <w:t>estos</w:t>
      </w:r>
      <w:r>
        <w:rPr>
          <w:i/>
          <w:color w:val="231F20"/>
          <w:spacing w:val="-20"/>
          <w:sz w:val="24"/>
        </w:rPr>
        <w:t> </w:t>
      </w:r>
      <w:r>
        <w:rPr>
          <w:i/>
          <w:color w:val="231F20"/>
          <w:spacing w:val="-4"/>
          <w:sz w:val="24"/>
        </w:rPr>
        <w:t>dispositivos</w:t>
      </w:r>
      <w:r>
        <w:rPr>
          <w:color w:val="231F20"/>
          <w:spacing w:val="-4"/>
          <w:sz w:val="24"/>
        </w:rPr>
        <w:t>.</w:t>
      </w:r>
    </w:p>
    <w:p>
      <w:pPr>
        <w:pStyle w:val="BodyText"/>
        <w:spacing w:before="166"/>
        <w:ind w:left="670" w:right="1131"/>
      </w:pPr>
      <w:r>
        <w:rPr/>
        <mc:AlternateContent>
          <mc:Choice Requires="wps">
            <w:drawing>
              <wp:anchor distT="0" distB="0" distL="0" distR="0" allowOverlap="1" layoutInCell="1" locked="0" behindDoc="0" simplePos="0" relativeHeight="15746560">
                <wp:simplePos x="0" y="0"/>
                <wp:positionH relativeFrom="page">
                  <wp:posOffset>4031997</wp:posOffset>
                </wp:positionH>
                <wp:positionV relativeFrom="paragraph">
                  <wp:posOffset>189757</wp:posOffset>
                </wp:positionV>
                <wp:extent cx="59690" cy="59690"/>
                <wp:effectExtent l="0" t="0" r="0" b="0"/>
                <wp:wrapNone/>
                <wp:docPr id="54" name="Graphic 54"/>
                <wp:cNvGraphicFramePr>
                  <a:graphicFrameLocks/>
                </wp:cNvGraphicFramePr>
                <a:graphic>
                  <a:graphicData uri="http://schemas.microsoft.com/office/word/2010/wordprocessingShape">
                    <wps:wsp>
                      <wps:cNvPr id="54" name="Graphic 5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41525pt;width:4.7pt;height:4.7pt;mso-position-horizontal-relative:page;mso-position-vertical-relative:paragraph;z-index:15746560" id="docshape40" coordorigin="6350,299" coordsize="94,94" path="m6396,299l6378,302,6363,312,6353,327,6350,345,6353,364,6363,378,6378,388,6396,392,6414,388,6429,378,6439,364,6443,345,6439,327,6429,312,6414,302,6396,299xe" filled="true" fillcolor="#1a4796" stroked="false">
                <v:path arrowok="t"/>
                <v:fill type="solid"/>
                <w10:wrap type="none"/>
              </v:shape>
            </w:pict>
          </mc:Fallback>
        </mc:AlternateContent>
      </w:r>
      <w:r>
        <w:rPr>
          <w:color w:val="231F20"/>
        </w:rPr>
        <w:t>El Estado cubano realiza un </w:t>
      </w:r>
      <w:r>
        <w:rPr>
          <w:color w:val="231F20"/>
        </w:rPr>
        <w:t>esfuerzo notable</w:t>
      </w:r>
      <w:r>
        <w:rPr>
          <w:color w:val="231F20"/>
          <w:spacing w:val="-13"/>
        </w:rPr>
        <w:t> </w:t>
      </w:r>
      <w:r>
        <w:rPr>
          <w:color w:val="231F20"/>
        </w:rPr>
        <w:t>para</w:t>
      </w:r>
      <w:r>
        <w:rPr>
          <w:color w:val="231F20"/>
          <w:spacing w:val="-14"/>
        </w:rPr>
        <w:t> </w:t>
      </w:r>
      <w:r>
        <w:rPr>
          <w:color w:val="231F20"/>
        </w:rPr>
        <w:t>subsidiar</w:t>
      </w:r>
      <w:r>
        <w:rPr>
          <w:color w:val="231F20"/>
          <w:spacing w:val="-13"/>
        </w:rPr>
        <w:t> </w:t>
      </w:r>
      <w:r>
        <w:rPr>
          <w:color w:val="231F20"/>
        </w:rPr>
        <w:t>el</w:t>
      </w:r>
      <w:r>
        <w:rPr>
          <w:color w:val="231F20"/>
          <w:spacing w:val="-13"/>
        </w:rPr>
        <w:t> </w:t>
      </w:r>
      <w:r>
        <w:rPr>
          <w:color w:val="231F20"/>
        </w:rPr>
        <w:t>50</w:t>
      </w:r>
      <w:r>
        <w:rPr>
          <w:color w:val="231F20"/>
          <w:spacing w:val="-13"/>
        </w:rPr>
        <w:t> </w:t>
      </w:r>
      <w:r>
        <w:rPr>
          <w:color w:val="231F20"/>
        </w:rPr>
        <w:t>%</w:t>
      </w:r>
      <w:r>
        <w:rPr>
          <w:color w:val="231F20"/>
          <w:spacing w:val="-13"/>
        </w:rPr>
        <w:t> </w:t>
      </w:r>
      <w:r>
        <w:rPr>
          <w:color w:val="231F20"/>
        </w:rPr>
        <w:t>del</w:t>
      </w:r>
      <w:r>
        <w:rPr>
          <w:color w:val="231F20"/>
          <w:spacing w:val="-13"/>
        </w:rPr>
        <w:t> </w:t>
      </w:r>
      <w:r>
        <w:rPr>
          <w:color w:val="231F20"/>
        </w:rPr>
        <w:t>costo del uniforme escolar. Sin embargo, los efectos del bloqueo se manifiestan actualmente en la escasez de materias primas para su confección y el mejoramiento del mobiliario escolar, donde el país gasta de cuatro a cinco veces más por reubicación geográfica del comercio hacia mercados lejanos.</w:t>
      </w:r>
    </w:p>
    <w:p>
      <w:pPr>
        <w:pStyle w:val="BodyText"/>
        <w:spacing w:before="168"/>
        <w:ind w:left="670" w:right="1135"/>
      </w:pPr>
      <w:r>
        <w:rPr>
          <w:color w:val="231F20"/>
        </w:rPr>
        <w:t>El bloqueo impidió que la University College London comprara y enviara el </w:t>
      </w:r>
      <w:r>
        <w:rPr>
          <w:color w:val="231F20"/>
          <w:spacing w:val="-10"/>
        </w:rPr>
        <w:t>equipamiento</w:t>
      </w:r>
      <w:r>
        <w:rPr>
          <w:color w:val="231F20"/>
          <w:spacing w:val="-5"/>
        </w:rPr>
        <w:t> </w:t>
      </w:r>
      <w:r>
        <w:rPr>
          <w:color w:val="231F20"/>
          <w:spacing w:val="-10"/>
        </w:rPr>
        <w:t>de</w:t>
      </w:r>
      <w:r>
        <w:rPr>
          <w:color w:val="231F20"/>
          <w:spacing w:val="-5"/>
        </w:rPr>
        <w:t> </w:t>
      </w:r>
      <w:r>
        <w:rPr>
          <w:color w:val="231F20"/>
          <w:spacing w:val="-10"/>
        </w:rPr>
        <w:t>computación</w:t>
      </w:r>
      <w:r>
        <w:rPr>
          <w:color w:val="231F20"/>
          <w:spacing w:val="-5"/>
        </w:rPr>
        <w:t> </w:t>
      </w:r>
      <w:r>
        <w:rPr>
          <w:color w:val="231F20"/>
          <w:spacing w:val="-10"/>
        </w:rPr>
        <w:t>que</w:t>
      </w:r>
      <w:r>
        <w:rPr>
          <w:color w:val="231F20"/>
          <w:spacing w:val="-5"/>
        </w:rPr>
        <w:t> </w:t>
      </w:r>
      <w:r>
        <w:rPr>
          <w:color w:val="231F20"/>
          <w:spacing w:val="-10"/>
        </w:rPr>
        <w:t>estaba </w:t>
      </w:r>
      <w:r>
        <w:rPr>
          <w:color w:val="231F20"/>
        </w:rPr>
        <w:t>previsto</w:t>
      </w:r>
      <w:r>
        <w:rPr>
          <w:color w:val="231F20"/>
          <w:spacing w:val="-12"/>
        </w:rPr>
        <w:t> </w:t>
      </w:r>
      <w:r>
        <w:rPr>
          <w:color w:val="231F20"/>
        </w:rPr>
        <w:t>para</w:t>
      </w:r>
      <w:r>
        <w:rPr>
          <w:color w:val="231F20"/>
          <w:spacing w:val="-12"/>
        </w:rPr>
        <w:t> </w:t>
      </w:r>
      <w:r>
        <w:rPr>
          <w:color w:val="231F20"/>
        </w:rPr>
        <w:t>un</w:t>
      </w:r>
      <w:r>
        <w:rPr>
          <w:color w:val="231F20"/>
          <w:spacing w:val="-12"/>
        </w:rPr>
        <w:t> </w:t>
      </w:r>
      <w:r>
        <w:rPr>
          <w:color w:val="231F20"/>
        </w:rPr>
        <w:t>proyecto</w:t>
      </w:r>
      <w:r>
        <w:rPr>
          <w:color w:val="231F20"/>
          <w:spacing w:val="-12"/>
        </w:rPr>
        <w:t> </w:t>
      </w:r>
      <w:r>
        <w:rPr>
          <w:color w:val="231F20"/>
        </w:rPr>
        <w:t>conjunto</w:t>
      </w:r>
      <w:r>
        <w:rPr>
          <w:color w:val="231F20"/>
          <w:spacing w:val="-12"/>
        </w:rPr>
        <w:t> </w:t>
      </w:r>
      <w:r>
        <w:rPr>
          <w:color w:val="231F20"/>
        </w:rPr>
        <w:t>con </w:t>
      </w:r>
      <w:r>
        <w:rPr>
          <w:color w:val="231F20"/>
          <w:spacing w:val="-4"/>
        </w:rPr>
        <w:t>la</w:t>
      </w:r>
      <w:r>
        <w:rPr>
          <w:color w:val="231F20"/>
          <w:spacing w:val="-11"/>
        </w:rPr>
        <w:t> </w:t>
      </w:r>
      <w:r>
        <w:rPr>
          <w:color w:val="231F20"/>
          <w:spacing w:val="-4"/>
        </w:rPr>
        <w:t>Universidad</w:t>
      </w:r>
      <w:r>
        <w:rPr>
          <w:color w:val="231F20"/>
          <w:spacing w:val="-10"/>
        </w:rPr>
        <w:t> </w:t>
      </w:r>
      <w:r>
        <w:rPr>
          <w:color w:val="231F20"/>
          <w:spacing w:val="-4"/>
        </w:rPr>
        <w:t>Tecnológica</w:t>
      </w:r>
      <w:r>
        <w:rPr>
          <w:color w:val="231F20"/>
          <w:spacing w:val="-11"/>
        </w:rPr>
        <w:t> </w:t>
      </w:r>
      <w:r>
        <w:rPr>
          <w:color w:val="231F20"/>
          <w:spacing w:val="-4"/>
        </w:rPr>
        <w:t>de</w:t>
      </w:r>
      <w:r>
        <w:rPr>
          <w:color w:val="231F20"/>
          <w:spacing w:val="-10"/>
        </w:rPr>
        <w:t> </w:t>
      </w:r>
      <w:r>
        <w:rPr>
          <w:color w:val="231F20"/>
          <w:spacing w:val="-4"/>
        </w:rPr>
        <w:t>La</w:t>
      </w:r>
      <w:r>
        <w:rPr>
          <w:color w:val="231F20"/>
          <w:spacing w:val="-10"/>
        </w:rPr>
        <w:t> </w:t>
      </w:r>
      <w:r>
        <w:rPr>
          <w:color w:val="231F20"/>
          <w:spacing w:val="-5"/>
        </w:rPr>
        <w:t>Habana</w:t>
      </w:r>
    </w:p>
    <w:p>
      <w:pPr>
        <w:spacing w:after="0"/>
        <w:sectPr>
          <w:pgSz w:w="11910" w:h="16840"/>
          <w:pgMar w:header="0" w:footer="695" w:top="1260" w:bottom="880" w:left="0" w:right="0"/>
          <w:cols w:num="2" w:equalWidth="0">
            <w:col w:w="5901" w:space="40"/>
            <w:col w:w="5969"/>
          </w:cols>
        </w:sectPr>
      </w:pPr>
    </w:p>
    <w:p>
      <w:pPr>
        <w:pStyle w:val="BodyText"/>
        <w:spacing w:before="77"/>
        <w:ind w:left="1394"/>
        <w:jc w:val="left"/>
      </w:pPr>
      <w:r>
        <w:rPr>
          <w:color w:val="231F20"/>
        </w:rPr>
        <w:t>“José</w:t>
      </w:r>
      <w:r>
        <w:rPr>
          <w:color w:val="231F20"/>
          <w:spacing w:val="16"/>
        </w:rPr>
        <w:t> </w:t>
      </w:r>
      <w:r>
        <w:rPr>
          <w:color w:val="231F20"/>
        </w:rPr>
        <w:t>Antonio</w:t>
      </w:r>
      <w:r>
        <w:rPr>
          <w:color w:val="231F20"/>
          <w:spacing w:val="15"/>
        </w:rPr>
        <w:t> </w:t>
      </w:r>
      <w:r>
        <w:rPr>
          <w:color w:val="231F20"/>
        </w:rPr>
        <w:t>Echeverría”</w:t>
      </w:r>
      <w:r>
        <w:rPr>
          <w:color w:val="231F20"/>
          <w:spacing w:val="16"/>
        </w:rPr>
        <w:t> </w:t>
      </w:r>
      <w:r>
        <w:rPr>
          <w:color w:val="231F20"/>
        </w:rPr>
        <w:t>(CUJAE),</w:t>
      </w:r>
      <w:r>
        <w:rPr>
          <w:color w:val="231F20"/>
          <w:spacing w:val="16"/>
        </w:rPr>
        <w:t> </w:t>
      </w:r>
      <w:r>
        <w:rPr>
          <w:color w:val="231F20"/>
        </w:rPr>
        <w:t>por estar</w:t>
      </w:r>
      <w:r>
        <w:rPr>
          <w:color w:val="231F20"/>
          <w:spacing w:val="-6"/>
        </w:rPr>
        <w:t> </w:t>
      </w:r>
      <w:r>
        <w:rPr>
          <w:color w:val="231F20"/>
        </w:rPr>
        <w:t>destinado</w:t>
      </w:r>
      <w:r>
        <w:rPr>
          <w:color w:val="231F20"/>
          <w:spacing w:val="-6"/>
        </w:rPr>
        <w:t> </w:t>
      </w:r>
      <w:r>
        <w:rPr>
          <w:color w:val="231F20"/>
        </w:rPr>
        <w:t>a</w:t>
      </w:r>
      <w:r>
        <w:rPr>
          <w:color w:val="231F20"/>
          <w:spacing w:val="-6"/>
        </w:rPr>
        <w:t> </w:t>
      </w:r>
      <w:r>
        <w:rPr>
          <w:color w:val="231F20"/>
        </w:rPr>
        <w:t>una</w:t>
      </w:r>
      <w:r>
        <w:rPr>
          <w:color w:val="231F20"/>
          <w:spacing w:val="-6"/>
        </w:rPr>
        <w:t> </w:t>
      </w:r>
      <w:r>
        <w:rPr>
          <w:color w:val="231F20"/>
        </w:rPr>
        <w:t>entidad</w:t>
      </w:r>
      <w:r>
        <w:rPr>
          <w:color w:val="231F20"/>
          <w:spacing w:val="-6"/>
        </w:rPr>
        <w:t> </w:t>
      </w:r>
      <w:r>
        <w:rPr>
          <w:color w:val="231F20"/>
        </w:rPr>
        <w:t>cubana.</w:t>
      </w:r>
    </w:p>
    <w:p>
      <w:pPr>
        <w:pStyle w:val="BodyText"/>
        <w:spacing w:before="161"/>
        <w:ind w:left="1394" w:hanging="261"/>
      </w:pPr>
      <w:r>
        <w:rPr>
          <w:position w:val="3"/>
        </w:rPr>
        <w:drawing>
          <wp:inline distT="0" distB="0" distL="0" distR="0">
            <wp:extent cx="59207" cy="59207"/>
            <wp:effectExtent l="0" t="0" r="0" b="0"/>
            <wp:docPr id="55" name="Image 55"/>
            <wp:cNvGraphicFramePr>
              <a:graphicFrameLocks/>
            </wp:cNvGraphicFramePr>
            <a:graphic>
              <a:graphicData uri="http://schemas.openxmlformats.org/drawingml/2006/picture">
                <pic:pic>
                  <pic:nvPicPr>
                    <pic:cNvPr id="55" name="Image 55"/>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80"/>
          <w:sz w:val="20"/>
        </w:rPr>
        <w:t> </w:t>
      </w:r>
      <w:r>
        <w:rPr>
          <w:color w:val="231F20"/>
        </w:rPr>
        <w:t>Los</w:t>
      </w:r>
      <w:r>
        <w:rPr>
          <w:color w:val="231F20"/>
          <w:spacing w:val="80"/>
        </w:rPr>
        <w:t> </w:t>
      </w:r>
      <w:r>
        <w:rPr>
          <w:color w:val="231F20"/>
        </w:rPr>
        <w:t>estudiantes</w:t>
      </w:r>
      <w:r>
        <w:rPr>
          <w:color w:val="231F20"/>
          <w:spacing w:val="80"/>
        </w:rPr>
        <w:t> </w:t>
      </w:r>
      <w:r>
        <w:rPr>
          <w:color w:val="231F20"/>
        </w:rPr>
        <w:t>de</w:t>
      </w:r>
      <w:r>
        <w:rPr>
          <w:color w:val="231F20"/>
          <w:spacing w:val="80"/>
        </w:rPr>
        <w:t> </w:t>
      </w:r>
      <w:r>
        <w:rPr>
          <w:color w:val="231F20"/>
        </w:rPr>
        <w:t>la</w:t>
      </w:r>
      <w:r>
        <w:rPr>
          <w:color w:val="231F20"/>
          <w:spacing w:val="80"/>
        </w:rPr>
        <w:t> </w:t>
      </w:r>
      <w:r>
        <w:rPr>
          <w:color w:val="231F20"/>
        </w:rPr>
        <w:t>Universidad</w:t>
      </w:r>
      <w:r>
        <w:rPr>
          <w:color w:val="231F20"/>
          <w:spacing w:val="80"/>
        </w:rPr>
        <w:t> </w:t>
      </w:r>
      <w:r>
        <w:rPr>
          <w:color w:val="231F20"/>
        </w:rPr>
        <w:t>de Ciencias Informáticas no pueden acceder</w:t>
      </w:r>
      <w:r>
        <w:rPr>
          <w:color w:val="231F20"/>
          <w:spacing w:val="-1"/>
        </w:rPr>
        <w:t> </w:t>
      </w:r>
      <w:r>
        <w:rPr>
          <w:color w:val="231F20"/>
        </w:rPr>
        <w:t>a</w:t>
      </w:r>
      <w:r>
        <w:rPr>
          <w:color w:val="231F20"/>
          <w:spacing w:val="-1"/>
        </w:rPr>
        <w:t> </w:t>
      </w:r>
      <w:r>
        <w:rPr>
          <w:color w:val="231F20"/>
        </w:rPr>
        <w:t>más</w:t>
      </w:r>
      <w:r>
        <w:rPr>
          <w:color w:val="231F20"/>
          <w:spacing w:val="-1"/>
        </w:rPr>
        <w:t> </w:t>
      </w:r>
      <w:r>
        <w:rPr>
          <w:color w:val="231F20"/>
        </w:rPr>
        <w:t>de</w:t>
      </w:r>
      <w:r>
        <w:rPr>
          <w:color w:val="231F20"/>
          <w:spacing w:val="-1"/>
        </w:rPr>
        <w:t> </w:t>
      </w:r>
      <w:r>
        <w:rPr>
          <w:color w:val="231F20"/>
        </w:rPr>
        <w:t>300</w:t>
      </w:r>
      <w:r>
        <w:rPr>
          <w:color w:val="231F20"/>
          <w:spacing w:val="-1"/>
        </w:rPr>
        <w:t> </w:t>
      </w:r>
      <w:r>
        <w:rPr>
          <w:color w:val="231F20"/>
        </w:rPr>
        <w:t>sitios</w:t>
      </w:r>
      <w:r>
        <w:rPr>
          <w:color w:val="231F20"/>
          <w:spacing w:val="-1"/>
        </w:rPr>
        <w:t> </w:t>
      </w:r>
      <w:r>
        <w:rPr>
          <w:color w:val="231F20"/>
        </w:rPr>
        <w:t>en</w:t>
      </w:r>
      <w:r>
        <w:rPr>
          <w:color w:val="231F20"/>
          <w:spacing w:val="-1"/>
        </w:rPr>
        <w:t> </w:t>
      </w:r>
      <w:r>
        <w:rPr>
          <w:color w:val="231F20"/>
        </w:rPr>
        <w:t>Internet </w:t>
      </w:r>
      <w:r>
        <w:rPr>
          <w:color w:val="231F20"/>
          <w:spacing w:val="-4"/>
        </w:rPr>
        <w:t>de</w:t>
      </w:r>
      <w:r>
        <w:rPr>
          <w:color w:val="231F20"/>
          <w:spacing w:val="-11"/>
        </w:rPr>
        <w:t> </w:t>
      </w:r>
      <w:r>
        <w:rPr>
          <w:color w:val="231F20"/>
          <w:spacing w:val="-4"/>
        </w:rPr>
        <w:t>interés</w:t>
      </w:r>
      <w:r>
        <w:rPr>
          <w:color w:val="231F20"/>
          <w:spacing w:val="-11"/>
        </w:rPr>
        <w:t> </w:t>
      </w:r>
      <w:r>
        <w:rPr>
          <w:color w:val="231F20"/>
          <w:spacing w:val="-4"/>
        </w:rPr>
        <w:t>para</w:t>
      </w:r>
      <w:r>
        <w:rPr>
          <w:color w:val="231F20"/>
          <w:spacing w:val="-11"/>
        </w:rPr>
        <w:t> </w:t>
      </w:r>
      <w:r>
        <w:rPr>
          <w:color w:val="231F20"/>
          <w:spacing w:val="-4"/>
        </w:rPr>
        <w:t>los</w:t>
      </w:r>
      <w:r>
        <w:rPr>
          <w:color w:val="231F20"/>
          <w:spacing w:val="-11"/>
        </w:rPr>
        <w:t> </w:t>
      </w:r>
      <w:r>
        <w:rPr>
          <w:color w:val="231F20"/>
          <w:spacing w:val="-4"/>
        </w:rPr>
        <w:t>informáticos,</w:t>
      </w:r>
      <w:r>
        <w:rPr>
          <w:color w:val="231F20"/>
          <w:spacing w:val="-11"/>
        </w:rPr>
        <w:t> </w:t>
      </w:r>
      <w:r>
        <w:rPr>
          <w:color w:val="231F20"/>
          <w:spacing w:val="-4"/>
        </w:rPr>
        <w:t>en</w:t>
      </w:r>
      <w:r>
        <w:rPr>
          <w:color w:val="231F20"/>
          <w:spacing w:val="-11"/>
        </w:rPr>
        <w:t> </w:t>
      </w:r>
      <w:r>
        <w:rPr>
          <w:color w:val="231F20"/>
          <w:spacing w:val="-4"/>
        </w:rPr>
        <w:t>tanto </w:t>
      </w:r>
      <w:r>
        <w:rPr>
          <w:color w:val="231F20"/>
        </w:rPr>
        <w:t>están bloqueados para las direcciones IP cubanas, lo que impide la </w:t>
      </w:r>
      <w:r>
        <w:rPr>
          <w:color w:val="231F20"/>
        </w:rPr>
        <w:t>descarga de recursos para instalar o actualizar</w:t>
      </w:r>
      <w:r>
        <w:rPr>
          <w:color w:val="231F20"/>
          <w:spacing w:val="40"/>
        </w:rPr>
        <w:t> </w:t>
      </w:r>
      <w:r>
        <w:rPr>
          <w:color w:val="231F20"/>
        </w:rPr>
        <w:t>las tecnologías y dificulta el desarrollo académico, investigativo y productivo de la Universidad.</w:t>
      </w:r>
    </w:p>
    <w:p>
      <w:pPr>
        <w:pStyle w:val="BodyText"/>
        <w:spacing w:before="168"/>
        <w:ind w:left="1394" w:right="2" w:hanging="261"/>
      </w:pPr>
      <w:r>
        <w:rPr>
          <w:position w:val="3"/>
        </w:rPr>
        <w:drawing>
          <wp:inline distT="0" distB="0" distL="0" distR="0">
            <wp:extent cx="59207" cy="59207"/>
            <wp:effectExtent l="0" t="0" r="0" b="0"/>
            <wp:docPr id="56" name="Image 56"/>
            <wp:cNvGraphicFramePr>
              <a:graphicFrameLocks/>
            </wp:cNvGraphicFramePr>
            <a:graphic>
              <a:graphicData uri="http://schemas.openxmlformats.org/drawingml/2006/picture">
                <pic:pic>
                  <pic:nvPicPr>
                    <pic:cNvPr id="56" name="Image 56"/>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En el período, a un estudiante cubano que cursa la Ingeniería en Ciencias </w:t>
      </w:r>
      <w:r>
        <w:rPr>
          <w:color w:val="231F20"/>
          <w:spacing w:val="-6"/>
        </w:rPr>
        <w:t>Informáticas,</w:t>
      </w:r>
      <w:r>
        <w:rPr>
          <w:color w:val="231F20"/>
          <w:spacing w:val="-11"/>
        </w:rPr>
        <w:t> </w:t>
      </w:r>
      <w:r>
        <w:rPr>
          <w:color w:val="231F20"/>
          <w:spacing w:val="-6"/>
        </w:rPr>
        <w:t>se</w:t>
      </w:r>
      <w:r>
        <w:rPr>
          <w:color w:val="231F20"/>
          <w:spacing w:val="-10"/>
        </w:rPr>
        <w:t> </w:t>
      </w:r>
      <w:r>
        <w:rPr>
          <w:color w:val="231F20"/>
          <w:spacing w:val="-6"/>
        </w:rPr>
        <w:t>le</w:t>
      </w:r>
      <w:r>
        <w:rPr>
          <w:color w:val="231F20"/>
          <w:spacing w:val="-11"/>
        </w:rPr>
        <w:t> </w:t>
      </w:r>
      <w:r>
        <w:rPr>
          <w:color w:val="231F20"/>
          <w:spacing w:val="-6"/>
        </w:rPr>
        <w:t>retiró</w:t>
      </w:r>
      <w:r>
        <w:rPr>
          <w:color w:val="231F20"/>
          <w:spacing w:val="-10"/>
        </w:rPr>
        <w:t> </w:t>
      </w:r>
      <w:r>
        <w:rPr>
          <w:color w:val="231F20"/>
          <w:spacing w:val="-6"/>
        </w:rPr>
        <w:t>el</w:t>
      </w:r>
      <w:r>
        <w:rPr>
          <w:color w:val="231F20"/>
          <w:spacing w:val="-11"/>
        </w:rPr>
        <w:t> </w:t>
      </w:r>
      <w:r>
        <w:rPr>
          <w:color w:val="231F20"/>
          <w:spacing w:val="-6"/>
        </w:rPr>
        <w:t>financiamiento </w:t>
      </w:r>
      <w:r>
        <w:rPr>
          <w:color w:val="231F20"/>
        </w:rPr>
        <w:t>para</w:t>
      </w:r>
      <w:r>
        <w:rPr>
          <w:color w:val="231F20"/>
          <w:spacing w:val="-16"/>
        </w:rPr>
        <w:t> </w:t>
      </w:r>
      <w:r>
        <w:rPr>
          <w:color w:val="231F20"/>
        </w:rPr>
        <w:t>participar</w:t>
      </w:r>
      <w:r>
        <w:rPr>
          <w:color w:val="231F20"/>
          <w:spacing w:val="-16"/>
        </w:rPr>
        <w:t> </w:t>
      </w:r>
      <w:r>
        <w:rPr>
          <w:color w:val="231F20"/>
        </w:rPr>
        <w:t>en</w:t>
      </w:r>
      <w:r>
        <w:rPr>
          <w:color w:val="231F20"/>
          <w:spacing w:val="-16"/>
        </w:rPr>
        <w:t> </w:t>
      </w:r>
      <w:r>
        <w:rPr>
          <w:color w:val="231F20"/>
        </w:rPr>
        <w:t>el</w:t>
      </w:r>
      <w:r>
        <w:rPr>
          <w:color w:val="231F20"/>
          <w:spacing w:val="-16"/>
        </w:rPr>
        <w:t> </w:t>
      </w:r>
      <w:r>
        <w:rPr>
          <w:color w:val="231F20"/>
        </w:rPr>
        <w:t>World</w:t>
      </w:r>
      <w:r>
        <w:rPr>
          <w:color w:val="231F20"/>
          <w:spacing w:val="-16"/>
        </w:rPr>
        <w:t> </w:t>
      </w:r>
      <w:r>
        <w:rPr>
          <w:color w:val="231F20"/>
        </w:rPr>
        <w:t>Congress</w:t>
      </w:r>
      <w:r>
        <w:rPr>
          <w:color w:val="231F20"/>
          <w:spacing w:val="-16"/>
        </w:rPr>
        <w:t> </w:t>
      </w:r>
      <w:r>
        <w:rPr>
          <w:color w:val="231F20"/>
        </w:rPr>
        <w:t>on </w:t>
      </w:r>
      <w:r>
        <w:rPr>
          <w:color w:val="231F20"/>
          <w:spacing w:val="-4"/>
        </w:rPr>
        <w:t>Undergraduate</w:t>
      </w:r>
      <w:r>
        <w:rPr>
          <w:color w:val="231F20"/>
          <w:spacing w:val="-13"/>
        </w:rPr>
        <w:t> </w:t>
      </w:r>
      <w:r>
        <w:rPr>
          <w:color w:val="231F20"/>
          <w:spacing w:val="-4"/>
        </w:rPr>
        <w:t>Research</w:t>
      </w:r>
      <w:r>
        <w:rPr>
          <w:color w:val="231F20"/>
          <w:spacing w:val="-12"/>
        </w:rPr>
        <w:t> </w:t>
      </w:r>
      <w:r>
        <w:rPr>
          <w:color w:val="231F20"/>
          <w:spacing w:val="-4"/>
        </w:rPr>
        <w:t>(WorldCUR),</w:t>
      </w:r>
      <w:r>
        <w:rPr>
          <w:color w:val="231F20"/>
          <w:spacing w:val="-13"/>
        </w:rPr>
        <w:t> </w:t>
      </w:r>
      <w:r>
        <w:rPr>
          <w:color w:val="231F20"/>
          <w:spacing w:val="-4"/>
        </w:rPr>
        <w:t>un </w:t>
      </w:r>
      <w:r>
        <w:rPr>
          <w:color w:val="231F20"/>
        </w:rPr>
        <w:t>evento</w:t>
      </w:r>
      <w:r>
        <w:rPr>
          <w:color w:val="231F20"/>
          <w:spacing w:val="-10"/>
        </w:rPr>
        <w:t> </w:t>
      </w:r>
      <w:r>
        <w:rPr>
          <w:color w:val="231F20"/>
        </w:rPr>
        <w:t>científico</w:t>
      </w:r>
      <w:r>
        <w:rPr>
          <w:color w:val="231F20"/>
          <w:spacing w:val="-10"/>
        </w:rPr>
        <w:t> </w:t>
      </w:r>
      <w:r>
        <w:rPr>
          <w:color w:val="231F20"/>
        </w:rPr>
        <w:t>que</w:t>
      </w:r>
      <w:r>
        <w:rPr>
          <w:color w:val="231F20"/>
          <w:spacing w:val="-10"/>
        </w:rPr>
        <w:t> </w:t>
      </w:r>
      <w:r>
        <w:rPr>
          <w:color w:val="231F20"/>
        </w:rPr>
        <w:t>tuvo</w:t>
      </w:r>
      <w:r>
        <w:rPr>
          <w:color w:val="231F20"/>
          <w:spacing w:val="-10"/>
        </w:rPr>
        <w:t> </w:t>
      </w:r>
      <w:r>
        <w:rPr>
          <w:color w:val="231F20"/>
        </w:rPr>
        <w:t>lugar</w:t>
      </w:r>
      <w:r>
        <w:rPr>
          <w:color w:val="231F20"/>
          <w:spacing w:val="-10"/>
        </w:rPr>
        <w:t> </w:t>
      </w:r>
      <w:r>
        <w:rPr>
          <w:color w:val="231F20"/>
        </w:rPr>
        <w:t>del</w:t>
      </w:r>
      <w:r>
        <w:rPr>
          <w:color w:val="231F20"/>
          <w:spacing w:val="-10"/>
        </w:rPr>
        <w:t> </w:t>
      </w:r>
      <w:r>
        <w:rPr>
          <w:color w:val="231F20"/>
        </w:rPr>
        <w:t>4</w:t>
      </w:r>
      <w:r>
        <w:rPr>
          <w:color w:val="231F20"/>
          <w:spacing w:val="-10"/>
        </w:rPr>
        <w:t> </w:t>
      </w:r>
      <w:r>
        <w:rPr>
          <w:color w:val="231F20"/>
        </w:rPr>
        <w:t>al 6</w:t>
      </w:r>
      <w:r>
        <w:rPr>
          <w:color w:val="231F20"/>
          <w:spacing w:val="-1"/>
        </w:rPr>
        <w:t> </w:t>
      </w:r>
      <w:r>
        <w:rPr>
          <w:color w:val="231F20"/>
        </w:rPr>
        <w:t>de</w:t>
      </w:r>
      <w:r>
        <w:rPr>
          <w:color w:val="231F20"/>
          <w:spacing w:val="-1"/>
        </w:rPr>
        <w:t> </w:t>
      </w:r>
      <w:r>
        <w:rPr>
          <w:color w:val="231F20"/>
        </w:rPr>
        <w:t>abril</w:t>
      </w:r>
      <w:r>
        <w:rPr>
          <w:color w:val="231F20"/>
          <w:spacing w:val="-1"/>
        </w:rPr>
        <w:t> </w:t>
      </w:r>
      <w:r>
        <w:rPr>
          <w:color w:val="231F20"/>
        </w:rPr>
        <w:t>de</w:t>
      </w:r>
      <w:r>
        <w:rPr>
          <w:color w:val="231F20"/>
          <w:spacing w:val="-1"/>
        </w:rPr>
        <w:t> </w:t>
      </w:r>
      <w:r>
        <w:rPr>
          <w:color w:val="231F20"/>
        </w:rPr>
        <w:t>2023</w:t>
      </w:r>
      <w:r>
        <w:rPr>
          <w:color w:val="231F20"/>
          <w:spacing w:val="-1"/>
        </w:rPr>
        <w:t> </w:t>
      </w:r>
      <w:r>
        <w:rPr>
          <w:color w:val="231F20"/>
        </w:rPr>
        <w:t>en</w:t>
      </w:r>
      <w:r>
        <w:rPr>
          <w:color w:val="231F20"/>
          <w:spacing w:val="-1"/>
        </w:rPr>
        <w:t> </w:t>
      </w:r>
      <w:r>
        <w:rPr>
          <w:color w:val="231F20"/>
        </w:rPr>
        <w:t>la</w:t>
      </w:r>
      <w:r>
        <w:rPr>
          <w:color w:val="231F20"/>
          <w:spacing w:val="-1"/>
        </w:rPr>
        <w:t> </w:t>
      </w:r>
      <w:r>
        <w:rPr>
          <w:color w:val="231F20"/>
        </w:rPr>
        <w:t>Universidad</w:t>
      </w:r>
      <w:r>
        <w:rPr>
          <w:color w:val="231F20"/>
          <w:spacing w:val="-1"/>
        </w:rPr>
        <w:t> </w:t>
      </w:r>
      <w:r>
        <w:rPr>
          <w:color w:val="231F20"/>
        </w:rPr>
        <w:t>de </w:t>
      </w:r>
      <w:r>
        <w:rPr>
          <w:color w:val="231F20"/>
          <w:spacing w:val="-6"/>
        </w:rPr>
        <w:t>Warwick,</w:t>
      </w:r>
      <w:r>
        <w:rPr>
          <w:color w:val="231F20"/>
          <w:spacing w:val="-9"/>
        </w:rPr>
        <w:t> </w:t>
      </w:r>
      <w:r>
        <w:rPr>
          <w:color w:val="231F20"/>
          <w:spacing w:val="-6"/>
        </w:rPr>
        <w:t>Reino</w:t>
      </w:r>
      <w:r>
        <w:rPr>
          <w:color w:val="231F20"/>
          <w:spacing w:val="-9"/>
        </w:rPr>
        <w:t> </w:t>
      </w:r>
      <w:r>
        <w:rPr>
          <w:color w:val="231F20"/>
          <w:spacing w:val="-6"/>
        </w:rPr>
        <w:t>Unido.</w:t>
      </w:r>
      <w:r>
        <w:rPr>
          <w:color w:val="231F20"/>
          <w:spacing w:val="-9"/>
        </w:rPr>
        <w:t> </w:t>
      </w:r>
      <w:r>
        <w:rPr>
          <w:color w:val="231F20"/>
          <w:spacing w:val="-6"/>
        </w:rPr>
        <w:t>Los</w:t>
      </w:r>
      <w:r>
        <w:rPr>
          <w:color w:val="231F20"/>
          <w:spacing w:val="-9"/>
        </w:rPr>
        <w:t> </w:t>
      </w:r>
      <w:r>
        <w:rPr>
          <w:color w:val="231F20"/>
          <w:spacing w:val="-6"/>
        </w:rPr>
        <w:t>organizadores </w:t>
      </w:r>
      <w:r>
        <w:rPr>
          <w:color w:val="231F20"/>
        </w:rPr>
        <w:t>de esta cita le informaron que, dado </w:t>
      </w:r>
      <w:r>
        <w:rPr>
          <w:color w:val="231F20"/>
          <w:spacing w:val="-2"/>
        </w:rPr>
        <w:t>que</w:t>
      </w:r>
      <w:r>
        <w:rPr>
          <w:color w:val="231F20"/>
          <w:spacing w:val="-12"/>
        </w:rPr>
        <w:t> </w:t>
      </w:r>
      <w:r>
        <w:rPr>
          <w:color w:val="231F20"/>
          <w:spacing w:val="-2"/>
        </w:rPr>
        <w:t>Cuba</w:t>
      </w:r>
      <w:r>
        <w:rPr>
          <w:color w:val="231F20"/>
          <w:spacing w:val="-12"/>
        </w:rPr>
        <w:t> </w:t>
      </w:r>
      <w:r>
        <w:rPr>
          <w:color w:val="231F20"/>
          <w:spacing w:val="-2"/>
        </w:rPr>
        <w:t>estaba</w:t>
      </w:r>
      <w:r>
        <w:rPr>
          <w:color w:val="231F20"/>
          <w:spacing w:val="-12"/>
        </w:rPr>
        <w:t> </w:t>
      </w:r>
      <w:r>
        <w:rPr>
          <w:color w:val="231F20"/>
          <w:spacing w:val="-2"/>
        </w:rPr>
        <w:t>incluida</w:t>
      </w:r>
      <w:r>
        <w:rPr>
          <w:color w:val="231F20"/>
          <w:spacing w:val="-12"/>
        </w:rPr>
        <w:t> </w:t>
      </w:r>
      <w:r>
        <w:rPr>
          <w:color w:val="231F20"/>
          <w:spacing w:val="-2"/>
        </w:rPr>
        <w:t>en</w:t>
      </w:r>
      <w:r>
        <w:rPr>
          <w:color w:val="231F20"/>
          <w:spacing w:val="-12"/>
        </w:rPr>
        <w:t> </w:t>
      </w:r>
      <w:r>
        <w:rPr>
          <w:color w:val="231F20"/>
          <w:spacing w:val="-2"/>
        </w:rPr>
        <w:t>una</w:t>
      </w:r>
      <w:r>
        <w:rPr>
          <w:color w:val="231F20"/>
          <w:spacing w:val="-12"/>
        </w:rPr>
        <w:t> </w:t>
      </w:r>
      <w:r>
        <w:rPr>
          <w:color w:val="231F20"/>
          <w:spacing w:val="-2"/>
        </w:rPr>
        <w:t>lista</w:t>
      </w:r>
      <w:r>
        <w:rPr>
          <w:color w:val="231F20"/>
          <w:spacing w:val="-12"/>
        </w:rPr>
        <w:t> </w:t>
      </w:r>
      <w:r>
        <w:rPr>
          <w:color w:val="231F20"/>
          <w:spacing w:val="-2"/>
        </w:rPr>
        <w:t>de </w:t>
      </w:r>
      <w:r>
        <w:rPr>
          <w:color w:val="231F20"/>
        </w:rPr>
        <w:t>países</w:t>
      </w:r>
      <w:r>
        <w:rPr>
          <w:color w:val="231F20"/>
          <w:spacing w:val="-13"/>
        </w:rPr>
        <w:t> </w:t>
      </w:r>
      <w:r>
        <w:rPr>
          <w:color w:val="231F20"/>
        </w:rPr>
        <w:t>sancionados,</w:t>
      </w:r>
      <w:r>
        <w:rPr>
          <w:color w:val="231F20"/>
          <w:spacing w:val="-13"/>
        </w:rPr>
        <w:t> </w:t>
      </w:r>
      <w:r>
        <w:rPr>
          <w:color w:val="231F20"/>
        </w:rPr>
        <w:t>sus</w:t>
      </w:r>
      <w:r>
        <w:rPr>
          <w:color w:val="231F20"/>
          <w:spacing w:val="-13"/>
        </w:rPr>
        <w:t> </w:t>
      </w:r>
      <w:r>
        <w:rPr>
          <w:color w:val="231F20"/>
        </w:rPr>
        <w:t>departamentos </w:t>
      </w:r>
      <w:r>
        <w:rPr>
          <w:color w:val="231F20"/>
          <w:spacing w:val="-8"/>
        </w:rPr>
        <w:t>institucionales de seguros y cumplimiento </w:t>
      </w:r>
      <w:r>
        <w:rPr>
          <w:color w:val="231F20"/>
          <w:spacing w:val="-2"/>
        </w:rPr>
        <w:t>financiero</w:t>
      </w:r>
      <w:r>
        <w:rPr>
          <w:color w:val="231F20"/>
          <w:spacing w:val="-15"/>
        </w:rPr>
        <w:t> </w:t>
      </w:r>
      <w:r>
        <w:rPr>
          <w:color w:val="231F20"/>
          <w:spacing w:val="-2"/>
        </w:rPr>
        <w:t>no</w:t>
      </w:r>
      <w:r>
        <w:rPr>
          <w:color w:val="231F20"/>
          <w:spacing w:val="-14"/>
        </w:rPr>
        <w:t> </w:t>
      </w:r>
      <w:r>
        <w:rPr>
          <w:color w:val="231F20"/>
          <w:spacing w:val="-2"/>
        </w:rPr>
        <w:t>estaban</w:t>
      </w:r>
      <w:r>
        <w:rPr>
          <w:color w:val="231F20"/>
          <w:spacing w:val="-15"/>
        </w:rPr>
        <w:t> </w:t>
      </w:r>
      <w:r>
        <w:rPr>
          <w:color w:val="231F20"/>
          <w:spacing w:val="-2"/>
        </w:rPr>
        <w:t>en</w:t>
      </w:r>
      <w:r>
        <w:rPr>
          <w:color w:val="231F20"/>
          <w:spacing w:val="-14"/>
        </w:rPr>
        <w:t> </w:t>
      </w:r>
      <w:r>
        <w:rPr>
          <w:color w:val="231F20"/>
          <w:spacing w:val="-2"/>
        </w:rPr>
        <w:t>condiciones</w:t>
      </w:r>
      <w:r>
        <w:rPr>
          <w:color w:val="231F20"/>
          <w:spacing w:val="-15"/>
        </w:rPr>
        <w:t> </w:t>
      </w:r>
      <w:r>
        <w:rPr>
          <w:color w:val="231F20"/>
          <w:spacing w:val="-2"/>
        </w:rPr>
        <w:t>de </w:t>
      </w:r>
      <w:r>
        <w:rPr>
          <w:color w:val="231F20"/>
        </w:rPr>
        <w:t>financiar su viaje.</w:t>
      </w:r>
    </w:p>
    <w:p>
      <w:pPr>
        <w:spacing w:before="170"/>
        <w:ind w:left="1133" w:right="0" w:firstLine="0"/>
        <w:jc w:val="both"/>
        <w:rPr>
          <w:rFonts w:ascii="Segoe UI Semibold" w:hAnsi="Segoe UI Semibold"/>
          <w:b/>
          <w:i/>
          <w:sz w:val="24"/>
        </w:rPr>
      </w:pPr>
      <w:r>
        <w:rPr>
          <w:b/>
          <w:i/>
          <w:color w:val="B52628"/>
          <w:sz w:val="24"/>
        </w:rPr>
        <w:t>En</w:t>
      </w:r>
      <w:r>
        <w:rPr>
          <w:b/>
          <w:i/>
          <w:color w:val="B52628"/>
          <w:spacing w:val="-17"/>
          <w:sz w:val="24"/>
        </w:rPr>
        <w:t> </w:t>
      </w:r>
      <w:r>
        <w:rPr>
          <w:b/>
          <w:i/>
          <w:color w:val="B52628"/>
          <w:sz w:val="24"/>
        </w:rPr>
        <w:t>la</w:t>
      </w:r>
      <w:r>
        <w:rPr>
          <w:b/>
          <w:i/>
          <w:color w:val="B52628"/>
          <w:spacing w:val="-16"/>
          <w:sz w:val="24"/>
        </w:rPr>
        <w:t> </w:t>
      </w:r>
      <w:r>
        <w:rPr>
          <w:b/>
          <w:i/>
          <w:color w:val="B52628"/>
          <w:sz w:val="24"/>
        </w:rPr>
        <w:t>esfera</w:t>
      </w:r>
      <w:r>
        <w:rPr>
          <w:b/>
          <w:i/>
          <w:color w:val="B52628"/>
          <w:spacing w:val="-17"/>
          <w:sz w:val="24"/>
        </w:rPr>
        <w:t> </w:t>
      </w:r>
      <w:r>
        <w:rPr>
          <w:b/>
          <w:i/>
          <w:color w:val="B52628"/>
          <w:sz w:val="24"/>
        </w:rPr>
        <w:t>del</w:t>
      </w:r>
      <w:r>
        <w:rPr>
          <w:b/>
          <w:i/>
          <w:color w:val="B52628"/>
          <w:spacing w:val="-16"/>
          <w:sz w:val="24"/>
        </w:rPr>
        <w:t> </w:t>
      </w:r>
      <w:r>
        <w:rPr>
          <w:b/>
          <w:i/>
          <w:color w:val="B52628"/>
          <w:sz w:val="24"/>
        </w:rPr>
        <w:t>deporte</w:t>
      </w:r>
      <w:r>
        <w:rPr>
          <w:rFonts w:ascii="Segoe UI Semibold" w:hAnsi="Segoe UI Semibold"/>
          <w:b/>
          <w:i/>
          <w:color w:val="231F20"/>
          <w:sz w:val="24"/>
        </w:rPr>
        <w:t>,</w:t>
      </w:r>
      <w:r>
        <w:rPr>
          <w:rFonts w:ascii="Segoe UI Semibold" w:hAnsi="Segoe UI Semibold"/>
          <w:b/>
          <w:i/>
          <w:color w:val="231F20"/>
          <w:spacing w:val="-17"/>
          <w:sz w:val="24"/>
        </w:rPr>
        <w:t> </w:t>
      </w:r>
      <w:r>
        <w:rPr>
          <w:rFonts w:ascii="Segoe UI Semibold" w:hAnsi="Segoe UI Semibold"/>
          <w:b/>
          <w:i/>
          <w:color w:val="231F20"/>
          <w:sz w:val="24"/>
        </w:rPr>
        <w:t>ha</w:t>
      </w:r>
      <w:r>
        <w:rPr>
          <w:rFonts w:ascii="Segoe UI Semibold" w:hAnsi="Segoe UI Semibold"/>
          <w:b/>
          <w:i/>
          <w:color w:val="231F20"/>
          <w:spacing w:val="-16"/>
          <w:sz w:val="24"/>
        </w:rPr>
        <w:t> </w:t>
      </w:r>
      <w:r>
        <w:rPr>
          <w:rFonts w:ascii="Segoe UI Semibold" w:hAnsi="Segoe UI Semibold"/>
          <w:b/>
          <w:i/>
          <w:color w:val="231F20"/>
          <w:sz w:val="24"/>
        </w:rPr>
        <w:t>sido</w:t>
      </w:r>
      <w:r>
        <w:rPr>
          <w:rFonts w:ascii="Segoe UI Semibold" w:hAnsi="Segoe UI Semibold"/>
          <w:b/>
          <w:i/>
          <w:color w:val="231F20"/>
          <w:spacing w:val="-17"/>
          <w:sz w:val="24"/>
        </w:rPr>
        <w:t> </w:t>
      </w:r>
      <w:r>
        <w:rPr>
          <w:rFonts w:ascii="Segoe UI Semibold" w:hAnsi="Segoe UI Semibold"/>
          <w:b/>
          <w:i/>
          <w:color w:val="231F20"/>
          <w:sz w:val="24"/>
        </w:rPr>
        <w:t>evidente</w:t>
      </w:r>
      <w:r>
        <w:rPr>
          <w:rFonts w:ascii="Segoe UI Semibold" w:hAnsi="Segoe UI Semibold"/>
          <w:b/>
          <w:i/>
          <w:color w:val="231F20"/>
          <w:sz w:val="24"/>
        </w:rPr>
        <w:t> el</w:t>
      </w:r>
      <w:r>
        <w:rPr>
          <w:rFonts w:ascii="Segoe UI Semibold" w:hAnsi="Segoe UI Semibold"/>
          <w:b/>
          <w:i/>
          <w:color w:val="231F20"/>
          <w:spacing w:val="-7"/>
          <w:sz w:val="24"/>
        </w:rPr>
        <w:t> </w:t>
      </w:r>
      <w:r>
        <w:rPr>
          <w:rFonts w:ascii="Segoe UI Semibold" w:hAnsi="Segoe UI Semibold"/>
          <w:b/>
          <w:i/>
          <w:color w:val="231F20"/>
          <w:sz w:val="24"/>
        </w:rPr>
        <w:t>robo</w:t>
      </w:r>
      <w:r>
        <w:rPr>
          <w:rFonts w:ascii="Segoe UI Semibold" w:hAnsi="Segoe UI Semibold"/>
          <w:b/>
          <w:i/>
          <w:color w:val="231F20"/>
          <w:spacing w:val="-7"/>
          <w:sz w:val="24"/>
        </w:rPr>
        <w:t> </w:t>
      </w:r>
      <w:r>
        <w:rPr>
          <w:rFonts w:ascii="Segoe UI Semibold" w:hAnsi="Segoe UI Semibold"/>
          <w:b/>
          <w:i/>
          <w:color w:val="231F20"/>
          <w:sz w:val="24"/>
        </w:rPr>
        <w:t>de</w:t>
      </w:r>
      <w:r>
        <w:rPr>
          <w:rFonts w:ascii="Segoe UI Semibold" w:hAnsi="Segoe UI Semibold"/>
          <w:b/>
          <w:i/>
          <w:color w:val="231F20"/>
          <w:spacing w:val="-7"/>
          <w:sz w:val="24"/>
        </w:rPr>
        <w:t> </w:t>
      </w:r>
      <w:r>
        <w:rPr>
          <w:rFonts w:ascii="Segoe UI Semibold" w:hAnsi="Segoe UI Semibold"/>
          <w:b/>
          <w:i/>
          <w:color w:val="231F20"/>
          <w:sz w:val="24"/>
        </w:rPr>
        <w:t>talentos</w:t>
      </w:r>
      <w:r>
        <w:rPr>
          <w:rFonts w:ascii="Segoe UI Semibold" w:hAnsi="Segoe UI Semibold"/>
          <w:b/>
          <w:i/>
          <w:color w:val="231F20"/>
          <w:spacing w:val="-7"/>
          <w:sz w:val="24"/>
        </w:rPr>
        <w:t> </w:t>
      </w:r>
      <w:r>
        <w:rPr>
          <w:rFonts w:ascii="Segoe UI Semibold" w:hAnsi="Segoe UI Semibold"/>
          <w:b/>
          <w:i/>
          <w:color w:val="231F20"/>
          <w:sz w:val="24"/>
        </w:rPr>
        <w:t>cubanos,</w:t>
      </w:r>
      <w:r>
        <w:rPr>
          <w:rFonts w:ascii="Segoe UI Semibold" w:hAnsi="Segoe UI Semibold"/>
          <w:b/>
          <w:i/>
          <w:color w:val="231F20"/>
          <w:spacing w:val="-7"/>
          <w:sz w:val="24"/>
        </w:rPr>
        <w:t> </w:t>
      </w:r>
      <w:r>
        <w:rPr>
          <w:rFonts w:ascii="Segoe UI Semibold" w:hAnsi="Segoe UI Semibold"/>
          <w:b/>
          <w:i/>
          <w:color w:val="231F20"/>
          <w:sz w:val="24"/>
        </w:rPr>
        <w:t>propiciado</w:t>
      </w:r>
      <w:r>
        <w:rPr>
          <w:rFonts w:ascii="Segoe UI Semibold" w:hAnsi="Segoe UI Semibold"/>
          <w:b/>
          <w:i/>
          <w:color w:val="231F20"/>
          <w:spacing w:val="-7"/>
          <w:sz w:val="24"/>
        </w:rPr>
        <w:t> </w:t>
      </w:r>
      <w:r>
        <w:rPr>
          <w:rFonts w:ascii="Segoe UI Semibold" w:hAnsi="Segoe UI Semibold"/>
          <w:b/>
          <w:i/>
          <w:color w:val="231F20"/>
          <w:sz w:val="24"/>
        </w:rPr>
        <w:t>y </w:t>
      </w:r>
      <w:r>
        <w:rPr>
          <w:rFonts w:ascii="Segoe UI Semibold" w:hAnsi="Segoe UI Semibold"/>
          <w:b/>
          <w:i/>
          <w:color w:val="231F20"/>
          <w:spacing w:val="-8"/>
          <w:sz w:val="24"/>
        </w:rPr>
        <w:t>estimulado</w:t>
      </w:r>
      <w:r>
        <w:rPr>
          <w:rFonts w:ascii="Segoe UI Semibold" w:hAnsi="Segoe UI Semibold"/>
          <w:b/>
          <w:i/>
          <w:color w:val="231F20"/>
          <w:spacing w:val="-9"/>
          <w:sz w:val="24"/>
        </w:rPr>
        <w:t> </w:t>
      </w:r>
      <w:r>
        <w:rPr>
          <w:rFonts w:ascii="Segoe UI Semibold" w:hAnsi="Segoe UI Semibold"/>
          <w:b/>
          <w:i/>
          <w:color w:val="231F20"/>
          <w:spacing w:val="-8"/>
          <w:sz w:val="24"/>
        </w:rPr>
        <w:t>por las</w:t>
      </w:r>
      <w:r>
        <w:rPr>
          <w:rFonts w:ascii="Segoe UI Semibold" w:hAnsi="Segoe UI Semibold"/>
          <w:b/>
          <w:i/>
          <w:color w:val="231F20"/>
          <w:spacing w:val="-9"/>
          <w:sz w:val="24"/>
        </w:rPr>
        <w:t> </w:t>
      </w:r>
      <w:r>
        <w:rPr>
          <w:rFonts w:ascii="Segoe UI Semibold" w:hAnsi="Segoe UI Semibold"/>
          <w:b/>
          <w:i/>
          <w:color w:val="231F20"/>
          <w:spacing w:val="-8"/>
          <w:sz w:val="24"/>
        </w:rPr>
        <w:t>políticas discriminatorias </w:t>
      </w:r>
      <w:r>
        <w:rPr>
          <w:rFonts w:ascii="Segoe UI Semibold" w:hAnsi="Segoe UI Semibold"/>
          <w:b/>
          <w:i/>
          <w:color w:val="231F20"/>
          <w:sz w:val="24"/>
        </w:rPr>
        <w:t>y selectivas de los Estados Unidos. En el caso</w:t>
      </w:r>
      <w:r>
        <w:rPr>
          <w:rFonts w:ascii="Segoe UI Semibold" w:hAnsi="Segoe UI Semibold"/>
          <w:b/>
          <w:i/>
          <w:color w:val="231F20"/>
          <w:spacing w:val="-1"/>
          <w:sz w:val="24"/>
        </w:rPr>
        <w:t> </w:t>
      </w:r>
      <w:r>
        <w:rPr>
          <w:rFonts w:ascii="Segoe UI Semibold" w:hAnsi="Segoe UI Semibold"/>
          <w:b/>
          <w:i/>
          <w:color w:val="231F20"/>
          <w:sz w:val="24"/>
        </w:rPr>
        <w:t>del</w:t>
      </w:r>
      <w:r>
        <w:rPr>
          <w:rFonts w:ascii="Segoe UI Semibold" w:hAnsi="Segoe UI Semibold"/>
          <w:b/>
          <w:i/>
          <w:color w:val="231F20"/>
          <w:spacing w:val="-1"/>
          <w:sz w:val="24"/>
        </w:rPr>
        <w:t> </w:t>
      </w:r>
      <w:r>
        <w:rPr>
          <w:rFonts w:ascii="Segoe UI Semibold" w:hAnsi="Segoe UI Semibold"/>
          <w:b/>
          <w:i/>
          <w:color w:val="231F20"/>
          <w:sz w:val="24"/>
        </w:rPr>
        <w:t>béisbol,</w:t>
      </w:r>
      <w:r>
        <w:rPr>
          <w:rFonts w:ascii="Segoe UI Semibold" w:hAnsi="Segoe UI Semibold"/>
          <w:b/>
          <w:i/>
          <w:color w:val="231F20"/>
          <w:spacing w:val="-1"/>
          <w:sz w:val="24"/>
        </w:rPr>
        <w:t> </w:t>
      </w:r>
      <w:r>
        <w:rPr>
          <w:rFonts w:ascii="Segoe UI Semibold" w:hAnsi="Segoe UI Semibold"/>
          <w:b/>
          <w:i/>
          <w:color w:val="231F20"/>
          <w:sz w:val="24"/>
        </w:rPr>
        <w:t>a</w:t>
      </w:r>
      <w:r>
        <w:rPr>
          <w:rFonts w:ascii="Segoe UI Semibold" w:hAnsi="Segoe UI Semibold"/>
          <w:b/>
          <w:i/>
          <w:color w:val="231F20"/>
          <w:spacing w:val="-1"/>
          <w:sz w:val="24"/>
        </w:rPr>
        <w:t> </w:t>
      </w:r>
      <w:r>
        <w:rPr>
          <w:rFonts w:ascii="Segoe UI Semibold" w:hAnsi="Segoe UI Semibold"/>
          <w:b/>
          <w:i/>
          <w:color w:val="231F20"/>
          <w:sz w:val="24"/>
        </w:rPr>
        <w:t>pesar</w:t>
      </w:r>
      <w:r>
        <w:rPr>
          <w:rFonts w:ascii="Segoe UI Semibold" w:hAnsi="Segoe UI Semibold"/>
          <w:b/>
          <w:i/>
          <w:color w:val="231F20"/>
          <w:spacing w:val="-1"/>
          <w:sz w:val="24"/>
        </w:rPr>
        <w:t> </w:t>
      </w:r>
      <w:r>
        <w:rPr>
          <w:rFonts w:ascii="Segoe UI Semibold" w:hAnsi="Segoe UI Semibold"/>
          <w:b/>
          <w:i/>
          <w:color w:val="231F20"/>
          <w:sz w:val="24"/>
        </w:rPr>
        <w:t>del</w:t>
      </w:r>
      <w:r>
        <w:rPr>
          <w:rFonts w:ascii="Segoe UI Semibold" w:hAnsi="Segoe UI Semibold"/>
          <w:b/>
          <w:i/>
          <w:color w:val="231F20"/>
          <w:spacing w:val="-1"/>
          <w:sz w:val="24"/>
        </w:rPr>
        <w:t> </w:t>
      </w:r>
      <w:r>
        <w:rPr>
          <w:rFonts w:ascii="Segoe UI Semibold" w:hAnsi="Segoe UI Semibold"/>
          <w:b/>
          <w:i/>
          <w:color w:val="231F20"/>
          <w:sz w:val="24"/>
        </w:rPr>
        <w:t>interés</w:t>
      </w:r>
      <w:r>
        <w:rPr>
          <w:rFonts w:ascii="Segoe UI Semibold" w:hAnsi="Segoe UI Semibold"/>
          <w:b/>
          <w:i/>
          <w:color w:val="231F20"/>
          <w:spacing w:val="-1"/>
          <w:sz w:val="24"/>
        </w:rPr>
        <w:t> </w:t>
      </w:r>
      <w:r>
        <w:rPr>
          <w:rFonts w:ascii="Segoe UI Semibold" w:hAnsi="Segoe UI Semibold"/>
          <w:b/>
          <w:i/>
          <w:color w:val="231F20"/>
          <w:sz w:val="24"/>
        </w:rPr>
        <w:t>de</w:t>
      </w:r>
      <w:r>
        <w:rPr>
          <w:rFonts w:ascii="Segoe UI Semibold" w:hAnsi="Segoe UI Semibold"/>
          <w:b/>
          <w:i/>
          <w:color w:val="231F20"/>
          <w:spacing w:val="-1"/>
          <w:sz w:val="24"/>
        </w:rPr>
        <w:t> </w:t>
      </w:r>
      <w:r>
        <w:rPr>
          <w:rFonts w:ascii="Segoe UI Semibold" w:hAnsi="Segoe UI Semibold"/>
          <w:b/>
          <w:i/>
          <w:color w:val="231F20"/>
          <w:sz w:val="24"/>
        </w:rPr>
        <w:t>la parte</w:t>
      </w:r>
      <w:r>
        <w:rPr>
          <w:rFonts w:ascii="Segoe UI Semibold" w:hAnsi="Segoe UI Semibold"/>
          <w:b/>
          <w:i/>
          <w:color w:val="231F20"/>
          <w:spacing w:val="-17"/>
          <w:sz w:val="24"/>
        </w:rPr>
        <w:t> </w:t>
      </w:r>
      <w:r>
        <w:rPr>
          <w:rFonts w:ascii="Segoe UI Semibold" w:hAnsi="Segoe UI Semibold"/>
          <w:b/>
          <w:i/>
          <w:color w:val="231F20"/>
          <w:sz w:val="24"/>
        </w:rPr>
        <w:t>cubana,</w:t>
      </w:r>
      <w:r>
        <w:rPr>
          <w:rFonts w:ascii="Segoe UI Semibold" w:hAnsi="Segoe UI Semibold"/>
          <w:b/>
          <w:i/>
          <w:color w:val="231F20"/>
          <w:spacing w:val="-16"/>
          <w:sz w:val="24"/>
        </w:rPr>
        <w:t> </w:t>
      </w:r>
      <w:r>
        <w:rPr>
          <w:rFonts w:ascii="Segoe UI Semibold" w:hAnsi="Segoe UI Semibold"/>
          <w:b/>
          <w:i/>
          <w:color w:val="231F20"/>
          <w:sz w:val="24"/>
        </w:rPr>
        <w:t>no</w:t>
      </w:r>
      <w:r>
        <w:rPr>
          <w:rFonts w:ascii="Segoe UI Semibold" w:hAnsi="Segoe UI Semibold"/>
          <w:b/>
          <w:i/>
          <w:color w:val="231F20"/>
          <w:spacing w:val="-17"/>
          <w:sz w:val="24"/>
        </w:rPr>
        <w:t> </w:t>
      </w:r>
      <w:r>
        <w:rPr>
          <w:rFonts w:ascii="Segoe UI Semibold" w:hAnsi="Segoe UI Semibold"/>
          <w:b/>
          <w:i/>
          <w:color w:val="231F20"/>
          <w:sz w:val="24"/>
        </w:rPr>
        <w:t>ha</w:t>
      </w:r>
      <w:r>
        <w:rPr>
          <w:rFonts w:ascii="Segoe UI Semibold" w:hAnsi="Segoe UI Semibold"/>
          <w:b/>
          <w:i/>
          <w:color w:val="231F20"/>
          <w:spacing w:val="-16"/>
          <w:sz w:val="24"/>
        </w:rPr>
        <w:t> </w:t>
      </w:r>
      <w:r>
        <w:rPr>
          <w:rFonts w:ascii="Segoe UI Semibold" w:hAnsi="Segoe UI Semibold"/>
          <w:b/>
          <w:i/>
          <w:color w:val="231F20"/>
          <w:sz w:val="24"/>
        </w:rPr>
        <w:t>sido</w:t>
      </w:r>
      <w:r>
        <w:rPr>
          <w:rFonts w:ascii="Segoe UI Semibold" w:hAnsi="Segoe UI Semibold"/>
          <w:b/>
          <w:i/>
          <w:color w:val="231F20"/>
          <w:spacing w:val="-17"/>
          <w:sz w:val="24"/>
        </w:rPr>
        <w:t> </w:t>
      </w:r>
      <w:r>
        <w:rPr>
          <w:rFonts w:ascii="Segoe UI Semibold" w:hAnsi="Segoe UI Semibold"/>
          <w:b/>
          <w:i/>
          <w:color w:val="231F20"/>
          <w:sz w:val="24"/>
        </w:rPr>
        <w:t>posible</w:t>
      </w:r>
      <w:r>
        <w:rPr>
          <w:rFonts w:ascii="Segoe UI Semibold" w:hAnsi="Segoe UI Semibold"/>
          <w:b/>
          <w:i/>
          <w:color w:val="231F20"/>
          <w:spacing w:val="-16"/>
          <w:sz w:val="24"/>
        </w:rPr>
        <w:t> </w:t>
      </w:r>
      <w:r>
        <w:rPr>
          <w:rFonts w:ascii="Segoe UI Semibold" w:hAnsi="Segoe UI Semibold"/>
          <w:b/>
          <w:i/>
          <w:color w:val="231F20"/>
          <w:sz w:val="24"/>
        </w:rPr>
        <w:t>alcanzar </w:t>
      </w:r>
      <w:r>
        <w:rPr>
          <w:rFonts w:ascii="Segoe UI Semibold" w:hAnsi="Segoe UI Semibold"/>
          <w:b/>
          <w:i/>
          <w:color w:val="231F20"/>
          <w:spacing w:val="-4"/>
          <w:sz w:val="24"/>
        </w:rPr>
        <w:t>un</w:t>
      </w:r>
      <w:r>
        <w:rPr>
          <w:rFonts w:ascii="Segoe UI Semibold" w:hAnsi="Segoe UI Semibold"/>
          <w:b/>
          <w:i/>
          <w:color w:val="231F20"/>
          <w:spacing w:val="-9"/>
          <w:sz w:val="24"/>
        </w:rPr>
        <w:t> </w:t>
      </w:r>
      <w:r>
        <w:rPr>
          <w:rFonts w:ascii="Segoe UI Semibold" w:hAnsi="Segoe UI Semibold"/>
          <w:b/>
          <w:i/>
          <w:color w:val="231F20"/>
          <w:spacing w:val="-4"/>
          <w:sz w:val="24"/>
        </w:rPr>
        <w:t>acuerdo</w:t>
      </w:r>
      <w:r>
        <w:rPr>
          <w:rFonts w:ascii="Segoe UI Semibold" w:hAnsi="Segoe UI Semibold"/>
          <w:b/>
          <w:i/>
          <w:color w:val="231F20"/>
          <w:spacing w:val="-9"/>
          <w:sz w:val="24"/>
        </w:rPr>
        <w:t> </w:t>
      </w:r>
      <w:r>
        <w:rPr>
          <w:rFonts w:ascii="Segoe UI Semibold" w:hAnsi="Segoe UI Semibold"/>
          <w:b/>
          <w:i/>
          <w:color w:val="231F20"/>
          <w:spacing w:val="-4"/>
          <w:sz w:val="24"/>
        </w:rPr>
        <w:t>entre</w:t>
      </w:r>
      <w:r>
        <w:rPr>
          <w:rFonts w:ascii="Segoe UI Semibold" w:hAnsi="Segoe UI Semibold"/>
          <w:b/>
          <w:i/>
          <w:color w:val="231F20"/>
          <w:spacing w:val="-9"/>
          <w:sz w:val="24"/>
        </w:rPr>
        <w:t> </w:t>
      </w:r>
      <w:r>
        <w:rPr>
          <w:rFonts w:ascii="Segoe UI Semibold" w:hAnsi="Segoe UI Semibold"/>
          <w:b/>
          <w:i/>
          <w:color w:val="231F20"/>
          <w:spacing w:val="-4"/>
          <w:sz w:val="24"/>
        </w:rPr>
        <w:t>la</w:t>
      </w:r>
      <w:r>
        <w:rPr>
          <w:rFonts w:ascii="Segoe UI Semibold" w:hAnsi="Segoe UI Semibold"/>
          <w:b/>
          <w:i/>
          <w:color w:val="231F20"/>
          <w:spacing w:val="-9"/>
          <w:sz w:val="24"/>
        </w:rPr>
        <w:t> </w:t>
      </w:r>
      <w:r>
        <w:rPr>
          <w:rFonts w:ascii="Segoe UI Semibold" w:hAnsi="Segoe UI Semibold"/>
          <w:b/>
          <w:i/>
          <w:color w:val="231F20"/>
          <w:spacing w:val="-4"/>
          <w:sz w:val="24"/>
        </w:rPr>
        <w:t>Federación</w:t>
      </w:r>
      <w:r>
        <w:rPr>
          <w:rFonts w:ascii="Segoe UI Semibold" w:hAnsi="Segoe UI Semibold"/>
          <w:b/>
          <w:i/>
          <w:color w:val="231F20"/>
          <w:spacing w:val="-9"/>
          <w:sz w:val="24"/>
        </w:rPr>
        <w:t> </w:t>
      </w:r>
      <w:r>
        <w:rPr>
          <w:rFonts w:ascii="Segoe UI Semibold" w:hAnsi="Segoe UI Semibold"/>
          <w:b/>
          <w:i/>
          <w:color w:val="231F20"/>
          <w:spacing w:val="-4"/>
          <w:sz w:val="24"/>
        </w:rPr>
        <w:t>Cubana</w:t>
      </w:r>
      <w:r>
        <w:rPr>
          <w:rFonts w:ascii="Segoe UI Semibold" w:hAnsi="Segoe UI Semibold"/>
          <w:b/>
          <w:i/>
          <w:color w:val="231F20"/>
          <w:spacing w:val="-9"/>
          <w:sz w:val="24"/>
        </w:rPr>
        <w:t> </w:t>
      </w:r>
      <w:r>
        <w:rPr>
          <w:rFonts w:ascii="Segoe UI Semibold" w:hAnsi="Segoe UI Semibold"/>
          <w:b/>
          <w:i/>
          <w:color w:val="231F20"/>
          <w:spacing w:val="-4"/>
          <w:sz w:val="24"/>
        </w:rPr>
        <w:t>de </w:t>
      </w:r>
      <w:r>
        <w:rPr>
          <w:rFonts w:ascii="Segoe UI Semibold" w:hAnsi="Segoe UI Semibold"/>
          <w:b/>
          <w:i/>
          <w:color w:val="231F20"/>
          <w:sz w:val="24"/>
        </w:rPr>
        <w:t>Béisbol</w:t>
      </w:r>
      <w:r>
        <w:rPr>
          <w:rFonts w:ascii="Segoe UI Semibold" w:hAnsi="Segoe UI Semibold"/>
          <w:b/>
          <w:i/>
          <w:color w:val="231F20"/>
          <w:spacing w:val="-9"/>
          <w:sz w:val="24"/>
        </w:rPr>
        <w:t> </w:t>
      </w:r>
      <w:r>
        <w:rPr>
          <w:rFonts w:ascii="Segoe UI Semibold" w:hAnsi="Segoe UI Semibold"/>
          <w:b/>
          <w:i/>
          <w:color w:val="231F20"/>
          <w:sz w:val="24"/>
        </w:rPr>
        <w:t>y</w:t>
      </w:r>
      <w:r>
        <w:rPr>
          <w:rFonts w:ascii="Segoe UI Semibold" w:hAnsi="Segoe UI Semibold"/>
          <w:b/>
          <w:i/>
          <w:color w:val="231F20"/>
          <w:spacing w:val="-9"/>
          <w:sz w:val="24"/>
        </w:rPr>
        <w:t> </w:t>
      </w:r>
      <w:r>
        <w:rPr>
          <w:rFonts w:ascii="Segoe UI Semibold" w:hAnsi="Segoe UI Semibold"/>
          <w:b/>
          <w:i/>
          <w:color w:val="231F20"/>
          <w:sz w:val="24"/>
        </w:rPr>
        <w:t>la</w:t>
      </w:r>
      <w:r>
        <w:rPr>
          <w:rFonts w:ascii="Segoe UI Semibold" w:hAnsi="Segoe UI Semibold"/>
          <w:b/>
          <w:i/>
          <w:color w:val="231F20"/>
          <w:spacing w:val="-9"/>
          <w:sz w:val="24"/>
        </w:rPr>
        <w:t> </w:t>
      </w:r>
      <w:r>
        <w:rPr>
          <w:rFonts w:ascii="Segoe UI Semibold" w:hAnsi="Segoe UI Semibold"/>
          <w:b/>
          <w:i/>
          <w:color w:val="231F20"/>
          <w:sz w:val="24"/>
        </w:rPr>
        <w:t>Major</w:t>
      </w:r>
      <w:r>
        <w:rPr>
          <w:rFonts w:ascii="Segoe UI Semibold" w:hAnsi="Segoe UI Semibold"/>
          <w:b/>
          <w:i/>
          <w:color w:val="231F20"/>
          <w:spacing w:val="-9"/>
          <w:sz w:val="24"/>
        </w:rPr>
        <w:t> </w:t>
      </w:r>
      <w:r>
        <w:rPr>
          <w:rFonts w:ascii="Segoe UI Semibold" w:hAnsi="Segoe UI Semibold"/>
          <w:b/>
          <w:i/>
          <w:color w:val="231F20"/>
          <w:sz w:val="24"/>
        </w:rPr>
        <w:t>League</w:t>
      </w:r>
      <w:r>
        <w:rPr>
          <w:rFonts w:ascii="Segoe UI Semibold" w:hAnsi="Segoe UI Semibold"/>
          <w:b/>
          <w:i/>
          <w:color w:val="231F20"/>
          <w:spacing w:val="-9"/>
          <w:sz w:val="24"/>
        </w:rPr>
        <w:t> </w:t>
      </w:r>
      <w:r>
        <w:rPr>
          <w:rFonts w:ascii="Segoe UI Semibold" w:hAnsi="Segoe UI Semibold"/>
          <w:b/>
          <w:i/>
          <w:color w:val="231F20"/>
          <w:sz w:val="24"/>
        </w:rPr>
        <w:t>Baseball</w:t>
      </w:r>
      <w:r>
        <w:rPr>
          <w:rFonts w:ascii="Segoe UI Semibold" w:hAnsi="Segoe UI Semibold"/>
          <w:b/>
          <w:i/>
          <w:color w:val="231F20"/>
          <w:spacing w:val="-9"/>
          <w:sz w:val="24"/>
        </w:rPr>
        <w:t> </w:t>
      </w:r>
      <w:r>
        <w:rPr>
          <w:rFonts w:ascii="Segoe UI Semibold" w:hAnsi="Segoe UI Semibold"/>
          <w:b/>
          <w:i/>
          <w:color w:val="231F20"/>
          <w:sz w:val="24"/>
        </w:rPr>
        <w:t>(MLB) </w:t>
      </w:r>
      <w:r>
        <w:rPr>
          <w:rFonts w:ascii="Segoe UI Semibold" w:hAnsi="Segoe UI Semibold"/>
          <w:b/>
          <w:i/>
          <w:color w:val="231F20"/>
          <w:spacing w:val="-2"/>
          <w:sz w:val="24"/>
        </w:rPr>
        <w:t>para</w:t>
      </w:r>
      <w:r>
        <w:rPr>
          <w:rFonts w:ascii="Segoe UI Semibold" w:hAnsi="Segoe UI Semibold"/>
          <w:b/>
          <w:i/>
          <w:color w:val="231F20"/>
          <w:spacing w:val="-15"/>
          <w:sz w:val="24"/>
        </w:rPr>
        <w:t> </w:t>
      </w:r>
      <w:r>
        <w:rPr>
          <w:rFonts w:ascii="Segoe UI Semibold" w:hAnsi="Segoe UI Semibold"/>
          <w:b/>
          <w:i/>
          <w:color w:val="231F20"/>
          <w:spacing w:val="-2"/>
          <w:sz w:val="24"/>
        </w:rPr>
        <w:t>que</w:t>
      </w:r>
      <w:r>
        <w:rPr>
          <w:rFonts w:ascii="Segoe UI Semibold" w:hAnsi="Segoe UI Semibold"/>
          <w:b/>
          <w:i/>
          <w:color w:val="231F20"/>
          <w:spacing w:val="-14"/>
          <w:sz w:val="24"/>
        </w:rPr>
        <w:t> </w:t>
      </w:r>
      <w:r>
        <w:rPr>
          <w:rFonts w:ascii="Segoe UI Semibold" w:hAnsi="Segoe UI Semibold"/>
          <w:b/>
          <w:i/>
          <w:color w:val="231F20"/>
          <w:spacing w:val="-2"/>
          <w:sz w:val="24"/>
        </w:rPr>
        <w:t>nuestros</w:t>
      </w:r>
      <w:r>
        <w:rPr>
          <w:rFonts w:ascii="Segoe UI Semibold" w:hAnsi="Segoe UI Semibold"/>
          <w:b/>
          <w:i/>
          <w:color w:val="231F20"/>
          <w:spacing w:val="-15"/>
          <w:sz w:val="24"/>
        </w:rPr>
        <w:t> </w:t>
      </w:r>
      <w:r>
        <w:rPr>
          <w:rFonts w:ascii="Segoe UI Semibold" w:hAnsi="Segoe UI Semibold"/>
          <w:b/>
          <w:i/>
          <w:color w:val="231F20"/>
          <w:spacing w:val="-2"/>
          <w:sz w:val="24"/>
        </w:rPr>
        <w:t>atletas</w:t>
      </w:r>
      <w:r>
        <w:rPr>
          <w:rFonts w:ascii="Segoe UI Semibold" w:hAnsi="Segoe UI Semibold"/>
          <w:b/>
          <w:i/>
          <w:color w:val="231F20"/>
          <w:spacing w:val="-14"/>
          <w:sz w:val="24"/>
        </w:rPr>
        <w:t> </w:t>
      </w:r>
      <w:r>
        <w:rPr>
          <w:rFonts w:ascii="Segoe UI Semibold" w:hAnsi="Segoe UI Semibold"/>
          <w:b/>
          <w:i/>
          <w:color w:val="231F20"/>
          <w:spacing w:val="-2"/>
          <w:sz w:val="24"/>
        </w:rPr>
        <w:t>puedan</w:t>
      </w:r>
      <w:r>
        <w:rPr>
          <w:rFonts w:ascii="Segoe UI Semibold" w:hAnsi="Segoe UI Semibold"/>
          <w:b/>
          <w:i/>
          <w:color w:val="231F20"/>
          <w:spacing w:val="-15"/>
          <w:sz w:val="24"/>
        </w:rPr>
        <w:t> </w:t>
      </w:r>
      <w:r>
        <w:rPr>
          <w:rFonts w:ascii="Segoe UI Semibold" w:hAnsi="Segoe UI Semibold"/>
          <w:b/>
          <w:i/>
          <w:color w:val="231F20"/>
          <w:spacing w:val="-2"/>
          <w:sz w:val="24"/>
        </w:rPr>
        <w:t>jugar</w:t>
      </w:r>
      <w:r>
        <w:rPr>
          <w:rFonts w:ascii="Segoe UI Semibold" w:hAnsi="Segoe UI Semibold"/>
          <w:b/>
          <w:i/>
          <w:color w:val="231F20"/>
          <w:spacing w:val="-14"/>
          <w:sz w:val="24"/>
        </w:rPr>
        <w:t> </w:t>
      </w:r>
      <w:r>
        <w:rPr>
          <w:rFonts w:ascii="Segoe UI Semibold" w:hAnsi="Segoe UI Semibold"/>
          <w:b/>
          <w:i/>
          <w:color w:val="231F20"/>
          <w:spacing w:val="-2"/>
          <w:sz w:val="24"/>
        </w:rPr>
        <w:t>en </w:t>
      </w:r>
      <w:r>
        <w:rPr>
          <w:rFonts w:ascii="Segoe UI Semibold" w:hAnsi="Segoe UI Semibold"/>
          <w:b/>
          <w:i/>
          <w:color w:val="231F20"/>
          <w:spacing w:val="-4"/>
          <w:sz w:val="24"/>
        </w:rPr>
        <w:t>esta</w:t>
      </w:r>
      <w:r>
        <w:rPr>
          <w:rFonts w:ascii="Segoe UI Semibold" w:hAnsi="Segoe UI Semibold"/>
          <w:b/>
          <w:i/>
          <w:color w:val="231F20"/>
          <w:spacing w:val="-26"/>
          <w:sz w:val="24"/>
        </w:rPr>
        <w:t> </w:t>
      </w:r>
      <w:r>
        <w:rPr>
          <w:rFonts w:ascii="Segoe UI Semibold" w:hAnsi="Segoe UI Semibold"/>
          <w:b/>
          <w:i/>
          <w:color w:val="231F20"/>
          <w:spacing w:val="-4"/>
          <w:sz w:val="24"/>
        </w:rPr>
        <w:t>última</w:t>
      </w:r>
      <w:r>
        <w:rPr>
          <w:rFonts w:ascii="Segoe UI Semibold" w:hAnsi="Segoe UI Semibold"/>
          <w:b/>
          <w:i/>
          <w:color w:val="231F20"/>
          <w:spacing w:val="-26"/>
          <w:sz w:val="24"/>
        </w:rPr>
        <w:t> </w:t>
      </w:r>
      <w:r>
        <w:rPr>
          <w:rFonts w:ascii="Segoe UI Semibold" w:hAnsi="Segoe UI Semibold"/>
          <w:b/>
          <w:i/>
          <w:color w:val="231F20"/>
          <w:spacing w:val="-4"/>
          <w:sz w:val="24"/>
        </w:rPr>
        <w:t>sin</w:t>
      </w:r>
      <w:r>
        <w:rPr>
          <w:rFonts w:ascii="Segoe UI Semibold" w:hAnsi="Segoe UI Semibold"/>
          <w:b/>
          <w:i/>
          <w:color w:val="231F20"/>
          <w:spacing w:val="-26"/>
          <w:sz w:val="24"/>
        </w:rPr>
        <w:t> </w:t>
      </w:r>
      <w:r>
        <w:rPr>
          <w:rFonts w:ascii="Segoe UI Semibold" w:hAnsi="Segoe UI Semibold"/>
          <w:b/>
          <w:i/>
          <w:color w:val="231F20"/>
          <w:spacing w:val="-4"/>
          <w:sz w:val="24"/>
        </w:rPr>
        <w:t>tener</w:t>
      </w:r>
      <w:r>
        <w:rPr>
          <w:rFonts w:ascii="Segoe UI Semibold" w:hAnsi="Segoe UI Semibold"/>
          <w:b/>
          <w:i/>
          <w:color w:val="231F20"/>
          <w:spacing w:val="-26"/>
          <w:sz w:val="24"/>
        </w:rPr>
        <w:t> </w:t>
      </w:r>
      <w:r>
        <w:rPr>
          <w:rFonts w:ascii="Segoe UI Semibold" w:hAnsi="Segoe UI Semibold"/>
          <w:b/>
          <w:i/>
          <w:color w:val="231F20"/>
          <w:spacing w:val="-4"/>
          <w:sz w:val="24"/>
        </w:rPr>
        <w:t>que</w:t>
      </w:r>
      <w:r>
        <w:rPr>
          <w:rFonts w:ascii="Segoe UI Semibold" w:hAnsi="Segoe UI Semibold"/>
          <w:b/>
          <w:i/>
          <w:color w:val="231F20"/>
          <w:spacing w:val="-26"/>
          <w:sz w:val="24"/>
        </w:rPr>
        <w:t> </w:t>
      </w:r>
      <w:r>
        <w:rPr>
          <w:rFonts w:ascii="Segoe UI Semibold" w:hAnsi="Segoe UI Semibold"/>
          <w:b/>
          <w:i/>
          <w:color w:val="231F20"/>
          <w:spacing w:val="-4"/>
          <w:sz w:val="24"/>
        </w:rPr>
        <w:t>abandonar</w:t>
      </w:r>
      <w:r>
        <w:rPr>
          <w:rFonts w:ascii="Segoe UI Semibold" w:hAnsi="Segoe UI Semibold"/>
          <w:b/>
          <w:i/>
          <w:color w:val="231F20"/>
          <w:spacing w:val="-26"/>
          <w:sz w:val="24"/>
        </w:rPr>
        <w:t> </w:t>
      </w:r>
      <w:r>
        <w:rPr>
          <w:rFonts w:ascii="Segoe UI Semibold" w:hAnsi="Segoe UI Semibold"/>
          <w:b/>
          <w:i/>
          <w:color w:val="231F20"/>
          <w:spacing w:val="-4"/>
          <w:sz w:val="24"/>
        </w:rPr>
        <w:t>el</w:t>
      </w:r>
      <w:r>
        <w:rPr>
          <w:rFonts w:ascii="Segoe UI Semibold" w:hAnsi="Segoe UI Semibold"/>
          <w:b/>
          <w:i/>
          <w:color w:val="231F20"/>
          <w:spacing w:val="-26"/>
          <w:sz w:val="24"/>
        </w:rPr>
        <w:t> </w:t>
      </w:r>
      <w:r>
        <w:rPr>
          <w:rFonts w:ascii="Segoe UI Semibold" w:hAnsi="Segoe UI Semibold"/>
          <w:b/>
          <w:i/>
          <w:color w:val="231F20"/>
          <w:spacing w:val="-6"/>
          <w:sz w:val="24"/>
        </w:rPr>
        <w:t>país.</w:t>
      </w:r>
    </w:p>
    <w:p>
      <w:pPr>
        <w:pStyle w:val="BodyText"/>
        <w:spacing w:before="158"/>
        <w:ind w:left="1133"/>
      </w:pPr>
      <w:r>
        <w:rPr>
          <w:color w:val="231F20"/>
        </w:rPr>
        <w:t>La promoción del discurso de odio hacia Cuba</w:t>
      </w:r>
      <w:r>
        <w:rPr>
          <w:color w:val="231F20"/>
          <w:spacing w:val="-2"/>
        </w:rPr>
        <w:t> </w:t>
      </w:r>
      <w:r>
        <w:rPr>
          <w:color w:val="231F20"/>
        </w:rPr>
        <w:t>fue</w:t>
      </w:r>
      <w:r>
        <w:rPr>
          <w:color w:val="231F20"/>
          <w:spacing w:val="-2"/>
        </w:rPr>
        <w:t> </w:t>
      </w:r>
      <w:r>
        <w:rPr>
          <w:color w:val="231F20"/>
        </w:rPr>
        <w:t>evidente</w:t>
      </w:r>
      <w:r>
        <w:rPr>
          <w:color w:val="231F20"/>
          <w:spacing w:val="-2"/>
        </w:rPr>
        <w:t> </w:t>
      </w:r>
      <w:r>
        <w:rPr>
          <w:color w:val="231F20"/>
        </w:rPr>
        <w:t>el</w:t>
      </w:r>
      <w:r>
        <w:rPr>
          <w:color w:val="231F20"/>
          <w:spacing w:val="-2"/>
        </w:rPr>
        <w:t> </w:t>
      </w:r>
      <w:r>
        <w:rPr>
          <w:color w:val="231F20"/>
        </w:rPr>
        <w:t>pasado</w:t>
      </w:r>
      <w:r>
        <w:rPr>
          <w:color w:val="231F20"/>
          <w:spacing w:val="-2"/>
        </w:rPr>
        <w:t> </w:t>
      </w:r>
      <w:r>
        <w:rPr>
          <w:color w:val="231F20"/>
        </w:rPr>
        <w:t>19</w:t>
      </w:r>
      <w:r>
        <w:rPr>
          <w:color w:val="231F20"/>
          <w:spacing w:val="-2"/>
        </w:rPr>
        <w:t> </w:t>
      </w:r>
      <w:r>
        <w:rPr>
          <w:color w:val="231F20"/>
        </w:rPr>
        <w:t>de</w:t>
      </w:r>
      <w:r>
        <w:rPr>
          <w:color w:val="231F20"/>
          <w:spacing w:val="-2"/>
        </w:rPr>
        <w:t> </w:t>
      </w:r>
      <w:r>
        <w:rPr>
          <w:color w:val="231F20"/>
        </w:rPr>
        <w:t>marzo de 2023, cuando tuvo lugar el juego semifinal</w:t>
      </w:r>
      <w:r>
        <w:rPr>
          <w:color w:val="231F20"/>
          <w:spacing w:val="-11"/>
        </w:rPr>
        <w:t> </w:t>
      </w:r>
      <w:r>
        <w:rPr>
          <w:color w:val="231F20"/>
        </w:rPr>
        <w:t>del</w:t>
      </w:r>
      <w:r>
        <w:rPr>
          <w:color w:val="231F20"/>
          <w:spacing w:val="-11"/>
        </w:rPr>
        <w:t> </w:t>
      </w:r>
      <w:r>
        <w:rPr>
          <w:color w:val="231F20"/>
        </w:rPr>
        <w:t>V</w:t>
      </w:r>
      <w:r>
        <w:rPr>
          <w:color w:val="231F20"/>
          <w:spacing w:val="-11"/>
        </w:rPr>
        <w:t> </w:t>
      </w:r>
      <w:r>
        <w:rPr>
          <w:color w:val="231F20"/>
        </w:rPr>
        <w:t>Clásico</w:t>
      </w:r>
      <w:r>
        <w:rPr>
          <w:color w:val="231F20"/>
          <w:spacing w:val="-11"/>
        </w:rPr>
        <w:t> </w:t>
      </w:r>
      <w:r>
        <w:rPr>
          <w:color w:val="231F20"/>
        </w:rPr>
        <w:t>Mundial</w:t>
      </w:r>
      <w:r>
        <w:rPr>
          <w:color w:val="231F20"/>
          <w:spacing w:val="-11"/>
        </w:rPr>
        <w:t> </w:t>
      </w:r>
      <w:r>
        <w:rPr>
          <w:color w:val="231F20"/>
        </w:rPr>
        <w:t>de</w:t>
      </w:r>
      <w:r>
        <w:rPr>
          <w:color w:val="231F20"/>
          <w:spacing w:val="-11"/>
        </w:rPr>
        <w:t> </w:t>
      </w:r>
      <w:r>
        <w:rPr>
          <w:color w:val="231F20"/>
        </w:rPr>
        <w:t>Béisbol entre los equipos de Cuba y los Estados </w:t>
      </w:r>
      <w:r>
        <w:rPr>
          <w:color w:val="231F20"/>
          <w:spacing w:val="-4"/>
        </w:rPr>
        <w:t>Unidos,</w:t>
      </w:r>
      <w:r>
        <w:rPr>
          <w:color w:val="231F20"/>
          <w:spacing w:val="-7"/>
        </w:rPr>
        <w:t> </w:t>
      </w:r>
      <w:r>
        <w:rPr>
          <w:color w:val="231F20"/>
          <w:spacing w:val="-4"/>
        </w:rPr>
        <w:t>celebrado</w:t>
      </w:r>
      <w:r>
        <w:rPr>
          <w:color w:val="231F20"/>
          <w:spacing w:val="-5"/>
        </w:rPr>
        <w:t> </w:t>
      </w:r>
      <w:r>
        <w:rPr>
          <w:color w:val="231F20"/>
          <w:spacing w:val="-4"/>
        </w:rPr>
        <w:t>en el</w:t>
      </w:r>
      <w:r>
        <w:rPr>
          <w:color w:val="231F20"/>
          <w:spacing w:val="-5"/>
        </w:rPr>
        <w:t> </w:t>
      </w:r>
      <w:r>
        <w:rPr>
          <w:color w:val="231F20"/>
          <w:spacing w:val="-4"/>
        </w:rPr>
        <w:t>estadio LoanDepot</w:t>
      </w:r>
    </w:p>
    <w:p>
      <w:pPr>
        <w:pStyle w:val="BodyText"/>
        <w:spacing w:before="77"/>
        <w:ind w:left="412" w:right="1473"/>
      </w:pPr>
      <w:r>
        <w:rPr/>
        <w:br w:type="column"/>
      </w:r>
      <w:r>
        <w:rPr>
          <w:color w:val="231F20"/>
        </w:rPr>
        <w:t>Park</w:t>
      </w:r>
      <w:r>
        <w:rPr>
          <w:color w:val="231F20"/>
          <w:spacing w:val="-15"/>
        </w:rPr>
        <w:t> </w:t>
      </w:r>
      <w:r>
        <w:rPr>
          <w:color w:val="231F20"/>
        </w:rPr>
        <w:t>de</w:t>
      </w:r>
      <w:r>
        <w:rPr>
          <w:color w:val="231F20"/>
          <w:spacing w:val="-15"/>
        </w:rPr>
        <w:t> </w:t>
      </w:r>
      <w:r>
        <w:rPr>
          <w:color w:val="231F20"/>
        </w:rPr>
        <w:t>la</w:t>
      </w:r>
      <w:r>
        <w:rPr>
          <w:color w:val="231F20"/>
          <w:spacing w:val="-15"/>
        </w:rPr>
        <w:t> </w:t>
      </w:r>
      <w:r>
        <w:rPr>
          <w:color w:val="231F20"/>
        </w:rPr>
        <w:t>ciudad</w:t>
      </w:r>
      <w:r>
        <w:rPr>
          <w:color w:val="231F20"/>
          <w:spacing w:val="-15"/>
        </w:rPr>
        <w:t> </w:t>
      </w:r>
      <w:r>
        <w:rPr>
          <w:color w:val="231F20"/>
        </w:rPr>
        <w:t>de</w:t>
      </w:r>
      <w:r>
        <w:rPr>
          <w:color w:val="231F20"/>
          <w:spacing w:val="-15"/>
        </w:rPr>
        <w:t> </w:t>
      </w:r>
      <w:r>
        <w:rPr>
          <w:color w:val="231F20"/>
        </w:rPr>
        <w:t>Miami,</w:t>
      </w:r>
      <w:r>
        <w:rPr>
          <w:color w:val="231F20"/>
          <w:spacing w:val="-15"/>
        </w:rPr>
        <w:t> </w:t>
      </w:r>
      <w:r>
        <w:rPr>
          <w:color w:val="231F20"/>
        </w:rPr>
        <w:t>Florida.</w:t>
      </w:r>
      <w:r>
        <w:rPr>
          <w:color w:val="231F20"/>
          <w:spacing w:val="-15"/>
        </w:rPr>
        <w:t> </w:t>
      </w:r>
      <w:r>
        <w:rPr>
          <w:color w:val="231F20"/>
        </w:rPr>
        <w:t>En</w:t>
      </w:r>
      <w:r>
        <w:rPr>
          <w:color w:val="231F20"/>
          <w:spacing w:val="-15"/>
        </w:rPr>
        <w:t> </w:t>
      </w:r>
      <w:r>
        <w:rPr>
          <w:color w:val="231F20"/>
        </w:rPr>
        <w:t>ese marco, se realizaron agresiones directas contra nuestros jugadores, la delegación que los acompañó y los seguidores de la escuadra</w:t>
      </w:r>
      <w:r>
        <w:rPr>
          <w:color w:val="231F20"/>
          <w:spacing w:val="-17"/>
        </w:rPr>
        <w:t> </w:t>
      </w:r>
      <w:r>
        <w:rPr>
          <w:color w:val="231F20"/>
        </w:rPr>
        <w:t>cubana,</w:t>
      </w:r>
      <w:r>
        <w:rPr>
          <w:color w:val="231F20"/>
          <w:spacing w:val="-16"/>
        </w:rPr>
        <w:t> </w:t>
      </w:r>
      <w:r>
        <w:rPr>
          <w:color w:val="231F20"/>
        </w:rPr>
        <w:t>además</w:t>
      </w:r>
      <w:r>
        <w:rPr>
          <w:color w:val="231F20"/>
          <w:spacing w:val="-17"/>
        </w:rPr>
        <w:t> </w:t>
      </w:r>
      <w:r>
        <w:rPr>
          <w:color w:val="231F20"/>
        </w:rPr>
        <w:t>del</w:t>
      </w:r>
      <w:r>
        <w:rPr>
          <w:color w:val="231F20"/>
          <w:spacing w:val="-16"/>
        </w:rPr>
        <w:t> </w:t>
      </w:r>
      <w:r>
        <w:rPr>
          <w:color w:val="231F20"/>
        </w:rPr>
        <w:t>lanzamiento de objetos, uso de lenguajes ofensivos, amenazas,</w:t>
      </w:r>
      <w:r>
        <w:rPr>
          <w:color w:val="231F20"/>
          <w:spacing w:val="-17"/>
        </w:rPr>
        <w:t> </w:t>
      </w:r>
      <w:r>
        <w:rPr>
          <w:color w:val="231F20"/>
        </w:rPr>
        <w:t>carteles</w:t>
      </w:r>
      <w:r>
        <w:rPr>
          <w:color w:val="231F20"/>
          <w:spacing w:val="-16"/>
        </w:rPr>
        <w:t> </w:t>
      </w:r>
      <w:r>
        <w:rPr>
          <w:color w:val="231F20"/>
        </w:rPr>
        <w:t>con</w:t>
      </w:r>
      <w:r>
        <w:rPr>
          <w:color w:val="231F20"/>
          <w:spacing w:val="-17"/>
        </w:rPr>
        <w:t> </w:t>
      </w:r>
      <w:r>
        <w:rPr>
          <w:color w:val="231F20"/>
        </w:rPr>
        <w:t>consignas</w:t>
      </w:r>
      <w:r>
        <w:rPr>
          <w:color w:val="231F20"/>
          <w:spacing w:val="-16"/>
        </w:rPr>
        <w:t> </w:t>
      </w:r>
      <w:r>
        <w:rPr>
          <w:color w:val="231F20"/>
        </w:rPr>
        <w:t>políticas y ataques lesivos a la moral del equipo.</w:t>
      </w:r>
    </w:p>
    <w:p>
      <w:pPr>
        <w:pStyle w:val="BodyText"/>
        <w:spacing w:before="1"/>
        <w:jc w:val="left"/>
        <w:rPr>
          <w:sz w:val="18"/>
        </w:rPr>
      </w:pPr>
      <w:r>
        <w:rPr/>
        <mc:AlternateContent>
          <mc:Choice Requires="wps">
            <w:drawing>
              <wp:anchor distT="0" distB="0" distL="0" distR="0" allowOverlap="1" layoutInCell="1" locked="0" behindDoc="1" simplePos="0" relativeHeight="487606272">
                <wp:simplePos x="0" y="0"/>
                <wp:positionH relativeFrom="page">
                  <wp:posOffset>3672001</wp:posOffset>
                </wp:positionH>
                <wp:positionV relativeFrom="paragraph">
                  <wp:posOffset>168471</wp:posOffset>
                </wp:positionV>
                <wp:extent cx="3888104" cy="2946400"/>
                <wp:effectExtent l="0" t="0" r="0" b="0"/>
                <wp:wrapTopAndBottom/>
                <wp:docPr id="57" name="Textbox 57"/>
                <wp:cNvGraphicFramePr>
                  <a:graphicFrameLocks/>
                </wp:cNvGraphicFramePr>
                <a:graphic>
                  <a:graphicData uri="http://schemas.microsoft.com/office/word/2010/wordprocessingShape">
                    <wps:wsp>
                      <wps:cNvPr id="57" name="Textbox 57"/>
                      <wps:cNvSpPr txBox="1"/>
                      <wps:spPr>
                        <a:xfrm>
                          <a:off x="0" y="0"/>
                          <a:ext cx="3888104" cy="2946400"/>
                        </a:xfrm>
                        <a:prstGeom prst="rect">
                          <a:avLst/>
                        </a:prstGeom>
                        <a:solidFill>
                          <a:srgbClr val="E0E2E2"/>
                        </a:solidFill>
                      </wps:spPr>
                      <wps:txbx>
                        <w:txbxContent>
                          <w:p>
                            <w:pPr>
                              <w:spacing w:line="220" w:lineRule="auto" w:before="221"/>
                              <w:ind w:left="438" w:right="1472" w:firstLine="446"/>
                              <w:jc w:val="right"/>
                              <w:rPr>
                                <w:rFonts w:ascii="Segoe UI Semibold" w:hAnsi="Segoe UI Semibold"/>
                                <w:b/>
                                <w:i/>
                                <w:color w:val="000000"/>
                                <w:sz w:val="26"/>
                              </w:rPr>
                            </w:pPr>
                            <w:r>
                              <w:rPr>
                                <w:rFonts w:ascii="Segoe UI Semibold" w:hAnsi="Segoe UI Semibold"/>
                                <w:b/>
                                <w:i/>
                                <w:color w:val="1A4796"/>
                                <w:spacing w:val="-2"/>
                                <w:sz w:val="26"/>
                              </w:rPr>
                              <w:t>Cuba</w:t>
                            </w:r>
                            <w:r>
                              <w:rPr>
                                <w:rFonts w:ascii="Segoe UI Semibold" w:hAnsi="Segoe UI Semibold"/>
                                <w:b/>
                                <w:i/>
                                <w:color w:val="1A4796"/>
                                <w:spacing w:val="-16"/>
                                <w:sz w:val="26"/>
                              </w:rPr>
                              <w:t> </w:t>
                            </w:r>
                            <w:r>
                              <w:rPr>
                                <w:rFonts w:ascii="Segoe UI Semibold" w:hAnsi="Segoe UI Semibold"/>
                                <w:b/>
                                <w:i/>
                                <w:color w:val="1A4796"/>
                                <w:spacing w:val="-2"/>
                                <w:sz w:val="26"/>
                              </w:rPr>
                              <w:t>denunció</w:t>
                            </w:r>
                            <w:r>
                              <w:rPr>
                                <w:rFonts w:ascii="Segoe UI Semibold" w:hAnsi="Segoe UI Semibold"/>
                                <w:b/>
                                <w:i/>
                                <w:color w:val="1A4796"/>
                                <w:spacing w:val="-16"/>
                                <w:sz w:val="26"/>
                              </w:rPr>
                              <w:t> </w:t>
                            </w:r>
                            <w:r>
                              <w:rPr>
                                <w:rFonts w:ascii="Segoe UI Semibold" w:hAnsi="Segoe UI Semibold"/>
                                <w:b/>
                                <w:i/>
                                <w:color w:val="1A4796"/>
                                <w:spacing w:val="-2"/>
                                <w:sz w:val="26"/>
                              </w:rPr>
                              <w:t>enérgicamente</w:t>
                            </w:r>
                            <w:r>
                              <w:rPr>
                                <w:rFonts w:ascii="Segoe UI Semibold" w:hAnsi="Segoe UI Semibold"/>
                                <w:b/>
                                <w:i/>
                                <w:color w:val="1A4796"/>
                                <w:spacing w:val="-16"/>
                                <w:sz w:val="26"/>
                              </w:rPr>
                              <w:t> </w:t>
                            </w:r>
                            <w:r>
                              <w:rPr>
                                <w:rFonts w:ascii="Segoe UI Semibold" w:hAnsi="Segoe UI Semibold"/>
                                <w:b/>
                                <w:i/>
                                <w:color w:val="1A4796"/>
                                <w:spacing w:val="-2"/>
                                <w:sz w:val="26"/>
                              </w:rPr>
                              <w:t>la</w:t>
                            </w:r>
                            <w:r>
                              <w:rPr>
                                <w:rFonts w:ascii="Segoe UI Semibold" w:hAnsi="Segoe UI Semibold"/>
                                <w:b/>
                                <w:i/>
                                <w:color w:val="1A4796"/>
                                <w:spacing w:val="-2"/>
                                <w:sz w:val="26"/>
                              </w:rPr>
                              <w:t> </w:t>
                            </w:r>
                            <w:r>
                              <w:rPr>
                                <w:rFonts w:ascii="Segoe UI Semibold" w:hAnsi="Segoe UI Semibold"/>
                                <w:b/>
                                <w:i/>
                                <w:color w:val="1A4796"/>
                                <w:sz w:val="26"/>
                              </w:rPr>
                              <w:t>incitación, por parte de políticos </w:t>
                            </w:r>
                            <w:r>
                              <w:rPr>
                                <w:rFonts w:ascii="Segoe UI Semibold" w:hAnsi="Segoe UI Semibold"/>
                                <w:b/>
                                <w:i/>
                                <w:color w:val="1A4796"/>
                                <w:spacing w:val="-2"/>
                                <w:sz w:val="26"/>
                              </w:rPr>
                              <w:t>locales</w:t>
                            </w:r>
                            <w:r>
                              <w:rPr>
                                <w:rFonts w:ascii="Segoe UI Semibold" w:hAnsi="Segoe UI Semibold"/>
                                <w:b/>
                                <w:i/>
                                <w:color w:val="1A4796"/>
                                <w:spacing w:val="-15"/>
                                <w:sz w:val="26"/>
                              </w:rPr>
                              <w:t> </w:t>
                            </w:r>
                            <w:r>
                              <w:rPr>
                                <w:rFonts w:ascii="Segoe UI Semibold" w:hAnsi="Segoe UI Semibold"/>
                                <w:b/>
                                <w:i/>
                                <w:color w:val="1A4796"/>
                                <w:spacing w:val="-2"/>
                                <w:sz w:val="26"/>
                              </w:rPr>
                              <w:t>y</w:t>
                            </w:r>
                            <w:r>
                              <w:rPr>
                                <w:rFonts w:ascii="Segoe UI Semibold" w:hAnsi="Segoe UI Semibold"/>
                                <w:b/>
                                <w:i/>
                                <w:color w:val="1A4796"/>
                                <w:spacing w:val="-15"/>
                                <w:sz w:val="26"/>
                              </w:rPr>
                              <w:t> </w:t>
                            </w:r>
                            <w:r>
                              <w:rPr>
                                <w:rFonts w:ascii="Segoe UI Semibold" w:hAnsi="Segoe UI Semibold"/>
                                <w:b/>
                                <w:i/>
                                <w:color w:val="1A4796"/>
                                <w:spacing w:val="-2"/>
                                <w:sz w:val="26"/>
                              </w:rPr>
                              <w:t>figuras</w:t>
                            </w:r>
                            <w:r>
                              <w:rPr>
                                <w:rFonts w:ascii="Segoe UI Semibold" w:hAnsi="Segoe UI Semibold"/>
                                <w:b/>
                                <w:i/>
                                <w:color w:val="1A4796"/>
                                <w:spacing w:val="-15"/>
                                <w:sz w:val="26"/>
                              </w:rPr>
                              <w:t> </w:t>
                            </w:r>
                            <w:r>
                              <w:rPr>
                                <w:rFonts w:ascii="Segoe UI Semibold" w:hAnsi="Segoe UI Semibold"/>
                                <w:b/>
                                <w:i/>
                                <w:color w:val="1A4796"/>
                                <w:spacing w:val="-2"/>
                                <w:sz w:val="26"/>
                              </w:rPr>
                              <w:t>que</w:t>
                            </w:r>
                            <w:r>
                              <w:rPr>
                                <w:rFonts w:ascii="Segoe UI Semibold" w:hAnsi="Segoe UI Semibold"/>
                                <w:b/>
                                <w:i/>
                                <w:color w:val="1A4796"/>
                                <w:spacing w:val="-15"/>
                                <w:sz w:val="26"/>
                              </w:rPr>
                              <w:t> </w:t>
                            </w:r>
                            <w:r>
                              <w:rPr>
                                <w:rFonts w:ascii="Segoe UI Semibold" w:hAnsi="Segoe UI Semibold"/>
                                <w:b/>
                                <w:i/>
                                <w:color w:val="1A4796"/>
                                <w:spacing w:val="-2"/>
                                <w:sz w:val="26"/>
                              </w:rPr>
                              <w:t>ostentan</w:t>
                            </w:r>
                            <w:r>
                              <w:rPr>
                                <w:rFonts w:ascii="Segoe UI Semibold" w:hAnsi="Segoe UI Semibold"/>
                                <w:b/>
                                <w:i/>
                                <w:color w:val="1A4796"/>
                                <w:spacing w:val="-15"/>
                                <w:sz w:val="26"/>
                              </w:rPr>
                              <w:t> </w:t>
                            </w:r>
                            <w:r>
                              <w:rPr>
                                <w:rFonts w:ascii="Segoe UI Semibold" w:hAnsi="Segoe UI Semibold"/>
                                <w:b/>
                                <w:i/>
                                <w:color w:val="1A4796"/>
                                <w:spacing w:val="-2"/>
                                <w:sz w:val="26"/>
                              </w:rPr>
                              <w:t>cargos </w:t>
                            </w:r>
                            <w:r>
                              <w:rPr>
                                <w:rFonts w:ascii="Segoe UI Semibold" w:hAnsi="Segoe UI Semibold"/>
                                <w:b/>
                                <w:i/>
                                <w:color w:val="1A4796"/>
                                <w:sz w:val="26"/>
                              </w:rPr>
                              <w:t>públicos, al acoso, la violencia y</w:t>
                            </w:r>
                          </w:p>
                          <w:p>
                            <w:pPr>
                              <w:spacing w:line="220" w:lineRule="auto" w:before="3"/>
                              <w:ind w:left="592" w:right="1473" w:firstLine="501"/>
                              <w:jc w:val="both"/>
                              <w:rPr>
                                <w:rFonts w:ascii="Segoe UI Semibold" w:hAnsi="Segoe UI Semibold"/>
                                <w:b/>
                                <w:i/>
                                <w:color w:val="000000"/>
                                <w:sz w:val="26"/>
                              </w:rPr>
                            </w:pPr>
                            <w:r>
                              <w:rPr>
                                <w:rFonts w:ascii="Segoe UI Semibold" w:hAnsi="Segoe UI Semibold"/>
                                <w:b/>
                                <w:i/>
                                <w:color w:val="1A4796"/>
                                <w:spacing w:val="-2"/>
                                <w:sz w:val="26"/>
                              </w:rPr>
                              <w:t>el</w:t>
                            </w:r>
                            <w:r>
                              <w:rPr>
                                <w:rFonts w:ascii="Segoe UI Semibold" w:hAnsi="Segoe UI Semibold"/>
                                <w:b/>
                                <w:i/>
                                <w:color w:val="1A4796"/>
                                <w:spacing w:val="-14"/>
                                <w:sz w:val="26"/>
                              </w:rPr>
                              <w:t> </w:t>
                            </w:r>
                            <w:r>
                              <w:rPr>
                                <w:rFonts w:ascii="Segoe UI Semibold" w:hAnsi="Segoe UI Semibold"/>
                                <w:b/>
                                <w:i/>
                                <w:color w:val="1A4796"/>
                                <w:spacing w:val="-2"/>
                                <w:sz w:val="26"/>
                              </w:rPr>
                              <w:t>asedio</w:t>
                            </w:r>
                            <w:r>
                              <w:rPr>
                                <w:rFonts w:ascii="Segoe UI Semibold" w:hAnsi="Segoe UI Semibold"/>
                                <w:b/>
                                <w:i/>
                                <w:color w:val="1A4796"/>
                                <w:spacing w:val="-14"/>
                                <w:sz w:val="26"/>
                              </w:rPr>
                              <w:t> </w:t>
                            </w:r>
                            <w:r>
                              <w:rPr>
                                <w:rFonts w:ascii="Segoe UI Semibold" w:hAnsi="Segoe UI Semibold"/>
                                <w:b/>
                                <w:i/>
                                <w:color w:val="1A4796"/>
                                <w:spacing w:val="-2"/>
                                <w:sz w:val="26"/>
                              </w:rPr>
                              <w:t>a</w:t>
                            </w:r>
                            <w:r>
                              <w:rPr>
                                <w:rFonts w:ascii="Segoe UI Semibold" w:hAnsi="Segoe UI Semibold"/>
                                <w:b/>
                                <w:i/>
                                <w:color w:val="1A4796"/>
                                <w:spacing w:val="-14"/>
                                <w:sz w:val="26"/>
                              </w:rPr>
                              <w:t> </w:t>
                            </w:r>
                            <w:r>
                              <w:rPr>
                                <w:rFonts w:ascii="Segoe UI Semibold" w:hAnsi="Segoe UI Semibold"/>
                                <w:b/>
                                <w:i/>
                                <w:color w:val="1A4796"/>
                                <w:spacing w:val="-2"/>
                                <w:sz w:val="26"/>
                              </w:rPr>
                              <w:t>los</w:t>
                            </w:r>
                            <w:r>
                              <w:rPr>
                                <w:rFonts w:ascii="Segoe UI Semibold" w:hAnsi="Segoe UI Semibold"/>
                                <w:b/>
                                <w:i/>
                                <w:color w:val="1A4796"/>
                                <w:spacing w:val="-14"/>
                                <w:sz w:val="26"/>
                              </w:rPr>
                              <w:t> </w:t>
                            </w:r>
                            <w:r>
                              <w:rPr>
                                <w:rFonts w:ascii="Segoe UI Semibold" w:hAnsi="Segoe UI Semibold"/>
                                <w:b/>
                                <w:i/>
                                <w:color w:val="1A4796"/>
                                <w:spacing w:val="-2"/>
                                <w:sz w:val="26"/>
                              </w:rPr>
                              <w:t>deportistas.</w:t>
                            </w:r>
                            <w:r>
                              <w:rPr>
                                <w:rFonts w:ascii="Segoe UI Semibold" w:hAnsi="Segoe UI Semibold"/>
                                <w:b/>
                                <w:i/>
                                <w:color w:val="1A4796"/>
                                <w:spacing w:val="-14"/>
                                <w:sz w:val="26"/>
                              </w:rPr>
                              <w:t> </w:t>
                            </w:r>
                            <w:r>
                              <w:rPr>
                                <w:rFonts w:ascii="Segoe UI Semibold" w:hAnsi="Segoe UI Semibold"/>
                                <w:b/>
                                <w:i/>
                                <w:color w:val="1A4796"/>
                                <w:spacing w:val="-2"/>
                                <w:sz w:val="26"/>
                              </w:rPr>
                              <w:t>Esos</w:t>
                            </w:r>
                            <w:r>
                              <w:rPr>
                                <w:rFonts w:ascii="Segoe UI Semibold" w:hAnsi="Segoe UI Semibold"/>
                                <w:b/>
                                <w:i/>
                                <w:color w:val="1A4796"/>
                                <w:spacing w:val="-2"/>
                                <w:sz w:val="26"/>
                              </w:rPr>
                              <w:t> </w:t>
                            </w:r>
                            <w:r>
                              <w:rPr>
                                <w:rFonts w:ascii="Segoe UI Semibold" w:hAnsi="Segoe UI Semibold"/>
                                <w:b/>
                                <w:i/>
                                <w:color w:val="1A4796"/>
                                <w:sz w:val="26"/>
                              </w:rPr>
                              <w:t>mismos sectores fueron los que en 2018 sabotearon el acuerdo entre</w:t>
                            </w:r>
                            <w:r>
                              <w:rPr>
                                <w:rFonts w:ascii="Segoe UI Semibold" w:hAnsi="Segoe UI Semibold"/>
                                <w:b/>
                                <w:i/>
                                <w:color w:val="1A4796"/>
                                <w:sz w:val="26"/>
                              </w:rPr>
                              <w:t> la Federación Cubana de Béisbol y la</w:t>
                            </w:r>
                            <w:r>
                              <w:rPr>
                                <w:rFonts w:ascii="Segoe UI Semibold" w:hAnsi="Segoe UI Semibold"/>
                                <w:b/>
                                <w:i/>
                                <w:color w:val="1A4796"/>
                                <w:spacing w:val="-18"/>
                                <w:sz w:val="26"/>
                              </w:rPr>
                              <w:t> </w:t>
                            </w:r>
                            <w:r>
                              <w:rPr>
                                <w:rFonts w:ascii="Segoe UI Semibold" w:hAnsi="Segoe UI Semibold"/>
                                <w:b/>
                                <w:i/>
                                <w:color w:val="1A4796"/>
                                <w:sz w:val="26"/>
                              </w:rPr>
                              <w:t>MLB,</w:t>
                            </w:r>
                            <w:r>
                              <w:rPr>
                                <w:rFonts w:ascii="Segoe UI Semibold" w:hAnsi="Segoe UI Semibold"/>
                                <w:b/>
                                <w:i/>
                                <w:color w:val="1A4796"/>
                                <w:spacing w:val="-18"/>
                                <w:sz w:val="26"/>
                              </w:rPr>
                              <w:t> </w:t>
                            </w:r>
                            <w:r>
                              <w:rPr>
                                <w:rFonts w:ascii="Segoe UI Semibold" w:hAnsi="Segoe UI Semibold"/>
                                <w:b/>
                                <w:i/>
                                <w:color w:val="1A4796"/>
                                <w:sz w:val="26"/>
                              </w:rPr>
                              <w:t>que</w:t>
                            </w:r>
                            <w:r>
                              <w:rPr>
                                <w:rFonts w:ascii="Segoe UI Semibold" w:hAnsi="Segoe UI Semibold"/>
                                <w:b/>
                                <w:i/>
                                <w:color w:val="1A4796"/>
                                <w:spacing w:val="-18"/>
                                <w:sz w:val="26"/>
                              </w:rPr>
                              <w:t> </w:t>
                            </w:r>
                            <w:r>
                              <w:rPr>
                                <w:rFonts w:ascii="Segoe UI Semibold" w:hAnsi="Segoe UI Semibold"/>
                                <w:b/>
                                <w:i/>
                                <w:color w:val="1A4796"/>
                                <w:sz w:val="26"/>
                              </w:rPr>
                              <w:t>habría</w:t>
                            </w:r>
                            <w:r>
                              <w:rPr>
                                <w:rFonts w:ascii="Segoe UI Semibold" w:hAnsi="Segoe UI Semibold"/>
                                <w:b/>
                                <w:i/>
                                <w:color w:val="1A4796"/>
                                <w:spacing w:val="-18"/>
                                <w:sz w:val="26"/>
                              </w:rPr>
                              <w:t> </w:t>
                            </w:r>
                            <w:r>
                              <w:rPr>
                                <w:rFonts w:ascii="Segoe UI Semibold" w:hAnsi="Segoe UI Semibold"/>
                                <w:b/>
                                <w:i/>
                                <w:color w:val="1A4796"/>
                                <w:sz w:val="26"/>
                              </w:rPr>
                              <w:t>sido</w:t>
                            </w:r>
                            <w:r>
                              <w:rPr>
                                <w:rFonts w:ascii="Segoe UI Semibold" w:hAnsi="Segoe UI Semibold"/>
                                <w:b/>
                                <w:i/>
                                <w:color w:val="1A4796"/>
                                <w:spacing w:val="-18"/>
                                <w:sz w:val="26"/>
                              </w:rPr>
                              <w:t> </w:t>
                            </w:r>
                            <w:r>
                              <w:rPr>
                                <w:rFonts w:ascii="Segoe UI Semibold" w:hAnsi="Segoe UI Semibold"/>
                                <w:b/>
                                <w:i/>
                                <w:color w:val="1A4796"/>
                                <w:sz w:val="26"/>
                              </w:rPr>
                              <w:t>beneficioso para todas las partes involucradas y</w:t>
                            </w:r>
                            <w:r>
                              <w:rPr>
                                <w:rFonts w:ascii="Segoe UI Semibold" w:hAnsi="Segoe UI Semibold"/>
                                <w:b/>
                                <w:i/>
                                <w:color w:val="1A4796"/>
                                <w:spacing w:val="-18"/>
                                <w:sz w:val="26"/>
                              </w:rPr>
                              <w:t> </w:t>
                            </w:r>
                            <w:r>
                              <w:rPr>
                                <w:rFonts w:ascii="Segoe UI Semibold" w:hAnsi="Segoe UI Semibold"/>
                                <w:b/>
                                <w:i/>
                                <w:color w:val="1A4796"/>
                                <w:sz w:val="26"/>
                              </w:rPr>
                              <w:t>hubiese</w:t>
                            </w:r>
                            <w:r>
                              <w:rPr>
                                <w:rFonts w:ascii="Segoe UI Semibold" w:hAnsi="Segoe UI Semibold"/>
                                <w:b/>
                                <w:i/>
                                <w:color w:val="1A4796"/>
                                <w:spacing w:val="-18"/>
                                <w:sz w:val="26"/>
                              </w:rPr>
                              <w:t> </w:t>
                            </w:r>
                            <w:r>
                              <w:rPr>
                                <w:rFonts w:ascii="Segoe UI Semibold" w:hAnsi="Segoe UI Semibold"/>
                                <w:b/>
                                <w:i/>
                                <w:color w:val="1A4796"/>
                                <w:sz w:val="26"/>
                              </w:rPr>
                              <w:t>contribuido</w:t>
                            </w:r>
                            <w:r>
                              <w:rPr>
                                <w:rFonts w:ascii="Segoe UI Semibold" w:hAnsi="Segoe UI Semibold"/>
                                <w:b/>
                                <w:i/>
                                <w:color w:val="1A4796"/>
                                <w:spacing w:val="-17"/>
                                <w:sz w:val="26"/>
                              </w:rPr>
                              <w:t> </w:t>
                            </w:r>
                            <w:r>
                              <w:rPr>
                                <w:rFonts w:ascii="Segoe UI Semibold" w:hAnsi="Segoe UI Semibold"/>
                                <w:b/>
                                <w:i/>
                                <w:color w:val="1A4796"/>
                                <w:sz w:val="26"/>
                              </w:rPr>
                              <w:t>a</w:t>
                            </w:r>
                            <w:r>
                              <w:rPr>
                                <w:rFonts w:ascii="Segoe UI Semibold" w:hAnsi="Segoe UI Semibold"/>
                                <w:b/>
                                <w:i/>
                                <w:color w:val="1A4796"/>
                                <w:spacing w:val="-18"/>
                                <w:sz w:val="26"/>
                              </w:rPr>
                              <w:t> </w:t>
                            </w:r>
                            <w:r>
                              <w:rPr>
                                <w:rFonts w:ascii="Segoe UI Semibold" w:hAnsi="Segoe UI Semibold"/>
                                <w:b/>
                                <w:i/>
                                <w:color w:val="1A4796"/>
                                <w:sz w:val="26"/>
                              </w:rPr>
                              <w:t>poner</w:t>
                            </w:r>
                            <w:r>
                              <w:rPr>
                                <w:rFonts w:ascii="Segoe UI Semibold" w:hAnsi="Segoe UI Semibold"/>
                                <w:b/>
                                <w:i/>
                                <w:color w:val="1A4796"/>
                                <w:spacing w:val="-18"/>
                                <w:sz w:val="26"/>
                              </w:rPr>
                              <w:t> </w:t>
                            </w:r>
                            <w:r>
                              <w:rPr>
                                <w:rFonts w:ascii="Segoe UI Semibold" w:hAnsi="Segoe UI Semibold"/>
                                <w:b/>
                                <w:i/>
                                <w:color w:val="1A4796"/>
                                <w:sz w:val="26"/>
                              </w:rPr>
                              <w:t>fin</w:t>
                            </w:r>
                            <w:r>
                              <w:rPr>
                                <w:rFonts w:ascii="Segoe UI Semibold" w:hAnsi="Segoe UI Semibold"/>
                                <w:b/>
                                <w:i/>
                                <w:color w:val="1A4796"/>
                                <w:spacing w:val="-17"/>
                                <w:sz w:val="26"/>
                              </w:rPr>
                              <w:t> </w:t>
                            </w:r>
                            <w:r>
                              <w:rPr>
                                <w:rFonts w:ascii="Segoe UI Semibold" w:hAnsi="Segoe UI Semibold"/>
                                <w:b/>
                                <w:i/>
                                <w:color w:val="1A4796"/>
                                <w:spacing w:val="-5"/>
                                <w:sz w:val="26"/>
                              </w:rPr>
                              <w:t>al</w:t>
                            </w:r>
                          </w:p>
                          <w:p>
                            <w:pPr>
                              <w:spacing w:line="317" w:lineRule="exact" w:before="0"/>
                              <w:ind w:left="0" w:right="1476" w:firstLine="0"/>
                              <w:jc w:val="right"/>
                              <w:rPr>
                                <w:rFonts w:ascii="Segoe UI Semibold"/>
                                <w:b/>
                                <w:i/>
                                <w:color w:val="000000"/>
                                <w:sz w:val="26"/>
                              </w:rPr>
                            </w:pPr>
                            <w:r>
                              <w:rPr>
                                <w:rFonts w:ascii="Segoe UI Semibold"/>
                                <w:b/>
                                <w:i/>
                                <w:color w:val="1A4796"/>
                                <w:spacing w:val="-2"/>
                                <w:sz w:val="26"/>
                              </w:rPr>
                              <w:t>trato</w:t>
                            </w:r>
                            <w:r>
                              <w:rPr>
                                <w:rFonts w:ascii="Segoe UI Semibold"/>
                                <w:b/>
                                <w:i/>
                                <w:color w:val="1A4796"/>
                                <w:spacing w:val="-13"/>
                                <w:sz w:val="26"/>
                              </w:rPr>
                              <w:t> </w:t>
                            </w:r>
                            <w:r>
                              <w:rPr>
                                <w:rFonts w:ascii="Segoe UI Semibold"/>
                                <w:b/>
                                <w:i/>
                                <w:color w:val="1A4796"/>
                                <w:spacing w:val="-2"/>
                                <w:sz w:val="26"/>
                              </w:rPr>
                              <w:t>discriminatorio</w:t>
                            </w:r>
                            <w:r>
                              <w:rPr>
                                <w:rFonts w:ascii="Segoe UI Semibold"/>
                                <w:b/>
                                <w:i/>
                                <w:color w:val="1A4796"/>
                                <w:spacing w:val="-10"/>
                                <w:sz w:val="26"/>
                              </w:rPr>
                              <w:t> </w:t>
                            </w:r>
                            <w:r>
                              <w:rPr>
                                <w:rFonts w:ascii="Segoe UI Semibold"/>
                                <w:b/>
                                <w:i/>
                                <w:color w:val="1A4796"/>
                                <w:spacing w:val="-2"/>
                                <w:sz w:val="26"/>
                              </w:rPr>
                              <w:t>al</w:t>
                            </w:r>
                            <w:r>
                              <w:rPr>
                                <w:rFonts w:ascii="Segoe UI Semibold"/>
                                <w:b/>
                                <w:i/>
                                <w:color w:val="1A4796"/>
                                <w:spacing w:val="-11"/>
                                <w:sz w:val="26"/>
                              </w:rPr>
                              <w:t> </w:t>
                            </w:r>
                            <w:r>
                              <w:rPr>
                                <w:rFonts w:ascii="Segoe UI Semibold"/>
                                <w:b/>
                                <w:i/>
                                <w:color w:val="1A4796"/>
                                <w:spacing w:val="-2"/>
                                <w:sz w:val="26"/>
                              </w:rPr>
                              <w:t>que</w:t>
                            </w:r>
                            <w:r>
                              <w:rPr>
                                <w:rFonts w:ascii="Segoe UI Semibold"/>
                                <w:b/>
                                <w:i/>
                                <w:color w:val="1A4796"/>
                                <w:spacing w:val="-10"/>
                                <w:sz w:val="26"/>
                              </w:rPr>
                              <w:t> </w:t>
                            </w:r>
                            <w:r>
                              <w:rPr>
                                <w:rFonts w:ascii="Segoe UI Semibold"/>
                                <w:b/>
                                <w:i/>
                                <w:color w:val="1A4796"/>
                                <w:spacing w:val="-2"/>
                                <w:sz w:val="26"/>
                              </w:rPr>
                              <w:t>se</w:t>
                            </w:r>
                            <w:r>
                              <w:rPr>
                                <w:rFonts w:ascii="Segoe UI Semibold"/>
                                <w:b/>
                                <w:i/>
                                <w:color w:val="1A4796"/>
                                <w:spacing w:val="-10"/>
                                <w:sz w:val="26"/>
                              </w:rPr>
                              <w:t> </w:t>
                            </w:r>
                            <w:r>
                              <w:rPr>
                                <w:rFonts w:ascii="Segoe UI Semibold"/>
                                <w:b/>
                                <w:i/>
                                <w:color w:val="1A4796"/>
                                <w:spacing w:val="-2"/>
                                <w:sz w:val="26"/>
                              </w:rPr>
                              <w:t>somete</w:t>
                            </w:r>
                          </w:p>
                          <w:p>
                            <w:pPr>
                              <w:spacing w:line="333" w:lineRule="exact" w:before="0"/>
                              <w:ind w:left="0" w:right="1475" w:firstLine="0"/>
                              <w:jc w:val="right"/>
                              <w:rPr>
                                <w:rFonts w:ascii="Segoe UI Semibold"/>
                                <w:b/>
                                <w:i/>
                                <w:color w:val="000000"/>
                                <w:sz w:val="26"/>
                              </w:rPr>
                            </w:pPr>
                            <w:r>
                              <w:rPr>
                                <w:rFonts w:ascii="Segoe UI Semibold"/>
                                <w:b/>
                                <w:i/>
                                <w:color w:val="1A4796"/>
                                <w:sz w:val="26"/>
                              </w:rPr>
                              <w:t>a</w:t>
                            </w:r>
                            <w:r>
                              <w:rPr>
                                <w:rFonts w:ascii="Segoe UI Semibold"/>
                                <w:b/>
                                <w:i/>
                                <w:color w:val="1A4796"/>
                                <w:spacing w:val="-15"/>
                                <w:sz w:val="26"/>
                              </w:rPr>
                              <w:t> </w:t>
                            </w:r>
                            <w:r>
                              <w:rPr>
                                <w:rFonts w:ascii="Segoe UI Semibold"/>
                                <w:b/>
                                <w:i/>
                                <w:color w:val="1A4796"/>
                                <w:sz w:val="26"/>
                              </w:rPr>
                              <w:t>los</w:t>
                            </w:r>
                            <w:r>
                              <w:rPr>
                                <w:rFonts w:ascii="Segoe UI Semibold"/>
                                <w:b/>
                                <w:i/>
                                <w:color w:val="1A4796"/>
                                <w:spacing w:val="-14"/>
                                <w:sz w:val="26"/>
                              </w:rPr>
                              <w:t> </w:t>
                            </w:r>
                            <w:r>
                              <w:rPr>
                                <w:rFonts w:ascii="Segoe UI Semibold"/>
                                <w:b/>
                                <w:i/>
                                <w:color w:val="1A4796"/>
                                <w:sz w:val="26"/>
                              </w:rPr>
                              <w:t>atletas</w:t>
                            </w:r>
                            <w:r>
                              <w:rPr>
                                <w:rFonts w:ascii="Segoe UI Semibold"/>
                                <w:b/>
                                <w:i/>
                                <w:color w:val="1A4796"/>
                                <w:spacing w:val="-14"/>
                                <w:sz w:val="26"/>
                              </w:rPr>
                              <w:t> </w:t>
                            </w:r>
                            <w:r>
                              <w:rPr>
                                <w:rFonts w:ascii="Segoe UI Semibold"/>
                                <w:b/>
                                <w:i/>
                                <w:color w:val="1A4796"/>
                                <w:spacing w:val="-2"/>
                                <w:sz w:val="26"/>
                              </w:rPr>
                              <w:t>cubanos.</w:t>
                            </w:r>
                          </w:p>
                        </w:txbxContent>
                      </wps:txbx>
                      <wps:bodyPr wrap="square" lIns="0" tIns="0" rIns="0" bIns="0" rtlCol="0">
                        <a:noAutofit/>
                      </wps:bodyPr>
                    </wps:wsp>
                  </a:graphicData>
                </a:graphic>
              </wp:anchor>
            </w:drawing>
          </mc:Choice>
          <mc:Fallback>
            <w:pict>
              <v:shape style="position:absolute;margin-left:289.134003pt;margin-top:13.2655pt;width:306.150pt;height:232pt;mso-position-horizontal-relative:page;mso-position-vertical-relative:paragraph;z-index:-15710208;mso-wrap-distance-left:0;mso-wrap-distance-right:0" type="#_x0000_t202" id="docshape41" filled="true" fillcolor="#e0e2e2" stroked="false">
                <v:textbox inset="0,0,0,0">
                  <w:txbxContent>
                    <w:p>
                      <w:pPr>
                        <w:spacing w:line="220" w:lineRule="auto" w:before="221"/>
                        <w:ind w:left="438" w:right="1472" w:firstLine="446"/>
                        <w:jc w:val="right"/>
                        <w:rPr>
                          <w:rFonts w:ascii="Segoe UI Semibold" w:hAnsi="Segoe UI Semibold"/>
                          <w:b/>
                          <w:i/>
                          <w:color w:val="000000"/>
                          <w:sz w:val="26"/>
                        </w:rPr>
                      </w:pPr>
                      <w:r>
                        <w:rPr>
                          <w:rFonts w:ascii="Segoe UI Semibold" w:hAnsi="Segoe UI Semibold"/>
                          <w:b/>
                          <w:i/>
                          <w:color w:val="1A4796"/>
                          <w:spacing w:val="-2"/>
                          <w:sz w:val="26"/>
                        </w:rPr>
                        <w:t>Cuba</w:t>
                      </w:r>
                      <w:r>
                        <w:rPr>
                          <w:rFonts w:ascii="Segoe UI Semibold" w:hAnsi="Segoe UI Semibold"/>
                          <w:b/>
                          <w:i/>
                          <w:color w:val="1A4796"/>
                          <w:spacing w:val="-16"/>
                          <w:sz w:val="26"/>
                        </w:rPr>
                        <w:t> </w:t>
                      </w:r>
                      <w:r>
                        <w:rPr>
                          <w:rFonts w:ascii="Segoe UI Semibold" w:hAnsi="Segoe UI Semibold"/>
                          <w:b/>
                          <w:i/>
                          <w:color w:val="1A4796"/>
                          <w:spacing w:val="-2"/>
                          <w:sz w:val="26"/>
                        </w:rPr>
                        <w:t>denunció</w:t>
                      </w:r>
                      <w:r>
                        <w:rPr>
                          <w:rFonts w:ascii="Segoe UI Semibold" w:hAnsi="Segoe UI Semibold"/>
                          <w:b/>
                          <w:i/>
                          <w:color w:val="1A4796"/>
                          <w:spacing w:val="-16"/>
                          <w:sz w:val="26"/>
                        </w:rPr>
                        <w:t> </w:t>
                      </w:r>
                      <w:r>
                        <w:rPr>
                          <w:rFonts w:ascii="Segoe UI Semibold" w:hAnsi="Segoe UI Semibold"/>
                          <w:b/>
                          <w:i/>
                          <w:color w:val="1A4796"/>
                          <w:spacing w:val="-2"/>
                          <w:sz w:val="26"/>
                        </w:rPr>
                        <w:t>enérgicamente</w:t>
                      </w:r>
                      <w:r>
                        <w:rPr>
                          <w:rFonts w:ascii="Segoe UI Semibold" w:hAnsi="Segoe UI Semibold"/>
                          <w:b/>
                          <w:i/>
                          <w:color w:val="1A4796"/>
                          <w:spacing w:val="-16"/>
                          <w:sz w:val="26"/>
                        </w:rPr>
                        <w:t> </w:t>
                      </w:r>
                      <w:r>
                        <w:rPr>
                          <w:rFonts w:ascii="Segoe UI Semibold" w:hAnsi="Segoe UI Semibold"/>
                          <w:b/>
                          <w:i/>
                          <w:color w:val="1A4796"/>
                          <w:spacing w:val="-2"/>
                          <w:sz w:val="26"/>
                        </w:rPr>
                        <w:t>la</w:t>
                      </w:r>
                      <w:r>
                        <w:rPr>
                          <w:rFonts w:ascii="Segoe UI Semibold" w:hAnsi="Segoe UI Semibold"/>
                          <w:b/>
                          <w:i/>
                          <w:color w:val="1A4796"/>
                          <w:spacing w:val="-2"/>
                          <w:sz w:val="26"/>
                        </w:rPr>
                        <w:t> </w:t>
                      </w:r>
                      <w:r>
                        <w:rPr>
                          <w:rFonts w:ascii="Segoe UI Semibold" w:hAnsi="Segoe UI Semibold"/>
                          <w:b/>
                          <w:i/>
                          <w:color w:val="1A4796"/>
                          <w:sz w:val="26"/>
                        </w:rPr>
                        <w:t>incitación, por parte de políticos </w:t>
                      </w:r>
                      <w:r>
                        <w:rPr>
                          <w:rFonts w:ascii="Segoe UI Semibold" w:hAnsi="Segoe UI Semibold"/>
                          <w:b/>
                          <w:i/>
                          <w:color w:val="1A4796"/>
                          <w:spacing w:val="-2"/>
                          <w:sz w:val="26"/>
                        </w:rPr>
                        <w:t>locales</w:t>
                      </w:r>
                      <w:r>
                        <w:rPr>
                          <w:rFonts w:ascii="Segoe UI Semibold" w:hAnsi="Segoe UI Semibold"/>
                          <w:b/>
                          <w:i/>
                          <w:color w:val="1A4796"/>
                          <w:spacing w:val="-15"/>
                          <w:sz w:val="26"/>
                        </w:rPr>
                        <w:t> </w:t>
                      </w:r>
                      <w:r>
                        <w:rPr>
                          <w:rFonts w:ascii="Segoe UI Semibold" w:hAnsi="Segoe UI Semibold"/>
                          <w:b/>
                          <w:i/>
                          <w:color w:val="1A4796"/>
                          <w:spacing w:val="-2"/>
                          <w:sz w:val="26"/>
                        </w:rPr>
                        <w:t>y</w:t>
                      </w:r>
                      <w:r>
                        <w:rPr>
                          <w:rFonts w:ascii="Segoe UI Semibold" w:hAnsi="Segoe UI Semibold"/>
                          <w:b/>
                          <w:i/>
                          <w:color w:val="1A4796"/>
                          <w:spacing w:val="-15"/>
                          <w:sz w:val="26"/>
                        </w:rPr>
                        <w:t> </w:t>
                      </w:r>
                      <w:r>
                        <w:rPr>
                          <w:rFonts w:ascii="Segoe UI Semibold" w:hAnsi="Segoe UI Semibold"/>
                          <w:b/>
                          <w:i/>
                          <w:color w:val="1A4796"/>
                          <w:spacing w:val="-2"/>
                          <w:sz w:val="26"/>
                        </w:rPr>
                        <w:t>figuras</w:t>
                      </w:r>
                      <w:r>
                        <w:rPr>
                          <w:rFonts w:ascii="Segoe UI Semibold" w:hAnsi="Segoe UI Semibold"/>
                          <w:b/>
                          <w:i/>
                          <w:color w:val="1A4796"/>
                          <w:spacing w:val="-15"/>
                          <w:sz w:val="26"/>
                        </w:rPr>
                        <w:t> </w:t>
                      </w:r>
                      <w:r>
                        <w:rPr>
                          <w:rFonts w:ascii="Segoe UI Semibold" w:hAnsi="Segoe UI Semibold"/>
                          <w:b/>
                          <w:i/>
                          <w:color w:val="1A4796"/>
                          <w:spacing w:val="-2"/>
                          <w:sz w:val="26"/>
                        </w:rPr>
                        <w:t>que</w:t>
                      </w:r>
                      <w:r>
                        <w:rPr>
                          <w:rFonts w:ascii="Segoe UI Semibold" w:hAnsi="Segoe UI Semibold"/>
                          <w:b/>
                          <w:i/>
                          <w:color w:val="1A4796"/>
                          <w:spacing w:val="-15"/>
                          <w:sz w:val="26"/>
                        </w:rPr>
                        <w:t> </w:t>
                      </w:r>
                      <w:r>
                        <w:rPr>
                          <w:rFonts w:ascii="Segoe UI Semibold" w:hAnsi="Segoe UI Semibold"/>
                          <w:b/>
                          <w:i/>
                          <w:color w:val="1A4796"/>
                          <w:spacing w:val="-2"/>
                          <w:sz w:val="26"/>
                        </w:rPr>
                        <w:t>ostentan</w:t>
                      </w:r>
                      <w:r>
                        <w:rPr>
                          <w:rFonts w:ascii="Segoe UI Semibold" w:hAnsi="Segoe UI Semibold"/>
                          <w:b/>
                          <w:i/>
                          <w:color w:val="1A4796"/>
                          <w:spacing w:val="-15"/>
                          <w:sz w:val="26"/>
                        </w:rPr>
                        <w:t> </w:t>
                      </w:r>
                      <w:r>
                        <w:rPr>
                          <w:rFonts w:ascii="Segoe UI Semibold" w:hAnsi="Segoe UI Semibold"/>
                          <w:b/>
                          <w:i/>
                          <w:color w:val="1A4796"/>
                          <w:spacing w:val="-2"/>
                          <w:sz w:val="26"/>
                        </w:rPr>
                        <w:t>cargos </w:t>
                      </w:r>
                      <w:r>
                        <w:rPr>
                          <w:rFonts w:ascii="Segoe UI Semibold" w:hAnsi="Segoe UI Semibold"/>
                          <w:b/>
                          <w:i/>
                          <w:color w:val="1A4796"/>
                          <w:sz w:val="26"/>
                        </w:rPr>
                        <w:t>públicos, al acoso, la violencia y</w:t>
                      </w:r>
                    </w:p>
                    <w:p>
                      <w:pPr>
                        <w:spacing w:line="220" w:lineRule="auto" w:before="3"/>
                        <w:ind w:left="592" w:right="1473" w:firstLine="501"/>
                        <w:jc w:val="both"/>
                        <w:rPr>
                          <w:rFonts w:ascii="Segoe UI Semibold" w:hAnsi="Segoe UI Semibold"/>
                          <w:b/>
                          <w:i/>
                          <w:color w:val="000000"/>
                          <w:sz w:val="26"/>
                        </w:rPr>
                      </w:pPr>
                      <w:r>
                        <w:rPr>
                          <w:rFonts w:ascii="Segoe UI Semibold" w:hAnsi="Segoe UI Semibold"/>
                          <w:b/>
                          <w:i/>
                          <w:color w:val="1A4796"/>
                          <w:spacing w:val="-2"/>
                          <w:sz w:val="26"/>
                        </w:rPr>
                        <w:t>el</w:t>
                      </w:r>
                      <w:r>
                        <w:rPr>
                          <w:rFonts w:ascii="Segoe UI Semibold" w:hAnsi="Segoe UI Semibold"/>
                          <w:b/>
                          <w:i/>
                          <w:color w:val="1A4796"/>
                          <w:spacing w:val="-14"/>
                          <w:sz w:val="26"/>
                        </w:rPr>
                        <w:t> </w:t>
                      </w:r>
                      <w:r>
                        <w:rPr>
                          <w:rFonts w:ascii="Segoe UI Semibold" w:hAnsi="Segoe UI Semibold"/>
                          <w:b/>
                          <w:i/>
                          <w:color w:val="1A4796"/>
                          <w:spacing w:val="-2"/>
                          <w:sz w:val="26"/>
                        </w:rPr>
                        <w:t>asedio</w:t>
                      </w:r>
                      <w:r>
                        <w:rPr>
                          <w:rFonts w:ascii="Segoe UI Semibold" w:hAnsi="Segoe UI Semibold"/>
                          <w:b/>
                          <w:i/>
                          <w:color w:val="1A4796"/>
                          <w:spacing w:val="-14"/>
                          <w:sz w:val="26"/>
                        </w:rPr>
                        <w:t> </w:t>
                      </w:r>
                      <w:r>
                        <w:rPr>
                          <w:rFonts w:ascii="Segoe UI Semibold" w:hAnsi="Segoe UI Semibold"/>
                          <w:b/>
                          <w:i/>
                          <w:color w:val="1A4796"/>
                          <w:spacing w:val="-2"/>
                          <w:sz w:val="26"/>
                        </w:rPr>
                        <w:t>a</w:t>
                      </w:r>
                      <w:r>
                        <w:rPr>
                          <w:rFonts w:ascii="Segoe UI Semibold" w:hAnsi="Segoe UI Semibold"/>
                          <w:b/>
                          <w:i/>
                          <w:color w:val="1A4796"/>
                          <w:spacing w:val="-14"/>
                          <w:sz w:val="26"/>
                        </w:rPr>
                        <w:t> </w:t>
                      </w:r>
                      <w:r>
                        <w:rPr>
                          <w:rFonts w:ascii="Segoe UI Semibold" w:hAnsi="Segoe UI Semibold"/>
                          <w:b/>
                          <w:i/>
                          <w:color w:val="1A4796"/>
                          <w:spacing w:val="-2"/>
                          <w:sz w:val="26"/>
                        </w:rPr>
                        <w:t>los</w:t>
                      </w:r>
                      <w:r>
                        <w:rPr>
                          <w:rFonts w:ascii="Segoe UI Semibold" w:hAnsi="Segoe UI Semibold"/>
                          <w:b/>
                          <w:i/>
                          <w:color w:val="1A4796"/>
                          <w:spacing w:val="-14"/>
                          <w:sz w:val="26"/>
                        </w:rPr>
                        <w:t> </w:t>
                      </w:r>
                      <w:r>
                        <w:rPr>
                          <w:rFonts w:ascii="Segoe UI Semibold" w:hAnsi="Segoe UI Semibold"/>
                          <w:b/>
                          <w:i/>
                          <w:color w:val="1A4796"/>
                          <w:spacing w:val="-2"/>
                          <w:sz w:val="26"/>
                        </w:rPr>
                        <w:t>deportistas.</w:t>
                      </w:r>
                      <w:r>
                        <w:rPr>
                          <w:rFonts w:ascii="Segoe UI Semibold" w:hAnsi="Segoe UI Semibold"/>
                          <w:b/>
                          <w:i/>
                          <w:color w:val="1A4796"/>
                          <w:spacing w:val="-14"/>
                          <w:sz w:val="26"/>
                        </w:rPr>
                        <w:t> </w:t>
                      </w:r>
                      <w:r>
                        <w:rPr>
                          <w:rFonts w:ascii="Segoe UI Semibold" w:hAnsi="Segoe UI Semibold"/>
                          <w:b/>
                          <w:i/>
                          <w:color w:val="1A4796"/>
                          <w:spacing w:val="-2"/>
                          <w:sz w:val="26"/>
                        </w:rPr>
                        <w:t>Esos</w:t>
                      </w:r>
                      <w:r>
                        <w:rPr>
                          <w:rFonts w:ascii="Segoe UI Semibold" w:hAnsi="Segoe UI Semibold"/>
                          <w:b/>
                          <w:i/>
                          <w:color w:val="1A4796"/>
                          <w:spacing w:val="-2"/>
                          <w:sz w:val="26"/>
                        </w:rPr>
                        <w:t> </w:t>
                      </w:r>
                      <w:r>
                        <w:rPr>
                          <w:rFonts w:ascii="Segoe UI Semibold" w:hAnsi="Segoe UI Semibold"/>
                          <w:b/>
                          <w:i/>
                          <w:color w:val="1A4796"/>
                          <w:sz w:val="26"/>
                        </w:rPr>
                        <w:t>mismos sectores fueron los que en 2018 sabotearon el acuerdo entre</w:t>
                      </w:r>
                      <w:r>
                        <w:rPr>
                          <w:rFonts w:ascii="Segoe UI Semibold" w:hAnsi="Segoe UI Semibold"/>
                          <w:b/>
                          <w:i/>
                          <w:color w:val="1A4796"/>
                          <w:sz w:val="26"/>
                        </w:rPr>
                        <w:t> la Federación Cubana de Béisbol y la</w:t>
                      </w:r>
                      <w:r>
                        <w:rPr>
                          <w:rFonts w:ascii="Segoe UI Semibold" w:hAnsi="Segoe UI Semibold"/>
                          <w:b/>
                          <w:i/>
                          <w:color w:val="1A4796"/>
                          <w:spacing w:val="-18"/>
                          <w:sz w:val="26"/>
                        </w:rPr>
                        <w:t> </w:t>
                      </w:r>
                      <w:r>
                        <w:rPr>
                          <w:rFonts w:ascii="Segoe UI Semibold" w:hAnsi="Segoe UI Semibold"/>
                          <w:b/>
                          <w:i/>
                          <w:color w:val="1A4796"/>
                          <w:sz w:val="26"/>
                        </w:rPr>
                        <w:t>MLB,</w:t>
                      </w:r>
                      <w:r>
                        <w:rPr>
                          <w:rFonts w:ascii="Segoe UI Semibold" w:hAnsi="Segoe UI Semibold"/>
                          <w:b/>
                          <w:i/>
                          <w:color w:val="1A4796"/>
                          <w:spacing w:val="-18"/>
                          <w:sz w:val="26"/>
                        </w:rPr>
                        <w:t> </w:t>
                      </w:r>
                      <w:r>
                        <w:rPr>
                          <w:rFonts w:ascii="Segoe UI Semibold" w:hAnsi="Segoe UI Semibold"/>
                          <w:b/>
                          <w:i/>
                          <w:color w:val="1A4796"/>
                          <w:sz w:val="26"/>
                        </w:rPr>
                        <w:t>que</w:t>
                      </w:r>
                      <w:r>
                        <w:rPr>
                          <w:rFonts w:ascii="Segoe UI Semibold" w:hAnsi="Segoe UI Semibold"/>
                          <w:b/>
                          <w:i/>
                          <w:color w:val="1A4796"/>
                          <w:spacing w:val="-18"/>
                          <w:sz w:val="26"/>
                        </w:rPr>
                        <w:t> </w:t>
                      </w:r>
                      <w:r>
                        <w:rPr>
                          <w:rFonts w:ascii="Segoe UI Semibold" w:hAnsi="Segoe UI Semibold"/>
                          <w:b/>
                          <w:i/>
                          <w:color w:val="1A4796"/>
                          <w:sz w:val="26"/>
                        </w:rPr>
                        <w:t>habría</w:t>
                      </w:r>
                      <w:r>
                        <w:rPr>
                          <w:rFonts w:ascii="Segoe UI Semibold" w:hAnsi="Segoe UI Semibold"/>
                          <w:b/>
                          <w:i/>
                          <w:color w:val="1A4796"/>
                          <w:spacing w:val="-18"/>
                          <w:sz w:val="26"/>
                        </w:rPr>
                        <w:t> </w:t>
                      </w:r>
                      <w:r>
                        <w:rPr>
                          <w:rFonts w:ascii="Segoe UI Semibold" w:hAnsi="Segoe UI Semibold"/>
                          <w:b/>
                          <w:i/>
                          <w:color w:val="1A4796"/>
                          <w:sz w:val="26"/>
                        </w:rPr>
                        <w:t>sido</w:t>
                      </w:r>
                      <w:r>
                        <w:rPr>
                          <w:rFonts w:ascii="Segoe UI Semibold" w:hAnsi="Segoe UI Semibold"/>
                          <w:b/>
                          <w:i/>
                          <w:color w:val="1A4796"/>
                          <w:spacing w:val="-18"/>
                          <w:sz w:val="26"/>
                        </w:rPr>
                        <w:t> </w:t>
                      </w:r>
                      <w:r>
                        <w:rPr>
                          <w:rFonts w:ascii="Segoe UI Semibold" w:hAnsi="Segoe UI Semibold"/>
                          <w:b/>
                          <w:i/>
                          <w:color w:val="1A4796"/>
                          <w:sz w:val="26"/>
                        </w:rPr>
                        <w:t>beneficioso para todas las partes involucradas y</w:t>
                      </w:r>
                      <w:r>
                        <w:rPr>
                          <w:rFonts w:ascii="Segoe UI Semibold" w:hAnsi="Segoe UI Semibold"/>
                          <w:b/>
                          <w:i/>
                          <w:color w:val="1A4796"/>
                          <w:spacing w:val="-18"/>
                          <w:sz w:val="26"/>
                        </w:rPr>
                        <w:t> </w:t>
                      </w:r>
                      <w:r>
                        <w:rPr>
                          <w:rFonts w:ascii="Segoe UI Semibold" w:hAnsi="Segoe UI Semibold"/>
                          <w:b/>
                          <w:i/>
                          <w:color w:val="1A4796"/>
                          <w:sz w:val="26"/>
                        </w:rPr>
                        <w:t>hubiese</w:t>
                      </w:r>
                      <w:r>
                        <w:rPr>
                          <w:rFonts w:ascii="Segoe UI Semibold" w:hAnsi="Segoe UI Semibold"/>
                          <w:b/>
                          <w:i/>
                          <w:color w:val="1A4796"/>
                          <w:spacing w:val="-18"/>
                          <w:sz w:val="26"/>
                        </w:rPr>
                        <w:t> </w:t>
                      </w:r>
                      <w:r>
                        <w:rPr>
                          <w:rFonts w:ascii="Segoe UI Semibold" w:hAnsi="Segoe UI Semibold"/>
                          <w:b/>
                          <w:i/>
                          <w:color w:val="1A4796"/>
                          <w:sz w:val="26"/>
                        </w:rPr>
                        <w:t>contribuido</w:t>
                      </w:r>
                      <w:r>
                        <w:rPr>
                          <w:rFonts w:ascii="Segoe UI Semibold" w:hAnsi="Segoe UI Semibold"/>
                          <w:b/>
                          <w:i/>
                          <w:color w:val="1A4796"/>
                          <w:spacing w:val="-17"/>
                          <w:sz w:val="26"/>
                        </w:rPr>
                        <w:t> </w:t>
                      </w:r>
                      <w:r>
                        <w:rPr>
                          <w:rFonts w:ascii="Segoe UI Semibold" w:hAnsi="Segoe UI Semibold"/>
                          <w:b/>
                          <w:i/>
                          <w:color w:val="1A4796"/>
                          <w:sz w:val="26"/>
                        </w:rPr>
                        <w:t>a</w:t>
                      </w:r>
                      <w:r>
                        <w:rPr>
                          <w:rFonts w:ascii="Segoe UI Semibold" w:hAnsi="Segoe UI Semibold"/>
                          <w:b/>
                          <w:i/>
                          <w:color w:val="1A4796"/>
                          <w:spacing w:val="-18"/>
                          <w:sz w:val="26"/>
                        </w:rPr>
                        <w:t> </w:t>
                      </w:r>
                      <w:r>
                        <w:rPr>
                          <w:rFonts w:ascii="Segoe UI Semibold" w:hAnsi="Segoe UI Semibold"/>
                          <w:b/>
                          <w:i/>
                          <w:color w:val="1A4796"/>
                          <w:sz w:val="26"/>
                        </w:rPr>
                        <w:t>poner</w:t>
                      </w:r>
                      <w:r>
                        <w:rPr>
                          <w:rFonts w:ascii="Segoe UI Semibold" w:hAnsi="Segoe UI Semibold"/>
                          <w:b/>
                          <w:i/>
                          <w:color w:val="1A4796"/>
                          <w:spacing w:val="-18"/>
                          <w:sz w:val="26"/>
                        </w:rPr>
                        <w:t> </w:t>
                      </w:r>
                      <w:r>
                        <w:rPr>
                          <w:rFonts w:ascii="Segoe UI Semibold" w:hAnsi="Segoe UI Semibold"/>
                          <w:b/>
                          <w:i/>
                          <w:color w:val="1A4796"/>
                          <w:sz w:val="26"/>
                        </w:rPr>
                        <w:t>fin</w:t>
                      </w:r>
                      <w:r>
                        <w:rPr>
                          <w:rFonts w:ascii="Segoe UI Semibold" w:hAnsi="Segoe UI Semibold"/>
                          <w:b/>
                          <w:i/>
                          <w:color w:val="1A4796"/>
                          <w:spacing w:val="-17"/>
                          <w:sz w:val="26"/>
                        </w:rPr>
                        <w:t> </w:t>
                      </w:r>
                      <w:r>
                        <w:rPr>
                          <w:rFonts w:ascii="Segoe UI Semibold" w:hAnsi="Segoe UI Semibold"/>
                          <w:b/>
                          <w:i/>
                          <w:color w:val="1A4796"/>
                          <w:spacing w:val="-5"/>
                          <w:sz w:val="26"/>
                        </w:rPr>
                        <w:t>al</w:t>
                      </w:r>
                    </w:p>
                    <w:p>
                      <w:pPr>
                        <w:spacing w:line="317" w:lineRule="exact" w:before="0"/>
                        <w:ind w:left="0" w:right="1476" w:firstLine="0"/>
                        <w:jc w:val="right"/>
                        <w:rPr>
                          <w:rFonts w:ascii="Segoe UI Semibold"/>
                          <w:b/>
                          <w:i/>
                          <w:color w:val="000000"/>
                          <w:sz w:val="26"/>
                        </w:rPr>
                      </w:pPr>
                      <w:r>
                        <w:rPr>
                          <w:rFonts w:ascii="Segoe UI Semibold"/>
                          <w:b/>
                          <w:i/>
                          <w:color w:val="1A4796"/>
                          <w:spacing w:val="-2"/>
                          <w:sz w:val="26"/>
                        </w:rPr>
                        <w:t>trato</w:t>
                      </w:r>
                      <w:r>
                        <w:rPr>
                          <w:rFonts w:ascii="Segoe UI Semibold"/>
                          <w:b/>
                          <w:i/>
                          <w:color w:val="1A4796"/>
                          <w:spacing w:val="-13"/>
                          <w:sz w:val="26"/>
                        </w:rPr>
                        <w:t> </w:t>
                      </w:r>
                      <w:r>
                        <w:rPr>
                          <w:rFonts w:ascii="Segoe UI Semibold"/>
                          <w:b/>
                          <w:i/>
                          <w:color w:val="1A4796"/>
                          <w:spacing w:val="-2"/>
                          <w:sz w:val="26"/>
                        </w:rPr>
                        <w:t>discriminatorio</w:t>
                      </w:r>
                      <w:r>
                        <w:rPr>
                          <w:rFonts w:ascii="Segoe UI Semibold"/>
                          <w:b/>
                          <w:i/>
                          <w:color w:val="1A4796"/>
                          <w:spacing w:val="-10"/>
                          <w:sz w:val="26"/>
                        </w:rPr>
                        <w:t> </w:t>
                      </w:r>
                      <w:r>
                        <w:rPr>
                          <w:rFonts w:ascii="Segoe UI Semibold"/>
                          <w:b/>
                          <w:i/>
                          <w:color w:val="1A4796"/>
                          <w:spacing w:val="-2"/>
                          <w:sz w:val="26"/>
                        </w:rPr>
                        <w:t>al</w:t>
                      </w:r>
                      <w:r>
                        <w:rPr>
                          <w:rFonts w:ascii="Segoe UI Semibold"/>
                          <w:b/>
                          <w:i/>
                          <w:color w:val="1A4796"/>
                          <w:spacing w:val="-11"/>
                          <w:sz w:val="26"/>
                        </w:rPr>
                        <w:t> </w:t>
                      </w:r>
                      <w:r>
                        <w:rPr>
                          <w:rFonts w:ascii="Segoe UI Semibold"/>
                          <w:b/>
                          <w:i/>
                          <w:color w:val="1A4796"/>
                          <w:spacing w:val="-2"/>
                          <w:sz w:val="26"/>
                        </w:rPr>
                        <w:t>que</w:t>
                      </w:r>
                      <w:r>
                        <w:rPr>
                          <w:rFonts w:ascii="Segoe UI Semibold"/>
                          <w:b/>
                          <w:i/>
                          <w:color w:val="1A4796"/>
                          <w:spacing w:val="-10"/>
                          <w:sz w:val="26"/>
                        </w:rPr>
                        <w:t> </w:t>
                      </w:r>
                      <w:r>
                        <w:rPr>
                          <w:rFonts w:ascii="Segoe UI Semibold"/>
                          <w:b/>
                          <w:i/>
                          <w:color w:val="1A4796"/>
                          <w:spacing w:val="-2"/>
                          <w:sz w:val="26"/>
                        </w:rPr>
                        <w:t>se</w:t>
                      </w:r>
                      <w:r>
                        <w:rPr>
                          <w:rFonts w:ascii="Segoe UI Semibold"/>
                          <w:b/>
                          <w:i/>
                          <w:color w:val="1A4796"/>
                          <w:spacing w:val="-10"/>
                          <w:sz w:val="26"/>
                        </w:rPr>
                        <w:t> </w:t>
                      </w:r>
                      <w:r>
                        <w:rPr>
                          <w:rFonts w:ascii="Segoe UI Semibold"/>
                          <w:b/>
                          <w:i/>
                          <w:color w:val="1A4796"/>
                          <w:spacing w:val="-2"/>
                          <w:sz w:val="26"/>
                        </w:rPr>
                        <w:t>somete</w:t>
                      </w:r>
                    </w:p>
                    <w:p>
                      <w:pPr>
                        <w:spacing w:line="333" w:lineRule="exact" w:before="0"/>
                        <w:ind w:left="0" w:right="1475" w:firstLine="0"/>
                        <w:jc w:val="right"/>
                        <w:rPr>
                          <w:rFonts w:ascii="Segoe UI Semibold"/>
                          <w:b/>
                          <w:i/>
                          <w:color w:val="000000"/>
                          <w:sz w:val="26"/>
                        </w:rPr>
                      </w:pPr>
                      <w:r>
                        <w:rPr>
                          <w:rFonts w:ascii="Segoe UI Semibold"/>
                          <w:b/>
                          <w:i/>
                          <w:color w:val="1A4796"/>
                          <w:sz w:val="26"/>
                        </w:rPr>
                        <w:t>a</w:t>
                      </w:r>
                      <w:r>
                        <w:rPr>
                          <w:rFonts w:ascii="Segoe UI Semibold"/>
                          <w:b/>
                          <w:i/>
                          <w:color w:val="1A4796"/>
                          <w:spacing w:val="-15"/>
                          <w:sz w:val="26"/>
                        </w:rPr>
                        <w:t> </w:t>
                      </w:r>
                      <w:r>
                        <w:rPr>
                          <w:rFonts w:ascii="Segoe UI Semibold"/>
                          <w:b/>
                          <w:i/>
                          <w:color w:val="1A4796"/>
                          <w:sz w:val="26"/>
                        </w:rPr>
                        <w:t>los</w:t>
                      </w:r>
                      <w:r>
                        <w:rPr>
                          <w:rFonts w:ascii="Segoe UI Semibold"/>
                          <w:b/>
                          <w:i/>
                          <w:color w:val="1A4796"/>
                          <w:spacing w:val="-14"/>
                          <w:sz w:val="26"/>
                        </w:rPr>
                        <w:t> </w:t>
                      </w:r>
                      <w:r>
                        <w:rPr>
                          <w:rFonts w:ascii="Segoe UI Semibold"/>
                          <w:b/>
                          <w:i/>
                          <w:color w:val="1A4796"/>
                          <w:sz w:val="26"/>
                        </w:rPr>
                        <w:t>atletas</w:t>
                      </w:r>
                      <w:r>
                        <w:rPr>
                          <w:rFonts w:ascii="Segoe UI Semibold"/>
                          <w:b/>
                          <w:i/>
                          <w:color w:val="1A4796"/>
                          <w:spacing w:val="-14"/>
                          <w:sz w:val="26"/>
                        </w:rPr>
                        <w:t> </w:t>
                      </w:r>
                      <w:r>
                        <w:rPr>
                          <w:rFonts w:ascii="Segoe UI Semibold"/>
                          <w:b/>
                          <w:i/>
                          <w:color w:val="1A4796"/>
                          <w:spacing w:val="-2"/>
                          <w:sz w:val="26"/>
                        </w:rPr>
                        <w:t>cubanos.</w:t>
                      </w:r>
                    </w:p>
                  </w:txbxContent>
                </v:textbox>
                <v:fill type="solid"/>
                <w10:wrap type="topAndBottom"/>
              </v:shape>
            </w:pict>
          </mc:Fallback>
        </mc:AlternateContent>
      </w:r>
    </w:p>
    <w:p>
      <w:pPr>
        <w:pStyle w:val="BodyText"/>
        <w:spacing w:before="221"/>
        <w:ind w:left="412" w:right="1477"/>
      </w:pPr>
      <w:r>
        <w:rPr>
          <w:color w:val="231F20"/>
          <w:spacing w:val="-14"/>
        </w:rPr>
        <w:t>Desde</w:t>
      </w:r>
      <w:r>
        <w:rPr>
          <w:color w:val="231F20"/>
          <w:spacing w:val="-3"/>
        </w:rPr>
        <w:t> </w:t>
      </w:r>
      <w:r>
        <w:rPr>
          <w:color w:val="231F20"/>
          <w:spacing w:val="-14"/>
        </w:rPr>
        <w:t>mucho</w:t>
      </w:r>
      <w:r>
        <w:rPr>
          <w:color w:val="231F20"/>
          <w:spacing w:val="-2"/>
        </w:rPr>
        <w:t> </w:t>
      </w:r>
      <w:r>
        <w:rPr>
          <w:color w:val="231F20"/>
          <w:spacing w:val="-14"/>
        </w:rPr>
        <w:t>antes</w:t>
      </w:r>
      <w:r>
        <w:rPr>
          <w:color w:val="231F20"/>
          <w:spacing w:val="-3"/>
        </w:rPr>
        <w:t> </w:t>
      </w:r>
      <w:r>
        <w:rPr>
          <w:color w:val="231F20"/>
          <w:spacing w:val="-14"/>
        </w:rPr>
        <w:t>del</w:t>
      </w:r>
      <w:r>
        <w:rPr>
          <w:color w:val="231F20"/>
          <w:spacing w:val="-2"/>
        </w:rPr>
        <w:t> </w:t>
      </w:r>
      <w:r>
        <w:rPr>
          <w:color w:val="231F20"/>
          <w:spacing w:val="-14"/>
        </w:rPr>
        <w:t>inicio</w:t>
      </w:r>
      <w:r>
        <w:rPr>
          <w:color w:val="231F20"/>
          <w:spacing w:val="-3"/>
        </w:rPr>
        <w:t> </w:t>
      </w:r>
      <w:r>
        <w:rPr>
          <w:color w:val="231F20"/>
          <w:spacing w:val="-14"/>
        </w:rPr>
        <w:t>del</w:t>
      </w:r>
      <w:r>
        <w:rPr>
          <w:color w:val="231F20"/>
          <w:spacing w:val="-2"/>
        </w:rPr>
        <w:t> </w:t>
      </w:r>
      <w:r>
        <w:rPr>
          <w:color w:val="231F20"/>
          <w:spacing w:val="-14"/>
        </w:rPr>
        <w:t>campeonato, </w:t>
      </w:r>
      <w:r>
        <w:rPr>
          <w:color w:val="231F20"/>
        </w:rPr>
        <w:t>el equipo cubano tuvo que enfrentar un </w:t>
      </w:r>
      <w:r>
        <w:rPr>
          <w:color w:val="231F20"/>
          <w:spacing w:val="-8"/>
        </w:rPr>
        <w:t>complejo</w:t>
      </w:r>
      <w:r>
        <w:rPr>
          <w:color w:val="231F20"/>
          <w:spacing w:val="-9"/>
        </w:rPr>
        <w:t> </w:t>
      </w:r>
      <w:r>
        <w:rPr>
          <w:color w:val="231F20"/>
          <w:spacing w:val="-8"/>
        </w:rPr>
        <w:t>y discriminatorio</w:t>
      </w:r>
      <w:r>
        <w:rPr>
          <w:color w:val="231F20"/>
          <w:spacing w:val="-9"/>
        </w:rPr>
        <w:t> </w:t>
      </w:r>
      <w:r>
        <w:rPr>
          <w:color w:val="231F20"/>
          <w:spacing w:val="-8"/>
        </w:rPr>
        <w:t>proceso en</w:t>
      </w:r>
      <w:r>
        <w:rPr>
          <w:color w:val="231F20"/>
          <w:spacing w:val="-9"/>
        </w:rPr>
        <w:t> </w:t>
      </w:r>
      <w:r>
        <w:rPr>
          <w:color w:val="231F20"/>
          <w:spacing w:val="-8"/>
        </w:rPr>
        <w:t>el que </w:t>
      </w:r>
      <w:r>
        <w:rPr>
          <w:color w:val="231F20"/>
          <w:spacing w:val="-4"/>
        </w:rPr>
        <w:t>las</w:t>
      </w:r>
      <w:r>
        <w:rPr>
          <w:color w:val="231F20"/>
          <w:spacing w:val="-13"/>
        </w:rPr>
        <w:t> </w:t>
      </w:r>
      <w:r>
        <w:rPr>
          <w:color w:val="231F20"/>
          <w:spacing w:val="-4"/>
        </w:rPr>
        <w:t>autoridades</w:t>
      </w:r>
      <w:r>
        <w:rPr>
          <w:color w:val="231F20"/>
          <w:spacing w:val="-12"/>
        </w:rPr>
        <w:t> </w:t>
      </w:r>
      <w:r>
        <w:rPr>
          <w:color w:val="231F20"/>
          <w:spacing w:val="-4"/>
        </w:rPr>
        <w:t>de</w:t>
      </w:r>
      <w:r>
        <w:rPr>
          <w:color w:val="231F20"/>
          <w:spacing w:val="-13"/>
        </w:rPr>
        <w:t> </w:t>
      </w:r>
      <w:r>
        <w:rPr>
          <w:color w:val="231F20"/>
          <w:spacing w:val="-4"/>
        </w:rPr>
        <w:t>la</w:t>
      </w:r>
      <w:r>
        <w:rPr>
          <w:color w:val="231F20"/>
          <w:spacing w:val="-12"/>
        </w:rPr>
        <w:t> </w:t>
      </w:r>
      <w:r>
        <w:rPr>
          <w:color w:val="231F20"/>
          <w:spacing w:val="-4"/>
        </w:rPr>
        <w:t>MLB</w:t>
      </w:r>
      <w:r>
        <w:rPr>
          <w:color w:val="231F20"/>
          <w:spacing w:val="-12"/>
        </w:rPr>
        <w:t> </w:t>
      </w:r>
      <w:r>
        <w:rPr>
          <w:color w:val="231F20"/>
          <w:spacing w:val="-4"/>
        </w:rPr>
        <w:t>debieron</w:t>
      </w:r>
      <w:r>
        <w:rPr>
          <w:color w:val="231F20"/>
          <w:spacing w:val="-12"/>
        </w:rPr>
        <w:t> </w:t>
      </w:r>
      <w:r>
        <w:rPr>
          <w:color w:val="231F20"/>
          <w:spacing w:val="-4"/>
        </w:rPr>
        <w:t>solicitar </w:t>
      </w:r>
      <w:r>
        <w:rPr>
          <w:color w:val="231F20"/>
        </w:rPr>
        <w:t>y recibir, con demora, la autorización de </w:t>
      </w:r>
      <w:r>
        <w:rPr>
          <w:color w:val="231F20"/>
          <w:spacing w:val="-4"/>
        </w:rPr>
        <w:t>licencias</w:t>
      </w:r>
      <w:r>
        <w:rPr>
          <w:color w:val="231F20"/>
          <w:spacing w:val="-12"/>
        </w:rPr>
        <w:t> </w:t>
      </w:r>
      <w:r>
        <w:rPr>
          <w:color w:val="231F20"/>
          <w:spacing w:val="-4"/>
        </w:rPr>
        <w:t>de</w:t>
      </w:r>
      <w:r>
        <w:rPr>
          <w:color w:val="231F20"/>
          <w:spacing w:val="-12"/>
        </w:rPr>
        <w:t> </w:t>
      </w:r>
      <w:r>
        <w:rPr>
          <w:color w:val="231F20"/>
          <w:spacing w:val="-4"/>
        </w:rPr>
        <w:t>la</w:t>
      </w:r>
      <w:r>
        <w:rPr>
          <w:color w:val="231F20"/>
          <w:spacing w:val="-12"/>
        </w:rPr>
        <w:t> </w:t>
      </w:r>
      <w:r>
        <w:rPr>
          <w:color w:val="231F20"/>
          <w:spacing w:val="-4"/>
        </w:rPr>
        <w:t>Oficina</w:t>
      </w:r>
      <w:r>
        <w:rPr>
          <w:color w:val="231F20"/>
          <w:spacing w:val="-12"/>
        </w:rPr>
        <w:t> </w:t>
      </w:r>
      <w:r>
        <w:rPr>
          <w:color w:val="231F20"/>
          <w:spacing w:val="-4"/>
        </w:rPr>
        <w:t>de</w:t>
      </w:r>
      <w:r>
        <w:rPr>
          <w:color w:val="231F20"/>
          <w:spacing w:val="-12"/>
        </w:rPr>
        <w:t> </w:t>
      </w:r>
      <w:r>
        <w:rPr>
          <w:color w:val="231F20"/>
          <w:spacing w:val="-4"/>
        </w:rPr>
        <w:t>Control</w:t>
      </w:r>
      <w:r>
        <w:rPr>
          <w:color w:val="231F20"/>
          <w:spacing w:val="-12"/>
        </w:rPr>
        <w:t> </w:t>
      </w:r>
      <w:r>
        <w:rPr>
          <w:color w:val="231F20"/>
          <w:spacing w:val="-4"/>
        </w:rPr>
        <w:t>de</w:t>
      </w:r>
      <w:r>
        <w:rPr>
          <w:color w:val="231F20"/>
          <w:spacing w:val="-12"/>
        </w:rPr>
        <w:t> </w:t>
      </w:r>
      <w:r>
        <w:rPr>
          <w:color w:val="231F20"/>
          <w:spacing w:val="-4"/>
        </w:rPr>
        <w:t>Activos </w:t>
      </w:r>
      <w:r>
        <w:rPr>
          <w:color w:val="231F20"/>
        </w:rPr>
        <w:t>Extranjeros del Departamento del Tesoro </w:t>
      </w:r>
      <w:r>
        <w:rPr>
          <w:color w:val="231F20"/>
          <w:spacing w:val="-2"/>
        </w:rPr>
        <w:t>de</w:t>
      </w:r>
      <w:r>
        <w:rPr>
          <w:color w:val="231F20"/>
          <w:spacing w:val="-15"/>
        </w:rPr>
        <w:t> </w:t>
      </w:r>
      <w:r>
        <w:rPr>
          <w:color w:val="231F20"/>
          <w:spacing w:val="-2"/>
        </w:rPr>
        <w:t>Estados</w:t>
      </w:r>
      <w:r>
        <w:rPr>
          <w:color w:val="231F20"/>
          <w:spacing w:val="-14"/>
        </w:rPr>
        <w:t> </w:t>
      </w:r>
      <w:r>
        <w:rPr>
          <w:color w:val="231F20"/>
          <w:spacing w:val="-2"/>
        </w:rPr>
        <w:t>Unidos.</w:t>
      </w:r>
      <w:r>
        <w:rPr>
          <w:color w:val="231F20"/>
          <w:spacing w:val="-15"/>
        </w:rPr>
        <w:t> </w:t>
      </w:r>
      <w:r>
        <w:rPr>
          <w:color w:val="231F20"/>
          <w:spacing w:val="-2"/>
        </w:rPr>
        <w:t>Este</w:t>
      </w:r>
      <w:r>
        <w:rPr>
          <w:color w:val="231F20"/>
          <w:spacing w:val="-14"/>
        </w:rPr>
        <w:t> </w:t>
      </w:r>
      <w:r>
        <w:rPr>
          <w:color w:val="231F20"/>
          <w:spacing w:val="-2"/>
        </w:rPr>
        <w:t>proceso</w:t>
      </w:r>
      <w:r>
        <w:rPr>
          <w:color w:val="231F20"/>
          <w:spacing w:val="-15"/>
        </w:rPr>
        <w:t> </w:t>
      </w:r>
      <w:r>
        <w:rPr>
          <w:color w:val="231F20"/>
          <w:spacing w:val="-2"/>
        </w:rPr>
        <w:t>incluyó</w:t>
      </w:r>
      <w:r>
        <w:rPr>
          <w:color w:val="231F20"/>
          <w:spacing w:val="-14"/>
        </w:rPr>
        <w:t> </w:t>
      </w:r>
      <w:r>
        <w:rPr>
          <w:color w:val="231F20"/>
          <w:spacing w:val="-2"/>
        </w:rPr>
        <w:t>un </w:t>
      </w:r>
      <w:r>
        <w:rPr>
          <w:color w:val="231F20"/>
          <w:spacing w:val="-4"/>
        </w:rPr>
        <w:t>permiso</w:t>
      </w:r>
      <w:r>
        <w:rPr>
          <w:color w:val="231F20"/>
          <w:spacing w:val="-9"/>
        </w:rPr>
        <w:t> </w:t>
      </w:r>
      <w:r>
        <w:rPr>
          <w:color w:val="231F20"/>
          <w:spacing w:val="-4"/>
        </w:rPr>
        <w:t>especial</w:t>
      </w:r>
      <w:r>
        <w:rPr>
          <w:color w:val="231F20"/>
          <w:spacing w:val="-9"/>
        </w:rPr>
        <w:t> </w:t>
      </w:r>
      <w:r>
        <w:rPr>
          <w:color w:val="231F20"/>
          <w:spacing w:val="-4"/>
        </w:rPr>
        <w:t>para</w:t>
      </w:r>
      <w:r>
        <w:rPr>
          <w:color w:val="231F20"/>
          <w:spacing w:val="-9"/>
        </w:rPr>
        <w:t> </w:t>
      </w:r>
      <w:r>
        <w:rPr>
          <w:color w:val="231F20"/>
          <w:spacing w:val="-4"/>
        </w:rPr>
        <w:t>que</w:t>
      </w:r>
      <w:r>
        <w:rPr>
          <w:color w:val="231F20"/>
          <w:spacing w:val="-9"/>
        </w:rPr>
        <w:t> </w:t>
      </w:r>
      <w:r>
        <w:rPr>
          <w:color w:val="231F20"/>
          <w:spacing w:val="-4"/>
        </w:rPr>
        <w:t>Cuba</w:t>
      </w:r>
      <w:r>
        <w:rPr>
          <w:color w:val="231F20"/>
          <w:spacing w:val="-9"/>
        </w:rPr>
        <w:t> </w:t>
      </w:r>
      <w:r>
        <w:rPr>
          <w:color w:val="231F20"/>
          <w:spacing w:val="-4"/>
        </w:rPr>
        <w:t>participara </w:t>
      </w:r>
      <w:r>
        <w:rPr>
          <w:color w:val="231F20"/>
        </w:rPr>
        <w:t>en el evento, otro posterior para que se </w:t>
      </w:r>
      <w:r>
        <w:rPr>
          <w:color w:val="231F20"/>
          <w:spacing w:val="-6"/>
        </w:rPr>
        <w:t>incorporaran</w:t>
      </w:r>
      <w:r>
        <w:rPr>
          <w:color w:val="231F20"/>
          <w:spacing w:val="-11"/>
        </w:rPr>
        <w:t> </w:t>
      </w:r>
      <w:r>
        <w:rPr>
          <w:color w:val="231F20"/>
          <w:spacing w:val="-6"/>
        </w:rPr>
        <w:t>jugadores</w:t>
      </w:r>
      <w:r>
        <w:rPr>
          <w:color w:val="231F20"/>
          <w:spacing w:val="-10"/>
        </w:rPr>
        <w:t> </w:t>
      </w:r>
      <w:r>
        <w:rPr>
          <w:color w:val="231F20"/>
          <w:spacing w:val="-6"/>
        </w:rPr>
        <w:t>cubanos</w:t>
      </w:r>
      <w:r>
        <w:rPr>
          <w:color w:val="231F20"/>
          <w:spacing w:val="-11"/>
        </w:rPr>
        <w:t> </w:t>
      </w:r>
      <w:r>
        <w:rPr>
          <w:color w:val="231F20"/>
          <w:spacing w:val="-6"/>
        </w:rPr>
        <w:t>del</w:t>
      </w:r>
      <w:r>
        <w:rPr>
          <w:color w:val="231F20"/>
          <w:spacing w:val="-10"/>
        </w:rPr>
        <w:t> </w:t>
      </w:r>
      <w:r>
        <w:rPr>
          <w:color w:val="231F20"/>
          <w:spacing w:val="-6"/>
        </w:rPr>
        <w:t>circuito </w:t>
      </w:r>
      <w:r>
        <w:rPr>
          <w:color w:val="231F20"/>
        </w:rPr>
        <w:t>de</w:t>
      </w:r>
      <w:r>
        <w:rPr>
          <w:color w:val="231F20"/>
          <w:spacing w:val="-6"/>
        </w:rPr>
        <w:t> </w:t>
      </w:r>
      <w:r>
        <w:rPr>
          <w:color w:val="231F20"/>
        </w:rPr>
        <w:t>las</w:t>
      </w:r>
      <w:r>
        <w:rPr>
          <w:color w:val="231F20"/>
          <w:spacing w:val="-6"/>
        </w:rPr>
        <w:t> </w:t>
      </w:r>
      <w:r>
        <w:rPr>
          <w:color w:val="231F20"/>
        </w:rPr>
        <w:t>Grandes</w:t>
      </w:r>
      <w:r>
        <w:rPr>
          <w:color w:val="231F20"/>
          <w:spacing w:val="-6"/>
        </w:rPr>
        <w:t> </w:t>
      </w:r>
      <w:r>
        <w:rPr>
          <w:color w:val="231F20"/>
        </w:rPr>
        <w:t>Ligas</w:t>
      </w:r>
      <w:r>
        <w:rPr>
          <w:color w:val="231F20"/>
          <w:spacing w:val="-6"/>
        </w:rPr>
        <w:t> </w:t>
      </w:r>
      <w:r>
        <w:rPr>
          <w:color w:val="231F20"/>
        </w:rPr>
        <w:t>y</w:t>
      </w:r>
      <w:r>
        <w:rPr>
          <w:color w:val="231F20"/>
          <w:spacing w:val="-6"/>
        </w:rPr>
        <w:t> </w:t>
      </w:r>
      <w:r>
        <w:rPr>
          <w:color w:val="231F20"/>
        </w:rPr>
        <w:t>otro</w:t>
      </w:r>
      <w:r>
        <w:rPr>
          <w:color w:val="231F20"/>
          <w:spacing w:val="-6"/>
        </w:rPr>
        <w:t> </w:t>
      </w:r>
      <w:r>
        <w:rPr>
          <w:color w:val="231F20"/>
        </w:rPr>
        <w:t>aún</w:t>
      </w:r>
      <w:r>
        <w:rPr>
          <w:color w:val="231F20"/>
          <w:spacing w:val="-6"/>
        </w:rPr>
        <w:t> </w:t>
      </w:r>
      <w:r>
        <w:rPr>
          <w:color w:val="231F20"/>
        </w:rPr>
        <w:t>más</w:t>
      </w:r>
      <w:r>
        <w:rPr>
          <w:color w:val="231F20"/>
          <w:spacing w:val="-6"/>
        </w:rPr>
        <w:t> </w:t>
      </w:r>
      <w:r>
        <w:rPr>
          <w:color w:val="231F20"/>
        </w:rPr>
        <w:t>tarde </w:t>
      </w:r>
      <w:r>
        <w:rPr>
          <w:color w:val="231F20"/>
          <w:spacing w:val="-6"/>
        </w:rPr>
        <w:t>para concretar su integración temprana con el resto del equipo. Los permisos otorgados </w:t>
      </w:r>
      <w:r>
        <w:rPr>
          <w:color w:val="231F20"/>
        </w:rPr>
        <w:t>prohibieron explícitamente a varios de</w:t>
      </w:r>
      <w:r>
        <w:rPr>
          <w:color w:val="231F20"/>
          <w:spacing w:val="80"/>
        </w:rPr>
        <w:t> </w:t>
      </w:r>
      <w:r>
        <w:rPr>
          <w:color w:val="231F20"/>
        </w:rPr>
        <w:t>los integrantes viajar a Cuba con sus compañeros</w:t>
      </w:r>
      <w:r>
        <w:rPr>
          <w:color w:val="231F20"/>
          <w:spacing w:val="-17"/>
        </w:rPr>
        <w:t> </w:t>
      </w:r>
      <w:r>
        <w:rPr>
          <w:color w:val="231F20"/>
        </w:rPr>
        <w:t>al</w:t>
      </w:r>
      <w:r>
        <w:rPr>
          <w:color w:val="231F20"/>
          <w:spacing w:val="-16"/>
        </w:rPr>
        <w:t> </w:t>
      </w:r>
      <w:r>
        <w:rPr>
          <w:color w:val="231F20"/>
        </w:rPr>
        <w:t>terminar</w:t>
      </w:r>
      <w:r>
        <w:rPr>
          <w:color w:val="231F20"/>
          <w:spacing w:val="-17"/>
        </w:rPr>
        <w:t> </w:t>
      </w:r>
      <w:r>
        <w:rPr>
          <w:color w:val="231F20"/>
        </w:rPr>
        <w:t>el</w:t>
      </w:r>
      <w:r>
        <w:rPr>
          <w:color w:val="231F20"/>
          <w:spacing w:val="-16"/>
        </w:rPr>
        <w:t> </w:t>
      </w:r>
      <w:r>
        <w:rPr>
          <w:color w:val="231F20"/>
        </w:rPr>
        <w:t>certamen.</w:t>
      </w:r>
      <w:r>
        <w:rPr>
          <w:color w:val="231F20"/>
          <w:spacing w:val="-17"/>
        </w:rPr>
        <w:t> </w:t>
      </w:r>
      <w:r>
        <w:rPr>
          <w:color w:val="231F20"/>
        </w:rPr>
        <w:t>Todo </w:t>
      </w:r>
      <w:r>
        <w:rPr>
          <w:color w:val="231F20"/>
          <w:spacing w:val="-4"/>
        </w:rPr>
        <w:t>ello</w:t>
      </w:r>
      <w:r>
        <w:rPr>
          <w:color w:val="231F20"/>
          <w:spacing w:val="-13"/>
        </w:rPr>
        <w:t> </w:t>
      </w:r>
      <w:r>
        <w:rPr>
          <w:color w:val="231F20"/>
          <w:spacing w:val="-4"/>
        </w:rPr>
        <w:t>puso</w:t>
      </w:r>
      <w:r>
        <w:rPr>
          <w:color w:val="231F20"/>
          <w:spacing w:val="-12"/>
        </w:rPr>
        <w:t> </w:t>
      </w:r>
      <w:r>
        <w:rPr>
          <w:color w:val="231F20"/>
          <w:spacing w:val="-4"/>
        </w:rPr>
        <w:t>en</w:t>
      </w:r>
      <w:r>
        <w:rPr>
          <w:color w:val="231F20"/>
          <w:spacing w:val="-13"/>
        </w:rPr>
        <w:t> </w:t>
      </w:r>
      <w:r>
        <w:rPr>
          <w:color w:val="231F20"/>
          <w:spacing w:val="-4"/>
        </w:rPr>
        <w:t>peligro</w:t>
      </w:r>
      <w:r>
        <w:rPr>
          <w:color w:val="231F20"/>
          <w:spacing w:val="-12"/>
        </w:rPr>
        <w:t> </w:t>
      </w:r>
      <w:r>
        <w:rPr>
          <w:color w:val="231F20"/>
          <w:spacing w:val="-4"/>
        </w:rPr>
        <w:t>la</w:t>
      </w:r>
      <w:r>
        <w:rPr>
          <w:color w:val="231F20"/>
          <w:spacing w:val="-13"/>
        </w:rPr>
        <w:t> </w:t>
      </w:r>
      <w:r>
        <w:rPr>
          <w:color w:val="231F20"/>
          <w:spacing w:val="-4"/>
        </w:rPr>
        <w:t>participación</w:t>
      </w:r>
      <w:r>
        <w:rPr>
          <w:color w:val="231F20"/>
          <w:spacing w:val="-12"/>
        </w:rPr>
        <w:t> </w:t>
      </w:r>
      <w:r>
        <w:rPr>
          <w:color w:val="231F20"/>
          <w:spacing w:val="-4"/>
        </w:rPr>
        <w:t>cubana </w:t>
      </w:r>
      <w:r>
        <w:rPr>
          <w:color w:val="231F20"/>
          <w:spacing w:val="-10"/>
        </w:rPr>
        <w:t>en</w:t>
      </w:r>
      <w:r>
        <w:rPr>
          <w:color w:val="231F20"/>
          <w:spacing w:val="-5"/>
        </w:rPr>
        <w:t> </w:t>
      </w:r>
      <w:r>
        <w:rPr>
          <w:color w:val="231F20"/>
          <w:spacing w:val="-10"/>
        </w:rPr>
        <w:t>el</w:t>
      </w:r>
      <w:r>
        <w:rPr>
          <w:color w:val="231F20"/>
          <w:spacing w:val="-5"/>
        </w:rPr>
        <w:t> </w:t>
      </w:r>
      <w:r>
        <w:rPr>
          <w:color w:val="231F20"/>
          <w:spacing w:val="-10"/>
        </w:rPr>
        <w:t>Clásico</w:t>
      </w:r>
      <w:r>
        <w:rPr>
          <w:color w:val="231F20"/>
          <w:spacing w:val="-5"/>
        </w:rPr>
        <w:t> </w:t>
      </w:r>
      <w:r>
        <w:rPr>
          <w:color w:val="231F20"/>
          <w:spacing w:val="-10"/>
        </w:rPr>
        <w:t>de</w:t>
      </w:r>
      <w:r>
        <w:rPr>
          <w:color w:val="231F20"/>
          <w:spacing w:val="-5"/>
        </w:rPr>
        <w:t> </w:t>
      </w:r>
      <w:r>
        <w:rPr>
          <w:color w:val="231F20"/>
          <w:spacing w:val="-10"/>
        </w:rPr>
        <w:t>Béisbol</w:t>
      </w:r>
      <w:r>
        <w:rPr>
          <w:color w:val="231F20"/>
          <w:spacing w:val="-5"/>
        </w:rPr>
        <w:t> </w:t>
      </w:r>
      <w:r>
        <w:rPr>
          <w:color w:val="231F20"/>
          <w:spacing w:val="-10"/>
        </w:rPr>
        <w:t>e</w:t>
      </w:r>
      <w:r>
        <w:rPr>
          <w:color w:val="231F20"/>
          <w:spacing w:val="-5"/>
        </w:rPr>
        <w:t> </w:t>
      </w:r>
      <w:r>
        <w:rPr>
          <w:color w:val="231F20"/>
          <w:spacing w:val="-10"/>
        </w:rPr>
        <w:t>implicó</w:t>
      </w:r>
      <w:r>
        <w:rPr>
          <w:color w:val="231F20"/>
          <w:spacing w:val="-5"/>
        </w:rPr>
        <w:t> </w:t>
      </w:r>
      <w:r>
        <w:rPr>
          <w:color w:val="231F20"/>
          <w:spacing w:val="-10"/>
        </w:rPr>
        <w:t>desventajas </w:t>
      </w:r>
      <w:r>
        <w:rPr>
          <w:color w:val="231F20"/>
          <w:spacing w:val="-2"/>
        </w:rPr>
        <w:t>extraordinarias.</w:t>
      </w:r>
    </w:p>
    <w:p>
      <w:pPr>
        <w:spacing w:after="0"/>
        <w:sectPr>
          <w:pgSz w:w="11910" w:h="16840"/>
          <w:pgMar w:header="0" w:footer="695" w:top="1260" w:bottom="880" w:left="0" w:right="0"/>
          <w:cols w:num="2" w:equalWidth="0">
            <w:col w:w="5557" w:space="40"/>
            <w:col w:w="6313"/>
          </w:cols>
        </w:sectPr>
      </w:pPr>
    </w:p>
    <w:p>
      <w:pPr>
        <w:pStyle w:val="BodyText"/>
        <w:spacing w:before="77"/>
        <w:ind w:left="1474"/>
      </w:pPr>
      <w:r>
        <w:rPr>
          <w:color w:val="231F20"/>
        </w:rPr>
        <w:t>A partir de la arbitraria inclusión del país en la Lista unilateral de Estados patroci- nadores del terrorismo, se han aplicado </w:t>
      </w:r>
      <w:r>
        <w:rPr>
          <w:color w:val="231F20"/>
          <w:spacing w:val="-2"/>
        </w:rPr>
        <w:t>controles</w:t>
      </w:r>
      <w:r>
        <w:rPr>
          <w:color w:val="231F20"/>
          <w:spacing w:val="-15"/>
        </w:rPr>
        <w:t> </w:t>
      </w:r>
      <w:r>
        <w:rPr>
          <w:color w:val="231F20"/>
          <w:spacing w:val="-2"/>
        </w:rPr>
        <w:t>excesivos</w:t>
      </w:r>
      <w:r>
        <w:rPr>
          <w:color w:val="231F20"/>
          <w:spacing w:val="-14"/>
        </w:rPr>
        <w:t> </w:t>
      </w:r>
      <w:r>
        <w:rPr>
          <w:color w:val="231F20"/>
          <w:spacing w:val="-2"/>
        </w:rPr>
        <w:t>y</w:t>
      </w:r>
      <w:r>
        <w:rPr>
          <w:color w:val="231F20"/>
          <w:spacing w:val="-15"/>
        </w:rPr>
        <w:t> </w:t>
      </w:r>
      <w:r>
        <w:rPr>
          <w:color w:val="231F20"/>
          <w:spacing w:val="-2"/>
        </w:rPr>
        <w:t>xenófobos</w:t>
      </w:r>
      <w:r>
        <w:rPr>
          <w:color w:val="231F20"/>
          <w:spacing w:val="-14"/>
        </w:rPr>
        <w:t> </w:t>
      </w:r>
      <w:r>
        <w:rPr>
          <w:color w:val="231F20"/>
          <w:spacing w:val="-2"/>
        </w:rPr>
        <w:t>a</w:t>
      </w:r>
      <w:r>
        <w:rPr>
          <w:color w:val="231F20"/>
          <w:spacing w:val="-15"/>
        </w:rPr>
        <w:t> </w:t>
      </w:r>
      <w:r>
        <w:rPr>
          <w:color w:val="231F20"/>
          <w:spacing w:val="-2"/>
        </w:rPr>
        <w:t>nuestras </w:t>
      </w:r>
      <w:r>
        <w:rPr>
          <w:color w:val="231F20"/>
          <w:spacing w:val="-4"/>
        </w:rPr>
        <w:t>delegaciones</w:t>
      </w:r>
      <w:r>
        <w:rPr>
          <w:color w:val="231F20"/>
          <w:spacing w:val="-9"/>
        </w:rPr>
        <w:t> </w:t>
      </w:r>
      <w:r>
        <w:rPr>
          <w:color w:val="231F20"/>
          <w:spacing w:val="-4"/>
        </w:rPr>
        <w:t>deportivas</w:t>
      </w:r>
      <w:r>
        <w:rPr>
          <w:color w:val="231F20"/>
          <w:spacing w:val="-9"/>
        </w:rPr>
        <w:t> </w:t>
      </w:r>
      <w:r>
        <w:rPr>
          <w:color w:val="231F20"/>
          <w:spacing w:val="-4"/>
        </w:rPr>
        <w:t>en</w:t>
      </w:r>
      <w:r>
        <w:rPr>
          <w:color w:val="231F20"/>
          <w:spacing w:val="-9"/>
        </w:rPr>
        <w:t> </w:t>
      </w:r>
      <w:r>
        <w:rPr>
          <w:color w:val="231F20"/>
          <w:spacing w:val="-4"/>
        </w:rPr>
        <w:t>aduanas</w:t>
      </w:r>
      <w:r>
        <w:rPr>
          <w:color w:val="231F20"/>
          <w:spacing w:val="-9"/>
        </w:rPr>
        <w:t> </w:t>
      </w:r>
      <w:r>
        <w:rPr>
          <w:color w:val="231F20"/>
          <w:spacing w:val="-4"/>
        </w:rPr>
        <w:t>y</w:t>
      </w:r>
      <w:r>
        <w:rPr>
          <w:color w:val="231F20"/>
          <w:spacing w:val="-9"/>
        </w:rPr>
        <w:t> </w:t>
      </w:r>
      <w:r>
        <w:rPr>
          <w:color w:val="231F20"/>
          <w:spacing w:val="-4"/>
        </w:rPr>
        <w:t>con- </w:t>
      </w:r>
      <w:r>
        <w:rPr>
          <w:color w:val="231F20"/>
        </w:rPr>
        <w:t>troles de migración internacionales.</w:t>
      </w:r>
    </w:p>
    <w:p>
      <w:pPr>
        <w:pStyle w:val="BodyText"/>
        <w:spacing w:before="164"/>
        <w:ind w:left="1474"/>
      </w:pPr>
      <w:r>
        <w:rPr/>
        <mc:AlternateContent>
          <mc:Choice Requires="wps">
            <w:drawing>
              <wp:anchor distT="0" distB="0" distL="0" distR="0" allowOverlap="1" layoutInCell="1" locked="0" behindDoc="0" simplePos="0" relativeHeight="15747584">
                <wp:simplePos x="0" y="0"/>
                <wp:positionH relativeFrom="page">
                  <wp:posOffset>0</wp:posOffset>
                </wp:positionH>
                <wp:positionV relativeFrom="paragraph">
                  <wp:posOffset>472282</wp:posOffset>
                </wp:positionV>
                <wp:extent cx="1270" cy="2946400"/>
                <wp:effectExtent l="0" t="0" r="0" b="0"/>
                <wp:wrapNone/>
                <wp:docPr id="58" name="Graphic 58"/>
                <wp:cNvGraphicFramePr>
                  <a:graphicFrameLocks/>
                </wp:cNvGraphicFramePr>
                <a:graphic>
                  <a:graphicData uri="http://schemas.microsoft.com/office/word/2010/wordprocessingShape">
                    <wps:wsp>
                      <wps:cNvPr id="58" name="Graphic 58"/>
                      <wps:cNvSpPr/>
                      <wps:spPr>
                        <a:xfrm>
                          <a:off x="0" y="0"/>
                          <a:ext cx="1270" cy="2946400"/>
                        </a:xfrm>
                        <a:custGeom>
                          <a:avLst/>
                          <a:gdLst/>
                          <a:ahLst/>
                          <a:cxnLst/>
                          <a:rect l="l" t="t" r="r" b="b"/>
                          <a:pathLst>
                            <a:path w="0" h="2946400">
                              <a:moveTo>
                                <a:pt x="0" y="0"/>
                              </a:moveTo>
                              <a:lnTo>
                                <a:pt x="0" y="2946400"/>
                              </a:lnTo>
                            </a:path>
                          </a:pathLst>
                        </a:custGeom>
                        <a:solidFill>
                          <a:srgbClr val="E0E2E2"/>
                        </a:solidFill>
                      </wps:spPr>
                      <wps:bodyPr wrap="square" lIns="0" tIns="0" rIns="0" bIns="0" rtlCol="0">
                        <a:prstTxWarp prst="textNoShape">
                          <a:avLst/>
                        </a:prstTxWarp>
                        <a:noAutofit/>
                      </wps:bodyPr>
                    </wps:wsp>
                  </a:graphicData>
                </a:graphic>
              </wp:anchor>
            </w:drawing>
          </mc:Choice>
          <mc:Fallback>
            <w:pict>
              <v:shape style="position:absolute;margin-left:0pt;margin-top:37.187576pt;width:.1pt;height:232pt;mso-position-horizontal-relative:page;mso-position-vertical-relative:paragraph;z-index:15747584" id="docshape42" coordorigin="0,744" coordsize="0,4640" path="m0,744l0,5384e" filled="true" fillcolor="#e0e2e2" stroked="false">
                <v:path arrowok="t"/>
                <v:fill type="solid"/>
                <w10:wrap type="none"/>
              </v:shape>
            </w:pict>
          </mc:Fallback>
        </mc:AlternateContent>
      </w:r>
      <w:r>
        <w:rPr>
          <w:color w:val="231F20"/>
        </w:rPr>
        <w:t>Se</w:t>
      </w:r>
      <w:r>
        <w:rPr>
          <w:color w:val="231F20"/>
          <w:spacing w:val="-14"/>
        </w:rPr>
        <w:t> </w:t>
      </w:r>
      <w:r>
        <w:rPr>
          <w:color w:val="231F20"/>
        </w:rPr>
        <w:t>han</w:t>
      </w:r>
      <w:r>
        <w:rPr>
          <w:color w:val="231F20"/>
          <w:spacing w:val="-14"/>
        </w:rPr>
        <w:t> </w:t>
      </w:r>
      <w:r>
        <w:rPr>
          <w:color w:val="231F20"/>
        </w:rPr>
        <w:t>incrementado</w:t>
      </w:r>
      <w:r>
        <w:rPr>
          <w:color w:val="231F20"/>
          <w:spacing w:val="-14"/>
        </w:rPr>
        <w:t> </w:t>
      </w:r>
      <w:r>
        <w:rPr>
          <w:color w:val="231F20"/>
        </w:rPr>
        <w:t>las</w:t>
      </w:r>
      <w:r>
        <w:rPr>
          <w:color w:val="231F20"/>
          <w:spacing w:val="-14"/>
        </w:rPr>
        <w:t> </w:t>
      </w:r>
      <w:r>
        <w:rPr>
          <w:color w:val="231F20"/>
        </w:rPr>
        <w:t>limitaciones</w:t>
      </w:r>
      <w:r>
        <w:rPr>
          <w:color w:val="231F20"/>
          <w:spacing w:val="-14"/>
        </w:rPr>
        <w:t> </w:t>
      </w:r>
      <w:r>
        <w:rPr>
          <w:color w:val="231F20"/>
        </w:rPr>
        <w:t>y</w:t>
      </w:r>
      <w:r>
        <w:rPr>
          <w:color w:val="231F20"/>
          <w:spacing w:val="-14"/>
        </w:rPr>
        <w:t> </w:t>
      </w:r>
      <w:r>
        <w:rPr>
          <w:color w:val="231F20"/>
        </w:rPr>
        <w:t>los </w:t>
      </w:r>
      <w:r>
        <w:rPr>
          <w:color w:val="231F20"/>
          <w:spacing w:val="-2"/>
        </w:rPr>
        <w:t>costos</w:t>
      </w:r>
      <w:r>
        <w:rPr>
          <w:color w:val="231F20"/>
          <w:spacing w:val="-11"/>
        </w:rPr>
        <w:t> </w:t>
      </w:r>
      <w:r>
        <w:rPr>
          <w:color w:val="231F20"/>
          <w:spacing w:val="-2"/>
        </w:rPr>
        <w:t>para</w:t>
      </w:r>
      <w:r>
        <w:rPr>
          <w:color w:val="231F20"/>
          <w:spacing w:val="-11"/>
        </w:rPr>
        <w:t> </w:t>
      </w:r>
      <w:r>
        <w:rPr>
          <w:color w:val="231F20"/>
          <w:spacing w:val="-2"/>
        </w:rPr>
        <w:t>la</w:t>
      </w:r>
      <w:r>
        <w:rPr>
          <w:color w:val="231F20"/>
          <w:spacing w:val="-11"/>
        </w:rPr>
        <w:t> </w:t>
      </w:r>
      <w:r>
        <w:rPr>
          <w:color w:val="231F20"/>
          <w:spacing w:val="-2"/>
        </w:rPr>
        <w:t>adquisición</w:t>
      </w:r>
      <w:r>
        <w:rPr>
          <w:color w:val="231F20"/>
          <w:spacing w:val="-11"/>
        </w:rPr>
        <w:t> </w:t>
      </w:r>
      <w:r>
        <w:rPr>
          <w:color w:val="231F20"/>
          <w:spacing w:val="-2"/>
        </w:rPr>
        <w:t>de</w:t>
      </w:r>
      <w:r>
        <w:rPr>
          <w:color w:val="231F20"/>
          <w:spacing w:val="-11"/>
        </w:rPr>
        <w:t> </w:t>
      </w:r>
      <w:r>
        <w:rPr>
          <w:color w:val="231F20"/>
          <w:spacing w:val="-2"/>
        </w:rPr>
        <w:t>implementos </w:t>
      </w:r>
      <w:r>
        <w:rPr>
          <w:color w:val="231F20"/>
          <w:spacing w:val="-6"/>
        </w:rPr>
        <w:t>deportivos,</w:t>
      </w:r>
      <w:r>
        <w:rPr>
          <w:color w:val="231F20"/>
          <w:spacing w:val="-11"/>
        </w:rPr>
        <w:t> </w:t>
      </w:r>
      <w:r>
        <w:rPr>
          <w:color w:val="231F20"/>
          <w:spacing w:val="-6"/>
        </w:rPr>
        <w:t>tejidos,</w:t>
      </w:r>
      <w:r>
        <w:rPr>
          <w:color w:val="231F20"/>
          <w:spacing w:val="-10"/>
        </w:rPr>
        <w:t> </w:t>
      </w:r>
      <w:r>
        <w:rPr>
          <w:color w:val="231F20"/>
          <w:spacing w:val="-6"/>
        </w:rPr>
        <w:t>calzado,</w:t>
      </w:r>
      <w:r>
        <w:rPr>
          <w:color w:val="231F20"/>
          <w:spacing w:val="-11"/>
        </w:rPr>
        <w:t> </w:t>
      </w:r>
      <w:r>
        <w:rPr>
          <w:color w:val="231F20"/>
          <w:spacing w:val="-6"/>
        </w:rPr>
        <w:t>medios</w:t>
      </w:r>
      <w:r>
        <w:rPr>
          <w:color w:val="231F20"/>
          <w:spacing w:val="-10"/>
        </w:rPr>
        <w:t> </w:t>
      </w:r>
      <w:r>
        <w:rPr>
          <w:color w:val="231F20"/>
          <w:spacing w:val="-6"/>
        </w:rPr>
        <w:t>técnicos </w:t>
      </w:r>
      <w:r>
        <w:rPr>
          <w:color w:val="231F20"/>
        </w:rPr>
        <w:t>y pedagógicos, soportes tecnológicos, entre otros, donde el principal productor son</w:t>
      </w:r>
      <w:r>
        <w:rPr>
          <w:color w:val="231F20"/>
          <w:spacing w:val="-17"/>
        </w:rPr>
        <w:t> </w:t>
      </w:r>
      <w:r>
        <w:rPr>
          <w:color w:val="231F20"/>
        </w:rPr>
        <w:t>los</w:t>
      </w:r>
      <w:r>
        <w:rPr>
          <w:color w:val="231F20"/>
          <w:spacing w:val="-16"/>
        </w:rPr>
        <w:t> </w:t>
      </w:r>
      <w:r>
        <w:rPr>
          <w:color w:val="231F20"/>
        </w:rPr>
        <w:t>Estados</w:t>
      </w:r>
      <w:r>
        <w:rPr>
          <w:color w:val="231F20"/>
          <w:spacing w:val="-17"/>
        </w:rPr>
        <w:t> </w:t>
      </w:r>
      <w:r>
        <w:rPr>
          <w:color w:val="231F20"/>
        </w:rPr>
        <w:t>Unidos.</w:t>
      </w:r>
      <w:r>
        <w:rPr>
          <w:color w:val="231F20"/>
          <w:spacing w:val="-16"/>
        </w:rPr>
        <w:t> </w:t>
      </w:r>
      <w:r>
        <w:rPr>
          <w:color w:val="231F20"/>
        </w:rPr>
        <w:t>Estos</w:t>
      </w:r>
      <w:r>
        <w:rPr>
          <w:color w:val="231F20"/>
          <w:spacing w:val="-17"/>
        </w:rPr>
        <w:t> </w:t>
      </w:r>
      <w:r>
        <w:rPr>
          <w:color w:val="231F20"/>
        </w:rPr>
        <w:t>artículos</w:t>
      </w:r>
      <w:r>
        <w:rPr>
          <w:color w:val="231F20"/>
          <w:spacing w:val="-16"/>
        </w:rPr>
        <w:t> </w:t>
      </w:r>
      <w:r>
        <w:rPr>
          <w:color w:val="231F20"/>
        </w:rPr>
        <w:t>son comprados en la actualidad en terceros </w:t>
      </w:r>
      <w:r>
        <w:rPr>
          <w:color w:val="231F20"/>
          <w:spacing w:val="-2"/>
        </w:rPr>
        <w:t>países,</w:t>
      </w:r>
      <w:r>
        <w:rPr>
          <w:color w:val="231F20"/>
          <w:spacing w:val="-15"/>
        </w:rPr>
        <w:t> </w:t>
      </w:r>
      <w:r>
        <w:rPr>
          <w:color w:val="231F20"/>
          <w:spacing w:val="-2"/>
        </w:rPr>
        <w:t>incrementándose</w:t>
      </w:r>
      <w:r>
        <w:rPr>
          <w:color w:val="231F20"/>
          <w:spacing w:val="-14"/>
        </w:rPr>
        <w:t> </w:t>
      </w:r>
      <w:r>
        <w:rPr>
          <w:color w:val="231F20"/>
          <w:spacing w:val="-2"/>
        </w:rPr>
        <w:t>los</w:t>
      </w:r>
      <w:r>
        <w:rPr>
          <w:color w:val="231F20"/>
          <w:spacing w:val="-15"/>
        </w:rPr>
        <w:t> </w:t>
      </w:r>
      <w:r>
        <w:rPr>
          <w:color w:val="231F20"/>
          <w:spacing w:val="-2"/>
        </w:rPr>
        <w:t>gastos</w:t>
      </w:r>
      <w:r>
        <w:rPr>
          <w:color w:val="231F20"/>
          <w:spacing w:val="-14"/>
        </w:rPr>
        <w:t> </w:t>
      </w:r>
      <w:r>
        <w:rPr>
          <w:color w:val="231F20"/>
          <w:spacing w:val="-2"/>
        </w:rPr>
        <w:t>en</w:t>
      </w:r>
      <w:r>
        <w:rPr>
          <w:color w:val="231F20"/>
          <w:spacing w:val="-15"/>
        </w:rPr>
        <w:t> </w:t>
      </w:r>
      <w:r>
        <w:rPr>
          <w:color w:val="231F20"/>
          <w:spacing w:val="-2"/>
        </w:rPr>
        <w:t>más </w:t>
      </w:r>
      <w:r>
        <w:rPr>
          <w:color w:val="231F20"/>
        </w:rPr>
        <w:t>de</w:t>
      </w:r>
      <w:r>
        <w:rPr>
          <w:color w:val="231F20"/>
          <w:spacing w:val="-11"/>
        </w:rPr>
        <w:t> </w:t>
      </w:r>
      <w:r>
        <w:rPr>
          <w:color w:val="231F20"/>
        </w:rPr>
        <w:t>un</w:t>
      </w:r>
      <w:r>
        <w:rPr>
          <w:color w:val="231F20"/>
          <w:spacing w:val="-11"/>
        </w:rPr>
        <w:t> </w:t>
      </w:r>
      <w:r>
        <w:rPr>
          <w:color w:val="231F20"/>
        </w:rPr>
        <w:t>50%,</w:t>
      </w:r>
      <w:r>
        <w:rPr>
          <w:color w:val="231F20"/>
          <w:spacing w:val="-10"/>
        </w:rPr>
        <w:t> </w:t>
      </w:r>
      <w:r>
        <w:rPr>
          <w:color w:val="231F20"/>
        </w:rPr>
        <w:t>por</w:t>
      </w:r>
      <w:r>
        <w:rPr>
          <w:color w:val="231F20"/>
          <w:spacing w:val="-11"/>
        </w:rPr>
        <w:t> </w:t>
      </w:r>
      <w:r>
        <w:rPr>
          <w:color w:val="231F20"/>
        </w:rPr>
        <w:t>lo</w:t>
      </w:r>
      <w:r>
        <w:rPr>
          <w:color w:val="231F20"/>
          <w:spacing w:val="-11"/>
        </w:rPr>
        <w:t> </w:t>
      </w:r>
      <w:r>
        <w:rPr>
          <w:color w:val="231F20"/>
        </w:rPr>
        <w:t>que</w:t>
      </w:r>
      <w:r>
        <w:rPr>
          <w:color w:val="231F20"/>
          <w:spacing w:val="-10"/>
        </w:rPr>
        <w:t> </w:t>
      </w:r>
      <w:r>
        <w:rPr>
          <w:color w:val="231F20"/>
        </w:rPr>
        <w:t>se</w:t>
      </w:r>
      <w:r>
        <w:rPr>
          <w:color w:val="231F20"/>
          <w:spacing w:val="-11"/>
        </w:rPr>
        <w:t> </w:t>
      </w:r>
      <w:r>
        <w:rPr>
          <w:color w:val="231F20"/>
        </w:rPr>
        <w:t>limita</w:t>
      </w:r>
      <w:r>
        <w:rPr>
          <w:color w:val="231F20"/>
          <w:spacing w:val="-11"/>
        </w:rPr>
        <w:t> </w:t>
      </w:r>
      <w:r>
        <w:rPr>
          <w:color w:val="231F20"/>
        </w:rPr>
        <w:t>su</w:t>
      </w:r>
      <w:r>
        <w:rPr>
          <w:color w:val="231F20"/>
          <w:spacing w:val="-10"/>
        </w:rPr>
        <w:t> </w:t>
      </w:r>
      <w:r>
        <w:rPr>
          <w:color w:val="231F20"/>
          <w:spacing w:val="-2"/>
        </w:rPr>
        <w:t>compra.</w:t>
      </w:r>
    </w:p>
    <w:p>
      <w:pPr>
        <w:pStyle w:val="BodyText"/>
        <w:spacing w:before="167"/>
        <w:ind w:left="1474" w:right="1"/>
      </w:pPr>
      <w:r>
        <w:rPr>
          <w:color w:val="231F20"/>
        </w:rPr>
        <w:t>Nuestros atletas y árbitros también han sufrido la retención de miles de dólares ganados por concepto de premios, dada la negativa de los bancos extranjeros a procesar los pagos correspondientes con destino Cuba. Es el caso de las atletas Leila</w:t>
      </w:r>
      <w:r>
        <w:rPr>
          <w:color w:val="231F20"/>
          <w:spacing w:val="-15"/>
        </w:rPr>
        <w:t> </w:t>
      </w:r>
      <w:r>
        <w:rPr>
          <w:color w:val="231F20"/>
        </w:rPr>
        <w:t>Consuelo</w:t>
      </w:r>
      <w:r>
        <w:rPr>
          <w:color w:val="231F20"/>
          <w:spacing w:val="-15"/>
        </w:rPr>
        <w:t> </w:t>
      </w:r>
      <w:r>
        <w:rPr>
          <w:color w:val="231F20"/>
        </w:rPr>
        <w:t>Martínez</w:t>
      </w:r>
      <w:r>
        <w:rPr>
          <w:color w:val="231F20"/>
          <w:spacing w:val="-16"/>
        </w:rPr>
        <w:t> </w:t>
      </w:r>
      <w:r>
        <w:rPr>
          <w:color w:val="231F20"/>
        </w:rPr>
        <w:t>Ortega</w:t>
      </w:r>
      <w:r>
        <w:rPr>
          <w:color w:val="231F20"/>
          <w:spacing w:val="-15"/>
        </w:rPr>
        <w:t> </w:t>
      </w:r>
      <w:r>
        <w:rPr>
          <w:color w:val="231F20"/>
        </w:rPr>
        <w:t>y</w:t>
      </w:r>
      <w:r>
        <w:rPr>
          <w:color w:val="231F20"/>
          <w:spacing w:val="-15"/>
        </w:rPr>
        <w:t> </w:t>
      </w:r>
      <w:r>
        <w:rPr>
          <w:color w:val="231F20"/>
        </w:rPr>
        <w:t>Lidianny </w:t>
      </w:r>
      <w:r>
        <w:rPr>
          <w:color w:val="231F20"/>
          <w:spacing w:val="-4"/>
        </w:rPr>
        <w:t>Echevarría</w:t>
      </w:r>
      <w:r>
        <w:rPr>
          <w:color w:val="231F20"/>
          <w:spacing w:val="-12"/>
        </w:rPr>
        <w:t> </w:t>
      </w:r>
      <w:r>
        <w:rPr>
          <w:color w:val="231F20"/>
          <w:spacing w:val="-4"/>
        </w:rPr>
        <w:t>Benítez,</w:t>
      </w:r>
      <w:r>
        <w:rPr>
          <w:color w:val="231F20"/>
          <w:spacing w:val="-12"/>
        </w:rPr>
        <w:t> </w:t>
      </w:r>
      <w:r>
        <w:rPr>
          <w:color w:val="231F20"/>
          <w:spacing w:val="-4"/>
        </w:rPr>
        <w:t>exponentes</w:t>
      </w:r>
      <w:r>
        <w:rPr>
          <w:color w:val="231F20"/>
          <w:spacing w:val="-12"/>
        </w:rPr>
        <w:t> </w:t>
      </w:r>
      <w:r>
        <w:rPr>
          <w:color w:val="231F20"/>
          <w:spacing w:val="-4"/>
        </w:rPr>
        <w:t>del</w:t>
      </w:r>
      <w:r>
        <w:rPr>
          <w:color w:val="231F20"/>
          <w:spacing w:val="-12"/>
        </w:rPr>
        <w:t> </w:t>
      </w:r>
      <w:r>
        <w:rPr>
          <w:color w:val="231F20"/>
          <w:spacing w:val="-4"/>
        </w:rPr>
        <w:t>Voleibol </w:t>
      </w:r>
      <w:r>
        <w:rPr>
          <w:color w:val="231F20"/>
        </w:rPr>
        <w:t>de Playa femenino, que no han podido recibir</w:t>
      </w:r>
      <w:r>
        <w:rPr>
          <w:color w:val="231F20"/>
          <w:spacing w:val="-12"/>
        </w:rPr>
        <w:t> </w:t>
      </w:r>
      <w:r>
        <w:rPr>
          <w:color w:val="231F20"/>
        </w:rPr>
        <w:t>el</w:t>
      </w:r>
      <w:r>
        <w:rPr>
          <w:color w:val="231F20"/>
          <w:spacing w:val="-12"/>
        </w:rPr>
        <w:t> </w:t>
      </w:r>
      <w:r>
        <w:rPr>
          <w:color w:val="231F20"/>
        </w:rPr>
        <w:t>monto</w:t>
      </w:r>
      <w:r>
        <w:rPr>
          <w:color w:val="231F20"/>
          <w:spacing w:val="-12"/>
        </w:rPr>
        <w:t> </w:t>
      </w:r>
      <w:r>
        <w:rPr>
          <w:color w:val="231F20"/>
        </w:rPr>
        <w:t>relativo</w:t>
      </w:r>
      <w:r>
        <w:rPr>
          <w:color w:val="231F20"/>
          <w:spacing w:val="-12"/>
        </w:rPr>
        <w:t> </w:t>
      </w:r>
      <w:r>
        <w:rPr>
          <w:color w:val="231F20"/>
        </w:rPr>
        <w:t>a</w:t>
      </w:r>
      <w:r>
        <w:rPr>
          <w:color w:val="231F20"/>
          <w:spacing w:val="-12"/>
        </w:rPr>
        <w:t> </w:t>
      </w:r>
      <w:r>
        <w:rPr>
          <w:color w:val="231F20"/>
        </w:rPr>
        <w:t>su</w:t>
      </w:r>
      <w:r>
        <w:rPr>
          <w:color w:val="231F20"/>
          <w:spacing w:val="-12"/>
        </w:rPr>
        <w:t> </w:t>
      </w:r>
      <w:r>
        <w:rPr>
          <w:color w:val="231F20"/>
        </w:rPr>
        <w:t>participación en el circuito mundial de este deporte.</w:t>
      </w:r>
    </w:p>
    <w:p>
      <w:pPr>
        <w:spacing w:before="168"/>
        <w:ind w:left="1474" w:right="0" w:firstLine="0"/>
        <w:jc w:val="both"/>
        <w:rPr>
          <w:rFonts w:ascii="Segoe UI Semibold" w:hAnsi="Segoe UI Semibold"/>
          <w:b/>
          <w:i/>
          <w:sz w:val="24"/>
        </w:rPr>
      </w:pPr>
      <w:r>
        <w:rPr>
          <w:b/>
          <w:i/>
          <w:color w:val="B52628"/>
          <w:spacing w:val="-2"/>
          <w:sz w:val="24"/>
        </w:rPr>
        <w:t>En</w:t>
      </w:r>
      <w:r>
        <w:rPr>
          <w:b/>
          <w:i/>
          <w:color w:val="B52628"/>
          <w:spacing w:val="-15"/>
          <w:sz w:val="24"/>
        </w:rPr>
        <w:t> </w:t>
      </w:r>
      <w:r>
        <w:rPr>
          <w:b/>
          <w:i/>
          <w:color w:val="B52628"/>
          <w:spacing w:val="-2"/>
          <w:sz w:val="24"/>
        </w:rPr>
        <w:t>el</w:t>
      </w:r>
      <w:r>
        <w:rPr>
          <w:b/>
          <w:i/>
          <w:color w:val="B52628"/>
          <w:spacing w:val="-14"/>
          <w:sz w:val="24"/>
        </w:rPr>
        <w:t> </w:t>
      </w:r>
      <w:r>
        <w:rPr>
          <w:b/>
          <w:i/>
          <w:color w:val="B52628"/>
          <w:spacing w:val="-2"/>
          <w:sz w:val="24"/>
        </w:rPr>
        <w:t>ámbito</w:t>
      </w:r>
      <w:r>
        <w:rPr>
          <w:b/>
          <w:i/>
          <w:color w:val="B52628"/>
          <w:spacing w:val="-15"/>
          <w:sz w:val="24"/>
        </w:rPr>
        <w:t> </w:t>
      </w:r>
      <w:r>
        <w:rPr>
          <w:b/>
          <w:i/>
          <w:color w:val="B52628"/>
          <w:spacing w:val="-2"/>
          <w:sz w:val="24"/>
        </w:rPr>
        <w:t>cultural,</w:t>
      </w:r>
      <w:r>
        <w:rPr>
          <w:b/>
          <w:i/>
          <w:color w:val="B52628"/>
          <w:spacing w:val="-14"/>
          <w:sz w:val="24"/>
        </w:rPr>
        <w:t> </w:t>
      </w:r>
      <w:r>
        <w:rPr>
          <w:rFonts w:ascii="Segoe UI Semibold" w:hAnsi="Segoe UI Semibold"/>
          <w:b/>
          <w:i/>
          <w:color w:val="231F20"/>
          <w:spacing w:val="-2"/>
          <w:sz w:val="24"/>
        </w:rPr>
        <w:t>el</w:t>
      </w:r>
      <w:r>
        <w:rPr>
          <w:rFonts w:ascii="Segoe UI Semibold" w:hAnsi="Segoe UI Semibold"/>
          <w:b/>
          <w:i/>
          <w:color w:val="231F20"/>
          <w:spacing w:val="-15"/>
          <w:sz w:val="24"/>
        </w:rPr>
        <w:t> </w:t>
      </w:r>
      <w:r>
        <w:rPr>
          <w:rFonts w:ascii="Segoe UI Semibold" w:hAnsi="Segoe UI Semibold"/>
          <w:b/>
          <w:i/>
          <w:color w:val="231F20"/>
          <w:spacing w:val="-2"/>
          <w:sz w:val="24"/>
        </w:rPr>
        <w:t>bloqueo</w:t>
      </w:r>
      <w:r>
        <w:rPr>
          <w:rFonts w:ascii="Segoe UI Semibold" w:hAnsi="Segoe UI Semibold"/>
          <w:b/>
          <w:i/>
          <w:color w:val="231F20"/>
          <w:spacing w:val="-14"/>
          <w:sz w:val="24"/>
        </w:rPr>
        <w:t> </w:t>
      </w:r>
      <w:r>
        <w:rPr>
          <w:rFonts w:ascii="Segoe UI Semibold" w:hAnsi="Segoe UI Semibold"/>
          <w:b/>
          <w:i/>
          <w:color w:val="231F20"/>
          <w:spacing w:val="-2"/>
          <w:sz w:val="24"/>
        </w:rPr>
        <w:t>dificulta</w:t>
      </w:r>
      <w:r>
        <w:rPr>
          <w:rFonts w:ascii="Segoe UI Semibold" w:hAnsi="Segoe UI Semibold"/>
          <w:b/>
          <w:i/>
          <w:color w:val="231F20"/>
          <w:spacing w:val="-2"/>
          <w:sz w:val="24"/>
        </w:rPr>
        <w:t> </w:t>
      </w:r>
      <w:r>
        <w:rPr>
          <w:rFonts w:ascii="Segoe UI Semibold" w:hAnsi="Segoe UI Semibold"/>
          <w:b/>
          <w:i/>
          <w:color w:val="231F20"/>
          <w:sz w:val="24"/>
        </w:rPr>
        <w:t>la búsqueda de nichos de mercados y oportunidades de negocios, impide la promoción, difusión y comercialización de nuestros talentos culturales; deprime a valores ínfimos los precios de venta y </w:t>
      </w:r>
      <w:r>
        <w:rPr>
          <w:rFonts w:ascii="Segoe UI Semibold" w:hAnsi="Segoe UI Semibold"/>
          <w:b/>
          <w:i/>
          <w:color w:val="231F20"/>
          <w:spacing w:val="-2"/>
          <w:sz w:val="24"/>
        </w:rPr>
        <w:t>limita</w:t>
      </w:r>
      <w:r>
        <w:rPr>
          <w:rFonts w:ascii="Segoe UI Semibold" w:hAnsi="Segoe UI Semibold"/>
          <w:b/>
          <w:i/>
          <w:color w:val="231F20"/>
          <w:spacing w:val="-15"/>
          <w:sz w:val="24"/>
        </w:rPr>
        <w:t> </w:t>
      </w:r>
      <w:r>
        <w:rPr>
          <w:rFonts w:ascii="Segoe UI Semibold" w:hAnsi="Segoe UI Semibold"/>
          <w:b/>
          <w:i/>
          <w:color w:val="231F20"/>
          <w:spacing w:val="-2"/>
          <w:sz w:val="24"/>
        </w:rPr>
        <w:t>enormemente</w:t>
      </w:r>
      <w:r>
        <w:rPr>
          <w:rFonts w:ascii="Segoe UI Semibold" w:hAnsi="Segoe UI Semibold"/>
          <w:b/>
          <w:i/>
          <w:color w:val="231F20"/>
          <w:spacing w:val="-14"/>
          <w:sz w:val="24"/>
        </w:rPr>
        <w:t> </w:t>
      </w:r>
      <w:r>
        <w:rPr>
          <w:rFonts w:ascii="Segoe UI Semibold" w:hAnsi="Segoe UI Semibold"/>
          <w:b/>
          <w:i/>
          <w:color w:val="231F20"/>
          <w:spacing w:val="-2"/>
          <w:sz w:val="24"/>
        </w:rPr>
        <w:t>el</w:t>
      </w:r>
      <w:r>
        <w:rPr>
          <w:rFonts w:ascii="Segoe UI Semibold" w:hAnsi="Segoe UI Semibold"/>
          <w:b/>
          <w:i/>
          <w:color w:val="231F20"/>
          <w:spacing w:val="-15"/>
          <w:sz w:val="24"/>
        </w:rPr>
        <w:t> </w:t>
      </w:r>
      <w:r>
        <w:rPr>
          <w:rFonts w:ascii="Segoe UI Semibold" w:hAnsi="Segoe UI Semibold"/>
          <w:b/>
          <w:i/>
          <w:color w:val="231F20"/>
          <w:spacing w:val="-2"/>
          <w:sz w:val="24"/>
        </w:rPr>
        <w:t>disfrute</w:t>
      </w:r>
      <w:r>
        <w:rPr>
          <w:rFonts w:ascii="Segoe UI Semibold" w:hAnsi="Segoe UI Semibold"/>
          <w:b/>
          <w:i/>
          <w:color w:val="231F20"/>
          <w:spacing w:val="-14"/>
          <w:sz w:val="24"/>
        </w:rPr>
        <w:t> </w:t>
      </w:r>
      <w:r>
        <w:rPr>
          <w:rFonts w:ascii="Segoe UI Semibold" w:hAnsi="Segoe UI Semibold"/>
          <w:b/>
          <w:i/>
          <w:color w:val="231F20"/>
          <w:spacing w:val="-2"/>
          <w:sz w:val="24"/>
        </w:rPr>
        <w:t>de</w:t>
      </w:r>
      <w:r>
        <w:rPr>
          <w:rFonts w:ascii="Segoe UI Semibold" w:hAnsi="Segoe UI Semibold"/>
          <w:b/>
          <w:i/>
          <w:color w:val="231F20"/>
          <w:spacing w:val="-15"/>
          <w:sz w:val="24"/>
        </w:rPr>
        <w:t> </w:t>
      </w:r>
      <w:r>
        <w:rPr>
          <w:rFonts w:ascii="Segoe UI Semibold" w:hAnsi="Segoe UI Semibold"/>
          <w:b/>
          <w:i/>
          <w:color w:val="231F20"/>
          <w:spacing w:val="-2"/>
          <w:sz w:val="24"/>
        </w:rPr>
        <w:t>nuestro </w:t>
      </w:r>
      <w:r>
        <w:rPr>
          <w:rFonts w:ascii="Segoe UI Semibold" w:hAnsi="Segoe UI Semibold"/>
          <w:b/>
          <w:i/>
          <w:color w:val="231F20"/>
          <w:sz w:val="24"/>
        </w:rPr>
        <w:t>arte</w:t>
      </w:r>
      <w:r>
        <w:rPr>
          <w:rFonts w:ascii="Segoe UI Semibold" w:hAnsi="Segoe UI Semibold"/>
          <w:b/>
          <w:i/>
          <w:color w:val="231F20"/>
          <w:spacing w:val="-15"/>
          <w:sz w:val="24"/>
        </w:rPr>
        <w:t> </w:t>
      </w:r>
      <w:r>
        <w:rPr>
          <w:rFonts w:ascii="Segoe UI Semibold" w:hAnsi="Segoe UI Semibold"/>
          <w:b/>
          <w:i/>
          <w:color w:val="231F20"/>
          <w:sz w:val="24"/>
        </w:rPr>
        <w:t>por</w:t>
      </w:r>
      <w:r>
        <w:rPr>
          <w:rFonts w:ascii="Segoe UI Semibold" w:hAnsi="Segoe UI Semibold"/>
          <w:b/>
          <w:i/>
          <w:color w:val="231F20"/>
          <w:spacing w:val="-15"/>
          <w:sz w:val="24"/>
        </w:rPr>
        <w:t> </w:t>
      </w:r>
      <w:r>
        <w:rPr>
          <w:rFonts w:ascii="Segoe UI Semibold" w:hAnsi="Segoe UI Semibold"/>
          <w:b/>
          <w:i/>
          <w:color w:val="231F20"/>
          <w:sz w:val="24"/>
        </w:rPr>
        <w:t>las</w:t>
      </w:r>
      <w:r>
        <w:rPr>
          <w:rFonts w:ascii="Segoe UI Semibold" w:hAnsi="Segoe UI Semibold"/>
          <w:b/>
          <w:i/>
          <w:color w:val="231F20"/>
          <w:spacing w:val="-15"/>
          <w:sz w:val="24"/>
        </w:rPr>
        <w:t> </w:t>
      </w:r>
      <w:r>
        <w:rPr>
          <w:rFonts w:ascii="Segoe UI Semibold" w:hAnsi="Segoe UI Semibold"/>
          <w:b/>
          <w:i/>
          <w:color w:val="231F20"/>
          <w:sz w:val="24"/>
        </w:rPr>
        <w:t>amplias</w:t>
      </w:r>
      <w:r>
        <w:rPr>
          <w:rFonts w:ascii="Segoe UI Semibold" w:hAnsi="Segoe UI Semibold"/>
          <w:b/>
          <w:i/>
          <w:color w:val="231F20"/>
          <w:spacing w:val="-15"/>
          <w:sz w:val="24"/>
        </w:rPr>
        <w:t> </w:t>
      </w:r>
      <w:r>
        <w:rPr>
          <w:rFonts w:ascii="Segoe UI Semibold" w:hAnsi="Segoe UI Semibold"/>
          <w:b/>
          <w:i/>
          <w:color w:val="231F20"/>
          <w:sz w:val="24"/>
        </w:rPr>
        <w:t>masas</w:t>
      </w:r>
      <w:r>
        <w:rPr>
          <w:rFonts w:ascii="Segoe UI Semibold" w:hAnsi="Segoe UI Semibold"/>
          <w:b/>
          <w:i/>
          <w:color w:val="231F20"/>
          <w:spacing w:val="-15"/>
          <w:sz w:val="24"/>
        </w:rPr>
        <w:t> </w:t>
      </w:r>
      <w:r>
        <w:rPr>
          <w:rFonts w:ascii="Segoe UI Semibold" w:hAnsi="Segoe UI Semibold"/>
          <w:b/>
          <w:i/>
          <w:color w:val="231F20"/>
          <w:sz w:val="24"/>
        </w:rPr>
        <w:t>poblacionales de todos los continentes.</w:t>
      </w:r>
    </w:p>
    <w:p>
      <w:pPr>
        <w:pStyle w:val="BodyText"/>
        <w:spacing w:before="159"/>
        <w:ind w:left="1474" w:right="1"/>
      </w:pPr>
      <w:r>
        <w:rPr>
          <w:color w:val="231F20"/>
        </w:rPr>
        <w:t>En esta etapa, el sector de la cultura ha sido blanco de la política de subversión de los Estados Unidos contra Cuba, que ha</w:t>
      </w:r>
      <w:r>
        <w:rPr>
          <w:color w:val="231F20"/>
          <w:spacing w:val="-3"/>
        </w:rPr>
        <w:t> </w:t>
      </w:r>
      <w:r>
        <w:rPr>
          <w:color w:val="231F20"/>
        </w:rPr>
        <w:t>dirigido</w:t>
      </w:r>
      <w:r>
        <w:rPr>
          <w:color w:val="231F20"/>
          <w:spacing w:val="-3"/>
        </w:rPr>
        <w:t> </w:t>
      </w:r>
      <w:r>
        <w:rPr>
          <w:color w:val="231F20"/>
        </w:rPr>
        <w:t>todos</w:t>
      </w:r>
      <w:r>
        <w:rPr>
          <w:color w:val="231F20"/>
          <w:spacing w:val="-3"/>
        </w:rPr>
        <w:t> </w:t>
      </w:r>
      <w:r>
        <w:rPr>
          <w:color w:val="231F20"/>
        </w:rPr>
        <w:t>sus</w:t>
      </w:r>
      <w:r>
        <w:rPr>
          <w:color w:val="231F20"/>
          <w:spacing w:val="-3"/>
        </w:rPr>
        <w:t> </w:t>
      </w:r>
      <w:r>
        <w:rPr>
          <w:color w:val="231F20"/>
        </w:rPr>
        <w:t>recursos</w:t>
      </w:r>
      <w:r>
        <w:rPr>
          <w:color w:val="231F20"/>
          <w:spacing w:val="-3"/>
        </w:rPr>
        <w:t> </w:t>
      </w:r>
      <w:r>
        <w:rPr>
          <w:color w:val="231F20"/>
        </w:rPr>
        <w:t>a</w:t>
      </w:r>
      <w:r>
        <w:rPr>
          <w:color w:val="231F20"/>
          <w:spacing w:val="-3"/>
        </w:rPr>
        <w:t> </w:t>
      </w:r>
      <w:r>
        <w:rPr>
          <w:color w:val="231F20"/>
        </w:rPr>
        <w:t>estimular el descontento, incitar la emigración, desplegar</w:t>
      </w:r>
      <w:r>
        <w:rPr>
          <w:color w:val="231F20"/>
          <w:spacing w:val="49"/>
        </w:rPr>
        <w:t> </w:t>
      </w:r>
      <w:r>
        <w:rPr>
          <w:color w:val="231F20"/>
        </w:rPr>
        <w:t>una</w:t>
      </w:r>
      <w:r>
        <w:rPr>
          <w:color w:val="231F20"/>
          <w:spacing w:val="49"/>
        </w:rPr>
        <w:t> </w:t>
      </w:r>
      <w:r>
        <w:rPr>
          <w:color w:val="231F20"/>
        </w:rPr>
        <w:t>campaña</w:t>
      </w:r>
      <w:r>
        <w:rPr>
          <w:color w:val="231F20"/>
          <w:spacing w:val="49"/>
        </w:rPr>
        <w:t> </w:t>
      </w:r>
      <w:r>
        <w:rPr>
          <w:color w:val="231F20"/>
        </w:rPr>
        <w:t>mediática</w:t>
      </w:r>
      <w:r>
        <w:rPr>
          <w:color w:val="231F20"/>
          <w:spacing w:val="49"/>
        </w:rPr>
        <w:t> </w:t>
      </w:r>
      <w:r>
        <w:rPr>
          <w:color w:val="231F20"/>
          <w:spacing w:val="-2"/>
        </w:rPr>
        <w:t>feroz</w:t>
      </w:r>
    </w:p>
    <w:p>
      <w:pPr>
        <w:pStyle w:val="BodyText"/>
        <w:spacing w:before="77"/>
        <w:ind w:left="412" w:right="1133"/>
      </w:pPr>
      <w:r>
        <w:rPr/>
        <w:br w:type="column"/>
      </w:r>
      <w:r>
        <w:rPr>
          <w:color w:val="231F20"/>
        </w:rPr>
        <w:t>contra los creadores y artistas cubanos que se mantienen trabajando en el país, frustrar sus presentaciones en el exterior, incluido mediante el acoso y la violencia </w:t>
      </w:r>
      <w:r>
        <w:rPr>
          <w:color w:val="231F20"/>
          <w:spacing w:val="-2"/>
        </w:rPr>
        <w:t>física,</w:t>
      </w:r>
      <w:r>
        <w:rPr>
          <w:color w:val="231F20"/>
          <w:spacing w:val="-15"/>
        </w:rPr>
        <w:t> </w:t>
      </w:r>
      <w:r>
        <w:rPr>
          <w:color w:val="231F20"/>
          <w:spacing w:val="-2"/>
        </w:rPr>
        <w:t>así</w:t>
      </w:r>
      <w:r>
        <w:rPr>
          <w:color w:val="231F20"/>
          <w:spacing w:val="-14"/>
        </w:rPr>
        <w:t> </w:t>
      </w:r>
      <w:r>
        <w:rPr>
          <w:color w:val="231F20"/>
          <w:spacing w:val="-2"/>
        </w:rPr>
        <w:t>como</w:t>
      </w:r>
      <w:r>
        <w:rPr>
          <w:color w:val="231F20"/>
          <w:spacing w:val="-15"/>
        </w:rPr>
        <w:t> </w:t>
      </w:r>
      <w:r>
        <w:rPr>
          <w:color w:val="231F20"/>
          <w:spacing w:val="-2"/>
        </w:rPr>
        <w:t>promover</w:t>
      </w:r>
      <w:r>
        <w:rPr>
          <w:color w:val="231F20"/>
          <w:spacing w:val="-14"/>
        </w:rPr>
        <w:t> </w:t>
      </w:r>
      <w:r>
        <w:rPr>
          <w:color w:val="231F20"/>
          <w:spacing w:val="-2"/>
        </w:rPr>
        <w:t>la</w:t>
      </w:r>
      <w:r>
        <w:rPr>
          <w:color w:val="231F20"/>
          <w:spacing w:val="-15"/>
        </w:rPr>
        <w:t> </w:t>
      </w:r>
      <w:r>
        <w:rPr>
          <w:color w:val="231F20"/>
          <w:spacing w:val="-2"/>
        </w:rPr>
        <w:t>ruptura</w:t>
      </w:r>
      <w:r>
        <w:rPr>
          <w:color w:val="231F20"/>
          <w:spacing w:val="-14"/>
        </w:rPr>
        <w:t> </w:t>
      </w:r>
      <w:r>
        <w:rPr>
          <w:color w:val="231F20"/>
          <w:spacing w:val="-2"/>
        </w:rPr>
        <w:t>con</w:t>
      </w:r>
      <w:r>
        <w:rPr>
          <w:color w:val="231F20"/>
          <w:spacing w:val="-15"/>
        </w:rPr>
        <w:t> </w:t>
      </w:r>
      <w:r>
        <w:rPr>
          <w:color w:val="231F20"/>
          <w:spacing w:val="-2"/>
        </w:rPr>
        <w:t>las </w:t>
      </w:r>
      <w:r>
        <w:rPr>
          <w:color w:val="231F20"/>
        </w:rPr>
        <w:t>instituciones</w:t>
      </w:r>
      <w:r>
        <w:rPr>
          <w:color w:val="231F20"/>
          <w:spacing w:val="-4"/>
        </w:rPr>
        <w:t> </w:t>
      </w:r>
      <w:r>
        <w:rPr>
          <w:color w:val="231F20"/>
        </w:rPr>
        <w:t>de</w:t>
      </w:r>
      <w:r>
        <w:rPr>
          <w:color w:val="231F20"/>
          <w:spacing w:val="-4"/>
        </w:rPr>
        <w:t> </w:t>
      </w:r>
      <w:r>
        <w:rPr>
          <w:color w:val="231F20"/>
        </w:rPr>
        <w:t>la</w:t>
      </w:r>
      <w:r>
        <w:rPr>
          <w:color w:val="231F20"/>
          <w:spacing w:val="-4"/>
        </w:rPr>
        <w:t> </w:t>
      </w:r>
      <w:r>
        <w:rPr>
          <w:color w:val="231F20"/>
        </w:rPr>
        <w:t>cultura</w:t>
      </w:r>
      <w:r>
        <w:rPr>
          <w:color w:val="231F20"/>
          <w:spacing w:val="-4"/>
        </w:rPr>
        <w:t> </w:t>
      </w:r>
      <w:r>
        <w:rPr>
          <w:color w:val="231F20"/>
        </w:rPr>
        <w:t>de</w:t>
      </w:r>
      <w:r>
        <w:rPr>
          <w:color w:val="231F20"/>
          <w:spacing w:val="-4"/>
        </w:rPr>
        <w:t> </w:t>
      </w:r>
      <w:r>
        <w:rPr>
          <w:color w:val="231F20"/>
        </w:rPr>
        <w:t>otros</w:t>
      </w:r>
      <w:r>
        <w:rPr>
          <w:color w:val="231F20"/>
          <w:spacing w:val="-4"/>
        </w:rPr>
        <w:t> </w:t>
      </w:r>
      <w:r>
        <w:rPr>
          <w:color w:val="231F20"/>
        </w:rPr>
        <w:t>países.</w:t>
      </w:r>
    </w:p>
    <w:p>
      <w:pPr>
        <w:pStyle w:val="BodyText"/>
        <w:spacing w:before="164"/>
        <w:ind w:left="412" w:right="1130"/>
      </w:pPr>
      <w:r>
        <w:rPr>
          <w:color w:val="231F20"/>
        </w:rPr>
        <w:t>En mayo de 2023, el dúo cubano </w:t>
      </w:r>
      <w:r>
        <w:rPr>
          <w:color w:val="231F20"/>
        </w:rPr>
        <w:t>Buena Fe</w:t>
      </w:r>
      <w:r>
        <w:rPr>
          <w:color w:val="231F20"/>
          <w:spacing w:val="40"/>
        </w:rPr>
        <w:t> </w:t>
      </w:r>
      <w:r>
        <w:rPr>
          <w:color w:val="231F20"/>
        </w:rPr>
        <w:t>fue</w:t>
      </w:r>
      <w:r>
        <w:rPr>
          <w:color w:val="231F20"/>
          <w:spacing w:val="40"/>
        </w:rPr>
        <w:t> </w:t>
      </w:r>
      <w:r>
        <w:rPr>
          <w:color w:val="231F20"/>
        </w:rPr>
        <w:t>víctima</w:t>
      </w:r>
      <w:r>
        <w:rPr>
          <w:color w:val="231F20"/>
          <w:spacing w:val="40"/>
        </w:rPr>
        <w:t> </w:t>
      </w:r>
      <w:r>
        <w:rPr>
          <w:color w:val="231F20"/>
        </w:rPr>
        <w:t>de</w:t>
      </w:r>
      <w:r>
        <w:rPr>
          <w:color w:val="231F20"/>
          <w:spacing w:val="40"/>
        </w:rPr>
        <w:t> </w:t>
      </w:r>
      <w:r>
        <w:rPr>
          <w:color w:val="231F20"/>
        </w:rPr>
        <w:t>esta</w:t>
      </w:r>
      <w:r>
        <w:rPr>
          <w:color w:val="231F20"/>
          <w:spacing w:val="40"/>
        </w:rPr>
        <w:t> </w:t>
      </w:r>
      <w:r>
        <w:rPr>
          <w:color w:val="231F20"/>
        </w:rPr>
        <w:t>brutal</w:t>
      </w:r>
      <w:r>
        <w:rPr>
          <w:color w:val="231F20"/>
          <w:spacing w:val="40"/>
        </w:rPr>
        <w:t> </w:t>
      </w:r>
      <w:r>
        <w:rPr>
          <w:color w:val="231F20"/>
        </w:rPr>
        <w:t>campaña de difamación. Durante su concierto en</w:t>
      </w:r>
      <w:r>
        <w:rPr>
          <w:color w:val="231F20"/>
          <w:spacing w:val="80"/>
        </w:rPr>
        <w:t> </w:t>
      </w:r>
      <w:r>
        <w:rPr>
          <w:color w:val="231F20"/>
        </w:rPr>
        <w:t>la sala Galileo Galilei, de Madrid, como parte</w:t>
      </w:r>
      <w:r>
        <w:rPr>
          <w:color w:val="231F20"/>
          <w:spacing w:val="-16"/>
        </w:rPr>
        <w:t> </w:t>
      </w:r>
      <w:r>
        <w:rPr>
          <w:color w:val="231F20"/>
        </w:rPr>
        <w:t>de</w:t>
      </w:r>
      <w:r>
        <w:rPr>
          <w:color w:val="231F20"/>
          <w:spacing w:val="-16"/>
        </w:rPr>
        <w:t> </w:t>
      </w:r>
      <w:r>
        <w:rPr>
          <w:color w:val="231F20"/>
        </w:rPr>
        <w:t>una</w:t>
      </w:r>
      <w:r>
        <w:rPr>
          <w:color w:val="231F20"/>
          <w:spacing w:val="-16"/>
        </w:rPr>
        <w:t> </w:t>
      </w:r>
      <w:r>
        <w:rPr>
          <w:color w:val="231F20"/>
        </w:rPr>
        <w:t>gira</w:t>
      </w:r>
      <w:r>
        <w:rPr>
          <w:color w:val="231F20"/>
          <w:spacing w:val="-16"/>
        </w:rPr>
        <w:t> </w:t>
      </w:r>
      <w:r>
        <w:rPr>
          <w:color w:val="231F20"/>
        </w:rPr>
        <w:t>por</w:t>
      </w:r>
      <w:r>
        <w:rPr>
          <w:color w:val="231F20"/>
          <w:spacing w:val="-16"/>
        </w:rPr>
        <w:t> </w:t>
      </w:r>
      <w:r>
        <w:rPr>
          <w:color w:val="231F20"/>
        </w:rPr>
        <w:t>Europa,</w:t>
      </w:r>
      <w:r>
        <w:rPr>
          <w:color w:val="231F20"/>
          <w:spacing w:val="-16"/>
        </w:rPr>
        <w:t> </w:t>
      </w:r>
      <w:r>
        <w:rPr>
          <w:color w:val="231F20"/>
        </w:rPr>
        <w:t>se</w:t>
      </w:r>
      <w:r>
        <w:rPr>
          <w:color w:val="231F20"/>
          <w:spacing w:val="-16"/>
        </w:rPr>
        <w:t> </w:t>
      </w:r>
      <w:r>
        <w:rPr>
          <w:color w:val="231F20"/>
        </w:rPr>
        <w:t>pretendió boicotear su presentación mediante el </w:t>
      </w:r>
      <w:r>
        <w:rPr>
          <w:color w:val="231F20"/>
          <w:spacing w:val="-2"/>
        </w:rPr>
        <w:t>lanzamiento</w:t>
      </w:r>
      <w:r>
        <w:rPr>
          <w:color w:val="231F20"/>
          <w:spacing w:val="-12"/>
        </w:rPr>
        <w:t> </w:t>
      </w:r>
      <w:r>
        <w:rPr>
          <w:color w:val="231F20"/>
          <w:spacing w:val="-2"/>
        </w:rPr>
        <w:t>de</w:t>
      </w:r>
      <w:r>
        <w:rPr>
          <w:color w:val="231F20"/>
          <w:spacing w:val="-12"/>
        </w:rPr>
        <w:t> </w:t>
      </w:r>
      <w:r>
        <w:rPr>
          <w:color w:val="231F20"/>
          <w:spacing w:val="-2"/>
        </w:rPr>
        <w:t>objetos</w:t>
      </w:r>
      <w:r>
        <w:rPr>
          <w:color w:val="231F20"/>
          <w:spacing w:val="-12"/>
        </w:rPr>
        <w:t> </w:t>
      </w:r>
      <w:r>
        <w:rPr>
          <w:color w:val="231F20"/>
          <w:spacing w:val="-2"/>
        </w:rPr>
        <w:t>y</w:t>
      </w:r>
      <w:r>
        <w:rPr>
          <w:color w:val="231F20"/>
          <w:spacing w:val="-12"/>
        </w:rPr>
        <w:t> </w:t>
      </w:r>
      <w:r>
        <w:rPr>
          <w:color w:val="231F20"/>
          <w:spacing w:val="-2"/>
        </w:rPr>
        <w:t>ofensas</w:t>
      </w:r>
      <w:r>
        <w:rPr>
          <w:color w:val="231F20"/>
          <w:spacing w:val="-12"/>
        </w:rPr>
        <w:t> </w:t>
      </w:r>
      <w:r>
        <w:rPr>
          <w:color w:val="231F20"/>
          <w:spacing w:val="-2"/>
        </w:rPr>
        <w:t>verbales. </w:t>
      </w:r>
      <w:r>
        <w:rPr>
          <w:color w:val="231F20"/>
        </w:rPr>
        <w:t>El acoso y hostigamiento mediático hacia los promotores y dueños de las salas de </w:t>
      </w:r>
      <w:r>
        <w:rPr>
          <w:color w:val="231F20"/>
          <w:spacing w:val="-2"/>
        </w:rPr>
        <w:t>concierto,</w:t>
      </w:r>
      <w:r>
        <w:rPr>
          <w:color w:val="231F20"/>
          <w:spacing w:val="-15"/>
        </w:rPr>
        <w:t> </w:t>
      </w:r>
      <w:r>
        <w:rPr>
          <w:color w:val="231F20"/>
          <w:spacing w:val="-2"/>
        </w:rPr>
        <w:t>condujo</w:t>
      </w:r>
      <w:r>
        <w:rPr>
          <w:color w:val="231F20"/>
          <w:spacing w:val="-14"/>
        </w:rPr>
        <w:t> </w:t>
      </w:r>
      <w:r>
        <w:rPr>
          <w:color w:val="231F20"/>
          <w:spacing w:val="-2"/>
        </w:rPr>
        <w:t>a</w:t>
      </w:r>
      <w:r>
        <w:rPr>
          <w:color w:val="231F20"/>
          <w:spacing w:val="-15"/>
        </w:rPr>
        <w:t> </w:t>
      </w:r>
      <w:r>
        <w:rPr>
          <w:color w:val="231F20"/>
          <w:spacing w:val="-2"/>
        </w:rPr>
        <w:t>la</w:t>
      </w:r>
      <w:r>
        <w:rPr>
          <w:color w:val="231F20"/>
          <w:spacing w:val="-14"/>
        </w:rPr>
        <w:t> </w:t>
      </w:r>
      <w:r>
        <w:rPr>
          <w:color w:val="231F20"/>
          <w:spacing w:val="-2"/>
        </w:rPr>
        <w:t>suspensión</w:t>
      </w:r>
      <w:r>
        <w:rPr>
          <w:color w:val="231F20"/>
          <w:spacing w:val="-15"/>
        </w:rPr>
        <w:t> </w:t>
      </w:r>
      <w:r>
        <w:rPr>
          <w:color w:val="231F20"/>
          <w:spacing w:val="-2"/>
        </w:rPr>
        <w:t>de</w:t>
      </w:r>
      <w:r>
        <w:rPr>
          <w:color w:val="231F20"/>
          <w:spacing w:val="-14"/>
        </w:rPr>
        <w:t> </w:t>
      </w:r>
      <w:r>
        <w:rPr>
          <w:color w:val="231F20"/>
          <w:spacing w:val="-2"/>
        </w:rPr>
        <w:t>otras </w:t>
      </w:r>
      <w:r>
        <w:rPr>
          <w:color w:val="231F20"/>
        </w:rPr>
        <w:t>presentaciones previstas en Salamanca y </w:t>
      </w:r>
      <w:r>
        <w:rPr>
          <w:color w:val="231F20"/>
          <w:spacing w:val="-2"/>
        </w:rPr>
        <w:t>Zamora.</w:t>
      </w:r>
    </w:p>
    <w:p>
      <w:pPr>
        <w:pStyle w:val="BodyText"/>
        <w:spacing w:before="170"/>
        <w:ind w:left="412" w:right="1131"/>
      </w:pPr>
      <w:r>
        <w:rPr>
          <w:color w:val="231F20"/>
        </w:rPr>
        <w:t>La</w:t>
      </w:r>
      <w:r>
        <w:rPr>
          <w:color w:val="231F20"/>
          <w:spacing w:val="-6"/>
        </w:rPr>
        <w:t> </w:t>
      </w:r>
      <w:r>
        <w:rPr>
          <w:color w:val="231F20"/>
        </w:rPr>
        <w:t>intelectual</w:t>
      </w:r>
      <w:r>
        <w:rPr>
          <w:color w:val="231F20"/>
          <w:spacing w:val="-7"/>
        </w:rPr>
        <w:t> </w:t>
      </w:r>
      <w:r>
        <w:rPr>
          <w:color w:val="231F20"/>
        </w:rPr>
        <w:t>cubana,</w:t>
      </w:r>
      <w:r>
        <w:rPr>
          <w:color w:val="231F20"/>
          <w:spacing w:val="-6"/>
        </w:rPr>
        <w:t> </w:t>
      </w:r>
      <w:r>
        <w:rPr>
          <w:color w:val="231F20"/>
        </w:rPr>
        <w:t>Premio</w:t>
      </w:r>
      <w:r>
        <w:rPr>
          <w:color w:val="231F20"/>
          <w:spacing w:val="-7"/>
        </w:rPr>
        <w:t> </w:t>
      </w:r>
      <w:r>
        <w:rPr>
          <w:color w:val="231F20"/>
        </w:rPr>
        <w:t>Nacional</w:t>
      </w:r>
      <w:r>
        <w:rPr>
          <w:color w:val="231F20"/>
          <w:spacing w:val="-7"/>
        </w:rPr>
        <w:t> </w:t>
      </w:r>
      <w:r>
        <w:rPr>
          <w:color w:val="231F20"/>
        </w:rPr>
        <w:t>de Literatura, Nancy Morejón, fue también </w:t>
      </w:r>
      <w:r>
        <w:rPr>
          <w:color w:val="231F20"/>
          <w:spacing w:val="-10"/>
        </w:rPr>
        <w:t>blanco</w:t>
      </w:r>
      <w:r>
        <w:rPr>
          <w:color w:val="231F20"/>
          <w:spacing w:val="-2"/>
        </w:rPr>
        <w:t> </w:t>
      </w:r>
      <w:r>
        <w:rPr>
          <w:color w:val="231F20"/>
          <w:spacing w:val="-10"/>
        </w:rPr>
        <w:t>de</w:t>
      </w:r>
      <w:r>
        <w:rPr>
          <w:color w:val="231F20"/>
          <w:spacing w:val="-2"/>
        </w:rPr>
        <w:t> </w:t>
      </w:r>
      <w:r>
        <w:rPr>
          <w:color w:val="231F20"/>
          <w:spacing w:val="-10"/>
        </w:rPr>
        <w:t>la</w:t>
      </w:r>
      <w:r>
        <w:rPr>
          <w:color w:val="231F20"/>
          <w:spacing w:val="-2"/>
        </w:rPr>
        <w:t> </w:t>
      </w:r>
      <w:r>
        <w:rPr>
          <w:color w:val="231F20"/>
          <w:spacing w:val="-10"/>
        </w:rPr>
        <w:t>guerra</w:t>
      </w:r>
      <w:r>
        <w:rPr>
          <w:color w:val="231F20"/>
          <w:spacing w:val="-2"/>
        </w:rPr>
        <w:t> </w:t>
      </w:r>
      <w:r>
        <w:rPr>
          <w:color w:val="231F20"/>
          <w:spacing w:val="-10"/>
        </w:rPr>
        <w:t>cultural</w:t>
      </w:r>
      <w:r>
        <w:rPr>
          <w:color w:val="231F20"/>
          <w:spacing w:val="-2"/>
        </w:rPr>
        <w:t> </w:t>
      </w:r>
      <w:r>
        <w:rPr>
          <w:color w:val="231F20"/>
          <w:spacing w:val="-10"/>
        </w:rPr>
        <w:t>y</w:t>
      </w:r>
      <w:r>
        <w:rPr>
          <w:color w:val="231F20"/>
          <w:spacing w:val="-2"/>
        </w:rPr>
        <w:t> </w:t>
      </w:r>
      <w:r>
        <w:rPr>
          <w:color w:val="231F20"/>
          <w:spacing w:val="-10"/>
        </w:rPr>
        <w:t>comunicacional </w:t>
      </w:r>
      <w:r>
        <w:rPr>
          <w:color w:val="231F20"/>
        </w:rPr>
        <w:t>contra Cuba. A finales de mayo de 2023, los organizadores del evento “Mercado de</w:t>
      </w:r>
      <w:r>
        <w:rPr>
          <w:color w:val="231F20"/>
          <w:spacing w:val="-12"/>
        </w:rPr>
        <w:t> </w:t>
      </w:r>
      <w:r>
        <w:rPr>
          <w:color w:val="231F20"/>
        </w:rPr>
        <w:t>la</w:t>
      </w:r>
      <w:r>
        <w:rPr>
          <w:color w:val="231F20"/>
          <w:spacing w:val="-12"/>
        </w:rPr>
        <w:t> </w:t>
      </w:r>
      <w:r>
        <w:rPr>
          <w:color w:val="231F20"/>
        </w:rPr>
        <w:t>Poesía”,</w:t>
      </w:r>
      <w:r>
        <w:rPr>
          <w:color w:val="231F20"/>
          <w:spacing w:val="-12"/>
        </w:rPr>
        <w:t> </w:t>
      </w:r>
      <w:r>
        <w:rPr>
          <w:color w:val="231F20"/>
        </w:rPr>
        <w:t>que</w:t>
      </w:r>
      <w:r>
        <w:rPr>
          <w:color w:val="231F20"/>
          <w:spacing w:val="-12"/>
        </w:rPr>
        <w:t> </w:t>
      </w:r>
      <w:r>
        <w:rPr>
          <w:color w:val="231F20"/>
        </w:rPr>
        <w:t>tuvo</w:t>
      </w:r>
      <w:r>
        <w:rPr>
          <w:color w:val="231F20"/>
          <w:spacing w:val="-12"/>
        </w:rPr>
        <w:t> </w:t>
      </w:r>
      <w:r>
        <w:rPr>
          <w:color w:val="231F20"/>
        </w:rPr>
        <w:t>lugar</w:t>
      </w:r>
      <w:r>
        <w:rPr>
          <w:color w:val="231F20"/>
          <w:spacing w:val="-12"/>
        </w:rPr>
        <w:t> </w:t>
      </w:r>
      <w:r>
        <w:rPr>
          <w:color w:val="231F20"/>
        </w:rPr>
        <w:t>en</w:t>
      </w:r>
      <w:r>
        <w:rPr>
          <w:color w:val="231F20"/>
          <w:spacing w:val="-12"/>
        </w:rPr>
        <w:t> </w:t>
      </w:r>
      <w:r>
        <w:rPr>
          <w:color w:val="231F20"/>
        </w:rPr>
        <w:t>París</w:t>
      </w:r>
      <w:r>
        <w:rPr>
          <w:color w:val="231F20"/>
          <w:spacing w:val="-12"/>
        </w:rPr>
        <w:t> </w:t>
      </w:r>
      <w:r>
        <w:rPr>
          <w:color w:val="231F20"/>
        </w:rPr>
        <w:t>del</w:t>
      </w:r>
      <w:r>
        <w:rPr>
          <w:color w:val="231F20"/>
          <w:spacing w:val="-12"/>
        </w:rPr>
        <w:t> </w:t>
      </w:r>
      <w:r>
        <w:rPr>
          <w:color w:val="231F20"/>
        </w:rPr>
        <w:t>7 al 12 de junio, le retiraron la condición de </w:t>
      </w:r>
      <w:r>
        <w:rPr>
          <w:color w:val="231F20"/>
          <w:spacing w:val="-4"/>
        </w:rPr>
        <w:t>presidenta</w:t>
      </w:r>
      <w:r>
        <w:rPr>
          <w:color w:val="231F20"/>
          <w:spacing w:val="-13"/>
        </w:rPr>
        <w:t> </w:t>
      </w:r>
      <w:r>
        <w:rPr>
          <w:color w:val="231F20"/>
          <w:spacing w:val="-4"/>
        </w:rPr>
        <w:t>de</w:t>
      </w:r>
      <w:r>
        <w:rPr>
          <w:color w:val="231F20"/>
          <w:spacing w:val="-12"/>
        </w:rPr>
        <w:t> </w:t>
      </w:r>
      <w:r>
        <w:rPr>
          <w:color w:val="231F20"/>
          <w:spacing w:val="-4"/>
        </w:rPr>
        <w:t>honor</w:t>
      </w:r>
      <w:r>
        <w:rPr>
          <w:color w:val="231F20"/>
          <w:spacing w:val="-13"/>
        </w:rPr>
        <w:t> </w:t>
      </w:r>
      <w:r>
        <w:rPr>
          <w:color w:val="231F20"/>
          <w:spacing w:val="-4"/>
        </w:rPr>
        <w:t>de</w:t>
      </w:r>
      <w:r>
        <w:rPr>
          <w:color w:val="231F20"/>
          <w:spacing w:val="-12"/>
        </w:rPr>
        <w:t> </w:t>
      </w:r>
      <w:r>
        <w:rPr>
          <w:color w:val="231F20"/>
          <w:spacing w:val="-4"/>
        </w:rPr>
        <w:t>la</w:t>
      </w:r>
      <w:r>
        <w:rPr>
          <w:color w:val="231F20"/>
          <w:spacing w:val="-13"/>
        </w:rPr>
        <w:t> </w:t>
      </w:r>
      <w:r>
        <w:rPr>
          <w:color w:val="231F20"/>
          <w:spacing w:val="-4"/>
        </w:rPr>
        <w:t>cita,</w:t>
      </w:r>
      <w:r>
        <w:rPr>
          <w:color w:val="231F20"/>
          <w:spacing w:val="-12"/>
        </w:rPr>
        <w:t> </w:t>
      </w:r>
      <w:r>
        <w:rPr>
          <w:color w:val="231F20"/>
          <w:spacing w:val="-4"/>
        </w:rPr>
        <w:t>al</w:t>
      </w:r>
      <w:r>
        <w:rPr>
          <w:color w:val="231F20"/>
          <w:spacing w:val="-13"/>
        </w:rPr>
        <w:t> </w:t>
      </w:r>
      <w:r>
        <w:rPr>
          <w:color w:val="231F20"/>
          <w:spacing w:val="-4"/>
        </w:rPr>
        <w:t>ceder</w:t>
      </w:r>
      <w:r>
        <w:rPr>
          <w:color w:val="231F20"/>
          <w:spacing w:val="-12"/>
        </w:rPr>
        <w:t> </w:t>
      </w:r>
      <w:r>
        <w:rPr>
          <w:color w:val="231F20"/>
          <w:spacing w:val="-4"/>
        </w:rPr>
        <w:t>ante </w:t>
      </w:r>
      <w:r>
        <w:rPr>
          <w:color w:val="231F20"/>
        </w:rPr>
        <w:t>las presiones de aquellos que promueven el</w:t>
      </w:r>
      <w:r>
        <w:rPr>
          <w:color w:val="231F20"/>
          <w:spacing w:val="-17"/>
        </w:rPr>
        <w:t> </w:t>
      </w:r>
      <w:r>
        <w:rPr>
          <w:color w:val="231F20"/>
        </w:rPr>
        <w:t>discurso</w:t>
      </w:r>
      <w:r>
        <w:rPr>
          <w:color w:val="231F20"/>
          <w:spacing w:val="-16"/>
        </w:rPr>
        <w:t> </w:t>
      </w:r>
      <w:r>
        <w:rPr>
          <w:color w:val="231F20"/>
        </w:rPr>
        <w:t>de</w:t>
      </w:r>
      <w:r>
        <w:rPr>
          <w:color w:val="231F20"/>
          <w:spacing w:val="-17"/>
        </w:rPr>
        <w:t> </w:t>
      </w:r>
      <w:r>
        <w:rPr>
          <w:color w:val="231F20"/>
        </w:rPr>
        <w:t>odio</w:t>
      </w:r>
      <w:r>
        <w:rPr>
          <w:color w:val="231F20"/>
          <w:spacing w:val="-16"/>
        </w:rPr>
        <w:t> </w:t>
      </w:r>
      <w:r>
        <w:rPr>
          <w:color w:val="231F20"/>
        </w:rPr>
        <w:t>y</w:t>
      </w:r>
      <w:r>
        <w:rPr>
          <w:color w:val="231F20"/>
          <w:spacing w:val="-17"/>
        </w:rPr>
        <w:t> </w:t>
      </w:r>
      <w:r>
        <w:rPr>
          <w:color w:val="231F20"/>
        </w:rPr>
        <w:t>la</w:t>
      </w:r>
      <w:r>
        <w:rPr>
          <w:color w:val="231F20"/>
          <w:spacing w:val="-16"/>
        </w:rPr>
        <w:t> </w:t>
      </w:r>
      <w:r>
        <w:rPr>
          <w:color w:val="231F20"/>
        </w:rPr>
        <w:t>persecución</w:t>
      </w:r>
      <w:r>
        <w:rPr>
          <w:color w:val="231F20"/>
          <w:spacing w:val="-17"/>
        </w:rPr>
        <w:t> </w:t>
      </w:r>
      <w:r>
        <w:rPr>
          <w:color w:val="231F20"/>
        </w:rPr>
        <w:t>contra los artistas cubanos.</w:t>
      </w:r>
    </w:p>
    <w:p>
      <w:pPr>
        <w:pStyle w:val="BodyText"/>
        <w:spacing w:before="168"/>
        <w:ind w:left="412" w:right="1135"/>
      </w:pPr>
      <w:r>
        <w:rPr>
          <w:color w:val="231F20"/>
          <w:spacing w:val="-4"/>
        </w:rPr>
        <w:t>Otros</w:t>
      </w:r>
      <w:r>
        <w:rPr>
          <w:color w:val="231F20"/>
          <w:spacing w:val="-10"/>
        </w:rPr>
        <w:t> </w:t>
      </w:r>
      <w:r>
        <w:rPr>
          <w:color w:val="231F20"/>
          <w:spacing w:val="-4"/>
        </w:rPr>
        <w:t>artistas</w:t>
      </w:r>
      <w:r>
        <w:rPr>
          <w:color w:val="231F20"/>
          <w:spacing w:val="-10"/>
        </w:rPr>
        <w:t> </w:t>
      </w:r>
      <w:r>
        <w:rPr>
          <w:color w:val="231F20"/>
          <w:spacing w:val="-4"/>
        </w:rPr>
        <w:t>que</w:t>
      </w:r>
      <w:r>
        <w:rPr>
          <w:color w:val="231F20"/>
          <w:spacing w:val="-10"/>
        </w:rPr>
        <w:t> </w:t>
      </w:r>
      <w:r>
        <w:rPr>
          <w:color w:val="231F20"/>
          <w:spacing w:val="-4"/>
        </w:rPr>
        <w:t>residen</w:t>
      </w:r>
      <w:r>
        <w:rPr>
          <w:color w:val="231F20"/>
          <w:spacing w:val="-10"/>
        </w:rPr>
        <w:t> </w:t>
      </w:r>
      <w:r>
        <w:rPr>
          <w:color w:val="231F20"/>
          <w:spacing w:val="-4"/>
        </w:rPr>
        <w:t>en</w:t>
      </w:r>
      <w:r>
        <w:rPr>
          <w:color w:val="231F20"/>
          <w:spacing w:val="-10"/>
        </w:rPr>
        <w:t> </w:t>
      </w:r>
      <w:r>
        <w:rPr>
          <w:color w:val="231F20"/>
          <w:spacing w:val="-4"/>
        </w:rPr>
        <w:t>Cuba</w:t>
      </w:r>
      <w:r>
        <w:rPr>
          <w:color w:val="231F20"/>
          <w:spacing w:val="-10"/>
        </w:rPr>
        <w:t> </w:t>
      </w:r>
      <w:r>
        <w:rPr>
          <w:color w:val="231F20"/>
          <w:spacing w:val="-4"/>
        </w:rPr>
        <w:t>también </w:t>
      </w:r>
      <w:r>
        <w:rPr>
          <w:color w:val="231F20"/>
        </w:rPr>
        <w:t>han sido atacados y dañados con estos llamados al boicot y al linchamiento en Miami,</w:t>
      </w:r>
      <w:r>
        <w:rPr>
          <w:color w:val="231F20"/>
          <w:spacing w:val="-2"/>
        </w:rPr>
        <w:t> </w:t>
      </w:r>
      <w:r>
        <w:rPr>
          <w:color w:val="231F20"/>
        </w:rPr>
        <w:t>como</w:t>
      </w:r>
      <w:r>
        <w:rPr>
          <w:color w:val="231F20"/>
          <w:spacing w:val="-2"/>
        </w:rPr>
        <w:t> </w:t>
      </w:r>
      <w:r>
        <w:rPr>
          <w:color w:val="231F20"/>
        </w:rPr>
        <w:t>Los</w:t>
      </w:r>
      <w:r>
        <w:rPr>
          <w:color w:val="231F20"/>
          <w:spacing w:val="-2"/>
        </w:rPr>
        <w:t> </w:t>
      </w:r>
      <w:r>
        <w:rPr>
          <w:color w:val="231F20"/>
        </w:rPr>
        <w:t>Van</w:t>
      </w:r>
      <w:r>
        <w:rPr>
          <w:color w:val="231F20"/>
          <w:spacing w:val="-2"/>
        </w:rPr>
        <w:t> </w:t>
      </w:r>
      <w:r>
        <w:rPr>
          <w:color w:val="231F20"/>
        </w:rPr>
        <w:t>Van,</w:t>
      </w:r>
      <w:r>
        <w:rPr>
          <w:color w:val="231F20"/>
          <w:spacing w:val="-3"/>
        </w:rPr>
        <w:t> </w:t>
      </w:r>
      <w:r>
        <w:rPr>
          <w:color w:val="231F20"/>
        </w:rPr>
        <w:t>Haila</w:t>
      </w:r>
      <w:r>
        <w:rPr>
          <w:color w:val="231F20"/>
          <w:spacing w:val="-2"/>
        </w:rPr>
        <w:t> </w:t>
      </w:r>
      <w:r>
        <w:rPr>
          <w:color w:val="231F20"/>
        </w:rPr>
        <w:t>Mompié, </w:t>
      </w:r>
      <w:r>
        <w:rPr>
          <w:color w:val="231F20"/>
          <w:spacing w:val="-2"/>
        </w:rPr>
        <w:t>Alexander</w:t>
      </w:r>
      <w:r>
        <w:rPr>
          <w:color w:val="231F20"/>
          <w:spacing w:val="-15"/>
        </w:rPr>
        <w:t> </w:t>
      </w:r>
      <w:r>
        <w:rPr>
          <w:color w:val="231F20"/>
          <w:spacing w:val="-2"/>
        </w:rPr>
        <w:t>Abreu,</w:t>
      </w:r>
      <w:r>
        <w:rPr>
          <w:color w:val="231F20"/>
          <w:spacing w:val="-14"/>
        </w:rPr>
        <w:t> </w:t>
      </w:r>
      <w:r>
        <w:rPr>
          <w:color w:val="231F20"/>
          <w:spacing w:val="-2"/>
        </w:rPr>
        <w:t>Pedrito</w:t>
      </w:r>
      <w:r>
        <w:rPr>
          <w:color w:val="231F20"/>
          <w:spacing w:val="-15"/>
        </w:rPr>
        <w:t> </w:t>
      </w:r>
      <w:r>
        <w:rPr>
          <w:color w:val="231F20"/>
          <w:spacing w:val="-2"/>
        </w:rPr>
        <w:t>Calvo,</w:t>
      </w:r>
      <w:r>
        <w:rPr>
          <w:color w:val="231F20"/>
          <w:spacing w:val="-14"/>
        </w:rPr>
        <w:t> </w:t>
      </w:r>
      <w:r>
        <w:rPr>
          <w:color w:val="231F20"/>
          <w:spacing w:val="-2"/>
        </w:rPr>
        <w:t>Paulito</w:t>
      </w:r>
      <w:r>
        <w:rPr>
          <w:color w:val="231F20"/>
          <w:spacing w:val="-15"/>
        </w:rPr>
        <w:t> </w:t>
      </w:r>
      <w:r>
        <w:rPr>
          <w:color w:val="231F20"/>
          <w:spacing w:val="-2"/>
        </w:rPr>
        <w:t>FG, </w:t>
      </w:r>
      <w:r>
        <w:rPr>
          <w:color w:val="231F20"/>
        </w:rPr>
        <w:t>entre otros.</w:t>
      </w:r>
    </w:p>
    <w:p>
      <w:pPr>
        <w:pStyle w:val="BodyText"/>
        <w:spacing w:before="165"/>
        <w:ind w:left="412" w:right="1135"/>
      </w:pPr>
      <w:r>
        <w:rPr>
          <w:color w:val="231F20"/>
          <w:spacing w:val="-10"/>
        </w:rPr>
        <w:t>Varias</w:t>
      </w:r>
      <w:r>
        <w:rPr>
          <w:color w:val="231F20"/>
          <w:spacing w:val="-5"/>
        </w:rPr>
        <w:t> </w:t>
      </w:r>
      <w:r>
        <w:rPr>
          <w:color w:val="231F20"/>
          <w:spacing w:val="-10"/>
        </w:rPr>
        <w:t>formas</w:t>
      </w:r>
      <w:r>
        <w:rPr>
          <w:color w:val="231F20"/>
          <w:spacing w:val="-5"/>
        </w:rPr>
        <w:t> </w:t>
      </w:r>
      <w:r>
        <w:rPr>
          <w:color w:val="231F20"/>
          <w:spacing w:val="-10"/>
        </w:rPr>
        <w:t>de</w:t>
      </w:r>
      <w:r>
        <w:rPr>
          <w:color w:val="231F20"/>
          <w:spacing w:val="-5"/>
        </w:rPr>
        <w:t> </w:t>
      </w:r>
      <w:r>
        <w:rPr>
          <w:color w:val="231F20"/>
          <w:spacing w:val="-10"/>
        </w:rPr>
        <w:t>gestión</w:t>
      </w:r>
      <w:r>
        <w:rPr>
          <w:color w:val="231F20"/>
          <w:spacing w:val="-5"/>
        </w:rPr>
        <w:t> </w:t>
      </w:r>
      <w:r>
        <w:rPr>
          <w:color w:val="231F20"/>
          <w:spacing w:val="-10"/>
        </w:rPr>
        <w:t>no</w:t>
      </w:r>
      <w:r>
        <w:rPr>
          <w:color w:val="231F20"/>
          <w:spacing w:val="-5"/>
        </w:rPr>
        <w:t> </w:t>
      </w:r>
      <w:r>
        <w:rPr>
          <w:color w:val="231F20"/>
          <w:spacing w:val="-10"/>
        </w:rPr>
        <w:t>estatal</w:t>
      </w:r>
      <w:r>
        <w:rPr>
          <w:color w:val="231F20"/>
          <w:spacing w:val="-5"/>
        </w:rPr>
        <w:t> </w:t>
      </w:r>
      <w:r>
        <w:rPr>
          <w:color w:val="231F20"/>
          <w:spacing w:val="-10"/>
        </w:rPr>
        <w:t>asociadas </w:t>
      </w:r>
      <w:r>
        <w:rPr>
          <w:color w:val="231F20"/>
        </w:rPr>
        <w:t>al sector también han debido enfrentar </w:t>
      </w:r>
      <w:r>
        <w:rPr>
          <w:color w:val="231F20"/>
          <w:spacing w:val="-6"/>
        </w:rPr>
        <w:t>dificultades</w:t>
      </w:r>
      <w:r>
        <w:rPr>
          <w:color w:val="231F20"/>
          <w:spacing w:val="-7"/>
        </w:rPr>
        <w:t> </w:t>
      </w:r>
      <w:r>
        <w:rPr>
          <w:color w:val="231F20"/>
          <w:spacing w:val="-6"/>
        </w:rPr>
        <w:t>para</w:t>
      </w:r>
      <w:r>
        <w:rPr>
          <w:color w:val="231F20"/>
          <w:spacing w:val="-7"/>
        </w:rPr>
        <w:t> </w:t>
      </w:r>
      <w:r>
        <w:rPr>
          <w:color w:val="231F20"/>
          <w:spacing w:val="-6"/>
        </w:rPr>
        <w:t>la</w:t>
      </w:r>
      <w:r>
        <w:rPr>
          <w:color w:val="231F20"/>
          <w:spacing w:val="-7"/>
        </w:rPr>
        <w:t> </w:t>
      </w:r>
      <w:r>
        <w:rPr>
          <w:color w:val="231F20"/>
          <w:spacing w:val="-6"/>
        </w:rPr>
        <w:t>importación</w:t>
      </w:r>
      <w:r>
        <w:rPr>
          <w:color w:val="231F20"/>
          <w:spacing w:val="-7"/>
        </w:rPr>
        <w:t> </w:t>
      </w:r>
      <w:r>
        <w:rPr>
          <w:color w:val="231F20"/>
          <w:spacing w:val="-6"/>
        </w:rPr>
        <w:t>y</w:t>
      </w:r>
      <w:r>
        <w:rPr>
          <w:color w:val="231F20"/>
          <w:spacing w:val="-7"/>
        </w:rPr>
        <w:t> </w:t>
      </w:r>
      <w:r>
        <w:rPr>
          <w:color w:val="231F20"/>
          <w:spacing w:val="-6"/>
        </w:rPr>
        <w:t>obtención </w:t>
      </w:r>
      <w:r>
        <w:rPr>
          <w:color w:val="231F20"/>
        </w:rPr>
        <w:t>de insumos, producto de las restricciones que impone el bloqueo.</w:t>
      </w:r>
      <w:r>
        <w:rPr>
          <w:color w:val="231F20"/>
          <w:spacing w:val="40"/>
        </w:rPr>
        <w:t> </w:t>
      </w:r>
      <w:r>
        <w:rPr>
          <w:color w:val="231F20"/>
        </w:rPr>
        <w:t>Tal es el caso de creadores</w:t>
      </w:r>
      <w:r>
        <w:rPr>
          <w:color w:val="231F20"/>
          <w:spacing w:val="12"/>
        </w:rPr>
        <w:t> </w:t>
      </w:r>
      <w:r>
        <w:rPr>
          <w:color w:val="231F20"/>
        </w:rPr>
        <w:t>cubanos</w:t>
      </w:r>
      <w:r>
        <w:rPr>
          <w:color w:val="231F20"/>
          <w:spacing w:val="12"/>
        </w:rPr>
        <w:t> </w:t>
      </w:r>
      <w:r>
        <w:rPr>
          <w:color w:val="231F20"/>
        </w:rPr>
        <w:t>en</w:t>
      </w:r>
      <w:r>
        <w:rPr>
          <w:color w:val="231F20"/>
          <w:spacing w:val="12"/>
        </w:rPr>
        <w:t> </w:t>
      </w:r>
      <w:r>
        <w:rPr>
          <w:color w:val="231F20"/>
        </w:rPr>
        <w:t>el</w:t>
      </w:r>
      <w:r>
        <w:rPr>
          <w:color w:val="231F20"/>
          <w:spacing w:val="13"/>
        </w:rPr>
        <w:t> </w:t>
      </w:r>
      <w:r>
        <w:rPr>
          <w:color w:val="231F20"/>
        </w:rPr>
        <w:t>área</w:t>
      </w:r>
      <w:r>
        <w:rPr>
          <w:color w:val="231F20"/>
          <w:spacing w:val="12"/>
        </w:rPr>
        <w:t> </w:t>
      </w:r>
      <w:r>
        <w:rPr>
          <w:color w:val="231F20"/>
        </w:rPr>
        <w:t>de</w:t>
      </w:r>
      <w:r>
        <w:rPr>
          <w:color w:val="231F20"/>
          <w:spacing w:val="12"/>
        </w:rPr>
        <w:t> </w:t>
      </w:r>
      <w:r>
        <w:rPr>
          <w:color w:val="231F20"/>
        </w:rPr>
        <w:t>las</w:t>
      </w:r>
      <w:r>
        <w:rPr>
          <w:color w:val="231F20"/>
          <w:spacing w:val="13"/>
        </w:rPr>
        <w:t> </w:t>
      </w:r>
      <w:r>
        <w:rPr>
          <w:color w:val="231F20"/>
          <w:spacing w:val="-4"/>
        </w:rPr>
        <w:t>artes</w:t>
      </w:r>
    </w:p>
    <w:p>
      <w:pPr>
        <w:spacing w:after="0"/>
        <w:sectPr>
          <w:pgSz w:w="11910" w:h="16840"/>
          <w:pgMar w:header="0" w:footer="695" w:top="1420" w:bottom="880" w:left="0" w:right="0"/>
          <w:cols w:num="2" w:equalWidth="0">
            <w:col w:w="5897" w:space="40"/>
            <w:col w:w="5973"/>
          </w:cols>
        </w:sectPr>
      </w:pPr>
    </w:p>
    <w:p>
      <w:pPr>
        <w:pStyle w:val="BodyText"/>
        <w:spacing w:before="77"/>
        <w:ind w:left="1133" w:right="2"/>
      </w:pPr>
      <w:r>
        <w:rPr>
          <w:color w:val="231F20"/>
        </w:rPr>
        <w:t>plásticas y aplicadas, cuyas mercancías solicitadas</w:t>
      </w:r>
      <w:r>
        <w:rPr>
          <w:color w:val="231F20"/>
          <w:spacing w:val="-6"/>
        </w:rPr>
        <w:t> </w:t>
      </w:r>
      <w:r>
        <w:rPr>
          <w:color w:val="231F20"/>
        </w:rPr>
        <w:t>han</w:t>
      </w:r>
      <w:r>
        <w:rPr>
          <w:color w:val="231F20"/>
          <w:spacing w:val="-6"/>
        </w:rPr>
        <w:t> </w:t>
      </w:r>
      <w:r>
        <w:rPr>
          <w:color w:val="231F20"/>
        </w:rPr>
        <w:t>llegado</w:t>
      </w:r>
      <w:r>
        <w:rPr>
          <w:color w:val="231F20"/>
          <w:spacing w:val="-6"/>
        </w:rPr>
        <w:t> </w:t>
      </w:r>
      <w:r>
        <w:rPr>
          <w:color w:val="231F20"/>
        </w:rPr>
        <w:t>hasta</w:t>
      </w:r>
      <w:r>
        <w:rPr>
          <w:color w:val="231F20"/>
          <w:spacing w:val="-6"/>
        </w:rPr>
        <w:t> </w:t>
      </w:r>
      <w:r>
        <w:rPr>
          <w:color w:val="231F20"/>
        </w:rPr>
        <w:t>con</w:t>
      </w:r>
      <w:r>
        <w:rPr>
          <w:color w:val="231F20"/>
          <w:spacing w:val="-6"/>
        </w:rPr>
        <w:t> </w:t>
      </w:r>
      <w:r>
        <w:rPr>
          <w:color w:val="231F20"/>
        </w:rPr>
        <w:t>2</w:t>
      </w:r>
      <w:r>
        <w:rPr>
          <w:color w:val="231F20"/>
          <w:spacing w:val="-6"/>
        </w:rPr>
        <w:t> </w:t>
      </w:r>
      <w:r>
        <w:rPr>
          <w:color w:val="231F20"/>
        </w:rPr>
        <w:t>meses y medio de atraso al país debido a los </w:t>
      </w:r>
      <w:r>
        <w:rPr>
          <w:color w:val="231F20"/>
          <w:spacing w:val="-2"/>
        </w:rPr>
        <w:t>controles</w:t>
      </w:r>
      <w:r>
        <w:rPr>
          <w:color w:val="231F20"/>
          <w:spacing w:val="-7"/>
        </w:rPr>
        <w:t> </w:t>
      </w:r>
      <w:r>
        <w:rPr>
          <w:color w:val="231F20"/>
          <w:spacing w:val="-2"/>
        </w:rPr>
        <w:t>discriminatorios</w:t>
      </w:r>
      <w:r>
        <w:rPr>
          <w:color w:val="231F20"/>
          <w:spacing w:val="-7"/>
        </w:rPr>
        <w:t> </w:t>
      </w:r>
      <w:r>
        <w:rPr>
          <w:color w:val="231F20"/>
          <w:spacing w:val="-2"/>
        </w:rPr>
        <w:t>en</w:t>
      </w:r>
      <w:r>
        <w:rPr>
          <w:color w:val="231F20"/>
          <w:spacing w:val="-7"/>
        </w:rPr>
        <w:t> </w:t>
      </w:r>
      <w:r>
        <w:rPr>
          <w:color w:val="231F20"/>
          <w:spacing w:val="-2"/>
        </w:rPr>
        <w:t>el</w:t>
      </w:r>
      <w:r>
        <w:rPr>
          <w:color w:val="231F20"/>
          <w:spacing w:val="-7"/>
        </w:rPr>
        <w:t> </w:t>
      </w:r>
      <w:r>
        <w:rPr>
          <w:color w:val="231F20"/>
          <w:spacing w:val="-2"/>
        </w:rPr>
        <w:t>extranjero, </w:t>
      </w:r>
      <w:r>
        <w:rPr>
          <w:color w:val="231F20"/>
        </w:rPr>
        <w:t>las</w:t>
      </w:r>
      <w:r>
        <w:rPr>
          <w:color w:val="231F20"/>
          <w:spacing w:val="-4"/>
        </w:rPr>
        <w:t> </w:t>
      </w:r>
      <w:r>
        <w:rPr>
          <w:color w:val="231F20"/>
        </w:rPr>
        <w:t>operaciones</w:t>
      </w:r>
      <w:r>
        <w:rPr>
          <w:color w:val="231F20"/>
          <w:spacing w:val="-4"/>
        </w:rPr>
        <w:t> </w:t>
      </w:r>
      <w:r>
        <w:rPr>
          <w:color w:val="231F20"/>
        </w:rPr>
        <w:t>de</w:t>
      </w:r>
      <w:r>
        <w:rPr>
          <w:color w:val="231F20"/>
          <w:spacing w:val="-4"/>
        </w:rPr>
        <w:t> </w:t>
      </w:r>
      <w:r>
        <w:rPr>
          <w:color w:val="231F20"/>
        </w:rPr>
        <w:t>trasbordo,</w:t>
      </w:r>
      <w:r>
        <w:rPr>
          <w:color w:val="231F20"/>
          <w:spacing w:val="-4"/>
        </w:rPr>
        <w:t> </w:t>
      </w:r>
      <w:r>
        <w:rPr>
          <w:color w:val="231F20"/>
        </w:rPr>
        <w:t>dificultades </w:t>
      </w:r>
      <w:r>
        <w:rPr>
          <w:color w:val="231F20"/>
          <w:spacing w:val="-2"/>
        </w:rPr>
        <w:t>en</w:t>
      </w:r>
      <w:r>
        <w:rPr>
          <w:color w:val="231F20"/>
          <w:spacing w:val="-13"/>
        </w:rPr>
        <w:t> </w:t>
      </w:r>
      <w:r>
        <w:rPr>
          <w:color w:val="231F20"/>
          <w:spacing w:val="-2"/>
        </w:rPr>
        <w:t>los</w:t>
      </w:r>
      <w:r>
        <w:rPr>
          <w:color w:val="231F20"/>
          <w:spacing w:val="-13"/>
        </w:rPr>
        <w:t> </w:t>
      </w:r>
      <w:r>
        <w:rPr>
          <w:color w:val="231F20"/>
          <w:spacing w:val="-2"/>
        </w:rPr>
        <w:t>puertos</w:t>
      </w:r>
      <w:r>
        <w:rPr>
          <w:color w:val="231F20"/>
          <w:spacing w:val="-13"/>
        </w:rPr>
        <w:t> </w:t>
      </w:r>
      <w:r>
        <w:rPr>
          <w:color w:val="231F20"/>
          <w:spacing w:val="-2"/>
        </w:rPr>
        <w:t>de</w:t>
      </w:r>
      <w:r>
        <w:rPr>
          <w:color w:val="231F20"/>
          <w:spacing w:val="-13"/>
        </w:rPr>
        <w:t> </w:t>
      </w:r>
      <w:r>
        <w:rPr>
          <w:color w:val="231F20"/>
          <w:spacing w:val="-2"/>
        </w:rPr>
        <w:t>embarque</w:t>
      </w:r>
      <w:r>
        <w:rPr>
          <w:color w:val="231F20"/>
          <w:spacing w:val="-13"/>
        </w:rPr>
        <w:t> </w:t>
      </w:r>
      <w:r>
        <w:rPr>
          <w:color w:val="231F20"/>
          <w:spacing w:val="-2"/>
        </w:rPr>
        <w:t>y</w:t>
      </w:r>
      <w:r>
        <w:rPr>
          <w:color w:val="231F20"/>
          <w:spacing w:val="-13"/>
        </w:rPr>
        <w:t> </w:t>
      </w:r>
      <w:r>
        <w:rPr>
          <w:color w:val="231F20"/>
          <w:spacing w:val="-2"/>
        </w:rPr>
        <w:t>la</w:t>
      </w:r>
      <w:r>
        <w:rPr>
          <w:color w:val="231F20"/>
          <w:spacing w:val="-13"/>
        </w:rPr>
        <w:t> </w:t>
      </w:r>
      <w:r>
        <w:rPr>
          <w:color w:val="231F20"/>
          <w:spacing w:val="-2"/>
        </w:rPr>
        <w:t>necesidad </w:t>
      </w:r>
      <w:r>
        <w:rPr>
          <w:color w:val="231F20"/>
          <w:spacing w:val="-4"/>
        </w:rPr>
        <w:t>de</w:t>
      </w:r>
      <w:r>
        <w:rPr>
          <w:color w:val="231F20"/>
          <w:spacing w:val="-13"/>
        </w:rPr>
        <w:t> </w:t>
      </w:r>
      <w:r>
        <w:rPr>
          <w:color w:val="231F20"/>
          <w:spacing w:val="-4"/>
        </w:rPr>
        <w:t>recurrir</w:t>
      </w:r>
      <w:r>
        <w:rPr>
          <w:color w:val="231F20"/>
          <w:spacing w:val="-12"/>
        </w:rPr>
        <w:t> </w:t>
      </w:r>
      <w:r>
        <w:rPr>
          <w:color w:val="231F20"/>
          <w:spacing w:val="-4"/>
        </w:rPr>
        <w:t>a</w:t>
      </w:r>
      <w:r>
        <w:rPr>
          <w:color w:val="231F20"/>
          <w:spacing w:val="-13"/>
        </w:rPr>
        <w:t> </w:t>
      </w:r>
      <w:r>
        <w:rPr>
          <w:color w:val="231F20"/>
          <w:spacing w:val="-4"/>
        </w:rPr>
        <w:t>mercados</w:t>
      </w:r>
      <w:r>
        <w:rPr>
          <w:color w:val="231F20"/>
          <w:spacing w:val="-12"/>
        </w:rPr>
        <w:t> </w:t>
      </w:r>
      <w:r>
        <w:rPr>
          <w:color w:val="231F20"/>
          <w:spacing w:val="-4"/>
        </w:rPr>
        <w:t>lejanos</w:t>
      </w:r>
      <w:r>
        <w:rPr>
          <w:color w:val="231F20"/>
          <w:spacing w:val="-13"/>
        </w:rPr>
        <w:t> </w:t>
      </w:r>
      <w:r>
        <w:rPr>
          <w:color w:val="231F20"/>
          <w:spacing w:val="-4"/>
        </w:rPr>
        <w:t>para</w:t>
      </w:r>
      <w:r>
        <w:rPr>
          <w:color w:val="231F20"/>
          <w:spacing w:val="-12"/>
        </w:rPr>
        <w:t> </w:t>
      </w:r>
      <w:r>
        <w:rPr>
          <w:color w:val="231F20"/>
          <w:spacing w:val="-4"/>
        </w:rPr>
        <w:t>obtener </w:t>
      </w:r>
      <w:r>
        <w:rPr>
          <w:color w:val="231F20"/>
          <w:spacing w:val="-6"/>
        </w:rPr>
        <w:t>estos</w:t>
      </w:r>
      <w:r>
        <w:rPr>
          <w:color w:val="231F20"/>
          <w:spacing w:val="-11"/>
        </w:rPr>
        <w:t> </w:t>
      </w:r>
      <w:r>
        <w:rPr>
          <w:color w:val="231F20"/>
          <w:spacing w:val="-6"/>
        </w:rPr>
        <w:t>materiales,</w:t>
      </w:r>
      <w:r>
        <w:rPr>
          <w:color w:val="231F20"/>
          <w:spacing w:val="-10"/>
        </w:rPr>
        <w:t> </w:t>
      </w:r>
      <w:r>
        <w:rPr>
          <w:color w:val="231F20"/>
          <w:spacing w:val="-6"/>
        </w:rPr>
        <w:t>lo</w:t>
      </w:r>
      <w:r>
        <w:rPr>
          <w:color w:val="231F20"/>
          <w:spacing w:val="-11"/>
        </w:rPr>
        <w:t> </w:t>
      </w:r>
      <w:r>
        <w:rPr>
          <w:color w:val="231F20"/>
          <w:spacing w:val="-6"/>
        </w:rPr>
        <w:t>que</w:t>
      </w:r>
      <w:r>
        <w:rPr>
          <w:color w:val="231F20"/>
          <w:spacing w:val="-10"/>
        </w:rPr>
        <w:t> </w:t>
      </w:r>
      <w:r>
        <w:rPr>
          <w:color w:val="231F20"/>
          <w:spacing w:val="-6"/>
        </w:rPr>
        <w:t>ha</w:t>
      </w:r>
      <w:r>
        <w:rPr>
          <w:color w:val="231F20"/>
          <w:spacing w:val="-11"/>
        </w:rPr>
        <w:t> </w:t>
      </w:r>
      <w:r>
        <w:rPr>
          <w:color w:val="231F20"/>
          <w:spacing w:val="-6"/>
        </w:rPr>
        <w:t>significado</w:t>
      </w:r>
      <w:r>
        <w:rPr>
          <w:color w:val="231F20"/>
          <w:spacing w:val="-10"/>
        </w:rPr>
        <w:t> </w:t>
      </w:r>
      <w:r>
        <w:rPr>
          <w:color w:val="231F20"/>
          <w:spacing w:val="-6"/>
        </w:rPr>
        <w:t>pagar </w:t>
      </w:r>
      <w:r>
        <w:rPr>
          <w:color w:val="231F20"/>
          <w:spacing w:val="-2"/>
        </w:rPr>
        <w:t>hasta</w:t>
      </w:r>
      <w:r>
        <w:rPr>
          <w:color w:val="231F20"/>
          <w:spacing w:val="-15"/>
        </w:rPr>
        <w:t> </w:t>
      </w:r>
      <w:r>
        <w:rPr>
          <w:color w:val="231F20"/>
          <w:spacing w:val="-2"/>
        </w:rPr>
        <w:t>cuatro</w:t>
      </w:r>
      <w:r>
        <w:rPr>
          <w:color w:val="231F20"/>
          <w:spacing w:val="-14"/>
        </w:rPr>
        <w:t> </w:t>
      </w:r>
      <w:r>
        <w:rPr>
          <w:color w:val="231F20"/>
          <w:spacing w:val="-2"/>
        </w:rPr>
        <w:t>veces</w:t>
      </w:r>
      <w:r>
        <w:rPr>
          <w:color w:val="231F20"/>
          <w:spacing w:val="-15"/>
        </w:rPr>
        <w:t> </w:t>
      </w:r>
      <w:r>
        <w:rPr>
          <w:color w:val="231F20"/>
          <w:spacing w:val="-2"/>
        </w:rPr>
        <w:t>su</w:t>
      </w:r>
      <w:r>
        <w:rPr>
          <w:color w:val="231F20"/>
          <w:spacing w:val="-14"/>
        </w:rPr>
        <w:t> </w:t>
      </w:r>
      <w:r>
        <w:rPr>
          <w:color w:val="231F20"/>
          <w:spacing w:val="-2"/>
        </w:rPr>
        <w:t>costo</w:t>
      </w:r>
      <w:r>
        <w:rPr>
          <w:color w:val="231F20"/>
          <w:spacing w:val="-15"/>
        </w:rPr>
        <w:t> </w:t>
      </w:r>
      <w:r>
        <w:rPr>
          <w:color w:val="231F20"/>
          <w:spacing w:val="-2"/>
        </w:rPr>
        <w:t>de</w:t>
      </w:r>
      <w:r>
        <w:rPr>
          <w:color w:val="231F20"/>
          <w:spacing w:val="-14"/>
        </w:rPr>
        <w:t> </w:t>
      </w:r>
      <w:r>
        <w:rPr>
          <w:color w:val="231F20"/>
          <w:spacing w:val="-2"/>
        </w:rPr>
        <w:t>adquisición.</w:t>
      </w:r>
    </w:p>
    <w:p>
      <w:pPr>
        <w:pStyle w:val="BodyText"/>
        <w:spacing w:before="167"/>
        <w:ind w:left="1133"/>
      </w:pPr>
      <w:r>
        <w:rPr>
          <w:color w:val="231F20"/>
          <w:spacing w:val="-4"/>
        </w:rPr>
        <w:t>Persiste</w:t>
      </w:r>
      <w:r>
        <w:rPr>
          <w:color w:val="231F20"/>
          <w:spacing w:val="-6"/>
        </w:rPr>
        <w:t> </w:t>
      </w:r>
      <w:r>
        <w:rPr>
          <w:color w:val="231F20"/>
          <w:spacing w:val="-4"/>
        </w:rPr>
        <w:t>el</w:t>
      </w:r>
      <w:r>
        <w:rPr>
          <w:color w:val="231F20"/>
          <w:spacing w:val="-6"/>
        </w:rPr>
        <w:t> </w:t>
      </w:r>
      <w:r>
        <w:rPr>
          <w:color w:val="231F20"/>
          <w:spacing w:val="-4"/>
        </w:rPr>
        <w:t>bloqueo</w:t>
      </w:r>
      <w:r>
        <w:rPr>
          <w:color w:val="231F20"/>
          <w:spacing w:val="-6"/>
        </w:rPr>
        <w:t> </w:t>
      </w:r>
      <w:r>
        <w:rPr>
          <w:color w:val="231F20"/>
          <w:spacing w:val="-4"/>
        </w:rPr>
        <w:t>injustificado</w:t>
      </w:r>
      <w:r>
        <w:rPr>
          <w:color w:val="231F20"/>
          <w:spacing w:val="-6"/>
        </w:rPr>
        <w:t> </w:t>
      </w:r>
      <w:r>
        <w:rPr>
          <w:color w:val="231F20"/>
          <w:spacing w:val="-4"/>
        </w:rPr>
        <w:t>de</w:t>
      </w:r>
      <w:r>
        <w:rPr>
          <w:color w:val="231F20"/>
          <w:spacing w:val="-6"/>
        </w:rPr>
        <w:t> </w:t>
      </w:r>
      <w:r>
        <w:rPr>
          <w:color w:val="231F20"/>
          <w:spacing w:val="-4"/>
        </w:rPr>
        <w:t>cuentas </w:t>
      </w:r>
      <w:r>
        <w:rPr>
          <w:color w:val="231F20"/>
        </w:rPr>
        <w:t>personales e institucionales vinculadas a la cultura y un bombardeo en los medios </w:t>
      </w:r>
      <w:r>
        <w:rPr>
          <w:color w:val="231F20"/>
          <w:spacing w:val="-2"/>
        </w:rPr>
        <w:t>digitales</w:t>
      </w:r>
      <w:r>
        <w:rPr>
          <w:color w:val="231F20"/>
          <w:spacing w:val="-14"/>
        </w:rPr>
        <w:t> </w:t>
      </w:r>
      <w:r>
        <w:rPr>
          <w:color w:val="231F20"/>
          <w:spacing w:val="-2"/>
        </w:rPr>
        <w:t>de</w:t>
      </w:r>
      <w:r>
        <w:rPr>
          <w:color w:val="231F20"/>
          <w:spacing w:val="-14"/>
        </w:rPr>
        <w:t> </w:t>
      </w:r>
      <w:r>
        <w:rPr>
          <w:color w:val="231F20"/>
          <w:spacing w:val="-2"/>
        </w:rPr>
        <w:t>la</w:t>
      </w:r>
      <w:r>
        <w:rPr>
          <w:color w:val="231F20"/>
          <w:spacing w:val="-14"/>
        </w:rPr>
        <w:t> </w:t>
      </w:r>
      <w:r>
        <w:rPr>
          <w:color w:val="231F20"/>
          <w:spacing w:val="-2"/>
        </w:rPr>
        <w:t>propaganda</w:t>
      </w:r>
      <w:r>
        <w:rPr>
          <w:color w:val="231F20"/>
          <w:spacing w:val="-14"/>
        </w:rPr>
        <w:t> </w:t>
      </w:r>
      <w:r>
        <w:rPr>
          <w:color w:val="231F20"/>
          <w:spacing w:val="-2"/>
        </w:rPr>
        <w:t>anticubana</w:t>
      </w:r>
      <w:r>
        <w:rPr>
          <w:color w:val="231F20"/>
          <w:spacing w:val="-14"/>
        </w:rPr>
        <w:t> </w:t>
      </w:r>
      <w:r>
        <w:rPr>
          <w:color w:val="231F20"/>
          <w:spacing w:val="-2"/>
        </w:rPr>
        <w:t>que </w:t>
      </w:r>
      <w:r>
        <w:rPr>
          <w:color w:val="231F20"/>
        </w:rPr>
        <w:t>intenta demeritar los logros y valores de nuestra sociedad.</w:t>
      </w:r>
    </w:p>
    <w:p>
      <w:pPr>
        <w:pStyle w:val="BodyText"/>
        <w:spacing w:before="7"/>
        <w:jc w:val="left"/>
      </w:pPr>
    </w:p>
    <w:p>
      <w:pPr>
        <w:pStyle w:val="Heading2"/>
        <w:spacing w:before="1"/>
        <w:ind w:right="1363"/>
      </w:pPr>
      <w:r>
        <w:rPr>
          <w:color w:val="1F4282"/>
          <w:w w:val="115"/>
        </w:rPr>
        <w:t>Afectaciones al desarrollo</w:t>
      </w:r>
      <w:r>
        <w:rPr>
          <w:color w:val="1F4282"/>
          <w:spacing w:val="-22"/>
          <w:w w:val="115"/>
        </w:rPr>
        <w:t> </w:t>
      </w:r>
      <w:r>
        <w:rPr>
          <w:color w:val="1F4282"/>
          <w:w w:val="115"/>
        </w:rPr>
        <w:t>económico</w:t>
      </w:r>
    </w:p>
    <w:p>
      <w:pPr>
        <w:pStyle w:val="BodyText"/>
        <w:spacing w:before="163"/>
        <w:ind w:left="1133" w:right="2"/>
      </w:pPr>
      <w:r>
        <w:rPr>
          <w:color w:val="231F20"/>
          <w:spacing w:val="-4"/>
        </w:rPr>
        <w:t>En</w:t>
      </w:r>
      <w:r>
        <w:rPr>
          <w:color w:val="231F20"/>
          <w:spacing w:val="-11"/>
        </w:rPr>
        <w:t> </w:t>
      </w:r>
      <w:r>
        <w:rPr>
          <w:color w:val="231F20"/>
          <w:spacing w:val="-4"/>
        </w:rPr>
        <w:t>2022,</w:t>
      </w:r>
      <w:r>
        <w:rPr>
          <w:color w:val="231F20"/>
          <w:spacing w:val="-11"/>
        </w:rPr>
        <w:t> </w:t>
      </w:r>
      <w:r>
        <w:rPr>
          <w:color w:val="231F20"/>
          <w:spacing w:val="-4"/>
        </w:rPr>
        <w:t>la</w:t>
      </w:r>
      <w:r>
        <w:rPr>
          <w:color w:val="231F20"/>
          <w:spacing w:val="-11"/>
        </w:rPr>
        <w:t> </w:t>
      </w:r>
      <w:r>
        <w:rPr>
          <w:color w:val="231F20"/>
          <w:spacing w:val="-4"/>
        </w:rPr>
        <w:t>economía</w:t>
      </w:r>
      <w:r>
        <w:rPr>
          <w:color w:val="231F20"/>
          <w:spacing w:val="-11"/>
        </w:rPr>
        <w:t> </w:t>
      </w:r>
      <w:r>
        <w:rPr>
          <w:color w:val="231F20"/>
          <w:spacing w:val="-4"/>
        </w:rPr>
        <w:t>cubana</w:t>
      </w:r>
      <w:r>
        <w:rPr>
          <w:color w:val="231F20"/>
          <w:spacing w:val="-11"/>
        </w:rPr>
        <w:t> </w:t>
      </w:r>
      <w:r>
        <w:rPr>
          <w:color w:val="231F20"/>
          <w:spacing w:val="-4"/>
        </w:rPr>
        <w:t>creció</w:t>
      </w:r>
      <w:r>
        <w:rPr>
          <w:color w:val="231F20"/>
          <w:spacing w:val="-11"/>
        </w:rPr>
        <w:t> </w:t>
      </w:r>
      <w:r>
        <w:rPr>
          <w:color w:val="231F20"/>
          <w:spacing w:val="-4"/>
        </w:rPr>
        <w:t>apenas </w:t>
      </w:r>
      <w:r>
        <w:rPr>
          <w:color w:val="231F20"/>
          <w:spacing w:val="-12"/>
        </w:rPr>
        <w:t>un</w:t>
      </w:r>
      <w:r>
        <w:rPr>
          <w:color w:val="231F20"/>
          <w:spacing w:val="-5"/>
        </w:rPr>
        <w:t> </w:t>
      </w:r>
      <w:r>
        <w:rPr>
          <w:color w:val="231F20"/>
          <w:spacing w:val="-12"/>
        </w:rPr>
        <w:t>2</w:t>
      </w:r>
      <w:r>
        <w:rPr>
          <w:color w:val="231F20"/>
          <w:spacing w:val="-4"/>
        </w:rPr>
        <w:t> </w:t>
      </w:r>
      <w:r>
        <w:rPr>
          <w:color w:val="231F20"/>
          <w:spacing w:val="-12"/>
        </w:rPr>
        <w:t>%,</w:t>
      </w:r>
      <w:r>
        <w:rPr>
          <w:color w:val="231F20"/>
          <w:spacing w:val="-5"/>
        </w:rPr>
        <w:t> </w:t>
      </w:r>
      <w:r>
        <w:rPr>
          <w:color w:val="231F20"/>
          <w:spacing w:val="-12"/>
        </w:rPr>
        <w:t>luego</w:t>
      </w:r>
      <w:r>
        <w:rPr>
          <w:color w:val="231F20"/>
          <w:spacing w:val="-4"/>
        </w:rPr>
        <w:t> </w:t>
      </w:r>
      <w:r>
        <w:rPr>
          <w:color w:val="231F20"/>
          <w:spacing w:val="-12"/>
        </w:rPr>
        <w:t>de</w:t>
      </w:r>
      <w:r>
        <w:rPr>
          <w:color w:val="231F20"/>
          <w:spacing w:val="-4"/>
        </w:rPr>
        <w:t> </w:t>
      </w:r>
      <w:r>
        <w:rPr>
          <w:color w:val="231F20"/>
          <w:spacing w:val="-12"/>
        </w:rPr>
        <w:t>haber</w:t>
      </w:r>
      <w:r>
        <w:rPr>
          <w:color w:val="231F20"/>
          <w:spacing w:val="-5"/>
        </w:rPr>
        <w:t> </w:t>
      </w:r>
      <w:r>
        <w:rPr>
          <w:color w:val="231F20"/>
          <w:spacing w:val="-12"/>
        </w:rPr>
        <w:t>perdido</w:t>
      </w:r>
      <w:r>
        <w:rPr>
          <w:color w:val="231F20"/>
          <w:spacing w:val="-4"/>
        </w:rPr>
        <w:t> </w:t>
      </w:r>
      <w:r>
        <w:rPr>
          <w:color w:val="231F20"/>
          <w:spacing w:val="-12"/>
        </w:rPr>
        <w:t>el</w:t>
      </w:r>
      <w:r>
        <w:rPr>
          <w:color w:val="231F20"/>
          <w:spacing w:val="-5"/>
        </w:rPr>
        <w:t> </w:t>
      </w:r>
      <w:r>
        <w:rPr>
          <w:color w:val="231F20"/>
          <w:spacing w:val="-12"/>
        </w:rPr>
        <w:t>13</w:t>
      </w:r>
      <w:r>
        <w:rPr>
          <w:color w:val="231F20"/>
          <w:spacing w:val="-4"/>
        </w:rPr>
        <w:t> </w:t>
      </w:r>
      <w:r>
        <w:rPr>
          <w:color w:val="231F20"/>
          <w:spacing w:val="-12"/>
        </w:rPr>
        <w:t>%</w:t>
      </w:r>
      <w:r>
        <w:rPr>
          <w:color w:val="231F20"/>
          <w:spacing w:val="-4"/>
        </w:rPr>
        <w:t> </w:t>
      </w:r>
      <w:r>
        <w:rPr>
          <w:color w:val="231F20"/>
          <w:spacing w:val="-12"/>
        </w:rPr>
        <w:t>de</w:t>
      </w:r>
      <w:r>
        <w:rPr>
          <w:color w:val="231F20"/>
          <w:spacing w:val="-5"/>
        </w:rPr>
        <w:t> </w:t>
      </w:r>
      <w:r>
        <w:rPr>
          <w:color w:val="231F20"/>
          <w:spacing w:val="-12"/>
        </w:rPr>
        <w:t>su </w:t>
      </w:r>
      <w:r>
        <w:rPr>
          <w:color w:val="231F20"/>
          <w:spacing w:val="-6"/>
        </w:rPr>
        <w:t>Producto</w:t>
      </w:r>
      <w:r>
        <w:rPr>
          <w:color w:val="231F20"/>
          <w:spacing w:val="-10"/>
        </w:rPr>
        <w:t> </w:t>
      </w:r>
      <w:r>
        <w:rPr>
          <w:color w:val="231F20"/>
          <w:spacing w:val="-6"/>
        </w:rPr>
        <w:t>Interno</w:t>
      </w:r>
      <w:r>
        <w:rPr>
          <w:color w:val="231F20"/>
          <w:spacing w:val="-10"/>
        </w:rPr>
        <w:t> </w:t>
      </w:r>
      <w:r>
        <w:rPr>
          <w:color w:val="231F20"/>
          <w:spacing w:val="-6"/>
        </w:rPr>
        <w:t>Bruto</w:t>
      </w:r>
      <w:r>
        <w:rPr>
          <w:color w:val="231F20"/>
          <w:spacing w:val="-10"/>
        </w:rPr>
        <w:t> </w:t>
      </w:r>
      <w:r>
        <w:rPr>
          <w:color w:val="231F20"/>
          <w:spacing w:val="-6"/>
        </w:rPr>
        <w:t>entre</w:t>
      </w:r>
      <w:r>
        <w:rPr>
          <w:color w:val="231F20"/>
          <w:spacing w:val="-10"/>
        </w:rPr>
        <w:t> </w:t>
      </w:r>
      <w:r>
        <w:rPr>
          <w:color w:val="231F20"/>
          <w:spacing w:val="-6"/>
        </w:rPr>
        <w:t>enero</w:t>
      </w:r>
      <w:r>
        <w:rPr>
          <w:color w:val="231F20"/>
          <w:spacing w:val="-10"/>
        </w:rPr>
        <w:t> </w:t>
      </w:r>
      <w:r>
        <w:rPr>
          <w:color w:val="231F20"/>
          <w:spacing w:val="-6"/>
        </w:rPr>
        <w:t>de</w:t>
      </w:r>
      <w:r>
        <w:rPr>
          <w:color w:val="231F20"/>
          <w:spacing w:val="-10"/>
        </w:rPr>
        <w:t> </w:t>
      </w:r>
      <w:r>
        <w:rPr>
          <w:color w:val="231F20"/>
          <w:spacing w:val="-6"/>
        </w:rPr>
        <w:t>2020 </w:t>
      </w:r>
      <w:r>
        <w:rPr>
          <w:color w:val="231F20"/>
        </w:rPr>
        <w:t>y</w:t>
      </w:r>
      <w:r>
        <w:rPr>
          <w:color w:val="231F20"/>
          <w:spacing w:val="-17"/>
        </w:rPr>
        <w:t> </w:t>
      </w:r>
      <w:r>
        <w:rPr>
          <w:color w:val="231F20"/>
        </w:rPr>
        <w:t>septiembre</w:t>
      </w:r>
      <w:r>
        <w:rPr>
          <w:color w:val="231F20"/>
          <w:spacing w:val="-16"/>
        </w:rPr>
        <w:t> </w:t>
      </w:r>
      <w:r>
        <w:rPr>
          <w:color w:val="231F20"/>
        </w:rPr>
        <w:t>de</w:t>
      </w:r>
      <w:r>
        <w:rPr>
          <w:color w:val="231F20"/>
          <w:spacing w:val="-17"/>
        </w:rPr>
        <w:t> </w:t>
      </w:r>
      <w:r>
        <w:rPr>
          <w:color w:val="231F20"/>
        </w:rPr>
        <w:t>2021,</w:t>
      </w:r>
      <w:r>
        <w:rPr>
          <w:color w:val="231F20"/>
          <w:spacing w:val="-16"/>
        </w:rPr>
        <w:t> </w:t>
      </w:r>
      <w:r>
        <w:rPr>
          <w:color w:val="231F20"/>
        </w:rPr>
        <w:t>como</w:t>
      </w:r>
      <w:r>
        <w:rPr>
          <w:color w:val="231F20"/>
          <w:spacing w:val="-17"/>
        </w:rPr>
        <w:t> </w:t>
      </w:r>
      <w:r>
        <w:rPr>
          <w:color w:val="231F20"/>
        </w:rPr>
        <w:t>consecuencia </w:t>
      </w:r>
      <w:r>
        <w:rPr>
          <w:color w:val="231F20"/>
          <w:spacing w:val="-2"/>
        </w:rPr>
        <w:t>del</w:t>
      </w:r>
      <w:r>
        <w:rPr>
          <w:color w:val="231F20"/>
          <w:spacing w:val="-15"/>
        </w:rPr>
        <w:t> </w:t>
      </w:r>
      <w:r>
        <w:rPr>
          <w:color w:val="231F20"/>
          <w:spacing w:val="-2"/>
        </w:rPr>
        <w:t>impacto</w:t>
      </w:r>
      <w:r>
        <w:rPr>
          <w:color w:val="231F20"/>
          <w:spacing w:val="-14"/>
        </w:rPr>
        <w:t> </w:t>
      </w:r>
      <w:r>
        <w:rPr>
          <w:color w:val="231F20"/>
          <w:spacing w:val="-2"/>
        </w:rPr>
        <w:t>combinado</w:t>
      </w:r>
      <w:r>
        <w:rPr>
          <w:color w:val="231F20"/>
          <w:spacing w:val="-15"/>
        </w:rPr>
        <w:t> </w:t>
      </w:r>
      <w:r>
        <w:rPr>
          <w:color w:val="231F20"/>
          <w:spacing w:val="-2"/>
        </w:rPr>
        <w:t>de</w:t>
      </w:r>
      <w:r>
        <w:rPr>
          <w:color w:val="231F20"/>
          <w:spacing w:val="-14"/>
        </w:rPr>
        <w:t> </w:t>
      </w:r>
      <w:r>
        <w:rPr>
          <w:color w:val="231F20"/>
          <w:spacing w:val="-2"/>
        </w:rPr>
        <w:t>la</w:t>
      </w:r>
      <w:r>
        <w:rPr>
          <w:color w:val="231F20"/>
          <w:spacing w:val="-15"/>
        </w:rPr>
        <w:t> </w:t>
      </w:r>
      <w:r>
        <w:rPr>
          <w:color w:val="231F20"/>
          <w:spacing w:val="-2"/>
        </w:rPr>
        <w:t>pandemia</w:t>
      </w:r>
      <w:r>
        <w:rPr>
          <w:color w:val="231F20"/>
          <w:spacing w:val="-14"/>
        </w:rPr>
        <w:t> </w:t>
      </w:r>
      <w:r>
        <w:rPr>
          <w:color w:val="231F20"/>
          <w:spacing w:val="-2"/>
        </w:rPr>
        <w:t>de </w:t>
      </w:r>
      <w:r>
        <w:rPr>
          <w:color w:val="231F20"/>
        </w:rPr>
        <w:t>la COVID-19, la crisis económica mundial y el recrudecimiento sin precedentes del </w:t>
      </w:r>
      <w:r>
        <w:rPr>
          <w:color w:val="231F20"/>
          <w:spacing w:val="-4"/>
        </w:rPr>
        <w:t>bloqueo</w:t>
      </w:r>
      <w:r>
        <w:rPr>
          <w:color w:val="231F20"/>
          <w:spacing w:val="-5"/>
        </w:rPr>
        <w:t> </w:t>
      </w:r>
      <w:r>
        <w:rPr>
          <w:color w:val="231F20"/>
          <w:spacing w:val="-4"/>
        </w:rPr>
        <w:t>económico,</w:t>
      </w:r>
      <w:r>
        <w:rPr>
          <w:color w:val="231F20"/>
          <w:spacing w:val="-5"/>
        </w:rPr>
        <w:t> </w:t>
      </w:r>
      <w:r>
        <w:rPr>
          <w:color w:val="231F20"/>
          <w:spacing w:val="-4"/>
        </w:rPr>
        <w:t>comercial</w:t>
      </w:r>
      <w:r>
        <w:rPr>
          <w:color w:val="231F20"/>
          <w:spacing w:val="-5"/>
        </w:rPr>
        <w:t> </w:t>
      </w:r>
      <w:r>
        <w:rPr>
          <w:color w:val="231F20"/>
          <w:spacing w:val="-4"/>
        </w:rPr>
        <w:t>y</w:t>
      </w:r>
      <w:r>
        <w:rPr>
          <w:color w:val="231F20"/>
          <w:spacing w:val="-5"/>
        </w:rPr>
        <w:t> </w:t>
      </w:r>
      <w:r>
        <w:rPr>
          <w:color w:val="231F20"/>
          <w:spacing w:val="-4"/>
        </w:rPr>
        <w:t>financiero </w:t>
      </w:r>
      <w:r>
        <w:rPr>
          <w:color w:val="231F20"/>
        </w:rPr>
        <w:t>impuesto</w:t>
      </w:r>
      <w:r>
        <w:rPr>
          <w:color w:val="231F20"/>
          <w:spacing w:val="-1"/>
        </w:rPr>
        <w:t> </w:t>
      </w:r>
      <w:r>
        <w:rPr>
          <w:color w:val="231F20"/>
        </w:rPr>
        <w:t>por</w:t>
      </w:r>
      <w:r>
        <w:rPr>
          <w:color w:val="231F20"/>
          <w:spacing w:val="-1"/>
        </w:rPr>
        <w:t> </w:t>
      </w:r>
      <w:r>
        <w:rPr>
          <w:color w:val="231F20"/>
        </w:rPr>
        <w:t>los</w:t>
      </w:r>
      <w:r>
        <w:rPr>
          <w:color w:val="231F20"/>
          <w:spacing w:val="-1"/>
        </w:rPr>
        <w:t> </w:t>
      </w:r>
      <w:r>
        <w:rPr>
          <w:color w:val="231F20"/>
        </w:rPr>
        <w:t>Estados</w:t>
      </w:r>
      <w:r>
        <w:rPr>
          <w:color w:val="231F20"/>
          <w:spacing w:val="-1"/>
        </w:rPr>
        <w:t> </w:t>
      </w:r>
      <w:r>
        <w:rPr>
          <w:color w:val="231F20"/>
        </w:rPr>
        <w:t>Unidos.</w:t>
      </w:r>
    </w:p>
    <w:p>
      <w:pPr>
        <w:pStyle w:val="BodyText"/>
        <w:spacing w:before="167"/>
        <w:ind w:left="1133"/>
      </w:pPr>
      <w:r>
        <w:rPr>
          <w:color w:val="231F20"/>
          <w:spacing w:val="-2"/>
        </w:rPr>
        <w:t>Producto</w:t>
      </w:r>
      <w:r>
        <w:rPr>
          <w:color w:val="231F20"/>
          <w:spacing w:val="-13"/>
        </w:rPr>
        <w:t> </w:t>
      </w:r>
      <w:r>
        <w:rPr>
          <w:color w:val="231F20"/>
          <w:spacing w:val="-2"/>
        </w:rPr>
        <w:t>de</w:t>
      </w:r>
      <w:r>
        <w:rPr>
          <w:color w:val="231F20"/>
          <w:spacing w:val="-13"/>
        </w:rPr>
        <w:t> </w:t>
      </w:r>
      <w:r>
        <w:rPr>
          <w:color w:val="231F20"/>
          <w:spacing w:val="-2"/>
        </w:rPr>
        <w:t>la</w:t>
      </w:r>
      <w:r>
        <w:rPr>
          <w:color w:val="231F20"/>
          <w:spacing w:val="-13"/>
        </w:rPr>
        <w:t> </w:t>
      </w:r>
      <w:r>
        <w:rPr>
          <w:color w:val="231F20"/>
          <w:spacing w:val="-2"/>
        </w:rPr>
        <w:t>inflación,</w:t>
      </w:r>
      <w:r>
        <w:rPr>
          <w:color w:val="231F20"/>
          <w:spacing w:val="-13"/>
        </w:rPr>
        <w:t> </w:t>
      </w:r>
      <w:r>
        <w:rPr>
          <w:color w:val="231F20"/>
          <w:spacing w:val="-2"/>
        </w:rPr>
        <w:t>solo</w:t>
      </w:r>
      <w:r>
        <w:rPr>
          <w:color w:val="231F20"/>
          <w:spacing w:val="-13"/>
        </w:rPr>
        <w:t> </w:t>
      </w:r>
      <w:r>
        <w:rPr>
          <w:color w:val="231F20"/>
          <w:spacing w:val="-2"/>
        </w:rPr>
        <w:t>entre</w:t>
      </w:r>
      <w:r>
        <w:rPr>
          <w:color w:val="231F20"/>
          <w:spacing w:val="-13"/>
        </w:rPr>
        <w:t> </w:t>
      </w:r>
      <w:r>
        <w:rPr>
          <w:color w:val="231F20"/>
          <w:spacing w:val="-2"/>
        </w:rPr>
        <w:t>enero</w:t>
      </w:r>
      <w:r>
        <w:rPr>
          <w:color w:val="231F20"/>
          <w:spacing w:val="-13"/>
        </w:rPr>
        <w:t> </w:t>
      </w:r>
      <w:r>
        <w:rPr>
          <w:color w:val="231F20"/>
          <w:spacing w:val="-2"/>
        </w:rPr>
        <w:t>y </w:t>
      </w:r>
      <w:r>
        <w:rPr>
          <w:color w:val="231F20"/>
        </w:rPr>
        <w:t>octubre</w:t>
      </w:r>
      <w:r>
        <w:rPr>
          <w:color w:val="231F20"/>
          <w:spacing w:val="-9"/>
        </w:rPr>
        <w:t> </w:t>
      </w:r>
      <w:r>
        <w:rPr>
          <w:color w:val="231F20"/>
        </w:rPr>
        <w:t>de</w:t>
      </w:r>
      <w:r>
        <w:rPr>
          <w:color w:val="231F20"/>
          <w:spacing w:val="-9"/>
        </w:rPr>
        <w:t> </w:t>
      </w:r>
      <w:r>
        <w:rPr>
          <w:color w:val="231F20"/>
        </w:rPr>
        <w:t>2022,</w:t>
      </w:r>
      <w:r>
        <w:rPr>
          <w:color w:val="231F20"/>
          <w:spacing w:val="-9"/>
        </w:rPr>
        <w:t> </w:t>
      </w:r>
      <w:r>
        <w:rPr>
          <w:color w:val="231F20"/>
        </w:rPr>
        <w:t>el</w:t>
      </w:r>
      <w:r>
        <w:rPr>
          <w:color w:val="231F20"/>
          <w:spacing w:val="-9"/>
        </w:rPr>
        <w:t> </w:t>
      </w:r>
      <w:r>
        <w:rPr>
          <w:color w:val="231F20"/>
        </w:rPr>
        <w:t>precio</w:t>
      </w:r>
      <w:r>
        <w:rPr>
          <w:color w:val="231F20"/>
          <w:spacing w:val="-9"/>
        </w:rPr>
        <w:t> </w:t>
      </w:r>
      <w:r>
        <w:rPr>
          <w:color w:val="231F20"/>
        </w:rPr>
        <w:t>promedio</w:t>
      </w:r>
      <w:r>
        <w:rPr>
          <w:color w:val="231F20"/>
          <w:spacing w:val="-9"/>
        </w:rPr>
        <w:t> </w:t>
      </w:r>
      <w:r>
        <w:rPr>
          <w:color w:val="231F20"/>
        </w:rPr>
        <w:t>de</w:t>
      </w:r>
      <w:r>
        <w:rPr>
          <w:color w:val="231F20"/>
          <w:spacing w:val="-9"/>
        </w:rPr>
        <w:t> </w:t>
      </w:r>
      <w:r>
        <w:rPr>
          <w:color w:val="231F20"/>
        </w:rPr>
        <w:t>la canasta</w:t>
      </w:r>
      <w:r>
        <w:rPr>
          <w:color w:val="231F20"/>
          <w:spacing w:val="-17"/>
        </w:rPr>
        <w:t> </w:t>
      </w:r>
      <w:r>
        <w:rPr>
          <w:color w:val="231F20"/>
        </w:rPr>
        <w:t>de</w:t>
      </w:r>
      <w:r>
        <w:rPr>
          <w:color w:val="231F20"/>
          <w:spacing w:val="-16"/>
        </w:rPr>
        <w:t> </w:t>
      </w:r>
      <w:r>
        <w:rPr>
          <w:color w:val="231F20"/>
        </w:rPr>
        <w:t>bienes</w:t>
      </w:r>
      <w:r>
        <w:rPr>
          <w:color w:val="231F20"/>
          <w:spacing w:val="-17"/>
        </w:rPr>
        <w:t> </w:t>
      </w:r>
      <w:r>
        <w:rPr>
          <w:color w:val="231F20"/>
        </w:rPr>
        <w:t>y</w:t>
      </w:r>
      <w:r>
        <w:rPr>
          <w:color w:val="231F20"/>
          <w:spacing w:val="-16"/>
        </w:rPr>
        <w:t> </w:t>
      </w:r>
      <w:r>
        <w:rPr>
          <w:color w:val="231F20"/>
        </w:rPr>
        <w:t>servicios</w:t>
      </w:r>
      <w:r>
        <w:rPr>
          <w:color w:val="231F20"/>
          <w:spacing w:val="-17"/>
        </w:rPr>
        <w:t> </w:t>
      </w:r>
      <w:r>
        <w:rPr>
          <w:color w:val="231F20"/>
        </w:rPr>
        <w:t>creció</w:t>
      </w:r>
      <w:r>
        <w:rPr>
          <w:color w:val="231F20"/>
          <w:spacing w:val="-16"/>
        </w:rPr>
        <w:t> </w:t>
      </w:r>
      <w:r>
        <w:rPr>
          <w:color w:val="231F20"/>
        </w:rPr>
        <w:t>casi</w:t>
      </w:r>
      <w:r>
        <w:rPr>
          <w:color w:val="231F20"/>
          <w:spacing w:val="-17"/>
        </w:rPr>
        <w:t> </w:t>
      </w:r>
      <w:r>
        <w:rPr>
          <w:color w:val="231F20"/>
        </w:rPr>
        <w:t>un </w:t>
      </w:r>
      <w:r>
        <w:rPr>
          <w:color w:val="231F20"/>
          <w:spacing w:val="-8"/>
        </w:rPr>
        <w:t>29%. De octubre de 2021 a octubre de 2022, </w:t>
      </w:r>
      <w:r>
        <w:rPr>
          <w:color w:val="231F20"/>
          <w:spacing w:val="-6"/>
        </w:rPr>
        <w:t>la inflación aumentó prácticamente un 40%. </w:t>
      </w:r>
      <w:r>
        <w:rPr>
          <w:color w:val="231F20"/>
          <w:spacing w:val="-8"/>
        </w:rPr>
        <w:t>En esta situación, tiene un peso fundamental no</w:t>
      </w:r>
      <w:r>
        <w:rPr>
          <w:color w:val="231F20"/>
          <w:spacing w:val="-9"/>
        </w:rPr>
        <w:t> </w:t>
      </w:r>
      <w:r>
        <w:rPr>
          <w:color w:val="231F20"/>
          <w:spacing w:val="-8"/>
        </w:rPr>
        <w:t>solo la</w:t>
      </w:r>
      <w:r>
        <w:rPr>
          <w:color w:val="231F20"/>
          <w:spacing w:val="-9"/>
        </w:rPr>
        <w:t> </w:t>
      </w:r>
      <w:r>
        <w:rPr>
          <w:color w:val="231F20"/>
          <w:spacing w:val="-8"/>
        </w:rPr>
        <w:t>inflación importada</w:t>
      </w:r>
      <w:r>
        <w:rPr>
          <w:color w:val="231F20"/>
          <w:spacing w:val="-9"/>
        </w:rPr>
        <w:t> </w:t>
      </w:r>
      <w:r>
        <w:rPr>
          <w:color w:val="231F20"/>
          <w:spacing w:val="-8"/>
        </w:rPr>
        <w:t>por los</w:t>
      </w:r>
      <w:r>
        <w:rPr>
          <w:color w:val="231F20"/>
          <w:spacing w:val="-9"/>
        </w:rPr>
        <w:t> </w:t>
      </w:r>
      <w:r>
        <w:rPr>
          <w:color w:val="231F20"/>
          <w:spacing w:val="-8"/>
        </w:rPr>
        <w:t>precios </w:t>
      </w:r>
      <w:r>
        <w:rPr>
          <w:color w:val="231F20"/>
          <w:spacing w:val="-10"/>
        </w:rPr>
        <w:t>en</w:t>
      </w:r>
      <w:r>
        <w:rPr>
          <w:color w:val="231F20"/>
          <w:spacing w:val="-7"/>
        </w:rPr>
        <w:t> </w:t>
      </w:r>
      <w:r>
        <w:rPr>
          <w:color w:val="231F20"/>
          <w:spacing w:val="-10"/>
        </w:rPr>
        <w:t>el</w:t>
      </w:r>
      <w:r>
        <w:rPr>
          <w:color w:val="231F20"/>
          <w:spacing w:val="-6"/>
        </w:rPr>
        <w:t> </w:t>
      </w:r>
      <w:r>
        <w:rPr>
          <w:color w:val="231F20"/>
          <w:spacing w:val="-10"/>
        </w:rPr>
        <w:t>mercado</w:t>
      </w:r>
      <w:r>
        <w:rPr>
          <w:color w:val="231F20"/>
          <w:spacing w:val="-7"/>
        </w:rPr>
        <w:t> </w:t>
      </w:r>
      <w:r>
        <w:rPr>
          <w:color w:val="231F20"/>
          <w:spacing w:val="-10"/>
        </w:rPr>
        <w:t>mundial,</w:t>
      </w:r>
      <w:r>
        <w:rPr>
          <w:color w:val="231F20"/>
          <w:spacing w:val="-6"/>
        </w:rPr>
        <w:t> </w:t>
      </w:r>
      <w:r>
        <w:rPr>
          <w:color w:val="231F20"/>
          <w:spacing w:val="-10"/>
        </w:rPr>
        <w:t>sino</w:t>
      </w:r>
      <w:r>
        <w:rPr>
          <w:color w:val="231F20"/>
          <w:spacing w:val="-7"/>
        </w:rPr>
        <w:t> </w:t>
      </w:r>
      <w:r>
        <w:rPr>
          <w:color w:val="231F20"/>
          <w:spacing w:val="-10"/>
        </w:rPr>
        <w:t>esencialmente</w:t>
      </w:r>
      <w:r>
        <w:rPr>
          <w:color w:val="231F20"/>
          <w:spacing w:val="-6"/>
        </w:rPr>
        <w:t> </w:t>
      </w:r>
      <w:r>
        <w:rPr>
          <w:color w:val="231F20"/>
          <w:spacing w:val="-10"/>
        </w:rPr>
        <w:t>la </w:t>
      </w:r>
      <w:r>
        <w:rPr>
          <w:color w:val="231F20"/>
          <w:spacing w:val="-8"/>
        </w:rPr>
        <w:t>falta</w:t>
      </w:r>
      <w:r>
        <w:rPr>
          <w:color w:val="231F20"/>
          <w:spacing w:val="-9"/>
        </w:rPr>
        <w:t> </w:t>
      </w:r>
      <w:r>
        <w:rPr>
          <w:color w:val="231F20"/>
          <w:spacing w:val="-8"/>
        </w:rPr>
        <w:t>de disponibilidad</w:t>
      </w:r>
      <w:r>
        <w:rPr>
          <w:color w:val="231F20"/>
          <w:spacing w:val="-9"/>
        </w:rPr>
        <w:t> </w:t>
      </w:r>
      <w:r>
        <w:rPr>
          <w:color w:val="231F20"/>
          <w:spacing w:val="-8"/>
        </w:rPr>
        <w:t>de divisas,</w:t>
      </w:r>
      <w:r>
        <w:rPr>
          <w:color w:val="231F20"/>
          <w:spacing w:val="-9"/>
        </w:rPr>
        <w:t> </w:t>
      </w:r>
      <w:r>
        <w:rPr>
          <w:color w:val="231F20"/>
          <w:spacing w:val="-8"/>
        </w:rPr>
        <w:t>exacerbada por</w:t>
      </w:r>
      <w:r>
        <w:rPr>
          <w:color w:val="231F20"/>
          <w:spacing w:val="-9"/>
        </w:rPr>
        <w:t> </w:t>
      </w:r>
      <w:r>
        <w:rPr>
          <w:color w:val="231F20"/>
          <w:spacing w:val="-8"/>
        </w:rPr>
        <w:t>los efectos</w:t>
      </w:r>
      <w:r>
        <w:rPr>
          <w:color w:val="231F20"/>
          <w:spacing w:val="-9"/>
        </w:rPr>
        <w:t> </w:t>
      </w:r>
      <w:r>
        <w:rPr>
          <w:color w:val="231F20"/>
          <w:spacing w:val="-8"/>
        </w:rPr>
        <w:t>recrudecidos del</w:t>
      </w:r>
      <w:r>
        <w:rPr>
          <w:color w:val="231F20"/>
          <w:spacing w:val="-9"/>
        </w:rPr>
        <w:t> </w:t>
      </w:r>
      <w:r>
        <w:rPr>
          <w:color w:val="231F20"/>
          <w:spacing w:val="-8"/>
        </w:rPr>
        <w:t>bloqueo y</w:t>
      </w:r>
      <w:r>
        <w:rPr>
          <w:color w:val="231F20"/>
          <w:spacing w:val="-9"/>
        </w:rPr>
        <w:t> </w:t>
      </w:r>
      <w:r>
        <w:rPr>
          <w:color w:val="231F20"/>
          <w:spacing w:val="-8"/>
        </w:rPr>
        <w:t>la </w:t>
      </w:r>
      <w:r>
        <w:rPr>
          <w:color w:val="231F20"/>
          <w:spacing w:val="-10"/>
        </w:rPr>
        <w:t>incesante</w:t>
      </w:r>
      <w:r>
        <w:rPr>
          <w:color w:val="231F20"/>
          <w:spacing w:val="-7"/>
        </w:rPr>
        <w:t> </w:t>
      </w:r>
      <w:r>
        <w:rPr>
          <w:color w:val="231F20"/>
          <w:spacing w:val="-10"/>
        </w:rPr>
        <w:t>persecución</w:t>
      </w:r>
      <w:r>
        <w:rPr>
          <w:color w:val="231F20"/>
          <w:spacing w:val="-6"/>
        </w:rPr>
        <w:t> </w:t>
      </w:r>
      <w:r>
        <w:rPr>
          <w:color w:val="231F20"/>
          <w:spacing w:val="-10"/>
        </w:rPr>
        <w:t>por</w:t>
      </w:r>
      <w:r>
        <w:rPr>
          <w:color w:val="231F20"/>
          <w:spacing w:val="-7"/>
        </w:rPr>
        <w:t> </w:t>
      </w:r>
      <w:r>
        <w:rPr>
          <w:color w:val="231F20"/>
          <w:spacing w:val="-10"/>
        </w:rPr>
        <w:t>parte</w:t>
      </w:r>
      <w:r>
        <w:rPr>
          <w:color w:val="231F20"/>
          <w:spacing w:val="-6"/>
        </w:rPr>
        <w:t> </w:t>
      </w:r>
      <w:r>
        <w:rPr>
          <w:color w:val="231F20"/>
          <w:spacing w:val="-10"/>
        </w:rPr>
        <w:t>del</w:t>
      </w:r>
      <w:r>
        <w:rPr>
          <w:color w:val="231F20"/>
          <w:spacing w:val="-7"/>
        </w:rPr>
        <w:t> </w:t>
      </w:r>
      <w:r>
        <w:rPr>
          <w:color w:val="231F20"/>
          <w:spacing w:val="-10"/>
        </w:rPr>
        <w:t>gobierno </w:t>
      </w:r>
      <w:r>
        <w:rPr>
          <w:color w:val="231F20"/>
        </w:rPr>
        <w:t>de los Estados Unidos a toda fuente de ingreso al país.</w:t>
      </w:r>
    </w:p>
    <w:p>
      <w:pPr>
        <w:pStyle w:val="BodyText"/>
        <w:spacing w:before="171"/>
        <w:ind w:left="1133" w:right="4"/>
      </w:pPr>
      <w:r>
        <w:rPr>
          <w:color w:val="231F20"/>
          <w:spacing w:val="-10"/>
        </w:rPr>
        <w:t>Como</w:t>
      </w:r>
      <w:r>
        <w:rPr>
          <w:color w:val="231F20"/>
          <w:spacing w:val="-3"/>
        </w:rPr>
        <w:t> </w:t>
      </w:r>
      <w:r>
        <w:rPr>
          <w:color w:val="231F20"/>
          <w:spacing w:val="-10"/>
        </w:rPr>
        <w:t>consecuencia,</w:t>
      </w:r>
      <w:r>
        <w:rPr>
          <w:color w:val="231F20"/>
          <w:spacing w:val="-3"/>
        </w:rPr>
        <w:t> </w:t>
      </w:r>
      <w:r>
        <w:rPr>
          <w:color w:val="231F20"/>
          <w:spacing w:val="-10"/>
        </w:rPr>
        <w:t>la</w:t>
      </w:r>
      <w:r>
        <w:rPr>
          <w:color w:val="231F20"/>
          <w:spacing w:val="-3"/>
        </w:rPr>
        <w:t> </w:t>
      </w:r>
      <w:r>
        <w:rPr>
          <w:color w:val="231F20"/>
          <w:spacing w:val="-10"/>
        </w:rPr>
        <w:t>capacidad</w:t>
      </w:r>
      <w:r>
        <w:rPr>
          <w:color w:val="231F20"/>
          <w:spacing w:val="-3"/>
        </w:rPr>
        <w:t> </w:t>
      </w:r>
      <w:r>
        <w:rPr>
          <w:color w:val="231F20"/>
          <w:spacing w:val="-10"/>
        </w:rPr>
        <w:t>de</w:t>
      </w:r>
      <w:r>
        <w:rPr>
          <w:color w:val="231F20"/>
          <w:spacing w:val="-3"/>
        </w:rPr>
        <w:t> </w:t>
      </w:r>
      <w:r>
        <w:rPr>
          <w:color w:val="231F20"/>
          <w:spacing w:val="-10"/>
        </w:rPr>
        <w:t>compra </w:t>
      </w:r>
      <w:r>
        <w:rPr>
          <w:color w:val="231F20"/>
        </w:rPr>
        <w:t>de</w:t>
      </w:r>
      <w:r>
        <w:rPr>
          <w:color w:val="231F20"/>
          <w:spacing w:val="77"/>
        </w:rPr>
        <w:t> </w:t>
      </w:r>
      <w:r>
        <w:rPr>
          <w:color w:val="231F20"/>
        </w:rPr>
        <w:t>los</w:t>
      </w:r>
      <w:r>
        <w:rPr>
          <w:color w:val="231F20"/>
          <w:spacing w:val="79"/>
        </w:rPr>
        <w:t> </w:t>
      </w:r>
      <w:r>
        <w:rPr>
          <w:color w:val="231F20"/>
        </w:rPr>
        <w:t>salarios</w:t>
      </w:r>
      <w:r>
        <w:rPr>
          <w:color w:val="231F20"/>
          <w:spacing w:val="79"/>
        </w:rPr>
        <w:t> </w:t>
      </w:r>
      <w:r>
        <w:rPr>
          <w:color w:val="231F20"/>
        </w:rPr>
        <w:t>en</w:t>
      </w:r>
      <w:r>
        <w:rPr>
          <w:color w:val="231F20"/>
          <w:spacing w:val="79"/>
        </w:rPr>
        <w:t> </w:t>
      </w:r>
      <w:r>
        <w:rPr>
          <w:color w:val="231F20"/>
        </w:rPr>
        <w:t>Cuba</w:t>
      </w:r>
      <w:r>
        <w:rPr>
          <w:color w:val="231F20"/>
          <w:spacing w:val="79"/>
        </w:rPr>
        <w:t> </w:t>
      </w:r>
      <w:r>
        <w:rPr>
          <w:color w:val="231F20"/>
        </w:rPr>
        <w:t>ha</w:t>
      </w:r>
      <w:r>
        <w:rPr>
          <w:color w:val="231F20"/>
          <w:spacing w:val="79"/>
        </w:rPr>
        <w:t> </w:t>
      </w:r>
      <w:r>
        <w:rPr>
          <w:color w:val="231F20"/>
          <w:spacing w:val="-7"/>
        </w:rPr>
        <w:t>disminuido</w:t>
      </w:r>
    </w:p>
    <w:p>
      <w:pPr>
        <w:pStyle w:val="BodyText"/>
        <w:spacing w:before="77"/>
        <w:ind w:left="412" w:right="1477"/>
      </w:pPr>
      <w:r>
        <w:rPr/>
        <w:br w:type="column"/>
      </w:r>
      <w:r>
        <w:rPr>
          <w:color w:val="231F20"/>
        </w:rPr>
        <w:t>sustancialmente. Esta situación ha tenido </w:t>
      </w:r>
      <w:r>
        <w:rPr>
          <w:color w:val="231F20"/>
          <w:spacing w:val="-2"/>
        </w:rPr>
        <w:t>efectos</w:t>
      </w:r>
      <w:r>
        <w:rPr>
          <w:color w:val="231F20"/>
          <w:spacing w:val="-12"/>
        </w:rPr>
        <w:t> </w:t>
      </w:r>
      <w:r>
        <w:rPr>
          <w:color w:val="231F20"/>
          <w:spacing w:val="-2"/>
        </w:rPr>
        <w:t>devastadores</w:t>
      </w:r>
      <w:r>
        <w:rPr>
          <w:color w:val="231F20"/>
          <w:spacing w:val="-12"/>
        </w:rPr>
        <w:t> </w:t>
      </w:r>
      <w:r>
        <w:rPr>
          <w:color w:val="231F20"/>
          <w:spacing w:val="-2"/>
        </w:rPr>
        <w:t>en</w:t>
      </w:r>
      <w:r>
        <w:rPr>
          <w:color w:val="231F20"/>
          <w:spacing w:val="-12"/>
        </w:rPr>
        <w:t> </w:t>
      </w:r>
      <w:r>
        <w:rPr>
          <w:color w:val="231F20"/>
          <w:spacing w:val="-2"/>
        </w:rPr>
        <w:t>todos</w:t>
      </w:r>
      <w:r>
        <w:rPr>
          <w:color w:val="231F20"/>
          <w:spacing w:val="-12"/>
        </w:rPr>
        <w:t> </w:t>
      </w:r>
      <w:r>
        <w:rPr>
          <w:color w:val="231F20"/>
          <w:spacing w:val="-2"/>
        </w:rPr>
        <w:t>los</w:t>
      </w:r>
      <w:r>
        <w:rPr>
          <w:color w:val="231F20"/>
          <w:spacing w:val="-12"/>
        </w:rPr>
        <w:t> </w:t>
      </w:r>
      <w:r>
        <w:rPr>
          <w:color w:val="231F20"/>
          <w:spacing w:val="-2"/>
        </w:rPr>
        <w:t>ámbitos </w:t>
      </w:r>
      <w:r>
        <w:rPr>
          <w:color w:val="231F20"/>
        </w:rPr>
        <w:t>de</w:t>
      </w:r>
      <w:r>
        <w:rPr>
          <w:color w:val="231F20"/>
          <w:spacing w:val="-17"/>
        </w:rPr>
        <w:t> </w:t>
      </w:r>
      <w:r>
        <w:rPr>
          <w:color w:val="231F20"/>
        </w:rPr>
        <w:t>la</w:t>
      </w:r>
      <w:r>
        <w:rPr>
          <w:color w:val="231F20"/>
          <w:spacing w:val="-16"/>
        </w:rPr>
        <w:t> </w:t>
      </w:r>
      <w:r>
        <w:rPr>
          <w:color w:val="231F20"/>
        </w:rPr>
        <w:t>economía,</w:t>
      </w:r>
      <w:r>
        <w:rPr>
          <w:color w:val="231F20"/>
          <w:spacing w:val="-17"/>
        </w:rPr>
        <w:t> </w:t>
      </w:r>
      <w:r>
        <w:rPr>
          <w:color w:val="231F20"/>
        </w:rPr>
        <w:t>con</w:t>
      </w:r>
      <w:r>
        <w:rPr>
          <w:color w:val="231F20"/>
          <w:spacing w:val="-16"/>
        </w:rPr>
        <w:t> </w:t>
      </w:r>
      <w:r>
        <w:rPr>
          <w:color w:val="231F20"/>
        </w:rPr>
        <w:t>un</w:t>
      </w:r>
      <w:r>
        <w:rPr>
          <w:color w:val="231F20"/>
          <w:spacing w:val="-17"/>
        </w:rPr>
        <w:t> </w:t>
      </w:r>
      <w:r>
        <w:rPr>
          <w:color w:val="231F20"/>
        </w:rPr>
        <w:t>impacto</w:t>
      </w:r>
      <w:r>
        <w:rPr>
          <w:color w:val="231F20"/>
          <w:spacing w:val="-16"/>
        </w:rPr>
        <w:t> </w:t>
      </w:r>
      <w:r>
        <w:rPr>
          <w:color w:val="231F20"/>
        </w:rPr>
        <w:t>directo</w:t>
      </w:r>
      <w:r>
        <w:rPr>
          <w:color w:val="231F20"/>
          <w:spacing w:val="-17"/>
        </w:rPr>
        <w:t> </w:t>
      </w:r>
      <w:r>
        <w:rPr>
          <w:color w:val="231F20"/>
        </w:rPr>
        <w:t>en la población y en cualquier iniciativa que emprenda el país a fin de satisfacer sus necesidades</w:t>
      </w:r>
      <w:r>
        <w:rPr>
          <w:color w:val="231F20"/>
          <w:spacing w:val="-17"/>
        </w:rPr>
        <w:t> </w:t>
      </w:r>
      <w:r>
        <w:rPr>
          <w:color w:val="231F20"/>
        </w:rPr>
        <w:t>acumuladas.</w:t>
      </w:r>
    </w:p>
    <w:p>
      <w:pPr>
        <w:spacing w:before="164"/>
        <w:ind w:left="412" w:right="1472" w:firstLine="0"/>
        <w:jc w:val="both"/>
        <w:rPr>
          <w:rFonts w:ascii="Segoe UI Semibold" w:hAnsi="Segoe UI Semibold"/>
          <w:b/>
          <w:i/>
          <w:sz w:val="24"/>
        </w:rPr>
      </w:pPr>
      <w:r>
        <w:rPr/>
        <mc:AlternateContent>
          <mc:Choice Requires="wps">
            <w:drawing>
              <wp:anchor distT="0" distB="0" distL="0" distR="0" allowOverlap="1" layoutInCell="1" locked="0" behindDoc="0" simplePos="0" relativeHeight="15748096">
                <wp:simplePos x="0" y="0"/>
                <wp:positionH relativeFrom="page">
                  <wp:posOffset>7560005</wp:posOffset>
                </wp:positionH>
                <wp:positionV relativeFrom="paragraph">
                  <wp:posOffset>1376976</wp:posOffset>
                </wp:positionV>
                <wp:extent cx="1270" cy="4789170"/>
                <wp:effectExtent l="0" t="0" r="0" b="0"/>
                <wp:wrapNone/>
                <wp:docPr id="59" name="Graphic 59"/>
                <wp:cNvGraphicFramePr>
                  <a:graphicFrameLocks/>
                </wp:cNvGraphicFramePr>
                <a:graphic>
                  <a:graphicData uri="http://schemas.microsoft.com/office/word/2010/wordprocessingShape">
                    <wps:wsp>
                      <wps:cNvPr id="59" name="Graphic 59"/>
                      <wps:cNvSpPr/>
                      <wps:spPr>
                        <a:xfrm>
                          <a:off x="0" y="0"/>
                          <a:ext cx="1270" cy="4789170"/>
                        </a:xfrm>
                        <a:custGeom>
                          <a:avLst/>
                          <a:gdLst/>
                          <a:ahLst/>
                          <a:cxnLst/>
                          <a:rect l="l" t="t" r="r" b="b"/>
                          <a:pathLst>
                            <a:path w="0" h="4789170">
                              <a:moveTo>
                                <a:pt x="0" y="0"/>
                              </a:moveTo>
                              <a:lnTo>
                                <a:pt x="0" y="4788649"/>
                              </a:lnTo>
                              <a:lnTo>
                                <a:pt x="0" y="0"/>
                              </a:lnTo>
                              <a:close/>
                            </a:path>
                          </a:pathLst>
                        </a:custGeom>
                        <a:solidFill>
                          <a:srgbClr val="E0E2E2"/>
                        </a:solidFill>
                      </wps:spPr>
                      <wps:bodyPr wrap="square" lIns="0" tIns="0" rIns="0" bIns="0" rtlCol="0">
                        <a:prstTxWarp prst="textNoShape">
                          <a:avLst/>
                        </a:prstTxWarp>
                        <a:noAutofit/>
                      </wps:bodyPr>
                    </wps:wsp>
                  </a:graphicData>
                </a:graphic>
              </wp:anchor>
            </w:drawing>
          </mc:Choice>
          <mc:Fallback>
            <w:pict>
              <v:shape style="position:absolute;margin-left:595.276001pt;margin-top:108.423378pt;width:.1pt;height:377.1pt;mso-position-horizontal-relative:page;mso-position-vertical-relative:paragraph;z-index:15748096" id="docshape43" coordorigin="11906,2168" coordsize="0,7542" path="m11906,2168l11906,9710,11906,2168xe" filled="true" fillcolor="#e0e2e2" stroked="false">
                <v:path arrowok="t"/>
                <v:fill type="solid"/>
                <w10:wrap type="none"/>
              </v:shape>
            </w:pict>
          </mc:Fallback>
        </mc:AlternateContent>
      </w:r>
      <w:r>
        <w:rPr>
          <w:color w:val="231F20"/>
          <w:sz w:val="24"/>
        </w:rPr>
        <w:t>El país se encuentra actualmente inmerso en</w:t>
      </w:r>
      <w:r>
        <w:rPr>
          <w:color w:val="231F20"/>
          <w:spacing w:val="-17"/>
          <w:sz w:val="24"/>
        </w:rPr>
        <w:t> </w:t>
      </w:r>
      <w:r>
        <w:rPr>
          <w:color w:val="231F20"/>
          <w:sz w:val="24"/>
        </w:rPr>
        <w:t>la</w:t>
      </w:r>
      <w:r>
        <w:rPr>
          <w:color w:val="231F20"/>
          <w:spacing w:val="-16"/>
          <w:sz w:val="24"/>
        </w:rPr>
        <w:t> </w:t>
      </w:r>
      <w:r>
        <w:rPr>
          <w:color w:val="231F20"/>
          <w:sz w:val="24"/>
        </w:rPr>
        <w:t>tarea</w:t>
      </w:r>
      <w:r>
        <w:rPr>
          <w:color w:val="231F20"/>
          <w:spacing w:val="-17"/>
          <w:sz w:val="24"/>
        </w:rPr>
        <w:t> </w:t>
      </w:r>
      <w:r>
        <w:rPr>
          <w:color w:val="231F20"/>
          <w:sz w:val="24"/>
        </w:rPr>
        <w:t>de</w:t>
      </w:r>
      <w:r>
        <w:rPr>
          <w:color w:val="231F20"/>
          <w:spacing w:val="-16"/>
          <w:sz w:val="24"/>
        </w:rPr>
        <w:t> </w:t>
      </w:r>
      <w:r>
        <w:rPr>
          <w:color w:val="231F20"/>
          <w:sz w:val="24"/>
        </w:rPr>
        <w:t>recuperar</w:t>
      </w:r>
      <w:r>
        <w:rPr>
          <w:color w:val="231F20"/>
          <w:spacing w:val="-17"/>
          <w:sz w:val="24"/>
        </w:rPr>
        <w:t> </w:t>
      </w:r>
      <w:r>
        <w:rPr>
          <w:color w:val="231F20"/>
          <w:sz w:val="24"/>
        </w:rPr>
        <w:t>los</w:t>
      </w:r>
      <w:r>
        <w:rPr>
          <w:color w:val="231F20"/>
          <w:spacing w:val="-16"/>
          <w:sz w:val="24"/>
        </w:rPr>
        <w:t> </w:t>
      </w:r>
      <w:r>
        <w:rPr>
          <w:color w:val="231F20"/>
          <w:sz w:val="24"/>
        </w:rPr>
        <w:t>niveles</w:t>
      </w:r>
      <w:r>
        <w:rPr>
          <w:color w:val="231F20"/>
          <w:spacing w:val="-17"/>
          <w:sz w:val="24"/>
        </w:rPr>
        <w:t> </w:t>
      </w:r>
      <w:r>
        <w:rPr>
          <w:color w:val="231F20"/>
          <w:sz w:val="24"/>
        </w:rPr>
        <w:t>de</w:t>
      </w:r>
      <w:r>
        <w:rPr>
          <w:color w:val="231F20"/>
          <w:spacing w:val="-16"/>
          <w:sz w:val="24"/>
        </w:rPr>
        <w:t> </w:t>
      </w:r>
      <w:r>
        <w:rPr>
          <w:color w:val="231F20"/>
          <w:sz w:val="24"/>
        </w:rPr>
        <w:t>acti- </w:t>
      </w:r>
      <w:r>
        <w:rPr>
          <w:color w:val="231F20"/>
          <w:spacing w:val="-6"/>
          <w:sz w:val="24"/>
        </w:rPr>
        <w:t>vidad</w:t>
      </w:r>
      <w:r>
        <w:rPr>
          <w:color w:val="231F20"/>
          <w:spacing w:val="-10"/>
          <w:sz w:val="24"/>
        </w:rPr>
        <w:t> </w:t>
      </w:r>
      <w:r>
        <w:rPr>
          <w:color w:val="231F20"/>
          <w:spacing w:val="-6"/>
          <w:sz w:val="24"/>
        </w:rPr>
        <w:t>perdidos</w:t>
      </w:r>
      <w:r>
        <w:rPr>
          <w:color w:val="231F20"/>
          <w:spacing w:val="-10"/>
          <w:sz w:val="24"/>
        </w:rPr>
        <w:t> </w:t>
      </w:r>
      <w:r>
        <w:rPr>
          <w:color w:val="231F20"/>
          <w:spacing w:val="-6"/>
          <w:sz w:val="24"/>
        </w:rPr>
        <w:t>en</w:t>
      </w:r>
      <w:r>
        <w:rPr>
          <w:color w:val="231F20"/>
          <w:spacing w:val="-10"/>
          <w:sz w:val="24"/>
        </w:rPr>
        <w:t> </w:t>
      </w:r>
      <w:r>
        <w:rPr>
          <w:color w:val="231F20"/>
          <w:spacing w:val="-6"/>
          <w:sz w:val="24"/>
        </w:rPr>
        <w:t>los</w:t>
      </w:r>
      <w:r>
        <w:rPr>
          <w:color w:val="231F20"/>
          <w:spacing w:val="-10"/>
          <w:sz w:val="24"/>
        </w:rPr>
        <w:t> </w:t>
      </w:r>
      <w:r>
        <w:rPr>
          <w:color w:val="231F20"/>
          <w:spacing w:val="-6"/>
          <w:sz w:val="24"/>
        </w:rPr>
        <w:t>últimos</w:t>
      </w:r>
      <w:r>
        <w:rPr>
          <w:color w:val="231F20"/>
          <w:spacing w:val="-10"/>
          <w:sz w:val="24"/>
        </w:rPr>
        <w:t> </w:t>
      </w:r>
      <w:r>
        <w:rPr>
          <w:color w:val="231F20"/>
          <w:spacing w:val="-6"/>
          <w:sz w:val="24"/>
        </w:rPr>
        <w:t>tres</w:t>
      </w:r>
      <w:r>
        <w:rPr>
          <w:color w:val="231F20"/>
          <w:spacing w:val="-10"/>
          <w:sz w:val="24"/>
        </w:rPr>
        <w:t> </w:t>
      </w:r>
      <w:r>
        <w:rPr>
          <w:color w:val="231F20"/>
          <w:spacing w:val="-6"/>
          <w:sz w:val="24"/>
        </w:rPr>
        <w:t>años</w:t>
      </w:r>
      <w:r>
        <w:rPr>
          <w:color w:val="231F20"/>
          <w:spacing w:val="-10"/>
          <w:sz w:val="24"/>
        </w:rPr>
        <w:t> </w:t>
      </w:r>
      <w:r>
        <w:rPr>
          <w:color w:val="231F20"/>
          <w:spacing w:val="-6"/>
          <w:sz w:val="24"/>
        </w:rPr>
        <w:t>e</w:t>
      </w:r>
      <w:r>
        <w:rPr>
          <w:color w:val="231F20"/>
          <w:spacing w:val="-10"/>
          <w:sz w:val="24"/>
        </w:rPr>
        <w:t> </w:t>
      </w:r>
      <w:r>
        <w:rPr>
          <w:color w:val="231F20"/>
          <w:spacing w:val="-6"/>
          <w:sz w:val="24"/>
        </w:rPr>
        <w:t>in- </w:t>
      </w:r>
      <w:r>
        <w:rPr>
          <w:color w:val="231F20"/>
          <w:spacing w:val="-4"/>
          <w:sz w:val="24"/>
        </w:rPr>
        <w:t>crementar</w:t>
      </w:r>
      <w:r>
        <w:rPr>
          <w:color w:val="231F20"/>
          <w:spacing w:val="-13"/>
          <w:sz w:val="24"/>
        </w:rPr>
        <w:t> </w:t>
      </w:r>
      <w:r>
        <w:rPr>
          <w:color w:val="231F20"/>
          <w:spacing w:val="-4"/>
          <w:sz w:val="24"/>
        </w:rPr>
        <w:t>la</w:t>
      </w:r>
      <w:r>
        <w:rPr>
          <w:color w:val="231F20"/>
          <w:spacing w:val="-12"/>
          <w:sz w:val="24"/>
        </w:rPr>
        <w:t> </w:t>
      </w:r>
      <w:r>
        <w:rPr>
          <w:color w:val="231F20"/>
          <w:spacing w:val="-4"/>
          <w:sz w:val="24"/>
        </w:rPr>
        <w:t>oferta</w:t>
      </w:r>
      <w:r>
        <w:rPr>
          <w:color w:val="231F20"/>
          <w:spacing w:val="-13"/>
          <w:sz w:val="24"/>
        </w:rPr>
        <w:t> </w:t>
      </w:r>
      <w:r>
        <w:rPr>
          <w:color w:val="231F20"/>
          <w:spacing w:val="-4"/>
          <w:sz w:val="24"/>
        </w:rPr>
        <w:t>a</w:t>
      </w:r>
      <w:r>
        <w:rPr>
          <w:color w:val="231F20"/>
          <w:spacing w:val="-12"/>
          <w:sz w:val="24"/>
        </w:rPr>
        <w:t> </w:t>
      </w:r>
      <w:r>
        <w:rPr>
          <w:color w:val="231F20"/>
          <w:spacing w:val="-4"/>
          <w:sz w:val="24"/>
        </w:rPr>
        <w:t>la</w:t>
      </w:r>
      <w:r>
        <w:rPr>
          <w:color w:val="231F20"/>
          <w:spacing w:val="-13"/>
          <w:sz w:val="24"/>
        </w:rPr>
        <w:t> </w:t>
      </w:r>
      <w:r>
        <w:rPr>
          <w:color w:val="231F20"/>
          <w:spacing w:val="-4"/>
          <w:sz w:val="24"/>
        </w:rPr>
        <w:t>población.</w:t>
      </w:r>
      <w:r>
        <w:rPr>
          <w:color w:val="231F20"/>
          <w:spacing w:val="-12"/>
          <w:sz w:val="24"/>
        </w:rPr>
        <w:t> </w:t>
      </w:r>
      <w:r>
        <w:rPr>
          <w:color w:val="231F20"/>
          <w:spacing w:val="-4"/>
          <w:sz w:val="24"/>
        </w:rPr>
        <w:t>Para</w:t>
      </w:r>
      <w:r>
        <w:rPr>
          <w:color w:val="231F20"/>
          <w:spacing w:val="-13"/>
          <w:sz w:val="24"/>
        </w:rPr>
        <w:t> </w:t>
      </w:r>
      <w:r>
        <w:rPr>
          <w:color w:val="231F20"/>
          <w:spacing w:val="-4"/>
          <w:sz w:val="24"/>
        </w:rPr>
        <w:t>ello, </w:t>
      </w:r>
      <w:r>
        <w:rPr>
          <w:color w:val="231F20"/>
          <w:spacing w:val="-6"/>
          <w:sz w:val="24"/>
        </w:rPr>
        <w:t>el</w:t>
      </w:r>
      <w:r>
        <w:rPr>
          <w:color w:val="231F20"/>
          <w:spacing w:val="-11"/>
          <w:sz w:val="24"/>
        </w:rPr>
        <w:t> </w:t>
      </w:r>
      <w:r>
        <w:rPr>
          <w:color w:val="231F20"/>
          <w:spacing w:val="-6"/>
          <w:sz w:val="24"/>
        </w:rPr>
        <w:t>gobierno</w:t>
      </w:r>
      <w:r>
        <w:rPr>
          <w:color w:val="231F20"/>
          <w:spacing w:val="-10"/>
          <w:sz w:val="24"/>
        </w:rPr>
        <w:t> </w:t>
      </w:r>
      <w:r>
        <w:rPr>
          <w:color w:val="231F20"/>
          <w:spacing w:val="-6"/>
          <w:sz w:val="24"/>
        </w:rPr>
        <w:t>cubano</w:t>
      </w:r>
      <w:r>
        <w:rPr>
          <w:color w:val="231F20"/>
          <w:spacing w:val="-11"/>
          <w:sz w:val="24"/>
        </w:rPr>
        <w:t> </w:t>
      </w:r>
      <w:r>
        <w:rPr>
          <w:color w:val="231F20"/>
          <w:spacing w:val="-6"/>
          <w:sz w:val="24"/>
        </w:rPr>
        <w:t>ha</w:t>
      </w:r>
      <w:r>
        <w:rPr>
          <w:color w:val="231F20"/>
          <w:spacing w:val="-10"/>
          <w:sz w:val="24"/>
        </w:rPr>
        <w:t> </w:t>
      </w:r>
      <w:r>
        <w:rPr>
          <w:color w:val="231F20"/>
          <w:spacing w:val="-6"/>
          <w:sz w:val="24"/>
        </w:rPr>
        <w:t>abogado</w:t>
      </w:r>
      <w:r>
        <w:rPr>
          <w:color w:val="231F20"/>
          <w:spacing w:val="-11"/>
          <w:sz w:val="24"/>
        </w:rPr>
        <w:t> </w:t>
      </w:r>
      <w:r>
        <w:rPr>
          <w:color w:val="231F20"/>
          <w:spacing w:val="-6"/>
          <w:sz w:val="24"/>
        </w:rPr>
        <w:t>y</w:t>
      </w:r>
      <w:r>
        <w:rPr>
          <w:color w:val="231F20"/>
          <w:spacing w:val="-10"/>
          <w:sz w:val="24"/>
        </w:rPr>
        <w:t> </w:t>
      </w:r>
      <w:r>
        <w:rPr>
          <w:color w:val="231F20"/>
          <w:spacing w:val="-6"/>
          <w:sz w:val="24"/>
        </w:rPr>
        <w:t>trabajado </w:t>
      </w:r>
      <w:r>
        <w:rPr>
          <w:color w:val="231F20"/>
          <w:spacing w:val="-2"/>
          <w:sz w:val="24"/>
        </w:rPr>
        <w:t>en</w:t>
      </w:r>
      <w:r>
        <w:rPr>
          <w:color w:val="231F20"/>
          <w:spacing w:val="-15"/>
          <w:sz w:val="24"/>
        </w:rPr>
        <w:t> </w:t>
      </w:r>
      <w:r>
        <w:rPr>
          <w:color w:val="231F20"/>
          <w:spacing w:val="-2"/>
          <w:sz w:val="24"/>
        </w:rPr>
        <w:t>función</w:t>
      </w:r>
      <w:r>
        <w:rPr>
          <w:color w:val="231F20"/>
          <w:spacing w:val="-14"/>
          <w:sz w:val="24"/>
        </w:rPr>
        <w:t> </w:t>
      </w:r>
      <w:r>
        <w:rPr>
          <w:color w:val="231F20"/>
          <w:spacing w:val="-2"/>
          <w:sz w:val="24"/>
        </w:rPr>
        <w:t>de</w:t>
      </w:r>
      <w:r>
        <w:rPr>
          <w:color w:val="231F20"/>
          <w:spacing w:val="-14"/>
          <w:sz w:val="24"/>
        </w:rPr>
        <w:t> </w:t>
      </w:r>
      <w:r>
        <w:rPr>
          <w:color w:val="231F20"/>
          <w:spacing w:val="-2"/>
          <w:sz w:val="24"/>
        </w:rPr>
        <w:t>la</w:t>
      </w:r>
      <w:r>
        <w:rPr>
          <w:color w:val="231F20"/>
          <w:spacing w:val="-15"/>
          <w:sz w:val="24"/>
        </w:rPr>
        <w:t> </w:t>
      </w:r>
      <w:r>
        <w:rPr>
          <w:color w:val="231F20"/>
          <w:spacing w:val="-2"/>
          <w:sz w:val="24"/>
        </w:rPr>
        <w:t>diversificación</w:t>
      </w:r>
      <w:r>
        <w:rPr>
          <w:color w:val="231F20"/>
          <w:spacing w:val="-14"/>
          <w:sz w:val="24"/>
        </w:rPr>
        <w:t> </w:t>
      </w:r>
      <w:r>
        <w:rPr>
          <w:color w:val="231F20"/>
          <w:spacing w:val="-2"/>
          <w:sz w:val="24"/>
        </w:rPr>
        <w:t>de</w:t>
      </w:r>
      <w:r>
        <w:rPr>
          <w:color w:val="231F20"/>
          <w:spacing w:val="-14"/>
          <w:sz w:val="24"/>
        </w:rPr>
        <w:t> </w:t>
      </w:r>
      <w:r>
        <w:rPr>
          <w:color w:val="231F20"/>
          <w:spacing w:val="-2"/>
          <w:sz w:val="24"/>
        </w:rPr>
        <w:t>la</w:t>
      </w:r>
      <w:r>
        <w:rPr>
          <w:color w:val="231F20"/>
          <w:spacing w:val="-15"/>
          <w:sz w:val="24"/>
        </w:rPr>
        <w:t> </w:t>
      </w:r>
      <w:r>
        <w:rPr>
          <w:color w:val="231F20"/>
          <w:spacing w:val="-2"/>
          <w:sz w:val="24"/>
        </w:rPr>
        <w:t>matriz productiva,</w:t>
      </w:r>
      <w:r>
        <w:rPr>
          <w:color w:val="231F20"/>
          <w:spacing w:val="-9"/>
          <w:sz w:val="24"/>
        </w:rPr>
        <w:t> </w:t>
      </w:r>
      <w:r>
        <w:rPr>
          <w:color w:val="231F20"/>
          <w:spacing w:val="-2"/>
          <w:sz w:val="24"/>
        </w:rPr>
        <w:t>una</w:t>
      </w:r>
      <w:r>
        <w:rPr>
          <w:color w:val="231F20"/>
          <w:spacing w:val="-9"/>
          <w:sz w:val="24"/>
        </w:rPr>
        <w:t> </w:t>
      </w:r>
      <w:r>
        <w:rPr>
          <w:color w:val="231F20"/>
          <w:spacing w:val="-2"/>
          <w:sz w:val="24"/>
        </w:rPr>
        <w:t>mayor</w:t>
      </w:r>
      <w:r>
        <w:rPr>
          <w:color w:val="231F20"/>
          <w:spacing w:val="-9"/>
          <w:sz w:val="24"/>
        </w:rPr>
        <w:t> </w:t>
      </w:r>
      <w:r>
        <w:rPr>
          <w:color w:val="231F20"/>
          <w:spacing w:val="-2"/>
          <w:sz w:val="24"/>
        </w:rPr>
        <w:t>participación</w:t>
      </w:r>
      <w:r>
        <w:rPr>
          <w:color w:val="231F20"/>
          <w:spacing w:val="-9"/>
          <w:sz w:val="24"/>
        </w:rPr>
        <w:t> </w:t>
      </w:r>
      <w:r>
        <w:rPr>
          <w:color w:val="231F20"/>
          <w:spacing w:val="-2"/>
          <w:sz w:val="24"/>
        </w:rPr>
        <w:t>de</w:t>
      </w:r>
      <w:r>
        <w:rPr>
          <w:color w:val="231F20"/>
          <w:spacing w:val="-9"/>
          <w:sz w:val="24"/>
        </w:rPr>
        <w:t> </w:t>
      </w:r>
      <w:r>
        <w:rPr>
          <w:color w:val="231F20"/>
          <w:spacing w:val="-2"/>
          <w:sz w:val="24"/>
        </w:rPr>
        <w:t>los emprendimientos</w:t>
      </w:r>
      <w:r>
        <w:rPr>
          <w:color w:val="231F20"/>
          <w:spacing w:val="-15"/>
          <w:sz w:val="24"/>
        </w:rPr>
        <w:t> </w:t>
      </w:r>
      <w:r>
        <w:rPr>
          <w:color w:val="231F20"/>
          <w:spacing w:val="-2"/>
          <w:sz w:val="24"/>
        </w:rPr>
        <w:t>estatales</w:t>
      </w:r>
      <w:r>
        <w:rPr>
          <w:color w:val="231F20"/>
          <w:spacing w:val="-14"/>
          <w:sz w:val="24"/>
        </w:rPr>
        <w:t> </w:t>
      </w:r>
      <w:r>
        <w:rPr>
          <w:color w:val="231F20"/>
          <w:spacing w:val="-2"/>
          <w:sz w:val="24"/>
        </w:rPr>
        <w:t>y</w:t>
      </w:r>
      <w:r>
        <w:rPr>
          <w:color w:val="231F20"/>
          <w:spacing w:val="-15"/>
          <w:sz w:val="24"/>
        </w:rPr>
        <w:t> </w:t>
      </w:r>
      <w:r>
        <w:rPr>
          <w:color w:val="231F20"/>
          <w:spacing w:val="-2"/>
          <w:sz w:val="24"/>
        </w:rPr>
        <w:t>no</w:t>
      </w:r>
      <w:r>
        <w:rPr>
          <w:color w:val="231F20"/>
          <w:spacing w:val="-14"/>
          <w:sz w:val="24"/>
        </w:rPr>
        <w:t> </w:t>
      </w:r>
      <w:r>
        <w:rPr>
          <w:color w:val="231F20"/>
          <w:spacing w:val="-2"/>
          <w:sz w:val="24"/>
        </w:rPr>
        <w:t>estatales</w:t>
      </w:r>
      <w:r>
        <w:rPr>
          <w:color w:val="231F20"/>
          <w:spacing w:val="-15"/>
          <w:sz w:val="24"/>
        </w:rPr>
        <w:t> </w:t>
      </w:r>
      <w:r>
        <w:rPr>
          <w:color w:val="231F20"/>
          <w:spacing w:val="-2"/>
          <w:sz w:val="24"/>
        </w:rPr>
        <w:t>y </w:t>
      </w:r>
      <w:r>
        <w:rPr>
          <w:color w:val="231F20"/>
          <w:spacing w:val="-10"/>
          <w:sz w:val="24"/>
        </w:rPr>
        <w:t>oportunidades</w:t>
      </w:r>
      <w:r>
        <w:rPr>
          <w:color w:val="231F20"/>
          <w:spacing w:val="-4"/>
          <w:sz w:val="24"/>
        </w:rPr>
        <w:t> </w:t>
      </w:r>
      <w:r>
        <w:rPr>
          <w:color w:val="231F20"/>
          <w:spacing w:val="-10"/>
          <w:sz w:val="24"/>
        </w:rPr>
        <w:t>para</w:t>
      </w:r>
      <w:r>
        <w:rPr>
          <w:color w:val="231F20"/>
          <w:spacing w:val="-4"/>
          <w:sz w:val="24"/>
        </w:rPr>
        <w:t> </w:t>
      </w:r>
      <w:r>
        <w:rPr>
          <w:color w:val="231F20"/>
          <w:spacing w:val="-10"/>
          <w:sz w:val="24"/>
        </w:rPr>
        <w:t>la</w:t>
      </w:r>
      <w:r>
        <w:rPr>
          <w:color w:val="231F20"/>
          <w:spacing w:val="-4"/>
          <w:sz w:val="24"/>
        </w:rPr>
        <w:t> </w:t>
      </w:r>
      <w:r>
        <w:rPr>
          <w:color w:val="231F20"/>
          <w:spacing w:val="-10"/>
          <w:sz w:val="24"/>
        </w:rPr>
        <w:t>inversión</w:t>
      </w:r>
      <w:r>
        <w:rPr>
          <w:color w:val="231F20"/>
          <w:spacing w:val="-4"/>
          <w:sz w:val="24"/>
        </w:rPr>
        <w:t> </w:t>
      </w:r>
      <w:r>
        <w:rPr>
          <w:color w:val="231F20"/>
          <w:spacing w:val="-10"/>
          <w:sz w:val="24"/>
        </w:rPr>
        <w:t>extranjera.</w:t>
      </w:r>
      <w:r>
        <w:rPr>
          <w:color w:val="231F20"/>
          <w:spacing w:val="4"/>
          <w:sz w:val="24"/>
        </w:rPr>
        <w:t> </w:t>
      </w:r>
      <w:r>
        <w:rPr>
          <w:rFonts w:ascii="Segoe UI Semibold" w:hAnsi="Segoe UI Semibold"/>
          <w:b/>
          <w:i/>
          <w:color w:val="1A4796"/>
          <w:spacing w:val="-10"/>
          <w:sz w:val="24"/>
        </w:rPr>
        <w:t>Al</w:t>
      </w:r>
      <w:r>
        <w:rPr>
          <w:rFonts w:ascii="Segoe UI Semibold" w:hAnsi="Segoe UI Semibold"/>
          <w:b/>
          <w:i/>
          <w:color w:val="1A4796"/>
          <w:spacing w:val="-10"/>
          <w:sz w:val="24"/>
        </w:rPr>
        <w:t> </w:t>
      </w:r>
      <w:r>
        <w:rPr>
          <w:rFonts w:ascii="Segoe UI Semibold" w:hAnsi="Segoe UI Semibold"/>
          <w:b/>
          <w:i/>
          <w:color w:val="1A4796"/>
          <w:spacing w:val="-4"/>
          <w:sz w:val="24"/>
        </w:rPr>
        <w:t>cierre</w:t>
      </w:r>
      <w:r>
        <w:rPr>
          <w:rFonts w:ascii="Segoe UI Semibold" w:hAnsi="Segoe UI Semibold"/>
          <w:b/>
          <w:i/>
          <w:color w:val="1A4796"/>
          <w:spacing w:val="-9"/>
          <w:sz w:val="24"/>
        </w:rPr>
        <w:t> </w:t>
      </w:r>
      <w:r>
        <w:rPr>
          <w:rFonts w:ascii="Segoe UI Semibold" w:hAnsi="Segoe UI Semibold"/>
          <w:b/>
          <w:i/>
          <w:color w:val="1A4796"/>
          <w:spacing w:val="-4"/>
          <w:sz w:val="24"/>
        </w:rPr>
        <w:t>de</w:t>
      </w:r>
      <w:r>
        <w:rPr>
          <w:rFonts w:ascii="Segoe UI Semibold" w:hAnsi="Segoe UI Semibold"/>
          <w:b/>
          <w:i/>
          <w:color w:val="1A4796"/>
          <w:spacing w:val="-9"/>
          <w:sz w:val="24"/>
        </w:rPr>
        <w:t> </w:t>
      </w:r>
      <w:r>
        <w:rPr>
          <w:rFonts w:ascii="Segoe UI Semibold" w:hAnsi="Segoe UI Semibold"/>
          <w:b/>
          <w:i/>
          <w:color w:val="1A4796"/>
          <w:spacing w:val="-4"/>
          <w:sz w:val="24"/>
        </w:rPr>
        <w:t>abril</w:t>
      </w:r>
      <w:r>
        <w:rPr>
          <w:rFonts w:ascii="Segoe UI Semibold" w:hAnsi="Segoe UI Semibold"/>
          <w:b/>
          <w:i/>
          <w:color w:val="1A4796"/>
          <w:spacing w:val="-9"/>
          <w:sz w:val="24"/>
        </w:rPr>
        <w:t> </w:t>
      </w:r>
      <w:r>
        <w:rPr>
          <w:rFonts w:ascii="Segoe UI Semibold" w:hAnsi="Segoe UI Semibold"/>
          <w:b/>
          <w:i/>
          <w:color w:val="1A4796"/>
          <w:spacing w:val="-4"/>
          <w:sz w:val="24"/>
        </w:rPr>
        <w:t>de</w:t>
      </w:r>
      <w:r>
        <w:rPr>
          <w:rFonts w:ascii="Segoe UI Semibold" w:hAnsi="Segoe UI Semibold"/>
          <w:b/>
          <w:i/>
          <w:color w:val="1A4796"/>
          <w:spacing w:val="-9"/>
          <w:sz w:val="24"/>
        </w:rPr>
        <w:t> </w:t>
      </w:r>
      <w:r>
        <w:rPr>
          <w:rFonts w:ascii="Segoe UI Semibold" w:hAnsi="Segoe UI Semibold"/>
          <w:b/>
          <w:i/>
          <w:color w:val="1A4796"/>
          <w:spacing w:val="-4"/>
          <w:sz w:val="24"/>
        </w:rPr>
        <w:t>2023,</w:t>
      </w:r>
      <w:r>
        <w:rPr>
          <w:rFonts w:ascii="Segoe UI Semibold" w:hAnsi="Segoe UI Semibold"/>
          <w:b/>
          <w:i/>
          <w:color w:val="1A4796"/>
          <w:spacing w:val="-9"/>
          <w:sz w:val="24"/>
        </w:rPr>
        <w:t> </w:t>
      </w:r>
      <w:r>
        <w:rPr>
          <w:rFonts w:ascii="Segoe UI Semibold" w:hAnsi="Segoe UI Semibold"/>
          <w:b/>
          <w:i/>
          <w:color w:val="1A4796"/>
          <w:spacing w:val="-4"/>
          <w:sz w:val="24"/>
        </w:rPr>
        <w:t>se</w:t>
      </w:r>
      <w:r>
        <w:rPr>
          <w:rFonts w:ascii="Segoe UI Semibold" w:hAnsi="Segoe UI Semibold"/>
          <w:b/>
          <w:i/>
          <w:color w:val="1A4796"/>
          <w:spacing w:val="-9"/>
          <w:sz w:val="24"/>
        </w:rPr>
        <w:t> </w:t>
      </w:r>
      <w:r>
        <w:rPr>
          <w:rFonts w:ascii="Segoe UI Semibold" w:hAnsi="Segoe UI Semibold"/>
          <w:b/>
          <w:i/>
          <w:color w:val="1A4796"/>
          <w:spacing w:val="-4"/>
          <w:sz w:val="24"/>
        </w:rPr>
        <w:t>registraban</w:t>
      </w:r>
      <w:r>
        <w:rPr>
          <w:rFonts w:ascii="Segoe UI Semibold" w:hAnsi="Segoe UI Semibold"/>
          <w:b/>
          <w:i/>
          <w:color w:val="1A4796"/>
          <w:spacing w:val="-9"/>
          <w:sz w:val="24"/>
        </w:rPr>
        <w:t> </w:t>
      </w:r>
      <w:r>
        <w:rPr>
          <w:rFonts w:ascii="Segoe UI Semibold" w:hAnsi="Segoe UI Semibold"/>
          <w:b/>
          <w:i/>
          <w:color w:val="1A4796"/>
          <w:spacing w:val="-4"/>
          <w:sz w:val="24"/>
        </w:rPr>
        <w:t>7947 </w:t>
      </w:r>
      <w:r>
        <w:rPr>
          <w:rFonts w:ascii="Segoe UI Semibold" w:hAnsi="Segoe UI Semibold"/>
          <w:b/>
          <w:i/>
          <w:color w:val="1A4796"/>
          <w:spacing w:val="-2"/>
          <w:sz w:val="24"/>
        </w:rPr>
        <w:t>mipymes</w:t>
      </w:r>
      <w:r>
        <w:rPr>
          <w:rFonts w:ascii="Segoe UI Semibold" w:hAnsi="Segoe UI Semibold"/>
          <w:b/>
          <w:i/>
          <w:color w:val="1A4796"/>
          <w:spacing w:val="-15"/>
          <w:sz w:val="24"/>
        </w:rPr>
        <w:t> </w:t>
      </w:r>
      <w:r>
        <w:rPr>
          <w:rFonts w:ascii="Segoe UI Semibold" w:hAnsi="Segoe UI Semibold"/>
          <w:b/>
          <w:i/>
          <w:color w:val="1A4796"/>
          <w:spacing w:val="-2"/>
          <w:sz w:val="24"/>
        </w:rPr>
        <w:t>y</w:t>
      </w:r>
      <w:r>
        <w:rPr>
          <w:rFonts w:ascii="Segoe UI Semibold" w:hAnsi="Segoe UI Semibold"/>
          <w:b/>
          <w:i/>
          <w:color w:val="1A4796"/>
          <w:spacing w:val="-14"/>
          <w:sz w:val="24"/>
        </w:rPr>
        <w:t> </w:t>
      </w:r>
      <w:r>
        <w:rPr>
          <w:rFonts w:ascii="Segoe UI Semibold" w:hAnsi="Segoe UI Semibold"/>
          <w:b/>
          <w:i/>
          <w:color w:val="1A4796"/>
          <w:spacing w:val="-2"/>
          <w:sz w:val="24"/>
        </w:rPr>
        <w:t>65</w:t>
      </w:r>
      <w:r>
        <w:rPr>
          <w:rFonts w:ascii="Segoe UI Semibold" w:hAnsi="Segoe UI Semibold"/>
          <w:b/>
          <w:i/>
          <w:color w:val="1A4796"/>
          <w:spacing w:val="-15"/>
          <w:sz w:val="24"/>
        </w:rPr>
        <w:t> </w:t>
      </w:r>
      <w:r>
        <w:rPr>
          <w:rFonts w:ascii="Segoe UI Semibold" w:hAnsi="Segoe UI Semibold"/>
          <w:b/>
          <w:i/>
          <w:color w:val="1A4796"/>
          <w:spacing w:val="-2"/>
          <w:sz w:val="24"/>
        </w:rPr>
        <w:t>cooperativas</w:t>
      </w:r>
      <w:r>
        <w:rPr>
          <w:rFonts w:ascii="Segoe UI Semibold" w:hAnsi="Segoe UI Semibold"/>
          <w:b/>
          <w:i/>
          <w:color w:val="1A4796"/>
          <w:spacing w:val="-14"/>
          <w:sz w:val="24"/>
        </w:rPr>
        <w:t> </w:t>
      </w:r>
      <w:r>
        <w:rPr>
          <w:rFonts w:ascii="Segoe UI Semibold" w:hAnsi="Segoe UI Semibold"/>
          <w:b/>
          <w:i/>
          <w:color w:val="1A4796"/>
          <w:spacing w:val="-2"/>
          <w:sz w:val="24"/>
        </w:rPr>
        <w:t>no</w:t>
      </w:r>
      <w:r>
        <w:rPr>
          <w:rFonts w:ascii="Segoe UI Semibold" w:hAnsi="Segoe UI Semibold"/>
          <w:b/>
          <w:i/>
          <w:color w:val="1A4796"/>
          <w:spacing w:val="-15"/>
          <w:sz w:val="24"/>
        </w:rPr>
        <w:t> </w:t>
      </w:r>
      <w:r>
        <w:rPr>
          <w:rFonts w:ascii="Segoe UI Semibold" w:hAnsi="Segoe UI Semibold"/>
          <w:b/>
          <w:i/>
          <w:color w:val="1A4796"/>
          <w:spacing w:val="-2"/>
          <w:sz w:val="24"/>
        </w:rPr>
        <w:t>agropecua- </w:t>
      </w:r>
      <w:r>
        <w:rPr>
          <w:rFonts w:ascii="Segoe UI Semibold" w:hAnsi="Segoe UI Semibold"/>
          <w:b/>
          <w:i/>
          <w:color w:val="1A4796"/>
          <w:sz w:val="24"/>
        </w:rPr>
        <w:t>rias con 212 mil 479 empleos estimados.</w:t>
      </w:r>
    </w:p>
    <w:p>
      <w:pPr>
        <w:spacing w:before="165"/>
        <w:ind w:left="412" w:right="1471" w:firstLine="0"/>
        <w:jc w:val="both"/>
        <w:rPr>
          <w:rFonts w:ascii="Segoe UI Semibold" w:hAnsi="Segoe UI Semibold"/>
          <w:b/>
          <w:i/>
          <w:sz w:val="24"/>
        </w:rPr>
      </w:pPr>
      <w:r>
        <w:rPr>
          <w:rFonts w:ascii="Segoe UI Semibold" w:hAnsi="Segoe UI Semibold"/>
          <w:b/>
          <w:i/>
          <w:color w:val="1A4796"/>
          <w:sz w:val="24"/>
        </w:rPr>
        <w:t>El</w:t>
      </w:r>
      <w:r>
        <w:rPr>
          <w:rFonts w:ascii="Segoe UI Semibold" w:hAnsi="Segoe UI Semibold"/>
          <w:b/>
          <w:i/>
          <w:color w:val="1A4796"/>
          <w:spacing w:val="40"/>
          <w:sz w:val="24"/>
        </w:rPr>
        <w:t> </w:t>
      </w:r>
      <w:r>
        <w:rPr>
          <w:rFonts w:ascii="Segoe UI Semibold" w:hAnsi="Segoe UI Semibold"/>
          <w:b/>
          <w:i/>
          <w:color w:val="1A4796"/>
          <w:sz w:val="24"/>
        </w:rPr>
        <w:t>elemento</w:t>
      </w:r>
      <w:r>
        <w:rPr>
          <w:rFonts w:ascii="Segoe UI Semibold" w:hAnsi="Segoe UI Semibold"/>
          <w:b/>
          <w:i/>
          <w:color w:val="1A4796"/>
          <w:spacing w:val="40"/>
          <w:sz w:val="24"/>
        </w:rPr>
        <w:t> </w:t>
      </w:r>
      <w:r>
        <w:rPr>
          <w:rFonts w:ascii="Segoe UI Semibold" w:hAnsi="Segoe UI Semibold"/>
          <w:b/>
          <w:i/>
          <w:color w:val="1A4796"/>
          <w:sz w:val="24"/>
        </w:rPr>
        <w:t>principal</w:t>
      </w:r>
      <w:r>
        <w:rPr>
          <w:rFonts w:ascii="Segoe UI Semibold" w:hAnsi="Segoe UI Semibold"/>
          <w:b/>
          <w:i/>
          <w:color w:val="1A4796"/>
          <w:spacing w:val="40"/>
          <w:sz w:val="24"/>
        </w:rPr>
        <w:t> </w:t>
      </w:r>
      <w:r>
        <w:rPr>
          <w:rFonts w:ascii="Segoe UI Semibold" w:hAnsi="Segoe UI Semibold"/>
          <w:b/>
          <w:i/>
          <w:color w:val="1A4796"/>
          <w:sz w:val="24"/>
        </w:rPr>
        <w:t>que</w:t>
      </w:r>
      <w:r>
        <w:rPr>
          <w:rFonts w:ascii="Segoe UI Semibold" w:hAnsi="Segoe UI Semibold"/>
          <w:b/>
          <w:i/>
          <w:color w:val="1A4796"/>
          <w:spacing w:val="40"/>
          <w:sz w:val="24"/>
        </w:rPr>
        <w:t> </w:t>
      </w:r>
      <w:r>
        <w:rPr>
          <w:rFonts w:ascii="Segoe UI Semibold" w:hAnsi="Segoe UI Semibold"/>
          <w:b/>
          <w:i/>
          <w:color w:val="1A4796"/>
          <w:sz w:val="24"/>
        </w:rPr>
        <w:t>ha</w:t>
      </w:r>
      <w:r>
        <w:rPr>
          <w:rFonts w:ascii="Segoe UI Semibold" w:hAnsi="Segoe UI Semibold"/>
          <w:b/>
          <w:i/>
          <w:color w:val="1A4796"/>
          <w:spacing w:val="40"/>
          <w:sz w:val="24"/>
        </w:rPr>
        <w:t> </w:t>
      </w:r>
      <w:r>
        <w:rPr>
          <w:rFonts w:ascii="Segoe UI Semibold" w:hAnsi="Segoe UI Semibold"/>
          <w:b/>
          <w:i/>
          <w:color w:val="1A4796"/>
          <w:sz w:val="24"/>
        </w:rPr>
        <w:t>impedi-</w:t>
      </w:r>
      <w:r>
        <w:rPr>
          <w:rFonts w:ascii="Segoe UI Semibold" w:hAnsi="Segoe UI Semibold"/>
          <w:b/>
          <w:i/>
          <w:color w:val="1A4796"/>
          <w:sz w:val="24"/>
        </w:rPr>
        <w:t> do que la economía pueda avanzar con mayor celeridad y dinamismo, ha sido</w:t>
      </w:r>
      <w:r>
        <w:rPr>
          <w:rFonts w:ascii="Segoe UI Semibold" w:hAnsi="Segoe UI Semibold"/>
          <w:b/>
          <w:i/>
          <w:color w:val="1A4796"/>
          <w:spacing w:val="80"/>
          <w:w w:val="150"/>
          <w:sz w:val="24"/>
        </w:rPr>
        <w:t> </w:t>
      </w:r>
      <w:r>
        <w:rPr>
          <w:rFonts w:ascii="Segoe UI Semibold" w:hAnsi="Segoe UI Semibold"/>
          <w:b/>
          <w:i/>
          <w:color w:val="1A4796"/>
          <w:sz w:val="24"/>
        </w:rPr>
        <w:t>la imposibilidad de alcanzar los ingresos previstos</w:t>
      </w:r>
      <w:r>
        <w:rPr>
          <w:rFonts w:ascii="Segoe UI Semibold" w:hAnsi="Segoe UI Semibold"/>
          <w:b/>
          <w:i/>
          <w:color w:val="1A4796"/>
          <w:spacing w:val="-10"/>
          <w:sz w:val="24"/>
        </w:rPr>
        <w:t> </w:t>
      </w:r>
      <w:r>
        <w:rPr>
          <w:rFonts w:ascii="Segoe UI Semibold" w:hAnsi="Segoe UI Semibold"/>
          <w:b/>
          <w:i/>
          <w:color w:val="1A4796"/>
          <w:sz w:val="24"/>
        </w:rPr>
        <w:t>por</w:t>
      </w:r>
      <w:r>
        <w:rPr>
          <w:rFonts w:ascii="Segoe UI Semibold" w:hAnsi="Segoe UI Semibold"/>
          <w:b/>
          <w:i/>
          <w:color w:val="1A4796"/>
          <w:spacing w:val="-10"/>
          <w:sz w:val="24"/>
        </w:rPr>
        <w:t> </w:t>
      </w:r>
      <w:r>
        <w:rPr>
          <w:rFonts w:ascii="Segoe UI Semibold" w:hAnsi="Segoe UI Semibold"/>
          <w:b/>
          <w:i/>
          <w:color w:val="1A4796"/>
          <w:sz w:val="24"/>
        </w:rPr>
        <w:t>exportaciones</w:t>
      </w:r>
      <w:r>
        <w:rPr>
          <w:rFonts w:ascii="Segoe UI Semibold" w:hAnsi="Segoe UI Semibold"/>
          <w:b/>
          <w:i/>
          <w:color w:val="1A4796"/>
          <w:spacing w:val="-10"/>
          <w:sz w:val="24"/>
        </w:rPr>
        <w:t> </w:t>
      </w:r>
      <w:r>
        <w:rPr>
          <w:rFonts w:ascii="Segoe UI Semibold" w:hAnsi="Segoe UI Semibold"/>
          <w:b/>
          <w:i/>
          <w:color w:val="1A4796"/>
          <w:sz w:val="24"/>
        </w:rPr>
        <w:t>no</w:t>
      </w:r>
      <w:r>
        <w:rPr>
          <w:rFonts w:ascii="Segoe UI Semibold" w:hAnsi="Segoe UI Semibold"/>
          <w:b/>
          <w:i/>
          <w:color w:val="1A4796"/>
          <w:spacing w:val="-10"/>
          <w:sz w:val="24"/>
        </w:rPr>
        <w:t> </w:t>
      </w:r>
      <w:r>
        <w:rPr>
          <w:rFonts w:ascii="Segoe UI Semibold" w:hAnsi="Segoe UI Semibold"/>
          <w:b/>
          <w:i/>
          <w:color w:val="1A4796"/>
          <w:sz w:val="24"/>
        </w:rPr>
        <w:t>materiali- zadas.</w:t>
      </w:r>
      <w:r>
        <w:rPr>
          <w:rFonts w:ascii="Segoe UI Semibold" w:hAnsi="Segoe UI Semibold"/>
          <w:b/>
          <w:i/>
          <w:color w:val="1A4796"/>
          <w:spacing w:val="-2"/>
          <w:sz w:val="24"/>
        </w:rPr>
        <w:t> </w:t>
      </w:r>
      <w:r>
        <w:rPr>
          <w:rFonts w:ascii="Segoe UI Semibold" w:hAnsi="Segoe UI Semibold"/>
          <w:b/>
          <w:i/>
          <w:color w:val="1A4796"/>
          <w:sz w:val="24"/>
        </w:rPr>
        <w:t>Solo</w:t>
      </w:r>
      <w:r>
        <w:rPr>
          <w:rFonts w:ascii="Segoe UI Semibold" w:hAnsi="Segoe UI Semibold"/>
          <w:b/>
          <w:i/>
          <w:color w:val="1A4796"/>
          <w:spacing w:val="-2"/>
          <w:sz w:val="24"/>
        </w:rPr>
        <w:t> </w:t>
      </w:r>
      <w:r>
        <w:rPr>
          <w:rFonts w:ascii="Segoe UI Semibold" w:hAnsi="Segoe UI Semibold"/>
          <w:b/>
          <w:i/>
          <w:color w:val="1A4796"/>
          <w:sz w:val="24"/>
        </w:rPr>
        <w:t>por</w:t>
      </w:r>
      <w:r>
        <w:rPr>
          <w:rFonts w:ascii="Segoe UI Semibold" w:hAnsi="Segoe UI Semibold"/>
          <w:b/>
          <w:i/>
          <w:color w:val="1A4796"/>
          <w:spacing w:val="-2"/>
          <w:sz w:val="24"/>
        </w:rPr>
        <w:t> </w:t>
      </w:r>
      <w:r>
        <w:rPr>
          <w:rFonts w:ascii="Segoe UI Semibold" w:hAnsi="Segoe UI Semibold"/>
          <w:b/>
          <w:i/>
          <w:color w:val="1A4796"/>
          <w:sz w:val="24"/>
        </w:rPr>
        <w:t>este</w:t>
      </w:r>
      <w:r>
        <w:rPr>
          <w:rFonts w:ascii="Segoe UI Semibold" w:hAnsi="Segoe UI Semibold"/>
          <w:b/>
          <w:i/>
          <w:color w:val="1A4796"/>
          <w:spacing w:val="-2"/>
          <w:sz w:val="24"/>
        </w:rPr>
        <w:t> </w:t>
      </w:r>
      <w:r>
        <w:rPr>
          <w:rFonts w:ascii="Segoe UI Semibold" w:hAnsi="Segoe UI Semibold"/>
          <w:b/>
          <w:i/>
          <w:color w:val="1A4796"/>
          <w:sz w:val="24"/>
        </w:rPr>
        <w:t>concepto,</w:t>
      </w:r>
      <w:r>
        <w:rPr>
          <w:rFonts w:ascii="Segoe UI Semibold" w:hAnsi="Segoe UI Semibold"/>
          <w:b/>
          <w:i/>
          <w:color w:val="1A4796"/>
          <w:spacing w:val="-2"/>
          <w:sz w:val="24"/>
        </w:rPr>
        <w:t> </w:t>
      </w:r>
      <w:r>
        <w:rPr>
          <w:rFonts w:ascii="Segoe UI Semibold" w:hAnsi="Segoe UI Semibold"/>
          <w:b/>
          <w:i/>
          <w:color w:val="1A4796"/>
          <w:sz w:val="24"/>
        </w:rPr>
        <w:t>el</w:t>
      </w:r>
      <w:r>
        <w:rPr>
          <w:rFonts w:ascii="Segoe UI Semibold" w:hAnsi="Segoe UI Semibold"/>
          <w:b/>
          <w:i/>
          <w:color w:val="1A4796"/>
          <w:spacing w:val="-2"/>
          <w:sz w:val="24"/>
        </w:rPr>
        <w:t> </w:t>
      </w:r>
      <w:r>
        <w:rPr>
          <w:rFonts w:ascii="Segoe UI Semibold" w:hAnsi="Segoe UI Semibold"/>
          <w:b/>
          <w:i/>
          <w:color w:val="1A4796"/>
          <w:sz w:val="24"/>
        </w:rPr>
        <w:t>bloqueo provocó en el período de análisis, daños y</w:t>
      </w:r>
      <w:r>
        <w:rPr>
          <w:rFonts w:ascii="Segoe UI Semibold" w:hAnsi="Segoe UI Semibold"/>
          <w:b/>
          <w:i/>
          <w:color w:val="1A4796"/>
          <w:spacing w:val="-11"/>
          <w:sz w:val="24"/>
        </w:rPr>
        <w:t> </w:t>
      </w:r>
      <w:r>
        <w:rPr>
          <w:rFonts w:ascii="Segoe UI Semibold" w:hAnsi="Segoe UI Semibold"/>
          <w:b/>
          <w:i/>
          <w:color w:val="1A4796"/>
          <w:sz w:val="24"/>
        </w:rPr>
        <w:t>perjuicios</w:t>
      </w:r>
      <w:r>
        <w:rPr>
          <w:rFonts w:ascii="Segoe UI Semibold" w:hAnsi="Segoe UI Semibold"/>
          <w:b/>
          <w:i/>
          <w:color w:val="1A4796"/>
          <w:spacing w:val="-11"/>
          <w:sz w:val="24"/>
        </w:rPr>
        <w:t> </w:t>
      </w:r>
      <w:r>
        <w:rPr>
          <w:rFonts w:ascii="Segoe UI Semibold" w:hAnsi="Segoe UI Semibold"/>
          <w:b/>
          <w:i/>
          <w:color w:val="1A4796"/>
          <w:sz w:val="24"/>
        </w:rPr>
        <w:t>ascendentes</w:t>
      </w:r>
      <w:r>
        <w:rPr>
          <w:rFonts w:ascii="Segoe UI Semibold" w:hAnsi="Segoe UI Semibold"/>
          <w:b/>
          <w:i/>
          <w:color w:val="1A4796"/>
          <w:spacing w:val="-11"/>
          <w:sz w:val="24"/>
        </w:rPr>
        <w:t> </w:t>
      </w:r>
      <w:r>
        <w:rPr>
          <w:rFonts w:ascii="Segoe UI Semibold" w:hAnsi="Segoe UI Semibold"/>
          <w:b/>
          <w:i/>
          <w:color w:val="1A4796"/>
          <w:sz w:val="24"/>
        </w:rPr>
        <w:t>a</w:t>
      </w:r>
      <w:r>
        <w:rPr>
          <w:rFonts w:ascii="Segoe UI Semibold" w:hAnsi="Segoe UI Semibold"/>
          <w:b/>
          <w:i/>
          <w:color w:val="1A4796"/>
          <w:spacing w:val="-11"/>
          <w:sz w:val="24"/>
        </w:rPr>
        <w:t> </w:t>
      </w:r>
      <w:r>
        <w:rPr>
          <w:b/>
          <w:i/>
          <w:color w:val="1A4796"/>
          <w:sz w:val="24"/>
        </w:rPr>
        <w:t>mil</w:t>
      </w:r>
      <w:r>
        <w:rPr>
          <w:b/>
          <w:i/>
          <w:color w:val="1A4796"/>
          <w:spacing w:val="-11"/>
          <w:sz w:val="24"/>
        </w:rPr>
        <w:t> </w:t>
      </w:r>
      <w:r>
        <w:rPr>
          <w:b/>
          <w:i/>
          <w:color w:val="1A4796"/>
          <w:sz w:val="24"/>
        </w:rPr>
        <w:t>808</w:t>
      </w:r>
      <w:r>
        <w:rPr>
          <w:b/>
          <w:i/>
          <w:color w:val="1A4796"/>
          <w:spacing w:val="-11"/>
          <w:sz w:val="24"/>
        </w:rPr>
        <w:t> </w:t>
      </w:r>
      <w:r>
        <w:rPr>
          <w:b/>
          <w:i/>
          <w:color w:val="1A4796"/>
          <w:sz w:val="24"/>
        </w:rPr>
        <w:t>millo-</w:t>
      </w:r>
      <w:r>
        <w:rPr>
          <w:b/>
          <w:i/>
          <w:color w:val="1A4796"/>
          <w:sz w:val="24"/>
        </w:rPr>
        <w:t> nes</w:t>
      </w:r>
      <w:r>
        <w:rPr>
          <w:b/>
          <w:i/>
          <w:color w:val="1A4796"/>
          <w:spacing w:val="-14"/>
          <w:sz w:val="24"/>
        </w:rPr>
        <w:t> </w:t>
      </w:r>
      <w:r>
        <w:rPr>
          <w:b/>
          <w:i/>
          <w:color w:val="1A4796"/>
          <w:sz w:val="24"/>
        </w:rPr>
        <w:t>de</w:t>
      </w:r>
      <w:r>
        <w:rPr>
          <w:b/>
          <w:i/>
          <w:color w:val="1A4796"/>
          <w:spacing w:val="-14"/>
          <w:sz w:val="24"/>
        </w:rPr>
        <w:t> </w:t>
      </w:r>
      <w:r>
        <w:rPr>
          <w:b/>
          <w:i/>
          <w:color w:val="1A4796"/>
          <w:sz w:val="24"/>
        </w:rPr>
        <w:t>dólares</w:t>
      </w:r>
      <w:r>
        <w:rPr>
          <w:rFonts w:ascii="Segoe UI Semibold" w:hAnsi="Segoe UI Semibold"/>
          <w:b/>
          <w:i/>
          <w:color w:val="1A4796"/>
          <w:sz w:val="24"/>
        </w:rPr>
        <w:t>,</w:t>
      </w:r>
      <w:r>
        <w:rPr>
          <w:rFonts w:ascii="Segoe UI Semibold" w:hAnsi="Segoe UI Semibold"/>
          <w:b/>
          <w:i/>
          <w:color w:val="1A4796"/>
          <w:spacing w:val="-14"/>
          <w:sz w:val="24"/>
        </w:rPr>
        <w:t> </w:t>
      </w:r>
      <w:r>
        <w:rPr>
          <w:rFonts w:ascii="Segoe UI Semibold" w:hAnsi="Segoe UI Semibold"/>
          <w:b/>
          <w:i/>
          <w:color w:val="1A4796"/>
          <w:sz w:val="24"/>
        </w:rPr>
        <w:t>lo</w:t>
      </w:r>
      <w:r>
        <w:rPr>
          <w:rFonts w:ascii="Segoe UI Semibold" w:hAnsi="Segoe UI Semibold"/>
          <w:b/>
          <w:i/>
          <w:color w:val="1A4796"/>
          <w:spacing w:val="-14"/>
          <w:sz w:val="24"/>
        </w:rPr>
        <w:t> </w:t>
      </w:r>
      <w:r>
        <w:rPr>
          <w:rFonts w:ascii="Segoe UI Semibold" w:hAnsi="Segoe UI Semibold"/>
          <w:b/>
          <w:i/>
          <w:color w:val="1A4796"/>
          <w:sz w:val="24"/>
        </w:rPr>
        <w:t>que</w:t>
      </w:r>
      <w:r>
        <w:rPr>
          <w:rFonts w:ascii="Segoe UI Semibold" w:hAnsi="Segoe UI Semibold"/>
          <w:b/>
          <w:i/>
          <w:color w:val="1A4796"/>
          <w:spacing w:val="-14"/>
          <w:sz w:val="24"/>
        </w:rPr>
        <w:t> </w:t>
      </w:r>
      <w:r>
        <w:rPr>
          <w:rFonts w:ascii="Segoe UI Semibold" w:hAnsi="Segoe UI Semibold"/>
          <w:b/>
          <w:i/>
          <w:color w:val="1A4796"/>
          <w:sz w:val="24"/>
        </w:rPr>
        <w:t>representa</w:t>
      </w:r>
      <w:r>
        <w:rPr>
          <w:rFonts w:ascii="Segoe UI Semibold" w:hAnsi="Segoe UI Semibold"/>
          <w:b/>
          <w:i/>
          <w:color w:val="1A4796"/>
          <w:spacing w:val="-14"/>
          <w:sz w:val="24"/>
        </w:rPr>
        <w:t> </w:t>
      </w:r>
      <w:r>
        <w:rPr>
          <w:rFonts w:ascii="Segoe UI Semibold" w:hAnsi="Segoe UI Semibold"/>
          <w:b/>
          <w:i/>
          <w:color w:val="1A4796"/>
          <w:sz w:val="24"/>
        </w:rPr>
        <w:t>un</w:t>
      </w:r>
      <w:r>
        <w:rPr>
          <w:rFonts w:ascii="Segoe UI Semibold" w:hAnsi="Segoe UI Semibold"/>
          <w:b/>
          <w:i/>
          <w:color w:val="1A4796"/>
          <w:spacing w:val="-14"/>
          <w:sz w:val="24"/>
        </w:rPr>
        <w:t> </w:t>
      </w:r>
      <w:r>
        <w:rPr>
          <w:b/>
          <w:i/>
          <w:color w:val="1A4796"/>
          <w:sz w:val="24"/>
        </w:rPr>
        <w:t>37%</w:t>
      </w:r>
      <w:r>
        <w:rPr>
          <w:b/>
          <w:i/>
          <w:color w:val="1A4796"/>
          <w:sz w:val="24"/>
        </w:rPr>
        <w:t> del total </w:t>
      </w:r>
      <w:r>
        <w:rPr>
          <w:rFonts w:ascii="Segoe UI Semibold" w:hAnsi="Segoe UI Semibold"/>
          <w:b/>
          <w:i/>
          <w:color w:val="1A4796"/>
          <w:sz w:val="24"/>
        </w:rPr>
        <w:t>de las afectaciones reportadas</w:t>
      </w:r>
      <w:r>
        <w:rPr>
          <w:rFonts w:ascii="Segoe UI Semibold" w:hAnsi="Segoe UI Semibold"/>
          <w:b/>
          <w:i/>
          <w:color w:val="1A4796"/>
          <w:sz w:val="24"/>
        </w:rPr>
        <w:t> a causa de esta política entre marzo de 2022 y febrero de 2023.</w:t>
      </w:r>
    </w:p>
    <w:p>
      <w:pPr>
        <w:pStyle w:val="BodyText"/>
        <w:spacing w:before="157"/>
        <w:ind w:left="412" w:right="1472"/>
      </w:pPr>
      <w:r>
        <w:rPr>
          <w:color w:val="231F20"/>
        </w:rPr>
        <w:t>En</w:t>
      </w:r>
      <w:r>
        <w:rPr>
          <w:color w:val="231F20"/>
          <w:spacing w:val="-17"/>
        </w:rPr>
        <w:t> </w:t>
      </w:r>
      <w:r>
        <w:rPr>
          <w:color w:val="231F20"/>
        </w:rPr>
        <w:t>este</w:t>
      </w:r>
      <w:r>
        <w:rPr>
          <w:color w:val="231F20"/>
          <w:spacing w:val="-16"/>
        </w:rPr>
        <w:t> </w:t>
      </w:r>
      <w:r>
        <w:rPr>
          <w:color w:val="231F20"/>
        </w:rPr>
        <w:t>sentido,</w:t>
      </w:r>
      <w:r>
        <w:rPr>
          <w:color w:val="231F20"/>
          <w:spacing w:val="-17"/>
        </w:rPr>
        <w:t> </w:t>
      </w:r>
      <w:r>
        <w:rPr>
          <w:color w:val="231F20"/>
        </w:rPr>
        <w:t>uno</w:t>
      </w:r>
      <w:r>
        <w:rPr>
          <w:color w:val="231F20"/>
          <w:spacing w:val="-16"/>
        </w:rPr>
        <w:t> </w:t>
      </w:r>
      <w:r>
        <w:rPr>
          <w:color w:val="231F20"/>
        </w:rPr>
        <w:t>de</w:t>
      </w:r>
      <w:r>
        <w:rPr>
          <w:color w:val="231F20"/>
          <w:spacing w:val="-17"/>
        </w:rPr>
        <w:t> </w:t>
      </w:r>
      <w:r>
        <w:rPr>
          <w:color w:val="231F20"/>
        </w:rPr>
        <w:t>los</w:t>
      </w:r>
      <w:r>
        <w:rPr>
          <w:color w:val="231F20"/>
          <w:spacing w:val="-16"/>
        </w:rPr>
        <w:t> </w:t>
      </w:r>
      <w:r>
        <w:rPr>
          <w:color w:val="231F20"/>
        </w:rPr>
        <w:t>factores</w:t>
      </w:r>
      <w:r>
        <w:rPr>
          <w:color w:val="231F20"/>
          <w:spacing w:val="-17"/>
        </w:rPr>
        <w:t> </w:t>
      </w:r>
      <w:r>
        <w:rPr>
          <w:color w:val="231F20"/>
        </w:rPr>
        <w:t>que</w:t>
      </w:r>
      <w:r>
        <w:rPr>
          <w:color w:val="231F20"/>
          <w:spacing w:val="-16"/>
        </w:rPr>
        <w:t> </w:t>
      </w:r>
      <w:r>
        <w:rPr>
          <w:color w:val="231F20"/>
        </w:rPr>
        <w:t>ha </w:t>
      </w:r>
      <w:r>
        <w:rPr>
          <w:color w:val="231F20"/>
          <w:spacing w:val="-4"/>
        </w:rPr>
        <w:t>atentado</w:t>
      </w:r>
      <w:r>
        <w:rPr>
          <w:color w:val="231F20"/>
          <w:spacing w:val="-11"/>
        </w:rPr>
        <w:t> </w:t>
      </w:r>
      <w:r>
        <w:rPr>
          <w:color w:val="231F20"/>
          <w:spacing w:val="-4"/>
        </w:rPr>
        <w:t>contra</w:t>
      </w:r>
      <w:r>
        <w:rPr>
          <w:color w:val="231F20"/>
          <w:spacing w:val="-11"/>
        </w:rPr>
        <w:t> </w:t>
      </w:r>
      <w:r>
        <w:rPr>
          <w:color w:val="231F20"/>
          <w:spacing w:val="-4"/>
        </w:rPr>
        <w:t>la</w:t>
      </w:r>
      <w:r>
        <w:rPr>
          <w:color w:val="231F20"/>
          <w:spacing w:val="-11"/>
        </w:rPr>
        <w:t> </w:t>
      </w:r>
      <w:r>
        <w:rPr>
          <w:color w:val="231F20"/>
          <w:spacing w:val="-4"/>
        </w:rPr>
        <w:t>disponibilidad</w:t>
      </w:r>
      <w:r>
        <w:rPr>
          <w:color w:val="231F20"/>
          <w:spacing w:val="-11"/>
        </w:rPr>
        <w:t> </w:t>
      </w:r>
      <w:r>
        <w:rPr>
          <w:color w:val="231F20"/>
          <w:spacing w:val="-4"/>
        </w:rPr>
        <w:t>de</w:t>
      </w:r>
      <w:r>
        <w:rPr>
          <w:color w:val="231F20"/>
          <w:spacing w:val="-11"/>
        </w:rPr>
        <w:t> </w:t>
      </w:r>
      <w:r>
        <w:rPr>
          <w:color w:val="231F20"/>
          <w:spacing w:val="-4"/>
        </w:rPr>
        <w:t>divisas </w:t>
      </w:r>
      <w:r>
        <w:rPr>
          <w:color w:val="231F20"/>
        </w:rPr>
        <w:t>en el país ha sido el incumplimiento de la meta de 2 millones 500 mil turistas fijada para 2022. Durante el período de análisis, el</w:t>
      </w:r>
      <w:r>
        <w:rPr>
          <w:color w:val="231F20"/>
          <w:spacing w:val="40"/>
        </w:rPr>
        <w:t> </w:t>
      </w:r>
      <w:r>
        <w:rPr>
          <w:color w:val="231F20"/>
        </w:rPr>
        <w:t>énfasis</w:t>
      </w:r>
      <w:r>
        <w:rPr>
          <w:color w:val="231F20"/>
          <w:spacing w:val="40"/>
        </w:rPr>
        <w:t> </w:t>
      </w:r>
      <w:r>
        <w:rPr>
          <w:color w:val="231F20"/>
        </w:rPr>
        <w:t>del</w:t>
      </w:r>
      <w:r>
        <w:rPr>
          <w:color w:val="231F20"/>
          <w:spacing w:val="40"/>
        </w:rPr>
        <w:t> </w:t>
      </w:r>
      <w:r>
        <w:rPr>
          <w:color w:val="231F20"/>
        </w:rPr>
        <w:t>bloqueo</w:t>
      </w:r>
      <w:r>
        <w:rPr>
          <w:color w:val="231F20"/>
          <w:spacing w:val="40"/>
        </w:rPr>
        <w:t> </w:t>
      </w:r>
      <w:r>
        <w:rPr>
          <w:color w:val="231F20"/>
        </w:rPr>
        <w:t>en</w:t>
      </w:r>
      <w:r>
        <w:rPr>
          <w:color w:val="231F20"/>
          <w:spacing w:val="40"/>
        </w:rPr>
        <w:t> </w:t>
      </w:r>
      <w:r>
        <w:rPr>
          <w:color w:val="231F20"/>
        </w:rPr>
        <w:t>obstaculizar</w:t>
      </w:r>
      <w:r>
        <w:rPr>
          <w:color w:val="231F20"/>
          <w:spacing w:val="80"/>
        </w:rPr>
        <w:t> </w:t>
      </w:r>
      <w:r>
        <w:rPr>
          <w:color w:val="231F20"/>
        </w:rPr>
        <w:t>la recuperación del </w:t>
      </w:r>
      <w:r>
        <w:rPr>
          <w:b/>
          <w:color w:val="231F20"/>
        </w:rPr>
        <w:t>sector del turismo</w:t>
      </w:r>
      <w:r>
        <w:rPr>
          <w:color w:val="231F20"/>
        </w:rPr>
        <w:t>, </w:t>
      </w:r>
      <w:r>
        <w:rPr>
          <w:color w:val="231F20"/>
          <w:spacing w:val="-2"/>
        </w:rPr>
        <w:t>principal</w:t>
      </w:r>
      <w:r>
        <w:rPr>
          <w:color w:val="231F20"/>
          <w:spacing w:val="-15"/>
        </w:rPr>
        <w:t> </w:t>
      </w:r>
      <w:r>
        <w:rPr>
          <w:color w:val="231F20"/>
          <w:spacing w:val="-2"/>
        </w:rPr>
        <w:t>fuente</w:t>
      </w:r>
      <w:r>
        <w:rPr>
          <w:color w:val="231F20"/>
          <w:spacing w:val="-14"/>
        </w:rPr>
        <w:t> </w:t>
      </w:r>
      <w:r>
        <w:rPr>
          <w:color w:val="231F20"/>
          <w:spacing w:val="-2"/>
        </w:rPr>
        <w:t>de</w:t>
      </w:r>
      <w:r>
        <w:rPr>
          <w:color w:val="231F20"/>
          <w:spacing w:val="-14"/>
        </w:rPr>
        <w:t> </w:t>
      </w:r>
      <w:r>
        <w:rPr>
          <w:color w:val="231F20"/>
          <w:spacing w:val="-2"/>
        </w:rPr>
        <w:t>ingresos</w:t>
      </w:r>
      <w:r>
        <w:rPr>
          <w:color w:val="231F20"/>
          <w:spacing w:val="-15"/>
        </w:rPr>
        <w:t> </w:t>
      </w:r>
      <w:r>
        <w:rPr>
          <w:color w:val="231F20"/>
          <w:spacing w:val="-2"/>
        </w:rPr>
        <w:t>del</w:t>
      </w:r>
      <w:r>
        <w:rPr>
          <w:color w:val="231F20"/>
          <w:spacing w:val="-14"/>
        </w:rPr>
        <w:t> </w:t>
      </w:r>
      <w:r>
        <w:rPr>
          <w:color w:val="231F20"/>
          <w:spacing w:val="-2"/>
        </w:rPr>
        <w:t>país,</w:t>
      </w:r>
      <w:r>
        <w:rPr>
          <w:color w:val="231F20"/>
          <w:spacing w:val="-14"/>
        </w:rPr>
        <w:t> </w:t>
      </w:r>
      <w:r>
        <w:rPr>
          <w:color w:val="231F20"/>
          <w:spacing w:val="-2"/>
        </w:rPr>
        <w:t>causó </w:t>
      </w:r>
      <w:r>
        <w:rPr>
          <w:color w:val="231F20"/>
        </w:rPr>
        <w:t>pérdidas ascendentes a </w:t>
      </w:r>
      <w:r>
        <w:rPr>
          <w:rFonts w:ascii="Segoe UI Semibold" w:hAnsi="Segoe UI Semibold"/>
          <w:b/>
          <w:color w:val="231F20"/>
        </w:rPr>
        <w:t>mil 89 millones 470 mil 572 dólares</w:t>
      </w:r>
      <w:r>
        <w:rPr>
          <w:color w:val="231F20"/>
        </w:rPr>
        <w:t>.</w:t>
      </w:r>
    </w:p>
    <w:p>
      <w:pPr>
        <w:spacing w:before="168"/>
        <w:ind w:left="412" w:right="1474" w:firstLine="0"/>
        <w:jc w:val="both"/>
        <w:rPr>
          <w:i/>
          <w:sz w:val="24"/>
        </w:rPr>
      </w:pPr>
      <w:r>
        <w:rPr>
          <w:i/>
          <w:color w:val="231F20"/>
          <w:sz w:val="24"/>
        </w:rPr>
        <w:t>El 2022 concluyó con 1 millón 614 mil 87</w:t>
      </w:r>
      <w:r>
        <w:rPr>
          <w:i/>
          <w:color w:val="231F20"/>
          <w:sz w:val="24"/>
        </w:rPr>
        <w:t> </w:t>
      </w:r>
      <w:r>
        <w:rPr>
          <w:i/>
          <w:color w:val="231F20"/>
          <w:spacing w:val="-4"/>
          <w:sz w:val="24"/>
        </w:rPr>
        <w:t>visitantes</w:t>
      </w:r>
      <w:r>
        <w:rPr>
          <w:i/>
          <w:color w:val="231F20"/>
          <w:spacing w:val="-9"/>
          <w:sz w:val="24"/>
        </w:rPr>
        <w:t> </w:t>
      </w:r>
      <w:r>
        <w:rPr>
          <w:i/>
          <w:color w:val="231F20"/>
          <w:spacing w:val="-4"/>
          <w:sz w:val="24"/>
        </w:rPr>
        <w:t>internacionales</w:t>
      </w:r>
      <w:r>
        <w:rPr>
          <w:i/>
          <w:color w:val="231F20"/>
          <w:spacing w:val="-8"/>
          <w:sz w:val="24"/>
        </w:rPr>
        <w:t> </w:t>
      </w:r>
      <w:r>
        <w:rPr>
          <w:i/>
          <w:color w:val="231F20"/>
          <w:spacing w:val="-4"/>
          <w:sz w:val="24"/>
        </w:rPr>
        <w:t>al</w:t>
      </w:r>
      <w:r>
        <w:rPr>
          <w:i/>
          <w:color w:val="231F20"/>
          <w:spacing w:val="-9"/>
          <w:sz w:val="24"/>
        </w:rPr>
        <w:t> </w:t>
      </w:r>
      <w:r>
        <w:rPr>
          <w:i/>
          <w:color w:val="231F20"/>
          <w:spacing w:val="-4"/>
          <w:sz w:val="24"/>
        </w:rPr>
        <w:t>destino</w:t>
      </w:r>
      <w:r>
        <w:rPr>
          <w:i/>
          <w:color w:val="231F20"/>
          <w:spacing w:val="-8"/>
          <w:sz w:val="24"/>
        </w:rPr>
        <w:t> </w:t>
      </w:r>
      <w:r>
        <w:rPr>
          <w:i/>
          <w:color w:val="231F20"/>
          <w:spacing w:val="-4"/>
          <w:sz w:val="24"/>
        </w:rPr>
        <w:t>Cuba,</w:t>
      </w:r>
      <w:r>
        <w:rPr>
          <w:i/>
          <w:color w:val="231F20"/>
          <w:spacing w:val="-8"/>
          <w:sz w:val="24"/>
        </w:rPr>
        <w:t> </w:t>
      </w:r>
      <w:r>
        <w:rPr>
          <w:i/>
          <w:color w:val="231F20"/>
          <w:spacing w:val="-5"/>
          <w:sz w:val="24"/>
        </w:rPr>
        <w:t>lo</w:t>
      </w:r>
    </w:p>
    <w:p>
      <w:pPr>
        <w:spacing w:after="0"/>
        <w:jc w:val="both"/>
        <w:rPr>
          <w:sz w:val="24"/>
        </w:rPr>
        <w:sectPr>
          <w:pgSz w:w="11910" w:h="16840"/>
          <w:pgMar w:header="0" w:footer="695" w:top="1260" w:bottom="880" w:left="0" w:right="0"/>
          <w:cols w:num="2" w:equalWidth="0">
            <w:col w:w="5557" w:space="40"/>
            <w:col w:w="6313"/>
          </w:cols>
        </w:sectPr>
      </w:pPr>
    </w:p>
    <w:p>
      <w:pPr>
        <w:pStyle w:val="BodyText"/>
        <w:spacing w:before="77"/>
        <w:ind w:left="1474"/>
      </w:pPr>
      <w:r>
        <w:rPr/>
        <mc:AlternateContent>
          <mc:Choice Requires="wps">
            <w:drawing>
              <wp:anchor distT="0" distB="0" distL="0" distR="0" allowOverlap="1" layoutInCell="1" locked="0" behindDoc="1" simplePos="0" relativeHeight="485771776">
                <wp:simplePos x="0" y="0"/>
                <wp:positionH relativeFrom="page">
                  <wp:posOffset>936000</wp:posOffset>
                </wp:positionH>
                <wp:positionV relativeFrom="paragraph">
                  <wp:posOffset>3909744</wp:posOffset>
                </wp:positionV>
                <wp:extent cx="2806065" cy="203200"/>
                <wp:effectExtent l="0" t="0" r="0" b="0"/>
                <wp:wrapNone/>
                <wp:docPr id="60" name="Textbox 60"/>
                <wp:cNvGraphicFramePr>
                  <a:graphicFrameLocks/>
                </wp:cNvGraphicFramePr>
                <a:graphic>
                  <a:graphicData uri="http://schemas.microsoft.com/office/word/2010/wordprocessingShape">
                    <wps:wsp>
                      <wps:cNvPr id="60" name="Textbox 60"/>
                      <wps:cNvSpPr txBox="1"/>
                      <wps:spPr>
                        <a:xfrm>
                          <a:off x="0" y="0"/>
                          <a:ext cx="2806065" cy="203200"/>
                        </a:xfrm>
                        <a:prstGeom prst="rect">
                          <a:avLst/>
                        </a:prstGeom>
                      </wps:spPr>
                      <wps:txbx>
                        <w:txbxContent>
                          <w:p>
                            <w:pPr>
                              <w:pStyle w:val="BodyText"/>
                              <w:jc w:val="left"/>
                            </w:pPr>
                            <w:r>
                              <w:rPr>
                                <w:color w:val="231F20"/>
                                <w:spacing w:val="-4"/>
                              </w:rPr>
                              <w:t>Al</w:t>
                            </w:r>
                            <w:r>
                              <w:rPr>
                                <w:color w:val="231F20"/>
                                <w:spacing w:val="-5"/>
                              </w:rPr>
                              <w:t> </w:t>
                            </w:r>
                            <w:r>
                              <w:rPr>
                                <w:color w:val="231F20"/>
                                <w:spacing w:val="-4"/>
                              </w:rPr>
                              <w:t>mismo</w:t>
                            </w:r>
                            <w:r>
                              <w:rPr>
                                <w:color w:val="231F20"/>
                                <w:spacing w:val="-5"/>
                              </w:rPr>
                              <w:t> </w:t>
                            </w:r>
                            <w:r>
                              <w:rPr>
                                <w:color w:val="231F20"/>
                                <w:spacing w:val="-4"/>
                              </w:rPr>
                              <w:t>tiempo,</w:t>
                            </w:r>
                            <w:r>
                              <w:rPr>
                                <w:color w:val="231F20"/>
                                <w:spacing w:val="-5"/>
                              </w:rPr>
                              <w:t> </w:t>
                            </w:r>
                            <w:r>
                              <w:rPr>
                                <w:color w:val="231F20"/>
                                <w:spacing w:val="-4"/>
                              </w:rPr>
                              <w:t>la</w:t>
                            </w:r>
                            <w:r>
                              <w:rPr>
                                <w:color w:val="231F20"/>
                                <w:spacing w:val="-5"/>
                              </w:rPr>
                              <w:t> </w:t>
                            </w:r>
                            <w:r>
                              <w:rPr>
                                <w:color w:val="231F20"/>
                                <w:spacing w:val="-4"/>
                              </w:rPr>
                              <w:t>prohibición</w:t>
                            </w:r>
                            <w:r>
                              <w:rPr>
                                <w:color w:val="231F20"/>
                                <w:spacing w:val="-5"/>
                              </w:rPr>
                              <w:t> </w:t>
                            </w:r>
                            <w:r>
                              <w:rPr>
                                <w:color w:val="231F20"/>
                                <w:spacing w:val="-4"/>
                              </w:rPr>
                              <w:t>de </w:t>
                            </w:r>
                            <w:r>
                              <w:rPr>
                                <w:color w:val="231F20"/>
                                <w:spacing w:val="-7"/>
                              </w:rPr>
                              <w:t>entrada</w:t>
                            </w:r>
                          </w:p>
                        </w:txbxContent>
                      </wps:txbx>
                      <wps:bodyPr wrap="square" lIns="0" tIns="0" rIns="0" bIns="0" rtlCol="0">
                        <a:noAutofit/>
                      </wps:bodyPr>
                    </wps:wsp>
                  </a:graphicData>
                </a:graphic>
              </wp:anchor>
            </w:drawing>
          </mc:Choice>
          <mc:Fallback>
            <w:pict>
              <v:shape style="position:absolute;margin-left:73.700798pt;margin-top:307.853882pt;width:220.95pt;height:16pt;mso-position-horizontal-relative:page;mso-position-vertical-relative:paragraph;z-index:-17544704" type="#_x0000_t202" id="docshape44" filled="false" stroked="false">
                <v:textbox inset="0,0,0,0">
                  <w:txbxContent>
                    <w:p>
                      <w:pPr>
                        <w:pStyle w:val="BodyText"/>
                        <w:jc w:val="left"/>
                      </w:pPr>
                      <w:r>
                        <w:rPr>
                          <w:color w:val="231F20"/>
                          <w:spacing w:val="-4"/>
                        </w:rPr>
                        <w:t>Al</w:t>
                      </w:r>
                      <w:r>
                        <w:rPr>
                          <w:color w:val="231F20"/>
                          <w:spacing w:val="-5"/>
                        </w:rPr>
                        <w:t> </w:t>
                      </w:r>
                      <w:r>
                        <w:rPr>
                          <w:color w:val="231F20"/>
                          <w:spacing w:val="-4"/>
                        </w:rPr>
                        <w:t>mismo</w:t>
                      </w:r>
                      <w:r>
                        <w:rPr>
                          <w:color w:val="231F20"/>
                          <w:spacing w:val="-5"/>
                        </w:rPr>
                        <w:t> </w:t>
                      </w:r>
                      <w:r>
                        <w:rPr>
                          <w:color w:val="231F20"/>
                          <w:spacing w:val="-4"/>
                        </w:rPr>
                        <w:t>tiempo,</w:t>
                      </w:r>
                      <w:r>
                        <w:rPr>
                          <w:color w:val="231F20"/>
                          <w:spacing w:val="-5"/>
                        </w:rPr>
                        <w:t> </w:t>
                      </w:r>
                      <w:r>
                        <w:rPr>
                          <w:color w:val="231F20"/>
                          <w:spacing w:val="-4"/>
                        </w:rPr>
                        <w:t>la</w:t>
                      </w:r>
                      <w:r>
                        <w:rPr>
                          <w:color w:val="231F20"/>
                          <w:spacing w:val="-5"/>
                        </w:rPr>
                        <w:t> </w:t>
                      </w:r>
                      <w:r>
                        <w:rPr>
                          <w:color w:val="231F20"/>
                          <w:spacing w:val="-4"/>
                        </w:rPr>
                        <w:t>prohibición</w:t>
                      </w:r>
                      <w:r>
                        <w:rPr>
                          <w:color w:val="231F20"/>
                          <w:spacing w:val="-5"/>
                        </w:rPr>
                        <w:t> </w:t>
                      </w:r>
                      <w:r>
                        <w:rPr>
                          <w:color w:val="231F20"/>
                          <w:spacing w:val="-4"/>
                        </w:rPr>
                        <w:t>de </w:t>
                      </w:r>
                      <w:r>
                        <w:rPr>
                          <w:color w:val="231F20"/>
                          <w:spacing w:val="-7"/>
                        </w:rPr>
                        <w:t>entrada</w:t>
                      </w:r>
                    </w:p>
                  </w:txbxContent>
                </v:textbox>
                <w10:wrap type="none"/>
              </v:shape>
            </w:pict>
          </mc:Fallback>
        </mc:AlternateContent>
      </w:r>
      <w:r>
        <w:rPr/>
        <mc:AlternateContent>
          <mc:Choice Requires="wps">
            <w:drawing>
              <wp:anchor distT="0" distB="0" distL="0" distR="0" allowOverlap="1" layoutInCell="1" locked="0" behindDoc="0" simplePos="0" relativeHeight="15749120">
                <wp:simplePos x="0" y="0"/>
                <wp:positionH relativeFrom="page">
                  <wp:posOffset>0</wp:posOffset>
                </wp:positionH>
                <wp:positionV relativeFrom="paragraph">
                  <wp:posOffset>2642082</wp:posOffset>
                </wp:positionV>
                <wp:extent cx="4262755" cy="4789170"/>
                <wp:effectExtent l="0" t="0" r="0" b="0"/>
                <wp:wrapNone/>
                <wp:docPr id="61" name="Group 61"/>
                <wp:cNvGraphicFramePr>
                  <a:graphicFrameLocks/>
                </wp:cNvGraphicFramePr>
                <a:graphic>
                  <a:graphicData uri="http://schemas.microsoft.com/office/word/2010/wordprocessingGroup">
                    <wpg:wgp>
                      <wpg:cNvPr id="61" name="Group 61"/>
                      <wpg:cNvGrpSpPr/>
                      <wpg:grpSpPr>
                        <a:xfrm>
                          <a:off x="0" y="0"/>
                          <a:ext cx="4262755" cy="4789170"/>
                          <a:chExt cx="4262755" cy="4789170"/>
                        </a:xfrm>
                      </wpg:grpSpPr>
                      <wps:wsp>
                        <wps:cNvPr id="62" name="Graphic 62"/>
                        <wps:cNvSpPr/>
                        <wps:spPr>
                          <a:xfrm>
                            <a:off x="0" y="0"/>
                            <a:ext cx="4262755" cy="4789170"/>
                          </a:xfrm>
                          <a:custGeom>
                            <a:avLst/>
                            <a:gdLst/>
                            <a:ahLst/>
                            <a:cxnLst/>
                            <a:rect l="l" t="t" r="r" b="b"/>
                            <a:pathLst>
                              <a:path w="4262755" h="4789170">
                                <a:moveTo>
                                  <a:pt x="4262399" y="0"/>
                                </a:moveTo>
                                <a:lnTo>
                                  <a:pt x="0" y="0"/>
                                </a:lnTo>
                                <a:lnTo>
                                  <a:pt x="0" y="4788662"/>
                                </a:lnTo>
                                <a:lnTo>
                                  <a:pt x="4262399" y="4788662"/>
                                </a:lnTo>
                                <a:lnTo>
                                  <a:pt x="4262399" y="0"/>
                                </a:lnTo>
                                <a:close/>
                              </a:path>
                            </a:pathLst>
                          </a:custGeom>
                          <a:solidFill>
                            <a:srgbClr val="E0E2E2"/>
                          </a:solidFill>
                        </wps:spPr>
                        <wps:bodyPr wrap="square" lIns="0" tIns="0" rIns="0" bIns="0" rtlCol="0">
                          <a:prstTxWarp prst="textNoShape">
                            <a:avLst/>
                          </a:prstTxWarp>
                          <a:noAutofit/>
                        </wps:bodyPr>
                      </wps:wsp>
                      <wps:wsp>
                        <wps:cNvPr id="63" name="Textbox 63"/>
                        <wps:cNvSpPr txBox="1"/>
                        <wps:spPr>
                          <a:xfrm>
                            <a:off x="0" y="0"/>
                            <a:ext cx="4262755" cy="4789170"/>
                          </a:xfrm>
                          <a:prstGeom prst="rect">
                            <a:avLst/>
                          </a:prstGeom>
                        </wps:spPr>
                        <wps:txbx>
                          <w:txbxContent>
                            <w:p>
                              <w:pPr>
                                <w:spacing w:line="240" w:lineRule="auto" w:before="50"/>
                                <w:rPr>
                                  <w:sz w:val="26"/>
                                </w:rPr>
                              </w:pPr>
                            </w:p>
                            <w:p>
                              <w:pPr>
                                <w:spacing w:line="220" w:lineRule="auto" w:before="0"/>
                                <w:ind w:left="1474" w:right="790" w:firstLine="0"/>
                                <w:jc w:val="left"/>
                                <w:rPr>
                                  <w:rFonts w:ascii="Segoe UI Semibold" w:hAnsi="Segoe UI Semibold"/>
                                  <w:b/>
                                  <w:i/>
                                  <w:sz w:val="26"/>
                                </w:rPr>
                              </w:pPr>
                              <w:r>
                                <w:rPr>
                                  <w:rFonts w:ascii="Segoe UI Semibold" w:hAnsi="Segoe UI Semibold"/>
                                  <w:b/>
                                  <w:i/>
                                  <w:color w:val="1A4796"/>
                                  <w:sz w:val="26"/>
                                </w:rPr>
                                <w:t>De no existir el bloqueo y la</w:t>
                              </w:r>
                              <w:r>
                                <w:rPr>
                                  <w:rFonts w:ascii="Segoe UI Semibold" w:hAnsi="Segoe UI Semibold"/>
                                  <w:b/>
                                  <w:i/>
                                  <w:color w:val="1A4796"/>
                                  <w:sz w:val="26"/>
                                </w:rPr>
                                <w:t> prohibición a los nacionales de los </w:t>
                              </w:r>
                              <w:r>
                                <w:rPr>
                                  <w:rFonts w:ascii="Segoe UI Semibold" w:hAnsi="Segoe UI Semibold"/>
                                  <w:b/>
                                  <w:i/>
                                  <w:color w:val="1A4796"/>
                                  <w:spacing w:val="-2"/>
                                  <w:sz w:val="26"/>
                                </w:rPr>
                                <w:t>Estados</w:t>
                              </w:r>
                              <w:r>
                                <w:rPr>
                                  <w:rFonts w:ascii="Segoe UI Semibold" w:hAnsi="Segoe UI Semibold"/>
                                  <w:b/>
                                  <w:i/>
                                  <w:color w:val="1A4796"/>
                                  <w:spacing w:val="-16"/>
                                  <w:sz w:val="26"/>
                                </w:rPr>
                                <w:t> </w:t>
                              </w:r>
                              <w:r>
                                <w:rPr>
                                  <w:rFonts w:ascii="Segoe UI Semibold" w:hAnsi="Segoe UI Semibold"/>
                                  <w:b/>
                                  <w:i/>
                                  <w:color w:val="1A4796"/>
                                  <w:spacing w:val="-2"/>
                                  <w:sz w:val="26"/>
                                </w:rPr>
                                <w:t>Unidos</w:t>
                              </w:r>
                              <w:r>
                                <w:rPr>
                                  <w:rFonts w:ascii="Segoe UI Semibold" w:hAnsi="Segoe UI Semibold"/>
                                  <w:b/>
                                  <w:i/>
                                  <w:color w:val="1A4796"/>
                                  <w:spacing w:val="-16"/>
                                  <w:sz w:val="26"/>
                                </w:rPr>
                                <w:t> </w:t>
                              </w:r>
                              <w:r>
                                <w:rPr>
                                  <w:rFonts w:ascii="Segoe UI Semibold" w:hAnsi="Segoe UI Semibold"/>
                                  <w:b/>
                                  <w:i/>
                                  <w:color w:val="1A4796"/>
                                  <w:spacing w:val="-2"/>
                                  <w:sz w:val="26"/>
                                </w:rPr>
                                <w:t>de</w:t>
                              </w:r>
                              <w:r>
                                <w:rPr>
                                  <w:rFonts w:ascii="Segoe UI Semibold" w:hAnsi="Segoe UI Semibold"/>
                                  <w:b/>
                                  <w:i/>
                                  <w:color w:val="1A4796"/>
                                  <w:spacing w:val="-15"/>
                                  <w:sz w:val="26"/>
                                </w:rPr>
                                <w:t> </w:t>
                              </w:r>
                              <w:r>
                                <w:rPr>
                                  <w:rFonts w:ascii="Segoe UI Semibold" w:hAnsi="Segoe UI Semibold"/>
                                  <w:b/>
                                  <w:i/>
                                  <w:color w:val="1A4796"/>
                                  <w:spacing w:val="-2"/>
                                  <w:sz w:val="26"/>
                                </w:rPr>
                                <w:t>viajar</w:t>
                              </w:r>
                              <w:r>
                                <w:rPr>
                                  <w:rFonts w:ascii="Segoe UI Semibold" w:hAnsi="Segoe UI Semibold"/>
                                  <w:b/>
                                  <w:i/>
                                  <w:color w:val="1A4796"/>
                                  <w:spacing w:val="-16"/>
                                  <w:sz w:val="26"/>
                                </w:rPr>
                                <w:t> </w:t>
                              </w:r>
                              <w:r>
                                <w:rPr>
                                  <w:rFonts w:ascii="Segoe UI Semibold" w:hAnsi="Segoe UI Semibold"/>
                                  <w:b/>
                                  <w:i/>
                                  <w:color w:val="1A4796"/>
                                  <w:spacing w:val="-2"/>
                                  <w:sz w:val="26"/>
                                </w:rPr>
                                <w:t>como</w:t>
                              </w:r>
                              <w:r>
                                <w:rPr>
                                  <w:rFonts w:ascii="Segoe UI Semibold" w:hAnsi="Segoe UI Semibold"/>
                                  <w:b/>
                                  <w:i/>
                                  <w:color w:val="1A4796"/>
                                  <w:spacing w:val="-16"/>
                                  <w:sz w:val="26"/>
                                </w:rPr>
                                <w:t> </w:t>
                              </w:r>
                              <w:r>
                                <w:rPr>
                                  <w:rFonts w:ascii="Segoe UI Semibold" w:hAnsi="Segoe UI Semibold"/>
                                  <w:b/>
                                  <w:i/>
                                  <w:color w:val="1A4796"/>
                                  <w:spacing w:val="-2"/>
                                  <w:sz w:val="26"/>
                                </w:rPr>
                                <w:t>turistas </w:t>
                              </w:r>
                              <w:r>
                                <w:rPr>
                                  <w:rFonts w:ascii="Segoe UI Semibold" w:hAnsi="Segoe UI Semibold"/>
                                  <w:b/>
                                  <w:i/>
                                  <w:color w:val="1A4796"/>
                                  <w:sz w:val="26"/>
                                </w:rPr>
                                <w:t>a Cuba, se estima que la cifra anual de visitantes estadounidenses a la</w:t>
                              </w:r>
                            </w:p>
                            <w:p>
                              <w:pPr>
                                <w:spacing w:line="220" w:lineRule="auto" w:before="4"/>
                                <w:ind w:left="1474" w:right="1118" w:firstLine="0"/>
                                <w:jc w:val="left"/>
                                <w:rPr>
                                  <w:rFonts w:ascii="Segoe UI Semibold" w:hAnsi="Segoe UI Semibold"/>
                                  <w:b/>
                                  <w:i/>
                                  <w:sz w:val="26"/>
                                </w:rPr>
                              </w:pPr>
                              <w:r>
                                <w:rPr>
                                  <w:rFonts w:ascii="Segoe UI Semibold" w:hAnsi="Segoe UI Semibold"/>
                                  <w:b/>
                                  <w:i/>
                                  <w:color w:val="1A4796"/>
                                  <w:sz w:val="26"/>
                                </w:rPr>
                                <w:t>Isla podría alcanzar al menos un</w:t>
                              </w:r>
                              <w:r>
                                <w:rPr>
                                  <w:rFonts w:ascii="Segoe UI Semibold" w:hAnsi="Segoe UI Semibold"/>
                                  <w:b/>
                                  <w:i/>
                                  <w:color w:val="1A4796"/>
                                  <w:sz w:val="26"/>
                                </w:rPr>
                                <w:t> millón</w:t>
                              </w:r>
                              <w:r>
                                <w:rPr>
                                  <w:rFonts w:ascii="Segoe UI Semibold" w:hAnsi="Segoe UI Semibold"/>
                                  <w:b/>
                                  <w:i/>
                                  <w:color w:val="1A4796"/>
                                  <w:spacing w:val="-8"/>
                                  <w:sz w:val="26"/>
                                </w:rPr>
                                <w:t> </w:t>
                              </w:r>
                              <w:r>
                                <w:rPr>
                                  <w:rFonts w:ascii="Segoe UI Semibold" w:hAnsi="Segoe UI Semibold"/>
                                  <w:b/>
                                  <w:i/>
                                  <w:color w:val="1A4796"/>
                                  <w:sz w:val="26"/>
                                </w:rPr>
                                <w:t>200</w:t>
                              </w:r>
                              <w:r>
                                <w:rPr>
                                  <w:rFonts w:ascii="Segoe UI Semibold" w:hAnsi="Segoe UI Semibold"/>
                                  <w:b/>
                                  <w:i/>
                                  <w:color w:val="1A4796"/>
                                  <w:spacing w:val="-8"/>
                                  <w:sz w:val="26"/>
                                </w:rPr>
                                <w:t> </w:t>
                              </w:r>
                              <w:r>
                                <w:rPr>
                                  <w:rFonts w:ascii="Segoe UI Semibold" w:hAnsi="Segoe UI Semibold"/>
                                  <w:b/>
                                  <w:i/>
                                  <w:color w:val="1A4796"/>
                                  <w:sz w:val="26"/>
                                </w:rPr>
                                <w:t>mil,</w:t>
                              </w:r>
                              <w:r>
                                <w:rPr>
                                  <w:rFonts w:ascii="Segoe UI Semibold" w:hAnsi="Segoe UI Semibold"/>
                                  <w:b/>
                                  <w:i/>
                                  <w:color w:val="1A4796"/>
                                  <w:spacing w:val="-8"/>
                                  <w:sz w:val="26"/>
                                </w:rPr>
                                <w:t> </w:t>
                              </w:r>
                              <w:r>
                                <w:rPr>
                                  <w:rFonts w:ascii="Segoe UI Semibold" w:hAnsi="Segoe UI Semibold"/>
                                  <w:b/>
                                  <w:i/>
                                  <w:color w:val="1A4796"/>
                                  <w:sz w:val="26"/>
                                </w:rPr>
                                <w:t>lo</w:t>
                              </w:r>
                              <w:r>
                                <w:rPr>
                                  <w:rFonts w:ascii="Segoe UI Semibold" w:hAnsi="Segoe UI Semibold"/>
                                  <w:b/>
                                  <w:i/>
                                  <w:color w:val="1A4796"/>
                                  <w:spacing w:val="-8"/>
                                  <w:sz w:val="26"/>
                                </w:rPr>
                                <w:t> </w:t>
                              </w:r>
                              <w:r>
                                <w:rPr>
                                  <w:rFonts w:ascii="Segoe UI Semibold" w:hAnsi="Segoe UI Semibold"/>
                                  <w:b/>
                                  <w:i/>
                                  <w:color w:val="1A4796"/>
                                  <w:sz w:val="26"/>
                                </w:rPr>
                                <w:t>que</w:t>
                              </w:r>
                              <w:r>
                                <w:rPr>
                                  <w:rFonts w:ascii="Segoe UI Semibold" w:hAnsi="Segoe UI Semibold"/>
                                  <w:b/>
                                  <w:i/>
                                  <w:color w:val="1A4796"/>
                                  <w:spacing w:val="-8"/>
                                  <w:sz w:val="26"/>
                                </w:rPr>
                                <w:t> </w:t>
                              </w:r>
                              <w:r>
                                <w:rPr>
                                  <w:rFonts w:ascii="Segoe UI Semibold" w:hAnsi="Segoe UI Semibold"/>
                                  <w:b/>
                                  <w:i/>
                                  <w:color w:val="1A4796"/>
                                  <w:sz w:val="26"/>
                                </w:rPr>
                                <w:t>convertiría</w:t>
                              </w:r>
                              <w:r>
                                <w:rPr>
                                  <w:rFonts w:ascii="Segoe UI Semibold" w:hAnsi="Segoe UI Semibold"/>
                                  <w:b/>
                                  <w:i/>
                                  <w:color w:val="1A4796"/>
                                  <w:spacing w:val="-8"/>
                                  <w:sz w:val="26"/>
                                </w:rPr>
                                <w:t> </w:t>
                              </w:r>
                              <w:r>
                                <w:rPr>
                                  <w:rFonts w:ascii="Segoe UI Semibold" w:hAnsi="Segoe UI Semibold"/>
                                  <w:b/>
                                  <w:i/>
                                  <w:color w:val="1A4796"/>
                                  <w:sz w:val="26"/>
                                </w:rPr>
                                <w:t>a los Estados Unidos en el principal </w:t>
                              </w:r>
                              <w:r>
                                <w:rPr>
                                  <w:rFonts w:ascii="Segoe UI Semibold" w:hAnsi="Segoe UI Semibold"/>
                                  <w:b/>
                                  <w:i/>
                                  <w:color w:val="1A4796"/>
                                  <w:spacing w:val="-2"/>
                                  <w:sz w:val="26"/>
                                </w:rPr>
                                <w:t>mercado</w:t>
                              </w:r>
                              <w:r>
                                <w:rPr>
                                  <w:rFonts w:ascii="Segoe UI Semibold" w:hAnsi="Segoe UI Semibold"/>
                                  <w:b/>
                                  <w:i/>
                                  <w:color w:val="1A4796"/>
                                  <w:spacing w:val="-16"/>
                                  <w:sz w:val="26"/>
                                </w:rPr>
                                <w:t> </w:t>
                              </w:r>
                              <w:r>
                                <w:rPr>
                                  <w:rFonts w:ascii="Segoe UI Semibold" w:hAnsi="Segoe UI Semibold"/>
                                  <w:b/>
                                  <w:i/>
                                  <w:color w:val="1A4796"/>
                                  <w:spacing w:val="-2"/>
                                  <w:sz w:val="26"/>
                                </w:rPr>
                                <w:t>emisor</w:t>
                              </w:r>
                              <w:r>
                                <w:rPr>
                                  <w:rFonts w:ascii="Segoe UI Semibold" w:hAnsi="Segoe UI Semibold"/>
                                  <w:b/>
                                  <w:i/>
                                  <w:color w:val="1A4796"/>
                                  <w:spacing w:val="-16"/>
                                  <w:sz w:val="26"/>
                                </w:rPr>
                                <w:t> </w:t>
                              </w:r>
                              <w:r>
                                <w:rPr>
                                  <w:rFonts w:ascii="Segoe UI Semibold" w:hAnsi="Segoe UI Semibold"/>
                                  <w:b/>
                                  <w:i/>
                                  <w:color w:val="1A4796"/>
                                  <w:spacing w:val="-2"/>
                                  <w:sz w:val="26"/>
                                </w:rPr>
                                <w:t>de</w:t>
                              </w:r>
                              <w:r>
                                <w:rPr>
                                  <w:rFonts w:ascii="Segoe UI Semibold" w:hAnsi="Segoe UI Semibold"/>
                                  <w:b/>
                                  <w:i/>
                                  <w:color w:val="1A4796"/>
                                  <w:spacing w:val="-16"/>
                                  <w:sz w:val="26"/>
                                </w:rPr>
                                <w:t> </w:t>
                              </w:r>
                              <w:r>
                                <w:rPr>
                                  <w:rFonts w:ascii="Segoe UI Semibold" w:hAnsi="Segoe UI Semibold"/>
                                  <w:b/>
                                  <w:i/>
                                  <w:color w:val="1A4796"/>
                                  <w:spacing w:val="-2"/>
                                  <w:sz w:val="26"/>
                                </w:rPr>
                                <w:t>viajeros</w:t>
                              </w:r>
                              <w:r>
                                <w:rPr>
                                  <w:rFonts w:ascii="Segoe UI Semibold" w:hAnsi="Segoe UI Semibold"/>
                                  <w:b/>
                                  <w:i/>
                                  <w:color w:val="1A4796"/>
                                  <w:spacing w:val="-16"/>
                                  <w:sz w:val="26"/>
                                </w:rPr>
                                <w:t> </w:t>
                              </w:r>
                              <w:r>
                                <w:rPr>
                                  <w:rFonts w:ascii="Segoe UI Semibold" w:hAnsi="Segoe UI Semibold"/>
                                  <w:b/>
                                  <w:i/>
                                  <w:color w:val="1A4796"/>
                                  <w:spacing w:val="-2"/>
                                  <w:sz w:val="26"/>
                                </w:rPr>
                                <w:t>hacia</w:t>
                              </w:r>
                              <w:r>
                                <w:rPr>
                                  <w:rFonts w:ascii="Segoe UI Semibold" w:hAnsi="Segoe UI Semibold"/>
                                  <w:b/>
                                  <w:i/>
                                  <w:color w:val="1A4796"/>
                                  <w:spacing w:val="-16"/>
                                  <w:sz w:val="26"/>
                                </w:rPr>
                                <w:t> </w:t>
                              </w:r>
                              <w:r>
                                <w:rPr>
                                  <w:rFonts w:ascii="Segoe UI Semibold" w:hAnsi="Segoe UI Semibold"/>
                                  <w:b/>
                                  <w:i/>
                                  <w:color w:val="1A4796"/>
                                  <w:spacing w:val="-2"/>
                                  <w:sz w:val="26"/>
                                </w:rPr>
                                <w:t>la </w:t>
                              </w:r>
                              <w:r>
                                <w:rPr>
                                  <w:rFonts w:ascii="Segoe UI Semibold" w:hAnsi="Segoe UI Semibold"/>
                                  <w:b/>
                                  <w:i/>
                                  <w:color w:val="1A4796"/>
                                  <w:sz w:val="26"/>
                                </w:rPr>
                                <w:t>nación antillana. Si a esta cifra se</w:t>
                              </w:r>
                              <w:r>
                                <w:rPr>
                                  <w:rFonts w:ascii="Segoe UI Semibold" w:hAnsi="Segoe UI Semibold"/>
                                  <w:b/>
                                  <w:i/>
                                  <w:color w:val="1A4796"/>
                                  <w:sz w:val="26"/>
                                </w:rPr>
                                <w:t> le</w:t>
                              </w:r>
                              <w:r>
                                <w:rPr>
                                  <w:rFonts w:ascii="Segoe UI Semibold" w:hAnsi="Segoe UI Semibold"/>
                                  <w:b/>
                                  <w:i/>
                                  <w:color w:val="1A4796"/>
                                  <w:spacing w:val="-5"/>
                                  <w:sz w:val="26"/>
                                </w:rPr>
                                <w:t> </w:t>
                              </w:r>
                              <w:r>
                                <w:rPr>
                                  <w:rFonts w:ascii="Segoe UI Semibold" w:hAnsi="Segoe UI Semibold"/>
                                  <w:b/>
                                  <w:i/>
                                  <w:color w:val="1A4796"/>
                                  <w:sz w:val="26"/>
                                </w:rPr>
                                <w:t>restan</w:t>
                              </w:r>
                              <w:r>
                                <w:rPr>
                                  <w:rFonts w:ascii="Segoe UI Semibold" w:hAnsi="Segoe UI Semibold"/>
                                  <w:b/>
                                  <w:i/>
                                  <w:color w:val="1A4796"/>
                                  <w:spacing w:val="-5"/>
                                  <w:sz w:val="26"/>
                                </w:rPr>
                                <w:t> </w:t>
                              </w:r>
                              <w:r>
                                <w:rPr>
                                  <w:rFonts w:ascii="Segoe UI Semibold" w:hAnsi="Segoe UI Semibold"/>
                                  <w:b/>
                                  <w:i/>
                                  <w:color w:val="1A4796"/>
                                  <w:sz w:val="26"/>
                                </w:rPr>
                                <w:t>los</w:t>
                              </w:r>
                              <w:r>
                                <w:rPr>
                                  <w:rFonts w:ascii="Segoe UI Semibold" w:hAnsi="Segoe UI Semibold"/>
                                  <w:b/>
                                  <w:i/>
                                  <w:color w:val="1A4796"/>
                                  <w:spacing w:val="-5"/>
                                  <w:sz w:val="26"/>
                                </w:rPr>
                                <w:t> </w:t>
                              </w:r>
                              <w:r>
                                <w:rPr>
                                  <w:rFonts w:ascii="Segoe UI Semibold" w:hAnsi="Segoe UI Semibold"/>
                                  <w:b/>
                                  <w:i/>
                                  <w:color w:val="1A4796"/>
                                  <w:sz w:val="26"/>
                                </w:rPr>
                                <w:t>que</w:t>
                              </w:r>
                              <w:r>
                                <w:rPr>
                                  <w:rFonts w:ascii="Segoe UI Semibold" w:hAnsi="Segoe UI Semibold"/>
                                  <w:b/>
                                  <w:i/>
                                  <w:color w:val="1A4796"/>
                                  <w:spacing w:val="-5"/>
                                  <w:sz w:val="26"/>
                                </w:rPr>
                                <w:t> </w:t>
                              </w:r>
                              <w:r>
                                <w:rPr>
                                  <w:rFonts w:ascii="Segoe UI Semibold" w:hAnsi="Segoe UI Semibold"/>
                                  <w:b/>
                                  <w:i/>
                                  <w:color w:val="1A4796"/>
                                  <w:sz w:val="26"/>
                                </w:rPr>
                                <w:t>sí</w:t>
                              </w:r>
                              <w:r>
                                <w:rPr>
                                  <w:rFonts w:ascii="Segoe UI Semibold" w:hAnsi="Segoe UI Semibold"/>
                                  <w:b/>
                                  <w:i/>
                                  <w:color w:val="1A4796"/>
                                  <w:spacing w:val="-5"/>
                                  <w:sz w:val="26"/>
                                </w:rPr>
                                <w:t> </w:t>
                              </w:r>
                              <w:r>
                                <w:rPr>
                                  <w:rFonts w:ascii="Segoe UI Semibold" w:hAnsi="Segoe UI Semibold"/>
                                  <w:b/>
                                  <w:i/>
                                  <w:color w:val="1A4796"/>
                                  <w:sz w:val="26"/>
                                </w:rPr>
                                <w:t>viajaron</w:t>
                              </w:r>
                              <w:r>
                                <w:rPr>
                                  <w:rFonts w:ascii="Segoe UI Semibold" w:hAnsi="Segoe UI Semibold"/>
                                  <w:b/>
                                  <w:i/>
                                  <w:color w:val="1A4796"/>
                                  <w:spacing w:val="-5"/>
                                  <w:sz w:val="26"/>
                                </w:rPr>
                                <w:t> </w:t>
                              </w:r>
                              <w:r>
                                <w:rPr>
                                  <w:rFonts w:ascii="Segoe UI Semibold" w:hAnsi="Segoe UI Semibold"/>
                                  <w:b/>
                                  <w:i/>
                                  <w:color w:val="1A4796"/>
                                  <w:sz w:val="26"/>
                                </w:rPr>
                                <w:t>a</w:t>
                              </w:r>
                              <w:r>
                                <w:rPr>
                                  <w:rFonts w:ascii="Segoe UI Semibold" w:hAnsi="Segoe UI Semibold"/>
                                  <w:b/>
                                  <w:i/>
                                  <w:color w:val="1A4796"/>
                                  <w:spacing w:val="-5"/>
                                  <w:sz w:val="26"/>
                                </w:rPr>
                                <w:t> </w:t>
                              </w:r>
                              <w:r>
                                <w:rPr>
                                  <w:rFonts w:ascii="Segoe UI Semibold" w:hAnsi="Segoe UI Semibold"/>
                                  <w:b/>
                                  <w:i/>
                                  <w:color w:val="1A4796"/>
                                  <w:sz w:val="26"/>
                                </w:rPr>
                                <w:t>Cuba en el período de análisis de este</w:t>
                              </w:r>
                            </w:p>
                            <w:p>
                              <w:pPr>
                                <w:spacing w:line="220" w:lineRule="auto" w:before="6"/>
                                <w:ind w:left="1474" w:right="922" w:firstLine="0"/>
                                <w:jc w:val="left"/>
                                <w:rPr>
                                  <w:rFonts w:ascii="Segoe UI Semibold" w:hAnsi="Segoe UI Semibold"/>
                                  <w:b/>
                                  <w:i/>
                                  <w:sz w:val="26"/>
                                </w:rPr>
                              </w:pPr>
                              <w:r>
                                <w:rPr>
                                  <w:rFonts w:ascii="Segoe UI Semibold" w:hAnsi="Segoe UI Semibold"/>
                                  <w:b/>
                                  <w:i/>
                                  <w:color w:val="1A4796"/>
                                  <w:sz w:val="26"/>
                                </w:rPr>
                                <w:t>informe (117 mil 825), se calcula que</w:t>
                              </w:r>
                              <w:r>
                                <w:rPr>
                                  <w:rFonts w:ascii="Segoe UI Semibold" w:hAnsi="Segoe UI Semibold"/>
                                  <w:b/>
                                  <w:i/>
                                  <w:color w:val="1A4796"/>
                                  <w:sz w:val="26"/>
                                </w:rPr>
                                <w:t> aproximadamente</w:t>
                              </w:r>
                              <w:r>
                                <w:rPr>
                                  <w:rFonts w:ascii="Segoe UI Semibold" w:hAnsi="Segoe UI Semibold"/>
                                  <w:b/>
                                  <w:i/>
                                  <w:color w:val="1A4796"/>
                                  <w:spacing w:val="-18"/>
                                  <w:sz w:val="26"/>
                                </w:rPr>
                                <w:t> </w:t>
                              </w:r>
                              <w:r>
                                <w:rPr>
                                  <w:rFonts w:ascii="Segoe UI Semibold" w:hAnsi="Segoe UI Semibold"/>
                                  <w:b/>
                                  <w:i/>
                                  <w:color w:val="1A4796"/>
                                  <w:sz w:val="26"/>
                                </w:rPr>
                                <w:t>1</w:t>
                              </w:r>
                              <w:r>
                                <w:rPr>
                                  <w:rFonts w:ascii="Segoe UI Semibold" w:hAnsi="Segoe UI Semibold"/>
                                  <w:b/>
                                  <w:i/>
                                  <w:color w:val="1A4796"/>
                                  <w:spacing w:val="-18"/>
                                  <w:sz w:val="26"/>
                                </w:rPr>
                                <w:t> </w:t>
                              </w:r>
                              <w:r>
                                <w:rPr>
                                  <w:rFonts w:ascii="Segoe UI Semibold" w:hAnsi="Segoe UI Semibold"/>
                                  <w:b/>
                                  <w:i/>
                                  <w:color w:val="1A4796"/>
                                  <w:sz w:val="26"/>
                                </w:rPr>
                                <w:t>millón</w:t>
                              </w:r>
                              <w:r>
                                <w:rPr>
                                  <w:rFonts w:ascii="Segoe UI Semibold" w:hAnsi="Segoe UI Semibold"/>
                                  <w:b/>
                                  <w:i/>
                                  <w:color w:val="1A4796"/>
                                  <w:spacing w:val="-18"/>
                                  <w:sz w:val="26"/>
                                </w:rPr>
                                <w:t> </w:t>
                              </w:r>
                              <w:r>
                                <w:rPr>
                                  <w:rFonts w:ascii="Segoe UI Semibold" w:hAnsi="Segoe UI Semibold"/>
                                  <w:b/>
                                  <w:i/>
                                  <w:color w:val="1A4796"/>
                                  <w:sz w:val="26"/>
                                </w:rPr>
                                <w:t>82</w:t>
                              </w:r>
                              <w:r>
                                <w:rPr>
                                  <w:rFonts w:ascii="Segoe UI Semibold" w:hAnsi="Segoe UI Semibold"/>
                                  <w:b/>
                                  <w:i/>
                                  <w:color w:val="1A4796"/>
                                  <w:spacing w:val="-18"/>
                                  <w:sz w:val="26"/>
                                </w:rPr>
                                <w:t> </w:t>
                              </w:r>
                              <w:r>
                                <w:rPr>
                                  <w:rFonts w:ascii="Segoe UI Semibold" w:hAnsi="Segoe UI Semibold"/>
                                  <w:b/>
                                  <w:i/>
                                  <w:color w:val="1A4796"/>
                                  <w:sz w:val="26"/>
                                </w:rPr>
                                <w:t>mil</w:t>
                              </w:r>
                              <w:r>
                                <w:rPr>
                                  <w:rFonts w:ascii="Segoe UI Semibold" w:hAnsi="Segoe UI Semibold"/>
                                  <w:b/>
                                  <w:i/>
                                  <w:color w:val="1A4796"/>
                                  <w:spacing w:val="-18"/>
                                  <w:sz w:val="26"/>
                                </w:rPr>
                                <w:t> </w:t>
                              </w:r>
                              <w:r>
                                <w:rPr>
                                  <w:rFonts w:ascii="Segoe UI Semibold" w:hAnsi="Segoe UI Semibold"/>
                                  <w:b/>
                                  <w:i/>
                                  <w:color w:val="1A4796"/>
                                  <w:sz w:val="26"/>
                                </w:rPr>
                                <w:t>175 personas procedentes de los Estados Unidos no visitaron el país debido al bloqueo.</w:t>
                              </w:r>
                              <w:r>
                                <w:rPr>
                                  <w:rFonts w:ascii="Segoe UI Semibold" w:hAnsi="Segoe UI Semibold"/>
                                  <w:b/>
                                  <w:i/>
                                  <w:color w:val="1A4796"/>
                                  <w:spacing w:val="-17"/>
                                  <w:sz w:val="26"/>
                                </w:rPr>
                                <w:t> </w:t>
                              </w:r>
                              <w:r>
                                <w:rPr>
                                  <w:rFonts w:ascii="Segoe UI Semibold" w:hAnsi="Segoe UI Semibold"/>
                                  <w:b/>
                                  <w:i/>
                                  <w:color w:val="1A4796"/>
                                  <w:sz w:val="26"/>
                                </w:rPr>
                                <w:t>De</w:t>
                              </w:r>
                              <w:r>
                                <w:rPr>
                                  <w:rFonts w:ascii="Segoe UI Semibold" w:hAnsi="Segoe UI Semibold"/>
                                  <w:b/>
                                  <w:i/>
                                  <w:color w:val="1A4796"/>
                                  <w:spacing w:val="-17"/>
                                  <w:sz w:val="26"/>
                                </w:rPr>
                                <w:t> </w:t>
                              </w:r>
                              <w:r>
                                <w:rPr>
                                  <w:rFonts w:ascii="Segoe UI Semibold" w:hAnsi="Segoe UI Semibold"/>
                                  <w:b/>
                                  <w:i/>
                                  <w:color w:val="1A4796"/>
                                  <w:sz w:val="26"/>
                                </w:rPr>
                                <w:t>haberlo</w:t>
                              </w:r>
                              <w:r>
                                <w:rPr>
                                  <w:rFonts w:ascii="Segoe UI Semibold" w:hAnsi="Segoe UI Semibold"/>
                                  <w:b/>
                                  <w:i/>
                                  <w:color w:val="1A4796"/>
                                  <w:spacing w:val="-17"/>
                                  <w:sz w:val="26"/>
                                </w:rPr>
                                <w:t> </w:t>
                              </w:r>
                              <w:r>
                                <w:rPr>
                                  <w:rFonts w:ascii="Segoe UI Semibold" w:hAnsi="Segoe UI Semibold"/>
                                  <w:b/>
                                  <w:i/>
                                  <w:color w:val="1A4796"/>
                                  <w:sz w:val="26"/>
                                </w:rPr>
                                <w:t>hecho,</w:t>
                              </w:r>
                              <w:r>
                                <w:rPr>
                                  <w:rFonts w:ascii="Segoe UI Semibold" w:hAnsi="Segoe UI Semibold"/>
                                  <w:b/>
                                  <w:i/>
                                  <w:color w:val="1A4796"/>
                                  <w:spacing w:val="-17"/>
                                  <w:sz w:val="26"/>
                                </w:rPr>
                                <w:t> </w:t>
                              </w:r>
                              <w:r>
                                <w:rPr>
                                  <w:rFonts w:ascii="Segoe UI Semibold" w:hAnsi="Segoe UI Semibold"/>
                                  <w:b/>
                                  <w:i/>
                                  <w:color w:val="1A4796"/>
                                  <w:sz w:val="26"/>
                                </w:rPr>
                                <w:t>se</w:t>
                              </w:r>
                              <w:r>
                                <w:rPr>
                                  <w:rFonts w:ascii="Segoe UI Semibold" w:hAnsi="Segoe UI Semibold"/>
                                  <w:b/>
                                  <w:i/>
                                  <w:color w:val="1A4796"/>
                                  <w:spacing w:val="-17"/>
                                  <w:sz w:val="26"/>
                                </w:rPr>
                                <w:t> </w:t>
                              </w:r>
                              <w:r>
                                <w:rPr>
                                  <w:rFonts w:ascii="Segoe UI Semibold" w:hAnsi="Segoe UI Semibold"/>
                                  <w:b/>
                                  <w:i/>
                                  <w:color w:val="1A4796"/>
                                  <w:sz w:val="26"/>
                                </w:rPr>
                                <w:t>estima que la industria turística cubana </w:t>
                              </w:r>
                              <w:r>
                                <w:rPr>
                                  <w:rFonts w:ascii="Segoe UI Semibold" w:hAnsi="Segoe UI Semibold"/>
                                  <w:b/>
                                  <w:i/>
                                  <w:color w:val="1A4796"/>
                                  <w:spacing w:val="-2"/>
                                  <w:sz w:val="26"/>
                                </w:rPr>
                                <w:t>habría</w:t>
                              </w:r>
                              <w:r>
                                <w:rPr>
                                  <w:rFonts w:ascii="Segoe UI Semibold" w:hAnsi="Segoe UI Semibold"/>
                                  <w:b/>
                                  <w:i/>
                                  <w:color w:val="1A4796"/>
                                  <w:spacing w:val="-13"/>
                                  <w:sz w:val="26"/>
                                </w:rPr>
                                <w:t> </w:t>
                              </w:r>
                              <w:r>
                                <w:rPr>
                                  <w:rFonts w:ascii="Segoe UI Semibold" w:hAnsi="Segoe UI Semibold"/>
                                  <w:b/>
                                  <w:i/>
                                  <w:color w:val="1A4796"/>
                                  <w:spacing w:val="-2"/>
                                  <w:sz w:val="26"/>
                                </w:rPr>
                                <w:t>ingresado</w:t>
                              </w:r>
                              <w:r>
                                <w:rPr>
                                  <w:rFonts w:ascii="Segoe UI Semibold" w:hAnsi="Segoe UI Semibold"/>
                                  <w:b/>
                                  <w:i/>
                                  <w:color w:val="1A4796"/>
                                  <w:spacing w:val="-13"/>
                                  <w:sz w:val="26"/>
                                </w:rPr>
                                <w:t> </w:t>
                              </w:r>
                              <w:r>
                                <w:rPr>
                                  <w:rFonts w:ascii="Segoe UI Semibold" w:hAnsi="Segoe UI Semibold"/>
                                  <w:b/>
                                  <w:i/>
                                  <w:color w:val="1A4796"/>
                                  <w:spacing w:val="-2"/>
                                  <w:sz w:val="26"/>
                                </w:rPr>
                                <w:t>mil</w:t>
                              </w:r>
                              <w:r>
                                <w:rPr>
                                  <w:rFonts w:ascii="Segoe UI Semibold" w:hAnsi="Segoe UI Semibold"/>
                                  <w:b/>
                                  <w:i/>
                                  <w:color w:val="1A4796"/>
                                  <w:spacing w:val="-13"/>
                                  <w:sz w:val="26"/>
                                </w:rPr>
                                <w:t> </w:t>
                              </w:r>
                              <w:r>
                                <w:rPr>
                                  <w:rFonts w:ascii="Segoe UI Semibold" w:hAnsi="Segoe UI Semibold"/>
                                  <w:b/>
                                  <w:i/>
                                  <w:color w:val="1A4796"/>
                                  <w:spacing w:val="-2"/>
                                  <w:sz w:val="26"/>
                                </w:rPr>
                                <w:t>1</w:t>
                              </w:r>
                              <w:r>
                                <w:rPr>
                                  <w:rFonts w:ascii="Segoe UI Semibold" w:hAnsi="Segoe UI Semibold"/>
                                  <w:b/>
                                  <w:i/>
                                  <w:color w:val="1A4796"/>
                                  <w:spacing w:val="-13"/>
                                  <w:sz w:val="26"/>
                                </w:rPr>
                                <w:t> </w:t>
                              </w:r>
                              <w:r>
                                <w:rPr>
                                  <w:rFonts w:ascii="Segoe UI Semibold" w:hAnsi="Segoe UI Semibold"/>
                                  <w:b/>
                                  <w:i/>
                                  <w:color w:val="1A4796"/>
                                  <w:spacing w:val="-2"/>
                                  <w:sz w:val="26"/>
                                </w:rPr>
                                <w:t>millones</w:t>
                              </w:r>
                              <w:r>
                                <w:rPr>
                                  <w:rFonts w:ascii="Segoe UI Semibold" w:hAnsi="Segoe UI Semibold"/>
                                  <w:b/>
                                  <w:i/>
                                  <w:color w:val="1A4796"/>
                                  <w:spacing w:val="-13"/>
                                  <w:sz w:val="26"/>
                                </w:rPr>
                                <w:t> </w:t>
                              </w:r>
                              <w:r>
                                <w:rPr>
                                  <w:rFonts w:ascii="Segoe UI Semibold" w:hAnsi="Segoe UI Semibold"/>
                                  <w:b/>
                                  <w:i/>
                                  <w:color w:val="1A4796"/>
                                  <w:spacing w:val="-2"/>
                                  <w:sz w:val="26"/>
                                </w:rPr>
                                <w:t>11</w:t>
                              </w:r>
                              <w:r>
                                <w:rPr>
                                  <w:rFonts w:ascii="Segoe UI Semibold" w:hAnsi="Segoe UI Semibold"/>
                                  <w:b/>
                                  <w:i/>
                                  <w:color w:val="1A4796"/>
                                  <w:spacing w:val="-13"/>
                                  <w:sz w:val="26"/>
                                </w:rPr>
                                <w:t> </w:t>
                              </w:r>
                              <w:r>
                                <w:rPr>
                                  <w:rFonts w:ascii="Segoe UI Semibold" w:hAnsi="Segoe UI Semibold"/>
                                  <w:b/>
                                  <w:i/>
                                  <w:color w:val="1A4796"/>
                                  <w:spacing w:val="-2"/>
                                  <w:sz w:val="26"/>
                                </w:rPr>
                                <w:t>mil 875</w:t>
                              </w:r>
                              <w:r>
                                <w:rPr>
                                  <w:rFonts w:ascii="Segoe UI Semibold" w:hAnsi="Segoe UI Semibold"/>
                                  <w:b/>
                                  <w:i/>
                                  <w:color w:val="1A4796"/>
                                  <w:spacing w:val="-16"/>
                                  <w:sz w:val="26"/>
                                </w:rPr>
                                <w:t> </w:t>
                              </w:r>
                              <w:r>
                                <w:rPr>
                                  <w:rFonts w:ascii="Segoe UI Semibold" w:hAnsi="Segoe UI Semibold"/>
                                  <w:b/>
                                  <w:i/>
                                  <w:color w:val="1A4796"/>
                                  <w:spacing w:val="-2"/>
                                  <w:sz w:val="26"/>
                                </w:rPr>
                                <w:t>dólares</w:t>
                              </w:r>
                              <w:r>
                                <w:rPr>
                                  <w:rFonts w:ascii="Segoe UI Semibold" w:hAnsi="Segoe UI Semibold"/>
                                  <w:b/>
                                  <w:i/>
                                  <w:color w:val="1A4796"/>
                                  <w:spacing w:val="-16"/>
                                  <w:sz w:val="26"/>
                                </w:rPr>
                                <w:t> </w:t>
                              </w:r>
                              <w:r>
                                <w:rPr>
                                  <w:rFonts w:ascii="Segoe UI Semibold" w:hAnsi="Segoe UI Semibold"/>
                                  <w:b/>
                                  <w:i/>
                                  <w:color w:val="1A4796"/>
                                  <w:spacing w:val="-2"/>
                                  <w:sz w:val="26"/>
                                </w:rPr>
                                <w:t>provenientes</w:t>
                              </w:r>
                              <w:r>
                                <w:rPr>
                                  <w:rFonts w:ascii="Segoe UI Semibold" w:hAnsi="Segoe UI Semibold"/>
                                  <w:b/>
                                  <w:i/>
                                  <w:color w:val="1A4796"/>
                                  <w:spacing w:val="-16"/>
                                  <w:sz w:val="26"/>
                                </w:rPr>
                                <w:t> </w:t>
                              </w:r>
                              <w:r>
                                <w:rPr>
                                  <w:rFonts w:ascii="Segoe UI Semibold" w:hAnsi="Segoe UI Semibold"/>
                                  <w:b/>
                                  <w:i/>
                                  <w:color w:val="1A4796"/>
                                  <w:spacing w:val="-2"/>
                                  <w:sz w:val="26"/>
                                </w:rPr>
                                <w:t>del</w:t>
                              </w:r>
                              <w:r>
                                <w:rPr>
                                  <w:rFonts w:ascii="Segoe UI Semibold" w:hAnsi="Segoe UI Semibold"/>
                                  <w:b/>
                                  <w:i/>
                                  <w:color w:val="1A4796"/>
                                  <w:spacing w:val="-16"/>
                                  <w:sz w:val="26"/>
                                </w:rPr>
                                <w:t> </w:t>
                              </w:r>
                              <w:r>
                                <w:rPr>
                                  <w:rFonts w:ascii="Segoe UI Semibold" w:hAnsi="Segoe UI Semibold"/>
                                  <w:b/>
                                  <w:i/>
                                  <w:color w:val="1A4796"/>
                                  <w:spacing w:val="-2"/>
                                  <w:sz w:val="26"/>
                                </w:rPr>
                                <w:t>mercado estadounidense.</w:t>
                              </w:r>
                            </w:p>
                          </w:txbxContent>
                        </wps:txbx>
                        <wps:bodyPr wrap="square" lIns="0" tIns="0" rIns="0" bIns="0" rtlCol="0">
                          <a:noAutofit/>
                        </wps:bodyPr>
                      </wps:wsp>
                    </wpg:wgp>
                  </a:graphicData>
                </a:graphic>
              </wp:anchor>
            </w:drawing>
          </mc:Choice>
          <mc:Fallback>
            <w:pict>
              <v:group style="position:absolute;margin-left:0pt;margin-top:208.037994pt;width:335.65pt;height:377.1pt;mso-position-horizontal-relative:page;mso-position-vertical-relative:paragraph;z-index:15749120" id="docshapegroup45" coordorigin="0,4161" coordsize="6713,7542">
                <v:rect style="position:absolute;left:0;top:4160;width:6713;height:7542" id="docshape46" filled="true" fillcolor="#e0e2e2" stroked="false">
                  <v:fill type="solid"/>
                </v:rect>
                <v:shape style="position:absolute;left:0;top:4160;width:6713;height:7542" type="#_x0000_t202" id="docshape47" filled="false" stroked="false">
                  <v:textbox inset="0,0,0,0">
                    <w:txbxContent>
                      <w:p>
                        <w:pPr>
                          <w:spacing w:line="240" w:lineRule="auto" w:before="50"/>
                          <w:rPr>
                            <w:sz w:val="26"/>
                          </w:rPr>
                        </w:pPr>
                      </w:p>
                      <w:p>
                        <w:pPr>
                          <w:spacing w:line="220" w:lineRule="auto" w:before="0"/>
                          <w:ind w:left="1474" w:right="790" w:firstLine="0"/>
                          <w:jc w:val="left"/>
                          <w:rPr>
                            <w:rFonts w:ascii="Segoe UI Semibold" w:hAnsi="Segoe UI Semibold"/>
                            <w:b/>
                            <w:i/>
                            <w:sz w:val="26"/>
                          </w:rPr>
                        </w:pPr>
                        <w:r>
                          <w:rPr>
                            <w:rFonts w:ascii="Segoe UI Semibold" w:hAnsi="Segoe UI Semibold"/>
                            <w:b/>
                            <w:i/>
                            <w:color w:val="1A4796"/>
                            <w:sz w:val="26"/>
                          </w:rPr>
                          <w:t>De no existir el bloqueo y la</w:t>
                        </w:r>
                        <w:r>
                          <w:rPr>
                            <w:rFonts w:ascii="Segoe UI Semibold" w:hAnsi="Segoe UI Semibold"/>
                            <w:b/>
                            <w:i/>
                            <w:color w:val="1A4796"/>
                            <w:sz w:val="26"/>
                          </w:rPr>
                          <w:t> prohibición a los nacionales de los </w:t>
                        </w:r>
                        <w:r>
                          <w:rPr>
                            <w:rFonts w:ascii="Segoe UI Semibold" w:hAnsi="Segoe UI Semibold"/>
                            <w:b/>
                            <w:i/>
                            <w:color w:val="1A4796"/>
                            <w:spacing w:val="-2"/>
                            <w:sz w:val="26"/>
                          </w:rPr>
                          <w:t>Estados</w:t>
                        </w:r>
                        <w:r>
                          <w:rPr>
                            <w:rFonts w:ascii="Segoe UI Semibold" w:hAnsi="Segoe UI Semibold"/>
                            <w:b/>
                            <w:i/>
                            <w:color w:val="1A4796"/>
                            <w:spacing w:val="-16"/>
                            <w:sz w:val="26"/>
                          </w:rPr>
                          <w:t> </w:t>
                        </w:r>
                        <w:r>
                          <w:rPr>
                            <w:rFonts w:ascii="Segoe UI Semibold" w:hAnsi="Segoe UI Semibold"/>
                            <w:b/>
                            <w:i/>
                            <w:color w:val="1A4796"/>
                            <w:spacing w:val="-2"/>
                            <w:sz w:val="26"/>
                          </w:rPr>
                          <w:t>Unidos</w:t>
                        </w:r>
                        <w:r>
                          <w:rPr>
                            <w:rFonts w:ascii="Segoe UI Semibold" w:hAnsi="Segoe UI Semibold"/>
                            <w:b/>
                            <w:i/>
                            <w:color w:val="1A4796"/>
                            <w:spacing w:val="-16"/>
                            <w:sz w:val="26"/>
                          </w:rPr>
                          <w:t> </w:t>
                        </w:r>
                        <w:r>
                          <w:rPr>
                            <w:rFonts w:ascii="Segoe UI Semibold" w:hAnsi="Segoe UI Semibold"/>
                            <w:b/>
                            <w:i/>
                            <w:color w:val="1A4796"/>
                            <w:spacing w:val="-2"/>
                            <w:sz w:val="26"/>
                          </w:rPr>
                          <w:t>de</w:t>
                        </w:r>
                        <w:r>
                          <w:rPr>
                            <w:rFonts w:ascii="Segoe UI Semibold" w:hAnsi="Segoe UI Semibold"/>
                            <w:b/>
                            <w:i/>
                            <w:color w:val="1A4796"/>
                            <w:spacing w:val="-15"/>
                            <w:sz w:val="26"/>
                          </w:rPr>
                          <w:t> </w:t>
                        </w:r>
                        <w:r>
                          <w:rPr>
                            <w:rFonts w:ascii="Segoe UI Semibold" w:hAnsi="Segoe UI Semibold"/>
                            <w:b/>
                            <w:i/>
                            <w:color w:val="1A4796"/>
                            <w:spacing w:val="-2"/>
                            <w:sz w:val="26"/>
                          </w:rPr>
                          <w:t>viajar</w:t>
                        </w:r>
                        <w:r>
                          <w:rPr>
                            <w:rFonts w:ascii="Segoe UI Semibold" w:hAnsi="Segoe UI Semibold"/>
                            <w:b/>
                            <w:i/>
                            <w:color w:val="1A4796"/>
                            <w:spacing w:val="-16"/>
                            <w:sz w:val="26"/>
                          </w:rPr>
                          <w:t> </w:t>
                        </w:r>
                        <w:r>
                          <w:rPr>
                            <w:rFonts w:ascii="Segoe UI Semibold" w:hAnsi="Segoe UI Semibold"/>
                            <w:b/>
                            <w:i/>
                            <w:color w:val="1A4796"/>
                            <w:spacing w:val="-2"/>
                            <w:sz w:val="26"/>
                          </w:rPr>
                          <w:t>como</w:t>
                        </w:r>
                        <w:r>
                          <w:rPr>
                            <w:rFonts w:ascii="Segoe UI Semibold" w:hAnsi="Segoe UI Semibold"/>
                            <w:b/>
                            <w:i/>
                            <w:color w:val="1A4796"/>
                            <w:spacing w:val="-16"/>
                            <w:sz w:val="26"/>
                          </w:rPr>
                          <w:t> </w:t>
                        </w:r>
                        <w:r>
                          <w:rPr>
                            <w:rFonts w:ascii="Segoe UI Semibold" w:hAnsi="Segoe UI Semibold"/>
                            <w:b/>
                            <w:i/>
                            <w:color w:val="1A4796"/>
                            <w:spacing w:val="-2"/>
                            <w:sz w:val="26"/>
                          </w:rPr>
                          <w:t>turistas </w:t>
                        </w:r>
                        <w:r>
                          <w:rPr>
                            <w:rFonts w:ascii="Segoe UI Semibold" w:hAnsi="Segoe UI Semibold"/>
                            <w:b/>
                            <w:i/>
                            <w:color w:val="1A4796"/>
                            <w:sz w:val="26"/>
                          </w:rPr>
                          <w:t>a Cuba, se estima que la cifra anual de visitantes estadounidenses a la</w:t>
                        </w:r>
                      </w:p>
                      <w:p>
                        <w:pPr>
                          <w:spacing w:line="220" w:lineRule="auto" w:before="4"/>
                          <w:ind w:left="1474" w:right="1118" w:firstLine="0"/>
                          <w:jc w:val="left"/>
                          <w:rPr>
                            <w:rFonts w:ascii="Segoe UI Semibold" w:hAnsi="Segoe UI Semibold"/>
                            <w:b/>
                            <w:i/>
                            <w:sz w:val="26"/>
                          </w:rPr>
                        </w:pPr>
                        <w:r>
                          <w:rPr>
                            <w:rFonts w:ascii="Segoe UI Semibold" w:hAnsi="Segoe UI Semibold"/>
                            <w:b/>
                            <w:i/>
                            <w:color w:val="1A4796"/>
                            <w:sz w:val="26"/>
                          </w:rPr>
                          <w:t>Isla podría alcanzar al menos un</w:t>
                        </w:r>
                        <w:r>
                          <w:rPr>
                            <w:rFonts w:ascii="Segoe UI Semibold" w:hAnsi="Segoe UI Semibold"/>
                            <w:b/>
                            <w:i/>
                            <w:color w:val="1A4796"/>
                            <w:sz w:val="26"/>
                          </w:rPr>
                          <w:t> millón</w:t>
                        </w:r>
                        <w:r>
                          <w:rPr>
                            <w:rFonts w:ascii="Segoe UI Semibold" w:hAnsi="Segoe UI Semibold"/>
                            <w:b/>
                            <w:i/>
                            <w:color w:val="1A4796"/>
                            <w:spacing w:val="-8"/>
                            <w:sz w:val="26"/>
                          </w:rPr>
                          <w:t> </w:t>
                        </w:r>
                        <w:r>
                          <w:rPr>
                            <w:rFonts w:ascii="Segoe UI Semibold" w:hAnsi="Segoe UI Semibold"/>
                            <w:b/>
                            <w:i/>
                            <w:color w:val="1A4796"/>
                            <w:sz w:val="26"/>
                          </w:rPr>
                          <w:t>200</w:t>
                        </w:r>
                        <w:r>
                          <w:rPr>
                            <w:rFonts w:ascii="Segoe UI Semibold" w:hAnsi="Segoe UI Semibold"/>
                            <w:b/>
                            <w:i/>
                            <w:color w:val="1A4796"/>
                            <w:spacing w:val="-8"/>
                            <w:sz w:val="26"/>
                          </w:rPr>
                          <w:t> </w:t>
                        </w:r>
                        <w:r>
                          <w:rPr>
                            <w:rFonts w:ascii="Segoe UI Semibold" w:hAnsi="Segoe UI Semibold"/>
                            <w:b/>
                            <w:i/>
                            <w:color w:val="1A4796"/>
                            <w:sz w:val="26"/>
                          </w:rPr>
                          <w:t>mil,</w:t>
                        </w:r>
                        <w:r>
                          <w:rPr>
                            <w:rFonts w:ascii="Segoe UI Semibold" w:hAnsi="Segoe UI Semibold"/>
                            <w:b/>
                            <w:i/>
                            <w:color w:val="1A4796"/>
                            <w:spacing w:val="-8"/>
                            <w:sz w:val="26"/>
                          </w:rPr>
                          <w:t> </w:t>
                        </w:r>
                        <w:r>
                          <w:rPr>
                            <w:rFonts w:ascii="Segoe UI Semibold" w:hAnsi="Segoe UI Semibold"/>
                            <w:b/>
                            <w:i/>
                            <w:color w:val="1A4796"/>
                            <w:sz w:val="26"/>
                          </w:rPr>
                          <w:t>lo</w:t>
                        </w:r>
                        <w:r>
                          <w:rPr>
                            <w:rFonts w:ascii="Segoe UI Semibold" w:hAnsi="Segoe UI Semibold"/>
                            <w:b/>
                            <w:i/>
                            <w:color w:val="1A4796"/>
                            <w:spacing w:val="-8"/>
                            <w:sz w:val="26"/>
                          </w:rPr>
                          <w:t> </w:t>
                        </w:r>
                        <w:r>
                          <w:rPr>
                            <w:rFonts w:ascii="Segoe UI Semibold" w:hAnsi="Segoe UI Semibold"/>
                            <w:b/>
                            <w:i/>
                            <w:color w:val="1A4796"/>
                            <w:sz w:val="26"/>
                          </w:rPr>
                          <w:t>que</w:t>
                        </w:r>
                        <w:r>
                          <w:rPr>
                            <w:rFonts w:ascii="Segoe UI Semibold" w:hAnsi="Segoe UI Semibold"/>
                            <w:b/>
                            <w:i/>
                            <w:color w:val="1A4796"/>
                            <w:spacing w:val="-8"/>
                            <w:sz w:val="26"/>
                          </w:rPr>
                          <w:t> </w:t>
                        </w:r>
                        <w:r>
                          <w:rPr>
                            <w:rFonts w:ascii="Segoe UI Semibold" w:hAnsi="Segoe UI Semibold"/>
                            <w:b/>
                            <w:i/>
                            <w:color w:val="1A4796"/>
                            <w:sz w:val="26"/>
                          </w:rPr>
                          <w:t>convertiría</w:t>
                        </w:r>
                        <w:r>
                          <w:rPr>
                            <w:rFonts w:ascii="Segoe UI Semibold" w:hAnsi="Segoe UI Semibold"/>
                            <w:b/>
                            <w:i/>
                            <w:color w:val="1A4796"/>
                            <w:spacing w:val="-8"/>
                            <w:sz w:val="26"/>
                          </w:rPr>
                          <w:t> </w:t>
                        </w:r>
                        <w:r>
                          <w:rPr>
                            <w:rFonts w:ascii="Segoe UI Semibold" w:hAnsi="Segoe UI Semibold"/>
                            <w:b/>
                            <w:i/>
                            <w:color w:val="1A4796"/>
                            <w:sz w:val="26"/>
                          </w:rPr>
                          <w:t>a los Estados Unidos en el principal </w:t>
                        </w:r>
                        <w:r>
                          <w:rPr>
                            <w:rFonts w:ascii="Segoe UI Semibold" w:hAnsi="Segoe UI Semibold"/>
                            <w:b/>
                            <w:i/>
                            <w:color w:val="1A4796"/>
                            <w:spacing w:val="-2"/>
                            <w:sz w:val="26"/>
                          </w:rPr>
                          <w:t>mercado</w:t>
                        </w:r>
                        <w:r>
                          <w:rPr>
                            <w:rFonts w:ascii="Segoe UI Semibold" w:hAnsi="Segoe UI Semibold"/>
                            <w:b/>
                            <w:i/>
                            <w:color w:val="1A4796"/>
                            <w:spacing w:val="-16"/>
                            <w:sz w:val="26"/>
                          </w:rPr>
                          <w:t> </w:t>
                        </w:r>
                        <w:r>
                          <w:rPr>
                            <w:rFonts w:ascii="Segoe UI Semibold" w:hAnsi="Segoe UI Semibold"/>
                            <w:b/>
                            <w:i/>
                            <w:color w:val="1A4796"/>
                            <w:spacing w:val="-2"/>
                            <w:sz w:val="26"/>
                          </w:rPr>
                          <w:t>emisor</w:t>
                        </w:r>
                        <w:r>
                          <w:rPr>
                            <w:rFonts w:ascii="Segoe UI Semibold" w:hAnsi="Segoe UI Semibold"/>
                            <w:b/>
                            <w:i/>
                            <w:color w:val="1A4796"/>
                            <w:spacing w:val="-16"/>
                            <w:sz w:val="26"/>
                          </w:rPr>
                          <w:t> </w:t>
                        </w:r>
                        <w:r>
                          <w:rPr>
                            <w:rFonts w:ascii="Segoe UI Semibold" w:hAnsi="Segoe UI Semibold"/>
                            <w:b/>
                            <w:i/>
                            <w:color w:val="1A4796"/>
                            <w:spacing w:val="-2"/>
                            <w:sz w:val="26"/>
                          </w:rPr>
                          <w:t>de</w:t>
                        </w:r>
                        <w:r>
                          <w:rPr>
                            <w:rFonts w:ascii="Segoe UI Semibold" w:hAnsi="Segoe UI Semibold"/>
                            <w:b/>
                            <w:i/>
                            <w:color w:val="1A4796"/>
                            <w:spacing w:val="-16"/>
                            <w:sz w:val="26"/>
                          </w:rPr>
                          <w:t> </w:t>
                        </w:r>
                        <w:r>
                          <w:rPr>
                            <w:rFonts w:ascii="Segoe UI Semibold" w:hAnsi="Segoe UI Semibold"/>
                            <w:b/>
                            <w:i/>
                            <w:color w:val="1A4796"/>
                            <w:spacing w:val="-2"/>
                            <w:sz w:val="26"/>
                          </w:rPr>
                          <w:t>viajeros</w:t>
                        </w:r>
                        <w:r>
                          <w:rPr>
                            <w:rFonts w:ascii="Segoe UI Semibold" w:hAnsi="Segoe UI Semibold"/>
                            <w:b/>
                            <w:i/>
                            <w:color w:val="1A4796"/>
                            <w:spacing w:val="-16"/>
                            <w:sz w:val="26"/>
                          </w:rPr>
                          <w:t> </w:t>
                        </w:r>
                        <w:r>
                          <w:rPr>
                            <w:rFonts w:ascii="Segoe UI Semibold" w:hAnsi="Segoe UI Semibold"/>
                            <w:b/>
                            <w:i/>
                            <w:color w:val="1A4796"/>
                            <w:spacing w:val="-2"/>
                            <w:sz w:val="26"/>
                          </w:rPr>
                          <w:t>hacia</w:t>
                        </w:r>
                        <w:r>
                          <w:rPr>
                            <w:rFonts w:ascii="Segoe UI Semibold" w:hAnsi="Segoe UI Semibold"/>
                            <w:b/>
                            <w:i/>
                            <w:color w:val="1A4796"/>
                            <w:spacing w:val="-16"/>
                            <w:sz w:val="26"/>
                          </w:rPr>
                          <w:t> </w:t>
                        </w:r>
                        <w:r>
                          <w:rPr>
                            <w:rFonts w:ascii="Segoe UI Semibold" w:hAnsi="Segoe UI Semibold"/>
                            <w:b/>
                            <w:i/>
                            <w:color w:val="1A4796"/>
                            <w:spacing w:val="-2"/>
                            <w:sz w:val="26"/>
                          </w:rPr>
                          <w:t>la </w:t>
                        </w:r>
                        <w:r>
                          <w:rPr>
                            <w:rFonts w:ascii="Segoe UI Semibold" w:hAnsi="Segoe UI Semibold"/>
                            <w:b/>
                            <w:i/>
                            <w:color w:val="1A4796"/>
                            <w:sz w:val="26"/>
                          </w:rPr>
                          <w:t>nación antillana. Si a esta cifra se</w:t>
                        </w:r>
                        <w:r>
                          <w:rPr>
                            <w:rFonts w:ascii="Segoe UI Semibold" w:hAnsi="Segoe UI Semibold"/>
                            <w:b/>
                            <w:i/>
                            <w:color w:val="1A4796"/>
                            <w:sz w:val="26"/>
                          </w:rPr>
                          <w:t> le</w:t>
                        </w:r>
                        <w:r>
                          <w:rPr>
                            <w:rFonts w:ascii="Segoe UI Semibold" w:hAnsi="Segoe UI Semibold"/>
                            <w:b/>
                            <w:i/>
                            <w:color w:val="1A4796"/>
                            <w:spacing w:val="-5"/>
                            <w:sz w:val="26"/>
                          </w:rPr>
                          <w:t> </w:t>
                        </w:r>
                        <w:r>
                          <w:rPr>
                            <w:rFonts w:ascii="Segoe UI Semibold" w:hAnsi="Segoe UI Semibold"/>
                            <w:b/>
                            <w:i/>
                            <w:color w:val="1A4796"/>
                            <w:sz w:val="26"/>
                          </w:rPr>
                          <w:t>restan</w:t>
                        </w:r>
                        <w:r>
                          <w:rPr>
                            <w:rFonts w:ascii="Segoe UI Semibold" w:hAnsi="Segoe UI Semibold"/>
                            <w:b/>
                            <w:i/>
                            <w:color w:val="1A4796"/>
                            <w:spacing w:val="-5"/>
                            <w:sz w:val="26"/>
                          </w:rPr>
                          <w:t> </w:t>
                        </w:r>
                        <w:r>
                          <w:rPr>
                            <w:rFonts w:ascii="Segoe UI Semibold" w:hAnsi="Segoe UI Semibold"/>
                            <w:b/>
                            <w:i/>
                            <w:color w:val="1A4796"/>
                            <w:sz w:val="26"/>
                          </w:rPr>
                          <w:t>los</w:t>
                        </w:r>
                        <w:r>
                          <w:rPr>
                            <w:rFonts w:ascii="Segoe UI Semibold" w:hAnsi="Segoe UI Semibold"/>
                            <w:b/>
                            <w:i/>
                            <w:color w:val="1A4796"/>
                            <w:spacing w:val="-5"/>
                            <w:sz w:val="26"/>
                          </w:rPr>
                          <w:t> </w:t>
                        </w:r>
                        <w:r>
                          <w:rPr>
                            <w:rFonts w:ascii="Segoe UI Semibold" w:hAnsi="Segoe UI Semibold"/>
                            <w:b/>
                            <w:i/>
                            <w:color w:val="1A4796"/>
                            <w:sz w:val="26"/>
                          </w:rPr>
                          <w:t>que</w:t>
                        </w:r>
                        <w:r>
                          <w:rPr>
                            <w:rFonts w:ascii="Segoe UI Semibold" w:hAnsi="Segoe UI Semibold"/>
                            <w:b/>
                            <w:i/>
                            <w:color w:val="1A4796"/>
                            <w:spacing w:val="-5"/>
                            <w:sz w:val="26"/>
                          </w:rPr>
                          <w:t> </w:t>
                        </w:r>
                        <w:r>
                          <w:rPr>
                            <w:rFonts w:ascii="Segoe UI Semibold" w:hAnsi="Segoe UI Semibold"/>
                            <w:b/>
                            <w:i/>
                            <w:color w:val="1A4796"/>
                            <w:sz w:val="26"/>
                          </w:rPr>
                          <w:t>sí</w:t>
                        </w:r>
                        <w:r>
                          <w:rPr>
                            <w:rFonts w:ascii="Segoe UI Semibold" w:hAnsi="Segoe UI Semibold"/>
                            <w:b/>
                            <w:i/>
                            <w:color w:val="1A4796"/>
                            <w:spacing w:val="-5"/>
                            <w:sz w:val="26"/>
                          </w:rPr>
                          <w:t> </w:t>
                        </w:r>
                        <w:r>
                          <w:rPr>
                            <w:rFonts w:ascii="Segoe UI Semibold" w:hAnsi="Segoe UI Semibold"/>
                            <w:b/>
                            <w:i/>
                            <w:color w:val="1A4796"/>
                            <w:sz w:val="26"/>
                          </w:rPr>
                          <w:t>viajaron</w:t>
                        </w:r>
                        <w:r>
                          <w:rPr>
                            <w:rFonts w:ascii="Segoe UI Semibold" w:hAnsi="Segoe UI Semibold"/>
                            <w:b/>
                            <w:i/>
                            <w:color w:val="1A4796"/>
                            <w:spacing w:val="-5"/>
                            <w:sz w:val="26"/>
                          </w:rPr>
                          <w:t> </w:t>
                        </w:r>
                        <w:r>
                          <w:rPr>
                            <w:rFonts w:ascii="Segoe UI Semibold" w:hAnsi="Segoe UI Semibold"/>
                            <w:b/>
                            <w:i/>
                            <w:color w:val="1A4796"/>
                            <w:sz w:val="26"/>
                          </w:rPr>
                          <w:t>a</w:t>
                        </w:r>
                        <w:r>
                          <w:rPr>
                            <w:rFonts w:ascii="Segoe UI Semibold" w:hAnsi="Segoe UI Semibold"/>
                            <w:b/>
                            <w:i/>
                            <w:color w:val="1A4796"/>
                            <w:spacing w:val="-5"/>
                            <w:sz w:val="26"/>
                          </w:rPr>
                          <w:t> </w:t>
                        </w:r>
                        <w:r>
                          <w:rPr>
                            <w:rFonts w:ascii="Segoe UI Semibold" w:hAnsi="Segoe UI Semibold"/>
                            <w:b/>
                            <w:i/>
                            <w:color w:val="1A4796"/>
                            <w:sz w:val="26"/>
                          </w:rPr>
                          <w:t>Cuba en el período de análisis de este</w:t>
                        </w:r>
                      </w:p>
                      <w:p>
                        <w:pPr>
                          <w:spacing w:line="220" w:lineRule="auto" w:before="6"/>
                          <w:ind w:left="1474" w:right="922" w:firstLine="0"/>
                          <w:jc w:val="left"/>
                          <w:rPr>
                            <w:rFonts w:ascii="Segoe UI Semibold" w:hAnsi="Segoe UI Semibold"/>
                            <w:b/>
                            <w:i/>
                            <w:sz w:val="26"/>
                          </w:rPr>
                        </w:pPr>
                        <w:r>
                          <w:rPr>
                            <w:rFonts w:ascii="Segoe UI Semibold" w:hAnsi="Segoe UI Semibold"/>
                            <w:b/>
                            <w:i/>
                            <w:color w:val="1A4796"/>
                            <w:sz w:val="26"/>
                          </w:rPr>
                          <w:t>informe (117 mil 825), se calcula que</w:t>
                        </w:r>
                        <w:r>
                          <w:rPr>
                            <w:rFonts w:ascii="Segoe UI Semibold" w:hAnsi="Segoe UI Semibold"/>
                            <w:b/>
                            <w:i/>
                            <w:color w:val="1A4796"/>
                            <w:sz w:val="26"/>
                          </w:rPr>
                          <w:t> aproximadamente</w:t>
                        </w:r>
                        <w:r>
                          <w:rPr>
                            <w:rFonts w:ascii="Segoe UI Semibold" w:hAnsi="Segoe UI Semibold"/>
                            <w:b/>
                            <w:i/>
                            <w:color w:val="1A4796"/>
                            <w:spacing w:val="-18"/>
                            <w:sz w:val="26"/>
                          </w:rPr>
                          <w:t> </w:t>
                        </w:r>
                        <w:r>
                          <w:rPr>
                            <w:rFonts w:ascii="Segoe UI Semibold" w:hAnsi="Segoe UI Semibold"/>
                            <w:b/>
                            <w:i/>
                            <w:color w:val="1A4796"/>
                            <w:sz w:val="26"/>
                          </w:rPr>
                          <w:t>1</w:t>
                        </w:r>
                        <w:r>
                          <w:rPr>
                            <w:rFonts w:ascii="Segoe UI Semibold" w:hAnsi="Segoe UI Semibold"/>
                            <w:b/>
                            <w:i/>
                            <w:color w:val="1A4796"/>
                            <w:spacing w:val="-18"/>
                            <w:sz w:val="26"/>
                          </w:rPr>
                          <w:t> </w:t>
                        </w:r>
                        <w:r>
                          <w:rPr>
                            <w:rFonts w:ascii="Segoe UI Semibold" w:hAnsi="Segoe UI Semibold"/>
                            <w:b/>
                            <w:i/>
                            <w:color w:val="1A4796"/>
                            <w:sz w:val="26"/>
                          </w:rPr>
                          <w:t>millón</w:t>
                        </w:r>
                        <w:r>
                          <w:rPr>
                            <w:rFonts w:ascii="Segoe UI Semibold" w:hAnsi="Segoe UI Semibold"/>
                            <w:b/>
                            <w:i/>
                            <w:color w:val="1A4796"/>
                            <w:spacing w:val="-18"/>
                            <w:sz w:val="26"/>
                          </w:rPr>
                          <w:t> </w:t>
                        </w:r>
                        <w:r>
                          <w:rPr>
                            <w:rFonts w:ascii="Segoe UI Semibold" w:hAnsi="Segoe UI Semibold"/>
                            <w:b/>
                            <w:i/>
                            <w:color w:val="1A4796"/>
                            <w:sz w:val="26"/>
                          </w:rPr>
                          <w:t>82</w:t>
                        </w:r>
                        <w:r>
                          <w:rPr>
                            <w:rFonts w:ascii="Segoe UI Semibold" w:hAnsi="Segoe UI Semibold"/>
                            <w:b/>
                            <w:i/>
                            <w:color w:val="1A4796"/>
                            <w:spacing w:val="-18"/>
                            <w:sz w:val="26"/>
                          </w:rPr>
                          <w:t> </w:t>
                        </w:r>
                        <w:r>
                          <w:rPr>
                            <w:rFonts w:ascii="Segoe UI Semibold" w:hAnsi="Segoe UI Semibold"/>
                            <w:b/>
                            <w:i/>
                            <w:color w:val="1A4796"/>
                            <w:sz w:val="26"/>
                          </w:rPr>
                          <w:t>mil</w:t>
                        </w:r>
                        <w:r>
                          <w:rPr>
                            <w:rFonts w:ascii="Segoe UI Semibold" w:hAnsi="Segoe UI Semibold"/>
                            <w:b/>
                            <w:i/>
                            <w:color w:val="1A4796"/>
                            <w:spacing w:val="-18"/>
                            <w:sz w:val="26"/>
                          </w:rPr>
                          <w:t> </w:t>
                        </w:r>
                        <w:r>
                          <w:rPr>
                            <w:rFonts w:ascii="Segoe UI Semibold" w:hAnsi="Segoe UI Semibold"/>
                            <w:b/>
                            <w:i/>
                            <w:color w:val="1A4796"/>
                            <w:sz w:val="26"/>
                          </w:rPr>
                          <w:t>175 personas procedentes de los Estados Unidos no visitaron el país debido al bloqueo.</w:t>
                        </w:r>
                        <w:r>
                          <w:rPr>
                            <w:rFonts w:ascii="Segoe UI Semibold" w:hAnsi="Segoe UI Semibold"/>
                            <w:b/>
                            <w:i/>
                            <w:color w:val="1A4796"/>
                            <w:spacing w:val="-17"/>
                            <w:sz w:val="26"/>
                          </w:rPr>
                          <w:t> </w:t>
                        </w:r>
                        <w:r>
                          <w:rPr>
                            <w:rFonts w:ascii="Segoe UI Semibold" w:hAnsi="Segoe UI Semibold"/>
                            <w:b/>
                            <w:i/>
                            <w:color w:val="1A4796"/>
                            <w:sz w:val="26"/>
                          </w:rPr>
                          <w:t>De</w:t>
                        </w:r>
                        <w:r>
                          <w:rPr>
                            <w:rFonts w:ascii="Segoe UI Semibold" w:hAnsi="Segoe UI Semibold"/>
                            <w:b/>
                            <w:i/>
                            <w:color w:val="1A4796"/>
                            <w:spacing w:val="-17"/>
                            <w:sz w:val="26"/>
                          </w:rPr>
                          <w:t> </w:t>
                        </w:r>
                        <w:r>
                          <w:rPr>
                            <w:rFonts w:ascii="Segoe UI Semibold" w:hAnsi="Segoe UI Semibold"/>
                            <w:b/>
                            <w:i/>
                            <w:color w:val="1A4796"/>
                            <w:sz w:val="26"/>
                          </w:rPr>
                          <w:t>haberlo</w:t>
                        </w:r>
                        <w:r>
                          <w:rPr>
                            <w:rFonts w:ascii="Segoe UI Semibold" w:hAnsi="Segoe UI Semibold"/>
                            <w:b/>
                            <w:i/>
                            <w:color w:val="1A4796"/>
                            <w:spacing w:val="-17"/>
                            <w:sz w:val="26"/>
                          </w:rPr>
                          <w:t> </w:t>
                        </w:r>
                        <w:r>
                          <w:rPr>
                            <w:rFonts w:ascii="Segoe UI Semibold" w:hAnsi="Segoe UI Semibold"/>
                            <w:b/>
                            <w:i/>
                            <w:color w:val="1A4796"/>
                            <w:sz w:val="26"/>
                          </w:rPr>
                          <w:t>hecho,</w:t>
                        </w:r>
                        <w:r>
                          <w:rPr>
                            <w:rFonts w:ascii="Segoe UI Semibold" w:hAnsi="Segoe UI Semibold"/>
                            <w:b/>
                            <w:i/>
                            <w:color w:val="1A4796"/>
                            <w:spacing w:val="-17"/>
                            <w:sz w:val="26"/>
                          </w:rPr>
                          <w:t> </w:t>
                        </w:r>
                        <w:r>
                          <w:rPr>
                            <w:rFonts w:ascii="Segoe UI Semibold" w:hAnsi="Segoe UI Semibold"/>
                            <w:b/>
                            <w:i/>
                            <w:color w:val="1A4796"/>
                            <w:sz w:val="26"/>
                          </w:rPr>
                          <w:t>se</w:t>
                        </w:r>
                        <w:r>
                          <w:rPr>
                            <w:rFonts w:ascii="Segoe UI Semibold" w:hAnsi="Segoe UI Semibold"/>
                            <w:b/>
                            <w:i/>
                            <w:color w:val="1A4796"/>
                            <w:spacing w:val="-17"/>
                            <w:sz w:val="26"/>
                          </w:rPr>
                          <w:t> </w:t>
                        </w:r>
                        <w:r>
                          <w:rPr>
                            <w:rFonts w:ascii="Segoe UI Semibold" w:hAnsi="Segoe UI Semibold"/>
                            <w:b/>
                            <w:i/>
                            <w:color w:val="1A4796"/>
                            <w:sz w:val="26"/>
                          </w:rPr>
                          <w:t>estima que la industria turística cubana </w:t>
                        </w:r>
                        <w:r>
                          <w:rPr>
                            <w:rFonts w:ascii="Segoe UI Semibold" w:hAnsi="Segoe UI Semibold"/>
                            <w:b/>
                            <w:i/>
                            <w:color w:val="1A4796"/>
                            <w:spacing w:val="-2"/>
                            <w:sz w:val="26"/>
                          </w:rPr>
                          <w:t>habría</w:t>
                        </w:r>
                        <w:r>
                          <w:rPr>
                            <w:rFonts w:ascii="Segoe UI Semibold" w:hAnsi="Segoe UI Semibold"/>
                            <w:b/>
                            <w:i/>
                            <w:color w:val="1A4796"/>
                            <w:spacing w:val="-13"/>
                            <w:sz w:val="26"/>
                          </w:rPr>
                          <w:t> </w:t>
                        </w:r>
                        <w:r>
                          <w:rPr>
                            <w:rFonts w:ascii="Segoe UI Semibold" w:hAnsi="Segoe UI Semibold"/>
                            <w:b/>
                            <w:i/>
                            <w:color w:val="1A4796"/>
                            <w:spacing w:val="-2"/>
                            <w:sz w:val="26"/>
                          </w:rPr>
                          <w:t>ingresado</w:t>
                        </w:r>
                        <w:r>
                          <w:rPr>
                            <w:rFonts w:ascii="Segoe UI Semibold" w:hAnsi="Segoe UI Semibold"/>
                            <w:b/>
                            <w:i/>
                            <w:color w:val="1A4796"/>
                            <w:spacing w:val="-13"/>
                            <w:sz w:val="26"/>
                          </w:rPr>
                          <w:t> </w:t>
                        </w:r>
                        <w:r>
                          <w:rPr>
                            <w:rFonts w:ascii="Segoe UI Semibold" w:hAnsi="Segoe UI Semibold"/>
                            <w:b/>
                            <w:i/>
                            <w:color w:val="1A4796"/>
                            <w:spacing w:val="-2"/>
                            <w:sz w:val="26"/>
                          </w:rPr>
                          <w:t>mil</w:t>
                        </w:r>
                        <w:r>
                          <w:rPr>
                            <w:rFonts w:ascii="Segoe UI Semibold" w:hAnsi="Segoe UI Semibold"/>
                            <w:b/>
                            <w:i/>
                            <w:color w:val="1A4796"/>
                            <w:spacing w:val="-13"/>
                            <w:sz w:val="26"/>
                          </w:rPr>
                          <w:t> </w:t>
                        </w:r>
                        <w:r>
                          <w:rPr>
                            <w:rFonts w:ascii="Segoe UI Semibold" w:hAnsi="Segoe UI Semibold"/>
                            <w:b/>
                            <w:i/>
                            <w:color w:val="1A4796"/>
                            <w:spacing w:val="-2"/>
                            <w:sz w:val="26"/>
                          </w:rPr>
                          <w:t>1</w:t>
                        </w:r>
                        <w:r>
                          <w:rPr>
                            <w:rFonts w:ascii="Segoe UI Semibold" w:hAnsi="Segoe UI Semibold"/>
                            <w:b/>
                            <w:i/>
                            <w:color w:val="1A4796"/>
                            <w:spacing w:val="-13"/>
                            <w:sz w:val="26"/>
                          </w:rPr>
                          <w:t> </w:t>
                        </w:r>
                        <w:r>
                          <w:rPr>
                            <w:rFonts w:ascii="Segoe UI Semibold" w:hAnsi="Segoe UI Semibold"/>
                            <w:b/>
                            <w:i/>
                            <w:color w:val="1A4796"/>
                            <w:spacing w:val="-2"/>
                            <w:sz w:val="26"/>
                          </w:rPr>
                          <w:t>millones</w:t>
                        </w:r>
                        <w:r>
                          <w:rPr>
                            <w:rFonts w:ascii="Segoe UI Semibold" w:hAnsi="Segoe UI Semibold"/>
                            <w:b/>
                            <w:i/>
                            <w:color w:val="1A4796"/>
                            <w:spacing w:val="-13"/>
                            <w:sz w:val="26"/>
                          </w:rPr>
                          <w:t> </w:t>
                        </w:r>
                        <w:r>
                          <w:rPr>
                            <w:rFonts w:ascii="Segoe UI Semibold" w:hAnsi="Segoe UI Semibold"/>
                            <w:b/>
                            <w:i/>
                            <w:color w:val="1A4796"/>
                            <w:spacing w:val="-2"/>
                            <w:sz w:val="26"/>
                          </w:rPr>
                          <w:t>11</w:t>
                        </w:r>
                        <w:r>
                          <w:rPr>
                            <w:rFonts w:ascii="Segoe UI Semibold" w:hAnsi="Segoe UI Semibold"/>
                            <w:b/>
                            <w:i/>
                            <w:color w:val="1A4796"/>
                            <w:spacing w:val="-13"/>
                            <w:sz w:val="26"/>
                          </w:rPr>
                          <w:t> </w:t>
                        </w:r>
                        <w:r>
                          <w:rPr>
                            <w:rFonts w:ascii="Segoe UI Semibold" w:hAnsi="Segoe UI Semibold"/>
                            <w:b/>
                            <w:i/>
                            <w:color w:val="1A4796"/>
                            <w:spacing w:val="-2"/>
                            <w:sz w:val="26"/>
                          </w:rPr>
                          <w:t>mil 875</w:t>
                        </w:r>
                        <w:r>
                          <w:rPr>
                            <w:rFonts w:ascii="Segoe UI Semibold" w:hAnsi="Segoe UI Semibold"/>
                            <w:b/>
                            <w:i/>
                            <w:color w:val="1A4796"/>
                            <w:spacing w:val="-16"/>
                            <w:sz w:val="26"/>
                          </w:rPr>
                          <w:t> </w:t>
                        </w:r>
                        <w:r>
                          <w:rPr>
                            <w:rFonts w:ascii="Segoe UI Semibold" w:hAnsi="Segoe UI Semibold"/>
                            <w:b/>
                            <w:i/>
                            <w:color w:val="1A4796"/>
                            <w:spacing w:val="-2"/>
                            <w:sz w:val="26"/>
                          </w:rPr>
                          <w:t>dólares</w:t>
                        </w:r>
                        <w:r>
                          <w:rPr>
                            <w:rFonts w:ascii="Segoe UI Semibold" w:hAnsi="Segoe UI Semibold"/>
                            <w:b/>
                            <w:i/>
                            <w:color w:val="1A4796"/>
                            <w:spacing w:val="-16"/>
                            <w:sz w:val="26"/>
                          </w:rPr>
                          <w:t> </w:t>
                        </w:r>
                        <w:r>
                          <w:rPr>
                            <w:rFonts w:ascii="Segoe UI Semibold" w:hAnsi="Segoe UI Semibold"/>
                            <w:b/>
                            <w:i/>
                            <w:color w:val="1A4796"/>
                            <w:spacing w:val="-2"/>
                            <w:sz w:val="26"/>
                          </w:rPr>
                          <w:t>provenientes</w:t>
                        </w:r>
                        <w:r>
                          <w:rPr>
                            <w:rFonts w:ascii="Segoe UI Semibold" w:hAnsi="Segoe UI Semibold"/>
                            <w:b/>
                            <w:i/>
                            <w:color w:val="1A4796"/>
                            <w:spacing w:val="-16"/>
                            <w:sz w:val="26"/>
                          </w:rPr>
                          <w:t> </w:t>
                        </w:r>
                        <w:r>
                          <w:rPr>
                            <w:rFonts w:ascii="Segoe UI Semibold" w:hAnsi="Segoe UI Semibold"/>
                            <w:b/>
                            <w:i/>
                            <w:color w:val="1A4796"/>
                            <w:spacing w:val="-2"/>
                            <w:sz w:val="26"/>
                          </w:rPr>
                          <w:t>del</w:t>
                        </w:r>
                        <w:r>
                          <w:rPr>
                            <w:rFonts w:ascii="Segoe UI Semibold" w:hAnsi="Segoe UI Semibold"/>
                            <w:b/>
                            <w:i/>
                            <w:color w:val="1A4796"/>
                            <w:spacing w:val="-16"/>
                            <w:sz w:val="26"/>
                          </w:rPr>
                          <w:t> </w:t>
                        </w:r>
                        <w:r>
                          <w:rPr>
                            <w:rFonts w:ascii="Segoe UI Semibold" w:hAnsi="Segoe UI Semibold"/>
                            <w:b/>
                            <w:i/>
                            <w:color w:val="1A4796"/>
                            <w:spacing w:val="-2"/>
                            <w:sz w:val="26"/>
                          </w:rPr>
                          <w:t>mercado estadounidense.</w:t>
                        </w:r>
                      </w:p>
                    </w:txbxContent>
                  </v:textbox>
                  <w10:wrap type="none"/>
                </v:shape>
                <w10:wrap type="none"/>
              </v:group>
            </w:pict>
          </mc:Fallback>
        </mc:AlternateContent>
      </w:r>
      <w:r>
        <w:rPr>
          <w:i/>
          <w:color w:val="231F20"/>
          <w:spacing w:val="-2"/>
        </w:rPr>
        <w:t>que</w:t>
      </w:r>
      <w:r>
        <w:rPr>
          <w:i/>
          <w:color w:val="231F20"/>
          <w:spacing w:val="-15"/>
        </w:rPr>
        <w:t> </w:t>
      </w:r>
      <w:r>
        <w:rPr>
          <w:i/>
          <w:color w:val="231F20"/>
          <w:spacing w:val="-2"/>
        </w:rPr>
        <w:t>representa</w:t>
      </w:r>
      <w:r>
        <w:rPr>
          <w:i/>
          <w:color w:val="231F20"/>
          <w:spacing w:val="-14"/>
        </w:rPr>
        <w:t> </w:t>
      </w:r>
      <w:r>
        <w:rPr>
          <w:i/>
          <w:color w:val="231F20"/>
          <w:spacing w:val="-2"/>
        </w:rPr>
        <w:t>el</w:t>
      </w:r>
      <w:r>
        <w:rPr>
          <w:i/>
          <w:color w:val="231F20"/>
          <w:spacing w:val="-15"/>
        </w:rPr>
        <w:t> </w:t>
      </w:r>
      <w:r>
        <w:rPr>
          <w:i/>
          <w:color w:val="231F20"/>
          <w:spacing w:val="-2"/>
        </w:rPr>
        <w:t>64,6%</w:t>
      </w:r>
      <w:r>
        <w:rPr>
          <w:i/>
          <w:color w:val="231F20"/>
          <w:spacing w:val="-14"/>
        </w:rPr>
        <w:t> </w:t>
      </w:r>
      <w:r>
        <w:rPr>
          <w:i/>
          <w:color w:val="231F20"/>
          <w:spacing w:val="-2"/>
        </w:rPr>
        <w:t>de</w:t>
      </w:r>
      <w:r>
        <w:rPr>
          <w:i/>
          <w:color w:val="231F20"/>
          <w:spacing w:val="-15"/>
        </w:rPr>
        <w:t> </w:t>
      </w:r>
      <w:r>
        <w:rPr>
          <w:i/>
          <w:color w:val="231F20"/>
          <w:spacing w:val="-2"/>
        </w:rPr>
        <w:t>lo</w:t>
      </w:r>
      <w:r>
        <w:rPr>
          <w:i/>
          <w:color w:val="231F20"/>
          <w:spacing w:val="-14"/>
        </w:rPr>
        <w:t> </w:t>
      </w:r>
      <w:r>
        <w:rPr>
          <w:i/>
          <w:color w:val="231F20"/>
          <w:spacing w:val="-2"/>
        </w:rPr>
        <w:t>previsto</w:t>
      </w:r>
      <w:r>
        <w:rPr>
          <w:i/>
          <w:color w:val="231F20"/>
          <w:spacing w:val="-15"/>
        </w:rPr>
        <w:t> </w:t>
      </w:r>
      <w:r>
        <w:rPr>
          <w:i/>
          <w:color w:val="231F20"/>
          <w:spacing w:val="-2"/>
        </w:rPr>
        <w:t>y</w:t>
      </w:r>
      <w:r>
        <w:rPr>
          <w:i/>
          <w:color w:val="231F20"/>
          <w:spacing w:val="-14"/>
        </w:rPr>
        <w:t> </w:t>
      </w:r>
      <w:r>
        <w:rPr>
          <w:i/>
          <w:color w:val="231F20"/>
          <w:spacing w:val="-2"/>
        </w:rPr>
        <w:t>solo</w:t>
      </w:r>
      <w:r>
        <w:rPr>
          <w:i/>
          <w:color w:val="231F20"/>
          <w:spacing w:val="-2"/>
        </w:rPr>
        <w:t> </w:t>
      </w:r>
      <w:r>
        <w:rPr>
          <w:i/>
          <w:color w:val="231F20"/>
        </w:rPr>
        <w:t>el</w:t>
      </w:r>
      <w:r>
        <w:rPr>
          <w:i/>
          <w:color w:val="231F20"/>
          <w:spacing w:val="-15"/>
        </w:rPr>
        <w:t> </w:t>
      </w:r>
      <w:r>
        <w:rPr>
          <w:i/>
          <w:color w:val="231F20"/>
        </w:rPr>
        <w:t>37,8%</w:t>
      </w:r>
      <w:r>
        <w:rPr>
          <w:i/>
          <w:color w:val="231F20"/>
          <w:spacing w:val="-16"/>
        </w:rPr>
        <w:t> </w:t>
      </w:r>
      <w:r>
        <w:rPr>
          <w:i/>
          <w:color w:val="231F20"/>
        </w:rPr>
        <w:t>de</w:t>
      </w:r>
      <w:r>
        <w:rPr>
          <w:i/>
          <w:color w:val="231F20"/>
          <w:spacing w:val="-15"/>
        </w:rPr>
        <w:t> </w:t>
      </w:r>
      <w:r>
        <w:rPr>
          <w:i/>
          <w:color w:val="231F20"/>
        </w:rPr>
        <w:t>lo</w:t>
      </w:r>
      <w:r>
        <w:rPr>
          <w:i/>
          <w:color w:val="231F20"/>
          <w:spacing w:val="-16"/>
        </w:rPr>
        <w:t> </w:t>
      </w:r>
      <w:r>
        <w:rPr>
          <w:i/>
          <w:color w:val="231F20"/>
        </w:rPr>
        <w:t>alcanzado</w:t>
      </w:r>
      <w:r>
        <w:rPr>
          <w:i/>
          <w:color w:val="231F20"/>
          <w:spacing w:val="-16"/>
        </w:rPr>
        <w:t> </w:t>
      </w:r>
      <w:r>
        <w:rPr>
          <w:i/>
          <w:color w:val="231F20"/>
        </w:rPr>
        <w:t>en</w:t>
      </w:r>
      <w:r>
        <w:rPr>
          <w:i/>
          <w:color w:val="231F20"/>
          <w:spacing w:val="-15"/>
        </w:rPr>
        <w:t> </w:t>
      </w:r>
      <w:r>
        <w:rPr>
          <w:i/>
          <w:color w:val="231F20"/>
        </w:rPr>
        <w:t>2019</w:t>
      </w:r>
      <w:r>
        <w:rPr>
          <w:color w:val="231F20"/>
        </w:rPr>
        <w:t>.</w:t>
      </w:r>
      <w:r>
        <w:rPr>
          <w:color w:val="231F20"/>
          <w:spacing w:val="-15"/>
        </w:rPr>
        <w:t> </w:t>
      </w:r>
      <w:r>
        <w:rPr>
          <w:color w:val="231F20"/>
        </w:rPr>
        <w:t>El</w:t>
      </w:r>
      <w:r>
        <w:rPr>
          <w:color w:val="231F20"/>
          <w:spacing w:val="-16"/>
        </w:rPr>
        <w:t> </w:t>
      </w:r>
      <w:r>
        <w:rPr>
          <w:color w:val="231F20"/>
        </w:rPr>
        <w:t>efecto acumulativo de las medidas coercitivas unilaterales impuestas, la inclusión de Cuba</w:t>
      </w:r>
      <w:r>
        <w:rPr>
          <w:color w:val="231F20"/>
          <w:spacing w:val="-15"/>
        </w:rPr>
        <w:t> </w:t>
      </w:r>
      <w:r>
        <w:rPr>
          <w:color w:val="231F20"/>
        </w:rPr>
        <w:t>en</w:t>
      </w:r>
      <w:r>
        <w:rPr>
          <w:color w:val="231F20"/>
          <w:spacing w:val="-15"/>
        </w:rPr>
        <w:t> </w:t>
      </w:r>
      <w:r>
        <w:rPr>
          <w:color w:val="231F20"/>
        </w:rPr>
        <w:t>la</w:t>
      </w:r>
      <w:r>
        <w:rPr>
          <w:color w:val="231F20"/>
          <w:spacing w:val="-15"/>
        </w:rPr>
        <w:t> </w:t>
      </w:r>
      <w:r>
        <w:rPr>
          <w:color w:val="231F20"/>
        </w:rPr>
        <w:t>lista</w:t>
      </w:r>
      <w:r>
        <w:rPr>
          <w:color w:val="231F20"/>
          <w:spacing w:val="-15"/>
        </w:rPr>
        <w:t> </w:t>
      </w:r>
      <w:r>
        <w:rPr>
          <w:color w:val="231F20"/>
        </w:rPr>
        <w:t>de</w:t>
      </w:r>
      <w:r>
        <w:rPr>
          <w:color w:val="231F20"/>
          <w:spacing w:val="-15"/>
        </w:rPr>
        <w:t> </w:t>
      </w:r>
      <w:r>
        <w:rPr>
          <w:color w:val="231F20"/>
        </w:rPr>
        <w:t>Estados</w:t>
      </w:r>
      <w:r>
        <w:rPr>
          <w:color w:val="231F20"/>
          <w:spacing w:val="-15"/>
        </w:rPr>
        <w:t> </w:t>
      </w:r>
      <w:r>
        <w:rPr>
          <w:color w:val="231F20"/>
        </w:rPr>
        <w:t>patrocinadores del</w:t>
      </w:r>
      <w:r>
        <w:rPr>
          <w:color w:val="231F20"/>
          <w:spacing w:val="40"/>
        </w:rPr>
        <w:t> </w:t>
      </w:r>
      <w:r>
        <w:rPr>
          <w:color w:val="231F20"/>
        </w:rPr>
        <w:t>terrorismo</w:t>
      </w:r>
      <w:r>
        <w:rPr>
          <w:color w:val="231F20"/>
          <w:spacing w:val="40"/>
        </w:rPr>
        <w:t> </w:t>
      </w:r>
      <w:r>
        <w:rPr>
          <w:color w:val="231F20"/>
        </w:rPr>
        <w:t>y</w:t>
      </w:r>
      <w:r>
        <w:rPr>
          <w:color w:val="231F20"/>
          <w:spacing w:val="40"/>
        </w:rPr>
        <w:t> </w:t>
      </w:r>
      <w:r>
        <w:rPr>
          <w:color w:val="231F20"/>
        </w:rPr>
        <w:t>el</w:t>
      </w:r>
      <w:r>
        <w:rPr>
          <w:color w:val="231F20"/>
          <w:spacing w:val="40"/>
        </w:rPr>
        <w:t> </w:t>
      </w:r>
      <w:r>
        <w:rPr>
          <w:color w:val="231F20"/>
        </w:rPr>
        <w:t>mantenimiento</w:t>
      </w:r>
      <w:r>
        <w:rPr>
          <w:color w:val="231F20"/>
          <w:spacing w:val="40"/>
        </w:rPr>
        <w:t> </w:t>
      </w:r>
      <w:r>
        <w:rPr>
          <w:color w:val="231F20"/>
        </w:rPr>
        <w:t>por el gobierno de los Estados Unidos del listado</w:t>
      </w:r>
      <w:r>
        <w:rPr>
          <w:color w:val="231F20"/>
          <w:spacing w:val="-11"/>
        </w:rPr>
        <w:t> </w:t>
      </w:r>
      <w:r>
        <w:rPr>
          <w:color w:val="231F20"/>
        </w:rPr>
        <w:t>de</w:t>
      </w:r>
      <w:r>
        <w:rPr>
          <w:color w:val="231F20"/>
          <w:spacing w:val="-11"/>
        </w:rPr>
        <w:t> </w:t>
      </w:r>
      <w:r>
        <w:rPr>
          <w:color w:val="231F20"/>
        </w:rPr>
        <w:t>entidades</w:t>
      </w:r>
      <w:r>
        <w:rPr>
          <w:color w:val="231F20"/>
          <w:spacing w:val="-11"/>
        </w:rPr>
        <w:t> </w:t>
      </w:r>
      <w:r>
        <w:rPr>
          <w:color w:val="231F20"/>
        </w:rPr>
        <w:t>cubanas</w:t>
      </w:r>
      <w:r>
        <w:rPr>
          <w:color w:val="231F20"/>
          <w:spacing w:val="-11"/>
        </w:rPr>
        <w:t> </w:t>
      </w:r>
      <w:r>
        <w:rPr>
          <w:color w:val="231F20"/>
        </w:rPr>
        <w:t>restringidas, donde se incluyeron casi la totalidad de las instalaciones hoteleras del país, han incidido</w:t>
      </w:r>
      <w:r>
        <w:rPr>
          <w:color w:val="231F20"/>
          <w:spacing w:val="-1"/>
        </w:rPr>
        <w:t> </w:t>
      </w:r>
      <w:r>
        <w:rPr>
          <w:color w:val="231F20"/>
        </w:rPr>
        <w:t>en</w:t>
      </w:r>
      <w:r>
        <w:rPr>
          <w:color w:val="231F20"/>
          <w:spacing w:val="-1"/>
        </w:rPr>
        <w:t> </w:t>
      </w:r>
      <w:r>
        <w:rPr>
          <w:color w:val="231F20"/>
        </w:rPr>
        <w:t>la</w:t>
      </w:r>
      <w:r>
        <w:rPr>
          <w:color w:val="231F20"/>
          <w:spacing w:val="-1"/>
        </w:rPr>
        <w:t> </w:t>
      </w:r>
      <w:r>
        <w:rPr>
          <w:color w:val="231F20"/>
        </w:rPr>
        <w:t>disminución</w:t>
      </w:r>
      <w:r>
        <w:rPr>
          <w:color w:val="231F20"/>
          <w:spacing w:val="-1"/>
        </w:rPr>
        <w:t> </w:t>
      </w:r>
      <w:r>
        <w:rPr>
          <w:color w:val="231F20"/>
        </w:rPr>
        <w:t>del</w:t>
      </w:r>
      <w:r>
        <w:rPr>
          <w:color w:val="231F20"/>
          <w:spacing w:val="-1"/>
        </w:rPr>
        <w:t> </w:t>
      </w:r>
      <w:r>
        <w:rPr>
          <w:color w:val="231F20"/>
        </w:rPr>
        <w:t>número</w:t>
      </w:r>
      <w:r>
        <w:rPr>
          <w:color w:val="231F20"/>
          <w:spacing w:val="-1"/>
        </w:rPr>
        <w:t> </w:t>
      </w:r>
      <w:r>
        <w:rPr>
          <w:color w:val="231F20"/>
        </w:rPr>
        <w:t>de viajeros a Cuba.</w:t>
      </w: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spacing w:before="28"/>
        <w:jc w:val="left"/>
      </w:pPr>
    </w:p>
    <w:p>
      <w:pPr>
        <w:pStyle w:val="BodyText"/>
        <w:spacing w:before="1"/>
        <w:ind w:left="1474" w:right="1"/>
      </w:pPr>
      <w:r>
        <w:rPr>
          <w:color w:val="231F20"/>
          <w:spacing w:val="-4"/>
        </w:rPr>
        <w:t>Al</w:t>
      </w:r>
      <w:r>
        <w:rPr>
          <w:color w:val="231F20"/>
          <w:spacing w:val="-11"/>
        </w:rPr>
        <w:t> </w:t>
      </w:r>
      <w:r>
        <w:rPr>
          <w:color w:val="231F20"/>
          <w:spacing w:val="-4"/>
        </w:rPr>
        <w:t>mismo</w:t>
      </w:r>
      <w:r>
        <w:rPr>
          <w:color w:val="231F20"/>
          <w:spacing w:val="-11"/>
        </w:rPr>
        <w:t> </w:t>
      </w:r>
      <w:r>
        <w:rPr>
          <w:color w:val="231F20"/>
          <w:spacing w:val="-4"/>
        </w:rPr>
        <w:t>tiempo,</w:t>
      </w:r>
      <w:r>
        <w:rPr>
          <w:color w:val="231F20"/>
          <w:spacing w:val="-11"/>
        </w:rPr>
        <w:t> </w:t>
      </w:r>
      <w:r>
        <w:rPr>
          <w:color w:val="231F20"/>
          <w:spacing w:val="-4"/>
        </w:rPr>
        <w:t>la</w:t>
      </w:r>
      <w:r>
        <w:rPr>
          <w:color w:val="231F20"/>
          <w:spacing w:val="-11"/>
        </w:rPr>
        <w:t> </w:t>
      </w:r>
      <w:r>
        <w:rPr>
          <w:color w:val="231F20"/>
          <w:spacing w:val="-4"/>
        </w:rPr>
        <w:t>prohibición</w:t>
      </w:r>
      <w:r>
        <w:rPr>
          <w:color w:val="231F20"/>
          <w:spacing w:val="-11"/>
        </w:rPr>
        <w:t> </w:t>
      </w:r>
      <w:r>
        <w:rPr>
          <w:color w:val="231F20"/>
          <w:spacing w:val="-4"/>
        </w:rPr>
        <w:t>de</w:t>
      </w:r>
      <w:r>
        <w:rPr>
          <w:color w:val="231F20"/>
          <w:spacing w:val="-11"/>
        </w:rPr>
        <w:t> </w:t>
      </w:r>
      <w:r>
        <w:rPr>
          <w:color w:val="231F20"/>
          <w:spacing w:val="-4"/>
        </w:rPr>
        <w:t>entrada </w:t>
      </w:r>
      <w:r>
        <w:rPr>
          <w:color w:val="231F20"/>
        </w:rPr>
        <w:t>a puertos cubanos de líneas de cruceros estadounidenses,</w:t>
      </w:r>
      <w:r>
        <w:rPr>
          <w:color w:val="231F20"/>
          <w:spacing w:val="-8"/>
        </w:rPr>
        <w:t> </w:t>
      </w:r>
      <w:r>
        <w:rPr>
          <w:color w:val="231F20"/>
        </w:rPr>
        <w:t>agravada</w:t>
      </w:r>
      <w:r>
        <w:rPr>
          <w:color w:val="231F20"/>
          <w:spacing w:val="-8"/>
        </w:rPr>
        <w:t> </w:t>
      </w:r>
      <w:r>
        <w:rPr>
          <w:color w:val="231F20"/>
        </w:rPr>
        <w:t>por</w:t>
      </w:r>
      <w:r>
        <w:rPr>
          <w:color w:val="231F20"/>
          <w:spacing w:val="-8"/>
        </w:rPr>
        <w:t> </w:t>
      </w:r>
      <w:r>
        <w:rPr>
          <w:color w:val="231F20"/>
        </w:rPr>
        <w:t>las</w:t>
      </w:r>
      <w:r>
        <w:rPr>
          <w:color w:val="231F20"/>
          <w:spacing w:val="-9"/>
        </w:rPr>
        <w:t> </w:t>
      </w:r>
      <w:r>
        <w:rPr>
          <w:color w:val="231F20"/>
        </w:rPr>
        <w:t>multas y los procesos legales a los que han sido </w:t>
      </w:r>
      <w:r>
        <w:rPr>
          <w:color w:val="231F20"/>
          <w:spacing w:val="-8"/>
        </w:rPr>
        <w:t>sometidas</w:t>
      </w:r>
      <w:r>
        <w:rPr>
          <w:color w:val="231F20"/>
          <w:spacing w:val="-9"/>
        </w:rPr>
        <w:t> </w:t>
      </w:r>
      <w:r>
        <w:rPr>
          <w:color w:val="231F20"/>
          <w:spacing w:val="-8"/>
        </w:rPr>
        <w:t>las que</w:t>
      </w:r>
      <w:r>
        <w:rPr>
          <w:color w:val="231F20"/>
          <w:spacing w:val="-9"/>
        </w:rPr>
        <w:t> </w:t>
      </w:r>
      <w:r>
        <w:rPr>
          <w:color w:val="231F20"/>
          <w:spacing w:val="-8"/>
        </w:rPr>
        <w:t>han realizado</w:t>
      </w:r>
      <w:r>
        <w:rPr>
          <w:color w:val="231F20"/>
          <w:spacing w:val="-9"/>
        </w:rPr>
        <w:t> </w:t>
      </w:r>
      <w:r>
        <w:rPr>
          <w:color w:val="231F20"/>
          <w:spacing w:val="-8"/>
        </w:rPr>
        <w:t>operaciones </w:t>
      </w:r>
      <w:r>
        <w:rPr>
          <w:color w:val="231F20"/>
          <w:spacing w:val="-6"/>
        </w:rPr>
        <w:t>con Cuba, ha obstaculizado nuevos avances </w:t>
      </w:r>
      <w:r>
        <w:rPr>
          <w:color w:val="231F20"/>
        </w:rPr>
        <w:t>en este sector.</w:t>
      </w:r>
    </w:p>
    <w:p>
      <w:pPr>
        <w:pStyle w:val="BodyText"/>
        <w:spacing w:before="77"/>
        <w:ind w:left="415" w:right="1118"/>
      </w:pPr>
      <w:r>
        <w:rPr/>
        <w:br w:type="column"/>
      </w:r>
      <w:r>
        <w:rPr>
          <w:color w:val="231F20"/>
        </w:rPr>
        <w:t>En este sentido, destaca el fallo de una jueza</w:t>
      </w:r>
      <w:r>
        <w:rPr>
          <w:color w:val="231F20"/>
          <w:spacing w:val="-7"/>
        </w:rPr>
        <w:t> </w:t>
      </w:r>
      <w:r>
        <w:rPr>
          <w:color w:val="231F20"/>
        </w:rPr>
        <w:t>federal</w:t>
      </w:r>
      <w:r>
        <w:rPr>
          <w:color w:val="231F20"/>
          <w:spacing w:val="-7"/>
        </w:rPr>
        <w:t> </w:t>
      </w:r>
      <w:r>
        <w:rPr>
          <w:color w:val="231F20"/>
        </w:rPr>
        <w:t>del</w:t>
      </w:r>
      <w:r>
        <w:rPr>
          <w:color w:val="231F20"/>
          <w:spacing w:val="-7"/>
        </w:rPr>
        <w:t> </w:t>
      </w:r>
      <w:r>
        <w:rPr>
          <w:color w:val="231F20"/>
        </w:rPr>
        <w:t>sur</w:t>
      </w:r>
      <w:r>
        <w:rPr>
          <w:color w:val="231F20"/>
          <w:spacing w:val="-6"/>
        </w:rPr>
        <w:t> </w:t>
      </w:r>
      <w:r>
        <w:rPr>
          <w:color w:val="231F20"/>
        </w:rPr>
        <w:t>de</w:t>
      </w:r>
      <w:r>
        <w:rPr>
          <w:color w:val="231F20"/>
          <w:spacing w:val="-7"/>
        </w:rPr>
        <w:t> </w:t>
      </w:r>
      <w:r>
        <w:rPr>
          <w:color w:val="231F20"/>
        </w:rPr>
        <w:t>la</w:t>
      </w:r>
      <w:r>
        <w:rPr>
          <w:color w:val="231F20"/>
          <w:spacing w:val="-6"/>
        </w:rPr>
        <w:t> </w:t>
      </w:r>
      <w:r>
        <w:rPr>
          <w:color w:val="231F20"/>
        </w:rPr>
        <w:t>Florida</w:t>
      </w:r>
      <w:r>
        <w:rPr>
          <w:color w:val="231F20"/>
          <w:spacing w:val="-6"/>
        </w:rPr>
        <w:t> </w:t>
      </w:r>
      <w:r>
        <w:rPr>
          <w:color w:val="231F20"/>
        </w:rPr>
        <w:t>en</w:t>
      </w:r>
      <w:r>
        <w:rPr>
          <w:color w:val="231F20"/>
          <w:spacing w:val="-7"/>
        </w:rPr>
        <w:t> </w:t>
      </w:r>
      <w:r>
        <w:rPr>
          <w:color w:val="231F20"/>
        </w:rPr>
        <w:t>2022, en virtud del Título III de la Ley Helms- Burton, mediante el cual se ordenó a cuatro líneas de cruceros que incluyeron</w:t>
      </w:r>
      <w:r>
        <w:rPr>
          <w:color w:val="231F20"/>
          <w:spacing w:val="40"/>
        </w:rPr>
        <w:t> </w:t>
      </w:r>
      <w:r>
        <w:rPr>
          <w:color w:val="231F20"/>
        </w:rPr>
        <w:t>a Cuba en sus itinerarios (Carnival, MSC SA, Royal Caribbean y Norwegian), pagar conjuntamente al demandante Havana Docks, más de 439 millones de dólares, además de los honorarios legales.</w:t>
      </w:r>
    </w:p>
    <w:p>
      <w:pPr>
        <w:pStyle w:val="BodyText"/>
        <w:spacing w:before="168"/>
        <w:ind w:left="1082" w:right="1119" w:hanging="668"/>
      </w:pPr>
      <w:r>
        <w:rPr>
          <w:color w:val="231F20"/>
        </w:rPr>
        <w:t>De haberse mantenido el turismo de crucero, el país hubiese podido </w:t>
      </w:r>
      <w:r>
        <w:rPr>
          <w:color w:val="231F20"/>
          <w:spacing w:val="-4"/>
        </w:rPr>
        <w:t>recaudar</w:t>
      </w:r>
      <w:r>
        <w:rPr>
          <w:color w:val="231F20"/>
          <w:spacing w:val="-13"/>
        </w:rPr>
        <w:t> </w:t>
      </w:r>
      <w:r>
        <w:rPr>
          <w:color w:val="231F20"/>
          <w:spacing w:val="-4"/>
        </w:rPr>
        <w:t>un</w:t>
      </w:r>
      <w:r>
        <w:rPr>
          <w:color w:val="231F20"/>
          <w:spacing w:val="-12"/>
        </w:rPr>
        <w:t> </w:t>
      </w:r>
      <w:r>
        <w:rPr>
          <w:color w:val="231F20"/>
          <w:spacing w:val="-4"/>
        </w:rPr>
        <w:t>monto</w:t>
      </w:r>
      <w:r>
        <w:rPr>
          <w:color w:val="231F20"/>
          <w:spacing w:val="-13"/>
        </w:rPr>
        <w:t> </w:t>
      </w:r>
      <w:r>
        <w:rPr>
          <w:color w:val="231F20"/>
          <w:spacing w:val="-4"/>
        </w:rPr>
        <w:t>total</w:t>
      </w:r>
      <w:r>
        <w:rPr>
          <w:color w:val="231F20"/>
          <w:spacing w:val="-12"/>
        </w:rPr>
        <w:t> </w:t>
      </w:r>
      <w:r>
        <w:rPr>
          <w:color w:val="231F20"/>
          <w:spacing w:val="-4"/>
        </w:rPr>
        <w:t>aproximado </w:t>
      </w:r>
      <w:r>
        <w:rPr>
          <w:color w:val="231F20"/>
        </w:rPr>
        <w:t>de</w:t>
      </w:r>
      <w:r>
        <w:rPr>
          <w:color w:val="231F20"/>
          <w:spacing w:val="40"/>
        </w:rPr>
        <w:t> </w:t>
      </w:r>
      <w:r>
        <w:rPr>
          <w:color w:val="231F20"/>
        </w:rPr>
        <w:t>56</w:t>
      </w:r>
      <w:r>
        <w:rPr>
          <w:color w:val="231F20"/>
          <w:spacing w:val="40"/>
        </w:rPr>
        <w:t> </w:t>
      </w:r>
      <w:r>
        <w:rPr>
          <w:color w:val="231F20"/>
        </w:rPr>
        <w:t>millones</w:t>
      </w:r>
      <w:r>
        <w:rPr>
          <w:color w:val="231F20"/>
          <w:spacing w:val="40"/>
        </w:rPr>
        <w:t> </w:t>
      </w:r>
      <w:r>
        <w:rPr>
          <w:color w:val="231F20"/>
        </w:rPr>
        <w:t>de</w:t>
      </w:r>
      <w:r>
        <w:rPr>
          <w:color w:val="231F20"/>
          <w:spacing w:val="40"/>
        </w:rPr>
        <w:t> </w:t>
      </w:r>
      <w:r>
        <w:rPr>
          <w:color w:val="231F20"/>
        </w:rPr>
        <w:t>dólares</w:t>
      </w:r>
      <w:r>
        <w:rPr>
          <w:color w:val="231F20"/>
          <w:spacing w:val="40"/>
        </w:rPr>
        <w:t> </w:t>
      </w:r>
      <w:r>
        <w:rPr>
          <w:color w:val="231F20"/>
        </w:rPr>
        <w:t>por este concepto en el período de análisis del presente informe, cifra que respaldaría los esfuerzos del </w:t>
      </w:r>
      <w:r>
        <w:rPr>
          <w:color w:val="231F20"/>
          <w:spacing w:val="-4"/>
        </w:rPr>
        <w:t>gobierno</w:t>
      </w:r>
      <w:r>
        <w:rPr>
          <w:color w:val="231F20"/>
          <w:spacing w:val="-13"/>
        </w:rPr>
        <w:t> </w:t>
      </w:r>
      <w:r>
        <w:rPr>
          <w:color w:val="231F20"/>
          <w:spacing w:val="-4"/>
        </w:rPr>
        <w:t>para</w:t>
      </w:r>
      <w:r>
        <w:rPr>
          <w:color w:val="231F20"/>
          <w:spacing w:val="-12"/>
        </w:rPr>
        <w:t> </w:t>
      </w:r>
      <w:r>
        <w:rPr>
          <w:color w:val="231F20"/>
          <w:spacing w:val="-4"/>
        </w:rPr>
        <w:t>revitalizar</w:t>
      </w:r>
      <w:r>
        <w:rPr>
          <w:color w:val="231F20"/>
          <w:spacing w:val="-13"/>
        </w:rPr>
        <w:t> </w:t>
      </w:r>
      <w:r>
        <w:rPr>
          <w:color w:val="231F20"/>
          <w:spacing w:val="-4"/>
        </w:rPr>
        <w:t>la</w:t>
      </w:r>
      <w:r>
        <w:rPr>
          <w:color w:val="231F20"/>
          <w:spacing w:val="-12"/>
        </w:rPr>
        <w:t> </w:t>
      </w:r>
      <w:r>
        <w:rPr>
          <w:color w:val="231F20"/>
          <w:spacing w:val="-4"/>
        </w:rPr>
        <w:t>economía </w:t>
      </w:r>
      <w:r>
        <w:rPr>
          <w:color w:val="231F20"/>
        </w:rPr>
        <w:t>nacional y los principales sectores sociales del país.</w:t>
      </w:r>
    </w:p>
    <w:p>
      <w:pPr>
        <w:pStyle w:val="BodyText"/>
        <w:spacing w:before="167"/>
        <w:ind w:left="1082" w:right="1120"/>
      </w:pPr>
      <w:r>
        <w:rPr>
          <w:color w:val="231F20"/>
        </w:rPr>
        <w:t>A raíz de la absurda y fraudulenta calificación de Cuba como Estado patrocinador del terrorismo, la medida tomada por el gobierno estadounidense de exigir visa de entrada</w:t>
      </w:r>
      <w:r>
        <w:rPr>
          <w:color w:val="231F20"/>
          <w:spacing w:val="-10"/>
        </w:rPr>
        <w:t> </w:t>
      </w:r>
      <w:r>
        <w:rPr>
          <w:color w:val="231F20"/>
        </w:rPr>
        <w:t>a</w:t>
      </w:r>
      <w:r>
        <w:rPr>
          <w:color w:val="231F20"/>
          <w:spacing w:val="-10"/>
        </w:rPr>
        <w:t> </w:t>
      </w:r>
      <w:r>
        <w:rPr>
          <w:color w:val="231F20"/>
        </w:rPr>
        <w:t>los</w:t>
      </w:r>
      <w:r>
        <w:rPr>
          <w:color w:val="231F20"/>
          <w:spacing w:val="-10"/>
        </w:rPr>
        <w:t> </w:t>
      </w:r>
      <w:r>
        <w:rPr>
          <w:color w:val="231F20"/>
        </w:rPr>
        <w:t>Estados</w:t>
      </w:r>
      <w:r>
        <w:rPr>
          <w:color w:val="231F20"/>
          <w:spacing w:val="-10"/>
        </w:rPr>
        <w:t> </w:t>
      </w:r>
      <w:r>
        <w:rPr>
          <w:color w:val="231F20"/>
        </w:rPr>
        <w:t>Unidos</w:t>
      </w:r>
      <w:r>
        <w:rPr>
          <w:color w:val="231F20"/>
          <w:spacing w:val="-10"/>
        </w:rPr>
        <w:t> </w:t>
      </w:r>
      <w:r>
        <w:rPr>
          <w:color w:val="231F20"/>
        </w:rPr>
        <w:t>a</w:t>
      </w:r>
      <w:r>
        <w:rPr>
          <w:color w:val="231F20"/>
          <w:spacing w:val="-10"/>
        </w:rPr>
        <w:t> </w:t>
      </w:r>
      <w:r>
        <w:rPr>
          <w:color w:val="231F20"/>
        </w:rPr>
        <w:t>toda persona</w:t>
      </w:r>
      <w:r>
        <w:rPr>
          <w:color w:val="231F20"/>
          <w:spacing w:val="40"/>
        </w:rPr>
        <w:t> </w:t>
      </w:r>
      <w:r>
        <w:rPr>
          <w:color w:val="231F20"/>
        </w:rPr>
        <w:t>que</w:t>
      </w:r>
      <w:r>
        <w:rPr>
          <w:color w:val="231F20"/>
          <w:spacing w:val="40"/>
        </w:rPr>
        <w:t> </w:t>
      </w:r>
      <w:r>
        <w:rPr>
          <w:color w:val="231F20"/>
        </w:rPr>
        <w:t>haya</w:t>
      </w:r>
      <w:r>
        <w:rPr>
          <w:color w:val="231F20"/>
          <w:spacing w:val="40"/>
        </w:rPr>
        <w:t> </w:t>
      </w:r>
      <w:r>
        <w:rPr>
          <w:color w:val="231F20"/>
        </w:rPr>
        <w:t>visitado</w:t>
      </w:r>
      <w:r>
        <w:rPr>
          <w:color w:val="231F20"/>
          <w:spacing w:val="40"/>
        </w:rPr>
        <w:t> </w:t>
      </w:r>
      <w:r>
        <w:rPr>
          <w:color w:val="231F20"/>
        </w:rPr>
        <w:t>Cuba</w:t>
      </w:r>
      <w:r>
        <w:rPr>
          <w:color w:val="231F20"/>
          <w:spacing w:val="80"/>
        </w:rPr>
        <w:t> </w:t>
      </w:r>
      <w:r>
        <w:rPr>
          <w:color w:val="231F20"/>
        </w:rPr>
        <w:t>o que desee viajar desde nuestro país, incluso siendo beneficiario</w:t>
      </w:r>
      <w:r>
        <w:rPr>
          <w:color w:val="231F20"/>
          <w:spacing w:val="80"/>
        </w:rPr>
        <w:t> </w:t>
      </w:r>
      <w:r>
        <w:rPr>
          <w:color w:val="231F20"/>
        </w:rPr>
        <w:t>del sistema ESTA, ha tenido un impacto negativo en el arribo de cubanos</w:t>
      </w:r>
      <w:r>
        <w:rPr>
          <w:color w:val="231F20"/>
          <w:spacing w:val="40"/>
        </w:rPr>
        <w:t> </w:t>
      </w:r>
      <w:r>
        <w:rPr>
          <w:color w:val="231F20"/>
        </w:rPr>
        <w:t>residentes</w:t>
      </w:r>
      <w:r>
        <w:rPr>
          <w:color w:val="231F20"/>
          <w:spacing w:val="40"/>
        </w:rPr>
        <w:t> </w:t>
      </w:r>
      <w:r>
        <w:rPr>
          <w:color w:val="231F20"/>
        </w:rPr>
        <w:t>en</w:t>
      </w:r>
      <w:r>
        <w:rPr>
          <w:color w:val="231F20"/>
          <w:spacing w:val="40"/>
        </w:rPr>
        <w:t> </w:t>
      </w:r>
      <w:r>
        <w:rPr>
          <w:color w:val="231F20"/>
        </w:rPr>
        <w:t>el</w:t>
      </w:r>
      <w:r>
        <w:rPr>
          <w:color w:val="231F20"/>
          <w:spacing w:val="40"/>
        </w:rPr>
        <w:t> </w:t>
      </w:r>
      <w:r>
        <w:rPr>
          <w:color w:val="231F20"/>
        </w:rPr>
        <w:t>exterior y de visitantes de otros mercados </w:t>
      </w:r>
      <w:r>
        <w:rPr>
          <w:color w:val="231F20"/>
          <w:spacing w:val="-4"/>
        </w:rPr>
        <w:t>correspondientes</w:t>
      </w:r>
      <w:r>
        <w:rPr>
          <w:color w:val="231F20"/>
          <w:spacing w:val="-13"/>
        </w:rPr>
        <w:t> </w:t>
      </w:r>
      <w:r>
        <w:rPr>
          <w:color w:val="231F20"/>
          <w:spacing w:val="-4"/>
        </w:rPr>
        <w:t>a</w:t>
      </w:r>
      <w:r>
        <w:rPr>
          <w:color w:val="231F20"/>
          <w:spacing w:val="-12"/>
        </w:rPr>
        <w:t> </w:t>
      </w:r>
      <w:r>
        <w:rPr>
          <w:color w:val="231F20"/>
          <w:spacing w:val="-4"/>
        </w:rPr>
        <w:t>más</w:t>
      </w:r>
      <w:r>
        <w:rPr>
          <w:color w:val="231F20"/>
          <w:spacing w:val="-13"/>
        </w:rPr>
        <w:t> </w:t>
      </w:r>
      <w:r>
        <w:rPr>
          <w:color w:val="231F20"/>
          <w:spacing w:val="-4"/>
        </w:rPr>
        <w:t>de</w:t>
      </w:r>
      <w:r>
        <w:rPr>
          <w:color w:val="231F20"/>
          <w:spacing w:val="-12"/>
        </w:rPr>
        <w:t> </w:t>
      </w:r>
      <w:r>
        <w:rPr>
          <w:color w:val="231F20"/>
          <w:spacing w:val="-4"/>
        </w:rPr>
        <w:t>50</w:t>
      </w:r>
      <w:r>
        <w:rPr>
          <w:color w:val="231F20"/>
          <w:spacing w:val="-13"/>
        </w:rPr>
        <w:t> </w:t>
      </w:r>
      <w:r>
        <w:rPr>
          <w:color w:val="231F20"/>
          <w:spacing w:val="-4"/>
        </w:rPr>
        <w:t>países. </w:t>
      </w:r>
      <w:r>
        <w:rPr>
          <w:color w:val="231F20"/>
        </w:rPr>
        <w:t>Ello ha desestimulado, igualmente, </w:t>
      </w:r>
      <w:r>
        <w:rPr>
          <w:color w:val="231F20"/>
          <w:spacing w:val="-4"/>
        </w:rPr>
        <w:t>los</w:t>
      </w:r>
      <w:r>
        <w:rPr>
          <w:color w:val="231F20"/>
          <w:spacing w:val="-21"/>
        </w:rPr>
        <w:t> </w:t>
      </w:r>
      <w:r>
        <w:rPr>
          <w:color w:val="231F20"/>
          <w:spacing w:val="-4"/>
        </w:rPr>
        <w:t>viajes</w:t>
      </w:r>
      <w:r>
        <w:rPr>
          <w:color w:val="231F20"/>
          <w:spacing w:val="-21"/>
        </w:rPr>
        <w:t> </w:t>
      </w:r>
      <w:r>
        <w:rPr>
          <w:color w:val="231F20"/>
          <w:spacing w:val="-4"/>
        </w:rPr>
        <w:t>de</w:t>
      </w:r>
      <w:r>
        <w:rPr>
          <w:color w:val="231F20"/>
          <w:spacing w:val="-20"/>
        </w:rPr>
        <w:t> </w:t>
      </w:r>
      <w:r>
        <w:rPr>
          <w:color w:val="231F20"/>
          <w:spacing w:val="-4"/>
        </w:rPr>
        <w:t>estadounidenses</w:t>
      </w:r>
      <w:r>
        <w:rPr>
          <w:color w:val="231F20"/>
          <w:spacing w:val="-21"/>
        </w:rPr>
        <w:t> </w:t>
      </w:r>
      <w:r>
        <w:rPr>
          <w:color w:val="231F20"/>
          <w:spacing w:val="-4"/>
        </w:rPr>
        <w:t>a</w:t>
      </w:r>
      <w:r>
        <w:rPr>
          <w:color w:val="231F20"/>
          <w:spacing w:val="-20"/>
        </w:rPr>
        <w:t> </w:t>
      </w:r>
      <w:r>
        <w:rPr>
          <w:color w:val="231F20"/>
          <w:spacing w:val="-4"/>
        </w:rPr>
        <w:t>Cuba,</w:t>
      </w:r>
    </w:p>
    <w:p>
      <w:pPr>
        <w:pStyle w:val="BodyText"/>
        <w:spacing w:before="13"/>
        <w:ind w:left="415" w:right="1121"/>
      </w:pPr>
      <w:r>
        <w:rPr>
          <w:color w:val="231F20"/>
          <w:spacing w:val="-2"/>
        </w:rPr>
        <w:t>aun</w:t>
      </w:r>
      <w:r>
        <w:rPr>
          <w:color w:val="231F20"/>
          <w:spacing w:val="-15"/>
        </w:rPr>
        <w:t> </w:t>
      </w:r>
      <w:r>
        <w:rPr>
          <w:color w:val="231F20"/>
          <w:spacing w:val="-2"/>
        </w:rPr>
        <w:t>cuando</w:t>
      </w:r>
      <w:r>
        <w:rPr>
          <w:color w:val="231F20"/>
          <w:spacing w:val="-14"/>
        </w:rPr>
        <w:t> </w:t>
      </w:r>
      <w:r>
        <w:rPr>
          <w:color w:val="231F20"/>
          <w:spacing w:val="-2"/>
        </w:rPr>
        <w:t>su</w:t>
      </w:r>
      <w:r>
        <w:rPr>
          <w:color w:val="231F20"/>
          <w:spacing w:val="-15"/>
        </w:rPr>
        <w:t> </w:t>
      </w:r>
      <w:r>
        <w:rPr>
          <w:color w:val="231F20"/>
          <w:spacing w:val="-2"/>
        </w:rPr>
        <w:t>propósito</w:t>
      </w:r>
      <w:r>
        <w:rPr>
          <w:color w:val="231F20"/>
          <w:spacing w:val="-14"/>
        </w:rPr>
        <w:t> </w:t>
      </w:r>
      <w:r>
        <w:rPr>
          <w:color w:val="231F20"/>
          <w:spacing w:val="-2"/>
        </w:rPr>
        <w:t>esté</w:t>
      </w:r>
      <w:r>
        <w:rPr>
          <w:color w:val="231F20"/>
          <w:spacing w:val="-15"/>
        </w:rPr>
        <w:t> </w:t>
      </w:r>
      <w:r>
        <w:rPr>
          <w:color w:val="231F20"/>
          <w:spacing w:val="-2"/>
        </w:rPr>
        <w:t>dentro</w:t>
      </w:r>
      <w:r>
        <w:rPr>
          <w:color w:val="231F20"/>
          <w:spacing w:val="-14"/>
        </w:rPr>
        <w:t> </w:t>
      </w:r>
      <w:r>
        <w:rPr>
          <w:color w:val="231F20"/>
          <w:spacing w:val="-2"/>
        </w:rPr>
        <w:t>de</w:t>
      </w:r>
      <w:r>
        <w:rPr>
          <w:color w:val="231F20"/>
          <w:spacing w:val="-15"/>
        </w:rPr>
        <w:t> </w:t>
      </w:r>
      <w:r>
        <w:rPr>
          <w:color w:val="231F20"/>
          <w:spacing w:val="-2"/>
        </w:rPr>
        <w:t>las </w:t>
      </w:r>
      <w:r>
        <w:rPr>
          <w:color w:val="231F20"/>
        </w:rPr>
        <w:t>12</w:t>
      </w:r>
      <w:r>
        <w:rPr>
          <w:color w:val="231F20"/>
          <w:spacing w:val="-4"/>
        </w:rPr>
        <w:t> </w:t>
      </w:r>
      <w:r>
        <w:rPr>
          <w:color w:val="231F20"/>
        </w:rPr>
        <w:t>categorías</w:t>
      </w:r>
      <w:r>
        <w:rPr>
          <w:color w:val="231F20"/>
          <w:spacing w:val="-4"/>
        </w:rPr>
        <w:t> </w:t>
      </w:r>
      <w:r>
        <w:rPr>
          <w:color w:val="231F20"/>
        </w:rPr>
        <w:t>permitidas</w:t>
      </w:r>
      <w:r>
        <w:rPr>
          <w:color w:val="231F20"/>
          <w:spacing w:val="-4"/>
        </w:rPr>
        <w:t> </w:t>
      </w:r>
      <w:r>
        <w:rPr>
          <w:color w:val="231F20"/>
        </w:rPr>
        <w:t>por</w:t>
      </w:r>
      <w:r>
        <w:rPr>
          <w:color w:val="231F20"/>
          <w:spacing w:val="-4"/>
        </w:rPr>
        <w:t> </w:t>
      </w:r>
      <w:r>
        <w:rPr>
          <w:color w:val="231F20"/>
        </w:rPr>
        <w:t>su</w:t>
      </w:r>
      <w:r>
        <w:rPr>
          <w:color w:val="231F20"/>
          <w:spacing w:val="-4"/>
        </w:rPr>
        <w:t> </w:t>
      </w:r>
      <w:r>
        <w:rPr>
          <w:color w:val="231F20"/>
        </w:rPr>
        <w:t>gobierno.</w:t>
      </w:r>
    </w:p>
    <w:p>
      <w:pPr>
        <w:pStyle w:val="BodyText"/>
        <w:spacing w:before="161"/>
        <w:ind w:left="415" w:right="1120"/>
      </w:pPr>
      <w:r>
        <w:rPr>
          <w:color w:val="231F20"/>
        </w:rPr>
        <w:t>Producto de las acciones de persecución financiera del gobierno de los Estados Unidos,</w:t>
      </w:r>
      <w:r>
        <w:rPr>
          <w:color w:val="231F20"/>
          <w:spacing w:val="-15"/>
        </w:rPr>
        <w:t> </w:t>
      </w:r>
      <w:r>
        <w:rPr>
          <w:color w:val="231F20"/>
        </w:rPr>
        <w:t>bancos</w:t>
      </w:r>
      <w:r>
        <w:rPr>
          <w:color w:val="231F20"/>
          <w:spacing w:val="-15"/>
        </w:rPr>
        <w:t> </w:t>
      </w:r>
      <w:r>
        <w:rPr>
          <w:color w:val="231F20"/>
        </w:rPr>
        <w:t>extranjeros</w:t>
      </w:r>
      <w:r>
        <w:rPr>
          <w:color w:val="231F20"/>
          <w:spacing w:val="-15"/>
        </w:rPr>
        <w:t> </w:t>
      </w:r>
      <w:r>
        <w:rPr>
          <w:color w:val="231F20"/>
        </w:rPr>
        <w:t>se</w:t>
      </w:r>
      <w:r>
        <w:rPr>
          <w:color w:val="231F20"/>
          <w:spacing w:val="-15"/>
        </w:rPr>
        <w:t> </w:t>
      </w:r>
      <w:r>
        <w:rPr>
          <w:color w:val="231F20"/>
        </w:rPr>
        <w:t>han</w:t>
      </w:r>
      <w:r>
        <w:rPr>
          <w:color w:val="231F20"/>
          <w:spacing w:val="-15"/>
        </w:rPr>
        <w:t> </w:t>
      </w:r>
      <w:r>
        <w:rPr>
          <w:color w:val="231F20"/>
        </w:rPr>
        <w:t>negado a</w:t>
      </w:r>
      <w:r>
        <w:rPr>
          <w:color w:val="231F20"/>
          <w:spacing w:val="11"/>
        </w:rPr>
        <w:t> </w:t>
      </w:r>
      <w:r>
        <w:rPr>
          <w:color w:val="231F20"/>
        </w:rPr>
        <w:t>trabajar</w:t>
      </w:r>
      <w:r>
        <w:rPr>
          <w:color w:val="231F20"/>
          <w:spacing w:val="12"/>
        </w:rPr>
        <w:t> </w:t>
      </w:r>
      <w:r>
        <w:rPr>
          <w:color w:val="231F20"/>
        </w:rPr>
        <w:t>con</w:t>
      </w:r>
      <w:r>
        <w:rPr>
          <w:color w:val="231F20"/>
          <w:spacing w:val="12"/>
        </w:rPr>
        <w:t> </w:t>
      </w:r>
      <w:r>
        <w:rPr>
          <w:color w:val="231F20"/>
        </w:rPr>
        <w:t>Cuba,</w:t>
      </w:r>
      <w:r>
        <w:rPr>
          <w:color w:val="231F20"/>
          <w:spacing w:val="11"/>
        </w:rPr>
        <w:t> </w:t>
      </w:r>
      <w:r>
        <w:rPr>
          <w:color w:val="231F20"/>
        </w:rPr>
        <w:t>lo</w:t>
      </w:r>
      <w:r>
        <w:rPr>
          <w:color w:val="231F20"/>
          <w:spacing w:val="12"/>
        </w:rPr>
        <w:t> </w:t>
      </w:r>
      <w:r>
        <w:rPr>
          <w:color w:val="231F20"/>
        </w:rPr>
        <w:t>que</w:t>
      </w:r>
      <w:r>
        <w:rPr>
          <w:color w:val="231F20"/>
          <w:spacing w:val="12"/>
        </w:rPr>
        <w:t> </w:t>
      </w:r>
      <w:r>
        <w:rPr>
          <w:color w:val="231F20"/>
        </w:rPr>
        <w:t>ha</w:t>
      </w:r>
      <w:r>
        <w:rPr>
          <w:color w:val="231F20"/>
          <w:spacing w:val="12"/>
        </w:rPr>
        <w:t> </w:t>
      </w:r>
      <w:r>
        <w:rPr>
          <w:color w:val="231F20"/>
          <w:spacing w:val="-2"/>
        </w:rPr>
        <w:t>conducido</w:t>
      </w:r>
    </w:p>
    <w:p>
      <w:pPr>
        <w:spacing w:after="0"/>
        <w:sectPr>
          <w:pgSz w:w="11910" w:h="16840"/>
          <w:pgMar w:header="0" w:footer="695" w:top="1260" w:bottom="880" w:left="0" w:right="0"/>
          <w:cols w:num="2" w:equalWidth="0">
            <w:col w:w="5895" w:space="40"/>
            <w:col w:w="5975"/>
          </w:cols>
        </w:sectPr>
      </w:pPr>
    </w:p>
    <w:p>
      <w:pPr>
        <w:pStyle w:val="BodyText"/>
        <w:spacing w:before="77"/>
        <w:ind w:left="1133"/>
      </w:pPr>
      <w:r>
        <w:rPr>
          <w:color w:val="231F20"/>
        </w:rPr>
        <w:t>a</w:t>
      </w:r>
      <w:r>
        <w:rPr>
          <w:color w:val="231F20"/>
          <w:spacing w:val="-2"/>
        </w:rPr>
        <w:t> </w:t>
      </w:r>
      <w:r>
        <w:rPr>
          <w:color w:val="231F20"/>
        </w:rPr>
        <w:t>la</w:t>
      </w:r>
      <w:r>
        <w:rPr>
          <w:color w:val="231F20"/>
          <w:spacing w:val="-2"/>
        </w:rPr>
        <w:t> </w:t>
      </w:r>
      <w:r>
        <w:rPr>
          <w:color w:val="231F20"/>
        </w:rPr>
        <w:t>drástica</w:t>
      </w:r>
      <w:r>
        <w:rPr>
          <w:color w:val="231F20"/>
          <w:spacing w:val="-2"/>
        </w:rPr>
        <w:t> </w:t>
      </w:r>
      <w:r>
        <w:rPr>
          <w:color w:val="231F20"/>
        </w:rPr>
        <w:t>reducción</w:t>
      </w:r>
      <w:r>
        <w:rPr>
          <w:color w:val="231F20"/>
          <w:spacing w:val="-2"/>
        </w:rPr>
        <w:t> </w:t>
      </w:r>
      <w:r>
        <w:rPr>
          <w:color w:val="231F20"/>
        </w:rPr>
        <w:t>de</w:t>
      </w:r>
      <w:r>
        <w:rPr>
          <w:color w:val="231F20"/>
          <w:spacing w:val="-2"/>
        </w:rPr>
        <w:t> </w:t>
      </w:r>
      <w:r>
        <w:rPr>
          <w:color w:val="231F20"/>
        </w:rPr>
        <w:t>las</w:t>
      </w:r>
      <w:r>
        <w:rPr>
          <w:color w:val="231F20"/>
          <w:spacing w:val="-2"/>
        </w:rPr>
        <w:t> </w:t>
      </w:r>
      <w:r>
        <w:rPr>
          <w:color w:val="231F20"/>
        </w:rPr>
        <w:t>operaciones comerciales</w:t>
      </w:r>
      <w:r>
        <w:rPr>
          <w:color w:val="231F20"/>
          <w:spacing w:val="-4"/>
        </w:rPr>
        <w:t> </w:t>
      </w:r>
      <w:r>
        <w:rPr>
          <w:color w:val="231F20"/>
        </w:rPr>
        <w:t>y</w:t>
      </w:r>
      <w:r>
        <w:rPr>
          <w:color w:val="231F20"/>
          <w:spacing w:val="-4"/>
        </w:rPr>
        <w:t> </w:t>
      </w:r>
      <w:r>
        <w:rPr>
          <w:color w:val="231F20"/>
        </w:rPr>
        <w:t>la</w:t>
      </w:r>
      <w:r>
        <w:rPr>
          <w:color w:val="231F20"/>
          <w:spacing w:val="-4"/>
        </w:rPr>
        <w:t> </w:t>
      </w:r>
      <w:r>
        <w:rPr>
          <w:color w:val="231F20"/>
        </w:rPr>
        <w:t>consecuente</w:t>
      </w:r>
      <w:r>
        <w:rPr>
          <w:color w:val="231F20"/>
          <w:spacing w:val="-4"/>
        </w:rPr>
        <w:t> </w:t>
      </w:r>
      <w:r>
        <w:rPr>
          <w:color w:val="231F20"/>
        </w:rPr>
        <w:t>afectación</w:t>
      </w:r>
      <w:r>
        <w:rPr>
          <w:color w:val="231F20"/>
          <w:spacing w:val="-4"/>
        </w:rPr>
        <w:t> </w:t>
      </w:r>
      <w:r>
        <w:rPr>
          <w:color w:val="231F20"/>
        </w:rPr>
        <w:t>a la</w:t>
      </w:r>
      <w:r>
        <w:rPr>
          <w:color w:val="231F20"/>
          <w:spacing w:val="-17"/>
        </w:rPr>
        <w:t> </w:t>
      </w:r>
      <w:r>
        <w:rPr>
          <w:color w:val="231F20"/>
        </w:rPr>
        <w:t>venta</w:t>
      </w:r>
      <w:r>
        <w:rPr>
          <w:color w:val="231F20"/>
          <w:spacing w:val="-16"/>
        </w:rPr>
        <w:t> </w:t>
      </w:r>
      <w:r>
        <w:rPr>
          <w:color w:val="231F20"/>
        </w:rPr>
        <w:t>de</w:t>
      </w:r>
      <w:r>
        <w:rPr>
          <w:color w:val="231F20"/>
          <w:spacing w:val="-17"/>
        </w:rPr>
        <w:t> </w:t>
      </w:r>
      <w:r>
        <w:rPr>
          <w:color w:val="231F20"/>
        </w:rPr>
        <w:t>paquetes</w:t>
      </w:r>
      <w:r>
        <w:rPr>
          <w:color w:val="231F20"/>
          <w:spacing w:val="-16"/>
        </w:rPr>
        <w:t> </w:t>
      </w:r>
      <w:r>
        <w:rPr>
          <w:color w:val="231F20"/>
        </w:rPr>
        <w:t>turísticos.</w:t>
      </w:r>
      <w:r>
        <w:rPr>
          <w:color w:val="231F20"/>
          <w:spacing w:val="-17"/>
        </w:rPr>
        <w:t> </w:t>
      </w:r>
      <w:r>
        <w:rPr>
          <w:color w:val="231F20"/>
        </w:rPr>
        <w:t>Havanatur, Grupo Internacional de Turoperadores y Agencias</w:t>
      </w:r>
      <w:r>
        <w:rPr>
          <w:color w:val="231F20"/>
          <w:spacing w:val="-17"/>
        </w:rPr>
        <w:t> </w:t>
      </w:r>
      <w:r>
        <w:rPr>
          <w:color w:val="231F20"/>
        </w:rPr>
        <w:t>de</w:t>
      </w:r>
      <w:r>
        <w:rPr>
          <w:color w:val="231F20"/>
          <w:spacing w:val="-16"/>
        </w:rPr>
        <w:t> </w:t>
      </w:r>
      <w:r>
        <w:rPr>
          <w:color w:val="231F20"/>
        </w:rPr>
        <w:t>Viajes,</w:t>
      </w:r>
      <w:r>
        <w:rPr>
          <w:color w:val="231F20"/>
          <w:spacing w:val="-17"/>
        </w:rPr>
        <w:t> </w:t>
      </w:r>
      <w:r>
        <w:rPr>
          <w:color w:val="231F20"/>
        </w:rPr>
        <w:t>líder</w:t>
      </w:r>
      <w:r>
        <w:rPr>
          <w:color w:val="231F20"/>
          <w:spacing w:val="-16"/>
        </w:rPr>
        <w:t> </w:t>
      </w:r>
      <w:r>
        <w:rPr>
          <w:color w:val="231F20"/>
        </w:rPr>
        <w:t>en</w:t>
      </w:r>
      <w:r>
        <w:rPr>
          <w:color w:val="231F20"/>
          <w:spacing w:val="-17"/>
        </w:rPr>
        <w:t> </w:t>
      </w:r>
      <w:r>
        <w:rPr>
          <w:color w:val="231F20"/>
        </w:rPr>
        <w:t>la</w:t>
      </w:r>
      <w:r>
        <w:rPr>
          <w:color w:val="231F20"/>
          <w:spacing w:val="-16"/>
        </w:rPr>
        <w:t> </w:t>
      </w:r>
      <w:r>
        <w:rPr>
          <w:color w:val="231F20"/>
        </w:rPr>
        <w:t>promoción</w:t>
      </w:r>
      <w:r>
        <w:rPr>
          <w:color w:val="231F20"/>
          <w:spacing w:val="-17"/>
        </w:rPr>
        <w:t> </w:t>
      </w:r>
      <w:r>
        <w:rPr>
          <w:color w:val="231F20"/>
        </w:rPr>
        <w:t>y </w:t>
      </w:r>
      <w:r>
        <w:rPr>
          <w:color w:val="231F20"/>
          <w:spacing w:val="-4"/>
        </w:rPr>
        <w:t>comercialización</w:t>
      </w:r>
      <w:r>
        <w:rPr>
          <w:color w:val="231F20"/>
          <w:spacing w:val="-13"/>
        </w:rPr>
        <w:t> </w:t>
      </w:r>
      <w:r>
        <w:rPr>
          <w:color w:val="231F20"/>
          <w:spacing w:val="-4"/>
        </w:rPr>
        <w:t>de</w:t>
      </w:r>
      <w:r>
        <w:rPr>
          <w:color w:val="231F20"/>
          <w:spacing w:val="-12"/>
        </w:rPr>
        <w:t> </w:t>
      </w:r>
      <w:r>
        <w:rPr>
          <w:color w:val="231F20"/>
          <w:spacing w:val="-4"/>
        </w:rPr>
        <w:t>los</w:t>
      </w:r>
      <w:r>
        <w:rPr>
          <w:color w:val="231F20"/>
          <w:spacing w:val="-13"/>
        </w:rPr>
        <w:t> </w:t>
      </w:r>
      <w:r>
        <w:rPr>
          <w:color w:val="231F20"/>
          <w:spacing w:val="-4"/>
        </w:rPr>
        <w:t>productos</w:t>
      </w:r>
      <w:r>
        <w:rPr>
          <w:color w:val="231F20"/>
          <w:spacing w:val="-12"/>
        </w:rPr>
        <w:t> </w:t>
      </w:r>
      <w:r>
        <w:rPr>
          <w:color w:val="231F20"/>
          <w:spacing w:val="-4"/>
        </w:rPr>
        <w:t>turísticos </w:t>
      </w:r>
      <w:r>
        <w:rPr>
          <w:color w:val="231F20"/>
        </w:rPr>
        <w:t>cubanos, ha debido enfrentar el cierre de sus cuentas en el exterior.</w:t>
      </w:r>
    </w:p>
    <w:p>
      <w:pPr>
        <w:pStyle w:val="BodyText"/>
        <w:spacing w:before="166"/>
        <w:ind w:left="1133"/>
      </w:pPr>
      <w:r>
        <w:rPr>
          <w:color w:val="231F20"/>
          <w:spacing w:val="-2"/>
        </w:rPr>
        <w:t>Adicionalmente,</w:t>
      </w:r>
      <w:r>
        <w:rPr>
          <w:color w:val="231F20"/>
          <w:spacing w:val="-15"/>
        </w:rPr>
        <w:t> </w:t>
      </w:r>
      <w:r>
        <w:rPr>
          <w:color w:val="231F20"/>
          <w:spacing w:val="-2"/>
        </w:rPr>
        <w:t>la</w:t>
      </w:r>
      <w:r>
        <w:rPr>
          <w:color w:val="231F20"/>
          <w:spacing w:val="-14"/>
        </w:rPr>
        <w:t> </w:t>
      </w:r>
      <w:r>
        <w:rPr>
          <w:color w:val="231F20"/>
          <w:spacing w:val="-2"/>
        </w:rPr>
        <w:t>demora</w:t>
      </w:r>
      <w:r>
        <w:rPr>
          <w:color w:val="231F20"/>
          <w:spacing w:val="-15"/>
        </w:rPr>
        <w:t> </w:t>
      </w:r>
      <w:r>
        <w:rPr>
          <w:color w:val="231F20"/>
          <w:spacing w:val="-2"/>
        </w:rPr>
        <w:t>de</w:t>
      </w:r>
      <w:r>
        <w:rPr>
          <w:color w:val="231F20"/>
          <w:spacing w:val="-14"/>
        </w:rPr>
        <w:t> </w:t>
      </w:r>
      <w:r>
        <w:rPr>
          <w:color w:val="231F20"/>
          <w:spacing w:val="-2"/>
        </w:rPr>
        <w:t>los</w:t>
      </w:r>
      <w:r>
        <w:rPr>
          <w:color w:val="231F20"/>
          <w:spacing w:val="-15"/>
        </w:rPr>
        <w:t> </w:t>
      </w:r>
      <w:r>
        <w:rPr>
          <w:color w:val="231F20"/>
          <w:spacing w:val="-2"/>
        </w:rPr>
        <w:t>procesos </w:t>
      </w:r>
      <w:r>
        <w:rPr>
          <w:color w:val="231F20"/>
        </w:rPr>
        <w:t>de pago de los bancos con que se opera actualmente ha ocasionado cuantiosos daños</w:t>
      </w:r>
      <w:r>
        <w:rPr>
          <w:color w:val="231F20"/>
          <w:spacing w:val="-6"/>
        </w:rPr>
        <w:t> </w:t>
      </w:r>
      <w:r>
        <w:rPr>
          <w:color w:val="231F20"/>
        </w:rPr>
        <w:t>al</w:t>
      </w:r>
      <w:r>
        <w:rPr>
          <w:color w:val="231F20"/>
          <w:spacing w:val="-6"/>
        </w:rPr>
        <w:t> </w:t>
      </w:r>
      <w:r>
        <w:rPr>
          <w:color w:val="231F20"/>
        </w:rPr>
        <w:t>sector.</w:t>
      </w:r>
      <w:r>
        <w:rPr>
          <w:color w:val="231F20"/>
          <w:spacing w:val="-6"/>
        </w:rPr>
        <w:t> </w:t>
      </w:r>
      <w:r>
        <w:rPr>
          <w:color w:val="231F20"/>
        </w:rPr>
        <w:t>Debido</w:t>
      </w:r>
      <w:r>
        <w:rPr>
          <w:color w:val="231F20"/>
          <w:spacing w:val="-5"/>
        </w:rPr>
        <w:t> </w:t>
      </w:r>
      <w:r>
        <w:rPr>
          <w:color w:val="231F20"/>
        </w:rPr>
        <w:t>a</w:t>
      </w:r>
      <w:r>
        <w:rPr>
          <w:color w:val="231F20"/>
          <w:spacing w:val="-5"/>
        </w:rPr>
        <w:t> </w:t>
      </w:r>
      <w:r>
        <w:rPr>
          <w:color w:val="231F20"/>
        </w:rPr>
        <w:t>la</w:t>
      </w:r>
      <w:r>
        <w:rPr>
          <w:color w:val="231F20"/>
          <w:spacing w:val="-5"/>
        </w:rPr>
        <w:t> </w:t>
      </w:r>
      <w:r>
        <w:rPr>
          <w:color w:val="231F20"/>
        </w:rPr>
        <w:t>imposibilidad </w:t>
      </w:r>
      <w:r>
        <w:rPr>
          <w:color w:val="231F20"/>
          <w:spacing w:val="-2"/>
        </w:rPr>
        <w:t>de</w:t>
      </w:r>
      <w:r>
        <w:rPr>
          <w:color w:val="231F20"/>
          <w:spacing w:val="-14"/>
        </w:rPr>
        <w:t> </w:t>
      </w:r>
      <w:r>
        <w:rPr>
          <w:color w:val="231F20"/>
          <w:spacing w:val="-2"/>
        </w:rPr>
        <w:t>emplear</w:t>
      </w:r>
      <w:r>
        <w:rPr>
          <w:color w:val="231F20"/>
          <w:spacing w:val="-14"/>
        </w:rPr>
        <w:t> </w:t>
      </w:r>
      <w:r>
        <w:rPr>
          <w:color w:val="231F20"/>
          <w:spacing w:val="-2"/>
        </w:rPr>
        <w:t>la</w:t>
      </w:r>
      <w:r>
        <w:rPr>
          <w:color w:val="231F20"/>
          <w:spacing w:val="-12"/>
        </w:rPr>
        <w:t> </w:t>
      </w:r>
      <w:r>
        <w:rPr>
          <w:color w:val="231F20"/>
          <w:spacing w:val="-2"/>
        </w:rPr>
        <w:t>moneda</w:t>
      </w:r>
      <w:r>
        <w:rPr>
          <w:color w:val="231F20"/>
          <w:spacing w:val="-12"/>
        </w:rPr>
        <w:t> </w:t>
      </w:r>
      <w:r>
        <w:rPr>
          <w:color w:val="231F20"/>
          <w:spacing w:val="-2"/>
        </w:rPr>
        <w:t>estadounidense,</w:t>
      </w:r>
      <w:r>
        <w:rPr>
          <w:color w:val="231F20"/>
          <w:spacing w:val="-14"/>
        </w:rPr>
        <w:t> </w:t>
      </w:r>
      <w:r>
        <w:rPr>
          <w:color w:val="231F20"/>
          <w:spacing w:val="-2"/>
        </w:rPr>
        <w:t>las </w:t>
      </w:r>
      <w:r>
        <w:rPr>
          <w:color w:val="231F20"/>
        </w:rPr>
        <w:t>agencias de viajes se han visto obligadas a buscar formas de envío de fondos elevadamente riesgosas y costosas, en ocasiones con más de tres cambios de moneda, lo que ha causado pérdidas monetario-financieras considerables.</w:t>
      </w:r>
    </w:p>
    <w:p>
      <w:pPr>
        <w:pStyle w:val="BodyText"/>
        <w:spacing w:before="169"/>
        <w:ind w:left="1133"/>
      </w:pPr>
      <w:r>
        <w:rPr>
          <w:color w:val="231F20"/>
        </w:rPr>
        <w:t>Los obstáculos impuestos a las tran- sacciones comerciales con Cuba en un contexto</w:t>
      </w:r>
      <w:r>
        <w:rPr>
          <w:color w:val="231F20"/>
          <w:spacing w:val="-11"/>
        </w:rPr>
        <w:t> </w:t>
      </w:r>
      <w:r>
        <w:rPr>
          <w:color w:val="231F20"/>
        </w:rPr>
        <w:t>de</w:t>
      </w:r>
      <w:r>
        <w:rPr>
          <w:color w:val="231F20"/>
          <w:spacing w:val="-11"/>
        </w:rPr>
        <w:t> </w:t>
      </w:r>
      <w:r>
        <w:rPr>
          <w:color w:val="231F20"/>
        </w:rPr>
        <w:t>crisis</w:t>
      </w:r>
      <w:r>
        <w:rPr>
          <w:color w:val="231F20"/>
          <w:spacing w:val="-11"/>
        </w:rPr>
        <w:t> </w:t>
      </w:r>
      <w:r>
        <w:rPr>
          <w:color w:val="231F20"/>
        </w:rPr>
        <w:t>económica</w:t>
      </w:r>
      <w:r>
        <w:rPr>
          <w:color w:val="231F20"/>
          <w:spacing w:val="-11"/>
        </w:rPr>
        <w:t> </w:t>
      </w:r>
      <w:r>
        <w:rPr>
          <w:color w:val="231F20"/>
        </w:rPr>
        <w:t>a</w:t>
      </w:r>
      <w:r>
        <w:rPr>
          <w:color w:val="231F20"/>
          <w:spacing w:val="-11"/>
        </w:rPr>
        <w:t> </w:t>
      </w:r>
      <w:r>
        <w:rPr>
          <w:color w:val="231F20"/>
        </w:rPr>
        <w:t>nivel</w:t>
      </w:r>
      <w:r>
        <w:rPr>
          <w:color w:val="231F20"/>
          <w:spacing w:val="-11"/>
        </w:rPr>
        <w:t> </w:t>
      </w:r>
      <w:r>
        <w:rPr>
          <w:color w:val="231F20"/>
        </w:rPr>
        <w:t>inter- nacional, han incidido en la </w:t>
      </w:r>
      <w:r>
        <w:rPr>
          <w:color w:val="231F20"/>
        </w:rPr>
        <w:t>disminución de los potenciales inversores en el sector turístico. Lo anterior ha impactado en el desarrollo</w:t>
      </w:r>
      <w:r>
        <w:rPr>
          <w:color w:val="231F20"/>
          <w:spacing w:val="40"/>
        </w:rPr>
        <w:t> </w:t>
      </w:r>
      <w:r>
        <w:rPr>
          <w:color w:val="231F20"/>
        </w:rPr>
        <w:t>de</w:t>
      </w:r>
      <w:r>
        <w:rPr>
          <w:color w:val="231F20"/>
          <w:spacing w:val="40"/>
        </w:rPr>
        <w:t> </w:t>
      </w:r>
      <w:r>
        <w:rPr>
          <w:color w:val="231F20"/>
        </w:rPr>
        <w:t>las</w:t>
      </w:r>
      <w:r>
        <w:rPr>
          <w:color w:val="231F20"/>
          <w:spacing w:val="40"/>
        </w:rPr>
        <w:t> </w:t>
      </w:r>
      <w:r>
        <w:rPr>
          <w:color w:val="231F20"/>
        </w:rPr>
        <w:t>líneas</w:t>
      </w:r>
      <w:r>
        <w:rPr>
          <w:color w:val="231F20"/>
          <w:spacing w:val="40"/>
        </w:rPr>
        <w:t> </w:t>
      </w:r>
      <w:r>
        <w:rPr>
          <w:color w:val="231F20"/>
        </w:rPr>
        <w:t>de</w:t>
      </w:r>
      <w:r>
        <w:rPr>
          <w:color w:val="231F20"/>
          <w:spacing w:val="40"/>
        </w:rPr>
        <w:t> </w:t>
      </w:r>
      <w:r>
        <w:rPr>
          <w:color w:val="231F20"/>
        </w:rPr>
        <w:t>negocios</w:t>
      </w:r>
      <w:r>
        <w:rPr>
          <w:color w:val="231F20"/>
          <w:spacing w:val="40"/>
        </w:rPr>
        <w:t> </w:t>
      </w:r>
      <w:r>
        <w:rPr>
          <w:color w:val="231F20"/>
        </w:rPr>
        <w:t>de la empresa cubana Palmares y sus 4 pro- yectos en Cartera de Oportunidades con Inversión Extranjera.</w:t>
      </w:r>
    </w:p>
    <w:p>
      <w:pPr>
        <w:pStyle w:val="BodyText"/>
        <w:spacing w:before="167"/>
        <w:ind w:left="1133"/>
      </w:pPr>
      <w:r>
        <w:rPr>
          <w:color w:val="231F20"/>
          <w:spacing w:val="-4"/>
        </w:rPr>
        <w:t>En</w:t>
      </w:r>
      <w:r>
        <w:rPr>
          <w:color w:val="231F20"/>
          <w:spacing w:val="-13"/>
        </w:rPr>
        <w:t> </w:t>
      </w:r>
      <w:r>
        <w:rPr>
          <w:color w:val="231F20"/>
          <w:spacing w:val="-4"/>
        </w:rPr>
        <w:t>el</w:t>
      </w:r>
      <w:r>
        <w:rPr>
          <w:color w:val="231F20"/>
          <w:spacing w:val="-12"/>
        </w:rPr>
        <w:t> </w:t>
      </w:r>
      <w:r>
        <w:rPr>
          <w:color w:val="231F20"/>
          <w:spacing w:val="-4"/>
        </w:rPr>
        <w:t>caso</w:t>
      </w:r>
      <w:r>
        <w:rPr>
          <w:color w:val="231F20"/>
          <w:spacing w:val="-13"/>
        </w:rPr>
        <w:t> </w:t>
      </w:r>
      <w:r>
        <w:rPr>
          <w:color w:val="231F20"/>
          <w:spacing w:val="-4"/>
        </w:rPr>
        <w:t>del</w:t>
      </w:r>
      <w:r>
        <w:rPr>
          <w:color w:val="231F20"/>
          <w:spacing w:val="-12"/>
        </w:rPr>
        <w:t> </w:t>
      </w:r>
      <w:r>
        <w:rPr>
          <w:color w:val="231F20"/>
          <w:spacing w:val="-4"/>
        </w:rPr>
        <w:t>proyecto</w:t>
      </w:r>
      <w:r>
        <w:rPr>
          <w:color w:val="231F20"/>
          <w:spacing w:val="-13"/>
        </w:rPr>
        <w:t> </w:t>
      </w:r>
      <w:r>
        <w:rPr>
          <w:color w:val="231F20"/>
          <w:spacing w:val="-4"/>
        </w:rPr>
        <w:t>del</w:t>
      </w:r>
      <w:r>
        <w:rPr>
          <w:color w:val="231F20"/>
          <w:spacing w:val="-12"/>
        </w:rPr>
        <w:t> </w:t>
      </w:r>
      <w:r>
        <w:rPr>
          <w:color w:val="231F20"/>
          <w:spacing w:val="-4"/>
        </w:rPr>
        <w:t>Parque</w:t>
      </w:r>
      <w:r>
        <w:rPr>
          <w:color w:val="231F20"/>
          <w:spacing w:val="-13"/>
        </w:rPr>
        <w:t> </w:t>
      </w:r>
      <w:r>
        <w:rPr>
          <w:color w:val="231F20"/>
          <w:spacing w:val="-4"/>
        </w:rPr>
        <w:t>Acuático </w:t>
      </w:r>
      <w:r>
        <w:rPr>
          <w:color w:val="231F20"/>
          <w:spacing w:val="-2"/>
        </w:rPr>
        <w:t>de</w:t>
      </w:r>
      <w:r>
        <w:rPr>
          <w:color w:val="231F20"/>
          <w:spacing w:val="-15"/>
        </w:rPr>
        <w:t> </w:t>
      </w:r>
      <w:r>
        <w:rPr>
          <w:color w:val="231F20"/>
          <w:spacing w:val="-2"/>
        </w:rPr>
        <w:t>Varadero,</w:t>
      </w:r>
      <w:r>
        <w:rPr>
          <w:color w:val="231F20"/>
          <w:spacing w:val="-14"/>
        </w:rPr>
        <w:t> </w:t>
      </w:r>
      <w:r>
        <w:rPr>
          <w:color w:val="231F20"/>
          <w:spacing w:val="-2"/>
        </w:rPr>
        <w:t>previsto</w:t>
      </w:r>
      <w:r>
        <w:rPr>
          <w:color w:val="231F20"/>
          <w:spacing w:val="-15"/>
        </w:rPr>
        <w:t> </w:t>
      </w:r>
      <w:r>
        <w:rPr>
          <w:color w:val="231F20"/>
          <w:spacing w:val="-2"/>
        </w:rPr>
        <w:t>bajo</w:t>
      </w:r>
      <w:r>
        <w:rPr>
          <w:color w:val="231F20"/>
          <w:spacing w:val="-14"/>
        </w:rPr>
        <w:t> </w:t>
      </w:r>
      <w:r>
        <w:rPr>
          <w:color w:val="231F20"/>
          <w:spacing w:val="-2"/>
        </w:rPr>
        <w:t>la</w:t>
      </w:r>
      <w:r>
        <w:rPr>
          <w:color w:val="231F20"/>
          <w:spacing w:val="-15"/>
        </w:rPr>
        <w:t> </w:t>
      </w:r>
      <w:r>
        <w:rPr>
          <w:color w:val="231F20"/>
          <w:spacing w:val="-2"/>
        </w:rPr>
        <w:t>modalidad</w:t>
      </w:r>
      <w:r>
        <w:rPr>
          <w:color w:val="231F20"/>
          <w:spacing w:val="-14"/>
        </w:rPr>
        <w:t> </w:t>
      </w:r>
      <w:r>
        <w:rPr>
          <w:color w:val="231F20"/>
          <w:spacing w:val="-2"/>
        </w:rPr>
        <w:t>de </w:t>
      </w:r>
      <w:r>
        <w:rPr>
          <w:color w:val="231F20"/>
        </w:rPr>
        <w:t>empresa mixta y ubicado en el principal polo turístico del país, se ha invitado a </w:t>
      </w:r>
      <w:r>
        <w:rPr>
          <w:color w:val="231F20"/>
          <w:spacing w:val="-2"/>
        </w:rPr>
        <w:t>participar</w:t>
      </w:r>
      <w:r>
        <w:rPr>
          <w:color w:val="231F20"/>
          <w:spacing w:val="-12"/>
        </w:rPr>
        <w:t> </w:t>
      </w:r>
      <w:r>
        <w:rPr>
          <w:color w:val="231F20"/>
          <w:spacing w:val="-2"/>
        </w:rPr>
        <w:t>a</w:t>
      </w:r>
      <w:r>
        <w:rPr>
          <w:color w:val="231F20"/>
          <w:spacing w:val="-12"/>
        </w:rPr>
        <w:t> </w:t>
      </w:r>
      <w:r>
        <w:rPr>
          <w:color w:val="231F20"/>
          <w:spacing w:val="-2"/>
        </w:rPr>
        <w:t>alrededor</w:t>
      </w:r>
      <w:r>
        <w:rPr>
          <w:color w:val="231F20"/>
          <w:spacing w:val="-12"/>
        </w:rPr>
        <w:t> </w:t>
      </w:r>
      <w:r>
        <w:rPr>
          <w:color w:val="231F20"/>
          <w:spacing w:val="-2"/>
        </w:rPr>
        <w:t>de</w:t>
      </w:r>
      <w:r>
        <w:rPr>
          <w:color w:val="231F20"/>
          <w:spacing w:val="-12"/>
        </w:rPr>
        <w:t> </w:t>
      </w:r>
      <w:r>
        <w:rPr>
          <w:color w:val="231F20"/>
          <w:spacing w:val="-2"/>
        </w:rPr>
        <w:t>25</w:t>
      </w:r>
      <w:r>
        <w:rPr>
          <w:color w:val="231F20"/>
          <w:spacing w:val="-12"/>
        </w:rPr>
        <w:t> </w:t>
      </w:r>
      <w:r>
        <w:rPr>
          <w:color w:val="231F20"/>
          <w:spacing w:val="-2"/>
        </w:rPr>
        <w:t>compañías,</w:t>
      </w:r>
      <w:r>
        <w:rPr>
          <w:color w:val="231F20"/>
          <w:spacing w:val="-12"/>
        </w:rPr>
        <w:t> </w:t>
      </w:r>
      <w:r>
        <w:rPr>
          <w:color w:val="231F20"/>
          <w:spacing w:val="-2"/>
        </w:rPr>
        <w:t>de </w:t>
      </w:r>
      <w:r>
        <w:rPr>
          <w:color w:val="231F20"/>
        </w:rPr>
        <w:t>las cuales no se ha recibido propuesta.</w:t>
      </w:r>
    </w:p>
    <w:p>
      <w:pPr>
        <w:pStyle w:val="BodyText"/>
        <w:spacing w:before="165"/>
        <w:ind w:left="1133" w:right="1"/>
      </w:pPr>
      <w:r>
        <w:rPr>
          <w:color w:val="231F20"/>
          <w:spacing w:val="-2"/>
        </w:rPr>
        <w:t>A</w:t>
      </w:r>
      <w:r>
        <w:rPr>
          <w:color w:val="231F20"/>
          <w:spacing w:val="-12"/>
        </w:rPr>
        <w:t> </w:t>
      </w:r>
      <w:r>
        <w:rPr>
          <w:color w:val="231F20"/>
          <w:spacing w:val="-2"/>
        </w:rPr>
        <w:t>estas</w:t>
      </w:r>
      <w:r>
        <w:rPr>
          <w:color w:val="231F20"/>
          <w:spacing w:val="-12"/>
        </w:rPr>
        <w:t> </w:t>
      </w:r>
      <w:r>
        <w:rPr>
          <w:color w:val="231F20"/>
          <w:spacing w:val="-2"/>
        </w:rPr>
        <w:t>afectaciones</w:t>
      </w:r>
      <w:r>
        <w:rPr>
          <w:color w:val="231F20"/>
          <w:spacing w:val="-12"/>
        </w:rPr>
        <w:t> </w:t>
      </w:r>
      <w:r>
        <w:rPr>
          <w:color w:val="231F20"/>
          <w:spacing w:val="-2"/>
        </w:rPr>
        <w:t>se</w:t>
      </w:r>
      <w:r>
        <w:rPr>
          <w:color w:val="231F20"/>
          <w:spacing w:val="-12"/>
        </w:rPr>
        <w:t> </w:t>
      </w:r>
      <w:r>
        <w:rPr>
          <w:color w:val="231F20"/>
          <w:spacing w:val="-2"/>
        </w:rPr>
        <w:t>suma</w:t>
      </w:r>
      <w:r>
        <w:rPr>
          <w:color w:val="231F20"/>
          <w:spacing w:val="-12"/>
        </w:rPr>
        <w:t> </w:t>
      </w:r>
      <w:r>
        <w:rPr>
          <w:color w:val="231F20"/>
          <w:spacing w:val="-2"/>
        </w:rPr>
        <w:t>el</w:t>
      </w:r>
      <w:r>
        <w:rPr>
          <w:color w:val="231F20"/>
          <w:spacing w:val="-12"/>
        </w:rPr>
        <w:t> </w:t>
      </w:r>
      <w:r>
        <w:rPr>
          <w:color w:val="231F20"/>
          <w:spacing w:val="-2"/>
        </w:rPr>
        <w:t>despliegue de</w:t>
      </w:r>
      <w:r>
        <w:rPr>
          <w:color w:val="231F20"/>
          <w:spacing w:val="-15"/>
        </w:rPr>
        <w:t> </w:t>
      </w:r>
      <w:r>
        <w:rPr>
          <w:color w:val="231F20"/>
          <w:spacing w:val="-2"/>
        </w:rPr>
        <w:t>agresivas</w:t>
      </w:r>
      <w:r>
        <w:rPr>
          <w:color w:val="231F20"/>
          <w:spacing w:val="-14"/>
        </w:rPr>
        <w:t> </w:t>
      </w:r>
      <w:r>
        <w:rPr>
          <w:color w:val="231F20"/>
          <w:spacing w:val="-2"/>
        </w:rPr>
        <w:t>campañas</w:t>
      </w:r>
      <w:r>
        <w:rPr>
          <w:color w:val="231F20"/>
          <w:spacing w:val="-15"/>
        </w:rPr>
        <w:t> </w:t>
      </w:r>
      <w:r>
        <w:rPr>
          <w:color w:val="231F20"/>
          <w:spacing w:val="-2"/>
        </w:rPr>
        <w:t>político-comunica- cionales</w:t>
      </w:r>
      <w:r>
        <w:rPr>
          <w:color w:val="231F20"/>
          <w:spacing w:val="-8"/>
        </w:rPr>
        <w:t> </w:t>
      </w:r>
      <w:r>
        <w:rPr>
          <w:color w:val="231F20"/>
          <w:spacing w:val="-2"/>
        </w:rPr>
        <w:t>en</w:t>
      </w:r>
      <w:r>
        <w:rPr>
          <w:color w:val="231F20"/>
          <w:spacing w:val="-8"/>
        </w:rPr>
        <w:t> </w:t>
      </w:r>
      <w:r>
        <w:rPr>
          <w:color w:val="231F20"/>
          <w:spacing w:val="-2"/>
        </w:rPr>
        <w:t>las</w:t>
      </w:r>
      <w:r>
        <w:rPr>
          <w:color w:val="231F20"/>
          <w:spacing w:val="-8"/>
        </w:rPr>
        <w:t> </w:t>
      </w:r>
      <w:r>
        <w:rPr>
          <w:color w:val="231F20"/>
          <w:spacing w:val="-2"/>
        </w:rPr>
        <w:t>plataformas</w:t>
      </w:r>
      <w:r>
        <w:rPr>
          <w:color w:val="231F20"/>
          <w:spacing w:val="-8"/>
        </w:rPr>
        <w:t> </w:t>
      </w:r>
      <w:r>
        <w:rPr>
          <w:color w:val="231F20"/>
          <w:spacing w:val="-2"/>
        </w:rPr>
        <w:t>digitales,</w:t>
      </w:r>
      <w:r>
        <w:rPr>
          <w:color w:val="231F20"/>
          <w:spacing w:val="-8"/>
        </w:rPr>
        <w:t> </w:t>
      </w:r>
      <w:r>
        <w:rPr>
          <w:color w:val="231F20"/>
          <w:spacing w:val="-2"/>
        </w:rPr>
        <w:t>redes </w:t>
      </w:r>
      <w:r>
        <w:rPr>
          <w:color w:val="231F20"/>
        </w:rPr>
        <w:t>sociales y otros medios informativos, que </w:t>
      </w:r>
      <w:r>
        <w:rPr>
          <w:color w:val="231F20"/>
          <w:spacing w:val="-8"/>
        </w:rPr>
        <w:t>atacan</w:t>
      </w:r>
      <w:r>
        <w:rPr>
          <w:color w:val="231F20"/>
          <w:spacing w:val="-9"/>
        </w:rPr>
        <w:t> </w:t>
      </w:r>
      <w:r>
        <w:rPr>
          <w:color w:val="231F20"/>
          <w:spacing w:val="-8"/>
        </w:rPr>
        <w:t>y desacreditan</w:t>
      </w:r>
      <w:r>
        <w:rPr>
          <w:color w:val="231F20"/>
          <w:spacing w:val="-9"/>
        </w:rPr>
        <w:t> </w:t>
      </w:r>
      <w:r>
        <w:rPr>
          <w:color w:val="231F20"/>
          <w:spacing w:val="-8"/>
        </w:rPr>
        <w:t>la calidad</w:t>
      </w:r>
      <w:r>
        <w:rPr>
          <w:color w:val="231F20"/>
          <w:spacing w:val="-9"/>
        </w:rPr>
        <w:t> </w:t>
      </w:r>
      <w:r>
        <w:rPr>
          <w:color w:val="231F20"/>
          <w:spacing w:val="-8"/>
        </w:rPr>
        <w:t>y el</w:t>
      </w:r>
      <w:r>
        <w:rPr>
          <w:color w:val="231F20"/>
          <w:spacing w:val="-9"/>
        </w:rPr>
        <w:t> </w:t>
      </w:r>
      <w:r>
        <w:rPr>
          <w:color w:val="231F20"/>
          <w:spacing w:val="-8"/>
        </w:rPr>
        <w:t>prestigio </w:t>
      </w:r>
      <w:r>
        <w:rPr>
          <w:color w:val="231F20"/>
          <w:spacing w:val="-10"/>
        </w:rPr>
        <w:t>de</w:t>
      </w:r>
      <w:r>
        <w:rPr>
          <w:color w:val="231F20"/>
          <w:spacing w:val="-7"/>
        </w:rPr>
        <w:t> </w:t>
      </w:r>
      <w:r>
        <w:rPr>
          <w:color w:val="231F20"/>
          <w:spacing w:val="-10"/>
        </w:rPr>
        <w:t>los</w:t>
      </w:r>
      <w:r>
        <w:rPr>
          <w:color w:val="231F20"/>
          <w:spacing w:val="-6"/>
        </w:rPr>
        <w:t> </w:t>
      </w:r>
      <w:r>
        <w:rPr>
          <w:color w:val="231F20"/>
          <w:spacing w:val="-10"/>
        </w:rPr>
        <w:t>servicios</w:t>
      </w:r>
      <w:r>
        <w:rPr>
          <w:color w:val="231F20"/>
          <w:spacing w:val="-7"/>
        </w:rPr>
        <w:t> </w:t>
      </w:r>
      <w:r>
        <w:rPr>
          <w:color w:val="231F20"/>
          <w:spacing w:val="-10"/>
        </w:rPr>
        <w:t>turísticos</w:t>
      </w:r>
      <w:r>
        <w:rPr>
          <w:color w:val="231F20"/>
          <w:spacing w:val="-6"/>
        </w:rPr>
        <w:t> </w:t>
      </w:r>
      <w:r>
        <w:rPr>
          <w:color w:val="231F20"/>
          <w:spacing w:val="-10"/>
        </w:rPr>
        <w:t>y</w:t>
      </w:r>
      <w:r>
        <w:rPr>
          <w:color w:val="231F20"/>
          <w:spacing w:val="-7"/>
        </w:rPr>
        <w:t> </w:t>
      </w:r>
      <w:r>
        <w:rPr>
          <w:color w:val="231F20"/>
          <w:spacing w:val="-10"/>
        </w:rPr>
        <w:t>limitan</w:t>
      </w:r>
      <w:r>
        <w:rPr>
          <w:color w:val="231F20"/>
          <w:spacing w:val="-6"/>
        </w:rPr>
        <w:t> </w:t>
      </w:r>
      <w:r>
        <w:rPr>
          <w:color w:val="231F20"/>
          <w:spacing w:val="-10"/>
        </w:rPr>
        <w:t>el</w:t>
      </w:r>
      <w:r>
        <w:rPr>
          <w:color w:val="231F20"/>
          <w:spacing w:val="-7"/>
        </w:rPr>
        <w:t> </w:t>
      </w:r>
      <w:r>
        <w:rPr>
          <w:color w:val="231F20"/>
          <w:spacing w:val="-10"/>
        </w:rPr>
        <w:t>arribo</w:t>
      </w:r>
      <w:r>
        <w:rPr>
          <w:color w:val="231F20"/>
          <w:spacing w:val="-6"/>
        </w:rPr>
        <w:t> </w:t>
      </w:r>
      <w:r>
        <w:rPr>
          <w:color w:val="231F20"/>
          <w:spacing w:val="-10"/>
        </w:rPr>
        <w:t>de </w:t>
      </w:r>
      <w:r>
        <w:rPr>
          <w:color w:val="231F20"/>
        </w:rPr>
        <w:t>visitantes al país.</w:t>
      </w:r>
    </w:p>
    <w:p>
      <w:pPr>
        <w:spacing w:before="76"/>
        <w:ind w:left="412" w:right="1475" w:firstLine="0"/>
        <w:jc w:val="both"/>
        <w:rPr>
          <w:rFonts w:ascii="Segoe UI Semibold" w:hAnsi="Segoe UI Semibold"/>
          <w:b/>
          <w:i/>
          <w:sz w:val="24"/>
        </w:rPr>
      </w:pPr>
      <w:r>
        <w:rPr/>
        <w:br w:type="column"/>
      </w:r>
      <w:r>
        <w:rPr>
          <w:rFonts w:ascii="Segoe UI Semibold" w:hAnsi="Segoe UI Semibold"/>
          <w:b/>
          <w:i/>
          <w:color w:val="231F20"/>
          <w:sz w:val="24"/>
        </w:rPr>
        <w:t>Otro sector de la economía cubana,</w:t>
      </w:r>
      <w:r>
        <w:rPr>
          <w:rFonts w:ascii="Segoe UI Semibold" w:hAnsi="Segoe UI Semibold"/>
          <w:b/>
          <w:i/>
          <w:color w:val="231F20"/>
          <w:sz w:val="24"/>
        </w:rPr>
        <w:t> sensiblemente afectado por el bloqueo, ha sido </w:t>
      </w:r>
      <w:r>
        <w:rPr>
          <w:b/>
          <w:i/>
          <w:color w:val="B52628"/>
          <w:sz w:val="24"/>
        </w:rPr>
        <w:t>la biotecnología y la industria</w:t>
      </w:r>
      <w:r>
        <w:rPr>
          <w:b/>
          <w:i/>
          <w:color w:val="B52628"/>
          <w:sz w:val="24"/>
        </w:rPr>
        <w:t> </w:t>
      </w:r>
      <w:r>
        <w:rPr>
          <w:b/>
          <w:i/>
          <w:color w:val="B52628"/>
          <w:spacing w:val="-6"/>
          <w:sz w:val="24"/>
        </w:rPr>
        <w:t>farmacéutica</w:t>
      </w:r>
      <w:r>
        <w:rPr>
          <w:rFonts w:ascii="Segoe UI Semibold" w:hAnsi="Segoe UI Semibold"/>
          <w:b/>
          <w:i/>
          <w:color w:val="231F20"/>
          <w:spacing w:val="-6"/>
          <w:sz w:val="24"/>
        </w:rPr>
        <w:t>.</w:t>
      </w:r>
      <w:r>
        <w:rPr>
          <w:rFonts w:ascii="Segoe UI Semibold" w:hAnsi="Segoe UI Semibold"/>
          <w:b/>
          <w:i/>
          <w:color w:val="231F20"/>
          <w:spacing w:val="-11"/>
          <w:sz w:val="24"/>
        </w:rPr>
        <w:t> </w:t>
      </w:r>
      <w:r>
        <w:rPr>
          <w:rFonts w:ascii="Segoe UI Semibold" w:hAnsi="Segoe UI Semibold"/>
          <w:b/>
          <w:i/>
          <w:color w:val="231F20"/>
          <w:spacing w:val="-6"/>
          <w:sz w:val="24"/>
        </w:rPr>
        <w:t>Tanto</w:t>
      </w:r>
      <w:r>
        <w:rPr>
          <w:rFonts w:ascii="Segoe UI Semibold" w:hAnsi="Segoe UI Semibold"/>
          <w:b/>
          <w:i/>
          <w:color w:val="231F20"/>
          <w:spacing w:val="-10"/>
          <w:sz w:val="24"/>
        </w:rPr>
        <w:t> </w:t>
      </w:r>
      <w:r>
        <w:rPr>
          <w:rFonts w:ascii="Segoe UI Semibold" w:hAnsi="Segoe UI Semibold"/>
          <w:b/>
          <w:i/>
          <w:color w:val="231F20"/>
          <w:spacing w:val="-6"/>
          <w:sz w:val="24"/>
        </w:rPr>
        <w:t>la</w:t>
      </w:r>
      <w:r>
        <w:rPr>
          <w:rFonts w:ascii="Segoe UI Semibold" w:hAnsi="Segoe UI Semibold"/>
          <w:b/>
          <w:i/>
          <w:color w:val="231F20"/>
          <w:spacing w:val="-11"/>
          <w:sz w:val="24"/>
        </w:rPr>
        <w:t> </w:t>
      </w:r>
      <w:r>
        <w:rPr>
          <w:rFonts w:ascii="Segoe UI Semibold" w:hAnsi="Segoe UI Semibold"/>
          <w:b/>
          <w:i/>
          <w:color w:val="231F20"/>
          <w:spacing w:val="-6"/>
          <w:sz w:val="24"/>
        </w:rPr>
        <w:t>investigación</w:t>
      </w:r>
      <w:r>
        <w:rPr>
          <w:rFonts w:ascii="Segoe UI Semibold" w:hAnsi="Segoe UI Semibold"/>
          <w:b/>
          <w:i/>
          <w:color w:val="231F20"/>
          <w:spacing w:val="-10"/>
          <w:sz w:val="24"/>
        </w:rPr>
        <w:t> </w:t>
      </w:r>
      <w:r>
        <w:rPr>
          <w:rFonts w:ascii="Segoe UI Semibold" w:hAnsi="Segoe UI Semibold"/>
          <w:b/>
          <w:i/>
          <w:color w:val="231F20"/>
          <w:spacing w:val="-6"/>
          <w:sz w:val="24"/>
        </w:rPr>
        <w:t>como</w:t>
      </w:r>
      <w:r>
        <w:rPr>
          <w:rFonts w:ascii="Segoe UI Semibold" w:hAnsi="Segoe UI Semibold"/>
          <w:b/>
          <w:i/>
          <w:color w:val="231F20"/>
          <w:spacing w:val="-6"/>
          <w:sz w:val="24"/>
        </w:rPr>
        <w:t> </w:t>
      </w:r>
      <w:r>
        <w:rPr>
          <w:rFonts w:ascii="Segoe UI Semibold" w:hAnsi="Segoe UI Semibold"/>
          <w:b/>
          <w:i/>
          <w:color w:val="231F20"/>
          <w:spacing w:val="-8"/>
          <w:sz w:val="24"/>
        </w:rPr>
        <w:t>el desarrollo, producción y comercialización </w:t>
      </w:r>
      <w:r>
        <w:rPr>
          <w:rFonts w:ascii="Segoe UI Semibold" w:hAnsi="Segoe UI Semibold"/>
          <w:b/>
          <w:i/>
          <w:color w:val="231F20"/>
          <w:spacing w:val="-6"/>
          <w:sz w:val="24"/>
        </w:rPr>
        <w:t>de</w:t>
      </w:r>
      <w:r>
        <w:rPr>
          <w:rFonts w:ascii="Segoe UI Semibold" w:hAnsi="Segoe UI Semibold"/>
          <w:b/>
          <w:i/>
          <w:color w:val="231F20"/>
          <w:spacing w:val="-11"/>
          <w:sz w:val="24"/>
        </w:rPr>
        <w:t> </w:t>
      </w:r>
      <w:r>
        <w:rPr>
          <w:rFonts w:ascii="Segoe UI Semibold" w:hAnsi="Segoe UI Semibold"/>
          <w:b/>
          <w:i/>
          <w:color w:val="231F20"/>
          <w:spacing w:val="-6"/>
          <w:sz w:val="24"/>
        </w:rPr>
        <w:t>sus</w:t>
      </w:r>
      <w:r>
        <w:rPr>
          <w:rFonts w:ascii="Segoe UI Semibold" w:hAnsi="Segoe UI Semibold"/>
          <w:b/>
          <w:i/>
          <w:color w:val="231F20"/>
          <w:spacing w:val="-10"/>
          <w:sz w:val="24"/>
        </w:rPr>
        <w:t> </w:t>
      </w:r>
      <w:r>
        <w:rPr>
          <w:rFonts w:ascii="Segoe UI Semibold" w:hAnsi="Segoe UI Semibold"/>
          <w:b/>
          <w:i/>
          <w:color w:val="231F20"/>
          <w:spacing w:val="-6"/>
          <w:sz w:val="24"/>
        </w:rPr>
        <w:t>productos,</w:t>
      </w:r>
      <w:r>
        <w:rPr>
          <w:rFonts w:ascii="Segoe UI Semibold" w:hAnsi="Segoe UI Semibold"/>
          <w:b/>
          <w:i/>
          <w:color w:val="231F20"/>
          <w:spacing w:val="-11"/>
          <w:sz w:val="24"/>
        </w:rPr>
        <w:t> </w:t>
      </w:r>
      <w:r>
        <w:rPr>
          <w:rFonts w:ascii="Segoe UI Semibold" w:hAnsi="Segoe UI Semibold"/>
          <w:b/>
          <w:i/>
          <w:color w:val="231F20"/>
          <w:spacing w:val="-6"/>
          <w:sz w:val="24"/>
        </w:rPr>
        <w:t>son</w:t>
      </w:r>
      <w:r>
        <w:rPr>
          <w:rFonts w:ascii="Segoe UI Semibold" w:hAnsi="Segoe UI Semibold"/>
          <w:b/>
          <w:i/>
          <w:color w:val="231F20"/>
          <w:spacing w:val="-10"/>
          <w:sz w:val="24"/>
        </w:rPr>
        <w:t> </w:t>
      </w:r>
      <w:r>
        <w:rPr>
          <w:rFonts w:ascii="Segoe UI Semibold" w:hAnsi="Segoe UI Semibold"/>
          <w:b/>
          <w:i/>
          <w:color w:val="231F20"/>
          <w:spacing w:val="-6"/>
          <w:sz w:val="24"/>
        </w:rPr>
        <w:t>impactados</w:t>
      </w:r>
      <w:r>
        <w:rPr>
          <w:rFonts w:ascii="Segoe UI Semibold" w:hAnsi="Segoe UI Semibold"/>
          <w:b/>
          <w:i/>
          <w:color w:val="231F20"/>
          <w:spacing w:val="-11"/>
          <w:sz w:val="24"/>
        </w:rPr>
        <w:t> </w:t>
      </w:r>
      <w:r>
        <w:rPr>
          <w:rFonts w:ascii="Segoe UI Semibold" w:hAnsi="Segoe UI Semibold"/>
          <w:b/>
          <w:i/>
          <w:color w:val="231F20"/>
          <w:spacing w:val="-6"/>
          <w:sz w:val="24"/>
        </w:rPr>
        <w:t>cada</w:t>
      </w:r>
      <w:r>
        <w:rPr>
          <w:rFonts w:ascii="Segoe UI Semibold" w:hAnsi="Segoe UI Semibold"/>
          <w:b/>
          <w:i/>
          <w:color w:val="231F20"/>
          <w:spacing w:val="-10"/>
          <w:sz w:val="24"/>
        </w:rPr>
        <w:t> </w:t>
      </w:r>
      <w:r>
        <w:rPr>
          <w:rFonts w:ascii="Segoe UI Semibold" w:hAnsi="Segoe UI Semibold"/>
          <w:b/>
          <w:i/>
          <w:color w:val="231F20"/>
          <w:spacing w:val="-6"/>
          <w:sz w:val="24"/>
        </w:rPr>
        <w:t>año </w:t>
      </w:r>
      <w:r>
        <w:rPr>
          <w:rFonts w:ascii="Segoe UI Semibold" w:hAnsi="Segoe UI Semibold"/>
          <w:b/>
          <w:i/>
          <w:color w:val="231F20"/>
          <w:sz w:val="24"/>
        </w:rPr>
        <w:t>con</w:t>
      </w:r>
      <w:r>
        <w:rPr>
          <w:rFonts w:ascii="Segoe UI Semibold" w:hAnsi="Segoe UI Semibold"/>
          <w:b/>
          <w:i/>
          <w:color w:val="231F20"/>
          <w:spacing w:val="-14"/>
          <w:sz w:val="24"/>
        </w:rPr>
        <w:t> </w:t>
      </w:r>
      <w:r>
        <w:rPr>
          <w:rFonts w:ascii="Segoe UI Semibold" w:hAnsi="Segoe UI Semibold"/>
          <w:b/>
          <w:i/>
          <w:color w:val="231F20"/>
          <w:sz w:val="24"/>
        </w:rPr>
        <w:t>pérdidas</w:t>
      </w:r>
      <w:r>
        <w:rPr>
          <w:rFonts w:ascii="Segoe UI Semibold" w:hAnsi="Segoe UI Semibold"/>
          <w:b/>
          <w:i/>
          <w:color w:val="231F20"/>
          <w:spacing w:val="-14"/>
          <w:sz w:val="24"/>
        </w:rPr>
        <w:t> </w:t>
      </w:r>
      <w:r>
        <w:rPr>
          <w:rFonts w:ascii="Segoe UI Semibold" w:hAnsi="Segoe UI Semibold"/>
          <w:b/>
          <w:i/>
          <w:color w:val="231F20"/>
          <w:sz w:val="24"/>
        </w:rPr>
        <w:t>económicas</w:t>
      </w:r>
      <w:r>
        <w:rPr>
          <w:rFonts w:ascii="Segoe UI Semibold" w:hAnsi="Segoe UI Semibold"/>
          <w:b/>
          <w:i/>
          <w:color w:val="231F20"/>
          <w:spacing w:val="-14"/>
          <w:sz w:val="24"/>
        </w:rPr>
        <w:t> </w:t>
      </w:r>
      <w:r>
        <w:rPr>
          <w:rFonts w:ascii="Segoe UI Semibold" w:hAnsi="Segoe UI Semibold"/>
          <w:b/>
          <w:i/>
          <w:color w:val="231F20"/>
          <w:sz w:val="24"/>
        </w:rPr>
        <w:t>significativas.</w:t>
      </w:r>
    </w:p>
    <w:p>
      <w:pPr>
        <w:pStyle w:val="BodyText"/>
        <w:spacing w:before="159"/>
        <w:ind w:left="412" w:right="1470"/>
      </w:pPr>
      <w:r>
        <w:rPr>
          <w:color w:val="231F20"/>
        </w:rPr>
        <w:t>Esta industria demostró ser un pilar esencial de la soberanía nacional durante el enfrentamiento a la pandemia de la COVID-19.</w:t>
      </w:r>
      <w:r>
        <w:rPr>
          <w:color w:val="231F20"/>
          <w:spacing w:val="-15"/>
        </w:rPr>
        <w:t> </w:t>
      </w:r>
      <w:r>
        <w:rPr>
          <w:color w:val="231F20"/>
        </w:rPr>
        <w:t>Gracias</w:t>
      </w:r>
      <w:r>
        <w:rPr>
          <w:color w:val="231F20"/>
          <w:spacing w:val="-15"/>
        </w:rPr>
        <w:t> </w:t>
      </w:r>
      <w:r>
        <w:rPr>
          <w:color w:val="231F20"/>
        </w:rPr>
        <w:t>al</w:t>
      </w:r>
      <w:r>
        <w:rPr>
          <w:color w:val="231F20"/>
          <w:spacing w:val="-15"/>
        </w:rPr>
        <w:t> </w:t>
      </w:r>
      <w:r>
        <w:rPr>
          <w:color w:val="231F20"/>
        </w:rPr>
        <w:t>desarrollo</w:t>
      </w:r>
      <w:r>
        <w:rPr>
          <w:color w:val="231F20"/>
          <w:spacing w:val="-15"/>
        </w:rPr>
        <w:t> </w:t>
      </w:r>
      <w:r>
        <w:rPr>
          <w:color w:val="231F20"/>
        </w:rPr>
        <w:t>del</w:t>
      </w:r>
      <w:r>
        <w:rPr>
          <w:color w:val="231F20"/>
          <w:spacing w:val="-15"/>
        </w:rPr>
        <w:t> </w:t>
      </w:r>
      <w:r>
        <w:rPr>
          <w:color w:val="231F20"/>
        </w:rPr>
        <w:t>sector, fue posible producir cinco candidatos vacunales propios, de ellos, 3 vacunas</w:t>
      </w:r>
      <w:r>
        <w:rPr>
          <w:color w:val="231F20"/>
          <w:spacing w:val="40"/>
        </w:rPr>
        <w:t> </w:t>
      </w:r>
      <w:r>
        <w:rPr>
          <w:color w:val="231F20"/>
        </w:rPr>
        <w:t>que neutralizaron la propagación de esta enfermedad</w:t>
      </w:r>
      <w:r>
        <w:rPr>
          <w:color w:val="231F20"/>
          <w:spacing w:val="-2"/>
        </w:rPr>
        <w:t> </w:t>
      </w:r>
      <w:r>
        <w:rPr>
          <w:color w:val="231F20"/>
        </w:rPr>
        <w:t>y</w:t>
      </w:r>
      <w:r>
        <w:rPr>
          <w:color w:val="231F20"/>
          <w:spacing w:val="-2"/>
        </w:rPr>
        <w:t> </w:t>
      </w:r>
      <w:r>
        <w:rPr>
          <w:color w:val="231F20"/>
        </w:rPr>
        <w:t>salvaron</w:t>
      </w:r>
      <w:r>
        <w:rPr>
          <w:color w:val="231F20"/>
          <w:spacing w:val="-2"/>
        </w:rPr>
        <w:t> </w:t>
      </w:r>
      <w:r>
        <w:rPr>
          <w:color w:val="231F20"/>
        </w:rPr>
        <w:t>miles</w:t>
      </w:r>
      <w:r>
        <w:rPr>
          <w:color w:val="231F20"/>
          <w:spacing w:val="-2"/>
        </w:rPr>
        <w:t> </w:t>
      </w:r>
      <w:r>
        <w:rPr>
          <w:color w:val="231F20"/>
        </w:rPr>
        <w:t>de</w:t>
      </w:r>
      <w:r>
        <w:rPr>
          <w:color w:val="231F20"/>
          <w:spacing w:val="-2"/>
        </w:rPr>
        <w:t> </w:t>
      </w:r>
      <w:r>
        <w:rPr>
          <w:color w:val="231F20"/>
        </w:rPr>
        <w:t>vidas.</w:t>
      </w:r>
      <w:r>
        <w:rPr>
          <w:color w:val="231F20"/>
          <w:spacing w:val="-2"/>
        </w:rPr>
        <w:t> </w:t>
      </w:r>
      <w:r>
        <w:rPr>
          <w:color w:val="231F20"/>
        </w:rPr>
        <w:t>No obstante, la respuesta pudo haber sido mucho más temprana y expedita si el </w:t>
      </w:r>
      <w:r>
        <w:rPr>
          <w:color w:val="231F20"/>
          <w:spacing w:val="-10"/>
        </w:rPr>
        <w:t>bloqueo</w:t>
      </w:r>
      <w:r>
        <w:rPr>
          <w:color w:val="231F20"/>
          <w:spacing w:val="-2"/>
        </w:rPr>
        <w:t> </w:t>
      </w:r>
      <w:r>
        <w:rPr>
          <w:color w:val="231F20"/>
          <w:spacing w:val="-10"/>
        </w:rPr>
        <w:t>no</w:t>
      </w:r>
      <w:r>
        <w:rPr>
          <w:color w:val="231F20"/>
          <w:spacing w:val="-2"/>
        </w:rPr>
        <w:t> </w:t>
      </w:r>
      <w:r>
        <w:rPr>
          <w:color w:val="231F20"/>
          <w:spacing w:val="-10"/>
        </w:rPr>
        <w:t>hubiera</w:t>
      </w:r>
      <w:r>
        <w:rPr>
          <w:color w:val="231F20"/>
          <w:spacing w:val="-2"/>
        </w:rPr>
        <w:t> </w:t>
      </w:r>
      <w:r>
        <w:rPr>
          <w:color w:val="231F20"/>
          <w:spacing w:val="-10"/>
        </w:rPr>
        <w:t>obstaculizado</w:t>
      </w:r>
      <w:r>
        <w:rPr>
          <w:color w:val="231F20"/>
          <w:spacing w:val="-2"/>
        </w:rPr>
        <w:t> </w:t>
      </w:r>
      <w:r>
        <w:rPr>
          <w:color w:val="231F20"/>
          <w:spacing w:val="-10"/>
        </w:rPr>
        <w:t>el</w:t>
      </w:r>
      <w:r>
        <w:rPr>
          <w:color w:val="231F20"/>
          <w:spacing w:val="-2"/>
        </w:rPr>
        <w:t> </w:t>
      </w:r>
      <w:r>
        <w:rPr>
          <w:color w:val="231F20"/>
          <w:spacing w:val="-10"/>
        </w:rPr>
        <w:t>proceso </w:t>
      </w:r>
      <w:r>
        <w:rPr>
          <w:color w:val="231F20"/>
        </w:rPr>
        <w:t>de investigación, desarrollo, producción y escalado</w:t>
      </w:r>
      <w:r>
        <w:rPr>
          <w:color w:val="231F20"/>
          <w:spacing w:val="-12"/>
        </w:rPr>
        <w:t> </w:t>
      </w:r>
      <w:r>
        <w:rPr>
          <w:color w:val="231F20"/>
        </w:rPr>
        <w:t>industrial</w:t>
      </w:r>
      <w:r>
        <w:rPr>
          <w:color w:val="231F20"/>
          <w:spacing w:val="-12"/>
        </w:rPr>
        <w:t> </w:t>
      </w:r>
      <w:r>
        <w:rPr>
          <w:color w:val="231F20"/>
        </w:rPr>
        <w:t>de</w:t>
      </w:r>
      <w:r>
        <w:rPr>
          <w:color w:val="231F20"/>
          <w:spacing w:val="-12"/>
        </w:rPr>
        <w:t> </w:t>
      </w:r>
      <w:r>
        <w:rPr>
          <w:color w:val="231F20"/>
        </w:rPr>
        <w:t>nuestros</w:t>
      </w:r>
      <w:r>
        <w:rPr>
          <w:color w:val="231F20"/>
          <w:spacing w:val="-12"/>
        </w:rPr>
        <w:t> </w:t>
      </w:r>
      <w:r>
        <w:rPr>
          <w:color w:val="231F20"/>
        </w:rPr>
        <w:t>fármacos.</w:t>
      </w:r>
    </w:p>
    <w:p>
      <w:pPr>
        <w:spacing w:before="169"/>
        <w:ind w:left="412" w:right="1479" w:firstLine="0"/>
        <w:jc w:val="both"/>
        <w:rPr>
          <w:rFonts w:ascii="Segoe UI Semibold" w:hAnsi="Segoe UI Semibold"/>
          <w:b/>
          <w:i/>
          <w:sz w:val="24"/>
        </w:rPr>
      </w:pPr>
      <w:r>
        <w:rPr>
          <w:rFonts w:ascii="Segoe UI Semibold" w:hAnsi="Segoe UI Semibold"/>
          <w:b/>
          <w:i/>
          <w:color w:val="231F20"/>
          <w:sz w:val="24"/>
        </w:rPr>
        <w:t>En el período analizado, los daños</w:t>
      </w:r>
      <w:r>
        <w:rPr>
          <w:rFonts w:ascii="Segoe UI Semibold" w:hAnsi="Segoe UI Semibold"/>
          <w:b/>
          <w:i/>
          <w:color w:val="231F20"/>
          <w:sz w:val="24"/>
        </w:rPr>
        <w:t> </w:t>
      </w:r>
      <w:r>
        <w:rPr>
          <w:rFonts w:ascii="Segoe UI Semibold" w:hAnsi="Segoe UI Semibold"/>
          <w:b/>
          <w:i/>
          <w:color w:val="231F20"/>
          <w:spacing w:val="-8"/>
          <w:sz w:val="24"/>
        </w:rPr>
        <w:t>ocasionados</w:t>
      </w:r>
      <w:r>
        <w:rPr>
          <w:rFonts w:ascii="Segoe UI Semibold" w:hAnsi="Segoe UI Semibold"/>
          <w:b/>
          <w:i/>
          <w:color w:val="231F20"/>
          <w:spacing w:val="-19"/>
          <w:sz w:val="24"/>
        </w:rPr>
        <w:t> </w:t>
      </w:r>
      <w:r>
        <w:rPr>
          <w:rFonts w:ascii="Segoe UI Semibold" w:hAnsi="Segoe UI Semibold"/>
          <w:b/>
          <w:i/>
          <w:color w:val="231F20"/>
          <w:spacing w:val="-8"/>
          <w:sz w:val="24"/>
        </w:rPr>
        <w:t>en</w:t>
      </w:r>
      <w:r>
        <w:rPr>
          <w:rFonts w:ascii="Segoe UI Semibold" w:hAnsi="Segoe UI Semibold"/>
          <w:b/>
          <w:i/>
          <w:color w:val="231F20"/>
          <w:spacing w:val="-17"/>
          <w:sz w:val="24"/>
        </w:rPr>
        <w:t> </w:t>
      </w:r>
      <w:r>
        <w:rPr>
          <w:rFonts w:ascii="Segoe UI Semibold" w:hAnsi="Segoe UI Semibold"/>
          <w:b/>
          <w:i/>
          <w:color w:val="231F20"/>
          <w:spacing w:val="-8"/>
          <w:sz w:val="24"/>
        </w:rPr>
        <w:t>esta</w:t>
      </w:r>
      <w:r>
        <w:rPr>
          <w:rFonts w:ascii="Segoe UI Semibold" w:hAnsi="Segoe UI Semibold"/>
          <w:b/>
          <w:i/>
          <w:color w:val="231F20"/>
          <w:spacing w:val="-17"/>
          <w:sz w:val="24"/>
        </w:rPr>
        <w:t> </w:t>
      </w:r>
      <w:r>
        <w:rPr>
          <w:rFonts w:ascii="Segoe UI Semibold" w:hAnsi="Segoe UI Semibold"/>
          <w:b/>
          <w:i/>
          <w:color w:val="231F20"/>
          <w:spacing w:val="-8"/>
          <w:sz w:val="24"/>
        </w:rPr>
        <w:t>esfera</w:t>
      </w:r>
      <w:r>
        <w:rPr>
          <w:rFonts w:ascii="Segoe UI Semibold" w:hAnsi="Segoe UI Semibold"/>
          <w:b/>
          <w:i/>
          <w:color w:val="231F20"/>
          <w:spacing w:val="-17"/>
          <w:sz w:val="24"/>
        </w:rPr>
        <w:t> </w:t>
      </w:r>
      <w:r>
        <w:rPr>
          <w:rFonts w:ascii="Segoe UI Semibold" w:hAnsi="Segoe UI Semibold"/>
          <w:b/>
          <w:i/>
          <w:color w:val="231F20"/>
          <w:spacing w:val="-8"/>
          <w:sz w:val="24"/>
        </w:rPr>
        <w:t>ascienden</w:t>
      </w:r>
      <w:r>
        <w:rPr>
          <w:rFonts w:ascii="Segoe UI Semibold" w:hAnsi="Segoe UI Semibold"/>
          <w:b/>
          <w:i/>
          <w:color w:val="231F20"/>
          <w:spacing w:val="-17"/>
          <w:sz w:val="24"/>
        </w:rPr>
        <w:t> </w:t>
      </w:r>
      <w:r>
        <w:rPr>
          <w:rFonts w:ascii="Segoe UI Semibold" w:hAnsi="Segoe UI Semibold"/>
          <w:b/>
          <w:i/>
          <w:color w:val="231F20"/>
          <w:spacing w:val="-8"/>
          <w:sz w:val="24"/>
        </w:rPr>
        <w:t>a</w:t>
      </w:r>
      <w:r>
        <w:rPr>
          <w:rFonts w:ascii="Segoe UI Semibold" w:hAnsi="Segoe UI Semibold"/>
          <w:b/>
          <w:i/>
          <w:color w:val="231F20"/>
          <w:spacing w:val="-17"/>
          <w:sz w:val="24"/>
        </w:rPr>
        <w:t> </w:t>
      </w:r>
      <w:r>
        <w:rPr>
          <w:rFonts w:ascii="Segoe UI Semibold" w:hAnsi="Segoe UI Semibold"/>
          <w:b/>
          <w:i/>
          <w:color w:val="231F20"/>
          <w:spacing w:val="-8"/>
          <w:sz w:val="24"/>
        </w:rPr>
        <w:t>unos</w:t>
      </w:r>
    </w:p>
    <w:p>
      <w:pPr>
        <w:spacing w:before="0"/>
        <w:ind w:left="412" w:right="1471" w:firstLine="0"/>
        <w:jc w:val="both"/>
        <w:rPr>
          <w:rFonts w:ascii="Segoe UI Semibold" w:hAnsi="Segoe UI Semibold"/>
          <w:b/>
          <w:i/>
          <w:sz w:val="24"/>
        </w:rPr>
      </w:pPr>
      <w:r>
        <w:rPr>
          <w:b/>
          <w:i/>
          <w:color w:val="231F20"/>
          <w:sz w:val="24"/>
        </w:rPr>
        <w:t>142 millones 896 mil 200 dólares</w:t>
      </w:r>
      <w:r>
        <w:rPr>
          <w:rFonts w:ascii="Segoe UI Semibold" w:hAnsi="Segoe UI Semibold"/>
          <w:b/>
          <w:i/>
          <w:color w:val="231F20"/>
          <w:sz w:val="24"/>
        </w:rPr>
        <w:t>, y se</w:t>
      </w:r>
      <w:r>
        <w:rPr>
          <w:rFonts w:ascii="Segoe UI Semibold" w:hAnsi="Segoe UI Semibold"/>
          <w:b/>
          <w:i/>
          <w:color w:val="231F20"/>
          <w:sz w:val="24"/>
        </w:rPr>
        <w:t> </w:t>
      </w:r>
      <w:r>
        <w:rPr>
          <w:rFonts w:ascii="Segoe UI Semibold" w:hAnsi="Segoe UI Semibold"/>
          <w:b/>
          <w:i/>
          <w:color w:val="231F20"/>
          <w:spacing w:val="-8"/>
          <w:sz w:val="24"/>
        </w:rPr>
        <w:t>expresan</w:t>
      </w:r>
      <w:r>
        <w:rPr>
          <w:rFonts w:ascii="Segoe UI Semibold" w:hAnsi="Segoe UI Semibold"/>
          <w:b/>
          <w:i/>
          <w:color w:val="231F20"/>
          <w:spacing w:val="-9"/>
          <w:sz w:val="24"/>
        </w:rPr>
        <w:t> </w:t>
      </w:r>
      <w:r>
        <w:rPr>
          <w:rFonts w:ascii="Segoe UI Semibold" w:hAnsi="Segoe UI Semibold"/>
          <w:b/>
          <w:i/>
          <w:color w:val="231F20"/>
          <w:spacing w:val="-8"/>
          <w:sz w:val="24"/>
        </w:rPr>
        <w:t>fundamentalmente en</w:t>
      </w:r>
      <w:r>
        <w:rPr>
          <w:rFonts w:ascii="Segoe UI Semibold" w:hAnsi="Segoe UI Semibold"/>
          <w:b/>
          <w:i/>
          <w:color w:val="231F20"/>
          <w:spacing w:val="-9"/>
          <w:sz w:val="24"/>
        </w:rPr>
        <w:t> </w:t>
      </w:r>
      <w:r>
        <w:rPr>
          <w:rFonts w:ascii="Segoe UI Semibold" w:hAnsi="Segoe UI Semibold"/>
          <w:b/>
          <w:i/>
          <w:color w:val="231F20"/>
          <w:spacing w:val="-8"/>
          <w:sz w:val="24"/>
        </w:rPr>
        <w:t>los ingresos </w:t>
      </w:r>
      <w:r>
        <w:rPr>
          <w:rFonts w:ascii="Segoe UI Semibold" w:hAnsi="Segoe UI Semibold"/>
          <w:b/>
          <w:i/>
          <w:color w:val="231F20"/>
          <w:sz w:val="24"/>
        </w:rPr>
        <w:t>dejados</w:t>
      </w:r>
      <w:r>
        <w:rPr>
          <w:rFonts w:ascii="Segoe UI Semibold" w:hAnsi="Segoe UI Semibold"/>
          <w:b/>
          <w:i/>
          <w:color w:val="231F20"/>
          <w:spacing w:val="-12"/>
          <w:sz w:val="24"/>
        </w:rPr>
        <w:t> </w:t>
      </w:r>
      <w:r>
        <w:rPr>
          <w:rFonts w:ascii="Segoe UI Semibold" w:hAnsi="Segoe UI Semibold"/>
          <w:b/>
          <w:i/>
          <w:color w:val="231F20"/>
          <w:sz w:val="24"/>
        </w:rPr>
        <w:t>de</w:t>
      </w:r>
      <w:r>
        <w:rPr>
          <w:rFonts w:ascii="Segoe UI Semibold" w:hAnsi="Segoe UI Semibold"/>
          <w:b/>
          <w:i/>
          <w:color w:val="231F20"/>
          <w:spacing w:val="-12"/>
          <w:sz w:val="24"/>
        </w:rPr>
        <w:t> </w:t>
      </w:r>
      <w:r>
        <w:rPr>
          <w:rFonts w:ascii="Segoe UI Semibold" w:hAnsi="Segoe UI Semibold"/>
          <w:b/>
          <w:i/>
          <w:color w:val="231F20"/>
          <w:sz w:val="24"/>
        </w:rPr>
        <w:t>percibir</w:t>
      </w:r>
      <w:r>
        <w:rPr>
          <w:rFonts w:ascii="Segoe UI Semibold" w:hAnsi="Segoe UI Semibold"/>
          <w:b/>
          <w:i/>
          <w:color w:val="231F20"/>
          <w:spacing w:val="-12"/>
          <w:sz w:val="24"/>
        </w:rPr>
        <w:t> </w:t>
      </w:r>
      <w:r>
        <w:rPr>
          <w:rFonts w:ascii="Segoe UI Semibold" w:hAnsi="Segoe UI Semibold"/>
          <w:b/>
          <w:i/>
          <w:color w:val="231F20"/>
          <w:sz w:val="24"/>
        </w:rPr>
        <w:t>por</w:t>
      </w:r>
      <w:r>
        <w:rPr>
          <w:rFonts w:ascii="Segoe UI Semibold" w:hAnsi="Segoe UI Semibold"/>
          <w:b/>
          <w:i/>
          <w:color w:val="231F20"/>
          <w:spacing w:val="-12"/>
          <w:sz w:val="24"/>
        </w:rPr>
        <w:t> </w:t>
      </w:r>
      <w:r>
        <w:rPr>
          <w:rFonts w:ascii="Segoe UI Semibold" w:hAnsi="Segoe UI Semibold"/>
          <w:b/>
          <w:i/>
          <w:color w:val="231F20"/>
          <w:sz w:val="24"/>
        </w:rPr>
        <w:t>exportaciones,</w:t>
      </w:r>
      <w:r>
        <w:rPr>
          <w:rFonts w:ascii="Segoe UI Semibold" w:hAnsi="Segoe UI Semibold"/>
          <w:b/>
          <w:i/>
          <w:color w:val="231F20"/>
          <w:spacing w:val="-12"/>
          <w:sz w:val="24"/>
        </w:rPr>
        <w:t> </w:t>
      </w:r>
      <w:r>
        <w:rPr>
          <w:rFonts w:ascii="Segoe UI Semibold" w:hAnsi="Segoe UI Semibold"/>
          <w:b/>
          <w:i/>
          <w:color w:val="231F20"/>
          <w:sz w:val="24"/>
        </w:rPr>
        <w:t>las pérdidas por reubicación geográfica del </w:t>
      </w:r>
      <w:r>
        <w:rPr>
          <w:rFonts w:ascii="Segoe UI Semibold" w:hAnsi="Segoe UI Semibold"/>
          <w:b/>
          <w:i/>
          <w:color w:val="231F20"/>
          <w:spacing w:val="-2"/>
          <w:sz w:val="24"/>
        </w:rPr>
        <w:t>comercio</w:t>
      </w:r>
      <w:r>
        <w:rPr>
          <w:rFonts w:ascii="Segoe UI Semibold" w:hAnsi="Segoe UI Semibold"/>
          <w:b/>
          <w:i/>
          <w:color w:val="231F20"/>
          <w:spacing w:val="-15"/>
          <w:sz w:val="24"/>
        </w:rPr>
        <w:t> </w:t>
      </w:r>
      <w:r>
        <w:rPr>
          <w:rFonts w:ascii="Segoe UI Semibold" w:hAnsi="Segoe UI Semibold"/>
          <w:b/>
          <w:i/>
          <w:color w:val="231F20"/>
          <w:spacing w:val="-2"/>
          <w:sz w:val="24"/>
        </w:rPr>
        <w:t>y</w:t>
      </w:r>
      <w:r>
        <w:rPr>
          <w:rFonts w:ascii="Segoe UI Semibold" w:hAnsi="Segoe UI Semibold"/>
          <w:b/>
          <w:i/>
          <w:color w:val="231F20"/>
          <w:spacing w:val="-15"/>
          <w:sz w:val="24"/>
        </w:rPr>
        <w:t> </w:t>
      </w:r>
      <w:r>
        <w:rPr>
          <w:rFonts w:ascii="Segoe UI Semibold" w:hAnsi="Segoe UI Semibold"/>
          <w:b/>
          <w:i/>
          <w:color w:val="231F20"/>
          <w:spacing w:val="-2"/>
          <w:sz w:val="24"/>
        </w:rPr>
        <w:t>las</w:t>
      </w:r>
      <w:r>
        <w:rPr>
          <w:rFonts w:ascii="Segoe UI Semibold" w:hAnsi="Segoe UI Semibold"/>
          <w:b/>
          <w:i/>
          <w:color w:val="231F20"/>
          <w:spacing w:val="-15"/>
          <w:sz w:val="24"/>
        </w:rPr>
        <w:t> </w:t>
      </w:r>
      <w:r>
        <w:rPr>
          <w:rFonts w:ascii="Segoe UI Semibold" w:hAnsi="Segoe UI Semibold"/>
          <w:b/>
          <w:i/>
          <w:color w:val="231F20"/>
          <w:spacing w:val="-2"/>
          <w:sz w:val="24"/>
        </w:rPr>
        <w:t>afectaciones</w:t>
      </w:r>
      <w:r>
        <w:rPr>
          <w:rFonts w:ascii="Segoe UI Semibold" w:hAnsi="Segoe UI Semibold"/>
          <w:b/>
          <w:i/>
          <w:color w:val="231F20"/>
          <w:spacing w:val="-15"/>
          <w:sz w:val="24"/>
        </w:rPr>
        <w:t> </w:t>
      </w:r>
      <w:r>
        <w:rPr>
          <w:rFonts w:ascii="Segoe UI Semibold" w:hAnsi="Segoe UI Semibold"/>
          <w:b/>
          <w:i/>
          <w:color w:val="231F20"/>
          <w:spacing w:val="-2"/>
          <w:sz w:val="24"/>
        </w:rPr>
        <w:t>monetarias.</w:t>
      </w:r>
    </w:p>
    <w:p>
      <w:pPr>
        <w:pStyle w:val="BodyText"/>
        <w:spacing w:before="159"/>
        <w:ind w:left="412" w:right="1471"/>
      </w:pPr>
      <w:r>
        <w:rPr>
          <w:color w:val="231F20"/>
        </w:rPr>
        <w:t>Para el Instituto Finlay de Vacunas (IFV), productor de las vacunas cubanas contra la COVID-19 Soberana 02 y Soberana Plus, el bloqueo significó dificultades en un total de 14 operaciones, 7 de ellas correspondientes a reactivos y materias primas, 4 a insumos y 3 a equipos de fabricantes de origen estadounidense. Estos materiales tuvieron que adquirirse en</w:t>
      </w:r>
      <w:r>
        <w:rPr>
          <w:color w:val="231F20"/>
          <w:spacing w:val="-5"/>
        </w:rPr>
        <w:t> </w:t>
      </w:r>
      <w:r>
        <w:rPr>
          <w:color w:val="231F20"/>
        </w:rPr>
        <w:t>su</w:t>
      </w:r>
      <w:r>
        <w:rPr>
          <w:color w:val="231F20"/>
          <w:spacing w:val="-4"/>
        </w:rPr>
        <w:t> </w:t>
      </w:r>
      <w:r>
        <w:rPr>
          <w:color w:val="231F20"/>
        </w:rPr>
        <w:t>mayoría</w:t>
      </w:r>
      <w:r>
        <w:rPr>
          <w:color w:val="231F20"/>
          <w:spacing w:val="-5"/>
        </w:rPr>
        <w:t> </w:t>
      </w:r>
      <w:r>
        <w:rPr>
          <w:color w:val="231F20"/>
        </w:rPr>
        <w:t>a</w:t>
      </w:r>
      <w:r>
        <w:rPr>
          <w:color w:val="231F20"/>
          <w:spacing w:val="-5"/>
        </w:rPr>
        <w:t> </w:t>
      </w:r>
      <w:r>
        <w:rPr>
          <w:color w:val="231F20"/>
        </w:rPr>
        <w:t>través</w:t>
      </w:r>
      <w:r>
        <w:rPr>
          <w:color w:val="231F20"/>
          <w:spacing w:val="-5"/>
        </w:rPr>
        <w:t> </w:t>
      </w:r>
      <w:r>
        <w:rPr>
          <w:color w:val="231F20"/>
        </w:rPr>
        <w:t>de</w:t>
      </w:r>
      <w:r>
        <w:rPr>
          <w:color w:val="231F20"/>
          <w:spacing w:val="-5"/>
        </w:rPr>
        <w:t> </w:t>
      </w:r>
      <w:r>
        <w:rPr>
          <w:color w:val="231F20"/>
        </w:rPr>
        <w:t>terceros,</w:t>
      </w:r>
      <w:r>
        <w:rPr>
          <w:color w:val="231F20"/>
          <w:spacing w:val="-5"/>
        </w:rPr>
        <w:t> </w:t>
      </w:r>
      <w:r>
        <w:rPr>
          <w:color w:val="231F20"/>
        </w:rPr>
        <w:t>lo</w:t>
      </w:r>
      <w:r>
        <w:rPr>
          <w:color w:val="231F20"/>
          <w:spacing w:val="-4"/>
        </w:rPr>
        <w:t> </w:t>
      </w:r>
      <w:r>
        <w:rPr>
          <w:color w:val="231F20"/>
        </w:rPr>
        <w:t>cual generó significativos incrementos en los precios unitarios y los fletes.</w:t>
      </w:r>
    </w:p>
    <w:p>
      <w:pPr>
        <w:pStyle w:val="BodyText"/>
        <w:spacing w:before="169"/>
        <w:ind w:left="412" w:right="1473"/>
      </w:pPr>
      <w:r>
        <w:rPr>
          <w:color w:val="231F20"/>
          <w:spacing w:val="-4"/>
        </w:rPr>
        <w:t>En</w:t>
      </w:r>
      <w:r>
        <w:rPr>
          <w:color w:val="231F20"/>
          <w:spacing w:val="-13"/>
        </w:rPr>
        <w:t> </w:t>
      </w:r>
      <w:r>
        <w:rPr>
          <w:color w:val="231F20"/>
          <w:spacing w:val="-4"/>
        </w:rPr>
        <w:t>el</w:t>
      </w:r>
      <w:r>
        <w:rPr>
          <w:color w:val="231F20"/>
          <w:spacing w:val="-12"/>
        </w:rPr>
        <w:t> </w:t>
      </w:r>
      <w:r>
        <w:rPr>
          <w:color w:val="231F20"/>
          <w:spacing w:val="-4"/>
        </w:rPr>
        <w:t>período,</w:t>
      </w:r>
      <w:r>
        <w:rPr>
          <w:color w:val="231F20"/>
          <w:spacing w:val="-13"/>
        </w:rPr>
        <w:t> </w:t>
      </w:r>
      <w:r>
        <w:rPr>
          <w:color w:val="231F20"/>
          <w:spacing w:val="-4"/>
        </w:rPr>
        <w:t>además,</w:t>
      </w:r>
      <w:r>
        <w:rPr>
          <w:color w:val="231F20"/>
          <w:spacing w:val="-12"/>
        </w:rPr>
        <w:t> </w:t>
      </w:r>
      <w:r>
        <w:rPr>
          <w:color w:val="231F20"/>
          <w:spacing w:val="-4"/>
        </w:rPr>
        <w:t>los</w:t>
      </w:r>
      <w:r>
        <w:rPr>
          <w:color w:val="231F20"/>
          <w:spacing w:val="-13"/>
        </w:rPr>
        <w:t> </w:t>
      </w:r>
      <w:r>
        <w:rPr>
          <w:color w:val="231F20"/>
          <w:spacing w:val="-4"/>
        </w:rPr>
        <w:t>bancos</w:t>
      </w:r>
      <w:r>
        <w:rPr>
          <w:color w:val="231F20"/>
          <w:spacing w:val="-12"/>
        </w:rPr>
        <w:t> </w:t>
      </w:r>
      <w:r>
        <w:rPr>
          <w:color w:val="231F20"/>
          <w:spacing w:val="-4"/>
        </w:rPr>
        <w:t>Deutsche </w:t>
      </w:r>
      <w:r>
        <w:rPr>
          <w:color w:val="231F20"/>
          <w:spacing w:val="-2"/>
        </w:rPr>
        <w:t>Bank</w:t>
      </w:r>
      <w:r>
        <w:rPr>
          <w:color w:val="231F20"/>
          <w:spacing w:val="-15"/>
        </w:rPr>
        <w:t> </w:t>
      </w:r>
      <w:r>
        <w:rPr>
          <w:color w:val="231F20"/>
          <w:spacing w:val="-2"/>
        </w:rPr>
        <w:t>y</w:t>
      </w:r>
      <w:r>
        <w:rPr>
          <w:color w:val="231F20"/>
          <w:spacing w:val="-14"/>
        </w:rPr>
        <w:t> </w:t>
      </w:r>
      <w:r>
        <w:rPr>
          <w:color w:val="231F20"/>
          <w:spacing w:val="-2"/>
        </w:rPr>
        <w:t>el</w:t>
      </w:r>
      <w:r>
        <w:rPr>
          <w:color w:val="231F20"/>
          <w:spacing w:val="-15"/>
        </w:rPr>
        <w:t> </w:t>
      </w:r>
      <w:r>
        <w:rPr>
          <w:color w:val="231F20"/>
          <w:spacing w:val="-2"/>
        </w:rPr>
        <w:t>Royal</w:t>
      </w:r>
      <w:r>
        <w:rPr>
          <w:color w:val="231F20"/>
          <w:spacing w:val="-14"/>
        </w:rPr>
        <w:t> </w:t>
      </w:r>
      <w:r>
        <w:rPr>
          <w:color w:val="231F20"/>
          <w:spacing w:val="-2"/>
        </w:rPr>
        <w:t>Bank</w:t>
      </w:r>
      <w:r>
        <w:rPr>
          <w:color w:val="231F20"/>
          <w:spacing w:val="-15"/>
        </w:rPr>
        <w:t> </w:t>
      </w:r>
      <w:r>
        <w:rPr>
          <w:color w:val="231F20"/>
          <w:spacing w:val="-2"/>
        </w:rPr>
        <w:t>of</w:t>
      </w:r>
      <w:r>
        <w:rPr>
          <w:color w:val="231F20"/>
          <w:spacing w:val="-14"/>
        </w:rPr>
        <w:t> </w:t>
      </w:r>
      <w:r>
        <w:rPr>
          <w:color w:val="231F20"/>
          <w:spacing w:val="-2"/>
        </w:rPr>
        <w:t>Canada,</w:t>
      </w:r>
      <w:r>
        <w:rPr>
          <w:color w:val="231F20"/>
          <w:spacing w:val="-15"/>
        </w:rPr>
        <w:t> </w:t>
      </w:r>
      <w:r>
        <w:rPr>
          <w:color w:val="231F20"/>
          <w:spacing w:val="-2"/>
        </w:rPr>
        <w:t>también</w:t>
      </w:r>
      <w:r>
        <w:rPr>
          <w:color w:val="231F20"/>
          <w:spacing w:val="-14"/>
        </w:rPr>
        <w:t> </w:t>
      </w:r>
      <w:r>
        <w:rPr>
          <w:color w:val="231F20"/>
          <w:spacing w:val="-2"/>
        </w:rPr>
        <w:t>se </w:t>
      </w:r>
      <w:r>
        <w:rPr>
          <w:color w:val="231F20"/>
        </w:rPr>
        <w:t>negaron</w:t>
      </w:r>
      <w:r>
        <w:rPr>
          <w:color w:val="231F20"/>
          <w:spacing w:val="-16"/>
        </w:rPr>
        <w:t> </w:t>
      </w:r>
      <w:r>
        <w:rPr>
          <w:color w:val="231F20"/>
        </w:rPr>
        <w:t>de</w:t>
      </w:r>
      <w:r>
        <w:rPr>
          <w:color w:val="231F20"/>
          <w:spacing w:val="-14"/>
        </w:rPr>
        <w:t> </w:t>
      </w:r>
      <w:r>
        <w:rPr>
          <w:color w:val="231F20"/>
        </w:rPr>
        <w:t>manera</w:t>
      </w:r>
      <w:r>
        <w:rPr>
          <w:color w:val="231F20"/>
          <w:spacing w:val="-14"/>
        </w:rPr>
        <w:t> </w:t>
      </w:r>
      <w:r>
        <w:rPr>
          <w:color w:val="231F20"/>
        </w:rPr>
        <w:t>reiterada</w:t>
      </w:r>
      <w:r>
        <w:rPr>
          <w:color w:val="231F20"/>
          <w:spacing w:val="-14"/>
        </w:rPr>
        <w:t> </w:t>
      </w:r>
      <w:r>
        <w:rPr>
          <w:color w:val="231F20"/>
        </w:rPr>
        <w:t>a</w:t>
      </w:r>
      <w:r>
        <w:rPr>
          <w:color w:val="231F20"/>
          <w:spacing w:val="-14"/>
        </w:rPr>
        <w:t> </w:t>
      </w:r>
      <w:r>
        <w:rPr>
          <w:color w:val="231F20"/>
        </w:rPr>
        <w:t>aceptar</w:t>
      </w:r>
      <w:r>
        <w:rPr>
          <w:color w:val="231F20"/>
          <w:spacing w:val="-14"/>
        </w:rPr>
        <w:t> </w:t>
      </w:r>
      <w:r>
        <w:rPr>
          <w:color w:val="231F20"/>
          <w:spacing w:val="-5"/>
        </w:rPr>
        <w:t>los</w:t>
      </w:r>
    </w:p>
    <w:p>
      <w:pPr>
        <w:spacing w:after="0"/>
        <w:sectPr>
          <w:pgSz w:w="11910" w:h="16840"/>
          <w:pgMar w:header="0" w:footer="695" w:top="1260" w:bottom="880" w:left="0" w:right="0"/>
          <w:cols w:num="2" w:equalWidth="0">
            <w:col w:w="5557" w:space="40"/>
            <w:col w:w="6313"/>
          </w:cols>
        </w:sectPr>
      </w:pPr>
    </w:p>
    <w:p>
      <w:pPr>
        <w:pStyle w:val="BodyText"/>
        <w:spacing w:before="77"/>
        <w:ind w:left="1474"/>
      </w:pPr>
      <w:r>
        <w:rPr>
          <w:color w:val="231F20"/>
        </w:rPr>
        <w:t>pagos</w:t>
      </w:r>
      <w:r>
        <w:rPr>
          <w:color w:val="231F20"/>
          <w:spacing w:val="-10"/>
        </w:rPr>
        <w:t> </w:t>
      </w:r>
      <w:r>
        <w:rPr>
          <w:color w:val="231F20"/>
        </w:rPr>
        <w:t>del</w:t>
      </w:r>
      <w:r>
        <w:rPr>
          <w:color w:val="231F20"/>
          <w:spacing w:val="-10"/>
        </w:rPr>
        <w:t> </w:t>
      </w:r>
      <w:r>
        <w:rPr>
          <w:color w:val="231F20"/>
        </w:rPr>
        <w:t>Centro</w:t>
      </w:r>
      <w:r>
        <w:rPr>
          <w:color w:val="231F20"/>
          <w:spacing w:val="-10"/>
        </w:rPr>
        <w:t> </w:t>
      </w:r>
      <w:r>
        <w:rPr>
          <w:color w:val="231F20"/>
        </w:rPr>
        <w:t>de</w:t>
      </w:r>
      <w:r>
        <w:rPr>
          <w:color w:val="231F20"/>
          <w:spacing w:val="-10"/>
        </w:rPr>
        <w:t> </w:t>
      </w:r>
      <w:r>
        <w:rPr>
          <w:color w:val="231F20"/>
        </w:rPr>
        <w:t>Ingeniería</w:t>
      </w:r>
      <w:r>
        <w:rPr>
          <w:color w:val="231F20"/>
          <w:spacing w:val="-10"/>
        </w:rPr>
        <w:t> </w:t>
      </w:r>
      <w:r>
        <w:rPr>
          <w:color w:val="231F20"/>
        </w:rPr>
        <w:t>Genética</w:t>
      </w:r>
      <w:r>
        <w:rPr>
          <w:color w:val="231F20"/>
          <w:spacing w:val="-10"/>
        </w:rPr>
        <w:t> </w:t>
      </w:r>
      <w:r>
        <w:rPr>
          <w:color w:val="231F20"/>
        </w:rPr>
        <w:t>y </w:t>
      </w:r>
      <w:r>
        <w:rPr>
          <w:color w:val="231F20"/>
          <w:spacing w:val="-2"/>
        </w:rPr>
        <w:t>Biotecnología</w:t>
      </w:r>
      <w:r>
        <w:rPr>
          <w:color w:val="231F20"/>
          <w:spacing w:val="-15"/>
        </w:rPr>
        <w:t> </w:t>
      </w:r>
      <w:r>
        <w:rPr>
          <w:color w:val="231F20"/>
          <w:spacing w:val="-2"/>
        </w:rPr>
        <w:t>(CIGB)</w:t>
      </w:r>
      <w:r>
        <w:rPr>
          <w:color w:val="231F20"/>
          <w:spacing w:val="-14"/>
        </w:rPr>
        <w:t> </w:t>
      </w:r>
      <w:r>
        <w:rPr>
          <w:color w:val="231F20"/>
          <w:spacing w:val="-2"/>
        </w:rPr>
        <w:t>a</w:t>
      </w:r>
      <w:r>
        <w:rPr>
          <w:color w:val="231F20"/>
          <w:spacing w:val="-15"/>
        </w:rPr>
        <w:t> </w:t>
      </w:r>
      <w:r>
        <w:rPr>
          <w:color w:val="231F20"/>
          <w:spacing w:val="-2"/>
        </w:rPr>
        <w:t>bufetes</w:t>
      </w:r>
      <w:r>
        <w:rPr>
          <w:color w:val="231F20"/>
          <w:spacing w:val="-14"/>
        </w:rPr>
        <w:t> </w:t>
      </w:r>
      <w:r>
        <w:rPr>
          <w:color w:val="231F20"/>
          <w:spacing w:val="-2"/>
        </w:rPr>
        <w:t>de</w:t>
      </w:r>
      <w:r>
        <w:rPr>
          <w:color w:val="231F20"/>
          <w:spacing w:val="-15"/>
        </w:rPr>
        <w:t> </w:t>
      </w:r>
      <w:r>
        <w:rPr>
          <w:color w:val="231F20"/>
          <w:spacing w:val="-2"/>
        </w:rPr>
        <w:t>patentes </w:t>
      </w:r>
      <w:r>
        <w:rPr>
          <w:color w:val="231F20"/>
        </w:rPr>
        <w:t>que nos representan en distintos países, lo que afecta cualquier acción futura de </w:t>
      </w:r>
      <w:r>
        <w:rPr>
          <w:color w:val="231F20"/>
          <w:spacing w:val="-4"/>
        </w:rPr>
        <w:t>negociación,</w:t>
      </w:r>
      <w:r>
        <w:rPr>
          <w:color w:val="231F20"/>
          <w:spacing w:val="-8"/>
        </w:rPr>
        <w:t> </w:t>
      </w:r>
      <w:r>
        <w:rPr>
          <w:color w:val="231F20"/>
          <w:spacing w:val="-4"/>
        </w:rPr>
        <w:t>registro</w:t>
      </w:r>
      <w:r>
        <w:rPr>
          <w:color w:val="231F20"/>
          <w:spacing w:val="-8"/>
        </w:rPr>
        <w:t> </w:t>
      </w:r>
      <w:r>
        <w:rPr>
          <w:color w:val="231F20"/>
          <w:spacing w:val="-4"/>
        </w:rPr>
        <w:t>o</w:t>
      </w:r>
      <w:r>
        <w:rPr>
          <w:color w:val="231F20"/>
          <w:spacing w:val="-8"/>
        </w:rPr>
        <w:t> </w:t>
      </w:r>
      <w:r>
        <w:rPr>
          <w:color w:val="231F20"/>
          <w:spacing w:val="-4"/>
        </w:rPr>
        <w:t>comercialización</w:t>
      </w:r>
      <w:r>
        <w:rPr>
          <w:color w:val="231F20"/>
          <w:spacing w:val="-8"/>
        </w:rPr>
        <w:t> </w:t>
      </w:r>
      <w:r>
        <w:rPr>
          <w:color w:val="231F20"/>
          <w:spacing w:val="-4"/>
        </w:rPr>
        <w:t>de </w:t>
      </w:r>
      <w:r>
        <w:rPr>
          <w:color w:val="231F20"/>
        </w:rPr>
        <w:t>nuestros productos en el exterior.</w:t>
      </w:r>
    </w:p>
    <w:p>
      <w:pPr>
        <w:pStyle w:val="BodyText"/>
        <w:spacing w:before="164"/>
        <w:ind w:left="1474" w:right="1"/>
      </w:pPr>
      <w:r>
        <w:rPr>
          <w:color w:val="231F20"/>
          <w:spacing w:val="-6"/>
        </w:rPr>
        <w:t>Desde</w:t>
      </w:r>
      <w:r>
        <w:rPr>
          <w:color w:val="231F20"/>
          <w:spacing w:val="-7"/>
        </w:rPr>
        <w:t> </w:t>
      </w:r>
      <w:r>
        <w:rPr>
          <w:color w:val="231F20"/>
          <w:spacing w:val="-6"/>
        </w:rPr>
        <w:t>2021</w:t>
      </w:r>
      <w:r>
        <w:rPr>
          <w:color w:val="231F20"/>
          <w:spacing w:val="-7"/>
        </w:rPr>
        <w:t> </w:t>
      </w:r>
      <w:r>
        <w:rPr>
          <w:color w:val="231F20"/>
          <w:spacing w:val="-6"/>
        </w:rPr>
        <w:t>se</w:t>
      </w:r>
      <w:r>
        <w:rPr>
          <w:color w:val="231F20"/>
          <w:spacing w:val="-7"/>
        </w:rPr>
        <w:t> </w:t>
      </w:r>
      <w:r>
        <w:rPr>
          <w:color w:val="231F20"/>
          <w:spacing w:val="-6"/>
        </w:rPr>
        <w:t>ha</w:t>
      </w:r>
      <w:r>
        <w:rPr>
          <w:color w:val="231F20"/>
          <w:spacing w:val="-7"/>
        </w:rPr>
        <w:t> </w:t>
      </w:r>
      <w:r>
        <w:rPr>
          <w:color w:val="231F20"/>
          <w:spacing w:val="-6"/>
        </w:rPr>
        <w:t>enfrentado</w:t>
      </w:r>
      <w:r>
        <w:rPr>
          <w:color w:val="231F20"/>
          <w:spacing w:val="-7"/>
        </w:rPr>
        <w:t> </w:t>
      </w:r>
      <w:r>
        <w:rPr>
          <w:color w:val="231F20"/>
          <w:spacing w:val="-6"/>
        </w:rPr>
        <w:t>la</w:t>
      </w:r>
      <w:r>
        <w:rPr>
          <w:color w:val="231F20"/>
          <w:spacing w:val="-7"/>
        </w:rPr>
        <w:t> </w:t>
      </w:r>
      <w:r>
        <w:rPr>
          <w:color w:val="231F20"/>
          <w:spacing w:val="-6"/>
        </w:rPr>
        <w:t>negativa</w:t>
      </w:r>
      <w:r>
        <w:rPr>
          <w:color w:val="231F20"/>
          <w:spacing w:val="-7"/>
        </w:rPr>
        <w:t> </w:t>
      </w:r>
      <w:r>
        <w:rPr>
          <w:color w:val="231F20"/>
          <w:spacing w:val="-6"/>
        </w:rPr>
        <w:t>de tres bancos europeos a realizar operaciones </w:t>
      </w:r>
      <w:r>
        <w:rPr>
          <w:color w:val="231F20"/>
        </w:rPr>
        <w:t>con</w:t>
      </w:r>
      <w:r>
        <w:rPr>
          <w:color w:val="231F20"/>
          <w:spacing w:val="-17"/>
        </w:rPr>
        <w:t> </w:t>
      </w:r>
      <w:r>
        <w:rPr>
          <w:color w:val="231F20"/>
        </w:rPr>
        <w:t>el</w:t>
      </w:r>
      <w:r>
        <w:rPr>
          <w:color w:val="231F20"/>
          <w:spacing w:val="-16"/>
        </w:rPr>
        <w:t> </w:t>
      </w:r>
      <w:r>
        <w:rPr>
          <w:color w:val="231F20"/>
        </w:rPr>
        <w:t>Banco</w:t>
      </w:r>
      <w:r>
        <w:rPr>
          <w:color w:val="231F20"/>
          <w:spacing w:val="-17"/>
        </w:rPr>
        <w:t> </w:t>
      </w:r>
      <w:r>
        <w:rPr>
          <w:color w:val="231F20"/>
        </w:rPr>
        <w:t>Financiero</w:t>
      </w:r>
      <w:r>
        <w:rPr>
          <w:color w:val="231F20"/>
          <w:spacing w:val="-16"/>
        </w:rPr>
        <w:t> </w:t>
      </w:r>
      <w:r>
        <w:rPr>
          <w:color w:val="231F20"/>
        </w:rPr>
        <w:t>Internacional</w:t>
      </w:r>
      <w:r>
        <w:rPr>
          <w:color w:val="231F20"/>
          <w:spacing w:val="-17"/>
        </w:rPr>
        <w:t> </w:t>
      </w:r>
      <w:r>
        <w:rPr>
          <w:color w:val="231F20"/>
        </w:rPr>
        <w:t>(BFI) y</w:t>
      </w:r>
      <w:r>
        <w:rPr>
          <w:color w:val="231F20"/>
          <w:spacing w:val="-1"/>
        </w:rPr>
        <w:t> </w:t>
      </w:r>
      <w:r>
        <w:rPr>
          <w:color w:val="231F20"/>
        </w:rPr>
        <w:t>el</w:t>
      </w:r>
      <w:r>
        <w:rPr>
          <w:color w:val="231F20"/>
          <w:spacing w:val="-1"/>
        </w:rPr>
        <w:t> </w:t>
      </w:r>
      <w:r>
        <w:rPr>
          <w:color w:val="231F20"/>
        </w:rPr>
        <w:t>Banco</w:t>
      </w:r>
      <w:r>
        <w:rPr>
          <w:color w:val="231F20"/>
          <w:spacing w:val="-1"/>
        </w:rPr>
        <w:t> </w:t>
      </w:r>
      <w:r>
        <w:rPr>
          <w:color w:val="231F20"/>
        </w:rPr>
        <w:t>Internacional</w:t>
      </w:r>
      <w:r>
        <w:rPr>
          <w:color w:val="231F20"/>
          <w:spacing w:val="-1"/>
        </w:rPr>
        <w:t> </w:t>
      </w:r>
      <w:r>
        <w:rPr>
          <w:color w:val="231F20"/>
        </w:rPr>
        <w:t>de</w:t>
      </w:r>
      <w:r>
        <w:rPr>
          <w:color w:val="231F20"/>
          <w:spacing w:val="-1"/>
        </w:rPr>
        <w:t> </w:t>
      </w:r>
      <w:r>
        <w:rPr>
          <w:color w:val="231F20"/>
        </w:rPr>
        <w:t>Comercio</w:t>
      </w:r>
      <w:r>
        <w:rPr>
          <w:color w:val="231F20"/>
          <w:spacing w:val="-1"/>
        </w:rPr>
        <w:t> </w:t>
      </w:r>
      <w:r>
        <w:rPr>
          <w:color w:val="231F20"/>
        </w:rPr>
        <w:t>S.A. (BICSA),</w:t>
      </w:r>
      <w:r>
        <w:rPr>
          <w:color w:val="231F20"/>
          <w:spacing w:val="-15"/>
        </w:rPr>
        <w:t> </w:t>
      </w:r>
      <w:r>
        <w:rPr>
          <w:color w:val="231F20"/>
        </w:rPr>
        <w:t>lo</w:t>
      </w:r>
      <w:r>
        <w:rPr>
          <w:color w:val="231F20"/>
          <w:spacing w:val="-15"/>
        </w:rPr>
        <w:t> </w:t>
      </w:r>
      <w:r>
        <w:rPr>
          <w:color w:val="231F20"/>
        </w:rPr>
        <w:t>que</w:t>
      </w:r>
      <w:r>
        <w:rPr>
          <w:color w:val="231F20"/>
          <w:spacing w:val="-15"/>
        </w:rPr>
        <w:t> </w:t>
      </w:r>
      <w:r>
        <w:rPr>
          <w:color w:val="231F20"/>
        </w:rPr>
        <w:t>provocó</w:t>
      </w:r>
      <w:r>
        <w:rPr>
          <w:color w:val="231F20"/>
          <w:spacing w:val="-15"/>
        </w:rPr>
        <w:t> </w:t>
      </w:r>
      <w:r>
        <w:rPr>
          <w:color w:val="231F20"/>
        </w:rPr>
        <w:t>que</w:t>
      </w:r>
      <w:r>
        <w:rPr>
          <w:color w:val="231F20"/>
          <w:spacing w:val="-15"/>
        </w:rPr>
        <w:t> </w:t>
      </w:r>
      <w:r>
        <w:rPr>
          <w:color w:val="231F20"/>
        </w:rPr>
        <w:t>un</w:t>
      </w:r>
      <w:r>
        <w:rPr>
          <w:color w:val="231F20"/>
          <w:spacing w:val="-15"/>
        </w:rPr>
        <w:t> </w:t>
      </w:r>
      <w:r>
        <w:rPr>
          <w:color w:val="231F20"/>
        </w:rPr>
        <w:t>proveedor detuviera los servicios técnicos que debía prestar a la Planta del CIGB del Mariel, donde se produce a escala industrial la vacuna Abdala contra la COVID-19.</w:t>
      </w:r>
    </w:p>
    <w:p>
      <w:pPr>
        <w:pStyle w:val="BodyText"/>
        <w:spacing w:before="167"/>
        <w:ind w:left="1474"/>
      </w:pPr>
      <w:r>
        <w:rPr>
          <w:color w:val="231F20"/>
        </w:rPr>
        <w:t>Por</w:t>
      </w:r>
      <w:r>
        <w:rPr>
          <w:color w:val="231F20"/>
          <w:spacing w:val="-12"/>
        </w:rPr>
        <w:t> </w:t>
      </w:r>
      <w:r>
        <w:rPr>
          <w:color w:val="231F20"/>
        </w:rPr>
        <w:t>otra</w:t>
      </w:r>
      <w:r>
        <w:rPr>
          <w:color w:val="231F20"/>
          <w:spacing w:val="-12"/>
        </w:rPr>
        <w:t> </w:t>
      </w:r>
      <w:r>
        <w:rPr>
          <w:color w:val="231F20"/>
        </w:rPr>
        <w:t>parte,</w:t>
      </w:r>
      <w:r>
        <w:rPr>
          <w:color w:val="231F20"/>
          <w:spacing w:val="-12"/>
        </w:rPr>
        <w:t> </w:t>
      </w:r>
      <w:r>
        <w:rPr>
          <w:color w:val="231F20"/>
        </w:rPr>
        <w:t>el</w:t>
      </w:r>
      <w:r>
        <w:rPr>
          <w:color w:val="231F20"/>
          <w:spacing w:val="-12"/>
        </w:rPr>
        <w:t> </w:t>
      </w:r>
      <w:r>
        <w:rPr>
          <w:color w:val="231F20"/>
        </w:rPr>
        <w:t>recrudecimiento</w:t>
      </w:r>
      <w:r>
        <w:rPr>
          <w:color w:val="231F20"/>
          <w:spacing w:val="-12"/>
        </w:rPr>
        <w:t> </w:t>
      </w:r>
      <w:r>
        <w:rPr>
          <w:color w:val="231F20"/>
        </w:rPr>
        <w:t>del</w:t>
      </w:r>
      <w:r>
        <w:rPr>
          <w:color w:val="231F20"/>
          <w:spacing w:val="-12"/>
        </w:rPr>
        <w:t> </w:t>
      </w:r>
      <w:r>
        <w:rPr>
          <w:color w:val="231F20"/>
        </w:rPr>
        <w:t>blo- </w:t>
      </w:r>
      <w:r>
        <w:rPr>
          <w:color w:val="231F20"/>
          <w:spacing w:val="-2"/>
        </w:rPr>
        <w:t>queo</w:t>
      </w:r>
      <w:r>
        <w:rPr>
          <w:color w:val="231F20"/>
          <w:spacing w:val="-15"/>
        </w:rPr>
        <w:t> </w:t>
      </w:r>
      <w:r>
        <w:rPr>
          <w:color w:val="231F20"/>
          <w:spacing w:val="-2"/>
        </w:rPr>
        <w:t>ha</w:t>
      </w:r>
      <w:r>
        <w:rPr>
          <w:color w:val="231F20"/>
          <w:spacing w:val="-14"/>
        </w:rPr>
        <w:t> </w:t>
      </w:r>
      <w:r>
        <w:rPr>
          <w:color w:val="231F20"/>
          <w:spacing w:val="-2"/>
        </w:rPr>
        <w:t>mantenido</w:t>
      </w:r>
      <w:r>
        <w:rPr>
          <w:color w:val="231F20"/>
          <w:spacing w:val="-15"/>
        </w:rPr>
        <w:t> </w:t>
      </w:r>
      <w:r>
        <w:rPr>
          <w:color w:val="231F20"/>
          <w:spacing w:val="-2"/>
        </w:rPr>
        <w:t>una</w:t>
      </w:r>
      <w:r>
        <w:rPr>
          <w:color w:val="231F20"/>
          <w:spacing w:val="-14"/>
        </w:rPr>
        <w:t> </w:t>
      </w:r>
      <w:r>
        <w:rPr>
          <w:color w:val="231F20"/>
          <w:spacing w:val="-2"/>
        </w:rPr>
        <w:t>alta</w:t>
      </w:r>
      <w:r>
        <w:rPr>
          <w:color w:val="231F20"/>
          <w:spacing w:val="-15"/>
        </w:rPr>
        <w:t> </w:t>
      </w:r>
      <w:r>
        <w:rPr>
          <w:color w:val="231F20"/>
          <w:spacing w:val="-2"/>
        </w:rPr>
        <w:t>percepción</w:t>
      </w:r>
      <w:r>
        <w:rPr>
          <w:color w:val="231F20"/>
          <w:spacing w:val="-14"/>
        </w:rPr>
        <w:t> </w:t>
      </w:r>
      <w:r>
        <w:rPr>
          <w:color w:val="231F20"/>
          <w:spacing w:val="-2"/>
        </w:rPr>
        <w:t>de </w:t>
      </w:r>
      <w:r>
        <w:rPr>
          <w:color w:val="231F20"/>
        </w:rPr>
        <w:t>riesgo de las compañías estadounidenses para</w:t>
      </w:r>
      <w:r>
        <w:rPr>
          <w:color w:val="231F20"/>
          <w:spacing w:val="-6"/>
        </w:rPr>
        <w:t> </w:t>
      </w:r>
      <w:r>
        <w:rPr>
          <w:color w:val="231F20"/>
        </w:rPr>
        <w:t>la</w:t>
      </w:r>
      <w:r>
        <w:rPr>
          <w:color w:val="231F20"/>
          <w:spacing w:val="-6"/>
        </w:rPr>
        <w:t> </w:t>
      </w:r>
      <w:r>
        <w:rPr>
          <w:color w:val="231F20"/>
        </w:rPr>
        <w:t>negociación</w:t>
      </w:r>
      <w:r>
        <w:rPr>
          <w:color w:val="231F20"/>
          <w:spacing w:val="-6"/>
        </w:rPr>
        <w:t> </w:t>
      </w:r>
      <w:r>
        <w:rPr>
          <w:color w:val="231F20"/>
        </w:rPr>
        <w:t>y</w:t>
      </w:r>
      <w:r>
        <w:rPr>
          <w:color w:val="231F20"/>
          <w:spacing w:val="-6"/>
        </w:rPr>
        <w:t> </w:t>
      </w:r>
      <w:r>
        <w:rPr>
          <w:color w:val="231F20"/>
        </w:rPr>
        <w:t>futura</w:t>
      </w:r>
      <w:r>
        <w:rPr>
          <w:color w:val="231F20"/>
          <w:spacing w:val="-6"/>
        </w:rPr>
        <w:t> </w:t>
      </w:r>
      <w:r>
        <w:rPr>
          <w:color w:val="231F20"/>
        </w:rPr>
        <w:t>comercializa- ción del producto cubano Heberprot-P, único</w:t>
      </w:r>
      <w:r>
        <w:rPr>
          <w:color w:val="231F20"/>
          <w:spacing w:val="-17"/>
        </w:rPr>
        <w:t> </w:t>
      </w:r>
      <w:r>
        <w:rPr>
          <w:color w:val="231F20"/>
        </w:rPr>
        <w:t>de</w:t>
      </w:r>
      <w:r>
        <w:rPr>
          <w:color w:val="231F20"/>
          <w:spacing w:val="-16"/>
        </w:rPr>
        <w:t> </w:t>
      </w:r>
      <w:r>
        <w:rPr>
          <w:color w:val="231F20"/>
        </w:rPr>
        <w:t>su</w:t>
      </w:r>
      <w:r>
        <w:rPr>
          <w:color w:val="231F20"/>
          <w:spacing w:val="-17"/>
        </w:rPr>
        <w:t> </w:t>
      </w:r>
      <w:r>
        <w:rPr>
          <w:color w:val="231F20"/>
        </w:rPr>
        <w:t>tipo</w:t>
      </w:r>
      <w:r>
        <w:rPr>
          <w:color w:val="231F20"/>
          <w:spacing w:val="-16"/>
        </w:rPr>
        <w:t> </w:t>
      </w:r>
      <w:r>
        <w:rPr>
          <w:color w:val="231F20"/>
        </w:rPr>
        <w:t>en</w:t>
      </w:r>
      <w:r>
        <w:rPr>
          <w:color w:val="231F20"/>
          <w:spacing w:val="-17"/>
        </w:rPr>
        <w:t> </w:t>
      </w:r>
      <w:r>
        <w:rPr>
          <w:color w:val="231F20"/>
        </w:rPr>
        <w:t>el</w:t>
      </w:r>
      <w:r>
        <w:rPr>
          <w:color w:val="231F20"/>
          <w:spacing w:val="-16"/>
        </w:rPr>
        <w:t> </w:t>
      </w:r>
      <w:r>
        <w:rPr>
          <w:color w:val="231F20"/>
        </w:rPr>
        <w:t>mundo</w:t>
      </w:r>
      <w:r>
        <w:rPr>
          <w:color w:val="231F20"/>
          <w:spacing w:val="-17"/>
        </w:rPr>
        <w:t> </w:t>
      </w:r>
      <w:r>
        <w:rPr>
          <w:color w:val="231F20"/>
        </w:rPr>
        <w:t>para</w:t>
      </w:r>
      <w:r>
        <w:rPr>
          <w:color w:val="231F20"/>
          <w:spacing w:val="-16"/>
        </w:rPr>
        <w:t> </w:t>
      </w:r>
      <w:r>
        <w:rPr>
          <w:color w:val="231F20"/>
        </w:rPr>
        <w:t>el</w:t>
      </w:r>
      <w:r>
        <w:rPr>
          <w:color w:val="231F20"/>
          <w:spacing w:val="-16"/>
        </w:rPr>
        <w:t> </w:t>
      </w:r>
      <w:r>
        <w:rPr>
          <w:color w:val="231F20"/>
        </w:rPr>
        <w:t>trata- miento de la úlcera del pie diabético, que </w:t>
      </w:r>
      <w:r>
        <w:rPr>
          <w:color w:val="231F20"/>
          <w:spacing w:val="-2"/>
        </w:rPr>
        <w:t>disminuye</w:t>
      </w:r>
      <w:r>
        <w:rPr>
          <w:color w:val="231F20"/>
          <w:spacing w:val="-15"/>
        </w:rPr>
        <w:t> </w:t>
      </w:r>
      <w:r>
        <w:rPr>
          <w:color w:val="231F20"/>
          <w:spacing w:val="-2"/>
        </w:rPr>
        <w:t>el</w:t>
      </w:r>
      <w:r>
        <w:rPr>
          <w:color w:val="231F20"/>
          <w:spacing w:val="-14"/>
        </w:rPr>
        <w:t> </w:t>
      </w:r>
      <w:r>
        <w:rPr>
          <w:color w:val="231F20"/>
          <w:spacing w:val="-2"/>
        </w:rPr>
        <w:t>número</w:t>
      </w:r>
      <w:r>
        <w:rPr>
          <w:color w:val="231F20"/>
          <w:spacing w:val="-15"/>
        </w:rPr>
        <w:t> </w:t>
      </w:r>
      <w:r>
        <w:rPr>
          <w:color w:val="231F20"/>
          <w:spacing w:val="-2"/>
        </w:rPr>
        <w:t>de</w:t>
      </w:r>
      <w:r>
        <w:rPr>
          <w:color w:val="231F20"/>
          <w:spacing w:val="-14"/>
        </w:rPr>
        <w:t> </w:t>
      </w:r>
      <w:r>
        <w:rPr>
          <w:color w:val="231F20"/>
          <w:spacing w:val="-2"/>
        </w:rPr>
        <w:t>amputaciones</w:t>
      </w:r>
      <w:r>
        <w:rPr>
          <w:color w:val="231F20"/>
          <w:spacing w:val="-15"/>
        </w:rPr>
        <w:t> </w:t>
      </w:r>
      <w:r>
        <w:rPr>
          <w:color w:val="231F20"/>
          <w:spacing w:val="-2"/>
        </w:rPr>
        <w:t>por </w:t>
      </w:r>
      <w:r>
        <w:rPr>
          <w:color w:val="231F20"/>
        </w:rPr>
        <w:t>esta enfermedad. De poder exportar este producto al mercado estadounidense, los ingresos por este concepto hubiesen as- cendido en el periodo de este informe a unos 105 millones de dólares.</w:t>
      </w:r>
    </w:p>
    <w:p>
      <w:pPr>
        <w:spacing w:before="170"/>
        <w:ind w:left="1474" w:right="0" w:firstLine="0"/>
        <w:jc w:val="both"/>
        <w:rPr>
          <w:rFonts w:ascii="Segoe UI Semibold" w:hAnsi="Segoe UI Semibold"/>
          <w:b/>
          <w:i/>
          <w:sz w:val="24"/>
        </w:rPr>
      </w:pPr>
      <w:r>
        <w:rPr>
          <w:rFonts w:ascii="Segoe UI Semibold" w:hAnsi="Segoe UI Semibold"/>
          <w:b/>
          <w:i/>
          <w:color w:val="231F20"/>
          <w:spacing w:val="-2"/>
          <w:sz w:val="24"/>
        </w:rPr>
        <w:t>Los</w:t>
      </w:r>
      <w:r>
        <w:rPr>
          <w:rFonts w:ascii="Segoe UI Semibold" w:hAnsi="Segoe UI Semibold"/>
          <w:b/>
          <w:i/>
          <w:color w:val="231F20"/>
          <w:spacing w:val="-11"/>
          <w:sz w:val="24"/>
        </w:rPr>
        <w:t> </w:t>
      </w:r>
      <w:r>
        <w:rPr>
          <w:rFonts w:ascii="Segoe UI Semibold" w:hAnsi="Segoe UI Semibold"/>
          <w:b/>
          <w:i/>
          <w:color w:val="231F20"/>
          <w:spacing w:val="-2"/>
          <w:sz w:val="24"/>
        </w:rPr>
        <w:t>daños</w:t>
      </w:r>
      <w:r>
        <w:rPr>
          <w:rFonts w:ascii="Segoe UI Semibold" w:hAnsi="Segoe UI Semibold"/>
          <w:b/>
          <w:i/>
          <w:color w:val="231F20"/>
          <w:spacing w:val="-11"/>
          <w:sz w:val="24"/>
        </w:rPr>
        <w:t> </w:t>
      </w:r>
      <w:r>
        <w:rPr>
          <w:rFonts w:ascii="Segoe UI Semibold" w:hAnsi="Segoe UI Semibold"/>
          <w:b/>
          <w:i/>
          <w:color w:val="231F20"/>
          <w:spacing w:val="-2"/>
          <w:sz w:val="24"/>
        </w:rPr>
        <w:t>y</w:t>
      </w:r>
      <w:r>
        <w:rPr>
          <w:rFonts w:ascii="Segoe UI Semibold" w:hAnsi="Segoe UI Semibold"/>
          <w:b/>
          <w:i/>
          <w:color w:val="231F20"/>
          <w:spacing w:val="-11"/>
          <w:sz w:val="24"/>
        </w:rPr>
        <w:t> </w:t>
      </w:r>
      <w:r>
        <w:rPr>
          <w:rFonts w:ascii="Segoe UI Semibold" w:hAnsi="Segoe UI Semibold"/>
          <w:b/>
          <w:i/>
          <w:color w:val="231F20"/>
          <w:spacing w:val="-2"/>
          <w:sz w:val="24"/>
        </w:rPr>
        <w:t>perjuicios</w:t>
      </w:r>
      <w:r>
        <w:rPr>
          <w:rFonts w:ascii="Segoe UI Semibold" w:hAnsi="Segoe UI Semibold"/>
          <w:b/>
          <w:i/>
          <w:color w:val="231F20"/>
          <w:spacing w:val="-11"/>
          <w:sz w:val="24"/>
        </w:rPr>
        <w:t> </w:t>
      </w:r>
      <w:r>
        <w:rPr>
          <w:rFonts w:ascii="Segoe UI Semibold" w:hAnsi="Segoe UI Semibold"/>
          <w:b/>
          <w:i/>
          <w:color w:val="231F20"/>
          <w:spacing w:val="-2"/>
          <w:sz w:val="24"/>
        </w:rPr>
        <w:t>económicos</w:t>
      </w:r>
      <w:r>
        <w:rPr>
          <w:rFonts w:ascii="Segoe UI Semibold" w:hAnsi="Segoe UI Semibold"/>
          <w:b/>
          <w:i/>
          <w:color w:val="231F20"/>
          <w:spacing w:val="-11"/>
          <w:sz w:val="24"/>
        </w:rPr>
        <w:t> </w:t>
      </w:r>
      <w:r>
        <w:rPr>
          <w:rFonts w:ascii="Segoe UI Semibold" w:hAnsi="Segoe UI Semibold"/>
          <w:b/>
          <w:i/>
          <w:color w:val="231F20"/>
          <w:spacing w:val="-2"/>
          <w:sz w:val="24"/>
        </w:rPr>
        <w:t>ocasio-</w:t>
      </w:r>
      <w:r>
        <w:rPr>
          <w:rFonts w:ascii="Segoe UI Semibold" w:hAnsi="Segoe UI Semibold"/>
          <w:b/>
          <w:i/>
          <w:color w:val="231F20"/>
          <w:spacing w:val="-2"/>
          <w:sz w:val="24"/>
        </w:rPr>
        <w:t> </w:t>
      </w:r>
      <w:r>
        <w:rPr>
          <w:rFonts w:ascii="Segoe UI Semibold" w:hAnsi="Segoe UI Semibold"/>
          <w:b/>
          <w:i/>
          <w:color w:val="231F20"/>
          <w:sz w:val="24"/>
        </w:rPr>
        <w:t>nados</w:t>
      </w:r>
      <w:r>
        <w:rPr>
          <w:rFonts w:ascii="Segoe UI Semibold" w:hAnsi="Segoe UI Semibold"/>
          <w:b/>
          <w:i/>
          <w:color w:val="231F20"/>
          <w:spacing w:val="-2"/>
          <w:sz w:val="24"/>
        </w:rPr>
        <w:t> </w:t>
      </w:r>
      <w:r>
        <w:rPr>
          <w:rFonts w:ascii="Segoe UI Semibold" w:hAnsi="Segoe UI Semibold"/>
          <w:b/>
          <w:i/>
          <w:color w:val="231F20"/>
          <w:sz w:val="24"/>
        </w:rPr>
        <w:t>por</w:t>
      </w:r>
      <w:r>
        <w:rPr>
          <w:rFonts w:ascii="Segoe UI Semibold" w:hAnsi="Segoe UI Semibold"/>
          <w:b/>
          <w:i/>
          <w:color w:val="231F20"/>
          <w:spacing w:val="-2"/>
          <w:sz w:val="24"/>
        </w:rPr>
        <w:t> </w:t>
      </w:r>
      <w:r>
        <w:rPr>
          <w:rFonts w:ascii="Segoe UI Semibold" w:hAnsi="Segoe UI Semibold"/>
          <w:b/>
          <w:i/>
          <w:color w:val="231F20"/>
          <w:sz w:val="24"/>
        </w:rPr>
        <w:t>el</w:t>
      </w:r>
      <w:r>
        <w:rPr>
          <w:rFonts w:ascii="Segoe UI Semibold" w:hAnsi="Segoe UI Semibold"/>
          <w:b/>
          <w:i/>
          <w:color w:val="231F20"/>
          <w:spacing w:val="-2"/>
          <w:sz w:val="24"/>
        </w:rPr>
        <w:t> </w:t>
      </w:r>
      <w:r>
        <w:rPr>
          <w:rFonts w:ascii="Segoe UI Semibold" w:hAnsi="Segoe UI Semibold"/>
          <w:b/>
          <w:i/>
          <w:color w:val="231F20"/>
          <w:sz w:val="24"/>
        </w:rPr>
        <w:t>bloqueo</w:t>
      </w:r>
      <w:r>
        <w:rPr>
          <w:rFonts w:ascii="Segoe UI Semibold" w:hAnsi="Segoe UI Semibold"/>
          <w:b/>
          <w:i/>
          <w:color w:val="231F20"/>
          <w:spacing w:val="-2"/>
          <w:sz w:val="24"/>
        </w:rPr>
        <w:t> </w:t>
      </w:r>
      <w:r>
        <w:rPr>
          <w:rFonts w:ascii="Segoe UI Semibold" w:hAnsi="Segoe UI Semibold"/>
          <w:b/>
          <w:i/>
          <w:color w:val="231F20"/>
          <w:sz w:val="24"/>
        </w:rPr>
        <w:t>al</w:t>
      </w:r>
      <w:r>
        <w:rPr>
          <w:rFonts w:ascii="Segoe UI Semibold" w:hAnsi="Segoe UI Semibold"/>
          <w:b/>
          <w:i/>
          <w:color w:val="231F20"/>
          <w:spacing w:val="-2"/>
          <w:sz w:val="24"/>
        </w:rPr>
        <w:t> </w:t>
      </w:r>
      <w:r>
        <w:rPr>
          <w:b/>
          <w:i/>
          <w:color w:val="B52628"/>
          <w:sz w:val="24"/>
        </w:rPr>
        <w:t>sector</w:t>
      </w:r>
      <w:r>
        <w:rPr>
          <w:b/>
          <w:i/>
          <w:color w:val="B52628"/>
          <w:spacing w:val="-2"/>
          <w:sz w:val="24"/>
        </w:rPr>
        <w:t> </w:t>
      </w:r>
      <w:r>
        <w:rPr>
          <w:b/>
          <w:i/>
          <w:color w:val="B52628"/>
          <w:sz w:val="24"/>
        </w:rPr>
        <w:t>de</w:t>
      </w:r>
      <w:r>
        <w:rPr>
          <w:b/>
          <w:i/>
          <w:color w:val="B52628"/>
          <w:spacing w:val="-2"/>
          <w:sz w:val="24"/>
        </w:rPr>
        <w:t> </w:t>
      </w:r>
      <w:r>
        <w:rPr>
          <w:b/>
          <w:i/>
          <w:color w:val="B52628"/>
          <w:sz w:val="24"/>
        </w:rPr>
        <w:t>las</w:t>
      </w:r>
      <w:r>
        <w:rPr>
          <w:b/>
          <w:i/>
          <w:color w:val="B52628"/>
          <w:spacing w:val="-2"/>
          <w:sz w:val="24"/>
        </w:rPr>
        <w:t> </w:t>
      </w:r>
      <w:r>
        <w:rPr>
          <w:b/>
          <w:i/>
          <w:color w:val="B52628"/>
          <w:sz w:val="24"/>
        </w:rPr>
        <w:t>co-</w:t>
      </w:r>
      <w:r>
        <w:rPr>
          <w:b/>
          <w:i/>
          <w:color w:val="B52628"/>
          <w:sz w:val="24"/>
        </w:rPr>
        <w:t> </w:t>
      </w:r>
      <w:r>
        <w:rPr>
          <w:b/>
          <w:i/>
          <w:color w:val="B52628"/>
          <w:spacing w:val="-4"/>
          <w:sz w:val="24"/>
        </w:rPr>
        <w:t>municaciones</w:t>
      </w:r>
      <w:r>
        <w:rPr>
          <w:b/>
          <w:i/>
          <w:color w:val="B52628"/>
          <w:spacing w:val="-6"/>
          <w:sz w:val="24"/>
        </w:rPr>
        <w:t> </w:t>
      </w:r>
      <w:r>
        <w:rPr>
          <w:b/>
          <w:i/>
          <w:color w:val="B52628"/>
          <w:spacing w:val="-4"/>
          <w:sz w:val="24"/>
        </w:rPr>
        <w:t>y</w:t>
      </w:r>
      <w:r>
        <w:rPr>
          <w:b/>
          <w:i/>
          <w:color w:val="B52628"/>
          <w:spacing w:val="-6"/>
          <w:sz w:val="24"/>
        </w:rPr>
        <w:t> </w:t>
      </w:r>
      <w:r>
        <w:rPr>
          <w:b/>
          <w:i/>
          <w:color w:val="B52628"/>
          <w:spacing w:val="-4"/>
          <w:sz w:val="24"/>
        </w:rPr>
        <w:t>la</w:t>
      </w:r>
      <w:r>
        <w:rPr>
          <w:b/>
          <w:i/>
          <w:color w:val="B52628"/>
          <w:spacing w:val="-6"/>
          <w:sz w:val="24"/>
        </w:rPr>
        <w:t> </w:t>
      </w:r>
      <w:r>
        <w:rPr>
          <w:b/>
          <w:i/>
          <w:color w:val="B52628"/>
          <w:spacing w:val="-4"/>
          <w:sz w:val="24"/>
        </w:rPr>
        <w:t>informática,</w:t>
      </w:r>
      <w:r>
        <w:rPr>
          <w:b/>
          <w:i/>
          <w:color w:val="B52628"/>
          <w:spacing w:val="-6"/>
          <w:sz w:val="24"/>
        </w:rPr>
        <w:t> </w:t>
      </w:r>
      <w:r>
        <w:rPr>
          <w:b/>
          <w:i/>
          <w:color w:val="B52628"/>
          <w:spacing w:val="-4"/>
          <w:sz w:val="24"/>
        </w:rPr>
        <w:t>incluidas </w:t>
      </w:r>
      <w:r>
        <w:rPr>
          <w:b/>
          <w:i/>
          <w:color w:val="B52628"/>
          <w:spacing w:val="-2"/>
          <w:sz w:val="24"/>
        </w:rPr>
        <w:t>las</w:t>
      </w:r>
      <w:r>
        <w:rPr>
          <w:b/>
          <w:i/>
          <w:color w:val="B52628"/>
          <w:spacing w:val="-15"/>
          <w:sz w:val="24"/>
        </w:rPr>
        <w:t> </w:t>
      </w:r>
      <w:r>
        <w:rPr>
          <w:b/>
          <w:i/>
          <w:color w:val="B52628"/>
          <w:spacing w:val="-2"/>
          <w:sz w:val="24"/>
        </w:rPr>
        <w:t>telecomunicaciones</w:t>
      </w:r>
      <w:r>
        <w:rPr>
          <w:b/>
          <w:i/>
          <w:color w:val="B52628"/>
          <w:spacing w:val="-14"/>
          <w:sz w:val="24"/>
        </w:rPr>
        <w:t> </w:t>
      </w:r>
      <w:r>
        <w:rPr>
          <w:rFonts w:ascii="Segoe UI Semibold" w:hAnsi="Segoe UI Semibold"/>
          <w:b/>
          <w:i/>
          <w:color w:val="231F20"/>
          <w:spacing w:val="-2"/>
          <w:sz w:val="24"/>
        </w:rPr>
        <w:t>en</w:t>
      </w:r>
      <w:r>
        <w:rPr>
          <w:rFonts w:ascii="Segoe UI Semibold" w:hAnsi="Segoe UI Semibold"/>
          <w:b/>
          <w:i/>
          <w:color w:val="231F20"/>
          <w:spacing w:val="-15"/>
          <w:sz w:val="24"/>
        </w:rPr>
        <w:t> </w:t>
      </w:r>
      <w:r>
        <w:rPr>
          <w:rFonts w:ascii="Segoe UI Semibold" w:hAnsi="Segoe UI Semibold"/>
          <w:b/>
          <w:i/>
          <w:color w:val="231F20"/>
          <w:spacing w:val="-2"/>
          <w:sz w:val="24"/>
        </w:rPr>
        <w:t>Cuba,</w:t>
      </w:r>
      <w:r>
        <w:rPr>
          <w:rFonts w:ascii="Segoe UI Semibold" w:hAnsi="Segoe UI Semibold"/>
          <w:b/>
          <w:i/>
          <w:color w:val="231F20"/>
          <w:spacing w:val="-14"/>
          <w:sz w:val="24"/>
        </w:rPr>
        <w:t> </w:t>
      </w:r>
      <w:r>
        <w:rPr>
          <w:rFonts w:ascii="Segoe UI Semibold" w:hAnsi="Segoe UI Semibold"/>
          <w:b/>
          <w:i/>
          <w:color w:val="231F20"/>
          <w:spacing w:val="-2"/>
          <w:sz w:val="24"/>
        </w:rPr>
        <w:t>durante</w:t>
      </w:r>
      <w:r>
        <w:rPr>
          <w:rFonts w:ascii="Segoe UI Semibold" w:hAnsi="Segoe UI Semibold"/>
          <w:b/>
          <w:i/>
          <w:color w:val="231F20"/>
          <w:spacing w:val="-2"/>
          <w:sz w:val="24"/>
        </w:rPr>
        <w:t> </w:t>
      </w:r>
      <w:r>
        <w:rPr>
          <w:rFonts w:ascii="Segoe UI Semibold" w:hAnsi="Segoe UI Semibold"/>
          <w:b/>
          <w:i/>
          <w:color w:val="231F20"/>
          <w:sz w:val="24"/>
        </w:rPr>
        <w:t>el</w:t>
      </w:r>
      <w:r>
        <w:rPr>
          <w:rFonts w:ascii="Segoe UI Semibold" w:hAnsi="Segoe UI Semibold"/>
          <w:b/>
          <w:i/>
          <w:color w:val="231F20"/>
          <w:spacing w:val="-3"/>
          <w:sz w:val="24"/>
        </w:rPr>
        <w:t> </w:t>
      </w:r>
      <w:r>
        <w:rPr>
          <w:rFonts w:ascii="Segoe UI Semibold" w:hAnsi="Segoe UI Semibold"/>
          <w:b/>
          <w:i/>
          <w:color w:val="231F20"/>
          <w:sz w:val="24"/>
        </w:rPr>
        <w:t>período</w:t>
      </w:r>
      <w:r>
        <w:rPr>
          <w:rFonts w:ascii="Segoe UI Semibold" w:hAnsi="Segoe UI Semibold"/>
          <w:b/>
          <w:i/>
          <w:color w:val="231F20"/>
          <w:spacing w:val="-3"/>
          <w:sz w:val="24"/>
        </w:rPr>
        <w:t> </w:t>
      </w:r>
      <w:r>
        <w:rPr>
          <w:rFonts w:ascii="Segoe UI Semibold" w:hAnsi="Segoe UI Semibold"/>
          <w:b/>
          <w:i/>
          <w:color w:val="231F20"/>
          <w:sz w:val="24"/>
        </w:rPr>
        <w:t>de</w:t>
      </w:r>
      <w:r>
        <w:rPr>
          <w:rFonts w:ascii="Segoe UI Semibold" w:hAnsi="Segoe UI Semibold"/>
          <w:b/>
          <w:i/>
          <w:color w:val="231F20"/>
          <w:spacing w:val="-3"/>
          <w:sz w:val="24"/>
        </w:rPr>
        <w:t> </w:t>
      </w:r>
      <w:r>
        <w:rPr>
          <w:rFonts w:ascii="Segoe UI Semibold" w:hAnsi="Segoe UI Semibold"/>
          <w:b/>
          <w:i/>
          <w:color w:val="231F20"/>
          <w:sz w:val="24"/>
        </w:rPr>
        <w:t>marzo</w:t>
      </w:r>
      <w:r>
        <w:rPr>
          <w:rFonts w:ascii="Segoe UI Semibold" w:hAnsi="Segoe UI Semibold"/>
          <w:b/>
          <w:i/>
          <w:color w:val="231F20"/>
          <w:spacing w:val="-3"/>
          <w:sz w:val="24"/>
        </w:rPr>
        <w:t> </w:t>
      </w:r>
      <w:r>
        <w:rPr>
          <w:rFonts w:ascii="Segoe UI Semibold" w:hAnsi="Segoe UI Semibold"/>
          <w:b/>
          <w:i/>
          <w:color w:val="231F20"/>
          <w:sz w:val="24"/>
        </w:rPr>
        <w:t>de</w:t>
      </w:r>
      <w:r>
        <w:rPr>
          <w:rFonts w:ascii="Segoe UI Semibold" w:hAnsi="Segoe UI Semibold"/>
          <w:b/>
          <w:i/>
          <w:color w:val="231F20"/>
          <w:spacing w:val="-3"/>
          <w:sz w:val="24"/>
        </w:rPr>
        <w:t> </w:t>
      </w:r>
      <w:r>
        <w:rPr>
          <w:rFonts w:ascii="Segoe UI Semibold" w:hAnsi="Segoe UI Semibold"/>
          <w:b/>
          <w:i/>
          <w:color w:val="231F20"/>
          <w:sz w:val="24"/>
        </w:rPr>
        <w:t>2022</w:t>
      </w:r>
      <w:r>
        <w:rPr>
          <w:rFonts w:ascii="Segoe UI Semibold" w:hAnsi="Segoe UI Semibold"/>
          <w:b/>
          <w:i/>
          <w:color w:val="231F20"/>
          <w:spacing w:val="-3"/>
          <w:sz w:val="24"/>
        </w:rPr>
        <w:t> </w:t>
      </w:r>
      <w:r>
        <w:rPr>
          <w:rFonts w:ascii="Segoe UI Semibold" w:hAnsi="Segoe UI Semibold"/>
          <w:b/>
          <w:i/>
          <w:color w:val="231F20"/>
          <w:sz w:val="24"/>
        </w:rPr>
        <w:t>a</w:t>
      </w:r>
      <w:r>
        <w:rPr>
          <w:rFonts w:ascii="Segoe UI Semibold" w:hAnsi="Segoe UI Semibold"/>
          <w:b/>
          <w:i/>
          <w:color w:val="231F20"/>
          <w:spacing w:val="-3"/>
          <w:sz w:val="24"/>
        </w:rPr>
        <w:t> </w:t>
      </w:r>
      <w:r>
        <w:rPr>
          <w:rFonts w:ascii="Segoe UI Semibold" w:hAnsi="Segoe UI Semibold"/>
          <w:b/>
          <w:i/>
          <w:color w:val="231F20"/>
          <w:sz w:val="24"/>
        </w:rPr>
        <w:t>febrero</w:t>
      </w:r>
      <w:r>
        <w:rPr>
          <w:rFonts w:ascii="Segoe UI Semibold" w:hAnsi="Segoe UI Semibold"/>
          <w:b/>
          <w:i/>
          <w:color w:val="231F20"/>
          <w:spacing w:val="-3"/>
          <w:sz w:val="24"/>
        </w:rPr>
        <w:t> </w:t>
      </w:r>
      <w:r>
        <w:rPr>
          <w:rFonts w:ascii="Segoe UI Semibold" w:hAnsi="Segoe UI Semibold"/>
          <w:b/>
          <w:i/>
          <w:color w:val="231F20"/>
          <w:sz w:val="24"/>
        </w:rPr>
        <w:t>de 2023, se estiman en 4</w:t>
      </w:r>
      <w:r>
        <w:rPr>
          <w:b/>
          <w:i/>
          <w:color w:val="231F20"/>
          <w:sz w:val="24"/>
        </w:rPr>
        <w:t>1 millones 270 mil</w:t>
      </w:r>
      <w:r>
        <w:rPr>
          <w:b/>
          <w:i/>
          <w:color w:val="231F20"/>
          <w:sz w:val="24"/>
        </w:rPr>
        <w:t> 50</w:t>
      </w:r>
      <w:r>
        <w:rPr>
          <w:b/>
          <w:i/>
          <w:color w:val="231F20"/>
          <w:spacing w:val="-13"/>
          <w:sz w:val="24"/>
        </w:rPr>
        <w:t> </w:t>
      </w:r>
      <w:r>
        <w:rPr>
          <w:b/>
          <w:i/>
          <w:color w:val="231F20"/>
          <w:sz w:val="24"/>
        </w:rPr>
        <w:t>dólares.</w:t>
      </w:r>
      <w:r>
        <w:rPr>
          <w:b/>
          <w:i/>
          <w:color w:val="231F20"/>
          <w:spacing w:val="-13"/>
          <w:sz w:val="24"/>
        </w:rPr>
        <w:t> </w:t>
      </w:r>
      <w:r>
        <w:rPr>
          <w:rFonts w:ascii="Segoe UI Semibold" w:hAnsi="Segoe UI Semibold"/>
          <w:b/>
          <w:i/>
          <w:color w:val="231F20"/>
          <w:sz w:val="24"/>
        </w:rPr>
        <w:t>En</w:t>
      </w:r>
      <w:r>
        <w:rPr>
          <w:rFonts w:ascii="Segoe UI Semibold" w:hAnsi="Segoe UI Semibold"/>
          <w:b/>
          <w:i/>
          <w:color w:val="231F20"/>
          <w:spacing w:val="-13"/>
          <w:sz w:val="24"/>
        </w:rPr>
        <w:t> </w:t>
      </w:r>
      <w:r>
        <w:rPr>
          <w:rFonts w:ascii="Segoe UI Semibold" w:hAnsi="Segoe UI Semibold"/>
          <w:b/>
          <w:i/>
          <w:color w:val="231F20"/>
          <w:sz w:val="24"/>
        </w:rPr>
        <w:t>esta</w:t>
      </w:r>
      <w:r>
        <w:rPr>
          <w:rFonts w:ascii="Segoe UI Semibold" w:hAnsi="Segoe UI Semibold"/>
          <w:b/>
          <w:i/>
          <w:color w:val="231F20"/>
          <w:spacing w:val="-13"/>
          <w:sz w:val="24"/>
        </w:rPr>
        <w:t> </w:t>
      </w:r>
      <w:r>
        <w:rPr>
          <w:rFonts w:ascii="Segoe UI Semibold" w:hAnsi="Segoe UI Semibold"/>
          <w:b/>
          <w:i/>
          <w:color w:val="231F20"/>
          <w:sz w:val="24"/>
        </w:rPr>
        <w:t>etapa,</w:t>
      </w:r>
      <w:r>
        <w:rPr>
          <w:rFonts w:ascii="Segoe UI Semibold" w:hAnsi="Segoe UI Semibold"/>
          <w:b/>
          <w:i/>
          <w:color w:val="231F20"/>
          <w:spacing w:val="-13"/>
          <w:sz w:val="24"/>
        </w:rPr>
        <w:t> </w:t>
      </w:r>
      <w:r>
        <w:rPr>
          <w:rFonts w:ascii="Segoe UI Semibold" w:hAnsi="Segoe UI Semibold"/>
          <w:b/>
          <w:i/>
          <w:color w:val="231F20"/>
          <w:sz w:val="24"/>
        </w:rPr>
        <w:t>al</w:t>
      </w:r>
      <w:r>
        <w:rPr>
          <w:rFonts w:ascii="Segoe UI Semibold" w:hAnsi="Segoe UI Semibold"/>
          <w:b/>
          <w:i/>
          <w:color w:val="231F20"/>
          <w:spacing w:val="-13"/>
          <w:sz w:val="24"/>
        </w:rPr>
        <w:t> </w:t>
      </w:r>
      <w:r>
        <w:rPr>
          <w:rFonts w:ascii="Segoe UI Semibold" w:hAnsi="Segoe UI Semibold"/>
          <w:b/>
          <w:i/>
          <w:color w:val="231F20"/>
          <w:sz w:val="24"/>
        </w:rPr>
        <w:t>igual</w:t>
      </w:r>
      <w:r>
        <w:rPr>
          <w:rFonts w:ascii="Segoe UI Semibold" w:hAnsi="Segoe UI Semibold"/>
          <w:b/>
          <w:i/>
          <w:color w:val="231F20"/>
          <w:spacing w:val="-13"/>
          <w:sz w:val="24"/>
        </w:rPr>
        <w:t> </w:t>
      </w:r>
      <w:r>
        <w:rPr>
          <w:rFonts w:ascii="Segoe UI Semibold" w:hAnsi="Segoe UI Semibold"/>
          <w:b/>
          <w:i/>
          <w:color w:val="231F20"/>
          <w:sz w:val="24"/>
        </w:rPr>
        <w:t>que</w:t>
      </w:r>
      <w:r>
        <w:rPr>
          <w:rFonts w:ascii="Segoe UI Semibold" w:hAnsi="Segoe UI Semibold"/>
          <w:b/>
          <w:i/>
          <w:color w:val="231F20"/>
          <w:spacing w:val="-13"/>
          <w:sz w:val="24"/>
        </w:rPr>
        <w:t> </w:t>
      </w:r>
      <w:r>
        <w:rPr>
          <w:rFonts w:ascii="Segoe UI Semibold" w:hAnsi="Segoe UI Semibold"/>
          <w:b/>
          <w:i/>
          <w:color w:val="231F20"/>
          <w:sz w:val="24"/>
        </w:rPr>
        <w:t>en</w:t>
      </w:r>
      <w:r>
        <w:rPr>
          <w:rFonts w:ascii="Segoe UI Semibold" w:hAnsi="Segoe UI Semibold"/>
          <w:b/>
          <w:i/>
          <w:color w:val="231F20"/>
          <w:sz w:val="24"/>
        </w:rPr>
        <w:t> las</w:t>
      </w:r>
      <w:r>
        <w:rPr>
          <w:rFonts w:ascii="Segoe UI Semibold" w:hAnsi="Segoe UI Semibold"/>
          <w:b/>
          <w:i/>
          <w:color w:val="231F20"/>
          <w:spacing w:val="-13"/>
          <w:sz w:val="24"/>
        </w:rPr>
        <w:t> </w:t>
      </w:r>
      <w:r>
        <w:rPr>
          <w:rFonts w:ascii="Segoe UI Semibold" w:hAnsi="Segoe UI Semibold"/>
          <w:b/>
          <w:i/>
          <w:color w:val="231F20"/>
          <w:sz w:val="24"/>
        </w:rPr>
        <w:t>anteriores,</w:t>
      </w:r>
      <w:r>
        <w:rPr>
          <w:rFonts w:ascii="Segoe UI Semibold" w:hAnsi="Segoe UI Semibold"/>
          <w:b/>
          <w:i/>
          <w:color w:val="231F20"/>
          <w:spacing w:val="-13"/>
          <w:sz w:val="24"/>
        </w:rPr>
        <w:t> </w:t>
      </w:r>
      <w:r>
        <w:rPr>
          <w:rFonts w:ascii="Segoe UI Semibold" w:hAnsi="Segoe UI Semibold"/>
          <w:b/>
          <w:i/>
          <w:color w:val="231F20"/>
          <w:sz w:val="24"/>
        </w:rPr>
        <w:t>ETECSA</w:t>
      </w:r>
      <w:r>
        <w:rPr>
          <w:rFonts w:ascii="Segoe UI Semibold" w:hAnsi="Segoe UI Semibold"/>
          <w:b/>
          <w:i/>
          <w:color w:val="231F20"/>
          <w:spacing w:val="-13"/>
          <w:sz w:val="24"/>
        </w:rPr>
        <w:t> </w:t>
      </w:r>
      <w:r>
        <w:rPr>
          <w:rFonts w:ascii="Segoe UI Semibold" w:hAnsi="Segoe UI Semibold"/>
          <w:b/>
          <w:i/>
          <w:color w:val="231F20"/>
          <w:sz w:val="24"/>
        </w:rPr>
        <w:t>continuó</w:t>
      </w:r>
      <w:r>
        <w:rPr>
          <w:rFonts w:ascii="Segoe UI Semibold" w:hAnsi="Segoe UI Semibold"/>
          <w:b/>
          <w:i/>
          <w:color w:val="231F20"/>
          <w:spacing w:val="-13"/>
          <w:sz w:val="24"/>
        </w:rPr>
        <w:t> </w:t>
      </w:r>
      <w:r>
        <w:rPr>
          <w:rFonts w:ascii="Segoe UI Semibold" w:hAnsi="Segoe UI Semibold"/>
          <w:b/>
          <w:i/>
          <w:color w:val="231F20"/>
          <w:sz w:val="24"/>
        </w:rPr>
        <w:t>siendo</w:t>
      </w:r>
      <w:r>
        <w:rPr>
          <w:rFonts w:ascii="Segoe UI Semibold" w:hAnsi="Segoe UI Semibold"/>
          <w:b/>
          <w:i/>
          <w:color w:val="231F20"/>
          <w:spacing w:val="-13"/>
          <w:sz w:val="24"/>
        </w:rPr>
        <w:t> </w:t>
      </w:r>
      <w:r>
        <w:rPr>
          <w:rFonts w:ascii="Segoe UI Semibold" w:hAnsi="Segoe UI Semibold"/>
          <w:b/>
          <w:i/>
          <w:color w:val="231F20"/>
          <w:sz w:val="24"/>
        </w:rPr>
        <w:t>la </w:t>
      </w:r>
      <w:r>
        <w:rPr>
          <w:rFonts w:ascii="Segoe UI Semibold" w:hAnsi="Segoe UI Semibold"/>
          <w:b/>
          <w:i/>
          <w:color w:val="231F20"/>
          <w:spacing w:val="-6"/>
          <w:sz w:val="24"/>
        </w:rPr>
        <w:t>empresa</w:t>
      </w:r>
      <w:r>
        <w:rPr>
          <w:rFonts w:ascii="Segoe UI Semibold" w:hAnsi="Segoe UI Semibold"/>
          <w:b/>
          <w:i/>
          <w:color w:val="231F20"/>
          <w:spacing w:val="-11"/>
          <w:sz w:val="24"/>
        </w:rPr>
        <w:t> </w:t>
      </w:r>
      <w:r>
        <w:rPr>
          <w:rFonts w:ascii="Segoe UI Semibold" w:hAnsi="Segoe UI Semibold"/>
          <w:b/>
          <w:i/>
          <w:color w:val="231F20"/>
          <w:spacing w:val="-6"/>
          <w:sz w:val="24"/>
        </w:rPr>
        <w:t>con</w:t>
      </w:r>
      <w:r>
        <w:rPr>
          <w:rFonts w:ascii="Segoe UI Semibold" w:hAnsi="Segoe UI Semibold"/>
          <w:b/>
          <w:i/>
          <w:color w:val="231F20"/>
          <w:spacing w:val="-10"/>
          <w:sz w:val="24"/>
        </w:rPr>
        <w:t> </w:t>
      </w:r>
      <w:r>
        <w:rPr>
          <w:rFonts w:ascii="Segoe UI Semibold" w:hAnsi="Segoe UI Semibold"/>
          <w:b/>
          <w:i/>
          <w:color w:val="231F20"/>
          <w:spacing w:val="-6"/>
          <w:sz w:val="24"/>
        </w:rPr>
        <w:t>mayor</w:t>
      </w:r>
      <w:r>
        <w:rPr>
          <w:rFonts w:ascii="Segoe UI Semibold" w:hAnsi="Segoe UI Semibold"/>
          <w:b/>
          <w:i/>
          <w:color w:val="231F20"/>
          <w:spacing w:val="-11"/>
          <w:sz w:val="24"/>
        </w:rPr>
        <w:t> </w:t>
      </w:r>
      <w:r>
        <w:rPr>
          <w:rFonts w:ascii="Segoe UI Semibold" w:hAnsi="Segoe UI Semibold"/>
          <w:b/>
          <w:i/>
          <w:color w:val="231F20"/>
          <w:spacing w:val="-6"/>
          <w:sz w:val="24"/>
        </w:rPr>
        <w:t>afectación,</w:t>
      </w:r>
      <w:r>
        <w:rPr>
          <w:rFonts w:ascii="Segoe UI Semibold" w:hAnsi="Segoe UI Semibold"/>
          <w:b/>
          <w:i/>
          <w:color w:val="231F20"/>
          <w:spacing w:val="-10"/>
          <w:sz w:val="24"/>
        </w:rPr>
        <w:t> </w:t>
      </w:r>
      <w:r>
        <w:rPr>
          <w:rFonts w:ascii="Segoe UI Semibold" w:hAnsi="Segoe UI Semibold"/>
          <w:b/>
          <w:i/>
          <w:color w:val="231F20"/>
          <w:spacing w:val="-6"/>
          <w:sz w:val="24"/>
        </w:rPr>
        <w:t>registrando </w:t>
      </w:r>
      <w:r>
        <w:rPr>
          <w:rFonts w:ascii="Segoe UI Semibold" w:hAnsi="Segoe UI Semibold"/>
          <w:b/>
          <w:i/>
          <w:color w:val="231F20"/>
          <w:sz w:val="24"/>
        </w:rPr>
        <w:t>una</w:t>
      </w:r>
      <w:r>
        <w:rPr>
          <w:rFonts w:ascii="Segoe UI Semibold" w:hAnsi="Segoe UI Semibold"/>
          <w:b/>
          <w:i/>
          <w:color w:val="231F20"/>
          <w:spacing w:val="-15"/>
          <w:sz w:val="24"/>
        </w:rPr>
        <w:t> </w:t>
      </w:r>
      <w:r>
        <w:rPr>
          <w:rFonts w:ascii="Segoe UI Semibold" w:hAnsi="Segoe UI Semibold"/>
          <w:b/>
          <w:i/>
          <w:color w:val="231F20"/>
          <w:sz w:val="24"/>
        </w:rPr>
        <w:t>cifra</w:t>
      </w:r>
      <w:r>
        <w:rPr>
          <w:rFonts w:ascii="Segoe UI Semibold" w:hAnsi="Segoe UI Semibold"/>
          <w:b/>
          <w:i/>
          <w:color w:val="231F20"/>
          <w:spacing w:val="-15"/>
          <w:sz w:val="24"/>
        </w:rPr>
        <w:t> </w:t>
      </w:r>
      <w:r>
        <w:rPr>
          <w:rFonts w:ascii="Segoe UI Semibold" w:hAnsi="Segoe UI Semibold"/>
          <w:b/>
          <w:i/>
          <w:color w:val="231F20"/>
          <w:sz w:val="24"/>
        </w:rPr>
        <w:t>de</w:t>
      </w:r>
      <w:r>
        <w:rPr>
          <w:rFonts w:ascii="Segoe UI Semibold" w:hAnsi="Segoe UI Semibold"/>
          <w:b/>
          <w:i/>
          <w:color w:val="231F20"/>
          <w:spacing w:val="-14"/>
          <w:sz w:val="24"/>
        </w:rPr>
        <w:t> </w:t>
      </w:r>
      <w:r>
        <w:rPr>
          <w:b/>
          <w:i/>
          <w:color w:val="231F20"/>
          <w:sz w:val="24"/>
        </w:rPr>
        <w:t>40</w:t>
      </w:r>
      <w:r>
        <w:rPr>
          <w:b/>
          <w:i/>
          <w:color w:val="231F20"/>
          <w:spacing w:val="-15"/>
          <w:sz w:val="24"/>
        </w:rPr>
        <w:t> </w:t>
      </w:r>
      <w:r>
        <w:rPr>
          <w:b/>
          <w:i/>
          <w:color w:val="231F20"/>
          <w:sz w:val="24"/>
        </w:rPr>
        <w:t>millones</w:t>
      </w:r>
      <w:r>
        <w:rPr>
          <w:b/>
          <w:i/>
          <w:color w:val="231F20"/>
          <w:spacing w:val="-15"/>
          <w:sz w:val="24"/>
        </w:rPr>
        <w:t> </w:t>
      </w:r>
      <w:r>
        <w:rPr>
          <w:b/>
          <w:i/>
          <w:color w:val="231F20"/>
          <w:sz w:val="24"/>
        </w:rPr>
        <w:t>901</w:t>
      </w:r>
      <w:r>
        <w:rPr>
          <w:b/>
          <w:i/>
          <w:color w:val="231F20"/>
          <w:spacing w:val="-15"/>
          <w:sz w:val="24"/>
        </w:rPr>
        <w:t> </w:t>
      </w:r>
      <w:r>
        <w:rPr>
          <w:b/>
          <w:i/>
          <w:color w:val="231F20"/>
          <w:sz w:val="24"/>
        </w:rPr>
        <w:t>mil</w:t>
      </w:r>
      <w:r>
        <w:rPr>
          <w:b/>
          <w:i/>
          <w:color w:val="231F20"/>
          <w:spacing w:val="-15"/>
          <w:sz w:val="24"/>
        </w:rPr>
        <w:t> </w:t>
      </w:r>
      <w:r>
        <w:rPr>
          <w:b/>
          <w:i/>
          <w:color w:val="231F20"/>
          <w:sz w:val="24"/>
        </w:rPr>
        <w:t>400</w:t>
      </w:r>
      <w:r>
        <w:rPr>
          <w:b/>
          <w:i/>
          <w:color w:val="231F20"/>
          <w:spacing w:val="-15"/>
          <w:sz w:val="24"/>
        </w:rPr>
        <w:t> </w:t>
      </w:r>
      <w:r>
        <w:rPr>
          <w:b/>
          <w:i/>
          <w:color w:val="231F20"/>
          <w:sz w:val="24"/>
        </w:rPr>
        <w:t>dó-</w:t>
      </w:r>
      <w:r>
        <w:rPr>
          <w:b/>
          <w:i/>
          <w:color w:val="231F20"/>
          <w:sz w:val="24"/>
        </w:rPr>
        <w:t> </w:t>
      </w:r>
      <w:r>
        <w:rPr>
          <w:b/>
          <w:i/>
          <w:color w:val="231F20"/>
          <w:spacing w:val="-6"/>
          <w:sz w:val="24"/>
        </w:rPr>
        <w:t>lares</w:t>
      </w:r>
      <w:r>
        <w:rPr>
          <w:b/>
          <w:i/>
          <w:color w:val="231F20"/>
          <w:spacing w:val="-11"/>
          <w:sz w:val="24"/>
        </w:rPr>
        <w:t> </w:t>
      </w:r>
      <w:r>
        <w:rPr>
          <w:rFonts w:ascii="Segoe UI Semibold" w:hAnsi="Segoe UI Semibold"/>
          <w:b/>
          <w:i/>
          <w:color w:val="231F20"/>
          <w:spacing w:val="-6"/>
          <w:sz w:val="24"/>
        </w:rPr>
        <w:t>en</w:t>
      </w:r>
      <w:r>
        <w:rPr>
          <w:rFonts w:ascii="Segoe UI Semibold" w:hAnsi="Segoe UI Semibold"/>
          <w:b/>
          <w:i/>
          <w:color w:val="231F20"/>
          <w:spacing w:val="-10"/>
          <w:sz w:val="24"/>
        </w:rPr>
        <w:t> </w:t>
      </w:r>
      <w:r>
        <w:rPr>
          <w:rFonts w:ascii="Segoe UI Semibold" w:hAnsi="Segoe UI Semibold"/>
          <w:b/>
          <w:i/>
          <w:color w:val="231F20"/>
          <w:spacing w:val="-6"/>
          <w:sz w:val="24"/>
        </w:rPr>
        <w:t>pérdidas,</w:t>
      </w:r>
      <w:r>
        <w:rPr>
          <w:rFonts w:ascii="Segoe UI Semibold" w:hAnsi="Segoe UI Semibold"/>
          <w:b/>
          <w:i/>
          <w:color w:val="231F20"/>
          <w:spacing w:val="-11"/>
          <w:sz w:val="24"/>
        </w:rPr>
        <w:t> </w:t>
      </w:r>
      <w:r>
        <w:rPr>
          <w:rFonts w:ascii="Segoe UI Semibold" w:hAnsi="Segoe UI Semibold"/>
          <w:b/>
          <w:i/>
          <w:color w:val="231F20"/>
          <w:spacing w:val="-6"/>
          <w:sz w:val="24"/>
        </w:rPr>
        <w:t>lo</w:t>
      </w:r>
      <w:r>
        <w:rPr>
          <w:rFonts w:ascii="Segoe UI Semibold" w:hAnsi="Segoe UI Semibold"/>
          <w:b/>
          <w:i/>
          <w:color w:val="231F20"/>
          <w:spacing w:val="-10"/>
          <w:sz w:val="24"/>
        </w:rPr>
        <w:t> </w:t>
      </w:r>
      <w:r>
        <w:rPr>
          <w:rFonts w:ascii="Segoe UI Semibold" w:hAnsi="Segoe UI Semibold"/>
          <w:b/>
          <w:i/>
          <w:color w:val="231F20"/>
          <w:spacing w:val="-6"/>
          <w:sz w:val="24"/>
        </w:rPr>
        <w:t>que</w:t>
      </w:r>
      <w:r>
        <w:rPr>
          <w:rFonts w:ascii="Segoe UI Semibold" w:hAnsi="Segoe UI Semibold"/>
          <w:b/>
          <w:i/>
          <w:color w:val="231F20"/>
          <w:spacing w:val="-11"/>
          <w:sz w:val="24"/>
        </w:rPr>
        <w:t> </w:t>
      </w:r>
      <w:r>
        <w:rPr>
          <w:rFonts w:ascii="Segoe UI Semibold" w:hAnsi="Segoe UI Semibold"/>
          <w:b/>
          <w:i/>
          <w:color w:val="231F20"/>
          <w:spacing w:val="-6"/>
          <w:sz w:val="24"/>
        </w:rPr>
        <w:t>representa</w:t>
      </w:r>
      <w:r>
        <w:rPr>
          <w:rFonts w:ascii="Segoe UI Semibold" w:hAnsi="Segoe UI Semibold"/>
          <w:b/>
          <w:i/>
          <w:color w:val="231F20"/>
          <w:spacing w:val="-10"/>
          <w:sz w:val="24"/>
        </w:rPr>
        <w:t> </w:t>
      </w:r>
      <w:r>
        <w:rPr>
          <w:rFonts w:ascii="Segoe UI Semibold" w:hAnsi="Segoe UI Semibold"/>
          <w:b/>
          <w:i/>
          <w:color w:val="231F20"/>
          <w:spacing w:val="-6"/>
          <w:sz w:val="24"/>
        </w:rPr>
        <w:t>aproxi-</w:t>
      </w:r>
      <w:r>
        <w:rPr>
          <w:rFonts w:ascii="Segoe UI Semibold" w:hAnsi="Segoe UI Semibold"/>
          <w:b/>
          <w:i/>
          <w:color w:val="231F20"/>
          <w:spacing w:val="-6"/>
          <w:sz w:val="24"/>
        </w:rPr>
        <w:t> madamente</w:t>
      </w:r>
      <w:r>
        <w:rPr>
          <w:rFonts w:ascii="Segoe UI Semibold" w:hAnsi="Segoe UI Semibold"/>
          <w:b/>
          <w:i/>
          <w:color w:val="231F20"/>
          <w:spacing w:val="-11"/>
          <w:sz w:val="24"/>
        </w:rPr>
        <w:t> </w:t>
      </w:r>
      <w:r>
        <w:rPr>
          <w:rFonts w:ascii="Segoe UI Semibold" w:hAnsi="Segoe UI Semibold"/>
          <w:b/>
          <w:i/>
          <w:color w:val="231F20"/>
          <w:spacing w:val="-6"/>
          <w:sz w:val="24"/>
        </w:rPr>
        <w:t>el</w:t>
      </w:r>
      <w:r>
        <w:rPr>
          <w:rFonts w:ascii="Segoe UI Semibold" w:hAnsi="Segoe UI Semibold"/>
          <w:b/>
          <w:i/>
          <w:color w:val="231F20"/>
          <w:spacing w:val="-10"/>
          <w:sz w:val="24"/>
        </w:rPr>
        <w:t> </w:t>
      </w:r>
      <w:r>
        <w:rPr>
          <w:rFonts w:ascii="Segoe UI Semibold" w:hAnsi="Segoe UI Semibold"/>
          <w:b/>
          <w:i/>
          <w:color w:val="231F20"/>
          <w:spacing w:val="-6"/>
          <w:sz w:val="24"/>
        </w:rPr>
        <w:t>99,1%</w:t>
      </w:r>
      <w:r>
        <w:rPr>
          <w:rFonts w:ascii="Segoe UI Semibold" w:hAnsi="Segoe UI Semibold"/>
          <w:b/>
          <w:i/>
          <w:color w:val="231F20"/>
          <w:spacing w:val="-11"/>
          <w:sz w:val="24"/>
        </w:rPr>
        <w:t> </w:t>
      </w:r>
      <w:r>
        <w:rPr>
          <w:rFonts w:ascii="Segoe UI Semibold" w:hAnsi="Segoe UI Semibold"/>
          <w:b/>
          <w:i/>
          <w:color w:val="231F20"/>
          <w:spacing w:val="-6"/>
          <w:sz w:val="24"/>
        </w:rPr>
        <w:t>del</w:t>
      </w:r>
      <w:r>
        <w:rPr>
          <w:rFonts w:ascii="Segoe UI Semibold" w:hAnsi="Segoe UI Semibold"/>
          <w:b/>
          <w:i/>
          <w:color w:val="231F20"/>
          <w:spacing w:val="-10"/>
          <w:sz w:val="24"/>
        </w:rPr>
        <w:t> </w:t>
      </w:r>
      <w:r>
        <w:rPr>
          <w:rFonts w:ascii="Segoe UI Semibold" w:hAnsi="Segoe UI Semibold"/>
          <w:b/>
          <w:i/>
          <w:color w:val="231F20"/>
          <w:spacing w:val="-6"/>
          <w:sz w:val="24"/>
        </w:rPr>
        <w:t>monto</w:t>
      </w:r>
      <w:r>
        <w:rPr>
          <w:rFonts w:ascii="Segoe UI Semibold" w:hAnsi="Segoe UI Semibold"/>
          <w:b/>
          <w:i/>
          <w:color w:val="231F20"/>
          <w:spacing w:val="-11"/>
          <w:sz w:val="24"/>
        </w:rPr>
        <w:t> </w:t>
      </w:r>
      <w:r>
        <w:rPr>
          <w:rFonts w:ascii="Segoe UI Semibold" w:hAnsi="Segoe UI Semibold"/>
          <w:b/>
          <w:i/>
          <w:color w:val="231F20"/>
          <w:spacing w:val="-6"/>
          <w:sz w:val="24"/>
        </w:rPr>
        <w:t>total</w:t>
      </w:r>
      <w:r>
        <w:rPr>
          <w:rFonts w:ascii="Segoe UI Semibold" w:hAnsi="Segoe UI Semibold"/>
          <w:b/>
          <w:i/>
          <w:color w:val="231F20"/>
          <w:spacing w:val="-10"/>
          <w:sz w:val="24"/>
        </w:rPr>
        <w:t> </w:t>
      </w:r>
      <w:r>
        <w:rPr>
          <w:rFonts w:ascii="Segoe UI Semibold" w:hAnsi="Segoe UI Semibold"/>
          <w:b/>
          <w:i/>
          <w:color w:val="231F20"/>
          <w:spacing w:val="-6"/>
          <w:sz w:val="24"/>
        </w:rPr>
        <w:t>de</w:t>
      </w:r>
      <w:r>
        <w:rPr>
          <w:rFonts w:ascii="Segoe UI Semibold" w:hAnsi="Segoe UI Semibold"/>
          <w:b/>
          <w:i/>
          <w:color w:val="231F20"/>
          <w:spacing w:val="-11"/>
          <w:sz w:val="24"/>
        </w:rPr>
        <w:t> </w:t>
      </w:r>
      <w:r>
        <w:rPr>
          <w:rFonts w:ascii="Segoe UI Semibold" w:hAnsi="Segoe UI Semibold"/>
          <w:b/>
          <w:i/>
          <w:color w:val="231F20"/>
          <w:spacing w:val="-6"/>
          <w:sz w:val="24"/>
        </w:rPr>
        <w:t>los </w:t>
      </w:r>
      <w:r>
        <w:rPr>
          <w:rFonts w:ascii="Segoe UI Semibold" w:hAnsi="Segoe UI Semibold"/>
          <w:b/>
          <w:i/>
          <w:color w:val="231F20"/>
          <w:sz w:val="24"/>
        </w:rPr>
        <w:t>daños</w:t>
      </w:r>
      <w:r>
        <w:rPr>
          <w:rFonts w:ascii="Segoe UI Semibold" w:hAnsi="Segoe UI Semibold"/>
          <w:b/>
          <w:i/>
          <w:color w:val="231F20"/>
          <w:spacing w:val="-2"/>
          <w:sz w:val="24"/>
        </w:rPr>
        <w:t> </w:t>
      </w:r>
      <w:r>
        <w:rPr>
          <w:rFonts w:ascii="Segoe UI Semibold" w:hAnsi="Segoe UI Semibold"/>
          <w:b/>
          <w:i/>
          <w:color w:val="231F20"/>
          <w:sz w:val="24"/>
        </w:rPr>
        <w:t>reportados</w:t>
      </w:r>
      <w:r>
        <w:rPr>
          <w:rFonts w:ascii="Segoe UI Semibold" w:hAnsi="Segoe UI Semibold"/>
          <w:b/>
          <w:i/>
          <w:color w:val="231F20"/>
          <w:spacing w:val="-2"/>
          <w:sz w:val="24"/>
        </w:rPr>
        <w:t> </w:t>
      </w:r>
      <w:r>
        <w:rPr>
          <w:rFonts w:ascii="Segoe UI Semibold" w:hAnsi="Segoe UI Semibold"/>
          <w:b/>
          <w:i/>
          <w:color w:val="231F20"/>
          <w:sz w:val="24"/>
        </w:rPr>
        <w:t>en</w:t>
      </w:r>
      <w:r>
        <w:rPr>
          <w:rFonts w:ascii="Segoe UI Semibold" w:hAnsi="Segoe UI Semibold"/>
          <w:b/>
          <w:i/>
          <w:color w:val="231F20"/>
          <w:spacing w:val="-2"/>
          <w:sz w:val="24"/>
        </w:rPr>
        <w:t> </w:t>
      </w:r>
      <w:r>
        <w:rPr>
          <w:rFonts w:ascii="Segoe UI Semibold" w:hAnsi="Segoe UI Semibold"/>
          <w:b/>
          <w:i/>
          <w:color w:val="231F20"/>
          <w:sz w:val="24"/>
        </w:rPr>
        <w:t>el</w:t>
      </w:r>
      <w:r>
        <w:rPr>
          <w:rFonts w:ascii="Segoe UI Semibold" w:hAnsi="Segoe UI Semibold"/>
          <w:b/>
          <w:i/>
          <w:color w:val="231F20"/>
          <w:spacing w:val="-2"/>
          <w:sz w:val="24"/>
        </w:rPr>
        <w:t> </w:t>
      </w:r>
      <w:r>
        <w:rPr>
          <w:rFonts w:ascii="Segoe UI Semibold" w:hAnsi="Segoe UI Semibold"/>
          <w:b/>
          <w:i/>
          <w:color w:val="231F20"/>
          <w:sz w:val="24"/>
        </w:rPr>
        <w:t>sector.</w:t>
      </w:r>
    </w:p>
    <w:p>
      <w:pPr>
        <w:pStyle w:val="BodyText"/>
        <w:spacing w:before="158"/>
        <w:ind w:left="1474"/>
      </w:pPr>
      <w:r>
        <w:rPr>
          <w:color w:val="231F20"/>
        </w:rPr>
        <w:t>Se</w:t>
      </w:r>
      <w:r>
        <w:rPr>
          <w:color w:val="231F20"/>
          <w:spacing w:val="-5"/>
        </w:rPr>
        <w:t> </w:t>
      </w:r>
      <w:r>
        <w:rPr>
          <w:color w:val="231F20"/>
        </w:rPr>
        <w:t>mantiene</w:t>
      </w:r>
      <w:r>
        <w:rPr>
          <w:color w:val="231F20"/>
          <w:spacing w:val="-5"/>
        </w:rPr>
        <w:t> </w:t>
      </w:r>
      <w:r>
        <w:rPr>
          <w:color w:val="231F20"/>
        </w:rPr>
        <w:t>el</w:t>
      </w:r>
      <w:r>
        <w:rPr>
          <w:color w:val="231F20"/>
          <w:spacing w:val="-5"/>
        </w:rPr>
        <w:t> </w:t>
      </w:r>
      <w:r>
        <w:rPr>
          <w:color w:val="231F20"/>
        </w:rPr>
        <w:t>asedio</w:t>
      </w:r>
      <w:r>
        <w:rPr>
          <w:color w:val="231F20"/>
          <w:spacing w:val="-5"/>
        </w:rPr>
        <w:t> </w:t>
      </w:r>
      <w:r>
        <w:rPr>
          <w:color w:val="231F20"/>
        </w:rPr>
        <w:t>y</w:t>
      </w:r>
      <w:r>
        <w:rPr>
          <w:color w:val="231F20"/>
          <w:spacing w:val="-5"/>
        </w:rPr>
        <w:t> </w:t>
      </w:r>
      <w:r>
        <w:rPr>
          <w:color w:val="231F20"/>
        </w:rPr>
        <w:t>las</w:t>
      </w:r>
      <w:r>
        <w:rPr>
          <w:color w:val="231F20"/>
          <w:spacing w:val="-5"/>
        </w:rPr>
        <w:t> </w:t>
      </w:r>
      <w:r>
        <w:rPr>
          <w:color w:val="231F20"/>
        </w:rPr>
        <w:t>presiones</w:t>
      </w:r>
      <w:r>
        <w:rPr>
          <w:color w:val="231F20"/>
          <w:spacing w:val="-5"/>
        </w:rPr>
        <w:t> </w:t>
      </w:r>
      <w:r>
        <w:rPr>
          <w:color w:val="231F20"/>
        </w:rPr>
        <w:t>a</w:t>
      </w:r>
      <w:r>
        <w:rPr>
          <w:color w:val="231F20"/>
          <w:spacing w:val="-4"/>
        </w:rPr>
        <w:t> </w:t>
      </w:r>
      <w:r>
        <w:rPr>
          <w:color w:val="231F20"/>
          <w:spacing w:val="-5"/>
        </w:rPr>
        <w:t>las</w:t>
      </w:r>
    </w:p>
    <w:p>
      <w:pPr>
        <w:pStyle w:val="BodyText"/>
        <w:spacing w:before="77"/>
        <w:ind w:left="413" w:right="1135"/>
      </w:pPr>
      <w:r>
        <w:rPr/>
        <w:br w:type="column"/>
      </w:r>
      <w:r>
        <w:rPr>
          <w:color w:val="231F20"/>
          <w:spacing w:val="-6"/>
        </w:rPr>
        <w:t>entidades</w:t>
      </w:r>
      <w:r>
        <w:rPr>
          <w:color w:val="231F20"/>
          <w:spacing w:val="-11"/>
        </w:rPr>
        <w:t> </w:t>
      </w:r>
      <w:r>
        <w:rPr>
          <w:color w:val="231F20"/>
          <w:spacing w:val="-6"/>
        </w:rPr>
        <w:t>que</w:t>
      </w:r>
      <w:r>
        <w:rPr>
          <w:color w:val="231F20"/>
          <w:spacing w:val="-10"/>
        </w:rPr>
        <w:t> </w:t>
      </w:r>
      <w:r>
        <w:rPr>
          <w:color w:val="231F20"/>
          <w:spacing w:val="-6"/>
        </w:rPr>
        <w:t>tienen</w:t>
      </w:r>
      <w:r>
        <w:rPr>
          <w:color w:val="231F20"/>
          <w:spacing w:val="-11"/>
        </w:rPr>
        <w:t> </w:t>
      </w:r>
      <w:r>
        <w:rPr>
          <w:color w:val="231F20"/>
          <w:spacing w:val="-6"/>
        </w:rPr>
        <w:t>relaciones</w:t>
      </w:r>
      <w:r>
        <w:rPr>
          <w:color w:val="231F20"/>
          <w:spacing w:val="-10"/>
        </w:rPr>
        <w:t> </w:t>
      </w:r>
      <w:r>
        <w:rPr>
          <w:color w:val="231F20"/>
          <w:spacing w:val="-6"/>
        </w:rPr>
        <w:t>comerciales </w:t>
      </w:r>
      <w:r>
        <w:rPr>
          <w:color w:val="231F20"/>
        </w:rPr>
        <w:t>y otras con interés de negociar con las </w:t>
      </w:r>
      <w:r>
        <w:rPr>
          <w:color w:val="231F20"/>
          <w:spacing w:val="-4"/>
        </w:rPr>
        <w:t>empresas</w:t>
      </w:r>
      <w:r>
        <w:rPr>
          <w:color w:val="231F20"/>
          <w:spacing w:val="-11"/>
        </w:rPr>
        <w:t> </w:t>
      </w:r>
      <w:r>
        <w:rPr>
          <w:color w:val="231F20"/>
          <w:spacing w:val="-4"/>
        </w:rPr>
        <w:t>de</w:t>
      </w:r>
      <w:r>
        <w:rPr>
          <w:color w:val="231F20"/>
          <w:spacing w:val="-11"/>
        </w:rPr>
        <w:t> </w:t>
      </w:r>
      <w:r>
        <w:rPr>
          <w:color w:val="231F20"/>
          <w:spacing w:val="-4"/>
        </w:rPr>
        <w:t>comunicaciones,</w:t>
      </w:r>
      <w:r>
        <w:rPr>
          <w:color w:val="231F20"/>
          <w:spacing w:val="-11"/>
        </w:rPr>
        <w:t> </w:t>
      </w:r>
      <w:r>
        <w:rPr>
          <w:color w:val="231F20"/>
          <w:spacing w:val="-4"/>
        </w:rPr>
        <w:t>lo</w:t>
      </w:r>
      <w:r>
        <w:rPr>
          <w:color w:val="231F20"/>
          <w:spacing w:val="-11"/>
        </w:rPr>
        <w:t> </w:t>
      </w:r>
      <w:r>
        <w:rPr>
          <w:color w:val="231F20"/>
          <w:spacing w:val="-4"/>
        </w:rPr>
        <w:t>que</w:t>
      </w:r>
      <w:r>
        <w:rPr>
          <w:color w:val="231F20"/>
          <w:spacing w:val="-11"/>
        </w:rPr>
        <w:t> </w:t>
      </w:r>
      <w:r>
        <w:rPr>
          <w:color w:val="231F20"/>
          <w:spacing w:val="-4"/>
        </w:rPr>
        <w:t>incide </w:t>
      </w:r>
      <w:r>
        <w:rPr>
          <w:color w:val="231F20"/>
        </w:rPr>
        <w:t>negativamente en la posibilidad de los </w:t>
      </w:r>
      <w:r>
        <w:rPr>
          <w:color w:val="231F20"/>
          <w:spacing w:val="-4"/>
        </w:rPr>
        <w:t>cubanos</w:t>
      </w:r>
      <w:r>
        <w:rPr>
          <w:color w:val="231F20"/>
          <w:spacing w:val="-13"/>
        </w:rPr>
        <w:t> </w:t>
      </w:r>
      <w:r>
        <w:rPr>
          <w:color w:val="231F20"/>
          <w:spacing w:val="-4"/>
        </w:rPr>
        <w:t>de</w:t>
      </w:r>
      <w:r>
        <w:rPr>
          <w:color w:val="231F20"/>
          <w:spacing w:val="-12"/>
        </w:rPr>
        <w:t> </w:t>
      </w:r>
      <w:r>
        <w:rPr>
          <w:color w:val="231F20"/>
          <w:spacing w:val="-4"/>
        </w:rPr>
        <w:t>disponer</w:t>
      </w:r>
      <w:r>
        <w:rPr>
          <w:color w:val="231F20"/>
          <w:spacing w:val="-13"/>
        </w:rPr>
        <w:t> </w:t>
      </w:r>
      <w:r>
        <w:rPr>
          <w:color w:val="231F20"/>
          <w:spacing w:val="-4"/>
        </w:rPr>
        <w:t>de</w:t>
      </w:r>
      <w:r>
        <w:rPr>
          <w:color w:val="231F20"/>
          <w:spacing w:val="-12"/>
        </w:rPr>
        <w:t> </w:t>
      </w:r>
      <w:r>
        <w:rPr>
          <w:color w:val="231F20"/>
          <w:spacing w:val="-4"/>
        </w:rPr>
        <w:t>una</w:t>
      </w:r>
      <w:r>
        <w:rPr>
          <w:color w:val="231F20"/>
          <w:spacing w:val="-13"/>
        </w:rPr>
        <w:t> </w:t>
      </w:r>
      <w:r>
        <w:rPr>
          <w:color w:val="231F20"/>
          <w:spacing w:val="-4"/>
        </w:rPr>
        <w:t>infraestructura </w:t>
      </w:r>
      <w:r>
        <w:rPr>
          <w:color w:val="231F20"/>
        </w:rPr>
        <w:t>adecuada, mayor acceso a Internet y a la informatización. Ningún país enfrenta un proceso</w:t>
      </w:r>
      <w:r>
        <w:rPr>
          <w:color w:val="231F20"/>
          <w:spacing w:val="-11"/>
        </w:rPr>
        <w:t> </w:t>
      </w:r>
      <w:r>
        <w:rPr>
          <w:color w:val="231F20"/>
        </w:rPr>
        <w:t>de</w:t>
      </w:r>
      <w:r>
        <w:rPr>
          <w:color w:val="231F20"/>
          <w:spacing w:val="-11"/>
        </w:rPr>
        <w:t> </w:t>
      </w:r>
      <w:r>
        <w:rPr>
          <w:color w:val="231F20"/>
        </w:rPr>
        <w:t>modernización</w:t>
      </w:r>
      <w:r>
        <w:rPr>
          <w:color w:val="231F20"/>
          <w:spacing w:val="-11"/>
        </w:rPr>
        <w:t> </w:t>
      </w:r>
      <w:r>
        <w:rPr>
          <w:color w:val="231F20"/>
        </w:rPr>
        <w:t>tecnológica</w:t>
      </w:r>
      <w:r>
        <w:rPr>
          <w:color w:val="231F20"/>
          <w:spacing w:val="-11"/>
        </w:rPr>
        <w:t> </w:t>
      </w:r>
      <w:r>
        <w:rPr>
          <w:color w:val="231F20"/>
        </w:rPr>
        <w:t>en estas condiciones.</w:t>
      </w:r>
    </w:p>
    <w:p>
      <w:pPr>
        <w:pStyle w:val="BodyText"/>
        <w:spacing w:before="167"/>
        <w:ind w:left="413" w:right="1131"/>
      </w:pPr>
      <w:r>
        <w:rPr>
          <w:color w:val="231F20"/>
        </w:rPr>
        <w:t>Varios proveedores internacionales que prestaban servicios de reparación a la tecnología instalada han decidido </w:t>
      </w:r>
      <w:r>
        <w:rPr>
          <w:color w:val="231F20"/>
        </w:rPr>
        <w:t>no continuar haciéndolo, incluso aquellos de los</w:t>
      </w:r>
      <w:r>
        <w:rPr>
          <w:color w:val="231F20"/>
          <w:spacing w:val="-10"/>
        </w:rPr>
        <w:t> </w:t>
      </w:r>
      <w:r>
        <w:rPr>
          <w:color w:val="231F20"/>
        </w:rPr>
        <w:t>que</w:t>
      </w:r>
      <w:r>
        <w:rPr>
          <w:color w:val="231F20"/>
          <w:spacing w:val="-10"/>
        </w:rPr>
        <w:t> </w:t>
      </w:r>
      <w:r>
        <w:rPr>
          <w:color w:val="231F20"/>
        </w:rPr>
        <w:t>depende</w:t>
      </w:r>
      <w:r>
        <w:rPr>
          <w:color w:val="231F20"/>
          <w:spacing w:val="-10"/>
        </w:rPr>
        <w:t> </w:t>
      </w:r>
      <w:r>
        <w:rPr>
          <w:color w:val="231F20"/>
        </w:rPr>
        <w:t>más</w:t>
      </w:r>
      <w:r>
        <w:rPr>
          <w:color w:val="231F20"/>
          <w:spacing w:val="-10"/>
        </w:rPr>
        <w:t> </w:t>
      </w:r>
      <w:r>
        <w:rPr>
          <w:color w:val="231F20"/>
        </w:rPr>
        <w:t>del</w:t>
      </w:r>
      <w:r>
        <w:rPr>
          <w:color w:val="231F20"/>
          <w:spacing w:val="-10"/>
        </w:rPr>
        <w:t> </w:t>
      </w:r>
      <w:r>
        <w:rPr>
          <w:color w:val="231F20"/>
        </w:rPr>
        <w:t>50%</w:t>
      </w:r>
      <w:r>
        <w:rPr>
          <w:color w:val="231F20"/>
          <w:spacing w:val="-10"/>
        </w:rPr>
        <w:t> </w:t>
      </w:r>
      <w:r>
        <w:rPr>
          <w:color w:val="231F20"/>
        </w:rPr>
        <w:t>del</w:t>
      </w:r>
      <w:r>
        <w:rPr>
          <w:color w:val="231F20"/>
          <w:spacing w:val="-10"/>
        </w:rPr>
        <w:t> </w:t>
      </w:r>
      <w:r>
        <w:rPr>
          <w:color w:val="231F20"/>
        </w:rPr>
        <w:t>equipa- miento actual.</w:t>
      </w:r>
    </w:p>
    <w:p>
      <w:pPr>
        <w:pStyle w:val="BodyText"/>
        <w:spacing w:before="164"/>
        <w:ind w:left="413" w:right="1131"/>
      </w:pPr>
      <w:r>
        <w:rPr>
          <w:color w:val="231F20"/>
        </w:rPr>
        <w:t>Las</w:t>
      </w:r>
      <w:r>
        <w:rPr>
          <w:color w:val="231F20"/>
          <w:spacing w:val="80"/>
        </w:rPr>
        <w:t> </w:t>
      </w:r>
      <w:r>
        <w:rPr>
          <w:color w:val="231F20"/>
        </w:rPr>
        <w:t>limitaciones</w:t>
      </w:r>
      <w:r>
        <w:rPr>
          <w:color w:val="231F20"/>
          <w:spacing w:val="80"/>
        </w:rPr>
        <w:t> </w:t>
      </w:r>
      <w:r>
        <w:rPr>
          <w:color w:val="231F20"/>
        </w:rPr>
        <w:t>en</w:t>
      </w:r>
      <w:r>
        <w:rPr>
          <w:color w:val="231F20"/>
          <w:spacing w:val="80"/>
        </w:rPr>
        <w:t> </w:t>
      </w:r>
      <w:r>
        <w:rPr>
          <w:color w:val="231F20"/>
        </w:rPr>
        <w:t>la</w:t>
      </w:r>
      <w:r>
        <w:rPr>
          <w:color w:val="231F20"/>
          <w:spacing w:val="80"/>
        </w:rPr>
        <w:t> </w:t>
      </w:r>
      <w:r>
        <w:rPr>
          <w:color w:val="231F20"/>
        </w:rPr>
        <w:t>disponibilidad</w:t>
      </w:r>
      <w:r>
        <w:rPr>
          <w:color w:val="231F20"/>
          <w:spacing w:val="40"/>
        </w:rPr>
        <w:t> </w:t>
      </w:r>
      <w:r>
        <w:rPr>
          <w:color w:val="231F20"/>
        </w:rPr>
        <w:t>de portadores energéticos y la falta de </w:t>
      </w:r>
      <w:r>
        <w:rPr>
          <w:color w:val="231F20"/>
          <w:spacing w:val="-2"/>
        </w:rPr>
        <w:t>combustible,</w:t>
      </w:r>
      <w:r>
        <w:rPr>
          <w:color w:val="231F20"/>
          <w:spacing w:val="-7"/>
        </w:rPr>
        <w:t> </w:t>
      </w:r>
      <w:r>
        <w:rPr>
          <w:color w:val="231F20"/>
          <w:spacing w:val="-2"/>
        </w:rPr>
        <w:t>derivadas</w:t>
      </w:r>
      <w:r>
        <w:rPr>
          <w:color w:val="231F20"/>
          <w:spacing w:val="-7"/>
        </w:rPr>
        <w:t> </w:t>
      </w:r>
      <w:r>
        <w:rPr>
          <w:color w:val="231F20"/>
          <w:spacing w:val="-2"/>
        </w:rPr>
        <w:t>de</w:t>
      </w:r>
      <w:r>
        <w:rPr>
          <w:color w:val="231F20"/>
          <w:spacing w:val="-7"/>
        </w:rPr>
        <w:t> </w:t>
      </w:r>
      <w:r>
        <w:rPr>
          <w:color w:val="231F20"/>
          <w:spacing w:val="-2"/>
        </w:rPr>
        <w:t>las</w:t>
      </w:r>
      <w:r>
        <w:rPr>
          <w:color w:val="231F20"/>
          <w:spacing w:val="-7"/>
        </w:rPr>
        <w:t> </w:t>
      </w:r>
      <w:r>
        <w:rPr>
          <w:color w:val="231F20"/>
          <w:spacing w:val="-2"/>
        </w:rPr>
        <w:t>restricciones </w:t>
      </w:r>
      <w:r>
        <w:rPr>
          <w:color w:val="231F20"/>
        </w:rPr>
        <w:t>impuestas por el gobierno de los Estados Unidos a suministradores y barcos que accedan a nuestro país, han afectado </w:t>
      </w:r>
      <w:r>
        <w:rPr>
          <w:color w:val="231F20"/>
        </w:rPr>
        <w:t>la autonomía</w:t>
      </w:r>
      <w:r>
        <w:rPr>
          <w:color w:val="231F20"/>
          <w:spacing w:val="-6"/>
        </w:rPr>
        <w:t> </w:t>
      </w:r>
      <w:r>
        <w:rPr>
          <w:color w:val="231F20"/>
        </w:rPr>
        <w:t>de</w:t>
      </w:r>
      <w:r>
        <w:rPr>
          <w:color w:val="231F20"/>
          <w:spacing w:val="-6"/>
        </w:rPr>
        <w:t> </w:t>
      </w:r>
      <w:r>
        <w:rPr>
          <w:color w:val="231F20"/>
        </w:rPr>
        <w:t>los</w:t>
      </w:r>
      <w:r>
        <w:rPr>
          <w:color w:val="231F20"/>
          <w:spacing w:val="-6"/>
        </w:rPr>
        <w:t> </w:t>
      </w:r>
      <w:r>
        <w:rPr>
          <w:color w:val="231F20"/>
        </w:rPr>
        <w:t>grupos</w:t>
      </w:r>
      <w:r>
        <w:rPr>
          <w:color w:val="231F20"/>
          <w:spacing w:val="-6"/>
        </w:rPr>
        <w:t> </w:t>
      </w:r>
      <w:r>
        <w:rPr>
          <w:color w:val="231F20"/>
        </w:rPr>
        <w:t>electrógenos</w:t>
      </w:r>
      <w:r>
        <w:rPr>
          <w:color w:val="231F20"/>
          <w:spacing w:val="-6"/>
        </w:rPr>
        <w:t> </w:t>
      </w:r>
      <w:r>
        <w:rPr>
          <w:color w:val="231F20"/>
        </w:rPr>
        <w:t>en los centros tecnológicos.</w:t>
      </w:r>
    </w:p>
    <w:p>
      <w:pPr>
        <w:pStyle w:val="BodyText"/>
        <w:spacing w:before="167"/>
        <w:ind w:left="413" w:right="1131"/>
      </w:pPr>
      <w:r>
        <w:rPr>
          <w:color w:val="231F20"/>
        </w:rPr>
        <w:t>El bloqueo ha impedido también a </w:t>
      </w:r>
      <w:r>
        <w:rPr>
          <w:color w:val="231F20"/>
        </w:rPr>
        <w:t>las empresas cubanas y estadounidenses avanzar</w:t>
      </w:r>
      <w:r>
        <w:rPr>
          <w:color w:val="231F20"/>
          <w:spacing w:val="-13"/>
        </w:rPr>
        <w:t> </w:t>
      </w:r>
      <w:r>
        <w:rPr>
          <w:color w:val="231F20"/>
        </w:rPr>
        <w:t>en</w:t>
      </w:r>
      <w:r>
        <w:rPr>
          <w:color w:val="231F20"/>
          <w:spacing w:val="-13"/>
        </w:rPr>
        <w:t> </w:t>
      </w:r>
      <w:r>
        <w:rPr>
          <w:color w:val="231F20"/>
        </w:rPr>
        <w:t>la</w:t>
      </w:r>
      <w:r>
        <w:rPr>
          <w:color w:val="231F20"/>
          <w:spacing w:val="-13"/>
        </w:rPr>
        <w:t> </w:t>
      </w:r>
      <w:r>
        <w:rPr>
          <w:color w:val="231F20"/>
        </w:rPr>
        <w:t>concreción</w:t>
      </w:r>
      <w:r>
        <w:rPr>
          <w:color w:val="231F20"/>
          <w:spacing w:val="-13"/>
        </w:rPr>
        <w:t> </w:t>
      </w:r>
      <w:r>
        <w:rPr>
          <w:color w:val="231F20"/>
        </w:rPr>
        <w:t>de</w:t>
      </w:r>
      <w:r>
        <w:rPr>
          <w:color w:val="231F20"/>
          <w:spacing w:val="-13"/>
        </w:rPr>
        <w:t> </w:t>
      </w:r>
      <w:r>
        <w:rPr>
          <w:color w:val="231F20"/>
        </w:rPr>
        <w:t>acuerdos</w:t>
      </w:r>
      <w:r>
        <w:rPr>
          <w:color w:val="231F20"/>
          <w:spacing w:val="-13"/>
        </w:rPr>
        <w:t> </w:t>
      </w:r>
      <w:r>
        <w:rPr>
          <w:color w:val="231F20"/>
        </w:rPr>
        <w:t>mu- tuamente beneficiosos en el sector de las </w:t>
      </w:r>
      <w:r>
        <w:rPr>
          <w:color w:val="231F20"/>
          <w:spacing w:val="-2"/>
        </w:rPr>
        <w:t>telecomunicaciones.</w:t>
      </w:r>
    </w:p>
    <w:p>
      <w:pPr>
        <w:pStyle w:val="BodyText"/>
        <w:spacing w:before="164"/>
        <w:ind w:left="413" w:right="1132"/>
      </w:pPr>
      <w:r>
        <w:rPr>
          <w:color w:val="231F20"/>
        </w:rPr>
        <w:t>La</w:t>
      </w:r>
      <w:r>
        <w:rPr>
          <w:color w:val="231F20"/>
          <w:spacing w:val="80"/>
          <w:w w:val="150"/>
        </w:rPr>
        <w:t> </w:t>
      </w:r>
      <w:r>
        <w:rPr>
          <w:color w:val="231F20"/>
        </w:rPr>
        <w:t>firma</w:t>
      </w:r>
      <w:r>
        <w:rPr>
          <w:color w:val="231F20"/>
          <w:spacing w:val="80"/>
          <w:w w:val="150"/>
        </w:rPr>
        <w:t> </w:t>
      </w:r>
      <w:r>
        <w:rPr>
          <w:color w:val="231F20"/>
        </w:rPr>
        <w:t>del</w:t>
      </w:r>
      <w:r>
        <w:rPr>
          <w:color w:val="231F20"/>
          <w:spacing w:val="80"/>
          <w:w w:val="150"/>
        </w:rPr>
        <w:t> </w:t>
      </w:r>
      <w:r>
        <w:rPr>
          <w:color w:val="231F20"/>
        </w:rPr>
        <w:t>contrato</w:t>
      </w:r>
      <w:r>
        <w:rPr>
          <w:color w:val="231F20"/>
          <w:spacing w:val="80"/>
          <w:w w:val="150"/>
        </w:rPr>
        <w:t> </w:t>
      </w:r>
      <w:r>
        <w:rPr>
          <w:color w:val="231F20"/>
        </w:rPr>
        <w:t>entre</w:t>
      </w:r>
      <w:r>
        <w:rPr>
          <w:color w:val="231F20"/>
          <w:spacing w:val="80"/>
          <w:w w:val="150"/>
        </w:rPr>
        <w:t> </w:t>
      </w:r>
      <w:r>
        <w:rPr>
          <w:color w:val="231F20"/>
        </w:rPr>
        <w:t>ETECSA</w:t>
      </w:r>
      <w:r>
        <w:rPr>
          <w:color w:val="231F20"/>
          <w:spacing w:val="80"/>
        </w:rPr>
        <w:t> </w:t>
      </w:r>
      <w:r>
        <w:rPr>
          <w:color w:val="231F20"/>
        </w:rPr>
        <w:t>y Colombus Network Limited (CNL), subsidiaria de Liberty Latin America, para la conexión al primer cable submarino ARCOS-1 que conectaría a EE.UU. con Cuba,</w:t>
      </w:r>
      <w:r>
        <w:rPr>
          <w:color w:val="231F20"/>
          <w:spacing w:val="-17"/>
        </w:rPr>
        <w:t> </w:t>
      </w:r>
      <w:r>
        <w:rPr>
          <w:color w:val="231F20"/>
        </w:rPr>
        <w:t>estuvo</w:t>
      </w:r>
      <w:r>
        <w:rPr>
          <w:color w:val="231F20"/>
          <w:spacing w:val="-16"/>
        </w:rPr>
        <w:t> </w:t>
      </w:r>
      <w:r>
        <w:rPr>
          <w:color w:val="231F20"/>
        </w:rPr>
        <w:t>pendiente</w:t>
      </w:r>
      <w:r>
        <w:rPr>
          <w:color w:val="231F20"/>
          <w:spacing w:val="-17"/>
        </w:rPr>
        <w:t> </w:t>
      </w:r>
      <w:r>
        <w:rPr>
          <w:color w:val="231F20"/>
        </w:rPr>
        <w:t>por</w:t>
      </w:r>
      <w:r>
        <w:rPr>
          <w:color w:val="231F20"/>
          <w:spacing w:val="-16"/>
        </w:rPr>
        <w:t> </w:t>
      </w:r>
      <w:r>
        <w:rPr>
          <w:color w:val="231F20"/>
        </w:rPr>
        <w:t>más</w:t>
      </w:r>
      <w:r>
        <w:rPr>
          <w:color w:val="231F20"/>
          <w:spacing w:val="-17"/>
        </w:rPr>
        <w:t> </w:t>
      </w:r>
      <w:r>
        <w:rPr>
          <w:color w:val="231F20"/>
        </w:rPr>
        <w:t>de</w:t>
      </w:r>
      <w:r>
        <w:rPr>
          <w:color w:val="231F20"/>
          <w:spacing w:val="-16"/>
        </w:rPr>
        <w:t> </w:t>
      </w:r>
      <w:r>
        <w:rPr>
          <w:color w:val="231F20"/>
        </w:rPr>
        <w:t>cuatro </w:t>
      </w:r>
      <w:r>
        <w:rPr>
          <w:color w:val="231F20"/>
          <w:spacing w:val="-2"/>
        </w:rPr>
        <w:t>años</w:t>
      </w:r>
      <w:r>
        <w:rPr>
          <w:color w:val="231F20"/>
          <w:spacing w:val="-14"/>
        </w:rPr>
        <w:t> </w:t>
      </w:r>
      <w:r>
        <w:rPr>
          <w:color w:val="231F20"/>
          <w:spacing w:val="-2"/>
        </w:rPr>
        <w:t>esperando</w:t>
      </w:r>
      <w:r>
        <w:rPr>
          <w:color w:val="231F20"/>
          <w:spacing w:val="-14"/>
        </w:rPr>
        <w:t> </w:t>
      </w:r>
      <w:r>
        <w:rPr>
          <w:color w:val="231F20"/>
          <w:spacing w:val="-2"/>
        </w:rPr>
        <w:t>la</w:t>
      </w:r>
      <w:r>
        <w:rPr>
          <w:color w:val="231F20"/>
          <w:spacing w:val="-14"/>
        </w:rPr>
        <w:t> </w:t>
      </w:r>
      <w:r>
        <w:rPr>
          <w:color w:val="231F20"/>
          <w:spacing w:val="-2"/>
        </w:rPr>
        <w:t>evaluación</w:t>
      </w:r>
      <w:r>
        <w:rPr>
          <w:color w:val="231F20"/>
          <w:spacing w:val="-14"/>
        </w:rPr>
        <w:t> </w:t>
      </w:r>
      <w:r>
        <w:rPr>
          <w:color w:val="231F20"/>
          <w:spacing w:val="-2"/>
        </w:rPr>
        <w:t>de</w:t>
      </w:r>
      <w:r>
        <w:rPr>
          <w:color w:val="231F20"/>
          <w:spacing w:val="-14"/>
        </w:rPr>
        <w:t> </w:t>
      </w:r>
      <w:r>
        <w:rPr>
          <w:color w:val="231F20"/>
          <w:spacing w:val="-2"/>
        </w:rPr>
        <w:t>la</w:t>
      </w:r>
      <w:r>
        <w:rPr>
          <w:color w:val="231F20"/>
          <w:spacing w:val="-14"/>
        </w:rPr>
        <w:t> </w:t>
      </w:r>
      <w:r>
        <w:rPr>
          <w:color w:val="231F20"/>
          <w:spacing w:val="-2"/>
        </w:rPr>
        <w:t>licencia </w:t>
      </w:r>
      <w:r>
        <w:rPr>
          <w:color w:val="231F20"/>
        </w:rPr>
        <w:t>solicitada por la compañía a la Comisión Federal de Comunicaciones (FCC).</w:t>
      </w:r>
    </w:p>
    <w:p>
      <w:pPr>
        <w:pStyle w:val="BodyText"/>
        <w:spacing w:before="167"/>
        <w:ind w:left="413" w:right="1135"/>
      </w:pPr>
      <w:r>
        <w:rPr>
          <w:b/>
          <w:color w:val="231F20"/>
        </w:rPr>
        <w:t>El 30 de noviembre de 2022, </w:t>
      </w:r>
      <w:r>
        <w:rPr>
          <w:color w:val="231F20"/>
        </w:rPr>
        <w:t>el Departamento de Justicia publicó </w:t>
      </w:r>
      <w:r>
        <w:rPr>
          <w:color w:val="231F20"/>
        </w:rPr>
        <w:t>una recomendación</w:t>
      </w:r>
      <w:r>
        <w:rPr>
          <w:color w:val="231F20"/>
          <w:spacing w:val="-17"/>
        </w:rPr>
        <w:t> </w:t>
      </w:r>
      <w:r>
        <w:rPr>
          <w:color w:val="231F20"/>
        </w:rPr>
        <w:t>realizada</w:t>
      </w:r>
      <w:r>
        <w:rPr>
          <w:color w:val="231F20"/>
          <w:spacing w:val="-16"/>
        </w:rPr>
        <w:t> </w:t>
      </w:r>
      <w:r>
        <w:rPr>
          <w:color w:val="231F20"/>
        </w:rPr>
        <w:t>por</w:t>
      </w:r>
      <w:r>
        <w:rPr>
          <w:color w:val="231F20"/>
          <w:spacing w:val="-17"/>
        </w:rPr>
        <w:t> </w:t>
      </w:r>
      <w:r>
        <w:rPr>
          <w:color w:val="231F20"/>
        </w:rPr>
        <w:t>el</w:t>
      </w:r>
      <w:r>
        <w:rPr>
          <w:color w:val="231F20"/>
          <w:spacing w:val="-16"/>
        </w:rPr>
        <w:t> </w:t>
      </w:r>
      <w:r>
        <w:rPr>
          <w:color w:val="231F20"/>
        </w:rPr>
        <w:t>Comité</w:t>
      </w:r>
      <w:r>
        <w:rPr>
          <w:color w:val="231F20"/>
          <w:spacing w:val="-17"/>
        </w:rPr>
        <w:t> </w:t>
      </w:r>
      <w:r>
        <w:rPr>
          <w:color w:val="231F20"/>
        </w:rPr>
        <w:t>de Evaluación</w:t>
      </w:r>
      <w:r>
        <w:rPr>
          <w:color w:val="231F20"/>
          <w:spacing w:val="54"/>
        </w:rPr>
        <w:t> </w:t>
      </w:r>
      <w:r>
        <w:rPr>
          <w:color w:val="231F20"/>
        </w:rPr>
        <w:t>de</w:t>
      </w:r>
      <w:r>
        <w:rPr>
          <w:color w:val="231F20"/>
          <w:spacing w:val="56"/>
        </w:rPr>
        <w:t> </w:t>
      </w:r>
      <w:r>
        <w:rPr>
          <w:color w:val="231F20"/>
        </w:rPr>
        <w:t>la</w:t>
      </w:r>
      <w:r>
        <w:rPr>
          <w:color w:val="231F20"/>
          <w:spacing w:val="56"/>
        </w:rPr>
        <w:t> </w:t>
      </w:r>
      <w:r>
        <w:rPr>
          <w:color w:val="231F20"/>
        </w:rPr>
        <w:t>Participación</w:t>
      </w:r>
      <w:r>
        <w:rPr>
          <w:color w:val="231F20"/>
          <w:spacing w:val="56"/>
        </w:rPr>
        <w:t> </w:t>
      </w:r>
      <w:r>
        <w:rPr>
          <w:color w:val="231F20"/>
          <w:spacing w:val="-5"/>
        </w:rPr>
        <w:t>Extranjera</w:t>
      </w:r>
    </w:p>
    <w:p>
      <w:pPr>
        <w:spacing w:after="0"/>
        <w:sectPr>
          <w:pgSz w:w="11910" w:h="16840"/>
          <w:pgMar w:header="0" w:footer="695" w:top="1260" w:bottom="880" w:left="0" w:right="0"/>
          <w:cols w:num="2" w:equalWidth="0">
            <w:col w:w="5897" w:space="40"/>
            <w:col w:w="5973"/>
          </w:cols>
        </w:sectPr>
      </w:pPr>
    </w:p>
    <w:p>
      <w:pPr>
        <w:pStyle w:val="BodyText"/>
        <w:spacing w:before="77"/>
        <w:ind w:left="1133" w:right="2"/>
      </w:pPr>
      <w:r>
        <w:rPr>
          <w:color w:val="231F20"/>
        </w:rPr>
        <w:t>en los Servicios de Telecomunicaciones de los Estados Unidos a la FCC, para denegar la licencia. Los argumentos del </w:t>
      </w:r>
      <w:r>
        <w:rPr>
          <w:color w:val="231F20"/>
          <w:spacing w:val="-2"/>
        </w:rPr>
        <w:t>Comité</w:t>
      </w:r>
      <w:r>
        <w:rPr>
          <w:color w:val="231F20"/>
          <w:spacing w:val="-15"/>
        </w:rPr>
        <w:t> </w:t>
      </w:r>
      <w:r>
        <w:rPr>
          <w:color w:val="231F20"/>
          <w:spacing w:val="-2"/>
        </w:rPr>
        <w:t>incluyeron</w:t>
      </w:r>
      <w:r>
        <w:rPr>
          <w:color w:val="231F20"/>
          <w:spacing w:val="-14"/>
        </w:rPr>
        <w:t> </w:t>
      </w:r>
      <w:r>
        <w:rPr>
          <w:color w:val="231F20"/>
          <w:spacing w:val="-2"/>
        </w:rPr>
        <w:t>la</w:t>
      </w:r>
      <w:r>
        <w:rPr>
          <w:color w:val="231F20"/>
          <w:spacing w:val="-15"/>
        </w:rPr>
        <w:t> </w:t>
      </w:r>
      <w:r>
        <w:rPr>
          <w:color w:val="231F20"/>
          <w:spacing w:val="-2"/>
        </w:rPr>
        <w:t>supuesta</w:t>
      </w:r>
      <w:r>
        <w:rPr>
          <w:color w:val="231F20"/>
          <w:spacing w:val="-14"/>
        </w:rPr>
        <w:t> </w:t>
      </w:r>
      <w:r>
        <w:rPr>
          <w:color w:val="231F20"/>
          <w:spacing w:val="-2"/>
        </w:rPr>
        <w:t>amenaza</w:t>
      </w:r>
      <w:r>
        <w:rPr>
          <w:color w:val="231F20"/>
          <w:spacing w:val="-15"/>
        </w:rPr>
        <w:t> </w:t>
      </w:r>
      <w:r>
        <w:rPr>
          <w:color w:val="231F20"/>
          <w:spacing w:val="-2"/>
        </w:rPr>
        <w:t>de </w:t>
      </w:r>
      <w:r>
        <w:rPr>
          <w:color w:val="231F20"/>
          <w:spacing w:val="-8"/>
        </w:rPr>
        <w:t>contrainteligencia que representa Cuba para </w:t>
      </w:r>
      <w:r>
        <w:rPr>
          <w:color w:val="231F20"/>
          <w:spacing w:val="-4"/>
        </w:rPr>
        <w:t>los</w:t>
      </w:r>
      <w:r>
        <w:rPr>
          <w:color w:val="231F20"/>
          <w:spacing w:val="-13"/>
        </w:rPr>
        <w:t> </w:t>
      </w:r>
      <w:r>
        <w:rPr>
          <w:color w:val="231F20"/>
          <w:spacing w:val="-4"/>
        </w:rPr>
        <w:t>Estados</w:t>
      </w:r>
      <w:r>
        <w:rPr>
          <w:color w:val="231F20"/>
          <w:spacing w:val="-12"/>
        </w:rPr>
        <w:t> </w:t>
      </w:r>
      <w:r>
        <w:rPr>
          <w:color w:val="231F20"/>
          <w:spacing w:val="-4"/>
        </w:rPr>
        <w:t>Unidos</w:t>
      </w:r>
      <w:r>
        <w:rPr>
          <w:color w:val="231F20"/>
          <w:spacing w:val="-13"/>
        </w:rPr>
        <w:t> </w:t>
      </w:r>
      <w:r>
        <w:rPr>
          <w:color w:val="231F20"/>
          <w:spacing w:val="-4"/>
        </w:rPr>
        <w:t>y</w:t>
      </w:r>
      <w:r>
        <w:rPr>
          <w:color w:val="231F20"/>
          <w:spacing w:val="-12"/>
        </w:rPr>
        <w:t> </w:t>
      </w:r>
      <w:r>
        <w:rPr>
          <w:color w:val="231F20"/>
          <w:spacing w:val="-4"/>
        </w:rPr>
        <w:t>la</w:t>
      </w:r>
      <w:r>
        <w:rPr>
          <w:color w:val="231F20"/>
          <w:spacing w:val="-13"/>
        </w:rPr>
        <w:t> </w:t>
      </w:r>
      <w:r>
        <w:rPr>
          <w:color w:val="231F20"/>
          <w:spacing w:val="-4"/>
        </w:rPr>
        <w:t>designación</w:t>
      </w:r>
      <w:r>
        <w:rPr>
          <w:color w:val="231F20"/>
          <w:spacing w:val="-12"/>
        </w:rPr>
        <w:t> </w:t>
      </w:r>
      <w:r>
        <w:rPr>
          <w:color w:val="231F20"/>
          <w:spacing w:val="-4"/>
        </w:rPr>
        <w:t>del</w:t>
      </w:r>
      <w:r>
        <w:rPr>
          <w:color w:val="231F20"/>
          <w:spacing w:val="-13"/>
        </w:rPr>
        <w:t> </w:t>
      </w:r>
      <w:r>
        <w:rPr>
          <w:color w:val="231F20"/>
          <w:spacing w:val="-4"/>
        </w:rPr>
        <w:t>país </w:t>
      </w:r>
      <w:r>
        <w:rPr>
          <w:color w:val="231F20"/>
        </w:rPr>
        <w:t>como</w:t>
      </w:r>
      <w:r>
        <w:rPr>
          <w:color w:val="231F20"/>
          <w:spacing w:val="-17"/>
        </w:rPr>
        <w:t> </w:t>
      </w:r>
      <w:r>
        <w:rPr>
          <w:color w:val="231F20"/>
        </w:rPr>
        <w:t>Estado</w:t>
      </w:r>
      <w:r>
        <w:rPr>
          <w:color w:val="231F20"/>
          <w:spacing w:val="-16"/>
        </w:rPr>
        <w:t> </w:t>
      </w:r>
      <w:r>
        <w:rPr>
          <w:color w:val="231F20"/>
        </w:rPr>
        <w:t>Patrocinador</w:t>
      </w:r>
      <w:r>
        <w:rPr>
          <w:color w:val="231F20"/>
          <w:spacing w:val="-17"/>
        </w:rPr>
        <w:t> </w:t>
      </w:r>
      <w:r>
        <w:rPr>
          <w:color w:val="231F20"/>
        </w:rPr>
        <w:t>del</w:t>
      </w:r>
      <w:r>
        <w:rPr>
          <w:color w:val="231F20"/>
          <w:spacing w:val="-16"/>
        </w:rPr>
        <w:t> </w:t>
      </w:r>
      <w:r>
        <w:rPr>
          <w:color w:val="231F20"/>
        </w:rPr>
        <w:t>Terrorismo.</w:t>
      </w:r>
    </w:p>
    <w:p>
      <w:pPr>
        <w:pStyle w:val="BodyText"/>
        <w:spacing w:before="165"/>
        <w:ind w:left="1133"/>
      </w:pPr>
      <w:r>
        <w:rPr>
          <w:b/>
          <w:color w:val="231F20"/>
        </w:rPr>
        <w:t>El 13 de diciembre del propio año, </w:t>
      </w:r>
      <w:r>
        <w:rPr>
          <w:color w:val="231F20"/>
        </w:rPr>
        <w:t>el Senador de la Florida Marco Rubio envió una carta a la Presidenta de la FCC para exigir el rechazo inmediato de la licencia. Estas acciones presionaron a la empresa estadounidense, la cual retiró la solicitud.</w:t>
      </w:r>
    </w:p>
    <w:p>
      <w:pPr>
        <w:pStyle w:val="BodyText"/>
        <w:spacing w:before="165"/>
        <w:ind w:left="1133"/>
      </w:pPr>
      <w:r>
        <w:rPr>
          <w:color w:val="231F20"/>
        </w:rPr>
        <w:t>A partir de la reinserción arbitraria </w:t>
      </w:r>
      <w:r>
        <w:rPr>
          <w:color w:val="231F20"/>
        </w:rPr>
        <w:t>de Cuba en la lista unilateral de países patrocinadores del terrorismo, se ha reforzado el impedimento de recibir de los Estados Unidos paquetería expresa privada, afectándose también el servicio Express Mail Service (EMS)</w:t>
      </w:r>
      <w:r>
        <w:rPr>
          <w:color w:val="231F20"/>
          <w:position w:val="8"/>
          <w:sz w:val="14"/>
        </w:rPr>
        <w:t>1</w:t>
      </w:r>
      <w:r>
        <w:rPr>
          <w:color w:val="231F20"/>
          <w:spacing w:val="80"/>
          <w:position w:val="8"/>
          <w:sz w:val="14"/>
        </w:rPr>
        <w:t> </w:t>
      </w:r>
      <w:r>
        <w:rPr>
          <w:color w:val="231F20"/>
        </w:rPr>
        <w:t>de la Unión Postal Universal.</w:t>
      </w:r>
    </w:p>
    <w:p>
      <w:pPr>
        <w:pStyle w:val="BodyText"/>
        <w:spacing w:before="166"/>
        <w:ind w:left="1133"/>
      </w:pPr>
      <w:r>
        <w:rPr>
          <w:color w:val="231F20"/>
        </w:rPr>
        <w:t>Continúa la limitación para acceder a </w:t>
      </w:r>
      <w:r>
        <w:rPr>
          <w:color w:val="231F20"/>
        </w:rPr>
        <w:t>los </w:t>
      </w:r>
      <w:r>
        <w:rPr>
          <w:color w:val="231F20"/>
          <w:spacing w:val="-2"/>
        </w:rPr>
        <w:t>enlaces</w:t>
      </w:r>
      <w:r>
        <w:rPr>
          <w:color w:val="231F20"/>
          <w:spacing w:val="-14"/>
        </w:rPr>
        <w:t> </w:t>
      </w:r>
      <w:r>
        <w:rPr>
          <w:color w:val="231F20"/>
          <w:spacing w:val="-2"/>
        </w:rPr>
        <w:t>de</w:t>
      </w:r>
      <w:r>
        <w:rPr>
          <w:color w:val="231F20"/>
          <w:spacing w:val="-14"/>
        </w:rPr>
        <w:t> </w:t>
      </w:r>
      <w:r>
        <w:rPr>
          <w:color w:val="231F20"/>
          <w:spacing w:val="-2"/>
        </w:rPr>
        <w:t>banda</w:t>
      </w:r>
      <w:r>
        <w:rPr>
          <w:color w:val="231F20"/>
          <w:spacing w:val="-14"/>
        </w:rPr>
        <w:t> </w:t>
      </w:r>
      <w:r>
        <w:rPr>
          <w:color w:val="231F20"/>
          <w:spacing w:val="-2"/>
        </w:rPr>
        <w:t>ancha</w:t>
      </w:r>
      <w:r>
        <w:rPr>
          <w:color w:val="231F20"/>
          <w:spacing w:val="-14"/>
        </w:rPr>
        <w:t> </w:t>
      </w:r>
      <w:r>
        <w:rPr>
          <w:color w:val="231F20"/>
          <w:spacing w:val="-2"/>
        </w:rPr>
        <w:t>de</w:t>
      </w:r>
      <w:r>
        <w:rPr>
          <w:color w:val="231F20"/>
          <w:spacing w:val="-14"/>
        </w:rPr>
        <w:t> </w:t>
      </w:r>
      <w:r>
        <w:rPr>
          <w:color w:val="231F20"/>
          <w:spacing w:val="-2"/>
        </w:rPr>
        <w:t>Internet,</w:t>
      </w:r>
      <w:r>
        <w:rPr>
          <w:color w:val="231F20"/>
          <w:spacing w:val="-14"/>
        </w:rPr>
        <w:t> </w:t>
      </w:r>
      <w:r>
        <w:rPr>
          <w:color w:val="231F20"/>
          <w:spacing w:val="-2"/>
        </w:rPr>
        <w:t>lo</w:t>
      </w:r>
      <w:r>
        <w:rPr>
          <w:color w:val="231F20"/>
          <w:spacing w:val="-14"/>
        </w:rPr>
        <w:t> </w:t>
      </w:r>
      <w:r>
        <w:rPr>
          <w:color w:val="231F20"/>
          <w:spacing w:val="-2"/>
        </w:rPr>
        <w:t>que </w:t>
      </w:r>
      <w:r>
        <w:rPr>
          <w:color w:val="231F20"/>
        </w:rPr>
        <w:t>impacta en la velocidad de las descargas de software, música, programas de radio y</w:t>
      </w:r>
      <w:r>
        <w:rPr>
          <w:color w:val="231F20"/>
          <w:spacing w:val="40"/>
        </w:rPr>
        <w:t> </w:t>
      </w:r>
      <w:r>
        <w:rPr>
          <w:color w:val="231F20"/>
        </w:rPr>
        <w:t>TV</w:t>
      </w:r>
      <w:r>
        <w:rPr>
          <w:color w:val="231F20"/>
          <w:spacing w:val="40"/>
        </w:rPr>
        <w:t> </w:t>
      </w:r>
      <w:r>
        <w:rPr>
          <w:color w:val="231F20"/>
        </w:rPr>
        <w:t>que</w:t>
      </w:r>
      <w:r>
        <w:rPr>
          <w:color w:val="231F20"/>
          <w:spacing w:val="40"/>
        </w:rPr>
        <w:t> </w:t>
      </w:r>
      <w:r>
        <w:rPr>
          <w:color w:val="231F20"/>
        </w:rPr>
        <w:t>se</w:t>
      </w:r>
      <w:r>
        <w:rPr>
          <w:color w:val="231F20"/>
          <w:spacing w:val="40"/>
        </w:rPr>
        <w:t> </w:t>
      </w:r>
      <w:r>
        <w:rPr>
          <w:color w:val="231F20"/>
        </w:rPr>
        <w:t>trasmiten</w:t>
      </w:r>
      <w:r>
        <w:rPr>
          <w:color w:val="231F20"/>
          <w:spacing w:val="40"/>
        </w:rPr>
        <w:t> </w:t>
      </w:r>
      <w:r>
        <w:rPr>
          <w:color w:val="231F20"/>
        </w:rPr>
        <w:t>en</w:t>
      </w:r>
      <w:r>
        <w:rPr>
          <w:color w:val="231F20"/>
          <w:spacing w:val="40"/>
        </w:rPr>
        <w:t> </w:t>
      </w:r>
      <w:r>
        <w:rPr>
          <w:color w:val="231F20"/>
        </w:rPr>
        <w:t>tiempo</w:t>
      </w:r>
      <w:r>
        <w:rPr>
          <w:color w:val="231F20"/>
          <w:spacing w:val="40"/>
        </w:rPr>
        <w:t> </w:t>
      </w:r>
      <w:r>
        <w:rPr>
          <w:color w:val="231F20"/>
        </w:rPr>
        <w:t>real</w:t>
      </w:r>
      <w:r>
        <w:rPr>
          <w:color w:val="231F20"/>
          <w:spacing w:val="40"/>
        </w:rPr>
        <w:t> </w:t>
      </w:r>
      <w:r>
        <w:rPr>
          <w:color w:val="231F20"/>
        </w:rPr>
        <w:t>y el acceso a determinados sitios donde están las actualizaciones, muchas veces gratuitas, de programas que cuentan con millones de usuarios en el mundo.</w:t>
      </w:r>
    </w:p>
    <w:p>
      <w:pPr>
        <w:pStyle w:val="BodyText"/>
        <w:spacing w:before="167"/>
        <w:ind w:left="1133"/>
      </w:pPr>
      <w:r>
        <w:rPr>
          <w:color w:val="231F20"/>
        </w:rPr>
        <w:t>Estas trabas coartan el flujo de información y la masificación del </w:t>
      </w:r>
      <w:r>
        <w:rPr>
          <w:color w:val="231F20"/>
        </w:rPr>
        <w:t>acceso</w:t>
      </w:r>
      <w:r>
        <w:rPr>
          <w:color w:val="231F20"/>
          <w:spacing w:val="80"/>
        </w:rPr>
        <w:t> </w:t>
      </w:r>
      <w:r>
        <w:rPr>
          <w:color w:val="231F20"/>
        </w:rPr>
        <w:t>a Internet en Cuba, dificultan y encarecen la conectividad, y condicionan la entrada de los usuarios cubanos a diversas plataformas virtuales.</w:t>
      </w:r>
    </w:p>
    <w:p>
      <w:pPr>
        <w:pStyle w:val="BodyText"/>
        <w:spacing w:before="165"/>
        <w:ind w:left="1133"/>
      </w:pPr>
      <w:r>
        <w:rPr>
          <w:color w:val="231F20"/>
        </w:rPr>
        <w:t>Por citar un solo ejemplo, el sitio </w:t>
      </w:r>
      <w:r>
        <w:rPr>
          <w:color w:val="231F20"/>
        </w:rPr>
        <w:t>de Adobe</w:t>
      </w:r>
      <w:r>
        <w:rPr>
          <w:color w:val="231F20"/>
          <w:spacing w:val="40"/>
        </w:rPr>
        <w:t> </w:t>
      </w:r>
      <w:r>
        <w:rPr>
          <w:color w:val="231F20"/>
        </w:rPr>
        <w:t>está</w:t>
      </w:r>
      <w:r>
        <w:rPr>
          <w:color w:val="231F20"/>
          <w:spacing w:val="40"/>
        </w:rPr>
        <w:t> </w:t>
      </w:r>
      <w:r>
        <w:rPr>
          <w:color w:val="231F20"/>
        </w:rPr>
        <w:t>bloqueado</w:t>
      </w:r>
      <w:r>
        <w:rPr>
          <w:color w:val="231F20"/>
          <w:spacing w:val="40"/>
        </w:rPr>
        <w:t> </w:t>
      </w:r>
      <w:r>
        <w:rPr>
          <w:color w:val="231F20"/>
        </w:rPr>
        <w:t>para</w:t>
      </w:r>
      <w:r>
        <w:rPr>
          <w:color w:val="231F20"/>
          <w:spacing w:val="40"/>
        </w:rPr>
        <w:t> </w:t>
      </w:r>
      <w:r>
        <w:rPr>
          <w:color w:val="231F20"/>
        </w:rPr>
        <w:t>Cuba,</w:t>
      </w:r>
      <w:r>
        <w:rPr>
          <w:color w:val="231F20"/>
          <w:spacing w:val="40"/>
        </w:rPr>
        <w:t> </w:t>
      </w:r>
      <w:r>
        <w:rPr>
          <w:color w:val="231F20"/>
        </w:rPr>
        <w:t>lo que imposibilita el acceso a la ayuda de determinados</w:t>
      </w:r>
      <w:r>
        <w:rPr>
          <w:color w:val="231F20"/>
          <w:spacing w:val="9"/>
        </w:rPr>
        <w:t> </w:t>
      </w:r>
      <w:r>
        <w:rPr>
          <w:color w:val="231F20"/>
        </w:rPr>
        <w:t>programas</w:t>
      </w:r>
      <w:r>
        <w:rPr>
          <w:color w:val="231F20"/>
          <w:spacing w:val="9"/>
        </w:rPr>
        <w:t> </w:t>
      </w:r>
      <w:r>
        <w:rPr>
          <w:color w:val="231F20"/>
        </w:rPr>
        <w:t>que</w:t>
      </w:r>
      <w:r>
        <w:rPr>
          <w:color w:val="231F20"/>
          <w:spacing w:val="9"/>
        </w:rPr>
        <w:t> </w:t>
      </w:r>
      <w:r>
        <w:rPr>
          <w:color w:val="231F20"/>
        </w:rPr>
        <w:t>se</w:t>
      </w:r>
      <w:r>
        <w:rPr>
          <w:color w:val="231F20"/>
          <w:spacing w:val="10"/>
        </w:rPr>
        <w:t> </w:t>
      </w:r>
      <w:r>
        <w:rPr>
          <w:color w:val="231F20"/>
          <w:spacing w:val="-2"/>
        </w:rPr>
        <w:t>encuen-</w:t>
      </w:r>
    </w:p>
    <w:p>
      <w:pPr>
        <w:pStyle w:val="BodyText"/>
        <w:spacing w:before="77"/>
        <w:ind w:left="412" w:right="1471"/>
      </w:pPr>
      <w:r>
        <w:rPr/>
        <w:br w:type="column"/>
      </w:r>
      <w:r>
        <w:rPr>
          <w:color w:val="231F20"/>
        </w:rPr>
        <w:t>tran online y de los que no se dispone </w:t>
      </w:r>
      <w:r>
        <w:rPr>
          <w:color w:val="231F20"/>
        </w:rPr>
        <w:t>en otro formato, como es el caso de las más modernas versiones del editor multipista Audition CS6. A estas restricciones se han sumado otros de interés que estuvieron libres</w:t>
      </w:r>
      <w:r>
        <w:rPr>
          <w:color w:val="231F20"/>
          <w:spacing w:val="-10"/>
        </w:rPr>
        <w:t> </w:t>
      </w:r>
      <w:r>
        <w:rPr>
          <w:color w:val="231F20"/>
        </w:rPr>
        <w:t>hasta</w:t>
      </w:r>
      <w:r>
        <w:rPr>
          <w:color w:val="231F20"/>
          <w:spacing w:val="-10"/>
        </w:rPr>
        <w:t> </w:t>
      </w:r>
      <w:r>
        <w:rPr>
          <w:color w:val="231F20"/>
        </w:rPr>
        <w:t>hace</w:t>
      </w:r>
      <w:r>
        <w:rPr>
          <w:color w:val="231F20"/>
          <w:spacing w:val="-10"/>
        </w:rPr>
        <w:t> </w:t>
      </w:r>
      <w:r>
        <w:rPr>
          <w:color w:val="231F20"/>
        </w:rPr>
        <w:t>poco</w:t>
      </w:r>
      <w:r>
        <w:rPr>
          <w:color w:val="231F20"/>
          <w:spacing w:val="-10"/>
        </w:rPr>
        <w:t> </w:t>
      </w:r>
      <w:r>
        <w:rPr>
          <w:color w:val="231F20"/>
        </w:rPr>
        <w:t>tiempo,</w:t>
      </w:r>
      <w:r>
        <w:rPr>
          <w:color w:val="231F20"/>
          <w:spacing w:val="-10"/>
        </w:rPr>
        <w:t> </w:t>
      </w:r>
      <w:r>
        <w:rPr>
          <w:color w:val="231F20"/>
        </w:rPr>
        <w:t>entre</w:t>
      </w:r>
      <w:r>
        <w:rPr>
          <w:color w:val="231F20"/>
          <w:spacing w:val="-10"/>
        </w:rPr>
        <w:t> </w:t>
      </w:r>
      <w:r>
        <w:rPr>
          <w:color w:val="231F20"/>
        </w:rPr>
        <w:t>ellos: Source Forge, WeTransfer, DELL e INTEL.</w:t>
      </w:r>
    </w:p>
    <w:p>
      <w:pPr>
        <w:pStyle w:val="BodyText"/>
        <w:spacing w:before="165"/>
        <w:ind w:left="412" w:right="1472"/>
      </w:pPr>
      <w:r>
        <w:rPr>
          <w:color w:val="231F20"/>
        </w:rPr>
        <w:t>Los representantes cubanos han enfren- tado numerosas dificultades para partici- par</w:t>
      </w:r>
      <w:r>
        <w:rPr>
          <w:color w:val="231F20"/>
          <w:spacing w:val="-6"/>
        </w:rPr>
        <w:t> </w:t>
      </w:r>
      <w:r>
        <w:rPr>
          <w:color w:val="231F20"/>
        </w:rPr>
        <w:t>en</w:t>
      </w:r>
      <w:r>
        <w:rPr>
          <w:color w:val="231F20"/>
          <w:spacing w:val="-5"/>
        </w:rPr>
        <w:t> </w:t>
      </w:r>
      <w:r>
        <w:rPr>
          <w:color w:val="231F20"/>
        </w:rPr>
        <w:t>reuniones</w:t>
      </w:r>
      <w:r>
        <w:rPr>
          <w:color w:val="231F20"/>
          <w:spacing w:val="-5"/>
        </w:rPr>
        <w:t> </w:t>
      </w:r>
      <w:r>
        <w:rPr>
          <w:color w:val="231F20"/>
        </w:rPr>
        <w:t>y</w:t>
      </w:r>
      <w:r>
        <w:rPr>
          <w:color w:val="231F20"/>
          <w:spacing w:val="-5"/>
        </w:rPr>
        <w:t> </w:t>
      </w:r>
      <w:r>
        <w:rPr>
          <w:color w:val="231F20"/>
        </w:rPr>
        <w:t>otros</w:t>
      </w:r>
      <w:r>
        <w:rPr>
          <w:color w:val="231F20"/>
          <w:spacing w:val="-6"/>
        </w:rPr>
        <w:t> </w:t>
      </w:r>
      <w:r>
        <w:rPr>
          <w:color w:val="231F20"/>
        </w:rPr>
        <w:t>eventos</w:t>
      </w:r>
      <w:r>
        <w:rPr>
          <w:color w:val="231F20"/>
          <w:spacing w:val="-6"/>
        </w:rPr>
        <w:t> </w:t>
      </w:r>
      <w:r>
        <w:rPr>
          <w:color w:val="231F20"/>
        </w:rPr>
        <w:t>virtuales convocados por organismos del Sistema de</w:t>
      </w:r>
      <w:r>
        <w:rPr>
          <w:color w:val="231F20"/>
          <w:spacing w:val="-8"/>
        </w:rPr>
        <w:t> </w:t>
      </w:r>
      <w:r>
        <w:rPr>
          <w:color w:val="231F20"/>
        </w:rPr>
        <w:t>Naciones</w:t>
      </w:r>
      <w:r>
        <w:rPr>
          <w:color w:val="231F20"/>
          <w:spacing w:val="-8"/>
        </w:rPr>
        <w:t> </w:t>
      </w:r>
      <w:r>
        <w:rPr>
          <w:color w:val="231F20"/>
        </w:rPr>
        <w:t>Unidas,</w:t>
      </w:r>
      <w:r>
        <w:rPr>
          <w:color w:val="231F20"/>
          <w:spacing w:val="-8"/>
        </w:rPr>
        <w:t> </w:t>
      </w:r>
      <w:r>
        <w:rPr>
          <w:color w:val="231F20"/>
        </w:rPr>
        <w:t>dado</w:t>
      </w:r>
      <w:r>
        <w:rPr>
          <w:color w:val="231F20"/>
          <w:spacing w:val="-9"/>
        </w:rPr>
        <w:t> </w:t>
      </w:r>
      <w:r>
        <w:rPr>
          <w:color w:val="231F20"/>
        </w:rPr>
        <w:t>que</w:t>
      </w:r>
      <w:r>
        <w:rPr>
          <w:color w:val="231F20"/>
          <w:spacing w:val="-8"/>
        </w:rPr>
        <w:t> </w:t>
      </w:r>
      <w:r>
        <w:rPr>
          <w:color w:val="231F20"/>
        </w:rPr>
        <w:t>Cuba</w:t>
      </w:r>
      <w:r>
        <w:rPr>
          <w:color w:val="231F20"/>
          <w:spacing w:val="-8"/>
        </w:rPr>
        <w:t> </w:t>
      </w:r>
      <w:r>
        <w:rPr>
          <w:color w:val="231F20"/>
        </w:rPr>
        <w:t>tiene restringido</w:t>
      </w:r>
      <w:r>
        <w:rPr>
          <w:color w:val="231F20"/>
          <w:spacing w:val="-3"/>
        </w:rPr>
        <w:t> </w:t>
      </w:r>
      <w:r>
        <w:rPr>
          <w:color w:val="231F20"/>
        </w:rPr>
        <w:t>el</w:t>
      </w:r>
      <w:r>
        <w:rPr>
          <w:color w:val="231F20"/>
          <w:spacing w:val="-2"/>
        </w:rPr>
        <w:t> </w:t>
      </w:r>
      <w:r>
        <w:rPr>
          <w:color w:val="231F20"/>
        </w:rPr>
        <w:t>acceso</w:t>
      </w:r>
      <w:r>
        <w:rPr>
          <w:color w:val="231F20"/>
          <w:spacing w:val="-2"/>
        </w:rPr>
        <w:t> </w:t>
      </w:r>
      <w:r>
        <w:rPr>
          <w:color w:val="231F20"/>
        </w:rPr>
        <w:t>a</w:t>
      </w:r>
      <w:r>
        <w:rPr>
          <w:color w:val="231F20"/>
          <w:spacing w:val="-2"/>
        </w:rPr>
        <w:t> </w:t>
      </w:r>
      <w:r>
        <w:rPr>
          <w:color w:val="231F20"/>
        </w:rPr>
        <w:t>varias</w:t>
      </w:r>
      <w:r>
        <w:rPr>
          <w:color w:val="231F20"/>
          <w:spacing w:val="-3"/>
        </w:rPr>
        <w:t> </w:t>
      </w:r>
      <w:r>
        <w:rPr>
          <w:color w:val="231F20"/>
        </w:rPr>
        <w:t>de</w:t>
      </w:r>
      <w:r>
        <w:rPr>
          <w:color w:val="231F20"/>
          <w:spacing w:val="-3"/>
        </w:rPr>
        <w:t> </w:t>
      </w:r>
      <w:r>
        <w:rPr>
          <w:color w:val="231F20"/>
        </w:rPr>
        <w:t>las</w:t>
      </w:r>
      <w:r>
        <w:rPr>
          <w:color w:val="231F20"/>
          <w:spacing w:val="-2"/>
        </w:rPr>
        <w:t> </w:t>
      </w:r>
      <w:r>
        <w:rPr>
          <w:color w:val="231F20"/>
        </w:rPr>
        <w:t>plata- formas</w:t>
      </w:r>
      <w:r>
        <w:rPr>
          <w:color w:val="231F20"/>
          <w:spacing w:val="-6"/>
        </w:rPr>
        <w:t> </w:t>
      </w:r>
      <w:r>
        <w:rPr>
          <w:color w:val="231F20"/>
        </w:rPr>
        <w:t>digitales</w:t>
      </w:r>
      <w:r>
        <w:rPr>
          <w:color w:val="231F20"/>
          <w:spacing w:val="-6"/>
        </w:rPr>
        <w:t> </w:t>
      </w:r>
      <w:r>
        <w:rPr>
          <w:color w:val="231F20"/>
        </w:rPr>
        <w:t>que</w:t>
      </w:r>
      <w:r>
        <w:rPr>
          <w:color w:val="231F20"/>
          <w:spacing w:val="-6"/>
        </w:rPr>
        <w:t> </w:t>
      </w:r>
      <w:r>
        <w:rPr>
          <w:color w:val="231F20"/>
        </w:rPr>
        <w:t>se</w:t>
      </w:r>
      <w:r>
        <w:rPr>
          <w:color w:val="231F20"/>
          <w:spacing w:val="-6"/>
        </w:rPr>
        <w:t> </w:t>
      </w:r>
      <w:r>
        <w:rPr>
          <w:color w:val="231F20"/>
        </w:rPr>
        <w:t>utilizan</w:t>
      </w:r>
      <w:r>
        <w:rPr>
          <w:color w:val="231F20"/>
          <w:spacing w:val="-6"/>
        </w:rPr>
        <w:t> </w:t>
      </w:r>
      <w:r>
        <w:rPr>
          <w:color w:val="231F20"/>
        </w:rPr>
        <w:t>para</w:t>
      </w:r>
      <w:r>
        <w:rPr>
          <w:color w:val="231F20"/>
          <w:spacing w:val="-6"/>
        </w:rPr>
        <w:t> </w:t>
      </w:r>
      <w:r>
        <w:rPr>
          <w:color w:val="231F20"/>
        </w:rPr>
        <w:t>estos fines, como es el caso de Zoom.</w:t>
      </w:r>
    </w:p>
    <w:p>
      <w:pPr>
        <w:pStyle w:val="BodyText"/>
        <w:spacing w:before="166"/>
        <w:ind w:left="412" w:right="1473"/>
      </w:pPr>
      <w:r>
        <w:rPr>
          <w:color w:val="231F20"/>
        </w:rPr>
        <w:t>Asimismo,</w:t>
      </w:r>
      <w:r>
        <w:rPr>
          <w:color w:val="231F20"/>
          <w:spacing w:val="80"/>
        </w:rPr>
        <w:t> </w:t>
      </w:r>
      <w:r>
        <w:rPr>
          <w:color w:val="231F20"/>
        </w:rPr>
        <w:t>varias</w:t>
      </w:r>
      <w:r>
        <w:rPr>
          <w:color w:val="231F20"/>
          <w:spacing w:val="80"/>
        </w:rPr>
        <w:t> </w:t>
      </w:r>
      <w:r>
        <w:rPr>
          <w:color w:val="231F20"/>
        </w:rPr>
        <w:t>plataformas</w:t>
      </w:r>
      <w:r>
        <w:rPr>
          <w:color w:val="231F20"/>
          <w:spacing w:val="80"/>
        </w:rPr>
        <w:t> </w:t>
      </w:r>
      <w:r>
        <w:rPr>
          <w:color w:val="231F20"/>
        </w:rPr>
        <w:t>dentro</w:t>
      </w:r>
      <w:r>
        <w:rPr>
          <w:color w:val="231F20"/>
          <w:spacing w:val="80"/>
        </w:rPr>
        <w:t> </w:t>
      </w:r>
      <w:r>
        <w:rPr>
          <w:color w:val="231F20"/>
        </w:rPr>
        <w:t>de los sitios oficiales de organismos internacionales, entre ellos el de la Organización para la Prohibición de las Armas Químicas (OPAQ), se han visto obligados a buscar otras alternativas</w:t>
      </w:r>
      <w:r>
        <w:rPr>
          <w:color w:val="231F20"/>
          <w:spacing w:val="40"/>
        </w:rPr>
        <w:t> </w:t>
      </w:r>
      <w:r>
        <w:rPr>
          <w:color w:val="231F20"/>
        </w:rPr>
        <w:t>pues aparecen restringidos para las IP de Cuba a tenor de las medidas impuestas por la Oficina para el Control de Activos </w:t>
      </w:r>
      <w:r>
        <w:rPr>
          <w:color w:val="231F20"/>
          <w:spacing w:val="-6"/>
        </w:rPr>
        <w:t>Extranjeros</w:t>
      </w:r>
      <w:r>
        <w:rPr>
          <w:color w:val="231F20"/>
          <w:spacing w:val="-11"/>
        </w:rPr>
        <w:t> </w:t>
      </w:r>
      <w:r>
        <w:rPr>
          <w:color w:val="231F20"/>
          <w:spacing w:val="-6"/>
        </w:rPr>
        <w:t>(OFAC),</w:t>
      </w:r>
      <w:r>
        <w:rPr>
          <w:color w:val="231F20"/>
          <w:spacing w:val="-10"/>
        </w:rPr>
        <w:t> </w:t>
      </w:r>
      <w:r>
        <w:rPr>
          <w:color w:val="231F20"/>
          <w:spacing w:val="-6"/>
        </w:rPr>
        <w:t>lo</w:t>
      </w:r>
      <w:r>
        <w:rPr>
          <w:color w:val="231F20"/>
          <w:spacing w:val="-11"/>
        </w:rPr>
        <w:t> </w:t>
      </w:r>
      <w:r>
        <w:rPr>
          <w:color w:val="231F20"/>
          <w:spacing w:val="-6"/>
        </w:rPr>
        <w:t>que</w:t>
      </w:r>
      <w:r>
        <w:rPr>
          <w:color w:val="231F20"/>
          <w:spacing w:val="-10"/>
        </w:rPr>
        <w:t> </w:t>
      </w:r>
      <w:r>
        <w:rPr>
          <w:color w:val="231F20"/>
          <w:spacing w:val="-6"/>
        </w:rPr>
        <w:t>es</w:t>
      </w:r>
      <w:r>
        <w:rPr>
          <w:color w:val="231F20"/>
          <w:spacing w:val="-11"/>
        </w:rPr>
        <w:t> </w:t>
      </w:r>
      <w:r>
        <w:rPr>
          <w:color w:val="231F20"/>
          <w:spacing w:val="-6"/>
        </w:rPr>
        <w:t>discriminatorio </w:t>
      </w:r>
      <w:r>
        <w:rPr>
          <w:color w:val="231F20"/>
        </w:rPr>
        <w:t>e ilegal.</w:t>
      </w:r>
    </w:p>
    <w:p>
      <w:pPr>
        <w:spacing w:before="168"/>
        <w:ind w:left="412" w:right="1472" w:firstLine="0"/>
        <w:jc w:val="both"/>
        <w:rPr>
          <w:rFonts w:ascii="Segoe UI Semibold" w:hAnsi="Segoe UI Semibold"/>
          <w:b/>
          <w:i/>
          <w:sz w:val="24"/>
        </w:rPr>
      </w:pPr>
      <w:r>
        <w:rPr>
          <w:rFonts w:ascii="Segoe UI Semibold" w:hAnsi="Segoe UI Semibold"/>
          <w:b/>
          <w:i/>
          <w:color w:val="231F20"/>
          <w:sz w:val="24"/>
        </w:rPr>
        <w:t>En</w:t>
      </w:r>
      <w:r>
        <w:rPr>
          <w:rFonts w:ascii="Segoe UI Semibold" w:hAnsi="Segoe UI Semibold"/>
          <w:b/>
          <w:i/>
          <w:color w:val="231F20"/>
          <w:spacing w:val="-11"/>
          <w:sz w:val="24"/>
        </w:rPr>
        <w:t> </w:t>
      </w:r>
      <w:r>
        <w:rPr>
          <w:rFonts w:ascii="Segoe UI Semibold" w:hAnsi="Segoe UI Semibold"/>
          <w:b/>
          <w:i/>
          <w:color w:val="231F20"/>
          <w:sz w:val="24"/>
        </w:rPr>
        <w:t>el</w:t>
      </w:r>
      <w:r>
        <w:rPr>
          <w:rFonts w:ascii="Segoe UI Semibold" w:hAnsi="Segoe UI Semibold"/>
          <w:b/>
          <w:i/>
          <w:color w:val="231F20"/>
          <w:spacing w:val="-11"/>
          <w:sz w:val="24"/>
        </w:rPr>
        <w:t> </w:t>
      </w:r>
      <w:r>
        <w:rPr>
          <w:rFonts w:ascii="Segoe UI Semibold" w:hAnsi="Segoe UI Semibold"/>
          <w:b/>
          <w:i/>
          <w:color w:val="231F20"/>
          <w:sz w:val="24"/>
        </w:rPr>
        <w:t>período</w:t>
      </w:r>
      <w:r>
        <w:rPr>
          <w:rFonts w:ascii="Segoe UI Semibold" w:hAnsi="Segoe UI Semibold"/>
          <w:b/>
          <w:i/>
          <w:color w:val="231F20"/>
          <w:spacing w:val="-11"/>
          <w:sz w:val="24"/>
        </w:rPr>
        <w:t> </w:t>
      </w:r>
      <w:r>
        <w:rPr>
          <w:rFonts w:ascii="Segoe UI Semibold" w:hAnsi="Segoe UI Semibold"/>
          <w:b/>
          <w:i/>
          <w:color w:val="231F20"/>
          <w:sz w:val="24"/>
        </w:rPr>
        <w:t>analizado,</w:t>
      </w:r>
      <w:r>
        <w:rPr>
          <w:rFonts w:ascii="Segoe UI Semibold" w:hAnsi="Segoe UI Semibold"/>
          <w:b/>
          <w:i/>
          <w:color w:val="231F20"/>
          <w:spacing w:val="-11"/>
          <w:sz w:val="24"/>
        </w:rPr>
        <w:t> </w:t>
      </w:r>
      <w:r>
        <w:rPr>
          <w:rFonts w:ascii="Segoe UI Semibold" w:hAnsi="Segoe UI Semibold"/>
          <w:b/>
          <w:i/>
          <w:color w:val="231F20"/>
          <w:sz w:val="24"/>
        </w:rPr>
        <w:t>los</w:t>
      </w:r>
      <w:r>
        <w:rPr>
          <w:rFonts w:ascii="Segoe UI Semibold" w:hAnsi="Segoe UI Semibold"/>
          <w:b/>
          <w:i/>
          <w:color w:val="231F20"/>
          <w:spacing w:val="-11"/>
          <w:sz w:val="24"/>
        </w:rPr>
        <w:t> </w:t>
      </w:r>
      <w:r>
        <w:rPr>
          <w:rFonts w:ascii="Segoe UI Semibold" w:hAnsi="Segoe UI Semibold"/>
          <w:b/>
          <w:i/>
          <w:color w:val="231F20"/>
          <w:sz w:val="24"/>
        </w:rPr>
        <w:t>daños</w:t>
      </w:r>
      <w:r>
        <w:rPr>
          <w:rFonts w:ascii="Segoe UI Semibold" w:hAnsi="Segoe UI Semibold"/>
          <w:b/>
          <w:i/>
          <w:color w:val="231F20"/>
          <w:spacing w:val="-11"/>
          <w:sz w:val="24"/>
        </w:rPr>
        <w:t> </w:t>
      </w:r>
      <w:r>
        <w:rPr>
          <w:rFonts w:ascii="Segoe UI Semibold" w:hAnsi="Segoe UI Semibold"/>
          <w:b/>
          <w:i/>
          <w:color w:val="231F20"/>
          <w:sz w:val="24"/>
        </w:rPr>
        <w:t>provo-</w:t>
      </w:r>
      <w:r>
        <w:rPr>
          <w:rFonts w:ascii="Segoe UI Semibold" w:hAnsi="Segoe UI Semibold"/>
          <w:b/>
          <w:i/>
          <w:color w:val="231F20"/>
          <w:sz w:val="24"/>
        </w:rPr>
        <w:t> cados</w:t>
      </w:r>
      <w:r>
        <w:rPr>
          <w:rFonts w:ascii="Segoe UI Semibold" w:hAnsi="Segoe UI Semibold"/>
          <w:b/>
          <w:i/>
          <w:color w:val="231F20"/>
          <w:spacing w:val="-2"/>
          <w:sz w:val="24"/>
        </w:rPr>
        <w:t> </w:t>
      </w:r>
      <w:r>
        <w:rPr>
          <w:rFonts w:ascii="Segoe UI Semibold" w:hAnsi="Segoe UI Semibold"/>
          <w:b/>
          <w:i/>
          <w:color w:val="231F20"/>
          <w:sz w:val="24"/>
        </w:rPr>
        <w:t>por</w:t>
      </w:r>
      <w:r>
        <w:rPr>
          <w:rFonts w:ascii="Segoe UI Semibold" w:hAnsi="Segoe UI Semibold"/>
          <w:b/>
          <w:i/>
          <w:color w:val="231F20"/>
          <w:spacing w:val="-2"/>
          <w:sz w:val="24"/>
        </w:rPr>
        <w:t> </w:t>
      </w:r>
      <w:r>
        <w:rPr>
          <w:rFonts w:ascii="Segoe UI Semibold" w:hAnsi="Segoe UI Semibold"/>
          <w:b/>
          <w:i/>
          <w:color w:val="231F20"/>
          <w:sz w:val="24"/>
        </w:rPr>
        <w:t>el</w:t>
      </w:r>
      <w:r>
        <w:rPr>
          <w:rFonts w:ascii="Segoe UI Semibold" w:hAnsi="Segoe UI Semibold"/>
          <w:b/>
          <w:i/>
          <w:color w:val="231F20"/>
          <w:spacing w:val="-2"/>
          <w:sz w:val="24"/>
        </w:rPr>
        <w:t> </w:t>
      </w:r>
      <w:r>
        <w:rPr>
          <w:rFonts w:ascii="Segoe UI Semibold" w:hAnsi="Segoe UI Semibold"/>
          <w:b/>
          <w:i/>
          <w:color w:val="231F20"/>
          <w:sz w:val="24"/>
        </w:rPr>
        <w:t>bloqueo</w:t>
      </w:r>
      <w:r>
        <w:rPr>
          <w:rFonts w:ascii="Segoe UI Semibold" w:hAnsi="Segoe UI Semibold"/>
          <w:b/>
          <w:i/>
          <w:color w:val="231F20"/>
          <w:spacing w:val="-2"/>
          <w:sz w:val="24"/>
        </w:rPr>
        <w:t> </w:t>
      </w:r>
      <w:r>
        <w:rPr>
          <w:rFonts w:ascii="Segoe UI Semibold" w:hAnsi="Segoe UI Semibold"/>
          <w:b/>
          <w:i/>
          <w:color w:val="231F20"/>
          <w:sz w:val="24"/>
        </w:rPr>
        <w:t>conjuntamente</w:t>
      </w:r>
      <w:r>
        <w:rPr>
          <w:rFonts w:ascii="Segoe UI Semibold" w:hAnsi="Segoe UI Semibold"/>
          <w:b/>
          <w:i/>
          <w:color w:val="231F20"/>
          <w:spacing w:val="-2"/>
          <w:sz w:val="24"/>
        </w:rPr>
        <w:t> </w:t>
      </w:r>
      <w:r>
        <w:rPr>
          <w:rFonts w:ascii="Segoe UI Semibold" w:hAnsi="Segoe UI Semibold"/>
          <w:b/>
          <w:i/>
          <w:color w:val="231F20"/>
          <w:sz w:val="24"/>
        </w:rPr>
        <w:t>a</w:t>
      </w:r>
      <w:r>
        <w:rPr>
          <w:rFonts w:ascii="Segoe UI Semibold" w:hAnsi="Segoe UI Semibold"/>
          <w:b/>
          <w:i/>
          <w:color w:val="231F20"/>
          <w:spacing w:val="-1"/>
          <w:sz w:val="24"/>
        </w:rPr>
        <w:t> </w:t>
      </w:r>
      <w:r>
        <w:rPr>
          <w:b/>
          <w:i/>
          <w:color w:val="B52628"/>
          <w:sz w:val="24"/>
        </w:rPr>
        <w:t>la</w:t>
      </w:r>
      <w:r>
        <w:rPr>
          <w:b/>
          <w:i/>
          <w:color w:val="B52628"/>
          <w:sz w:val="24"/>
        </w:rPr>
        <w:t> industria</w:t>
      </w:r>
      <w:r>
        <w:rPr>
          <w:b/>
          <w:i/>
          <w:color w:val="B52628"/>
          <w:spacing w:val="-9"/>
          <w:sz w:val="24"/>
        </w:rPr>
        <w:t> </w:t>
      </w:r>
      <w:r>
        <w:rPr>
          <w:b/>
          <w:i/>
          <w:color w:val="B52628"/>
          <w:sz w:val="24"/>
        </w:rPr>
        <w:t>cubana</w:t>
      </w:r>
      <w:r>
        <w:rPr>
          <w:b/>
          <w:i/>
          <w:color w:val="B52628"/>
          <w:spacing w:val="-9"/>
          <w:sz w:val="24"/>
        </w:rPr>
        <w:t> </w:t>
      </w:r>
      <w:r>
        <w:rPr>
          <w:b/>
          <w:i/>
          <w:color w:val="B52628"/>
          <w:sz w:val="24"/>
        </w:rPr>
        <w:t>y</w:t>
      </w:r>
      <w:r>
        <w:rPr>
          <w:b/>
          <w:i/>
          <w:color w:val="B52628"/>
          <w:spacing w:val="-9"/>
          <w:sz w:val="24"/>
        </w:rPr>
        <w:t> </w:t>
      </w:r>
      <w:r>
        <w:rPr>
          <w:b/>
          <w:i/>
          <w:color w:val="B52628"/>
          <w:sz w:val="24"/>
        </w:rPr>
        <w:t>al</w:t>
      </w:r>
      <w:r>
        <w:rPr>
          <w:b/>
          <w:i/>
          <w:color w:val="B52628"/>
          <w:spacing w:val="-10"/>
          <w:sz w:val="24"/>
        </w:rPr>
        <w:t> </w:t>
      </w:r>
      <w:r>
        <w:rPr>
          <w:b/>
          <w:i/>
          <w:color w:val="B52628"/>
          <w:sz w:val="24"/>
        </w:rPr>
        <w:t>sistema</w:t>
      </w:r>
      <w:r>
        <w:rPr>
          <w:b/>
          <w:i/>
          <w:color w:val="B52628"/>
          <w:spacing w:val="-9"/>
          <w:sz w:val="24"/>
        </w:rPr>
        <w:t> </w:t>
      </w:r>
      <w:r>
        <w:rPr>
          <w:b/>
          <w:i/>
          <w:color w:val="B52628"/>
          <w:sz w:val="24"/>
        </w:rPr>
        <w:t>empresa- </w:t>
      </w:r>
      <w:r>
        <w:rPr>
          <w:b/>
          <w:i/>
          <w:color w:val="B52628"/>
          <w:spacing w:val="-4"/>
          <w:sz w:val="24"/>
        </w:rPr>
        <w:t>rial,</w:t>
      </w:r>
      <w:r>
        <w:rPr>
          <w:b/>
          <w:i/>
          <w:color w:val="B52628"/>
          <w:spacing w:val="-11"/>
          <w:sz w:val="24"/>
        </w:rPr>
        <w:t> </w:t>
      </w:r>
      <w:r>
        <w:rPr>
          <w:rFonts w:ascii="Segoe UI Semibold" w:hAnsi="Segoe UI Semibold"/>
          <w:b/>
          <w:i/>
          <w:color w:val="231F20"/>
          <w:spacing w:val="-4"/>
          <w:sz w:val="24"/>
        </w:rPr>
        <w:t>se</w:t>
      </w:r>
      <w:r>
        <w:rPr>
          <w:rFonts w:ascii="Segoe UI Semibold" w:hAnsi="Segoe UI Semibold"/>
          <w:b/>
          <w:i/>
          <w:color w:val="231F20"/>
          <w:spacing w:val="-11"/>
          <w:sz w:val="24"/>
        </w:rPr>
        <w:t> </w:t>
      </w:r>
      <w:r>
        <w:rPr>
          <w:rFonts w:ascii="Segoe UI Semibold" w:hAnsi="Segoe UI Semibold"/>
          <w:b/>
          <w:i/>
          <w:color w:val="231F20"/>
          <w:spacing w:val="-4"/>
          <w:sz w:val="24"/>
        </w:rPr>
        <w:t>calculan</w:t>
      </w:r>
      <w:r>
        <w:rPr>
          <w:rFonts w:ascii="Segoe UI Semibold" w:hAnsi="Segoe UI Semibold"/>
          <w:b/>
          <w:i/>
          <w:color w:val="231F20"/>
          <w:spacing w:val="-11"/>
          <w:sz w:val="24"/>
        </w:rPr>
        <w:t> </w:t>
      </w:r>
      <w:r>
        <w:rPr>
          <w:rFonts w:ascii="Segoe UI Semibold" w:hAnsi="Segoe UI Semibold"/>
          <w:b/>
          <w:i/>
          <w:color w:val="231F20"/>
          <w:spacing w:val="-4"/>
          <w:sz w:val="24"/>
        </w:rPr>
        <w:t>en</w:t>
      </w:r>
      <w:r>
        <w:rPr>
          <w:rFonts w:ascii="Segoe UI Semibold" w:hAnsi="Segoe UI Semibold"/>
          <w:b/>
          <w:i/>
          <w:color w:val="231F20"/>
          <w:spacing w:val="-11"/>
          <w:sz w:val="24"/>
        </w:rPr>
        <w:t> </w:t>
      </w:r>
      <w:r>
        <w:rPr>
          <w:rFonts w:ascii="Segoe UI Semibold" w:hAnsi="Segoe UI Semibold"/>
          <w:b/>
          <w:i/>
          <w:color w:val="231F20"/>
          <w:spacing w:val="-4"/>
          <w:sz w:val="24"/>
        </w:rPr>
        <w:t>unos</w:t>
      </w:r>
      <w:r>
        <w:rPr>
          <w:rFonts w:ascii="Segoe UI Semibold" w:hAnsi="Segoe UI Semibold"/>
          <w:b/>
          <w:i/>
          <w:color w:val="231F20"/>
          <w:spacing w:val="-10"/>
          <w:sz w:val="24"/>
        </w:rPr>
        <w:t> </w:t>
      </w:r>
      <w:r>
        <w:rPr>
          <w:b/>
          <w:i/>
          <w:color w:val="231F20"/>
          <w:spacing w:val="-4"/>
          <w:sz w:val="24"/>
        </w:rPr>
        <w:t>467</w:t>
      </w:r>
      <w:r>
        <w:rPr>
          <w:b/>
          <w:i/>
          <w:color w:val="231F20"/>
          <w:spacing w:val="-11"/>
          <w:sz w:val="24"/>
        </w:rPr>
        <w:t> </w:t>
      </w:r>
      <w:r>
        <w:rPr>
          <w:b/>
          <w:i/>
          <w:color w:val="231F20"/>
          <w:spacing w:val="-4"/>
          <w:sz w:val="24"/>
        </w:rPr>
        <w:t>millones</w:t>
      </w:r>
      <w:r>
        <w:rPr>
          <w:b/>
          <w:i/>
          <w:color w:val="231F20"/>
          <w:spacing w:val="-11"/>
          <w:sz w:val="24"/>
        </w:rPr>
        <w:t> </w:t>
      </w:r>
      <w:r>
        <w:rPr>
          <w:b/>
          <w:i/>
          <w:color w:val="231F20"/>
          <w:spacing w:val="-4"/>
          <w:sz w:val="24"/>
        </w:rPr>
        <w:t>750</w:t>
      </w:r>
      <w:r>
        <w:rPr>
          <w:b/>
          <w:i/>
          <w:color w:val="231F20"/>
          <w:spacing w:val="-4"/>
          <w:sz w:val="24"/>
        </w:rPr>
        <w:t> </w:t>
      </w:r>
      <w:r>
        <w:rPr>
          <w:b/>
          <w:i/>
          <w:color w:val="231F20"/>
          <w:sz w:val="24"/>
        </w:rPr>
        <w:t>mil 990 dólares</w:t>
      </w:r>
      <w:r>
        <w:rPr>
          <w:rFonts w:ascii="Segoe UI Semibold" w:hAnsi="Segoe UI Semibold"/>
          <w:b/>
          <w:i/>
          <w:color w:val="231F20"/>
          <w:sz w:val="24"/>
        </w:rPr>
        <w:t>. Estos se asocian princi-</w:t>
      </w:r>
      <w:r>
        <w:rPr>
          <w:rFonts w:ascii="Segoe UI Semibold" w:hAnsi="Segoe UI Semibold"/>
          <w:b/>
          <w:i/>
          <w:color w:val="231F20"/>
          <w:sz w:val="24"/>
        </w:rPr>
        <w:t> palmente a ingresos dejados de percibir por exportaciones de bienes y servicios, reubicación geográfica del comercio, variaciones</w:t>
      </w:r>
      <w:r>
        <w:rPr>
          <w:rFonts w:ascii="Segoe UI Semibold" w:hAnsi="Segoe UI Semibold"/>
          <w:b/>
          <w:i/>
          <w:color w:val="231F20"/>
          <w:spacing w:val="-1"/>
          <w:sz w:val="24"/>
        </w:rPr>
        <w:t> </w:t>
      </w:r>
      <w:r>
        <w:rPr>
          <w:rFonts w:ascii="Segoe UI Semibold" w:hAnsi="Segoe UI Semibold"/>
          <w:b/>
          <w:i/>
          <w:color w:val="231F20"/>
          <w:sz w:val="24"/>
        </w:rPr>
        <w:t>en</w:t>
      </w:r>
      <w:r>
        <w:rPr>
          <w:rFonts w:ascii="Segoe UI Semibold" w:hAnsi="Segoe UI Semibold"/>
          <w:b/>
          <w:i/>
          <w:color w:val="231F20"/>
          <w:spacing w:val="-1"/>
          <w:sz w:val="24"/>
        </w:rPr>
        <w:t> </w:t>
      </w:r>
      <w:r>
        <w:rPr>
          <w:rFonts w:ascii="Segoe UI Semibold" w:hAnsi="Segoe UI Semibold"/>
          <w:b/>
          <w:i/>
          <w:color w:val="231F20"/>
          <w:sz w:val="24"/>
        </w:rPr>
        <w:t>las</w:t>
      </w:r>
      <w:r>
        <w:rPr>
          <w:rFonts w:ascii="Segoe UI Semibold" w:hAnsi="Segoe UI Semibold"/>
          <w:b/>
          <w:i/>
          <w:color w:val="231F20"/>
          <w:spacing w:val="-1"/>
          <w:sz w:val="24"/>
        </w:rPr>
        <w:t> </w:t>
      </w:r>
      <w:r>
        <w:rPr>
          <w:rFonts w:ascii="Segoe UI Semibold" w:hAnsi="Segoe UI Semibold"/>
          <w:b/>
          <w:i/>
          <w:color w:val="231F20"/>
          <w:sz w:val="24"/>
        </w:rPr>
        <w:t>tasas</w:t>
      </w:r>
      <w:r>
        <w:rPr>
          <w:rFonts w:ascii="Segoe UI Semibold" w:hAnsi="Segoe UI Semibold"/>
          <w:b/>
          <w:i/>
          <w:color w:val="231F20"/>
          <w:spacing w:val="-1"/>
          <w:sz w:val="24"/>
        </w:rPr>
        <w:t> </w:t>
      </w:r>
      <w:r>
        <w:rPr>
          <w:rFonts w:ascii="Segoe UI Semibold" w:hAnsi="Segoe UI Semibold"/>
          <w:b/>
          <w:i/>
          <w:color w:val="231F20"/>
          <w:sz w:val="24"/>
        </w:rPr>
        <w:t>de</w:t>
      </w:r>
      <w:r>
        <w:rPr>
          <w:rFonts w:ascii="Segoe UI Semibold" w:hAnsi="Segoe UI Semibold"/>
          <w:b/>
          <w:i/>
          <w:color w:val="231F20"/>
          <w:spacing w:val="-1"/>
          <w:sz w:val="24"/>
        </w:rPr>
        <w:t> </w:t>
      </w:r>
      <w:r>
        <w:rPr>
          <w:rFonts w:ascii="Segoe UI Semibold" w:hAnsi="Segoe UI Semibold"/>
          <w:b/>
          <w:i/>
          <w:color w:val="231F20"/>
          <w:sz w:val="24"/>
        </w:rPr>
        <w:t>cambio,</w:t>
      </w:r>
      <w:r>
        <w:rPr>
          <w:rFonts w:ascii="Segoe UI Semibold" w:hAnsi="Segoe UI Semibold"/>
          <w:b/>
          <w:i/>
          <w:color w:val="231F20"/>
          <w:spacing w:val="-1"/>
          <w:sz w:val="24"/>
        </w:rPr>
        <w:t> </w:t>
      </w:r>
      <w:r>
        <w:rPr>
          <w:rFonts w:ascii="Segoe UI Semibold" w:hAnsi="Segoe UI Semibold"/>
          <w:b/>
          <w:i/>
          <w:color w:val="231F20"/>
          <w:sz w:val="24"/>
        </w:rPr>
        <w:t>afec- taciones por el bloqueo tecnológico y la </w:t>
      </w:r>
      <w:r>
        <w:rPr>
          <w:rFonts w:ascii="Segoe UI Semibold" w:hAnsi="Segoe UI Semibold"/>
          <w:b/>
          <w:i/>
          <w:color w:val="231F20"/>
          <w:spacing w:val="-2"/>
          <w:sz w:val="24"/>
        </w:rPr>
        <w:t>escasez</w:t>
      </w:r>
      <w:r>
        <w:rPr>
          <w:rFonts w:ascii="Segoe UI Semibold" w:hAnsi="Segoe UI Semibold"/>
          <w:b/>
          <w:i/>
          <w:color w:val="231F20"/>
          <w:spacing w:val="-12"/>
          <w:sz w:val="24"/>
        </w:rPr>
        <w:t> </w:t>
      </w:r>
      <w:r>
        <w:rPr>
          <w:rFonts w:ascii="Segoe UI Semibold" w:hAnsi="Segoe UI Semibold"/>
          <w:b/>
          <w:i/>
          <w:color w:val="231F20"/>
          <w:spacing w:val="-2"/>
          <w:sz w:val="24"/>
        </w:rPr>
        <w:t>de</w:t>
      </w:r>
      <w:r>
        <w:rPr>
          <w:rFonts w:ascii="Segoe UI Semibold" w:hAnsi="Segoe UI Semibold"/>
          <w:b/>
          <w:i/>
          <w:color w:val="231F20"/>
          <w:spacing w:val="-12"/>
          <w:sz w:val="24"/>
        </w:rPr>
        <w:t> </w:t>
      </w:r>
      <w:r>
        <w:rPr>
          <w:rFonts w:ascii="Segoe UI Semibold" w:hAnsi="Segoe UI Semibold"/>
          <w:b/>
          <w:i/>
          <w:color w:val="231F20"/>
          <w:spacing w:val="-2"/>
          <w:sz w:val="24"/>
        </w:rPr>
        <w:t>combustible</w:t>
      </w:r>
      <w:r>
        <w:rPr>
          <w:rFonts w:ascii="Segoe UI Semibold" w:hAnsi="Segoe UI Semibold"/>
          <w:b/>
          <w:i/>
          <w:color w:val="231F20"/>
          <w:spacing w:val="-12"/>
          <w:sz w:val="24"/>
        </w:rPr>
        <w:t> </w:t>
      </w:r>
      <w:r>
        <w:rPr>
          <w:rFonts w:ascii="Segoe UI Semibold" w:hAnsi="Segoe UI Semibold"/>
          <w:b/>
          <w:i/>
          <w:color w:val="231F20"/>
          <w:spacing w:val="-2"/>
          <w:sz w:val="24"/>
        </w:rPr>
        <w:t>que</w:t>
      </w:r>
      <w:r>
        <w:rPr>
          <w:rFonts w:ascii="Segoe UI Semibold" w:hAnsi="Segoe UI Semibold"/>
          <w:b/>
          <w:i/>
          <w:color w:val="231F20"/>
          <w:spacing w:val="-12"/>
          <w:sz w:val="24"/>
        </w:rPr>
        <w:t> </w:t>
      </w:r>
      <w:r>
        <w:rPr>
          <w:rFonts w:ascii="Segoe UI Semibold" w:hAnsi="Segoe UI Semibold"/>
          <w:b/>
          <w:i/>
          <w:color w:val="231F20"/>
          <w:spacing w:val="-2"/>
          <w:sz w:val="24"/>
        </w:rPr>
        <w:t>ha</w:t>
      </w:r>
      <w:r>
        <w:rPr>
          <w:rFonts w:ascii="Segoe UI Semibold" w:hAnsi="Segoe UI Semibold"/>
          <w:b/>
          <w:i/>
          <w:color w:val="231F20"/>
          <w:spacing w:val="-12"/>
          <w:sz w:val="24"/>
        </w:rPr>
        <w:t> </w:t>
      </w:r>
      <w:r>
        <w:rPr>
          <w:rFonts w:ascii="Segoe UI Semibold" w:hAnsi="Segoe UI Semibold"/>
          <w:b/>
          <w:i/>
          <w:color w:val="231F20"/>
          <w:spacing w:val="-2"/>
          <w:sz w:val="24"/>
        </w:rPr>
        <w:t>impactado </w:t>
      </w:r>
      <w:r>
        <w:rPr>
          <w:rFonts w:ascii="Segoe UI Semibold" w:hAnsi="Segoe UI Semibold"/>
          <w:b/>
          <w:i/>
          <w:color w:val="231F20"/>
          <w:sz w:val="24"/>
        </w:rPr>
        <w:t>de manera transversal a todo el sistema industrial y empresarial. Algunas de las afectaciones más significativas en este sector se relacionan a continuación:</w:t>
      </w:r>
    </w:p>
    <w:p>
      <w:pPr>
        <w:spacing w:after="0"/>
        <w:jc w:val="both"/>
        <w:rPr>
          <w:rFonts w:ascii="Segoe UI Semibold" w:hAnsi="Segoe UI Semibold"/>
          <w:sz w:val="24"/>
        </w:rPr>
        <w:sectPr>
          <w:pgSz w:w="11910" w:h="16840"/>
          <w:pgMar w:header="0" w:footer="695" w:top="1260" w:bottom="880" w:left="0" w:right="0"/>
          <w:cols w:num="2" w:equalWidth="0">
            <w:col w:w="5558" w:space="40"/>
            <w:col w:w="6312"/>
          </w:cols>
        </w:sectPr>
      </w:pPr>
    </w:p>
    <w:p>
      <w:pPr>
        <w:spacing w:line="228" w:lineRule="exact" w:before="236"/>
        <w:ind w:left="1133" w:right="0" w:firstLine="0"/>
        <w:jc w:val="left"/>
        <w:rPr>
          <w:i/>
          <w:sz w:val="18"/>
        </w:rPr>
      </w:pPr>
      <w:r>
        <w:rPr>
          <w:i/>
          <w:color w:val="231F20"/>
          <w:position w:val="6"/>
          <w:sz w:val="10"/>
        </w:rPr>
        <w:t>1</w:t>
      </w:r>
      <w:r>
        <w:rPr>
          <w:i/>
          <w:color w:val="231F20"/>
          <w:sz w:val="18"/>
        </w:rPr>
        <w:t>EMS</w:t>
      </w:r>
      <w:r>
        <w:rPr>
          <w:i/>
          <w:color w:val="231F20"/>
          <w:spacing w:val="23"/>
          <w:sz w:val="18"/>
        </w:rPr>
        <w:t> </w:t>
      </w:r>
      <w:r>
        <w:rPr>
          <w:i/>
          <w:color w:val="231F20"/>
          <w:sz w:val="18"/>
        </w:rPr>
        <w:t>es</w:t>
      </w:r>
      <w:r>
        <w:rPr>
          <w:i/>
          <w:color w:val="231F20"/>
          <w:spacing w:val="24"/>
          <w:sz w:val="18"/>
        </w:rPr>
        <w:t> </w:t>
      </w:r>
      <w:r>
        <w:rPr>
          <w:i/>
          <w:color w:val="231F20"/>
          <w:sz w:val="18"/>
        </w:rPr>
        <w:t>un</w:t>
      </w:r>
      <w:r>
        <w:rPr>
          <w:i/>
          <w:color w:val="231F20"/>
          <w:spacing w:val="24"/>
          <w:sz w:val="18"/>
        </w:rPr>
        <w:t> </w:t>
      </w:r>
      <w:r>
        <w:rPr>
          <w:i/>
          <w:color w:val="231F20"/>
          <w:sz w:val="18"/>
        </w:rPr>
        <w:t>servicio</w:t>
      </w:r>
      <w:r>
        <w:rPr>
          <w:i/>
          <w:color w:val="231F20"/>
          <w:spacing w:val="23"/>
          <w:sz w:val="18"/>
        </w:rPr>
        <w:t> </w:t>
      </w:r>
      <w:r>
        <w:rPr>
          <w:i/>
          <w:color w:val="231F20"/>
          <w:sz w:val="18"/>
        </w:rPr>
        <w:t>postal</w:t>
      </w:r>
      <w:r>
        <w:rPr>
          <w:i/>
          <w:color w:val="231F20"/>
          <w:spacing w:val="24"/>
          <w:sz w:val="18"/>
        </w:rPr>
        <w:t> </w:t>
      </w:r>
      <w:r>
        <w:rPr>
          <w:i/>
          <w:color w:val="231F20"/>
          <w:sz w:val="18"/>
        </w:rPr>
        <w:t>internacional</w:t>
      </w:r>
      <w:r>
        <w:rPr>
          <w:i/>
          <w:color w:val="231F20"/>
          <w:spacing w:val="24"/>
          <w:sz w:val="18"/>
        </w:rPr>
        <w:t> </w:t>
      </w:r>
      <w:r>
        <w:rPr>
          <w:i/>
          <w:color w:val="231F20"/>
          <w:sz w:val="18"/>
        </w:rPr>
        <w:t>de</w:t>
      </w:r>
      <w:r>
        <w:rPr>
          <w:i/>
          <w:color w:val="231F20"/>
          <w:spacing w:val="23"/>
          <w:sz w:val="18"/>
        </w:rPr>
        <w:t> </w:t>
      </w:r>
      <w:r>
        <w:rPr>
          <w:i/>
          <w:color w:val="231F20"/>
          <w:sz w:val="18"/>
        </w:rPr>
        <w:t>correo</w:t>
      </w:r>
      <w:r>
        <w:rPr>
          <w:i/>
          <w:color w:val="231F20"/>
          <w:spacing w:val="24"/>
          <w:sz w:val="18"/>
        </w:rPr>
        <w:t> </w:t>
      </w:r>
      <w:r>
        <w:rPr>
          <w:i/>
          <w:color w:val="231F20"/>
          <w:sz w:val="18"/>
        </w:rPr>
        <w:t>urgente,</w:t>
      </w:r>
      <w:r>
        <w:rPr>
          <w:i/>
          <w:color w:val="231F20"/>
          <w:spacing w:val="24"/>
          <w:sz w:val="18"/>
        </w:rPr>
        <w:t> </w:t>
      </w:r>
      <w:r>
        <w:rPr>
          <w:i/>
          <w:color w:val="231F20"/>
          <w:sz w:val="18"/>
        </w:rPr>
        <w:t>para</w:t>
      </w:r>
      <w:r>
        <w:rPr>
          <w:i/>
          <w:color w:val="231F20"/>
          <w:spacing w:val="23"/>
          <w:sz w:val="18"/>
        </w:rPr>
        <w:t> </w:t>
      </w:r>
      <w:r>
        <w:rPr>
          <w:i/>
          <w:color w:val="231F20"/>
          <w:sz w:val="18"/>
        </w:rPr>
        <w:t>documentos</w:t>
      </w:r>
      <w:r>
        <w:rPr>
          <w:i/>
          <w:color w:val="231F20"/>
          <w:spacing w:val="24"/>
          <w:sz w:val="18"/>
        </w:rPr>
        <w:t> </w:t>
      </w:r>
      <w:r>
        <w:rPr>
          <w:i/>
          <w:color w:val="231F20"/>
          <w:sz w:val="18"/>
        </w:rPr>
        <w:t>y</w:t>
      </w:r>
      <w:r>
        <w:rPr>
          <w:i/>
          <w:color w:val="231F20"/>
          <w:spacing w:val="24"/>
          <w:sz w:val="18"/>
        </w:rPr>
        <w:t> </w:t>
      </w:r>
      <w:r>
        <w:rPr>
          <w:i/>
          <w:color w:val="231F20"/>
          <w:sz w:val="18"/>
        </w:rPr>
        <w:t>mercancías,</w:t>
      </w:r>
      <w:r>
        <w:rPr>
          <w:i/>
          <w:color w:val="231F20"/>
          <w:spacing w:val="23"/>
          <w:sz w:val="18"/>
        </w:rPr>
        <w:t> </w:t>
      </w:r>
      <w:r>
        <w:rPr>
          <w:i/>
          <w:color w:val="231F20"/>
          <w:sz w:val="18"/>
        </w:rPr>
        <w:t>ofrecido</w:t>
      </w:r>
      <w:r>
        <w:rPr>
          <w:i/>
          <w:color w:val="231F20"/>
          <w:spacing w:val="24"/>
          <w:sz w:val="18"/>
        </w:rPr>
        <w:t> </w:t>
      </w:r>
      <w:r>
        <w:rPr>
          <w:i/>
          <w:color w:val="231F20"/>
          <w:sz w:val="18"/>
        </w:rPr>
        <w:t>por</w:t>
      </w:r>
      <w:r>
        <w:rPr>
          <w:i/>
          <w:color w:val="231F20"/>
          <w:spacing w:val="24"/>
          <w:sz w:val="18"/>
        </w:rPr>
        <w:t> </w:t>
      </w:r>
      <w:r>
        <w:rPr>
          <w:i/>
          <w:color w:val="231F20"/>
          <w:spacing w:val="-2"/>
          <w:sz w:val="18"/>
        </w:rPr>
        <w:t>operadores</w:t>
      </w:r>
    </w:p>
    <w:p>
      <w:pPr>
        <w:spacing w:line="228" w:lineRule="exact" w:before="0"/>
        <w:ind w:left="1133" w:right="0" w:firstLine="0"/>
        <w:jc w:val="left"/>
        <w:rPr>
          <w:i/>
          <w:sz w:val="18"/>
        </w:rPr>
      </w:pPr>
      <w:r>
        <w:rPr>
          <w:i/>
          <w:color w:val="231F20"/>
          <w:sz w:val="18"/>
        </w:rPr>
        <w:t>postales</w:t>
      </w:r>
      <w:r>
        <w:rPr>
          <w:i/>
          <w:color w:val="231F20"/>
          <w:spacing w:val="-2"/>
          <w:sz w:val="18"/>
        </w:rPr>
        <w:t> </w:t>
      </w:r>
      <w:r>
        <w:rPr>
          <w:i/>
          <w:color w:val="231F20"/>
          <w:sz w:val="18"/>
        </w:rPr>
        <w:t>de</w:t>
      </w:r>
      <w:r>
        <w:rPr>
          <w:i/>
          <w:color w:val="231F20"/>
          <w:spacing w:val="-2"/>
          <w:sz w:val="18"/>
        </w:rPr>
        <w:t> </w:t>
      </w:r>
      <w:r>
        <w:rPr>
          <w:i/>
          <w:color w:val="231F20"/>
          <w:sz w:val="18"/>
        </w:rPr>
        <w:t>la</w:t>
      </w:r>
      <w:r>
        <w:rPr>
          <w:i/>
          <w:color w:val="231F20"/>
          <w:spacing w:val="-2"/>
          <w:sz w:val="18"/>
        </w:rPr>
        <w:t> </w:t>
      </w:r>
      <w:r>
        <w:rPr>
          <w:i/>
          <w:color w:val="231F20"/>
          <w:sz w:val="18"/>
        </w:rPr>
        <w:t>Unión</w:t>
      </w:r>
      <w:r>
        <w:rPr>
          <w:i/>
          <w:color w:val="231F20"/>
          <w:spacing w:val="-1"/>
          <w:sz w:val="18"/>
        </w:rPr>
        <w:t> </w:t>
      </w:r>
      <w:r>
        <w:rPr>
          <w:i/>
          <w:color w:val="231F20"/>
          <w:sz w:val="18"/>
        </w:rPr>
        <w:t>Postal</w:t>
      </w:r>
      <w:r>
        <w:rPr>
          <w:i/>
          <w:color w:val="231F20"/>
          <w:spacing w:val="-2"/>
          <w:sz w:val="18"/>
        </w:rPr>
        <w:t> </w:t>
      </w:r>
      <w:r>
        <w:rPr>
          <w:i/>
          <w:color w:val="231F20"/>
          <w:sz w:val="18"/>
        </w:rPr>
        <w:t>Universal</w:t>
      </w:r>
      <w:r>
        <w:rPr>
          <w:i/>
          <w:color w:val="231F20"/>
          <w:spacing w:val="-2"/>
          <w:sz w:val="18"/>
        </w:rPr>
        <w:t> </w:t>
      </w:r>
      <w:r>
        <w:rPr>
          <w:i/>
          <w:color w:val="231F20"/>
          <w:sz w:val="18"/>
        </w:rPr>
        <w:t>(UPU)</w:t>
      </w:r>
      <w:r>
        <w:rPr>
          <w:i/>
          <w:color w:val="231F20"/>
          <w:spacing w:val="-3"/>
          <w:sz w:val="18"/>
        </w:rPr>
        <w:t> </w:t>
      </w:r>
      <w:r>
        <w:rPr>
          <w:i/>
          <w:color w:val="231F20"/>
          <w:sz w:val="18"/>
        </w:rPr>
        <w:t>que</w:t>
      </w:r>
      <w:r>
        <w:rPr>
          <w:i/>
          <w:color w:val="231F20"/>
          <w:spacing w:val="-1"/>
          <w:sz w:val="18"/>
        </w:rPr>
        <w:t> </w:t>
      </w:r>
      <w:r>
        <w:rPr>
          <w:i/>
          <w:color w:val="231F20"/>
          <w:sz w:val="18"/>
        </w:rPr>
        <w:t>conecta</w:t>
      </w:r>
      <w:r>
        <w:rPr>
          <w:i/>
          <w:color w:val="231F20"/>
          <w:spacing w:val="-2"/>
          <w:sz w:val="18"/>
        </w:rPr>
        <w:t> </w:t>
      </w:r>
      <w:r>
        <w:rPr>
          <w:i/>
          <w:color w:val="231F20"/>
          <w:sz w:val="18"/>
        </w:rPr>
        <w:t>a</w:t>
      </w:r>
      <w:r>
        <w:rPr>
          <w:i/>
          <w:color w:val="231F20"/>
          <w:spacing w:val="-2"/>
          <w:sz w:val="18"/>
        </w:rPr>
        <w:t> </w:t>
      </w:r>
      <w:r>
        <w:rPr>
          <w:i/>
          <w:color w:val="231F20"/>
          <w:sz w:val="18"/>
        </w:rPr>
        <w:t>más</w:t>
      </w:r>
      <w:r>
        <w:rPr>
          <w:i/>
          <w:color w:val="231F20"/>
          <w:spacing w:val="-2"/>
          <w:sz w:val="18"/>
        </w:rPr>
        <w:t> </w:t>
      </w:r>
      <w:r>
        <w:rPr>
          <w:i/>
          <w:color w:val="231F20"/>
          <w:sz w:val="18"/>
        </w:rPr>
        <w:t>de</w:t>
      </w:r>
      <w:r>
        <w:rPr>
          <w:i/>
          <w:color w:val="231F20"/>
          <w:spacing w:val="-1"/>
          <w:sz w:val="18"/>
        </w:rPr>
        <w:t> </w:t>
      </w:r>
      <w:r>
        <w:rPr>
          <w:i/>
          <w:color w:val="231F20"/>
          <w:sz w:val="18"/>
        </w:rPr>
        <w:t>180</w:t>
      </w:r>
      <w:r>
        <w:rPr>
          <w:i/>
          <w:color w:val="231F20"/>
          <w:spacing w:val="-2"/>
          <w:sz w:val="18"/>
        </w:rPr>
        <w:t> </w:t>
      </w:r>
      <w:r>
        <w:rPr>
          <w:i/>
          <w:color w:val="231F20"/>
          <w:sz w:val="18"/>
        </w:rPr>
        <w:t>países</w:t>
      </w:r>
      <w:r>
        <w:rPr>
          <w:i/>
          <w:color w:val="231F20"/>
          <w:spacing w:val="-2"/>
          <w:sz w:val="18"/>
        </w:rPr>
        <w:t> </w:t>
      </w:r>
      <w:r>
        <w:rPr>
          <w:i/>
          <w:color w:val="231F20"/>
          <w:sz w:val="18"/>
        </w:rPr>
        <w:t>y</w:t>
      </w:r>
      <w:r>
        <w:rPr>
          <w:i/>
          <w:color w:val="231F20"/>
          <w:spacing w:val="-2"/>
          <w:sz w:val="18"/>
        </w:rPr>
        <w:t> </w:t>
      </w:r>
      <w:r>
        <w:rPr>
          <w:i/>
          <w:color w:val="231F20"/>
          <w:sz w:val="18"/>
        </w:rPr>
        <w:t>territorios</w:t>
      </w:r>
      <w:r>
        <w:rPr>
          <w:i/>
          <w:color w:val="231F20"/>
          <w:spacing w:val="-1"/>
          <w:sz w:val="18"/>
        </w:rPr>
        <w:t> </w:t>
      </w:r>
      <w:r>
        <w:rPr>
          <w:i/>
          <w:color w:val="231F20"/>
          <w:sz w:val="18"/>
        </w:rPr>
        <w:t>en</w:t>
      </w:r>
      <w:r>
        <w:rPr>
          <w:i/>
          <w:color w:val="231F20"/>
          <w:spacing w:val="-2"/>
          <w:sz w:val="18"/>
        </w:rPr>
        <w:t> </w:t>
      </w:r>
      <w:r>
        <w:rPr>
          <w:i/>
          <w:color w:val="231F20"/>
          <w:sz w:val="18"/>
        </w:rPr>
        <w:t>todo</w:t>
      </w:r>
      <w:r>
        <w:rPr>
          <w:i/>
          <w:color w:val="231F20"/>
          <w:spacing w:val="-3"/>
          <w:sz w:val="18"/>
        </w:rPr>
        <w:t> </w:t>
      </w:r>
      <w:r>
        <w:rPr>
          <w:i/>
          <w:color w:val="231F20"/>
          <w:sz w:val="18"/>
        </w:rPr>
        <w:t>el</w:t>
      </w:r>
      <w:r>
        <w:rPr>
          <w:i/>
          <w:color w:val="231F20"/>
          <w:spacing w:val="-1"/>
          <w:sz w:val="18"/>
        </w:rPr>
        <w:t> </w:t>
      </w:r>
      <w:r>
        <w:rPr>
          <w:i/>
          <w:color w:val="231F20"/>
          <w:spacing w:val="-2"/>
          <w:sz w:val="18"/>
        </w:rPr>
        <w:t>mundo.</w:t>
      </w:r>
    </w:p>
    <w:p>
      <w:pPr>
        <w:spacing w:after="0" w:line="228" w:lineRule="exact"/>
        <w:jc w:val="left"/>
        <w:rPr>
          <w:sz w:val="18"/>
        </w:rPr>
        <w:sectPr>
          <w:type w:val="continuous"/>
          <w:pgSz w:w="11910" w:h="16840"/>
          <w:pgMar w:header="0" w:footer="695" w:top="1920" w:bottom="280" w:left="0" w:right="0"/>
        </w:sectPr>
      </w:pPr>
    </w:p>
    <w:p>
      <w:pPr>
        <w:pStyle w:val="BodyText"/>
        <w:spacing w:before="77"/>
        <w:ind w:left="1734" w:right="2"/>
      </w:pPr>
      <w:r>
        <w:rPr/>
        <mc:AlternateContent>
          <mc:Choice Requires="wps">
            <w:drawing>
              <wp:anchor distT="0" distB="0" distL="0" distR="0" allowOverlap="1" layoutInCell="1" locked="0" behindDoc="0" simplePos="0" relativeHeight="15749632">
                <wp:simplePos x="0" y="0"/>
                <wp:positionH relativeFrom="page">
                  <wp:posOffset>935997</wp:posOffset>
                </wp:positionH>
                <wp:positionV relativeFrom="paragraph">
                  <wp:posOffset>132198</wp:posOffset>
                </wp:positionV>
                <wp:extent cx="59690" cy="59690"/>
                <wp:effectExtent l="0" t="0" r="0" b="0"/>
                <wp:wrapNone/>
                <wp:docPr id="64" name="Graphic 64"/>
                <wp:cNvGraphicFramePr>
                  <a:graphicFrameLocks/>
                </wp:cNvGraphicFramePr>
                <a:graphic>
                  <a:graphicData uri="http://schemas.microsoft.com/office/word/2010/wordprocessingShape">
                    <wps:wsp>
                      <wps:cNvPr id="64" name="Graphic 6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0.4093pt;width:4.7pt;height:4.7pt;mso-position-horizontal-relative:page;mso-position-vertical-relative:paragraph;z-index:15749632" id="docshape48" coordorigin="1474,208" coordsize="94,94" path="m1521,208l1502,212,1488,222,1478,237,1474,255,1478,273,1488,288,1502,298,1521,301,1539,298,1554,288,1564,273,1567,255,1564,237,1554,222,1539,212,1521,208xe" filled="true" fillcolor="#1a4796" stroked="false">
                <v:path arrowok="t"/>
                <v:fill type="solid"/>
                <w10:wrap type="none"/>
              </v:shape>
            </w:pict>
          </mc:Fallback>
        </mc:AlternateContent>
      </w:r>
      <w:r>
        <w:rPr>
          <w:color w:val="231F20"/>
          <w:spacing w:val="-6"/>
        </w:rPr>
        <w:t>La</w:t>
      </w:r>
      <w:r>
        <w:rPr>
          <w:color w:val="231F20"/>
          <w:spacing w:val="-11"/>
        </w:rPr>
        <w:t> </w:t>
      </w:r>
      <w:r>
        <w:rPr>
          <w:color w:val="231F20"/>
          <w:spacing w:val="-6"/>
        </w:rPr>
        <w:t>empresa</w:t>
      </w:r>
      <w:r>
        <w:rPr>
          <w:color w:val="231F20"/>
          <w:spacing w:val="-10"/>
        </w:rPr>
        <w:t> </w:t>
      </w:r>
      <w:r>
        <w:rPr>
          <w:color w:val="231F20"/>
          <w:spacing w:val="-6"/>
        </w:rPr>
        <w:t>textil</w:t>
      </w:r>
      <w:r>
        <w:rPr>
          <w:color w:val="231F20"/>
          <w:spacing w:val="-11"/>
        </w:rPr>
        <w:t> </w:t>
      </w:r>
      <w:r>
        <w:rPr>
          <w:color w:val="231F20"/>
          <w:spacing w:val="-6"/>
        </w:rPr>
        <w:t>cubana</w:t>
      </w:r>
      <w:r>
        <w:rPr>
          <w:color w:val="231F20"/>
          <w:spacing w:val="-10"/>
        </w:rPr>
        <w:t> </w:t>
      </w:r>
      <w:r>
        <w:rPr>
          <w:color w:val="231F20"/>
          <w:spacing w:val="-6"/>
        </w:rPr>
        <w:t>Inejiro</w:t>
      </w:r>
      <w:r>
        <w:rPr>
          <w:color w:val="231F20"/>
          <w:spacing w:val="-11"/>
        </w:rPr>
        <w:t> </w:t>
      </w:r>
      <w:r>
        <w:rPr>
          <w:color w:val="231F20"/>
          <w:spacing w:val="-6"/>
        </w:rPr>
        <w:t>Asanuma </w:t>
      </w:r>
      <w:r>
        <w:rPr>
          <w:color w:val="231F20"/>
          <w:spacing w:val="-8"/>
        </w:rPr>
        <w:t>se</w:t>
      </w:r>
      <w:r>
        <w:rPr>
          <w:color w:val="231F20"/>
          <w:spacing w:val="-9"/>
        </w:rPr>
        <w:t> </w:t>
      </w:r>
      <w:r>
        <w:rPr>
          <w:color w:val="231F20"/>
          <w:spacing w:val="-8"/>
        </w:rPr>
        <w:t>ha visto</w:t>
      </w:r>
      <w:r>
        <w:rPr>
          <w:color w:val="231F20"/>
          <w:spacing w:val="-9"/>
        </w:rPr>
        <w:t> </w:t>
      </w:r>
      <w:r>
        <w:rPr>
          <w:color w:val="231F20"/>
          <w:spacing w:val="-8"/>
        </w:rPr>
        <w:t>limitada para</w:t>
      </w:r>
      <w:r>
        <w:rPr>
          <w:color w:val="231F20"/>
          <w:spacing w:val="-9"/>
        </w:rPr>
        <w:t> </w:t>
      </w:r>
      <w:r>
        <w:rPr>
          <w:color w:val="231F20"/>
          <w:spacing w:val="-8"/>
        </w:rPr>
        <w:t>adquirir piezas</w:t>
      </w:r>
      <w:r>
        <w:rPr>
          <w:color w:val="231F20"/>
          <w:spacing w:val="-9"/>
        </w:rPr>
        <w:t> </w:t>
      </w:r>
      <w:r>
        <w:rPr>
          <w:color w:val="231F20"/>
          <w:spacing w:val="-8"/>
        </w:rPr>
        <w:t>de </w:t>
      </w:r>
      <w:r>
        <w:rPr>
          <w:color w:val="231F20"/>
        </w:rPr>
        <w:t>repuesto</w:t>
      </w:r>
      <w:r>
        <w:rPr>
          <w:color w:val="231F20"/>
          <w:spacing w:val="-12"/>
        </w:rPr>
        <w:t> </w:t>
      </w:r>
      <w:r>
        <w:rPr>
          <w:color w:val="231F20"/>
        </w:rPr>
        <w:t>ante</w:t>
      </w:r>
      <w:r>
        <w:rPr>
          <w:color w:val="231F20"/>
          <w:spacing w:val="-12"/>
        </w:rPr>
        <w:t> </w:t>
      </w:r>
      <w:r>
        <w:rPr>
          <w:color w:val="231F20"/>
        </w:rPr>
        <w:t>la</w:t>
      </w:r>
      <w:r>
        <w:rPr>
          <w:color w:val="231F20"/>
          <w:spacing w:val="-12"/>
        </w:rPr>
        <w:t> </w:t>
      </w:r>
      <w:r>
        <w:rPr>
          <w:color w:val="231F20"/>
        </w:rPr>
        <w:t>negativa</w:t>
      </w:r>
      <w:r>
        <w:rPr>
          <w:color w:val="231F20"/>
          <w:spacing w:val="-12"/>
        </w:rPr>
        <w:t> </w:t>
      </w:r>
      <w:r>
        <w:rPr>
          <w:color w:val="231F20"/>
        </w:rPr>
        <w:t>de</w:t>
      </w:r>
      <w:r>
        <w:rPr>
          <w:color w:val="231F20"/>
          <w:spacing w:val="-12"/>
        </w:rPr>
        <w:t> </w:t>
      </w:r>
      <w:r>
        <w:rPr>
          <w:color w:val="231F20"/>
        </w:rPr>
        <w:t>suministro de</w:t>
      </w:r>
      <w:r>
        <w:rPr>
          <w:color w:val="231F20"/>
          <w:spacing w:val="-8"/>
        </w:rPr>
        <w:t> </w:t>
      </w:r>
      <w:r>
        <w:rPr>
          <w:color w:val="231F20"/>
        </w:rPr>
        <w:t>la</w:t>
      </w:r>
      <w:r>
        <w:rPr>
          <w:color w:val="231F20"/>
          <w:spacing w:val="-8"/>
        </w:rPr>
        <w:t> </w:t>
      </w:r>
      <w:r>
        <w:rPr>
          <w:color w:val="231F20"/>
        </w:rPr>
        <w:t>empresa</w:t>
      </w:r>
      <w:r>
        <w:rPr>
          <w:color w:val="231F20"/>
          <w:spacing w:val="-8"/>
        </w:rPr>
        <w:t> </w:t>
      </w:r>
      <w:r>
        <w:rPr>
          <w:color w:val="231F20"/>
        </w:rPr>
        <w:t>suiza</w:t>
      </w:r>
      <w:r>
        <w:rPr>
          <w:color w:val="231F20"/>
          <w:spacing w:val="-8"/>
        </w:rPr>
        <w:t> </w:t>
      </w:r>
      <w:r>
        <w:rPr>
          <w:color w:val="231F20"/>
        </w:rPr>
        <w:t>RIETER,</w:t>
      </w:r>
      <w:r>
        <w:rPr>
          <w:color w:val="231F20"/>
          <w:spacing w:val="-8"/>
        </w:rPr>
        <w:t> </w:t>
      </w:r>
      <w:r>
        <w:rPr>
          <w:color w:val="231F20"/>
        </w:rPr>
        <w:t>productora de la tecnología instalada, al alegar los efectos del bloqueo.</w:t>
      </w:r>
    </w:p>
    <w:p>
      <w:pPr>
        <w:pStyle w:val="BodyText"/>
        <w:spacing w:before="164"/>
        <w:ind w:left="1734"/>
      </w:pPr>
      <w:r>
        <w:rPr/>
        <mc:AlternateContent>
          <mc:Choice Requires="wps">
            <w:drawing>
              <wp:anchor distT="0" distB="0" distL="0" distR="0" allowOverlap="1" layoutInCell="1" locked="0" behindDoc="0" simplePos="0" relativeHeight="15750656">
                <wp:simplePos x="0" y="0"/>
                <wp:positionH relativeFrom="page">
                  <wp:posOffset>935997</wp:posOffset>
                </wp:positionH>
                <wp:positionV relativeFrom="paragraph">
                  <wp:posOffset>188998</wp:posOffset>
                </wp:positionV>
                <wp:extent cx="59690" cy="59690"/>
                <wp:effectExtent l="0" t="0" r="0" b="0"/>
                <wp:wrapNone/>
                <wp:docPr id="65" name="Graphic 65"/>
                <wp:cNvGraphicFramePr>
                  <a:graphicFrameLocks/>
                </wp:cNvGraphicFramePr>
                <a:graphic>
                  <a:graphicData uri="http://schemas.microsoft.com/office/word/2010/wordprocessingShape">
                    <wps:wsp>
                      <wps:cNvPr id="65" name="Graphic 6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881775pt;width:4.7pt;height:4.7pt;mso-position-horizontal-relative:page;mso-position-vertical-relative:paragraph;z-index:15750656" id="docshape49" coordorigin="1474,298" coordsize="94,94" path="m1521,298l1502,301,1488,311,1478,326,1474,344,1478,362,1488,377,1502,387,1521,391,1539,387,1554,377,1564,362,1567,344,1564,326,1554,311,1539,301,1521,298xe" filled="true" fillcolor="#1a4796" stroked="false">
                <v:path arrowok="t"/>
                <v:fill type="solid"/>
                <w10:wrap type="none"/>
              </v:shape>
            </w:pict>
          </mc:Fallback>
        </mc:AlternateContent>
      </w:r>
      <w:r>
        <w:rPr>
          <w:color w:val="231F20"/>
        </w:rPr>
        <w:t>La</w:t>
      </w:r>
      <w:r>
        <w:rPr>
          <w:color w:val="231F20"/>
          <w:spacing w:val="27"/>
        </w:rPr>
        <w:t>  </w:t>
      </w:r>
      <w:r>
        <w:rPr>
          <w:color w:val="231F20"/>
        </w:rPr>
        <w:t>empresa</w:t>
      </w:r>
      <w:r>
        <w:rPr>
          <w:color w:val="231F20"/>
          <w:spacing w:val="27"/>
        </w:rPr>
        <w:t>  </w:t>
      </w:r>
      <w:r>
        <w:rPr>
          <w:color w:val="231F20"/>
        </w:rPr>
        <w:t>Mixta</w:t>
      </w:r>
      <w:r>
        <w:rPr>
          <w:color w:val="231F20"/>
          <w:spacing w:val="27"/>
        </w:rPr>
        <w:t>  </w:t>
      </w:r>
      <w:r>
        <w:rPr>
          <w:color w:val="231F20"/>
        </w:rPr>
        <w:t>Suchel</w:t>
      </w:r>
      <w:r>
        <w:rPr>
          <w:color w:val="231F20"/>
          <w:spacing w:val="27"/>
        </w:rPr>
        <w:t>  </w:t>
      </w:r>
      <w:r>
        <w:rPr>
          <w:color w:val="231F20"/>
          <w:spacing w:val="-2"/>
        </w:rPr>
        <w:t>Camacho</w:t>
      </w:r>
    </w:p>
    <w:p>
      <w:pPr>
        <w:pStyle w:val="BodyText"/>
        <w:spacing w:before="1"/>
        <w:ind w:left="1734"/>
      </w:pPr>
      <w:r>
        <w:rPr>
          <w:color w:val="231F20"/>
        </w:rPr>
        <w:t>S.A. ha visto afectados los plazos de entregas pactados en los contratos, con</w:t>
      </w:r>
      <w:r>
        <w:rPr>
          <w:color w:val="231F20"/>
          <w:spacing w:val="40"/>
        </w:rPr>
        <w:t> </w:t>
      </w:r>
      <w:r>
        <w:rPr>
          <w:color w:val="231F20"/>
        </w:rPr>
        <w:t>una</w:t>
      </w:r>
      <w:r>
        <w:rPr>
          <w:color w:val="231F20"/>
          <w:spacing w:val="40"/>
        </w:rPr>
        <w:t> </w:t>
      </w:r>
      <w:r>
        <w:rPr>
          <w:color w:val="231F20"/>
        </w:rPr>
        <w:t>incidencia</w:t>
      </w:r>
      <w:r>
        <w:rPr>
          <w:color w:val="231F20"/>
          <w:spacing w:val="40"/>
        </w:rPr>
        <w:t> </w:t>
      </w:r>
      <w:r>
        <w:rPr>
          <w:color w:val="231F20"/>
        </w:rPr>
        <w:t>negativa</w:t>
      </w:r>
      <w:r>
        <w:rPr>
          <w:color w:val="231F20"/>
          <w:spacing w:val="40"/>
        </w:rPr>
        <w:t> </w:t>
      </w:r>
      <w:r>
        <w:rPr>
          <w:color w:val="231F20"/>
        </w:rPr>
        <w:t>directa en los compromisos de los planes de producción.</w:t>
      </w:r>
      <w:r>
        <w:rPr>
          <w:color w:val="231F20"/>
          <w:spacing w:val="40"/>
        </w:rPr>
        <w:t> </w:t>
      </w:r>
      <w:r>
        <w:rPr>
          <w:color w:val="231F20"/>
        </w:rPr>
        <w:t>Por</w:t>
      </w:r>
      <w:r>
        <w:rPr>
          <w:color w:val="231F20"/>
          <w:spacing w:val="40"/>
        </w:rPr>
        <w:t> </w:t>
      </w:r>
      <w:r>
        <w:rPr>
          <w:color w:val="231F20"/>
        </w:rPr>
        <w:t>ejemplo,</w:t>
      </w:r>
      <w:r>
        <w:rPr>
          <w:color w:val="231F20"/>
          <w:spacing w:val="40"/>
        </w:rPr>
        <w:t> </w:t>
      </w:r>
      <w:r>
        <w:rPr>
          <w:color w:val="231F20"/>
        </w:rPr>
        <w:t>la</w:t>
      </w:r>
      <w:r>
        <w:rPr>
          <w:color w:val="231F20"/>
          <w:spacing w:val="40"/>
        </w:rPr>
        <w:t> </w:t>
      </w:r>
      <w:r>
        <w:rPr>
          <w:color w:val="231F20"/>
        </w:rPr>
        <w:t>entrega de jabones a la población se afectó en este período, debido a la carencia de </w:t>
      </w:r>
      <w:r>
        <w:rPr>
          <w:color w:val="231F20"/>
          <w:spacing w:val="-2"/>
        </w:rPr>
        <w:t>materias</w:t>
      </w:r>
      <w:r>
        <w:rPr>
          <w:color w:val="231F20"/>
          <w:spacing w:val="-14"/>
        </w:rPr>
        <w:t> </w:t>
      </w:r>
      <w:r>
        <w:rPr>
          <w:color w:val="231F20"/>
          <w:spacing w:val="-2"/>
        </w:rPr>
        <w:t>primas</w:t>
      </w:r>
      <w:r>
        <w:rPr>
          <w:color w:val="231F20"/>
          <w:spacing w:val="-14"/>
        </w:rPr>
        <w:t> </w:t>
      </w:r>
      <w:r>
        <w:rPr>
          <w:color w:val="231F20"/>
          <w:spacing w:val="-2"/>
        </w:rPr>
        <w:t>por</w:t>
      </w:r>
      <w:r>
        <w:rPr>
          <w:color w:val="231F20"/>
          <w:spacing w:val="-14"/>
        </w:rPr>
        <w:t> </w:t>
      </w:r>
      <w:r>
        <w:rPr>
          <w:color w:val="231F20"/>
          <w:spacing w:val="-2"/>
        </w:rPr>
        <w:t>la</w:t>
      </w:r>
      <w:r>
        <w:rPr>
          <w:color w:val="231F20"/>
          <w:spacing w:val="-14"/>
        </w:rPr>
        <w:t> </w:t>
      </w:r>
      <w:r>
        <w:rPr>
          <w:color w:val="231F20"/>
          <w:spacing w:val="-2"/>
        </w:rPr>
        <w:t>no</w:t>
      </w:r>
      <w:r>
        <w:rPr>
          <w:color w:val="231F20"/>
          <w:spacing w:val="-14"/>
        </w:rPr>
        <w:t> </w:t>
      </w:r>
      <w:r>
        <w:rPr>
          <w:color w:val="231F20"/>
          <w:spacing w:val="-2"/>
        </w:rPr>
        <w:t>disponibilidad </w:t>
      </w:r>
      <w:r>
        <w:rPr>
          <w:color w:val="231F20"/>
        </w:rPr>
        <w:t>de</w:t>
      </w:r>
      <w:r>
        <w:rPr>
          <w:color w:val="231F20"/>
          <w:spacing w:val="40"/>
        </w:rPr>
        <w:t> </w:t>
      </w:r>
      <w:r>
        <w:rPr>
          <w:color w:val="231F20"/>
        </w:rPr>
        <w:t>barcos</w:t>
      </w:r>
      <w:r>
        <w:rPr>
          <w:color w:val="231F20"/>
          <w:spacing w:val="40"/>
        </w:rPr>
        <w:t> </w:t>
      </w:r>
      <w:r>
        <w:rPr>
          <w:color w:val="231F20"/>
        </w:rPr>
        <w:t>que</w:t>
      </w:r>
      <w:r>
        <w:rPr>
          <w:color w:val="231F20"/>
          <w:spacing w:val="40"/>
        </w:rPr>
        <w:t> </w:t>
      </w:r>
      <w:r>
        <w:rPr>
          <w:color w:val="231F20"/>
        </w:rPr>
        <w:t>puedan</w:t>
      </w:r>
      <w:r>
        <w:rPr>
          <w:color w:val="231F20"/>
          <w:spacing w:val="40"/>
        </w:rPr>
        <w:t> </w:t>
      </w:r>
      <w:r>
        <w:rPr>
          <w:color w:val="231F20"/>
        </w:rPr>
        <w:t>entrar</w:t>
      </w:r>
      <w:r>
        <w:rPr>
          <w:color w:val="231F20"/>
          <w:spacing w:val="40"/>
        </w:rPr>
        <w:t> </w:t>
      </w:r>
      <w:r>
        <w:rPr>
          <w:color w:val="231F20"/>
        </w:rPr>
        <w:t>a puerto</w:t>
      </w:r>
      <w:r>
        <w:rPr>
          <w:color w:val="231F20"/>
          <w:spacing w:val="80"/>
        </w:rPr>
        <w:t> </w:t>
      </w:r>
      <w:r>
        <w:rPr>
          <w:color w:val="231F20"/>
        </w:rPr>
        <w:t>cubano</w:t>
      </w:r>
      <w:r>
        <w:rPr>
          <w:color w:val="231F20"/>
          <w:spacing w:val="80"/>
        </w:rPr>
        <w:t> </w:t>
      </w:r>
      <w:r>
        <w:rPr>
          <w:color w:val="231F20"/>
        </w:rPr>
        <w:t>sin</w:t>
      </w:r>
      <w:r>
        <w:rPr>
          <w:color w:val="231F20"/>
          <w:spacing w:val="80"/>
        </w:rPr>
        <w:t> </w:t>
      </w:r>
      <w:r>
        <w:rPr>
          <w:color w:val="231F20"/>
        </w:rPr>
        <w:t>ser</w:t>
      </w:r>
      <w:r>
        <w:rPr>
          <w:color w:val="231F20"/>
          <w:spacing w:val="80"/>
        </w:rPr>
        <w:t> </w:t>
      </w:r>
      <w:r>
        <w:rPr>
          <w:color w:val="231F20"/>
        </w:rPr>
        <w:t>sancionados</w:t>
      </w:r>
      <w:r>
        <w:rPr>
          <w:color w:val="231F20"/>
          <w:spacing w:val="40"/>
        </w:rPr>
        <w:t> </w:t>
      </w:r>
      <w:r>
        <w:rPr>
          <w:color w:val="231F20"/>
        </w:rPr>
        <w:t>y la disminución de las navieras más importantes, a saber: Hamburg Süd, MSC,</w:t>
      </w:r>
      <w:r>
        <w:rPr>
          <w:color w:val="231F20"/>
          <w:spacing w:val="41"/>
        </w:rPr>
        <w:t>  </w:t>
      </w:r>
      <w:r>
        <w:rPr>
          <w:color w:val="231F20"/>
        </w:rPr>
        <w:t>Maersk,</w:t>
      </w:r>
      <w:r>
        <w:rPr>
          <w:color w:val="231F20"/>
          <w:spacing w:val="42"/>
        </w:rPr>
        <w:t>  </w:t>
      </w:r>
      <w:r>
        <w:rPr>
          <w:color w:val="231F20"/>
        </w:rPr>
        <w:t>COSCO,</w:t>
      </w:r>
      <w:r>
        <w:rPr>
          <w:color w:val="231F20"/>
          <w:spacing w:val="41"/>
        </w:rPr>
        <w:t>  </w:t>
      </w:r>
      <w:r>
        <w:rPr>
          <w:color w:val="231F20"/>
        </w:rPr>
        <w:t>CMA</w:t>
      </w:r>
      <w:r>
        <w:rPr>
          <w:color w:val="231F20"/>
          <w:spacing w:val="42"/>
        </w:rPr>
        <w:t>  </w:t>
      </w:r>
      <w:r>
        <w:rPr>
          <w:color w:val="231F20"/>
          <w:spacing w:val="-4"/>
        </w:rPr>
        <w:t>CGM,</w:t>
      </w:r>
    </w:p>
    <w:p>
      <w:pPr>
        <w:pStyle w:val="BodyText"/>
        <w:spacing w:before="10"/>
        <w:ind w:left="1734"/>
      </w:pPr>
      <w:r>
        <w:rPr>
          <w:color w:val="231F20"/>
        </w:rPr>
        <w:t>Hapag Lloyd, NIRINT y </w:t>
      </w:r>
      <w:r>
        <w:rPr>
          <w:color w:val="231F20"/>
          <w:spacing w:val="-2"/>
        </w:rPr>
        <w:t>Melfi.</w:t>
      </w:r>
    </w:p>
    <w:p>
      <w:pPr>
        <w:pStyle w:val="BodyText"/>
        <w:spacing w:before="161"/>
        <w:ind w:left="1734"/>
      </w:pPr>
      <w:r>
        <w:rPr/>
        <mc:AlternateContent>
          <mc:Choice Requires="wps">
            <w:drawing>
              <wp:anchor distT="0" distB="0" distL="0" distR="0" allowOverlap="1" layoutInCell="1" locked="0" behindDoc="0" simplePos="0" relativeHeight="15751168">
                <wp:simplePos x="0" y="0"/>
                <wp:positionH relativeFrom="page">
                  <wp:posOffset>935997</wp:posOffset>
                </wp:positionH>
                <wp:positionV relativeFrom="paragraph">
                  <wp:posOffset>186596</wp:posOffset>
                </wp:positionV>
                <wp:extent cx="59690" cy="59690"/>
                <wp:effectExtent l="0" t="0" r="0" b="0"/>
                <wp:wrapNone/>
                <wp:docPr id="66" name="Graphic 66"/>
                <wp:cNvGraphicFramePr>
                  <a:graphicFrameLocks/>
                </wp:cNvGraphicFramePr>
                <a:graphic>
                  <a:graphicData uri="http://schemas.microsoft.com/office/word/2010/wordprocessingShape">
                    <wps:wsp>
                      <wps:cNvPr id="66" name="Graphic 6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692613pt;width:4.7pt;height:4.7pt;mso-position-horizontal-relative:page;mso-position-vertical-relative:paragraph;z-index:15751168" id="docshape50" coordorigin="1474,294" coordsize="94,94" path="m1521,294l1502,298,1488,308,1478,322,1474,340,1478,359,1488,373,1502,383,1521,387,1539,383,1554,373,1564,359,1567,340,1564,322,1554,308,1539,298,1521,294xe" filled="true" fillcolor="#1a4796" stroked="false">
                <v:path arrowok="t"/>
                <v:fill type="solid"/>
                <w10:wrap type="none"/>
              </v:shape>
            </w:pict>
          </mc:Fallback>
        </mc:AlternateContent>
      </w:r>
      <w:r>
        <w:rPr>
          <w:color w:val="231F20"/>
        </w:rPr>
        <w:t>La empresa de telecomunicaciones COPEXTEL S.A. solo pudo </w:t>
      </w:r>
      <w:r>
        <w:rPr>
          <w:color w:val="231F20"/>
        </w:rPr>
        <w:t>realizar importaciones a partir de 68 proveedores de una cartera de 573, lo que demuestra las difíciles condiciones en que la empresa realiza su actividad.</w:t>
      </w:r>
    </w:p>
    <w:p>
      <w:pPr>
        <w:pStyle w:val="BodyText"/>
        <w:spacing w:before="165"/>
        <w:ind w:left="1734"/>
      </w:pPr>
      <w:r>
        <w:rPr/>
        <mc:AlternateContent>
          <mc:Choice Requires="wps">
            <w:drawing>
              <wp:anchor distT="0" distB="0" distL="0" distR="0" allowOverlap="1" layoutInCell="1" locked="0" behindDoc="0" simplePos="0" relativeHeight="15751680">
                <wp:simplePos x="0" y="0"/>
                <wp:positionH relativeFrom="page">
                  <wp:posOffset>935997</wp:posOffset>
                </wp:positionH>
                <wp:positionV relativeFrom="paragraph">
                  <wp:posOffset>189011</wp:posOffset>
                </wp:positionV>
                <wp:extent cx="59690" cy="59690"/>
                <wp:effectExtent l="0" t="0" r="0" b="0"/>
                <wp:wrapNone/>
                <wp:docPr id="67" name="Graphic 67"/>
                <wp:cNvGraphicFramePr>
                  <a:graphicFrameLocks/>
                </wp:cNvGraphicFramePr>
                <a:graphic>
                  <a:graphicData uri="http://schemas.microsoft.com/office/word/2010/wordprocessingShape">
                    <wps:wsp>
                      <wps:cNvPr id="67" name="Graphic 6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882788pt;width:4.7pt;height:4.7pt;mso-position-horizontal-relative:page;mso-position-vertical-relative:paragraph;z-index:15751680" id="docshape51" coordorigin="1474,298" coordsize="94,94" path="m1521,298l1502,301,1488,311,1478,326,1474,344,1478,362,1488,377,1502,387,1521,391,1539,387,1554,377,1564,362,1567,344,1564,326,1554,311,1539,301,1521,298xe" filled="true" fillcolor="#1a4796" stroked="false">
                <v:path arrowok="t"/>
                <v:fill type="solid"/>
                <w10:wrap type="none"/>
              </v:shape>
            </w:pict>
          </mc:Fallback>
        </mc:AlternateContent>
      </w:r>
      <w:r>
        <w:rPr>
          <w:color w:val="231F20"/>
        </w:rPr>
        <w:t>En</w:t>
      </w:r>
      <w:r>
        <w:rPr>
          <w:color w:val="231F20"/>
          <w:spacing w:val="40"/>
        </w:rPr>
        <w:t> </w:t>
      </w:r>
      <w:r>
        <w:rPr>
          <w:color w:val="231F20"/>
        </w:rPr>
        <w:t>el</w:t>
      </w:r>
      <w:r>
        <w:rPr>
          <w:color w:val="231F20"/>
          <w:spacing w:val="40"/>
        </w:rPr>
        <w:t> </w:t>
      </w:r>
      <w:r>
        <w:rPr>
          <w:color w:val="231F20"/>
        </w:rPr>
        <w:t>período,</w:t>
      </w:r>
      <w:r>
        <w:rPr>
          <w:color w:val="231F20"/>
          <w:spacing w:val="40"/>
        </w:rPr>
        <w:t> </w:t>
      </w:r>
      <w:r>
        <w:rPr>
          <w:color w:val="231F20"/>
        </w:rPr>
        <w:t>la</w:t>
      </w:r>
      <w:r>
        <w:rPr>
          <w:color w:val="231F20"/>
          <w:spacing w:val="40"/>
        </w:rPr>
        <w:t> </w:t>
      </w:r>
      <w:r>
        <w:rPr>
          <w:color w:val="231F20"/>
        </w:rPr>
        <w:t>empresa</w:t>
      </w:r>
      <w:r>
        <w:rPr>
          <w:color w:val="231F20"/>
          <w:spacing w:val="40"/>
        </w:rPr>
        <w:t> </w:t>
      </w:r>
      <w:r>
        <w:rPr>
          <w:color w:val="231F20"/>
        </w:rPr>
        <w:t>CIMEX,</w:t>
      </w:r>
      <w:r>
        <w:rPr>
          <w:color w:val="231F20"/>
          <w:spacing w:val="80"/>
        </w:rPr>
        <w:t> </w:t>
      </w:r>
      <w:r>
        <w:rPr>
          <w:color w:val="231F20"/>
        </w:rPr>
        <w:t>que importa, exporta y comercializa bienes y servicios, reportó afectaciones ascendentes</w:t>
      </w:r>
      <w:r>
        <w:rPr>
          <w:color w:val="231F20"/>
          <w:spacing w:val="77"/>
        </w:rPr>
        <w:t> </w:t>
      </w:r>
      <w:r>
        <w:rPr>
          <w:color w:val="231F20"/>
        </w:rPr>
        <w:t>a</w:t>
      </w:r>
      <w:r>
        <w:rPr>
          <w:color w:val="231F20"/>
          <w:spacing w:val="79"/>
        </w:rPr>
        <w:t> </w:t>
      </w:r>
      <w:r>
        <w:rPr>
          <w:color w:val="231F20"/>
        </w:rPr>
        <w:t>101</w:t>
      </w:r>
      <w:r>
        <w:rPr>
          <w:color w:val="231F20"/>
          <w:spacing w:val="79"/>
        </w:rPr>
        <w:t> </w:t>
      </w:r>
      <w:r>
        <w:rPr>
          <w:color w:val="231F20"/>
        </w:rPr>
        <w:t>millones</w:t>
      </w:r>
      <w:r>
        <w:rPr>
          <w:color w:val="231F20"/>
          <w:spacing w:val="79"/>
        </w:rPr>
        <w:t> </w:t>
      </w:r>
      <w:r>
        <w:rPr>
          <w:color w:val="231F20"/>
        </w:rPr>
        <w:t>921</w:t>
      </w:r>
      <w:r>
        <w:rPr>
          <w:color w:val="231F20"/>
          <w:spacing w:val="79"/>
        </w:rPr>
        <w:t> </w:t>
      </w:r>
      <w:r>
        <w:rPr>
          <w:color w:val="231F20"/>
          <w:spacing w:val="-5"/>
        </w:rPr>
        <w:t>mil</w:t>
      </w:r>
    </w:p>
    <w:p>
      <w:pPr>
        <w:pStyle w:val="BodyText"/>
        <w:spacing w:before="3"/>
        <w:ind w:left="1734"/>
      </w:pPr>
      <w:r>
        <w:rPr>
          <w:color w:val="231F20"/>
        </w:rPr>
        <w:t>200</w:t>
      </w:r>
      <w:r>
        <w:rPr>
          <w:color w:val="231F20"/>
          <w:spacing w:val="40"/>
        </w:rPr>
        <w:t> </w:t>
      </w:r>
      <w:r>
        <w:rPr>
          <w:color w:val="231F20"/>
        </w:rPr>
        <w:t>dólares.</w:t>
      </w:r>
      <w:r>
        <w:rPr>
          <w:color w:val="231F20"/>
          <w:spacing w:val="40"/>
        </w:rPr>
        <w:t> </w:t>
      </w:r>
      <w:r>
        <w:rPr>
          <w:color w:val="231F20"/>
        </w:rPr>
        <w:t>De</w:t>
      </w:r>
      <w:r>
        <w:rPr>
          <w:color w:val="231F20"/>
          <w:spacing w:val="40"/>
        </w:rPr>
        <w:t> </w:t>
      </w:r>
      <w:r>
        <w:rPr>
          <w:color w:val="231F20"/>
        </w:rPr>
        <w:t>haberse</w:t>
      </w:r>
      <w:r>
        <w:rPr>
          <w:color w:val="231F20"/>
          <w:spacing w:val="40"/>
        </w:rPr>
        <w:t> </w:t>
      </w:r>
      <w:r>
        <w:rPr>
          <w:color w:val="231F20"/>
        </w:rPr>
        <w:t>adquirido</w:t>
      </w:r>
      <w:r>
        <w:rPr>
          <w:color w:val="231F20"/>
          <w:spacing w:val="80"/>
        </w:rPr>
        <w:t> </w:t>
      </w:r>
      <w:r>
        <w:rPr>
          <w:color w:val="231F20"/>
        </w:rPr>
        <w:t>los productos directamente en los Estados Unidos, hubiera representado una disminución del 20% del valor de compra actual.</w:t>
      </w:r>
    </w:p>
    <w:p>
      <w:pPr>
        <w:pStyle w:val="BodyText"/>
        <w:spacing w:before="164"/>
        <w:ind w:left="1734"/>
      </w:pPr>
      <w:r>
        <w:rPr/>
        <mc:AlternateContent>
          <mc:Choice Requires="wps">
            <w:drawing>
              <wp:anchor distT="0" distB="0" distL="0" distR="0" allowOverlap="1" layoutInCell="1" locked="0" behindDoc="0" simplePos="0" relativeHeight="15750144">
                <wp:simplePos x="0" y="0"/>
                <wp:positionH relativeFrom="page">
                  <wp:posOffset>935997</wp:posOffset>
                </wp:positionH>
                <wp:positionV relativeFrom="paragraph">
                  <wp:posOffset>187922</wp:posOffset>
                </wp:positionV>
                <wp:extent cx="59690" cy="59690"/>
                <wp:effectExtent l="0" t="0" r="0" b="0"/>
                <wp:wrapNone/>
                <wp:docPr id="68" name="Graphic 68"/>
                <wp:cNvGraphicFramePr>
                  <a:graphicFrameLocks/>
                </wp:cNvGraphicFramePr>
                <a:graphic>
                  <a:graphicData uri="http://schemas.microsoft.com/office/word/2010/wordprocessingShape">
                    <wps:wsp>
                      <wps:cNvPr id="68" name="Graphic 6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79705pt;width:4.7pt;height:4.7pt;mso-position-horizontal-relative:page;mso-position-vertical-relative:paragraph;z-index:15750144" id="docshape52" coordorigin="1474,296" coordsize="94,94" path="m1521,296l1502,300,1488,310,1478,324,1474,343,1478,361,1488,376,1502,386,1521,389,1539,386,1554,376,1564,361,1567,343,1564,324,1554,310,1539,300,1521,296xe" filled="true" fillcolor="#1a4796" stroked="false">
                <v:path arrowok="t"/>
                <v:fill type="solid"/>
                <w10:wrap type="none"/>
              </v:shape>
            </w:pict>
          </mc:Fallback>
        </mc:AlternateContent>
      </w:r>
      <w:r>
        <w:rPr>
          <w:color w:val="231F20"/>
        </w:rPr>
        <w:t>La</w:t>
      </w:r>
      <w:r>
        <w:rPr>
          <w:color w:val="231F20"/>
          <w:spacing w:val="40"/>
        </w:rPr>
        <w:t> </w:t>
      </w:r>
      <w:r>
        <w:rPr>
          <w:color w:val="231F20"/>
        </w:rPr>
        <w:t>Cadena</w:t>
      </w:r>
      <w:r>
        <w:rPr>
          <w:color w:val="231F20"/>
          <w:spacing w:val="40"/>
        </w:rPr>
        <w:t> </w:t>
      </w:r>
      <w:r>
        <w:rPr>
          <w:color w:val="231F20"/>
        </w:rPr>
        <w:t>de</w:t>
      </w:r>
      <w:r>
        <w:rPr>
          <w:color w:val="231F20"/>
          <w:spacing w:val="40"/>
        </w:rPr>
        <w:t> </w:t>
      </w:r>
      <w:r>
        <w:rPr>
          <w:color w:val="231F20"/>
        </w:rPr>
        <w:t>Tiendas</w:t>
      </w:r>
      <w:r>
        <w:rPr>
          <w:color w:val="231F20"/>
          <w:spacing w:val="40"/>
        </w:rPr>
        <w:t> </w:t>
      </w:r>
      <w:r>
        <w:rPr>
          <w:color w:val="231F20"/>
        </w:rPr>
        <w:t>Caribe,</w:t>
      </w:r>
      <w:r>
        <w:rPr>
          <w:color w:val="231F20"/>
          <w:spacing w:val="40"/>
        </w:rPr>
        <w:t> </w:t>
      </w:r>
      <w:r>
        <w:rPr>
          <w:color w:val="231F20"/>
        </w:rPr>
        <w:t>recibió 1 256 contenedores en productos ali- menticios, de ellos el 40% (502) pudo haberse adquirido en el mercado </w:t>
      </w:r>
      <w:r>
        <w:rPr>
          <w:color w:val="231F20"/>
        </w:rPr>
        <w:t>esta- dounidense. En perfumería e higiene, se</w:t>
      </w:r>
      <w:r>
        <w:rPr>
          <w:color w:val="231F20"/>
          <w:spacing w:val="49"/>
        </w:rPr>
        <w:t> </w:t>
      </w:r>
      <w:r>
        <w:rPr>
          <w:color w:val="231F20"/>
        </w:rPr>
        <w:t>recibieron</w:t>
      </w:r>
      <w:r>
        <w:rPr>
          <w:color w:val="231F20"/>
          <w:spacing w:val="49"/>
        </w:rPr>
        <w:t> </w:t>
      </w:r>
      <w:r>
        <w:rPr>
          <w:color w:val="231F20"/>
        </w:rPr>
        <w:t>1</w:t>
      </w:r>
      <w:r>
        <w:rPr>
          <w:color w:val="231F20"/>
          <w:spacing w:val="50"/>
        </w:rPr>
        <w:t> </w:t>
      </w:r>
      <w:r>
        <w:rPr>
          <w:color w:val="231F20"/>
        </w:rPr>
        <w:t>151</w:t>
      </w:r>
      <w:r>
        <w:rPr>
          <w:color w:val="231F20"/>
          <w:spacing w:val="49"/>
        </w:rPr>
        <w:t> </w:t>
      </w:r>
      <w:r>
        <w:rPr>
          <w:color w:val="231F20"/>
        </w:rPr>
        <w:t>contenedores,</w:t>
      </w:r>
      <w:r>
        <w:rPr>
          <w:color w:val="231F20"/>
          <w:spacing w:val="50"/>
        </w:rPr>
        <w:t> </w:t>
      </w:r>
      <w:r>
        <w:rPr>
          <w:color w:val="231F20"/>
          <w:spacing w:val="-5"/>
        </w:rPr>
        <w:t>de</w:t>
      </w:r>
    </w:p>
    <w:p>
      <w:pPr>
        <w:pStyle w:val="BodyText"/>
        <w:spacing w:before="77"/>
        <w:ind w:left="673" w:right="1131"/>
      </w:pPr>
      <w:r>
        <w:rPr/>
        <w:br w:type="column"/>
      </w:r>
      <w:r>
        <w:rPr>
          <w:color w:val="231F20"/>
        </w:rPr>
        <w:t>los cuales el 57% (656) pudo haberse adquirido</w:t>
      </w:r>
      <w:r>
        <w:rPr>
          <w:color w:val="231F20"/>
          <w:spacing w:val="-17"/>
        </w:rPr>
        <w:t> </w:t>
      </w:r>
      <w:r>
        <w:rPr>
          <w:color w:val="231F20"/>
        </w:rPr>
        <w:t>también</w:t>
      </w:r>
      <w:r>
        <w:rPr>
          <w:color w:val="231F20"/>
          <w:spacing w:val="-15"/>
        </w:rPr>
        <w:t> </w:t>
      </w:r>
      <w:r>
        <w:rPr>
          <w:color w:val="231F20"/>
        </w:rPr>
        <w:t>en</w:t>
      </w:r>
      <w:r>
        <w:rPr>
          <w:color w:val="231F20"/>
          <w:spacing w:val="-16"/>
        </w:rPr>
        <w:t> </w:t>
      </w:r>
      <w:r>
        <w:rPr>
          <w:color w:val="231F20"/>
        </w:rPr>
        <w:t>ese</w:t>
      </w:r>
      <w:r>
        <w:rPr>
          <w:color w:val="231F20"/>
          <w:spacing w:val="-16"/>
        </w:rPr>
        <w:t> </w:t>
      </w:r>
      <w:r>
        <w:rPr>
          <w:color w:val="231F20"/>
        </w:rPr>
        <w:t>mercado,</w:t>
      </w:r>
      <w:r>
        <w:rPr>
          <w:color w:val="231F20"/>
          <w:spacing w:val="-16"/>
        </w:rPr>
        <w:t> </w:t>
      </w:r>
      <w:r>
        <w:rPr>
          <w:color w:val="231F20"/>
        </w:rPr>
        <w:t>cal- culándose</w:t>
      </w:r>
      <w:r>
        <w:rPr>
          <w:color w:val="231F20"/>
          <w:spacing w:val="-7"/>
        </w:rPr>
        <w:t> </w:t>
      </w:r>
      <w:r>
        <w:rPr>
          <w:color w:val="231F20"/>
        </w:rPr>
        <w:t>una</w:t>
      </w:r>
      <w:r>
        <w:rPr>
          <w:color w:val="231F20"/>
          <w:spacing w:val="-7"/>
        </w:rPr>
        <w:t> </w:t>
      </w:r>
      <w:r>
        <w:rPr>
          <w:color w:val="231F20"/>
        </w:rPr>
        <w:t>afectación</w:t>
      </w:r>
      <w:r>
        <w:rPr>
          <w:color w:val="231F20"/>
          <w:spacing w:val="-7"/>
        </w:rPr>
        <w:t> </w:t>
      </w:r>
      <w:r>
        <w:rPr>
          <w:color w:val="231F20"/>
        </w:rPr>
        <w:t>de</w:t>
      </w:r>
      <w:r>
        <w:rPr>
          <w:color w:val="231F20"/>
          <w:spacing w:val="-7"/>
        </w:rPr>
        <w:t> </w:t>
      </w:r>
      <w:r>
        <w:rPr>
          <w:color w:val="231F20"/>
        </w:rPr>
        <w:t>3</w:t>
      </w:r>
      <w:r>
        <w:rPr>
          <w:color w:val="231F20"/>
          <w:spacing w:val="-7"/>
        </w:rPr>
        <w:t> </w:t>
      </w:r>
      <w:r>
        <w:rPr>
          <w:color w:val="231F20"/>
        </w:rPr>
        <w:t>millones 680 mil 900 dólares. Los retrasos en</w:t>
      </w:r>
      <w:r>
        <w:rPr>
          <w:color w:val="231F20"/>
          <w:spacing w:val="80"/>
        </w:rPr>
        <w:t> </w:t>
      </w:r>
      <w:r>
        <w:rPr>
          <w:color w:val="231F20"/>
        </w:rPr>
        <w:t>los embarques provocaron incumpli- mientos</w:t>
      </w:r>
      <w:r>
        <w:rPr>
          <w:color w:val="231F20"/>
          <w:spacing w:val="-9"/>
        </w:rPr>
        <w:t> </w:t>
      </w:r>
      <w:r>
        <w:rPr>
          <w:color w:val="231F20"/>
        </w:rPr>
        <w:t>en</w:t>
      </w:r>
      <w:r>
        <w:rPr>
          <w:color w:val="231F20"/>
          <w:spacing w:val="-10"/>
        </w:rPr>
        <w:t> </w:t>
      </w:r>
      <w:r>
        <w:rPr>
          <w:color w:val="231F20"/>
        </w:rPr>
        <w:t>el</w:t>
      </w:r>
      <w:r>
        <w:rPr>
          <w:color w:val="231F20"/>
          <w:spacing w:val="-10"/>
        </w:rPr>
        <w:t> </w:t>
      </w:r>
      <w:r>
        <w:rPr>
          <w:color w:val="231F20"/>
        </w:rPr>
        <w:t>suministro</w:t>
      </w:r>
      <w:r>
        <w:rPr>
          <w:color w:val="231F20"/>
          <w:spacing w:val="-9"/>
        </w:rPr>
        <w:t> </w:t>
      </w:r>
      <w:r>
        <w:rPr>
          <w:color w:val="231F20"/>
        </w:rPr>
        <w:t>de</w:t>
      </w:r>
      <w:r>
        <w:rPr>
          <w:color w:val="231F20"/>
          <w:spacing w:val="-10"/>
        </w:rPr>
        <w:t> </w:t>
      </w:r>
      <w:r>
        <w:rPr>
          <w:color w:val="231F20"/>
        </w:rPr>
        <w:t>mercancías a las unidades comerciales, generando desabastecimiento a la población.</w:t>
      </w:r>
    </w:p>
    <w:p>
      <w:pPr>
        <w:pStyle w:val="BodyText"/>
        <w:spacing w:before="166"/>
        <w:ind w:left="412" w:right="1132"/>
      </w:pPr>
      <w:r>
        <w:rPr>
          <w:color w:val="231F20"/>
        </w:rPr>
        <w:t>Durante el período se han mantenido </w:t>
      </w:r>
      <w:r>
        <w:rPr>
          <w:color w:val="231F20"/>
          <w:spacing w:val="-4"/>
        </w:rPr>
        <w:t>afectados</w:t>
      </w:r>
      <w:r>
        <w:rPr>
          <w:color w:val="231F20"/>
          <w:spacing w:val="-13"/>
        </w:rPr>
        <w:t> </w:t>
      </w:r>
      <w:r>
        <w:rPr>
          <w:color w:val="231F20"/>
          <w:spacing w:val="-4"/>
        </w:rPr>
        <w:t>los</w:t>
      </w:r>
      <w:r>
        <w:rPr>
          <w:color w:val="231F20"/>
          <w:spacing w:val="-12"/>
        </w:rPr>
        <w:t> </w:t>
      </w:r>
      <w:r>
        <w:rPr>
          <w:color w:val="231F20"/>
          <w:spacing w:val="-4"/>
        </w:rPr>
        <w:t>coeficientes</w:t>
      </w:r>
      <w:r>
        <w:rPr>
          <w:color w:val="231F20"/>
          <w:spacing w:val="-13"/>
        </w:rPr>
        <w:t> </w:t>
      </w:r>
      <w:r>
        <w:rPr>
          <w:color w:val="231F20"/>
          <w:spacing w:val="-4"/>
        </w:rPr>
        <w:t>de</w:t>
      </w:r>
      <w:r>
        <w:rPr>
          <w:color w:val="231F20"/>
          <w:spacing w:val="-12"/>
        </w:rPr>
        <w:t> </w:t>
      </w:r>
      <w:r>
        <w:rPr>
          <w:color w:val="231F20"/>
          <w:spacing w:val="-4"/>
        </w:rPr>
        <w:t>disponibilidad </w:t>
      </w:r>
      <w:r>
        <w:rPr>
          <w:color w:val="231F20"/>
        </w:rPr>
        <w:t>técnica de esta cadena de tiendas, lo que en parte está asociado a la imposibilidad de adquirir en los Estados Unidos las piezas de repuesto, neumáticos, entre otros.</w:t>
      </w:r>
      <w:r>
        <w:rPr>
          <w:color w:val="231F20"/>
          <w:spacing w:val="-17"/>
        </w:rPr>
        <w:t> </w:t>
      </w:r>
      <w:r>
        <w:rPr>
          <w:color w:val="231F20"/>
        </w:rPr>
        <w:t>Como</w:t>
      </w:r>
      <w:r>
        <w:rPr>
          <w:color w:val="231F20"/>
          <w:spacing w:val="-16"/>
        </w:rPr>
        <w:t> </w:t>
      </w:r>
      <w:r>
        <w:rPr>
          <w:color w:val="231F20"/>
        </w:rPr>
        <w:t>consecuencia,</w:t>
      </w:r>
      <w:r>
        <w:rPr>
          <w:color w:val="231F20"/>
          <w:spacing w:val="-17"/>
        </w:rPr>
        <w:t> </w:t>
      </w:r>
      <w:r>
        <w:rPr>
          <w:color w:val="231F20"/>
        </w:rPr>
        <w:t>la</w:t>
      </w:r>
      <w:r>
        <w:rPr>
          <w:color w:val="231F20"/>
          <w:spacing w:val="-16"/>
        </w:rPr>
        <w:t> </w:t>
      </w:r>
      <w:r>
        <w:rPr>
          <w:color w:val="231F20"/>
        </w:rPr>
        <w:t>entidad</w:t>
      </w:r>
      <w:r>
        <w:rPr>
          <w:color w:val="231F20"/>
          <w:spacing w:val="-17"/>
        </w:rPr>
        <w:t> </w:t>
      </w:r>
      <w:r>
        <w:rPr>
          <w:color w:val="231F20"/>
        </w:rPr>
        <w:t>tuvo un promedio de 100 montacargas y 174 vehículos paralizados.</w:t>
      </w:r>
    </w:p>
    <w:p>
      <w:pPr>
        <w:spacing w:before="166"/>
        <w:ind w:left="412" w:right="1131" w:firstLine="0"/>
        <w:jc w:val="both"/>
        <w:rPr>
          <w:rFonts w:ascii="Segoe UI Semibold" w:hAnsi="Segoe UI Semibold"/>
          <w:b/>
          <w:i/>
          <w:sz w:val="24"/>
        </w:rPr>
      </w:pPr>
      <w:r>
        <w:rPr>
          <w:rFonts w:ascii="Segoe UI Semibold" w:hAnsi="Segoe UI Semibold"/>
          <w:b/>
          <w:i/>
          <w:color w:val="231F20"/>
          <w:sz w:val="24"/>
        </w:rPr>
        <w:t>Como consecuencia del bloqueo, el</w:t>
      </w:r>
      <w:r>
        <w:rPr>
          <w:rFonts w:ascii="Segoe UI Semibold" w:hAnsi="Segoe UI Semibold"/>
          <w:b/>
          <w:i/>
          <w:color w:val="231F20"/>
          <w:sz w:val="24"/>
        </w:rPr>
        <w:t> </w:t>
      </w:r>
      <w:r>
        <w:rPr>
          <w:b/>
          <w:i/>
          <w:color w:val="B52628"/>
          <w:sz w:val="24"/>
        </w:rPr>
        <w:t>sector de la construcción </w:t>
      </w:r>
      <w:r>
        <w:rPr>
          <w:rFonts w:ascii="Segoe UI Semibold" w:hAnsi="Segoe UI Semibold"/>
          <w:b/>
          <w:i/>
          <w:color w:val="231F20"/>
          <w:sz w:val="24"/>
        </w:rPr>
        <w:t>continúa</w:t>
      </w:r>
      <w:r>
        <w:rPr>
          <w:rFonts w:ascii="Segoe UI Semibold" w:hAnsi="Segoe UI Semibold"/>
          <w:b/>
          <w:i/>
          <w:color w:val="231F20"/>
          <w:sz w:val="24"/>
        </w:rPr>
        <w:t> enfrentando serias dificultades para acceder a tecnologías constructivas más eficientes, ligeras, de menores consumos de materiales básicos y componentes </w:t>
      </w:r>
      <w:r>
        <w:rPr>
          <w:rFonts w:ascii="Segoe UI Semibold" w:hAnsi="Segoe UI Semibold"/>
          <w:b/>
          <w:i/>
          <w:color w:val="231F20"/>
          <w:spacing w:val="-2"/>
          <w:sz w:val="24"/>
        </w:rPr>
        <w:t>energéticos.</w:t>
      </w:r>
      <w:r>
        <w:rPr>
          <w:rFonts w:ascii="Segoe UI Semibold" w:hAnsi="Segoe UI Semibold"/>
          <w:b/>
          <w:i/>
          <w:color w:val="231F20"/>
          <w:spacing w:val="-15"/>
          <w:sz w:val="24"/>
        </w:rPr>
        <w:t> </w:t>
      </w:r>
      <w:r>
        <w:rPr>
          <w:rFonts w:ascii="Segoe UI Semibold" w:hAnsi="Segoe UI Semibold"/>
          <w:b/>
          <w:i/>
          <w:color w:val="231F20"/>
          <w:spacing w:val="-2"/>
          <w:sz w:val="24"/>
        </w:rPr>
        <w:t>Entre</w:t>
      </w:r>
      <w:r>
        <w:rPr>
          <w:rFonts w:ascii="Segoe UI Semibold" w:hAnsi="Segoe UI Semibold"/>
          <w:b/>
          <w:i/>
          <w:color w:val="231F20"/>
          <w:spacing w:val="-14"/>
          <w:sz w:val="24"/>
        </w:rPr>
        <w:t> </w:t>
      </w:r>
      <w:r>
        <w:rPr>
          <w:rFonts w:ascii="Segoe UI Semibold" w:hAnsi="Segoe UI Semibold"/>
          <w:b/>
          <w:i/>
          <w:color w:val="231F20"/>
          <w:spacing w:val="-2"/>
          <w:sz w:val="24"/>
        </w:rPr>
        <w:t>marzo</w:t>
      </w:r>
      <w:r>
        <w:rPr>
          <w:rFonts w:ascii="Segoe UI Semibold" w:hAnsi="Segoe UI Semibold"/>
          <w:b/>
          <w:i/>
          <w:color w:val="231F20"/>
          <w:spacing w:val="-15"/>
          <w:sz w:val="24"/>
        </w:rPr>
        <w:t> </w:t>
      </w:r>
      <w:r>
        <w:rPr>
          <w:rFonts w:ascii="Segoe UI Semibold" w:hAnsi="Segoe UI Semibold"/>
          <w:b/>
          <w:i/>
          <w:color w:val="231F20"/>
          <w:spacing w:val="-2"/>
          <w:sz w:val="24"/>
        </w:rPr>
        <w:t>de</w:t>
      </w:r>
      <w:r>
        <w:rPr>
          <w:rFonts w:ascii="Segoe UI Semibold" w:hAnsi="Segoe UI Semibold"/>
          <w:b/>
          <w:i/>
          <w:color w:val="231F20"/>
          <w:spacing w:val="-14"/>
          <w:sz w:val="24"/>
        </w:rPr>
        <w:t> </w:t>
      </w:r>
      <w:r>
        <w:rPr>
          <w:rFonts w:ascii="Segoe UI Semibold" w:hAnsi="Segoe UI Semibold"/>
          <w:b/>
          <w:i/>
          <w:color w:val="231F20"/>
          <w:spacing w:val="-2"/>
          <w:sz w:val="24"/>
        </w:rPr>
        <w:t>2022</w:t>
      </w:r>
      <w:r>
        <w:rPr>
          <w:rFonts w:ascii="Segoe UI Semibold" w:hAnsi="Segoe UI Semibold"/>
          <w:b/>
          <w:i/>
          <w:color w:val="231F20"/>
          <w:spacing w:val="-15"/>
          <w:sz w:val="24"/>
        </w:rPr>
        <w:t> </w:t>
      </w:r>
      <w:r>
        <w:rPr>
          <w:rFonts w:ascii="Segoe UI Semibold" w:hAnsi="Segoe UI Semibold"/>
          <w:b/>
          <w:i/>
          <w:color w:val="231F20"/>
          <w:spacing w:val="-2"/>
          <w:sz w:val="24"/>
        </w:rPr>
        <w:t>y</w:t>
      </w:r>
      <w:r>
        <w:rPr>
          <w:rFonts w:ascii="Segoe UI Semibold" w:hAnsi="Segoe UI Semibold"/>
          <w:b/>
          <w:i/>
          <w:color w:val="231F20"/>
          <w:spacing w:val="-14"/>
          <w:sz w:val="24"/>
        </w:rPr>
        <w:t> </w:t>
      </w:r>
      <w:r>
        <w:rPr>
          <w:rFonts w:ascii="Segoe UI Semibold" w:hAnsi="Segoe UI Semibold"/>
          <w:b/>
          <w:i/>
          <w:color w:val="231F20"/>
          <w:spacing w:val="-2"/>
          <w:sz w:val="24"/>
        </w:rPr>
        <w:t>febrero </w:t>
      </w:r>
      <w:r>
        <w:rPr>
          <w:rFonts w:ascii="Segoe UI Semibold" w:hAnsi="Segoe UI Semibold"/>
          <w:b/>
          <w:i/>
          <w:color w:val="231F20"/>
          <w:sz w:val="24"/>
        </w:rPr>
        <w:t>de 2023, se reportaron afectaciones en esta esfera por un valor de </w:t>
      </w:r>
      <w:r>
        <w:rPr>
          <w:b/>
          <w:i/>
          <w:color w:val="231F20"/>
          <w:sz w:val="24"/>
        </w:rPr>
        <w:t>89 millones</w:t>
      </w:r>
      <w:r>
        <w:rPr>
          <w:b/>
          <w:i/>
          <w:color w:val="231F20"/>
          <w:sz w:val="24"/>
        </w:rPr>
        <w:t> 134 mil 500 dólares</w:t>
      </w:r>
      <w:r>
        <w:rPr>
          <w:rFonts w:ascii="Segoe UI Semibold" w:hAnsi="Segoe UI Semibold"/>
          <w:b/>
          <w:i/>
          <w:color w:val="231F20"/>
          <w:sz w:val="24"/>
        </w:rPr>
        <w:t>.</w:t>
      </w:r>
    </w:p>
    <w:p>
      <w:pPr>
        <w:pStyle w:val="BodyText"/>
        <w:spacing w:before="158"/>
        <w:ind w:left="412" w:right="1131"/>
      </w:pPr>
      <w:r>
        <w:rPr>
          <w:color w:val="231F20"/>
          <w:spacing w:val="-6"/>
        </w:rPr>
        <w:t>La Dirección General</w:t>
      </w:r>
      <w:r>
        <w:rPr>
          <w:color w:val="231F20"/>
          <w:spacing w:val="-7"/>
        </w:rPr>
        <w:t> </w:t>
      </w:r>
      <w:r>
        <w:rPr>
          <w:color w:val="231F20"/>
          <w:spacing w:val="-6"/>
        </w:rPr>
        <w:t>de la Vivienda concen- </w:t>
      </w:r>
      <w:r>
        <w:rPr>
          <w:color w:val="231F20"/>
          <w:spacing w:val="-2"/>
        </w:rPr>
        <w:t>tró</w:t>
      </w:r>
      <w:r>
        <w:rPr>
          <w:color w:val="231F20"/>
          <w:spacing w:val="-15"/>
        </w:rPr>
        <w:t> </w:t>
      </w:r>
      <w:r>
        <w:rPr>
          <w:color w:val="231F20"/>
          <w:spacing w:val="-2"/>
        </w:rPr>
        <w:t>el</w:t>
      </w:r>
      <w:r>
        <w:rPr>
          <w:color w:val="231F20"/>
          <w:spacing w:val="-14"/>
        </w:rPr>
        <w:t> </w:t>
      </w:r>
      <w:r>
        <w:rPr>
          <w:color w:val="231F20"/>
          <w:spacing w:val="-2"/>
        </w:rPr>
        <w:t>93,6%</w:t>
      </w:r>
      <w:r>
        <w:rPr>
          <w:color w:val="231F20"/>
          <w:spacing w:val="-15"/>
        </w:rPr>
        <w:t> </w:t>
      </w:r>
      <w:r>
        <w:rPr>
          <w:color w:val="231F20"/>
          <w:spacing w:val="-2"/>
        </w:rPr>
        <w:t>de</w:t>
      </w:r>
      <w:r>
        <w:rPr>
          <w:color w:val="231F20"/>
          <w:spacing w:val="-14"/>
        </w:rPr>
        <w:t> </w:t>
      </w:r>
      <w:r>
        <w:rPr>
          <w:color w:val="231F20"/>
          <w:spacing w:val="-2"/>
        </w:rPr>
        <w:t>las</w:t>
      </w:r>
      <w:r>
        <w:rPr>
          <w:color w:val="231F20"/>
          <w:spacing w:val="-15"/>
        </w:rPr>
        <w:t> </w:t>
      </w:r>
      <w:r>
        <w:rPr>
          <w:color w:val="231F20"/>
          <w:spacing w:val="-2"/>
        </w:rPr>
        <w:t>afectaciones</w:t>
      </w:r>
      <w:r>
        <w:rPr>
          <w:color w:val="231F20"/>
          <w:spacing w:val="-14"/>
        </w:rPr>
        <w:t> </w:t>
      </w:r>
      <w:r>
        <w:rPr>
          <w:color w:val="231F20"/>
          <w:spacing w:val="-2"/>
        </w:rPr>
        <w:t>reportadas, </w:t>
      </w:r>
      <w:r>
        <w:rPr>
          <w:color w:val="231F20"/>
          <w:spacing w:val="-6"/>
        </w:rPr>
        <w:t>con</w:t>
      </w:r>
      <w:r>
        <w:rPr>
          <w:color w:val="231F20"/>
          <w:spacing w:val="-9"/>
        </w:rPr>
        <w:t> </w:t>
      </w:r>
      <w:r>
        <w:rPr>
          <w:color w:val="231F20"/>
          <w:spacing w:val="-6"/>
        </w:rPr>
        <w:t>daños</w:t>
      </w:r>
      <w:r>
        <w:rPr>
          <w:color w:val="231F20"/>
          <w:spacing w:val="-10"/>
        </w:rPr>
        <w:t> </w:t>
      </w:r>
      <w:r>
        <w:rPr>
          <w:color w:val="231F20"/>
          <w:spacing w:val="-6"/>
        </w:rPr>
        <w:t>y</w:t>
      </w:r>
      <w:r>
        <w:rPr>
          <w:color w:val="231F20"/>
          <w:spacing w:val="-9"/>
        </w:rPr>
        <w:t> </w:t>
      </w:r>
      <w:r>
        <w:rPr>
          <w:color w:val="231F20"/>
          <w:spacing w:val="-6"/>
        </w:rPr>
        <w:t>perjuicios</w:t>
      </w:r>
      <w:r>
        <w:rPr>
          <w:color w:val="231F20"/>
          <w:spacing w:val="-10"/>
        </w:rPr>
        <w:t> </w:t>
      </w:r>
      <w:r>
        <w:rPr>
          <w:color w:val="231F20"/>
          <w:spacing w:val="-6"/>
        </w:rPr>
        <w:t>ascendentes</w:t>
      </w:r>
      <w:r>
        <w:rPr>
          <w:color w:val="231F20"/>
          <w:spacing w:val="-10"/>
        </w:rPr>
        <w:t> </w:t>
      </w:r>
      <w:r>
        <w:rPr>
          <w:color w:val="231F20"/>
          <w:spacing w:val="-6"/>
        </w:rPr>
        <w:t>a</w:t>
      </w:r>
      <w:r>
        <w:rPr>
          <w:color w:val="231F20"/>
          <w:spacing w:val="-9"/>
        </w:rPr>
        <w:t> </w:t>
      </w:r>
      <w:r>
        <w:rPr>
          <w:color w:val="231F20"/>
          <w:spacing w:val="-6"/>
        </w:rPr>
        <w:t>83</w:t>
      </w:r>
      <w:r>
        <w:rPr>
          <w:color w:val="231F20"/>
          <w:spacing w:val="-9"/>
        </w:rPr>
        <w:t> </w:t>
      </w:r>
      <w:r>
        <w:rPr>
          <w:color w:val="231F20"/>
          <w:spacing w:val="-6"/>
        </w:rPr>
        <w:t>mi- </w:t>
      </w:r>
      <w:r>
        <w:rPr>
          <w:color w:val="231F20"/>
        </w:rPr>
        <w:t>llones 425 mil 400 dólares.</w:t>
      </w:r>
    </w:p>
    <w:p>
      <w:pPr>
        <w:pStyle w:val="BodyText"/>
        <w:spacing w:before="163"/>
        <w:ind w:left="412" w:right="1133"/>
      </w:pPr>
      <w:r>
        <w:rPr>
          <w:color w:val="231F20"/>
        </w:rPr>
        <w:t>Las</w:t>
      </w:r>
      <w:r>
        <w:rPr>
          <w:color w:val="231F20"/>
          <w:spacing w:val="-17"/>
        </w:rPr>
        <w:t> </w:t>
      </w:r>
      <w:r>
        <w:rPr>
          <w:color w:val="231F20"/>
        </w:rPr>
        <w:t>principales</w:t>
      </w:r>
      <w:r>
        <w:rPr>
          <w:color w:val="231F20"/>
          <w:spacing w:val="-16"/>
        </w:rPr>
        <w:t> </w:t>
      </w:r>
      <w:r>
        <w:rPr>
          <w:color w:val="231F20"/>
        </w:rPr>
        <w:t>afectaciones</w:t>
      </w:r>
      <w:r>
        <w:rPr>
          <w:color w:val="231F20"/>
          <w:spacing w:val="-17"/>
        </w:rPr>
        <w:t> </w:t>
      </w:r>
      <w:r>
        <w:rPr>
          <w:color w:val="231F20"/>
        </w:rPr>
        <w:t>se</w:t>
      </w:r>
      <w:r>
        <w:rPr>
          <w:color w:val="231F20"/>
          <w:spacing w:val="-16"/>
        </w:rPr>
        <w:t> </w:t>
      </w:r>
      <w:r>
        <w:rPr>
          <w:color w:val="231F20"/>
        </w:rPr>
        <w:t>concentran en el acceso a bienes y tecnologías </w:t>
      </w:r>
      <w:r>
        <w:rPr>
          <w:color w:val="231F20"/>
          <w:spacing w:val="-6"/>
        </w:rPr>
        <w:t>fundamentales</w:t>
      </w:r>
      <w:r>
        <w:rPr>
          <w:color w:val="231F20"/>
          <w:spacing w:val="-9"/>
        </w:rPr>
        <w:t> </w:t>
      </w:r>
      <w:r>
        <w:rPr>
          <w:color w:val="231F20"/>
          <w:spacing w:val="-6"/>
        </w:rPr>
        <w:t>de</w:t>
      </w:r>
      <w:r>
        <w:rPr>
          <w:color w:val="231F20"/>
          <w:spacing w:val="-9"/>
        </w:rPr>
        <w:t> </w:t>
      </w:r>
      <w:r>
        <w:rPr>
          <w:color w:val="231F20"/>
          <w:spacing w:val="-6"/>
        </w:rPr>
        <w:t>la</w:t>
      </w:r>
      <w:r>
        <w:rPr>
          <w:color w:val="231F20"/>
          <w:spacing w:val="-9"/>
        </w:rPr>
        <w:t> </w:t>
      </w:r>
      <w:r>
        <w:rPr>
          <w:color w:val="231F20"/>
          <w:spacing w:val="-6"/>
        </w:rPr>
        <w:t>industria</w:t>
      </w:r>
      <w:r>
        <w:rPr>
          <w:color w:val="231F20"/>
          <w:spacing w:val="-9"/>
        </w:rPr>
        <w:t> </w:t>
      </w:r>
      <w:r>
        <w:rPr>
          <w:color w:val="231F20"/>
          <w:spacing w:val="-6"/>
        </w:rPr>
        <w:t>de</w:t>
      </w:r>
      <w:r>
        <w:rPr>
          <w:color w:val="231F20"/>
          <w:spacing w:val="-9"/>
        </w:rPr>
        <w:t> </w:t>
      </w:r>
      <w:r>
        <w:rPr>
          <w:color w:val="231F20"/>
          <w:spacing w:val="-6"/>
        </w:rPr>
        <w:t>materiales, </w:t>
      </w:r>
      <w:r>
        <w:rPr>
          <w:color w:val="231F20"/>
        </w:rPr>
        <w:t>tales como: cemento, áridos, bloques, tejas de fibrocemento, mantas asfálticas</w:t>
      </w:r>
      <w:r>
        <w:rPr>
          <w:color w:val="231F20"/>
          <w:spacing w:val="80"/>
        </w:rPr>
        <w:t> </w:t>
      </w:r>
      <w:r>
        <w:rPr>
          <w:color w:val="231F20"/>
        </w:rPr>
        <w:t>y carpintería. A ello se suman el cierre de </w:t>
      </w:r>
      <w:r>
        <w:rPr>
          <w:color w:val="231F20"/>
          <w:spacing w:val="-4"/>
        </w:rPr>
        <w:t>contratos</w:t>
      </w:r>
      <w:r>
        <w:rPr>
          <w:color w:val="231F20"/>
          <w:spacing w:val="-13"/>
        </w:rPr>
        <w:t> </w:t>
      </w:r>
      <w:r>
        <w:rPr>
          <w:color w:val="231F20"/>
          <w:spacing w:val="-4"/>
        </w:rPr>
        <w:t>con</w:t>
      </w:r>
      <w:r>
        <w:rPr>
          <w:color w:val="231F20"/>
          <w:spacing w:val="-12"/>
        </w:rPr>
        <w:t> </w:t>
      </w:r>
      <w:r>
        <w:rPr>
          <w:color w:val="231F20"/>
          <w:spacing w:val="-4"/>
        </w:rPr>
        <w:t>proveedores</w:t>
      </w:r>
      <w:r>
        <w:rPr>
          <w:color w:val="231F20"/>
          <w:spacing w:val="-13"/>
        </w:rPr>
        <w:t> </w:t>
      </w:r>
      <w:r>
        <w:rPr>
          <w:color w:val="231F20"/>
          <w:spacing w:val="-4"/>
        </w:rPr>
        <w:t>extranjeros</w:t>
      </w:r>
      <w:r>
        <w:rPr>
          <w:color w:val="231F20"/>
          <w:spacing w:val="-12"/>
        </w:rPr>
        <w:t> </w:t>
      </w:r>
      <w:r>
        <w:rPr>
          <w:color w:val="231F20"/>
          <w:spacing w:val="-4"/>
        </w:rPr>
        <w:t>y</w:t>
      </w:r>
      <w:r>
        <w:rPr>
          <w:color w:val="231F20"/>
          <w:spacing w:val="-13"/>
        </w:rPr>
        <w:t> </w:t>
      </w:r>
      <w:r>
        <w:rPr>
          <w:color w:val="231F20"/>
          <w:spacing w:val="-4"/>
        </w:rPr>
        <w:t>las </w:t>
      </w:r>
      <w:r>
        <w:rPr>
          <w:color w:val="231F20"/>
        </w:rPr>
        <w:t>dificultades</w:t>
      </w:r>
      <w:r>
        <w:rPr>
          <w:color w:val="231F20"/>
          <w:spacing w:val="-6"/>
        </w:rPr>
        <w:t> </w:t>
      </w:r>
      <w:r>
        <w:rPr>
          <w:color w:val="231F20"/>
        </w:rPr>
        <w:t>para</w:t>
      </w:r>
      <w:r>
        <w:rPr>
          <w:color w:val="231F20"/>
          <w:spacing w:val="-6"/>
        </w:rPr>
        <w:t> </w:t>
      </w:r>
      <w:r>
        <w:rPr>
          <w:color w:val="231F20"/>
        </w:rPr>
        <w:t>la</w:t>
      </w:r>
      <w:r>
        <w:rPr>
          <w:color w:val="231F20"/>
          <w:spacing w:val="-6"/>
        </w:rPr>
        <w:t> </w:t>
      </w:r>
      <w:r>
        <w:rPr>
          <w:color w:val="231F20"/>
        </w:rPr>
        <w:t>transportación</w:t>
      </w:r>
      <w:r>
        <w:rPr>
          <w:color w:val="231F20"/>
          <w:spacing w:val="-6"/>
        </w:rPr>
        <w:t> </w:t>
      </w:r>
      <w:r>
        <w:rPr>
          <w:color w:val="231F20"/>
        </w:rPr>
        <w:t>debido a la escasez de combustible.</w:t>
      </w:r>
    </w:p>
    <w:p>
      <w:pPr>
        <w:pStyle w:val="BodyText"/>
        <w:spacing w:before="167"/>
        <w:ind w:left="412"/>
      </w:pPr>
      <w:r>
        <w:rPr>
          <w:color w:val="231F20"/>
          <w:spacing w:val="-4"/>
        </w:rPr>
        <w:t>Por</w:t>
      </w:r>
      <w:r>
        <w:rPr>
          <w:color w:val="231F20"/>
          <w:spacing w:val="-10"/>
        </w:rPr>
        <w:t> </w:t>
      </w:r>
      <w:r>
        <w:rPr>
          <w:color w:val="231F20"/>
          <w:spacing w:val="-4"/>
        </w:rPr>
        <w:t>solo</w:t>
      </w:r>
      <w:r>
        <w:rPr>
          <w:color w:val="231F20"/>
          <w:spacing w:val="-9"/>
        </w:rPr>
        <w:t> </w:t>
      </w:r>
      <w:r>
        <w:rPr>
          <w:color w:val="231F20"/>
          <w:spacing w:val="-4"/>
        </w:rPr>
        <w:t>mencionar</w:t>
      </w:r>
      <w:r>
        <w:rPr>
          <w:color w:val="231F20"/>
          <w:spacing w:val="-9"/>
        </w:rPr>
        <w:t> </w:t>
      </w:r>
      <w:r>
        <w:rPr>
          <w:color w:val="231F20"/>
          <w:spacing w:val="-4"/>
        </w:rPr>
        <w:t>un</w:t>
      </w:r>
      <w:r>
        <w:rPr>
          <w:color w:val="231F20"/>
          <w:spacing w:val="-10"/>
        </w:rPr>
        <w:t> </w:t>
      </w:r>
      <w:r>
        <w:rPr>
          <w:color w:val="231F20"/>
          <w:spacing w:val="-4"/>
        </w:rPr>
        <w:t>ejemplo,</w:t>
      </w:r>
      <w:r>
        <w:rPr>
          <w:color w:val="231F20"/>
          <w:spacing w:val="-9"/>
        </w:rPr>
        <w:t> </w:t>
      </w:r>
      <w:r>
        <w:rPr>
          <w:color w:val="231F20"/>
          <w:spacing w:val="-4"/>
        </w:rPr>
        <w:t>a</w:t>
      </w:r>
      <w:r>
        <w:rPr>
          <w:color w:val="231F20"/>
          <w:spacing w:val="-9"/>
        </w:rPr>
        <w:t> </w:t>
      </w:r>
      <w:r>
        <w:rPr>
          <w:color w:val="231F20"/>
          <w:spacing w:val="-4"/>
        </w:rPr>
        <w:t>inicios</w:t>
      </w:r>
      <w:r>
        <w:rPr>
          <w:color w:val="231F20"/>
          <w:spacing w:val="-9"/>
        </w:rPr>
        <w:t> </w:t>
      </w:r>
      <w:r>
        <w:rPr>
          <w:color w:val="231F20"/>
          <w:spacing w:val="-5"/>
        </w:rPr>
        <w:t>de</w:t>
      </w:r>
    </w:p>
    <w:p>
      <w:pPr>
        <w:spacing w:after="0"/>
        <w:sectPr>
          <w:pgSz w:w="11910" w:h="16840"/>
          <w:pgMar w:header="0" w:footer="695" w:top="1260" w:bottom="880" w:left="0" w:right="0"/>
          <w:cols w:num="2" w:equalWidth="0">
            <w:col w:w="5898" w:space="40"/>
            <w:col w:w="5972"/>
          </w:cols>
        </w:sectPr>
      </w:pPr>
    </w:p>
    <w:p>
      <w:pPr>
        <w:pStyle w:val="BodyText"/>
        <w:spacing w:before="77"/>
        <w:ind w:left="1133" w:right="1"/>
      </w:pPr>
      <w:r>
        <w:rPr>
          <w:color w:val="231F20"/>
        </w:rPr>
        <w:t>2022,</w:t>
      </w:r>
      <w:r>
        <w:rPr>
          <w:color w:val="231F20"/>
          <w:spacing w:val="-11"/>
        </w:rPr>
        <w:t> </w:t>
      </w:r>
      <w:r>
        <w:rPr>
          <w:color w:val="231F20"/>
        </w:rPr>
        <w:t>un</w:t>
      </w:r>
      <w:r>
        <w:rPr>
          <w:color w:val="231F20"/>
          <w:spacing w:val="-11"/>
        </w:rPr>
        <w:t> </w:t>
      </w:r>
      <w:r>
        <w:rPr>
          <w:color w:val="231F20"/>
        </w:rPr>
        <w:t>proveedor</w:t>
      </w:r>
      <w:r>
        <w:rPr>
          <w:color w:val="231F20"/>
          <w:spacing w:val="-11"/>
        </w:rPr>
        <w:t> </w:t>
      </w:r>
      <w:r>
        <w:rPr>
          <w:color w:val="231F20"/>
        </w:rPr>
        <w:t>centroamericano,</w:t>
      </w:r>
      <w:r>
        <w:rPr>
          <w:color w:val="231F20"/>
          <w:spacing w:val="-11"/>
        </w:rPr>
        <w:t> </w:t>
      </w:r>
      <w:r>
        <w:rPr>
          <w:color w:val="231F20"/>
        </w:rPr>
        <w:t>con el</w:t>
      </w:r>
      <w:r>
        <w:rPr>
          <w:color w:val="231F20"/>
          <w:spacing w:val="-11"/>
        </w:rPr>
        <w:t> </w:t>
      </w:r>
      <w:r>
        <w:rPr>
          <w:color w:val="231F20"/>
        </w:rPr>
        <w:t>que</w:t>
      </w:r>
      <w:r>
        <w:rPr>
          <w:color w:val="231F20"/>
          <w:spacing w:val="-11"/>
        </w:rPr>
        <w:t> </w:t>
      </w:r>
      <w:r>
        <w:rPr>
          <w:color w:val="231F20"/>
        </w:rPr>
        <w:t>se</w:t>
      </w:r>
      <w:r>
        <w:rPr>
          <w:color w:val="231F20"/>
          <w:spacing w:val="-11"/>
        </w:rPr>
        <w:t> </w:t>
      </w:r>
      <w:r>
        <w:rPr>
          <w:color w:val="231F20"/>
        </w:rPr>
        <w:t>tenía</w:t>
      </w:r>
      <w:r>
        <w:rPr>
          <w:color w:val="231F20"/>
          <w:spacing w:val="-11"/>
        </w:rPr>
        <w:t> </w:t>
      </w:r>
      <w:r>
        <w:rPr>
          <w:color w:val="231F20"/>
        </w:rPr>
        <w:t>firmado</w:t>
      </w:r>
      <w:r>
        <w:rPr>
          <w:color w:val="231F20"/>
          <w:spacing w:val="-11"/>
        </w:rPr>
        <w:t> </w:t>
      </w:r>
      <w:r>
        <w:rPr>
          <w:color w:val="231F20"/>
        </w:rPr>
        <w:t>un</w:t>
      </w:r>
      <w:r>
        <w:rPr>
          <w:color w:val="231F20"/>
          <w:spacing w:val="-11"/>
        </w:rPr>
        <w:t> </w:t>
      </w:r>
      <w:r>
        <w:rPr>
          <w:color w:val="231F20"/>
        </w:rPr>
        <w:t>contrato</w:t>
      </w:r>
      <w:r>
        <w:rPr>
          <w:color w:val="231F20"/>
          <w:spacing w:val="-11"/>
        </w:rPr>
        <w:t> </w:t>
      </w:r>
      <w:r>
        <w:rPr>
          <w:color w:val="231F20"/>
        </w:rPr>
        <w:t>marco </w:t>
      </w:r>
      <w:r>
        <w:rPr>
          <w:color w:val="231F20"/>
          <w:spacing w:val="-4"/>
        </w:rPr>
        <w:t>por</w:t>
      </w:r>
      <w:r>
        <w:rPr>
          <w:color w:val="231F20"/>
          <w:spacing w:val="-13"/>
        </w:rPr>
        <w:t> </w:t>
      </w:r>
      <w:r>
        <w:rPr>
          <w:color w:val="231F20"/>
          <w:spacing w:val="-4"/>
        </w:rPr>
        <w:t>valor</w:t>
      </w:r>
      <w:r>
        <w:rPr>
          <w:color w:val="231F20"/>
          <w:spacing w:val="-12"/>
        </w:rPr>
        <w:t> </w:t>
      </w:r>
      <w:r>
        <w:rPr>
          <w:color w:val="231F20"/>
          <w:spacing w:val="-4"/>
        </w:rPr>
        <w:t>de</w:t>
      </w:r>
      <w:r>
        <w:rPr>
          <w:color w:val="231F20"/>
          <w:spacing w:val="-13"/>
        </w:rPr>
        <w:t> </w:t>
      </w:r>
      <w:r>
        <w:rPr>
          <w:color w:val="231F20"/>
          <w:spacing w:val="-4"/>
        </w:rPr>
        <w:t>3</w:t>
      </w:r>
      <w:r>
        <w:rPr>
          <w:color w:val="231F20"/>
          <w:spacing w:val="-12"/>
        </w:rPr>
        <w:t> </w:t>
      </w:r>
      <w:r>
        <w:rPr>
          <w:color w:val="231F20"/>
          <w:spacing w:val="-4"/>
        </w:rPr>
        <w:t>millones</w:t>
      </w:r>
      <w:r>
        <w:rPr>
          <w:color w:val="231F20"/>
          <w:spacing w:val="-13"/>
        </w:rPr>
        <w:t> </w:t>
      </w:r>
      <w:r>
        <w:rPr>
          <w:color w:val="231F20"/>
          <w:spacing w:val="-4"/>
        </w:rPr>
        <w:t>de</w:t>
      </w:r>
      <w:r>
        <w:rPr>
          <w:color w:val="231F20"/>
          <w:spacing w:val="-12"/>
        </w:rPr>
        <w:t> </w:t>
      </w:r>
      <w:r>
        <w:rPr>
          <w:color w:val="231F20"/>
          <w:spacing w:val="-4"/>
        </w:rPr>
        <w:t>dólares</w:t>
      </w:r>
      <w:r>
        <w:rPr>
          <w:color w:val="231F20"/>
          <w:spacing w:val="-13"/>
        </w:rPr>
        <w:t> </w:t>
      </w:r>
      <w:r>
        <w:rPr>
          <w:color w:val="231F20"/>
          <w:spacing w:val="-4"/>
        </w:rPr>
        <w:t>referente </w:t>
      </w:r>
      <w:r>
        <w:rPr>
          <w:color w:val="231F20"/>
        </w:rPr>
        <w:t>al suministro de tuberías de PVC sanitaria e</w:t>
      </w:r>
      <w:r>
        <w:rPr>
          <w:color w:val="231F20"/>
          <w:spacing w:val="-13"/>
        </w:rPr>
        <w:t> </w:t>
      </w:r>
      <w:r>
        <w:rPr>
          <w:color w:val="231F20"/>
        </w:rPr>
        <w:t>hidráulica,</w:t>
      </w:r>
      <w:r>
        <w:rPr>
          <w:color w:val="231F20"/>
          <w:spacing w:val="-13"/>
        </w:rPr>
        <w:t> </w:t>
      </w:r>
      <w:r>
        <w:rPr>
          <w:color w:val="231F20"/>
        </w:rPr>
        <w:t>comunicó</w:t>
      </w:r>
      <w:r>
        <w:rPr>
          <w:color w:val="231F20"/>
          <w:spacing w:val="-13"/>
        </w:rPr>
        <w:t> </w:t>
      </w:r>
      <w:r>
        <w:rPr>
          <w:color w:val="231F20"/>
        </w:rPr>
        <w:t>la</w:t>
      </w:r>
      <w:r>
        <w:rPr>
          <w:color w:val="231F20"/>
          <w:spacing w:val="-13"/>
        </w:rPr>
        <w:t> </w:t>
      </w:r>
      <w:r>
        <w:rPr>
          <w:color w:val="231F20"/>
        </w:rPr>
        <w:t>imposibilidad</w:t>
      </w:r>
      <w:r>
        <w:rPr>
          <w:color w:val="231F20"/>
          <w:spacing w:val="-13"/>
        </w:rPr>
        <w:t> </w:t>
      </w:r>
      <w:r>
        <w:rPr>
          <w:color w:val="231F20"/>
        </w:rPr>
        <w:t>de continuar operando con Cuba, dejando de suministrar un total de 26 solicitudes. Esta</w:t>
      </w:r>
      <w:r>
        <w:rPr>
          <w:color w:val="231F20"/>
          <w:spacing w:val="-17"/>
        </w:rPr>
        <w:t> </w:t>
      </w:r>
      <w:r>
        <w:rPr>
          <w:color w:val="231F20"/>
        </w:rPr>
        <w:t>situación</w:t>
      </w:r>
      <w:r>
        <w:rPr>
          <w:color w:val="231F20"/>
          <w:spacing w:val="-16"/>
        </w:rPr>
        <w:t> </w:t>
      </w:r>
      <w:r>
        <w:rPr>
          <w:color w:val="231F20"/>
        </w:rPr>
        <w:t>trajo</w:t>
      </w:r>
      <w:r>
        <w:rPr>
          <w:color w:val="231F20"/>
          <w:spacing w:val="-17"/>
        </w:rPr>
        <w:t> </w:t>
      </w:r>
      <w:r>
        <w:rPr>
          <w:color w:val="231F20"/>
        </w:rPr>
        <w:t>consigo</w:t>
      </w:r>
      <w:r>
        <w:rPr>
          <w:color w:val="231F20"/>
          <w:spacing w:val="-16"/>
        </w:rPr>
        <w:t> </w:t>
      </w:r>
      <w:r>
        <w:rPr>
          <w:color w:val="231F20"/>
        </w:rPr>
        <w:t>un</w:t>
      </w:r>
      <w:r>
        <w:rPr>
          <w:color w:val="231F20"/>
          <w:spacing w:val="-17"/>
        </w:rPr>
        <w:t> </w:t>
      </w:r>
      <w:r>
        <w:rPr>
          <w:color w:val="231F20"/>
        </w:rPr>
        <w:t>incremento considerable</w:t>
      </w:r>
      <w:r>
        <w:rPr>
          <w:color w:val="231F20"/>
          <w:spacing w:val="-13"/>
        </w:rPr>
        <w:t> </w:t>
      </w:r>
      <w:r>
        <w:rPr>
          <w:color w:val="231F20"/>
        </w:rPr>
        <w:t>de</w:t>
      </w:r>
      <w:r>
        <w:rPr>
          <w:color w:val="231F20"/>
          <w:spacing w:val="-13"/>
        </w:rPr>
        <w:t> </w:t>
      </w:r>
      <w:r>
        <w:rPr>
          <w:color w:val="231F20"/>
        </w:rPr>
        <w:t>los</w:t>
      </w:r>
      <w:r>
        <w:rPr>
          <w:color w:val="231F20"/>
          <w:spacing w:val="-13"/>
        </w:rPr>
        <w:t> </w:t>
      </w:r>
      <w:r>
        <w:rPr>
          <w:color w:val="231F20"/>
        </w:rPr>
        <w:t>costos</w:t>
      </w:r>
      <w:r>
        <w:rPr>
          <w:color w:val="231F20"/>
          <w:spacing w:val="-13"/>
        </w:rPr>
        <w:t> </w:t>
      </w:r>
      <w:r>
        <w:rPr>
          <w:color w:val="231F20"/>
        </w:rPr>
        <w:t>derivados</w:t>
      </w:r>
      <w:r>
        <w:rPr>
          <w:color w:val="231F20"/>
          <w:spacing w:val="-13"/>
        </w:rPr>
        <w:t> </w:t>
      </w:r>
      <w:r>
        <w:rPr>
          <w:color w:val="231F20"/>
        </w:rPr>
        <w:t>de</w:t>
      </w:r>
      <w:r>
        <w:rPr>
          <w:color w:val="231F20"/>
          <w:spacing w:val="-13"/>
        </w:rPr>
        <w:t> </w:t>
      </w:r>
      <w:r>
        <w:rPr>
          <w:color w:val="231F20"/>
        </w:rPr>
        <w:t>la recontratación</w:t>
      </w:r>
      <w:r>
        <w:rPr>
          <w:color w:val="231F20"/>
          <w:spacing w:val="-5"/>
        </w:rPr>
        <w:t> </w:t>
      </w:r>
      <w:r>
        <w:rPr>
          <w:color w:val="231F20"/>
        </w:rPr>
        <w:t>con</w:t>
      </w:r>
      <w:r>
        <w:rPr>
          <w:color w:val="231F20"/>
          <w:spacing w:val="-5"/>
        </w:rPr>
        <w:t> </w:t>
      </w:r>
      <w:r>
        <w:rPr>
          <w:color w:val="231F20"/>
        </w:rPr>
        <w:t>otros</w:t>
      </w:r>
      <w:r>
        <w:rPr>
          <w:color w:val="231F20"/>
          <w:spacing w:val="-5"/>
        </w:rPr>
        <w:t> </w:t>
      </w:r>
      <w:r>
        <w:rPr>
          <w:color w:val="231F20"/>
        </w:rPr>
        <w:t>suministradores.</w:t>
      </w:r>
    </w:p>
    <w:p>
      <w:pPr>
        <w:pStyle w:val="BodyText"/>
        <w:spacing w:before="168"/>
        <w:ind w:left="1133"/>
      </w:pPr>
      <w:r>
        <w:rPr>
          <w:color w:val="231F20"/>
          <w:spacing w:val="-2"/>
        </w:rPr>
        <w:t>La</w:t>
      </w:r>
      <w:r>
        <w:rPr>
          <w:color w:val="231F20"/>
          <w:spacing w:val="-6"/>
        </w:rPr>
        <w:t> </w:t>
      </w:r>
      <w:r>
        <w:rPr>
          <w:color w:val="231F20"/>
          <w:spacing w:val="-2"/>
        </w:rPr>
        <w:t>industria</w:t>
      </w:r>
      <w:r>
        <w:rPr>
          <w:color w:val="231F20"/>
          <w:spacing w:val="-6"/>
        </w:rPr>
        <w:t> </w:t>
      </w:r>
      <w:r>
        <w:rPr>
          <w:color w:val="231F20"/>
          <w:spacing w:val="-2"/>
        </w:rPr>
        <w:t>sidero-mecánica</w:t>
      </w:r>
      <w:r>
        <w:rPr>
          <w:color w:val="231F20"/>
          <w:spacing w:val="-6"/>
        </w:rPr>
        <w:t> </w:t>
      </w:r>
      <w:r>
        <w:rPr>
          <w:color w:val="231F20"/>
          <w:spacing w:val="-2"/>
        </w:rPr>
        <w:t>reportó</w:t>
      </w:r>
      <w:r>
        <w:rPr>
          <w:color w:val="231F20"/>
          <w:spacing w:val="-6"/>
        </w:rPr>
        <w:t> </w:t>
      </w:r>
      <w:r>
        <w:rPr>
          <w:color w:val="231F20"/>
          <w:spacing w:val="-2"/>
        </w:rPr>
        <w:t>afec- </w:t>
      </w:r>
      <w:r>
        <w:rPr>
          <w:color w:val="231F20"/>
          <w:spacing w:val="-4"/>
        </w:rPr>
        <w:t>taciones</w:t>
      </w:r>
      <w:r>
        <w:rPr>
          <w:color w:val="231F20"/>
          <w:spacing w:val="-9"/>
        </w:rPr>
        <w:t> </w:t>
      </w:r>
      <w:r>
        <w:rPr>
          <w:color w:val="231F20"/>
          <w:spacing w:val="-4"/>
        </w:rPr>
        <w:t>a</w:t>
      </w:r>
      <w:r>
        <w:rPr>
          <w:color w:val="231F20"/>
          <w:spacing w:val="-9"/>
        </w:rPr>
        <w:t> </w:t>
      </w:r>
      <w:r>
        <w:rPr>
          <w:color w:val="231F20"/>
          <w:spacing w:val="-4"/>
        </w:rPr>
        <w:t>la</w:t>
      </w:r>
      <w:r>
        <w:rPr>
          <w:color w:val="231F20"/>
          <w:spacing w:val="-9"/>
        </w:rPr>
        <w:t> </w:t>
      </w:r>
      <w:r>
        <w:rPr>
          <w:color w:val="231F20"/>
          <w:spacing w:val="-4"/>
        </w:rPr>
        <w:t>producción</w:t>
      </w:r>
      <w:r>
        <w:rPr>
          <w:color w:val="231F20"/>
          <w:spacing w:val="-9"/>
        </w:rPr>
        <w:t> </w:t>
      </w:r>
      <w:r>
        <w:rPr>
          <w:color w:val="231F20"/>
          <w:spacing w:val="-4"/>
        </w:rPr>
        <w:t>que</w:t>
      </w:r>
      <w:r>
        <w:rPr>
          <w:color w:val="231F20"/>
          <w:spacing w:val="-9"/>
        </w:rPr>
        <w:t> </w:t>
      </w:r>
      <w:r>
        <w:rPr>
          <w:color w:val="231F20"/>
          <w:spacing w:val="-4"/>
        </w:rPr>
        <w:t>ascendieron</w:t>
      </w:r>
      <w:r>
        <w:rPr>
          <w:color w:val="231F20"/>
          <w:spacing w:val="-9"/>
        </w:rPr>
        <w:t> </w:t>
      </w:r>
      <w:r>
        <w:rPr>
          <w:color w:val="231F20"/>
          <w:spacing w:val="-4"/>
        </w:rPr>
        <w:t>a </w:t>
      </w:r>
      <w:r>
        <w:rPr>
          <w:color w:val="231F20"/>
          <w:spacing w:val="-2"/>
        </w:rPr>
        <w:t>unos</w:t>
      </w:r>
      <w:r>
        <w:rPr>
          <w:color w:val="231F20"/>
          <w:spacing w:val="-15"/>
        </w:rPr>
        <w:t> </w:t>
      </w:r>
      <w:r>
        <w:rPr>
          <w:color w:val="231F20"/>
          <w:spacing w:val="-2"/>
        </w:rPr>
        <w:t>9</w:t>
      </w:r>
      <w:r>
        <w:rPr>
          <w:color w:val="231F20"/>
          <w:spacing w:val="-14"/>
        </w:rPr>
        <w:t> </w:t>
      </w:r>
      <w:r>
        <w:rPr>
          <w:color w:val="231F20"/>
          <w:spacing w:val="-2"/>
        </w:rPr>
        <w:t>millones</w:t>
      </w:r>
      <w:r>
        <w:rPr>
          <w:color w:val="231F20"/>
          <w:spacing w:val="-14"/>
        </w:rPr>
        <w:t> </w:t>
      </w:r>
      <w:r>
        <w:rPr>
          <w:color w:val="231F20"/>
          <w:spacing w:val="-2"/>
        </w:rPr>
        <w:t>172</w:t>
      </w:r>
      <w:r>
        <w:rPr>
          <w:color w:val="231F20"/>
          <w:spacing w:val="-15"/>
        </w:rPr>
        <w:t> </w:t>
      </w:r>
      <w:r>
        <w:rPr>
          <w:color w:val="231F20"/>
          <w:spacing w:val="-2"/>
        </w:rPr>
        <w:t>mil</w:t>
      </w:r>
      <w:r>
        <w:rPr>
          <w:color w:val="231F20"/>
          <w:spacing w:val="-14"/>
        </w:rPr>
        <w:t> </w:t>
      </w:r>
      <w:r>
        <w:rPr>
          <w:color w:val="231F20"/>
          <w:spacing w:val="-2"/>
        </w:rPr>
        <w:t>568</w:t>
      </w:r>
      <w:r>
        <w:rPr>
          <w:color w:val="231F20"/>
          <w:spacing w:val="-14"/>
        </w:rPr>
        <w:t> </w:t>
      </w:r>
      <w:r>
        <w:rPr>
          <w:color w:val="231F20"/>
          <w:spacing w:val="-2"/>
        </w:rPr>
        <w:t>dólares,</w:t>
      </w:r>
      <w:r>
        <w:rPr>
          <w:color w:val="231F20"/>
          <w:spacing w:val="-15"/>
        </w:rPr>
        <w:t> </w:t>
      </w:r>
      <w:r>
        <w:rPr>
          <w:color w:val="231F20"/>
          <w:spacing w:val="-2"/>
        </w:rPr>
        <w:t>a</w:t>
      </w:r>
      <w:r>
        <w:rPr>
          <w:color w:val="231F20"/>
          <w:spacing w:val="-14"/>
        </w:rPr>
        <w:t> </w:t>
      </w:r>
      <w:r>
        <w:rPr>
          <w:color w:val="231F20"/>
          <w:spacing w:val="-2"/>
        </w:rPr>
        <w:t>cau- </w:t>
      </w:r>
      <w:r>
        <w:rPr>
          <w:color w:val="231F20"/>
        </w:rPr>
        <w:t>sa</w:t>
      </w:r>
      <w:r>
        <w:rPr>
          <w:color w:val="231F20"/>
          <w:spacing w:val="-16"/>
        </w:rPr>
        <w:t> </w:t>
      </w:r>
      <w:r>
        <w:rPr>
          <w:color w:val="231F20"/>
        </w:rPr>
        <w:t>de</w:t>
      </w:r>
      <w:r>
        <w:rPr>
          <w:color w:val="231F20"/>
          <w:spacing w:val="-16"/>
        </w:rPr>
        <w:t> </w:t>
      </w:r>
      <w:r>
        <w:rPr>
          <w:color w:val="231F20"/>
        </w:rPr>
        <w:t>las</w:t>
      </w:r>
      <w:r>
        <w:rPr>
          <w:color w:val="231F20"/>
          <w:spacing w:val="-16"/>
        </w:rPr>
        <w:t> </w:t>
      </w:r>
      <w:r>
        <w:rPr>
          <w:color w:val="231F20"/>
        </w:rPr>
        <w:t>dificultades</w:t>
      </w:r>
      <w:r>
        <w:rPr>
          <w:color w:val="231F20"/>
          <w:spacing w:val="-16"/>
        </w:rPr>
        <w:t> </w:t>
      </w:r>
      <w:r>
        <w:rPr>
          <w:color w:val="231F20"/>
        </w:rPr>
        <w:t>para</w:t>
      </w:r>
      <w:r>
        <w:rPr>
          <w:color w:val="231F20"/>
          <w:spacing w:val="-16"/>
        </w:rPr>
        <w:t> </w:t>
      </w:r>
      <w:r>
        <w:rPr>
          <w:color w:val="231F20"/>
        </w:rPr>
        <w:t>acceder</w:t>
      </w:r>
      <w:r>
        <w:rPr>
          <w:color w:val="231F20"/>
          <w:spacing w:val="-16"/>
        </w:rPr>
        <w:t> </w:t>
      </w:r>
      <w:r>
        <w:rPr>
          <w:color w:val="231F20"/>
        </w:rPr>
        <w:t>a</w:t>
      </w:r>
      <w:r>
        <w:rPr>
          <w:color w:val="231F20"/>
          <w:spacing w:val="-16"/>
        </w:rPr>
        <w:t> </w:t>
      </w:r>
      <w:r>
        <w:rPr>
          <w:color w:val="231F20"/>
        </w:rPr>
        <w:t>los</w:t>
      </w:r>
      <w:r>
        <w:rPr>
          <w:color w:val="231F20"/>
          <w:spacing w:val="-16"/>
        </w:rPr>
        <w:t> </w:t>
      </w:r>
      <w:r>
        <w:rPr>
          <w:color w:val="231F20"/>
        </w:rPr>
        <w:t>in- sumos</w:t>
      </w:r>
      <w:r>
        <w:rPr>
          <w:color w:val="231F20"/>
          <w:spacing w:val="-10"/>
        </w:rPr>
        <w:t> </w:t>
      </w:r>
      <w:r>
        <w:rPr>
          <w:color w:val="231F20"/>
        </w:rPr>
        <w:t>necesarios</w:t>
      </w:r>
      <w:r>
        <w:rPr>
          <w:color w:val="231F20"/>
          <w:spacing w:val="-10"/>
        </w:rPr>
        <w:t> </w:t>
      </w:r>
      <w:r>
        <w:rPr>
          <w:color w:val="231F20"/>
        </w:rPr>
        <w:t>y</w:t>
      </w:r>
      <w:r>
        <w:rPr>
          <w:color w:val="231F20"/>
          <w:spacing w:val="-10"/>
        </w:rPr>
        <w:t> </w:t>
      </w:r>
      <w:r>
        <w:rPr>
          <w:color w:val="231F20"/>
        </w:rPr>
        <w:t>a</w:t>
      </w:r>
      <w:r>
        <w:rPr>
          <w:color w:val="231F20"/>
          <w:spacing w:val="-10"/>
        </w:rPr>
        <w:t> </w:t>
      </w:r>
      <w:r>
        <w:rPr>
          <w:color w:val="231F20"/>
        </w:rPr>
        <w:t>la</w:t>
      </w:r>
      <w:r>
        <w:rPr>
          <w:color w:val="231F20"/>
          <w:spacing w:val="-10"/>
        </w:rPr>
        <w:t> </w:t>
      </w:r>
      <w:r>
        <w:rPr>
          <w:color w:val="231F20"/>
        </w:rPr>
        <w:t>contracción</w:t>
      </w:r>
      <w:r>
        <w:rPr>
          <w:color w:val="231F20"/>
          <w:spacing w:val="-10"/>
        </w:rPr>
        <w:t> </w:t>
      </w:r>
      <w:r>
        <w:rPr>
          <w:color w:val="231F20"/>
        </w:rPr>
        <w:t>de</w:t>
      </w:r>
      <w:r>
        <w:rPr>
          <w:color w:val="231F20"/>
          <w:spacing w:val="-10"/>
        </w:rPr>
        <w:t> </w:t>
      </w:r>
      <w:r>
        <w:rPr>
          <w:color w:val="231F20"/>
        </w:rPr>
        <w:t>las importaciones.</w:t>
      </w:r>
      <w:r>
        <w:rPr>
          <w:color w:val="231F20"/>
          <w:spacing w:val="-17"/>
        </w:rPr>
        <w:t> </w:t>
      </w:r>
      <w:r>
        <w:rPr>
          <w:color w:val="231F20"/>
        </w:rPr>
        <w:t>Los</w:t>
      </w:r>
      <w:r>
        <w:rPr>
          <w:color w:val="231F20"/>
          <w:spacing w:val="-16"/>
        </w:rPr>
        <w:t> </w:t>
      </w:r>
      <w:r>
        <w:rPr>
          <w:color w:val="231F20"/>
        </w:rPr>
        <w:t>bienes</w:t>
      </w:r>
      <w:r>
        <w:rPr>
          <w:color w:val="231F20"/>
          <w:spacing w:val="-17"/>
        </w:rPr>
        <w:t> </w:t>
      </w:r>
      <w:r>
        <w:rPr>
          <w:color w:val="231F20"/>
        </w:rPr>
        <w:t>dejados</w:t>
      </w:r>
      <w:r>
        <w:rPr>
          <w:color w:val="231F20"/>
          <w:spacing w:val="-16"/>
        </w:rPr>
        <w:t> </w:t>
      </w:r>
      <w:r>
        <w:rPr>
          <w:color w:val="231F20"/>
        </w:rPr>
        <w:t>de</w:t>
      </w:r>
      <w:r>
        <w:rPr>
          <w:color w:val="231F20"/>
          <w:spacing w:val="-17"/>
        </w:rPr>
        <w:t> </w:t>
      </w:r>
      <w:r>
        <w:rPr>
          <w:color w:val="231F20"/>
        </w:rPr>
        <w:t>pro- </w:t>
      </w:r>
      <w:r>
        <w:rPr>
          <w:color w:val="231F20"/>
          <w:spacing w:val="-4"/>
        </w:rPr>
        <w:t>ducir</w:t>
      </w:r>
      <w:r>
        <w:rPr>
          <w:color w:val="231F20"/>
          <w:spacing w:val="-11"/>
        </w:rPr>
        <w:t> </w:t>
      </w:r>
      <w:r>
        <w:rPr>
          <w:color w:val="231F20"/>
          <w:spacing w:val="-4"/>
        </w:rPr>
        <w:t>no</w:t>
      </w:r>
      <w:r>
        <w:rPr>
          <w:color w:val="231F20"/>
          <w:spacing w:val="-11"/>
        </w:rPr>
        <w:t> </w:t>
      </w:r>
      <w:r>
        <w:rPr>
          <w:color w:val="231F20"/>
          <w:spacing w:val="-4"/>
        </w:rPr>
        <w:t>solo</w:t>
      </w:r>
      <w:r>
        <w:rPr>
          <w:color w:val="231F20"/>
          <w:spacing w:val="-11"/>
        </w:rPr>
        <w:t> </w:t>
      </w:r>
      <w:r>
        <w:rPr>
          <w:color w:val="231F20"/>
          <w:spacing w:val="-4"/>
        </w:rPr>
        <w:t>afectaron</w:t>
      </w:r>
      <w:r>
        <w:rPr>
          <w:color w:val="231F20"/>
          <w:spacing w:val="-11"/>
        </w:rPr>
        <w:t> </w:t>
      </w:r>
      <w:r>
        <w:rPr>
          <w:color w:val="231F20"/>
          <w:spacing w:val="-4"/>
        </w:rPr>
        <w:t>a</w:t>
      </w:r>
      <w:r>
        <w:rPr>
          <w:color w:val="231F20"/>
          <w:spacing w:val="-11"/>
        </w:rPr>
        <w:t> </w:t>
      </w:r>
      <w:r>
        <w:rPr>
          <w:color w:val="231F20"/>
          <w:spacing w:val="-4"/>
        </w:rPr>
        <w:t>las</w:t>
      </w:r>
      <w:r>
        <w:rPr>
          <w:color w:val="231F20"/>
          <w:spacing w:val="-11"/>
        </w:rPr>
        <w:t> </w:t>
      </w:r>
      <w:r>
        <w:rPr>
          <w:color w:val="231F20"/>
          <w:spacing w:val="-4"/>
        </w:rPr>
        <w:t>empresas,</w:t>
      </w:r>
      <w:r>
        <w:rPr>
          <w:color w:val="231F20"/>
          <w:spacing w:val="-11"/>
        </w:rPr>
        <w:t> </w:t>
      </w:r>
      <w:r>
        <w:rPr>
          <w:color w:val="231F20"/>
          <w:spacing w:val="-4"/>
        </w:rPr>
        <w:t>sino </w:t>
      </w:r>
      <w:r>
        <w:rPr>
          <w:color w:val="231F20"/>
        </w:rPr>
        <w:t>que</w:t>
      </w:r>
      <w:r>
        <w:rPr>
          <w:color w:val="231F20"/>
          <w:spacing w:val="-10"/>
        </w:rPr>
        <w:t> </w:t>
      </w:r>
      <w:r>
        <w:rPr>
          <w:color w:val="231F20"/>
        </w:rPr>
        <w:t>también</w:t>
      </w:r>
      <w:r>
        <w:rPr>
          <w:color w:val="231F20"/>
          <w:spacing w:val="-10"/>
        </w:rPr>
        <w:t> </w:t>
      </w:r>
      <w:r>
        <w:rPr>
          <w:color w:val="231F20"/>
        </w:rPr>
        <w:t>incidieron</w:t>
      </w:r>
      <w:r>
        <w:rPr>
          <w:color w:val="231F20"/>
          <w:spacing w:val="-10"/>
        </w:rPr>
        <w:t> </w:t>
      </w:r>
      <w:r>
        <w:rPr>
          <w:color w:val="231F20"/>
        </w:rPr>
        <w:t>negativamente</w:t>
      </w:r>
      <w:r>
        <w:rPr>
          <w:color w:val="231F20"/>
          <w:spacing w:val="-10"/>
        </w:rPr>
        <w:t> </w:t>
      </w:r>
      <w:r>
        <w:rPr>
          <w:color w:val="231F20"/>
        </w:rPr>
        <w:t>en </w:t>
      </w:r>
      <w:r>
        <w:rPr>
          <w:color w:val="231F20"/>
          <w:spacing w:val="-2"/>
        </w:rPr>
        <w:t>el</w:t>
      </w:r>
      <w:r>
        <w:rPr>
          <w:color w:val="231F20"/>
          <w:spacing w:val="-15"/>
        </w:rPr>
        <w:t> </w:t>
      </w:r>
      <w:r>
        <w:rPr>
          <w:color w:val="231F20"/>
          <w:spacing w:val="-2"/>
        </w:rPr>
        <w:t>cumplimiento</w:t>
      </w:r>
      <w:r>
        <w:rPr>
          <w:color w:val="231F20"/>
          <w:spacing w:val="-14"/>
        </w:rPr>
        <w:t> </w:t>
      </w:r>
      <w:r>
        <w:rPr>
          <w:color w:val="231F20"/>
          <w:spacing w:val="-2"/>
        </w:rPr>
        <w:t>del</w:t>
      </w:r>
      <w:r>
        <w:rPr>
          <w:color w:val="231F20"/>
          <w:spacing w:val="-15"/>
        </w:rPr>
        <w:t> </w:t>
      </w:r>
      <w:r>
        <w:rPr>
          <w:color w:val="231F20"/>
          <w:spacing w:val="-2"/>
        </w:rPr>
        <w:t>Programa</w:t>
      </w:r>
      <w:r>
        <w:rPr>
          <w:color w:val="231F20"/>
          <w:spacing w:val="-14"/>
        </w:rPr>
        <w:t> </w:t>
      </w:r>
      <w:r>
        <w:rPr>
          <w:color w:val="231F20"/>
          <w:spacing w:val="-2"/>
        </w:rPr>
        <w:t>Nacional</w:t>
      </w:r>
      <w:r>
        <w:rPr>
          <w:color w:val="231F20"/>
          <w:spacing w:val="-15"/>
        </w:rPr>
        <w:t> </w:t>
      </w:r>
      <w:r>
        <w:rPr>
          <w:color w:val="231F20"/>
          <w:spacing w:val="-2"/>
        </w:rPr>
        <w:t>de </w:t>
      </w:r>
      <w:r>
        <w:rPr>
          <w:color w:val="231F20"/>
          <w:spacing w:val="-4"/>
        </w:rPr>
        <w:t>Construcción</w:t>
      </w:r>
      <w:r>
        <w:rPr>
          <w:color w:val="231F20"/>
          <w:spacing w:val="-7"/>
        </w:rPr>
        <w:t> </w:t>
      </w:r>
      <w:r>
        <w:rPr>
          <w:color w:val="231F20"/>
          <w:spacing w:val="-4"/>
        </w:rPr>
        <w:t>de</w:t>
      </w:r>
      <w:r>
        <w:rPr>
          <w:color w:val="231F20"/>
          <w:spacing w:val="-7"/>
        </w:rPr>
        <w:t> </w:t>
      </w:r>
      <w:r>
        <w:rPr>
          <w:color w:val="231F20"/>
          <w:spacing w:val="-4"/>
        </w:rPr>
        <w:t>Viviendas,</w:t>
      </w:r>
      <w:r>
        <w:rPr>
          <w:color w:val="231F20"/>
          <w:spacing w:val="-7"/>
        </w:rPr>
        <w:t> </w:t>
      </w:r>
      <w:r>
        <w:rPr>
          <w:color w:val="231F20"/>
          <w:spacing w:val="-4"/>
        </w:rPr>
        <w:t>con</w:t>
      </w:r>
      <w:r>
        <w:rPr>
          <w:color w:val="231F20"/>
          <w:spacing w:val="-7"/>
        </w:rPr>
        <w:t> </w:t>
      </w:r>
      <w:r>
        <w:rPr>
          <w:color w:val="231F20"/>
          <w:spacing w:val="-4"/>
        </w:rPr>
        <w:t>un</w:t>
      </w:r>
      <w:r>
        <w:rPr>
          <w:color w:val="231F20"/>
          <w:spacing w:val="-7"/>
        </w:rPr>
        <w:t> </w:t>
      </w:r>
      <w:r>
        <w:rPr>
          <w:color w:val="231F20"/>
          <w:spacing w:val="-4"/>
        </w:rPr>
        <w:t>impacto en</w:t>
      </w:r>
      <w:r>
        <w:rPr>
          <w:color w:val="231F20"/>
          <w:spacing w:val="-11"/>
        </w:rPr>
        <w:t> </w:t>
      </w:r>
      <w:r>
        <w:rPr>
          <w:color w:val="231F20"/>
          <w:spacing w:val="-4"/>
        </w:rPr>
        <w:t>la</w:t>
      </w:r>
      <w:r>
        <w:rPr>
          <w:color w:val="231F20"/>
          <w:spacing w:val="-11"/>
        </w:rPr>
        <w:t> </w:t>
      </w:r>
      <w:r>
        <w:rPr>
          <w:color w:val="231F20"/>
          <w:spacing w:val="-4"/>
        </w:rPr>
        <w:t>disponibilidad</w:t>
      </w:r>
      <w:r>
        <w:rPr>
          <w:color w:val="231F20"/>
          <w:spacing w:val="-11"/>
        </w:rPr>
        <w:t> </w:t>
      </w:r>
      <w:r>
        <w:rPr>
          <w:color w:val="231F20"/>
          <w:spacing w:val="-4"/>
        </w:rPr>
        <w:t>de</w:t>
      </w:r>
      <w:r>
        <w:rPr>
          <w:color w:val="231F20"/>
          <w:spacing w:val="-11"/>
        </w:rPr>
        <w:t> </w:t>
      </w:r>
      <w:r>
        <w:rPr>
          <w:color w:val="231F20"/>
          <w:spacing w:val="-4"/>
        </w:rPr>
        <w:t>carpintería</w:t>
      </w:r>
      <w:r>
        <w:rPr>
          <w:color w:val="231F20"/>
          <w:spacing w:val="-11"/>
        </w:rPr>
        <w:t> </w:t>
      </w:r>
      <w:r>
        <w:rPr>
          <w:color w:val="231F20"/>
          <w:spacing w:val="-4"/>
        </w:rPr>
        <w:t>metálica, </w:t>
      </w:r>
      <w:r>
        <w:rPr>
          <w:color w:val="231F20"/>
        </w:rPr>
        <w:t>grifería, cubiertas ligeras metálicas, vigas, entre otros materiales.</w:t>
      </w:r>
    </w:p>
    <w:p>
      <w:pPr>
        <w:spacing w:before="169"/>
        <w:ind w:left="1133" w:right="8" w:firstLine="0"/>
        <w:jc w:val="both"/>
        <w:rPr>
          <w:rFonts w:ascii="Segoe UI Semibold" w:hAnsi="Segoe UI Semibold"/>
          <w:b/>
          <w:i/>
          <w:sz w:val="24"/>
        </w:rPr>
      </w:pPr>
      <w:r>
        <w:rPr>
          <w:rFonts w:ascii="Segoe UI Semibold" w:hAnsi="Segoe UI Semibold"/>
          <w:b/>
          <w:i/>
          <w:color w:val="231F20"/>
          <w:spacing w:val="-6"/>
          <w:sz w:val="24"/>
        </w:rPr>
        <w:t>En</w:t>
      </w:r>
      <w:r>
        <w:rPr>
          <w:rFonts w:ascii="Segoe UI Semibold" w:hAnsi="Segoe UI Semibold"/>
          <w:b/>
          <w:i/>
          <w:color w:val="231F20"/>
          <w:spacing w:val="-11"/>
          <w:sz w:val="24"/>
        </w:rPr>
        <w:t> </w:t>
      </w:r>
      <w:r>
        <w:rPr>
          <w:rFonts w:ascii="Segoe UI Semibold" w:hAnsi="Segoe UI Semibold"/>
          <w:b/>
          <w:i/>
          <w:color w:val="231F20"/>
          <w:spacing w:val="-6"/>
          <w:sz w:val="24"/>
        </w:rPr>
        <w:t>otro</w:t>
      </w:r>
      <w:r>
        <w:rPr>
          <w:rFonts w:ascii="Segoe UI Semibold" w:hAnsi="Segoe UI Semibold"/>
          <w:b/>
          <w:i/>
          <w:color w:val="231F20"/>
          <w:spacing w:val="-10"/>
          <w:sz w:val="24"/>
        </w:rPr>
        <w:t> </w:t>
      </w:r>
      <w:r>
        <w:rPr>
          <w:rFonts w:ascii="Segoe UI Semibold" w:hAnsi="Segoe UI Semibold"/>
          <w:b/>
          <w:i/>
          <w:color w:val="231F20"/>
          <w:spacing w:val="-6"/>
          <w:sz w:val="24"/>
        </w:rPr>
        <w:t>orden,</w:t>
      </w:r>
      <w:r>
        <w:rPr>
          <w:rFonts w:ascii="Segoe UI Semibold" w:hAnsi="Segoe UI Semibold"/>
          <w:b/>
          <w:i/>
          <w:color w:val="231F20"/>
          <w:spacing w:val="-11"/>
          <w:sz w:val="24"/>
        </w:rPr>
        <w:t> </w:t>
      </w:r>
      <w:r>
        <w:rPr>
          <w:rFonts w:ascii="Segoe UI Semibold" w:hAnsi="Segoe UI Semibold"/>
          <w:b/>
          <w:i/>
          <w:color w:val="231F20"/>
          <w:spacing w:val="-6"/>
          <w:sz w:val="24"/>
        </w:rPr>
        <w:t>los</w:t>
      </w:r>
      <w:r>
        <w:rPr>
          <w:rFonts w:ascii="Segoe UI Semibold" w:hAnsi="Segoe UI Semibold"/>
          <w:b/>
          <w:i/>
          <w:color w:val="231F20"/>
          <w:spacing w:val="-10"/>
          <w:sz w:val="24"/>
        </w:rPr>
        <w:t> </w:t>
      </w:r>
      <w:r>
        <w:rPr>
          <w:rFonts w:ascii="Segoe UI Semibold" w:hAnsi="Segoe UI Semibold"/>
          <w:b/>
          <w:i/>
          <w:color w:val="231F20"/>
          <w:spacing w:val="-6"/>
          <w:sz w:val="24"/>
        </w:rPr>
        <w:t>daños</w:t>
      </w:r>
      <w:r>
        <w:rPr>
          <w:rFonts w:ascii="Segoe UI Semibold" w:hAnsi="Segoe UI Semibold"/>
          <w:b/>
          <w:i/>
          <w:color w:val="231F20"/>
          <w:spacing w:val="-11"/>
          <w:sz w:val="24"/>
        </w:rPr>
        <w:t> </w:t>
      </w:r>
      <w:r>
        <w:rPr>
          <w:rFonts w:ascii="Segoe UI Semibold" w:hAnsi="Segoe UI Semibold"/>
          <w:b/>
          <w:i/>
          <w:color w:val="231F20"/>
          <w:spacing w:val="-6"/>
          <w:sz w:val="24"/>
        </w:rPr>
        <w:t>ocasionados</w:t>
      </w:r>
      <w:r>
        <w:rPr>
          <w:rFonts w:ascii="Segoe UI Semibold" w:hAnsi="Segoe UI Semibold"/>
          <w:b/>
          <w:i/>
          <w:color w:val="231F20"/>
          <w:spacing w:val="-10"/>
          <w:sz w:val="24"/>
        </w:rPr>
        <w:t> </w:t>
      </w:r>
      <w:r>
        <w:rPr>
          <w:rFonts w:ascii="Segoe UI Semibold" w:hAnsi="Segoe UI Semibold"/>
          <w:b/>
          <w:i/>
          <w:color w:val="231F20"/>
          <w:spacing w:val="-6"/>
          <w:sz w:val="24"/>
        </w:rPr>
        <w:t>por</w:t>
      </w:r>
      <w:r>
        <w:rPr>
          <w:rFonts w:ascii="Segoe UI Semibold" w:hAnsi="Segoe UI Semibold"/>
          <w:b/>
          <w:i/>
          <w:color w:val="231F20"/>
          <w:spacing w:val="-11"/>
          <w:sz w:val="24"/>
        </w:rPr>
        <w:t> </w:t>
      </w:r>
      <w:r>
        <w:rPr>
          <w:rFonts w:ascii="Segoe UI Semibold" w:hAnsi="Segoe UI Semibold"/>
          <w:b/>
          <w:i/>
          <w:color w:val="231F20"/>
          <w:spacing w:val="-6"/>
          <w:sz w:val="24"/>
        </w:rPr>
        <w:t>el</w:t>
      </w:r>
      <w:r>
        <w:rPr>
          <w:rFonts w:ascii="Segoe UI Semibold" w:hAnsi="Segoe UI Semibold"/>
          <w:b/>
          <w:i/>
          <w:color w:val="231F20"/>
          <w:spacing w:val="-6"/>
          <w:sz w:val="24"/>
        </w:rPr>
        <w:t> </w:t>
      </w:r>
      <w:r>
        <w:rPr>
          <w:rFonts w:ascii="Segoe UI Semibold" w:hAnsi="Segoe UI Semibold"/>
          <w:b/>
          <w:i/>
          <w:color w:val="231F20"/>
          <w:spacing w:val="-10"/>
          <w:sz w:val="24"/>
        </w:rPr>
        <w:t>bloqueo</w:t>
      </w:r>
      <w:r>
        <w:rPr>
          <w:rFonts w:ascii="Segoe UI Semibold" w:hAnsi="Segoe UI Semibold"/>
          <w:b/>
          <w:i/>
          <w:color w:val="231F20"/>
          <w:spacing w:val="-6"/>
          <w:sz w:val="24"/>
        </w:rPr>
        <w:t> </w:t>
      </w:r>
      <w:r>
        <w:rPr>
          <w:rFonts w:ascii="Segoe UI Semibold" w:hAnsi="Segoe UI Semibold"/>
          <w:b/>
          <w:i/>
          <w:color w:val="231F20"/>
          <w:spacing w:val="-10"/>
          <w:sz w:val="24"/>
        </w:rPr>
        <w:t>al</w:t>
      </w:r>
      <w:r>
        <w:rPr>
          <w:rFonts w:ascii="Segoe UI Semibold" w:hAnsi="Segoe UI Semibold"/>
          <w:b/>
          <w:i/>
          <w:color w:val="231F20"/>
          <w:spacing w:val="-5"/>
          <w:sz w:val="24"/>
        </w:rPr>
        <w:t> </w:t>
      </w:r>
      <w:r>
        <w:rPr>
          <w:b/>
          <w:i/>
          <w:color w:val="B52628"/>
          <w:spacing w:val="-10"/>
          <w:sz w:val="24"/>
        </w:rPr>
        <w:t>sector</w:t>
      </w:r>
      <w:r>
        <w:rPr>
          <w:b/>
          <w:i/>
          <w:color w:val="B52628"/>
          <w:spacing w:val="-6"/>
          <w:sz w:val="24"/>
        </w:rPr>
        <w:t> </w:t>
      </w:r>
      <w:r>
        <w:rPr>
          <w:b/>
          <w:i/>
          <w:color w:val="B52628"/>
          <w:spacing w:val="-10"/>
          <w:sz w:val="24"/>
        </w:rPr>
        <w:t>del</w:t>
      </w:r>
      <w:r>
        <w:rPr>
          <w:b/>
          <w:i/>
          <w:color w:val="B52628"/>
          <w:spacing w:val="-6"/>
          <w:sz w:val="24"/>
        </w:rPr>
        <w:t> </w:t>
      </w:r>
      <w:r>
        <w:rPr>
          <w:b/>
          <w:i/>
          <w:color w:val="B52628"/>
          <w:spacing w:val="-10"/>
          <w:sz w:val="24"/>
        </w:rPr>
        <w:t>transporte</w:t>
      </w:r>
      <w:r>
        <w:rPr>
          <w:b/>
          <w:i/>
          <w:color w:val="B52628"/>
          <w:spacing w:val="-6"/>
          <w:sz w:val="24"/>
        </w:rPr>
        <w:t> </w:t>
      </w:r>
      <w:r>
        <w:rPr>
          <w:rFonts w:ascii="Segoe UI Semibold" w:hAnsi="Segoe UI Semibold"/>
          <w:b/>
          <w:i/>
          <w:color w:val="231F20"/>
          <w:spacing w:val="-10"/>
          <w:sz w:val="24"/>
        </w:rPr>
        <w:t>alcanzaron</w:t>
      </w:r>
      <w:r>
        <w:rPr>
          <w:rFonts w:ascii="Segoe UI Semibold" w:hAnsi="Segoe UI Semibold"/>
          <w:b/>
          <w:i/>
          <w:color w:val="231F20"/>
          <w:spacing w:val="-10"/>
          <w:sz w:val="24"/>
        </w:rPr>
        <w:t> </w:t>
      </w:r>
      <w:r>
        <w:rPr>
          <w:rFonts w:ascii="Segoe UI Semibold" w:hAnsi="Segoe UI Semibold"/>
          <w:b/>
          <w:i/>
          <w:color w:val="231F20"/>
          <w:spacing w:val="-14"/>
          <w:sz w:val="24"/>
        </w:rPr>
        <w:t>la</w:t>
      </w:r>
      <w:r>
        <w:rPr>
          <w:rFonts w:ascii="Segoe UI Semibold" w:hAnsi="Segoe UI Semibold"/>
          <w:b/>
          <w:i/>
          <w:color w:val="231F20"/>
          <w:sz w:val="24"/>
        </w:rPr>
        <w:t> </w:t>
      </w:r>
      <w:r>
        <w:rPr>
          <w:rFonts w:ascii="Segoe UI Semibold" w:hAnsi="Segoe UI Semibold"/>
          <w:b/>
          <w:i/>
          <w:color w:val="231F20"/>
          <w:spacing w:val="-14"/>
          <w:sz w:val="24"/>
        </w:rPr>
        <w:t>cifra</w:t>
      </w:r>
      <w:r>
        <w:rPr>
          <w:rFonts w:ascii="Segoe UI Semibold" w:hAnsi="Segoe UI Semibold"/>
          <w:b/>
          <w:i/>
          <w:color w:val="231F20"/>
          <w:sz w:val="24"/>
        </w:rPr>
        <w:t> </w:t>
      </w:r>
      <w:r>
        <w:rPr>
          <w:rFonts w:ascii="Segoe UI Semibold" w:hAnsi="Segoe UI Semibold"/>
          <w:b/>
          <w:i/>
          <w:color w:val="231F20"/>
          <w:spacing w:val="-14"/>
          <w:sz w:val="24"/>
        </w:rPr>
        <w:t>de</w:t>
      </w:r>
      <w:r>
        <w:rPr>
          <w:rFonts w:ascii="Segoe UI Semibold" w:hAnsi="Segoe UI Semibold"/>
          <w:b/>
          <w:i/>
          <w:color w:val="231F20"/>
          <w:sz w:val="24"/>
        </w:rPr>
        <w:t> </w:t>
      </w:r>
      <w:r>
        <w:rPr>
          <w:b/>
          <w:i/>
          <w:color w:val="231F20"/>
          <w:spacing w:val="-14"/>
          <w:sz w:val="24"/>
        </w:rPr>
        <w:t>202</w:t>
      </w:r>
      <w:r>
        <w:rPr>
          <w:b/>
          <w:i/>
          <w:color w:val="231F20"/>
          <w:sz w:val="24"/>
        </w:rPr>
        <w:t> </w:t>
      </w:r>
      <w:r>
        <w:rPr>
          <w:b/>
          <w:i/>
          <w:color w:val="231F20"/>
          <w:spacing w:val="-14"/>
          <w:sz w:val="24"/>
        </w:rPr>
        <w:t>millones</w:t>
      </w:r>
      <w:r>
        <w:rPr>
          <w:b/>
          <w:i/>
          <w:color w:val="231F20"/>
          <w:sz w:val="24"/>
        </w:rPr>
        <w:t> </w:t>
      </w:r>
      <w:r>
        <w:rPr>
          <w:b/>
          <w:i/>
          <w:color w:val="231F20"/>
          <w:spacing w:val="-14"/>
          <w:sz w:val="24"/>
        </w:rPr>
        <w:t>420</w:t>
      </w:r>
      <w:r>
        <w:rPr>
          <w:b/>
          <w:i/>
          <w:color w:val="231F20"/>
          <w:sz w:val="24"/>
        </w:rPr>
        <w:t> </w:t>
      </w:r>
      <w:r>
        <w:rPr>
          <w:b/>
          <w:i/>
          <w:color w:val="231F20"/>
          <w:spacing w:val="-14"/>
          <w:sz w:val="24"/>
        </w:rPr>
        <w:t>mil</w:t>
      </w:r>
      <w:r>
        <w:rPr>
          <w:b/>
          <w:i/>
          <w:color w:val="231F20"/>
          <w:sz w:val="24"/>
        </w:rPr>
        <w:t> </w:t>
      </w:r>
      <w:r>
        <w:rPr>
          <w:b/>
          <w:i/>
          <w:color w:val="231F20"/>
          <w:spacing w:val="-14"/>
          <w:sz w:val="24"/>
        </w:rPr>
        <w:t>140</w:t>
      </w:r>
      <w:r>
        <w:rPr>
          <w:b/>
          <w:i/>
          <w:color w:val="231F20"/>
          <w:sz w:val="24"/>
        </w:rPr>
        <w:t> </w:t>
      </w:r>
      <w:r>
        <w:rPr>
          <w:b/>
          <w:i/>
          <w:color w:val="231F20"/>
          <w:spacing w:val="-14"/>
          <w:sz w:val="24"/>
        </w:rPr>
        <w:t>dólares</w:t>
      </w:r>
      <w:r>
        <w:rPr>
          <w:b/>
          <w:i/>
          <w:color w:val="231F20"/>
          <w:spacing w:val="-14"/>
          <w:sz w:val="24"/>
        </w:rPr>
        <w:t> </w:t>
      </w:r>
      <w:r>
        <w:rPr>
          <w:b/>
          <w:i/>
          <w:color w:val="231F20"/>
          <w:spacing w:val="-2"/>
          <w:sz w:val="24"/>
        </w:rPr>
        <w:t>durante</w:t>
      </w:r>
      <w:r>
        <w:rPr>
          <w:b/>
          <w:i/>
          <w:color w:val="231F20"/>
          <w:spacing w:val="-20"/>
          <w:sz w:val="24"/>
        </w:rPr>
        <w:t> </w:t>
      </w:r>
      <w:r>
        <w:rPr>
          <w:b/>
          <w:i/>
          <w:color w:val="231F20"/>
          <w:spacing w:val="-2"/>
          <w:sz w:val="24"/>
        </w:rPr>
        <w:t>el</w:t>
      </w:r>
      <w:r>
        <w:rPr>
          <w:b/>
          <w:i/>
          <w:color w:val="231F20"/>
          <w:spacing w:val="-20"/>
          <w:sz w:val="24"/>
        </w:rPr>
        <w:t> </w:t>
      </w:r>
      <w:r>
        <w:rPr>
          <w:b/>
          <w:i/>
          <w:color w:val="231F20"/>
          <w:spacing w:val="-2"/>
          <w:sz w:val="24"/>
        </w:rPr>
        <w:t>período</w:t>
      </w:r>
      <w:r>
        <w:rPr>
          <w:b/>
          <w:i/>
          <w:color w:val="231F20"/>
          <w:spacing w:val="-20"/>
          <w:sz w:val="24"/>
        </w:rPr>
        <w:t> </w:t>
      </w:r>
      <w:r>
        <w:rPr>
          <w:b/>
          <w:i/>
          <w:color w:val="231F20"/>
          <w:spacing w:val="-2"/>
          <w:sz w:val="24"/>
        </w:rPr>
        <w:t>de</w:t>
      </w:r>
      <w:r>
        <w:rPr>
          <w:b/>
          <w:i/>
          <w:color w:val="231F20"/>
          <w:spacing w:val="-20"/>
          <w:sz w:val="24"/>
        </w:rPr>
        <w:t> </w:t>
      </w:r>
      <w:r>
        <w:rPr>
          <w:b/>
          <w:i/>
          <w:color w:val="231F20"/>
          <w:spacing w:val="-2"/>
          <w:sz w:val="24"/>
        </w:rPr>
        <w:t>análisis</w:t>
      </w:r>
      <w:r>
        <w:rPr>
          <w:rFonts w:ascii="Segoe UI Semibold" w:hAnsi="Segoe UI Semibold"/>
          <w:b/>
          <w:i/>
          <w:color w:val="231F20"/>
          <w:spacing w:val="-2"/>
          <w:sz w:val="24"/>
        </w:rPr>
        <w:t>.</w:t>
      </w:r>
    </w:p>
    <w:p>
      <w:pPr>
        <w:pStyle w:val="BodyText"/>
        <w:spacing w:before="160"/>
        <w:ind w:left="1133" w:right="1"/>
      </w:pPr>
      <w:r>
        <w:rPr>
          <w:color w:val="231F20"/>
        </w:rPr>
        <w:t>En</w:t>
      </w:r>
      <w:r>
        <w:rPr>
          <w:color w:val="231F20"/>
          <w:spacing w:val="80"/>
        </w:rPr>
        <w:t> </w:t>
      </w:r>
      <w:r>
        <w:rPr>
          <w:color w:val="231F20"/>
        </w:rPr>
        <w:t>los</w:t>
      </w:r>
      <w:r>
        <w:rPr>
          <w:color w:val="231F20"/>
          <w:spacing w:val="80"/>
        </w:rPr>
        <w:t> </w:t>
      </w:r>
      <w:r>
        <w:rPr>
          <w:color w:val="231F20"/>
        </w:rPr>
        <w:t>últimos</w:t>
      </w:r>
      <w:r>
        <w:rPr>
          <w:color w:val="231F20"/>
          <w:spacing w:val="80"/>
        </w:rPr>
        <w:t> </w:t>
      </w:r>
      <w:r>
        <w:rPr>
          <w:color w:val="231F20"/>
        </w:rPr>
        <w:t>tres</w:t>
      </w:r>
      <w:r>
        <w:rPr>
          <w:color w:val="231F20"/>
          <w:spacing w:val="80"/>
        </w:rPr>
        <w:t> </w:t>
      </w:r>
      <w:r>
        <w:rPr>
          <w:color w:val="231F20"/>
        </w:rPr>
        <w:t>años</w:t>
      </w:r>
      <w:r>
        <w:rPr>
          <w:color w:val="231F20"/>
          <w:spacing w:val="80"/>
        </w:rPr>
        <w:t> </w:t>
      </w:r>
      <w:r>
        <w:rPr>
          <w:color w:val="231F20"/>
        </w:rPr>
        <w:t>ha</w:t>
      </w:r>
      <w:r>
        <w:rPr>
          <w:color w:val="231F20"/>
          <w:spacing w:val="80"/>
        </w:rPr>
        <w:t> </w:t>
      </w:r>
      <w:r>
        <w:rPr>
          <w:color w:val="231F20"/>
        </w:rPr>
        <w:t>habido</w:t>
      </w:r>
      <w:r>
        <w:rPr>
          <w:color w:val="231F20"/>
          <w:spacing w:val="40"/>
        </w:rPr>
        <w:t> </w:t>
      </w:r>
      <w:r>
        <w:rPr>
          <w:color w:val="231F20"/>
        </w:rPr>
        <w:t>un deterioro progresivo de todas las </w:t>
      </w:r>
      <w:r>
        <w:rPr>
          <w:color w:val="231F20"/>
          <w:spacing w:val="-6"/>
        </w:rPr>
        <w:t>capacidades de transportación de pasajeros </w:t>
      </w:r>
      <w:r>
        <w:rPr>
          <w:color w:val="231F20"/>
        </w:rPr>
        <w:t>y de las infraestructuras, dada la baja disponibilidad</w:t>
      </w:r>
      <w:r>
        <w:rPr>
          <w:color w:val="231F20"/>
          <w:spacing w:val="40"/>
        </w:rPr>
        <w:t> </w:t>
      </w:r>
      <w:r>
        <w:rPr>
          <w:color w:val="231F20"/>
        </w:rPr>
        <w:t>técnica</w:t>
      </w:r>
      <w:r>
        <w:rPr>
          <w:color w:val="231F20"/>
          <w:spacing w:val="40"/>
        </w:rPr>
        <w:t> </w:t>
      </w:r>
      <w:r>
        <w:rPr>
          <w:color w:val="231F20"/>
        </w:rPr>
        <w:t>de</w:t>
      </w:r>
      <w:r>
        <w:rPr>
          <w:color w:val="231F20"/>
          <w:spacing w:val="40"/>
        </w:rPr>
        <w:t> </w:t>
      </w:r>
      <w:r>
        <w:rPr>
          <w:color w:val="231F20"/>
        </w:rPr>
        <w:t>los</w:t>
      </w:r>
      <w:r>
        <w:rPr>
          <w:color w:val="231F20"/>
          <w:spacing w:val="40"/>
        </w:rPr>
        <w:t> </w:t>
      </w:r>
      <w:r>
        <w:rPr>
          <w:color w:val="231F20"/>
        </w:rPr>
        <w:t>vehículos, la imposibilidad de acceder a piezas de </w:t>
      </w:r>
      <w:r>
        <w:rPr>
          <w:color w:val="231F20"/>
          <w:spacing w:val="-6"/>
        </w:rPr>
        <w:t>repuesto,</w:t>
      </w:r>
      <w:r>
        <w:rPr>
          <w:color w:val="231F20"/>
          <w:spacing w:val="-11"/>
        </w:rPr>
        <w:t> </w:t>
      </w:r>
      <w:r>
        <w:rPr>
          <w:color w:val="231F20"/>
          <w:spacing w:val="-6"/>
        </w:rPr>
        <w:t>tanto</w:t>
      </w:r>
      <w:r>
        <w:rPr>
          <w:color w:val="231F20"/>
          <w:spacing w:val="-10"/>
        </w:rPr>
        <w:t> </w:t>
      </w:r>
      <w:r>
        <w:rPr>
          <w:color w:val="231F20"/>
          <w:spacing w:val="-6"/>
        </w:rPr>
        <w:t>por</w:t>
      </w:r>
      <w:r>
        <w:rPr>
          <w:color w:val="231F20"/>
          <w:spacing w:val="-11"/>
        </w:rPr>
        <w:t> </w:t>
      </w:r>
      <w:r>
        <w:rPr>
          <w:color w:val="231F20"/>
          <w:spacing w:val="-6"/>
        </w:rPr>
        <w:t>la</w:t>
      </w:r>
      <w:r>
        <w:rPr>
          <w:color w:val="231F20"/>
          <w:spacing w:val="-10"/>
        </w:rPr>
        <w:t> </w:t>
      </w:r>
      <w:r>
        <w:rPr>
          <w:color w:val="231F20"/>
          <w:spacing w:val="-6"/>
        </w:rPr>
        <w:t>falta</w:t>
      </w:r>
      <w:r>
        <w:rPr>
          <w:color w:val="231F20"/>
          <w:spacing w:val="-11"/>
        </w:rPr>
        <w:t> </w:t>
      </w:r>
      <w:r>
        <w:rPr>
          <w:color w:val="231F20"/>
          <w:spacing w:val="-6"/>
        </w:rPr>
        <w:t>de</w:t>
      </w:r>
      <w:r>
        <w:rPr>
          <w:color w:val="231F20"/>
          <w:spacing w:val="-10"/>
        </w:rPr>
        <w:t> </w:t>
      </w:r>
      <w:r>
        <w:rPr>
          <w:color w:val="231F20"/>
          <w:spacing w:val="-6"/>
        </w:rPr>
        <w:t>liquidez</w:t>
      </w:r>
      <w:r>
        <w:rPr>
          <w:color w:val="231F20"/>
          <w:spacing w:val="-11"/>
        </w:rPr>
        <w:t> </w:t>
      </w:r>
      <w:r>
        <w:rPr>
          <w:color w:val="231F20"/>
          <w:spacing w:val="-6"/>
        </w:rPr>
        <w:t>como </w:t>
      </w:r>
      <w:r>
        <w:rPr>
          <w:color w:val="231F20"/>
        </w:rPr>
        <w:t>por</w:t>
      </w:r>
      <w:r>
        <w:rPr>
          <w:color w:val="231F20"/>
          <w:spacing w:val="-17"/>
        </w:rPr>
        <w:t> </w:t>
      </w:r>
      <w:r>
        <w:rPr>
          <w:color w:val="231F20"/>
        </w:rPr>
        <w:t>negativa</w:t>
      </w:r>
      <w:r>
        <w:rPr>
          <w:color w:val="231F20"/>
          <w:spacing w:val="-16"/>
        </w:rPr>
        <w:t> </w:t>
      </w:r>
      <w:r>
        <w:rPr>
          <w:color w:val="231F20"/>
        </w:rPr>
        <w:t>de</w:t>
      </w:r>
      <w:r>
        <w:rPr>
          <w:color w:val="231F20"/>
          <w:spacing w:val="-17"/>
        </w:rPr>
        <w:t> </w:t>
      </w:r>
      <w:r>
        <w:rPr>
          <w:color w:val="231F20"/>
        </w:rPr>
        <w:t>los</w:t>
      </w:r>
      <w:r>
        <w:rPr>
          <w:color w:val="231F20"/>
          <w:spacing w:val="-16"/>
        </w:rPr>
        <w:t> </w:t>
      </w:r>
      <w:r>
        <w:rPr>
          <w:color w:val="231F20"/>
        </w:rPr>
        <w:t>proveedores,</w:t>
      </w:r>
      <w:r>
        <w:rPr>
          <w:color w:val="231F20"/>
          <w:spacing w:val="-17"/>
        </w:rPr>
        <w:t> </w:t>
      </w:r>
      <w:r>
        <w:rPr>
          <w:color w:val="231F20"/>
        </w:rPr>
        <w:t>así</w:t>
      </w:r>
      <w:r>
        <w:rPr>
          <w:color w:val="231F20"/>
          <w:spacing w:val="-16"/>
        </w:rPr>
        <w:t> </w:t>
      </w:r>
      <w:r>
        <w:rPr>
          <w:color w:val="231F20"/>
        </w:rPr>
        <w:t>como las</w:t>
      </w:r>
      <w:r>
        <w:rPr>
          <w:color w:val="231F20"/>
          <w:spacing w:val="-2"/>
        </w:rPr>
        <w:t> </w:t>
      </w:r>
      <w:r>
        <w:rPr>
          <w:color w:val="231F20"/>
        </w:rPr>
        <w:t>medidas</w:t>
      </w:r>
      <w:r>
        <w:rPr>
          <w:color w:val="231F20"/>
          <w:spacing w:val="-2"/>
        </w:rPr>
        <w:t> </w:t>
      </w:r>
      <w:r>
        <w:rPr>
          <w:color w:val="231F20"/>
        </w:rPr>
        <w:t>adoptadas</w:t>
      </w:r>
      <w:r>
        <w:rPr>
          <w:color w:val="231F20"/>
          <w:spacing w:val="-2"/>
        </w:rPr>
        <w:t> </w:t>
      </w:r>
      <w:r>
        <w:rPr>
          <w:color w:val="231F20"/>
        </w:rPr>
        <w:t>desde</w:t>
      </w:r>
      <w:r>
        <w:rPr>
          <w:color w:val="231F20"/>
          <w:spacing w:val="-2"/>
        </w:rPr>
        <w:t> </w:t>
      </w:r>
      <w:r>
        <w:rPr>
          <w:color w:val="231F20"/>
        </w:rPr>
        <w:t>2019</w:t>
      </w:r>
      <w:r>
        <w:rPr>
          <w:color w:val="231F20"/>
          <w:spacing w:val="-2"/>
        </w:rPr>
        <w:t> </w:t>
      </w:r>
      <w:r>
        <w:rPr>
          <w:color w:val="231F20"/>
        </w:rPr>
        <w:t>por</w:t>
      </w:r>
      <w:r>
        <w:rPr>
          <w:color w:val="231F20"/>
          <w:spacing w:val="-2"/>
        </w:rPr>
        <w:t> </w:t>
      </w:r>
      <w:r>
        <w:rPr>
          <w:color w:val="231F20"/>
        </w:rPr>
        <w:t>el gobierno estadounidense para impedir los</w:t>
      </w:r>
      <w:r>
        <w:rPr>
          <w:color w:val="231F20"/>
          <w:spacing w:val="-2"/>
        </w:rPr>
        <w:t> </w:t>
      </w:r>
      <w:r>
        <w:rPr>
          <w:color w:val="231F20"/>
        </w:rPr>
        <w:t>suministros</w:t>
      </w:r>
      <w:r>
        <w:rPr>
          <w:color w:val="231F20"/>
          <w:spacing w:val="-2"/>
        </w:rPr>
        <w:t> </w:t>
      </w:r>
      <w:r>
        <w:rPr>
          <w:color w:val="231F20"/>
        </w:rPr>
        <w:t>de</w:t>
      </w:r>
      <w:r>
        <w:rPr>
          <w:color w:val="231F20"/>
          <w:spacing w:val="-2"/>
        </w:rPr>
        <w:t> </w:t>
      </w:r>
      <w:r>
        <w:rPr>
          <w:color w:val="231F20"/>
        </w:rPr>
        <w:t>combustible</w:t>
      </w:r>
      <w:r>
        <w:rPr>
          <w:color w:val="231F20"/>
          <w:spacing w:val="-2"/>
        </w:rPr>
        <w:t> </w:t>
      </w:r>
      <w:r>
        <w:rPr>
          <w:color w:val="231F20"/>
        </w:rPr>
        <w:t>a</w:t>
      </w:r>
      <w:r>
        <w:rPr>
          <w:color w:val="231F20"/>
          <w:spacing w:val="-2"/>
        </w:rPr>
        <w:t> </w:t>
      </w:r>
      <w:r>
        <w:rPr>
          <w:color w:val="231F20"/>
        </w:rPr>
        <w:t>Cuba,</w:t>
      </w:r>
      <w:r>
        <w:rPr>
          <w:color w:val="231F20"/>
          <w:spacing w:val="-2"/>
        </w:rPr>
        <w:t> </w:t>
      </w:r>
      <w:r>
        <w:rPr>
          <w:color w:val="231F20"/>
        </w:rPr>
        <w:t>lo que ha tenido un impacto devastador en </w:t>
      </w:r>
      <w:r>
        <w:rPr>
          <w:color w:val="231F20"/>
          <w:spacing w:val="-2"/>
        </w:rPr>
        <w:t>esta</w:t>
      </w:r>
      <w:r>
        <w:rPr>
          <w:color w:val="231F20"/>
          <w:spacing w:val="-15"/>
        </w:rPr>
        <w:t> </w:t>
      </w:r>
      <w:r>
        <w:rPr>
          <w:color w:val="231F20"/>
          <w:spacing w:val="-2"/>
        </w:rPr>
        <w:t>esfera.</w:t>
      </w:r>
      <w:r>
        <w:rPr>
          <w:color w:val="231F20"/>
          <w:spacing w:val="-14"/>
        </w:rPr>
        <w:t> </w:t>
      </w:r>
      <w:r>
        <w:rPr>
          <w:color w:val="231F20"/>
          <w:spacing w:val="-2"/>
        </w:rPr>
        <w:t>Esto</w:t>
      </w:r>
      <w:r>
        <w:rPr>
          <w:color w:val="231F20"/>
          <w:spacing w:val="-15"/>
        </w:rPr>
        <w:t> </w:t>
      </w:r>
      <w:r>
        <w:rPr>
          <w:color w:val="231F20"/>
          <w:spacing w:val="-2"/>
        </w:rPr>
        <w:t>ha</w:t>
      </w:r>
      <w:r>
        <w:rPr>
          <w:color w:val="231F20"/>
          <w:spacing w:val="-14"/>
        </w:rPr>
        <w:t> </w:t>
      </w:r>
      <w:r>
        <w:rPr>
          <w:color w:val="231F20"/>
          <w:spacing w:val="-2"/>
        </w:rPr>
        <w:t>derivado</w:t>
      </w:r>
      <w:r>
        <w:rPr>
          <w:color w:val="231F20"/>
          <w:spacing w:val="-15"/>
        </w:rPr>
        <w:t> </w:t>
      </w:r>
      <w:r>
        <w:rPr>
          <w:color w:val="231F20"/>
          <w:spacing w:val="-2"/>
        </w:rPr>
        <w:t>en</w:t>
      </w:r>
      <w:r>
        <w:rPr>
          <w:color w:val="231F20"/>
          <w:spacing w:val="-14"/>
        </w:rPr>
        <w:t> </w:t>
      </w:r>
      <w:r>
        <w:rPr>
          <w:color w:val="231F20"/>
          <w:spacing w:val="-2"/>
        </w:rPr>
        <w:t>una</w:t>
      </w:r>
      <w:r>
        <w:rPr>
          <w:color w:val="231F20"/>
          <w:spacing w:val="-15"/>
        </w:rPr>
        <w:t> </w:t>
      </w:r>
      <w:r>
        <w:rPr>
          <w:color w:val="231F20"/>
          <w:spacing w:val="-2"/>
        </w:rPr>
        <w:t>menor </w:t>
      </w:r>
      <w:r>
        <w:rPr>
          <w:color w:val="231F20"/>
        </w:rPr>
        <w:t>oferta de servicios y, por ende, en serias afectaciones a la población.</w:t>
      </w:r>
    </w:p>
    <w:p>
      <w:pPr>
        <w:pStyle w:val="BodyText"/>
        <w:spacing w:before="77"/>
        <w:ind w:left="413" w:right="1478"/>
      </w:pPr>
      <w:r>
        <w:rPr/>
        <w:br w:type="column"/>
      </w:r>
      <w:r>
        <w:rPr>
          <w:color w:val="231F20"/>
        </w:rPr>
        <w:t>Solo el transporte público requiere todos los</w:t>
      </w:r>
      <w:r>
        <w:rPr>
          <w:color w:val="231F20"/>
          <w:spacing w:val="-11"/>
        </w:rPr>
        <w:t> </w:t>
      </w:r>
      <w:r>
        <w:rPr>
          <w:color w:val="231F20"/>
        </w:rPr>
        <w:t>años</w:t>
      </w:r>
      <w:r>
        <w:rPr>
          <w:color w:val="231F20"/>
          <w:spacing w:val="-11"/>
        </w:rPr>
        <w:t> </w:t>
      </w:r>
      <w:r>
        <w:rPr>
          <w:color w:val="231F20"/>
        </w:rPr>
        <w:t>más</w:t>
      </w:r>
      <w:r>
        <w:rPr>
          <w:color w:val="231F20"/>
          <w:spacing w:val="-11"/>
        </w:rPr>
        <w:t> </w:t>
      </w:r>
      <w:r>
        <w:rPr>
          <w:color w:val="231F20"/>
        </w:rPr>
        <w:t>de</w:t>
      </w:r>
      <w:r>
        <w:rPr>
          <w:color w:val="231F20"/>
          <w:spacing w:val="-11"/>
        </w:rPr>
        <w:t> </w:t>
      </w:r>
      <w:r>
        <w:rPr>
          <w:color w:val="231F20"/>
        </w:rPr>
        <w:t>40</w:t>
      </w:r>
      <w:r>
        <w:rPr>
          <w:color w:val="231F20"/>
          <w:spacing w:val="-11"/>
        </w:rPr>
        <w:t> </w:t>
      </w:r>
      <w:r>
        <w:rPr>
          <w:color w:val="231F20"/>
        </w:rPr>
        <w:t>millones</w:t>
      </w:r>
      <w:r>
        <w:rPr>
          <w:color w:val="231F20"/>
          <w:spacing w:val="-11"/>
        </w:rPr>
        <w:t> </w:t>
      </w:r>
      <w:r>
        <w:rPr>
          <w:color w:val="231F20"/>
        </w:rPr>
        <w:t>de</w:t>
      </w:r>
      <w:r>
        <w:rPr>
          <w:color w:val="231F20"/>
          <w:spacing w:val="-11"/>
        </w:rPr>
        <w:t> </w:t>
      </w:r>
      <w:r>
        <w:rPr>
          <w:color w:val="231F20"/>
        </w:rPr>
        <w:t>dólares</w:t>
      </w:r>
      <w:r>
        <w:rPr>
          <w:color w:val="231F20"/>
          <w:spacing w:val="-11"/>
        </w:rPr>
        <w:t> </w:t>
      </w:r>
      <w:r>
        <w:rPr>
          <w:color w:val="231F20"/>
        </w:rPr>
        <w:t>en </w:t>
      </w:r>
      <w:r>
        <w:rPr>
          <w:color w:val="231F20"/>
          <w:spacing w:val="-10"/>
        </w:rPr>
        <w:t>mantenimiento,</w:t>
      </w:r>
      <w:r>
        <w:rPr>
          <w:color w:val="231F20"/>
          <w:spacing w:val="-7"/>
        </w:rPr>
        <w:t> </w:t>
      </w:r>
      <w:r>
        <w:rPr>
          <w:color w:val="231F20"/>
          <w:spacing w:val="-10"/>
        </w:rPr>
        <w:t>sin</w:t>
      </w:r>
      <w:r>
        <w:rPr>
          <w:color w:val="231F20"/>
          <w:spacing w:val="-6"/>
        </w:rPr>
        <w:t> </w:t>
      </w:r>
      <w:r>
        <w:rPr>
          <w:color w:val="231F20"/>
          <w:spacing w:val="-10"/>
        </w:rPr>
        <w:t>mencionar</w:t>
      </w:r>
      <w:r>
        <w:rPr>
          <w:color w:val="231F20"/>
          <w:spacing w:val="-6"/>
        </w:rPr>
        <w:t> </w:t>
      </w:r>
      <w:r>
        <w:rPr>
          <w:color w:val="231F20"/>
          <w:spacing w:val="-10"/>
        </w:rPr>
        <w:t>las</w:t>
      </w:r>
      <w:r>
        <w:rPr>
          <w:color w:val="231F20"/>
          <w:spacing w:val="-7"/>
        </w:rPr>
        <w:t> </w:t>
      </w:r>
      <w:r>
        <w:rPr>
          <w:color w:val="231F20"/>
          <w:spacing w:val="-10"/>
        </w:rPr>
        <w:t>inversiones </w:t>
      </w:r>
      <w:r>
        <w:rPr>
          <w:color w:val="231F20"/>
          <w:spacing w:val="-2"/>
        </w:rPr>
        <w:t>en</w:t>
      </w:r>
      <w:r>
        <w:rPr>
          <w:color w:val="231F20"/>
          <w:spacing w:val="-14"/>
        </w:rPr>
        <w:t> </w:t>
      </w:r>
      <w:r>
        <w:rPr>
          <w:color w:val="231F20"/>
          <w:spacing w:val="-2"/>
        </w:rPr>
        <w:t>este</w:t>
      </w:r>
      <w:r>
        <w:rPr>
          <w:color w:val="231F20"/>
          <w:spacing w:val="-14"/>
        </w:rPr>
        <w:t> </w:t>
      </w:r>
      <w:r>
        <w:rPr>
          <w:color w:val="231F20"/>
          <w:spacing w:val="-2"/>
        </w:rPr>
        <w:t>sector.</w:t>
      </w:r>
      <w:r>
        <w:rPr>
          <w:color w:val="231F20"/>
          <w:spacing w:val="-14"/>
        </w:rPr>
        <w:t> </w:t>
      </w:r>
      <w:r>
        <w:rPr>
          <w:color w:val="231F20"/>
          <w:spacing w:val="-2"/>
        </w:rPr>
        <w:t>La</w:t>
      </w:r>
      <w:r>
        <w:rPr>
          <w:color w:val="231F20"/>
          <w:spacing w:val="-14"/>
        </w:rPr>
        <w:t> </w:t>
      </w:r>
      <w:r>
        <w:rPr>
          <w:color w:val="231F20"/>
          <w:spacing w:val="-2"/>
        </w:rPr>
        <w:t>prohibición</w:t>
      </w:r>
      <w:r>
        <w:rPr>
          <w:color w:val="231F20"/>
          <w:spacing w:val="-14"/>
        </w:rPr>
        <w:t> </w:t>
      </w:r>
      <w:r>
        <w:rPr>
          <w:color w:val="231F20"/>
          <w:spacing w:val="-2"/>
        </w:rPr>
        <w:t>de</w:t>
      </w:r>
      <w:r>
        <w:rPr>
          <w:color w:val="231F20"/>
          <w:spacing w:val="-14"/>
        </w:rPr>
        <w:t> </w:t>
      </w:r>
      <w:r>
        <w:rPr>
          <w:color w:val="231F20"/>
          <w:spacing w:val="-2"/>
        </w:rPr>
        <w:t>la</w:t>
      </w:r>
      <w:r>
        <w:rPr>
          <w:color w:val="231F20"/>
          <w:spacing w:val="-14"/>
        </w:rPr>
        <w:t> </w:t>
      </w:r>
      <w:r>
        <w:rPr>
          <w:color w:val="231F20"/>
          <w:spacing w:val="-2"/>
        </w:rPr>
        <w:t>entrada </w:t>
      </w:r>
      <w:r>
        <w:rPr>
          <w:color w:val="231F20"/>
        </w:rPr>
        <w:t>de cruceros a Cuba coartó una de las </w:t>
      </w:r>
      <w:r>
        <w:rPr>
          <w:color w:val="231F20"/>
          <w:spacing w:val="-6"/>
        </w:rPr>
        <w:t>principales</w:t>
      </w:r>
      <w:r>
        <w:rPr>
          <w:color w:val="231F20"/>
          <w:spacing w:val="-10"/>
        </w:rPr>
        <w:t> </w:t>
      </w:r>
      <w:r>
        <w:rPr>
          <w:color w:val="231F20"/>
          <w:spacing w:val="-6"/>
        </w:rPr>
        <w:t>fuentes</w:t>
      </w:r>
      <w:r>
        <w:rPr>
          <w:color w:val="231F20"/>
          <w:spacing w:val="-10"/>
        </w:rPr>
        <w:t> </w:t>
      </w:r>
      <w:r>
        <w:rPr>
          <w:color w:val="231F20"/>
          <w:spacing w:val="-6"/>
        </w:rPr>
        <w:t>de</w:t>
      </w:r>
      <w:r>
        <w:rPr>
          <w:color w:val="231F20"/>
          <w:spacing w:val="-9"/>
        </w:rPr>
        <w:t> </w:t>
      </w:r>
      <w:r>
        <w:rPr>
          <w:color w:val="231F20"/>
          <w:spacing w:val="-6"/>
        </w:rPr>
        <w:t>ingreso</w:t>
      </w:r>
      <w:r>
        <w:rPr>
          <w:color w:val="231F20"/>
          <w:spacing w:val="-9"/>
        </w:rPr>
        <w:t> </w:t>
      </w:r>
      <w:r>
        <w:rPr>
          <w:color w:val="231F20"/>
          <w:spacing w:val="-6"/>
        </w:rPr>
        <w:t>para</w:t>
      </w:r>
      <w:r>
        <w:rPr>
          <w:color w:val="231F20"/>
          <w:spacing w:val="-9"/>
        </w:rPr>
        <w:t> </w:t>
      </w:r>
      <w:r>
        <w:rPr>
          <w:color w:val="231F20"/>
          <w:spacing w:val="-6"/>
        </w:rPr>
        <w:t>financiar </w:t>
      </w:r>
      <w:r>
        <w:rPr>
          <w:color w:val="231F20"/>
          <w:spacing w:val="-4"/>
        </w:rPr>
        <w:t>la</w:t>
      </w:r>
      <w:r>
        <w:rPr>
          <w:color w:val="231F20"/>
          <w:spacing w:val="-6"/>
        </w:rPr>
        <w:t> </w:t>
      </w:r>
      <w:r>
        <w:rPr>
          <w:color w:val="231F20"/>
          <w:spacing w:val="-4"/>
        </w:rPr>
        <w:t>infraestructura</w:t>
      </w:r>
      <w:r>
        <w:rPr>
          <w:color w:val="231F20"/>
          <w:spacing w:val="-6"/>
        </w:rPr>
        <w:t> </w:t>
      </w:r>
      <w:r>
        <w:rPr>
          <w:color w:val="231F20"/>
          <w:spacing w:val="-4"/>
        </w:rPr>
        <w:t>asociada</w:t>
      </w:r>
      <w:r>
        <w:rPr>
          <w:color w:val="231F20"/>
          <w:spacing w:val="-6"/>
        </w:rPr>
        <w:t> </w:t>
      </w:r>
      <w:r>
        <w:rPr>
          <w:color w:val="231F20"/>
          <w:spacing w:val="-4"/>
        </w:rPr>
        <w:t>al</w:t>
      </w:r>
      <w:r>
        <w:rPr>
          <w:color w:val="231F20"/>
          <w:spacing w:val="-6"/>
        </w:rPr>
        <w:t> </w:t>
      </w:r>
      <w:r>
        <w:rPr>
          <w:color w:val="231F20"/>
          <w:spacing w:val="-4"/>
        </w:rPr>
        <w:t>transporte.</w:t>
      </w:r>
    </w:p>
    <w:p>
      <w:pPr>
        <w:spacing w:before="165"/>
        <w:ind w:left="413" w:right="1472" w:firstLine="0"/>
        <w:jc w:val="both"/>
        <w:rPr>
          <w:rFonts w:ascii="Segoe UI Semibold" w:hAnsi="Segoe UI Semibold"/>
          <w:b/>
          <w:i/>
          <w:sz w:val="24"/>
        </w:rPr>
      </w:pPr>
      <w:r>
        <w:rPr>
          <w:i/>
          <w:color w:val="231F20"/>
          <w:sz w:val="24"/>
        </w:rPr>
        <w:t>El</w:t>
      </w:r>
      <w:r>
        <w:rPr>
          <w:i/>
          <w:color w:val="231F20"/>
          <w:spacing w:val="-13"/>
          <w:sz w:val="24"/>
        </w:rPr>
        <w:t> </w:t>
      </w:r>
      <w:r>
        <w:rPr>
          <w:i/>
          <w:color w:val="231F20"/>
          <w:sz w:val="24"/>
        </w:rPr>
        <w:t>precio</w:t>
      </w:r>
      <w:r>
        <w:rPr>
          <w:i/>
          <w:color w:val="231F20"/>
          <w:spacing w:val="-13"/>
          <w:sz w:val="24"/>
        </w:rPr>
        <w:t> </w:t>
      </w:r>
      <w:r>
        <w:rPr>
          <w:i/>
          <w:color w:val="231F20"/>
          <w:sz w:val="24"/>
        </w:rPr>
        <w:t>de</w:t>
      </w:r>
      <w:r>
        <w:rPr>
          <w:i/>
          <w:color w:val="231F20"/>
          <w:spacing w:val="-13"/>
          <w:sz w:val="24"/>
        </w:rPr>
        <w:t> </w:t>
      </w:r>
      <w:r>
        <w:rPr>
          <w:i/>
          <w:color w:val="231F20"/>
          <w:sz w:val="24"/>
        </w:rPr>
        <w:t>adquisición</w:t>
      </w:r>
      <w:r>
        <w:rPr>
          <w:i/>
          <w:color w:val="231F20"/>
          <w:spacing w:val="-13"/>
          <w:sz w:val="24"/>
        </w:rPr>
        <w:t> </w:t>
      </w:r>
      <w:r>
        <w:rPr>
          <w:i/>
          <w:color w:val="231F20"/>
          <w:sz w:val="24"/>
        </w:rPr>
        <w:t>de</w:t>
      </w:r>
      <w:r>
        <w:rPr>
          <w:i/>
          <w:color w:val="231F20"/>
          <w:spacing w:val="-13"/>
          <w:sz w:val="24"/>
        </w:rPr>
        <w:t> </w:t>
      </w:r>
      <w:r>
        <w:rPr>
          <w:i/>
          <w:color w:val="231F20"/>
          <w:sz w:val="24"/>
        </w:rPr>
        <w:t>un</w:t>
      </w:r>
      <w:r>
        <w:rPr>
          <w:i/>
          <w:color w:val="231F20"/>
          <w:spacing w:val="-13"/>
          <w:sz w:val="24"/>
        </w:rPr>
        <w:t> </w:t>
      </w:r>
      <w:r>
        <w:rPr>
          <w:i/>
          <w:color w:val="231F20"/>
          <w:sz w:val="24"/>
        </w:rPr>
        <w:t>ómnibus</w:t>
      </w:r>
      <w:r>
        <w:rPr>
          <w:i/>
          <w:color w:val="231F20"/>
          <w:spacing w:val="-13"/>
          <w:sz w:val="24"/>
        </w:rPr>
        <w:t> </w:t>
      </w:r>
      <w:r>
        <w:rPr>
          <w:i/>
          <w:color w:val="231F20"/>
          <w:sz w:val="24"/>
        </w:rPr>
        <w:t>que</w:t>
      </w:r>
      <w:r>
        <w:rPr>
          <w:i/>
          <w:color w:val="231F20"/>
          <w:sz w:val="24"/>
        </w:rPr>
        <w:t> circula en la capital está fijado en más de 200</w:t>
      </w:r>
      <w:r>
        <w:rPr>
          <w:i/>
          <w:color w:val="231F20"/>
          <w:spacing w:val="-13"/>
          <w:sz w:val="24"/>
        </w:rPr>
        <w:t> </w:t>
      </w:r>
      <w:r>
        <w:rPr>
          <w:i/>
          <w:color w:val="231F20"/>
          <w:sz w:val="24"/>
        </w:rPr>
        <w:t>mil</w:t>
      </w:r>
      <w:r>
        <w:rPr>
          <w:i/>
          <w:color w:val="231F20"/>
          <w:spacing w:val="-13"/>
          <w:sz w:val="24"/>
        </w:rPr>
        <w:t> </w:t>
      </w:r>
      <w:r>
        <w:rPr>
          <w:i/>
          <w:color w:val="231F20"/>
          <w:sz w:val="24"/>
        </w:rPr>
        <w:t>dólares,</w:t>
      </w:r>
      <w:r>
        <w:rPr>
          <w:i/>
          <w:color w:val="231F20"/>
          <w:spacing w:val="-13"/>
          <w:sz w:val="24"/>
        </w:rPr>
        <w:t> </w:t>
      </w:r>
      <w:r>
        <w:rPr>
          <w:i/>
          <w:color w:val="231F20"/>
          <w:sz w:val="24"/>
        </w:rPr>
        <w:t>una</w:t>
      </w:r>
      <w:r>
        <w:rPr>
          <w:i/>
          <w:color w:val="231F20"/>
          <w:spacing w:val="-13"/>
          <w:sz w:val="24"/>
        </w:rPr>
        <w:t> </w:t>
      </w:r>
      <w:r>
        <w:rPr>
          <w:i/>
          <w:color w:val="231F20"/>
          <w:sz w:val="24"/>
        </w:rPr>
        <w:t>locomotora</w:t>
      </w:r>
      <w:r>
        <w:rPr>
          <w:i/>
          <w:color w:val="231F20"/>
          <w:spacing w:val="-13"/>
          <w:sz w:val="24"/>
        </w:rPr>
        <w:t> </w:t>
      </w:r>
      <w:r>
        <w:rPr>
          <w:i/>
          <w:color w:val="231F20"/>
          <w:sz w:val="24"/>
        </w:rPr>
        <w:t>cerca</w:t>
      </w:r>
      <w:r>
        <w:rPr>
          <w:i/>
          <w:color w:val="231F20"/>
          <w:spacing w:val="-13"/>
          <w:sz w:val="24"/>
        </w:rPr>
        <w:t> </w:t>
      </w:r>
      <w:r>
        <w:rPr>
          <w:i/>
          <w:color w:val="231F20"/>
          <w:sz w:val="24"/>
        </w:rPr>
        <w:t>de</w:t>
      </w:r>
      <w:r>
        <w:rPr>
          <w:i/>
          <w:color w:val="231F20"/>
          <w:spacing w:val="-13"/>
          <w:sz w:val="24"/>
        </w:rPr>
        <w:t> </w:t>
      </w:r>
      <w:r>
        <w:rPr>
          <w:i/>
          <w:color w:val="231F20"/>
          <w:sz w:val="24"/>
        </w:rPr>
        <w:t>2 millones, un avión pequeño en más de 30 </w:t>
      </w:r>
      <w:r>
        <w:rPr>
          <w:i/>
          <w:color w:val="231F20"/>
          <w:spacing w:val="-2"/>
          <w:sz w:val="24"/>
        </w:rPr>
        <w:t>millones</w:t>
      </w:r>
      <w:r>
        <w:rPr>
          <w:i/>
          <w:color w:val="231F20"/>
          <w:spacing w:val="-15"/>
          <w:sz w:val="24"/>
        </w:rPr>
        <w:t> </w:t>
      </w:r>
      <w:r>
        <w:rPr>
          <w:i/>
          <w:color w:val="231F20"/>
          <w:spacing w:val="-2"/>
          <w:sz w:val="24"/>
        </w:rPr>
        <w:t>y</w:t>
      </w:r>
      <w:r>
        <w:rPr>
          <w:i/>
          <w:color w:val="231F20"/>
          <w:spacing w:val="-14"/>
          <w:sz w:val="24"/>
        </w:rPr>
        <w:t> </w:t>
      </w:r>
      <w:r>
        <w:rPr>
          <w:i/>
          <w:color w:val="231F20"/>
          <w:spacing w:val="-2"/>
          <w:sz w:val="24"/>
        </w:rPr>
        <w:t>un</w:t>
      </w:r>
      <w:r>
        <w:rPr>
          <w:i/>
          <w:color w:val="231F20"/>
          <w:spacing w:val="-15"/>
          <w:sz w:val="24"/>
        </w:rPr>
        <w:t> </w:t>
      </w:r>
      <w:r>
        <w:rPr>
          <w:i/>
          <w:color w:val="231F20"/>
          <w:spacing w:val="-2"/>
          <w:sz w:val="24"/>
        </w:rPr>
        <w:t>Ferry</w:t>
      </w:r>
      <w:r>
        <w:rPr>
          <w:i/>
          <w:color w:val="231F20"/>
          <w:spacing w:val="-14"/>
          <w:sz w:val="24"/>
        </w:rPr>
        <w:t> </w:t>
      </w:r>
      <w:r>
        <w:rPr>
          <w:i/>
          <w:color w:val="231F20"/>
          <w:spacing w:val="-2"/>
          <w:sz w:val="24"/>
        </w:rPr>
        <w:t>más</w:t>
      </w:r>
      <w:r>
        <w:rPr>
          <w:i/>
          <w:color w:val="231F20"/>
          <w:spacing w:val="-15"/>
          <w:sz w:val="24"/>
        </w:rPr>
        <w:t> </w:t>
      </w:r>
      <w:r>
        <w:rPr>
          <w:i/>
          <w:color w:val="231F20"/>
          <w:spacing w:val="-2"/>
          <w:sz w:val="24"/>
        </w:rPr>
        <w:t>de</w:t>
      </w:r>
      <w:r>
        <w:rPr>
          <w:i/>
          <w:color w:val="231F20"/>
          <w:spacing w:val="-14"/>
          <w:sz w:val="24"/>
        </w:rPr>
        <w:t> </w:t>
      </w:r>
      <w:r>
        <w:rPr>
          <w:i/>
          <w:color w:val="231F20"/>
          <w:spacing w:val="-2"/>
          <w:sz w:val="24"/>
        </w:rPr>
        <w:t>10</w:t>
      </w:r>
      <w:r>
        <w:rPr>
          <w:i/>
          <w:color w:val="231F20"/>
          <w:spacing w:val="-15"/>
          <w:sz w:val="24"/>
        </w:rPr>
        <w:t> </w:t>
      </w:r>
      <w:r>
        <w:rPr>
          <w:i/>
          <w:color w:val="231F20"/>
          <w:spacing w:val="-2"/>
          <w:sz w:val="24"/>
        </w:rPr>
        <w:t>millones.</w:t>
      </w:r>
      <w:r>
        <w:rPr>
          <w:i/>
          <w:color w:val="231F20"/>
          <w:spacing w:val="-14"/>
          <w:sz w:val="24"/>
        </w:rPr>
        <w:t> </w:t>
      </w:r>
      <w:r>
        <w:rPr>
          <w:rFonts w:ascii="Segoe UI Semibold" w:hAnsi="Segoe UI Semibold"/>
          <w:b/>
          <w:i/>
          <w:color w:val="231F20"/>
          <w:spacing w:val="-2"/>
          <w:sz w:val="24"/>
        </w:rPr>
        <w:t>Una</w:t>
      </w:r>
      <w:r>
        <w:rPr>
          <w:rFonts w:ascii="Segoe UI Semibold" w:hAnsi="Segoe UI Semibold"/>
          <w:b/>
          <w:i/>
          <w:color w:val="231F20"/>
          <w:spacing w:val="-2"/>
          <w:sz w:val="24"/>
        </w:rPr>
        <w:t> </w:t>
      </w:r>
      <w:r>
        <w:rPr>
          <w:rFonts w:ascii="Segoe UI Semibold" w:hAnsi="Segoe UI Semibold"/>
          <w:b/>
          <w:i/>
          <w:color w:val="231F20"/>
          <w:sz w:val="24"/>
        </w:rPr>
        <w:t>semana sin bloqueo permitiría adquirir 206 ómnibus, 6 trenes, 1 avión y 1 Ferry.</w:t>
      </w:r>
    </w:p>
    <w:p>
      <w:pPr>
        <w:pStyle w:val="BodyText"/>
        <w:spacing w:before="163"/>
        <w:ind w:left="413" w:right="1470"/>
      </w:pPr>
      <w:r>
        <w:rPr>
          <w:color w:val="231F20"/>
        </w:rPr>
        <w:t>El</w:t>
      </w:r>
      <w:r>
        <w:rPr>
          <w:color w:val="231F20"/>
          <w:spacing w:val="-14"/>
        </w:rPr>
        <w:t> </w:t>
      </w:r>
      <w:r>
        <w:rPr>
          <w:color w:val="231F20"/>
        </w:rPr>
        <w:t>transporte</w:t>
      </w:r>
      <w:r>
        <w:rPr>
          <w:color w:val="231F20"/>
          <w:spacing w:val="-14"/>
        </w:rPr>
        <w:t> </w:t>
      </w:r>
      <w:r>
        <w:rPr>
          <w:color w:val="231F20"/>
        </w:rPr>
        <w:t>público</w:t>
      </w:r>
      <w:r>
        <w:rPr>
          <w:color w:val="231F20"/>
          <w:spacing w:val="-14"/>
        </w:rPr>
        <w:t> </w:t>
      </w:r>
      <w:r>
        <w:rPr>
          <w:color w:val="231F20"/>
        </w:rPr>
        <w:t>en</w:t>
      </w:r>
      <w:r>
        <w:rPr>
          <w:color w:val="231F20"/>
          <w:spacing w:val="-14"/>
        </w:rPr>
        <w:t> </w:t>
      </w:r>
      <w:r>
        <w:rPr>
          <w:color w:val="231F20"/>
        </w:rPr>
        <w:t>la</w:t>
      </w:r>
      <w:r>
        <w:rPr>
          <w:color w:val="231F20"/>
          <w:spacing w:val="-14"/>
        </w:rPr>
        <w:t> </w:t>
      </w:r>
      <w:r>
        <w:rPr>
          <w:color w:val="231F20"/>
        </w:rPr>
        <w:t>capital</w:t>
      </w:r>
      <w:r>
        <w:rPr>
          <w:color w:val="231F20"/>
          <w:spacing w:val="-14"/>
        </w:rPr>
        <w:t> </w:t>
      </w:r>
      <w:r>
        <w:rPr>
          <w:color w:val="231F20"/>
        </w:rPr>
        <w:t>requiere en</w:t>
      </w:r>
      <w:r>
        <w:rPr>
          <w:color w:val="231F20"/>
          <w:spacing w:val="40"/>
        </w:rPr>
        <w:t> </w:t>
      </w:r>
      <w:r>
        <w:rPr>
          <w:color w:val="231F20"/>
        </w:rPr>
        <w:t>tiempos</w:t>
      </w:r>
      <w:r>
        <w:rPr>
          <w:color w:val="231F20"/>
          <w:spacing w:val="40"/>
        </w:rPr>
        <w:t> </w:t>
      </w:r>
      <w:r>
        <w:rPr>
          <w:color w:val="231F20"/>
        </w:rPr>
        <w:t>normales</w:t>
      </w:r>
      <w:r>
        <w:rPr>
          <w:color w:val="231F20"/>
          <w:spacing w:val="40"/>
        </w:rPr>
        <w:t> </w:t>
      </w:r>
      <w:r>
        <w:rPr>
          <w:color w:val="231F20"/>
        </w:rPr>
        <w:t>más</w:t>
      </w:r>
      <w:r>
        <w:rPr>
          <w:color w:val="231F20"/>
          <w:spacing w:val="40"/>
        </w:rPr>
        <w:t> </w:t>
      </w:r>
      <w:r>
        <w:rPr>
          <w:color w:val="231F20"/>
        </w:rPr>
        <w:t>de</w:t>
      </w:r>
      <w:r>
        <w:rPr>
          <w:color w:val="231F20"/>
          <w:spacing w:val="40"/>
        </w:rPr>
        <w:t> </w:t>
      </w:r>
      <w:r>
        <w:rPr>
          <w:color w:val="231F20"/>
        </w:rPr>
        <w:t>80</w:t>
      </w:r>
      <w:r>
        <w:rPr>
          <w:color w:val="231F20"/>
          <w:spacing w:val="40"/>
        </w:rPr>
        <w:t> </w:t>
      </w:r>
      <w:r>
        <w:rPr>
          <w:color w:val="231F20"/>
        </w:rPr>
        <w:t>mil litros de diésel diarios. Actualmente no</w:t>
      </w:r>
      <w:r>
        <w:rPr>
          <w:color w:val="231F20"/>
          <w:spacing w:val="80"/>
        </w:rPr>
        <w:t> </w:t>
      </w:r>
      <w:r>
        <w:rPr>
          <w:color w:val="231F20"/>
        </w:rPr>
        <w:t>es posible satisfacer la demanda en </w:t>
      </w:r>
      <w:r>
        <w:rPr>
          <w:color w:val="231F20"/>
        </w:rPr>
        <w:t>su totalidad. Debe tenerse en cuenta que,</w:t>
      </w:r>
      <w:r>
        <w:rPr>
          <w:color w:val="231F20"/>
          <w:spacing w:val="80"/>
        </w:rPr>
        <w:t> </w:t>
      </w:r>
      <w:r>
        <w:rPr>
          <w:color w:val="231F20"/>
        </w:rPr>
        <w:t>en el período de análisis, los fletes de transportación marítima se han triplicado como consecuencia del incremento de</w:t>
      </w:r>
      <w:r>
        <w:rPr>
          <w:color w:val="231F20"/>
          <w:spacing w:val="40"/>
        </w:rPr>
        <w:t> </w:t>
      </w:r>
      <w:r>
        <w:rPr>
          <w:color w:val="231F20"/>
        </w:rPr>
        <w:t>los precios del combustible, lo que ha encarecido aún más las operaciones.</w:t>
      </w:r>
    </w:p>
    <w:p>
      <w:pPr>
        <w:pStyle w:val="BodyText"/>
        <w:spacing w:before="167"/>
        <w:ind w:left="413" w:right="1477"/>
      </w:pPr>
      <w:r>
        <w:rPr>
          <w:color w:val="231F20"/>
        </w:rPr>
        <w:t>Se mantienen las restricciones a los </w:t>
      </w:r>
      <w:r>
        <w:rPr>
          <w:color w:val="231F20"/>
          <w:spacing w:val="-6"/>
        </w:rPr>
        <w:t>armadores</w:t>
      </w:r>
      <w:r>
        <w:rPr>
          <w:color w:val="231F20"/>
          <w:spacing w:val="-7"/>
        </w:rPr>
        <w:t> </w:t>
      </w:r>
      <w:r>
        <w:rPr>
          <w:color w:val="231F20"/>
          <w:spacing w:val="-6"/>
        </w:rPr>
        <w:t>internacionales</w:t>
      </w:r>
      <w:r>
        <w:rPr>
          <w:color w:val="231F20"/>
          <w:spacing w:val="-7"/>
        </w:rPr>
        <w:t> </w:t>
      </w:r>
      <w:r>
        <w:rPr>
          <w:color w:val="231F20"/>
          <w:spacing w:val="-6"/>
        </w:rPr>
        <w:t>en</w:t>
      </w:r>
      <w:r>
        <w:rPr>
          <w:color w:val="231F20"/>
          <w:spacing w:val="-7"/>
        </w:rPr>
        <w:t> </w:t>
      </w:r>
      <w:r>
        <w:rPr>
          <w:color w:val="231F20"/>
          <w:spacing w:val="-6"/>
        </w:rPr>
        <w:t>cuyos</w:t>
      </w:r>
      <w:r>
        <w:rPr>
          <w:color w:val="231F20"/>
          <w:spacing w:val="-7"/>
        </w:rPr>
        <w:t> </w:t>
      </w:r>
      <w:r>
        <w:rPr>
          <w:color w:val="231F20"/>
          <w:spacing w:val="-6"/>
        </w:rPr>
        <w:t>buques </w:t>
      </w:r>
      <w:r>
        <w:rPr>
          <w:color w:val="231F20"/>
        </w:rPr>
        <w:t>navegan</w:t>
      </w:r>
      <w:r>
        <w:rPr>
          <w:color w:val="231F20"/>
          <w:spacing w:val="-17"/>
        </w:rPr>
        <w:t> </w:t>
      </w:r>
      <w:r>
        <w:rPr>
          <w:color w:val="231F20"/>
        </w:rPr>
        <w:t>tripulantes</w:t>
      </w:r>
      <w:r>
        <w:rPr>
          <w:color w:val="231F20"/>
          <w:spacing w:val="-16"/>
        </w:rPr>
        <w:t> </w:t>
      </w:r>
      <w:r>
        <w:rPr>
          <w:color w:val="231F20"/>
        </w:rPr>
        <w:t>cubanos,</w:t>
      </w:r>
      <w:r>
        <w:rPr>
          <w:color w:val="231F20"/>
          <w:spacing w:val="-17"/>
        </w:rPr>
        <w:t> </w:t>
      </w:r>
      <w:r>
        <w:rPr>
          <w:color w:val="231F20"/>
        </w:rPr>
        <w:t>así</w:t>
      </w:r>
      <w:r>
        <w:rPr>
          <w:color w:val="231F20"/>
          <w:spacing w:val="-16"/>
        </w:rPr>
        <w:t> </w:t>
      </w:r>
      <w:r>
        <w:rPr>
          <w:color w:val="231F20"/>
        </w:rPr>
        <w:t>como</w:t>
      </w:r>
      <w:r>
        <w:rPr>
          <w:color w:val="231F20"/>
          <w:spacing w:val="-17"/>
        </w:rPr>
        <w:t> </w:t>
      </w:r>
      <w:r>
        <w:rPr>
          <w:color w:val="231F20"/>
        </w:rPr>
        <w:t>los </w:t>
      </w:r>
      <w:r>
        <w:rPr>
          <w:color w:val="231F20"/>
          <w:spacing w:val="-6"/>
        </w:rPr>
        <w:t>obstáculos</w:t>
      </w:r>
      <w:r>
        <w:rPr>
          <w:color w:val="231F20"/>
          <w:spacing w:val="-11"/>
        </w:rPr>
        <w:t> </w:t>
      </w:r>
      <w:r>
        <w:rPr>
          <w:color w:val="231F20"/>
          <w:spacing w:val="-6"/>
        </w:rPr>
        <w:t>para</w:t>
      </w:r>
      <w:r>
        <w:rPr>
          <w:color w:val="231F20"/>
          <w:spacing w:val="-10"/>
        </w:rPr>
        <w:t> </w:t>
      </w:r>
      <w:r>
        <w:rPr>
          <w:color w:val="231F20"/>
          <w:spacing w:val="-6"/>
        </w:rPr>
        <w:t>acceder</w:t>
      </w:r>
      <w:r>
        <w:rPr>
          <w:color w:val="231F20"/>
          <w:spacing w:val="-11"/>
        </w:rPr>
        <w:t> </w:t>
      </w:r>
      <w:r>
        <w:rPr>
          <w:color w:val="231F20"/>
          <w:spacing w:val="-6"/>
        </w:rPr>
        <w:t>a</w:t>
      </w:r>
      <w:r>
        <w:rPr>
          <w:color w:val="231F20"/>
          <w:spacing w:val="-10"/>
        </w:rPr>
        <w:t> </w:t>
      </w:r>
      <w:r>
        <w:rPr>
          <w:color w:val="231F20"/>
          <w:spacing w:val="-6"/>
        </w:rPr>
        <w:t>los</w:t>
      </w:r>
      <w:r>
        <w:rPr>
          <w:color w:val="231F20"/>
          <w:spacing w:val="-10"/>
        </w:rPr>
        <w:t> </w:t>
      </w:r>
      <w:r>
        <w:rPr>
          <w:color w:val="231F20"/>
          <w:spacing w:val="-6"/>
        </w:rPr>
        <w:t>puertos</w:t>
      </w:r>
      <w:r>
        <w:rPr>
          <w:color w:val="231F20"/>
          <w:spacing w:val="-11"/>
        </w:rPr>
        <w:t> </w:t>
      </w:r>
      <w:r>
        <w:rPr>
          <w:color w:val="231F20"/>
          <w:spacing w:val="-6"/>
        </w:rPr>
        <w:t>en</w:t>
      </w:r>
      <w:r>
        <w:rPr>
          <w:color w:val="231F20"/>
          <w:spacing w:val="-10"/>
        </w:rPr>
        <w:t> </w:t>
      </w:r>
      <w:r>
        <w:rPr>
          <w:color w:val="231F20"/>
          <w:spacing w:val="-6"/>
        </w:rPr>
        <w:t>los </w:t>
      </w:r>
      <w:r>
        <w:rPr>
          <w:color w:val="231F20"/>
          <w:spacing w:val="-4"/>
        </w:rPr>
        <w:t>Estados</w:t>
      </w:r>
      <w:r>
        <w:rPr>
          <w:color w:val="231F20"/>
          <w:spacing w:val="-9"/>
        </w:rPr>
        <w:t> </w:t>
      </w:r>
      <w:r>
        <w:rPr>
          <w:color w:val="231F20"/>
          <w:spacing w:val="-4"/>
        </w:rPr>
        <w:t>Unidos</w:t>
      </w:r>
      <w:r>
        <w:rPr>
          <w:color w:val="231F20"/>
          <w:spacing w:val="-9"/>
        </w:rPr>
        <w:t> </w:t>
      </w:r>
      <w:r>
        <w:rPr>
          <w:color w:val="231F20"/>
          <w:spacing w:val="-4"/>
        </w:rPr>
        <w:t>en</w:t>
      </w:r>
      <w:r>
        <w:rPr>
          <w:color w:val="231F20"/>
          <w:spacing w:val="-9"/>
        </w:rPr>
        <w:t> </w:t>
      </w:r>
      <w:r>
        <w:rPr>
          <w:color w:val="231F20"/>
          <w:spacing w:val="-4"/>
        </w:rPr>
        <w:t>virtud</w:t>
      </w:r>
      <w:r>
        <w:rPr>
          <w:color w:val="231F20"/>
          <w:spacing w:val="-9"/>
        </w:rPr>
        <w:t> </w:t>
      </w:r>
      <w:r>
        <w:rPr>
          <w:color w:val="231F20"/>
          <w:spacing w:val="-4"/>
        </w:rPr>
        <w:t>de</w:t>
      </w:r>
      <w:r>
        <w:rPr>
          <w:color w:val="231F20"/>
          <w:spacing w:val="-9"/>
        </w:rPr>
        <w:t> </w:t>
      </w:r>
      <w:r>
        <w:rPr>
          <w:color w:val="231F20"/>
          <w:spacing w:val="-4"/>
        </w:rPr>
        <w:t>la</w:t>
      </w:r>
      <w:r>
        <w:rPr>
          <w:color w:val="231F20"/>
          <w:spacing w:val="-9"/>
        </w:rPr>
        <w:t> </w:t>
      </w:r>
      <w:r>
        <w:rPr>
          <w:color w:val="231F20"/>
          <w:spacing w:val="-4"/>
        </w:rPr>
        <w:t>Ley</w:t>
      </w:r>
      <w:r>
        <w:rPr>
          <w:color w:val="231F20"/>
          <w:spacing w:val="-9"/>
        </w:rPr>
        <w:t> </w:t>
      </w:r>
      <w:r>
        <w:rPr>
          <w:color w:val="231F20"/>
          <w:spacing w:val="-4"/>
        </w:rPr>
        <w:t>Torricelli </w:t>
      </w:r>
      <w:r>
        <w:rPr>
          <w:color w:val="231F20"/>
        </w:rPr>
        <w:t>de 1992. Las autoridades de inmigración, al conocer que el buque lo tripula algún personal cubano, además de retenerlo</w:t>
      </w:r>
      <w:r>
        <w:rPr>
          <w:color w:val="231F20"/>
          <w:spacing w:val="80"/>
          <w:w w:val="150"/>
        </w:rPr>
        <w:t> </w:t>
      </w:r>
      <w:r>
        <w:rPr>
          <w:color w:val="231F20"/>
        </w:rPr>
        <w:t>en</w:t>
      </w:r>
      <w:r>
        <w:rPr>
          <w:color w:val="231F20"/>
          <w:spacing w:val="-4"/>
        </w:rPr>
        <w:t> </w:t>
      </w:r>
      <w:r>
        <w:rPr>
          <w:color w:val="231F20"/>
        </w:rPr>
        <w:t>las</w:t>
      </w:r>
      <w:r>
        <w:rPr>
          <w:color w:val="231F20"/>
          <w:spacing w:val="-4"/>
        </w:rPr>
        <w:t> </w:t>
      </w:r>
      <w:r>
        <w:rPr>
          <w:color w:val="231F20"/>
        </w:rPr>
        <w:t>afueras</w:t>
      </w:r>
      <w:r>
        <w:rPr>
          <w:color w:val="231F20"/>
          <w:spacing w:val="-4"/>
        </w:rPr>
        <w:t> </w:t>
      </w:r>
      <w:r>
        <w:rPr>
          <w:color w:val="231F20"/>
        </w:rPr>
        <w:t>del</w:t>
      </w:r>
      <w:r>
        <w:rPr>
          <w:color w:val="231F20"/>
          <w:spacing w:val="-4"/>
        </w:rPr>
        <w:t> </w:t>
      </w:r>
      <w:r>
        <w:rPr>
          <w:color w:val="231F20"/>
        </w:rPr>
        <w:t>puerto</w:t>
      </w:r>
      <w:r>
        <w:rPr>
          <w:color w:val="231F20"/>
          <w:spacing w:val="-4"/>
        </w:rPr>
        <w:t> </w:t>
      </w:r>
      <w:r>
        <w:rPr>
          <w:color w:val="231F20"/>
        </w:rPr>
        <w:t>por</w:t>
      </w:r>
      <w:r>
        <w:rPr>
          <w:color w:val="231F20"/>
          <w:spacing w:val="-4"/>
        </w:rPr>
        <w:t> </w:t>
      </w:r>
      <w:r>
        <w:rPr>
          <w:color w:val="231F20"/>
        </w:rPr>
        <w:t>varias</w:t>
      </w:r>
      <w:r>
        <w:rPr>
          <w:color w:val="231F20"/>
          <w:spacing w:val="-4"/>
        </w:rPr>
        <w:t> </w:t>
      </w:r>
      <w:r>
        <w:rPr>
          <w:color w:val="231F20"/>
        </w:rPr>
        <w:t>horas, </w:t>
      </w:r>
      <w:r>
        <w:rPr>
          <w:color w:val="231F20"/>
          <w:spacing w:val="-4"/>
        </w:rPr>
        <w:t>establecen</w:t>
      </w:r>
      <w:r>
        <w:rPr>
          <w:color w:val="231F20"/>
          <w:spacing w:val="-13"/>
        </w:rPr>
        <w:t> </w:t>
      </w:r>
      <w:r>
        <w:rPr>
          <w:color w:val="231F20"/>
          <w:spacing w:val="-4"/>
        </w:rPr>
        <w:t>guardia</w:t>
      </w:r>
      <w:r>
        <w:rPr>
          <w:color w:val="231F20"/>
          <w:spacing w:val="-12"/>
        </w:rPr>
        <w:t> </w:t>
      </w:r>
      <w:r>
        <w:rPr>
          <w:color w:val="231F20"/>
          <w:spacing w:val="-4"/>
        </w:rPr>
        <w:t>en</w:t>
      </w:r>
      <w:r>
        <w:rPr>
          <w:color w:val="231F20"/>
          <w:spacing w:val="-13"/>
        </w:rPr>
        <w:t> </w:t>
      </w:r>
      <w:r>
        <w:rPr>
          <w:color w:val="231F20"/>
          <w:spacing w:val="-4"/>
        </w:rPr>
        <w:t>el</w:t>
      </w:r>
      <w:r>
        <w:rPr>
          <w:color w:val="231F20"/>
          <w:spacing w:val="-12"/>
        </w:rPr>
        <w:t> </w:t>
      </w:r>
      <w:r>
        <w:rPr>
          <w:color w:val="231F20"/>
          <w:spacing w:val="-4"/>
        </w:rPr>
        <w:t>mismo,</w:t>
      </w:r>
      <w:r>
        <w:rPr>
          <w:color w:val="231F20"/>
          <w:spacing w:val="-13"/>
        </w:rPr>
        <w:t> </w:t>
      </w:r>
      <w:r>
        <w:rPr>
          <w:color w:val="231F20"/>
          <w:spacing w:val="-4"/>
        </w:rPr>
        <w:t>cuyo</w:t>
      </w:r>
      <w:r>
        <w:rPr>
          <w:color w:val="231F20"/>
          <w:spacing w:val="-12"/>
        </w:rPr>
        <w:t> </w:t>
      </w:r>
      <w:r>
        <w:rPr>
          <w:color w:val="231F20"/>
          <w:spacing w:val="-4"/>
        </w:rPr>
        <w:t>costo </w:t>
      </w:r>
      <w:r>
        <w:rPr>
          <w:color w:val="231F20"/>
          <w:spacing w:val="-2"/>
        </w:rPr>
        <w:t>a</w:t>
      </w:r>
      <w:r>
        <w:rPr>
          <w:color w:val="231F20"/>
          <w:spacing w:val="-15"/>
        </w:rPr>
        <w:t> </w:t>
      </w:r>
      <w:r>
        <w:rPr>
          <w:color w:val="231F20"/>
          <w:spacing w:val="-2"/>
        </w:rPr>
        <w:t>honrar</w:t>
      </w:r>
      <w:r>
        <w:rPr>
          <w:color w:val="231F20"/>
          <w:spacing w:val="-14"/>
        </w:rPr>
        <w:t> </w:t>
      </w:r>
      <w:r>
        <w:rPr>
          <w:color w:val="231F20"/>
          <w:spacing w:val="-2"/>
        </w:rPr>
        <w:t>por</w:t>
      </w:r>
      <w:r>
        <w:rPr>
          <w:color w:val="231F20"/>
          <w:spacing w:val="-15"/>
        </w:rPr>
        <w:t> </w:t>
      </w:r>
      <w:r>
        <w:rPr>
          <w:color w:val="231F20"/>
          <w:spacing w:val="-2"/>
        </w:rPr>
        <w:t>la</w:t>
      </w:r>
      <w:r>
        <w:rPr>
          <w:color w:val="231F20"/>
          <w:spacing w:val="-14"/>
        </w:rPr>
        <w:t> </w:t>
      </w:r>
      <w:r>
        <w:rPr>
          <w:color w:val="231F20"/>
          <w:spacing w:val="-2"/>
        </w:rPr>
        <w:t>naviera</w:t>
      </w:r>
      <w:r>
        <w:rPr>
          <w:color w:val="231F20"/>
          <w:spacing w:val="-14"/>
        </w:rPr>
        <w:t> </w:t>
      </w:r>
      <w:r>
        <w:rPr>
          <w:color w:val="231F20"/>
          <w:spacing w:val="-2"/>
        </w:rPr>
        <w:t>o</w:t>
      </w:r>
      <w:r>
        <w:rPr>
          <w:color w:val="231F20"/>
          <w:spacing w:val="-15"/>
        </w:rPr>
        <w:t> </w:t>
      </w:r>
      <w:r>
        <w:rPr>
          <w:color w:val="231F20"/>
          <w:spacing w:val="-2"/>
        </w:rPr>
        <w:t>armador</w:t>
      </w:r>
      <w:r>
        <w:rPr>
          <w:color w:val="231F20"/>
          <w:spacing w:val="-14"/>
        </w:rPr>
        <w:t> </w:t>
      </w:r>
      <w:r>
        <w:rPr>
          <w:color w:val="231F20"/>
          <w:spacing w:val="-2"/>
        </w:rPr>
        <w:t>es</w:t>
      </w:r>
      <w:r>
        <w:rPr>
          <w:color w:val="231F20"/>
          <w:spacing w:val="-15"/>
        </w:rPr>
        <w:t> </w:t>
      </w:r>
      <w:r>
        <w:rPr>
          <w:color w:val="231F20"/>
          <w:spacing w:val="-2"/>
        </w:rPr>
        <w:t>de</w:t>
      </w:r>
      <w:r>
        <w:rPr>
          <w:color w:val="231F20"/>
          <w:spacing w:val="-14"/>
        </w:rPr>
        <w:t> </w:t>
      </w:r>
      <w:r>
        <w:rPr>
          <w:color w:val="231F20"/>
          <w:spacing w:val="-2"/>
        </w:rPr>
        <w:t>mil </w:t>
      </w:r>
      <w:r>
        <w:rPr>
          <w:color w:val="231F20"/>
          <w:spacing w:val="-8"/>
        </w:rPr>
        <w:t>500 dólares por cada día de permanencia en </w:t>
      </w:r>
      <w:r>
        <w:rPr>
          <w:color w:val="231F20"/>
          <w:spacing w:val="-6"/>
        </w:rPr>
        <w:t>puerto,</w:t>
      </w:r>
      <w:r>
        <w:rPr>
          <w:color w:val="231F20"/>
          <w:spacing w:val="-8"/>
        </w:rPr>
        <w:t> </w:t>
      </w:r>
      <w:r>
        <w:rPr>
          <w:color w:val="231F20"/>
          <w:spacing w:val="-6"/>
        </w:rPr>
        <w:t>además</w:t>
      </w:r>
      <w:r>
        <w:rPr>
          <w:color w:val="231F20"/>
          <w:spacing w:val="-8"/>
        </w:rPr>
        <w:t> </w:t>
      </w:r>
      <w:r>
        <w:rPr>
          <w:color w:val="231F20"/>
          <w:spacing w:val="-6"/>
        </w:rPr>
        <w:t>de</w:t>
      </w:r>
      <w:r>
        <w:rPr>
          <w:color w:val="231F20"/>
          <w:spacing w:val="-8"/>
        </w:rPr>
        <w:t> </w:t>
      </w:r>
      <w:r>
        <w:rPr>
          <w:color w:val="231F20"/>
          <w:spacing w:val="-6"/>
        </w:rPr>
        <w:t>la</w:t>
      </w:r>
      <w:r>
        <w:rPr>
          <w:color w:val="231F20"/>
          <w:spacing w:val="-8"/>
        </w:rPr>
        <w:t> </w:t>
      </w:r>
      <w:r>
        <w:rPr>
          <w:color w:val="231F20"/>
          <w:spacing w:val="-6"/>
        </w:rPr>
        <w:t>prohibición</w:t>
      </w:r>
      <w:r>
        <w:rPr>
          <w:color w:val="231F20"/>
          <w:spacing w:val="-8"/>
        </w:rPr>
        <w:t> </w:t>
      </w:r>
      <w:r>
        <w:rPr>
          <w:color w:val="231F20"/>
          <w:spacing w:val="-6"/>
        </w:rPr>
        <w:t>a</w:t>
      </w:r>
      <w:r>
        <w:rPr>
          <w:color w:val="231F20"/>
          <w:spacing w:val="-8"/>
        </w:rPr>
        <w:t> </w:t>
      </w:r>
      <w:r>
        <w:rPr>
          <w:color w:val="231F20"/>
          <w:spacing w:val="-6"/>
        </w:rPr>
        <w:t>nuestros </w:t>
      </w:r>
      <w:r>
        <w:rPr>
          <w:color w:val="231F20"/>
        </w:rPr>
        <w:t>marinos</w:t>
      </w:r>
      <w:r>
        <w:rPr>
          <w:color w:val="231F20"/>
          <w:spacing w:val="-12"/>
        </w:rPr>
        <w:t> </w:t>
      </w:r>
      <w:r>
        <w:rPr>
          <w:color w:val="231F20"/>
        </w:rPr>
        <w:t>de</w:t>
      </w:r>
      <w:r>
        <w:rPr>
          <w:color w:val="231F20"/>
          <w:spacing w:val="-12"/>
        </w:rPr>
        <w:t> </w:t>
      </w:r>
      <w:r>
        <w:rPr>
          <w:color w:val="231F20"/>
        </w:rPr>
        <w:t>bajar</w:t>
      </w:r>
      <w:r>
        <w:rPr>
          <w:color w:val="231F20"/>
          <w:spacing w:val="-12"/>
        </w:rPr>
        <w:t> </w:t>
      </w:r>
      <w:r>
        <w:rPr>
          <w:color w:val="231F20"/>
        </w:rPr>
        <w:t>a</w:t>
      </w:r>
      <w:r>
        <w:rPr>
          <w:color w:val="231F20"/>
          <w:spacing w:val="-12"/>
        </w:rPr>
        <w:t> </w:t>
      </w:r>
      <w:r>
        <w:rPr>
          <w:color w:val="231F20"/>
        </w:rPr>
        <w:t>tierra.</w:t>
      </w:r>
    </w:p>
    <w:p>
      <w:pPr>
        <w:pStyle w:val="BodyText"/>
        <w:spacing w:before="171"/>
        <w:ind w:left="413" w:right="1471"/>
      </w:pPr>
      <w:r>
        <w:rPr>
          <w:color w:val="231F20"/>
        </w:rPr>
        <w:t>En el caso de transportación </w:t>
      </w:r>
      <w:r>
        <w:rPr>
          <w:color w:val="231F20"/>
        </w:rPr>
        <w:t>aérea,</w:t>
      </w:r>
      <w:r>
        <w:rPr>
          <w:color w:val="231F20"/>
          <w:spacing w:val="40"/>
        </w:rPr>
        <w:t> </w:t>
      </w:r>
      <w:r>
        <w:rPr>
          <w:color w:val="231F20"/>
        </w:rPr>
        <w:t>fueron retiradas por los Estados Unidos las licencias para arrendar aviones, por lo que</w:t>
      </w:r>
      <w:r>
        <w:rPr>
          <w:color w:val="231F20"/>
          <w:spacing w:val="26"/>
        </w:rPr>
        <w:t> </w:t>
      </w:r>
      <w:r>
        <w:rPr>
          <w:color w:val="231F20"/>
        </w:rPr>
        <w:t>la</w:t>
      </w:r>
      <w:r>
        <w:rPr>
          <w:color w:val="231F20"/>
          <w:spacing w:val="26"/>
        </w:rPr>
        <w:t> </w:t>
      </w:r>
      <w:r>
        <w:rPr>
          <w:color w:val="231F20"/>
        </w:rPr>
        <w:t>compañía</w:t>
      </w:r>
      <w:r>
        <w:rPr>
          <w:color w:val="231F20"/>
          <w:spacing w:val="26"/>
        </w:rPr>
        <w:t> </w:t>
      </w:r>
      <w:r>
        <w:rPr>
          <w:color w:val="231F20"/>
        </w:rPr>
        <w:t>Cubana</w:t>
      </w:r>
      <w:r>
        <w:rPr>
          <w:color w:val="231F20"/>
          <w:spacing w:val="26"/>
        </w:rPr>
        <w:t> </w:t>
      </w:r>
      <w:r>
        <w:rPr>
          <w:color w:val="231F20"/>
        </w:rPr>
        <w:t>de</w:t>
      </w:r>
      <w:r>
        <w:rPr>
          <w:color w:val="231F20"/>
          <w:spacing w:val="26"/>
        </w:rPr>
        <w:t> </w:t>
      </w:r>
      <w:r>
        <w:rPr>
          <w:color w:val="231F20"/>
        </w:rPr>
        <w:t>Aviación</w:t>
      </w:r>
      <w:r>
        <w:rPr>
          <w:color w:val="231F20"/>
          <w:spacing w:val="27"/>
        </w:rPr>
        <w:t> </w:t>
      </w:r>
      <w:r>
        <w:rPr>
          <w:color w:val="231F20"/>
          <w:spacing w:val="-5"/>
        </w:rPr>
        <w:t>no</w:t>
      </w:r>
    </w:p>
    <w:p>
      <w:pPr>
        <w:spacing w:after="0"/>
        <w:sectPr>
          <w:pgSz w:w="11910" w:h="16840"/>
          <w:pgMar w:header="0" w:footer="695" w:top="1260" w:bottom="880" w:left="0" w:right="0"/>
          <w:cols w:num="2" w:equalWidth="0">
            <w:col w:w="5556" w:space="40"/>
            <w:col w:w="6314"/>
          </w:cols>
        </w:sectPr>
      </w:pPr>
    </w:p>
    <w:p>
      <w:pPr>
        <w:pStyle w:val="BodyText"/>
        <w:spacing w:before="77"/>
        <w:ind w:left="1474"/>
      </w:pPr>
      <w:r>
        <w:rPr>
          <w:color w:val="231F20"/>
        </w:rPr>
        <w:t>puede cotizar por vuelos </w:t>
      </w:r>
      <w:r>
        <w:rPr>
          <w:color w:val="231F20"/>
        </w:rPr>
        <w:t>internacionales. Teniendo</w:t>
      </w:r>
      <w:r>
        <w:rPr>
          <w:color w:val="231F20"/>
          <w:spacing w:val="-10"/>
        </w:rPr>
        <w:t> </w:t>
      </w:r>
      <w:r>
        <w:rPr>
          <w:color w:val="231F20"/>
        </w:rPr>
        <w:t>en</w:t>
      </w:r>
      <w:r>
        <w:rPr>
          <w:color w:val="231F20"/>
          <w:spacing w:val="-10"/>
        </w:rPr>
        <w:t> </w:t>
      </w:r>
      <w:r>
        <w:rPr>
          <w:color w:val="231F20"/>
        </w:rPr>
        <w:t>cuenta</w:t>
      </w:r>
      <w:r>
        <w:rPr>
          <w:color w:val="231F20"/>
          <w:spacing w:val="-10"/>
        </w:rPr>
        <w:t> </w:t>
      </w:r>
      <w:r>
        <w:rPr>
          <w:color w:val="231F20"/>
        </w:rPr>
        <w:t>las</w:t>
      </w:r>
      <w:r>
        <w:rPr>
          <w:color w:val="231F20"/>
          <w:spacing w:val="-10"/>
        </w:rPr>
        <w:t> </w:t>
      </w:r>
      <w:r>
        <w:rPr>
          <w:color w:val="231F20"/>
        </w:rPr>
        <w:t>7</w:t>
      </w:r>
      <w:r>
        <w:rPr>
          <w:color w:val="231F20"/>
          <w:spacing w:val="-10"/>
        </w:rPr>
        <w:t> </w:t>
      </w:r>
      <w:r>
        <w:rPr>
          <w:color w:val="231F20"/>
        </w:rPr>
        <w:t>854</w:t>
      </w:r>
      <w:r>
        <w:rPr>
          <w:color w:val="231F20"/>
          <w:spacing w:val="-10"/>
        </w:rPr>
        <w:t> </w:t>
      </w:r>
      <w:r>
        <w:rPr>
          <w:color w:val="231F20"/>
        </w:rPr>
        <w:t>operaciones dejadas de realizar con aviones de mediano porte que utilizan las aerolíneas que operan en Cuba, y el promedio de consumo de 3,13 toneladas (4000 L) de </w:t>
      </w:r>
      <w:r>
        <w:rPr>
          <w:color w:val="231F20"/>
          <w:spacing w:val="-2"/>
        </w:rPr>
        <w:t>combustible</w:t>
      </w:r>
      <w:r>
        <w:rPr>
          <w:color w:val="231F20"/>
          <w:spacing w:val="-11"/>
        </w:rPr>
        <w:t> </w:t>
      </w:r>
      <w:r>
        <w:rPr>
          <w:color w:val="231F20"/>
          <w:spacing w:val="-2"/>
        </w:rPr>
        <w:t>para</w:t>
      </w:r>
      <w:r>
        <w:rPr>
          <w:color w:val="231F20"/>
          <w:spacing w:val="-12"/>
        </w:rPr>
        <w:t> </w:t>
      </w:r>
      <w:r>
        <w:rPr>
          <w:color w:val="231F20"/>
          <w:spacing w:val="-2"/>
        </w:rPr>
        <w:t>este</w:t>
      </w:r>
      <w:r>
        <w:rPr>
          <w:color w:val="231F20"/>
          <w:spacing w:val="-11"/>
        </w:rPr>
        <w:t> </w:t>
      </w:r>
      <w:r>
        <w:rPr>
          <w:color w:val="231F20"/>
          <w:spacing w:val="-2"/>
        </w:rPr>
        <w:t>tipo</w:t>
      </w:r>
      <w:r>
        <w:rPr>
          <w:color w:val="231F20"/>
          <w:spacing w:val="-11"/>
        </w:rPr>
        <w:t> </w:t>
      </w:r>
      <w:r>
        <w:rPr>
          <w:color w:val="231F20"/>
          <w:spacing w:val="-2"/>
        </w:rPr>
        <w:t>de</w:t>
      </w:r>
      <w:r>
        <w:rPr>
          <w:color w:val="231F20"/>
          <w:spacing w:val="-11"/>
        </w:rPr>
        <w:t> </w:t>
      </w:r>
      <w:r>
        <w:rPr>
          <w:color w:val="231F20"/>
          <w:spacing w:val="-2"/>
        </w:rPr>
        <w:t>aeronave</w:t>
      </w:r>
      <w:r>
        <w:rPr>
          <w:color w:val="231F20"/>
          <w:spacing w:val="-12"/>
        </w:rPr>
        <w:t> </w:t>
      </w:r>
      <w:r>
        <w:rPr>
          <w:color w:val="231F20"/>
          <w:spacing w:val="-2"/>
        </w:rPr>
        <w:t>en </w:t>
      </w:r>
      <w:r>
        <w:rPr>
          <w:color w:val="231F20"/>
        </w:rPr>
        <w:t>una</w:t>
      </w:r>
      <w:r>
        <w:rPr>
          <w:color w:val="231F20"/>
          <w:spacing w:val="-17"/>
        </w:rPr>
        <w:t> </w:t>
      </w:r>
      <w:r>
        <w:rPr>
          <w:color w:val="231F20"/>
        </w:rPr>
        <w:t>ruta</w:t>
      </w:r>
      <w:r>
        <w:rPr>
          <w:color w:val="231F20"/>
          <w:spacing w:val="-16"/>
        </w:rPr>
        <w:t> </w:t>
      </w:r>
      <w:r>
        <w:rPr>
          <w:color w:val="231F20"/>
        </w:rPr>
        <w:t>de</w:t>
      </w:r>
      <w:r>
        <w:rPr>
          <w:color w:val="231F20"/>
          <w:spacing w:val="-17"/>
        </w:rPr>
        <w:t> </w:t>
      </w:r>
      <w:r>
        <w:rPr>
          <w:color w:val="231F20"/>
        </w:rPr>
        <w:t>las</w:t>
      </w:r>
      <w:r>
        <w:rPr>
          <w:color w:val="231F20"/>
          <w:spacing w:val="-16"/>
        </w:rPr>
        <w:t> </w:t>
      </w:r>
      <w:r>
        <w:rPr>
          <w:color w:val="231F20"/>
        </w:rPr>
        <w:t>más</w:t>
      </w:r>
      <w:r>
        <w:rPr>
          <w:color w:val="231F20"/>
          <w:spacing w:val="-17"/>
        </w:rPr>
        <w:t> </w:t>
      </w:r>
      <w:r>
        <w:rPr>
          <w:color w:val="231F20"/>
        </w:rPr>
        <w:t>utilizadas</w:t>
      </w:r>
      <w:r>
        <w:rPr>
          <w:color w:val="231F20"/>
          <w:spacing w:val="-16"/>
        </w:rPr>
        <w:t> </w:t>
      </w:r>
      <w:r>
        <w:rPr>
          <w:color w:val="231F20"/>
        </w:rPr>
        <w:t>hasta</w:t>
      </w:r>
      <w:r>
        <w:rPr>
          <w:color w:val="231F20"/>
          <w:spacing w:val="-17"/>
        </w:rPr>
        <w:t> </w:t>
      </w:r>
      <w:r>
        <w:rPr>
          <w:color w:val="231F20"/>
        </w:rPr>
        <w:t>Miami, se establece que la cifra estimada de afectación</w:t>
      </w:r>
      <w:r>
        <w:rPr>
          <w:color w:val="231F20"/>
          <w:spacing w:val="-6"/>
        </w:rPr>
        <w:t> </w:t>
      </w:r>
      <w:r>
        <w:rPr>
          <w:color w:val="231F20"/>
        </w:rPr>
        <w:t>por</w:t>
      </w:r>
      <w:r>
        <w:rPr>
          <w:color w:val="231F20"/>
          <w:spacing w:val="-6"/>
        </w:rPr>
        <w:t> </w:t>
      </w:r>
      <w:r>
        <w:rPr>
          <w:color w:val="231F20"/>
        </w:rPr>
        <w:t>este</w:t>
      </w:r>
      <w:r>
        <w:rPr>
          <w:color w:val="231F20"/>
          <w:spacing w:val="-6"/>
        </w:rPr>
        <w:t> </w:t>
      </w:r>
      <w:r>
        <w:rPr>
          <w:color w:val="231F20"/>
        </w:rPr>
        <w:t>concepto</w:t>
      </w:r>
      <w:r>
        <w:rPr>
          <w:color w:val="231F20"/>
          <w:spacing w:val="-6"/>
        </w:rPr>
        <w:t> </w:t>
      </w:r>
      <w:r>
        <w:rPr>
          <w:color w:val="231F20"/>
        </w:rPr>
        <w:t>entre</w:t>
      </w:r>
      <w:r>
        <w:rPr>
          <w:color w:val="231F20"/>
          <w:spacing w:val="-6"/>
        </w:rPr>
        <w:t> </w:t>
      </w:r>
      <w:r>
        <w:rPr>
          <w:color w:val="231F20"/>
        </w:rPr>
        <w:t>marzo de 2022 y febrero de 2023, ascendería a 37 millones 572 mil 455,96 dólares.</w:t>
      </w:r>
    </w:p>
    <w:p>
      <w:pPr>
        <w:pStyle w:val="BodyText"/>
        <w:spacing w:before="169"/>
        <w:ind w:left="1474" w:right="1"/>
      </w:pPr>
      <w:r>
        <w:rPr>
          <w:color w:val="231F20"/>
        </w:rPr>
        <w:t>Asimismo, se mantienen cancelados los </w:t>
      </w:r>
      <w:r>
        <w:rPr>
          <w:color w:val="231F20"/>
          <w:spacing w:val="-6"/>
        </w:rPr>
        <w:t>acuerdos</w:t>
      </w:r>
      <w:r>
        <w:rPr>
          <w:color w:val="231F20"/>
          <w:spacing w:val="-11"/>
        </w:rPr>
        <w:t> </w:t>
      </w:r>
      <w:r>
        <w:rPr>
          <w:color w:val="231F20"/>
          <w:spacing w:val="-6"/>
        </w:rPr>
        <w:t>interlineales</w:t>
      </w:r>
      <w:r>
        <w:rPr>
          <w:color w:val="231F20"/>
          <w:spacing w:val="-10"/>
        </w:rPr>
        <w:t> </w:t>
      </w:r>
      <w:r>
        <w:rPr>
          <w:color w:val="231F20"/>
          <w:spacing w:val="-6"/>
        </w:rPr>
        <w:t>para</w:t>
      </w:r>
      <w:r>
        <w:rPr>
          <w:color w:val="231F20"/>
          <w:spacing w:val="-11"/>
        </w:rPr>
        <w:t> </w:t>
      </w:r>
      <w:r>
        <w:rPr>
          <w:color w:val="231F20"/>
          <w:spacing w:val="-6"/>
        </w:rPr>
        <w:t>la</w:t>
      </w:r>
      <w:r>
        <w:rPr>
          <w:color w:val="231F20"/>
          <w:spacing w:val="-10"/>
        </w:rPr>
        <w:t> </w:t>
      </w:r>
      <w:r>
        <w:rPr>
          <w:color w:val="231F20"/>
          <w:spacing w:val="-6"/>
        </w:rPr>
        <w:t>transportación </w:t>
      </w:r>
      <w:r>
        <w:rPr>
          <w:color w:val="231F20"/>
          <w:spacing w:val="-4"/>
        </w:rPr>
        <w:t>de</w:t>
      </w:r>
      <w:r>
        <w:rPr>
          <w:color w:val="231F20"/>
          <w:spacing w:val="-13"/>
        </w:rPr>
        <w:t> </w:t>
      </w:r>
      <w:r>
        <w:rPr>
          <w:color w:val="231F20"/>
          <w:spacing w:val="-4"/>
        </w:rPr>
        <w:t>carga,</w:t>
      </w:r>
      <w:r>
        <w:rPr>
          <w:color w:val="231F20"/>
          <w:spacing w:val="-12"/>
        </w:rPr>
        <w:t> </w:t>
      </w:r>
      <w:r>
        <w:rPr>
          <w:color w:val="231F20"/>
          <w:spacing w:val="-4"/>
        </w:rPr>
        <w:t>lo</w:t>
      </w:r>
      <w:r>
        <w:rPr>
          <w:color w:val="231F20"/>
          <w:spacing w:val="-13"/>
        </w:rPr>
        <w:t> </w:t>
      </w:r>
      <w:r>
        <w:rPr>
          <w:color w:val="231F20"/>
          <w:spacing w:val="-4"/>
        </w:rPr>
        <w:t>que</w:t>
      </w:r>
      <w:r>
        <w:rPr>
          <w:color w:val="231F20"/>
          <w:spacing w:val="-12"/>
        </w:rPr>
        <w:t> </w:t>
      </w:r>
      <w:r>
        <w:rPr>
          <w:color w:val="231F20"/>
          <w:spacing w:val="-4"/>
        </w:rPr>
        <w:t>impide</w:t>
      </w:r>
      <w:r>
        <w:rPr>
          <w:color w:val="231F20"/>
          <w:spacing w:val="-13"/>
        </w:rPr>
        <w:t> </w:t>
      </w:r>
      <w:r>
        <w:rPr>
          <w:color w:val="231F20"/>
          <w:spacing w:val="-4"/>
        </w:rPr>
        <w:t>su</w:t>
      </w:r>
      <w:r>
        <w:rPr>
          <w:color w:val="231F20"/>
          <w:spacing w:val="-12"/>
        </w:rPr>
        <w:t> </w:t>
      </w:r>
      <w:r>
        <w:rPr>
          <w:color w:val="231F20"/>
          <w:spacing w:val="-4"/>
        </w:rPr>
        <w:t>comercialización </w:t>
      </w:r>
      <w:r>
        <w:rPr>
          <w:color w:val="231F20"/>
        </w:rPr>
        <w:t>con</w:t>
      </w:r>
      <w:r>
        <w:rPr>
          <w:color w:val="231F20"/>
          <w:spacing w:val="-8"/>
        </w:rPr>
        <w:t> </w:t>
      </w:r>
      <w:r>
        <w:rPr>
          <w:color w:val="231F20"/>
        </w:rPr>
        <w:t>guías</w:t>
      </w:r>
      <w:r>
        <w:rPr>
          <w:color w:val="231F20"/>
          <w:spacing w:val="-9"/>
        </w:rPr>
        <w:t> </w:t>
      </w:r>
      <w:r>
        <w:rPr>
          <w:color w:val="231F20"/>
        </w:rPr>
        <w:t>aéreas</w:t>
      </w:r>
      <w:r>
        <w:rPr>
          <w:color w:val="231F20"/>
          <w:spacing w:val="-9"/>
        </w:rPr>
        <w:t> </w:t>
      </w:r>
      <w:r>
        <w:rPr>
          <w:color w:val="231F20"/>
        </w:rPr>
        <w:t>de</w:t>
      </w:r>
      <w:r>
        <w:rPr>
          <w:color w:val="231F20"/>
          <w:spacing w:val="-9"/>
        </w:rPr>
        <w:t> </w:t>
      </w:r>
      <w:r>
        <w:rPr>
          <w:color w:val="231F20"/>
        </w:rPr>
        <w:t>Cubana</w:t>
      </w:r>
      <w:r>
        <w:rPr>
          <w:color w:val="231F20"/>
          <w:spacing w:val="-8"/>
        </w:rPr>
        <w:t> </w:t>
      </w:r>
      <w:r>
        <w:rPr>
          <w:color w:val="231F20"/>
        </w:rPr>
        <w:t>de</w:t>
      </w:r>
      <w:r>
        <w:rPr>
          <w:color w:val="231F20"/>
          <w:spacing w:val="-9"/>
        </w:rPr>
        <w:t> </w:t>
      </w:r>
      <w:r>
        <w:rPr>
          <w:color w:val="231F20"/>
        </w:rPr>
        <w:t>Aviación</w:t>
      </w:r>
      <w:r>
        <w:rPr>
          <w:color w:val="231F20"/>
          <w:spacing w:val="-9"/>
        </w:rPr>
        <w:t> </w:t>
      </w:r>
      <w:r>
        <w:rPr>
          <w:color w:val="231F20"/>
        </w:rPr>
        <w:t>y el incremento de las ventas multidestino en</w:t>
      </w:r>
      <w:r>
        <w:rPr>
          <w:color w:val="231F20"/>
          <w:spacing w:val="-9"/>
        </w:rPr>
        <w:t> </w:t>
      </w:r>
      <w:r>
        <w:rPr>
          <w:color w:val="231F20"/>
        </w:rPr>
        <w:t>alianzas</w:t>
      </w:r>
      <w:r>
        <w:rPr>
          <w:color w:val="231F20"/>
          <w:spacing w:val="-9"/>
        </w:rPr>
        <w:t> </w:t>
      </w:r>
      <w:r>
        <w:rPr>
          <w:color w:val="231F20"/>
        </w:rPr>
        <w:t>comerciales</w:t>
      </w:r>
      <w:r>
        <w:rPr>
          <w:color w:val="231F20"/>
          <w:spacing w:val="-9"/>
        </w:rPr>
        <w:t> </w:t>
      </w:r>
      <w:r>
        <w:rPr>
          <w:color w:val="231F20"/>
        </w:rPr>
        <w:t>con</w:t>
      </w:r>
      <w:r>
        <w:rPr>
          <w:color w:val="231F20"/>
          <w:spacing w:val="-9"/>
        </w:rPr>
        <w:t> </w:t>
      </w:r>
      <w:r>
        <w:rPr>
          <w:color w:val="231F20"/>
        </w:rPr>
        <w:t>Avianca,</w:t>
      </w:r>
      <w:r>
        <w:rPr>
          <w:color w:val="231F20"/>
          <w:spacing w:val="-9"/>
        </w:rPr>
        <w:t> </w:t>
      </w:r>
      <w:r>
        <w:rPr>
          <w:color w:val="231F20"/>
        </w:rPr>
        <w:t>DHL, Air France, Air Caraïbes, Cathay Pacific, </w:t>
      </w:r>
      <w:r>
        <w:rPr>
          <w:color w:val="231F20"/>
          <w:spacing w:val="-4"/>
        </w:rPr>
        <w:t>LATAM</w:t>
      </w:r>
      <w:r>
        <w:rPr>
          <w:color w:val="231F20"/>
          <w:spacing w:val="-13"/>
        </w:rPr>
        <w:t> </w:t>
      </w:r>
      <w:r>
        <w:rPr>
          <w:color w:val="231F20"/>
          <w:spacing w:val="-4"/>
        </w:rPr>
        <w:t>y</w:t>
      </w:r>
      <w:r>
        <w:rPr>
          <w:color w:val="231F20"/>
          <w:spacing w:val="-12"/>
        </w:rPr>
        <w:t> </w:t>
      </w:r>
      <w:r>
        <w:rPr>
          <w:color w:val="231F20"/>
          <w:spacing w:val="-4"/>
        </w:rPr>
        <w:t>Lot</w:t>
      </w:r>
      <w:r>
        <w:rPr>
          <w:color w:val="231F20"/>
          <w:spacing w:val="-13"/>
        </w:rPr>
        <w:t> </w:t>
      </w:r>
      <w:r>
        <w:rPr>
          <w:color w:val="231F20"/>
          <w:spacing w:val="-4"/>
        </w:rPr>
        <w:t>Polish.</w:t>
      </w:r>
      <w:r>
        <w:rPr>
          <w:color w:val="231F20"/>
          <w:spacing w:val="-12"/>
        </w:rPr>
        <w:t> </w:t>
      </w:r>
      <w:r>
        <w:rPr>
          <w:color w:val="231F20"/>
          <w:spacing w:val="-4"/>
        </w:rPr>
        <w:t>La</w:t>
      </w:r>
      <w:r>
        <w:rPr>
          <w:color w:val="231F20"/>
          <w:spacing w:val="-13"/>
        </w:rPr>
        <w:t> </w:t>
      </w:r>
      <w:r>
        <w:rPr>
          <w:color w:val="231F20"/>
          <w:spacing w:val="-4"/>
        </w:rPr>
        <w:t>cancelación</w:t>
      </w:r>
      <w:r>
        <w:rPr>
          <w:color w:val="231F20"/>
          <w:spacing w:val="-12"/>
        </w:rPr>
        <w:t> </w:t>
      </w:r>
      <w:r>
        <w:rPr>
          <w:color w:val="231F20"/>
          <w:spacing w:val="-4"/>
        </w:rPr>
        <w:t>de</w:t>
      </w:r>
      <w:r>
        <w:rPr>
          <w:color w:val="231F20"/>
          <w:spacing w:val="-13"/>
        </w:rPr>
        <w:t> </w:t>
      </w:r>
      <w:r>
        <w:rPr>
          <w:color w:val="231F20"/>
          <w:spacing w:val="-4"/>
        </w:rPr>
        <w:t>estos </w:t>
      </w:r>
      <w:r>
        <w:rPr>
          <w:color w:val="231F20"/>
        </w:rPr>
        <w:t>acuerdos actualmente afecta el servicio que</w:t>
      </w:r>
      <w:r>
        <w:rPr>
          <w:color w:val="231F20"/>
          <w:spacing w:val="-17"/>
        </w:rPr>
        <w:t> </w:t>
      </w:r>
      <w:r>
        <w:rPr>
          <w:color w:val="231F20"/>
        </w:rPr>
        <w:t>se</w:t>
      </w:r>
      <w:r>
        <w:rPr>
          <w:color w:val="231F20"/>
          <w:spacing w:val="-16"/>
        </w:rPr>
        <w:t> </w:t>
      </w:r>
      <w:r>
        <w:rPr>
          <w:color w:val="231F20"/>
        </w:rPr>
        <w:t>puede</w:t>
      </w:r>
      <w:r>
        <w:rPr>
          <w:color w:val="231F20"/>
          <w:spacing w:val="-17"/>
        </w:rPr>
        <w:t> </w:t>
      </w:r>
      <w:r>
        <w:rPr>
          <w:color w:val="231F20"/>
        </w:rPr>
        <w:t>ofrecer</w:t>
      </w:r>
      <w:r>
        <w:rPr>
          <w:color w:val="231F20"/>
          <w:spacing w:val="-16"/>
        </w:rPr>
        <w:t> </w:t>
      </w:r>
      <w:r>
        <w:rPr>
          <w:color w:val="231F20"/>
        </w:rPr>
        <w:t>al</w:t>
      </w:r>
      <w:r>
        <w:rPr>
          <w:color w:val="231F20"/>
          <w:spacing w:val="-17"/>
        </w:rPr>
        <w:t> </w:t>
      </w:r>
      <w:r>
        <w:rPr>
          <w:color w:val="231F20"/>
        </w:rPr>
        <w:t>sector</w:t>
      </w:r>
      <w:r>
        <w:rPr>
          <w:color w:val="231F20"/>
          <w:spacing w:val="-16"/>
        </w:rPr>
        <w:t> </w:t>
      </w:r>
      <w:r>
        <w:rPr>
          <w:color w:val="231F20"/>
        </w:rPr>
        <w:t>empresarial </w:t>
      </w:r>
      <w:r>
        <w:rPr>
          <w:color w:val="231F20"/>
          <w:spacing w:val="-8"/>
        </w:rPr>
        <w:t>cubano y al no estatal en las exportaciones e </w:t>
      </w:r>
      <w:r>
        <w:rPr>
          <w:color w:val="231F20"/>
          <w:spacing w:val="-2"/>
        </w:rPr>
        <w:t>importaciones,</w:t>
      </w:r>
      <w:r>
        <w:rPr>
          <w:color w:val="231F20"/>
          <w:spacing w:val="-9"/>
        </w:rPr>
        <w:t> </w:t>
      </w:r>
      <w:r>
        <w:rPr>
          <w:color w:val="231F20"/>
          <w:spacing w:val="-2"/>
        </w:rPr>
        <w:t>toda</w:t>
      </w:r>
      <w:r>
        <w:rPr>
          <w:color w:val="231F20"/>
          <w:spacing w:val="-9"/>
        </w:rPr>
        <w:t> </w:t>
      </w:r>
      <w:r>
        <w:rPr>
          <w:color w:val="231F20"/>
          <w:spacing w:val="-2"/>
        </w:rPr>
        <w:t>vez</w:t>
      </w:r>
      <w:r>
        <w:rPr>
          <w:color w:val="231F20"/>
          <w:spacing w:val="-9"/>
        </w:rPr>
        <w:t> </w:t>
      </w:r>
      <w:r>
        <w:rPr>
          <w:color w:val="231F20"/>
          <w:spacing w:val="-2"/>
        </w:rPr>
        <w:t>que</w:t>
      </w:r>
      <w:r>
        <w:rPr>
          <w:color w:val="231F20"/>
          <w:spacing w:val="-9"/>
        </w:rPr>
        <w:t> </w:t>
      </w:r>
      <w:r>
        <w:rPr>
          <w:color w:val="231F20"/>
          <w:spacing w:val="-2"/>
        </w:rPr>
        <w:t>deben</w:t>
      </w:r>
      <w:r>
        <w:rPr>
          <w:color w:val="231F20"/>
          <w:spacing w:val="-9"/>
        </w:rPr>
        <w:t> </w:t>
      </w:r>
      <w:r>
        <w:rPr>
          <w:color w:val="231F20"/>
          <w:spacing w:val="-2"/>
        </w:rPr>
        <w:t>utilizar </w:t>
      </w:r>
      <w:r>
        <w:rPr>
          <w:color w:val="231F20"/>
        </w:rPr>
        <w:t>rutas</w:t>
      </w:r>
      <w:r>
        <w:rPr>
          <w:color w:val="231F20"/>
          <w:spacing w:val="-17"/>
        </w:rPr>
        <w:t> </w:t>
      </w:r>
      <w:r>
        <w:rPr>
          <w:color w:val="231F20"/>
        </w:rPr>
        <w:t>alternativas</w:t>
      </w:r>
      <w:r>
        <w:rPr>
          <w:color w:val="231F20"/>
          <w:spacing w:val="-16"/>
        </w:rPr>
        <w:t> </w:t>
      </w:r>
      <w:r>
        <w:rPr>
          <w:color w:val="231F20"/>
        </w:rPr>
        <w:t>con</w:t>
      </w:r>
      <w:r>
        <w:rPr>
          <w:color w:val="231F20"/>
          <w:spacing w:val="-17"/>
        </w:rPr>
        <w:t> </w:t>
      </w:r>
      <w:r>
        <w:rPr>
          <w:color w:val="231F20"/>
        </w:rPr>
        <w:t>mayores</w:t>
      </w:r>
      <w:r>
        <w:rPr>
          <w:color w:val="231F20"/>
          <w:spacing w:val="-16"/>
        </w:rPr>
        <w:t> </w:t>
      </w:r>
      <w:r>
        <w:rPr>
          <w:color w:val="231F20"/>
        </w:rPr>
        <w:t>costos</w:t>
      </w:r>
      <w:r>
        <w:rPr>
          <w:color w:val="231F20"/>
          <w:spacing w:val="-17"/>
        </w:rPr>
        <w:t> </w:t>
      </w:r>
      <w:r>
        <w:rPr>
          <w:color w:val="231F20"/>
        </w:rPr>
        <w:t>para la transportación de las cargas.</w:t>
      </w:r>
    </w:p>
    <w:p>
      <w:pPr>
        <w:pStyle w:val="BodyText"/>
        <w:spacing w:before="171"/>
        <w:ind w:left="1474"/>
      </w:pPr>
      <w:r>
        <w:rPr>
          <w:color w:val="231F20"/>
          <w:spacing w:val="-4"/>
        </w:rPr>
        <w:t>El</w:t>
      </w:r>
      <w:r>
        <w:rPr>
          <w:color w:val="231F20"/>
          <w:spacing w:val="-12"/>
        </w:rPr>
        <w:t> </w:t>
      </w:r>
      <w:r>
        <w:rPr>
          <w:color w:val="231F20"/>
          <w:spacing w:val="-4"/>
        </w:rPr>
        <w:t>17</w:t>
      </w:r>
      <w:r>
        <w:rPr>
          <w:color w:val="231F20"/>
          <w:spacing w:val="-12"/>
        </w:rPr>
        <w:t> </w:t>
      </w:r>
      <w:r>
        <w:rPr>
          <w:color w:val="231F20"/>
          <w:spacing w:val="-4"/>
        </w:rPr>
        <w:t>de</w:t>
      </w:r>
      <w:r>
        <w:rPr>
          <w:color w:val="231F20"/>
          <w:spacing w:val="-12"/>
        </w:rPr>
        <w:t> </w:t>
      </w:r>
      <w:r>
        <w:rPr>
          <w:color w:val="231F20"/>
          <w:spacing w:val="-4"/>
        </w:rPr>
        <w:t>mayo</w:t>
      </w:r>
      <w:r>
        <w:rPr>
          <w:color w:val="231F20"/>
          <w:spacing w:val="-12"/>
        </w:rPr>
        <w:t> </w:t>
      </w:r>
      <w:r>
        <w:rPr>
          <w:color w:val="231F20"/>
          <w:spacing w:val="-4"/>
        </w:rPr>
        <w:t>de</w:t>
      </w:r>
      <w:r>
        <w:rPr>
          <w:color w:val="231F20"/>
          <w:spacing w:val="-12"/>
        </w:rPr>
        <w:t> </w:t>
      </w:r>
      <w:r>
        <w:rPr>
          <w:color w:val="231F20"/>
          <w:spacing w:val="-4"/>
        </w:rPr>
        <w:t>2022,</w:t>
      </w:r>
      <w:r>
        <w:rPr>
          <w:color w:val="231F20"/>
          <w:spacing w:val="-12"/>
        </w:rPr>
        <w:t> </w:t>
      </w:r>
      <w:r>
        <w:rPr>
          <w:color w:val="231F20"/>
          <w:spacing w:val="-4"/>
        </w:rPr>
        <w:t>el</w:t>
      </w:r>
      <w:r>
        <w:rPr>
          <w:color w:val="231F20"/>
          <w:spacing w:val="-12"/>
        </w:rPr>
        <w:t> </w:t>
      </w:r>
      <w:r>
        <w:rPr>
          <w:color w:val="231F20"/>
          <w:spacing w:val="-4"/>
        </w:rPr>
        <w:t>corresponsal</w:t>
      </w:r>
      <w:r>
        <w:rPr>
          <w:color w:val="231F20"/>
          <w:spacing w:val="-12"/>
        </w:rPr>
        <w:t> </w:t>
      </w:r>
      <w:r>
        <w:rPr>
          <w:color w:val="231F20"/>
          <w:spacing w:val="-4"/>
        </w:rPr>
        <w:t>JTM </w:t>
      </w:r>
      <w:r>
        <w:rPr>
          <w:color w:val="231F20"/>
        </w:rPr>
        <w:t>de nacionalidad portuguesa que </w:t>
      </w:r>
      <w:r>
        <w:rPr>
          <w:color w:val="231F20"/>
        </w:rPr>
        <w:t>ofrece servicios logísticos y de transportación </w:t>
      </w:r>
      <w:r>
        <w:rPr>
          <w:color w:val="231F20"/>
          <w:spacing w:val="-2"/>
        </w:rPr>
        <w:t>internacional,</w:t>
      </w:r>
      <w:r>
        <w:rPr>
          <w:color w:val="231F20"/>
          <w:spacing w:val="-15"/>
        </w:rPr>
        <w:t> </w:t>
      </w:r>
      <w:r>
        <w:rPr>
          <w:color w:val="231F20"/>
          <w:spacing w:val="-2"/>
        </w:rPr>
        <w:t>con</w:t>
      </w:r>
      <w:r>
        <w:rPr>
          <w:color w:val="231F20"/>
          <w:spacing w:val="-14"/>
        </w:rPr>
        <w:t> </w:t>
      </w:r>
      <w:r>
        <w:rPr>
          <w:color w:val="231F20"/>
          <w:spacing w:val="-2"/>
        </w:rPr>
        <w:t>el</w:t>
      </w:r>
      <w:r>
        <w:rPr>
          <w:color w:val="231F20"/>
          <w:spacing w:val="-15"/>
        </w:rPr>
        <w:t> </w:t>
      </w:r>
      <w:r>
        <w:rPr>
          <w:color w:val="231F20"/>
          <w:spacing w:val="-2"/>
        </w:rPr>
        <w:t>que</w:t>
      </w:r>
      <w:r>
        <w:rPr>
          <w:color w:val="231F20"/>
          <w:spacing w:val="-14"/>
        </w:rPr>
        <w:t> </w:t>
      </w:r>
      <w:r>
        <w:rPr>
          <w:color w:val="231F20"/>
          <w:spacing w:val="-2"/>
        </w:rPr>
        <w:t>se</w:t>
      </w:r>
      <w:r>
        <w:rPr>
          <w:color w:val="231F20"/>
          <w:spacing w:val="-15"/>
        </w:rPr>
        <w:t> </w:t>
      </w:r>
      <w:r>
        <w:rPr>
          <w:color w:val="231F20"/>
          <w:spacing w:val="-2"/>
        </w:rPr>
        <w:t>han</w:t>
      </w:r>
      <w:r>
        <w:rPr>
          <w:color w:val="231F20"/>
          <w:spacing w:val="-14"/>
        </w:rPr>
        <w:t> </w:t>
      </w:r>
      <w:r>
        <w:rPr>
          <w:color w:val="231F20"/>
          <w:spacing w:val="-2"/>
        </w:rPr>
        <w:t>mantenido </w:t>
      </w:r>
      <w:r>
        <w:rPr>
          <w:color w:val="231F20"/>
        </w:rPr>
        <w:t>relaciones comerciales desde 2019, trató de efectuar un pago por transferencia a</w:t>
      </w:r>
      <w:r>
        <w:rPr>
          <w:color w:val="231F20"/>
          <w:spacing w:val="40"/>
        </w:rPr>
        <w:t> </w:t>
      </w:r>
      <w:r>
        <w:rPr>
          <w:color w:val="231F20"/>
        </w:rPr>
        <w:t>la cuenta bancaria de la empresa cubana de</w:t>
      </w:r>
      <w:r>
        <w:rPr>
          <w:color w:val="231F20"/>
          <w:spacing w:val="35"/>
        </w:rPr>
        <w:t>  </w:t>
      </w:r>
      <w:r>
        <w:rPr>
          <w:color w:val="231F20"/>
        </w:rPr>
        <w:t>Servicios</w:t>
      </w:r>
      <w:r>
        <w:rPr>
          <w:color w:val="231F20"/>
          <w:spacing w:val="35"/>
        </w:rPr>
        <w:t>  </w:t>
      </w:r>
      <w:r>
        <w:rPr>
          <w:color w:val="231F20"/>
        </w:rPr>
        <w:t>Aduanales</w:t>
      </w:r>
      <w:r>
        <w:rPr>
          <w:color w:val="231F20"/>
          <w:spacing w:val="35"/>
        </w:rPr>
        <w:t>  </w:t>
      </w:r>
      <w:r>
        <w:rPr>
          <w:color w:val="231F20"/>
        </w:rPr>
        <w:t>y</w:t>
      </w:r>
      <w:r>
        <w:rPr>
          <w:color w:val="231F20"/>
          <w:spacing w:val="35"/>
        </w:rPr>
        <w:t>  </w:t>
      </w:r>
      <w:r>
        <w:rPr>
          <w:color w:val="231F20"/>
          <w:spacing w:val="-2"/>
        </w:rPr>
        <w:t>Transitarios</w:t>
      </w:r>
    </w:p>
    <w:p>
      <w:pPr>
        <w:pStyle w:val="BodyText"/>
        <w:spacing w:before="6"/>
        <w:ind w:left="1474"/>
      </w:pPr>
      <w:r>
        <w:rPr>
          <w:color w:val="231F20"/>
        </w:rPr>
        <w:t>S.A. (SATSA). La operación bancaria </w:t>
      </w:r>
      <w:r>
        <w:rPr>
          <w:color w:val="231F20"/>
        </w:rPr>
        <w:t>fue cancelada. Posteriormente, se pudo corroborar</w:t>
      </w:r>
      <w:r>
        <w:rPr>
          <w:color w:val="231F20"/>
          <w:spacing w:val="-4"/>
        </w:rPr>
        <w:t> </w:t>
      </w:r>
      <w:r>
        <w:rPr>
          <w:color w:val="231F20"/>
        </w:rPr>
        <w:t>que</w:t>
      </w:r>
      <w:r>
        <w:rPr>
          <w:color w:val="231F20"/>
          <w:spacing w:val="-3"/>
        </w:rPr>
        <w:t> </w:t>
      </w:r>
      <w:r>
        <w:rPr>
          <w:color w:val="231F20"/>
        </w:rPr>
        <w:t>se</w:t>
      </w:r>
      <w:r>
        <w:rPr>
          <w:color w:val="231F20"/>
          <w:spacing w:val="-3"/>
        </w:rPr>
        <w:t> </w:t>
      </w:r>
      <w:r>
        <w:rPr>
          <w:color w:val="231F20"/>
        </w:rPr>
        <w:t>debió</w:t>
      </w:r>
      <w:r>
        <w:rPr>
          <w:color w:val="231F20"/>
          <w:spacing w:val="-3"/>
        </w:rPr>
        <w:t> </w:t>
      </w:r>
      <w:r>
        <w:rPr>
          <w:color w:val="231F20"/>
        </w:rPr>
        <w:t>a</w:t>
      </w:r>
      <w:r>
        <w:rPr>
          <w:color w:val="231F20"/>
          <w:spacing w:val="-3"/>
        </w:rPr>
        <w:t> </w:t>
      </w:r>
      <w:r>
        <w:rPr>
          <w:color w:val="231F20"/>
        </w:rPr>
        <w:t>la</w:t>
      </w:r>
      <w:r>
        <w:rPr>
          <w:color w:val="231F20"/>
          <w:spacing w:val="-3"/>
        </w:rPr>
        <w:t> </w:t>
      </w:r>
      <w:r>
        <w:rPr>
          <w:color w:val="231F20"/>
        </w:rPr>
        <w:t>presencia</w:t>
      </w:r>
      <w:r>
        <w:rPr>
          <w:color w:val="231F20"/>
          <w:spacing w:val="-3"/>
        </w:rPr>
        <w:t> </w:t>
      </w:r>
      <w:r>
        <w:rPr>
          <w:color w:val="231F20"/>
        </w:rPr>
        <w:t>de Cuba en la Lista arbitraria de países que patrocinan el terrorismo.</w:t>
      </w:r>
    </w:p>
    <w:p>
      <w:pPr>
        <w:spacing w:before="163"/>
        <w:ind w:left="1474" w:right="1" w:firstLine="0"/>
        <w:jc w:val="both"/>
        <w:rPr>
          <w:rFonts w:ascii="Segoe UI Semibold" w:hAnsi="Segoe UI Semibold"/>
          <w:b/>
          <w:i/>
          <w:sz w:val="24"/>
        </w:rPr>
      </w:pPr>
      <w:r>
        <w:rPr>
          <w:rFonts w:ascii="Segoe UI Semibold" w:hAnsi="Segoe UI Semibold"/>
          <w:b/>
          <w:i/>
          <w:color w:val="231F20"/>
          <w:spacing w:val="-8"/>
          <w:sz w:val="24"/>
        </w:rPr>
        <w:t>En el caso del</w:t>
      </w:r>
      <w:r>
        <w:rPr>
          <w:rFonts w:ascii="Segoe UI Semibold" w:hAnsi="Segoe UI Semibold"/>
          <w:b/>
          <w:i/>
          <w:color w:val="231F20"/>
          <w:spacing w:val="-7"/>
          <w:sz w:val="24"/>
        </w:rPr>
        <w:t> </w:t>
      </w:r>
      <w:r>
        <w:rPr>
          <w:b/>
          <w:i/>
          <w:color w:val="B52628"/>
          <w:spacing w:val="-8"/>
          <w:sz w:val="24"/>
        </w:rPr>
        <w:t>sector de la energía</w:t>
      </w:r>
      <w:r>
        <w:rPr>
          <w:b/>
          <w:i/>
          <w:color w:val="B52628"/>
          <w:spacing w:val="-7"/>
          <w:sz w:val="24"/>
        </w:rPr>
        <w:t> </w:t>
      </w:r>
      <w:r>
        <w:rPr>
          <w:b/>
          <w:i/>
          <w:color w:val="B52628"/>
          <w:spacing w:val="-8"/>
          <w:sz w:val="24"/>
        </w:rPr>
        <w:t>y minas,</w:t>
      </w:r>
      <w:r>
        <w:rPr>
          <w:b/>
          <w:i/>
          <w:color w:val="B52628"/>
          <w:spacing w:val="-8"/>
          <w:sz w:val="24"/>
        </w:rPr>
        <w:t> </w:t>
      </w:r>
      <w:r>
        <w:rPr>
          <w:rFonts w:ascii="Segoe UI Semibold" w:hAnsi="Segoe UI Semibold"/>
          <w:b/>
          <w:i/>
          <w:color w:val="231F20"/>
          <w:spacing w:val="-12"/>
          <w:sz w:val="24"/>
        </w:rPr>
        <w:t>los</w:t>
      </w:r>
      <w:r>
        <w:rPr>
          <w:rFonts w:ascii="Segoe UI Semibold" w:hAnsi="Segoe UI Semibold"/>
          <w:b/>
          <w:i/>
          <w:color w:val="231F20"/>
          <w:spacing w:val="-1"/>
          <w:sz w:val="24"/>
        </w:rPr>
        <w:t> </w:t>
      </w:r>
      <w:r>
        <w:rPr>
          <w:rFonts w:ascii="Segoe UI Semibold" w:hAnsi="Segoe UI Semibold"/>
          <w:b/>
          <w:i/>
          <w:color w:val="231F20"/>
          <w:spacing w:val="-12"/>
          <w:sz w:val="24"/>
        </w:rPr>
        <w:t>daños</w:t>
      </w:r>
      <w:r>
        <w:rPr>
          <w:rFonts w:ascii="Segoe UI Semibold" w:hAnsi="Segoe UI Semibold"/>
          <w:b/>
          <w:i/>
          <w:color w:val="231F20"/>
          <w:spacing w:val="-1"/>
          <w:sz w:val="24"/>
        </w:rPr>
        <w:t> </w:t>
      </w:r>
      <w:r>
        <w:rPr>
          <w:rFonts w:ascii="Segoe UI Semibold" w:hAnsi="Segoe UI Semibold"/>
          <w:b/>
          <w:i/>
          <w:color w:val="231F20"/>
          <w:spacing w:val="-12"/>
          <w:sz w:val="24"/>
        </w:rPr>
        <w:t>en</w:t>
      </w:r>
      <w:r>
        <w:rPr>
          <w:rFonts w:ascii="Segoe UI Semibold" w:hAnsi="Segoe UI Semibold"/>
          <w:b/>
          <w:i/>
          <w:color w:val="231F20"/>
          <w:spacing w:val="-1"/>
          <w:sz w:val="24"/>
        </w:rPr>
        <w:t> </w:t>
      </w:r>
      <w:r>
        <w:rPr>
          <w:rFonts w:ascii="Segoe UI Semibold" w:hAnsi="Segoe UI Semibold"/>
          <w:b/>
          <w:i/>
          <w:color w:val="231F20"/>
          <w:spacing w:val="-12"/>
          <w:sz w:val="24"/>
        </w:rPr>
        <w:t>el</w:t>
      </w:r>
      <w:r>
        <w:rPr>
          <w:rFonts w:ascii="Segoe UI Semibold" w:hAnsi="Segoe UI Semibold"/>
          <w:b/>
          <w:i/>
          <w:color w:val="231F20"/>
          <w:spacing w:val="-1"/>
          <w:sz w:val="24"/>
        </w:rPr>
        <w:t> </w:t>
      </w:r>
      <w:r>
        <w:rPr>
          <w:rFonts w:ascii="Segoe UI Semibold" w:hAnsi="Segoe UI Semibold"/>
          <w:b/>
          <w:i/>
          <w:color w:val="231F20"/>
          <w:spacing w:val="-12"/>
          <w:sz w:val="24"/>
        </w:rPr>
        <w:t>período</w:t>
      </w:r>
      <w:r>
        <w:rPr>
          <w:rFonts w:ascii="Segoe UI Semibold" w:hAnsi="Segoe UI Semibold"/>
          <w:b/>
          <w:i/>
          <w:color w:val="231F20"/>
          <w:spacing w:val="-1"/>
          <w:sz w:val="24"/>
        </w:rPr>
        <w:t> </w:t>
      </w:r>
      <w:r>
        <w:rPr>
          <w:rFonts w:ascii="Segoe UI Semibold" w:hAnsi="Segoe UI Semibold"/>
          <w:b/>
          <w:i/>
          <w:color w:val="231F20"/>
          <w:spacing w:val="-12"/>
          <w:sz w:val="24"/>
        </w:rPr>
        <w:t>analizado</w:t>
      </w:r>
      <w:r>
        <w:rPr>
          <w:rFonts w:ascii="Segoe UI Semibold" w:hAnsi="Segoe UI Semibold"/>
          <w:b/>
          <w:i/>
          <w:color w:val="231F20"/>
          <w:spacing w:val="-1"/>
          <w:sz w:val="24"/>
        </w:rPr>
        <w:t> </w:t>
      </w:r>
      <w:r>
        <w:rPr>
          <w:rFonts w:ascii="Segoe UI Semibold" w:hAnsi="Segoe UI Semibold"/>
          <w:b/>
          <w:i/>
          <w:color w:val="231F20"/>
          <w:spacing w:val="-12"/>
          <w:sz w:val="24"/>
        </w:rPr>
        <w:t>se</w:t>
      </w:r>
      <w:r>
        <w:rPr>
          <w:rFonts w:ascii="Segoe UI Semibold" w:hAnsi="Segoe UI Semibold"/>
          <w:b/>
          <w:i/>
          <w:color w:val="231F20"/>
          <w:spacing w:val="-2"/>
          <w:sz w:val="24"/>
        </w:rPr>
        <w:t> </w:t>
      </w:r>
      <w:r>
        <w:rPr>
          <w:rFonts w:ascii="Segoe UI Semibold" w:hAnsi="Segoe UI Semibold"/>
          <w:b/>
          <w:i/>
          <w:color w:val="231F20"/>
          <w:spacing w:val="-12"/>
          <w:sz w:val="24"/>
        </w:rPr>
        <w:t>estiman</w:t>
      </w:r>
      <w:r>
        <w:rPr>
          <w:rFonts w:ascii="Segoe UI Semibold" w:hAnsi="Segoe UI Semibold"/>
          <w:b/>
          <w:i/>
          <w:color w:val="231F20"/>
          <w:spacing w:val="-12"/>
          <w:sz w:val="24"/>
        </w:rPr>
        <w:t> </w:t>
      </w:r>
      <w:r>
        <w:rPr>
          <w:rFonts w:ascii="Segoe UI Semibold" w:hAnsi="Segoe UI Semibold"/>
          <w:b/>
          <w:i/>
          <w:color w:val="231F20"/>
          <w:sz w:val="24"/>
        </w:rPr>
        <w:t>en</w:t>
      </w:r>
      <w:r>
        <w:rPr>
          <w:rFonts w:ascii="Segoe UI Semibold" w:hAnsi="Segoe UI Semibold"/>
          <w:b/>
          <w:i/>
          <w:color w:val="231F20"/>
          <w:spacing w:val="-3"/>
          <w:sz w:val="24"/>
        </w:rPr>
        <w:t> </w:t>
      </w:r>
      <w:r>
        <w:rPr>
          <w:b/>
          <w:i/>
          <w:color w:val="231F20"/>
          <w:sz w:val="24"/>
        </w:rPr>
        <w:t>491</w:t>
      </w:r>
      <w:r>
        <w:rPr>
          <w:b/>
          <w:i/>
          <w:color w:val="231F20"/>
          <w:spacing w:val="-4"/>
          <w:sz w:val="24"/>
        </w:rPr>
        <w:t> </w:t>
      </w:r>
      <w:r>
        <w:rPr>
          <w:b/>
          <w:i/>
          <w:color w:val="231F20"/>
          <w:sz w:val="24"/>
        </w:rPr>
        <w:t>millones</w:t>
      </w:r>
      <w:r>
        <w:rPr>
          <w:b/>
          <w:i/>
          <w:color w:val="231F20"/>
          <w:spacing w:val="-3"/>
          <w:sz w:val="24"/>
        </w:rPr>
        <w:t> </w:t>
      </w:r>
      <w:r>
        <w:rPr>
          <w:b/>
          <w:i/>
          <w:color w:val="231F20"/>
          <w:sz w:val="24"/>
        </w:rPr>
        <w:t>156</w:t>
      </w:r>
      <w:r>
        <w:rPr>
          <w:b/>
          <w:i/>
          <w:color w:val="231F20"/>
          <w:spacing w:val="-3"/>
          <w:sz w:val="24"/>
        </w:rPr>
        <w:t> </w:t>
      </w:r>
      <w:r>
        <w:rPr>
          <w:b/>
          <w:i/>
          <w:color w:val="231F20"/>
          <w:sz w:val="24"/>
        </w:rPr>
        <w:t>mil</w:t>
      </w:r>
      <w:r>
        <w:rPr>
          <w:b/>
          <w:i/>
          <w:color w:val="231F20"/>
          <w:spacing w:val="-4"/>
          <w:sz w:val="24"/>
        </w:rPr>
        <w:t> </w:t>
      </w:r>
      <w:r>
        <w:rPr>
          <w:b/>
          <w:i/>
          <w:color w:val="231F20"/>
          <w:sz w:val="24"/>
        </w:rPr>
        <w:t>960</w:t>
      </w:r>
      <w:r>
        <w:rPr>
          <w:b/>
          <w:i/>
          <w:color w:val="231F20"/>
          <w:spacing w:val="-3"/>
          <w:sz w:val="24"/>
        </w:rPr>
        <w:t> </w:t>
      </w:r>
      <w:r>
        <w:rPr>
          <w:b/>
          <w:i/>
          <w:color w:val="231F20"/>
          <w:sz w:val="24"/>
        </w:rPr>
        <w:t>dólares</w:t>
      </w:r>
      <w:r>
        <w:rPr>
          <w:rFonts w:ascii="Segoe UI Semibold" w:hAnsi="Segoe UI Semibold"/>
          <w:b/>
          <w:i/>
          <w:color w:val="231F20"/>
          <w:sz w:val="24"/>
        </w:rPr>
        <w:t>.</w:t>
      </w:r>
      <w:r>
        <w:rPr>
          <w:rFonts w:ascii="Segoe UI Semibold" w:hAnsi="Segoe UI Semibold"/>
          <w:b/>
          <w:i/>
          <w:color w:val="231F20"/>
          <w:spacing w:val="-3"/>
          <w:sz w:val="24"/>
        </w:rPr>
        <w:t> </w:t>
      </w:r>
      <w:r>
        <w:rPr>
          <w:rFonts w:ascii="Segoe UI Semibold" w:hAnsi="Segoe UI Semibold"/>
          <w:b/>
          <w:i/>
          <w:color w:val="231F20"/>
          <w:spacing w:val="-5"/>
          <w:sz w:val="24"/>
        </w:rPr>
        <w:t>La</w:t>
      </w:r>
    </w:p>
    <w:p>
      <w:pPr>
        <w:spacing w:before="76"/>
        <w:ind w:left="412" w:right="1139" w:firstLine="0"/>
        <w:jc w:val="both"/>
        <w:rPr>
          <w:rFonts w:ascii="Segoe UI Semibold" w:hAnsi="Segoe UI Semibold"/>
          <w:b/>
          <w:i/>
          <w:sz w:val="24"/>
        </w:rPr>
      </w:pPr>
      <w:r>
        <w:rPr/>
        <w:br w:type="column"/>
      </w:r>
      <w:r>
        <w:rPr>
          <w:rFonts w:ascii="Segoe UI Semibold" w:hAnsi="Segoe UI Semibold"/>
          <w:b/>
          <w:i/>
          <w:color w:val="231F20"/>
          <w:spacing w:val="-2"/>
          <w:sz w:val="24"/>
        </w:rPr>
        <w:t>Unión</w:t>
      </w:r>
      <w:r>
        <w:rPr>
          <w:rFonts w:ascii="Segoe UI Semibold" w:hAnsi="Segoe UI Semibold"/>
          <w:b/>
          <w:i/>
          <w:color w:val="231F20"/>
          <w:spacing w:val="-15"/>
          <w:sz w:val="24"/>
        </w:rPr>
        <w:t> </w:t>
      </w:r>
      <w:r>
        <w:rPr>
          <w:rFonts w:ascii="Segoe UI Semibold" w:hAnsi="Segoe UI Semibold"/>
          <w:b/>
          <w:i/>
          <w:color w:val="231F20"/>
          <w:spacing w:val="-2"/>
          <w:sz w:val="24"/>
        </w:rPr>
        <w:t>Nacional</w:t>
      </w:r>
      <w:r>
        <w:rPr>
          <w:rFonts w:ascii="Segoe UI Semibold" w:hAnsi="Segoe UI Semibold"/>
          <w:b/>
          <w:i/>
          <w:color w:val="231F20"/>
          <w:spacing w:val="-14"/>
          <w:sz w:val="24"/>
        </w:rPr>
        <w:t> </w:t>
      </w:r>
      <w:r>
        <w:rPr>
          <w:rFonts w:ascii="Segoe UI Semibold" w:hAnsi="Segoe UI Semibold"/>
          <w:b/>
          <w:i/>
          <w:color w:val="231F20"/>
          <w:spacing w:val="-2"/>
          <w:sz w:val="24"/>
        </w:rPr>
        <w:t>Eléctrica</w:t>
      </w:r>
      <w:r>
        <w:rPr>
          <w:rFonts w:ascii="Segoe UI Semibold" w:hAnsi="Segoe UI Semibold"/>
          <w:b/>
          <w:i/>
          <w:color w:val="231F20"/>
          <w:spacing w:val="-15"/>
          <w:sz w:val="24"/>
        </w:rPr>
        <w:t> </w:t>
      </w:r>
      <w:r>
        <w:rPr>
          <w:rFonts w:ascii="Segoe UI Semibold" w:hAnsi="Segoe UI Semibold"/>
          <w:b/>
          <w:i/>
          <w:color w:val="231F20"/>
          <w:spacing w:val="-2"/>
          <w:sz w:val="24"/>
        </w:rPr>
        <w:t>reporta</w:t>
      </w:r>
      <w:r>
        <w:rPr>
          <w:rFonts w:ascii="Segoe UI Semibold" w:hAnsi="Segoe UI Semibold"/>
          <w:b/>
          <w:i/>
          <w:color w:val="231F20"/>
          <w:spacing w:val="-14"/>
          <w:sz w:val="24"/>
        </w:rPr>
        <w:t> </w:t>
      </w:r>
      <w:r>
        <w:rPr>
          <w:rFonts w:ascii="Segoe UI Semibold" w:hAnsi="Segoe UI Semibold"/>
          <w:b/>
          <w:i/>
          <w:color w:val="231F20"/>
          <w:spacing w:val="-2"/>
          <w:sz w:val="24"/>
        </w:rPr>
        <w:t>el</w:t>
      </w:r>
      <w:r>
        <w:rPr>
          <w:rFonts w:ascii="Segoe UI Semibold" w:hAnsi="Segoe UI Semibold"/>
          <w:b/>
          <w:i/>
          <w:color w:val="231F20"/>
          <w:spacing w:val="-15"/>
          <w:sz w:val="24"/>
        </w:rPr>
        <w:t> </w:t>
      </w:r>
      <w:r>
        <w:rPr>
          <w:rFonts w:ascii="Segoe UI Semibold" w:hAnsi="Segoe UI Semibold"/>
          <w:b/>
          <w:i/>
          <w:color w:val="231F20"/>
          <w:spacing w:val="-2"/>
          <w:sz w:val="24"/>
        </w:rPr>
        <w:t>monto</w:t>
      </w:r>
      <w:r>
        <w:rPr>
          <w:rFonts w:ascii="Segoe UI Semibold" w:hAnsi="Segoe UI Semibold"/>
          <w:b/>
          <w:i/>
          <w:color w:val="231F20"/>
          <w:spacing w:val="-2"/>
          <w:sz w:val="24"/>
        </w:rPr>
        <w:t> </w:t>
      </w:r>
      <w:r>
        <w:rPr>
          <w:rFonts w:ascii="Segoe UI Semibold" w:hAnsi="Segoe UI Semibold"/>
          <w:b/>
          <w:i/>
          <w:color w:val="231F20"/>
          <w:sz w:val="24"/>
        </w:rPr>
        <w:t>más grande de las afectaciones, con </w:t>
      </w:r>
      <w:r>
        <w:rPr>
          <w:b/>
          <w:i/>
          <w:color w:val="231F20"/>
          <w:sz w:val="24"/>
        </w:rPr>
        <w:t>239</w:t>
      </w:r>
      <w:r>
        <w:rPr>
          <w:b/>
          <w:i/>
          <w:color w:val="231F20"/>
          <w:sz w:val="24"/>
        </w:rPr>
        <w:t> millones</w:t>
      </w:r>
      <w:r>
        <w:rPr>
          <w:b/>
          <w:i/>
          <w:color w:val="231F20"/>
          <w:spacing w:val="-16"/>
          <w:sz w:val="24"/>
        </w:rPr>
        <w:t> </w:t>
      </w:r>
      <w:r>
        <w:rPr>
          <w:b/>
          <w:i/>
          <w:color w:val="231F20"/>
          <w:sz w:val="24"/>
        </w:rPr>
        <w:t>276</w:t>
      </w:r>
      <w:r>
        <w:rPr>
          <w:b/>
          <w:i/>
          <w:color w:val="231F20"/>
          <w:spacing w:val="-16"/>
          <w:sz w:val="24"/>
        </w:rPr>
        <w:t> </w:t>
      </w:r>
      <w:r>
        <w:rPr>
          <w:b/>
          <w:i/>
          <w:color w:val="231F20"/>
          <w:sz w:val="24"/>
        </w:rPr>
        <w:t>mil</w:t>
      </w:r>
      <w:r>
        <w:rPr>
          <w:b/>
          <w:i/>
          <w:color w:val="231F20"/>
          <w:spacing w:val="-16"/>
          <w:sz w:val="24"/>
        </w:rPr>
        <w:t> </w:t>
      </w:r>
      <w:r>
        <w:rPr>
          <w:b/>
          <w:i/>
          <w:color w:val="231F20"/>
          <w:sz w:val="24"/>
        </w:rPr>
        <w:t>300</w:t>
      </w:r>
      <w:r>
        <w:rPr>
          <w:b/>
          <w:i/>
          <w:color w:val="231F20"/>
          <w:spacing w:val="-16"/>
          <w:sz w:val="24"/>
        </w:rPr>
        <w:t> </w:t>
      </w:r>
      <w:r>
        <w:rPr>
          <w:b/>
          <w:i/>
          <w:color w:val="231F20"/>
          <w:sz w:val="24"/>
        </w:rPr>
        <w:t>dólares</w:t>
      </w:r>
      <w:r>
        <w:rPr>
          <w:rFonts w:ascii="Segoe UI Semibold" w:hAnsi="Segoe UI Semibold"/>
          <w:b/>
          <w:i/>
          <w:color w:val="231F20"/>
          <w:sz w:val="24"/>
        </w:rPr>
        <w:t>.</w:t>
      </w:r>
    </w:p>
    <w:p>
      <w:pPr>
        <w:pStyle w:val="BodyText"/>
        <w:spacing w:before="160"/>
        <w:ind w:left="412" w:right="1133"/>
      </w:pPr>
      <w:r>
        <w:rPr>
          <w:color w:val="231F20"/>
        </w:rPr>
        <w:t>Cuba ha enfrentado enormes dificultades </w:t>
      </w:r>
      <w:r>
        <w:rPr>
          <w:color w:val="231F20"/>
          <w:spacing w:val="-8"/>
        </w:rPr>
        <w:t>para mantener la generación de electricidad, </w:t>
      </w:r>
      <w:r>
        <w:rPr>
          <w:color w:val="231F20"/>
        </w:rPr>
        <w:t>debido</w:t>
      </w:r>
      <w:r>
        <w:rPr>
          <w:color w:val="231F20"/>
          <w:spacing w:val="-5"/>
        </w:rPr>
        <w:t> </w:t>
      </w:r>
      <w:r>
        <w:rPr>
          <w:color w:val="231F20"/>
        </w:rPr>
        <w:t>a</w:t>
      </w:r>
      <w:r>
        <w:rPr>
          <w:color w:val="231F20"/>
          <w:spacing w:val="-5"/>
        </w:rPr>
        <w:t> </w:t>
      </w:r>
      <w:r>
        <w:rPr>
          <w:color w:val="231F20"/>
        </w:rPr>
        <w:t>la</w:t>
      </w:r>
      <w:r>
        <w:rPr>
          <w:color w:val="231F20"/>
          <w:spacing w:val="-5"/>
        </w:rPr>
        <w:t> </w:t>
      </w:r>
      <w:r>
        <w:rPr>
          <w:color w:val="231F20"/>
        </w:rPr>
        <w:t>tensa</w:t>
      </w:r>
      <w:r>
        <w:rPr>
          <w:color w:val="231F20"/>
          <w:spacing w:val="-5"/>
        </w:rPr>
        <w:t> </w:t>
      </w:r>
      <w:r>
        <w:rPr>
          <w:color w:val="231F20"/>
        </w:rPr>
        <w:t>situación</w:t>
      </w:r>
      <w:r>
        <w:rPr>
          <w:color w:val="231F20"/>
          <w:spacing w:val="-5"/>
        </w:rPr>
        <w:t> </w:t>
      </w:r>
      <w:r>
        <w:rPr>
          <w:color w:val="231F20"/>
        </w:rPr>
        <w:t>que</w:t>
      </w:r>
      <w:r>
        <w:rPr>
          <w:color w:val="231F20"/>
          <w:spacing w:val="-5"/>
        </w:rPr>
        <w:t> </w:t>
      </w:r>
      <w:r>
        <w:rPr>
          <w:color w:val="231F20"/>
        </w:rPr>
        <w:t>impone</w:t>
      </w:r>
      <w:r>
        <w:rPr>
          <w:color w:val="231F20"/>
          <w:spacing w:val="-5"/>
        </w:rPr>
        <w:t> </w:t>
      </w:r>
      <w:r>
        <w:rPr>
          <w:color w:val="231F20"/>
        </w:rPr>
        <w:t>el </w:t>
      </w:r>
      <w:r>
        <w:rPr>
          <w:color w:val="231F20"/>
          <w:spacing w:val="-6"/>
        </w:rPr>
        <w:t>bloqueo.</w:t>
      </w:r>
      <w:r>
        <w:rPr>
          <w:color w:val="231F20"/>
          <w:spacing w:val="-11"/>
        </w:rPr>
        <w:t> </w:t>
      </w:r>
      <w:r>
        <w:rPr>
          <w:color w:val="231F20"/>
          <w:spacing w:val="-6"/>
        </w:rPr>
        <w:t>El</w:t>
      </w:r>
      <w:r>
        <w:rPr>
          <w:color w:val="231F20"/>
          <w:spacing w:val="-10"/>
        </w:rPr>
        <w:t> </w:t>
      </w:r>
      <w:r>
        <w:rPr>
          <w:color w:val="231F20"/>
          <w:spacing w:val="-6"/>
        </w:rPr>
        <w:t>cerco</w:t>
      </w:r>
      <w:r>
        <w:rPr>
          <w:color w:val="231F20"/>
          <w:spacing w:val="-11"/>
        </w:rPr>
        <w:t> </w:t>
      </w:r>
      <w:r>
        <w:rPr>
          <w:color w:val="231F20"/>
          <w:spacing w:val="-6"/>
        </w:rPr>
        <w:t>económico</w:t>
      </w:r>
      <w:r>
        <w:rPr>
          <w:color w:val="231F20"/>
          <w:spacing w:val="-10"/>
        </w:rPr>
        <w:t> </w:t>
      </w:r>
      <w:r>
        <w:rPr>
          <w:color w:val="231F20"/>
          <w:spacing w:val="-6"/>
        </w:rPr>
        <w:t>ha</w:t>
      </w:r>
      <w:r>
        <w:rPr>
          <w:color w:val="231F20"/>
          <w:spacing w:val="-11"/>
        </w:rPr>
        <w:t> </w:t>
      </w:r>
      <w:r>
        <w:rPr>
          <w:color w:val="231F20"/>
          <w:spacing w:val="-6"/>
        </w:rPr>
        <w:t>exacerbado </w:t>
      </w:r>
      <w:r>
        <w:rPr>
          <w:color w:val="231F20"/>
        </w:rPr>
        <w:t>las limitaciones financieras y de acceso a </w:t>
      </w:r>
      <w:r>
        <w:rPr>
          <w:color w:val="231F20"/>
          <w:spacing w:val="-4"/>
        </w:rPr>
        <w:t>créditos</w:t>
      </w:r>
      <w:r>
        <w:rPr>
          <w:color w:val="231F20"/>
          <w:spacing w:val="-13"/>
        </w:rPr>
        <w:t> </w:t>
      </w:r>
      <w:r>
        <w:rPr>
          <w:color w:val="231F20"/>
          <w:spacing w:val="-4"/>
        </w:rPr>
        <w:t>para</w:t>
      </w:r>
      <w:r>
        <w:rPr>
          <w:color w:val="231F20"/>
          <w:spacing w:val="-12"/>
        </w:rPr>
        <w:t> </w:t>
      </w:r>
      <w:r>
        <w:rPr>
          <w:color w:val="231F20"/>
          <w:spacing w:val="-4"/>
        </w:rPr>
        <w:t>reparar</w:t>
      </w:r>
      <w:r>
        <w:rPr>
          <w:color w:val="231F20"/>
          <w:spacing w:val="-13"/>
        </w:rPr>
        <w:t> </w:t>
      </w:r>
      <w:r>
        <w:rPr>
          <w:color w:val="231F20"/>
          <w:spacing w:val="-4"/>
        </w:rPr>
        <w:t>las</w:t>
      </w:r>
      <w:r>
        <w:rPr>
          <w:color w:val="231F20"/>
          <w:spacing w:val="-12"/>
        </w:rPr>
        <w:t> </w:t>
      </w:r>
      <w:r>
        <w:rPr>
          <w:color w:val="231F20"/>
          <w:spacing w:val="-4"/>
        </w:rPr>
        <w:t>termoeléctricas</w:t>
      </w:r>
      <w:r>
        <w:rPr>
          <w:color w:val="231F20"/>
          <w:spacing w:val="-13"/>
        </w:rPr>
        <w:t> </w:t>
      </w:r>
      <w:r>
        <w:rPr>
          <w:color w:val="231F20"/>
          <w:spacing w:val="-4"/>
        </w:rPr>
        <w:t>del </w:t>
      </w:r>
      <w:r>
        <w:rPr>
          <w:color w:val="231F20"/>
          <w:spacing w:val="-2"/>
        </w:rPr>
        <w:t>país,</w:t>
      </w:r>
      <w:r>
        <w:rPr>
          <w:color w:val="231F20"/>
          <w:spacing w:val="-15"/>
        </w:rPr>
        <w:t> </w:t>
      </w:r>
      <w:r>
        <w:rPr>
          <w:color w:val="231F20"/>
          <w:spacing w:val="-2"/>
        </w:rPr>
        <w:t>adquirir</w:t>
      </w:r>
      <w:r>
        <w:rPr>
          <w:color w:val="231F20"/>
          <w:spacing w:val="-14"/>
        </w:rPr>
        <w:t> </w:t>
      </w:r>
      <w:r>
        <w:rPr>
          <w:color w:val="231F20"/>
          <w:spacing w:val="-2"/>
        </w:rPr>
        <w:t>las</w:t>
      </w:r>
      <w:r>
        <w:rPr>
          <w:color w:val="231F20"/>
          <w:spacing w:val="-15"/>
        </w:rPr>
        <w:t> </w:t>
      </w:r>
      <w:r>
        <w:rPr>
          <w:color w:val="231F20"/>
          <w:spacing w:val="-2"/>
        </w:rPr>
        <w:t>tecnologías</w:t>
      </w:r>
      <w:r>
        <w:rPr>
          <w:color w:val="231F20"/>
          <w:spacing w:val="-14"/>
        </w:rPr>
        <w:t> </w:t>
      </w:r>
      <w:r>
        <w:rPr>
          <w:color w:val="231F20"/>
          <w:spacing w:val="-2"/>
        </w:rPr>
        <w:t>necesarias</w:t>
      </w:r>
      <w:r>
        <w:rPr>
          <w:color w:val="231F20"/>
          <w:spacing w:val="-15"/>
        </w:rPr>
        <w:t> </w:t>
      </w:r>
      <w:r>
        <w:rPr>
          <w:color w:val="231F20"/>
          <w:spacing w:val="-2"/>
        </w:rPr>
        <w:t>y</w:t>
      </w:r>
      <w:r>
        <w:rPr>
          <w:color w:val="231F20"/>
          <w:spacing w:val="-14"/>
        </w:rPr>
        <w:t> </w:t>
      </w:r>
      <w:r>
        <w:rPr>
          <w:color w:val="231F20"/>
          <w:spacing w:val="-2"/>
        </w:rPr>
        <w:t>el </w:t>
      </w:r>
      <w:r>
        <w:rPr>
          <w:color w:val="231F20"/>
        </w:rPr>
        <w:t>combustible</w:t>
      </w:r>
      <w:r>
        <w:rPr>
          <w:color w:val="231F20"/>
          <w:spacing w:val="-3"/>
        </w:rPr>
        <w:t> </w:t>
      </w:r>
      <w:r>
        <w:rPr>
          <w:color w:val="231F20"/>
        </w:rPr>
        <w:t>requerido</w:t>
      </w:r>
      <w:r>
        <w:rPr>
          <w:color w:val="231F20"/>
          <w:spacing w:val="-3"/>
        </w:rPr>
        <w:t> </w:t>
      </w:r>
      <w:r>
        <w:rPr>
          <w:color w:val="231F20"/>
        </w:rPr>
        <w:t>para</w:t>
      </w:r>
      <w:r>
        <w:rPr>
          <w:color w:val="231F20"/>
          <w:spacing w:val="-3"/>
        </w:rPr>
        <w:t> </w:t>
      </w:r>
      <w:r>
        <w:rPr>
          <w:color w:val="231F20"/>
        </w:rPr>
        <w:t>garantizar</w:t>
      </w:r>
      <w:r>
        <w:rPr>
          <w:color w:val="231F20"/>
          <w:spacing w:val="-3"/>
        </w:rPr>
        <w:t> </w:t>
      </w:r>
      <w:r>
        <w:rPr>
          <w:color w:val="231F20"/>
        </w:rPr>
        <w:t>un </w:t>
      </w:r>
      <w:r>
        <w:rPr>
          <w:color w:val="231F20"/>
          <w:spacing w:val="-10"/>
        </w:rPr>
        <w:t>servicio</w:t>
      </w:r>
      <w:r>
        <w:rPr>
          <w:color w:val="231F20"/>
          <w:spacing w:val="-7"/>
        </w:rPr>
        <w:t> </w:t>
      </w:r>
      <w:r>
        <w:rPr>
          <w:color w:val="231F20"/>
          <w:spacing w:val="-10"/>
        </w:rPr>
        <w:t>estable</w:t>
      </w:r>
      <w:r>
        <w:rPr>
          <w:color w:val="231F20"/>
          <w:spacing w:val="-6"/>
        </w:rPr>
        <w:t> </w:t>
      </w:r>
      <w:r>
        <w:rPr>
          <w:color w:val="231F20"/>
          <w:spacing w:val="-10"/>
        </w:rPr>
        <w:t>a</w:t>
      </w:r>
      <w:r>
        <w:rPr>
          <w:color w:val="231F20"/>
          <w:spacing w:val="-6"/>
        </w:rPr>
        <w:t> </w:t>
      </w:r>
      <w:r>
        <w:rPr>
          <w:color w:val="231F20"/>
          <w:spacing w:val="-10"/>
        </w:rPr>
        <w:t>la</w:t>
      </w:r>
      <w:r>
        <w:rPr>
          <w:color w:val="231F20"/>
          <w:spacing w:val="-7"/>
        </w:rPr>
        <w:t> </w:t>
      </w:r>
      <w:r>
        <w:rPr>
          <w:color w:val="231F20"/>
          <w:spacing w:val="-10"/>
        </w:rPr>
        <w:t>población</w:t>
      </w:r>
      <w:r>
        <w:rPr>
          <w:color w:val="231F20"/>
          <w:spacing w:val="-6"/>
        </w:rPr>
        <w:t> </w:t>
      </w:r>
      <w:r>
        <w:rPr>
          <w:color w:val="231F20"/>
          <w:spacing w:val="-10"/>
        </w:rPr>
        <w:t>y</w:t>
      </w:r>
      <w:r>
        <w:rPr>
          <w:color w:val="231F20"/>
          <w:spacing w:val="-6"/>
        </w:rPr>
        <w:t> </w:t>
      </w:r>
      <w:r>
        <w:rPr>
          <w:color w:val="231F20"/>
          <w:spacing w:val="-10"/>
        </w:rPr>
        <w:t>a</w:t>
      </w:r>
      <w:r>
        <w:rPr>
          <w:color w:val="231F20"/>
          <w:spacing w:val="-7"/>
        </w:rPr>
        <w:t> </w:t>
      </w:r>
      <w:r>
        <w:rPr>
          <w:color w:val="231F20"/>
          <w:spacing w:val="-10"/>
        </w:rPr>
        <w:t>los</w:t>
      </w:r>
      <w:r>
        <w:rPr>
          <w:color w:val="231F20"/>
          <w:spacing w:val="-6"/>
        </w:rPr>
        <w:t> </w:t>
      </w:r>
      <w:r>
        <w:rPr>
          <w:color w:val="231F20"/>
          <w:spacing w:val="-10"/>
        </w:rPr>
        <w:t>sectores </w:t>
      </w:r>
      <w:r>
        <w:rPr>
          <w:color w:val="231F20"/>
        </w:rPr>
        <w:t>estratégicos</w:t>
      </w:r>
      <w:r>
        <w:rPr>
          <w:color w:val="231F20"/>
          <w:spacing w:val="-7"/>
        </w:rPr>
        <w:t> </w:t>
      </w:r>
      <w:r>
        <w:rPr>
          <w:color w:val="231F20"/>
        </w:rPr>
        <w:t>de</w:t>
      </w:r>
      <w:r>
        <w:rPr>
          <w:color w:val="231F20"/>
          <w:spacing w:val="-7"/>
        </w:rPr>
        <w:t> </w:t>
      </w:r>
      <w:r>
        <w:rPr>
          <w:color w:val="231F20"/>
        </w:rPr>
        <w:t>la</w:t>
      </w:r>
      <w:r>
        <w:rPr>
          <w:color w:val="231F20"/>
          <w:spacing w:val="-7"/>
        </w:rPr>
        <w:t> </w:t>
      </w:r>
      <w:r>
        <w:rPr>
          <w:color w:val="231F20"/>
        </w:rPr>
        <w:t>economía</w:t>
      </w:r>
      <w:r>
        <w:rPr>
          <w:color w:val="231F20"/>
          <w:spacing w:val="-7"/>
        </w:rPr>
        <w:t> </w:t>
      </w:r>
      <w:r>
        <w:rPr>
          <w:color w:val="231F20"/>
        </w:rPr>
        <w:t>nacional.</w:t>
      </w:r>
    </w:p>
    <w:p>
      <w:pPr>
        <w:pStyle w:val="BodyText"/>
        <w:spacing w:before="168"/>
        <w:ind w:left="412" w:right="1133"/>
      </w:pPr>
      <w:r>
        <w:rPr>
          <w:color w:val="231F20"/>
        </w:rPr>
        <w:t>Tener que adquirir en mercados más distantes los productos para la ejecución </w:t>
      </w:r>
      <w:r>
        <w:rPr>
          <w:color w:val="231F20"/>
          <w:spacing w:val="-4"/>
        </w:rPr>
        <w:t>de</w:t>
      </w:r>
      <w:r>
        <w:rPr>
          <w:color w:val="231F20"/>
          <w:spacing w:val="-9"/>
        </w:rPr>
        <w:t> </w:t>
      </w:r>
      <w:r>
        <w:rPr>
          <w:color w:val="231F20"/>
          <w:spacing w:val="-4"/>
        </w:rPr>
        <w:t>los</w:t>
      </w:r>
      <w:r>
        <w:rPr>
          <w:color w:val="231F20"/>
          <w:spacing w:val="-9"/>
        </w:rPr>
        <w:t> </w:t>
      </w:r>
      <w:r>
        <w:rPr>
          <w:color w:val="231F20"/>
          <w:spacing w:val="-4"/>
        </w:rPr>
        <w:t>mantenimientos</w:t>
      </w:r>
      <w:r>
        <w:rPr>
          <w:color w:val="231F20"/>
          <w:spacing w:val="-9"/>
        </w:rPr>
        <w:t> </w:t>
      </w:r>
      <w:r>
        <w:rPr>
          <w:color w:val="231F20"/>
          <w:spacing w:val="-4"/>
        </w:rPr>
        <w:t>capitales</w:t>
      </w:r>
      <w:r>
        <w:rPr>
          <w:color w:val="231F20"/>
          <w:spacing w:val="-9"/>
        </w:rPr>
        <w:t> </w:t>
      </w:r>
      <w:r>
        <w:rPr>
          <w:color w:val="231F20"/>
          <w:spacing w:val="-4"/>
        </w:rPr>
        <w:t>necesarios </w:t>
      </w:r>
      <w:r>
        <w:rPr>
          <w:color w:val="231F20"/>
        </w:rPr>
        <w:t>en la generación eléctrica provoca el </w:t>
      </w:r>
      <w:r>
        <w:rPr>
          <w:color w:val="231F20"/>
          <w:spacing w:val="-8"/>
        </w:rPr>
        <w:t>incremento</w:t>
      </w:r>
      <w:r>
        <w:rPr>
          <w:color w:val="231F20"/>
          <w:spacing w:val="-9"/>
        </w:rPr>
        <w:t> </w:t>
      </w:r>
      <w:r>
        <w:rPr>
          <w:color w:val="231F20"/>
          <w:spacing w:val="-8"/>
        </w:rPr>
        <w:t>en los</w:t>
      </w:r>
      <w:r>
        <w:rPr>
          <w:color w:val="231F20"/>
          <w:spacing w:val="-9"/>
        </w:rPr>
        <w:t> </w:t>
      </w:r>
      <w:r>
        <w:rPr>
          <w:color w:val="231F20"/>
          <w:spacing w:val="-8"/>
        </w:rPr>
        <w:t>precios de</w:t>
      </w:r>
      <w:r>
        <w:rPr>
          <w:color w:val="231F20"/>
          <w:spacing w:val="-9"/>
        </w:rPr>
        <w:t> </w:t>
      </w:r>
      <w:r>
        <w:rPr>
          <w:color w:val="231F20"/>
          <w:spacing w:val="-8"/>
        </w:rPr>
        <w:t>las operaciones </w:t>
      </w:r>
      <w:r>
        <w:rPr>
          <w:color w:val="231F20"/>
          <w:spacing w:val="-2"/>
        </w:rPr>
        <w:t>de</w:t>
      </w:r>
      <w:r>
        <w:rPr>
          <w:color w:val="231F20"/>
          <w:spacing w:val="-15"/>
        </w:rPr>
        <w:t> </w:t>
      </w:r>
      <w:r>
        <w:rPr>
          <w:color w:val="231F20"/>
          <w:spacing w:val="-2"/>
        </w:rPr>
        <w:t>importación.</w:t>
      </w:r>
      <w:r>
        <w:rPr>
          <w:color w:val="231F20"/>
          <w:spacing w:val="-14"/>
        </w:rPr>
        <w:t> </w:t>
      </w:r>
      <w:r>
        <w:rPr>
          <w:color w:val="231F20"/>
          <w:spacing w:val="-2"/>
        </w:rPr>
        <w:t>Solo</w:t>
      </w:r>
      <w:r>
        <w:rPr>
          <w:color w:val="231F20"/>
          <w:spacing w:val="-14"/>
        </w:rPr>
        <w:t> </w:t>
      </w:r>
      <w:r>
        <w:rPr>
          <w:color w:val="231F20"/>
          <w:spacing w:val="-2"/>
        </w:rPr>
        <w:t>por</w:t>
      </w:r>
      <w:r>
        <w:rPr>
          <w:color w:val="231F20"/>
          <w:spacing w:val="-15"/>
        </w:rPr>
        <w:t> </w:t>
      </w:r>
      <w:r>
        <w:rPr>
          <w:color w:val="231F20"/>
          <w:spacing w:val="-2"/>
        </w:rPr>
        <w:t>concepto</w:t>
      </w:r>
      <w:r>
        <w:rPr>
          <w:color w:val="231F20"/>
          <w:spacing w:val="-14"/>
        </w:rPr>
        <w:t> </w:t>
      </w:r>
      <w:r>
        <w:rPr>
          <w:color w:val="231F20"/>
          <w:spacing w:val="-2"/>
        </w:rPr>
        <w:t>de</w:t>
      </w:r>
      <w:r>
        <w:rPr>
          <w:color w:val="231F20"/>
          <w:spacing w:val="-14"/>
        </w:rPr>
        <w:t> </w:t>
      </w:r>
      <w:r>
        <w:rPr>
          <w:color w:val="231F20"/>
          <w:spacing w:val="-2"/>
        </w:rPr>
        <w:t>flete </w:t>
      </w:r>
      <w:r>
        <w:rPr>
          <w:color w:val="231F20"/>
        </w:rPr>
        <w:t>y seguro se reporta una afectación de 92 millones 784 mil 868 dólares.</w:t>
      </w:r>
    </w:p>
    <w:p>
      <w:pPr>
        <w:pStyle w:val="BodyText"/>
        <w:spacing w:before="166"/>
        <w:ind w:left="412" w:right="1135"/>
      </w:pPr>
      <w:r>
        <w:rPr>
          <w:color w:val="231F20"/>
        </w:rPr>
        <w:t>Como consecuencia de las acciones de persecución e intimidación, así como las </w:t>
      </w:r>
      <w:r>
        <w:rPr>
          <w:color w:val="231F20"/>
          <w:spacing w:val="-6"/>
        </w:rPr>
        <w:t>regulaciones</w:t>
      </w:r>
      <w:r>
        <w:rPr>
          <w:color w:val="231F20"/>
          <w:spacing w:val="-11"/>
        </w:rPr>
        <w:t> </w:t>
      </w:r>
      <w:r>
        <w:rPr>
          <w:color w:val="231F20"/>
          <w:spacing w:val="-6"/>
        </w:rPr>
        <w:t>y</w:t>
      </w:r>
      <w:r>
        <w:rPr>
          <w:color w:val="231F20"/>
          <w:spacing w:val="-10"/>
        </w:rPr>
        <w:t> </w:t>
      </w:r>
      <w:r>
        <w:rPr>
          <w:color w:val="231F20"/>
          <w:spacing w:val="-6"/>
        </w:rPr>
        <w:t>disposiciones</w:t>
      </w:r>
      <w:r>
        <w:rPr>
          <w:color w:val="231F20"/>
          <w:spacing w:val="-11"/>
        </w:rPr>
        <w:t> </w:t>
      </w:r>
      <w:r>
        <w:rPr>
          <w:color w:val="231F20"/>
          <w:spacing w:val="-6"/>
        </w:rPr>
        <w:t>que</w:t>
      </w:r>
      <w:r>
        <w:rPr>
          <w:color w:val="231F20"/>
          <w:spacing w:val="-10"/>
        </w:rPr>
        <w:t> </w:t>
      </w:r>
      <w:r>
        <w:rPr>
          <w:color w:val="231F20"/>
          <w:spacing w:val="-6"/>
        </w:rPr>
        <w:t>ha</w:t>
      </w:r>
      <w:r>
        <w:rPr>
          <w:color w:val="231F20"/>
          <w:spacing w:val="-11"/>
        </w:rPr>
        <w:t> </w:t>
      </w:r>
      <w:r>
        <w:rPr>
          <w:color w:val="231F20"/>
          <w:spacing w:val="-6"/>
        </w:rPr>
        <w:t>emitido </w:t>
      </w:r>
      <w:r>
        <w:rPr>
          <w:color w:val="231F20"/>
          <w:spacing w:val="-4"/>
        </w:rPr>
        <w:t>los</w:t>
      </w:r>
      <w:r>
        <w:rPr>
          <w:color w:val="231F20"/>
          <w:spacing w:val="-12"/>
        </w:rPr>
        <w:t> </w:t>
      </w:r>
      <w:r>
        <w:rPr>
          <w:color w:val="231F20"/>
          <w:spacing w:val="-4"/>
        </w:rPr>
        <w:t>Estados</w:t>
      </w:r>
      <w:r>
        <w:rPr>
          <w:color w:val="231F20"/>
          <w:spacing w:val="-12"/>
        </w:rPr>
        <w:t> </w:t>
      </w:r>
      <w:r>
        <w:rPr>
          <w:color w:val="231F20"/>
          <w:spacing w:val="-4"/>
        </w:rPr>
        <w:t>Unidos</w:t>
      </w:r>
      <w:r>
        <w:rPr>
          <w:color w:val="231F20"/>
          <w:spacing w:val="-12"/>
        </w:rPr>
        <w:t> </w:t>
      </w:r>
      <w:r>
        <w:rPr>
          <w:color w:val="231F20"/>
          <w:spacing w:val="-4"/>
        </w:rPr>
        <w:t>contra</w:t>
      </w:r>
      <w:r>
        <w:rPr>
          <w:color w:val="231F20"/>
          <w:spacing w:val="-12"/>
        </w:rPr>
        <w:t> </w:t>
      </w:r>
      <w:r>
        <w:rPr>
          <w:color w:val="231F20"/>
          <w:spacing w:val="-4"/>
        </w:rPr>
        <w:t>las</w:t>
      </w:r>
      <w:r>
        <w:rPr>
          <w:color w:val="231F20"/>
          <w:spacing w:val="-12"/>
        </w:rPr>
        <w:t> </w:t>
      </w:r>
      <w:r>
        <w:rPr>
          <w:color w:val="231F20"/>
          <w:spacing w:val="-4"/>
        </w:rPr>
        <w:t>armadoras</w:t>
      </w:r>
      <w:r>
        <w:rPr>
          <w:color w:val="231F20"/>
          <w:spacing w:val="-12"/>
        </w:rPr>
        <w:t> </w:t>
      </w:r>
      <w:r>
        <w:rPr>
          <w:color w:val="231F20"/>
          <w:spacing w:val="-4"/>
        </w:rPr>
        <w:t>de </w:t>
      </w:r>
      <w:r>
        <w:rPr>
          <w:color w:val="231F20"/>
        </w:rPr>
        <w:t>buques</w:t>
      </w:r>
      <w:r>
        <w:rPr>
          <w:color w:val="231F20"/>
          <w:spacing w:val="-2"/>
        </w:rPr>
        <w:t> </w:t>
      </w:r>
      <w:r>
        <w:rPr>
          <w:color w:val="231F20"/>
        </w:rPr>
        <w:t>y</w:t>
      </w:r>
      <w:r>
        <w:rPr>
          <w:color w:val="231F20"/>
          <w:spacing w:val="-2"/>
        </w:rPr>
        <w:t> </w:t>
      </w:r>
      <w:r>
        <w:rPr>
          <w:color w:val="231F20"/>
        </w:rPr>
        <w:t>navieras</w:t>
      </w:r>
      <w:r>
        <w:rPr>
          <w:color w:val="231F20"/>
          <w:spacing w:val="-2"/>
        </w:rPr>
        <w:t> </w:t>
      </w:r>
      <w:r>
        <w:rPr>
          <w:color w:val="231F20"/>
        </w:rPr>
        <w:t>que</w:t>
      </w:r>
      <w:r>
        <w:rPr>
          <w:color w:val="231F20"/>
          <w:spacing w:val="-2"/>
        </w:rPr>
        <w:t> </w:t>
      </w:r>
      <w:r>
        <w:rPr>
          <w:color w:val="231F20"/>
        </w:rPr>
        <w:t>envían</w:t>
      </w:r>
      <w:r>
        <w:rPr>
          <w:color w:val="231F20"/>
          <w:spacing w:val="-2"/>
        </w:rPr>
        <w:t> </w:t>
      </w:r>
      <w:r>
        <w:rPr>
          <w:color w:val="231F20"/>
        </w:rPr>
        <w:t>suministros de combustible a Cuba, se ha reducido </w:t>
      </w:r>
      <w:r>
        <w:rPr>
          <w:color w:val="231F20"/>
        </w:rPr>
        <w:t>la cartera de proveedores extranjeros y los </w:t>
      </w:r>
      <w:r>
        <w:rPr>
          <w:color w:val="231F20"/>
          <w:spacing w:val="-4"/>
        </w:rPr>
        <w:t>que</w:t>
      </w:r>
      <w:r>
        <w:rPr>
          <w:color w:val="231F20"/>
          <w:spacing w:val="-12"/>
        </w:rPr>
        <w:t> </w:t>
      </w:r>
      <w:r>
        <w:rPr>
          <w:color w:val="231F20"/>
          <w:spacing w:val="-4"/>
        </w:rPr>
        <w:t>han</w:t>
      </w:r>
      <w:r>
        <w:rPr>
          <w:color w:val="231F20"/>
          <w:spacing w:val="-12"/>
        </w:rPr>
        <w:t> </w:t>
      </w:r>
      <w:r>
        <w:rPr>
          <w:color w:val="231F20"/>
          <w:spacing w:val="-4"/>
        </w:rPr>
        <w:t>mantenido</w:t>
      </w:r>
      <w:r>
        <w:rPr>
          <w:color w:val="231F20"/>
          <w:spacing w:val="-12"/>
        </w:rPr>
        <w:t> </w:t>
      </w:r>
      <w:r>
        <w:rPr>
          <w:color w:val="231F20"/>
          <w:spacing w:val="-4"/>
        </w:rPr>
        <w:t>los</w:t>
      </w:r>
      <w:r>
        <w:rPr>
          <w:color w:val="231F20"/>
          <w:spacing w:val="-12"/>
        </w:rPr>
        <w:t> </w:t>
      </w:r>
      <w:r>
        <w:rPr>
          <w:color w:val="231F20"/>
          <w:spacing w:val="-4"/>
        </w:rPr>
        <w:t>suministros</w:t>
      </w:r>
      <w:r>
        <w:rPr>
          <w:color w:val="231F20"/>
          <w:spacing w:val="-12"/>
        </w:rPr>
        <w:t> </w:t>
      </w:r>
      <w:r>
        <w:rPr>
          <w:color w:val="231F20"/>
          <w:spacing w:val="-4"/>
        </w:rPr>
        <w:t>de</w:t>
      </w:r>
      <w:r>
        <w:rPr>
          <w:color w:val="231F20"/>
          <w:spacing w:val="-12"/>
        </w:rPr>
        <w:t> </w:t>
      </w:r>
      <w:r>
        <w:rPr>
          <w:color w:val="231F20"/>
          <w:spacing w:val="-4"/>
        </w:rPr>
        <w:t>tales </w:t>
      </w:r>
      <w:r>
        <w:rPr>
          <w:color w:val="231F20"/>
        </w:rPr>
        <w:t>productos, han incrementado los precios considerablemente en función del riesgo </w:t>
      </w:r>
      <w:r>
        <w:rPr>
          <w:color w:val="231F20"/>
          <w:spacing w:val="-8"/>
        </w:rPr>
        <w:t>país. Asimismo, se han retrasado los tiempos </w:t>
      </w:r>
      <w:r>
        <w:rPr>
          <w:color w:val="231F20"/>
        </w:rPr>
        <w:t>de</w:t>
      </w:r>
      <w:r>
        <w:rPr>
          <w:color w:val="231F20"/>
          <w:spacing w:val="-2"/>
        </w:rPr>
        <w:t> </w:t>
      </w:r>
      <w:r>
        <w:rPr>
          <w:color w:val="231F20"/>
        </w:rPr>
        <w:t>entrega</w:t>
      </w:r>
      <w:r>
        <w:rPr>
          <w:color w:val="231F20"/>
          <w:spacing w:val="-2"/>
        </w:rPr>
        <w:t> </w:t>
      </w:r>
      <w:r>
        <w:rPr>
          <w:color w:val="231F20"/>
        </w:rPr>
        <w:t>con</w:t>
      </w:r>
      <w:r>
        <w:rPr>
          <w:color w:val="231F20"/>
          <w:spacing w:val="-2"/>
        </w:rPr>
        <w:t> </w:t>
      </w:r>
      <w:r>
        <w:rPr>
          <w:color w:val="231F20"/>
        </w:rPr>
        <w:t>la</w:t>
      </w:r>
      <w:r>
        <w:rPr>
          <w:color w:val="231F20"/>
          <w:spacing w:val="-2"/>
        </w:rPr>
        <w:t> </w:t>
      </w:r>
      <w:r>
        <w:rPr>
          <w:color w:val="231F20"/>
        </w:rPr>
        <w:t>consecuente</w:t>
      </w:r>
      <w:r>
        <w:rPr>
          <w:color w:val="231F20"/>
          <w:spacing w:val="-2"/>
        </w:rPr>
        <w:t> </w:t>
      </w:r>
      <w:r>
        <w:rPr>
          <w:color w:val="231F20"/>
        </w:rPr>
        <w:t>afectación </w:t>
      </w:r>
      <w:r>
        <w:rPr>
          <w:color w:val="231F20"/>
          <w:spacing w:val="-4"/>
        </w:rPr>
        <w:t>en</w:t>
      </w:r>
      <w:r>
        <w:rPr>
          <w:color w:val="231F20"/>
          <w:spacing w:val="-9"/>
        </w:rPr>
        <w:t> </w:t>
      </w:r>
      <w:r>
        <w:rPr>
          <w:color w:val="231F20"/>
          <w:spacing w:val="-4"/>
        </w:rPr>
        <w:t>la</w:t>
      </w:r>
      <w:r>
        <w:rPr>
          <w:color w:val="231F20"/>
          <w:spacing w:val="-9"/>
        </w:rPr>
        <w:t> </w:t>
      </w:r>
      <w:r>
        <w:rPr>
          <w:color w:val="231F20"/>
          <w:spacing w:val="-4"/>
        </w:rPr>
        <w:t>disponibilidad</w:t>
      </w:r>
      <w:r>
        <w:rPr>
          <w:color w:val="231F20"/>
          <w:spacing w:val="-9"/>
        </w:rPr>
        <w:t> </w:t>
      </w:r>
      <w:r>
        <w:rPr>
          <w:color w:val="231F20"/>
          <w:spacing w:val="-4"/>
        </w:rPr>
        <w:t>de</w:t>
      </w:r>
      <w:r>
        <w:rPr>
          <w:color w:val="231F20"/>
          <w:spacing w:val="-9"/>
        </w:rPr>
        <w:t> </w:t>
      </w:r>
      <w:r>
        <w:rPr>
          <w:color w:val="231F20"/>
          <w:spacing w:val="-4"/>
        </w:rPr>
        <w:t>los</w:t>
      </w:r>
      <w:r>
        <w:rPr>
          <w:color w:val="231F20"/>
          <w:spacing w:val="-9"/>
        </w:rPr>
        <w:t> </w:t>
      </w:r>
      <w:r>
        <w:rPr>
          <w:color w:val="231F20"/>
          <w:spacing w:val="-4"/>
        </w:rPr>
        <w:t>recursos,</w:t>
      </w:r>
      <w:r>
        <w:rPr>
          <w:color w:val="231F20"/>
          <w:spacing w:val="-9"/>
        </w:rPr>
        <w:t> </w:t>
      </w:r>
      <w:r>
        <w:rPr>
          <w:color w:val="231F20"/>
          <w:spacing w:val="-4"/>
        </w:rPr>
        <w:t>a</w:t>
      </w:r>
      <w:r>
        <w:rPr>
          <w:color w:val="231F20"/>
          <w:spacing w:val="-9"/>
        </w:rPr>
        <w:t> </w:t>
      </w:r>
      <w:r>
        <w:rPr>
          <w:color w:val="231F20"/>
          <w:spacing w:val="-4"/>
        </w:rPr>
        <w:t>pesar </w:t>
      </w:r>
      <w:r>
        <w:rPr>
          <w:color w:val="231F20"/>
        </w:rPr>
        <w:t>de</w:t>
      </w:r>
      <w:r>
        <w:rPr>
          <w:color w:val="231F20"/>
          <w:spacing w:val="-1"/>
        </w:rPr>
        <w:t> </w:t>
      </w:r>
      <w:r>
        <w:rPr>
          <w:color w:val="231F20"/>
        </w:rPr>
        <w:t>lo</w:t>
      </w:r>
      <w:r>
        <w:rPr>
          <w:color w:val="231F20"/>
          <w:spacing w:val="-1"/>
        </w:rPr>
        <w:t> </w:t>
      </w:r>
      <w:r>
        <w:rPr>
          <w:color w:val="231F20"/>
        </w:rPr>
        <w:t>previsto</w:t>
      </w:r>
      <w:r>
        <w:rPr>
          <w:color w:val="231F20"/>
          <w:spacing w:val="-1"/>
        </w:rPr>
        <w:t> </w:t>
      </w:r>
      <w:r>
        <w:rPr>
          <w:color w:val="231F20"/>
        </w:rPr>
        <w:t>en</w:t>
      </w:r>
      <w:r>
        <w:rPr>
          <w:color w:val="231F20"/>
          <w:spacing w:val="-1"/>
        </w:rPr>
        <w:t> </w:t>
      </w:r>
      <w:r>
        <w:rPr>
          <w:color w:val="231F20"/>
        </w:rPr>
        <w:t>los</w:t>
      </w:r>
      <w:r>
        <w:rPr>
          <w:color w:val="231F20"/>
          <w:spacing w:val="-1"/>
        </w:rPr>
        <w:t> </w:t>
      </w:r>
      <w:r>
        <w:rPr>
          <w:color w:val="231F20"/>
        </w:rPr>
        <w:t>contratos.</w:t>
      </w:r>
    </w:p>
    <w:p>
      <w:pPr>
        <w:pStyle w:val="BodyText"/>
        <w:spacing w:before="171"/>
        <w:ind w:left="412" w:right="1132"/>
      </w:pPr>
      <w:r>
        <w:rPr>
          <w:color w:val="231F20"/>
        </w:rPr>
        <w:t>Los</w:t>
      </w:r>
      <w:r>
        <w:rPr>
          <w:color w:val="231F20"/>
          <w:spacing w:val="-17"/>
        </w:rPr>
        <w:t> </w:t>
      </w:r>
      <w:r>
        <w:rPr>
          <w:color w:val="231F20"/>
        </w:rPr>
        <w:t>datos</w:t>
      </w:r>
      <w:r>
        <w:rPr>
          <w:color w:val="231F20"/>
          <w:spacing w:val="-16"/>
        </w:rPr>
        <w:t> </w:t>
      </w:r>
      <w:r>
        <w:rPr>
          <w:color w:val="231F20"/>
        </w:rPr>
        <w:t>no</w:t>
      </w:r>
      <w:r>
        <w:rPr>
          <w:color w:val="231F20"/>
          <w:spacing w:val="-17"/>
        </w:rPr>
        <w:t> </w:t>
      </w:r>
      <w:r>
        <w:rPr>
          <w:color w:val="231F20"/>
        </w:rPr>
        <w:t>ilustran</w:t>
      </w:r>
      <w:r>
        <w:rPr>
          <w:color w:val="231F20"/>
          <w:spacing w:val="-16"/>
        </w:rPr>
        <w:t> </w:t>
      </w:r>
      <w:r>
        <w:rPr>
          <w:color w:val="231F20"/>
        </w:rPr>
        <w:t>el</w:t>
      </w:r>
      <w:r>
        <w:rPr>
          <w:color w:val="231F20"/>
          <w:spacing w:val="-17"/>
        </w:rPr>
        <w:t> </w:t>
      </w:r>
      <w:r>
        <w:rPr>
          <w:color w:val="231F20"/>
        </w:rPr>
        <w:t>verdadero</w:t>
      </w:r>
      <w:r>
        <w:rPr>
          <w:color w:val="231F20"/>
          <w:spacing w:val="-16"/>
        </w:rPr>
        <w:t> </w:t>
      </w:r>
      <w:r>
        <w:rPr>
          <w:color w:val="231F20"/>
        </w:rPr>
        <w:t>impacto de estas afectaciones en la vida cotidiana de los cubanos, ni el estrés constante generado</w:t>
      </w:r>
      <w:r>
        <w:rPr>
          <w:color w:val="231F20"/>
          <w:spacing w:val="-17"/>
        </w:rPr>
        <w:t> </w:t>
      </w:r>
      <w:r>
        <w:rPr>
          <w:color w:val="231F20"/>
        </w:rPr>
        <w:t>por</w:t>
      </w:r>
      <w:r>
        <w:rPr>
          <w:color w:val="231F20"/>
          <w:spacing w:val="-16"/>
        </w:rPr>
        <w:t> </w:t>
      </w:r>
      <w:r>
        <w:rPr>
          <w:color w:val="231F20"/>
        </w:rPr>
        <w:t>las</w:t>
      </w:r>
      <w:r>
        <w:rPr>
          <w:color w:val="231F20"/>
          <w:spacing w:val="-17"/>
        </w:rPr>
        <w:t> </w:t>
      </w:r>
      <w:r>
        <w:rPr>
          <w:color w:val="231F20"/>
        </w:rPr>
        <w:t>interrupciones</w:t>
      </w:r>
      <w:r>
        <w:rPr>
          <w:color w:val="231F20"/>
          <w:spacing w:val="-16"/>
        </w:rPr>
        <w:t> </w:t>
      </w:r>
      <w:r>
        <w:rPr>
          <w:color w:val="231F20"/>
        </w:rPr>
        <w:t>al</w:t>
      </w:r>
      <w:r>
        <w:rPr>
          <w:color w:val="231F20"/>
          <w:spacing w:val="-17"/>
        </w:rPr>
        <w:t> </w:t>
      </w:r>
      <w:r>
        <w:rPr>
          <w:color w:val="231F20"/>
        </w:rPr>
        <w:t>servicio eléctrico, a pesar de la voluntad y el esfuerzo del gobierno para lograr una </w:t>
      </w:r>
      <w:r>
        <w:rPr>
          <w:color w:val="231F20"/>
          <w:spacing w:val="-2"/>
        </w:rPr>
        <w:t>solución</w:t>
      </w:r>
      <w:r>
        <w:rPr>
          <w:color w:val="231F20"/>
          <w:spacing w:val="-12"/>
        </w:rPr>
        <w:t> </w:t>
      </w:r>
      <w:r>
        <w:rPr>
          <w:color w:val="231F20"/>
          <w:spacing w:val="-2"/>
        </w:rPr>
        <w:t>pronta</w:t>
      </w:r>
      <w:r>
        <w:rPr>
          <w:color w:val="231F20"/>
          <w:spacing w:val="-10"/>
        </w:rPr>
        <w:t> </w:t>
      </w:r>
      <w:r>
        <w:rPr>
          <w:color w:val="231F20"/>
          <w:spacing w:val="-2"/>
        </w:rPr>
        <w:t>y</w:t>
      </w:r>
      <w:r>
        <w:rPr>
          <w:color w:val="231F20"/>
          <w:spacing w:val="-9"/>
        </w:rPr>
        <w:t> </w:t>
      </w:r>
      <w:r>
        <w:rPr>
          <w:color w:val="231F20"/>
          <w:spacing w:val="-2"/>
        </w:rPr>
        <w:t>efectiva</w:t>
      </w:r>
      <w:r>
        <w:rPr>
          <w:color w:val="231F20"/>
          <w:spacing w:val="-10"/>
        </w:rPr>
        <w:t> </w:t>
      </w:r>
      <w:r>
        <w:rPr>
          <w:color w:val="231F20"/>
          <w:spacing w:val="-2"/>
        </w:rPr>
        <w:t>a</w:t>
      </w:r>
      <w:r>
        <w:rPr>
          <w:color w:val="231F20"/>
          <w:spacing w:val="-10"/>
        </w:rPr>
        <w:t> </w:t>
      </w:r>
      <w:r>
        <w:rPr>
          <w:color w:val="231F20"/>
          <w:spacing w:val="-2"/>
        </w:rPr>
        <w:t>este</w:t>
      </w:r>
      <w:r>
        <w:rPr>
          <w:color w:val="231F20"/>
          <w:spacing w:val="-9"/>
        </w:rPr>
        <w:t> </w:t>
      </w:r>
      <w:r>
        <w:rPr>
          <w:color w:val="231F20"/>
          <w:spacing w:val="-2"/>
        </w:rPr>
        <w:t>problema.</w:t>
      </w:r>
    </w:p>
    <w:p>
      <w:pPr>
        <w:spacing w:after="0"/>
        <w:sectPr>
          <w:pgSz w:w="11910" w:h="16840"/>
          <w:pgMar w:header="0" w:footer="695" w:top="1260" w:bottom="880" w:left="0" w:right="0"/>
          <w:cols w:num="2" w:equalWidth="0">
            <w:col w:w="5898" w:space="40"/>
            <w:col w:w="5972"/>
          </w:cols>
        </w:sectPr>
      </w:pPr>
    </w:p>
    <w:p>
      <w:pPr>
        <w:pStyle w:val="BodyText"/>
        <w:spacing w:before="77"/>
        <w:ind w:left="1133" w:right="1"/>
      </w:pPr>
      <w:r>
        <w:rPr>
          <w:color w:val="231F20"/>
        </w:rPr>
        <w:t>La firma alemana Brüel &amp; Kjær Vibro GmbH,</w:t>
      </w:r>
      <w:r>
        <w:rPr>
          <w:color w:val="231F20"/>
          <w:spacing w:val="-10"/>
        </w:rPr>
        <w:t> </w:t>
      </w:r>
      <w:r>
        <w:rPr>
          <w:color w:val="231F20"/>
        </w:rPr>
        <w:t>la</w:t>
      </w:r>
      <w:r>
        <w:rPr>
          <w:color w:val="231F20"/>
          <w:spacing w:val="-10"/>
        </w:rPr>
        <w:t> </w:t>
      </w:r>
      <w:r>
        <w:rPr>
          <w:color w:val="231F20"/>
        </w:rPr>
        <w:t>cual</w:t>
      </w:r>
      <w:r>
        <w:rPr>
          <w:color w:val="231F20"/>
          <w:spacing w:val="-10"/>
        </w:rPr>
        <w:t> </w:t>
      </w:r>
      <w:r>
        <w:rPr>
          <w:color w:val="231F20"/>
        </w:rPr>
        <w:t>proveía</w:t>
      </w:r>
      <w:r>
        <w:rPr>
          <w:color w:val="231F20"/>
          <w:spacing w:val="-10"/>
        </w:rPr>
        <w:t> </w:t>
      </w:r>
      <w:r>
        <w:rPr>
          <w:color w:val="231F20"/>
        </w:rPr>
        <w:t>la</w:t>
      </w:r>
      <w:r>
        <w:rPr>
          <w:color w:val="231F20"/>
          <w:spacing w:val="-10"/>
        </w:rPr>
        <w:t> </w:t>
      </w:r>
      <w:r>
        <w:rPr>
          <w:color w:val="231F20"/>
        </w:rPr>
        <w:t>tecnología</w:t>
      </w:r>
      <w:r>
        <w:rPr>
          <w:color w:val="231F20"/>
          <w:spacing w:val="-10"/>
        </w:rPr>
        <w:t> </w:t>
      </w:r>
      <w:r>
        <w:rPr>
          <w:color w:val="231F20"/>
        </w:rPr>
        <w:t>de</w:t>
      </w:r>
      <w:r>
        <w:rPr>
          <w:color w:val="231F20"/>
          <w:spacing w:val="-10"/>
        </w:rPr>
        <w:t> </w:t>
      </w:r>
      <w:r>
        <w:rPr>
          <w:color w:val="231F20"/>
        </w:rPr>
        <w:t>los sistemas de monitoreo de vibraciones de las</w:t>
      </w:r>
      <w:r>
        <w:rPr>
          <w:color w:val="231F20"/>
          <w:spacing w:val="-9"/>
        </w:rPr>
        <w:t> </w:t>
      </w:r>
      <w:r>
        <w:rPr>
          <w:color w:val="231F20"/>
        </w:rPr>
        <w:t>turbinas</w:t>
      </w:r>
      <w:r>
        <w:rPr>
          <w:color w:val="231F20"/>
          <w:spacing w:val="-9"/>
        </w:rPr>
        <w:t> </w:t>
      </w:r>
      <w:r>
        <w:rPr>
          <w:color w:val="231F20"/>
        </w:rPr>
        <w:t>térmicas</w:t>
      </w:r>
      <w:r>
        <w:rPr>
          <w:color w:val="231F20"/>
          <w:spacing w:val="-9"/>
        </w:rPr>
        <w:t> </w:t>
      </w:r>
      <w:r>
        <w:rPr>
          <w:color w:val="231F20"/>
        </w:rPr>
        <w:t>de</w:t>
      </w:r>
      <w:r>
        <w:rPr>
          <w:color w:val="231F20"/>
          <w:spacing w:val="-9"/>
        </w:rPr>
        <w:t> </w:t>
      </w:r>
      <w:r>
        <w:rPr>
          <w:color w:val="231F20"/>
        </w:rPr>
        <w:t>la</w:t>
      </w:r>
      <w:r>
        <w:rPr>
          <w:color w:val="231F20"/>
          <w:spacing w:val="-9"/>
        </w:rPr>
        <w:t> </w:t>
      </w:r>
      <w:r>
        <w:rPr>
          <w:color w:val="231F20"/>
        </w:rPr>
        <w:t>Unión</w:t>
      </w:r>
      <w:r>
        <w:rPr>
          <w:color w:val="231F20"/>
          <w:spacing w:val="-9"/>
        </w:rPr>
        <w:t> </w:t>
      </w:r>
      <w:r>
        <w:rPr>
          <w:color w:val="231F20"/>
        </w:rPr>
        <w:t>Nacional Eléctrica</w:t>
      </w:r>
      <w:r>
        <w:rPr>
          <w:color w:val="231F20"/>
          <w:spacing w:val="-3"/>
        </w:rPr>
        <w:t> </w:t>
      </w:r>
      <w:r>
        <w:rPr>
          <w:color w:val="231F20"/>
        </w:rPr>
        <w:t>(UNE),</w:t>
      </w:r>
      <w:r>
        <w:rPr>
          <w:color w:val="231F20"/>
          <w:spacing w:val="-3"/>
        </w:rPr>
        <w:t> </w:t>
      </w:r>
      <w:r>
        <w:rPr>
          <w:color w:val="231F20"/>
        </w:rPr>
        <w:t>ha</w:t>
      </w:r>
      <w:r>
        <w:rPr>
          <w:color w:val="231F20"/>
          <w:spacing w:val="-3"/>
        </w:rPr>
        <w:t> </w:t>
      </w:r>
      <w:r>
        <w:rPr>
          <w:color w:val="231F20"/>
        </w:rPr>
        <w:t>mantenido</w:t>
      </w:r>
      <w:r>
        <w:rPr>
          <w:color w:val="231F20"/>
          <w:spacing w:val="-3"/>
        </w:rPr>
        <w:t> </w:t>
      </w:r>
      <w:r>
        <w:rPr>
          <w:color w:val="231F20"/>
        </w:rPr>
        <w:t>su</w:t>
      </w:r>
      <w:r>
        <w:rPr>
          <w:color w:val="231F20"/>
          <w:spacing w:val="-3"/>
        </w:rPr>
        <w:t> </w:t>
      </w:r>
      <w:r>
        <w:rPr>
          <w:color w:val="231F20"/>
        </w:rPr>
        <w:t>posición de</w:t>
      </w:r>
      <w:r>
        <w:rPr>
          <w:color w:val="231F20"/>
          <w:spacing w:val="-11"/>
        </w:rPr>
        <w:t> </w:t>
      </w:r>
      <w:r>
        <w:rPr>
          <w:color w:val="231F20"/>
        </w:rPr>
        <w:t>no</w:t>
      </w:r>
      <w:r>
        <w:rPr>
          <w:color w:val="231F20"/>
          <w:spacing w:val="-11"/>
        </w:rPr>
        <w:t> </w:t>
      </w:r>
      <w:r>
        <w:rPr>
          <w:color w:val="231F20"/>
        </w:rPr>
        <w:t>trabajar</w:t>
      </w:r>
      <w:r>
        <w:rPr>
          <w:color w:val="231F20"/>
          <w:spacing w:val="-11"/>
        </w:rPr>
        <w:t> </w:t>
      </w:r>
      <w:r>
        <w:rPr>
          <w:color w:val="231F20"/>
        </w:rPr>
        <w:t>con</w:t>
      </w:r>
      <w:r>
        <w:rPr>
          <w:color w:val="231F20"/>
          <w:spacing w:val="-11"/>
        </w:rPr>
        <w:t> </w:t>
      </w:r>
      <w:r>
        <w:rPr>
          <w:color w:val="231F20"/>
        </w:rPr>
        <w:t>Cuba</w:t>
      </w:r>
      <w:r>
        <w:rPr>
          <w:color w:val="231F20"/>
          <w:spacing w:val="-11"/>
        </w:rPr>
        <w:t> </w:t>
      </w:r>
      <w:r>
        <w:rPr>
          <w:color w:val="231F20"/>
        </w:rPr>
        <w:t>a</w:t>
      </w:r>
      <w:r>
        <w:rPr>
          <w:color w:val="231F20"/>
          <w:spacing w:val="-11"/>
        </w:rPr>
        <w:t> </w:t>
      </w:r>
      <w:r>
        <w:rPr>
          <w:color w:val="231F20"/>
        </w:rPr>
        <w:t>recomendación de</w:t>
      </w:r>
      <w:r>
        <w:rPr>
          <w:color w:val="231F20"/>
          <w:spacing w:val="-3"/>
        </w:rPr>
        <w:t> </w:t>
      </w:r>
      <w:r>
        <w:rPr>
          <w:color w:val="231F20"/>
        </w:rPr>
        <w:t>su</w:t>
      </w:r>
      <w:r>
        <w:rPr>
          <w:color w:val="231F20"/>
          <w:spacing w:val="-3"/>
        </w:rPr>
        <w:t> </w:t>
      </w:r>
      <w:r>
        <w:rPr>
          <w:color w:val="231F20"/>
        </w:rPr>
        <w:t>banco</w:t>
      </w:r>
      <w:r>
        <w:rPr>
          <w:color w:val="231F20"/>
          <w:spacing w:val="-3"/>
        </w:rPr>
        <w:t> </w:t>
      </w:r>
      <w:r>
        <w:rPr>
          <w:color w:val="231F20"/>
        </w:rPr>
        <w:t>por</w:t>
      </w:r>
      <w:r>
        <w:rPr>
          <w:color w:val="231F20"/>
          <w:spacing w:val="-3"/>
        </w:rPr>
        <w:t> </w:t>
      </w:r>
      <w:r>
        <w:rPr>
          <w:color w:val="231F20"/>
        </w:rPr>
        <w:t>la</w:t>
      </w:r>
      <w:r>
        <w:rPr>
          <w:color w:val="231F20"/>
          <w:spacing w:val="-3"/>
        </w:rPr>
        <w:t> </w:t>
      </w:r>
      <w:r>
        <w:rPr>
          <w:color w:val="231F20"/>
        </w:rPr>
        <w:t>aplicación</w:t>
      </w:r>
      <w:r>
        <w:rPr>
          <w:color w:val="231F20"/>
          <w:spacing w:val="-3"/>
        </w:rPr>
        <w:t> </w:t>
      </w:r>
      <w:r>
        <w:rPr>
          <w:color w:val="231F20"/>
        </w:rPr>
        <w:t>del</w:t>
      </w:r>
      <w:r>
        <w:rPr>
          <w:color w:val="231F20"/>
          <w:spacing w:val="-3"/>
        </w:rPr>
        <w:t> </w:t>
      </w:r>
      <w:r>
        <w:rPr>
          <w:color w:val="231F20"/>
        </w:rPr>
        <w:t>Título</w:t>
      </w:r>
      <w:r>
        <w:rPr>
          <w:color w:val="231F20"/>
          <w:spacing w:val="-3"/>
        </w:rPr>
        <w:t> </w:t>
      </w:r>
      <w:r>
        <w:rPr>
          <w:color w:val="231F20"/>
        </w:rPr>
        <w:t>III de la Ley Helms-Burton.</w:t>
      </w:r>
    </w:p>
    <w:p>
      <w:pPr>
        <w:pStyle w:val="BodyText"/>
        <w:spacing w:before="166"/>
        <w:ind w:left="1133"/>
      </w:pPr>
      <w:r>
        <w:rPr>
          <w:color w:val="231F20"/>
        </w:rPr>
        <w:t>La firma ACCELLERON, heredera de ABB Turbocharging,</w:t>
      </w:r>
      <w:r>
        <w:rPr>
          <w:color w:val="231F20"/>
          <w:spacing w:val="80"/>
        </w:rPr>
        <w:t> </w:t>
      </w:r>
      <w:r>
        <w:rPr>
          <w:color w:val="231F20"/>
        </w:rPr>
        <w:t>de</w:t>
      </w:r>
      <w:r>
        <w:rPr>
          <w:color w:val="231F20"/>
          <w:spacing w:val="80"/>
        </w:rPr>
        <w:t> </w:t>
      </w:r>
      <w:r>
        <w:rPr>
          <w:color w:val="231F20"/>
        </w:rPr>
        <w:t>la</w:t>
      </w:r>
      <w:r>
        <w:rPr>
          <w:color w:val="231F20"/>
          <w:spacing w:val="80"/>
        </w:rPr>
        <w:t> </w:t>
      </w:r>
      <w:r>
        <w:rPr>
          <w:color w:val="231F20"/>
        </w:rPr>
        <w:t>cual</w:t>
      </w:r>
      <w:r>
        <w:rPr>
          <w:color w:val="231F20"/>
          <w:spacing w:val="80"/>
        </w:rPr>
        <w:t> </w:t>
      </w:r>
      <w:r>
        <w:rPr>
          <w:color w:val="231F20"/>
        </w:rPr>
        <w:t>se</w:t>
      </w:r>
      <w:r>
        <w:rPr>
          <w:color w:val="231F20"/>
          <w:spacing w:val="80"/>
        </w:rPr>
        <w:t> </w:t>
      </w:r>
      <w:r>
        <w:rPr>
          <w:color w:val="231F20"/>
        </w:rPr>
        <w:t>obtenía la tecnología de los turbocargadores empleados por la UNE, ha decidido no trabajar directamente con Cuba para cumplir con la política de sanciones unilaterales de los Estados Unidos sobre las</w:t>
      </w:r>
      <w:r>
        <w:rPr>
          <w:color w:val="231F20"/>
          <w:spacing w:val="40"/>
        </w:rPr>
        <w:t> </w:t>
      </w:r>
      <w:r>
        <w:rPr>
          <w:color w:val="231F20"/>
        </w:rPr>
        <w:t>exportaciones</w:t>
      </w:r>
      <w:r>
        <w:rPr>
          <w:color w:val="231F20"/>
          <w:spacing w:val="40"/>
        </w:rPr>
        <w:t> </w:t>
      </w:r>
      <w:r>
        <w:rPr>
          <w:color w:val="231F20"/>
        </w:rPr>
        <w:t>a</w:t>
      </w:r>
      <w:r>
        <w:rPr>
          <w:color w:val="231F20"/>
          <w:spacing w:val="40"/>
        </w:rPr>
        <w:t> </w:t>
      </w:r>
      <w:r>
        <w:rPr>
          <w:color w:val="231F20"/>
        </w:rPr>
        <w:t>países</w:t>
      </w:r>
      <w:r>
        <w:rPr>
          <w:color w:val="231F20"/>
          <w:spacing w:val="40"/>
        </w:rPr>
        <w:t> </w:t>
      </w:r>
      <w:r>
        <w:rPr>
          <w:color w:val="231F20"/>
        </w:rPr>
        <w:t>incluidos</w:t>
      </w:r>
      <w:r>
        <w:rPr>
          <w:color w:val="231F20"/>
          <w:spacing w:val="40"/>
        </w:rPr>
        <w:t> </w:t>
      </w:r>
      <w:r>
        <w:rPr>
          <w:color w:val="231F20"/>
        </w:rPr>
        <w:t>en la lista de patrocinadores del terrorismo. Como resultado, entre marzo del 2022 y febrero del 2023, se incrementaron los costos</w:t>
      </w:r>
      <w:r>
        <w:rPr>
          <w:color w:val="231F20"/>
          <w:spacing w:val="40"/>
        </w:rPr>
        <w:t> </w:t>
      </w:r>
      <w:r>
        <w:rPr>
          <w:color w:val="231F20"/>
        </w:rPr>
        <w:t>totales</w:t>
      </w:r>
      <w:r>
        <w:rPr>
          <w:color w:val="231F20"/>
          <w:spacing w:val="40"/>
        </w:rPr>
        <w:t> </w:t>
      </w:r>
      <w:r>
        <w:rPr>
          <w:color w:val="231F20"/>
        </w:rPr>
        <w:t>en</w:t>
      </w:r>
      <w:r>
        <w:rPr>
          <w:color w:val="231F20"/>
          <w:spacing w:val="40"/>
        </w:rPr>
        <w:t> </w:t>
      </w:r>
      <w:r>
        <w:rPr>
          <w:color w:val="231F20"/>
        </w:rPr>
        <w:t>un</w:t>
      </w:r>
      <w:r>
        <w:rPr>
          <w:color w:val="231F20"/>
          <w:spacing w:val="40"/>
        </w:rPr>
        <w:t> </w:t>
      </w:r>
      <w:r>
        <w:rPr>
          <w:color w:val="231F20"/>
        </w:rPr>
        <w:t>30%,</w:t>
      </w:r>
      <w:r>
        <w:rPr>
          <w:color w:val="231F20"/>
          <w:spacing w:val="40"/>
        </w:rPr>
        <w:t> </w:t>
      </w:r>
      <w:r>
        <w:rPr>
          <w:color w:val="231F20"/>
        </w:rPr>
        <w:t>con</w:t>
      </w:r>
      <w:r>
        <w:rPr>
          <w:color w:val="231F20"/>
          <w:spacing w:val="40"/>
        </w:rPr>
        <w:t> </w:t>
      </w:r>
      <w:r>
        <w:rPr>
          <w:color w:val="231F20"/>
        </w:rPr>
        <w:t>respecto a las operaciones que habitualmente se realizaban con esta compañía.</w:t>
      </w:r>
    </w:p>
    <w:p>
      <w:pPr>
        <w:pStyle w:val="BodyText"/>
        <w:spacing w:before="171"/>
        <w:ind w:left="1133"/>
      </w:pPr>
      <w:r>
        <w:rPr>
          <w:color w:val="231F20"/>
          <w:spacing w:val="-2"/>
        </w:rPr>
        <w:t>Con</w:t>
      </w:r>
      <w:r>
        <w:rPr>
          <w:color w:val="231F20"/>
          <w:spacing w:val="-15"/>
        </w:rPr>
        <w:t> </w:t>
      </w:r>
      <w:r>
        <w:rPr>
          <w:color w:val="231F20"/>
          <w:spacing w:val="-2"/>
        </w:rPr>
        <w:t>la</w:t>
      </w:r>
      <w:r>
        <w:rPr>
          <w:color w:val="231F20"/>
          <w:spacing w:val="-14"/>
        </w:rPr>
        <w:t> </w:t>
      </w:r>
      <w:r>
        <w:rPr>
          <w:color w:val="231F20"/>
          <w:spacing w:val="-2"/>
        </w:rPr>
        <w:t>firma</w:t>
      </w:r>
      <w:r>
        <w:rPr>
          <w:color w:val="231F20"/>
          <w:spacing w:val="-15"/>
        </w:rPr>
        <w:t> </w:t>
      </w:r>
      <w:r>
        <w:rPr>
          <w:color w:val="231F20"/>
          <w:spacing w:val="-2"/>
        </w:rPr>
        <w:t>canadiense</w:t>
      </w:r>
      <w:r>
        <w:rPr>
          <w:color w:val="231F20"/>
          <w:spacing w:val="-14"/>
        </w:rPr>
        <w:t> </w:t>
      </w:r>
      <w:r>
        <w:rPr>
          <w:color w:val="231F20"/>
          <w:spacing w:val="-2"/>
        </w:rPr>
        <w:t>Diesel</w:t>
      </w:r>
      <w:r>
        <w:rPr>
          <w:color w:val="231F20"/>
          <w:spacing w:val="-15"/>
        </w:rPr>
        <w:t> </w:t>
      </w:r>
      <w:r>
        <w:rPr>
          <w:color w:val="231F20"/>
          <w:spacing w:val="-2"/>
        </w:rPr>
        <w:t>Expert</w:t>
      </w:r>
      <w:r>
        <w:rPr>
          <w:color w:val="231F20"/>
          <w:spacing w:val="-14"/>
        </w:rPr>
        <w:t> </w:t>
      </w:r>
      <w:r>
        <w:rPr>
          <w:color w:val="231F20"/>
          <w:spacing w:val="-2"/>
        </w:rPr>
        <w:t>Que- bec,</w:t>
      </w:r>
      <w:r>
        <w:rPr>
          <w:color w:val="231F20"/>
          <w:spacing w:val="-15"/>
        </w:rPr>
        <w:t> </w:t>
      </w:r>
      <w:r>
        <w:rPr>
          <w:color w:val="231F20"/>
          <w:spacing w:val="-2"/>
        </w:rPr>
        <w:t>se</w:t>
      </w:r>
      <w:r>
        <w:rPr>
          <w:color w:val="231F20"/>
          <w:spacing w:val="-14"/>
        </w:rPr>
        <w:t> </w:t>
      </w:r>
      <w:r>
        <w:rPr>
          <w:color w:val="231F20"/>
          <w:spacing w:val="-2"/>
        </w:rPr>
        <w:t>realizaba</w:t>
      </w:r>
      <w:r>
        <w:rPr>
          <w:color w:val="231F20"/>
          <w:spacing w:val="-15"/>
        </w:rPr>
        <w:t> </w:t>
      </w:r>
      <w:r>
        <w:rPr>
          <w:color w:val="231F20"/>
          <w:spacing w:val="-2"/>
        </w:rPr>
        <w:t>el</w:t>
      </w:r>
      <w:r>
        <w:rPr>
          <w:color w:val="231F20"/>
          <w:spacing w:val="-14"/>
        </w:rPr>
        <w:t> </w:t>
      </w:r>
      <w:r>
        <w:rPr>
          <w:color w:val="231F20"/>
          <w:spacing w:val="-2"/>
        </w:rPr>
        <w:t>proceso</w:t>
      </w:r>
      <w:r>
        <w:rPr>
          <w:color w:val="231F20"/>
          <w:spacing w:val="-15"/>
        </w:rPr>
        <w:t> </w:t>
      </w:r>
      <w:r>
        <w:rPr>
          <w:color w:val="231F20"/>
          <w:spacing w:val="-2"/>
        </w:rPr>
        <w:t>de</w:t>
      </w:r>
      <w:r>
        <w:rPr>
          <w:color w:val="231F20"/>
          <w:spacing w:val="-14"/>
        </w:rPr>
        <w:t> </w:t>
      </w:r>
      <w:r>
        <w:rPr>
          <w:color w:val="231F20"/>
          <w:spacing w:val="-2"/>
        </w:rPr>
        <w:t>importación </w:t>
      </w:r>
      <w:r>
        <w:rPr>
          <w:color w:val="231F20"/>
        </w:rPr>
        <w:t>de partes y repuestos de turbinas de gas. Recientemente,</w:t>
      </w:r>
      <w:r>
        <w:rPr>
          <w:color w:val="231F20"/>
          <w:spacing w:val="-1"/>
        </w:rPr>
        <w:t> </w:t>
      </w:r>
      <w:r>
        <w:rPr>
          <w:color w:val="231F20"/>
        </w:rPr>
        <w:t>una</w:t>
      </w:r>
      <w:r>
        <w:rPr>
          <w:color w:val="231F20"/>
          <w:spacing w:val="-1"/>
        </w:rPr>
        <w:t> </w:t>
      </w:r>
      <w:r>
        <w:rPr>
          <w:color w:val="231F20"/>
        </w:rPr>
        <w:t>de</w:t>
      </w:r>
      <w:r>
        <w:rPr>
          <w:color w:val="231F20"/>
          <w:spacing w:val="-1"/>
        </w:rPr>
        <w:t> </w:t>
      </w:r>
      <w:r>
        <w:rPr>
          <w:color w:val="231F20"/>
        </w:rPr>
        <w:t>las</w:t>
      </w:r>
      <w:r>
        <w:rPr>
          <w:color w:val="231F20"/>
          <w:spacing w:val="-1"/>
        </w:rPr>
        <w:t> </w:t>
      </w:r>
      <w:r>
        <w:rPr>
          <w:color w:val="231F20"/>
        </w:rPr>
        <w:t>turbinas</w:t>
      </w:r>
      <w:r>
        <w:rPr>
          <w:color w:val="231F20"/>
          <w:spacing w:val="-1"/>
        </w:rPr>
        <w:t> </w:t>
      </w:r>
      <w:r>
        <w:rPr>
          <w:color w:val="231F20"/>
        </w:rPr>
        <w:t>solici- </w:t>
      </w:r>
      <w:r>
        <w:rPr>
          <w:color w:val="231F20"/>
          <w:spacing w:val="-2"/>
        </w:rPr>
        <w:t>tadas</w:t>
      </w:r>
      <w:r>
        <w:rPr>
          <w:color w:val="231F20"/>
          <w:spacing w:val="-15"/>
        </w:rPr>
        <w:t> </w:t>
      </w:r>
      <w:r>
        <w:rPr>
          <w:color w:val="231F20"/>
          <w:spacing w:val="-2"/>
        </w:rPr>
        <w:t>fue</w:t>
      </w:r>
      <w:r>
        <w:rPr>
          <w:color w:val="231F20"/>
          <w:spacing w:val="-14"/>
        </w:rPr>
        <w:t> </w:t>
      </w:r>
      <w:r>
        <w:rPr>
          <w:color w:val="231F20"/>
          <w:spacing w:val="-2"/>
        </w:rPr>
        <w:t>interceptada</w:t>
      </w:r>
      <w:r>
        <w:rPr>
          <w:color w:val="231F20"/>
          <w:spacing w:val="-14"/>
        </w:rPr>
        <w:t> </w:t>
      </w:r>
      <w:r>
        <w:rPr>
          <w:color w:val="231F20"/>
          <w:spacing w:val="-2"/>
        </w:rPr>
        <w:t>por</w:t>
      </w:r>
      <w:r>
        <w:rPr>
          <w:color w:val="231F20"/>
          <w:spacing w:val="-14"/>
        </w:rPr>
        <w:t> </w:t>
      </w:r>
      <w:r>
        <w:rPr>
          <w:color w:val="231F20"/>
          <w:spacing w:val="-2"/>
        </w:rPr>
        <w:t>la</w:t>
      </w:r>
      <w:r>
        <w:rPr>
          <w:color w:val="231F20"/>
          <w:spacing w:val="-14"/>
        </w:rPr>
        <w:t> </w:t>
      </w:r>
      <w:r>
        <w:rPr>
          <w:color w:val="231F20"/>
          <w:spacing w:val="-2"/>
        </w:rPr>
        <w:t>aduana</w:t>
      </w:r>
      <w:r>
        <w:rPr>
          <w:color w:val="231F20"/>
          <w:spacing w:val="-14"/>
        </w:rPr>
        <w:t> </w:t>
      </w:r>
      <w:r>
        <w:rPr>
          <w:color w:val="231F20"/>
          <w:spacing w:val="-2"/>
        </w:rPr>
        <w:t>cana- </w:t>
      </w:r>
      <w:r>
        <w:rPr>
          <w:color w:val="231F20"/>
        </w:rPr>
        <w:t>diense y retenida por tener un contenido </w:t>
      </w:r>
      <w:r>
        <w:rPr>
          <w:color w:val="231F20"/>
          <w:spacing w:val="-2"/>
        </w:rPr>
        <w:t>de</w:t>
      </w:r>
      <w:r>
        <w:rPr>
          <w:color w:val="231F20"/>
          <w:spacing w:val="-11"/>
        </w:rPr>
        <w:t> </w:t>
      </w:r>
      <w:r>
        <w:rPr>
          <w:color w:val="231F20"/>
          <w:spacing w:val="-2"/>
        </w:rPr>
        <w:t>origen</w:t>
      </w:r>
      <w:r>
        <w:rPr>
          <w:color w:val="231F20"/>
          <w:spacing w:val="-11"/>
        </w:rPr>
        <w:t> </w:t>
      </w:r>
      <w:r>
        <w:rPr>
          <w:color w:val="231F20"/>
          <w:spacing w:val="-2"/>
        </w:rPr>
        <w:t>estadounidense</w:t>
      </w:r>
      <w:r>
        <w:rPr>
          <w:color w:val="231F20"/>
          <w:spacing w:val="-11"/>
        </w:rPr>
        <w:t> </w:t>
      </w:r>
      <w:r>
        <w:rPr>
          <w:color w:val="231F20"/>
          <w:spacing w:val="-2"/>
        </w:rPr>
        <w:t>superior</w:t>
      </w:r>
      <w:r>
        <w:rPr>
          <w:color w:val="231F20"/>
          <w:spacing w:val="-11"/>
        </w:rPr>
        <w:t> </w:t>
      </w:r>
      <w:r>
        <w:rPr>
          <w:color w:val="231F20"/>
          <w:spacing w:val="-2"/>
        </w:rPr>
        <w:t>al</w:t>
      </w:r>
      <w:r>
        <w:rPr>
          <w:color w:val="231F20"/>
          <w:spacing w:val="-11"/>
        </w:rPr>
        <w:t> </w:t>
      </w:r>
      <w:r>
        <w:rPr>
          <w:color w:val="231F20"/>
          <w:spacing w:val="-2"/>
        </w:rPr>
        <w:t>10%. </w:t>
      </w:r>
      <w:r>
        <w:rPr>
          <w:color w:val="231F20"/>
        </w:rPr>
        <w:t>El proveedor se encuentra en un proceso de obtención de una licencia de exporta- ción del gobierno canadiense que le per- </w:t>
      </w:r>
      <w:r>
        <w:rPr>
          <w:color w:val="231F20"/>
          <w:spacing w:val="-2"/>
        </w:rPr>
        <w:t>mita</w:t>
      </w:r>
      <w:r>
        <w:rPr>
          <w:color w:val="231F20"/>
          <w:spacing w:val="-11"/>
        </w:rPr>
        <w:t> </w:t>
      </w:r>
      <w:r>
        <w:rPr>
          <w:color w:val="231F20"/>
          <w:spacing w:val="-2"/>
        </w:rPr>
        <w:t>enviar</w:t>
      </w:r>
      <w:r>
        <w:rPr>
          <w:color w:val="231F20"/>
          <w:spacing w:val="-11"/>
        </w:rPr>
        <w:t> </w:t>
      </w:r>
      <w:r>
        <w:rPr>
          <w:color w:val="231F20"/>
          <w:spacing w:val="-2"/>
        </w:rPr>
        <w:t>dichas</w:t>
      </w:r>
      <w:r>
        <w:rPr>
          <w:color w:val="231F20"/>
          <w:spacing w:val="-11"/>
        </w:rPr>
        <w:t> </w:t>
      </w:r>
      <w:r>
        <w:rPr>
          <w:color w:val="231F20"/>
          <w:spacing w:val="-2"/>
        </w:rPr>
        <w:t>partes</w:t>
      </w:r>
      <w:r>
        <w:rPr>
          <w:color w:val="231F20"/>
          <w:spacing w:val="-11"/>
        </w:rPr>
        <w:t> </w:t>
      </w:r>
      <w:r>
        <w:rPr>
          <w:color w:val="231F20"/>
          <w:spacing w:val="-2"/>
        </w:rPr>
        <w:t>a</w:t>
      </w:r>
      <w:r>
        <w:rPr>
          <w:color w:val="231F20"/>
          <w:spacing w:val="-11"/>
        </w:rPr>
        <w:t> </w:t>
      </w:r>
      <w:r>
        <w:rPr>
          <w:color w:val="231F20"/>
          <w:spacing w:val="-2"/>
        </w:rPr>
        <w:t>nuestro</w:t>
      </w:r>
      <w:r>
        <w:rPr>
          <w:color w:val="231F20"/>
          <w:spacing w:val="-11"/>
        </w:rPr>
        <w:t> </w:t>
      </w:r>
      <w:r>
        <w:rPr>
          <w:color w:val="231F20"/>
          <w:spacing w:val="-2"/>
        </w:rPr>
        <w:t>país.</w:t>
      </w:r>
      <w:r>
        <w:rPr>
          <w:color w:val="231F20"/>
          <w:spacing w:val="-11"/>
        </w:rPr>
        <w:t> </w:t>
      </w:r>
      <w:r>
        <w:rPr>
          <w:color w:val="231F20"/>
          <w:spacing w:val="-2"/>
        </w:rPr>
        <w:t>La </w:t>
      </w:r>
      <w:r>
        <w:rPr>
          <w:color w:val="231F20"/>
        </w:rPr>
        <w:t>afectación</w:t>
      </w:r>
      <w:r>
        <w:rPr>
          <w:color w:val="231F20"/>
          <w:spacing w:val="-5"/>
        </w:rPr>
        <w:t> </w:t>
      </w:r>
      <w:r>
        <w:rPr>
          <w:color w:val="231F20"/>
        </w:rPr>
        <w:t>por</w:t>
      </w:r>
      <w:r>
        <w:rPr>
          <w:color w:val="231F20"/>
          <w:spacing w:val="-5"/>
        </w:rPr>
        <w:t> </w:t>
      </w:r>
      <w:r>
        <w:rPr>
          <w:color w:val="231F20"/>
        </w:rPr>
        <w:t>cada</w:t>
      </w:r>
      <w:r>
        <w:rPr>
          <w:color w:val="231F20"/>
          <w:spacing w:val="-5"/>
        </w:rPr>
        <w:t> </w:t>
      </w:r>
      <w:r>
        <w:rPr>
          <w:color w:val="231F20"/>
        </w:rPr>
        <w:t>turbina</w:t>
      </w:r>
      <w:r>
        <w:rPr>
          <w:color w:val="231F20"/>
          <w:spacing w:val="-5"/>
        </w:rPr>
        <w:t> </w:t>
      </w:r>
      <w:r>
        <w:rPr>
          <w:color w:val="231F20"/>
        </w:rPr>
        <w:t>no</w:t>
      </w:r>
      <w:r>
        <w:rPr>
          <w:color w:val="231F20"/>
          <w:spacing w:val="-5"/>
        </w:rPr>
        <w:t> </w:t>
      </w:r>
      <w:r>
        <w:rPr>
          <w:color w:val="231F20"/>
        </w:rPr>
        <w:t>disponible impide</w:t>
      </w:r>
      <w:r>
        <w:rPr>
          <w:color w:val="231F20"/>
          <w:spacing w:val="-14"/>
        </w:rPr>
        <w:t> </w:t>
      </w:r>
      <w:r>
        <w:rPr>
          <w:color w:val="231F20"/>
        </w:rPr>
        <w:t>generar</w:t>
      </w:r>
      <w:r>
        <w:rPr>
          <w:color w:val="231F20"/>
          <w:spacing w:val="-14"/>
        </w:rPr>
        <w:t> </w:t>
      </w:r>
      <w:r>
        <w:rPr>
          <w:color w:val="231F20"/>
        </w:rPr>
        <w:t>20</w:t>
      </w:r>
      <w:r>
        <w:rPr>
          <w:color w:val="231F20"/>
          <w:spacing w:val="-14"/>
        </w:rPr>
        <w:t> </w:t>
      </w:r>
      <w:r>
        <w:rPr>
          <w:color w:val="231F20"/>
        </w:rPr>
        <w:t>MW,</w:t>
      </w:r>
      <w:r>
        <w:rPr>
          <w:color w:val="231F20"/>
          <w:spacing w:val="-14"/>
        </w:rPr>
        <w:t> </w:t>
      </w:r>
      <w:r>
        <w:rPr>
          <w:color w:val="231F20"/>
        </w:rPr>
        <w:t>que</w:t>
      </w:r>
      <w:r>
        <w:rPr>
          <w:color w:val="231F20"/>
          <w:spacing w:val="-14"/>
        </w:rPr>
        <w:t> </w:t>
      </w:r>
      <w:r>
        <w:rPr>
          <w:color w:val="231F20"/>
        </w:rPr>
        <w:t>se</w:t>
      </w:r>
      <w:r>
        <w:rPr>
          <w:color w:val="231F20"/>
          <w:spacing w:val="-14"/>
        </w:rPr>
        <w:t> </w:t>
      </w:r>
      <w:r>
        <w:rPr>
          <w:color w:val="231F20"/>
        </w:rPr>
        <w:t>utiliza</w:t>
      </w:r>
      <w:r>
        <w:rPr>
          <w:color w:val="231F20"/>
          <w:spacing w:val="-14"/>
        </w:rPr>
        <w:t> </w:t>
      </w:r>
      <w:r>
        <w:rPr>
          <w:color w:val="231F20"/>
        </w:rPr>
        <w:t>para cubrir los horarios pico de consumo eléc- trico en el país.</w:t>
      </w:r>
    </w:p>
    <w:p>
      <w:pPr>
        <w:pStyle w:val="BodyText"/>
        <w:spacing w:before="172"/>
        <w:ind w:left="1133"/>
      </w:pPr>
      <w:r>
        <w:rPr>
          <w:color w:val="231F20"/>
        </w:rPr>
        <w:t>Los sistemas de avanzada para la gestión de la industria petrolera están vetados para Cuba y algunas empresas han declinado</w:t>
      </w:r>
      <w:r>
        <w:rPr>
          <w:color w:val="231F20"/>
          <w:spacing w:val="-17"/>
        </w:rPr>
        <w:t> </w:t>
      </w:r>
      <w:r>
        <w:rPr>
          <w:color w:val="231F20"/>
        </w:rPr>
        <w:t>ofertarlos</w:t>
      </w:r>
      <w:r>
        <w:rPr>
          <w:color w:val="231F20"/>
          <w:spacing w:val="-16"/>
        </w:rPr>
        <w:t> </w:t>
      </w:r>
      <w:r>
        <w:rPr>
          <w:color w:val="231F20"/>
        </w:rPr>
        <w:t>debido</w:t>
      </w:r>
      <w:r>
        <w:rPr>
          <w:color w:val="231F20"/>
          <w:spacing w:val="-17"/>
        </w:rPr>
        <w:t> </w:t>
      </w:r>
      <w:r>
        <w:rPr>
          <w:color w:val="231F20"/>
        </w:rPr>
        <w:t>al</w:t>
      </w:r>
      <w:r>
        <w:rPr>
          <w:color w:val="231F20"/>
          <w:spacing w:val="-16"/>
        </w:rPr>
        <w:t> </w:t>
      </w:r>
      <w:r>
        <w:rPr>
          <w:color w:val="231F20"/>
        </w:rPr>
        <w:t>bloqueo.</w:t>
      </w:r>
      <w:r>
        <w:rPr>
          <w:color w:val="231F20"/>
          <w:spacing w:val="-17"/>
        </w:rPr>
        <w:t> </w:t>
      </w:r>
      <w:r>
        <w:rPr>
          <w:color w:val="231F20"/>
        </w:rPr>
        <w:t>En el</w:t>
      </w:r>
      <w:r>
        <w:rPr>
          <w:color w:val="231F20"/>
          <w:spacing w:val="8"/>
        </w:rPr>
        <w:t> </w:t>
      </w:r>
      <w:r>
        <w:rPr>
          <w:color w:val="231F20"/>
        </w:rPr>
        <w:t>período,</w:t>
      </w:r>
      <w:r>
        <w:rPr>
          <w:color w:val="231F20"/>
          <w:spacing w:val="8"/>
        </w:rPr>
        <w:t> </w:t>
      </w:r>
      <w:r>
        <w:rPr>
          <w:color w:val="231F20"/>
        </w:rPr>
        <w:t>se</w:t>
      </w:r>
      <w:r>
        <w:rPr>
          <w:color w:val="231F20"/>
          <w:spacing w:val="8"/>
        </w:rPr>
        <w:t> </w:t>
      </w:r>
      <w:r>
        <w:rPr>
          <w:color w:val="231F20"/>
        </w:rPr>
        <w:t>han</w:t>
      </w:r>
      <w:r>
        <w:rPr>
          <w:color w:val="231F20"/>
          <w:spacing w:val="8"/>
        </w:rPr>
        <w:t> </w:t>
      </w:r>
      <w:r>
        <w:rPr>
          <w:color w:val="231F20"/>
        </w:rPr>
        <w:t>enfrentado</w:t>
      </w:r>
      <w:r>
        <w:rPr>
          <w:color w:val="231F20"/>
          <w:spacing w:val="8"/>
        </w:rPr>
        <w:t> </w:t>
      </w:r>
      <w:r>
        <w:rPr>
          <w:color w:val="231F20"/>
          <w:spacing w:val="-2"/>
        </w:rPr>
        <w:t>dificultades</w:t>
      </w:r>
    </w:p>
    <w:p>
      <w:pPr>
        <w:pStyle w:val="BodyText"/>
        <w:spacing w:before="77"/>
        <w:ind w:left="413" w:right="1473"/>
      </w:pPr>
      <w:r>
        <w:rPr/>
        <w:br w:type="column"/>
      </w:r>
      <w:r>
        <w:rPr>
          <w:color w:val="231F20"/>
        </w:rPr>
        <w:t>para adquirir las Bombas de Profundidad del</w:t>
      </w:r>
      <w:r>
        <w:rPr>
          <w:color w:val="231F20"/>
          <w:spacing w:val="-10"/>
        </w:rPr>
        <w:t> </w:t>
      </w:r>
      <w:r>
        <w:rPr>
          <w:color w:val="231F20"/>
        </w:rPr>
        <w:t>fabricante</w:t>
      </w:r>
      <w:r>
        <w:rPr>
          <w:color w:val="231F20"/>
          <w:spacing w:val="-10"/>
        </w:rPr>
        <w:t> </w:t>
      </w:r>
      <w:r>
        <w:rPr>
          <w:color w:val="231F20"/>
        </w:rPr>
        <w:t>suizo</w:t>
      </w:r>
      <w:r>
        <w:rPr>
          <w:color w:val="231F20"/>
          <w:spacing w:val="-10"/>
        </w:rPr>
        <w:t> </w:t>
      </w:r>
      <w:r>
        <w:rPr>
          <w:color w:val="231F20"/>
        </w:rPr>
        <w:t>KUDU,</w:t>
      </w:r>
      <w:r>
        <w:rPr>
          <w:color w:val="231F20"/>
          <w:spacing w:val="-10"/>
        </w:rPr>
        <w:t> </w:t>
      </w:r>
      <w:r>
        <w:rPr>
          <w:color w:val="231F20"/>
        </w:rPr>
        <w:t>destinadas</w:t>
      </w:r>
      <w:r>
        <w:rPr>
          <w:color w:val="231F20"/>
          <w:spacing w:val="-10"/>
        </w:rPr>
        <w:t> </w:t>
      </w:r>
      <w:r>
        <w:rPr>
          <w:color w:val="231F20"/>
        </w:rPr>
        <w:t>a</w:t>
      </w:r>
      <w:r>
        <w:rPr>
          <w:color w:val="231F20"/>
          <w:spacing w:val="-10"/>
        </w:rPr>
        <w:t> </w:t>
      </w:r>
      <w:r>
        <w:rPr>
          <w:color w:val="231F20"/>
        </w:rPr>
        <w:t>la extracción</w:t>
      </w:r>
      <w:r>
        <w:rPr>
          <w:color w:val="231F20"/>
          <w:spacing w:val="-10"/>
        </w:rPr>
        <w:t> </w:t>
      </w:r>
      <w:r>
        <w:rPr>
          <w:color w:val="231F20"/>
        </w:rPr>
        <w:t>de</w:t>
      </w:r>
      <w:r>
        <w:rPr>
          <w:color w:val="231F20"/>
          <w:spacing w:val="-10"/>
        </w:rPr>
        <w:t> </w:t>
      </w:r>
      <w:r>
        <w:rPr>
          <w:color w:val="231F20"/>
        </w:rPr>
        <w:t>petróleo</w:t>
      </w:r>
      <w:r>
        <w:rPr>
          <w:color w:val="231F20"/>
          <w:spacing w:val="-10"/>
        </w:rPr>
        <w:t> </w:t>
      </w:r>
      <w:r>
        <w:rPr>
          <w:color w:val="231F20"/>
        </w:rPr>
        <w:t>y</w:t>
      </w:r>
      <w:r>
        <w:rPr>
          <w:color w:val="231F20"/>
          <w:spacing w:val="-10"/>
        </w:rPr>
        <w:t> </w:t>
      </w:r>
      <w:r>
        <w:rPr>
          <w:color w:val="231F20"/>
        </w:rPr>
        <w:t>gas.</w:t>
      </w:r>
      <w:r>
        <w:rPr>
          <w:color w:val="231F20"/>
          <w:spacing w:val="-10"/>
        </w:rPr>
        <w:t> </w:t>
      </w:r>
      <w:r>
        <w:rPr>
          <w:color w:val="231F20"/>
        </w:rPr>
        <w:t>El</w:t>
      </w:r>
      <w:r>
        <w:rPr>
          <w:color w:val="231F20"/>
          <w:spacing w:val="-10"/>
        </w:rPr>
        <w:t> </w:t>
      </w:r>
      <w:r>
        <w:rPr>
          <w:color w:val="231F20"/>
        </w:rPr>
        <w:t>proveedor SCHLUMBERGER</w:t>
      </w:r>
      <w:r>
        <w:rPr>
          <w:color w:val="231F20"/>
          <w:spacing w:val="-10"/>
        </w:rPr>
        <w:t> </w:t>
      </w:r>
      <w:r>
        <w:rPr>
          <w:color w:val="231F20"/>
        </w:rPr>
        <w:t>informó</w:t>
      </w:r>
      <w:r>
        <w:rPr>
          <w:color w:val="231F20"/>
          <w:spacing w:val="-10"/>
        </w:rPr>
        <w:t> </w:t>
      </w:r>
      <w:r>
        <w:rPr>
          <w:color w:val="231F20"/>
        </w:rPr>
        <w:t>la</w:t>
      </w:r>
      <w:r>
        <w:rPr>
          <w:color w:val="231F20"/>
          <w:spacing w:val="-10"/>
        </w:rPr>
        <w:t> </w:t>
      </w:r>
      <w:r>
        <w:rPr>
          <w:color w:val="231F20"/>
        </w:rPr>
        <w:t>imposibilidad de continuar con el suministro de las mismas,</w:t>
      </w:r>
      <w:r>
        <w:rPr>
          <w:color w:val="231F20"/>
          <w:spacing w:val="-7"/>
        </w:rPr>
        <w:t> </w:t>
      </w:r>
      <w:r>
        <w:rPr>
          <w:color w:val="231F20"/>
        </w:rPr>
        <w:t>así</w:t>
      </w:r>
      <w:r>
        <w:rPr>
          <w:color w:val="231F20"/>
          <w:spacing w:val="-7"/>
        </w:rPr>
        <w:t> </w:t>
      </w:r>
      <w:r>
        <w:rPr>
          <w:color w:val="231F20"/>
        </w:rPr>
        <w:t>como</w:t>
      </w:r>
      <w:r>
        <w:rPr>
          <w:color w:val="231F20"/>
          <w:spacing w:val="-7"/>
        </w:rPr>
        <w:t> </w:t>
      </w:r>
      <w:r>
        <w:rPr>
          <w:color w:val="231F20"/>
        </w:rPr>
        <w:t>de</w:t>
      </w:r>
      <w:r>
        <w:rPr>
          <w:color w:val="231F20"/>
          <w:spacing w:val="-7"/>
        </w:rPr>
        <w:t> </w:t>
      </w:r>
      <w:r>
        <w:rPr>
          <w:color w:val="231F20"/>
        </w:rPr>
        <w:t>sus</w:t>
      </w:r>
      <w:r>
        <w:rPr>
          <w:color w:val="231F20"/>
          <w:spacing w:val="-7"/>
        </w:rPr>
        <w:t> </w:t>
      </w:r>
      <w:r>
        <w:rPr>
          <w:color w:val="231F20"/>
        </w:rPr>
        <w:t>componentes,</w:t>
      </w:r>
      <w:r>
        <w:rPr>
          <w:color w:val="231F20"/>
          <w:spacing w:val="-7"/>
        </w:rPr>
        <w:t> </w:t>
      </w:r>
      <w:r>
        <w:rPr>
          <w:color w:val="231F20"/>
        </w:rPr>
        <w:t>lo cual ha provocado una afectación directa en toda la industria, donde se encuentra instalada esta tecnología.</w:t>
      </w:r>
    </w:p>
    <w:p>
      <w:pPr>
        <w:spacing w:before="166"/>
        <w:ind w:left="413" w:right="1472" w:firstLine="0"/>
        <w:jc w:val="both"/>
        <w:rPr>
          <w:rFonts w:ascii="Segoe UI Semibold" w:hAnsi="Segoe UI Semibold"/>
          <w:b/>
          <w:i/>
          <w:sz w:val="24"/>
        </w:rPr>
      </w:pPr>
      <w:r>
        <w:rPr>
          <w:rFonts w:ascii="Segoe UI Semibold" w:hAnsi="Segoe UI Semibold"/>
          <w:b/>
          <w:i/>
          <w:color w:val="231F20"/>
          <w:sz w:val="24"/>
        </w:rPr>
        <w:t>El cerco económico ha causado también</w:t>
      </w:r>
      <w:r>
        <w:rPr>
          <w:rFonts w:ascii="Segoe UI Semibold" w:hAnsi="Segoe UI Semibold"/>
          <w:b/>
          <w:i/>
          <w:color w:val="231F20"/>
          <w:sz w:val="24"/>
        </w:rPr>
        <w:t> serias afectaciones al </w:t>
      </w:r>
      <w:r>
        <w:rPr>
          <w:b/>
          <w:i/>
          <w:color w:val="B52628"/>
          <w:sz w:val="24"/>
        </w:rPr>
        <w:t>sector no estatal</w:t>
      </w:r>
      <w:r>
        <w:rPr>
          <w:rFonts w:ascii="Segoe UI Semibold" w:hAnsi="Segoe UI Semibold"/>
          <w:b/>
          <w:i/>
          <w:color w:val="231F20"/>
          <w:sz w:val="24"/>
        </w:rPr>
        <w:t>.</w:t>
      </w:r>
      <w:r>
        <w:rPr>
          <w:rFonts w:ascii="Segoe UI Semibold" w:hAnsi="Segoe UI Semibold"/>
          <w:b/>
          <w:i/>
          <w:color w:val="231F20"/>
          <w:sz w:val="24"/>
        </w:rPr>
        <w:t> </w:t>
      </w:r>
      <w:r>
        <w:rPr>
          <w:rFonts w:ascii="Segoe UI Semibold" w:hAnsi="Segoe UI Semibold"/>
          <w:b/>
          <w:i/>
          <w:color w:val="231F20"/>
          <w:spacing w:val="-2"/>
          <w:sz w:val="24"/>
        </w:rPr>
        <w:t>Las</w:t>
      </w:r>
      <w:r>
        <w:rPr>
          <w:rFonts w:ascii="Segoe UI Semibold" w:hAnsi="Segoe UI Semibold"/>
          <w:b/>
          <w:i/>
          <w:color w:val="231F20"/>
          <w:spacing w:val="-14"/>
          <w:sz w:val="24"/>
        </w:rPr>
        <w:t> </w:t>
      </w:r>
      <w:r>
        <w:rPr>
          <w:rFonts w:ascii="Segoe UI Semibold" w:hAnsi="Segoe UI Semibold"/>
          <w:b/>
          <w:i/>
          <w:color w:val="231F20"/>
          <w:spacing w:val="-2"/>
          <w:sz w:val="24"/>
        </w:rPr>
        <w:t>restricciones</w:t>
      </w:r>
      <w:r>
        <w:rPr>
          <w:rFonts w:ascii="Segoe UI Semibold" w:hAnsi="Segoe UI Semibold"/>
          <w:b/>
          <w:i/>
          <w:color w:val="231F20"/>
          <w:spacing w:val="-14"/>
          <w:sz w:val="24"/>
        </w:rPr>
        <w:t> </w:t>
      </w:r>
      <w:r>
        <w:rPr>
          <w:rFonts w:ascii="Segoe UI Semibold" w:hAnsi="Segoe UI Semibold"/>
          <w:b/>
          <w:i/>
          <w:color w:val="231F20"/>
          <w:spacing w:val="-2"/>
          <w:sz w:val="24"/>
        </w:rPr>
        <w:t>del</w:t>
      </w:r>
      <w:r>
        <w:rPr>
          <w:rFonts w:ascii="Segoe UI Semibold" w:hAnsi="Segoe UI Semibold"/>
          <w:b/>
          <w:i/>
          <w:color w:val="231F20"/>
          <w:spacing w:val="-15"/>
          <w:sz w:val="24"/>
        </w:rPr>
        <w:t> </w:t>
      </w:r>
      <w:r>
        <w:rPr>
          <w:rFonts w:ascii="Segoe UI Semibold" w:hAnsi="Segoe UI Semibold"/>
          <w:b/>
          <w:i/>
          <w:color w:val="231F20"/>
          <w:spacing w:val="-2"/>
          <w:sz w:val="24"/>
        </w:rPr>
        <w:t>bloqueo</w:t>
      </w:r>
      <w:r>
        <w:rPr>
          <w:rFonts w:ascii="Segoe UI Semibold" w:hAnsi="Segoe UI Semibold"/>
          <w:b/>
          <w:i/>
          <w:color w:val="231F20"/>
          <w:spacing w:val="-14"/>
          <w:sz w:val="24"/>
        </w:rPr>
        <w:t> </w:t>
      </w:r>
      <w:r>
        <w:rPr>
          <w:rFonts w:ascii="Segoe UI Semibold" w:hAnsi="Segoe UI Semibold"/>
          <w:b/>
          <w:i/>
          <w:color w:val="231F20"/>
          <w:spacing w:val="-2"/>
          <w:sz w:val="24"/>
        </w:rPr>
        <w:t>han</w:t>
      </w:r>
      <w:r>
        <w:rPr>
          <w:rFonts w:ascii="Segoe UI Semibold" w:hAnsi="Segoe UI Semibold"/>
          <w:b/>
          <w:i/>
          <w:color w:val="231F20"/>
          <w:spacing w:val="-15"/>
          <w:sz w:val="24"/>
        </w:rPr>
        <w:t> </w:t>
      </w:r>
      <w:r>
        <w:rPr>
          <w:rFonts w:ascii="Segoe UI Semibold" w:hAnsi="Segoe UI Semibold"/>
          <w:b/>
          <w:i/>
          <w:color w:val="231F20"/>
          <w:spacing w:val="-2"/>
          <w:sz w:val="24"/>
        </w:rPr>
        <w:t>limitado </w:t>
      </w:r>
      <w:r>
        <w:rPr>
          <w:rFonts w:ascii="Segoe UI Semibold" w:hAnsi="Segoe UI Semibold"/>
          <w:b/>
          <w:i/>
          <w:color w:val="231F20"/>
          <w:sz w:val="24"/>
        </w:rPr>
        <w:t>de manera significativa la actividad de </w:t>
      </w:r>
      <w:r>
        <w:rPr>
          <w:rFonts w:ascii="Segoe UI Semibold" w:hAnsi="Segoe UI Semibold"/>
          <w:b/>
          <w:i/>
          <w:color w:val="231F20"/>
          <w:spacing w:val="-10"/>
          <w:sz w:val="24"/>
        </w:rPr>
        <w:t>numerosos</w:t>
      </w:r>
      <w:r>
        <w:rPr>
          <w:rFonts w:ascii="Segoe UI Semibold" w:hAnsi="Segoe UI Semibold"/>
          <w:b/>
          <w:i/>
          <w:color w:val="231F20"/>
          <w:spacing w:val="-6"/>
          <w:sz w:val="24"/>
        </w:rPr>
        <w:t> </w:t>
      </w:r>
      <w:r>
        <w:rPr>
          <w:rFonts w:ascii="Segoe UI Semibold" w:hAnsi="Segoe UI Semibold"/>
          <w:b/>
          <w:i/>
          <w:color w:val="231F20"/>
          <w:spacing w:val="-10"/>
          <w:sz w:val="24"/>
        </w:rPr>
        <w:t>emprendedores</w:t>
      </w:r>
      <w:r>
        <w:rPr>
          <w:rFonts w:ascii="Segoe UI Semibold" w:hAnsi="Segoe UI Semibold"/>
          <w:b/>
          <w:i/>
          <w:color w:val="231F20"/>
          <w:spacing w:val="-6"/>
          <w:sz w:val="24"/>
        </w:rPr>
        <w:t> </w:t>
      </w:r>
      <w:r>
        <w:rPr>
          <w:rFonts w:ascii="Segoe UI Semibold" w:hAnsi="Segoe UI Semibold"/>
          <w:b/>
          <w:i/>
          <w:color w:val="231F20"/>
          <w:spacing w:val="-10"/>
          <w:sz w:val="24"/>
        </w:rPr>
        <w:t>privados,</w:t>
      </w:r>
      <w:r>
        <w:rPr>
          <w:rFonts w:ascii="Segoe UI Semibold" w:hAnsi="Segoe UI Semibold"/>
          <w:b/>
          <w:i/>
          <w:color w:val="231F20"/>
          <w:spacing w:val="-6"/>
          <w:sz w:val="24"/>
        </w:rPr>
        <w:t> </w:t>
      </w:r>
      <w:r>
        <w:rPr>
          <w:rFonts w:ascii="Segoe UI Semibold" w:hAnsi="Segoe UI Semibold"/>
          <w:b/>
          <w:i/>
          <w:color w:val="231F20"/>
          <w:spacing w:val="-10"/>
          <w:sz w:val="24"/>
        </w:rPr>
        <w:t>dueños </w:t>
      </w:r>
      <w:r>
        <w:rPr>
          <w:rFonts w:ascii="Segoe UI Semibold" w:hAnsi="Segoe UI Semibold"/>
          <w:b/>
          <w:i/>
          <w:color w:val="231F20"/>
          <w:sz w:val="24"/>
        </w:rPr>
        <w:t>de empresas y cooperativistas cubanos. Las restricciones de viajes a ciudadanos </w:t>
      </w:r>
      <w:r>
        <w:rPr>
          <w:rFonts w:ascii="Segoe UI Semibold" w:hAnsi="Segoe UI Semibold"/>
          <w:b/>
          <w:i/>
          <w:color w:val="231F20"/>
          <w:spacing w:val="-8"/>
          <w:sz w:val="24"/>
        </w:rPr>
        <w:t>estadounidenses han continuado afectando </w:t>
      </w:r>
      <w:r>
        <w:rPr>
          <w:rFonts w:ascii="Segoe UI Semibold" w:hAnsi="Segoe UI Semibold"/>
          <w:b/>
          <w:i/>
          <w:color w:val="231F20"/>
          <w:sz w:val="24"/>
        </w:rPr>
        <w:t>el flujo de visitantes a la Isla, lo que ha provocado</w:t>
      </w:r>
      <w:r>
        <w:rPr>
          <w:rFonts w:ascii="Segoe UI Semibold" w:hAnsi="Segoe UI Semibold"/>
          <w:b/>
          <w:i/>
          <w:color w:val="231F20"/>
          <w:spacing w:val="-9"/>
          <w:sz w:val="24"/>
        </w:rPr>
        <w:t> </w:t>
      </w:r>
      <w:r>
        <w:rPr>
          <w:rFonts w:ascii="Segoe UI Semibold" w:hAnsi="Segoe UI Semibold"/>
          <w:b/>
          <w:i/>
          <w:color w:val="231F20"/>
          <w:sz w:val="24"/>
        </w:rPr>
        <w:t>una</w:t>
      </w:r>
      <w:r>
        <w:rPr>
          <w:rFonts w:ascii="Segoe UI Semibold" w:hAnsi="Segoe UI Semibold"/>
          <w:b/>
          <w:i/>
          <w:color w:val="231F20"/>
          <w:spacing w:val="-9"/>
          <w:sz w:val="24"/>
        </w:rPr>
        <w:t> </w:t>
      </w:r>
      <w:r>
        <w:rPr>
          <w:rFonts w:ascii="Segoe UI Semibold" w:hAnsi="Segoe UI Semibold"/>
          <w:b/>
          <w:i/>
          <w:color w:val="231F20"/>
          <w:sz w:val="24"/>
        </w:rPr>
        <w:t>reducción</w:t>
      </w:r>
      <w:r>
        <w:rPr>
          <w:rFonts w:ascii="Segoe UI Semibold" w:hAnsi="Segoe UI Semibold"/>
          <w:b/>
          <w:i/>
          <w:color w:val="231F20"/>
          <w:spacing w:val="-9"/>
          <w:sz w:val="24"/>
        </w:rPr>
        <w:t> </w:t>
      </w:r>
      <w:r>
        <w:rPr>
          <w:rFonts w:ascii="Segoe UI Semibold" w:hAnsi="Segoe UI Semibold"/>
          <w:b/>
          <w:i/>
          <w:color w:val="231F20"/>
          <w:sz w:val="24"/>
        </w:rPr>
        <w:t>significativa</w:t>
      </w:r>
      <w:r>
        <w:rPr>
          <w:rFonts w:ascii="Segoe UI Semibold" w:hAnsi="Segoe UI Semibold"/>
          <w:b/>
          <w:i/>
          <w:color w:val="231F20"/>
          <w:spacing w:val="-9"/>
          <w:sz w:val="24"/>
        </w:rPr>
        <w:t> </w:t>
      </w:r>
      <w:r>
        <w:rPr>
          <w:rFonts w:ascii="Segoe UI Semibold" w:hAnsi="Segoe UI Semibold"/>
          <w:b/>
          <w:i/>
          <w:color w:val="231F20"/>
          <w:sz w:val="24"/>
        </w:rPr>
        <w:t>de la</w:t>
      </w:r>
      <w:r>
        <w:rPr>
          <w:rFonts w:ascii="Segoe UI Semibold" w:hAnsi="Segoe UI Semibold"/>
          <w:b/>
          <w:i/>
          <w:color w:val="231F20"/>
          <w:spacing w:val="-17"/>
          <w:sz w:val="24"/>
        </w:rPr>
        <w:t> </w:t>
      </w:r>
      <w:r>
        <w:rPr>
          <w:rFonts w:ascii="Segoe UI Semibold" w:hAnsi="Segoe UI Semibold"/>
          <w:b/>
          <w:i/>
          <w:color w:val="231F20"/>
          <w:sz w:val="24"/>
        </w:rPr>
        <w:t>demanda</w:t>
      </w:r>
      <w:r>
        <w:rPr>
          <w:rFonts w:ascii="Segoe UI Semibold" w:hAnsi="Segoe UI Semibold"/>
          <w:b/>
          <w:i/>
          <w:color w:val="231F20"/>
          <w:spacing w:val="-16"/>
          <w:sz w:val="24"/>
        </w:rPr>
        <w:t> </w:t>
      </w:r>
      <w:r>
        <w:rPr>
          <w:rFonts w:ascii="Segoe UI Semibold" w:hAnsi="Segoe UI Semibold"/>
          <w:b/>
          <w:i/>
          <w:color w:val="231F20"/>
          <w:sz w:val="24"/>
        </w:rPr>
        <w:t>de</w:t>
      </w:r>
      <w:r>
        <w:rPr>
          <w:rFonts w:ascii="Segoe UI Semibold" w:hAnsi="Segoe UI Semibold"/>
          <w:b/>
          <w:i/>
          <w:color w:val="231F20"/>
          <w:spacing w:val="-17"/>
          <w:sz w:val="24"/>
        </w:rPr>
        <w:t> </w:t>
      </w:r>
      <w:r>
        <w:rPr>
          <w:rFonts w:ascii="Segoe UI Semibold" w:hAnsi="Segoe UI Semibold"/>
          <w:b/>
          <w:i/>
          <w:color w:val="231F20"/>
          <w:sz w:val="24"/>
        </w:rPr>
        <w:t>bienes</w:t>
      </w:r>
      <w:r>
        <w:rPr>
          <w:rFonts w:ascii="Segoe UI Semibold" w:hAnsi="Segoe UI Semibold"/>
          <w:b/>
          <w:i/>
          <w:color w:val="231F20"/>
          <w:spacing w:val="-16"/>
          <w:sz w:val="24"/>
        </w:rPr>
        <w:t> </w:t>
      </w:r>
      <w:r>
        <w:rPr>
          <w:rFonts w:ascii="Segoe UI Semibold" w:hAnsi="Segoe UI Semibold"/>
          <w:b/>
          <w:i/>
          <w:color w:val="231F20"/>
          <w:sz w:val="24"/>
        </w:rPr>
        <w:t>y</w:t>
      </w:r>
      <w:r>
        <w:rPr>
          <w:rFonts w:ascii="Segoe UI Semibold" w:hAnsi="Segoe UI Semibold"/>
          <w:b/>
          <w:i/>
          <w:color w:val="231F20"/>
          <w:spacing w:val="-17"/>
          <w:sz w:val="24"/>
        </w:rPr>
        <w:t> </w:t>
      </w:r>
      <w:r>
        <w:rPr>
          <w:rFonts w:ascii="Segoe UI Semibold" w:hAnsi="Segoe UI Semibold"/>
          <w:b/>
          <w:i/>
          <w:color w:val="231F20"/>
          <w:sz w:val="24"/>
        </w:rPr>
        <w:t>servicios</w:t>
      </w:r>
      <w:r>
        <w:rPr>
          <w:rFonts w:ascii="Segoe UI Semibold" w:hAnsi="Segoe UI Semibold"/>
          <w:b/>
          <w:i/>
          <w:color w:val="231F20"/>
          <w:spacing w:val="-16"/>
          <w:sz w:val="24"/>
        </w:rPr>
        <w:t> </w:t>
      </w:r>
      <w:r>
        <w:rPr>
          <w:rFonts w:ascii="Segoe UI Semibold" w:hAnsi="Segoe UI Semibold"/>
          <w:b/>
          <w:i/>
          <w:color w:val="231F20"/>
          <w:sz w:val="24"/>
        </w:rPr>
        <w:t>de</w:t>
      </w:r>
      <w:r>
        <w:rPr>
          <w:rFonts w:ascii="Segoe UI Semibold" w:hAnsi="Segoe UI Semibold"/>
          <w:b/>
          <w:i/>
          <w:color w:val="231F20"/>
          <w:spacing w:val="-17"/>
          <w:sz w:val="24"/>
        </w:rPr>
        <w:t> </w:t>
      </w:r>
      <w:r>
        <w:rPr>
          <w:rFonts w:ascii="Segoe UI Semibold" w:hAnsi="Segoe UI Semibold"/>
          <w:b/>
          <w:i/>
          <w:color w:val="231F20"/>
          <w:sz w:val="24"/>
        </w:rPr>
        <w:t>dicho </w:t>
      </w:r>
      <w:r>
        <w:rPr>
          <w:rFonts w:ascii="Segoe UI Semibold" w:hAnsi="Segoe UI Semibold"/>
          <w:b/>
          <w:i/>
          <w:color w:val="231F20"/>
          <w:spacing w:val="-2"/>
          <w:sz w:val="24"/>
        </w:rPr>
        <w:t>sector</w:t>
      </w:r>
      <w:r>
        <w:rPr>
          <w:rFonts w:ascii="Segoe UI Semibold" w:hAnsi="Segoe UI Semibold"/>
          <w:b/>
          <w:i/>
          <w:color w:val="231F20"/>
          <w:spacing w:val="-15"/>
          <w:sz w:val="24"/>
        </w:rPr>
        <w:t> </w:t>
      </w:r>
      <w:r>
        <w:rPr>
          <w:rFonts w:ascii="Segoe UI Semibold" w:hAnsi="Segoe UI Semibold"/>
          <w:b/>
          <w:i/>
          <w:color w:val="231F20"/>
          <w:spacing w:val="-2"/>
          <w:sz w:val="24"/>
        </w:rPr>
        <w:t>no</w:t>
      </w:r>
      <w:r>
        <w:rPr>
          <w:rFonts w:ascii="Segoe UI Semibold" w:hAnsi="Segoe UI Semibold"/>
          <w:b/>
          <w:i/>
          <w:color w:val="231F20"/>
          <w:spacing w:val="-15"/>
          <w:sz w:val="24"/>
        </w:rPr>
        <w:t> </w:t>
      </w:r>
      <w:r>
        <w:rPr>
          <w:rFonts w:ascii="Segoe UI Semibold" w:hAnsi="Segoe UI Semibold"/>
          <w:b/>
          <w:i/>
          <w:color w:val="231F20"/>
          <w:spacing w:val="-2"/>
          <w:sz w:val="24"/>
        </w:rPr>
        <w:t>estatal</w:t>
      </w:r>
      <w:r>
        <w:rPr>
          <w:rFonts w:ascii="Segoe UI Semibold" w:hAnsi="Segoe UI Semibold"/>
          <w:b/>
          <w:i/>
          <w:color w:val="231F20"/>
          <w:spacing w:val="-15"/>
          <w:sz w:val="24"/>
        </w:rPr>
        <w:t> </w:t>
      </w:r>
      <w:r>
        <w:rPr>
          <w:rFonts w:ascii="Segoe UI Semibold" w:hAnsi="Segoe UI Semibold"/>
          <w:b/>
          <w:i/>
          <w:color w:val="231F20"/>
          <w:spacing w:val="-2"/>
          <w:sz w:val="24"/>
        </w:rPr>
        <w:t>durante</w:t>
      </w:r>
      <w:r>
        <w:rPr>
          <w:rFonts w:ascii="Segoe UI Semibold" w:hAnsi="Segoe UI Semibold"/>
          <w:b/>
          <w:i/>
          <w:color w:val="231F20"/>
          <w:spacing w:val="-15"/>
          <w:sz w:val="24"/>
        </w:rPr>
        <w:t> </w:t>
      </w:r>
      <w:r>
        <w:rPr>
          <w:rFonts w:ascii="Segoe UI Semibold" w:hAnsi="Segoe UI Semibold"/>
          <w:b/>
          <w:i/>
          <w:color w:val="231F20"/>
          <w:spacing w:val="-2"/>
          <w:sz w:val="24"/>
        </w:rPr>
        <w:t>los</w:t>
      </w:r>
      <w:r>
        <w:rPr>
          <w:rFonts w:ascii="Segoe UI Semibold" w:hAnsi="Segoe UI Semibold"/>
          <w:b/>
          <w:i/>
          <w:color w:val="231F20"/>
          <w:spacing w:val="-15"/>
          <w:sz w:val="24"/>
        </w:rPr>
        <w:t> </w:t>
      </w:r>
      <w:r>
        <w:rPr>
          <w:rFonts w:ascii="Segoe UI Semibold" w:hAnsi="Segoe UI Semibold"/>
          <w:b/>
          <w:i/>
          <w:color w:val="231F20"/>
          <w:spacing w:val="-2"/>
          <w:sz w:val="24"/>
        </w:rPr>
        <w:t>últimos</w:t>
      </w:r>
      <w:r>
        <w:rPr>
          <w:rFonts w:ascii="Segoe UI Semibold" w:hAnsi="Segoe UI Semibold"/>
          <w:b/>
          <w:i/>
          <w:color w:val="231F20"/>
          <w:spacing w:val="-15"/>
          <w:sz w:val="24"/>
        </w:rPr>
        <w:t> </w:t>
      </w:r>
      <w:r>
        <w:rPr>
          <w:rFonts w:ascii="Segoe UI Semibold" w:hAnsi="Segoe UI Semibold"/>
          <w:b/>
          <w:i/>
          <w:color w:val="231F20"/>
          <w:spacing w:val="-2"/>
          <w:sz w:val="24"/>
        </w:rPr>
        <w:t>años.</w:t>
      </w:r>
    </w:p>
    <w:p>
      <w:pPr>
        <w:pStyle w:val="BodyText"/>
        <w:spacing w:before="158"/>
        <w:ind w:left="413" w:right="1473"/>
      </w:pPr>
      <w:r>
        <w:rPr>
          <w:color w:val="231F20"/>
        </w:rPr>
        <w:t>Al propio tiempo, la imposibilidad de procesar visas de no inmigrantes en La Habana ha limitado la capacidad de los emprendedores cubanos para viajar a los </w:t>
      </w:r>
      <w:r>
        <w:rPr>
          <w:color w:val="231F20"/>
          <w:spacing w:val="-2"/>
        </w:rPr>
        <w:t>Estados</w:t>
      </w:r>
      <w:r>
        <w:rPr>
          <w:color w:val="231F20"/>
          <w:spacing w:val="-12"/>
        </w:rPr>
        <w:t> </w:t>
      </w:r>
      <w:r>
        <w:rPr>
          <w:color w:val="231F20"/>
          <w:spacing w:val="-2"/>
        </w:rPr>
        <w:t>Unidos</w:t>
      </w:r>
      <w:r>
        <w:rPr>
          <w:color w:val="231F20"/>
          <w:spacing w:val="-12"/>
        </w:rPr>
        <w:t> </w:t>
      </w:r>
      <w:r>
        <w:rPr>
          <w:color w:val="231F20"/>
          <w:spacing w:val="-2"/>
        </w:rPr>
        <w:t>y</w:t>
      </w:r>
      <w:r>
        <w:rPr>
          <w:color w:val="231F20"/>
          <w:spacing w:val="-12"/>
        </w:rPr>
        <w:t> </w:t>
      </w:r>
      <w:r>
        <w:rPr>
          <w:color w:val="231F20"/>
          <w:spacing w:val="-2"/>
        </w:rPr>
        <w:t>adquirir</w:t>
      </w:r>
      <w:r>
        <w:rPr>
          <w:color w:val="231F20"/>
          <w:spacing w:val="-12"/>
        </w:rPr>
        <w:t> </w:t>
      </w:r>
      <w:r>
        <w:rPr>
          <w:color w:val="231F20"/>
          <w:spacing w:val="-2"/>
        </w:rPr>
        <w:t>directamente</w:t>
      </w:r>
      <w:r>
        <w:rPr>
          <w:color w:val="231F20"/>
          <w:spacing w:val="-12"/>
        </w:rPr>
        <w:t> </w:t>
      </w:r>
      <w:r>
        <w:rPr>
          <w:color w:val="231F20"/>
          <w:spacing w:val="-2"/>
        </w:rPr>
        <w:t>los </w:t>
      </w:r>
      <w:r>
        <w:rPr>
          <w:color w:val="231F20"/>
        </w:rPr>
        <w:t>suministros necesarios para su actividad.</w:t>
      </w:r>
    </w:p>
    <w:p>
      <w:pPr>
        <w:pStyle w:val="BodyText"/>
        <w:spacing w:before="164"/>
        <w:ind w:left="413" w:right="1471"/>
      </w:pPr>
      <w:r>
        <w:rPr>
          <w:color w:val="231F20"/>
        </w:rPr>
        <w:t>Una serie de negocios privados, restau- rantes, locales para la venta de artesanía cubana, estanquillos con literatura nacio- nal, servicios de alquiler de autos y taxis, ubicados</w:t>
      </w:r>
      <w:r>
        <w:rPr>
          <w:color w:val="231F20"/>
          <w:spacing w:val="-13"/>
        </w:rPr>
        <w:t> </w:t>
      </w:r>
      <w:r>
        <w:rPr>
          <w:color w:val="231F20"/>
        </w:rPr>
        <w:t>principalmente</w:t>
      </w:r>
      <w:r>
        <w:rPr>
          <w:color w:val="231F20"/>
          <w:spacing w:val="-13"/>
        </w:rPr>
        <w:t> </w:t>
      </w:r>
      <w:r>
        <w:rPr>
          <w:color w:val="231F20"/>
        </w:rPr>
        <w:t>en</w:t>
      </w:r>
      <w:r>
        <w:rPr>
          <w:color w:val="231F20"/>
          <w:spacing w:val="-13"/>
        </w:rPr>
        <w:t> </w:t>
      </w:r>
      <w:r>
        <w:rPr>
          <w:color w:val="231F20"/>
        </w:rPr>
        <w:t>el</w:t>
      </w:r>
      <w:r>
        <w:rPr>
          <w:color w:val="231F20"/>
          <w:spacing w:val="-13"/>
        </w:rPr>
        <w:t> </w:t>
      </w:r>
      <w:r>
        <w:rPr>
          <w:color w:val="231F20"/>
        </w:rPr>
        <w:t>Centro</w:t>
      </w:r>
      <w:r>
        <w:rPr>
          <w:color w:val="231F20"/>
          <w:spacing w:val="-13"/>
        </w:rPr>
        <w:t> </w:t>
      </w:r>
      <w:r>
        <w:rPr>
          <w:color w:val="231F20"/>
        </w:rPr>
        <w:t>His- tórico de La Habana, han visto afectadas sus operaciones a partir de la prohibición de</w:t>
      </w:r>
      <w:r>
        <w:rPr>
          <w:color w:val="231F20"/>
          <w:spacing w:val="-15"/>
        </w:rPr>
        <w:t> </w:t>
      </w:r>
      <w:r>
        <w:rPr>
          <w:color w:val="231F20"/>
        </w:rPr>
        <w:t>entrada</w:t>
      </w:r>
      <w:r>
        <w:rPr>
          <w:color w:val="231F20"/>
          <w:spacing w:val="-15"/>
        </w:rPr>
        <w:t> </w:t>
      </w:r>
      <w:r>
        <w:rPr>
          <w:color w:val="231F20"/>
        </w:rPr>
        <w:t>a</w:t>
      </w:r>
      <w:r>
        <w:rPr>
          <w:color w:val="231F20"/>
          <w:spacing w:val="-15"/>
        </w:rPr>
        <w:t> </w:t>
      </w:r>
      <w:r>
        <w:rPr>
          <w:color w:val="231F20"/>
        </w:rPr>
        <w:t>puertos</w:t>
      </w:r>
      <w:r>
        <w:rPr>
          <w:color w:val="231F20"/>
          <w:spacing w:val="-15"/>
        </w:rPr>
        <w:t> </w:t>
      </w:r>
      <w:r>
        <w:rPr>
          <w:color w:val="231F20"/>
        </w:rPr>
        <w:t>cubanos</w:t>
      </w:r>
      <w:r>
        <w:rPr>
          <w:color w:val="231F20"/>
          <w:spacing w:val="-15"/>
        </w:rPr>
        <w:t> </w:t>
      </w:r>
      <w:r>
        <w:rPr>
          <w:color w:val="231F20"/>
        </w:rPr>
        <w:t>de</w:t>
      </w:r>
      <w:r>
        <w:rPr>
          <w:color w:val="231F20"/>
          <w:spacing w:val="-15"/>
        </w:rPr>
        <w:t> </w:t>
      </w:r>
      <w:r>
        <w:rPr>
          <w:color w:val="231F20"/>
        </w:rPr>
        <w:t>líneas</w:t>
      </w:r>
      <w:r>
        <w:rPr>
          <w:color w:val="231F20"/>
          <w:spacing w:val="-15"/>
        </w:rPr>
        <w:t> </w:t>
      </w:r>
      <w:r>
        <w:rPr>
          <w:color w:val="231F20"/>
        </w:rPr>
        <w:t>de cruceros estadounidenses.</w:t>
      </w:r>
    </w:p>
    <w:p>
      <w:pPr>
        <w:pStyle w:val="BodyText"/>
        <w:spacing w:before="167"/>
        <w:ind w:left="413" w:right="1472"/>
      </w:pPr>
      <w:r>
        <w:rPr>
          <w:color w:val="231F20"/>
        </w:rPr>
        <w:t>Emprendedores</w:t>
      </w:r>
      <w:r>
        <w:rPr>
          <w:color w:val="231F20"/>
          <w:spacing w:val="-17"/>
        </w:rPr>
        <w:t> </w:t>
      </w:r>
      <w:r>
        <w:rPr>
          <w:color w:val="231F20"/>
        </w:rPr>
        <w:t>cubanos</w:t>
      </w:r>
      <w:r>
        <w:rPr>
          <w:color w:val="231F20"/>
          <w:spacing w:val="-16"/>
        </w:rPr>
        <w:t> </w:t>
      </w:r>
      <w:r>
        <w:rPr>
          <w:color w:val="231F20"/>
        </w:rPr>
        <w:t>han</w:t>
      </w:r>
      <w:r>
        <w:rPr>
          <w:color w:val="231F20"/>
          <w:spacing w:val="-17"/>
        </w:rPr>
        <w:t> </w:t>
      </w:r>
      <w:r>
        <w:rPr>
          <w:color w:val="231F20"/>
        </w:rPr>
        <w:t>sufrido</w:t>
      </w:r>
      <w:r>
        <w:rPr>
          <w:color w:val="231F20"/>
          <w:spacing w:val="-16"/>
        </w:rPr>
        <w:t> </w:t>
      </w:r>
      <w:r>
        <w:rPr>
          <w:color w:val="231F20"/>
        </w:rPr>
        <w:t>tam- </w:t>
      </w:r>
      <w:r>
        <w:rPr>
          <w:color w:val="231F20"/>
          <w:spacing w:val="-4"/>
        </w:rPr>
        <w:t>bién</w:t>
      </w:r>
      <w:r>
        <w:rPr>
          <w:color w:val="231F20"/>
          <w:spacing w:val="-12"/>
        </w:rPr>
        <w:t> </w:t>
      </w:r>
      <w:r>
        <w:rPr>
          <w:color w:val="231F20"/>
          <w:spacing w:val="-4"/>
        </w:rPr>
        <w:t>la</w:t>
      </w:r>
      <w:r>
        <w:rPr>
          <w:color w:val="231F20"/>
          <w:spacing w:val="-12"/>
        </w:rPr>
        <w:t> </w:t>
      </w:r>
      <w:r>
        <w:rPr>
          <w:color w:val="231F20"/>
          <w:spacing w:val="-4"/>
        </w:rPr>
        <w:t>cancelación</w:t>
      </w:r>
      <w:r>
        <w:rPr>
          <w:color w:val="231F20"/>
          <w:spacing w:val="-12"/>
        </w:rPr>
        <w:t> </w:t>
      </w:r>
      <w:r>
        <w:rPr>
          <w:color w:val="231F20"/>
          <w:spacing w:val="-4"/>
        </w:rPr>
        <w:t>de</w:t>
      </w:r>
      <w:r>
        <w:rPr>
          <w:color w:val="231F20"/>
          <w:spacing w:val="-12"/>
        </w:rPr>
        <w:t> </w:t>
      </w:r>
      <w:r>
        <w:rPr>
          <w:color w:val="231F20"/>
          <w:spacing w:val="-4"/>
        </w:rPr>
        <w:t>cuentas</w:t>
      </w:r>
      <w:r>
        <w:rPr>
          <w:color w:val="231F20"/>
          <w:spacing w:val="-12"/>
        </w:rPr>
        <w:t> </w:t>
      </w:r>
      <w:r>
        <w:rPr>
          <w:color w:val="231F20"/>
          <w:spacing w:val="-4"/>
        </w:rPr>
        <w:t>bancarias</w:t>
      </w:r>
      <w:r>
        <w:rPr>
          <w:color w:val="231F20"/>
          <w:spacing w:val="-12"/>
        </w:rPr>
        <w:t> </w:t>
      </w:r>
      <w:r>
        <w:rPr>
          <w:color w:val="231F20"/>
          <w:spacing w:val="-4"/>
        </w:rPr>
        <w:t>en </w:t>
      </w:r>
      <w:r>
        <w:rPr>
          <w:color w:val="231F20"/>
        </w:rPr>
        <w:t>los</w:t>
      </w:r>
      <w:r>
        <w:rPr>
          <w:color w:val="231F20"/>
          <w:spacing w:val="-11"/>
        </w:rPr>
        <w:t> </w:t>
      </w:r>
      <w:r>
        <w:rPr>
          <w:color w:val="231F20"/>
        </w:rPr>
        <w:t>Estados</w:t>
      </w:r>
      <w:r>
        <w:rPr>
          <w:color w:val="231F20"/>
          <w:spacing w:val="-11"/>
        </w:rPr>
        <w:t> </w:t>
      </w:r>
      <w:r>
        <w:rPr>
          <w:color w:val="231F20"/>
        </w:rPr>
        <w:t>Unidos,</w:t>
      </w:r>
      <w:r>
        <w:rPr>
          <w:color w:val="231F20"/>
          <w:spacing w:val="-11"/>
        </w:rPr>
        <w:t> </w:t>
      </w:r>
      <w:r>
        <w:rPr>
          <w:color w:val="231F20"/>
        </w:rPr>
        <w:t>lo</w:t>
      </w:r>
      <w:r>
        <w:rPr>
          <w:color w:val="231F20"/>
          <w:spacing w:val="-11"/>
        </w:rPr>
        <w:t> </w:t>
      </w:r>
      <w:r>
        <w:rPr>
          <w:color w:val="231F20"/>
        </w:rPr>
        <w:t>que</w:t>
      </w:r>
      <w:r>
        <w:rPr>
          <w:color w:val="231F20"/>
          <w:spacing w:val="-11"/>
        </w:rPr>
        <w:t> </w:t>
      </w:r>
      <w:r>
        <w:rPr>
          <w:color w:val="231F20"/>
        </w:rPr>
        <w:t>ha</w:t>
      </w:r>
      <w:r>
        <w:rPr>
          <w:color w:val="231F20"/>
          <w:spacing w:val="-11"/>
        </w:rPr>
        <w:t> </w:t>
      </w:r>
      <w:r>
        <w:rPr>
          <w:color w:val="231F20"/>
        </w:rPr>
        <w:t>dificultado</w:t>
      </w:r>
      <w:r>
        <w:rPr>
          <w:color w:val="231F20"/>
          <w:spacing w:val="-11"/>
        </w:rPr>
        <w:t> </w:t>
      </w:r>
      <w:r>
        <w:rPr>
          <w:color w:val="231F20"/>
        </w:rPr>
        <w:t>y encarecido sus transacciones financieras. </w:t>
      </w:r>
      <w:r>
        <w:rPr>
          <w:color w:val="231F20"/>
          <w:spacing w:val="-4"/>
        </w:rPr>
        <w:t>Las</w:t>
      </w:r>
      <w:r>
        <w:rPr>
          <w:color w:val="231F20"/>
          <w:spacing w:val="-13"/>
        </w:rPr>
        <w:t> </w:t>
      </w:r>
      <w:r>
        <w:rPr>
          <w:color w:val="231F20"/>
          <w:spacing w:val="-4"/>
        </w:rPr>
        <w:t>medidas</w:t>
      </w:r>
      <w:r>
        <w:rPr>
          <w:color w:val="231F20"/>
          <w:spacing w:val="-12"/>
        </w:rPr>
        <w:t> </w:t>
      </w:r>
      <w:r>
        <w:rPr>
          <w:color w:val="231F20"/>
          <w:spacing w:val="-4"/>
        </w:rPr>
        <w:t>coercitivas</w:t>
      </w:r>
      <w:r>
        <w:rPr>
          <w:color w:val="231F20"/>
          <w:spacing w:val="-12"/>
        </w:rPr>
        <w:t> </w:t>
      </w:r>
      <w:r>
        <w:rPr>
          <w:color w:val="231F20"/>
          <w:spacing w:val="-4"/>
        </w:rPr>
        <w:t>aplicadas</w:t>
      </w:r>
      <w:r>
        <w:rPr>
          <w:color w:val="231F20"/>
          <w:spacing w:val="-13"/>
        </w:rPr>
        <w:t> </w:t>
      </w:r>
      <w:r>
        <w:rPr>
          <w:color w:val="231F20"/>
          <w:spacing w:val="-4"/>
        </w:rPr>
        <w:t>contra</w:t>
      </w:r>
      <w:r>
        <w:rPr>
          <w:color w:val="231F20"/>
          <w:spacing w:val="-12"/>
        </w:rPr>
        <w:t> </w:t>
      </w:r>
      <w:r>
        <w:rPr>
          <w:color w:val="231F20"/>
          <w:spacing w:val="-4"/>
        </w:rPr>
        <w:t>las instituciones</w:t>
      </w:r>
      <w:r>
        <w:rPr>
          <w:color w:val="231F20"/>
          <w:spacing w:val="-12"/>
        </w:rPr>
        <w:t> </w:t>
      </w:r>
      <w:r>
        <w:rPr>
          <w:color w:val="231F20"/>
          <w:spacing w:val="-4"/>
        </w:rPr>
        <w:t>financieras</w:t>
      </w:r>
      <w:r>
        <w:rPr>
          <w:color w:val="231F20"/>
          <w:spacing w:val="-12"/>
        </w:rPr>
        <w:t> </w:t>
      </w:r>
      <w:r>
        <w:rPr>
          <w:color w:val="231F20"/>
          <w:spacing w:val="-4"/>
        </w:rPr>
        <w:t>en</w:t>
      </w:r>
      <w:r>
        <w:rPr>
          <w:color w:val="231F20"/>
          <w:spacing w:val="-11"/>
        </w:rPr>
        <w:t> </w:t>
      </w:r>
      <w:r>
        <w:rPr>
          <w:color w:val="231F20"/>
          <w:spacing w:val="-4"/>
        </w:rPr>
        <w:t>los</w:t>
      </w:r>
      <w:r>
        <w:rPr>
          <w:color w:val="231F20"/>
          <w:spacing w:val="-12"/>
        </w:rPr>
        <w:t> </w:t>
      </w:r>
      <w:r>
        <w:rPr>
          <w:color w:val="231F20"/>
          <w:spacing w:val="-4"/>
        </w:rPr>
        <w:t>últimos</w:t>
      </w:r>
      <w:r>
        <w:rPr>
          <w:color w:val="231F20"/>
          <w:spacing w:val="-12"/>
        </w:rPr>
        <w:t> </w:t>
      </w:r>
      <w:r>
        <w:rPr>
          <w:color w:val="231F20"/>
          <w:spacing w:val="-4"/>
        </w:rPr>
        <w:t>años</w:t>
      </w:r>
    </w:p>
    <w:p>
      <w:pPr>
        <w:spacing w:after="0"/>
        <w:sectPr>
          <w:pgSz w:w="11910" w:h="16840"/>
          <w:pgMar w:header="0" w:footer="695" w:top="1260" w:bottom="880" w:left="0" w:right="0"/>
          <w:cols w:num="2" w:equalWidth="0">
            <w:col w:w="5557" w:space="40"/>
            <w:col w:w="6313"/>
          </w:cols>
        </w:sectPr>
      </w:pPr>
    </w:p>
    <w:p>
      <w:pPr>
        <w:pStyle w:val="BodyText"/>
        <w:spacing w:before="77"/>
        <w:ind w:left="1474" w:right="1"/>
      </w:pPr>
      <w:r>
        <w:rPr>
          <w:color w:val="231F20"/>
        </w:rPr>
        <w:t>han</w:t>
      </w:r>
      <w:r>
        <w:rPr>
          <w:color w:val="231F20"/>
          <w:spacing w:val="-1"/>
        </w:rPr>
        <w:t> </w:t>
      </w:r>
      <w:r>
        <w:rPr>
          <w:color w:val="231F20"/>
        </w:rPr>
        <w:t>provocado</w:t>
      </w:r>
      <w:r>
        <w:rPr>
          <w:color w:val="231F20"/>
          <w:spacing w:val="-1"/>
        </w:rPr>
        <w:t> </w:t>
      </w:r>
      <w:r>
        <w:rPr>
          <w:color w:val="231F20"/>
        </w:rPr>
        <w:t>que</w:t>
      </w:r>
      <w:r>
        <w:rPr>
          <w:color w:val="231F20"/>
          <w:spacing w:val="-1"/>
        </w:rPr>
        <w:t> </w:t>
      </w:r>
      <w:r>
        <w:rPr>
          <w:color w:val="231F20"/>
        </w:rPr>
        <w:t>varias</w:t>
      </w:r>
      <w:r>
        <w:rPr>
          <w:color w:val="231F20"/>
          <w:spacing w:val="-1"/>
        </w:rPr>
        <w:t> </w:t>
      </w:r>
      <w:r>
        <w:rPr>
          <w:color w:val="231F20"/>
        </w:rPr>
        <w:t>plataformas</w:t>
      </w:r>
      <w:r>
        <w:rPr>
          <w:color w:val="231F20"/>
          <w:spacing w:val="-1"/>
        </w:rPr>
        <w:t> </w:t>
      </w:r>
      <w:r>
        <w:rPr>
          <w:color w:val="231F20"/>
        </w:rPr>
        <w:t>de pago</w:t>
      </w:r>
      <w:r>
        <w:rPr>
          <w:color w:val="231F20"/>
          <w:spacing w:val="-17"/>
        </w:rPr>
        <w:t> </w:t>
      </w:r>
      <w:r>
        <w:rPr>
          <w:color w:val="231F20"/>
        </w:rPr>
        <w:t>y</w:t>
      </w:r>
      <w:r>
        <w:rPr>
          <w:color w:val="231F20"/>
          <w:spacing w:val="-16"/>
        </w:rPr>
        <w:t> </w:t>
      </w:r>
      <w:r>
        <w:rPr>
          <w:color w:val="231F20"/>
        </w:rPr>
        <w:t>comercio</w:t>
      </w:r>
      <w:r>
        <w:rPr>
          <w:color w:val="231F20"/>
          <w:spacing w:val="-17"/>
        </w:rPr>
        <w:t> </w:t>
      </w:r>
      <w:r>
        <w:rPr>
          <w:color w:val="231F20"/>
        </w:rPr>
        <w:t>electrónico,</w:t>
      </w:r>
      <w:r>
        <w:rPr>
          <w:color w:val="231F20"/>
          <w:spacing w:val="-16"/>
        </w:rPr>
        <w:t> </w:t>
      </w:r>
      <w:r>
        <w:rPr>
          <w:color w:val="231F20"/>
        </w:rPr>
        <w:t>como</w:t>
      </w:r>
      <w:r>
        <w:rPr>
          <w:color w:val="231F20"/>
          <w:spacing w:val="-17"/>
        </w:rPr>
        <w:t> </w:t>
      </w:r>
      <w:r>
        <w:rPr>
          <w:color w:val="231F20"/>
        </w:rPr>
        <w:t>PayPal </w:t>
      </w:r>
      <w:r>
        <w:rPr>
          <w:color w:val="231F20"/>
          <w:spacing w:val="-4"/>
        </w:rPr>
        <w:t>y</w:t>
      </w:r>
      <w:r>
        <w:rPr>
          <w:color w:val="231F20"/>
          <w:spacing w:val="-13"/>
        </w:rPr>
        <w:t> </w:t>
      </w:r>
      <w:r>
        <w:rPr>
          <w:color w:val="231F20"/>
          <w:spacing w:val="-4"/>
        </w:rPr>
        <w:t>Airbnb,</w:t>
      </w:r>
      <w:r>
        <w:rPr>
          <w:color w:val="231F20"/>
          <w:spacing w:val="-12"/>
        </w:rPr>
        <w:t> </w:t>
      </w:r>
      <w:r>
        <w:rPr>
          <w:color w:val="231F20"/>
          <w:spacing w:val="-4"/>
        </w:rPr>
        <w:t>se</w:t>
      </w:r>
      <w:r>
        <w:rPr>
          <w:color w:val="231F20"/>
          <w:spacing w:val="-12"/>
        </w:rPr>
        <w:t> </w:t>
      </w:r>
      <w:r>
        <w:rPr>
          <w:color w:val="231F20"/>
          <w:spacing w:val="-4"/>
        </w:rPr>
        <w:t>nieguen</w:t>
      </w:r>
      <w:r>
        <w:rPr>
          <w:color w:val="231F20"/>
          <w:spacing w:val="-13"/>
        </w:rPr>
        <w:t> </w:t>
      </w:r>
      <w:r>
        <w:rPr>
          <w:color w:val="231F20"/>
          <w:spacing w:val="-4"/>
        </w:rPr>
        <w:t>a</w:t>
      </w:r>
      <w:r>
        <w:rPr>
          <w:color w:val="231F20"/>
          <w:spacing w:val="-12"/>
        </w:rPr>
        <w:t> </w:t>
      </w:r>
      <w:r>
        <w:rPr>
          <w:color w:val="231F20"/>
          <w:spacing w:val="-4"/>
        </w:rPr>
        <w:t>brindarles</w:t>
      </w:r>
      <w:r>
        <w:rPr>
          <w:color w:val="231F20"/>
          <w:spacing w:val="-12"/>
        </w:rPr>
        <w:t> </w:t>
      </w:r>
      <w:r>
        <w:rPr>
          <w:color w:val="231F20"/>
          <w:spacing w:val="-4"/>
        </w:rPr>
        <w:t>servicios</w:t>
      </w:r>
      <w:r>
        <w:rPr>
          <w:color w:val="231F20"/>
          <w:spacing w:val="-13"/>
        </w:rPr>
        <w:t> </w:t>
      </w:r>
      <w:r>
        <w:rPr>
          <w:color w:val="231F20"/>
          <w:spacing w:val="-4"/>
        </w:rPr>
        <w:t>a </w:t>
      </w:r>
      <w:r>
        <w:rPr>
          <w:color w:val="231F20"/>
        </w:rPr>
        <w:t>estas personas.</w:t>
      </w:r>
    </w:p>
    <w:p>
      <w:pPr>
        <w:pStyle w:val="Heading2"/>
        <w:spacing w:before="316"/>
        <w:ind w:left="1474" w:right="2065"/>
      </w:pPr>
      <w:r>
        <w:rPr>
          <w:color w:val="1F4282"/>
          <w:w w:val="115"/>
        </w:rPr>
        <w:t>Daño humano no</w:t>
      </w:r>
      <w:r>
        <w:rPr>
          <w:color w:val="1F4282"/>
          <w:spacing w:val="-22"/>
          <w:w w:val="115"/>
        </w:rPr>
        <w:t> </w:t>
      </w:r>
      <w:r>
        <w:rPr>
          <w:color w:val="1F4282"/>
          <w:w w:val="115"/>
        </w:rPr>
        <w:t>cuantificable</w:t>
      </w:r>
    </w:p>
    <w:p>
      <w:pPr>
        <w:pStyle w:val="BodyText"/>
        <w:spacing w:before="173"/>
        <w:ind w:left="1474"/>
      </w:pPr>
      <w:r>
        <w:rPr>
          <w:color w:val="231F20"/>
        </w:rPr>
        <w:t>Los graves daños y perjuicios derivados del bloqueo tienen un </w:t>
      </w:r>
      <w:r>
        <w:rPr>
          <w:color w:val="231F20"/>
        </w:rPr>
        <w:t>componente humano, que no es cuantificable, pero es real y significativo.</w:t>
      </w:r>
    </w:p>
    <w:p>
      <w:pPr>
        <w:pStyle w:val="BodyText"/>
        <w:spacing w:before="163"/>
        <w:ind w:left="1474" w:right="1"/>
      </w:pPr>
      <w:r>
        <w:rPr>
          <w:color w:val="231F20"/>
        </w:rPr>
        <w:t>Desde sus inicios, esta política persiguió atacar ese componente que, por </w:t>
      </w:r>
      <w:r>
        <w:rPr>
          <w:color w:val="231F20"/>
        </w:rPr>
        <w:t>su </w:t>
      </w:r>
      <w:r>
        <w:rPr>
          <w:color w:val="231F20"/>
          <w:spacing w:val="-4"/>
        </w:rPr>
        <w:t>sensibilidad</w:t>
      </w:r>
      <w:r>
        <w:rPr>
          <w:color w:val="231F20"/>
          <w:spacing w:val="-10"/>
        </w:rPr>
        <w:t> </w:t>
      </w:r>
      <w:r>
        <w:rPr>
          <w:color w:val="231F20"/>
          <w:spacing w:val="-4"/>
        </w:rPr>
        <w:t>y</w:t>
      </w:r>
      <w:r>
        <w:rPr>
          <w:color w:val="231F20"/>
          <w:spacing w:val="-10"/>
        </w:rPr>
        <w:t> </w:t>
      </w:r>
      <w:r>
        <w:rPr>
          <w:color w:val="231F20"/>
          <w:spacing w:val="-4"/>
        </w:rPr>
        <w:t>transversalidad,</w:t>
      </w:r>
      <w:r>
        <w:rPr>
          <w:color w:val="231F20"/>
          <w:spacing w:val="-10"/>
        </w:rPr>
        <w:t> </w:t>
      </w:r>
      <w:r>
        <w:rPr>
          <w:color w:val="231F20"/>
          <w:spacing w:val="-4"/>
        </w:rPr>
        <w:t>gravita</w:t>
      </w:r>
      <w:r>
        <w:rPr>
          <w:color w:val="231F20"/>
          <w:spacing w:val="-10"/>
        </w:rPr>
        <w:t> </w:t>
      </w:r>
      <w:r>
        <w:rPr>
          <w:color w:val="231F20"/>
          <w:spacing w:val="-4"/>
        </w:rPr>
        <w:t>sobre todas</w:t>
      </w:r>
      <w:r>
        <w:rPr>
          <w:color w:val="231F20"/>
          <w:spacing w:val="-10"/>
        </w:rPr>
        <w:t> </w:t>
      </w:r>
      <w:r>
        <w:rPr>
          <w:color w:val="231F20"/>
          <w:spacing w:val="-4"/>
        </w:rPr>
        <w:t>las</w:t>
      </w:r>
      <w:r>
        <w:rPr>
          <w:color w:val="231F20"/>
          <w:spacing w:val="-10"/>
        </w:rPr>
        <w:t> </w:t>
      </w:r>
      <w:r>
        <w:rPr>
          <w:color w:val="231F20"/>
          <w:spacing w:val="-4"/>
        </w:rPr>
        <w:t>esferas</w:t>
      </w:r>
      <w:r>
        <w:rPr>
          <w:color w:val="231F20"/>
          <w:spacing w:val="-10"/>
        </w:rPr>
        <w:t> </w:t>
      </w:r>
      <w:r>
        <w:rPr>
          <w:color w:val="231F20"/>
          <w:spacing w:val="-4"/>
        </w:rPr>
        <w:t>de</w:t>
      </w:r>
      <w:r>
        <w:rPr>
          <w:color w:val="231F20"/>
          <w:spacing w:val="-10"/>
        </w:rPr>
        <w:t> </w:t>
      </w:r>
      <w:r>
        <w:rPr>
          <w:color w:val="231F20"/>
          <w:spacing w:val="-4"/>
        </w:rPr>
        <w:t>la</w:t>
      </w:r>
      <w:r>
        <w:rPr>
          <w:color w:val="231F20"/>
          <w:spacing w:val="-10"/>
        </w:rPr>
        <w:t> </w:t>
      </w:r>
      <w:r>
        <w:rPr>
          <w:color w:val="231F20"/>
          <w:spacing w:val="-4"/>
        </w:rPr>
        <w:t>vida</w:t>
      </w:r>
      <w:r>
        <w:rPr>
          <w:color w:val="231F20"/>
          <w:spacing w:val="-10"/>
        </w:rPr>
        <w:t> </w:t>
      </w:r>
      <w:r>
        <w:rPr>
          <w:color w:val="231F20"/>
          <w:spacing w:val="-4"/>
        </w:rPr>
        <w:t>socioeconómica </w:t>
      </w:r>
      <w:r>
        <w:rPr>
          <w:color w:val="231F20"/>
        </w:rPr>
        <w:t>y política del país.</w:t>
      </w:r>
    </w:p>
    <w:p>
      <w:pPr>
        <w:pStyle w:val="BodyText"/>
        <w:spacing w:before="164"/>
        <w:ind w:left="1474" w:right="1"/>
      </w:pPr>
      <w:r>
        <w:rPr/>
        <mc:AlternateContent>
          <mc:Choice Requires="wps">
            <w:drawing>
              <wp:anchor distT="0" distB="0" distL="0" distR="0" allowOverlap="1" layoutInCell="1" locked="0" behindDoc="0" simplePos="0" relativeHeight="15752192">
                <wp:simplePos x="0" y="0"/>
                <wp:positionH relativeFrom="page">
                  <wp:posOffset>936002</wp:posOffset>
                </wp:positionH>
                <wp:positionV relativeFrom="paragraph">
                  <wp:posOffset>1691251</wp:posOffset>
                </wp:positionV>
                <wp:extent cx="2808605" cy="3860800"/>
                <wp:effectExtent l="0" t="0" r="0" b="0"/>
                <wp:wrapNone/>
                <wp:docPr id="69" name="Textbox 69"/>
                <wp:cNvGraphicFramePr>
                  <a:graphicFrameLocks/>
                </wp:cNvGraphicFramePr>
                <a:graphic>
                  <a:graphicData uri="http://schemas.microsoft.com/office/word/2010/wordprocessingShape">
                    <wps:wsp>
                      <wps:cNvPr id="69" name="Textbox 69"/>
                      <wps:cNvSpPr txBox="1"/>
                      <wps:spPr>
                        <a:xfrm>
                          <a:off x="0" y="0"/>
                          <a:ext cx="2808605" cy="3860800"/>
                        </a:xfrm>
                        <a:prstGeom prst="rect">
                          <a:avLst/>
                        </a:prstGeom>
                        <a:solidFill>
                          <a:srgbClr val="1A4796"/>
                        </a:solidFill>
                      </wps:spPr>
                      <wps:txbx>
                        <w:txbxContent>
                          <w:p>
                            <w:pPr>
                              <w:pStyle w:val="BodyText"/>
                              <w:spacing w:before="60"/>
                              <w:jc w:val="left"/>
                              <w:rPr>
                                <w:color w:val="000000"/>
                              </w:rPr>
                            </w:pPr>
                          </w:p>
                          <w:p>
                            <w:pPr>
                              <w:spacing w:before="0"/>
                              <w:ind w:left="283" w:right="259" w:firstLine="0"/>
                              <w:jc w:val="both"/>
                              <w:rPr>
                                <w:rFonts w:ascii="Segoe UI Semibold" w:hAnsi="Segoe UI Semibold"/>
                                <w:b/>
                                <w:i/>
                                <w:color w:val="000000"/>
                                <w:sz w:val="24"/>
                              </w:rPr>
                            </w:pPr>
                            <w:r>
                              <w:rPr>
                                <w:rFonts w:ascii="Segoe UI Semibold" w:hAnsi="Segoe UI Semibold"/>
                                <w:b/>
                                <w:i/>
                                <w:color w:val="FFFFFF"/>
                                <w:sz w:val="24"/>
                              </w:rPr>
                              <w:t>“La</w:t>
                            </w:r>
                            <w:r>
                              <w:rPr>
                                <w:rFonts w:ascii="Segoe UI Semibold" w:hAnsi="Segoe UI Semibold"/>
                                <w:b/>
                                <w:i/>
                                <w:color w:val="FFFFFF"/>
                                <w:spacing w:val="-1"/>
                                <w:sz w:val="24"/>
                              </w:rPr>
                              <w:t> </w:t>
                            </w:r>
                            <w:r>
                              <w:rPr>
                                <w:rFonts w:ascii="Segoe UI Semibold" w:hAnsi="Segoe UI Semibold"/>
                                <w:b/>
                                <w:i/>
                                <w:color w:val="FFFFFF"/>
                                <w:sz w:val="24"/>
                              </w:rPr>
                              <w:t>mayoría</w:t>
                            </w:r>
                            <w:r>
                              <w:rPr>
                                <w:rFonts w:ascii="Segoe UI Semibold" w:hAnsi="Segoe UI Semibold"/>
                                <w:b/>
                                <w:i/>
                                <w:color w:val="FFFFFF"/>
                                <w:spacing w:val="-1"/>
                                <w:sz w:val="24"/>
                              </w:rPr>
                              <w:t> </w:t>
                            </w:r>
                            <w:r>
                              <w:rPr>
                                <w:rFonts w:ascii="Segoe UI Semibold" w:hAnsi="Segoe UI Semibold"/>
                                <w:b/>
                                <w:i/>
                                <w:color w:val="FFFFFF"/>
                                <w:sz w:val="24"/>
                              </w:rPr>
                              <w:t>de</w:t>
                            </w:r>
                            <w:r>
                              <w:rPr>
                                <w:rFonts w:ascii="Segoe UI Semibold" w:hAnsi="Segoe UI Semibold"/>
                                <w:b/>
                                <w:i/>
                                <w:color w:val="FFFFFF"/>
                                <w:spacing w:val="-1"/>
                                <w:sz w:val="24"/>
                              </w:rPr>
                              <w:t> </w:t>
                            </w:r>
                            <w:r>
                              <w:rPr>
                                <w:rFonts w:ascii="Segoe UI Semibold" w:hAnsi="Segoe UI Semibold"/>
                                <w:b/>
                                <w:i/>
                                <w:color w:val="FFFFFF"/>
                                <w:sz w:val="24"/>
                              </w:rPr>
                              <w:t>los</w:t>
                            </w:r>
                            <w:r>
                              <w:rPr>
                                <w:rFonts w:ascii="Segoe UI Semibold" w:hAnsi="Segoe UI Semibold"/>
                                <w:b/>
                                <w:i/>
                                <w:color w:val="FFFFFF"/>
                                <w:spacing w:val="-1"/>
                                <w:sz w:val="24"/>
                              </w:rPr>
                              <w:t> </w:t>
                            </w:r>
                            <w:r>
                              <w:rPr>
                                <w:rFonts w:ascii="Segoe UI Semibold" w:hAnsi="Segoe UI Semibold"/>
                                <w:b/>
                                <w:i/>
                                <w:color w:val="FFFFFF"/>
                                <w:sz w:val="24"/>
                              </w:rPr>
                              <w:t>cubanos</w:t>
                            </w:r>
                            <w:r>
                              <w:rPr>
                                <w:rFonts w:ascii="Segoe UI Semibold" w:hAnsi="Segoe UI Semibold"/>
                                <w:b/>
                                <w:i/>
                                <w:color w:val="FFFFFF"/>
                                <w:spacing w:val="-1"/>
                                <w:sz w:val="24"/>
                              </w:rPr>
                              <w:t> </w:t>
                            </w:r>
                            <w:r>
                              <w:rPr>
                                <w:rFonts w:ascii="Segoe UI Semibold" w:hAnsi="Segoe UI Semibold"/>
                                <w:b/>
                                <w:i/>
                                <w:color w:val="FFFFFF"/>
                                <w:sz w:val="24"/>
                              </w:rPr>
                              <w:t>apoyan</w:t>
                            </w:r>
                            <w:r>
                              <w:rPr>
                                <w:rFonts w:ascii="Segoe UI Semibold" w:hAnsi="Segoe UI Semibold"/>
                                <w:b/>
                                <w:i/>
                                <w:color w:val="FFFFFF"/>
                                <w:sz w:val="24"/>
                              </w:rPr>
                              <w:t> </w:t>
                            </w:r>
                            <w:r>
                              <w:rPr>
                                <w:rFonts w:ascii="Segoe UI Semibold" w:hAnsi="Segoe UI Semibold"/>
                                <w:b/>
                                <w:i/>
                                <w:color w:val="FFFFFF"/>
                                <w:spacing w:val="-2"/>
                                <w:sz w:val="24"/>
                              </w:rPr>
                              <w:t>a</w:t>
                            </w:r>
                            <w:r>
                              <w:rPr>
                                <w:rFonts w:ascii="Segoe UI Semibold" w:hAnsi="Segoe UI Semibold"/>
                                <w:b/>
                                <w:i/>
                                <w:color w:val="FFFFFF"/>
                                <w:spacing w:val="-15"/>
                                <w:sz w:val="24"/>
                              </w:rPr>
                              <w:t> </w:t>
                            </w:r>
                            <w:r>
                              <w:rPr>
                                <w:rFonts w:ascii="Segoe UI Semibold" w:hAnsi="Segoe UI Semibold"/>
                                <w:b/>
                                <w:i/>
                                <w:color w:val="FFFFFF"/>
                                <w:spacing w:val="-2"/>
                                <w:sz w:val="24"/>
                              </w:rPr>
                              <w:t>Castro</w:t>
                            </w:r>
                            <w:r>
                              <w:rPr>
                                <w:rFonts w:ascii="Segoe UI Semibold" w:hAnsi="Segoe UI Semibold"/>
                                <w:b/>
                                <w:i/>
                                <w:color w:val="FFFFFF"/>
                                <w:spacing w:val="-14"/>
                                <w:sz w:val="24"/>
                              </w:rPr>
                              <w:t> </w:t>
                            </w:r>
                            <w:r>
                              <w:rPr>
                                <w:rFonts w:ascii="Segoe UI Semibold" w:hAnsi="Segoe UI Semibold"/>
                                <w:b/>
                                <w:i/>
                                <w:color w:val="FFFFFF"/>
                                <w:spacing w:val="-2"/>
                                <w:sz w:val="24"/>
                              </w:rPr>
                              <w:t>(…)</w:t>
                            </w:r>
                            <w:r>
                              <w:rPr>
                                <w:rFonts w:ascii="Segoe UI Semibold" w:hAnsi="Segoe UI Semibold"/>
                                <w:b/>
                                <w:i/>
                                <w:color w:val="FFFFFF"/>
                                <w:spacing w:val="-15"/>
                                <w:sz w:val="24"/>
                              </w:rPr>
                              <w:t> </w:t>
                            </w:r>
                            <w:r>
                              <w:rPr>
                                <w:rFonts w:ascii="Segoe UI Semibold" w:hAnsi="Segoe UI Semibold"/>
                                <w:b/>
                                <w:i/>
                                <w:color w:val="FFFFFF"/>
                                <w:spacing w:val="-2"/>
                                <w:sz w:val="24"/>
                              </w:rPr>
                              <w:t>el</w:t>
                            </w:r>
                            <w:r>
                              <w:rPr>
                                <w:rFonts w:ascii="Segoe UI Semibold" w:hAnsi="Segoe UI Semibold"/>
                                <w:b/>
                                <w:i/>
                                <w:color w:val="FFFFFF"/>
                                <w:spacing w:val="-14"/>
                                <w:sz w:val="24"/>
                              </w:rPr>
                              <w:t> </w:t>
                            </w:r>
                            <w:r>
                              <w:rPr>
                                <w:rFonts w:ascii="Segoe UI Semibold" w:hAnsi="Segoe UI Semibold"/>
                                <w:b/>
                                <w:i/>
                                <w:color w:val="FFFFFF"/>
                                <w:spacing w:val="-2"/>
                                <w:sz w:val="24"/>
                              </w:rPr>
                              <w:t>único</w:t>
                            </w:r>
                            <w:r>
                              <w:rPr>
                                <w:rFonts w:ascii="Segoe UI Semibold" w:hAnsi="Segoe UI Semibold"/>
                                <w:b/>
                                <w:i/>
                                <w:color w:val="FFFFFF"/>
                                <w:spacing w:val="-15"/>
                                <w:sz w:val="24"/>
                              </w:rPr>
                              <w:t> </w:t>
                            </w:r>
                            <w:r>
                              <w:rPr>
                                <w:rFonts w:ascii="Segoe UI Semibold" w:hAnsi="Segoe UI Semibold"/>
                                <w:b/>
                                <w:i/>
                                <w:color w:val="FFFFFF"/>
                                <w:spacing w:val="-2"/>
                                <w:sz w:val="24"/>
                              </w:rPr>
                              <w:t>modo</w:t>
                            </w:r>
                            <w:r>
                              <w:rPr>
                                <w:rFonts w:ascii="Segoe UI Semibold" w:hAnsi="Segoe UI Semibold"/>
                                <w:b/>
                                <w:i/>
                                <w:color w:val="FFFFFF"/>
                                <w:spacing w:val="-14"/>
                                <w:sz w:val="24"/>
                              </w:rPr>
                              <w:t> </w:t>
                            </w:r>
                            <w:r>
                              <w:rPr>
                                <w:rFonts w:ascii="Segoe UI Semibold" w:hAnsi="Segoe UI Semibold"/>
                                <w:b/>
                                <w:i/>
                                <w:color w:val="FFFFFF"/>
                                <w:spacing w:val="-2"/>
                                <w:sz w:val="24"/>
                              </w:rPr>
                              <w:t>previsible </w:t>
                            </w:r>
                            <w:r>
                              <w:rPr>
                                <w:rFonts w:ascii="Segoe UI Semibold" w:hAnsi="Segoe UI Semibold"/>
                                <w:b/>
                                <w:i/>
                                <w:color w:val="FFFFFF"/>
                                <w:spacing w:val="-6"/>
                                <w:sz w:val="24"/>
                              </w:rPr>
                              <w:t>de</w:t>
                            </w:r>
                            <w:r>
                              <w:rPr>
                                <w:rFonts w:ascii="Segoe UI Semibold" w:hAnsi="Segoe UI Semibold"/>
                                <w:b/>
                                <w:i/>
                                <w:color w:val="FFFFFF"/>
                                <w:spacing w:val="-9"/>
                                <w:sz w:val="24"/>
                              </w:rPr>
                              <w:t> </w:t>
                            </w:r>
                            <w:r>
                              <w:rPr>
                                <w:rFonts w:ascii="Segoe UI Semibold" w:hAnsi="Segoe UI Semibold"/>
                                <w:b/>
                                <w:i/>
                                <w:color w:val="FFFFFF"/>
                                <w:spacing w:val="-6"/>
                                <w:sz w:val="24"/>
                              </w:rPr>
                              <w:t>restarle</w:t>
                            </w:r>
                            <w:r>
                              <w:rPr>
                                <w:rFonts w:ascii="Segoe UI Semibold" w:hAnsi="Segoe UI Semibold"/>
                                <w:b/>
                                <w:i/>
                                <w:color w:val="FFFFFF"/>
                                <w:spacing w:val="-9"/>
                                <w:sz w:val="24"/>
                              </w:rPr>
                              <w:t> </w:t>
                            </w:r>
                            <w:r>
                              <w:rPr>
                                <w:rFonts w:ascii="Segoe UI Semibold" w:hAnsi="Segoe UI Semibold"/>
                                <w:b/>
                                <w:i/>
                                <w:color w:val="FFFFFF"/>
                                <w:spacing w:val="-6"/>
                                <w:sz w:val="24"/>
                              </w:rPr>
                              <w:t>apoyo</w:t>
                            </w:r>
                            <w:r>
                              <w:rPr>
                                <w:rFonts w:ascii="Segoe UI Semibold" w:hAnsi="Segoe UI Semibold"/>
                                <w:b/>
                                <w:i/>
                                <w:color w:val="FFFFFF"/>
                                <w:spacing w:val="-9"/>
                                <w:sz w:val="24"/>
                              </w:rPr>
                              <w:t> </w:t>
                            </w:r>
                            <w:r>
                              <w:rPr>
                                <w:rFonts w:ascii="Segoe UI Semibold" w:hAnsi="Segoe UI Semibold"/>
                                <w:b/>
                                <w:i/>
                                <w:color w:val="FFFFFF"/>
                                <w:spacing w:val="-6"/>
                                <w:sz w:val="24"/>
                              </w:rPr>
                              <w:t>interno</w:t>
                            </w:r>
                            <w:r>
                              <w:rPr>
                                <w:rFonts w:ascii="Segoe UI Semibold" w:hAnsi="Segoe UI Semibold"/>
                                <w:b/>
                                <w:i/>
                                <w:color w:val="FFFFFF"/>
                                <w:spacing w:val="-9"/>
                                <w:sz w:val="24"/>
                              </w:rPr>
                              <w:t> </w:t>
                            </w:r>
                            <w:r>
                              <w:rPr>
                                <w:rFonts w:ascii="Segoe UI Semibold" w:hAnsi="Segoe UI Semibold"/>
                                <w:b/>
                                <w:i/>
                                <w:color w:val="FFFFFF"/>
                                <w:spacing w:val="-6"/>
                                <w:sz w:val="24"/>
                              </w:rPr>
                              <w:t>es</w:t>
                            </w:r>
                            <w:r>
                              <w:rPr>
                                <w:rFonts w:ascii="Segoe UI Semibold" w:hAnsi="Segoe UI Semibold"/>
                                <w:b/>
                                <w:i/>
                                <w:color w:val="FFFFFF"/>
                                <w:spacing w:val="-9"/>
                                <w:sz w:val="24"/>
                              </w:rPr>
                              <w:t> </w:t>
                            </w:r>
                            <w:r>
                              <w:rPr>
                                <w:rFonts w:ascii="Segoe UI Semibold" w:hAnsi="Segoe UI Semibold"/>
                                <w:b/>
                                <w:i/>
                                <w:color w:val="FFFFFF"/>
                                <w:spacing w:val="-6"/>
                                <w:sz w:val="24"/>
                              </w:rPr>
                              <w:t>mediante </w:t>
                            </w:r>
                            <w:r>
                              <w:rPr>
                                <w:rFonts w:ascii="Segoe UI Semibold" w:hAnsi="Segoe UI Semibold"/>
                                <w:b/>
                                <w:i/>
                                <w:color w:val="FFFFFF"/>
                                <w:sz w:val="24"/>
                              </w:rPr>
                              <w:t>el</w:t>
                            </w:r>
                            <w:r>
                              <w:rPr>
                                <w:rFonts w:ascii="Segoe UI Semibold" w:hAnsi="Segoe UI Semibold"/>
                                <w:b/>
                                <w:i/>
                                <w:color w:val="FFFFFF"/>
                                <w:spacing w:val="-17"/>
                                <w:sz w:val="24"/>
                              </w:rPr>
                              <w:t> </w:t>
                            </w:r>
                            <w:r>
                              <w:rPr>
                                <w:rFonts w:ascii="Segoe UI Semibold" w:hAnsi="Segoe UI Semibold"/>
                                <w:b/>
                                <w:i/>
                                <w:color w:val="FFFFFF"/>
                                <w:sz w:val="24"/>
                              </w:rPr>
                              <w:t>desencanto</w:t>
                            </w:r>
                            <w:r>
                              <w:rPr>
                                <w:rFonts w:ascii="Segoe UI Semibold" w:hAnsi="Segoe UI Semibold"/>
                                <w:b/>
                                <w:i/>
                                <w:color w:val="FFFFFF"/>
                                <w:spacing w:val="-16"/>
                                <w:sz w:val="24"/>
                              </w:rPr>
                              <w:t> </w:t>
                            </w:r>
                            <w:r>
                              <w:rPr>
                                <w:rFonts w:ascii="Segoe UI Semibold" w:hAnsi="Segoe UI Semibold"/>
                                <w:b/>
                                <w:i/>
                                <w:color w:val="FFFFFF"/>
                                <w:sz w:val="24"/>
                              </w:rPr>
                              <w:t>y</w:t>
                            </w:r>
                            <w:r>
                              <w:rPr>
                                <w:rFonts w:ascii="Segoe UI Semibold" w:hAnsi="Segoe UI Semibold"/>
                                <w:b/>
                                <w:i/>
                                <w:color w:val="FFFFFF"/>
                                <w:spacing w:val="-17"/>
                                <w:sz w:val="24"/>
                              </w:rPr>
                              <w:t> </w:t>
                            </w:r>
                            <w:r>
                              <w:rPr>
                                <w:rFonts w:ascii="Segoe UI Semibold" w:hAnsi="Segoe UI Semibold"/>
                                <w:b/>
                                <w:i/>
                                <w:color w:val="FFFFFF"/>
                                <w:sz w:val="24"/>
                              </w:rPr>
                              <w:t>la</w:t>
                            </w:r>
                            <w:r>
                              <w:rPr>
                                <w:rFonts w:ascii="Segoe UI Semibold" w:hAnsi="Segoe UI Semibold"/>
                                <w:b/>
                                <w:i/>
                                <w:color w:val="FFFFFF"/>
                                <w:spacing w:val="-16"/>
                                <w:sz w:val="24"/>
                              </w:rPr>
                              <w:t> </w:t>
                            </w:r>
                            <w:r>
                              <w:rPr>
                                <w:rFonts w:ascii="Segoe UI Semibold" w:hAnsi="Segoe UI Semibold"/>
                                <w:b/>
                                <w:i/>
                                <w:color w:val="FFFFFF"/>
                                <w:sz w:val="24"/>
                              </w:rPr>
                              <w:t>insatisfacción</w:t>
                            </w:r>
                            <w:r>
                              <w:rPr>
                                <w:rFonts w:ascii="Segoe UI Semibold" w:hAnsi="Segoe UI Semibold"/>
                                <w:b/>
                                <w:i/>
                                <w:color w:val="FFFFFF"/>
                                <w:spacing w:val="-17"/>
                                <w:sz w:val="24"/>
                              </w:rPr>
                              <w:t> </w:t>
                            </w:r>
                            <w:r>
                              <w:rPr>
                                <w:rFonts w:ascii="Segoe UI Semibold" w:hAnsi="Segoe UI Semibold"/>
                                <w:b/>
                                <w:i/>
                                <w:color w:val="FFFFFF"/>
                                <w:sz w:val="24"/>
                              </w:rPr>
                              <w:t>que surjan del malestar económico y</w:t>
                            </w:r>
                            <w:r>
                              <w:rPr>
                                <w:rFonts w:ascii="Segoe UI Semibold" w:hAnsi="Segoe UI Semibold"/>
                                <w:b/>
                                <w:i/>
                                <w:color w:val="FFFFFF"/>
                                <w:spacing w:val="80"/>
                                <w:sz w:val="24"/>
                              </w:rPr>
                              <w:t> </w:t>
                            </w:r>
                            <w:r>
                              <w:rPr>
                                <w:rFonts w:ascii="Segoe UI Semibold" w:hAnsi="Segoe UI Semibold"/>
                                <w:b/>
                                <w:i/>
                                <w:color w:val="FFFFFF"/>
                                <w:sz w:val="24"/>
                              </w:rPr>
                              <w:t>las dificultades materiales (…) hay que emplear rápidamente todos los </w:t>
                            </w:r>
                            <w:r>
                              <w:rPr>
                                <w:rFonts w:ascii="Segoe UI Semibold" w:hAnsi="Segoe UI Semibold"/>
                                <w:b/>
                                <w:i/>
                                <w:color w:val="FFFFFF"/>
                                <w:spacing w:val="-4"/>
                                <w:sz w:val="24"/>
                              </w:rPr>
                              <w:t>medios</w:t>
                            </w:r>
                            <w:r>
                              <w:rPr>
                                <w:rFonts w:ascii="Segoe UI Semibold" w:hAnsi="Segoe UI Semibold"/>
                                <w:b/>
                                <w:i/>
                                <w:color w:val="FFFFFF"/>
                                <w:spacing w:val="-13"/>
                                <w:sz w:val="24"/>
                              </w:rPr>
                              <w:t> </w:t>
                            </w:r>
                            <w:r>
                              <w:rPr>
                                <w:rFonts w:ascii="Segoe UI Semibold" w:hAnsi="Segoe UI Semibold"/>
                                <w:b/>
                                <w:i/>
                                <w:color w:val="FFFFFF"/>
                                <w:spacing w:val="-4"/>
                                <w:sz w:val="24"/>
                              </w:rPr>
                              <w:t>posibles</w:t>
                            </w:r>
                            <w:r>
                              <w:rPr>
                                <w:rFonts w:ascii="Segoe UI Semibold" w:hAnsi="Segoe UI Semibold"/>
                                <w:b/>
                                <w:i/>
                                <w:color w:val="FFFFFF"/>
                                <w:spacing w:val="-12"/>
                                <w:sz w:val="24"/>
                              </w:rPr>
                              <w:t> </w:t>
                            </w:r>
                            <w:r>
                              <w:rPr>
                                <w:rFonts w:ascii="Segoe UI Semibold" w:hAnsi="Segoe UI Semibold"/>
                                <w:b/>
                                <w:i/>
                                <w:color w:val="FFFFFF"/>
                                <w:spacing w:val="-4"/>
                                <w:sz w:val="24"/>
                              </w:rPr>
                              <w:t>para</w:t>
                            </w:r>
                            <w:r>
                              <w:rPr>
                                <w:rFonts w:ascii="Segoe UI Semibold" w:hAnsi="Segoe UI Semibold"/>
                                <w:b/>
                                <w:i/>
                                <w:color w:val="FFFFFF"/>
                                <w:spacing w:val="-13"/>
                                <w:sz w:val="24"/>
                              </w:rPr>
                              <w:t> </w:t>
                            </w:r>
                            <w:r>
                              <w:rPr>
                                <w:rFonts w:ascii="Segoe UI Semibold" w:hAnsi="Segoe UI Semibold"/>
                                <w:b/>
                                <w:i/>
                                <w:color w:val="FFFFFF"/>
                                <w:spacing w:val="-4"/>
                                <w:sz w:val="24"/>
                              </w:rPr>
                              <w:t>debilitar</w:t>
                            </w:r>
                            <w:r>
                              <w:rPr>
                                <w:rFonts w:ascii="Segoe UI Semibold" w:hAnsi="Segoe UI Semibold"/>
                                <w:b/>
                                <w:i/>
                                <w:color w:val="FFFFFF"/>
                                <w:spacing w:val="-12"/>
                                <w:sz w:val="24"/>
                              </w:rPr>
                              <w:t> </w:t>
                            </w:r>
                            <w:r>
                              <w:rPr>
                                <w:rFonts w:ascii="Segoe UI Semibold" w:hAnsi="Segoe UI Semibold"/>
                                <w:b/>
                                <w:i/>
                                <w:color w:val="FFFFFF"/>
                                <w:spacing w:val="-4"/>
                                <w:sz w:val="24"/>
                              </w:rPr>
                              <w:t>la</w:t>
                            </w:r>
                            <w:r>
                              <w:rPr>
                                <w:rFonts w:ascii="Segoe UI Semibold" w:hAnsi="Segoe UI Semibold"/>
                                <w:b/>
                                <w:i/>
                                <w:color w:val="FFFFFF"/>
                                <w:spacing w:val="-13"/>
                                <w:sz w:val="24"/>
                              </w:rPr>
                              <w:t> </w:t>
                            </w:r>
                            <w:r>
                              <w:rPr>
                                <w:rFonts w:ascii="Segoe UI Semibold" w:hAnsi="Segoe UI Semibold"/>
                                <w:b/>
                                <w:i/>
                                <w:color w:val="FFFFFF"/>
                                <w:spacing w:val="-4"/>
                                <w:sz w:val="24"/>
                              </w:rPr>
                              <w:t>vida </w:t>
                            </w:r>
                            <w:r>
                              <w:rPr>
                                <w:rFonts w:ascii="Segoe UI Semibold" w:hAnsi="Segoe UI Semibold"/>
                                <w:b/>
                                <w:i/>
                                <w:color w:val="FFFFFF"/>
                                <w:sz w:val="24"/>
                              </w:rPr>
                              <w:t>económica</w:t>
                            </w:r>
                            <w:r>
                              <w:rPr>
                                <w:rFonts w:ascii="Segoe UI Semibold" w:hAnsi="Segoe UI Semibold"/>
                                <w:b/>
                                <w:i/>
                                <w:color w:val="FFFFFF"/>
                                <w:spacing w:val="-17"/>
                                <w:sz w:val="24"/>
                              </w:rPr>
                              <w:t> </w:t>
                            </w:r>
                            <w:r>
                              <w:rPr>
                                <w:rFonts w:ascii="Segoe UI Semibold" w:hAnsi="Segoe UI Semibold"/>
                                <w:b/>
                                <w:i/>
                                <w:color w:val="FFFFFF"/>
                                <w:sz w:val="24"/>
                              </w:rPr>
                              <w:t>de</w:t>
                            </w:r>
                            <w:r>
                              <w:rPr>
                                <w:rFonts w:ascii="Segoe UI Semibold" w:hAnsi="Segoe UI Semibold"/>
                                <w:b/>
                                <w:i/>
                                <w:color w:val="FFFFFF"/>
                                <w:spacing w:val="-16"/>
                                <w:sz w:val="24"/>
                              </w:rPr>
                              <w:t> </w:t>
                            </w:r>
                            <w:r>
                              <w:rPr>
                                <w:rFonts w:ascii="Segoe UI Semibold" w:hAnsi="Segoe UI Semibold"/>
                                <w:b/>
                                <w:i/>
                                <w:color w:val="FFFFFF"/>
                                <w:sz w:val="24"/>
                              </w:rPr>
                              <w:t>Cuba</w:t>
                            </w:r>
                            <w:r>
                              <w:rPr>
                                <w:rFonts w:ascii="Segoe UI Semibold" w:hAnsi="Segoe UI Semibold"/>
                                <w:b/>
                                <w:i/>
                                <w:color w:val="FFFFFF"/>
                                <w:spacing w:val="-17"/>
                                <w:sz w:val="24"/>
                              </w:rPr>
                              <w:t> </w:t>
                            </w:r>
                            <w:r>
                              <w:rPr>
                                <w:rFonts w:ascii="Segoe UI Semibold" w:hAnsi="Segoe UI Semibold"/>
                                <w:b/>
                                <w:i/>
                                <w:color w:val="FFFFFF"/>
                                <w:sz w:val="24"/>
                              </w:rPr>
                              <w:t>(…)</w:t>
                            </w:r>
                            <w:r>
                              <w:rPr>
                                <w:rFonts w:ascii="Segoe UI Semibold" w:hAnsi="Segoe UI Semibold"/>
                                <w:b/>
                                <w:i/>
                                <w:color w:val="FFFFFF"/>
                                <w:spacing w:val="-16"/>
                                <w:sz w:val="24"/>
                              </w:rPr>
                              <w:t> </w:t>
                            </w:r>
                            <w:r>
                              <w:rPr>
                                <w:rFonts w:ascii="Segoe UI Semibold" w:hAnsi="Segoe UI Semibold"/>
                                <w:b/>
                                <w:i/>
                                <w:color w:val="FFFFFF"/>
                                <w:sz w:val="24"/>
                              </w:rPr>
                              <w:t>una</w:t>
                            </w:r>
                            <w:r>
                              <w:rPr>
                                <w:rFonts w:ascii="Segoe UI Semibold" w:hAnsi="Segoe UI Semibold"/>
                                <w:b/>
                                <w:i/>
                                <w:color w:val="FFFFFF"/>
                                <w:spacing w:val="-17"/>
                                <w:sz w:val="24"/>
                              </w:rPr>
                              <w:t> </w:t>
                            </w:r>
                            <w:r>
                              <w:rPr>
                                <w:rFonts w:ascii="Segoe UI Semibold" w:hAnsi="Segoe UI Semibold"/>
                                <w:b/>
                                <w:i/>
                                <w:color w:val="FFFFFF"/>
                                <w:sz w:val="24"/>
                              </w:rPr>
                              <w:t>línea</w:t>
                            </w:r>
                            <w:r>
                              <w:rPr>
                                <w:rFonts w:ascii="Segoe UI Semibold" w:hAnsi="Segoe UI Semibold"/>
                                <w:b/>
                                <w:i/>
                                <w:color w:val="FFFFFF"/>
                                <w:spacing w:val="-16"/>
                                <w:sz w:val="24"/>
                              </w:rPr>
                              <w:t> </w:t>
                            </w:r>
                            <w:r>
                              <w:rPr>
                                <w:rFonts w:ascii="Segoe UI Semibold" w:hAnsi="Segoe UI Semibold"/>
                                <w:b/>
                                <w:i/>
                                <w:color w:val="FFFFFF"/>
                                <w:sz w:val="24"/>
                              </w:rPr>
                              <w:t>de acción</w:t>
                            </w:r>
                            <w:r>
                              <w:rPr>
                                <w:rFonts w:ascii="Segoe UI Semibold" w:hAnsi="Segoe UI Semibold"/>
                                <w:b/>
                                <w:i/>
                                <w:color w:val="FFFFFF"/>
                                <w:spacing w:val="-17"/>
                                <w:sz w:val="24"/>
                              </w:rPr>
                              <w:t> </w:t>
                            </w:r>
                            <w:r>
                              <w:rPr>
                                <w:rFonts w:ascii="Segoe UI Semibold" w:hAnsi="Segoe UI Semibold"/>
                                <w:b/>
                                <w:i/>
                                <w:color w:val="FFFFFF"/>
                                <w:sz w:val="24"/>
                              </w:rPr>
                              <w:t>que,</w:t>
                            </w:r>
                            <w:r>
                              <w:rPr>
                                <w:rFonts w:ascii="Segoe UI Semibold" w:hAnsi="Segoe UI Semibold"/>
                                <w:b/>
                                <w:i/>
                                <w:color w:val="FFFFFF"/>
                                <w:spacing w:val="-16"/>
                                <w:sz w:val="24"/>
                              </w:rPr>
                              <w:t> </w:t>
                            </w:r>
                            <w:r>
                              <w:rPr>
                                <w:rFonts w:ascii="Segoe UI Semibold" w:hAnsi="Segoe UI Semibold"/>
                                <w:b/>
                                <w:i/>
                                <w:color w:val="FFFFFF"/>
                                <w:sz w:val="24"/>
                              </w:rPr>
                              <w:t>siendo</w:t>
                            </w:r>
                            <w:r>
                              <w:rPr>
                                <w:rFonts w:ascii="Segoe UI Semibold" w:hAnsi="Segoe UI Semibold"/>
                                <w:b/>
                                <w:i/>
                                <w:color w:val="FFFFFF"/>
                                <w:spacing w:val="-17"/>
                                <w:sz w:val="24"/>
                              </w:rPr>
                              <w:t> </w:t>
                            </w:r>
                            <w:r>
                              <w:rPr>
                                <w:rFonts w:ascii="Segoe UI Semibold" w:hAnsi="Segoe UI Semibold"/>
                                <w:b/>
                                <w:i/>
                                <w:color w:val="FFFFFF"/>
                                <w:sz w:val="24"/>
                              </w:rPr>
                              <w:t>lo</w:t>
                            </w:r>
                            <w:r>
                              <w:rPr>
                                <w:rFonts w:ascii="Segoe UI Semibold" w:hAnsi="Segoe UI Semibold"/>
                                <w:b/>
                                <w:i/>
                                <w:color w:val="FFFFFF"/>
                                <w:spacing w:val="-16"/>
                                <w:sz w:val="24"/>
                              </w:rPr>
                              <w:t> </w:t>
                            </w:r>
                            <w:r>
                              <w:rPr>
                                <w:rFonts w:ascii="Segoe UI Semibold" w:hAnsi="Segoe UI Semibold"/>
                                <w:b/>
                                <w:i/>
                                <w:color w:val="FFFFFF"/>
                                <w:sz w:val="24"/>
                              </w:rPr>
                              <w:t>más</w:t>
                            </w:r>
                            <w:r>
                              <w:rPr>
                                <w:rFonts w:ascii="Segoe UI Semibold" w:hAnsi="Segoe UI Semibold"/>
                                <w:b/>
                                <w:i/>
                                <w:color w:val="FFFFFF"/>
                                <w:spacing w:val="-17"/>
                                <w:sz w:val="24"/>
                              </w:rPr>
                              <w:t> </w:t>
                            </w:r>
                            <w:r>
                              <w:rPr>
                                <w:rFonts w:ascii="Segoe UI Semibold" w:hAnsi="Segoe UI Semibold"/>
                                <w:b/>
                                <w:i/>
                                <w:color w:val="FFFFFF"/>
                                <w:sz w:val="24"/>
                              </w:rPr>
                              <w:t>habilidosa y</w:t>
                            </w:r>
                            <w:r>
                              <w:rPr>
                                <w:rFonts w:ascii="Segoe UI Semibold" w:hAnsi="Segoe UI Semibold"/>
                                <w:b/>
                                <w:i/>
                                <w:color w:val="FFFFFF"/>
                                <w:spacing w:val="-10"/>
                                <w:sz w:val="24"/>
                              </w:rPr>
                              <w:t> </w:t>
                            </w:r>
                            <w:r>
                              <w:rPr>
                                <w:rFonts w:ascii="Segoe UI Semibold" w:hAnsi="Segoe UI Semibold"/>
                                <w:b/>
                                <w:i/>
                                <w:color w:val="FFFFFF"/>
                                <w:sz w:val="24"/>
                              </w:rPr>
                              <w:t>discreta</w:t>
                            </w:r>
                            <w:r>
                              <w:rPr>
                                <w:rFonts w:ascii="Segoe UI Semibold" w:hAnsi="Segoe UI Semibold"/>
                                <w:b/>
                                <w:i/>
                                <w:color w:val="FFFFFF"/>
                                <w:spacing w:val="-10"/>
                                <w:sz w:val="24"/>
                              </w:rPr>
                              <w:t> </w:t>
                            </w:r>
                            <w:r>
                              <w:rPr>
                                <w:rFonts w:ascii="Segoe UI Semibold" w:hAnsi="Segoe UI Semibold"/>
                                <w:b/>
                                <w:i/>
                                <w:color w:val="FFFFFF"/>
                                <w:sz w:val="24"/>
                              </w:rPr>
                              <w:t>posible,</w:t>
                            </w:r>
                            <w:r>
                              <w:rPr>
                                <w:rFonts w:ascii="Segoe UI Semibold" w:hAnsi="Segoe UI Semibold"/>
                                <w:b/>
                                <w:i/>
                                <w:color w:val="FFFFFF"/>
                                <w:spacing w:val="-10"/>
                                <w:sz w:val="24"/>
                              </w:rPr>
                              <w:t> </w:t>
                            </w:r>
                            <w:r>
                              <w:rPr>
                                <w:rFonts w:ascii="Segoe UI Semibold" w:hAnsi="Segoe UI Semibold"/>
                                <w:b/>
                                <w:i/>
                                <w:color w:val="FFFFFF"/>
                                <w:sz w:val="24"/>
                              </w:rPr>
                              <w:t>logre</w:t>
                            </w:r>
                            <w:r>
                              <w:rPr>
                                <w:rFonts w:ascii="Segoe UI Semibold" w:hAnsi="Segoe UI Semibold"/>
                                <w:b/>
                                <w:i/>
                                <w:color w:val="FFFFFF"/>
                                <w:spacing w:val="-10"/>
                                <w:sz w:val="24"/>
                              </w:rPr>
                              <w:t> </w:t>
                            </w:r>
                            <w:r>
                              <w:rPr>
                                <w:rFonts w:ascii="Segoe UI Semibold" w:hAnsi="Segoe UI Semibold"/>
                                <w:b/>
                                <w:i/>
                                <w:color w:val="FFFFFF"/>
                                <w:sz w:val="24"/>
                              </w:rPr>
                              <w:t>los</w:t>
                            </w:r>
                            <w:r>
                              <w:rPr>
                                <w:rFonts w:ascii="Segoe UI Semibold" w:hAnsi="Segoe UI Semibold"/>
                                <w:b/>
                                <w:i/>
                                <w:color w:val="FFFFFF"/>
                                <w:spacing w:val="-10"/>
                                <w:sz w:val="24"/>
                              </w:rPr>
                              <w:t> </w:t>
                            </w:r>
                            <w:r>
                              <w:rPr>
                                <w:rFonts w:ascii="Segoe UI Semibold" w:hAnsi="Segoe UI Semibold"/>
                                <w:b/>
                                <w:i/>
                                <w:color w:val="FFFFFF"/>
                                <w:sz w:val="24"/>
                              </w:rPr>
                              <w:t>mayores avances en la privación a Cuba de dinero y suministros, para reducirle </w:t>
                            </w:r>
                            <w:r>
                              <w:rPr>
                                <w:rFonts w:ascii="Segoe UI Semibold" w:hAnsi="Segoe UI Semibold"/>
                                <w:b/>
                                <w:i/>
                                <w:color w:val="FFFFFF"/>
                                <w:spacing w:val="-2"/>
                                <w:sz w:val="24"/>
                              </w:rPr>
                              <w:t>sus</w:t>
                            </w:r>
                            <w:r>
                              <w:rPr>
                                <w:rFonts w:ascii="Segoe UI Semibold" w:hAnsi="Segoe UI Semibold"/>
                                <w:b/>
                                <w:i/>
                                <w:color w:val="FFFFFF"/>
                                <w:spacing w:val="-15"/>
                                <w:sz w:val="24"/>
                              </w:rPr>
                              <w:t> </w:t>
                            </w:r>
                            <w:r>
                              <w:rPr>
                                <w:rFonts w:ascii="Segoe UI Semibold" w:hAnsi="Segoe UI Semibold"/>
                                <w:b/>
                                <w:i/>
                                <w:color w:val="FFFFFF"/>
                                <w:spacing w:val="-2"/>
                                <w:sz w:val="24"/>
                              </w:rPr>
                              <w:t>recursos</w:t>
                            </w:r>
                            <w:r>
                              <w:rPr>
                                <w:rFonts w:ascii="Segoe UI Semibold" w:hAnsi="Segoe UI Semibold"/>
                                <w:b/>
                                <w:i/>
                                <w:color w:val="FFFFFF"/>
                                <w:spacing w:val="-14"/>
                                <w:sz w:val="24"/>
                              </w:rPr>
                              <w:t> </w:t>
                            </w:r>
                            <w:r>
                              <w:rPr>
                                <w:rFonts w:ascii="Segoe UI Semibold" w:hAnsi="Segoe UI Semibold"/>
                                <w:b/>
                                <w:i/>
                                <w:color w:val="FFFFFF"/>
                                <w:spacing w:val="-2"/>
                                <w:sz w:val="24"/>
                              </w:rPr>
                              <w:t>financieros</w:t>
                            </w:r>
                            <w:r>
                              <w:rPr>
                                <w:rFonts w:ascii="Segoe UI Semibold" w:hAnsi="Segoe UI Semibold"/>
                                <w:b/>
                                <w:i/>
                                <w:color w:val="FFFFFF"/>
                                <w:spacing w:val="-15"/>
                                <w:sz w:val="24"/>
                              </w:rPr>
                              <w:t> </w:t>
                            </w:r>
                            <w:r>
                              <w:rPr>
                                <w:rFonts w:ascii="Segoe UI Semibold" w:hAnsi="Segoe UI Semibold"/>
                                <w:b/>
                                <w:i/>
                                <w:color w:val="FFFFFF"/>
                                <w:spacing w:val="-2"/>
                                <w:sz w:val="24"/>
                              </w:rPr>
                              <w:t>y</w:t>
                            </w:r>
                            <w:r>
                              <w:rPr>
                                <w:rFonts w:ascii="Segoe UI Semibold" w:hAnsi="Segoe UI Semibold"/>
                                <w:b/>
                                <w:i/>
                                <w:color w:val="FFFFFF"/>
                                <w:spacing w:val="-14"/>
                                <w:sz w:val="24"/>
                              </w:rPr>
                              <w:t> </w:t>
                            </w:r>
                            <w:r>
                              <w:rPr>
                                <w:rFonts w:ascii="Segoe UI Semibold" w:hAnsi="Segoe UI Semibold"/>
                                <w:b/>
                                <w:i/>
                                <w:color w:val="FFFFFF"/>
                                <w:spacing w:val="-2"/>
                                <w:sz w:val="24"/>
                              </w:rPr>
                              <w:t>los</w:t>
                            </w:r>
                            <w:r>
                              <w:rPr>
                                <w:rFonts w:ascii="Segoe UI Semibold" w:hAnsi="Segoe UI Semibold"/>
                                <w:b/>
                                <w:i/>
                                <w:color w:val="FFFFFF"/>
                                <w:spacing w:val="-15"/>
                                <w:sz w:val="24"/>
                              </w:rPr>
                              <w:t> </w:t>
                            </w:r>
                            <w:r>
                              <w:rPr>
                                <w:rFonts w:ascii="Segoe UI Semibold" w:hAnsi="Segoe UI Semibold"/>
                                <w:b/>
                                <w:i/>
                                <w:color w:val="FFFFFF"/>
                                <w:spacing w:val="-2"/>
                                <w:sz w:val="24"/>
                              </w:rPr>
                              <w:t>salarios </w:t>
                            </w:r>
                            <w:r>
                              <w:rPr>
                                <w:rFonts w:ascii="Segoe UI Semibold" w:hAnsi="Segoe UI Semibold"/>
                                <w:b/>
                                <w:i/>
                                <w:color w:val="FFFFFF"/>
                                <w:spacing w:val="-12"/>
                                <w:sz w:val="24"/>
                              </w:rPr>
                              <w:t>reales,</w:t>
                            </w:r>
                            <w:r>
                              <w:rPr>
                                <w:rFonts w:ascii="Segoe UI Semibold" w:hAnsi="Segoe UI Semibold"/>
                                <w:b/>
                                <w:i/>
                                <w:color w:val="FFFFFF"/>
                                <w:sz w:val="24"/>
                              </w:rPr>
                              <w:t> </w:t>
                            </w:r>
                            <w:r>
                              <w:rPr>
                                <w:rFonts w:ascii="Segoe UI Semibold" w:hAnsi="Segoe UI Semibold"/>
                                <w:b/>
                                <w:i/>
                                <w:color w:val="FFFFFF"/>
                                <w:spacing w:val="-12"/>
                                <w:sz w:val="24"/>
                              </w:rPr>
                              <w:t>provocar</w:t>
                            </w:r>
                            <w:r>
                              <w:rPr>
                                <w:rFonts w:ascii="Segoe UI Semibold" w:hAnsi="Segoe UI Semibold"/>
                                <w:b/>
                                <w:i/>
                                <w:color w:val="FFFFFF"/>
                                <w:sz w:val="24"/>
                              </w:rPr>
                              <w:t> </w:t>
                            </w:r>
                            <w:r>
                              <w:rPr>
                                <w:rFonts w:ascii="Segoe UI Semibold" w:hAnsi="Segoe UI Semibold"/>
                                <w:b/>
                                <w:i/>
                                <w:color w:val="FFFFFF"/>
                                <w:spacing w:val="-12"/>
                                <w:sz w:val="24"/>
                              </w:rPr>
                              <w:t>hambre,</w:t>
                            </w:r>
                            <w:r>
                              <w:rPr>
                                <w:rFonts w:ascii="Segoe UI Semibold" w:hAnsi="Segoe UI Semibold"/>
                                <w:b/>
                                <w:i/>
                                <w:color w:val="FFFFFF"/>
                                <w:sz w:val="24"/>
                              </w:rPr>
                              <w:t> </w:t>
                            </w:r>
                            <w:r>
                              <w:rPr>
                                <w:rFonts w:ascii="Segoe UI Semibold" w:hAnsi="Segoe UI Semibold"/>
                                <w:b/>
                                <w:i/>
                                <w:color w:val="FFFFFF"/>
                                <w:spacing w:val="-12"/>
                                <w:sz w:val="24"/>
                              </w:rPr>
                              <w:t>desesperación </w:t>
                            </w:r>
                            <w:r>
                              <w:rPr>
                                <w:rFonts w:ascii="Segoe UI Semibold" w:hAnsi="Segoe UI Semibold"/>
                                <w:b/>
                                <w:i/>
                                <w:color w:val="FFFFFF"/>
                                <w:spacing w:val="-2"/>
                                <w:sz w:val="24"/>
                              </w:rPr>
                              <w:t>y</w:t>
                            </w:r>
                            <w:r>
                              <w:rPr>
                                <w:rFonts w:ascii="Segoe UI Semibold" w:hAnsi="Segoe UI Semibold"/>
                                <w:b/>
                                <w:i/>
                                <w:color w:val="FFFFFF"/>
                                <w:spacing w:val="-15"/>
                                <w:sz w:val="24"/>
                              </w:rPr>
                              <w:t> </w:t>
                            </w:r>
                            <w:r>
                              <w:rPr>
                                <w:rFonts w:ascii="Segoe UI Semibold" w:hAnsi="Segoe UI Semibold"/>
                                <w:b/>
                                <w:i/>
                                <w:color w:val="FFFFFF"/>
                                <w:spacing w:val="-2"/>
                                <w:sz w:val="24"/>
                              </w:rPr>
                              <w:t>el</w:t>
                            </w:r>
                            <w:r>
                              <w:rPr>
                                <w:rFonts w:ascii="Segoe UI Semibold" w:hAnsi="Segoe UI Semibold"/>
                                <w:b/>
                                <w:i/>
                                <w:color w:val="FFFFFF"/>
                                <w:spacing w:val="-15"/>
                                <w:sz w:val="24"/>
                              </w:rPr>
                              <w:t> </w:t>
                            </w:r>
                            <w:r>
                              <w:rPr>
                                <w:rFonts w:ascii="Segoe UI Semibold" w:hAnsi="Segoe UI Semibold"/>
                                <w:b/>
                                <w:i/>
                                <w:color w:val="FFFFFF"/>
                                <w:spacing w:val="-2"/>
                                <w:sz w:val="24"/>
                              </w:rPr>
                              <w:t>derrocamiento</w:t>
                            </w:r>
                            <w:r>
                              <w:rPr>
                                <w:rFonts w:ascii="Segoe UI Semibold" w:hAnsi="Segoe UI Semibold"/>
                                <w:b/>
                                <w:i/>
                                <w:color w:val="FFFFFF"/>
                                <w:spacing w:val="-15"/>
                                <w:sz w:val="24"/>
                              </w:rPr>
                              <w:t> </w:t>
                            </w:r>
                            <w:r>
                              <w:rPr>
                                <w:rFonts w:ascii="Segoe UI Semibold" w:hAnsi="Segoe UI Semibold"/>
                                <w:b/>
                                <w:i/>
                                <w:color w:val="FFFFFF"/>
                                <w:spacing w:val="-2"/>
                                <w:sz w:val="24"/>
                              </w:rPr>
                              <w:t>del</w:t>
                            </w:r>
                            <w:r>
                              <w:rPr>
                                <w:rFonts w:ascii="Segoe UI Semibold" w:hAnsi="Segoe UI Semibold"/>
                                <w:b/>
                                <w:i/>
                                <w:color w:val="FFFFFF"/>
                                <w:spacing w:val="-15"/>
                                <w:sz w:val="24"/>
                              </w:rPr>
                              <w:t> </w:t>
                            </w:r>
                            <w:r>
                              <w:rPr>
                                <w:rFonts w:ascii="Segoe UI Semibold" w:hAnsi="Segoe UI Semibold"/>
                                <w:b/>
                                <w:i/>
                                <w:color w:val="FFFFFF"/>
                                <w:spacing w:val="-2"/>
                                <w:sz w:val="24"/>
                              </w:rPr>
                              <w:t>Gobierno”.</w:t>
                            </w:r>
                          </w:p>
                        </w:txbxContent>
                      </wps:txbx>
                      <wps:bodyPr wrap="square" lIns="0" tIns="0" rIns="0" bIns="0" rtlCol="0">
                        <a:noAutofit/>
                      </wps:bodyPr>
                    </wps:wsp>
                  </a:graphicData>
                </a:graphic>
              </wp:anchor>
            </w:drawing>
          </mc:Choice>
          <mc:Fallback>
            <w:pict>
              <v:shape style="position:absolute;margin-left:73.700996pt;margin-top:133.169403pt;width:221.15pt;height:304pt;mso-position-horizontal-relative:page;mso-position-vertical-relative:paragraph;z-index:15752192" type="#_x0000_t202" id="docshape53" filled="true" fillcolor="#1a4796" stroked="false">
                <v:textbox inset="0,0,0,0">
                  <w:txbxContent>
                    <w:p>
                      <w:pPr>
                        <w:pStyle w:val="BodyText"/>
                        <w:spacing w:before="60"/>
                        <w:jc w:val="left"/>
                        <w:rPr>
                          <w:color w:val="000000"/>
                        </w:rPr>
                      </w:pPr>
                    </w:p>
                    <w:p>
                      <w:pPr>
                        <w:spacing w:before="0"/>
                        <w:ind w:left="283" w:right="259" w:firstLine="0"/>
                        <w:jc w:val="both"/>
                        <w:rPr>
                          <w:rFonts w:ascii="Segoe UI Semibold" w:hAnsi="Segoe UI Semibold"/>
                          <w:b/>
                          <w:i/>
                          <w:color w:val="000000"/>
                          <w:sz w:val="24"/>
                        </w:rPr>
                      </w:pPr>
                      <w:r>
                        <w:rPr>
                          <w:rFonts w:ascii="Segoe UI Semibold" w:hAnsi="Segoe UI Semibold"/>
                          <w:b/>
                          <w:i/>
                          <w:color w:val="FFFFFF"/>
                          <w:sz w:val="24"/>
                        </w:rPr>
                        <w:t>“La</w:t>
                      </w:r>
                      <w:r>
                        <w:rPr>
                          <w:rFonts w:ascii="Segoe UI Semibold" w:hAnsi="Segoe UI Semibold"/>
                          <w:b/>
                          <w:i/>
                          <w:color w:val="FFFFFF"/>
                          <w:spacing w:val="-1"/>
                          <w:sz w:val="24"/>
                        </w:rPr>
                        <w:t> </w:t>
                      </w:r>
                      <w:r>
                        <w:rPr>
                          <w:rFonts w:ascii="Segoe UI Semibold" w:hAnsi="Segoe UI Semibold"/>
                          <w:b/>
                          <w:i/>
                          <w:color w:val="FFFFFF"/>
                          <w:sz w:val="24"/>
                        </w:rPr>
                        <w:t>mayoría</w:t>
                      </w:r>
                      <w:r>
                        <w:rPr>
                          <w:rFonts w:ascii="Segoe UI Semibold" w:hAnsi="Segoe UI Semibold"/>
                          <w:b/>
                          <w:i/>
                          <w:color w:val="FFFFFF"/>
                          <w:spacing w:val="-1"/>
                          <w:sz w:val="24"/>
                        </w:rPr>
                        <w:t> </w:t>
                      </w:r>
                      <w:r>
                        <w:rPr>
                          <w:rFonts w:ascii="Segoe UI Semibold" w:hAnsi="Segoe UI Semibold"/>
                          <w:b/>
                          <w:i/>
                          <w:color w:val="FFFFFF"/>
                          <w:sz w:val="24"/>
                        </w:rPr>
                        <w:t>de</w:t>
                      </w:r>
                      <w:r>
                        <w:rPr>
                          <w:rFonts w:ascii="Segoe UI Semibold" w:hAnsi="Segoe UI Semibold"/>
                          <w:b/>
                          <w:i/>
                          <w:color w:val="FFFFFF"/>
                          <w:spacing w:val="-1"/>
                          <w:sz w:val="24"/>
                        </w:rPr>
                        <w:t> </w:t>
                      </w:r>
                      <w:r>
                        <w:rPr>
                          <w:rFonts w:ascii="Segoe UI Semibold" w:hAnsi="Segoe UI Semibold"/>
                          <w:b/>
                          <w:i/>
                          <w:color w:val="FFFFFF"/>
                          <w:sz w:val="24"/>
                        </w:rPr>
                        <w:t>los</w:t>
                      </w:r>
                      <w:r>
                        <w:rPr>
                          <w:rFonts w:ascii="Segoe UI Semibold" w:hAnsi="Segoe UI Semibold"/>
                          <w:b/>
                          <w:i/>
                          <w:color w:val="FFFFFF"/>
                          <w:spacing w:val="-1"/>
                          <w:sz w:val="24"/>
                        </w:rPr>
                        <w:t> </w:t>
                      </w:r>
                      <w:r>
                        <w:rPr>
                          <w:rFonts w:ascii="Segoe UI Semibold" w:hAnsi="Segoe UI Semibold"/>
                          <w:b/>
                          <w:i/>
                          <w:color w:val="FFFFFF"/>
                          <w:sz w:val="24"/>
                        </w:rPr>
                        <w:t>cubanos</w:t>
                      </w:r>
                      <w:r>
                        <w:rPr>
                          <w:rFonts w:ascii="Segoe UI Semibold" w:hAnsi="Segoe UI Semibold"/>
                          <w:b/>
                          <w:i/>
                          <w:color w:val="FFFFFF"/>
                          <w:spacing w:val="-1"/>
                          <w:sz w:val="24"/>
                        </w:rPr>
                        <w:t> </w:t>
                      </w:r>
                      <w:r>
                        <w:rPr>
                          <w:rFonts w:ascii="Segoe UI Semibold" w:hAnsi="Segoe UI Semibold"/>
                          <w:b/>
                          <w:i/>
                          <w:color w:val="FFFFFF"/>
                          <w:sz w:val="24"/>
                        </w:rPr>
                        <w:t>apoyan</w:t>
                      </w:r>
                      <w:r>
                        <w:rPr>
                          <w:rFonts w:ascii="Segoe UI Semibold" w:hAnsi="Segoe UI Semibold"/>
                          <w:b/>
                          <w:i/>
                          <w:color w:val="FFFFFF"/>
                          <w:sz w:val="24"/>
                        </w:rPr>
                        <w:t> </w:t>
                      </w:r>
                      <w:r>
                        <w:rPr>
                          <w:rFonts w:ascii="Segoe UI Semibold" w:hAnsi="Segoe UI Semibold"/>
                          <w:b/>
                          <w:i/>
                          <w:color w:val="FFFFFF"/>
                          <w:spacing w:val="-2"/>
                          <w:sz w:val="24"/>
                        </w:rPr>
                        <w:t>a</w:t>
                      </w:r>
                      <w:r>
                        <w:rPr>
                          <w:rFonts w:ascii="Segoe UI Semibold" w:hAnsi="Segoe UI Semibold"/>
                          <w:b/>
                          <w:i/>
                          <w:color w:val="FFFFFF"/>
                          <w:spacing w:val="-15"/>
                          <w:sz w:val="24"/>
                        </w:rPr>
                        <w:t> </w:t>
                      </w:r>
                      <w:r>
                        <w:rPr>
                          <w:rFonts w:ascii="Segoe UI Semibold" w:hAnsi="Segoe UI Semibold"/>
                          <w:b/>
                          <w:i/>
                          <w:color w:val="FFFFFF"/>
                          <w:spacing w:val="-2"/>
                          <w:sz w:val="24"/>
                        </w:rPr>
                        <w:t>Castro</w:t>
                      </w:r>
                      <w:r>
                        <w:rPr>
                          <w:rFonts w:ascii="Segoe UI Semibold" w:hAnsi="Segoe UI Semibold"/>
                          <w:b/>
                          <w:i/>
                          <w:color w:val="FFFFFF"/>
                          <w:spacing w:val="-14"/>
                          <w:sz w:val="24"/>
                        </w:rPr>
                        <w:t> </w:t>
                      </w:r>
                      <w:r>
                        <w:rPr>
                          <w:rFonts w:ascii="Segoe UI Semibold" w:hAnsi="Segoe UI Semibold"/>
                          <w:b/>
                          <w:i/>
                          <w:color w:val="FFFFFF"/>
                          <w:spacing w:val="-2"/>
                          <w:sz w:val="24"/>
                        </w:rPr>
                        <w:t>(…)</w:t>
                      </w:r>
                      <w:r>
                        <w:rPr>
                          <w:rFonts w:ascii="Segoe UI Semibold" w:hAnsi="Segoe UI Semibold"/>
                          <w:b/>
                          <w:i/>
                          <w:color w:val="FFFFFF"/>
                          <w:spacing w:val="-15"/>
                          <w:sz w:val="24"/>
                        </w:rPr>
                        <w:t> </w:t>
                      </w:r>
                      <w:r>
                        <w:rPr>
                          <w:rFonts w:ascii="Segoe UI Semibold" w:hAnsi="Segoe UI Semibold"/>
                          <w:b/>
                          <w:i/>
                          <w:color w:val="FFFFFF"/>
                          <w:spacing w:val="-2"/>
                          <w:sz w:val="24"/>
                        </w:rPr>
                        <w:t>el</w:t>
                      </w:r>
                      <w:r>
                        <w:rPr>
                          <w:rFonts w:ascii="Segoe UI Semibold" w:hAnsi="Segoe UI Semibold"/>
                          <w:b/>
                          <w:i/>
                          <w:color w:val="FFFFFF"/>
                          <w:spacing w:val="-14"/>
                          <w:sz w:val="24"/>
                        </w:rPr>
                        <w:t> </w:t>
                      </w:r>
                      <w:r>
                        <w:rPr>
                          <w:rFonts w:ascii="Segoe UI Semibold" w:hAnsi="Segoe UI Semibold"/>
                          <w:b/>
                          <w:i/>
                          <w:color w:val="FFFFFF"/>
                          <w:spacing w:val="-2"/>
                          <w:sz w:val="24"/>
                        </w:rPr>
                        <w:t>único</w:t>
                      </w:r>
                      <w:r>
                        <w:rPr>
                          <w:rFonts w:ascii="Segoe UI Semibold" w:hAnsi="Segoe UI Semibold"/>
                          <w:b/>
                          <w:i/>
                          <w:color w:val="FFFFFF"/>
                          <w:spacing w:val="-15"/>
                          <w:sz w:val="24"/>
                        </w:rPr>
                        <w:t> </w:t>
                      </w:r>
                      <w:r>
                        <w:rPr>
                          <w:rFonts w:ascii="Segoe UI Semibold" w:hAnsi="Segoe UI Semibold"/>
                          <w:b/>
                          <w:i/>
                          <w:color w:val="FFFFFF"/>
                          <w:spacing w:val="-2"/>
                          <w:sz w:val="24"/>
                        </w:rPr>
                        <w:t>modo</w:t>
                      </w:r>
                      <w:r>
                        <w:rPr>
                          <w:rFonts w:ascii="Segoe UI Semibold" w:hAnsi="Segoe UI Semibold"/>
                          <w:b/>
                          <w:i/>
                          <w:color w:val="FFFFFF"/>
                          <w:spacing w:val="-14"/>
                          <w:sz w:val="24"/>
                        </w:rPr>
                        <w:t> </w:t>
                      </w:r>
                      <w:r>
                        <w:rPr>
                          <w:rFonts w:ascii="Segoe UI Semibold" w:hAnsi="Segoe UI Semibold"/>
                          <w:b/>
                          <w:i/>
                          <w:color w:val="FFFFFF"/>
                          <w:spacing w:val="-2"/>
                          <w:sz w:val="24"/>
                        </w:rPr>
                        <w:t>previsible </w:t>
                      </w:r>
                      <w:r>
                        <w:rPr>
                          <w:rFonts w:ascii="Segoe UI Semibold" w:hAnsi="Segoe UI Semibold"/>
                          <w:b/>
                          <w:i/>
                          <w:color w:val="FFFFFF"/>
                          <w:spacing w:val="-6"/>
                          <w:sz w:val="24"/>
                        </w:rPr>
                        <w:t>de</w:t>
                      </w:r>
                      <w:r>
                        <w:rPr>
                          <w:rFonts w:ascii="Segoe UI Semibold" w:hAnsi="Segoe UI Semibold"/>
                          <w:b/>
                          <w:i/>
                          <w:color w:val="FFFFFF"/>
                          <w:spacing w:val="-9"/>
                          <w:sz w:val="24"/>
                        </w:rPr>
                        <w:t> </w:t>
                      </w:r>
                      <w:r>
                        <w:rPr>
                          <w:rFonts w:ascii="Segoe UI Semibold" w:hAnsi="Segoe UI Semibold"/>
                          <w:b/>
                          <w:i/>
                          <w:color w:val="FFFFFF"/>
                          <w:spacing w:val="-6"/>
                          <w:sz w:val="24"/>
                        </w:rPr>
                        <w:t>restarle</w:t>
                      </w:r>
                      <w:r>
                        <w:rPr>
                          <w:rFonts w:ascii="Segoe UI Semibold" w:hAnsi="Segoe UI Semibold"/>
                          <w:b/>
                          <w:i/>
                          <w:color w:val="FFFFFF"/>
                          <w:spacing w:val="-9"/>
                          <w:sz w:val="24"/>
                        </w:rPr>
                        <w:t> </w:t>
                      </w:r>
                      <w:r>
                        <w:rPr>
                          <w:rFonts w:ascii="Segoe UI Semibold" w:hAnsi="Segoe UI Semibold"/>
                          <w:b/>
                          <w:i/>
                          <w:color w:val="FFFFFF"/>
                          <w:spacing w:val="-6"/>
                          <w:sz w:val="24"/>
                        </w:rPr>
                        <w:t>apoyo</w:t>
                      </w:r>
                      <w:r>
                        <w:rPr>
                          <w:rFonts w:ascii="Segoe UI Semibold" w:hAnsi="Segoe UI Semibold"/>
                          <w:b/>
                          <w:i/>
                          <w:color w:val="FFFFFF"/>
                          <w:spacing w:val="-9"/>
                          <w:sz w:val="24"/>
                        </w:rPr>
                        <w:t> </w:t>
                      </w:r>
                      <w:r>
                        <w:rPr>
                          <w:rFonts w:ascii="Segoe UI Semibold" w:hAnsi="Segoe UI Semibold"/>
                          <w:b/>
                          <w:i/>
                          <w:color w:val="FFFFFF"/>
                          <w:spacing w:val="-6"/>
                          <w:sz w:val="24"/>
                        </w:rPr>
                        <w:t>interno</w:t>
                      </w:r>
                      <w:r>
                        <w:rPr>
                          <w:rFonts w:ascii="Segoe UI Semibold" w:hAnsi="Segoe UI Semibold"/>
                          <w:b/>
                          <w:i/>
                          <w:color w:val="FFFFFF"/>
                          <w:spacing w:val="-9"/>
                          <w:sz w:val="24"/>
                        </w:rPr>
                        <w:t> </w:t>
                      </w:r>
                      <w:r>
                        <w:rPr>
                          <w:rFonts w:ascii="Segoe UI Semibold" w:hAnsi="Segoe UI Semibold"/>
                          <w:b/>
                          <w:i/>
                          <w:color w:val="FFFFFF"/>
                          <w:spacing w:val="-6"/>
                          <w:sz w:val="24"/>
                        </w:rPr>
                        <w:t>es</w:t>
                      </w:r>
                      <w:r>
                        <w:rPr>
                          <w:rFonts w:ascii="Segoe UI Semibold" w:hAnsi="Segoe UI Semibold"/>
                          <w:b/>
                          <w:i/>
                          <w:color w:val="FFFFFF"/>
                          <w:spacing w:val="-9"/>
                          <w:sz w:val="24"/>
                        </w:rPr>
                        <w:t> </w:t>
                      </w:r>
                      <w:r>
                        <w:rPr>
                          <w:rFonts w:ascii="Segoe UI Semibold" w:hAnsi="Segoe UI Semibold"/>
                          <w:b/>
                          <w:i/>
                          <w:color w:val="FFFFFF"/>
                          <w:spacing w:val="-6"/>
                          <w:sz w:val="24"/>
                        </w:rPr>
                        <w:t>mediante </w:t>
                      </w:r>
                      <w:r>
                        <w:rPr>
                          <w:rFonts w:ascii="Segoe UI Semibold" w:hAnsi="Segoe UI Semibold"/>
                          <w:b/>
                          <w:i/>
                          <w:color w:val="FFFFFF"/>
                          <w:sz w:val="24"/>
                        </w:rPr>
                        <w:t>el</w:t>
                      </w:r>
                      <w:r>
                        <w:rPr>
                          <w:rFonts w:ascii="Segoe UI Semibold" w:hAnsi="Segoe UI Semibold"/>
                          <w:b/>
                          <w:i/>
                          <w:color w:val="FFFFFF"/>
                          <w:spacing w:val="-17"/>
                          <w:sz w:val="24"/>
                        </w:rPr>
                        <w:t> </w:t>
                      </w:r>
                      <w:r>
                        <w:rPr>
                          <w:rFonts w:ascii="Segoe UI Semibold" w:hAnsi="Segoe UI Semibold"/>
                          <w:b/>
                          <w:i/>
                          <w:color w:val="FFFFFF"/>
                          <w:sz w:val="24"/>
                        </w:rPr>
                        <w:t>desencanto</w:t>
                      </w:r>
                      <w:r>
                        <w:rPr>
                          <w:rFonts w:ascii="Segoe UI Semibold" w:hAnsi="Segoe UI Semibold"/>
                          <w:b/>
                          <w:i/>
                          <w:color w:val="FFFFFF"/>
                          <w:spacing w:val="-16"/>
                          <w:sz w:val="24"/>
                        </w:rPr>
                        <w:t> </w:t>
                      </w:r>
                      <w:r>
                        <w:rPr>
                          <w:rFonts w:ascii="Segoe UI Semibold" w:hAnsi="Segoe UI Semibold"/>
                          <w:b/>
                          <w:i/>
                          <w:color w:val="FFFFFF"/>
                          <w:sz w:val="24"/>
                        </w:rPr>
                        <w:t>y</w:t>
                      </w:r>
                      <w:r>
                        <w:rPr>
                          <w:rFonts w:ascii="Segoe UI Semibold" w:hAnsi="Segoe UI Semibold"/>
                          <w:b/>
                          <w:i/>
                          <w:color w:val="FFFFFF"/>
                          <w:spacing w:val="-17"/>
                          <w:sz w:val="24"/>
                        </w:rPr>
                        <w:t> </w:t>
                      </w:r>
                      <w:r>
                        <w:rPr>
                          <w:rFonts w:ascii="Segoe UI Semibold" w:hAnsi="Segoe UI Semibold"/>
                          <w:b/>
                          <w:i/>
                          <w:color w:val="FFFFFF"/>
                          <w:sz w:val="24"/>
                        </w:rPr>
                        <w:t>la</w:t>
                      </w:r>
                      <w:r>
                        <w:rPr>
                          <w:rFonts w:ascii="Segoe UI Semibold" w:hAnsi="Segoe UI Semibold"/>
                          <w:b/>
                          <w:i/>
                          <w:color w:val="FFFFFF"/>
                          <w:spacing w:val="-16"/>
                          <w:sz w:val="24"/>
                        </w:rPr>
                        <w:t> </w:t>
                      </w:r>
                      <w:r>
                        <w:rPr>
                          <w:rFonts w:ascii="Segoe UI Semibold" w:hAnsi="Segoe UI Semibold"/>
                          <w:b/>
                          <w:i/>
                          <w:color w:val="FFFFFF"/>
                          <w:sz w:val="24"/>
                        </w:rPr>
                        <w:t>insatisfacción</w:t>
                      </w:r>
                      <w:r>
                        <w:rPr>
                          <w:rFonts w:ascii="Segoe UI Semibold" w:hAnsi="Segoe UI Semibold"/>
                          <w:b/>
                          <w:i/>
                          <w:color w:val="FFFFFF"/>
                          <w:spacing w:val="-17"/>
                          <w:sz w:val="24"/>
                        </w:rPr>
                        <w:t> </w:t>
                      </w:r>
                      <w:r>
                        <w:rPr>
                          <w:rFonts w:ascii="Segoe UI Semibold" w:hAnsi="Segoe UI Semibold"/>
                          <w:b/>
                          <w:i/>
                          <w:color w:val="FFFFFF"/>
                          <w:sz w:val="24"/>
                        </w:rPr>
                        <w:t>que surjan del malestar económico y</w:t>
                      </w:r>
                      <w:r>
                        <w:rPr>
                          <w:rFonts w:ascii="Segoe UI Semibold" w:hAnsi="Segoe UI Semibold"/>
                          <w:b/>
                          <w:i/>
                          <w:color w:val="FFFFFF"/>
                          <w:spacing w:val="80"/>
                          <w:sz w:val="24"/>
                        </w:rPr>
                        <w:t> </w:t>
                      </w:r>
                      <w:r>
                        <w:rPr>
                          <w:rFonts w:ascii="Segoe UI Semibold" w:hAnsi="Segoe UI Semibold"/>
                          <w:b/>
                          <w:i/>
                          <w:color w:val="FFFFFF"/>
                          <w:sz w:val="24"/>
                        </w:rPr>
                        <w:t>las dificultades materiales (…) hay que emplear rápidamente todos los </w:t>
                      </w:r>
                      <w:r>
                        <w:rPr>
                          <w:rFonts w:ascii="Segoe UI Semibold" w:hAnsi="Segoe UI Semibold"/>
                          <w:b/>
                          <w:i/>
                          <w:color w:val="FFFFFF"/>
                          <w:spacing w:val="-4"/>
                          <w:sz w:val="24"/>
                        </w:rPr>
                        <w:t>medios</w:t>
                      </w:r>
                      <w:r>
                        <w:rPr>
                          <w:rFonts w:ascii="Segoe UI Semibold" w:hAnsi="Segoe UI Semibold"/>
                          <w:b/>
                          <w:i/>
                          <w:color w:val="FFFFFF"/>
                          <w:spacing w:val="-13"/>
                          <w:sz w:val="24"/>
                        </w:rPr>
                        <w:t> </w:t>
                      </w:r>
                      <w:r>
                        <w:rPr>
                          <w:rFonts w:ascii="Segoe UI Semibold" w:hAnsi="Segoe UI Semibold"/>
                          <w:b/>
                          <w:i/>
                          <w:color w:val="FFFFFF"/>
                          <w:spacing w:val="-4"/>
                          <w:sz w:val="24"/>
                        </w:rPr>
                        <w:t>posibles</w:t>
                      </w:r>
                      <w:r>
                        <w:rPr>
                          <w:rFonts w:ascii="Segoe UI Semibold" w:hAnsi="Segoe UI Semibold"/>
                          <w:b/>
                          <w:i/>
                          <w:color w:val="FFFFFF"/>
                          <w:spacing w:val="-12"/>
                          <w:sz w:val="24"/>
                        </w:rPr>
                        <w:t> </w:t>
                      </w:r>
                      <w:r>
                        <w:rPr>
                          <w:rFonts w:ascii="Segoe UI Semibold" w:hAnsi="Segoe UI Semibold"/>
                          <w:b/>
                          <w:i/>
                          <w:color w:val="FFFFFF"/>
                          <w:spacing w:val="-4"/>
                          <w:sz w:val="24"/>
                        </w:rPr>
                        <w:t>para</w:t>
                      </w:r>
                      <w:r>
                        <w:rPr>
                          <w:rFonts w:ascii="Segoe UI Semibold" w:hAnsi="Segoe UI Semibold"/>
                          <w:b/>
                          <w:i/>
                          <w:color w:val="FFFFFF"/>
                          <w:spacing w:val="-13"/>
                          <w:sz w:val="24"/>
                        </w:rPr>
                        <w:t> </w:t>
                      </w:r>
                      <w:r>
                        <w:rPr>
                          <w:rFonts w:ascii="Segoe UI Semibold" w:hAnsi="Segoe UI Semibold"/>
                          <w:b/>
                          <w:i/>
                          <w:color w:val="FFFFFF"/>
                          <w:spacing w:val="-4"/>
                          <w:sz w:val="24"/>
                        </w:rPr>
                        <w:t>debilitar</w:t>
                      </w:r>
                      <w:r>
                        <w:rPr>
                          <w:rFonts w:ascii="Segoe UI Semibold" w:hAnsi="Segoe UI Semibold"/>
                          <w:b/>
                          <w:i/>
                          <w:color w:val="FFFFFF"/>
                          <w:spacing w:val="-12"/>
                          <w:sz w:val="24"/>
                        </w:rPr>
                        <w:t> </w:t>
                      </w:r>
                      <w:r>
                        <w:rPr>
                          <w:rFonts w:ascii="Segoe UI Semibold" w:hAnsi="Segoe UI Semibold"/>
                          <w:b/>
                          <w:i/>
                          <w:color w:val="FFFFFF"/>
                          <w:spacing w:val="-4"/>
                          <w:sz w:val="24"/>
                        </w:rPr>
                        <w:t>la</w:t>
                      </w:r>
                      <w:r>
                        <w:rPr>
                          <w:rFonts w:ascii="Segoe UI Semibold" w:hAnsi="Segoe UI Semibold"/>
                          <w:b/>
                          <w:i/>
                          <w:color w:val="FFFFFF"/>
                          <w:spacing w:val="-13"/>
                          <w:sz w:val="24"/>
                        </w:rPr>
                        <w:t> </w:t>
                      </w:r>
                      <w:r>
                        <w:rPr>
                          <w:rFonts w:ascii="Segoe UI Semibold" w:hAnsi="Segoe UI Semibold"/>
                          <w:b/>
                          <w:i/>
                          <w:color w:val="FFFFFF"/>
                          <w:spacing w:val="-4"/>
                          <w:sz w:val="24"/>
                        </w:rPr>
                        <w:t>vida </w:t>
                      </w:r>
                      <w:r>
                        <w:rPr>
                          <w:rFonts w:ascii="Segoe UI Semibold" w:hAnsi="Segoe UI Semibold"/>
                          <w:b/>
                          <w:i/>
                          <w:color w:val="FFFFFF"/>
                          <w:sz w:val="24"/>
                        </w:rPr>
                        <w:t>económica</w:t>
                      </w:r>
                      <w:r>
                        <w:rPr>
                          <w:rFonts w:ascii="Segoe UI Semibold" w:hAnsi="Segoe UI Semibold"/>
                          <w:b/>
                          <w:i/>
                          <w:color w:val="FFFFFF"/>
                          <w:spacing w:val="-17"/>
                          <w:sz w:val="24"/>
                        </w:rPr>
                        <w:t> </w:t>
                      </w:r>
                      <w:r>
                        <w:rPr>
                          <w:rFonts w:ascii="Segoe UI Semibold" w:hAnsi="Segoe UI Semibold"/>
                          <w:b/>
                          <w:i/>
                          <w:color w:val="FFFFFF"/>
                          <w:sz w:val="24"/>
                        </w:rPr>
                        <w:t>de</w:t>
                      </w:r>
                      <w:r>
                        <w:rPr>
                          <w:rFonts w:ascii="Segoe UI Semibold" w:hAnsi="Segoe UI Semibold"/>
                          <w:b/>
                          <w:i/>
                          <w:color w:val="FFFFFF"/>
                          <w:spacing w:val="-16"/>
                          <w:sz w:val="24"/>
                        </w:rPr>
                        <w:t> </w:t>
                      </w:r>
                      <w:r>
                        <w:rPr>
                          <w:rFonts w:ascii="Segoe UI Semibold" w:hAnsi="Segoe UI Semibold"/>
                          <w:b/>
                          <w:i/>
                          <w:color w:val="FFFFFF"/>
                          <w:sz w:val="24"/>
                        </w:rPr>
                        <w:t>Cuba</w:t>
                      </w:r>
                      <w:r>
                        <w:rPr>
                          <w:rFonts w:ascii="Segoe UI Semibold" w:hAnsi="Segoe UI Semibold"/>
                          <w:b/>
                          <w:i/>
                          <w:color w:val="FFFFFF"/>
                          <w:spacing w:val="-17"/>
                          <w:sz w:val="24"/>
                        </w:rPr>
                        <w:t> </w:t>
                      </w:r>
                      <w:r>
                        <w:rPr>
                          <w:rFonts w:ascii="Segoe UI Semibold" w:hAnsi="Segoe UI Semibold"/>
                          <w:b/>
                          <w:i/>
                          <w:color w:val="FFFFFF"/>
                          <w:sz w:val="24"/>
                        </w:rPr>
                        <w:t>(…)</w:t>
                      </w:r>
                      <w:r>
                        <w:rPr>
                          <w:rFonts w:ascii="Segoe UI Semibold" w:hAnsi="Segoe UI Semibold"/>
                          <w:b/>
                          <w:i/>
                          <w:color w:val="FFFFFF"/>
                          <w:spacing w:val="-16"/>
                          <w:sz w:val="24"/>
                        </w:rPr>
                        <w:t> </w:t>
                      </w:r>
                      <w:r>
                        <w:rPr>
                          <w:rFonts w:ascii="Segoe UI Semibold" w:hAnsi="Segoe UI Semibold"/>
                          <w:b/>
                          <w:i/>
                          <w:color w:val="FFFFFF"/>
                          <w:sz w:val="24"/>
                        </w:rPr>
                        <w:t>una</w:t>
                      </w:r>
                      <w:r>
                        <w:rPr>
                          <w:rFonts w:ascii="Segoe UI Semibold" w:hAnsi="Segoe UI Semibold"/>
                          <w:b/>
                          <w:i/>
                          <w:color w:val="FFFFFF"/>
                          <w:spacing w:val="-17"/>
                          <w:sz w:val="24"/>
                        </w:rPr>
                        <w:t> </w:t>
                      </w:r>
                      <w:r>
                        <w:rPr>
                          <w:rFonts w:ascii="Segoe UI Semibold" w:hAnsi="Segoe UI Semibold"/>
                          <w:b/>
                          <w:i/>
                          <w:color w:val="FFFFFF"/>
                          <w:sz w:val="24"/>
                        </w:rPr>
                        <w:t>línea</w:t>
                      </w:r>
                      <w:r>
                        <w:rPr>
                          <w:rFonts w:ascii="Segoe UI Semibold" w:hAnsi="Segoe UI Semibold"/>
                          <w:b/>
                          <w:i/>
                          <w:color w:val="FFFFFF"/>
                          <w:spacing w:val="-16"/>
                          <w:sz w:val="24"/>
                        </w:rPr>
                        <w:t> </w:t>
                      </w:r>
                      <w:r>
                        <w:rPr>
                          <w:rFonts w:ascii="Segoe UI Semibold" w:hAnsi="Segoe UI Semibold"/>
                          <w:b/>
                          <w:i/>
                          <w:color w:val="FFFFFF"/>
                          <w:sz w:val="24"/>
                        </w:rPr>
                        <w:t>de acción</w:t>
                      </w:r>
                      <w:r>
                        <w:rPr>
                          <w:rFonts w:ascii="Segoe UI Semibold" w:hAnsi="Segoe UI Semibold"/>
                          <w:b/>
                          <w:i/>
                          <w:color w:val="FFFFFF"/>
                          <w:spacing w:val="-17"/>
                          <w:sz w:val="24"/>
                        </w:rPr>
                        <w:t> </w:t>
                      </w:r>
                      <w:r>
                        <w:rPr>
                          <w:rFonts w:ascii="Segoe UI Semibold" w:hAnsi="Segoe UI Semibold"/>
                          <w:b/>
                          <w:i/>
                          <w:color w:val="FFFFFF"/>
                          <w:sz w:val="24"/>
                        </w:rPr>
                        <w:t>que,</w:t>
                      </w:r>
                      <w:r>
                        <w:rPr>
                          <w:rFonts w:ascii="Segoe UI Semibold" w:hAnsi="Segoe UI Semibold"/>
                          <w:b/>
                          <w:i/>
                          <w:color w:val="FFFFFF"/>
                          <w:spacing w:val="-16"/>
                          <w:sz w:val="24"/>
                        </w:rPr>
                        <w:t> </w:t>
                      </w:r>
                      <w:r>
                        <w:rPr>
                          <w:rFonts w:ascii="Segoe UI Semibold" w:hAnsi="Segoe UI Semibold"/>
                          <w:b/>
                          <w:i/>
                          <w:color w:val="FFFFFF"/>
                          <w:sz w:val="24"/>
                        </w:rPr>
                        <w:t>siendo</w:t>
                      </w:r>
                      <w:r>
                        <w:rPr>
                          <w:rFonts w:ascii="Segoe UI Semibold" w:hAnsi="Segoe UI Semibold"/>
                          <w:b/>
                          <w:i/>
                          <w:color w:val="FFFFFF"/>
                          <w:spacing w:val="-17"/>
                          <w:sz w:val="24"/>
                        </w:rPr>
                        <w:t> </w:t>
                      </w:r>
                      <w:r>
                        <w:rPr>
                          <w:rFonts w:ascii="Segoe UI Semibold" w:hAnsi="Segoe UI Semibold"/>
                          <w:b/>
                          <w:i/>
                          <w:color w:val="FFFFFF"/>
                          <w:sz w:val="24"/>
                        </w:rPr>
                        <w:t>lo</w:t>
                      </w:r>
                      <w:r>
                        <w:rPr>
                          <w:rFonts w:ascii="Segoe UI Semibold" w:hAnsi="Segoe UI Semibold"/>
                          <w:b/>
                          <w:i/>
                          <w:color w:val="FFFFFF"/>
                          <w:spacing w:val="-16"/>
                          <w:sz w:val="24"/>
                        </w:rPr>
                        <w:t> </w:t>
                      </w:r>
                      <w:r>
                        <w:rPr>
                          <w:rFonts w:ascii="Segoe UI Semibold" w:hAnsi="Segoe UI Semibold"/>
                          <w:b/>
                          <w:i/>
                          <w:color w:val="FFFFFF"/>
                          <w:sz w:val="24"/>
                        </w:rPr>
                        <w:t>más</w:t>
                      </w:r>
                      <w:r>
                        <w:rPr>
                          <w:rFonts w:ascii="Segoe UI Semibold" w:hAnsi="Segoe UI Semibold"/>
                          <w:b/>
                          <w:i/>
                          <w:color w:val="FFFFFF"/>
                          <w:spacing w:val="-17"/>
                          <w:sz w:val="24"/>
                        </w:rPr>
                        <w:t> </w:t>
                      </w:r>
                      <w:r>
                        <w:rPr>
                          <w:rFonts w:ascii="Segoe UI Semibold" w:hAnsi="Segoe UI Semibold"/>
                          <w:b/>
                          <w:i/>
                          <w:color w:val="FFFFFF"/>
                          <w:sz w:val="24"/>
                        </w:rPr>
                        <w:t>habilidosa y</w:t>
                      </w:r>
                      <w:r>
                        <w:rPr>
                          <w:rFonts w:ascii="Segoe UI Semibold" w:hAnsi="Segoe UI Semibold"/>
                          <w:b/>
                          <w:i/>
                          <w:color w:val="FFFFFF"/>
                          <w:spacing w:val="-10"/>
                          <w:sz w:val="24"/>
                        </w:rPr>
                        <w:t> </w:t>
                      </w:r>
                      <w:r>
                        <w:rPr>
                          <w:rFonts w:ascii="Segoe UI Semibold" w:hAnsi="Segoe UI Semibold"/>
                          <w:b/>
                          <w:i/>
                          <w:color w:val="FFFFFF"/>
                          <w:sz w:val="24"/>
                        </w:rPr>
                        <w:t>discreta</w:t>
                      </w:r>
                      <w:r>
                        <w:rPr>
                          <w:rFonts w:ascii="Segoe UI Semibold" w:hAnsi="Segoe UI Semibold"/>
                          <w:b/>
                          <w:i/>
                          <w:color w:val="FFFFFF"/>
                          <w:spacing w:val="-10"/>
                          <w:sz w:val="24"/>
                        </w:rPr>
                        <w:t> </w:t>
                      </w:r>
                      <w:r>
                        <w:rPr>
                          <w:rFonts w:ascii="Segoe UI Semibold" w:hAnsi="Segoe UI Semibold"/>
                          <w:b/>
                          <w:i/>
                          <w:color w:val="FFFFFF"/>
                          <w:sz w:val="24"/>
                        </w:rPr>
                        <w:t>posible,</w:t>
                      </w:r>
                      <w:r>
                        <w:rPr>
                          <w:rFonts w:ascii="Segoe UI Semibold" w:hAnsi="Segoe UI Semibold"/>
                          <w:b/>
                          <w:i/>
                          <w:color w:val="FFFFFF"/>
                          <w:spacing w:val="-10"/>
                          <w:sz w:val="24"/>
                        </w:rPr>
                        <w:t> </w:t>
                      </w:r>
                      <w:r>
                        <w:rPr>
                          <w:rFonts w:ascii="Segoe UI Semibold" w:hAnsi="Segoe UI Semibold"/>
                          <w:b/>
                          <w:i/>
                          <w:color w:val="FFFFFF"/>
                          <w:sz w:val="24"/>
                        </w:rPr>
                        <w:t>logre</w:t>
                      </w:r>
                      <w:r>
                        <w:rPr>
                          <w:rFonts w:ascii="Segoe UI Semibold" w:hAnsi="Segoe UI Semibold"/>
                          <w:b/>
                          <w:i/>
                          <w:color w:val="FFFFFF"/>
                          <w:spacing w:val="-10"/>
                          <w:sz w:val="24"/>
                        </w:rPr>
                        <w:t> </w:t>
                      </w:r>
                      <w:r>
                        <w:rPr>
                          <w:rFonts w:ascii="Segoe UI Semibold" w:hAnsi="Segoe UI Semibold"/>
                          <w:b/>
                          <w:i/>
                          <w:color w:val="FFFFFF"/>
                          <w:sz w:val="24"/>
                        </w:rPr>
                        <w:t>los</w:t>
                      </w:r>
                      <w:r>
                        <w:rPr>
                          <w:rFonts w:ascii="Segoe UI Semibold" w:hAnsi="Segoe UI Semibold"/>
                          <w:b/>
                          <w:i/>
                          <w:color w:val="FFFFFF"/>
                          <w:spacing w:val="-10"/>
                          <w:sz w:val="24"/>
                        </w:rPr>
                        <w:t> </w:t>
                      </w:r>
                      <w:r>
                        <w:rPr>
                          <w:rFonts w:ascii="Segoe UI Semibold" w:hAnsi="Segoe UI Semibold"/>
                          <w:b/>
                          <w:i/>
                          <w:color w:val="FFFFFF"/>
                          <w:sz w:val="24"/>
                        </w:rPr>
                        <w:t>mayores avances en la privación a Cuba de dinero y suministros, para reducirle </w:t>
                      </w:r>
                      <w:r>
                        <w:rPr>
                          <w:rFonts w:ascii="Segoe UI Semibold" w:hAnsi="Segoe UI Semibold"/>
                          <w:b/>
                          <w:i/>
                          <w:color w:val="FFFFFF"/>
                          <w:spacing w:val="-2"/>
                          <w:sz w:val="24"/>
                        </w:rPr>
                        <w:t>sus</w:t>
                      </w:r>
                      <w:r>
                        <w:rPr>
                          <w:rFonts w:ascii="Segoe UI Semibold" w:hAnsi="Segoe UI Semibold"/>
                          <w:b/>
                          <w:i/>
                          <w:color w:val="FFFFFF"/>
                          <w:spacing w:val="-15"/>
                          <w:sz w:val="24"/>
                        </w:rPr>
                        <w:t> </w:t>
                      </w:r>
                      <w:r>
                        <w:rPr>
                          <w:rFonts w:ascii="Segoe UI Semibold" w:hAnsi="Segoe UI Semibold"/>
                          <w:b/>
                          <w:i/>
                          <w:color w:val="FFFFFF"/>
                          <w:spacing w:val="-2"/>
                          <w:sz w:val="24"/>
                        </w:rPr>
                        <w:t>recursos</w:t>
                      </w:r>
                      <w:r>
                        <w:rPr>
                          <w:rFonts w:ascii="Segoe UI Semibold" w:hAnsi="Segoe UI Semibold"/>
                          <w:b/>
                          <w:i/>
                          <w:color w:val="FFFFFF"/>
                          <w:spacing w:val="-14"/>
                          <w:sz w:val="24"/>
                        </w:rPr>
                        <w:t> </w:t>
                      </w:r>
                      <w:r>
                        <w:rPr>
                          <w:rFonts w:ascii="Segoe UI Semibold" w:hAnsi="Segoe UI Semibold"/>
                          <w:b/>
                          <w:i/>
                          <w:color w:val="FFFFFF"/>
                          <w:spacing w:val="-2"/>
                          <w:sz w:val="24"/>
                        </w:rPr>
                        <w:t>financieros</w:t>
                      </w:r>
                      <w:r>
                        <w:rPr>
                          <w:rFonts w:ascii="Segoe UI Semibold" w:hAnsi="Segoe UI Semibold"/>
                          <w:b/>
                          <w:i/>
                          <w:color w:val="FFFFFF"/>
                          <w:spacing w:val="-15"/>
                          <w:sz w:val="24"/>
                        </w:rPr>
                        <w:t> </w:t>
                      </w:r>
                      <w:r>
                        <w:rPr>
                          <w:rFonts w:ascii="Segoe UI Semibold" w:hAnsi="Segoe UI Semibold"/>
                          <w:b/>
                          <w:i/>
                          <w:color w:val="FFFFFF"/>
                          <w:spacing w:val="-2"/>
                          <w:sz w:val="24"/>
                        </w:rPr>
                        <w:t>y</w:t>
                      </w:r>
                      <w:r>
                        <w:rPr>
                          <w:rFonts w:ascii="Segoe UI Semibold" w:hAnsi="Segoe UI Semibold"/>
                          <w:b/>
                          <w:i/>
                          <w:color w:val="FFFFFF"/>
                          <w:spacing w:val="-14"/>
                          <w:sz w:val="24"/>
                        </w:rPr>
                        <w:t> </w:t>
                      </w:r>
                      <w:r>
                        <w:rPr>
                          <w:rFonts w:ascii="Segoe UI Semibold" w:hAnsi="Segoe UI Semibold"/>
                          <w:b/>
                          <w:i/>
                          <w:color w:val="FFFFFF"/>
                          <w:spacing w:val="-2"/>
                          <w:sz w:val="24"/>
                        </w:rPr>
                        <w:t>los</w:t>
                      </w:r>
                      <w:r>
                        <w:rPr>
                          <w:rFonts w:ascii="Segoe UI Semibold" w:hAnsi="Segoe UI Semibold"/>
                          <w:b/>
                          <w:i/>
                          <w:color w:val="FFFFFF"/>
                          <w:spacing w:val="-15"/>
                          <w:sz w:val="24"/>
                        </w:rPr>
                        <w:t> </w:t>
                      </w:r>
                      <w:r>
                        <w:rPr>
                          <w:rFonts w:ascii="Segoe UI Semibold" w:hAnsi="Segoe UI Semibold"/>
                          <w:b/>
                          <w:i/>
                          <w:color w:val="FFFFFF"/>
                          <w:spacing w:val="-2"/>
                          <w:sz w:val="24"/>
                        </w:rPr>
                        <w:t>salarios </w:t>
                      </w:r>
                      <w:r>
                        <w:rPr>
                          <w:rFonts w:ascii="Segoe UI Semibold" w:hAnsi="Segoe UI Semibold"/>
                          <w:b/>
                          <w:i/>
                          <w:color w:val="FFFFFF"/>
                          <w:spacing w:val="-12"/>
                          <w:sz w:val="24"/>
                        </w:rPr>
                        <w:t>reales,</w:t>
                      </w:r>
                      <w:r>
                        <w:rPr>
                          <w:rFonts w:ascii="Segoe UI Semibold" w:hAnsi="Segoe UI Semibold"/>
                          <w:b/>
                          <w:i/>
                          <w:color w:val="FFFFFF"/>
                          <w:sz w:val="24"/>
                        </w:rPr>
                        <w:t> </w:t>
                      </w:r>
                      <w:r>
                        <w:rPr>
                          <w:rFonts w:ascii="Segoe UI Semibold" w:hAnsi="Segoe UI Semibold"/>
                          <w:b/>
                          <w:i/>
                          <w:color w:val="FFFFFF"/>
                          <w:spacing w:val="-12"/>
                          <w:sz w:val="24"/>
                        </w:rPr>
                        <w:t>provocar</w:t>
                      </w:r>
                      <w:r>
                        <w:rPr>
                          <w:rFonts w:ascii="Segoe UI Semibold" w:hAnsi="Segoe UI Semibold"/>
                          <w:b/>
                          <w:i/>
                          <w:color w:val="FFFFFF"/>
                          <w:sz w:val="24"/>
                        </w:rPr>
                        <w:t> </w:t>
                      </w:r>
                      <w:r>
                        <w:rPr>
                          <w:rFonts w:ascii="Segoe UI Semibold" w:hAnsi="Segoe UI Semibold"/>
                          <w:b/>
                          <w:i/>
                          <w:color w:val="FFFFFF"/>
                          <w:spacing w:val="-12"/>
                          <w:sz w:val="24"/>
                        </w:rPr>
                        <w:t>hambre,</w:t>
                      </w:r>
                      <w:r>
                        <w:rPr>
                          <w:rFonts w:ascii="Segoe UI Semibold" w:hAnsi="Segoe UI Semibold"/>
                          <w:b/>
                          <w:i/>
                          <w:color w:val="FFFFFF"/>
                          <w:sz w:val="24"/>
                        </w:rPr>
                        <w:t> </w:t>
                      </w:r>
                      <w:r>
                        <w:rPr>
                          <w:rFonts w:ascii="Segoe UI Semibold" w:hAnsi="Segoe UI Semibold"/>
                          <w:b/>
                          <w:i/>
                          <w:color w:val="FFFFFF"/>
                          <w:spacing w:val="-12"/>
                          <w:sz w:val="24"/>
                        </w:rPr>
                        <w:t>desesperación </w:t>
                      </w:r>
                      <w:r>
                        <w:rPr>
                          <w:rFonts w:ascii="Segoe UI Semibold" w:hAnsi="Segoe UI Semibold"/>
                          <w:b/>
                          <w:i/>
                          <w:color w:val="FFFFFF"/>
                          <w:spacing w:val="-2"/>
                          <w:sz w:val="24"/>
                        </w:rPr>
                        <w:t>y</w:t>
                      </w:r>
                      <w:r>
                        <w:rPr>
                          <w:rFonts w:ascii="Segoe UI Semibold" w:hAnsi="Segoe UI Semibold"/>
                          <w:b/>
                          <w:i/>
                          <w:color w:val="FFFFFF"/>
                          <w:spacing w:val="-15"/>
                          <w:sz w:val="24"/>
                        </w:rPr>
                        <w:t> </w:t>
                      </w:r>
                      <w:r>
                        <w:rPr>
                          <w:rFonts w:ascii="Segoe UI Semibold" w:hAnsi="Segoe UI Semibold"/>
                          <w:b/>
                          <w:i/>
                          <w:color w:val="FFFFFF"/>
                          <w:spacing w:val="-2"/>
                          <w:sz w:val="24"/>
                        </w:rPr>
                        <w:t>el</w:t>
                      </w:r>
                      <w:r>
                        <w:rPr>
                          <w:rFonts w:ascii="Segoe UI Semibold" w:hAnsi="Segoe UI Semibold"/>
                          <w:b/>
                          <w:i/>
                          <w:color w:val="FFFFFF"/>
                          <w:spacing w:val="-15"/>
                          <w:sz w:val="24"/>
                        </w:rPr>
                        <w:t> </w:t>
                      </w:r>
                      <w:r>
                        <w:rPr>
                          <w:rFonts w:ascii="Segoe UI Semibold" w:hAnsi="Segoe UI Semibold"/>
                          <w:b/>
                          <w:i/>
                          <w:color w:val="FFFFFF"/>
                          <w:spacing w:val="-2"/>
                          <w:sz w:val="24"/>
                        </w:rPr>
                        <w:t>derrocamiento</w:t>
                      </w:r>
                      <w:r>
                        <w:rPr>
                          <w:rFonts w:ascii="Segoe UI Semibold" w:hAnsi="Segoe UI Semibold"/>
                          <w:b/>
                          <w:i/>
                          <w:color w:val="FFFFFF"/>
                          <w:spacing w:val="-15"/>
                          <w:sz w:val="24"/>
                        </w:rPr>
                        <w:t> </w:t>
                      </w:r>
                      <w:r>
                        <w:rPr>
                          <w:rFonts w:ascii="Segoe UI Semibold" w:hAnsi="Segoe UI Semibold"/>
                          <w:b/>
                          <w:i/>
                          <w:color w:val="FFFFFF"/>
                          <w:spacing w:val="-2"/>
                          <w:sz w:val="24"/>
                        </w:rPr>
                        <w:t>del</w:t>
                      </w:r>
                      <w:r>
                        <w:rPr>
                          <w:rFonts w:ascii="Segoe UI Semibold" w:hAnsi="Segoe UI Semibold"/>
                          <w:b/>
                          <w:i/>
                          <w:color w:val="FFFFFF"/>
                          <w:spacing w:val="-15"/>
                          <w:sz w:val="24"/>
                        </w:rPr>
                        <w:t> </w:t>
                      </w:r>
                      <w:r>
                        <w:rPr>
                          <w:rFonts w:ascii="Segoe UI Semibold" w:hAnsi="Segoe UI Semibold"/>
                          <w:b/>
                          <w:i/>
                          <w:color w:val="FFFFFF"/>
                          <w:spacing w:val="-2"/>
                          <w:sz w:val="24"/>
                        </w:rPr>
                        <w:t>Gobierno”.</w:t>
                      </w:r>
                    </w:p>
                  </w:txbxContent>
                </v:textbox>
                <v:fill type="solid"/>
                <w10:wrap type="none"/>
              </v:shape>
            </w:pict>
          </mc:Fallback>
        </mc:AlternateContent>
      </w:r>
      <w:r>
        <w:rPr>
          <w:color w:val="231F20"/>
        </w:rPr>
        <w:t>Así lo demuestra el infame memorándum del entonces Vicesecretario de Estado </w:t>
      </w:r>
      <w:r>
        <w:rPr>
          <w:color w:val="231F20"/>
          <w:spacing w:val="-4"/>
        </w:rPr>
        <w:t>Asistente para los Asuntos Interamericanos del</w:t>
      </w:r>
      <w:r>
        <w:rPr>
          <w:color w:val="231F20"/>
          <w:spacing w:val="-13"/>
        </w:rPr>
        <w:t> </w:t>
      </w:r>
      <w:r>
        <w:rPr>
          <w:color w:val="231F20"/>
          <w:spacing w:val="-4"/>
        </w:rPr>
        <w:t>Departamento</w:t>
      </w:r>
      <w:r>
        <w:rPr>
          <w:color w:val="231F20"/>
          <w:spacing w:val="-12"/>
        </w:rPr>
        <w:t> </w:t>
      </w:r>
      <w:r>
        <w:rPr>
          <w:color w:val="231F20"/>
          <w:spacing w:val="-4"/>
        </w:rPr>
        <w:t>de</w:t>
      </w:r>
      <w:r>
        <w:rPr>
          <w:color w:val="231F20"/>
          <w:spacing w:val="-13"/>
        </w:rPr>
        <w:t> </w:t>
      </w:r>
      <w:r>
        <w:rPr>
          <w:color w:val="231F20"/>
          <w:spacing w:val="-4"/>
        </w:rPr>
        <w:t>Estado</w:t>
      </w:r>
      <w:r>
        <w:rPr>
          <w:color w:val="231F20"/>
          <w:spacing w:val="-12"/>
        </w:rPr>
        <w:t> </w:t>
      </w:r>
      <w:r>
        <w:rPr>
          <w:color w:val="231F20"/>
          <w:spacing w:val="-4"/>
        </w:rPr>
        <w:t>de</w:t>
      </w:r>
      <w:r>
        <w:rPr>
          <w:color w:val="231F20"/>
          <w:spacing w:val="-13"/>
        </w:rPr>
        <w:t> </w:t>
      </w:r>
      <w:r>
        <w:rPr>
          <w:color w:val="231F20"/>
          <w:spacing w:val="-4"/>
        </w:rPr>
        <w:t>los</w:t>
      </w:r>
      <w:r>
        <w:rPr>
          <w:color w:val="231F20"/>
          <w:spacing w:val="-12"/>
        </w:rPr>
        <w:t> </w:t>
      </w:r>
      <w:r>
        <w:rPr>
          <w:color w:val="231F20"/>
          <w:spacing w:val="-4"/>
        </w:rPr>
        <w:t>Estados </w:t>
      </w:r>
      <w:r>
        <w:rPr>
          <w:color w:val="231F20"/>
        </w:rPr>
        <w:t>Unidos, Lester Mallory, quien el 6 de abril </w:t>
      </w:r>
      <w:r>
        <w:rPr>
          <w:color w:val="231F20"/>
          <w:spacing w:val="-4"/>
        </w:rPr>
        <w:t>de</w:t>
      </w:r>
      <w:r>
        <w:rPr>
          <w:color w:val="231F20"/>
          <w:spacing w:val="-13"/>
        </w:rPr>
        <w:t> </w:t>
      </w:r>
      <w:r>
        <w:rPr>
          <w:color w:val="231F20"/>
          <w:spacing w:val="-4"/>
        </w:rPr>
        <w:t>1960,</w:t>
      </w:r>
      <w:r>
        <w:rPr>
          <w:color w:val="231F20"/>
          <w:spacing w:val="-12"/>
        </w:rPr>
        <w:t> </w:t>
      </w:r>
      <w:r>
        <w:rPr>
          <w:color w:val="231F20"/>
          <w:spacing w:val="-4"/>
        </w:rPr>
        <w:t>al</w:t>
      </w:r>
      <w:r>
        <w:rPr>
          <w:color w:val="231F20"/>
          <w:spacing w:val="-13"/>
        </w:rPr>
        <w:t> </w:t>
      </w:r>
      <w:r>
        <w:rPr>
          <w:color w:val="231F20"/>
          <w:spacing w:val="-4"/>
        </w:rPr>
        <w:t>describir</w:t>
      </w:r>
      <w:r>
        <w:rPr>
          <w:color w:val="231F20"/>
          <w:spacing w:val="-12"/>
        </w:rPr>
        <w:t> </w:t>
      </w:r>
      <w:r>
        <w:rPr>
          <w:color w:val="231F20"/>
          <w:spacing w:val="-4"/>
        </w:rPr>
        <w:t>el</w:t>
      </w:r>
      <w:r>
        <w:rPr>
          <w:color w:val="231F20"/>
          <w:spacing w:val="-13"/>
        </w:rPr>
        <w:t> </w:t>
      </w:r>
      <w:r>
        <w:rPr>
          <w:color w:val="231F20"/>
          <w:spacing w:val="-4"/>
        </w:rPr>
        <w:t>objetivo</w:t>
      </w:r>
      <w:r>
        <w:rPr>
          <w:color w:val="231F20"/>
          <w:spacing w:val="-12"/>
        </w:rPr>
        <w:t> </w:t>
      </w:r>
      <w:r>
        <w:rPr>
          <w:color w:val="231F20"/>
          <w:spacing w:val="-4"/>
        </w:rPr>
        <w:t>del</w:t>
      </w:r>
      <w:r>
        <w:rPr>
          <w:color w:val="231F20"/>
          <w:spacing w:val="-13"/>
        </w:rPr>
        <w:t> </w:t>
      </w:r>
      <w:r>
        <w:rPr>
          <w:color w:val="231F20"/>
          <w:spacing w:val="-4"/>
        </w:rPr>
        <w:t>bloqueo </w:t>
      </w:r>
      <w:r>
        <w:rPr>
          <w:color w:val="231F20"/>
        </w:rPr>
        <w:t>contra Cuba, apuntaba:</w:t>
      </w:r>
    </w:p>
    <w:p>
      <w:pPr>
        <w:pStyle w:val="BodyText"/>
        <w:spacing w:before="77"/>
        <w:ind w:left="673" w:right="1131" w:hanging="261"/>
      </w:pPr>
      <w:r>
        <w:rPr/>
        <w:br w:type="column"/>
      </w:r>
      <w:r>
        <w:rPr>
          <w:position w:val="4"/>
        </w:rPr>
        <w:drawing>
          <wp:inline distT="0" distB="0" distL="0" distR="0">
            <wp:extent cx="59207" cy="59207"/>
            <wp:effectExtent l="0" t="0" r="0" b="0"/>
            <wp:docPr id="70" name="Image 70"/>
            <wp:cNvGraphicFramePr>
              <a:graphicFrameLocks/>
            </wp:cNvGraphicFramePr>
            <a:graphic>
              <a:graphicData uri="http://schemas.openxmlformats.org/drawingml/2006/picture">
                <pic:pic>
                  <pic:nvPicPr>
                    <pic:cNvPr id="70" name="Image 70"/>
                    <pic:cNvPicPr/>
                  </pic:nvPicPr>
                  <pic:blipFill>
                    <a:blip r:embed="rId9"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40"/>
          <w:sz w:val="20"/>
        </w:rPr>
        <w:t> </w:t>
      </w:r>
      <w:r>
        <w:rPr>
          <w:color w:val="231F20"/>
        </w:rPr>
        <w:t>El tiempo destinado a la búsqueda </w:t>
      </w:r>
      <w:r>
        <w:rPr>
          <w:color w:val="231F20"/>
        </w:rPr>
        <w:t>de </w:t>
      </w:r>
      <w:r>
        <w:rPr>
          <w:color w:val="231F20"/>
          <w:spacing w:val="-4"/>
        </w:rPr>
        <w:t>soluciones</w:t>
      </w:r>
      <w:r>
        <w:rPr>
          <w:color w:val="231F20"/>
          <w:spacing w:val="-7"/>
        </w:rPr>
        <w:t> </w:t>
      </w:r>
      <w:r>
        <w:rPr>
          <w:color w:val="231F20"/>
          <w:spacing w:val="-4"/>
        </w:rPr>
        <w:t>y</w:t>
      </w:r>
      <w:r>
        <w:rPr>
          <w:color w:val="231F20"/>
          <w:spacing w:val="-7"/>
        </w:rPr>
        <w:t> </w:t>
      </w:r>
      <w:r>
        <w:rPr>
          <w:color w:val="231F20"/>
          <w:spacing w:val="-4"/>
        </w:rPr>
        <w:t>alternativas</w:t>
      </w:r>
      <w:r>
        <w:rPr>
          <w:color w:val="231F20"/>
          <w:spacing w:val="-7"/>
        </w:rPr>
        <w:t> </w:t>
      </w:r>
      <w:r>
        <w:rPr>
          <w:color w:val="231F20"/>
          <w:spacing w:val="-4"/>
        </w:rPr>
        <w:t>a</w:t>
      </w:r>
      <w:r>
        <w:rPr>
          <w:color w:val="231F20"/>
          <w:spacing w:val="-7"/>
        </w:rPr>
        <w:t> </w:t>
      </w:r>
      <w:r>
        <w:rPr>
          <w:color w:val="231F20"/>
          <w:spacing w:val="-4"/>
        </w:rPr>
        <w:t>los</w:t>
      </w:r>
      <w:r>
        <w:rPr>
          <w:color w:val="231F20"/>
          <w:spacing w:val="-7"/>
        </w:rPr>
        <w:t> </w:t>
      </w:r>
      <w:r>
        <w:rPr>
          <w:color w:val="231F20"/>
          <w:spacing w:val="-4"/>
        </w:rPr>
        <w:t>problemas </w:t>
      </w:r>
      <w:r>
        <w:rPr>
          <w:color w:val="231F20"/>
        </w:rPr>
        <w:t>diarios que genera el bloqueo.</w:t>
      </w:r>
    </w:p>
    <w:p>
      <w:pPr>
        <w:pStyle w:val="BodyText"/>
        <w:spacing w:before="162"/>
        <w:ind w:left="673" w:right="1131" w:hanging="261"/>
      </w:pPr>
      <w:r>
        <w:rPr>
          <w:position w:val="3"/>
        </w:rPr>
        <w:drawing>
          <wp:inline distT="0" distB="0" distL="0" distR="0">
            <wp:extent cx="59207" cy="59207"/>
            <wp:effectExtent l="0" t="0" r="0" b="0"/>
            <wp:docPr id="71" name="Image 71"/>
            <wp:cNvGraphicFramePr>
              <a:graphicFrameLocks/>
            </wp:cNvGraphicFramePr>
            <a:graphic>
              <a:graphicData uri="http://schemas.openxmlformats.org/drawingml/2006/picture">
                <pic:pic>
                  <pic:nvPicPr>
                    <pic:cNvPr id="71" name="Image 71"/>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El efecto acumulado de más de seis décadas de aplicación de esta política sobre la percepción del </w:t>
      </w:r>
      <w:r>
        <w:rPr>
          <w:color w:val="231F20"/>
        </w:rPr>
        <w:t>proyecto</w:t>
      </w:r>
      <w:r>
        <w:rPr>
          <w:color w:val="231F20"/>
          <w:spacing w:val="80"/>
        </w:rPr>
        <w:t> </w:t>
      </w:r>
      <w:r>
        <w:rPr>
          <w:color w:val="231F20"/>
        </w:rPr>
        <w:t>social cubano y la erosión de sus </w:t>
      </w:r>
      <w:r>
        <w:rPr>
          <w:color w:val="231F20"/>
          <w:spacing w:val="-2"/>
        </w:rPr>
        <w:t>potencialidades.</w:t>
      </w:r>
    </w:p>
    <w:p>
      <w:pPr>
        <w:pStyle w:val="BodyText"/>
        <w:spacing w:before="164"/>
        <w:ind w:left="673" w:right="1131" w:hanging="261"/>
      </w:pPr>
      <w:r>
        <w:rPr>
          <w:position w:val="3"/>
        </w:rPr>
        <w:drawing>
          <wp:inline distT="0" distB="0" distL="0" distR="0">
            <wp:extent cx="59207" cy="59207"/>
            <wp:effectExtent l="0" t="0" r="0" b="0"/>
            <wp:docPr id="72" name="Image 72"/>
            <wp:cNvGraphicFramePr>
              <a:graphicFrameLocks/>
            </wp:cNvGraphicFramePr>
            <a:graphic>
              <a:graphicData uri="http://schemas.openxmlformats.org/drawingml/2006/picture">
                <pic:pic>
                  <pic:nvPicPr>
                    <pic:cNvPr id="72" name="Image 72"/>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Los niveles de desencanto, angustia, desesperación e insatisfacción de </w:t>
      </w:r>
      <w:r>
        <w:rPr>
          <w:color w:val="231F20"/>
        </w:rPr>
        <w:t>la población producto de la inestabilidad de bienes y servicios de primera necesidad y las dificultades materiales.</w:t>
      </w:r>
    </w:p>
    <w:p>
      <w:pPr>
        <w:pStyle w:val="BodyText"/>
        <w:spacing w:before="164"/>
        <w:ind w:left="673" w:right="1134" w:hanging="261"/>
      </w:pPr>
      <w:r>
        <w:rPr>
          <w:position w:val="3"/>
        </w:rPr>
        <w:drawing>
          <wp:inline distT="0" distB="0" distL="0" distR="0">
            <wp:extent cx="59207" cy="59207"/>
            <wp:effectExtent l="0" t="0" r="0" b="0"/>
            <wp:docPr id="73" name="Image 73"/>
            <wp:cNvGraphicFramePr>
              <a:graphicFrameLocks/>
            </wp:cNvGraphicFramePr>
            <a:graphic>
              <a:graphicData uri="http://schemas.openxmlformats.org/drawingml/2006/picture">
                <pic:pic>
                  <pic:nvPicPr>
                    <pic:cNvPr id="73" name="Image 73"/>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Los</w:t>
      </w:r>
      <w:r>
        <w:rPr>
          <w:color w:val="231F20"/>
          <w:spacing w:val="40"/>
        </w:rPr>
        <w:t> </w:t>
      </w:r>
      <w:r>
        <w:rPr>
          <w:color w:val="231F20"/>
        </w:rPr>
        <w:t>daños</w:t>
      </w:r>
      <w:r>
        <w:rPr>
          <w:color w:val="231F20"/>
          <w:spacing w:val="40"/>
        </w:rPr>
        <w:t> </w:t>
      </w:r>
      <w:r>
        <w:rPr>
          <w:color w:val="231F20"/>
        </w:rPr>
        <w:t>psicológicos</w:t>
      </w:r>
      <w:r>
        <w:rPr>
          <w:color w:val="231F20"/>
          <w:spacing w:val="40"/>
        </w:rPr>
        <w:t> </w:t>
      </w:r>
      <w:r>
        <w:rPr>
          <w:color w:val="231F20"/>
        </w:rPr>
        <w:t>que</w:t>
      </w:r>
      <w:r>
        <w:rPr>
          <w:color w:val="231F20"/>
          <w:spacing w:val="40"/>
        </w:rPr>
        <w:t> </w:t>
      </w:r>
      <w:r>
        <w:rPr>
          <w:color w:val="231F20"/>
        </w:rPr>
        <w:t>generan los proyectos de vida truncados y la </w:t>
      </w:r>
      <w:r>
        <w:rPr>
          <w:color w:val="231F20"/>
          <w:spacing w:val="-4"/>
        </w:rPr>
        <w:t>separación</w:t>
      </w:r>
      <w:r>
        <w:rPr>
          <w:color w:val="231F20"/>
          <w:spacing w:val="-13"/>
        </w:rPr>
        <w:t> </w:t>
      </w:r>
      <w:r>
        <w:rPr>
          <w:color w:val="231F20"/>
          <w:spacing w:val="-4"/>
        </w:rPr>
        <w:t>de</w:t>
      </w:r>
      <w:r>
        <w:rPr>
          <w:color w:val="231F20"/>
          <w:spacing w:val="-12"/>
        </w:rPr>
        <w:t> </w:t>
      </w:r>
      <w:r>
        <w:rPr>
          <w:color w:val="231F20"/>
          <w:spacing w:val="-4"/>
        </w:rPr>
        <w:t>familias</w:t>
      </w:r>
      <w:r>
        <w:rPr>
          <w:color w:val="231F20"/>
          <w:spacing w:val="-13"/>
        </w:rPr>
        <w:t> </w:t>
      </w:r>
      <w:r>
        <w:rPr>
          <w:color w:val="231F20"/>
          <w:spacing w:val="-4"/>
        </w:rPr>
        <w:t>en</w:t>
      </w:r>
      <w:r>
        <w:rPr>
          <w:color w:val="231F20"/>
          <w:spacing w:val="-12"/>
        </w:rPr>
        <w:t> </w:t>
      </w:r>
      <w:r>
        <w:rPr>
          <w:color w:val="231F20"/>
          <w:spacing w:val="-4"/>
        </w:rPr>
        <w:t>la</w:t>
      </w:r>
      <w:r>
        <w:rPr>
          <w:color w:val="231F20"/>
          <w:spacing w:val="-13"/>
        </w:rPr>
        <w:t> </w:t>
      </w:r>
      <w:r>
        <w:rPr>
          <w:color w:val="231F20"/>
          <w:spacing w:val="-4"/>
        </w:rPr>
        <w:t>búsqueda</w:t>
      </w:r>
      <w:r>
        <w:rPr>
          <w:color w:val="231F20"/>
          <w:spacing w:val="-12"/>
        </w:rPr>
        <w:t> </w:t>
      </w:r>
      <w:r>
        <w:rPr>
          <w:color w:val="231F20"/>
          <w:spacing w:val="-4"/>
        </w:rPr>
        <w:t>de </w:t>
      </w:r>
      <w:r>
        <w:rPr>
          <w:color w:val="231F20"/>
        </w:rPr>
        <w:t>sus</w:t>
      </w:r>
      <w:r>
        <w:rPr>
          <w:color w:val="231F20"/>
          <w:spacing w:val="-5"/>
        </w:rPr>
        <w:t> </w:t>
      </w:r>
      <w:r>
        <w:rPr>
          <w:color w:val="231F20"/>
        </w:rPr>
        <w:t>legítimas</w:t>
      </w:r>
      <w:r>
        <w:rPr>
          <w:color w:val="231F20"/>
          <w:spacing w:val="-5"/>
        </w:rPr>
        <w:t> </w:t>
      </w:r>
      <w:r>
        <w:rPr>
          <w:color w:val="231F20"/>
        </w:rPr>
        <w:t>aspiraciones</w:t>
      </w:r>
      <w:r>
        <w:rPr>
          <w:color w:val="231F20"/>
          <w:spacing w:val="-5"/>
        </w:rPr>
        <w:t> </w:t>
      </w:r>
      <w:r>
        <w:rPr>
          <w:color w:val="231F20"/>
        </w:rPr>
        <w:t>al</w:t>
      </w:r>
      <w:r>
        <w:rPr>
          <w:color w:val="231F20"/>
          <w:spacing w:val="-5"/>
        </w:rPr>
        <w:t> </w:t>
      </w:r>
      <w:r>
        <w:rPr>
          <w:color w:val="231F20"/>
        </w:rPr>
        <w:t>desarrollo.</w:t>
      </w:r>
    </w:p>
    <w:p>
      <w:pPr>
        <w:pStyle w:val="BodyText"/>
        <w:spacing w:before="163"/>
        <w:ind w:left="413"/>
      </w:pPr>
      <w:r>
        <w:rPr>
          <w:position w:val="3"/>
        </w:rPr>
        <w:drawing>
          <wp:inline distT="0" distB="0" distL="0" distR="0">
            <wp:extent cx="59207" cy="59207"/>
            <wp:effectExtent l="0" t="0" r="0" b="0"/>
            <wp:docPr id="74" name="Image 74"/>
            <wp:cNvGraphicFramePr>
              <a:graphicFrameLocks/>
            </wp:cNvGraphicFramePr>
            <a:graphic>
              <a:graphicData uri="http://schemas.openxmlformats.org/drawingml/2006/picture">
                <pic:pic>
                  <pic:nvPicPr>
                    <pic:cNvPr id="74" name="Image 74"/>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spacing w:val="80"/>
          <w:w w:val="150"/>
          <w:sz w:val="20"/>
        </w:rPr>
        <w:t> </w:t>
      </w:r>
      <w:r>
        <w:rPr>
          <w:color w:val="231F20"/>
        </w:rPr>
        <w:t>El impacto del bloqueo en el derecho a</w:t>
      </w:r>
    </w:p>
    <w:p>
      <w:pPr>
        <w:pStyle w:val="BodyText"/>
        <w:spacing w:before="1"/>
        <w:ind w:left="673"/>
        <w:jc w:val="left"/>
      </w:pPr>
      <w:r>
        <w:rPr>
          <w:color w:val="231F20"/>
        </w:rPr>
        <w:t>la </w:t>
      </w:r>
      <w:r>
        <w:rPr>
          <w:color w:val="231F20"/>
          <w:spacing w:val="-2"/>
        </w:rPr>
        <w:t>vida.</w:t>
      </w:r>
    </w:p>
    <w:p>
      <w:pPr>
        <w:pStyle w:val="BodyText"/>
        <w:spacing w:before="161"/>
        <w:ind w:left="673" w:right="1131" w:hanging="261"/>
      </w:pPr>
      <w:r>
        <w:rPr>
          <w:position w:val="3"/>
        </w:rPr>
        <w:drawing>
          <wp:inline distT="0" distB="0" distL="0" distR="0">
            <wp:extent cx="59207" cy="59207"/>
            <wp:effectExtent l="0" t="0" r="0" b="0"/>
            <wp:docPr id="75" name="Image 75"/>
            <wp:cNvGraphicFramePr>
              <a:graphicFrameLocks/>
            </wp:cNvGraphicFramePr>
            <a:graphic>
              <a:graphicData uri="http://schemas.openxmlformats.org/drawingml/2006/picture">
                <pic:pic>
                  <pic:nvPicPr>
                    <pic:cNvPr id="75" name="Image 75"/>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Las pérdidas de vidas humanas como resultado del flujo migratorio </w:t>
      </w:r>
      <w:r>
        <w:rPr>
          <w:color w:val="231F20"/>
        </w:rPr>
        <w:t>irregular entre Cuba y los Estados Unidos.</w:t>
      </w:r>
    </w:p>
    <w:p>
      <w:pPr>
        <w:pStyle w:val="BodyText"/>
        <w:spacing w:before="162"/>
        <w:ind w:left="673" w:right="1131" w:hanging="261"/>
      </w:pPr>
      <w:r>
        <w:rPr>
          <w:position w:val="3"/>
        </w:rPr>
        <w:drawing>
          <wp:inline distT="0" distB="0" distL="0" distR="0">
            <wp:extent cx="59207" cy="59207"/>
            <wp:effectExtent l="0" t="0" r="0" b="0"/>
            <wp:docPr id="76" name="Image 76"/>
            <wp:cNvGraphicFramePr>
              <a:graphicFrameLocks/>
            </wp:cNvGraphicFramePr>
            <a:graphic>
              <a:graphicData uri="http://schemas.openxmlformats.org/drawingml/2006/picture">
                <pic:pic>
                  <pic:nvPicPr>
                    <pic:cNvPr id="76" name="Image 76"/>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Las pérdidas de vidas humanas por la imposibilidad</w:t>
      </w:r>
      <w:r>
        <w:rPr>
          <w:color w:val="231F20"/>
          <w:spacing w:val="40"/>
        </w:rPr>
        <w:t> </w:t>
      </w:r>
      <w:r>
        <w:rPr>
          <w:color w:val="231F20"/>
        </w:rPr>
        <w:t>de</w:t>
      </w:r>
      <w:r>
        <w:rPr>
          <w:color w:val="231F20"/>
          <w:spacing w:val="40"/>
        </w:rPr>
        <w:t> </w:t>
      </w:r>
      <w:r>
        <w:rPr>
          <w:color w:val="231F20"/>
        </w:rPr>
        <w:t>acceder</w:t>
      </w:r>
      <w:r>
        <w:rPr>
          <w:color w:val="231F20"/>
          <w:spacing w:val="40"/>
        </w:rPr>
        <w:t> </w:t>
      </w:r>
      <w:r>
        <w:rPr>
          <w:color w:val="231F20"/>
        </w:rPr>
        <w:t>a</w:t>
      </w:r>
      <w:r>
        <w:rPr>
          <w:color w:val="231F20"/>
          <w:spacing w:val="40"/>
        </w:rPr>
        <w:t> </w:t>
      </w:r>
      <w:r>
        <w:rPr>
          <w:color w:val="231F20"/>
        </w:rPr>
        <w:t>fármacos</w:t>
      </w:r>
      <w:r>
        <w:rPr>
          <w:color w:val="231F20"/>
          <w:spacing w:val="40"/>
        </w:rPr>
        <w:t> </w:t>
      </w:r>
      <w:r>
        <w:rPr>
          <w:color w:val="231F20"/>
        </w:rPr>
        <w:t>y tratamientos de primera línea </w:t>
      </w:r>
      <w:r>
        <w:rPr>
          <w:color w:val="231F20"/>
        </w:rPr>
        <w:t>para enfermedades progresivas y graves.</w:t>
      </w:r>
    </w:p>
    <w:p>
      <w:pPr>
        <w:pStyle w:val="BodyText"/>
        <w:spacing w:before="163"/>
        <w:ind w:left="413" w:right="1133"/>
      </w:pPr>
      <w:r>
        <w:rPr>
          <w:color w:val="231F20"/>
        </w:rPr>
        <w:t>Entre los impactos más notables de esta política que no es posible expresar en términos monetarios, destacan:</w:t>
      </w:r>
    </w:p>
    <w:p>
      <w:pPr>
        <w:pStyle w:val="BodyText"/>
        <w:spacing w:before="162"/>
        <w:ind w:left="413" w:right="1131"/>
      </w:pPr>
      <w:r>
        <w:rPr>
          <w:color w:val="231F20"/>
        </w:rPr>
        <w:t>Por otra parte, un ejemplo que </w:t>
      </w:r>
      <w:r>
        <w:rPr>
          <w:color w:val="231F20"/>
        </w:rPr>
        <w:t>tipifica este entramado de medidas coercitivas unilaterales, difícil de cuantificar, es la restricción</w:t>
      </w:r>
      <w:r>
        <w:rPr>
          <w:color w:val="231F20"/>
          <w:spacing w:val="40"/>
        </w:rPr>
        <w:t>  </w:t>
      </w:r>
      <w:r>
        <w:rPr>
          <w:color w:val="231F20"/>
        </w:rPr>
        <w:t>de</w:t>
      </w:r>
      <w:r>
        <w:rPr>
          <w:color w:val="231F20"/>
          <w:spacing w:val="40"/>
        </w:rPr>
        <w:t>  </w:t>
      </w:r>
      <w:r>
        <w:rPr>
          <w:color w:val="231F20"/>
        </w:rPr>
        <w:t>movimiento</w:t>
      </w:r>
      <w:r>
        <w:rPr>
          <w:color w:val="231F20"/>
          <w:spacing w:val="40"/>
        </w:rPr>
        <w:t>  </w:t>
      </w:r>
      <w:r>
        <w:rPr>
          <w:color w:val="231F20"/>
        </w:rPr>
        <w:t>arbitraria</w:t>
      </w:r>
      <w:r>
        <w:rPr>
          <w:color w:val="231F20"/>
          <w:spacing w:val="80"/>
        </w:rPr>
        <w:t> </w:t>
      </w:r>
      <w:r>
        <w:rPr>
          <w:color w:val="231F20"/>
        </w:rPr>
        <w:t>y discriminatoria que se aplica a los diplomáticos cubanos acreditados ante</w:t>
      </w:r>
      <w:r>
        <w:rPr>
          <w:color w:val="231F20"/>
          <w:spacing w:val="80"/>
          <w:w w:val="150"/>
        </w:rPr>
        <w:t> </w:t>
      </w:r>
      <w:r>
        <w:rPr>
          <w:color w:val="231F20"/>
        </w:rPr>
        <w:t>la sede de las Naciones Unidas en Nueva York. Esta medida es una violación de las obligaciones del gobierno de los Estados Unidos en su condición de País Anfitrión.</w:t>
      </w:r>
    </w:p>
    <w:p>
      <w:pPr>
        <w:spacing w:after="0"/>
        <w:sectPr>
          <w:pgSz w:w="11910" w:h="16840"/>
          <w:pgMar w:header="0" w:footer="695" w:top="1260" w:bottom="880" w:left="0" w:right="0"/>
          <w:cols w:num="2" w:equalWidth="0">
            <w:col w:w="5897" w:space="40"/>
            <w:col w:w="5973"/>
          </w:cols>
        </w:sectPr>
      </w:pPr>
    </w:p>
    <w:p>
      <w:pPr>
        <w:pStyle w:val="BodyText"/>
        <w:spacing w:before="77"/>
        <w:ind w:left="1133" w:right="6346"/>
      </w:pPr>
      <w:r>
        <w:rPr>
          <w:color w:val="231F20"/>
        </w:rPr>
        <w:t>En septiembre de 2019 se impuso una restricción de circulación adicional a la ya existente, circunscrita a un área limitada de la isla de Manhattan, con un ancho máximo</w:t>
      </w:r>
      <w:r>
        <w:rPr>
          <w:color w:val="231F20"/>
          <w:spacing w:val="-14"/>
        </w:rPr>
        <w:t> </w:t>
      </w:r>
      <w:r>
        <w:rPr>
          <w:color w:val="231F20"/>
        </w:rPr>
        <w:t>de</w:t>
      </w:r>
      <w:r>
        <w:rPr>
          <w:color w:val="231F20"/>
          <w:spacing w:val="-14"/>
        </w:rPr>
        <w:t> </w:t>
      </w:r>
      <w:r>
        <w:rPr>
          <w:color w:val="231F20"/>
        </w:rPr>
        <w:t>apenas</w:t>
      </w:r>
      <w:r>
        <w:rPr>
          <w:color w:val="231F20"/>
          <w:spacing w:val="-14"/>
        </w:rPr>
        <w:t> </w:t>
      </w:r>
      <w:r>
        <w:rPr>
          <w:color w:val="231F20"/>
        </w:rPr>
        <w:t>2,3</w:t>
      </w:r>
      <w:r>
        <w:rPr>
          <w:color w:val="231F20"/>
          <w:spacing w:val="-14"/>
        </w:rPr>
        <w:t> </w:t>
      </w:r>
      <w:r>
        <w:rPr>
          <w:color w:val="231F20"/>
        </w:rPr>
        <w:t>millas</w:t>
      </w:r>
      <w:r>
        <w:rPr>
          <w:color w:val="231F20"/>
          <w:spacing w:val="-14"/>
        </w:rPr>
        <w:t> </w:t>
      </w:r>
      <w:r>
        <w:rPr>
          <w:color w:val="231F20"/>
        </w:rPr>
        <w:t>y</w:t>
      </w:r>
      <w:r>
        <w:rPr>
          <w:color w:val="231F20"/>
          <w:spacing w:val="-14"/>
        </w:rPr>
        <w:t> </w:t>
      </w:r>
      <w:r>
        <w:rPr>
          <w:color w:val="231F20"/>
        </w:rPr>
        <w:t>un</w:t>
      </w:r>
      <w:r>
        <w:rPr>
          <w:color w:val="231F20"/>
          <w:spacing w:val="-14"/>
        </w:rPr>
        <w:t> </w:t>
      </w:r>
      <w:r>
        <w:rPr>
          <w:color w:val="231F20"/>
        </w:rPr>
        <w:t>largo</w:t>
      </w:r>
      <w:r>
        <w:rPr>
          <w:color w:val="231F20"/>
          <w:spacing w:val="-14"/>
        </w:rPr>
        <w:t> </w:t>
      </w:r>
      <w:r>
        <w:rPr>
          <w:color w:val="231F20"/>
        </w:rPr>
        <w:t>de aproximadamente</w:t>
      </w:r>
      <w:r>
        <w:rPr>
          <w:color w:val="231F20"/>
          <w:spacing w:val="-17"/>
        </w:rPr>
        <w:t> </w:t>
      </w:r>
      <w:r>
        <w:rPr>
          <w:color w:val="231F20"/>
        </w:rPr>
        <w:t>11</w:t>
      </w:r>
      <w:r>
        <w:rPr>
          <w:color w:val="231F20"/>
          <w:spacing w:val="-16"/>
        </w:rPr>
        <w:t> </w:t>
      </w:r>
      <w:r>
        <w:rPr>
          <w:color w:val="231F20"/>
        </w:rPr>
        <w:t>millas.</w:t>
      </w:r>
      <w:r>
        <w:rPr>
          <w:color w:val="231F20"/>
          <w:spacing w:val="-17"/>
        </w:rPr>
        <w:t> </w:t>
      </w:r>
      <w:r>
        <w:rPr>
          <w:color w:val="231F20"/>
        </w:rPr>
        <w:t>A</w:t>
      </w:r>
      <w:r>
        <w:rPr>
          <w:color w:val="231F20"/>
          <w:spacing w:val="-16"/>
        </w:rPr>
        <w:t> </w:t>
      </w:r>
      <w:r>
        <w:rPr>
          <w:color w:val="231F20"/>
        </w:rPr>
        <w:t>ningún</w:t>
      </w:r>
      <w:r>
        <w:rPr>
          <w:color w:val="231F20"/>
          <w:spacing w:val="-17"/>
        </w:rPr>
        <w:t> </w:t>
      </w:r>
      <w:r>
        <w:rPr>
          <w:color w:val="231F20"/>
        </w:rPr>
        <w:t>país se le aplica una restricción tan extrema y severa como a Cuba. Esta acción, además de ser ilegal y totalmente contraria al Derecho Internacional, afecta el trabajo de los diplomáticos cubanos y ha llegado a</w:t>
      </w:r>
      <w:r>
        <w:rPr>
          <w:color w:val="231F20"/>
          <w:spacing w:val="40"/>
        </w:rPr>
        <w:t> </w:t>
      </w:r>
      <w:r>
        <w:rPr>
          <w:color w:val="231F20"/>
        </w:rPr>
        <w:t>extremos</w:t>
      </w:r>
      <w:r>
        <w:rPr>
          <w:color w:val="231F20"/>
          <w:spacing w:val="40"/>
        </w:rPr>
        <w:t> </w:t>
      </w:r>
      <w:r>
        <w:rPr>
          <w:color w:val="231F20"/>
        </w:rPr>
        <w:t>ridículos</w:t>
      </w:r>
      <w:r>
        <w:rPr>
          <w:color w:val="231F20"/>
          <w:spacing w:val="40"/>
        </w:rPr>
        <w:t> </w:t>
      </w:r>
      <w:r>
        <w:rPr>
          <w:color w:val="231F20"/>
        </w:rPr>
        <w:t>de</w:t>
      </w:r>
      <w:r>
        <w:rPr>
          <w:color w:val="231F20"/>
          <w:spacing w:val="40"/>
        </w:rPr>
        <w:t> </w:t>
      </w:r>
      <w:r>
        <w:rPr>
          <w:color w:val="231F20"/>
        </w:rPr>
        <w:t>imposibilitar</w:t>
      </w:r>
      <w:r>
        <w:rPr>
          <w:color w:val="231F20"/>
          <w:spacing w:val="40"/>
        </w:rPr>
        <w:t> </w:t>
      </w:r>
      <w:r>
        <w:rPr>
          <w:color w:val="231F20"/>
        </w:rPr>
        <w:t>que sus hijos compartan actividades extracurriculares</w:t>
      </w:r>
      <w:r>
        <w:rPr>
          <w:color w:val="231F20"/>
          <w:spacing w:val="-17"/>
        </w:rPr>
        <w:t> </w:t>
      </w:r>
      <w:r>
        <w:rPr>
          <w:color w:val="231F20"/>
        </w:rPr>
        <w:t>con</w:t>
      </w:r>
      <w:r>
        <w:rPr>
          <w:color w:val="231F20"/>
          <w:spacing w:val="-16"/>
        </w:rPr>
        <w:t> </w:t>
      </w:r>
      <w:r>
        <w:rPr>
          <w:color w:val="231F20"/>
        </w:rPr>
        <w:t>compañeros</w:t>
      </w:r>
      <w:r>
        <w:rPr>
          <w:color w:val="231F20"/>
          <w:spacing w:val="-17"/>
        </w:rPr>
        <w:t> </w:t>
      </w:r>
      <w:r>
        <w:rPr>
          <w:color w:val="231F20"/>
        </w:rPr>
        <w:t>de</w:t>
      </w:r>
      <w:r>
        <w:rPr>
          <w:color w:val="231F20"/>
          <w:spacing w:val="-16"/>
        </w:rPr>
        <w:t> </w:t>
      </w:r>
      <w:r>
        <w:rPr>
          <w:color w:val="231F20"/>
        </w:rPr>
        <w:t>clase fuera de Manhattan.</w:t>
      </w:r>
    </w:p>
    <w:p>
      <w:pPr>
        <w:pStyle w:val="BodyText"/>
        <w:spacing w:before="171"/>
        <w:ind w:left="1133" w:right="6348"/>
      </w:pPr>
      <w:r>
        <w:rPr>
          <w:color w:val="231F20"/>
        </w:rPr>
        <w:t>La Relatora Especial del Consejo de </w:t>
      </w:r>
      <w:r>
        <w:rPr>
          <w:color w:val="231F20"/>
          <w:spacing w:val="-4"/>
        </w:rPr>
        <w:t>Derechos</w:t>
      </w:r>
      <w:r>
        <w:rPr>
          <w:color w:val="231F20"/>
          <w:spacing w:val="-12"/>
        </w:rPr>
        <w:t> </w:t>
      </w:r>
      <w:r>
        <w:rPr>
          <w:color w:val="231F20"/>
          <w:spacing w:val="-4"/>
        </w:rPr>
        <w:t>Humanos</w:t>
      </w:r>
      <w:r>
        <w:rPr>
          <w:color w:val="231F20"/>
          <w:spacing w:val="-12"/>
        </w:rPr>
        <w:t> </w:t>
      </w:r>
      <w:r>
        <w:rPr>
          <w:color w:val="231F20"/>
          <w:spacing w:val="-4"/>
        </w:rPr>
        <w:t>de</w:t>
      </w:r>
      <w:r>
        <w:rPr>
          <w:color w:val="231F20"/>
          <w:spacing w:val="-12"/>
        </w:rPr>
        <w:t> </w:t>
      </w:r>
      <w:r>
        <w:rPr>
          <w:color w:val="231F20"/>
          <w:spacing w:val="-4"/>
        </w:rPr>
        <w:t>las</w:t>
      </w:r>
      <w:r>
        <w:rPr>
          <w:color w:val="231F20"/>
          <w:spacing w:val="-12"/>
        </w:rPr>
        <w:t> </w:t>
      </w:r>
      <w:r>
        <w:rPr>
          <w:color w:val="231F20"/>
          <w:spacing w:val="-4"/>
        </w:rPr>
        <w:t>Naciones</w:t>
      </w:r>
      <w:r>
        <w:rPr>
          <w:color w:val="231F20"/>
          <w:spacing w:val="-12"/>
        </w:rPr>
        <w:t> </w:t>
      </w:r>
      <w:r>
        <w:rPr>
          <w:color w:val="231F20"/>
          <w:spacing w:val="-4"/>
        </w:rPr>
        <w:t>Unidas </w:t>
      </w:r>
      <w:r>
        <w:rPr>
          <w:color w:val="231F20"/>
        </w:rPr>
        <w:t>sobre</w:t>
      </w:r>
      <w:r>
        <w:rPr>
          <w:color w:val="231F20"/>
          <w:spacing w:val="-2"/>
        </w:rPr>
        <w:t> </w:t>
      </w:r>
      <w:r>
        <w:rPr>
          <w:color w:val="231F20"/>
        </w:rPr>
        <w:t>el</w:t>
      </w:r>
      <w:r>
        <w:rPr>
          <w:color w:val="231F20"/>
          <w:spacing w:val="-2"/>
        </w:rPr>
        <w:t> </w:t>
      </w:r>
      <w:r>
        <w:rPr>
          <w:color w:val="231F20"/>
        </w:rPr>
        <w:t>impacto</w:t>
      </w:r>
      <w:r>
        <w:rPr>
          <w:color w:val="231F20"/>
          <w:spacing w:val="-2"/>
        </w:rPr>
        <w:t> </w:t>
      </w:r>
      <w:r>
        <w:rPr>
          <w:color w:val="231F20"/>
        </w:rPr>
        <w:t>negativo</w:t>
      </w:r>
      <w:r>
        <w:rPr>
          <w:color w:val="231F20"/>
          <w:spacing w:val="-2"/>
        </w:rPr>
        <w:t> </w:t>
      </w:r>
      <w:r>
        <w:rPr>
          <w:color w:val="231F20"/>
        </w:rPr>
        <w:t>de</w:t>
      </w:r>
      <w:r>
        <w:rPr>
          <w:color w:val="231F20"/>
          <w:spacing w:val="-2"/>
        </w:rPr>
        <w:t> </w:t>
      </w:r>
      <w:r>
        <w:rPr>
          <w:color w:val="231F20"/>
        </w:rPr>
        <w:t>las</w:t>
      </w:r>
      <w:r>
        <w:rPr>
          <w:color w:val="231F20"/>
          <w:spacing w:val="-2"/>
        </w:rPr>
        <w:t> </w:t>
      </w:r>
      <w:r>
        <w:rPr>
          <w:color w:val="231F20"/>
        </w:rPr>
        <w:t>medidas coercitivas unilaterales en el disfrute de los derechos humanos, Sra. Alena Dohan, </w:t>
      </w:r>
      <w:r>
        <w:rPr>
          <w:color w:val="231F20"/>
          <w:spacing w:val="-4"/>
        </w:rPr>
        <w:t>durante</w:t>
      </w:r>
      <w:r>
        <w:rPr>
          <w:color w:val="231F20"/>
          <w:spacing w:val="-11"/>
        </w:rPr>
        <w:t> </w:t>
      </w:r>
      <w:r>
        <w:rPr>
          <w:color w:val="231F20"/>
          <w:spacing w:val="-4"/>
        </w:rPr>
        <w:t>una</w:t>
      </w:r>
      <w:r>
        <w:rPr>
          <w:color w:val="231F20"/>
          <w:spacing w:val="-11"/>
        </w:rPr>
        <w:t> </w:t>
      </w:r>
      <w:r>
        <w:rPr>
          <w:color w:val="231F20"/>
          <w:spacing w:val="-4"/>
        </w:rPr>
        <w:t>Conferencia</w:t>
      </w:r>
      <w:r>
        <w:rPr>
          <w:color w:val="231F20"/>
          <w:spacing w:val="-11"/>
        </w:rPr>
        <w:t> </w:t>
      </w:r>
      <w:r>
        <w:rPr>
          <w:color w:val="231F20"/>
          <w:spacing w:val="-4"/>
        </w:rPr>
        <w:t>Magistral</w:t>
      </w:r>
      <w:r>
        <w:rPr>
          <w:color w:val="231F20"/>
          <w:spacing w:val="-11"/>
        </w:rPr>
        <w:t> </w:t>
      </w:r>
      <w:r>
        <w:rPr>
          <w:color w:val="231F20"/>
          <w:spacing w:val="-4"/>
        </w:rPr>
        <w:t>ofrecida </w:t>
      </w:r>
      <w:r>
        <w:rPr>
          <w:color w:val="231F20"/>
        </w:rPr>
        <w:t>el 4 de mayo en la Universidad de La </w:t>
      </w:r>
      <w:r>
        <w:rPr>
          <w:color w:val="231F20"/>
          <w:spacing w:val="-4"/>
        </w:rPr>
        <w:t>Habana,</w:t>
      </w:r>
      <w:r>
        <w:rPr>
          <w:color w:val="231F20"/>
          <w:spacing w:val="-10"/>
        </w:rPr>
        <w:t> </w:t>
      </w:r>
      <w:r>
        <w:rPr>
          <w:color w:val="231F20"/>
          <w:spacing w:val="-4"/>
        </w:rPr>
        <w:t>en</w:t>
      </w:r>
      <w:r>
        <w:rPr>
          <w:color w:val="231F20"/>
          <w:spacing w:val="-10"/>
        </w:rPr>
        <w:t> </w:t>
      </w:r>
      <w:r>
        <w:rPr>
          <w:color w:val="231F20"/>
          <w:spacing w:val="-4"/>
        </w:rPr>
        <w:t>el</w:t>
      </w:r>
      <w:r>
        <w:rPr>
          <w:color w:val="231F20"/>
          <w:spacing w:val="-10"/>
        </w:rPr>
        <w:t> </w:t>
      </w:r>
      <w:r>
        <w:rPr>
          <w:color w:val="231F20"/>
          <w:spacing w:val="-4"/>
        </w:rPr>
        <w:t>marco</w:t>
      </w:r>
      <w:r>
        <w:rPr>
          <w:color w:val="231F20"/>
          <w:spacing w:val="-10"/>
        </w:rPr>
        <w:t> </w:t>
      </w:r>
      <w:r>
        <w:rPr>
          <w:color w:val="231F20"/>
          <w:spacing w:val="-4"/>
        </w:rPr>
        <w:t>de</w:t>
      </w:r>
      <w:r>
        <w:rPr>
          <w:color w:val="231F20"/>
          <w:spacing w:val="-10"/>
        </w:rPr>
        <w:t> </w:t>
      </w:r>
      <w:r>
        <w:rPr>
          <w:color w:val="231F20"/>
          <w:spacing w:val="-4"/>
        </w:rPr>
        <w:t>su</w:t>
      </w:r>
      <w:r>
        <w:rPr>
          <w:color w:val="231F20"/>
          <w:spacing w:val="-10"/>
        </w:rPr>
        <w:t> </w:t>
      </w:r>
      <w:r>
        <w:rPr>
          <w:color w:val="231F20"/>
          <w:spacing w:val="-4"/>
        </w:rPr>
        <w:t>visita</w:t>
      </w:r>
      <w:r>
        <w:rPr>
          <w:color w:val="231F20"/>
          <w:spacing w:val="-10"/>
        </w:rPr>
        <w:t> </w:t>
      </w:r>
      <w:r>
        <w:rPr>
          <w:color w:val="231F20"/>
          <w:spacing w:val="-4"/>
        </w:rPr>
        <w:t>académica </w:t>
      </w:r>
      <w:r>
        <w:rPr>
          <w:color w:val="231F20"/>
        </w:rPr>
        <w:t>a Cuba, señaló que las acciones que atentan contra la libertad de movimiento </w:t>
      </w:r>
      <w:r>
        <w:rPr>
          <w:color w:val="231F20"/>
          <w:spacing w:val="-4"/>
        </w:rPr>
        <w:t>de</w:t>
      </w:r>
      <w:r>
        <w:rPr>
          <w:color w:val="231F20"/>
          <w:spacing w:val="-9"/>
        </w:rPr>
        <w:t> </w:t>
      </w:r>
      <w:r>
        <w:rPr>
          <w:color w:val="231F20"/>
          <w:spacing w:val="-4"/>
        </w:rPr>
        <w:t>los</w:t>
      </w:r>
      <w:r>
        <w:rPr>
          <w:color w:val="231F20"/>
          <w:spacing w:val="-9"/>
        </w:rPr>
        <w:t> </w:t>
      </w:r>
      <w:r>
        <w:rPr>
          <w:color w:val="231F20"/>
          <w:spacing w:val="-4"/>
        </w:rPr>
        <w:t>diplomáticos</w:t>
      </w:r>
      <w:r>
        <w:rPr>
          <w:color w:val="231F20"/>
          <w:spacing w:val="-9"/>
        </w:rPr>
        <w:t> </w:t>
      </w:r>
      <w:r>
        <w:rPr>
          <w:color w:val="231F20"/>
          <w:spacing w:val="-4"/>
        </w:rPr>
        <w:t>califican</w:t>
      </w:r>
      <w:r>
        <w:rPr>
          <w:color w:val="231F20"/>
          <w:spacing w:val="-9"/>
        </w:rPr>
        <w:t> </w:t>
      </w:r>
      <w:r>
        <w:rPr>
          <w:color w:val="231F20"/>
          <w:spacing w:val="-4"/>
        </w:rPr>
        <w:t>también</w:t>
      </w:r>
      <w:r>
        <w:rPr>
          <w:color w:val="231F20"/>
          <w:spacing w:val="-9"/>
        </w:rPr>
        <w:t> </w:t>
      </w:r>
      <w:r>
        <w:rPr>
          <w:color w:val="231F20"/>
          <w:spacing w:val="-4"/>
        </w:rPr>
        <w:t>como </w:t>
      </w:r>
      <w:r>
        <w:rPr>
          <w:color w:val="231F20"/>
          <w:spacing w:val="-2"/>
        </w:rPr>
        <w:t>medidas</w:t>
      </w:r>
      <w:r>
        <w:rPr>
          <w:color w:val="231F20"/>
          <w:spacing w:val="-7"/>
        </w:rPr>
        <w:t> </w:t>
      </w:r>
      <w:r>
        <w:rPr>
          <w:color w:val="231F20"/>
          <w:spacing w:val="-2"/>
        </w:rPr>
        <w:t>coercitivas</w:t>
      </w:r>
      <w:r>
        <w:rPr>
          <w:color w:val="231F20"/>
          <w:spacing w:val="-7"/>
        </w:rPr>
        <w:t> </w:t>
      </w:r>
      <w:r>
        <w:rPr>
          <w:color w:val="231F20"/>
          <w:spacing w:val="-2"/>
        </w:rPr>
        <w:t>unilaterales</w:t>
      </w:r>
      <w:r>
        <w:rPr>
          <w:color w:val="231F20"/>
          <w:spacing w:val="-7"/>
        </w:rPr>
        <w:t> </w:t>
      </w:r>
      <w:r>
        <w:rPr>
          <w:color w:val="231F20"/>
          <w:spacing w:val="-2"/>
        </w:rPr>
        <w:t>violatorias </w:t>
      </w:r>
      <w:r>
        <w:rPr>
          <w:color w:val="231F20"/>
        </w:rPr>
        <w:t>del Derecho Internacional.</w:t>
      </w:r>
    </w:p>
    <w:p>
      <w:pPr>
        <w:pStyle w:val="BodyText"/>
        <w:spacing w:before="111"/>
        <w:jc w:val="left"/>
        <w:rPr>
          <w:sz w:val="20"/>
        </w:rPr>
      </w:pPr>
      <w:r>
        <w:rPr/>
        <mc:AlternateContent>
          <mc:Choice Requires="wps">
            <w:drawing>
              <wp:anchor distT="0" distB="0" distL="0" distR="0" allowOverlap="1" layoutInCell="1" locked="0" behindDoc="1" simplePos="0" relativeHeight="487611904">
                <wp:simplePos x="0" y="0"/>
                <wp:positionH relativeFrom="page">
                  <wp:posOffset>2627998</wp:posOffset>
                </wp:positionH>
                <wp:positionV relativeFrom="paragraph">
                  <wp:posOffset>254644</wp:posOffset>
                </wp:positionV>
                <wp:extent cx="909319" cy="26034"/>
                <wp:effectExtent l="0" t="0" r="0" b="0"/>
                <wp:wrapTopAndBottom/>
                <wp:docPr id="77" name="Graphic 77"/>
                <wp:cNvGraphicFramePr>
                  <a:graphicFrameLocks/>
                </wp:cNvGraphicFramePr>
                <a:graphic>
                  <a:graphicData uri="http://schemas.microsoft.com/office/word/2010/wordprocessingShape">
                    <wps:wsp>
                      <wps:cNvPr id="77" name="Graphic 77"/>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06.929001pt;margin-top:20.050781pt;width:71.584pt;height:2.021pt;mso-position-horizontal-relative:page;mso-position-vertical-relative:paragraph;z-index:-15704576;mso-wrap-distance-left:0;mso-wrap-distance-right:0" id="docshape54"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sectPr>
      </w:pPr>
    </w:p>
    <w:p>
      <w:pPr>
        <w:pStyle w:val="BodyText"/>
        <w:spacing w:before="568"/>
        <w:jc w:val="left"/>
        <w:rPr>
          <w:sz w:val="56"/>
        </w:rPr>
      </w:pPr>
    </w:p>
    <w:p>
      <w:pPr>
        <w:pStyle w:val="Heading1"/>
        <w:spacing w:line="220" w:lineRule="auto"/>
        <w:ind w:left="1474" w:right="5894"/>
      </w:pPr>
      <w:r>
        <w:rPr/>
        <mc:AlternateContent>
          <mc:Choice Requires="wps">
            <w:drawing>
              <wp:anchor distT="0" distB="0" distL="0" distR="0" allowOverlap="1" layoutInCell="1" locked="0" behindDoc="1" simplePos="0" relativeHeight="485776896">
                <wp:simplePos x="0" y="0"/>
                <wp:positionH relativeFrom="page">
                  <wp:posOffset>840244</wp:posOffset>
                </wp:positionH>
                <wp:positionV relativeFrom="paragraph">
                  <wp:posOffset>-782548</wp:posOffset>
                </wp:positionV>
                <wp:extent cx="1295400" cy="1544955"/>
                <wp:effectExtent l="0" t="0" r="0" b="0"/>
                <wp:wrapNone/>
                <wp:docPr id="78" name="Textbox 78"/>
                <wp:cNvGraphicFramePr>
                  <a:graphicFrameLocks/>
                </wp:cNvGraphicFramePr>
                <a:graphic>
                  <a:graphicData uri="http://schemas.microsoft.com/office/word/2010/wordprocessingShape">
                    <wps:wsp>
                      <wps:cNvPr id="78" name="Textbox 78"/>
                      <wps:cNvSpPr txBox="1"/>
                      <wps:spPr>
                        <a:xfrm>
                          <a:off x="0" y="0"/>
                          <a:ext cx="1295400"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5"/>
                                <w:w w:val="124"/>
                                <w:sz w:val="243"/>
                              </w:rPr>
                              <w:t>0</w:t>
                            </w:r>
                            <w:r>
                              <w:rPr>
                                <w:rFonts w:ascii="Arial"/>
                                <w:color w:val="B3B4CF"/>
                                <w:spacing w:val="-1196"/>
                                <w:w w:val="106"/>
                                <w:sz w:val="243"/>
                              </w:rPr>
                              <w:t>3</w:t>
                            </w:r>
                          </w:p>
                        </w:txbxContent>
                      </wps:txbx>
                      <wps:bodyPr wrap="square" lIns="0" tIns="0" rIns="0" bIns="0" rtlCol="0">
                        <a:noAutofit/>
                      </wps:bodyPr>
                    </wps:wsp>
                  </a:graphicData>
                </a:graphic>
              </wp:anchor>
            </w:drawing>
          </mc:Choice>
          <mc:Fallback>
            <w:pict>
              <v:shape style="position:absolute;margin-left:66.161003pt;margin-top:-61.617977pt;width:102pt;height:121.65pt;mso-position-horizontal-relative:page;mso-position-vertical-relative:paragraph;z-index:-17539584" type="#_x0000_t202" id="docshape55" filled="false" stroked="false">
                <v:textbox inset="0,0,0,0">
                  <w:txbxContent>
                    <w:p>
                      <w:pPr>
                        <w:spacing w:line="2432" w:lineRule="exact" w:before="0"/>
                        <w:ind w:left="0" w:right="0" w:firstLine="0"/>
                        <w:jc w:val="left"/>
                        <w:rPr>
                          <w:rFonts w:ascii="Arial"/>
                          <w:sz w:val="243"/>
                        </w:rPr>
                      </w:pPr>
                      <w:r>
                        <w:rPr>
                          <w:rFonts w:ascii="Arial"/>
                          <w:color w:val="B3B4CF"/>
                          <w:spacing w:val="-5"/>
                          <w:w w:val="124"/>
                          <w:sz w:val="243"/>
                        </w:rPr>
                        <w:t>0</w:t>
                      </w:r>
                      <w:r>
                        <w:rPr>
                          <w:rFonts w:ascii="Arial"/>
                          <w:color w:val="B3B4CF"/>
                          <w:spacing w:val="-1196"/>
                          <w:w w:val="106"/>
                          <w:sz w:val="243"/>
                        </w:rPr>
                        <w:t>3</w:t>
                      </w:r>
                    </w:p>
                  </w:txbxContent>
                </v:textbox>
                <w10:wrap type="none"/>
              </v:shape>
            </w:pict>
          </mc:Fallback>
        </mc:AlternateContent>
      </w:r>
      <w:r>
        <w:rPr>
          <w:color w:val="B52628"/>
          <w:w w:val="115"/>
        </w:rPr>
        <w:t>Afectaciones</w:t>
      </w:r>
      <w:r>
        <w:rPr>
          <w:color w:val="B52628"/>
          <w:spacing w:val="-49"/>
          <w:w w:val="115"/>
        </w:rPr>
        <w:t> </w:t>
      </w:r>
      <w:r>
        <w:rPr>
          <w:color w:val="B52628"/>
          <w:w w:val="115"/>
        </w:rPr>
        <w:t>al sector externo de</w:t>
      </w:r>
      <w:r>
        <w:rPr>
          <w:color w:val="B52628"/>
          <w:spacing w:val="-24"/>
          <w:w w:val="115"/>
        </w:rPr>
        <w:t> </w:t>
      </w:r>
      <w:r>
        <w:rPr>
          <w:color w:val="B52628"/>
          <w:w w:val="115"/>
        </w:rPr>
        <w:t>la</w:t>
      </w:r>
      <w:r>
        <w:rPr>
          <w:color w:val="B52628"/>
          <w:spacing w:val="-24"/>
          <w:w w:val="115"/>
        </w:rPr>
        <w:t> </w:t>
      </w:r>
      <w:r>
        <w:rPr>
          <w:color w:val="B52628"/>
          <w:w w:val="115"/>
        </w:rPr>
        <w:t>economía </w:t>
      </w:r>
      <w:r>
        <w:rPr>
          <w:color w:val="B52628"/>
          <w:spacing w:val="-2"/>
          <w:w w:val="115"/>
        </w:rPr>
        <w:t>cubana</w:t>
      </w:r>
    </w:p>
    <w:p>
      <w:pPr>
        <w:pStyle w:val="BodyText"/>
        <w:spacing w:before="191"/>
        <w:jc w:val="left"/>
        <w:rPr>
          <w:rFonts w:ascii="Trebuchet MS"/>
          <w:sz w:val="20"/>
        </w:rPr>
      </w:pPr>
      <w:r>
        <w:rPr/>
        <mc:AlternateContent>
          <mc:Choice Requires="wps">
            <w:drawing>
              <wp:anchor distT="0" distB="0" distL="0" distR="0" allowOverlap="1" layoutInCell="1" locked="0" behindDoc="1" simplePos="0" relativeHeight="487612416">
                <wp:simplePos x="0" y="0"/>
                <wp:positionH relativeFrom="page">
                  <wp:posOffset>936002</wp:posOffset>
                </wp:positionH>
                <wp:positionV relativeFrom="paragraph">
                  <wp:posOffset>284107</wp:posOffset>
                </wp:positionV>
                <wp:extent cx="909319" cy="26034"/>
                <wp:effectExtent l="0" t="0" r="0" b="0"/>
                <wp:wrapTopAndBottom/>
                <wp:docPr id="79" name="Graphic 79"/>
                <wp:cNvGraphicFramePr>
                  <a:graphicFrameLocks/>
                </wp:cNvGraphicFramePr>
                <a:graphic>
                  <a:graphicData uri="http://schemas.microsoft.com/office/word/2010/wordprocessingShape">
                    <wps:wsp>
                      <wps:cNvPr id="79" name="Graphic 79"/>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73.700996pt;margin-top:22.370687pt;width:71.584pt;height:2.021pt;mso-position-horizontal-relative:page;mso-position-vertical-relative:paragraph;z-index:-15704064;mso-wrap-distance-left:0;mso-wrap-distance-right:0" id="docshape56" filled="true" fillcolor="#1f4282" stroked="false">
                <v:fill type="solid"/>
                <w10:wrap type="topAndBottom"/>
              </v:rect>
            </w:pict>
          </mc:Fallback>
        </mc:AlternateContent>
      </w:r>
    </w:p>
    <w:p>
      <w:pPr>
        <w:pStyle w:val="BodyText"/>
        <w:spacing w:before="7"/>
        <w:jc w:val="left"/>
        <w:rPr>
          <w:rFonts w:ascii="Trebuchet MS"/>
          <w:sz w:val="15"/>
        </w:rPr>
      </w:pPr>
    </w:p>
    <w:p>
      <w:pPr>
        <w:spacing w:after="0"/>
        <w:jc w:val="left"/>
        <w:rPr>
          <w:rFonts w:ascii="Trebuchet MS"/>
          <w:sz w:val="15"/>
        </w:rPr>
        <w:sectPr>
          <w:pgSz w:w="11910" w:h="16840"/>
          <w:pgMar w:header="0" w:footer="695" w:top="800" w:bottom="880" w:left="0" w:right="0"/>
        </w:sectPr>
      </w:pPr>
    </w:p>
    <w:p>
      <w:pPr>
        <w:pStyle w:val="Heading2"/>
        <w:spacing w:before="100"/>
        <w:ind w:left="1474" w:right="952"/>
      </w:pPr>
      <w:r>
        <w:rPr>
          <w:color w:val="1F4282"/>
          <w:w w:val="115"/>
        </w:rPr>
        <w:t>Afectaciones al comercio</w:t>
      </w:r>
      <w:r>
        <w:rPr>
          <w:color w:val="1F4282"/>
          <w:spacing w:val="-15"/>
          <w:w w:val="115"/>
        </w:rPr>
        <w:t> </w:t>
      </w:r>
      <w:r>
        <w:rPr>
          <w:color w:val="1F4282"/>
          <w:w w:val="115"/>
        </w:rPr>
        <w:t>exterior</w:t>
      </w:r>
    </w:p>
    <w:p>
      <w:pPr>
        <w:spacing w:before="227"/>
        <w:ind w:left="1474" w:right="0" w:firstLine="0"/>
        <w:jc w:val="both"/>
        <w:rPr>
          <w:i/>
          <w:sz w:val="24"/>
        </w:rPr>
      </w:pPr>
      <w:r>
        <w:rPr>
          <w:i/>
          <w:color w:val="231F20"/>
          <w:spacing w:val="-2"/>
          <w:sz w:val="24"/>
        </w:rPr>
        <w:t>Las</w:t>
      </w:r>
      <w:r>
        <w:rPr>
          <w:i/>
          <w:color w:val="231F20"/>
          <w:spacing w:val="-15"/>
          <w:sz w:val="24"/>
        </w:rPr>
        <w:t> </w:t>
      </w:r>
      <w:r>
        <w:rPr>
          <w:i/>
          <w:color w:val="231F20"/>
          <w:spacing w:val="-2"/>
          <w:sz w:val="24"/>
        </w:rPr>
        <w:t>afectaciones</w:t>
      </w:r>
      <w:r>
        <w:rPr>
          <w:i/>
          <w:color w:val="231F20"/>
          <w:spacing w:val="-14"/>
          <w:sz w:val="24"/>
        </w:rPr>
        <w:t> </w:t>
      </w:r>
      <w:r>
        <w:rPr>
          <w:i/>
          <w:color w:val="231F20"/>
          <w:spacing w:val="-2"/>
          <w:sz w:val="24"/>
        </w:rPr>
        <w:t>ocasionadas</w:t>
      </w:r>
      <w:r>
        <w:rPr>
          <w:i/>
          <w:color w:val="231F20"/>
          <w:spacing w:val="-15"/>
          <w:sz w:val="24"/>
        </w:rPr>
        <w:t> </w:t>
      </w:r>
      <w:r>
        <w:rPr>
          <w:i/>
          <w:color w:val="231F20"/>
          <w:spacing w:val="-2"/>
          <w:sz w:val="24"/>
        </w:rPr>
        <w:t>por</w:t>
      </w:r>
      <w:r>
        <w:rPr>
          <w:i/>
          <w:color w:val="231F20"/>
          <w:spacing w:val="-14"/>
          <w:sz w:val="24"/>
        </w:rPr>
        <w:t> </w:t>
      </w:r>
      <w:r>
        <w:rPr>
          <w:i/>
          <w:color w:val="231F20"/>
          <w:spacing w:val="-2"/>
          <w:sz w:val="24"/>
        </w:rPr>
        <w:t>el</w:t>
      </w:r>
      <w:r>
        <w:rPr>
          <w:i/>
          <w:color w:val="231F20"/>
          <w:spacing w:val="-15"/>
          <w:sz w:val="24"/>
        </w:rPr>
        <w:t> </w:t>
      </w:r>
      <w:r>
        <w:rPr>
          <w:i/>
          <w:color w:val="231F20"/>
          <w:spacing w:val="-2"/>
          <w:sz w:val="24"/>
        </w:rPr>
        <w:t>bloqueo</w:t>
      </w:r>
      <w:r>
        <w:rPr>
          <w:i/>
          <w:color w:val="231F20"/>
          <w:spacing w:val="-2"/>
          <w:sz w:val="24"/>
        </w:rPr>
        <w:t> </w:t>
      </w:r>
      <w:r>
        <w:rPr>
          <w:i/>
          <w:color w:val="231F20"/>
          <w:spacing w:val="-4"/>
          <w:sz w:val="24"/>
        </w:rPr>
        <w:t>al</w:t>
      </w:r>
      <w:r>
        <w:rPr>
          <w:i/>
          <w:color w:val="231F20"/>
          <w:spacing w:val="-9"/>
          <w:sz w:val="24"/>
        </w:rPr>
        <w:t> </w:t>
      </w:r>
      <w:r>
        <w:rPr>
          <w:i/>
          <w:color w:val="231F20"/>
          <w:spacing w:val="-4"/>
          <w:sz w:val="24"/>
        </w:rPr>
        <w:t>comercio</w:t>
      </w:r>
      <w:r>
        <w:rPr>
          <w:i/>
          <w:color w:val="231F20"/>
          <w:spacing w:val="-9"/>
          <w:sz w:val="24"/>
        </w:rPr>
        <w:t> </w:t>
      </w:r>
      <w:r>
        <w:rPr>
          <w:i/>
          <w:color w:val="231F20"/>
          <w:spacing w:val="-4"/>
          <w:sz w:val="24"/>
        </w:rPr>
        <w:t>exterior</w:t>
      </w:r>
      <w:r>
        <w:rPr>
          <w:i/>
          <w:color w:val="231F20"/>
          <w:spacing w:val="-9"/>
          <w:sz w:val="24"/>
        </w:rPr>
        <w:t> </w:t>
      </w:r>
      <w:r>
        <w:rPr>
          <w:i/>
          <w:color w:val="231F20"/>
          <w:spacing w:val="-4"/>
          <w:sz w:val="24"/>
        </w:rPr>
        <w:t>cubano</w:t>
      </w:r>
      <w:r>
        <w:rPr>
          <w:i/>
          <w:color w:val="231F20"/>
          <w:spacing w:val="-9"/>
          <w:sz w:val="24"/>
        </w:rPr>
        <w:t> </w:t>
      </w:r>
      <w:r>
        <w:rPr>
          <w:i/>
          <w:color w:val="231F20"/>
          <w:spacing w:val="-4"/>
          <w:sz w:val="24"/>
        </w:rPr>
        <w:t>en</w:t>
      </w:r>
      <w:r>
        <w:rPr>
          <w:i/>
          <w:color w:val="231F20"/>
          <w:spacing w:val="-9"/>
          <w:sz w:val="24"/>
        </w:rPr>
        <w:t> </w:t>
      </w:r>
      <w:r>
        <w:rPr>
          <w:i/>
          <w:color w:val="231F20"/>
          <w:spacing w:val="-4"/>
          <w:sz w:val="24"/>
        </w:rPr>
        <w:t>el</w:t>
      </w:r>
      <w:r>
        <w:rPr>
          <w:i/>
          <w:color w:val="231F20"/>
          <w:spacing w:val="-9"/>
          <w:sz w:val="24"/>
        </w:rPr>
        <w:t> </w:t>
      </w:r>
      <w:r>
        <w:rPr>
          <w:i/>
          <w:color w:val="231F20"/>
          <w:spacing w:val="-4"/>
          <w:sz w:val="24"/>
        </w:rPr>
        <w:t>período</w:t>
      </w:r>
      <w:r>
        <w:rPr>
          <w:i/>
          <w:color w:val="231F20"/>
          <w:spacing w:val="-9"/>
          <w:sz w:val="24"/>
        </w:rPr>
        <w:t> </w:t>
      </w:r>
      <w:r>
        <w:rPr>
          <w:i/>
          <w:color w:val="231F20"/>
          <w:spacing w:val="-4"/>
          <w:sz w:val="24"/>
        </w:rPr>
        <w:t>de </w:t>
      </w:r>
      <w:r>
        <w:rPr>
          <w:i/>
          <w:color w:val="231F20"/>
          <w:sz w:val="24"/>
        </w:rPr>
        <w:t>marzo</w:t>
      </w:r>
      <w:r>
        <w:rPr>
          <w:i/>
          <w:color w:val="231F20"/>
          <w:spacing w:val="-17"/>
          <w:sz w:val="24"/>
        </w:rPr>
        <w:t> </w:t>
      </w:r>
      <w:r>
        <w:rPr>
          <w:i/>
          <w:color w:val="231F20"/>
          <w:sz w:val="24"/>
        </w:rPr>
        <w:t>de</w:t>
      </w:r>
      <w:r>
        <w:rPr>
          <w:i/>
          <w:color w:val="231F20"/>
          <w:spacing w:val="-16"/>
          <w:sz w:val="24"/>
        </w:rPr>
        <w:t> </w:t>
      </w:r>
      <w:r>
        <w:rPr>
          <w:i/>
          <w:color w:val="231F20"/>
          <w:sz w:val="24"/>
        </w:rPr>
        <w:t>2022</w:t>
      </w:r>
      <w:r>
        <w:rPr>
          <w:i/>
          <w:color w:val="231F20"/>
          <w:spacing w:val="-17"/>
          <w:sz w:val="24"/>
        </w:rPr>
        <w:t> </w:t>
      </w:r>
      <w:r>
        <w:rPr>
          <w:i/>
          <w:color w:val="231F20"/>
          <w:sz w:val="24"/>
        </w:rPr>
        <w:t>a</w:t>
      </w:r>
      <w:r>
        <w:rPr>
          <w:i/>
          <w:color w:val="231F20"/>
          <w:spacing w:val="-16"/>
          <w:sz w:val="24"/>
        </w:rPr>
        <w:t> </w:t>
      </w:r>
      <w:r>
        <w:rPr>
          <w:i/>
          <w:color w:val="231F20"/>
          <w:sz w:val="24"/>
        </w:rPr>
        <w:t>febrero</w:t>
      </w:r>
      <w:r>
        <w:rPr>
          <w:i/>
          <w:color w:val="231F20"/>
          <w:spacing w:val="-17"/>
          <w:sz w:val="24"/>
        </w:rPr>
        <w:t> </w:t>
      </w:r>
      <w:r>
        <w:rPr>
          <w:i/>
          <w:color w:val="231F20"/>
          <w:sz w:val="24"/>
        </w:rPr>
        <w:t>de</w:t>
      </w:r>
      <w:r>
        <w:rPr>
          <w:i/>
          <w:color w:val="231F20"/>
          <w:spacing w:val="-16"/>
          <w:sz w:val="24"/>
        </w:rPr>
        <w:t> </w:t>
      </w:r>
      <w:r>
        <w:rPr>
          <w:i/>
          <w:color w:val="231F20"/>
          <w:sz w:val="24"/>
        </w:rPr>
        <w:t>2023,</w:t>
      </w:r>
      <w:r>
        <w:rPr>
          <w:i/>
          <w:color w:val="231F20"/>
          <w:spacing w:val="-17"/>
          <w:sz w:val="24"/>
        </w:rPr>
        <w:t> </w:t>
      </w:r>
      <w:r>
        <w:rPr>
          <w:i/>
          <w:color w:val="231F20"/>
          <w:sz w:val="24"/>
        </w:rPr>
        <w:t>alcanzan la cifra de </w:t>
      </w:r>
      <w:r>
        <w:rPr>
          <w:rFonts w:ascii="Segoe UI Semibold" w:hAnsi="Segoe UI Semibold"/>
          <w:b/>
          <w:i/>
          <w:color w:val="231F20"/>
          <w:sz w:val="24"/>
        </w:rPr>
        <w:t>3 mil 81,3 millones de dólares</w:t>
      </w:r>
      <w:r>
        <w:rPr>
          <w:i/>
          <w:color w:val="231F20"/>
          <w:sz w:val="24"/>
        </w:rPr>
        <w:t>.</w:t>
      </w:r>
    </w:p>
    <w:p>
      <w:pPr>
        <w:pStyle w:val="BodyText"/>
        <w:spacing w:before="162"/>
        <w:ind w:left="1474"/>
      </w:pPr>
      <w:r>
        <w:rPr>
          <w:color w:val="231F20"/>
        </w:rPr>
        <w:t>En</w:t>
      </w:r>
      <w:r>
        <w:rPr>
          <w:color w:val="231F20"/>
          <w:spacing w:val="-16"/>
        </w:rPr>
        <w:t> </w:t>
      </w:r>
      <w:r>
        <w:rPr>
          <w:color w:val="231F20"/>
        </w:rPr>
        <w:t>una</w:t>
      </w:r>
      <w:r>
        <w:rPr>
          <w:color w:val="231F20"/>
          <w:spacing w:val="-16"/>
        </w:rPr>
        <w:t> </w:t>
      </w:r>
      <w:r>
        <w:rPr>
          <w:color w:val="231F20"/>
        </w:rPr>
        <w:t>economía</w:t>
      </w:r>
      <w:r>
        <w:rPr>
          <w:color w:val="231F20"/>
          <w:spacing w:val="-16"/>
        </w:rPr>
        <w:t> </w:t>
      </w:r>
      <w:r>
        <w:rPr>
          <w:color w:val="231F20"/>
        </w:rPr>
        <w:t>mundial</w:t>
      </w:r>
      <w:r>
        <w:rPr>
          <w:color w:val="231F20"/>
          <w:spacing w:val="-16"/>
        </w:rPr>
        <w:t> </w:t>
      </w:r>
      <w:r>
        <w:rPr>
          <w:color w:val="231F20"/>
        </w:rPr>
        <w:t>crecientemente globalizada,</w:t>
      </w:r>
      <w:r>
        <w:rPr>
          <w:color w:val="231F20"/>
          <w:spacing w:val="-12"/>
        </w:rPr>
        <w:t> </w:t>
      </w:r>
      <w:r>
        <w:rPr>
          <w:color w:val="231F20"/>
        </w:rPr>
        <w:t>se</w:t>
      </w:r>
      <w:r>
        <w:rPr>
          <w:color w:val="231F20"/>
          <w:spacing w:val="-12"/>
        </w:rPr>
        <w:t> </w:t>
      </w:r>
      <w:r>
        <w:rPr>
          <w:color w:val="231F20"/>
        </w:rPr>
        <w:t>le</w:t>
      </w:r>
      <w:r>
        <w:rPr>
          <w:color w:val="231F20"/>
          <w:spacing w:val="-12"/>
        </w:rPr>
        <w:t> </w:t>
      </w:r>
      <w:r>
        <w:rPr>
          <w:color w:val="231F20"/>
        </w:rPr>
        <w:t>hace</w:t>
      </w:r>
      <w:r>
        <w:rPr>
          <w:color w:val="231F20"/>
          <w:spacing w:val="-12"/>
        </w:rPr>
        <w:t> </w:t>
      </w:r>
      <w:r>
        <w:rPr>
          <w:color w:val="231F20"/>
        </w:rPr>
        <w:t>cada</w:t>
      </w:r>
      <w:r>
        <w:rPr>
          <w:color w:val="231F20"/>
          <w:spacing w:val="-12"/>
        </w:rPr>
        <w:t> </w:t>
      </w:r>
      <w:r>
        <w:rPr>
          <w:color w:val="231F20"/>
        </w:rPr>
        <w:t>vez</w:t>
      </w:r>
      <w:r>
        <w:rPr>
          <w:color w:val="231F20"/>
          <w:spacing w:val="-12"/>
        </w:rPr>
        <w:t> </w:t>
      </w:r>
      <w:r>
        <w:rPr>
          <w:color w:val="231F20"/>
        </w:rPr>
        <w:t>más</w:t>
      </w:r>
      <w:r>
        <w:rPr>
          <w:color w:val="231F20"/>
          <w:spacing w:val="-12"/>
        </w:rPr>
        <w:t> </w:t>
      </w:r>
      <w:r>
        <w:rPr>
          <w:color w:val="231F20"/>
        </w:rPr>
        <w:t>difícil a Cuba adquirir los insumos requeridos </w:t>
      </w:r>
      <w:r>
        <w:rPr>
          <w:color w:val="231F20"/>
          <w:spacing w:val="-2"/>
        </w:rPr>
        <w:t>para</w:t>
      </w:r>
      <w:r>
        <w:rPr>
          <w:color w:val="231F20"/>
          <w:spacing w:val="-14"/>
        </w:rPr>
        <w:t> </w:t>
      </w:r>
      <w:r>
        <w:rPr>
          <w:color w:val="231F20"/>
          <w:spacing w:val="-2"/>
        </w:rPr>
        <w:t>la</w:t>
      </w:r>
      <w:r>
        <w:rPr>
          <w:color w:val="231F20"/>
          <w:spacing w:val="-13"/>
        </w:rPr>
        <w:t> </w:t>
      </w:r>
      <w:r>
        <w:rPr>
          <w:color w:val="231F20"/>
          <w:spacing w:val="-2"/>
        </w:rPr>
        <w:t>industria,</w:t>
      </w:r>
      <w:r>
        <w:rPr>
          <w:color w:val="231F20"/>
          <w:spacing w:val="-13"/>
        </w:rPr>
        <w:t> </w:t>
      </w:r>
      <w:r>
        <w:rPr>
          <w:color w:val="231F20"/>
          <w:spacing w:val="-2"/>
        </w:rPr>
        <w:t>los</w:t>
      </w:r>
      <w:r>
        <w:rPr>
          <w:color w:val="231F20"/>
          <w:spacing w:val="-13"/>
        </w:rPr>
        <w:t> </w:t>
      </w:r>
      <w:r>
        <w:rPr>
          <w:color w:val="231F20"/>
          <w:spacing w:val="-2"/>
        </w:rPr>
        <w:t>servicios</w:t>
      </w:r>
      <w:r>
        <w:rPr>
          <w:color w:val="231F20"/>
          <w:spacing w:val="-13"/>
        </w:rPr>
        <w:t> </w:t>
      </w:r>
      <w:r>
        <w:rPr>
          <w:color w:val="231F20"/>
          <w:spacing w:val="-2"/>
        </w:rPr>
        <w:t>y</w:t>
      </w:r>
      <w:r>
        <w:rPr>
          <w:color w:val="231F20"/>
          <w:spacing w:val="-13"/>
        </w:rPr>
        <w:t> </w:t>
      </w:r>
      <w:r>
        <w:rPr>
          <w:color w:val="231F20"/>
          <w:spacing w:val="-2"/>
        </w:rPr>
        <w:t>el</w:t>
      </w:r>
      <w:r>
        <w:rPr>
          <w:color w:val="231F20"/>
          <w:spacing w:val="-13"/>
        </w:rPr>
        <w:t> </w:t>
      </w:r>
      <w:r>
        <w:rPr>
          <w:color w:val="231F20"/>
          <w:spacing w:val="-2"/>
        </w:rPr>
        <w:t>consumo </w:t>
      </w:r>
      <w:r>
        <w:rPr>
          <w:color w:val="231F20"/>
        </w:rPr>
        <w:t>de</w:t>
      </w:r>
      <w:r>
        <w:rPr>
          <w:color w:val="231F20"/>
          <w:spacing w:val="40"/>
        </w:rPr>
        <w:t> </w:t>
      </w:r>
      <w:r>
        <w:rPr>
          <w:color w:val="231F20"/>
        </w:rPr>
        <w:t>la</w:t>
      </w:r>
      <w:r>
        <w:rPr>
          <w:color w:val="231F20"/>
          <w:spacing w:val="40"/>
        </w:rPr>
        <w:t> </w:t>
      </w:r>
      <w:r>
        <w:rPr>
          <w:color w:val="231F20"/>
        </w:rPr>
        <w:t>población,</w:t>
      </w:r>
      <w:r>
        <w:rPr>
          <w:color w:val="231F20"/>
          <w:spacing w:val="40"/>
        </w:rPr>
        <w:t> </w:t>
      </w:r>
      <w:r>
        <w:rPr>
          <w:color w:val="231F20"/>
        </w:rPr>
        <w:t>con</w:t>
      </w:r>
      <w:r>
        <w:rPr>
          <w:color w:val="231F20"/>
          <w:spacing w:val="40"/>
        </w:rPr>
        <w:t> </w:t>
      </w:r>
      <w:r>
        <w:rPr>
          <w:color w:val="231F20"/>
        </w:rPr>
        <w:t>independencia</w:t>
      </w:r>
      <w:r>
        <w:rPr>
          <w:color w:val="231F20"/>
          <w:spacing w:val="40"/>
        </w:rPr>
        <w:t> </w:t>
      </w:r>
      <w:r>
        <w:rPr>
          <w:color w:val="231F20"/>
        </w:rPr>
        <w:t>de la relación política o comercial que se tenga con el mercado de origen de sus </w:t>
      </w:r>
      <w:r>
        <w:rPr>
          <w:color w:val="231F20"/>
          <w:spacing w:val="-2"/>
        </w:rPr>
        <w:t>importaciones.</w:t>
      </w:r>
    </w:p>
    <w:p>
      <w:pPr>
        <w:pStyle w:val="BodyText"/>
        <w:spacing w:before="167"/>
        <w:ind w:left="1474"/>
      </w:pPr>
      <w:r>
        <w:rPr>
          <w:color w:val="231F20"/>
        </w:rPr>
        <w:t>En</w:t>
      </w:r>
      <w:r>
        <w:rPr>
          <w:color w:val="231F20"/>
          <w:spacing w:val="-9"/>
        </w:rPr>
        <w:t> </w:t>
      </w:r>
      <w:r>
        <w:rPr>
          <w:color w:val="231F20"/>
        </w:rPr>
        <w:t>el</w:t>
      </w:r>
      <w:r>
        <w:rPr>
          <w:color w:val="231F20"/>
          <w:spacing w:val="-9"/>
        </w:rPr>
        <w:t> </w:t>
      </w:r>
      <w:r>
        <w:rPr>
          <w:color w:val="231F20"/>
        </w:rPr>
        <w:t>período,</w:t>
      </w:r>
      <w:r>
        <w:rPr>
          <w:color w:val="231F20"/>
          <w:spacing w:val="-9"/>
        </w:rPr>
        <w:t> </w:t>
      </w:r>
      <w:r>
        <w:rPr>
          <w:color w:val="231F20"/>
        </w:rPr>
        <w:t>ha</w:t>
      </w:r>
      <w:r>
        <w:rPr>
          <w:color w:val="231F20"/>
          <w:spacing w:val="-9"/>
        </w:rPr>
        <w:t> </w:t>
      </w:r>
      <w:r>
        <w:rPr>
          <w:color w:val="231F20"/>
        </w:rPr>
        <w:t>decrecido</w:t>
      </w:r>
      <w:r>
        <w:rPr>
          <w:color w:val="231F20"/>
          <w:spacing w:val="-9"/>
        </w:rPr>
        <w:t> </w:t>
      </w:r>
      <w:r>
        <w:rPr>
          <w:color w:val="231F20"/>
        </w:rPr>
        <w:t>notablemente la actividad de comercio exterior, en </w:t>
      </w:r>
      <w:r>
        <w:rPr>
          <w:color w:val="231F20"/>
          <w:spacing w:val="-4"/>
        </w:rPr>
        <w:t>particular,</w:t>
      </w:r>
      <w:r>
        <w:rPr>
          <w:color w:val="231F20"/>
          <w:spacing w:val="-13"/>
        </w:rPr>
        <w:t> </w:t>
      </w:r>
      <w:r>
        <w:rPr>
          <w:color w:val="231F20"/>
          <w:spacing w:val="-4"/>
        </w:rPr>
        <w:t>los</w:t>
      </w:r>
      <w:r>
        <w:rPr>
          <w:color w:val="231F20"/>
          <w:spacing w:val="-12"/>
        </w:rPr>
        <w:t> </w:t>
      </w:r>
      <w:r>
        <w:rPr>
          <w:color w:val="231F20"/>
          <w:spacing w:val="-4"/>
        </w:rPr>
        <w:t>volúmenes</w:t>
      </w:r>
      <w:r>
        <w:rPr>
          <w:color w:val="231F20"/>
          <w:spacing w:val="-12"/>
        </w:rPr>
        <w:t> </w:t>
      </w:r>
      <w:r>
        <w:rPr>
          <w:color w:val="231F20"/>
          <w:spacing w:val="-4"/>
        </w:rPr>
        <w:t>de</w:t>
      </w:r>
      <w:r>
        <w:rPr>
          <w:color w:val="231F20"/>
          <w:spacing w:val="-13"/>
        </w:rPr>
        <w:t> </w:t>
      </w:r>
      <w:r>
        <w:rPr>
          <w:color w:val="231F20"/>
          <w:spacing w:val="-4"/>
        </w:rPr>
        <w:t>importación.</w:t>
      </w:r>
      <w:r>
        <w:rPr>
          <w:color w:val="231F20"/>
          <w:spacing w:val="-12"/>
        </w:rPr>
        <w:t> </w:t>
      </w:r>
      <w:r>
        <w:rPr>
          <w:color w:val="231F20"/>
          <w:spacing w:val="-4"/>
        </w:rPr>
        <w:t>El incremento</w:t>
      </w:r>
      <w:r>
        <w:rPr>
          <w:color w:val="231F20"/>
          <w:spacing w:val="-9"/>
        </w:rPr>
        <w:t> </w:t>
      </w:r>
      <w:r>
        <w:rPr>
          <w:color w:val="231F20"/>
          <w:spacing w:val="-4"/>
        </w:rPr>
        <w:t>de</w:t>
      </w:r>
      <w:r>
        <w:rPr>
          <w:color w:val="231F20"/>
          <w:spacing w:val="-9"/>
        </w:rPr>
        <w:t> </w:t>
      </w:r>
      <w:r>
        <w:rPr>
          <w:color w:val="231F20"/>
          <w:spacing w:val="-4"/>
        </w:rPr>
        <w:t>los</w:t>
      </w:r>
      <w:r>
        <w:rPr>
          <w:color w:val="231F20"/>
          <w:spacing w:val="-9"/>
        </w:rPr>
        <w:t> </w:t>
      </w:r>
      <w:r>
        <w:rPr>
          <w:color w:val="231F20"/>
          <w:spacing w:val="-4"/>
        </w:rPr>
        <w:t>costos</w:t>
      </w:r>
      <w:r>
        <w:rPr>
          <w:color w:val="231F20"/>
          <w:spacing w:val="-9"/>
        </w:rPr>
        <w:t> </w:t>
      </w:r>
      <w:r>
        <w:rPr>
          <w:color w:val="231F20"/>
          <w:spacing w:val="-4"/>
        </w:rPr>
        <w:t>de</w:t>
      </w:r>
      <w:r>
        <w:rPr>
          <w:color w:val="231F20"/>
          <w:spacing w:val="-9"/>
        </w:rPr>
        <w:t> </w:t>
      </w:r>
      <w:r>
        <w:rPr>
          <w:color w:val="231F20"/>
          <w:spacing w:val="-4"/>
        </w:rPr>
        <w:t>adquisición</w:t>
      </w:r>
      <w:r>
        <w:rPr>
          <w:color w:val="231F20"/>
          <w:spacing w:val="-9"/>
        </w:rPr>
        <w:t> </w:t>
      </w:r>
      <w:r>
        <w:rPr>
          <w:color w:val="231F20"/>
          <w:spacing w:val="-4"/>
        </w:rPr>
        <w:t>de </w:t>
      </w:r>
      <w:r>
        <w:rPr>
          <w:color w:val="231F20"/>
          <w:spacing w:val="-2"/>
        </w:rPr>
        <w:t>las</w:t>
      </w:r>
      <w:r>
        <w:rPr>
          <w:color w:val="231F20"/>
          <w:spacing w:val="-15"/>
        </w:rPr>
        <w:t> </w:t>
      </w:r>
      <w:r>
        <w:rPr>
          <w:color w:val="231F20"/>
          <w:spacing w:val="-2"/>
        </w:rPr>
        <w:t>mercancías</w:t>
      </w:r>
      <w:r>
        <w:rPr>
          <w:color w:val="231F20"/>
          <w:spacing w:val="-14"/>
        </w:rPr>
        <w:t> </w:t>
      </w:r>
      <w:r>
        <w:rPr>
          <w:color w:val="231F20"/>
          <w:spacing w:val="-2"/>
        </w:rPr>
        <w:t>ha</w:t>
      </w:r>
      <w:r>
        <w:rPr>
          <w:color w:val="231F20"/>
          <w:spacing w:val="-15"/>
        </w:rPr>
        <w:t> </w:t>
      </w:r>
      <w:r>
        <w:rPr>
          <w:color w:val="231F20"/>
          <w:spacing w:val="-2"/>
        </w:rPr>
        <w:t>ocasionado</w:t>
      </w:r>
      <w:r>
        <w:rPr>
          <w:color w:val="231F20"/>
          <w:spacing w:val="-14"/>
        </w:rPr>
        <w:t> </w:t>
      </w:r>
      <w:r>
        <w:rPr>
          <w:color w:val="231F20"/>
          <w:spacing w:val="-2"/>
        </w:rPr>
        <w:t>también</w:t>
      </w:r>
      <w:r>
        <w:rPr>
          <w:color w:val="231F20"/>
          <w:spacing w:val="-14"/>
        </w:rPr>
        <w:t> </w:t>
      </w:r>
      <w:r>
        <w:rPr>
          <w:color w:val="231F20"/>
          <w:spacing w:val="-2"/>
        </w:rPr>
        <w:t>una disminución</w:t>
      </w:r>
      <w:r>
        <w:rPr>
          <w:color w:val="231F20"/>
          <w:spacing w:val="-15"/>
        </w:rPr>
        <w:t> </w:t>
      </w:r>
      <w:r>
        <w:rPr>
          <w:color w:val="231F20"/>
          <w:spacing w:val="-2"/>
        </w:rPr>
        <w:t>del</w:t>
      </w:r>
      <w:r>
        <w:rPr>
          <w:color w:val="231F20"/>
          <w:spacing w:val="-14"/>
        </w:rPr>
        <w:t> </w:t>
      </w:r>
      <w:r>
        <w:rPr>
          <w:color w:val="231F20"/>
          <w:spacing w:val="-2"/>
        </w:rPr>
        <w:t>financiamiento</w:t>
      </w:r>
      <w:r>
        <w:rPr>
          <w:color w:val="231F20"/>
          <w:spacing w:val="-15"/>
        </w:rPr>
        <w:t> </w:t>
      </w:r>
      <w:r>
        <w:rPr>
          <w:color w:val="231F20"/>
          <w:spacing w:val="-2"/>
        </w:rPr>
        <w:t>real</w:t>
      </w:r>
      <w:r>
        <w:rPr>
          <w:color w:val="231F20"/>
          <w:spacing w:val="-14"/>
        </w:rPr>
        <w:t> </w:t>
      </w:r>
      <w:r>
        <w:rPr>
          <w:color w:val="231F20"/>
          <w:spacing w:val="-2"/>
        </w:rPr>
        <w:t>para</w:t>
      </w:r>
      <w:r>
        <w:rPr>
          <w:color w:val="231F20"/>
          <w:spacing w:val="-15"/>
        </w:rPr>
        <w:t> </w:t>
      </w:r>
      <w:r>
        <w:rPr>
          <w:color w:val="231F20"/>
          <w:spacing w:val="-2"/>
        </w:rPr>
        <w:t>el </w:t>
      </w:r>
      <w:r>
        <w:rPr>
          <w:color w:val="231F20"/>
        </w:rPr>
        <w:t>respaldo de los planes de la economía.</w:t>
      </w:r>
    </w:p>
    <w:p>
      <w:pPr>
        <w:pStyle w:val="BodyText"/>
        <w:spacing w:before="165"/>
        <w:ind w:left="1474"/>
      </w:pPr>
      <w:r>
        <w:rPr>
          <w:color w:val="231F20"/>
        </w:rPr>
        <w:t>Debido a la inclusión de Cuba en la </w:t>
      </w:r>
      <w:r>
        <w:rPr>
          <w:color w:val="231F20"/>
        </w:rPr>
        <w:t>lista unilateral</w:t>
      </w:r>
      <w:r>
        <w:rPr>
          <w:color w:val="231F20"/>
          <w:spacing w:val="80"/>
        </w:rPr>
        <w:t> </w:t>
      </w:r>
      <w:r>
        <w:rPr>
          <w:color w:val="231F20"/>
        </w:rPr>
        <w:t>de</w:t>
      </w:r>
      <w:r>
        <w:rPr>
          <w:color w:val="231F20"/>
          <w:spacing w:val="80"/>
        </w:rPr>
        <w:t> </w:t>
      </w:r>
      <w:r>
        <w:rPr>
          <w:color w:val="231F20"/>
        </w:rPr>
        <w:t>Estados</w:t>
      </w:r>
      <w:r>
        <w:rPr>
          <w:color w:val="231F20"/>
          <w:spacing w:val="80"/>
        </w:rPr>
        <w:t> </w:t>
      </w:r>
      <w:r>
        <w:rPr>
          <w:color w:val="231F20"/>
        </w:rPr>
        <w:t>patrocinadores del terrorismo, se ha producido un incremento</w:t>
      </w:r>
      <w:r>
        <w:rPr>
          <w:color w:val="231F20"/>
          <w:spacing w:val="-10"/>
        </w:rPr>
        <w:t> </w:t>
      </w:r>
      <w:r>
        <w:rPr>
          <w:color w:val="231F20"/>
        </w:rPr>
        <w:t>en</w:t>
      </w:r>
      <w:r>
        <w:rPr>
          <w:color w:val="231F20"/>
          <w:spacing w:val="-10"/>
        </w:rPr>
        <w:t> </w:t>
      </w:r>
      <w:r>
        <w:rPr>
          <w:color w:val="231F20"/>
        </w:rPr>
        <w:t>los</w:t>
      </w:r>
      <w:r>
        <w:rPr>
          <w:color w:val="231F20"/>
          <w:spacing w:val="-10"/>
        </w:rPr>
        <w:t> </w:t>
      </w:r>
      <w:r>
        <w:rPr>
          <w:color w:val="231F20"/>
        </w:rPr>
        <w:t>precios</w:t>
      </w:r>
      <w:r>
        <w:rPr>
          <w:color w:val="231F20"/>
          <w:spacing w:val="-10"/>
        </w:rPr>
        <w:t> </w:t>
      </w:r>
      <w:r>
        <w:rPr>
          <w:color w:val="231F20"/>
        </w:rPr>
        <w:t>de</w:t>
      </w:r>
      <w:r>
        <w:rPr>
          <w:color w:val="231F20"/>
          <w:spacing w:val="-10"/>
        </w:rPr>
        <w:t> </w:t>
      </w:r>
      <w:r>
        <w:rPr>
          <w:color w:val="231F20"/>
        </w:rPr>
        <w:t>los</w:t>
      </w:r>
      <w:r>
        <w:rPr>
          <w:color w:val="231F20"/>
          <w:spacing w:val="-10"/>
        </w:rPr>
        <w:t> </w:t>
      </w:r>
      <w:r>
        <w:rPr>
          <w:color w:val="231F20"/>
        </w:rPr>
        <w:t>negocios con inversión extranjera, así como la cancelación de operaciones comerciales, acciones de cooperación y proyectos inversionistas</w:t>
      </w:r>
      <w:r>
        <w:rPr>
          <w:color w:val="231F20"/>
          <w:spacing w:val="29"/>
        </w:rPr>
        <w:t>  </w:t>
      </w:r>
      <w:r>
        <w:rPr>
          <w:color w:val="231F20"/>
        </w:rPr>
        <w:t>que</w:t>
      </w:r>
      <w:r>
        <w:rPr>
          <w:color w:val="231F20"/>
          <w:spacing w:val="29"/>
        </w:rPr>
        <w:t>  </w:t>
      </w:r>
      <w:r>
        <w:rPr>
          <w:color w:val="231F20"/>
        </w:rPr>
        <w:t>se</w:t>
      </w:r>
      <w:r>
        <w:rPr>
          <w:color w:val="231F20"/>
          <w:spacing w:val="30"/>
        </w:rPr>
        <w:t>  </w:t>
      </w:r>
      <w:r>
        <w:rPr>
          <w:color w:val="231F20"/>
        </w:rPr>
        <w:t>encontraban</w:t>
      </w:r>
      <w:r>
        <w:rPr>
          <w:color w:val="231F20"/>
          <w:spacing w:val="29"/>
        </w:rPr>
        <w:t>  </w:t>
      </w:r>
      <w:r>
        <w:rPr>
          <w:color w:val="231F20"/>
          <w:spacing w:val="-5"/>
        </w:rPr>
        <w:t>en</w:t>
      </w:r>
    </w:p>
    <w:p>
      <w:pPr>
        <w:pStyle w:val="BodyText"/>
        <w:spacing w:before="161"/>
        <w:ind w:left="412" w:right="1132"/>
      </w:pPr>
      <w:r>
        <w:rPr/>
        <w:br w:type="column"/>
      </w:r>
      <w:r>
        <w:rPr>
          <w:color w:val="231F20"/>
        </w:rPr>
        <w:t>diferentes niveles de desarrollo. También ha repercutido negativamente en </w:t>
      </w:r>
      <w:r>
        <w:rPr>
          <w:color w:val="231F20"/>
        </w:rPr>
        <w:t>las instituciones bancario-financieras, que se rehúsan</w:t>
      </w:r>
      <w:r>
        <w:rPr>
          <w:color w:val="231F20"/>
          <w:spacing w:val="-2"/>
        </w:rPr>
        <w:t> </w:t>
      </w:r>
      <w:r>
        <w:rPr>
          <w:color w:val="231F20"/>
        </w:rPr>
        <w:t>a</w:t>
      </w:r>
      <w:r>
        <w:rPr>
          <w:color w:val="231F20"/>
          <w:spacing w:val="-2"/>
        </w:rPr>
        <w:t> </w:t>
      </w:r>
      <w:r>
        <w:rPr>
          <w:color w:val="231F20"/>
        </w:rPr>
        <w:t>trabajar</w:t>
      </w:r>
      <w:r>
        <w:rPr>
          <w:color w:val="231F20"/>
          <w:spacing w:val="-2"/>
        </w:rPr>
        <w:t> </w:t>
      </w:r>
      <w:r>
        <w:rPr>
          <w:color w:val="231F20"/>
        </w:rPr>
        <w:t>con</w:t>
      </w:r>
      <w:r>
        <w:rPr>
          <w:color w:val="231F20"/>
          <w:spacing w:val="-2"/>
        </w:rPr>
        <w:t> </w:t>
      </w:r>
      <w:r>
        <w:rPr>
          <w:color w:val="231F20"/>
        </w:rPr>
        <w:t>entidades</w:t>
      </w:r>
      <w:r>
        <w:rPr>
          <w:color w:val="231F20"/>
          <w:spacing w:val="-2"/>
        </w:rPr>
        <w:t> </w:t>
      </w:r>
      <w:r>
        <w:rPr>
          <w:color w:val="231F20"/>
        </w:rPr>
        <w:t>cubanas por temor a ser objeto de sanciones.</w:t>
      </w:r>
    </w:p>
    <w:p>
      <w:pPr>
        <w:spacing w:before="164"/>
        <w:ind w:left="412" w:right="1131" w:firstLine="0"/>
        <w:jc w:val="both"/>
        <w:rPr>
          <w:i/>
          <w:sz w:val="24"/>
        </w:rPr>
      </w:pPr>
      <w:r>
        <w:rPr>
          <w:i/>
          <w:color w:val="231F20"/>
          <w:sz w:val="24"/>
        </w:rPr>
        <w:t>Como en años anteriores, las mayores</w:t>
      </w:r>
      <w:r>
        <w:rPr>
          <w:i/>
          <w:color w:val="231F20"/>
          <w:sz w:val="24"/>
        </w:rPr>
        <w:t> afectaciones se aprecian en los ingresos dejados de percibir por exportaciones </w:t>
      </w:r>
      <w:r>
        <w:rPr>
          <w:i/>
          <w:color w:val="231F20"/>
          <w:sz w:val="24"/>
        </w:rPr>
        <w:t>de bienes y servicios, con un valor de </w:t>
      </w:r>
      <w:r>
        <w:rPr>
          <w:rFonts w:ascii="Segoe UI Semibold" w:hAnsi="Segoe UI Semibold"/>
          <w:b/>
          <w:i/>
          <w:color w:val="231F20"/>
          <w:sz w:val="24"/>
        </w:rPr>
        <w:t>mil 808</w:t>
      </w:r>
      <w:r>
        <w:rPr>
          <w:rFonts w:ascii="Segoe UI Semibold" w:hAnsi="Segoe UI Semibold"/>
          <w:b/>
          <w:i/>
          <w:color w:val="231F20"/>
          <w:sz w:val="24"/>
        </w:rPr>
        <w:t> millones de dólares</w:t>
      </w:r>
      <w:r>
        <w:rPr>
          <w:i/>
          <w:color w:val="231F20"/>
          <w:sz w:val="24"/>
        </w:rPr>
        <w:t>. El turismo continúa</w:t>
      </w:r>
      <w:r>
        <w:rPr>
          <w:i/>
          <w:color w:val="231F20"/>
          <w:sz w:val="24"/>
        </w:rPr>
        <w:t> siendo el sector más afectado en este aspecto, al acumular aproximadamente el </w:t>
      </w:r>
      <w:r>
        <w:rPr>
          <w:rFonts w:ascii="Segoe UI Semibold" w:hAnsi="Segoe UI Semibold"/>
          <w:b/>
          <w:i/>
          <w:color w:val="231F20"/>
          <w:sz w:val="24"/>
        </w:rPr>
        <w:t>58,5 % del total</w:t>
      </w:r>
      <w:r>
        <w:rPr>
          <w:i/>
          <w:color w:val="231F20"/>
          <w:sz w:val="24"/>
        </w:rPr>
        <w:t>.</w:t>
      </w:r>
    </w:p>
    <w:p>
      <w:pPr>
        <w:pStyle w:val="BodyText"/>
        <w:spacing w:before="163"/>
        <w:ind w:left="412" w:right="1130"/>
      </w:pPr>
      <w:r>
        <w:rPr>
          <w:color w:val="231F20"/>
        </w:rPr>
        <w:t>Dada la imposibilidad de </w:t>
      </w:r>
      <w:r>
        <w:rPr>
          <w:color w:val="231F20"/>
        </w:rPr>
        <w:t>realizar exportaciones hacia los Estados Unidos como resultado de las restricciones del bloqueo, se reportan afectaciones en el sector agrícola cubano que alcanzan los 248,9</w:t>
      </w:r>
      <w:r>
        <w:rPr>
          <w:color w:val="231F20"/>
          <w:spacing w:val="-4"/>
        </w:rPr>
        <w:t> </w:t>
      </w:r>
      <w:r>
        <w:rPr>
          <w:color w:val="231F20"/>
        </w:rPr>
        <w:t>millones</w:t>
      </w:r>
      <w:r>
        <w:rPr>
          <w:color w:val="231F20"/>
          <w:spacing w:val="-4"/>
        </w:rPr>
        <w:t> </w:t>
      </w:r>
      <w:r>
        <w:rPr>
          <w:color w:val="231F20"/>
        </w:rPr>
        <w:t>de</w:t>
      </w:r>
      <w:r>
        <w:rPr>
          <w:color w:val="231F20"/>
          <w:spacing w:val="-4"/>
        </w:rPr>
        <w:t> </w:t>
      </w:r>
      <w:r>
        <w:rPr>
          <w:color w:val="231F20"/>
        </w:rPr>
        <w:t>dólares,</w:t>
      </w:r>
      <w:r>
        <w:rPr>
          <w:color w:val="231F20"/>
          <w:spacing w:val="-4"/>
        </w:rPr>
        <w:t> </w:t>
      </w:r>
      <w:r>
        <w:rPr>
          <w:color w:val="231F20"/>
        </w:rPr>
        <w:t>un</w:t>
      </w:r>
      <w:r>
        <w:rPr>
          <w:color w:val="231F20"/>
          <w:spacing w:val="-4"/>
        </w:rPr>
        <w:t> </w:t>
      </w:r>
      <w:r>
        <w:rPr>
          <w:color w:val="231F20"/>
        </w:rPr>
        <w:t>8%</w:t>
      </w:r>
      <w:r>
        <w:rPr>
          <w:color w:val="231F20"/>
          <w:spacing w:val="-4"/>
        </w:rPr>
        <w:t> </w:t>
      </w:r>
      <w:r>
        <w:rPr>
          <w:color w:val="231F20"/>
        </w:rPr>
        <w:t>superior al informe anterior. Esta cifra comprende las exportaciones potenciales de tabaco, carbón vegetal, frutas selectas, miel, ají picante, entre otros.</w:t>
      </w:r>
    </w:p>
    <w:p>
      <w:pPr>
        <w:pStyle w:val="BodyText"/>
        <w:spacing w:before="168"/>
        <w:ind w:left="412" w:right="1130"/>
      </w:pPr>
      <w:r>
        <w:rPr>
          <w:color w:val="231F20"/>
        </w:rPr>
        <w:t>Con</w:t>
      </w:r>
      <w:r>
        <w:rPr>
          <w:color w:val="231F20"/>
          <w:spacing w:val="80"/>
        </w:rPr>
        <w:t> </w:t>
      </w:r>
      <w:r>
        <w:rPr>
          <w:color w:val="231F20"/>
        </w:rPr>
        <w:t>respecto</w:t>
      </w:r>
      <w:r>
        <w:rPr>
          <w:color w:val="231F20"/>
          <w:spacing w:val="80"/>
        </w:rPr>
        <w:t> </w:t>
      </w:r>
      <w:r>
        <w:rPr>
          <w:color w:val="231F20"/>
        </w:rPr>
        <w:t>al</w:t>
      </w:r>
      <w:r>
        <w:rPr>
          <w:color w:val="231F20"/>
          <w:spacing w:val="80"/>
        </w:rPr>
        <w:t> </w:t>
      </w:r>
      <w:r>
        <w:rPr>
          <w:color w:val="231F20"/>
        </w:rPr>
        <w:t>café</w:t>
      </w:r>
      <w:r>
        <w:rPr>
          <w:color w:val="231F20"/>
          <w:spacing w:val="80"/>
        </w:rPr>
        <w:t> </w:t>
      </w:r>
      <w:r>
        <w:rPr>
          <w:color w:val="231F20"/>
        </w:rPr>
        <w:t>tostado</w:t>
      </w:r>
      <w:r>
        <w:rPr>
          <w:color w:val="231F20"/>
          <w:spacing w:val="80"/>
        </w:rPr>
        <w:t> </w:t>
      </w:r>
      <w:r>
        <w:rPr>
          <w:color w:val="231F20"/>
        </w:rPr>
        <w:t>molido</w:t>
      </w:r>
      <w:r>
        <w:rPr>
          <w:color w:val="231F20"/>
          <w:spacing w:val="80"/>
        </w:rPr>
        <w:t> </w:t>
      </w:r>
      <w:r>
        <w:rPr>
          <w:color w:val="231F20"/>
        </w:rPr>
        <w:t>y en grano, el mercado de los Estados Unidos se encuentra entre los cinco más importantes del mundo. El café cubano, por su calidad, podría cubrir una parte importante de la demanda en el mercado estadounidense,</w:t>
      </w:r>
      <w:r>
        <w:rPr>
          <w:color w:val="231F20"/>
          <w:spacing w:val="26"/>
        </w:rPr>
        <w:t>  </w:t>
      </w:r>
      <w:r>
        <w:rPr>
          <w:color w:val="231F20"/>
        </w:rPr>
        <w:t>pero</w:t>
      </w:r>
      <w:r>
        <w:rPr>
          <w:color w:val="231F20"/>
          <w:spacing w:val="26"/>
        </w:rPr>
        <w:t>  </w:t>
      </w:r>
      <w:r>
        <w:rPr>
          <w:color w:val="231F20"/>
        </w:rPr>
        <w:t>al</w:t>
      </w:r>
      <w:r>
        <w:rPr>
          <w:color w:val="231F20"/>
          <w:spacing w:val="26"/>
        </w:rPr>
        <w:t>  </w:t>
      </w:r>
      <w:r>
        <w:rPr>
          <w:color w:val="231F20"/>
        </w:rPr>
        <w:t>igual</w:t>
      </w:r>
      <w:r>
        <w:rPr>
          <w:color w:val="231F20"/>
          <w:spacing w:val="26"/>
        </w:rPr>
        <w:t>  </w:t>
      </w:r>
      <w:r>
        <w:rPr>
          <w:color w:val="231F20"/>
        </w:rPr>
        <w:t>que</w:t>
      </w:r>
      <w:r>
        <w:rPr>
          <w:color w:val="231F20"/>
          <w:spacing w:val="26"/>
        </w:rPr>
        <w:t>  </w:t>
      </w:r>
      <w:r>
        <w:rPr>
          <w:color w:val="231F20"/>
          <w:spacing w:val="-5"/>
        </w:rPr>
        <w:t>la</w:t>
      </w:r>
    </w:p>
    <w:p>
      <w:pPr>
        <w:spacing w:after="0"/>
        <w:sectPr>
          <w:type w:val="continuous"/>
          <w:pgSz w:w="11910" w:h="16840"/>
          <w:pgMar w:header="0" w:footer="695" w:top="1920" w:bottom="280" w:left="0" w:right="0"/>
          <w:cols w:num="2" w:equalWidth="0">
            <w:col w:w="5898" w:space="40"/>
            <w:col w:w="5972"/>
          </w:cols>
        </w:sectPr>
      </w:pPr>
    </w:p>
    <w:p>
      <w:pPr>
        <w:pStyle w:val="BodyText"/>
        <w:spacing w:before="77"/>
        <w:ind w:left="1133"/>
      </w:pPr>
      <w:r>
        <w:rPr>
          <w:color w:val="231F20"/>
        </w:rPr>
        <w:t>miel, a las compañías estadounidenses interesadas en importarlo se les niega la licencia de la Oficina para el Control de Activos Extranjeros (OFAC).</w:t>
      </w:r>
    </w:p>
    <w:p>
      <w:pPr>
        <w:pStyle w:val="BodyText"/>
        <w:spacing w:before="163"/>
        <w:ind w:left="1133"/>
      </w:pPr>
      <w:r>
        <w:rPr>
          <w:color w:val="231F20"/>
        </w:rPr>
        <w:t>En</w:t>
      </w:r>
      <w:r>
        <w:rPr>
          <w:color w:val="231F20"/>
          <w:spacing w:val="26"/>
        </w:rPr>
        <w:t> </w:t>
      </w:r>
      <w:r>
        <w:rPr>
          <w:color w:val="231F20"/>
        </w:rPr>
        <w:t>el</w:t>
      </w:r>
      <w:r>
        <w:rPr>
          <w:color w:val="231F20"/>
          <w:spacing w:val="27"/>
        </w:rPr>
        <w:t> </w:t>
      </w:r>
      <w:r>
        <w:rPr>
          <w:color w:val="231F20"/>
        </w:rPr>
        <w:t>caso</w:t>
      </w:r>
      <w:r>
        <w:rPr>
          <w:color w:val="231F20"/>
          <w:spacing w:val="26"/>
        </w:rPr>
        <w:t> </w:t>
      </w:r>
      <w:r>
        <w:rPr>
          <w:color w:val="231F20"/>
        </w:rPr>
        <w:t>del</w:t>
      </w:r>
      <w:r>
        <w:rPr>
          <w:color w:val="231F20"/>
          <w:spacing w:val="27"/>
        </w:rPr>
        <w:t> </w:t>
      </w:r>
      <w:r>
        <w:rPr>
          <w:color w:val="231F20"/>
        </w:rPr>
        <w:t>azúcar,</w:t>
      </w:r>
      <w:r>
        <w:rPr>
          <w:color w:val="231F20"/>
          <w:spacing w:val="27"/>
        </w:rPr>
        <w:t> </w:t>
      </w:r>
      <w:r>
        <w:rPr>
          <w:color w:val="231F20"/>
        </w:rPr>
        <w:t>se</w:t>
      </w:r>
      <w:r>
        <w:rPr>
          <w:color w:val="231F20"/>
          <w:spacing w:val="26"/>
        </w:rPr>
        <w:t> </w:t>
      </w:r>
      <w:r>
        <w:rPr>
          <w:color w:val="231F20"/>
        </w:rPr>
        <w:t>estima</w:t>
      </w:r>
      <w:r>
        <w:rPr>
          <w:color w:val="231F20"/>
          <w:spacing w:val="27"/>
        </w:rPr>
        <w:t> </w:t>
      </w:r>
      <w:r>
        <w:rPr>
          <w:color w:val="231F20"/>
        </w:rPr>
        <w:t>en</w:t>
      </w:r>
      <w:r>
        <w:rPr>
          <w:color w:val="231F20"/>
          <w:spacing w:val="27"/>
        </w:rPr>
        <w:t> </w:t>
      </w:r>
      <w:r>
        <w:rPr>
          <w:color w:val="231F20"/>
          <w:spacing w:val="-4"/>
        </w:rPr>
        <w:t>unos</w:t>
      </w:r>
    </w:p>
    <w:p>
      <w:pPr>
        <w:pStyle w:val="BodyText"/>
        <w:spacing w:before="1"/>
        <w:ind w:left="1133"/>
      </w:pPr>
      <w:r>
        <w:rPr>
          <w:color w:val="231F20"/>
        </w:rPr>
        <w:t>20</w:t>
      </w:r>
      <w:r>
        <w:rPr>
          <w:color w:val="231F20"/>
          <w:spacing w:val="40"/>
        </w:rPr>
        <w:t> </w:t>
      </w:r>
      <w:r>
        <w:rPr>
          <w:color w:val="231F20"/>
        </w:rPr>
        <w:t>millones</w:t>
      </w:r>
      <w:r>
        <w:rPr>
          <w:color w:val="231F20"/>
          <w:spacing w:val="40"/>
        </w:rPr>
        <w:t> </w:t>
      </w:r>
      <w:r>
        <w:rPr>
          <w:color w:val="231F20"/>
        </w:rPr>
        <w:t>820,6</w:t>
      </w:r>
      <w:r>
        <w:rPr>
          <w:color w:val="231F20"/>
          <w:spacing w:val="40"/>
        </w:rPr>
        <w:t> </w:t>
      </w:r>
      <w:r>
        <w:rPr>
          <w:color w:val="231F20"/>
        </w:rPr>
        <w:t>dólares</w:t>
      </w:r>
      <w:r>
        <w:rPr>
          <w:color w:val="231F20"/>
          <w:spacing w:val="40"/>
        </w:rPr>
        <w:t> </w:t>
      </w:r>
      <w:r>
        <w:rPr>
          <w:color w:val="231F20"/>
        </w:rPr>
        <w:t>el</w:t>
      </w:r>
      <w:r>
        <w:rPr>
          <w:color w:val="231F20"/>
          <w:spacing w:val="40"/>
        </w:rPr>
        <w:t> </w:t>
      </w:r>
      <w:r>
        <w:rPr>
          <w:color w:val="231F20"/>
        </w:rPr>
        <w:t>valor</w:t>
      </w:r>
      <w:r>
        <w:rPr>
          <w:color w:val="231F20"/>
          <w:spacing w:val="40"/>
        </w:rPr>
        <w:t> </w:t>
      </w:r>
      <w:r>
        <w:rPr>
          <w:color w:val="231F20"/>
        </w:rPr>
        <w:t>de</w:t>
      </w:r>
      <w:r>
        <w:rPr>
          <w:color w:val="231F20"/>
          <w:spacing w:val="40"/>
        </w:rPr>
        <w:t> </w:t>
      </w:r>
      <w:r>
        <w:rPr>
          <w:color w:val="231F20"/>
        </w:rPr>
        <w:t>las exportaciones potenciales de este </w:t>
      </w:r>
      <w:r>
        <w:rPr>
          <w:color w:val="231F20"/>
          <w:spacing w:val="-2"/>
        </w:rPr>
        <w:t>producto</w:t>
      </w:r>
      <w:r>
        <w:rPr>
          <w:color w:val="231F20"/>
          <w:spacing w:val="-15"/>
        </w:rPr>
        <w:t> </w:t>
      </w:r>
      <w:r>
        <w:rPr>
          <w:color w:val="231F20"/>
          <w:spacing w:val="-2"/>
        </w:rPr>
        <w:t>hacia</w:t>
      </w:r>
      <w:r>
        <w:rPr>
          <w:color w:val="231F20"/>
          <w:spacing w:val="-14"/>
        </w:rPr>
        <w:t> </w:t>
      </w:r>
      <w:r>
        <w:rPr>
          <w:color w:val="231F20"/>
          <w:spacing w:val="-2"/>
        </w:rPr>
        <w:t>los</w:t>
      </w:r>
      <w:r>
        <w:rPr>
          <w:color w:val="231F20"/>
          <w:spacing w:val="-15"/>
        </w:rPr>
        <w:t> </w:t>
      </w:r>
      <w:r>
        <w:rPr>
          <w:color w:val="231F20"/>
          <w:spacing w:val="-2"/>
        </w:rPr>
        <w:t>Estados</w:t>
      </w:r>
      <w:r>
        <w:rPr>
          <w:color w:val="231F20"/>
          <w:spacing w:val="-14"/>
        </w:rPr>
        <w:t> </w:t>
      </w:r>
      <w:r>
        <w:rPr>
          <w:color w:val="231F20"/>
          <w:spacing w:val="-2"/>
        </w:rPr>
        <w:t>Unidos</w:t>
      </w:r>
      <w:r>
        <w:rPr>
          <w:color w:val="231F20"/>
          <w:spacing w:val="-15"/>
        </w:rPr>
        <w:t> </w:t>
      </w:r>
      <w:r>
        <w:rPr>
          <w:color w:val="231F20"/>
          <w:spacing w:val="-2"/>
        </w:rPr>
        <w:t>durante </w:t>
      </w:r>
      <w:r>
        <w:rPr>
          <w:color w:val="231F20"/>
        </w:rPr>
        <w:t>este período, teniendo en cuenta las </w:t>
      </w:r>
      <w:r>
        <w:rPr>
          <w:color w:val="231F20"/>
        </w:rPr>
        <w:t>60 mil toneladas que Cuba logró posicionar en el mercado mundial.</w:t>
      </w:r>
    </w:p>
    <w:p>
      <w:pPr>
        <w:pStyle w:val="BodyText"/>
        <w:tabs>
          <w:tab w:pos="2211" w:val="left" w:leader="none"/>
          <w:tab w:pos="2808" w:val="left" w:leader="none"/>
          <w:tab w:pos="3222" w:val="left" w:leader="none"/>
          <w:tab w:pos="3323" w:val="left" w:leader="none"/>
          <w:tab w:pos="4152" w:val="left" w:leader="none"/>
          <w:tab w:pos="4459" w:val="left" w:leader="none"/>
          <w:tab w:pos="4542" w:val="left" w:leader="none"/>
          <w:tab w:pos="5256" w:val="left" w:leader="none"/>
        </w:tabs>
        <w:spacing w:before="164"/>
        <w:ind w:left="1133"/>
        <w:jc w:val="left"/>
      </w:pPr>
      <w:r>
        <w:rPr/>
        <mc:AlternateContent>
          <mc:Choice Requires="wps">
            <w:drawing>
              <wp:anchor distT="0" distB="0" distL="0" distR="0" allowOverlap="1" layoutInCell="1" locked="0" behindDoc="0" simplePos="0" relativeHeight="15754240">
                <wp:simplePos x="0" y="0"/>
                <wp:positionH relativeFrom="page">
                  <wp:posOffset>3218980</wp:posOffset>
                </wp:positionH>
                <wp:positionV relativeFrom="paragraph">
                  <wp:posOffset>868917</wp:posOffset>
                </wp:positionV>
                <wp:extent cx="4341495" cy="3182620"/>
                <wp:effectExtent l="0" t="0" r="0" b="0"/>
                <wp:wrapNone/>
                <wp:docPr id="80" name="Group 80"/>
                <wp:cNvGraphicFramePr>
                  <a:graphicFrameLocks/>
                </wp:cNvGraphicFramePr>
                <a:graphic>
                  <a:graphicData uri="http://schemas.microsoft.com/office/word/2010/wordprocessingGroup">
                    <wpg:wgp>
                      <wpg:cNvPr id="80" name="Group 80"/>
                      <wpg:cNvGrpSpPr/>
                      <wpg:grpSpPr>
                        <a:xfrm>
                          <a:off x="0" y="0"/>
                          <a:ext cx="4341495" cy="3182620"/>
                          <a:chExt cx="4341495" cy="3182620"/>
                        </a:xfrm>
                      </wpg:grpSpPr>
                      <wps:wsp>
                        <wps:cNvPr id="81" name="Graphic 81"/>
                        <wps:cNvSpPr/>
                        <wps:spPr>
                          <a:xfrm>
                            <a:off x="0" y="0"/>
                            <a:ext cx="4341495" cy="3182620"/>
                          </a:xfrm>
                          <a:custGeom>
                            <a:avLst/>
                            <a:gdLst/>
                            <a:ahLst/>
                            <a:cxnLst/>
                            <a:rect l="l" t="t" r="r" b="b"/>
                            <a:pathLst>
                              <a:path w="4341495" h="3182620">
                                <a:moveTo>
                                  <a:pt x="4341012" y="0"/>
                                </a:moveTo>
                                <a:lnTo>
                                  <a:pt x="0" y="0"/>
                                </a:lnTo>
                                <a:lnTo>
                                  <a:pt x="0" y="3182366"/>
                                </a:lnTo>
                                <a:lnTo>
                                  <a:pt x="4341012" y="3182366"/>
                                </a:lnTo>
                                <a:lnTo>
                                  <a:pt x="4341012" y="0"/>
                                </a:lnTo>
                                <a:close/>
                              </a:path>
                            </a:pathLst>
                          </a:custGeom>
                          <a:solidFill>
                            <a:srgbClr val="E0E2E2"/>
                          </a:solidFill>
                        </wps:spPr>
                        <wps:bodyPr wrap="square" lIns="0" tIns="0" rIns="0" bIns="0" rtlCol="0">
                          <a:prstTxWarp prst="textNoShape">
                            <a:avLst/>
                          </a:prstTxWarp>
                          <a:noAutofit/>
                        </wps:bodyPr>
                      </wps:wsp>
                      <wps:wsp>
                        <wps:cNvPr id="82" name="Graphic 82"/>
                        <wps:cNvSpPr/>
                        <wps:spPr>
                          <a:xfrm>
                            <a:off x="300317" y="567727"/>
                            <a:ext cx="4037965" cy="2177415"/>
                          </a:xfrm>
                          <a:custGeom>
                            <a:avLst/>
                            <a:gdLst/>
                            <a:ahLst/>
                            <a:cxnLst/>
                            <a:rect l="l" t="t" r="r" b="b"/>
                            <a:pathLst>
                              <a:path w="4037965" h="2177415">
                                <a:moveTo>
                                  <a:pt x="4037800" y="1741182"/>
                                </a:moveTo>
                                <a:lnTo>
                                  <a:pt x="0" y="1741182"/>
                                </a:lnTo>
                                <a:lnTo>
                                  <a:pt x="0" y="2176945"/>
                                </a:lnTo>
                                <a:lnTo>
                                  <a:pt x="4037800" y="2176945"/>
                                </a:lnTo>
                                <a:lnTo>
                                  <a:pt x="4037800" y="1741182"/>
                                </a:lnTo>
                                <a:close/>
                              </a:path>
                              <a:path w="4037965" h="2177415">
                                <a:moveTo>
                                  <a:pt x="4037800" y="870597"/>
                                </a:moveTo>
                                <a:lnTo>
                                  <a:pt x="0" y="870597"/>
                                </a:lnTo>
                                <a:lnTo>
                                  <a:pt x="0" y="1306347"/>
                                </a:lnTo>
                                <a:lnTo>
                                  <a:pt x="4037800" y="1306347"/>
                                </a:lnTo>
                                <a:lnTo>
                                  <a:pt x="4037800" y="870597"/>
                                </a:lnTo>
                                <a:close/>
                              </a:path>
                              <a:path w="4037965" h="2177415">
                                <a:moveTo>
                                  <a:pt x="4037800" y="0"/>
                                </a:moveTo>
                                <a:lnTo>
                                  <a:pt x="0" y="0"/>
                                </a:lnTo>
                                <a:lnTo>
                                  <a:pt x="0" y="435749"/>
                                </a:lnTo>
                                <a:lnTo>
                                  <a:pt x="4037800" y="435749"/>
                                </a:lnTo>
                                <a:lnTo>
                                  <a:pt x="4037800" y="0"/>
                                </a:lnTo>
                                <a:close/>
                              </a:path>
                            </a:pathLst>
                          </a:custGeom>
                          <a:solidFill>
                            <a:srgbClr val="FFFFFF"/>
                          </a:solidFill>
                        </wps:spPr>
                        <wps:bodyPr wrap="square" lIns="0" tIns="0" rIns="0" bIns="0" rtlCol="0">
                          <a:prstTxWarp prst="textNoShape">
                            <a:avLst/>
                          </a:prstTxWarp>
                          <a:noAutofit/>
                        </wps:bodyPr>
                      </wps:wsp>
                      <pic:pic>
                        <pic:nvPicPr>
                          <pic:cNvPr id="83" name="Image 83"/>
                          <pic:cNvPicPr/>
                        </pic:nvPicPr>
                        <pic:blipFill>
                          <a:blip r:embed="rId12" cstate="print"/>
                          <a:stretch>
                            <a:fillRect/>
                          </a:stretch>
                        </pic:blipFill>
                        <pic:spPr>
                          <a:xfrm>
                            <a:off x="2993779" y="151875"/>
                            <a:ext cx="246153" cy="95110"/>
                          </a:xfrm>
                          <a:prstGeom prst="rect">
                            <a:avLst/>
                          </a:prstGeom>
                        </pic:spPr>
                      </pic:pic>
                      <pic:pic>
                        <pic:nvPicPr>
                          <pic:cNvPr id="84" name="Image 84"/>
                          <pic:cNvPicPr/>
                        </pic:nvPicPr>
                        <pic:blipFill>
                          <a:blip r:embed="rId13" cstate="print"/>
                          <a:stretch>
                            <a:fillRect/>
                          </a:stretch>
                        </pic:blipFill>
                        <pic:spPr>
                          <a:xfrm>
                            <a:off x="2993138" y="305671"/>
                            <a:ext cx="182692" cy="118397"/>
                          </a:xfrm>
                          <a:prstGeom prst="rect">
                            <a:avLst/>
                          </a:prstGeom>
                        </pic:spPr>
                      </pic:pic>
                      <wps:wsp>
                        <wps:cNvPr id="85" name="Graphic 85"/>
                        <wps:cNvSpPr/>
                        <wps:spPr>
                          <a:xfrm>
                            <a:off x="3195015" y="305866"/>
                            <a:ext cx="15875" cy="97790"/>
                          </a:xfrm>
                          <a:custGeom>
                            <a:avLst/>
                            <a:gdLst/>
                            <a:ahLst/>
                            <a:cxnLst/>
                            <a:rect l="l" t="t" r="r" b="b"/>
                            <a:pathLst>
                              <a:path w="15875" h="97790">
                                <a:moveTo>
                                  <a:pt x="15265" y="0"/>
                                </a:moveTo>
                                <a:lnTo>
                                  <a:pt x="0" y="0"/>
                                </a:lnTo>
                                <a:lnTo>
                                  <a:pt x="0" y="97282"/>
                                </a:lnTo>
                                <a:lnTo>
                                  <a:pt x="15265" y="97282"/>
                                </a:lnTo>
                                <a:lnTo>
                                  <a:pt x="15265" y="0"/>
                                </a:lnTo>
                                <a:close/>
                              </a:path>
                            </a:pathLst>
                          </a:custGeom>
                          <a:solidFill>
                            <a:srgbClr val="231F20"/>
                          </a:solidFill>
                        </wps:spPr>
                        <wps:bodyPr wrap="square" lIns="0" tIns="0" rIns="0" bIns="0" rtlCol="0">
                          <a:prstTxWarp prst="textNoShape">
                            <a:avLst/>
                          </a:prstTxWarp>
                          <a:noAutofit/>
                        </wps:bodyPr>
                      </wps:wsp>
                      <pic:pic>
                        <pic:nvPicPr>
                          <pic:cNvPr id="86" name="Image 86"/>
                          <pic:cNvPicPr/>
                        </pic:nvPicPr>
                        <pic:blipFill>
                          <a:blip r:embed="rId14" cstate="print"/>
                          <a:stretch>
                            <a:fillRect/>
                          </a:stretch>
                        </pic:blipFill>
                        <pic:spPr>
                          <a:xfrm>
                            <a:off x="3230829" y="305866"/>
                            <a:ext cx="352929" cy="118201"/>
                          </a:xfrm>
                          <a:prstGeom prst="rect">
                            <a:avLst/>
                          </a:prstGeom>
                        </pic:spPr>
                      </pic:pic>
                      <pic:pic>
                        <pic:nvPicPr>
                          <pic:cNvPr id="87" name="Image 87"/>
                          <pic:cNvPicPr/>
                        </pic:nvPicPr>
                        <pic:blipFill>
                          <a:blip r:embed="rId15" cstate="print"/>
                          <a:stretch>
                            <a:fillRect/>
                          </a:stretch>
                        </pic:blipFill>
                        <pic:spPr>
                          <a:xfrm>
                            <a:off x="2996608" y="757101"/>
                            <a:ext cx="302879" cy="110501"/>
                          </a:xfrm>
                          <a:prstGeom prst="rect">
                            <a:avLst/>
                          </a:prstGeom>
                        </pic:spPr>
                      </pic:pic>
                      <pic:pic>
                        <pic:nvPicPr>
                          <pic:cNvPr id="88" name="Image 88"/>
                          <pic:cNvPicPr/>
                        </pic:nvPicPr>
                        <pic:blipFill>
                          <a:blip r:embed="rId16" cstate="print"/>
                          <a:stretch>
                            <a:fillRect/>
                          </a:stretch>
                        </pic:blipFill>
                        <pic:spPr>
                          <a:xfrm>
                            <a:off x="430844" y="658098"/>
                            <a:ext cx="1444683" cy="256536"/>
                          </a:xfrm>
                          <a:prstGeom prst="rect">
                            <a:avLst/>
                          </a:prstGeom>
                        </pic:spPr>
                      </pic:pic>
                      <pic:pic>
                        <pic:nvPicPr>
                          <pic:cNvPr id="89" name="Image 89"/>
                          <pic:cNvPicPr/>
                        </pic:nvPicPr>
                        <pic:blipFill>
                          <a:blip r:embed="rId17" cstate="print"/>
                          <a:stretch>
                            <a:fillRect/>
                          </a:stretch>
                        </pic:blipFill>
                        <pic:spPr>
                          <a:xfrm>
                            <a:off x="2996608" y="1178952"/>
                            <a:ext cx="302497" cy="110506"/>
                          </a:xfrm>
                          <a:prstGeom prst="rect">
                            <a:avLst/>
                          </a:prstGeom>
                        </pic:spPr>
                      </pic:pic>
                      <pic:pic>
                        <pic:nvPicPr>
                          <pic:cNvPr id="90" name="Image 90"/>
                          <pic:cNvPicPr/>
                        </pic:nvPicPr>
                        <pic:blipFill>
                          <a:blip r:embed="rId18" cstate="print"/>
                          <a:stretch>
                            <a:fillRect/>
                          </a:stretch>
                        </pic:blipFill>
                        <pic:spPr>
                          <a:xfrm>
                            <a:off x="429563" y="1094089"/>
                            <a:ext cx="1839263" cy="287332"/>
                          </a:xfrm>
                          <a:prstGeom prst="rect">
                            <a:avLst/>
                          </a:prstGeom>
                        </pic:spPr>
                      </pic:pic>
                      <wps:wsp>
                        <wps:cNvPr id="91" name="Graphic 91"/>
                        <wps:cNvSpPr/>
                        <wps:spPr>
                          <a:xfrm>
                            <a:off x="2994614" y="1614205"/>
                            <a:ext cx="33020" cy="94615"/>
                          </a:xfrm>
                          <a:custGeom>
                            <a:avLst/>
                            <a:gdLst/>
                            <a:ahLst/>
                            <a:cxnLst/>
                            <a:rect l="l" t="t" r="r" b="b"/>
                            <a:pathLst>
                              <a:path w="33020" h="94615">
                                <a:moveTo>
                                  <a:pt x="32727" y="0"/>
                                </a:moveTo>
                                <a:lnTo>
                                  <a:pt x="28752" y="0"/>
                                </a:lnTo>
                                <a:lnTo>
                                  <a:pt x="25590" y="2984"/>
                                </a:lnTo>
                                <a:lnTo>
                                  <a:pt x="21221" y="5943"/>
                                </a:lnTo>
                                <a:lnTo>
                                  <a:pt x="10147" y="11760"/>
                                </a:lnTo>
                                <a:lnTo>
                                  <a:pt x="4914" y="13855"/>
                                </a:lnTo>
                                <a:lnTo>
                                  <a:pt x="0" y="15138"/>
                                </a:lnTo>
                                <a:lnTo>
                                  <a:pt x="3022" y="24383"/>
                                </a:lnTo>
                                <a:lnTo>
                                  <a:pt x="22199" y="15265"/>
                                </a:lnTo>
                                <a:lnTo>
                                  <a:pt x="22199" y="94068"/>
                                </a:lnTo>
                                <a:lnTo>
                                  <a:pt x="32727" y="94068"/>
                                </a:lnTo>
                                <a:lnTo>
                                  <a:pt x="32727" y="0"/>
                                </a:lnTo>
                                <a:close/>
                              </a:path>
                            </a:pathLst>
                          </a:custGeom>
                          <a:solidFill>
                            <a:srgbClr val="231F20"/>
                          </a:solidFill>
                        </wps:spPr>
                        <wps:bodyPr wrap="square" lIns="0" tIns="0" rIns="0" bIns="0" rtlCol="0">
                          <a:prstTxWarp prst="textNoShape">
                            <a:avLst/>
                          </a:prstTxWarp>
                          <a:noAutofit/>
                        </wps:bodyPr>
                      </wps:wsp>
                      <pic:pic>
                        <pic:nvPicPr>
                          <pic:cNvPr id="92" name="Image 92"/>
                          <pic:cNvPicPr/>
                        </pic:nvPicPr>
                        <pic:blipFill>
                          <a:blip r:embed="rId19" cstate="print"/>
                          <a:stretch>
                            <a:fillRect/>
                          </a:stretch>
                        </pic:blipFill>
                        <pic:spPr>
                          <a:xfrm>
                            <a:off x="3048581" y="1614713"/>
                            <a:ext cx="300828" cy="110501"/>
                          </a:xfrm>
                          <a:prstGeom prst="rect">
                            <a:avLst/>
                          </a:prstGeom>
                        </pic:spPr>
                      </pic:pic>
                      <pic:pic>
                        <pic:nvPicPr>
                          <pic:cNvPr id="93" name="Image 93"/>
                          <pic:cNvPicPr/>
                        </pic:nvPicPr>
                        <pic:blipFill>
                          <a:blip r:embed="rId20" cstate="print"/>
                          <a:stretch>
                            <a:fillRect/>
                          </a:stretch>
                        </pic:blipFill>
                        <pic:spPr>
                          <a:xfrm>
                            <a:off x="435716" y="1531264"/>
                            <a:ext cx="1626212" cy="285206"/>
                          </a:xfrm>
                          <a:prstGeom prst="rect">
                            <a:avLst/>
                          </a:prstGeom>
                        </pic:spPr>
                      </pic:pic>
                      <wps:wsp>
                        <wps:cNvPr id="94" name="Graphic 94"/>
                        <wps:cNvSpPr/>
                        <wps:spPr>
                          <a:xfrm>
                            <a:off x="2994614" y="2049962"/>
                            <a:ext cx="33020" cy="94615"/>
                          </a:xfrm>
                          <a:custGeom>
                            <a:avLst/>
                            <a:gdLst/>
                            <a:ahLst/>
                            <a:cxnLst/>
                            <a:rect l="l" t="t" r="r" b="b"/>
                            <a:pathLst>
                              <a:path w="33020" h="94615">
                                <a:moveTo>
                                  <a:pt x="32727" y="0"/>
                                </a:moveTo>
                                <a:lnTo>
                                  <a:pt x="28752" y="0"/>
                                </a:lnTo>
                                <a:lnTo>
                                  <a:pt x="25590" y="2984"/>
                                </a:lnTo>
                                <a:lnTo>
                                  <a:pt x="21221" y="5943"/>
                                </a:lnTo>
                                <a:lnTo>
                                  <a:pt x="10147" y="11760"/>
                                </a:lnTo>
                                <a:lnTo>
                                  <a:pt x="4914" y="13855"/>
                                </a:lnTo>
                                <a:lnTo>
                                  <a:pt x="0" y="15138"/>
                                </a:lnTo>
                                <a:lnTo>
                                  <a:pt x="3022" y="24383"/>
                                </a:lnTo>
                                <a:lnTo>
                                  <a:pt x="22199" y="15278"/>
                                </a:lnTo>
                                <a:lnTo>
                                  <a:pt x="22199" y="94068"/>
                                </a:lnTo>
                                <a:lnTo>
                                  <a:pt x="32727" y="94068"/>
                                </a:lnTo>
                                <a:lnTo>
                                  <a:pt x="32727" y="0"/>
                                </a:lnTo>
                                <a:close/>
                              </a:path>
                            </a:pathLst>
                          </a:custGeom>
                          <a:solidFill>
                            <a:srgbClr val="231F20"/>
                          </a:solidFill>
                        </wps:spPr>
                        <wps:bodyPr wrap="square" lIns="0" tIns="0" rIns="0" bIns="0" rtlCol="0">
                          <a:prstTxWarp prst="textNoShape">
                            <a:avLst/>
                          </a:prstTxWarp>
                          <a:noAutofit/>
                        </wps:bodyPr>
                      </wps:wsp>
                      <pic:pic>
                        <pic:nvPicPr>
                          <pic:cNvPr id="95" name="Image 95"/>
                          <pic:cNvPicPr/>
                        </pic:nvPicPr>
                        <pic:blipFill>
                          <a:blip r:embed="rId21" cstate="print"/>
                          <a:stretch>
                            <a:fillRect/>
                          </a:stretch>
                        </pic:blipFill>
                        <pic:spPr>
                          <a:xfrm>
                            <a:off x="3049933" y="2050470"/>
                            <a:ext cx="159849" cy="110503"/>
                          </a:xfrm>
                          <a:prstGeom prst="rect">
                            <a:avLst/>
                          </a:prstGeom>
                        </pic:spPr>
                      </pic:pic>
                      <pic:pic>
                        <pic:nvPicPr>
                          <pic:cNvPr id="96" name="Image 96"/>
                          <pic:cNvPicPr/>
                        </pic:nvPicPr>
                        <pic:blipFill>
                          <a:blip r:embed="rId22" cstate="print"/>
                          <a:stretch>
                            <a:fillRect/>
                          </a:stretch>
                        </pic:blipFill>
                        <pic:spPr>
                          <a:xfrm>
                            <a:off x="431237" y="1965102"/>
                            <a:ext cx="1538102" cy="258453"/>
                          </a:xfrm>
                          <a:prstGeom prst="rect">
                            <a:avLst/>
                          </a:prstGeom>
                        </pic:spPr>
                      </pic:pic>
                      <wps:wsp>
                        <wps:cNvPr id="97" name="Graphic 97"/>
                        <wps:cNvSpPr/>
                        <wps:spPr>
                          <a:xfrm>
                            <a:off x="1985251" y="1967026"/>
                            <a:ext cx="10795" cy="97790"/>
                          </a:xfrm>
                          <a:custGeom>
                            <a:avLst/>
                            <a:gdLst/>
                            <a:ahLst/>
                            <a:cxnLst/>
                            <a:rect l="l" t="t" r="r" b="b"/>
                            <a:pathLst>
                              <a:path w="10795" h="97790">
                                <a:moveTo>
                                  <a:pt x="10528" y="0"/>
                                </a:moveTo>
                                <a:lnTo>
                                  <a:pt x="0" y="0"/>
                                </a:lnTo>
                                <a:lnTo>
                                  <a:pt x="0" y="97282"/>
                                </a:lnTo>
                                <a:lnTo>
                                  <a:pt x="10528" y="97282"/>
                                </a:lnTo>
                                <a:lnTo>
                                  <a:pt x="10528" y="0"/>
                                </a:lnTo>
                                <a:close/>
                              </a:path>
                            </a:pathLst>
                          </a:custGeom>
                          <a:solidFill>
                            <a:srgbClr val="231F20"/>
                          </a:solidFill>
                        </wps:spPr>
                        <wps:bodyPr wrap="square" lIns="0" tIns="0" rIns="0" bIns="0" rtlCol="0">
                          <a:prstTxWarp prst="textNoShape">
                            <a:avLst/>
                          </a:prstTxWarp>
                          <a:noAutofit/>
                        </wps:bodyPr>
                      </wps:wsp>
                      <pic:pic>
                        <pic:nvPicPr>
                          <pic:cNvPr id="98" name="Image 98"/>
                          <pic:cNvPicPr/>
                        </pic:nvPicPr>
                        <pic:blipFill>
                          <a:blip r:embed="rId23" cstate="print"/>
                          <a:stretch>
                            <a:fillRect/>
                          </a:stretch>
                        </pic:blipFill>
                        <pic:spPr>
                          <a:xfrm>
                            <a:off x="2999230" y="2486216"/>
                            <a:ext cx="299736" cy="110505"/>
                          </a:xfrm>
                          <a:prstGeom prst="rect">
                            <a:avLst/>
                          </a:prstGeom>
                        </pic:spPr>
                      </pic:pic>
                      <pic:pic>
                        <pic:nvPicPr>
                          <pic:cNvPr id="99" name="Image 99"/>
                          <pic:cNvPicPr/>
                        </pic:nvPicPr>
                        <pic:blipFill>
                          <a:blip r:embed="rId24" cstate="print"/>
                          <a:stretch>
                            <a:fillRect/>
                          </a:stretch>
                        </pic:blipFill>
                        <pic:spPr>
                          <a:xfrm>
                            <a:off x="437132" y="2400847"/>
                            <a:ext cx="1247023" cy="258460"/>
                          </a:xfrm>
                          <a:prstGeom prst="rect">
                            <a:avLst/>
                          </a:prstGeom>
                        </pic:spPr>
                      </pic:pic>
                      <wps:wsp>
                        <wps:cNvPr id="100" name="Graphic 100"/>
                        <wps:cNvSpPr/>
                        <wps:spPr>
                          <a:xfrm>
                            <a:off x="431231" y="2590496"/>
                            <a:ext cx="57785" cy="69215"/>
                          </a:xfrm>
                          <a:custGeom>
                            <a:avLst/>
                            <a:gdLst/>
                            <a:ahLst/>
                            <a:cxnLst/>
                            <a:rect l="l" t="t" r="r" b="b"/>
                            <a:pathLst>
                              <a:path w="57785" h="69215">
                                <a:moveTo>
                                  <a:pt x="38836" y="0"/>
                                </a:moveTo>
                                <a:lnTo>
                                  <a:pt x="21297" y="0"/>
                                </a:lnTo>
                                <a:lnTo>
                                  <a:pt x="13995" y="3238"/>
                                </a:lnTo>
                                <a:lnTo>
                                  <a:pt x="0" y="35229"/>
                                </a:lnTo>
                                <a:lnTo>
                                  <a:pt x="547" y="42723"/>
                                </a:lnTo>
                                <a:lnTo>
                                  <a:pt x="21704" y="68808"/>
                                </a:lnTo>
                                <a:lnTo>
                                  <a:pt x="36080" y="68808"/>
                                </a:lnTo>
                                <a:lnTo>
                                  <a:pt x="40170" y="68249"/>
                                </a:lnTo>
                                <a:lnTo>
                                  <a:pt x="47612" y="66027"/>
                                </a:lnTo>
                                <a:lnTo>
                                  <a:pt x="51333" y="64262"/>
                                </a:lnTo>
                                <a:lnTo>
                                  <a:pt x="55054" y="61861"/>
                                </a:lnTo>
                                <a:lnTo>
                                  <a:pt x="53765" y="59880"/>
                                </a:lnTo>
                                <a:lnTo>
                                  <a:pt x="25704" y="59880"/>
                                </a:lnTo>
                                <a:lnTo>
                                  <a:pt x="20459" y="57886"/>
                                </a:lnTo>
                                <a:lnTo>
                                  <a:pt x="12966" y="49885"/>
                                </a:lnTo>
                                <a:lnTo>
                                  <a:pt x="11010" y="44183"/>
                                </a:lnTo>
                                <a:lnTo>
                                  <a:pt x="10845" y="36779"/>
                                </a:lnTo>
                                <a:lnTo>
                                  <a:pt x="57302" y="36779"/>
                                </a:lnTo>
                                <a:lnTo>
                                  <a:pt x="57302" y="28181"/>
                                </a:lnTo>
                                <a:lnTo>
                                  <a:pt x="10972" y="28181"/>
                                </a:lnTo>
                                <a:lnTo>
                                  <a:pt x="11747" y="22275"/>
                                </a:lnTo>
                                <a:lnTo>
                                  <a:pt x="13868" y="17589"/>
                                </a:lnTo>
                                <a:lnTo>
                                  <a:pt x="20840" y="10617"/>
                                </a:lnTo>
                                <a:lnTo>
                                  <a:pt x="25082" y="8864"/>
                                </a:lnTo>
                                <a:lnTo>
                                  <a:pt x="50618" y="8864"/>
                                </a:lnTo>
                                <a:lnTo>
                                  <a:pt x="45491" y="2806"/>
                                </a:lnTo>
                                <a:lnTo>
                                  <a:pt x="38836" y="0"/>
                                </a:lnTo>
                                <a:close/>
                              </a:path>
                              <a:path w="57785" h="69215">
                                <a:moveTo>
                                  <a:pt x="50177" y="54368"/>
                                </a:moveTo>
                                <a:lnTo>
                                  <a:pt x="47269" y="56286"/>
                                </a:lnTo>
                                <a:lnTo>
                                  <a:pt x="44323" y="57696"/>
                                </a:lnTo>
                                <a:lnTo>
                                  <a:pt x="38379" y="59436"/>
                                </a:lnTo>
                                <a:lnTo>
                                  <a:pt x="35420" y="59880"/>
                                </a:lnTo>
                                <a:lnTo>
                                  <a:pt x="53765" y="59880"/>
                                </a:lnTo>
                                <a:lnTo>
                                  <a:pt x="50177" y="54368"/>
                                </a:lnTo>
                                <a:close/>
                              </a:path>
                              <a:path w="57785" h="69215">
                                <a:moveTo>
                                  <a:pt x="50618" y="8864"/>
                                </a:moveTo>
                                <a:lnTo>
                                  <a:pt x="35191" y="8864"/>
                                </a:lnTo>
                                <a:lnTo>
                                  <a:pt x="39179" y="10566"/>
                                </a:lnTo>
                                <a:lnTo>
                                  <a:pt x="44996" y="17360"/>
                                </a:lnTo>
                                <a:lnTo>
                                  <a:pt x="46482" y="22110"/>
                                </a:lnTo>
                                <a:lnTo>
                                  <a:pt x="46520" y="28181"/>
                                </a:lnTo>
                                <a:lnTo>
                                  <a:pt x="57302" y="28181"/>
                                </a:lnTo>
                                <a:lnTo>
                                  <a:pt x="57302" y="21704"/>
                                </a:lnTo>
                                <a:lnTo>
                                  <a:pt x="54940" y="13970"/>
                                </a:lnTo>
                                <a:lnTo>
                                  <a:pt x="50618" y="8864"/>
                                </a:lnTo>
                                <a:close/>
                              </a:path>
                            </a:pathLst>
                          </a:custGeom>
                          <a:solidFill>
                            <a:srgbClr val="231F20"/>
                          </a:solidFill>
                        </wps:spPr>
                        <wps:bodyPr wrap="square" lIns="0" tIns="0" rIns="0" bIns="0" rtlCol="0">
                          <a:prstTxWarp prst="textNoShape">
                            <a:avLst/>
                          </a:prstTxWarp>
                          <a:noAutofit/>
                        </wps:bodyPr>
                      </wps:wsp>
                      <pic:pic>
                        <pic:nvPicPr>
                          <pic:cNvPr id="101" name="Image 101"/>
                          <pic:cNvPicPr/>
                        </pic:nvPicPr>
                        <pic:blipFill>
                          <a:blip r:embed="rId25" cstate="print"/>
                          <a:stretch>
                            <a:fillRect/>
                          </a:stretch>
                        </pic:blipFill>
                        <pic:spPr>
                          <a:xfrm>
                            <a:off x="3000453" y="2921468"/>
                            <a:ext cx="386250" cy="110373"/>
                          </a:xfrm>
                          <a:prstGeom prst="rect">
                            <a:avLst/>
                          </a:prstGeom>
                        </pic:spPr>
                      </pic:pic>
                      <pic:pic>
                        <pic:nvPicPr>
                          <pic:cNvPr id="102" name="Image 102"/>
                          <pic:cNvPicPr/>
                        </pic:nvPicPr>
                        <pic:blipFill>
                          <a:blip r:embed="rId26" cstate="print"/>
                          <a:stretch>
                            <a:fillRect/>
                          </a:stretch>
                        </pic:blipFill>
                        <pic:spPr>
                          <a:xfrm>
                            <a:off x="427642" y="2921979"/>
                            <a:ext cx="391497" cy="95161"/>
                          </a:xfrm>
                          <a:prstGeom prst="rect">
                            <a:avLst/>
                          </a:prstGeom>
                        </pic:spPr>
                      </pic:pic>
                      <pic:pic>
                        <pic:nvPicPr>
                          <pic:cNvPr id="103" name="Image 103"/>
                          <pic:cNvPicPr/>
                        </pic:nvPicPr>
                        <pic:blipFill>
                          <a:blip r:embed="rId27" cstate="print"/>
                          <a:stretch>
                            <a:fillRect/>
                          </a:stretch>
                        </pic:blipFill>
                        <pic:spPr>
                          <a:xfrm>
                            <a:off x="414925" y="146235"/>
                            <a:ext cx="1036482" cy="287130"/>
                          </a:xfrm>
                          <a:prstGeom prst="rect">
                            <a:avLst/>
                          </a:prstGeom>
                        </pic:spPr>
                      </pic:pic>
                    </wpg:wgp>
                  </a:graphicData>
                </a:graphic>
              </wp:anchor>
            </w:drawing>
          </mc:Choice>
          <mc:Fallback>
            <w:pict>
              <v:group style="position:absolute;margin-left:253.462997pt;margin-top:68.418686pt;width:341.85pt;height:250.6pt;mso-position-horizontal-relative:page;mso-position-vertical-relative:paragraph;z-index:15754240" id="docshapegroup57" coordorigin="5069,1368" coordsize="6837,5012">
                <v:rect style="position:absolute;left:5069;top:1368;width:6837;height:5012" id="docshape58" filled="true" fillcolor="#e0e2e2" stroked="false">
                  <v:fill type="solid"/>
                </v:rect>
                <v:shape style="position:absolute;left:5542;top:2262;width:6359;height:3429" id="docshape59" coordorigin="5542,2262" coordsize="6359,3429" path="m11901,5004l5542,5004,5542,5691,11901,5691,11901,5004xm11901,3633l5542,3633,5542,4320,11901,4320,11901,3633xm11901,2262l5542,2262,5542,2949,11901,2949,11901,2262xe" filled="true" fillcolor="#ffffff" stroked="false">
                  <v:path arrowok="t"/>
                  <v:fill type="solid"/>
                </v:shape>
                <v:shape style="position:absolute;left:9783;top:1607;width:388;height:150" type="#_x0000_t75" id="docshape60" stroked="false">
                  <v:imagedata r:id="rId12" o:title=""/>
                </v:shape>
                <v:shape style="position:absolute;left:9782;top:1849;width:288;height:187" type="#_x0000_t75" id="docshape61" stroked="false">
                  <v:imagedata r:id="rId13" o:title=""/>
                </v:shape>
                <v:rect style="position:absolute;left:10100;top:1850;width:25;height:154" id="docshape62" filled="true" fillcolor="#231f20" stroked="false">
                  <v:fill type="solid"/>
                </v:rect>
                <v:shape style="position:absolute;left:10157;top:1850;width:556;height:187" type="#_x0000_t75" id="docshape63" stroked="false">
                  <v:imagedata r:id="rId14" o:title=""/>
                </v:shape>
                <v:shape style="position:absolute;left:9788;top:2560;width:477;height:175" type="#_x0000_t75" id="docshape64" stroked="false">
                  <v:imagedata r:id="rId15" o:title=""/>
                </v:shape>
                <v:shape style="position:absolute;left:5747;top:2404;width:2276;height:404" type="#_x0000_t75" id="docshape65" stroked="false">
                  <v:imagedata r:id="rId16" o:title=""/>
                </v:shape>
                <v:shape style="position:absolute;left:9788;top:3225;width:477;height:175" type="#_x0000_t75" id="docshape66" stroked="false">
                  <v:imagedata r:id="rId17" o:title=""/>
                </v:shape>
                <v:shape style="position:absolute;left:5745;top:3091;width:2897;height:453" type="#_x0000_t75" id="docshape67" stroked="false">
                  <v:imagedata r:id="rId18" o:title=""/>
                </v:shape>
                <v:shape style="position:absolute;left:9785;top:3910;width:52;height:149" id="docshape68" coordorigin="9785,3910" coordsize="52,149" path="m9837,3910l9830,3910,9825,3915,9819,3920,9801,3929,9793,3932,9785,3934,9790,3949,9820,3934,9820,4059,9837,4059,9837,3910xe" filled="true" fillcolor="#231f20" stroked="false">
                  <v:path arrowok="t"/>
                  <v:fill type="solid"/>
                </v:shape>
                <v:shape style="position:absolute;left:9870;top:3911;width:474;height:175" type="#_x0000_t75" id="docshape69" stroked="false">
                  <v:imagedata r:id="rId19" o:title=""/>
                </v:shape>
                <v:shape style="position:absolute;left:5755;top:3779;width:2561;height:450" type="#_x0000_t75" id="docshape70" stroked="false">
                  <v:imagedata r:id="rId20" o:title=""/>
                </v:shape>
                <v:shape style="position:absolute;left:9785;top:4596;width:52;height:149" id="docshape71" coordorigin="9785,4597" coordsize="52,149" path="m9837,4597l9830,4597,9825,4601,9819,4606,9801,4615,9793,4618,9785,4621,9790,4635,9820,4621,9820,4745,9837,4745,9837,4597xe" filled="true" fillcolor="#231f20" stroked="false">
                  <v:path arrowok="t"/>
                  <v:fill type="solid"/>
                </v:shape>
                <v:shape style="position:absolute;left:9872;top:4597;width:252;height:175" type="#_x0000_t75" id="docshape72" stroked="false">
                  <v:imagedata r:id="rId21" o:title=""/>
                </v:shape>
                <v:shape style="position:absolute;left:5748;top:4463;width:2423;height:408" type="#_x0000_t75" id="docshape73" stroked="false">
                  <v:imagedata r:id="rId22" o:title=""/>
                </v:shape>
                <v:rect style="position:absolute;left:8195;top:4466;width:17;height:154" id="docshape74" filled="true" fillcolor="#231f20" stroked="false">
                  <v:fill type="solid"/>
                </v:rect>
                <v:shape style="position:absolute;left:9792;top:5283;width:473;height:175" type="#_x0000_t75" id="docshape75" stroked="false">
                  <v:imagedata r:id="rId23" o:title=""/>
                </v:shape>
                <v:shape style="position:absolute;left:5757;top:5149;width:1964;height:408" type="#_x0000_t75" id="docshape76" stroked="false">
                  <v:imagedata r:id="rId24" o:title=""/>
                </v:shape>
                <v:shape style="position:absolute;left:5748;top:5447;width:91;height:109" id="docshape77" coordorigin="5748,5448" coordsize="91,109" path="m5810,5448l5782,5448,5770,5453,5762,5463,5756,5471,5752,5481,5749,5492,5748,5503,5749,5515,5752,5526,5756,5535,5762,5542,5770,5552,5783,5556,5805,5556,5812,5555,5823,5552,5829,5549,5835,5545,5833,5542,5789,5542,5781,5539,5769,5526,5766,5517,5765,5506,5839,5506,5839,5492,5766,5492,5767,5483,5770,5476,5781,5465,5788,5462,5828,5462,5820,5452,5810,5448xm5827,5534l5823,5537,5818,5539,5809,5541,5804,5542,5833,5542,5827,5534xm5828,5462l5804,5462,5810,5465,5819,5475,5822,5483,5822,5492,5839,5492,5839,5482,5835,5470,5828,5462xe" filled="true" fillcolor="#231f20" stroked="false">
                  <v:path arrowok="t"/>
                  <v:fill type="solid"/>
                </v:shape>
                <v:shape style="position:absolute;left:9794;top:5969;width:609;height:174" type="#_x0000_t75" id="docshape78" stroked="false">
                  <v:imagedata r:id="rId25" o:title=""/>
                </v:shape>
                <v:shape style="position:absolute;left:5742;top:5969;width:617;height:150" type="#_x0000_t75" id="docshape79" stroked="false">
                  <v:imagedata r:id="rId26" o:title=""/>
                </v:shape>
                <v:shape style="position:absolute;left:5722;top:1598;width:1633;height:453" type="#_x0000_t75" id="docshape80" stroked="false">
                  <v:imagedata r:id="rId27" o:title=""/>
                </v:shape>
                <w10:wrap type="none"/>
              </v:group>
            </w:pict>
          </mc:Fallback>
        </mc:AlternateContent>
      </w:r>
      <w:r>
        <w:rPr>
          <w:color w:val="231F20"/>
        </w:rPr>
        <w:t>En</w:t>
      </w:r>
      <w:r>
        <w:rPr>
          <w:color w:val="231F20"/>
          <w:spacing w:val="-12"/>
        </w:rPr>
        <w:t> </w:t>
      </w:r>
      <w:r>
        <w:rPr>
          <w:color w:val="231F20"/>
        </w:rPr>
        <w:t>el</w:t>
      </w:r>
      <w:r>
        <w:rPr>
          <w:color w:val="231F20"/>
          <w:spacing w:val="-12"/>
        </w:rPr>
        <w:t> </w:t>
      </w:r>
      <w:r>
        <w:rPr>
          <w:color w:val="231F20"/>
        </w:rPr>
        <w:t>caso</w:t>
      </w:r>
      <w:r>
        <w:rPr>
          <w:color w:val="231F20"/>
          <w:spacing w:val="-12"/>
        </w:rPr>
        <w:t> </w:t>
      </w:r>
      <w:r>
        <w:rPr>
          <w:color w:val="231F20"/>
        </w:rPr>
        <w:t>de</w:t>
      </w:r>
      <w:r>
        <w:rPr>
          <w:color w:val="231F20"/>
          <w:spacing w:val="-12"/>
        </w:rPr>
        <w:t> </w:t>
      </w:r>
      <w:r>
        <w:rPr>
          <w:color w:val="231F20"/>
        </w:rPr>
        <w:t>otros</w:t>
      </w:r>
      <w:r>
        <w:rPr>
          <w:color w:val="231F20"/>
          <w:spacing w:val="-12"/>
        </w:rPr>
        <w:t> </w:t>
      </w:r>
      <w:r>
        <w:rPr>
          <w:color w:val="231F20"/>
        </w:rPr>
        <w:t>renglones</w:t>
      </w:r>
      <w:r>
        <w:rPr>
          <w:color w:val="231F20"/>
          <w:spacing w:val="-12"/>
        </w:rPr>
        <w:t> </w:t>
      </w:r>
      <w:r>
        <w:rPr>
          <w:color w:val="231F20"/>
        </w:rPr>
        <w:t>exportables, como</w:t>
      </w:r>
      <w:r>
        <w:rPr>
          <w:color w:val="231F20"/>
          <w:spacing w:val="80"/>
        </w:rPr>
        <w:t> </w:t>
      </w:r>
      <w:r>
        <w:rPr>
          <w:color w:val="231F20"/>
        </w:rPr>
        <w:t>el</w:t>
      </w:r>
      <w:r>
        <w:rPr>
          <w:color w:val="231F20"/>
          <w:spacing w:val="80"/>
        </w:rPr>
        <w:t> </w:t>
      </w:r>
      <w:r>
        <w:rPr>
          <w:color w:val="231F20"/>
        </w:rPr>
        <w:t>ron</w:t>
      </w:r>
      <w:r>
        <w:rPr>
          <w:color w:val="231F20"/>
          <w:spacing w:val="80"/>
        </w:rPr>
        <w:t> </w:t>
      </w:r>
      <w:r>
        <w:rPr>
          <w:color w:val="231F20"/>
        </w:rPr>
        <w:t>y</w:t>
      </w:r>
      <w:r>
        <w:rPr>
          <w:color w:val="231F20"/>
          <w:spacing w:val="80"/>
        </w:rPr>
        <w:t> </w:t>
      </w:r>
      <w:r>
        <w:rPr>
          <w:color w:val="231F20"/>
        </w:rPr>
        <w:t>el</w:t>
      </w:r>
      <w:r>
        <w:rPr>
          <w:color w:val="231F20"/>
          <w:spacing w:val="80"/>
        </w:rPr>
        <w:t> </w:t>
      </w:r>
      <w:r>
        <w:rPr>
          <w:color w:val="231F20"/>
        </w:rPr>
        <w:t>carbón</w:t>
      </w:r>
      <w:r>
        <w:rPr>
          <w:color w:val="231F20"/>
          <w:spacing w:val="80"/>
        </w:rPr>
        <w:t> </w:t>
      </w:r>
      <w:r>
        <w:rPr>
          <w:color w:val="231F20"/>
        </w:rPr>
        <w:t>vegetal,</w:t>
      </w:r>
      <w:r>
        <w:rPr>
          <w:color w:val="231F20"/>
          <w:spacing w:val="80"/>
        </w:rPr>
        <w:t> </w:t>
      </w:r>
      <w:r>
        <w:rPr>
          <w:color w:val="231F20"/>
        </w:rPr>
        <w:t>la </w:t>
      </w:r>
      <w:r>
        <w:rPr>
          <w:color w:val="231F20"/>
          <w:spacing w:val="-2"/>
        </w:rPr>
        <w:t>imposibilidad</w:t>
      </w:r>
      <w:r>
        <w:rPr>
          <w:color w:val="231F20"/>
        </w:rPr>
        <w:tab/>
      </w:r>
      <w:r>
        <w:rPr>
          <w:color w:val="231F20"/>
          <w:spacing w:val="-6"/>
        </w:rPr>
        <w:t>de</w:t>
      </w:r>
      <w:r>
        <w:rPr>
          <w:color w:val="231F20"/>
        </w:rPr>
        <w:tab/>
        <w:tab/>
      </w:r>
      <w:r>
        <w:rPr>
          <w:color w:val="231F20"/>
          <w:spacing w:val="-2"/>
        </w:rPr>
        <w:t>exportar</w:t>
      </w:r>
      <w:r>
        <w:rPr>
          <w:color w:val="231F20"/>
        </w:rPr>
        <w:tab/>
      </w:r>
      <w:r>
        <w:rPr>
          <w:color w:val="231F20"/>
          <w:spacing w:val="-2"/>
        </w:rPr>
        <w:t>hacia</w:t>
      </w:r>
      <w:r>
        <w:rPr>
          <w:color w:val="231F20"/>
        </w:rPr>
        <w:tab/>
      </w:r>
      <w:r>
        <w:rPr>
          <w:color w:val="231F20"/>
          <w:spacing w:val="-4"/>
        </w:rPr>
        <w:t>los </w:t>
      </w:r>
      <w:r>
        <w:rPr>
          <w:color w:val="231F20"/>
          <w:spacing w:val="-2"/>
        </w:rPr>
        <w:t>Estados</w:t>
      </w:r>
      <w:r>
        <w:rPr>
          <w:color w:val="231F20"/>
        </w:rPr>
        <w:tab/>
      </w:r>
      <w:r>
        <w:rPr>
          <w:color w:val="231F20"/>
          <w:spacing w:val="-2"/>
        </w:rPr>
        <w:t>Unidos</w:t>
      </w:r>
      <w:r>
        <w:rPr>
          <w:color w:val="231F20"/>
        </w:rPr>
        <w:tab/>
      </w:r>
      <w:r>
        <w:rPr>
          <w:color w:val="231F20"/>
          <w:spacing w:val="-2"/>
        </w:rPr>
        <w:t>obliga</w:t>
      </w:r>
      <w:r>
        <w:rPr>
          <w:color w:val="231F20"/>
        </w:rPr>
        <w:tab/>
      </w:r>
      <w:r>
        <w:rPr>
          <w:color w:val="231F20"/>
          <w:spacing w:val="-10"/>
        </w:rPr>
        <w:t>a</w:t>
      </w:r>
      <w:r>
        <w:rPr>
          <w:color w:val="231F20"/>
        </w:rPr>
        <w:tab/>
        <w:tab/>
      </w:r>
      <w:r>
        <w:rPr>
          <w:color w:val="231F20"/>
          <w:spacing w:val="-4"/>
        </w:rPr>
        <w:t>las </w:t>
      </w:r>
      <w:r>
        <w:rPr>
          <w:color w:val="231F20"/>
        </w:rPr>
        <w:t>empresas cubanas a buscar clientes</w:t>
      </w:r>
    </w:p>
    <w:p>
      <w:pPr>
        <w:pStyle w:val="BodyText"/>
        <w:spacing w:before="4"/>
        <w:ind w:left="1133" w:right="729"/>
      </w:pPr>
      <w:r>
        <w:rPr>
          <w:color w:val="231F20"/>
        </w:rPr>
        <w:t>en mercados más distantes, como Europa, lo cual encarece todo el proceso de comercialización.</w:t>
      </w:r>
    </w:p>
    <w:p>
      <w:pPr>
        <w:pStyle w:val="BodyText"/>
        <w:spacing w:before="163"/>
        <w:ind w:left="1133" w:right="730"/>
      </w:pPr>
      <w:r>
        <w:rPr>
          <w:color w:val="231F20"/>
        </w:rPr>
        <w:t>Por</w:t>
      </w:r>
      <w:r>
        <w:rPr>
          <w:color w:val="231F20"/>
          <w:spacing w:val="40"/>
        </w:rPr>
        <w:t> </w:t>
      </w:r>
      <w:r>
        <w:rPr>
          <w:color w:val="231F20"/>
        </w:rPr>
        <w:t>otra parte, se mantienen las </w:t>
      </w:r>
      <w:r>
        <w:rPr>
          <w:color w:val="231F20"/>
          <w:spacing w:val="-10"/>
        </w:rPr>
        <w:t>limitaciones</w:t>
      </w:r>
      <w:r>
        <w:rPr>
          <w:color w:val="231F20"/>
          <w:spacing w:val="-7"/>
        </w:rPr>
        <w:t> </w:t>
      </w:r>
      <w:r>
        <w:rPr>
          <w:color w:val="231F20"/>
          <w:spacing w:val="-10"/>
        </w:rPr>
        <w:t>para</w:t>
      </w:r>
      <w:r>
        <w:rPr>
          <w:color w:val="231F20"/>
          <w:spacing w:val="-6"/>
        </w:rPr>
        <w:t> </w:t>
      </w:r>
      <w:r>
        <w:rPr>
          <w:color w:val="231F20"/>
          <w:spacing w:val="-10"/>
        </w:rPr>
        <w:t>las</w:t>
      </w:r>
      <w:r>
        <w:rPr>
          <w:color w:val="231F20"/>
          <w:spacing w:val="-7"/>
        </w:rPr>
        <w:t> </w:t>
      </w:r>
      <w:r>
        <w:rPr>
          <w:color w:val="231F20"/>
          <w:spacing w:val="-10"/>
        </w:rPr>
        <w:t>importaciones</w:t>
      </w:r>
      <w:r>
        <w:rPr>
          <w:color w:val="231F20"/>
          <w:spacing w:val="-6"/>
        </w:rPr>
        <w:t> </w:t>
      </w:r>
      <w:r>
        <w:rPr>
          <w:color w:val="231F20"/>
          <w:spacing w:val="-10"/>
        </w:rPr>
        <w:t>de productos</w:t>
      </w:r>
      <w:r>
        <w:rPr>
          <w:color w:val="231F20"/>
          <w:spacing w:val="-3"/>
        </w:rPr>
        <w:t> </w:t>
      </w:r>
      <w:r>
        <w:rPr>
          <w:color w:val="231F20"/>
          <w:spacing w:val="-10"/>
        </w:rPr>
        <w:t>agroalimentarios</w:t>
      </w:r>
      <w:r>
        <w:rPr>
          <w:color w:val="231F20"/>
          <w:spacing w:val="-3"/>
        </w:rPr>
        <w:t> </w:t>
      </w:r>
      <w:r>
        <w:rPr>
          <w:color w:val="231F20"/>
          <w:spacing w:val="-10"/>
        </w:rPr>
        <w:t>desde</w:t>
      </w:r>
      <w:r>
        <w:rPr>
          <w:color w:val="231F20"/>
          <w:spacing w:val="-3"/>
        </w:rPr>
        <w:t> </w:t>
      </w:r>
      <w:r>
        <w:rPr>
          <w:color w:val="231F20"/>
          <w:spacing w:val="-10"/>
        </w:rPr>
        <w:t>los </w:t>
      </w:r>
      <w:r>
        <w:rPr>
          <w:color w:val="231F20"/>
          <w:spacing w:val="-12"/>
        </w:rPr>
        <w:t>Estados</w:t>
      </w:r>
      <w:r>
        <w:rPr>
          <w:color w:val="231F20"/>
          <w:spacing w:val="-5"/>
        </w:rPr>
        <w:t> </w:t>
      </w:r>
      <w:r>
        <w:rPr>
          <w:color w:val="231F20"/>
          <w:spacing w:val="-12"/>
        </w:rPr>
        <w:t>Unidos</w:t>
      </w:r>
      <w:r>
        <w:rPr>
          <w:color w:val="231F20"/>
          <w:spacing w:val="-4"/>
        </w:rPr>
        <w:t> </w:t>
      </w:r>
      <w:r>
        <w:rPr>
          <w:color w:val="231F20"/>
          <w:spacing w:val="-12"/>
        </w:rPr>
        <w:t>la</w:t>
      </w:r>
      <w:r>
        <w:rPr>
          <w:color w:val="231F20"/>
          <w:spacing w:val="-5"/>
        </w:rPr>
        <w:t> </w:t>
      </w:r>
      <w:r>
        <w:rPr>
          <w:color w:val="231F20"/>
          <w:spacing w:val="-12"/>
        </w:rPr>
        <w:t>empresa</w:t>
      </w:r>
      <w:r>
        <w:rPr>
          <w:color w:val="231F20"/>
          <w:spacing w:val="-4"/>
        </w:rPr>
        <w:t> </w:t>
      </w:r>
      <w:r>
        <w:rPr>
          <w:color w:val="231F20"/>
          <w:spacing w:val="-12"/>
        </w:rPr>
        <w:t>ALIMPORT </w:t>
      </w:r>
      <w:r>
        <w:rPr>
          <w:color w:val="231F20"/>
        </w:rPr>
        <w:t>se ve obligada a asumir gastos </w:t>
      </w:r>
      <w:r>
        <w:rPr>
          <w:color w:val="231F20"/>
          <w:spacing w:val="-2"/>
        </w:rPr>
        <w:t>adicionales</w:t>
      </w:r>
      <w:r>
        <w:rPr>
          <w:color w:val="231F20"/>
          <w:spacing w:val="-15"/>
        </w:rPr>
        <w:t> </w:t>
      </w:r>
      <w:r>
        <w:rPr>
          <w:color w:val="231F20"/>
          <w:spacing w:val="-2"/>
        </w:rPr>
        <w:t>para</w:t>
      </w:r>
      <w:r>
        <w:rPr>
          <w:color w:val="231F20"/>
          <w:spacing w:val="-14"/>
        </w:rPr>
        <w:t> </w:t>
      </w:r>
      <w:r>
        <w:rPr>
          <w:color w:val="231F20"/>
          <w:spacing w:val="-2"/>
        </w:rPr>
        <w:t>poder</w:t>
      </w:r>
      <w:r>
        <w:rPr>
          <w:color w:val="231F20"/>
          <w:spacing w:val="-15"/>
        </w:rPr>
        <w:t> </w:t>
      </w:r>
      <w:r>
        <w:rPr>
          <w:color w:val="231F20"/>
          <w:spacing w:val="-2"/>
        </w:rPr>
        <w:t>participar</w:t>
      </w:r>
      <w:r>
        <w:rPr>
          <w:color w:val="231F20"/>
          <w:spacing w:val="-14"/>
        </w:rPr>
        <w:t> </w:t>
      </w:r>
      <w:r>
        <w:rPr>
          <w:color w:val="231F20"/>
          <w:spacing w:val="-2"/>
        </w:rPr>
        <w:t>en </w:t>
      </w:r>
      <w:r>
        <w:rPr>
          <w:color w:val="231F20"/>
          <w:spacing w:val="-8"/>
        </w:rPr>
        <w:t>este comercio irregular, que funciona </w:t>
      </w:r>
      <w:r>
        <w:rPr>
          <w:color w:val="231F20"/>
          <w:spacing w:val="-6"/>
        </w:rPr>
        <w:t>en</w:t>
      </w:r>
      <w:r>
        <w:rPr>
          <w:color w:val="231F20"/>
          <w:spacing w:val="-9"/>
        </w:rPr>
        <w:t> </w:t>
      </w:r>
      <w:r>
        <w:rPr>
          <w:color w:val="231F20"/>
          <w:spacing w:val="-6"/>
        </w:rPr>
        <w:t>un</w:t>
      </w:r>
      <w:r>
        <w:rPr>
          <w:color w:val="231F20"/>
          <w:spacing w:val="-9"/>
        </w:rPr>
        <w:t> </w:t>
      </w:r>
      <w:r>
        <w:rPr>
          <w:color w:val="231F20"/>
          <w:spacing w:val="-6"/>
        </w:rPr>
        <w:t>solo</w:t>
      </w:r>
      <w:r>
        <w:rPr>
          <w:color w:val="231F20"/>
          <w:spacing w:val="-9"/>
        </w:rPr>
        <w:t> </w:t>
      </w:r>
      <w:r>
        <w:rPr>
          <w:color w:val="231F20"/>
          <w:spacing w:val="-6"/>
        </w:rPr>
        <w:t>sentido,</w:t>
      </w:r>
      <w:r>
        <w:rPr>
          <w:color w:val="231F20"/>
          <w:spacing w:val="-9"/>
        </w:rPr>
        <w:t> </w:t>
      </w:r>
      <w:r>
        <w:rPr>
          <w:color w:val="231F20"/>
          <w:spacing w:val="-6"/>
        </w:rPr>
        <w:t>puesto</w:t>
      </w:r>
      <w:r>
        <w:rPr>
          <w:color w:val="231F20"/>
          <w:spacing w:val="-9"/>
        </w:rPr>
        <w:t> </w:t>
      </w:r>
      <w:r>
        <w:rPr>
          <w:color w:val="231F20"/>
          <w:spacing w:val="-6"/>
        </w:rPr>
        <w:t>que</w:t>
      </w:r>
      <w:r>
        <w:rPr>
          <w:color w:val="231F20"/>
          <w:spacing w:val="-9"/>
        </w:rPr>
        <w:t> </w:t>
      </w:r>
      <w:r>
        <w:rPr>
          <w:color w:val="231F20"/>
          <w:spacing w:val="-6"/>
        </w:rPr>
        <w:t>Cuba </w:t>
      </w:r>
      <w:r>
        <w:rPr>
          <w:color w:val="231F20"/>
        </w:rPr>
        <w:t>no tiene acceso a financiamiento de la banca estadounidense ni del </w:t>
      </w:r>
      <w:r>
        <w:rPr>
          <w:color w:val="231F20"/>
          <w:spacing w:val="-4"/>
        </w:rPr>
        <w:t>sistema</w:t>
      </w:r>
      <w:r>
        <w:rPr>
          <w:color w:val="231F20"/>
          <w:spacing w:val="-4"/>
        </w:rPr>
        <w:t> crediticio</w:t>
      </w:r>
      <w:r>
        <w:rPr>
          <w:color w:val="231F20"/>
          <w:spacing w:val="-4"/>
        </w:rPr>
        <w:t> internacional</w:t>
      </w:r>
      <w:r>
        <w:rPr>
          <w:color w:val="231F20"/>
          <w:spacing w:val="-4"/>
        </w:rPr>
        <w:t> para </w:t>
      </w:r>
      <w:r>
        <w:rPr>
          <w:color w:val="231F20"/>
        </w:rPr>
        <w:t>este tipo de operaciones, debido</w:t>
      </w:r>
    </w:p>
    <w:p>
      <w:pPr>
        <w:pStyle w:val="BodyText"/>
        <w:spacing w:before="9"/>
        <w:ind w:left="1133"/>
      </w:pPr>
      <w:r>
        <w:rPr>
          <w:color w:val="231F20"/>
          <w:spacing w:val="-8"/>
        </w:rPr>
        <w:t>al</w:t>
      </w:r>
      <w:r>
        <w:rPr>
          <w:color w:val="231F20"/>
          <w:spacing w:val="-7"/>
        </w:rPr>
        <w:t> </w:t>
      </w:r>
      <w:r>
        <w:rPr>
          <w:color w:val="231F20"/>
          <w:spacing w:val="-8"/>
        </w:rPr>
        <w:t>llamado</w:t>
      </w:r>
      <w:r>
        <w:rPr>
          <w:color w:val="231F20"/>
          <w:spacing w:val="-7"/>
        </w:rPr>
        <w:t> </w:t>
      </w:r>
      <w:r>
        <w:rPr>
          <w:color w:val="231F20"/>
          <w:spacing w:val="-8"/>
        </w:rPr>
        <w:t>‘‘riesgo</w:t>
      </w:r>
      <w:r>
        <w:rPr>
          <w:color w:val="231F20"/>
          <w:spacing w:val="-7"/>
        </w:rPr>
        <w:t> </w:t>
      </w:r>
      <w:r>
        <w:rPr>
          <w:color w:val="231F20"/>
          <w:spacing w:val="-8"/>
        </w:rPr>
        <w:t>país’’.</w:t>
      </w:r>
    </w:p>
    <w:p>
      <w:pPr>
        <w:pStyle w:val="BodyText"/>
        <w:spacing w:before="161"/>
        <w:ind w:left="1133"/>
      </w:pPr>
      <w:r>
        <w:rPr>
          <w:color w:val="231F20"/>
          <w:spacing w:val="-8"/>
        </w:rPr>
        <w:t>Esto expone a la entidad cubana a depender </w:t>
      </w:r>
      <w:r>
        <w:rPr>
          <w:color w:val="231F20"/>
          <w:spacing w:val="-10"/>
        </w:rPr>
        <w:t>de</w:t>
      </w:r>
      <w:r>
        <w:rPr>
          <w:color w:val="231F20"/>
          <w:spacing w:val="-3"/>
        </w:rPr>
        <w:t> </w:t>
      </w:r>
      <w:r>
        <w:rPr>
          <w:color w:val="231F20"/>
          <w:spacing w:val="-10"/>
        </w:rPr>
        <w:t>otros</w:t>
      </w:r>
      <w:r>
        <w:rPr>
          <w:color w:val="231F20"/>
          <w:spacing w:val="-3"/>
        </w:rPr>
        <w:t> </w:t>
      </w:r>
      <w:r>
        <w:rPr>
          <w:color w:val="231F20"/>
          <w:spacing w:val="-10"/>
        </w:rPr>
        <w:t>acreedores,</w:t>
      </w:r>
      <w:r>
        <w:rPr>
          <w:color w:val="231F20"/>
          <w:spacing w:val="-3"/>
        </w:rPr>
        <w:t> </w:t>
      </w:r>
      <w:r>
        <w:rPr>
          <w:color w:val="231F20"/>
          <w:spacing w:val="-10"/>
        </w:rPr>
        <w:t>los</w:t>
      </w:r>
      <w:r>
        <w:rPr>
          <w:color w:val="231F20"/>
          <w:spacing w:val="-3"/>
        </w:rPr>
        <w:t> </w:t>
      </w:r>
      <w:r>
        <w:rPr>
          <w:color w:val="231F20"/>
          <w:spacing w:val="-10"/>
        </w:rPr>
        <w:t>cuales</w:t>
      </w:r>
      <w:r>
        <w:rPr>
          <w:color w:val="231F20"/>
          <w:spacing w:val="-3"/>
        </w:rPr>
        <w:t> </w:t>
      </w:r>
      <w:r>
        <w:rPr>
          <w:color w:val="231F20"/>
          <w:spacing w:val="-10"/>
        </w:rPr>
        <w:t>aplican</w:t>
      </w:r>
      <w:r>
        <w:rPr>
          <w:color w:val="231F20"/>
          <w:spacing w:val="-3"/>
        </w:rPr>
        <w:t> </w:t>
      </w:r>
      <w:r>
        <w:rPr>
          <w:color w:val="231F20"/>
          <w:spacing w:val="-10"/>
        </w:rPr>
        <w:t>costos </w:t>
      </w:r>
      <w:r>
        <w:rPr>
          <w:color w:val="231F20"/>
          <w:spacing w:val="-8"/>
        </w:rPr>
        <w:t>financieros de aproximadamente un 5 % por </w:t>
      </w:r>
      <w:r>
        <w:rPr>
          <w:color w:val="231F20"/>
        </w:rPr>
        <w:t>encima</w:t>
      </w:r>
      <w:r>
        <w:rPr>
          <w:color w:val="231F20"/>
          <w:spacing w:val="-17"/>
        </w:rPr>
        <w:t> </w:t>
      </w:r>
      <w:r>
        <w:rPr>
          <w:color w:val="231F20"/>
        </w:rPr>
        <w:t>de</w:t>
      </w:r>
      <w:r>
        <w:rPr>
          <w:color w:val="231F20"/>
          <w:spacing w:val="-16"/>
        </w:rPr>
        <w:t> </w:t>
      </w:r>
      <w:r>
        <w:rPr>
          <w:color w:val="231F20"/>
        </w:rPr>
        <w:t>lo</w:t>
      </w:r>
      <w:r>
        <w:rPr>
          <w:color w:val="231F20"/>
          <w:spacing w:val="-17"/>
        </w:rPr>
        <w:t> </w:t>
      </w:r>
      <w:r>
        <w:rPr>
          <w:color w:val="231F20"/>
        </w:rPr>
        <w:t>normal.</w:t>
      </w:r>
      <w:r>
        <w:rPr>
          <w:color w:val="231F20"/>
          <w:spacing w:val="-16"/>
        </w:rPr>
        <w:t> </w:t>
      </w:r>
      <w:r>
        <w:rPr>
          <w:color w:val="231F20"/>
        </w:rPr>
        <w:t>ALIMPORT</w:t>
      </w:r>
      <w:r>
        <w:rPr>
          <w:color w:val="231F20"/>
          <w:spacing w:val="-17"/>
        </w:rPr>
        <w:t> </w:t>
      </w:r>
      <w:r>
        <w:rPr>
          <w:color w:val="231F20"/>
        </w:rPr>
        <w:t>no</w:t>
      </w:r>
      <w:r>
        <w:rPr>
          <w:color w:val="231F20"/>
          <w:spacing w:val="-16"/>
        </w:rPr>
        <w:t> </w:t>
      </w:r>
      <w:r>
        <w:rPr>
          <w:color w:val="231F20"/>
        </w:rPr>
        <w:t>puede </w:t>
      </w:r>
      <w:r>
        <w:rPr>
          <w:color w:val="231F20"/>
          <w:spacing w:val="-6"/>
        </w:rPr>
        <w:t>realizar</w:t>
      </w:r>
      <w:r>
        <w:rPr>
          <w:color w:val="231F20"/>
          <w:spacing w:val="-11"/>
        </w:rPr>
        <w:t> </w:t>
      </w:r>
      <w:r>
        <w:rPr>
          <w:color w:val="231F20"/>
          <w:spacing w:val="-6"/>
        </w:rPr>
        <w:t>pagos</w:t>
      </w:r>
      <w:r>
        <w:rPr>
          <w:color w:val="231F20"/>
          <w:spacing w:val="-10"/>
        </w:rPr>
        <w:t> </w:t>
      </w:r>
      <w:r>
        <w:rPr>
          <w:color w:val="231F20"/>
          <w:spacing w:val="-6"/>
        </w:rPr>
        <w:t>en</w:t>
      </w:r>
      <w:r>
        <w:rPr>
          <w:color w:val="231F20"/>
          <w:spacing w:val="-11"/>
        </w:rPr>
        <w:t> </w:t>
      </w:r>
      <w:r>
        <w:rPr>
          <w:color w:val="231F20"/>
          <w:spacing w:val="-6"/>
        </w:rPr>
        <w:t>dólares</w:t>
      </w:r>
      <w:r>
        <w:rPr>
          <w:color w:val="231F20"/>
          <w:spacing w:val="-10"/>
        </w:rPr>
        <w:t> </w:t>
      </w:r>
      <w:r>
        <w:rPr>
          <w:color w:val="231F20"/>
          <w:spacing w:val="-6"/>
        </w:rPr>
        <w:t>estadounidenses</w:t>
      </w:r>
      <w:r>
        <w:rPr>
          <w:color w:val="231F20"/>
          <w:spacing w:val="-11"/>
        </w:rPr>
        <w:t> </w:t>
      </w:r>
      <w:r>
        <w:rPr>
          <w:color w:val="231F20"/>
          <w:spacing w:val="-6"/>
        </w:rPr>
        <w:t>a terceros,</w:t>
      </w:r>
      <w:r>
        <w:rPr>
          <w:color w:val="231F20"/>
          <w:spacing w:val="-11"/>
        </w:rPr>
        <w:t> </w:t>
      </w:r>
      <w:r>
        <w:rPr>
          <w:color w:val="231F20"/>
          <w:spacing w:val="-6"/>
        </w:rPr>
        <w:t>por</w:t>
      </w:r>
      <w:r>
        <w:rPr>
          <w:color w:val="231F20"/>
          <w:spacing w:val="-10"/>
        </w:rPr>
        <w:t> </w:t>
      </w:r>
      <w:r>
        <w:rPr>
          <w:color w:val="231F20"/>
          <w:spacing w:val="-6"/>
        </w:rPr>
        <w:t>lo</w:t>
      </w:r>
      <w:r>
        <w:rPr>
          <w:color w:val="231F20"/>
          <w:spacing w:val="-11"/>
        </w:rPr>
        <w:t> </w:t>
      </w:r>
      <w:r>
        <w:rPr>
          <w:color w:val="231F20"/>
          <w:spacing w:val="-6"/>
        </w:rPr>
        <w:t>que</w:t>
      </w:r>
      <w:r>
        <w:rPr>
          <w:color w:val="231F20"/>
          <w:spacing w:val="-10"/>
        </w:rPr>
        <w:t> </w:t>
      </w:r>
      <w:r>
        <w:rPr>
          <w:color w:val="231F20"/>
          <w:spacing w:val="-6"/>
        </w:rPr>
        <w:t>debe</w:t>
      </w:r>
      <w:r>
        <w:rPr>
          <w:color w:val="231F20"/>
          <w:spacing w:val="-11"/>
        </w:rPr>
        <w:t> </w:t>
      </w:r>
      <w:r>
        <w:rPr>
          <w:color w:val="231F20"/>
          <w:spacing w:val="-6"/>
        </w:rPr>
        <w:t>comprar</w:t>
      </w:r>
      <w:r>
        <w:rPr>
          <w:color w:val="231F20"/>
          <w:spacing w:val="-10"/>
        </w:rPr>
        <w:t> </w:t>
      </w:r>
      <w:r>
        <w:rPr>
          <w:color w:val="231F20"/>
          <w:spacing w:val="-6"/>
        </w:rPr>
        <w:t>monedas </w:t>
      </w:r>
      <w:r>
        <w:rPr>
          <w:color w:val="231F20"/>
          <w:spacing w:val="-12"/>
        </w:rPr>
        <w:t>de</w:t>
      </w:r>
      <w:r>
        <w:rPr>
          <w:color w:val="231F20"/>
          <w:spacing w:val="-1"/>
        </w:rPr>
        <w:t> </w:t>
      </w:r>
      <w:r>
        <w:rPr>
          <w:color w:val="231F20"/>
          <w:spacing w:val="-12"/>
        </w:rPr>
        <w:t>reembolso</w:t>
      </w:r>
      <w:r>
        <w:rPr>
          <w:color w:val="231F20"/>
          <w:spacing w:val="-1"/>
        </w:rPr>
        <w:t> </w:t>
      </w:r>
      <w:r>
        <w:rPr>
          <w:color w:val="231F20"/>
          <w:spacing w:val="-12"/>
        </w:rPr>
        <w:t>para</w:t>
      </w:r>
      <w:r>
        <w:rPr>
          <w:color w:val="231F20"/>
          <w:spacing w:val="-1"/>
        </w:rPr>
        <w:t> </w:t>
      </w:r>
      <w:r>
        <w:rPr>
          <w:color w:val="231F20"/>
          <w:spacing w:val="-12"/>
        </w:rPr>
        <w:t>efectuar</w:t>
      </w:r>
      <w:r>
        <w:rPr>
          <w:color w:val="231F20"/>
          <w:spacing w:val="-1"/>
        </w:rPr>
        <w:t> </w:t>
      </w:r>
      <w:r>
        <w:rPr>
          <w:color w:val="231F20"/>
          <w:spacing w:val="-12"/>
        </w:rPr>
        <w:t>sus</w:t>
      </w:r>
      <w:r>
        <w:rPr>
          <w:color w:val="231F20"/>
          <w:spacing w:val="-1"/>
        </w:rPr>
        <w:t> </w:t>
      </w:r>
      <w:r>
        <w:rPr>
          <w:color w:val="231F20"/>
          <w:spacing w:val="-12"/>
        </w:rPr>
        <w:t>transacciones, </w:t>
      </w:r>
      <w:r>
        <w:rPr>
          <w:color w:val="231F20"/>
        </w:rPr>
        <w:t>con las consiguientes pérdidas derivadas del</w:t>
      </w:r>
      <w:r>
        <w:rPr>
          <w:color w:val="231F20"/>
          <w:spacing w:val="-13"/>
        </w:rPr>
        <w:t> </w:t>
      </w:r>
      <w:r>
        <w:rPr>
          <w:color w:val="231F20"/>
        </w:rPr>
        <w:t>riesgo</w:t>
      </w:r>
      <w:r>
        <w:rPr>
          <w:color w:val="231F20"/>
          <w:spacing w:val="-13"/>
        </w:rPr>
        <w:t> </w:t>
      </w:r>
      <w:r>
        <w:rPr>
          <w:color w:val="231F20"/>
        </w:rPr>
        <w:t>cambiario.</w:t>
      </w:r>
      <w:r>
        <w:rPr>
          <w:color w:val="231F20"/>
          <w:spacing w:val="-13"/>
        </w:rPr>
        <w:t> </w:t>
      </w:r>
      <w:r>
        <w:rPr>
          <w:color w:val="231F20"/>
        </w:rPr>
        <w:t>Como</w:t>
      </w:r>
      <w:r>
        <w:rPr>
          <w:color w:val="231F20"/>
          <w:spacing w:val="-13"/>
        </w:rPr>
        <w:t> </w:t>
      </w:r>
      <w:r>
        <w:rPr>
          <w:color w:val="231F20"/>
        </w:rPr>
        <w:t>consecuencia, </w:t>
      </w:r>
      <w:r>
        <w:rPr>
          <w:color w:val="231F20"/>
          <w:spacing w:val="-4"/>
        </w:rPr>
        <w:t>cada</w:t>
      </w:r>
      <w:r>
        <w:rPr>
          <w:color w:val="231F20"/>
          <w:spacing w:val="-9"/>
        </w:rPr>
        <w:t> </w:t>
      </w:r>
      <w:r>
        <w:rPr>
          <w:color w:val="231F20"/>
          <w:spacing w:val="-4"/>
        </w:rPr>
        <w:t>operación</w:t>
      </w:r>
      <w:r>
        <w:rPr>
          <w:color w:val="231F20"/>
          <w:spacing w:val="-9"/>
        </w:rPr>
        <w:t> </w:t>
      </w:r>
      <w:r>
        <w:rPr>
          <w:color w:val="231F20"/>
          <w:spacing w:val="-4"/>
        </w:rPr>
        <w:t>comercial</w:t>
      </w:r>
      <w:r>
        <w:rPr>
          <w:color w:val="231F20"/>
          <w:spacing w:val="-8"/>
        </w:rPr>
        <w:t> </w:t>
      </w:r>
      <w:r>
        <w:rPr>
          <w:color w:val="231F20"/>
          <w:spacing w:val="-4"/>
        </w:rPr>
        <w:t>involucra</w:t>
      </w:r>
      <w:r>
        <w:rPr>
          <w:color w:val="231F20"/>
          <w:spacing w:val="-8"/>
        </w:rPr>
        <w:t> </w:t>
      </w:r>
      <w:r>
        <w:rPr>
          <w:color w:val="231F20"/>
          <w:spacing w:val="-4"/>
        </w:rPr>
        <w:t>a</w:t>
      </w:r>
      <w:r>
        <w:rPr>
          <w:color w:val="231F20"/>
          <w:spacing w:val="-7"/>
        </w:rPr>
        <w:t> </w:t>
      </w:r>
      <w:r>
        <w:rPr>
          <w:color w:val="231F20"/>
          <w:spacing w:val="-5"/>
        </w:rPr>
        <w:t>varios</w:t>
      </w:r>
    </w:p>
    <w:p>
      <w:pPr>
        <w:pStyle w:val="BodyText"/>
        <w:spacing w:before="77"/>
        <w:ind w:left="412" w:right="1479"/>
      </w:pPr>
      <w:r>
        <w:rPr/>
        <w:br w:type="column"/>
      </w:r>
      <w:r>
        <w:rPr>
          <w:color w:val="231F20"/>
        </w:rPr>
        <w:t>bancos internacionales, los cuales aplican </w:t>
      </w:r>
      <w:r>
        <w:rPr>
          <w:color w:val="231F20"/>
          <w:spacing w:val="-8"/>
        </w:rPr>
        <w:t>comisiones por sus servicios, incrementando </w:t>
      </w:r>
      <w:r>
        <w:rPr>
          <w:color w:val="231F20"/>
        </w:rPr>
        <w:t>aún más los costos financieros que debe cubrir</w:t>
      </w:r>
      <w:r>
        <w:rPr>
          <w:color w:val="231F20"/>
          <w:spacing w:val="-13"/>
        </w:rPr>
        <w:t> </w:t>
      </w:r>
      <w:r>
        <w:rPr>
          <w:color w:val="231F20"/>
        </w:rPr>
        <w:t>la</w:t>
      </w:r>
      <w:r>
        <w:rPr>
          <w:color w:val="231F20"/>
          <w:spacing w:val="-13"/>
        </w:rPr>
        <w:t> </w:t>
      </w:r>
      <w:r>
        <w:rPr>
          <w:color w:val="231F20"/>
        </w:rPr>
        <w:t>empresa</w:t>
      </w:r>
      <w:r>
        <w:rPr>
          <w:color w:val="231F20"/>
          <w:spacing w:val="-13"/>
        </w:rPr>
        <w:t> </w:t>
      </w:r>
      <w:r>
        <w:rPr>
          <w:color w:val="231F20"/>
        </w:rPr>
        <w:t>cubana.</w:t>
      </w:r>
    </w:p>
    <w:p>
      <w:pPr>
        <w:pStyle w:val="BodyText"/>
        <w:spacing w:before="163"/>
        <w:ind w:left="412" w:right="1472"/>
      </w:pPr>
      <w:r>
        <w:rPr>
          <w:color w:val="231F20"/>
        </w:rPr>
        <w:t>Las</w:t>
      </w:r>
      <w:r>
        <w:rPr>
          <w:color w:val="231F20"/>
          <w:spacing w:val="-17"/>
        </w:rPr>
        <w:t> </w:t>
      </w:r>
      <w:r>
        <w:rPr>
          <w:color w:val="231F20"/>
        </w:rPr>
        <w:t>consecuencias</w:t>
      </w:r>
      <w:r>
        <w:rPr>
          <w:color w:val="231F20"/>
          <w:spacing w:val="-16"/>
        </w:rPr>
        <w:t> </w:t>
      </w:r>
      <w:r>
        <w:rPr>
          <w:color w:val="231F20"/>
        </w:rPr>
        <w:t>negativas</w:t>
      </w:r>
      <w:r>
        <w:rPr>
          <w:color w:val="231F20"/>
          <w:spacing w:val="-17"/>
        </w:rPr>
        <w:t> </w:t>
      </w:r>
      <w:r>
        <w:rPr>
          <w:color w:val="231F20"/>
        </w:rPr>
        <w:t>por</w:t>
      </w:r>
      <w:r>
        <w:rPr>
          <w:color w:val="231F20"/>
          <w:spacing w:val="-16"/>
        </w:rPr>
        <w:t> </w:t>
      </w:r>
      <w:r>
        <w:rPr>
          <w:color w:val="231F20"/>
        </w:rPr>
        <w:t>concepto de fletes,</w:t>
      </w:r>
      <w:r>
        <w:rPr>
          <w:color w:val="231F20"/>
          <w:spacing w:val="-1"/>
        </w:rPr>
        <w:t> </w:t>
      </w:r>
      <w:r>
        <w:rPr>
          <w:color w:val="231F20"/>
        </w:rPr>
        <w:t>seguros y</w:t>
      </w:r>
      <w:r>
        <w:rPr>
          <w:color w:val="231F20"/>
          <w:spacing w:val="-1"/>
        </w:rPr>
        <w:t> </w:t>
      </w:r>
      <w:r>
        <w:rPr>
          <w:color w:val="231F20"/>
        </w:rPr>
        <w:t>la utilización</w:t>
      </w:r>
      <w:r>
        <w:rPr>
          <w:color w:val="231F20"/>
          <w:spacing w:val="-1"/>
        </w:rPr>
        <w:t> </w:t>
      </w:r>
      <w:r>
        <w:rPr>
          <w:color w:val="231F20"/>
        </w:rPr>
        <w:t>de inter- </w:t>
      </w:r>
      <w:r>
        <w:rPr>
          <w:color w:val="231F20"/>
          <w:spacing w:val="-2"/>
        </w:rPr>
        <w:t>mediarios</w:t>
      </w:r>
      <w:r>
        <w:rPr>
          <w:color w:val="231F20"/>
          <w:spacing w:val="-9"/>
        </w:rPr>
        <w:t> </w:t>
      </w:r>
      <w:r>
        <w:rPr>
          <w:color w:val="231F20"/>
          <w:spacing w:val="-2"/>
        </w:rPr>
        <w:t>comerciales,</w:t>
      </w:r>
      <w:r>
        <w:rPr>
          <w:color w:val="231F20"/>
          <w:spacing w:val="-9"/>
        </w:rPr>
        <w:t> </w:t>
      </w:r>
      <w:r>
        <w:rPr>
          <w:color w:val="231F20"/>
          <w:spacing w:val="-2"/>
        </w:rPr>
        <w:t>con</w:t>
      </w:r>
      <w:r>
        <w:rPr>
          <w:color w:val="231F20"/>
          <w:spacing w:val="-9"/>
        </w:rPr>
        <w:t> </w:t>
      </w:r>
      <w:r>
        <w:rPr>
          <w:color w:val="231F20"/>
          <w:spacing w:val="-2"/>
        </w:rPr>
        <w:t>el</w:t>
      </w:r>
      <w:r>
        <w:rPr>
          <w:color w:val="231F20"/>
          <w:spacing w:val="-9"/>
        </w:rPr>
        <w:t> </w:t>
      </w:r>
      <w:r>
        <w:rPr>
          <w:color w:val="231F20"/>
          <w:spacing w:val="-2"/>
        </w:rPr>
        <w:t>consecuente </w:t>
      </w:r>
      <w:r>
        <w:rPr>
          <w:color w:val="231F20"/>
        </w:rPr>
        <w:t>encarecimiento</w:t>
      </w:r>
      <w:r>
        <w:rPr>
          <w:color w:val="231F20"/>
          <w:spacing w:val="-1"/>
        </w:rPr>
        <w:t> </w:t>
      </w:r>
      <w:r>
        <w:rPr>
          <w:color w:val="231F20"/>
        </w:rPr>
        <w:t>de</w:t>
      </w:r>
      <w:r>
        <w:rPr>
          <w:color w:val="231F20"/>
          <w:spacing w:val="-1"/>
        </w:rPr>
        <w:t> </w:t>
      </w:r>
      <w:r>
        <w:rPr>
          <w:color w:val="231F20"/>
        </w:rPr>
        <w:t>las</w:t>
      </w:r>
      <w:r>
        <w:rPr>
          <w:color w:val="231F20"/>
          <w:spacing w:val="-1"/>
        </w:rPr>
        <w:t> </w:t>
      </w:r>
      <w:r>
        <w:rPr>
          <w:color w:val="231F20"/>
        </w:rPr>
        <w:t>mercancías</w:t>
      </w:r>
      <w:r>
        <w:rPr>
          <w:color w:val="231F20"/>
          <w:spacing w:val="-1"/>
        </w:rPr>
        <w:t> </w:t>
      </w:r>
      <w:r>
        <w:rPr>
          <w:color w:val="231F20"/>
        </w:rPr>
        <w:t>alcanza los</w:t>
      </w:r>
      <w:r>
        <w:rPr>
          <w:color w:val="231F20"/>
          <w:spacing w:val="-10"/>
        </w:rPr>
        <w:t> </w:t>
      </w:r>
      <w:r>
        <w:rPr>
          <w:rFonts w:ascii="Segoe UI Semibold" w:hAnsi="Segoe UI Semibold"/>
          <w:b/>
          <w:color w:val="231F20"/>
        </w:rPr>
        <w:t>490,9</w:t>
      </w:r>
      <w:r>
        <w:rPr>
          <w:rFonts w:ascii="Segoe UI Semibold" w:hAnsi="Segoe UI Semibold"/>
          <w:b/>
          <w:color w:val="231F20"/>
          <w:spacing w:val="-10"/>
        </w:rPr>
        <w:t> </w:t>
      </w:r>
      <w:r>
        <w:rPr>
          <w:rFonts w:ascii="Segoe UI Semibold" w:hAnsi="Segoe UI Semibold"/>
          <w:b/>
          <w:color w:val="231F20"/>
        </w:rPr>
        <w:t>millones</w:t>
      </w:r>
      <w:r>
        <w:rPr>
          <w:rFonts w:ascii="Segoe UI Semibold" w:hAnsi="Segoe UI Semibold"/>
          <w:b/>
          <w:color w:val="231F20"/>
          <w:spacing w:val="-10"/>
        </w:rPr>
        <w:t> </w:t>
      </w:r>
      <w:r>
        <w:rPr>
          <w:rFonts w:ascii="Segoe UI Semibold" w:hAnsi="Segoe UI Semibold"/>
          <w:b/>
          <w:color w:val="231F20"/>
        </w:rPr>
        <w:t>de</w:t>
      </w:r>
      <w:r>
        <w:rPr>
          <w:rFonts w:ascii="Segoe UI Semibold" w:hAnsi="Segoe UI Semibold"/>
          <w:b/>
          <w:color w:val="231F20"/>
          <w:spacing w:val="-10"/>
        </w:rPr>
        <w:t> </w:t>
      </w:r>
      <w:r>
        <w:rPr>
          <w:rFonts w:ascii="Segoe UI Semibold" w:hAnsi="Segoe UI Semibold"/>
          <w:b/>
          <w:color w:val="231F20"/>
        </w:rPr>
        <w:t>dólares</w:t>
      </w:r>
      <w:r>
        <w:rPr>
          <w:color w:val="231F20"/>
        </w:rPr>
        <w:t>,</w:t>
      </w:r>
      <w:r>
        <w:rPr>
          <w:color w:val="231F20"/>
          <w:spacing w:val="-10"/>
        </w:rPr>
        <w:t> </w:t>
      </w:r>
      <w:r>
        <w:rPr>
          <w:color w:val="231F20"/>
        </w:rPr>
        <w:t>un</w:t>
      </w:r>
      <w:r>
        <w:rPr>
          <w:color w:val="231F20"/>
          <w:spacing w:val="-10"/>
        </w:rPr>
        <w:t> </w:t>
      </w:r>
      <w:r>
        <w:rPr>
          <w:color w:val="231F20"/>
        </w:rPr>
        <w:t>31%</w:t>
      </w:r>
      <w:r>
        <w:rPr>
          <w:color w:val="231F20"/>
          <w:spacing w:val="-10"/>
        </w:rPr>
        <w:t> </w:t>
      </w:r>
      <w:r>
        <w:rPr>
          <w:color w:val="231F20"/>
        </w:rPr>
        <w:t>su- perior al informe anterior.</w:t>
      </w:r>
    </w:p>
    <w:p>
      <w:pPr>
        <w:pStyle w:val="BodyText"/>
        <w:spacing w:before="165"/>
        <w:ind w:left="412" w:right="1471"/>
      </w:pPr>
      <w:r>
        <w:rPr>
          <w:color w:val="231F20"/>
        </w:rPr>
        <w:t>La</w:t>
      </w:r>
      <w:r>
        <w:rPr>
          <w:color w:val="231F20"/>
          <w:spacing w:val="-17"/>
        </w:rPr>
        <w:t> </w:t>
      </w:r>
      <w:r>
        <w:rPr>
          <w:color w:val="231F20"/>
        </w:rPr>
        <w:t>siguiente</w:t>
      </w:r>
      <w:r>
        <w:rPr>
          <w:color w:val="231F20"/>
          <w:spacing w:val="-16"/>
        </w:rPr>
        <w:t> </w:t>
      </w:r>
      <w:r>
        <w:rPr>
          <w:color w:val="231F20"/>
        </w:rPr>
        <w:t>tabla</w:t>
      </w:r>
      <w:r>
        <w:rPr>
          <w:color w:val="231F20"/>
          <w:spacing w:val="-17"/>
        </w:rPr>
        <w:t> </w:t>
      </w:r>
      <w:r>
        <w:rPr>
          <w:color w:val="231F20"/>
        </w:rPr>
        <w:t>compila</w:t>
      </w:r>
      <w:r>
        <w:rPr>
          <w:color w:val="231F20"/>
          <w:spacing w:val="-16"/>
        </w:rPr>
        <w:t> </w:t>
      </w:r>
      <w:r>
        <w:rPr>
          <w:color w:val="231F20"/>
        </w:rPr>
        <w:t>las</w:t>
      </w:r>
      <w:r>
        <w:rPr>
          <w:color w:val="231F20"/>
          <w:spacing w:val="-17"/>
        </w:rPr>
        <w:t> </w:t>
      </w:r>
      <w:r>
        <w:rPr>
          <w:color w:val="231F20"/>
        </w:rPr>
        <w:t>afectaciones del bloqueo a la esfera del </w:t>
      </w:r>
      <w:r>
        <w:rPr>
          <w:color w:val="231F20"/>
        </w:rPr>
        <w:t>comercio exterior de Cuba entre marzo de 2022 y febrero de 2023:</w:t>
      </w: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spacing w:before="11"/>
        <w:jc w:val="left"/>
      </w:pPr>
    </w:p>
    <w:p>
      <w:pPr>
        <w:pStyle w:val="Heading2"/>
        <w:spacing w:line="228" w:lineRule="auto"/>
        <w:ind w:left="412" w:right="1580"/>
      </w:pPr>
      <w:r>
        <w:rPr>
          <w:color w:val="1F4282"/>
          <w:w w:val="115"/>
        </w:rPr>
        <w:t>Afectaciones</w:t>
      </w:r>
      <w:r>
        <w:rPr>
          <w:color w:val="1F4282"/>
          <w:spacing w:val="-22"/>
          <w:w w:val="115"/>
        </w:rPr>
        <w:t> </w:t>
      </w:r>
      <w:r>
        <w:rPr>
          <w:color w:val="1F4282"/>
          <w:w w:val="115"/>
        </w:rPr>
        <w:t>al</w:t>
      </w:r>
      <w:r>
        <w:rPr>
          <w:color w:val="1F4282"/>
          <w:spacing w:val="-21"/>
          <w:w w:val="115"/>
        </w:rPr>
        <w:t> </w:t>
      </w:r>
      <w:r>
        <w:rPr>
          <w:color w:val="1F4282"/>
          <w:w w:val="115"/>
        </w:rPr>
        <w:t>sector bancario y financiero</w:t>
      </w:r>
    </w:p>
    <w:p>
      <w:pPr>
        <w:pStyle w:val="BodyText"/>
        <w:spacing w:before="204"/>
        <w:ind w:left="412" w:right="1473"/>
      </w:pPr>
      <w:r>
        <w:rPr>
          <w:color w:val="231F20"/>
        </w:rPr>
        <w:t>Entre marzo de 2022 y febrero de 2023,</w:t>
      </w:r>
      <w:r>
        <w:rPr>
          <w:color w:val="231F20"/>
          <w:spacing w:val="40"/>
        </w:rPr>
        <w:t> </w:t>
      </w:r>
      <w:r>
        <w:rPr>
          <w:color w:val="231F20"/>
        </w:rPr>
        <w:t>el sistema bancario y financiero continuó siendo</w:t>
      </w:r>
      <w:r>
        <w:rPr>
          <w:color w:val="231F20"/>
          <w:spacing w:val="40"/>
        </w:rPr>
        <w:t> </w:t>
      </w:r>
      <w:r>
        <w:rPr>
          <w:color w:val="231F20"/>
        </w:rPr>
        <w:t>uno</w:t>
      </w:r>
      <w:r>
        <w:rPr>
          <w:color w:val="231F20"/>
          <w:spacing w:val="40"/>
        </w:rPr>
        <w:t> </w:t>
      </w:r>
      <w:r>
        <w:rPr>
          <w:color w:val="231F20"/>
        </w:rPr>
        <w:t>de</w:t>
      </w:r>
      <w:r>
        <w:rPr>
          <w:color w:val="231F20"/>
          <w:spacing w:val="40"/>
        </w:rPr>
        <w:t> </w:t>
      </w:r>
      <w:r>
        <w:rPr>
          <w:color w:val="231F20"/>
        </w:rPr>
        <w:t>los</w:t>
      </w:r>
      <w:r>
        <w:rPr>
          <w:color w:val="231F20"/>
          <w:spacing w:val="40"/>
        </w:rPr>
        <w:t> </w:t>
      </w:r>
      <w:r>
        <w:rPr>
          <w:color w:val="231F20"/>
        </w:rPr>
        <w:t>principales</w:t>
      </w:r>
      <w:r>
        <w:rPr>
          <w:color w:val="231F20"/>
          <w:spacing w:val="40"/>
        </w:rPr>
        <w:t> </w:t>
      </w:r>
      <w:r>
        <w:rPr>
          <w:color w:val="231F20"/>
        </w:rPr>
        <w:t>blancos de las medidas agresivas del gobierno </w:t>
      </w:r>
      <w:r>
        <w:rPr>
          <w:color w:val="231F20"/>
          <w:spacing w:val="-2"/>
        </w:rPr>
        <w:t>estadounidense,</w:t>
      </w:r>
      <w:r>
        <w:rPr>
          <w:color w:val="231F20"/>
          <w:spacing w:val="-10"/>
        </w:rPr>
        <w:t> </w:t>
      </w:r>
      <w:r>
        <w:rPr>
          <w:color w:val="231F20"/>
          <w:spacing w:val="-2"/>
        </w:rPr>
        <w:t>encaminadas</w:t>
      </w:r>
      <w:r>
        <w:rPr>
          <w:color w:val="231F20"/>
          <w:spacing w:val="-10"/>
        </w:rPr>
        <w:t> </w:t>
      </w:r>
      <w:r>
        <w:rPr>
          <w:color w:val="231F20"/>
          <w:spacing w:val="-2"/>
        </w:rPr>
        <w:t>a</w:t>
      </w:r>
      <w:r>
        <w:rPr>
          <w:color w:val="231F20"/>
          <w:spacing w:val="-10"/>
        </w:rPr>
        <w:t> </w:t>
      </w:r>
      <w:r>
        <w:rPr>
          <w:color w:val="231F20"/>
          <w:spacing w:val="-2"/>
        </w:rPr>
        <w:t>reforzar</w:t>
      </w:r>
      <w:r>
        <w:rPr>
          <w:color w:val="231F20"/>
          <w:spacing w:val="-10"/>
        </w:rPr>
        <w:t> </w:t>
      </w:r>
      <w:r>
        <w:rPr>
          <w:color w:val="231F20"/>
          <w:spacing w:val="-2"/>
        </w:rPr>
        <w:t>el bloqueo</w:t>
      </w:r>
      <w:r>
        <w:rPr>
          <w:color w:val="231F20"/>
          <w:spacing w:val="-15"/>
        </w:rPr>
        <w:t> </w:t>
      </w:r>
      <w:r>
        <w:rPr>
          <w:color w:val="231F20"/>
          <w:spacing w:val="-2"/>
        </w:rPr>
        <w:t>económico,</w:t>
      </w:r>
      <w:r>
        <w:rPr>
          <w:color w:val="231F20"/>
          <w:spacing w:val="-14"/>
        </w:rPr>
        <w:t> </w:t>
      </w:r>
      <w:r>
        <w:rPr>
          <w:color w:val="231F20"/>
          <w:spacing w:val="-2"/>
        </w:rPr>
        <w:t>comercial</w:t>
      </w:r>
      <w:r>
        <w:rPr>
          <w:color w:val="231F20"/>
          <w:spacing w:val="-15"/>
        </w:rPr>
        <w:t> </w:t>
      </w:r>
      <w:r>
        <w:rPr>
          <w:color w:val="231F20"/>
          <w:spacing w:val="-2"/>
        </w:rPr>
        <w:t>y</w:t>
      </w:r>
      <w:r>
        <w:rPr>
          <w:color w:val="231F20"/>
          <w:spacing w:val="-14"/>
        </w:rPr>
        <w:t> </w:t>
      </w:r>
      <w:r>
        <w:rPr>
          <w:color w:val="231F20"/>
          <w:spacing w:val="-2"/>
        </w:rPr>
        <w:t>financiero </w:t>
      </w:r>
      <w:r>
        <w:rPr>
          <w:color w:val="231F20"/>
        </w:rPr>
        <w:t>contra Cuba. Las afectaciones monetario- financieras</w:t>
      </w:r>
      <w:r>
        <w:rPr>
          <w:color w:val="231F20"/>
          <w:spacing w:val="64"/>
          <w:w w:val="150"/>
        </w:rPr>
        <w:t> </w:t>
      </w:r>
      <w:r>
        <w:rPr>
          <w:color w:val="231F20"/>
        </w:rPr>
        <w:t>ocasionadas</w:t>
      </w:r>
      <w:r>
        <w:rPr>
          <w:color w:val="231F20"/>
          <w:spacing w:val="65"/>
          <w:w w:val="150"/>
        </w:rPr>
        <w:t> </w:t>
      </w:r>
      <w:r>
        <w:rPr>
          <w:color w:val="231F20"/>
        </w:rPr>
        <w:t>a</w:t>
      </w:r>
      <w:r>
        <w:rPr>
          <w:color w:val="231F20"/>
          <w:spacing w:val="64"/>
          <w:w w:val="150"/>
        </w:rPr>
        <w:t> </w:t>
      </w:r>
      <w:r>
        <w:rPr>
          <w:color w:val="231F20"/>
        </w:rPr>
        <w:t>la</w:t>
      </w:r>
      <w:r>
        <w:rPr>
          <w:color w:val="231F20"/>
          <w:spacing w:val="65"/>
          <w:w w:val="150"/>
        </w:rPr>
        <w:t> </w:t>
      </w:r>
      <w:r>
        <w:rPr>
          <w:color w:val="231F20"/>
          <w:spacing w:val="-2"/>
        </w:rPr>
        <w:t>economía</w:t>
      </w:r>
    </w:p>
    <w:p>
      <w:pPr>
        <w:spacing w:after="0"/>
        <w:sectPr>
          <w:pgSz w:w="11910" w:h="16840"/>
          <w:pgMar w:header="0" w:footer="695" w:top="1260" w:bottom="880" w:left="0" w:right="0"/>
          <w:cols w:num="2" w:equalWidth="0">
            <w:col w:w="5558" w:space="40"/>
            <w:col w:w="6312"/>
          </w:cols>
        </w:sectPr>
      </w:pPr>
    </w:p>
    <w:p>
      <w:pPr>
        <w:pStyle w:val="BodyText"/>
        <w:spacing w:before="77"/>
        <w:ind w:left="1474"/>
      </w:pPr>
      <w:r>
        <w:rPr>
          <w:color w:val="231F20"/>
        </w:rPr>
        <w:t>cubana</w:t>
      </w:r>
      <w:r>
        <w:rPr>
          <w:color w:val="231F20"/>
          <w:spacing w:val="50"/>
          <w:w w:val="150"/>
        </w:rPr>
        <w:t> </w:t>
      </w:r>
      <w:r>
        <w:rPr>
          <w:color w:val="231F20"/>
        </w:rPr>
        <w:t>en</w:t>
      </w:r>
      <w:r>
        <w:rPr>
          <w:color w:val="231F20"/>
          <w:spacing w:val="50"/>
          <w:w w:val="150"/>
        </w:rPr>
        <w:t> </w:t>
      </w:r>
      <w:r>
        <w:rPr>
          <w:color w:val="231F20"/>
        </w:rPr>
        <w:t>este</w:t>
      </w:r>
      <w:r>
        <w:rPr>
          <w:color w:val="231F20"/>
          <w:spacing w:val="50"/>
          <w:w w:val="150"/>
        </w:rPr>
        <w:t> </w:t>
      </w:r>
      <w:r>
        <w:rPr>
          <w:color w:val="231F20"/>
        </w:rPr>
        <w:t>período</w:t>
      </w:r>
      <w:r>
        <w:rPr>
          <w:color w:val="231F20"/>
          <w:spacing w:val="51"/>
          <w:w w:val="150"/>
        </w:rPr>
        <w:t> </w:t>
      </w:r>
      <w:r>
        <w:rPr>
          <w:color w:val="231F20"/>
        </w:rPr>
        <w:t>superaron</w:t>
      </w:r>
      <w:r>
        <w:rPr>
          <w:color w:val="231F20"/>
          <w:spacing w:val="50"/>
          <w:w w:val="150"/>
        </w:rPr>
        <w:t> </w:t>
      </w:r>
      <w:r>
        <w:rPr>
          <w:color w:val="231F20"/>
          <w:spacing w:val="-5"/>
        </w:rPr>
        <w:t>los</w:t>
      </w:r>
    </w:p>
    <w:p>
      <w:pPr>
        <w:pStyle w:val="BodyText"/>
        <w:spacing w:before="1"/>
        <w:ind w:left="1474"/>
      </w:pPr>
      <w:r>
        <w:rPr>
          <w:rFonts w:ascii="Segoe UI Semibold" w:hAnsi="Segoe UI Semibold"/>
          <w:b/>
          <w:color w:val="231F20"/>
          <w:spacing w:val="-2"/>
        </w:rPr>
        <w:t>280,2</w:t>
      </w:r>
      <w:r>
        <w:rPr>
          <w:rFonts w:ascii="Segoe UI Semibold" w:hAnsi="Segoe UI Semibold"/>
          <w:b/>
          <w:color w:val="231F20"/>
          <w:spacing w:val="-7"/>
        </w:rPr>
        <w:t> </w:t>
      </w:r>
      <w:r>
        <w:rPr>
          <w:rFonts w:ascii="Segoe UI Semibold" w:hAnsi="Segoe UI Semibold"/>
          <w:b/>
          <w:color w:val="231F20"/>
          <w:spacing w:val="-2"/>
        </w:rPr>
        <w:t>millones</w:t>
      </w:r>
      <w:r>
        <w:rPr>
          <w:rFonts w:ascii="Segoe UI Semibold" w:hAnsi="Segoe UI Semibold"/>
          <w:b/>
          <w:color w:val="231F20"/>
          <w:spacing w:val="-7"/>
        </w:rPr>
        <w:t> </w:t>
      </w:r>
      <w:r>
        <w:rPr>
          <w:rFonts w:ascii="Segoe UI Semibold" w:hAnsi="Segoe UI Semibold"/>
          <w:b/>
          <w:color w:val="231F20"/>
          <w:spacing w:val="-2"/>
        </w:rPr>
        <w:t>de</w:t>
      </w:r>
      <w:r>
        <w:rPr>
          <w:rFonts w:ascii="Segoe UI Semibold" w:hAnsi="Segoe UI Semibold"/>
          <w:b/>
          <w:color w:val="231F20"/>
          <w:spacing w:val="-7"/>
        </w:rPr>
        <w:t> </w:t>
      </w:r>
      <w:r>
        <w:rPr>
          <w:rFonts w:ascii="Segoe UI Semibold" w:hAnsi="Segoe UI Semibold"/>
          <w:b/>
          <w:color w:val="231F20"/>
          <w:spacing w:val="-2"/>
        </w:rPr>
        <w:t>dólares</w:t>
      </w:r>
      <w:r>
        <w:rPr>
          <w:color w:val="231F20"/>
          <w:spacing w:val="-2"/>
        </w:rPr>
        <w:t>.</w:t>
      </w:r>
    </w:p>
    <w:p>
      <w:pPr>
        <w:pStyle w:val="BodyText"/>
        <w:spacing w:before="160"/>
        <w:ind w:left="1474" w:right="2"/>
      </w:pPr>
      <w:r>
        <w:rPr>
          <w:color w:val="231F20"/>
        </w:rPr>
        <w:t>Esta etapa se caracterizó por la creciente negativa de instituciones bancarias </w:t>
      </w:r>
      <w:r>
        <w:rPr>
          <w:color w:val="231F20"/>
        </w:rPr>
        <w:t>y </w:t>
      </w:r>
      <w:r>
        <w:rPr>
          <w:color w:val="231F20"/>
          <w:spacing w:val="-10"/>
        </w:rPr>
        <w:t>financieras</w:t>
      </w:r>
      <w:r>
        <w:rPr>
          <w:color w:val="231F20"/>
        </w:rPr>
        <w:t> </w:t>
      </w:r>
      <w:r>
        <w:rPr>
          <w:color w:val="231F20"/>
          <w:spacing w:val="-10"/>
        </w:rPr>
        <w:t>extranjeras</w:t>
      </w:r>
      <w:r>
        <w:rPr>
          <w:color w:val="231F20"/>
        </w:rPr>
        <w:t> </w:t>
      </w:r>
      <w:r>
        <w:rPr>
          <w:color w:val="231F20"/>
          <w:spacing w:val="-10"/>
        </w:rPr>
        <w:t>a</w:t>
      </w:r>
      <w:r>
        <w:rPr>
          <w:color w:val="231F20"/>
        </w:rPr>
        <w:t> </w:t>
      </w:r>
      <w:r>
        <w:rPr>
          <w:color w:val="231F20"/>
          <w:spacing w:val="-10"/>
        </w:rPr>
        <w:t>tramitar</w:t>
      </w:r>
      <w:r>
        <w:rPr>
          <w:color w:val="231F20"/>
        </w:rPr>
        <w:t> </w:t>
      </w:r>
      <w:r>
        <w:rPr>
          <w:color w:val="231F20"/>
          <w:spacing w:val="-10"/>
        </w:rPr>
        <w:t>operaciones </w:t>
      </w:r>
      <w:r>
        <w:rPr>
          <w:color w:val="231F20"/>
          <w:spacing w:val="-6"/>
        </w:rPr>
        <w:t>de</w:t>
      </w:r>
      <w:r>
        <w:rPr>
          <w:color w:val="231F20"/>
          <w:spacing w:val="-9"/>
        </w:rPr>
        <w:t> </w:t>
      </w:r>
      <w:r>
        <w:rPr>
          <w:color w:val="231F20"/>
          <w:spacing w:val="-6"/>
        </w:rPr>
        <w:t>bancos</w:t>
      </w:r>
      <w:r>
        <w:rPr>
          <w:color w:val="231F20"/>
          <w:spacing w:val="-10"/>
        </w:rPr>
        <w:t> </w:t>
      </w:r>
      <w:r>
        <w:rPr>
          <w:color w:val="231F20"/>
          <w:spacing w:val="-6"/>
        </w:rPr>
        <w:t>y</w:t>
      </w:r>
      <w:r>
        <w:rPr>
          <w:color w:val="231F20"/>
          <w:spacing w:val="-9"/>
        </w:rPr>
        <w:t> </w:t>
      </w:r>
      <w:r>
        <w:rPr>
          <w:color w:val="231F20"/>
          <w:spacing w:val="-6"/>
        </w:rPr>
        <w:t>empresas</w:t>
      </w:r>
      <w:r>
        <w:rPr>
          <w:color w:val="231F20"/>
          <w:spacing w:val="-9"/>
        </w:rPr>
        <w:t> </w:t>
      </w:r>
      <w:r>
        <w:rPr>
          <w:color w:val="231F20"/>
          <w:spacing w:val="-6"/>
        </w:rPr>
        <w:t>cubanas,</w:t>
      </w:r>
      <w:r>
        <w:rPr>
          <w:color w:val="231F20"/>
          <w:spacing w:val="-9"/>
        </w:rPr>
        <w:t> </w:t>
      </w:r>
      <w:r>
        <w:rPr>
          <w:color w:val="231F20"/>
          <w:spacing w:val="-6"/>
        </w:rPr>
        <w:t>por</w:t>
      </w:r>
      <w:r>
        <w:rPr>
          <w:color w:val="231F20"/>
          <w:spacing w:val="-9"/>
        </w:rPr>
        <w:t> </w:t>
      </w:r>
      <w:r>
        <w:rPr>
          <w:color w:val="231F20"/>
          <w:spacing w:val="-6"/>
        </w:rPr>
        <w:t>el</w:t>
      </w:r>
      <w:r>
        <w:rPr>
          <w:color w:val="231F20"/>
          <w:spacing w:val="-9"/>
        </w:rPr>
        <w:t> </w:t>
      </w:r>
      <w:r>
        <w:rPr>
          <w:color w:val="231F20"/>
          <w:spacing w:val="-6"/>
        </w:rPr>
        <w:t>cierre </w:t>
      </w:r>
      <w:r>
        <w:rPr>
          <w:color w:val="231F20"/>
          <w:spacing w:val="-2"/>
        </w:rPr>
        <w:t>de</w:t>
      </w:r>
      <w:r>
        <w:rPr>
          <w:color w:val="231F20"/>
          <w:spacing w:val="-15"/>
        </w:rPr>
        <w:t> </w:t>
      </w:r>
      <w:r>
        <w:rPr>
          <w:color w:val="231F20"/>
          <w:spacing w:val="-2"/>
        </w:rPr>
        <w:t>cuentas</w:t>
      </w:r>
      <w:r>
        <w:rPr>
          <w:color w:val="231F20"/>
          <w:spacing w:val="-14"/>
        </w:rPr>
        <w:t> </w:t>
      </w:r>
      <w:r>
        <w:rPr>
          <w:color w:val="231F20"/>
          <w:spacing w:val="-2"/>
        </w:rPr>
        <w:t>y</w:t>
      </w:r>
      <w:r>
        <w:rPr>
          <w:color w:val="231F20"/>
          <w:spacing w:val="-15"/>
        </w:rPr>
        <w:t> </w:t>
      </w:r>
      <w:r>
        <w:rPr>
          <w:color w:val="231F20"/>
          <w:spacing w:val="-2"/>
        </w:rPr>
        <w:t>contratos</w:t>
      </w:r>
      <w:r>
        <w:rPr>
          <w:color w:val="231F20"/>
          <w:spacing w:val="-14"/>
        </w:rPr>
        <w:t> </w:t>
      </w:r>
      <w:r>
        <w:rPr>
          <w:color w:val="231F20"/>
          <w:spacing w:val="-2"/>
        </w:rPr>
        <w:t>ya</w:t>
      </w:r>
      <w:r>
        <w:rPr>
          <w:color w:val="231F20"/>
          <w:spacing w:val="-15"/>
        </w:rPr>
        <w:t> </w:t>
      </w:r>
      <w:r>
        <w:rPr>
          <w:color w:val="231F20"/>
          <w:spacing w:val="-2"/>
        </w:rPr>
        <w:t>establecidos,</w:t>
      </w:r>
      <w:r>
        <w:rPr>
          <w:color w:val="231F20"/>
          <w:spacing w:val="-14"/>
        </w:rPr>
        <w:t> </w:t>
      </w:r>
      <w:r>
        <w:rPr>
          <w:color w:val="231F20"/>
          <w:spacing w:val="-2"/>
        </w:rPr>
        <w:t>por </w:t>
      </w:r>
      <w:r>
        <w:rPr>
          <w:color w:val="231F20"/>
        </w:rPr>
        <w:t>la constante devolución de transacciones bancarias, así como por la cancelación de claves</w:t>
      </w:r>
      <w:r>
        <w:rPr>
          <w:color w:val="231F20"/>
          <w:spacing w:val="-6"/>
        </w:rPr>
        <w:t> </w:t>
      </w:r>
      <w:r>
        <w:rPr>
          <w:color w:val="231F20"/>
        </w:rPr>
        <w:t>para</w:t>
      </w:r>
      <w:r>
        <w:rPr>
          <w:color w:val="231F20"/>
          <w:spacing w:val="-6"/>
        </w:rPr>
        <w:t> </w:t>
      </w:r>
      <w:r>
        <w:rPr>
          <w:color w:val="231F20"/>
        </w:rPr>
        <w:t>el</w:t>
      </w:r>
      <w:r>
        <w:rPr>
          <w:color w:val="231F20"/>
          <w:spacing w:val="-6"/>
        </w:rPr>
        <w:t> </w:t>
      </w:r>
      <w:r>
        <w:rPr>
          <w:color w:val="231F20"/>
        </w:rPr>
        <w:t>intercambio</w:t>
      </w:r>
      <w:r>
        <w:rPr>
          <w:color w:val="231F20"/>
          <w:spacing w:val="-6"/>
        </w:rPr>
        <w:t> </w:t>
      </w:r>
      <w:r>
        <w:rPr>
          <w:color w:val="231F20"/>
        </w:rPr>
        <w:t>de</w:t>
      </w:r>
      <w:r>
        <w:rPr>
          <w:color w:val="231F20"/>
          <w:spacing w:val="-6"/>
        </w:rPr>
        <w:t> </w:t>
      </w:r>
      <w:r>
        <w:rPr>
          <w:color w:val="231F20"/>
        </w:rPr>
        <w:t>información financiera que se realizan a través de la Sociedad para las Telecomunicaciones Financieras</w:t>
      </w:r>
      <w:r>
        <w:rPr>
          <w:color w:val="231F20"/>
          <w:spacing w:val="-7"/>
        </w:rPr>
        <w:t> </w:t>
      </w:r>
      <w:r>
        <w:rPr>
          <w:color w:val="231F20"/>
        </w:rPr>
        <w:t>Interbancarias</w:t>
      </w:r>
      <w:r>
        <w:rPr>
          <w:color w:val="231F20"/>
          <w:spacing w:val="-7"/>
        </w:rPr>
        <w:t> </w:t>
      </w:r>
      <w:r>
        <w:rPr>
          <w:color w:val="231F20"/>
        </w:rPr>
        <w:t>(SWIFT,</w:t>
      </w:r>
      <w:r>
        <w:rPr>
          <w:color w:val="231F20"/>
          <w:spacing w:val="-7"/>
        </w:rPr>
        <w:t> </w:t>
      </w:r>
      <w:r>
        <w:rPr>
          <w:color w:val="231F20"/>
        </w:rPr>
        <w:t>por</w:t>
      </w:r>
      <w:r>
        <w:rPr>
          <w:color w:val="231F20"/>
          <w:spacing w:val="-7"/>
        </w:rPr>
        <w:t> </w:t>
      </w:r>
      <w:r>
        <w:rPr>
          <w:color w:val="231F20"/>
        </w:rPr>
        <w:t>sus siglas en inglés).</w:t>
      </w:r>
    </w:p>
    <w:p>
      <w:pPr>
        <w:pStyle w:val="BodyText"/>
        <w:spacing w:before="170"/>
        <w:ind w:left="1474" w:right="1"/>
      </w:pPr>
      <w:r>
        <w:rPr>
          <w:color w:val="231F20"/>
        </w:rPr>
        <w:t>Han</w:t>
      </w:r>
      <w:r>
        <w:rPr>
          <w:color w:val="231F20"/>
          <w:spacing w:val="40"/>
        </w:rPr>
        <w:t> </w:t>
      </w:r>
      <w:r>
        <w:rPr>
          <w:color w:val="231F20"/>
        </w:rPr>
        <w:t>persistido</w:t>
      </w:r>
      <w:r>
        <w:rPr>
          <w:color w:val="231F20"/>
          <w:spacing w:val="40"/>
        </w:rPr>
        <w:t> </w:t>
      </w:r>
      <w:r>
        <w:rPr>
          <w:color w:val="231F20"/>
        </w:rPr>
        <w:t>los</w:t>
      </w:r>
      <w:r>
        <w:rPr>
          <w:color w:val="231F20"/>
          <w:spacing w:val="40"/>
        </w:rPr>
        <w:t> </w:t>
      </w:r>
      <w:r>
        <w:rPr>
          <w:color w:val="231F20"/>
        </w:rPr>
        <w:t>perjuicios</w:t>
      </w:r>
      <w:r>
        <w:rPr>
          <w:color w:val="231F20"/>
          <w:spacing w:val="40"/>
        </w:rPr>
        <w:t> </w:t>
      </w:r>
      <w:r>
        <w:rPr>
          <w:color w:val="231F20"/>
        </w:rPr>
        <w:t>asociados</w:t>
      </w:r>
      <w:r>
        <w:rPr>
          <w:color w:val="231F20"/>
          <w:spacing w:val="40"/>
        </w:rPr>
        <w:t> </w:t>
      </w:r>
      <w:r>
        <w:rPr>
          <w:color w:val="231F20"/>
        </w:rPr>
        <w:t>a las restricciones para el uso del dólar estadounidense en las transacciones </w:t>
      </w:r>
      <w:r>
        <w:rPr>
          <w:color w:val="231F20"/>
          <w:spacing w:val="-4"/>
        </w:rPr>
        <w:t>comerciales</w:t>
      </w:r>
      <w:r>
        <w:rPr>
          <w:color w:val="231F20"/>
          <w:spacing w:val="-9"/>
        </w:rPr>
        <w:t> </w:t>
      </w:r>
      <w:r>
        <w:rPr>
          <w:color w:val="231F20"/>
          <w:spacing w:val="-4"/>
        </w:rPr>
        <w:t>y</w:t>
      </w:r>
      <w:r>
        <w:rPr>
          <w:color w:val="231F20"/>
          <w:spacing w:val="-9"/>
        </w:rPr>
        <w:t> </w:t>
      </w:r>
      <w:r>
        <w:rPr>
          <w:color w:val="231F20"/>
          <w:spacing w:val="-4"/>
        </w:rPr>
        <w:t>financieras</w:t>
      </w:r>
      <w:r>
        <w:rPr>
          <w:color w:val="231F20"/>
          <w:spacing w:val="-9"/>
        </w:rPr>
        <w:t> </w:t>
      </w:r>
      <w:r>
        <w:rPr>
          <w:color w:val="231F20"/>
          <w:spacing w:val="-4"/>
        </w:rPr>
        <w:t>con</w:t>
      </w:r>
      <w:r>
        <w:rPr>
          <w:color w:val="231F20"/>
          <w:spacing w:val="-9"/>
        </w:rPr>
        <w:t> </w:t>
      </w:r>
      <w:r>
        <w:rPr>
          <w:color w:val="231F20"/>
          <w:spacing w:val="-4"/>
        </w:rPr>
        <w:t>el</w:t>
      </w:r>
      <w:r>
        <w:rPr>
          <w:color w:val="231F20"/>
          <w:spacing w:val="-9"/>
        </w:rPr>
        <w:t> </w:t>
      </w:r>
      <w:r>
        <w:rPr>
          <w:color w:val="231F20"/>
          <w:spacing w:val="-4"/>
        </w:rPr>
        <w:t>exterior,</w:t>
      </w:r>
      <w:r>
        <w:rPr>
          <w:color w:val="231F20"/>
          <w:spacing w:val="-9"/>
        </w:rPr>
        <w:t> </w:t>
      </w:r>
      <w:r>
        <w:rPr>
          <w:color w:val="231F20"/>
          <w:spacing w:val="-4"/>
        </w:rPr>
        <w:t>así </w:t>
      </w:r>
      <w:r>
        <w:rPr>
          <w:color w:val="231F20"/>
          <w:spacing w:val="-2"/>
        </w:rPr>
        <w:t>como</w:t>
      </w:r>
      <w:r>
        <w:rPr>
          <w:color w:val="231F20"/>
          <w:spacing w:val="-15"/>
        </w:rPr>
        <w:t> </w:t>
      </w:r>
      <w:r>
        <w:rPr>
          <w:color w:val="231F20"/>
          <w:spacing w:val="-2"/>
        </w:rPr>
        <w:t>la</w:t>
      </w:r>
      <w:r>
        <w:rPr>
          <w:color w:val="231F20"/>
          <w:spacing w:val="-14"/>
        </w:rPr>
        <w:t> </w:t>
      </w:r>
      <w:r>
        <w:rPr>
          <w:color w:val="231F20"/>
          <w:spacing w:val="-2"/>
        </w:rPr>
        <w:t>imposibilidad</w:t>
      </w:r>
      <w:r>
        <w:rPr>
          <w:color w:val="231F20"/>
          <w:spacing w:val="-15"/>
        </w:rPr>
        <w:t> </w:t>
      </w:r>
      <w:r>
        <w:rPr>
          <w:color w:val="231F20"/>
          <w:spacing w:val="-2"/>
        </w:rPr>
        <w:t>de</w:t>
      </w:r>
      <w:r>
        <w:rPr>
          <w:color w:val="231F20"/>
          <w:spacing w:val="-14"/>
        </w:rPr>
        <w:t> </w:t>
      </w:r>
      <w:r>
        <w:rPr>
          <w:color w:val="231F20"/>
          <w:spacing w:val="-2"/>
        </w:rPr>
        <w:t>utilizar</w:t>
      </w:r>
      <w:r>
        <w:rPr>
          <w:color w:val="231F20"/>
          <w:spacing w:val="-15"/>
        </w:rPr>
        <w:t> </w:t>
      </w:r>
      <w:r>
        <w:rPr>
          <w:color w:val="231F20"/>
          <w:spacing w:val="-2"/>
        </w:rPr>
        <w:t>el</w:t>
      </w:r>
      <w:r>
        <w:rPr>
          <w:color w:val="231F20"/>
          <w:spacing w:val="-14"/>
        </w:rPr>
        <w:t> </w:t>
      </w:r>
      <w:r>
        <w:rPr>
          <w:color w:val="231F20"/>
          <w:spacing w:val="-2"/>
        </w:rPr>
        <w:t>sistema financiero</w:t>
      </w:r>
      <w:r>
        <w:rPr>
          <w:color w:val="231F20"/>
          <w:spacing w:val="-8"/>
        </w:rPr>
        <w:t> </w:t>
      </w:r>
      <w:r>
        <w:rPr>
          <w:color w:val="231F20"/>
          <w:spacing w:val="-2"/>
        </w:rPr>
        <w:t>estadounidense</w:t>
      </w:r>
      <w:r>
        <w:rPr>
          <w:color w:val="231F20"/>
          <w:spacing w:val="-8"/>
        </w:rPr>
        <w:t> </w:t>
      </w:r>
      <w:r>
        <w:rPr>
          <w:color w:val="231F20"/>
          <w:spacing w:val="-2"/>
        </w:rPr>
        <w:t>para</w:t>
      </w:r>
      <w:r>
        <w:rPr>
          <w:color w:val="231F20"/>
          <w:spacing w:val="-8"/>
        </w:rPr>
        <w:t> </w:t>
      </w:r>
      <w:r>
        <w:rPr>
          <w:color w:val="231F20"/>
          <w:spacing w:val="-2"/>
        </w:rPr>
        <w:t>realizar</w:t>
      </w:r>
      <w:r>
        <w:rPr>
          <w:color w:val="231F20"/>
          <w:spacing w:val="-8"/>
        </w:rPr>
        <w:t> </w:t>
      </w:r>
      <w:r>
        <w:rPr>
          <w:color w:val="231F20"/>
          <w:spacing w:val="-2"/>
        </w:rPr>
        <w:t>las </w:t>
      </w:r>
      <w:r>
        <w:rPr>
          <w:color w:val="231F20"/>
        </w:rPr>
        <w:t>mismas,</w:t>
      </w:r>
      <w:r>
        <w:rPr>
          <w:color w:val="231F20"/>
          <w:spacing w:val="-4"/>
        </w:rPr>
        <w:t> </w:t>
      </w:r>
      <w:r>
        <w:rPr>
          <w:color w:val="231F20"/>
        </w:rPr>
        <w:t>cuando</w:t>
      </w:r>
      <w:r>
        <w:rPr>
          <w:color w:val="231F20"/>
          <w:spacing w:val="-5"/>
        </w:rPr>
        <w:t> </w:t>
      </w:r>
      <w:r>
        <w:rPr>
          <w:color w:val="231F20"/>
        </w:rPr>
        <w:t>el</w:t>
      </w:r>
      <w:r>
        <w:rPr>
          <w:color w:val="231F20"/>
          <w:spacing w:val="-5"/>
        </w:rPr>
        <w:t> </w:t>
      </w:r>
      <w:r>
        <w:rPr>
          <w:color w:val="231F20"/>
        </w:rPr>
        <w:t>origen</w:t>
      </w:r>
      <w:r>
        <w:rPr>
          <w:color w:val="231F20"/>
          <w:spacing w:val="-5"/>
        </w:rPr>
        <w:t> </w:t>
      </w:r>
      <w:r>
        <w:rPr>
          <w:color w:val="231F20"/>
        </w:rPr>
        <w:t>y</w:t>
      </w:r>
      <w:r>
        <w:rPr>
          <w:color w:val="231F20"/>
          <w:spacing w:val="-5"/>
        </w:rPr>
        <w:t> </w:t>
      </w:r>
      <w:r>
        <w:rPr>
          <w:color w:val="231F20"/>
        </w:rPr>
        <w:t>destino</w:t>
      </w:r>
      <w:r>
        <w:rPr>
          <w:color w:val="231F20"/>
          <w:spacing w:val="-5"/>
        </w:rPr>
        <w:t> </w:t>
      </w:r>
      <w:r>
        <w:rPr>
          <w:color w:val="231F20"/>
        </w:rPr>
        <w:t>de</w:t>
      </w:r>
      <w:r>
        <w:rPr>
          <w:color w:val="231F20"/>
          <w:spacing w:val="-5"/>
        </w:rPr>
        <w:t> </w:t>
      </w:r>
      <w:r>
        <w:rPr>
          <w:color w:val="231F20"/>
        </w:rPr>
        <w:t>las transferencias sea una entidad cubana y de</w:t>
      </w:r>
      <w:r>
        <w:rPr>
          <w:color w:val="231F20"/>
          <w:spacing w:val="-15"/>
        </w:rPr>
        <w:t> </w:t>
      </w:r>
      <w:r>
        <w:rPr>
          <w:color w:val="231F20"/>
        </w:rPr>
        <w:t>un</w:t>
      </w:r>
      <w:r>
        <w:rPr>
          <w:color w:val="231F20"/>
          <w:spacing w:val="-15"/>
        </w:rPr>
        <w:t> </w:t>
      </w:r>
      <w:r>
        <w:rPr>
          <w:color w:val="231F20"/>
        </w:rPr>
        <w:t>tercer</w:t>
      </w:r>
      <w:r>
        <w:rPr>
          <w:color w:val="231F20"/>
          <w:spacing w:val="-15"/>
        </w:rPr>
        <w:t> </w:t>
      </w:r>
      <w:r>
        <w:rPr>
          <w:color w:val="231F20"/>
        </w:rPr>
        <w:t>país.</w:t>
      </w:r>
      <w:r>
        <w:rPr>
          <w:color w:val="231F20"/>
          <w:spacing w:val="-15"/>
        </w:rPr>
        <w:t> </w:t>
      </w:r>
      <w:r>
        <w:rPr>
          <w:color w:val="231F20"/>
        </w:rPr>
        <w:t>Esta</w:t>
      </w:r>
      <w:r>
        <w:rPr>
          <w:color w:val="231F20"/>
          <w:spacing w:val="-15"/>
        </w:rPr>
        <w:t> </w:t>
      </w:r>
      <w:r>
        <w:rPr>
          <w:color w:val="231F20"/>
        </w:rPr>
        <w:t>situación</w:t>
      </w:r>
      <w:r>
        <w:rPr>
          <w:color w:val="231F20"/>
          <w:spacing w:val="-15"/>
        </w:rPr>
        <w:t> </w:t>
      </w:r>
      <w:r>
        <w:rPr>
          <w:color w:val="231F20"/>
        </w:rPr>
        <w:t>se</w:t>
      </w:r>
      <w:r>
        <w:rPr>
          <w:color w:val="231F20"/>
          <w:spacing w:val="-15"/>
        </w:rPr>
        <w:t> </w:t>
      </w:r>
      <w:r>
        <w:rPr>
          <w:color w:val="231F20"/>
        </w:rPr>
        <w:t>ha</w:t>
      </w:r>
      <w:r>
        <w:rPr>
          <w:color w:val="231F20"/>
          <w:spacing w:val="-15"/>
        </w:rPr>
        <w:t> </w:t>
      </w:r>
      <w:r>
        <w:rPr>
          <w:color w:val="231F20"/>
        </w:rPr>
        <w:t>visto agravada en los últimos años debido a la </w:t>
      </w:r>
      <w:r>
        <w:rPr>
          <w:color w:val="231F20"/>
          <w:spacing w:val="-6"/>
        </w:rPr>
        <w:t>imposición</w:t>
      </w:r>
      <w:r>
        <w:rPr>
          <w:color w:val="231F20"/>
          <w:spacing w:val="-11"/>
        </w:rPr>
        <w:t> </w:t>
      </w:r>
      <w:r>
        <w:rPr>
          <w:color w:val="231F20"/>
          <w:spacing w:val="-6"/>
        </w:rPr>
        <w:t>de</w:t>
      </w:r>
      <w:r>
        <w:rPr>
          <w:color w:val="231F20"/>
          <w:spacing w:val="-10"/>
        </w:rPr>
        <w:t> </w:t>
      </w:r>
      <w:r>
        <w:rPr>
          <w:color w:val="231F20"/>
          <w:spacing w:val="-6"/>
        </w:rPr>
        <w:t>medidas</w:t>
      </w:r>
      <w:r>
        <w:rPr>
          <w:color w:val="231F20"/>
          <w:spacing w:val="-11"/>
        </w:rPr>
        <w:t> </w:t>
      </w:r>
      <w:r>
        <w:rPr>
          <w:color w:val="231F20"/>
          <w:spacing w:val="-6"/>
        </w:rPr>
        <w:t>coercitivas</w:t>
      </w:r>
      <w:r>
        <w:rPr>
          <w:color w:val="231F20"/>
          <w:spacing w:val="-10"/>
        </w:rPr>
        <w:t> </w:t>
      </w:r>
      <w:r>
        <w:rPr>
          <w:color w:val="231F20"/>
          <w:spacing w:val="-6"/>
        </w:rPr>
        <w:t>por</w:t>
      </w:r>
      <w:r>
        <w:rPr>
          <w:color w:val="231F20"/>
          <w:spacing w:val="-11"/>
        </w:rPr>
        <w:t> </w:t>
      </w:r>
      <w:r>
        <w:rPr>
          <w:color w:val="231F20"/>
          <w:spacing w:val="-6"/>
        </w:rPr>
        <w:t>parte </w:t>
      </w:r>
      <w:r>
        <w:rPr>
          <w:color w:val="231F20"/>
        </w:rPr>
        <w:t>de</w:t>
      </w:r>
      <w:r>
        <w:rPr>
          <w:color w:val="231F20"/>
          <w:spacing w:val="-17"/>
        </w:rPr>
        <w:t> </w:t>
      </w:r>
      <w:r>
        <w:rPr>
          <w:color w:val="231F20"/>
        </w:rPr>
        <w:t>la</w:t>
      </w:r>
      <w:r>
        <w:rPr>
          <w:color w:val="231F20"/>
          <w:spacing w:val="-16"/>
        </w:rPr>
        <w:t> </w:t>
      </w:r>
      <w:r>
        <w:rPr>
          <w:color w:val="231F20"/>
        </w:rPr>
        <w:t>OFAC</w:t>
      </w:r>
      <w:r>
        <w:rPr>
          <w:color w:val="231F20"/>
          <w:spacing w:val="-17"/>
        </w:rPr>
        <w:t> </w:t>
      </w:r>
      <w:r>
        <w:rPr>
          <w:color w:val="231F20"/>
        </w:rPr>
        <w:t>a</w:t>
      </w:r>
      <w:r>
        <w:rPr>
          <w:color w:val="231F20"/>
          <w:spacing w:val="-16"/>
        </w:rPr>
        <w:t> </w:t>
      </w:r>
      <w:r>
        <w:rPr>
          <w:color w:val="231F20"/>
        </w:rPr>
        <w:t>entidades</w:t>
      </w:r>
      <w:r>
        <w:rPr>
          <w:color w:val="231F20"/>
          <w:spacing w:val="-17"/>
        </w:rPr>
        <w:t> </w:t>
      </w:r>
      <w:r>
        <w:rPr>
          <w:color w:val="231F20"/>
        </w:rPr>
        <w:t>estadounidenses</w:t>
      </w:r>
      <w:r>
        <w:rPr>
          <w:color w:val="231F20"/>
          <w:spacing w:val="-16"/>
        </w:rPr>
        <w:t> </w:t>
      </w:r>
      <w:r>
        <w:rPr>
          <w:color w:val="231F20"/>
        </w:rPr>
        <w:t>y </w:t>
      </w:r>
      <w:r>
        <w:rPr>
          <w:color w:val="231F20"/>
          <w:spacing w:val="-8"/>
        </w:rPr>
        <w:t>de terceros países, por supuestas violaciones </w:t>
      </w:r>
      <w:r>
        <w:rPr>
          <w:color w:val="231F20"/>
        </w:rPr>
        <w:t>del bloqueo.</w:t>
      </w:r>
    </w:p>
    <w:p>
      <w:pPr>
        <w:pStyle w:val="BodyText"/>
        <w:spacing w:before="171"/>
        <w:ind w:left="1474" w:right="7"/>
      </w:pPr>
      <w:r>
        <w:rPr>
          <w:color w:val="231F20"/>
        </w:rPr>
        <w:t>Todo</w:t>
      </w:r>
      <w:r>
        <w:rPr>
          <w:color w:val="231F20"/>
          <w:spacing w:val="-1"/>
        </w:rPr>
        <w:t> </w:t>
      </w:r>
      <w:r>
        <w:rPr>
          <w:color w:val="231F20"/>
        </w:rPr>
        <w:t>ello</w:t>
      </w:r>
      <w:r>
        <w:rPr>
          <w:color w:val="231F20"/>
          <w:spacing w:val="-1"/>
        </w:rPr>
        <w:t> </w:t>
      </w:r>
      <w:r>
        <w:rPr>
          <w:color w:val="231F20"/>
        </w:rPr>
        <w:t>genera</w:t>
      </w:r>
      <w:r>
        <w:rPr>
          <w:color w:val="231F20"/>
          <w:spacing w:val="-1"/>
        </w:rPr>
        <w:t> </w:t>
      </w:r>
      <w:r>
        <w:rPr>
          <w:color w:val="231F20"/>
        </w:rPr>
        <w:t>cuantiosas</w:t>
      </w:r>
      <w:r>
        <w:rPr>
          <w:color w:val="231F20"/>
          <w:spacing w:val="-1"/>
        </w:rPr>
        <w:t> </w:t>
      </w:r>
      <w:r>
        <w:rPr>
          <w:color w:val="231F20"/>
        </w:rPr>
        <w:t>pérdidas</w:t>
      </w:r>
      <w:r>
        <w:rPr>
          <w:color w:val="231F20"/>
          <w:spacing w:val="-1"/>
        </w:rPr>
        <w:t> </w:t>
      </w:r>
      <w:r>
        <w:rPr>
          <w:color w:val="231F20"/>
        </w:rPr>
        <w:t>por variación de las tasas de cambio entre la moneda de los Estados Unidos y la de terceros países en las que se ejecutan los cobros y pagos, así como otros costos </w:t>
      </w:r>
      <w:r>
        <w:rPr>
          <w:color w:val="231F20"/>
          <w:spacing w:val="-2"/>
        </w:rPr>
        <w:t>adicionales.</w:t>
      </w:r>
    </w:p>
    <w:p>
      <w:pPr>
        <w:pStyle w:val="BodyText"/>
        <w:spacing w:before="164"/>
        <w:ind w:left="1474"/>
      </w:pPr>
      <w:r>
        <w:rPr>
          <w:color w:val="231F20"/>
        </w:rPr>
        <w:t>La inclusión de Cuba en la Lista unilateral de</w:t>
      </w:r>
      <w:r>
        <w:rPr>
          <w:color w:val="231F20"/>
          <w:spacing w:val="-3"/>
        </w:rPr>
        <w:t> </w:t>
      </w:r>
      <w:r>
        <w:rPr>
          <w:color w:val="231F20"/>
        </w:rPr>
        <w:t>Estados</w:t>
      </w:r>
      <w:r>
        <w:rPr>
          <w:color w:val="231F20"/>
          <w:spacing w:val="-3"/>
        </w:rPr>
        <w:t> </w:t>
      </w:r>
      <w:r>
        <w:rPr>
          <w:color w:val="231F20"/>
        </w:rPr>
        <w:t>Patrocinadores</w:t>
      </w:r>
      <w:r>
        <w:rPr>
          <w:color w:val="231F20"/>
          <w:spacing w:val="-3"/>
        </w:rPr>
        <w:t> </w:t>
      </w:r>
      <w:r>
        <w:rPr>
          <w:color w:val="231F20"/>
        </w:rPr>
        <w:t>del</w:t>
      </w:r>
      <w:r>
        <w:rPr>
          <w:color w:val="231F20"/>
          <w:spacing w:val="-3"/>
        </w:rPr>
        <w:t> </w:t>
      </w:r>
      <w:r>
        <w:rPr>
          <w:color w:val="231F20"/>
        </w:rPr>
        <w:t>Terrorismo ha tenido un impacto demoledor para el sector bancario-financiero.</w:t>
      </w:r>
    </w:p>
    <w:p>
      <w:pPr>
        <w:pStyle w:val="BodyText"/>
        <w:spacing w:before="163"/>
        <w:ind w:left="1474" w:right="2"/>
      </w:pPr>
      <w:r>
        <w:rPr>
          <w:color w:val="231F20"/>
        </w:rPr>
        <w:t>Como consecuencia de la política de </w:t>
      </w:r>
      <w:r>
        <w:rPr>
          <w:color w:val="231F20"/>
          <w:spacing w:val="-4"/>
        </w:rPr>
        <w:t>presión,</w:t>
      </w:r>
      <w:r>
        <w:rPr>
          <w:color w:val="231F20"/>
          <w:spacing w:val="-13"/>
        </w:rPr>
        <w:t> </w:t>
      </w:r>
      <w:r>
        <w:rPr>
          <w:color w:val="231F20"/>
          <w:spacing w:val="-4"/>
        </w:rPr>
        <w:t>intimidación</w:t>
      </w:r>
      <w:r>
        <w:rPr>
          <w:color w:val="231F20"/>
          <w:spacing w:val="-12"/>
        </w:rPr>
        <w:t> </w:t>
      </w:r>
      <w:r>
        <w:rPr>
          <w:color w:val="231F20"/>
          <w:spacing w:val="-4"/>
        </w:rPr>
        <w:t>y</w:t>
      </w:r>
      <w:r>
        <w:rPr>
          <w:color w:val="231F20"/>
          <w:spacing w:val="-13"/>
        </w:rPr>
        <w:t> </w:t>
      </w:r>
      <w:r>
        <w:rPr>
          <w:color w:val="231F20"/>
          <w:spacing w:val="-4"/>
        </w:rPr>
        <w:t>disuasión</w:t>
      </w:r>
      <w:r>
        <w:rPr>
          <w:color w:val="231F20"/>
          <w:spacing w:val="-12"/>
        </w:rPr>
        <w:t> </w:t>
      </w:r>
      <w:r>
        <w:rPr>
          <w:color w:val="231F20"/>
          <w:spacing w:val="-4"/>
        </w:rPr>
        <w:t>que</w:t>
      </w:r>
      <w:r>
        <w:rPr>
          <w:color w:val="231F20"/>
          <w:spacing w:val="-13"/>
        </w:rPr>
        <w:t> </w:t>
      </w:r>
      <w:r>
        <w:rPr>
          <w:color w:val="231F20"/>
          <w:spacing w:val="-4"/>
        </w:rPr>
        <w:t>ejerce el</w:t>
      </w:r>
      <w:r>
        <w:rPr>
          <w:color w:val="231F20"/>
          <w:spacing w:val="-21"/>
        </w:rPr>
        <w:t> </w:t>
      </w:r>
      <w:r>
        <w:rPr>
          <w:color w:val="231F20"/>
          <w:spacing w:val="-4"/>
        </w:rPr>
        <w:t>gobierno</w:t>
      </w:r>
      <w:r>
        <w:rPr>
          <w:color w:val="231F20"/>
          <w:spacing w:val="-20"/>
        </w:rPr>
        <w:t> </w:t>
      </w:r>
      <w:r>
        <w:rPr>
          <w:color w:val="231F20"/>
          <w:spacing w:val="-4"/>
        </w:rPr>
        <w:t>de</w:t>
      </w:r>
      <w:r>
        <w:rPr>
          <w:color w:val="231F20"/>
          <w:spacing w:val="-20"/>
        </w:rPr>
        <w:t> </w:t>
      </w:r>
      <w:r>
        <w:rPr>
          <w:color w:val="231F20"/>
          <w:spacing w:val="-4"/>
        </w:rPr>
        <w:t>los</w:t>
      </w:r>
      <w:r>
        <w:rPr>
          <w:color w:val="231F20"/>
          <w:spacing w:val="-20"/>
        </w:rPr>
        <w:t> </w:t>
      </w:r>
      <w:r>
        <w:rPr>
          <w:color w:val="231F20"/>
          <w:spacing w:val="-4"/>
        </w:rPr>
        <w:t>Estados</w:t>
      </w:r>
      <w:r>
        <w:rPr>
          <w:color w:val="231F20"/>
          <w:spacing w:val="-21"/>
        </w:rPr>
        <w:t> </w:t>
      </w:r>
      <w:r>
        <w:rPr>
          <w:color w:val="231F20"/>
          <w:spacing w:val="-4"/>
        </w:rPr>
        <w:t>Unidos</w:t>
      </w:r>
      <w:r>
        <w:rPr>
          <w:color w:val="231F20"/>
          <w:spacing w:val="-20"/>
        </w:rPr>
        <w:t> </w:t>
      </w:r>
      <w:r>
        <w:rPr>
          <w:color w:val="231F20"/>
          <w:spacing w:val="-4"/>
        </w:rPr>
        <w:t>contra</w:t>
      </w:r>
      <w:r>
        <w:rPr>
          <w:color w:val="231F20"/>
          <w:spacing w:val="-20"/>
        </w:rPr>
        <w:t> </w:t>
      </w:r>
      <w:r>
        <w:rPr>
          <w:color w:val="231F20"/>
          <w:spacing w:val="-5"/>
        </w:rPr>
        <w:t>las</w:t>
      </w:r>
    </w:p>
    <w:p>
      <w:pPr>
        <w:pStyle w:val="BodyText"/>
        <w:spacing w:before="77"/>
        <w:ind w:left="409" w:right="1133"/>
      </w:pPr>
      <w:r>
        <w:rPr/>
        <w:br w:type="column"/>
      </w:r>
      <w:r>
        <w:rPr>
          <w:color w:val="231F20"/>
          <w:spacing w:val="-2"/>
        </w:rPr>
        <w:t>instituciones</w:t>
      </w:r>
      <w:r>
        <w:rPr>
          <w:color w:val="231F20"/>
          <w:spacing w:val="-15"/>
        </w:rPr>
        <w:t> </w:t>
      </w:r>
      <w:r>
        <w:rPr>
          <w:color w:val="231F20"/>
          <w:spacing w:val="-2"/>
        </w:rPr>
        <w:t>financieras</w:t>
      </w:r>
      <w:r>
        <w:rPr>
          <w:color w:val="231F20"/>
          <w:spacing w:val="-14"/>
        </w:rPr>
        <w:t> </w:t>
      </w:r>
      <w:r>
        <w:rPr>
          <w:color w:val="231F20"/>
          <w:spacing w:val="-2"/>
        </w:rPr>
        <w:t>internacionales,</w:t>
      </w:r>
      <w:r>
        <w:rPr>
          <w:color w:val="231F20"/>
          <w:spacing w:val="-15"/>
        </w:rPr>
        <w:t> </w:t>
      </w:r>
      <w:r>
        <w:rPr>
          <w:color w:val="231F20"/>
          <w:spacing w:val="-2"/>
        </w:rPr>
        <w:t>se </w:t>
      </w:r>
      <w:r>
        <w:rPr>
          <w:color w:val="231F20"/>
        </w:rPr>
        <w:t>aplican nuevos métodos para entorpecer las operaciones bancarias de Cuba, como es el caso de la solicitud de documentos </w:t>
      </w:r>
      <w:r>
        <w:rPr>
          <w:color w:val="231F20"/>
          <w:spacing w:val="-2"/>
        </w:rPr>
        <w:t>adicionales</w:t>
      </w:r>
      <w:r>
        <w:rPr>
          <w:color w:val="231F20"/>
          <w:spacing w:val="-15"/>
        </w:rPr>
        <w:t> </w:t>
      </w:r>
      <w:r>
        <w:rPr>
          <w:color w:val="231F20"/>
          <w:spacing w:val="-2"/>
        </w:rPr>
        <w:t>para</w:t>
      </w:r>
      <w:r>
        <w:rPr>
          <w:color w:val="231F20"/>
          <w:spacing w:val="-14"/>
        </w:rPr>
        <w:t> </w:t>
      </w:r>
      <w:r>
        <w:rPr>
          <w:color w:val="231F20"/>
          <w:spacing w:val="-2"/>
        </w:rPr>
        <w:t>realizar</w:t>
      </w:r>
      <w:r>
        <w:rPr>
          <w:color w:val="231F20"/>
          <w:spacing w:val="-15"/>
        </w:rPr>
        <w:t> </w:t>
      </w:r>
      <w:r>
        <w:rPr>
          <w:color w:val="231F20"/>
          <w:spacing w:val="-2"/>
        </w:rPr>
        <w:t>las</w:t>
      </w:r>
      <w:r>
        <w:rPr>
          <w:color w:val="231F20"/>
          <w:spacing w:val="-14"/>
        </w:rPr>
        <w:t> </w:t>
      </w:r>
      <w:r>
        <w:rPr>
          <w:color w:val="231F20"/>
          <w:spacing w:val="-2"/>
        </w:rPr>
        <w:t>operaciones,</w:t>
      </w:r>
      <w:r>
        <w:rPr>
          <w:color w:val="231F20"/>
          <w:spacing w:val="-15"/>
        </w:rPr>
        <w:t> </w:t>
      </w:r>
      <w:r>
        <w:rPr>
          <w:color w:val="231F20"/>
          <w:spacing w:val="-2"/>
        </w:rPr>
        <w:t>lo </w:t>
      </w:r>
      <w:r>
        <w:rPr>
          <w:color w:val="231F20"/>
          <w:spacing w:val="-6"/>
        </w:rPr>
        <w:t>cual</w:t>
      </w:r>
      <w:r>
        <w:rPr>
          <w:color w:val="231F20"/>
          <w:spacing w:val="-11"/>
        </w:rPr>
        <w:t> </w:t>
      </w:r>
      <w:r>
        <w:rPr>
          <w:color w:val="231F20"/>
          <w:spacing w:val="-6"/>
        </w:rPr>
        <w:t>genera</w:t>
      </w:r>
      <w:r>
        <w:rPr>
          <w:color w:val="231F20"/>
          <w:spacing w:val="-10"/>
        </w:rPr>
        <w:t> </w:t>
      </w:r>
      <w:r>
        <w:rPr>
          <w:color w:val="231F20"/>
          <w:spacing w:val="-6"/>
        </w:rPr>
        <w:t>demoras</w:t>
      </w:r>
      <w:r>
        <w:rPr>
          <w:color w:val="231F20"/>
          <w:spacing w:val="-11"/>
        </w:rPr>
        <w:t> </w:t>
      </w:r>
      <w:r>
        <w:rPr>
          <w:color w:val="231F20"/>
          <w:spacing w:val="-6"/>
        </w:rPr>
        <w:t>y</w:t>
      </w:r>
      <w:r>
        <w:rPr>
          <w:color w:val="231F20"/>
          <w:spacing w:val="-10"/>
        </w:rPr>
        <w:t> </w:t>
      </w:r>
      <w:r>
        <w:rPr>
          <w:color w:val="231F20"/>
          <w:spacing w:val="-6"/>
        </w:rPr>
        <w:t>limita</w:t>
      </w:r>
      <w:r>
        <w:rPr>
          <w:color w:val="231F20"/>
          <w:spacing w:val="-11"/>
        </w:rPr>
        <w:t> </w:t>
      </w:r>
      <w:r>
        <w:rPr>
          <w:color w:val="231F20"/>
          <w:spacing w:val="-6"/>
        </w:rPr>
        <w:t>la</w:t>
      </w:r>
      <w:r>
        <w:rPr>
          <w:color w:val="231F20"/>
          <w:spacing w:val="-10"/>
        </w:rPr>
        <w:t> </w:t>
      </w:r>
      <w:r>
        <w:rPr>
          <w:color w:val="231F20"/>
          <w:spacing w:val="-6"/>
        </w:rPr>
        <w:t>ejecución</w:t>
      </w:r>
      <w:r>
        <w:rPr>
          <w:color w:val="231F20"/>
          <w:spacing w:val="-11"/>
        </w:rPr>
        <w:t> </w:t>
      </w:r>
      <w:r>
        <w:rPr>
          <w:color w:val="231F20"/>
          <w:spacing w:val="-6"/>
        </w:rPr>
        <w:t>de </w:t>
      </w:r>
      <w:r>
        <w:rPr>
          <w:color w:val="231F20"/>
        </w:rPr>
        <w:t>los</w:t>
      </w:r>
      <w:r>
        <w:rPr>
          <w:color w:val="231F20"/>
          <w:spacing w:val="-17"/>
        </w:rPr>
        <w:t> </w:t>
      </w:r>
      <w:r>
        <w:rPr>
          <w:color w:val="231F20"/>
        </w:rPr>
        <w:t>pagos</w:t>
      </w:r>
      <w:r>
        <w:rPr>
          <w:color w:val="231F20"/>
          <w:spacing w:val="-16"/>
        </w:rPr>
        <w:t> </w:t>
      </w:r>
      <w:r>
        <w:rPr>
          <w:color w:val="231F20"/>
        </w:rPr>
        <w:t>a</w:t>
      </w:r>
      <w:r>
        <w:rPr>
          <w:color w:val="231F20"/>
          <w:spacing w:val="-17"/>
        </w:rPr>
        <w:t> </w:t>
      </w:r>
      <w:r>
        <w:rPr>
          <w:color w:val="231F20"/>
        </w:rPr>
        <w:t>los</w:t>
      </w:r>
      <w:r>
        <w:rPr>
          <w:color w:val="231F20"/>
          <w:spacing w:val="-16"/>
        </w:rPr>
        <w:t> </w:t>
      </w:r>
      <w:r>
        <w:rPr>
          <w:color w:val="231F20"/>
        </w:rPr>
        <w:t>proveedores</w:t>
      </w:r>
      <w:r>
        <w:rPr>
          <w:color w:val="231F20"/>
          <w:spacing w:val="-17"/>
        </w:rPr>
        <w:t> </w:t>
      </w:r>
      <w:r>
        <w:rPr>
          <w:color w:val="231F20"/>
        </w:rPr>
        <w:t>o</w:t>
      </w:r>
      <w:r>
        <w:rPr>
          <w:color w:val="231F20"/>
          <w:spacing w:val="-16"/>
        </w:rPr>
        <w:t> </w:t>
      </w:r>
      <w:r>
        <w:rPr>
          <w:color w:val="231F20"/>
        </w:rPr>
        <w:t>la</w:t>
      </w:r>
      <w:r>
        <w:rPr>
          <w:color w:val="231F20"/>
          <w:spacing w:val="-17"/>
        </w:rPr>
        <w:t> </w:t>
      </w:r>
      <w:r>
        <w:rPr>
          <w:color w:val="231F20"/>
        </w:rPr>
        <w:t>recepción </w:t>
      </w:r>
      <w:r>
        <w:rPr>
          <w:color w:val="231F20"/>
          <w:spacing w:val="-2"/>
        </w:rPr>
        <w:t>de</w:t>
      </w:r>
      <w:r>
        <w:rPr>
          <w:color w:val="231F20"/>
          <w:spacing w:val="-10"/>
        </w:rPr>
        <w:t> </w:t>
      </w:r>
      <w:r>
        <w:rPr>
          <w:color w:val="231F20"/>
          <w:spacing w:val="-2"/>
        </w:rPr>
        <w:t>ingresos</w:t>
      </w:r>
      <w:r>
        <w:rPr>
          <w:color w:val="231F20"/>
          <w:spacing w:val="-10"/>
        </w:rPr>
        <w:t> </w:t>
      </w:r>
      <w:r>
        <w:rPr>
          <w:color w:val="231F20"/>
          <w:spacing w:val="-2"/>
        </w:rPr>
        <w:t>provenientes</w:t>
      </w:r>
      <w:r>
        <w:rPr>
          <w:color w:val="231F20"/>
          <w:spacing w:val="-10"/>
        </w:rPr>
        <w:t> </w:t>
      </w:r>
      <w:r>
        <w:rPr>
          <w:color w:val="231F20"/>
          <w:spacing w:val="-2"/>
        </w:rPr>
        <w:t>desde</w:t>
      </w:r>
      <w:r>
        <w:rPr>
          <w:color w:val="231F20"/>
          <w:spacing w:val="-10"/>
        </w:rPr>
        <w:t> </w:t>
      </w:r>
      <w:r>
        <w:rPr>
          <w:color w:val="231F20"/>
          <w:spacing w:val="-2"/>
        </w:rPr>
        <w:t>el</w:t>
      </w:r>
      <w:r>
        <w:rPr>
          <w:color w:val="231F20"/>
          <w:spacing w:val="-9"/>
        </w:rPr>
        <w:t> </w:t>
      </w:r>
      <w:r>
        <w:rPr>
          <w:color w:val="231F20"/>
          <w:spacing w:val="-2"/>
        </w:rPr>
        <w:t>exterior.</w:t>
      </w:r>
    </w:p>
    <w:p>
      <w:pPr>
        <w:pStyle w:val="BodyText"/>
        <w:spacing w:before="166"/>
        <w:ind w:left="409" w:right="1128"/>
      </w:pPr>
      <w:r>
        <w:rPr>
          <w:color w:val="231F20"/>
        </w:rPr>
        <w:t>Se</w:t>
      </w:r>
      <w:r>
        <w:rPr>
          <w:color w:val="231F20"/>
          <w:spacing w:val="40"/>
        </w:rPr>
        <w:t> </w:t>
      </w:r>
      <w:r>
        <w:rPr>
          <w:color w:val="231F20"/>
        </w:rPr>
        <w:t>han</w:t>
      </w:r>
      <w:r>
        <w:rPr>
          <w:color w:val="231F20"/>
          <w:spacing w:val="40"/>
        </w:rPr>
        <w:t> </w:t>
      </w:r>
      <w:r>
        <w:rPr>
          <w:color w:val="231F20"/>
        </w:rPr>
        <w:t>multiplicado</w:t>
      </w:r>
      <w:r>
        <w:rPr>
          <w:color w:val="231F20"/>
          <w:spacing w:val="40"/>
        </w:rPr>
        <w:t> </w:t>
      </w:r>
      <w:r>
        <w:rPr>
          <w:color w:val="231F20"/>
        </w:rPr>
        <w:t>las</w:t>
      </w:r>
      <w:r>
        <w:rPr>
          <w:color w:val="231F20"/>
          <w:spacing w:val="40"/>
        </w:rPr>
        <w:t> </w:t>
      </w:r>
      <w:r>
        <w:rPr>
          <w:color w:val="231F20"/>
        </w:rPr>
        <w:t>exigencias</w:t>
      </w:r>
      <w:r>
        <w:rPr>
          <w:color w:val="231F20"/>
          <w:spacing w:val="40"/>
        </w:rPr>
        <w:t> </w:t>
      </w:r>
      <w:r>
        <w:rPr>
          <w:color w:val="231F20"/>
        </w:rPr>
        <w:t>de las áreas de cumplimiento de los bancos corresponsales para el procesamiento de las operaciones bancarias, repercutiendo en el incremento de los requerimientos de información sobre las operaciones tramitadas por los clientes, no solo de los bancos corresponsales, sino también de los bancos intermediarios utilizados por estos y de los bancos beneficiarios.</w:t>
      </w:r>
    </w:p>
    <w:p>
      <w:pPr>
        <w:pStyle w:val="BodyText"/>
        <w:spacing w:before="168"/>
        <w:ind w:left="409" w:right="1133"/>
      </w:pPr>
      <w:r>
        <w:rPr>
          <w:color w:val="231F20"/>
        </w:rPr>
        <w:t>El endurecimiento de la aplicación extraterritorial del bloqueo en el ámbito financiero también afecta a las personas naturales. Se acumulan los reportes de cubanos residentes en el exterior que en cualquier</w:t>
      </w:r>
      <w:r>
        <w:rPr>
          <w:color w:val="231F20"/>
          <w:spacing w:val="-17"/>
        </w:rPr>
        <w:t> </w:t>
      </w:r>
      <w:r>
        <w:rPr>
          <w:color w:val="231F20"/>
        </w:rPr>
        <w:t>parte</w:t>
      </w:r>
      <w:r>
        <w:rPr>
          <w:color w:val="231F20"/>
          <w:spacing w:val="-16"/>
        </w:rPr>
        <w:t> </w:t>
      </w:r>
      <w:r>
        <w:rPr>
          <w:color w:val="231F20"/>
        </w:rPr>
        <w:t>del</w:t>
      </w:r>
      <w:r>
        <w:rPr>
          <w:color w:val="231F20"/>
          <w:spacing w:val="-17"/>
        </w:rPr>
        <w:t> </w:t>
      </w:r>
      <w:r>
        <w:rPr>
          <w:color w:val="231F20"/>
        </w:rPr>
        <w:t>mundo</w:t>
      </w:r>
      <w:r>
        <w:rPr>
          <w:color w:val="231F20"/>
          <w:spacing w:val="-16"/>
        </w:rPr>
        <w:t> </w:t>
      </w:r>
      <w:r>
        <w:rPr>
          <w:color w:val="231F20"/>
        </w:rPr>
        <w:t>son</w:t>
      </w:r>
      <w:r>
        <w:rPr>
          <w:color w:val="231F20"/>
          <w:spacing w:val="-17"/>
        </w:rPr>
        <w:t> </w:t>
      </w:r>
      <w:r>
        <w:rPr>
          <w:color w:val="231F20"/>
        </w:rPr>
        <w:t>víctimas</w:t>
      </w:r>
      <w:r>
        <w:rPr>
          <w:color w:val="231F20"/>
          <w:spacing w:val="-16"/>
        </w:rPr>
        <w:t> </w:t>
      </w:r>
      <w:r>
        <w:rPr>
          <w:color w:val="231F20"/>
        </w:rPr>
        <w:t>de </w:t>
      </w:r>
      <w:r>
        <w:rPr>
          <w:color w:val="231F20"/>
          <w:spacing w:val="-6"/>
        </w:rPr>
        <w:t>la</w:t>
      </w:r>
      <w:r>
        <w:rPr>
          <w:color w:val="231F20"/>
          <w:spacing w:val="-10"/>
        </w:rPr>
        <w:t> </w:t>
      </w:r>
      <w:r>
        <w:rPr>
          <w:color w:val="231F20"/>
          <w:spacing w:val="-6"/>
        </w:rPr>
        <w:t>negativa</w:t>
      </w:r>
      <w:r>
        <w:rPr>
          <w:color w:val="231F20"/>
          <w:spacing w:val="-10"/>
        </w:rPr>
        <w:t> </w:t>
      </w:r>
      <w:r>
        <w:rPr>
          <w:color w:val="231F20"/>
          <w:spacing w:val="-6"/>
        </w:rPr>
        <w:t>de</w:t>
      </w:r>
      <w:r>
        <w:rPr>
          <w:color w:val="231F20"/>
          <w:spacing w:val="-10"/>
        </w:rPr>
        <w:t> </w:t>
      </w:r>
      <w:r>
        <w:rPr>
          <w:color w:val="231F20"/>
          <w:spacing w:val="-6"/>
        </w:rPr>
        <w:t>sus</w:t>
      </w:r>
      <w:r>
        <w:rPr>
          <w:color w:val="231F20"/>
          <w:spacing w:val="-10"/>
        </w:rPr>
        <w:t> </w:t>
      </w:r>
      <w:r>
        <w:rPr>
          <w:color w:val="231F20"/>
          <w:spacing w:val="-6"/>
        </w:rPr>
        <w:t>bancos</w:t>
      </w:r>
      <w:r>
        <w:rPr>
          <w:color w:val="231F20"/>
          <w:spacing w:val="-10"/>
        </w:rPr>
        <w:t> </w:t>
      </w:r>
      <w:r>
        <w:rPr>
          <w:color w:val="231F20"/>
          <w:spacing w:val="-6"/>
        </w:rPr>
        <w:t>a</w:t>
      </w:r>
      <w:r>
        <w:rPr>
          <w:color w:val="231F20"/>
          <w:spacing w:val="-10"/>
        </w:rPr>
        <w:t> </w:t>
      </w:r>
      <w:r>
        <w:rPr>
          <w:color w:val="231F20"/>
          <w:spacing w:val="-6"/>
        </w:rPr>
        <w:t>operar</w:t>
      </w:r>
      <w:r>
        <w:rPr>
          <w:color w:val="231F20"/>
          <w:spacing w:val="-10"/>
        </w:rPr>
        <w:t> </w:t>
      </w:r>
      <w:r>
        <w:rPr>
          <w:color w:val="231F20"/>
          <w:spacing w:val="-6"/>
        </w:rPr>
        <w:t>o</w:t>
      </w:r>
      <w:r>
        <w:rPr>
          <w:color w:val="231F20"/>
          <w:spacing w:val="-10"/>
        </w:rPr>
        <w:t> </w:t>
      </w:r>
      <w:r>
        <w:rPr>
          <w:color w:val="231F20"/>
          <w:spacing w:val="-6"/>
        </w:rPr>
        <w:t>realizar </w:t>
      </w:r>
      <w:r>
        <w:rPr>
          <w:color w:val="231F20"/>
        </w:rPr>
        <w:t>transferencias vinculadas con el país.</w:t>
      </w:r>
    </w:p>
    <w:p>
      <w:pPr>
        <w:pStyle w:val="BodyText"/>
        <w:spacing w:before="166"/>
        <w:ind w:left="409" w:right="1128"/>
      </w:pPr>
      <w:r>
        <w:rPr>
          <w:color w:val="231F20"/>
          <w:spacing w:val="-2"/>
        </w:rPr>
        <w:t>En</w:t>
      </w:r>
      <w:r>
        <w:rPr>
          <w:color w:val="231F20"/>
          <w:spacing w:val="-15"/>
        </w:rPr>
        <w:t> </w:t>
      </w:r>
      <w:r>
        <w:rPr>
          <w:color w:val="231F20"/>
          <w:spacing w:val="-2"/>
        </w:rPr>
        <w:t>la</w:t>
      </w:r>
      <w:r>
        <w:rPr>
          <w:color w:val="231F20"/>
          <w:spacing w:val="-14"/>
        </w:rPr>
        <w:t> </w:t>
      </w:r>
      <w:r>
        <w:rPr>
          <w:color w:val="231F20"/>
          <w:spacing w:val="-2"/>
        </w:rPr>
        <w:t>etapa</w:t>
      </w:r>
      <w:r>
        <w:rPr>
          <w:color w:val="231F20"/>
          <w:spacing w:val="-15"/>
        </w:rPr>
        <w:t> </w:t>
      </w:r>
      <w:r>
        <w:rPr>
          <w:color w:val="231F20"/>
          <w:spacing w:val="-2"/>
        </w:rPr>
        <w:t>analizada,</w:t>
      </w:r>
      <w:r>
        <w:rPr>
          <w:color w:val="231F20"/>
          <w:spacing w:val="-14"/>
        </w:rPr>
        <w:t> </w:t>
      </w:r>
      <w:r>
        <w:rPr>
          <w:color w:val="231F20"/>
          <w:spacing w:val="-2"/>
        </w:rPr>
        <w:t>el</w:t>
      </w:r>
      <w:r>
        <w:rPr>
          <w:color w:val="231F20"/>
          <w:spacing w:val="-15"/>
        </w:rPr>
        <w:t> </w:t>
      </w:r>
      <w:r>
        <w:rPr>
          <w:color w:val="231F20"/>
          <w:spacing w:val="-2"/>
        </w:rPr>
        <w:t>número</w:t>
      </w:r>
      <w:r>
        <w:rPr>
          <w:color w:val="231F20"/>
          <w:spacing w:val="-14"/>
        </w:rPr>
        <w:t> </w:t>
      </w:r>
      <w:r>
        <w:rPr>
          <w:color w:val="231F20"/>
          <w:spacing w:val="-2"/>
        </w:rPr>
        <w:t>de</w:t>
      </w:r>
      <w:r>
        <w:rPr>
          <w:color w:val="231F20"/>
          <w:spacing w:val="-14"/>
        </w:rPr>
        <w:t> </w:t>
      </w:r>
      <w:r>
        <w:rPr>
          <w:color w:val="231F20"/>
          <w:spacing w:val="-2"/>
        </w:rPr>
        <w:t>bancos </w:t>
      </w:r>
      <w:r>
        <w:rPr>
          <w:color w:val="231F20"/>
        </w:rPr>
        <w:t>extranjeros que por diferentes motivos se negó a realizar operaciones con bancos cubanos ascendió a 130 (75 de Europa,</w:t>
      </w:r>
      <w:r>
        <w:rPr>
          <w:color w:val="231F20"/>
          <w:spacing w:val="40"/>
        </w:rPr>
        <w:t> </w:t>
      </w:r>
      <w:r>
        <w:rPr>
          <w:color w:val="231F20"/>
        </w:rPr>
        <w:t>21 de América y 34 del resto del mundo), con 267 operaciones involucradas.</w:t>
      </w:r>
    </w:p>
    <w:p>
      <w:pPr>
        <w:pStyle w:val="BodyText"/>
        <w:spacing w:before="165"/>
        <w:ind w:left="409" w:right="1129"/>
      </w:pPr>
      <w:r>
        <w:rPr>
          <w:color w:val="231F20"/>
        </w:rPr>
        <w:t>A continuación, se relacionan algunos ejemplos de aplicación extraterritorial del bloqueo</w:t>
      </w:r>
      <w:r>
        <w:rPr>
          <w:color w:val="231F20"/>
          <w:spacing w:val="-17"/>
        </w:rPr>
        <w:t> </w:t>
      </w:r>
      <w:r>
        <w:rPr>
          <w:color w:val="231F20"/>
        </w:rPr>
        <w:t>registrados</w:t>
      </w:r>
      <w:r>
        <w:rPr>
          <w:color w:val="231F20"/>
          <w:spacing w:val="-16"/>
        </w:rPr>
        <w:t> </w:t>
      </w:r>
      <w:r>
        <w:rPr>
          <w:color w:val="231F20"/>
        </w:rPr>
        <w:t>en</w:t>
      </w:r>
      <w:r>
        <w:rPr>
          <w:color w:val="231F20"/>
          <w:spacing w:val="-17"/>
        </w:rPr>
        <w:t> </w:t>
      </w:r>
      <w:r>
        <w:rPr>
          <w:color w:val="231F20"/>
        </w:rPr>
        <w:t>el</w:t>
      </w:r>
      <w:r>
        <w:rPr>
          <w:color w:val="231F20"/>
          <w:spacing w:val="-16"/>
        </w:rPr>
        <w:t> </w:t>
      </w:r>
      <w:r>
        <w:rPr>
          <w:color w:val="231F20"/>
        </w:rPr>
        <w:t>sector</w:t>
      </w:r>
      <w:r>
        <w:rPr>
          <w:color w:val="231F20"/>
          <w:spacing w:val="-17"/>
        </w:rPr>
        <w:t> </w:t>
      </w:r>
      <w:r>
        <w:rPr>
          <w:color w:val="231F20"/>
        </w:rPr>
        <w:t>bancario- financiero en el período analizado.</w:t>
      </w:r>
    </w:p>
    <w:p>
      <w:pPr>
        <w:pStyle w:val="Heading4"/>
        <w:spacing w:before="163"/>
        <w:ind w:left="409"/>
        <w:jc w:val="both"/>
      </w:pPr>
      <w:r>
        <w:rPr>
          <w:color w:val="231F20"/>
        </w:rPr>
        <w:t>Negativa</w:t>
      </w:r>
      <w:r>
        <w:rPr>
          <w:color w:val="231F20"/>
          <w:spacing w:val="13"/>
        </w:rPr>
        <w:t> </w:t>
      </w:r>
      <w:r>
        <w:rPr>
          <w:color w:val="231F20"/>
        </w:rPr>
        <w:t>a</w:t>
      </w:r>
      <w:r>
        <w:rPr>
          <w:color w:val="231F20"/>
          <w:spacing w:val="16"/>
        </w:rPr>
        <w:t> </w:t>
      </w:r>
      <w:r>
        <w:rPr>
          <w:color w:val="231F20"/>
        </w:rPr>
        <w:t>prestar</w:t>
      </w:r>
      <w:r>
        <w:rPr>
          <w:color w:val="231F20"/>
          <w:spacing w:val="16"/>
        </w:rPr>
        <w:t> </w:t>
      </w:r>
      <w:r>
        <w:rPr>
          <w:color w:val="231F20"/>
        </w:rPr>
        <w:t>servicios</w:t>
      </w:r>
      <w:r>
        <w:rPr>
          <w:color w:val="231F20"/>
          <w:spacing w:val="16"/>
        </w:rPr>
        <w:t> </w:t>
      </w:r>
      <w:r>
        <w:rPr>
          <w:color w:val="231F20"/>
          <w:spacing w:val="-2"/>
        </w:rPr>
        <w:t>bancarios:</w:t>
      </w:r>
    </w:p>
    <w:p>
      <w:pPr>
        <w:pStyle w:val="BodyText"/>
        <w:spacing w:before="161"/>
        <w:ind w:left="670" w:right="1131" w:hanging="261"/>
      </w:pPr>
      <w:r>
        <w:rPr>
          <w:position w:val="2"/>
        </w:rPr>
        <w:drawing>
          <wp:inline distT="0" distB="0" distL="0" distR="0">
            <wp:extent cx="59207" cy="59207"/>
            <wp:effectExtent l="0" t="0" r="0" b="0"/>
            <wp:docPr id="104" name="Image 104"/>
            <wp:cNvGraphicFramePr>
              <a:graphicFrameLocks/>
            </wp:cNvGraphicFramePr>
            <a:graphic>
              <a:graphicData uri="http://schemas.openxmlformats.org/drawingml/2006/picture">
                <pic:pic>
                  <pic:nvPicPr>
                    <pic:cNvPr id="104" name="Image 104"/>
                    <pic:cNvPicPr/>
                  </pic:nvPicPr>
                  <pic:blipFill>
                    <a:blip r:embed="rId11" cstate="print"/>
                    <a:stretch>
                      <a:fillRect/>
                    </a:stretch>
                  </pic:blipFill>
                  <pic:spPr>
                    <a:xfrm>
                      <a:off x="0" y="0"/>
                      <a:ext cx="59207" cy="59207"/>
                    </a:xfrm>
                    <a:prstGeom prst="rect">
                      <a:avLst/>
                    </a:prstGeom>
                  </pic:spPr>
                </pic:pic>
              </a:graphicData>
            </a:graphic>
          </wp:inline>
        </w:drawing>
      </w:r>
      <w:r>
        <w:rPr>
          <w:position w:val="2"/>
        </w:rPr>
      </w:r>
      <w:r>
        <w:rPr>
          <w:rFonts w:ascii="Times New Roman"/>
          <w:spacing w:val="-13"/>
          <w:sz w:val="20"/>
        </w:rPr>
        <w:t> </w:t>
      </w:r>
      <w:r>
        <w:rPr>
          <w:color w:val="231F20"/>
        </w:rPr>
        <w:t>Negativa</w:t>
      </w:r>
      <w:r>
        <w:rPr>
          <w:color w:val="231F20"/>
          <w:spacing w:val="-16"/>
        </w:rPr>
        <w:t> </w:t>
      </w:r>
      <w:r>
        <w:rPr>
          <w:color w:val="231F20"/>
        </w:rPr>
        <w:t>de</w:t>
      </w:r>
      <w:r>
        <w:rPr>
          <w:color w:val="231F20"/>
          <w:spacing w:val="-17"/>
        </w:rPr>
        <w:t> </w:t>
      </w:r>
      <w:r>
        <w:rPr>
          <w:color w:val="231F20"/>
        </w:rPr>
        <w:t>apertura</w:t>
      </w:r>
      <w:r>
        <w:rPr>
          <w:color w:val="231F20"/>
          <w:spacing w:val="-16"/>
        </w:rPr>
        <w:t> </w:t>
      </w:r>
      <w:r>
        <w:rPr>
          <w:color w:val="231F20"/>
        </w:rPr>
        <w:t>o</w:t>
      </w:r>
      <w:r>
        <w:rPr>
          <w:color w:val="231F20"/>
          <w:spacing w:val="-17"/>
        </w:rPr>
        <w:t> </w:t>
      </w:r>
      <w:r>
        <w:rPr>
          <w:color w:val="231F20"/>
        </w:rPr>
        <w:t>cierre</w:t>
      </w:r>
      <w:r>
        <w:rPr>
          <w:color w:val="231F20"/>
          <w:spacing w:val="-16"/>
        </w:rPr>
        <w:t> </w:t>
      </w:r>
      <w:r>
        <w:rPr>
          <w:color w:val="231F20"/>
        </w:rPr>
        <w:t>de</w:t>
      </w:r>
      <w:r>
        <w:rPr>
          <w:color w:val="231F20"/>
          <w:spacing w:val="-17"/>
        </w:rPr>
        <w:t> </w:t>
      </w:r>
      <w:r>
        <w:rPr>
          <w:color w:val="231F20"/>
        </w:rPr>
        <w:t>cuentas: 6</w:t>
      </w:r>
      <w:r>
        <w:rPr>
          <w:color w:val="231F20"/>
          <w:spacing w:val="-17"/>
        </w:rPr>
        <w:t> </w:t>
      </w:r>
      <w:r>
        <w:rPr>
          <w:color w:val="231F20"/>
        </w:rPr>
        <w:t>entidades</w:t>
      </w:r>
      <w:r>
        <w:rPr>
          <w:color w:val="231F20"/>
          <w:spacing w:val="-16"/>
        </w:rPr>
        <w:t> </w:t>
      </w:r>
      <w:r>
        <w:rPr>
          <w:color w:val="231F20"/>
        </w:rPr>
        <w:t>bancarias</w:t>
      </w:r>
      <w:r>
        <w:rPr>
          <w:color w:val="231F20"/>
          <w:spacing w:val="-17"/>
        </w:rPr>
        <w:t> </w:t>
      </w:r>
      <w:r>
        <w:rPr>
          <w:color w:val="231F20"/>
        </w:rPr>
        <w:t>extranjeras,</w:t>
      </w:r>
      <w:r>
        <w:rPr>
          <w:color w:val="231F20"/>
          <w:spacing w:val="-16"/>
        </w:rPr>
        <w:t> </w:t>
      </w:r>
      <w:r>
        <w:rPr>
          <w:color w:val="231F20"/>
        </w:rPr>
        <w:t>todas radicadas en Europa.</w:t>
      </w:r>
    </w:p>
    <w:p>
      <w:pPr>
        <w:spacing w:after="0"/>
        <w:sectPr>
          <w:pgSz w:w="11910" w:h="16840"/>
          <w:pgMar w:header="0" w:footer="695" w:top="1260" w:bottom="880" w:left="0" w:right="0"/>
          <w:cols w:num="2" w:equalWidth="0">
            <w:col w:w="5900" w:space="40"/>
            <w:col w:w="5970"/>
          </w:cols>
        </w:sectPr>
      </w:pPr>
    </w:p>
    <w:p>
      <w:pPr>
        <w:pStyle w:val="BodyText"/>
        <w:spacing w:before="77"/>
        <w:ind w:left="1394"/>
      </w:pPr>
      <w:r>
        <w:rPr/>
        <mc:AlternateContent>
          <mc:Choice Requires="wps">
            <w:drawing>
              <wp:anchor distT="0" distB="0" distL="0" distR="0" allowOverlap="1" layoutInCell="1" locked="0" behindDoc="0" simplePos="0" relativeHeight="15754752">
                <wp:simplePos x="0" y="0"/>
                <wp:positionH relativeFrom="page">
                  <wp:posOffset>719997</wp:posOffset>
                </wp:positionH>
                <wp:positionV relativeFrom="paragraph">
                  <wp:posOffset>131798</wp:posOffset>
                </wp:positionV>
                <wp:extent cx="59690" cy="59690"/>
                <wp:effectExtent l="0" t="0" r="0" b="0"/>
                <wp:wrapNone/>
                <wp:docPr id="105" name="Graphic 105"/>
                <wp:cNvGraphicFramePr>
                  <a:graphicFrameLocks/>
                </wp:cNvGraphicFramePr>
                <a:graphic>
                  <a:graphicData uri="http://schemas.microsoft.com/office/word/2010/wordprocessingShape">
                    <wps:wsp>
                      <wps:cNvPr id="105" name="Graphic 10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0.3778pt;width:4.7pt;height:4.7pt;mso-position-horizontal-relative:page;mso-position-vertical-relative:paragraph;z-index:15754752" id="docshape81" coordorigin="1134,208" coordsize="94,94" path="m1180,208l1162,211,1148,221,1138,236,1134,254,1138,272,1148,287,1162,297,1180,301,1199,297,1213,287,1223,272,1227,254,1223,236,1213,221,1199,211,1180,208xe" filled="true" fillcolor="#1a4796" stroked="false">
                <v:path arrowok="t"/>
                <v:fill type="solid"/>
                <w10:wrap type="none"/>
              </v:shape>
            </w:pict>
          </mc:Fallback>
        </mc:AlternateContent>
      </w:r>
      <w:r>
        <w:rPr>
          <w:color w:val="231F20"/>
        </w:rPr>
        <w:t>Negativa a realizar transferencias de fondos desde o hacia Cuba y a prestar otros servicios bancarios: 35 entidades, de ellas: 21 europeas, 9 de América y </w:t>
      </w:r>
      <w:r>
        <w:rPr>
          <w:color w:val="231F20"/>
        </w:rPr>
        <w:t>5 del resto del mundo.</w:t>
      </w:r>
    </w:p>
    <w:p>
      <w:pPr>
        <w:pStyle w:val="ListParagraph"/>
        <w:numPr>
          <w:ilvl w:val="0"/>
          <w:numId w:val="4"/>
        </w:numPr>
        <w:tabs>
          <w:tab w:pos="1623" w:val="left" w:leader="none"/>
        </w:tabs>
        <w:spacing w:line="240" w:lineRule="auto" w:before="159" w:after="0"/>
        <w:ind w:left="1394" w:right="0" w:firstLine="0"/>
        <w:jc w:val="both"/>
        <w:rPr>
          <w:rFonts w:ascii="Segoe UI Black" w:hAnsi="Segoe UI Black"/>
          <w:b/>
          <w:color w:val="231F20"/>
          <w:sz w:val="24"/>
        </w:rPr>
      </w:pPr>
      <w:r>
        <w:rPr>
          <w:color w:val="231F20"/>
          <w:spacing w:val="-4"/>
          <w:sz w:val="24"/>
        </w:rPr>
        <w:t>Como</w:t>
      </w:r>
      <w:r>
        <w:rPr>
          <w:color w:val="231F20"/>
          <w:spacing w:val="-12"/>
          <w:sz w:val="24"/>
        </w:rPr>
        <w:t> </w:t>
      </w:r>
      <w:r>
        <w:rPr>
          <w:color w:val="231F20"/>
          <w:spacing w:val="-4"/>
          <w:sz w:val="24"/>
        </w:rPr>
        <w:t>consecuencia</w:t>
      </w:r>
      <w:r>
        <w:rPr>
          <w:color w:val="231F20"/>
          <w:spacing w:val="-12"/>
          <w:sz w:val="24"/>
        </w:rPr>
        <w:t> </w:t>
      </w:r>
      <w:r>
        <w:rPr>
          <w:color w:val="231F20"/>
          <w:spacing w:val="-4"/>
          <w:sz w:val="24"/>
        </w:rPr>
        <w:t>de</w:t>
      </w:r>
      <w:r>
        <w:rPr>
          <w:color w:val="231F20"/>
          <w:spacing w:val="-12"/>
          <w:sz w:val="24"/>
        </w:rPr>
        <w:t> </w:t>
      </w:r>
      <w:r>
        <w:rPr>
          <w:color w:val="231F20"/>
          <w:spacing w:val="-4"/>
          <w:sz w:val="24"/>
        </w:rPr>
        <w:t>estas</w:t>
      </w:r>
      <w:r>
        <w:rPr>
          <w:color w:val="231F20"/>
          <w:spacing w:val="-12"/>
          <w:sz w:val="24"/>
        </w:rPr>
        <w:t> </w:t>
      </w:r>
      <w:r>
        <w:rPr>
          <w:color w:val="231F20"/>
          <w:spacing w:val="-4"/>
          <w:sz w:val="24"/>
        </w:rPr>
        <w:t>acciones, </w:t>
      </w:r>
      <w:r>
        <w:rPr>
          <w:color w:val="231F20"/>
          <w:sz w:val="24"/>
        </w:rPr>
        <w:t>fue cancelada la membresía de Cuba en el Centro de Estudios Monetarios </w:t>
      </w:r>
      <w:r>
        <w:rPr>
          <w:color w:val="231F20"/>
          <w:spacing w:val="-6"/>
          <w:sz w:val="24"/>
        </w:rPr>
        <w:t>Latinoamericanos</w:t>
      </w:r>
      <w:r>
        <w:rPr>
          <w:color w:val="231F20"/>
          <w:spacing w:val="-8"/>
          <w:sz w:val="24"/>
        </w:rPr>
        <w:t> </w:t>
      </w:r>
      <w:r>
        <w:rPr>
          <w:color w:val="231F20"/>
          <w:spacing w:val="-6"/>
          <w:sz w:val="24"/>
        </w:rPr>
        <w:t>(CEMLA),</w:t>
      </w:r>
      <w:r>
        <w:rPr>
          <w:color w:val="231F20"/>
          <w:spacing w:val="-8"/>
          <w:sz w:val="24"/>
        </w:rPr>
        <w:t> </w:t>
      </w:r>
      <w:r>
        <w:rPr>
          <w:color w:val="231F20"/>
          <w:spacing w:val="-6"/>
          <w:sz w:val="24"/>
        </w:rPr>
        <w:t>al</w:t>
      </w:r>
      <w:r>
        <w:rPr>
          <w:color w:val="231F20"/>
          <w:spacing w:val="-8"/>
          <w:sz w:val="24"/>
        </w:rPr>
        <w:t> </w:t>
      </w:r>
      <w:r>
        <w:rPr>
          <w:color w:val="231F20"/>
          <w:spacing w:val="-6"/>
          <w:sz w:val="24"/>
        </w:rPr>
        <w:t>no</w:t>
      </w:r>
      <w:r>
        <w:rPr>
          <w:color w:val="231F20"/>
          <w:spacing w:val="-8"/>
          <w:sz w:val="24"/>
        </w:rPr>
        <w:t> </w:t>
      </w:r>
      <w:r>
        <w:rPr>
          <w:color w:val="231F20"/>
          <w:spacing w:val="-6"/>
          <w:sz w:val="24"/>
        </w:rPr>
        <w:t>haberse abonado</w:t>
      </w:r>
      <w:r>
        <w:rPr>
          <w:color w:val="231F20"/>
          <w:spacing w:val="-11"/>
          <w:sz w:val="24"/>
        </w:rPr>
        <w:t> </w:t>
      </w:r>
      <w:r>
        <w:rPr>
          <w:color w:val="231F20"/>
          <w:spacing w:val="-6"/>
          <w:sz w:val="24"/>
        </w:rPr>
        <w:t>parcialmente</w:t>
      </w:r>
      <w:r>
        <w:rPr>
          <w:color w:val="231F20"/>
          <w:spacing w:val="-10"/>
          <w:sz w:val="24"/>
        </w:rPr>
        <w:t> </w:t>
      </w:r>
      <w:r>
        <w:rPr>
          <w:color w:val="231F20"/>
          <w:spacing w:val="-6"/>
          <w:sz w:val="24"/>
        </w:rPr>
        <w:t>la</w:t>
      </w:r>
      <w:r>
        <w:rPr>
          <w:color w:val="231F20"/>
          <w:spacing w:val="-11"/>
          <w:sz w:val="24"/>
        </w:rPr>
        <w:t> </w:t>
      </w:r>
      <w:r>
        <w:rPr>
          <w:color w:val="231F20"/>
          <w:spacing w:val="-6"/>
          <w:sz w:val="24"/>
        </w:rPr>
        <w:t>cuota</w:t>
      </w:r>
      <w:r>
        <w:rPr>
          <w:color w:val="231F20"/>
          <w:spacing w:val="-10"/>
          <w:sz w:val="24"/>
        </w:rPr>
        <w:t> </w:t>
      </w:r>
      <w:r>
        <w:rPr>
          <w:color w:val="231F20"/>
          <w:spacing w:val="-6"/>
          <w:sz w:val="24"/>
        </w:rPr>
        <w:t>de</w:t>
      </w:r>
      <w:r>
        <w:rPr>
          <w:color w:val="231F20"/>
          <w:spacing w:val="-11"/>
          <w:sz w:val="24"/>
        </w:rPr>
        <w:t> </w:t>
      </w:r>
      <w:r>
        <w:rPr>
          <w:color w:val="231F20"/>
          <w:spacing w:val="-6"/>
          <w:sz w:val="24"/>
        </w:rPr>
        <w:t>2021</w:t>
      </w:r>
      <w:r>
        <w:rPr>
          <w:color w:val="231F20"/>
          <w:spacing w:val="-10"/>
          <w:sz w:val="24"/>
        </w:rPr>
        <w:t> </w:t>
      </w:r>
      <w:r>
        <w:rPr>
          <w:color w:val="231F20"/>
          <w:spacing w:val="-6"/>
          <w:sz w:val="24"/>
        </w:rPr>
        <w:t>e </w:t>
      </w:r>
      <w:r>
        <w:rPr>
          <w:color w:val="231F20"/>
          <w:sz w:val="24"/>
        </w:rPr>
        <w:t>íntegramente la del 2022.</w:t>
      </w:r>
    </w:p>
    <w:p>
      <w:pPr>
        <w:pStyle w:val="ListParagraph"/>
        <w:numPr>
          <w:ilvl w:val="0"/>
          <w:numId w:val="4"/>
        </w:numPr>
        <w:tabs>
          <w:tab w:pos="1634" w:val="left" w:leader="none"/>
        </w:tabs>
        <w:spacing w:line="240" w:lineRule="auto" w:before="164" w:after="0"/>
        <w:ind w:left="1394" w:right="0" w:firstLine="0"/>
        <w:jc w:val="both"/>
        <w:rPr>
          <w:b/>
          <w:color w:val="231F20"/>
          <w:sz w:val="24"/>
        </w:rPr>
      </w:pPr>
      <w:r>
        <w:rPr>
          <w:color w:val="231F20"/>
          <w:sz w:val="24"/>
        </w:rPr>
        <w:t>Actualmente, más de 50 misiones diplomáticas cubanas en el exterior</w:t>
      </w:r>
      <w:r>
        <w:rPr>
          <w:color w:val="231F20"/>
          <w:spacing w:val="40"/>
          <w:sz w:val="24"/>
        </w:rPr>
        <w:t> </w:t>
      </w:r>
      <w:r>
        <w:rPr>
          <w:color w:val="231F20"/>
          <w:sz w:val="24"/>
        </w:rPr>
        <w:t>han perdido la relación con los bancos que tradicionalmente les prestaban estos</w:t>
      </w:r>
      <w:r>
        <w:rPr>
          <w:color w:val="231F20"/>
          <w:spacing w:val="40"/>
          <w:sz w:val="24"/>
        </w:rPr>
        <w:t> </w:t>
      </w:r>
      <w:r>
        <w:rPr>
          <w:color w:val="231F20"/>
          <w:sz w:val="24"/>
        </w:rPr>
        <w:t>servicios.</w:t>
      </w:r>
      <w:r>
        <w:rPr>
          <w:color w:val="231F20"/>
          <w:spacing w:val="40"/>
          <w:sz w:val="24"/>
        </w:rPr>
        <w:t> </w:t>
      </w:r>
      <w:r>
        <w:rPr>
          <w:color w:val="231F20"/>
          <w:sz w:val="24"/>
        </w:rPr>
        <w:t>Por</w:t>
      </w:r>
      <w:r>
        <w:rPr>
          <w:color w:val="231F20"/>
          <w:spacing w:val="40"/>
          <w:sz w:val="24"/>
        </w:rPr>
        <w:t> </w:t>
      </w:r>
      <w:r>
        <w:rPr>
          <w:color w:val="231F20"/>
          <w:sz w:val="24"/>
        </w:rPr>
        <w:t>tanto,</w:t>
      </w:r>
      <w:r>
        <w:rPr>
          <w:color w:val="231F20"/>
          <w:spacing w:val="40"/>
          <w:sz w:val="24"/>
        </w:rPr>
        <w:t> </w:t>
      </w:r>
      <w:r>
        <w:rPr>
          <w:color w:val="231F20"/>
          <w:sz w:val="24"/>
        </w:rPr>
        <w:t>se</w:t>
      </w:r>
      <w:r>
        <w:rPr>
          <w:color w:val="231F20"/>
          <w:spacing w:val="40"/>
          <w:sz w:val="24"/>
        </w:rPr>
        <w:t> </w:t>
      </w:r>
      <w:r>
        <w:rPr>
          <w:color w:val="231F20"/>
          <w:sz w:val="24"/>
        </w:rPr>
        <w:t>han</w:t>
      </w:r>
      <w:r>
        <w:rPr>
          <w:color w:val="231F20"/>
          <w:spacing w:val="40"/>
          <w:sz w:val="24"/>
        </w:rPr>
        <w:t> </w:t>
      </w:r>
      <w:r>
        <w:rPr>
          <w:color w:val="231F20"/>
          <w:sz w:val="24"/>
        </w:rPr>
        <w:t>visto imposibilitadas de realizar las operaciones bancario-financieras que aseguran su normal funcionamiento.</w:t>
      </w:r>
    </w:p>
    <w:p>
      <w:pPr>
        <w:pStyle w:val="BodyText"/>
        <w:spacing w:before="167"/>
        <w:ind w:left="1394" w:right="4"/>
      </w:pPr>
      <w:r>
        <w:rPr/>
        <mc:AlternateContent>
          <mc:Choice Requires="wps">
            <w:drawing>
              <wp:anchor distT="0" distB="0" distL="0" distR="0" allowOverlap="1" layoutInCell="1" locked="0" behindDoc="0" simplePos="0" relativeHeight="15755776">
                <wp:simplePos x="0" y="0"/>
                <wp:positionH relativeFrom="page">
                  <wp:posOffset>719997</wp:posOffset>
                </wp:positionH>
                <wp:positionV relativeFrom="paragraph">
                  <wp:posOffset>190494</wp:posOffset>
                </wp:positionV>
                <wp:extent cx="59690" cy="59690"/>
                <wp:effectExtent l="0" t="0" r="0" b="0"/>
                <wp:wrapNone/>
                <wp:docPr id="106" name="Graphic 106"/>
                <wp:cNvGraphicFramePr>
                  <a:graphicFrameLocks/>
                </wp:cNvGraphicFramePr>
                <a:graphic>
                  <a:graphicData uri="http://schemas.microsoft.com/office/word/2010/wordprocessingShape">
                    <wps:wsp>
                      <wps:cNvPr id="106" name="Graphic 10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999594pt;width:4.7pt;height:4.7pt;mso-position-horizontal-relative:page;mso-position-vertical-relative:paragraph;z-index:15755776" id="docshape82" coordorigin="1134,300" coordsize="94,94" path="m1180,300l1162,304,1148,314,1138,328,1134,347,1138,365,1148,380,1162,390,1180,393,1199,390,1213,380,1223,365,1227,347,1223,328,1213,314,1199,304,1180,300xe" filled="true" fillcolor="#1a4796" stroked="false">
                <v:path arrowok="t"/>
                <v:fill type="solid"/>
                <w10:wrap type="none"/>
              </v:shape>
            </w:pict>
          </mc:Fallback>
        </mc:AlternateContent>
      </w:r>
      <w:r>
        <w:rPr>
          <w:color w:val="231F20"/>
        </w:rPr>
        <w:t>Cancelación o negativa de solicitud de </w:t>
      </w:r>
      <w:r>
        <w:rPr>
          <w:color w:val="231F20"/>
          <w:spacing w:val="-4"/>
        </w:rPr>
        <w:t>claves</w:t>
      </w:r>
      <w:r>
        <w:rPr>
          <w:color w:val="231F20"/>
          <w:spacing w:val="-13"/>
        </w:rPr>
        <w:t> </w:t>
      </w:r>
      <w:r>
        <w:rPr>
          <w:color w:val="231F20"/>
          <w:spacing w:val="-4"/>
        </w:rPr>
        <w:t>de</w:t>
      </w:r>
      <w:r>
        <w:rPr>
          <w:color w:val="231F20"/>
          <w:spacing w:val="-12"/>
        </w:rPr>
        <w:t> </w:t>
      </w:r>
      <w:r>
        <w:rPr>
          <w:color w:val="231F20"/>
          <w:spacing w:val="-4"/>
        </w:rPr>
        <w:t>mensajería</w:t>
      </w:r>
      <w:r>
        <w:rPr>
          <w:color w:val="231F20"/>
          <w:spacing w:val="-13"/>
        </w:rPr>
        <w:t> </w:t>
      </w:r>
      <w:r>
        <w:rPr>
          <w:color w:val="231F20"/>
          <w:spacing w:val="-4"/>
        </w:rPr>
        <w:t>SWIFT</w:t>
      </w:r>
      <w:r>
        <w:rPr>
          <w:color w:val="231F20"/>
          <w:spacing w:val="-4"/>
          <w:position w:val="8"/>
          <w:sz w:val="14"/>
        </w:rPr>
        <w:t>2</w:t>
      </w:r>
      <w:r>
        <w:rPr>
          <w:color w:val="231F20"/>
          <w:spacing w:val="-5"/>
          <w:position w:val="8"/>
          <w:sz w:val="14"/>
        </w:rPr>
        <w:t> </w:t>
      </w:r>
      <w:r>
        <w:rPr>
          <w:color w:val="231F20"/>
          <w:spacing w:val="-4"/>
        </w:rPr>
        <w:t>por</w:t>
      </w:r>
      <w:r>
        <w:rPr>
          <w:color w:val="231F20"/>
          <w:spacing w:val="-13"/>
        </w:rPr>
        <w:t> </w:t>
      </w:r>
      <w:r>
        <w:rPr>
          <w:color w:val="231F20"/>
          <w:spacing w:val="-4"/>
        </w:rPr>
        <w:t>parte</w:t>
      </w:r>
      <w:r>
        <w:rPr>
          <w:color w:val="231F20"/>
          <w:spacing w:val="-12"/>
        </w:rPr>
        <w:t> </w:t>
      </w:r>
      <w:r>
        <w:rPr>
          <w:color w:val="231F20"/>
          <w:spacing w:val="-4"/>
        </w:rPr>
        <w:t>de </w:t>
      </w:r>
      <w:r>
        <w:rPr>
          <w:color w:val="231F20"/>
        </w:rPr>
        <w:t>bancos</w:t>
      </w:r>
      <w:r>
        <w:rPr>
          <w:color w:val="231F20"/>
          <w:spacing w:val="-14"/>
        </w:rPr>
        <w:t> </w:t>
      </w:r>
      <w:r>
        <w:rPr>
          <w:color w:val="231F20"/>
        </w:rPr>
        <w:t>foráneos:</w:t>
      </w:r>
      <w:r>
        <w:rPr>
          <w:color w:val="231F20"/>
          <w:spacing w:val="-14"/>
        </w:rPr>
        <w:t> </w:t>
      </w:r>
      <w:r>
        <w:rPr>
          <w:color w:val="231F20"/>
        </w:rPr>
        <w:t>28</w:t>
      </w:r>
      <w:r>
        <w:rPr>
          <w:color w:val="231F20"/>
          <w:spacing w:val="-14"/>
        </w:rPr>
        <w:t> </w:t>
      </w:r>
      <w:r>
        <w:rPr>
          <w:color w:val="231F20"/>
        </w:rPr>
        <w:t>entidades,</w:t>
      </w:r>
      <w:r>
        <w:rPr>
          <w:color w:val="231F20"/>
          <w:spacing w:val="-14"/>
        </w:rPr>
        <w:t> </w:t>
      </w:r>
      <w:r>
        <w:rPr>
          <w:color w:val="231F20"/>
        </w:rPr>
        <w:t>de</w:t>
      </w:r>
      <w:r>
        <w:rPr>
          <w:color w:val="231F20"/>
          <w:spacing w:val="-14"/>
        </w:rPr>
        <w:t> </w:t>
      </w:r>
      <w:r>
        <w:rPr>
          <w:color w:val="231F20"/>
        </w:rPr>
        <w:t>ellas: 17</w:t>
      </w:r>
      <w:r>
        <w:rPr>
          <w:color w:val="231F20"/>
          <w:spacing w:val="-7"/>
        </w:rPr>
        <w:t> </w:t>
      </w:r>
      <w:r>
        <w:rPr>
          <w:color w:val="231F20"/>
        </w:rPr>
        <w:t>europeas,</w:t>
      </w:r>
      <w:r>
        <w:rPr>
          <w:color w:val="231F20"/>
          <w:spacing w:val="-7"/>
        </w:rPr>
        <w:t> </w:t>
      </w:r>
      <w:r>
        <w:rPr>
          <w:color w:val="231F20"/>
        </w:rPr>
        <w:t>2</w:t>
      </w:r>
      <w:r>
        <w:rPr>
          <w:color w:val="231F20"/>
          <w:spacing w:val="-7"/>
        </w:rPr>
        <w:t> </w:t>
      </w:r>
      <w:r>
        <w:rPr>
          <w:color w:val="231F20"/>
        </w:rPr>
        <w:t>de</w:t>
      </w:r>
      <w:r>
        <w:rPr>
          <w:color w:val="231F20"/>
          <w:spacing w:val="-7"/>
        </w:rPr>
        <w:t> </w:t>
      </w:r>
      <w:r>
        <w:rPr>
          <w:color w:val="231F20"/>
        </w:rPr>
        <w:t>América</w:t>
      </w:r>
      <w:r>
        <w:rPr>
          <w:color w:val="231F20"/>
          <w:spacing w:val="-7"/>
        </w:rPr>
        <w:t> </w:t>
      </w:r>
      <w:r>
        <w:rPr>
          <w:color w:val="231F20"/>
        </w:rPr>
        <w:t>y</w:t>
      </w:r>
      <w:r>
        <w:rPr>
          <w:color w:val="231F20"/>
          <w:spacing w:val="-7"/>
        </w:rPr>
        <w:t> </w:t>
      </w:r>
      <w:r>
        <w:rPr>
          <w:color w:val="231F20"/>
        </w:rPr>
        <w:t>9</w:t>
      </w:r>
      <w:r>
        <w:rPr>
          <w:color w:val="231F20"/>
          <w:spacing w:val="-7"/>
        </w:rPr>
        <w:t> </w:t>
      </w:r>
      <w:r>
        <w:rPr>
          <w:color w:val="231F20"/>
        </w:rPr>
        <w:t>del</w:t>
      </w:r>
      <w:r>
        <w:rPr>
          <w:color w:val="231F20"/>
          <w:spacing w:val="-7"/>
        </w:rPr>
        <w:t> </w:t>
      </w:r>
      <w:r>
        <w:rPr>
          <w:color w:val="231F20"/>
        </w:rPr>
        <w:t>resto </w:t>
      </w:r>
      <w:r>
        <w:rPr>
          <w:color w:val="231F20"/>
          <w:spacing w:val="-4"/>
        </w:rPr>
        <w:t>del</w:t>
      </w:r>
      <w:r>
        <w:rPr>
          <w:color w:val="231F20"/>
          <w:spacing w:val="-13"/>
        </w:rPr>
        <w:t> </w:t>
      </w:r>
      <w:r>
        <w:rPr>
          <w:color w:val="231F20"/>
          <w:spacing w:val="-4"/>
        </w:rPr>
        <w:t>mundo.</w:t>
      </w:r>
      <w:r>
        <w:rPr>
          <w:color w:val="231F20"/>
          <w:spacing w:val="-12"/>
        </w:rPr>
        <w:t> </w:t>
      </w:r>
      <w:r>
        <w:rPr>
          <w:color w:val="231F20"/>
          <w:spacing w:val="-4"/>
        </w:rPr>
        <w:t>Estas</w:t>
      </w:r>
      <w:r>
        <w:rPr>
          <w:color w:val="231F20"/>
          <w:spacing w:val="-13"/>
        </w:rPr>
        <w:t> </w:t>
      </w:r>
      <w:r>
        <w:rPr>
          <w:color w:val="231F20"/>
          <w:spacing w:val="-4"/>
        </w:rPr>
        <w:t>cancelaciones</w:t>
      </w:r>
      <w:r>
        <w:rPr>
          <w:color w:val="231F20"/>
          <w:spacing w:val="-12"/>
        </w:rPr>
        <w:t> </w:t>
      </w:r>
      <w:r>
        <w:rPr>
          <w:color w:val="231F20"/>
          <w:spacing w:val="-4"/>
        </w:rPr>
        <w:t>de</w:t>
      </w:r>
      <w:r>
        <w:rPr>
          <w:color w:val="231F20"/>
          <w:spacing w:val="-13"/>
        </w:rPr>
        <w:t> </w:t>
      </w:r>
      <w:r>
        <w:rPr>
          <w:color w:val="231F20"/>
          <w:spacing w:val="-4"/>
        </w:rPr>
        <w:t>claves </w:t>
      </w:r>
      <w:r>
        <w:rPr>
          <w:color w:val="231F20"/>
        </w:rPr>
        <w:t>originan dificultades y demoras en la </w:t>
      </w:r>
      <w:r>
        <w:rPr>
          <w:color w:val="231F20"/>
          <w:spacing w:val="-4"/>
        </w:rPr>
        <w:t>tramitación</w:t>
      </w:r>
      <w:r>
        <w:rPr>
          <w:color w:val="231F20"/>
          <w:spacing w:val="-12"/>
        </w:rPr>
        <w:t> </w:t>
      </w:r>
      <w:r>
        <w:rPr>
          <w:color w:val="231F20"/>
          <w:spacing w:val="-4"/>
        </w:rPr>
        <w:t>de</w:t>
      </w:r>
      <w:r>
        <w:rPr>
          <w:color w:val="231F20"/>
          <w:spacing w:val="-12"/>
        </w:rPr>
        <w:t> </w:t>
      </w:r>
      <w:r>
        <w:rPr>
          <w:color w:val="231F20"/>
          <w:spacing w:val="-4"/>
        </w:rPr>
        <w:t>las</w:t>
      </w:r>
      <w:r>
        <w:rPr>
          <w:color w:val="231F20"/>
          <w:spacing w:val="-12"/>
        </w:rPr>
        <w:t> </w:t>
      </w:r>
      <w:r>
        <w:rPr>
          <w:color w:val="231F20"/>
          <w:spacing w:val="-4"/>
        </w:rPr>
        <w:t>operaciones</w:t>
      </w:r>
      <w:r>
        <w:rPr>
          <w:color w:val="231F20"/>
          <w:spacing w:val="-11"/>
        </w:rPr>
        <w:t> </w:t>
      </w:r>
      <w:r>
        <w:rPr>
          <w:color w:val="231F20"/>
          <w:spacing w:val="-6"/>
        </w:rPr>
        <w:t>bancarias.</w:t>
      </w:r>
    </w:p>
    <w:p>
      <w:pPr>
        <w:pStyle w:val="BodyText"/>
        <w:spacing w:before="165"/>
        <w:ind w:left="1394" w:right="4"/>
      </w:pPr>
      <w:r>
        <w:rPr/>
        <mc:AlternateContent>
          <mc:Choice Requires="wps">
            <w:drawing>
              <wp:anchor distT="0" distB="0" distL="0" distR="0" allowOverlap="1" layoutInCell="1" locked="0" behindDoc="0" simplePos="0" relativeHeight="15756288">
                <wp:simplePos x="0" y="0"/>
                <wp:positionH relativeFrom="page">
                  <wp:posOffset>719997</wp:posOffset>
                </wp:positionH>
                <wp:positionV relativeFrom="paragraph">
                  <wp:posOffset>187045</wp:posOffset>
                </wp:positionV>
                <wp:extent cx="59690" cy="59690"/>
                <wp:effectExtent l="0" t="0" r="0" b="0"/>
                <wp:wrapNone/>
                <wp:docPr id="107" name="Graphic 107"/>
                <wp:cNvGraphicFramePr>
                  <a:graphicFrameLocks/>
                </wp:cNvGraphicFramePr>
                <a:graphic>
                  <a:graphicData uri="http://schemas.microsoft.com/office/word/2010/wordprocessingShape">
                    <wps:wsp>
                      <wps:cNvPr id="107" name="Graphic 10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728031pt;width:4.7pt;height:4.7pt;mso-position-horizontal-relative:page;mso-position-vertical-relative:paragraph;z-index:15756288" id="docshape83" coordorigin="1134,295" coordsize="94,94" path="m1180,295l1162,298,1148,308,1138,323,1134,341,1138,359,1148,374,1162,384,1180,388,1199,384,1213,374,1223,359,1227,341,1223,323,1213,308,1199,298,1180,295xe" filled="true" fillcolor="#1a4796" stroked="false">
                <v:path arrowok="t"/>
                <v:fill type="solid"/>
                <w10:wrap type="none"/>
              </v:shape>
            </w:pict>
          </mc:Fallback>
        </mc:AlternateContent>
      </w:r>
      <w:r>
        <w:rPr>
          <w:color w:val="231F20"/>
          <w:spacing w:val="-4"/>
        </w:rPr>
        <w:t>Devolución</w:t>
      </w:r>
      <w:r>
        <w:rPr>
          <w:color w:val="231F20"/>
          <w:spacing w:val="-13"/>
        </w:rPr>
        <w:t> </w:t>
      </w:r>
      <w:r>
        <w:rPr>
          <w:color w:val="231F20"/>
          <w:spacing w:val="-4"/>
        </w:rPr>
        <w:t>de</w:t>
      </w:r>
      <w:r>
        <w:rPr>
          <w:color w:val="231F20"/>
          <w:spacing w:val="-12"/>
        </w:rPr>
        <w:t> </w:t>
      </w:r>
      <w:r>
        <w:rPr>
          <w:color w:val="231F20"/>
          <w:spacing w:val="-4"/>
        </w:rPr>
        <w:t>operaciones</w:t>
      </w:r>
      <w:r>
        <w:rPr>
          <w:color w:val="231F20"/>
          <w:spacing w:val="-13"/>
        </w:rPr>
        <w:t> </w:t>
      </w:r>
      <w:r>
        <w:rPr>
          <w:color w:val="231F20"/>
          <w:spacing w:val="-4"/>
        </w:rPr>
        <w:t>bancarias:</w:t>
      </w:r>
      <w:r>
        <w:rPr>
          <w:color w:val="231F20"/>
          <w:spacing w:val="-12"/>
        </w:rPr>
        <w:t> </w:t>
      </w:r>
      <w:r>
        <w:rPr>
          <w:color w:val="231F20"/>
          <w:spacing w:val="-4"/>
        </w:rPr>
        <w:t>59 </w:t>
      </w:r>
      <w:r>
        <w:rPr>
          <w:color w:val="231F20"/>
        </w:rPr>
        <w:t>entidades,</w:t>
      </w:r>
      <w:r>
        <w:rPr>
          <w:color w:val="231F20"/>
          <w:spacing w:val="-9"/>
        </w:rPr>
        <w:t> </w:t>
      </w:r>
      <w:r>
        <w:rPr>
          <w:color w:val="231F20"/>
        </w:rPr>
        <w:t>de</w:t>
      </w:r>
      <w:r>
        <w:rPr>
          <w:color w:val="231F20"/>
          <w:spacing w:val="-9"/>
        </w:rPr>
        <w:t> </w:t>
      </w:r>
      <w:r>
        <w:rPr>
          <w:color w:val="231F20"/>
        </w:rPr>
        <w:t>ellas:</w:t>
      </w:r>
      <w:r>
        <w:rPr>
          <w:color w:val="231F20"/>
          <w:spacing w:val="-9"/>
        </w:rPr>
        <w:t> </w:t>
      </w:r>
      <w:r>
        <w:rPr>
          <w:color w:val="231F20"/>
        </w:rPr>
        <w:t>29</w:t>
      </w:r>
      <w:r>
        <w:rPr>
          <w:color w:val="231F20"/>
          <w:spacing w:val="-9"/>
        </w:rPr>
        <w:t> </w:t>
      </w:r>
      <w:r>
        <w:rPr>
          <w:color w:val="231F20"/>
        </w:rPr>
        <w:t>de</w:t>
      </w:r>
      <w:r>
        <w:rPr>
          <w:color w:val="231F20"/>
          <w:spacing w:val="-9"/>
        </w:rPr>
        <w:t> </w:t>
      </w:r>
      <w:r>
        <w:rPr>
          <w:color w:val="231F20"/>
        </w:rPr>
        <w:t>Europa,</w:t>
      </w:r>
      <w:r>
        <w:rPr>
          <w:color w:val="231F20"/>
          <w:spacing w:val="-9"/>
        </w:rPr>
        <w:t> </w:t>
      </w:r>
      <w:r>
        <w:rPr>
          <w:color w:val="231F20"/>
        </w:rPr>
        <w:t>10</w:t>
      </w:r>
      <w:r>
        <w:rPr>
          <w:color w:val="231F20"/>
          <w:spacing w:val="-9"/>
        </w:rPr>
        <w:t> </w:t>
      </w:r>
      <w:r>
        <w:rPr>
          <w:color w:val="231F20"/>
        </w:rPr>
        <w:t>de </w:t>
      </w:r>
      <w:r>
        <w:rPr>
          <w:color w:val="231F20"/>
          <w:spacing w:val="-4"/>
        </w:rPr>
        <w:t>América</w:t>
      </w:r>
      <w:r>
        <w:rPr>
          <w:color w:val="231F20"/>
          <w:spacing w:val="-11"/>
        </w:rPr>
        <w:t> </w:t>
      </w:r>
      <w:r>
        <w:rPr>
          <w:color w:val="231F20"/>
          <w:spacing w:val="-4"/>
        </w:rPr>
        <w:t>Latina</w:t>
      </w:r>
      <w:r>
        <w:rPr>
          <w:color w:val="231F20"/>
          <w:spacing w:val="-11"/>
        </w:rPr>
        <w:t> </w:t>
      </w:r>
      <w:r>
        <w:rPr>
          <w:color w:val="231F20"/>
          <w:spacing w:val="-4"/>
        </w:rPr>
        <w:t>y</w:t>
      </w:r>
      <w:r>
        <w:rPr>
          <w:color w:val="231F20"/>
          <w:spacing w:val="-11"/>
        </w:rPr>
        <w:t> </w:t>
      </w:r>
      <w:r>
        <w:rPr>
          <w:color w:val="231F20"/>
          <w:spacing w:val="-4"/>
        </w:rPr>
        <w:t>20</w:t>
      </w:r>
      <w:r>
        <w:rPr>
          <w:color w:val="231F20"/>
          <w:spacing w:val="-11"/>
        </w:rPr>
        <w:t> </w:t>
      </w:r>
      <w:r>
        <w:rPr>
          <w:color w:val="231F20"/>
          <w:spacing w:val="-4"/>
        </w:rPr>
        <w:t>del</w:t>
      </w:r>
      <w:r>
        <w:rPr>
          <w:color w:val="231F20"/>
          <w:spacing w:val="-11"/>
        </w:rPr>
        <w:t> </w:t>
      </w:r>
      <w:r>
        <w:rPr>
          <w:color w:val="231F20"/>
          <w:spacing w:val="-4"/>
        </w:rPr>
        <w:t>resto</w:t>
      </w:r>
      <w:r>
        <w:rPr>
          <w:color w:val="231F20"/>
          <w:spacing w:val="-11"/>
        </w:rPr>
        <w:t> </w:t>
      </w:r>
      <w:r>
        <w:rPr>
          <w:color w:val="231F20"/>
          <w:spacing w:val="-4"/>
        </w:rPr>
        <w:t>del</w:t>
      </w:r>
      <w:r>
        <w:rPr>
          <w:color w:val="231F20"/>
          <w:spacing w:val="-11"/>
        </w:rPr>
        <w:t> </w:t>
      </w:r>
      <w:r>
        <w:rPr>
          <w:color w:val="231F20"/>
          <w:spacing w:val="-4"/>
        </w:rPr>
        <w:t>mundo. </w:t>
      </w:r>
      <w:r>
        <w:rPr>
          <w:color w:val="231F20"/>
          <w:spacing w:val="-10"/>
        </w:rPr>
        <w:t>Las</w:t>
      </w:r>
      <w:r>
        <w:rPr>
          <w:color w:val="231F20"/>
          <w:spacing w:val="-7"/>
        </w:rPr>
        <w:t> </w:t>
      </w:r>
      <w:r>
        <w:rPr>
          <w:color w:val="231F20"/>
          <w:spacing w:val="-10"/>
        </w:rPr>
        <w:t>mayores</w:t>
      </w:r>
      <w:r>
        <w:rPr>
          <w:color w:val="231F20"/>
          <w:spacing w:val="-6"/>
        </w:rPr>
        <w:t> </w:t>
      </w:r>
      <w:r>
        <w:rPr>
          <w:color w:val="231F20"/>
          <w:spacing w:val="-10"/>
        </w:rPr>
        <w:t>incidencias</w:t>
      </w:r>
      <w:r>
        <w:rPr>
          <w:color w:val="231F20"/>
          <w:spacing w:val="-7"/>
        </w:rPr>
        <w:t> </w:t>
      </w:r>
      <w:r>
        <w:rPr>
          <w:color w:val="231F20"/>
          <w:spacing w:val="-10"/>
        </w:rPr>
        <w:t>en</w:t>
      </w:r>
      <w:r>
        <w:rPr>
          <w:color w:val="231F20"/>
          <w:spacing w:val="-6"/>
        </w:rPr>
        <w:t> </w:t>
      </w:r>
      <w:r>
        <w:rPr>
          <w:color w:val="231F20"/>
          <w:spacing w:val="-10"/>
        </w:rPr>
        <w:t>las</w:t>
      </w:r>
      <w:r>
        <w:rPr>
          <w:color w:val="231F20"/>
          <w:spacing w:val="-7"/>
        </w:rPr>
        <w:t> </w:t>
      </w:r>
      <w:r>
        <w:rPr>
          <w:color w:val="231F20"/>
          <w:spacing w:val="-10"/>
        </w:rPr>
        <w:t>operaciones </w:t>
      </w:r>
      <w:r>
        <w:rPr>
          <w:color w:val="231F20"/>
        </w:rPr>
        <w:t>tramitadas, tanto por transferencias como por créditos documentarios, responden</w:t>
      </w:r>
      <w:r>
        <w:rPr>
          <w:color w:val="231F20"/>
          <w:spacing w:val="-17"/>
        </w:rPr>
        <w:t> </w:t>
      </w:r>
      <w:r>
        <w:rPr>
          <w:color w:val="231F20"/>
        </w:rPr>
        <w:t>a</w:t>
      </w:r>
      <w:r>
        <w:rPr>
          <w:color w:val="231F20"/>
          <w:spacing w:val="-16"/>
        </w:rPr>
        <w:t> </w:t>
      </w:r>
      <w:r>
        <w:rPr>
          <w:color w:val="231F20"/>
        </w:rPr>
        <w:t>devoluciones</w:t>
      </w:r>
      <w:r>
        <w:rPr>
          <w:color w:val="231F20"/>
          <w:spacing w:val="-17"/>
        </w:rPr>
        <w:t> </w:t>
      </w:r>
      <w:r>
        <w:rPr>
          <w:color w:val="231F20"/>
        </w:rPr>
        <w:t>recibidas</w:t>
      </w:r>
      <w:r>
        <w:rPr>
          <w:color w:val="231F20"/>
          <w:spacing w:val="-16"/>
        </w:rPr>
        <w:t> </w:t>
      </w:r>
      <w:r>
        <w:rPr>
          <w:color w:val="231F20"/>
        </w:rPr>
        <w:t>por </w:t>
      </w:r>
      <w:r>
        <w:rPr>
          <w:color w:val="231F20"/>
          <w:spacing w:val="-6"/>
        </w:rPr>
        <w:t>supuestas</w:t>
      </w:r>
      <w:r>
        <w:rPr>
          <w:color w:val="231F20"/>
          <w:spacing w:val="-11"/>
        </w:rPr>
        <w:t> </w:t>
      </w:r>
      <w:r>
        <w:rPr>
          <w:color w:val="231F20"/>
          <w:spacing w:val="-6"/>
        </w:rPr>
        <w:t>políticas</w:t>
      </w:r>
      <w:r>
        <w:rPr>
          <w:color w:val="231F20"/>
          <w:spacing w:val="-10"/>
        </w:rPr>
        <w:t> </w:t>
      </w:r>
      <w:r>
        <w:rPr>
          <w:color w:val="231F20"/>
          <w:spacing w:val="-6"/>
        </w:rPr>
        <w:t>internas</w:t>
      </w:r>
      <w:r>
        <w:rPr>
          <w:color w:val="231F20"/>
          <w:spacing w:val="-11"/>
        </w:rPr>
        <w:t> </w:t>
      </w:r>
      <w:r>
        <w:rPr>
          <w:color w:val="231F20"/>
          <w:spacing w:val="-6"/>
        </w:rPr>
        <w:t>de</w:t>
      </w:r>
      <w:r>
        <w:rPr>
          <w:color w:val="231F20"/>
          <w:spacing w:val="-10"/>
        </w:rPr>
        <w:t> </w:t>
      </w:r>
      <w:r>
        <w:rPr>
          <w:color w:val="231F20"/>
          <w:spacing w:val="-6"/>
        </w:rPr>
        <w:t>los</w:t>
      </w:r>
      <w:r>
        <w:rPr>
          <w:color w:val="231F20"/>
          <w:spacing w:val="-11"/>
        </w:rPr>
        <w:t> </w:t>
      </w:r>
      <w:r>
        <w:rPr>
          <w:color w:val="231F20"/>
          <w:spacing w:val="-6"/>
        </w:rPr>
        <w:t>bancos </w:t>
      </w:r>
      <w:r>
        <w:rPr>
          <w:color w:val="231F20"/>
        </w:rPr>
        <w:t>de los beneficiarios o de los bancos corresponsales, lo cual impide que los fondos</w:t>
      </w:r>
      <w:r>
        <w:rPr>
          <w:color w:val="231F20"/>
          <w:spacing w:val="-16"/>
        </w:rPr>
        <w:t> </w:t>
      </w:r>
      <w:r>
        <w:rPr>
          <w:color w:val="231F20"/>
        </w:rPr>
        <w:t>lleguen</w:t>
      </w:r>
      <w:r>
        <w:rPr>
          <w:color w:val="231F20"/>
          <w:spacing w:val="-16"/>
        </w:rPr>
        <w:t> </w:t>
      </w:r>
      <w:r>
        <w:rPr>
          <w:color w:val="231F20"/>
        </w:rPr>
        <w:t>a</w:t>
      </w:r>
      <w:r>
        <w:rPr>
          <w:color w:val="231F20"/>
          <w:spacing w:val="-16"/>
        </w:rPr>
        <w:t> </w:t>
      </w:r>
      <w:r>
        <w:rPr>
          <w:color w:val="231F20"/>
        </w:rPr>
        <w:t>su</w:t>
      </w:r>
      <w:r>
        <w:rPr>
          <w:color w:val="231F20"/>
          <w:spacing w:val="-16"/>
        </w:rPr>
        <w:t> </w:t>
      </w:r>
      <w:r>
        <w:rPr>
          <w:color w:val="231F20"/>
        </w:rPr>
        <w:t>destino.</w:t>
      </w:r>
      <w:r>
        <w:rPr>
          <w:color w:val="231F20"/>
          <w:spacing w:val="-16"/>
        </w:rPr>
        <w:t> </w:t>
      </w:r>
      <w:r>
        <w:rPr>
          <w:color w:val="231F20"/>
        </w:rPr>
        <w:t>Los</w:t>
      </w:r>
      <w:r>
        <w:rPr>
          <w:color w:val="231F20"/>
          <w:spacing w:val="-16"/>
        </w:rPr>
        <w:t> </w:t>
      </w:r>
      <w:r>
        <w:rPr>
          <w:color w:val="231F20"/>
        </w:rPr>
        <w:t>bancos europeos, latinoamericanos y asiáticos fueron los que realizaron las mayores </w:t>
      </w:r>
      <w:r>
        <w:rPr>
          <w:color w:val="231F20"/>
          <w:spacing w:val="-2"/>
        </w:rPr>
        <w:t>devoluciones</w:t>
      </w:r>
      <w:r>
        <w:rPr>
          <w:color w:val="231F20"/>
          <w:spacing w:val="19"/>
        </w:rPr>
        <w:t> </w:t>
      </w:r>
      <w:r>
        <w:rPr>
          <w:color w:val="231F20"/>
          <w:spacing w:val="-2"/>
        </w:rPr>
        <w:t>de</w:t>
      </w:r>
      <w:r>
        <w:rPr>
          <w:color w:val="231F20"/>
          <w:spacing w:val="19"/>
        </w:rPr>
        <w:t> </w:t>
      </w:r>
      <w:r>
        <w:rPr>
          <w:color w:val="231F20"/>
          <w:spacing w:val="-2"/>
        </w:rPr>
        <w:t>operaciones</w:t>
      </w:r>
      <w:r>
        <w:rPr>
          <w:color w:val="231F20"/>
          <w:spacing w:val="19"/>
        </w:rPr>
        <w:t> </w:t>
      </w:r>
      <w:r>
        <w:rPr>
          <w:color w:val="231F20"/>
          <w:spacing w:val="-6"/>
        </w:rPr>
        <w:t>bancarias,</w:t>
      </w:r>
    </w:p>
    <w:p>
      <w:pPr>
        <w:pStyle w:val="BodyText"/>
        <w:spacing w:before="77"/>
        <w:ind w:left="671" w:right="1476"/>
      </w:pPr>
      <w:r>
        <w:rPr/>
        <w:br w:type="column"/>
      </w:r>
      <w:r>
        <w:rPr>
          <w:color w:val="231F20"/>
          <w:spacing w:val="-6"/>
        </w:rPr>
        <w:t>argumentando la existencia de sanciones </w:t>
      </w:r>
      <w:r>
        <w:rPr>
          <w:color w:val="231F20"/>
        </w:rPr>
        <w:t>contra Cuba.</w:t>
      </w:r>
    </w:p>
    <w:p>
      <w:pPr>
        <w:pStyle w:val="BodyText"/>
        <w:spacing w:before="161"/>
        <w:ind w:left="671" w:right="1473"/>
      </w:pPr>
      <w:r>
        <w:rPr/>
        <mc:AlternateContent>
          <mc:Choice Requires="wps">
            <w:drawing>
              <wp:anchor distT="0" distB="0" distL="0" distR="0" allowOverlap="1" layoutInCell="1" locked="0" behindDoc="0" simplePos="0" relativeHeight="15755264">
                <wp:simplePos x="0" y="0"/>
                <wp:positionH relativeFrom="page">
                  <wp:posOffset>3815998</wp:posOffset>
                </wp:positionH>
                <wp:positionV relativeFrom="paragraph">
                  <wp:posOffset>188694</wp:posOffset>
                </wp:positionV>
                <wp:extent cx="59690" cy="59690"/>
                <wp:effectExtent l="0" t="0" r="0" b="0"/>
                <wp:wrapNone/>
                <wp:docPr id="108" name="Graphic 108"/>
                <wp:cNvGraphicFramePr>
                  <a:graphicFrameLocks/>
                </wp:cNvGraphicFramePr>
                <a:graphic>
                  <a:graphicData uri="http://schemas.microsoft.com/office/word/2010/wordprocessingShape">
                    <wps:wsp>
                      <wps:cNvPr id="108" name="Graphic 10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857825pt;width:4.7pt;height:4.7pt;mso-position-horizontal-relative:page;mso-position-vertical-relative:paragraph;z-index:15755264" id="docshape84" coordorigin="6009,297" coordsize="94,94" path="m6056,297l6038,301,6023,311,6013,326,6009,344,6013,362,6023,377,6038,387,6056,390,6074,387,6089,377,6099,362,6103,344,6099,326,6089,311,6074,301,6056,297xe" filled="true" fillcolor="#1a4796" stroked="false">
                <v:path arrowok="t"/>
                <v:fill type="solid"/>
                <w10:wrap type="none"/>
              </v:shape>
            </w:pict>
          </mc:Fallback>
        </mc:AlternateContent>
      </w:r>
      <w:r>
        <w:rPr>
          <w:color w:val="231F20"/>
        </w:rPr>
        <w:t>Cancelación</w:t>
      </w:r>
      <w:r>
        <w:rPr>
          <w:color w:val="231F20"/>
          <w:spacing w:val="-17"/>
        </w:rPr>
        <w:t> </w:t>
      </w:r>
      <w:r>
        <w:rPr>
          <w:color w:val="231F20"/>
        </w:rPr>
        <w:t>de</w:t>
      </w:r>
      <w:r>
        <w:rPr>
          <w:color w:val="231F20"/>
          <w:spacing w:val="-16"/>
        </w:rPr>
        <w:t> </w:t>
      </w:r>
      <w:r>
        <w:rPr>
          <w:color w:val="231F20"/>
        </w:rPr>
        <w:t>operaciones</w:t>
      </w:r>
      <w:r>
        <w:rPr>
          <w:color w:val="231F20"/>
          <w:spacing w:val="-17"/>
        </w:rPr>
        <w:t> </w:t>
      </w:r>
      <w:r>
        <w:rPr>
          <w:color w:val="231F20"/>
        </w:rPr>
        <w:t>bancarias</w:t>
      </w:r>
      <w:r>
        <w:rPr>
          <w:color w:val="231F20"/>
          <w:spacing w:val="-16"/>
        </w:rPr>
        <w:t> </w:t>
      </w:r>
      <w:r>
        <w:rPr>
          <w:color w:val="231F20"/>
        </w:rPr>
        <w:t>y </w:t>
      </w:r>
      <w:r>
        <w:rPr>
          <w:color w:val="231F20"/>
          <w:spacing w:val="-2"/>
        </w:rPr>
        <w:t>de</w:t>
      </w:r>
      <w:r>
        <w:rPr>
          <w:color w:val="231F20"/>
          <w:spacing w:val="-15"/>
        </w:rPr>
        <w:t> </w:t>
      </w:r>
      <w:r>
        <w:rPr>
          <w:color w:val="231F20"/>
          <w:spacing w:val="-2"/>
        </w:rPr>
        <w:t>acuerdos</w:t>
      </w:r>
      <w:r>
        <w:rPr>
          <w:color w:val="231F20"/>
          <w:spacing w:val="-14"/>
        </w:rPr>
        <w:t> </w:t>
      </w:r>
      <w:r>
        <w:rPr>
          <w:color w:val="231F20"/>
          <w:spacing w:val="-2"/>
        </w:rPr>
        <w:t>de</w:t>
      </w:r>
      <w:r>
        <w:rPr>
          <w:color w:val="231F20"/>
          <w:spacing w:val="-15"/>
        </w:rPr>
        <w:t> </w:t>
      </w:r>
      <w:r>
        <w:rPr>
          <w:color w:val="231F20"/>
          <w:spacing w:val="-2"/>
        </w:rPr>
        <w:t>corresponsalía:</w:t>
      </w:r>
      <w:r>
        <w:rPr>
          <w:color w:val="231F20"/>
          <w:spacing w:val="-14"/>
        </w:rPr>
        <w:t> </w:t>
      </w:r>
      <w:r>
        <w:rPr>
          <w:color w:val="231F20"/>
          <w:spacing w:val="-2"/>
        </w:rPr>
        <w:t>2</w:t>
      </w:r>
      <w:r>
        <w:rPr>
          <w:color w:val="231F20"/>
          <w:spacing w:val="-15"/>
        </w:rPr>
        <w:t> </w:t>
      </w:r>
      <w:r>
        <w:rPr>
          <w:color w:val="231F20"/>
          <w:spacing w:val="-2"/>
        </w:rPr>
        <w:t>bancos europeos.</w:t>
      </w:r>
    </w:p>
    <w:p>
      <w:pPr>
        <w:pStyle w:val="BodyText"/>
        <w:spacing w:before="163"/>
        <w:ind w:left="671" w:right="1470"/>
      </w:pPr>
      <w:r>
        <w:rPr>
          <w:color w:val="231F20"/>
        </w:rPr>
        <w:t>Asimismo, Cuba solo puede acceder a </w:t>
      </w:r>
      <w:r>
        <w:rPr>
          <w:color w:val="231F20"/>
          <w:spacing w:val="-6"/>
        </w:rPr>
        <w:t>financiamiento</w:t>
      </w:r>
      <w:r>
        <w:rPr>
          <w:color w:val="231F20"/>
          <w:spacing w:val="-11"/>
        </w:rPr>
        <w:t> </w:t>
      </w:r>
      <w:r>
        <w:rPr>
          <w:color w:val="231F20"/>
          <w:spacing w:val="-6"/>
        </w:rPr>
        <w:t>externo</w:t>
      </w:r>
      <w:r>
        <w:rPr>
          <w:color w:val="231F20"/>
          <w:spacing w:val="-10"/>
        </w:rPr>
        <w:t> </w:t>
      </w:r>
      <w:r>
        <w:rPr>
          <w:color w:val="231F20"/>
          <w:spacing w:val="-6"/>
        </w:rPr>
        <w:t>muy</w:t>
      </w:r>
      <w:r>
        <w:rPr>
          <w:color w:val="231F20"/>
          <w:spacing w:val="-11"/>
        </w:rPr>
        <w:t> </w:t>
      </w:r>
      <w:r>
        <w:rPr>
          <w:color w:val="231F20"/>
          <w:spacing w:val="-6"/>
        </w:rPr>
        <w:t>limitado</w:t>
      </w:r>
      <w:r>
        <w:rPr>
          <w:color w:val="231F20"/>
          <w:spacing w:val="-10"/>
        </w:rPr>
        <w:t> </w:t>
      </w:r>
      <w:r>
        <w:rPr>
          <w:color w:val="231F20"/>
          <w:spacing w:val="-6"/>
        </w:rPr>
        <w:t>y</w:t>
      </w:r>
      <w:r>
        <w:rPr>
          <w:color w:val="231F20"/>
          <w:spacing w:val="-11"/>
        </w:rPr>
        <w:t> </w:t>
      </w:r>
      <w:r>
        <w:rPr>
          <w:color w:val="231F20"/>
          <w:spacing w:val="-6"/>
        </w:rPr>
        <w:t>en </w:t>
      </w:r>
      <w:r>
        <w:rPr>
          <w:color w:val="231F20"/>
        </w:rPr>
        <w:t>condiciones</w:t>
      </w:r>
      <w:r>
        <w:rPr>
          <w:color w:val="231F20"/>
          <w:spacing w:val="-17"/>
        </w:rPr>
        <w:t> </w:t>
      </w:r>
      <w:r>
        <w:rPr>
          <w:color w:val="231F20"/>
        </w:rPr>
        <w:t>extremadamente</w:t>
      </w:r>
      <w:r>
        <w:rPr>
          <w:color w:val="231F20"/>
          <w:spacing w:val="-16"/>
        </w:rPr>
        <w:t> </w:t>
      </w:r>
      <w:r>
        <w:rPr>
          <w:color w:val="231F20"/>
        </w:rPr>
        <w:t>onerosas. Las</w:t>
      </w:r>
      <w:r>
        <w:rPr>
          <w:color w:val="231F20"/>
          <w:spacing w:val="-17"/>
        </w:rPr>
        <w:t> </w:t>
      </w:r>
      <w:r>
        <w:rPr>
          <w:color w:val="231F20"/>
        </w:rPr>
        <w:t>entidades</w:t>
      </w:r>
      <w:r>
        <w:rPr>
          <w:color w:val="231F20"/>
          <w:spacing w:val="-16"/>
        </w:rPr>
        <w:t> </w:t>
      </w:r>
      <w:r>
        <w:rPr>
          <w:color w:val="231F20"/>
        </w:rPr>
        <w:t>bancarias</w:t>
      </w:r>
      <w:r>
        <w:rPr>
          <w:color w:val="231F20"/>
          <w:spacing w:val="-17"/>
        </w:rPr>
        <w:t> </w:t>
      </w:r>
      <w:r>
        <w:rPr>
          <w:color w:val="231F20"/>
        </w:rPr>
        <w:t>y</w:t>
      </w:r>
      <w:r>
        <w:rPr>
          <w:color w:val="231F20"/>
          <w:spacing w:val="-16"/>
        </w:rPr>
        <w:t> </w:t>
      </w:r>
      <w:r>
        <w:rPr>
          <w:color w:val="231F20"/>
        </w:rPr>
        <w:t>empresariales cubanas</w:t>
      </w:r>
      <w:r>
        <w:rPr>
          <w:color w:val="231F20"/>
          <w:spacing w:val="-5"/>
        </w:rPr>
        <w:t> </w:t>
      </w:r>
      <w:r>
        <w:rPr>
          <w:color w:val="231F20"/>
        </w:rPr>
        <w:t>continúan</w:t>
      </w:r>
      <w:r>
        <w:rPr>
          <w:color w:val="231F20"/>
          <w:spacing w:val="-5"/>
        </w:rPr>
        <w:t> </w:t>
      </w:r>
      <w:r>
        <w:rPr>
          <w:color w:val="231F20"/>
        </w:rPr>
        <w:t>pagando</w:t>
      </w:r>
      <w:r>
        <w:rPr>
          <w:color w:val="231F20"/>
          <w:spacing w:val="-5"/>
        </w:rPr>
        <w:t> </w:t>
      </w:r>
      <w:r>
        <w:rPr>
          <w:color w:val="231F20"/>
        </w:rPr>
        <w:t>altas</w:t>
      </w:r>
      <w:r>
        <w:rPr>
          <w:color w:val="231F20"/>
          <w:spacing w:val="-5"/>
        </w:rPr>
        <w:t> </w:t>
      </w:r>
      <w:r>
        <w:rPr>
          <w:color w:val="231F20"/>
        </w:rPr>
        <w:t>tasas </w:t>
      </w:r>
      <w:r>
        <w:rPr>
          <w:color w:val="231F20"/>
          <w:spacing w:val="-10"/>
        </w:rPr>
        <w:t>de</w:t>
      </w:r>
      <w:r>
        <w:rPr>
          <w:color w:val="231F20"/>
          <w:spacing w:val="-4"/>
        </w:rPr>
        <w:t> </w:t>
      </w:r>
      <w:r>
        <w:rPr>
          <w:color w:val="231F20"/>
          <w:spacing w:val="-10"/>
        </w:rPr>
        <w:t>interés</w:t>
      </w:r>
      <w:r>
        <w:rPr>
          <w:color w:val="231F20"/>
          <w:spacing w:val="-4"/>
        </w:rPr>
        <w:t> </w:t>
      </w:r>
      <w:r>
        <w:rPr>
          <w:color w:val="231F20"/>
          <w:spacing w:val="-10"/>
        </w:rPr>
        <w:t>por</w:t>
      </w:r>
      <w:r>
        <w:rPr>
          <w:color w:val="231F20"/>
          <w:spacing w:val="-4"/>
        </w:rPr>
        <w:t> </w:t>
      </w:r>
      <w:r>
        <w:rPr>
          <w:color w:val="231F20"/>
          <w:spacing w:val="-10"/>
        </w:rPr>
        <w:t>encima</w:t>
      </w:r>
      <w:r>
        <w:rPr>
          <w:color w:val="231F20"/>
          <w:spacing w:val="-4"/>
        </w:rPr>
        <w:t> </w:t>
      </w:r>
      <w:r>
        <w:rPr>
          <w:color w:val="231F20"/>
          <w:spacing w:val="-10"/>
        </w:rPr>
        <w:t>de</w:t>
      </w:r>
      <w:r>
        <w:rPr>
          <w:color w:val="231F20"/>
          <w:spacing w:val="-4"/>
        </w:rPr>
        <w:t> </w:t>
      </w:r>
      <w:r>
        <w:rPr>
          <w:color w:val="231F20"/>
          <w:spacing w:val="-10"/>
        </w:rPr>
        <w:t>las</w:t>
      </w:r>
      <w:r>
        <w:rPr>
          <w:color w:val="231F20"/>
          <w:spacing w:val="-4"/>
        </w:rPr>
        <w:t> </w:t>
      </w:r>
      <w:r>
        <w:rPr>
          <w:color w:val="231F20"/>
          <w:spacing w:val="-10"/>
        </w:rPr>
        <w:t>que</w:t>
      </w:r>
      <w:r>
        <w:rPr>
          <w:color w:val="231F20"/>
          <w:spacing w:val="-4"/>
        </w:rPr>
        <w:t> </w:t>
      </w:r>
      <w:r>
        <w:rPr>
          <w:color w:val="231F20"/>
          <w:spacing w:val="-10"/>
        </w:rPr>
        <w:t>establece </w:t>
      </w:r>
      <w:r>
        <w:rPr>
          <w:color w:val="231F20"/>
          <w:spacing w:val="-6"/>
        </w:rPr>
        <w:t>el</w:t>
      </w:r>
      <w:r>
        <w:rPr>
          <w:color w:val="231F20"/>
          <w:spacing w:val="-10"/>
        </w:rPr>
        <w:t> </w:t>
      </w:r>
      <w:r>
        <w:rPr>
          <w:color w:val="231F20"/>
          <w:spacing w:val="-6"/>
        </w:rPr>
        <w:t>mercado</w:t>
      </w:r>
      <w:r>
        <w:rPr>
          <w:color w:val="231F20"/>
          <w:spacing w:val="-10"/>
        </w:rPr>
        <w:t> </w:t>
      </w:r>
      <w:r>
        <w:rPr>
          <w:color w:val="231F20"/>
          <w:spacing w:val="-6"/>
        </w:rPr>
        <w:t>para</w:t>
      </w:r>
      <w:r>
        <w:rPr>
          <w:color w:val="231F20"/>
          <w:spacing w:val="-10"/>
        </w:rPr>
        <w:t> </w:t>
      </w:r>
      <w:r>
        <w:rPr>
          <w:color w:val="231F20"/>
          <w:spacing w:val="-6"/>
        </w:rPr>
        <w:t>las</w:t>
      </w:r>
      <w:r>
        <w:rPr>
          <w:color w:val="231F20"/>
          <w:spacing w:val="-11"/>
        </w:rPr>
        <w:t> </w:t>
      </w:r>
      <w:r>
        <w:rPr>
          <w:color w:val="231F20"/>
          <w:spacing w:val="-6"/>
        </w:rPr>
        <w:t>operaciones</w:t>
      </w:r>
      <w:r>
        <w:rPr>
          <w:color w:val="231F20"/>
          <w:spacing w:val="-10"/>
        </w:rPr>
        <w:t> </w:t>
      </w:r>
      <w:r>
        <w:rPr>
          <w:color w:val="231F20"/>
          <w:spacing w:val="-6"/>
        </w:rPr>
        <w:t>similares </w:t>
      </w:r>
      <w:r>
        <w:rPr>
          <w:color w:val="231F20"/>
          <w:spacing w:val="-2"/>
        </w:rPr>
        <w:t>de</w:t>
      </w:r>
      <w:r>
        <w:rPr>
          <w:color w:val="231F20"/>
          <w:spacing w:val="-10"/>
        </w:rPr>
        <w:t> </w:t>
      </w:r>
      <w:r>
        <w:rPr>
          <w:color w:val="231F20"/>
          <w:spacing w:val="-2"/>
        </w:rPr>
        <w:t>obtención</w:t>
      </w:r>
      <w:r>
        <w:rPr>
          <w:color w:val="231F20"/>
          <w:spacing w:val="-10"/>
        </w:rPr>
        <w:t> </w:t>
      </w:r>
      <w:r>
        <w:rPr>
          <w:color w:val="231F20"/>
          <w:spacing w:val="-2"/>
        </w:rPr>
        <w:t>de</w:t>
      </w:r>
      <w:r>
        <w:rPr>
          <w:color w:val="231F20"/>
          <w:spacing w:val="-10"/>
        </w:rPr>
        <w:t> </w:t>
      </w:r>
      <w:r>
        <w:rPr>
          <w:color w:val="231F20"/>
          <w:spacing w:val="-2"/>
        </w:rPr>
        <w:t>financiamiento</w:t>
      </w:r>
      <w:r>
        <w:rPr>
          <w:color w:val="231F20"/>
          <w:spacing w:val="-10"/>
        </w:rPr>
        <w:t> </w:t>
      </w:r>
      <w:r>
        <w:rPr>
          <w:color w:val="231F20"/>
          <w:spacing w:val="-2"/>
        </w:rPr>
        <w:t>externo </w:t>
      </w:r>
      <w:r>
        <w:rPr>
          <w:color w:val="231F20"/>
        </w:rPr>
        <w:t>que realizan otros países, debido a la imposición de sobretasas derivadas de la clasificación del riesgo país que se le aplica a Cuba.</w:t>
      </w:r>
    </w:p>
    <w:p>
      <w:pPr>
        <w:pStyle w:val="BodyText"/>
        <w:spacing w:before="169"/>
        <w:ind w:left="671" w:right="1471"/>
      </w:pPr>
      <w:r>
        <w:rPr>
          <w:color w:val="231F20"/>
        </w:rPr>
        <w:t>Han</w:t>
      </w:r>
      <w:r>
        <w:rPr>
          <w:color w:val="231F20"/>
          <w:spacing w:val="80"/>
        </w:rPr>
        <w:t> </w:t>
      </w:r>
      <w:r>
        <w:rPr>
          <w:color w:val="231F20"/>
        </w:rPr>
        <w:t>continuado</w:t>
      </w:r>
      <w:r>
        <w:rPr>
          <w:color w:val="231F20"/>
          <w:spacing w:val="80"/>
        </w:rPr>
        <w:t> </w:t>
      </w:r>
      <w:r>
        <w:rPr>
          <w:color w:val="231F20"/>
        </w:rPr>
        <w:t>las</w:t>
      </w:r>
      <w:r>
        <w:rPr>
          <w:color w:val="231F20"/>
          <w:spacing w:val="80"/>
        </w:rPr>
        <w:t> </w:t>
      </w:r>
      <w:r>
        <w:rPr>
          <w:color w:val="231F20"/>
        </w:rPr>
        <w:t>dificultades</w:t>
      </w:r>
      <w:r>
        <w:rPr>
          <w:color w:val="231F20"/>
          <w:spacing w:val="80"/>
        </w:rPr>
        <w:t> </w:t>
      </w:r>
      <w:r>
        <w:rPr>
          <w:color w:val="231F20"/>
        </w:rPr>
        <w:t>en el envío y recepción de documentos bancarios a través de agencias de mensajería, en particular, mediante </w:t>
      </w:r>
      <w:r>
        <w:rPr>
          <w:color w:val="231F20"/>
        </w:rPr>
        <w:t>el </w:t>
      </w:r>
      <w:r>
        <w:rPr>
          <w:color w:val="231F20"/>
          <w:spacing w:val="-2"/>
        </w:rPr>
        <w:t>servicio</w:t>
      </w:r>
      <w:r>
        <w:rPr>
          <w:color w:val="231F20"/>
          <w:spacing w:val="-9"/>
        </w:rPr>
        <w:t> </w:t>
      </w:r>
      <w:r>
        <w:rPr>
          <w:color w:val="231F20"/>
          <w:spacing w:val="-2"/>
        </w:rPr>
        <w:t>DHL.</w:t>
      </w:r>
      <w:r>
        <w:rPr>
          <w:color w:val="231F20"/>
          <w:spacing w:val="-9"/>
        </w:rPr>
        <w:t> </w:t>
      </w:r>
      <w:r>
        <w:rPr>
          <w:color w:val="231F20"/>
          <w:spacing w:val="-2"/>
        </w:rPr>
        <w:t>Los</w:t>
      </w:r>
      <w:r>
        <w:rPr>
          <w:color w:val="231F20"/>
          <w:spacing w:val="-9"/>
        </w:rPr>
        <w:t> </w:t>
      </w:r>
      <w:r>
        <w:rPr>
          <w:color w:val="231F20"/>
          <w:spacing w:val="-2"/>
        </w:rPr>
        <w:t>importadores</w:t>
      </w:r>
      <w:r>
        <w:rPr>
          <w:color w:val="231F20"/>
          <w:spacing w:val="-9"/>
        </w:rPr>
        <w:t> </w:t>
      </w:r>
      <w:r>
        <w:rPr>
          <w:color w:val="231F20"/>
          <w:spacing w:val="-2"/>
        </w:rPr>
        <w:t>cubanos </w:t>
      </w:r>
      <w:r>
        <w:rPr>
          <w:color w:val="231F20"/>
        </w:rPr>
        <w:t>tienen</w:t>
      </w:r>
      <w:r>
        <w:rPr>
          <w:color w:val="231F20"/>
          <w:spacing w:val="-17"/>
        </w:rPr>
        <w:t> </w:t>
      </w:r>
      <w:r>
        <w:rPr>
          <w:color w:val="231F20"/>
        </w:rPr>
        <w:t>que</w:t>
      </w:r>
      <w:r>
        <w:rPr>
          <w:color w:val="231F20"/>
          <w:spacing w:val="-16"/>
        </w:rPr>
        <w:t> </w:t>
      </w:r>
      <w:r>
        <w:rPr>
          <w:color w:val="231F20"/>
        </w:rPr>
        <w:t>buscar</w:t>
      </w:r>
      <w:r>
        <w:rPr>
          <w:color w:val="231F20"/>
          <w:spacing w:val="-17"/>
        </w:rPr>
        <w:t> </w:t>
      </w:r>
      <w:r>
        <w:rPr>
          <w:color w:val="231F20"/>
        </w:rPr>
        <w:t>otras</w:t>
      </w:r>
      <w:r>
        <w:rPr>
          <w:color w:val="231F20"/>
          <w:spacing w:val="-16"/>
        </w:rPr>
        <w:t> </w:t>
      </w:r>
      <w:r>
        <w:rPr>
          <w:color w:val="231F20"/>
        </w:rPr>
        <w:t>vías</w:t>
      </w:r>
      <w:r>
        <w:rPr>
          <w:color w:val="231F20"/>
          <w:spacing w:val="-17"/>
        </w:rPr>
        <w:t> </w:t>
      </w:r>
      <w:r>
        <w:rPr>
          <w:color w:val="231F20"/>
        </w:rPr>
        <w:t>alternativas de recepción de los documentos para </w:t>
      </w:r>
      <w:r>
        <w:rPr>
          <w:color w:val="231F20"/>
          <w:spacing w:val="-4"/>
        </w:rPr>
        <w:t>poder</w:t>
      </w:r>
      <w:r>
        <w:rPr>
          <w:color w:val="231F20"/>
          <w:spacing w:val="-13"/>
        </w:rPr>
        <w:t> </w:t>
      </w:r>
      <w:r>
        <w:rPr>
          <w:color w:val="231F20"/>
          <w:spacing w:val="-4"/>
        </w:rPr>
        <w:t>realizar</w:t>
      </w:r>
      <w:r>
        <w:rPr>
          <w:color w:val="231F20"/>
          <w:spacing w:val="-12"/>
        </w:rPr>
        <w:t> </w:t>
      </w:r>
      <w:r>
        <w:rPr>
          <w:color w:val="231F20"/>
          <w:spacing w:val="-4"/>
        </w:rPr>
        <w:t>los</w:t>
      </w:r>
      <w:r>
        <w:rPr>
          <w:color w:val="231F20"/>
          <w:spacing w:val="-13"/>
        </w:rPr>
        <w:t> </w:t>
      </w:r>
      <w:r>
        <w:rPr>
          <w:color w:val="231F20"/>
          <w:spacing w:val="-4"/>
        </w:rPr>
        <w:t>trámites</w:t>
      </w:r>
      <w:r>
        <w:rPr>
          <w:color w:val="231F20"/>
          <w:spacing w:val="-12"/>
        </w:rPr>
        <w:t> </w:t>
      </w:r>
      <w:r>
        <w:rPr>
          <w:color w:val="231F20"/>
          <w:spacing w:val="-4"/>
        </w:rPr>
        <w:t>aduanales</w:t>
      </w:r>
      <w:r>
        <w:rPr>
          <w:color w:val="231F20"/>
          <w:spacing w:val="-13"/>
        </w:rPr>
        <w:t> </w:t>
      </w:r>
      <w:r>
        <w:rPr>
          <w:color w:val="231F20"/>
          <w:spacing w:val="-4"/>
        </w:rPr>
        <w:t>con </w:t>
      </w:r>
      <w:r>
        <w:rPr>
          <w:color w:val="231F20"/>
        </w:rPr>
        <w:t>vistas a la extracción de las mercancías del</w:t>
      </w:r>
      <w:r>
        <w:rPr>
          <w:color w:val="231F20"/>
          <w:spacing w:val="40"/>
        </w:rPr>
        <w:t> </w:t>
      </w:r>
      <w:r>
        <w:rPr>
          <w:color w:val="231F20"/>
        </w:rPr>
        <w:t>puerto,</w:t>
      </w:r>
      <w:r>
        <w:rPr>
          <w:color w:val="231F20"/>
          <w:spacing w:val="40"/>
        </w:rPr>
        <w:t> </w:t>
      </w:r>
      <w:r>
        <w:rPr>
          <w:color w:val="231F20"/>
        </w:rPr>
        <w:t>lo</w:t>
      </w:r>
      <w:r>
        <w:rPr>
          <w:color w:val="231F20"/>
          <w:spacing w:val="40"/>
        </w:rPr>
        <w:t> </w:t>
      </w:r>
      <w:r>
        <w:rPr>
          <w:color w:val="231F20"/>
        </w:rPr>
        <w:t>cual</w:t>
      </w:r>
      <w:r>
        <w:rPr>
          <w:color w:val="231F20"/>
          <w:spacing w:val="40"/>
        </w:rPr>
        <w:t> </w:t>
      </w:r>
      <w:r>
        <w:rPr>
          <w:color w:val="231F20"/>
        </w:rPr>
        <w:t>genera</w:t>
      </w:r>
      <w:r>
        <w:rPr>
          <w:color w:val="231F20"/>
          <w:spacing w:val="40"/>
        </w:rPr>
        <w:t> </w:t>
      </w:r>
      <w:r>
        <w:rPr>
          <w:color w:val="231F20"/>
        </w:rPr>
        <w:t>demoras en este proceso y en la entrega de las mismas a la economía interna.</w:t>
      </w:r>
    </w:p>
    <w:p>
      <w:pPr>
        <w:spacing w:before="169"/>
        <w:ind w:left="671" w:right="1471" w:firstLine="0"/>
        <w:jc w:val="both"/>
        <w:rPr>
          <w:i/>
          <w:sz w:val="24"/>
        </w:rPr>
      </w:pPr>
      <w:r>
        <w:rPr>
          <w:i/>
          <w:color w:val="231F20"/>
          <w:sz w:val="24"/>
        </w:rPr>
        <w:t>La</w:t>
      </w:r>
      <w:r>
        <w:rPr>
          <w:i/>
          <w:color w:val="231F20"/>
          <w:spacing w:val="80"/>
          <w:sz w:val="24"/>
        </w:rPr>
        <w:t> </w:t>
      </w:r>
      <w:r>
        <w:rPr>
          <w:i/>
          <w:color w:val="231F20"/>
          <w:sz w:val="24"/>
        </w:rPr>
        <w:t>vigencia</w:t>
      </w:r>
      <w:r>
        <w:rPr>
          <w:i/>
          <w:color w:val="231F20"/>
          <w:spacing w:val="80"/>
          <w:sz w:val="24"/>
        </w:rPr>
        <w:t> </w:t>
      </w:r>
      <w:r>
        <w:rPr>
          <w:i/>
          <w:color w:val="231F20"/>
          <w:sz w:val="24"/>
        </w:rPr>
        <w:t>de</w:t>
      </w:r>
      <w:r>
        <w:rPr>
          <w:i/>
          <w:color w:val="231F20"/>
          <w:spacing w:val="80"/>
          <w:sz w:val="24"/>
        </w:rPr>
        <w:t> </w:t>
      </w:r>
      <w:r>
        <w:rPr>
          <w:i/>
          <w:color w:val="231F20"/>
          <w:sz w:val="24"/>
        </w:rPr>
        <w:t>las</w:t>
      </w:r>
      <w:r>
        <w:rPr>
          <w:i/>
          <w:color w:val="231F20"/>
          <w:spacing w:val="80"/>
          <w:sz w:val="24"/>
        </w:rPr>
        <w:t> </w:t>
      </w:r>
      <w:r>
        <w:rPr>
          <w:i/>
          <w:color w:val="231F20"/>
          <w:sz w:val="24"/>
        </w:rPr>
        <w:t>sanciones</w:t>
      </w:r>
      <w:r>
        <w:rPr>
          <w:i/>
          <w:color w:val="231F20"/>
          <w:spacing w:val="80"/>
          <w:sz w:val="24"/>
        </w:rPr>
        <w:t> </w:t>
      </w:r>
      <w:r>
        <w:rPr>
          <w:i/>
          <w:color w:val="231F20"/>
          <w:sz w:val="24"/>
        </w:rPr>
        <w:t>contra</w:t>
      </w:r>
      <w:r>
        <w:rPr>
          <w:i/>
          <w:color w:val="231F20"/>
          <w:sz w:val="24"/>
        </w:rPr>
        <w:t> la institución financiera no bancaria cubana FINCIMEX, continúa generando afectaciones</w:t>
      </w:r>
      <w:r>
        <w:rPr>
          <w:i/>
          <w:color w:val="231F20"/>
          <w:spacing w:val="-17"/>
          <w:sz w:val="24"/>
        </w:rPr>
        <w:t> </w:t>
      </w:r>
      <w:r>
        <w:rPr>
          <w:i/>
          <w:color w:val="231F20"/>
          <w:sz w:val="24"/>
        </w:rPr>
        <w:t>a</w:t>
      </w:r>
      <w:r>
        <w:rPr>
          <w:i/>
          <w:color w:val="231F20"/>
          <w:spacing w:val="-16"/>
          <w:sz w:val="24"/>
        </w:rPr>
        <w:t> </w:t>
      </w:r>
      <w:r>
        <w:rPr>
          <w:i/>
          <w:color w:val="231F20"/>
          <w:sz w:val="24"/>
        </w:rPr>
        <w:t>los</w:t>
      </w:r>
      <w:r>
        <w:rPr>
          <w:i/>
          <w:color w:val="231F20"/>
          <w:spacing w:val="-17"/>
          <w:sz w:val="24"/>
        </w:rPr>
        <w:t> </w:t>
      </w:r>
      <w:r>
        <w:rPr>
          <w:i/>
          <w:color w:val="231F20"/>
          <w:sz w:val="24"/>
        </w:rPr>
        <w:t>volúmenes</w:t>
      </w:r>
      <w:r>
        <w:rPr>
          <w:i/>
          <w:color w:val="231F20"/>
          <w:spacing w:val="-16"/>
          <w:sz w:val="24"/>
        </w:rPr>
        <w:t> </w:t>
      </w:r>
      <w:r>
        <w:rPr>
          <w:i/>
          <w:color w:val="231F20"/>
          <w:sz w:val="24"/>
        </w:rPr>
        <w:t>de</w:t>
      </w:r>
      <w:r>
        <w:rPr>
          <w:i/>
          <w:color w:val="231F20"/>
          <w:spacing w:val="-17"/>
          <w:sz w:val="24"/>
        </w:rPr>
        <w:t> </w:t>
      </w:r>
      <w:r>
        <w:rPr>
          <w:i/>
          <w:color w:val="231F20"/>
          <w:sz w:val="24"/>
        </w:rPr>
        <w:t>remesas para la población que se enviaban</w:t>
      </w:r>
      <w:r>
        <w:rPr>
          <w:i/>
          <w:color w:val="231F20"/>
          <w:spacing w:val="40"/>
          <w:sz w:val="24"/>
        </w:rPr>
        <w:t> </w:t>
      </w:r>
      <w:r>
        <w:rPr>
          <w:i/>
          <w:color w:val="231F20"/>
          <w:sz w:val="24"/>
        </w:rPr>
        <w:t>desde los Estados Unidos a través de la compañía Western Union, después del cierre de todas las sucursales de esta última en Cuba que se hizo efectivo en noviembre de 2020.</w:t>
      </w:r>
      <w:r>
        <w:rPr>
          <w:i/>
          <w:color w:val="231F20"/>
          <w:spacing w:val="40"/>
          <w:sz w:val="24"/>
        </w:rPr>
        <w:t> </w:t>
      </w:r>
      <w:r>
        <w:rPr>
          <w:i/>
          <w:color w:val="231F20"/>
          <w:sz w:val="24"/>
        </w:rPr>
        <w:t>En el período de análisis,</w:t>
      </w:r>
      <w:r>
        <w:rPr>
          <w:i/>
          <w:color w:val="231F20"/>
          <w:spacing w:val="76"/>
          <w:sz w:val="24"/>
        </w:rPr>
        <w:t> </w:t>
      </w:r>
      <w:r>
        <w:rPr>
          <w:i/>
          <w:color w:val="231F20"/>
          <w:sz w:val="24"/>
        </w:rPr>
        <w:t>la</w:t>
      </w:r>
      <w:r>
        <w:rPr>
          <w:i/>
          <w:color w:val="231F20"/>
          <w:spacing w:val="76"/>
          <w:sz w:val="24"/>
        </w:rPr>
        <w:t> </w:t>
      </w:r>
      <w:r>
        <w:rPr>
          <w:i/>
          <w:color w:val="231F20"/>
          <w:sz w:val="24"/>
        </w:rPr>
        <w:t>entidad</w:t>
      </w:r>
      <w:r>
        <w:rPr>
          <w:i/>
          <w:color w:val="231F20"/>
          <w:spacing w:val="77"/>
          <w:sz w:val="24"/>
        </w:rPr>
        <w:t> </w:t>
      </w:r>
      <w:r>
        <w:rPr>
          <w:i/>
          <w:color w:val="231F20"/>
          <w:sz w:val="24"/>
        </w:rPr>
        <w:t>dejó</w:t>
      </w:r>
      <w:r>
        <w:rPr>
          <w:i/>
          <w:color w:val="231F20"/>
          <w:spacing w:val="76"/>
          <w:sz w:val="24"/>
        </w:rPr>
        <w:t> </w:t>
      </w:r>
      <w:r>
        <w:rPr>
          <w:i/>
          <w:color w:val="231F20"/>
          <w:sz w:val="24"/>
        </w:rPr>
        <w:t>de</w:t>
      </w:r>
      <w:r>
        <w:rPr>
          <w:i/>
          <w:color w:val="231F20"/>
          <w:spacing w:val="77"/>
          <w:sz w:val="24"/>
        </w:rPr>
        <w:t> </w:t>
      </w:r>
      <w:r>
        <w:rPr>
          <w:i/>
          <w:color w:val="231F20"/>
          <w:spacing w:val="-2"/>
          <w:sz w:val="24"/>
        </w:rPr>
        <w:t>gestionar</w:t>
      </w:r>
    </w:p>
    <w:p>
      <w:pPr>
        <w:spacing w:after="0"/>
        <w:jc w:val="both"/>
        <w:rPr>
          <w:sz w:val="24"/>
        </w:rPr>
        <w:sectPr>
          <w:pgSz w:w="11910" w:h="16840"/>
          <w:pgMar w:header="0" w:footer="695" w:top="1260" w:bottom="880" w:left="0" w:right="0"/>
          <w:cols w:num="2" w:equalWidth="0">
            <w:col w:w="5559" w:space="40"/>
            <w:col w:w="6311"/>
          </w:cols>
        </w:sectPr>
      </w:pPr>
    </w:p>
    <w:p>
      <w:pPr>
        <w:pStyle w:val="BodyText"/>
        <w:spacing w:before="188"/>
        <w:jc w:val="left"/>
        <w:rPr>
          <w:i/>
          <w:sz w:val="18"/>
        </w:rPr>
      </w:pPr>
    </w:p>
    <w:p>
      <w:pPr>
        <w:spacing w:line="216" w:lineRule="auto" w:before="0"/>
        <w:ind w:left="1133" w:right="1375" w:firstLine="0"/>
        <w:jc w:val="left"/>
        <w:rPr>
          <w:i/>
          <w:sz w:val="18"/>
        </w:rPr>
      </w:pPr>
      <w:r>
        <w:rPr>
          <w:i/>
          <w:color w:val="231F20"/>
          <w:position w:val="6"/>
          <w:sz w:val="10"/>
        </w:rPr>
        <w:t>2</w:t>
      </w:r>
      <w:r>
        <w:rPr>
          <w:i/>
          <w:color w:val="231F20"/>
          <w:spacing w:val="-4"/>
          <w:position w:val="6"/>
          <w:sz w:val="10"/>
        </w:rPr>
        <w:t> </w:t>
      </w:r>
      <w:r>
        <w:rPr>
          <w:i/>
          <w:color w:val="231F20"/>
          <w:sz w:val="18"/>
        </w:rPr>
        <w:t>Autorizaciones</w:t>
      </w:r>
      <w:r>
        <w:rPr>
          <w:i/>
          <w:color w:val="231F20"/>
          <w:spacing w:val="-8"/>
          <w:sz w:val="18"/>
        </w:rPr>
        <w:t> </w:t>
      </w:r>
      <w:r>
        <w:rPr>
          <w:i/>
          <w:color w:val="231F20"/>
          <w:sz w:val="18"/>
        </w:rPr>
        <w:t>que</w:t>
      </w:r>
      <w:r>
        <w:rPr>
          <w:i/>
          <w:color w:val="231F20"/>
          <w:spacing w:val="-8"/>
          <w:sz w:val="18"/>
        </w:rPr>
        <w:t> </w:t>
      </w:r>
      <w:r>
        <w:rPr>
          <w:i/>
          <w:color w:val="231F20"/>
          <w:sz w:val="18"/>
        </w:rPr>
        <w:t>se</w:t>
      </w:r>
      <w:r>
        <w:rPr>
          <w:i/>
          <w:color w:val="231F20"/>
          <w:spacing w:val="-8"/>
          <w:sz w:val="18"/>
        </w:rPr>
        <w:t> </w:t>
      </w:r>
      <w:r>
        <w:rPr>
          <w:i/>
          <w:color w:val="231F20"/>
          <w:sz w:val="18"/>
        </w:rPr>
        <w:t>intercambian</w:t>
      </w:r>
      <w:r>
        <w:rPr>
          <w:i/>
          <w:color w:val="231F20"/>
          <w:spacing w:val="-8"/>
          <w:sz w:val="18"/>
        </w:rPr>
        <w:t> </w:t>
      </w:r>
      <w:r>
        <w:rPr>
          <w:i/>
          <w:color w:val="231F20"/>
          <w:sz w:val="18"/>
        </w:rPr>
        <w:t>con</w:t>
      </w:r>
      <w:r>
        <w:rPr>
          <w:i/>
          <w:color w:val="231F20"/>
          <w:spacing w:val="-8"/>
          <w:sz w:val="18"/>
        </w:rPr>
        <w:t> </w:t>
      </w:r>
      <w:r>
        <w:rPr>
          <w:i/>
          <w:color w:val="231F20"/>
          <w:sz w:val="18"/>
        </w:rPr>
        <w:t>los</w:t>
      </w:r>
      <w:r>
        <w:rPr>
          <w:i/>
          <w:color w:val="231F20"/>
          <w:spacing w:val="-8"/>
          <w:sz w:val="18"/>
        </w:rPr>
        <w:t> </w:t>
      </w:r>
      <w:r>
        <w:rPr>
          <w:i/>
          <w:color w:val="231F20"/>
          <w:sz w:val="18"/>
        </w:rPr>
        <w:t>bancos</w:t>
      </w:r>
      <w:r>
        <w:rPr>
          <w:i/>
          <w:color w:val="231F20"/>
          <w:spacing w:val="-8"/>
          <w:sz w:val="18"/>
        </w:rPr>
        <w:t> </w:t>
      </w:r>
      <w:r>
        <w:rPr>
          <w:i/>
          <w:color w:val="231F20"/>
          <w:sz w:val="18"/>
        </w:rPr>
        <w:t>corresponsales,</w:t>
      </w:r>
      <w:r>
        <w:rPr>
          <w:i/>
          <w:color w:val="231F20"/>
          <w:spacing w:val="-8"/>
          <w:sz w:val="18"/>
        </w:rPr>
        <w:t> </w:t>
      </w:r>
      <w:r>
        <w:rPr>
          <w:i/>
          <w:color w:val="231F20"/>
          <w:sz w:val="18"/>
        </w:rPr>
        <w:t>las</w:t>
      </w:r>
      <w:r>
        <w:rPr>
          <w:i/>
          <w:color w:val="231F20"/>
          <w:spacing w:val="-8"/>
          <w:sz w:val="18"/>
        </w:rPr>
        <w:t> </w:t>
      </w:r>
      <w:r>
        <w:rPr>
          <w:i/>
          <w:color w:val="231F20"/>
          <w:sz w:val="18"/>
        </w:rPr>
        <w:t>cuales</w:t>
      </w:r>
      <w:r>
        <w:rPr>
          <w:i/>
          <w:color w:val="231F20"/>
          <w:spacing w:val="-8"/>
          <w:sz w:val="18"/>
        </w:rPr>
        <w:t> </w:t>
      </w:r>
      <w:r>
        <w:rPr>
          <w:i/>
          <w:color w:val="231F20"/>
          <w:sz w:val="18"/>
        </w:rPr>
        <w:t>permiten</w:t>
      </w:r>
      <w:r>
        <w:rPr>
          <w:i/>
          <w:color w:val="231F20"/>
          <w:spacing w:val="-8"/>
          <w:sz w:val="18"/>
        </w:rPr>
        <w:t> </w:t>
      </w:r>
      <w:r>
        <w:rPr>
          <w:i/>
          <w:color w:val="231F20"/>
          <w:sz w:val="18"/>
        </w:rPr>
        <w:t>filtrar</w:t>
      </w:r>
      <w:r>
        <w:rPr>
          <w:i/>
          <w:color w:val="231F20"/>
          <w:spacing w:val="-8"/>
          <w:sz w:val="18"/>
        </w:rPr>
        <w:t> </w:t>
      </w:r>
      <w:r>
        <w:rPr>
          <w:i/>
          <w:color w:val="231F20"/>
          <w:sz w:val="18"/>
        </w:rPr>
        <w:t>y</w:t>
      </w:r>
      <w:r>
        <w:rPr>
          <w:i/>
          <w:color w:val="231F20"/>
          <w:spacing w:val="-8"/>
          <w:sz w:val="18"/>
        </w:rPr>
        <w:t> </w:t>
      </w:r>
      <w:r>
        <w:rPr>
          <w:i/>
          <w:color w:val="231F20"/>
          <w:sz w:val="18"/>
        </w:rPr>
        <w:t>limitar</w:t>
      </w:r>
      <w:r>
        <w:rPr>
          <w:i/>
          <w:color w:val="231F20"/>
          <w:spacing w:val="-8"/>
          <w:sz w:val="18"/>
        </w:rPr>
        <w:t> </w:t>
      </w:r>
      <w:r>
        <w:rPr>
          <w:i/>
          <w:color w:val="231F20"/>
          <w:sz w:val="18"/>
        </w:rPr>
        <w:t>la</w:t>
      </w:r>
      <w:r>
        <w:rPr>
          <w:i/>
          <w:color w:val="231F20"/>
          <w:spacing w:val="-8"/>
          <w:sz w:val="18"/>
        </w:rPr>
        <w:t> </w:t>
      </w:r>
      <w:r>
        <w:rPr>
          <w:i/>
          <w:color w:val="231F20"/>
          <w:sz w:val="18"/>
        </w:rPr>
        <w:t>mensajería</w:t>
      </w:r>
      <w:r>
        <w:rPr>
          <w:i/>
          <w:color w:val="231F20"/>
          <w:spacing w:val="-8"/>
          <w:sz w:val="18"/>
        </w:rPr>
        <w:t> </w:t>
      </w:r>
      <w:r>
        <w:rPr>
          <w:i/>
          <w:color w:val="231F20"/>
          <w:sz w:val="18"/>
        </w:rPr>
        <w:t>que</w:t>
      </w:r>
      <w:r>
        <w:rPr>
          <w:i/>
          <w:color w:val="231F20"/>
          <w:sz w:val="18"/>
        </w:rPr>
        <w:t> se recibe y el tipo de mensaje que se envía (conocida por sus siglas en inglés como RMA).</w:t>
      </w:r>
    </w:p>
    <w:p>
      <w:pPr>
        <w:spacing w:after="0" w:line="216" w:lineRule="auto"/>
        <w:jc w:val="left"/>
        <w:rPr>
          <w:sz w:val="18"/>
        </w:rPr>
        <w:sectPr>
          <w:type w:val="continuous"/>
          <w:pgSz w:w="11910" w:h="16840"/>
          <w:pgMar w:header="0" w:footer="695" w:top="1920" w:bottom="280" w:left="0" w:right="0"/>
        </w:sectPr>
      </w:pPr>
    </w:p>
    <w:p>
      <w:pPr>
        <w:spacing w:before="77"/>
        <w:ind w:left="1474" w:right="6007" w:firstLine="0"/>
        <w:jc w:val="both"/>
        <w:rPr>
          <w:i/>
          <w:sz w:val="24"/>
        </w:rPr>
      </w:pPr>
      <w:r>
        <w:rPr>
          <w:i/>
          <w:color w:val="231F20"/>
          <w:sz w:val="24"/>
        </w:rPr>
        <w:t>un estimado de 651 millones 329 mil 80</w:t>
      </w:r>
      <w:r>
        <w:rPr>
          <w:i/>
          <w:color w:val="231F20"/>
          <w:sz w:val="24"/>
        </w:rPr>
        <w:t> dólares por concepto de remesas, con la afectación directa a las familias cubanas que ello implica.</w:t>
      </w:r>
    </w:p>
    <w:p>
      <w:pPr>
        <w:pStyle w:val="BodyText"/>
        <w:spacing w:before="163"/>
        <w:ind w:left="1474" w:right="6012"/>
      </w:pPr>
      <w:r>
        <w:rPr>
          <w:color w:val="231F20"/>
          <w:spacing w:val="-8"/>
        </w:rPr>
        <w:t>Las entidades remesadoras estadounidenses </w:t>
      </w:r>
      <w:r>
        <w:rPr>
          <w:color w:val="231F20"/>
        </w:rPr>
        <w:t>VA</w:t>
      </w:r>
      <w:r>
        <w:rPr>
          <w:color w:val="231F20"/>
          <w:spacing w:val="-8"/>
        </w:rPr>
        <w:t> </w:t>
      </w:r>
      <w:r>
        <w:rPr>
          <w:color w:val="231F20"/>
        </w:rPr>
        <w:t>CUBA</w:t>
      </w:r>
      <w:r>
        <w:rPr>
          <w:color w:val="231F20"/>
          <w:spacing w:val="-8"/>
        </w:rPr>
        <w:t> </w:t>
      </w:r>
      <w:r>
        <w:rPr>
          <w:color w:val="231F20"/>
        </w:rPr>
        <w:t>y</w:t>
      </w:r>
      <w:r>
        <w:rPr>
          <w:color w:val="231F20"/>
          <w:spacing w:val="-8"/>
        </w:rPr>
        <w:t> </w:t>
      </w:r>
      <w:r>
        <w:rPr>
          <w:color w:val="231F20"/>
        </w:rPr>
        <w:t>CUBAMAX,</w:t>
      </w:r>
      <w:r>
        <w:rPr>
          <w:color w:val="231F20"/>
          <w:spacing w:val="-8"/>
        </w:rPr>
        <w:t> </w:t>
      </w:r>
      <w:r>
        <w:rPr>
          <w:color w:val="231F20"/>
        </w:rPr>
        <w:t>han</w:t>
      </w:r>
      <w:r>
        <w:rPr>
          <w:color w:val="231F20"/>
          <w:spacing w:val="-8"/>
        </w:rPr>
        <w:t> </w:t>
      </w:r>
      <w:r>
        <w:rPr>
          <w:color w:val="231F20"/>
        </w:rPr>
        <w:t>debido</w:t>
      </w:r>
      <w:r>
        <w:rPr>
          <w:color w:val="231F20"/>
          <w:spacing w:val="-8"/>
        </w:rPr>
        <w:t> </w:t>
      </w:r>
      <w:r>
        <w:rPr>
          <w:color w:val="231F20"/>
        </w:rPr>
        <w:t>operar </w:t>
      </w:r>
      <w:r>
        <w:rPr>
          <w:color w:val="231F20"/>
          <w:spacing w:val="-8"/>
        </w:rPr>
        <w:t>por</w:t>
      </w:r>
      <w:r>
        <w:rPr>
          <w:color w:val="231F20"/>
          <w:spacing w:val="-9"/>
        </w:rPr>
        <w:t> </w:t>
      </w:r>
      <w:r>
        <w:rPr>
          <w:color w:val="231F20"/>
          <w:spacing w:val="-8"/>
        </w:rPr>
        <w:t>debajo de</w:t>
      </w:r>
      <w:r>
        <w:rPr>
          <w:color w:val="231F20"/>
          <w:spacing w:val="-9"/>
        </w:rPr>
        <w:t> </w:t>
      </w:r>
      <w:r>
        <w:rPr>
          <w:color w:val="231F20"/>
          <w:spacing w:val="-8"/>
        </w:rPr>
        <w:t>sus capacidades.</w:t>
      </w:r>
      <w:r>
        <w:rPr>
          <w:color w:val="231F20"/>
          <w:spacing w:val="-9"/>
        </w:rPr>
        <w:t> </w:t>
      </w:r>
      <w:r>
        <w:rPr>
          <w:color w:val="231F20"/>
          <w:spacing w:val="-8"/>
        </w:rPr>
        <w:t>En el</w:t>
      </w:r>
      <w:r>
        <w:rPr>
          <w:color w:val="231F20"/>
          <w:spacing w:val="-9"/>
        </w:rPr>
        <w:t> </w:t>
      </w:r>
      <w:r>
        <w:rPr>
          <w:color w:val="231F20"/>
          <w:spacing w:val="-8"/>
        </w:rPr>
        <w:t>caso de </w:t>
      </w:r>
      <w:r>
        <w:rPr>
          <w:color w:val="231F20"/>
          <w:spacing w:val="-4"/>
        </w:rPr>
        <w:t>CUBAMAX,</w:t>
      </w:r>
      <w:r>
        <w:rPr>
          <w:color w:val="231F20"/>
          <w:spacing w:val="-13"/>
        </w:rPr>
        <w:t> </w:t>
      </w:r>
      <w:r>
        <w:rPr>
          <w:color w:val="231F20"/>
          <w:spacing w:val="-4"/>
        </w:rPr>
        <w:t>se</w:t>
      </w:r>
      <w:r>
        <w:rPr>
          <w:color w:val="231F20"/>
          <w:spacing w:val="-12"/>
        </w:rPr>
        <w:t> </w:t>
      </w:r>
      <w:r>
        <w:rPr>
          <w:color w:val="231F20"/>
          <w:spacing w:val="-4"/>
        </w:rPr>
        <w:t>ha</w:t>
      </w:r>
      <w:r>
        <w:rPr>
          <w:color w:val="231F20"/>
          <w:spacing w:val="-13"/>
        </w:rPr>
        <w:t> </w:t>
      </w:r>
      <w:r>
        <w:rPr>
          <w:color w:val="231F20"/>
          <w:spacing w:val="-4"/>
        </w:rPr>
        <w:t>visto</w:t>
      </w:r>
      <w:r>
        <w:rPr>
          <w:color w:val="231F20"/>
          <w:spacing w:val="-12"/>
        </w:rPr>
        <w:t> </w:t>
      </w:r>
      <w:r>
        <w:rPr>
          <w:color w:val="231F20"/>
          <w:spacing w:val="-4"/>
        </w:rPr>
        <w:t>obligada</w:t>
      </w:r>
      <w:r>
        <w:rPr>
          <w:color w:val="231F20"/>
          <w:spacing w:val="-13"/>
        </w:rPr>
        <w:t> </w:t>
      </w:r>
      <w:r>
        <w:rPr>
          <w:color w:val="231F20"/>
          <w:spacing w:val="-4"/>
        </w:rPr>
        <w:t>a</w:t>
      </w:r>
      <w:r>
        <w:rPr>
          <w:color w:val="231F20"/>
          <w:spacing w:val="-12"/>
        </w:rPr>
        <w:t> </w:t>
      </w:r>
      <w:r>
        <w:rPr>
          <w:color w:val="231F20"/>
          <w:spacing w:val="-4"/>
        </w:rPr>
        <w:t>triangular </w:t>
      </w:r>
      <w:r>
        <w:rPr>
          <w:color w:val="231F20"/>
        </w:rPr>
        <w:t>las</w:t>
      </w:r>
      <w:r>
        <w:rPr>
          <w:color w:val="231F20"/>
          <w:spacing w:val="-4"/>
        </w:rPr>
        <w:t> </w:t>
      </w:r>
      <w:r>
        <w:rPr>
          <w:color w:val="231F20"/>
        </w:rPr>
        <w:t>transferencias</w:t>
      </w:r>
      <w:r>
        <w:rPr>
          <w:color w:val="231F20"/>
          <w:spacing w:val="-4"/>
        </w:rPr>
        <w:t> </w:t>
      </w:r>
      <w:r>
        <w:rPr>
          <w:color w:val="231F20"/>
        </w:rPr>
        <w:t>bancarias</w:t>
      </w:r>
      <w:r>
        <w:rPr>
          <w:color w:val="231F20"/>
          <w:spacing w:val="-4"/>
        </w:rPr>
        <w:t> </w:t>
      </w:r>
      <w:r>
        <w:rPr>
          <w:color w:val="231F20"/>
        </w:rPr>
        <w:t>y</w:t>
      </w:r>
      <w:r>
        <w:rPr>
          <w:color w:val="231F20"/>
          <w:spacing w:val="-4"/>
        </w:rPr>
        <w:t> </w:t>
      </w:r>
      <w:r>
        <w:rPr>
          <w:color w:val="231F20"/>
        </w:rPr>
        <w:t>apoyarse</w:t>
      </w:r>
      <w:r>
        <w:rPr>
          <w:color w:val="231F20"/>
          <w:spacing w:val="-4"/>
        </w:rPr>
        <w:t> </w:t>
      </w:r>
      <w:r>
        <w:rPr>
          <w:color w:val="231F20"/>
        </w:rPr>
        <w:t>en otros</w:t>
      </w:r>
      <w:r>
        <w:rPr>
          <w:color w:val="231F20"/>
          <w:spacing w:val="-17"/>
        </w:rPr>
        <w:t> </w:t>
      </w:r>
      <w:r>
        <w:rPr>
          <w:color w:val="231F20"/>
        </w:rPr>
        <w:t>socios</w:t>
      </w:r>
      <w:r>
        <w:rPr>
          <w:color w:val="231F20"/>
          <w:spacing w:val="-16"/>
        </w:rPr>
        <w:t> </w:t>
      </w:r>
      <w:r>
        <w:rPr>
          <w:color w:val="231F20"/>
        </w:rPr>
        <w:t>comerciales.</w:t>
      </w:r>
    </w:p>
    <w:p>
      <w:pPr>
        <w:pStyle w:val="BodyText"/>
        <w:spacing w:before="165"/>
        <w:ind w:left="1474" w:right="6006"/>
      </w:pPr>
      <w:r>
        <w:rPr>
          <w:color w:val="231F20"/>
        </w:rPr>
        <w:t>Con VA CUBA, el daño estimado a </w:t>
      </w:r>
      <w:r>
        <w:rPr>
          <w:color w:val="231F20"/>
        </w:rPr>
        <w:t>la familia cubana se estima en 21 millones 981 mil 60 dólares dejados de recibir entre</w:t>
      </w:r>
      <w:r>
        <w:rPr>
          <w:color w:val="231F20"/>
          <w:spacing w:val="-15"/>
        </w:rPr>
        <w:t> </w:t>
      </w:r>
      <w:r>
        <w:rPr>
          <w:color w:val="231F20"/>
        </w:rPr>
        <w:t>marzo</w:t>
      </w:r>
      <w:r>
        <w:rPr>
          <w:color w:val="231F20"/>
          <w:spacing w:val="-15"/>
        </w:rPr>
        <w:t> </w:t>
      </w:r>
      <w:r>
        <w:rPr>
          <w:color w:val="231F20"/>
        </w:rPr>
        <w:t>de</w:t>
      </w:r>
      <w:r>
        <w:rPr>
          <w:color w:val="231F20"/>
          <w:spacing w:val="-15"/>
        </w:rPr>
        <w:t> </w:t>
      </w:r>
      <w:r>
        <w:rPr>
          <w:color w:val="231F20"/>
        </w:rPr>
        <w:t>2022</w:t>
      </w:r>
      <w:r>
        <w:rPr>
          <w:color w:val="231F20"/>
          <w:spacing w:val="-15"/>
        </w:rPr>
        <w:t> </w:t>
      </w:r>
      <w:r>
        <w:rPr>
          <w:color w:val="231F20"/>
        </w:rPr>
        <w:t>y</w:t>
      </w:r>
      <w:r>
        <w:rPr>
          <w:color w:val="231F20"/>
          <w:spacing w:val="-15"/>
        </w:rPr>
        <w:t> </w:t>
      </w:r>
      <w:r>
        <w:rPr>
          <w:color w:val="231F20"/>
        </w:rPr>
        <w:t>febrero</w:t>
      </w:r>
      <w:r>
        <w:rPr>
          <w:color w:val="231F20"/>
          <w:spacing w:val="-15"/>
        </w:rPr>
        <w:t> </w:t>
      </w:r>
      <w:r>
        <w:rPr>
          <w:color w:val="231F20"/>
        </w:rPr>
        <w:t>de</w:t>
      </w:r>
      <w:r>
        <w:rPr>
          <w:color w:val="231F20"/>
          <w:spacing w:val="-15"/>
        </w:rPr>
        <w:t> </w:t>
      </w:r>
      <w:r>
        <w:rPr>
          <w:color w:val="231F20"/>
        </w:rPr>
        <w:t>2023.</w:t>
      </w:r>
      <w:r>
        <w:rPr>
          <w:color w:val="231F20"/>
          <w:spacing w:val="-15"/>
        </w:rPr>
        <w:t> </w:t>
      </w:r>
      <w:r>
        <w:rPr>
          <w:color w:val="231F20"/>
        </w:rPr>
        <w:t>En cuanto</w:t>
      </w:r>
      <w:r>
        <w:rPr>
          <w:color w:val="231F20"/>
          <w:spacing w:val="-2"/>
        </w:rPr>
        <w:t> </w:t>
      </w:r>
      <w:r>
        <w:rPr>
          <w:color w:val="231F20"/>
        </w:rPr>
        <w:t>a</w:t>
      </w:r>
      <w:r>
        <w:rPr>
          <w:color w:val="231F20"/>
          <w:spacing w:val="-2"/>
        </w:rPr>
        <w:t> </w:t>
      </w:r>
      <w:r>
        <w:rPr>
          <w:color w:val="231F20"/>
        </w:rPr>
        <w:t>CUBAMAX,</w:t>
      </w:r>
      <w:r>
        <w:rPr>
          <w:color w:val="231F20"/>
          <w:spacing w:val="-2"/>
        </w:rPr>
        <w:t> </w:t>
      </w:r>
      <w:r>
        <w:rPr>
          <w:color w:val="231F20"/>
        </w:rPr>
        <w:t>dejó</w:t>
      </w:r>
      <w:r>
        <w:rPr>
          <w:color w:val="231F20"/>
          <w:spacing w:val="-2"/>
        </w:rPr>
        <w:t> </w:t>
      </w:r>
      <w:r>
        <w:rPr>
          <w:color w:val="231F20"/>
        </w:rPr>
        <w:t>de</w:t>
      </w:r>
      <w:r>
        <w:rPr>
          <w:color w:val="231F20"/>
          <w:spacing w:val="-2"/>
        </w:rPr>
        <w:t> </w:t>
      </w:r>
      <w:r>
        <w:rPr>
          <w:color w:val="231F20"/>
        </w:rPr>
        <w:t>gestionar</w:t>
      </w:r>
      <w:r>
        <w:rPr>
          <w:color w:val="231F20"/>
          <w:spacing w:val="-2"/>
        </w:rPr>
        <w:t> </w:t>
      </w:r>
      <w:r>
        <w:rPr>
          <w:color w:val="231F20"/>
        </w:rPr>
        <w:t>en el período 8 millones 961 mil 90 dólares.</w:t>
      </w:r>
    </w:p>
    <w:p>
      <w:pPr>
        <w:pStyle w:val="BodyText"/>
        <w:spacing w:before="208"/>
        <w:jc w:val="left"/>
        <w:rPr>
          <w:sz w:val="20"/>
        </w:rPr>
      </w:pPr>
      <w:r>
        <w:rPr/>
        <mc:AlternateContent>
          <mc:Choice Requires="wps">
            <w:drawing>
              <wp:anchor distT="0" distB="0" distL="0" distR="0" allowOverlap="1" layoutInCell="1" locked="0" behindDoc="1" simplePos="0" relativeHeight="487616000">
                <wp:simplePos x="0" y="0"/>
                <wp:positionH relativeFrom="page">
                  <wp:posOffset>2835008</wp:posOffset>
                </wp:positionH>
                <wp:positionV relativeFrom="paragraph">
                  <wp:posOffset>316239</wp:posOffset>
                </wp:positionV>
                <wp:extent cx="909319" cy="26034"/>
                <wp:effectExtent l="0" t="0" r="0" b="0"/>
                <wp:wrapTopAndBottom/>
                <wp:docPr id="109" name="Graphic 109"/>
                <wp:cNvGraphicFramePr>
                  <a:graphicFrameLocks/>
                </wp:cNvGraphicFramePr>
                <a:graphic>
                  <a:graphicData uri="http://schemas.microsoft.com/office/word/2010/wordprocessingShape">
                    <wps:wsp>
                      <wps:cNvPr id="109" name="Graphic 109"/>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23.229004pt;margin-top:24.900782pt;width:71.584pt;height:2.021pt;mso-position-horizontal-relative:page;mso-position-vertical-relative:paragraph;z-index:-15700480;mso-wrap-distance-left:0;mso-wrap-distance-right:0" id="docshape85"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sectPr>
      </w:pPr>
    </w:p>
    <w:p>
      <w:pPr>
        <w:pStyle w:val="BodyText"/>
        <w:spacing w:before="636"/>
        <w:jc w:val="left"/>
        <w:rPr>
          <w:sz w:val="56"/>
        </w:rPr>
      </w:pPr>
    </w:p>
    <w:p>
      <w:pPr>
        <w:pStyle w:val="Heading1"/>
        <w:spacing w:line="220" w:lineRule="auto" w:before="0"/>
        <w:ind w:right="6182"/>
      </w:pPr>
      <w:r>
        <w:rPr/>
        <mc:AlternateContent>
          <mc:Choice Requires="wps">
            <w:drawing>
              <wp:anchor distT="0" distB="0" distL="0" distR="0" allowOverlap="1" layoutInCell="1" locked="0" behindDoc="1" simplePos="0" relativeHeight="485780992">
                <wp:simplePos x="0" y="0"/>
                <wp:positionH relativeFrom="page">
                  <wp:posOffset>624248</wp:posOffset>
                </wp:positionH>
                <wp:positionV relativeFrom="paragraph">
                  <wp:posOffset>-830592</wp:posOffset>
                </wp:positionV>
                <wp:extent cx="1118870" cy="1544955"/>
                <wp:effectExtent l="0" t="0" r="0" b="0"/>
                <wp:wrapNone/>
                <wp:docPr id="110" name="Textbox 110"/>
                <wp:cNvGraphicFramePr>
                  <a:graphicFrameLocks/>
                </wp:cNvGraphicFramePr>
                <a:graphic>
                  <a:graphicData uri="http://schemas.microsoft.com/office/word/2010/wordprocessingShape">
                    <wps:wsp>
                      <wps:cNvPr id="110" name="Textbox 110"/>
                      <wps:cNvSpPr txBox="1"/>
                      <wps:spPr>
                        <a:xfrm>
                          <a:off x="0" y="0"/>
                          <a:ext cx="1118870"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12"/>
                                <w:w w:val="124"/>
                                <w:sz w:val="243"/>
                              </w:rPr>
                              <w:t>0</w:t>
                            </w:r>
                            <w:r>
                              <w:rPr>
                                <w:rFonts w:ascii="Arial"/>
                                <w:color w:val="B3B4CF"/>
                                <w:spacing w:val="-1621"/>
                                <w:w w:val="116"/>
                                <w:sz w:val="243"/>
                              </w:rPr>
                              <w:t>4</w:t>
                            </w:r>
                          </w:p>
                        </w:txbxContent>
                      </wps:txbx>
                      <wps:bodyPr wrap="square" lIns="0" tIns="0" rIns="0" bIns="0" rtlCol="0">
                        <a:noAutofit/>
                      </wps:bodyPr>
                    </wps:wsp>
                  </a:graphicData>
                </a:graphic>
              </wp:anchor>
            </w:drawing>
          </mc:Choice>
          <mc:Fallback>
            <w:pict>
              <v:shape style="position:absolute;margin-left:49.1534pt;margin-top:-65.400978pt;width:88.1pt;height:121.65pt;mso-position-horizontal-relative:page;mso-position-vertical-relative:paragraph;z-index:-17535488" type="#_x0000_t202" id="docshape86" filled="false" stroked="false">
                <v:textbox inset="0,0,0,0">
                  <w:txbxContent>
                    <w:p>
                      <w:pPr>
                        <w:spacing w:line="2432" w:lineRule="exact" w:before="0"/>
                        <w:ind w:left="0" w:right="0" w:firstLine="0"/>
                        <w:jc w:val="left"/>
                        <w:rPr>
                          <w:rFonts w:ascii="Arial"/>
                          <w:sz w:val="243"/>
                        </w:rPr>
                      </w:pPr>
                      <w:r>
                        <w:rPr>
                          <w:rFonts w:ascii="Arial"/>
                          <w:color w:val="B3B4CF"/>
                          <w:spacing w:val="-12"/>
                          <w:w w:val="124"/>
                          <w:sz w:val="243"/>
                        </w:rPr>
                        <w:t>0</w:t>
                      </w:r>
                      <w:r>
                        <w:rPr>
                          <w:rFonts w:ascii="Arial"/>
                          <w:color w:val="B3B4CF"/>
                          <w:spacing w:val="-1621"/>
                          <w:w w:val="116"/>
                          <w:sz w:val="243"/>
                        </w:rPr>
                        <w:t>4</w:t>
                      </w:r>
                    </w:p>
                  </w:txbxContent>
                </v:textbox>
                <w10:wrap type="none"/>
              </v:shape>
            </w:pict>
          </mc:Fallback>
        </mc:AlternateContent>
      </w:r>
      <w:r>
        <w:rPr>
          <w:color w:val="B52628"/>
          <w:w w:val="110"/>
        </w:rPr>
        <w:t>El</w:t>
      </w:r>
      <w:r>
        <w:rPr>
          <w:color w:val="B52628"/>
          <w:spacing w:val="35"/>
          <w:w w:val="150"/>
        </w:rPr>
        <w:t> </w:t>
      </w:r>
      <w:r>
        <w:rPr>
          <w:color w:val="B52628"/>
          <w:w w:val="110"/>
        </w:rPr>
        <w:t>bloqueo</w:t>
      </w:r>
      <w:r>
        <w:rPr>
          <w:color w:val="B52628"/>
          <w:spacing w:val="80"/>
          <w:w w:val="150"/>
        </w:rPr>
        <w:t> </w:t>
      </w:r>
      <w:r>
        <w:rPr>
          <w:color w:val="B52628"/>
          <w:w w:val="110"/>
        </w:rPr>
        <w:t>viola el </w:t>
      </w:r>
      <w:r>
        <w:rPr>
          <w:color w:val="B52628"/>
          <w:w w:val="110"/>
        </w:rPr>
        <w:t>Derecho </w:t>
      </w:r>
      <w:r>
        <w:rPr>
          <w:color w:val="B52628"/>
          <w:spacing w:val="-2"/>
          <w:w w:val="110"/>
        </w:rPr>
        <w:t>Internacional.</w:t>
      </w:r>
    </w:p>
    <w:p>
      <w:pPr>
        <w:spacing w:line="220" w:lineRule="auto" w:before="5"/>
        <w:ind w:left="1133" w:right="5894" w:firstLine="0"/>
        <w:jc w:val="left"/>
        <w:rPr>
          <w:rFonts w:ascii="Trebuchet MS" w:hAnsi="Trebuchet MS"/>
          <w:sz w:val="56"/>
        </w:rPr>
      </w:pPr>
      <w:r>
        <w:rPr>
          <w:rFonts w:ascii="Trebuchet MS" w:hAnsi="Trebuchet MS"/>
          <w:color w:val="B52628"/>
          <w:spacing w:val="-2"/>
          <w:w w:val="115"/>
          <w:sz w:val="56"/>
        </w:rPr>
        <w:t>Aplicación </w:t>
      </w:r>
      <w:r>
        <w:rPr>
          <w:rFonts w:ascii="Trebuchet MS" w:hAnsi="Trebuchet MS"/>
          <w:color w:val="B52628"/>
          <w:spacing w:val="-2"/>
          <w:w w:val="110"/>
          <w:sz w:val="56"/>
        </w:rPr>
        <w:t>extraterritorial</w:t>
      </w:r>
    </w:p>
    <w:p>
      <w:pPr>
        <w:pStyle w:val="BodyText"/>
        <w:spacing w:before="143"/>
        <w:jc w:val="left"/>
        <w:rPr>
          <w:rFonts w:ascii="Trebuchet MS"/>
          <w:sz w:val="20"/>
        </w:rPr>
      </w:pPr>
      <w:r>
        <w:rPr/>
        <mc:AlternateContent>
          <mc:Choice Requires="wps">
            <w:drawing>
              <wp:anchor distT="0" distB="0" distL="0" distR="0" allowOverlap="1" layoutInCell="1" locked="0" behindDoc="1" simplePos="0" relativeHeight="487616512">
                <wp:simplePos x="0" y="0"/>
                <wp:positionH relativeFrom="page">
                  <wp:posOffset>720001</wp:posOffset>
                </wp:positionH>
                <wp:positionV relativeFrom="paragraph">
                  <wp:posOffset>253630</wp:posOffset>
                </wp:positionV>
                <wp:extent cx="909319" cy="26034"/>
                <wp:effectExtent l="0" t="0" r="0" b="0"/>
                <wp:wrapTopAndBottom/>
                <wp:docPr id="111" name="Graphic 111"/>
                <wp:cNvGraphicFramePr>
                  <a:graphicFrameLocks/>
                </wp:cNvGraphicFramePr>
                <a:graphic>
                  <a:graphicData uri="http://schemas.microsoft.com/office/word/2010/wordprocessingShape">
                    <wps:wsp>
                      <wps:cNvPr id="111" name="Graphic 111"/>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56.693001pt;margin-top:19.970905pt;width:71.584pt;height:2.021pt;mso-position-horizontal-relative:page;mso-position-vertical-relative:paragraph;z-index:-15699968;mso-wrap-distance-left:0;mso-wrap-distance-right:0" id="docshape87" filled="true" fillcolor="#1f4282" stroked="false">
                <v:fill type="solid"/>
                <w10:wrap type="topAndBottom"/>
              </v:rect>
            </w:pict>
          </mc:Fallback>
        </mc:AlternateContent>
      </w:r>
    </w:p>
    <w:p>
      <w:pPr>
        <w:pStyle w:val="BodyText"/>
        <w:spacing w:before="48"/>
        <w:jc w:val="left"/>
        <w:rPr>
          <w:rFonts w:ascii="Trebuchet MS"/>
          <w:sz w:val="20"/>
        </w:rPr>
      </w:pPr>
    </w:p>
    <w:p>
      <w:pPr>
        <w:spacing w:after="0"/>
        <w:jc w:val="left"/>
        <w:rPr>
          <w:rFonts w:ascii="Trebuchet MS"/>
          <w:sz w:val="20"/>
        </w:rPr>
        <w:sectPr>
          <w:pgSz w:w="11910" w:h="16840"/>
          <w:pgMar w:header="0" w:footer="695" w:top="780" w:bottom="880" w:left="0" w:right="0"/>
        </w:sectPr>
      </w:pPr>
    </w:p>
    <w:p>
      <w:pPr>
        <w:pStyle w:val="Heading2"/>
        <w:spacing w:before="103"/>
        <w:ind w:right="1363"/>
      </w:pPr>
      <w:r>
        <w:rPr>
          <w:color w:val="1F4282"/>
          <w:w w:val="115"/>
        </w:rPr>
        <w:t>Afectaciones a </w:t>
      </w:r>
      <w:r>
        <w:rPr>
          <w:color w:val="1F4282"/>
          <w:w w:val="110"/>
        </w:rPr>
        <w:t>entidades </w:t>
      </w:r>
      <w:r>
        <w:rPr>
          <w:color w:val="1F4282"/>
          <w:w w:val="110"/>
        </w:rPr>
        <w:t>cubanas</w:t>
      </w:r>
    </w:p>
    <w:p>
      <w:pPr>
        <w:pStyle w:val="BodyText"/>
        <w:spacing w:before="163"/>
        <w:ind w:left="1133"/>
      </w:pPr>
      <w:r>
        <w:rPr>
          <w:b/>
          <w:color w:val="B52628"/>
        </w:rPr>
        <w:t>En mayo de 2022</w:t>
      </w:r>
      <w:r>
        <w:rPr>
          <w:color w:val="231F20"/>
        </w:rPr>
        <w:t>, YPF, la </w:t>
      </w:r>
      <w:r>
        <w:rPr>
          <w:color w:val="231F20"/>
        </w:rPr>
        <w:t>compañía proveedora de combustible de Cubana</w:t>
      </w:r>
      <w:r>
        <w:rPr>
          <w:color w:val="231F20"/>
          <w:spacing w:val="40"/>
        </w:rPr>
        <w:t> </w:t>
      </w:r>
      <w:r>
        <w:rPr>
          <w:color w:val="231F20"/>
        </w:rPr>
        <w:t>de Aviación en Argentina, comunicó la imposibilidad de serviciar aeronaves cubanas, dado que el banco español SANTANDER, donde radican las cuentas de la empresa, se negó a aceptar pagos provenientes de Cuba por ser un país sancionado por la OFAC.</w:t>
      </w:r>
    </w:p>
    <w:p>
      <w:pPr>
        <w:pStyle w:val="BodyText"/>
        <w:spacing w:before="167"/>
        <w:ind w:left="1133"/>
      </w:pPr>
      <w:r>
        <w:rPr>
          <w:b/>
          <w:color w:val="B52628"/>
        </w:rPr>
        <w:t>Durante 2022</w:t>
      </w:r>
      <w:r>
        <w:rPr>
          <w:color w:val="231F20"/>
        </w:rPr>
        <w:t>, la Sociedad Marroquí del </w:t>
      </w:r>
      <w:r>
        <w:rPr>
          <w:color w:val="231F20"/>
          <w:spacing w:val="-10"/>
        </w:rPr>
        <w:t>Tabaco,</w:t>
      </w:r>
      <w:r>
        <w:rPr>
          <w:color w:val="231F20"/>
        </w:rPr>
        <w:t> </w:t>
      </w:r>
      <w:r>
        <w:rPr>
          <w:color w:val="231F20"/>
          <w:spacing w:val="-10"/>
        </w:rPr>
        <w:t>distribuidor</w:t>
      </w:r>
      <w:r>
        <w:rPr>
          <w:color w:val="231F20"/>
        </w:rPr>
        <w:t> </w:t>
      </w:r>
      <w:r>
        <w:rPr>
          <w:color w:val="231F20"/>
          <w:spacing w:val="-10"/>
        </w:rPr>
        <w:t>exclusivo</w:t>
      </w:r>
      <w:r>
        <w:rPr>
          <w:color w:val="231F20"/>
        </w:rPr>
        <w:t> </w:t>
      </w:r>
      <w:r>
        <w:rPr>
          <w:color w:val="231F20"/>
          <w:spacing w:val="-10"/>
        </w:rPr>
        <w:t>de</w:t>
      </w:r>
      <w:r>
        <w:rPr>
          <w:color w:val="231F20"/>
        </w:rPr>
        <w:t> </w:t>
      </w:r>
      <w:r>
        <w:rPr>
          <w:color w:val="231F20"/>
          <w:spacing w:val="-10"/>
        </w:rPr>
        <w:t>los</w:t>
      </w:r>
      <w:r>
        <w:rPr>
          <w:color w:val="231F20"/>
        </w:rPr>
        <w:t> </w:t>
      </w:r>
      <w:r>
        <w:rPr>
          <w:color w:val="231F20"/>
          <w:spacing w:val="-10"/>
        </w:rPr>
        <w:t>famosos </w:t>
      </w:r>
      <w:r>
        <w:rPr>
          <w:color w:val="231F20"/>
        </w:rPr>
        <w:t>Habanos, se vio imposibilitada de realizar </w:t>
      </w:r>
      <w:r>
        <w:rPr>
          <w:color w:val="231F20"/>
          <w:spacing w:val="-6"/>
        </w:rPr>
        <w:t>sus</w:t>
      </w:r>
      <w:r>
        <w:rPr>
          <w:color w:val="231F20"/>
          <w:spacing w:val="-11"/>
        </w:rPr>
        <w:t> </w:t>
      </w:r>
      <w:r>
        <w:rPr>
          <w:color w:val="231F20"/>
          <w:spacing w:val="-6"/>
        </w:rPr>
        <w:t>pagos</w:t>
      </w:r>
      <w:r>
        <w:rPr>
          <w:color w:val="231F20"/>
          <w:spacing w:val="-10"/>
        </w:rPr>
        <w:t> </w:t>
      </w:r>
      <w:r>
        <w:rPr>
          <w:color w:val="231F20"/>
          <w:spacing w:val="-6"/>
        </w:rPr>
        <w:t>correspondientes</w:t>
      </w:r>
      <w:r>
        <w:rPr>
          <w:color w:val="231F20"/>
          <w:spacing w:val="-11"/>
        </w:rPr>
        <w:t> </w:t>
      </w:r>
      <w:r>
        <w:rPr>
          <w:color w:val="231F20"/>
          <w:spacing w:val="-6"/>
        </w:rPr>
        <w:t>a</w:t>
      </w:r>
      <w:r>
        <w:rPr>
          <w:color w:val="231F20"/>
          <w:spacing w:val="-10"/>
        </w:rPr>
        <w:t> </w:t>
      </w:r>
      <w:r>
        <w:rPr>
          <w:color w:val="231F20"/>
          <w:spacing w:val="-6"/>
        </w:rPr>
        <w:t>la</w:t>
      </w:r>
      <w:r>
        <w:rPr>
          <w:color w:val="231F20"/>
          <w:spacing w:val="-11"/>
        </w:rPr>
        <w:t> </w:t>
      </w:r>
      <w:r>
        <w:rPr>
          <w:color w:val="231F20"/>
          <w:spacing w:val="-6"/>
        </w:rPr>
        <w:t>contraparte </w:t>
      </w:r>
      <w:r>
        <w:rPr>
          <w:color w:val="231F20"/>
          <w:spacing w:val="-4"/>
        </w:rPr>
        <w:t>en</w:t>
      </w:r>
      <w:r>
        <w:rPr>
          <w:color w:val="231F20"/>
          <w:spacing w:val="-13"/>
        </w:rPr>
        <w:t> </w:t>
      </w:r>
      <w:r>
        <w:rPr>
          <w:color w:val="231F20"/>
          <w:spacing w:val="-4"/>
        </w:rPr>
        <w:t>Cuba,</w:t>
      </w:r>
      <w:r>
        <w:rPr>
          <w:color w:val="231F20"/>
          <w:spacing w:val="-12"/>
        </w:rPr>
        <w:t> </w:t>
      </w:r>
      <w:r>
        <w:rPr>
          <w:color w:val="231F20"/>
          <w:spacing w:val="-4"/>
        </w:rPr>
        <w:t>como</w:t>
      </w:r>
      <w:r>
        <w:rPr>
          <w:color w:val="231F20"/>
          <w:spacing w:val="-13"/>
        </w:rPr>
        <w:t> </w:t>
      </w:r>
      <w:r>
        <w:rPr>
          <w:color w:val="231F20"/>
          <w:spacing w:val="-4"/>
        </w:rPr>
        <w:t>consecuencia</w:t>
      </w:r>
      <w:r>
        <w:rPr>
          <w:color w:val="231F20"/>
          <w:spacing w:val="-12"/>
        </w:rPr>
        <w:t> </w:t>
      </w:r>
      <w:r>
        <w:rPr>
          <w:color w:val="231F20"/>
          <w:spacing w:val="-4"/>
        </w:rPr>
        <w:t>de</w:t>
      </w:r>
      <w:r>
        <w:rPr>
          <w:color w:val="231F20"/>
          <w:spacing w:val="-13"/>
        </w:rPr>
        <w:t> </w:t>
      </w:r>
      <w:r>
        <w:rPr>
          <w:color w:val="231F20"/>
          <w:spacing w:val="-4"/>
        </w:rPr>
        <w:t>la</w:t>
      </w:r>
      <w:r>
        <w:rPr>
          <w:color w:val="231F20"/>
          <w:spacing w:val="-12"/>
        </w:rPr>
        <w:t> </w:t>
      </w:r>
      <w:r>
        <w:rPr>
          <w:color w:val="231F20"/>
          <w:spacing w:val="-4"/>
        </w:rPr>
        <w:t>negativa </w:t>
      </w:r>
      <w:r>
        <w:rPr>
          <w:color w:val="231F20"/>
        </w:rPr>
        <w:t>de los bancos intermediarios a realizar </w:t>
      </w:r>
      <w:r>
        <w:rPr>
          <w:color w:val="231F20"/>
          <w:spacing w:val="-6"/>
        </w:rPr>
        <w:t>transacciones</w:t>
      </w:r>
      <w:r>
        <w:rPr>
          <w:color w:val="231F20"/>
          <w:spacing w:val="-11"/>
        </w:rPr>
        <w:t> </w:t>
      </w:r>
      <w:r>
        <w:rPr>
          <w:color w:val="231F20"/>
          <w:spacing w:val="-6"/>
        </w:rPr>
        <w:t>relacionadas</w:t>
      </w:r>
      <w:r>
        <w:rPr>
          <w:color w:val="231F20"/>
          <w:spacing w:val="-10"/>
        </w:rPr>
        <w:t> </w:t>
      </w:r>
      <w:r>
        <w:rPr>
          <w:color w:val="231F20"/>
          <w:spacing w:val="-6"/>
        </w:rPr>
        <w:t>con</w:t>
      </w:r>
      <w:r>
        <w:rPr>
          <w:color w:val="231F20"/>
          <w:spacing w:val="-11"/>
        </w:rPr>
        <w:t> </w:t>
      </w:r>
      <w:r>
        <w:rPr>
          <w:color w:val="231F20"/>
          <w:spacing w:val="-6"/>
        </w:rPr>
        <w:t>el</w:t>
      </w:r>
      <w:r>
        <w:rPr>
          <w:color w:val="231F20"/>
          <w:spacing w:val="-10"/>
        </w:rPr>
        <w:t> </w:t>
      </w:r>
      <w:r>
        <w:rPr>
          <w:color w:val="231F20"/>
          <w:spacing w:val="-6"/>
        </w:rPr>
        <w:t>país.</w:t>
      </w:r>
      <w:r>
        <w:rPr>
          <w:color w:val="231F20"/>
          <w:spacing w:val="-10"/>
        </w:rPr>
        <w:t> </w:t>
      </w:r>
      <w:r>
        <w:rPr>
          <w:color w:val="231F20"/>
          <w:spacing w:val="-6"/>
        </w:rPr>
        <w:t>Entre </w:t>
      </w:r>
      <w:r>
        <w:rPr>
          <w:color w:val="231F20"/>
          <w:spacing w:val="-8"/>
        </w:rPr>
        <w:t>los principales actores marroquíes afectados, </w:t>
      </w:r>
      <w:r>
        <w:rPr>
          <w:color w:val="231F20"/>
        </w:rPr>
        <w:t>se encuentran los establecimientos que funcionan bajo la franquicia comercial cubana “Casa del Habano”, con sedes en </w:t>
      </w:r>
      <w:r>
        <w:rPr>
          <w:color w:val="231F20"/>
          <w:spacing w:val="-4"/>
        </w:rPr>
        <w:t>Rabat,</w:t>
      </w:r>
      <w:r>
        <w:rPr>
          <w:color w:val="231F20"/>
          <w:spacing w:val="-10"/>
        </w:rPr>
        <w:t> </w:t>
      </w:r>
      <w:r>
        <w:rPr>
          <w:color w:val="231F20"/>
          <w:spacing w:val="-4"/>
        </w:rPr>
        <w:t>Casablanca</w:t>
      </w:r>
      <w:r>
        <w:rPr>
          <w:color w:val="231F20"/>
          <w:spacing w:val="-10"/>
        </w:rPr>
        <w:t> </w:t>
      </w:r>
      <w:r>
        <w:rPr>
          <w:color w:val="231F20"/>
          <w:spacing w:val="-4"/>
        </w:rPr>
        <w:t>y</w:t>
      </w:r>
      <w:r>
        <w:rPr>
          <w:color w:val="231F20"/>
          <w:spacing w:val="-10"/>
        </w:rPr>
        <w:t> </w:t>
      </w:r>
      <w:r>
        <w:rPr>
          <w:color w:val="231F20"/>
          <w:spacing w:val="-4"/>
        </w:rPr>
        <w:t>Marrakech,</w:t>
      </w:r>
      <w:r>
        <w:rPr>
          <w:color w:val="231F20"/>
          <w:spacing w:val="-10"/>
        </w:rPr>
        <w:t> </w:t>
      </w:r>
      <w:r>
        <w:rPr>
          <w:color w:val="231F20"/>
          <w:spacing w:val="-4"/>
        </w:rPr>
        <w:t>este</w:t>
      </w:r>
      <w:r>
        <w:rPr>
          <w:color w:val="231F20"/>
          <w:spacing w:val="-10"/>
        </w:rPr>
        <w:t> </w:t>
      </w:r>
      <w:r>
        <w:rPr>
          <w:color w:val="231F20"/>
          <w:spacing w:val="-4"/>
        </w:rPr>
        <w:t>último </w:t>
      </w:r>
      <w:r>
        <w:rPr>
          <w:color w:val="231F20"/>
        </w:rPr>
        <w:t>en proceso de apertura. Al ser franquicias que</w:t>
      </w:r>
      <w:r>
        <w:rPr>
          <w:color w:val="231F20"/>
          <w:spacing w:val="-12"/>
        </w:rPr>
        <w:t> </w:t>
      </w:r>
      <w:r>
        <w:rPr>
          <w:color w:val="231F20"/>
        </w:rPr>
        <w:t>dependen</w:t>
      </w:r>
      <w:r>
        <w:rPr>
          <w:color w:val="231F20"/>
          <w:spacing w:val="-12"/>
        </w:rPr>
        <w:t> </w:t>
      </w:r>
      <w:r>
        <w:rPr>
          <w:color w:val="231F20"/>
        </w:rPr>
        <w:t>exclusivamente</w:t>
      </w:r>
      <w:r>
        <w:rPr>
          <w:color w:val="231F20"/>
          <w:spacing w:val="-12"/>
        </w:rPr>
        <w:t> </w:t>
      </w:r>
      <w:r>
        <w:rPr>
          <w:color w:val="231F20"/>
        </w:rPr>
        <w:t>de</w:t>
      </w:r>
      <w:r>
        <w:rPr>
          <w:color w:val="231F20"/>
          <w:spacing w:val="-12"/>
        </w:rPr>
        <w:t> </w:t>
      </w:r>
      <w:r>
        <w:rPr>
          <w:color w:val="231F20"/>
        </w:rPr>
        <w:t>la</w:t>
      </w:r>
      <w:r>
        <w:rPr>
          <w:color w:val="231F20"/>
          <w:spacing w:val="-12"/>
        </w:rPr>
        <w:t> </w:t>
      </w:r>
      <w:r>
        <w:rPr>
          <w:color w:val="231F20"/>
        </w:rPr>
        <w:t>venta </w:t>
      </w:r>
      <w:r>
        <w:rPr>
          <w:color w:val="231F20"/>
          <w:spacing w:val="-4"/>
        </w:rPr>
        <w:t>del</w:t>
      </w:r>
      <w:r>
        <w:rPr>
          <w:color w:val="231F20"/>
          <w:spacing w:val="-13"/>
        </w:rPr>
        <w:t> </w:t>
      </w:r>
      <w:r>
        <w:rPr>
          <w:color w:val="231F20"/>
          <w:spacing w:val="-4"/>
        </w:rPr>
        <w:t>producto</w:t>
      </w:r>
      <w:r>
        <w:rPr>
          <w:color w:val="231F20"/>
          <w:spacing w:val="-12"/>
        </w:rPr>
        <w:t> </w:t>
      </w:r>
      <w:r>
        <w:rPr>
          <w:color w:val="231F20"/>
          <w:spacing w:val="-4"/>
        </w:rPr>
        <w:t>cubano,</w:t>
      </w:r>
      <w:r>
        <w:rPr>
          <w:color w:val="231F20"/>
          <w:spacing w:val="-13"/>
        </w:rPr>
        <w:t> </w:t>
      </w:r>
      <w:r>
        <w:rPr>
          <w:color w:val="231F20"/>
          <w:spacing w:val="-4"/>
        </w:rPr>
        <w:t>son</w:t>
      </w:r>
      <w:r>
        <w:rPr>
          <w:color w:val="231F20"/>
          <w:spacing w:val="-12"/>
        </w:rPr>
        <w:t> </w:t>
      </w:r>
      <w:r>
        <w:rPr>
          <w:color w:val="231F20"/>
          <w:spacing w:val="-4"/>
        </w:rPr>
        <w:t>las</w:t>
      </w:r>
      <w:r>
        <w:rPr>
          <w:color w:val="231F20"/>
          <w:spacing w:val="-13"/>
        </w:rPr>
        <w:t> </w:t>
      </w:r>
      <w:r>
        <w:rPr>
          <w:color w:val="231F20"/>
          <w:spacing w:val="-4"/>
        </w:rPr>
        <w:t>más</w:t>
      </w:r>
      <w:r>
        <w:rPr>
          <w:color w:val="231F20"/>
          <w:spacing w:val="-12"/>
        </w:rPr>
        <w:t> </w:t>
      </w:r>
      <w:r>
        <w:rPr>
          <w:color w:val="231F20"/>
          <w:spacing w:val="-4"/>
        </w:rPr>
        <w:t>afectadas </w:t>
      </w:r>
      <w:r>
        <w:rPr>
          <w:color w:val="231F20"/>
        </w:rPr>
        <w:t>en lo relativo a la pérdida de empleos e ingresos</w:t>
      </w:r>
      <w:r>
        <w:rPr>
          <w:color w:val="231F20"/>
          <w:spacing w:val="-8"/>
        </w:rPr>
        <w:t> </w:t>
      </w:r>
      <w:r>
        <w:rPr>
          <w:color w:val="231F20"/>
        </w:rPr>
        <w:t>y</w:t>
      </w:r>
      <w:r>
        <w:rPr>
          <w:color w:val="231F20"/>
          <w:spacing w:val="-8"/>
        </w:rPr>
        <w:t> </w:t>
      </w:r>
      <w:r>
        <w:rPr>
          <w:color w:val="231F20"/>
        </w:rPr>
        <w:t>el</w:t>
      </w:r>
      <w:r>
        <w:rPr>
          <w:color w:val="231F20"/>
          <w:spacing w:val="-8"/>
        </w:rPr>
        <w:t> </w:t>
      </w:r>
      <w:r>
        <w:rPr>
          <w:color w:val="231F20"/>
        </w:rPr>
        <w:t>cierre</w:t>
      </w:r>
      <w:r>
        <w:rPr>
          <w:color w:val="231F20"/>
          <w:spacing w:val="-8"/>
        </w:rPr>
        <w:t> </w:t>
      </w:r>
      <w:r>
        <w:rPr>
          <w:color w:val="231F20"/>
        </w:rPr>
        <w:t>temporal</w:t>
      </w:r>
      <w:r>
        <w:rPr>
          <w:color w:val="231F20"/>
          <w:spacing w:val="-8"/>
        </w:rPr>
        <w:t> </w:t>
      </w:r>
      <w:r>
        <w:rPr>
          <w:color w:val="231F20"/>
        </w:rPr>
        <w:t>de</w:t>
      </w:r>
      <w:r>
        <w:rPr>
          <w:color w:val="231F20"/>
          <w:spacing w:val="-8"/>
        </w:rPr>
        <w:t> </w:t>
      </w:r>
      <w:r>
        <w:rPr>
          <w:color w:val="231F20"/>
        </w:rPr>
        <w:t>locales.</w:t>
      </w:r>
    </w:p>
    <w:p>
      <w:pPr>
        <w:pStyle w:val="BodyText"/>
        <w:spacing w:before="100"/>
        <w:ind w:left="412" w:right="1471"/>
      </w:pPr>
      <w:r>
        <w:rPr/>
        <w:br w:type="column"/>
      </w:r>
      <w:r>
        <w:rPr>
          <w:b/>
          <w:color w:val="B52628"/>
        </w:rPr>
        <w:t>En agosto de 2022</w:t>
      </w:r>
      <w:r>
        <w:rPr>
          <w:color w:val="231F20"/>
        </w:rPr>
        <w:t>, se conoció sobre la </w:t>
      </w:r>
      <w:r>
        <w:rPr>
          <w:color w:val="231F20"/>
          <w:spacing w:val="-2"/>
        </w:rPr>
        <w:t>cancelación</w:t>
      </w:r>
      <w:r>
        <w:rPr>
          <w:color w:val="231F20"/>
          <w:spacing w:val="-15"/>
        </w:rPr>
        <w:t> </w:t>
      </w:r>
      <w:r>
        <w:rPr>
          <w:color w:val="231F20"/>
          <w:spacing w:val="-2"/>
        </w:rPr>
        <w:t>de</w:t>
      </w:r>
      <w:r>
        <w:rPr>
          <w:color w:val="231F20"/>
          <w:spacing w:val="-14"/>
        </w:rPr>
        <w:t> </w:t>
      </w:r>
      <w:r>
        <w:rPr>
          <w:color w:val="231F20"/>
          <w:spacing w:val="-2"/>
        </w:rPr>
        <w:t>visado</w:t>
      </w:r>
      <w:r>
        <w:rPr>
          <w:color w:val="231F20"/>
          <w:spacing w:val="-15"/>
        </w:rPr>
        <w:t> </w:t>
      </w:r>
      <w:r>
        <w:rPr>
          <w:color w:val="231F20"/>
          <w:spacing w:val="-2"/>
        </w:rPr>
        <w:t>a</w:t>
      </w:r>
      <w:r>
        <w:rPr>
          <w:color w:val="231F20"/>
          <w:spacing w:val="-14"/>
        </w:rPr>
        <w:t> </w:t>
      </w:r>
      <w:r>
        <w:rPr>
          <w:color w:val="231F20"/>
          <w:spacing w:val="-2"/>
        </w:rPr>
        <w:t>los</w:t>
      </w:r>
      <w:r>
        <w:rPr>
          <w:color w:val="231F20"/>
          <w:spacing w:val="-14"/>
        </w:rPr>
        <w:t> </w:t>
      </w:r>
      <w:r>
        <w:rPr>
          <w:color w:val="231F20"/>
          <w:spacing w:val="-2"/>
        </w:rPr>
        <w:t>Estados</w:t>
      </w:r>
      <w:r>
        <w:rPr>
          <w:color w:val="231F20"/>
          <w:spacing w:val="-15"/>
        </w:rPr>
        <w:t> </w:t>
      </w:r>
      <w:r>
        <w:rPr>
          <w:color w:val="231F20"/>
          <w:spacing w:val="-2"/>
        </w:rPr>
        <w:t>Unidos </w:t>
      </w:r>
      <w:r>
        <w:rPr>
          <w:color w:val="231F20"/>
        </w:rPr>
        <w:t>al empresario chipriota y director general de Phoenicia, así como a sus dos hijos menores de edad. La empresa Phoenicia comercializa</w:t>
      </w:r>
      <w:r>
        <w:rPr>
          <w:color w:val="231F20"/>
          <w:spacing w:val="-14"/>
        </w:rPr>
        <w:t> </w:t>
      </w:r>
      <w:r>
        <w:rPr>
          <w:color w:val="231F20"/>
        </w:rPr>
        <w:t>y</w:t>
      </w:r>
      <w:r>
        <w:rPr>
          <w:color w:val="231F20"/>
          <w:spacing w:val="-14"/>
        </w:rPr>
        <w:t> </w:t>
      </w:r>
      <w:r>
        <w:rPr>
          <w:color w:val="231F20"/>
        </w:rPr>
        <w:t>distribuye</w:t>
      </w:r>
      <w:r>
        <w:rPr>
          <w:color w:val="231F20"/>
          <w:spacing w:val="-14"/>
        </w:rPr>
        <w:t> </w:t>
      </w:r>
      <w:r>
        <w:rPr>
          <w:color w:val="231F20"/>
        </w:rPr>
        <w:t>Habanos,</w:t>
      </w:r>
      <w:r>
        <w:rPr>
          <w:color w:val="231F20"/>
          <w:spacing w:val="-14"/>
        </w:rPr>
        <w:t> </w:t>
      </w:r>
      <w:r>
        <w:rPr>
          <w:color w:val="231F20"/>
        </w:rPr>
        <w:t>uno</w:t>
      </w:r>
      <w:r>
        <w:rPr>
          <w:color w:val="231F20"/>
          <w:spacing w:val="-14"/>
        </w:rPr>
        <w:t> </w:t>
      </w:r>
      <w:r>
        <w:rPr>
          <w:color w:val="231F20"/>
        </w:rPr>
        <w:t>de los productos insigne de Cuba.</w:t>
      </w:r>
    </w:p>
    <w:p>
      <w:pPr>
        <w:pStyle w:val="BodyText"/>
        <w:spacing w:before="165"/>
        <w:ind w:left="412" w:right="1470"/>
      </w:pPr>
      <w:r>
        <w:rPr>
          <w:b/>
          <w:color w:val="B52628"/>
        </w:rPr>
        <w:t>En agosto de 2022</w:t>
      </w:r>
      <w:r>
        <w:rPr>
          <w:color w:val="231F20"/>
        </w:rPr>
        <w:t>, el Banco Nacional</w:t>
      </w:r>
      <w:r>
        <w:rPr>
          <w:color w:val="231F20"/>
          <w:spacing w:val="80"/>
        </w:rPr>
        <w:t> </w:t>
      </w:r>
      <w:r>
        <w:rPr>
          <w:color w:val="231F20"/>
        </w:rPr>
        <w:t>de Australia procedió a comunicar </w:t>
      </w:r>
      <w:r>
        <w:rPr>
          <w:color w:val="231F20"/>
        </w:rPr>
        <w:t>que </w:t>
      </w:r>
      <w:r>
        <w:rPr>
          <w:color w:val="231F20"/>
          <w:spacing w:val="-2"/>
        </w:rPr>
        <w:t>cerraría</w:t>
      </w:r>
      <w:r>
        <w:rPr>
          <w:color w:val="231F20"/>
          <w:spacing w:val="-12"/>
        </w:rPr>
        <w:t> </w:t>
      </w:r>
      <w:r>
        <w:rPr>
          <w:color w:val="231F20"/>
          <w:spacing w:val="-2"/>
        </w:rPr>
        <w:t>las</w:t>
      </w:r>
      <w:r>
        <w:rPr>
          <w:color w:val="231F20"/>
          <w:spacing w:val="-11"/>
        </w:rPr>
        <w:t> </w:t>
      </w:r>
      <w:r>
        <w:rPr>
          <w:color w:val="231F20"/>
          <w:spacing w:val="-2"/>
        </w:rPr>
        <w:t>cuentas</w:t>
      </w:r>
      <w:r>
        <w:rPr>
          <w:color w:val="231F20"/>
          <w:spacing w:val="-11"/>
        </w:rPr>
        <w:t> </w:t>
      </w:r>
      <w:r>
        <w:rPr>
          <w:color w:val="231F20"/>
          <w:spacing w:val="-2"/>
        </w:rPr>
        <w:t>de</w:t>
      </w:r>
      <w:r>
        <w:rPr>
          <w:color w:val="231F20"/>
          <w:spacing w:val="-11"/>
        </w:rPr>
        <w:t> </w:t>
      </w:r>
      <w:r>
        <w:rPr>
          <w:color w:val="231F20"/>
          <w:spacing w:val="-2"/>
        </w:rPr>
        <w:t>la</w:t>
      </w:r>
      <w:r>
        <w:rPr>
          <w:color w:val="231F20"/>
          <w:spacing w:val="-11"/>
        </w:rPr>
        <w:t> </w:t>
      </w:r>
      <w:r>
        <w:rPr>
          <w:color w:val="231F20"/>
          <w:spacing w:val="-2"/>
        </w:rPr>
        <w:t>Embajada</w:t>
      </w:r>
      <w:r>
        <w:rPr>
          <w:color w:val="231F20"/>
          <w:spacing w:val="-11"/>
        </w:rPr>
        <w:t> </w:t>
      </w:r>
      <w:r>
        <w:rPr>
          <w:color w:val="231F20"/>
          <w:spacing w:val="-2"/>
        </w:rPr>
        <w:t>cubana </w:t>
      </w:r>
      <w:r>
        <w:rPr>
          <w:color w:val="231F20"/>
        </w:rPr>
        <w:t>ante ese país después de 25 años de servicios, debido al empleo de un nuevo sistema de pago en la nube con sede en los</w:t>
      </w:r>
      <w:r>
        <w:rPr>
          <w:color w:val="231F20"/>
          <w:spacing w:val="-17"/>
        </w:rPr>
        <w:t> </w:t>
      </w:r>
      <w:r>
        <w:rPr>
          <w:color w:val="231F20"/>
        </w:rPr>
        <w:t>Estados</w:t>
      </w:r>
      <w:r>
        <w:rPr>
          <w:color w:val="231F20"/>
          <w:spacing w:val="-16"/>
        </w:rPr>
        <w:t> </w:t>
      </w:r>
      <w:r>
        <w:rPr>
          <w:color w:val="231F20"/>
        </w:rPr>
        <w:t>Unidos.</w:t>
      </w:r>
      <w:r>
        <w:rPr>
          <w:color w:val="231F20"/>
          <w:spacing w:val="-17"/>
        </w:rPr>
        <w:t> </w:t>
      </w:r>
      <w:r>
        <w:rPr>
          <w:color w:val="231F20"/>
        </w:rPr>
        <w:t>En</w:t>
      </w:r>
      <w:r>
        <w:rPr>
          <w:color w:val="231F20"/>
          <w:spacing w:val="-16"/>
        </w:rPr>
        <w:t> </w:t>
      </w:r>
      <w:r>
        <w:rPr>
          <w:color w:val="231F20"/>
        </w:rPr>
        <w:t>la</w:t>
      </w:r>
      <w:r>
        <w:rPr>
          <w:color w:val="231F20"/>
          <w:spacing w:val="-17"/>
        </w:rPr>
        <w:t> </w:t>
      </w:r>
      <w:r>
        <w:rPr>
          <w:color w:val="231F20"/>
        </w:rPr>
        <w:t>búsqueda</w:t>
      </w:r>
      <w:r>
        <w:rPr>
          <w:color w:val="231F20"/>
          <w:spacing w:val="-16"/>
        </w:rPr>
        <w:t> </w:t>
      </w:r>
      <w:r>
        <w:rPr>
          <w:color w:val="231F20"/>
        </w:rPr>
        <w:t>de</w:t>
      </w:r>
      <w:r>
        <w:rPr>
          <w:color w:val="231F20"/>
          <w:spacing w:val="-17"/>
        </w:rPr>
        <w:t> </w:t>
      </w:r>
      <w:r>
        <w:rPr>
          <w:color w:val="231F20"/>
        </w:rPr>
        <w:t>una alternativa,</w:t>
      </w:r>
      <w:r>
        <w:rPr>
          <w:color w:val="231F20"/>
          <w:spacing w:val="-7"/>
        </w:rPr>
        <w:t> </w:t>
      </w:r>
      <w:r>
        <w:rPr>
          <w:color w:val="231F20"/>
        </w:rPr>
        <w:t>otros</w:t>
      </w:r>
      <w:r>
        <w:rPr>
          <w:color w:val="231F20"/>
          <w:spacing w:val="-7"/>
        </w:rPr>
        <w:t> </w:t>
      </w:r>
      <w:r>
        <w:rPr>
          <w:color w:val="231F20"/>
        </w:rPr>
        <w:t>10</w:t>
      </w:r>
      <w:r>
        <w:rPr>
          <w:color w:val="231F20"/>
          <w:spacing w:val="-7"/>
        </w:rPr>
        <w:t> </w:t>
      </w:r>
      <w:r>
        <w:rPr>
          <w:color w:val="231F20"/>
        </w:rPr>
        <w:t>bancos</w:t>
      </w:r>
      <w:r>
        <w:rPr>
          <w:color w:val="231F20"/>
          <w:spacing w:val="-7"/>
        </w:rPr>
        <w:t> </w:t>
      </w:r>
      <w:r>
        <w:rPr>
          <w:color w:val="231F20"/>
        </w:rPr>
        <w:t>australianos</w:t>
      </w:r>
      <w:r>
        <w:rPr>
          <w:color w:val="231F20"/>
          <w:spacing w:val="-7"/>
        </w:rPr>
        <w:t> </w:t>
      </w:r>
      <w:r>
        <w:rPr>
          <w:color w:val="231F20"/>
        </w:rPr>
        <w:t>y 2 internacionales rechazaron la apertura de cuentas por el factor “riesgo” como resultado</w:t>
      </w:r>
      <w:r>
        <w:rPr>
          <w:color w:val="231F20"/>
          <w:spacing w:val="80"/>
          <w:w w:val="150"/>
        </w:rPr>
        <w:t> </w:t>
      </w:r>
      <w:r>
        <w:rPr>
          <w:color w:val="231F20"/>
        </w:rPr>
        <w:t>del</w:t>
      </w:r>
      <w:r>
        <w:rPr>
          <w:color w:val="231F20"/>
          <w:spacing w:val="80"/>
          <w:w w:val="150"/>
        </w:rPr>
        <w:t> </w:t>
      </w:r>
      <w:r>
        <w:rPr>
          <w:color w:val="231F20"/>
        </w:rPr>
        <w:t>efecto</w:t>
      </w:r>
      <w:r>
        <w:rPr>
          <w:color w:val="231F20"/>
          <w:spacing w:val="80"/>
          <w:w w:val="150"/>
        </w:rPr>
        <w:t> </w:t>
      </w:r>
      <w:r>
        <w:rPr>
          <w:color w:val="231F20"/>
        </w:rPr>
        <w:t>extraterritorial</w:t>
      </w:r>
      <w:r>
        <w:rPr>
          <w:color w:val="231F20"/>
          <w:spacing w:val="80"/>
        </w:rPr>
        <w:t> </w:t>
      </w:r>
      <w:r>
        <w:rPr>
          <w:color w:val="231F20"/>
        </w:rPr>
        <w:t>del bloqueo. Otros dos bancos nunca </w:t>
      </w:r>
      <w:r>
        <w:rPr>
          <w:color w:val="231F20"/>
          <w:spacing w:val="-2"/>
        </w:rPr>
        <w:t>respondieron.</w:t>
      </w:r>
    </w:p>
    <w:p>
      <w:pPr>
        <w:pStyle w:val="BodyText"/>
        <w:spacing w:before="170"/>
        <w:ind w:left="412" w:right="1471"/>
      </w:pPr>
      <w:r>
        <w:rPr>
          <w:b/>
          <w:color w:val="B52628"/>
        </w:rPr>
        <w:t>En</w:t>
      </w:r>
      <w:r>
        <w:rPr>
          <w:b/>
          <w:color w:val="B52628"/>
          <w:spacing w:val="-7"/>
        </w:rPr>
        <w:t> </w:t>
      </w:r>
      <w:r>
        <w:rPr>
          <w:b/>
          <w:color w:val="B52628"/>
        </w:rPr>
        <w:t>septiembre</w:t>
      </w:r>
      <w:r>
        <w:rPr>
          <w:b/>
          <w:color w:val="B52628"/>
          <w:spacing w:val="-7"/>
        </w:rPr>
        <w:t> </w:t>
      </w:r>
      <w:r>
        <w:rPr>
          <w:b/>
          <w:color w:val="B52628"/>
        </w:rPr>
        <w:t>de</w:t>
      </w:r>
      <w:r>
        <w:rPr>
          <w:b/>
          <w:color w:val="B52628"/>
          <w:spacing w:val="-7"/>
        </w:rPr>
        <w:t> </w:t>
      </w:r>
      <w:r>
        <w:rPr>
          <w:b/>
          <w:color w:val="B52628"/>
        </w:rPr>
        <w:t>2022</w:t>
      </w:r>
      <w:r>
        <w:rPr>
          <w:color w:val="231F20"/>
        </w:rPr>
        <w:t>,</w:t>
      </w:r>
      <w:r>
        <w:rPr>
          <w:color w:val="231F20"/>
          <w:spacing w:val="-7"/>
        </w:rPr>
        <w:t> </w:t>
      </w:r>
      <w:r>
        <w:rPr>
          <w:color w:val="231F20"/>
        </w:rPr>
        <w:t>la</w:t>
      </w:r>
      <w:r>
        <w:rPr>
          <w:color w:val="231F20"/>
          <w:spacing w:val="-7"/>
        </w:rPr>
        <w:t> </w:t>
      </w:r>
      <w:r>
        <w:rPr>
          <w:color w:val="231F20"/>
        </w:rPr>
        <w:t>compañía</w:t>
      </w:r>
      <w:r>
        <w:rPr>
          <w:color w:val="231F20"/>
          <w:spacing w:val="-7"/>
        </w:rPr>
        <w:t> </w:t>
      </w:r>
      <w:r>
        <w:rPr>
          <w:color w:val="231F20"/>
        </w:rPr>
        <w:t>con sede en Portugal GALP que suministraba combustibles a la empresa Cubana de Aviación, notificó que no renovaría </w:t>
      </w:r>
      <w:r>
        <w:rPr>
          <w:color w:val="231F20"/>
        </w:rPr>
        <w:t>su contrato con la entidad cubana por tratarse de una compañía sancionada por la OFAC.</w:t>
      </w:r>
    </w:p>
    <w:p>
      <w:pPr>
        <w:spacing w:before="166"/>
        <w:ind w:left="412" w:right="0" w:firstLine="0"/>
        <w:jc w:val="both"/>
        <w:rPr>
          <w:sz w:val="24"/>
        </w:rPr>
      </w:pPr>
      <w:r>
        <w:rPr>
          <w:b/>
          <w:color w:val="B52628"/>
          <w:sz w:val="24"/>
        </w:rPr>
        <w:t>El</w:t>
      </w:r>
      <w:r>
        <w:rPr>
          <w:b/>
          <w:color w:val="B52628"/>
          <w:spacing w:val="22"/>
          <w:sz w:val="24"/>
        </w:rPr>
        <w:t> </w:t>
      </w:r>
      <w:r>
        <w:rPr>
          <w:b/>
          <w:color w:val="B52628"/>
          <w:sz w:val="24"/>
        </w:rPr>
        <w:t>20</w:t>
      </w:r>
      <w:r>
        <w:rPr>
          <w:b/>
          <w:color w:val="B52628"/>
          <w:spacing w:val="24"/>
          <w:sz w:val="24"/>
        </w:rPr>
        <w:t> </w:t>
      </w:r>
      <w:r>
        <w:rPr>
          <w:b/>
          <w:color w:val="B52628"/>
          <w:sz w:val="24"/>
        </w:rPr>
        <w:t>de</w:t>
      </w:r>
      <w:r>
        <w:rPr>
          <w:b/>
          <w:color w:val="B52628"/>
          <w:spacing w:val="23"/>
          <w:sz w:val="24"/>
        </w:rPr>
        <w:t> </w:t>
      </w:r>
      <w:r>
        <w:rPr>
          <w:b/>
          <w:color w:val="B52628"/>
          <w:sz w:val="24"/>
        </w:rPr>
        <w:t>octubre</w:t>
      </w:r>
      <w:r>
        <w:rPr>
          <w:b/>
          <w:color w:val="B52628"/>
          <w:spacing w:val="23"/>
          <w:sz w:val="24"/>
        </w:rPr>
        <w:t> </w:t>
      </w:r>
      <w:r>
        <w:rPr>
          <w:b/>
          <w:color w:val="B52628"/>
          <w:sz w:val="24"/>
        </w:rPr>
        <w:t>de</w:t>
      </w:r>
      <w:r>
        <w:rPr>
          <w:b/>
          <w:color w:val="B52628"/>
          <w:spacing w:val="24"/>
          <w:sz w:val="24"/>
        </w:rPr>
        <w:t> </w:t>
      </w:r>
      <w:r>
        <w:rPr>
          <w:b/>
          <w:color w:val="B52628"/>
          <w:sz w:val="24"/>
        </w:rPr>
        <w:t>2022</w:t>
      </w:r>
      <w:r>
        <w:rPr>
          <w:color w:val="231F20"/>
          <w:sz w:val="24"/>
        </w:rPr>
        <w:t>,</w:t>
      </w:r>
      <w:r>
        <w:rPr>
          <w:color w:val="231F20"/>
          <w:spacing w:val="23"/>
          <w:sz w:val="24"/>
        </w:rPr>
        <w:t> </w:t>
      </w:r>
      <w:r>
        <w:rPr>
          <w:color w:val="231F20"/>
          <w:sz w:val="24"/>
        </w:rPr>
        <w:t>se</w:t>
      </w:r>
      <w:r>
        <w:rPr>
          <w:color w:val="231F20"/>
          <w:spacing w:val="23"/>
          <w:sz w:val="24"/>
        </w:rPr>
        <w:t> </w:t>
      </w:r>
      <w:r>
        <w:rPr>
          <w:color w:val="231F20"/>
          <w:sz w:val="24"/>
        </w:rPr>
        <w:t>conoció</w:t>
      </w:r>
      <w:r>
        <w:rPr>
          <w:color w:val="231F20"/>
          <w:spacing w:val="24"/>
          <w:sz w:val="24"/>
        </w:rPr>
        <w:t> </w:t>
      </w:r>
      <w:r>
        <w:rPr>
          <w:color w:val="231F20"/>
          <w:spacing w:val="-10"/>
          <w:sz w:val="24"/>
        </w:rPr>
        <w:t>a</w:t>
      </w:r>
    </w:p>
    <w:p>
      <w:pPr>
        <w:spacing w:after="0"/>
        <w:jc w:val="both"/>
        <w:rPr>
          <w:sz w:val="24"/>
        </w:rPr>
        <w:sectPr>
          <w:type w:val="continuous"/>
          <w:pgSz w:w="11910" w:h="16840"/>
          <w:pgMar w:header="0" w:footer="695" w:top="1920" w:bottom="280" w:left="0" w:right="0"/>
          <w:cols w:num="2" w:equalWidth="0">
            <w:col w:w="5557" w:space="40"/>
            <w:col w:w="6313"/>
          </w:cols>
        </w:sectPr>
      </w:pPr>
    </w:p>
    <w:p>
      <w:pPr>
        <w:pStyle w:val="BodyText"/>
        <w:spacing w:before="77"/>
        <w:ind w:left="1474"/>
      </w:pPr>
      <w:r>
        <w:rPr>
          <w:color w:val="231F20"/>
        </w:rPr>
        <w:t>través del Comité organizador del tope amistoso de voleibol Cuba-Cambodia, que el hotel Courtyard By Marriot </w:t>
      </w:r>
      <w:r>
        <w:rPr>
          <w:color w:val="231F20"/>
        </w:rPr>
        <w:t>en Phnom Penh, filial de la cadena hotelera estadounidense</w:t>
      </w:r>
      <w:r>
        <w:rPr>
          <w:color w:val="231F20"/>
          <w:spacing w:val="80"/>
        </w:rPr>
        <w:t> </w:t>
      </w:r>
      <w:r>
        <w:rPr>
          <w:color w:val="231F20"/>
        </w:rPr>
        <w:t>Marriot</w:t>
      </w:r>
      <w:r>
        <w:rPr>
          <w:color w:val="231F20"/>
          <w:spacing w:val="80"/>
        </w:rPr>
        <w:t> </w:t>
      </w:r>
      <w:r>
        <w:rPr>
          <w:color w:val="231F20"/>
        </w:rPr>
        <w:t>International,</w:t>
      </w:r>
      <w:r>
        <w:rPr>
          <w:color w:val="231F20"/>
          <w:spacing w:val="40"/>
        </w:rPr>
        <w:t> </w:t>
      </w:r>
      <w:r>
        <w:rPr>
          <w:color w:val="231F20"/>
        </w:rPr>
        <w:t>se negó a hospedar a una delegación cubana.</w:t>
      </w:r>
      <w:r>
        <w:rPr>
          <w:color w:val="231F20"/>
          <w:spacing w:val="40"/>
        </w:rPr>
        <w:t> </w:t>
      </w:r>
      <w:r>
        <w:rPr>
          <w:color w:val="231F20"/>
        </w:rPr>
        <w:t>El</w:t>
      </w:r>
      <w:r>
        <w:rPr>
          <w:color w:val="231F20"/>
          <w:spacing w:val="40"/>
        </w:rPr>
        <w:t> </w:t>
      </w:r>
      <w:r>
        <w:rPr>
          <w:color w:val="231F20"/>
        </w:rPr>
        <w:t>argumento</w:t>
      </w:r>
      <w:r>
        <w:rPr>
          <w:color w:val="231F20"/>
          <w:spacing w:val="40"/>
        </w:rPr>
        <w:t> </w:t>
      </w:r>
      <w:r>
        <w:rPr>
          <w:color w:val="231F20"/>
        </w:rPr>
        <w:t>esgrimido</w:t>
      </w:r>
      <w:r>
        <w:rPr>
          <w:color w:val="231F20"/>
          <w:spacing w:val="40"/>
        </w:rPr>
        <w:t> </w:t>
      </w:r>
      <w:r>
        <w:rPr>
          <w:color w:val="231F20"/>
        </w:rPr>
        <w:t>fue</w:t>
      </w:r>
      <w:r>
        <w:rPr>
          <w:color w:val="231F20"/>
          <w:spacing w:val="40"/>
        </w:rPr>
        <w:t> </w:t>
      </w:r>
      <w:r>
        <w:rPr>
          <w:color w:val="231F20"/>
        </w:rPr>
        <w:t>que la delegación era representante del gobierno</w:t>
      </w:r>
      <w:r>
        <w:rPr>
          <w:color w:val="231F20"/>
          <w:spacing w:val="-6"/>
        </w:rPr>
        <w:t> </w:t>
      </w:r>
      <w:r>
        <w:rPr>
          <w:color w:val="231F20"/>
        </w:rPr>
        <w:t>cubano</w:t>
      </w:r>
      <w:r>
        <w:rPr>
          <w:color w:val="231F20"/>
          <w:spacing w:val="-6"/>
        </w:rPr>
        <w:t> </w:t>
      </w:r>
      <w:r>
        <w:rPr>
          <w:color w:val="231F20"/>
        </w:rPr>
        <w:t>y</w:t>
      </w:r>
      <w:r>
        <w:rPr>
          <w:color w:val="231F20"/>
          <w:spacing w:val="-6"/>
        </w:rPr>
        <w:t> </w:t>
      </w:r>
      <w:r>
        <w:rPr>
          <w:color w:val="231F20"/>
        </w:rPr>
        <w:t>hospedarla</w:t>
      </w:r>
      <w:r>
        <w:rPr>
          <w:color w:val="231F20"/>
          <w:spacing w:val="-6"/>
        </w:rPr>
        <w:t> </w:t>
      </w:r>
      <w:r>
        <w:rPr>
          <w:color w:val="231F20"/>
        </w:rPr>
        <w:t>violaba</w:t>
      </w:r>
      <w:r>
        <w:rPr>
          <w:color w:val="231F20"/>
          <w:spacing w:val="-6"/>
        </w:rPr>
        <w:t> </w:t>
      </w:r>
      <w:r>
        <w:rPr>
          <w:color w:val="231F20"/>
        </w:rPr>
        <w:t>las leyes de los Estados Unidos.</w:t>
      </w:r>
    </w:p>
    <w:p>
      <w:pPr>
        <w:pStyle w:val="BodyText"/>
        <w:spacing w:before="168"/>
        <w:ind w:left="1474"/>
      </w:pPr>
      <w:r>
        <w:rPr>
          <w:b/>
          <w:color w:val="B52628"/>
        </w:rPr>
        <w:t>En noviembre de 2022</w:t>
      </w:r>
      <w:r>
        <w:rPr>
          <w:color w:val="231F20"/>
        </w:rPr>
        <w:t>, una sucursal de </w:t>
      </w:r>
      <w:r>
        <w:rPr>
          <w:color w:val="231F20"/>
          <w:spacing w:val="-4"/>
        </w:rPr>
        <w:t>Bancolombia</w:t>
      </w:r>
      <w:r>
        <w:rPr>
          <w:color w:val="231F20"/>
          <w:spacing w:val="-9"/>
        </w:rPr>
        <w:t> </w:t>
      </w:r>
      <w:r>
        <w:rPr>
          <w:color w:val="231F20"/>
          <w:spacing w:val="-4"/>
        </w:rPr>
        <w:t>bloqueó</w:t>
      </w:r>
      <w:r>
        <w:rPr>
          <w:color w:val="231F20"/>
          <w:spacing w:val="-9"/>
        </w:rPr>
        <w:t> </w:t>
      </w:r>
      <w:r>
        <w:rPr>
          <w:color w:val="231F20"/>
          <w:spacing w:val="-4"/>
        </w:rPr>
        <w:t>la</w:t>
      </w:r>
      <w:r>
        <w:rPr>
          <w:color w:val="231F20"/>
          <w:spacing w:val="-9"/>
        </w:rPr>
        <w:t> </w:t>
      </w:r>
      <w:r>
        <w:rPr>
          <w:color w:val="231F20"/>
          <w:spacing w:val="-4"/>
        </w:rPr>
        <w:t>tarjeta</w:t>
      </w:r>
      <w:r>
        <w:rPr>
          <w:color w:val="231F20"/>
          <w:spacing w:val="-9"/>
        </w:rPr>
        <w:t> </w:t>
      </w:r>
      <w:r>
        <w:rPr>
          <w:color w:val="231F20"/>
          <w:spacing w:val="-4"/>
        </w:rPr>
        <w:t>de</w:t>
      </w:r>
      <w:r>
        <w:rPr>
          <w:color w:val="231F20"/>
          <w:spacing w:val="-9"/>
        </w:rPr>
        <w:t> </w:t>
      </w:r>
      <w:r>
        <w:rPr>
          <w:color w:val="231F20"/>
          <w:spacing w:val="-4"/>
        </w:rPr>
        <w:t>débito</w:t>
      </w:r>
      <w:r>
        <w:rPr>
          <w:color w:val="231F20"/>
          <w:spacing w:val="-9"/>
        </w:rPr>
        <w:t> </w:t>
      </w:r>
      <w:r>
        <w:rPr>
          <w:color w:val="231F20"/>
          <w:spacing w:val="-4"/>
        </w:rPr>
        <w:t>y </w:t>
      </w:r>
      <w:r>
        <w:rPr>
          <w:color w:val="231F20"/>
        </w:rPr>
        <w:t>la</w:t>
      </w:r>
      <w:r>
        <w:rPr>
          <w:color w:val="231F20"/>
          <w:spacing w:val="-17"/>
        </w:rPr>
        <w:t> </w:t>
      </w:r>
      <w:r>
        <w:rPr>
          <w:color w:val="231F20"/>
        </w:rPr>
        <w:t>respectiva</w:t>
      </w:r>
      <w:r>
        <w:rPr>
          <w:color w:val="231F20"/>
          <w:spacing w:val="-16"/>
        </w:rPr>
        <w:t> </w:t>
      </w:r>
      <w:r>
        <w:rPr>
          <w:color w:val="231F20"/>
        </w:rPr>
        <w:t>cuenta</w:t>
      </w:r>
      <w:r>
        <w:rPr>
          <w:color w:val="231F20"/>
          <w:spacing w:val="-17"/>
        </w:rPr>
        <w:t> </w:t>
      </w:r>
      <w:r>
        <w:rPr>
          <w:color w:val="231F20"/>
        </w:rPr>
        <w:t>bancaria</w:t>
      </w:r>
      <w:r>
        <w:rPr>
          <w:color w:val="231F20"/>
          <w:spacing w:val="-16"/>
        </w:rPr>
        <w:t> </w:t>
      </w:r>
      <w:r>
        <w:rPr>
          <w:color w:val="231F20"/>
        </w:rPr>
        <w:t>de</w:t>
      </w:r>
      <w:r>
        <w:rPr>
          <w:color w:val="231F20"/>
          <w:spacing w:val="-17"/>
        </w:rPr>
        <w:t> </w:t>
      </w:r>
      <w:r>
        <w:rPr>
          <w:color w:val="231F20"/>
        </w:rPr>
        <w:t>la</w:t>
      </w:r>
      <w:r>
        <w:rPr>
          <w:color w:val="231F20"/>
          <w:spacing w:val="-16"/>
        </w:rPr>
        <w:t> </w:t>
      </w:r>
      <w:r>
        <w:rPr>
          <w:color w:val="231F20"/>
        </w:rPr>
        <w:t>agencia Do it Viajes y Turismo, comercializadora del destino Cuba.</w:t>
      </w:r>
    </w:p>
    <w:p>
      <w:pPr>
        <w:pStyle w:val="BodyText"/>
        <w:spacing w:before="163"/>
        <w:ind w:left="1474" w:right="2"/>
      </w:pPr>
      <w:r>
        <w:rPr>
          <w:b/>
          <w:color w:val="B52628"/>
          <w:spacing w:val="-10"/>
        </w:rPr>
        <w:t>El</w:t>
      </w:r>
      <w:r>
        <w:rPr>
          <w:b/>
          <w:color w:val="B52628"/>
          <w:spacing w:val="-6"/>
        </w:rPr>
        <w:t> </w:t>
      </w:r>
      <w:r>
        <w:rPr>
          <w:b/>
          <w:color w:val="B52628"/>
          <w:spacing w:val="-10"/>
        </w:rPr>
        <w:t>7</w:t>
      </w:r>
      <w:r>
        <w:rPr>
          <w:b/>
          <w:color w:val="B52628"/>
          <w:spacing w:val="-6"/>
        </w:rPr>
        <w:t> </w:t>
      </w:r>
      <w:r>
        <w:rPr>
          <w:b/>
          <w:color w:val="B52628"/>
          <w:spacing w:val="-10"/>
        </w:rPr>
        <w:t>de</w:t>
      </w:r>
      <w:r>
        <w:rPr>
          <w:b/>
          <w:color w:val="B52628"/>
          <w:spacing w:val="-6"/>
        </w:rPr>
        <w:t> </w:t>
      </w:r>
      <w:r>
        <w:rPr>
          <w:b/>
          <w:color w:val="B52628"/>
          <w:spacing w:val="-10"/>
        </w:rPr>
        <w:t>diciembre</w:t>
      </w:r>
      <w:r>
        <w:rPr>
          <w:b/>
          <w:color w:val="B52628"/>
          <w:spacing w:val="-6"/>
        </w:rPr>
        <w:t> </w:t>
      </w:r>
      <w:r>
        <w:rPr>
          <w:b/>
          <w:color w:val="B52628"/>
          <w:spacing w:val="-10"/>
        </w:rPr>
        <w:t>de</w:t>
      </w:r>
      <w:r>
        <w:rPr>
          <w:b/>
          <w:color w:val="B52628"/>
          <w:spacing w:val="-6"/>
        </w:rPr>
        <w:t> </w:t>
      </w:r>
      <w:r>
        <w:rPr>
          <w:b/>
          <w:color w:val="B52628"/>
          <w:spacing w:val="-10"/>
        </w:rPr>
        <w:t>2022</w:t>
      </w:r>
      <w:r>
        <w:rPr>
          <w:color w:val="231F20"/>
          <w:spacing w:val="-10"/>
        </w:rPr>
        <w:t>,</w:t>
      </w:r>
      <w:r>
        <w:rPr>
          <w:color w:val="231F20"/>
          <w:spacing w:val="-7"/>
        </w:rPr>
        <w:t> </w:t>
      </w:r>
      <w:r>
        <w:rPr>
          <w:color w:val="231F20"/>
          <w:spacing w:val="-10"/>
        </w:rPr>
        <w:t>el</w:t>
      </w:r>
      <w:r>
        <w:rPr>
          <w:color w:val="231F20"/>
          <w:spacing w:val="-6"/>
        </w:rPr>
        <w:t> </w:t>
      </w:r>
      <w:r>
        <w:rPr>
          <w:color w:val="231F20"/>
          <w:spacing w:val="-10"/>
        </w:rPr>
        <w:t>Banco</w:t>
      </w:r>
      <w:r>
        <w:rPr>
          <w:color w:val="231F20"/>
          <w:spacing w:val="-7"/>
        </w:rPr>
        <w:t> </w:t>
      </w:r>
      <w:r>
        <w:rPr>
          <w:color w:val="231F20"/>
          <w:spacing w:val="-10"/>
        </w:rPr>
        <w:t>Nordea </w:t>
      </w:r>
      <w:r>
        <w:rPr>
          <w:color w:val="231F20"/>
        </w:rPr>
        <w:t>en Finlandia canceló una transferencia realizada por la agencia Publicitur desde La Habana a través del Banco </w:t>
      </w:r>
      <w:r>
        <w:rPr>
          <w:color w:val="231F20"/>
        </w:rPr>
        <w:t>Financiero Internacional (BFI), por ser este último una entidad sancionada por la OFAC. La </w:t>
      </w:r>
      <w:r>
        <w:rPr>
          <w:color w:val="231F20"/>
          <w:spacing w:val="-2"/>
        </w:rPr>
        <w:t>acción</w:t>
      </w:r>
      <w:r>
        <w:rPr>
          <w:color w:val="231F20"/>
          <w:spacing w:val="-15"/>
        </w:rPr>
        <w:t> </w:t>
      </w:r>
      <w:r>
        <w:rPr>
          <w:color w:val="231F20"/>
          <w:spacing w:val="-2"/>
        </w:rPr>
        <w:t>impidió</w:t>
      </w:r>
      <w:r>
        <w:rPr>
          <w:color w:val="231F20"/>
          <w:spacing w:val="-14"/>
        </w:rPr>
        <w:t> </w:t>
      </w:r>
      <w:r>
        <w:rPr>
          <w:color w:val="231F20"/>
          <w:spacing w:val="-2"/>
        </w:rPr>
        <w:t>el</w:t>
      </w:r>
      <w:r>
        <w:rPr>
          <w:color w:val="231F20"/>
          <w:spacing w:val="-15"/>
        </w:rPr>
        <w:t> </w:t>
      </w:r>
      <w:r>
        <w:rPr>
          <w:color w:val="231F20"/>
          <w:spacing w:val="-2"/>
        </w:rPr>
        <w:t>pago</w:t>
      </w:r>
      <w:r>
        <w:rPr>
          <w:color w:val="231F20"/>
          <w:spacing w:val="-14"/>
        </w:rPr>
        <w:t> </w:t>
      </w:r>
      <w:r>
        <w:rPr>
          <w:color w:val="231F20"/>
          <w:spacing w:val="-2"/>
        </w:rPr>
        <w:t>de</w:t>
      </w:r>
      <w:r>
        <w:rPr>
          <w:color w:val="231F20"/>
          <w:spacing w:val="-15"/>
        </w:rPr>
        <w:t> </w:t>
      </w:r>
      <w:r>
        <w:rPr>
          <w:color w:val="231F20"/>
          <w:spacing w:val="-2"/>
        </w:rPr>
        <w:t>12</w:t>
      </w:r>
      <w:r>
        <w:rPr>
          <w:color w:val="231F20"/>
          <w:spacing w:val="-14"/>
        </w:rPr>
        <w:t> </w:t>
      </w:r>
      <w:r>
        <w:rPr>
          <w:color w:val="231F20"/>
          <w:spacing w:val="-2"/>
        </w:rPr>
        <w:t>000</w:t>
      </w:r>
      <w:r>
        <w:rPr>
          <w:color w:val="231F20"/>
          <w:spacing w:val="-15"/>
        </w:rPr>
        <w:t> </w:t>
      </w:r>
      <w:r>
        <w:rPr>
          <w:color w:val="231F20"/>
          <w:spacing w:val="-2"/>
        </w:rPr>
        <w:t>euros</w:t>
      </w:r>
      <w:r>
        <w:rPr>
          <w:color w:val="231F20"/>
          <w:spacing w:val="-14"/>
        </w:rPr>
        <w:t> </w:t>
      </w:r>
      <w:r>
        <w:rPr>
          <w:color w:val="231F20"/>
          <w:spacing w:val="-2"/>
        </w:rPr>
        <w:t>a</w:t>
      </w:r>
      <w:r>
        <w:rPr>
          <w:color w:val="231F20"/>
          <w:spacing w:val="-14"/>
        </w:rPr>
        <w:t> </w:t>
      </w:r>
      <w:r>
        <w:rPr>
          <w:color w:val="231F20"/>
          <w:spacing w:val="-2"/>
        </w:rPr>
        <w:t>la </w:t>
      </w:r>
      <w:r>
        <w:rPr>
          <w:color w:val="231F20"/>
        </w:rPr>
        <w:t>compañía</w:t>
      </w:r>
      <w:r>
        <w:rPr>
          <w:color w:val="231F20"/>
          <w:spacing w:val="-12"/>
        </w:rPr>
        <w:t> </w:t>
      </w:r>
      <w:r>
        <w:rPr>
          <w:color w:val="231F20"/>
        </w:rPr>
        <w:t>Aurinkomatkat/Suntours</w:t>
      </w:r>
      <w:r>
        <w:rPr>
          <w:color w:val="231F20"/>
          <w:spacing w:val="-12"/>
        </w:rPr>
        <w:t> </w:t>
      </w:r>
      <w:r>
        <w:rPr>
          <w:color w:val="231F20"/>
        </w:rPr>
        <w:t>Ltd.</w:t>
      </w:r>
    </w:p>
    <w:p>
      <w:pPr>
        <w:pStyle w:val="BodyText"/>
        <w:spacing w:before="167"/>
        <w:ind w:left="1474"/>
      </w:pPr>
      <w:r>
        <w:rPr>
          <w:b/>
          <w:color w:val="B52628"/>
        </w:rPr>
        <w:t>Del 11 al 15 de enero de 2023</w:t>
      </w:r>
      <w:r>
        <w:rPr>
          <w:color w:val="231F20"/>
        </w:rPr>
        <w:t>, se registraron dificultades para realizar transferencias bancarias relacionadas con </w:t>
      </w:r>
      <w:r>
        <w:rPr>
          <w:color w:val="231F20"/>
          <w:spacing w:val="-2"/>
        </w:rPr>
        <w:t>el</w:t>
      </w:r>
      <w:r>
        <w:rPr>
          <w:color w:val="231F20"/>
          <w:spacing w:val="-15"/>
        </w:rPr>
        <w:t> </w:t>
      </w:r>
      <w:r>
        <w:rPr>
          <w:color w:val="231F20"/>
          <w:spacing w:val="-2"/>
        </w:rPr>
        <w:t>alojamiento</w:t>
      </w:r>
      <w:r>
        <w:rPr>
          <w:color w:val="231F20"/>
          <w:spacing w:val="-14"/>
        </w:rPr>
        <w:t> </w:t>
      </w:r>
      <w:r>
        <w:rPr>
          <w:color w:val="231F20"/>
          <w:spacing w:val="-2"/>
        </w:rPr>
        <w:t>y</w:t>
      </w:r>
      <w:r>
        <w:rPr>
          <w:color w:val="231F20"/>
          <w:spacing w:val="-15"/>
        </w:rPr>
        <w:t> </w:t>
      </w:r>
      <w:r>
        <w:rPr>
          <w:color w:val="231F20"/>
          <w:spacing w:val="-2"/>
        </w:rPr>
        <w:t>las</w:t>
      </w:r>
      <w:r>
        <w:rPr>
          <w:color w:val="231F20"/>
          <w:spacing w:val="-14"/>
        </w:rPr>
        <w:t> </w:t>
      </w:r>
      <w:r>
        <w:rPr>
          <w:color w:val="231F20"/>
          <w:spacing w:val="-2"/>
        </w:rPr>
        <w:t>acciones</w:t>
      </w:r>
      <w:r>
        <w:rPr>
          <w:color w:val="231F20"/>
          <w:spacing w:val="-15"/>
        </w:rPr>
        <w:t> </w:t>
      </w:r>
      <w:r>
        <w:rPr>
          <w:color w:val="231F20"/>
          <w:spacing w:val="-2"/>
        </w:rPr>
        <w:t>de</w:t>
      </w:r>
      <w:r>
        <w:rPr>
          <w:color w:val="231F20"/>
          <w:spacing w:val="-14"/>
        </w:rPr>
        <w:t> </w:t>
      </w:r>
      <w:r>
        <w:rPr>
          <w:color w:val="231F20"/>
          <w:spacing w:val="-2"/>
        </w:rPr>
        <w:t>promoción </w:t>
      </w:r>
      <w:r>
        <w:rPr>
          <w:color w:val="231F20"/>
        </w:rPr>
        <w:t>del destino Cuba, en el marco de la </w:t>
      </w:r>
      <w:r>
        <w:rPr>
          <w:color w:val="231F20"/>
        </w:rPr>
        <w:t>Feria de Turismo de Utrecht en Holanda.</w:t>
      </w:r>
    </w:p>
    <w:p>
      <w:pPr>
        <w:spacing w:before="164"/>
        <w:ind w:left="1474" w:right="0" w:firstLine="0"/>
        <w:jc w:val="both"/>
        <w:rPr>
          <w:sz w:val="24"/>
        </w:rPr>
      </w:pPr>
      <w:r>
        <w:rPr>
          <w:b/>
          <w:color w:val="B52628"/>
          <w:sz w:val="24"/>
        </w:rPr>
        <w:t>El 26 de enero de 2023</w:t>
      </w:r>
      <w:r>
        <w:rPr>
          <w:color w:val="231F20"/>
          <w:sz w:val="24"/>
        </w:rPr>
        <w:t>, la entidad MACCORP</w:t>
      </w:r>
      <w:r>
        <w:rPr>
          <w:color w:val="231F20"/>
          <w:spacing w:val="63"/>
          <w:sz w:val="24"/>
        </w:rPr>
        <w:t> </w:t>
      </w:r>
      <w:r>
        <w:rPr>
          <w:color w:val="231F20"/>
          <w:sz w:val="24"/>
        </w:rPr>
        <w:t>EXACT</w:t>
      </w:r>
      <w:r>
        <w:rPr>
          <w:color w:val="231F20"/>
          <w:spacing w:val="64"/>
          <w:sz w:val="24"/>
        </w:rPr>
        <w:t> </w:t>
      </w:r>
      <w:r>
        <w:rPr>
          <w:color w:val="231F20"/>
          <w:sz w:val="24"/>
        </w:rPr>
        <w:t>CHANGE</w:t>
      </w:r>
      <w:r>
        <w:rPr>
          <w:color w:val="231F20"/>
          <w:spacing w:val="64"/>
          <w:sz w:val="24"/>
        </w:rPr>
        <w:t> </w:t>
      </w:r>
      <w:r>
        <w:rPr>
          <w:color w:val="231F20"/>
          <w:sz w:val="24"/>
        </w:rPr>
        <w:t>E.P.</w:t>
      </w:r>
      <w:r>
        <w:rPr>
          <w:color w:val="231F20"/>
          <w:spacing w:val="64"/>
          <w:sz w:val="24"/>
        </w:rPr>
        <w:t> </w:t>
      </w:r>
      <w:r>
        <w:rPr>
          <w:color w:val="231F20"/>
          <w:sz w:val="24"/>
        </w:rPr>
        <w:t>S.A.</w:t>
      </w:r>
      <w:r>
        <w:rPr>
          <w:color w:val="231F20"/>
          <w:spacing w:val="64"/>
          <w:sz w:val="24"/>
        </w:rPr>
        <w:t> </w:t>
      </w:r>
      <w:r>
        <w:rPr>
          <w:color w:val="231F20"/>
          <w:spacing w:val="-5"/>
          <w:sz w:val="24"/>
        </w:rPr>
        <w:t>en</w:t>
      </w:r>
    </w:p>
    <w:p>
      <w:pPr>
        <w:pStyle w:val="BodyText"/>
        <w:spacing w:before="2"/>
        <w:ind w:left="1474"/>
      </w:pPr>
      <w:r>
        <w:rPr>
          <w:color w:val="231F20"/>
        </w:rPr>
        <w:t>Madrid,</w:t>
      </w:r>
      <w:r>
        <w:rPr>
          <w:color w:val="231F20"/>
          <w:spacing w:val="80"/>
        </w:rPr>
        <w:t> </w:t>
      </w:r>
      <w:r>
        <w:rPr>
          <w:color w:val="231F20"/>
        </w:rPr>
        <w:t>España,</w:t>
      </w:r>
      <w:r>
        <w:rPr>
          <w:color w:val="231F20"/>
          <w:spacing w:val="80"/>
        </w:rPr>
        <w:t> </w:t>
      </w:r>
      <w:r>
        <w:rPr>
          <w:color w:val="231F20"/>
        </w:rPr>
        <w:t>denegó</w:t>
      </w:r>
      <w:r>
        <w:rPr>
          <w:color w:val="231F20"/>
          <w:spacing w:val="80"/>
        </w:rPr>
        <w:t> </w:t>
      </w:r>
      <w:r>
        <w:rPr>
          <w:color w:val="231F20"/>
        </w:rPr>
        <w:t>un</w:t>
      </w:r>
      <w:r>
        <w:rPr>
          <w:color w:val="231F20"/>
          <w:spacing w:val="80"/>
        </w:rPr>
        <w:t> </w:t>
      </w:r>
      <w:r>
        <w:rPr>
          <w:color w:val="231F20"/>
        </w:rPr>
        <w:t>servicio</w:t>
      </w:r>
      <w:r>
        <w:rPr>
          <w:color w:val="231F20"/>
          <w:spacing w:val="80"/>
        </w:rPr>
        <w:t> </w:t>
      </w:r>
      <w:r>
        <w:rPr>
          <w:color w:val="231F20"/>
        </w:rPr>
        <w:t>de cambio de moneda en dólares estadounidenses a un diplomático cubano. Como motivo, se alegaron las disposiciones del Departamento del Tesoro hacia Cuba.</w:t>
      </w:r>
    </w:p>
    <w:p>
      <w:pPr>
        <w:pStyle w:val="BodyText"/>
        <w:spacing w:before="165"/>
        <w:ind w:left="1474"/>
      </w:pPr>
      <w:r>
        <w:rPr>
          <w:b/>
          <w:color w:val="B52628"/>
          <w:spacing w:val="-4"/>
        </w:rPr>
        <w:t>El</w:t>
      </w:r>
      <w:r>
        <w:rPr>
          <w:b/>
          <w:color w:val="B52628"/>
          <w:spacing w:val="-13"/>
        </w:rPr>
        <w:t> </w:t>
      </w:r>
      <w:r>
        <w:rPr>
          <w:b/>
          <w:color w:val="B52628"/>
          <w:spacing w:val="-4"/>
        </w:rPr>
        <w:t>31</w:t>
      </w:r>
      <w:r>
        <w:rPr>
          <w:b/>
          <w:color w:val="B52628"/>
          <w:spacing w:val="-12"/>
        </w:rPr>
        <w:t> </w:t>
      </w:r>
      <w:r>
        <w:rPr>
          <w:b/>
          <w:color w:val="B52628"/>
          <w:spacing w:val="-4"/>
        </w:rPr>
        <w:t>de</w:t>
      </w:r>
      <w:r>
        <w:rPr>
          <w:b/>
          <w:color w:val="B52628"/>
          <w:spacing w:val="-13"/>
        </w:rPr>
        <w:t> </w:t>
      </w:r>
      <w:r>
        <w:rPr>
          <w:b/>
          <w:color w:val="B52628"/>
          <w:spacing w:val="-4"/>
        </w:rPr>
        <w:t>enero</w:t>
      </w:r>
      <w:r>
        <w:rPr>
          <w:b/>
          <w:color w:val="B52628"/>
          <w:spacing w:val="-12"/>
        </w:rPr>
        <w:t> </w:t>
      </w:r>
      <w:r>
        <w:rPr>
          <w:b/>
          <w:color w:val="B52628"/>
          <w:spacing w:val="-4"/>
        </w:rPr>
        <w:t>de</w:t>
      </w:r>
      <w:r>
        <w:rPr>
          <w:b/>
          <w:color w:val="B52628"/>
          <w:spacing w:val="-13"/>
        </w:rPr>
        <w:t> </w:t>
      </w:r>
      <w:r>
        <w:rPr>
          <w:b/>
          <w:color w:val="B52628"/>
          <w:spacing w:val="-4"/>
        </w:rPr>
        <w:t>2023</w:t>
      </w:r>
      <w:r>
        <w:rPr>
          <w:color w:val="231F20"/>
          <w:spacing w:val="-4"/>
        </w:rPr>
        <w:t>,</w:t>
      </w:r>
      <w:r>
        <w:rPr>
          <w:color w:val="231F20"/>
          <w:spacing w:val="-12"/>
        </w:rPr>
        <w:t> </w:t>
      </w:r>
      <w:r>
        <w:rPr>
          <w:color w:val="231F20"/>
          <w:spacing w:val="-4"/>
        </w:rPr>
        <w:t>la</w:t>
      </w:r>
      <w:r>
        <w:rPr>
          <w:color w:val="231F20"/>
          <w:spacing w:val="-13"/>
        </w:rPr>
        <w:t> </w:t>
      </w:r>
      <w:r>
        <w:rPr>
          <w:color w:val="231F20"/>
          <w:spacing w:val="-4"/>
        </w:rPr>
        <w:t>filial</w:t>
      </w:r>
      <w:r>
        <w:rPr>
          <w:color w:val="231F20"/>
          <w:spacing w:val="-12"/>
        </w:rPr>
        <w:t> </w:t>
      </w:r>
      <w:r>
        <w:rPr>
          <w:color w:val="231F20"/>
          <w:spacing w:val="-4"/>
        </w:rPr>
        <w:t>de</w:t>
      </w:r>
      <w:r>
        <w:rPr>
          <w:color w:val="231F20"/>
          <w:spacing w:val="-13"/>
        </w:rPr>
        <w:t> </w:t>
      </w:r>
      <w:r>
        <w:rPr>
          <w:color w:val="231F20"/>
          <w:spacing w:val="-4"/>
        </w:rPr>
        <w:t>Peugeot </w:t>
      </w:r>
      <w:r>
        <w:rPr>
          <w:color w:val="231F20"/>
        </w:rPr>
        <w:t>en</w:t>
      </w:r>
      <w:r>
        <w:rPr>
          <w:color w:val="231F20"/>
          <w:spacing w:val="80"/>
        </w:rPr>
        <w:t> </w:t>
      </w:r>
      <w:r>
        <w:rPr>
          <w:color w:val="231F20"/>
        </w:rPr>
        <w:t>Berlín,</w:t>
      </w:r>
      <w:r>
        <w:rPr>
          <w:color w:val="231F20"/>
          <w:spacing w:val="80"/>
        </w:rPr>
        <w:t> </w:t>
      </w:r>
      <w:r>
        <w:rPr>
          <w:color w:val="231F20"/>
        </w:rPr>
        <w:t>Alemania,</w:t>
      </w:r>
      <w:r>
        <w:rPr>
          <w:color w:val="231F20"/>
          <w:spacing w:val="80"/>
        </w:rPr>
        <w:t> </w:t>
      </w:r>
      <w:r>
        <w:rPr>
          <w:color w:val="231F20"/>
        </w:rPr>
        <w:t>solicitó</w:t>
      </w:r>
      <w:r>
        <w:rPr>
          <w:color w:val="231F20"/>
          <w:spacing w:val="80"/>
        </w:rPr>
        <w:t> </w:t>
      </w:r>
      <w:r>
        <w:rPr>
          <w:color w:val="231F20"/>
        </w:rPr>
        <w:t>poner</w:t>
      </w:r>
      <w:r>
        <w:rPr>
          <w:color w:val="231F20"/>
          <w:spacing w:val="80"/>
        </w:rPr>
        <w:t> </w:t>
      </w:r>
      <w:r>
        <w:rPr>
          <w:color w:val="231F20"/>
        </w:rPr>
        <w:t>fin a un contrato de arrendamiento con la Embajada</w:t>
      </w:r>
      <w:r>
        <w:rPr>
          <w:color w:val="231F20"/>
          <w:spacing w:val="13"/>
        </w:rPr>
        <w:t> </w:t>
      </w:r>
      <w:r>
        <w:rPr>
          <w:color w:val="231F20"/>
        </w:rPr>
        <w:t>de</w:t>
      </w:r>
      <w:r>
        <w:rPr>
          <w:color w:val="231F20"/>
          <w:spacing w:val="13"/>
        </w:rPr>
        <w:t> </w:t>
      </w:r>
      <w:r>
        <w:rPr>
          <w:color w:val="231F20"/>
        </w:rPr>
        <w:t>Cuba</w:t>
      </w:r>
      <w:r>
        <w:rPr>
          <w:color w:val="231F20"/>
          <w:spacing w:val="13"/>
        </w:rPr>
        <w:t> </w:t>
      </w:r>
      <w:r>
        <w:rPr>
          <w:color w:val="231F20"/>
        </w:rPr>
        <w:t>en</w:t>
      </w:r>
      <w:r>
        <w:rPr>
          <w:color w:val="231F20"/>
          <w:spacing w:val="13"/>
        </w:rPr>
        <w:t> </w:t>
      </w:r>
      <w:r>
        <w:rPr>
          <w:color w:val="231F20"/>
        </w:rPr>
        <w:t>ese</w:t>
      </w:r>
      <w:r>
        <w:rPr>
          <w:color w:val="231F20"/>
          <w:spacing w:val="13"/>
        </w:rPr>
        <w:t> </w:t>
      </w:r>
      <w:r>
        <w:rPr>
          <w:color w:val="231F20"/>
        </w:rPr>
        <w:t>país,</w:t>
      </w:r>
      <w:r>
        <w:rPr>
          <w:color w:val="231F20"/>
          <w:spacing w:val="13"/>
        </w:rPr>
        <w:t> </w:t>
      </w:r>
      <w:r>
        <w:rPr>
          <w:color w:val="231F20"/>
        </w:rPr>
        <w:t>debido</w:t>
      </w:r>
      <w:r>
        <w:rPr>
          <w:color w:val="231F20"/>
          <w:spacing w:val="13"/>
        </w:rPr>
        <w:t> </w:t>
      </w:r>
      <w:r>
        <w:rPr>
          <w:color w:val="231F20"/>
          <w:spacing w:val="-5"/>
        </w:rPr>
        <w:t>al</w:t>
      </w:r>
    </w:p>
    <w:p>
      <w:pPr>
        <w:pStyle w:val="BodyText"/>
        <w:spacing w:before="77"/>
        <w:ind w:left="412" w:right="1131"/>
      </w:pPr>
      <w:r>
        <w:rPr/>
        <w:br w:type="column"/>
      </w:r>
      <w:r>
        <w:rPr>
          <w:color w:val="231F20"/>
          <w:spacing w:val="-2"/>
        </w:rPr>
        <w:t>paso</w:t>
      </w:r>
      <w:r>
        <w:rPr>
          <w:color w:val="231F20"/>
          <w:spacing w:val="-13"/>
        </w:rPr>
        <w:t> </w:t>
      </w:r>
      <w:r>
        <w:rPr>
          <w:color w:val="231F20"/>
          <w:spacing w:val="-2"/>
        </w:rPr>
        <w:t>de</w:t>
      </w:r>
      <w:r>
        <w:rPr>
          <w:color w:val="231F20"/>
          <w:spacing w:val="-13"/>
        </w:rPr>
        <w:t> </w:t>
      </w:r>
      <w:r>
        <w:rPr>
          <w:color w:val="231F20"/>
          <w:spacing w:val="-2"/>
        </w:rPr>
        <w:t>la</w:t>
      </w:r>
      <w:r>
        <w:rPr>
          <w:color w:val="231F20"/>
          <w:spacing w:val="-13"/>
        </w:rPr>
        <w:t> </w:t>
      </w:r>
      <w:r>
        <w:rPr>
          <w:color w:val="231F20"/>
          <w:spacing w:val="-2"/>
        </w:rPr>
        <w:t>compañía</w:t>
      </w:r>
      <w:r>
        <w:rPr>
          <w:color w:val="231F20"/>
          <w:spacing w:val="-13"/>
        </w:rPr>
        <w:t> </w:t>
      </w:r>
      <w:r>
        <w:rPr>
          <w:color w:val="231F20"/>
          <w:spacing w:val="-2"/>
        </w:rPr>
        <w:t>al</w:t>
      </w:r>
      <w:r>
        <w:rPr>
          <w:color w:val="231F20"/>
          <w:spacing w:val="-13"/>
        </w:rPr>
        <w:t> </w:t>
      </w:r>
      <w:r>
        <w:rPr>
          <w:color w:val="231F20"/>
          <w:spacing w:val="-2"/>
        </w:rPr>
        <w:t>consorcio</w:t>
      </w:r>
      <w:r>
        <w:rPr>
          <w:color w:val="231F20"/>
          <w:spacing w:val="-14"/>
        </w:rPr>
        <w:t> </w:t>
      </w:r>
      <w:r>
        <w:rPr>
          <w:color w:val="231F20"/>
          <w:spacing w:val="-2"/>
        </w:rPr>
        <w:t>Stellantis </w:t>
      </w:r>
      <w:r>
        <w:rPr>
          <w:color w:val="231F20"/>
        </w:rPr>
        <w:t>&amp; You, con un número mayoritario </w:t>
      </w:r>
      <w:r>
        <w:rPr>
          <w:color w:val="231F20"/>
        </w:rPr>
        <w:t>de accionistas estadounidenses.</w:t>
      </w:r>
    </w:p>
    <w:p>
      <w:pPr>
        <w:pStyle w:val="BodyText"/>
        <w:spacing w:before="162"/>
        <w:ind w:left="412" w:right="1131"/>
      </w:pPr>
      <w:r>
        <w:rPr>
          <w:b/>
          <w:color w:val="B52628"/>
          <w:spacing w:val="-4"/>
        </w:rPr>
        <w:t>Entre</w:t>
      </w:r>
      <w:r>
        <w:rPr>
          <w:b/>
          <w:color w:val="B52628"/>
          <w:spacing w:val="-12"/>
        </w:rPr>
        <w:t> </w:t>
      </w:r>
      <w:r>
        <w:rPr>
          <w:b/>
          <w:color w:val="B52628"/>
          <w:spacing w:val="-4"/>
        </w:rPr>
        <w:t>enero</w:t>
      </w:r>
      <w:r>
        <w:rPr>
          <w:b/>
          <w:color w:val="B52628"/>
          <w:spacing w:val="-12"/>
        </w:rPr>
        <w:t> </w:t>
      </w:r>
      <w:r>
        <w:rPr>
          <w:b/>
          <w:color w:val="B52628"/>
          <w:spacing w:val="-4"/>
        </w:rPr>
        <w:t>y</w:t>
      </w:r>
      <w:r>
        <w:rPr>
          <w:b/>
          <w:color w:val="B52628"/>
          <w:spacing w:val="-12"/>
        </w:rPr>
        <w:t> </w:t>
      </w:r>
      <w:r>
        <w:rPr>
          <w:b/>
          <w:color w:val="B52628"/>
          <w:spacing w:val="-4"/>
        </w:rPr>
        <w:t>febrero</w:t>
      </w:r>
      <w:r>
        <w:rPr>
          <w:b/>
          <w:color w:val="B52628"/>
          <w:spacing w:val="-12"/>
        </w:rPr>
        <w:t> </w:t>
      </w:r>
      <w:r>
        <w:rPr>
          <w:b/>
          <w:color w:val="B52628"/>
          <w:spacing w:val="-4"/>
        </w:rPr>
        <w:t>de</w:t>
      </w:r>
      <w:r>
        <w:rPr>
          <w:b/>
          <w:color w:val="B52628"/>
          <w:spacing w:val="-12"/>
        </w:rPr>
        <w:t> </w:t>
      </w:r>
      <w:r>
        <w:rPr>
          <w:b/>
          <w:color w:val="B52628"/>
          <w:spacing w:val="-4"/>
        </w:rPr>
        <w:t>2023</w:t>
      </w:r>
      <w:r>
        <w:rPr>
          <w:color w:val="231F20"/>
          <w:spacing w:val="-4"/>
        </w:rPr>
        <w:t>,</w:t>
      </w:r>
      <w:r>
        <w:rPr>
          <w:color w:val="231F20"/>
          <w:spacing w:val="-12"/>
        </w:rPr>
        <w:t> </w:t>
      </w:r>
      <w:r>
        <w:rPr>
          <w:color w:val="231F20"/>
          <w:spacing w:val="-4"/>
        </w:rPr>
        <w:t>los</w:t>
      </w:r>
      <w:r>
        <w:rPr>
          <w:color w:val="231F20"/>
          <w:spacing w:val="-12"/>
        </w:rPr>
        <w:t> </w:t>
      </w:r>
      <w:r>
        <w:rPr>
          <w:color w:val="231F20"/>
          <w:spacing w:val="-4"/>
        </w:rPr>
        <w:t>bancos </w:t>
      </w:r>
      <w:r>
        <w:rPr>
          <w:color w:val="231F20"/>
        </w:rPr>
        <w:t>Wise Payments Limited, Bank of Scotland y</w:t>
      </w:r>
      <w:r>
        <w:rPr>
          <w:color w:val="231F20"/>
          <w:spacing w:val="-14"/>
        </w:rPr>
        <w:t> </w:t>
      </w:r>
      <w:r>
        <w:rPr>
          <w:color w:val="231F20"/>
        </w:rPr>
        <w:t>UniCredit</w:t>
      </w:r>
      <w:r>
        <w:rPr>
          <w:color w:val="231F20"/>
          <w:spacing w:val="-14"/>
        </w:rPr>
        <w:t> </w:t>
      </w:r>
      <w:r>
        <w:rPr>
          <w:color w:val="231F20"/>
        </w:rPr>
        <w:t>Bank</w:t>
      </w:r>
      <w:r>
        <w:rPr>
          <w:color w:val="231F20"/>
          <w:spacing w:val="-14"/>
        </w:rPr>
        <w:t> </w:t>
      </w:r>
      <w:r>
        <w:rPr>
          <w:color w:val="231F20"/>
        </w:rPr>
        <w:t>Austria</w:t>
      </w:r>
      <w:r>
        <w:rPr>
          <w:color w:val="231F20"/>
          <w:spacing w:val="-14"/>
        </w:rPr>
        <w:t> </w:t>
      </w:r>
      <w:r>
        <w:rPr>
          <w:color w:val="231F20"/>
        </w:rPr>
        <w:t>AG,</w:t>
      </w:r>
      <w:r>
        <w:rPr>
          <w:color w:val="231F20"/>
          <w:spacing w:val="-14"/>
        </w:rPr>
        <w:t> </w:t>
      </w:r>
      <w:r>
        <w:rPr>
          <w:color w:val="231F20"/>
        </w:rPr>
        <w:t>no</w:t>
      </w:r>
      <w:r>
        <w:rPr>
          <w:color w:val="231F20"/>
          <w:spacing w:val="-14"/>
        </w:rPr>
        <w:t> </w:t>
      </w:r>
      <w:r>
        <w:rPr>
          <w:color w:val="231F20"/>
        </w:rPr>
        <w:t>aceptaron operaciones provenientes de Cuba para los pagos de servicios facturados por los organizadores de las ferias de Turismo MICE de Frankfurt y de la Messe Wien </w:t>
      </w:r>
      <w:r>
        <w:rPr>
          <w:color w:val="231F20"/>
        </w:rPr>
        <w:t>en Austria,</w:t>
      </w:r>
      <w:r>
        <w:rPr>
          <w:color w:val="231F20"/>
          <w:spacing w:val="-1"/>
        </w:rPr>
        <w:t> </w:t>
      </w:r>
      <w:r>
        <w:rPr>
          <w:color w:val="231F20"/>
        </w:rPr>
        <w:t>poniendo</w:t>
      </w:r>
      <w:r>
        <w:rPr>
          <w:color w:val="231F20"/>
          <w:spacing w:val="-1"/>
        </w:rPr>
        <w:t> </w:t>
      </w:r>
      <w:r>
        <w:rPr>
          <w:color w:val="231F20"/>
        </w:rPr>
        <w:t>en</w:t>
      </w:r>
      <w:r>
        <w:rPr>
          <w:color w:val="231F20"/>
          <w:spacing w:val="-1"/>
        </w:rPr>
        <w:t> </w:t>
      </w:r>
      <w:r>
        <w:rPr>
          <w:color w:val="231F20"/>
        </w:rPr>
        <w:t>riesgo</w:t>
      </w:r>
      <w:r>
        <w:rPr>
          <w:color w:val="231F20"/>
          <w:spacing w:val="-1"/>
        </w:rPr>
        <w:t> </w:t>
      </w:r>
      <w:r>
        <w:rPr>
          <w:color w:val="231F20"/>
        </w:rPr>
        <w:t>la</w:t>
      </w:r>
      <w:r>
        <w:rPr>
          <w:color w:val="231F20"/>
          <w:spacing w:val="-1"/>
        </w:rPr>
        <w:t> </w:t>
      </w:r>
      <w:r>
        <w:rPr>
          <w:color w:val="231F20"/>
        </w:rPr>
        <w:t>posibilidad de inscripción y la participación en próximas ediciones.</w:t>
      </w:r>
    </w:p>
    <w:p>
      <w:pPr>
        <w:pStyle w:val="BodyText"/>
        <w:spacing w:before="110"/>
        <w:jc w:val="left"/>
      </w:pPr>
    </w:p>
    <w:p>
      <w:pPr>
        <w:pStyle w:val="Heading2"/>
        <w:spacing w:line="196" w:lineRule="auto"/>
        <w:ind w:left="412" w:right="1173"/>
      </w:pPr>
      <w:r>
        <w:rPr>
          <w:color w:val="1F4282"/>
          <w:spacing w:val="-4"/>
          <w:w w:val="115"/>
        </w:rPr>
        <w:t>Otras</w:t>
      </w:r>
      <w:r>
        <w:rPr>
          <w:color w:val="1F4282"/>
          <w:spacing w:val="-17"/>
          <w:w w:val="115"/>
        </w:rPr>
        <w:t> </w:t>
      </w:r>
      <w:r>
        <w:rPr>
          <w:color w:val="1F4282"/>
          <w:spacing w:val="-4"/>
          <w:w w:val="115"/>
        </w:rPr>
        <w:t>afectaciones </w:t>
      </w:r>
      <w:r>
        <w:rPr>
          <w:color w:val="1F4282"/>
          <w:spacing w:val="-2"/>
          <w:w w:val="115"/>
        </w:rPr>
        <w:t>extraterritoriales</w:t>
      </w:r>
    </w:p>
    <w:p>
      <w:pPr>
        <w:pStyle w:val="BodyText"/>
        <w:spacing w:before="179"/>
        <w:ind w:left="412" w:right="1131"/>
      </w:pPr>
      <w:r>
        <w:rPr>
          <w:b/>
          <w:color w:val="B52628"/>
        </w:rPr>
        <w:t>El 21 de abril de 2022</w:t>
      </w:r>
      <w:r>
        <w:rPr>
          <w:color w:val="231F20"/>
        </w:rPr>
        <w:t>, la Oficina para el Control de Activos Extranjeros (OFAC) del Departamento del Tesoro de los Estados </w:t>
      </w:r>
      <w:r>
        <w:rPr>
          <w:color w:val="231F20"/>
          <w:spacing w:val="-4"/>
        </w:rPr>
        <w:t>Unidos,</w:t>
      </w:r>
      <w:r>
        <w:rPr>
          <w:color w:val="231F20"/>
          <w:spacing w:val="-9"/>
        </w:rPr>
        <w:t> </w:t>
      </w:r>
      <w:r>
        <w:rPr>
          <w:color w:val="231F20"/>
          <w:spacing w:val="-4"/>
        </w:rPr>
        <w:t>anunció</w:t>
      </w:r>
      <w:r>
        <w:rPr>
          <w:color w:val="231F20"/>
          <w:spacing w:val="-7"/>
        </w:rPr>
        <w:t> </w:t>
      </w:r>
      <w:r>
        <w:rPr>
          <w:color w:val="231F20"/>
          <w:spacing w:val="-4"/>
        </w:rPr>
        <w:t>arreglos</w:t>
      </w:r>
      <w:r>
        <w:rPr>
          <w:color w:val="231F20"/>
          <w:spacing w:val="-7"/>
        </w:rPr>
        <w:t> </w:t>
      </w:r>
      <w:r>
        <w:rPr>
          <w:color w:val="231F20"/>
          <w:spacing w:val="-4"/>
        </w:rPr>
        <w:t>para</w:t>
      </w:r>
      <w:r>
        <w:rPr>
          <w:color w:val="231F20"/>
          <w:spacing w:val="-7"/>
        </w:rPr>
        <w:t> </w:t>
      </w:r>
      <w:r>
        <w:rPr>
          <w:color w:val="231F20"/>
          <w:spacing w:val="-4"/>
        </w:rPr>
        <w:t>evitar</w:t>
      </w:r>
      <w:r>
        <w:rPr>
          <w:color w:val="231F20"/>
          <w:spacing w:val="-7"/>
        </w:rPr>
        <w:t> </w:t>
      </w:r>
      <w:r>
        <w:rPr>
          <w:color w:val="231F20"/>
          <w:spacing w:val="-4"/>
        </w:rPr>
        <w:t>pleitos </w:t>
      </w:r>
      <w:r>
        <w:rPr>
          <w:color w:val="231F20"/>
          <w:spacing w:val="-6"/>
        </w:rPr>
        <w:t>civiles con dos compañías estadounidenses, </w:t>
      </w:r>
      <w:r>
        <w:rPr>
          <w:color w:val="231F20"/>
          <w:spacing w:val="-8"/>
        </w:rPr>
        <w:t>por</w:t>
      </w:r>
      <w:r>
        <w:rPr>
          <w:color w:val="231F20"/>
          <w:spacing w:val="-9"/>
        </w:rPr>
        <w:t> </w:t>
      </w:r>
      <w:r>
        <w:rPr>
          <w:color w:val="231F20"/>
          <w:spacing w:val="-8"/>
        </w:rPr>
        <w:t>supuestas violaciones</w:t>
      </w:r>
      <w:r>
        <w:rPr>
          <w:color w:val="231F20"/>
          <w:spacing w:val="-9"/>
        </w:rPr>
        <w:t> </w:t>
      </w:r>
      <w:r>
        <w:rPr>
          <w:color w:val="231F20"/>
          <w:spacing w:val="-8"/>
        </w:rPr>
        <w:t>al bloqueo</w:t>
      </w:r>
      <w:r>
        <w:rPr>
          <w:color w:val="231F20"/>
          <w:spacing w:val="-9"/>
        </w:rPr>
        <w:t> </w:t>
      </w:r>
      <w:r>
        <w:rPr>
          <w:color w:val="231F20"/>
          <w:spacing w:val="-8"/>
        </w:rPr>
        <w:t>a Cuba. </w:t>
      </w:r>
      <w:r>
        <w:rPr>
          <w:color w:val="231F20"/>
          <w:spacing w:val="-4"/>
        </w:rPr>
        <w:t>Se</w:t>
      </w:r>
      <w:r>
        <w:rPr>
          <w:color w:val="231F20"/>
          <w:spacing w:val="-11"/>
        </w:rPr>
        <w:t> </w:t>
      </w:r>
      <w:r>
        <w:rPr>
          <w:color w:val="231F20"/>
          <w:spacing w:val="-4"/>
        </w:rPr>
        <w:t>impuso</w:t>
      </w:r>
      <w:r>
        <w:rPr>
          <w:color w:val="231F20"/>
          <w:spacing w:val="-11"/>
        </w:rPr>
        <w:t> </w:t>
      </w:r>
      <w:r>
        <w:rPr>
          <w:color w:val="231F20"/>
          <w:spacing w:val="-4"/>
        </w:rPr>
        <w:t>una</w:t>
      </w:r>
      <w:r>
        <w:rPr>
          <w:color w:val="231F20"/>
          <w:spacing w:val="-11"/>
        </w:rPr>
        <w:t> </w:t>
      </w:r>
      <w:r>
        <w:rPr>
          <w:color w:val="231F20"/>
          <w:spacing w:val="-4"/>
        </w:rPr>
        <w:t>penalidad</w:t>
      </w:r>
      <w:r>
        <w:rPr>
          <w:color w:val="231F20"/>
          <w:spacing w:val="-11"/>
        </w:rPr>
        <w:t> </w:t>
      </w:r>
      <w:r>
        <w:rPr>
          <w:color w:val="231F20"/>
          <w:spacing w:val="-4"/>
        </w:rPr>
        <w:t>a</w:t>
      </w:r>
      <w:r>
        <w:rPr>
          <w:color w:val="231F20"/>
          <w:spacing w:val="-11"/>
        </w:rPr>
        <w:t> </w:t>
      </w:r>
      <w:r>
        <w:rPr>
          <w:color w:val="231F20"/>
          <w:spacing w:val="-4"/>
        </w:rPr>
        <w:t>la</w:t>
      </w:r>
      <w:r>
        <w:rPr>
          <w:color w:val="231F20"/>
          <w:spacing w:val="-11"/>
        </w:rPr>
        <w:t> </w:t>
      </w:r>
      <w:r>
        <w:rPr>
          <w:color w:val="231F20"/>
          <w:spacing w:val="-4"/>
        </w:rPr>
        <w:t>multinacional </w:t>
      </w:r>
      <w:r>
        <w:rPr>
          <w:color w:val="231F20"/>
        </w:rPr>
        <w:t>minera Newmont Corporation (Denver, </w:t>
      </w:r>
      <w:r>
        <w:rPr>
          <w:color w:val="231F20"/>
          <w:w w:val="90"/>
        </w:rPr>
        <w:t>Colorado,</w:t>
      </w:r>
      <w:r>
        <w:rPr>
          <w:color w:val="231F20"/>
          <w:spacing w:val="-6"/>
          <w:w w:val="90"/>
        </w:rPr>
        <w:t> </w:t>
      </w:r>
      <w:r>
        <w:rPr>
          <w:color w:val="231F20"/>
          <w:w w:val="90"/>
        </w:rPr>
        <w:t>EE.UU.)</w:t>
      </w:r>
      <w:r>
        <w:rPr>
          <w:color w:val="231F20"/>
          <w:spacing w:val="-6"/>
          <w:w w:val="90"/>
        </w:rPr>
        <w:t> </w:t>
      </w:r>
      <w:r>
        <w:rPr>
          <w:color w:val="231F20"/>
          <w:w w:val="90"/>
        </w:rPr>
        <w:t>por</w:t>
      </w:r>
      <w:r>
        <w:rPr>
          <w:color w:val="231F20"/>
          <w:spacing w:val="-6"/>
          <w:w w:val="90"/>
        </w:rPr>
        <w:t> </w:t>
      </w:r>
      <w:r>
        <w:rPr>
          <w:color w:val="231F20"/>
          <w:w w:val="90"/>
        </w:rPr>
        <w:t>el</w:t>
      </w:r>
      <w:r>
        <w:rPr>
          <w:color w:val="231F20"/>
          <w:spacing w:val="-6"/>
          <w:w w:val="90"/>
        </w:rPr>
        <w:t> </w:t>
      </w:r>
      <w:r>
        <w:rPr>
          <w:color w:val="231F20"/>
          <w:w w:val="90"/>
        </w:rPr>
        <w:t>monto</w:t>
      </w:r>
      <w:r>
        <w:rPr>
          <w:color w:val="231F20"/>
          <w:spacing w:val="-6"/>
          <w:w w:val="90"/>
        </w:rPr>
        <w:t> </w:t>
      </w:r>
      <w:r>
        <w:rPr>
          <w:color w:val="231F20"/>
          <w:w w:val="90"/>
        </w:rPr>
        <w:t>de</w:t>
      </w:r>
      <w:r>
        <w:rPr>
          <w:color w:val="231F20"/>
          <w:spacing w:val="-6"/>
          <w:w w:val="90"/>
        </w:rPr>
        <w:t> </w:t>
      </w:r>
      <w:r>
        <w:rPr>
          <w:color w:val="231F20"/>
          <w:w w:val="90"/>
        </w:rPr>
        <w:t>141</w:t>
      </w:r>
      <w:r>
        <w:rPr>
          <w:color w:val="231F20"/>
          <w:spacing w:val="-6"/>
          <w:w w:val="90"/>
        </w:rPr>
        <w:t> </w:t>
      </w:r>
      <w:r>
        <w:rPr>
          <w:color w:val="231F20"/>
          <w:w w:val="90"/>
        </w:rPr>
        <w:t>mil</w:t>
      </w:r>
      <w:r>
        <w:rPr>
          <w:color w:val="231F20"/>
          <w:spacing w:val="-6"/>
          <w:w w:val="90"/>
        </w:rPr>
        <w:t> </w:t>
      </w:r>
      <w:r>
        <w:rPr>
          <w:color w:val="231F20"/>
          <w:w w:val="90"/>
        </w:rPr>
        <w:t>442 </w:t>
      </w:r>
      <w:r>
        <w:rPr>
          <w:color w:val="231F20"/>
          <w:spacing w:val="-2"/>
        </w:rPr>
        <w:t>dólares</w:t>
      </w:r>
      <w:r>
        <w:rPr>
          <w:color w:val="231F20"/>
          <w:spacing w:val="-15"/>
        </w:rPr>
        <w:t> </w:t>
      </w:r>
      <w:r>
        <w:rPr>
          <w:color w:val="231F20"/>
          <w:spacing w:val="-2"/>
        </w:rPr>
        <w:t>y</w:t>
      </w:r>
      <w:r>
        <w:rPr>
          <w:color w:val="231F20"/>
          <w:spacing w:val="-14"/>
        </w:rPr>
        <w:t> </w:t>
      </w:r>
      <w:r>
        <w:rPr>
          <w:color w:val="231F20"/>
          <w:spacing w:val="-2"/>
        </w:rPr>
        <w:t>a</w:t>
      </w:r>
      <w:r>
        <w:rPr>
          <w:color w:val="231F20"/>
          <w:spacing w:val="-14"/>
        </w:rPr>
        <w:t> </w:t>
      </w:r>
      <w:r>
        <w:rPr>
          <w:color w:val="231F20"/>
          <w:spacing w:val="-2"/>
        </w:rPr>
        <w:t>la</w:t>
      </w:r>
      <w:r>
        <w:rPr>
          <w:color w:val="231F20"/>
          <w:spacing w:val="-15"/>
        </w:rPr>
        <w:t> </w:t>
      </w:r>
      <w:r>
        <w:rPr>
          <w:color w:val="231F20"/>
          <w:spacing w:val="-2"/>
        </w:rPr>
        <w:t>compañía</w:t>
      </w:r>
      <w:r>
        <w:rPr>
          <w:color w:val="231F20"/>
          <w:spacing w:val="-14"/>
        </w:rPr>
        <w:t> </w:t>
      </w:r>
      <w:r>
        <w:rPr>
          <w:color w:val="231F20"/>
          <w:spacing w:val="-2"/>
        </w:rPr>
        <w:t>Chisu</w:t>
      </w:r>
      <w:r>
        <w:rPr>
          <w:color w:val="231F20"/>
          <w:spacing w:val="-14"/>
        </w:rPr>
        <w:t> </w:t>
      </w:r>
      <w:r>
        <w:rPr>
          <w:color w:val="231F20"/>
          <w:spacing w:val="-2"/>
        </w:rPr>
        <w:t>International </w:t>
      </w:r>
      <w:r>
        <w:rPr>
          <w:color w:val="231F20"/>
          <w:spacing w:val="-4"/>
        </w:rPr>
        <w:t>Corporation</w:t>
      </w:r>
      <w:r>
        <w:rPr>
          <w:color w:val="231F20"/>
          <w:spacing w:val="-10"/>
        </w:rPr>
        <w:t> </w:t>
      </w:r>
      <w:r>
        <w:rPr>
          <w:color w:val="231F20"/>
          <w:spacing w:val="-4"/>
        </w:rPr>
        <w:t>(Florida,</w:t>
      </w:r>
      <w:r>
        <w:rPr>
          <w:color w:val="231F20"/>
          <w:spacing w:val="-10"/>
        </w:rPr>
        <w:t> </w:t>
      </w:r>
      <w:r>
        <w:rPr>
          <w:color w:val="231F20"/>
          <w:spacing w:val="-4"/>
        </w:rPr>
        <w:t>EE.UU.)</w:t>
      </w:r>
      <w:r>
        <w:rPr>
          <w:color w:val="231F20"/>
          <w:spacing w:val="-10"/>
        </w:rPr>
        <w:t> </w:t>
      </w:r>
      <w:r>
        <w:rPr>
          <w:color w:val="231F20"/>
          <w:spacing w:val="-4"/>
        </w:rPr>
        <w:t>por</w:t>
      </w:r>
      <w:r>
        <w:rPr>
          <w:color w:val="231F20"/>
          <w:spacing w:val="-10"/>
        </w:rPr>
        <w:t> </w:t>
      </w:r>
      <w:r>
        <w:rPr>
          <w:color w:val="231F20"/>
          <w:spacing w:val="-4"/>
        </w:rPr>
        <w:t>45</w:t>
      </w:r>
      <w:r>
        <w:rPr>
          <w:color w:val="231F20"/>
          <w:spacing w:val="-10"/>
        </w:rPr>
        <w:t> </w:t>
      </w:r>
      <w:r>
        <w:rPr>
          <w:color w:val="231F20"/>
          <w:spacing w:val="-4"/>
        </w:rPr>
        <w:t>mil</w:t>
      </w:r>
      <w:r>
        <w:rPr>
          <w:color w:val="231F20"/>
          <w:spacing w:val="-10"/>
        </w:rPr>
        <w:t> </w:t>
      </w:r>
      <w:r>
        <w:rPr>
          <w:color w:val="231F20"/>
          <w:spacing w:val="-4"/>
        </w:rPr>
        <w:t>908 </w:t>
      </w:r>
      <w:r>
        <w:rPr>
          <w:color w:val="231F20"/>
        </w:rPr>
        <w:t>dólares.</w:t>
      </w:r>
      <w:r>
        <w:rPr>
          <w:color w:val="231F20"/>
          <w:spacing w:val="40"/>
        </w:rPr>
        <w:t> </w:t>
      </w:r>
      <w:r>
        <w:rPr>
          <w:color w:val="231F20"/>
        </w:rPr>
        <w:t>La OFAC alegó que entre 2016 y </w:t>
      </w:r>
      <w:r>
        <w:rPr>
          <w:color w:val="231F20"/>
          <w:spacing w:val="-4"/>
        </w:rPr>
        <w:t>2017,</w:t>
      </w:r>
      <w:r>
        <w:rPr>
          <w:color w:val="231F20"/>
          <w:spacing w:val="-8"/>
        </w:rPr>
        <w:t> </w:t>
      </w:r>
      <w:r>
        <w:rPr>
          <w:color w:val="231F20"/>
          <w:spacing w:val="-4"/>
        </w:rPr>
        <w:t>en</w:t>
      </w:r>
      <w:r>
        <w:rPr>
          <w:color w:val="231F20"/>
          <w:spacing w:val="-8"/>
        </w:rPr>
        <w:t> </w:t>
      </w:r>
      <w:r>
        <w:rPr>
          <w:color w:val="231F20"/>
          <w:spacing w:val="-4"/>
        </w:rPr>
        <w:t>violación</w:t>
      </w:r>
      <w:r>
        <w:rPr>
          <w:color w:val="231F20"/>
          <w:spacing w:val="-8"/>
        </w:rPr>
        <w:t> </w:t>
      </w:r>
      <w:r>
        <w:rPr>
          <w:color w:val="231F20"/>
          <w:spacing w:val="-4"/>
        </w:rPr>
        <w:t>de</w:t>
      </w:r>
      <w:r>
        <w:rPr>
          <w:color w:val="231F20"/>
          <w:spacing w:val="-8"/>
        </w:rPr>
        <w:t> </w:t>
      </w:r>
      <w:r>
        <w:rPr>
          <w:color w:val="231F20"/>
          <w:spacing w:val="-4"/>
        </w:rPr>
        <w:t>las</w:t>
      </w:r>
      <w:r>
        <w:rPr>
          <w:color w:val="231F20"/>
          <w:spacing w:val="-8"/>
        </w:rPr>
        <w:t> </w:t>
      </w:r>
      <w:r>
        <w:rPr>
          <w:color w:val="231F20"/>
          <w:spacing w:val="-4"/>
        </w:rPr>
        <w:t>Regulaciones</w:t>
      </w:r>
      <w:r>
        <w:rPr>
          <w:color w:val="231F20"/>
          <w:spacing w:val="-8"/>
        </w:rPr>
        <w:t> </w:t>
      </w:r>
      <w:r>
        <w:rPr>
          <w:color w:val="231F20"/>
          <w:spacing w:val="-4"/>
        </w:rPr>
        <w:t>para </w:t>
      </w:r>
      <w:r>
        <w:rPr>
          <w:color w:val="231F20"/>
        </w:rPr>
        <w:t>el Control de Activos Cubanos (CACR), subsidiarias de ambas compañías en Surinam</w:t>
      </w:r>
      <w:r>
        <w:rPr>
          <w:color w:val="231F20"/>
          <w:spacing w:val="-6"/>
        </w:rPr>
        <w:t> </w:t>
      </w:r>
      <w:r>
        <w:rPr>
          <w:color w:val="231F20"/>
        </w:rPr>
        <w:t>y</w:t>
      </w:r>
      <w:r>
        <w:rPr>
          <w:color w:val="231F20"/>
          <w:spacing w:val="-6"/>
        </w:rPr>
        <w:t> </w:t>
      </w:r>
      <w:r>
        <w:rPr>
          <w:color w:val="231F20"/>
        </w:rPr>
        <w:t>Panamá</w:t>
      </w:r>
      <w:r>
        <w:rPr>
          <w:color w:val="231F20"/>
          <w:spacing w:val="-6"/>
        </w:rPr>
        <w:t> </w:t>
      </w:r>
      <w:r>
        <w:rPr>
          <w:color w:val="231F20"/>
        </w:rPr>
        <w:t>adquirieron</w:t>
      </w:r>
      <w:r>
        <w:rPr>
          <w:color w:val="231F20"/>
          <w:spacing w:val="-6"/>
        </w:rPr>
        <w:t> </w:t>
      </w:r>
      <w:r>
        <w:rPr>
          <w:color w:val="231F20"/>
        </w:rPr>
        <w:t>explosivos para minería y otros accesorios de origen cubano,</w:t>
      </w:r>
      <w:r>
        <w:rPr>
          <w:color w:val="231F20"/>
          <w:spacing w:val="-17"/>
        </w:rPr>
        <w:t> </w:t>
      </w:r>
      <w:r>
        <w:rPr>
          <w:color w:val="231F20"/>
        </w:rPr>
        <w:t>exportados</w:t>
      </w:r>
      <w:r>
        <w:rPr>
          <w:color w:val="231F20"/>
          <w:spacing w:val="-16"/>
        </w:rPr>
        <w:t> </w:t>
      </w:r>
      <w:r>
        <w:rPr>
          <w:color w:val="231F20"/>
        </w:rPr>
        <w:t>por</w:t>
      </w:r>
      <w:r>
        <w:rPr>
          <w:color w:val="231F20"/>
          <w:spacing w:val="-17"/>
        </w:rPr>
        <w:t> </w:t>
      </w:r>
      <w:r>
        <w:rPr>
          <w:color w:val="231F20"/>
        </w:rPr>
        <w:t>la</w:t>
      </w:r>
      <w:r>
        <w:rPr>
          <w:color w:val="231F20"/>
          <w:spacing w:val="-16"/>
        </w:rPr>
        <w:t> </w:t>
      </w:r>
      <w:r>
        <w:rPr>
          <w:color w:val="231F20"/>
        </w:rPr>
        <w:t>entidad</w:t>
      </w:r>
      <w:r>
        <w:rPr>
          <w:color w:val="231F20"/>
          <w:spacing w:val="-17"/>
        </w:rPr>
        <w:t> </w:t>
      </w:r>
      <w:r>
        <w:rPr>
          <w:color w:val="231F20"/>
        </w:rPr>
        <w:t>cubana Unión Latinoamericana de Explosivos </w:t>
      </w:r>
      <w:r>
        <w:rPr>
          <w:color w:val="231F20"/>
          <w:spacing w:val="-2"/>
        </w:rPr>
        <w:t>(ULAEX).</w:t>
      </w:r>
    </w:p>
    <w:p>
      <w:pPr>
        <w:pStyle w:val="BodyText"/>
        <w:spacing w:before="176"/>
        <w:ind w:left="412" w:right="1130"/>
      </w:pPr>
      <w:r>
        <w:rPr>
          <w:b/>
          <w:color w:val="B52628"/>
        </w:rPr>
        <w:t>El 26 de septiembre de 2022</w:t>
      </w:r>
      <w:r>
        <w:rPr>
          <w:color w:val="231F20"/>
        </w:rPr>
        <w:t>, la OFAC anunció un acuerdo con CA Indosuez Switzerland SA (“CAIS”), </w:t>
      </w:r>
      <w:r>
        <w:rPr>
          <w:color w:val="231F20"/>
        </w:rPr>
        <w:t>subsidiaria indirecta</w:t>
      </w:r>
      <w:r>
        <w:rPr>
          <w:color w:val="231F20"/>
          <w:spacing w:val="-17"/>
        </w:rPr>
        <w:t> </w:t>
      </w:r>
      <w:r>
        <w:rPr>
          <w:color w:val="231F20"/>
        </w:rPr>
        <w:t>de</w:t>
      </w:r>
      <w:r>
        <w:rPr>
          <w:color w:val="231F20"/>
          <w:spacing w:val="-16"/>
        </w:rPr>
        <w:t> </w:t>
      </w:r>
      <w:r>
        <w:rPr>
          <w:color w:val="231F20"/>
        </w:rPr>
        <w:t>Crédit</w:t>
      </w:r>
      <w:r>
        <w:rPr>
          <w:color w:val="231F20"/>
          <w:spacing w:val="-17"/>
        </w:rPr>
        <w:t> </w:t>
      </w:r>
      <w:r>
        <w:rPr>
          <w:color w:val="231F20"/>
        </w:rPr>
        <w:t>Agricole</w:t>
      </w:r>
      <w:r>
        <w:rPr>
          <w:color w:val="231F20"/>
          <w:spacing w:val="-16"/>
        </w:rPr>
        <w:t> </w:t>
      </w:r>
      <w:r>
        <w:rPr>
          <w:color w:val="231F20"/>
        </w:rPr>
        <w:t>Corporate</w:t>
      </w:r>
      <w:r>
        <w:rPr>
          <w:color w:val="231F20"/>
          <w:spacing w:val="-17"/>
        </w:rPr>
        <w:t> </w:t>
      </w:r>
      <w:r>
        <w:rPr>
          <w:color w:val="231F20"/>
        </w:rPr>
        <w:t>and Investment Bank ubicada en Suiza, ante aparentes</w:t>
      </w:r>
      <w:r>
        <w:rPr>
          <w:color w:val="231F20"/>
          <w:spacing w:val="4"/>
        </w:rPr>
        <w:t> </w:t>
      </w:r>
      <w:r>
        <w:rPr>
          <w:color w:val="231F20"/>
        </w:rPr>
        <w:t>violaciones</w:t>
      </w:r>
      <w:r>
        <w:rPr>
          <w:color w:val="231F20"/>
          <w:spacing w:val="5"/>
        </w:rPr>
        <w:t> </w:t>
      </w:r>
      <w:r>
        <w:rPr>
          <w:color w:val="231F20"/>
        </w:rPr>
        <w:t>a</w:t>
      </w:r>
      <w:r>
        <w:rPr>
          <w:color w:val="231F20"/>
          <w:spacing w:val="6"/>
        </w:rPr>
        <w:t> </w:t>
      </w:r>
      <w:r>
        <w:rPr>
          <w:color w:val="231F20"/>
        </w:rPr>
        <w:t>los</w:t>
      </w:r>
      <w:r>
        <w:rPr>
          <w:color w:val="231F20"/>
          <w:spacing w:val="5"/>
        </w:rPr>
        <w:t> </w:t>
      </w:r>
      <w:r>
        <w:rPr>
          <w:color w:val="231F20"/>
        </w:rPr>
        <w:t>programas</w:t>
      </w:r>
      <w:r>
        <w:rPr>
          <w:color w:val="231F20"/>
          <w:spacing w:val="5"/>
        </w:rPr>
        <w:t> </w:t>
      </w:r>
      <w:r>
        <w:rPr>
          <w:color w:val="231F20"/>
          <w:spacing w:val="-5"/>
        </w:rPr>
        <w:t>de</w:t>
      </w:r>
    </w:p>
    <w:p>
      <w:pPr>
        <w:spacing w:after="0"/>
        <w:sectPr>
          <w:pgSz w:w="11910" w:h="16840"/>
          <w:pgMar w:header="0" w:footer="695" w:top="1260" w:bottom="880" w:left="0" w:right="0"/>
          <w:cols w:num="2" w:equalWidth="0">
            <w:col w:w="5898" w:space="40"/>
            <w:col w:w="5972"/>
          </w:cols>
        </w:sectPr>
      </w:pPr>
    </w:p>
    <w:p>
      <w:pPr>
        <w:pStyle w:val="BodyText"/>
        <w:spacing w:before="77"/>
        <w:ind w:left="1133"/>
      </w:pPr>
      <w:r>
        <w:rPr>
          <w:color w:val="231F20"/>
        </w:rPr>
        <w:t>sanciones</w:t>
      </w:r>
      <w:r>
        <w:rPr>
          <w:color w:val="231F20"/>
          <w:spacing w:val="-9"/>
        </w:rPr>
        <w:t> </w:t>
      </w:r>
      <w:r>
        <w:rPr>
          <w:color w:val="231F20"/>
        </w:rPr>
        <w:t>contra</w:t>
      </w:r>
      <w:r>
        <w:rPr>
          <w:color w:val="231F20"/>
          <w:spacing w:val="-9"/>
        </w:rPr>
        <w:t> </w:t>
      </w:r>
      <w:r>
        <w:rPr>
          <w:color w:val="231F20"/>
        </w:rPr>
        <w:t>Cuba,</w:t>
      </w:r>
      <w:r>
        <w:rPr>
          <w:color w:val="231F20"/>
          <w:spacing w:val="-9"/>
        </w:rPr>
        <w:t> </w:t>
      </w:r>
      <w:r>
        <w:rPr>
          <w:color w:val="231F20"/>
        </w:rPr>
        <w:t>Irán,</w:t>
      </w:r>
      <w:r>
        <w:rPr>
          <w:color w:val="231F20"/>
          <w:spacing w:val="-9"/>
        </w:rPr>
        <w:t> </w:t>
      </w:r>
      <w:r>
        <w:rPr>
          <w:color w:val="231F20"/>
        </w:rPr>
        <w:t>Sudán</w:t>
      </w:r>
      <w:r>
        <w:rPr>
          <w:color w:val="231F20"/>
          <w:spacing w:val="-9"/>
        </w:rPr>
        <w:t> </w:t>
      </w:r>
      <w:r>
        <w:rPr>
          <w:color w:val="231F20"/>
        </w:rPr>
        <w:t>y</w:t>
      </w:r>
      <w:r>
        <w:rPr>
          <w:color w:val="231F20"/>
          <w:spacing w:val="-9"/>
        </w:rPr>
        <w:t> </w:t>
      </w:r>
      <w:r>
        <w:rPr>
          <w:color w:val="231F20"/>
        </w:rPr>
        <w:t>Siria. CAIS,</w:t>
      </w:r>
      <w:r>
        <w:rPr>
          <w:color w:val="231F20"/>
          <w:spacing w:val="-17"/>
        </w:rPr>
        <w:t> </w:t>
      </w:r>
      <w:r>
        <w:rPr>
          <w:color w:val="231F20"/>
        </w:rPr>
        <w:t>especializada</w:t>
      </w:r>
      <w:r>
        <w:rPr>
          <w:color w:val="231F20"/>
          <w:spacing w:val="-16"/>
        </w:rPr>
        <w:t> </w:t>
      </w:r>
      <w:r>
        <w:rPr>
          <w:color w:val="231F20"/>
        </w:rPr>
        <w:t>en</w:t>
      </w:r>
      <w:r>
        <w:rPr>
          <w:color w:val="231F20"/>
          <w:spacing w:val="-17"/>
        </w:rPr>
        <w:t> </w:t>
      </w:r>
      <w:r>
        <w:rPr>
          <w:color w:val="231F20"/>
        </w:rPr>
        <w:t>gestión</w:t>
      </w:r>
      <w:r>
        <w:rPr>
          <w:color w:val="231F20"/>
          <w:spacing w:val="-16"/>
        </w:rPr>
        <w:t> </w:t>
      </w:r>
      <w:r>
        <w:rPr>
          <w:color w:val="231F20"/>
        </w:rPr>
        <w:t>patrimonial y</w:t>
      </w:r>
      <w:r>
        <w:rPr>
          <w:color w:val="231F20"/>
          <w:spacing w:val="-14"/>
        </w:rPr>
        <w:t> </w:t>
      </w:r>
      <w:r>
        <w:rPr>
          <w:color w:val="231F20"/>
        </w:rPr>
        <w:t>corporativa</w:t>
      </w:r>
      <w:r>
        <w:rPr>
          <w:color w:val="231F20"/>
          <w:spacing w:val="-15"/>
        </w:rPr>
        <w:t> </w:t>
      </w:r>
      <w:r>
        <w:rPr>
          <w:color w:val="231F20"/>
        </w:rPr>
        <w:t>y</w:t>
      </w:r>
      <w:r>
        <w:rPr>
          <w:color w:val="231F20"/>
          <w:spacing w:val="-14"/>
        </w:rPr>
        <w:t> </w:t>
      </w:r>
      <w:r>
        <w:rPr>
          <w:color w:val="231F20"/>
        </w:rPr>
        <w:t>banca</w:t>
      </w:r>
      <w:r>
        <w:rPr>
          <w:color w:val="231F20"/>
          <w:spacing w:val="-15"/>
        </w:rPr>
        <w:t> </w:t>
      </w:r>
      <w:r>
        <w:rPr>
          <w:color w:val="231F20"/>
        </w:rPr>
        <w:t>de</w:t>
      </w:r>
      <w:r>
        <w:rPr>
          <w:color w:val="231F20"/>
          <w:spacing w:val="-14"/>
        </w:rPr>
        <w:t> </w:t>
      </w:r>
      <w:r>
        <w:rPr>
          <w:color w:val="231F20"/>
        </w:rPr>
        <w:t>inversión,</w:t>
      </w:r>
      <w:r>
        <w:rPr>
          <w:color w:val="231F20"/>
          <w:spacing w:val="-14"/>
        </w:rPr>
        <w:t> </w:t>
      </w:r>
      <w:r>
        <w:rPr>
          <w:color w:val="231F20"/>
        </w:rPr>
        <w:t>acordó remitir</w:t>
      </w:r>
      <w:r>
        <w:rPr>
          <w:color w:val="231F20"/>
          <w:spacing w:val="40"/>
        </w:rPr>
        <w:t> </w:t>
      </w:r>
      <w:r>
        <w:rPr>
          <w:color w:val="231F20"/>
        </w:rPr>
        <w:t>720</w:t>
      </w:r>
      <w:r>
        <w:rPr>
          <w:color w:val="231F20"/>
          <w:spacing w:val="40"/>
        </w:rPr>
        <w:t> </w:t>
      </w:r>
      <w:r>
        <w:rPr>
          <w:color w:val="231F20"/>
        </w:rPr>
        <w:t>mil</w:t>
      </w:r>
      <w:r>
        <w:rPr>
          <w:color w:val="231F20"/>
          <w:spacing w:val="40"/>
        </w:rPr>
        <w:t> </w:t>
      </w:r>
      <w:r>
        <w:rPr>
          <w:color w:val="231F20"/>
        </w:rPr>
        <w:t>258</w:t>
      </w:r>
      <w:r>
        <w:rPr>
          <w:color w:val="231F20"/>
          <w:spacing w:val="40"/>
        </w:rPr>
        <w:t> </w:t>
      </w:r>
      <w:r>
        <w:rPr>
          <w:color w:val="231F20"/>
        </w:rPr>
        <w:t>dólares</w:t>
      </w:r>
      <w:r>
        <w:rPr>
          <w:color w:val="231F20"/>
          <w:spacing w:val="40"/>
        </w:rPr>
        <w:t> </w:t>
      </w:r>
      <w:r>
        <w:rPr>
          <w:color w:val="231F20"/>
        </w:rPr>
        <w:t>para</w:t>
      </w:r>
      <w:r>
        <w:rPr>
          <w:color w:val="231F20"/>
          <w:spacing w:val="40"/>
        </w:rPr>
        <w:t> </w:t>
      </w:r>
      <w:r>
        <w:rPr>
          <w:color w:val="231F20"/>
        </w:rPr>
        <w:t>evitar un pleito civil. Adicionalmente, la OFAC informó de un acuerdo similar con CFM Indosuez Wealth (“CFM”), subsidiaria indirecta de Crédit Agricole Corporate and</w:t>
      </w:r>
      <w:r>
        <w:rPr>
          <w:color w:val="231F20"/>
          <w:spacing w:val="-9"/>
        </w:rPr>
        <w:t> </w:t>
      </w:r>
      <w:r>
        <w:rPr>
          <w:color w:val="231F20"/>
        </w:rPr>
        <w:t>Investment</w:t>
      </w:r>
      <w:r>
        <w:rPr>
          <w:color w:val="231F20"/>
          <w:spacing w:val="-9"/>
        </w:rPr>
        <w:t> </w:t>
      </w:r>
      <w:r>
        <w:rPr>
          <w:color w:val="231F20"/>
        </w:rPr>
        <w:t>Bank</w:t>
      </w:r>
      <w:r>
        <w:rPr>
          <w:color w:val="231F20"/>
          <w:spacing w:val="-9"/>
        </w:rPr>
        <w:t> </w:t>
      </w:r>
      <w:r>
        <w:rPr>
          <w:color w:val="231F20"/>
        </w:rPr>
        <w:t>ubicada</w:t>
      </w:r>
      <w:r>
        <w:rPr>
          <w:color w:val="231F20"/>
          <w:spacing w:val="-9"/>
        </w:rPr>
        <w:t> </w:t>
      </w:r>
      <w:r>
        <w:rPr>
          <w:color w:val="231F20"/>
        </w:rPr>
        <w:t>en</w:t>
      </w:r>
      <w:r>
        <w:rPr>
          <w:color w:val="231F20"/>
          <w:spacing w:val="-9"/>
        </w:rPr>
        <w:t> </w:t>
      </w:r>
      <w:r>
        <w:rPr>
          <w:color w:val="231F20"/>
        </w:rPr>
        <w:t>Mónaco, por violaciones a las leyes del bloqueo a Cuba y al programa de sanciones contra Irán y Siria. La compañía acordó el pago de 401 mil 039 dólares para evitar un pleito</w:t>
      </w:r>
      <w:r>
        <w:rPr>
          <w:color w:val="231F20"/>
          <w:spacing w:val="-17"/>
        </w:rPr>
        <w:t> </w:t>
      </w:r>
      <w:r>
        <w:rPr>
          <w:color w:val="231F20"/>
        </w:rPr>
        <w:t>civil.</w:t>
      </w:r>
      <w:r>
        <w:rPr>
          <w:color w:val="231F20"/>
          <w:spacing w:val="-16"/>
        </w:rPr>
        <w:t> </w:t>
      </w:r>
      <w:r>
        <w:rPr>
          <w:color w:val="231F20"/>
        </w:rPr>
        <w:t>Según</w:t>
      </w:r>
      <w:r>
        <w:rPr>
          <w:color w:val="231F20"/>
          <w:spacing w:val="-17"/>
        </w:rPr>
        <w:t> </w:t>
      </w:r>
      <w:r>
        <w:rPr>
          <w:color w:val="231F20"/>
        </w:rPr>
        <w:t>el</w:t>
      </w:r>
      <w:r>
        <w:rPr>
          <w:color w:val="231F20"/>
          <w:spacing w:val="-16"/>
        </w:rPr>
        <w:t> </w:t>
      </w:r>
      <w:r>
        <w:rPr>
          <w:color w:val="231F20"/>
        </w:rPr>
        <w:t>comunicado</w:t>
      </w:r>
      <w:r>
        <w:rPr>
          <w:color w:val="231F20"/>
          <w:spacing w:val="-17"/>
        </w:rPr>
        <w:t> </w:t>
      </w:r>
      <w:r>
        <w:rPr>
          <w:color w:val="231F20"/>
        </w:rPr>
        <w:t>oficial</w:t>
      </w:r>
      <w:r>
        <w:rPr>
          <w:color w:val="231F20"/>
          <w:spacing w:val="-16"/>
        </w:rPr>
        <w:t> </w:t>
      </w:r>
      <w:r>
        <w:rPr>
          <w:color w:val="231F20"/>
        </w:rPr>
        <w:t>de la OFAC, tanto CAIS como CFM operaron cuentas bancarias y de valores en dólares en nombre de clientes ubicados en jurisdicciones</w:t>
      </w:r>
      <w:r>
        <w:rPr>
          <w:color w:val="231F20"/>
          <w:spacing w:val="40"/>
        </w:rPr>
        <w:t> </w:t>
      </w:r>
      <w:r>
        <w:rPr>
          <w:color w:val="231F20"/>
        </w:rPr>
        <w:t>sancionadas,</w:t>
      </w:r>
      <w:r>
        <w:rPr>
          <w:color w:val="231F20"/>
          <w:spacing w:val="40"/>
        </w:rPr>
        <w:t> </w:t>
      </w:r>
      <w:r>
        <w:rPr>
          <w:color w:val="231F20"/>
        </w:rPr>
        <w:t>al</w:t>
      </w:r>
      <w:r>
        <w:rPr>
          <w:color w:val="231F20"/>
          <w:spacing w:val="40"/>
        </w:rPr>
        <w:t> </w:t>
      </w:r>
      <w:r>
        <w:rPr>
          <w:color w:val="231F20"/>
        </w:rPr>
        <w:t>tiempo que realizaron negocios en dólares estadounidenses en nombre de estos clientes a través del sistema financiero de los Estados Unidos.</w:t>
      </w:r>
    </w:p>
    <w:p>
      <w:pPr>
        <w:pStyle w:val="BodyText"/>
        <w:spacing w:before="177"/>
        <w:ind w:left="1133"/>
      </w:pPr>
      <w:r>
        <w:rPr>
          <w:b/>
          <w:color w:val="B52628"/>
        </w:rPr>
        <w:t>El 30 de septiembre de 2022</w:t>
      </w:r>
      <w:r>
        <w:rPr>
          <w:color w:val="231F20"/>
        </w:rPr>
        <w:t>, la OFAC del</w:t>
      </w:r>
      <w:r>
        <w:rPr>
          <w:color w:val="231F20"/>
          <w:spacing w:val="40"/>
        </w:rPr>
        <w:t> </w:t>
      </w:r>
      <w:r>
        <w:rPr>
          <w:color w:val="231F20"/>
        </w:rPr>
        <w:t>Departamento</w:t>
      </w:r>
      <w:r>
        <w:rPr>
          <w:color w:val="231F20"/>
          <w:spacing w:val="40"/>
        </w:rPr>
        <w:t> </w:t>
      </w:r>
      <w:r>
        <w:rPr>
          <w:color w:val="231F20"/>
        </w:rPr>
        <w:t>del</w:t>
      </w:r>
      <w:r>
        <w:rPr>
          <w:color w:val="231F20"/>
          <w:spacing w:val="40"/>
        </w:rPr>
        <w:t> </w:t>
      </w:r>
      <w:r>
        <w:rPr>
          <w:color w:val="231F20"/>
        </w:rPr>
        <w:t>Tesoro</w:t>
      </w:r>
      <w:r>
        <w:rPr>
          <w:color w:val="231F20"/>
          <w:spacing w:val="40"/>
        </w:rPr>
        <w:t> </w:t>
      </w:r>
      <w:r>
        <w:rPr>
          <w:color w:val="231F20"/>
        </w:rPr>
        <w:t>anunció un acuerdo con Tango Card, Inc. </w:t>
      </w:r>
      <w:r>
        <w:rPr>
          <w:color w:val="231F20"/>
        </w:rPr>
        <w:t>(Tango Card), una empresa con sede en Seattle, Washington, que suministra y distribuye recompensas</w:t>
      </w:r>
      <w:r>
        <w:rPr>
          <w:color w:val="231F20"/>
          <w:spacing w:val="-6"/>
        </w:rPr>
        <w:t> </w:t>
      </w:r>
      <w:r>
        <w:rPr>
          <w:color w:val="231F20"/>
        </w:rPr>
        <w:t>electrónicas,</w:t>
      </w:r>
      <w:r>
        <w:rPr>
          <w:color w:val="231F20"/>
          <w:spacing w:val="-6"/>
        </w:rPr>
        <w:t> </w:t>
      </w:r>
      <w:r>
        <w:rPr>
          <w:color w:val="231F20"/>
        </w:rPr>
        <w:t>ante</w:t>
      </w:r>
      <w:r>
        <w:rPr>
          <w:color w:val="231F20"/>
          <w:spacing w:val="-6"/>
        </w:rPr>
        <w:t> </w:t>
      </w:r>
      <w:r>
        <w:rPr>
          <w:color w:val="231F20"/>
        </w:rPr>
        <w:t>aparentes violaciones de las leyes del bloqueo y </w:t>
      </w:r>
      <w:r>
        <w:rPr>
          <w:color w:val="231F20"/>
          <w:spacing w:val="-2"/>
        </w:rPr>
        <w:t>otros</w:t>
      </w:r>
      <w:r>
        <w:rPr>
          <w:color w:val="231F20"/>
          <w:spacing w:val="-15"/>
        </w:rPr>
        <w:t> </w:t>
      </w:r>
      <w:r>
        <w:rPr>
          <w:color w:val="231F20"/>
          <w:spacing w:val="-2"/>
        </w:rPr>
        <w:t>programas</w:t>
      </w:r>
      <w:r>
        <w:rPr>
          <w:color w:val="231F20"/>
          <w:spacing w:val="-14"/>
        </w:rPr>
        <w:t> </w:t>
      </w:r>
      <w:r>
        <w:rPr>
          <w:color w:val="231F20"/>
          <w:spacing w:val="-2"/>
        </w:rPr>
        <w:t>de</w:t>
      </w:r>
      <w:r>
        <w:rPr>
          <w:color w:val="231F20"/>
          <w:spacing w:val="-15"/>
        </w:rPr>
        <w:t> </w:t>
      </w:r>
      <w:r>
        <w:rPr>
          <w:color w:val="231F20"/>
          <w:spacing w:val="-2"/>
        </w:rPr>
        <w:t>sanciones.</w:t>
      </w:r>
      <w:r>
        <w:rPr>
          <w:color w:val="231F20"/>
          <w:spacing w:val="-14"/>
        </w:rPr>
        <w:t> </w:t>
      </w:r>
      <w:r>
        <w:rPr>
          <w:color w:val="231F20"/>
          <w:spacing w:val="-2"/>
        </w:rPr>
        <w:t>Tango</w:t>
      </w:r>
      <w:r>
        <w:rPr>
          <w:color w:val="231F20"/>
          <w:spacing w:val="-15"/>
        </w:rPr>
        <w:t> </w:t>
      </w:r>
      <w:r>
        <w:rPr>
          <w:color w:val="231F20"/>
          <w:spacing w:val="-2"/>
        </w:rPr>
        <w:t>Card </w:t>
      </w:r>
      <w:r>
        <w:rPr>
          <w:color w:val="231F20"/>
        </w:rPr>
        <w:t>acordó</w:t>
      </w:r>
      <w:r>
        <w:rPr>
          <w:color w:val="231F20"/>
          <w:spacing w:val="-17"/>
        </w:rPr>
        <w:t> </w:t>
      </w:r>
      <w:r>
        <w:rPr>
          <w:color w:val="231F20"/>
        </w:rPr>
        <w:t>remitir</w:t>
      </w:r>
      <w:r>
        <w:rPr>
          <w:color w:val="231F20"/>
          <w:spacing w:val="-16"/>
        </w:rPr>
        <w:t> </w:t>
      </w:r>
      <w:r>
        <w:rPr>
          <w:color w:val="231F20"/>
        </w:rPr>
        <w:t>116</w:t>
      </w:r>
      <w:r>
        <w:rPr>
          <w:color w:val="231F20"/>
          <w:spacing w:val="-16"/>
        </w:rPr>
        <w:t> </w:t>
      </w:r>
      <w:r>
        <w:rPr>
          <w:color w:val="231F20"/>
        </w:rPr>
        <w:t>mil</w:t>
      </w:r>
      <w:r>
        <w:rPr>
          <w:color w:val="231F20"/>
          <w:spacing w:val="-16"/>
        </w:rPr>
        <w:t> </w:t>
      </w:r>
      <w:r>
        <w:rPr>
          <w:color w:val="231F20"/>
        </w:rPr>
        <w:t>048.60</w:t>
      </w:r>
      <w:r>
        <w:rPr>
          <w:color w:val="231F20"/>
          <w:spacing w:val="-16"/>
        </w:rPr>
        <w:t> </w:t>
      </w:r>
      <w:r>
        <w:rPr>
          <w:color w:val="231F20"/>
        </w:rPr>
        <w:t>dólares</w:t>
      </w:r>
      <w:r>
        <w:rPr>
          <w:color w:val="231F20"/>
          <w:spacing w:val="-17"/>
        </w:rPr>
        <w:t> </w:t>
      </w:r>
      <w:r>
        <w:rPr>
          <w:color w:val="231F20"/>
        </w:rPr>
        <w:t>para evitar un pleito civil, pues según la OFAC, </w:t>
      </w:r>
      <w:r>
        <w:rPr>
          <w:color w:val="231F20"/>
          <w:spacing w:val="-2"/>
        </w:rPr>
        <w:t>transmitió</w:t>
      </w:r>
      <w:r>
        <w:rPr>
          <w:color w:val="231F20"/>
          <w:spacing w:val="-6"/>
        </w:rPr>
        <w:t> </w:t>
      </w:r>
      <w:r>
        <w:rPr>
          <w:color w:val="231F20"/>
          <w:spacing w:val="-2"/>
        </w:rPr>
        <w:t>productos</w:t>
      </w:r>
      <w:r>
        <w:rPr>
          <w:color w:val="231F20"/>
          <w:spacing w:val="-6"/>
        </w:rPr>
        <w:t> </w:t>
      </w:r>
      <w:r>
        <w:rPr>
          <w:color w:val="231F20"/>
          <w:spacing w:val="-2"/>
        </w:rPr>
        <w:t>de</w:t>
      </w:r>
      <w:r>
        <w:rPr>
          <w:color w:val="231F20"/>
          <w:spacing w:val="-6"/>
        </w:rPr>
        <w:t> </w:t>
      </w:r>
      <w:r>
        <w:rPr>
          <w:color w:val="231F20"/>
          <w:spacing w:val="-2"/>
        </w:rPr>
        <w:t>valor</w:t>
      </w:r>
      <w:r>
        <w:rPr>
          <w:color w:val="231F20"/>
          <w:spacing w:val="-6"/>
        </w:rPr>
        <w:t> </w:t>
      </w:r>
      <w:r>
        <w:rPr>
          <w:color w:val="231F20"/>
          <w:spacing w:val="-2"/>
        </w:rPr>
        <w:t>almacenado </w:t>
      </w:r>
      <w:r>
        <w:rPr>
          <w:color w:val="231F20"/>
        </w:rPr>
        <w:t>a</w:t>
      </w:r>
      <w:r>
        <w:rPr>
          <w:color w:val="231F20"/>
          <w:spacing w:val="40"/>
        </w:rPr>
        <w:t> </w:t>
      </w:r>
      <w:r>
        <w:rPr>
          <w:color w:val="231F20"/>
        </w:rPr>
        <w:t>personas</w:t>
      </w:r>
      <w:r>
        <w:rPr>
          <w:color w:val="231F20"/>
          <w:spacing w:val="40"/>
        </w:rPr>
        <w:t> </w:t>
      </w:r>
      <w:r>
        <w:rPr>
          <w:color w:val="231F20"/>
        </w:rPr>
        <w:t>con</w:t>
      </w:r>
      <w:r>
        <w:rPr>
          <w:color w:val="231F20"/>
          <w:spacing w:val="40"/>
        </w:rPr>
        <w:t> </w:t>
      </w:r>
      <w:r>
        <w:rPr>
          <w:color w:val="231F20"/>
        </w:rPr>
        <w:t>Protocolo</w:t>
      </w:r>
      <w:r>
        <w:rPr>
          <w:color w:val="231F20"/>
          <w:spacing w:val="40"/>
        </w:rPr>
        <w:t> </w:t>
      </w:r>
      <w:r>
        <w:rPr>
          <w:color w:val="231F20"/>
        </w:rPr>
        <w:t>de</w:t>
      </w:r>
      <w:r>
        <w:rPr>
          <w:color w:val="231F20"/>
          <w:spacing w:val="40"/>
        </w:rPr>
        <w:t> </w:t>
      </w:r>
      <w:r>
        <w:rPr>
          <w:color w:val="231F20"/>
        </w:rPr>
        <w:t>Internet (IP) y direcciones de correo electrónico asociadas con Cuba, Irán, Siria, República Popular</w:t>
      </w:r>
      <w:r>
        <w:rPr>
          <w:color w:val="231F20"/>
          <w:spacing w:val="-4"/>
        </w:rPr>
        <w:t> </w:t>
      </w:r>
      <w:r>
        <w:rPr>
          <w:color w:val="231F20"/>
        </w:rPr>
        <w:t>Democrática</w:t>
      </w:r>
      <w:r>
        <w:rPr>
          <w:color w:val="231F20"/>
          <w:spacing w:val="-4"/>
        </w:rPr>
        <w:t> </w:t>
      </w:r>
      <w:r>
        <w:rPr>
          <w:color w:val="231F20"/>
        </w:rPr>
        <w:t>de</w:t>
      </w:r>
      <w:r>
        <w:rPr>
          <w:color w:val="231F20"/>
          <w:spacing w:val="-4"/>
        </w:rPr>
        <w:t> </w:t>
      </w:r>
      <w:r>
        <w:rPr>
          <w:color w:val="231F20"/>
        </w:rPr>
        <w:t>Corea</w:t>
      </w:r>
      <w:r>
        <w:rPr>
          <w:color w:val="231F20"/>
          <w:spacing w:val="-4"/>
        </w:rPr>
        <w:t> </w:t>
      </w:r>
      <w:r>
        <w:rPr>
          <w:color w:val="231F20"/>
        </w:rPr>
        <w:t>y</w:t>
      </w:r>
      <w:r>
        <w:rPr>
          <w:color w:val="231F20"/>
          <w:spacing w:val="-4"/>
        </w:rPr>
        <w:t> </w:t>
      </w:r>
      <w:r>
        <w:rPr>
          <w:color w:val="231F20"/>
        </w:rPr>
        <w:t>la</w:t>
      </w:r>
      <w:r>
        <w:rPr>
          <w:color w:val="231F20"/>
          <w:spacing w:val="-4"/>
        </w:rPr>
        <w:t> </w:t>
      </w:r>
      <w:r>
        <w:rPr>
          <w:color w:val="231F20"/>
        </w:rPr>
        <w:t>región de Crimea.</w:t>
      </w:r>
    </w:p>
    <w:p>
      <w:pPr>
        <w:pStyle w:val="BodyText"/>
        <w:spacing w:before="172"/>
        <w:ind w:left="1133"/>
      </w:pPr>
      <w:r>
        <w:rPr>
          <w:b/>
          <w:color w:val="B52628"/>
        </w:rPr>
        <w:t>El 11 de octubre de 2022</w:t>
      </w:r>
      <w:r>
        <w:rPr>
          <w:color w:val="231F20"/>
        </w:rPr>
        <w:t>, la OFAC del Departamento del Tesoro anunció </w:t>
      </w:r>
      <w:r>
        <w:rPr>
          <w:color w:val="231F20"/>
        </w:rPr>
        <w:t>un acuerdo</w:t>
      </w:r>
      <w:r>
        <w:rPr>
          <w:color w:val="231F20"/>
          <w:spacing w:val="-5"/>
        </w:rPr>
        <w:t> </w:t>
      </w:r>
      <w:r>
        <w:rPr>
          <w:color w:val="231F20"/>
        </w:rPr>
        <w:t>con</w:t>
      </w:r>
      <w:r>
        <w:rPr>
          <w:color w:val="231F20"/>
          <w:spacing w:val="-5"/>
        </w:rPr>
        <w:t> </w:t>
      </w:r>
      <w:r>
        <w:rPr>
          <w:color w:val="231F20"/>
        </w:rPr>
        <w:t>Bittrex,</w:t>
      </w:r>
      <w:r>
        <w:rPr>
          <w:color w:val="231F20"/>
          <w:spacing w:val="-5"/>
        </w:rPr>
        <w:t> </w:t>
      </w:r>
      <w:r>
        <w:rPr>
          <w:color w:val="231F20"/>
        </w:rPr>
        <w:t>Inc.,</w:t>
      </w:r>
      <w:r>
        <w:rPr>
          <w:color w:val="231F20"/>
          <w:spacing w:val="-5"/>
        </w:rPr>
        <w:t> </w:t>
      </w:r>
      <w:r>
        <w:rPr>
          <w:color w:val="231F20"/>
        </w:rPr>
        <w:t>empresa</w:t>
      </w:r>
      <w:r>
        <w:rPr>
          <w:color w:val="231F20"/>
          <w:spacing w:val="-5"/>
        </w:rPr>
        <w:t> </w:t>
      </w:r>
      <w:r>
        <w:rPr>
          <w:color w:val="231F20"/>
        </w:rPr>
        <w:t>privada con sede en Bellevue, Washington, que ofrece</w:t>
      </w:r>
      <w:r>
        <w:rPr>
          <w:color w:val="231F20"/>
          <w:spacing w:val="1"/>
        </w:rPr>
        <w:t> </w:t>
      </w:r>
      <w:r>
        <w:rPr>
          <w:color w:val="231F20"/>
        </w:rPr>
        <w:t>servicios</w:t>
      </w:r>
      <w:r>
        <w:rPr>
          <w:color w:val="231F20"/>
          <w:spacing w:val="2"/>
        </w:rPr>
        <w:t> </w:t>
      </w:r>
      <w:r>
        <w:rPr>
          <w:color w:val="231F20"/>
        </w:rPr>
        <w:t>de</w:t>
      </w:r>
      <w:r>
        <w:rPr>
          <w:color w:val="231F20"/>
          <w:spacing w:val="2"/>
        </w:rPr>
        <w:t> </w:t>
      </w:r>
      <w:r>
        <w:rPr>
          <w:color w:val="231F20"/>
        </w:rPr>
        <w:t>cambio</w:t>
      </w:r>
      <w:r>
        <w:rPr>
          <w:color w:val="231F20"/>
          <w:spacing w:val="1"/>
        </w:rPr>
        <w:t> </w:t>
      </w:r>
      <w:r>
        <w:rPr>
          <w:color w:val="231F20"/>
        </w:rPr>
        <w:t>de</w:t>
      </w:r>
      <w:r>
        <w:rPr>
          <w:color w:val="231F20"/>
          <w:spacing w:val="2"/>
        </w:rPr>
        <w:t> </w:t>
      </w:r>
      <w:r>
        <w:rPr>
          <w:color w:val="231F20"/>
        </w:rPr>
        <w:t>moneda</w:t>
      </w:r>
      <w:r>
        <w:rPr>
          <w:color w:val="231F20"/>
          <w:spacing w:val="2"/>
        </w:rPr>
        <w:t> </w:t>
      </w:r>
      <w:r>
        <w:rPr>
          <w:color w:val="231F20"/>
          <w:spacing w:val="-5"/>
        </w:rPr>
        <w:t>de</w:t>
      </w:r>
    </w:p>
    <w:p>
      <w:pPr>
        <w:pStyle w:val="BodyText"/>
        <w:spacing w:before="77"/>
        <w:ind w:left="412" w:right="1471"/>
      </w:pPr>
      <w:r>
        <w:rPr/>
        <w:br w:type="column"/>
      </w:r>
      <w:r>
        <w:rPr>
          <w:color w:val="231F20"/>
        </w:rPr>
        <w:t>manera virtual. Bittrex acordó remitir </w:t>
      </w:r>
      <w:r>
        <w:rPr>
          <w:color w:val="231F20"/>
        </w:rPr>
        <w:t>24 millones</w:t>
      </w:r>
      <w:r>
        <w:rPr>
          <w:color w:val="231F20"/>
          <w:spacing w:val="-17"/>
        </w:rPr>
        <w:t> </w:t>
      </w:r>
      <w:r>
        <w:rPr>
          <w:color w:val="231F20"/>
        </w:rPr>
        <w:t>280</w:t>
      </w:r>
      <w:r>
        <w:rPr>
          <w:color w:val="231F20"/>
          <w:spacing w:val="-16"/>
        </w:rPr>
        <w:t> </w:t>
      </w:r>
      <w:r>
        <w:rPr>
          <w:color w:val="231F20"/>
        </w:rPr>
        <w:t>mil</w:t>
      </w:r>
      <w:r>
        <w:rPr>
          <w:color w:val="231F20"/>
          <w:spacing w:val="-17"/>
        </w:rPr>
        <w:t> </w:t>
      </w:r>
      <w:r>
        <w:rPr>
          <w:color w:val="231F20"/>
        </w:rPr>
        <w:t>829.20</w:t>
      </w:r>
      <w:r>
        <w:rPr>
          <w:color w:val="231F20"/>
          <w:spacing w:val="-16"/>
        </w:rPr>
        <w:t> </w:t>
      </w:r>
      <w:r>
        <w:rPr>
          <w:color w:val="231F20"/>
        </w:rPr>
        <w:t>dólares</w:t>
      </w:r>
      <w:r>
        <w:rPr>
          <w:color w:val="231F20"/>
          <w:spacing w:val="-17"/>
        </w:rPr>
        <w:t> </w:t>
      </w:r>
      <w:r>
        <w:rPr>
          <w:color w:val="231F20"/>
        </w:rPr>
        <w:t>para</w:t>
      </w:r>
      <w:r>
        <w:rPr>
          <w:color w:val="231F20"/>
          <w:spacing w:val="-16"/>
        </w:rPr>
        <w:t> </w:t>
      </w:r>
      <w:r>
        <w:rPr>
          <w:color w:val="231F20"/>
        </w:rPr>
        <w:t>evitar un pleito civil ante aparentes violaciones de varios programas de sanciones, incluyendo</w:t>
      </w:r>
      <w:r>
        <w:rPr>
          <w:color w:val="231F20"/>
          <w:spacing w:val="-13"/>
        </w:rPr>
        <w:t> </w:t>
      </w:r>
      <w:r>
        <w:rPr>
          <w:color w:val="231F20"/>
        </w:rPr>
        <w:t>las</w:t>
      </w:r>
      <w:r>
        <w:rPr>
          <w:color w:val="231F20"/>
          <w:spacing w:val="-12"/>
        </w:rPr>
        <w:t> </w:t>
      </w:r>
      <w:r>
        <w:rPr>
          <w:color w:val="231F20"/>
        </w:rPr>
        <w:t>leyes</w:t>
      </w:r>
      <w:r>
        <w:rPr>
          <w:color w:val="231F20"/>
          <w:spacing w:val="-12"/>
        </w:rPr>
        <w:t> </w:t>
      </w:r>
      <w:r>
        <w:rPr>
          <w:color w:val="231F20"/>
        </w:rPr>
        <w:t>del</w:t>
      </w:r>
      <w:r>
        <w:rPr>
          <w:color w:val="231F20"/>
          <w:spacing w:val="-12"/>
        </w:rPr>
        <w:t> </w:t>
      </w:r>
      <w:r>
        <w:rPr>
          <w:color w:val="231F20"/>
        </w:rPr>
        <w:t>bloqueo.</w:t>
      </w:r>
      <w:r>
        <w:rPr>
          <w:color w:val="231F20"/>
          <w:spacing w:val="-12"/>
        </w:rPr>
        <w:t> </w:t>
      </w:r>
      <w:r>
        <w:rPr>
          <w:color w:val="231F20"/>
        </w:rPr>
        <w:t>La</w:t>
      </w:r>
      <w:r>
        <w:rPr>
          <w:color w:val="231F20"/>
          <w:spacing w:val="-13"/>
        </w:rPr>
        <w:t> </w:t>
      </w:r>
      <w:r>
        <w:rPr>
          <w:color w:val="231F20"/>
        </w:rPr>
        <w:t>OFAC alegó</w:t>
      </w:r>
      <w:r>
        <w:rPr>
          <w:color w:val="231F20"/>
          <w:spacing w:val="-9"/>
        </w:rPr>
        <w:t> </w:t>
      </w:r>
      <w:r>
        <w:rPr>
          <w:color w:val="231F20"/>
        </w:rPr>
        <w:t>que</w:t>
      </w:r>
      <w:r>
        <w:rPr>
          <w:color w:val="231F20"/>
          <w:spacing w:val="-9"/>
        </w:rPr>
        <w:t> </w:t>
      </w:r>
      <w:r>
        <w:rPr>
          <w:color w:val="231F20"/>
        </w:rPr>
        <w:t>la</w:t>
      </w:r>
      <w:r>
        <w:rPr>
          <w:color w:val="231F20"/>
          <w:spacing w:val="-9"/>
        </w:rPr>
        <w:t> </w:t>
      </w:r>
      <w:r>
        <w:rPr>
          <w:color w:val="231F20"/>
        </w:rPr>
        <w:t>empresa</w:t>
      </w:r>
      <w:r>
        <w:rPr>
          <w:color w:val="231F20"/>
          <w:spacing w:val="-9"/>
        </w:rPr>
        <w:t> </w:t>
      </w:r>
      <w:r>
        <w:rPr>
          <w:color w:val="231F20"/>
        </w:rPr>
        <w:t>permitió</w:t>
      </w:r>
      <w:r>
        <w:rPr>
          <w:color w:val="231F20"/>
          <w:spacing w:val="-9"/>
        </w:rPr>
        <w:t> </w:t>
      </w:r>
      <w:r>
        <w:rPr>
          <w:color w:val="231F20"/>
        </w:rPr>
        <w:t>a</w:t>
      </w:r>
      <w:r>
        <w:rPr>
          <w:color w:val="231F20"/>
          <w:spacing w:val="-9"/>
        </w:rPr>
        <w:t> </w:t>
      </w:r>
      <w:r>
        <w:rPr>
          <w:color w:val="231F20"/>
        </w:rPr>
        <w:t>personas ubicadas</w:t>
      </w:r>
      <w:r>
        <w:rPr>
          <w:color w:val="231F20"/>
          <w:spacing w:val="-16"/>
        </w:rPr>
        <w:t> </w:t>
      </w:r>
      <w:r>
        <w:rPr>
          <w:color w:val="231F20"/>
        </w:rPr>
        <w:t>en</w:t>
      </w:r>
      <w:r>
        <w:rPr>
          <w:color w:val="231F20"/>
          <w:spacing w:val="-16"/>
        </w:rPr>
        <w:t> </w:t>
      </w:r>
      <w:r>
        <w:rPr>
          <w:color w:val="231F20"/>
        </w:rPr>
        <w:t>las</w:t>
      </w:r>
      <w:r>
        <w:rPr>
          <w:color w:val="231F20"/>
          <w:spacing w:val="-16"/>
        </w:rPr>
        <w:t> </w:t>
      </w:r>
      <w:r>
        <w:rPr>
          <w:color w:val="231F20"/>
        </w:rPr>
        <w:t>jurisdicciones</w:t>
      </w:r>
      <w:r>
        <w:rPr>
          <w:color w:val="231F20"/>
          <w:spacing w:val="-16"/>
        </w:rPr>
        <w:t> </w:t>
      </w:r>
      <w:r>
        <w:rPr>
          <w:color w:val="231F20"/>
        </w:rPr>
        <w:t>sancionadas el uso de su plataforma para participar</w:t>
      </w:r>
      <w:r>
        <w:rPr>
          <w:color w:val="231F20"/>
          <w:spacing w:val="80"/>
        </w:rPr>
        <w:t> </w:t>
      </w:r>
      <w:r>
        <w:rPr>
          <w:color w:val="231F20"/>
        </w:rPr>
        <w:t>en transacciones relacionadas con la moneda virtual, por un valor de más de 263 millones de dólares.</w:t>
      </w:r>
    </w:p>
    <w:p>
      <w:pPr>
        <w:pStyle w:val="BodyText"/>
        <w:spacing w:before="168"/>
        <w:ind w:left="412" w:right="1471"/>
      </w:pPr>
      <w:r>
        <w:rPr>
          <w:b/>
          <w:color w:val="B52628"/>
        </w:rPr>
        <w:t>El 31 de marzo de 2023</w:t>
      </w:r>
      <w:r>
        <w:rPr>
          <w:color w:val="231F20"/>
        </w:rPr>
        <w:t>, la OFAC del Departamento del Tesoro anunció </w:t>
      </w:r>
      <w:r>
        <w:rPr>
          <w:color w:val="231F20"/>
        </w:rPr>
        <w:t>un </w:t>
      </w:r>
      <w:r>
        <w:rPr>
          <w:color w:val="231F20"/>
          <w:spacing w:val="-2"/>
        </w:rPr>
        <w:t>arreglo</w:t>
      </w:r>
      <w:r>
        <w:rPr>
          <w:color w:val="231F20"/>
          <w:spacing w:val="-15"/>
        </w:rPr>
        <w:t> </w:t>
      </w:r>
      <w:r>
        <w:rPr>
          <w:color w:val="231F20"/>
          <w:spacing w:val="-2"/>
        </w:rPr>
        <w:t>monetario</w:t>
      </w:r>
      <w:r>
        <w:rPr>
          <w:color w:val="231F20"/>
          <w:spacing w:val="-14"/>
        </w:rPr>
        <w:t> </w:t>
      </w:r>
      <w:r>
        <w:rPr>
          <w:color w:val="231F20"/>
          <w:spacing w:val="-2"/>
        </w:rPr>
        <w:t>de</w:t>
      </w:r>
      <w:r>
        <w:rPr>
          <w:color w:val="231F20"/>
          <w:spacing w:val="-15"/>
        </w:rPr>
        <w:t> </w:t>
      </w:r>
      <w:r>
        <w:rPr>
          <w:color w:val="231F20"/>
          <w:spacing w:val="-2"/>
        </w:rPr>
        <w:t>72</w:t>
      </w:r>
      <w:r>
        <w:rPr>
          <w:color w:val="231F20"/>
          <w:spacing w:val="-14"/>
        </w:rPr>
        <w:t> </w:t>
      </w:r>
      <w:r>
        <w:rPr>
          <w:color w:val="231F20"/>
          <w:spacing w:val="-2"/>
        </w:rPr>
        <w:t>mil</w:t>
      </w:r>
      <w:r>
        <w:rPr>
          <w:color w:val="231F20"/>
          <w:spacing w:val="-15"/>
        </w:rPr>
        <w:t> </w:t>
      </w:r>
      <w:r>
        <w:rPr>
          <w:color w:val="231F20"/>
          <w:spacing w:val="-2"/>
        </w:rPr>
        <w:t>230,32</w:t>
      </w:r>
      <w:r>
        <w:rPr>
          <w:color w:val="231F20"/>
          <w:spacing w:val="-14"/>
        </w:rPr>
        <w:t> </w:t>
      </w:r>
      <w:r>
        <w:rPr>
          <w:color w:val="231F20"/>
          <w:spacing w:val="-2"/>
        </w:rPr>
        <w:t>dólares </w:t>
      </w:r>
      <w:r>
        <w:rPr>
          <w:color w:val="231F20"/>
        </w:rPr>
        <w:t>con</w:t>
      </w:r>
      <w:r>
        <w:rPr>
          <w:color w:val="231F20"/>
          <w:spacing w:val="-7"/>
        </w:rPr>
        <w:t> </w:t>
      </w:r>
      <w:r>
        <w:rPr>
          <w:color w:val="231F20"/>
        </w:rPr>
        <w:t>Uphold</w:t>
      </w:r>
      <w:r>
        <w:rPr>
          <w:color w:val="231F20"/>
          <w:spacing w:val="-7"/>
        </w:rPr>
        <w:t> </w:t>
      </w:r>
      <w:r>
        <w:rPr>
          <w:color w:val="231F20"/>
        </w:rPr>
        <w:t>HQ</w:t>
      </w:r>
      <w:r>
        <w:rPr>
          <w:color w:val="231F20"/>
          <w:spacing w:val="-7"/>
        </w:rPr>
        <w:t> </w:t>
      </w:r>
      <w:r>
        <w:rPr>
          <w:color w:val="231F20"/>
        </w:rPr>
        <w:t>Inc.</w:t>
      </w:r>
      <w:r>
        <w:rPr>
          <w:color w:val="231F20"/>
          <w:spacing w:val="-7"/>
        </w:rPr>
        <w:t> </w:t>
      </w:r>
      <w:r>
        <w:rPr>
          <w:color w:val="231F20"/>
        </w:rPr>
        <w:t>(Uphold),</w:t>
      </w:r>
      <w:r>
        <w:rPr>
          <w:color w:val="231F20"/>
          <w:spacing w:val="-7"/>
        </w:rPr>
        <w:t> </w:t>
      </w:r>
      <w:r>
        <w:rPr>
          <w:color w:val="231F20"/>
        </w:rPr>
        <w:t>empresa</w:t>
      </w:r>
      <w:r>
        <w:rPr>
          <w:color w:val="231F20"/>
          <w:spacing w:val="-7"/>
        </w:rPr>
        <w:t> </w:t>
      </w:r>
      <w:r>
        <w:rPr>
          <w:color w:val="231F20"/>
        </w:rPr>
        <w:t>de </w:t>
      </w:r>
      <w:r>
        <w:rPr>
          <w:color w:val="231F20"/>
          <w:spacing w:val="-2"/>
        </w:rPr>
        <w:t>servicios</w:t>
      </w:r>
      <w:r>
        <w:rPr>
          <w:color w:val="231F20"/>
          <w:spacing w:val="-11"/>
        </w:rPr>
        <w:t> </w:t>
      </w:r>
      <w:r>
        <w:rPr>
          <w:color w:val="231F20"/>
          <w:spacing w:val="-2"/>
        </w:rPr>
        <w:t>monetarios</w:t>
      </w:r>
      <w:r>
        <w:rPr>
          <w:color w:val="231F20"/>
          <w:spacing w:val="-11"/>
        </w:rPr>
        <w:t> </w:t>
      </w:r>
      <w:r>
        <w:rPr>
          <w:color w:val="231F20"/>
          <w:spacing w:val="-2"/>
        </w:rPr>
        <w:t>con</w:t>
      </w:r>
      <w:r>
        <w:rPr>
          <w:color w:val="231F20"/>
          <w:spacing w:val="-11"/>
        </w:rPr>
        <w:t> </w:t>
      </w:r>
      <w:r>
        <w:rPr>
          <w:color w:val="231F20"/>
          <w:spacing w:val="-2"/>
        </w:rPr>
        <w:t>sede</w:t>
      </w:r>
      <w:r>
        <w:rPr>
          <w:color w:val="231F20"/>
          <w:spacing w:val="-11"/>
        </w:rPr>
        <w:t> </w:t>
      </w:r>
      <w:r>
        <w:rPr>
          <w:color w:val="231F20"/>
          <w:spacing w:val="-2"/>
        </w:rPr>
        <w:t>en</w:t>
      </w:r>
      <w:r>
        <w:rPr>
          <w:color w:val="231F20"/>
          <w:spacing w:val="-11"/>
        </w:rPr>
        <w:t> </w:t>
      </w:r>
      <w:r>
        <w:rPr>
          <w:color w:val="231F20"/>
          <w:spacing w:val="-2"/>
        </w:rPr>
        <w:t>Larkspur, </w:t>
      </w:r>
      <w:r>
        <w:rPr>
          <w:color w:val="231F20"/>
        </w:rPr>
        <w:t>California, ante aparentes violaciones de los programas de “sanciones” de Cuba, Irán y Venezuela. Las transacciones que involucraron a Cuba sumaron 25, por un total de 142 mil 683, 74 dólares entre marzo de 2017 y mayo de 2022.</w:t>
      </w:r>
    </w:p>
    <w:p>
      <w:pPr>
        <w:pStyle w:val="BodyText"/>
        <w:spacing w:before="169"/>
        <w:ind w:left="412" w:right="1470"/>
      </w:pPr>
      <w:r>
        <w:rPr>
          <w:b/>
          <w:color w:val="B52628"/>
        </w:rPr>
        <w:t>El 6 de abril de 2023</w:t>
      </w:r>
      <w:r>
        <w:rPr>
          <w:color w:val="231F20"/>
        </w:rPr>
        <w:t>, la compañía Microsoft Corporation, con sede </w:t>
      </w:r>
      <w:r>
        <w:rPr>
          <w:color w:val="231F20"/>
        </w:rPr>
        <w:t>en Redmond,</w:t>
      </w:r>
      <w:r>
        <w:rPr>
          <w:color w:val="231F20"/>
          <w:spacing w:val="80"/>
        </w:rPr>
        <w:t> </w:t>
      </w:r>
      <w:r>
        <w:rPr>
          <w:color w:val="231F20"/>
        </w:rPr>
        <w:t>Washington,</w:t>
      </w:r>
      <w:r>
        <w:rPr>
          <w:color w:val="231F20"/>
          <w:spacing w:val="80"/>
        </w:rPr>
        <w:t> </w:t>
      </w:r>
      <w:r>
        <w:rPr>
          <w:color w:val="231F20"/>
        </w:rPr>
        <w:t>acordó</w:t>
      </w:r>
      <w:r>
        <w:rPr>
          <w:color w:val="231F20"/>
          <w:spacing w:val="80"/>
        </w:rPr>
        <w:t> </w:t>
      </w:r>
      <w:r>
        <w:rPr>
          <w:color w:val="231F20"/>
        </w:rPr>
        <w:t>remitir a</w:t>
      </w:r>
      <w:r>
        <w:rPr>
          <w:color w:val="231F20"/>
          <w:spacing w:val="37"/>
        </w:rPr>
        <w:t> </w:t>
      </w:r>
      <w:r>
        <w:rPr>
          <w:color w:val="231F20"/>
        </w:rPr>
        <w:t>la</w:t>
      </w:r>
      <w:r>
        <w:rPr>
          <w:color w:val="231F20"/>
          <w:spacing w:val="38"/>
        </w:rPr>
        <w:t> </w:t>
      </w:r>
      <w:r>
        <w:rPr>
          <w:color w:val="231F20"/>
        </w:rPr>
        <w:t>OFAC</w:t>
      </w:r>
      <w:r>
        <w:rPr>
          <w:color w:val="231F20"/>
          <w:spacing w:val="37"/>
        </w:rPr>
        <w:t> </w:t>
      </w:r>
      <w:r>
        <w:rPr>
          <w:color w:val="231F20"/>
        </w:rPr>
        <w:t>del</w:t>
      </w:r>
      <w:r>
        <w:rPr>
          <w:color w:val="231F20"/>
          <w:spacing w:val="38"/>
        </w:rPr>
        <w:t> </w:t>
      </w:r>
      <w:r>
        <w:rPr>
          <w:color w:val="231F20"/>
        </w:rPr>
        <w:t>Departamento</w:t>
      </w:r>
      <w:r>
        <w:rPr>
          <w:color w:val="231F20"/>
          <w:spacing w:val="37"/>
        </w:rPr>
        <w:t> </w:t>
      </w:r>
      <w:r>
        <w:rPr>
          <w:color w:val="231F20"/>
        </w:rPr>
        <w:t>del</w:t>
      </w:r>
      <w:r>
        <w:rPr>
          <w:color w:val="231F20"/>
          <w:spacing w:val="38"/>
        </w:rPr>
        <w:t> </w:t>
      </w:r>
      <w:r>
        <w:rPr>
          <w:color w:val="231F20"/>
          <w:spacing w:val="-2"/>
        </w:rPr>
        <w:t>Tesoro</w:t>
      </w:r>
    </w:p>
    <w:p>
      <w:pPr>
        <w:pStyle w:val="BodyText"/>
        <w:spacing w:before="3"/>
        <w:ind w:left="412" w:right="1471"/>
      </w:pPr>
      <w:r>
        <w:rPr>
          <w:color w:val="231F20"/>
        </w:rPr>
        <w:t>2 millones 980 mil 265,86 dólares y al Buró de Industria y Seguridad (BIS) </w:t>
      </w:r>
      <w:r>
        <w:rPr>
          <w:color w:val="231F20"/>
        </w:rPr>
        <w:t>del Departamento del Comercio otros 347</w:t>
      </w:r>
      <w:r>
        <w:rPr>
          <w:color w:val="231F20"/>
          <w:spacing w:val="40"/>
        </w:rPr>
        <w:t> </w:t>
      </w:r>
      <w:r>
        <w:rPr>
          <w:color w:val="231F20"/>
        </w:rPr>
        <w:t>mil</w:t>
      </w:r>
      <w:r>
        <w:rPr>
          <w:color w:val="231F20"/>
          <w:spacing w:val="-11"/>
        </w:rPr>
        <w:t> </w:t>
      </w:r>
      <w:r>
        <w:rPr>
          <w:color w:val="231F20"/>
        </w:rPr>
        <w:t>631</w:t>
      </w:r>
      <w:r>
        <w:rPr>
          <w:color w:val="231F20"/>
          <w:spacing w:val="-11"/>
        </w:rPr>
        <w:t> </w:t>
      </w:r>
      <w:r>
        <w:rPr>
          <w:color w:val="231F20"/>
        </w:rPr>
        <w:t>dólares,</w:t>
      </w:r>
      <w:r>
        <w:rPr>
          <w:color w:val="231F20"/>
          <w:spacing w:val="-11"/>
        </w:rPr>
        <w:t> </w:t>
      </w:r>
      <w:r>
        <w:rPr>
          <w:color w:val="231F20"/>
        </w:rPr>
        <w:t>ante</w:t>
      </w:r>
      <w:r>
        <w:rPr>
          <w:color w:val="231F20"/>
          <w:spacing w:val="-11"/>
        </w:rPr>
        <w:t> </w:t>
      </w:r>
      <w:r>
        <w:rPr>
          <w:color w:val="231F20"/>
        </w:rPr>
        <w:t>violaciones</w:t>
      </w:r>
      <w:r>
        <w:rPr>
          <w:color w:val="231F20"/>
          <w:spacing w:val="-11"/>
        </w:rPr>
        <w:t> </w:t>
      </w:r>
      <w:r>
        <w:rPr>
          <w:color w:val="231F20"/>
        </w:rPr>
        <w:t>de</w:t>
      </w:r>
      <w:r>
        <w:rPr>
          <w:color w:val="231F20"/>
          <w:spacing w:val="-11"/>
        </w:rPr>
        <w:t> </w:t>
      </w:r>
      <w:r>
        <w:rPr>
          <w:color w:val="231F20"/>
        </w:rPr>
        <w:t>varios programas coercitivos de los Estados Unidos,</w:t>
      </w:r>
      <w:r>
        <w:rPr>
          <w:color w:val="231F20"/>
          <w:spacing w:val="40"/>
        </w:rPr>
        <w:t> </w:t>
      </w:r>
      <w:r>
        <w:rPr>
          <w:color w:val="231F20"/>
        </w:rPr>
        <w:t>incluido</w:t>
      </w:r>
      <w:r>
        <w:rPr>
          <w:color w:val="231F20"/>
          <w:spacing w:val="40"/>
        </w:rPr>
        <w:t> </w:t>
      </w:r>
      <w:r>
        <w:rPr>
          <w:color w:val="231F20"/>
        </w:rPr>
        <w:t>el</w:t>
      </w:r>
      <w:r>
        <w:rPr>
          <w:color w:val="231F20"/>
          <w:spacing w:val="40"/>
        </w:rPr>
        <w:t> </w:t>
      </w:r>
      <w:r>
        <w:rPr>
          <w:color w:val="231F20"/>
        </w:rPr>
        <w:t>de</w:t>
      </w:r>
      <w:r>
        <w:rPr>
          <w:color w:val="231F20"/>
          <w:spacing w:val="40"/>
        </w:rPr>
        <w:t> </w:t>
      </w:r>
      <w:r>
        <w:rPr>
          <w:color w:val="231F20"/>
        </w:rPr>
        <w:t>Cuba.</w:t>
      </w:r>
      <w:r>
        <w:rPr>
          <w:color w:val="231F20"/>
          <w:spacing w:val="40"/>
        </w:rPr>
        <w:t> </w:t>
      </w:r>
      <w:r>
        <w:rPr>
          <w:color w:val="231F20"/>
        </w:rPr>
        <w:t>El</w:t>
      </w:r>
      <w:r>
        <w:rPr>
          <w:color w:val="231F20"/>
          <w:spacing w:val="40"/>
        </w:rPr>
        <w:t> </w:t>
      </w:r>
      <w:r>
        <w:rPr>
          <w:color w:val="231F20"/>
        </w:rPr>
        <w:t>total</w:t>
      </w:r>
      <w:r>
        <w:rPr>
          <w:color w:val="231F20"/>
          <w:spacing w:val="40"/>
        </w:rPr>
        <w:t> </w:t>
      </w:r>
      <w:r>
        <w:rPr>
          <w:color w:val="231F20"/>
        </w:rPr>
        <w:t>de la penalidad sumó 3 millones 327 mil</w:t>
      </w:r>
      <w:r>
        <w:rPr>
          <w:color w:val="231F20"/>
          <w:spacing w:val="80"/>
          <w:w w:val="150"/>
        </w:rPr>
        <w:t> </w:t>
      </w:r>
      <w:r>
        <w:rPr>
          <w:color w:val="231F20"/>
        </w:rPr>
        <w:t>896 dólares. Los comunicados de ambas agencias refirieron que la compañía incurrió</w:t>
      </w:r>
      <w:r>
        <w:rPr>
          <w:color w:val="231F20"/>
          <w:spacing w:val="-3"/>
        </w:rPr>
        <w:t> </w:t>
      </w:r>
      <w:r>
        <w:rPr>
          <w:color w:val="231F20"/>
        </w:rPr>
        <w:t>en</w:t>
      </w:r>
      <w:r>
        <w:rPr>
          <w:color w:val="231F20"/>
          <w:spacing w:val="-3"/>
        </w:rPr>
        <w:t> </w:t>
      </w:r>
      <w:r>
        <w:rPr>
          <w:color w:val="231F20"/>
        </w:rPr>
        <w:t>1</w:t>
      </w:r>
      <w:r>
        <w:rPr>
          <w:color w:val="231F20"/>
          <w:spacing w:val="-3"/>
        </w:rPr>
        <w:t> </w:t>
      </w:r>
      <w:r>
        <w:rPr>
          <w:color w:val="231F20"/>
        </w:rPr>
        <w:t>339</w:t>
      </w:r>
      <w:r>
        <w:rPr>
          <w:color w:val="231F20"/>
          <w:spacing w:val="-3"/>
        </w:rPr>
        <w:t> </w:t>
      </w:r>
      <w:r>
        <w:rPr>
          <w:color w:val="231F20"/>
        </w:rPr>
        <w:t>violaciones</w:t>
      </w:r>
      <w:r>
        <w:rPr>
          <w:color w:val="231F20"/>
          <w:spacing w:val="-3"/>
        </w:rPr>
        <w:t> </w:t>
      </w:r>
      <w:r>
        <w:rPr>
          <w:color w:val="231F20"/>
        </w:rPr>
        <w:t>relacionadas con</w:t>
      </w:r>
      <w:r>
        <w:rPr>
          <w:color w:val="231F20"/>
          <w:spacing w:val="-5"/>
        </w:rPr>
        <w:t> </w:t>
      </w:r>
      <w:r>
        <w:rPr>
          <w:color w:val="231F20"/>
        </w:rPr>
        <w:t>la</w:t>
      </w:r>
      <w:r>
        <w:rPr>
          <w:color w:val="231F20"/>
          <w:spacing w:val="-5"/>
        </w:rPr>
        <w:t> </w:t>
      </w:r>
      <w:r>
        <w:rPr>
          <w:color w:val="231F20"/>
        </w:rPr>
        <w:t>exportación</w:t>
      </w:r>
      <w:r>
        <w:rPr>
          <w:color w:val="231F20"/>
          <w:spacing w:val="-5"/>
        </w:rPr>
        <w:t> </w:t>
      </w:r>
      <w:r>
        <w:rPr>
          <w:color w:val="231F20"/>
        </w:rPr>
        <w:t>de</w:t>
      </w:r>
      <w:r>
        <w:rPr>
          <w:color w:val="231F20"/>
          <w:spacing w:val="-5"/>
        </w:rPr>
        <w:t> </w:t>
      </w:r>
      <w:r>
        <w:rPr>
          <w:color w:val="231F20"/>
        </w:rPr>
        <w:t>servicios</w:t>
      </w:r>
      <w:r>
        <w:rPr>
          <w:color w:val="231F20"/>
          <w:spacing w:val="-5"/>
        </w:rPr>
        <w:t> </w:t>
      </w:r>
      <w:r>
        <w:rPr>
          <w:color w:val="231F20"/>
        </w:rPr>
        <w:t>o</w:t>
      </w:r>
      <w:r>
        <w:rPr>
          <w:color w:val="231F20"/>
          <w:spacing w:val="-5"/>
        </w:rPr>
        <w:t> </w:t>
      </w:r>
      <w:r>
        <w:rPr>
          <w:color w:val="231F20"/>
        </w:rPr>
        <w:t>software a jurisdicciones “sancionadas”, como Irán, Siria</w:t>
      </w:r>
      <w:r>
        <w:rPr>
          <w:color w:val="231F20"/>
          <w:spacing w:val="-16"/>
        </w:rPr>
        <w:t> </w:t>
      </w:r>
      <w:r>
        <w:rPr>
          <w:color w:val="231F20"/>
        </w:rPr>
        <w:t>y</w:t>
      </w:r>
      <w:r>
        <w:rPr>
          <w:color w:val="231F20"/>
          <w:spacing w:val="-16"/>
        </w:rPr>
        <w:t> </w:t>
      </w:r>
      <w:r>
        <w:rPr>
          <w:color w:val="231F20"/>
        </w:rPr>
        <w:t>Ucrania/Rusia.</w:t>
      </w:r>
      <w:r>
        <w:rPr>
          <w:color w:val="231F20"/>
          <w:spacing w:val="-16"/>
        </w:rPr>
        <w:t> </w:t>
      </w:r>
      <w:r>
        <w:rPr>
          <w:color w:val="231F20"/>
        </w:rPr>
        <w:t>54</w:t>
      </w:r>
      <w:r>
        <w:rPr>
          <w:color w:val="231F20"/>
          <w:spacing w:val="-16"/>
        </w:rPr>
        <w:t> </w:t>
      </w:r>
      <w:r>
        <w:rPr>
          <w:color w:val="231F20"/>
        </w:rPr>
        <w:t>de</w:t>
      </w:r>
      <w:r>
        <w:rPr>
          <w:color w:val="231F20"/>
          <w:spacing w:val="-16"/>
        </w:rPr>
        <w:t> </w:t>
      </w:r>
      <w:r>
        <w:rPr>
          <w:color w:val="231F20"/>
        </w:rPr>
        <w:t>esas</w:t>
      </w:r>
      <w:r>
        <w:rPr>
          <w:color w:val="231F20"/>
          <w:spacing w:val="-16"/>
        </w:rPr>
        <w:t> </w:t>
      </w:r>
      <w:r>
        <w:rPr>
          <w:color w:val="231F20"/>
        </w:rPr>
        <w:t>aparentes violaciones correspondieron a las Regulaciones para el Control de Activos </w:t>
      </w:r>
      <w:r>
        <w:rPr>
          <w:color w:val="231F20"/>
          <w:spacing w:val="-2"/>
        </w:rPr>
        <w:t>Cubanos.</w:t>
      </w:r>
    </w:p>
    <w:p>
      <w:pPr>
        <w:spacing w:after="0"/>
        <w:sectPr>
          <w:pgSz w:w="11910" w:h="16840"/>
          <w:pgMar w:header="0" w:footer="695" w:top="1260" w:bottom="880" w:left="0" w:right="0"/>
          <w:cols w:num="2" w:equalWidth="0">
            <w:col w:w="5558" w:space="40"/>
            <w:col w:w="6312"/>
          </w:cols>
        </w:sectPr>
      </w:pPr>
    </w:p>
    <w:p>
      <w:pPr>
        <w:pStyle w:val="BodyText"/>
        <w:spacing w:before="77"/>
        <w:ind w:left="1474" w:right="6005"/>
      </w:pPr>
      <w:r>
        <w:rPr>
          <w:b/>
          <w:color w:val="B52628"/>
        </w:rPr>
        <w:t>El 1ro de mayo de 2023</w:t>
      </w:r>
      <w:r>
        <w:rPr>
          <w:color w:val="231F20"/>
        </w:rPr>
        <w:t>, la compañía Poloniex, LLC (“Poloniex”), con sede en Boston, Massachusetts, acordó remitir a</w:t>
      </w:r>
      <w:r>
        <w:rPr>
          <w:color w:val="231F20"/>
          <w:spacing w:val="40"/>
        </w:rPr>
        <w:t> </w:t>
      </w:r>
      <w:r>
        <w:rPr>
          <w:color w:val="231F20"/>
        </w:rPr>
        <w:t>la OFAC del Departamento del Tesoro 7 </w:t>
      </w:r>
      <w:r>
        <w:rPr>
          <w:color w:val="231F20"/>
          <w:spacing w:val="-8"/>
        </w:rPr>
        <w:t>millones</w:t>
      </w:r>
      <w:r>
        <w:rPr>
          <w:color w:val="231F20"/>
          <w:spacing w:val="-9"/>
        </w:rPr>
        <w:t> </w:t>
      </w:r>
      <w:r>
        <w:rPr>
          <w:color w:val="231F20"/>
          <w:spacing w:val="-8"/>
        </w:rPr>
        <w:t>591 mil</w:t>
      </w:r>
      <w:r>
        <w:rPr>
          <w:color w:val="231F20"/>
          <w:spacing w:val="-9"/>
        </w:rPr>
        <w:t> </w:t>
      </w:r>
      <w:r>
        <w:rPr>
          <w:color w:val="231F20"/>
          <w:spacing w:val="-8"/>
        </w:rPr>
        <w:t>630 dólares</w:t>
      </w:r>
      <w:r>
        <w:rPr>
          <w:color w:val="231F20"/>
          <w:spacing w:val="-9"/>
        </w:rPr>
        <w:t> </w:t>
      </w:r>
      <w:r>
        <w:rPr>
          <w:color w:val="231F20"/>
          <w:spacing w:val="-8"/>
        </w:rPr>
        <w:t>ante violaciones </w:t>
      </w:r>
      <w:r>
        <w:rPr>
          <w:color w:val="231F20"/>
        </w:rPr>
        <w:t>de</w:t>
      </w:r>
      <w:r>
        <w:rPr>
          <w:color w:val="231F20"/>
          <w:spacing w:val="-17"/>
        </w:rPr>
        <w:t> </w:t>
      </w:r>
      <w:r>
        <w:rPr>
          <w:color w:val="231F20"/>
        </w:rPr>
        <w:t>varios</w:t>
      </w:r>
      <w:r>
        <w:rPr>
          <w:color w:val="231F20"/>
          <w:spacing w:val="-16"/>
        </w:rPr>
        <w:t> </w:t>
      </w:r>
      <w:r>
        <w:rPr>
          <w:color w:val="231F20"/>
        </w:rPr>
        <w:t>programas</w:t>
      </w:r>
      <w:r>
        <w:rPr>
          <w:color w:val="231F20"/>
          <w:spacing w:val="-17"/>
        </w:rPr>
        <w:t> </w:t>
      </w:r>
      <w:r>
        <w:rPr>
          <w:color w:val="231F20"/>
        </w:rPr>
        <w:t>coercitivos</w:t>
      </w:r>
      <w:r>
        <w:rPr>
          <w:color w:val="231F20"/>
          <w:spacing w:val="-16"/>
        </w:rPr>
        <w:t> </w:t>
      </w:r>
      <w:r>
        <w:rPr>
          <w:color w:val="231F20"/>
        </w:rPr>
        <w:t>de</w:t>
      </w:r>
      <w:r>
        <w:rPr>
          <w:color w:val="231F20"/>
          <w:spacing w:val="-17"/>
        </w:rPr>
        <w:t> </w:t>
      </w:r>
      <w:r>
        <w:rPr>
          <w:color w:val="231F20"/>
        </w:rPr>
        <w:t>EE.UU., incluido</w:t>
      </w:r>
      <w:r>
        <w:rPr>
          <w:color w:val="231F20"/>
          <w:spacing w:val="40"/>
        </w:rPr>
        <w:t> </w:t>
      </w:r>
      <w:r>
        <w:rPr>
          <w:color w:val="231F20"/>
        </w:rPr>
        <w:t>el</w:t>
      </w:r>
      <w:r>
        <w:rPr>
          <w:color w:val="231F20"/>
          <w:spacing w:val="40"/>
        </w:rPr>
        <w:t> </w:t>
      </w:r>
      <w:r>
        <w:rPr>
          <w:color w:val="231F20"/>
        </w:rPr>
        <w:t>de</w:t>
      </w:r>
      <w:r>
        <w:rPr>
          <w:color w:val="231F20"/>
          <w:spacing w:val="40"/>
        </w:rPr>
        <w:t> </w:t>
      </w:r>
      <w:r>
        <w:rPr>
          <w:color w:val="231F20"/>
        </w:rPr>
        <w:t>Cuba.</w:t>
      </w:r>
      <w:r>
        <w:rPr>
          <w:color w:val="231F20"/>
          <w:spacing w:val="40"/>
        </w:rPr>
        <w:t> </w:t>
      </w:r>
      <w:r>
        <w:rPr>
          <w:color w:val="231F20"/>
        </w:rPr>
        <w:t>El</w:t>
      </w:r>
      <w:r>
        <w:rPr>
          <w:color w:val="231F20"/>
          <w:spacing w:val="40"/>
        </w:rPr>
        <w:t> </w:t>
      </w:r>
      <w:r>
        <w:rPr>
          <w:color w:val="231F20"/>
        </w:rPr>
        <w:t>comunicado</w:t>
      </w:r>
      <w:r>
        <w:rPr>
          <w:color w:val="231F20"/>
          <w:spacing w:val="40"/>
        </w:rPr>
        <w:t> </w:t>
      </w:r>
      <w:r>
        <w:rPr>
          <w:color w:val="231F20"/>
        </w:rPr>
        <w:t>de la agencia refiere que la plataforma de negociación Poloniex permitió a clientes aparentemente</w:t>
      </w:r>
      <w:r>
        <w:rPr>
          <w:color w:val="231F20"/>
          <w:spacing w:val="-17"/>
        </w:rPr>
        <w:t> </w:t>
      </w:r>
      <w:r>
        <w:rPr>
          <w:color w:val="231F20"/>
        </w:rPr>
        <w:t>ubicados</w:t>
      </w:r>
      <w:r>
        <w:rPr>
          <w:color w:val="231F20"/>
          <w:spacing w:val="-16"/>
        </w:rPr>
        <w:t> </w:t>
      </w:r>
      <w:r>
        <w:rPr>
          <w:color w:val="231F20"/>
        </w:rPr>
        <w:t>en</w:t>
      </w:r>
      <w:r>
        <w:rPr>
          <w:color w:val="231F20"/>
          <w:spacing w:val="-17"/>
        </w:rPr>
        <w:t> </w:t>
      </w:r>
      <w:r>
        <w:rPr>
          <w:color w:val="231F20"/>
        </w:rPr>
        <w:t>jurisdicciones “sancionadas”,</w:t>
      </w:r>
      <w:r>
        <w:rPr>
          <w:color w:val="231F20"/>
          <w:spacing w:val="-9"/>
        </w:rPr>
        <w:t> </w:t>
      </w:r>
      <w:r>
        <w:rPr>
          <w:color w:val="231F20"/>
        </w:rPr>
        <w:t>participar</w:t>
      </w:r>
      <w:r>
        <w:rPr>
          <w:color w:val="231F20"/>
          <w:spacing w:val="-9"/>
        </w:rPr>
        <w:t> </w:t>
      </w:r>
      <w:r>
        <w:rPr>
          <w:color w:val="231F20"/>
        </w:rPr>
        <w:t>en</w:t>
      </w:r>
      <w:r>
        <w:rPr>
          <w:color w:val="231F20"/>
          <w:spacing w:val="-9"/>
        </w:rPr>
        <w:t> </w:t>
      </w:r>
      <w:r>
        <w:rPr>
          <w:color w:val="231F20"/>
        </w:rPr>
        <w:t>transacciones en</w:t>
      </w:r>
      <w:r>
        <w:rPr>
          <w:color w:val="231F20"/>
          <w:spacing w:val="-6"/>
        </w:rPr>
        <w:t> </w:t>
      </w:r>
      <w:r>
        <w:rPr>
          <w:color w:val="231F20"/>
        </w:rPr>
        <w:t>línea</w:t>
      </w:r>
      <w:r>
        <w:rPr>
          <w:color w:val="231F20"/>
          <w:spacing w:val="-6"/>
        </w:rPr>
        <w:t> </w:t>
      </w:r>
      <w:r>
        <w:rPr>
          <w:color w:val="231F20"/>
        </w:rPr>
        <w:t>relacionadas</w:t>
      </w:r>
      <w:r>
        <w:rPr>
          <w:color w:val="231F20"/>
          <w:spacing w:val="-6"/>
        </w:rPr>
        <w:t> </w:t>
      </w:r>
      <w:r>
        <w:rPr>
          <w:color w:val="231F20"/>
        </w:rPr>
        <w:t>con</w:t>
      </w:r>
      <w:r>
        <w:rPr>
          <w:color w:val="231F20"/>
          <w:spacing w:val="-6"/>
        </w:rPr>
        <w:t> </w:t>
      </w:r>
      <w:r>
        <w:rPr>
          <w:color w:val="231F20"/>
        </w:rPr>
        <w:t>activos</w:t>
      </w:r>
      <w:r>
        <w:rPr>
          <w:color w:val="231F20"/>
          <w:spacing w:val="-6"/>
        </w:rPr>
        <w:t> </w:t>
      </w:r>
      <w:r>
        <w:rPr>
          <w:color w:val="231F20"/>
        </w:rPr>
        <w:t>digitales por un valor combinado de 15 millones 335 mil 349 dólares.</w:t>
      </w:r>
    </w:p>
    <w:p>
      <w:pPr>
        <w:pStyle w:val="BodyText"/>
        <w:spacing w:before="215"/>
        <w:jc w:val="left"/>
        <w:rPr>
          <w:sz w:val="20"/>
        </w:rPr>
      </w:pPr>
      <w:r>
        <w:rPr/>
        <mc:AlternateContent>
          <mc:Choice Requires="wps">
            <w:drawing>
              <wp:anchor distT="0" distB="0" distL="0" distR="0" allowOverlap="1" layoutInCell="1" locked="0" behindDoc="1" simplePos="0" relativeHeight="487617536">
                <wp:simplePos x="0" y="0"/>
                <wp:positionH relativeFrom="page">
                  <wp:posOffset>2835008</wp:posOffset>
                </wp:positionH>
                <wp:positionV relativeFrom="paragraph">
                  <wp:posOffset>320684</wp:posOffset>
                </wp:positionV>
                <wp:extent cx="909319" cy="26034"/>
                <wp:effectExtent l="0" t="0" r="0" b="0"/>
                <wp:wrapTopAndBottom/>
                <wp:docPr id="112" name="Graphic 112"/>
                <wp:cNvGraphicFramePr>
                  <a:graphicFrameLocks/>
                </wp:cNvGraphicFramePr>
                <a:graphic>
                  <a:graphicData uri="http://schemas.microsoft.com/office/word/2010/wordprocessingShape">
                    <wps:wsp>
                      <wps:cNvPr id="112" name="Graphic 112"/>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23.229004pt;margin-top:25.250782pt;width:71.584pt;height:2.021pt;mso-position-horizontal-relative:page;mso-position-vertical-relative:paragraph;z-index:-15698944;mso-wrap-distance-left:0;mso-wrap-distance-right:0" id="docshape88"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sectPr>
      </w:pPr>
    </w:p>
    <w:p>
      <w:pPr>
        <w:pStyle w:val="BodyText"/>
        <w:spacing w:before="568"/>
        <w:jc w:val="left"/>
        <w:rPr>
          <w:sz w:val="56"/>
        </w:rPr>
      </w:pPr>
    </w:p>
    <w:p>
      <w:pPr>
        <w:pStyle w:val="Heading1"/>
        <w:spacing w:line="220" w:lineRule="auto"/>
        <w:ind w:right="7530"/>
      </w:pPr>
      <w:r>
        <w:rPr/>
        <mc:AlternateContent>
          <mc:Choice Requires="wps">
            <w:drawing>
              <wp:anchor distT="0" distB="0" distL="0" distR="0" allowOverlap="1" layoutInCell="1" locked="0" behindDoc="1" simplePos="0" relativeHeight="485782528">
                <wp:simplePos x="0" y="0"/>
                <wp:positionH relativeFrom="page">
                  <wp:posOffset>624243</wp:posOffset>
                </wp:positionH>
                <wp:positionV relativeFrom="paragraph">
                  <wp:posOffset>-785714</wp:posOffset>
                </wp:positionV>
                <wp:extent cx="1203960" cy="1544955"/>
                <wp:effectExtent l="0" t="0" r="0" b="0"/>
                <wp:wrapNone/>
                <wp:docPr id="113" name="Textbox 113"/>
                <wp:cNvGraphicFramePr>
                  <a:graphicFrameLocks/>
                </wp:cNvGraphicFramePr>
                <a:graphic>
                  <a:graphicData uri="http://schemas.microsoft.com/office/word/2010/wordprocessingShape">
                    <wps:wsp>
                      <wps:cNvPr id="113" name="Textbox 113"/>
                      <wps:cNvSpPr txBox="1"/>
                      <wps:spPr>
                        <a:xfrm>
                          <a:off x="0" y="0"/>
                          <a:ext cx="1203960"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5"/>
                                <w:w w:val="124"/>
                                <w:sz w:val="243"/>
                              </w:rPr>
                              <w:t>0</w:t>
                            </w:r>
                            <w:r>
                              <w:rPr>
                                <w:rFonts w:ascii="Arial"/>
                                <w:color w:val="B3B4CF"/>
                                <w:spacing w:val="-1337"/>
                                <w:w w:val="106"/>
                                <w:sz w:val="243"/>
                              </w:rPr>
                              <w:t>5</w:t>
                            </w:r>
                          </w:p>
                        </w:txbxContent>
                      </wps:txbx>
                      <wps:bodyPr wrap="square" lIns="0" tIns="0" rIns="0" bIns="0" rtlCol="0">
                        <a:noAutofit/>
                      </wps:bodyPr>
                    </wps:wsp>
                  </a:graphicData>
                </a:graphic>
              </wp:anchor>
            </w:drawing>
          </mc:Choice>
          <mc:Fallback>
            <w:pict>
              <v:shape style="position:absolute;margin-left:49.153pt;margin-top:-61.867279pt;width:94.8pt;height:121.65pt;mso-position-horizontal-relative:page;mso-position-vertical-relative:paragraph;z-index:-17533952" type="#_x0000_t202" id="docshape89" filled="false" stroked="false">
                <v:textbox inset="0,0,0,0">
                  <w:txbxContent>
                    <w:p>
                      <w:pPr>
                        <w:spacing w:line="2432" w:lineRule="exact" w:before="0"/>
                        <w:ind w:left="0" w:right="0" w:firstLine="0"/>
                        <w:jc w:val="left"/>
                        <w:rPr>
                          <w:rFonts w:ascii="Arial"/>
                          <w:sz w:val="243"/>
                        </w:rPr>
                      </w:pPr>
                      <w:r>
                        <w:rPr>
                          <w:rFonts w:ascii="Arial"/>
                          <w:color w:val="B3B4CF"/>
                          <w:spacing w:val="-5"/>
                          <w:w w:val="124"/>
                          <w:sz w:val="243"/>
                        </w:rPr>
                        <w:t>0</w:t>
                      </w:r>
                      <w:r>
                        <w:rPr>
                          <w:rFonts w:ascii="Arial"/>
                          <w:color w:val="B3B4CF"/>
                          <w:spacing w:val="-1337"/>
                          <w:w w:val="106"/>
                          <w:sz w:val="243"/>
                        </w:rPr>
                        <w:t>5</w:t>
                      </w:r>
                    </w:p>
                  </w:txbxContent>
                </v:textbox>
                <w10:wrap type="none"/>
              </v:shape>
            </w:pict>
          </mc:Fallback>
        </mc:AlternateContent>
      </w:r>
      <w:r>
        <w:rPr>
          <w:color w:val="B52628"/>
          <w:spacing w:val="-2"/>
          <w:w w:val="115"/>
        </w:rPr>
        <w:t>Rechazo </w:t>
      </w:r>
      <w:r>
        <w:rPr>
          <w:color w:val="B52628"/>
          <w:spacing w:val="-4"/>
          <w:w w:val="115"/>
        </w:rPr>
        <w:t>universal</w:t>
      </w:r>
      <w:r>
        <w:rPr>
          <w:color w:val="B52628"/>
          <w:spacing w:val="-45"/>
          <w:w w:val="115"/>
        </w:rPr>
        <w:t> </w:t>
      </w:r>
      <w:r>
        <w:rPr>
          <w:color w:val="B52628"/>
          <w:spacing w:val="-4"/>
          <w:w w:val="115"/>
        </w:rPr>
        <w:t>al </w:t>
      </w:r>
      <w:r>
        <w:rPr>
          <w:color w:val="B52628"/>
          <w:spacing w:val="-2"/>
          <w:w w:val="115"/>
        </w:rPr>
        <w:t>bloqueo</w:t>
      </w:r>
    </w:p>
    <w:p>
      <w:pPr>
        <w:pStyle w:val="BodyText"/>
        <w:spacing w:before="151"/>
        <w:jc w:val="left"/>
        <w:rPr>
          <w:rFonts w:ascii="Trebuchet MS"/>
          <w:sz w:val="20"/>
        </w:rPr>
      </w:pPr>
      <w:r>
        <w:rPr/>
        <mc:AlternateContent>
          <mc:Choice Requires="wps">
            <w:drawing>
              <wp:anchor distT="0" distB="0" distL="0" distR="0" allowOverlap="1" layoutInCell="1" locked="0" behindDoc="1" simplePos="0" relativeHeight="487618048">
                <wp:simplePos x="0" y="0"/>
                <wp:positionH relativeFrom="page">
                  <wp:posOffset>720001</wp:posOffset>
                </wp:positionH>
                <wp:positionV relativeFrom="paragraph">
                  <wp:posOffset>258806</wp:posOffset>
                </wp:positionV>
                <wp:extent cx="909319" cy="26034"/>
                <wp:effectExtent l="0" t="0" r="0" b="0"/>
                <wp:wrapTopAndBottom/>
                <wp:docPr id="114" name="Graphic 114"/>
                <wp:cNvGraphicFramePr>
                  <a:graphicFrameLocks/>
                </wp:cNvGraphicFramePr>
                <a:graphic>
                  <a:graphicData uri="http://schemas.microsoft.com/office/word/2010/wordprocessingShape">
                    <wps:wsp>
                      <wps:cNvPr id="114" name="Graphic 114"/>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56.693001pt;margin-top:20.378469pt;width:71.584pt;height:2.021pt;mso-position-horizontal-relative:page;mso-position-vertical-relative:paragraph;z-index:-15698432;mso-wrap-distance-left:0;mso-wrap-distance-right:0" id="docshape90" filled="true" fillcolor="#1f4282" stroked="false">
                <v:fill type="solid"/>
                <w10:wrap type="topAndBottom"/>
              </v:rect>
            </w:pict>
          </mc:Fallback>
        </mc:AlternateContent>
      </w:r>
    </w:p>
    <w:p>
      <w:pPr>
        <w:pStyle w:val="BodyText"/>
        <w:spacing w:before="6"/>
        <w:jc w:val="left"/>
        <w:rPr>
          <w:rFonts w:ascii="Trebuchet MS"/>
          <w:sz w:val="20"/>
        </w:rPr>
      </w:pPr>
    </w:p>
    <w:p>
      <w:pPr>
        <w:spacing w:after="0"/>
        <w:jc w:val="left"/>
        <w:rPr>
          <w:rFonts w:ascii="Trebuchet MS"/>
          <w:sz w:val="20"/>
        </w:rPr>
        <w:sectPr>
          <w:pgSz w:w="11910" w:h="16840"/>
          <w:pgMar w:header="0" w:footer="695" w:top="800" w:bottom="880" w:left="0" w:right="0"/>
        </w:sectPr>
      </w:pPr>
    </w:p>
    <w:p>
      <w:pPr>
        <w:pStyle w:val="Heading2"/>
        <w:spacing w:line="228" w:lineRule="auto" w:before="113"/>
      </w:pPr>
      <w:r>
        <w:rPr>
          <w:color w:val="1F4282"/>
          <w:w w:val="115"/>
        </w:rPr>
        <w:t>Oposición</w:t>
      </w:r>
      <w:r>
        <w:rPr>
          <w:color w:val="1F4282"/>
          <w:spacing w:val="-12"/>
          <w:w w:val="115"/>
        </w:rPr>
        <w:t> </w:t>
      </w:r>
      <w:r>
        <w:rPr>
          <w:color w:val="1F4282"/>
          <w:w w:val="115"/>
        </w:rPr>
        <w:t>dentro</w:t>
      </w:r>
      <w:r>
        <w:rPr>
          <w:color w:val="1F4282"/>
          <w:spacing w:val="-12"/>
          <w:w w:val="115"/>
        </w:rPr>
        <w:t> </w:t>
      </w:r>
      <w:r>
        <w:rPr>
          <w:color w:val="1F4282"/>
          <w:w w:val="115"/>
        </w:rPr>
        <w:t>de</w:t>
      </w:r>
      <w:r>
        <w:rPr>
          <w:color w:val="1F4282"/>
          <w:spacing w:val="-12"/>
          <w:w w:val="115"/>
        </w:rPr>
        <w:t> </w:t>
      </w:r>
      <w:r>
        <w:rPr>
          <w:color w:val="1F4282"/>
          <w:w w:val="115"/>
        </w:rPr>
        <w:t>los Estados Unidos</w:t>
      </w:r>
    </w:p>
    <w:p>
      <w:pPr>
        <w:pStyle w:val="BodyText"/>
        <w:spacing w:before="187"/>
        <w:ind w:left="1133"/>
      </w:pPr>
      <w:r>
        <w:rPr>
          <w:color w:val="231F20"/>
        </w:rPr>
        <w:t>En</w:t>
      </w:r>
      <w:r>
        <w:rPr>
          <w:color w:val="231F20"/>
          <w:spacing w:val="40"/>
        </w:rPr>
        <w:t> </w:t>
      </w:r>
      <w:r>
        <w:rPr>
          <w:color w:val="231F20"/>
        </w:rPr>
        <w:t>el</w:t>
      </w:r>
      <w:r>
        <w:rPr>
          <w:color w:val="231F20"/>
          <w:spacing w:val="40"/>
        </w:rPr>
        <w:t> </w:t>
      </w:r>
      <w:r>
        <w:rPr>
          <w:color w:val="231F20"/>
        </w:rPr>
        <w:t>periodo</w:t>
      </w:r>
      <w:r>
        <w:rPr>
          <w:color w:val="231F20"/>
          <w:spacing w:val="40"/>
        </w:rPr>
        <w:t> </w:t>
      </w:r>
      <w:r>
        <w:rPr>
          <w:color w:val="231F20"/>
        </w:rPr>
        <w:t>que</w:t>
      </w:r>
      <w:r>
        <w:rPr>
          <w:color w:val="231F20"/>
          <w:spacing w:val="40"/>
        </w:rPr>
        <w:t> </w:t>
      </w:r>
      <w:r>
        <w:rPr>
          <w:color w:val="231F20"/>
        </w:rPr>
        <w:t>abarca</w:t>
      </w:r>
      <w:r>
        <w:rPr>
          <w:color w:val="231F20"/>
          <w:spacing w:val="40"/>
        </w:rPr>
        <w:t> </w:t>
      </w:r>
      <w:r>
        <w:rPr>
          <w:color w:val="231F20"/>
        </w:rPr>
        <w:t>este</w:t>
      </w:r>
      <w:r>
        <w:rPr>
          <w:color w:val="231F20"/>
          <w:spacing w:val="40"/>
        </w:rPr>
        <w:t> </w:t>
      </w:r>
      <w:r>
        <w:rPr>
          <w:color w:val="231F20"/>
        </w:rPr>
        <w:t>informe se registró un número significativo de </w:t>
      </w:r>
      <w:r>
        <w:rPr>
          <w:color w:val="231F20"/>
          <w:spacing w:val="-4"/>
        </w:rPr>
        <w:t>iniciativas</w:t>
      </w:r>
      <w:r>
        <w:rPr>
          <w:color w:val="231F20"/>
          <w:spacing w:val="-12"/>
        </w:rPr>
        <w:t> </w:t>
      </w:r>
      <w:r>
        <w:rPr>
          <w:color w:val="231F20"/>
          <w:spacing w:val="-4"/>
        </w:rPr>
        <w:t>en</w:t>
      </w:r>
      <w:r>
        <w:rPr>
          <w:color w:val="231F20"/>
          <w:spacing w:val="-12"/>
        </w:rPr>
        <w:t> </w:t>
      </w:r>
      <w:r>
        <w:rPr>
          <w:color w:val="231F20"/>
          <w:spacing w:val="-4"/>
        </w:rPr>
        <w:t>territorio</w:t>
      </w:r>
      <w:r>
        <w:rPr>
          <w:color w:val="231F20"/>
          <w:spacing w:val="-12"/>
        </w:rPr>
        <w:t> </w:t>
      </w:r>
      <w:r>
        <w:rPr>
          <w:color w:val="231F20"/>
          <w:spacing w:val="-4"/>
        </w:rPr>
        <w:t>estadounidense,</w:t>
      </w:r>
      <w:r>
        <w:rPr>
          <w:color w:val="231F20"/>
          <w:spacing w:val="-12"/>
        </w:rPr>
        <w:t> </w:t>
      </w:r>
      <w:r>
        <w:rPr>
          <w:color w:val="231F20"/>
          <w:spacing w:val="-4"/>
        </w:rPr>
        <w:t>con </w:t>
      </w:r>
      <w:r>
        <w:rPr>
          <w:color w:val="231F20"/>
        </w:rPr>
        <w:t>el fin de demandar el levantamiento del bloqueo</w:t>
      </w:r>
      <w:r>
        <w:rPr>
          <w:color w:val="231F20"/>
          <w:spacing w:val="-8"/>
        </w:rPr>
        <w:t> </w:t>
      </w:r>
      <w:r>
        <w:rPr>
          <w:color w:val="231F20"/>
        </w:rPr>
        <w:t>a</w:t>
      </w:r>
      <w:r>
        <w:rPr>
          <w:color w:val="231F20"/>
          <w:spacing w:val="-8"/>
        </w:rPr>
        <w:t> </w:t>
      </w:r>
      <w:r>
        <w:rPr>
          <w:color w:val="231F20"/>
        </w:rPr>
        <w:t>Cuba</w:t>
      </w:r>
      <w:r>
        <w:rPr>
          <w:color w:val="231F20"/>
          <w:spacing w:val="-8"/>
        </w:rPr>
        <w:t> </w:t>
      </w:r>
      <w:r>
        <w:rPr>
          <w:color w:val="231F20"/>
        </w:rPr>
        <w:t>y</w:t>
      </w:r>
      <w:r>
        <w:rPr>
          <w:color w:val="231F20"/>
          <w:spacing w:val="-8"/>
        </w:rPr>
        <w:t> </w:t>
      </w:r>
      <w:r>
        <w:rPr>
          <w:color w:val="231F20"/>
        </w:rPr>
        <w:t>la</w:t>
      </w:r>
      <w:r>
        <w:rPr>
          <w:color w:val="231F20"/>
          <w:spacing w:val="-8"/>
        </w:rPr>
        <w:t> </w:t>
      </w:r>
      <w:r>
        <w:rPr>
          <w:color w:val="231F20"/>
        </w:rPr>
        <w:t>retirada</w:t>
      </w:r>
      <w:r>
        <w:rPr>
          <w:color w:val="231F20"/>
          <w:spacing w:val="-8"/>
        </w:rPr>
        <w:t> </w:t>
      </w:r>
      <w:r>
        <w:rPr>
          <w:color w:val="231F20"/>
        </w:rPr>
        <w:t>del</w:t>
      </w:r>
      <w:r>
        <w:rPr>
          <w:color w:val="231F20"/>
          <w:spacing w:val="-8"/>
        </w:rPr>
        <w:t> </w:t>
      </w:r>
      <w:r>
        <w:rPr>
          <w:color w:val="231F20"/>
        </w:rPr>
        <w:t>país</w:t>
      </w:r>
      <w:r>
        <w:rPr>
          <w:color w:val="231F20"/>
          <w:spacing w:val="-8"/>
        </w:rPr>
        <w:t> </w:t>
      </w:r>
      <w:r>
        <w:rPr>
          <w:color w:val="231F20"/>
        </w:rPr>
        <w:t>de</w:t>
      </w:r>
      <w:r>
        <w:rPr>
          <w:color w:val="231F20"/>
          <w:spacing w:val="-8"/>
        </w:rPr>
        <w:t> </w:t>
      </w:r>
      <w:r>
        <w:rPr>
          <w:color w:val="231F20"/>
        </w:rPr>
        <w:t>la Lista unilateral de Estados Patrocinadores del Terrorismo. Una buena parte de los reclamos</w:t>
      </w:r>
      <w:r>
        <w:rPr>
          <w:color w:val="231F20"/>
          <w:spacing w:val="-10"/>
        </w:rPr>
        <w:t> </w:t>
      </w:r>
      <w:r>
        <w:rPr>
          <w:color w:val="231F20"/>
        </w:rPr>
        <w:t>se</w:t>
      </w:r>
      <w:r>
        <w:rPr>
          <w:color w:val="231F20"/>
          <w:spacing w:val="-10"/>
        </w:rPr>
        <w:t> </w:t>
      </w:r>
      <w:r>
        <w:rPr>
          <w:color w:val="231F20"/>
        </w:rPr>
        <w:t>dirigieron</w:t>
      </w:r>
      <w:r>
        <w:rPr>
          <w:color w:val="231F20"/>
          <w:spacing w:val="-10"/>
        </w:rPr>
        <w:t> </w:t>
      </w:r>
      <w:r>
        <w:rPr>
          <w:color w:val="231F20"/>
        </w:rPr>
        <w:t>al</w:t>
      </w:r>
      <w:r>
        <w:rPr>
          <w:color w:val="231F20"/>
          <w:spacing w:val="-10"/>
        </w:rPr>
        <w:t> </w:t>
      </w:r>
      <w:r>
        <w:rPr>
          <w:color w:val="231F20"/>
        </w:rPr>
        <w:t>presidente</w:t>
      </w:r>
      <w:r>
        <w:rPr>
          <w:color w:val="231F20"/>
          <w:spacing w:val="-10"/>
        </w:rPr>
        <w:t> </w:t>
      </w:r>
      <w:r>
        <w:rPr>
          <w:color w:val="231F20"/>
        </w:rPr>
        <w:t>Biden </w:t>
      </w:r>
      <w:r>
        <w:rPr>
          <w:color w:val="231F20"/>
          <w:spacing w:val="-10"/>
        </w:rPr>
        <w:t>para</w:t>
      </w:r>
      <w:r>
        <w:rPr>
          <w:color w:val="231F20"/>
          <w:spacing w:val="-3"/>
        </w:rPr>
        <w:t> </w:t>
      </w:r>
      <w:r>
        <w:rPr>
          <w:color w:val="231F20"/>
          <w:spacing w:val="-10"/>
        </w:rPr>
        <w:t>que,</w:t>
      </w:r>
      <w:r>
        <w:rPr>
          <w:color w:val="231F20"/>
          <w:spacing w:val="-3"/>
        </w:rPr>
        <w:t> </w:t>
      </w:r>
      <w:r>
        <w:rPr>
          <w:color w:val="231F20"/>
          <w:spacing w:val="-10"/>
        </w:rPr>
        <w:t>en</w:t>
      </w:r>
      <w:r>
        <w:rPr>
          <w:color w:val="231F20"/>
          <w:spacing w:val="-3"/>
        </w:rPr>
        <w:t> </w:t>
      </w:r>
      <w:r>
        <w:rPr>
          <w:color w:val="231F20"/>
          <w:spacing w:val="-10"/>
        </w:rPr>
        <w:t>uso</w:t>
      </w:r>
      <w:r>
        <w:rPr>
          <w:color w:val="231F20"/>
          <w:spacing w:val="-3"/>
        </w:rPr>
        <w:t> </w:t>
      </w:r>
      <w:r>
        <w:rPr>
          <w:color w:val="231F20"/>
          <w:spacing w:val="-10"/>
        </w:rPr>
        <w:t>de</w:t>
      </w:r>
      <w:r>
        <w:rPr>
          <w:color w:val="231F20"/>
          <w:spacing w:val="-3"/>
        </w:rPr>
        <w:t> </w:t>
      </w:r>
      <w:r>
        <w:rPr>
          <w:color w:val="231F20"/>
          <w:spacing w:val="-10"/>
        </w:rPr>
        <w:t>sus</w:t>
      </w:r>
      <w:r>
        <w:rPr>
          <w:color w:val="231F20"/>
          <w:spacing w:val="-3"/>
        </w:rPr>
        <w:t> </w:t>
      </w:r>
      <w:r>
        <w:rPr>
          <w:color w:val="231F20"/>
          <w:spacing w:val="-10"/>
        </w:rPr>
        <w:t>facultades</w:t>
      </w:r>
      <w:r>
        <w:rPr>
          <w:color w:val="231F20"/>
          <w:spacing w:val="-3"/>
        </w:rPr>
        <w:t> </w:t>
      </w:r>
      <w:r>
        <w:rPr>
          <w:color w:val="231F20"/>
          <w:spacing w:val="-10"/>
        </w:rPr>
        <w:t>ejecutivas, </w:t>
      </w:r>
      <w:r>
        <w:rPr>
          <w:color w:val="231F20"/>
        </w:rPr>
        <w:t>pusiera fin a las medidas coercitivas </w:t>
      </w:r>
      <w:r>
        <w:rPr>
          <w:color w:val="231F20"/>
          <w:spacing w:val="-2"/>
        </w:rPr>
        <w:t>adicionales</w:t>
      </w:r>
      <w:r>
        <w:rPr>
          <w:color w:val="231F20"/>
          <w:spacing w:val="-8"/>
        </w:rPr>
        <w:t> </w:t>
      </w:r>
      <w:r>
        <w:rPr>
          <w:color w:val="231F20"/>
          <w:spacing w:val="-2"/>
        </w:rPr>
        <w:t>impuestas</w:t>
      </w:r>
      <w:r>
        <w:rPr>
          <w:color w:val="231F20"/>
          <w:spacing w:val="-8"/>
        </w:rPr>
        <w:t> </w:t>
      </w:r>
      <w:r>
        <w:rPr>
          <w:color w:val="231F20"/>
          <w:spacing w:val="-2"/>
        </w:rPr>
        <w:t>durante</w:t>
      </w:r>
      <w:r>
        <w:rPr>
          <w:color w:val="231F20"/>
          <w:spacing w:val="-8"/>
        </w:rPr>
        <w:t> </w:t>
      </w:r>
      <w:r>
        <w:rPr>
          <w:color w:val="231F20"/>
          <w:spacing w:val="-2"/>
        </w:rPr>
        <w:t>el</w:t>
      </w:r>
      <w:r>
        <w:rPr>
          <w:color w:val="231F20"/>
          <w:spacing w:val="-8"/>
        </w:rPr>
        <w:t> </w:t>
      </w:r>
      <w:r>
        <w:rPr>
          <w:color w:val="231F20"/>
          <w:spacing w:val="-2"/>
        </w:rPr>
        <w:t>gobierno </w:t>
      </w:r>
      <w:r>
        <w:rPr>
          <w:color w:val="231F20"/>
        </w:rPr>
        <w:t>de</w:t>
      </w:r>
      <w:r>
        <w:rPr>
          <w:color w:val="231F20"/>
          <w:spacing w:val="-9"/>
        </w:rPr>
        <w:t> </w:t>
      </w:r>
      <w:r>
        <w:rPr>
          <w:color w:val="231F20"/>
        </w:rPr>
        <w:t>Trump</w:t>
      </w:r>
      <w:r>
        <w:rPr>
          <w:color w:val="231F20"/>
          <w:spacing w:val="-9"/>
        </w:rPr>
        <w:t> </w:t>
      </w:r>
      <w:r>
        <w:rPr>
          <w:color w:val="231F20"/>
        </w:rPr>
        <w:t>contra</w:t>
      </w:r>
      <w:r>
        <w:rPr>
          <w:color w:val="231F20"/>
          <w:spacing w:val="-9"/>
        </w:rPr>
        <w:t> </w:t>
      </w:r>
      <w:r>
        <w:rPr>
          <w:color w:val="231F20"/>
        </w:rPr>
        <w:t>Cuba.</w:t>
      </w:r>
    </w:p>
    <w:p>
      <w:pPr>
        <w:pStyle w:val="BodyText"/>
        <w:spacing w:before="169"/>
        <w:ind w:left="1133" w:right="1"/>
      </w:pPr>
      <w:r>
        <w:rPr>
          <w:color w:val="231F20"/>
        </w:rPr>
        <w:t>Representantes de varios sectores de la sociedad, incluidos artistas, académicos, religiosos,</w:t>
      </w:r>
      <w:r>
        <w:rPr>
          <w:color w:val="231F20"/>
          <w:spacing w:val="-3"/>
        </w:rPr>
        <w:t> </w:t>
      </w:r>
      <w:r>
        <w:rPr>
          <w:color w:val="231F20"/>
        </w:rPr>
        <w:t>abogados,</w:t>
      </w:r>
      <w:r>
        <w:rPr>
          <w:color w:val="231F20"/>
          <w:spacing w:val="-3"/>
        </w:rPr>
        <w:t> </w:t>
      </w:r>
      <w:r>
        <w:rPr>
          <w:color w:val="231F20"/>
        </w:rPr>
        <w:t>grupos</w:t>
      </w:r>
      <w:r>
        <w:rPr>
          <w:color w:val="231F20"/>
          <w:spacing w:val="-3"/>
        </w:rPr>
        <w:t> </w:t>
      </w:r>
      <w:r>
        <w:rPr>
          <w:color w:val="231F20"/>
        </w:rPr>
        <w:t>de</w:t>
      </w:r>
      <w:r>
        <w:rPr>
          <w:color w:val="231F20"/>
          <w:spacing w:val="-3"/>
        </w:rPr>
        <w:t> </w:t>
      </w:r>
      <w:r>
        <w:rPr>
          <w:color w:val="231F20"/>
        </w:rPr>
        <w:t>negocios y de solidaridad, organizaciones no gubernamentales, cubanoamericanos y </w:t>
      </w:r>
      <w:r>
        <w:rPr>
          <w:color w:val="231F20"/>
          <w:spacing w:val="-2"/>
        </w:rPr>
        <w:t>congresistas,</w:t>
      </w:r>
      <w:r>
        <w:rPr>
          <w:color w:val="231F20"/>
          <w:spacing w:val="-10"/>
        </w:rPr>
        <w:t> </w:t>
      </w:r>
      <w:r>
        <w:rPr>
          <w:color w:val="231F20"/>
          <w:spacing w:val="-2"/>
        </w:rPr>
        <w:t>se</w:t>
      </w:r>
      <w:r>
        <w:rPr>
          <w:color w:val="231F20"/>
          <w:spacing w:val="-10"/>
        </w:rPr>
        <w:t> </w:t>
      </w:r>
      <w:r>
        <w:rPr>
          <w:color w:val="231F20"/>
          <w:spacing w:val="-2"/>
        </w:rPr>
        <w:t>manifestaron</w:t>
      </w:r>
      <w:r>
        <w:rPr>
          <w:color w:val="231F20"/>
          <w:spacing w:val="-10"/>
        </w:rPr>
        <w:t> </w:t>
      </w:r>
      <w:r>
        <w:rPr>
          <w:color w:val="231F20"/>
          <w:spacing w:val="-2"/>
        </w:rPr>
        <w:t>en</w:t>
      </w:r>
      <w:r>
        <w:rPr>
          <w:color w:val="231F20"/>
          <w:spacing w:val="-10"/>
        </w:rPr>
        <w:t> </w:t>
      </w:r>
      <w:r>
        <w:rPr>
          <w:color w:val="231F20"/>
          <w:spacing w:val="-2"/>
        </w:rPr>
        <w:t>contra</w:t>
      </w:r>
      <w:r>
        <w:rPr>
          <w:color w:val="231F20"/>
          <w:spacing w:val="-10"/>
        </w:rPr>
        <w:t> </w:t>
      </w:r>
      <w:r>
        <w:rPr>
          <w:color w:val="231F20"/>
          <w:spacing w:val="-2"/>
        </w:rPr>
        <w:t>de </w:t>
      </w:r>
      <w:r>
        <w:rPr>
          <w:color w:val="231F20"/>
        </w:rPr>
        <w:t>la</w:t>
      </w:r>
      <w:r>
        <w:rPr>
          <w:color w:val="231F20"/>
          <w:spacing w:val="-5"/>
        </w:rPr>
        <w:t> </w:t>
      </w:r>
      <w:r>
        <w:rPr>
          <w:color w:val="231F20"/>
        </w:rPr>
        <w:t>política</w:t>
      </w:r>
      <w:r>
        <w:rPr>
          <w:color w:val="231F20"/>
          <w:spacing w:val="-5"/>
        </w:rPr>
        <w:t> </w:t>
      </w:r>
      <w:r>
        <w:rPr>
          <w:color w:val="231F20"/>
        </w:rPr>
        <w:t>de</w:t>
      </w:r>
      <w:r>
        <w:rPr>
          <w:color w:val="231F20"/>
          <w:spacing w:val="-5"/>
        </w:rPr>
        <w:t> </w:t>
      </w:r>
      <w:r>
        <w:rPr>
          <w:color w:val="231F20"/>
        </w:rPr>
        <w:t>máxima</w:t>
      </w:r>
      <w:r>
        <w:rPr>
          <w:color w:val="231F20"/>
          <w:spacing w:val="-5"/>
        </w:rPr>
        <w:t> </w:t>
      </w:r>
      <w:r>
        <w:rPr>
          <w:color w:val="231F20"/>
        </w:rPr>
        <w:t>presión</w:t>
      </w:r>
      <w:r>
        <w:rPr>
          <w:color w:val="231F20"/>
          <w:spacing w:val="-5"/>
        </w:rPr>
        <w:t> </w:t>
      </w:r>
      <w:r>
        <w:rPr>
          <w:color w:val="231F20"/>
        </w:rPr>
        <w:t>hacia</w:t>
      </w:r>
      <w:r>
        <w:rPr>
          <w:color w:val="231F20"/>
          <w:spacing w:val="-5"/>
        </w:rPr>
        <w:t> </w:t>
      </w:r>
      <w:r>
        <w:rPr>
          <w:color w:val="231F20"/>
        </w:rPr>
        <w:t>la</w:t>
      </w:r>
      <w:r>
        <w:rPr>
          <w:color w:val="231F20"/>
          <w:spacing w:val="-5"/>
        </w:rPr>
        <w:t> </w:t>
      </w:r>
      <w:r>
        <w:rPr>
          <w:color w:val="231F20"/>
        </w:rPr>
        <w:t>Isla.</w:t>
      </w:r>
    </w:p>
    <w:p>
      <w:pPr>
        <w:pStyle w:val="BodyText"/>
        <w:spacing w:before="166"/>
        <w:ind w:left="1133"/>
      </w:pPr>
      <w:r>
        <w:rPr>
          <w:color w:val="231F20"/>
        </w:rPr>
        <w:t>Algunas de las declaraciones, acciones mediáticas,</w:t>
      </w:r>
      <w:r>
        <w:rPr>
          <w:color w:val="231F20"/>
          <w:spacing w:val="-12"/>
        </w:rPr>
        <w:t> </w:t>
      </w:r>
      <w:r>
        <w:rPr>
          <w:color w:val="231F20"/>
        </w:rPr>
        <w:t>resoluciones</w:t>
      </w:r>
      <w:r>
        <w:rPr>
          <w:color w:val="231F20"/>
          <w:spacing w:val="-12"/>
        </w:rPr>
        <w:t> </w:t>
      </w:r>
      <w:r>
        <w:rPr>
          <w:color w:val="231F20"/>
        </w:rPr>
        <w:t>y</w:t>
      </w:r>
      <w:r>
        <w:rPr>
          <w:color w:val="231F20"/>
          <w:spacing w:val="-12"/>
        </w:rPr>
        <w:t> </w:t>
      </w:r>
      <w:r>
        <w:rPr>
          <w:color w:val="231F20"/>
        </w:rPr>
        <w:t>otras</w:t>
      </w:r>
      <w:r>
        <w:rPr>
          <w:color w:val="231F20"/>
          <w:spacing w:val="-12"/>
        </w:rPr>
        <w:t> </w:t>
      </w:r>
      <w:r>
        <w:rPr>
          <w:color w:val="231F20"/>
        </w:rPr>
        <w:t>iniciativas </w:t>
      </w:r>
      <w:r>
        <w:rPr>
          <w:color w:val="231F20"/>
          <w:spacing w:val="-2"/>
        </w:rPr>
        <w:t>de</w:t>
      </w:r>
      <w:r>
        <w:rPr>
          <w:color w:val="231F20"/>
          <w:spacing w:val="-10"/>
        </w:rPr>
        <w:t> </w:t>
      </w:r>
      <w:r>
        <w:rPr>
          <w:color w:val="231F20"/>
          <w:spacing w:val="-2"/>
        </w:rPr>
        <w:t>diversos</w:t>
      </w:r>
      <w:r>
        <w:rPr>
          <w:color w:val="231F20"/>
          <w:spacing w:val="-10"/>
        </w:rPr>
        <w:t> </w:t>
      </w:r>
      <w:r>
        <w:rPr>
          <w:color w:val="231F20"/>
          <w:spacing w:val="-2"/>
        </w:rPr>
        <w:t>sectores</w:t>
      </w:r>
      <w:r>
        <w:rPr>
          <w:color w:val="231F20"/>
          <w:spacing w:val="-10"/>
        </w:rPr>
        <w:t> </w:t>
      </w:r>
      <w:r>
        <w:rPr>
          <w:color w:val="231F20"/>
          <w:spacing w:val="-2"/>
        </w:rPr>
        <w:t>en</w:t>
      </w:r>
      <w:r>
        <w:rPr>
          <w:color w:val="231F20"/>
          <w:spacing w:val="-10"/>
        </w:rPr>
        <w:t> </w:t>
      </w:r>
      <w:r>
        <w:rPr>
          <w:color w:val="231F20"/>
          <w:spacing w:val="-2"/>
        </w:rPr>
        <w:t>los</w:t>
      </w:r>
      <w:r>
        <w:rPr>
          <w:color w:val="231F20"/>
          <w:spacing w:val="-10"/>
        </w:rPr>
        <w:t> </w:t>
      </w:r>
      <w:r>
        <w:rPr>
          <w:color w:val="231F20"/>
          <w:spacing w:val="-2"/>
        </w:rPr>
        <w:t>Estados</w:t>
      </w:r>
      <w:r>
        <w:rPr>
          <w:color w:val="231F20"/>
          <w:spacing w:val="-10"/>
        </w:rPr>
        <w:t> </w:t>
      </w:r>
      <w:r>
        <w:rPr>
          <w:color w:val="231F20"/>
          <w:spacing w:val="-2"/>
        </w:rPr>
        <w:t>Unidos </w:t>
      </w:r>
      <w:r>
        <w:rPr>
          <w:color w:val="231F20"/>
        </w:rPr>
        <w:t>que solicitaron el levantamiento </w:t>
      </w:r>
      <w:r>
        <w:rPr>
          <w:color w:val="231F20"/>
        </w:rPr>
        <w:t>del bloqueo y la retirada de Cuba de la Lista de</w:t>
      </w:r>
      <w:r>
        <w:rPr>
          <w:color w:val="231F20"/>
          <w:spacing w:val="-3"/>
        </w:rPr>
        <w:t> </w:t>
      </w:r>
      <w:r>
        <w:rPr>
          <w:color w:val="231F20"/>
        </w:rPr>
        <w:t>Estados</w:t>
      </w:r>
      <w:r>
        <w:rPr>
          <w:color w:val="231F20"/>
          <w:spacing w:val="-3"/>
        </w:rPr>
        <w:t> </w:t>
      </w:r>
      <w:r>
        <w:rPr>
          <w:color w:val="231F20"/>
        </w:rPr>
        <w:t>Patrocinadores</w:t>
      </w:r>
      <w:r>
        <w:rPr>
          <w:color w:val="231F20"/>
          <w:spacing w:val="-4"/>
        </w:rPr>
        <w:t> </w:t>
      </w:r>
      <w:r>
        <w:rPr>
          <w:color w:val="231F20"/>
        </w:rPr>
        <w:t>del</w:t>
      </w:r>
      <w:r>
        <w:rPr>
          <w:color w:val="231F20"/>
          <w:spacing w:val="-3"/>
        </w:rPr>
        <w:t> </w:t>
      </w:r>
      <w:r>
        <w:rPr>
          <w:color w:val="231F20"/>
        </w:rPr>
        <w:t>Terrorismo se exponen a continuación:</w:t>
      </w:r>
    </w:p>
    <w:p>
      <w:pPr>
        <w:spacing w:before="165"/>
        <w:ind w:left="1133" w:right="0" w:firstLine="0"/>
        <w:jc w:val="both"/>
        <w:rPr>
          <w:sz w:val="24"/>
        </w:rPr>
      </w:pPr>
      <w:r>
        <w:rPr>
          <w:b/>
          <w:color w:val="B52628"/>
          <w:sz w:val="24"/>
        </w:rPr>
        <w:t>El 19 y 20 de marzo de 2022, </w:t>
      </w:r>
      <w:r>
        <w:rPr>
          <w:color w:val="231F20"/>
          <w:sz w:val="24"/>
        </w:rPr>
        <w:t>se desarrolló la Conferencia Internacional</w:t>
      </w:r>
      <w:r>
        <w:rPr>
          <w:color w:val="231F20"/>
          <w:spacing w:val="80"/>
          <w:sz w:val="24"/>
        </w:rPr>
        <w:t> </w:t>
      </w:r>
      <w:r>
        <w:rPr>
          <w:color w:val="231F20"/>
          <w:sz w:val="24"/>
        </w:rPr>
        <w:t>de</w:t>
      </w:r>
      <w:r>
        <w:rPr>
          <w:color w:val="231F20"/>
          <w:spacing w:val="48"/>
          <w:sz w:val="24"/>
        </w:rPr>
        <w:t> </w:t>
      </w:r>
      <w:r>
        <w:rPr>
          <w:color w:val="231F20"/>
          <w:sz w:val="24"/>
        </w:rPr>
        <w:t>Normalización</w:t>
      </w:r>
      <w:r>
        <w:rPr>
          <w:color w:val="231F20"/>
          <w:spacing w:val="50"/>
          <w:sz w:val="24"/>
        </w:rPr>
        <w:t> </w:t>
      </w:r>
      <w:r>
        <w:rPr>
          <w:color w:val="231F20"/>
          <w:sz w:val="24"/>
        </w:rPr>
        <w:t>Estados</w:t>
      </w:r>
      <w:r>
        <w:rPr>
          <w:color w:val="231F20"/>
          <w:spacing w:val="50"/>
          <w:sz w:val="24"/>
        </w:rPr>
        <w:t> </w:t>
      </w:r>
      <w:r>
        <w:rPr>
          <w:color w:val="231F20"/>
          <w:spacing w:val="-2"/>
          <w:sz w:val="24"/>
        </w:rPr>
        <w:t>Unidos–Cuba,</w:t>
      </w:r>
    </w:p>
    <w:p>
      <w:pPr>
        <w:pStyle w:val="BodyText"/>
        <w:spacing w:before="102"/>
        <w:ind w:left="412" w:right="1471"/>
      </w:pPr>
      <w:r>
        <w:rPr/>
        <w:br w:type="column"/>
      </w:r>
      <w:r>
        <w:rPr>
          <w:color w:val="231F20"/>
        </w:rPr>
        <w:t>en la sede de la asociación solidaria </w:t>
      </w:r>
      <w:r>
        <w:rPr>
          <w:color w:val="231F20"/>
        </w:rPr>
        <w:t>The </w:t>
      </w:r>
      <w:r>
        <w:rPr>
          <w:color w:val="231F20"/>
          <w:spacing w:val="-4"/>
        </w:rPr>
        <w:t>People’s</w:t>
      </w:r>
      <w:r>
        <w:rPr>
          <w:color w:val="231F20"/>
          <w:spacing w:val="-13"/>
        </w:rPr>
        <w:t> </w:t>
      </w:r>
      <w:r>
        <w:rPr>
          <w:color w:val="231F20"/>
          <w:spacing w:val="-4"/>
        </w:rPr>
        <w:t>Forum,</w:t>
      </w:r>
      <w:r>
        <w:rPr>
          <w:color w:val="231F20"/>
          <w:spacing w:val="-12"/>
        </w:rPr>
        <w:t> </w:t>
      </w:r>
      <w:r>
        <w:rPr>
          <w:color w:val="231F20"/>
          <w:spacing w:val="-4"/>
        </w:rPr>
        <w:t>en</w:t>
      </w:r>
      <w:r>
        <w:rPr>
          <w:color w:val="231F20"/>
          <w:spacing w:val="-13"/>
        </w:rPr>
        <w:t> </w:t>
      </w:r>
      <w:r>
        <w:rPr>
          <w:color w:val="231F20"/>
          <w:spacing w:val="-4"/>
        </w:rPr>
        <w:t>Manhattan,</w:t>
      </w:r>
      <w:r>
        <w:rPr>
          <w:color w:val="231F20"/>
          <w:spacing w:val="-12"/>
        </w:rPr>
        <w:t> </w:t>
      </w:r>
      <w:r>
        <w:rPr>
          <w:color w:val="231F20"/>
          <w:spacing w:val="-4"/>
        </w:rPr>
        <w:t>Nueva</w:t>
      </w:r>
      <w:r>
        <w:rPr>
          <w:color w:val="231F20"/>
          <w:spacing w:val="-13"/>
        </w:rPr>
        <w:t> </w:t>
      </w:r>
      <w:r>
        <w:rPr>
          <w:color w:val="231F20"/>
          <w:spacing w:val="-4"/>
        </w:rPr>
        <w:t>York. </w:t>
      </w:r>
      <w:r>
        <w:rPr>
          <w:color w:val="231F20"/>
        </w:rPr>
        <w:t>En</w:t>
      </w:r>
      <w:r>
        <w:rPr>
          <w:color w:val="231F20"/>
          <w:spacing w:val="-14"/>
        </w:rPr>
        <w:t> </w:t>
      </w:r>
      <w:r>
        <w:rPr>
          <w:color w:val="231F20"/>
        </w:rPr>
        <w:t>el</w:t>
      </w:r>
      <w:r>
        <w:rPr>
          <w:color w:val="231F20"/>
          <w:spacing w:val="-14"/>
        </w:rPr>
        <w:t> </w:t>
      </w:r>
      <w:r>
        <w:rPr>
          <w:color w:val="231F20"/>
        </w:rPr>
        <w:t>evento</w:t>
      </w:r>
      <w:r>
        <w:rPr>
          <w:color w:val="231F20"/>
          <w:spacing w:val="-14"/>
        </w:rPr>
        <w:t> </w:t>
      </w:r>
      <w:r>
        <w:rPr>
          <w:color w:val="231F20"/>
        </w:rPr>
        <w:t>participaron</w:t>
      </w:r>
      <w:r>
        <w:rPr>
          <w:color w:val="231F20"/>
          <w:spacing w:val="-14"/>
        </w:rPr>
        <w:t> </w:t>
      </w:r>
      <w:r>
        <w:rPr>
          <w:color w:val="231F20"/>
        </w:rPr>
        <w:t>presencialmente grupos solidarios de los Estados Unidos y Canadá para exigir al presidente Biden el </w:t>
      </w:r>
      <w:r>
        <w:rPr>
          <w:color w:val="231F20"/>
          <w:spacing w:val="-2"/>
        </w:rPr>
        <w:t>cese</w:t>
      </w:r>
      <w:r>
        <w:rPr>
          <w:color w:val="231F20"/>
          <w:spacing w:val="-13"/>
        </w:rPr>
        <w:t> </w:t>
      </w:r>
      <w:r>
        <w:rPr>
          <w:color w:val="231F20"/>
          <w:spacing w:val="-2"/>
        </w:rPr>
        <w:t>la</w:t>
      </w:r>
      <w:r>
        <w:rPr>
          <w:color w:val="231F20"/>
          <w:spacing w:val="-13"/>
        </w:rPr>
        <w:t> </w:t>
      </w:r>
      <w:r>
        <w:rPr>
          <w:color w:val="231F20"/>
          <w:spacing w:val="-2"/>
        </w:rPr>
        <w:t>política</w:t>
      </w:r>
      <w:r>
        <w:rPr>
          <w:color w:val="231F20"/>
          <w:spacing w:val="-13"/>
        </w:rPr>
        <w:t> </w:t>
      </w:r>
      <w:r>
        <w:rPr>
          <w:color w:val="231F20"/>
          <w:spacing w:val="-2"/>
        </w:rPr>
        <w:t>de</w:t>
      </w:r>
      <w:r>
        <w:rPr>
          <w:color w:val="231F20"/>
          <w:spacing w:val="-13"/>
        </w:rPr>
        <w:t> </w:t>
      </w:r>
      <w:r>
        <w:rPr>
          <w:color w:val="231F20"/>
          <w:spacing w:val="-2"/>
        </w:rPr>
        <w:t>bloqueo</w:t>
      </w:r>
      <w:r>
        <w:rPr>
          <w:color w:val="231F20"/>
          <w:spacing w:val="-13"/>
        </w:rPr>
        <w:t> </w:t>
      </w:r>
      <w:r>
        <w:rPr>
          <w:color w:val="231F20"/>
          <w:spacing w:val="-2"/>
        </w:rPr>
        <w:t>contra</w:t>
      </w:r>
      <w:r>
        <w:rPr>
          <w:color w:val="231F20"/>
          <w:spacing w:val="-13"/>
        </w:rPr>
        <w:t> </w:t>
      </w:r>
      <w:r>
        <w:rPr>
          <w:color w:val="231F20"/>
          <w:spacing w:val="-2"/>
        </w:rPr>
        <w:t>Cuba.</w:t>
      </w:r>
      <w:r>
        <w:rPr>
          <w:color w:val="231F20"/>
          <w:spacing w:val="-13"/>
        </w:rPr>
        <w:t> </w:t>
      </w:r>
      <w:r>
        <w:rPr>
          <w:color w:val="231F20"/>
          <w:spacing w:val="-2"/>
        </w:rPr>
        <w:t>Se </w:t>
      </w:r>
      <w:r>
        <w:rPr>
          <w:color w:val="231F20"/>
        </w:rPr>
        <w:t>reiteraron también los llamados a revertir las</w:t>
      </w:r>
      <w:r>
        <w:rPr>
          <w:color w:val="231F20"/>
          <w:spacing w:val="-15"/>
        </w:rPr>
        <w:t> </w:t>
      </w:r>
      <w:r>
        <w:rPr>
          <w:color w:val="231F20"/>
        </w:rPr>
        <w:t>medidas</w:t>
      </w:r>
      <w:r>
        <w:rPr>
          <w:color w:val="231F20"/>
          <w:spacing w:val="-15"/>
        </w:rPr>
        <w:t> </w:t>
      </w:r>
      <w:r>
        <w:rPr>
          <w:color w:val="231F20"/>
        </w:rPr>
        <w:t>coercitivas</w:t>
      </w:r>
      <w:r>
        <w:rPr>
          <w:color w:val="231F20"/>
          <w:spacing w:val="-16"/>
        </w:rPr>
        <w:t> </w:t>
      </w:r>
      <w:r>
        <w:rPr>
          <w:color w:val="231F20"/>
        </w:rPr>
        <w:t>impuestas</w:t>
      </w:r>
      <w:r>
        <w:rPr>
          <w:color w:val="231F20"/>
          <w:spacing w:val="-15"/>
        </w:rPr>
        <w:t> </w:t>
      </w:r>
      <w:r>
        <w:rPr>
          <w:color w:val="231F20"/>
        </w:rPr>
        <w:t>durante el</w:t>
      </w:r>
      <w:r>
        <w:rPr>
          <w:color w:val="231F20"/>
          <w:spacing w:val="-17"/>
        </w:rPr>
        <w:t> </w:t>
      </w:r>
      <w:r>
        <w:rPr>
          <w:color w:val="231F20"/>
        </w:rPr>
        <w:t>gobierno</w:t>
      </w:r>
      <w:r>
        <w:rPr>
          <w:color w:val="231F20"/>
          <w:spacing w:val="-16"/>
        </w:rPr>
        <w:t> </w:t>
      </w:r>
      <w:r>
        <w:rPr>
          <w:color w:val="231F20"/>
        </w:rPr>
        <w:t>de</w:t>
      </w:r>
      <w:r>
        <w:rPr>
          <w:color w:val="231F20"/>
          <w:spacing w:val="-17"/>
        </w:rPr>
        <w:t> </w:t>
      </w:r>
      <w:r>
        <w:rPr>
          <w:color w:val="231F20"/>
        </w:rPr>
        <w:t>Donald</w:t>
      </w:r>
      <w:r>
        <w:rPr>
          <w:color w:val="231F20"/>
          <w:spacing w:val="-16"/>
        </w:rPr>
        <w:t> </w:t>
      </w:r>
      <w:r>
        <w:rPr>
          <w:color w:val="231F20"/>
        </w:rPr>
        <w:t>Trump,</w:t>
      </w:r>
      <w:r>
        <w:rPr>
          <w:color w:val="231F20"/>
          <w:spacing w:val="-17"/>
        </w:rPr>
        <w:t> </w:t>
      </w:r>
      <w:r>
        <w:rPr>
          <w:color w:val="231F20"/>
        </w:rPr>
        <w:t>que</w:t>
      </w:r>
      <w:r>
        <w:rPr>
          <w:color w:val="231F20"/>
          <w:spacing w:val="-16"/>
        </w:rPr>
        <w:t> </w:t>
      </w:r>
      <w:r>
        <w:rPr>
          <w:color w:val="231F20"/>
        </w:rPr>
        <w:t>afectan profundamente a las familias cubanas.</w:t>
      </w:r>
    </w:p>
    <w:p>
      <w:pPr>
        <w:pStyle w:val="BodyText"/>
        <w:spacing w:before="168"/>
        <w:ind w:left="412" w:right="1475"/>
      </w:pPr>
      <w:r>
        <w:rPr>
          <w:b/>
          <w:color w:val="B52628"/>
          <w:spacing w:val="-6"/>
        </w:rPr>
        <w:t>El</w:t>
      </w:r>
      <w:r>
        <w:rPr>
          <w:b/>
          <w:color w:val="B52628"/>
          <w:spacing w:val="-11"/>
        </w:rPr>
        <w:t> </w:t>
      </w:r>
      <w:r>
        <w:rPr>
          <w:b/>
          <w:color w:val="B52628"/>
          <w:spacing w:val="-6"/>
        </w:rPr>
        <w:t>26</w:t>
      </w:r>
      <w:r>
        <w:rPr>
          <w:b/>
          <w:color w:val="B52628"/>
          <w:spacing w:val="-11"/>
        </w:rPr>
        <w:t> </w:t>
      </w:r>
      <w:r>
        <w:rPr>
          <w:b/>
          <w:color w:val="B52628"/>
          <w:spacing w:val="-6"/>
        </w:rPr>
        <w:t>de</w:t>
      </w:r>
      <w:r>
        <w:rPr>
          <w:b/>
          <w:color w:val="B52628"/>
          <w:spacing w:val="-10"/>
        </w:rPr>
        <w:t> </w:t>
      </w:r>
      <w:r>
        <w:rPr>
          <w:b/>
          <w:color w:val="B52628"/>
          <w:spacing w:val="-6"/>
        </w:rPr>
        <w:t>marzo</w:t>
      </w:r>
      <w:r>
        <w:rPr>
          <w:b/>
          <w:color w:val="B52628"/>
          <w:spacing w:val="-11"/>
        </w:rPr>
        <w:t> </w:t>
      </w:r>
      <w:r>
        <w:rPr>
          <w:b/>
          <w:color w:val="B52628"/>
          <w:spacing w:val="-6"/>
        </w:rPr>
        <w:t>de</w:t>
      </w:r>
      <w:r>
        <w:rPr>
          <w:b/>
          <w:color w:val="B52628"/>
          <w:spacing w:val="-10"/>
        </w:rPr>
        <w:t> </w:t>
      </w:r>
      <w:r>
        <w:rPr>
          <w:b/>
          <w:color w:val="B52628"/>
          <w:spacing w:val="-6"/>
        </w:rPr>
        <w:t>2022,</w:t>
      </w:r>
      <w:r>
        <w:rPr>
          <w:b/>
          <w:color w:val="B52628"/>
          <w:spacing w:val="-11"/>
        </w:rPr>
        <w:t> </w:t>
      </w:r>
      <w:r>
        <w:rPr>
          <w:color w:val="231F20"/>
          <w:spacing w:val="-6"/>
        </w:rPr>
        <w:t>las</w:t>
      </w:r>
      <w:r>
        <w:rPr>
          <w:color w:val="231F20"/>
          <w:spacing w:val="-10"/>
        </w:rPr>
        <w:t> </w:t>
      </w:r>
      <w:r>
        <w:rPr>
          <w:color w:val="231F20"/>
          <w:spacing w:val="-6"/>
        </w:rPr>
        <w:t>organizaciones </w:t>
      </w:r>
      <w:r>
        <w:rPr>
          <w:color w:val="231F20"/>
          <w:spacing w:val="-8"/>
        </w:rPr>
        <w:t>MetroDC Coalition e IFCO/Pastors for Peace, </w:t>
      </w:r>
      <w:r>
        <w:rPr>
          <w:color w:val="231F20"/>
          <w:spacing w:val="-2"/>
        </w:rPr>
        <w:t>desarrollaron</w:t>
      </w:r>
      <w:r>
        <w:rPr>
          <w:color w:val="231F20"/>
          <w:spacing w:val="-15"/>
        </w:rPr>
        <w:t> </w:t>
      </w:r>
      <w:r>
        <w:rPr>
          <w:color w:val="231F20"/>
          <w:spacing w:val="-2"/>
        </w:rPr>
        <w:t>un</w:t>
      </w:r>
      <w:r>
        <w:rPr>
          <w:color w:val="231F20"/>
          <w:spacing w:val="-14"/>
        </w:rPr>
        <w:t> </w:t>
      </w:r>
      <w:r>
        <w:rPr>
          <w:color w:val="231F20"/>
          <w:spacing w:val="-2"/>
        </w:rPr>
        <w:t>evento</w:t>
      </w:r>
      <w:r>
        <w:rPr>
          <w:color w:val="231F20"/>
          <w:spacing w:val="-15"/>
        </w:rPr>
        <w:t> </w:t>
      </w:r>
      <w:r>
        <w:rPr>
          <w:color w:val="231F20"/>
          <w:spacing w:val="-2"/>
        </w:rPr>
        <w:t>de</w:t>
      </w:r>
      <w:r>
        <w:rPr>
          <w:color w:val="231F20"/>
          <w:spacing w:val="-14"/>
        </w:rPr>
        <w:t> </w:t>
      </w:r>
      <w:r>
        <w:rPr>
          <w:color w:val="231F20"/>
          <w:spacing w:val="-2"/>
        </w:rPr>
        <w:t>solidaridad</w:t>
      </w:r>
      <w:r>
        <w:rPr>
          <w:color w:val="231F20"/>
          <w:spacing w:val="-15"/>
        </w:rPr>
        <w:t> </w:t>
      </w:r>
      <w:r>
        <w:rPr>
          <w:color w:val="231F20"/>
          <w:spacing w:val="-2"/>
        </w:rPr>
        <w:t>con </w:t>
      </w:r>
      <w:r>
        <w:rPr>
          <w:color w:val="231F20"/>
        </w:rPr>
        <w:t>Cuba en la ciudad de Washington DC, en el</w:t>
      </w:r>
      <w:r>
        <w:rPr>
          <w:color w:val="231F20"/>
          <w:spacing w:val="-17"/>
        </w:rPr>
        <w:t> </w:t>
      </w:r>
      <w:r>
        <w:rPr>
          <w:color w:val="231F20"/>
        </w:rPr>
        <w:t>que</w:t>
      </w:r>
      <w:r>
        <w:rPr>
          <w:color w:val="231F20"/>
          <w:spacing w:val="-16"/>
        </w:rPr>
        <w:t> </w:t>
      </w:r>
      <w:r>
        <w:rPr>
          <w:color w:val="231F20"/>
        </w:rPr>
        <w:t>se</w:t>
      </w:r>
      <w:r>
        <w:rPr>
          <w:color w:val="231F20"/>
          <w:spacing w:val="-17"/>
        </w:rPr>
        <w:t> </w:t>
      </w:r>
      <w:r>
        <w:rPr>
          <w:color w:val="231F20"/>
        </w:rPr>
        <w:t>denunció</w:t>
      </w:r>
      <w:r>
        <w:rPr>
          <w:color w:val="231F20"/>
          <w:spacing w:val="-16"/>
        </w:rPr>
        <w:t> </w:t>
      </w:r>
      <w:r>
        <w:rPr>
          <w:color w:val="231F20"/>
        </w:rPr>
        <w:t>la</w:t>
      </w:r>
      <w:r>
        <w:rPr>
          <w:color w:val="231F20"/>
          <w:spacing w:val="-17"/>
        </w:rPr>
        <w:t> </w:t>
      </w:r>
      <w:r>
        <w:rPr>
          <w:color w:val="231F20"/>
        </w:rPr>
        <w:t>vigencia</w:t>
      </w:r>
      <w:r>
        <w:rPr>
          <w:color w:val="231F20"/>
          <w:spacing w:val="-16"/>
        </w:rPr>
        <w:t> </w:t>
      </w:r>
      <w:r>
        <w:rPr>
          <w:color w:val="231F20"/>
        </w:rPr>
        <w:t>del</w:t>
      </w:r>
      <w:r>
        <w:rPr>
          <w:color w:val="231F20"/>
          <w:spacing w:val="-17"/>
        </w:rPr>
        <w:t> </w:t>
      </w:r>
      <w:r>
        <w:rPr>
          <w:color w:val="231F20"/>
        </w:rPr>
        <w:t>bloqueo </w:t>
      </w:r>
      <w:r>
        <w:rPr>
          <w:color w:val="231F20"/>
          <w:spacing w:val="-4"/>
        </w:rPr>
        <w:t>contra</w:t>
      </w:r>
      <w:r>
        <w:rPr>
          <w:color w:val="231F20"/>
          <w:spacing w:val="-11"/>
        </w:rPr>
        <w:t> </w:t>
      </w:r>
      <w:r>
        <w:rPr>
          <w:color w:val="231F20"/>
          <w:spacing w:val="-4"/>
        </w:rPr>
        <w:t>Cuba</w:t>
      </w:r>
      <w:r>
        <w:rPr>
          <w:color w:val="231F20"/>
          <w:spacing w:val="-11"/>
        </w:rPr>
        <w:t> </w:t>
      </w:r>
      <w:r>
        <w:rPr>
          <w:color w:val="231F20"/>
          <w:spacing w:val="-4"/>
        </w:rPr>
        <w:t>y</w:t>
      </w:r>
      <w:r>
        <w:rPr>
          <w:color w:val="231F20"/>
          <w:spacing w:val="-11"/>
        </w:rPr>
        <w:t> </w:t>
      </w:r>
      <w:r>
        <w:rPr>
          <w:color w:val="231F20"/>
          <w:spacing w:val="-4"/>
        </w:rPr>
        <w:t>se</w:t>
      </w:r>
      <w:r>
        <w:rPr>
          <w:color w:val="231F20"/>
          <w:spacing w:val="-11"/>
        </w:rPr>
        <w:t> </w:t>
      </w:r>
      <w:r>
        <w:rPr>
          <w:color w:val="231F20"/>
          <w:spacing w:val="-4"/>
        </w:rPr>
        <w:t>abordó</w:t>
      </w:r>
      <w:r>
        <w:rPr>
          <w:color w:val="231F20"/>
          <w:spacing w:val="-11"/>
        </w:rPr>
        <w:t> </w:t>
      </w:r>
      <w:r>
        <w:rPr>
          <w:color w:val="231F20"/>
          <w:spacing w:val="-4"/>
        </w:rPr>
        <w:t>la</w:t>
      </w:r>
      <w:r>
        <w:rPr>
          <w:color w:val="231F20"/>
          <w:spacing w:val="-11"/>
        </w:rPr>
        <w:t> </w:t>
      </w:r>
      <w:r>
        <w:rPr>
          <w:color w:val="231F20"/>
          <w:spacing w:val="-4"/>
        </w:rPr>
        <w:t>necesidad</w:t>
      </w:r>
      <w:r>
        <w:rPr>
          <w:color w:val="231F20"/>
          <w:spacing w:val="-11"/>
        </w:rPr>
        <w:t> </w:t>
      </w:r>
      <w:r>
        <w:rPr>
          <w:color w:val="231F20"/>
          <w:spacing w:val="-4"/>
        </w:rPr>
        <w:t>de</w:t>
      </w:r>
      <w:r>
        <w:rPr>
          <w:color w:val="231F20"/>
          <w:spacing w:val="-11"/>
        </w:rPr>
        <w:t> </w:t>
      </w:r>
      <w:r>
        <w:rPr>
          <w:color w:val="231F20"/>
          <w:spacing w:val="-4"/>
        </w:rPr>
        <w:t>su </w:t>
      </w:r>
      <w:r>
        <w:rPr>
          <w:color w:val="231F20"/>
        </w:rPr>
        <w:t>eliminación inmediata.</w:t>
      </w:r>
    </w:p>
    <w:p>
      <w:pPr>
        <w:pStyle w:val="BodyText"/>
        <w:spacing w:before="165"/>
        <w:ind w:left="412" w:right="1471"/>
      </w:pPr>
      <w:r>
        <w:rPr>
          <w:b/>
          <w:color w:val="B52628"/>
        </w:rPr>
        <w:t>El</w:t>
      </w:r>
      <w:r>
        <w:rPr>
          <w:b/>
          <w:color w:val="B52628"/>
          <w:spacing w:val="-8"/>
        </w:rPr>
        <w:t> </w:t>
      </w:r>
      <w:r>
        <w:rPr>
          <w:b/>
          <w:color w:val="B52628"/>
        </w:rPr>
        <w:t>27</w:t>
      </w:r>
      <w:r>
        <w:rPr>
          <w:b/>
          <w:color w:val="B52628"/>
          <w:spacing w:val="-8"/>
        </w:rPr>
        <w:t> </w:t>
      </w:r>
      <w:r>
        <w:rPr>
          <w:b/>
          <w:color w:val="B52628"/>
        </w:rPr>
        <w:t>de</w:t>
      </w:r>
      <w:r>
        <w:rPr>
          <w:b/>
          <w:color w:val="B52628"/>
          <w:spacing w:val="-8"/>
        </w:rPr>
        <w:t> </w:t>
      </w:r>
      <w:r>
        <w:rPr>
          <w:b/>
          <w:color w:val="B52628"/>
        </w:rPr>
        <w:t>marzo</w:t>
      </w:r>
      <w:r>
        <w:rPr>
          <w:b/>
          <w:color w:val="B52628"/>
          <w:spacing w:val="-8"/>
        </w:rPr>
        <w:t> </w:t>
      </w:r>
      <w:r>
        <w:rPr>
          <w:b/>
          <w:color w:val="B52628"/>
        </w:rPr>
        <w:t>de</w:t>
      </w:r>
      <w:r>
        <w:rPr>
          <w:b/>
          <w:color w:val="B52628"/>
          <w:spacing w:val="-8"/>
        </w:rPr>
        <w:t> </w:t>
      </w:r>
      <w:r>
        <w:rPr>
          <w:b/>
          <w:color w:val="B52628"/>
        </w:rPr>
        <w:t>2022,</w:t>
      </w:r>
      <w:r>
        <w:rPr>
          <w:b/>
          <w:color w:val="B52628"/>
          <w:spacing w:val="-8"/>
        </w:rPr>
        <w:t> </w:t>
      </w:r>
      <w:r>
        <w:rPr>
          <w:color w:val="231F20"/>
        </w:rPr>
        <w:t>se</w:t>
      </w:r>
      <w:r>
        <w:rPr>
          <w:color w:val="231F20"/>
          <w:spacing w:val="-7"/>
        </w:rPr>
        <w:t> </w:t>
      </w:r>
      <w:r>
        <w:rPr>
          <w:color w:val="231F20"/>
        </w:rPr>
        <w:t>desarrollaron varias iniciativas en los Estados Unidos para exigir el levantamiento del </w:t>
      </w:r>
      <w:r>
        <w:rPr>
          <w:color w:val="231F20"/>
        </w:rPr>
        <w:t>bloqueo</w:t>
      </w:r>
      <w:r>
        <w:rPr>
          <w:color w:val="231F20"/>
          <w:spacing w:val="40"/>
        </w:rPr>
        <w:t> </w:t>
      </w:r>
      <w:r>
        <w:rPr>
          <w:color w:val="231F20"/>
        </w:rPr>
        <w:t>a Cuba. Algunas de las ciudades en las que</w:t>
      </w:r>
      <w:r>
        <w:rPr>
          <w:color w:val="231F20"/>
          <w:spacing w:val="-15"/>
        </w:rPr>
        <w:t> </w:t>
      </w:r>
      <w:r>
        <w:rPr>
          <w:color w:val="231F20"/>
        </w:rPr>
        <w:t>se</w:t>
      </w:r>
      <w:r>
        <w:rPr>
          <w:color w:val="231F20"/>
          <w:spacing w:val="-15"/>
        </w:rPr>
        <w:t> </w:t>
      </w:r>
      <w:r>
        <w:rPr>
          <w:color w:val="231F20"/>
        </w:rPr>
        <w:t>registraron</w:t>
      </w:r>
      <w:r>
        <w:rPr>
          <w:color w:val="231F20"/>
          <w:spacing w:val="-15"/>
        </w:rPr>
        <w:t> </w:t>
      </w:r>
      <w:r>
        <w:rPr>
          <w:color w:val="231F20"/>
        </w:rPr>
        <w:t>manifestaciones</w:t>
      </w:r>
      <w:r>
        <w:rPr>
          <w:color w:val="231F20"/>
          <w:spacing w:val="-15"/>
        </w:rPr>
        <w:t> </w:t>
      </w:r>
      <w:r>
        <w:rPr>
          <w:color w:val="231F20"/>
        </w:rPr>
        <w:t>fueron Nueva York, Seattle, Phoenix y Portland.</w:t>
      </w:r>
    </w:p>
    <w:p>
      <w:pPr>
        <w:pStyle w:val="BodyText"/>
        <w:spacing w:before="165"/>
        <w:ind w:left="412" w:right="1471"/>
      </w:pPr>
      <w:r>
        <w:rPr>
          <w:b/>
          <w:color w:val="B52628"/>
        </w:rPr>
        <w:t>El 29 de marzo de 2022, </w:t>
      </w:r>
      <w:r>
        <w:rPr>
          <w:color w:val="231F20"/>
        </w:rPr>
        <w:t>la organización NEMO y otros grupos favorables a Cuba, desarrollaron manifestaciones en las </w:t>
      </w:r>
      <w:r>
        <w:rPr>
          <w:color w:val="231F20"/>
          <w:spacing w:val="-2"/>
        </w:rPr>
        <w:t>localidades</w:t>
      </w:r>
      <w:r>
        <w:rPr>
          <w:color w:val="231F20"/>
          <w:spacing w:val="-12"/>
        </w:rPr>
        <w:t> </w:t>
      </w:r>
      <w:r>
        <w:rPr>
          <w:color w:val="231F20"/>
          <w:spacing w:val="-2"/>
        </w:rPr>
        <w:t>de</w:t>
      </w:r>
      <w:r>
        <w:rPr>
          <w:color w:val="231F20"/>
          <w:spacing w:val="-11"/>
        </w:rPr>
        <w:t> </w:t>
      </w:r>
      <w:r>
        <w:rPr>
          <w:color w:val="231F20"/>
          <w:spacing w:val="-2"/>
        </w:rPr>
        <w:t>Bloomfield,</w:t>
      </w:r>
      <w:r>
        <w:rPr>
          <w:color w:val="231F20"/>
          <w:spacing w:val="-11"/>
        </w:rPr>
        <w:t> </w:t>
      </w:r>
      <w:r>
        <w:rPr>
          <w:color w:val="231F20"/>
          <w:spacing w:val="-2"/>
        </w:rPr>
        <w:t>West</w:t>
      </w:r>
      <w:r>
        <w:rPr>
          <w:color w:val="231F20"/>
          <w:spacing w:val="-11"/>
        </w:rPr>
        <w:t> </w:t>
      </w:r>
      <w:r>
        <w:rPr>
          <w:color w:val="231F20"/>
          <w:spacing w:val="-2"/>
        </w:rPr>
        <w:t>Hartford</w:t>
      </w:r>
      <w:r>
        <w:rPr>
          <w:color w:val="231F20"/>
          <w:spacing w:val="-12"/>
        </w:rPr>
        <w:t> </w:t>
      </w:r>
      <w:r>
        <w:rPr>
          <w:color w:val="231F20"/>
          <w:spacing w:val="-2"/>
        </w:rPr>
        <w:t>y </w:t>
      </w:r>
      <w:r>
        <w:rPr>
          <w:color w:val="231F20"/>
        </w:rPr>
        <w:t>Middletown,</w:t>
      </w:r>
      <w:r>
        <w:rPr>
          <w:color w:val="231F20"/>
          <w:spacing w:val="-1"/>
        </w:rPr>
        <w:t> </w:t>
      </w:r>
      <w:r>
        <w:rPr>
          <w:color w:val="231F20"/>
        </w:rPr>
        <w:t>en</w:t>
      </w:r>
      <w:r>
        <w:rPr>
          <w:color w:val="231F20"/>
          <w:spacing w:val="-1"/>
        </w:rPr>
        <w:t> </w:t>
      </w:r>
      <w:r>
        <w:rPr>
          <w:color w:val="231F20"/>
        </w:rPr>
        <w:t>el</w:t>
      </w:r>
      <w:r>
        <w:rPr>
          <w:color w:val="231F20"/>
          <w:spacing w:val="-1"/>
        </w:rPr>
        <w:t> </w:t>
      </w:r>
      <w:r>
        <w:rPr>
          <w:color w:val="231F20"/>
        </w:rPr>
        <w:t>estado</w:t>
      </w:r>
      <w:r>
        <w:rPr>
          <w:color w:val="231F20"/>
          <w:spacing w:val="-1"/>
        </w:rPr>
        <w:t> </w:t>
      </w:r>
      <w:r>
        <w:rPr>
          <w:color w:val="231F20"/>
        </w:rPr>
        <w:t>de</w:t>
      </w:r>
      <w:r>
        <w:rPr>
          <w:color w:val="231F20"/>
          <w:spacing w:val="-1"/>
        </w:rPr>
        <w:t> </w:t>
      </w:r>
      <w:r>
        <w:rPr>
          <w:color w:val="231F20"/>
        </w:rPr>
        <w:t>Connecticut. Como</w:t>
      </w:r>
      <w:r>
        <w:rPr>
          <w:color w:val="231F20"/>
          <w:spacing w:val="-4"/>
        </w:rPr>
        <w:t> </w:t>
      </w:r>
      <w:r>
        <w:rPr>
          <w:color w:val="231F20"/>
        </w:rPr>
        <w:t>parte</w:t>
      </w:r>
      <w:r>
        <w:rPr>
          <w:color w:val="231F20"/>
          <w:spacing w:val="-4"/>
        </w:rPr>
        <w:t> </w:t>
      </w:r>
      <w:r>
        <w:rPr>
          <w:color w:val="231F20"/>
        </w:rPr>
        <w:t>de</w:t>
      </w:r>
      <w:r>
        <w:rPr>
          <w:color w:val="231F20"/>
          <w:spacing w:val="-4"/>
        </w:rPr>
        <w:t> </w:t>
      </w:r>
      <w:r>
        <w:rPr>
          <w:color w:val="231F20"/>
        </w:rPr>
        <w:t>la</w:t>
      </w:r>
      <w:r>
        <w:rPr>
          <w:color w:val="231F20"/>
          <w:spacing w:val="-4"/>
        </w:rPr>
        <w:t> </w:t>
      </w:r>
      <w:r>
        <w:rPr>
          <w:color w:val="231F20"/>
        </w:rPr>
        <w:t>iniciativa,</w:t>
      </w:r>
      <w:r>
        <w:rPr>
          <w:color w:val="231F20"/>
          <w:spacing w:val="-4"/>
        </w:rPr>
        <w:t> </w:t>
      </w:r>
      <w:r>
        <w:rPr>
          <w:color w:val="231F20"/>
        </w:rPr>
        <w:t>se</w:t>
      </w:r>
      <w:r>
        <w:rPr>
          <w:color w:val="231F20"/>
          <w:spacing w:val="-4"/>
        </w:rPr>
        <w:t> </w:t>
      </w:r>
      <w:r>
        <w:rPr>
          <w:color w:val="231F20"/>
        </w:rPr>
        <w:t>repartieron mil 200 volantes que demandan el fin de las agresiones contra Cuba y abogan por la colaboración entre ambos pueblos.</w:t>
      </w:r>
    </w:p>
    <w:p>
      <w:pPr>
        <w:spacing w:after="0"/>
        <w:sectPr>
          <w:type w:val="continuous"/>
          <w:pgSz w:w="11910" w:h="16840"/>
          <w:pgMar w:header="0" w:footer="695" w:top="1920" w:bottom="280" w:left="0" w:right="0"/>
          <w:cols w:num="2" w:equalWidth="0">
            <w:col w:w="5557" w:space="40"/>
            <w:col w:w="6313"/>
          </w:cols>
        </w:sectPr>
      </w:pPr>
    </w:p>
    <w:p>
      <w:pPr>
        <w:pStyle w:val="BodyText"/>
        <w:spacing w:before="77"/>
        <w:ind w:left="1474"/>
      </w:pPr>
      <w:r>
        <w:rPr>
          <w:b/>
          <w:color w:val="B52628"/>
        </w:rPr>
        <w:t>Del</w:t>
      </w:r>
      <w:r>
        <w:rPr>
          <w:b/>
          <w:color w:val="B52628"/>
          <w:spacing w:val="-3"/>
        </w:rPr>
        <w:t> </w:t>
      </w:r>
      <w:r>
        <w:rPr>
          <w:b/>
          <w:color w:val="B52628"/>
        </w:rPr>
        <w:t>6</w:t>
      </w:r>
      <w:r>
        <w:rPr>
          <w:b/>
          <w:color w:val="B52628"/>
          <w:spacing w:val="-3"/>
        </w:rPr>
        <w:t> </w:t>
      </w:r>
      <w:r>
        <w:rPr>
          <w:b/>
          <w:color w:val="B52628"/>
        </w:rPr>
        <w:t>al</w:t>
      </w:r>
      <w:r>
        <w:rPr>
          <w:b/>
          <w:color w:val="B52628"/>
          <w:spacing w:val="-3"/>
        </w:rPr>
        <w:t> </w:t>
      </w:r>
      <w:r>
        <w:rPr>
          <w:b/>
          <w:color w:val="B52628"/>
        </w:rPr>
        <w:t>8</w:t>
      </w:r>
      <w:r>
        <w:rPr>
          <w:b/>
          <w:color w:val="B52628"/>
          <w:spacing w:val="-3"/>
        </w:rPr>
        <w:t> </w:t>
      </w:r>
      <w:r>
        <w:rPr>
          <w:b/>
          <w:color w:val="B52628"/>
        </w:rPr>
        <w:t>de</w:t>
      </w:r>
      <w:r>
        <w:rPr>
          <w:b/>
          <w:color w:val="B52628"/>
          <w:spacing w:val="-3"/>
        </w:rPr>
        <w:t> </w:t>
      </w:r>
      <w:r>
        <w:rPr>
          <w:b/>
          <w:color w:val="B52628"/>
        </w:rPr>
        <w:t>abril</w:t>
      </w:r>
      <w:r>
        <w:rPr>
          <w:b/>
          <w:color w:val="B52628"/>
          <w:spacing w:val="-3"/>
        </w:rPr>
        <w:t> </w:t>
      </w:r>
      <w:r>
        <w:rPr>
          <w:b/>
          <w:color w:val="B52628"/>
        </w:rPr>
        <w:t>de</w:t>
      </w:r>
      <w:r>
        <w:rPr>
          <w:b/>
          <w:color w:val="B52628"/>
          <w:spacing w:val="-3"/>
        </w:rPr>
        <w:t> </w:t>
      </w:r>
      <w:r>
        <w:rPr>
          <w:b/>
          <w:color w:val="B52628"/>
        </w:rPr>
        <w:t>2022,</w:t>
      </w:r>
      <w:r>
        <w:rPr>
          <w:b/>
          <w:color w:val="B52628"/>
          <w:spacing w:val="-3"/>
        </w:rPr>
        <w:t> </w:t>
      </w:r>
      <w:r>
        <w:rPr>
          <w:color w:val="231F20"/>
        </w:rPr>
        <w:t>se</w:t>
      </w:r>
      <w:r>
        <w:rPr>
          <w:color w:val="231F20"/>
          <w:spacing w:val="-3"/>
        </w:rPr>
        <w:t> </w:t>
      </w:r>
      <w:r>
        <w:rPr>
          <w:color w:val="231F20"/>
        </w:rPr>
        <w:t>desarrolló en La Habana la III Conferencia Agrícola </w:t>
      </w:r>
      <w:r>
        <w:rPr>
          <w:color w:val="231F20"/>
          <w:spacing w:val="-4"/>
        </w:rPr>
        <w:t>entre</w:t>
      </w:r>
      <w:r>
        <w:rPr>
          <w:color w:val="231F20"/>
          <w:spacing w:val="-13"/>
        </w:rPr>
        <w:t> </w:t>
      </w:r>
      <w:r>
        <w:rPr>
          <w:color w:val="231F20"/>
          <w:spacing w:val="-4"/>
        </w:rPr>
        <w:t>Cuba</w:t>
      </w:r>
      <w:r>
        <w:rPr>
          <w:color w:val="231F20"/>
          <w:spacing w:val="-12"/>
        </w:rPr>
        <w:t> </w:t>
      </w:r>
      <w:r>
        <w:rPr>
          <w:color w:val="231F20"/>
          <w:spacing w:val="-4"/>
        </w:rPr>
        <w:t>y</w:t>
      </w:r>
      <w:r>
        <w:rPr>
          <w:color w:val="231F20"/>
          <w:spacing w:val="-13"/>
        </w:rPr>
        <w:t> </w:t>
      </w:r>
      <w:r>
        <w:rPr>
          <w:color w:val="231F20"/>
          <w:spacing w:val="-4"/>
        </w:rPr>
        <w:t>los</w:t>
      </w:r>
      <w:r>
        <w:rPr>
          <w:color w:val="231F20"/>
          <w:spacing w:val="-12"/>
        </w:rPr>
        <w:t> </w:t>
      </w:r>
      <w:r>
        <w:rPr>
          <w:color w:val="231F20"/>
          <w:spacing w:val="-4"/>
        </w:rPr>
        <w:t>Estados</w:t>
      </w:r>
      <w:r>
        <w:rPr>
          <w:color w:val="231F20"/>
          <w:spacing w:val="-13"/>
        </w:rPr>
        <w:t> </w:t>
      </w:r>
      <w:r>
        <w:rPr>
          <w:color w:val="231F20"/>
          <w:spacing w:val="-4"/>
        </w:rPr>
        <w:t>Unidos.</w:t>
      </w:r>
      <w:r>
        <w:rPr>
          <w:color w:val="231F20"/>
          <w:spacing w:val="-12"/>
        </w:rPr>
        <w:t> </w:t>
      </w:r>
      <w:r>
        <w:rPr>
          <w:color w:val="231F20"/>
          <w:spacing w:val="-4"/>
        </w:rPr>
        <w:t>Durante</w:t>
      </w:r>
      <w:r>
        <w:rPr>
          <w:color w:val="231F20"/>
          <w:spacing w:val="-13"/>
        </w:rPr>
        <w:t> </w:t>
      </w:r>
      <w:r>
        <w:rPr>
          <w:color w:val="231F20"/>
          <w:spacing w:val="-4"/>
        </w:rPr>
        <w:t>el </w:t>
      </w:r>
      <w:r>
        <w:rPr>
          <w:color w:val="231F20"/>
        </w:rPr>
        <w:t>evento,</w:t>
      </w:r>
      <w:r>
        <w:rPr>
          <w:color w:val="231F20"/>
          <w:spacing w:val="-9"/>
        </w:rPr>
        <w:t> </w:t>
      </w:r>
      <w:r>
        <w:rPr>
          <w:color w:val="231F20"/>
        </w:rPr>
        <w:t>los</w:t>
      </w:r>
      <w:r>
        <w:rPr>
          <w:color w:val="231F20"/>
          <w:spacing w:val="-9"/>
        </w:rPr>
        <w:t> </w:t>
      </w:r>
      <w:r>
        <w:rPr>
          <w:color w:val="231F20"/>
        </w:rPr>
        <w:t>participantes</w:t>
      </w:r>
      <w:r>
        <w:rPr>
          <w:color w:val="231F20"/>
          <w:spacing w:val="-9"/>
        </w:rPr>
        <w:t> </w:t>
      </w:r>
      <w:r>
        <w:rPr>
          <w:color w:val="231F20"/>
        </w:rPr>
        <w:t>estadounidenses denunciaron los obstáculos que representa el bloqueo para la ampliación y diversificación de los negocios en el sector agrícola con los diferentes actores económicos en Cuba.</w:t>
      </w:r>
    </w:p>
    <w:p>
      <w:pPr>
        <w:pStyle w:val="BodyText"/>
        <w:spacing w:before="167"/>
        <w:ind w:left="1474"/>
      </w:pPr>
      <w:r>
        <w:rPr>
          <w:b/>
          <w:color w:val="B52628"/>
        </w:rPr>
        <w:t>El 17 de mayo de 2022, </w:t>
      </w:r>
      <w:r>
        <w:rPr>
          <w:color w:val="231F20"/>
        </w:rPr>
        <w:t>la organización NEMO emitió una declaración en la que </w:t>
      </w:r>
      <w:r>
        <w:rPr>
          <w:color w:val="231F20"/>
          <w:spacing w:val="-6"/>
        </w:rPr>
        <w:t>manifestó</w:t>
      </w:r>
      <w:r>
        <w:rPr>
          <w:color w:val="231F20"/>
          <w:spacing w:val="-10"/>
        </w:rPr>
        <w:t> </w:t>
      </w:r>
      <w:r>
        <w:rPr>
          <w:color w:val="231F20"/>
          <w:spacing w:val="-6"/>
        </w:rPr>
        <w:t>su</w:t>
      </w:r>
      <w:r>
        <w:rPr>
          <w:color w:val="231F20"/>
          <w:spacing w:val="-10"/>
        </w:rPr>
        <w:t> </w:t>
      </w:r>
      <w:r>
        <w:rPr>
          <w:color w:val="231F20"/>
          <w:spacing w:val="-6"/>
        </w:rPr>
        <w:t>acuerdo</w:t>
      </w:r>
      <w:r>
        <w:rPr>
          <w:color w:val="231F20"/>
          <w:spacing w:val="-10"/>
        </w:rPr>
        <w:t> </w:t>
      </w:r>
      <w:r>
        <w:rPr>
          <w:color w:val="231F20"/>
          <w:spacing w:val="-6"/>
        </w:rPr>
        <w:t>con</w:t>
      </w:r>
      <w:r>
        <w:rPr>
          <w:color w:val="231F20"/>
          <w:spacing w:val="-10"/>
        </w:rPr>
        <w:t> </w:t>
      </w:r>
      <w:r>
        <w:rPr>
          <w:color w:val="231F20"/>
          <w:spacing w:val="-6"/>
        </w:rPr>
        <w:t>las</w:t>
      </w:r>
      <w:r>
        <w:rPr>
          <w:color w:val="231F20"/>
          <w:spacing w:val="-10"/>
        </w:rPr>
        <w:t> </w:t>
      </w:r>
      <w:r>
        <w:rPr>
          <w:color w:val="231F20"/>
          <w:spacing w:val="-6"/>
        </w:rPr>
        <w:t>medidas</w:t>
      </w:r>
      <w:r>
        <w:rPr>
          <w:color w:val="231F20"/>
          <w:spacing w:val="-10"/>
        </w:rPr>
        <w:t> </w:t>
      </w:r>
      <w:r>
        <w:rPr>
          <w:color w:val="231F20"/>
          <w:spacing w:val="-6"/>
        </w:rPr>
        <w:t>hacia </w:t>
      </w:r>
      <w:r>
        <w:rPr>
          <w:color w:val="231F20"/>
        </w:rPr>
        <w:t>Cuba en materia de visados, migración </w:t>
      </w:r>
      <w:r>
        <w:rPr>
          <w:color w:val="231F20"/>
          <w:spacing w:val="-2"/>
        </w:rPr>
        <w:t>regular,</w:t>
      </w:r>
      <w:r>
        <w:rPr>
          <w:color w:val="231F20"/>
          <w:spacing w:val="-14"/>
        </w:rPr>
        <w:t> </w:t>
      </w:r>
      <w:r>
        <w:rPr>
          <w:color w:val="231F20"/>
          <w:spacing w:val="-2"/>
        </w:rPr>
        <w:t>vuelos</w:t>
      </w:r>
      <w:r>
        <w:rPr>
          <w:color w:val="231F20"/>
          <w:spacing w:val="-14"/>
        </w:rPr>
        <w:t> </w:t>
      </w:r>
      <w:r>
        <w:rPr>
          <w:color w:val="231F20"/>
          <w:spacing w:val="-2"/>
        </w:rPr>
        <w:t>y</w:t>
      </w:r>
      <w:r>
        <w:rPr>
          <w:color w:val="231F20"/>
          <w:spacing w:val="-14"/>
        </w:rPr>
        <w:t> </w:t>
      </w:r>
      <w:r>
        <w:rPr>
          <w:color w:val="231F20"/>
          <w:spacing w:val="-2"/>
        </w:rPr>
        <w:t>remesas,</w:t>
      </w:r>
      <w:r>
        <w:rPr>
          <w:color w:val="231F20"/>
          <w:spacing w:val="-14"/>
        </w:rPr>
        <w:t> </w:t>
      </w:r>
      <w:r>
        <w:rPr>
          <w:color w:val="231F20"/>
          <w:spacing w:val="-2"/>
        </w:rPr>
        <w:t>anunciadas</w:t>
      </w:r>
      <w:r>
        <w:rPr>
          <w:color w:val="231F20"/>
          <w:spacing w:val="-14"/>
        </w:rPr>
        <w:t> </w:t>
      </w:r>
      <w:r>
        <w:rPr>
          <w:color w:val="231F20"/>
          <w:spacing w:val="-2"/>
        </w:rPr>
        <w:t>el</w:t>
      </w:r>
      <w:r>
        <w:rPr>
          <w:color w:val="231F20"/>
          <w:spacing w:val="-14"/>
        </w:rPr>
        <w:t> </w:t>
      </w:r>
      <w:r>
        <w:rPr>
          <w:color w:val="231F20"/>
          <w:spacing w:val="-2"/>
        </w:rPr>
        <w:t>16 </w:t>
      </w:r>
      <w:r>
        <w:rPr>
          <w:color w:val="231F20"/>
        </w:rPr>
        <w:t>de mayo de 2022, al tiempo que apuntó la necesidad de eliminar totalmente el </w:t>
      </w:r>
      <w:r>
        <w:rPr>
          <w:color w:val="231F20"/>
          <w:spacing w:val="-2"/>
        </w:rPr>
        <w:t>bloqueo.</w:t>
      </w:r>
    </w:p>
    <w:p>
      <w:pPr>
        <w:pStyle w:val="BodyText"/>
        <w:spacing w:before="166"/>
        <w:ind w:left="1474"/>
      </w:pPr>
      <w:r>
        <w:rPr>
          <w:b/>
          <w:color w:val="B52628"/>
        </w:rPr>
        <w:t>El 23 de mayo de 2022, </w:t>
      </w:r>
      <w:r>
        <w:rPr>
          <w:color w:val="231F20"/>
        </w:rPr>
        <w:t>varios cubanos</w:t>
      </w:r>
      <w:r>
        <w:rPr>
          <w:color w:val="231F20"/>
          <w:spacing w:val="40"/>
        </w:rPr>
        <w:t> </w:t>
      </w:r>
      <w:r>
        <w:rPr>
          <w:color w:val="231F20"/>
        </w:rPr>
        <w:t>y estadounidenses desarrollaron </w:t>
      </w:r>
      <w:r>
        <w:rPr>
          <w:color w:val="231F20"/>
        </w:rPr>
        <w:t>una manifestación en Miami, Florida, para exigir el fin del bloqueo económico y de la</w:t>
      </w:r>
      <w:r>
        <w:rPr>
          <w:color w:val="231F20"/>
          <w:spacing w:val="-4"/>
        </w:rPr>
        <w:t> </w:t>
      </w:r>
      <w:r>
        <w:rPr>
          <w:color w:val="231F20"/>
        </w:rPr>
        <w:t>decisión</w:t>
      </w:r>
      <w:r>
        <w:rPr>
          <w:color w:val="231F20"/>
          <w:spacing w:val="-4"/>
        </w:rPr>
        <w:t> </w:t>
      </w:r>
      <w:r>
        <w:rPr>
          <w:color w:val="231F20"/>
        </w:rPr>
        <w:t>de</w:t>
      </w:r>
      <w:r>
        <w:rPr>
          <w:color w:val="231F20"/>
          <w:spacing w:val="-4"/>
        </w:rPr>
        <w:t> </w:t>
      </w:r>
      <w:r>
        <w:rPr>
          <w:color w:val="231F20"/>
        </w:rPr>
        <w:t>EE.UU.</w:t>
      </w:r>
      <w:r>
        <w:rPr>
          <w:color w:val="231F20"/>
          <w:spacing w:val="-4"/>
        </w:rPr>
        <w:t> </w:t>
      </w:r>
      <w:r>
        <w:rPr>
          <w:color w:val="231F20"/>
        </w:rPr>
        <w:t>de</w:t>
      </w:r>
      <w:r>
        <w:rPr>
          <w:color w:val="231F20"/>
          <w:spacing w:val="-4"/>
        </w:rPr>
        <w:t> </w:t>
      </w:r>
      <w:r>
        <w:rPr>
          <w:color w:val="231F20"/>
        </w:rPr>
        <w:t>mantener</w:t>
      </w:r>
      <w:r>
        <w:rPr>
          <w:color w:val="231F20"/>
          <w:spacing w:val="-4"/>
        </w:rPr>
        <w:t> </w:t>
      </w:r>
      <w:r>
        <w:rPr>
          <w:color w:val="231F20"/>
        </w:rPr>
        <w:t>a</w:t>
      </w:r>
      <w:r>
        <w:rPr>
          <w:color w:val="231F20"/>
          <w:spacing w:val="-4"/>
        </w:rPr>
        <w:t> </w:t>
      </w:r>
      <w:r>
        <w:rPr>
          <w:color w:val="231F20"/>
        </w:rPr>
        <w:t>Cuba en la lista de Estados Patrocinadores del </w:t>
      </w:r>
      <w:r>
        <w:rPr>
          <w:color w:val="231F20"/>
          <w:spacing w:val="-2"/>
        </w:rPr>
        <w:t>Terrorismo.</w:t>
      </w:r>
    </w:p>
    <w:p>
      <w:pPr>
        <w:pStyle w:val="BodyText"/>
        <w:spacing w:before="166"/>
        <w:ind w:left="1474"/>
      </w:pPr>
      <w:r>
        <w:rPr>
          <w:b/>
          <w:color w:val="B52628"/>
        </w:rPr>
        <w:t>El 10 de junio de 2022, </w:t>
      </w:r>
      <w:r>
        <w:rPr>
          <w:color w:val="231F20"/>
        </w:rPr>
        <w:t>varios activistas de los Estados Unidos entregaron una misiva en el Centro de Convenciones de Los Ángeles, sede de la IX Cumbre de las Américas, en la que solicitaron el fin </w:t>
      </w:r>
      <w:r>
        <w:rPr>
          <w:color w:val="231F20"/>
        </w:rPr>
        <w:t>de los bloqueos contra países como Cuba, Venezuela y Nicaragua.</w:t>
      </w:r>
      <w:r>
        <w:rPr>
          <w:color w:val="231F20"/>
          <w:spacing w:val="40"/>
        </w:rPr>
        <w:t> </w:t>
      </w:r>
      <w:r>
        <w:rPr>
          <w:color w:val="231F20"/>
        </w:rPr>
        <w:t>La iniciativa se desarrolló en el marco de la Cumbre de los Pueblos y estuvo acompañada de intervenciones y otras acciones en apoyo a Cuba como parte de este evento.</w:t>
      </w:r>
    </w:p>
    <w:p>
      <w:pPr>
        <w:pStyle w:val="BodyText"/>
        <w:spacing w:before="168"/>
        <w:ind w:left="1474"/>
      </w:pPr>
      <w:r>
        <w:rPr>
          <w:b/>
          <w:color w:val="B52628"/>
        </w:rPr>
        <w:t>El 16 de junio de 2022, </w:t>
      </w:r>
      <w:r>
        <w:rPr>
          <w:color w:val="231F20"/>
        </w:rPr>
        <w:t>un grupo de 26 representantes</w:t>
      </w:r>
      <w:r>
        <w:rPr>
          <w:color w:val="231F20"/>
          <w:spacing w:val="-3"/>
        </w:rPr>
        <w:t> </w:t>
      </w:r>
      <w:r>
        <w:rPr>
          <w:color w:val="231F20"/>
        </w:rPr>
        <w:t>demócratas,</w:t>
      </w:r>
      <w:r>
        <w:rPr>
          <w:color w:val="231F20"/>
          <w:spacing w:val="-3"/>
        </w:rPr>
        <w:t> </w:t>
      </w:r>
      <w:r>
        <w:rPr>
          <w:color w:val="231F20"/>
        </w:rPr>
        <w:t>liderados</w:t>
      </w:r>
      <w:r>
        <w:rPr>
          <w:color w:val="231F20"/>
          <w:spacing w:val="-3"/>
        </w:rPr>
        <w:t> </w:t>
      </w:r>
      <w:r>
        <w:rPr>
          <w:color w:val="231F20"/>
        </w:rPr>
        <w:t>por Ayanna</w:t>
      </w:r>
      <w:r>
        <w:rPr>
          <w:color w:val="231F20"/>
          <w:spacing w:val="-17"/>
        </w:rPr>
        <w:t> </w:t>
      </w:r>
      <w:r>
        <w:rPr>
          <w:color w:val="231F20"/>
        </w:rPr>
        <w:t>Pressley</w:t>
      </w:r>
      <w:r>
        <w:rPr>
          <w:color w:val="231F20"/>
          <w:spacing w:val="-16"/>
        </w:rPr>
        <w:t> </w:t>
      </w:r>
      <w:r>
        <w:rPr>
          <w:color w:val="231F20"/>
        </w:rPr>
        <w:t>de</w:t>
      </w:r>
      <w:r>
        <w:rPr>
          <w:color w:val="231F20"/>
          <w:spacing w:val="-17"/>
        </w:rPr>
        <w:t> </w:t>
      </w:r>
      <w:r>
        <w:rPr>
          <w:color w:val="231F20"/>
        </w:rPr>
        <w:t>Massachussets</w:t>
      </w:r>
      <w:r>
        <w:rPr>
          <w:color w:val="231F20"/>
          <w:spacing w:val="-16"/>
        </w:rPr>
        <w:t> </w:t>
      </w:r>
      <w:r>
        <w:rPr>
          <w:color w:val="231F20"/>
        </w:rPr>
        <w:t>y</w:t>
      </w:r>
      <w:r>
        <w:rPr>
          <w:color w:val="231F20"/>
          <w:spacing w:val="-17"/>
        </w:rPr>
        <w:t> </w:t>
      </w:r>
      <w:r>
        <w:rPr>
          <w:color w:val="231F20"/>
        </w:rPr>
        <w:t>Steve Cohen de Tennessee, pidieron en </w:t>
      </w:r>
      <w:r>
        <w:rPr>
          <w:color w:val="231F20"/>
        </w:rPr>
        <w:t>una carta</w:t>
      </w:r>
      <w:r>
        <w:rPr>
          <w:color w:val="231F20"/>
          <w:spacing w:val="-17"/>
        </w:rPr>
        <w:t> </w:t>
      </w:r>
      <w:r>
        <w:rPr>
          <w:color w:val="231F20"/>
        </w:rPr>
        <w:t>al</w:t>
      </w:r>
      <w:r>
        <w:rPr>
          <w:color w:val="231F20"/>
          <w:spacing w:val="-16"/>
        </w:rPr>
        <w:t> </w:t>
      </w:r>
      <w:r>
        <w:rPr>
          <w:color w:val="231F20"/>
        </w:rPr>
        <w:t>presidente</w:t>
      </w:r>
      <w:r>
        <w:rPr>
          <w:color w:val="231F20"/>
          <w:spacing w:val="-17"/>
        </w:rPr>
        <w:t> </w:t>
      </w:r>
      <w:r>
        <w:rPr>
          <w:color w:val="231F20"/>
        </w:rPr>
        <w:t>Biden</w:t>
      </w:r>
      <w:r>
        <w:rPr>
          <w:color w:val="231F20"/>
          <w:spacing w:val="-16"/>
        </w:rPr>
        <w:t> </w:t>
      </w:r>
      <w:r>
        <w:rPr>
          <w:color w:val="231F20"/>
        </w:rPr>
        <w:t>que</w:t>
      </w:r>
      <w:r>
        <w:rPr>
          <w:color w:val="231F20"/>
          <w:spacing w:val="-17"/>
        </w:rPr>
        <w:t> </w:t>
      </w:r>
      <w:r>
        <w:rPr>
          <w:color w:val="231F20"/>
        </w:rPr>
        <w:t>explorara</w:t>
      </w:r>
      <w:r>
        <w:rPr>
          <w:color w:val="231F20"/>
          <w:spacing w:val="-16"/>
        </w:rPr>
        <w:t> </w:t>
      </w:r>
      <w:r>
        <w:rPr>
          <w:color w:val="231F20"/>
        </w:rPr>
        <w:t>las posibilidades de colaboración con Cuba en</w:t>
      </w:r>
      <w:r>
        <w:rPr>
          <w:color w:val="231F20"/>
          <w:spacing w:val="8"/>
        </w:rPr>
        <w:t> </w:t>
      </w:r>
      <w:r>
        <w:rPr>
          <w:color w:val="231F20"/>
        </w:rPr>
        <w:t>cuestiones</w:t>
      </w:r>
      <w:r>
        <w:rPr>
          <w:color w:val="231F20"/>
          <w:spacing w:val="10"/>
        </w:rPr>
        <w:t> </w:t>
      </w:r>
      <w:r>
        <w:rPr>
          <w:color w:val="231F20"/>
        </w:rPr>
        <w:t>de</w:t>
      </w:r>
      <w:r>
        <w:rPr>
          <w:color w:val="231F20"/>
          <w:spacing w:val="10"/>
        </w:rPr>
        <w:t> </w:t>
      </w:r>
      <w:r>
        <w:rPr>
          <w:color w:val="231F20"/>
        </w:rPr>
        <w:t>salud.</w:t>
      </w:r>
      <w:r>
        <w:rPr>
          <w:color w:val="231F20"/>
          <w:spacing w:val="10"/>
        </w:rPr>
        <w:t> </w:t>
      </w:r>
      <w:r>
        <w:rPr>
          <w:color w:val="231F20"/>
        </w:rPr>
        <w:t>Demandaron</w:t>
      </w:r>
      <w:r>
        <w:rPr>
          <w:color w:val="231F20"/>
          <w:spacing w:val="11"/>
        </w:rPr>
        <w:t> </w:t>
      </w:r>
      <w:r>
        <w:rPr>
          <w:color w:val="231F20"/>
          <w:spacing w:val="-5"/>
        </w:rPr>
        <w:t>una</w:t>
      </w:r>
    </w:p>
    <w:p>
      <w:pPr>
        <w:pStyle w:val="BodyText"/>
        <w:spacing w:before="77"/>
        <w:ind w:left="412" w:right="1130"/>
      </w:pPr>
      <w:r>
        <w:rPr/>
        <w:br w:type="column"/>
      </w:r>
      <w:r>
        <w:rPr>
          <w:color w:val="231F20"/>
        </w:rPr>
        <w:t>revisión de la política que </w:t>
      </w:r>
      <w:r>
        <w:rPr>
          <w:color w:val="231F20"/>
        </w:rPr>
        <w:t>garantizara</w:t>
      </w:r>
      <w:r>
        <w:rPr>
          <w:color w:val="231F20"/>
          <w:spacing w:val="80"/>
        </w:rPr>
        <w:t> </w:t>
      </w:r>
      <w:r>
        <w:rPr>
          <w:color w:val="231F20"/>
        </w:rPr>
        <w:t>que “las sanciones” contra Cuba no obstaculizaran los esfuerzos para compartir con países de bajos ingresos sus vacunas contra la Covid-19, así como servicios</w:t>
      </w:r>
      <w:r>
        <w:rPr>
          <w:color w:val="231F20"/>
          <w:spacing w:val="-7"/>
        </w:rPr>
        <w:t> </w:t>
      </w:r>
      <w:r>
        <w:rPr>
          <w:color w:val="231F20"/>
        </w:rPr>
        <w:t>médicos</w:t>
      </w:r>
      <w:r>
        <w:rPr>
          <w:color w:val="231F20"/>
          <w:spacing w:val="-7"/>
        </w:rPr>
        <w:t> </w:t>
      </w:r>
      <w:r>
        <w:rPr>
          <w:color w:val="231F20"/>
        </w:rPr>
        <w:t>y</w:t>
      </w:r>
      <w:r>
        <w:rPr>
          <w:color w:val="231F20"/>
          <w:spacing w:val="-6"/>
        </w:rPr>
        <w:t> </w:t>
      </w:r>
      <w:r>
        <w:rPr>
          <w:color w:val="231F20"/>
        </w:rPr>
        <w:t>tecnologías</w:t>
      </w:r>
      <w:r>
        <w:rPr>
          <w:color w:val="231F20"/>
          <w:spacing w:val="-7"/>
        </w:rPr>
        <w:t> </w:t>
      </w:r>
      <w:r>
        <w:rPr>
          <w:color w:val="231F20"/>
        </w:rPr>
        <w:t>sanitarias.</w:t>
      </w:r>
    </w:p>
    <w:p>
      <w:pPr>
        <w:pStyle w:val="BodyText"/>
        <w:spacing w:before="164"/>
        <w:ind w:left="412" w:right="1130"/>
      </w:pPr>
      <w:r>
        <w:rPr>
          <w:b/>
          <w:color w:val="B52628"/>
        </w:rPr>
        <w:t>El 29 de junio de 2022, </w:t>
      </w:r>
      <w:r>
        <w:rPr>
          <w:color w:val="231F20"/>
        </w:rPr>
        <w:t>un total de 22 organizaciones,</w:t>
      </w:r>
      <w:r>
        <w:rPr>
          <w:color w:val="231F20"/>
          <w:spacing w:val="-17"/>
        </w:rPr>
        <w:t> </w:t>
      </w:r>
      <w:r>
        <w:rPr>
          <w:color w:val="231F20"/>
        </w:rPr>
        <w:t>iglesias</w:t>
      </w:r>
      <w:r>
        <w:rPr>
          <w:color w:val="231F20"/>
          <w:spacing w:val="-16"/>
        </w:rPr>
        <w:t> </w:t>
      </w:r>
      <w:r>
        <w:rPr>
          <w:color w:val="231F20"/>
        </w:rPr>
        <w:t>y</w:t>
      </w:r>
      <w:r>
        <w:rPr>
          <w:color w:val="231F20"/>
          <w:spacing w:val="-17"/>
        </w:rPr>
        <w:t> </w:t>
      </w:r>
      <w:r>
        <w:rPr>
          <w:color w:val="231F20"/>
        </w:rPr>
        <w:t>denominaciones religiosas asociadas a la Comunidad Interreligiosa de Washington </w:t>
      </w:r>
      <w:r>
        <w:rPr>
          <w:color w:val="231F20"/>
        </w:rPr>
        <w:t>D.C. enviaron una carta al presidente Biden.</w:t>
      </w:r>
      <w:r>
        <w:rPr>
          <w:color w:val="231F20"/>
          <w:spacing w:val="40"/>
        </w:rPr>
        <w:t> </w:t>
      </w:r>
      <w:r>
        <w:rPr>
          <w:color w:val="231F20"/>
        </w:rPr>
        <w:t>En la misiva se abordó el impacto del bloqueo y se instó a tomar medidas de flexibilización más amplias en materia de viajes, remesas y servicios consulares. Se pidió</w:t>
      </w:r>
      <w:r>
        <w:rPr>
          <w:color w:val="231F20"/>
          <w:spacing w:val="-9"/>
        </w:rPr>
        <w:t> </w:t>
      </w:r>
      <w:r>
        <w:rPr>
          <w:color w:val="231F20"/>
        </w:rPr>
        <w:t>la</w:t>
      </w:r>
      <w:r>
        <w:rPr>
          <w:color w:val="231F20"/>
          <w:spacing w:val="-9"/>
        </w:rPr>
        <w:t> </w:t>
      </w:r>
      <w:r>
        <w:rPr>
          <w:color w:val="231F20"/>
        </w:rPr>
        <w:t>eliminación</w:t>
      </w:r>
      <w:r>
        <w:rPr>
          <w:color w:val="231F20"/>
          <w:spacing w:val="-9"/>
        </w:rPr>
        <w:t> </w:t>
      </w:r>
      <w:r>
        <w:rPr>
          <w:color w:val="231F20"/>
        </w:rPr>
        <w:t>de</w:t>
      </w:r>
      <w:r>
        <w:rPr>
          <w:color w:val="231F20"/>
          <w:spacing w:val="-9"/>
        </w:rPr>
        <w:t> </w:t>
      </w:r>
      <w:r>
        <w:rPr>
          <w:color w:val="231F20"/>
        </w:rPr>
        <w:t>Cuba</w:t>
      </w:r>
      <w:r>
        <w:rPr>
          <w:color w:val="231F20"/>
          <w:spacing w:val="-9"/>
        </w:rPr>
        <w:t> </w:t>
      </w:r>
      <w:r>
        <w:rPr>
          <w:color w:val="231F20"/>
        </w:rPr>
        <w:t>de</w:t>
      </w:r>
      <w:r>
        <w:rPr>
          <w:color w:val="231F20"/>
          <w:spacing w:val="-9"/>
        </w:rPr>
        <w:t> </w:t>
      </w:r>
      <w:r>
        <w:rPr>
          <w:color w:val="231F20"/>
        </w:rPr>
        <w:t>la</w:t>
      </w:r>
      <w:r>
        <w:rPr>
          <w:color w:val="231F20"/>
          <w:spacing w:val="-9"/>
        </w:rPr>
        <w:t> </w:t>
      </w:r>
      <w:r>
        <w:rPr>
          <w:color w:val="231F20"/>
        </w:rPr>
        <w:t>Lista</w:t>
      </w:r>
      <w:r>
        <w:rPr>
          <w:color w:val="231F20"/>
          <w:spacing w:val="-9"/>
        </w:rPr>
        <w:t> </w:t>
      </w:r>
      <w:r>
        <w:rPr>
          <w:color w:val="231F20"/>
        </w:rPr>
        <w:t>de Estados Patrocinadores del Terrorismo.</w:t>
      </w:r>
    </w:p>
    <w:p>
      <w:pPr>
        <w:pStyle w:val="BodyText"/>
        <w:spacing w:before="169"/>
        <w:ind w:left="412" w:right="1129"/>
      </w:pPr>
      <w:r>
        <w:rPr>
          <w:b/>
          <w:color w:val="B52628"/>
        </w:rPr>
        <w:t>El 31 de julio de 2022, </w:t>
      </w:r>
      <w:r>
        <w:rPr>
          <w:color w:val="231F20"/>
        </w:rPr>
        <w:t>se desarrollaron </w:t>
      </w:r>
      <w:r>
        <w:rPr>
          <w:color w:val="231F20"/>
          <w:spacing w:val="-2"/>
        </w:rPr>
        <w:t>variasiniciativasparaexigirellevantamiento </w:t>
      </w:r>
      <w:r>
        <w:rPr>
          <w:color w:val="231F20"/>
        </w:rPr>
        <w:t>del bloqueo a Cuba en varias ciudades</w:t>
      </w:r>
      <w:r>
        <w:rPr>
          <w:color w:val="231F20"/>
          <w:spacing w:val="80"/>
        </w:rPr>
        <w:t> </w:t>
      </w:r>
      <w:r>
        <w:rPr>
          <w:color w:val="231F20"/>
        </w:rPr>
        <w:t>de los Estados Unidos, incluidas Seattle, Baltimore,</w:t>
      </w:r>
      <w:r>
        <w:rPr>
          <w:color w:val="231F20"/>
          <w:spacing w:val="-13"/>
        </w:rPr>
        <w:t> </w:t>
      </w:r>
      <w:r>
        <w:rPr>
          <w:color w:val="231F20"/>
        </w:rPr>
        <w:t>Milwaukee,</w:t>
      </w:r>
      <w:r>
        <w:rPr>
          <w:color w:val="231F20"/>
          <w:spacing w:val="-13"/>
        </w:rPr>
        <w:t> </w:t>
      </w:r>
      <w:r>
        <w:rPr>
          <w:color w:val="231F20"/>
        </w:rPr>
        <w:t>Los</w:t>
      </w:r>
      <w:r>
        <w:rPr>
          <w:color w:val="231F20"/>
          <w:spacing w:val="-13"/>
        </w:rPr>
        <w:t> </w:t>
      </w:r>
      <w:r>
        <w:rPr>
          <w:color w:val="231F20"/>
        </w:rPr>
        <w:t>Ángeles,</w:t>
      </w:r>
      <w:r>
        <w:rPr>
          <w:color w:val="231F20"/>
          <w:spacing w:val="-13"/>
        </w:rPr>
        <w:t> </w:t>
      </w:r>
      <w:r>
        <w:rPr>
          <w:color w:val="231F20"/>
        </w:rPr>
        <w:t>Nueva York, Miami y Oklahoma.</w:t>
      </w:r>
    </w:p>
    <w:p>
      <w:pPr>
        <w:pStyle w:val="BodyText"/>
        <w:spacing w:before="165"/>
        <w:ind w:left="412" w:right="1130"/>
      </w:pPr>
      <w:r>
        <w:rPr>
          <w:b/>
          <w:color w:val="B52628"/>
          <w:spacing w:val="-12"/>
        </w:rPr>
        <w:t>El</w:t>
      </w:r>
      <w:r>
        <w:rPr>
          <w:b/>
          <w:color w:val="B52628"/>
          <w:spacing w:val="-5"/>
        </w:rPr>
        <w:t> </w:t>
      </w:r>
      <w:r>
        <w:rPr>
          <w:b/>
          <w:color w:val="B52628"/>
          <w:spacing w:val="-12"/>
        </w:rPr>
        <w:t>8</w:t>
      </w:r>
      <w:r>
        <w:rPr>
          <w:b/>
          <w:color w:val="B52628"/>
          <w:spacing w:val="-5"/>
        </w:rPr>
        <w:t> </w:t>
      </w:r>
      <w:r>
        <w:rPr>
          <w:b/>
          <w:color w:val="B52628"/>
          <w:spacing w:val="-12"/>
        </w:rPr>
        <w:t>de</w:t>
      </w:r>
      <w:r>
        <w:rPr>
          <w:b/>
          <w:color w:val="B52628"/>
          <w:spacing w:val="-4"/>
        </w:rPr>
        <w:t> </w:t>
      </w:r>
      <w:r>
        <w:rPr>
          <w:b/>
          <w:color w:val="B52628"/>
          <w:spacing w:val="-12"/>
        </w:rPr>
        <w:t>agosto</w:t>
      </w:r>
      <w:r>
        <w:rPr>
          <w:b/>
          <w:color w:val="B52628"/>
          <w:spacing w:val="-5"/>
        </w:rPr>
        <w:t> </w:t>
      </w:r>
      <w:r>
        <w:rPr>
          <w:b/>
          <w:color w:val="B52628"/>
          <w:spacing w:val="-12"/>
        </w:rPr>
        <w:t>de</w:t>
      </w:r>
      <w:r>
        <w:rPr>
          <w:b/>
          <w:color w:val="B52628"/>
          <w:spacing w:val="1"/>
        </w:rPr>
        <w:t> </w:t>
      </w:r>
      <w:r>
        <w:rPr>
          <w:b/>
          <w:color w:val="B52628"/>
          <w:spacing w:val="-12"/>
        </w:rPr>
        <w:t>2022,</w:t>
      </w:r>
      <w:r>
        <w:rPr>
          <w:b/>
          <w:color w:val="B52628"/>
          <w:spacing w:val="-5"/>
        </w:rPr>
        <w:t> </w:t>
      </w:r>
      <w:r>
        <w:rPr>
          <w:color w:val="231F20"/>
          <w:spacing w:val="-12"/>
        </w:rPr>
        <w:t>un</w:t>
      </w:r>
      <w:r>
        <w:rPr>
          <w:color w:val="231F20"/>
          <w:spacing w:val="-4"/>
        </w:rPr>
        <w:t> </w:t>
      </w:r>
      <w:r>
        <w:rPr>
          <w:color w:val="231F20"/>
          <w:spacing w:val="-12"/>
        </w:rPr>
        <w:t>grupo</w:t>
      </w:r>
      <w:r>
        <w:rPr>
          <w:color w:val="231F20"/>
          <w:spacing w:val="-5"/>
        </w:rPr>
        <w:t> </w:t>
      </w:r>
      <w:r>
        <w:rPr>
          <w:color w:val="231F20"/>
          <w:spacing w:val="-12"/>
        </w:rPr>
        <w:t>de</w:t>
      </w:r>
      <w:r>
        <w:rPr>
          <w:color w:val="231F20"/>
          <w:spacing w:val="-4"/>
        </w:rPr>
        <w:t> </w:t>
      </w:r>
      <w:r>
        <w:rPr>
          <w:color w:val="231F20"/>
          <w:spacing w:val="-12"/>
        </w:rPr>
        <w:t>artistas, </w:t>
      </w:r>
      <w:r>
        <w:rPr>
          <w:color w:val="231F20"/>
          <w:spacing w:val="-4"/>
        </w:rPr>
        <w:t>intelectuales,</w:t>
      </w:r>
      <w:r>
        <w:rPr>
          <w:color w:val="231F20"/>
          <w:spacing w:val="-4"/>
        </w:rPr>
        <w:t> políticos,</w:t>
      </w:r>
      <w:r>
        <w:rPr>
          <w:color w:val="231F20"/>
          <w:spacing w:val="-4"/>
        </w:rPr>
        <w:t> científicos,</w:t>
      </w:r>
      <w:r>
        <w:rPr>
          <w:color w:val="231F20"/>
          <w:spacing w:val="-4"/>
        </w:rPr>
        <w:t> activistas </w:t>
      </w:r>
      <w:r>
        <w:rPr>
          <w:color w:val="231F20"/>
        </w:rPr>
        <w:t>y</w:t>
      </w:r>
      <w:r>
        <w:rPr>
          <w:color w:val="231F20"/>
          <w:spacing w:val="-17"/>
        </w:rPr>
        <w:t> </w:t>
      </w:r>
      <w:r>
        <w:rPr>
          <w:color w:val="231F20"/>
        </w:rPr>
        <w:t>religiosos</w:t>
      </w:r>
      <w:r>
        <w:rPr>
          <w:color w:val="231F20"/>
          <w:spacing w:val="-16"/>
        </w:rPr>
        <w:t> </w:t>
      </w:r>
      <w:r>
        <w:rPr>
          <w:color w:val="231F20"/>
        </w:rPr>
        <w:t>estadounidenses</w:t>
      </w:r>
      <w:r>
        <w:rPr>
          <w:color w:val="231F20"/>
          <w:spacing w:val="-17"/>
        </w:rPr>
        <w:t> </w:t>
      </w:r>
      <w:r>
        <w:rPr>
          <w:color w:val="231F20"/>
        </w:rPr>
        <w:t>enviaron</w:t>
      </w:r>
      <w:r>
        <w:rPr>
          <w:color w:val="231F20"/>
          <w:spacing w:val="-16"/>
        </w:rPr>
        <w:t> </w:t>
      </w:r>
      <w:r>
        <w:rPr>
          <w:color w:val="231F20"/>
        </w:rPr>
        <w:t>una carta</w:t>
      </w:r>
      <w:r>
        <w:rPr>
          <w:color w:val="231F20"/>
          <w:spacing w:val="-14"/>
        </w:rPr>
        <w:t> </w:t>
      </w:r>
      <w:r>
        <w:rPr>
          <w:color w:val="231F20"/>
        </w:rPr>
        <w:t>al</w:t>
      </w:r>
      <w:r>
        <w:rPr>
          <w:color w:val="231F20"/>
          <w:spacing w:val="-14"/>
        </w:rPr>
        <w:t> </w:t>
      </w:r>
      <w:r>
        <w:rPr>
          <w:color w:val="231F20"/>
        </w:rPr>
        <w:t>presidente</w:t>
      </w:r>
      <w:r>
        <w:rPr>
          <w:color w:val="231F20"/>
          <w:spacing w:val="-14"/>
        </w:rPr>
        <w:t> </w:t>
      </w:r>
      <w:r>
        <w:rPr>
          <w:color w:val="231F20"/>
        </w:rPr>
        <w:t>Biden,</w:t>
      </w:r>
      <w:r>
        <w:rPr>
          <w:color w:val="231F20"/>
          <w:spacing w:val="-14"/>
        </w:rPr>
        <w:t> </w:t>
      </w:r>
      <w:r>
        <w:rPr>
          <w:color w:val="231F20"/>
        </w:rPr>
        <w:t>mediante</w:t>
      </w:r>
      <w:r>
        <w:rPr>
          <w:color w:val="231F20"/>
          <w:spacing w:val="-14"/>
        </w:rPr>
        <w:t> </w:t>
      </w:r>
      <w:r>
        <w:rPr>
          <w:color w:val="231F20"/>
        </w:rPr>
        <w:t>la</w:t>
      </w:r>
      <w:r>
        <w:rPr>
          <w:color w:val="231F20"/>
          <w:spacing w:val="-14"/>
        </w:rPr>
        <w:t> </w:t>
      </w:r>
      <w:r>
        <w:rPr>
          <w:color w:val="231F20"/>
        </w:rPr>
        <w:t>cual </w:t>
      </w:r>
      <w:r>
        <w:rPr>
          <w:color w:val="231F20"/>
          <w:spacing w:val="-2"/>
        </w:rPr>
        <w:t>solicitaron</w:t>
      </w:r>
      <w:r>
        <w:rPr>
          <w:color w:val="231F20"/>
          <w:spacing w:val="-15"/>
        </w:rPr>
        <w:t> </w:t>
      </w:r>
      <w:r>
        <w:rPr>
          <w:color w:val="231F20"/>
          <w:spacing w:val="-2"/>
        </w:rPr>
        <w:t>el</w:t>
      </w:r>
      <w:r>
        <w:rPr>
          <w:color w:val="231F20"/>
          <w:spacing w:val="-14"/>
        </w:rPr>
        <w:t> </w:t>
      </w:r>
      <w:r>
        <w:rPr>
          <w:color w:val="231F20"/>
          <w:spacing w:val="-2"/>
        </w:rPr>
        <w:t>rechazo</w:t>
      </w:r>
      <w:r>
        <w:rPr>
          <w:color w:val="231F20"/>
          <w:spacing w:val="-15"/>
        </w:rPr>
        <w:t> </w:t>
      </w:r>
      <w:r>
        <w:rPr>
          <w:color w:val="231F20"/>
          <w:spacing w:val="-2"/>
        </w:rPr>
        <w:t>urgente</w:t>
      </w:r>
      <w:r>
        <w:rPr>
          <w:color w:val="231F20"/>
          <w:spacing w:val="-14"/>
        </w:rPr>
        <w:t> </w:t>
      </w:r>
      <w:r>
        <w:rPr>
          <w:color w:val="231F20"/>
          <w:spacing w:val="-2"/>
        </w:rPr>
        <w:t>a</w:t>
      </w:r>
      <w:r>
        <w:rPr>
          <w:color w:val="231F20"/>
          <w:spacing w:val="-15"/>
        </w:rPr>
        <w:t> </w:t>
      </w:r>
      <w:r>
        <w:rPr>
          <w:color w:val="231F20"/>
          <w:spacing w:val="-2"/>
        </w:rPr>
        <w:t>“las</w:t>
      </w:r>
      <w:r>
        <w:rPr>
          <w:color w:val="231F20"/>
          <w:spacing w:val="-14"/>
        </w:rPr>
        <w:t> </w:t>
      </w:r>
      <w:r>
        <w:rPr>
          <w:color w:val="231F20"/>
          <w:spacing w:val="-2"/>
        </w:rPr>
        <w:t>crueles </w:t>
      </w:r>
      <w:r>
        <w:rPr>
          <w:color w:val="231F20"/>
          <w:spacing w:val="-6"/>
        </w:rPr>
        <w:t>políticas” implementadas por la Casa Blanca </w:t>
      </w:r>
      <w:r>
        <w:rPr>
          <w:color w:val="231F20"/>
        </w:rPr>
        <w:t>durante el mandato de Donald Trump. A raíz del incendio ocurrido en la Base de Supertanqueros de Matanzas, pidieron el levantamiento de las medidas coercitivas que impiden a Cuba recibir, directa </w:t>
      </w:r>
      <w:r>
        <w:rPr>
          <w:color w:val="231F20"/>
        </w:rPr>
        <w:t>o </w:t>
      </w:r>
      <w:r>
        <w:rPr>
          <w:color w:val="231F20"/>
          <w:spacing w:val="-4"/>
        </w:rPr>
        <w:t>indirectamente,</w:t>
      </w:r>
      <w:r>
        <w:rPr>
          <w:color w:val="231F20"/>
          <w:spacing w:val="-5"/>
        </w:rPr>
        <w:t> </w:t>
      </w:r>
      <w:r>
        <w:rPr>
          <w:color w:val="231F20"/>
          <w:spacing w:val="-4"/>
        </w:rPr>
        <w:t>ayuda</w:t>
      </w:r>
      <w:r>
        <w:rPr>
          <w:color w:val="231F20"/>
          <w:spacing w:val="-5"/>
        </w:rPr>
        <w:t> </w:t>
      </w:r>
      <w:r>
        <w:rPr>
          <w:color w:val="231F20"/>
          <w:spacing w:val="-4"/>
        </w:rPr>
        <w:t>médica,</w:t>
      </w:r>
      <w:r>
        <w:rPr>
          <w:color w:val="231F20"/>
          <w:spacing w:val="-5"/>
        </w:rPr>
        <w:t> </w:t>
      </w:r>
      <w:r>
        <w:rPr>
          <w:color w:val="231F20"/>
          <w:spacing w:val="-4"/>
        </w:rPr>
        <w:t>humanitaria </w:t>
      </w:r>
      <w:r>
        <w:rPr>
          <w:color w:val="231F20"/>
          <w:spacing w:val="-6"/>
        </w:rPr>
        <w:t>y</w:t>
      </w:r>
      <w:r>
        <w:rPr>
          <w:color w:val="231F20"/>
          <w:spacing w:val="-10"/>
        </w:rPr>
        <w:t> </w:t>
      </w:r>
      <w:r>
        <w:rPr>
          <w:color w:val="231F20"/>
          <w:spacing w:val="-6"/>
        </w:rPr>
        <w:t>ambiental,</w:t>
      </w:r>
      <w:r>
        <w:rPr>
          <w:color w:val="231F20"/>
          <w:spacing w:val="-10"/>
        </w:rPr>
        <w:t> </w:t>
      </w:r>
      <w:r>
        <w:rPr>
          <w:color w:val="231F20"/>
          <w:spacing w:val="-6"/>
        </w:rPr>
        <w:t>o</w:t>
      </w:r>
      <w:r>
        <w:rPr>
          <w:color w:val="231F20"/>
          <w:spacing w:val="-10"/>
        </w:rPr>
        <w:t> </w:t>
      </w:r>
      <w:r>
        <w:rPr>
          <w:color w:val="231F20"/>
          <w:spacing w:val="-6"/>
        </w:rPr>
        <w:t>asistencia</w:t>
      </w:r>
      <w:r>
        <w:rPr>
          <w:color w:val="231F20"/>
          <w:spacing w:val="-10"/>
        </w:rPr>
        <w:t> </w:t>
      </w:r>
      <w:r>
        <w:rPr>
          <w:color w:val="231F20"/>
          <w:spacing w:val="-6"/>
        </w:rPr>
        <w:t>financiera</w:t>
      </w:r>
      <w:r>
        <w:rPr>
          <w:color w:val="231F20"/>
          <w:spacing w:val="-10"/>
        </w:rPr>
        <w:t> </w:t>
      </w:r>
      <w:r>
        <w:rPr>
          <w:color w:val="231F20"/>
          <w:spacing w:val="-6"/>
        </w:rPr>
        <w:t>y</w:t>
      </w:r>
      <w:r>
        <w:rPr>
          <w:color w:val="231F20"/>
          <w:spacing w:val="-10"/>
        </w:rPr>
        <w:t> </w:t>
      </w:r>
      <w:r>
        <w:rPr>
          <w:color w:val="231F20"/>
          <w:spacing w:val="-6"/>
        </w:rPr>
        <w:t>de</w:t>
      </w:r>
      <w:r>
        <w:rPr>
          <w:color w:val="231F20"/>
          <w:spacing w:val="-10"/>
        </w:rPr>
        <w:t> </w:t>
      </w:r>
      <w:r>
        <w:rPr>
          <w:color w:val="231F20"/>
          <w:spacing w:val="-6"/>
        </w:rPr>
        <w:t>otro </w:t>
      </w:r>
      <w:r>
        <w:rPr>
          <w:color w:val="231F20"/>
        </w:rPr>
        <w:t>tipo desde los Estados Unidos. También </w:t>
      </w:r>
      <w:r>
        <w:rPr>
          <w:color w:val="231F20"/>
          <w:spacing w:val="-8"/>
        </w:rPr>
        <w:t>instaron</w:t>
      </w:r>
      <w:r>
        <w:rPr>
          <w:color w:val="231F20"/>
          <w:spacing w:val="-9"/>
        </w:rPr>
        <w:t> </w:t>
      </w:r>
      <w:r>
        <w:rPr>
          <w:color w:val="231F20"/>
          <w:spacing w:val="-8"/>
        </w:rPr>
        <w:t>a sacar</w:t>
      </w:r>
      <w:r>
        <w:rPr>
          <w:color w:val="231F20"/>
          <w:spacing w:val="-9"/>
        </w:rPr>
        <w:t> </w:t>
      </w:r>
      <w:r>
        <w:rPr>
          <w:color w:val="231F20"/>
          <w:spacing w:val="-8"/>
        </w:rPr>
        <w:t>a Cuba</w:t>
      </w:r>
      <w:r>
        <w:rPr>
          <w:color w:val="231F20"/>
          <w:spacing w:val="-9"/>
        </w:rPr>
        <w:t> </w:t>
      </w:r>
      <w:r>
        <w:rPr>
          <w:color w:val="231F20"/>
          <w:spacing w:val="-8"/>
        </w:rPr>
        <w:t>de la</w:t>
      </w:r>
      <w:r>
        <w:rPr>
          <w:color w:val="231F20"/>
          <w:spacing w:val="-9"/>
        </w:rPr>
        <w:t> </w:t>
      </w:r>
      <w:r>
        <w:rPr>
          <w:color w:val="231F20"/>
          <w:spacing w:val="-8"/>
        </w:rPr>
        <w:t>Lista de Estados </w:t>
      </w:r>
      <w:r>
        <w:rPr>
          <w:color w:val="231F20"/>
        </w:rPr>
        <w:t>Patrocinadores</w:t>
      </w:r>
      <w:r>
        <w:rPr>
          <w:color w:val="231F20"/>
          <w:spacing w:val="-12"/>
        </w:rPr>
        <w:t> </w:t>
      </w:r>
      <w:r>
        <w:rPr>
          <w:color w:val="231F20"/>
        </w:rPr>
        <w:t>del</w:t>
      </w:r>
      <w:r>
        <w:rPr>
          <w:color w:val="231F20"/>
          <w:spacing w:val="-12"/>
        </w:rPr>
        <w:t> </w:t>
      </w:r>
      <w:r>
        <w:rPr>
          <w:color w:val="231F20"/>
        </w:rPr>
        <w:t>Terrorismo.</w:t>
      </w:r>
    </w:p>
    <w:p>
      <w:pPr>
        <w:spacing w:before="172"/>
        <w:ind w:left="412" w:right="1131" w:firstLine="0"/>
        <w:jc w:val="both"/>
        <w:rPr>
          <w:sz w:val="24"/>
        </w:rPr>
      </w:pPr>
      <w:r>
        <w:rPr>
          <w:b/>
          <w:color w:val="B52628"/>
          <w:sz w:val="24"/>
        </w:rPr>
        <w:t>El 8 de agosto de 2022, </w:t>
      </w:r>
      <w:r>
        <w:rPr>
          <w:color w:val="231F20"/>
          <w:sz w:val="24"/>
        </w:rPr>
        <w:t>organizaciones de los Estados Unidos enviaron una misiva</w:t>
      </w:r>
      <w:r>
        <w:rPr>
          <w:color w:val="231F20"/>
          <w:spacing w:val="5"/>
          <w:sz w:val="24"/>
        </w:rPr>
        <w:t> </w:t>
      </w:r>
      <w:r>
        <w:rPr>
          <w:color w:val="231F20"/>
          <w:sz w:val="24"/>
        </w:rPr>
        <w:t>al</w:t>
      </w:r>
      <w:r>
        <w:rPr>
          <w:color w:val="231F20"/>
          <w:spacing w:val="6"/>
          <w:sz w:val="24"/>
        </w:rPr>
        <w:t> </w:t>
      </w:r>
      <w:r>
        <w:rPr>
          <w:color w:val="231F20"/>
          <w:sz w:val="24"/>
        </w:rPr>
        <w:t>presidente</w:t>
      </w:r>
      <w:r>
        <w:rPr>
          <w:color w:val="231F20"/>
          <w:spacing w:val="5"/>
          <w:sz w:val="24"/>
        </w:rPr>
        <w:t> </w:t>
      </w:r>
      <w:r>
        <w:rPr>
          <w:color w:val="231F20"/>
          <w:sz w:val="24"/>
        </w:rPr>
        <w:t>Biden</w:t>
      </w:r>
      <w:r>
        <w:rPr>
          <w:color w:val="231F20"/>
          <w:spacing w:val="6"/>
          <w:sz w:val="24"/>
        </w:rPr>
        <w:t> </w:t>
      </w:r>
      <w:r>
        <w:rPr>
          <w:color w:val="231F20"/>
          <w:sz w:val="24"/>
        </w:rPr>
        <w:t>con</w:t>
      </w:r>
      <w:r>
        <w:rPr>
          <w:color w:val="231F20"/>
          <w:spacing w:val="5"/>
          <w:sz w:val="24"/>
        </w:rPr>
        <w:t> </w:t>
      </w:r>
      <w:r>
        <w:rPr>
          <w:color w:val="231F20"/>
          <w:sz w:val="24"/>
        </w:rPr>
        <w:t>el</w:t>
      </w:r>
      <w:r>
        <w:rPr>
          <w:color w:val="231F20"/>
          <w:spacing w:val="6"/>
          <w:sz w:val="24"/>
        </w:rPr>
        <w:t> </w:t>
      </w:r>
      <w:r>
        <w:rPr>
          <w:color w:val="231F20"/>
          <w:spacing w:val="-2"/>
          <w:sz w:val="24"/>
        </w:rPr>
        <w:t>objetivo</w:t>
      </w:r>
    </w:p>
    <w:p>
      <w:pPr>
        <w:spacing w:after="0"/>
        <w:jc w:val="both"/>
        <w:rPr>
          <w:sz w:val="24"/>
        </w:rPr>
        <w:sectPr>
          <w:pgSz w:w="11910" w:h="16840"/>
          <w:pgMar w:header="0" w:footer="695" w:top="1260" w:bottom="880" w:left="0" w:right="0"/>
          <w:cols w:num="2" w:equalWidth="0">
            <w:col w:w="5898" w:space="40"/>
            <w:col w:w="5972"/>
          </w:cols>
        </w:sectPr>
      </w:pPr>
    </w:p>
    <w:p>
      <w:pPr>
        <w:pStyle w:val="BodyText"/>
        <w:spacing w:before="77"/>
        <w:ind w:left="1133"/>
      </w:pPr>
      <w:r>
        <w:rPr>
          <w:color w:val="231F20"/>
        </w:rPr>
        <w:t>de</w:t>
      </w:r>
      <w:r>
        <w:rPr>
          <w:color w:val="231F20"/>
          <w:spacing w:val="40"/>
        </w:rPr>
        <w:t> </w:t>
      </w:r>
      <w:r>
        <w:rPr>
          <w:color w:val="231F20"/>
        </w:rPr>
        <w:t>solicitar</w:t>
      </w:r>
      <w:r>
        <w:rPr>
          <w:color w:val="231F20"/>
          <w:spacing w:val="40"/>
        </w:rPr>
        <w:t> </w:t>
      </w:r>
      <w:r>
        <w:rPr>
          <w:color w:val="231F20"/>
        </w:rPr>
        <w:t>asistencia</w:t>
      </w:r>
      <w:r>
        <w:rPr>
          <w:color w:val="231F20"/>
          <w:spacing w:val="40"/>
        </w:rPr>
        <w:t> </w:t>
      </w:r>
      <w:r>
        <w:rPr>
          <w:color w:val="231F20"/>
        </w:rPr>
        <w:t>técnica</w:t>
      </w:r>
      <w:r>
        <w:rPr>
          <w:color w:val="231F20"/>
          <w:spacing w:val="40"/>
        </w:rPr>
        <w:t> </w:t>
      </w:r>
      <w:r>
        <w:rPr>
          <w:color w:val="231F20"/>
        </w:rPr>
        <w:t>y</w:t>
      </w:r>
      <w:r>
        <w:rPr>
          <w:color w:val="231F20"/>
          <w:spacing w:val="40"/>
        </w:rPr>
        <w:t> </w:t>
      </w:r>
      <w:r>
        <w:rPr>
          <w:color w:val="231F20"/>
        </w:rPr>
        <w:t>directa de</w:t>
      </w:r>
      <w:r>
        <w:rPr>
          <w:color w:val="231F20"/>
          <w:spacing w:val="40"/>
        </w:rPr>
        <w:t> </w:t>
      </w:r>
      <w:r>
        <w:rPr>
          <w:color w:val="231F20"/>
        </w:rPr>
        <w:t>socorro</w:t>
      </w:r>
      <w:r>
        <w:rPr>
          <w:color w:val="231F20"/>
          <w:spacing w:val="40"/>
        </w:rPr>
        <w:t> </w:t>
      </w:r>
      <w:r>
        <w:rPr>
          <w:color w:val="231F20"/>
        </w:rPr>
        <w:t>a</w:t>
      </w:r>
      <w:r>
        <w:rPr>
          <w:color w:val="231F20"/>
          <w:spacing w:val="40"/>
        </w:rPr>
        <w:t> </w:t>
      </w:r>
      <w:r>
        <w:rPr>
          <w:color w:val="231F20"/>
        </w:rPr>
        <w:t>Cuba</w:t>
      </w:r>
      <w:r>
        <w:rPr>
          <w:color w:val="231F20"/>
          <w:spacing w:val="40"/>
        </w:rPr>
        <w:t> </w:t>
      </w:r>
      <w:r>
        <w:rPr>
          <w:color w:val="231F20"/>
        </w:rPr>
        <w:t>y</w:t>
      </w:r>
      <w:r>
        <w:rPr>
          <w:color w:val="231F20"/>
          <w:spacing w:val="40"/>
        </w:rPr>
        <w:t> </w:t>
      </w:r>
      <w:r>
        <w:rPr>
          <w:color w:val="231F20"/>
        </w:rPr>
        <w:t>la</w:t>
      </w:r>
      <w:r>
        <w:rPr>
          <w:color w:val="231F20"/>
          <w:spacing w:val="40"/>
        </w:rPr>
        <w:t> </w:t>
      </w:r>
      <w:r>
        <w:rPr>
          <w:color w:val="231F20"/>
        </w:rPr>
        <w:t>suspensión</w:t>
      </w:r>
      <w:r>
        <w:rPr>
          <w:color w:val="231F20"/>
          <w:spacing w:val="40"/>
        </w:rPr>
        <w:t> </w:t>
      </w:r>
      <w:r>
        <w:rPr>
          <w:color w:val="231F20"/>
        </w:rPr>
        <w:t>de las medidas coercitivas para facilitar la respuesta y recuperación tras el siniestro </w:t>
      </w:r>
      <w:r>
        <w:rPr>
          <w:color w:val="231F20"/>
          <w:spacing w:val="-4"/>
        </w:rPr>
        <w:t>en</w:t>
      </w:r>
      <w:r>
        <w:rPr>
          <w:color w:val="231F20"/>
          <w:spacing w:val="-13"/>
        </w:rPr>
        <w:t> </w:t>
      </w:r>
      <w:r>
        <w:rPr>
          <w:color w:val="231F20"/>
          <w:spacing w:val="-4"/>
        </w:rPr>
        <w:t>la</w:t>
      </w:r>
      <w:r>
        <w:rPr>
          <w:color w:val="231F20"/>
          <w:spacing w:val="-12"/>
        </w:rPr>
        <w:t> </w:t>
      </w:r>
      <w:r>
        <w:rPr>
          <w:color w:val="231F20"/>
          <w:spacing w:val="-4"/>
        </w:rPr>
        <w:t>Base</w:t>
      </w:r>
      <w:r>
        <w:rPr>
          <w:color w:val="231F20"/>
          <w:spacing w:val="-13"/>
        </w:rPr>
        <w:t> </w:t>
      </w:r>
      <w:r>
        <w:rPr>
          <w:color w:val="231F20"/>
          <w:spacing w:val="-4"/>
        </w:rPr>
        <w:t>de</w:t>
      </w:r>
      <w:r>
        <w:rPr>
          <w:color w:val="231F20"/>
          <w:spacing w:val="-12"/>
        </w:rPr>
        <w:t> </w:t>
      </w:r>
      <w:r>
        <w:rPr>
          <w:color w:val="231F20"/>
          <w:spacing w:val="-4"/>
        </w:rPr>
        <w:t>Supertanqueros</w:t>
      </w:r>
      <w:r>
        <w:rPr>
          <w:color w:val="231F20"/>
          <w:spacing w:val="-13"/>
        </w:rPr>
        <w:t> </w:t>
      </w:r>
      <w:r>
        <w:rPr>
          <w:color w:val="231F20"/>
          <w:spacing w:val="-4"/>
        </w:rPr>
        <w:t>de</w:t>
      </w:r>
      <w:r>
        <w:rPr>
          <w:color w:val="231F20"/>
          <w:spacing w:val="-12"/>
        </w:rPr>
        <w:t> </w:t>
      </w:r>
      <w:r>
        <w:rPr>
          <w:color w:val="231F20"/>
          <w:spacing w:val="-4"/>
        </w:rPr>
        <w:t>Matanzas. </w:t>
      </w:r>
      <w:r>
        <w:rPr>
          <w:color w:val="231F20"/>
        </w:rPr>
        <w:t>Los firmantes incluyeron al Centro para la Democracia en las Américas (CDA), Cuba Puentes Inc., Cuba Partners Network, la </w:t>
      </w:r>
      <w:r>
        <w:rPr>
          <w:color w:val="231F20"/>
          <w:spacing w:val="-2"/>
        </w:rPr>
        <w:t>Iglesia</w:t>
      </w:r>
      <w:r>
        <w:rPr>
          <w:color w:val="231F20"/>
          <w:spacing w:val="-15"/>
        </w:rPr>
        <w:t> </w:t>
      </w:r>
      <w:r>
        <w:rPr>
          <w:color w:val="231F20"/>
          <w:spacing w:val="-2"/>
        </w:rPr>
        <w:t>Presbiteriana</w:t>
      </w:r>
      <w:r>
        <w:rPr>
          <w:color w:val="231F20"/>
          <w:spacing w:val="-14"/>
        </w:rPr>
        <w:t> </w:t>
      </w:r>
      <w:r>
        <w:rPr>
          <w:color w:val="231F20"/>
          <w:spacing w:val="-2"/>
        </w:rPr>
        <w:t>de</w:t>
      </w:r>
      <w:r>
        <w:rPr>
          <w:color w:val="231F20"/>
          <w:spacing w:val="-15"/>
        </w:rPr>
        <w:t> </w:t>
      </w:r>
      <w:r>
        <w:rPr>
          <w:color w:val="231F20"/>
          <w:spacing w:val="-2"/>
        </w:rPr>
        <w:t>los</w:t>
      </w:r>
      <w:r>
        <w:rPr>
          <w:color w:val="231F20"/>
          <w:spacing w:val="-14"/>
        </w:rPr>
        <w:t> </w:t>
      </w:r>
      <w:r>
        <w:rPr>
          <w:color w:val="231F20"/>
          <w:spacing w:val="-2"/>
        </w:rPr>
        <w:t>Estados</w:t>
      </w:r>
      <w:r>
        <w:rPr>
          <w:color w:val="231F20"/>
          <w:spacing w:val="-15"/>
        </w:rPr>
        <w:t> </w:t>
      </w:r>
      <w:r>
        <w:rPr>
          <w:color w:val="231F20"/>
          <w:spacing w:val="-2"/>
        </w:rPr>
        <w:t>Unidos, </w:t>
      </w:r>
      <w:r>
        <w:rPr>
          <w:color w:val="231F20"/>
        </w:rPr>
        <w:t>Cuba Study Group, CubaOne Foundation, la Oficina de Washington para América Latina (WOLA), la Alianza de Bautistas, entre otras.</w:t>
      </w:r>
    </w:p>
    <w:p>
      <w:pPr>
        <w:pStyle w:val="BodyText"/>
        <w:spacing w:before="170"/>
        <w:ind w:left="1133" w:right="1"/>
      </w:pPr>
      <w:r>
        <w:rPr>
          <w:b/>
          <w:color w:val="B52628"/>
        </w:rPr>
        <w:t>El 10 de agosto de 2022, </w:t>
      </w:r>
      <w:r>
        <w:rPr>
          <w:color w:val="231F20"/>
        </w:rPr>
        <w:t>el presidente del Comité de Asuntos Exteriores de la Cámara de Representantes del gobierno de</w:t>
      </w:r>
      <w:r>
        <w:rPr>
          <w:color w:val="231F20"/>
          <w:spacing w:val="-1"/>
        </w:rPr>
        <w:t> </w:t>
      </w:r>
      <w:r>
        <w:rPr>
          <w:color w:val="231F20"/>
        </w:rPr>
        <w:t>los</w:t>
      </w:r>
      <w:r>
        <w:rPr>
          <w:color w:val="231F20"/>
          <w:spacing w:val="-1"/>
        </w:rPr>
        <w:t> </w:t>
      </w:r>
      <w:r>
        <w:rPr>
          <w:color w:val="231F20"/>
        </w:rPr>
        <w:t>Estados</w:t>
      </w:r>
      <w:r>
        <w:rPr>
          <w:color w:val="231F20"/>
          <w:spacing w:val="-1"/>
        </w:rPr>
        <w:t> </w:t>
      </w:r>
      <w:r>
        <w:rPr>
          <w:color w:val="231F20"/>
        </w:rPr>
        <w:t>Unidos,</w:t>
      </w:r>
      <w:r>
        <w:rPr>
          <w:color w:val="231F20"/>
          <w:spacing w:val="-1"/>
        </w:rPr>
        <w:t> </w:t>
      </w:r>
      <w:r>
        <w:rPr>
          <w:color w:val="231F20"/>
        </w:rPr>
        <w:t>Gregory</w:t>
      </w:r>
      <w:r>
        <w:rPr>
          <w:color w:val="231F20"/>
          <w:spacing w:val="-1"/>
        </w:rPr>
        <w:t> </w:t>
      </w:r>
      <w:r>
        <w:rPr>
          <w:color w:val="231F20"/>
        </w:rPr>
        <w:t>W.</w:t>
      </w:r>
      <w:r>
        <w:rPr>
          <w:color w:val="231F20"/>
          <w:spacing w:val="-1"/>
        </w:rPr>
        <w:t> </w:t>
      </w:r>
      <w:r>
        <w:rPr>
          <w:color w:val="231F20"/>
        </w:rPr>
        <w:t>Meeks (D-NY), junto con la presidenta </w:t>
      </w:r>
      <w:r>
        <w:rPr>
          <w:color w:val="231F20"/>
        </w:rPr>
        <w:t>del Subcomité de Asignaciones de la Cámara sobre</w:t>
      </w:r>
      <w:r>
        <w:rPr>
          <w:color w:val="231F20"/>
          <w:spacing w:val="-7"/>
        </w:rPr>
        <w:t> </w:t>
      </w:r>
      <w:r>
        <w:rPr>
          <w:color w:val="231F20"/>
        </w:rPr>
        <w:t>Operaciones</w:t>
      </w:r>
      <w:r>
        <w:rPr>
          <w:color w:val="231F20"/>
          <w:spacing w:val="-7"/>
        </w:rPr>
        <w:t> </w:t>
      </w:r>
      <w:r>
        <w:rPr>
          <w:color w:val="231F20"/>
        </w:rPr>
        <w:t>Estatales</w:t>
      </w:r>
      <w:r>
        <w:rPr>
          <w:color w:val="231F20"/>
          <w:spacing w:val="-7"/>
        </w:rPr>
        <w:t> </w:t>
      </w:r>
      <w:r>
        <w:rPr>
          <w:color w:val="231F20"/>
        </w:rPr>
        <w:t>y</w:t>
      </w:r>
      <w:r>
        <w:rPr>
          <w:color w:val="231F20"/>
          <w:spacing w:val="-7"/>
        </w:rPr>
        <w:t> </w:t>
      </w:r>
      <w:r>
        <w:rPr>
          <w:color w:val="231F20"/>
        </w:rPr>
        <w:t>Extranjeras, Barbara Lee (D-CA), y el presidente del Comité</w:t>
      </w:r>
      <w:r>
        <w:rPr>
          <w:color w:val="231F20"/>
          <w:spacing w:val="-7"/>
        </w:rPr>
        <w:t> </w:t>
      </w:r>
      <w:r>
        <w:rPr>
          <w:color w:val="231F20"/>
        </w:rPr>
        <w:t>de</w:t>
      </w:r>
      <w:r>
        <w:rPr>
          <w:color w:val="231F20"/>
          <w:spacing w:val="-8"/>
        </w:rPr>
        <w:t> </w:t>
      </w:r>
      <w:r>
        <w:rPr>
          <w:color w:val="231F20"/>
        </w:rPr>
        <w:t>Reglas,</w:t>
      </w:r>
      <w:r>
        <w:rPr>
          <w:color w:val="231F20"/>
          <w:spacing w:val="-7"/>
        </w:rPr>
        <w:t> </w:t>
      </w:r>
      <w:r>
        <w:rPr>
          <w:color w:val="231F20"/>
        </w:rPr>
        <w:t>James</w:t>
      </w:r>
      <w:r>
        <w:rPr>
          <w:color w:val="231F20"/>
          <w:spacing w:val="-7"/>
        </w:rPr>
        <w:t> </w:t>
      </w:r>
      <w:r>
        <w:rPr>
          <w:color w:val="231F20"/>
        </w:rPr>
        <w:t>P.</w:t>
      </w:r>
      <w:r>
        <w:rPr>
          <w:color w:val="231F20"/>
          <w:spacing w:val="-7"/>
        </w:rPr>
        <w:t> </w:t>
      </w:r>
      <w:r>
        <w:rPr>
          <w:color w:val="231F20"/>
        </w:rPr>
        <w:t>McGovern</w:t>
      </w:r>
      <w:r>
        <w:rPr>
          <w:color w:val="231F20"/>
          <w:spacing w:val="-8"/>
        </w:rPr>
        <w:t> </w:t>
      </w:r>
      <w:r>
        <w:rPr>
          <w:color w:val="231F20"/>
        </w:rPr>
        <w:t>(D- MA), emitieron un comunicado conjunto para solicitar al gobierno de Biden el envío</w:t>
      </w:r>
      <w:r>
        <w:rPr>
          <w:color w:val="231F20"/>
          <w:spacing w:val="-10"/>
        </w:rPr>
        <w:t> </w:t>
      </w:r>
      <w:r>
        <w:rPr>
          <w:color w:val="231F20"/>
        </w:rPr>
        <w:t>de</w:t>
      </w:r>
      <w:r>
        <w:rPr>
          <w:color w:val="231F20"/>
          <w:spacing w:val="-10"/>
        </w:rPr>
        <w:t> </w:t>
      </w:r>
      <w:r>
        <w:rPr>
          <w:color w:val="231F20"/>
        </w:rPr>
        <w:t>asistencia</w:t>
      </w:r>
      <w:r>
        <w:rPr>
          <w:color w:val="231F20"/>
          <w:spacing w:val="-10"/>
        </w:rPr>
        <w:t> </w:t>
      </w:r>
      <w:r>
        <w:rPr>
          <w:color w:val="231F20"/>
        </w:rPr>
        <w:t>a</w:t>
      </w:r>
      <w:r>
        <w:rPr>
          <w:color w:val="231F20"/>
          <w:spacing w:val="-10"/>
        </w:rPr>
        <w:t> </w:t>
      </w:r>
      <w:r>
        <w:rPr>
          <w:color w:val="231F20"/>
        </w:rPr>
        <w:t>Cuba</w:t>
      </w:r>
      <w:r>
        <w:rPr>
          <w:color w:val="231F20"/>
          <w:spacing w:val="-10"/>
        </w:rPr>
        <w:t> </w:t>
      </w:r>
      <w:r>
        <w:rPr>
          <w:color w:val="231F20"/>
        </w:rPr>
        <w:t>tras</w:t>
      </w:r>
      <w:r>
        <w:rPr>
          <w:color w:val="231F20"/>
          <w:spacing w:val="-10"/>
        </w:rPr>
        <w:t> </w:t>
      </w:r>
      <w:r>
        <w:rPr>
          <w:color w:val="231F20"/>
        </w:rPr>
        <w:t>el</w:t>
      </w:r>
      <w:r>
        <w:rPr>
          <w:color w:val="231F20"/>
          <w:spacing w:val="-10"/>
        </w:rPr>
        <w:t> </w:t>
      </w:r>
      <w:r>
        <w:rPr>
          <w:color w:val="231F20"/>
        </w:rPr>
        <w:t>siniestro ocurrido en la Base de Supertanqueros</w:t>
      </w:r>
      <w:r>
        <w:rPr>
          <w:color w:val="231F20"/>
          <w:spacing w:val="40"/>
        </w:rPr>
        <w:t> </w:t>
      </w:r>
      <w:r>
        <w:rPr>
          <w:color w:val="231F20"/>
        </w:rPr>
        <w:t>de</w:t>
      </w:r>
      <w:r>
        <w:rPr>
          <w:color w:val="231F20"/>
          <w:spacing w:val="40"/>
        </w:rPr>
        <w:t> </w:t>
      </w:r>
      <w:r>
        <w:rPr>
          <w:color w:val="231F20"/>
        </w:rPr>
        <w:t>Matanzas.</w:t>
      </w:r>
      <w:r>
        <w:rPr>
          <w:color w:val="231F20"/>
          <w:spacing w:val="40"/>
        </w:rPr>
        <w:t> </w:t>
      </w:r>
      <w:r>
        <w:rPr>
          <w:color w:val="231F20"/>
        </w:rPr>
        <w:t>Los</w:t>
      </w:r>
      <w:r>
        <w:rPr>
          <w:color w:val="231F20"/>
          <w:spacing w:val="40"/>
        </w:rPr>
        <w:t> </w:t>
      </w:r>
      <w:r>
        <w:rPr>
          <w:color w:val="231F20"/>
        </w:rPr>
        <w:t>legisladores</w:t>
      </w:r>
      <w:r>
        <w:rPr>
          <w:color w:val="231F20"/>
          <w:spacing w:val="40"/>
        </w:rPr>
        <w:t> </w:t>
      </w:r>
      <w:r>
        <w:rPr>
          <w:color w:val="231F20"/>
        </w:rPr>
        <w:t>pidieron la suspensión temporal de las medidas coercitivas contra Cuba.</w:t>
      </w:r>
    </w:p>
    <w:p>
      <w:pPr>
        <w:pStyle w:val="BodyText"/>
        <w:spacing w:before="172"/>
        <w:ind w:left="1133" w:right="1"/>
      </w:pPr>
      <w:r>
        <w:rPr>
          <w:b/>
          <w:color w:val="B52628"/>
        </w:rPr>
        <w:t>El</w:t>
      </w:r>
      <w:r>
        <w:rPr>
          <w:b/>
          <w:color w:val="B52628"/>
          <w:spacing w:val="-2"/>
        </w:rPr>
        <w:t> </w:t>
      </w:r>
      <w:r>
        <w:rPr>
          <w:b/>
          <w:color w:val="B52628"/>
        </w:rPr>
        <w:t>11</w:t>
      </w:r>
      <w:r>
        <w:rPr>
          <w:b/>
          <w:color w:val="B52628"/>
          <w:spacing w:val="-2"/>
        </w:rPr>
        <w:t> </w:t>
      </w:r>
      <w:r>
        <w:rPr>
          <w:b/>
          <w:color w:val="B52628"/>
        </w:rPr>
        <w:t>de</w:t>
      </w:r>
      <w:r>
        <w:rPr>
          <w:b/>
          <w:color w:val="B52628"/>
          <w:spacing w:val="-2"/>
        </w:rPr>
        <w:t> </w:t>
      </w:r>
      <w:r>
        <w:rPr>
          <w:b/>
          <w:color w:val="B52628"/>
        </w:rPr>
        <w:t>agosto</w:t>
      </w:r>
      <w:r>
        <w:rPr>
          <w:b/>
          <w:color w:val="B52628"/>
          <w:spacing w:val="-2"/>
        </w:rPr>
        <w:t> </w:t>
      </w:r>
      <w:r>
        <w:rPr>
          <w:b/>
          <w:color w:val="B52628"/>
        </w:rPr>
        <w:t>de</w:t>
      </w:r>
      <w:r>
        <w:rPr>
          <w:b/>
          <w:color w:val="B52628"/>
          <w:spacing w:val="-2"/>
        </w:rPr>
        <w:t> </w:t>
      </w:r>
      <w:r>
        <w:rPr>
          <w:b/>
          <w:color w:val="B52628"/>
        </w:rPr>
        <w:t>2022,</w:t>
      </w:r>
      <w:r>
        <w:rPr>
          <w:b/>
          <w:color w:val="B52628"/>
          <w:spacing w:val="-2"/>
        </w:rPr>
        <w:t> </w:t>
      </w:r>
      <w:r>
        <w:rPr>
          <w:color w:val="231F20"/>
        </w:rPr>
        <w:t>fue</w:t>
      </w:r>
      <w:r>
        <w:rPr>
          <w:color w:val="231F20"/>
          <w:spacing w:val="-2"/>
        </w:rPr>
        <w:t> </w:t>
      </w:r>
      <w:r>
        <w:rPr>
          <w:color w:val="231F20"/>
        </w:rPr>
        <w:t>presentada </w:t>
      </w:r>
      <w:r>
        <w:rPr>
          <w:color w:val="231F20"/>
          <w:spacing w:val="-4"/>
        </w:rPr>
        <w:t>en</w:t>
      </w:r>
      <w:r>
        <w:rPr>
          <w:color w:val="231F20"/>
          <w:spacing w:val="-13"/>
        </w:rPr>
        <w:t> </w:t>
      </w:r>
      <w:r>
        <w:rPr>
          <w:color w:val="231F20"/>
          <w:spacing w:val="-4"/>
        </w:rPr>
        <w:t>el</w:t>
      </w:r>
      <w:r>
        <w:rPr>
          <w:color w:val="231F20"/>
          <w:spacing w:val="-12"/>
        </w:rPr>
        <w:t> </w:t>
      </w:r>
      <w:r>
        <w:rPr>
          <w:color w:val="231F20"/>
          <w:spacing w:val="-4"/>
        </w:rPr>
        <w:t>Concejo</w:t>
      </w:r>
      <w:r>
        <w:rPr>
          <w:color w:val="231F20"/>
          <w:spacing w:val="-13"/>
        </w:rPr>
        <w:t> </w:t>
      </w:r>
      <w:r>
        <w:rPr>
          <w:color w:val="231F20"/>
          <w:spacing w:val="-4"/>
        </w:rPr>
        <w:t>Municipal</w:t>
      </w:r>
      <w:r>
        <w:rPr>
          <w:color w:val="231F20"/>
          <w:spacing w:val="-12"/>
        </w:rPr>
        <w:t> </w:t>
      </w:r>
      <w:r>
        <w:rPr>
          <w:color w:val="231F20"/>
          <w:spacing w:val="-4"/>
        </w:rPr>
        <w:t>de</w:t>
      </w:r>
      <w:r>
        <w:rPr>
          <w:color w:val="231F20"/>
          <w:spacing w:val="-13"/>
        </w:rPr>
        <w:t> </w:t>
      </w:r>
      <w:r>
        <w:rPr>
          <w:color w:val="231F20"/>
          <w:spacing w:val="-4"/>
        </w:rPr>
        <w:t>Nueva</w:t>
      </w:r>
      <w:r>
        <w:rPr>
          <w:color w:val="231F20"/>
          <w:spacing w:val="-12"/>
        </w:rPr>
        <w:t> </w:t>
      </w:r>
      <w:r>
        <w:rPr>
          <w:color w:val="231F20"/>
          <w:spacing w:val="-4"/>
        </w:rPr>
        <w:t>York</w:t>
      </w:r>
      <w:r>
        <w:rPr>
          <w:color w:val="231F20"/>
          <w:spacing w:val="-13"/>
        </w:rPr>
        <w:t> </w:t>
      </w:r>
      <w:r>
        <w:rPr>
          <w:color w:val="231F20"/>
          <w:spacing w:val="-4"/>
        </w:rPr>
        <w:t>una </w:t>
      </w:r>
      <w:r>
        <w:rPr>
          <w:color w:val="231F20"/>
        </w:rPr>
        <w:t>resolución que exigió el fin del bloqueo </w:t>
      </w:r>
      <w:r>
        <w:rPr>
          <w:color w:val="231F20"/>
        </w:rPr>
        <w:t>a Cuba. El texto lo presentó el miembro del Concejo Charles Barron, del distrito 42.</w:t>
      </w:r>
    </w:p>
    <w:p>
      <w:pPr>
        <w:pStyle w:val="BodyText"/>
        <w:spacing w:before="164"/>
        <w:ind w:left="1133"/>
      </w:pPr>
      <w:r>
        <w:rPr>
          <w:b/>
          <w:color w:val="B52628"/>
        </w:rPr>
        <w:t>El 27 de agosto de 2022, </w:t>
      </w:r>
      <w:r>
        <w:rPr>
          <w:color w:val="231F20"/>
        </w:rPr>
        <w:t>amigos de Cuba se reunieron en la Iglesia de la </w:t>
      </w:r>
      <w:r>
        <w:rPr>
          <w:color w:val="231F20"/>
          <w:spacing w:val="-4"/>
        </w:rPr>
        <w:t>Reverenda</w:t>
      </w:r>
      <w:r>
        <w:rPr>
          <w:color w:val="231F20"/>
          <w:spacing w:val="-10"/>
        </w:rPr>
        <w:t> </w:t>
      </w:r>
      <w:r>
        <w:rPr>
          <w:color w:val="231F20"/>
          <w:spacing w:val="-4"/>
        </w:rPr>
        <w:t>Dorlimar</w:t>
      </w:r>
      <w:r>
        <w:rPr>
          <w:color w:val="231F20"/>
          <w:spacing w:val="-10"/>
        </w:rPr>
        <w:t> </w:t>
      </w:r>
      <w:r>
        <w:rPr>
          <w:color w:val="231F20"/>
          <w:spacing w:val="-4"/>
        </w:rPr>
        <w:t>Lebron</w:t>
      </w:r>
      <w:r>
        <w:rPr>
          <w:color w:val="231F20"/>
          <w:spacing w:val="-10"/>
        </w:rPr>
        <w:t> </w:t>
      </w:r>
      <w:r>
        <w:rPr>
          <w:color w:val="231F20"/>
          <w:spacing w:val="-4"/>
        </w:rPr>
        <w:t>en</w:t>
      </w:r>
      <w:r>
        <w:rPr>
          <w:color w:val="231F20"/>
          <w:spacing w:val="-10"/>
        </w:rPr>
        <w:t> </w:t>
      </w:r>
      <w:r>
        <w:rPr>
          <w:color w:val="231F20"/>
          <w:spacing w:val="-4"/>
        </w:rPr>
        <w:t>Nueva</w:t>
      </w:r>
      <w:r>
        <w:rPr>
          <w:color w:val="231F20"/>
          <w:spacing w:val="-10"/>
        </w:rPr>
        <w:t> </w:t>
      </w:r>
      <w:r>
        <w:rPr>
          <w:color w:val="231F20"/>
          <w:spacing w:val="-4"/>
        </w:rPr>
        <w:t>York, </w:t>
      </w:r>
      <w:r>
        <w:rPr>
          <w:color w:val="231F20"/>
        </w:rPr>
        <w:t>en solidaridad con las familias cubanas</w:t>
      </w:r>
      <w:r>
        <w:rPr>
          <w:color w:val="231F20"/>
          <w:spacing w:val="40"/>
        </w:rPr>
        <w:t> </w:t>
      </w:r>
      <w:r>
        <w:rPr>
          <w:color w:val="231F20"/>
        </w:rPr>
        <w:t>en todo el mundo que solicitan el fin del </w:t>
      </w:r>
      <w:r>
        <w:rPr>
          <w:color w:val="231F20"/>
          <w:spacing w:val="-2"/>
        </w:rPr>
        <w:t>bloqueo.</w:t>
      </w:r>
    </w:p>
    <w:p>
      <w:pPr>
        <w:spacing w:before="165"/>
        <w:ind w:left="1133" w:right="1" w:firstLine="0"/>
        <w:jc w:val="both"/>
        <w:rPr>
          <w:sz w:val="24"/>
        </w:rPr>
      </w:pPr>
      <w:r>
        <w:rPr>
          <w:b/>
          <w:color w:val="B52628"/>
          <w:sz w:val="24"/>
        </w:rPr>
        <w:t>El 2 de septiembre de 2022, </w:t>
      </w:r>
      <w:r>
        <w:rPr>
          <w:color w:val="231F20"/>
          <w:sz w:val="24"/>
        </w:rPr>
        <w:t>el Centro para</w:t>
      </w:r>
      <w:r>
        <w:rPr>
          <w:color w:val="231F20"/>
          <w:spacing w:val="35"/>
          <w:sz w:val="24"/>
        </w:rPr>
        <w:t>  </w:t>
      </w:r>
      <w:r>
        <w:rPr>
          <w:color w:val="231F20"/>
          <w:sz w:val="24"/>
        </w:rPr>
        <w:t>la</w:t>
      </w:r>
      <w:r>
        <w:rPr>
          <w:color w:val="231F20"/>
          <w:spacing w:val="35"/>
          <w:sz w:val="24"/>
        </w:rPr>
        <w:t>  </w:t>
      </w:r>
      <w:r>
        <w:rPr>
          <w:color w:val="231F20"/>
          <w:sz w:val="24"/>
        </w:rPr>
        <w:t>Democracia</w:t>
      </w:r>
      <w:r>
        <w:rPr>
          <w:color w:val="231F20"/>
          <w:spacing w:val="36"/>
          <w:sz w:val="24"/>
        </w:rPr>
        <w:t>  </w:t>
      </w:r>
      <w:r>
        <w:rPr>
          <w:color w:val="231F20"/>
          <w:sz w:val="24"/>
        </w:rPr>
        <w:t>en</w:t>
      </w:r>
      <w:r>
        <w:rPr>
          <w:color w:val="231F20"/>
          <w:spacing w:val="35"/>
          <w:sz w:val="24"/>
        </w:rPr>
        <w:t>  </w:t>
      </w:r>
      <w:r>
        <w:rPr>
          <w:color w:val="231F20"/>
          <w:sz w:val="24"/>
        </w:rPr>
        <w:t>las</w:t>
      </w:r>
      <w:r>
        <w:rPr>
          <w:color w:val="231F20"/>
          <w:spacing w:val="36"/>
          <w:sz w:val="24"/>
        </w:rPr>
        <w:t>  </w:t>
      </w:r>
      <w:r>
        <w:rPr>
          <w:color w:val="231F20"/>
          <w:spacing w:val="-2"/>
          <w:sz w:val="24"/>
        </w:rPr>
        <w:t>Américas</w:t>
      </w:r>
    </w:p>
    <w:p>
      <w:pPr>
        <w:pStyle w:val="BodyText"/>
        <w:spacing w:before="77"/>
        <w:ind w:left="411" w:right="1471"/>
      </w:pPr>
      <w:r>
        <w:rPr/>
        <w:br w:type="column"/>
      </w:r>
      <w:r>
        <w:rPr>
          <w:color w:val="231F20"/>
        </w:rPr>
        <w:t>(CDA) publicó un hilo de mensajes en la plataforma Twitter, en uno de los cuales insistió</w:t>
      </w:r>
      <w:r>
        <w:rPr>
          <w:color w:val="231F20"/>
          <w:spacing w:val="-17"/>
        </w:rPr>
        <w:t> </w:t>
      </w:r>
      <w:r>
        <w:rPr>
          <w:color w:val="231F20"/>
        </w:rPr>
        <w:t>en</w:t>
      </w:r>
      <w:r>
        <w:rPr>
          <w:color w:val="231F20"/>
          <w:spacing w:val="-16"/>
        </w:rPr>
        <w:t> </w:t>
      </w:r>
      <w:r>
        <w:rPr>
          <w:color w:val="231F20"/>
        </w:rPr>
        <w:t>la</w:t>
      </w:r>
      <w:r>
        <w:rPr>
          <w:color w:val="231F20"/>
          <w:spacing w:val="-17"/>
        </w:rPr>
        <w:t> </w:t>
      </w:r>
      <w:r>
        <w:rPr>
          <w:color w:val="231F20"/>
        </w:rPr>
        <w:t>necesidad</w:t>
      </w:r>
      <w:r>
        <w:rPr>
          <w:color w:val="231F20"/>
          <w:spacing w:val="-16"/>
        </w:rPr>
        <w:t> </w:t>
      </w:r>
      <w:r>
        <w:rPr>
          <w:color w:val="231F20"/>
        </w:rPr>
        <w:t>de</w:t>
      </w:r>
      <w:r>
        <w:rPr>
          <w:color w:val="231F20"/>
          <w:spacing w:val="-17"/>
        </w:rPr>
        <w:t> </w:t>
      </w:r>
      <w:r>
        <w:rPr>
          <w:color w:val="231F20"/>
        </w:rPr>
        <w:t>que</w:t>
      </w:r>
      <w:r>
        <w:rPr>
          <w:color w:val="231F20"/>
          <w:spacing w:val="-16"/>
        </w:rPr>
        <w:t> </w:t>
      </w:r>
      <w:r>
        <w:rPr>
          <w:color w:val="231F20"/>
        </w:rPr>
        <w:t>el</w:t>
      </w:r>
      <w:r>
        <w:rPr>
          <w:color w:val="231F20"/>
          <w:spacing w:val="-17"/>
        </w:rPr>
        <w:t> </w:t>
      </w:r>
      <w:r>
        <w:rPr>
          <w:color w:val="231F20"/>
        </w:rPr>
        <w:t>gobierno de</w:t>
      </w:r>
      <w:r>
        <w:rPr>
          <w:color w:val="231F20"/>
          <w:spacing w:val="-5"/>
        </w:rPr>
        <w:t> </w:t>
      </w:r>
      <w:r>
        <w:rPr>
          <w:color w:val="231F20"/>
        </w:rPr>
        <w:t>Biden</w:t>
      </w:r>
      <w:r>
        <w:rPr>
          <w:color w:val="231F20"/>
          <w:spacing w:val="-5"/>
        </w:rPr>
        <w:t> </w:t>
      </w:r>
      <w:r>
        <w:rPr>
          <w:color w:val="231F20"/>
        </w:rPr>
        <w:t>levante</w:t>
      </w:r>
      <w:r>
        <w:rPr>
          <w:color w:val="231F20"/>
          <w:spacing w:val="-5"/>
        </w:rPr>
        <w:t> </w:t>
      </w:r>
      <w:r>
        <w:rPr>
          <w:color w:val="231F20"/>
        </w:rPr>
        <w:t>“todas</w:t>
      </w:r>
      <w:r>
        <w:rPr>
          <w:color w:val="231F20"/>
          <w:spacing w:val="-5"/>
        </w:rPr>
        <w:t> </w:t>
      </w:r>
      <w:r>
        <w:rPr>
          <w:color w:val="231F20"/>
        </w:rPr>
        <w:t>las</w:t>
      </w:r>
      <w:r>
        <w:rPr>
          <w:color w:val="231F20"/>
          <w:spacing w:val="-5"/>
        </w:rPr>
        <w:t> </w:t>
      </w:r>
      <w:r>
        <w:rPr>
          <w:color w:val="231F20"/>
        </w:rPr>
        <w:t>sanciones</w:t>
      </w:r>
      <w:r>
        <w:rPr>
          <w:color w:val="231F20"/>
          <w:spacing w:val="-5"/>
        </w:rPr>
        <w:t> </w:t>
      </w:r>
      <w:r>
        <w:rPr>
          <w:color w:val="231F20"/>
        </w:rPr>
        <w:t>que afectan a los cubanos” e implementar medidas de beneficio.</w:t>
      </w:r>
    </w:p>
    <w:p>
      <w:pPr>
        <w:pStyle w:val="BodyText"/>
        <w:spacing w:before="164"/>
        <w:ind w:left="411" w:right="1471"/>
      </w:pPr>
      <w:r>
        <w:rPr>
          <w:b/>
          <w:color w:val="B52628"/>
        </w:rPr>
        <w:t>El</w:t>
      </w:r>
      <w:r>
        <w:rPr>
          <w:b/>
          <w:color w:val="B52628"/>
          <w:spacing w:val="-5"/>
        </w:rPr>
        <w:t> </w:t>
      </w:r>
      <w:r>
        <w:rPr>
          <w:b/>
          <w:color w:val="B52628"/>
        </w:rPr>
        <w:t>20</w:t>
      </w:r>
      <w:r>
        <w:rPr>
          <w:b/>
          <w:color w:val="B52628"/>
          <w:spacing w:val="-5"/>
        </w:rPr>
        <w:t> </w:t>
      </w:r>
      <w:r>
        <w:rPr>
          <w:b/>
          <w:color w:val="B52628"/>
        </w:rPr>
        <w:t>de</w:t>
      </w:r>
      <w:r>
        <w:rPr>
          <w:b/>
          <w:color w:val="B52628"/>
          <w:spacing w:val="-5"/>
        </w:rPr>
        <w:t> </w:t>
      </w:r>
      <w:r>
        <w:rPr>
          <w:b/>
          <w:color w:val="B52628"/>
        </w:rPr>
        <w:t>septiembre</w:t>
      </w:r>
      <w:r>
        <w:rPr>
          <w:b/>
          <w:color w:val="B52628"/>
          <w:spacing w:val="-5"/>
        </w:rPr>
        <w:t> </w:t>
      </w:r>
      <w:r>
        <w:rPr>
          <w:b/>
          <w:color w:val="B52628"/>
        </w:rPr>
        <w:t>de</w:t>
      </w:r>
      <w:r>
        <w:rPr>
          <w:b/>
          <w:color w:val="B52628"/>
          <w:spacing w:val="-5"/>
        </w:rPr>
        <w:t> </w:t>
      </w:r>
      <w:r>
        <w:rPr>
          <w:b/>
          <w:color w:val="B52628"/>
        </w:rPr>
        <w:t>2022,</w:t>
      </w:r>
      <w:r>
        <w:rPr>
          <w:b/>
          <w:color w:val="B52628"/>
          <w:spacing w:val="-6"/>
        </w:rPr>
        <w:t> </w:t>
      </w:r>
      <w:r>
        <w:rPr>
          <w:color w:val="231F20"/>
        </w:rPr>
        <w:t>el</w:t>
      </w:r>
      <w:r>
        <w:rPr>
          <w:color w:val="231F20"/>
          <w:spacing w:val="-6"/>
        </w:rPr>
        <w:t> </w:t>
      </w:r>
      <w:r>
        <w:rPr>
          <w:color w:val="231F20"/>
        </w:rPr>
        <w:t>Concejo de la ciudad de Willimantic/Windham, aprobó una resolución para demandar la eliminación del bloqueo contra Cuba.</w:t>
      </w:r>
    </w:p>
    <w:p>
      <w:pPr>
        <w:pStyle w:val="BodyText"/>
        <w:spacing w:before="164"/>
        <w:ind w:left="411" w:right="1471"/>
      </w:pPr>
      <w:r>
        <w:rPr>
          <w:b/>
          <w:color w:val="B52628"/>
        </w:rPr>
        <w:t>El</w:t>
      </w:r>
      <w:r>
        <w:rPr>
          <w:b/>
          <w:color w:val="B52628"/>
          <w:spacing w:val="-5"/>
        </w:rPr>
        <w:t> </w:t>
      </w:r>
      <w:r>
        <w:rPr>
          <w:b/>
          <w:color w:val="B52628"/>
        </w:rPr>
        <w:t>22</w:t>
      </w:r>
      <w:r>
        <w:rPr>
          <w:b/>
          <w:color w:val="B52628"/>
          <w:spacing w:val="-5"/>
        </w:rPr>
        <w:t> </w:t>
      </w:r>
      <w:r>
        <w:rPr>
          <w:b/>
          <w:color w:val="B52628"/>
        </w:rPr>
        <w:t>de</w:t>
      </w:r>
      <w:r>
        <w:rPr>
          <w:b/>
          <w:color w:val="B52628"/>
          <w:spacing w:val="-5"/>
        </w:rPr>
        <w:t> </w:t>
      </w:r>
      <w:r>
        <w:rPr>
          <w:b/>
          <w:color w:val="B52628"/>
        </w:rPr>
        <w:t>septiembre</w:t>
      </w:r>
      <w:r>
        <w:rPr>
          <w:b/>
          <w:color w:val="B52628"/>
          <w:spacing w:val="-5"/>
        </w:rPr>
        <w:t> </w:t>
      </w:r>
      <w:r>
        <w:rPr>
          <w:b/>
          <w:color w:val="B52628"/>
        </w:rPr>
        <w:t>de</w:t>
      </w:r>
      <w:r>
        <w:rPr>
          <w:b/>
          <w:color w:val="B52628"/>
          <w:spacing w:val="-5"/>
        </w:rPr>
        <w:t> </w:t>
      </w:r>
      <w:r>
        <w:rPr>
          <w:b/>
          <w:color w:val="B52628"/>
        </w:rPr>
        <w:t>2022,</w:t>
      </w:r>
      <w:r>
        <w:rPr>
          <w:b/>
          <w:color w:val="B52628"/>
          <w:spacing w:val="-6"/>
        </w:rPr>
        <w:t> </w:t>
      </w:r>
      <w:r>
        <w:rPr>
          <w:color w:val="231F20"/>
        </w:rPr>
        <w:t>el</w:t>
      </w:r>
      <w:r>
        <w:rPr>
          <w:color w:val="231F20"/>
          <w:spacing w:val="-6"/>
        </w:rPr>
        <w:t> </w:t>
      </w:r>
      <w:r>
        <w:rPr>
          <w:color w:val="231F20"/>
        </w:rPr>
        <w:t>Concejo </w:t>
      </w:r>
      <w:r>
        <w:rPr>
          <w:color w:val="231F20"/>
          <w:spacing w:val="-4"/>
        </w:rPr>
        <w:t>Municipal</w:t>
      </w:r>
      <w:r>
        <w:rPr>
          <w:color w:val="231F20"/>
          <w:spacing w:val="-7"/>
        </w:rPr>
        <w:t> </w:t>
      </w:r>
      <w:r>
        <w:rPr>
          <w:color w:val="231F20"/>
          <w:spacing w:val="-4"/>
        </w:rPr>
        <w:t>de</w:t>
      </w:r>
      <w:r>
        <w:rPr>
          <w:color w:val="231F20"/>
          <w:spacing w:val="-7"/>
        </w:rPr>
        <w:t> </w:t>
      </w:r>
      <w:r>
        <w:rPr>
          <w:color w:val="231F20"/>
          <w:spacing w:val="-4"/>
        </w:rPr>
        <w:t>Somerville,</w:t>
      </w:r>
      <w:r>
        <w:rPr>
          <w:color w:val="231F20"/>
          <w:spacing w:val="-7"/>
        </w:rPr>
        <w:t> </w:t>
      </w:r>
      <w:r>
        <w:rPr>
          <w:color w:val="231F20"/>
          <w:spacing w:val="-4"/>
        </w:rPr>
        <w:t>en</w:t>
      </w:r>
      <w:r>
        <w:rPr>
          <w:color w:val="231F20"/>
          <w:spacing w:val="-7"/>
        </w:rPr>
        <w:t> </w:t>
      </w:r>
      <w:r>
        <w:rPr>
          <w:color w:val="231F20"/>
          <w:spacing w:val="-4"/>
        </w:rPr>
        <w:t>Massachusetts, </w:t>
      </w:r>
      <w:r>
        <w:rPr>
          <w:color w:val="231F20"/>
        </w:rPr>
        <w:t>aprobó una resolución para instar al gobierno</w:t>
      </w:r>
      <w:r>
        <w:rPr>
          <w:color w:val="231F20"/>
          <w:spacing w:val="-17"/>
        </w:rPr>
        <w:t> </w:t>
      </w:r>
      <w:r>
        <w:rPr>
          <w:color w:val="231F20"/>
        </w:rPr>
        <w:t>de</w:t>
      </w:r>
      <w:r>
        <w:rPr>
          <w:color w:val="231F20"/>
          <w:spacing w:val="-16"/>
        </w:rPr>
        <w:t> </w:t>
      </w:r>
      <w:r>
        <w:rPr>
          <w:color w:val="231F20"/>
        </w:rPr>
        <w:t>los</w:t>
      </w:r>
      <w:r>
        <w:rPr>
          <w:color w:val="231F20"/>
          <w:spacing w:val="-17"/>
        </w:rPr>
        <w:t> </w:t>
      </w:r>
      <w:r>
        <w:rPr>
          <w:color w:val="231F20"/>
        </w:rPr>
        <w:t>Estados</w:t>
      </w:r>
      <w:r>
        <w:rPr>
          <w:color w:val="231F20"/>
          <w:spacing w:val="-16"/>
        </w:rPr>
        <w:t> </w:t>
      </w:r>
      <w:r>
        <w:rPr>
          <w:color w:val="231F20"/>
        </w:rPr>
        <w:t>Unidos,</w:t>
      </w:r>
      <w:r>
        <w:rPr>
          <w:color w:val="231F20"/>
          <w:spacing w:val="-17"/>
        </w:rPr>
        <w:t> </w:t>
      </w:r>
      <w:r>
        <w:rPr>
          <w:color w:val="231F20"/>
        </w:rPr>
        <w:t>eliminar</w:t>
      </w:r>
      <w:r>
        <w:rPr>
          <w:color w:val="231F20"/>
          <w:spacing w:val="-16"/>
        </w:rPr>
        <w:t> </w:t>
      </w:r>
      <w:r>
        <w:rPr>
          <w:color w:val="231F20"/>
        </w:rPr>
        <w:t>a </w:t>
      </w:r>
      <w:r>
        <w:rPr>
          <w:color w:val="231F20"/>
          <w:spacing w:val="-2"/>
        </w:rPr>
        <w:t>Cuba</w:t>
      </w:r>
      <w:r>
        <w:rPr>
          <w:color w:val="231F20"/>
          <w:spacing w:val="-11"/>
        </w:rPr>
        <w:t> </w:t>
      </w:r>
      <w:r>
        <w:rPr>
          <w:color w:val="231F20"/>
          <w:spacing w:val="-2"/>
        </w:rPr>
        <w:t>de</w:t>
      </w:r>
      <w:r>
        <w:rPr>
          <w:color w:val="231F20"/>
          <w:spacing w:val="-11"/>
        </w:rPr>
        <w:t> </w:t>
      </w:r>
      <w:r>
        <w:rPr>
          <w:color w:val="231F20"/>
          <w:spacing w:val="-2"/>
        </w:rPr>
        <w:t>la</w:t>
      </w:r>
      <w:r>
        <w:rPr>
          <w:color w:val="231F20"/>
          <w:spacing w:val="-11"/>
        </w:rPr>
        <w:t> </w:t>
      </w:r>
      <w:r>
        <w:rPr>
          <w:color w:val="231F20"/>
          <w:spacing w:val="-2"/>
        </w:rPr>
        <w:t>Lista</w:t>
      </w:r>
      <w:r>
        <w:rPr>
          <w:color w:val="231F20"/>
          <w:spacing w:val="-11"/>
        </w:rPr>
        <w:t> </w:t>
      </w:r>
      <w:r>
        <w:rPr>
          <w:color w:val="231F20"/>
          <w:spacing w:val="-2"/>
        </w:rPr>
        <w:t>de</w:t>
      </w:r>
      <w:r>
        <w:rPr>
          <w:color w:val="231F20"/>
          <w:spacing w:val="-11"/>
        </w:rPr>
        <w:t> </w:t>
      </w:r>
      <w:r>
        <w:rPr>
          <w:color w:val="231F20"/>
          <w:spacing w:val="-2"/>
        </w:rPr>
        <w:t>Estados</w:t>
      </w:r>
      <w:r>
        <w:rPr>
          <w:color w:val="231F20"/>
          <w:spacing w:val="-11"/>
        </w:rPr>
        <w:t> </w:t>
      </w:r>
      <w:r>
        <w:rPr>
          <w:color w:val="231F20"/>
          <w:spacing w:val="-2"/>
        </w:rPr>
        <w:t>Patrocinadores </w:t>
      </w:r>
      <w:r>
        <w:rPr>
          <w:color w:val="231F20"/>
        </w:rPr>
        <w:t>del Terrorismo y poner fin a las medidas coercitivas en vigor.</w:t>
      </w:r>
    </w:p>
    <w:p>
      <w:pPr>
        <w:pStyle w:val="BodyText"/>
        <w:spacing w:before="165"/>
        <w:ind w:left="411" w:right="1472"/>
      </w:pPr>
      <w:r>
        <w:rPr>
          <w:b/>
          <w:color w:val="B52628"/>
        </w:rPr>
        <w:t>El 25 de septiembre de 2022, </w:t>
      </w:r>
      <w:r>
        <w:rPr>
          <w:color w:val="231F20"/>
        </w:rPr>
        <w:t>diversas personas se manifestaron para poner fin al</w:t>
      </w:r>
      <w:r>
        <w:rPr>
          <w:color w:val="231F20"/>
          <w:spacing w:val="-12"/>
        </w:rPr>
        <w:t> </w:t>
      </w:r>
      <w:r>
        <w:rPr>
          <w:color w:val="231F20"/>
        </w:rPr>
        <w:t>bloqueo</w:t>
      </w:r>
      <w:r>
        <w:rPr>
          <w:color w:val="231F20"/>
          <w:spacing w:val="-12"/>
        </w:rPr>
        <w:t> </w:t>
      </w:r>
      <w:r>
        <w:rPr>
          <w:color w:val="231F20"/>
        </w:rPr>
        <w:t>en</w:t>
      </w:r>
      <w:r>
        <w:rPr>
          <w:color w:val="231F20"/>
          <w:spacing w:val="-12"/>
        </w:rPr>
        <w:t> </w:t>
      </w:r>
      <w:r>
        <w:rPr>
          <w:color w:val="231F20"/>
        </w:rPr>
        <w:t>ciudades</w:t>
      </w:r>
      <w:r>
        <w:rPr>
          <w:color w:val="231F20"/>
          <w:spacing w:val="-13"/>
        </w:rPr>
        <w:t> </w:t>
      </w:r>
      <w:r>
        <w:rPr>
          <w:color w:val="231F20"/>
        </w:rPr>
        <w:t>como</w:t>
      </w:r>
      <w:r>
        <w:rPr>
          <w:color w:val="231F20"/>
          <w:spacing w:val="-12"/>
        </w:rPr>
        <w:t> </w:t>
      </w:r>
      <w:r>
        <w:rPr>
          <w:color w:val="231F20"/>
        </w:rPr>
        <w:t>Nueva</w:t>
      </w:r>
      <w:r>
        <w:rPr>
          <w:color w:val="231F20"/>
          <w:spacing w:val="-12"/>
        </w:rPr>
        <w:t> </w:t>
      </w:r>
      <w:r>
        <w:rPr>
          <w:color w:val="231F20"/>
        </w:rPr>
        <w:t>York, Chicago, Seattle, Boston y Miami.</w:t>
      </w:r>
    </w:p>
    <w:p>
      <w:pPr>
        <w:pStyle w:val="BodyText"/>
        <w:spacing w:before="163"/>
        <w:ind w:left="411" w:right="1471"/>
      </w:pPr>
      <w:r>
        <w:rPr>
          <w:b/>
          <w:color w:val="B52628"/>
        </w:rPr>
        <w:t>El 2 de octubre de 2022, </w:t>
      </w:r>
      <w:r>
        <w:rPr>
          <w:color w:val="231F20"/>
        </w:rPr>
        <w:t>la organización progresista The People`s Forum realizó</w:t>
      </w:r>
      <w:r>
        <w:rPr>
          <w:color w:val="231F20"/>
          <w:spacing w:val="40"/>
        </w:rPr>
        <w:t> </w:t>
      </w:r>
      <w:r>
        <w:rPr>
          <w:color w:val="231F20"/>
        </w:rPr>
        <w:t>un llamado al presidente de EE.UU. </w:t>
      </w:r>
      <w:r>
        <w:rPr>
          <w:color w:val="231F20"/>
        </w:rPr>
        <w:t>para levantar temporalmente las medidas coercitivas contra Cuba y permitir la adquisición</w:t>
      </w:r>
      <w:r>
        <w:rPr>
          <w:color w:val="231F20"/>
          <w:spacing w:val="-1"/>
        </w:rPr>
        <w:t> </w:t>
      </w:r>
      <w:r>
        <w:rPr>
          <w:color w:val="231F20"/>
        </w:rPr>
        <w:t>de</w:t>
      </w:r>
      <w:r>
        <w:rPr>
          <w:color w:val="231F20"/>
          <w:spacing w:val="-1"/>
        </w:rPr>
        <w:t> </w:t>
      </w:r>
      <w:r>
        <w:rPr>
          <w:color w:val="231F20"/>
        </w:rPr>
        <w:t>materiales</w:t>
      </w:r>
      <w:r>
        <w:rPr>
          <w:color w:val="231F20"/>
          <w:spacing w:val="-1"/>
        </w:rPr>
        <w:t> </w:t>
      </w:r>
      <w:r>
        <w:rPr>
          <w:color w:val="231F20"/>
        </w:rPr>
        <w:t>necesarios</w:t>
      </w:r>
      <w:r>
        <w:rPr>
          <w:color w:val="231F20"/>
          <w:spacing w:val="-1"/>
        </w:rPr>
        <w:t> </w:t>
      </w:r>
      <w:r>
        <w:rPr>
          <w:color w:val="231F20"/>
        </w:rPr>
        <w:t>para la reconstrucción tras el paso del huracán Ian</w:t>
      </w:r>
      <w:r>
        <w:rPr>
          <w:color w:val="231F20"/>
          <w:spacing w:val="-12"/>
        </w:rPr>
        <w:t> </w:t>
      </w:r>
      <w:r>
        <w:rPr>
          <w:color w:val="231F20"/>
        </w:rPr>
        <w:t>por</w:t>
      </w:r>
      <w:r>
        <w:rPr>
          <w:color w:val="231F20"/>
          <w:spacing w:val="-12"/>
        </w:rPr>
        <w:t> </w:t>
      </w:r>
      <w:r>
        <w:rPr>
          <w:color w:val="231F20"/>
        </w:rPr>
        <w:t>la</w:t>
      </w:r>
      <w:r>
        <w:rPr>
          <w:color w:val="231F20"/>
          <w:spacing w:val="-12"/>
        </w:rPr>
        <w:t> </w:t>
      </w:r>
      <w:r>
        <w:rPr>
          <w:color w:val="231F20"/>
        </w:rPr>
        <w:t>Isla.</w:t>
      </w:r>
      <w:r>
        <w:rPr>
          <w:color w:val="231F20"/>
          <w:spacing w:val="-12"/>
        </w:rPr>
        <w:t> </w:t>
      </w:r>
      <w:r>
        <w:rPr>
          <w:color w:val="231F20"/>
        </w:rPr>
        <w:t>La</w:t>
      </w:r>
      <w:r>
        <w:rPr>
          <w:color w:val="231F20"/>
          <w:spacing w:val="-12"/>
        </w:rPr>
        <w:t> </w:t>
      </w:r>
      <w:r>
        <w:rPr>
          <w:color w:val="231F20"/>
        </w:rPr>
        <w:t>edición</w:t>
      </w:r>
      <w:r>
        <w:rPr>
          <w:color w:val="231F20"/>
          <w:spacing w:val="-12"/>
        </w:rPr>
        <w:t> </w:t>
      </w:r>
      <w:r>
        <w:rPr>
          <w:color w:val="231F20"/>
        </w:rPr>
        <w:t>dominical</w:t>
      </w:r>
      <w:r>
        <w:rPr>
          <w:color w:val="231F20"/>
          <w:spacing w:val="-12"/>
        </w:rPr>
        <w:t> </w:t>
      </w:r>
      <w:r>
        <w:rPr>
          <w:color w:val="231F20"/>
        </w:rPr>
        <w:t>de</w:t>
      </w:r>
      <w:r>
        <w:rPr>
          <w:color w:val="231F20"/>
          <w:spacing w:val="-12"/>
        </w:rPr>
        <w:t> </w:t>
      </w:r>
      <w:r>
        <w:rPr>
          <w:color w:val="231F20"/>
        </w:rPr>
        <w:t>The New York Times reflejó la solicitud.</w:t>
      </w:r>
    </w:p>
    <w:p>
      <w:pPr>
        <w:pStyle w:val="BodyText"/>
        <w:spacing w:before="167"/>
        <w:ind w:left="411" w:right="1471"/>
      </w:pPr>
      <w:r>
        <w:rPr>
          <w:b/>
          <w:color w:val="B52628"/>
        </w:rPr>
        <w:t>El 3 de octubre de 2022, </w:t>
      </w:r>
      <w:r>
        <w:rPr>
          <w:color w:val="231F20"/>
        </w:rPr>
        <w:t>el </w:t>
      </w:r>
      <w:r>
        <w:rPr>
          <w:color w:val="231F20"/>
        </w:rPr>
        <w:t>presidente del</w:t>
      </w:r>
      <w:r>
        <w:rPr>
          <w:color w:val="231F20"/>
          <w:spacing w:val="80"/>
        </w:rPr>
        <w:t> </w:t>
      </w:r>
      <w:r>
        <w:rPr>
          <w:color w:val="231F20"/>
        </w:rPr>
        <w:t>Comité</w:t>
      </w:r>
      <w:r>
        <w:rPr>
          <w:color w:val="231F20"/>
          <w:spacing w:val="80"/>
        </w:rPr>
        <w:t> </w:t>
      </w:r>
      <w:r>
        <w:rPr>
          <w:color w:val="231F20"/>
        </w:rPr>
        <w:t>de</w:t>
      </w:r>
      <w:r>
        <w:rPr>
          <w:color w:val="231F20"/>
          <w:spacing w:val="80"/>
        </w:rPr>
        <w:t> </w:t>
      </w:r>
      <w:r>
        <w:rPr>
          <w:color w:val="231F20"/>
        </w:rPr>
        <w:t>Asuntos</w:t>
      </w:r>
      <w:r>
        <w:rPr>
          <w:color w:val="231F20"/>
          <w:spacing w:val="80"/>
        </w:rPr>
        <w:t> </w:t>
      </w:r>
      <w:r>
        <w:rPr>
          <w:color w:val="231F20"/>
        </w:rPr>
        <w:t>Exteriores</w:t>
      </w:r>
      <w:r>
        <w:rPr>
          <w:color w:val="231F20"/>
          <w:spacing w:val="80"/>
        </w:rPr>
        <w:t> </w:t>
      </w:r>
      <w:r>
        <w:rPr>
          <w:color w:val="231F20"/>
        </w:rPr>
        <w:t>de la Cámara, Gregory W. Meeks (D-NY), junto</w:t>
      </w:r>
      <w:r>
        <w:rPr>
          <w:color w:val="231F20"/>
          <w:spacing w:val="40"/>
        </w:rPr>
        <w:t> </w:t>
      </w:r>
      <w:r>
        <w:rPr>
          <w:color w:val="231F20"/>
        </w:rPr>
        <w:t>con</w:t>
      </w:r>
      <w:r>
        <w:rPr>
          <w:color w:val="231F20"/>
          <w:spacing w:val="40"/>
        </w:rPr>
        <w:t> </w:t>
      </w:r>
      <w:r>
        <w:rPr>
          <w:color w:val="231F20"/>
        </w:rPr>
        <w:t>la</w:t>
      </w:r>
      <w:r>
        <w:rPr>
          <w:color w:val="231F20"/>
          <w:spacing w:val="40"/>
        </w:rPr>
        <w:t> </w:t>
      </w:r>
      <w:r>
        <w:rPr>
          <w:color w:val="231F20"/>
        </w:rPr>
        <w:t>presidenta</w:t>
      </w:r>
      <w:r>
        <w:rPr>
          <w:color w:val="231F20"/>
          <w:spacing w:val="40"/>
        </w:rPr>
        <w:t> </w:t>
      </w:r>
      <w:r>
        <w:rPr>
          <w:color w:val="231F20"/>
        </w:rPr>
        <w:t>del</w:t>
      </w:r>
      <w:r>
        <w:rPr>
          <w:color w:val="231F20"/>
          <w:spacing w:val="40"/>
        </w:rPr>
        <w:t> </w:t>
      </w:r>
      <w:r>
        <w:rPr>
          <w:color w:val="231F20"/>
        </w:rPr>
        <w:t>Subcomité de Asignaciones de la Cámara sobre Operaciones Estatales y Extranjeras, Barbara Lee (D-CA), y el presidente del Comité</w:t>
      </w:r>
      <w:r>
        <w:rPr>
          <w:color w:val="231F20"/>
          <w:spacing w:val="-6"/>
        </w:rPr>
        <w:t> </w:t>
      </w:r>
      <w:r>
        <w:rPr>
          <w:color w:val="231F20"/>
        </w:rPr>
        <w:t>de</w:t>
      </w:r>
      <w:r>
        <w:rPr>
          <w:color w:val="231F20"/>
          <w:spacing w:val="-7"/>
        </w:rPr>
        <w:t> </w:t>
      </w:r>
      <w:r>
        <w:rPr>
          <w:color w:val="231F20"/>
        </w:rPr>
        <w:t>Reglas,</w:t>
      </w:r>
      <w:r>
        <w:rPr>
          <w:color w:val="231F20"/>
          <w:spacing w:val="-6"/>
        </w:rPr>
        <w:t> </w:t>
      </w:r>
      <w:r>
        <w:rPr>
          <w:color w:val="231F20"/>
        </w:rPr>
        <w:t>James</w:t>
      </w:r>
      <w:r>
        <w:rPr>
          <w:color w:val="231F20"/>
          <w:spacing w:val="-6"/>
        </w:rPr>
        <w:t> </w:t>
      </w:r>
      <w:r>
        <w:rPr>
          <w:color w:val="231F20"/>
        </w:rPr>
        <w:t>P.</w:t>
      </w:r>
      <w:r>
        <w:rPr>
          <w:color w:val="231F20"/>
          <w:spacing w:val="-6"/>
        </w:rPr>
        <w:t> </w:t>
      </w:r>
      <w:r>
        <w:rPr>
          <w:color w:val="231F20"/>
        </w:rPr>
        <w:t>McGovern</w:t>
      </w:r>
      <w:r>
        <w:rPr>
          <w:color w:val="231F20"/>
          <w:spacing w:val="-7"/>
        </w:rPr>
        <w:t> </w:t>
      </w:r>
      <w:r>
        <w:rPr>
          <w:color w:val="231F20"/>
        </w:rPr>
        <w:t>(D- MA),</w:t>
      </w:r>
      <w:r>
        <w:rPr>
          <w:color w:val="231F20"/>
          <w:spacing w:val="-17"/>
        </w:rPr>
        <w:t> </w:t>
      </w:r>
      <w:r>
        <w:rPr>
          <w:color w:val="231F20"/>
        </w:rPr>
        <w:t>emitieron</w:t>
      </w:r>
      <w:r>
        <w:rPr>
          <w:color w:val="231F20"/>
          <w:spacing w:val="-16"/>
        </w:rPr>
        <w:t> </w:t>
      </w:r>
      <w:r>
        <w:rPr>
          <w:color w:val="231F20"/>
        </w:rPr>
        <w:t>una</w:t>
      </w:r>
      <w:r>
        <w:rPr>
          <w:color w:val="231F20"/>
          <w:spacing w:val="-17"/>
        </w:rPr>
        <w:t> </w:t>
      </w:r>
      <w:r>
        <w:rPr>
          <w:color w:val="231F20"/>
        </w:rPr>
        <w:t>declaración</w:t>
      </w:r>
      <w:r>
        <w:rPr>
          <w:color w:val="231F20"/>
          <w:spacing w:val="-16"/>
        </w:rPr>
        <w:t> </w:t>
      </w:r>
      <w:r>
        <w:rPr>
          <w:color w:val="231F20"/>
        </w:rPr>
        <w:t>para</w:t>
      </w:r>
      <w:r>
        <w:rPr>
          <w:color w:val="231F20"/>
          <w:spacing w:val="-17"/>
        </w:rPr>
        <w:t> </w:t>
      </w:r>
      <w:r>
        <w:rPr>
          <w:color w:val="231F20"/>
        </w:rPr>
        <w:t>instar al gobierno de Biden a brindar asistencia humanitaria</w:t>
      </w:r>
      <w:r>
        <w:rPr>
          <w:color w:val="231F20"/>
          <w:spacing w:val="23"/>
        </w:rPr>
        <w:t>  </w:t>
      </w:r>
      <w:r>
        <w:rPr>
          <w:color w:val="231F20"/>
        </w:rPr>
        <w:t>a</w:t>
      </w:r>
      <w:r>
        <w:rPr>
          <w:color w:val="231F20"/>
          <w:spacing w:val="25"/>
        </w:rPr>
        <w:t>  </w:t>
      </w:r>
      <w:r>
        <w:rPr>
          <w:color w:val="231F20"/>
        </w:rPr>
        <w:t>Cuba</w:t>
      </w:r>
      <w:r>
        <w:rPr>
          <w:color w:val="231F20"/>
          <w:spacing w:val="24"/>
        </w:rPr>
        <w:t>  </w:t>
      </w:r>
      <w:r>
        <w:rPr>
          <w:color w:val="231F20"/>
        </w:rPr>
        <w:t>tras</w:t>
      </w:r>
      <w:r>
        <w:rPr>
          <w:color w:val="231F20"/>
          <w:spacing w:val="24"/>
        </w:rPr>
        <w:t>  </w:t>
      </w:r>
      <w:r>
        <w:rPr>
          <w:color w:val="231F20"/>
        </w:rPr>
        <w:t>el</w:t>
      </w:r>
      <w:r>
        <w:rPr>
          <w:color w:val="231F20"/>
          <w:spacing w:val="24"/>
        </w:rPr>
        <w:t>  </w:t>
      </w:r>
      <w:r>
        <w:rPr>
          <w:color w:val="231F20"/>
        </w:rPr>
        <w:t>paso</w:t>
      </w:r>
      <w:r>
        <w:rPr>
          <w:color w:val="231F20"/>
          <w:spacing w:val="24"/>
        </w:rPr>
        <w:t>  </w:t>
      </w:r>
      <w:r>
        <w:rPr>
          <w:color w:val="231F20"/>
          <w:spacing w:val="-5"/>
        </w:rPr>
        <w:t>del</w:t>
      </w:r>
    </w:p>
    <w:p>
      <w:pPr>
        <w:spacing w:after="0"/>
        <w:sectPr>
          <w:pgSz w:w="11910" w:h="16840"/>
          <w:pgMar w:header="0" w:footer="695" w:top="1260" w:bottom="880" w:left="0" w:right="0"/>
          <w:cols w:num="2" w:equalWidth="0">
            <w:col w:w="5558" w:space="40"/>
            <w:col w:w="6312"/>
          </w:cols>
        </w:sectPr>
      </w:pPr>
    </w:p>
    <w:p>
      <w:pPr>
        <w:pStyle w:val="BodyText"/>
        <w:spacing w:before="77"/>
        <w:ind w:left="1474"/>
      </w:pPr>
      <w:r>
        <w:rPr>
          <w:color w:val="231F20"/>
        </w:rPr>
        <w:t>huracán Ian. Solicitaron la suspensión </w:t>
      </w:r>
      <w:r>
        <w:rPr>
          <w:color w:val="231F20"/>
        </w:rPr>
        <w:t>de cualquier sanción o regulación relevante para acelerar dicha respuesta, incluida la exportación de suministros humanitarios o médicos a Cuba.</w:t>
      </w:r>
    </w:p>
    <w:p>
      <w:pPr>
        <w:pStyle w:val="BodyText"/>
        <w:spacing w:before="164"/>
        <w:ind w:left="1474"/>
      </w:pPr>
      <w:r>
        <w:rPr>
          <w:b/>
          <w:color w:val="B52628"/>
        </w:rPr>
        <w:t>El 29 de octubre de 2022, </w:t>
      </w:r>
      <w:r>
        <w:rPr>
          <w:color w:val="231F20"/>
        </w:rPr>
        <w:t>más de </w:t>
      </w:r>
      <w:r>
        <w:rPr>
          <w:color w:val="231F20"/>
        </w:rPr>
        <w:t>un centenar de organizaciones solidarias</w:t>
      </w:r>
      <w:r>
        <w:rPr>
          <w:color w:val="231F20"/>
          <w:spacing w:val="80"/>
        </w:rPr>
        <w:t> </w:t>
      </w:r>
      <w:r>
        <w:rPr>
          <w:color w:val="231F20"/>
        </w:rPr>
        <w:t>con Cuba en EE.UU. realizaron una marcha en Nueva York para reclamar el fin del bloqueo económico, comercial y financiero. La manifestación se realizó desde el Times Square hasta la sede de las</w:t>
      </w:r>
      <w:r>
        <w:rPr>
          <w:color w:val="231F20"/>
          <w:spacing w:val="40"/>
        </w:rPr>
        <w:t> </w:t>
      </w:r>
      <w:r>
        <w:rPr>
          <w:color w:val="231F20"/>
        </w:rPr>
        <w:t>Naciones</w:t>
      </w:r>
      <w:r>
        <w:rPr>
          <w:color w:val="231F20"/>
          <w:spacing w:val="40"/>
        </w:rPr>
        <w:t> </w:t>
      </w:r>
      <w:r>
        <w:rPr>
          <w:color w:val="231F20"/>
        </w:rPr>
        <w:t>Unidas,</w:t>
      </w:r>
      <w:r>
        <w:rPr>
          <w:color w:val="231F20"/>
          <w:spacing w:val="40"/>
        </w:rPr>
        <w:t> </w:t>
      </w:r>
      <w:r>
        <w:rPr>
          <w:color w:val="231F20"/>
        </w:rPr>
        <w:t>como</w:t>
      </w:r>
      <w:r>
        <w:rPr>
          <w:color w:val="231F20"/>
          <w:spacing w:val="40"/>
        </w:rPr>
        <w:t> </w:t>
      </w:r>
      <w:r>
        <w:rPr>
          <w:color w:val="231F20"/>
        </w:rPr>
        <w:t>preludio</w:t>
      </w:r>
      <w:r>
        <w:rPr>
          <w:color w:val="231F20"/>
          <w:spacing w:val="40"/>
        </w:rPr>
        <w:t> </w:t>
      </w:r>
      <w:r>
        <w:rPr>
          <w:color w:val="231F20"/>
        </w:rPr>
        <w:t>a</w:t>
      </w:r>
      <w:r>
        <w:rPr>
          <w:color w:val="231F20"/>
          <w:spacing w:val="80"/>
        </w:rPr>
        <w:t> </w:t>
      </w:r>
      <w:r>
        <w:rPr>
          <w:color w:val="231F20"/>
        </w:rPr>
        <w:t>la</w:t>
      </w:r>
      <w:r>
        <w:rPr>
          <w:color w:val="231F20"/>
          <w:spacing w:val="40"/>
        </w:rPr>
        <w:t> </w:t>
      </w:r>
      <w:r>
        <w:rPr>
          <w:color w:val="231F20"/>
        </w:rPr>
        <w:t>votación</w:t>
      </w:r>
      <w:r>
        <w:rPr>
          <w:color w:val="231F20"/>
          <w:spacing w:val="40"/>
        </w:rPr>
        <w:t> </w:t>
      </w:r>
      <w:r>
        <w:rPr>
          <w:color w:val="231F20"/>
        </w:rPr>
        <w:t>de</w:t>
      </w:r>
      <w:r>
        <w:rPr>
          <w:color w:val="231F20"/>
          <w:spacing w:val="40"/>
        </w:rPr>
        <w:t> </w:t>
      </w:r>
      <w:r>
        <w:rPr>
          <w:color w:val="231F20"/>
        </w:rPr>
        <w:t>la</w:t>
      </w:r>
      <w:r>
        <w:rPr>
          <w:color w:val="231F20"/>
          <w:spacing w:val="40"/>
        </w:rPr>
        <w:t> </w:t>
      </w:r>
      <w:r>
        <w:rPr>
          <w:color w:val="231F20"/>
        </w:rPr>
        <w:t>resolución</w:t>
      </w:r>
      <w:r>
        <w:rPr>
          <w:color w:val="231F20"/>
          <w:spacing w:val="40"/>
        </w:rPr>
        <w:t> </w:t>
      </w:r>
      <w:r>
        <w:rPr>
          <w:color w:val="231F20"/>
        </w:rPr>
        <w:t>de</w:t>
      </w:r>
      <w:r>
        <w:rPr>
          <w:color w:val="231F20"/>
          <w:spacing w:val="40"/>
        </w:rPr>
        <w:t> </w:t>
      </w:r>
      <w:r>
        <w:rPr>
          <w:color w:val="231F20"/>
        </w:rPr>
        <w:t>rechazo al</w:t>
      </w:r>
      <w:r>
        <w:rPr>
          <w:color w:val="231F20"/>
          <w:spacing w:val="40"/>
        </w:rPr>
        <w:t> </w:t>
      </w:r>
      <w:r>
        <w:rPr>
          <w:color w:val="231F20"/>
        </w:rPr>
        <w:t>bloqueo</w:t>
      </w:r>
      <w:r>
        <w:rPr>
          <w:color w:val="231F20"/>
          <w:spacing w:val="40"/>
        </w:rPr>
        <w:t> </w:t>
      </w:r>
      <w:r>
        <w:rPr>
          <w:color w:val="231F20"/>
        </w:rPr>
        <w:t>en</w:t>
      </w:r>
      <w:r>
        <w:rPr>
          <w:color w:val="231F20"/>
          <w:spacing w:val="40"/>
        </w:rPr>
        <w:t> </w:t>
      </w:r>
      <w:r>
        <w:rPr>
          <w:color w:val="231F20"/>
        </w:rPr>
        <w:t>la</w:t>
      </w:r>
      <w:r>
        <w:rPr>
          <w:color w:val="231F20"/>
          <w:spacing w:val="40"/>
        </w:rPr>
        <w:t> </w:t>
      </w:r>
      <w:r>
        <w:rPr>
          <w:color w:val="231F20"/>
        </w:rPr>
        <w:t>Asamblea</w:t>
      </w:r>
      <w:r>
        <w:rPr>
          <w:color w:val="231F20"/>
          <w:spacing w:val="40"/>
        </w:rPr>
        <w:t> </w:t>
      </w:r>
      <w:r>
        <w:rPr>
          <w:color w:val="231F20"/>
        </w:rPr>
        <w:t>General</w:t>
      </w:r>
      <w:r>
        <w:rPr>
          <w:color w:val="231F20"/>
          <w:spacing w:val="40"/>
        </w:rPr>
        <w:t> </w:t>
      </w:r>
      <w:r>
        <w:rPr>
          <w:color w:val="231F20"/>
        </w:rPr>
        <w:t>de la ONU, a celebrarse entre los días 2 y 3 de noviembre. En la jornada participaron </w:t>
      </w:r>
      <w:r>
        <w:rPr>
          <w:color w:val="231F20"/>
          <w:spacing w:val="-4"/>
        </w:rPr>
        <w:t>Puentes</w:t>
      </w:r>
      <w:r>
        <w:rPr>
          <w:color w:val="231F20"/>
          <w:spacing w:val="-11"/>
        </w:rPr>
        <w:t> </w:t>
      </w:r>
      <w:r>
        <w:rPr>
          <w:color w:val="231F20"/>
          <w:spacing w:val="-4"/>
        </w:rPr>
        <w:t>de</w:t>
      </w:r>
      <w:r>
        <w:rPr>
          <w:color w:val="231F20"/>
          <w:spacing w:val="-11"/>
        </w:rPr>
        <w:t> </w:t>
      </w:r>
      <w:r>
        <w:rPr>
          <w:color w:val="231F20"/>
          <w:spacing w:val="-4"/>
        </w:rPr>
        <w:t>Amor,</w:t>
      </w:r>
      <w:r>
        <w:rPr>
          <w:color w:val="231F20"/>
          <w:spacing w:val="-11"/>
        </w:rPr>
        <w:t> </w:t>
      </w:r>
      <w:r>
        <w:rPr>
          <w:color w:val="231F20"/>
          <w:spacing w:val="-4"/>
        </w:rPr>
        <w:t>Code</w:t>
      </w:r>
      <w:r>
        <w:rPr>
          <w:color w:val="231F20"/>
          <w:spacing w:val="-11"/>
        </w:rPr>
        <w:t> </w:t>
      </w:r>
      <w:r>
        <w:rPr>
          <w:color w:val="231F20"/>
          <w:spacing w:val="-4"/>
        </w:rPr>
        <w:t>Pink</w:t>
      </w:r>
      <w:r>
        <w:rPr>
          <w:color w:val="231F20"/>
          <w:spacing w:val="-11"/>
        </w:rPr>
        <w:t> </w:t>
      </w:r>
      <w:r>
        <w:rPr>
          <w:color w:val="231F20"/>
          <w:spacing w:val="-4"/>
        </w:rPr>
        <w:t>y</w:t>
      </w:r>
      <w:r>
        <w:rPr>
          <w:color w:val="231F20"/>
          <w:spacing w:val="-11"/>
        </w:rPr>
        <w:t> </w:t>
      </w:r>
      <w:r>
        <w:rPr>
          <w:color w:val="231F20"/>
          <w:spacing w:val="-4"/>
        </w:rPr>
        <w:t>The</w:t>
      </w:r>
      <w:r>
        <w:rPr>
          <w:color w:val="231F20"/>
          <w:spacing w:val="-11"/>
        </w:rPr>
        <w:t> </w:t>
      </w:r>
      <w:r>
        <w:rPr>
          <w:color w:val="231F20"/>
          <w:spacing w:val="-4"/>
        </w:rPr>
        <w:t>People’s </w:t>
      </w:r>
      <w:r>
        <w:rPr>
          <w:color w:val="231F20"/>
        </w:rPr>
        <w:t>Forum,</w:t>
      </w:r>
      <w:r>
        <w:rPr>
          <w:color w:val="231F20"/>
          <w:spacing w:val="-5"/>
        </w:rPr>
        <w:t> </w:t>
      </w:r>
      <w:r>
        <w:rPr>
          <w:color w:val="231F20"/>
        </w:rPr>
        <w:t>entre</w:t>
      </w:r>
      <w:r>
        <w:rPr>
          <w:color w:val="231F20"/>
          <w:spacing w:val="-6"/>
        </w:rPr>
        <w:t> </w:t>
      </w:r>
      <w:r>
        <w:rPr>
          <w:color w:val="231F20"/>
        </w:rPr>
        <w:t>otras</w:t>
      </w:r>
      <w:r>
        <w:rPr>
          <w:color w:val="231F20"/>
          <w:spacing w:val="-6"/>
        </w:rPr>
        <w:t> </w:t>
      </w:r>
      <w:r>
        <w:rPr>
          <w:color w:val="231F20"/>
        </w:rPr>
        <w:t>asociaciones,</w:t>
      </w:r>
      <w:r>
        <w:rPr>
          <w:color w:val="231F20"/>
          <w:spacing w:val="-5"/>
        </w:rPr>
        <w:t> </w:t>
      </w:r>
      <w:r>
        <w:rPr>
          <w:color w:val="231F20"/>
        </w:rPr>
        <w:t>así</w:t>
      </w:r>
      <w:r>
        <w:rPr>
          <w:color w:val="231F20"/>
          <w:spacing w:val="-5"/>
        </w:rPr>
        <w:t> </w:t>
      </w:r>
      <w:r>
        <w:rPr>
          <w:color w:val="231F20"/>
        </w:rPr>
        <w:t>como representantes de la comunidad cubana de emigrados.</w:t>
      </w:r>
    </w:p>
    <w:p>
      <w:pPr>
        <w:pStyle w:val="BodyText"/>
        <w:spacing w:before="172"/>
        <w:ind w:left="1474"/>
      </w:pPr>
      <w:r>
        <w:rPr>
          <w:b/>
          <w:color w:val="B52628"/>
        </w:rPr>
        <w:t>El 29 de octubre de 2022, </w:t>
      </w:r>
      <w:r>
        <w:rPr>
          <w:color w:val="231F20"/>
        </w:rPr>
        <w:t>miembros de la organización Code Pink </w:t>
      </w:r>
      <w:r>
        <w:rPr>
          <w:color w:val="231F20"/>
        </w:rPr>
        <w:t>comunicaron</w:t>
      </w:r>
      <w:r>
        <w:rPr>
          <w:color w:val="231F20"/>
          <w:spacing w:val="80"/>
          <w:w w:val="150"/>
        </w:rPr>
        <w:t> </w:t>
      </w:r>
      <w:r>
        <w:rPr>
          <w:color w:val="231F20"/>
        </w:rPr>
        <w:t>a través de redes sociales que habían solicitado la retirada de Cuba de la Lista de</w:t>
      </w:r>
      <w:r>
        <w:rPr>
          <w:color w:val="231F20"/>
          <w:spacing w:val="-3"/>
        </w:rPr>
        <w:t> </w:t>
      </w:r>
      <w:r>
        <w:rPr>
          <w:color w:val="231F20"/>
        </w:rPr>
        <w:t>Estados</w:t>
      </w:r>
      <w:r>
        <w:rPr>
          <w:color w:val="231F20"/>
          <w:spacing w:val="-3"/>
        </w:rPr>
        <w:t> </w:t>
      </w:r>
      <w:r>
        <w:rPr>
          <w:color w:val="231F20"/>
        </w:rPr>
        <w:t>Patrocinadores</w:t>
      </w:r>
      <w:r>
        <w:rPr>
          <w:color w:val="231F20"/>
          <w:spacing w:val="-4"/>
        </w:rPr>
        <w:t> </w:t>
      </w:r>
      <w:r>
        <w:rPr>
          <w:color w:val="231F20"/>
        </w:rPr>
        <w:t>del</w:t>
      </w:r>
      <w:r>
        <w:rPr>
          <w:color w:val="231F20"/>
          <w:spacing w:val="-3"/>
        </w:rPr>
        <w:t> </w:t>
      </w:r>
      <w:r>
        <w:rPr>
          <w:color w:val="231F20"/>
        </w:rPr>
        <w:t>Terrorismo </w:t>
      </w:r>
      <w:r>
        <w:rPr>
          <w:color w:val="231F20"/>
          <w:spacing w:val="-2"/>
        </w:rPr>
        <w:t>durante</w:t>
      </w:r>
      <w:r>
        <w:rPr>
          <w:color w:val="231F20"/>
          <w:spacing w:val="-12"/>
        </w:rPr>
        <w:t> </w:t>
      </w:r>
      <w:r>
        <w:rPr>
          <w:color w:val="231F20"/>
          <w:spacing w:val="-2"/>
        </w:rPr>
        <w:t>un</w:t>
      </w:r>
      <w:r>
        <w:rPr>
          <w:color w:val="231F20"/>
          <w:spacing w:val="-11"/>
        </w:rPr>
        <w:t> </w:t>
      </w:r>
      <w:r>
        <w:rPr>
          <w:color w:val="231F20"/>
          <w:spacing w:val="-2"/>
        </w:rPr>
        <w:t>encuentro</w:t>
      </w:r>
      <w:r>
        <w:rPr>
          <w:color w:val="231F20"/>
          <w:spacing w:val="-11"/>
        </w:rPr>
        <w:t> </w:t>
      </w:r>
      <w:r>
        <w:rPr>
          <w:color w:val="231F20"/>
          <w:spacing w:val="-2"/>
        </w:rPr>
        <w:t>con</w:t>
      </w:r>
      <w:r>
        <w:rPr>
          <w:color w:val="231F20"/>
          <w:spacing w:val="-11"/>
        </w:rPr>
        <w:t> </w:t>
      </w:r>
      <w:r>
        <w:rPr>
          <w:color w:val="231F20"/>
          <w:spacing w:val="-2"/>
        </w:rPr>
        <w:t>funcionarios</w:t>
      </w:r>
      <w:r>
        <w:rPr>
          <w:color w:val="231F20"/>
          <w:spacing w:val="-11"/>
        </w:rPr>
        <w:t> </w:t>
      </w:r>
      <w:r>
        <w:rPr>
          <w:color w:val="231F20"/>
          <w:spacing w:val="-2"/>
        </w:rPr>
        <w:t>del </w:t>
      </w:r>
      <w:r>
        <w:rPr>
          <w:color w:val="231F20"/>
        </w:rPr>
        <w:t>Departamento</w:t>
      </w:r>
      <w:r>
        <w:rPr>
          <w:color w:val="231F20"/>
          <w:spacing w:val="-9"/>
        </w:rPr>
        <w:t> </w:t>
      </w:r>
      <w:r>
        <w:rPr>
          <w:color w:val="231F20"/>
        </w:rPr>
        <w:t>de</w:t>
      </w:r>
      <w:r>
        <w:rPr>
          <w:color w:val="231F20"/>
          <w:spacing w:val="-9"/>
        </w:rPr>
        <w:t> </w:t>
      </w:r>
      <w:r>
        <w:rPr>
          <w:color w:val="231F20"/>
        </w:rPr>
        <w:t>Estado.</w:t>
      </w:r>
      <w:r>
        <w:rPr>
          <w:color w:val="231F20"/>
          <w:spacing w:val="-9"/>
        </w:rPr>
        <w:t> </w:t>
      </w:r>
      <w:r>
        <w:rPr>
          <w:color w:val="231F20"/>
        </w:rPr>
        <w:t>La</w:t>
      </w:r>
      <w:r>
        <w:rPr>
          <w:color w:val="231F20"/>
          <w:spacing w:val="-9"/>
        </w:rPr>
        <w:t> </w:t>
      </w:r>
      <w:r>
        <w:rPr>
          <w:color w:val="231F20"/>
        </w:rPr>
        <w:t>organización dirigió una solicitud firmada por 10 mil personas y más de 100 organizaciones al presidente</w:t>
      </w:r>
      <w:r>
        <w:rPr>
          <w:color w:val="231F20"/>
          <w:spacing w:val="-7"/>
        </w:rPr>
        <w:t> </w:t>
      </w:r>
      <w:r>
        <w:rPr>
          <w:color w:val="231F20"/>
        </w:rPr>
        <w:t>Biden</w:t>
      </w:r>
      <w:r>
        <w:rPr>
          <w:color w:val="231F20"/>
          <w:spacing w:val="-7"/>
        </w:rPr>
        <w:t> </w:t>
      </w:r>
      <w:r>
        <w:rPr>
          <w:color w:val="231F20"/>
        </w:rPr>
        <w:t>y</w:t>
      </w:r>
      <w:r>
        <w:rPr>
          <w:color w:val="231F20"/>
          <w:spacing w:val="-7"/>
        </w:rPr>
        <w:t> </w:t>
      </w:r>
      <w:r>
        <w:rPr>
          <w:color w:val="231F20"/>
        </w:rPr>
        <w:t>a</w:t>
      </w:r>
      <w:r>
        <w:rPr>
          <w:color w:val="231F20"/>
          <w:spacing w:val="-7"/>
        </w:rPr>
        <w:t> </w:t>
      </w:r>
      <w:r>
        <w:rPr>
          <w:color w:val="231F20"/>
        </w:rPr>
        <w:t>la</w:t>
      </w:r>
      <w:r>
        <w:rPr>
          <w:color w:val="231F20"/>
          <w:spacing w:val="-7"/>
        </w:rPr>
        <w:t> </w:t>
      </w:r>
      <w:r>
        <w:rPr>
          <w:color w:val="231F20"/>
        </w:rPr>
        <w:t>embajadora</w:t>
      </w:r>
      <w:r>
        <w:rPr>
          <w:color w:val="231F20"/>
          <w:spacing w:val="-7"/>
        </w:rPr>
        <w:t> </w:t>
      </w:r>
      <w:r>
        <w:rPr>
          <w:color w:val="231F20"/>
        </w:rPr>
        <w:t>de</w:t>
      </w:r>
      <w:r>
        <w:rPr>
          <w:color w:val="231F20"/>
          <w:spacing w:val="-7"/>
        </w:rPr>
        <w:t> </w:t>
      </w:r>
      <w:r>
        <w:rPr>
          <w:color w:val="231F20"/>
        </w:rPr>
        <w:t>los Estados Unidos ante la ONU, Sra. Linda Thomas-Greenfield, para avanzar en el acercamiento con Cuba.</w:t>
      </w:r>
    </w:p>
    <w:p>
      <w:pPr>
        <w:pStyle w:val="BodyText"/>
        <w:spacing w:before="170"/>
        <w:ind w:left="1474"/>
      </w:pPr>
      <w:r>
        <w:rPr>
          <w:b/>
          <w:color w:val="B52628"/>
        </w:rPr>
        <w:t>El 30 de octubre de 2022, </w:t>
      </w:r>
      <w:r>
        <w:rPr>
          <w:color w:val="231F20"/>
        </w:rPr>
        <w:t>se realizó </w:t>
      </w:r>
      <w:r>
        <w:rPr>
          <w:color w:val="231F20"/>
        </w:rPr>
        <w:t>una nueva caravana en Miami, Florida, para reclamar el fin del bloqueo contra Cuba. También se registraron manifestaciones por</w:t>
      </w:r>
      <w:r>
        <w:rPr>
          <w:color w:val="231F20"/>
          <w:spacing w:val="-2"/>
        </w:rPr>
        <w:t> </w:t>
      </w:r>
      <w:r>
        <w:rPr>
          <w:color w:val="231F20"/>
        </w:rPr>
        <w:t>la</w:t>
      </w:r>
      <w:r>
        <w:rPr>
          <w:color w:val="231F20"/>
          <w:spacing w:val="-2"/>
        </w:rPr>
        <w:t> </w:t>
      </w:r>
      <w:r>
        <w:rPr>
          <w:color w:val="231F20"/>
        </w:rPr>
        <w:t>misma</w:t>
      </w:r>
      <w:r>
        <w:rPr>
          <w:color w:val="231F20"/>
          <w:spacing w:val="-2"/>
        </w:rPr>
        <w:t> </w:t>
      </w:r>
      <w:r>
        <w:rPr>
          <w:color w:val="231F20"/>
        </w:rPr>
        <w:t>causa</w:t>
      </w:r>
      <w:r>
        <w:rPr>
          <w:color w:val="231F20"/>
          <w:spacing w:val="-2"/>
        </w:rPr>
        <w:t> </w:t>
      </w:r>
      <w:r>
        <w:rPr>
          <w:color w:val="231F20"/>
        </w:rPr>
        <w:t>en</w:t>
      </w:r>
      <w:r>
        <w:rPr>
          <w:color w:val="231F20"/>
          <w:spacing w:val="-2"/>
        </w:rPr>
        <w:t> </w:t>
      </w:r>
      <w:r>
        <w:rPr>
          <w:color w:val="231F20"/>
        </w:rPr>
        <w:t>Portland</w:t>
      </w:r>
      <w:r>
        <w:rPr>
          <w:color w:val="231F20"/>
          <w:spacing w:val="-2"/>
        </w:rPr>
        <w:t> </w:t>
      </w:r>
      <w:r>
        <w:rPr>
          <w:color w:val="231F20"/>
        </w:rPr>
        <w:t>(Oregón), Minneapolis y Duluth, (Minnesota), </w:t>
      </w:r>
      <w:r>
        <w:rPr>
          <w:color w:val="231F20"/>
          <w:spacing w:val="-2"/>
        </w:rPr>
        <w:t>Phoenix</w:t>
      </w:r>
      <w:r>
        <w:rPr>
          <w:color w:val="231F20"/>
          <w:spacing w:val="-17"/>
        </w:rPr>
        <w:t> </w:t>
      </w:r>
      <w:r>
        <w:rPr>
          <w:color w:val="231F20"/>
          <w:spacing w:val="-2"/>
        </w:rPr>
        <w:t>(Arizona)</w:t>
      </w:r>
      <w:r>
        <w:rPr>
          <w:color w:val="231F20"/>
          <w:spacing w:val="-15"/>
        </w:rPr>
        <w:t> </w:t>
      </w:r>
      <w:r>
        <w:rPr>
          <w:color w:val="231F20"/>
          <w:spacing w:val="-2"/>
        </w:rPr>
        <w:t>y</w:t>
      </w:r>
      <w:r>
        <w:rPr>
          <w:color w:val="231F20"/>
          <w:spacing w:val="-15"/>
        </w:rPr>
        <w:t> </w:t>
      </w:r>
      <w:r>
        <w:rPr>
          <w:color w:val="231F20"/>
          <w:spacing w:val="-2"/>
        </w:rPr>
        <w:t>Hartford</w:t>
      </w:r>
      <w:r>
        <w:rPr>
          <w:color w:val="231F20"/>
          <w:spacing w:val="-14"/>
        </w:rPr>
        <w:t> </w:t>
      </w:r>
      <w:r>
        <w:rPr>
          <w:color w:val="231F20"/>
          <w:spacing w:val="-2"/>
        </w:rPr>
        <w:t>(Connecticut).</w:t>
      </w:r>
    </w:p>
    <w:p>
      <w:pPr>
        <w:pStyle w:val="Heading4"/>
        <w:spacing w:before="166"/>
        <w:jc w:val="both"/>
        <w:rPr>
          <w:b w:val="0"/>
        </w:rPr>
      </w:pPr>
      <w:r>
        <w:rPr>
          <w:color w:val="B52628"/>
        </w:rPr>
        <w:t>El</w:t>
      </w:r>
      <w:r>
        <w:rPr>
          <w:color w:val="B52628"/>
          <w:spacing w:val="77"/>
          <w:w w:val="150"/>
        </w:rPr>
        <w:t> </w:t>
      </w:r>
      <w:r>
        <w:rPr>
          <w:color w:val="B52628"/>
        </w:rPr>
        <w:t>1ro</w:t>
      </w:r>
      <w:r>
        <w:rPr>
          <w:color w:val="B52628"/>
          <w:spacing w:val="77"/>
          <w:w w:val="150"/>
        </w:rPr>
        <w:t> </w:t>
      </w:r>
      <w:r>
        <w:rPr>
          <w:color w:val="B52628"/>
        </w:rPr>
        <w:t>de</w:t>
      </w:r>
      <w:r>
        <w:rPr>
          <w:color w:val="B52628"/>
          <w:spacing w:val="78"/>
          <w:w w:val="150"/>
        </w:rPr>
        <w:t> </w:t>
      </w:r>
      <w:r>
        <w:rPr>
          <w:color w:val="B52628"/>
        </w:rPr>
        <w:t>noviembre</w:t>
      </w:r>
      <w:r>
        <w:rPr>
          <w:color w:val="B52628"/>
          <w:spacing w:val="77"/>
          <w:w w:val="150"/>
        </w:rPr>
        <w:t> </w:t>
      </w:r>
      <w:r>
        <w:rPr>
          <w:color w:val="B52628"/>
        </w:rPr>
        <w:t>de</w:t>
      </w:r>
      <w:r>
        <w:rPr>
          <w:color w:val="B52628"/>
          <w:spacing w:val="77"/>
          <w:w w:val="150"/>
        </w:rPr>
        <w:t> </w:t>
      </w:r>
      <w:r>
        <w:rPr>
          <w:color w:val="B52628"/>
        </w:rPr>
        <w:t>2022,</w:t>
      </w:r>
      <w:r>
        <w:rPr>
          <w:color w:val="B52628"/>
          <w:spacing w:val="76"/>
          <w:w w:val="150"/>
        </w:rPr>
        <w:t> </w:t>
      </w:r>
      <w:r>
        <w:rPr>
          <w:b w:val="0"/>
          <w:color w:val="231F20"/>
          <w:spacing w:val="-5"/>
        </w:rPr>
        <w:t>una</w:t>
      </w:r>
    </w:p>
    <w:p>
      <w:pPr>
        <w:pStyle w:val="BodyText"/>
        <w:spacing w:before="77"/>
        <w:ind w:left="412" w:right="1130"/>
      </w:pPr>
      <w:r>
        <w:rPr/>
        <w:br w:type="column"/>
      </w:r>
      <w:r>
        <w:rPr>
          <w:color w:val="231F20"/>
        </w:rPr>
        <w:t>delegación internacional de científicos </w:t>
      </w:r>
      <w:r>
        <w:rPr>
          <w:color w:val="231F20"/>
          <w:spacing w:val="-4"/>
        </w:rPr>
        <w:t>encabezada</w:t>
      </w:r>
      <w:r>
        <w:rPr>
          <w:color w:val="231F20"/>
          <w:spacing w:val="-11"/>
        </w:rPr>
        <w:t> </w:t>
      </w:r>
      <w:r>
        <w:rPr>
          <w:color w:val="231F20"/>
          <w:spacing w:val="-4"/>
        </w:rPr>
        <w:t>por</w:t>
      </w:r>
      <w:r>
        <w:rPr>
          <w:color w:val="231F20"/>
          <w:spacing w:val="-11"/>
        </w:rPr>
        <w:t> </w:t>
      </w:r>
      <w:r>
        <w:rPr>
          <w:color w:val="231F20"/>
          <w:spacing w:val="-4"/>
        </w:rPr>
        <w:t>expertos</w:t>
      </w:r>
      <w:r>
        <w:rPr>
          <w:color w:val="231F20"/>
          <w:spacing w:val="-11"/>
        </w:rPr>
        <w:t> </w:t>
      </w:r>
      <w:r>
        <w:rPr>
          <w:color w:val="231F20"/>
          <w:spacing w:val="-4"/>
        </w:rPr>
        <w:t>de</w:t>
      </w:r>
      <w:r>
        <w:rPr>
          <w:color w:val="231F20"/>
          <w:spacing w:val="-11"/>
        </w:rPr>
        <w:t> </w:t>
      </w:r>
      <w:r>
        <w:rPr>
          <w:color w:val="231F20"/>
          <w:spacing w:val="-4"/>
        </w:rPr>
        <w:t>EE.UU.</w:t>
      </w:r>
      <w:r>
        <w:rPr>
          <w:color w:val="231F20"/>
          <w:spacing w:val="-11"/>
        </w:rPr>
        <w:t> </w:t>
      </w:r>
      <w:r>
        <w:rPr>
          <w:color w:val="231F20"/>
          <w:spacing w:val="-4"/>
        </w:rPr>
        <w:t>publicó </w:t>
      </w:r>
      <w:r>
        <w:rPr>
          <w:color w:val="231F20"/>
        </w:rPr>
        <w:t>un</w:t>
      </w:r>
      <w:r>
        <w:rPr>
          <w:color w:val="231F20"/>
          <w:spacing w:val="-10"/>
        </w:rPr>
        <w:t> </w:t>
      </w:r>
      <w:r>
        <w:rPr>
          <w:color w:val="231F20"/>
        </w:rPr>
        <w:t>informe</w:t>
      </w:r>
      <w:r>
        <w:rPr>
          <w:color w:val="231F20"/>
          <w:spacing w:val="-10"/>
        </w:rPr>
        <w:t> </w:t>
      </w:r>
      <w:r>
        <w:rPr>
          <w:color w:val="231F20"/>
        </w:rPr>
        <w:t>en</w:t>
      </w:r>
      <w:r>
        <w:rPr>
          <w:color w:val="231F20"/>
          <w:spacing w:val="-10"/>
        </w:rPr>
        <w:t> </w:t>
      </w:r>
      <w:r>
        <w:rPr>
          <w:color w:val="231F20"/>
        </w:rPr>
        <w:t>el</w:t>
      </w:r>
      <w:r>
        <w:rPr>
          <w:color w:val="231F20"/>
          <w:spacing w:val="-10"/>
        </w:rPr>
        <w:t> </w:t>
      </w:r>
      <w:r>
        <w:rPr>
          <w:color w:val="231F20"/>
        </w:rPr>
        <w:t>que</w:t>
      </w:r>
      <w:r>
        <w:rPr>
          <w:color w:val="231F20"/>
          <w:spacing w:val="-10"/>
        </w:rPr>
        <w:t> </w:t>
      </w:r>
      <w:r>
        <w:rPr>
          <w:color w:val="231F20"/>
        </w:rPr>
        <w:t>se</w:t>
      </w:r>
      <w:r>
        <w:rPr>
          <w:color w:val="231F20"/>
          <w:spacing w:val="-10"/>
        </w:rPr>
        <w:t> </w:t>
      </w:r>
      <w:r>
        <w:rPr>
          <w:color w:val="231F20"/>
        </w:rPr>
        <w:t>solicitó</w:t>
      </w:r>
      <w:r>
        <w:rPr>
          <w:color w:val="231F20"/>
          <w:spacing w:val="-10"/>
        </w:rPr>
        <w:t> </w:t>
      </w:r>
      <w:r>
        <w:rPr>
          <w:color w:val="231F20"/>
        </w:rPr>
        <w:t>reducir</w:t>
      </w:r>
      <w:r>
        <w:rPr>
          <w:color w:val="231F20"/>
          <w:spacing w:val="-10"/>
        </w:rPr>
        <w:t> </w:t>
      </w:r>
      <w:r>
        <w:rPr>
          <w:color w:val="231F20"/>
        </w:rPr>
        <w:t>las barreras para aumentar la colaboración con la industria biotecnológica cubana.</w:t>
      </w:r>
      <w:r>
        <w:rPr>
          <w:color w:val="231F20"/>
          <w:spacing w:val="80"/>
          <w:w w:val="150"/>
        </w:rPr>
        <w:t> </w:t>
      </w:r>
      <w:r>
        <w:rPr>
          <w:color w:val="231F20"/>
        </w:rPr>
        <w:t>El</w:t>
      </w:r>
      <w:r>
        <w:rPr>
          <w:color w:val="231F20"/>
          <w:spacing w:val="40"/>
        </w:rPr>
        <w:t> </w:t>
      </w:r>
      <w:r>
        <w:rPr>
          <w:color w:val="231F20"/>
        </w:rPr>
        <w:t>director</w:t>
      </w:r>
      <w:r>
        <w:rPr>
          <w:color w:val="231F20"/>
          <w:spacing w:val="40"/>
        </w:rPr>
        <w:t> </w:t>
      </w:r>
      <w:r>
        <w:rPr>
          <w:color w:val="231F20"/>
        </w:rPr>
        <w:t>del</w:t>
      </w:r>
      <w:r>
        <w:rPr>
          <w:color w:val="231F20"/>
          <w:spacing w:val="40"/>
        </w:rPr>
        <w:t> </w:t>
      </w:r>
      <w:r>
        <w:rPr>
          <w:color w:val="231F20"/>
        </w:rPr>
        <w:t>Centro</w:t>
      </w:r>
      <w:r>
        <w:rPr>
          <w:color w:val="231F20"/>
          <w:spacing w:val="40"/>
        </w:rPr>
        <w:t> </w:t>
      </w:r>
      <w:r>
        <w:rPr>
          <w:color w:val="231F20"/>
        </w:rPr>
        <w:t>de</w:t>
      </w:r>
      <w:r>
        <w:rPr>
          <w:color w:val="231F20"/>
          <w:spacing w:val="40"/>
        </w:rPr>
        <w:t> </w:t>
      </w:r>
      <w:r>
        <w:rPr>
          <w:color w:val="231F20"/>
        </w:rPr>
        <w:t>Investigación</w:t>
      </w:r>
      <w:r>
        <w:rPr>
          <w:color w:val="231F20"/>
          <w:spacing w:val="80"/>
        </w:rPr>
        <w:t> </w:t>
      </w:r>
      <w:r>
        <w:rPr>
          <w:color w:val="231F20"/>
        </w:rPr>
        <w:t>y Políticas de Enfermedades Infecciosas de la Universidad de Minnesota, Michael Osterholm,</w:t>
      </w:r>
      <w:r>
        <w:rPr>
          <w:color w:val="231F20"/>
          <w:spacing w:val="-2"/>
        </w:rPr>
        <w:t> </w:t>
      </w:r>
      <w:r>
        <w:rPr>
          <w:color w:val="231F20"/>
        </w:rPr>
        <w:t>refirió</w:t>
      </w:r>
      <w:r>
        <w:rPr>
          <w:color w:val="231F20"/>
          <w:spacing w:val="-3"/>
        </w:rPr>
        <w:t> </w:t>
      </w:r>
      <w:r>
        <w:rPr>
          <w:color w:val="231F20"/>
        </w:rPr>
        <w:t>en</w:t>
      </w:r>
      <w:r>
        <w:rPr>
          <w:color w:val="231F20"/>
          <w:spacing w:val="-3"/>
        </w:rPr>
        <w:t> </w:t>
      </w:r>
      <w:r>
        <w:rPr>
          <w:color w:val="231F20"/>
        </w:rPr>
        <w:t>el</w:t>
      </w:r>
      <w:r>
        <w:rPr>
          <w:color w:val="231F20"/>
          <w:spacing w:val="-2"/>
        </w:rPr>
        <w:t> </w:t>
      </w:r>
      <w:r>
        <w:rPr>
          <w:color w:val="231F20"/>
        </w:rPr>
        <w:t>informe</w:t>
      </w:r>
      <w:r>
        <w:rPr>
          <w:color w:val="231F20"/>
          <w:spacing w:val="-3"/>
        </w:rPr>
        <w:t> </w:t>
      </w:r>
      <w:r>
        <w:rPr>
          <w:color w:val="231F20"/>
        </w:rPr>
        <w:t>que,</w:t>
      </w:r>
      <w:r>
        <w:rPr>
          <w:color w:val="231F20"/>
          <w:spacing w:val="-3"/>
        </w:rPr>
        <w:t> </w:t>
      </w:r>
      <w:r>
        <w:rPr>
          <w:color w:val="231F20"/>
        </w:rPr>
        <w:t>pese a la complejidad de la política, se debían enfrentar los obstáculos que impiden la cooperación en esta área.</w:t>
      </w:r>
    </w:p>
    <w:p>
      <w:pPr>
        <w:pStyle w:val="BodyText"/>
        <w:spacing w:before="169"/>
        <w:ind w:left="412" w:right="1130"/>
      </w:pPr>
      <w:r>
        <w:rPr>
          <w:b/>
          <w:color w:val="B52628"/>
        </w:rPr>
        <w:t>El 3 de noviembre de 2022, </w:t>
      </w:r>
      <w:r>
        <w:rPr>
          <w:color w:val="231F20"/>
        </w:rPr>
        <w:t>en el marco de</w:t>
      </w:r>
      <w:r>
        <w:rPr>
          <w:color w:val="231F20"/>
          <w:spacing w:val="-2"/>
        </w:rPr>
        <w:t> </w:t>
      </w:r>
      <w:r>
        <w:rPr>
          <w:color w:val="231F20"/>
        </w:rPr>
        <w:t>la</w:t>
      </w:r>
      <w:r>
        <w:rPr>
          <w:color w:val="231F20"/>
          <w:spacing w:val="-2"/>
        </w:rPr>
        <w:t> </w:t>
      </w:r>
      <w:r>
        <w:rPr>
          <w:color w:val="231F20"/>
        </w:rPr>
        <w:t>trigésima</w:t>
      </w:r>
      <w:r>
        <w:rPr>
          <w:color w:val="231F20"/>
          <w:spacing w:val="-2"/>
        </w:rPr>
        <w:t> </w:t>
      </w:r>
      <w:r>
        <w:rPr>
          <w:color w:val="231F20"/>
        </w:rPr>
        <w:t>votación</w:t>
      </w:r>
      <w:r>
        <w:rPr>
          <w:color w:val="231F20"/>
          <w:spacing w:val="-2"/>
        </w:rPr>
        <w:t> </w:t>
      </w:r>
      <w:r>
        <w:rPr>
          <w:color w:val="231F20"/>
        </w:rPr>
        <w:t>ante</w:t>
      </w:r>
      <w:r>
        <w:rPr>
          <w:color w:val="231F20"/>
          <w:spacing w:val="-2"/>
        </w:rPr>
        <w:t> </w:t>
      </w:r>
      <w:r>
        <w:rPr>
          <w:color w:val="231F20"/>
        </w:rPr>
        <w:t>la</w:t>
      </w:r>
      <w:r>
        <w:rPr>
          <w:color w:val="231F20"/>
          <w:spacing w:val="-2"/>
        </w:rPr>
        <w:t> </w:t>
      </w:r>
      <w:r>
        <w:rPr>
          <w:color w:val="231F20"/>
        </w:rPr>
        <w:t>Asamblea General de la Organización de Naciones Unidas sobre el proyecto de resolución “Necesidad de poner fin al bloqueo económico, comercial y financiero impuesto por los Estados Unidos a</w:t>
      </w:r>
      <w:r>
        <w:rPr>
          <w:color w:val="231F20"/>
          <w:spacing w:val="80"/>
        </w:rPr>
        <w:t> </w:t>
      </w:r>
      <w:r>
        <w:rPr>
          <w:color w:val="231F20"/>
        </w:rPr>
        <w:t>Cuba”,</w:t>
      </w:r>
      <w:r>
        <w:rPr>
          <w:color w:val="231F20"/>
          <w:spacing w:val="80"/>
        </w:rPr>
        <w:t> </w:t>
      </w:r>
      <w:r>
        <w:rPr>
          <w:color w:val="231F20"/>
        </w:rPr>
        <w:t>el</w:t>
      </w:r>
      <w:r>
        <w:rPr>
          <w:color w:val="231F20"/>
          <w:spacing w:val="80"/>
        </w:rPr>
        <w:t> </w:t>
      </w:r>
      <w:r>
        <w:rPr>
          <w:color w:val="231F20"/>
        </w:rPr>
        <w:t>Centro</w:t>
      </w:r>
      <w:r>
        <w:rPr>
          <w:color w:val="231F20"/>
          <w:spacing w:val="80"/>
        </w:rPr>
        <w:t> </w:t>
      </w:r>
      <w:r>
        <w:rPr>
          <w:color w:val="231F20"/>
        </w:rPr>
        <w:t>para</w:t>
      </w:r>
      <w:r>
        <w:rPr>
          <w:color w:val="231F20"/>
          <w:spacing w:val="80"/>
        </w:rPr>
        <w:t> </w:t>
      </w:r>
      <w:r>
        <w:rPr>
          <w:color w:val="231F20"/>
        </w:rPr>
        <w:t>la</w:t>
      </w:r>
      <w:r>
        <w:rPr>
          <w:color w:val="231F20"/>
          <w:spacing w:val="80"/>
        </w:rPr>
        <w:t> </w:t>
      </w:r>
      <w:r>
        <w:rPr>
          <w:color w:val="231F20"/>
        </w:rPr>
        <w:t>Democracia en</w:t>
      </w:r>
      <w:r>
        <w:rPr>
          <w:color w:val="231F20"/>
          <w:spacing w:val="40"/>
        </w:rPr>
        <w:t> </w:t>
      </w:r>
      <w:r>
        <w:rPr>
          <w:color w:val="231F20"/>
        </w:rPr>
        <w:t>las</w:t>
      </w:r>
      <w:r>
        <w:rPr>
          <w:color w:val="231F20"/>
          <w:spacing w:val="40"/>
        </w:rPr>
        <w:t> </w:t>
      </w:r>
      <w:r>
        <w:rPr>
          <w:color w:val="231F20"/>
        </w:rPr>
        <w:t>Américas</w:t>
      </w:r>
      <w:r>
        <w:rPr>
          <w:color w:val="231F20"/>
          <w:spacing w:val="40"/>
        </w:rPr>
        <w:t> </w:t>
      </w:r>
      <w:r>
        <w:rPr>
          <w:color w:val="231F20"/>
        </w:rPr>
        <w:t>(CDA)</w:t>
      </w:r>
      <w:r>
        <w:rPr>
          <w:color w:val="231F20"/>
          <w:spacing w:val="40"/>
        </w:rPr>
        <w:t> </w:t>
      </w:r>
      <w:r>
        <w:rPr>
          <w:color w:val="231F20"/>
        </w:rPr>
        <w:t>publicó</w:t>
      </w:r>
      <w:r>
        <w:rPr>
          <w:color w:val="231F20"/>
          <w:spacing w:val="40"/>
        </w:rPr>
        <w:t> </w:t>
      </w:r>
      <w:r>
        <w:rPr>
          <w:color w:val="231F20"/>
        </w:rPr>
        <w:t>un</w:t>
      </w:r>
      <w:r>
        <w:rPr>
          <w:color w:val="231F20"/>
          <w:spacing w:val="40"/>
        </w:rPr>
        <w:t> </w:t>
      </w:r>
      <w:r>
        <w:rPr>
          <w:color w:val="231F20"/>
        </w:rPr>
        <w:t>hilo de mensajes en Twitter donde criticó la política mantenida por el gobierno de los Estados Unidos durante más de 60 años contra Cuba y abordó los efectos del bloqueo para el pueblo cubano.</w:t>
      </w:r>
    </w:p>
    <w:p>
      <w:pPr>
        <w:pStyle w:val="BodyText"/>
        <w:spacing w:before="171"/>
        <w:ind w:left="412" w:right="1130"/>
      </w:pPr>
      <w:r>
        <w:rPr>
          <w:b/>
          <w:color w:val="B52628"/>
        </w:rPr>
        <w:t>El 3 de noviembre de 2022, </w:t>
      </w:r>
      <w:r>
        <w:rPr>
          <w:color w:val="231F20"/>
        </w:rPr>
        <w:t>el </w:t>
      </w:r>
      <w:r>
        <w:rPr>
          <w:color w:val="231F20"/>
        </w:rPr>
        <w:t>Consejo Mundial de Iglesias envió una carta al presidente cubano Miguel Díaz-Canel en solidaridad con la resolución presentada contra</w:t>
      </w:r>
      <w:r>
        <w:rPr>
          <w:color w:val="231F20"/>
          <w:spacing w:val="-6"/>
        </w:rPr>
        <w:t> </w:t>
      </w:r>
      <w:r>
        <w:rPr>
          <w:color w:val="231F20"/>
        </w:rPr>
        <w:t>el</w:t>
      </w:r>
      <w:r>
        <w:rPr>
          <w:color w:val="231F20"/>
          <w:spacing w:val="-6"/>
        </w:rPr>
        <w:t> </w:t>
      </w:r>
      <w:r>
        <w:rPr>
          <w:color w:val="231F20"/>
        </w:rPr>
        <w:t>bloqueo</w:t>
      </w:r>
      <w:r>
        <w:rPr>
          <w:color w:val="231F20"/>
          <w:spacing w:val="-6"/>
        </w:rPr>
        <w:t> </w:t>
      </w:r>
      <w:r>
        <w:rPr>
          <w:color w:val="231F20"/>
        </w:rPr>
        <w:t>en</w:t>
      </w:r>
      <w:r>
        <w:rPr>
          <w:color w:val="231F20"/>
          <w:spacing w:val="-6"/>
        </w:rPr>
        <w:t> </w:t>
      </w:r>
      <w:r>
        <w:rPr>
          <w:color w:val="231F20"/>
        </w:rPr>
        <w:t>la</w:t>
      </w:r>
      <w:r>
        <w:rPr>
          <w:color w:val="231F20"/>
          <w:spacing w:val="-6"/>
        </w:rPr>
        <w:t> </w:t>
      </w:r>
      <w:r>
        <w:rPr>
          <w:color w:val="231F20"/>
        </w:rPr>
        <w:t>Asamblea</w:t>
      </w:r>
      <w:r>
        <w:rPr>
          <w:color w:val="231F20"/>
          <w:spacing w:val="-6"/>
        </w:rPr>
        <w:t> </w:t>
      </w:r>
      <w:r>
        <w:rPr>
          <w:color w:val="231F20"/>
        </w:rPr>
        <w:t>General de Naciones Unidas y a favor del llamado para excluir a Cuba de la Lista de Estados Patrocinadores del Terrorismo.</w:t>
      </w:r>
    </w:p>
    <w:p>
      <w:pPr>
        <w:pStyle w:val="BodyText"/>
        <w:spacing w:before="166"/>
        <w:ind w:left="412" w:right="1132"/>
      </w:pPr>
      <w:r>
        <w:rPr>
          <w:b/>
          <w:color w:val="B52628"/>
          <w:spacing w:val="-14"/>
        </w:rPr>
        <w:t>El</w:t>
      </w:r>
      <w:r>
        <w:rPr>
          <w:b/>
          <w:color w:val="B52628"/>
          <w:spacing w:val="-3"/>
        </w:rPr>
        <w:t> </w:t>
      </w:r>
      <w:r>
        <w:rPr>
          <w:b/>
          <w:color w:val="B52628"/>
          <w:spacing w:val="-14"/>
        </w:rPr>
        <w:t>5</w:t>
      </w:r>
      <w:r>
        <w:rPr>
          <w:b/>
          <w:color w:val="B52628"/>
          <w:spacing w:val="-3"/>
        </w:rPr>
        <w:t> </w:t>
      </w:r>
      <w:r>
        <w:rPr>
          <w:b/>
          <w:color w:val="B52628"/>
          <w:spacing w:val="-14"/>
        </w:rPr>
        <w:t>de</w:t>
      </w:r>
      <w:r>
        <w:rPr>
          <w:b/>
          <w:color w:val="B52628"/>
          <w:spacing w:val="-2"/>
        </w:rPr>
        <w:t> </w:t>
      </w:r>
      <w:r>
        <w:rPr>
          <w:b/>
          <w:color w:val="B52628"/>
          <w:spacing w:val="-14"/>
        </w:rPr>
        <w:t>noviembre</w:t>
      </w:r>
      <w:r>
        <w:rPr>
          <w:b/>
          <w:color w:val="B52628"/>
          <w:spacing w:val="9"/>
        </w:rPr>
        <w:t> </w:t>
      </w:r>
      <w:r>
        <w:rPr>
          <w:b/>
          <w:color w:val="B52628"/>
          <w:spacing w:val="-14"/>
        </w:rPr>
        <w:t>de</w:t>
      </w:r>
      <w:r>
        <w:rPr>
          <w:b/>
          <w:color w:val="B52628"/>
          <w:spacing w:val="12"/>
        </w:rPr>
        <w:t> </w:t>
      </w:r>
      <w:r>
        <w:rPr>
          <w:b/>
          <w:color w:val="B52628"/>
          <w:spacing w:val="-14"/>
        </w:rPr>
        <w:t>2022,</w:t>
      </w:r>
      <w:r>
        <w:rPr>
          <w:b/>
          <w:color w:val="B52628"/>
          <w:spacing w:val="-3"/>
        </w:rPr>
        <w:t> </w:t>
      </w:r>
      <w:r>
        <w:rPr>
          <w:color w:val="231F20"/>
          <w:spacing w:val="-14"/>
        </w:rPr>
        <w:t>arribó</w:t>
      </w:r>
      <w:r>
        <w:rPr>
          <w:color w:val="231F20"/>
          <w:spacing w:val="-2"/>
        </w:rPr>
        <w:t> </w:t>
      </w:r>
      <w:r>
        <w:rPr>
          <w:color w:val="231F20"/>
          <w:spacing w:val="-14"/>
        </w:rPr>
        <w:t>al</w:t>
      </w:r>
      <w:r>
        <w:rPr>
          <w:color w:val="231F20"/>
          <w:spacing w:val="-3"/>
        </w:rPr>
        <w:t> </w:t>
      </w:r>
      <w:r>
        <w:rPr>
          <w:color w:val="231F20"/>
          <w:spacing w:val="-14"/>
        </w:rPr>
        <w:t>hospital </w:t>
      </w:r>
      <w:r>
        <w:rPr>
          <w:color w:val="231F20"/>
        </w:rPr>
        <w:t>pediátrico Pepe Portilla, de la provincia </w:t>
      </w:r>
      <w:r>
        <w:rPr>
          <w:color w:val="231F20"/>
          <w:spacing w:val="-12"/>
        </w:rPr>
        <w:t>cubana</w:t>
      </w:r>
      <w:r>
        <w:rPr>
          <w:color w:val="231F20"/>
          <w:spacing w:val="-2"/>
        </w:rPr>
        <w:t> </w:t>
      </w:r>
      <w:r>
        <w:rPr>
          <w:color w:val="231F20"/>
          <w:spacing w:val="-12"/>
        </w:rPr>
        <w:t>de</w:t>
      </w:r>
      <w:r>
        <w:rPr>
          <w:color w:val="231F20"/>
          <w:spacing w:val="-2"/>
        </w:rPr>
        <w:t> </w:t>
      </w:r>
      <w:r>
        <w:rPr>
          <w:color w:val="231F20"/>
          <w:spacing w:val="-12"/>
        </w:rPr>
        <w:t>Pinar</w:t>
      </w:r>
      <w:r>
        <w:rPr>
          <w:color w:val="231F20"/>
          <w:spacing w:val="-2"/>
        </w:rPr>
        <w:t> </w:t>
      </w:r>
      <w:r>
        <w:rPr>
          <w:color w:val="231F20"/>
          <w:spacing w:val="-12"/>
        </w:rPr>
        <w:t>del</w:t>
      </w:r>
      <w:r>
        <w:rPr>
          <w:color w:val="231F20"/>
          <w:spacing w:val="-2"/>
        </w:rPr>
        <w:t> </w:t>
      </w:r>
      <w:r>
        <w:rPr>
          <w:color w:val="231F20"/>
          <w:spacing w:val="-12"/>
        </w:rPr>
        <w:t>Río,</w:t>
      </w:r>
      <w:r>
        <w:rPr>
          <w:color w:val="231F20"/>
          <w:spacing w:val="-2"/>
        </w:rPr>
        <w:t> </w:t>
      </w:r>
      <w:r>
        <w:rPr>
          <w:color w:val="231F20"/>
          <w:spacing w:val="-12"/>
        </w:rPr>
        <w:t>un</w:t>
      </w:r>
      <w:r>
        <w:rPr>
          <w:color w:val="231F20"/>
          <w:spacing w:val="-2"/>
        </w:rPr>
        <w:t> </w:t>
      </w:r>
      <w:r>
        <w:rPr>
          <w:color w:val="231F20"/>
          <w:spacing w:val="-12"/>
        </w:rPr>
        <w:t>donativo</w:t>
      </w:r>
      <w:r>
        <w:rPr>
          <w:color w:val="231F20"/>
          <w:spacing w:val="-2"/>
        </w:rPr>
        <w:t> </w:t>
      </w:r>
      <w:r>
        <w:rPr>
          <w:color w:val="231F20"/>
          <w:spacing w:val="-12"/>
        </w:rPr>
        <w:t>de</w:t>
      </w:r>
      <w:r>
        <w:rPr>
          <w:color w:val="231F20"/>
          <w:spacing w:val="-2"/>
        </w:rPr>
        <w:t> </w:t>
      </w:r>
      <w:r>
        <w:rPr>
          <w:color w:val="231F20"/>
          <w:spacing w:val="-12"/>
        </w:rPr>
        <w:t>leche </w:t>
      </w:r>
      <w:r>
        <w:rPr>
          <w:color w:val="231F20"/>
        </w:rPr>
        <w:t>en</w:t>
      </w:r>
      <w:r>
        <w:rPr>
          <w:color w:val="231F20"/>
          <w:spacing w:val="-17"/>
        </w:rPr>
        <w:t> </w:t>
      </w:r>
      <w:r>
        <w:rPr>
          <w:color w:val="231F20"/>
        </w:rPr>
        <w:t>polvo,</w:t>
      </w:r>
      <w:r>
        <w:rPr>
          <w:color w:val="231F20"/>
          <w:spacing w:val="-16"/>
        </w:rPr>
        <w:t> </w:t>
      </w:r>
      <w:r>
        <w:rPr>
          <w:color w:val="231F20"/>
        </w:rPr>
        <w:t>guantes</w:t>
      </w:r>
      <w:r>
        <w:rPr>
          <w:color w:val="231F20"/>
          <w:spacing w:val="-17"/>
        </w:rPr>
        <w:t> </w:t>
      </w:r>
      <w:r>
        <w:rPr>
          <w:color w:val="231F20"/>
        </w:rPr>
        <w:t>quirúrgicos,</w:t>
      </w:r>
      <w:r>
        <w:rPr>
          <w:color w:val="231F20"/>
          <w:spacing w:val="-16"/>
        </w:rPr>
        <w:t> </w:t>
      </w:r>
      <w:r>
        <w:rPr>
          <w:color w:val="231F20"/>
        </w:rPr>
        <w:t>alimentos</w:t>
      </w:r>
      <w:r>
        <w:rPr>
          <w:color w:val="231F20"/>
          <w:spacing w:val="-17"/>
        </w:rPr>
        <w:t> </w:t>
      </w:r>
      <w:r>
        <w:rPr>
          <w:color w:val="231F20"/>
        </w:rPr>
        <w:t>y medicamentos</w:t>
      </w:r>
      <w:r>
        <w:rPr>
          <w:color w:val="231F20"/>
          <w:spacing w:val="-13"/>
        </w:rPr>
        <w:t> </w:t>
      </w:r>
      <w:r>
        <w:rPr>
          <w:color w:val="231F20"/>
        </w:rPr>
        <w:t>de</w:t>
      </w:r>
      <w:r>
        <w:rPr>
          <w:color w:val="231F20"/>
          <w:spacing w:val="-13"/>
        </w:rPr>
        <w:t> </w:t>
      </w:r>
      <w:r>
        <w:rPr>
          <w:color w:val="231F20"/>
        </w:rPr>
        <w:t>la</w:t>
      </w:r>
      <w:r>
        <w:rPr>
          <w:color w:val="231F20"/>
          <w:spacing w:val="-13"/>
        </w:rPr>
        <w:t> </w:t>
      </w:r>
      <w:r>
        <w:rPr>
          <w:color w:val="231F20"/>
        </w:rPr>
        <w:t>mano</w:t>
      </w:r>
      <w:r>
        <w:rPr>
          <w:color w:val="231F20"/>
          <w:spacing w:val="-13"/>
        </w:rPr>
        <w:t> </w:t>
      </w:r>
      <w:r>
        <w:rPr>
          <w:color w:val="231F20"/>
        </w:rPr>
        <w:t>de</w:t>
      </w:r>
      <w:r>
        <w:rPr>
          <w:color w:val="231F20"/>
          <w:spacing w:val="-13"/>
        </w:rPr>
        <w:t> </w:t>
      </w:r>
      <w:r>
        <w:rPr>
          <w:color w:val="231F20"/>
        </w:rPr>
        <w:t>Carlos</w:t>
      </w:r>
      <w:r>
        <w:rPr>
          <w:color w:val="231F20"/>
          <w:spacing w:val="-13"/>
        </w:rPr>
        <w:t> </w:t>
      </w:r>
      <w:r>
        <w:rPr>
          <w:color w:val="231F20"/>
        </w:rPr>
        <w:t>Lazo, profesor</w:t>
      </w:r>
      <w:r>
        <w:rPr>
          <w:color w:val="231F20"/>
          <w:spacing w:val="-8"/>
        </w:rPr>
        <w:t> </w:t>
      </w:r>
      <w:r>
        <w:rPr>
          <w:color w:val="231F20"/>
        </w:rPr>
        <w:t>y</w:t>
      </w:r>
      <w:r>
        <w:rPr>
          <w:color w:val="231F20"/>
          <w:spacing w:val="-8"/>
        </w:rPr>
        <w:t> </w:t>
      </w:r>
      <w:r>
        <w:rPr>
          <w:color w:val="231F20"/>
        </w:rPr>
        <w:t>activista</w:t>
      </w:r>
      <w:r>
        <w:rPr>
          <w:color w:val="231F20"/>
          <w:spacing w:val="-8"/>
        </w:rPr>
        <w:t> </w:t>
      </w:r>
      <w:r>
        <w:rPr>
          <w:color w:val="231F20"/>
        </w:rPr>
        <w:t>cubanoamericano</w:t>
      </w:r>
      <w:r>
        <w:rPr>
          <w:color w:val="231F20"/>
          <w:spacing w:val="-8"/>
        </w:rPr>
        <w:t> </w:t>
      </w:r>
      <w:r>
        <w:rPr>
          <w:color w:val="231F20"/>
        </w:rPr>
        <w:t>que lidera el proyecto Puentes de Amor, así </w:t>
      </w:r>
      <w:r>
        <w:rPr>
          <w:color w:val="231F20"/>
          <w:spacing w:val="-6"/>
        </w:rPr>
        <w:t>como</w:t>
      </w:r>
      <w:r>
        <w:rPr>
          <w:color w:val="231F20"/>
          <w:spacing w:val="-15"/>
        </w:rPr>
        <w:t> </w:t>
      </w:r>
      <w:r>
        <w:rPr>
          <w:color w:val="231F20"/>
          <w:spacing w:val="-6"/>
        </w:rPr>
        <w:t>de</w:t>
      </w:r>
      <w:r>
        <w:rPr>
          <w:color w:val="231F20"/>
          <w:spacing w:val="-15"/>
        </w:rPr>
        <w:t> </w:t>
      </w:r>
      <w:r>
        <w:rPr>
          <w:color w:val="231F20"/>
          <w:spacing w:val="-6"/>
        </w:rPr>
        <w:t>la</w:t>
      </w:r>
      <w:r>
        <w:rPr>
          <w:color w:val="231F20"/>
          <w:spacing w:val="-15"/>
        </w:rPr>
        <w:t> </w:t>
      </w:r>
      <w:r>
        <w:rPr>
          <w:color w:val="231F20"/>
          <w:spacing w:val="-6"/>
        </w:rPr>
        <w:t>organización</w:t>
      </w:r>
      <w:r>
        <w:rPr>
          <w:color w:val="231F20"/>
          <w:spacing w:val="-15"/>
        </w:rPr>
        <w:t> </w:t>
      </w:r>
      <w:r>
        <w:rPr>
          <w:color w:val="231F20"/>
          <w:spacing w:val="-6"/>
        </w:rPr>
        <w:t>pacifista</w:t>
      </w:r>
      <w:r>
        <w:rPr>
          <w:color w:val="231F20"/>
          <w:spacing w:val="-15"/>
        </w:rPr>
        <w:t> </w:t>
      </w:r>
      <w:r>
        <w:rPr>
          <w:color w:val="231F20"/>
          <w:spacing w:val="-6"/>
        </w:rPr>
        <w:t>Code</w:t>
      </w:r>
      <w:r>
        <w:rPr>
          <w:color w:val="231F20"/>
          <w:spacing w:val="-15"/>
        </w:rPr>
        <w:t> </w:t>
      </w:r>
      <w:r>
        <w:rPr>
          <w:color w:val="231F20"/>
          <w:spacing w:val="-6"/>
        </w:rPr>
        <w:t>Pink.</w:t>
      </w:r>
    </w:p>
    <w:p>
      <w:pPr>
        <w:spacing w:after="0"/>
        <w:sectPr>
          <w:pgSz w:w="11910" w:h="16840"/>
          <w:pgMar w:header="0" w:footer="695" w:top="1260" w:bottom="880" w:left="0" w:right="0"/>
          <w:cols w:num="2" w:equalWidth="0">
            <w:col w:w="5898" w:space="40"/>
            <w:col w:w="5972"/>
          </w:cols>
        </w:sectPr>
      </w:pPr>
    </w:p>
    <w:p>
      <w:pPr>
        <w:pStyle w:val="BodyText"/>
        <w:spacing w:before="77"/>
        <w:ind w:left="1133" w:right="5"/>
      </w:pPr>
      <w:r>
        <w:rPr>
          <w:color w:val="231F20"/>
        </w:rPr>
        <w:t>Lazo aseguró que la acción constituía un </w:t>
      </w:r>
      <w:r>
        <w:rPr>
          <w:color w:val="231F20"/>
          <w:spacing w:val="-10"/>
        </w:rPr>
        <w:t>esfuerzo</w:t>
      </w:r>
      <w:r>
        <w:rPr>
          <w:color w:val="231F20"/>
          <w:spacing w:val="-7"/>
        </w:rPr>
        <w:t> </w:t>
      </w:r>
      <w:r>
        <w:rPr>
          <w:color w:val="231F20"/>
          <w:spacing w:val="-10"/>
        </w:rPr>
        <w:t>por</w:t>
      </w:r>
      <w:r>
        <w:rPr>
          <w:color w:val="231F20"/>
          <w:spacing w:val="-6"/>
        </w:rPr>
        <w:t> </w:t>
      </w:r>
      <w:r>
        <w:rPr>
          <w:color w:val="231F20"/>
          <w:spacing w:val="-10"/>
        </w:rPr>
        <w:t>ayudar</w:t>
      </w:r>
      <w:r>
        <w:rPr>
          <w:color w:val="231F20"/>
          <w:spacing w:val="-7"/>
        </w:rPr>
        <w:t> </w:t>
      </w:r>
      <w:r>
        <w:rPr>
          <w:color w:val="231F20"/>
          <w:spacing w:val="-10"/>
        </w:rPr>
        <w:t>a</w:t>
      </w:r>
      <w:r>
        <w:rPr>
          <w:color w:val="231F20"/>
          <w:spacing w:val="-6"/>
        </w:rPr>
        <w:t> </w:t>
      </w:r>
      <w:r>
        <w:rPr>
          <w:color w:val="231F20"/>
          <w:spacing w:val="-10"/>
        </w:rPr>
        <w:t>Cuba</w:t>
      </w:r>
      <w:r>
        <w:rPr>
          <w:color w:val="231F20"/>
          <w:spacing w:val="-7"/>
        </w:rPr>
        <w:t> </w:t>
      </w:r>
      <w:r>
        <w:rPr>
          <w:color w:val="231F20"/>
          <w:spacing w:val="-10"/>
        </w:rPr>
        <w:t>frente</w:t>
      </w:r>
      <w:r>
        <w:rPr>
          <w:color w:val="231F20"/>
          <w:spacing w:val="-6"/>
        </w:rPr>
        <w:t> </w:t>
      </w:r>
      <w:r>
        <w:rPr>
          <w:color w:val="231F20"/>
          <w:spacing w:val="-10"/>
        </w:rPr>
        <w:t>al</w:t>
      </w:r>
      <w:r>
        <w:rPr>
          <w:color w:val="231F20"/>
          <w:spacing w:val="-7"/>
        </w:rPr>
        <w:t> </w:t>
      </w:r>
      <w:r>
        <w:rPr>
          <w:color w:val="231F20"/>
          <w:spacing w:val="-10"/>
        </w:rPr>
        <w:t>bloqueo </w:t>
      </w:r>
      <w:r>
        <w:rPr>
          <w:color w:val="231F20"/>
          <w:spacing w:val="-2"/>
        </w:rPr>
        <w:t>económico.</w:t>
      </w:r>
    </w:p>
    <w:p>
      <w:pPr>
        <w:pStyle w:val="BodyText"/>
        <w:spacing w:before="162"/>
        <w:ind w:left="1133"/>
      </w:pPr>
      <w:r>
        <w:rPr>
          <w:b/>
          <w:color w:val="B52628"/>
        </w:rPr>
        <w:t>El 14 de noviembre de 2022, </w:t>
      </w:r>
      <w:r>
        <w:rPr>
          <w:color w:val="231F20"/>
        </w:rPr>
        <w:t>el ciudadano estadounidense de origen cubano Chris Moldes publicó un artículo en The Washington Post, en el que solicitó el fin del bloqueo contra Cuba y</w:t>
      </w:r>
      <w:r>
        <w:rPr>
          <w:color w:val="231F20"/>
          <w:spacing w:val="40"/>
        </w:rPr>
        <w:t> </w:t>
      </w:r>
      <w:r>
        <w:rPr>
          <w:color w:val="231F20"/>
        </w:rPr>
        <w:t>la</w:t>
      </w:r>
      <w:r>
        <w:rPr>
          <w:color w:val="231F20"/>
          <w:spacing w:val="-6"/>
        </w:rPr>
        <w:t> </w:t>
      </w:r>
      <w:r>
        <w:rPr>
          <w:color w:val="231F20"/>
        </w:rPr>
        <w:t>exclusión</w:t>
      </w:r>
      <w:r>
        <w:rPr>
          <w:color w:val="231F20"/>
          <w:spacing w:val="-6"/>
        </w:rPr>
        <w:t> </w:t>
      </w:r>
      <w:r>
        <w:rPr>
          <w:color w:val="231F20"/>
        </w:rPr>
        <w:t>del</w:t>
      </w:r>
      <w:r>
        <w:rPr>
          <w:color w:val="231F20"/>
          <w:spacing w:val="-6"/>
        </w:rPr>
        <w:t> </w:t>
      </w:r>
      <w:r>
        <w:rPr>
          <w:color w:val="231F20"/>
        </w:rPr>
        <w:t>país</w:t>
      </w:r>
      <w:r>
        <w:rPr>
          <w:color w:val="231F20"/>
          <w:spacing w:val="-6"/>
        </w:rPr>
        <w:t> </w:t>
      </w:r>
      <w:r>
        <w:rPr>
          <w:color w:val="231F20"/>
        </w:rPr>
        <w:t>de</w:t>
      </w:r>
      <w:r>
        <w:rPr>
          <w:color w:val="231F20"/>
          <w:spacing w:val="-6"/>
        </w:rPr>
        <w:t> </w:t>
      </w:r>
      <w:r>
        <w:rPr>
          <w:color w:val="231F20"/>
        </w:rPr>
        <w:t>la</w:t>
      </w:r>
      <w:r>
        <w:rPr>
          <w:color w:val="231F20"/>
          <w:spacing w:val="-6"/>
        </w:rPr>
        <w:t> </w:t>
      </w:r>
      <w:r>
        <w:rPr>
          <w:color w:val="231F20"/>
        </w:rPr>
        <w:t>Lista</w:t>
      </w:r>
      <w:r>
        <w:rPr>
          <w:color w:val="231F20"/>
          <w:spacing w:val="-6"/>
        </w:rPr>
        <w:t> </w:t>
      </w:r>
      <w:r>
        <w:rPr>
          <w:color w:val="231F20"/>
        </w:rPr>
        <w:t>de</w:t>
      </w:r>
      <w:r>
        <w:rPr>
          <w:color w:val="231F20"/>
          <w:spacing w:val="-6"/>
        </w:rPr>
        <w:t> </w:t>
      </w:r>
      <w:r>
        <w:rPr>
          <w:color w:val="231F20"/>
        </w:rPr>
        <w:t>Estados Patrocinadores del Terrorismo. Señaló que ambas decisiones responden a una política anacrónica.</w:t>
      </w:r>
    </w:p>
    <w:p>
      <w:pPr>
        <w:pStyle w:val="BodyText"/>
        <w:spacing w:before="167"/>
        <w:ind w:left="1133" w:right="1"/>
      </w:pPr>
      <w:r>
        <w:rPr>
          <w:b/>
          <w:color w:val="B52628"/>
        </w:rPr>
        <w:t>El 19 de noviembre de 2022, </w:t>
      </w:r>
      <w:r>
        <w:rPr>
          <w:color w:val="231F20"/>
        </w:rPr>
        <w:t>la organización NEMO denunció el impacto del</w:t>
      </w:r>
      <w:r>
        <w:rPr>
          <w:color w:val="231F20"/>
          <w:spacing w:val="40"/>
        </w:rPr>
        <w:t> </w:t>
      </w:r>
      <w:r>
        <w:rPr>
          <w:color w:val="231F20"/>
        </w:rPr>
        <w:t>bloqueo</w:t>
      </w:r>
      <w:r>
        <w:rPr>
          <w:color w:val="231F20"/>
          <w:spacing w:val="40"/>
        </w:rPr>
        <w:t> </w:t>
      </w:r>
      <w:r>
        <w:rPr>
          <w:color w:val="231F20"/>
        </w:rPr>
        <w:t>contra</w:t>
      </w:r>
      <w:r>
        <w:rPr>
          <w:color w:val="231F20"/>
          <w:spacing w:val="40"/>
        </w:rPr>
        <w:t> </w:t>
      </w:r>
      <w:r>
        <w:rPr>
          <w:color w:val="231F20"/>
        </w:rPr>
        <w:t>Cuba</w:t>
      </w:r>
      <w:r>
        <w:rPr>
          <w:color w:val="231F20"/>
          <w:spacing w:val="40"/>
        </w:rPr>
        <w:t> </w:t>
      </w:r>
      <w:r>
        <w:rPr>
          <w:color w:val="231F20"/>
        </w:rPr>
        <w:t>durante</w:t>
      </w:r>
      <w:r>
        <w:rPr>
          <w:color w:val="231F20"/>
          <w:spacing w:val="40"/>
        </w:rPr>
        <w:t> </w:t>
      </w:r>
      <w:r>
        <w:rPr>
          <w:color w:val="231F20"/>
        </w:rPr>
        <w:t>un foro de congresistas de Connecticut y representantes consulares de América Latina y el Caribe. José Oro, miembro de la junta directiva del grupo, condenó en su intervención las medidas coercitivas aplicadas por más de seis décadas contra Cuba con el objetivo de debilitar la vida </w:t>
      </w:r>
      <w:r>
        <w:rPr>
          <w:color w:val="231F20"/>
          <w:spacing w:val="-6"/>
        </w:rPr>
        <w:t>económica</w:t>
      </w:r>
      <w:r>
        <w:rPr>
          <w:color w:val="231F20"/>
          <w:spacing w:val="-11"/>
        </w:rPr>
        <w:t> </w:t>
      </w:r>
      <w:r>
        <w:rPr>
          <w:color w:val="231F20"/>
          <w:spacing w:val="-6"/>
        </w:rPr>
        <w:t>del</w:t>
      </w:r>
      <w:r>
        <w:rPr>
          <w:color w:val="231F20"/>
          <w:spacing w:val="-10"/>
        </w:rPr>
        <w:t> </w:t>
      </w:r>
      <w:r>
        <w:rPr>
          <w:color w:val="231F20"/>
          <w:spacing w:val="-6"/>
        </w:rPr>
        <w:t>país,</w:t>
      </w:r>
      <w:r>
        <w:rPr>
          <w:color w:val="231F20"/>
          <w:spacing w:val="-11"/>
        </w:rPr>
        <w:t> </w:t>
      </w:r>
      <w:r>
        <w:rPr>
          <w:color w:val="231F20"/>
          <w:spacing w:val="-6"/>
        </w:rPr>
        <w:t>provocar</w:t>
      </w:r>
      <w:r>
        <w:rPr>
          <w:color w:val="231F20"/>
          <w:spacing w:val="-10"/>
        </w:rPr>
        <w:t> </w:t>
      </w:r>
      <w:r>
        <w:rPr>
          <w:color w:val="231F20"/>
          <w:spacing w:val="-6"/>
        </w:rPr>
        <w:t>desesperación </w:t>
      </w:r>
      <w:r>
        <w:rPr>
          <w:color w:val="231F20"/>
        </w:rPr>
        <w:t>y derrocar al Gobierno.</w:t>
      </w:r>
    </w:p>
    <w:p>
      <w:pPr>
        <w:pStyle w:val="BodyText"/>
        <w:spacing w:before="170"/>
        <w:ind w:left="1133"/>
      </w:pPr>
      <w:r>
        <w:rPr>
          <w:b/>
          <w:color w:val="B52628"/>
        </w:rPr>
        <w:t>El 28 de noviembre de 2022, </w:t>
      </w:r>
      <w:r>
        <w:rPr>
          <w:color w:val="231F20"/>
        </w:rPr>
        <w:t>el Troy Area Labor Council emitió una resolución para</w:t>
      </w:r>
      <w:r>
        <w:rPr>
          <w:color w:val="231F20"/>
          <w:spacing w:val="30"/>
        </w:rPr>
        <w:t> </w:t>
      </w:r>
      <w:r>
        <w:rPr>
          <w:color w:val="231F20"/>
        </w:rPr>
        <w:t>reclamar</w:t>
      </w:r>
      <w:r>
        <w:rPr>
          <w:color w:val="231F20"/>
          <w:spacing w:val="30"/>
        </w:rPr>
        <w:t> </w:t>
      </w:r>
      <w:r>
        <w:rPr>
          <w:color w:val="231F20"/>
        </w:rPr>
        <w:t>el</w:t>
      </w:r>
      <w:r>
        <w:rPr>
          <w:color w:val="231F20"/>
          <w:spacing w:val="30"/>
        </w:rPr>
        <w:t> </w:t>
      </w:r>
      <w:r>
        <w:rPr>
          <w:color w:val="231F20"/>
        </w:rPr>
        <w:t>fin</w:t>
      </w:r>
      <w:r>
        <w:rPr>
          <w:color w:val="231F20"/>
          <w:spacing w:val="30"/>
        </w:rPr>
        <w:t> </w:t>
      </w:r>
      <w:r>
        <w:rPr>
          <w:color w:val="231F20"/>
        </w:rPr>
        <w:t>del</w:t>
      </w:r>
      <w:r>
        <w:rPr>
          <w:color w:val="231F20"/>
          <w:spacing w:val="30"/>
        </w:rPr>
        <w:t> </w:t>
      </w:r>
      <w:r>
        <w:rPr>
          <w:color w:val="231F20"/>
        </w:rPr>
        <w:t>bloqueo</w:t>
      </w:r>
      <w:r>
        <w:rPr>
          <w:color w:val="231F20"/>
          <w:spacing w:val="30"/>
        </w:rPr>
        <w:t> </w:t>
      </w:r>
      <w:r>
        <w:rPr>
          <w:color w:val="231F20"/>
        </w:rPr>
        <w:t>a</w:t>
      </w:r>
      <w:r>
        <w:rPr>
          <w:color w:val="231F20"/>
          <w:spacing w:val="30"/>
        </w:rPr>
        <w:t> </w:t>
      </w:r>
      <w:r>
        <w:rPr>
          <w:color w:val="231F20"/>
        </w:rPr>
        <w:t>Cuba y su retirada de la Lista de Estados Patrocinadores del Terrorismo.</w:t>
      </w:r>
    </w:p>
    <w:p>
      <w:pPr>
        <w:spacing w:before="163"/>
        <w:ind w:left="1133" w:right="0" w:firstLine="0"/>
        <w:jc w:val="both"/>
        <w:rPr>
          <w:sz w:val="24"/>
        </w:rPr>
      </w:pPr>
      <w:r>
        <w:rPr>
          <w:b/>
          <w:color w:val="B52628"/>
          <w:sz w:val="24"/>
        </w:rPr>
        <w:t>El</w:t>
      </w:r>
      <w:r>
        <w:rPr>
          <w:b/>
          <w:color w:val="B52628"/>
          <w:spacing w:val="-13"/>
          <w:sz w:val="24"/>
        </w:rPr>
        <w:t> </w:t>
      </w:r>
      <w:r>
        <w:rPr>
          <w:b/>
          <w:color w:val="B52628"/>
          <w:sz w:val="24"/>
        </w:rPr>
        <w:t>4</w:t>
      </w:r>
      <w:r>
        <w:rPr>
          <w:b/>
          <w:color w:val="B52628"/>
          <w:spacing w:val="-13"/>
          <w:sz w:val="24"/>
        </w:rPr>
        <w:t> </w:t>
      </w:r>
      <w:r>
        <w:rPr>
          <w:b/>
          <w:color w:val="B52628"/>
          <w:sz w:val="24"/>
        </w:rPr>
        <w:t>de</w:t>
      </w:r>
      <w:r>
        <w:rPr>
          <w:b/>
          <w:color w:val="B52628"/>
          <w:spacing w:val="-13"/>
          <w:sz w:val="24"/>
        </w:rPr>
        <w:t> </w:t>
      </w:r>
      <w:r>
        <w:rPr>
          <w:b/>
          <w:color w:val="B52628"/>
          <w:sz w:val="24"/>
        </w:rPr>
        <w:t>diciembre</w:t>
      </w:r>
      <w:r>
        <w:rPr>
          <w:b/>
          <w:color w:val="B52628"/>
          <w:spacing w:val="-13"/>
          <w:sz w:val="24"/>
        </w:rPr>
        <w:t> </w:t>
      </w:r>
      <w:r>
        <w:rPr>
          <w:b/>
          <w:color w:val="B52628"/>
          <w:sz w:val="24"/>
        </w:rPr>
        <w:t>de</w:t>
      </w:r>
      <w:r>
        <w:rPr>
          <w:b/>
          <w:color w:val="B52628"/>
          <w:spacing w:val="-13"/>
          <w:sz w:val="24"/>
        </w:rPr>
        <w:t> </w:t>
      </w:r>
      <w:r>
        <w:rPr>
          <w:b/>
          <w:color w:val="B52628"/>
          <w:sz w:val="24"/>
        </w:rPr>
        <w:t>2022,</w:t>
      </w:r>
      <w:r>
        <w:rPr>
          <w:b/>
          <w:color w:val="B52628"/>
          <w:spacing w:val="-12"/>
          <w:sz w:val="24"/>
        </w:rPr>
        <w:t> </w:t>
      </w:r>
      <w:r>
        <w:rPr>
          <w:color w:val="231F20"/>
          <w:sz w:val="24"/>
        </w:rPr>
        <w:t>se</w:t>
      </w:r>
      <w:r>
        <w:rPr>
          <w:color w:val="231F20"/>
          <w:spacing w:val="-9"/>
          <w:sz w:val="24"/>
        </w:rPr>
        <w:t> </w:t>
      </w:r>
      <w:r>
        <w:rPr>
          <w:color w:val="231F20"/>
          <w:sz w:val="24"/>
        </w:rPr>
        <w:t>realizó</w:t>
      </w:r>
      <w:r>
        <w:rPr>
          <w:color w:val="231F20"/>
          <w:spacing w:val="-10"/>
          <w:sz w:val="24"/>
        </w:rPr>
        <w:t> </w:t>
      </w:r>
      <w:r>
        <w:rPr>
          <w:color w:val="231F20"/>
          <w:sz w:val="24"/>
        </w:rPr>
        <w:t>una nueva caravana en Miami, Florida, </w:t>
      </w:r>
      <w:r>
        <w:rPr>
          <w:color w:val="231F20"/>
          <w:sz w:val="24"/>
        </w:rPr>
        <w:t>para reclamar el fin del bloqueo contra Cuba.</w:t>
      </w:r>
    </w:p>
    <w:p>
      <w:pPr>
        <w:pStyle w:val="BodyText"/>
        <w:spacing w:before="163"/>
        <w:ind w:left="1133"/>
      </w:pPr>
      <w:r>
        <w:rPr>
          <w:b/>
          <w:color w:val="B52628"/>
        </w:rPr>
        <w:t>El 7 de diciembre de 2022, </w:t>
      </w:r>
      <w:r>
        <w:rPr>
          <w:color w:val="231F20"/>
        </w:rPr>
        <w:t>el líder de la mayoría de la Cámara de Representantes de</w:t>
      </w:r>
      <w:r>
        <w:rPr>
          <w:color w:val="231F20"/>
          <w:spacing w:val="40"/>
        </w:rPr>
        <w:t> </w:t>
      </w:r>
      <w:r>
        <w:rPr>
          <w:color w:val="231F20"/>
        </w:rPr>
        <w:t>Michigan,</w:t>
      </w:r>
      <w:r>
        <w:rPr>
          <w:color w:val="231F20"/>
          <w:spacing w:val="40"/>
        </w:rPr>
        <w:t> </w:t>
      </w:r>
      <w:r>
        <w:rPr>
          <w:color w:val="231F20"/>
        </w:rPr>
        <w:t>Yousef</w:t>
      </w:r>
      <w:r>
        <w:rPr>
          <w:color w:val="231F20"/>
          <w:spacing w:val="40"/>
        </w:rPr>
        <w:t> </w:t>
      </w:r>
      <w:r>
        <w:rPr>
          <w:color w:val="231F20"/>
        </w:rPr>
        <w:t>Rabhi,</w:t>
      </w:r>
      <w:r>
        <w:rPr>
          <w:color w:val="231F20"/>
          <w:spacing w:val="40"/>
        </w:rPr>
        <w:t> </w:t>
      </w:r>
      <w:r>
        <w:rPr>
          <w:color w:val="231F20"/>
        </w:rPr>
        <w:t>introdujo una resolución que solicita al presidente Biden</w:t>
      </w:r>
      <w:r>
        <w:rPr>
          <w:color w:val="231F20"/>
          <w:spacing w:val="80"/>
          <w:w w:val="150"/>
        </w:rPr>
        <w:t> </w:t>
      </w:r>
      <w:r>
        <w:rPr>
          <w:color w:val="231F20"/>
        </w:rPr>
        <w:t>el</w:t>
      </w:r>
      <w:r>
        <w:rPr>
          <w:color w:val="231F20"/>
          <w:spacing w:val="80"/>
          <w:w w:val="150"/>
        </w:rPr>
        <w:t> </w:t>
      </w:r>
      <w:r>
        <w:rPr>
          <w:color w:val="231F20"/>
        </w:rPr>
        <w:t>levantamiento</w:t>
      </w:r>
      <w:r>
        <w:rPr>
          <w:color w:val="231F20"/>
          <w:spacing w:val="80"/>
          <w:w w:val="150"/>
        </w:rPr>
        <w:t> </w:t>
      </w:r>
      <w:r>
        <w:rPr>
          <w:color w:val="231F20"/>
        </w:rPr>
        <w:t>del</w:t>
      </w:r>
      <w:r>
        <w:rPr>
          <w:color w:val="231F20"/>
          <w:spacing w:val="80"/>
          <w:w w:val="150"/>
        </w:rPr>
        <w:t> </w:t>
      </w:r>
      <w:r>
        <w:rPr>
          <w:color w:val="231F20"/>
        </w:rPr>
        <w:t>bloqueo</w:t>
      </w:r>
      <w:r>
        <w:rPr>
          <w:color w:val="231F20"/>
          <w:spacing w:val="80"/>
        </w:rPr>
        <w:t> </w:t>
      </w:r>
      <w:r>
        <w:rPr>
          <w:color w:val="231F20"/>
        </w:rPr>
        <w:t>y la exclusión de Cuba de la Lista de Estados Patrocinadores del Terrorismo. Copatrocinaron la iniciativa Abraham Aiyash,</w:t>
      </w:r>
      <w:r>
        <w:rPr>
          <w:color w:val="231F20"/>
          <w:spacing w:val="-15"/>
        </w:rPr>
        <w:t> </w:t>
      </w:r>
      <w:r>
        <w:rPr>
          <w:color w:val="231F20"/>
        </w:rPr>
        <w:t>David</w:t>
      </w:r>
      <w:r>
        <w:rPr>
          <w:color w:val="231F20"/>
          <w:spacing w:val="-15"/>
        </w:rPr>
        <w:t> </w:t>
      </w:r>
      <w:r>
        <w:rPr>
          <w:color w:val="231F20"/>
        </w:rPr>
        <w:t>LaGrand,</w:t>
      </w:r>
      <w:r>
        <w:rPr>
          <w:color w:val="231F20"/>
          <w:spacing w:val="-15"/>
        </w:rPr>
        <w:t> </w:t>
      </w:r>
      <w:r>
        <w:rPr>
          <w:color w:val="231F20"/>
        </w:rPr>
        <w:t>Julie</w:t>
      </w:r>
      <w:r>
        <w:rPr>
          <w:color w:val="231F20"/>
          <w:spacing w:val="-15"/>
        </w:rPr>
        <w:t> </w:t>
      </w:r>
      <w:r>
        <w:rPr>
          <w:color w:val="231F20"/>
        </w:rPr>
        <w:t>Brixie,</w:t>
      </w:r>
      <w:r>
        <w:rPr>
          <w:color w:val="231F20"/>
          <w:spacing w:val="-15"/>
        </w:rPr>
        <w:t> </w:t>
      </w:r>
      <w:r>
        <w:rPr>
          <w:color w:val="231F20"/>
          <w:spacing w:val="-2"/>
        </w:rPr>
        <w:t>Cynthia</w:t>
      </w:r>
    </w:p>
    <w:p>
      <w:pPr>
        <w:pStyle w:val="BodyText"/>
        <w:spacing w:before="77"/>
        <w:ind w:left="412" w:right="1471"/>
      </w:pPr>
      <w:r>
        <w:rPr/>
        <w:br w:type="column"/>
      </w:r>
      <w:r>
        <w:rPr>
          <w:color w:val="231F20"/>
        </w:rPr>
        <w:t>Johnson, Mary Cavanagh, Joseph </w:t>
      </w:r>
      <w:r>
        <w:rPr>
          <w:color w:val="231F20"/>
        </w:rPr>
        <w:t>Bellino, Laurie Pohutsky y Jim Ellison.</w:t>
      </w:r>
    </w:p>
    <w:p>
      <w:pPr>
        <w:pStyle w:val="BodyText"/>
        <w:spacing w:before="161"/>
        <w:ind w:left="412" w:right="1479"/>
      </w:pPr>
      <w:r>
        <w:rPr>
          <w:b/>
          <w:color w:val="B52628"/>
          <w:spacing w:val="-10"/>
        </w:rPr>
        <w:t>El</w:t>
      </w:r>
      <w:r>
        <w:rPr>
          <w:b/>
          <w:color w:val="B52628"/>
          <w:spacing w:val="-2"/>
        </w:rPr>
        <w:t> </w:t>
      </w:r>
      <w:r>
        <w:rPr>
          <w:b/>
          <w:color w:val="B52628"/>
          <w:spacing w:val="-10"/>
        </w:rPr>
        <w:t>21</w:t>
      </w:r>
      <w:r>
        <w:rPr>
          <w:b/>
          <w:color w:val="B52628"/>
          <w:spacing w:val="-2"/>
        </w:rPr>
        <w:t> </w:t>
      </w:r>
      <w:r>
        <w:rPr>
          <w:b/>
          <w:color w:val="B52628"/>
          <w:spacing w:val="-10"/>
        </w:rPr>
        <w:t>de</w:t>
      </w:r>
      <w:r>
        <w:rPr>
          <w:b/>
          <w:color w:val="B52628"/>
          <w:spacing w:val="-2"/>
        </w:rPr>
        <w:t> </w:t>
      </w:r>
      <w:r>
        <w:rPr>
          <w:b/>
          <w:color w:val="B52628"/>
          <w:spacing w:val="-10"/>
        </w:rPr>
        <w:t>diciembre</w:t>
      </w:r>
      <w:r>
        <w:rPr>
          <w:b/>
          <w:color w:val="B52628"/>
          <w:spacing w:val="-2"/>
        </w:rPr>
        <w:t> </w:t>
      </w:r>
      <w:r>
        <w:rPr>
          <w:b/>
          <w:color w:val="B52628"/>
          <w:spacing w:val="-10"/>
        </w:rPr>
        <w:t>de</w:t>
      </w:r>
      <w:r>
        <w:rPr>
          <w:b/>
          <w:color w:val="B52628"/>
          <w:spacing w:val="-2"/>
        </w:rPr>
        <w:t> </w:t>
      </w:r>
      <w:r>
        <w:rPr>
          <w:b/>
          <w:color w:val="B52628"/>
          <w:spacing w:val="-10"/>
        </w:rPr>
        <w:t>2022,</w:t>
      </w:r>
      <w:r>
        <w:rPr>
          <w:b/>
          <w:color w:val="B52628"/>
          <w:spacing w:val="-2"/>
        </w:rPr>
        <w:t> </w:t>
      </w:r>
      <w:r>
        <w:rPr>
          <w:color w:val="231F20"/>
          <w:spacing w:val="-10"/>
        </w:rPr>
        <w:t>organizaciones </w:t>
      </w:r>
      <w:r>
        <w:rPr>
          <w:color w:val="231F20"/>
        </w:rPr>
        <w:t>solidarias</w:t>
      </w:r>
      <w:r>
        <w:rPr>
          <w:color w:val="231F20"/>
          <w:spacing w:val="-17"/>
        </w:rPr>
        <w:t> </w:t>
      </w:r>
      <w:r>
        <w:rPr>
          <w:color w:val="231F20"/>
        </w:rPr>
        <w:t>y</w:t>
      </w:r>
      <w:r>
        <w:rPr>
          <w:color w:val="231F20"/>
          <w:spacing w:val="-16"/>
        </w:rPr>
        <w:t> </w:t>
      </w:r>
      <w:r>
        <w:rPr>
          <w:color w:val="231F20"/>
        </w:rPr>
        <w:t>amigos</w:t>
      </w:r>
      <w:r>
        <w:rPr>
          <w:color w:val="231F20"/>
          <w:spacing w:val="-17"/>
        </w:rPr>
        <w:t> </w:t>
      </w:r>
      <w:r>
        <w:rPr>
          <w:color w:val="231F20"/>
        </w:rPr>
        <w:t>de</w:t>
      </w:r>
      <w:r>
        <w:rPr>
          <w:color w:val="231F20"/>
          <w:spacing w:val="-16"/>
        </w:rPr>
        <w:t> </w:t>
      </w:r>
      <w:r>
        <w:rPr>
          <w:color w:val="231F20"/>
        </w:rPr>
        <w:t>Cuba</w:t>
      </w:r>
      <w:r>
        <w:rPr>
          <w:color w:val="231F20"/>
          <w:spacing w:val="-17"/>
        </w:rPr>
        <w:t> </w:t>
      </w:r>
      <w:r>
        <w:rPr>
          <w:color w:val="231F20"/>
        </w:rPr>
        <w:t>acudieron</w:t>
      </w:r>
      <w:r>
        <w:rPr>
          <w:color w:val="231F20"/>
          <w:spacing w:val="-16"/>
        </w:rPr>
        <w:t> </w:t>
      </w:r>
      <w:r>
        <w:rPr>
          <w:color w:val="231F20"/>
        </w:rPr>
        <w:t>a</w:t>
      </w:r>
      <w:r>
        <w:rPr>
          <w:color w:val="231F20"/>
          <w:spacing w:val="-17"/>
        </w:rPr>
        <w:t> </w:t>
      </w:r>
      <w:r>
        <w:rPr>
          <w:color w:val="231F20"/>
        </w:rPr>
        <w:t>la </w:t>
      </w:r>
      <w:r>
        <w:rPr>
          <w:color w:val="231F20"/>
          <w:spacing w:val="-4"/>
        </w:rPr>
        <w:t>ciudad</w:t>
      </w:r>
      <w:r>
        <w:rPr>
          <w:color w:val="231F20"/>
          <w:spacing w:val="-10"/>
        </w:rPr>
        <w:t> </w:t>
      </w:r>
      <w:r>
        <w:rPr>
          <w:color w:val="231F20"/>
          <w:spacing w:val="-4"/>
        </w:rPr>
        <w:t>de</w:t>
      </w:r>
      <w:r>
        <w:rPr>
          <w:color w:val="231F20"/>
          <w:spacing w:val="-10"/>
        </w:rPr>
        <w:t> </w:t>
      </w:r>
      <w:r>
        <w:rPr>
          <w:color w:val="231F20"/>
          <w:spacing w:val="-4"/>
        </w:rPr>
        <w:t>Miami,</w:t>
      </w:r>
      <w:r>
        <w:rPr>
          <w:color w:val="231F20"/>
          <w:spacing w:val="-10"/>
        </w:rPr>
        <w:t> </w:t>
      </w:r>
      <w:r>
        <w:rPr>
          <w:color w:val="231F20"/>
          <w:spacing w:val="-4"/>
        </w:rPr>
        <w:t>Florida,</w:t>
      </w:r>
      <w:r>
        <w:rPr>
          <w:color w:val="231F20"/>
          <w:spacing w:val="-10"/>
        </w:rPr>
        <w:t> </w:t>
      </w:r>
      <w:r>
        <w:rPr>
          <w:color w:val="231F20"/>
          <w:spacing w:val="-4"/>
        </w:rPr>
        <w:t>para</w:t>
      </w:r>
      <w:r>
        <w:rPr>
          <w:color w:val="231F20"/>
          <w:spacing w:val="-10"/>
        </w:rPr>
        <w:t> </w:t>
      </w:r>
      <w:r>
        <w:rPr>
          <w:color w:val="231F20"/>
          <w:spacing w:val="-4"/>
        </w:rPr>
        <w:t>participar</w:t>
      </w:r>
      <w:r>
        <w:rPr>
          <w:color w:val="231F20"/>
          <w:spacing w:val="-10"/>
        </w:rPr>
        <w:t> </w:t>
      </w:r>
      <w:r>
        <w:rPr>
          <w:color w:val="231F20"/>
          <w:spacing w:val="-4"/>
        </w:rPr>
        <w:t>en </w:t>
      </w:r>
      <w:r>
        <w:rPr>
          <w:color w:val="231F20"/>
          <w:spacing w:val="-8"/>
        </w:rPr>
        <w:t>una vigilia que demandó al presidente Biden el</w:t>
      </w:r>
      <w:r>
        <w:rPr>
          <w:color w:val="231F20"/>
          <w:spacing w:val="-9"/>
        </w:rPr>
        <w:t> </w:t>
      </w:r>
      <w:r>
        <w:rPr>
          <w:color w:val="231F20"/>
          <w:spacing w:val="-8"/>
        </w:rPr>
        <w:t>fin de</w:t>
      </w:r>
      <w:r>
        <w:rPr>
          <w:color w:val="231F20"/>
          <w:spacing w:val="-9"/>
        </w:rPr>
        <w:t> </w:t>
      </w:r>
      <w:r>
        <w:rPr>
          <w:color w:val="231F20"/>
          <w:spacing w:val="-8"/>
        </w:rPr>
        <w:t>las medidas</w:t>
      </w:r>
      <w:r>
        <w:rPr>
          <w:color w:val="231F20"/>
          <w:spacing w:val="-9"/>
        </w:rPr>
        <w:t> </w:t>
      </w:r>
      <w:r>
        <w:rPr>
          <w:color w:val="231F20"/>
          <w:spacing w:val="-8"/>
        </w:rPr>
        <w:t>coercitivas contra</w:t>
      </w:r>
      <w:r>
        <w:rPr>
          <w:color w:val="231F20"/>
          <w:spacing w:val="-9"/>
        </w:rPr>
        <w:t> </w:t>
      </w:r>
      <w:r>
        <w:rPr>
          <w:color w:val="231F20"/>
          <w:spacing w:val="-8"/>
        </w:rPr>
        <w:t>la Isla. </w:t>
      </w:r>
      <w:r>
        <w:rPr>
          <w:color w:val="231F20"/>
          <w:spacing w:val="-4"/>
        </w:rPr>
        <w:t>Reunidos</w:t>
      </w:r>
      <w:r>
        <w:rPr>
          <w:color w:val="231F20"/>
          <w:spacing w:val="-9"/>
        </w:rPr>
        <w:t> </w:t>
      </w:r>
      <w:r>
        <w:rPr>
          <w:color w:val="231F20"/>
          <w:spacing w:val="-4"/>
        </w:rPr>
        <w:t>en</w:t>
      </w:r>
      <w:r>
        <w:rPr>
          <w:color w:val="231F20"/>
          <w:spacing w:val="-9"/>
        </w:rPr>
        <w:t> </w:t>
      </w:r>
      <w:r>
        <w:rPr>
          <w:color w:val="231F20"/>
          <w:spacing w:val="-4"/>
        </w:rPr>
        <w:t>el</w:t>
      </w:r>
      <w:r>
        <w:rPr>
          <w:color w:val="231F20"/>
          <w:spacing w:val="-9"/>
        </w:rPr>
        <w:t> </w:t>
      </w:r>
      <w:r>
        <w:rPr>
          <w:color w:val="231F20"/>
          <w:spacing w:val="-4"/>
        </w:rPr>
        <w:t>aeropuerto</w:t>
      </w:r>
      <w:r>
        <w:rPr>
          <w:color w:val="231F20"/>
          <w:spacing w:val="-9"/>
        </w:rPr>
        <w:t> </w:t>
      </w:r>
      <w:r>
        <w:rPr>
          <w:color w:val="231F20"/>
          <w:spacing w:val="-4"/>
        </w:rPr>
        <w:t>internacional</w:t>
      </w:r>
      <w:r>
        <w:rPr>
          <w:color w:val="231F20"/>
          <w:spacing w:val="-9"/>
        </w:rPr>
        <w:t> </w:t>
      </w:r>
      <w:r>
        <w:rPr>
          <w:color w:val="231F20"/>
          <w:spacing w:val="-4"/>
        </w:rPr>
        <w:t>de </w:t>
      </w:r>
      <w:r>
        <w:rPr>
          <w:color w:val="231F20"/>
        </w:rPr>
        <w:t>esa</w:t>
      </w:r>
      <w:r>
        <w:rPr>
          <w:color w:val="231F20"/>
          <w:spacing w:val="-7"/>
        </w:rPr>
        <w:t> </w:t>
      </w:r>
      <w:r>
        <w:rPr>
          <w:color w:val="231F20"/>
        </w:rPr>
        <w:t>urbe,</w:t>
      </w:r>
      <w:r>
        <w:rPr>
          <w:color w:val="231F20"/>
          <w:spacing w:val="-7"/>
        </w:rPr>
        <w:t> </w:t>
      </w:r>
      <w:r>
        <w:rPr>
          <w:color w:val="231F20"/>
        </w:rPr>
        <w:t>los</w:t>
      </w:r>
      <w:r>
        <w:rPr>
          <w:color w:val="231F20"/>
          <w:spacing w:val="-7"/>
        </w:rPr>
        <w:t> </w:t>
      </w:r>
      <w:r>
        <w:rPr>
          <w:color w:val="231F20"/>
        </w:rPr>
        <w:t>activistas</w:t>
      </w:r>
      <w:r>
        <w:rPr>
          <w:color w:val="231F20"/>
          <w:spacing w:val="-7"/>
        </w:rPr>
        <w:t> </w:t>
      </w:r>
      <w:r>
        <w:rPr>
          <w:color w:val="231F20"/>
        </w:rPr>
        <w:t>instaron</w:t>
      </w:r>
      <w:r>
        <w:rPr>
          <w:color w:val="231F20"/>
          <w:spacing w:val="-7"/>
        </w:rPr>
        <w:t> </w:t>
      </w:r>
      <w:r>
        <w:rPr>
          <w:color w:val="231F20"/>
        </w:rPr>
        <w:t>al</w:t>
      </w:r>
      <w:r>
        <w:rPr>
          <w:color w:val="231F20"/>
          <w:spacing w:val="-7"/>
        </w:rPr>
        <w:t> </w:t>
      </w:r>
      <w:r>
        <w:rPr>
          <w:color w:val="231F20"/>
        </w:rPr>
        <w:t>cese</w:t>
      </w:r>
      <w:r>
        <w:rPr>
          <w:color w:val="231F20"/>
          <w:spacing w:val="-7"/>
        </w:rPr>
        <w:t> </w:t>
      </w:r>
      <w:r>
        <w:rPr>
          <w:color w:val="231F20"/>
        </w:rPr>
        <w:t>del </w:t>
      </w:r>
      <w:r>
        <w:rPr>
          <w:color w:val="231F20"/>
          <w:spacing w:val="-8"/>
        </w:rPr>
        <w:t>bloqueo</w:t>
      </w:r>
      <w:r>
        <w:rPr>
          <w:color w:val="231F20"/>
          <w:spacing w:val="-9"/>
        </w:rPr>
        <w:t> </w:t>
      </w:r>
      <w:r>
        <w:rPr>
          <w:color w:val="231F20"/>
          <w:spacing w:val="-8"/>
        </w:rPr>
        <w:t>y exigieron</w:t>
      </w:r>
      <w:r>
        <w:rPr>
          <w:color w:val="231F20"/>
          <w:spacing w:val="-9"/>
        </w:rPr>
        <w:t> </w:t>
      </w:r>
      <w:r>
        <w:rPr>
          <w:color w:val="231F20"/>
          <w:spacing w:val="-8"/>
        </w:rPr>
        <w:t>a la</w:t>
      </w:r>
      <w:r>
        <w:rPr>
          <w:color w:val="231F20"/>
          <w:spacing w:val="-9"/>
        </w:rPr>
        <w:t> </w:t>
      </w:r>
      <w:r>
        <w:rPr>
          <w:color w:val="231F20"/>
          <w:spacing w:val="-8"/>
        </w:rPr>
        <w:t>Casa Blanca</w:t>
      </w:r>
      <w:r>
        <w:rPr>
          <w:color w:val="231F20"/>
          <w:spacing w:val="-9"/>
        </w:rPr>
        <w:t> </w:t>
      </w:r>
      <w:r>
        <w:rPr>
          <w:color w:val="231F20"/>
          <w:spacing w:val="-8"/>
        </w:rPr>
        <w:t>acelerar </w:t>
      </w:r>
      <w:r>
        <w:rPr>
          <w:color w:val="231F20"/>
        </w:rPr>
        <w:t>el proceso de reunificación familiar en su </w:t>
      </w:r>
      <w:r>
        <w:rPr>
          <w:color w:val="231F20"/>
          <w:spacing w:val="-12"/>
        </w:rPr>
        <w:t>embajada</w:t>
      </w:r>
      <w:r>
        <w:rPr>
          <w:color w:val="231F20"/>
          <w:spacing w:val="-1"/>
        </w:rPr>
        <w:t> </w:t>
      </w:r>
      <w:r>
        <w:rPr>
          <w:color w:val="231F20"/>
          <w:spacing w:val="-12"/>
        </w:rPr>
        <w:t>de</w:t>
      </w:r>
      <w:r>
        <w:rPr>
          <w:color w:val="231F20"/>
          <w:spacing w:val="-1"/>
        </w:rPr>
        <w:t> </w:t>
      </w:r>
      <w:r>
        <w:rPr>
          <w:color w:val="231F20"/>
          <w:spacing w:val="-12"/>
        </w:rPr>
        <w:t>La</w:t>
      </w:r>
      <w:r>
        <w:rPr>
          <w:color w:val="231F20"/>
          <w:spacing w:val="-1"/>
        </w:rPr>
        <w:t> </w:t>
      </w:r>
      <w:r>
        <w:rPr>
          <w:color w:val="231F20"/>
          <w:spacing w:val="-12"/>
        </w:rPr>
        <w:t>Habana,</w:t>
      </w:r>
      <w:r>
        <w:rPr>
          <w:color w:val="231F20"/>
          <w:spacing w:val="-1"/>
        </w:rPr>
        <w:t> </w:t>
      </w:r>
      <w:r>
        <w:rPr>
          <w:color w:val="231F20"/>
          <w:spacing w:val="-12"/>
        </w:rPr>
        <w:t>potenciar</w:t>
      </w:r>
      <w:r>
        <w:rPr>
          <w:color w:val="231F20"/>
          <w:spacing w:val="-1"/>
        </w:rPr>
        <w:t> </w:t>
      </w:r>
      <w:r>
        <w:rPr>
          <w:color w:val="231F20"/>
          <w:spacing w:val="-12"/>
        </w:rPr>
        <w:t>el</w:t>
      </w:r>
      <w:r>
        <w:rPr>
          <w:color w:val="231F20"/>
          <w:spacing w:val="-1"/>
        </w:rPr>
        <w:t> </w:t>
      </w:r>
      <w:r>
        <w:rPr>
          <w:color w:val="231F20"/>
          <w:spacing w:val="-12"/>
        </w:rPr>
        <w:t>proceso </w:t>
      </w:r>
      <w:r>
        <w:rPr>
          <w:color w:val="231F20"/>
          <w:spacing w:val="-10"/>
        </w:rPr>
        <w:t>de</w:t>
      </w:r>
      <w:r>
        <w:rPr>
          <w:color w:val="231F20"/>
          <w:spacing w:val="-4"/>
        </w:rPr>
        <w:t> </w:t>
      </w:r>
      <w:r>
        <w:rPr>
          <w:color w:val="231F20"/>
          <w:spacing w:val="-10"/>
        </w:rPr>
        <w:t>envío</w:t>
      </w:r>
      <w:r>
        <w:rPr>
          <w:color w:val="231F20"/>
          <w:spacing w:val="-4"/>
        </w:rPr>
        <w:t> </w:t>
      </w:r>
      <w:r>
        <w:rPr>
          <w:color w:val="231F20"/>
          <w:spacing w:val="-10"/>
        </w:rPr>
        <w:t>de</w:t>
      </w:r>
      <w:r>
        <w:rPr>
          <w:color w:val="231F20"/>
          <w:spacing w:val="-4"/>
        </w:rPr>
        <w:t> </w:t>
      </w:r>
      <w:r>
        <w:rPr>
          <w:color w:val="231F20"/>
          <w:spacing w:val="-10"/>
        </w:rPr>
        <w:t>remesas</w:t>
      </w:r>
      <w:r>
        <w:rPr>
          <w:color w:val="231F20"/>
          <w:spacing w:val="-4"/>
        </w:rPr>
        <w:t> </w:t>
      </w:r>
      <w:r>
        <w:rPr>
          <w:color w:val="231F20"/>
          <w:spacing w:val="-10"/>
        </w:rPr>
        <w:t>a</w:t>
      </w:r>
      <w:r>
        <w:rPr>
          <w:color w:val="231F20"/>
          <w:spacing w:val="-4"/>
        </w:rPr>
        <w:t> </w:t>
      </w:r>
      <w:r>
        <w:rPr>
          <w:color w:val="231F20"/>
          <w:spacing w:val="-10"/>
        </w:rPr>
        <w:t>familiares</w:t>
      </w:r>
      <w:r>
        <w:rPr>
          <w:color w:val="231F20"/>
          <w:spacing w:val="-4"/>
        </w:rPr>
        <w:t> </w:t>
      </w:r>
      <w:r>
        <w:rPr>
          <w:color w:val="231F20"/>
          <w:spacing w:val="-10"/>
        </w:rPr>
        <w:t>en</w:t>
      </w:r>
      <w:r>
        <w:rPr>
          <w:color w:val="231F20"/>
          <w:spacing w:val="-4"/>
        </w:rPr>
        <w:t> </w:t>
      </w:r>
      <w:r>
        <w:rPr>
          <w:color w:val="231F20"/>
          <w:spacing w:val="-10"/>
        </w:rPr>
        <w:t>la</w:t>
      </w:r>
      <w:r>
        <w:rPr>
          <w:color w:val="231F20"/>
          <w:spacing w:val="-4"/>
        </w:rPr>
        <w:t> </w:t>
      </w:r>
      <w:r>
        <w:rPr>
          <w:color w:val="231F20"/>
          <w:spacing w:val="-10"/>
        </w:rPr>
        <w:t>nación </w:t>
      </w:r>
      <w:r>
        <w:rPr>
          <w:color w:val="231F20"/>
          <w:spacing w:val="-8"/>
        </w:rPr>
        <w:t>caribeña</w:t>
      </w:r>
      <w:r>
        <w:rPr>
          <w:color w:val="231F20"/>
          <w:spacing w:val="-9"/>
        </w:rPr>
        <w:t> </w:t>
      </w:r>
      <w:r>
        <w:rPr>
          <w:color w:val="231F20"/>
          <w:spacing w:val="-8"/>
        </w:rPr>
        <w:t>y fomentar</w:t>
      </w:r>
      <w:r>
        <w:rPr>
          <w:color w:val="231F20"/>
          <w:spacing w:val="-9"/>
        </w:rPr>
        <w:t> </w:t>
      </w:r>
      <w:r>
        <w:rPr>
          <w:color w:val="231F20"/>
          <w:spacing w:val="-8"/>
        </w:rPr>
        <w:t>una amplia</w:t>
      </w:r>
      <w:r>
        <w:rPr>
          <w:color w:val="231F20"/>
          <w:spacing w:val="-9"/>
        </w:rPr>
        <w:t> </w:t>
      </w:r>
      <w:r>
        <w:rPr>
          <w:color w:val="231F20"/>
          <w:spacing w:val="-8"/>
        </w:rPr>
        <w:t>cooperación </w:t>
      </w:r>
      <w:r>
        <w:rPr>
          <w:color w:val="231F20"/>
        </w:rPr>
        <w:t>cultural y científica entre ambos países. </w:t>
      </w:r>
      <w:r>
        <w:rPr>
          <w:color w:val="231F20"/>
          <w:spacing w:val="-8"/>
        </w:rPr>
        <w:t>También</w:t>
      </w:r>
      <w:r>
        <w:rPr>
          <w:color w:val="231F20"/>
          <w:spacing w:val="-9"/>
        </w:rPr>
        <w:t> </w:t>
      </w:r>
      <w:r>
        <w:rPr>
          <w:color w:val="231F20"/>
          <w:spacing w:val="-8"/>
        </w:rPr>
        <w:t>llamaron a</w:t>
      </w:r>
      <w:r>
        <w:rPr>
          <w:color w:val="231F20"/>
          <w:spacing w:val="-9"/>
        </w:rPr>
        <w:t> </w:t>
      </w:r>
      <w:r>
        <w:rPr>
          <w:color w:val="231F20"/>
          <w:spacing w:val="-8"/>
        </w:rPr>
        <w:t>excluir a</w:t>
      </w:r>
      <w:r>
        <w:rPr>
          <w:color w:val="231F20"/>
          <w:spacing w:val="-9"/>
        </w:rPr>
        <w:t> </w:t>
      </w:r>
      <w:r>
        <w:rPr>
          <w:color w:val="231F20"/>
          <w:spacing w:val="-8"/>
        </w:rPr>
        <w:t>Cuba de</w:t>
      </w:r>
      <w:r>
        <w:rPr>
          <w:color w:val="231F20"/>
          <w:spacing w:val="-9"/>
        </w:rPr>
        <w:t> </w:t>
      </w:r>
      <w:r>
        <w:rPr>
          <w:color w:val="231F20"/>
          <w:spacing w:val="-8"/>
        </w:rPr>
        <w:t>la Lista </w:t>
      </w:r>
      <w:r>
        <w:rPr>
          <w:color w:val="231F20"/>
          <w:spacing w:val="-6"/>
        </w:rPr>
        <w:t>de</w:t>
      </w:r>
      <w:r>
        <w:rPr>
          <w:color w:val="231F20"/>
          <w:spacing w:val="-16"/>
        </w:rPr>
        <w:t> </w:t>
      </w:r>
      <w:r>
        <w:rPr>
          <w:color w:val="231F20"/>
          <w:spacing w:val="-6"/>
        </w:rPr>
        <w:t>Estados</w:t>
      </w:r>
      <w:r>
        <w:rPr>
          <w:color w:val="231F20"/>
          <w:spacing w:val="-16"/>
        </w:rPr>
        <w:t> </w:t>
      </w:r>
      <w:r>
        <w:rPr>
          <w:color w:val="231F20"/>
          <w:spacing w:val="-6"/>
        </w:rPr>
        <w:t>Patrocinadores</w:t>
      </w:r>
      <w:r>
        <w:rPr>
          <w:color w:val="231F20"/>
          <w:spacing w:val="-16"/>
        </w:rPr>
        <w:t> </w:t>
      </w:r>
      <w:r>
        <w:rPr>
          <w:color w:val="231F20"/>
          <w:spacing w:val="-6"/>
        </w:rPr>
        <w:t>del</w:t>
      </w:r>
      <w:r>
        <w:rPr>
          <w:color w:val="231F20"/>
          <w:spacing w:val="-16"/>
        </w:rPr>
        <w:t> </w:t>
      </w:r>
      <w:r>
        <w:rPr>
          <w:color w:val="231F20"/>
          <w:spacing w:val="-6"/>
        </w:rPr>
        <w:t>Terrorismo.</w:t>
      </w:r>
    </w:p>
    <w:p>
      <w:pPr>
        <w:pStyle w:val="BodyText"/>
        <w:spacing w:before="172"/>
        <w:ind w:left="412" w:right="1471"/>
      </w:pPr>
      <w:r>
        <w:rPr>
          <w:b/>
          <w:color w:val="B52628"/>
        </w:rPr>
        <w:t>En enero de 2023, </w:t>
      </w:r>
      <w:r>
        <w:rPr>
          <w:color w:val="231F20"/>
        </w:rPr>
        <w:t>se conoció que el Concejo</w:t>
      </w:r>
      <w:r>
        <w:rPr>
          <w:color w:val="231F20"/>
          <w:spacing w:val="-9"/>
        </w:rPr>
        <w:t> </w:t>
      </w:r>
      <w:r>
        <w:rPr>
          <w:color w:val="231F20"/>
        </w:rPr>
        <w:t>Municipal</w:t>
      </w:r>
      <w:r>
        <w:rPr>
          <w:color w:val="231F20"/>
          <w:spacing w:val="-9"/>
        </w:rPr>
        <w:t> </w:t>
      </w:r>
      <w:r>
        <w:rPr>
          <w:color w:val="231F20"/>
        </w:rPr>
        <w:t>de</w:t>
      </w:r>
      <w:r>
        <w:rPr>
          <w:color w:val="231F20"/>
          <w:spacing w:val="-9"/>
        </w:rPr>
        <w:t> </w:t>
      </w:r>
      <w:r>
        <w:rPr>
          <w:color w:val="231F20"/>
        </w:rPr>
        <w:t>Berkeley,</w:t>
      </w:r>
      <w:r>
        <w:rPr>
          <w:color w:val="231F20"/>
          <w:spacing w:val="-9"/>
        </w:rPr>
        <w:t> </w:t>
      </w:r>
      <w:r>
        <w:rPr>
          <w:color w:val="231F20"/>
        </w:rPr>
        <w:t>California, aprobó una resolución para exigir </w:t>
      </w:r>
      <w:r>
        <w:rPr>
          <w:color w:val="231F20"/>
        </w:rPr>
        <w:t>la retirada de Cuba de la Lista de Estados Patrocinadores del Terrorismo y el levantamiento del bloqueo.</w:t>
      </w:r>
    </w:p>
    <w:p>
      <w:pPr>
        <w:pStyle w:val="BodyText"/>
        <w:spacing w:before="165"/>
        <w:ind w:left="412" w:right="1470"/>
      </w:pPr>
      <w:r>
        <w:rPr>
          <w:b/>
          <w:color w:val="B52628"/>
        </w:rPr>
        <w:t>El 4 de enero de 2023, </w:t>
      </w:r>
      <w:r>
        <w:rPr>
          <w:color w:val="231F20"/>
        </w:rPr>
        <w:t>el senador Ron Wyden</w:t>
      </w:r>
      <w:r>
        <w:rPr>
          <w:color w:val="231F20"/>
          <w:spacing w:val="-13"/>
        </w:rPr>
        <w:t> </w:t>
      </w:r>
      <w:r>
        <w:rPr>
          <w:color w:val="231F20"/>
        </w:rPr>
        <w:t>(D-Oregón)</w:t>
      </w:r>
      <w:r>
        <w:rPr>
          <w:color w:val="231F20"/>
          <w:spacing w:val="-13"/>
        </w:rPr>
        <w:t> </w:t>
      </w:r>
      <w:r>
        <w:rPr>
          <w:color w:val="231F20"/>
        </w:rPr>
        <w:t>solicitó</w:t>
      </w:r>
      <w:r>
        <w:rPr>
          <w:color w:val="231F20"/>
          <w:spacing w:val="-13"/>
        </w:rPr>
        <w:t> </w:t>
      </w:r>
      <w:r>
        <w:rPr>
          <w:color w:val="231F20"/>
        </w:rPr>
        <w:t>al</w:t>
      </w:r>
      <w:r>
        <w:rPr>
          <w:color w:val="231F20"/>
          <w:spacing w:val="-13"/>
        </w:rPr>
        <w:t> </w:t>
      </w:r>
      <w:r>
        <w:rPr>
          <w:color w:val="231F20"/>
        </w:rPr>
        <w:t>gobierno</w:t>
      </w:r>
      <w:r>
        <w:rPr>
          <w:color w:val="231F20"/>
          <w:spacing w:val="-13"/>
        </w:rPr>
        <w:t> </w:t>
      </w:r>
      <w:r>
        <w:rPr>
          <w:color w:val="231F20"/>
        </w:rPr>
        <w:t>de Biden fortalecer el apoyo a las pequeñas</w:t>
      </w:r>
      <w:r>
        <w:rPr>
          <w:color w:val="231F20"/>
          <w:spacing w:val="40"/>
        </w:rPr>
        <w:t> </w:t>
      </w:r>
      <w:r>
        <w:rPr>
          <w:color w:val="231F20"/>
        </w:rPr>
        <w:t>y medianas empresas de Cuba mediante el</w:t>
      </w:r>
      <w:r>
        <w:rPr>
          <w:color w:val="231F20"/>
          <w:spacing w:val="-17"/>
        </w:rPr>
        <w:t> </w:t>
      </w:r>
      <w:r>
        <w:rPr>
          <w:color w:val="231F20"/>
        </w:rPr>
        <w:t>otorgamiento</w:t>
      </w:r>
      <w:r>
        <w:rPr>
          <w:color w:val="231F20"/>
          <w:spacing w:val="-16"/>
        </w:rPr>
        <w:t> </w:t>
      </w:r>
      <w:r>
        <w:rPr>
          <w:color w:val="231F20"/>
        </w:rPr>
        <w:t>de</w:t>
      </w:r>
      <w:r>
        <w:rPr>
          <w:color w:val="231F20"/>
          <w:spacing w:val="-17"/>
        </w:rPr>
        <w:t> </w:t>
      </w:r>
      <w:r>
        <w:rPr>
          <w:color w:val="231F20"/>
        </w:rPr>
        <w:t>licencias</w:t>
      </w:r>
      <w:r>
        <w:rPr>
          <w:color w:val="231F20"/>
          <w:spacing w:val="-16"/>
        </w:rPr>
        <w:t> </w:t>
      </w:r>
      <w:r>
        <w:rPr>
          <w:color w:val="231F20"/>
        </w:rPr>
        <w:t>generales,</w:t>
      </w:r>
      <w:r>
        <w:rPr>
          <w:color w:val="231F20"/>
          <w:spacing w:val="-17"/>
        </w:rPr>
        <w:t> </w:t>
      </w:r>
      <w:r>
        <w:rPr>
          <w:color w:val="231F20"/>
        </w:rPr>
        <w:t>así como cesar los obstáculos para el acceso </w:t>
      </w:r>
      <w:r>
        <w:rPr>
          <w:color w:val="231F20"/>
          <w:spacing w:val="-2"/>
        </w:rPr>
        <w:t>del</w:t>
      </w:r>
      <w:r>
        <w:rPr>
          <w:color w:val="231F20"/>
          <w:spacing w:val="-12"/>
        </w:rPr>
        <w:t> </w:t>
      </w:r>
      <w:r>
        <w:rPr>
          <w:color w:val="231F20"/>
          <w:spacing w:val="-2"/>
        </w:rPr>
        <w:t>sector</w:t>
      </w:r>
      <w:r>
        <w:rPr>
          <w:color w:val="231F20"/>
          <w:spacing w:val="-9"/>
        </w:rPr>
        <w:t> </w:t>
      </w:r>
      <w:r>
        <w:rPr>
          <w:color w:val="231F20"/>
          <w:spacing w:val="-2"/>
        </w:rPr>
        <w:t>privado</w:t>
      </w:r>
      <w:r>
        <w:rPr>
          <w:color w:val="231F20"/>
          <w:spacing w:val="-9"/>
        </w:rPr>
        <w:t> </w:t>
      </w:r>
      <w:r>
        <w:rPr>
          <w:color w:val="231F20"/>
          <w:spacing w:val="-2"/>
        </w:rPr>
        <w:t>a</w:t>
      </w:r>
      <w:r>
        <w:rPr>
          <w:color w:val="231F20"/>
          <w:spacing w:val="-10"/>
        </w:rPr>
        <w:t> </w:t>
      </w:r>
      <w:r>
        <w:rPr>
          <w:color w:val="231F20"/>
          <w:spacing w:val="-2"/>
        </w:rPr>
        <w:t>la</w:t>
      </w:r>
      <w:r>
        <w:rPr>
          <w:color w:val="231F20"/>
          <w:spacing w:val="-9"/>
        </w:rPr>
        <w:t> </w:t>
      </w:r>
      <w:r>
        <w:rPr>
          <w:color w:val="231F20"/>
          <w:spacing w:val="-2"/>
        </w:rPr>
        <w:t>banca</w:t>
      </w:r>
      <w:r>
        <w:rPr>
          <w:color w:val="231F20"/>
          <w:spacing w:val="-9"/>
        </w:rPr>
        <w:t> </w:t>
      </w:r>
      <w:r>
        <w:rPr>
          <w:color w:val="231F20"/>
          <w:spacing w:val="-2"/>
        </w:rPr>
        <w:t>internacional.</w:t>
      </w:r>
    </w:p>
    <w:p>
      <w:pPr>
        <w:pStyle w:val="BodyText"/>
        <w:spacing w:before="165"/>
        <w:ind w:left="412" w:right="1471"/>
      </w:pPr>
      <w:r>
        <w:rPr>
          <w:b/>
          <w:color w:val="B52628"/>
        </w:rPr>
        <w:t>En</w:t>
      </w:r>
      <w:r>
        <w:rPr>
          <w:b/>
          <w:color w:val="B52628"/>
          <w:spacing w:val="-16"/>
        </w:rPr>
        <w:t> </w:t>
      </w:r>
      <w:r>
        <w:rPr>
          <w:b/>
          <w:color w:val="B52628"/>
        </w:rPr>
        <w:t>la</w:t>
      </w:r>
      <w:r>
        <w:rPr>
          <w:b/>
          <w:color w:val="B52628"/>
          <w:spacing w:val="-16"/>
        </w:rPr>
        <w:t> </w:t>
      </w:r>
      <w:r>
        <w:rPr>
          <w:b/>
          <w:color w:val="B52628"/>
        </w:rPr>
        <w:t>primera</w:t>
      </w:r>
      <w:r>
        <w:rPr>
          <w:b/>
          <w:color w:val="B52628"/>
          <w:spacing w:val="-16"/>
        </w:rPr>
        <w:t> </w:t>
      </w:r>
      <w:r>
        <w:rPr>
          <w:b/>
          <w:color w:val="B52628"/>
        </w:rPr>
        <w:t>semana</w:t>
      </w:r>
      <w:r>
        <w:rPr>
          <w:b/>
          <w:color w:val="B52628"/>
          <w:spacing w:val="-16"/>
        </w:rPr>
        <w:t> </w:t>
      </w:r>
      <w:r>
        <w:rPr>
          <w:b/>
          <w:color w:val="B52628"/>
        </w:rPr>
        <w:t>de</w:t>
      </w:r>
      <w:r>
        <w:rPr>
          <w:b/>
          <w:color w:val="B52628"/>
          <w:spacing w:val="-16"/>
        </w:rPr>
        <w:t> </w:t>
      </w:r>
      <w:r>
        <w:rPr>
          <w:b/>
          <w:color w:val="B52628"/>
        </w:rPr>
        <w:t>enero</w:t>
      </w:r>
      <w:r>
        <w:rPr>
          <w:b/>
          <w:color w:val="B52628"/>
          <w:spacing w:val="-16"/>
        </w:rPr>
        <w:t> </w:t>
      </w:r>
      <w:r>
        <w:rPr>
          <w:b/>
          <w:color w:val="B52628"/>
        </w:rPr>
        <w:t>de</w:t>
      </w:r>
      <w:r>
        <w:rPr>
          <w:b/>
          <w:color w:val="B52628"/>
          <w:spacing w:val="-16"/>
        </w:rPr>
        <w:t> </w:t>
      </w:r>
      <w:r>
        <w:rPr>
          <w:b/>
          <w:color w:val="B52628"/>
        </w:rPr>
        <w:t>2023, </w:t>
      </w:r>
      <w:r>
        <w:rPr>
          <w:color w:val="231F20"/>
        </w:rPr>
        <w:t>miembros de una delegación de Estados Unidos</w:t>
      </w:r>
      <w:r>
        <w:rPr>
          <w:color w:val="231F20"/>
          <w:spacing w:val="-2"/>
        </w:rPr>
        <w:t> </w:t>
      </w:r>
      <w:r>
        <w:rPr>
          <w:color w:val="231F20"/>
        </w:rPr>
        <w:t>que</w:t>
      </w:r>
      <w:r>
        <w:rPr>
          <w:color w:val="231F20"/>
          <w:spacing w:val="-2"/>
        </w:rPr>
        <w:t> </w:t>
      </w:r>
      <w:r>
        <w:rPr>
          <w:color w:val="231F20"/>
        </w:rPr>
        <w:t>visitó</w:t>
      </w:r>
      <w:r>
        <w:rPr>
          <w:color w:val="231F20"/>
          <w:spacing w:val="-2"/>
        </w:rPr>
        <w:t> </w:t>
      </w:r>
      <w:r>
        <w:rPr>
          <w:color w:val="231F20"/>
        </w:rPr>
        <w:t>Cuba</w:t>
      </w:r>
      <w:r>
        <w:rPr>
          <w:color w:val="231F20"/>
          <w:spacing w:val="-2"/>
        </w:rPr>
        <w:t> </w:t>
      </w:r>
      <w:r>
        <w:rPr>
          <w:color w:val="231F20"/>
        </w:rPr>
        <w:t>a</w:t>
      </w:r>
      <w:r>
        <w:rPr>
          <w:color w:val="231F20"/>
          <w:spacing w:val="-2"/>
        </w:rPr>
        <w:t> </w:t>
      </w:r>
      <w:r>
        <w:rPr>
          <w:color w:val="231F20"/>
        </w:rPr>
        <w:t>bordo</w:t>
      </w:r>
      <w:r>
        <w:rPr>
          <w:color w:val="231F20"/>
          <w:spacing w:val="-3"/>
        </w:rPr>
        <w:t> </w:t>
      </w:r>
      <w:r>
        <w:rPr>
          <w:color w:val="231F20"/>
        </w:rPr>
        <w:t>del</w:t>
      </w:r>
      <w:r>
        <w:rPr>
          <w:color w:val="231F20"/>
          <w:spacing w:val="-2"/>
        </w:rPr>
        <w:t> </w:t>
      </w:r>
      <w:r>
        <w:rPr>
          <w:color w:val="231F20"/>
        </w:rPr>
        <w:t>barco Regla de Oro (Golden Rule), símbolo </w:t>
      </w:r>
      <w:r>
        <w:rPr>
          <w:color w:val="231F20"/>
        </w:rPr>
        <w:t>de</w:t>
      </w:r>
      <w:r>
        <w:rPr>
          <w:color w:val="231F20"/>
          <w:spacing w:val="40"/>
        </w:rPr>
        <w:t> </w:t>
      </w:r>
      <w:r>
        <w:rPr>
          <w:color w:val="231F20"/>
        </w:rPr>
        <w:t>la</w:t>
      </w:r>
      <w:r>
        <w:rPr>
          <w:color w:val="231F20"/>
          <w:spacing w:val="-10"/>
        </w:rPr>
        <w:t> </w:t>
      </w:r>
      <w:r>
        <w:rPr>
          <w:color w:val="231F20"/>
        </w:rPr>
        <w:t>organización</w:t>
      </w:r>
      <w:r>
        <w:rPr>
          <w:color w:val="231F20"/>
          <w:spacing w:val="-10"/>
        </w:rPr>
        <w:t> </w:t>
      </w:r>
      <w:r>
        <w:rPr>
          <w:color w:val="231F20"/>
        </w:rPr>
        <w:t>pacifista</w:t>
      </w:r>
      <w:r>
        <w:rPr>
          <w:color w:val="231F20"/>
          <w:spacing w:val="-10"/>
        </w:rPr>
        <w:t> </w:t>
      </w:r>
      <w:r>
        <w:rPr>
          <w:color w:val="231F20"/>
        </w:rPr>
        <w:t>“Veteranos</w:t>
      </w:r>
      <w:r>
        <w:rPr>
          <w:color w:val="231F20"/>
          <w:spacing w:val="-10"/>
        </w:rPr>
        <w:t> </w:t>
      </w:r>
      <w:r>
        <w:rPr>
          <w:color w:val="231F20"/>
        </w:rPr>
        <w:t>por</w:t>
      </w:r>
      <w:r>
        <w:rPr>
          <w:color w:val="231F20"/>
          <w:spacing w:val="-10"/>
        </w:rPr>
        <w:t> </w:t>
      </w:r>
      <w:r>
        <w:rPr>
          <w:color w:val="231F20"/>
        </w:rPr>
        <w:t>la paz”, reclamaron el fin del bloqueo.</w:t>
      </w:r>
    </w:p>
    <w:p>
      <w:pPr>
        <w:pStyle w:val="BodyText"/>
        <w:spacing w:before="165"/>
        <w:ind w:left="412" w:right="1473"/>
      </w:pPr>
      <w:r>
        <w:rPr>
          <w:b/>
          <w:color w:val="B52628"/>
        </w:rPr>
        <w:t>El</w:t>
      </w:r>
      <w:r>
        <w:rPr>
          <w:b/>
          <w:color w:val="B52628"/>
          <w:spacing w:val="-13"/>
        </w:rPr>
        <w:t> </w:t>
      </w:r>
      <w:r>
        <w:rPr>
          <w:b/>
          <w:color w:val="B52628"/>
        </w:rPr>
        <w:t>16</w:t>
      </w:r>
      <w:r>
        <w:rPr>
          <w:b/>
          <w:color w:val="B52628"/>
          <w:spacing w:val="-13"/>
        </w:rPr>
        <w:t> </w:t>
      </w:r>
      <w:r>
        <w:rPr>
          <w:b/>
          <w:color w:val="B52628"/>
        </w:rPr>
        <w:t>de</w:t>
      </w:r>
      <w:r>
        <w:rPr>
          <w:b/>
          <w:color w:val="B52628"/>
          <w:spacing w:val="-13"/>
        </w:rPr>
        <w:t> </w:t>
      </w:r>
      <w:r>
        <w:rPr>
          <w:b/>
          <w:color w:val="B52628"/>
        </w:rPr>
        <w:t>enero</w:t>
      </w:r>
      <w:r>
        <w:rPr>
          <w:b/>
          <w:color w:val="B52628"/>
          <w:spacing w:val="-13"/>
        </w:rPr>
        <w:t> </w:t>
      </w:r>
      <w:r>
        <w:rPr>
          <w:b/>
          <w:color w:val="B52628"/>
        </w:rPr>
        <w:t>de</w:t>
      </w:r>
      <w:r>
        <w:rPr>
          <w:b/>
          <w:color w:val="B52628"/>
          <w:spacing w:val="-13"/>
        </w:rPr>
        <w:t> </w:t>
      </w:r>
      <w:r>
        <w:rPr>
          <w:b/>
          <w:color w:val="B52628"/>
        </w:rPr>
        <w:t>2023,</w:t>
      </w:r>
      <w:r>
        <w:rPr>
          <w:b/>
          <w:color w:val="B52628"/>
          <w:spacing w:val="-13"/>
        </w:rPr>
        <w:t> </w:t>
      </w:r>
      <w:r>
        <w:rPr>
          <w:color w:val="231F20"/>
        </w:rPr>
        <w:t>el</w:t>
      </w:r>
      <w:r>
        <w:rPr>
          <w:color w:val="231F20"/>
          <w:spacing w:val="-13"/>
        </w:rPr>
        <w:t> </w:t>
      </w:r>
      <w:r>
        <w:rPr>
          <w:color w:val="231F20"/>
        </w:rPr>
        <w:t>grupo</w:t>
      </w:r>
      <w:r>
        <w:rPr>
          <w:color w:val="231F20"/>
          <w:spacing w:val="-13"/>
        </w:rPr>
        <w:t> </w:t>
      </w:r>
      <w:r>
        <w:rPr>
          <w:color w:val="231F20"/>
        </w:rPr>
        <w:t>Puentes </w:t>
      </w:r>
      <w:r>
        <w:rPr>
          <w:color w:val="231F20"/>
          <w:spacing w:val="-2"/>
        </w:rPr>
        <w:t>de</w:t>
      </w:r>
      <w:r>
        <w:rPr>
          <w:color w:val="231F20"/>
          <w:spacing w:val="-12"/>
        </w:rPr>
        <w:t> </w:t>
      </w:r>
      <w:r>
        <w:rPr>
          <w:color w:val="231F20"/>
          <w:spacing w:val="-2"/>
        </w:rPr>
        <w:t>Amor</w:t>
      </w:r>
      <w:r>
        <w:rPr>
          <w:color w:val="231F20"/>
          <w:spacing w:val="-12"/>
        </w:rPr>
        <w:t> </w:t>
      </w:r>
      <w:r>
        <w:rPr>
          <w:color w:val="231F20"/>
          <w:spacing w:val="-2"/>
        </w:rPr>
        <w:t>desfiló</w:t>
      </w:r>
      <w:r>
        <w:rPr>
          <w:color w:val="231F20"/>
          <w:spacing w:val="-12"/>
        </w:rPr>
        <w:t> </w:t>
      </w:r>
      <w:r>
        <w:rPr>
          <w:color w:val="231F20"/>
          <w:spacing w:val="-2"/>
        </w:rPr>
        <w:t>en</w:t>
      </w:r>
      <w:r>
        <w:rPr>
          <w:color w:val="231F20"/>
          <w:spacing w:val="-12"/>
        </w:rPr>
        <w:t> </w:t>
      </w:r>
      <w:r>
        <w:rPr>
          <w:color w:val="231F20"/>
          <w:spacing w:val="-2"/>
        </w:rPr>
        <w:t>Seattle</w:t>
      </w:r>
      <w:r>
        <w:rPr>
          <w:color w:val="231F20"/>
          <w:spacing w:val="-12"/>
        </w:rPr>
        <w:t> </w:t>
      </w:r>
      <w:r>
        <w:rPr>
          <w:color w:val="231F20"/>
          <w:spacing w:val="-2"/>
        </w:rPr>
        <w:t>junto</w:t>
      </w:r>
      <w:r>
        <w:rPr>
          <w:color w:val="231F20"/>
          <w:spacing w:val="-12"/>
        </w:rPr>
        <w:t> </w:t>
      </w:r>
      <w:r>
        <w:rPr>
          <w:color w:val="231F20"/>
          <w:spacing w:val="-2"/>
        </w:rPr>
        <w:t>a</w:t>
      </w:r>
      <w:r>
        <w:rPr>
          <w:color w:val="231F20"/>
          <w:spacing w:val="-12"/>
        </w:rPr>
        <w:t> </w:t>
      </w:r>
      <w:r>
        <w:rPr>
          <w:color w:val="231F20"/>
          <w:spacing w:val="-2"/>
        </w:rPr>
        <w:t>miles</w:t>
      </w:r>
      <w:r>
        <w:rPr>
          <w:color w:val="231F20"/>
          <w:spacing w:val="-12"/>
        </w:rPr>
        <w:t> </w:t>
      </w:r>
      <w:r>
        <w:rPr>
          <w:color w:val="231F20"/>
          <w:spacing w:val="-2"/>
        </w:rPr>
        <w:t>de </w:t>
      </w:r>
      <w:r>
        <w:rPr>
          <w:color w:val="231F20"/>
        </w:rPr>
        <w:t>estadounidenses y personas de diversos </w:t>
      </w:r>
      <w:r>
        <w:rPr>
          <w:color w:val="231F20"/>
          <w:spacing w:val="-4"/>
        </w:rPr>
        <w:t>orígenes</w:t>
      </w:r>
      <w:r>
        <w:rPr>
          <w:color w:val="231F20"/>
          <w:spacing w:val="-7"/>
        </w:rPr>
        <w:t> </w:t>
      </w:r>
      <w:r>
        <w:rPr>
          <w:color w:val="231F20"/>
          <w:spacing w:val="-4"/>
        </w:rPr>
        <w:t>y</w:t>
      </w:r>
      <w:r>
        <w:rPr>
          <w:color w:val="231F20"/>
          <w:spacing w:val="-7"/>
        </w:rPr>
        <w:t> </w:t>
      </w:r>
      <w:r>
        <w:rPr>
          <w:color w:val="231F20"/>
          <w:spacing w:val="-4"/>
        </w:rPr>
        <w:t>credos</w:t>
      </w:r>
      <w:r>
        <w:rPr>
          <w:color w:val="231F20"/>
          <w:spacing w:val="-7"/>
        </w:rPr>
        <w:t> </w:t>
      </w:r>
      <w:r>
        <w:rPr>
          <w:color w:val="231F20"/>
          <w:spacing w:val="-4"/>
        </w:rPr>
        <w:t>políticos</w:t>
      </w:r>
      <w:r>
        <w:rPr>
          <w:color w:val="231F20"/>
          <w:spacing w:val="-7"/>
        </w:rPr>
        <w:t> </w:t>
      </w:r>
      <w:r>
        <w:rPr>
          <w:color w:val="231F20"/>
          <w:spacing w:val="-4"/>
        </w:rPr>
        <w:t>y</w:t>
      </w:r>
      <w:r>
        <w:rPr>
          <w:color w:val="231F20"/>
          <w:spacing w:val="-7"/>
        </w:rPr>
        <w:t> </w:t>
      </w:r>
      <w:r>
        <w:rPr>
          <w:color w:val="231F20"/>
          <w:spacing w:val="-4"/>
        </w:rPr>
        <w:t>religiosos,</w:t>
      </w:r>
      <w:r>
        <w:rPr>
          <w:color w:val="231F20"/>
          <w:spacing w:val="-7"/>
        </w:rPr>
        <w:t> </w:t>
      </w:r>
      <w:r>
        <w:rPr>
          <w:color w:val="231F20"/>
          <w:spacing w:val="-4"/>
        </w:rPr>
        <w:t>con el</w:t>
      </w:r>
      <w:r>
        <w:rPr>
          <w:color w:val="231F20"/>
          <w:spacing w:val="-10"/>
        </w:rPr>
        <w:t> </w:t>
      </w:r>
      <w:r>
        <w:rPr>
          <w:color w:val="231F20"/>
          <w:spacing w:val="-4"/>
        </w:rPr>
        <w:t>fin</w:t>
      </w:r>
      <w:r>
        <w:rPr>
          <w:color w:val="231F20"/>
          <w:spacing w:val="-8"/>
        </w:rPr>
        <w:t> </w:t>
      </w:r>
      <w:r>
        <w:rPr>
          <w:color w:val="231F20"/>
          <w:spacing w:val="-4"/>
        </w:rPr>
        <w:t>de</w:t>
      </w:r>
      <w:r>
        <w:rPr>
          <w:color w:val="231F20"/>
          <w:spacing w:val="-8"/>
        </w:rPr>
        <w:t> </w:t>
      </w:r>
      <w:r>
        <w:rPr>
          <w:color w:val="231F20"/>
          <w:spacing w:val="-4"/>
        </w:rPr>
        <w:t>reclamar</w:t>
      </w:r>
      <w:r>
        <w:rPr>
          <w:color w:val="231F20"/>
          <w:spacing w:val="-8"/>
        </w:rPr>
        <w:t> </w:t>
      </w:r>
      <w:r>
        <w:rPr>
          <w:color w:val="231F20"/>
          <w:spacing w:val="-4"/>
        </w:rPr>
        <w:t>el</w:t>
      </w:r>
      <w:r>
        <w:rPr>
          <w:color w:val="231F20"/>
          <w:spacing w:val="-9"/>
        </w:rPr>
        <w:t> </w:t>
      </w:r>
      <w:r>
        <w:rPr>
          <w:color w:val="231F20"/>
          <w:spacing w:val="-4"/>
        </w:rPr>
        <w:t>fin</w:t>
      </w:r>
      <w:r>
        <w:rPr>
          <w:color w:val="231F20"/>
          <w:spacing w:val="-8"/>
        </w:rPr>
        <w:t> </w:t>
      </w:r>
      <w:r>
        <w:rPr>
          <w:color w:val="231F20"/>
          <w:spacing w:val="-4"/>
        </w:rPr>
        <w:t>del</w:t>
      </w:r>
      <w:r>
        <w:rPr>
          <w:color w:val="231F20"/>
          <w:spacing w:val="-10"/>
        </w:rPr>
        <w:t> </w:t>
      </w:r>
      <w:r>
        <w:rPr>
          <w:color w:val="231F20"/>
          <w:spacing w:val="-4"/>
        </w:rPr>
        <w:t>bloqueo</w:t>
      </w:r>
      <w:r>
        <w:rPr>
          <w:color w:val="231F20"/>
          <w:spacing w:val="-8"/>
        </w:rPr>
        <w:t> </w:t>
      </w:r>
      <w:r>
        <w:rPr>
          <w:color w:val="231F20"/>
          <w:spacing w:val="-4"/>
        </w:rPr>
        <w:t>a</w:t>
      </w:r>
      <w:r>
        <w:rPr>
          <w:color w:val="231F20"/>
          <w:spacing w:val="-8"/>
        </w:rPr>
        <w:t> </w:t>
      </w:r>
      <w:r>
        <w:rPr>
          <w:color w:val="231F20"/>
          <w:spacing w:val="-4"/>
        </w:rPr>
        <w:t>Cuba.</w:t>
      </w:r>
    </w:p>
    <w:p>
      <w:pPr>
        <w:spacing w:after="0"/>
        <w:sectPr>
          <w:pgSz w:w="11910" w:h="16840"/>
          <w:pgMar w:header="0" w:footer="695" w:top="1260" w:bottom="880" w:left="0" w:right="0"/>
          <w:cols w:num="2" w:equalWidth="0">
            <w:col w:w="5558" w:space="40"/>
            <w:col w:w="6312"/>
          </w:cols>
        </w:sectPr>
      </w:pPr>
    </w:p>
    <w:p>
      <w:pPr>
        <w:pStyle w:val="BodyText"/>
        <w:spacing w:before="77"/>
        <w:ind w:left="1474"/>
      </w:pPr>
      <w:r>
        <w:rPr>
          <w:b/>
          <w:color w:val="B52628"/>
        </w:rPr>
        <w:t>El</w:t>
      </w:r>
      <w:r>
        <w:rPr>
          <w:b/>
          <w:color w:val="B52628"/>
          <w:spacing w:val="40"/>
        </w:rPr>
        <w:t> </w:t>
      </w:r>
      <w:r>
        <w:rPr>
          <w:b/>
          <w:color w:val="B52628"/>
        </w:rPr>
        <w:t>18</w:t>
      </w:r>
      <w:r>
        <w:rPr>
          <w:b/>
          <w:color w:val="B52628"/>
          <w:spacing w:val="40"/>
        </w:rPr>
        <w:t> </w:t>
      </w:r>
      <w:r>
        <w:rPr>
          <w:b/>
          <w:color w:val="B52628"/>
        </w:rPr>
        <w:t>de</w:t>
      </w:r>
      <w:r>
        <w:rPr>
          <w:b/>
          <w:color w:val="B52628"/>
          <w:spacing w:val="40"/>
        </w:rPr>
        <w:t> </w:t>
      </w:r>
      <w:r>
        <w:rPr>
          <w:b/>
          <w:color w:val="B52628"/>
        </w:rPr>
        <w:t>enero</w:t>
      </w:r>
      <w:r>
        <w:rPr>
          <w:b/>
          <w:color w:val="B52628"/>
          <w:spacing w:val="40"/>
        </w:rPr>
        <w:t> </w:t>
      </w:r>
      <w:r>
        <w:rPr>
          <w:b/>
          <w:color w:val="B52628"/>
        </w:rPr>
        <w:t>de</w:t>
      </w:r>
      <w:r>
        <w:rPr>
          <w:b/>
          <w:color w:val="B52628"/>
          <w:spacing w:val="40"/>
        </w:rPr>
        <w:t> </w:t>
      </w:r>
      <w:r>
        <w:rPr>
          <w:b/>
          <w:color w:val="B52628"/>
        </w:rPr>
        <w:t>2023,</w:t>
      </w:r>
      <w:r>
        <w:rPr>
          <w:b/>
          <w:color w:val="B52628"/>
          <w:spacing w:val="40"/>
        </w:rPr>
        <w:t> </w:t>
      </w:r>
      <w:r>
        <w:rPr>
          <w:color w:val="231F20"/>
        </w:rPr>
        <w:t>activistas</w:t>
      </w:r>
      <w:r>
        <w:rPr>
          <w:color w:val="231F20"/>
          <w:spacing w:val="40"/>
        </w:rPr>
        <w:t> </w:t>
      </w:r>
      <w:r>
        <w:rPr>
          <w:color w:val="231F20"/>
        </w:rPr>
        <w:t>de los Estados Unidos enviaron a Cuba 40 mil libras de ayuda humanitaria para los damnificados</w:t>
      </w:r>
      <w:r>
        <w:rPr>
          <w:color w:val="231F20"/>
          <w:spacing w:val="-4"/>
        </w:rPr>
        <w:t> </w:t>
      </w:r>
      <w:r>
        <w:rPr>
          <w:color w:val="231F20"/>
        </w:rPr>
        <w:t>del</w:t>
      </w:r>
      <w:r>
        <w:rPr>
          <w:color w:val="231F20"/>
          <w:spacing w:val="-4"/>
        </w:rPr>
        <w:t> </w:t>
      </w:r>
      <w:r>
        <w:rPr>
          <w:color w:val="231F20"/>
        </w:rPr>
        <w:t>huracán</w:t>
      </w:r>
      <w:r>
        <w:rPr>
          <w:color w:val="231F20"/>
          <w:spacing w:val="-4"/>
        </w:rPr>
        <w:t> </w:t>
      </w:r>
      <w:r>
        <w:rPr>
          <w:color w:val="231F20"/>
        </w:rPr>
        <w:t>Ian.</w:t>
      </w:r>
      <w:r>
        <w:rPr>
          <w:color w:val="231F20"/>
          <w:spacing w:val="-4"/>
        </w:rPr>
        <w:t> </w:t>
      </w:r>
      <w:r>
        <w:rPr>
          <w:color w:val="231F20"/>
        </w:rPr>
        <w:t>El</w:t>
      </w:r>
      <w:r>
        <w:rPr>
          <w:color w:val="231F20"/>
          <w:spacing w:val="-3"/>
        </w:rPr>
        <w:t> </w:t>
      </w:r>
      <w:r>
        <w:rPr>
          <w:color w:val="231F20"/>
        </w:rPr>
        <w:t>donativo partió</w:t>
      </w:r>
      <w:r>
        <w:rPr>
          <w:color w:val="231F20"/>
          <w:spacing w:val="80"/>
        </w:rPr>
        <w:t> </w:t>
      </w:r>
      <w:r>
        <w:rPr>
          <w:color w:val="231F20"/>
        </w:rPr>
        <w:t>del</w:t>
      </w:r>
      <w:r>
        <w:rPr>
          <w:color w:val="231F20"/>
          <w:spacing w:val="80"/>
        </w:rPr>
        <w:t> </w:t>
      </w:r>
      <w:r>
        <w:rPr>
          <w:color w:val="231F20"/>
        </w:rPr>
        <w:t>puerto</w:t>
      </w:r>
      <w:r>
        <w:rPr>
          <w:color w:val="231F20"/>
          <w:spacing w:val="80"/>
        </w:rPr>
        <w:t> </w:t>
      </w:r>
      <w:r>
        <w:rPr>
          <w:color w:val="231F20"/>
        </w:rPr>
        <w:t>Everglades,</w:t>
      </w:r>
      <w:r>
        <w:rPr>
          <w:color w:val="231F20"/>
          <w:spacing w:val="80"/>
        </w:rPr>
        <w:t> </w:t>
      </w:r>
      <w:r>
        <w:rPr>
          <w:color w:val="231F20"/>
        </w:rPr>
        <w:t>Florida,</w:t>
      </w:r>
      <w:r>
        <w:rPr>
          <w:color w:val="231F20"/>
          <w:spacing w:val="80"/>
        </w:rPr>
        <w:t> </w:t>
      </w:r>
      <w:r>
        <w:rPr>
          <w:color w:val="231F20"/>
        </w:rPr>
        <w:t>y fue posible por la colaboración de asociaciones como Coalición ANSWER, The People’s Forum, la Alianza Martiana, entre otros.</w:t>
      </w:r>
    </w:p>
    <w:p>
      <w:pPr>
        <w:pStyle w:val="BodyText"/>
        <w:spacing w:before="167"/>
        <w:ind w:left="1474" w:right="5"/>
      </w:pPr>
      <w:r>
        <w:rPr>
          <w:b/>
          <w:color w:val="B52628"/>
        </w:rPr>
        <w:t>El</w:t>
      </w:r>
      <w:r>
        <w:rPr>
          <w:b/>
          <w:color w:val="B52628"/>
          <w:spacing w:val="-9"/>
        </w:rPr>
        <w:t> </w:t>
      </w:r>
      <w:r>
        <w:rPr>
          <w:b/>
          <w:color w:val="B52628"/>
        </w:rPr>
        <w:t>19</w:t>
      </w:r>
      <w:r>
        <w:rPr>
          <w:b/>
          <w:color w:val="B52628"/>
          <w:spacing w:val="-9"/>
        </w:rPr>
        <w:t> </w:t>
      </w:r>
      <w:r>
        <w:rPr>
          <w:b/>
          <w:color w:val="B52628"/>
        </w:rPr>
        <w:t>de</w:t>
      </w:r>
      <w:r>
        <w:rPr>
          <w:b/>
          <w:color w:val="B52628"/>
          <w:spacing w:val="-9"/>
        </w:rPr>
        <w:t> </w:t>
      </w:r>
      <w:r>
        <w:rPr>
          <w:b/>
          <w:color w:val="B52628"/>
        </w:rPr>
        <w:t>enero</w:t>
      </w:r>
      <w:r>
        <w:rPr>
          <w:b/>
          <w:color w:val="B52628"/>
          <w:spacing w:val="-9"/>
        </w:rPr>
        <w:t> </w:t>
      </w:r>
      <w:r>
        <w:rPr>
          <w:b/>
          <w:color w:val="B52628"/>
        </w:rPr>
        <w:t>de</w:t>
      </w:r>
      <w:r>
        <w:rPr>
          <w:b/>
          <w:color w:val="B52628"/>
          <w:spacing w:val="-9"/>
        </w:rPr>
        <w:t> </w:t>
      </w:r>
      <w:r>
        <w:rPr>
          <w:b/>
          <w:color w:val="B52628"/>
        </w:rPr>
        <w:t>2023,</w:t>
      </w:r>
      <w:r>
        <w:rPr>
          <w:b/>
          <w:color w:val="B52628"/>
          <w:spacing w:val="-9"/>
        </w:rPr>
        <w:t> </w:t>
      </w:r>
      <w:r>
        <w:rPr>
          <w:color w:val="231F20"/>
        </w:rPr>
        <w:t>un</w:t>
      </w:r>
      <w:r>
        <w:rPr>
          <w:color w:val="231F20"/>
          <w:spacing w:val="-9"/>
        </w:rPr>
        <w:t> </w:t>
      </w:r>
      <w:r>
        <w:rPr>
          <w:color w:val="231F20"/>
        </w:rPr>
        <w:t>grupo</w:t>
      </w:r>
      <w:r>
        <w:rPr>
          <w:color w:val="231F20"/>
          <w:spacing w:val="-9"/>
        </w:rPr>
        <w:t> </w:t>
      </w:r>
      <w:r>
        <w:rPr>
          <w:color w:val="231F20"/>
        </w:rPr>
        <w:t>de</w:t>
      </w:r>
      <w:r>
        <w:rPr>
          <w:color w:val="231F20"/>
          <w:spacing w:val="-9"/>
        </w:rPr>
        <w:t> </w:t>
      </w:r>
      <w:r>
        <w:rPr>
          <w:color w:val="231F20"/>
        </w:rPr>
        <w:t>160 abogados estadounidenses enviaron una carta al presidente Biden para reclamar</w:t>
      </w:r>
      <w:r>
        <w:rPr>
          <w:color w:val="231F20"/>
          <w:spacing w:val="80"/>
          <w:w w:val="150"/>
        </w:rPr>
        <w:t> </w:t>
      </w:r>
      <w:r>
        <w:rPr>
          <w:color w:val="231F20"/>
        </w:rPr>
        <w:t>la retirada de Cuba de la Lista de Estados </w:t>
      </w:r>
      <w:r>
        <w:rPr>
          <w:color w:val="231F20"/>
          <w:spacing w:val="-12"/>
        </w:rPr>
        <w:t>Patrocinadores</w:t>
      </w:r>
      <w:r>
        <w:rPr>
          <w:color w:val="231F20"/>
        </w:rPr>
        <w:t> </w:t>
      </w:r>
      <w:r>
        <w:rPr>
          <w:color w:val="231F20"/>
          <w:spacing w:val="-12"/>
        </w:rPr>
        <w:t>del</w:t>
      </w:r>
      <w:r>
        <w:rPr>
          <w:color w:val="231F20"/>
        </w:rPr>
        <w:t> </w:t>
      </w:r>
      <w:r>
        <w:rPr>
          <w:color w:val="231F20"/>
          <w:spacing w:val="-12"/>
        </w:rPr>
        <w:t>Terrorismo.</w:t>
      </w:r>
      <w:r>
        <w:rPr>
          <w:color w:val="231F20"/>
        </w:rPr>
        <w:t> </w:t>
      </w:r>
      <w:r>
        <w:rPr>
          <w:color w:val="231F20"/>
          <w:spacing w:val="-12"/>
        </w:rPr>
        <w:t>Argumentaron </w:t>
      </w:r>
      <w:r>
        <w:rPr>
          <w:color w:val="231F20"/>
        </w:rPr>
        <w:t>que la decisión de incluir a Cuba en ese </w:t>
      </w:r>
      <w:r>
        <w:rPr>
          <w:color w:val="231F20"/>
          <w:spacing w:val="-2"/>
        </w:rPr>
        <w:t>listado</w:t>
      </w:r>
      <w:r>
        <w:rPr>
          <w:color w:val="231F20"/>
          <w:spacing w:val="-15"/>
        </w:rPr>
        <w:t> </w:t>
      </w:r>
      <w:r>
        <w:rPr>
          <w:color w:val="231F20"/>
          <w:spacing w:val="-2"/>
        </w:rPr>
        <w:t>carece</w:t>
      </w:r>
      <w:r>
        <w:rPr>
          <w:color w:val="231F20"/>
          <w:spacing w:val="-15"/>
        </w:rPr>
        <w:t> </w:t>
      </w:r>
      <w:r>
        <w:rPr>
          <w:color w:val="231F20"/>
          <w:spacing w:val="-2"/>
        </w:rPr>
        <w:t>de</w:t>
      </w:r>
      <w:r>
        <w:rPr>
          <w:color w:val="231F20"/>
          <w:spacing w:val="-15"/>
        </w:rPr>
        <w:t> </w:t>
      </w:r>
      <w:r>
        <w:rPr>
          <w:color w:val="231F20"/>
          <w:spacing w:val="-2"/>
        </w:rPr>
        <w:t>justificación</w:t>
      </w:r>
      <w:r>
        <w:rPr>
          <w:color w:val="231F20"/>
          <w:spacing w:val="-15"/>
        </w:rPr>
        <w:t> </w:t>
      </w:r>
      <w:r>
        <w:rPr>
          <w:color w:val="231F20"/>
          <w:spacing w:val="-2"/>
        </w:rPr>
        <w:t>moral</w:t>
      </w:r>
      <w:r>
        <w:rPr>
          <w:color w:val="231F20"/>
          <w:spacing w:val="-15"/>
        </w:rPr>
        <w:t> </w:t>
      </w:r>
      <w:r>
        <w:rPr>
          <w:color w:val="231F20"/>
          <w:spacing w:val="-2"/>
        </w:rPr>
        <w:t>y</w:t>
      </w:r>
      <w:r>
        <w:rPr>
          <w:color w:val="231F20"/>
          <w:spacing w:val="-15"/>
        </w:rPr>
        <w:t> </w:t>
      </w:r>
      <w:r>
        <w:rPr>
          <w:color w:val="231F20"/>
          <w:spacing w:val="-2"/>
        </w:rPr>
        <w:t>legal.</w:t>
      </w:r>
    </w:p>
    <w:p>
      <w:pPr>
        <w:pStyle w:val="BodyText"/>
        <w:spacing w:before="165"/>
        <w:ind w:left="1474"/>
      </w:pPr>
      <w:r>
        <w:rPr>
          <w:b/>
          <w:color w:val="B52628"/>
        </w:rPr>
        <w:t>El 20 de enero de 2023, </w:t>
      </w:r>
      <w:r>
        <w:rPr>
          <w:color w:val="231F20"/>
        </w:rPr>
        <w:t>el </w:t>
      </w:r>
      <w:r>
        <w:rPr>
          <w:color w:val="231F20"/>
        </w:rPr>
        <w:t>Concejo Municipal de Bloomington, Indiana, aprobó por unanimidad una resolución que</w:t>
      </w:r>
      <w:r>
        <w:rPr>
          <w:color w:val="231F20"/>
          <w:spacing w:val="-7"/>
        </w:rPr>
        <w:t> </w:t>
      </w:r>
      <w:r>
        <w:rPr>
          <w:color w:val="231F20"/>
        </w:rPr>
        <w:t>pide</w:t>
      </w:r>
      <w:r>
        <w:rPr>
          <w:color w:val="231F20"/>
          <w:spacing w:val="-7"/>
        </w:rPr>
        <w:t> </w:t>
      </w:r>
      <w:r>
        <w:rPr>
          <w:color w:val="231F20"/>
        </w:rPr>
        <w:t>el</w:t>
      </w:r>
      <w:r>
        <w:rPr>
          <w:color w:val="231F20"/>
          <w:spacing w:val="-7"/>
        </w:rPr>
        <w:t> </w:t>
      </w:r>
      <w:r>
        <w:rPr>
          <w:color w:val="231F20"/>
        </w:rPr>
        <w:t>fin</w:t>
      </w:r>
      <w:r>
        <w:rPr>
          <w:color w:val="231F20"/>
          <w:spacing w:val="-7"/>
        </w:rPr>
        <w:t> </w:t>
      </w:r>
      <w:r>
        <w:rPr>
          <w:color w:val="231F20"/>
        </w:rPr>
        <w:t>del</w:t>
      </w:r>
      <w:r>
        <w:rPr>
          <w:color w:val="231F20"/>
          <w:spacing w:val="-7"/>
        </w:rPr>
        <w:t> </w:t>
      </w:r>
      <w:r>
        <w:rPr>
          <w:color w:val="231F20"/>
        </w:rPr>
        <w:t>bloqueo</w:t>
      </w:r>
      <w:r>
        <w:rPr>
          <w:color w:val="231F20"/>
          <w:spacing w:val="-7"/>
        </w:rPr>
        <w:t> </w:t>
      </w:r>
      <w:r>
        <w:rPr>
          <w:color w:val="231F20"/>
        </w:rPr>
        <w:t>de</w:t>
      </w:r>
      <w:r>
        <w:rPr>
          <w:color w:val="231F20"/>
          <w:spacing w:val="-7"/>
        </w:rPr>
        <w:t> </w:t>
      </w:r>
      <w:r>
        <w:rPr>
          <w:color w:val="231F20"/>
        </w:rPr>
        <w:t>los</w:t>
      </w:r>
      <w:r>
        <w:rPr>
          <w:color w:val="231F20"/>
          <w:spacing w:val="-7"/>
        </w:rPr>
        <w:t> </w:t>
      </w:r>
      <w:r>
        <w:rPr>
          <w:color w:val="231F20"/>
        </w:rPr>
        <w:t>Estados Unidos contra Cuba.</w:t>
      </w:r>
    </w:p>
    <w:p>
      <w:pPr>
        <w:pStyle w:val="BodyText"/>
        <w:spacing w:before="164"/>
        <w:ind w:left="1474"/>
      </w:pPr>
      <w:r>
        <w:rPr>
          <w:b/>
          <w:color w:val="B52628"/>
        </w:rPr>
        <w:t>El 26 de enero de 2023, </w:t>
      </w:r>
      <w:r>
        <w:rPr>
          <w:color w:val="231F20"/>
        </w:rPr>
        <w:t>Jeffrey </w:t>
      </w:r>
      <w:r>
        <w:rPr>
          <w:color w:val="231F20"/>
        </w:rPr>
        <w:t>W. Bullock,</w:t>
      </w:r>
      <w:r>
        <w:rPr>
          <w:color w:val="231F20"/>
          <w:spacing w:val="-17"/>
        </w:rPr>
        <w:t> </w:t>
      </w:r>
      <w:r>
        <w:rPr>
          <w:color w:val="231F20"/>
        </w:rPr>
        <w:t>Secretario</w:t>
      </w:r>
      <w:r>
        <w:rPr>
          <w:color w:val="231F20"/>
          <w:spacing w:val="-16"/>
        </w:rPr>
        <w:t> </w:t>
      </w:r>
      <w:r>
        <w:rPr>
          <w:color w:val="231F20"/>
        </w:rPr>
        <w:t>de</w:t>
      </w:r>
      <w:r>
        <w:rPr>
          <w:color w:val="231F20"/>
          <w:spacing w:val="-17"/>
        </w:rPr>
        <w:t> </w:t>
      </w:r>
      <w:r>
        <w:rPr>
          <w:color w:val="231F20"/>
        </w:rPr>
        <w:t>Estado</w:t>
      </w:r>
      <w:r>
        <w:rPr>
          <w:color w:val="231F20"/>
          <w:spacing w:val="-16"/>
        </w:rPr>
        <w:t> </w:t>
      </w:r>
      <w:r>
        <w:rPr>
          <w:color w:val="231F20"/>
        </w:rPr>
        <w:t>de</w:t>
      </w:r>
      <w:r>
        <w:rPr>
          <w:color w:val="231F20"/>
          <w:spacing w:val="-17"/>
        </w:rPr>
        <w:t> </w:t>
      </w:r>
      <w:r>
        <w:rPr>
          <w:color w:val="231F20"/>
        </w:rPr>
        <w:t>Delaware, y Michael T. Scuse, Comisionado de Agricultura de ese mismo Estado, solicitaron el fin del bloqueo contra Cuba durante su visita a La Habana.</w:t>
      </w:r>
    </w:p>
    <w:p>
      <w:pPr>
        <w:spacing w:before="165"/>
        <w:ind w:left="1474" w:right="0" w:firstLine="0"/>
        <w:jc w:val="both"/>
        <w:rPr>
          <w:sz w:val="24"/>
        </w:rPr>
      </w:pPr>
      <w:r>
        <w:rPr>
          <w:b/>
          <w:color w:val="B52628"/>
          <w:sz w:val="24"/>
        </w:rPr>
        <w:t>El</w:t>
      </w:r>
      <w:r>
        <w:rPr>
          <w:b/>
          <w:color w:val="B52628"/>
          <w:spacing w:val="79"/>
          <w:sz w:val="24"/>
        </w:rPr>
        <w:t> </w:t>
      </w:r>
      <w:r>
        <w:rPr>
          <w:b/>
          <w:color w:val="B52628"/>
          <w:sz w:val="24"/>
        </w:rPr>
        <w:t>29</w:t>
      </w:r>
      <w:r>
        <w:rPr>
          <w:b/>
          <w:color w:val="B52628"/>
          <w:spacing w:val="79"/>
          <w:sz w:val="24"/>
        </w:rPr>
        <w:t> </w:t>
      </w:r>
      <w:r>
        <w:rPr>
          <w:b/>
          <w:color w:val="B52628"/>
          <w:sz w:val="24"/>
        </w:rPr>
        <w:t>de</w:t>
      </w:r>
      <w:r>
        <w:rPr>
          <w:b/>
          <w:color w:val="B52628"/>
          <w:spacing w:val="47"/>
          <w:w w:val="150"/>
          <w:sz w:val="24"/>
        </w:rPr>
        <w:t> </w:t>
      </w:r>
      <w:r>
        <w:rPr>
          <w:b/>
          <w:color w:val="B52628"/>
          <w:sz w:val="24"/>
        </w:rPr>
        <w:t>enero</w:t>
      </w:r>
      <w:r>
        <w:rPr>
          <w:b/>
          <w:color w:val="B52628"/>
          <w:spacing w:val="79"/>
          <w:sz w:val="24"/>
        </w:rPr>
        <w:t> </w:t>
      </w:r>
      <w:r>
        <w:rPr>
          <w:b/>
          <w:color w:val="B52628"/>
          <w:sz w:val="24"/>
        </w:rPr>
        <w:t>de</w:t>
      </w:r>
      <w:r>
        <w:rPr>
          <w:b/>
          <w:color w:val="B52628"/>
          <w:spacing w:val="79"/>
          <w:sz w:val="24"/>
        </w:rPr>
        <w:t> </w:t>
      </w:r>
      <w:r>
        <w:rPr>
          <w:b/>
          <w:color w:val="B52628"/>
          <w:sz w:val="24"/>
        </w:rPr>
        <w:t>2023,</w:t>
      </w:r>
      <w:r>
        <w:rPr>
          <w:b/>
          <w:color w:val="B52628"/>
          <w:spacing w:val="78"/>
          <w:sz w:val="24"/>
        </w:rPr>
        <w:t> </w:t>
      </w:r>
      <w:r>
        <w:rPr>
          <w:color w:val="231F20"/>
          <w:sz w:val="24"/>
        </w:rPr>
        <w:t>en</w:t>
      </w:r>
      <w:r>
        <w:rPr>
          <w:color w:val="231F20"/>
          <w:spacing w:val="78"/>
          <w:sz w:val="24"/>
        </w:rPr>
        <w:t> </w:t>
      </w:r>
      <w:r>
        <w:rPr>
          <w:color w:val="231F20"/>
          <w:sz w:val="24"/>
        </w:rPr>
        <w:t>más</w:t>
      </w:r>
      <w:r>
        <w:rPr>
          <w:color w:val="231F20"/>
          <w:spacing w:val="78"/>
          <w:sz w:val="24"/>
        </w:rPr>
        <w:t> </w:t>
      </w:r>
      <w:r>
        <w:rPr>
          <w:color w:val="231F20"/>
          <w:spacing w:val="-5"/>
          <w:sz w:val="24"/>
        </w:rPr>
        <w:t>de</w:t>
      </w:r>
    </w:p>
    <w:p>
      <w:pPr>
        <w:pStyle w:val="BodyText"/>
        <w:spacing w:before="1"/>
        <w:ind w:left="1474" w:right="1"/>
      </w:pPr>
      <w:r>
        <w:rPr>
          <w:color w:val="231F20"/>
        </w:rPr>
        <w:t>20 ciudades de los Estados Unidos, incluyendo</w:t>
      </w:r>
      <w:r>
        <w:rPr>
          <w:color w:val="231F20"/>
          <w:spacing w:val="-14"/>
        </w:rPr>
        <w:t> </w:t>
      </w:r>
      <w:r>
        <w:rPr>
          <w:color w:val="231F20"/>
        </w:rPr>
        <w:t>Miami,</w:t>
      </w:r>
      <w:r>
        <w:rPr>
          <w:color w:val="231F20"/>
          <w:spacing w:val="-13"/>
        </w:rPr>
        <w:t> </w:t>
      </w:r>
      <w:r>
        <w:rPr>
          <w:color w:val="231F20"/>
        </w:rPr>
        <w:t>se</w:t>
      </w:r>
      <w:r>
        <w:rPr>
          <w:color w:val="231F20"/>
          <w:spacing w:val="-13"/>
        </w:rPr>
        <w:t> </w:t>
      </w:r>
      <w:r>
        <w:rPr>
          <w:color w:val="231F20"/>
        </w:rPr>
        <w:t>realizaron</w:t>
      </w:r>
      <w:r>
        <w:rPr>
          <w:color w:val="231F20"/>
          <w:spacing w:val="-14"/>
        </w:rPr>
        <w:t> </w:t>
      </w:r>
      <w:r>
        <w:rPr>
          <w:color w:val="231F20"/>
        </w:rPr>
        <w:t>caravanas para demandar el fin de las medidas coercitivas contra Cuba.</w:t>
      </w:r>
    </w:p>
    <w:p>
      <w:pPr>
        <w:pStyle w:val="BodyText"/>
        <w:spacing w:before="163"/>
        <w:ind w:left="1474" w:right="1"/>
      </w:pPr>
      <w:r>
        <w:rPr>
          <w:b/>
          <w:color w:val="B52628"/>
        </w:rPr>
        <w:t>En enero de 2023, </w:t>
      </w:r>
      <w:r>
        <w:rPr>
          <w:color w:val="231F20"/>
        </w:rPr>
        <w:t>el ayuntamiento de la ciudad de Mineápolis, Minnesota, exigió al presidente Biden y al Congreso de los </w:t>
      </w:r>
      <w:r>
        <w:rPr>
          <w:color w:val="231F20"/>
          <w:spacing w:val="-2"/>
        </w:rPr>
        <w:t>Estados</w:t>
      </w:r>
      <w:r>
        <w:rPr>
          <w:color w:val="231F20"/>
          <w:spacing w:val="-15"/>
        </w:rPr>
        <w:t> </w:t>
      </w:r>
      <w:r>
        <w:rPr>
          <w:color w:val="231F20"/>
          <w:spacing w:val="-2"/>
        </w:rPr>
        <w:t>Unidos</w:t>
      </w:r>
      <w:r>
        <w:rPr>
          <w:color w:val="231F20"/>
          <w:spacing w:val="-14"/>
        </w:rPr>
        <w:t> </w:t>
      </w:r>
      <w:r>
        <w:rPr>
          <w:color w:val="231F20"/>
          <w:spacing w:val="-2"/>
        </w:rPr>
        <w:t>retirar</w:t>
      </w:r>
      <w:r>
        <w:rPr>
          <w:color w:val="231F20"/>
          <w:spacing w:val="-15"/>
        </w:rPr>
        <w:t> </w:t>
      </w:r>
      <w:r>
        <w:rPr>
          <w:color w:val="231F20"/>
          <w:spacing w:val="-2"/>
        </w:rPr>
        <w:t>a</w:t>
      </w:r>
      <w:r>
        <w:rPr>
          <w:color w:val="231F20"/>
          <w:spacing w:val="-14"/>
        </w:rPr>
        <w:t> </w:t>
      </w:r>
      <w:r>
        <w:rPr>
          <w:color w:val="231F20"/>
          <w:spacing w:val="-2"/>
        </w:rPr>
        <w:t>Cuba</w:t>
      </w:r>
      <w:r>
        <w:rPr>
          <w:color w:val="231F20"/>
          <w:spacing w:val="-15"/>
        </w:rPr>
        <w:t> </w:t>
      </w:r>
      <w:r>
        <w:rPr>
          <w:color w:val="231F20"/>
          <w:spacing w:val="-2"/>
        </w:rPr>
        <w:t>de</w:t>
      </w:r>
      <w:r>
        <w:rPr>
          <w:color w:val="231F20"/>
          <w:spacing w:val="-14"/>
        </w:rPr>
        <w:t> </w:t>
      </w:r>
      <w:r>
        <w:rPr>
          <w:color w:val="231F20"/>
          <w:spacing w:val="-2"/>
        </w:rPr>
        <w:t>la</w:t>
      </w:r>
      <w:r>
        <w:rPr>
          <w:color w:val="231F20"/>
          <w:spacing w:val="-15"/>
        </w:rPr>
        <w:t> </w:t>
      </w:r>
      <w:r>
        <w:rPr>
          <w:color w:val="231F20"/>
          <w:spacing w:val="-2"/>
        </w:rPr>
        <w:t>Lista</w:t>
      </w:r>
      <w:r>
        <w:rPr>
          <w:color w:val="231F20"/>
          <w:spacing w:val="-14"/>
        </w:rPr>
        <w:t> </w:t>
      </w:r>
      <w:r>
        <w:rPr>
          <w:color w:val="231F20"/>
          <w:spacing w:val="-2"/>
        </w:rPr>
        <w:t>de </w:t>
      </w:r>
      <w:r>
        <w:rPr>
          <w:color w:val="231F20"/>
        </w:rPr>
        <w:t>Estados</w:t>
      </w:r>
      <w:r>
        <w:rPr>
          <w:color w:val="231F20"/>
          <w:spacing w:val="-14"/>
        </w:rPr>
        <w:t> </w:t>
      </w:r>
      <w:r>
        <w:rPr>
          <w:color w:val="231F20"/>
        </w:rPr>
        <w:t>Patrocinadores</w:t>
      </w:r>
      <w:r>
        <w:rPr>
          <w:color w:val="231F20"/>
          <w:spacing w:val="-14"/>
        </w:rPr>
        <w:t> </w:t>
      </w:r>
      <w:r>
        <w:rPr>
          <w:color w:val="231F20"/>
        </w:rPr>
        <w:t>del</w:t>
      </w:r>
      <w:r>
        <w:rPr>
          <w:color w:val="231F20"/>
          <w:spacing w:val="-14"/>
        </w:rPr>
        <w:t> </w:t>
      </w:r>
      <w:r>
        <w:rPr>
          <w:color w:val="231F20"/>
        </w:rPr>
        <w:t>Terrorismo.</w:t>
      </w:r>
      <w:r>
        <w:rPr>
          <w:color w:val="231F20"/>
          <w:spacing w:val="-14"/>
        </w:rPr>
        <w:t> </w:t>
      </w:r>
      <w:r>
        <w:rPr>
          <w:color w:val="231F20"/>
        </w:rPr>
        <w:t>En </w:t>
      </w:r>
      <w:r>
        <w:rPr>
          <w:color w:val="231F20"/>
          <w:spacing w:val="-6"/>
        </w:rPr>
        <w:t>una</w:t>
      </w:r>
      <w:r>
        <w:rPr>
          <w:color w:val="231F20"/>
          <w:spacing w:val="-8"/>
        </w:rPr>
        <w:t> </w:t>
      </w:r>
      <w:r>
        <w:rPr>
          <w:color w:val="231F20"/>
          <w:spacing w:val="-6"/>
        </w:rPr>
        <w:t>carta</w:t>
      </w:r>
      <w:r>
        <w:rPr>
          <w:color w:val="231F20"/>
          <w:spacing w:val="-8"/>
        </w:rPr>
        <w:t> </w:t>
      </w:r>
      <w:r>
        <w:rPr>
          <w:color w:val="231F20"/>
          <w:spacing w:val="-6"/>
        </w:rPr>
        <w:t>dirigida</w:t>
      </w:r>
      <w:r>
        <w:rPr>
          <w:color w:val="231F20"/>
          <w:spacing w:val="-8"/>
        </w:rPr>
        <w:t> </w:t>
      </w:r>
      <w:r>
        <w:rPr>
          <w:color w:val="231F20"/>
          <w:spacing w:val="-6"/>
        </w:rPr>
        <w:t>a</w:t>
      </w:r>
      <w:r>
        <w:rPr>
          <w:color w:val="231F20"/>
          <w:spacing w:val="-8"/>
        </w:rPr>
        <w:t> </w:t>
      </w:r>
      <w:r>
        <w:rPr>
          <w:color w:val="231F20"/>
          <w:spacing w:val="-6"/>
        </w:rPr>
        <w:t>la</w:t>
      </w:r>
      <w:r>
        <w:rPr>
          <w:color w:val="231F20"/>
          <w:spacing w:val="-8"/>
        </w:rPr>
        <w:t> </w:t>
      </w:r>
      <w:r>
        <w:rPr>
          <w:color w:val="231F20"/>
          <w:spacing w:val="-6"/>
        </w:rPr>
        <w:t>directora</w:t>
      </w:r>
      <w:r>
        <w:rPr>
          <w:color w:val="231F20"/>
          <w:spacing w:val="-8"/>
        </w:rPr>
        <w:t> </w:t>
      </w:r>
      <w:r>
        <w:rPr>
          <w:color w:val="231F20"/>
          <w:spacing w:val="-6"/>
        </w:rPr>
        <w:t>de</w:t>
      </w:r>
      <w:r>
        <w:rPr>
          <w:color w:val="231F20"/>
          <w:spacing w:val="-8"/>
        </w:rPr>
        <w:t> </w:t>
      </w:r>
      <w:r>
        <w:rPr>
          <w:color w:val="231F20"/>
          <w:spacing w:val="-6"/>
        </w:rPr>
        <w:t>la</w:t>
      </w:r>
      <w:r>
        <w:rPr>
          <w:color w:val="231F20"/>
          <w:spacing w:val="-8"/>
        </w:rPr>
        <w:t> </w:t>
      </w:r>
      <w:r>
        <w:rPr>
          <w:color w:val="231F20"/>
          <w:spacing w:val="-6"/>
        </w:rPr>
        <w:t>Oficina </w:t>
      </w:r>
      <w:r>
        <w:rPr>
          <w:color w:val="231F20"/>
        </w:rPr>
        <w:t>de Asuntos Intergubernamentales de la Casa Blanca, Julie Chávez Rodríguez, los </w:t>
      </w:r>
      <w:r>
        <w:rPr>
          <w:color w:val="231F20"/>
          <w:spacing w:val="-4"/>
        </w:rPr>
        <w:t>activistas</w:t>
      </w:r>
      <w:r>
        <w:rPr>
          <w:color w:val="231F20"/>
          <w:spacing w:val="-21"/>
        </w:rPr>
        <w:t> </w:t>
      </w:r>
      <w:r>
        <w:rPr>
          <w:color w:val="231F20"/>
          <w:spacing w:val="-4"/>
        </w:rPr>
        <w:t>recordaron</w:t>
      </w:r>
      <w:r>
        <w:rPr>
          <w:color w:val="231F20"/>
          <w:spacing w:val="-21"/>
        </w:rPr>
        <w:t> </w:t>
      </w:r>
      <w:r>
        <w:rPr>
          <w:color w:val="231F20"/>
          <w:spacing w:val="-4"/>
        </w:rPr>
        <w:t>que</w:t>
      </w:r>
      <w:r>
        <w:rPr>
          <w:color w:val="231F20"/>
          <w:spacing w:val="-21"/>
        </w:rPr>
        <w:t> </w:t>
      </w:r>
      <w:r>
        <w:rPr>
          <w:color w:val="231F20"/>
          <w:spacing w:val="-4"/>
        </w:rPr>
        <w:t>puede</w:t>
      </w:r>
      <w:r>
        <w:rPr>
          <w:color w:val="231F20"/>
          <w:spacing w:val="-21"/>
        </w:rPr>
        <w:t> </w:t>
      </w:r>
      <w:r>
        <w:rPr>
          <w:color w:val="231F20"/>
          <w:spacing w:val="-4"/>
        </w:rPr>
        <w:t>ser</w:t>
      </w:r>
      <w:r>
        <w:rPr>
          <w:color w:val="231F20"/>
          <w:spacing w:val="-20"/>
        </w:rPr>
        <w:t> </w:t>
      </w:r>
      <w:r>
        <w:rPr>
          <w:color w:val="231F20"/>
          <w:spacing w:val="-4"/>
        </w:rPr>
        <w:t>retirada</w:t>
      </w:r>
    </w:p>
    <w:p>
      <w:pPr>
        <w:pStyle w:val="BodyText"/>
        <w:spacing w:before="77"/>
        <w:ind w:left="412" w:right="1132"/>
      </w:pPr>
      <w:r>
        <w:rPr/>
        <w:br w:type="column"/>
      </w:r>
      <w:r>
        <w:rPr>
          <w:color w:val="231F20"/>
        </w:rPr>
        <w:t>por</w:t>
      </w:r>
      <w:r>
        <w:rPr>
          <w:color w:val="231F20"/>
          <w:spacing w:val="-11"/>
        </w:rPr>
        <w:t> </w:t>
      </w:r>
      <w:r>
        <w:rPr>
          <w:color w:val="231F20"/>
        </w:rPr>
        <w:t>orden</w:t>
      </w:r>
      <w:r>
        <w:rPr>
          <w:color w:val="231F20"/>
          <w:spacing w:val="-11"/>
        </w:rPr>
        <w:t> </w:t>
      </w:r>
      <w:r>
        <w:rPr>
          <w:color w:val="231F20"/>
        </w:rPr>
        <w:t>ejecutiva</w:t>
      </w:r>
      <w:r>
        <w:rPr>
          <w:color w:val="231F20"/>
          <w:spacing w:val="-11"/>
        </w:rPr>
        <w:t> </w:t>
      </w:r>
      <w:r>
        <w:rPr>
          <w:color w:val="231F20"/>
        </w:rPr>
        <w:t>del</w:t>
      </w:r>
      <w:r>
        <w:rPr>
          <w:color w:val="231F20"/>
          <w:spacing w:val="-11"/>
        </w:rPr>
        <w:t> </w:t>
      </w:r>
      <w:r>
        <w:rPr>
          <w:color w:val="231F20"/>
        </w:rPr>
        <w:t>mandatario,</w:t>
      </w:r>
      <w:r>
        <w:rPr>
          <w:color w:val="231F20"/>
          <w:spacing w:val="-11"/>
        </w:rPr>
        <w:t> </w:t>
      </w:r>
      <w:r>
        <w:rPr>
          <w:color w:val="231F20"/>
        </w:rPr>
        <w:t>quien prometió durante su campaña electoral revisar esa designación.</w:t>
      </w:r>
    </w:p>
    <w:p>
      <w:pPr>
        <w:pStyle w:val="BodyText"/>
        <w:spacing w:before="162"/>
        <w:ind w:left="412" w:right="1131"/>
      </w:pPr>
      <w:r>
        <w:rPr>
          <w:b/>
          <w:color w:val="B52628"/>
        </w:rPr>
        <w:t>El 5 de febrero de 2023, </w:t>
      </w:r>
      <w:r>
        <w:rPr>
          <w:color w:val="231F20"/>
        </w:rPr>
        <w:t>miembros de “Puentes de Amor” y su coordinador Carlos Lazo, junto a Medea Benjamin, de CODEPINK, expresaron en encuentro </w:t>
      </w:r>
      <w:r>
        <w:rPr>
          <w:color w:val="231F20"/>
        </w:rPr>
        <w:t>con representantes del Instituto Cubano de Amistad con los Pueblos su decisión de mantener</w:t>
      </w:r>
      <w:r>
        <w:rPr>
          <w:color w:val="231F20"/>
          <w:spacing w:val="-9"/>
        </w:rPr>
        <w:t> </w:t>
      </w:r>
      <w:r>
        <w:rPr>
          <w:color w:val="231F20"/>
        </w:rPr>
        <w:t>el</w:t>
      </w:r>
      <w:r>
        <w:rPr>
          <w:color w:val="231F20"/>
          <w:spacing w:val="-9"/>
        </w:rPr>
        <w:t> </w:t>
      </w:r>
      <w:r>
        <w:rPr>
          <w:color w:val="231F20"/>
        </w:rPr>
        <w:t>reclamo</w:t>
      </w:r>
      <w:r>
        <w:rPr>
          <w:color w:val="231F20"/>
          <w:spacing w:val="-9"/>
        </w:rPr>
        <w:t> </w:t>
      </w:r>
      <w:r>
        <w:rPr>
          <w:color w:val="231F20"/>
        </w:rPr>
        <w:t>por</w:t>
      </w:r>
      <w:r>
        <w:rPr>
          <w:color w:val="231F20"/>
          <w:spacing w:val="-9"/>
        </w:rPr>
        <w:t> </w:t>
      </w:r>
      <w:r>
        <w:rPr>
          <w:color w:val="231F20"/>
        </w:rPr>
        <w:t>el</w:t>
      </w:r>
      <w:r>
        <w:rPr>
          <w:color w:val="231F20"/>
          <w:spacing w:val="-9"/>
        </w:rPr>
        <w:t> </w:t>
      </w:r>
      <w:r>
        <w:rPr>
          <w:color w:val="231F20"/>
        </w:rPr>
        <w:t>levantamiento del bloqueo.</w:t>
      </w:r>
    </w:p>
    <w:p>
      <w:pPr>
        <w:pStyle w:val="BodyText"/>
        <w:spacing w:before="166"/>
        <w:ind w:left="412" w:right="1131"/>
      </w:pPr>
      <w:r>
        <w:rPr>
          <w:b/>
          <w:color w:val="B52628"/>
        </w:rPr>
        <w:t>El 10 de febrero de 2023, </w:t>
      </w:r>
      <w:r>
        <w:rPr>
          <w:color w:val="231F20"/>
        </w:rPr>
        <w:t>el Concejo de la ciudad de Washington DC </w:t>
      </w:r>
      <w:r>
        <w:rPr>
          <w:color w:val="231F20"/>
        </w:rPr>
        <w:t>introdujo una resolución para exigir al presidente Biden</w:t>
      </w:r>
      <w:r>
        <w:rPr>
          <w:color w:val="231F20"/>
          <w:spacing w:val="-15"/>
        </w:rPr>
        <w:t> </w:t>
      </w:r>
      <w:r>
        <w:rPr>
          <w:color w:val="231F20"/>
        </w:rPr>
        <w:t>y</w:t>
      </w:r>
      <w:r>
        <w:rPr>
          <w:color w:val="231F20"/>
          <w:spacing w:val="-15"/>
        </w:rPr>
        <w:t> </w:t>
      </w:r>
      <w:r>
        <w:rPr>
          <w:color w:val="231F20"/>
        </w:rPr>
        <w:t>al</w:t>
      </w:r>
      <w:r>
        <w:rPr>
          <w:color w:val="231F20"/>
          <w:spacing w:val="-15"/>
        </w:rPr>
        <w:t> </w:t>
      </w:r>
      <w:r>
        <w:rPr>
          <w:color w:val="231F20"/>
        </w:rPr>
        <w:t>Congreso</w:t>
      </w:r>
      <w:r>
        <w:rPr>
          <w:color w:val="231F20"/>
          <w:spacing w:val="-15"/>
        </w:rPr>
        <w:t> </w:t>
      </w:r>
      <w:r>
        <w:rPr>
          <w:color w:val="231F20"/>
        </w:rPr>
        <w:t>de</w:t>
      </w:r>
      <w:r>
        <w:rPr>
          <w:color w:val="231F20"/>
          <w:spacing w:val="-15"/>
        </w:rPr>
        <w:t> </w:t>
      </w:r>
      <w:r>
        <w:rPr>
          <w:color w:val="231F20"/>
        </w:rPr>
        <w:t>los</w:t>
      </w:r>
      <w:r>
        <w:rPr>
          <w:color w:val="231F20"/>
          <w:spacing w:val="-15"/>
        </w:rPr>
        <w:t> </w:t>
      </w:r>
      <w:r>
        <w:rPr>
          <w:color w:val="231F20"/>
        </w:rPr>
        <w:t>Estados</w:t>
      </w:r>
      <w:r>
        <w:rPr>
          <w:color w:val="231F20"/>
          <w:spacing w:val="-15"/>
        </w:rPr>
        <w:t> </w:t>
      </w:r>
      <w:r>
        <w:rPr>
          <w:color w:val="231F20"/>
        </w:rPr>
        <w:t>Unidos el fin del bloqueo impuesto contra Cuba</w:t>
      </w:r>
      <w:r>
        <w:rPr>
          <w:color w:val="231F20"/>
          <w:spacing w:val="40"/>
        </w:rPr>
        <w:t> </w:t>
      </w:r>
      <w:r>
        <w:rPr>
          <w:color w:val="231F20"/>
        </w:rPr>
        <w:t>y su eliminación de la Lista de Estados Patrocinadores del Terrorismo.</w:t>
      </w:r>
    </w:p>
    <w:p>
      <w:pPr>
        <w:pStyle w:val="BodyText"/>
        <w:spacing w:before="166"/>
        <w:ind w:left="412" w:right="1131"/>
      </w:pPr>
      <w:r>
        <w:rPr>
          <w:b/>
          <w:color w:val="B52628"/>
          <w:spacing w:val="-2"/>
        </w:rPr>
        <w:t>El</w:t>
      </w:r>
      <w:r>
        <w:rPr>
          <w:b/>
          <w:color w:val="B52628"/>
          <w:spacing w:val="-15"/>
        </w:rPr>
        <w:t> </w:t>
      </w:r>
      <w:r>
        <w:rPr>
          <w:b/>
          <w:color w:val="B52628"/>
          <w:spacing w:val="-2"/>
        </w:rPr>
        <w:t>12</w:t>
      </w:r>
      <w:r>
        <w:rPr>
          <w:b/>
          <w:color w:val="B52628"/>
          <w:spacing w:val="-15"/>
        </w:rPr>
        <w:t> </w:t>
      </w:r>
      <w:r>
        <w:rPr>
          <w:b/>
          <w:color w:val="B52628"/>
          <w:spacing w:val="-2"/>
        </w:rPr>
        <w:t>de</w:t>
      </w:r>
      <w:r>
        <w:rPr>
          <w:b/>
          <w:color w:val="B52628"/>
          <w:spacing w:val="-14"/>
        </w:rPr>
        <w:t> </w:t>
      </w:r>
      <w:r>
        <w:rPr>
          <w:b/>
          <w:color w:val="B52628"/>
          <w:spacing w:val="-2"/>
        </w:rPr>
        <w:t>febrero</w:t>
      </w:r>
      <w:r>
        <w:rPr>
          <w:b/>
          <w:color w:val="B52628"/>
          <w:spacing w:val="-15"/>
        </w:rPr>
        <w:t> </w:t>
      </w:r>
      <w:r>
        <w:rPr>
          <w:b/>
          <w:color w:val="B52628"/>
          <w:spacing w:val="-2"/>
        </w:rPr>
        <w:t>de</w:t>
      </w:r>
      <w:r>
        <w:rPr>
          <w:b/>
          <w:color w:val="B52628"/>
          <w:spacing w:val="-14"/>
        </w:rPr>
        <w:t> </w:t>
      </w:r>
      <w:r>
        <w:rPr>
          <w:b/>
          <w:color w:val="B52628"/>
          <w:spacing w:val="-2"/>
        </w:rPr>
        <w:t>2023,</w:t>
      </w:r>
      <w:r>
        <w:rPr>
          <w:b/>
          <w:color w:val="B52628"/>
          <w:spacing w:val="-15"/>
        </w:rPr>
        <w:t> </w:t>
      </w:r>
      <w:r>
        <w:rPr>
          <w:color w:val="231F20"/>
          <w:spacing w:val="-2"/>
        </w:rPr>
        <w:t>Noam</w:t>
      </w:r>
      <w:r>
        <w:rPr>
          <w:color w:val="231F20"/>
          <w:spacing w:val="-14"/>
        </w:rPr>
        <w:t> </w:t>
      </w:r>
      <w:r>
        <w:rPr>
          <w:color w:val="231F20"/>
          <w:spacing w:val="-2"/>
        </w:rPr>
        <w:t>Chomsky </w:t>
      </w:r>
      <w:r>
        <w:rPr>
          <w:color w:val="231F20"/>
        </w:rPr>
        <w:t>y Vijay Prashad publicaron un artículo </w:t>
      </w:r>
      <w:r>
        <w:rPr>
          <w:color w:val="231F20"/>
        </w:rPr>
        <w:t>en People´s</w:t>
      </w:r>
      <w:r>
        <w:rPr>
          <w:color w:val="231F20"/>
          <w:spacing w:val="-16"/>
        </w:rPr>
        <w:t> </w:t>
      </w:r>
      <w:r>
        <w:rPr>
          <w:color w:val="231F20"/>
        </w:rPr>
        <w:t>Dispatch,</w:t>
      </w:r>
      <w:r>
        <w:rPr>
          <w:color w:val="231F20"/>
          <w:spacing w:val="-16"/>
        </w:rPr>
        <w:t> </w:t>
      </w:r>
      <w:r>
        <w:rPr>
          <w:color w:val="231F20"/>
        </w:rPr>
        <w:t>en</w:t>
      </w:r>
      <w:r>
        <w:rPr>
          <w:color w:val="231F20"/>
          <w:spacing w:val="-16"/>
        </w:rPr>
        <w:t> </w:t>
      </w:r>
      <w:r>
        <w:rPr>
          <w:color w:val="231F20"/>
        </w:rPr>
        <w:t>el</w:t>
      </w:r>
      <w:r>
        <w:rPr>
          <w:color w:val="231F20"/>
          <w:spacing w:val="-16"/>
        </w:rPr>
        <w:t> </w:t>
      </w:r>
      <w:r>
        <w:rPr>
          <w:color w:val="231F20"/>
        </w:rPr>
        <w:t>que</w:t>
      </w:r>
      <w:r>
        <w:rPr>
          <w:color w:val="231F20"/>
          <w:spacing w:val="-16"/>
        </w:rPr>
        <w:t> </w:t>
      </w:r>
      <w:r>
        <w:rPr>
          <w:color w:val="231F20"/>
        </w:rPr>
        <w:t>refirieron</w:t>
      </w:r>
      <w:r>
        <w:rPr>
          <w:color w:val="231F20"/>
          <w:spacing w:val="-16"/>
        </w:rPr>
        <w:t> </w:t>
      </w:r>
      <w:r>
        <w:rPr>
          <w:color w:val="231F20"/>
        </w:rPr>
        <w:t>que el gobierno de Biden debía retirar a Cuba de la Lista de Estados Patrocinadores del </w:t>
      </w:r>
      <w:r>
        <w:rPr>
          <w:color w:val="231F20"/>
          <w:spacing w:val="-2"/>
        </w:rPr>
        <w:t>Terrorismo.</w:t>
      </w:r>
    </w:p>
    <w:p>
      <w:pPr>
        <w:pStyle w:val="BodyText"/>
        <w:spacing w:before="165"/>
        <w:ind w:left="412" w:right="1130"/>
      </w:pPr>
      <w:r>
        <w:rPr>
          <w:b/>
          <w:color w:val="B52628"/>
        </w:rPr>
        <w:t>El 14 de febrero de 2023, </w:t>
      </w:r>
      <w:r>
        <w:rPr>
          <w:color w:val="231F20"/>
        </w:rPr>
        <w:t>el </w:t>
      </w:r>
      <w:r>
        <w:rPr>
          <w:color w:val="231F20"/>
        </w:rPr>
        <w:t>Comité Internacional de Socialistas Democráticos de América (DSA IC, por sus siglas en inglés) reiteró su oposición al bloqueo</w:t>
      </w:r>
      <w:r>
        <w:rPr>
          <w:color w:val="231F20"/>
          <w:spacing w:val="80"/>
          <w:w w:val="150"/>
        </w:rPr>
        <w:t> </w:t>
      </w:r>
      <w:r>
        <w:rPr>
          <w:color w:val="231F20"/>
        </w:rPr>
        <w:t>de los Estados Unidos contra Cuba y solicitó al gobierno de Biden eliminar de inmediato a la Isla de la Lista de Estados Patrocinadores del Terrorismo.</w:t>
      </w:r>
    </w:p>
    <w:p>
      <w:pPr>
        <w:pStyle w:val="BodyText"/>
        <w:spacing w:before="166"/>
        <w:ind w:left="412" w:right="1131"/>
      </w:pPr>
      <w:r>
        <w:rPr>
          <w:b/>
          <w:color w:val="B52628"/>
        </w:rPr>
        <w:t>El 26 de febrero de 2023, </w:t>
      </w:r>
      <w:r>
        <w:rPr>
          <w:color w:val="231F20"/>
        </w:rPr>
        <w:t>se </w:t>
      </w:r>
      <w:r>
        <w:rPr>
          <w:color w:val="231F20"/>
        </w:rPr>
        <w:t>realizaron caravanas</w:t>
      </w:r>
      <w:r>
        <w:rPr>
          <w:color w:val="231F20"/>
          <w:spacing w:val="80"/>
        </w:rPr>
        <w:t> </w:t>
      </w:r>
      <w:r>
        <w:rPr>
          <w:color w:val="231F20"/>
        </w:rPr>
        <w:t>para</w:t>
      </w:r>
      <w:r>
        <w:rPr>
          <w:color w:val="231F20"/>
          <w:spacing w:val="80"/>
        </w:rPr>
        <w:t> </w:t>
      </w:r>
      <w:r>
        <w:rPr>
          <w:color w:val="231F20"/>
        </w:rPr>
        <w:t>demandar</w:t>
      </w:r>
      <w:r>
        <w:rPr>
          <w:color w:val="231F20"/>
          <w:spacing w:val="80"/>
        </w:rPr>
        <w:t> </w:t>
      </w:r>
      <w:r>
        <w:rPr>
          <w:color w:val="231F20"/>
        </w:rPr>
        <w:t>el</w:t>
      </w:r>
      <w:r>
        <w:rPr>
          <w:color w:val="231F20"/>
          <w:spacing w:val="80"/>
        </w:rPr>
        <w:t> </w:t>
      </w:r>
      <w:r>
        <w:rPr>
          <w:color w:val="231F20"/>
        </w:rPr>
        <w:t>fin</w:t>
      </w:r>
      <w:r>
        <w:rPr>
          <w:color w:val="231F20"/>
          <w:spacing w:val="80"/>
        </w:rPr>
        <w:t> </w:t>
      </w:r>
      <w:r>
        <w:rPr>
          <w:color w:val="231F20"/>
        </w:rPr>
        <w:t>de</w:t>
      </w:r>
      <w:r>
        <w:rPr>
          <w:color w:val="231F20"/>
          <w:spacing w:val="80"/>
          <w:w w:val="150"/>
        </w:rPr>
        <w:t> </w:t>
      </w:r>
      <w:r>
        <w:rPr>
          <w:color w:val="231F20"/>
        </w:rPr>
        <w:t>las</w:t>
      </w:r>
      <w:r>
        <w:rPr>
          <w:color w:val="231F20"/>
          <w:spacing w:val="80"/>
          <w:w w:val="150"/>
        </w:rPr>
        <w:t> </w:t>
      </w:r>
      <w:r>
        <w:rPr>
          <w:color w:val="231F20"/>
        </w:rPr>
        <w:t>medidas</w:t>
      </w:r>
      <w:r>
        <w:rPr>
          <w:color w:val="231F20"/>
          <w:spacing w:val="80"/>
          <w:w w:val="150"/>
        </w:rPr>
        <w:t> </w:t>
      </w:r>
      <w:r>
        <w:rPr>
          <w:color w:val="231F20"/>
        </w:rPr>
        <w:t>coercitivas</w:t>
      </w:r>
      <w:r>
        <w:rPr>
          <w:color w:val="231F20"/>
          <w:spacing w:val="80"/>
          <w:w w:val="150"/>
        </w:rPr>
        <w:t> </w:t>
      </w:r>
      <w:r>
        <w:rPr>
          <w:color w:val="231F20"/>
        </w:rPr>
        <w:t>contra</w:t>
      </w:r>
      <w:r>
        <w:rPr>
          <w:color w:val="231F20"/>
          <w:spacing w:val="80"/>
          <w:w w:val="150"/>
        </w:rPr>
        <w:t> </w:t>
      </w:r>
      <w:r>
        <w:rPr>
          <w:color w:val="231F20"/>
        </w:rPr>
        <w:t>Cuba</w:t>
      </w:r>
      <w:r>
        <w:rPr>
          <w:color w:val="231F20"/>
          <w:spacing w:val="80"/>
        </w:rPr>
        <w:t> </w:t>
      </w:r>
      <w:r>
        <w:rPr>
          <w:color w:val="231F20"/>
        </w:rPr>
        <w:t>y su retirada de la Lista de Estados Patrocinadores del Terrorismo en varias ciudades estadounidenses, incluidas Miami, Seattle y Nueva York.</w:t>
      </w:r>
    </w:p>
    <w:p>
      <w:pPr>
        <w:spacing w:before="165"/>
        <w:ind w:left="412" w:right="1134" w:firstLine="0"/>
        <w:jc w:val="both"/>
        <w:rPr>
          <w:sz w:val="24"/>
        </w:rPr>
      </w:pPr>
      <w:r>
        <w:rPr>
          <w:b/>
          <w:color w:val="B52628"/>
          <w:spacing w:val="-10"/>
          <w:sz w:val="24"/>
        </w:rPr>
        <w:t>El</w:t>
      </w:r>
      <w:r>
        <w:rPr>
          <w:b/>
          <w:color w:val="B52628"/>
          <w:spacing w:val="-7"/>
          <w:sz w:val="24"/>
        </w:rPr>
        <w:t> </w:t>
      </w:r>
      <w:r>
        <w:rPr>
          <w:b/>
          <w:color w:val="B52628"/>
          <w:spacing w:val="-10"/>
          <w:sz w:val="24"/>
        </w:rPr>
        <w:t>28</w:t>
      </w:r>
      <w:r>
        <w:rPr>
          <w:b/>
          <w:color w:val="B52628"/>
          <w:spacing w:val="-7"/>
          <w:sz w:val="24"/>
        </w:rPr>
        <w:t> </w:t>
      </w:r>
      <w:r>
        <w:rPr>
          <w:b/>
          <w:color w:val="B52628"/>
          <w:spacing w:val="-10"/>
          <w:sz w:val="24"/>
        </w:rPr>
        <w:t>de</w:t>
      </w:r>
      <w:r>
        <w:rPr>
          <w:b/>
          <w:color w:val="B52628"/>
          <w:spacing w:val="-6"/>
          <w:sz w:val="24"/>
        </w:rPr>
        <w:t> </w:t>
      </w:r>
      <w:r>
        <w:rPr>
          <w:b/>
          <w:color w:val="B52628"/>
          <w:spacing w:val="-10"/>
          <w:sz w:val="24"/>
        </w:rPr>
        <w:t>febrero</w:t>
      </w:r>
      <w:r>
        <w:rPr>
          <w:b/>
          <w:color w:val="B52628"/>
          <w:spacing w:val="-7"/>
          <w:sz w:val="24"/>
        </w:rPr>
        <w:t> </w:t>
      </w:r>
      <w:r>
        <w:rPr>
          <w:b/>
          <w:color w:val="B52628"/>
          <w:spacing w:val="-10"/>
          <w:sz w:val="24"/>
        </w:rPr>
        <w:t>de</w:t>
      </w:r>
      <w:r>
        <w:rPr>
          <w:b/>
          <w:color w:val="B52628"/>
          <w:spacing w:val="-6"/>
          <w:sz w:val="24"/>
        </w:rPr>
        <w:t> </w:t>
      </w:r>
      <w:r>
        <w:rPr>
          <w:b/>
          <w:color w:val="B52628"/>
          <w:spacing w:val="-10"/>
          <w:sz w:val="24"/>
        </w:rPr>
        <w:t>2023,</w:t>
      </w:r>
      <w:r>
        <w:rPr>
          <w:b/>
          <w:color w:val="B52628"/>
          <w:spacing w:val="-7"/>
          <w:sz w:val="24"/>
        </w:rPr>
        <w:t> </w:t>
      </w:r>
      <w:r>
        <w:rPr>
          <w:color w:val="231F20"/>
          <w:spacing w:val="-10"/>
          <w:sz w:val="24"/>
        </w:rPr>
        <w:t>tras</w:t>
      </w:r>
      <w:r>
        <w:rPr>
          <w:color w:val="231F20"/>
          <w:sz w:val="24"/>
        </w:rPr>
        <w:t> </w:t>
      </w:r>
      <w:r>
        <w:rPr>
          <w:color w:val="231F20"/>
          <w:spacing w:val="-10"/>
          <w:sz w:val="24"/>
        </w:rPr>
        <w:t>la</w:t>
      </w:r>
      <w:r>
        <w:rPr>
          <w:color w:val="231F20"/>
          <w:sz w:val="24"/>
        </w:rPr>
        <w:t> </w:t>
      </w:r>
      <w:r>
        <w:rPr>
          <w:color w:val="231F20"/>
          <w:spacing w:val="-10"/>
          <w:sz w:val="24"/>
        </w:rPr>
        <w:t>publicación </w:t>
      </w:r>
      <w:r>
        <w:rPr>
          <w:color w:val="231F20"/>
          <w:spacing w:val="-8"/>
          <w:sz w:val="24"/>
        </w:rPr>
        <w:t>por</w:t>
      </w:r>
      <w:r>
        <w:rPr>
          <w:color w:val="231F20"/>
          <w:spacing w:val="-22"/>
          <w:sz w:val="24"/>
        </w:rPr>
        <w:t> </w:t>
      </w:r>
      <w:r>
        <w:rPr>
          <w:color w:val="231F20"/>
          <w:spacing w:val="-8"/>
          <w:sz w:val="24"/>
        </w:rPr>
        <w:t>el</w:t>
      </w:r>
      <w:r>
        <w:rPr>
          <w:color w:val="231F20"/>
          <w:spacing w:val="-21"/>
          <w:sz w:val="24"/>
        </w:rPr>
        <w:t> </w:t>
      </w:r>
      <w:r>
        <w:rPr>
          <w:color w:val="231F20"/>
          <w:spacing w:val="-8"/>
          <w:sz w:val="24"/>
        </w:rPr>
        <w:t>Departamento</w:t>
      </w:r>
      <w:r>
        <w:rPr>
          <w:color w:val="231F20"/>
          <w:spacing w:val="-21"/>
          <w:sz w:val="24"/>
        </w:rPr>
        <w:t> </w:t>
      </w:r>
      <w:r>
        <w:rPr>
          <w:color w:val="231F20"/>
          <w:spacing w:val="-8"/>
          <w:sz w:val="24"/>
        </w:rPr>
        <w:t>de</w:t>
      </w:r>
      <w:r>
        <w:rPr>
          <w:color w:val="231F20"/>
          <w:spacing w:val="-22"/>
          <w:sz w:val="24"/>
        </w:rPr>
        <w:t> </w:t>
      </w:r>
      <w:r>
        <w:rPr>
          <w:color w:val="231F20"/>
          <w:spacing w:val="-8"/>
          <w:sz w:val="24"/>
        </w:rPr>
        <w:t>Estado</w:t>
      </w:r>
      <w:r>
        <w:rPr>
          <w:color w:val="231F20"/>
          <w:spacing w:val="-21"/>
          <w:sz w:val="24"/>
        </w:rPr>
        <w:t> </w:t>
      </w:r>
      <w:r>
        <w:rPr>
          <w:color w:val="231F20"/>
          <w:spacing w:val="-8"/>
          <w:sz w:val="24"/>
        </w:rPr>
        <w:t>de</w:t>
      </w:r>
      <w:r>
        <w:rPr>
          <w:color w:val="231F20"/>
          <w:spacing w:val="-21"/>
          <w:sz w:val="24"/>
        </w:rPr>
        <w:t> </w:t>
      </w:r>
      <w:r>
        <w:rPr>
          <w:color w:val="231F20"/>
          <w:spacing w:val="-8"/>
          <w:sz w:val="24"/>
        </w:rPr>
        <w:t>su</w:t>
      </w:r>
      <w:r>
        <w:rPr>
          <w:color w:val="231F20"/>
          <w:spacing w:val="-21"/>
          <w:sz w:val="24"/>
        </w:rPr>
        <w:t> </w:t>
      </w:r>
      <w:r>
        <w:rPr>
          <w:color w:val="231F20"/>
          <w:spacing w:val="-9"/>
          <w:sz w:val="24"/>
        </w:rPr>
        <w:t>informe</w:t>
      </w:r>
    </w:p>
    <w:p>
      <w:pPr>
        <w:spacing w:after="0"/>
        <w:jc w:val="both"/>
        <w:rPr>
          <w:sz w:val="24"/>
        </w:rPr>
        <w:sectPr>
          <w:pgSz w:w="11910" w:h="16840"/>
          <w:pgMar w:header="0" w:footer="695" w:top="1260" w:bottom="880" w:left="0" w:right="0"/>
          <w:cols w:num="2" w:equalWidth="0">
            <w:col w:w="5898" w:space="40"/>
            <w:col w:w="5972"/>
          </w:cols>
        </w:sectPr>
      </w:pPr>
    </w:p>
    <w:p>
      <w:pPr>
        <w:pStyle w:val="BodyText"/>
        <w:spacing w:before="77"/>
        <w:ind w:left="1133" w:right="1"/>
      </w:pPr>
      <w:r>
        <w:rPr>
          <w:color w:val="231F20"/>
        </w:rPr>
        <w:t>anual</w:t>
      </w:r>
      <w:r>
        <w:rPr>
          <w:color w:val="231F20"/>
          <w:spacing w:val="-1"/>
        </w:rPr>
        <w:t> </w:t>
      </w:r>
      <w:r>
        <w:rPr>
          <w:color w:val="231F20"/>
        </w:rPr>
        <w:t>sobre</w:t>
      </w:r>
      <w:r>
        <w:rPr>
          <w:color w:val="231F20"/>
          <w:spacing w:val="-1"/>
        </w:rPr>
        <w:t> </w:t>
      </w:r>
      <w:r>
        <w:rPr>
          <w:color w:val="231F20"/>
        </w:rPr>
        <w:t>terrorismo</w:t>
      </w:r>
      <w:r>
        <w:rPr>
          <w:color w:val="231F20"/>
          <w:spacing w:val="-1"/>
        </w:rPr>
        <w:t> </w:t>
      </w:r>
      <w:r>
        <w:rPr>
          <w:color w:val="231F20"/>
        </w:rPr>
        <w:t>correspondiente</w:t>
      </w:r>
      <w:r>
        <w:rPr>
          <w:color w:val="231F20"/>
          <w:spacing w:val="-1"/>
        </w:rPr>
        <w:t> </w:t>
      </w:r>
      <w:r>
        <w:rPr>
          <w:color w:val="231F20"/>
        </w:rPr>
        <w:t>a 2021, la agrupación National Network on Cuba</w:t>
      </w:r>
      <w:r>
        <w:rPr>
          <w:color w:val="231F20"/>
          <w:spacing w:val="-7"/>
        </w:rPr>
        <w:t> </w:t>
      </w:r>
      <w:r>
        <w:rPr>
          <w:color w:val="231F20"/>
        </w:rPr>
        <w:t>condenó</w:t>
      </w:r>
      <w:r>
        <w:rPr>
          <w:color w:val="231F20"/>
          <w:spacing w:val="-7"/>
        </w:rPr>
        <w:t> </w:t>
      </w:r>
      <w:r>
        <w:rPr>
          <w:color w:val="231F20"/>
        </w:rPr>
        <w:t>el</w:t>
      </w:r>
      <w:r>
        <w:rPr>
          <w:color w:val="231F20"/>
          <w:spacing w:val="-7"/>
        </w:rPr>
        <w:t> </w:t>
      </w:r>
      <w:r>
        <w:rPr>
          <w:color w:val="231F20"/>
        </w:rPr>
        <w:t>mantenimiento</w:t>
      </w:r>
      <w:r>
        <w:rPr>
          <w:color w:val="231F20"/>
          <w:spacing w:val="-7"/>
        </w:rPr>
        <w:t> </w:t>
      </w:r>
      <w:r>
        <w:rPr>
          <w:color w:val="231F20"/>
        </w:rPr>
        <w:t>de</w:t>
      </w:r>
      <w:r>
        <w:rPr>
          <w:color w:val="231F20"/>
          <w:spacing w:val="-7"/>
        </w:rPr>
        <w:t> </w:t>
      </w:r>
      <w:r>
        <w:rPr>
          <w:color w:val="231F20"/>
        </w:rPr>
        <w:t>Cuba en la Lista de Estados Patrocinadores del Terrorismo</w:t>
      </w:r>
      <w:r>
        <w:rPr>
          <w:color w:val="231F20"/>
          <w:spacing w:val="-11"/>
        </w:rPr>
        <w:t> </w:t>
      </w:r>
      <w:r>
        <w:rPr>
          <w:color w:val="231F20"/>
        </w:rPr>
        <w:t>y</w:t>
      </w:r>
      <w:r>
        <w:rPr>
          <w:color w:val="231F20"/>
          <w:spacing w:val="-11"/>
        </w:rPr>
        <w:t> </w:t>
      </w:r>
      <w:r>
        <w:rPr>
          <w:color w:val="231F20"/>
        </w:rPr>
        <w:t>solicitó</w:t>
      </w:r>
      <w:r>
        <w:rPr>
          <w:color w:val="231F20"/>
          <w:spacing w:val="-11"/>
        </w:rPr>
        <w:t> </w:t>
      </w:r>
      <w:r>
        <w:rPr>
          <w:color w:val="231F20"/>
        </w:rPr>
        <w:t>el</w:t>
      </w:r>
      <w:r>
        <w:rPr>
          <w:color w:val="231F20"/>
          <w:spacing w:val="-11"/>
        </w:rPr>
        <w:t> </w:t>
      </w:r>
      <w:r>
        <w:rPr>
          <w:color w:val="231F20"/>
        </w:rPr>
        <w:t>fin</w:t>
      </w:r>
      <w:r>
        <w:rPr>
          <w:color w:val="231F20"/>
          <w:spacing w:val="-11"/>
        </w:rPr>
        <w:t> </w:t>
      </w:r>
      <w:r>
        <w:rPr>
          <w:color w:val="231F20"/>
        </w:rPr>
        <w:t>del</w:t>
      </w:r>
      <w:r>
        <w:rPr>
          <w:color w:val="231F20"/>
          <w:spacing w:val="-11"/>
        </w:rPr>
        <w:t> </w:t>
      </w:r>
      <w:r>
        <w:rPr>
          <w:color w:val="231F20"/>
        </w:rPr>
        <w:t>bloqueo.</w:t>
      </w:r>
    </w:p>
    <w:p>
      <w:pPr>
        <w:pStyle w:val="BodyText"/>
        <w:spacing w:before="164"/>
        <w:ind w:left="1133"/>
      </w:pPr>
      <w:r>
        <w:rPr>
          <w:b/>
          <w:color w:val="B52628"/>
        </w:rPr>
        <w:t>En febrero de 2023, </w:t>
      </w:r>
      <w:r>
        <w:rPr>
          <w:color w:val="231F20"/>
        </w:rPr>
        <w:t>los Consejos Laborales de la AFL-CIO de los condados de Sacramento, Bahía de Monterrey </w:t>
      </w:r>
      <w:r>
        <w:rPr>
          <w:color w:val="231F20"/>
        </w:rPr>
        <w:t>y</w:t>
      </w:r>
      <w:r>
        <w:rPr>
          <w:color w:val="231F20"/>
          <w:spacing w:val="80"/>
        </w:rPr>
        <w:t> </w:t>
      </w:r>
      <w:r>
        <w:rPr>
          <w:color w:val="231F20"/>
        </w:rPr>
        <w:t>San Diego-Imperial aprobaron sendas </w:t>
      </w:r>
      <w:r>
        <w:rPr>
          <w:color w:val="231F20"/>
          <w:spacing w:val="-4"/>
        </w:rPr>
        <w:t>resoluciones</w:t>
      </w:r>
      <w:r>
        <w:rPr>
          <w:color w:val="231F20"/>
          <w:spacing w:val="-7"/>
        </w:rPr>
        <w:t> </w:t>
      </w:r>
      <w:r>
        <w:rPr>
          <w:color w:val="231F20"/>
          <w:spacing w:val="-4"/>
        </w:rPr>
        <w:t>de</w:t>
      </w:r>
      <w:r>
        <w:rPr>
          <w:color w:val="231F20"/>
          <w:spacing w:val="-7"/>
        </w:rPr>
        <w:t> </w:t>
      </w:r>
      <w:r>
        <w:rPr>
          <w:color w:val="231F20"/>
          <w:spacing w:val="-4"/>
        </w:rPr>
        <w:t>condena</w:t>
      </w:r>
      <w:r>
        <w:rPr>
          <w:color w:val="231F20"/>
          <w:spacing w:val="-7"/>
        </w:rPr>
        <w:t> </w:t>
      </w:r>
      <w:r>
        <w:rPr>
          <w:color w:val="231F20"/>
          <w:spacing w:val="-4"/>
        </w:rPr>
        <w:t>al</w:t>
      </w:r>
      <w:r>
        <w:rPr>
          <w:color w:val="231F20"/>
          <w:spacing w:val="-7"/>
        </w:rPr>
        <w:t> </w:t>
      </w:r>
      <w:r>
        <w:rPr>
          <w:color w:val="231F20"/>
          <w:spacing w:val="-4"/>
        </w:rPr>
        <w:t>bloqueo</w:t>
      </w:r>
      <w:r>
        <w:rPr>
          <w:color w:val="231F20"/>
          <w:spacing w:val="-7"/>
        </w:rPr>
        <w:t> </w:t>
      </w:r>
      <w:r>
        <w:rPr>
          <w:color w:val="231F20"/>
          <w:spacing w:val="-4"/>
        </w:rPr>
        <w:t>contra </w:t>
      </w:r>
      <w:r>
        <w:rPr>
          <w:color w:val="231F20"/>
        </w:rPr>
        <w:t>Cuba. Igualmente, solicitaron la retirada de la Lista de Estados Patrocinadores del </w:t>
      </w:r>
      <w:r>
        <w:rPr>
          <w:color w:val="231F20"/>
          <w:spacing w:val="-2"/>
        </w:rPr>
        <w:t>Terrorismo.</w:t>
      </w:r>
    </w:p>
    <w:p>
      <w:pPr>
        <w:pStyle w:val="BodyText"/>
        <w:spacing w:before="166"/>
        <w:ind w:left="1133"/>
      </w:pPr>
      <w:r>
        <w:rPr>
          <w:b/>
          <w:color w:val="B52628"/>
        </w:rPr>
        <w:t>El 2 de marzo de 2023, </w:t>
      </w:r>
      <w:r>
        <w:rPr>
          <w:color w:val="231F20"/>
        </w:rPr>
        <w:t>el Comisionado del Condado de Washtenaw, en </w:t>
      </w:r>
      <w:r>
        <w:rPr>
          <w:color w:val="231F20"/>
        </w:rPr>
        <w:t>Ann Arbor, Michigan, aprobó una resolución instando al gobierno de los Estados Unidos a levantar el bloqueo y eliminar a Cuba</w:t>
      </w:r>
      <w:r>
        <w:rPr>
          <w:color w:val="231F20"/>
          <w:spacing w:val="-15"/>
        </w:rPr>
        <w:t> </w:t>
      </w:r>
      <w:r>
        <w:rPr>
          <w:color w:val="231F20"/>
        </w:rPr>
        <w:t>de</w:t>
      </w:r>
      <w:r>
        <w:rPr>
          <w:color w:val="231F20"/>
          <w:spacing w:val="-15"/>
        </w:rPr>
        <w:t> </w:t>
      </w:r>
      <w:r>
        <w:rPr>
          <w:color w:val="231F20"/>
        </w:rPr>
        <w:t>la</w:t>
      </w:r>
      <w:r>
        <w:rPr>
          <w:color w:val="231F20"/>
          <w:spacing w:val="-15"/>
        </w:rPr>
        <w:t> </w:t>
      </w:r>
      <w:r>
        <w:rPr>
          <w:color w:val="231F20"/>
        </w:rPr>
        <w:t>lista</w:t>
      </w:r>
      <w:r>
        <w:rPr>
          <w:color w:val="231F20"/>
          <w:spacing w:val="-15"/>
        </w:rPr>
        <w:t> </w:t>
      </w:r>
      <w:r>
        <w:rPr>
          <w:color w:val="231F20"/>
        </w:rPr>
        <w:t>de</w:t>
      </w:r>
      <w:r>
        <w:rPr>
          <w:color w:val="231F20"/>
          <w:spacing w:val="-15"/>
        </w:rPr>
        <w:t> </w:t>
      </w:r>
      <w:r>
        <w:rPr>
          <w:color w:val="231F20"/>
        </w:rPr>
        <w:t>Estados</w:t>
      </w:r>
      <w:r>
        <w:rPr>
          <w:color w:val="231F20"/>
          <w:spacing w:val="-15"/>
        </w:rPr>
        <w:t> </w:t>
      </w:r>
      <w:r>
        <w:rPr>
          <w:color w:val="231F20"/>
        </w:rPr>
        <w:t>Patrocinadores del Terrorismo.</w:t>
      </w:r>
    </w:p>
    <w:p>
      <w:pPr>
        <w:pStyle w:val="BodyText"/>
        <w:spacing w:before="165"/>
        <w:ind w:left="1133" w:right="4"/>
      </w:pPr>
      <w:r>
        <w:rPr>
          <w:b/>
          <w:color w:val="B52628"/>
        </w:rPr>
        <w:t>El 6 de marzo de 2023, </w:t>
      </w:r>
      <w:r>
        <w:rPr>
          <w:color w:val="231F20"/>
        </w:rPr>
        <w:t>los senadores estadounidenses Amy Klobuchar (D-MN), Jerry Moran (R-KS), Chris Murphy (D-CT), Roger Marshall (R-KS) y Elizabeth Warren (D-MA), reintrodujeron el proyecto de ley </w:t>
      </w:r>
      <w:r>
        <w:rPr>
          <w:color w:val="231F20"/>
          <w:spacing w:val="-10"/>
        </w:rPr>
        <w:t>bipartidista</w:t>
      </w:r>
      <w:r>
        <w:rPr>
          <w:color w:val="231F20"/>
          <w:spacing w:val="-2"/>
        </w:rPr>
        <w:t> </w:t>
      </w:r>
      <w:r>
        <w:rPr>
          <w:color w:val="231F20"/>
          <w:spacing w:val="-10"/>
        </w:rPr>
        <w:t>de</w:t>
      </w:r>
      <w:r>
        <w:rPr>
          <w:color w:val="231F20"/>
          <w:spacing w:val="-2"/>
        </w:rPr>
        <w:t> </w:t>
      </w:r>
      <w:r>
        <w:rPr>
          <w:color w:val="231F20"/>
          <w:spacing w:val="-10"/>
        </w:rPr>
        <w:t>Libertad</w:t>
      </w:r>
      <w:r>
        <w:rPr>
          <w:color w:val="231F20"/>
          <w:spacing w:val="-2"/>
        </w:rPr>
        <w:t> </w:t>
      </w:r>
      <w:r>
        <w:rPr>
          <w:color w:val="231F20"/>
          <w:spacing w:val="-10"/>
        </w:rPr>
        <w:t>para</w:t>
      </w:r>
      <w:r>
        <w:rPr>
          <w:color w:val="231F20"/>
          <w:spacing w:val="-2"/>
        </w:rPr>
        <w:t> </w:t>
      </w:r>
      <w:r>
        <w:rPr>
          <w:color w:val="231F20"/>
          <w:spacing w:val="-10"/>
        </w:rPr>
        <w:t>Exportar</w:t>
      </w:r>
      <w:r>
        <w:rPr>
          <w:color w:val="231F20"/>
          <w:spacing w:val="-2"/>
        </w:rPr>
        <w:t> </w:t>
      </w:r>
      <w:r>
        <w:rPr>
          <w:color w:val="231F20"/>
          <w:spacing w:val="-10"/>
        </w:rPr>
        <w:t>a</w:t>
      </w:r>
      <w:r>
        <w:rPr>
          <w:color w:val="231F20"/>
          <w:spacing w:val="-2"/>
        </w:rPr>
        <w:t> </w:t>
      </w:r>
      <w:r>
        <w:rPr>
          <w:color w:val="231F20"/>
          <w:spacing w:val="-10"/>
        </w:rPr>
        <w:t>Cuba, </w:t>
      </w:r>
      <w:r>
        <w:rPr>
          <w:color w:val="231F20"/>
          <w:spacing w:val="-8"/>
        </w:rPr>
        <w:t>cuyo</w:t>
      </w:r>
      <w:r>
        <w:rPr>
          <w:color w:val="231F20"/>
          <w:spacing w:val="-9"/>
        </w:rPr>
        <w:t> </w:t>
      </w:r>
      <w:r>
        <w:rPr>
          <w:color w:val="231F20"/>
          <w:spacing w:val="-8"/>
        </w:rPr>
        <w:t>texto propone</w:t>
      </w:r>
      <w:r>
        <w:rPr>
          <w:color w:val="231F20"/>
          <w:spacing w:val="-9"/>
        </w:rPr>
        <w:t> </w:t>
      </w:r>
      <w:r>
        <w:rPr>
          <w:color w:val="231F20"/>
          <w:spacing w:val="-8"/>
        </w:rPr>
        <w:t>eliminar las</w:t>
      </w:r>
      <w:r>
        <w:rPr>
          <w:color w:val="231F20"/>
          <w:spacing w:val="-9"/>
        </w:rPr>
        <w:t> </w:t>
      </w:r>
      <w:r>
        <w:rPr>
          <w:color w:val="231F20"/>
          <w:spacing w:val="-8"/>
        </w:rPr>
        <w:t>regulaciones </w:t>
      </w:r>
      <w:r>
        <w:rPr>
          <w:color w:val="231F20"/>
        </w:rPr>
        <w:t>de los Estados Unidos que impiden las exportaciones</w:t>
      </w:r>
      <w:r>
        <w:rPr>
          <w:color w:val="231F20"/>
          <w:spacing w:val="-17"/>
        </w:rPr>
        <w:t> </w:t>
      </w:r>
      <w:r>
        <w:rPr>
          <w:color w:val="231F20"/>
        </w:rPr>
        <w:t>de</w:t>
      </w:r>
      <w:r>
        <w:rPr>
          <w:color w:val="231F20"/>
          <w:spacing w:val="-16"/>
        </w:rPr>
        <w:t> </w:t>
      </w:r>
      <w:r>
        <w:rPr>
          <w:color w:val="231F20"/>
        </w:rPr>
        <w:t>ese</w:t>
      </w:r>
      <w:r>
        <w:rPr>
          <w:color w:val="231F20"/>
          <w:spacing w:val="-17"/>
        </w:rPr>
        <w:t> </w:t>
      </w:r>
      <w:r>
        <w:rPr>
          <w:color w:val="231F20"/>
        </w:rPr>
        <w:t>país</w:t>
      </w:r>
      <w:r>
        <w:rPr>
          <w:color w:val="231F20"/>
          <w:spacing w:val="-16"/>
        </w:rPr>
        <w:t> </w:t>
      </w:r>
      <w:r>
        <w:rPr>
          <w:color w:val="231F20"/>
        </w:rPr>
        <w:t>a</w:t>
      </w:r>
      <w:r>
        <w:rPr>
          <w:color w:val="231F20"/>
          <w:spacing w:val="-17"/>
        </w:rPr>
        <w:t> </w:t>
      </w:r>
      <w:r>
        <w:rPr>
          <w:color w:val="231F20"/>
        </w:rPr>
        <w:t>Cuba.</w:t>
      </w:r>
    </w:p>
    <w:p>
      <w:pPr>
        <w:pStyle w:val="BodyText"/>
        <w:spacing w:before="167"/>
        <w:ind w:left="1133" w:right="1"/>
      </w:pPr>
      <w:r>
        <w:rPr>
          <w:b/>
          <w:color w:val="B52628"/>
        </w:rPr>
        <w:t>El</w:t>
      </w:r>
      <w:r>
        <w:rPr>
          <w:b/>
          <w:color w:val="B52628"/>
          <w:spacing w:val="-3"/>
        </w:rPr>
        <w:t> </w:t>
      </w:r>
      <w:r>
        <w:rPr>
          <w:b/>
          <w:color w:val="B52628"/>
        </w:rPr>
        <w:t>14</w:t>
      </w:r>
      <w:r>
        <w:rPr>
          <w:b/>
          <w:color w:val="B52628"/>
          <w:spacing w:val="-3"/>
        </w:rPr>
        <w:t> </w:t>
      </w:r>
      <w:r>
        <w:rPr>
          <w:b/>
          <w:color w:val="B52628"/>
        </w:rPr>
        <w:t>de</w:t>
      </w:r>
      <w:r>
        <w:rPr>
          <w:b/>
          <w:color w:val="B52628"/>
          <w:spacing w:val="-3"/>
        </w:rPr>
        <w:t> </w:t>
      </w:r>
      <w:r>
        <w:rPr>
          <w:b/>
          <w:color w:val="B52628"/>
        </w:rPr>
        <w:t>marzo</w:t>
      </w:r>
      <w:r>
        <w:rPr>
          <w:b/>
          <w:color w:val="B52628"/>
          <w:spacing w:val="-3"/>
        </w:rPr>
        <w:t> </w:t>
      </w:r>
      <w:r>
        <w:rPr>
          <w:b/>
          <w:color w:val="B52628"/>
        </w:rPr>
        <w:t>de</w:t>
      </w:r>
      <w:r>
        <w:rPr>
          <w:b/>
          <w:color w:val="B52628"/>
          <w:spacing w:val="-3"/>
        </w:rPr>
        <w:t> </w:t>
      </w:r>
      <w:r>
        <w:rPr>
          <w:b/>
          <w:color w:val="B52628"/>
        </w:rPr>
        <w:t>2023,</w:t>
      </w:r>
      <w:r>
        <w:rPr>
          <w:b/>
          <w:color w:val="B52628"/>
          <w:spacing w:val="-4"/>
        </w:rPr>
        <w:t> </w:t>
      </w:r>
      <w:r>
        <w:rPr>
          <w:color w:val="231F20"/>
        </w:rPr>
        <w:t>veinte</w:t>
      </w:r>
      <w:r>
        <w:rPr>
          <w:color w:val="231F20"/>
          <w:spacing w:val="-4"/>
        </w:rPr>
        <w:t> </w:t>
      </w:r>
      <w:r>
        <w:rPr>
          <w:color w:val="231F20"/>
        </w:rPr>
        <w:t>iglesias</w:t>
      </w:r>
      <w:r>
        <w:rPr>
          <w:color w:val="231F20"/>
          <w:spacing w:val="-4"/>
        </w:rPr>
        <w:t> </w:t>
      </w:r>
      <w:r>
        <w:rPr>
          <w:color w:val="231F20"/>
        </w:rPr>
        <w:t>y organizaciones confesionales, entre ellas la</w:t>
      </w:r>
      <w:r>
        <w:rPr>
          <w:color w:val="231F20"/>
          <w:spacing w:val="-11"/>
        </w:rPr>
        <w:t> </w:t>
      </w:r>
      <w:r>
        <w:rPr>
          <w:color w:val="231F20"/>
        </w:rPr>
        <w:t>Iglesia</w:t>
      </w:r>
      <w:r>
        <w:rPr>
          <w:color w:val="231F20"/>
          <w:spacing w:val="-11"/>
        </w:rPr>
        <w:t> </w:t>
      </w:r>
      <w:r>
        <w:rPr>
          <w:color w:val="231F20"/>
        </w:rPr>
        <w:t>Presbiteriana,</w:t>
      </w:r>
      <w:r>
        <w:rPr>
          <w:color w:val="231F20"/>
          <w:spacing w:val="-11"/>
        </w:rPr>
        <w:t> </w:t>
      </w:r>
      <w:r>
        <w:rPr>
          <w:color w:val="231F20"/>
        </w:rPr>
        <w:t>enviaron</w:t>
      </w:r>
      <w:r>
        <w:rPr>
          <w:color w:val="231F20"/>
          <w:spacing w:val="-11"/>
        </w:rPr>
        <w:t> </w:t>
      </w:r>
      <w:r>
        <w:rPr>
          <w:color w:val="231F20"/>
        </w:rPr>
        <w:t>una</w:t>
      </w:r>
      <w:r>
        <w:rPr>
          <w:color w:val="231F20"/>
          <w:spacing w:val="-11"/>
        </w:rPr>
        <w:t> </w:t>
      </w:r>
      <w:r>
        <w:rPr>
          <w:color w:val="231F20"/>
        </w:rPr>
        <w:t>carta conjunta al presidente Biden en la que solicitaron un cambio de política hacia Cuba y su retirada de la Lista de Estados Patrocinadores del Terrorismo. Entre los firmantes</w:t>
      </w:r>
      <w:r>
        <w:rPr>
          <w:color w:val="231F20"/>
          <w:spacing w:val="-17"/>
        </w:rPr>
        <w:t> </w:t>
      </w:r>
      <w:r>
        <w:rPr>
          <w:color w:val="231F20"/>
        </w:rPr>
        <w:t>están</w:t>
      </w:r>
      <w:r>
        <w:rPr>
          <w:color w:val="231F20"/>
          <w:spacing w:val="-16"/>
        </w:rPr>
        <w:t> </w:t>
      </w:r>
      <w:r>
        <w:rPr>
          <w:color w:val="231F20"/>
        </w:rPr>
        <w:t>Church</w:t>
      </w:r>
      <w:r>
        <w:rPr>
          <w:color w:val="231F20"/>
          <w:spacing w:val="-17"/>
        </w:rPr>
        <w:t> </w:t>
      </w:r>
      <w:r>
        <w:rPr>
          <w:color w:val="231F20"/>
        </w:rPr>
        <w:t>World</w:t>
      </w:r>
      <w:r>
        <w:rPr>
          <w:color w:val="231F20"/>
          <w:spacing w:val="-16"/>
        </w:rPr>
        <w:t> </w:t>
      </w:r>
      <w:r>
        <w:rPr>
          <w:color w:val="231F20"/>
        </w:rPr>
        <w:t>Service,</w:t>
      </w:r>
      <w:r>
        <w:rPr>
          <w:color w:val="231F20"/>
          <w:spacing w:val="-17"/>
        </w:rPr>
        <w:t> </w:t>
      </w:r>
      <w:r>
        <w:rPr>
          <w:color w:val="231F20"/>
        </w:rPr>
        <w:t>The Episcopal Church y the United Methodist </w:t>
      </w:r>
      <w:r>
        <w:rPr>
          <w:color w:val="231F20"/>
          <w:spacing w:val="-8"/>
        </w:rPr>
        <w:t>Church-General</w:t>
      </w:r>
      <w:r>
        <w:rPr>
          <w:color w:val="231F20"/>
          <w:spacing w:val="-21"/>
        </w:rPr>
        <w:t> </w:t>
      </w:r>
      <w:r>
        <w:rPr>
          <w:color w:val="231F20"/>
          <w:spacing w:val="-8"/>
        </w:rPr>
        <w:t>Board</w:t>
      </w:r>
      <w:r>
        <w:rPr>
          <w:color w:val="231F20"/>
          <w:spacing w:val="-21"/>
        </w:rPr>
        <w:t> </w:t>
      </w:r>
      <w:r>
        <w:rPr>
          <w:color w:val="231F20"/>
          <w:spacing w:val="-8"/>
        </w:rPr>
        <w:t>of</w:t>
      </w:r>
      <w:r>
        <w:rPr>
          <w:color w:val="231F20"/>
          <w:spacing w:val="-21"/>
        </w:rPr>
        <w:t> </w:t>
      </w:r>
      <w:r>
        <w:rPr>
          <w:color w:val="231F20"/>
          <w:spacing w:val="-8"/>
        </w:rPr>
        <w:t>Church</w:t>
      </w:r>
      <w:r>
        <w:rPr>
          <w:color w:val="231F20"/>
          <w:spacing w:val="-21"/>
        </w:rPr>
        <w:t> </w:t>
      </w:r>
      <w:r>
        <w:rPr>
          <w:color w:val="231F20"/>
          <w:spacing w:val="-8"/>
        </w:rPr>
        <w:t>and</w:t>
      </w:r>
      <w:r>
        <w:rPr>
          <w:color w:val="231F20"/>
          <w:spacing w:val="-21"/>
        </w:rPr>
        <w:t> </w:t>
      </w:r>
      <w:r>
        <w:rPr>
          <w:color w:val="231F20"/>
          <w:spacing w:val="-8"/>
        </w:rPr>
        <w:t>Society.</w:t>
      </w:r>
    </w:p>
    <w:p>
      <w:pPr>
        <w:spacing w:before="168"/>
        <w:ind w:left="1133" w:right="0" w:firstLine="0"/>
        <w:jc w:val="both"/>
        <w:rPr>
          <w:sz w:val="24"/>
        </w:rPr>
      </w:pPr>
      <w:r>
        <w:rPr>
          <w:b/>
          <w:color w:val="B52628"/>
          <w:sz w:val="24"/>
        </w:rPr>
        <w:t>El 15 de marzo de 2023, </w:t>
      </w:r>
      <w:r>
        <w:rPr>
          <w:color w:val="231F20"/>
          <w:sz w:val="24"/>
        </w:rPr>
        <w:t>los senadores Ron</w:t>
      </w:r>
      <w:r>
        <w:rPr>
          <w:color w:val="231F20"/>
          <w:spacing w:val="58"/>
          <w:w w:val="150"/>
          <w:sz w:val="24"/>
        </w:rPr>
        <w:t> </w:t>
      </w:r>
      <w:r>
        <w:rPr>
          <w:color w:val="231F20"/>
          <w:sz w:val="24"/>
        </w:rPr>
        <w:t>Wyden,</w:t>
      </w:r>
      <w:r>
        <w:rPr>
          <w:color w:val="231F20"/>
          <w:spacing w:val="58"/>
          <w:w w:val="150"/>
          <w:sz w:val="24"/>
        </w:rPr>
        <w:t> </w:t>
      </w:r>
      <w:r>
        <w:rPr>
          <w:color w:val="231F20"/>
          <w:sz w:val="24"/>
        </w:rPr>
        <w:t>(D-Ore.),</w:t>
      </w:r>
      <w:r>
        <w:rPr>
          <w:color w:val="231F20"/>
          <w:spacing w:val="57"/>
          <w:w w:val="150"/>
          <w:sz w:val="24"/>
        </w:rPr>
        <w:t> </w:t>
      </w:r>
      <w:r>
        <w:rPr>
          <w:color w:val="231F20"/>
          <w:sz w:val="24"/>
        </w:rPr>
        <w:t>Cynthia</w:t>
      </w:r>
      <w:r>
        <w:rPr>
          <w:color w:val="231F20"/>
          <w:spacing w:val="58"/>
          <w:w w:val="150"/>
          <w:sz w:val="24"/>
        </w:rPr>
        <w:t> </w:t>
      </w:r>
      <w:r>
        <w:rPr>
          <w:color w:val="231F20"/>
          <w:spacing w:val="-2"/>
          <w:sz w:val="24"/>
        </w:rPr>
        <w:t>Lummis,</w:t>
      </w:r>
    </w:p>
    <w:p>
      <w:pPr>
        <w:pStyle w:val="BodyText"/>
        <w:spacing w:before="77"/>
        <w:ind w:left="412" w:right="1471"/>
      </w:pPr>
      <w:r>
        <w:rPr/>
        <w:br w:type="column"/>
      </w:r>
      <w:r>
        <w:rPr>
          <w:color w:val="231F20"/>
        </w:rPr>
        <w:t>(R-Wyo.) y Chris Van Hollen, </w:t>
      </w:r>
      <w:r>
        <w:rPr>
          <w:color w:val="231F20"/>
        </w:rPr>
        <w:t>(D-Md.) </w:t>
      </w:r>
      <w:r>
        <w:rPr>
          <w:color w:val="231F20"/>
          <w:spacing w:val="-4"/>
        </w:rPr>
        <w:t>enviaron</w:t>
      </w:r>
      <w:r>
        <w:rPr>
          <w:color w:val="231F20"/>
          <w:spacing w:val="-13"/>
        </w:rPr>
        <w:t> </w:t>
      </w:r>
      <w:r>
        <w:rPr>
          <w:color w:val="231F20"/>
          <w:spacing w:val="-4"/>
        </w:rPr>
        <w:t>una</w:t>
      </w:r>
      <w:r>
        <w:rPr>
          <w:color w:val="231F20"/>
          <w:spacing w:val="-12"/>
        </w:rPr>
        <w:t> </w:t>
      </w:r>
      <w:r>
        <w:rPr>
          <w:color w:val="231F20"/>
          <w:spacing w:val="-4"/>
        </w:rPr>
        <w:t>carta</w:t>
      </w:r>
      <w:r>
        <w:rPr>
          <w:color w:val="231F20"/>
          <w:spacing w:val="-13"/>
        </w:rPr>
        <w:t> </w:t>
      </w:r>
      <w:r>
        <w:rPr>
          <w:color w:val="231F20"/>
          <w:spacing w:val="-4"/>
        </w:rPr>
        <w:t>al</w:t>
      </w:r>
      <w:r>
        <w:rPr>
          <w:color w:val="231F20"/>
          <w:spacing w:val="-12"/>
        </w:rPr>
        <w:t> </w:t>
      </w:r>
      <w:r>
        <w:rPr>
          <w:color w:val="231F20"/>
          <w:spacing w:val="-4"/>
        </w:rPr>
        <w:t>presidente</w:t>
      </w:r>
      <w:r>
        <w:rPr>
          <w:color w:val="231F20"/>
          <w:spacing w:val="-13"/>
        </w:rPr>
        <w:t> </w:t>
      </w:r>
      <w:r>
        <w:rPr>
          <w:color w:val="231F20"/>
          <w:spacing w:val="-4"/>
        </w:rPr>
        <w:t>Biden</w:t>
      </w:r>
      <w:r>
        <w:rPr>
          <w:color w:val="231F20"/>
          <w:spacing w:val="-12"/>
        </w:rPr>
        <w:t> </w:t>
      </w:r>
      <w:r>
        <w:rPr>
          <w:color w:val="231F20"/>
          <w:spacing w:val="-4"/>
        </w:rPr>
        <w:t>en</w:t>
      </w:r>
      <w:r>
        <w:rPr>
          <w:color w:val="231F20"/>
          <w:spacing w:val="-13"/>
        </w:rPr>
        <w:t> </w:t>
      </w:r>
      <w:r>
        <w:rPr>
          <w:color w:val="231F20"/>
          <w:spacing w:val="-4"/>
        </w:rPr>
        <w:t>la </w:t>
      </w:r>
      <w:r>
        <w:rPr>
          <w:color w:val="231F20"/>
        </w:rPr>
        <w:t>que</w:t>
      </w:r>
      <w:r>
        <w:rPr>
          <w:color w:val="231F20"/>
          <w:spacing w:val="-10"/>
        </w:rPr>
        <w:t> </w:t>
      </w:r>
      <w:r>
        <w:rPr>
          <w:color w:val="231F20"/>
        </w:rPr>
        <w:t>llamaron</w:t>
      </w:r>
      <w:r>
        <w:rPr>
          <w:color w:val="231F20"/>
          <w:spacing w:val="-10"/>
        </w:rPr>
        <w:t> </w:t>
      </w:r>
      <w:r>
        <w:rPr>
          <w:color w:val="231F20"/>
        </w:rPr>
        <w:t>a</w:t>
      </w:r>
      <w:r>
        <w:rPr>
          <w:color w:val="231F20"/>
          <w:spacing w:val="-10"/>
        </w:rPr>
        <w:t> </w:t>
      </w:r>
      <w:r>
        <w:rPr>
          <w:color w:val="231F20"/>
        </w:rPr>
        <w:t>flexibilizar</w:t>
      </w:r>
      <w:r>
        <w:rPr>
          <w:color w:val="231F20"/>
          <w:spacing w:val="-10"/>
        </w:rPr>
        <w:t> </w:t>
      </w:r>
      <w:r>
        <w:rPr>
          <w:color w:val="231F20"/>
        </w:rPr>
        <w:t>las</w:t>
      </w:r>
      <w:r>
        <w:rPr>
          <w:color w:val="231F20"/>
          <w:spacing w:val="-10"/>
        </w:rPr>
        <w:t> </w:t>
      </w:r>
      <w:r>
        <w:rPr>
          <w:color w:val="231F20"/>
        </w:rPr>
        <w:t>restricciones económicas</w:t>
      </w:r>
      <w:r>
        <w:rPr>
          <w:color w:val="231F20"/>
          <w:spacing w:val="-10"/>
        </w:rPr>
        <w:t> </w:t>
      </w:r>
      <w:r>
        <w:rPr>
          <w:color w:val="231F20"/>
        </w:rPr>
        <w:t>y</w:t>
      </w:r>
      <w:r>
        <w:rPr>
          <w:color w:val="231F20"/>
          <w:spacing w:val="-10"/>
        </w:rPr>
        <w:t> </w:t>
      </w:r>
      <w:r>
        <w:rPr>
          <w:color w:val="231F20"/>
        </w:rPr>
        <w:t>financieras</w:t>
      </w:r>
      <w:r>
        <w:rPr>
          <w:color w:val="231F20"/>
          <w:spacing w:val="-10"/>
        </w:rPr>
        <w:t> </w:t>
      </w:r>
      <w:r>
        <w:rPr>
          <w:color w:val="231F20"/>
        </w:rPr>
        <w:t>del</w:t>
      </w:r>
      <w:r>
        <w:rPr>
          <w:color w:val="231F20"/>
          <w:spacing w:val="-10"/>
        </w:rPr>
        <w:t> </w:t>
      </w:r>
      <w:r>
        <w:rPr>
          <w:color w:val="231F20"/>
        </w:rPr>
        <w:t>bloqueo</w:t>
      </w:r>
      <w:r>
        <w:rPr>
          <w:color w:val="231F20"/>
          <w:spacing w:val="-10"/>
        </w:rPr>
        <w:t> </w:t>
      </w:r>
      <w:r>
        <w:rPr>
          <w:color w:val="231F20"/>
        </w:rPr>
        <w:t>que impactan al sector privado en Cuba.</w:t>
      </w:r>
    </w:p>
    <w:p>
      <w:pPr>
        <w:pStyle w:val="BodyText"/>
        <w:spacing w:before="164"/>
        <w:ind w:left="412" w:right="1473"/>
      </w:pPr>
      <w:r>
        <w:rPr>
          <w:b/>
          <w:color w:val="B52628"/>
        </w:rPr>
        <w:t>El 21 de marzo de 2023, </w:t>
      </w:r>
      <w:r>
        <w:rPr>
          <w:color w:val="231F20"/>
        </w:rPr>
        <w:t>la Oficina en </w:t>
      </w:r>
      <w:r>
        <w:rPr>
          <w:color w:val="231F20"/>
          <w:spacing w:val="-6"/>
        </w:rPr>
        <w:t>Washington</w:t>
      </w:r>
      <w:r>
        <w:rPr>
          <w:color w:val="231F20"/>
          <w:spacing w:val="-11"/>
        </w:rPr>
        <w:t> </w:t>
      </w:r>
      <w:r>
        <w:rPr>
          <w:color w:val="231F20"/>
          <w:spacing w:val="-6"/>
        </w:rPr>
        <w:t>para</w:t>
      </w:r>
      <w:r>
        <w:rPr>
          <w:color w:val="231F20"/>
          <w:spacing w:val="-10"/>
        </w:rPr>
        <w:t> </w:t>
      </w:r>
      <w:r>
        <w:rPr>
          <w:color w:val="231F20"/>
          <w:spacing w:val="-6"/>
        </w:rPr>
        <w:t>Asuntos</w:t>
      </w:r>
      <w:r>
        <w:rPr>
          <w:color w:val="231F20"/>
          <w:spacing w:val="-11"/>
        </w:rPr>
        <w:t> </w:t>
      </w:r>
      <w:r>
        <w:rPr>
          <w:color w:val="231F20"/>
          <w:spacing w:val="-6"/>
        </w:rPr>
        <w:t>Latinoamericanos </w:t>
      </w:r>
      <w:r>
        <w:rPr>
          <w:color w:val="231F20"/>
        </w:rPr>
        <w:t>(WOLA) y el Centro para la Democracia</w:t>
      </w:r>
      <w:r>
        <w:rPr>
          <w:color w:val="231F20"/>
          <w:spacing w:val="40"/>
        </w:rPr>
        <w:t> </w:t>
      </w:r>
      <w:r>
        <w:rPr>
          <w:color w:val="231F20"/>
        </w:rPr>
        <w:t>en las Américas (CDA) emitieron una declaración conjunta en la que acogieron la reintroducción de la Ley de Libertad de Exportación a Cuba.</w:t>
      </w:r>
      <w:r>
        <w:rPr>
          <w:color w:val="231F20"/>
          <w:spacing w:val="80"/>
        </w:rPr>
        <w:t> </w:t>
      </w:r>
      <w:r>
        <w:rPr>
          <w:color w:val="231F20"/>
        </w:rPr>
        <w:t>En el comunicado</w:t>
      </w:r>
      <w:r>
        <w:rPr>
          <w:color w:val="231F20"/>
          <w:spacing w:val="80"/>
        </w:rPr>
        <w:t> </w:t>
      </w:r>
      <w:r>
        <w:rPr>
          <w:color w:val="231F20"/>
        </w:rPr>
        <w:t>se refirieron al bloqueo como principal obstáculo para el desenvolvimiento de la economía cubana.</w:t>
      </w:r>
    </w:p>
    <w:p>
      <w:pPr>
        <w:pStyle w:val="BodyText"/>
        <w:spacing w:before="167"/>
        <w:ind w:left="412" w:right="1470"/>
      </w:pPr>
      <w:r>
        <w:rPr>
          <w:b/>
          <w:color w:val="B52628"/>
        </w:rPr>
        <w:t>El 22 de marzo de 2023, </w:t>
      </w:r>
      <w:r>
        <w:rPr>
          <w:color w:val="231F20"/>
        </w:rPr>
        <w:t>activistas de CODEPINK interrumpieron el discurso</w:t>
      </w:r>
      <w:r>
        <w:rPr>
          <w:color w:val="231F20"/>
          <w:spacing w:val="80"/>
          <w:w w:val="150"/>
        </w:rPr>
        <w:t> </w:t>
      </w:r>
      <w:r>
        <w:rPr>
          <w:color w:val="231F20"/>
        </w:rPr>
        <w:t>del Secretario de Estado, Antony Blinken, durante una audiencia del Comité de Relaciones Exteriores del Senado, para reclamar la salida de Cuba de la Lista </w:t>
      </w:r>
      <w:r>
        <w:rPr>
          <w:color w:val="231F20"/>
        </w:rPr>
        <w:t>de Estados</w:t>
      </w:r>
      <w:r>
        <w:rPr>
          <w:color w:val="231F20"/>
          <w:spacing w:val="-17"/>
        </w:rPr>
        <w:t> </w:t>
      </w:r>
      <w:r>
        <w:rPr>
          <w:color w:val="231F20"/>
        </w:rPr>
        <w:t>Patrocinadores</w:t>
      </w:r>
      <w:r>
        <w:rPr>
          <w:color w:val="231F20"/>
          <w:spacing w:val="-16"/>
        </w:rPr>
        <w:t> </w:t>
      </w:r>
      <w:r>
        <w:rPr>
          <w:color w:val="231F20"/>
        </w:rPr>
        <w:t>del</w:t>
      </w:r>
      <w:r>
        <w:rPr>
          <w:color w:val="231F20"/>
          <w:spacing w:val="-17"/>
        </w:rPr>
        <w:t> </w:t>
      </w:r>
      <w:r>
        <w:rPr>
          <w:color w:val="231F20"/>
        </w:rPr>
        <w:t>Terrorismo</w:t>
      </w:r>
      <w:r>
        <w:rPr>
          <w:color w:val="231F20"/>
          <w:spacing w:val="-16"/>
        </w:rPr>
        <w:t> </w:t>
      </w:r>
      <w:r>
        <w:rPr>
          <w:color w:val="231F20"/>
        </w:rPr>
        <w:t>y</w:t>
      </w:r>
      <w:r>
        <w:rPr>
          <w:color w:val="231F20"/>
          <w:spacing w:val="-17"/>
        </w:rPr>
        <w:t> </w:t>
      </w:r>
      <w:r>
        <w:rPr>
          <w:color w:val="231F20"/>
        </w:rPr>
        <w:t>el levantamiento de las medidas coercitivas en vigor.</w:t>
      </w:r>
    </w:p>
    <w:p>
      <w:pPr>
        <w:pStyle w:val="BodyText"/>
        <w:spacing w:before="168"/>
        <w:ind w:left="412" w:right="1471"/>
      </w:pPr>
      <w:r>
        <w:rPr>
          <w:b/>
          <w:color w:val="B52628"/>
        </w:rPr>
        <w:t>El 26 de marzo de 2023, </w:t>
      </w:r>
      <w:r>
        <w:rPr>
          <w:color w:val="231F20"/>
        </w:rPr>
        <w:t>se celebró en Miami</w:t>
      </w:r>
      <w:r>
        <w:rPr>
          <w:color w:val="231F20"/>
          <w:spacing w:val="-4"/>
        </w:rPr>
        <w:t> </w:t>
      </w:r>
      <w:r>
        <w:rPr>
          <w:color w:val="231F20"/>
        </w:rPr>
        <w:t>una</w:t>
      </w:r>
      <w:r>
        <w:rPr>
          <w:color w:val="231F20"/>
          <w:spacing w:val="-4"/>
        </w:rPr>
        <w:t> </w:t>
      </w:r>
      <w:r>
        <w:rPr>
          <w:color w:val="231F20"/>
        </w:rPr>
        <w:t>jornada</w:t>
      </w:r>
      <w:r>
        <w:rPr>
          <w:color w:val="231F20"/>
          <w:spacing w:val="-4"/>
        </w:rPr>
        <w:t> </w:t>
      </w:r>
      <w:r>
        <w:rPr>
          <w:color w:val="231F20"/>
        </w:rPr>
        <w:t>de</w:t>
      </w:r>
      <w:r>
        <w:rPr>
          <w:color w:val="231F20"/>
          <w:spacing w:val="-4"/>
        </w:rPr>
        <w:t> </w:t>
      </w:r>
      <w:r>
        <w:rPr>
          <w:color w:val="231F20"/>
        </w:rPr>
        <w:t>caravanas</w:t>
      </w:r>
      <w:r>
        <w:rPr>
          <w:color w:val="231F20"/>
          <w:spacing w:val="-4"/>
        </w:rPr>
        <w:t> </w:t>
      </w:r>
      <w:r>
        <w:rPr>
          <w:color w:val="231F20"/>
        </w:rPr>
        <w:t>contra</w:t>
      </w:r>
      <w:r>
        <w:rPr>
          <w:color w:val="231F20"/>
          <w:spacing w:val="-4"/>
        </w:rPr>
        <w:t> </w:t>
      </w:r>
      <w:r>
        <w:rPr>
          <w:color w:val="231F20"/>
        </w:rPr>
        <w:t>el bloqueo,</w:t>
      </w:r>
      <w:r>
        <w:rPr>
          <w:color w:val="231F20"/>
          <w:spacing w:val="-13"/>
        </w:rPr>
        <w:t> </w:t>
      </w:r>
      <w:r>
        <w:rPr>
          <w:color w:val="231F20"/>
        </w:rPr>
        <w:t>en</w:t>
      </w:r>
      <w:r>
        <w:rPr>
          <w:color w:val="231F20"/>
          <w:spacing w:val="-13"/>
        </w:rPr>
        <w:t> </w:t>
      </w:r>
      <w:r>
        <w:rPr>
          <w:color w:val="231F20"/>
        </w:rPr>
        <w:t>la</w:t>
      </w:r>
      <w:r>
        <w:rPr>
          <w:color w:val="231F20"/>
          <w:spacing w:val="-13"/>
        </w:rPr>
        <w:t> </w:t>
      </w:r>
      <w:r>
        <w:rPr>
          <w:color w:val="231F20"/>
        </w:rPr>
        <w:t>que</w:t>
      </w:r>
      <w:r>
        <w:rPr>
          <w:color w:val="231F20"/>
          <w:spacing w:val="-13"/>
        </w:rPr>
        <w:t> </w:t>
      </w:r>
      <w:r>
        <w:rPr>
          <w:color w:val="231F20"/>
        </w:rPr>
        <w:t>participaron</w:t>
      </w:r>
      <w:r>
        <w:rPr>
          <w:color w:val="231F20"/>
          <w:spacing w:val="-13"/>
        </w:rPr>
        <w:t> </w:t>
      </w:r>
      <w:r>
        <w:rPr>
          <w:color w:val="231F20"/>
        </w:rPr>
        <w:t>miembros de Alianza Martiana, la </w:t>
      </w:r>
      <w:r>
        <w:rPr>
          <w:color w:val="231F20"/>
        </w:rPr>
        <w:t>Asociación Cultural José Martí, Puentes de Amor, representantes</w:t>
      </w:r>
      <w:r>
        <w:rPr>
          <w:color w:val="231F20"/>
          <w:spacing w:val="-7"/>
        </w:rPr>
        <w:t> </w:t>
      </w:r>
      <w:r>
        <w:rPr>
          <w:color w:val="231F20"/>
        </w:rPr>
        <w:t>de</w:t>
      </w:r>
      <w:r>
        <w:rPr>
          <w:color w:val="231F20"/>
          <w:spacing w:val="-7"/>
        </w:rPr>
        <w:t> </w:t>
      </w:r>
      <w:r>
        <w:rPr>
          <w:color w:val="231F20"/>
        </w:rPr>
        <w:t>la</w:t>
      </w:r>
      <w:r>
        <w:rPr>
          <w:color w:val="231F20"/>
          <w:spacing w:val="-7"/>
        </w:rPr>
        <w:t> </w:t>
      </w:r>
      <w:r>
        <w:rPr>
          <w:color w:val="231F20"/>
        </w:rPr>
        <w:t>comunidad</w:t>
      </w:r>
      <w:r>
        <w:rPr>
          <w:color w:val="231F20"/>
          <w:spacing w:val="-7"/>
        </w:rPr>
        <w:t> </w:t>
      </w:r>
      <w:r>
        <w:rPr>
          <w:color w:val="231F20"/>
        </w:rPr>
        <w:t>cubana</w:t>
      </w:r>
      <w:r>
        <w:rPr>
          <w:color w:val="231F20"/>
          <w:spacing w:val="-7"/>
        </w:rPr>
        <w:t> </w:t>
      </w:r>
      <w:r>
        <w:rPr>
          <w:color w:val="231F20"/>
        </w:rPr>
        <w:t>y </w:t>
      </w:r>
      <w:r>
        <w:rPr>
          <w:color w:val="231F20"/>
          <w:spacing w:val="-2"/>
        </w:rPr>
        <w:t>estadounidense.</w:t>
      </w:r>
    </w:p>
    <w:p>
      <w:pPr>
        <w:pStyle w:val="BodyText"/>
        <w:spacing w:before="165"/>
        <w:ind w:left="412" w:right="1470"/>
      </w:pPr>
      <w:r>
        <w:rPr>
          <w:b/>
          <w:color w:val="B52628"/>
        </w:rPr>
        <w:t>El 10 de mayo de 2023, </w:t>
      </w:r>
      <w:r>
        <w:rPr>
          <w:color w:val="231F20"/>
        </w:rPr>
        <w:t>21 congresistas demócratas,</w:t>
      </w:r>
      <w:r>
        <w:rPr>
          <w:color w:val="231F20"/>
          <w:spacing w:val="80"/>
          <w:w w:val="150"/>
        </w:rPr>
        <w:t> </w:t>
      </w:r>
      <w:r>
        <w:rPr>
          <w:color w:val="231F20"/>
        </w:rPr>
        <w:t>la</w:t>
      </w:r>
      <w:r>
        <w:rPr>
          <w:color w:val="231F20"/>
          <w:spacing w:val="80"/>
          <w:w w:val="150"/>
        </w:rPr>
        <w:t> </w:t>
      </w:r>
      <w:r>
        <w:rPr>
          <w:color w:val="231F20"/>
        </w:rPr>
        <w:t>mayoría</w:t>
      </w:r>
      <w:r>
        <w:rPr>
          <w:color w:val="231F20"/>
          <w:spacing w:val="80"/>
          <w:w w:val="150"/>
        </w:rPr>
        <w:t> </w:t>
      </w:r>
      <w:r>
        <w:rPr>
          <w:color w:val="231F20"/>
        </w:rPr>
        <w:t>de</w:t>
      </w:r>
      <w:r>
        <w:rPr>
          <w:color w:val="231F20"/>
          <w:spacing w:val="80"/>
          <w:w w:val="150"/>
        </w:rPr>
        <w:t> </w:t>
      </w:r>
      <w:r>
        <w:rPr>
          <w:color w:val="231F20"/>
        </w:rPr>
        <w:t>estados</w:t>
      </w:r>
      <w:r>
        <w:rPr>
          <w:color w:val="231F20"/>
          <w:spacing w:val="40"/>
        </w:rPr>
        <w:t> </w:t>
      </w:r>
      <w:r>
        <w:rPr>
          <w:color w:val="231F20"/>
        </w:rPr>
        <w:t>de</w:t>
      </w:r>
      <w:r>
        <w:rPr>
          <w:color w:val="231F20"/>
          <w:spacing w:val="40"/>
        </w:rPr>
        <w:t> </w:t>
      </w:r>
      <w:r>
        <w:rPr>
          <w:color w:val="231F20"/>
        </w:rPr>
        <w:t>la</w:t>
      </w:r>
      <w:r>
        <w:rPr>
          <w:color w:val="231F20"/>
          <w:spacing w:val="40"/>
        </w:rPr>
        <w:t> </w:t>
      </w:r>
      <w:r>
        <w:rPr>
          <w:color w:val="231F20"/>
        </w:rPr>
        <w:t>frontera</w:t>
      </w:r>
      <w:r>
        <w:rPr>
          <w:color w:val="231F20"/>
          <w:spacing w:val="40"/>
        </w:rPr>
        <w:t> </w:t>
      </w:r>
      <w:r>
        <w:rPr>
          <w:color w:val="231F20"/>
        </w:rPr>
        <w:t>sur,</w:t>
      </w:r>
      <w:r>
        <w:rPr>
          <w:color w:val="231F20"/>
          <w:spacing w:val="40"/>
        </w:rPr>
        <w:t> </w:t>
      </w:r>
      <w:r>
        <w:rPr>
          <w:color w:val="231F20"/>
        </w:rPr>
        <w:t>enviaron</w:t>
      </w:r>
      <w:r>
        <w:rPr>
          <w:color w:val="231F20"/>
          <w:spacing w:val="40"/>
        </w:rPr>
        <w:t> </w:t>
      </w:r>
      <w:r>
        <w:rPr>
          <w:color w:val="231F20"/>
        </w:rPr>
        <w:t>una</w:t>
      </w:r>
      <w:r>
        <w:rPr>
          <w:color w:val="231F20"/>
          <w:spacing w:val="40"/>
        </w:rPr>
        <w:t> </w:t>
      </w:r>
      <w:r>
        <w:rPr>
          <w:color w:val="231F20"/>
        </w:rPr>
        <w:t>carta</w:t>
      </w:r>
      <w:r>
        <w:rPr>
          <w:color w:val="231F20"/>
          <w:spacing w:val="80"/>
          <w:w w:val="150"/>
        </w:rPr>
        <w:t> </w:t>
      </w:r>
      <w:r>
        <w:rPr>
          <w:color w:val="231F20"/>
        </w:rPr>
        <w:t>al presidente estadounidense Joseph Biden en la que demandaban flexibilizar</w:t>
      </w:r>
      <w:r>
        <w:rPr>
          <w:color w:val="231F20"/>
          <w:spacing w:val="40"/>
        </w:rPr>
        <w:t> </w:t>
      </w:r>
      <w:r>
        <w:rPr>
          <w:color w:val="231F20"/>
        </w:rPr>
        <w:t>la</w:t>
      </w:r>
      <w:r>
        <w:rPr>
          <w:color w:val="231F20"/>
          <w:spacing w:val="40"/>
        </w:rPr>
        <w:t> </w:t>
      </w:r>
      <w:r>
        <w:rPr>
          <w:color w:val="231F20"/>
        </w:rPr>
        <w:t>política</w:t>
      </w:r>
      <w:r>
        <w:rPr>
          <w:color w:val="231F20"/>
          <w:spacing w:val="40"/>
        </w:rPr>
        <w:t> </w:t>
      </w:r>
      <w:r>
        <w:rPr>
          <w:color w:val="231F20"/>
        </w:rPr>
        <w:t>de</w:t>
      </w:r>
      <w:r>
        <w:rPr>
          <w:color w:val="231F20"/>
          <w:spacing w:val="40"/>
        </w:rPr>
        <w:t> </w:t>
      </w:r>
      <w:r>
        <w:rPr>
          <w:color w:val="231F20"/>
        </w:rPr>
        <w:t>máxima</w:t>
      </w:r>
      <w:r>
        <w:rPr>
          <w:color w:val="231F20"/>
          <w:spacing w:val="40"/>
        </w:rPr>
        <w:t> </w:t>
      </w:r>
      <w:r>
        <w:rPr>
          <w:color w:val="231F20"/>
        </w:rPr>
        <w:t>presión</w:t>
      </w:r>
      <w:r>
        <w:rPr>
          <w:color w:val="231F20"/>
          <w:spacing w:val="40"/>
        </w:rPr>
        <w:t> </w:t>
      </w:r>
      <w:r>
        <w:rPr>
          <w:color w:val="231F20"/>
        </w:rPr>
        <w:t>que</w:t>
      </w:r>
      <w:r>
        <w:rPr>
          <w:color w:val="231F20"/>
          <w:spacing w:val="40"/>
        </w:rPr>
        <w:t> </w:t>
      </w:r>
      <w:r>
        <w:rPr>
          <w:color w:val="231F20"/>
        </w:rPr>
        <w:t>afecta a cubanos y venezolanos. Los congresistas identificaron las medidas de asfixia implementadas por el gobierno</w:t>
      </w:r>
      <w:r>
        <w:rPr>
          <w:color w:val="231F20"/>
          <w:spacing w:val="80"/>
          <w:w w:val="150"/>
        </w:rPr>
        <w:t> </w:t>
      </w:r>
      <w:r>
        <w:rPr>
          <w:color w:val="231F20"/>
        </w:rPr>
        <w:t>de Donald Trump entre las principales razones</w:t>
      </w:r>
      <w:r>
        <w:rPr>
          <w:color w:val="231F20"/>
          <w:spacing w:val="52"/>
          <w:w w:val="150"/>
        </w:rPr>
        <w:t> </w:t>
      </w:r>
      <w:r>
        <w:rPr>
          <w:color w:val="231F20"/>
        </w:rPr>
        <w:t>que</w:t>
      </w:r>
      <w:r>
        <w:rPr>
          <w:color w:val="231F20"/>
          <w:spacing w:val="52"/>
          <w:w w:val="150"/>
        </w:rPr>
        <w:t> </w:t>
      </w:r>
      <w:r>
        <w:rPr>
          <w:color w:val="231F20"/>
        </w:rPr>
        <w:t>han</w:t>
      </w:r>
      <w:r>
        <w:rPr>
          <w:color w:val="231F20"/>
          <w:spacing w:val="53"/>
          <w:w w:val="150"/>
        </w:rPr>
        <w:t> </w:t>
      </w:r>
      <w:r>
        <w:rPr>
          <w:color w:val="231F20"/>
        </w:rPr>
        <w:t>obligado</w:t>
      </w:r>
      <w:r>
        <w:rPr>
          <w:color w:val="231F20"/>
          <w:spacing w:val="52"/>
          <w:w w:val="150"/>
        </w:rPr>
        <w:t> </w:t>
      </w:r>
      <w:r>
        <w:rPr>
          <w:color w:val="231F20"/>
        </w:rPr>
        <w:t>a</w:t>
      </w:r>
      <w:r>
        <w:rPr>
          <w:color w:val="231F20"/>
          <w:spacing w:val="53"/>
          <w:w w:val="150"/>
        </w:rPr>
        <w:t> </w:t>
      </w:r>
      <w:r>
        <w:rPr>
          <w:color w:val="231F20"/>
        </w:rPr>
        <w:t>miles</w:t>
      </w:r>
      <w:r>
        <w:rPr>
          <w:color w:val="231F20"/>
          <w:spacing w:val="52"/>
          <w:w w:val="150"/>
        </w:rPr>
        <w:t> </w:t>
      </w:r>
      <w:r>
        <w:rPr>
          <w:color w:val="231F20"/>
          <w:spacing w:val="-5"/>
        </w:rPr>
        <w:t>de</w:t>
      </w:r>
    </w:p>
    <w:p>
      <w:pPr>
        <w:spacing w:after="0"/>
        <w:sectPr>
          <w:pgSz w:w="11910" w:h="16840"/>
          <w:pgMar w:header="0" w:footer="695" w:top="1260" w:bottom="880" w:left="0" w:right="0"/>
          <w:cols w:num="2" w:equalWidth="0">
            <w:col w:w="5558" w:space="40"/>
            <w:col w:w="6312"/>
          </w:cols>
        </w:sectPr>
      </w:pPr>
    </w:p>
    <w:p>
      <w:pPr>
        <w:pStyle w:val="BodyText"/>
        <w:spacing w:before="77"/>
        <w:ind w:left="1474"/>
      </w:pPr>
      <w:r>
        <w:rPr>
          <w:color w:val="231F20"/>
        </w:rPr>
        <w:t>ciudadanos de estas naciones a emigrar hacia los Estados Unidos. En el caso de Cuba,</w:t>
      </w:r>
      <w:r>
        <w:rPr>
          <w:color w:val="231F20"/>
          <w:spacing w:val="-4"/>
        </w:rPr>
        <w:t> </w:t>
      </w:r>
      <w:r>
        <w:rPr>
          <w:color w:val="231F20"/>
        </w:rPr>
        <w:t>destacaron</w:t>
      </w:r>
      <w:r>
        <w:rPr>
          <w:color w:val="231F20"/>
          <w:spacing w:val="-4"/>
        </w:rPr>
        <w:t> </w:t>
      </w:r>
      <w:r>
        <w:rPr>
          <w:color w:val="231F20"/>
        </w:rPr>
        <w:t>aquellas</w:t>
      </w:r>
      <w:r>
        <w:rPr>
          <w:color w:val="231F20"/>
          <w:spacing w:val="-4"/>
        </w:rPr>
        <w:t> </w:t>
      </w:r>
      <w:r>
        <w:rPr>
          <w:color w:val="231F20"/>
        </w:rPr>
        <w:t>encaminadas</w:t>
      </w:r>
      <w:r>
        <w:rPr>
          <w:color w:val="231F20"/>
          <w:spacing w:val="-4"/>
        </w:rPr>
        <w:t> </w:t>
      </w:r>
      <w:r>
        <w:rPr>
          <w:color w:val="231F20"/>
        </w:rPr>
        <w:t>a arreciar</w:t>
      </w:r>
      <w:r>
        <w:rPr>
          <w:color w:val="231F20"/>
          <w:spacing w:val="-17"/>
        </w:rPr>
        <w:t> </w:t>
      </w:r>
      <w:r>
        <w:rPr>
          <w:color w:val="231F20"/>
        </w:rPr>
        <w:t>el</w:t>
      </w:r>
      <w:r>
        <w:rPr>
          <w:color w:val="231F20"/>
          <w:spacing w:val="-16"/>
        </w:rPr>
        <w:t> </w:t>
      </w:r>
      <w:r>
        <w:rPr>
          <w:color w:val="231F20"/>
        </w:rPr>
        <w:t>bloqueo</w:t>
      </w:r>
      <w:r>
        <w:rPr>
          <w:color w:val="231F20"/>
          <w:spacing w:val="-17"/>
        </w:rPr>
        <w:t> </w:t>
      </w:r>
      <w:r>
        <w:rPr>
          <w:color w:val="231F20"/>
        </w:rPr>
        <w:t>y</w:t>
      </w:r>
      <w:r>
        <w:rPr>
          <w:color w:val="231F20"/>
          <w:spacing w:val="-16"/>
        </w:rPr>
        <w:t> </w:t>
      </w:r>
      <w:r>
        <w:rPr>
          <w:color w:val="231F20"/>
        </w:rPr>
        <w:t>la</w:t>
      </w:r>
      <w:r>
        <w:rPr>
          <w:color w:val="231F20"/>
          <w:spacing w:val="-17"/>
        </w:rPr>
        <w:t> </w:t>
      </w:r>
      <w:r>
        <w:rPr>
          <w:color w:val="231F20"/>
        </w:rPr>
        <w:t>inclusión</w:t>
      </w:r>
      <w:r>
        <w:rPr>
          <w:color w:val="231F20"/>
          <w:spacing w:val="-16"/>
        </w:rPr>
        <w:t> </w:t>
      </w:r>
      <w:r>
        <w:rPr>
          <w:color w:val="231F20"/>
        </w:rPr>
        <w:t>en</w:t>
      </w:r>
      <w:r>
        <w:rPr>
          <w:color w:val="231F20"/>
          <w:spacing w:val="-17"/>
        </w:rPr>
        <w:t> </w:t>
      </w:r>
      <w:r>
        <w:rPr>
          <w:color w:val="231F20"/>
        </w:rPr>
        <w:t>la</w:t>
      </w:r>
      <w:r>
        <w:rPr>
          <w:color w:val="231F20"/>
          <w:spacing w:val="-16"/>
        </w:rPr>
        <w:t> </w:t>
      </w:r>
      <w:r>
        <w:rPr>
          <w:color w:val="231F20"/>
        </w:rPr>
        <w:t>Lista de</w:t>
      </w:r>
      <w:r>
        <w:rPr>
          <w:color w:val="231F20"/>
          <w:spacing w:val="-6"/>
        </w:rPr>
        <w:t> </w:t>
      </w:r>
      <w:r>
        <w:rPr>
          <w:color w:val="231F20"/>
        </w:rPr>
        <w:t>Estados</w:t>
      </w:r>
      <w:r>
        <w:rPr>
          <w:color w:val="231F20"/>
          <w:spacing w:val="-6"/>
        </w:rPr>
        <w:t> </w:t>
      </w:r>
      <w:r>
        <w:rPr>
          <w:color w:val="231F20"/>
        </w:rPr>
        <w:t>patrocinadores</w:t>
      </w:r>
      <w:r>
        <w:rPr>
          <w:color w:val="231F20"/>
          <w:spacing w:val="-6"/>
        </w:rPr>
        <w:t> </w:t>
      </w:r>
      <w:r>
        <w:rPr>
          <w:color w:val="231F20"/>
        </w:rPr>
        <w:t>del</w:t>
      </w:r>
      <w:r>
        <w:rPr>
          <w:color w:val="231F20"/>
          <w:spacing w:val="-6"/>
        </w:rPr>
        <w:t> </w:t>
      </w:r>
      <w:r>
        <w:rPr>
          <w:color w:val="231F20"/>
          <w:spacing w:val="-2"/>
        </w:rPr>
        <w:t>terrorismo.</w:t>
      </w:r>
    </w:p>
    <w:p>
      <w:pPr>
        <w:pStyle w:val="BodyText"/>
        <w:spacing w:before="164"/>
        <w:ind w:left="1474"/>
      </w:pPr>
      <w:r>
        <w:rPr>
          <w:b/>
          <w:color w:val="B52628"/>
        </w:rPr>
        <w:t>El</w:t>
      </w:r>
      <w:r>
        <w:rPr>
          <w:b/>
          <w:color w:val="B52628"/>
          <w:spacing w:val="34"/>
        </w:rPr>
        <w:t> </w:t>
      </w:r>
      <w:r>
        <w:rPr>
          <w:b/>
          <w:color w:val="B52628"/>
        </w:rPr>
        <w:t>16</w:t>
      </w:r>
      <w:r>
        <w:rPr>
          <w:b/>
          <w:color w:val="B52628"/>
          <w:spacing w:val="34"/>
        </w:rPr>
        <w:t> </w:t>
      </w:r>
      <w:r>
        <w:rPr>
          <w:b/>
          <w:color w:val="B52628"/>
        </w:rPr>
        <w:t>de</w:t>
      </w:r>
      <w:r>
        <w:rPr>
          <w:b/>
          <w:color w:val="B52628"/>
          <w:spacing w:val="34"/>
        </w:rPr>
        <w:t> </w:t>
      </w:r>
      <w:r>
        <w:rPr>
          <w:b/>
          <w:color w:val="B52628"/>
        </w:rPr>
        <w:t>mayo</w:t>
      </w:r>
      <w:r>
        <w:rPr>
          <w:b/>
          <w:color w:val="B52628"/>
          <w:spacing w:val="34"/>
        </w:rPr>
        <w:t> </w:t>
      </w:r>
      <w:r>
        <w:rPr>
          <w:b/>
          <w:color w:val="B52628"/>
        </w:rPr>
        <w:t>de</w:t>
      </w:r>
      <w:r>
        <w:rPr>
          <w:b/>
          <w:color w:val="B52628"/>
          <w:spacing w:val="34"/>
        </w:rPr>
        <w:t> </w:t>
      </w:r>
      <w:r>
        <w:rPr>
          <w:b/>
          <w:color w:val="B52628"/>
        </w:rPr>
        <w:t>2023,</w:t>
      </w:r>
      <w:r>
        <w:rPr>
          <w:b/>
          <w:color w:val="B52628"/>
          <w:spacing w:val="33"/>
        </w:rPr>
        <w:t> </w:t>
      </w:r>
      <w:r>
        <w:rPr>
          <w:color w:val="231F20"/>
        </w:rPr>
        <w:t>el</w:t>
      </w:r>
      <w:r>
        <w:rPr>
          <w:color w:val="231F20"/>
          <w:spacing w:val="33"/>
        </w:rPr>
        <w:t> </w:t>
      </w:r>
      <w:r>
        <w:rPr>
          <w:color w:val="231F20"/>
        </w:rPr>
        <w:t>Concejo</w:t>
      </w:r>
      <w:r>
        <w:rPr>
          <w:color w:val="231F20"/>
          <w:spacing w:val="33"/>
        </w:rPr>
        <w:t> </w:t>
      </w:r>
      <w:r>
        <w:rPr>
          <w:color w:val="231F20"/>
        </w:rPr>
        <w:t>de la Ciudad Washington DC aprobó de forma unánime una resolución instando</w:t>
      </w:r>
      <w:r>
        <w:rPr>
          <w:color w:val="231F20"/>
          <w:spacing w:val="40"/>
        </w:rPr>
        <w:t> </w:t>
      </w:r>
      <w:r>
        <w:rPr>
          <w:color w:val="231F20"/>
        </w:rPr>
        <w:t>al</w:t>
      </w:r>
      <w:r>
        <w:rPr>
          <w:color w:val="231F20"/>
          <w:spacing w:val="-9"/>
        </w:rPr>
        <w:t> </w:t>
      </w:r>
      <w:r>
        <w:rPr>
          <w:color w:val="231F20"/>
        </w:rPr>
        <w:t>gobierno</w:t>
      </w:r>
      <w:r>
        <w:rPr>
          <w:color w:val="231F20"/>
          <w:spacing w:val="-9"/>
        </w:rPr>
        <w:t> </w:t>
      </w:r>
      <w:r>
        <w:rPr>
          <w:color w:val="231F20"/>
        </w:rPr>
        <w:t>del</w:t>
      </w:r>
      <w:r>
        <w:rPr>
          <w:color w:val="231F20"/>
          <w:spacing w:val="-9"/>
        </w:rPr>
        <w:t> </w:t>
      </w:r>
      <w:r>
        <w:rPr>
          <w:color w:val="231F20"/>
        </w:rPr>
        <w:t>presidente</w:t>
      </w:r>
      <w:r>
        <w:rPr>
          <w:color w:val="231F20"/>
          <w:spacing w:val="-9"/>
        </w:rPr>
        <w:t> </w:t>
      </w:r>
      <w:r>
        <w:rPr>
          <w:color w:val="231F20"/>
        </w:rPr>
        <w:t>Joseph</w:t>
      </w:r>
      <w:r>
        <w:rPr>
          <w:color w:val="231F20"/>
          <w:spacing w:val="-9"/>
        </w:rPr>
        <w:t> </w:t>
      </w:r>
      <w:r>
        <w:rPr>
          <w:color w:val="231F20"/>
        </w:rPr>
        <w:t>Biden</w:t>
      </w:r>
      <w:r>
        <w:rPr>
          <w:color w:val="231F20"/>
          <w:spacing w:val="-9"/>
        </w:rPr>
        <w:t> </w:t>
      </w:r>
      <w:r>
        <w:rPr>
          <w:color w:val="231F20"/>
        </w:rPr>
        <w:t>a levantar las sanciones económicas contra Cuba y a eliminar al país de la unilateral e ilegítima Lista de Estados Patrocinadores del Terrorismo. El texto planteó las limitaciones que establece el bloqueo para</w:t>
      </w:r>
      <w:r>
        <w:rPr>
          <w:color w:val="231F20"/>
          <w:spacing w:val="-15"/>
        </w:rPr>
        <w:t> </w:t>
      </w:r>
      <w:r>
        <w:rPr>
          <w:color w:val="231F20"/>
        </w:rPr>
        <w:t>el</w:t>
      </w:r>
      <w:r>
        <w:rPr>
          <w:color w:val="231F20"/>
          <w:spacing w:val="-15"/>
        </w:rPr>
        <w:t> </w:t>
      </w:r>
      <w:r>
        <w:rPr>
          <w:color w:val="231F20"/>
        </w:rPr>
        <w:t>desarrollo</w:t>
      </w:r>
      <w:r>
        <w:rPr>
          <w:color w:val="231F20"/>
          <w:spacing w:val="-15"/>
        </w:rPr>
        <w:t> </w:t>
      </w:r>
      <w:r>
        <w:rPr>
          <w:color w:val="231F20"/>
        </w:rPr>
        <w:t>de</w:t>
      </w:r>
      <w:r>
        <w:rPr>
          <w:color w:val="231F20"/>
          <w:spacing w:val="-15"/>
        </w:rPr>
        <w:t> </w:t>
      </w:r>
      <w:r>
        <w:rPr>
          <w:color w:val="231F20"/>
        </w:rPr>
        <w:t>la</w:t>
      </w:r>
      <w:r>
        <w:rPr>
          <w:color w:val="231F20"/>
          <w:spacing w:val="-15"/>
        </w:rPr>
        <w:t> </w:t>
      </w:r>
      <w:r>
        <w:rPr>
          <w:color w:val="231F20"/>
        </w:rPr>
        <w:t>salud,</w:t>
      </w:r>
      <w:r>
        <w:rPr>
          <w:color w:val="231F20"/>
          <w:spacing w:val="-15"/>
        </w:rPr>
        <w:t> </w:t>
      </w:r>
      <w:r>
        <w:rPr>
          <w:color w:val="231F20"/>
        </w:rPr>
        <w:t>la</w:t>
      </w:r>
      <w:r>
        <w:rPr>
          <w:color w:val="231F20"/>
          <w:spacing w:val="-15"/>
        </w:rPr>
        <w:t> </w:t>
      </w:r>
      <w:r>
        <w:rPr>
          <w:color w:val="231F20"/>
        </w:rPr>
        <w:t>educación y la economía cubanas, así como para la cooperación entre ambas naciones.</w:t>
      </w:r>
    </w:p>
    <w:p>
      <w:pPr>
        <w:pStyle w:val="BodyText"/>
        <w:spacing w:before="97"/>
        <w:jc w:val="left"/>
      </w:pPr>
    </w:p>
    <w:p>
      <w:pPr>
        <w:pStyle w:val="Heading2"/>
        <w:ind w:left="1474" w:right="931"/>
      </w:pPr>
      <w:r>
        <w:rPr>
          <w:color w:val="1F4282"/>
          <w:w w:val="115"/>
        </w:rPr>
        <w:t>Oposición de la comunidad</w:t>
      </w:r>
      <w:r>
        <w:rPr>
          <w:color w:val="1F4282"/>
          <w:spacing w:val="-22"/>
          <w:w w:val="115"/>
        </w:rPr>
        <w:t> </w:t>
      </w:r>
      <w:r>
        <w:rPr>
          <w:color w:val="1F4282"/>
          <w:w w:val="115"/>
        </w:rPr>
        <w:t>internacional</w:t>
      </w:r>
    </w:p>
    <w:p>
      <w:pPr>
        <w:pStyle w:val="BodyText"/>
        <w:spacing w:before="239"/>
        <w:ind w:left="1474" w:right="5"/>
      </w:pPr>
      <w:r>
        <w:rPr>
          <w:color w:val="231F20"/>
        </w:rPr>
        <w:t>El</w:t>
      </w:r>
      <w:r>
        <w:rPr>
          <w:color w:val="231F20"/>
          <w:spacing w:val="-16"/>
        </w:rPr>
        <w:t> </w:t>
      </w:r>
      <w:r>
        <w:rPr>
          <w:color w:val="231F20"/>
        </w:rPr>
        <w:t>movimiento</w:t>
      </w:r>
      <w:r>
        <w:rPr>
          <w:color w:val="231F20"/>
          <w:spacing w:val="-16"/>
        </w:rPr>
        <w:t> </w:t>
      </w:r>
      <w:r>
        <w:rPr>
          <w:color w:val="231F20"/>
        </w:rPr>
        <w:t>de</w:t>
      </w:r>
      <w:r>
        <w:rPr>
          <w:color w:val="231F20"/>
          <w:spacing w:val="-16"/>
        </w:rPr>
        <w:t> </w:t>
      </w:r>
      <w:r>
        <w:rPr>
          <w:color w:val="231F20"/>
        </w:rPr>
        <w:t>solidaridad</w:t>
      </w:r>
      <w:r>
        <w:rPr>
          <w:color w:val="231F20"/>
          <w:spacing w:val="-16"/>
        </w:rPr>
        <w:t> </w:t>
      </w:r>
      <w:r>
        <w:rPr>
          <w:color w:val="231F20"/>
        </w:rPr>
        <w:t>con</w:t>
      </w:r>
      <w:r>
        <w:rPr>
          <w:color w:val="231F20"/>
          <w:spacing w:val="-16"/>
        </w:rPr>
        <w:t> </w:t>
      </w:r>
      <w:r>
        <w:rPr>
          <w:color w:val="231F20"/>
        </w:rPr>
        <w:t>Cuba</w:t>
      </w:r>
      <w:r>
        <w:rPr>
          <w:color w:val="231F20"/>
          <w:spacing w:val="-16"/>
        </w:rPr>
        <w:t> </w:t>
      </w:r>
      <w:r>
        <w:rPr>
          <w:color w:val="231F20"/>
        </w:rPr>
        <w:t>en </w:t>
      </w:r>
      <w:r>
        <w:rPr>
          <w:color w:val="231F20"/>
          <w:spacing w:val="-12"/>
        </w:rPr>
        <w:t>apoyo</w:t>
      </w:r>
      <w:r>
        <w:rPr>
          <w:color w:val="231F20"/>
        </w:rPr>
        <w:t> </w:t>
      </w:r>
      <w:r>
        <w:rPr>
          <w:color w:val="231F20"/>
          <w:spacing w:val="-12"/>
        </w:rPr>
        <w:t>al</w:t>
      </w:r>
      <w:r>
        <w:rPr>
          <w:color w:val="231F20"/>
        </w:rPr>
        <w:t> </w:t>
      </w:r>
      <w:r>
        <w:rPr>
          <w:color w:val="231F20"/>
          <w:spacing w:val="-12"/>
        </w:rPr>
        <w:t>fin</w:t>
      </w:r>
      <w:r>
        <w:rPr>
          <w:color w:val="231F20"/>
        </w:rPr>
        <w:t> </w:t>
      </w:r>
      <w:r>
        <w:rPr>
          <w:color w:val="231F20"/>
          <w:spacing w:val="-12"/>
        </w:rPr>
        <w:t>del</w:t>
      </w:r>
      <w:r>
        <w:rPr>
          <w:color w:val="231F20"/>
        </w:rPr>
        <w:t> </w:t>
      </w:r>
      <w:r>
        <w:rPr>
          <w:color w:val="231F20"/>
          <w:spacing w:val="-12"/>
        </w:rPr>
        <w:t>bloqueo,</w:t>
      </w:r>
      <w:r>
        <w:rPr>
          <w:color w:val="231F20"/>
        </w:rPr>
        <w:t> </w:t>
      </w:r>
      <w:r>
        <w:rPr>
          <w:color w:val="231F20"/>
          <w:spacing w:val="-12"/>
        </w:rPr>
        <w:t>alcanzó</w:t>
      </w:r>
      <w:r>
        <w:rPr>
          <w:color w:val="231F20"/>
        </w:rPr>
        <w:t> </w:t>
      </w:r>
      <w:r>
        <w:rPr>
          <w:color w:val="231F20"/>
          <w:spacing w:val="-12"/>
        </w:rPr>
        <w:t>importantes </w:t>
      </w:r>
      <w:r>
        <w:rPr>
          <w:color w:val="231F20"/>
        </w:rPr>
        <w:t>éxitos</w:t>
      </w:r>
      <w:r>
        <w:rPr>
          <w:color w:val="231F20"/>
          <w:spacing w:val="-3"/>
        </w:rPr>
        <w:t> </w:t>
      </w:r>
      <w:r>
        <w:rPr>
          <w:color w:val="231F20"/>
        </w:rPr>
        <w:t>en</w:t>
      </w:r>
      <w:r>
        <w:rPr>
          <w:color w:val="231F20"/>
          <w:spacing w:val="-3"/>
        </w:rPr>
        <w:t> </w:t>
      </w:r>
      <w:r>
        <w:rPr>
          <w:color w:val="231F20"/>
        </w:rPr>
        <w:t>2022</w:t>
      </w:r>
      <w:r>
        <w:rPr>
          <w:color w:val="231F20"/>
          <w:spacing w:val="-3"/>
        </w:rPr>
        <w:t> </w:t>
      </w:r>
      <w:r>
        <w:rPr>
          <w:color w:val="231F20"/>
        </w:rPr>
        <w:t>y</w:t>
      </w:r>
      <w:r>
        <w:rPr>
          <w:color w:val="231F20"/>
          <w:spacing w:val="-3"/>
        </w:rPr>
        <w:t> </w:t>
      </w:r>
      <w:r>
        <w:rPr>
          <w:color w:val="231F20"/>
        </w:rPr>
        <w:t>su</w:t>
      </w:r>
      <w:r>
        <w:rPr>
          <w:color w:val="231F20"/>
          <w:spacing w:val="-3"/>
        </w:rPr>
        <w:t> </w:t>
      </w:r>
      <w:r>
        <w:rPr>
          <w:color w:val="231F20"/>
        </w:rPr>
        <w:t>activismo</w:t>
      </w:r>
      <w:r>
        <w:rPr>
          <w:color w:val="231F20"/>
          <w:spacing w:val="-3"/>
        </w:rPr>
        <w:t> </w:t>
      </w:r>
      <w:r>
        <w:rPr>
          <w:color w:val="231F20"/>
        </w:rPr>
        <w:t>fue</w:t>
      </w:r>
      <w:r>
        <w:rPr>
          <w:color w:val="231F20"/>
          <w:spacing w:val="-3"/>
        </w:rPr>
        <w:t> </w:t>
      </w:r>
      <w:r>
        <w:rPr>
          <w:color w:val="231F20"/>
        </w:rPr>
        <w:t>notable, </w:t>
      </w:r>
      <w:r>
        <w:rPr>
          <w:color w:val="231F20"/>
          <w:spacing w:val="-4"/>
        </w:rPr>
        <w:t>tanto</w:t>
      </w:r>
      <w:r>
        <w:rPr>
          <w:color w:val="231F20"/>
          <w:spacing w:val="-12"/>
        </w:rPr>
        <w:t> </w:t>
      </w:r>
      <w:r>
        <w:rPr>
          <w:color w:val="231F20"/>
          <w:spacing w:val="-4"/>
        </w:rPr>
        <w:t>en</w:t>
      </w:r>
      <w:r>
        <w:rPr>
          <w:color w:val="231F20"/>
          <w:spacing w:val="-12"/>
        </w:rPr>
        <w:t> </w:t>
      </w:r>
      <w:r>
        <w:rPr>
          <w:color w:val="231F20"/>
          <w:spacing w:val="-4"/>
        </w:rPr>
        <w:t>acciones</w:t>
      </w:r>
      <w:r>
        <w:rPr>
          <w:color w:val="231F20"/>
          <w:spacing w:val="-12"/>
        </w:rPr>
        <w:t> </w:t>
      </w:r>
      <w:r>
        <w:rPr>
          <w:color w:val="231F20"/>
          <w:spacing w:val="-4"/>
        </w:rPr>
        <w:t>presenciales</w:t>
      </w:r>
      <w:r>
        <w:rPr>
          <w:color w:val="231F20"/>
          <w:spacing w:val="-12"/>
        </w:rPr>
        <w:t> </w:t>
      </w:r>
      <w:r>
        <w:rPr>
          <w:color w:val="231F20"/>
          <w:spacing w:val="-4"/>
        </w:rPr>
        <w:t>como</w:t>
      </w:r>
      <w:r>
        <w:rPr>
          <w:color w:val="231F20"/>
          <w:spacing w:val="-12"/>
        </w:rPr>
        <w:t> </w:t>
      </w:r>
      <w:r>
        <w:rPr>
          <w:color w:val="231F20"/>
          <w:spacing w:val="-4"/>
        </w:rPr>
        <w:t>desde </w:t>
      </w:r>
      <w:r>
        <w:rPr>
          <w:color w:val="231F20"/>
          <w:spacing w:val="-6"/>
        </w:rPr>
        <w:t>plataformas</w:t>
      </w:r>
      <w:r>
        <w:rPr>
          <w:color w:val="231F20"/>
          <w:spacing w:val="-11"/>
        </w:rPr>
        <w:t> </w:t>
      </w:r>
      <w:r>
        <w:rPr>
          <w:color w:val="231F20"/>
          <w:spacing w:val="-6"/>
        </w:rPr>
        <w:t>digitales,</w:t>
      </w:r>
      <w:r>
        <w:rPr>
          <w:color w:val="231F20"/>
          <w:spacing w:val="-10"/>
        </w:rPr>
        <w:t> </w:t>
      </w:r>
      <w:r>
        <w:rPr>
          <w:color w:val="231F20"/>
          <w:spacing w:val="-6"/>
        </w:rPr>
        <w:t>a</w:t>
      </w:r>
      <w:r>
        <w:rPr>
          <w:color w:val="231F20"/>
          <w:spacing w:val="-11"/>
        </w:rPr>
        <w:t> </w:t>
      </w:r>
      <w:r>
        <w:rPr>
          <w:color w:val="231F20"/>
          <w:spacing w:val="-6"/>
        </w:rPr>
        <w:t>través</w:t>
      </w:r>
      <w:r>
        <w:rPr>
          <w:color w:val="231F20"/>
          <w:spacing w:val="-10"/>
        </w:rPr>
        <w:t> </w:t>
      </w:r>
      <w:r>
        <w:rPr>
          <w:color w:val="231F20"/>
          <w:spacing w:val="-6"/>
        </w:rPr>
        <w:t>de</w:t>
      </w:r>
      <w:r>
        <w:rPr>
          <w:color w:val="231F20"/>
          <w:spacing w:val="-11"/>
        </w:rPr>
        <w:t> </w:t>
      </w:r>
      <w:r>
        <w:rPr>
          <w:color w:val="231F20"/>
          <w:spacing w:val="-6"/>
        </w:rPr>
        <w:t>más</w:t>
      </w:r>
      <w:r>
        <w:rPr>
          <w:color w:val="231F20"/>
          <w:spacing w:val="-10"/>
        </w:rPr>
        <w:t> </w:t>
      </w:r>
      <w:r>
        <w:rPr>
          <w:color w:val="231F20"/>
          <w:spacing w:val="-6"/>
        </w:rPr>
        <w:t>de</w:t>
      </w:r>
      <w:r>
        <w:rPr>
          <w:color w:val="231F20"/>
          <w:spacing w:val="-11"/>
        </w:rPr>
        <w:t> </w:t>
      </w:r>
      <w:r>
        <w:rPr>
          <w:color w:val="231F20"/>
          <w:spacing w:val="-6"/>
        </w:rPr>
        <w:t>mil </w:t>
      </w:r>
      <w:r>
        <w:rPr>
          <w:color w:val="231F20"/>
          <w:spacing w:val="-4"/>
        </w:rPr>
        <w:t>649</w:t>
      </w:r>
      <w:r>
        <w:rPr>
          <w:color w:val="231F20"/>
          <w:spacing w:val="-13"/>
        </w:rPr>
        <w:t> </w:t>
      </w:r>
      <w:r>
        <w:rPr>
          <w:color w:val="231F20"/>
          <w:spacing w:val="-4"/>
        </w:rPr>
        <w:t>asociaciones</w:t>
      </w:r>
      <w:r>
        <w:rPr>
          <w:color w:val="231F20"/>
          <w:spacing w:val="-12"/>
        </w:rPr>
        <w:t> </w:t>
      </w:r>
      <w:r>
        <w:rPr>
          <w:color w:val="231F20"/>
          <w:spacing w:val="-4"/>
        </w:rPr>
        <w:t>de</w:t>
      </w:r>
      <w:r>
        <w:rPr>
          <w:color w:val="231F20"/>
          <w:spacing w:val="-13"/>
        </w:rPr>
        <w:t> </w:t>
      </w:r>
      <w:r>
        <w:rPr>
          <w:color w:val="231F20"/>
          <w:spacing w:val="-4"/>
        </w:rPr>
        <w:t>amistad</w:t>
      </w:r>
      <w:r>
        <w:rPr>
          <w:color w:val="231F20"/>
          <w:spacing w:val="-12"/>
        </w:rPr>
        <w:t> </w:t>
      </w:r>
      <w:r>
        <w:rPr>
          <w:color w:val="231F20"/>
          <w:spacing w:val="-4"/>
        </w:rPr>
        <w:t>que</w:t>
      </w:r>
      <w:r>
        <w:rPr>
          <w:color w:val="231F20"/>
          <w:spacing w:val="-13"/>
        </w:rPr>
        <w:t> </w:t>
      </w:r>
      <w:r>
        <w:rPr>
          <w:color w:val="231F20"/>
          <w:spacing w:val="-4"/>
        </w:rPr>
        <w:t>funcionan </w:t>
      </w:r>
      <w:r>
        <w:rPr>
          <w:color w:val="231F20"/>
        </w:rPr>
        <w:t>en 150 naciones y 73 agrupaciones de egresados de las instituciones educativas cubanas</w:t>
      </w:r>
      <w:r>
        <w:rPr>
          <w:color w:val="231F20"/>
          <w:spacing w:val="-2"/>
        </w:rPr>
        <w:t> </w:t>
      </w:r>
      <w:r>
        <w:rPr>
          <w:color w:val="231F20"/>
        </w:rPr>
        <w:t>en</w:t>
      </w:r>
      <w:r>
        <w:rPr>
          <w:color w:val="231F20"/>
          <w:spacing w:val="-2"/>
        </w:rPr>
        <w:t> </w:t>
      </w:r>
      <w:r>
        <w:rPr>
          <w:color w:val="231F20"/>
        </w:rPr>
        <w:t>62</w:t>
      </w:r>
      <w:r>
        <w:rPr>
          <w:color w:val="231F20"/>
          <w:spacing w:val="-2"/>
        </w:rPr>
        <w:t> </w:t>
      </w:r>
      <w:r>
        <w:rPr>
          <w:color w:val="231F20"/>
        </w:rPr>
        <w:t>países.</w:t>
      </w:r>
    </w:p>
    <w:p>
      <w:pPr>
        <w:pStyle w:val="BodyText"/>
        <w:spacing w:before="167"/>
        <w:ind w:left="1474"/>
      </w:pPr>
      <w:r>
        <w:rPr>
          <w:color w:val="231F20"/>
          <w:spacing w:val="-4"/>
        </w:rPr>
        <w:t>Se</w:t>
      </w:r>
      <w:r>
        <w:rPr>
          <w:color w:val="231F20"/>
          <w:spacing w:val="-13"/>
        </w:rPr>
        <w:t> </w:t>
      </w:r>
      <w:r>
        <w:rPr>
          <w:color w:val="231F20"/>
          <w:spacing w:val="-4"/>
        </w:rPr>
        <w:t>registraron</w:t>
      </w:r>
      <w:r>
        <w:rPr>
          <w:color w:val="231F20"/>
          <w:spacing w:val="-12"/>
        </w:rPr>
        <w:t> </w:t>
      </w:r>
      <w:r>
        <w:rPr>
          <w:color w:val="231F20"/>
          <w:spacing w:val="-4"/>
        </w:rPr>
        <w:t>7237</w:t>
      </w:r>
      <w:r>
        <w:rPr>
          <w:color w:val="231F20"/>
          <w:spacing w:val="-13"/>
        </w:rPr>
        <w:t> </w:t>
      </w:r>
      <w:r>
        <w:rPr>
          <w:color w:val="231F20"/>
          <w:spacing w:val="-4"/>
        </w:rPr>
        <w:t>acciones</w:t>
      </w:r>
      <w:r>
        <w:rPr>
          <w:color w:val="231F20"/>
          <w:spacing w:val="-12"/>
        </w:rPr>
        <w:t> </w:t>
      </w:r>
      <w:r>
        <w:rPr>
          <w:color w:val="231F20"/>
          <w:spacing w:val="-4"/>
        </w:rPr>
        <w:t>de</w:t>
      </w:r>
      <w:r>
        <w:rPr>
          <w:color w:val="231F20"/>
          <w:spacing w:val="-13"/>
        </w:rPr>
        <w:t> </w:t>
      </w:r>
      <w:r>
        <w:rPr>
          <w:color w:val="231F20"/>
          <w:spacing w:val="-4"/>
        </w:rPr>
        <w:t>solidaridad con</w:t>
      </w:r>
      <w:r>
        <w:rPr>
          <w:color w:val="231F20"/>
          <w:spacing w:val="-12"/>
        </w:rPr>
        <w:t> </w:t>
      </w:r>
      <w:r>
        <w:rPr>
          <w:color w:val="231F20"/>
          <w:spacing w:val="-4"/>
        </w:rPr>
        <w:t>Cuba</w:t>
      </w:r>
      <w:r>
        <w:rPr>
          <w:color w:val="231F20"/>
          <w:spacing w:val="-12"/>
        </w:rPr>
        <w:t> </w:t>
      </w:r>
      <w:r>
        <w:rPr>
          <w:color w:val="231F20"/>
          <w:spacing w:val="-4"/>
        </w:rPr>
        <w:t>y</w:t>
      </w:r>
      <w:r>
        <w:rPr>
          <w:color w:val="231F20"/>
          <w:spacing w:val="-12"/>
        </w:rPr>
        <w:t> </w:t>
      </w:r>
      <w:r>
        <w:rPr>
          <w:color w:val="231F20"/>
          <w:spacing w:val="-4"/>
        </w:rPr>
        <w:t>de</w:t>
      </w:r>
      <w:r>
        <w:rPr>
          <w:color w:val="231F20"/>
          <w:spacing w:val="-12"/>
        </w:rPr>
        <w:t> </w:t>
      </w:r>
      <w:r>
        <w:rPr>
          <w:color w:val="231F20"/>
          <w:spacing w:val="-4"/>
        </w:rPr>
        <w:t>rechazo</w:t>
      </w:r>
      <w:r>
        <w:rPr>
          <w:color w:val="231F20"/>
          <w:spacing w:val="-12"/>
        </w:rPr>
        <w:t> </w:t>
      </w:r>
      <w:r>
        <w:rPr>
          <w:color w:val="231F20"/>
          <w:spacing w:val="-4"/>
        </w:rPr>
        <w:t>al</w:t>
      </w:r>
      <w:r>
        <w:rPr>
          <w:color w:val="231F20"/>
          <w:spacing w:val="-12"/>
        </w:rPr>
        <w:t> </w:t>
      </w:r>
      <w:r>
        <w:rPr>
          <w:color w:val="231F20"/>
          <w:spacing w:val="-4"/>
        </w:rPr>
        <w:t>bloqueo,</w:t>
      </w:r>
      <w:r>
        <w:rPr>
          <w:color w:val="231F20"/>
          <w:spacing w:val="-12"/>
        </w:rPr>
        <w:t> </w:t>
      </w:r>
      <w:r>
        <w:rPr>
          <w:color w:val="231F20"/>
          <w:spacing w:val="-4"/>
        </w:rPr>
        <w:t>entre</w:t>
      </w:r>
      <w:r>
        <w:rPr>
          <w:color w:val="231F20"/>
          <w:spacing w:val="-12"/>
        </w:rPr>
        <w:t> </w:t>
      </w:r>
      <w:r>
        <w:rPr>
          <w:color w:val="231F20"/>
          <w:spacing w:val="-4"/>
        </w:rPr>
        <w:t>las que</w:t>
      </w:r>
      <w:r>
        <w:rPr>
          <w:color w:val="231F20"/>
          <w:spacing w:val="-13"/>
        </w:rPr>
        <w:t> </w:t>
      </w:r>
      <w:r>
        <w:rPr>
          <w:color w:val="231F20"/>
          <w:spacing w:val="-4"/>
        </w:rPr>
        <w:t>destacan</w:t>
      </w:r>
      <w:r>
        <w:rPr>
          <w:color w:val="231F20"/>
          <w:spacing w:val="-12"/>
        </w:rPr>
        <w:t> </w:t>
      </w:r>
      <w:r>
        <w:rPr>
          <w:color w:val="231F20"/>
          <w:spacing w:val="-4"/>
        </w:rPr>
        <w:t>declaraciones</w:t>
      </w:r>
      <w:r>
        <w:rPr>
          <w:color w:val="231F20"/>
          <w:spacing w:val="-13"/>
        </w:rPr>
        <w:t> </w:t>
      </w:r>
      <w:r>
        <w:rPr>
          <w:color w:val="231F20"/>
          <w:spacing w:val="-4"/>
        </w:rPr>
        <w:t>de</w:t>
      </w:r>
      <w:r>
        <w:rPr>
          <w:color w:val="231F20"/>
          <w:spacing w:val="-12"/>
        </w:rPr>
        <w:t> </w:t>
      </w:r>
      <w:r>
        <w:rPr>
          <w:color w:val="231F20"/>
          <w:spacing w:val="-4"/>
        </w:rPr>
        <w:t>importantes </w:t>
      </w:r>
      <w:r>
        <w:rPr>
          <w:color w:val="231F20"/>
        </w:rPr>
        <w:t>personalidades, cubanos residentes en el exterior, las caravanas contra el bloqueo llevadas a cabo en numerosos países, eventos públicos, discursos en eventos internacionales, envío de cartas abiertas, aprobación de resoluciones, entre otros.</w:t>
      </w:r>
    </w:p>
    <w:p>
      <w:pPr>
        <w:pStyle w:val="BodyText"/>
        <w:spacing w:before="167"/>
        <w:ind w:left="1474"/>
      </w:pPr>
      <w:r>
        <w:rPr>
          <w:color w:val="231F20"/>
        </w:rPr>
        <w:t>Asimismo, se contabilizaron más de </w:t>
      </w:r>
      <w:r>
        <w:rPr>
          <w:color w:val="231F20"/>
        </w:rPr>
        <w:t>400 pronunciamientos en contra del Título III de</w:t>
      </w:r>
      <w:r>
        <w:rPr>
          <w:color w:val="231F20"/>
          <w:spacing w:val="24"/>
        </w:rPr>
        <w:t> </w:t>
      </w:r>
      <w:r>
        <w:rPr>
          <w:color w:val="231F20"/>
        </w:rPr>
        <w:t>la</w:t>
      </w:r>
      <w:r>
        <w:rPr>
          <w:color w:val="231F20"/>
          <w:spacing w:val="24"/>
        </w:rPr>
        <w:t> </w:t>
      </w:r>
      <w:r>
        <w:rPr>
          <w:color w:val="231F20"/>
        </w:rPr>
        <w:t>Ley</w:t>
      </w:r>
      <w:r>
        <w:rPr>
          <w:color w:val="231F20"/>
          <w:spacing w:val="24"/>
        </w:rPr>
        <w:t> </w:t>
      </w:r>
      <w:r>
        <w:rPr>
          <w:color w:val="231F20"/>
        </w:rPr>
        <w:t>Helms-Burton</w:t>
      </w:r>
      <w:r>
        <w:rPr>
          <w:color w:val="231F20"/>
          <w:spacing w:val="24"/>
        </w:rPr>
        <w:t> </w:t>
      </w:r>
      <w:r>
        <w:rPr>
          <w:color w:val="231F20"/>
        </w:rPr>
        <w:t>y</w:t>
      </w:r>
      <w:r>
        <w:rPr>
          <w:color w:val="231F20"/>
          <w:spacing w:val="24"/>
        </w:rPr>
        <w:t> </w:t>
      </w:r>
      <w:r>
        <w:rPr>
          <w:color w:val="231F20"/>
        </w:rPr>
        <w:t>de</w:t>
      </w:r>
      <w:r>
        <w:rPr>
          <w:color w:val="231F20"/>
          <w:spacing w:val="24"/>
        </w:rPr>
        <w:t> </w:t>
      </w:r>
      <w:r>
        <w:rPr>
          <w:color w:val="231F20"/>
        </w:rPr>
        <w:t>la</w:t>
      </w:r>
      <w:r>
        <w:rPr>
          <w:color w:val="231F20"/>
          <w:spacing w:val="24"/>
        </w:rPr>
        <w:t> </w:t>
      </w:r>
      <w:r>
        <w:rPr>
          <w:color w:val="231F20"/>
          <w:spacing w:val="-2"/>
        </w:rPr>
        <w:t>arbitraria</w:t>
      </w:r>
    </w:p>
    <w:p>
      <w:pPr>
        <w:pStyle w:val="BodyText"/>
        <w:spacing w:before="77"/>
        <w:ind w:left="412" w:right="1131"/>
      </w:pPr>
      <w:r>
        <w:rPr/>
        <w:br w:type="column"/>
      </w:r>
      <w:r>
        <w:rPr>
          <w:color w:val="231F20"/>
        </w:rPr>
        <w:t>inclusión de Cuba en la lista unilateral de Estados patrocinadores del terrorismo.</w:t>
      </w:r>
    </w:p>
    <w:p>
      <w:pPr>
        <w:pStyle w:val="BodyText"/>
        <w:spacing w:before="161"/>
        <w:ind w:left="412" w:right="1130"/>
      </w:pPr>
      <w:r>
        <w:rPr>
          <w:color w:val="231F20"/>
          <w:spacing w:val="-2"/>
        </w:rPr>
        <w:t>Resaltan</w:t>
      </w:r>
      <w:r>
        <w:rPr>
          <w:color w:val="231F20"/>
          <w:spacing w:val="-15"/>
        </w:rPr>
        <w:t> </w:t>
      </w:r>
      <w:r>
        <w:rPr>
          <w:color w:val="231F20"/>
          <w:spacing w:val="-2"/>
        </w:rPr>
        <w:t>las</w:t>
      </w:r>
      <w:r>
        <w:rPr>
          <w:color w:val="231F20"/>
          <w:spacing w:val="-14"/>
        </w:rPr>
        <w:t> </w:t>
      </w:r>
      <w:r>
        <w:rPr>
          <w:color w:val="231F20"/>
          <w:spacing w:val="-2"/>
        </w:rPr>
        <w:t>convocatorias</w:t>
      </w:r>
      <w:r>
        <w:rPr>
          <w:color w:val="231F20"/>
          <w:spacing w:val="-15"/>
        </w:rPr>
        <w:t> </w:t>
      </w:r>
      <w:r>
        <w:rPr>
          <w:color w:val="231F20"/>
          <w:spacing w:val="-2"/>
        </w:rPr>
        <w:t>de</w:t>
      </w:r>
      <w:r>
        <w:rPr>
          <w:color w:val="231F20"/>
          <w:spacing w:val="-14"/>
        </w:rPr>
        <w:t> </w:t>
      </w:r>
      <w:r>
        <w:rPr>
          <w:color w:val="231F20"/>
          <w:spacing w:val="-2"/>
        </w:rPr>
        <w:t>la</w:t>
      </w:r>
      <w:r>
        <w:rPr>
          <w:color w:val="231F20"/>
          <w:spacing w:val="-15"/>
        </w:rPr>
        <w:t> </w:t>
      </w:r>
      <w:r>
        <w:rPr>
          <w:color w:val="231F20"/>
          <w:spacing w:val="-2"/>
        </w:rPr>
        <w:t>Plataforma </w:t>
      </w:r>
      <w:r>
        <w:rPr>
          <w:color w:val="231F20"/>
        </w:rPr>
        <w:t>“Puentes de Amor”, la Red Continental Latinoamericana y Caribeña, Unblock Cuba, la iniciativa “De Australia a Cuba con Amor” y el Maratón Mediático contra el Bloqueo, convocado por la plataforma “Europa por Cuba”.</w:t>
      </w:r>
    </w:p>
    <w:p>
      <w:pPr>
        <w:pStyle w:val="BodyText"/>
        <w:spacing w:before="166"/>
        <w:ind w:left="412" w:right="1131"/>
      </w:pPr>
      <w:r>
        <w:rPr>
          <w:color w:val="231F20"/>
        </w:rPr>
        <w:t>A</w:t>
      </w:r>
      <w:r>
        <w:rPr>
          <w:color w:val="231F20"/>
          <w:spacing w:val="40"/>
        </w:rPr>
        <w:t> </w:t>
      </w:r>
      <w:r>
        <w:rPr>
          <w:color w:val="231F20"/>
        </w:rPr>
        <w:t>continuación,</w:t>
      </w:r>
      <w:r>
        <w:rPr>
          <w:color w:val="231F20"/>
          <w:spacing w:val="40"/>
        </w:rPr>
        <w:t> </w:t>
      </w:r>
      <w:r>
        <w:rPr>
          <w:color w:val="231F20"/>
        </w:rPr>
        <w:t>se</w:t>
      </w:r>
      <w:r>
        <w:rPr>
          <w:color w:val="231F20"/>
          <w:spacing w:val="40"/>
        </w:rPr>
        <w:t> </w:t>
      </w:r>
      <w:r>
        <w:rPr>
          <w:color w:val="231F20"/>
        </w:rPr>
        <w:t>relacionan</w:t>
      </w:r>
      <w:r>
        <w:rPr>
          <w:color w:val="231F20"/>
          <w:spacing w:val="40"/>
        </w:rPr>
        <w:t> </w:t>
      </w:r>
      <w:r>
        <w:rPr>
          <w:color w:val="231F20"/>
        </w:rPr>
        <w:t>algunas</w:t>
      </w:r>
      <w:r>
        <w:rPr>
          <w:color w:val="231F20"/>
          <w:spacing w:val="40"/>
        </w:rPr>
        <w:t> </w:t>
      </w:r>
      <w:r>
        <w:rPr>
          <w:color w:val="231F20"/>
        </w:rPr>
        <w:t>de las acciones internacionales más relevantes de denuncia contra el bloqueo en el periodo comprendido entre </w:t>
      </w:r>
      <w:r>
        <w:rPr>
          <w:color w:val="231F20"/>
        </w:rPr>
        <w:t>marzo de 2022 y mayo de 2023:</w:t>
      </w:r>
    </w:p>
    <w:p>
      <w:pPr>
        <w:pStyle w:val="BodyText"/>
        <w:spacing w:before="164"/>
        <w:ind w:left="673" w:right="1131" w:hanging="261"/>
      </w:pPr>
      <w:r>
        <w:rPr>
          <w:position w:val="4"/>
        </w:rPr>
        <w:drawing>
          <wp:inline distT="0" distB="0" distL="0" distR="0">
            <wp:extent cx="59207" cy="59207"/>
            <wp:effectExtent l="0" t="0" r="0" b="0"/>
            <wp:docPr id="115" name="Image 115"/>
            <wp:cNvGraphicFramePr>
              <a:graphicFrameLocks/>
            </wp:cNvGraphicFramePr>
            <a:graphic>
              <a:graphicData uri="http://schemas.openxmlformats.org/drawingml/2006/picture">
                <pic:pic>
                  <pic:nvPicPr>
                    <pic:cNvPr id="115" name="Image 115"/>
                    <pic:cNvPicPr/>
                  </pic:nvPicPr>
                  <pic:blipFill>
                    <a:blip r:embed="rId11"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80"/>
          <w:sz w:val="20"/>
        </w:rPr>
        <w:t> </w:t>
      </w:r>
      <w:r>
        <w:rPr>
          <w:b/>
          <w:color w:val="1A4796"/>
        </w:rPr>
        <w:t>Del</w:t>
      </w:r>
      <w:r>
        <w:rPr>
          <w:b/>
          <w:color w:val="1A4796"/>
          <w:spacing w:val="-14"/>
        </w:rPr>
        <w:t> </w:t>
      </w:r>
      <w:r>
        <w:rPr>
          <w:b/>
          <w:color w:val="1A4796"/>
        </w:rPr>
        <w:t>6</w:t>
      </w:r>
      <w:r>
        <w:rPr>
          <w:b/>
          <w:color w:val="1A4796"/>
          <w:spacing w:val="-14"/>
        </w:rPr>
        <w:t> </w:t>
      </w:r>
      <w:r>
        <w:rPr>
          <w:b/>
          <w:color w:val="1A4796"/>
        </w:rPr>
        <w:t>al</w:t>
      </w:r>
      <w:r>
        <w:rPr>
          <w:b/>
          <w:color w:val="1A4796"/>
          <w:spacing w:val="-14"/>
        </w:rPr>
        <w:t> </w:t>
      </w:r>
      <w:r>
        <w:rPr>
          <w:b/>
          <w:color w:val="1A4796"/>
        </w:rPr>
        <w:t>8</w:t>
      </w:r>
      <w:r>
        <w:rPr>
          <w:b/>
          <w:color w:val="1A4796"/>
          <w:spacing w:val="-14"/>
        </w:rPr>
        <w:t> </w:t>
      </w:r>
      <w:r>
        <w:rPr>
          <w:b/>
          <w:color w:val="1A4796"/>
        </w:rPr>
        <w:t>de</w:t>
      </w:r>
      <w:r>
        <w:rPr>
          <w:b/>
          <w:color w:val="1A4796"/>
          <w:spacing w:val="-14"/>
        </w:rPr>
        <w:t> </w:t>
      </w:r>
      <w:r>
        <w:rPr>
          <w:b/>
          <w:color w:val="1A4796"/>
        </w:rPr>
        <w:t>mayo</w:t>
      </w:r>
      <w:r>
        <w:rPr>
          <w:b/>
          <w:color w:val="1A4796"/>
          <w:spacing w:val="-14"/>
        </w:rPr>
        <w:t> </w:t>
      </w:r>
      <w:r>
        <w:rPr>
          <w:b/>
          <w:color w:val="1A4796"/>
        </w:rPr>
        <w:t>de</w:t>
      </w:r>
      <w:r>
        <w:rPr>
          <w:b/>
          <w:color w:val="1A4796"/>
          <w:spacing w:val="-14"/>
        </w:rPr>
        <w:t> </w:t>
      </w:r>
      <w:r>
        <w:rPr>
          <w:b/>
          <w:color w:val="1A4796"/>
        </w:rPr>
        <w:t>2022,</w:t>
      </w:r>
      <w:r>
        <w:rPr>
          <w:b/>
          <w:color w:val="1A4796"/>
          <w:spacing w:val="-14"/>
        </w:rPr>
        <w:t> </w:t>
      </w:r>
      <w:r>
        <w:rPr>
          <w:color w:val="231F20"/>
        </w:rPr>
        <w:t>se</w:t>
      </w:r>
      <w:r>
        <w:rPr>
          <w:color w:val="231F20"/>
          <w:spacing w:val="-13"/>
        </w:rPr>
        <w:t> </w:t>
      </w:r>
      <w:r>
        <w:rPr>
          <w:color w:val="231F20"/>
        </w:rPr>
        <w:t>celebró en Roma, Italia, el 18 Congreso de </w:t>
      </w:r>
      <w:r>
        <w:rPr>
          <w:color w:val="231F20"/>
        </w:rPr>
        <w:t>la Federación</w:t>
      </w:r>
      <w:r>
        <w:rPr>
          <w:color w:val="231F20"/>
          <w:spacing w:val="40"/>
        </w:rPr>
        <w:t> </w:t>
      </w:r>
      <w:r>
        <w:rPr>
          <w:color w:val="231F20"/>
        </w:rPr>
        <w:t>Sindical</w:t>
      </w:r>
      <w:r>
        <w:rPr>
          <w:color w:val="231F20"/>
          <w:spacing w:val="40"/>
        </w:rPr>
        <w:t> </w:t>
      </w:r>
      <w:r>
        <w:rPr>
          <w:color w:val="231F20"/>
        </w:rPr>
        <w:t>Mundial,</w:t>
      </w:r>
      <w:r>
        <w:rPr>
          <w:color w:val="231F20"/>
          <w:spacing w:val="40"/>
        </w:rPr>
        <w:t> </w:t>
      </w:r>
      <w:r>
        <w:rPr>
          <w:color w:val="231F20"/>
        </w:rPr>
        <w:t>donde</w:t>
      </w:r>
      <w:r>
        <w:rPr>
          <w:color w:val="231F20"/>
          <w:spacing w:val="40"/>
        </w:rPr>
        <w:t> </w:t>
      </w:r>
      <w:r>
        <w:rPr>
          <w:color w:val="231F20"/>
        </w:rPr>
        <w:t>se aprobó una resolución de apoyo a Cuba,</w:t>
      </w:r>
      <w:r>
        <w:rPr>
          <w:color w:val="231F20"/>
          <w:spacing w:val="-1"/>
        </w:rPr>
        <w:t> </w:t>
      </w:r>
      <w:r>
        <w:rPr>
          <w:color w:val="231F20"/>
        </w:rPr>
        <w:t>en</w:t>
      </w:r>
      <w:r>
        <w:rPr>
          <w:color w:val="231F20"/>
          <w:spacing w:val="-1"/>
        </w:rPr>
        <w:t> </w:t>
      </w:r>
      <w:r>
        <w:rPr>
          <w:color w:val="231F20"/>
        </w:rPr>
        <w:t>la</w:t>
      </w:r>
      <w:r>
        <w:rPr>
          <w:color w:val="231F20"/>
          <w:spacing w:val="-1"/>
        </w:rPr>
        <w:t> </w:t>
      </w:r>
      <w:r>
        <w:rPr>
          <w:color w:val="231F20"/>
        </w:rPr>
        <w:t>que</w:t>
      </w:r>
      <w:r>
        <w:rPr>
          <w:color w:val="231F20"/>
          <w:spacing w:val="-1"/>
        </w:rPr>
        <w:t> </w:t>
      </w:r>
      <w:r>
        <w:rPr>
          <w:color w:val="231F20"/>
        </w:rPr>
        <w:t>se</w:t>
      </w:r>
      <w:r>
        <w:rPr>
          <w:color w:val="231F20"/>
          <w:spacing w:val="-1"/>
        </w:rPr>
        <w:t> </w:t>
      </w:r>
      <w:r>
        <w:rPr>
          <w:color w:val="231F20"/>
        </w:rPr>
        <w:t>condenó</w:t>
      </w:r>
      <w:r>
        <w:rPr>
          <w:color w:val="231F20"/>
          <w:spacing w:val="-1"/>
        </w:rPr>
        <w:t> </w:t>
      </w:r>
      <w:r>
        <w:rPr>
          <w:color w:val="231F20"/>
        </w:rPr>
        <w:t>el</w:t>
      </w:r>
      <w:r>
        <w:rPr>
          <w:color w:val="231F20"/>
          <w:spacing w:val="-1"/>
        </w:rPr>
        <w:t> </w:t>
      </w:r>
      <w:r>
        <w:rPr>
          <w:color w:val="231F20"/>
        </w:rPr>
        <w:t>bloqueo y la inclusión del país en la lista de Estados patrocinadores del terrorismo.</w:t>
      </w:r>
    </w:p>
    <w:p>
      <w:pPr>
        <w:pStyle w:val="BodyText"/>
        <w:spacing w:before="165"/>
        <w:ind w:left="673" w:right="1132" w:hanging="261"/>
      </w:pPr>
      <w:r>
        <w:rPr>
          <w:position w:val="4"/>
        </w:rPr>
        <w:drawing>
          <wp:inline distT="0" distB="0" distL="0" distR="0">
            <wp:extent cx="59207" cy="59207"/>
            <wp:effectExtent l="0" t="0" r="0" b="0"/>
            <wp:docPr id="116" name="Image 116"/>
            <wp:cNvGraphicFramePr>
              <a:graphicFrameLocks/>
            </wp:cNvGraphicFramePr>
            <a:graphic>
              <a:graphicData uri="http://schemas.openxmlformats.org/drawingml/2006/picture">
                <pic:pic>
                  <pic:nvPicPr>
                    <pic:cNvPr id="116" name="Image 116"/>
                    <pic:cNvPicPr/>
                  </pic:nvPicPr>
                  <pic:blipFill>
                    <a:blip r:embed="rId11"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13"/>
          <w:sz w:val="20"/>
        </w:rPr>
        <w:t> </w:t>
      </w:r>
      <w:r>
        <w:rPr>
          <w:b/>
          <w:color w:val="1A4796"/>
          <w:spacing w:val="-8"/>
        </w:rPr>
        <w:t>El</w:t>
      </w:r>
      <w:r>
        <w:rPr>
          <w:b/>
          <w:color w:val="1A4796"/>
          <w:spacing w:val="-9"/>
        </w:rPr>
        <w:t> </w:t>
      </w:r>
      <w:r>
        <w:rPr>
          <w:b/>
          <w:color w:val="1A4796"/>
          <w:spacing w:val="-8"/>
        </w:rPr>
        <w:t>18 de</w:t>
      </w:r>
      <w:r>
        <w:rPr>
          <w:b/>
          <w:color w:val="1A4796"/>
          <w:spacing w:val="-9"/>
        </w:rPr>
        <w:t> </w:t>
      </w:r>
      <w:r>
        <w:rPr>
          <w:b/>
          <w:color w:val="1A4796"/>
          <w:spacing w:val="-8"/>
        </w:rPr>
        <w:t>mayo de</w:t>
      </w:r>
      <w:r>
        <w:rPr>
          <w:b/>
          <w:color w:val="1A4796"/>
          <w:spacing w:val="-9"/>
        </w:rPr>
        <w:t> </w:t>
      </w:r>
      <w:r>
        <w:rPr>
          <w:b/>
          <w:color w:val="1A4796"/>
          <w:spacing w:val="-8"/>
        </w:rPr>
        <w:t>2022, </w:t>
      </w:r>
      <w:r>
        <w:rPr>
          <w:color w:val="231F20"/>
          <w:spacing w:val="-8"/>
        </w:rPr>
        <w:t>el</w:t>
      </w:r>
      <w:r>
        <w:rPr>
          <w:color w:val="231F20"/>
          <w:spacing w:val="-9"/>
        </w:rPr>
        <w:t> </w:t>
      </w:r>
      <w:r>
        <w:rPr>
          <w:color w:val="231F20"/>
          <w:spacing w:val="-8"/>
        </w:rPr>
        <w:t>Comunicado de </w:t>
      </w:r>
      <w:r>
        <w:rPr>
          <w:color w:val="231F20"/>
          <w:spacing w:val="-2"/>
        </w:rPr>
        <w:t>la</w:t>
      </w:r>
      <w:r>
        <w:rPr>
          <w:color w:val="231F20"/>
          <w:spacing w:val="-14"/>
        </w:rPr>
        <w:t> </w:t>
      </w:r>
      <w:r>
        <w:rPr>
          <w:color w:val="231F20"/>
          <w:spacing w:val="-2"/>
        </w:rPr>
        <w:t>25</w:t>
      </w:r>
      <w:r>
        <w:rPr>
          <w:color w:val="231F20"/>
          <w:spacing w:val="-15"/>
        </w:rPr>
        <w:t> </w:t>
      </w:r>
      <w:r>
        <w:rPr>
          <w:color w:val="231F20"/>
          <w:spacing w:val="-2"/>
        </w:rPr>
        <w:t>Reunión</w:t>
      </w:r>
      <w:r>
        <w:rPr>
          <w:color w:val="231F20"/>
          <w:spacing w:val="-13"/>
        </w:rPr>
        <w:t> </w:t>
      </w:r>
      <w:r>
        <w:rPr>
          <w:color w:val="231F20"/>
          <w:spacing w:val="-2"/>
        </w:rPr>
        <w:t>del</w:t>
      </w:r>
      <w:r>
        <w:rPr>
          <w:color w:val="231F20"/>
          <w:spacing w:val="-15"/>
        </w:rPr>
        <w:t> </w:t>
      </w:r>
      <w:r>
        <w:rPr>
          <w:color w:val="231F20"/>
          <w:spacing w:val="-2"/>
        </w:rPr>
        <w:t>Consejo</w:t>
      </w:r>
      <w:r>
        <w:rPr>
          <w:color w:val="231F20"/>
          <w:spacing w:val="-13"/>
        </w:rPr>
        <w:t> </w:t>
      </w:r>
      <w:r>
        <w:rPr>
          <w:color w:val="231F20"/>
          <w:spacing w:val="-2"/>
        </w:rPr>
        <w:t>de</w:t>
      </w:r>
      <w:r>
        <w:rPr>
          <w:color w:val="231F20"/>
          <w:spacing w:val="-14"/>
        </w:rPr>
        <w:t> </w:t>
      </w:r>
      <w:r>
        <w:rPr>
          <w:color w:val="231F20"/>
          <w:spacing w:val="-2"/>
        </w:rPr>
        <w:t>Relaciones </w:t>
      </w:r>
      <w:r>
        <w:rPr>
          <w:color w:val="231F20"/>
        </w:rPr>
        <w:t>Exteriores y Comunitarias (COFCOR)</w:t>
      </w:r>
      <w:r>
        <w:rPr>
          <w:color w:val="231F20"/>
          <w:spacing w:val="80"/>
        </w:rPr>
        <w:t> </w:t>
      </w:r>
      <w:r>
        <w:rPr>
          <w:color w:val="231F20"/>
        </w:rPr>
        <w:t>de CARICOM incluyó nuevamente una condena al bloqueo contra Cuba y abogó</w:t>
      </w:r>
      <w:r>
        <w:rPr>
          <w:color w:val="231F20"/>
          <w:spacing w:val="-14"/>
        </w:rPr>
        <w:t> </w:t>
      </w:r>
      <w:r>
        <w:rPr>
          <w:color w:val="231F20"/>
        </w:rPr>
        <w:t>por</w:t>
      </w:r>
      <w:r>
        <w:rPr>
          <w:color w:val="231F20"/>
          <w:spacing w:val="-14"/>
        </w:rPr>
        <w:t> </w:t>
      </w:r>
      <w:r>
        <w:rPr>
          <w:color w:val="231F20"/>
        </w:rPr>
        <w:t>su</w:t>
      </w:r>
      <w:r>
        <w:rPr>
          <w:color w:val="231F20"/>
          <w:spacing w:val="-14"/>
        </w:rPr>
        <w:t> </w:t>
      </w:r>
      <w:r>
        <w:rPr>
          <w:color w:val="231F20"/>
        </w:rPr>
        <w:t>levantamiento</w:t>
      </w:r>
      <w:r>
        <w:rPr>
          <w:color w:val="231F20"/>
          <w:spacing w:val="-14"/>
        </w:rPr>
        <w:t> </w:t>
      </w:r>
      <w:r>
        <w:rPr>
          <w:color w:val="231F20"/>
        </w:rPr>
        <w:t>inmediato.</w:t>
      </w:r>
    </w:p>
    <w:p>
      <w:pPr>
        <w:pStyle w:val="BodyText"/>
        <w:spacing w:before="165"/>
        <w:ind w:left="673" w:right="1138" w:hanging="261"/>
      </w:pPr>
      <w:r>
        <w:rPr>
          <w:position w:val="4"/>
        </w:rPr>
        <w:drawing>
          <wp:inline distT="0" distB="0" distL="0" distR="0">
            <wp:extent cx="59207" cy="59207"/>
            <wp:effectExtent l="0" t="0" r="0" b="0"/>
            <wp:docPr id="117" name="Image 117"/>
            <wp:cNvGraphicFramePr>
              <a:graphicFrameLocks/>
            </wp:cNvGraphicFramePr>
            <a:graphic>
              <a:graphicData uri="http://schemas.openxmlformats.org/drawingml/2006/picture">
                <pic:pic>
                  <pic:nvPicPr>
                    <pic:cNvPr id="117" name="Image 117"/>
                    <pic:cNvPicPr/>
                  </pic:nvPicPr>
                  <pic:blipFill>
                    <a:blip r:embed="rId9"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4"/>
          <w:sz w:val="20"/>
        </w:rPr>
        <w:t> </w:t>
      </w:r>
      <w:r>
        <w:rPr>
          <w:b/>
          <w:color w:val="1A4796"/>
          <w:spacing w:val="-4"/>
        </w:rPr>
        <w:t>El</w:t>
      </w:r>
      <w:r>
        <w:rPr>
          <w:b/>
          <w:color w:val="1A4796"/>
          <w:spacing w:val="-12"/>
        </w:rPr>
        <w:t> </w:t>
      </w:r>
      <w:r>
        <w:rPr>
          <w:b/>
          <w:color w:val="1A4796"/>
          <w:spacing w:val="-4"/>
        </w:rPr>
        <w:t>27</w:t>
      </w:r>
      <w:r>
        <w:rPr>
          <w:b/>
          <w:color w:val="1A4796"/>
          <w:spacing w:val="-13"/>
        </w:rPr>
        <w:t> </w:t>
      </w:r>
      <w:r>
        <w:rPr>
          <w:b/>
          <w:color w:val="1A4796"/>
          <w:spacing w:val="-4"/>
        </w:rPr>
        <w:t>de</w:t>
      </w:r>
      <w:r>
        <w:rPr>
          <w:b/>
          <w:color w:val="1A4796"/>
          <w:spacing w:val="-13"/>
        </w:rPr>
        <w:t> </w:t>
      </w:r>
      <w:r>
        <w:rPr>
          <w:b/>
          <w:color w:val="1A4796"/>
          <w:spacing w:val="-4"/>
        </w:rPr>
        <w:t>mayo</w:t>
      </w:r>
      <w:r>
        <w:rPr>
          <w:b/>
          <w:color w:val="1A4796"/>
          <w:spacing w:val="-12"/>
        </w:rPr>
        <w:t> </w:t>
      </w:r>
      <w:r>
        <w:rPr>
          <w:b/>
          <w:color w:val="1A4796"/>
          <w:spacing w:val="-4"/>
        </w:rPr>
        <w:t>de</w:t>
      </w:r>
      <w:r>
        <w:rPr>
          <w:b/>
          <w:color w:val="1A4796"/>
          <w:spacing w:val="-13"/>
        </w:rPr>
        <w:t> </w:t>
      </w:r>
      <w:r>
        <w:rPr>
          <w:b/>
          <w:color w:val="1A4796"/>
          <w:spacing w:val="-4"/>
        </w:rPr>
        <w:t>2022,</w:t>
      </w:r>
      <w:r>
        <w:rPr>
          <w:b/>
          <w:color w:val="1A4796"/>
          <w:spacing w:val="-12"/>
        </w:rPr>
        <w:t> </w:t>
      </w:r>
      <w:r>
        <w:rPr>
          <w:color w:val="231F20"/>
          <w:spacing w:val="-4"/>
        </w:rPr>
        <w:t>en</w:t>
      </w:r>
      <w:r>
        <w:rPr>
          <w:color w:val="231F20"/>
          <w:spacing w:val="-13"/>
        </w:rPr>
        <w:t> </w:t>
      </w:r>
      <w:r>
        <w:rPr>
          <w:color w:val="231F20"/>
          <w:spacing w:val="-4"/>
        </w:rPr>
        <w:t>el</w:t>
      </w:r>
      <w:r>
        <w:rPr>
          <w:color w:val="231F20"/>
          <w:spacing w:val="-12"/>
        </w:rPr>
        <w:t> </w:t>
      </w:r>
      <w:r>
        <w:rPr>
          <w:color w:val="231F20"/>
          <w:spacing w:val="-4"/>
        </w:rPr>
        <w:t>marco</w:t>
      </w:r>
      <w:r>
        <w:rPr>
          <w:color w:val="231F20"/>
          <w:spacing w:val="-12"/>
        </w:rPr>
        <w:t> </w:t>
      </w:r>
      <w:r>
        <w:rPr>
          <w:color w:val="231F20"/>
          <w:spacing w:val="-4"/>
        </w:rPr>
        <w:t>de</w:t>
      </w:r>
      <w:r>
        <w:rPr>
          <w:color w:val="231F20"/>
          <w:spacing w:val="-13"/>
        </w:rPr>
        <w:t> </w:t>
      </w:r>
      <w:r>
        <w:rPr>
          <w:color w:val="231F20"/>
          <w:spacing w:val="-4"/>
        </w:rPr>
        <w:t>la </w:t>
      </w:r>
      <w:r>
        <w:rPr>
          <w:color w:val="231F20"/>
          <w:spacing w:val="-10"/>
        </w:rPr>
        <w:t>XXI</w:t>
      </w:r>
      <w:r>
        <w:rPr>
          <w:color w:val="231F20"/>
          <w:spacing w:val="-7"/>
        </w:rPr>
        <w:t> </w:t>
      </w:r>
      <w:r>
        <w:rPr>
          <w:color w:val="231F20"/>
          <w:spacing w:val="-10"/>
        </w:rPr>
        <w:t>Cumbre</w:t>
      </w:r>
      <w:r>
        <w:rPr>
          <w:color w:val="231F20"/>
          <w:spacing w:val="-6"/>
        </w:rPr>
        <w:t> </w:t>
      </w:r>
      <w:r>
        <w:rPr>
          <w:color w:val="231F20"/>
          <w:spacing w:val="-10"/>
        </w:rPr>
        <w:t>de</w:t>
      </w:r>
      <w:r>
        <w:rPr>
          <w:color w:val="231F20"/>
          <w:spacing w:val="-7"/>
        </w:rPr>
        <w:t> </w:t>
      </w:r>
      <w:r>
        <w:rPr>
          <w:color w:val="231F20"/>
          <w:spacing w:val="-10"/>
        </w:rPr>
        <w:t>Jefes</w:t>
      </w:r>
      <w:r>
        <w:rPr>
          <w:color w:val="231F20"/>
          <w:spacing w:val="-6"/>
        </w:rPr>
        <w:t> </w:t>
      </w:r>
      <w:r>
        <w:rPr>
          <w:color w:val="231F20"/>
          <w:spacing w:val="-10"/>
        </w:rPr>
        <w:t>de</w:t>
      </w:r>
      <w:r>
        <w:rPr>
          <w:color w:val="231F20"/>
          <w:spacing w:val="-7"/>
        </w:rPr>
        <w:t> </w:t>
      </w:r>
      <w:r>
        <w:rPr>
          <w:color w:val="231F20"/>
          <w:spacing w:val="-10"/>
        </w:rPr>
        <w:t>Estado</w:t>
      </w:r>
      <w:r>
        <w:rPr>
          <w:color w:val="231F20"/>
          <w:spacing w:val="-6"/>
        </w:rPr>
        <w:t> </w:t>
      </w:r>
      <w:r>
        <w:rPr>
          <w:color w:val="231F20"/>
          <w:spacing w:val="-10"/>
        </w:rPr>
        <w:t>y</w:t>
      </w:r>
      <w:r>
        <w:rPr>
          <w:color w:val="231F20"/>
          <w:spacing w:val="-7"/>
        </w:rPr>
        <w:t> </w:t>
      </w:r>
      <w:r>
        <w:rPr>
          <w:color w:val="231F20"/>
          <w:spacing w:val="-10"/>
        </w:rPr>
        <w:t>Gobierno </w:t>
      </w:r>
      <w:r>
        <w:rPr>
          <w:color w:val="231F20"/>
          <w:spacing w:val="-4"/>
        </w:rPr>
        <w:t>de</w:t>
      </w:r>
      <w:r>
        <w:rPr>
          <w:color w:val="231F20"/>
          <w:spacing w:val="-13"/>
        </w:rPr>
        <w:t> </w:t>
      </w:r>
      <w:r>
        <w:rPr>
          <w:color w:val="231F20"/>
          <w:spacing w:val="-4"/>
        </w:rPr>
        <w:t>la</w:t>
      </w:r>
      <w:r>
        <w:rPr>
          <w:color w:val="231F20"/>
          <w:spacing w:val="-12"/>
        </w:rPr>
        <w:t> </w:t>
      </w:r>
      <w:r>
        <w:rPr>
          <w:color w:val="231F20"/>
          <w:spacing w:val="-4"/>
        </w:rPr>
        <w:t>Alianza</w:t>
      </w:r>
      <w:r>
        <w:rPr>
          <w:color w:val="231F20"/>
          <w:spacing w:val="-13"/>
        </w:rPr>
        <w:t> </w:t>
      </w:r>
      <w:r>
        <w:rPr>
          <w:color w:val="231F20"/>
          <w:spacing w:val="-4"/>
        </w:rPr>
        <w:t>Bolivariana</w:t>
      </w:r>
      <w:r>
        <w:rPr>
          <w:color w:val="231F20"/>
          <w:spacing w:val="-12"/>
        </w:rPr>
        <w:t> </w:t>
      </w:r>
      <w:r>
        <w:rPr>
          <w:color w:val="231F20"/>
          <w:spacing w:val="-4"/>
        </w:rPr>
        <w:t>para</w:t>
      </w:r>
      <w:r>
        <w:rPr>
          <w:color w:val="231F20"/>
          <w:spacing w:val="-13"/>
        </w:rPr>
        <w:t> </w:t>
      </w:r>
      <w:r>
        <w:rPr>
          <w:color w:val="231F20"/>
          <w:spacing w:val="-4"/>
        </w:rPr>
        <w:t>los</w:t>
      </w:r>
      <w:r>
        <w:rPr>
          <w:color w:val="231F20"/>
          <w:spacing w:val="-12"/>
        </w:rPr>
        <w:t> </w:t>
      </w:r>
      <w:r>
        <w:rPr>
          <w:color w:val="231F20"/>
          <w:spacing w:val="-4"/>
        </w:rPr>
        <w:t>Pueblos </w:t>
      </w:r>
      <w:r>
        <w:rPr>
          <w:color w:val="231F20"/>
          <w:spacing w:val="-12"/>
        </w:rPr>
        <w:t>de</w:t>
      </w:r>
      <w:r>
        <w:rPr>
          <w:color w:val="231F20"/>
          <w:spacing w:val="-5"/>
        </w:rPr>
        <w:t> </w:t>
      </w:r>
      <w:r>
        <w:rPr>
          <w:color w:val="231F20"/>
          <w:spacing w:val="-12"/>
        </w:rPr>
        <w:t>Nuestra</w:t>
      </w:r>
      <w:r>
        <w:rPr>
          <w:color w:val="231F20"/>
          <w:spacing w:val="-4"/>
        </w:rPr>
        <w:t> </w:t>
      </w:r>
      <w:r>
        <w:rPr>
          <w:color w:val="231F20"/>
          <w:spacing w:val="-12"/>
        </w:rPr>
        <w:t>América</w:t>
      </w:r>
      <w:r>
        <w:rPr>
          <w:color w:val="231F20"/>
          <w:spacing w:val="-5"/>
        </w:rPr>
        <w:t> </w:t>
      </w:r>
      <w:r>
        <w:rPr>
          <w:color w:val="231F20"/>
          <w:spacing w:val="-12"/>
        </w:rPr>
        <w:t>–</w:t>
      </w:r>
      <w:r>
        <w:rPr>
          <w:color w:val="231F20"/>
          <w:spacing w:val="-4"/>
        </w:rPr>
        <w:t> </w:t>
      </w:r>
      <w:r>
        <w:rPr>
          <w:color w:val="231F20"/>
          <w:spacing w:val="-12"/>
        </w:rPr>
        <w:t>Tratado</w:t>
      </w:r>
      <w:r>
        <w:rPr>
          <w:color w:val="231F20"/>
          <w:spacing w:val="-5"/>
        </w:rPr>
        <w:t> </w:t>
      </w:r>
      <w:r>
        <w:rPr>
          <w:color w:val="231F20"/>
          <w:spacing w:val="-12"/>
        </w:rPr>
        <w:t>de</w:t>
      </w:r>
      <w:r>
        <w:rPr>
          <w:color w:val="231F20"/>
          <w:spacing w:val="-4"/>
        </w:rPr>
        <w:t> </w:t>
      </w:r>
      <w:r>
        <w:rPr>
          <w:color w:val="231F20"/>
          <w:spacing w:val="-12"/>
        </w:rPr>
        <w:t>Comercio </w:t>
      </w:r>
      <w:r>
        <w:rPr>
          <w:color w:val="231F20"/>
          <w:spacing w:val="-8"/>
        </w:rPr>
        <w:t>de los Pueblos (ALBA-TCP), en La Habana, </w:t>
      </w:r>
      <w:r>
        <w:rPr>
          <w:color w:val="231F20"/>
        </w:rPr>
        <w:t>se</w:t>
      </w:r>
      <w:r>
        <w:rPr>
          <w:color w:val="231F20"/>
          <w:spacing w:val="-13"/>
        </w:rPr>
        <w:t> </w:t>
      </w:r>
      <w:r>
        <w:rPr>
          <w:color w:val="231F20"/>
        </w:rPr>
        <w:t>aprobó</w:t>
      </w:r>
      <w:r>
        <w:rPr>
          <w:color w:val="231F20"/>
          <w:spacing w:val="-13"/>
        </w:rPr>
        <w:t> </w:t>
      </w:r>
      <w:r>
        <w:rPr>
          <w:color w:val="231F20"/>
        </w:rPr>
        <w:t>una</w:t>
      </w:r>
      <w:r>
        <w:rPr>
          <w:color w:val="231F20"/>
          <w:spacing w:val="-13"/>
        </w:rPr>
        <w:t> </w:t>
      </w:r>
      <w:r>
        <w:rPr>
          <w:color w:val="231F20"/>
        </w:rPr>
        <w:t>Declaración</w:t>
      </w:r>
      <w:r>
        <w:rPr>
          <w:color w:val="231F20"/>
          <w:spacing w:val="-13"/>
        </w:rPr>
        <w:t> </w:t>
      </w:r>
      <w:r>
        <w:rPr>
          <w:color w:val="231F20"/>
        </w:rPr>
        <w:t>que</w:t>
      </w:r>
      <w:r>
        <w:rPr>
          <w:color w:val="231F20"/>
          <w:spacing w:val="-13"/>
        </w:rPr>
        <w:t> </w:t>
      </w:r>
      <w:r>
        <w:rPr>
          <w:color w:val="231F20"/>
        </w:rPr>
        <w:t>rechazó la imposición de medidas coercitivas </w:t>
      </w:r>
      <w:r>
        <w:rPr>
          <w:color w:val="231F20"/>
          <w:spacing w:val="-8"/>
        </w:rPr>
        <w:t>unilaterales</w:t>
      </w:r>
      <w:r>
        <w:rPr>
          <w:color w:val="231F20"/>
          <w:spacing w:val="-9"/>
        </w:rPr>
        <w:t> </w:t>
      </w:r>
      <w:r>
        <w:rPr>
          <w:color w:val="231F20"/>
          <w:spacing w:val="-8"/>
        </w:rPr>
        <w:t>contra Venezuela</w:t>
      </w:r>
      <w:r>
        <w:rPr>
          <w:color w:val="231F20"/>
          <w:spacing w:val="-9"/>
        </w:rPr>
        <w:t> </w:t>
      </w:r>
      <w:r>
        <w:rPr>
          <w:color w:val="231F20"/>
          <w:spacing w:val="-8"/>
        </w:rPr>
        <w:t>y Nicaragua, </w:t>
      </w:r>
      <w:r>
        <w:rPr>
          <w:color w:val="231F20"/>
          <w:spacing w:val="-10"/>
        </w:rPr>
        <w:t>así</w:t>
      </w:r>
      <w:r>
        <w:rPr>
          <w:color w:val="231F20"/>
          <w:spacing w:val="-7"/>
        </w:rPr>
        <w:t> </w:t>
      </w:r>
      <w:r>
        <w:rPr>
          <w:color w:val="231F20"/>
          <w:spacing w:val="-10"/>
        </w:rPr>
        <w:t>como</w:t>
      </w:r>
      <w:r>
        <w:rPr>
          <w:color w:val="231F20"/>
          <w:spacing w:val="-6"/>
        </w:rPr>
        <w:t> </w:t>
      </w:r>
      <w:r>
        <w:rPr>
          <w:color w:val="231F20"/>
          <w:spacing w:val="-10"/>
        </w:rPr>
        <w:t>el</w:t>
      </w:r>
      <w:r>
        <w:rPr>
          <w:color w:val="231F20"/>
          <w:spacing w:val="-7"/>
        </w:rPr>
        <w:t> </w:t>
      </w:r>
      <w:r>
        <w:rPr>
          <w:color w:val="231F20"/>
          <w:spacing w:val="-10"/>
        </w:rPr>
        <w:t>bloqueo</w:t>
      </w:r>
      <w:r>
        <w:rPr>
          <w:color w:val="231F20"/>
          <w:spacing w:val="-6"/>
        </w:rPr>
        <w:t> </w:t>
      </w:r>
      <w:r>
        <w:rPr>
          <w:color w:val="231F20"/>
          <w:spacing w:val="-10"/>
        </w:rPr>
        <w:t>económico,</w:t>
      </w:r>
      <w:r>
        <w:rPr>
          <w:color w:val="231F20"/>
          <w:spacing w:val="-7"/>
        </w:rPr>
        <w:t> </w:t>
      </w:r>
      <w:r>
        <w:rPr>
          <w:color w:val="231F20"/>
          <w:spacing w:val="-10"/>
        </w:rPr>
        <w:t>comercial </w:t>
      </w:r>
      <w:r>
        <w:rPr>
          <w:color w:val="231F20"/>
          <w:spacing w:val="-8"/>
        </w:rPr>
        <w:t>y</w:t>
      </w:r>
      <w:r>
        <w:rPr>
          <w:color w:val="231F20"/>
          <w:spacing w:val="-9"/>
        </w:rPr>
        <w:t> </w:t>
      </w:r>
      <w:r>
        <w:rPr>
          <w:color w:val="231F20"/>
          <w:spacing w:val="-8"/>
        </w:rPr>
        <w:t>financiero contra</w:t>
      </w:r>
      <w:r>
        <w:rPr>
          <w:color w:val="231F20"/>
          <w:spacing w:val="-9"/>
        </w:rPr>
        <w:t> </w:t>
      </w:r>
      <w:r>
        <w:rPr>
          <w:color w:val="231F20"/>
          <w:spacing w:val="-8"/>
        </w:rPr>
        <w:t>Cuba, violatorios</w:t>
      </w:r>
      <w:r>
        <w:rPr>
          <w:color w:val="231F20"/>
          <w:spacing w:val="-9"/>
        </w:rPr>
        <w:t> </w:t>
      </w:r>
      <w:r>
        <w:rPr>
          <w:color w:val="231F20"/>
          <w:spacing w:val="-8"/>
        </w:rPr>
        <w:t>de los </w:t>
      </w:r>
      <w:r>
        <w:rPr>
          <w:color w:val="231F20"/>
          <w:spacing w:val="-6"/>
        </w:rPr>
        <w:t>propósitos</w:t>
      </w:r>
      <w:r>
        <w:rPr>
          <w:color w:val="231F20"/>
          <w:spacing w:val="-11"/>
        </w:rPr>
        <w:t> </w:t>
      </w:r>
      <w:r>
        <w:rPr>
          <w:color w:val="231F20"/>
          <w:spacing w:val="-6"/>
        </w:rPr>
        <w:t>y</w:t>
      </w:r>
      <w:r>
        <w:rPr>
          <w:color w:val="231F20"/>
          <w:spacing w:val="-10"/>
        </w:rPr>
        <w:t> </w:t>
      </w:r>
      <w:r>
        <w:rPr>
          <w:color w:val="231F20"/>
          <w:spacing w:val="-6"/>
        </w:rPr>
        <w:t>principios</w:t>
      </w:r>
      <w:r>
        <w:rPr>
          <w:color w:val="231F20"/>
          <w:spacing w:val="-11"/>
        </w:rPr>
        <w:t> </w:t>
      </w:r>
      <w:r>
        <w:rPr>
          <w:color w:val="231F20"/>
          <w:spacing w:val="-6"/>
        </w:rPr>
        <w:t>consagrados</w:t>
      </w:r>
      <w:r>
        <w:rPr>
          <w:color w:val="231F20"/>
          <w:spacing w:val="-10"/>
        </w:rPr>
        <w:t> </w:t>
      </w:r>
      <w:r>
        <w:rPr>
          <w:color w:val="231F20"/>
          <w:spacing w:val="-6"/>
        </w:rPr>
        <w:t>en</w:t>
      </w:r>
      <w:r>
        <w:rPr>
          <w:color w:val="231F20"/>
          <w:spacing w:val="-10"/>
        </w:rPr>
        <w:t> </w:t>
      </w:r>
      <w:r>
        <w:rPr>
          <w:color w:val="231F20"/>
          <w:spacing w:val="-6"/>
        </w:rPr>
        <w:t>la </w:t>
      </w:r>
      <w:r>
        <w:rPr>
          <w:color w:val="231F20"/>
          <w:spacing w:val="-8"/>
        </w:rPr>
        <w:t>Carta</w:t>
      </w:r>
      <w:r>
        <w:rPr>
          <w:color w:val="231F20"/>
          <w:spacing w:val="-9"/>
        </w:rPr>
        <w:t> </w:t>
      </w:r>
      <w:r>
        <w:rPr>
          <w:color w:val="231F20"/>
          <w:spacing w:val="-8"/>
        </w:rPr>
        <w:t>de las</w:t>
      </w:r>
      <w:r>
        <w:rPr>
          <w:color w:val="231F20"/>
          <w:spacing w:val="-9"/>
        </w:rPr>
        <w:t> </w:t>
      </w:r>
      <w:r>
        <w:rPr>
          <w:color w:val="231F20"/>
          <w:spacing w:val="-8"/>
        </w:rPr>
        <w:t>Naciones Unidas</w:t>
      </w:r>
      <w:r>
        <w:rPr>
          <w:color w:val="231F20"/>
          <w:spacing w:val="-9"/>
        </w:rPr>
        <w:t> </w:t>
      </w:r>
      <w:r>
        <w:rPr>
          <w:color w:val="231F20"/>
          <w:spacing w:val="-8"/>
        </w:rPr>
        <w:t>y el</w:t>
      </w:r>
      <w:r>
        <w:rPr>
          <w:color w:val="231F20"/>
          <w:spacing w:val="-9"/>
        </w:rPr>
        <w:t> </w:t>
      </w:r>
      <w:r>
        <w:rPr>
          <w:color w:val="231F20"/>
          <w:spacing w:val="-8"/>
        </w:rPr>
        <w:t>Derecho </w:t>
      </w:r>
      <w:r>
        <w:rPr>
          <w:color w:val="231F20"/>
          <w:spacing w:val="-2"/>
        </w:rPr>
        <w:t>Internacional.</w:t>
      </w:r>
    </w:p>
    <w:p>
      <w:pPr>
        <w:spacing w:after="0"/>
        <w:sectPr>
          <w:pgSz w:w="11910" w:h="16840"/>
          <w:pgMar w:header="0" w:footer="695" w:top="1260" w:bottom="880" w:left="0" w:right="0"/>
          <w:cols w:num="2" w:equalWidth="0">
            <w:col w:w="5898" w:space="40"/>
            <w:col w:w="5972"/>
          </w:cols>
        </w:sectPr>
      </w:pPr>
    </w:p>
    <w:p>
      <w:pPr>
        <w:pStyle w:val="BodyText"/>
        <w:spacing w:before="77"/>
        <w:ind w:left="1394" w:right="4"/>
      </w:pPr>
      <w:r>
        <w:rPr/>
        <mc:AlternateContent>
          <mc:Choice Requires="wps">
            <w:drawing>
              <wp:anchor distT="0" distB="0" distL="0" distR="0" allowOverlap="1" layoutInCell="1" locked="0" behindDoc="0" simplePos="0" relativeHeight="15759872">
                <wp:simplePos x="0" y="0"/>
                <wp:positionH relativeFrom="page">
                  <wp:posOffset>719997</wp:posOffset>
                </wp:positionH>
                <wp:positionV relativeFrom="paragraph">
                  <wp:posOffset>131798</wp:posOffset>
                </wp:positionV>
                <wp:extent cx="59690" cy="59690"/>
                <wp:effectExtent l="0" t="0" r="0" b="0"/>
                <wp:wrapNone/>
                <wp:docPr id="118" name="Graphic 118"/>
                <wp:cNvGraphicFramePr>
                  <a:graphicFrameLocks/>
                </wp:cNvGraphicFramePr>
                <a:graphic>
                  <a:graphicData uri="http://schemas.microsoft.com/office/word/2010/wordprocessingShape">
                    <wps:wsp>
                      <wps:cNvPr id="118" name="Graphic 11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0.3778pt;width:4.7pt;height:4.7pt;mso-position-horizontal-relative:page;mso-position-vertical-relative:paragraph;z-index:15759872" id="docshape91" coordorigin="1134,208" coordsize="94,94" path="m1180,208l1162,211,1148,221,1138,236,1134,254,1138,272,1148,287,1162,297,1180,301,1199,297,1213,287,1223,272,1227,254,1223,236,1213,221,1199,211,1180,208xe" filled="true" fillcolor="#1a4796" stroked="false">
                <v:path arrowok="t"/>
                <v:fill type="solid"/>
                <w10:wrap type="none"/>
              </v:shape>
            </w:pict>
          </mc:Fallback>
        </mc:AlternateContent>
      </w:r>
      <w:r>
        <w:rPr>
          <w:b/>
          <w:color w:val="1A4796"/>
          <w:spacing w:val="-2"/>
        </w:rPr>
        <w:t>Del</w:t>
      </w:r>
      <w:r>
        <w:rPr>
          <w:b/>
          <w:color w:val="1A4796"/>
          <w:spacing w:val="-15"/>
        </w:rPr>
        <w:t> </w:t>
      </w:r>
      <w:r>
        <w:rPr>
          <w:b/>
          <w:color w:val="1A4796"/>
          <w:spacing w:val="-2"/>
        </w:rPr>
        <w:t>6</w:t>
      </w:r>
      <w:r>
        <w:rPr>
          <w:b/>
          <w:color w:val="1A4796"/>
          <w:spacing w:val="-15"/>
        </w:rPr>
        <w:t> </w:t>
      </w:r>
      <w:r>
        <w:rPr>
          <w:b/>
          <w:color w:val="1A4796"/>
          <w:spacing w:val="-2"/>
        </w:rPr>
        <w:t>al</w:t>
      </w:r>
      <w:r>
        <w:rPr>
          <w:b/>
          <w:color w:val="1A4796"/>
          <w:spacing w:val="-14"/>
        </w:rPr>
        <w:t> </w:t>
      </w:r>
      <w:r>
        <w:rPr>
          <w:b/>
          <w:color w:val="1A4796"/>
          <w:spacing w:val="-2"/>
        </w:rPr>
        <w:t>10</w:t>
      </w:r>
      <w:r>
        <w:rPr>
          <w:b/>
          <w:color w:val="1A4796"/>
          <w:spacing w:val="-15"/>
        </w:rPr>
        <w:t> </w:t>
      </w:r>
      <w:r>
        <w:rPr>
          <w:b/>
          <w:color w:val="1A4796"/>
          <w:spacing w:val="-2"/>
        </w:rPr>
        <w:t>de</w:t>
      </w:r>
      <w:r>
        <w:rPr>
          <w:b/>
          <w:color w:val="1A4796"/>
          <w:spacing w:val="-14"/>
        </w:rPr>
        <w:t> </w:t>
      </w:r>
      <w:r>
        <w:rPr>
          <w:b/>
          <w:color w:val="1A4796"/>
          <w:spacing w:val="-2"/>
        </w:rPr>
        <w:t>junio</w:t>
      </w:r>
      <w:r>
        <w:rPr>
          <w:b/>
          <w:color w:val="1A4796"/>
          <w:spacing w:val="-15"/>
        </w:rPr>
        <w:t> </w:t>
      </w:r>
      <w:r>
        <w:rPr>
          <w:b/>
          <w:color w:val="1A4796"/>
          <w:spacing w:val="-2"/>
        </w:rPr>
        <w:t>de</w:t>
      </w:r>
      <w:r>
        <w:rPr>
          <w:b/>
          <w:color w:val="1A4796"/>
          <w:spacing w:val="-14"/>
        </w:rPr>
        <w:t> </w:t>
      </w:r>
      <w:r>
        <w:rPr>
          <w:b/>
          <w:color w:val="1A4796"/>
          <w:spacing w:val="-2"/>
        </w:rPr>
        <w:t>2022,</w:t>
      </w:r>
      <w:r>
        <w:rPr>
          <w:b/>
          <w:color w:val="1A4796"/>
          <w:spacing w:val="-15"/>
        </w:rPr>
        <w:t> </w:t>
      </w:r>
      <w:r>
        <w:rPr>
          <w:color w:val="231F20"/>
          <w:spacing w:val="-2"/>
        </w:rPr>
        <w:t>se</w:t>
      </w:r>
      <w:r>
        <w:rPr>
          <w:color w:val="231F20"/>
          <w:spacing w:val="-14"/>
        </w:rPr>
        <w:t> </w:t>
      </w:r>
      <w:r>
        <w:rPr>
          <w:color w:val="231F20"/>
          <w:spacing w:val="-2"/>
        </w:rPr>
        <w:t>celebró </w:t>
      </w:r>
      <w:r>
        <w:rPr>
          <w:color w:val="231F20"/>
        </w:rPr>
        <w:t>la IX Cumbre de las Américas, en los Ángeles, Estados Unidos. Fue una cita antidemocrática y excluyente a la que </w:t>
      </w:r>
      <w:r>
        <w:rPr>
          <w:color w:val="231F20"/>
          <w:spacing w:val="-12"/>
        </w:rPr>
        <w:t>Cuba</w:t>
      </w:r>
      <w:r>
        <w:rPr>
          <w:color w:val="231F20"/>
          <w:spacing w:val="-1"/>
        </w:rPr>
        <w:t> </w:t>
      </w:r>
      <w:r>
        <w:rPr>
          <w:color w:val="231F20"/>
          <w:spacing w:val="-12"/>
        </w:rPr>
        <w:t>no</w:t>
      </w:r>
      <w:r>
        <w:rPr>
          <w:color w:val="231F20"/>
          <w:spacing w:val="-1"/>
        </w:rPr>
        <w:t> </w:t>
      </w:r>
      <w:r>
        <w:rPr>
          <w:color w:val="231F20"/>
          <w:spacing w:val="-12"/>
        </w:rPr>
        <w:t>fue</w:t>
      </w:r>
      <w:r>
        <w:rPr>
          <w:color w:val="231F20"/>
          <w:spacing w:val="-1"/>
        </w:rPr>
        <w:t> </w:t>
      </w:r>
      <w:r>
        <w:rPr>
          <w:color w:val="231F20"/>
          <w:spacing w:val="-12"/>
        </w:rPr>
        <w:t>invitada</w:t>
      </w:r>
      <w:r>
        <w:rPr>
          <w:color w:val="231F20"/>
          <w:spacing w:val="-1"/>
        </w:rPr>
        <w:t> </w:t>
      </w:r>
      <w:r>
        <w:rPr>
          <w:color w:val="231F20"/>
          <w:spacing w:val="-12"/>
        </w:rPr>
        <w:t>por</w:t>
      </w:r>
      <w:r>
        <w:rPr>
          <w:color w:val="231F20"/>
          <w:spacing w:val="-1"/>
        </w:rPr>
        <w:t> </w:t>
      </w:r>
      <w:r>
        <w:rPr>
          <w:color w:val="231F20"/>
          <w:spacing w:val="-12"/>
        </w:rPr>
        <w:t>decisión</w:t>
      </w:r>
      <w:r>
        <w:rPr>
          <w:color w:val="231F20"/>
          <w:spacing w:val="-1"/>
        </w:rPr>
        <w:t> </w:t>
      </w:r>
      <w:r>
        <w:rPr>
          <w:color w:val="231F20"/>
          <w:spacing w:val="-12"/>
        </w:rPr>
        <w:t>arbitraria </w:t>
      </w:r>
      <w:r>
        <w:rPr>
          <w:color w:val="231F20"/>
          <w:spacing w:val="-8"/>
        </w:rPr>
        <w:t>del</w:t>
      </w:r>
      <w:r>
        <w:rPr>
          <w:color w:val="231F20"/>
          <w:spacing w:val="-9"/>
        </w:rPr>
        <w:t> </w:t>
      </w:r>
      <w:r>
        <w:rPr>
          <w:color w:val="231F20"/>
          <w:spacing w:val="-8"/>
        </w:rPr>
        <w:t>gobierno estadounidense.</w:t>
      </w:r>
      <w:r>
        <w:rPr>
          <w:color w:val="231F20"/>
          <w:spacing w:val="-9"/>
        </w:rPr>
        <w:t> </w:t>
      </w:r>
      <w:r>
        <w:rPr>
          <w:color w:val="231F20"/>
          <w:spacing w:val="-8"/>
        </w:rPr>
        <w:t>Se negaron, </w:t>
      </w:r>
      <w:r>
        <w:rPr>
          <w:color w:val="231F20"/>
        </w:rPr>
        <w:t>incluso, visados a representantes de la </w:t>
      </w:r>
      <w:r>
        <w:rPr>
          <w:color w:val="231F20"/>
          <w:spacing w:val="-10"/>
        </w:rPr>
        <w:t>sociedad</w:t>
      </w:r>
      <w:r>
        <w:rPr>
          <w:color w:val="231F20"/>
          <w:spacing w:val="-7"/>
        </w:rPr>
        <w:t> </w:t>
      </w:r>
      <w:r>
        <w:rPr>
          <w:color w:val="231F20"/>
          <w:spacing w:val="-10"/>
        </w:rPr>
        <w:t>civil</w:t>
      </w:r>
      <w:r>
        <w:rPr>
          <w:color w:val="231F20"/>
          <w:spacing w:val="-6"/>
        </w:rPr>
        <w:t> </w:t>
      </w:r>
      <w:r>
        <w:rPr>
          <w:color w:val="231F20"/>
          <w:spacing w:val="-10"/>
        </w:rPr>
        <w:t>para</w:t>
      </w:r>
      <w:r>
        <w:rPr>
          <w:color w:val="231F20"/>
          <w:spacing w:val="-7"/>
        </w:rPr>
        <w:t> </w:t>
      </w:r>
      <w:r>
        <w:rPr>
          <w:color w:val="231F20"/>
          <w:spacing w:val="-10"/>
        </w:rPr>
        <w:t>impedir</w:t>
      </w:r>
      <w:r>
        <w:rPr>
          <w:color w:val="231F20"/>
          <w:spacing w:val="-6"/>
        </w:rPr>
        <w:t> </w:t>
      </w:r>
      <w:r>
        <w:rPr>
          <w:color w:val="231F20"/>
          <w:spacing w:val="-10"/>
        </w:rPr>
        <w:t>su</w:t>
      </w:r>
      <w:r>
        <w:rPr>
          <w:color w:val="231F20"/>
          <w:spacing w:val="-7"/>
        </w:rPr>
        <w:t> </w:t>
      </w:r>
      <w:r>
        <w:rPr>
          <w:color w:val="231F20"/>
          <w:spacing w:val="-10"/>
        </w:rPr>
        <w:t>participación </w:t>
      </w:r>
      <w:r>
        <w:rPr>
          <w:color w:val="231F20"/>
          <w:spacing w:val="-6"/>
        </w:rPr>
        <w:t>en</w:t>
      </w:r>
      <w:r>
        <w:rPr>
          <w:color w:val="231F20"/>
          <w:spacing w:val="-11"/>
        </w:rPr>
        <w:t> </w:t>
      </w:r>
      <w:r>
        <w:rPr>
          <w:color w:val="231F20"/>
          <w:spacing w:val="-6"/>
        </w:rPr>
        <w:t>la</w:t>
      </w:r>
      <w:r>
        <w:rPr>
          <w:color w:val="231F20"/>
          <w:spacing w:val="-10"/>
        </w:rPr>
        <w:t> </w:t>
      </w:r>
      <w:r>
        <w:rPr>
          <w:color w:val="231F20"/>
          <w:spacing w:val="-6"/>
        </w:rPr>
        <w:t>Cumbre</w:t>
      </w:r>
      <w:r>
        <w:rPr>
          <w:color w:val="231F20"/>
          <w:spacing w:val="-11"/>
        </w:rPr>
        <w:t> </w:t>
      </w:r>
      <w:r>
        <w:rPr>
          <w:color w:val="231F20"/>
          <w:spacing w:val="-6"/>
        </w:rPr>
        <w:t>de</w:t>
      </w:r>
      <w:r>
        <w:rPr>
          <w:color w:val="231F20"/>
          <w:spacing w:val="-10"/>
        </w:rPr>
        <w:t> </w:t>
      </w:r>
      <w:r>
        <w:rPr>
          <w:color w:val="231F20"/>
          <w:spacing w:val="-6"/>
        </w:rPr>
        <w:t>los</w:t>
      </w:r>
      <w:r>
        <w:rPr>
          <w:color w:val="231F20"/>
          <w:spacing w:val="-11"/>
        </w:rPr>
        <w:t> </w:t>
      </w:r>
      <w:r>
        <w:rPr>
          <w:color w:val="231F20"/>
          <w:spacing w:val="-6"/>
        </w:rPr>
        <w:t>Pueblos,</w:t>
      </w:r>
      <w:r>
        <w:rPr>
          <w:color w:val="231F20"/>
          <w:spacing w:val="-10"/>
        </w:rPr>
        <w:t> </w:t>
      </w:r>
      <w:r>
        <w:rPr>
          <w:color w:val="231F20"/>
          <w:spacing w:val="-6"/>
        </w:rPr>
        <w:t>que</w:t>
      </w:r>
      <w:r>
        <w:rPr>
          <w:color w:val="231F20"/>
          <w:spacing w:val="-11"/>
        </w:rPr>
        <w:t> </w:t>
      </w:r>
      <w:r>
        <w:rPr>
          <w:color w:val="231F20"/>
          <w:spacing w:val="-6"/>
        </w:rPr>
        <w:t>sesionó </w:t>
      </w:r>
      <w:r>
        <w:rPr>
          <w:color w:val="231F20"/>
        </w:rPr>
        <w:t>de</w:t>
      </w:r>
      <w:r>
        <w:rPr>
          <w:color w:val="231F20"/>
          <w:spacing w:val="-17"/>
        </w:rPr>
        <w:t> </w:t>
      </w:r>
      <w:r>
        <w:rPr>
          <w:color w:val="231F20"/>
        </w:rPr>
        <w:t>manera</w:t>
      </w:r>
      <w:r>
        <w:rPr>
          <w:color w:val="231F20"/>
          <w:spacing w:val="-16"/>
        </w:rPr>
        <w:t> </w:t>
      </w:r>
      <w:r>
        <w:rPr>
          <w:color w:val="231F20"/>
        </w:rPr>
        <w:t>paralela.</w:t>
      </w:r>
      <w:r>
        <w:rPr>
          <w:color w:val="231F20"/>
          <w:spacing w:val="-17"/>
        </w:rPr>
        <w:t> </w:t>
      </w:r>
      <w:r>
        <w:rPr>
          <w:color w:val="231F20"/>
        </w:rPr>
        <w:t>Sin</w:t>
      </w:r>
      <w:r>
        <w:rPr>
          <w:color w:val="231F20"/>
          <w:spacing w:val="-16"/>
        </w:rPr>
        <w:t> </w:t>
      </w:r>
      <w:r>
        <w:rPr>
          <w:color w:val="231F20"/>
        </w:rPr>
        <w:t>embargo,</w:t>
      </w:r>
      <w:r>
        <w:rPr>
          <w:color w:val="231F20"/>
          <w:spacing w:val="-17"/>
        </w:rPr>
        <w:t> </w:t>
      </w:r>
      <w:r>
        <w:rPr>
          <w:color w:val="231F20"/>
        </w:rPr>
        <w:t>la</w:t>
      </w:r>
      <w:r>
        <w:rPr>
          <w:color w:val="231F20"/>
          <w:spacing w:val="-16"/>
        </w:rPr>
        <w:t> </w:t>
      </w:r>
      <w:r>
        <w:rPr>
          <w:color w:val="231F20"/>
        </w:rPr>
        <w:t>voz </w:t>
      </w:r>
      <w:r>
        <w:rPr>
          <w:color w:val="231F20"/>
          <w:spacing w:val="-4"/>
        </w:rPr>
        <w:t>de</w:t>
      </w:r>
      <w:r>
        <w:rPr>
          <w:color w:val="231F20"/>
          <w:spacing w:val="-13"/>
        </w:rPr>
        <w:t> </w:t>
      </w:r>
      <w:r>
        <w:rPr>
          <w:color w:val="231F20"/>
          <w:spacing w:val="-4"/>
        </w:rPr>
        <w:t>Cuba</w:t>
      </w:r>
      <w:r>
        <w:rPr>
          <w:color w:val="231F20"/>
          <w:spacing w:val="-12"/>
        </w:rPr>
        <w:t> </w:t>
      </w:r>
      <w:r>
        <w:rPr>
          <w:color w:val="231F20"/>
          <w:spacing w:val="-4"/>
        </w:rPr>
        <w:t>estuvo</w:t>
      </w:r>
      <w:r>
        <w:rPr>
          <w:color w:val="231F20"/>
          <w:spacing w:val="-13"/>
        </w:rPr>
        <w:t> </w:t>
      </w:r>
      <w:r>
        <w:rPr>
          <w:color w:val="231F20"/>
          <w:spacing w:val="-4"/>
        </w:rPr>
        <w:t>presente</w:t>
      </w:r>
      <w:r>
        <w:rPr>
          <w:color w:val="231F20"/>
          <w:spacing w:val="-12"/>
        </w:rPr>
        <w:t> </w:t>
      </w:r>
      <w:r>
        <w:rPr>
          <w:color w:val="231F20"/>
          <w:spacing w:val="-4"/>
        </w:rPr>
        <w:t>en</w:t>
      </w:r>
      <w:r>
        <w:rPr>
          <w:color w:val="231F20"/>
          <w:spacing w:val="-13"/>
        </w:rPr>
        <w:t> </w:t>
      </w:r>
      <w:r>
        <w:rPr>
          <w:color w:val="231F20"/>
          <w:spacing w:val="-4"/>
        </w:rPr>
        <w:t>los</w:t>
      </w:r>
      <w:r>
        <w:rPr>
          <w:color w:val="231F20"/>
          <w:spacing w:val="-12"/>
        </w:rPr>
        <w:t> </w:t>
      </w:r>
      <w:r>
        <w:rPr>
          <w:color w:val="231F20"/>
          <w:spacing w:val="-4"/>
        </w:rPr>
        <w:t>20</w:t>
      </w:r>
      <w:r>
        <w:rPr>
          <w:color w:val="231F20"/>
          <w:spacing w:val="-13"/>
        </w:rPr>
        <w:t> </w:t>
      </w:r>
      <w:r>
        <w:rPr>
          <w:color w:val="231F20"/>
          <w:spacing w:val="-4"/>
        </w:rPr>
        <w:t>países que</w:t>
      </w:r>
      <w:r>
        <w:rPr>
          <w:color w:val="231F20"/>
          <w:spacing w:val="-13"/>
        </w:rPr>
        <w:t> </w:t>
      </w:r>
      <w:r>
        <w:rPr>
          <w:color w:val="231F20"/>
          <w:spacing w:val="-4"/>
        </w:rPr>
        <w:t>se</w:t>
      </w:r>
      <w:r>
        <w:rPr>
          <w:color w:val="231F20"/>
          <w:spacing w:val="-12"/>
        </w:rPr>
        <w:t> </w:t>
      </w:r>
      <w:r>
        <w:rPr>
          <w:color w:val="231F20"/>
          <w:spacing w:val="-4"/>
        </w:rPr>
        <w:t>opusieron</w:t>
      </w:r>
      <w:r>
        <w:rPr>
          <w:color w:val="231F20"/>
          <w:spacing w:val="-13"/>
        </w:rPr>
        <w:t> </w:t>
      </w:r>
      <w:r>
        <w:rPr>
          <w:color w:val="231F20"/>
          <w:spacing w:val="-4"/>
        </w:rPr>
        <w:t>a</w:t>
      </w:r>
      <w:r>
        <w:rPr>
          <w:color w:val="231F20"/>
          <w:spacing w:val="-12"/>
        </w:rPr>
        <w:t> </w:t>
      </w:r>
      <w:r>
        <w:rPr>
          <w:color w:val="231F20"/>
          <w:spacing w:val="-4"/>
        </w:rPr>
        <w:t>las</w:t>
      </w:r>
      <w:r>
        <w:rPr>
          <w:color w:val="231F20"/>
          <w:spacing w:val="-13"/>
        </w:rPr>
        <w:t> </w:t>
      </w:r>
      <w:r>
        <w:rPr>
          <w:color w:val="231F20"/>
          <w:spacing w:val="-4"/>
        </w:rPr>
        <w:t>exclusiones,</w:t>
      </w:r>
      <w:r>
        <w:rPr>
          <w:color w:val="231F20"/>
          <w:spacing w:val="-12"/>
        </w:rPr>
        <w:t> </w:t>
      </w:r>
      <w:r>
        <w:rPr>
          <w:color w:val="231F20"/>
          <w:spacing w:val="-4"/>
        </w:rPr>
        <w:t>los</w:t>
      </w:r>
      <w:r>
        <w:rPr>
          <w:color w:val="231F20"/>
          <w:spacing w:val="-13"/>
        </w:rPr>
        <w:t> </w:t>
      </w:r>
      <w:r>
        <w:rPr>
          <w:color w:val="231F20"/>
          <w:spacing w:val="-4"/>
        </w:rPr>
        <w:t>11 </w:t>
      </w:r>
      <w:r>
        <w:rPr>
          <w:color w:val="231F20"/>
        </w:rPr>
        <w:t>jefes</w:t>
      </w:r>
      <w:r>
        <w:rPr>
          <w:color w:val="231F20"/>
          <w:spacing w:val="-3"/>
        </w:rPr>
        <w:t> </w:t>
      </w:r>
      <w:r>
        <w:rPr>
          <w:color w:val="231F20"/>
        </w:rPr>
        <w:t>de</w:t>
      </w:r>
      <w:r>
        <w:rPr>
          <w:color w:val="231F20"/>
          <w:spacing w:val="-3"/>
        </w:rPr>
        <w:t> </w:t>
      </w:r>
      <w:r>
        <w:rPr>
          <w:color w:val="231F20"/>
        </w:rPr>
        <w:t>delegaciones</w:t>
      </w:r>
      <w:r>
        <w:rPr>
          <w:color w:val="231F20"/>
          <w:spacing w:val="-3"/>
        </w:rPr>
        <w:t> </w:t>
      </w:r>
      <w:r>
        <w:rPr>
          <w:color w:val="231F20"/>
        </w:rPr>
        <w:t>que</w:t>
      </w:r>
      <w:r>
        <w:rPr>
          <w:color w:val="231F20"/>
          <w:spacing w:val="-3"/>
        </w:rPr>
        <w:t> </w:t>
      </w:r>
      <w:r>
        <w:rPr>
          <w:color w:val="231F20"/>
        </w:rPr>
        <w:t>denunciaron </w:t>
      </w:r>
      <w:r>
        <w:rPr>
          <w:color w:val="231F20"/>
          <w:spacing w:val="-4"/>
        </w:rPr>
        <w:t>expresamente</w:t>
      </w:r>
      <w:r>
        <w:rPr>
          <w:color w:val="231F20"/>
          <w:spacing w:val="-10"/>
        </w:rPr>
        <w:t> </w:t>
      </w:r>
      <w:r>
        <w:rPr>
          <w:color w:val="231F20"/>
          <w:spacing w:val="-4"/>
        </w:rPr>
        <w:t>el</w:t>
      </w:r>
      <w:r>
        <w:rPr>
          <w:color w:val="231F20"/>
          <w:spacing w:val="-10"/>
        </w:rPr>
        <w:t> </w:t>
      </w:r>
      <w:r>
        <w:rPr>
          <w:color w:val="231F20"/>
          <w:spacing w:val="-4"/>
        </w:rPr>
        <w:t>bloqueo</w:t>
      </w:r>
      <w:r>
        <w:rPr>
          <w:color w:val="231F20"/>
          <w:spacing w:val="-10"/>
        </w:rPr>
        <w:t> </w:t>
      </w:r>
      <w:r>
        <w:rPr>
          <w:color w:val="231F20"/>
          <w:spacing w:val="-4"/>
        </w:rPr>
        <w:t>a</w:t>
      </w:r>
      <w:r>
        <w:rPr>
          <w:color w:val="231F20"/>
          <w:spacing w:val="-10"/>
        </w:rPr>
        <w:t> </w:t>
      </w:r>
      <w:r>
        <w:rPr>
          <w:color w:val="231F20"/>
          <w:spacing w:val="-4"/>
        </w:rPr>
        <w:t>la</w:t>
      </w:r>
      <w:r>
        <w:rPr>
          <w:color w:val="231F20"/>
          <w:spacing w:val="-10"/>
        </w:rPr>
        <w:t> </w:t>
      </w:r>
      <w:r>
        <w:rPr>
          <w:color w:val="231F20"/>
          <w:spacing w:val="-4"/>
        </w:rPr>
        <w:t>Isla</w:t>
      </w:r>
      <w:r>
        <w:rPr>
          <w:color w:val="231F20"/>
          <w:spacing w:val="-10"/>
        </w:rPr>
        <w:t> </w:t>
      </w:r>
      <w:r>
        <w:rPr>
          <w:color w:val="231F20"/>
          <w:spacing w:val="-4"/>
        </w:rPr>
        <w:t>y</w:t>
      </w:r>
      <w:r>
        <w:rPr>
          <w:color w:val="231F20"/>
          <w:spacing w:val="-10"/>
        </w:rPr>
        <w:t> </w:t>
      </w:r>
      <w:r>
        <w:rPr>
          <w:color w:val="231F20"/>
          <w:spacing w:val="-4"/>
        </w:rPr>
        <w:t>otros </w:t>
      </w:r>
      <w:r>
        <w:rPr>
          <w:color w:val="231F20"/>
          <w:spacing w:val="-6"/>
        </w:rPr>
        <w:t>también</w:t>
      </w:r>
      <w:r>
        <w:rPr>
          <w:color w:val="231F20"/>
          <w:spacing w:val="-10"/>
        </w:rPr>
        <w:t> </w:t>
      </w:r>
      <w:r>
        <w:rPr>
          <w:color w:val="231F20"/>
          <w:spacing w:val="-6"/>
        </w:rPr>
        <w:t>que</w:t>
      </w:r>
      <w:r>
        <w:rPr>
          <w:color w:val="231F20"/>
          <w:spacing w:val="-10"/>
        </w:rPr>
        <w:t> </w:t>
      </w:r>
      <w:r>
        <w:rPr>
          <w:color w:val="231F20"/>
          <w:spacing w:val="-6"/>
        </w:rPr>
        <w:t>incluyeron</w:t>
      </w:r>
      <w:r>
        <w:rPr>
          <w:color w:val="231F20"/>
          <w:spacing w:val="-10"/>
        </w:rPr>
        <w:t> </w:t>
      </w:r>
      <w:r>
        <w:rPr>
          <w:color w:val="231F20"/>
          <w:spacing w:val="-6"/>
        </w:rPr>
        <w:t>una</w:t>
      </w:r>
      <w:r>
        <w:rPr>
          <w:color w:val="231F20"/>
          <w:spacing w:val="-10"/>
        </w:rPr>
        <w:t> </w:t>
      </w:r>
      <w:r>
        <w:rPr>
          <w:color w:val="231F20"/>
          <w:spacing w:val="-6"/>
        </w:rPr>
        <w:t>condena</w:t>
      </w:r>
      <w:r>
        <w:rPr>
          <w:color w:val="231F20"/>
          <w:spacing w:val="-10"/>
        </w:rPr>
        <w:t> </w:t>
      </w:r>
      <w:r>
        <w:rPr>
          <w:color w:val="231F20"/>
          <w:spacing w:val="-6"/>
        </w:rPr>
        <w:t>a</w:t>
      </w:r>
      <w:r>
        <w:rPr>
          <w:color w:val="231F20"/>
          <w:spacing w:val="-10"/>
        </w:rPr>
        <w:t> </w:t>
      </w:r>
      <w:r>
        <w:rPr>
          <w:color w:val="231F20"/>
          <w:spacing w:val="-6"/>
        </w:rPr>
        <w:t>la </w:t>
      </w:r>
      <w:r>
        <w:rPr>
          <w:color w:val="231F20"/>
          <w:spacing w:val="-2"/>
        </w:rPr>
        <w:t>inclusión</w:t>
      </w:r>
      <w:r>
        <w:rPr>
          <w:color w:val="231F20"/>
          <w:spacing w:val="-15"/>
        </w:rPr>
        <w:t> </w:t>
      </w:r>
      <w:r>
        <w:rPr>
          <w:color w:val="231F20"/>
          <w:spacing w:val="-2"/>
        </w:rPr>
        <w:t>de</w:t>
      </w:r>
      <w:r>
        <w:rPr>
          <w:color w:val="231F20"/>
          <w:spacing w:val="-14"/>
        </w:rPr>
        <w:t> </w:t>
      </w:r>
      <w:r>
        <w:rPr>
          <w:color w:val="231F20"/>
          <w:spacing w:val="-2"/>
        </w:rPr>
        <w:t>Cuba</w:t>
      </w:r>
      <w:r>
        <w:rPr>
          <w:color w:val="231F20"/>
          <w:spacing w:val="-15"/>
        </w:rPr>
        <w:t> </w:t>
      </w:r>
      <w:r>
        <w:rPr>
          <w:color w:val="231F20"/>
          <w:spacing w:val="-2"/>
        </w:rPr>
        <w:t>en</w:t>
      </w:r>
      <w:r>
        <w:rPr>
          <w:color w:val="231F20"/>
          <w:spacing w:val="-14"/>
        </w:rPr>
        <w:t> </w:t>
      </w:r>
      <w:r>
        <w:rPr>
          <w:color w:val="231F20"/>
          <w:spacing w:val="-2"/>
        </w:rPr>
        <w:t>la</w:t>
      </w:r>
      <w:r>
        <w:rPr>
          <w:color w:val="231F20"/>
          <w:spacing w:val="-15"/>
        </w:rPr>
        <w:t> </w:t>
      </w:r>
      <w:r>
        <w:rPr>
          <w:color w:val="231F20"/>
          <w:spacing w:val="-2"/>
        </w:rPr>
        <w:t>arbitraria</w:t>
      </w:r>
      <w:r>
        <w:rPr>
          <w:color w:val="231F20"/>
          <w:spacing w:val="-14"/>
        </w:rPr>
        <w:t> </w:t>
      </w:r>
      <w:r>
        <w:rPr>
          <w:color w:val="231F20"/>
          <w:spacing w:val="-2"/>
        </w:rPr>
        <w:t>lista</w:t>
      </w:r>
      <w:r>
        <w:rPr>
          <w:color w:val="231F20"/>
          <w:spacing w:val="-15"/>
        </w:rPr>
        <w:t> </w:t>
      </w:r>
      <w:r>
        <w:rPr>
          <w:color w:val="231F20"/>
          <w:spacing w:val="-2"/>
        </w:rPr>
        <w:t>de Estados</w:t>
      </w:r>
      <w:r>
        <w:rPr>
          <w:color w:val="231F20"/>
          <w:spacing w:val="-15"/>
        </w:rPr>
        <w:t> </w:t>
      </w:r>
      <w:r>
        <w:rPr>
          <w:color w:val="231F20"/>
          <w:spacing w:val="-2"/>
        </w:rPr>
        <w:t>patrocinadores</w:t>
      </w:r>
      <w:r>
        <w:rPr>
          <w:color w:val="231F20"/>
          <w:spacing w:val="-15"/>
        </w:rPr>
        <w:t> </w:t>
      </w:r>
      <w:r>
        <w:rPr>
          <w:color w:val="231F20"/>
          <w:spacing w:val="-2"/>
        </w:rPr>
        <w:t>del</w:t>
      </w:r>
      <w:r>
        <w:rPr>
          <w:color w:val="231F20"/>
          <w:spacing w:val="-15"/>
        </w:rPr>
        <w:t> </w:t>
      </w:r>
      <w:r>
        <w:rPr>
          <w:color w:val="231F20"/>
          <w:spacing w:val="-2"/>
        </w:rPr>
        <w:t>terrorismo.</w:t>
      </w:r>
    </w:p>
    <w:p>
      <w:pPr>
        <w:pStyle w:val="BodyText"/>
        <w:spacing w:before="173"/>
        <w:ind w:left="1394"/>
      </w:pPr>
      <w:r>
        <w:rPr>
          <w:color w:val="231F20"/>
          <w:spacing w:val="-2"/>
        </w:rPr>
        <w:t>En</w:t>
      </w:r>
      <w:r>
        <w:rPr>
          <w:color w:val="231F20"/>
          <w:spacing w:val="-15"/>
        </w:rPr>
        <w:t> </w:t>
      </w:r>
      <w:r>
        <w:rPr>
          <w:color w:val="231F20"/>
          <w:spacing w:val="-2"/>
        </w:rPr>
        <w:t>el</w:t>
      </w:r>
      <w:r>
        <w:rPr>
          <w:color w:val="231F20"/>
          <w:spacing w:val="-14"/>
        </w:rPr>
        <w:t> </w:t>
      </w:r>
      <w:r>
        <w:rPr>
          <w:color w:val="231F20"/>
          <w:spacing w:val="-2"/>
        </w:rPr>
        <w:t>marco</w:t>
      </w:r>
      <w:r>
        <w:rPr>
          <w:color w:val="231F20"/>
          <w:spacing w:val="-15"/>
        </w:rPr>
        <w:t> </w:t>
      </w:r>
      <w:r>
        <w:rPr>
          <w:color w:val="231F20"/>
          <w:spacing w:val="-2"/>
        </w:rPr>
        <w:t>de</w:t>
      </w:r>
      <w:r>
        <w:rPr>
          <w:color w:val="231F20"/>
          <w:spacing w:val="-14"/>
        </w:rPr>
        <w:t> </w:t>
      </w:r>
      <w:r>
        <w:rPr>
          <w:color w:val="231F20"/>
          <w:spacing w:val="-2"/>
        </w:rPr>
        <w:t>la</w:t>
      </w:r>
      <w:r>
        <w:rPr>
          <w:color w:val="231F20"/>
          <w:spacing w:val="-15"/>
        </w:rPr>
        <w:t> </w:t>
      </w:r>
      <w:r>
        <w:rPr>
          <w:color w:val="231F20"/>
          <w:spacing w:val="-2"/>
        </w:rPr>
        <w:t>Cumbre</w:t>
      </w:r>
      <w:r>
        <w:rPr>
          <w:color w:val="231F20"/>
          <w:spacing w:val="-14"/>
        </w:rPr>
        <w:t> </w:t>
      </w:r>
      <w:r>
        <w:rPr>
          <w:color w:val="231F20"/>
          <w:spacing w:val="-2"/>
        </w:rPr>
        <w:t>de</w:t>
      </w:r>
      <w:r>
        <w:rPr>
          <w:color w:val="231F20"/>
          <w:spacing w:val="-15"/>
        </w:rPr>
        <w:t> </w:t>
      </w:r>
      <w:r>
        <w:rPr>
          <w:color w:val="231F20"/>
          <w:spacing w:val="-2"/>
        </w:rPr>
        <w:t>los</w:t>
      </w:r>
      <w:r>
        <w:rPr>
          <w:color w:val="231F20"/>
          <w:spacing w:val="-14"/>
        </w:rPr>
        <w:t> </w:t>
      </w:r>
      <w:r>
        <w:rPr>
          <w:color w:val="231F20"/>
          <w:spacing w:val="-2"/>
        </w:rPr>
        <w:t>Pueblos </w:t>
      </w:r>
      <w:r>
        <w:rPr>
          <w:color w:val="231F20"/>
        </w:rPr>
        <w:t>se desarrolló el Panel “Let Cuba Live”. </w:t>
      </w:r>
      <w:r>
        <w:rPr>
          <w:color w:val="231F20"/>
          <w:spacing w:val="-6"/>
        </w:rPr>
        <w:t>Activistas</w:t>
      </w:r>
      <w:r>
        <w:rPr>
          <w:color w:val="231F20"/>
          <w:spacing w:val="-7"/>
        </w:rPr>
        <w:t> </w:t>
      </w:r>
      <w:r>
        <w:rPr>
          <w:color w:val="231F20"/>
          <w:spacing w:val="-6"/>
        </w:rPr>
        <w:t>se</w:t>
      </w:r>
      <w:r>
        <w:rPr>
          <w:color w:val="231F20"/>
          <w:spacing w:val="-7"/>
        </w:rPr>
        <w:t> </w:t>
      </w:r>
      <w:r>
        <w:rPr>
          <w:color w:val="231F20"/>
          <w:spacing w:val="-6"/>
        </w:rPr>
        <w:t>reunieron</w:t>
      </w:r>
      <w:r>
        <w:rPr>
          <w:color w:val="231F20"/>
          <w:spacing w:val="-7"/>
        </w:rPr>
        <w:t> </w:t>
      </w:r>
      <w:r>
        <w:rPr>
          <w:color w:val="231F20"/>
          <w:spacing w:val="-6"/>
        </w:rPr>
        <w:t>frente</w:t>
      </w:r>
      <w:r>
        <w:rPr>
          <w:color w:val="231F20"/>
          <w:spacing w:val="-7"/>
        </w:rPr>
        <w:t> </w:t>
      </w:r>
      <w:r>
        <w:rPr>
          <w:color w:val="231F20"/>
          <w:spacing w:val="-6"/>
        </w:rPr>
        <w:t>a la</w:t>
      </w:r>
      <w:r>
        <w:rPr>
          <w:color w:val="231F20"/>
          <w:spacing w:val="-7"/>
        </w:rPr>
        <w:t> </w:t>
      </w:r>
      <w:r>
        <w:rPr>
          <w:color w:val="231F20"/>
          <w:spacing w:val="-6"/>
        </w:rPr>
        <w:t>sede</w:t>
      </w:r>
      <w:r>
        <w:rPr>
          <w:color w:val="231F20"/>
          <w:spacing w:val="-7"/>
        </w:rPr>
        <w:t> </w:t>
      </w:r>
      <w:r>
        <w:rPr>
          <w:color w:val="231F20"/>
          <w:spacing w:val="-6"/>
        </w:rPr>
        <w:t>de </w:t>
      </w:r>
      <w:r>
        <w:rPr>
          <w:color w:val="231F20"/>
        </w:rPr>
        <w:t>la</w:t>
      </w:r>
      <w:r>
        <w:rPr>
          <w:color w:val="231F20"/>
          <w:spacing w:val="-15"/>
        </w:rPr>
        <w:t> </w:t>
      </w:r>
      <w:r>
        <w:rPr>
          <w:color w:val="231F20"/>
        </w:rPr>
        <w:t>Cumbre</w:t>
      </w:r>
      <w:r>
        <w:rPr>
          <w:color w:val="231F20"/>
          <w:spacing w:val="-15"/>
        </w:rPr>
        <w:t> </w:t>
      </w:r>
      <w:r>
        <w:rPr>
          <w:color w:val="231F20"/>
        </w:rPr>
        <w:t>de</w:t>
      </w:r>
      <w:r>
        <w:rPr>
          <w:color w:val="231F20"/>
          <w:spacing w:val="-16"/>
        </w:rPr>
        <w:t> </w:t>
      </w:r>
      <w:r>
        <w:rPr>
          <w:color w:val="231F20"/>
        </w:rPr>
        <w:t>las</w:t>
      </w:r>
      <w:r>
        <w:rPr>
          <w:color w:val="231F20"/>
          <w:spacing w:val="-15"/>
        </w:rPr>
        <w:t> </w:t>
      </w:r>
      <w:r>
        <w:rPr>
          <w:color w:val="231F20"/>
        </w:rPr>
        <w:t>Américas</w:t>
      </w:r>
      <w:r>
        <w:rPr>
          <w:color w:val="231F20"/>
          <w:spacing w:val="-15"/>
        </w:rPr>
        <w:t> </w:t>
      </w:r>
      <w:r>
        <w:rPr>
          <w:color w:val="231F20"/>
        </w:rPr>
        <w:t>y</w:t>
      </w:r>
      <w:r>
        <w:rPr>
          <w:color w:val="231F20"/>
          <w:spacing w:val="-16"/>
        </w:rPr>
        <w:t> </w:t>
      </w:r>
      <w:r>
        <w:rPr>
          <w:color w:val="231F20"/>
        </w:rPr>
        <w:t>expresaron </w:t>
      </w:r>
      <w:r>
        <w:rPr>
          <w:color w:val="231F20"/>
          <w:spacing w:val="-2"/>
        </w:rPr>
        <w:t>su</w:t>
      </w:r>
      <w:r>
        <w:rPr>
          <w:color w:val="231F20"/>
          <w:spacing w:val="-14"/>
        </w:rPr>
        <w:t> </w:t>
      </w:r>
      <w:r>
        <w:rPr>
          <w:color w:val="231F20"/>
          <w:spacing w:val="-2"/>
        </w:rPr>
        <w:t>rechazo</w:t>
      </w:r>
      <w:r>
        <w:rPr>
          <w:color w:val="231F20"/>
          <w:spacing w:val="-14"/>
        </w:rPr>
        <w:t> </w:t>
      </w:r>
      <w:r>
        <w:rPr>
          <w:color w:val="231F20"/>
          <w:spacing w:val="-2"/>
        </w:rPr>
        <w:t>a</w:t>
      </w:r>
      <w:r>
        <w:rPr>
          <w:color w:val="231F20"/>
          <w:spacing w:val="-14"/>
        </w:rPr>
        <w:t> </w:t>
      </w:r>
      <w:r>
        <w:rPr>
          <w:color w:val="231F20"/>
          <w:spacing w:val="-2"/>
        </w:rPr>
        <w:t>la</w:t>
      </w:r>
      <w:r>
        <w:rPr>
          <w:color w:val="231F20"/>
          <w:spacing w:val="-14"/>
        </w:rPr>
        <w:t> </w:t>
      </w:r>
      <w:r>
        <w:rPr>
          <w:color w:val="231F20"/>
          <w:spacing w:val="-2"/>
        </w:rPr>
        <w:t>política</w:t>
      </w:r>
      <w:r>
        <w:rPr>
          <w:color w:val="231F20"/>
          <w:spacing w:val="-14"/>
        </w:rPr>
        <w:t> </w:t>
      </w:r>
      <w:r>
        <w:rPr>
          <w:color w:val="231F20"/>
          <w:spacing w:val="-2"/>
        </w:rPr>
        <w:t>excluyente</w:t>
      </w:r>
      <w:r>
        <w:rPr>
          <w:color w:val="231F20"/>
          <w:spacing w:val="-14"/>
        </w:rPr>
        <w:t> </w:t>
      </w:r>
      <w:r>
        <w:rPr>
          <w:color w:val="231F20"/>
          <w:spacing w:val="-2"/>
        </w:rPr>
        <w:t>de</w:t>
      </w:r>
      <w:r>
        <w:rPr>
          <w:color w:val="231F20"/>
          <w:spacing w:val="-14"/>
        </w:rPr>
        <w:t> </w:t>
      </w:r>
      <w:r>
        <w:rPr>
          <w:color w:val="231F20"/>
          <w:spacing w:val="-2"/>
        </w:rPr>
        <w:t>los </w:t>
      </w:r>
      <w:r>
        <w:rPr>
          <w:color w:val="231F20"/>
          <w:spacing w:val="-4"/>
        </w:rPr>
        <w:t>Estados</w:t>
      </w:r>
      <w:r>
        <w:rPr>
          <w:color w:val="231F20"/>
          <w:spacing w:val="-13"/>
        </w:rPr>
        <w:t> </w:t>
      </w:r>
      <w:r>
        <w:rPr>
          <w:color w:val="231F20"/>
          <w:spacing w:val="-4"/>
        </w:rPr>
        <w:t>Unidos,</w:t>
      </w:r>
      <w:r>
        <w:rPr>
          <w:color w:val="231F20"/>
          <w:spacing w:val="-12"/>
        </w:rPr>
        <w:t> </w:t>
      </w:r>
      <w:r>
        <w:rPr>
          <w:color w:val="231F20"/>
          <w:spacing w:val="-4"/>
        </w:rPr>
        <w:t>su</w:t>
      </w:r>
      <w:r>
        <w:rPr>
          <w:color w:val="231F20"/>
          <w:spacing w:val="-13"/>
        </w:rPr>
        <w:t> </w:t>
      </w:r>
      <w:r>
        <w:rPr>
          <w:color w:val="231F20"/>
          <w:spacing w:val="-4"/>
        </w:rPr>
        <w:t>solidaridad</w:t>
      </w:r>
      <w:r>
        <w:rPr>
          <w:color w:val="231F20"/>
          <w:spacing w:val="-12"/>
        </w:rPr>
        <w:t> </w:t>
      </w:r>
      <w:r>
        <w:rPr>
          <w:color w:val="231F20"/>
          <w:spacing w:val="-4"/>
        </w:rPr>
        <w:t>con</w:t>
      </w:r>
      <w:r>
        <w:rPr>
          <w:color w:val="231F20"/>
          <w:spacing w:val="-13"/>
        </w:rPr>
        <w:t> </w:t>
      </w:r>
      <w:r>
        <w:rPr>
          <w:color w:val="231F20"/>
          <w:spacing w:val="-4"/>
        </w:rPr>
        <w:t>Cuba, </w:t>
      </w:r>
      <w:r>
        <w:rPr>
          <w:color w:val="231F20"/>
          <w:spacing w:val="-6"/>
        </w:rPr>
        <w:t>Nicaragua</w:t>
      </w:r>
      <w:r>
        <w:rPr>
          <w:color w:val="231F20"/>
          <w:spacing w:val="-11"/>
        </w:rPr>
        <w:t> </w:t>
      </w:r>
      <w:r>
        <w:rPr>
          <w:color w:val="231F20"/>
          <w:spacing w:val="-6"/>
        </w:rPr>
        <w:t>y</w:t>
      </w:r>
      <w:r>
        <w:rPr>
          <w:color w:val="231F20"/>
          <w:spacing w:val="-10"/>
        </w:rPr>
        <w:t> </w:t>
      </w:r>
      <w:r>
        <w:rPr>
          <w:color w:val="231F20"/>
          <w:spacing w:val="-6"/>
        </w:rPr>
        <w:t>Venezuela</w:t>
      </w:r>
      <w:r>
        <w:rPr>
          <w:color w:val="231F20"/>
          <w:spacing w:val="-11"/>
        </w:rPr>
        <w:t> </w:t>
      </w:r>
      <w:r>
        <w:rPr>
          <w:color w:val="231F20"/>
          <w:spacing w:val="-6"/>
        </w:rPr>
        <w:t>y</w:t>
      </w:r>
      <w:r>
        <w:rPr>
          <w:color w:val="231F20"/>
          <w:spacing w:val="-10"/>
        </w:rPr>
        <w:t> </w:t>
      </w:r>
      <w:r>
        <w:rPr>
          <w:color w:val="231F20"/>
          <w:spacing w:val="-6"/>
        </w:rPr>
        <w:t>la</w:t>
      </w:r>
      <w:r>
        <w:rPr>
          <w:color w:val="231F20"/>
          <w:spacing w:val="-11"/>
        </w:rPr>
        <w:t> </w:t>
      </w:r>
      <w:r>
        <w:rPr>
          <w:color w:val="231F20"/>
          <w:spacing w:val="-6"/>
        </w:rPr>
        <w:t>denuncia</w:t>
      </w:r>
      <w:r>
        <w:rPr>
          <w:color w:val="231F20"/>
          <w:spacing w:val="-10"/>
        </w:rPr>
        <w:t> </w:t>
      </w:r>
      <w:r>
        <w:rPr>
          <w:color w:val="231F20"/>
          <w:spacing w:val="-6"/>
        </w:rPr>
        <w:t>a</w:t>
      </w:r>
      <w:r>
        <w:rPr>
          <w:color w:val="231F20"/>
          <w:spacing w:val="-11"/>
        </w:rPr>
        <w:t> </w:t>
      </w:r>
      <w:r>
        <w:rPr>
          <w:color w:val="231F20"/>
          <w:spacing w:val="-6"/>
        </w:rPr>
        <w:t>las </w:t>
      </w:r>
      <w:r>
        <w:rPr>
          <w:color w:val="231F20"/>
          <w:spacing w:val="-8"/>
        </w:rPr>
        <w:t>sanciones unilaterales contra estos países. </w:t>
      </w:r>
      <w:r>
        <w:rPr>
          <w:color w:val="231F20"/>
        </w:rPr>
        <w:t>Asimismo, entregaron una carta contra la política de sanciones, exclusiones </w:t>
      </w:r>
      <w:r>
        <w:rPr>
          <w:color w:val="231F20"/>
        </w:rPr>
        <w:t>y bloqueos del gobierno de Biden.</w:t>
      </w:r>
    </w:p>
    <w:p>
      <w:pPr>
        <w:pStyle w:val="BodyText"/>
        <w:spacing w:before="169"/>
        <w:ind w:left="1394"/>
      </w:pPr>
      <w:r>
        <w:rPr/>
        <mc:AlternateContent>
          <mc:Choice Requires="wps">
            <w:drawing>
              <wp:anchor distT="0" distB="0" distL="0" distR="0" allowOverlap="1" layoutInCell="1" locked="0" behindDoc="0" simplePos="0" relativeHeight="15762944">
                <wp:simplePos x="0" y="0"/>
                <wp:positionH relativeFrom="page">
                  <wp:posOffset>719997</wp:posOffset>
                </wp:positionH>
                <wp:positionV relativeFrom="paragraph">
                  <wp:posOffset>189435</wp:posOffset>
                </wp:positionV>
                <wp:extent cx="59690" cy="59690"/>
                <wp:effectExtent l="0" t="0" r="0" b="0"/>
                <wp:wrapNone/>
                <wp:docPr id="119" name="Graphic 119"/>
                <wp:cNvGraphicFramePr>
                  <a:graphicFrameLocks/>
                </wp:cNvGraphicFramePr>
                <a:graphic>
                  <a:graphicData uri="http://schemas.microsoft.com/office/word/2010/wordprocessingShape">
                    <wps:wsp>
                      <wps:cNvPr id="119" name="Graphic 11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91615pt;width:4.7pt;height:4.7pt;mso-position-horizontal-relative:page;mso-position-vertical-relative:paragraph;z-index:15762944" id="docshape92" coordorigin="1134,298" coordsize="94,94" path="m1180,298l1162,302,1148,312,1138,327,1134,345,1138,363,1148,378,1162,388,1180,392,1199,388,1213,378,1223,363,1227,345,1223,327,1213,312,1199,302,1180,298xe" filled="true" fillcolor="#1a4796" stroked="false">
                <v:path arrowok="t"/>
                <v:fill type="solid"/>
                <w10:wrap type="none"/>
              </v:shape>
            </w:pict>
          </mc:Fallback>
        </mc:AlternateContent>
      </w:r>
      <w:r>
        <w:rPr>
          <w:b/>
          <w:color w:val="1A4796"/>
        </w:rPr>
        <w:t>El 6 de junio de 2022, </w:t>
      </w:r>
      <w:r>
        <w:rPr>
          <w:color w:val="231F20"/>
        </w:rPr>
        <w:t>el 31 Congreso del Partido Comunista de </w:t>
      </w:r>
      <w:r>
        <w:rPr>
          <w:color w:val="231F20"/>
        </w:rPr>
        <w:t>Noruega </w:t>
      </w:r>
      <w:r>
        <w:rPr>
          <w:color w:val="231F20"/>
          <w:spacing w:val="-4"/>
        </w:rPr>
        <w:t>(NKP),</w:t>
      </w:r>
      <w:r>
        <w:rPr>
          <w:color w:val="231F20"/>
          <w:spacing w:val="-9"/>
        </w:rPr>
        <w:t> </w:t>
      </w:r>
      <w:r>
        <w:rPr>
          <w:color w:val="231F20"/>
          <w:spacing w:val="-4"/>
        </w:rPr>
        <w:t>celebrado</w:t>
      </w:r>
      <w:r>
        <w:rPr>
          <w:color w:val="231F20"/>
          <w:spacing w:val="-9"/>
        </w:rPr>
        <w:t> </w:t>
      </w:r>
      <w:r>
        <w:rPr>
          <w:color w:val="231F20"/>
          <w:spacing w:val="-4"/>
        </w:rPr>
        <w:t>en</w:t>
      </w:r>
      <w:r>
        <w:rPr>
          <w:color w:val="231F20"/>
          <w:spacing w:val="-9"/>
        </w:rPr>
        <w:t> </w:t>
      </w:r>
      <w:r>
        <w:rPr>
          <w:color w:val="231F20"/>
          <w:spacing w:val="-4"/>
        </w:rPr>
        <w:t>la</w:t>
      </w:r>
      <w:r>
        <w:rPr>
          <w:color w:val="231F20"/>
          <w:spacing w:val="-9"/>
        </w:rPr>
        <w:t> </w:t>
      </w:r>
      <w:r>
        <w:rPr>
          <w:color w:val="231F20"/>
          <w:spacing w:val="-4"/>
        </w:rPr>
        <w:t>ciudad</w:t>
      </w:r>
      <w:r>
        <w:rPr>
          <w:color w:val="231F20"/>
          <w:spacing w:val="-9"/>
        </w:rPr>
        <w:t> </w:t>
      </w:r>
      <w:r>
        <w:rPr>
          <w:color w:val="231F20"/>
          <w:spacing w:val="-4"/>
        </w:rPr>
        <w:t>de</w:t>
      </w:r>
      <w:r>
        <w:rPr>
          <w:color w:val="231F20"/>
          <w:spacing w:val="-9"/>
        </w:rPr>
        <w:t> </w:t>
      </w:r>
      <w:r>
        <w:rPr>
          <w:color w:val="231F20"/>
          <w:spacing w:val="-4"/>
        </w:rPr>
        <w:t>Bergen, </w:t>
      </w:r>
      <w:r>
        <w:rPr>
          <w:color w:val="231F20"/>
        </w:rPr>
        <w:t>aprobó una Declaración de solidaridad con Cuba y de denuncia al bloqueo.</w:t>
      </w:r>
    </w:p>
    <w:p>
      <w:pPr>
        <w:pStyle w:val="BodyText"/>
        <w:spacing w:before="164"/>
        <w:ind w:left="1394"/>
      </w:pPr>
      <w:r>
        <w:rPr/>
        <mc:AlternateContent>
          <mc:Choice Requires="wps">
            <w:drawing>
              <wp:anchor distT="0" distB="0" distL="0" distR="0" allowOverlap="1" layoutInCell="1" locked="0" behindDoc="0" simplePos="0" relativeHeight="15763456">
                <wp:simplePos x="0" y="0"/>
                <wp:positionH relativeFrom="page">
                  <wp:posOffset>719997</wp:posOffset>
                </wp:positionH>
                <wp:positionV relativeFrom="paragraph">
                  <wp:posOffset>190001</wp:posOffset>
                </wp:positionV>
                <wp:extent cx="59690" cy="59690"/>
                <wp:effectExtent l="0" t="0" r="0" b="0"/>
                <wp:wrapNone/>
                <wp:docPr id="120" name="Graphic 120"/>
                <wp:cNvGraphicFramePr>
                  <a:graphicFrameLocks/>
                </wp:cNvGraphicFramePr>
                <a:graphic>
                  <a:graphicData uri="http://schemas.microsoft.com/office/word/2010/wordprocessingShape">
                    <wps:wsp>
                      <wps:cNvPr id="120" name="Graphic 12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960762pt;width:4.7pt;height:4.7pt;mso-position-horizontal-relative:page;mso-position-vertical-relative:paragraph;z-index:15763456" id="docshape93" coordorigin="1134,299" coordsize="94,94" path="m1180,299l1162,303,1148,313,1138,328,1134,346,1138,364,1148,379,1162,389,1180,392,1199,389,1213,379,1223,364,1227,346,1223,328,1213,313,1199,303,1180,299xe" filled="true" fillcolor="#1a4796" stroked="false">
                <v:path arrowok="t"/>
                <v:fill type="solid"/>
                <w10:wrap type="none"/>
              </v:shape>
            </w:pict>
          </mc:Fallback>
        </mc:AlternateContent>
      </w:r>
      <w:r>
        <w:rPr>
          <w:b/>
          <w:color w:val="1A4796"/>
        </w:rPr>
        <w:t>Del 3 al 5 de julio de 2022, </w:t>
      </w:r>
      <w:r>
        <w:rPr>
          <w:color w:val="231F20"/>
        </w:rPr>
        <w:t>durante</w:t>
      </w:r>
      <w:r>
        <w:rPr>
          <w:color w:val="231F20"/>
          <w:spacing w:val="80"/>
          <w:w w:val="150"/>
        </w:rPr>
        <w:t> </w:t>
      </w:r>
      <w:r>
        <w:rPr>
          <w:color w:val="231F20"/>
        </w:rPr>
        <w:t>la 43 Reunión de Jefes de Gobierno de CARICOM, celebrada en </w:t>
      </w:r>
      <w:r>
        <w:rPr>
          <w:color w:val="231F20"/>
        </w:rPr>
        <w:t>Paramaribo, Surinam,</w:t>
      </w:r>
      <w:r>
        <w:rPr>
          <w:color w:val="231F20"/>
          <w:spacing w:val="-7"/>
        </w:rPr>
        <w:t> </w:t>
      </w:r>
      <w:r>
        <w:rPr>
          <w:color w:val="231F20"/>
        </w:rPr>
        <w:t>se</w:t>
      </w:r>
      <w:r>
        <w:rPr>
          <w:color w:val="231F20"/>
          <w:spacing w:val="-7"/>
        </w:rPr>
        <w:t> </w:t>
      </w:r>
      <w:r>
        <w:rPr>
          <w:color w:val="231F20"/>
        </w:rPr>
        <w:t>enfatizó</w:t>
      </w:r>
      <w:r>
        <w:rPr>
          <w:color w:val="231F20"/>
          <w:spacing w:val="-7"/>
        </w:rPr>
        <w:t> </w:t>
      </w:r>
      <w:r>
        <w:rPr>
          <w:color w:val="231F20"/>
        </w:rPr>
        <w:t>en</w:t>
      </w:r>
      <w:r>
        <w:rPr>
          <w:color w:val="231F20"/>
          <w:spacing w:val="-7"/>
        </w:rPr>
        <w:t> </w:t>
      </w:r>
      <w:r>
        <w:rPr>
          <w:color w:val="231F20"/>
        </w:rPr>
        <w:t>la</w:t>
      </w:r>
      <w:r>
        <w:rPr>
          <w:color w:val="231F20"/>
          <w:spacing w:val="-7"/>
        </w:rPr>
        <w:t> </w:t>
      </w:r>
      <w:r>
        <w:rPr>
          <w:color w:val="231F20"/>
        </w:rPr>
        <w:t>necesidad</w:t>
      </w:r>
      <w:r>
        <w:rPr>
          <w:color w:val="231F20"/>
          <w:spacing w:val="-7"/>
        </w:rPr>
        <w:t> </w:t>
      </w:r>
      <w:r>
        <w:rPr>
          <w:color w:val="231F20"/>
        </w:rPr>
        <w:t>de poner</w:t>
      </w:r>
      <w:r>
        <w:rPr>
          <w:color w:val="231F20"/>
          <w:spacing w:val="-9"/>
        </w:rPr>
        <w:t> </w:t>
      </w:r>
      <w:r>
        <w:rPr>
          <w:color w:val="231F20"/>
        </w:rPr>
        <w:t>fin</w:t>
      </w:r>
      <w:r>
        <w:rPr>
          <w:color w:val="231F20"/>
          <w:spacing w:val="-9"/>
        </w:rPr>
        <w:t> </w:t>
      </w:r>
      <w:r>
        <w:rPr>
          <w:color w:val="231F20"/>
        </w:rPr>
        <w:t>al</w:t>
      </w:r>
      <w:r>
        <w:rPr>
          <w:color w:val="231F20"/>
          <w:spacing w:val="-9"/>
        </w:rPr>
        <w:t> </w:t>
      </w:r>
      <w:r>
        <w:rPr>
          <w:color w:val="231F20"/>
        </w:rPr>
        <w:t>bloqueo</w:t>
      </w:r>
      <w:r>
        <w:rPr>
          <w:color w:val="231F20"/>
          <w:spacing w:val="-9"/>
        </w:rPr>
        <w:t> </w:t>
      </w:r>
      <w:r>
        <w:rPr>
          <w:color w:val="231F20"/>
        </w:rPr>
        <w:t>a</w:t>
      </w:r>
      <w:r>
        <w:rPr>
          <w:color w:val="231F20"/>
          <w:spacing w:val="-9"/>
        </w:rPr>
        <w:t> </w:t>
      </w:r>
      <w:r>
        <w:rPr>
          <w:color w:val="231F20"/>
        </w:rPr>
        <w:t>Cuba</w:t>
      </w:r>
      <w:r>
        <w:rPr>
          <w:color w:val="231F20"/>
          <w:spacing w:val="-9"/>
        </w:rPr>
        <w:t> </w:t>
      </w:r>
      <w:r>
        <w:rPr>
          <w:color w:val="231F20"/>
        </w:rPr>
        <w:t>y</w:t>
      </w:r>
      <w:r>
        <w:rPr>
          <w:color w:val="231F20"/>
          <w:spacing w:val="-9"/>
        </w:rPr>
        <w:t> </w:t>
      </w:r>
      <w:r>
        <w:rPr>
          <w:color w:val="231F20"/>
        </w:rPr>
        <w:t>se</w:t>
      </w:r>
      <w:r>
        <w:rPr>
          <w:color w:val="231F20"/>
          <w:spacing w:val="-9"/>
        </w:rPr>
        <w:t> </w:t>
      </w:r>
      <w:r>
        <w:rPr>
          <w:color w:val="231F20"/>
        </w:rPr>
        <w:t>instó</w:t>
      </w:r>
      <w:r>
        <w:rPr>
          <w:color w:val="231F20"/>
          <w:spacing w:val="-9"/>
        </w:rPr>
        <w:t> </w:t>
      </w:r>
      <w:r>
        <w:rPr>
          <w:color w:val="231F20"/>
        </w:rPr>
        <w:t>a los</w:t>
      </w:r>
      <w:r>
        <w:rPr>
          <w:color w:val="231F20"/>
          <w:spacing w:val="-12"/>
        </w:rPr>
        <w:t> </w:t>
      </w:r>
      <w:r>
        <w:rPr>
          <w:color w:val="231F20"/>
        </w:rPr>
        <w:t>líderes</w:t>
      </w:r>
      <w:r>
        <w:rPr>
          <w:color w:val="231F20"/>
          <w:spacing w:val="-12"/>
        </w:rPr>
        <w:t> </w:t>
      </w:r>
      <w:r>
        <w:rPr>
          <w:color w:val="231F20"/>
        </w:rPr>
        <w:t>de</w:t>
      </w:r>
      <w:r>
        <w:rPr>
          <w:color w:val="231F20"/>
          <w:spacing w:val="-12"/>
        </w:rPr>
        <w:t> </w:t>
      </w:r>
      <w:r>
        <w:rPr>
          <w:color w:val="231F20"/>
        </w:rPr>
        <w:t>la</w:t>
      </w:r>
      <w:r>
        <w:rPr>
          <w:color w:val="231F20"/>
          <w:spacing w:val="-12"/>
        </w:rPr>
        <w:t> </w:t>
      </w:r>
      <w:r>
        <w:rPr>
          <w:color w:val="231F20"/>
        </w:rPr>
        <w:t>Comunidad</w:t>
      </w:r>
      <w:r>
        <w:rPr>
          <w:color w:val="231F20"/>
          <w:spacing w:val="-12"/>
        </w:rPr>
        <w:t> </w:t>
      </w:r>
      <w:r>
        <w:rPr>
          <w:color w:val="231F20"/>
        </w:rPr>
        <w:t>a</w:t>
      </w:r>
      <w:r>
        <w:rPr>
          <w:color w:val="231F20"/>
          <w:spacing w:val="-12"/>
        </w:rPr>
        <w:t> </w:t>
      </w:r>
      <w:r>
        <w:rPr>
          <w:color w:val="231F20"/>
        </w:rPr>
        <w:t>continuar comprometiéndose en los esfuerzos por poner fin a esta política.</w:t>
      </w:r>
    </w:p>
    <w:p>
      <w:pPr>
        <w:spacing w:before="166"/>
        <w:ind w:left="1394" w:right="0" w:firstLine="0"/>
        <w:jc w:val="both"/>
        <w:rPr>
          <w:sz w:val="24"/>
        </w:rPr>
      </w:pPr>
      <w:r>
        <w:rPr/>
        <mc:AlternateContent>
          <mc:Choice Requires="wps">
            <w:drawing>
              <wp:anchor distT="0" distB="0" distL="0" distR="0" allowOverlap="1" layoutInCell="1" locked="0" behindDoc="0" simplePos="0" relativeHeight="15763968">
                <wp:simplePos x="0" y="0"/>
                <wp:positionH relativeFrom="page">
                  <wp:posOffset>719997</wp:posOffset>
                </wp:positionH>
                <wp:positionV relativeFrom="paragraph">
                  <wp:posOffset>191532</wp:posOffset>
                </wp:positionV>
                <wp:extent cx="59690" cy="59690"/>
                <wp:effectExtent l="0" t="0" r="0" b="0"/>
                <wp:wrapNone/>
                <wp:docPr id="121" name="Graphic 121"/>
                <wp:cNvGraphicFramePr>
                  <a:graphicFrameLocks/>
                </wp:cNvGraphicFramePr>
                <a:graphic>
                  <a:graphicData uri="http://schemas.microsoft.com/office/word/2010/wordprocessingShape">
                    <wps:wsp>
                      <wps:cNvPr id="121" name="Graphic 12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5.081263pt;width:4.7pt;height:4.7pt;mso-position-horizontal-relative:page;mso-position-vertical-relative:paragraph;z-index:15763968" id="docshape94" coordorigin="1134,302" coordsize="94,94" path="m1180,302l1162,305,1148,315,1138,330,1134,348,1138,366,1148,381,1162,391,1180,395,1199,391,1213,381,1223,366,1227,348,1223,330,1213,315,1199,305,1180,302xe" filled="true" fillcolor="#1a4796" stroked="false">
                <v:path arrowok="t"/>
                <v:fill type="solid"/>
                <w10:wrap type="none"/>
              </v:shape>
            </w:pict>
          </mc:Fallback>
        </mc:AlternateContent>
      </w:r>
      <w:r>
        <w:rPr>
          <w:b/>
          <w:color w:val="1A4796"/>
          <w:sz w:val="24"/>
        </w:rPr>
        <w:t>El</w:t>
      </w:r>
      <w:r>
        <w:rPr>
          <w:b/>
          <w:color w:val="1A4796"/>
          <w:spacing w:val="54"/>
          <w:sz w:val="24"/>
        </w:rPr>
        <w:t> </w:t>
      </w:r>
      <w:r>
        <w:rPr>
          <w:b/>
          <w:color w:val="1A4796"/>
          <w:sz w:val="24"/>
        </w:rPr>
        <w:t>15</w:t>
      </w:r>
      <w:r>
        <w:rPr>
          <w:b/>
          <w:color w:val="1A4796"/>
          <w:spacing w:val="56"/>
          <w:sz w:val="24"/>
        </w:rPr>
        <w:t> </w:t>
      </w:r>
      <w:r>
        <w:rPr>
          <w:b/>
          <w:color w:val="1A4796"/>
          <w:sz w:val="24"/>
        </w:rPr>
        <w:t>de</w:t>
      </w:r>
      <w:r>
        <w:rPr>
          <w:b/>
          <w:color w:val="1A4796"/>
          <w:spacing w:val="56"/>
          <w:sz w:val="24"/>
        </w:rPr>
        <w:t> </w:t>
      </w:r>
      <w:r>
        <w:rPr>
          <w:b/>
          <w:color w:val="1A4796"/>
          <w:sz w:val="24"/>
        </w:rPr>
        <w:t>julio</w:t>
      </w:r>
      <w:r>
        <w:rPr>
          <w:b/>
          <w:color w:val="1A4796"/>
          <w:spacing w:val="56"/>
          <w:sz w:val="24"/>
        </w:rPr>
        <w:t> </w:t>
      </w:r>
      <w:r>
        <w:rPr>
          <w:b/>
          <w:color w:val="1A4796"/>
          <w:sz w:val="24"/>
        </w:rPr>
        <w:t>de</w:t>
      </w:r>
      <w:r>
        <w:rPr>
          <w:b/>
          <w:color w:val="1A4796"/>
          <w:spacing w:val="56"/>
          <w:sz w:val="24"/>
        </w:rPr>
        <w:t> </w:t>
      </w:r>
      <w:r>
        <w:rPr>
          <w:b/>
          <w:color w:val="1A4796"/>
          <w:sz w:val="24"/>
        </w:rPr>
        <w:t>2022,</w:t>
      </w:r>
      <w:r>
        <w:rPr>
          <w:b/>
          <w:color w:val="1A4796"/>
          <w:spacing w:val="55"/>
          <w:sz w:val="24"/>
        </w:rPr>
        <w:t> </w:t>
      </w:r>
      <w:r>
        <w:rPr>
          <w:color w:val="231F20"/>
          <w:sz w:val="24"/>
        </w:rPr>
        <w:t>el</w:t>
      </w:r>
      <w:r>
        <w:rPr>
          <w:color w:val="231F20"/>
          <w:spacing w:val="55"/>
          <w:sz w:val="24"/>
        </w:rPr>
        <w:t> </w:t>
      </w:r>
      <w:r>
        <w:rPr>
          <w:color w:val="231F20"/>
          <w:spacing w:val="-7"/>
          <w:sz w:val="24"/>
        </w:rPr>
        <w:t>secretario</w:t>
      </w:r>
    </w:p>
    <w:p>
      <w:pPr>
        <w:pStyle w:val="BodyText"/>
        <w:spacing w:before="77"/>
        <w:ind w:left="673" w:right="1478"/>
      </w:pPr>
      <w:r>
        <w:rPr/>
        <w:br w:type="column"/>
      </w:r>
      <w:r>
        <w:rPr>
          <w:color w:val="231F20"/>
          <w:spacing w:val="-12"/>
        </w:rPr>
        <w:t>general</w:t>
      </w:r>
      <w:r>
        <w:rPr>
          <w:color w:val="231F20"/>
          <w:spacing w:val="-4"/>
        </w:rPr>
        <w:t> </w:t>
      </w:r>
      <w:r>
        <w:rPr>
          <w:color w:val="231F20"/>
          <w:spacing w:val="-12"/>
        </w:rPr>
        <w:t>del</w:t>
      </w:r>
      <w:r>
        <w:rPr>
          <w:color w:val="231F20"/>
          <w:spacing w:val="-4"/>
        </w:rPr>
        <w:t> </w:t>
      </w:r>
      <w:r>
        <w:rPr>
          <w:color w:val="231F20"/>
          <w:spacing w:val="-12"/>
        </w:rPr>
        <w:t>Partido</w:t>
      </w:r>
      <w:r>
        <w:rPr>
          <w:color w:val="231F20"/>
          <w:spacing w:val="-4"/>
        </w:rPr>
        <w:t> </w:t>
      </w:r>
      <w:r>
        <w:rPr>
          <w:color w:val="231F20"/>
          <w:spacing w:val="-12"/>
        </w:rPr>
        <w:t>Comunista</w:t>
      </w:r>
      <w:r>
        <w:rPr>
          <w:color w:val="231F20"/>
          <w:spacing w:val="-4"/>
        </w:rPr>
        <w:t> </w:t>
      </w:r>
      <w:r>
        <w:rPr>
          <w:color w:val="231F20"/>
          <w:spacing w:val="-12"/>
        </w:rPr>
        <w:t>de</w:t>
      </w:r>
      <w:r>
        <w:rPr>
          <w:color w:val="231F20"/>
          <w:spacing w:val="-4"/>
        </w:rPr>
        <w:t> </w:t>
      </w:r>
      <w:r>
        <w:rPr>
          <w:color w:val="231F20"/>
          <w:spacing w:val="-12"/>
        </w:rPr>
        <w:t>Sudáfrica </w:t>
      </w:r>
      <w:r>
        <w:rPr>
          <w:color w:val="231F20"/>
          <w:spacing w:val="-8"/>
        </w:rPr>
        <w:t>(PCSA),</w:t>
      </w:r>
      <w:r>
        <w:rPr>
          <w:color w:val="231F20"/>
          <w:spacing w:val="-9"/>
        </w:rPr>
        <w:t> </w:t>
      </w:r>
      <w:r>
        <w:rPr>
          <w:color w:val="231F20"/>
          <w:spacing w:val="-8"/>
        </w:rPr>
        <w:t>Solly Mapaila,</w:t>
      </w:r>
      <w:r>
        <w:rPr>
          <w:color w:val="231F20"/>
          <w:spacing w:val="-9"/>
        </w:rPr>
        <w:t> </w:t>
      </w:r>
      <w:r>
        <w:rPr>
          <w:color w:val="231F20"/>
          <w:spacing w:val="-8"/>
        </w:rPr>
        <w:t>condenó el</w:t>
      </w:r>
      <w:r>
        <w:rPr>
          <w:color w:val="231F20"/>
          <w:spacing w:val="-9"/>
        </w:rPr>
        <w:t> </w:t>
      </w:r>
      <w:r>
        <w:rPr>
          <w:color w:val="231F20"/>
          <w:spacing w:val="-8"/>
        </w:rPr>
        <w:t>bloqueo </w:t>
      </w:r>
      <w:r>
        <w:rPr>
          <w:color w:val="231F20"/>
        </w:rPr>
        <w:t>de</w:t>
      </w:r>
      <w:r>
        <w:rPr>
          <w:color w:val="231F20"/>
          <w:spacing w:val="-17"/>
        </w:rPr>
        <w:t> </w:t>
      </w:r>
      <w:r>
        <w:rPr>
          <w:color w:val="231F20"/>
        </w:rPr>
        <w:t>los</w:t>
      </w:r>
      <w:r>
        <w:rPr>
          <w:color w:val="231F20"/>
          <w:spacing w:val="-16"/>
        </w:rPr>
        <w:t> </w:t>
      </w:r>
      <w:r>
        <w:rPr>
          <w:color w:val="231F20"/>
        </w:rPr>
        <w:t>Estados</w:t>
      </w:r>
      <w:r>
        <w:rPr>
          <w:color w:val="231F20"/>
          <w:spacing w:val="-17"/>
        </w:rPr>
        <w:t> </w:t>
      </w:r>
      <w:r>
        <w:rPr>
          <w:color w:val="231F20"/>
        </w:rPr>
        <w:t>Unidos</w:t>
      </w:r>
      <w:r>
        <w:rPr>
          <w:color w:val="231F20"/>
          <w:spacing w:val="-16"/>
        </w:rPr>
        <w:t> </w:t>
      </w:r>
      <w:r>
        <w:rPr>
          <w:color w:val="231F20"/>
        </w:rPr>
        <w:t>contra</w:t>
      </w:r>
      <w:r>
        <w:rPr>
          <w:color w:val="231F20"/>
          <w:spacing w:val="-17"/>
        </w:rPr>
        <w:t> </w:t>
      </w:r>
      <w:r>
        <w:rPr>
          <w:color w:val="231F20"/>
        </w:rPr>
        <w:t>Cuba</w:t>
      </w:r>
      <w:r>
        <w:rPr>
          <w:color w:val="231F20"/>
          <w:spacing w:val="-16"/>
        </w:rPr>
        <w:t> </w:t>
      </w:r>
      <w:r>
        <w:rPr>
          <w:color w:val="231F20"/>
        </w:rPr>
        <w:t>en</w:t>
      </w:r>
      <w:r>
        <w:rPr>
          <w:color w:val="231F20"/>
          <w:spacing w:val="-17"/>
        </w:rPr>
        <w:t> </w:t>
      </w:r>
      <w:r>
        <w:rPr>
          <w:color w:val="231F20"/>
        </w:rPr>
        <w:t>el </w:t>
      </w:r>
      <w:r>
        <w:rPr>
          <w:color w:val="231F20"/>
          <w:spacing w:val="-8"/>
        </w:rPr>
        <w:t>XV</w:t>
      </w:r>
      <w:r>
        <w:rPr>
          <w:color w:val="231F20"/>
          <w:spacing w:val="-9"/>
        </w:rPr>
        <w:t> </w:t>
      </w:r>
      <w:r>
        <w:rPr>
          <w:color w:val="231F20"/>
          <w:spacing w:val="-8"/>
        </w:rPr>
        <w:t>Congreso Nacional</w:t>
      </w:r>
      <w:r>
        <w:rPr>
          <w:color w:val="231F20"/>
          <w:spacing w:val="-9"/>
        </w:rPr>
        <w:t> </w:t>
      </w:r>
      <w:r>
        <w:rPr>
          <w:color w:val="231F20"/>
          <w:spacing w:val="-8"/>
        </w:rPr>
        <w:t>del Partido.</w:t>
      </w:r>
      <w:r>
        <w:rPr>
          <w:color w:val="231F20"/>
          <w:spacing w:val="-9"/>
        </w:rPr>
        <w:t> </w:t>
      </w:r>
      <w:r>
        <w:rPr>
          <w:color w:val="231F20"/>
          <w:spacing w:val="-8"/>
        </w:rPr>
        <w:t>Una de </w:t>
      </w:r>
      <w:r>
        <w:rPr>
          <w:color w:val="231F20"/>
          <w:spacing w:val="-6"/>
        </w:rPr>
        <w:t>las resoluciones aprobadas por el Comité </w:t>
      </w:r>
      <w:r>
        <w:rPr>
          <w:color w:val="231F20"/>
          <w:spacing w:val="-8"/>
        </w:rPr>
        <w:t>Central del Partido llama al levantamiento </w:t>
      </w:r>
      <w:r>
        <w:rPr>
          <w:color w:val="231F20"/>
        </w:rPr>
        <w:t>de</w:t>
      </w:r>
      <w:r>
        <w:rPr>
          <w:color w:val="231F20"/>
          <w:spacing w:val="-13"/>
        </w:rPr>
        <w:t> </w:t>
      </w:r>
      <w:r>
        <w:rPr>
          <w:color w:val="231F20"/>
        </w:rPr>
        <w:t>esta</w:t>
      </w:r>
      <w:r>
        <w:rPr>
          <w:color w:val="231F20"/>
          <w:spacing w:val="-13"/>
        </w:rPr>
        <w:t> </w:t>
      </w:r>
      <w:r>
        <w:rPr>
          <w:color w:val="231F20"/>
        </w:rPr>
        <w:t>injusta</w:t>
      </w:r>
      <w:r>
        <w:rPr>
          <w:color w:val="231F20"/>
          <w:spacing w:val="-13"/>
        </w:rPr>
        <w:t> </w:t>
      </w:r>
      <w:r>
        <w:rPr>
          <w:color w:val="231F20"/>
        </w:rPr>
        <w:t>política.</w:t>
      </w:r>
    </w:p>
    <w:p>
      <w:pPr>
        <w:spacing w:before="165"/>
        <w:ind w:left="673" w:right="1471" w:firstLine="0"/>
        <w:jc w:val="both"/>
        <w:rPr>
          <w:sz w:val="24"/>
        </w:rPr>
      </w:pPr>
      <w:r>
        <w:rPr/>
        <mc:AlternateContent>
          <mc:Choice Requires="wps">
            <w:drawing>
              <wp:anchor distT="0" distB="0" distL="0" distR="0" allowOverlap="1" layoutInCell="1" locked="0" behindDoc="0" simplePos="0" relativeHeight="15762432">
                <wp:simplePos x="0" y="0"/>
                <wp:positionH relativeFrom="page">
                  <wp:posOffset>3815998</wp:posOffset>
                </wp:positionH>
                <wp:positionV relativeFrom="paragraph">
                  <wp:posOffset>186775</wp:posOffset>
                </wp:positionV>
                <wp:extent cx="59690" cy="59690"/>
                <wp:effectExtent l="0" t="0" r="0" b="0"/>
                <wp:wrapNone/>
                <wp:docPr id="122" name="Graphic 122"/>
                <wp:cNvGraphicFramePr>
                  <a:graphicFrameLocks/>
                </wp:cNvGraphicFramePr>
                <a:graphic>
                  <a:graphicData uri="http://schemas.microsoft.com/office/word/2010/wordprocessingShape">
                    <wps:wsp>
                      <wps:cNvPr id="122" name="Graphic 12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706738pt;width:4.7pt;height:4.7pt;mso-position-horizontal-relative:page;mso-position-vertical-relative:paragraph;z-index:15762432" id="docshape95" coordorigin="6009,294" coordsize="94,94" path="m6056,294l6038,298,6023,308,6013,323,6009,341,6013,359,6023,374,6038,384,6056,387,6074,384,6089,374,6099,359,6103,341,6099,323,6089,308,6074,298,6056,294xe" filled="true" fillcolor="#1a4796" stroked="false">
                <v:path arrowok="t"/>
                <v:fill type="solid"/>
                <w10:wrap type="none"/>
              </v:shape>
            </w:pict>
          </mc:Fallback>
        </mc:AlternateContent>
      </w:r>
      <w:r>
        <w:rPr>
          <w:b/>
          <w:color w:val="1A4796"/>
          <w:sz w:val="24"/>
        </w:rPr>
        <w:t>El 30 de agosto de 2022, </w:t>
      </w:r>
      <w:r>
        <w:rPr>
          <w:color w:val="231F20"/>
          <w:sz w:val="24"/>
        </w:rPr>
        <w:t>la </w:t>
      </w:r>
      <w:r>
        <w:rPr>
          <w:color w:val="231F20"/>
          <w:sz w:val="24"/>
        </w:rPr>
        <w:t>Asamblea Nacional de Ecuador aprobó una resolución de condena al bloqueo.</w:t>
      </w:r>
    </w:p>
    <w:p>
      <w:pPr>
        <w:pStyle w:val="BodyText"/>
        <w:spacing w:before="163"/>
        <w:ind w:left="673" w:right="1470"/>
      </w:pPr>
      <w:r>
        <w:rPr/>
        <mc:AlternateContent>
          <mc:Choice Requires="wps">
            <w:drawing>
              <wp:anchor distT="0" distB="0" distL="0" distR="0" allowOverlap="1" layoutInCell="1" locked="0" behindDoc="0" simplePos="0" relativeHeight="15761920">
                <wp:simplePos x="0" y="0"/>
                <wp:positionH relativeFrom="page">
                  <wp:posOffset>3815998</wp:posOffset>
                </wp:positionH>
                <wp:positionV relativeFrom="paragraph">
                  <wp:posOffset>183088</wp:posOffset>
                </wp:positionV>
                <wp:extent cx="59690" cy="59690"/>
                <wp:effectExtent l="0" t="0" r="0" b="0"/>
                <wp:wrapNone/>
                <wp:docPr id="123" name="Graphic 123"/>
                <wp:cNvGraphicFramePr>
                  <a:graphicFrameLocks/>
                </wp:cNvGraphicFramePr>
                <a:graphic>
                  <a:graphicData uri="http://schemas.microsoft.com/office/word/2010/wordprocessingShape">
                    <wps:wsp>
                      <wps:cNvPr id="123" name="Graphic 12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416425pt;width:4.7pt;height:4.7pt;mso-position-horizontal-relative:page;mso-position-vertical-relative:paragraph;z-index:15761920" id="docshape96" coordorigin="6009,288" coordsize="94,94" path="m6056,288l6038,292,6023,302,6013,317,6009,335,6013,353,6023,368,6038,378,6056,382,6074,378,6089,368,6099,353,6103,335,6099,317,6089,302,6074,292,6056,288xe" filled="true" fillcolor="#1a4796" stroked="false">
                <v:path arrowok="t"/>
                <v:fill type="solid"/>
                <w10:wrap type="none"/>
              </v:shape>
            </w:pict>
          </mc:Fallback>
        </mc:AlternateContent>
      </w:r>
      <w:r>
        <w:rPr>
          <w:b/>
          <w:color w:val="1A4796"/>
        </w:rPr>
        <w:t>El</w:t>
      </w:r>
      <w:r>
        <w:rPr>
          <w:b/>
          <w:color w:val="1A4796"/>
          <w:spacing w:val="40"/>
        </w:rPr>
        <w:t> </w:t>
      </w:r>
      <w:r>
        <w:rPr>
          <w:b/>
          <w:color w:val="1A4796"/>
        </w:rPr>
        <w:t>30</w:t>
      </w:r>
      <w:r>
        <w:rPr>
          <w:b/>
          <w:color w:val="1A4796"/>
          <w:spacing w:val="40"/>
        </w:rPr>
        <w:t> </w:t>
      </w:r>
      <w:r>
        <w:rPr>
          <w:b/>
          <w:color w:val="1A4796"/>
        </w:rPr>
        <w:t>de</w:t>
      </w:r>
      <w:r>
        <w:rPr>
          <w:b/>
          <w:color w:val="1A4796"/>
          <w:spacing w:val="40"/>
        </w:rPr>
        <w:t> </w:t>
      </w:r>
      <w:r>
        <w:rPr>
          <w:b/>
          <w:color w:val="1A4796"/>
        </w:rPr>
        <w:t>agosto</w:t>
      </w:r>
      <w:r>
        <w:rPr>
          <w:b/>
          <w:color w:val="1A4796"/>
          <w:spacing w:val="40"/>
        </w:rPr>
        <w:t> </w:t>
      </w:r>
      <w:r>
        <w:rPr>
          <w:b/>
          <w:color w:val="1A4796"/>
        </w:rPr>
        <w:t>de</w:t>
      </w:r>
      <w:r>
        <w:rPr>
          <w:b/>
          <w:color w:val="1A4796"/>
          <w:spacing w:val="40"/>
        </w:rPr>
        <w:t> </w:t>
      </w:r>
      <w:r>
        <w:rPr>
          <w:b/>
          <w:color w:val="1A4796"/>
        </w:rPr>
        <w:t>2022,</w:t>
      </w:r>
      <w:r>
        <w:rPr>
          <w:b/>
          <w:color w:val="1A4796"/>
          <w:spacing w:val="40"/>
        </w:rPr>
        <w:t> </w:t>
      </w:r>
      <w:r>
        <w:rPr>
          <w:color w:val="231F20"/>
        </w:rPr>
        <w:t>durante</w:t>
      </w:r>
      <w:r>
        <w:rPr>
          <w:color w:val="231F20"/>
          <w:spacing w:val="80"/>
          <w:w w:val="150"/>
        </w:rPr>
        <w:t> </w:t>
      </w:r>
      <w:r>
        <w:rPr>
          <w:color w:val="231F20"/>
        </w:rPr>
        <w:t>la visita del canciller cubano, </w:t>
      </w:r>
      <w:r>
        <w:rPr>
          <w:color w:val="231F20"/>
        </w:rPr>
        <w:t>Bruno </w:t>
      </w:r>
      <w:r>
        <w:rPr>
          <w:color w:val="231F20"/>
          <w:spacing w:val="-2"/>
        </w:rPr>
        <w:t>Rodríguez</w:t>
      </w:r>
      <w:r>
        <w:rPr>
          <w:color w:val="231F20"/>
          <w:spacing w:val="-12"/>
        </w:rPr>
        <w:t> </w:t>
      </w:r>
      <w:r>
        <w:rPr>
          <w:color w:val="231F20"/>
          <w:spacing w:val="-2"/>
        </w:rPr>
        <w:t>Parrilla</w:t>
      </w:r>
      <w:r>
        <w:rPr>
          <w:color w:val="231F20"/>
          <w:spacing w:val="-12"/>
        </w:rPr>
        <w:t> </w:t>
      </w:r>
      <w:r>
        <w:rPr>
          <w:color w:val="231F20"/>
          <w:spacing w:val="-2"/>
        </w:rPr>
        <w:t>a</w:t>
      </w:r>
      <w:r>
        <w:rPr>
          <w:color w:val="231F20"/>
          <w:spacing w:val="-12"/>
        </w:rPr>
        <w:t> </w:t>
      </w:r>
      <w:r>
        <w:rPr>
          <w:color w:val="231F20"/>
          <w:spacing w:val="-2"/>
        </w:rPr>
        <w:t>Serbia,</w:t>
      </w:r>
      <w:r>
        <w:rPr>
          <w:color w:val="231F20"/>
          <w:spacing w:val="-12"/>
        </w:rPr>
        <w:t> </w:t>
      </w:r>
      <w:r>
        <w:rPr>
          <w:color w:val="231F20"/>
          <w:spacing w:val="-2"/>
        </w:rPr>
        <w:t>el</w:t>
      </w:r>
      <w:r>
        <w:rPr>
          <w:color w:val="231F20"/>
          <w:spacing w:val="-12"/>
        </w:rPr>
        <w:t> </w:t>
      </w:r>
      <w:r>
        <w:rPr>
          <w:color w:val="231F20"/>
          <w:spacing w:val="-2"/>
        </w:rPr>
        <w:t>presidente </w:t>
      </w:r>
      <w:r>
        <w:rPr>
          <w:color w:val="231F20"/>
        </w:rPr>
        <w:t>Aleksandar Vučić, tuvo expresiones de apoyo a la resolución cubana contra el bloqueo estadounidense que cada año aprueba la Asamblea General de las Naciones Unidas.</w:t>
      </w:r>
    </w:p>
    <w:p>
      <w:pPr>
        <w:pStyle w:val="BodyText"/>
        <w:spacing w:before="166"/>
        <w:ind w:left="673" w:right="1473"/>
      </w:pPr>
      <w:r>
        <w:rPr/>
        <mc:AlternateContent>
          <mc:Choice Requires="wps">
            <w:drawing>
              <wp:anchor distT="0" distB="0" distL="0" distR="0" allowOverlap="1" layoutInCell="1" locked="0" behindDoc="0" simplePos="0" relativeHeight="15760384">
                <wp:simplePos x="0" y="0"/>
                <wp:positionH relativeFrom="page">
                  <wp:posOffset>3815998</wp:posOffset>
                </wp:positionH>
                <wp:positionV relativeFrom="paragraph">
                  <wp:posOffset>192349</wp:posOffset>
                </wp:positionV>
                <wp:extent cx="59690" cy="59690"/>
                <wp:effectExtent l="0" t="0" r="0" b="0"/>
                <wp:wrapNone/>
                <wp:docPr id="124" name="Graphic 124"/>
                <wp:cNvGraphicFramePr>
                  <a:graphicFrameLocks/>
                </wp:cNvGraphicFramePr>
                <a:graphic>
                  <a:graphicData uri="http://schemas.microsoft.com/office/word/2010/wordprocessingShape">
                    <wps:wsp>
                      <wps:cNvPr id="124" name="Graphic 12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145625pt;width:4.7pt;height:4.7pt;mso-position-horizontal-relative:page;mso-position-vertical-relative:paragraph;z-index:15760384" id="docshape97" coordorigin="6009,303" coordsize="94,94" path="m6056,303l6038,307,6023,317,6013,331,6009,350,6013,368,6023,382,6038,392,6056,396,6074,392,6089,382,6099,368,6103,350,6099,331,6089,317,6074,307,6056,303xe" filled="true" fillcolor="#1a4796" stroked="false">
                <v:path arrowok="t"/>
                <v:fill type="solid"/>
                <w10:wrap type="none"/>
              </v:shape>
            </w:pict>
          </mc:Fallback>
        </mc:AlternateContent>
      </w:r>
      <w:r>
        <w:rPr>
          <w:b/>
          <w:color w:val="1A4796"/>
        </w:rPr>
        <w:t>El 14 de septiembre de 2022: </w:t>
      </w:r>
      <w:r>
        <w:rPr>
          <w:color w:val="231F20"/>
        </w:rPr>
        <w:t>El Parlamento de Jamaica aprobó por consenso una moción en la que se condenó el bloqueo, su carácter extraterritorial y la inclusión de Cuba</w:t>
      </w:r>
      <w:r>
        <w:rPr>
          <w:color w:val="231F20"/>
          <w:spacing w:val="40"/>
        </w:rPr>
        <w:t> </w:t>
      </w:r>
      <w:r>
        <w:rPr>
          <w:color w:val="231F20"/>
        </w:rPr>
        <w:t>en la Lista unilateral de Estados patrocinadores del terrorismo.</w:t>
      </w:r>
    </w:p>
    <w:p>
      <w:pPr>
        <w:pStyle w:val="BodyText"/>
        <w:spacing w:before="165"/>
        <w:ind w:left="673" w:right="1472"/>
      </w:pPr>
      <w:r>
        <w:rPr/>
        <mc:AlternateContent>
          <mc:Choice Requires="wps">
            <w:drawing>
              <wp:anchor distT="0" distB="0" distL="0" distR="0" allowOverlap="1" layoutInCell="1" locked="0" behindDoc="0" simplePos="0" relativeHeight="15761408">
                <wp:simplePos x="0" y="0"/>
                <wp:positionH relativeFrom="page">
                  <wp:posOffset>3815998</wp:posOffset>
                </wp:positionH>
                <wp:positionV relativeFrom="paragraph">
                  <wp:posOffset>191614</wp:posOffset>
                </wp:positionV>
                <wp:extent cx="59690" cy="59690"/>
                <wp:effectExtent l="0" t="0" r="0" b="0"/>
                <wp:wrapNone/>
                <wp:docPr id="125" name="Graphic 125"/>
                <wp:cNvGraphicFramePr>
                  <a:graphicFrameLocks/>
                </wp:cNvGraphicFramePr>
                <a:graphic>
                  <a:graphicData uri="http://schemas.microsoft.com/office/word/2010/wordprocessingShape">
                    <wps:wsp>
                      <wps:cNvPr id="125" name="Graphic 12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087763pt;width:4.7pt;height:4.7pt;mso-position-horizontal-relative:page;mso-position-vertical-relative:paragraph;z-index:15761408" id="docshape98" coordorigin="6009,302" coordsize="94,94" path="m6056,302l6038,305,6023,315,6013,330,6009,348,6013,367,6023,381,6038,391,6056,395,6074,391,6089,381,6099,367,6103,348,6099,330,6089,315,6074,305,6056,302xe" filled="true" fillcolor="#1a4796" stroked="false">
                <v:path arrowok="t"/>
                <v:fill type="solid"/>
                <w10:wrap type="none"/>
              </v:shape>
            </w:pict>
          </mc:Fallback>
        </mc:AlternateContent>
      </w:r>
      <w:r>
        <w:rPr>
          <w:b/>
          <w:color w:val="1A4796"/>
        </w:rPr>
        <w:t>Entre el 20 y 26 de septiembre </w:t>
      </w:r>
      <w:r>
        <w:rPr>
          <w:b/>
          <w:color w:val="1A4796"/>
        </w:rPr>
        <w:t>de 2022, </w:t>
      </w:r>
      <w:r>
        <w:rPr>
          <w:color w:val="231F20"/>
        </w:rPr>
        <w:t>durante el debate general del</w:t>
      </w:r>
      <w:r>
        <w:rPr>
          <w:color w:val="231F20"/>
          <w:spacing w:val="80"/>
        </w:rPr>
        <w:t> </w:t>
      </w:r>
      <w:r>
        <w:rPr>
          <w:color w:val="231F20"/>
        </w:rPr>
        <w:t>77 período de sesiones de la Asamblea </w:t>
      </w:r>
      <w:r>
        <w:rPr>
          <w:color w:val="231F20"/>
          <w:spacing w:val="-2"/>
        </w:rPr>
        <w:t>General</w:t>
      </w:r>
      <w:r>
        <w:rPr>
          <w:color w:val="231F20"/>
          <w:spacing w:val="-15"/>
        </w:rPr>
        <w:t> </w:t>
      </w:r>
      <w:r>
        <w:rPr>
          <w:color w:val="231F20"/>
          <w:spacing w:val="-2"/>
        </w:rPr>
        <w:t>de</w:t>
      </w:r>
      <w:r>
        <w:rPr>
          <w:color w:val="231F20"/>
          <w:spacing w:val="-14"/>
        </w:rPr>
        <w:t> </w:t>
      </w:r>
      <w:r>
        <w:rPr>
          <w:color w:val="231F20"/>
          <w:spacing w:val="-2"/>
        </w:rPr>
        <w:t>las</w:t>
      </w:r>
      <w:r>
        <w:rPr>
          <w:color w:val="231F20"/>
          <w:spacing w:val="-15"/>
        </w:rPr>
        <w:t> </w:t>
      </w:r>
      <w:r>
        <w:rPr>
          <w:color w:val="231F20"/>
          <w:spacing w:val="-2"/>
        </w:rPr>
        <w:t>Naciones</w:t>
      </w:r>
      <w:r>
        <w:rPr>
          <w:color w:val="231F20"/>
          <w:spacing w:val="-14"/>
        </w:rPr>
        <w:t> </w:t>
      </w:r>
      <w:r>
        <w:rPr>
          <w:color w:val="231F20"/>
          <w:spacing w:val="-2"/>
        </w:rPr>
        <w:t>Unidas,</w:t>
      </w:r>
      <w:r>
        <w:rPr>
          <w:color w:val="231F20"/>
          <w:spacing w:val="-15"/>
        </w:rPr>
        <w:t> </w:t>
      </w:r>
      <w:r>
        <w:rPr>
          <w:color w:val="231F20"/>
          <w:spacing w:val="-2"/>
        </w:rPr>
        <w:t>los</w:t>
      </w:r>
      <w:r>
        <w:rPr>
          <w:color w:val="231F20"/>
          <w:spacing w:val="-14"/>
        </w:rPr>
        <w:t> </w:t>
      </w:r>
      <w:r>
        <w:rPr>
          <w:color w:val="231F20"/>
          <w:spacing w:val="-2"/>
        </w:rPr>
        <w:t>jefes de</w:t>
      </w:r>
      <w:r>
        <w:rPr>
          <w:color w:val="231F20"/>
          <w:spacing w:val="-13"/>
        </w:rPr>
        <w:t> </w:t>
      </w:r>
      <w:r>
        <w:rPr>
          <w:color w:val="231F20"/>
          <w:spacing w:val="-2"/>
        </w:rPr>
        <w:t>delegaciones</w:t>
      </w:r>
      <w:r>
        <w:rPr>
          <w:color w:val="231F20"/>
          <w:spacing w:val="-13"/>
        </w:rPr>
        <w:t> </w:t>
      </w:r>
      <w:r>
        <w:rPr>
          <w:color w:val="231F20"/>
          <w:spacing w:val="-2"/>
        </w:rPr>
        <w:t>de</w:t>
      </w:r>
      <w:r>
        <w:rPr>
          <w:color w:val="231F20"/>
          <w:spacing w:val="-13"/>
        </w:rPr>
        <w:t> </w:t>
      </w:r>
      <w:r>
        <w:rPr>
          <w:color w:val="231F20"/>
          <w:spacing w:val="-2"/>
        </w:rPr>
        <w:t>40</w:t>
      </w:r>
      <w:r>
        <w:rPr>
          <w:color w:val="231F20"/>
          <w:spacing w:val="-13"/>
        </w:rPr>
        <w:t> </w:t>
      </w:r>
      <w:r>
        <w:rPr>
          <w:color w:val="231F20"/>
          <w:spacing w:val="-2"/>
        </w:rPr>
        <w:t>países</w:t>
      </w:r>
      <w:r>
        <w:rPr>
          <w:color w:val="231F20"/>
          <w:spacing w:val="-13"/>
        </w:rPr>
        <w:t> </w:t>
      </w:r>
      <w:r>
        <w:rPr>
          <w:color w:val="231F20"/>
          <w:spacing w:val="-2"/>
        </w:rPr>
        <w:t>incluyeron </w:t>
      </w:r>
      <w:r>
        <w:rPr>
          <w:color w:val="231F20"/>
          <w:spacing w:val="-8"/>
        </w:rPr>
        <w:t>en sus discursos, una condena al bloqueo. </w:t>
      </w:r>
      <w:r>
        <w:rPr>
          <w:color w:val="231F20"/>
        </w:rPr>
        <w:t>En</w:t>
      </w:r>
      <w:r>
        <w:rPr>
          <w:color w:val="231F20"/>
          <w:spacing w:val="-8"/>
        </w:rPr>
        <w:t> </w:t>
      </w:r>
      <w:r>
        <w:rPr>
          <w:color w:val="231F20"/>
        </w:rPr>
        <w:t>3</w:t>
      </w:r>
      <w:r>
        <w:rPr>
          <w:color w:val="231F20"/>
          <w:spacing w:val="-8"/>
        </w:rPr>
        <w:t> </w:t>
      </w:r>
      <w:r>
        <w:rPr>
          <w:color w:val="231F20"/>
        </w:rPr>
        <w:t>de</w:t>
      </w:r>
      <w:r>
        <w:rPr>
          <w:color w:val="231F20"/>
          <w:spacing w:val="-8"/>
        </w:rPr>
        <w:t> </w:t>
      </w:r>
      <w:r>
        <w:rPr>
          <w:color w:val="231F20"/>
        </w:rPr>
        <w:t>estas</w:t>
      </w:r>
      <w:r>
        <w:rPr>
          <w:color w:val="231F20"/>
          <w:spacing w:val="-8"/>
        </w:rPr>
        <w:t> </w:t>
      </w:r>
      <w:r>
        <w:rPr>
          <w:color w:val="231F20"/>
        </w:rPr>
        <w:t>menciones</w:t>
      </w:r>
      <w:r>
        <w:rPr>
          <w:color w:val="231F20"/>
          <w:spacing w:val="-8"/>
        </w:rPr>
        <w:t> </w:t>
      </w:r>
      <w:r>
        <w:rPr>
          <w:color w:val="231F20"/>
        </w:rPr>
        <w:t>se</w:t>
      </w:r>
      <w:r>
        <w:rPr>
          <w:color w:val="231F20"/>
          <w:spacing w:val="-8"/>
        </w:rPr>
        <w:t> </w:t>
      </w:r>
      <w:r>
        <w:rPr>
          <w:color w:val="231F20"/>
        </w:rPr>
        <w:t>denunció</w:t>
      </w:r>
      <w:r>
        <w:rPr>
          <w:color w:val="231F20"/>
          <w:spacing w:val="-8"/>
        </w:rPr>
        <w:t> </w:t>
      </w:r>
      <w:r>
        <w:rPr>
          <w:color w:val="231F20"/>
        </w:rPr>
        <w:t>la inclusión</w:t>
      </w:r>
      <w:r>
        <w:rPr>
          <w:color w:val="231F20"/>
          <w:spacing w:val="-12"/>
        </w:rPr>
        <w:t> </w:t>
      </w:r>
      <w:r>
        <w:rPr>
          <w:color w:val="231F20"/>
        </w:rPr>
        <w:t>de</w:t>
      </w:r>
      <w:r>
        <w:rPr>
          <w:color w:val="231F20"/>
          <w:spacing w:val="-12"/>
        </w:rPr>
        <w:t> </w:t>
      </w:r>
      <w:r>
        <w:rPr>
          <w:color w:val="231F20"/>
        </w:rPr>
        <w:t>Cuba</w:t>
      </w:r>
      <w:r>
        <w:rPr>
          <w:color w:val="231F20"/>
          <w:spacing w:val="-12"/>
        </w:rPr>
        <w:t> </w:t>
      </w:r>
      <w:r>
        <w:rPr>
          <w:color w:val="231F20"/>
        </w:rPr>
        <w:t>en</w:t>
      </w:r>
      <w:r>
        <w:rPr>
          <w:color w:val="231F20"/>
          <w:spacing w:val="-12"/>
        </w:rPr>
        <w:t> </w:t>
      </w:r>
      <w:r>
        <w:rPr>
          <w:color w:val="231F20"/>
        </w:rPr>
        <w:t>la</w:t>
      </w:r>
      <w:r>
        <w:rPr>
          <w:color w:val="231F20"/>
          <w:spacing w:val="-12"/>
        </w:rPr>
        <w:t> </w:t>
      </w:r>
      <w:r>
        <w:rPr>
          <w:color w:val="231F20"/>
        </w:rPr>
        <w:t>Lista</w:t>
      </w:r>
      <w:r>
        <w:rPr>
          <w:color w:val="231F20"/>
          <w:spacing w:val="-12"/>
        </w:rPr>
        <w:t> </w:t>
      </w:r>
      <w:r>
        <w:rPr>
          <w:color w:val="231F20"/>
        </w:rPr>
        <w:t>de</w:t>
      </w:r>
      <w:r>
        <w:rPr>
          <w:color w:val="231F20"/>
          <w:spacing w:val="-12"/>
        </w:rPr>
        <w:t> </w:t>
      </w:r>
      <w:r>
        <w:rPr>
          <w:color w:val="231F20"/>
        </w:rPr>
        <w:t>Estados </w:t>
      </w:r>
      <w:r>
        <w:rPr>
          <w:color w:val="231F20"/>
          <w:spacing w:val="-4"/>
        </w:rPr>
        <w:t>patrocinadores</w:t>
      </w:r>
      <w:r>
        <w:rPr>
          <w:color w:val="231F20"/>
          <w:spacing w:val="-13"/>
        </w:rPr>
        <w:t> </w:t>
      </w:r>
      <w:r>
        <w:rPr>
          <w:color w:val="231F20"/>
          <w:spacing w:val="-4"/>
        </w:rPr>
        <w:t>del</w:t>
      </w:r>
      <w:r>
        <w:rPr>
          <w:color w:val="231F20"/>
          <w:spacing w:val="-12"/>
        </w:rPr>
        <w:t> </w:t>
      </w:r>
      <w:r>
        <w:rPr>
          <w:color w:val="231F20"/>
          <w:spacing w:val="-4"/>
        </w:rPr>
        <w:t>terrorismo.</w:t>
      </w:r>
      <w:r>
        <w:rPr>
          <w:color w:val="231F20"/>
          <w:spacing w:val="-13"/>
        </w:rPr>
        <w:t> </w:t>
      </w:r>
      <w:r>
        <w:rPr>
          <w:color w:val="231F20"/>
          <w:spacing w:val="-4"/>
        </w:rPr>
        <w:t>El</w:t>
      </w:r>
      <w:r>
        <w:rPr>
          <w:color w:val="231F20"/>
          <w:spacing w:val="-12"/>
        </w:rPr>
        <w:t> </w:t>
      </w:r>
      <w:r>
        <w:rPr>
          <w:color w:val="231F20"/>
          <w:spacing w:val="-4"/>
        </w:rPr>
        <w:t>rechazo </w:t>
      </w:r>
      <w:r>
        <w:rPr>
          <w:color w:val="231F20"/>
        </w:rPr>
        <w:t>al bloqueo se posicionó entre los 10 </w:t>
      </w:r>
      <w:r>
        <w:rPr>
          <w:color w:val="231F20"/>
          <w:spacing w:val="-2"/>
        </w:rPr>
        <w:t>temas</w:t>
      </w:r>
      <w:r>
        <w:rPr>
          <w:color w:val="231F20"/>
          <w:spacing w:val="-15"/>
        </w:rPr>
        <w:t> </w:t>
      </w:r>
      <w:r>
        <w:rPr>
          <w:color w:val="231F20"/>
          <w:spacing w:val="-2"/>
        </w:rPr>
        <w:t>más</w:t>
      </w:r>
      <w:r>
        <w:rPr>
          <w:color w:val="231F20"/>
          <w:spacing w:val="-14"/>
        </w:rPr>
        <w:t> </w:t>
      </w:r>
      <w:r>
        <w:rPr>
          <w:color w:val="231F20"/>
          <w:spacing w:val="-2"/>
        </w:rPr>
        <w:t>abordados</w:t>
      </w:r>
      <w:r>
        <w:rPr>
          <w:color w:val="231F20"/>
          <w:spacing w:val="-15"/>
        </w:rPr>
        <w:t> </w:t>
      </w:r>
      <w:r>
        <w:rPr>
          <w:color w:val="231F20"/>
          <w:spacing w:val="-2"/>
        </w:rPr>
        <w:t>durante</w:t>
      </w:r>
      <w:r>
        <w:rPr>
          <w:color w:val="231F20"/>
          <w:spacing w:val="-14"/>
        </w:rPr>
        <w:t> </w:t>
      </w:r>
      <w:r>
        <w:rPr>
          <w:color w:val="231F20"/>
          <w:spacing w:val="-2"/>
        </w:rPr>
        <w:t>el</w:t>
      </w:r>
      <w:r>
        <w:rPr>
          <w:color w:val="231F20"/>
          <w:spacing w:val="-15"/>
        </w:rPr>
        <w:t> </w:t>
      </w:r>
      <w:r>
        <w:rPr>
          <w:color w:val="231F20"/>
          <w:spacing w:val="-2"/>
        </w:rPr>
        <w:t>debate </w:t>
      </w:r>
      <w:r>
        <w:rPr>
          <w:color w:val="231F20"/>
        </w:rPr>
        <w:t>general de alto nivel.</w:t>
      </w:r>
    </w:p>
    <w:p>
      <w:pPr>
        <w:pStyle w:val="BodyText"/>
        <w:spacing w:before="170"/>
        <w:ind w:left="673" w:right="1475"/>
      </w:pPr>
      <w:r>
        <w:rPr/>
        <mc:AlternateContent>
          <mc:Choice Requires="wps">
            <w:drawing>
              <wp:anchor distT="0" distB="0" distL="0" distR="0" allowOverlap="1" layoutInCell="1" locked="0" behindDoc="0" simplePos="0" relativeHeight="15760896">
                <wp:simplePos x="0" y="0"/>
                <wp:positionH relativeFrom="page">
                  <wp:posOffset>3815998</wp:posOffset>
                </wp:positionH>
                <wp:positionV relativeFrom="paragraph">
                  <wp:posOffset>192393</wp:posOffset>
                </wp:positionV>
                <wp:extent cx="59690" cy="59690"/>
                <wp:effectExtent l="0" t="0" r="0" b="0"/>
                <wp:wrapNone/>
                <wp:docPr id="126" name="Graphic 126"/>
                <wp:cNvGraphicFramePr>
                  <a:graphicFrameLocks/>
                </wp:cNvGraphicFramePr>
                <a:graphic>
                  <a:graphicData uri="http://schemas.microsoft.com/office/word/2010/wordprocessingShape">
                    <wps:wsp>
                      <wps:cNvPr id="126" name="Graphic 12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149113pt;width:4.7pt;height:4.7pt;mso-position-horizontal-relative:page;mso-position-vertical-relative:paragraph;z-index:15760896" id="docshape99" coordorigin="6009,303" coordsize="94,94" path="m6056,303l6038,307,6023,317,6013,331,6009,350,6013,368,6023,383,6038,393,6056,396,6074,393,6089,383,6099,368,6103,350,6099,331,6089,317,6074,307,6056,303xe" filled="true" fillcolor="#1a4796" stroked="false">
                <v:path arrowok="t"/>
                <v:fill type="solid"/>
                <w10:wrap type="none"/>
              </v:shape>
            </w:pict>
          </mc:Fallback>
        </mc:AlternateContent>
      </w:r>
      <w:r>
        <w:rPr>
          <w:b/>
          <w:color w:val="1A4796"/>
        </w:rPr>
        <w:t>21 de septiembre de 2022: </w:t>
      </w:r>
      <w:r>
        <w:rPr>
          <w:color w:val="231F20"/>
        </w:rPr>
        <w:t>8</w:t>
      </w:r>
      <w:r>
        <w:rPr>
          <w:color w:val="231F20"/>
        </w:rPr>
        <w:t>3</w:t>
      </w:r>
      <w:r>
        <w:rPr>
          <w:color w:val="231F20"/>
        </w:rPr>
        <w:t> diputados colombianos enviaron una </w:t>
      </w:r>
      <w:r>
        <w:rPr>
          <w:color w:val="231F20"/>
          <w:spacing w:val="-10"/>
        </w:rPr>
        <w:t>carta</w:t>
      </w:r>
      <w:r>
        <w:rPr>
          <w:color w:val="231F20"/>
          <w:spacing w:val="-7"/>
        </w:rPr>
        <w:t> </w:t>
      </w:r>
      <w:r>
        <w:rPr>
          <w:color w:val="231F20"/>
          <w:spacing w:val="-10"/>
        </w:rPr>
        <w:t>a</w:t>
      </w:r>
      <w:r>
        <w:rPr>
          <w:color w:val="231F20"/>
          <w:spacing w:val="-6"/>
        </w:rPr>
        <w:t> </w:t>
      </w:r>
      <w:r>
        <w:rPr>
          <w:color w:val="231F20"/>
          <w:spacing w:val="-10"/>
        </w:rPr>
        <w:t>Kamala</w:t>
      </w:r>
      <w:r>
        <w:rPr>
          <w:color w:val="231F20"/>
          <w:spacing w:val="-7"/>
        </w:rPr>
        <w:t> </w:t>
      </w:r>
      <w:r>
        <w:rPr>
          <w:color w:val="231F20"/>
          <w:spacing w:val="-10"/>
        </w:rPr>
        <w:t>Harris,</w:t>
      </w:r>
      <w:r>
        <w:rPr>
          <w:color w:val="231F20"/>
          <w:spacing w:val="-6"/>
        </w:rPr>
        <w:t> </w:t>
      </w:r>
      <w:r>
        <w:rPr>
          <w:color w:val="231F20"/>
          <w:spacing w:val="-10"/>
        </w:rPr>
        <w:t>vicepresidenta</w:t>
      </w:r>
      <w:r>
        <w:rPr>
          <w:color w:val="231F20"/>
          <w:spacing w:val="-7"/>
        </w:rPr>
        <w:t> </w:t>
      </w:r>
      <w:r>
        <w:rPr>
          <w:color w:val="231F20"/>
          <w:spacing w:val="-10"/>
        </w:rPr>
        <w:t>de</w:t>
      </w:r>
      <w:r>
        <w:rPr>
          <w:color w:val="231F20"/>
          <w:spacing w:val="-6"/>
        </w:rPr>
        <w:t> </w:t>
      </w:r>
      <w:r>
        <w:rPr>
          <w:color w:val="231F20"/>
          <w:spacing w:val="-10"/>
        </w:rPr>
        <w:t>los </w:t>
      </w:r>
      <w:r>
        <w:rPr>
          <w:color w:val="231F20"/>
        </w:rPr>
        <w:t>Estados</w:t>
      </w:r>
      <w:r>
        <w:rPr>
          <w:color w:val="231F20"/>
          <w:spacing w:val="-11"/>
        </w:rPr>
        <w:t> </w:t>
      </w:r>
      <w:r>
        <w:rPr>
          <w:color w:val="231F20"/>
        </w:rPr>
        <w:t>Unidos</w:t>
      </w:r>
      <w:r>
        <w:rPr>
          <w:color w:val="231F20"/>
          <w:spacing w:val="-11"/>
        </w:rPr>
        <w:t> </w:t>
      </w:r>
      <w:r>
        <w:rPr>
          <w:color w:val="231F20"/>
        </w:rPr>
        <w:t>y</w:t>
      </w:r>
      <w:r>
        <w:rPr>
          <w:color w:val="231F20"/>
          <w:spacing w:val="-11"/>
        </w:rPr>
        <w:t> </w:t>
      </w:r>
      <w:r>
        <w:rPr>
          <w:color w:val="231F20"/>
        </w:rPr>
        <w:t>presidenta</w:t>
      </w:r>
      <w:r>
        <w:rPr>
          <w:color w:val="231F20"/>
          <w:spacing w:val="-11"/>
        </w:rPr>
        <w:t> </w:t>
      </w:r>
      <w:r>
        <w:rPr>
          <w:color w:val="231F20"/>
        </w:rPr>
        <w:t>del</w:t>
      </w:r>
      <w:r>
        <w:rPr>
          <w:color w:val="231F20"/>
          <w:spacing w:val="-11"/>
        </w:rPr>
        <w:t> </w:t>
      </w:r>
      <w:r>
        <w:rPr>
          <w:color w:val="231F20"/>
          <w:spacing w:val="-5"/>
        </w:rPr>
        <w:t>Senado</w:t>
      </w:r>
    </w:p>
    <w:p>
      <w:pPr>
        <w:spacing w:after="0"/>
        <w:sectPr>
          <w:pgSz w:w="11910" w:h="16840"/>
          <w:pgMar w:header="0" w:footer="695" w:top="1260" w:bottom="880" w:left="0" w:right="0"/>
          <w:cols w:num="2" w:equalWidth="0">
            <w:col w:w="5558" w:space="40"/>
            <w:col w:w="6312"/>
          </w:cols>
        </w:sectPr>
      </w:pPr>
    </w:p>
    <w:p>
      <w:pPr>
        <w:pStyle w:val="BodyText"/>
        <w:spacing w:before="77"/>
        <w:ind w:left="1734" w:right="2"/>
      </w:pPr>
      <w:r>
        <w:rPr>
          <w:color w:val="231F20"/>
        </w:rPr>
        <w:t>de ese país; a Nancy Pelosi, </w:t>
      </w:r>
      <w:r>
        <w:rPr>
          <w:color w:val="231F20"/>
        </w:rPr>
        <w:t>presidenta de la Cámara de Representantes de</w:t>
      </w:r>
      <w:r>
        <w:rPr>
          <w:color w:val="231F20"/>
          <w:spacing w:val="80"/>
          <w:w w:val="150"/>
        </w:rPr>
        <w:t> </w:t>
      </w:r>
      <w:r>
        <w:rPr>
          <w:color w:val="231F20"/>
        </w:rPr>
        <w:t>los Estados Unidos; y a Csaba Kőrösi, presidente del 77 período de sesiones de</w:t>
      </w:r>
      <w:r>
        <w:rPr>
          <w:color w:val="231F20"/>
          <w:spacing w:val="-16"/>
        </w:rPr>
        <w:t> </w:t>
      </w:r>
      <w:r>
        <w:rPr>
          <w:color w:val="231F20"/>
        </w:rPr>
        <w:t>la</w:t>
      </w:r>
      <w:r>
        <w:rPr>
          <w:color w:val="231F20"/>
          <w:spacing w:val="-16"/>
        </w:rPr>
        <w:t> </w:t>
      </w:r>
      <w:r>
        <w:rPr>
          <w:color w:val="231F20"/>
        </w:rPr>
        <w:t>Asamblea</w:t>
      </w:r>
      <w:r>
        <w:rPr>
          <w:color w:val="231F20"/>
          <w:spacing w:val="-16"/>
        </w:rPr>
        <w:t> </w:t>
      </w:r>
      <w:r>
        <w:rPr>
          <w:color w:val="231F20"/>
        </w:rPr>
        <w:t>General</w:t>
      </w:r>
      <w:r>
        <w:rPr>
          <w:color w:val="231F20"/>
          <w:spacing w:val="-16"/>
        </w:rPr>
        <w:t> </w:t>
      </w:r>
      <w:r>
        <w:rPr>
          <w:color w:val="231F20"/>
        </w:rPr>
        <w:t>de</w:t>
      </w:r>
      <w:r>
        <w:rPr>
          <w:color w:val="231F20"/>
          <w:spacing w:val="-16"/>
        </w:rPr>
        <w:t> </w:t>
      </w:r>
      <w:r>
        <w:rPr>
          <w:color w:val="231F20"/>
        </w:rPr>
        <w:t>las</w:t>
      </w:r>
      <w:r>
        <w:rPr>
          <w:color w:val="231F20"/>
          <w:spacing w:val="-16"/>
        </w:rPr>
        <w:t> </w:t>
      </w:r>
      <w:r>
        <w:rPr>
          <w:color w:val="231F20"/>
        </w:rPr>
        <w:t>Naciones </w:t>
      </w:r>
      <w:r>
        <w:rPr>
          <w:color w:val="231F20"/>
          <w:spacing w:val="-6"/>
        </w:rPr>
        <w:t>Unidas,</w:t>
      </w:r>
      <w:r>
        <w:rPr>
          <w:color w:val="231F20"/>
          <w:spacing w:val="-11"/>
        </w:rPr>
        <w:t> </w:t>
      </w:r>
      <w:r>
        <w:rPr>
          <w:color w:val="231F20"/>
          <w:spacing w:val="-6"/>
        </w:rPr>
        <w:t>solicitando</w:t>
      </w:r>
      <w:r>
        <w:rPr>
          <w:color w:val="231F20"/>
          <w:spacing w:val="-10"/>
        </w:rPr>
        <w:t> </w:t>
      </w:r>
      <w:r>
        <w:rPr>
          <w:color w:val="231F20"/>
          <w:spacing w:val="-6"/>
        </w:rPr>
        <w:t>la</w:t>
      </w:r>
      <w:r>
        <w:rPr>
          <w:color w:val="231F20"/>
          <w:spacing w:val="-11"/>
        </w:rPr>
        <w:t> </w:t>
      </w:r>
      <w:r>
        <w:rPr>
          <w:color w:val="231F20"/>
          <w:spacing w:val="-6"/>
        </w:rPr>
        <w:t>retirada</w:t>
      </w:r>
      <w:r>
        <w:rPr>
          <w:color w:val="231F20"/>
          <w:spacing w:val="-10"/>
        </w:rPr>
        <w:t> </w:t>
      </w:r>
      <w:r>
        <w:rPr>
          <w:color w:val="231F20"/>
          <w:spacing w:val="-6"/>
        </w:rPr>
        <w:t>de</w:t>
      </w:r>
      <w:r>
        <w:rPr>
          <w:color w:val="231F20"/>
          <w:spacing w:val="-10"/>
        </w:rPr>
        <w:t> </w:t>
      </w:r>
      <w:r>
        <w:rPr>
          <w:color w:val="231F20"/>
          <w:spacing w:val="-6"/>
        </w:rPr>
        <w:t>Cuba</w:t>
      </w:r>
      <w:r>
        <w:rPr>
          <w:color w:val="231F20"/>
          <w:spacing w:val="-11"/>
        </w:rPr>
        <w:t> </w:t>
      </w:r>
      <w:r>
        <w:rPr>
          <w:color w:val="231F20"/>
          <w:spacing w:val="-6"/>
        </w:rPr>
        <w:t>de la</w:t>
      </w:r>
      <w:r>
        <w:rPr>
          <w:color w:val="231F20"/>
          <w:spacing w:val="-11"/>
        </w:rPr>
        <w:t> </w:t>
      </w:r>
      <w:r>
        <w:rPr>
          <w:color w:val="231F20"/>
          <w:spacing w:val="-6"/>
        </w:rPr>
        <w:t>ilegítima</w:t>
      </w:r>
      <w:r>
        <w:rPr>
          <w:color w:val="231F20"/>
          <w:spacing w:val="-10"/>
        </w:rPr>
        <w:t> </w:t>
      </w:r>
      <w:r>
        <w:rPr>
          <w:color w:val="231F20"/>
          <w:spacing w:val="-6"/>
        </w:rPr>
        <w:t>Lista</w:t>
      </w:r>
      <w:r>
        <w:rPr>
          <w:color w:val="231F20"/>
          <w:spacing w:val="-11"/>
        </w:rPr>
        <w:t> </w:t>
      </w:r>
      <w:r>
        <w:rPr>
          <w:color w:val="231F20"/>
          <w:spacing w:val="-6"/>
        </w:rPr>
        <w:t>de</w:t>
      </w:r>
      <w:r>
        <w:rPr>
          <w:color w:val="231F20"/>
          <w:spacing w:val="-10"/>
        </w:rPr>
        <w:t> </w:t>
      </w:r>
      <w:r>
        <w:rPr>
          <w:color w:val="231F20"/>
          <w:spacing w:val="-6"/>
        </w:rPr>
        <w:t>países</w:t>
      </w:r>
      <w:r>
        <w:rPr>
          <w:color w:val="231F20"/>
          <w:spacing w:val="-11"/>
        </w:rPr>
        <w:t> </w:t>
      </w:r>
      <w:r>
        <w:rPr>
          <w:color w:val="231F20"/>
          <w:spacing w:val="-6"/>
        </w:rPr>
        <w:t>patrocinadores </w:t>
      </w:r>
      <w:r>
        <w:rPr>
          <w:color w:val="231F20"/>
        </w:rPr>
        <w:t>del terrorismo internacional.</w:t>
      </w:r>
    </w:p>
    <w:p>
      <w:pPr>
        <w:pStyle w:val="BodyText"/>
        <w:spacing w:before="166"/>
        <w:ind w:left="1734"/>
      </w:pPr>
      <w:r>
        <w:rPr/>
        <mc:AlternateContent>
          <mc:Choice Requires="wps">
            <w:drawing>
              <wp:anchor distT="0" distB="0" distL="0" distR="0" allowOverlap="1" layoutInCell="1" locked="0" behindDoc="0" simplePos="0" relativeHeight="15765504">
                <wp:simplePos x="0" y="0"/>
                <wp:positionH relativeFrom="page">
                  <wp:posOffset>935997</wp:posOffset>
                </wp:positionH>
                <wp:positionV relativeFrom="paragraph">
                  <wp:posOffset>192152</wp:posOffset>
                </wp:positionV>
                <wp:extent cx="59690" cy="59690"/>
                <wp:effectExtent l="0" t="0" r="0" b="0"/>
                <wp:wrapNone/>
                <wp:docPr id="127" name="Graphic 127"/>
                <wp:cNvGraphicFramePr>
                  <a:graphicFrameLocks/>
                </wp:cNvGraphicFramePr>
                <a:graphic>
                  <a:graphicData uri="http://schemas.microsoft.com/office/word/2010/wordprocessingShape">
                    <wps:wsp>
                      <wps:cNvPr id="127" name="Graphic 12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1301pt;width:4.7pt;height:4.7pt;mso-position-horizontal-relative:page;mso-position-vertical-relative:paragraph;z-index:15765504" id="docshape100" coordorigin="1474,303" coordsize="94,94" path="m1521,303l1502,306,1488,316,1478,331,1474,349,1478,367,1488,382,1502,392,1521,396,1539,392,1554,382,1564,367,1567,349,1564,331,1554,316,1539,306,1521,303xe" filled="true" fillcolor="#1a4796" stroked="false">
                <v:path arrowok="t"/>
                <v:fill type="solid"/>
                <w10:wrap type="none"/>
              </v:shape>
            </w:pict>
          </mc:Fallback>
        </mc:AlternateContent>
      </w:r>
      <w:r>
        <w:rPr>
          <w:b/>
          <w:color w:val="1A4796"/>
        </w:rPr>
        <w:t>El 23 de septiembre de 2022, </w:t>
      </w:r>
      <w:r>
        <w:rPr>
          <w:color w:val="231F20"/>
        </w:rPr>
        <w:t>el XXII Consejo</w:t>
      </w:r>
      <w:r>
        <w:rPr>
          <w:color w:val="231F20"/>
          <w:spacing w:val="-17"/>
        </w:rPr>
        <w:t> </w:t>
      </w:r>
      <w:r>
        <w:rPr>
          <w:color w:val="231F20"/>
        </w:rPr>
        <w:t>Político</w:t>
      </w:r>
      <w:r>
        <w:rPr>
          <w:color w:val="231F20"/>
          <w:spacing w:val="-16"/>
        </w:rPr>
        <w:t> </w:t>
      </w:r>
      <w:r>
        <w:rPr>
          <w:color w:val="231F20"/>
        </w:rPr>
        <w:t>del</w:t>
      </w:r>
      <w:r>
        <w:rPr>
          <w:color w:val="231F20"/>
          <w:spacing w:val="-17"/>
        </w:rPr>
        <w:t> </w:t>
      </w:r>
      <w:r>
        <w:rPr>
          <w:color w:val="231F20"/>
        </w:rPr>
        <w:t>ALBA,</w:t>
      </w:r>
      <w:r>
        <w:rPr>
          <w:color w:val="231F20"/>
          <w:spacing w:val="-16"/>
        </w:rPr>
        <w:t> </w:t>
      </w:r>
      <w:r>
        <w:rPr>
          <w:color w:val="231F20"/>
        </w:rPr>
        <w:t>celebrado</w:t>
      </w:r>
      <w:r>
        <w:rPr>
          <w:color w:val="231F20"/>
          <w:spacing w:val="-17"/>
        </w:rPr>
        <w:t> </w:t>
      </w:r>
      <w:r>
        <w:rPr>
          <w:color w:val="231F20"/>
        </w:rPr>
        <w:t>en Nueva</w:t>
      </w:r>
      <w:r>
        <w:rPr>
          <w:color w:val="231F20"/>
          <w:spacing w:val="-3"/>
        </w:rPr>
        <w:t> </w:t>
      </w:r>
      <w:r>
        <w:rPr>
          <w:color w:val="231F20"/>
        </w:rPr>
        <w:t>York</w:t>
      </w:r>
      <w:r>
        <w:rPr>
          <w:color w:val="231F20"/>
          <w:spacing w:val="-3"/>
        </w:rPr>
        <w:t> </w:t>
      </w:r>
      <w:r>
        <w:rPr>
          <w:color w:val="231F20"/>
        </w:rPr>
        <w:t>en</w:t>
      </w:r>
      <w:r>
        <w:rPr>
          <w:color w:val="231F20"/>
          <w:spacing w:val="-3"/>
        </w:rPr>
        <w:t> </w:t>
      </w:r>
      <w:r>
        <w:rPr>
          <w:color w:val="231F20"/>
        </w:rPr>
        <w:t>el</w:t>
      </w:r>
      <w:r>
        <w:rPr>
          <w:color w:val="231F20"/>
          <w:spacing w:val="-3"/>
        </w:rPr>
        <w:t> </w:t>
      </w:r>
      <w:r>
        <w:rPr>
          <w:color w:val="231F20"/>
        </w:rPr>
        <w:t>marco</w:t>
      </w:r>
      <w:r>
        <w:rPr>
          <w:color w:val="231F20"/>
          <w:spacing w:val="-3"/>
        </w:rPr>
        <w:t> </w:t>
      </w:r>
      <w:r>
        <w:rPr>
          <w:color w:val="231F20"/>
        </w:rPr>
        <w:t>del</w:t>
      </w:r>
      <w:r>
        <w:rPr>
          <w:color w:val="231F20"/>
          <w:spacing w:val="-3"/>
        </w:rPr>
        <w:t> </w:t>
      </w:r>
      <w:r>
        <w:rPr>
          <w:color w:val="231F20"/>
        </w:rPr>
        <w:t>77</w:t>
      </w:r>
      <w:r>
        <w:rPr>
          <w:color w:val="231F20"/>
          <w:spacing w:val="-3"/>
        </w:rPr>
        <w:t> </w:t>
      </w:r>
      <w:r>
        <w:rPr>
          <w:color w:val="231F20"/>
        </w:rPr>
        <w:t>período de sesiones de la AGNU, aprobó una declaración en la que se insta al cese inmediato e incondicional del bloqueo contra Cuba y se demanda al gobierno </w:t>
      </w:r>
      <w:r>
        <w:rPr>
          <w:color w:val="231F20"/>
          <w:spacing w:val="-4"/>
        </w:rPr>
        <w:t>de</w:t>
      </w:r>
      <w:r>
        <w:rPr>
          <w:color w:val="231F20"/>
          <w:spacing w:val="-10"/>
        </w:rPr>
        <w:t> </w:t>
      </w:r>
      <w:r>
        <w:rPr>
          <w:color w:val="231F20"/>
          <w:spacing w:val="-4"/>
        </w:rPr>
        <w:t>los</w:t>
      </w:r>
      <w:r>
        <w:rPr>
          <w:color w:val="231F20"/>
          <w:spacing w:val="-10"/>
        </w:rPr>
        <w:t> </w:t>
      </w:r>
      <w:r>
        <w:rPr>
          <w:color w:val="231F20"/>
          <w:spacing w:val="-4"/>
        </w:rPr>
        <w:t>Estados</w:t>
      </w:r>
      <w:r>
        <w:rPr>
          <w:color w:val="231F20"/>
          <w:spacing w:val="-10"/>
        </w:rPr>
        <w:t> </w:t>
      </w:r>
      <w:r>
        <w:rPr>
          <w:color w:val="231F20"/>
          <w:spacing w:val="-4"/>
        </w:rPr>
        <w:t>Unidos</w:t>
      </w:r>
      <w:r>
        <w:rPr>
          <w:color w:val="231F20"/>
          <w:spacing w:val="-10"/>
        </w:rPr>
        <w:t> </w:t>
      </w:r>
      <w:r>
        <w:rPr>
          <w:color w:val="231F20"/>
          <w:spacing w:val="-4"/>
        </w:rPr>
        <w:t>la</w:t>
      </w:r>
      <w:r>
        <w:rPr>
          <w:color w:val="231F20"/>
          <w:spacing w:val="-10"/>
        </w:rPr>
        <w:t> </w:t>
      </w:r>
      <w:r>
        <w:rPr>
          <w:color w:val="231F20"/>
          <w:spacing w:val="-4"/>
        </w:rPr>
        <w:t>retirada</w:t>
      </w:r>
      <w:r>
        <w:rPr>
          <w:color w:val="231F20"/>
          <w:spacing w:val="-10"/>
        </w:rPr>
        <w:t> </w:t>
      </w:r>
      <w:r>
        <w:rPr>
          <w:color w:val="231F20"/>
          <w:spacing w:val="-4"/>
        </w:rPr>
        <w:t>del</w:t>
      </w:r>
      <w:r>
        <w:rPr>
          <w:color w:val="231F20"/>
          <w:spacing w:val="-10"/>
        </w:rPr>
        <w:t> </w:t>
      </w:r>
      <w:r>
        <w:rPr>
          <w:color w:val="231F20"/>
          <w:spacing w:val="-4"/>
        </w:rPr>
        <w:t>país </w:t>
      </w:r>
      <w:r>
        <w:rPr>
          <w:color w:val="231F20"/>
        </w:rPr>
        <w:t>de la Lista de Estados patrocinadores del Terrorismo.</w:t>
      </w:r>
    </w:p>
    <w:p>
      <w:pPr>
        <w:pStyle w:val="BodyText"/>
        <w:spacing w:before="168"/>
        <w:ind w:left="1734"/>
      </w:pPr>
      <w:r>
        <w:rPr/>
        <mc:AlternateContent>
          <mc:Choice Requires="wps">
            <w:drawing>
              <wp:anchor distT="0" distB="0" distL="0" distR="0" allowOverlap="1" layoutInCell="1" locked="0" behindDoc="0" simplePos="0" relativeHeight="15764992">
                <wp:simplePos x="0" y="0"/>
                <wp:positionH relativeFrom="page">
                  <wp:posOffset>935997</wp:posOffset>
                </wp:positionH>
                <wp:positionV relativeFrom="paragraph">
                  <wp:posOffset>192900</wp:posOffset>
                </wp:positionV>
                <wp:extent cx="59690" cy="59690"/>
                <wp:effectExtent l="0" t="0" r="0" b="0"/>
                <wp:wrapNone/>
                <wp:docPr id="128" name="Graphic 128"/>
                <wp:cNvGraphicFramePr>
                  <a:graphicFrameLocks/>
                </wp:cNvGraphicFramePr>
                <a:graphic>
                  <a:graphicData uri="http://schemas.microsoft.com/office/word/2010/wordprocessingShape">
                    <wps:wsp>
                      <wps:cNvPr id="128" name="Graphic 12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189025pt;width:4.7pt;height:4.7pt;mso-position-horizontal-relative:page;mso-position-vertical-relative:paragraph;z-index:15764992" id="docshape101" coordorigin="1474,304" coordsize="94,94" path="m1521,304l1502,307,1488,317,1478,332,1474,350,1478,369,1488,383,1502,393,1521,397,1539,393,1554,383,1564,369,1567,350,1564,332,1554,317,1539,307,1521,304xe" filled="true" fillcolor="#1a4796" stroked="false">
                <v:path arrowok="t"/>
                <v:fill type="solid"/>
                <w10:wrap type="none"/>
              </v:shape>
            </w:pict>
          </mc:Fallback>
        </mc:AlternateContent>
      </w:r>
      <w:r>
        <w:rPr>
          <w:b/>
          <w:color w:val="1A4796"/>
          <w:spacing w:val="-2"/>
        </w:rPr>
        <w:t>El</w:t>
      </w:r>
      <w:r>
        <w:rPr>
          <w:b/>
          <w:color w:val="1A4796"/>
          <w:spacing w:val="-15"/>
        </w:rPr>
        <w:t> </w:t>
      </w:r>
      <w:r>
        <w:rPr>
          <w:b/>
          <w:color w:val="1A4796"/>
          <w:spacing w:val="-2"/>
        </w:rPr>
        <w:t>12</w:t>
      </w:r>
      <w:r>
        <w:rPr>
          <w:b/>
          <w:color w:val="1A4796"/>
          <w:spacing w:val="-15"/>
        </w:rPr>
        <w:t> </w:t>
      </w:r>
      <w:r>
        <w:rPr>
          <w:b/>
          <w:color w:val="1A4796"/>
          <w:spacing w:val="-2"/>
        </w:rPr>
        <w:t>de</w:t>
      </w:r>
      <w:r>
        <w:rPr>
          <w:b/>
          <w:color w:val="1A4796"/>
          <w:spacing w:val="-14"/>
        </w:rPr>
        <w:t> </w:t>
      </w:r>
      <w:r>
        <w:rPr>
          <w:b/>
          <w:color w:val="1A4796"/>
          <w:spacing w:val="-2"/>
        </w:rPr>
        <w:t>octubre</w:t>
      </w:r>
      <w:r>
        <w:rPr>
          <w:b/>
          <w:color w:val="1A4796"/>
          <w:spacing w:val="-15"/>
        </w:rPr>
        <w:t> </w:t>
      </w:r>
      <w:r>
        <w:rPr>
          <w:b/>
          <w:color w:val="1A4796"/>
          <w:spacing w:val="-2"/>
        </w:rPr>
        <w:t>de</w:t>
      </w:r>
      <w:r>
        <w:rPr>
          <w:b/>
          <w:color w:val="1A4796"/>
          <w:spacing w:val="-14"/>
        </w:rPr>
        <w:t> </w:t>
      </w:r>
      <w:r>
        <w:rPr>
          <w:b/>
          <w:color w:val="1A4796"/>
          <w:spacing w:val="-2"/>
        </w:rPr>
        <w:t>2022,</w:t>
      </w:r>
      <w:r>
        <w:rPr>
          <w:b/>
          <w:color w:val="1A4796"/>
          <w:spacing w:val="-15"/>
        </w:rPr>
        <w:t> </w:t>
      </w:r>
      <w:r>
        <w:rPr>
          <w:color w:val="231F20"/>
          <w:spacing w:val="-2"/>
        </w:rPr>
        <w:t>la</w:t>
      </w:r>
      <w:r>
        <w:rPr>
          <w:color w:val="231F20"/>
          <w:spacing w:val="-14"/>
        </w:rPr>
        <w:t> </w:t>
      </w:r>
      <w:r>
        <w:rPr>
          <w:color w:val="231F20"/>
          <w:spacing w:val="-2"/>
        </w:rPr>
        <w:t>Asociación </w:t>
      </w:r>
      <w:r>
        <w:rPr>
          <w:color w:val="231F20"/>
          <w:spacing w:val="-4"/>
        </w:rPr>
        <w:t>de</w:t>
      </w:r>
      <w:r>
        <w:rPr>
          <w:color w:val="231F20"/>
          <w:spacing w:val="-13"/>
        </w:rPr>
        <w:t> </w:t>
      </w:r>
      <w:r>
        <w:rPr>
          <w:color w:val="231F20"/>
          <w:spacing w:val="-4"/>
        </w:rPr>
        <w:t>Cubanos</w:t>
      </w:r>
      <w:r>
        <w:rPr>
          <w:color w:val="231F20"/>
          <w:spacing w:val="-12"/>
        </w:rPr>
        <w:t> </w:t>
      </w:r>
      <w:r>
        <w:rPr>
          <w:color w:val="231F20"/>
          <w:spacing w:val="-4"/>
        </w:rPr>
        <w:t>Residentes</w:t>
      </w:r>
      <w:r>
        <w:rPr>
          <w:color w:val="231F20"/>
          <w:spacing w:val="-13"/>
        </w:rPr>
        <w:t> </w:t>
      </w:r>
      <w:r>
        <w:rPr>
          <w:color w:val="231F20"/>
          <w:spacing w:val="-4"/>
        </w:rPr>
        <w:t>en</w:t>
      </w:r>
      <w:r>
        <w:rPr>
          <w:color w:val="231F20"/>
          <w:spacing w:val="-12"/>
        </w:rPr>
        <w:t> </w:t>
      </w:r>
      <w:r>
        <w:rPr>
          <w:color w:val="231F20"/>
          <w:spacing w:val="-4"/>
        </w:rPr>
        <w:t>Panamá</w:t>
      </w:r>
      <w:r>
        <w:rPr>
          <w:color w:val="231F20"/>
          <w:spacing w:val="-13"/>
        </w:rPr>
        <w:t> </w:t>
      </w:r>
      <w:r>
        <w:rPr>
          <w:color w:val="231F20"/>
          <w:spacing w:val="-4"/>
        </w:rPr>
        <w:t>envió </w:t>
      </w:r>
      <w:r>
        <w:rPr>
          <w:color w:val="231F20"/>
        </w:rPr>
        <w:t>una</w:t>
      </w:r>
      <w:r>
        <w:rPr>
          <w:color w:val="231F20"/>
          <w:spacing w:val="-11"/>
        </w:rPr>
        <w:t> </w:t>
      </w:r>
      <w:r>
        <w:rPr>
          <w:color w:val="231F20"/>
        </w:rPr>
        <w:t>carta</w:t>
      </w:r>
      <w:r>
        <w:rPr>
          <w:color w:val="231F20"/>
          <w:spacing w:val="-11"/>
        </w:rPr>
        <w:t> </w:t>
      </w:r>
      <w:r>
        <w:rPr>
          <w:color w:val="231F20"/>
        </w:rPr>
        <w:t>a</w:t>
      </w:r>
      <w:r>
        <w:rPr>
          <w:color w:val="231F20"/>
          <w:spacing w:val="-11"/>
        </w:rPr>
        <w:t> </w:t>
      </w:r>
      <w:r>
        <w:rPr>
          <w:color w:val="231F20"/>
        </w:rPr>
        <w:t>la</w:t>
      </w:r>
      <w:r>
        <w:rPr>
          <w:color w:val="231F20"/>
          <w:spacing w:val="-11"/>
        </w:rPr>
        <w:t> </w:t>
      </w:r>
      <w:r>
        <w:rPr>
          <w:color w:val="231F20"/>
        </w:rPr>
        <w:t>Sra.</w:t>
      </w:r>
      <w:r>
        <w:rPr>
          <w:color w:val="231F20"/>
          <w:spacing w:val="-11"/>
        </w:rPr>
        <w:t> </w:t>
      </w:r>
      <w:r>
        <w:rPr>
          <w:color w:val="231F20"/>
        </w:rPr>
        <w:t>Mari</w:t>
      </w:r>
      <w:r>
        <w:rPr>
          <w:color w:val="231F20"/>
          <w:spacing w:val="-11"/>
        </w:rPr>
        <w:t> </w:t>
      </w:r>
      <w:r>
        <w:rPr>
          <w:color w:val="231F20"/>
        </w:rPr>
        <w:t>Carmen</w:t>
      </w:r>
      <w:r>
        <w:rPr>
          <w:color w:val="231F20"/>
          <w:spacing w:val="-11"/>
        </w:rPr>
        <w:t> </w:t>
      </w:r>
      <w:r>
        <w:rPr>
          <w:color w:val="231F20"/>
        </w:rPr>
        <w:t>Aponte, </w:t>
      </w:r>
      <w:r>
        <w:rPr>
          <w:color w:val="231F20"/>
          <w:spacing w:val="-6"/>
        </w:rPr>
        <w:t>Embajadora</w:t>
      </w:r>
      <w:r>
        <w:rPr>
          <w:color w:val="231F20"/>
          <w:spacing w:val="-11"/>
        </w:rPr>
        <w:t> </w:t>
      </w:r>
      <w:r>
        <w:rPr>
          <w:color w:val="231F20"/>
          <w:spacing w:val="-6"/>
        </w:rPr>
        <w:t>de</w:t>
      </w:r>
      <w:r>
        <w:rPr>
          <w:color w:val="231F20"/>
          <w:spacing w:val="-10"/>
        </w:rPr>
        <w:t> </w:t>
      </w:r>
      <w:r>
        <w:rPr>
          <w:color w:val="231F20"/>
          <w:spacing w:val="-6"/>
        </w:rPr>
        <w:t>los</w:t>
      </w:r>
      <w:r>
        <w:rPr>
          <w:color w:val="231F20"/>
          <w:spacing w:val="-11"/>
        </w:rPr>
        <w:t> </w:t>
      </w:r>
      <w:r>
        <w:rPr>
          <w:color w:val="231F20"/>
          <w:spacing w:val="-6"/>
        </w:rPr>
        <w:t>Estados</w:t>
      </w:r>
      <w:r>
        <w:rPr>
          <w:color w:val="231F20"/>
          <w:spacing w:val="-10"/>
        </w:rPr>
        <w:t> </w:t>
      </w:r>
      <w:r>
        <w:rPr>
          <w:color w:val="231F20"/>
          <w:spacing w:val="-6"/>
        </w:rPr>
        <w:t>Unidos</w:t>
      </w:r>
      <w:r>
        <w:rPr>
          <w:color w:val="231F20"/>
          <w:spacing w:val="-11"/>
        </w:rPr>
        <w:t> </w:t>
      </w:r>
      <w:r>
        <w:rPr>
          <w:color w:val="231F20"/>
          <w:spacing w:val="-6"/>
        </w:rPr>
        <w:t>en</w:t>
      </w:r>
      <w:r>
        <w:rPr>
          <w:color w:val="231F20"/>
          <w:spacing w:val="-10"/>
        </w:rPr>
        <w:t> </w:t>
      </w:r>
      <w:r>
        <w:rPr>
          <w:color w:val="231F20"/>
          <w:spacing w:val="-6"/>
        </w:rPr>
        <w:t>ese </w:t>
      </w:r>
      <w:r>
        <w:rPr>
          <w:color w:val="231F20"/>
        </w:rPr>
        <w:t>país, denunciando el bloqueo a Cuba y </w:t>
      </w:r>
      <w:r>
        <w:rPr>
          <w:color w:val="231F20"/>
          <w:spacing w:val="-2"/>
        </w:rPr>
        <w:t>solicitando</w:t>
      </w:r>
      <w:r>
        <w:rPr>
          <w:color w:val="231F20"/>
          <w:spacing w:val="-7"/>
        </w:rPr>
        <w:t> </w:t>
      </w:r>
      <w:r>
        <w:rPr>
          <w:color w:val="231F20"/>
          <w:spacing w:val="-2"/>
        </w:rPr>
        <w:t>su</w:t>
      </w:r>
      <w:r>
        <w:rPr>
          <w:color w:val="231F20"/>
          <w:spacing w:val="-7"/>
        </w:rPr>
        <w:t> </w:t>
      </w:r>
      <w:r>
        <w:rPr>
          <w:color w:val="231F20"/>
          <w:spacing w:val="-2"/>
        </w:rPr>
        <w:t>levantamiento</w:t>
      </w:r>
      <w:r>
        <w:rPr>
          <w:color w:val="231F20"/>
          <w:spacing w:val="-7"/>
        </w:rPr>
        <w:t> </w:t>
      </w:r>
      <w:r>
        <w:rPr>
          <w:color w:val="231F20"/>
          <w:spacing w:val="-2"/>
        </w:rPr>
        <w:t>inmediato.</w:t>
      </w:r>
    </w:p>
    <w:p>
      <w:pPr>
        <w:pStyle w:val="BodyText"/>
        <w:spacing w:before="165"/>
        <w:ind w:left="1734" w:right="2"/>
      </w:pPr>
      <w:r>
        <w:rPr/>
        <mc:AlternateContent>
          <mc:Choice Requires="wps">
            <w:drawing>
              <wp:anchor distT="0" distB="0" distL="0" distR="0" allowOverlap="1" layoutInCell="1" locked="0" behindDoc="0" simplePos="0" relativeHeight="15764480">
                <wp:simplePos x="0" y="0"/>
                <wp:positionH relativeFrom="page">
                  <wp:posOffset>935997</wp:posOffset>
                </wp:positionH>
                <wp:positionV relativeFrom="paragraph">
                  <wp:posOffset>189199</wp:posOffset>
                </wp:positionV>
                <wp:extent cx="59690" cy="59690"/>
                <wp:effectExtent l="0" t="0" r="0" b="0"/>
                <wp:wrapNone/>
                <wp:docPr id="129" name="Graphic 129"/>
                <wp:cNvGraphicFramePr>
                  <a:graphicFrameLocks/>
                </wp:cNvGraphicFramePr>
                <a:graphic>
                  <a:graphicData uri="http://schemas.microsoft.com/office/word/2010/wordprocessingShape">
                    <wps:wsp>
                      <wps:cNvPr id="129" name="Graphic 12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8976pt;width:4.7pt;height:4.7pt;mso-position-horizontal-relative:page;mso-position-vertical-relative:paragraph;z-index:15764480" id="docshape102" coordorigin="1474,298" coordsize="94,94" path="m1521,298l1502,302,1488,312,1478,326,1474,345,1478,363,1488,378,1502,388,1521,391,1539,388,1554,378,1564,363,1567,345,1564,326,1554,312,1539,302,1521,298xe" filled="true" fillcolor="#1a4796" stroked="false">
                <v:path arrowok="t"/>
                <v:fill type="solid"/>
                <w10:wrap type="none"/>
              </v:shape>
            </w:pict>
          </mc:Fallback>
        </mc:AlternateContent>
      </w:r>
      <w:r>
        <w:rPr>
          <w:b/>
          <w:color w:val="1A4796"/>
        </w:rPr>
        <w:t>El</w:t>
      </w:r>
      <w:r>
        <w:rPr>
          <w:b/>
          <w:color w:val="1A4796"/>
          <w:spacing w:val="40"/>
        </w:rPr>
        <w:t> </w:t>
      </w:r>
      <w:r>
        <w:rPr>
          <w:b/>
          <w:color w:val="1A4796"/>
        </w:rPr>
        <w:t>26</w:t>
      </w:r>
      <w:r>
        <w:rPr>
          <w:b/>
          <w:color w:val="1A4796"/>
          <w:spacing w:val="40"/>
        </w:rPr>
        <w:t> </w:t>
      </w:r>
      <w:r>
        <w:rPr>
          <w:b/>
          <w:color w:val="1A4796"/>
        </w:rPr>
        <w:t>de</w:t>
      </w:r>
      <w:r>
        <w:rPr>
          <w:b/>
          <w:color w:val="1A4796"/>
          <w:spacing w:val="40"/>
        </w:rPr>
        <w:t> </w:t>
      </w:r>
      <w:r>
        <w:rPr>
          <w:b/>
          <w:color w:val="1A4796"/>
        </w:rPr>
        <w:t>octubre</w:t>
      </w:r>
      <w:r>
        <w:rPr>
          <w:b/>
          <w:color w:val="1A4796"/>
          <w:spacing w:val="40"/>
        </w:rPr>
        <w:t> </w:t>
      </w:r>
      <w:r>
        <w:rPr>
          <w:b/>
          <w:color w:val="1A4796"/>
        </w:rPr>
        <w:t>de</w:t>
      </w:r>
      <w:r>
        <w:rPr>
          <w:b/>
          <w:color w:val="1A4796"/>
          <w:spacing w:val="40"/>
        </w:rPr>
        <w:t> </w:t>
      </w:r>
      <w:r>
        <w:rPr>
          <w:b/>
          <w:color w:val="1A4796"/>
        </w:rPr>
        <w:t>2022,</w:t>
      </w:r>
      <w:r>
        <w:rPr>
          <w:b/>
          <w:color w:val="1A4796"/>
          <w:spacing w:val="40"/>
        </w:rPr>
        <w:t> </w:t>
      </w:r>
      <w:r>
        <w:rPr>
          <w:color w:val="231F20"/>
        </w:rPr>
        <w:t>durante la XXIII Reunión de Cancilleres de la </w:t>
      </w:r>
      <w:r>
        <w:rPr>
          <w:color w:val="231F20"/>
          <w:spacing w:val="-6"/>
        </w:rPr>
        <w:t>Comunidad</w:t>
      </w:r>
      <w:r>
        <w:rPr>
          <w:color w:val="231F20"/>
          <w:spacing w:val="-11"/>
        </w:rPr>
        <w:t> </w:t>
      </w:r>
      <w:r>
        <w:rPr>
          <w:color w:val="231F20"/>
          <w:spacing w:val="-6"/>
        </w:rPr>
        <w:t>de</w:t>
      </w:r>
      <w:r>
        <w:rPr>
          <w:color w:val="231F20"/>
          <w:spacing w:val="-10"/>
        </w:rPr>
        <w:t> </w:t>
      </w:r>
      <w:r>
        <w:rPr>
          <w:color w:val="231F20"/>
          <w:spacing w:val="-6"/>
        </w:rPr>
        <w:t>Estados</w:t>
      </w:r>
      <w:r>
        <w:rPr>
          <w:color w:val="231F20"/>
          <w:spacing w:val="-11"/>
        </w:rPr>
        <w:t> </w:t>
      </w:r>
      <w:r>
        <w:rPr>
          <w:color w:val="231F20"/>
          <w:spacing w:val="-6"/>
        </w:rPr>
        <w:t>Latinoamericanos </w:t>
      </w:r>
      <w:r>
        <w:rPr>
          <w:color w:val="231F20"/>
        </w:rPr>
        <w:t>y Caribeños (CELAC), Buenos Aires, se aprobó una Declaración en la que se </w:t>
      </w:r>
      <w:r>
        <w:rPr>
          <w:color w:val="231F20"/>
          <w:spacing w:val="-6"/>
        </w:rPr>
        <w:t>reiteró</w:t>
      </w:r>
      <w:r>
        <w:rPr>
          <w:color w:val="231F20"/>
          <w:spacing w:val="-11"/>
        </w:rPr>
        <w:t> </w:t>
      </w:r>
      <w:r>
        <w:rPr>
          <w:color w:val="231F20"/>
          <w:spacing w:val="-6"/>
        </w:rPr>
        <w:t>el</w:t>
      </w:r>
      <w:r>
        <w:rPr>
          <w:color w:val="231F20"/>
          <w:spacing w:val="-10"/>
        </w:rPr>
        <w:t> </w:t>
      </w:r>
      <w:r>
        <w:rPr>
          <w:color w:val="231F20"/>
          <w:spacing w:val="-6"/>
        </w:rPr>
        <w:t>llamado</w:t>
      </w:r>
      <w:r>
        <w:rPr>
          <w:color w:val="231F20"/>
          <w:spacing w:val="-11"/>
        </w:rPr>
        <w:t> </w:t>
      </w:r>
      <w:r>
        <w:rPr>
          <w:color w:val="231F20"/>
          <w:spacing w:val="-6"/>
        </w:rPr>
        <w:t>de</w:t>
      </w:r>
      <w:r>
        <w:rPr>
          <w:color w:val="231F20"/>
          <w:spacing w:val="-10"/>
        </w:rPr>
        <w:t> </w:t>
      </w:r>
      <w:r>
        <w:rPr>
          <w:color w:val="231F20"/>
          <w:spacing w:val="-6"/>
        </w:rPr>
        <w:t>la</w:t>
      </w:r>
      <w:r>
        <w:rPr>
          <w:color w:val="231F20"/>
          <w:spacing w:val="-11"/>
        </w:rPr>
        <w:t> </w:t>
      </w:r>
      <w:r>
        <w:rPr>
          <w:color w:val="231F20"/>
          <w:spacing w:val="-6"/>
        </w:rPr>
        <w:t>Asamblea</w:t>
      </w:r>
      <w:r>
        <w:rPr>
          <w:color w:val="231F20"/>
          <w:spacing w:val="-10"/>
        </w:rPr>
        <w:t> </w:t>
      </w:r>
      <w:r>
        <w:rPr>
          <w:color w:val="231F20"/>
          <w:spacing w:val="-6"/>
        </w:rPr>
        <w:t>General </w:t>
      </w:r>
      <w:r>
        <w:rPr>
          <w:color w:val="231F20"/>
        </w:rPr>
        <w:t>de las Naciones Unidas a poner fin al </w:t>
      </w:r>
      <w:r>
        <w:rPr>
          <w:color w:val="231F20"/>
          <w:spacing w:val="-4"/>
        </w:rPr>
        <w:t>bloqueo</w:t>
      </w:r>
      <w:r>
        <w:rPr>
          <w:color w:val="231F20"/>
          <w:spacing w:val="-13"/>
        </w:rPr>
        <w:t> </w:t>
      </w:r>
      <w:r>
        <w:rPr>
          <w:color w:val="231F20"/>
          <w:spacing w:val="-4"/>
        </w:rPr>
        <w:t>contra</w:t>
      </w:r>
      <w:r>
        <w:rPr>
          <w:color w:val="231F20"/>
          <w:spacing w:val="-12"/>
        </w:rPr>
        <w:t> </w:t>
      </w:r>
      <w:r>
        <w:rPr>
          <w:color w:val="231F20"/>
          <w:spacing w:val="-4"/>
        </w:rPr>
        <w:t>Cuba,</w:t>
      </w:r>
      <w:r>
        <w:rPr>
          <w:color w:val="231F20"/>
          <w:spacing w:val="-13"/>
        </w:rPr>
        <w:t> </w:t>
      </w:r>
      <w:r>
        <w:rPr>
          <w:color w:val="231F20"/>
          <w:spacing w:val="-4"/>
        </w:rPr>
        <w:t>que</w:t>
      </w:r>
      <w:r>
        <w:rPr>
          <w:color w:val="231F20"/>
          <w:spacing w:val="-12"/>
        </w:rPr>
        <w:t> </w:t>
      </w:r>
      <w:r>
        <w:rPr>
          <w:color w:val="231F20"/>
          <w:spacing w:val="-4"/>
        </w:rPr>
        <w:t>además</w:t>
      </w:r>
      <w:r>
        <w:rPr>
          <w:color w:val="231F20"/>
          <w:spacing w:val="-13"/>
        </w:rPr>
        <w:t> </w:t>
      </w:r>
      <w:r>
        <w:rPr>
          <w:color w:val="231F20"/>
          <w:spacing w:val="-4"/>
        </w:rPr>
        <w:t>de</w:t>
      </w:r>
      <w:r>
        <w:rPr>
          <w:color w:val="231F20"/>
          <w:spacing w:val="-12"/>
        </w:rPr>
        <w:t> </w:t>
      </w:r>
      <w:r>
        <w:rPr>
          <w:color w:val="231F20"/>
          <w:spacing w:val="-4"/>
        </w:rPr>
        <w:t>ser contrario</w:t>
      </w:r>
      <w:r>
        <w:rPr>
          <w:color w:val="231F20"/>
          <w:spacing w:val="-10"/>
        </w:rPr>
        <w:t> </w:t>
      </w:r>
      <w:r>
        <w:rPr>
          <w:color w:val="231F20"/>
          <w:spacing w:val="-4"/>
        </w:rPr>
        <w:t>al</w:t>
      </w:r>
      <w:r>
        <w:rPr>
          <w:color w:val="231F20"/>
          <w:spacing w:val="-10"/>
        </w:rPr>
        <w:t> </w:t>
      </w:r>
      <w:r>
        <w:rPr>
          <w:color w:val="231F20"/>
          <w:spacing w:val="-4"/>
        </w:rPr>
        <w:t>Derecho</w:t>
      </w:r>
      <w:r>
        <w:rPr>
          <w:color w:val="231F20"/>
          <w:spacing w:val="-10"/>
        </w:rPr>
        <w:t> </w:t>
      </w:r>
      <w:r>
        <w:rPr>
          <w:color w:val="231F20"/>
          <w:spacing w:val="-4"/>
        </w:rPr>
        <w:t>Internacional,</w:t>
      </w:r>
      <w:r>
        <w:rPr>
          <w:color w:val="231F20"/>
          <w:spacing w:val="-10"/>
        </w:rPr>
        <w:t> </w:t>
      </w:r>
      <w:r>
        <w:rPr>
          <w:color w:val="231F20"/>
          <w:spacing w:val="-4"/>
        </w:rPr>
        <w:t>causa </w:t>
      </w:r>
      <w:r>
        <w:rPr>
          <w:color w:val="231F20"/>
        </w:rPr>
        <w:t>graves daños al bienestar del pueblo cubano.</w:t>
      </w:r>
      <w:r>
        <w:rPr>
          <w:color w:val="231F20"/>
          <w:spacing w:val="-13"/>
        </w:rPr>
        <w:t> </w:t>
      </w:r>
      <w:r>
        <w:rPr>
          <w:color w:val="231F20"/>
        </w:rPr>
        <w:t>Asimismo,</w:t>
      </w:r>
      <w:r>
        <w:rPr>
          <w:color w:val="231F20"/>
          <w:spacing w:val="-13"/>
        </w:rPr>
        <w:t> </w:t>
      </w:r>
      <w:r>
        <w:rPr>
          <w:color w:val="231F20"/>
        </w:rPr>
        <w:t>se</w:t>
      </w:r>
      <w:r>
        <w:rPr>
          <w:color w:val="231F20"/>
          <w:spacing w:val="-13"/>
        </w:rPr>
        <w:t> </w:t>
      </w:r>
      <w:r>
        <w:rPr>
          <w:color w:val="231F20"/>
        </w:rPr>
        <w:t>reiteró</w:t>
      </w:r>
      <w:r>
        <w:rPr>
          <w:color w:val="231F20"/>
          <w:spacing w:val="-13"/>
        </w:rPr>
        <w:t> </w:t>
      </w:r>
      <w:r>
        <w:rPr>
          <w:color w:val="231F20"/>
        </w:rPr>
        <w:t>el</w:t>
      </w:r>
      <w:r>
        <w:rPr>
          <w:color w:val="231F20"/>
          <w:spacing w:val="-13"/>
        </w:rPr>
        <w:t> </w:t>
      </w:r>
      <w:r>
        <w:rPr>
          <w:color w:val="231F20"/>
        </w:rPr>
        <w:t>rechazo a las listas y certificaciones unilaterales que afectan a países de América Latina y el Caribe. Al respecto, los Cancilleres de</w:t>
      </w:r>
      <w:r>
        <w:rPr>
          <w:color w:val="231F20"/>
          <w:spacing w:val="-17"/>
        </w:rPr>
        <w:t> </w:t>
      </w:r>
      <w:r>
        <w:rPr>
          <w:color w:val="231F20"/>
        </w:rPr>
        <w:t>la</w:t>
      </w:r>
      <w:r>
        <w:rPr>
          <w:color w:val="231F20"/>
          <w:spacing w:val="-16"/>
        </w:rPr>
        <w:t> </w:t>
      </w:r>
      <w:r>
        <w:rPr>
          <w:color w:val="231F20"/>
        </w:rPr>
        <w:t>región</w:t>
      </w:r>
      <w:r>
        <w:rPr>
          <w:color w:val="231F20"/>
          <w:spacing w:val="-17"/>
        </w:rPr>
        <w:t> </w:t>
      </w:r>
      <w:r>
        <w:rPr>
          <w:color w:val="231F20"/>
        </w:rPr>
        <w:t>solicitaron</w:t>
      </w:r>
      <w:r>
        <w:rPr>
          <w:color w:val="231F20"/>
          <w:spacing w:val="-16"/>
        </w:rPr>
        <w:t> </w:t>
      </w:r>
      <w:r>
        <w:rPr>
          <w:color w:val="231F20"/>
        </w:rPr>
        <w:t>expresamente</w:t>
      </w:r>
      <w:r>
        <w:rPr>
          <w:color w:val="231F20"/>
          <w:spacing w:val="-17"/>
        </w:rPr>
        <w:t> </w:t>
      </w:r>
      <w:r>
        <w:rPr>
          <w:color w:val="231F20"/>
        </w:rPr>
        <w:t>la exclusión de Cuba de la lista unilateral sobre países que supuestamente patrocinan</w:t>
      </w:r>
      <w:r>
        <w:rPr>
          <w:color w:val="231F20"/>
          <w:spacing w:val="-12"/>
        </w:rPr>
        <w:t> </w:t>
      </w:r>
      <w:r>
        <w:rPr>
          <w:color w:val="231F20"/>
        </w:rPr>
        <w:t>el</w:t>
      </w:r>
      <w:r>
        <w:rPr>
          <w:color w:val="231F20"/>
          <w:spacing w:val="-12"/>
        </w:rPr>
        <w:t> </w:t>
      </w:r>
      <w:r>
        <w:rPr>
          <w:color w:val="231F20"/>
        </w:rPr>
        <w:t>terrorismo</w:t>
      </w:r>
      <w:r>
        <w:rPr>
          <w:color w:val="231F20"/>
          <w:spacing w:val="-12"/>
        </w:rPr>
        <w:t> </w:t>
      </w:r>
      <w:r>
        <w:rPr>
          <w:color w:val="231F20"/>
        </w:rPr>
        <w:t>internacional.</w:t>
      </w:r>
    </w:p>
    <w:p>
      <w:pPr>
        <w:pStyle w:val="BodyText"/>
        <w:spacing w:before="77"/>
        <w:ind w:left="673" w:right="1132"/>
      </w:pPr>
      <w:r>
        <w:rPr/>
        <w:br w:type="column"/>
      </w:r>
      <w:r>
        <w:rPr>
          <w:b/>
          <w:color w:val="1A4796"/>
        </w:rPr>
        <w:t>El 27 de octubre de 2022, </w:t>
      </w:r>
      <w:r>
        <w:rPr>
          <w:color w:val="231F20"/>
        </w:rPr>
        <w:t>se celebró en La Habana una audiencia pública parlamentaria</w:t>
      </w:r>
      <w:r>
        <w:rPr>
          <w:color w:val="231F20"/>
          <w:spacing w:val="-17"/>
        </w:rPr>
        <w:t> </w:t>
      </w:r>
      <w:r>
        <w:rPr>
          <w:color w:val="231F20"/>
        </w:rPr>
        <w:t>a</w:t>
      </w:r>
      <w:r>
        <w:rPr>
          <w:color w:val="231F20"/>
          <w:spacing w:val="-16"/>
        </w:rPr>
        <w:t> </w:t>
      </w:r>
      <w:r>
        <w:rPr>
          <w:color w:val="231F20"/>
        </w:rPr>
        <w:t>favor</w:t>
      </w:r>
      <w:r>
        <w:rPr>
          <w:color w:val="231F20"/>
          <w:spacing w:val="-17"/>
        </w:rPr>
        <w:t> </w:t>
      </w:r>
      <w:r>
        <w:rPr>
          <w:color w:val="231F20"/>
        </w:rPr>
        <w:t>del</w:t>
      </w:r>
      <w:r>
        <w:rPr>
          <w:color w:val="231F20"/>
          <w:spacing w:val="-16"/>
        </w:rPr>
        <w:t> </w:t>
      </w:r>
      <w:r>
        <w:rPr>
          <w:color w:val="231F20"/>
        </w:rPr>
        <w:t>levantamiento </w:t>
      </w:r>
      <w:r>
        <w:rPr>
          <w:color w:val="231F20"/>
          <w:spacing w:val="-2"/>
        </w:rPr>
        <w:t>del</w:t>
      </w:r>
      <w:r>
        <w:rPr>
          <w:color w:val="231F20"/>
          <w:spacing w:val="-13"/>
        </w:rPr>
        <w:t> </w:t>
      </w:r>
      <w:r>
        <w:rPr>
          <w:color w:val="231F20"/>
          <w:spacing w:val="-2"/>
        </w:rPr>
        <w:t>bloqueo</w:t>
      </w:r>
      <w:r>
        <w:rPr>
          <w:color w:val="231F20"/>
          <w:spacing w:val="-13"/>
        </w:rPr>
        <w:t> </w:t>
      </w:r>
      <w:r>
        <w:rPr>
          <w:color w:val="231F20"/>
          <w:spacing w:val="-2"/>
        </w:rPr>
        <w:t>convocada</w:t>
      </w:r>
      <w:r>
        <w:rPr>
          <w:color w:val="231F20"/>
          <w:spacing w:val="-13"/>
        </w:rPr>
        <w:t> </w:t>
      </w:r>
      <w:r>
        <w:rPr>
          <w:color w:val="231F20"/>
          <w:spacing w:val="-2"/>
        </w:rPr>
        <w:t>por</w:t>
      </w:r>
      <w:r>
        <w:rPr>
          <w:color w:val="231F20"/>
          <w:spacing w:val="-13"/>
        </w:rPr>
        <w:t> </w:t>
      </w:r>
      <w:r>
        <w:rPr>
          <w:color w:val="231F20"/>
          <w:spacing w:val="-2"/>
        </w:rPr>
        <w:t>la</w:t>
      </w:r>
      <w:r>
        <w:rPr>
          <w:color w:val="231F20"/>
          <w:spacing w:val="-13"/>
        </w:rPr>
        <w:t> </w:t>
      </w:r>
      <w:r>
        <w:rPr>
          <w:color w:val="231F20"/>
          <w:spacing w:val="-2"/>
        </w:rPr>
        <w:t>Asamblea </w:t>
      </w:r>
      <w:r>
        <w:rPr>
          <w:color w:val="231F20"/>
        </w:rPr>
        <w:t>Nacional del Poder Popular. El evento contó</w:t>
      </w:r>
      <w:r>
        <w:rPr>
          <w:color w:val="231F20"/>
          <w:spacing w:val="-15"/>
        </w:rPr>
        <w:t> </w:t>
      </w:r>
      <w:r>
        <w:rPr>
          <w:color w:val="231F20"/>
        </w:rPr>
        <w:t>con</w:t>
      </w:r>
      <w:r>
        <w:rPr>
          <w:color w:val="231F20"/>
          <w:spacing w:val="-15"/>
        </w:rPr>
        <w:t> </w:t>
      </w:r>
      <w:r>
        <w:rPr>
          <w:color w:val="231F20"/>
        </w:rPr>
        <w:t>la</w:t>
      </w:r>
      <w:r>
        <w:rPr>
          <w:color w:val="231F20"/>
          <w:spacing w:val="-15"/>
        </w:rPr>
        <w:t> </w:t>
      </w:r>
      <w:r>
        <w:rPr>
          <w:color w:val="231F20"/>
        </w:rPr>
        <w:t>participación</w:t>
      </w:r>
      <w:r>
        <w:rPr>
          <w:color w:val="231F20"/>
          <w:spacing w:val="-15"/>
        </w:rPr>
        <w:t> </w:t>
      </w:r>
      <w:r>
        <w:rPr>
          <w:color w:val="231F20"/>
        </w:rPr>
        <w:t>de</w:t>
      </w:r>
      <w:r>
        <w:rPr>
          <w:color w:val="231F20"/>
          <w:spacing w:val="-15"/>
        </w:rPr>
        <w:t> </w:t>
      </w:r>
      <w:r>
        <w:rPr>
          <w:color w:val="231F20"/>
        </w:rPr>
        <w:t>diputados nacionales y extranjeros, entre ellos, la </w:t>
      </w:r>
      <w:r>
        <w:rPr>
          <w:color w:val="231F20"/>
          <w:spacing w:val="-2"/>
        </w:rPr>
        <w:t>presidenta</w:t>
      </w:r>
      <w:r>
        <w:rPr>
          <w:color w:val="231F20"/>
          <w:spacing w:val="-15"/>
        </w:rPr>
        <w:t> </w:t>
      </w:r>
      <w:r>
        <w:rPr>
          <w:color w:val="231F20"/>
          <w:spacing w:val="-2"/>
        </w:rPr>
        <w:t>de</w:t>
      </w:r>
      <w:r>
        <w:rPr>
          <w:color w:val="231F20"/>
          <w:spacing w:val="-14"/>
        </w:rPr>
        <w:t> </w:t>
      </w:r>
      <w:r>
        <w:rPr>
          <w:color w:val="231F20"/>
          <w:spacing w:val="-2"/>
        </w:rPr>
        <w:t>la</w:t>
      </w:r>
      <w:r>
        <w:rPr>
          <w:color w:val="231F20"/>
          <w:spacing w:val="-15"/>
        </w:rPr>
        <w:t> </w:t>
      </w:r>
      <w:r>
        <w:rPr>
          <w:color w:val="231F20"/>
          <w:spacing w:val="-2"/>
        </w:rPr>
        <w:t>Comisión</w:t>
      </w:r>
      <w:r>
        <w:rPr>
          <w:color w:val="231F20"/>
          <w:spacing w:val="-14"/>
        </w:rPr>
        <w:t> </w:t>
      </w:r>
      <w:r>
        <w:rPr>
          <w:color w:val="231F20"/>
          <w:spacing w:val="-2"/>
        </w:rPr>
        <w:t>de</w:t>
      </w:r>
      <w:r>
        <w:rPr>
          <w:color w:val="231F20"/>
          <w:spacing w:val="-15"/>
        </w:rPr>
        <w:t> </w:t>
      </w:r>
      <w:r>
        <w:rPr>
          <w:color w:val="231F20"/>
          <w:spacing w:val="-2"/>
        </w:rPr>
        <w:t>Relaciones </w:t>
      </w:r>
      <w:r>
        <w:rPr>
          <w:color w:val="231F20"/>
          <w:spacing w:val="-4"/>
        </w:rPr>
        <w:t>Internacionales</w:t>
      </w:r>
      <w:r>
        <w:rPr>
          <w:color w:val="231F20"/>
          <w:spacing w:val="-13"/>
        </w:rPr>
        <w:t> </w:t>
      </w:r>
      <w:r>
        <w:rPr>
          <w:color w:val="231F20"/>
          <w:spacing w:val="-4"/>
        </w:rPr>
        <w:t>del</w:t>
      </w:r>
      <w:r>
        <w:rPr>
          <w:color w:val="231F20"/>
          <w:spacing w:val="-12"/>
        </w:rPr>
        <w:t> </w:t>
      </w:r>
      <w:r>
        <w:rPr>
          <w:color w:val="231F20"/>
          <w:spacing w:val="-4"/>
        </w:rPr>
        <w:t>Senado</w:t>
      </w:r>
      <w:r>
        <w:rPr>
          <w:color w:val="231F20"/>
          <w:spacing w:val="-13"/>
        </w:rPr>
        <w:t> </w:t>
      </w:r>
      <w:r>
        <w:rPr>
          <w:color w:val="231F20"/>
          <w:spacing w:val="-4"/>
        </w:rPr>
        <w:t>de</w:t>
      </w:r>
      <w:r>
        <w:rPr>
          <w:color w:val="231F20"/>
          <w:spacing w:val="-12"/>
        </w:rPr>
        <w:t> </w:t>
      </w:r>
      <w:r>
        <w:rPr>
          <w:color w:val="231F20"/>
          <w:spacing w:val="-4"/>
        </w:rPr>
        <w:t>Colombia, </w:t>
      </w:r>
      <w:r>
        <w:rPr>
          <w:color w:val="231F20"/>
        </w:rPr>
        <w:t>Gloria Flórez.</w:t>
      </w:r>
    </w:p>
    <w:p>
      <w:pPr>
        <w:spacing w:before="168"/>
        <w:ind w:left="673" w:right="1131" w:firstLine="0"/>
        <w:jc w:val="both"/>
        <w:rPr>
          <w:sz w:val="24"/>
        </w:rPr>
      </w:pPr>
      <w:r>
        <w:rPr/>
        <mc:AlternateContent>
          <mc:Choice Requires="wps">
            <w:drawing>
              <wp:anchor distT="0" distB="0" distL="0" distR="0" allowOverlap="1" layoutInCell="1" locked="0" behindDoc="0" simplePos="0" relativeHeight="15766016">
                <wp:simplePos x="0" y="0"/>
                <wp:positionH relativeFrom="page">
                  <wp:posOffset>4031997</wp:posOffset>
                </wp:positionH>
                <wp:positionV relativeFrom="paragraph">
                  <wp:posOffset>-1943417</wp:posOffset>
                </wp:positionV>
                <wp:extent cx="59690" cy="59690"/>
                <wp:effectExtent l="0" t="0" r="0" b="0"/>
                <wp:wrapNone/>
                <wp:docPr id="130" name="Graphic 130"/>
                <wp:cNvGraphicFramePr>
                  <a:graphicFrameLocks/>
                </wp:cNvGraphicFramePr>
                <a:graphic>
                  <a:graphicData uri="http://schemas.microsoft.com/office/word/2010/wordprocessingShape">
                    <wps:wsp>
                      <wps:cNvPr id="130" name="Graphic 13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3.024979pt;width:4.7pt;height:4.7pt;mso-position-horizontal-relative:page;mso-position-vertical-relative:paragraph;z-index:15766016" id="docshape103" coordorigin="6350,-3060" coordsize="94,94" path="m6396,-3060l6378,-3057,6363,-3047,6353,-3032,6350,-3014,6353,-2996,6363,-2981,6378,-2971,6396,-2967,6414,-2971,6429,-2981,6439,-2996,6443,-3014,6439,-3032,6429,-3047,6414,-3057,6396,-3060xe" filled="true" fillcolor="#1a4796" stroked="false">
                <v:path arrowok="t"/>
                <v:fill type="solid"/>
                <w10:wrap type="none"/>
              </v:shape>
            </w:pict>
          </mc:Fallback>
        </mc:AlternateContent>
      </w:r>
      <w:r>
        <w:rPr/>
        <mc:AlternateContent>
          <mc:Choice Requires="wps">
            <w:drawing>
              <wp:anchor distT="0" distB="0" distL="0" distR="0" allowOverlap="1" layoutInCell="1" locked="0" behindDoc="0" simplePos="0" relativeHeight="15766528">
                <wp:simplePos x="0" y="0"/>
                <wp:positionH relativeFrom="page">
                  <wp:posOffset>4031997</wp:posOffset>
                </wp:positionH>
                <wp:positionV relativeFrom="paragraph">
                  <wp:posOffset>189582</wp:posOffset>
                </wp:positionV>
                <wp:extent cx="59690" cy="59690"/>
                <wp:effectExtent l="0" t="0" r="0" b="0"/>
                <wp:wrapNone/>
                <wp:docPr id="131" name="Graphic 131"/>
                <wp:cNvGraphicFramePr>
                  <a:graphicFrameLocks/>
                </wp:cNvGraphicFramePr>
                <a:graphic>
                  <a:graphicData uri="http://schemas.microsoft.com/office/word/2010/wordprocessingShape">
                    <wps:wsp>
                      <wps:cNvPr id="131" name="Graphic 13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27725pt;width:4.7pt;height:4.7pt;mso-position-horizontal-relative:page;mso-position-vertical-relative:paragraph;z-index:15766528" id="docshape104" coordorigin="6350,299" coordsize="94,94" path="m6396,299l6378,302,6363,312,6353,327,6350,345,6353,363,6363,378,6378,388,6396,392,6414,388,6429,378,6439,363,6443,345,6439,327,6429,312,6414,302,6396,299xe" filled="true" fillcolor="#1a4796" stroked="false">
                <v:path arrowok="t"/>
                <v:fill type="solid"/>
                <w10:wrap type="none"/>
              </v:shape>
            </w:pict>
          </mc:Fallback>
        </mc:AlternateContent>
      </w:r>
      <w:r>
        <w:rPr>
          <w:b/>
          <w:color w:val="1A4796"/>
          <w:sz w:val="24"/>
        </w:rPr>
        <w:t>El</w:t>
      </w:r>
      <w:r>
        <w:rPr>
          <w:b/>
          <w:color w:val="1A4796"/>
          <w:spacing w:val="-10"/>
          <w:sz w:val="24"/>
        </w:rPr>
        <w:t> </w:t>
      </w:r>
      <w:r>
        <w:rPr>
          <w:b/>
          <w:color w:val="1A4796"/>
          <w:sz w:val="24"/>
        </w:rPr>
        <w:t>27</w:t>
      </w:r>
      <w:r>
        <w:rPr>
          <w:b/>
          <w:color w:val="1A4796"/>
          <w:spacing w:val="-10"/>
          <w:sz w:val="24"/>
        </w:rPr>
        <w:t> </w:t>
      </w:r>
      <w:r>
        <w:rPr>
          <w:b/>
          <w:color w:val="1A4796"/>
          <w:sz w:val="24"/>
        </w:rPr>
        <w:t>de</w:t>
      </w:r>
      <w:r>
        <w:rPr>
          <w:b/>
          <w:color w:val="1A4796"/>
          <w:spacing w:val="-10"/>
          <w:sz w:val="24"/>
        </w:rPr>
        <w:t> </w:t>
      </w:r>
      <w:r>
        <w:rPr>
          <w:b/>
          <w:color w:val="1A4796"/>
          <w:sz w:val="24"/>
        </w:rPr>
        <w:t>octubre</w:t>
      </w:r>
      <w:r>
        <w:rPr>
          <w:b/>
          <w:color w:val="1A4796"/>
          <w:spacing w:val="-10"/>
          <w:sz w:val="24"/>
        </w:rPr>
        <w:t> </w:t>
      </w:r>
      <w:r>
        <w:rPr>
          <w:b/>
          <w:color w:val="1A4796"/>
          <w:sz w:val="24"/>
        </w:rPr>
        <w:t>de</w:t>
      </w:r>
      <w:r>
        <w:rPr>
          <w:b/>
          <w:color w:val="1A4796"/>
          <w:spacing w:val="-10"/>
          <w:sz w:val="24"/>
        </w:rPr>
        <w:t> </w:t>
      </w:r>
      <w:r>
        <w:rPr>
          <w:b/>
          <w:color w:val="1A4796"/>
          <w:sz w:val="24"/>
        </w:rPr>
        <w:t>2022,</w:t>
      </w:r>
      <w:r>
        <w:rPr>
          <w:b/>
          <w:color w:val="1A4796"/>
          <w:spacing w:val="-11"/>
          <w:sz w:val="24"/>
        </w:rPr>
        <w:t> </w:t>
      </w:r>
      <w:r>
        <w:rPr>
          <w:color w:val="231F20"/>
          <w:sz w:val="24"/>
        </w:rPr>
        <w:t>la</w:t>
      </w:r>
      <w:r>
        <w:rPr>
          <w:color w:val="231F20"/>
          <w:spacing w:val="-10"/>
          <w:sz w:val="24"/>
        </w:rPr>
        <w:t> </w:t>
      </w:r>
      <w:r>
        <w:rPr>
          <w:color w:val="231F20"/>
          <w:sz w:val="24"/>
        </w:rPr>
        <w:t>Asamblea Nacional de Nicaragua aprobó una declaración de condena al bloqueo.</w:t>
      </w:r>
    </w:p>
    <w:p>
      <w:pPr>
        <w:pStyle w:val="BodyText"/>
        <w:spacing w:before="162"/>
        <w:ind w:left="673" w:right="1134"/>
      </w:pPr>
      <w:r>
        <w:rPr/>
        <mc:AlternateContent>
          <mc:Choice Requires="wps">
            <w:drawing>
              <wp:anchor distT="0" distB="0" distL="0" distR="0" allowOverlap="1" layoutInCell="1" locked="0" behindDoc="0" simplePos="0" relativeHeight="15767040">
                <wp:simplePos x="0" y="0"/>
                <wp:positionH relativeFrom="page">
                  <wp:posOffset>4031997</wp:posOffset>
                </wp:positionH>
                <wp:positionV relativeFrom="paragraph">
                  <wp:posOffset>187593</wp:posOffset>
                </wp:positionV>
                <wp:extent cx="59690" cy="59690"/>
                <wp:effectExtent l="0" t="0" r="0" b="0"/>
                <wp:wrapNone/>
                <wp:docPr id="132" name="Graphic 132"/>
                <wp:cNvGraphicFramePr>
                  <a:graphicFrameLocks/>
                </wp:cNvGraphicFramePr>
                <a:graphic>
                  <a:graphicData uri="http://schemas.microsoft.com/office/word/2010/wordprocessingShape">
                    <wps:wsp>
                      <wps:cNvPr id="132" name="Graphic 13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771112pt;width:4.7pt;height:4.7pt;mso-position-horizontal-relative:page;mso-position-vertical-relative:paragraph;z-index:15767040" id="docshape105" coordorigin="6350,295" coordsize="94,94" path="m6396,295l6378,299,6363,309,6353,324,6350,342,6353,360,6363,375,6378,385,6396,389,6414,385,6429,375,6439,360,6443,342,6439,324,6429,309,6414,299,6396,295xe" filled="true" fillcolor="#1a4796" stroked="false">
                <v:path arrowok="t"/>
                <v:fill type="solid"/>
                <w10:wrap type="none"/>
              </v:shape>
            </w:pict>
          </mc:Fallback>
        </mc:AlternateContent>
      </w:r>
      <w:r>
        <w:rPr>
          <w:b/>
          <w:color w:val="1A4796"/>
        </w:rPr>
        <w:t>El 30 de octubre de 2022, </w:t>
      </w:r>
      <w:r>
        <w:rPr>
          <w:color w:val="231F20"/>
        </w:rPr>
        <w:t>la Liga de </w:t>
      </w:r>
      <w:r>
        <w:rPr>
          <w:color w:val="231F20"/>
          <w:spacing w:val="-4"/>
        </w:rPr>
        <w:t>Graduados</w:t>
      </w:r>
      <w:r>
        <w:rPr>
          <w:color w:val="231F20"/>
          <w:spacing w:val="-13"/>
        </w:rPr>
        <w:t> </w:t>
      </w:r>
      <w:r>
        <w:rPr>
          <w:color w:val="231F20"/>
          <w:spacing w:val="-4"/>
        </w:rPr>
        <w:t>Palestinos</w:t>
      </w:r>
      <w:r>
        <w:rPr>
          <w:color w:val="231F20"/>
          <w:spacing w:val="-12"/>
        </w:rPr>
        <w:t> </w:t>
      </w:r>
      <w:r>
        <w:rPr>
          <w:color w:val="231F20"/>
          <w:spacing w:val="-4"/>
        </w:rPr>
        <w:t>de</w:t>
      </w:r>
      <w:r>
        <w:rPr>
          <w:color w:val="231F20"/>
          <w:spacing w:val="-13"/>
        </w:rPr>
        <w:t> </w:t>
      </w:r>
      <w:r>
        <w:rPr>
          <w:color w:val="231F20"/>
          <w:spacing w:val="-4"/>
        </w:rPr>
        <w:t>Universidades</w:t>
      </w:r>
      <w:r>
        <w:rPr>
          <w:color w:val="231F20"/>
          <w:spacing w:val="-12"/>
        </w:rPr>
        <w:t> </w:t>
      </w:r>
      <w:r>
        <w:rPr>
          <w:color w:val="231F20"/>
          <w:spacing w:val="-4"/>
        </w:rPr>
        <w:t>e </w:t>
      </w:r>
      <w:r>
        <w:rPr>
          <w:color w:val="231F20"/>
          <w:spacing w:val="-10"/>
        </w:rPr>
        <w:t>Institutos</w:t>
      </w:r>
      <w:r>
        <w:rPr>
          <w:color w:val="231F20"/>
          <w:spacing w:val="-7"/>
        </w:rPr>
        <w:t> </w:t>
      </w:r>
      <w:r>
        <w:rPr>
          <w:color w:val="231F20"/>
          <w:spacing w:val="-10"/>
        </w:rPr>
        <w:t>cubanos</w:t>
      </w:r>
      <w:r>
        <w:rPr>
          <w:color w:val="231F20"/>
          <w:spacing w:val="-6"/>
        </w:rPr>
        <w:t> </w:t>
      </w:r>
      <w:r>
        <w:rPr>
          <w:color w:val="231F20"/>
          <w:spacing w:val="-10"/>
        </w:rPr>
        <w:t>en</w:t>
      </w:r>
      <w:r>
        <w:rPr>
          <w:color w:val="231F20"/>
          <w:spacing w:val="-7"/>
        </w:rPr>
        <w:t> </w:t>
      </w:r>
      <w:r>
        <w:rPr>
          <w:color w:val="231F20"/>
          <w:spacing w:val="-10"/>
        </w:rPr>
        <w:t>el</w:t>
      </w:r>
      <w:r>
        <w:rPr>
          <w:color w:val="231F20"/>
          <w:spacing w:val="-6"/>
        </w:rPr>
        <w:t> </w:t>
      </w:r>
      <w:r>
        <w:rPr>
          <w:color w:val="231F20"/>
          <w:spacing w:val="-10"/>
        </w:rPr>
        <w:t>Líbano,</w:t>
      </w:r>
      <w:r>
        <w:rPr>
          <w:color w:val="231F20"/>
          <w:spacing w:val="-7"/>
        </w:rPr>
        <w:t> </w:t>
      </w:r>
      <w:r>
        <w:rPr>
          <w:color w:val="231F20"/>
          <w:spacing w:val="-10"/>
        </w:rPr>
        <w:t>emitió</w:t>
      </w:r>
      <w:r>
        <w:rPr>
          <w:color w:val="231F20"/>
          <w:spacing w:val="-6"/>
        </w:rPr>
        <w:t> </w:t>
      </w:r>
      <w:r>
        <w:rPr>
          <w:color w:val="231F20"/>
          <w:spacing w:val="-10"/>
        </w:rPr>
        <w:t>una </w:t>
      </w:r>
      <w:r>
        <w:rPr>
          <w:color w:val="231F20"/>
        </w:rPr>
        <w:t>declaración</w:t>
      </w:r>
      <w:r>
        <w:rPr>
          <w:color w:val="231F20"/>
          <w:spacing w:val="-1"/>
        </w:rPr>
        <w:t> </w:t>
      </w:r>
      <w:r>
        <w:rPr>
          <w:color w:val="231F20"/>
        </w:rPr>
        <w:t>que</w:t>
      </w:r>
      <w:r>
        <w:rPr>
          <w:color w:val="231F20"/>
          <w:spacing w:val="-1"/>
        </w:rPr>
        <w:t> </w:t>
      </w:r>
      <w:r>
        <w:rPr>
          <w:color w:val="231F20"/>
        </w:rPr>
        <w:t>exige</w:t>
      </w:r>
      <w:r>
        <w:rPr>
          <w:color w:val="231F20"/>
          <w:spacing w:val="-1"/>
        </w:rPr>
        <w:t> </w:t>
      </w:r>
      <w:r>
        <w:rPr>
          <w:color w:val="231F20"/>
        </w:rPr>
        <w:t>el</w:t>
      </w:r>
      <w:r>
        <w:rPr>
          <w:color w:val="231F20"/>
          <w:spacing w:val="-1"/>
        </w:rPr>
        <w:t> </w:t>
      </w:r>
      <w:r>
        <w:rPr>
          <w:color w:val="231F20"/>
        </w:rPr>
        <w:t>levantamiento del bloqueo impuesto a Cuba.</w:t>
      </w:r>
    </w:p>
    <w:p>
      <w:pPr>
        <w:pStyle w:val="BodyText"/>
        <w:spacing w:before="164"/>
        <w:ind w:left="673" w:right="1131"/>
      </w:pPr>
      <w:r>
        <w:rPr/>
        <mc:AlternateContent>
          <mc:Choice Requires="wps">
            <w:drawing>
              <wp:anchor distT="0" distB="0" distL="0" distR="0" allowOverlap="1" layoutInCell="1" locked="0" behindDoc="0" simplePos="0" relativeHeight="15767552">
                <wp:simplePos x="0" y="0"/>
                <wp:positionH relativeFrom="page">
                  <wp:posOffset>4031997</wp:posOffset>
                </wp:positionH>
                <wp:positionV relativeFrom="paragraph">
                  <wp:posOffset>189001</wp:posOffset>
                </wp:positionV>
                <wp:extent cx="59690" cy="59690"/>
                <wp:effectExtent l="0" t="0" r="0" b="0"/>
                <wp:wrapNone/>
                <wp:docPr id="133" name="Graphic 133"/>
                <wp:cNvGraphicFramePr>
                  <a:graphicFrameLocks/>
                </wp:cNvGraphicFramePr>
                <a:graphic>
                  <a:graphicData uri="http://schemas.microsoft.com/office/word/2010/wordprocessingShape">
                    <wps:wsp>
                      <wps:cNvPr id="133" name="Graphic 13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882025pt;width:4.7pt;height:4.7pt;mso-position-horizontal-relative:page;mso-position-vertical-relative:paragraph;z-index:15767552" id="docshape106" coordorigin="6350,298" coordsize="94,94" path="m6396,298l6378,301,6363,311,6353,326,6350,344,6353,362,6363,377,6378,387,6396,391,6414,387,6429,377,6439,362,6443,344,6439,326,6429,311,6414,301,6396,298xe" filled="true" fillcolor="#1a4796" stroked="false">
                <v:path arrowok="t"/>
                <v:fill type="solid"/>
                <w10:wrap type="none"/>
              </v:shape>
            </w:pict>
          </mc:Fallback>
        </mc:AlternateContent>
      </w:r>
      <w:r>
        <w:rPr>
          <w:b/>
          <w:color w:val="1A4796"/>
        </w:rPr>
        <w:t>El 1ero de noviembre de 2022, </w:t>
      </w:r>
      <w:r>
        <w:rPr>
          <w:color w:val="231F20"/>
        </w:rPr>
        <w:t>las organizaciones de la sociedad civil y </w:t>
      </w:r>
      <w:r>
        <w:rPr>
          <w:color w:val="231F20"/>
          <w:spacing w:val="-14"/>
        </w:rPr>
        <w:t>movimientos</w:t>
      </w:r>
      <w:r>
        <w:rPr>
          <w:color w:val="231F20"/>
        </w:rPr>
        <w:t> </w:t>
      </w:r>
      <w:r>
        <w:rPr>
          <w:color w:val="231F20"/>
          <w:spacing w:val="-14"/>
        </w:rPr>
        <w:t>sociales</w:t>
      </w:r>
      <w:r>
        <w:rPr>
          <w:color w:val="231F20"/>
        </w:rPr>
        <w:t> </w:t>
      </w:r>
      <w:r>
        <w:rPr>
          <w:color w:val="231F20"/>
          <w:spacing w:val="-14"/>
        </w:rPr>
        <w:t>de</w:t>
      </w:r>
      <w:r>
        <w:rPr>
          <w:color w:val="231F20"/>
        </w:rPr>
        <w:t> </w:t>
      </w:r>
      <w:r>
        <w:rPr>
          <w:color w:val="231F20"/>
          <w:spacing w:val="-14"/>
        </w:rPr>
        <w:t>Trinidad</w:t>
      </w:r>
      <w:r>
        <w:rPr>
          <w:color w:val="231F20"/>
        </w:rPr>
        <w:t> </w:t>
      </w:r>
      <w:r>
        <w:rPr>
          <w:color w:val="231F20"/>
          <w:spacing w:val="-14"/>
        </w:rPr>
        <w:t>y</w:t>
      </w:r>
      <w:r>
        <w:rPr>
          <w:color w:val="231F20"/>
        </w:rPr>
        <w:t> </w:t>
      </w:r>
      <w:r>
        <w:rPr>
          <w:color w:val="231F20"/>
          <w:spacing w:val="-14"/>
        </w:rPr>
        <w:t>Tobago, </w:t>
      </w:r>
      <w:r>
        <w:rPr>
          <w:color w:val="231F20"/>
        </w:rPr>
        <w:t>publicaron</w:t>
      </w:r>
      <w:r>
        <w:rPr>
          <w:color w:val="231F20"/>
          <w:spacing w:val="-17"/>
        </w:rPr>
        <w:t> </w:t>
      </w:r>
      <w:r>
        <w:rPr>
          <w:color w:val="231F20"/>
        </w:rPr>
        <w:t>un</w:t>
      </w:r>
      <w:r>
        <w:rPr>
          <w:color w:val="231F20"/>
          <w:spacing w:val="-16"/>
        </w:rPr>
        <w:t> </w:t>
      </w:r>
      <w:r>
        <w:rPr>
          <w:color w:val="231F20"/>
        </w:rPr>
        <w:t>comunicado</w:t>
      </w:r>
      <w:r>
        <w:rPr>
          <w:color w:val="231F20"/>
          <w:spacing w:val="-17"/>
        </w:rPr>
        <w:t> </w:t>
      </w:r>
      <w:r>
        <w:rPr>
          <w:color w:val="231F20"/>
        </w:rPr>
        <w:t>titulado:</w:t>
      </w:r>
      <w:r>
        <w:rPr>
          <w:color w:val="231F20"/>
          <w:spacing w:val="-16"/>
        </w:rPr>
        <w:t> </w:t>
      </w:r>
      <w:r>
        <w:rPr>
          <w:i/>
          <w:color w:val="231F20"/>
        </w:rPr>
        <w:t>End</w:t>
      </w:r>
      <w:r>
        <w:rPr>
          <w:i/>
          <w:color w:val="231F20"/>
        </w:rPr>
        <w:t> </w:t>
      </w:r>
      <w:r>
        <w:rPr>
          <w:i/>
          <w:color w:val="231F20"/>
          <w:spacing w:val="-10"/>
        </w:rPr>
        <w:t>the</w:t>
      </w:r>
      <w:r>
        <w:rPr>
          <w:i/>
          <w:color w:val="231F20"/>
          <w:spacing w:val="-7"/>
        </w:rPr>
        <w:t> </w:t>
      </w:r>
      <w:r>
        <w:rPr>
          <w:i/>
          <w:color w:val="231F20"/>
          <w:spacing w:val="-10"/>
        </w:rPr>
        <w:t>Illegal</w:t>
      </w:r>
      <w:r>
        <w:rPr>
          <w:i/>
          <w:color w:val="231F20"/>
          <w:spacing w:val="-6"/>
        </w:rPr>
        <w:t> </w:t>
      </w:r>
      <w:r>
        <w:rPr>
          <w:i/>
          <w:color w:val="231F20"/>
          <w:spacing w:val="-10"/>
        </w:rPr>
        <w:t>and</w:t>
      </w:r>
      <w:r>
        <w:rPr>
          <w:i/>
          <w:color w:val="231F20"/>
          <w:spacing w:val="-7"/>
        </w:rPr>
        <w:t> </w:t>
      </w:r>
      <w:r>
        <w:rPr>
          <w:i/>
          <w:color w:val="231F20"/>
          <w:spacing w:val="-10"/>
        </w:rPr>
        <w:t>Illegitimate</w:t>
      </w:r>
      <w:r>
        <w:rPr>
          <w:i/>
          <w:color w:val="231F20"/>
          <w:spacing w:val="-6"/>
        </w:rPr>
        <w:t> </w:t>
      </w:r>
      <w:r>
        <w:rPr>
          <w:i/>
          <w:color w:val="231F20"/>
          <w:spacing w:val="-10"/>
        </w:rPr>
        <w:t>Blockade</w:t>
      </w:r>
      <w:r>
        <w:rPr>
          <w:i/>
          <w:color w:val="231F20"/>
          <w:spacing w:val="-7"/>
        </w:rPr>
        <w:t> </w:t>
      </w:r>
      <w:r>
        <w:rPr>
          <w:i/>
          <w:color w:val="231F20"/>
          <w:spacing w:val="-10"/>
        </w:rPr>
        <w:t>of</w:t>
      </w:r>
      <w:r>
        <w:rPr>
          <w:i/>
          <w:color w:val="231F20"/>
          <w:spacing w:val="-6"/>
        </w:rPr>
        <w:t> </w:t>
      </w:r>
      <w:r>
        <w:rPr>
          <w:i/>
          <w:color w:val="231F20"/>
          <w:spacing w:val="-10"/>
        </w:rPr>
        <w:t>Cuba Now!</w:t>
      </w:r>
      <w:r>
        <w:rPr>
          <w:i/>
          <w:color w:val="231F20"/>
          <w:spacing w:val="-7"/>
        </w:rPr>
        <w:t> </w:t>
      </w:r>
      <w:r>
        <w:rPr>
          <w:color w:val="231F20"/>
          <w:spacing w:val="-10"/>
        </w:rPr>
        <w:t>en</w:t>
      </w:r>
      <w:r>
        <w:rPr>
          <w:color w:val="231F20"/>
          <w:spacing w:val="-6"/>
        </w:rPr>
        <w:t> </w:t>
      </w:r>
      <w:r>
        <w:rPr>
          <w:color w:val="231F20"/>
          <w:spacing w:val="-10"/>
        </w:rPr>
        <w:t>el</w:t>
      </w:r>
      <w:r>
        <w:rPr>
          <w:color w:val="231F20"/>
          <w:spacing w:val="-7"/>
        </w:rPr>
        <w:t> </w:t>
      </w:r>
      <w:r>
        <w:rPr>
          <w:color w:val="231F20"/>
          <w:spacing w:val="-10"/>
        </w:rPr>
        <w:t>que</w:t>
      </w:r>
      <w:r>
        <w:rPr>
          <w:color w:val="231F20"/>
          <w:spacing w:val="-6"/>
        </w:rPr>
        <w:t> </w:t>
      </w:r>
      <w:r>
        <w:rPr>
          <w:color w:val="231F20"/>
          <w:spacing w:val="-10"/>
        </w:rPr>
        <w:t>exigieron</w:t>
      </w:r>
      <w:r>
        <w:rPr>
          <w:color w:val="231F20"/>
          <w:spacing w:val="-7"/>
        </w:rPr>
        <w:t> </w:t>
      </w:r>
      <w:r>
        <w:rPr>
          <w:color w:val="231F20"/>
          <w:spacing w:val="-10"/>
        </w:rPr>
        <w:t>levantar</w:t>
      </w:r>
      <w:r>
        <w:rPr>
          <w:color w:val="231F20"/>
          <w:spacing w:val="-6"/>
        </w:rPr>
        <w:t> </w:t>
      </w:r>
      <w:r>
        <w:rPr>
          <w:color w:val="231F20"/>
          <w:spacing w:val="-10"/>
        </w:rPr>
        <w:t>todas</w:t>
      </w:r>
      <w:r>
        <w:rPr>
          <w:color w:val="231F20"/>
          <w:spacing w:val="-7"/>
        </w:rPr>
        <w:t> </w:t>
      </w:r>
      <w:r>
        <w:rPr>
          <w:color w:val="231F20"/>
          <w:spacing w:val="-10"/>
        </w:rPr>
        <w:t>las medidas</w:t>
      </w:r>
      <w:r>
        <w:rPr>
          <w:color w:val="231F20"/>
          <w:spacing w:val="-6"/>
        </w:rPr>
        <w:t> </w:t>
      </w:r>
      <w:r>
        <w:rPr>
          <w:color w:val="231F20"/>
          <w:spacing w:val="-10"/>
        </w:rPr>
        <w:t>ejecutivas</w:t>
      </w:r>
      <w:r>
        <w:rPr>
          <w:color w:val="231F20"/>
          <w:spacing w:val="-6"/>
        </w:rPr>
        <w:t> </w:t>
      </w:r>
      <w:r>
        <w:rPr>
          <w:color w:val="231F20"/>
          <w:spacing w:val="-10"/>
        </w:rPr>
        <w:t>del</w:t>
      </w:r>
      <w:r>
        <w:rPr>
          <w:color w:val="231F20"/>
          <w:spacing w:val="-6"/>
        </w:rPr>
        <w:t> </w:t>
      </w:r>
      <w:r>
        <w:rPr>
          <w:color w:val="231F20"/>
          <w:spacing w:val="-10"/>
        </w:rPr>
        <w:t>mandato</w:t>
      </w:r>
      <w:r>
        <w:rPr>
          <w:color w:val="231F20"/>
          <w:spacing w:val="-6"/>
        </w:rPr>
        <w:t> </w:t>
      </w:r>
      <w:r>
        <w:rPr>
          <w:color w:val="231F20"/>
          <w:spacing w:val="-10"/>
        </w:rPr>
        <w:t>de</w:t>
      </w:r>
      <w:r>
        <w:rPr>
          <w:color w:val="231F20"/>
          <w:spacing w:val="-6"/>
        </w:rPr>
        <w:t> </w:t>
      </w:r>
      <w:r>
        <w:rPr>
          <w:color w:val="231F20"/>
          <w:spacing w:val="-10"/>
        </w:rPr>
        <w:t>Trump </w:t>
      </w:r>
      <w:r>
        <w:rPr>
          <w:color w:val="231F20"/>
        </w:rPr>
        <w:t>que reforzaron el bloqueo a Cuba, así </w:t>
      </w:r>
      <w:r>
        <w:rPr>
          <w:color w:val="231F20"/>
          <w:spacing w:val="-4"/>
        </w:rPr>
        <w:t>como</w:t>
      </w:r>
      <w:r>
        <w:rPr>
          <w:color w:val="231F20"/>
          <w:spacing w:val="-13"/>
        </w:rPr>
        <w:t> </w:t>
      </w:r>
      <w:r>
        <w:rPr>
          <w:color w:val="231F20"/>
          <w:spacing w:val="-4"/>
        </w:rPr>
        <w:t>retirar</w:t>
      </w:r>
      <w:r>
        <w:rPr>
          <w:color w:val="231F20"/>
          <w:spacing w:val="-12"/>
        </w:rPr>
        <w:t> </w:t>
      </w:r>
      <w:r>
        <w:rPr>
          <w:color w:val="231F20"/>
          <w:spacing w:val="-4"/>
        </w:rPr>
        <w:t>al</w:t>
      </w:r>
      <w:r>
        <w:rPr>
          <w:color w:val="231F20"/>
          <w:spacing w:val="-13"/>
        </w:rPr>
        <w:t> </w:t>
      </w:r>
      <w:r>
        <w:rPr>
          <w:color w:val="231F20"/>
          <w:spacing w:val="-4"/>
        </w:rPr>
        <w:t>país</w:t>
      </w:r>
      <w:r>
        <w:rPr>
          <w:color w:val="231F20"/>
          <w:spacing w:val="-12"/>
        </w:rPr>
        <w:t> </w:t>
      </w:r>
      <w:r>
        <w:rPr>
          <w:color w:val="231F20"/>
          <w:spacing w:val="-4"/>
        </w:rPr>
        <w:t>de</w:t>
      </w:r>
      <w:r>
        <w:rPr>
          <w:color w:val="231F20"/>
          <w:spacing w:val="-12"/>
        </w:rPr>
        <w:t> </w:t>
      </w:r>
      <w:r>
        <w:rPr>
          <w:color w:val="231F20"/>
          <w:spacing w:val="-4"/>
        </w:rPr>
        <w:t>la</w:t>
      </w:r>
      <w:r>
        <w:rPr>
          <w:color w:val="231F20"/>
          <w:spacing w:val="-13"/>
        </w:rPr>
        <w:t> </w:t>
      </w:r>
      <w:r>
        <w:rPr>
          <w:color w:val="231F20"/>
          <w:spacing w:val="-4"/>
        </w:rPr>
        <w:t>Lista</w:t>
      </w:r>
      <w:r>
        <w:rPr>
          <w:color w:val="231F20"/>
          <w:spacing w:val="-12"/>
        </w:rPr>
        <w:t> </w:t>
      </w:r>
      <w:r>
        <w:rPr>
          <w:color w:val="231F20"/>
          <w:spacing w:val="-4"/>
        </w:rPr>
        <w:t>de</w:t>
      </w:r>
      <w:r>
        <w:rPr>
          <w:color w:val="231F20"/>
          <w:spacing w:val="-13"/>
        </w:rPr>
        <w:t> </w:t>
      </w:r>
      <w:r>
        <w:rPr>
          <w:color w:val="231F20"/>
          <w:spacing w:val="-4"/>
        </w:rPr>
        <w:t>Estados </w:t>
      </w:r>
      <w:r>
        <w:rPr>
          <w:color w:val="231F20"/>
          <w:spacing w:val="-2"/>
        </w:rPr>
        <w:t>Patrocinadores</w:t>
      </w:r>
      <w:r>
        <w:rPr>
          <w:color w:val="231F20"/>
          <w:spacing w:val="-8"/>
        </w:rPr>
        <w:t> </w:t>
      </w:r>
      <w:r>
        <w:rPr>
          <w:color w:val="231F20"/>
          <w:spacing w:val="-2"/>
        </w:rPr>
        <w:t>del</w:t>
      </w:r>
      <w:r>
        <w:rPr>
          <w:color w:val="231F20"/>
          <w:spacing w:val="-8"/>
        </w:rPr>
        <w:t> </w:t>
      </w:r>
      <w:r>
        <w:rPr>
          <w:color w:val="231F20"/>
          <w:spacing w:val="-2"/>
        </w:rPr>
        <w:t>Terrorismo.</w:t>
      </w:r>
      <w:r>
        <w:rPr>
          <w:color w:val="231F20"/>
          <w:spacing w:val="-8"/>
        </w:rPr>
        <w:t> </w:t>
      </w:r>
      <w:r>
        <w:rPr>
          <w:color w:val="231F20"/>
          <w:spacing w:val="-2"/>
        </w:rPr>
        <w:t>También </w:t>
      </w:r>
      <w:r>
        <w:rPr>
          <w:color w:val="231F20"/>
          <w:spacing w:val="-6"/>
        </w:rPr>
        <w:t>llamaron</w:t>
      </w:r>
      <w:r>
        <w:rPr>
          <w:color w:val="231F20"/>
          <w:spacing w:val="-10"/>
        </w:rPr>
        <w:t> </w:t>
      </w:r>
      <w:r>
        <w:rPr>
          <w:color w:val="231F20"/>
          <w:spacing w:val="-6"/>
        </w:rPr>
        <w:t>al</w:t>
      </w:r>
      <w:r>
        <w:rPr>
          <w:color w:val="231F20"/>
          <w:spacing w:val="-10"/>
        </w:rPr>
        <w:t> </w:t>
      </w:r>
      <w:r>
        <w:rPr>
          <w:color w:val="231F20"/>
          <w:spacing w:val="-6"/>
        </w:rPr>
        <w:t>Congreso</w:t>
      </w:r>
      <w:r>
        <w:rPr>
          <w:color w:val="231F20"/>
          <w:spacing w:val="-10"/>
        </w:rPr>
        <w:t> </w:t>
      </w:r>
      <w:r>
        <w:rPr>
          <w:color w:val="231F20"/>
          <w:spacing w:val="-6"/>
        </w:rPr>
        <w:t>a</w:t>
      </w:r>
      <w:r>
        <w:rPr>
          <w:color w:val="231F20"/>
          <w:spacing w:val="-10"/>
        </w:rPr>
        <w:t> </w:t>
      </w:r>
      <w:r>
        <w:rPr>
          <w:color w:val="231F20"/>
          <w:spacing w:val="-6"/>
        </w:rPr>
        <w:t>remover</w:t>
      </w:r>
      <w:r>
        <w:rPr>
          <w:color w:val="231F20"/>
          <w:spacing w:val="-10"/>
        </w:rPr>
        <w:t> </w:t>
      </w:r>
      <w:r>
        <w:rPr>
          <w:color w:val="231F20"/>
          <w:spacing w:val="-6"/>
        </w:rPr>
        <w:t>todas</w:t>
      </w:r>
      <w:r>
        <w:rPr>
          <w:color w:val="231F20"/>
          <w:spacing w:val="-10"/>
        </w:rPr>
        <w:t> </w:t>
      </w:r>
      <w:r>
        <w:rPr>
          <w:color w:val="231F20"/>
          <w:spacing w:val="-6"/>
        </w:rPr>
        <w:t>las </w:t>
      </w:r>
      <w:r>
        <w:rPr>
          <w:color w:val="231F20"/>
          <w:spacing w:val="-4"/>
        </w:rPr>
        <w:t>leyes</w:t>
      </w:r>
      <w:r>
        <w:rPr>
          <w:color w:val="231F20"/>
          <w:spacing w:val="-16"/>
        </w:rPr>
        <w:t> </w:t>
      </w:r>
      <w:r>
        <w:rPr>
          <w:color w:val="231F20"/>
          <w:spacing w:val="-4"/>
        </w:rPr>
        <w:t>que</w:t>
      </w:r>
      <w:r>
        <w:rPr>
          <w:color w:val="231F20"/>
          <w:spacing w:val="-16"/>
        </w:rPr>
        <w:t> </w:t>
      </w:r>
      <w:r>
        <w:rPr>
          <w:color w:val="231F20"/>
          <w:spacing w:val="-4"/>
        </w:rPr>
        <w:t>sustentan</w:t>
      </w:r>
      <w:r>
        <w:rPr>
          <w:color w:val="231F20"/>
          <w:spacing w:val="-16"/>
        </w:rPr>
        <w:t> </w:t>
      </w:r>
      <w:r>
        <w:rPr>
          <w:color w:val="231F20"/>
          <w:spacing w:val="-4"/>
        </w:rPr>
        <w:t>el</w:t>
      </w:r>
      <w:r>
        <w:rPr>
          <w:color w:val="231F20"/>
          <w:spacing w:val="-16"/>
        </w:rPr>
        <w:t> </w:t>
      </w:r>
      <w:r>
        <w:rPr>
          <w:color w:val="231F20"/>
          <w:spacing w:val="-4"/>
        </w:rPr>
        <w:t>bloqueo</w:t>
      </w:r>
      <w:r>
        <w:rPr>
          <w:color w:val="231F20"/>
          <w:spacing w:val="-16"/>
        </w:rPr>
        <w:t> </w:t>
      </w:r>
      <w:r>
        <w:rPr>
          <w:color w:val="231F20"/>
          <w:spacing w:val="-4"/>
        </w:rPr>
        <w:t>a</w:t>
      </w:r>
      <w:r>
        <w:rPr>
          <w:color w:val="231F20"/>
          <w:spacing w:val="-16"/>
        </w:rPr>
        <w:t> </w:t>
      </w:r>
      <w:r>
        <w:rPr>
          <w:color w:val="231F20"/>
          <w:spacing w:val="-4"/>
        </w:rPr>
        <w:t>Cuba.</w:t>
      </w:r>
    </w:p>
    <w:p>
      <w:pPr>
        <w:pStyle w:val="BodyText"/>
        <w:spacing w:before="169"/>
        <w:ind w:left="673" w:right="1130"/>
      </w:pPr>
      <w:r>
        <w:rPr/>
        <mc:AlternateContent>
          <mc:Choice Requires="wps">
            <w:drawing>
              <wp:anchor distT="0" distB="0" distL="0" distR="0" allowOverlap="1" layoutInCell="1" locked="0" behindDoc="0" simplePos="0" relativeHeight="15768064">
                <wp:simplePos x="0" y="0"/>
                <wp:positionH relativeFrom="page">
                  <wp:posOffset>4031997</wp:posOffset>
                </wp:positionH>
                <wp:positionV relativeFrom="paragraph">
                  <wp:posOffset>194015</wp:posOffset>
                </wp:positionV>
                <wp:extent cx="59690" cy="59690"/>
                <wp:effectExtent l="0" t="0" r="0" b="0"/>
                <wp:wrapNone/>
                <wp:docPr id="134" name="Graphic 134"/>
                <wp:cNvGraphicFramePr>
                  <a:graphicFrameLocks/>
                </wp:cNvGraphicFramePr>
                <a:graphic>
                  <a:graphicData uri="http://schemas.microsoft.com/office/word/2010/wordprocessingShape">
                    <wps:wsp>
                      <wps:cNvPr id="134" name="Graphic 13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276775pt;width:4.7pt;height:4.7pt;mso-position-horizontal-relative:page;mso-position-vertical-relative:paragraph;z-index:15768064" id="docshape107" coordorigin="6350,306" coordsize="94,94" path="m6396,306l6378,309,6363,319,6353,334,6350,352,6353,370,6363,385,6378,395,6396,399,6414,395,6429,385,6439,370,6443,352,6439,334,6429,319,6414,309,6396,306xe" filled="true" fillcolor="#1a4796" stroked="false">
                <v:path arrowok="t"/>
                <v:fill type="solid"/>
                <w10:wrap type="none"/>
              </v:shape>
            </w:pict>
          </mc:Fallback>
        </mc:AlternateContent>
      </w:r>
      <w:r>
        <w:rPr>
          <w:b/>
          <w:color w:val="1A4796"/>
        </w:rPr>
        <w:t>El</w:t>
      </w:r>
      <w:r>
        <w:rPr>
          <w:b/>
          <w:color w:val="1A4796"/>
          <w:spacing w:val="-2"/>
        </w:rPr>
        <w:t> </w:t>
      </w:r>
      <w:r>
        <w:rPr>
          <w:b/>
          <w:color w:val="1A4796"/>
        </w:rPr>
        <w:t>2</w:t>
      </w:r>
      <w:r>
        <w:rPr>
          <w:b/>
          <w:color w:val="1A4796"/>
          <w:spacing w:val="-2"/>
        </w:rPr>
        <w:t> </w:t>
      </w:r>
      <w:r>
        <w:rPr>
          <w:b/>
          <w:color w:val="1A4796"/>
        </w:rPr>
        <w:t>de</w:t>
      </w:r>
      <w:r>
        <w:rPr>
          <w:b/>
          <w:color w:val="1A4796"/>
          <w:spacing w:val="-2"/>
        </w:rPr>
        <w:t> </w:t>
      </w:r>
      <w:r>
        <w:rPr>
          <w:b/>
          <w:color w:val="1A4796"/>
        </w:rPr>
        <w:t>noviembre</w:t>
      </w:r>
      <w:r>
        <w:rPr>
          <w:b/>
          <w:color w:val="1A4796"/>
          <w:spacing w:val="-2"/>
        </w:rPr>
        <w:t> </w:t>
      </w:r>
      <w:r>
        <w:rPr>
          <w:b/>
          <w:color w:val="1A4796"/>
        </w:rPr>
        <w:t>de</w:t>
      </w:r>
      <w:r>
        <w:rPr>
          <w:b/>
          <w:color w:val="1A4796"/>
          <w:spacing w:val="-2"/>
        </w:rPr>
        <w:t> </w:t>
      </w:r>
      <w:r>
        <w:rPr>
          <w:b/>
          <w:color w:val="1A4796"/>
        </w:rPr>
        <w:t>2022,</w:t>
      </w:r>
      <w:r>
        <w:rPr>
          <w:b/>
          <w:color w:val="1A4796"/>
          <w:spacing w:val="-3"/>
        </w:rPr>
        <w:t> </w:t>
      </w:r>
      <w:r>
        <w:rPr>
          <w:color w:val="231F20"/>
        </w:rPr>
        <w:t>dieciocho ex presidentes y ex primeros ministros </w:t>
      </w:r>
      <w:r>
        <w:rPr>
          <w:color w:val="231F20"/>
          <w:spacing w:val="-6"/>
        </w:rPr>
        <w:t>de</w:t>
      </w:r>
      <w:r>
        <w:rPr>
          <w:color w:val="231F20"/>
          <w:spacing w:val="-8"/>
        </w:rPr>
        <w:t> </w:t>
      </w:r>
      <w:r>
        <w:rPr>
          <w:color w:val="231F20"/>
          <w:spacing w:val="-6"/>
        </w:rPr>
        <w:t>la</w:t>
      </w:r>
      <w:r>
        <w:rPr>
          <w:color w:val="231F20"/>
          <w:spacing w:val="-8"/>
        </w:rPr>
        <w:t> </w:t>
      </w:r>
      <w:r>
        <w:rPr>
          <w:color w:val="231F20"/>
          <w:spacing w:val="-6"/>
        </w:rPr>
        <w:t>región</w:t>
      </w:r>
      <w:r>
        <w:rPr>
          <w:color w:val="231F20"/>
          <w:spacing w:val="-8"/>
        </w:rPr>
        <w:t> </w:t>
      </w:r>
      <w:r>
        <w:rPr>
          <w:color w:val="231F20"/>
          <w:spacing w:val="-6"/>
        </w:rPr>
        <w:t>de</w:t>
      </w:r>
      <w:r>
        <w:rPr>
          <w:color w:val="231F20"/>
          <w:spacing w:val="-8"/>
        </w:rPr>
        <w:t> </w:t>
      </w:r>
      <w:r>
        <w:rPr>
          <w:color w:val="231F20"/>
          <w:spacing w:val="-6"/>
        </w:rPr>
        <w:t>América</w:t>
      </w:r>
      <w:r>
        <w:rPr>
          <w:color w:val="231F20"/>
          <w:spacing w:val="-8"/>
        </w:rPr>
        <w:t> </w:t>
      </w:r>
      <w:r>
        <w:rPr>
          <w:color w:val="231F20"/>
          <w:spacing w:val="-6"/>
        </w:rPr>
        <w:t>Latina</w:t>
      </w:r>
      <w:r>
        <w:rPr>
          <w:color w:val="231F20"/>
          <w:spacing w:val="-8"/>
        </w:rPr>
        <w:t> </w:t>
      </w:r>
      <w:r>
        <w:rPr>
          <w:color w:val="231F20"/>
          <w:spacing w:val="-6"/>
        </w:rPr>
        <w:t>y</w:t>
      </w:r>
      <w:r>
        <w:rPr>
          <w:color w:val="231F20"/>
          <w:spacing w:val="-8"/>
        </w:rPr>
        <w:t> </w:t>
      </w:r>
      <w:r>
        <w:rPr>
          <w:color w:val="231F20"/>
          <w:spacing w:val="-6"/>
        </w:rPr>
        <w:t>el</w:t>
      </w:r>
      <w:r>
        <w:rPr>
          <w:color w:val="231F20"/>
          <w:spacing w:val="-8"/>
        </w:rPr>
        <w:t> </w:t>
      </w:r>
      <w:r>
        <w:rPr>
          <w:color w:val="231F20"/>
          <w:spacing w:val="-6"/>
        </w:rPr>
        <w:t>Caribe </w:t>
      </w:r>
      <w:r>
        <w:rPr>
          <w:color w:val="231F20"/>
        </w:rPr>
        <w:t>enviaron una carta al actual presidente de los Estados Unidos, Joseph Biden, solicitando excluir a Cuba de la lista de Estados patrocinadores del terrorismo, levantar las restricciones del bloqueo contra Cuba y regresar al proceso de </w:t>
      </w:r>
      <w:r>
        <w:rPr>
          <w:color w:val="231F20"/>
          <w:spacing w:val="-2"/>
        </w:rPr>
        <w:t>normalización</w:t>
      </w:r>
      <w:r>
        <w:rPr>
          <w:color w:val="231F20"/>
          <w:spacing w:val="-8"/>
        </w:rPr>
        <w:t> </w:t>
      </w:r>
      <w:r>
        <w:rPr>
          <w:color w:val="231F20"/>
          <w:spacing w:val="-2"/>
        </w:rPr>
        <w:t>de</w:t>
      </w:r>
      <w:r>
        <w:rPr>
          <w:color w:val="231F20"/>
          <w:spacing w:val="-8"/>
        </w:rPr>
        <w:t> </w:t>
      </w:r>
      <w:r>
        <w:rPr>
          <w:color w:val="231F20"/>
          <w:spacing w:val="-2"/>
        </w:rPr>
        <w:t>las</w:t>
      </w:r>
      <w:r>
        <w:rPr>
          <w:color w:val="231F20"/>
          <w:spacing w:val="-8"/>
        </w:rPr>
        <w:t> </w:t>
      </w:r>
      <w:r>
        <w:rPr>
          <w:color w:val="231F20"/>
          <w:spacing w:val="-2"/>
        </w:rPr>
        <w:t>relaciones,</w:t>
      </w:r>
      <w:r>
        <w:rPr>
          <w:color w:val="231F20"/>
          <w:spacing w:val="-8"/>
        </w:rPr>
        <w:t> </w:t>
      </w:r>
      <w:r>
        <w:rPr>
          <w:color w:val="231F20"/>
          <w:spacing w:val="-2"/>
        </w:rPr>
        <w:t>iniciado </w:t>
      </w:r>
      <w:r>
        <w:rPr>
          <w:color w:val="231F20"/>
        </w:rPr>
        <w:t>durante el gobierno de Barack Obama.</w:t>
      </w:r>
    </w:p>
    <w:p>
      <w:pPr>
        <w:spacing w:after="0"/>
        <w:sectPr>
          <w:pgSz w:w="11910" w:h="16840"/>
          <w:pgMar w:header="0" w:footer="695" w:top="1260" w:bottom="880" w:left="0" w:right="0"/>
          <w:cols w:num="2" w:equalWidth="0">
            <w:col w:w="5897" w:space="40"/>
            <w:col w:w="5973"/>
          </w:cols>
        </w:sectPr>
      </w:pPr>
    </w:p>
    <w:p>
      <w:pPr>
        <w:pStyle w:val="BodyText"/>
        <w:spacing w:before="77"/>
        <w:ind w:left="1394"/>
      </w:pPr>
      <w:r>
        <w:rPr/>
        <mc:AlternateContent>
          <mc:Choice Requires="wps">
            <w:drawing>
              <wp:anchor distT="0" distB="0" distL="0" distR="0" allowOverlap="1" layoutInCell="1" locked="0" behindDoc="0" simplePos="0" relativeHeight="15768576">
                <wp:simplePos x="0" y="0"/>
                <wp:positionH relativeFrom="page">
                  <wp:posOffset>719997</wp:posOffset>
                </wp:positionH>
                <wp:positionV relativeFrom="paragraph">
                  <wp:posOffset>131798</wp:posOffset>
                </wp:positionV>
                <wp:extent cx="59690" cy="59690"/>
                <wp:effectExtent l="0" t="0" r="0" b="0"/>
                <wp:wrapNone/>
                <wp:docPr id="135" name="Graphic 135"/>
                <wp:cNvGraphicFramePr>
                  <a:graphicFrameLocks/>
                </wp:cNvGraphicFramePr>
                <a:graphic>
                  <a:graphicData uri="http://schemas.microsoft.com/office/word/2010/wordprocessingShape">
                    <wps:wsp>
                      <wps:cNvPr id="135" name="Graphic 13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0.3778pt;width:4.7pt;height:4.7pt;mso-position-horizontal-relative:page;mso-position-vertical-relative:paragraph;z-index:15768576" id="docshape108" coordorigin="1134,208" coordsize="94,94" path="m1180,208l1162,211,1148,221,1138,236,1134,254,1138,272,1148,287,1162,297,1180,301,1199,297,1213,287,1223,272,1227,254,1223,236,1213,221,1199,211,1180,208xe" filled="true" fillcolor="#1a4796" stroked="false">
                <v:path arrowok="t"/>
                <v:fill type="solid"/>
                <w10:wrap type="none"/>
              </v:shape>
            </w:pict>
          </mc:Fallback>
        </mc:AlternateContent>
      </w:r>
      <w:r>
        <w:rPr>
          <w:b/>
          <w:color w:val="1A4796"/>
          <w:spacing w:val="-6"/>
        </w:rPr>
        <w:t>El</w:t>
      </w:r>
      <w:r>
        <w:rPr>
          <w:b/>
          <w:color w:val="1A4796"/>
          <w:spacing w:val="-11"/>
        </w:rPr>
        <w:t> </w:t>
      </w:r>
      <w:r>
        <w:rPr>
          <w:b/>
          <w:color w:val="1A4796"/>
          <w:spacing w:val="-6"/>
        </w:rPr>
        <w:t>3</w:t>
      </w:r>
      <w:r>
        <w:rPr>
          <w:b/>
          <w:color w:val="1A4796"/>
          <w:spacing w:val="-11"/>
        </w:rPr>
        <w:t> </w:t>
      </w:r>
      <w:r>
        <w:rPr>
          <w:b/>
          <w:color w:val="1A4796"/>
          <w:spacing w:val="-6"/>
        </w:rPr>
        <w:t>de</w:t>
      </w:r>
      <w:r>
        <w:rPr>
          <w:b/>
          <w:color w:val="1A4796"/>
          <w:spacing w:val="-10"/>
        </w:rPr>
        <w:t> </w:t>
      </w:r>
      <w:r>
        <w:rPr>
          <w:b/>
          <w:color w:val="1A4796"/>
          <w:spacing w:val="-6"/>
        </w:rPr>
        <w:t>noviembre</w:t>
      </w:r>
      <w:r>
        <w:rPr>
          <w:b/>
          <w:color w:val="1A4796"/>
          <w:spacing w:val="-11"/>
        </w:rPr>
        <w:t> </w:t>
      </w:r>
      <w:r>
        <w:rPr>
          <w:b/>
          <w:color w:val="1A4796"/>
          <w:spacing w:val="-6"/>
        </w:rPr>
        <w:t>de</w:t>
      </w:r>
      <w:r>
        <w:rPr>
          <w:b/>
          <w:color w:val="1A4796"/>
          <w:spacing w:val="-10"/>
        </w:rPr>
        <w:t> </w:t>
      </w:r>
      <w:r>
        <w:rPr>
          <w:b/>
          <w:color w:val="1A4796"/>
          <w:spacing w:val="-6"/>
        </w:rPr>
        <w:t>2022,</w:t>
      </w:r>
      <w:r>
        <w:rPr>
          <w:b/>
          <w:color w:val="1A4796"/>
          <w:spacing w:val="-11"/>
        </w:rPr>
        <w:t> </w:t>
      </w:r>
      <w:r>
        <w:rPr>
          <w:color w:val="231F20"/>
          <w:spacing w:val="-6"/>
        </w:rPr>
        <w:t>la</w:t>
      </w:r>
      <w:r>
        <w:rPr>
          <w:color w:val="231F20"/>
          <w:spacing w:val="-10"/>
        </w:rPr>
        <w:t> </w:t>
      </w:r>
      <w:r>
        <w:rPr>
          <w:color w:val="231F20"/>
          <w:spacing w:val="-6"/>
        </w:rPr>
        <w:t>Asamblea </w:t>
      </w:r>
      <w:r>
        <w:rPr>
          <w:color w:val="231F20"/>
        </w:rPr>
        <w:t>General</w:t>
      </w:r>
      <w:r>
        <w:rPr>
          <w:color w:val="231F20"/>
          <w:spacing w:val="-17"/>
        </w:rPr>
        <w:t> </w:t>
      </w:r>
      <w:r>
        <w:rPr>
          <w:color w:val="231F20"/>
        </w:rPr>
        <w:t>de</w:t>
      </w:r>
      <w:r>
        <w:rPr>
          <w:color w:val="231F20"/>
          <w:spacing w:val="-16"/>
        </w:rPr>
        <w:t> </w:t>
      </w:r>
      <w:r>
        <w:rPr>
          <w:color w:val="231F20"/>
        </w:rPr>
        <w:t>las</w:t>
      </w:r>
      <w:r>
        <w:rPr>
          <w:color w:val="231F20"/>
          <w:spacing w:val="-17"/>
        </w:rPr>
        <w:t> </w:t>
      </w:r>
      <w:r>
        <w:rPr>
          <w:color w:val="231F20"/>
        </w:rPr>
        <w:t>Naciones</w:t>
      </w:r>
      <w:r>
        <w:rPr>
          <w:color w:val="231F20"/>
          <w:spacing w:val="-16"/>
        </w:rPr>
        <w:t> </w:t>
      </w:r>
      <w:r>
        <w:rPr>
          <w:color w:val="231F20"/>
        </w:rPr>
        <w:t>Unidas</w:t>
      </w:r>
      <w:r>
        <w:rPr>
          <w:color w:val="231F20"/>
          <w:spacing w:val="-17"/>
        </w:rPr>
        <w:t> </w:t>
      </w:r>
      <w:r>
        <w:rPr>
          <w:color w:val="231F20"/>
        </w:rPr>
        <w:t>aprobó, por trigésima ocasión, la resolución titulada</w:t>
      </w:r>
      <w:r>
        <w:rPr>
          <w:color w:val="231F20"/>
          <w:spacing w:val="80"/>
          <w:w w:val="150"/>
        </w:rPr>
        <w:t> </w:t>
      </w:r>
      <w:r>
        <w:rPr>
          <w:color w:val="231F20"/>
        </w:rPr>
        <w:t>‘‘Necesidad</w:t>
      </w:r>
      <w:r>
        <w:rPr>
          <w:color w:val="231F20"/>
          <w:spacing w:val="80"/>
          <w:w w:val="150"/>
        </w:rPr>
        <w:t> </w:t>
      </w:r>
      <w:r>
        <w:rPr>
          <w:color w:val="231F20"/>
        </w:rPr>
        <w:t>de</w:t>
      </w:r>
      <w:r>
        <w:rPr>
          <w:color w:val="231F20"/>
          <w:spacing w:val="80"/>
          <w:w w:val="150"/>
        </w:rPr>
        <w:t> </w:t>
      </w:r>
      <w:r>
        <w:rPr>
          <w:color w:val="231F20"/>
        </w:rPr>
        <w:t>poner</w:t>
      </w:r>
      <w:r>
        <w:rPr>
          <w:color w:val="231F20"/>
          <w:spacing w:val="80"/>
          <w:w w:val="150"/>
        </w:rPr>
        <w:t> </w:t>
      </w:r>
      <w:r>
        <w:rPr>
          <w:color w:val="231F20"/>
        </w:rPr>
        <w:t>fin</w:t>
      </w:r>
      <w:r>
        <w:rPr>
          <w:color w:val="231F20"/>
          <w:spacing w:val="80"/>
        </w:rPr>
        <w:t> </w:t>
      </w:r>
      <w:r>
        <w:rPr>
          <w:color w:val="231F20"/>
        </w:rPr>
        <w:t>al bloqueo económico, comercial y financiero</w:t>
      </w:r>
      <w:r>
        <w:rPr>
          <w:color w:val="231F20"/>
          <w:spacing w:val="-5"/>
        </w:rPr>
        <w:t> </w:t>
      </w:r>
      <w:r>
        <w:rPr>
          <w:color w:val="231F20"/>
        </w:rPr>
        <w:t>impuesto</w:t>
      </w:r>
      <w:r>
        <w:rPr>
          <w:color w:val="231F20"/>
          <w:spacing w:val="-5"/>
        </w:rPr>
        <w:t> </w:t>
      </w:r>
      <w:r>
        <w:rPr>
          <w:color w:val="231F20"/>
        </w:rPr>
        <w:t>por</w:t>
      </w:r>
      <w:r>
        <w:rPr>
          <w:color w:val="231F20"/>
          <w:spacing w:val="-5"/>
        </w:rPr>
        <w:t> </w:t>
      </w:r>
      <w:r>
        <w:rPr>
          <w:color w:val="231F20"/>
        </w:rPr>
        <w:t>el</w:t>
      </w:r>
      <w:r>
        <w:rPr>
          <w:color w:val="231F20"/>
          <w:spacing w:val="-5"/>
        </w:rPr>
        <w:t> </w:t>
      </w:r>
      <w:r>
        <w:rPr>
          <w:color w:val="231F20"/>
        </w:rPr>
        <w:t>gobierno</w:t>
      </w:r>
      <w:r>
        <w:rPr>
          <w:color w:val="231F20"/>
          <w:spacing w:val="-5"/>
        </w:rPr>
        <w:t> </w:t>
      </w:r>
      <w:r>
        <w:rPr>
          <w:color w:val="231F20"/>
        </w:rPr>
        <w:t>de los Estados Unidos de América contra Cuba’’, con el voto favorable de 185 Estados miembros.</w:t>
      </w:r>
    </w:p>
    <w:p>
      <w:pPr>
        <w:pStyle w:val="BodyText"/>
        <w:spacing w:before="167"/>
        <w:ind w:left="1394" w:right="1"/>
      </w:pPr>
      <w:r>
        <w:rPr>
          <w:color w:val="231F20"/>
        </w:rPr>
        <w:t>Durante el debate y la adopción de la </w:t>
      </w:r>
      <w:r>
        <w:rPr>
          <w:color w:val="231F20"/>
          <w:spacing w:val="-8"/>
        </w:rPr>
        <w:t>resolución, 55 oradores se pronunciaron a </w:t>
      </w:r>
      <w:r>
        <w:rPr>
          <w:color w:val="231F20"/>
          <w:spacing w:val="-10"/>
        </w:rPr>
        <w:t>favor</w:t>
      </w:r>
      <w:r>
        <w:rPr>
          <w:color w:val="231F20"/>
          <w:spacing w:val="-4"/>
        </w:rPr>
        <w:t> </w:t>
      </w:r>
      <w:r>
        <w:rPr>
          <w:color w:val="231F20"/>
          <w:spacing w:val="-10"/>
        </w:rPr>
        <w:t>del</w:t>
      </w:r>
      <w:r>
        <w:rPr>
          <w:color w:val="231F20"/>
          <w:spacing w:val="-4"/>
        </w:rPr>
        <w:t> </w:t>
      </w:r>
      <w:r>
        <w:rPr>
          <w:color w:val="231F20"/>
          <w:spacing w:val="-10"/>
        </w:rPr>
        <w:t>levantamiento</w:t>
      </w:r>
      <w:r>
        <w:rPr>
          <w:color w:val="231F20"/>
          <w:spacing w:val="-4"/>
        </w:rPr>
        <w:t> </w:t>
      </w:r>
      <w:r>
        <w:rPr>
          <w:color w:val="231F20"/>
          <w:spacing w:val="-10"/>
        </w:rPr>
        <w:t>del</w:t>
      </w:r>
      <w:r>
        <w:rPr>
          <w:color w:val="231F20"/>
          <w:spacing w:val="-4"/>
        </w:rPr>
        <w:t> </w:t>
      </w:r>
      <w:r>
        <w:rPr>
          <w:color w:val="231F20"/>
          <w:spacing w:val="-10"/>
        </w:rPr>
        <w:t>bloqueo,</w:t>
      </w:r>
      <w:r>
        <w:rPr>
          <w:color w:val="231F20"/>
          <w:spacing w:val="-4"/>
        </w:rPr>
        <w:t> </w:t>
      </w:r>
      <w:r>
        <w:rPr>
          <w:color w:val="231F20"/>
          <w:spacing w:val="-10"/>
        </w:rPr>
        <w:t>entre </w:t>
      </w:r>
      <w:r>
        <w:rPr>
          <w:color w:val="231F20"/>
          <w:spacing w:val="-4"/>
        </w:rPr>
        <w:t>ellos,</w:t>
      </w:r>
      <w:r>
        <w:rPr>
          <w:color w:val="231F20"/>
          <w:spacing w:val="-13"/>
        </w:rPr>
        <w:t> </w:t>
      </w:r>
      <w:r>
        <w:rPr>
          <w:color w:val="231F20"/>
          <w:spacing w:val="-4"/>
        </w:rPr>
        <w:t>los</w:t>
      </w:r>
      <w:r>
        <w:rPr>
          <w:color w:val="231F20"/>
          <w:spacing w:val="-12"/>
        </w:rPr>
        <w:t> </w:t>
      </w:r>
      <w:r>
        <w:rPr>
          <w:color w:val="231F20"/>
          <w:spacing w:val="-4"/>
        </w:rPr>
        <w:t>representantes</w:t>
      </w:r>
      <w:r>
        <w:rPr>
          <w:color w:val="231F20"/>
          <w:spacing w:val="-13"/>
        </w:rPr>
        <w:t> </w:t>
      </w:r>
      <w:r>
        <w:rPr>
          <w:color w:val="231F20"/>
          <w:spacing w:val="-4"/>
        </w:rPr>
        <w:t>de</w:t>
      </w:r>
      <w:r>
        <w:rPr>
          <w:color w:val="231F20"/>
          <w:spacing w:val="-12"/>
        </w:rPr>
        <w:t> </w:t>
      </w:r>
      <w:r>
        <w:rPr>
          <w:color w:val="231F20"/>
          <w:spacing w:val="-4"/>
        </w:rPr>
        <w:t>10</w:t>
      </w:r>
      <w:r>
        <w:rPr>
          <w:color w:val="231F20"/>
          <w:spacing w:val="-13"/>
        </w:rPr>
        <w:t> </w:t>
      </w:r>
      <w:r>
        <w:rPr>
          <w:color w:val="231F20"/>
          <w:spacing w:val="-4"/>
        </w:rPr>
        <w:t>grupos</w:t>
      </w:r>
      <w:r>
        <w:rPr>
          <w:color w:val="231F20"/>
          <w:spacing w:val="-12"/>
        </w:rPr>
        <w:t> </w:t>
      </w:r>
      <w:r>
        <w:rPr>
          <w:color w:val="231F20"/>
          <w:spacing w:val="-4"/>
        </w:rPr>
        <w:t>de </w:t>
      </w:r>
      <w:r>
        <w:rPr>
          <w:color w:val="231F20"/>
        </w:rPr>
        <w:t>concertación política y organizaciones regionales y subregionales, a saber: el Grupo</w:t>
      </w:r>
      <w:r>
        <w:rPr>
          <w:color w:val="231F20"/>
          <w:spacing w:val="-9"/>
        </w:rPr>
        <w:t> </w:t>
      </w:r>
      <w:r>
        <w:rPr>
          <w:color w:val="231F20"/>
        </w:rPr>
        <w:t>de</w:t>
      </w:r>
      <w:r>
        <w:rPr>
          <w:color w:val="231F20"/>
          <w:spacing w:val="-9"/>
        </w:rPr>
        <w:t> </w:t>
      </w:r>
      <w:r>
        <w:rPr>
          <w:color w:val="231F20"/>
        </w:rPr>
        <w:t>los</w:t>
      </w:r>
      <w:r>
        <w:rPr>
          <w:color w:val="231F20"/>
          <w:spacing w:val="-9"/>
        </w:rPr>
        <w:t> </w:t>
      </w:r>
      <w:r>
        <w:rPr>
          <w:color w:val="231F20"/>
        </w:rPr>
        <w:t>77</w:t>
      </w:r>
      <w:r>
        <w:rPr>
          <w:color w:val="231F20"/>
          <w:spacing w:val="-9"/>
        </w:rPr>
        <w:t> </w:t>
      </w:r>
      <w:r>
        <w:rPr>
          <w:color w:val="231F20"/>
        </w:rPr>
        <w:t>y</w:t>
      </w:r>
      <w:r>
        <w:rPr>
          <w:color w:val="231F20"/>
          <w:spacing w:val="-9"/>
        </w:rPr>
        <w:t> </w:t>
      </w:r>
      <w:r>
        <w:rPr>
          <w:color w:val="231F20"/>
        </w:rPr>
        <w:t>China,</w:t>
      </w:r>
      <w:r>
        <w:rPr>
          <w:color w:val="231F20"/>
          <w:spacing w:val="-9"/>
        </w:rPr>
        <w:t> </w:t>
      </w:r>
      <w:r>
        <w:rPr>
          <w:color w:val="231F20"/>
        </w:rPr>
        <w:t>el</w:t>
      </w:r>
      <w:r>
        <w:rPr>
          <w:color w:val="231F20"/>
          <w:spacing w:val="-9"/>
        </w:rPr>
        <w:t> </w:t>
      </w:r>
      <w:r>
        <w:rPr>
          <w:color w:val="231F20"/>
        </w:rPr>
        <w:t>Movimiento de Países No Alineados (MNOAL), el </w:t>
      </w:r>
      <w:r>
        <w:rPr>
          <w:color w:val="231F20"/>
          <w:spacing w:val="-8"/>
        </w:rPr>
        <w:t>Grupo Africano, la Comunidad de Estados </w:t>
      </w:r>
      <w:r>
        <w:rPr>
          <w:color w:val="231F20"/>
        </w:rPr>
        <w:t>Latinoamericanos y Caribeños (CELAC), la Comunidad del Caribe (CARICOM),</w:t>
      </w:r>
      <w:r>
        <w:rPr>
          <w:color w:val="231F20"/>
          <w:spacing w:val="40"/>
        </w:rPr>
        <w:t> </w:t>
      </w:r>
      <w:r>
        <w:rPr>
          <w:color w:val="231F20"/>
        </w:rPr>
        <w:t>la Asociación de Naciones del Sudeste Asiático (ASEAN), la Organización de</w:t>
      </w:r>
      <w:r>
        <w:rPr>
          <w:color w:val="231F20"/>
          <w:spacing w:val="80"/>
          <w:w w:val="150"/>
        </w:rPr>
        <w:t> </w:t>
      </w:r>
      <w:r>
        <w:rPr>
          <w:color w:val="231F20"/>
        </w:rPr>
        <w:t>la Cooperación Islámica (OIC), la Unión </w:t>
      </w:r>
      <w:r>
        <w:rPr>
          <w:color w:val="231F20"/>
          <w:spacing w:val="-2"/>
        </w:rPr>
        <w:t>Europea</w:t>
      </w:r>
      <w:r>
        <w:rPr>
          <w:color w:val="231F20"/>
          <w:spacing w:val="-15"/>
        </w:rPr>
        <w:t> </w:t>
      </w:r>
      <w:r>
        <w:rPr>
          <w:color w:val="231F20"/>
          <w:spacing w:val="-2"/>
        </w:rPr>
        <w:t>(UE)</w:t>
      </w:r>
      <w:r>
        <w:rPr>
          <w:color w:val="231F20"/>
          <w:spacing w:val="-14"/>
        </w:rPr>
        <w:t> </w:t>
      </w:r>
      <w:r>
        <w:rPr>
          <w:color w:val="231F20"/>
          <w:spacing w:val="-2"/>
        </w:rPr>
        <w:t>y</w:t>
      </w:r>
      <w:r>
        <w:rPr>
          <w:color w:val="231F20"/>
          <w:spacing w:val="-15"/>
        </w:rPr>
        <w:t> </w:t>
      </w:r>
      <w:r>
        <w:rPr>
          <w:color w:val="231F20"/>
          <w:spacing w:val="-2"/>
        </w:rPr>
        <w:t>por</w:t>
      </w:r>
      <w:r>
        <w:rPr>
          <w:color w:val="231F20"/>
          <w:spacing w:val="-14"/>
        </w:rPr>
        <w:t> </w:t>
      </w:r>
      <w:r>
        <w:rPr>
          <w:color w:val="231F20"/>
          <w:spacing w:val="-2"/>
        </w:rPr>
        <w:t>primera</w:t>
      </w:r>
      <w:r>
        <w:rPr>
          <w:color w:val="231F20"/>
          <w:spacing w:val="-15"/>
        </w:rPr>
        <w:t> </w:t>
      </w:r>
      <w:r>
        <w:rPr>
          <w:color w:val="231F20"/>
          <w:spacing w:val="-2"/>
        </w:rPr>
        <w:t>vez,</w:t>
      </w:r>
      <w:r>
        <w:rPr>
          <w:color w:val="231F20"/>
          <w:spacing w:val="-14"/>
        </w:rPr>
        <w:t> </w:t>
      </w:r>
      <w:r>
        <w:rPr>
          <w:color w:val="231F20"/>
          <w:spacing w:val="-2"/>
        </w:rPr>
        <w:t>el</w:t>
      </w:r>
      <w:r>
        <w:rPr>
          <w:color w:val="231F20"/>
          <w:spacing w:val="-15"/>
        </w:rPr>
        <w:t> </w:t>
      </w:r>
      <w:r>
        <w:rPr>
          <w:color w:val="231F20"/>
          <w:spacing w:val="-2"/>
        </w:rPr>
        <w:t>Grupo </w:t>
      </w:r>
      <w:r>
        <w:rPr>
          <w:color w:val="231F20"/>
        </w:rPr>
        <w:t>de Amigos en Defensa de la Carta (GADC) y el Sistema de la Integración Centroamericana (SICA).</w:t>
      </w:r>
    </w:p>
    <w:p>
      <w:pPr>
        <w:pStyle w:val="BodyText"/>
        <w:spacing w:before="174"/>
        <w:ind w:left="1394"/>
      </w:pPr>
      <w:r>
        <w:rPr>
          <w:color w:val="231F20"/>
        </w:rPr>
        <w:t>Asimismo, 29 Estados y agrupaciones de</w:t>
      </w:r>
      <w:r>
        <w:rPr>
          <w:color w:val="231F20"/>
          <w:spacing w:val="80"/>
          <w:w w:val="150"/>
        </w:rPr>
        <w:t> </w:t>
      </w:r>
      <w:r>
        <w:rPr>
          <w:color w:val="231F20"/>
        </w:rPr>
        <w:t>países</w:t>
      </w:r>
      <w:r>
        <w:rPr>
          <w:color w:val="231F20"/>
          <w:spacing w:val="80"/>
          <w:w w:val="150"/>
        </w:rPr>
        <w:t> </w:t>
      </w:r>
      <w:r>
        <w:rPr>
          <w:color w:val="231F20"/>
        </w:rPr>
        <w:t>condenaron</w:t>
      </w:r>
      <w:r>
        <w:rPr>
          <w:color w:val="231F20"/>
          <w:spacing w:val="80"/>
          <w:w w:val="150"/>
        </w:rPr>
        <w:t> </w:t>
      </w:r>
      <w:r>
        <w:rPr>
          <w:color w:val="231F20"/>
        </w:rPr>
        <w:t>la</w:t>
      </w:r>
      <w:r>
        <w:rPr>
          <w:color w:val="231F20"/>
          <w:spacing w:val="80"/>
          <w:w w:val="150"/>
        </w:rPr>
        <w:t> </w:t>
      </w:r>
      <w:r>
        <w:rPr>
          <w:color w:val="231F20"/>
        </w:rPr>
        <w:t>arbitraria e</w:t>
      </w:r>
      <w:r>
        <w:rPr>
          <w:color w:val="231F20"/>
          <w:spacing w:val="40"/>
        </w:rPr>
        <w:t> </w:t>
      </w:r>
      <w:r>
        <w:rPr>
          <w:color w:val="231F20"/>
        </w:rPr>
        <w:t>injustificada</w:t>
      </w:r>
      <w:r>
        <w:rPr>
          <w:color w:val="231F20"/>
          <w:spacing w:val="40"/>
        </w:rPr>
        <w:t> </w:t>
      </w:r>
      <w:r>
        <w:rPr>
          <w:color w:val="231F20"/>
        </w:rPr>
        <w:t>inclusión</w:t>
      </w:r>
      <w:r>
        <w:rPr>
          <w:color w:val="231F20"/>
          <w:spacing w:val="40"/>
        </w:rPr>
        <w:t> </w:t>
      </w:r>
      <w:r>
        <w:rPr>
          <w:color w:val="231F20"/>
        </w:rPr>
        <w:t>de</w:t>
      </w:r>
      <w:r>
        <w:rPr>
          <w:color w:val="231F20"/>
          <w:spacing w:val="40"/>
        </w:rPr>
        <w:t> </w:t>
      </w:r>
      <w:r>
        <w:rPr>
          <w:color w:val="231F20"/>
        </w:rPr>
        <w:t>Cuba</w:t>
      </w:r>
      <w:r>
        <w:rPr>
          <w:color w:val="231F20"/>
          <w:spacing w:val="40"/>
        </w:rPr>
        <w:t> </w:t>
      </w:r>
      <w:r>
        <w:rPr>
          <w:color w:val="231F20"/>
        </w:rPr>
        <w:t>en</w:t>
      </w:r>
      <w:r>
        <w:rPr>
          <w:color w:val="231F20"/>
          <w:spacing w:val="40"/>
        </w:rPr>
        <w:t> </w:t>
      </w:r>
      <w:r>
        <w:rPr>
          <w:color w:val="231F20"/>
        </w:rPr>
        <w:t>la Lista de Estados supuestamente Patrocinadores del Terrorismo.</w:t>
      </w:r>
    </w:p>
    <w:p>
      <w:pPr>
        <w:pStyle w:val="BodyText"/>
        <w:spacing w:before="164"/>
        <w:ind w:left="1394"/>
      </w:pPr>
      <w:r>
        <w:rPr/>
        <mc:AlternateContent>
          <mc:Choice Requires="wps">
            <w:drawing>
              <wp:anchor distT="0" distB="0" distL="0" distR="0" allowOverlap="1" layoutInCell="1" locked="0" behindDoc="0" simplePos="0" relativeHeight="15769088">
                <wp:simplePos x="0" y="0"/>
                <wp:positionH relativeFrom="page">
                  <wp:posOffset>719997</wp:posOffset>
                </wp:positionH>
                <wp:positionV relativeFrom="paragraph">
                  <wp:posOffset>189439</wp:posOffset>
                </wp:positionV>
                <wp:extent cx="59690" cy="59690"/>
                <wp:effectExtent l="0" t="0" r="0" b="0"/>
                <wp:wrapNone/>
                <wp:docPr id="136" name="Graphic 136"/>
                <wp:cNvGraphicFramePr>
                  <a:graphicFrameLocks/>
                </wp:cNvGraphicFramePr>
                <a:graphic>
                  <a:graphicData uri="http://schemas.microsoft.com/office/word/2010/wordprocessingShape">
                    <wps:wsp>
                      <wps:cNvPr id="136" name="Graphic 13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9165pt;width:4.7pt;height:4.7pt;mso-position-horizontal-relative:page;mso-position-vertical-relative:paragraph;z-index:15769088" id="docshape109" coordorigin="1134,298" coordsize="94,94" path="m1180,298l1162,302,1148,312,1138,327,1134,345,1138,363,1148,378,1162,388,1180,392,1199,388,1213,378,1223,363,1227,345,1223,327,1213,312,1199,302,1180,298xe" filled="true" fillcolor="#1a4796" stroked="false">
                <v:path arrowok="t"/>
                <v:fill type="solid"/>
                <w10:wrap type="none"/>
              </v:shape>
            </w:pict>
          </mc:Fallback>
        </mc:AlternateContent>
      </w:r>
      <w:r>
        <w:rPr>
          <w:b/>
          <w:color w:val="1A4796"/>
        </w:rPr>
        <w:t>Noviembre de 2022: </w:t>
      </w:r>
      <w:r>
        <w:rPr>
          <w:color w:val="231F20"/>
        </w:rPr>
        <w:t>Se </w:t>
      </w:r>
      <w:r>
        <w:rPr>
          <w:color w:val="231F20"/>
        </w:rPr>
        <w:t>aprobaron sendas</w:t>
      </w:r>
      <w:r>
        <w:rPr>
          <w:color w:val="231F20"/>
          <w:spacing w:val="80"/>
          <w:w w:val="150"/>
        </w:rPr>
        <w:t> </w:t>
      </w:r>
      <w:r>
        <w:rPr>
          <w:color w:val="231F20"/>
        </w:rPr>
        <w:t>resoluciones</w:t>
      </w:r>
      <w:r>
        <w:rPr>
          <w:color w:val="231F20"/>
          <w:spacing w:val="80"/>
          <w:w w:val="150"/>
        </w:rPr>
        <w:t> </w:t>
      </w:r>
      <w:r>
        <w:rPr>
          <w:color w:val="231F20"/>
        </w:rPr>
        <w:t>por</w:t>
      </w:r>
      <w:r>
        <w:rPr>
          <w:color w:val="231F20"/>
          <w:spacing w:val="80"/>
          <w:w w:val="150"/>
        </w:rPr>
        <w:t> </w:t>
      </w:r>
      <w:r>
        <w:rPr>
          <w:color w:val="231F20"/>
        </w:rPr>
        <w:t>parte</w:t>
      </w:r>
      <w:r>
        <w:rPr>
          <w:color w:val="231F20"/>
          <w:spacing w:val="80"/>
          <w:w w:val="150"/>
        </w:rPr>
        <w:t> </w:t>
      </w:r>
      <w:r>
        <w:rPr>
          <w:color w:val="231F20"/>
        </w:rPr>
        <w:t>de</w:t>
      </w:r>
      <w:r>
        <w:rPr>
          <w:color w:val="231F20"/>
          <w:spacing w:val="40"/>
        </w:rPr>
        <w:t> </w:t>
      </w:r>
      <w:r>
        <w:rPr>
          <w:color w:val="231F20"/>
        </w:rPr>
        <w:t>la Duma Estatal y del Consejo de la Federación</w:t>
      </w:r>
      <w:r>
        <w:rPr>
          <w:color w:val="231F20"/>
          <w:spacing w:val="-17"/>
        </w:rPr>
        <w:t> </w:t>
      </w:r>
      <w:r>
        <w:rPr>
          <w:color w:val="231F20"/>
        </w:rPr>
        <w:t>de</w:t>
      </w:r>
      <w:r>
        <w:rPr>
          <w:color w:val="231F20"/>
          <w:spacing w:val="-16"/>
        </w:rPr>
        <w:t> </w:t>
      </w:r>
      <w:r>
        <w:rPr>
          <w:color w:val="231F20"/>
        </w:rPr>
        <w:t>Rusia</w:t>
      </w:r>
      <w:r>
        <w:rPr>
          <w:color w:val="231F20"/>
          <w:spacing w:val="-17"/>
        </w:rPr>
        <w:t> </w:t>
      </w:r>
      <w:r>
        <w:rPr>
          <w:color w:val="231F20"/>
        </w:rPr>
        <w:t>en</w:t>
      </w:r>
      <w:r>
        <w:rPr>
          <w:color w:val="231F20"/>
          <w:spacing w:val="-16"/>
        </w:rPr>
        <w:t> </w:t>
      </w:r>
      <w:r>
        <w:rPr>
          <w:color w:val="231F20"/>
        </w:rPr>
        <w:t>respaldo</w:t>
      </w:r>
      <w:r>
        <w:rPr>
          <w:color w:val="231F20"/>
          <w:spacing w:val="-17"/>
        </w:rPr>
        <w:t> </w:t>
      </w:r>
      <w:r>
        <w:rPr>
          <w:color w:val="231F20"/>
        </w:rPr>
        <w:t>a</w:t>
      </w:r>
      <w:r>
        <w:rPr>
          <w:color w:val="231F20"/>
          <w:spacing w:val="-16"/>
        </w:rPr>
        <w:t> </w:t>
      </w:r>
      <w:r>
        <w:rPr>
          <w:color w:val="231F20"/>
        </w:rPr>
        <w:t>Cuba y la necesidad de poner fin al bloqueo. Asimismo, el 5 de noviembre, la Cancillería rusa emitió un comunicado denominado</w:t>
      </w:r>
      <w:r>
        <w:rPr>
          <w:color w:val="231F20"/>
          <w:spacing w:val="40"/>
        </w:rPr>
        <w:t> </w:t>
      </w:r>
      <w:r>
        <w:rPr>
          <w:color w:val="231F20"/>
        </w:rPr>
        <w:t>“Sobre</w:t>
      </w:r>
      <w:r>
        <w:rPr>
          <w:color w:val="231F20"/>
          <w:spacing w:val="40"/>
        </w:rPr>
        <w:t> </w:t>
      </w:r>
      <w:r>
        <w:rPr>
          <w:color w:val="231F20"/>
        </w:rPr>
        <w:t>la</w:t>
      </w:r>
      <w:r>
        <w:rPr>
          <w:color w:val="231F20"/>
          <w:spacing w:val="40"/>
        </w:rPr>
        <w:t> </w:t>
      </w:r>
      <w:r>
        <w:rPr>
          <w:color w:val="231F20"/>
        </w:rPr>
        <w:t>adopción</w:t>
      </w:r>
      <w:r>
        <w:rPr>
          <w:color w:val="231F20"/>
          <w:spacing w:val="40"/>
        </w:rPr>
        <w:t> </w:t>
      </w:r>
      <w:r>
        <w:rPr>
          <w:color w:val="231F20"/>
        </w:rPr>
        <w:t>de</w:t>
      </w:r>
      <w:r>
        <w:rPr>
          <w:color w:val="231F20"/>
          <w:spacing w:val="80"/>
        </w:rPr>
        <w:t> </w:t>
      </w:r>
      <w:r>
        <w:rPr>
          <w:color w:val="231F20"/>
        </w:rPr>
        <w:t>la resolución de la Asamblea General de</w:t>
      </w:r>
      <w:r>
        <w:rPr>
          <w:color w:val="231F20"/>
          <w:spacing w:val="63"/>
        </w:rPr>
        <w:t> </w:t>
      </w:r>
      <w:r>
        <w:rPr>
          <w:color w:val="231F20"/>
        </w:rPr>
        <w:t>la</w:t>
      </w:r>
      <w:r>
        <w:rPr>
          <w:color w:val="231F20"/>
          <w:spacing w:val="63"/>
        </w:rPr>
        <w:t> </w:t>
      </w:r>
      <w:r>
        <w:rPr>
          <w:color w:val="231F20"/>
        </w:rPr>
        <w:t>ONU:</w:t>
      </w:r>
      <w:r>
        <w:rPr>
          <w:color w:val="231F20"/>
          <w:spacing w:val="63"/>
        </w:rPr>
        <w:t> </w:t>
      </w:r>
      <w:r>
        <w:rPr>
          <w:color w:val="231F20"/>
        </w:rPr>
        <w:t>“Necesidad</w:t>
      </w:r>
      <w:r>
        <w:rPr>
          <w:color w:val="231F20"/>
          <w:spacing w:val="63"/>
        </w:rPr>
        <w:t> </w:t>
      </w:r>
      <w:r>
        <w:rPr>
          <w:color w:val="231F20"/>
        </w:rPr>
        <w:t>de</w:t>
      </w:r>
      <w:r>
        <w:rPr>
          <w:color w:val="231F20"/>
          <w:spacing w:val="63"/>
        </w:rPr>
        <w:t> </w:t>
      </w:r>
      <w:r>
        <w:rPr>
          <w:color w:val="231F20"/>
        </w:rPr>
        <w:t>poner</w:t>
      </w:r>
      <w:r>
        <w:rPr>
          <w:color w:val="231F20"/>
          <w:spacing w:val="63"/>
        </w:rPr>
        <w:t> </w:t>
      </w:r>
      <w:r>
        <w:rPr>
          <w:color w:val="231F20"/>
          <w:spacing w:val="-5"/>
        </w:rPr>
        <w:t>fin</w:t>
      </w:r>
    </w:p>
    <w:p>
      <w:pPr>
        <w:pStyle w:val="BodyText"/>
        <w:spacing w:before="77"/>
        <w:ind w:left="673" w:right="1472"/>
      </w:pPr>
      <w:r>
        <w:rPr/>
        <w:br w:type="column"/>
      </w:r>
      <w:r>
        <w:rPr>
          <w:color w:val="231F20"/>
        </w:rPr>
        <w:t>al bloqueo económico, comercial y financiero impuesto por los Estados Unidos de América contra Cuba”</w:t>
      </w:r>
    </w:p>
    <w:p>
      <w:pPr>
        <w:pStyle w:val="BodyText"/>
        <w:spacing w:before="162"/>
        <w:ind w:left="673" w:right="1465"/>
      </w:pPr>
      <w:r>
        <w:rPr/>
        <mc:AlternateContent>
          <mc:Choice Requires="wps">
            <w:drawing>
              <wp:anchor distT="0" distB="0" distL="0" distR="0" allowOverlap="1" layoutInCell="1" locked="0" behindDoc="0" simplePos="0" relativeHeight="15770112">
                <wp:simplePos x="0" y="0"/>
                <wp:positionH relativeFrom="page">
                  <wp:posOffset>3815998</wp:posOffset>
                </wp:positionH>
                <wp:positionV relativeFrom="paragraph">
                  <wp:posOffset>188669</wp:posOffset>
                </wp:positionV>
                <wp:extent cx="59690" cy="59690"/>
                <wp:effectExtent l="0" t="0" r="0" b="0"/>
                <wp:wrapNone/>
                <wp:docPr id="137" name="Graphic 137"/>
                <wp:cNvGraphicFramePr>
                  <a:graphicFrameLocks/>
                </wp:cNvGraphicFramePr>
                <a:graphic>
                  <a:graphicData uri="http://schemas.microsoft.com/office/word/2010/wordprocessingShape">
                    <wps:wsp>
                      <wps:cNvPr id="137" name="Graphic 13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855887pt;width:4.7pt;height:4.7pt;mso-position-horizontal-relative:page;mso-position-vertical-relative:paragraph;z-index:15770112" id="docshape110" coordorigin="6009,297" coordsize="94,94" path="m6056,297l6038,301,6023,311,6013,326,6009,344,6013,362,6023,377,6038,387,6056,390,6074,387,6089,377,6099,362,6103,344,6099,326,6089,311,6074,301,6056,297xe" filled="true" fillcolor="#1a4796" stroked="false">
                <v:path arrowok="t"/>
                <v:fill type="solid"/>
                <w10:wrap type="none"/>
              </v:shape>
            </w:pict>
          </mc:Fallback>
        </mc:AlternateContent>
      </w:r>
      <w:r>
        <w:rPr>
          <w:b/>
          <w:color w:val="1A4796"/>
          <w:spacing w:val="-10"/>
        </w:rPr>
        <w:t>El</w:t>
      </w:r>
      <w:r>
        <w:rPr>
          <w:b/>
          <w:color w:val="1A4796"/>
          <w:spacing w:val="-6"/>
        </w:rPr>
        <w:t> </w:t>
      </w:r>
      <w:r>
        <w:rPr>
          <w:b/>
          <w:color w:val="1A4796"/>
          <w:spacing w:val="-10"/>
        </w:rPr>
        <w:t>6</w:t>
      </w:r>
      <w:r>
        <w:rPr>
          <w:b/>
          <w:color w:val="1A4796"/>
          <w:spacing w:val="-6"/>
        </w:rPr>
        <w:t> </w:t>
      </w:r>
      <w:r>
        <w:rPr>
          <w:b/>
          <w:color w:val="1A4796"/>
          <w:spacing w:val="-10"/>
        </w:rPr>
        <w:t>de</w:t>
      </w:r>
      <w:r>
        <w:rPr>
          <w:b/>
          <w:color w:val="1A4796"/>
          <w:spacing w:val="-6"/>
        </w:rPr>
        <w:t> </w:t>
      </w:r>
      <w:r>
        <w:rPr>
          <w:b/>
          <w:color w:val="1A4796"/>
          <w:spacing w:val="-10"/>
        </w:rPr>
        <w:t>diciembre</w:t>
      </w:r>
      <w:r>
        <w:rPr>
          <w:b/>
          <w:color w:val="1A4796"/>
          <w:spacing w:val="-6"/>
        </w:rPr>
        <w:t> </w:t>
      </w:r>
      <w:r>
        <w:rPr>
          <w:b/>
          <w:color w:val="1A4796"/>
          <w:spacing w:val="-10"/>
        </w:rPr>
        <w:t>de</w:t>
      </w:r>
      <w:r>
        <w:rPr>
          <w:b/>
          <w:color w:val="1A4796"/>
          <w:spacing w:val="-6"/>
        </w:rPr>
        <w:t> </w:t>
      </w:r>
      <w:r>
        <w:rPr>
          <w:b/>
          <w:color w:val="1A4796"/>
          <w:spacing w:val="-10"/>
        </w:rPr>
        <w:t>2022,</w:t>
      </w:r>
      <w:r>
        <w:rPr>
          <w:b/>
          <w:color w:val="1A4796"/>
          <w:spacing w:val="-6"/>
        </w:rPr>
        <w:t> </w:t>
      </w:r>
      <w:r>
        <w:rPr>
          <w:color w:val="231F20"/>
          <w:spacing w:val="-10"/>
        </w:rPr>
        <w:t>la</w:t>
      </w:r>
      <w:r>
        <w:rPr>
          <w:color w:val="231F20"/>
          <w:spacing w:val="-5"/>
        </w:rPr>
        <w:t> </w:t>
      </w:r>
      <w:r>
        <w:rPr>
          <w:color w:val="231F20"/>
          <w:spacing w:val="-10"/>
        </w:rPr>
        <w:t>Declaración </w:t>
      </w:r>
      <w:r>
        <w:rPr>
          <w:color w:val="231F20"/>
        </w:rPr>
        <w:t>de la VIII Cumbre CARICOM-Cuba, celebrada</w:t>
      </w:r>
      <w:r>
        <w:rPr>
          <w:color w:val="231F20"/>
          <w:spacing w:val="-17"/>
        </w:rPr>
        <w:t> </w:t>
      </w:r>
      <w:r>
        <w:rPr>
          <w:color w:val="231F20"/>
        </w:rPr>
        <w:t>Bridgetown,</w:t>
      </w:r>
      <w:r>
        <w:rPr>
          <w:color w:val="231F20"/>
          <w:spacing w:val="-16"/>
        </w:rPr>
        <w:t> </w:t>
      </w:r>
      <w:r>
        <w:rPr>
          <w:color w:val="231F20"/>
        </w:rPr>
        <w:t>llamó</w:t>
      </w:r>
      <w:r>
        <w:rPr>
          <w:color w:val="231F20"/>
          <w:spacing w:val="-17"/>
        </w:rPr>
        <w:t> </w:t>
      </w:r>
      <w:r>
        <w:rPr>
          <w:color w:val="231F20"/>
        </w:rPr>
        <w:t>a</w:t>
      </w:r>
      <w:r>
        <w:rPr>
          <w:color w:val="231F20"/>
          <w:spacing w:val="-16"/>
        </w:rPr>
        <w:t> </w:t>
      </w:r>
      <w:r>
        <w:rPr>
          <w:color w:val="231F20"/>
        </w:rPr>
        <w:t>poner</w:t>
      </w:r>
      <w:r>
        <w:rPr>
          <w:color w:val="231F20"/>
          <w:spacing w:val="-17"/>
        </w:rPr>
        <w:t> </w:t>
      </w:r>
      <w:r>
        <w:rPr>
          <w:color w:val="231F20"/>
        </w:rPr>
        <w:t>fin de inmediato y sin condicionamientos al bloqueo contra Cuba. Reiteró el firme rechazo a la aplicación de leyes y medidas extraterritoriales como la Ley </w:t>
      </w:r>
      <w:r>
        <w:rPr>
          <w:color w:val="231F20"/>
          <w:spacing w:val="-2"/>
        </w:rPr>
        <w:t>Helms-Burton,</w:t>
      </w:r>
      <w:r>
        <w:rPr>
          <w:color w:val="231F20"/>
          <w:spacing w:val="-15"/>
        </w:rPr>
        <w:t> </w:t>
      </w:r>
      <w:r>
        <w:rPr>
          <w:color w:val="231F20"/>
          <w:spacing w:val="-2"/>
        </w:rPr>
        <w:t>que</w:t>
      </w:r>
      <w:r>
        <w:rPr>
          <w:color w:val="231F20"/>
          <w:spacing w:val="-14"/>
        </w:rPr>
        <w:t> </w:t>
      </w:r>
      <w:r>
        <w:rPr>
          <w:color w:val="231F20"/>
          <w:spacing w:val="-2"/>
        </w:rPr>
        <w:t>violan</w:t>
      </w:r>
      <w:r>
        <w:rPr>
          <w:color w:val="231F20"/>
          <w:spacing w:val="-15"/>
        </w:rPr>
        <w:t> </w:t>
      </w:r>
      <w:r>
        <w:rPr>
          <w:color w:val="231F20"/>
          <w:spacing w:val="-2"/>
        </w:rPr>
        <w:t>gravemente</w:t>
      </w:r>
      <w:r>
        <w:rPr>
          <w:color w:val="231F20"/>
          <w:spacing w:val="-14"/>
        </w:rPr>
        <w:t> </w:t>
      </w:r>
      <w:r>
        <w:rPr>
          <w:color w:val="231F20"/>
          <w:spacing w:val="-2"/>
        </w:rPr>
        <w:t>el </w:t>
      </w:r>
      <w:r>
        <w:rPr>
          <w:color w:val="231F20"/>
        </w:rPr>
        <w:t>Derecho Internacional y atentan contra la soberanía e intereses de terceros.</w:t>
      </w:r>
    </w:p>
    <w:p>
      <w:pPr>
        <w:pStyle w:val="BodyText"/>
        <w:spacing w:before="168"/>
        <w:ind w:left="673" w:right="1471"/>
      </w:pPr>
      <w:r>
        <w:rPr>
          <w:color w:val="231F20"/>
          <w:spacing w:val="-2"/>
        </w:rPr>
        <w:t>La</w:t>
      </w:r>
      <w:r>
        <w:rPr>
          <w:color w:val="231F20"/>
          <w:spacing w:val="-15"/>
        </w:rPr>
        <w:t> </w:t>
      </w:r>
      <w:r>
        <w:rPr>
          <w:color w:val="231F20"/>
          <w:spacing w:val="-2"/>
        </w:rPr>
        <w:t>VIII</w:t>
      </w:r>
      <w:r>
        <w:rPr>
          <w:color w:val="231F20"/>
          <w:spacing w:val="-14"/>
        </w:rPr>
        <w:t> </w:t>
      </w:r>
      <w:r>
        <w:rPr>
          <w:color w:val="231F20"/>
          <w:spacing w:val="-2"/>
        </w:rPr>
        <w:t>Cumbre</w:t>
      </w:r>
      <w:r>
        <w:rPr>
          <w:color w:val="231F20"/>
          <w:spacing w:val="-15"/>
        </w:rPr>
        <w:t> </w:t>
      </w:r>
      <w:r>
        <w:rPr>
          <w:color w:val="231F20"/>
          <w:spacing w:val="-2"/>
        </w:rPr>
        <w:t>CARICOM-Cuba</w:t>
      </w:r>
      <w:r>
        <w:rPr>
          <w:color w:val="231F20"/>
          <w:spacing w:val="-14"/>
        </w:rPr>
        <w:t> </w:t>
      </w:r>
      <w:r>
        <w:rPr>
          <w:color w:val="231F20"/>
          <w:spacing w:val="-2"/>
        </w:rPr>
        <w:t>también </w:t>
      </w:r>
      <w:r>
        <w:rPr>
          <w:color w:val="231F20"/>
        </w:rPr>
        <w:t>declaró el 6 de octubre como el Día CARICOM-Cuba contra el Terrorismo, en memoria de las 73 personas que murieron en el atentado </w:t>
      </w:r>
      <w:r>
        <w:rPr>
          <w:color w:val="231F20"/>
        </w:rPr>
        <w:t>terrorista contra la aeronave de Cubana de Aviación</w:t>
      </w:r>
      <w:r>
        <w:rPr>
          <w:color w:val="231F20"/>
          <w:spacing w:val="-1"/>
        </w:rPr>
        <w:t> </w:t>
      </w:r>
      <w:r>
        <w:rPr>
          <w:color w:val="231F20"/>
        </w:rPr>
        <w:t>en</w:t>
      </w:r>
      <w:r>
        <w:rPr>
          <w:color w:val="231F20"/>
          <w:spacing w:val="-1"/>
        </w:rPr>
        <w:t> </w:t>
      </w:r>
      <w:r>
        <w:rPr>
          <w:color w:val="231F20"/>
        </w:rPr>
        <w:t>aguas</w:t>
      </w:r>
      <w:r>
        <w:rPr>
          <w:color w:val="231F20"/>
          <w:spacing w:val="-1"/>
        </w:rPr>
        <w:t> </w:t>
      </w:r>
      <w:r>
        <w:rPr>
          <w:color w:val="231F20"/>
        </w:rPr>
        <w:t>de</w:t>
      </w:r>
      <w:r>
        <w:rPr>
          <w:color w:val="231F20"/>
          <w:spacing w:val="-1"/>
        </w:rPr>
        <w:t> </w:t>
      </w:r>
      <w:r>
        <w:rPr>
          <w:color w:val="231F20"/>
        </w:rPr>
        <w:t>Barbados,</w:t>
      </w:r>
      <w:r>
        <w:rPr>
          <w:color w:val="231F20"/>
          <w:spacing w:val="-1"/>
        </w:rPr>
        <w:t> </w:t>
      </w:r>
      <w:r>
        <w:rPr>
          <w:color w:val="231F20"/>
        </w:rPr>
        <w:t>el</w:t>
      </w:r>
      <w:r>
        <w:rPr>
          <w:color w:val="231F20"/>
          <w:spacing w:val="-1"/>
        </w:rPr>
        <w:t> </w:t>
      </w:r>
      <w:r>
        <w:rPr>
          <w:color w:val="231F20"/>
        </w:rPr>
        <w:t>6</w:t>
      </w:r>
      <w:r>
        <w:rPr>
          <w:color w:val="231F20"/>
          <w:spacing w:val="-1"/>
        </w:rPr>
        <w:t> </w:t>
      </w:r>
      <w:r>
        <w:rPr>
          <w:color w:val="231F20"/>
        </w:rPr>
        <w:t>de octubre de 1976. Constituyó, también, una</w:t>
      </w:r>
      <w:r>
        <w:rPr>
          <w:color w:val="231F20"/>
          <w:spacing w:val="-8"/>
        </w:rPr>
        <w:t> </w:t>
      </w:r>
      <w:r>
        <w:rPr>
          <w:color w:val="231F20"/>
        </w:rPr>
        <w:t>demostración</w:t>
      </w:r>
      <w:r>
        <w:rPr>
          <w:color w:val="231F20"/>
          <w:spacing w:val="-8"/>
        </w:rPr>
        <w:t> </w:t>
      </w:r>
      <w:r>
        <w:rPr>
          <w:color w:val="231F20"/>
        </w:rPr>
        <w:t>de</w:t>
      </w:r>
      <w:r>
        <w:rPr>
          <w:color w:val="231F20"/>
          <w:spacing w:val="-8"/>
        </w:rPr>
        <w:t> </w:t>
      </w:r>
      <w:r>
        <w:rPr>
          <w:color w:val="231F20"/>
        </w:rPr>
        <w:t>apoyo</w:t>
      </w:r>
      <w:r>
        <w:rPr>
          <w:color w:val="231F20"/>
          <w:spacing w:val="-8"/>
        </w:rPr>
        <w:t> </w:t>
      </w:r>
      <w:r>
        <w:rPr>
          <w:color w:val="231F20"/>
        </w:rPr>
        <w:t>a</w:t>
      </w:r>
      <w:r>
        <w:rPr>
          <w:color w:val="231F20"/>
          <w:spacing w:val="-8"/>
        </w:rPr>
        <w:t> </w:t>
      </w:r>
      <w:r>
        <w:rPr>
          <w:color w:val="231F20"/>
        </w:rPr>
        <w:t>la</w:t>
      </w:r>
      <w:r>
        <w:rPr>
          <w:color w:val="231F20"/>
          <w:spacing w:val="-8"/>
        </w:rPr>
        <w:t> </w:t>
      </w:r>
      <w:r>
        <w:rPr>
          <w:color w:val="231F20"/>
        </w:rPr>
        <w:t>batalla contra la arbitraria e injustificada inclusión</w:t>
      </w:r>
      <w:r>
        <w:rPr>
          <w:color w:val="231F20"/>
          <w:spacing w:val="-4"/>
        </w:rPr>
        <w:t> </w:t>
      </w:r>
      <w:r>
        <w:rPr>
          <w:color w:val="231F20"/>
        </w:rPr>
        <w:t>de</w:t>
      </w:r>
      <w:r>
        <w:rPr>
          <w:color w:val="231F20"/>
          <w:spacing w:val="-4"/>
        </w:rPr>
        <w:t> </w:t>
      </w:r>
      <w:r>
        <w:rPr>
          <w:color w:val="231F20"/>
        </w:rPr>
        <w:t>Cuba</w:t>
      </w:r>
      <w:r>
        <w:rPr>
          <w:color w:val="231F20"/>
          <w:spacing w:val="-4"/>
        </w:rPr>
        <w:t> </w:t>
      </w:r>
      <w:r>
        <w:rPr>
          <w:color w:val="231F20"/>
        </w:rPr>
        <w:t>en</w:t>
      </w:r>
      <w:r>
        <w:rPr>
          <w:color w:val="231F20"/>
          <w:spacing w:val="-4"/>
        </w:rPr>
        <w:t> </w:t>
      </w:r>
      <w:r>
        <w:rPr>
          <w:color w:val="231F20"/>
        </w:rPr>
        <w:t>la</w:t>
      </w:r>
      <w:r>
        <w:rPr>
          <w:color w:val="231F20"/>
          <w:spacing w:val="-4"/>
        </w:rPr>
        <w:t> </w:t>
      </w:r>
      <w:r>
        <w:rPr>
          <w:color w:val="231F20"/>
        </w:rPr>
        <w:t>lista</w:t>
      </w:r>
      <w:r>
        <w:rPr>
          <w:color w:val="231F20"/>
          <w:spacing w:val="-4"/>
        </w:rPr>
        <w:t> </w:t>
      </w:r>
      <w:r>
        <w:rPr>
          <w:color w:val="231F20"/>
        </w:rPr>
        <w:t>de</w:t>
      </w:r>
      <w:r>
        <w:rPr>
          <w:color w:val="231F20"/>
          <w:spacing w:val="-4"/>
        </w:rPr>
        <w:t> </w:t>
      </w:r>
      <w:r>
        <w:rPr>
          <w:color w:val="231F20"/>
        </w:rPr>
        <w:t>Estados patrocinadores del terrorismo.</w:t>
      </w:r>
    </w:p>
    <w:p>
      <w:pPr>
        <w:pStyle w:val="BodyText"/>
        <w:spacing w:before="169"/>
        <w:ind w:left="673" w:right="1471"/>
      </w:pPr>
      <w:r>
        <w:rPr/>
        <mc:AlternateContent>
          <mc:Choice Requires="wps">
            <w:drawing>
              <wp:anchor distT="0" distB="0" distL="0" distR="0" allowOverlap="1" layoutInCell="1" locked="0" behindDoc="0" simplePos="0" relativeHeight="15769600">
                <wp:simplePos x="0" y="0"/>
                <wp:positionH relativeFrom="page">
                  <wp:posOffset>3815998</wp:posOffset>
                </wp:positionH>
                <wp:positionV relativeFrom="paragraph">
                  <wp:posOffset>192433</wp:posOffset>
                </wp:positionV>
                <wp:extent cx="59690" cy="59690"/>
                <wp:effectExtent l="0" t="0" r="0" b="0"/>
                <wp:wrapNone/>
                <wp:docPr id="138" name="Graphic 138"/>
                <wp:cNvGraphicFramePr>
                  <a:graphicFrameLocks/>
                </wp:cNvGraphicFramePr>
                <a:graphic>
                  <a:graphicData uri="http://schemas.microsoft.com/office/word/2010/wordprocessingShape">
                    <wps:wsp>
                      <wps:cNvPr id="138" name="Graphic 13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152263pt;width:4.7pt;height:4.7pt;mso-position-horizontal-relative:page;mso-position-vertical-relative:paragraph;z-index:15769600" id="docshape111" coordorigin="6009,303" coordsize="94,94" path="m6056,303l6038,307,6023,317,6013,332,6009,350,6013,368,6023,383,6038,393,6056,396,6074,393,6089,383,6099,368,6103,350,6099,332,6089,317,6074,307,6056,303xe" filled="true" fillcolor="#1a4796" stroked="false">
                <v:path arrowok="t"/>
                <v:fill type="solid"/>
                <w10:wrap type="none"/>
              </v:shape>
            </w:pict>
          </mc:Fallback>
        </mc:AlternateContent>
      </w:r>
      <w:r>
        <w:rPr>
          <w:b/>
          <w:color w:val="1A4796"/>
        </w:rPr>
        <w:t>Del 9 al 11 de diciembre de 2022, </w:t>
      </w:r>
      <w:r>
        <w:rPr>
          <w:color w:val="231F20"/>
        </w:rPr>
        <w:t>se celebró en Viena el 7mo Congreso </w:t>
      </w:r>
      <w:r>
        <w:rPr>
          <w:color w:val="231F20"/>
        </w:rPr>
        <w:t>del Partido de la Izquierda Europea, donde se aprobó una moción de respaldo a Cuba contra el bloqueo y, además, se hizo un llamado a la Unión Europea a rechazar las medidas extraterritoriales del</w:t>
      </w:r>
      <w:r>
        <w:rPr>
          <w:color w:val="231F20"/>
          <w:spacing w:val="-2"/>
        </w:rPr>
        <w:t> </w:t>
      </w:r>
      <w:r>
        <w:rPr>
          <w:color w:val="231F20"/>
        </w:rPr>
        <w:t>bloqueo</w:t>
      </w:r>
      <w:r>
        <w:rPr>
          <w:color w:val="231F20"/>
          <w:spacing w:val="-2"/>
        </w:rPr>
        <w:t> </w:t>
      </w:r>
      <w:r>
        <w:rPr>
          <w:color w:val="231F20"/>
        </w:rPr>
        <w:t>que</w:t>
      </w:r>
      <w:r>
        <w:rPr>
          <w:color w:val="231F20"/>
          <w:spacing w:val="-2"/>
        </w:rPr>
        <w:t> </w:t>
      </w:r>
      <w:r>
        <w:rPr>
          <w:color w:val="231F20"/>
        </w:rPr>
        <w:t>afectan</w:t>
      </w:r>
      <w:r>
        <w:rPr>
          <w:color w:val="231F20"/>
          <w:spacing w:val="-2"/>
        </w:rPr>
        <w:t> </w:t>
      </w:r>
      <w:r>
        <w:rPr>
          <w:color w:val="231F20"/>
        </w:rPr>
        <w:t>a</w:t>
      </w:r>
      <w:r>
        <w:rPr>
          <w:color w:val="231F20"/>
          <w:spacing w:val="-2"/>
        </w:rPr>
        <w:t> </w:t>
      </w:r>
      <w:r>
        <w:rPr>
          <w:color w:val="231F20"/>
        </w:rPr>
        <w:t>los</w:t>
      </w:r>
      <w:r>
        <w:rPr>
          <w:color w:val="231F20"/>
          <w:spacing w:val="-2"/>
        </w:rPr>
        <w:t> </w:t>
      </w:r>
      <w:r>
        <w:rPr>
          <w:color w:val="231F20"/>
        </w:rPr>
        <w:t>bancos</w:t>
      </w:r>
      <w:r>
        <w:rPr>
          <w:color w:val="231F20"/>
          <w:spacing w:val="-2"/>
        </w:rPr>
        <w:t> </w:t>
      </w:r>
      <w:r>
        <w:rPr>
          <w:color w:val="231F20"/>
        </w:rPr>
        <w:t>y compañías del bloque comunitario.</w:t>
      </w:r>
    </w:p>
    <w:p>
      <w:pPr>
        <w:pStyle w:val="Heading4"/>
        <w:spacing w:before="167"/>
        <w:ind w:left="673"/>
        <w:jc w:val="both"/>
        <w:rPr>
          <w:b w:val="0"/>
        </w:rPr>
      </w:pPr>
      <w:r>
        <w:rPr/>
        <mc:AlternateContent>
          <mc:Choice Requires="wps">
            <w:drawing>
              <wp:anchor distT="0" distB="0" distL="0" distR="0" allowOverlap="1" layoutInCell="1" locked="0" behindDoc="0" simplePos="0" relativeHeight="15770624">
                <wp:simplePos x="0" y="0"/>
                <wp:positionH relativeFrom="page">
                  <wp:posOffset>3815998</wp:posOffset>
                </wp:positionH>
                <wp:positionV relativeFrom="paragraph">
                  <wp:posOffset>193983</wp:posOffset>
                </wp:positionV>
                <wp:extent cx="59690" cy="59690"/>
                <wp:effectExtent l="0" t="0" r="0" b="0"/>
                <wp:wrapNone/>
                <wp:docPr id="139" name="Graphic 139"/>
                <wp:cNvGraphicFramePr>
                  <a:graphicFrameLocks/>
                </wp:cNvGraphicFramePr>
                <a:graphic>
                  <a:graphicData uri="http://schemas.microsoft.com/office/word/2010/wordprocessingShape">
                    <wps:wsp>
                      <wps:cNvPr id="139" name="Graphic 13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274325pt;width:4.7pt;height:4.7pt;mso-position-horizontal-relative:page;mso-position-vertical-relative:paragraph;z-index:15770624" id="docshape112" coordorigin="6009,305" coordsize="94,94" path="m6056,305l6038,309,6023,319,6013,334,6009,352,6013,370,6023,385,6038,395,6056,399,6074,395,6089,385,6099,370,6103,352,6099,334,6089,319,6074,309,6056,305xe" filled="true" fillcolor="#1a4796" stroked="false">
                <v:path arrowok="t"/>
                <v:fill type="solid"/>
                <w10:wrap type="none"/>
              </v:shape>
            </w:pict>
          </mc:Fallback>
        </mc:AlternateContent>
      </w:r>
      <w:r>
        <w:rPr>
          <w:color w:val="1A4796"/>
        </w:rPr>
        <w:t>El</w:t>
      </w:r>
      <w:r>
        <w:rPr>
          <w:color w:val="1A4796"/>
          <w:spacing w:val="34"/>
        </w:rPr>
        <w:t>  </w:t>
      </w:r>
      <w:r>
        <w:rPr>
          <w:color w:val="1A4796"/>
        </w:rPr>
        <w:t>10</w:t>
      </w:r>
      <w:r>
        <w:rPr>
          <w:color w:val="1A4796"/>
          <w:spacing w:val="34"/>
        </w:rPr>
        <w:t>  </w:t>
      </w:r>
      <w:r>
        <w:rPr>
          <w:color w:val="1A4796"/>
        </w:rPr>
        <w:t>de</w:t>
      </w:r>
      <w:r>
        <w:rPr>
          <w:color w:val="1A4796"/>
          <w:spacing w:val="34"/>
        </w:rPr>
        <w:t>  </w:t>
      </w:r>
      <w:r>
        <w:rPr>
          <w:color w:val="1A4796"/>
        </w:rPr>
        <w:t>diciembre</w:t>
      </w:r>
      <w:r>
        <w:rPr>
          <w:color w:val="1A4796"/>
          <w:spacing w:val="34"/>
        </w:rPr>
        <w:t>  </w:t>
      </w:r>
      <w:r>
        <w:rPr>
          <w:color w:val="1A4796"/>
        </w:rPr>
        <w:t>de</w:t>
      </w:r>
      <w:r>
        <w:rPr>
          <w:color w:val="1A4796"/>
          <w:spacing w:val="34"/>
        </w:rPr>
        <w:t>  </w:t>
      </w:r>
      <w:r>
        <w:rPr>
          <w:color w:val="1A4796"/>
        </w:rPr>
        <w:t>2022,</w:t>
      </w:r>
      <w:r>
        <w:rPr>
          <w:color w:val="1A4796"/>
          <w:spacing w:val="34"/>
        </w:rPr>
        <w:t>  </w:t>
      </w:r>
      <w:r>
        <w:rPr>
          <w:b w:val="0"/>
          <w:color w:val="231F20"/>
          <w:spacing w:val="-5"/>
        </w:rPr>
        <w:t>la</w:t>
      </w:r>
    </w:p>
    <w:p>
      <w:pPr>
        <w:pStyle w:val="BodyText"/>
        <w:spacing w:before="1"/>
        <w:ind w:left="673" w:right="1471"/>
      </w:pPr>
      <w:r>
        <w:rPr>
          <w:color w:val="231F20"/>
        </w:rPr>
        <w:t>X Cumbre de la Organización </w:t>
      </w:r>
      <w:r>
        <w:rPr>
          <w:color w:val="231F20"/>
        </w:rPr>
        <w:t>de Estados de África, el Caribe y el Pacífico, celebrada en Angola, emitió</w:t>
      </w:r>
      <w:r>
        <w:rPr>
          <w:color w:val="231F20"/>
          <w:spacing w:val="80"/>
        </w:rPr>
        <w:t> </w:t>
      </w:r>
      <w:r>
        <w:rPr>
          <w:color w:val="231F20"/>
        </w:rPr>
        <w:t>la Declaración de Luanda, en la que se </w:t>
      </w:r>
      <w:r>
        <w:rPr>
          <w:color w:val="231F20"/>
          <w:spacing w:val="-2"/>
        </w:rPr>
        <w:t>rechaza</w:t>
      </w:r>
      <w:r>
        <w:rPr>
          <w:color w:val="231F20"/>
          <w:spacing w:val="-15"/>
        </w:rPr>
        <w:t> </w:t>
      </w:r>
      <w:r>
        <w:rPr>
          <w:color w:val="231F20"/>
          <w:spacing w:val="-2"/>
        </w:rPr>
        <w:t>la</w:t>
      </w:r>
      <w:r>
        <w:rPr>
          <w:color w:val="231F20"/>
          <w:spacing w:val="-14"/>
        </w:rPr>
        <w:t> </w:t>
      </w:r>
      <w:r>
        <w:rPr>
          <w:color w:val="231F20"/>
          <w:spacing w:val="-2"/>
        </w:rPr>
        <w:t>creciente</w:t>
      </w:r>
      <w:r>
        <w:rPr>
          <w:color w:val="231F20"/>
          <w:spacing w:val="-15"/>
        </w:rPr>
        <w:t> </w:t>
      </w:r>
      <w:r>
        <w:rPr>
          <w:color w:val="231F20"/>
          <w:spacing w:val="-2"/>
        </w:rPr>
        <w:t>aplicación</w:t>
      </w:r>
      <w:r>
        <w:rPr>
          <w:color w:val="231F20"/>
          <w:spacing w:val="-14"/>
        </w:rPr>
        <w:t> </w:t>
      </w:r>
      <w:r>
        <w:rPr>
          <w:color w:val="231F20"/>
          <w:spacing w:val="-2"/>
        </w:rPr>
        <w:t>de</w:t>
      </w:r>
      <w:r>
        <w:rPr>
          <w:color w:val="231F20"/>
          <w:spacing w:val="-15"/>
        </w:rPr>
        <w:t> </w:t>
      </w:r>
      <w:r>
        <w:rPr>
          <w:color w:val="231F20"/>
          <w:spacing w:val="-2"/>
        </w:rPr>
        <w:t>leyes</w:t>
      </w:r>
      <w:r>
        <w:rPr>
          <w:color w:val="231F20"/>
          <w:spacing w:val="-14"/>
        </w:rPr>
        <w:t> </w:t>
      </w:r>
      <w:r>
        <w:rPr>
          <w:color w:val="231F20"/>
          <w:spacing w:val="-2"/>
        </w:rPr>
        <w:t>y </w:t>
      </w:r>
      <w:r>
        <w:rPr>
          <w:color w:val="231F20"/>
        </w:rPr>
        <w:t>medidas</w:t>
      </w:r>
      <w:r>
        <w:rPr>
          <w:color w:val="231F20"/>
          <w:spacing w:val="-6"/>
        </w:rPr>
        <w:t> </w:t>
      </w:r>
      <w:r>
        <w:rPr>
          <w:color w:val="231F20"/>
        </w:rPr>
        <w:t>unilaterales</w:t>
      </w:r>
      <w:r>
        <w:rPr>
          <w:color w:val="231F20"/>
          <w:spacing w:val="-6"/>
        </w:rPr>
        <w:t> </w:t>
      </w:r>
      <w:r>
        <w:rPr>
          <w:color w:val="231F20"/>
        </w:rPr>
        <w:t>y</w:t>
      </w:r>
      <w:r>
        <w:rPr>
          <w:color w:val="231F20"/>
          <w:spacing w:val="-6"/>
        </w:rPr>
        <w:t> </w:t>
      </w:r>
      <w:r>
        <w:rPr>
          <w:color w:val="231F20"/>
        </w:rPr>
        <w:t>extraterritoriales contrarias</w:t>
      </w:r>
      <w:r>
        <w:rPr>
          <w:color w:val="231F20"/>
          <w:spacing w:val="23"/>
        </w:rPr>
        <w:t> </w:t>
      </w:r>
      <w:r>
        <w:rPr>
          <w:color w:val="231F20"/>
        </w:rPr>
        <w:t>al</w:t>
      </w:r>
      <w:r>
        <w:rPr>
          <w:color w:val="231F20"/>
          <w:spacing w:val="24"/>
        </w:rPr>
        <w:t> </w:t>
      </w:r>
      <w:r>
        <w:rPr>
          <w:color w:val="231F20"/>
        </w:rPr>
        <w:t>Derecho</w:t>
      </w:r>
      <w:r>
        <w:rPr>
          <w:color w:val="231F20"/>
          <w:spacing w:val="23"/>
        </w:rPr>
        <w:t> </w:t>
      </w:r>
      <w:r>
        <w:rPr>
          <w:color w:val="231F20"/>
        </w:rPr>
        <w:t>Internacional.</w:t>
      </w:r>
      <w:r>
        <w:rPr>
          <w:color w:val="231F20"/>
          <w:spacing w:val="24"/>
        </w:rPr>
        <w:t> </w:t>
      </w:r>
      <w:r>
        <w:rPr>
          <w:color w:val="231F20"/>
          <w:spacing w:val="-5"/>
        </w:rPr>
        <w:t>En</w:t>
      </w:r>
    </w:p>
    <w:p>
      <w:pPr>
        <w:spacing w:after="0"/>
        <w:sectPr>
          <w:pgSz w:w="11910" w:h="16840"/>
          <w:pgMar w:header="0" w:footer="695" w:top="1260" w:bottom="880" w:left="0" w:right="0"/>
          <w:cols w:num="2" w:equalWidth="0">
            <w:col w:w="5558" w:space="40"/>
            <w:col w:w="6312"/>
          </w:cols>
        </w:sectPr>
      </w:pPr>
    </w:p>
    <w:p>
      <w:pPr>
        <w:pStyle w:val="BodyText"/>
        <w:spacing w:before="77"/>
        <w:ind w:left="1734" w:right="1"/>
      </w:pPr>
      <w:r>
        <w:rPr>
          <w:color w:val="231F20"/>
        </w:rPr>
        <w:t>ese sentido, se condenó la Ley </w:t>
      </w:r>
      <w:r>
        <w:rPr>
          <w:color w:val="231F20"/>
        </w:rPr>
        <w:t>Helms- Burton, la cual codifica el bloqueo económico, comercial y financiero contra Cuba.</w:t>
      </w:r>
    </w:p>
    <w:p>
      <w:pPr>
        <w:pStyle w:val="BodyText"/>
        <w:spacing w:before="163"/>
        <w:ind w:left="1734" w:right="1"/>
      </w:pPr>
      <w:r>
        <w:rPr/>
        <mc:AlternateContent>
          <mc:Choice Requires="wps">
            <w:drawing>
              <wp:anchor distT="0" distB="0" distL="0" distR="0" allowOverlap="1" layoutInCell="1" locked="0" behindDoc="0" simplePos="0" relativeHeight="15772160">
                <wp:simplePos x="0" y="0"/>
                <wp:positionH relativeFrom="page">
                  <wp:posOffset>935997</wp:posOffset>
                </wp:positionH>
                <wp:positionV relativeFrom="paragraph">
                  <wp:posOffset>188645</wp:posOffset>
                </wp:positionV>
                <wp:extent cx="59690" cy="59690"/>
                <wp:effectExtent l="0" t="0" r="0" b="0"/>
                <wp:wrapNone/>
                <wp:docPr id="140" name="Graphic 140"/>
                <wp:cNvGraphicFramePr>
                  <a:graphicFrameLocks/>
                </wp:cNvGraphicFramePr>
                <a:graphic>
                  <a:graphicData uri="http://schemas.microsoft.com/office/word/2010/wordprocessingShape">
                    <wps:wsp>
                      <wps:cNvPr id="140" name="Graphic 14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85395pt;width:4.7pt;height:4.7pt;mso-position-horizontal-relative:page;mso-position-vertical-relative:paragraph;z-index:15772160" id="docshape113" coordorigin="1474,297" coordsize="94,94" path="m1521,297l1502,301,1488,311,1478,326,1474,344,1478,362,1488,377,1502,387,1521,390,1539,387,1554,377,1564,362,1567,344,1564,326,1554,311,1539,301,1521,297xe" filled="true" fillcolor="#1a4796" stroked="false">
                <v:path arrowok="t"/>
                <v:fill type="solid"/>
                <w10:wrap type="none"/>
              </v:shape>
            </w:pict>
          </mc:Fallback>
        </mc:AlternateContent>
      </w:r>
      <w:r>
        <w:rPr>
          <w:b/>
          <w:color w:val="1A4796"/>
        </w:rPr>
        <w:t>14 de diciembre de 2022, </w:t>
      </w:r>
      <w:r>
        <w:rPr>
          <w:color w:val="231F20"/>
        </w:rPr>
        <w:t>la XXII Cumbre</w:t>
      </w:r>
      <w:r>
        <w:rPr>
          <w:color w:val="231F20"/>
          <w:spacing w:val="-3"/>
        </w:rPr>
        <w:t> </w:t>
      </w:r>
      <w:r>
        <w:rPr>
          <w:color w:val="231F20"/>
        </w:rPr>
        <w:t>del</w:t>
      </w:r>
      <w:r>
        <w:rPr>
          <w:color w:val="231F20"/>
          <w:spacing w:val="-3"/>
        </w:rPr>
        <w:t> </w:t>
      </w:r>
      <w:r>
        <w:rPr>
          <w:color w:val="231F20"/>
        </w:rPr>
        <w:t>ALBA-TCP,</w:t>
      </w:r>
      <w:r>
        <w:rPr>
          <w:color w:val="231F20"/>
          <w:spacing w:val="-3"/>
        </w:rPr>
        <w:t> </w:t>
      </w:r>
      <w:r>
        <w:rPr>
          <w:color w:val="231F20"/>
        </w:rPr>
        <w:t>celebrada</w:t>
      </w:r>
      <w:r>
        <w:rPr>
          <w:color w:val="231F20"/>
          <w:spacing w:val="-3"/>
        </w:rPr>
        <w:t> </w:t>
      </w:r>
      <w:r>
        <w:rPr>
          <w:color w:val="231F20"/>
        </w:rPr>
        <w:t>en</w:t>
      </w:r>
      <w:r>
        <w:rPr>
          <w:color w:val="231F20"/>
          <w:spacing w:val="-3"/>
        </w:rPr>
        <w:t> </w:t>
      </w:r>
      <w:r>
        <w:rPr>
          <w:color w:val="231F20"/>
        </w:rPr>
        <w:t>La Habana, emitió una declaración en </w:t>
      </w:r>
      <w:r>
        <w:rPr>
          <w:color w:val="231F20"/>
        </w:rPr>
        <w:t>la que</w:t>
      </w:r>
      <w:r>
        <w:rPr>
          <w:color w:val="231F20"/>
          <w:spacing w:val="-17"/>
        </w:rPr>
        <w:t> </w:t>
      </w:r>
      <w:r>
        <w:rPr>
          <w:color w:val="231F20"/>
        </w:rPr>
        <w:t>se</w:t>
      </w:r>
      <w:r>
        <w:rPr>
          <w:color w:val="231F20"/>
          <w:spacing w:val="-16"/>
        </w:rPr>
        <w:t> </w:t>
      </w:r>
      <w:r>
        <w:rPr>
          <w:color w:val="231F20"/>
        </w:rPr>
        <w:t>reclama</w:t>
      </w:r>
      <w:r>
        <w:rPr>
          <w:color w:val="231F20"/>
          <w:spacing w:val="-17"/>
        </w:rPr>
        <w:t> </w:t>
      </w:r>
      <w:r>
        <w:rPr>
          <w:color w:val="231F20"/>
        </w:rPr>
        <w:t>una</w:t>
      </w:r>
      <w:r>
        <w:rPr>
          <w:color w:val="231F20"/>
          <w:spacing w:val="-16"/>
        </w:rPr>
        <w:t> </w:t>
      </w:r>
      <w:r>
        <w:rPr>
          <w:color w:val="231F20"/>
        </w:rPr>
        <w:t>vez</w:t>
      </w:r>
      <w:r>
        <w:rPr>
          <w:color w:val="231F20"/>
          <w:spacing w:val="-17"/>
        </w:rPr>
        <w:t> </w:t>
      </w:r>
      <w:r>
        <w:rPr>
          <w:color w:val="231F20"/>
        </w:rPr>
        <w:t>más</w:t>
      </w:r>
      <w:r>
        <w:rPr>
          <w:color w:val="231F20"/>
          <w:spacing w:val="-16"/>
        </w:rPr>
        <w:t> </w:t>
      </w:r>
      <w:r>
        <w:rPr>
          <w:color w:val="231F20"/>
        </w:rPr>
        <w:t>al</w:t>
      </w:r>
      <w:r>
        <w:rPr>
          <w:color w:val="231F20"/>
          <w:spacing w:val="-17"/>
        </w:rPr>
        <w:t> </w:t>
      </w:r>
      <w:r>
        <w:rPr>
          <w:color w:val="231F20"/>
        </w:rPr>
        <w:t>gobierno de</w:t>
      </w:r>
      <w:r>
        <w:rPr>
          <w:color w:val="231F20"/>
          <w:spacing w:val="-10"/>
        </w:rPr>
        <w:t> </w:t>
      </w:r>
      <w:r>
        <w:rPr>
          <w:color w:val="231F20"/>
        </w:rPr>
        <w:t>los</w:t>
      </w:r>
      <w:r>
        <w:rPr>
          <w:color w:val="231F20"/>
          <w:spacing w:val="-10"/>
        </w:rPr>
        <w:t> </w:t>
      </w:r>
      <w:r>
        <w:rPr>
          <w:color w:val="231F20"/>
        </w:rPr>
        <w:t>Estados</w:t>
      </w:r>
      <w:r>
        <w:rPr>
          <w:color w:val="231F20"/>
          <w:spacing w:val="-10"/>
        </w:rPr>
        <w:t> </w:t>
      </w:r>
      <w:r>
        <w:rPr>
          <w:color w:val="231F20"/>
        </w:rPr>
        <w:t>Unidos,</w:t>
      </w:r>
      <w:r>
        <w:rPr>
          <w:color w:val="231F20"/>
          <w:spacing w:val="-10"/>
        </w:rPr>
        <w:t> </w:t>
      </w:r>
      <w:r>
        <w:rPr>
          <w:color w:val="231F20"/>
        </w:rPr>
        <w:t>un</w:t>
      </w:r>
      <w:r>
        <w:rPr>
          <w:color w:val="231F20"/>
          <w:spacing w:val="-10"/>
        </w:rPr>
        <w:t> </w:t>
      </w:r>
      <w:r>
        <w:rPr>
          <w:color w:val="231F20"/>
        </w:rPr>
        <w:t>cambio</w:t>
      </w:r>
      <w:r>
        <w:rPr>
          <w:color w:val="231F20"/>
          <w:spacing w:val="-10"/>
        </w:rPr>
        <w:t> </w:t>
      </w:r>
      <w:r>
        <w:rPr>
          <w:color w:val="231F20"/>
        </w:rPr>
        <w:t>de</w:t>
      </w:r>
      <w:r>
        <w:rPr>
          <w:color w:val="231F20"/>
          <w:spacing w:val="-10"/>
        </w:rPr>
        <w:t> </w:t>
      </w:r>
      <w:r>
        <w:rPr>
          <w:color w:val="231F20"/>
        </w:rPr>
        <w:t>su </w:t>
      </w:r>
      <w:r>
        <w:rPr>
          <w:color w:val="231F20"/>
          <w:spacing w:val="-4"/>
        </w:rPr>
        <w:t>política</w:t>
      </w:r>
      <w:r>
        <w:rPr>
          <w:color w:val="231F20"/>
          <w:spacing w:val="-8"/>
        </w:rPr>
        <w:t> </w:t>
      </w:r>
      <w:r>
        <w:rPr>
          <w:color w:val="231F20"/>
          <w:spacing w:val="-4"/>
        </w:rPr>
        <w:t>hostil</w:t>
      </w:r>
      <w:r>
        <w:rPr>
          <w:color w:val="231F20"/>
          <w:spacing w:val="-8"/>
        </w:rPr>
        <w:t> </w:t>
      </w:r>
      <w:r>
        <w:rPr>
          <w:color w:val="231F20"/>
          <w:spacing w:val="-4"/>
        </w:rPr>
        <w:t>hacia</w:t>
      </w:r>
      <w:r>
        <w:rPr>
          <w:color w:val="231F20"/>
          <w:spacing w:val="-8"/>
        </w:rPr>
        <w:t> </w:t>
      </w:r>
      <w:r>
        <w:rPr>
          <w:color w:val="231F20"/>
          <w:spacing w:val="-4"/>
        </w:rPr>
        <w:t>Cuba</w:t>
      </w:r>
      <w:r>
        <w:rPr>
          <w:color w:val="231F20"/>
          <w:spacing w:val="-8"/>
        </w:rPr>
        <w:t> </w:t>
      </w:r>
      <w:r>
        <w:rPr>
          <w:color w:val="231F20"/>
          <w:spacing w:val="-4"/>
        </w:rPr>
        <w:t>que</w:t>
      </w:r>
      <w:r>
        <w:rPr>
          <w:color w:val="231F20"/>
          <w:spacing w:val="-8"/>
        </w:rPr>
        <w:t> </w:t>
      </w:r>
      <w:r>
        <w:rPr>
          <w:color w:val="231F20"/>
          <w:spacing w:val="-4"/>
        </w:rPr>
        <w:t>contempl</w:t>
      </w:r>
      <w:r>
        <w:rPr>
          <w:color w:val="231F20"/>
          <w:spacing w:val="-4"/>
        </w:rPr>
        <w:t>e</w:t>
      </w:r>
      <w:r>
        <w:rPr>
          <w:color w:val="231F20"/>
          <w:spacing w:val="-4"/>
        </w:rPr>
        <w:t> </w:t>
      </w:r>
      <w:r>
        <w:rPr>
          <w:color w:val="231F20"/>
        </w:rPr>
        <w:t>el</w:t>
      </w:r>
      <w:r>
        <w:rPr>
          <w:color w:val="231F20"/>
          <w:spacing w:val="40"/>
        </w:rPr>
        <w:t> </w:t>
      </w:r>
      <w:r>
        <w:rPr>
          <w:color w:val="231F20"/>
        </w:rPr>
        <w:t>fin</w:t>
      </w:r>
      <w:r>
        <w:rPr>
          <w:color w:val="231F20"/>
          <w:spacing w:val="40"/>
        </w:rPr>
        <w:t> </w:t>
      </w:r>
      <w:r>
        <w:rPr>
          <w:color w:val="231F20"/>
        </w:rPr>
        <w:t>inmediato</w:t>
      </w:r>
      <w:r>
        <w:rPr>
          <w:color w:val="231F20"/>
          <w:spacing w:val="40"/>
        </w:rPr>
        <w:t> </w:t>
      </w:r>
      <w:r>
        <w:rPr>
          <w:color w:val="231F20"/>
        </w:rPr>
        <w:t>y</w:t>
      </w:r>
      <w:r>
        <w:rPr>
          <w:color w:val="231F20"/>
          <w:spacing w:val="40"/>
        </w:rPr>
        <w:t> </w:t>
      </w:r>
      <w:r>
        <w:rPr>
          <w:color w:val="231F20"/>
        </w:rPr>
        <w:t>sin</w:t>
      </w:r>
      <w:r>
        <w:rPr>
          <w:color w:val="231F20"/>
          <w:spacing w:val="40"/>
        </w:rPr>
        <w:t> </w:t>
      </w:r>
      <w:r>
        <w:rPr>
          <w:color w:val="231F20"/>
        </w:rPr>
        <w:t>condiciones</w:t>
      </w:r>
      <w:r>
        <w:rPr>
          <w:color w:val="231F20"/>
          <w:spacing w:val="80"/>
          <w:w w:val="150"/>
        </w:rPr>
        <w:t> </w:t>
      </w:r>
      <w:r>
        <w:rPr>
          <w:color w:val="231F20"/>
        </w:rPr>
        <w:t>del bloqueo; el cese de las acciones subversivas, ilegales y encubiertas, incluidas aquellas que emplean las tecnologías de la información y las comunicaciones, así como el fin de </w:t>
      </w:r>
      <w:r>
        <w:rPr>
          <w:color w:val="231F20"/>
        </w:rPr>
        <w:t>la absurda e injustificada inclusión </w:t>
      </w:r>
      <w:r>
        <w:rPr>
          <w:color w:val="231F20"/>
        </w:rPr>
        <w:t>de Cuba en la espuria y arbitraria lista </w:t>
      </w:r>
      <w:r>
        <w:rPr>
          <w:color w:val="231F20"/>
        </w:rPr>
        <w:t>de Estados patrocinadores del terrorismo del Departamento de Estado de los Estados Unidos.</w:t>
      </w:r>
    </w:p>
    <w:p>
      <w:pPr>
        <w:pStyle w:val="BodyText"/>
        <w:spacing w:before="173"/>
        <w:ind w:left="1734" w:right="1"/>
      </w:pPr>
      <w:r>
        <w:rPr/>
        <mc:AlternateContent>
          <mc:Choice Requires="wps">
            <w:drawing>
              <wp:anchor distT="0" distB="0" distL="0" distR="0" allowOverlap="1" layoutInCell="1" locked="0" behindDoc="0" simplePos="0" relativeHeight="15771648">
                <wp:simplePos x="0" y="0"/>
                <wp:positionH relativeFrom="page">
                  <wp:posOffset>935997</wp:posOffset>
                </wp:positionH>
                <wp:positionV relativeFrom="paragraph">
                  <wp:posOffset>196171</wp:posOffset>
                </wp:positionV>
                <wp:extent cx="59690" cy="59690"/>
                <wp:effectExtent l="0" t="0" r="0" b="0"/>
                <wp:wrapNone/>
                <wp:docPr id="141" name="Graphic 141"/>
                <wp:cNvGraphicFramePr>
                  <a:graphicFrameLocks/>
                </wp:cNvGraphicFramePr>
                <a:graphic>
                  <a:graphicData uri="http://schemas.microsoft.com/office/word/2010/wordprocessingShape">
                    <wps:wsp>
                      <wps:cNvPr id="141" name="Graphic 14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446612pt;width:4.7pt;height:4.7pt;mso-position-horizontal-relative:page;mso-position-vertical-relative:paragraph;z-index:15771648" id="docshape114" coordorigin="1474,309" coordsize="94,94" path="m1521,309l1502,313,1488,323,1478,337,1474,356,1478,374,1488,389,1502,399,1521,402,1539,399,1554,389,1564,374,1567,356,1564,337,1554,323,1539,313,1521,309xe" filled="true" fillcolor="#1a4796" stroked="false">
                <v:path arrowok="t"/>
                <v:fill type="solid"/>
                <w10:wrap type="none"/>
              </v:shape>
            </w:pict>
          </mc:Fallback>
        </mc:AlternateContent>
      </w:r>
      <w:r>
        <w:rPr>
          <w:b/>
          <w:color w:val="1A4796"/>
        </w:rPr>
        <w:t>El 16 de diciembre de 2022, </w:t>
      </w:r>
      <w:r>
        <w:rPr>
          <w:color w:val="231F20"/>
        </w:rPr>
        <w:t>el presidente</w:t>
      </w:r>
      <w:r>
        <w:rPr>
          <w:color w:val="231F20"/>
          <w:spacing w:val="-11"/>
        </w:rPr>
        <w:t> </w:t>
      </w:r>
      <w:r>
        <w:rPr>
          <w:color w:val="231F20"/>
        </w:rPr>
        <w:t>de</w:t>
      </w:r>
      <w:r>
        <w:rPr>
          <w:color w:val="231F20"/>
          <w:spacing w:val="-11"/>
        </w:rPr>
        <w:t> </w:t>
      </w:r>
      <w:r>
        <w:rPr>
          <w:color w:val="231F20"/>
        </w:rPr>
        <w:t>la</w:t>
      </w:r>
      <w:r>
        <w:rPr>
          <w:color w:val="231F20"/>
          <w:spacing w:val="-11"/>
        </w:rPr>
        <w:t> </w:t>
      </w:r>
      <w:r>
        <w:rPr>
          <w:color w:val="231F20"/>
        </w:rPr>
        <w:t>República</w:t>
      </w:r>
      <w:r>
        <w:rPr>
          <w:color w:val="231F20"/>
          <w:spacing w:val="-11"/>
        </w:rPr>
        <w:t> </w:t>
      </w:r>
      <w:r>
        <w:rPr>
          <w:color w:val="231F20"/>
        </w:rPr>
        <w:t>de</w:t>
      </w:r>
      <w:r>
        <w:rPr>
          <w:color w:val="231F20"/>
          <w:spacing w:val="-11"/>
        </w:rPr>
        <w:t> </w:t>
      </w:r>
      <w:r>
        <w:rPr>
          <w:color w:val="231F20"/>
        </w:rPr>
        <w:t>Sudáfrica y</w:t>
      </w:r>
      <w:r>
        <w:rPr>
          <w:color w:val="231F20"/>
          <w:spacing w:val="-5"/>
        </w:rPr>
        <w:t> </w:t>
      </w:r>
      <w:r>
        <w:rPr>
          <w:color w:val="231F20"/>
        </w:rPr>
        <w:t>del</w:t>
      </w:r>
      <w:r>
        <w:rPr>
          <w:color w:val="231F20"/>
          <w:spacing w:val="-6"/>
        </w:rPr>
        <w:t> </w:t>
      </w:r>
      <w:r>
        <w:rPr>
          <w:color w:val="231F20"/>
        </w:rPr>
        <w:t>Congreso</w:t>
      </w:r>
      <w:r>
        <w:rPr>
          <w:color w:val="231F20"/>
          <w:spacing w:val="-5"/>
        </w:rPr>
        <w:t> </w:t>
      </w:r>
      <w:r>
        <w:rPr>
          <w:color w:val="231F20"/>
        </w:rPr>
        <w:t>Nacional</w:t>
      </w:r>
      <w:r>
        <w:rPr>
          <w:color w:val="231F20"/>
          <w:spacing w:val="-6"/>
        </w:rPr>
        <w:t> </w:t>
      </w:r>
      <w:r>
        <w:rPr>
          <w:color w:val="231F20"/>
        </w:rPr>
        <w:t>Africano</w:t>
      </w:r>
      <w:r>
        <w:rPr>
          <w:color w:val="231F20"/>
          <w:spacing w:val="-6"/>
        </w:rPr>
        <w:t> </w:t>
      </w:r>
      <w:r>
        <w:rPr>
          <w:color w:val="231F20"/>
        </w:rPr>
        <w:t>(ANC </w:t>
      </w:r>
      <w:r>
        <w:rPr>
          <w:color w:val="231F20"/>
          <w:spacing w:val="-6"/>
        </w:rPr>
        <w:t>por sus siglas eninglés), Cyril Ramaphosa, </w:t>
      </w:r>
      <w:r>
        <w:rPr>
          <w:color w:val="231F20"/>
        </w:rPr>
        <w:t>demandó el fin del bloqueo contra Cuba en su discurso central durante la 55 Conferencia Nacional del ANC. Una de las resoluciones aprobadas durante la Conferencia llamó al levantamiento inmediato de esta política.</w:t>
      </w:r>
    </w:p>
    <w:p>
      <w:pPr>
        <w:pStyle w:val="BodyText"/>
        <w:spacing w:before="168"/>
        <w:ind w:left="1734"/>
      </w:pPr>
      <w:r>
        <w:rPr/>
        <mc:AlternateContent>
          <mc:Choice Requires="wps">
            <w:drawing>
              <wp:anchor distT="0" distB="0" distL="0" distR="0" allowOverlap="1" layoutInCell="1" locked="0" behindDoc="0" simplePos="0" relativeHeight="15771136">
                <wp:simplePos x="0" y="0"/>
                <wp:positionH relativeFrom="page">
                  <wp:posOffset>935997</wp:posOffset>
                </wp:positionH>
                <wp:positionV relativeFrom="paragraph">
                  <wp:posOffset>190640</wp:posOffset>
                </wp:positionV>
                <wp:extent cx="59690" cy="59690"/>
                <wp:effectExtent l="0" t="0" r="0" b="0"/>
                <wp:wrapNone/>
                <wp:docPr id="142" name="Graphic 142"/>
                <wp:cNvGraphicFramePr>
                  <a:graphicFrameLocks/>
                </wp:cNvGraphicFramePr>
                <a:graphic>
                  <a:graphicData uri="http://schemas.microsoft.com/office/word/2010/wordprocessingShape">
                    <wps:wsp>
                      <wps:cNvPr id="142" name="Graphic 14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011038pt;width:4.7pt;height:4.7pt;mso-position-horizontal-relative:page;mso-position-vertical-relative:paragraph;z-index:15771136" id="docshape115" coordorigin="1474,300" coordsize="94,94" path="m1521,300l1502,304,1488,314,1478,329,1474,347,1478,365,1488,380,1502,390,1521,393,1539,390,1554,380,1564,365,1567,347,1564,329,1554,314,1539,304,1521,300xe" filled="true" fillcolor="#1a4796" stroked="false">
                <v:path arrowok="t"/>
                <v:fill type="solid"/>
                <w10:wrap type="none"/>
              </v:shape>
            </w:pict>
          </mc:Fallback>
        </mc:AlternateContent>
      </w:r>
      <w:r>
        <w:rPr>
          <w:b/>
          <w:color w:val="1A4796"/>
        </w:rPr>
        <w:t>En 2022 </w:t>
      </w:r>
      <w:r>
        <w:rPr>
          <w:color w:val="231F20"/>
        </w:rPr>
        <w:t>se registraron 11 pronunciamientos públicos del Vocero de la Cancillería china en respaldo a Cuba, de ellos, 6 incluyeron denuncias explícitas a la política de bloqueo.</w:t>
      </w:r>
    </w:p>
    <w:p>
      <w:pPr>
        <w:pStyle w:val="BodyText"/>
        <w:spacing w:before="164"/>
        <w:ind w:left="1734" w:right="1"/>
      </w:pPr>
      <w:r>
        <w:rPr>
          <w:color w:val="231F20"/>
        </w:rPr>
        <w:t>El informe titulado “El estado de la democracia en Estados Unidos 2022”, publicado</w:t>
      </w:r>
      <w:r>
        <w:rPr>
          <w:color w:val="231F20"/>
          <w:spacing w:val="-17"/>
        </w:rPr>
        <w:t> </w:t>
      </w:r>
      <w:r>
        <w:rPr>
          <w:color w:val="231F20"/>
        </w:rPr>
        <w:t>por</w:t>
      </w:r>
      <w:r>
        <w:rPr>
          <w:color w:val="231F20"/>
          <w:spacing w:val="-16"/>
        </w:rPr>
        <w:t> </w:t>
      </w:r>
      <w:r>
        <w:rPr>
          <w:color w:val="231F20"/>
        </w:rPr>
        <w:t>la</w:t>
      </w:r>
      <w:r>
        <w:rPr>
          <w:color w:val="231F20"/>
          <w:spacing w:val="-17"/>
        </w:rPr>
        <w:t> </w:t>
      </w:r>
      <w:r>
        <w:rPr>
          <w:color w:val="231F20"/>
        </w:rPr>
        <w:t>Cancillería</w:t>
      </w:r>
      <w:r>
        <w:rPr>
          <w:color w:val="231F20"/>
          <w:spacing w:val="-16"/>
        </w:rPr>
        <w:t> </w:t>
      </w:r>
      <w:r>
        <w:rPr>
          <w:color w:val="231F20"/>
        </w:rPr>
        <w:t>china</w:t>
      </w:r>
      <w:r>
        <w:rPr>
          <w:color w:val="231F20"/>
          <w:spacing w:val="-17"/>
        </w:rPr>
        <w:t> </w:t>
      </w:r>
      <w:r>
        <w:rPr>
          <w:color w:val="231F20"/>
        </w:rPr>
        <w:t>previo a la celebración de la II Cumbre por la </w:t>
      </w:r>
      <w:r>
        <w:rPr>
          <w:color w:val="231F20"/>
          <w:spacing w:val="-6"/>
        </w:rPr>
        <w:t>Democracia</w:t>
      </w:r>
      <w:r>
        <w:rPr>
          <w:color w:val="231F20"/>
          <w:spacing w:val="-11"/>
        </w:rPr>
        <w:t> </w:t>
      </w:r>
      <w:r>
        <w:rPr>
          <w:color w:val="231F20"/>
          <w:spacing w:val="-6"/>
        </w:rPr>
        <w:t>en</w:t>
      </w:r>
      <w:r>
        <w:rPr>
          <w:color w:val="231F20"/>
          <w:spacing w:val="-10"/>
        </w:rPr>
        <w:t> </w:t>
      </w:r>
      <w:r>
        <w:rPr>
          <w:color w:val="231F20"/>
          <w:spacing w:val="-6"/>
        </w:rPr>
        <w:t>marzo</w:t>
      </w:r>
      <w:r>
        <w:rPr>
          <w:color w:val="231F20"/>
          <w:spacing w:val="-11"/>
        </w:rPr>
        <w:t> </w:t>
      </w:r>
      <w:r>
        <w:rPr>
          <w:color w:val="231F20"/>
          <w:spacing w:val="-6"/>
        </w:rPr>
        <w:t>del</w:t>
      </w:r>
      <w:r>
        <w:rPr>
          <w:color w:val="231F20"/>
          <w:spacing w:val="-10"/>
        </w:rPr>
        <w:t> </w:t>
      </w:r>
      <w:r>
        <w:rPr>
          <w:color w:val="231F20"/>
          <w:spacing w:val="-6"/>
        </w:rPr>
        <w:t>2023,</w:t>
      </w:r>
      <w:r>
        <w:rPr>
          <w:color w:val="231F20"/>
          <w:spacing w:val="-11"/>
        </w:rPr>
        <w:t> </w:t>
      </w:r>
      <w:r>
        <w:rPr>
          <w:color w:val="231F20"/>
          <w:spacing w:val="-6"/>
        </w:rPr>
        <w:t>denunció </w:t>
      </w:r>
      <w:r>
        <w:rPr>
          <w:color w:val="231F20"/>
        </w:rPr>
        <w:t>explícitamente</w:t>
      </w:r>
      <w:r>
        <w:rPr>
          <w:color w:val="231F20"/>
          <w:spacing w:val="3"/>
        </w:rPr>
        <w:t> </w:t>
      </w:r>
      <w:r>
        <w:rPr>
          <w:color w:val="231F20"/>
        </w:rPr>
        <w:t>que,</w:t>
      </w:r>
      <w:r>
        <w:rPr>
          <w:color w:val="231F20"/>
          <w:spacing w:val="4"/>
        </w:rPr>
        <w:t> </w:t>
      </w:r>
      <w:r>
        <w:rPr>
          <w:color w:val="231F20"/>
        </w:rPr>
        <w:t>bajo</w:t>
      </w:r>
      <w:r>
        <w:rPr>
          <w:color w:val="231F20"/>
          <w:spacing w:val="4"/>
        </w:rPr>
        <w:t> </w:t>
      </w:r>
      <w:r>
        <w:rPr>
          <w:color w:val="231F20"/>
        </w:rPr>
        <w:t>el</w:t>
      </w:r>
      <w:r>
        <w:rPr>
          <w:color w:val="231F20"/>
          <w:spacing w:val="4"/>
        </w:rPr>
        <w:t> </w:t>
      </w:r>
      <w:r>
        <w:rPr>
          <w:color w:val="231F20"/>
        </w:rPr>
        <w:t>pretexto</w:t>
      </w:r>
      <w:r>
        <w:rPr>
          <w:color w:val="231F20"/>
          <w:spacing w:val="4"/>
        </w:rPr>
        <w:t> </w:t>
      </w:r>
      <w:r>
        <w:rPr>
          <w:color w:val="231F20"/>
          <w:spacing w:val="-5"/>
        </w:rPr>
        <w:t>de</w:t>
      </w:r>
    </w:p>
    <w:p>
      <w:pPr>
        <w:pStyle w:val="BodyText"/>
        <w:spacing w:before="77"/>
        <w:ind w:left="671" w:right="1136"/>
      </w:pPr>
      <w:r>
        <w:rPr/>
        <w:br w:type="column"/>
      </w:r>
      <w:r>
        <w:rPr>
          <w:color w:val="231F20"/>
        </w:rPr>
        <w:t>los</w:t>
      </w:r>
      <w:r>
        <w:rPr>
          <w:color w:val="231F20"/>
          <w:spacing w:val="-4"/>
        </w:rPr>
        <w:t> </w:t>
      </w:r>
      <w:r>
        <w:rPr>
          <w:color w:val="231F20"/>
        </w:rPr>
        <w:t>derechos</w:t>
      </w:r>
      <w:r>
        <w:rPr>
          <w:color w:val="231F20"/>
          <w:spacing w:val="-4"/>
        </w:rPr>
        <w:t> </w:t>
      </w:r>
      <w:r>
        <w:rPr>
          <w:color w:val="231F20"/>
        </w:rPr>
        <w:t>humanos</w:t>
      </w:r>
      <w:r>
        <w:rPr>
          <w:color w:val="231F20"/>
          <w:spacing w:val="-4"/>
        </w:rPr>
        <w:t> </w:t>
      </w:r>
      <w:r>
        <w:rPr>
          <w:color w:val="231F20"/>
        </w:rPr>
        <w:t>y</w:t>
      </w:r>
      <w:r>
        <w:rPr>
          <w:color w:val="231F20"/>
          <w:spacing w:val="-4"/>
        </w:rPr>
        <w:t> </w:t>
      </w:r>
      <w:r>
        <w:rPr>
          <w:color w:val="231F20"/>
        </w:rPr>
        <w:t>la</w:t>
      </w:r>
      <w:r>
        <w:rPr>
          <w:color w:val="231F20"/>
          <w:spacing w:val="-4"/>
        </w:rPr>
        <w:t> </w:t>
      </w:r>
      <w:r>
        <w:rPr>
          <w:color w:val="231F20"/>
        </w:rPr>
        <w:t>democracia, los Estados Unidos han usado durante </w:t>
      </w:r>
      <w:r>
        <w:rPr>
          <w:color w:val="231F20"/>
          <w:spacing w:val="-2"/>
        </w:rPr>
        <w:t>mucho</w:t>
      </w:r>
      <w:r>
        <w:rPr>
          <w:color w:val="231F20"/>
          <w:spacing w:val="-15"/>
        </w:rPr>
        <w:t> </w:t>
      </w:r>
      <w:r>
        <w:rPr>
          <w:color w:val="231F20"/>
          <w:spacing w:val="-2"/>
        </w:rPr>
        <w:t>tiempo</w:t>
      </w:r>
      <w:r>
        <w:rPr>
          <w:color w:val="231F20"/>
          <w:spacing w:val="-14"/>
        </w:rPr>
        <w:t> </w:t>
      </w:r>
      <w:r>
        <w:rPr>
          <w:color w:val="231F20"/>
          <w:spacing w:val="-2"/>
        </w:rPr>
        <w:t>las</w:t>
      </w:r>
      <w:r>
        <w:rPr>
          <w:color w:val="231F20"/>
          <w:spacing w:val="-15"/>
        </w:rPr>
        <w:t> </w:t>
      </w:r>
      <w:r>
        <w:rPr>
          <w:color w:val="231F20"/>
          <w:spacing w:val="-2"/>
        </w:rPr>
        <w:t>sanciones</w:t>
      </w:r>
      <w:r>
        <w:rPr>
          <w:color w:val="231F20"/>
          <w:spacing w:val="-14"/>
        </w:rPr>
        <w:t> </w:t>
      </w:r>
      <w:r>
        <w:rPr>
          <w:color w:val="231F20"/>
          <w:spacing w:val="-2"/>
        </w:rPr>
        <w:t>unilaterales </w:t>
      </w:r>
      <w:r>
        <w:rPr>
          <w:color w:val="231F20"/>
        </w:rPr>
        <w:t>y extraterritoriales contra otros países, donde incluye a Cuba.</w:t>
      </w:r>
    </w:p>
    <w:p>
      <w:pPr>
        <w:pStyle w:val="BodyText"/>
        <w:spacing w:before="164"/>
        <w:ind w:left="671" w:right="1135"/>
      </w:pPr>
      <w:r>
        <w:rPr>
          <w:color w:val="231F20"/>
        </w:rPr>
        <w:t>El “Informe de las violaciones de los </w:t>
      </w:r>
      <w:r>
        <w:rPr>
          <w:color w:val="231F20"/>
          <w:spacing w:val="-6"/>
        </w:rPr>
        <w:t>derechos</w:t>
      </w:r>
      <w:r>
        <w:rPr>
          <w:color w:val="231F20"/>
          <w:spacing w:val="-8"/>
        </w:rPr>
        <w:t> </w:t>
      </w:r>
      <w:r>
        <w:rPr>
          <w:color w:val="231F20"/>
          <w:spacing w:val="-6"/>
        </w:rPr>
        <w:t>humanos</w:t>
      </w:r>
      <w:r>
        <w:rPr>
          <w:color w:val="231F20"/>
          <w:spacing w:val="-8"/>
        </w:rPr>
        <w:t> </w:t>
      </w:r>
      <w:r>
        <w:rPr>
          <w:color w:val="231F20"/>
          <w:spacing w:val="-6"/>
        </w:rPr>
        <w:t>de</w:t>
      </w:r>
      <w:r>
        <w:rPr>
          <w:color w:val="231F20"/>
          <w:spacing w:val="-8"/>
        </w:rPr>
        <w:t> </w:t>
      </w:r>
      <w:r>
        <w:rPr>
          <w:color w:val="231F20"/>
          <w:spacing w:val="-6"/>
        </w:rPr>
        <w:t>Estados</w:t>
      </w:r>
      <w:r>
        <w:rPr>
          <w:color w:val="231F20"/>
          <w:spacing w:val="-8"/>
        </w:rPr>
        <w:t> </w:t>
      </w:r>
      <w:r>
        <w:rPr>
          <w:color w:val="231F20"/>
          <w:spacing w:val="-6"/>
        </w:rPr>
        <w:t>Unidos</w:t>
      </w:r>
      <w:r>
        <w:rPr>
          <w:color w:val="231F20"/>
          <w:spacing w:val="-8"/>
        </w:rPr>
        <w:t> </w:t>
      </w:r>
      <w:r>
        <w:rPr>
          <w:color w:val="231F20"/>
          <w:spacing w:val="-6"/>
        </w:rPr>
        <w:t>en </w:t>
      </w:r>
      <w:r>
        <w:rPr>
          <w:color w:val="231F20"/>
          <w:spacing w:val="-4"/>
        </w:rPr>
        <w:t>2022”,</w:t>
      </w:r>
      <w:r>
        <w:rPr>
          <w:color w:val="231F20"/>
          <w:spacing w:val="-13"/>
        </w:rPr>
        <w:t> </w:t>
      </w:r>
      <w:r>
        <w:rPr>
          <w:color w:val="231F20"/>
          <w:spacing w:val="-4"/>
        </w:rPr>
        <w:t>que</w:t>
      </w:r>
      <w:r>
        <w:rPr>
          <w:color w:val="231F20"/>
          <w:spacing w:val="-12"/>
        </w:rPr>
        <w:t> </w:t>
      </w:r>
      <w:r>
        <w:rPr>
          <w:color w:val="231F20"/>
          <w:spacing w:val="-4"/>
        </w:rPr>
        <w:t>anualmente</w:t>
      </w:r>
      <w:r>
        <w:rPr>
          <w:color w:val="231F20"/>
          <w:spacing w:val="-13"/>
        </w:rPr>
        <w:t> </w:t>
      </w:r>
      <w:r>
        <w:rPr>
          <w:color w:val="231F20"/>
          <w:spacing w:val="-4"/>
        </w:rPr>
        <w:t>publica</w:t>
      </w:r>
      <w:r>
        <w:rPr>
          <w:color w:val="231F20"/>
          <w:spacing w:val="-12"/>
        </w:rPr>
        <w:t> </w:t>
      </w:r>
      <w:r>
        <w:rPr>
          <w:color w:val="231F20"/>
          <w:spacing w:val="-4"/>
        </w:rPr>
        <w:t>la</w:t>
      </w:r>
      <w:r>
        <w:rPr>
          <w:color w:val="231F20"/>
          <w:spacing w:val="-13"/>
        </w:rPr>
        <w:t> </w:t>
      </w:r>
      <w:r>
        <w:rPr>
          <w:color w:val="231F20"/>
          <w:spacing w:val="-4"/>
        </w:rPr>
        <w:t>Oficina </w:t>
      </w:r>
      <w:r>
        <w:rPr>
          <w:color w:val="231F20"/>
        </w:rPr>
        <w:t>de Información del Consejo de Estado de China, volvió a incluir el bloqueo de Estados Unidos contra Cuba como una </w:t>
      </w:r>
      <w:r>
        <w:rPr>
          <w:color w:val="231F20"/>
          <w:spacing w:val="-6"/>
        </w:rPr>
        <w:t>política</w:t>
      </w:r>
      <w:r>
        <w:rPr>
          <w:color w:val="231F20"/>
          <w:spacing w:val="-10"/>
        </w:rPr>
        <w:t> </w:t>
      </w:r>
      <w:r>
        <w:rPr>
          <w:color w:val="231F20"/>
          <w:spacing w:val="-6"/>
        </w:rPr>
        <w:t>que</w:t>
      </w:r>
      <w:r>
        <w:rPr>
          <w:color w:val="231F20"/>
          <w:spacing w:val="-10"/>
        </w:rPr>
        <w:t> </w:t>
      </w:r>
      <w:r>
        <w:rPr>
          <w:color w:val="231F20"/>
          <w:spacing w:val="-6"/>
        </w:rPr>
        <w:t>afecta</w:t>
      </w:r>
      <w:r>
        <w:rPr>
          <w:color w:val="231F20"/>
          <w:spacing w:val="-10"/>
        </w:rPr>
        <w:t> </w:t>
      </w:r>
      <w:r>
        <w:rPr>
          <w:color w:val="231F20"/>
          <w:spacing w:val="-6"/>
        </w:rPr>
        <w:t>los</w:t>
      </w:r>
      <w:r>
        <w:rPr>
          <w:color w:val="231F20"/>
          <w:spacing w:val="-10"/>
        </w:rPr>
        <w:t> </w:t>
      </w:r>
      <w:r>
        <w:rPr>
          <w:color w:val="231F20"/>
          <w:spacing w:val="-6"/>
        </w:rPr>
        <w:t>derechos</w:t>
      </w:r>
      <w:r>
        <w:rPr>
          <w:color w:val="231F20"/>
          <w:spacing w:val="-10"/>
        </w:rPr>
        <w:t> </w:t>
      </w:r>
      <w:r>
        <w:rPr>
          <w:color w:val="231F20"/>
          <w:spacing w:val="-6"/>
        </w:rPr>
        <w:t>humanos </w:t>
      </w:r>
      <w:r>
        <w:rPr>
          <w:color w:val="231F20"/>
        </w:rPr>
        <w:t>en otras naciones.</w:t>
      </w:r>
    </w:p>
    <w:p>
      <w:pPr>
        <w:pStyle w:val="BodyText"/>
        <w:spacing w:before="166"/>
        <w:ind w:left="671" w:right="1130"/>
      </w:pPr>
      <w:r>
        <w:rPr/>
        <mc:AlternateContent>
          <mc:Choice Requires="wps">
            <w:drawing>
              <wp:anchor distT="0" distB="0" distL="0" distR="0" allowOverlap="1" layoutInCell="1" locked="0" behindDoc="0" simplePos="0" relativeHeight="15772672">
                <wp:simplePos x="0" y="0"/>
                <wp:positionH relativeFrom="page">
                  <wp:posOffset>4031997</wp:posOffset>
                </wp:positionH>
                <wp:positionV relativeFrom="paragraph">
                  <wp:posOffset>191311</wp:posOffset>
                </wp:positionV>
                <wp:extent cx="59690" cy="59690"/>
                <wp:effectExtent l="0" t="0" r="0" b="0"/>
                <wp:wrapNone/>
                <wp:docPr id="143" name="Graphic 143"/>
                <wp:cNvGraphicFramePr>
                  <a:graphicFrameLocks/>
                </wp:cNvGraphicFramePr>
                <a:graphic>
                  <a:graphicData uri="http://schemas.microsoft.com/office/word/2010/wordprocessingShape">
                    <wps:wsp>
                      <wps:cNvPr id="143" name="Graphic 14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063912pt;width:4.7pt;height:4.7pt;mso-position-horizontal-relative:page;mso-position-vertical-relative:paragraph;z-index:15772672" id="docshape116" coordorigin="6350,301" coordsize="94,94" path="m6396,301l6378,305,6363,315,6353,330,6350,348,6353,366,6363,381,6378,391,6396,395,6414,391,6429,381,6439,366,6443,348,6439,330,6429,315,6414,305,6396,301xe" filled="true" fillcolor="#1a4796" stroked="false">
                <v:path arrowok="t"/>
                <v:fill type="solid"/>
                <w10:wrap type="none"/>
              </v:shape>
            </w:pict>
          </mc:Fallback>
        </mc:AlternateContent>
      </w:r>
      <w:r>
        <w:rPr>
          <w:b/>
          <w:color w:val="1A4796"/>
        </w:rPr>
        <w:t>El 19 de enero de 2023, </w:t>
      </w:r>
      <w:r>
        <w:rPr>
          <w:color w:val="231F20"/>
        </w:rPr>
        <w:t>en el marco de su visita oficial a la Isla, el Canciller de Hungría, Péter Szijjártó, </w:t>
      </w:r>
      <w:r>
        <w:rPr>
          <w:color w:val="231F20"/>
        </w:rPr>
        <w:t>realizó declaraciones a la prensa en rechazo a la política de bloqueo.</w:t>
      </w:r>
    </w:p>
    <w:p>
      <w:pPr>
        <w:pStyle w:val="BodyText"/>
        <w:spacing w:before="164"/>
        <w:ind w:left="671" w:right="1131"/>
      </w:pPr>
      <w:r>
        <w:rPr/>
        <mc:AlternateContent>
          <mc:Choice Requires="wps">
            <w:drawing>
              <wp:anchor distT="0" distB="0" distL="0" distR="0" allowOverlap="1" layoutInCell="1" locked="0" behindDoc="0" simplePos="0" relativeHeight="15773184">
                <wp:simplePos x="0" y="0"/>
                <wp:positionH relativeFrom="page">
                  <wp:posOffset>4031997</wp:posOffset>
                </wp:positionH>
                <wp:positionV relativeFrom="paragraph">
                  <wp:posOffset>186579</wp:posOffset>
                </wp:positionV>
                <wp:extent cx="59690" cy="59690"/>
                <wp:effectExtent l="0" t="0" r="0" b="0"/>
                <wp:wrapNone/>
                <wp:docPr id="144" name="Graphic 144"/>
                <wp:cNvGraphicFramePr>
                  <a:graphicFrameLocks/>
                </wp:cNvGraphicFramePr>
                <a:graphic>
                  <a:graphicData uri="http://schemas.microsoft.com/office/word/2010/wordprocessingShape">
                    <wps:wsp>
                      <wps:cNvPr id="144" name="Graphic 14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691325pt;width:4.7pt;height:4.7pt;mso-position-horizontal-relative:page;mso-position-vertical-relative:paragraph;z-index:15773184" id="docshape117" coordorigin="6350,294" coordsize="94,94" path="m6396,294l6378,297,6363,307,6353,322,6350,340,6353,359,6363,373,6378,383,6396,387,6414,383,6429,373,6439,359,6443,340,6439,322,6429,307,6414,297,6396,294xe" filled="true" fillcolor="#1a4796" stroked="false">
                <v:path arrowok="t"/>
                <v:fill type="solid"/>
                <w10:wrap type="none"/>
              </v:shape>
            </w:pict>
          </mc:Fallback>
        </mc:AlternateContent>
      </w:r>
      <w:r>
        <w:rPr>
          <w:b/>
          <w:color w:val="1A4796"/>
        </w:rPr>
        <w:t>El 24 de enero de 2023, </w:t>
      </w:r>
      <w:r>
        <w:rPr>
          <w:color w:val="231F20"/>
        </w:rPr>
        <w:t>en el marco de la VII Cumbre de Jefes de Estado y de Gobierno de la CELAC, celebrada en </w:t>
      </w:r>
      <w:r>
        <w:rPr>
          <w:color w:val="231F20"/>
          <w:spacing w:val="-2"/>
        </w:rPr>
        <w:t>Buenos</w:t>
      </w:r>
      <w:r>
        <w:rPr>
          <w:color w:val="231F20"/>
          <w:spacing w:val="-15"/>
        </w:rPr>
        <w:t> </w:t>
      </w:r>
      <w:r>
        <w:rPr>
          <w:color w:val="231F20"/>
          <w:spacing w:val="-2"/>
        </w:rPr>
        <w:t>Aires,</w:t>
      </w:r>
      <w:r>
        <w:rPr>
          <w:color w:val="231F20"/>
          <w:spacing w:val="-14"/>
        </w:rPr>
        <w:t> </w:t>
      </w:r>
      <w:r>
        <w:rPr>
          <w:color w:val="231F20"/>
          <w:spacing w:val="-2"/>
        </w:rPr>
        <w:t>se</w:t>
      </w:r>
      <w:r>
        <w:rPr>
          <w:color w:val="231F20"/>
          <w:spacing w:val="-15"/>
        </w:rPr>
        <w:t> </w:t>
      </w:r>
      <w:r>
        <w:rPr>
          <w:color w:val="231F20"/>
          <w:spacing w:val="-2"/>
        </w:rPr>
        <w:t>aprobó</w:t>
      </w:r>
      <w:r>
        <w:rPr>
          <w:color w:val="231F20"/>
          <w:spacing w:val="-14"/>
        </w:rPr>
        <w:t> </w:t>
      </w:r>
      <w:r>
        <w:rPr>
          <w:color w:val="231F20"/>
          <w:spacing w:val="-2"/>
        </w:rPr>
        <w:t>una</w:t>
      </w:r>
      <w:r>
        <w:rPr>
          <w:color w:val="231F20"/>
          <w:spacing w:val="-15"/>
        </w:rPr>
        <w:t> </w:t>
      </w:r>
      <w:r>
        <w:rPr>
          <w:color w:val="231F20"/>
          <w:spacing w:val="-2"/>
        </w:rPr>
        <w:t>declaración </w:t>
      </w:r>
      <w:r>
        <w:rPr>
          <w:color w:val="231F20"/>
        </w:rPr>
        <w:t>en la que se apoya el llamado de la Asamblea General de las Naciones Unidas a poner fin al bloqueo contra Cuba.</w:t>
      </w:r>
      <w:r>
        <w:rPr>
          <w:color w:val="231F20"/>
          <w:spacing w:val="-17"/>
        </w:rPr>
        <w:t> </w:t>
      </w:r>
      <w:r>
        <w:rPr>
          <w:color w:val="231F20"/>
        </w:rPr>
        <w:t>Asimismo,</w:t>
      </w:r>
      <w:r>
        <w:rPr>
          <w:color w:val="231F20"/>
          <w:spacing w:val="-16"/>
        </w:rPr>
        <w:t> </w:t>
      </w:r>
      <w:r>
        <w:rPr>
          <w:color w:val="231F20"/>
        </w:rPr>
        <w:t>se</w:t>
      </w:r>
      <w:r>
        <w:rPr>
          <w:color w:val="231F20"/>
          <w:spacing w:val="-17"/>
        </w:rPr>
        <w:t> </w:t>
      </w:r>
      <w:r>
        <w:rPr>
          <w:color w:val="231F20"/>
        </w:rPr>
        <w:t>rechazaron</w:t>
      </w:r>
      <w:r>
        <w:rPr>
          <w:color w:val="231F20"/>
          <w:spacing w:val="-16"/>
        </w:rPr>
        <w:t> </w:t>
      </w:r>
      <w:r>
        <w:rPr>
          <w:color w:val="231F20"/>
        </w:rPr>
        <w:t>las</w:t>
      </w:r>
      <w:r>
        <w:rPr>
          <w:color w:val="231F20"/>
          <w:spacing w:val="-17"/>
        </w:rPr>
        <w:t> </w:t>
      </w:r>
      <w:r>
        <w:rPr>
          <w:color w:val="231F20"/>
        </w:rPr>
        <w:t>listas </w:t>
      </w:r>
      <w:r>
        <w:rPr>
          <w:color w:val="231F20"/>
          <w:spacing w:val="-2"/>
        </w:rPr>
        <w:t>y</w:t>
      </w:r>
      <w:r>
        <w:rPr>
          <w:color w:val="231F20"/>
          <w:spacing w:val="-14"/>
        </w:rPr>
        <w:t> </w:t>
      </w:r>
      <w:r>
        <w:rPr>
          <w:color w:val="231F20"/>
          <w:spacing w:val="-2"/>
        </w:rPr>
        <w:t>certificaciones</w:t>
      </w:r>
      <w:r>
        <w:rPr>
          <w:color w:val="231F20"/>
          <w:spacing w:val="-14"/>
        </w:rPr>
        <w:t> </w:t>
      </w:r>
      <w:r>
        <w:rPr>
          <w:color w:val="231F20"/>
          <w:spacing w:val="-2"/>
        </w:rPr>
        <w:t>unilaterales</w:t>
      </w:r>
      <w:r>
        <w:rPr>
          <w:color w:val="231F20"/>
          <w:spacing w:val="-14"/>
        </w:rPr>
        <w:t> </w:t>
      </w:r>
      <w:r>
        <w:rPr>
          <w:color w:val="231F20"/>
          <w:spacing w:val="-2"/>
        </w:rPr>
        <w:t>que</w:t>
      </w:r>
      <w:r>
        <w:rPr>
          <w:color w:val="231F20"/>
          <w:spacing w:val="-14"/>
        </w:rPr>
        <w:t> </w:t>
      </w:r>
      <w:r>
        <w:rPr>
          <w:color w:val="231F20"/>
          <w:spacing w:val="-2"/>
        </w:rPr>
        <w:t>afectan a</w:t>
      </w:r>
      <w:r>
        <w:rPr>
          <w:color w:val="231F20"/>
          <w:spacing w:val="-14"/>
        </w:rPr>
        <w:t> </w:t>
      </w:r>
      <w:r>
        <w:rPr>
          <w:color w:val="231F20"/>
          <w:spacing w:val="-2"/>
        </w:rPr>
        <w:t>países</w:t>
      </w:r>
      <w:r>
        <w:rPr>
          <w:color w:val="231F20"/>
          <w:spacing w:val="-14"/>
        </w:rPr>
        <w:t> </w:t>
      </w:r>
      <w:r>
        <w:rPr>
          <w:color w:val="231F20"/>
          <w:spacing w:val="-2"/>
        </w:rPr>
        <w:t>de</w:t>
      </w:r>
      <w:r>
        <w:rPr>
          <w:color w:val="231F20"/>
          <w:spacing w:val="-14"/>
        </w:rPr>
        <w:t> </w:t>
      </w:r>
      <w:r>
        <w:rPr>
          <w:color w:val="231F20"/>
          <w:spacing w:val="-2"/>
        </w:rPr>
        <w:t>América</w:t>
      </w:r>
      <w:r>
        <w:rPr>
          <w:color w:val="231F20"/>
          <w:spacing w:val="-14"/>
        </w:rPr>
        <w:t> </w:t>
      </w:r>
      <w:r>
        <w:rPr>
          <w:color w:val="231F20"/>
          <w:spacing w:val="-2"/>
        </w:rPr>
        <w:t>Latina</w:t>
      </w:r>
      <w:r>
        <w:rPr>
          <w:color w:val="231F20"/>
          <w:spacing w:val="-14"/>
        </w:rPr>
        <w:t> </w:t>
      </w:r>
      <w:r>
        <w:rPr>
          <w:color w:val="231F20"/>
          <w:spacing w:val="-2"/>
        </w:rPr>
        <w:t>y</w:t>
      </w:r>
      <w:r>
        <w:rPr>
          <w:color w:val="231F20"/>
          <w:spacing w:val="-14"/>
        </w:rPr>
        <w:t> </w:t>
      </w:r>
      <w:r>
        <w:rPr>
          <w:color w:val="231F20"/>
          <w:spacing w:val="-2"/>
        </w:rPr>
        <w:t>el</w:t>
      </w:r>
      <w:r>
        <w:rPr>
          <w:color w:val="231F20"/>
          <w:spacing w:val="-14"/>
        </w:rPr>
        <w:t> </w:t>
      </w:r>
      <w:r>
        <w:rPr>
          <w:color w:val="231F20"/>
          <w:spacing w:val="-2"/>
        </w:rPr>
        <w:t>Caribe.</w:t>
      </w:r>
      <w:r>
        <w:rPr>
          <w:color w:val="231F20"/>
          <w:spacing w:val="-14"/>
        </w:rPr>
        <w:t> </w:t>
      </w:r>
      <w:r>
        <w:rPr>
          <w:color w:val="231F20"/>
          <w:spacing w:val="-2"/>
        </w:rPr>
        <w:t>Al respecto,</w:t>
      </w:r>
      <w:r>
        <w:rPr>
          <w:color w:val="231F20"/>
          <w:spacing w:val="-15"/>
        </w:rPr>
        <w:t> </w:t>
      </w:r>
      <w:r>
        <w:rPr>
          <w:color w:val="231F20"/>
          <w:spacing w:val="-2"/>
        </w:rPr>
        <w:t>se</w:t>
      </w:r>
      <w:r>
        <w:rPr>
          <w:color w:val="231F20"/>
          <w:spacing w:val="-14"/>
        </w:rPr>
        <w:t> </w:t>
      </w:r>
      <w:r>
        <w:rPr>
          <w:color w:val="231F20"/>
          <w:spacing w:val="-2"/>
        </w:rPr>
        <w:t>solicitó</w:t>
      </w:r>
      <w:r>
        <w:rPr>
          <w:color w:val="231F20"/>
          <w:spacing w:val="-15"/>
        </w:rPr>
        <w:t> </w:t>
      </w:r>
      <w:r>
        <w:rPr>
          <w:color w:val="231F20"/>
          <w:spacing w:val="-2"/>
        </w:rPr>
        <w:t>la</w:t>
      </w:r>
      <w:r>
        <w:rPr>
          <w:color w:val="231F20"/>
          <w:spacing w:val="-14"/>
        </w:rPr>
        <w:t> </w:t>
      </w:r>
      <w:r>
        <w:rPr>
          <w:color w:val="231F20"/>
          <w:spacing w:val="-2"/>
        </w:rPr>
        <w:t>exclusión</w:t>
      </w:r>
      <w:r>
        <w:rPr>
          <w:color w:val="231F20"/>
          <w:spacing w:val="-15"/>
        </w:rPr>
        <w:t> </w:t>
      </w:r>
      <w:r>
        <w:rPr>
          <w:color w:val="231F20"/>
          <w:spacing w:val="-2"/>
        </w:rPr>
        <w:t>de</w:t>
      </w:r>
      <w:r>
        <w:rPr>
          <w:color w:val="231F20"/>
          <w:spacing w:val="-14"/>
        </w:rPr>
        <w:t> </w:t>
      </w:r>
      <w:r>
        <w:rPr>
          <w:color w:val="231F20"/>
          <w:spacing w:val="-2"/>
        </w:rPr>
        <w:t>Cuba </w:t>
      </w:r>
      <w:r>
        <w:rPr>
          <w:color w:val="231F20"/>
        </w:rPr>
        <w:t>de la lista unilateral sobre países que </w:t>
      </w:r>
      <w:r>
        <w:rPr>
          <w:color w:val="231F20"/>
          <w:spacing w:val="-2"/>
        </w:rPr>
        <w:t>supuestamente</w:t>
      </w:r>
      <w:r>
        <w:rPr>
          <w:color w:val="231F20"/>
          <w:spacing w:val="-13"/>
        </w:rPr>
        <w:t> </w:t>
      </w:r>
      <w:r>
        <w:rPr>
          <w:color w:val="231F20"/>
          <w:spacing w:val="-2"/>
        </w:rPr>
        <w:t>patrocinan</w:t>
      </w:r>
      <w:r>
        <w:rPr>
          <w:color w:val="231F20"/>
          <w:spacing w:val="-13"/>
        </w:rPr>
        <w:t> </w:t>
      </w:r>
      <w:r>
        <w:rPr>
          <w:color w:val="231F20"/>
          <w:spacing w:val="-2"/>
        </w:rPr>
        <w:t>el</w:t>
      </w:r>
      <w:r>
        <w:rPr>
          <w:color w:val="231F20"/>
          <w:spacing w:val="-13"/>
        </w:rPr>
        <w:t> </w:t>
      </w:r>
      <w:r>
        <w:rPr>
          <w:color w:val="231F20"/>
          <w:spacing w:val="-2"/>
        </w:rPr>
        <w:t>terrorismo </w:t>
      </w:r>
      <w:r>
        <w:rPr>
          <w:color w:val="231F20"/>
        </w:rPr>
        <w:t>internacional. Adicionalmente, se aprobó</w:t>
      </w:r>
      <w:r>
        <w:rPr>
          <w:color w:val="231F20"/>
          <w:spacing w:val="-14"/>
        </w:rPr>
        <w:t> </w:t>
      </w:r>
      <w:r>
        <w:rPr>
          <w:color w:val="231F20"/>
        </w:rPr>
        <w:t>una</w:t>
      </w:r>
      <w:r>
        <w:rPr>
          <w:color w:val="231F20"/>
          <w:spacing w:val="-14"/>
        </w:rPr>
        <w:t> </w:t>
      </w:r>
      <w:r>
        <w:rPr>
          <w:color w:val="231F20"/>
        </w:rPr>
        <w:t>“Declaración</w:t>
      </w:r>
      <w:r>
        <w:rPr>
          <w:color w:val="231F20"/>
          <w:spacing w:val="-14"/>
        </w:rPr>
        <w:t> </w:t>
      </w:r>
      <w:r>
        <w:rPr>
          <w:color w:val="231F20"/>
        </w:rPr>
        <w:t>Especial</w:t>
      </w:r>
      <w:r>
        <w:rPr>
          <w:color w:val="231F20"/>
          <w:spacing w:val="-14"/>
        </w:rPr>
        <w:t> </w:t>
      </w:r>
      <w:r>
        <w:rPr>
          <w:color w:val="231F20"/>
        </w:rPr>
        <w:t>sobre la necesidad de poner fin al bloqueo económico, comercial y financiero de los Estados Unidos de América contra Cuba”</w:t>
      </w:r>
      <w:r>
        <w:rPr>
          <w:color w:val="231F20"/>
          <w:spacing w:val="-17"/>
        </w:rPr>
        <w:t> </w:t>
      </w:r>
      <w:r>
        <w:rPr>
          <w:color w:val="231F20"/>
        </w:rPr>
        <w:t>y</w:t>
      </w:r>
      <w:r>
        <w:rPr>
          <w:color w:val="231F20"/>
          <w:spacing w:val="-16"/>
        </w:rPr>
        <w:t> </w:t>
      </w:r>
      <w:r>
        <w:rPr>
          <w:color w:val="231F20"/>
        </w:rPr>
        <w:t>una</w:t>
      </w:r>
      <w:r>
        <w:rPr>
          <w:color w:val="231F20"/>
          <w:spacing w:val="-17"/>
        </w:rPr>
        <w:t> </w:t>
      </w:r>
      <w:r>
        <w:rPr>
          <w:color w:val="231F20"/>
        </w:rPr>
        <w:t>“Declaración</w:t>
      </w:r>
      <w:r>
        <w:rPr>
          <w:color w:val="231F20"/>
          <w:spacing w:val="-16"/>
        </w:rPr>
        <w:t> </w:t>
      </w:r>
      <w:r>
        <w:rPr>
          <w:color w:val="231F20"/>
        </w:rPr>
        <w:t>Especial</w:t>
      </w:r>
      <w:r>
        <w:rPr>
          <w:color w:val="231F20"/>
          <w:spacing w:val="-17"/>
        </w:rPr>
        <w:t> </w:t>
      </w:r>
      <w:r>
        <w:rPr>
          <w:color w:val="231F20"/>
        </w:rPr>
        <w:t>sobre apoyo</w:t>
      </w:r>
      <w:r>
        <w:rPr>
          <w:color w:val="231F20"/>
          <w:spacing w:val="-12"/>
        </w:rPr>
        <w:t> </w:t>
      </w:r>
      <w:r>
        <w:rPr>
          <w:color w:val="231F20"/>
        </w:rPr>
        <w:t>a</w:t>
      </w:r>
      <w:r>
        <w:rPr>
          <w:color w:val="231F20"/>
          <w:spacing w:val="-12"/>
        </w:rPr>
        <w:t> </w:t>
      </w:r>
      <w:r>
        <w:rPr>
          <w:color w:val="231F20"/>
        </w:rPr>
        <w:t>la</w:t>
      </w:r>
      <w:r>
        <w:rPr>
          <w:color w:val="231F20"/>
          <w:spacing w:val="-12"/>
        </w:rPr>
        <w:t> </w:t>
      </w:r>
      <w:r>
        <w:rPr>
          <w:color w:val="231F20"/>
        </w:rPr>
        <w:t>lucha</w:t>
      </w:r>
      <w:r>
        <w:rPr>
          <w:color w:val="231F20"/>
          <w:spacing w:val="-12"/>
        </w:rPr>
        <w:t> </w:t>
      </w:r>
      <w:r>
        <w:rPr>
          <w:color w:val="231F20"/>
        </w:rPr>
        <w:t>contra</w:t>
      </w:r>
      <w:r>
        <w:rPr>
          <w:color w:val="231F20"/>
          <w:spacing w:val="-12"/>
        </w:rPr>
        <w:t> </w:t>
      </w:r>
      <w:r>
        <w:rPr>
          <w:color w:val="231F20"/>
        </w:rPr>
        <w:t>el</w:t>
      </w:r>
      <w:r>
        <w:rPr>
          <w:color w:val="231F20"/>
          <w:spacing w:val="-12"/>
        </w:rPr>
        <w:t> </w:t>
      </w:r>
      <w:r>
        <w:rPr>
          <w:color w:val="231F20"/>
        </w:rPr>
        <w:t>terrorismo</w:t>
      </w:r>
      <w:r>
        <w:rPr>
          <w:color w:val="231F20"/>
          <w:spacing w:val="-12"/>
        </w:rPr>
        <w:t> </w:t>
      </w:r>
      <w:r>
        <w:rPr>
          <w:color w:val="231F20"/>
        </w:rPr>
        <w:t>en todas</w:t>
      </w:r>
      <w:r>
        <w:rPr>
          <w:color w:val="231F20"/>
          <w:spacing w:val="-15"/>
        </w:rPr>
        <w:t> </w:t>
      </w:r>
      <w:r>
        <w:rPr>
          <w:color w:val="231F20"/>
        </w:rPr>
        <w:t>sus</w:t>
      </w:r>
      <w:r>
        <w:rPr>
          <w:color w:val="231F20"/>
          <w:spacing w:val="-15"/>
        </w:rPr>
        <w:t> </w:t>
      </w:r>
      <w:r>
        <w:rPr>
          <w:color w:val="231F20"/>
        </w:rPr>
        <w:t>formas</w:t>
      </w:r>
      <w:r>
        <w:rPr>
          <w:color w:val="231F20"/>
          <w:spacing w:val="-15"/>
        </w:rPr>
        <w:t> </w:t>
      </w:r>
      <w:r>
        <w:rPr>
          <w:color w:val="231F20"/>
        </w:rPr>
        <w:t>y</w:t>
      </w:r>
      <w:r>
        <w:rPr>
          <w:color w:val="231F20"/>
          <w:spacing w:val="-15"/>
        </w:rPr>
        <w:t> </w:t>
      </w:r>
      <w:r>
        <w:rPr>
          <w:color w:val="231F20"/>
        </w:rPr>
        <w:t>manifestaciones”.</w:t>
      </w:r>
      <w:r>
        <w:rPr>
          <w:color w:val="231F20"/>
          <w:spacing w:val="-15"/>
        </w:rPr>
        <w:t> </w:t>
      </w:r>
      <w:r>
        <w:rPr>
          <w:color w:val="231F20"/>
        </w:rPr>
        <w:t>En esta</w:t>
      </w:r>
      <w:r>
        <w:rPr>
          <w:color w:val="231F20"/>
          <w:spacing w:val="-1"/>
        </w:rPr>
        <w:t> </w:t>
      </w:r>
      <w:r>
        <w:rPr>
          <w:color w:val="231F20"/>
        </w:rPr>
        <w:t>última,</w:t>
      </w:r>
      <w:r>
        <w:rPr>
          <w:color w:val="231F20"/>
          <w:spacing w:val="-1"/>
        </w:rPr>
        <w:t> </w:t>
      </w:r>
      <w:r>
        <w:rPr>
          <w:color w:val="231F20"/>
        </w:rPr>
        <w:t>se</w:t>
      </w:r>
      <w:r>
        <w:rPr>
          <w:color w:val="231F20"/>
          <w:spacing w:val="-1"/>
        </w:rPr>
        <w:t> </w:t>
      </w:r>
      <w:r>
        <w:rPr>
          <w:color w:val="231F20"/>
        </w:rPr>
        <w:t>reitera</w:t>
      </w:r>
      <w:r>
        <w:rPr>
          <w:color w:val="231F20"/>
          <w:spacing w:val="-1"/>
        </w:rPr>
        <w:t> </w:t>
      </w:r>
      <w:r>
        <w:rPr>
          <w:color w:val="231F20"/>
        </w:rPr>
        <w:t>la</w:t>
      </w:r>
      <w:r>
        <w:rPr>
          <w:color w:val="231F20"/>
          <w:spacing w:val="-1"/>
        </w:rPr>
        <w:t> </w:t>
      </w:r>
      <w:r>
        <w:rPr>
          <w:color w:val="231F20"/>
        </w:rPr>
        <w:t>demanda</w:t>
      </w:r>
      <w:r>
        <w:rPr>
          <w:color w:val="231F20"/>
          <w:spacing w:val="-1"/>
        </w:rPr>
        <w:t> </w:t>
      </w:r>
      <w:r>
        <w:rPr>
          <w:color w:val="231F20"/>
        </w:rPr>
        <w:t>de</w:t>
      </w:r>
      <w:r>
        <w:rPr>
          <w:color w:val="231F20"/>
          <w:spacing w:val="-1"/>
        </w:rPr>
        <w:t> </w:t>
      </w:r>
      <w:r>
        <w:rPr>
          <w:color w:val="231F20"/>
        </w:rPr>
        <w:t>la exclusión de Cuba de la Lista de países patrocinadores del terrorismo.</w:t>
      </w:r>
    </w:p>
    <w:p>
      <w:pPr>
        <w:spacing w:after="0"/>
        <w:sectPr>
          <w:pgSz w:w="11910" w:h="16840"/>
          <w:pgMar w:header="0" w:footer="695" w:top="1260" w:bottom="880" w:left="0" w:right="0"/>
          <w:cols w:num="2" w:equalWidth="0">
            <w:col w:w="5899" w:space="40"/>
            <w:col w:w="5971"/>
          </w:cols>
        </w:sectPr>
      </w:pPr>
    </w:p>
    <w:p>
      <w:pPr>
        <w:pStyle w:val="BodyText"/>
        <w:spacing w:before="77"/>
        <w:ind w:left="1394"/>
      </w:pPr>
      <w:r>
        <w:rPr/>
        <mc:AlternateContent>
          <mc:Choice Requires="wps">
            <w:drawing>
              <wp:anchor distT="0" distB="0" distL="0" distR="0" allowOverlap="1" layoutInCell="1" locked="0" behindDoc="0" simplePos="0" relativeHeight="15775232">
                <wp:simplePos x="0" y="0"/>
                <wp:positionH relativeFrom="page">
                  <wp:posOffset>719997</wp:posOffset>
                </wp:positionH>
                <wp:positionV relativeFrom="paragraph">
                  <wp:posOffset>133925</wp:posOffset>
                </wp:positionV>
                <wp:extent cx="59690" cy="59690"/>
                <wp:effectExtent l="0" t="0" r="0" b="0"/>
                <wp:wrapNone/>
                <wp:docPr id="145" name="Graphic 145"/>
                <wp:cNvGraphicFramePr>
                  <a:graphicFrameLocks/>
                </wp:cNvGraphicFramePr>
                <a:graphic>
                  <a:graphicData uri="http://schemas.microsoft.com/office/word/2010/wordprocessingShape">
                    <wps:wsp>
                      <wps:cNvPr id="145" name="Graphic 14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0.54530pt;width:4.7pt;height:4.7pt;mso-position-horizontal-relative:page;mso-position-vertical-relative:paragraph;z-index:15775232" id="docshape118" coordorigin="1134,211" coordsize="94,94" path="m1180,211l1162,215,1148,225,1138,239,1134,258,1138,276,1148,290,1162,300,1180,304,1199,300,1213,290,1223,276,1227,258,1223,239,1213,225,1199,215,1180,211xe" filled="true" fillcolor="#1a4796" stroked="false">
                <v:path arrowok="t"/>
                <v:fill type="solid"/>
                <w10:wrap type="none"/>
              </v:shape>
            </w:pict>
          </mc:Fallback>
        </mc:AlternateContent>
      </w:r>
      <w:r>
        <w:rPr>
          <w:b/>
          <w:color w:val="1A4796"/>
        </w:rPr>
        <w:t>El 19 de febrero de 2023, </w:t>
      </w:r>
      <w:r>
        <w:rPr>
          <w:color w:val="231F20"/>
        </w:rPr>
        <w:t>en la 36ª </w:t>
      </w:r>
      <w:r>
        <w:rPr>
          <w:color w:val="231F20"/>
          <w:spacing w:val="-8"/>
        </w:rPr>
        <w:t>Cumbre de Jefes de Estado y de </w:t>
      </w:r>
      <w:r>
        <w:rPr>
          <w:color w:val="231F20"/>
          <w:spacing w:val="-8"/>
        </w:rPr>
        <w:t>Gobierno </w:t>
      </w:r>
      <w:r>
        <w:rPr>
          <w:color w:val="231F20"/>
        </w:rPr>
        <w:t>de</w:t>
      </w:r>
      <w:r>
        <w:rPr>
          <w:color w:val="231F20"/>
          <w:spacing w:val="-5"/>
        </w:rPr>
        <w:t> </w:t>
      </w:r>
      <w:r>
        <w:rPr>
          <w:color w:val="231F20"/>
        </w:rPr>
        <w:t>la</w:t>
      </w:r>
      <w:r>
        <w:rPr>
          <w:color w:val="231F20"/>
          <w:spacing w:val="-5"/>
        </w:rPr>
        <w:t> </w:t>
      </w:r>
      <w:r>
        <w:rPr>
          <w:color w:val="231F20"/>
        </w:rPr>
        <w:t>Unión</w:t>
      </w:r>
      <w:r>
        <w:rPr>
          <w:color w:val="231F20"/>
          <w:spacing w:val="-5"/>
        </w:rPr>
        <w:t> </w:t>
      </w:r>
      <w:r>
        <w:rPr>
          <w:color w:val="231F20"/>
        </w:rPr>
        <w:t>Africana</w:t>
      </w:r>
      <w:r>
        <w:rPr>
          <w:color w:val="231F20"/>
          <w:spacing w:val="-5"/>
        </w:rPr>
        <w:t> </w:t>
      </w:r>
      <w:r>
        <w:rPr>
          <w:color w:val="231F20"/>
        </w:rPr>
        <w:t>(UA),</w:t>
      </w:r>
      <w:r>
        <w:rPr>
          <w:color w:val="231F20"/>
          <w:spacing w:val="-5"/>
        </w:rPr>
        <w:t> </w:t>
      </w:r>
      <w:r>
        <w:rPr>
          <w:color w:val="231F20"/>
        </w:rPr>
        <w:t>celebrada</w:t>
      </w:r>
      <w:r>
        <w:rPr>
          <w:color w:val="231F20"/>
          <w:spacing w:val="-5"/>
        </w:rPr>
        <w:t> </w:t>
      </w:r>
      <w:r>
        <w:rPr>
          <w:color w:val="231F20"/>
        </w:rPr>
        <w:t>en Addis Abeba, Etiopía, se aprobó, por décimo</w:t>
      </w:r>
      <w:r>
        <w:rPr>
          <w:color w:val="231F20"/>
          <w:spacing w:val="80"/>
        </w:rPr>
        <w:t> </w:t>
      </w:r>
      <w:r>
        <w:rPr>
          <w:color w:val="231F20"/>
        </w:rPr>
        <w:t>cuarta</w:t>
      </w:r>
      <w:r>
        <w:rPr>
          <w:color w:val="231F20"/>
          <w:spacing w:val="80"/>
        </w:rPr>
        <w:t> </w:t>
      </w:r>
      <w:r>
        <w:rPr>
          <w:color w:val="231F20"/>
        </w:rPr>
        <w:t>ocasión</w:t>
      </w:r>
      <w:r>
        <w:rPr>
          <w:color w:val="231F20"/>
          <w:spacing w:val="80"/>
        </w:rPr>
        <w:t> </w:t>
      </w:r>
      <w:r>
        <w:rPr>
          <w:color w:val="231F20"/>
        </w:rPr>
        <w:t>consecutiva, la “Resolución sobre el levantamiento del</w:t>
      </w:r>
      <w:r>
        <w:rPr>
          <w:color w:val="231F20"/>
          <w:spacing w:val="80"/>
          <w:w w:val="150"/>
        </w:rPr>
        <w:t> </w:t>
      </w:r>
      <w:r>
        <w:rPr>
          <w:color w:val="231F20"/>
        </w:rPr>
        <w:t>bloqueo</w:t>
      </w:r>
      <w:r>
        <w:rPr>
          <w:color w:val="231F20"/>
          <w:spacing w:val="80"/>
          <w:w w:val="150"/>
        </w:rPr>
        <w:t> </w:t>
      </w:r>
      <w:r>
        <w:rPr>
          <w:color w:val="231F20"/>
        </w:rPr>
        <w:t>económico,</w:t>
      </w:r>
      <w:r>
        <w:rPr>
          <w:color w:val="231F20"/>
          <w:spacing w:val="80"/>
          <w:w w:val="150"/>
        </w:rPr>
        <w:t> </w:t>
      </w:r>
      <w:r>
        <w:rPr>
          <w:color w:val="231F20"/>
        </w:rPr>
        <w:t>comercial</w:t>
      </w:r>
      <w:r>
        <w:rPr>
          <w:color w:val="231F20"/>
          <w:spacing w:val="40"/>
        </w:rPr>
        <w:t> </w:t>
      </w:r>
      <w:r>
        <w:rPr>
          <w:color w:val="231F20"/>
        </w:rPr>
        <w:t>y financiero impuesto a la República</w:t>
      </w:r>
      <w:r>
        <w:rPr>
          <w:color w:val="231F20"/>
          <w:spacing w:val="80"/>
        </w:rPr>
        <w:t> </w:t>
      </w:r>
      <w:r>
        <w:rPr>
          <w:color w:val="231F20"/>
        </w:rPr>
        <w:t>de Cuba por los Estados Unidos de América”. El texto expresa profunda preocupación por la continuidad del bloqueo</w:t>
      </w:r>
      <w:r>
        <w:rPr>
          <w:color w:val="231F20"/>
          <w:spacing w:val="-7"/>
        </w:rPr>
        <w:t> </w:t>
      </w:r>
      <w:r>
        <w:rPr>
          <w:color w:val="231F20"/>
        </w:rPr>
        <w:t>y</w:t>
      </w:r>
      <w:r>
        <w:rPr>
          <w:color w:val="231F20"/>
          <w:spacing w:val="-7"/>
        </w:rPr>
        <w:t> </w:t>
      </w:r>
      <w:r>
        <w:rPr>
          <w:color w:val="231F20"/>
        </w:rPr>
        <w:t>reitera</w:t>
      </w:r>
      <w:r>
        <w:rPr>
          <w:color w:val="231F20"/>
          <w:spacing w:val="-7"/>
        </w:rPr>
        <w:t> </w:t>
      </w:r>
      <w:r>
        <w:rPr>
          <w:color w:val="231F20"/>
        </w:rPr>
        <w:t>el</w:t>
      </w:r>
      <w:r>
        <w:rPr>
          <w:color w:val="231F20"/>
          <w:spacing w:val="-7"/>
        </w:rPr>
        <w:t> </w:t>
      </w:r>
      <w:r>
        <w:rPr>
          <w:color w:val="231F20"/>
        </w:rPr>
        <w:t>apoyo</w:t>
      </w:r>
      <w:r>
        <w:rPr>
          <w:color w:val="231F20"/>
          <w:spacing w:val="-7"/>
        </w:rPr>
        <w:t> </w:t>
      </w:r>
      <w:r>
        <w:rPr>
          <w:color w:val="231F20"/>
        </w:rPr>
        <w:t>de</w:t>
      </w:r>
      <w:r>
        <w:rPr>
          <w:color w:val="231F20"/>
          <w:spacing w:val="-7"/>
        </w:rPr>
        <w:t> </w:t>
      </w:r>
      <w:r>
        <w:rPr>
          <w:color w:val="231F20"/>
        </w:rPr>
        <w:t>la</w:t>
      </w:r>
      <w:r>
        <w:rPr>
          <w:color w:val="231F20"/>
          <w:spacing w:val="-7"/>
        </w:rPr>
        <w:t> </w:t>
      </w:r>
      <w:r>
        <w:rPr>
          <w:color w:val="231F20"/>
        </w:rPr>
        <w:t>UA</w:t>
      </w:r>
      <w:r>
        <w:rPr>
          <w:color w:val="231F20"/>
          <w:spacing w:val="-7"/>
        </w:rPr>
        <w:t> </w:t>
      </w:r>
      <w:r>
        <w:rPr>
          <w:color w:val="231F20"/>
        </w:rPr>
        <w:t>a</w:t>
      </w:r>
      <w:r>
        <w:rPr>
          <w:color w:val="231F20"/>
          <w:spacing w:val="-7"/>
        </w:rPr>
        <w:t> </w:t>
      </w:r>
      <w:r>
        <w:rPr>
          <w:color w:val="231F20"/>
        </w:rPr>
        <w:t>la resolución que sobre el tema aprueba cada año la Asamblea General de las Naciones Unidas. Asimismo, lamenta</w:t>
      </w:r>
      <w:r>
        <w:rPr>
          <w:color w:val="231F20"/>
          <w:spacing w:val="80"/>
        </w:rPr>
        <w:t> </w:t>
      </w:r>
      <w:r>
        <w:rPr>
          <w:color w:val="231F20"/>
        </w:rPr>
        <w:t>el retroceso experimentado en las relaciones entre Cuba y los Estados Unidos y llama a este último país a levantar</w:t>
      </w:r>
      <w:r>
        <w:rPr>
          <w:color w:val="231F20"/>
          <w:spacing w:val="-17"/>
        </w:rPr>
        <w:t> </w:t>
      </w:r>
      <w:r>
        <w:rPr>
          <w:color w:val="231F20"/>
        </w:rPr>
        <w:t>las</w:t>
      </w:r>
      <w:r>
        <w:rPr>
          <w:color w:val="231F20"/>
          <w:spacing w:val="-16"/>
        </w:rPr>
        <w:t> </w:t>
      </w:r>
      <w:r>
        <w:rPr>
          <w:color w:val="231F20"/>
        </w:rPr>
        <w:t>injustificadas</w:t>
      </w:r>
      <w:r>
        <w:rPr>
          <w:color w:val="231F20"/>
          <w:spacing w:val="-17"/>
        </w:rPr>
        <w:t> </w:t>
      </w:r>
      <w:r>
        <w:rPr>
          <w:color w:val="231F20"/>
        </w:rPr>
        <w:t>y</w:t>
      </w:r>
      <w:r>
        <w:rPr>
          <w:color w:val="231F20"/>
          <w:spacing w:val="-16"/>
        </w:rPr>
        <w:t> </w:t>
      </w:r>
      <w:r>
        <w:rPr>
          <w:color w:val="231F20"/>
        </w:rPr>
        <w:t>prolongadas </w:t>
      </w:r>
      <w:r>
        <w:rPr>
          <w:color w:val="231F20"/>
          <w:spacing w:val="-2"/>
        </w:rPr>
        <w:t>sanciones.</w:t>
      </w:r>
      <w:r>
        <w:rPr>
          <w:color w:val="231F20"/>
          <w:spacing w:val="-15"/>
        </w:rPr>
        <w:t> </w:t>
      </w:r>
      <w:r>
        <w:rPr>
          <w:color w:val="231F20"/>
          <w:spacing w:val="-2"/>
        </w:rPr>
        <w:t>También</w:t>
      </w:r>
      <w:r>
        <w:rPr>
          <w:color w:val="231F20"/>
          <w:spacing w:val="-14"/>
        </w:rPr>
        <w:t> </w:t>
      </w:r>
      <w:r>
        <w:rPr>
          <w:color w:val="231F20"/>
          <w:spacing w:val="-2"/>
        </w:rPr>
        <w:t>denuncia</w:t>
      </w:r>
      <w:r>
        <w:rPr>
          <w:color w:val="231F20"/>
          <w:spacing w:val="-15"/>
        </w:rPr>
        <w:t> </w:t>
      </w:r>
      <w:r>
        <w:rPr>
          <w:color w:val="231F20"/>
          <w:spacing w:val="-2"/>
        </w:rPr>
        <w:t>el</w:t>
      </w:r>
      <w:r>
        <w:rPr>
          <w:color w:val="231F20"/>
          <w:spacing w:val="-14"/>
        </w:rPr>
        <w:t> </w:t>
      </w:r>
      <w:r>
        <w:rPr>
          <w:color w:val="231F20"/>
          <w:spacing w:val="-2"/>
        </w:rPr>
        <w:t>impacto </w:t>
      </w:r>
      <w:r>
        <w:rPr>
          <w:color w:val="231F20"/>
        </w:rPr>
        <w:t>negativo</w:t>
      </w:r>
      <w:r>
        <w:rPr>
          <w:color w:val="231F20"/>
          <w:spacing w:val="-16"/>
        </w:rPr>
        <w:t> </w:t>
      </w:r>
      <w:r>
        <w:rPr>
          <w:color w:val="231F20"/>
        </w:rPr>
        <w:t>de</w:t>
      </w:r>
      <w:r>
        <w:rPr>
          <w:color w:val="231F20"/>
          <w:spacing w:val="-16"/>
        </w:rPr>
        <w:t> </w:t>
      </w:r>
      <w:r>
        <w:rPr>
          <w:color w:val="231F20"/>
        </w:rPr>
        <w:t>la</w:t>
      </w:r>
      <w:r>
        <w:rPr>
          <w:color w:val="231F20"/>
          <w:spacing w:val="-16"/>
        </w:rPr>
        <w:t> </w:t>
      </w:r>
      <w:r>
        <w:rPr>
          <w:color w:val="231F20"/>
        </w:rPr>
        <w:t>aplicación</w:t>
      </w:r>
      <w:r>
        <w:rPr>
          <w:color w:val="231F20"/>
          <w:spacing w:val="-16"/>
        </w:rPr>
        <w:t> </w:t>
      </w:r>
      <w:r>
        <w:rPr>
          <w:color w:val="231F20"/>
        </w:rPr>
        <w:t>extraterritorial de la Ley Helms Burton, en especial, la completa implementación de su Título III, así como el impacto agravado del bloqueo</w:t>
      </w:r>
      <w:r>
        <w:rPr>
          <w:color w:val="231F20"/>
          <w:spacing w:val="-17"/>
        </w:rPr>
        <w:t> </w:t>
      </w:r>
      <w:r>
        <w:rPr>
          <w:color w:val="231F20"/>
        </w:rPr>
        <w:t>en</w:t>
      </w:r>
      <w:r>
        <w:rPr>
          <w:color w:val="231F20"/>
          <w:spacing w:val="-16"/>
        </w:rPr>
        <w:t> </w:t>
      </w:r>
      <w:r>
        <w:rPr>
          <w:color w:val="231F20"/>
        </w:rPr>
        <w:t>el</w:t>
      </w:r>
      <w:r>
        <w:rPr>
          <w:color w:val="231F20"/>
          <w:spacing w:val="-17"/>
        </w:rPr>
        <w:t> </w:t>
      </w:r>
      <w:r>
        <w:rPr>
          <w:color w:val="231F20"/>
        </w:rPr>
        <w:t>contexto</w:t>
      </w:r>
      <w:r>
        <w:rPr>
          <w:color w:val="231F20"/>
          <w:spacing w:val="-16"/>
        </w:rPr>
        <w:t> </w:t>
      </w:r>
      <w:r>
        <w:rPr>
          <w:color w:val="231F20"/>
        </w:rPr>
        <w:t>de</w:t>
      </w:r>
      <w:r>
        <w:rPr>
          <w:color w:val="231F20"/>
          <w:spacing w:val="-17"/>
        </w:rPr>
        <w:t> </w:t>
      </w:r>
      <w:r>
        <w:rPr>
          <w:color w:val="231F20"/>
        </w:rPr>
        <w:t>recuperación </w:t>
      </w:r>
      <w:r>
        <w:rPr>
          <w:color w:val="231F20"/>
          <w:spacing w:val="-2"/>
        </w:rPr>
        <w:t>post-pandemia.</w:t>
      </w:r>
    </w:p>
    <w:p>
      <w:pPr>
        <w:pStyle w:val="BodyText"/>
        <w:spacing w:before="180"/>
        <w:ind w:left="1394"/>
      </w:pPr>
      <w:r>
        <w:rPr/>
        <mc:AlternateContent>
          <mc:Choice Requires="wps">
            <w:drawing>
              <wp:anchor distT="0" distB="0" distL="0" distR="0" allowOverlap="1" layoutInCell="1" locked="0" behindDoc="0" simplePos="0" relativeHeight="15773696">
                <wp:simplePos x="0" y="0"/>
                <wp:positionH relativeFrom="page">
                  <wp:posOffset>719997</wp:posOffset>
                </wp:positionH>
                <wp:positionV relativeFrom="paragraph">
                  <wp:posOffset>197481</wp:posOffset>
                </wp:positionV>
                <wp:extent cx="59690" cy="59690"/>
                <wp:effectExtent l="0" t="0" r="0" b="0"/>
                <wp:wrapNone/>
                <wp:docPr id="146" name="Graphic 146"/>
                <wp:cNvGraphicFramePr>
                  <a:graphicFrameLocks/>
                </wp:cNvGraphicFramePr>
                <a:graphic>
                  <a:graphicData uri="http://schemas.microsoft.com/office/word/2010/wordprocessingShape">
                    <wps:wsp>
                      <wps:cNvPr id="146" name="Graphic 14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5.549725pt;width:4.7pt;height:4.7pt;mso-position-horizontal-relative:page;mso-position-vertical-relative:paragraph;z-index:15773696" id="docshape119" coordorigin="1134,311" coordsize="94,94" path="m1180,311l1162,315,1148,325,1138,339,1134,358,1138,376,1148,391,1162,401,1180,404,1199,401,1213,391,1223,376,1227,358,1223,339,1213,325,1199,315,1180,311xe" filled="true" fillcolor="#1a4796" stroked="false">
                <v:path arrowok="t"/>
                <v:fill type="solid"/>
                <w10:wrap type="none"/>
              </v:shape>
            </w:pict>
          </mc:Fallback>
        </mc:AlternateContent>
      </w:r>
      <w:r>
        <w:rPr>
          <w:b/>
          <w:color w:val="1A4796"/>
        </w:rPr>
        <w:t>El 7 de marzo de 2023, </w:t>
      </w:r>
      <w:r>
        <w:rPr>
          <w:color w:val="231F20"/>
        </w:rPr>
        <w:t>el Partido Comunista Británico emitió una declaración rechazando la inclusión de </w:t>
      </w:r>
      <w:r>
        <w:rPr>
          <w:color w:val="231F20"/>
          <w:spacing w:val="-8"/>
        </w:rPr>
        <w:t>Cuba</w:t>
      </w:r>
      <w:r>
        <w:rPr>
          <w:color w:val="231F20"/>
          <w:spacing w:val="-9"/>
        </w:rPr>
        <w:t> </w:t>
      </w:r>
      <w:r>
        <w:rPr>
          <w:color w:val="231F20"/>
          <w:spacing w:val="-8"/>
        </w:rPr>
        <w:t>en la</w:t>
      </w:r>
      <w:r>
        <w:rPr>
          <w:color w:val="231F20"/>
          <w:spacing w:val="-9"/>
        </w:rPr>
        <w:t> </w:t>
      </w:r>
      <w:r>
        <w:rPr>
          <w:color w:val="231F20"/>
          <w:spacing w:val="-8"/>
        </w:rPr>
        <w:t>lista de</w:t>
      </w:r>
      <w:r>
        <w:rPr>
          <w:color w:val="231F20"/>
          <w:spacing w:val="-9"/>
        </w:rPr>
        <w:t> </w:t>
      </w:r>
      <w:r>
        <w:rPr>
          <w:color w:val="231F20"/>
          <w:spacing w:val="-8"/>
        </w:rPr>
        <w:t>Estados patrocinadores </w:t>
      </w:r>
      <w:r>
        <w:rPr>
          <w:color w:val="231F20"/>
        </w:rPr>
        <w:t>del terrorismo.</w:t>
      </w:r>
    </w:p>
    <w:p>
      <w:pPr>
        <w:pStyle w:val="BodyText"/>
        <w:spacing w:before="164"/>
        <w:ind w:left="1394"/>
      </w:pPr>
      <w:r>
        <w:rPr/>
        <mc:AlternateContent>
          <mc:Choice Requires="wps">
            <w:drawing>
              <wp:anchor distT="0" distB="0" distL="0" distR="0" allowOverlap="1" layoutInCell="1" locked="0" behindDoc="0" simplePos="0" relativeHeight="15774208">
                <wp:simplePos x="0" y="0"/>
                <wp:positionH relativeFrom="page">
                  <wp:posOffset>719997</wp:posOffset>
                </wp:positionH>
                <wp:positionV relativeFrom="paragraph">
                  <wp:posOffset>186347</wp:posOffset>
                </wp:positionV>
                <wp:extent cx="59690" cy="59690"/>
                <wp:effectExtent l="0" t="0" r="0" b="0"/>
                <wp:wrapNone/>
                <wp:docPr id="147" name="Graphic 147"/>
                <wp:cNvGraphicFramePr>
                  <a:graphicFrameLocks/>
                </wp:cNvGraphicFramePr>
                <a:graphic>
                  <a:graphicData uri="http://schemas.microsoft.com/office/word/2010/wordprocessingShape">
                    <wps:wsp>
                      <wps:cNvPr id="147" name="Graphic 14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673038pt;width:4.7pt;height:4.7pt;mso-position-horizontal-relative:page;mso-position-vertical-relative:paragraph;z-index:15774208" id="docshape120" coordorigin="1134,293" coordsize="94,94" path="m1180,293l1162,297,1148,307,1138,322,1134,340,1138,358,1148,373,1162,383,1180,387,1199,383,1213,373,1223,358,1227,340,1223,322,1213,307,1199,297,1180,293xe" filled="true" fillcolor="#1a4796" stroked="false">
                <v:path arrowok="t"/>
                <v:fill type="solid"/>
                <w10:wrap type="none"/>
              </v:shape>
            </w:pict>
          </mc:Fallback>
        </mc:AlternateContent>
      </w:r>
      <w:r>
        <w:rPr>
          <w:b/>
          <w:color w:val="1A4796"/>
        </w:rPr>
        <w:t>El 7 de marzo de 2023, </w:t>
      </w:r>
      <w:r>
        <w:rPr>
          <w:color w:val="231F20"/>
        </w:rPr>
        <w:t>el </w:t>
      </w:r>
      <w:r>
        <w:rPr>
          <w:color w:val="231F20"/>
        </w:rPr>
        <w:t>Partido Comunista Portugués aprobó una declaración</w:t>
      </w:r>
      <w:r>
        <w:rPr>
          <w:color w:val="231F20"/>
          <w:spacing w:val="-17"/>
        </w:rPr>
        <w:t> </w:t>
      </w:r>
      <w:r>
        <w:rPr>
          <w:color w:val="231F20"/>
        </w:rPr>
        <w:t>en</w:t>
      </w:r>
      <w:r>
        <w:rPr>
          <w:color w:val="231F20"/>
          <w:spacing w:val="-16"/>
        </w:rPr>
        <w:t> </w:t>
      </w:r>
      <w:r>
        <w:rPr>
          <w:color w:val="231F20"/>
        </w:rPr>
        <w:t>la</w:t>
      </w:r>
      <w:r>
        <w:rPr>
          <w:color w:val="231F20"/>
          <w:spacing w:val="-17"/>
        </w:rPr>
        <w:t> </w:t>
      </w:r>
      <w:r>
        <w:rPr>
          <w:color w:val="231F20"/>
        </w:rPr>
        <w:t>que</w:t>
      </w:r>
      <w:r>
        <w:rPr>
          <w:color w:val="231F20"/>
          <w:spacing w:val="-16"/>
        </w:rPr>
        <w:t> </w:t>
      </w:r>
      <w:r>
        <w:rPr>
          <w:color w:val="231F20"/>
        </w:rPr>
        <w:t>exigió</w:t>
      </w:r>
      <w:r>
        <w:rPr>
          <w:color w:val="231F20"/>
          <w:spacing w:val="-17"/>
        </w:rPr>
        <w:t> </w:t>
      </w:r>
      <w:r>
        <w:rPr>
          <w:color w:val="231F20"/>
        </w:rPr>
        <w:t>la</w:t>
      </w:r>
      <w:r>
        <w:rPr>
          <w:color w:val="231F20"/>
          <w:spacing w:val="-16"/>
        </w:rPr>
        <w:t> </w:t>
      </w:r>
      <w:r>
        <w:rPr>
          <w:color w:val="231F20"/>
        </w:rPr>
        <w:t>exclusión de Cuba de la ilegítima lista de países patrocinadores de terrorismo.</w:t>
      </w:r>
    </w:p>
    <w:p>
      <w:pPr>
        <w:pStyle w:val="BodyText"/>
        <w:spacing w:before="164"/>
        <w:ind w:left="1394" w:right="2"/>
      </w:pPr>
      <w:r>
        <w:rPr/>
        <mc:AlternateContent>
          <mc:Choice Requires="wps">
            <w:drawing>
              <wp:anchor distT="0" distB="0" distL="0" distR="0" allowOverlap="1" layoutInCell="1" locked="0" behindDoc="0" simplePos="0" relativeHeight="15774720">
                <wp:simplePos x="0" y="0"/>
                <wp:positionH relativeFrom="page">
                  <wp:posOffset>719997</wp:posOffset>
                </wp:positionH>
                <wp:positionV relativeFrom="paragraph">
                  <wp:posOffset>187389</wp:posOffset>
                </wp:positionV>
                <wp:extent cx="59690" cy="59690"/>
                <wp:effectExtent l="0" t="0" r="0" b="0"/>
                <wp:wrapNone/>
                <wp:docPr id="148" name="Graphic 148"/>
                <wp:cNvGraphicFramePr>
                  <a:graphicFrameLocks/>
                </wp:cNvGraphicFramePr>
                <a:graphic>
                  <a:graphicData uri="http://schemas.microsoft.com/office/word/2010/wordprocessingShape">
                    <wps:wsp>
                      <wps:cNvPr id="148" name="Graphic 14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75505pt;width:4.7pt;height:4.7pt;mso-position-horizontal-relative:page;mso-position-vertical-relative:paragraph;z-index:15774720" id="docshape121" coordorigin="1134,295" coordsize="94,94" path="m1180,295l1162,299,1148,309,1138,324,1134,342,1138,360,1148,375,1162,385,1180,388,1199,385,1213,375,1223,360,1227,342,1223,324,1213,309,1199,299,1180,295xe" filled="true" fillcolor="#1a4796" stroked="false">
                <v:path arrowok="t"/>
                <v:fill type="solid"/>
                <w10:wrap type="none"/>
              </v:shape>
            </w:pict>
          </mc:Fallback>
        </mc:AlternateContent>
      </w:r>
      <w:r>
        <w:rPr>
          <w:b/>
          <w:color w:val="1A4796"/>
        </w:rPr>
        <w:t>El 18 de marzo de 2023, </w:t>
      </w:r>
      <w:r>
        <w:rPr>
          <w:color w:val="231F20"/>
        </w:rPr>
        <w:t>las organizaciones solidarias con Cuba de los países nórdicos, reunidos en Oslo, </w:t>
      </w:r>
      <w:r>
        <w:rPr>
          <w:color w:val="231F20"/>
          <w:spacing w:val="-6"/>
        </w:rPr>
        <w:t>Noruega,</w:t>
      </w:r>
      <w:r>
        <w:rPr>
          <w:color w:val="231F20"/>
          <w:spacing w:val="-11"/>
        </w:rPr>
        <w:t> </w:t>
      </w:r>
      <w:r>
        <w:rPr>
          <w:color w:val="231F20"/>
          <w:spacing w:val="-6"/>
        </w:rPr>
        <w:t>emitieron</w:t>
      </w:r>
      <w:r>
        <w:rPr>
          <w:color w:val="231F20"/>
          <w:spacing w:val="-10"/>
        </w:rPr>
        <w:t> </w:t>
      </w:r>
      <w:r>
        <w:rPr>
          <w:color w:val="231F20"/>
          <w:spacing w:val="-6"/>
        </w:rPr>
        <w:t>una</w:t>
      </w:r>
      <w:r>
        <w:rPr>
          <w:color w:val="231F20"/>
          <w:spacing w:val="-11"/>
        </w:rPr>
        <w:t> </w:t>
      </w:r>
      <w:r>
        <w:rPr>
          <w:color w:val="231F20"/>
          <w:spacing w:val="-6"/>
        </w:rPr>
        <w:t>Declaración</w:t>
      </w:r>
      <w:r>
        <w:rPr>
          <w:color w:val="231F20"/>
          <w:spacing w:val="-10"/>
        </w:rPr>
        <w:t> </w:t>
      </w:r>
      <w:r>
        <w:rPr>
          <w:color w:val="231F20"/>
          <w:spacing w:val="-6"/>
        </w:rPr>
        <w:t>en</w:t>
      </w:r>
      <w:r>
        <w:rPr>
          <w:color w:val="231F20"/>
          <w:spacing w:val="-11"/>
        </w:rPr>
        <w:t> </w:t>
      </w:r>
      <w:r>
        <w:rPr>
          <w:color w:val="231F20"/>
          <w:spacing w:val="-6"/>
        </w:rPr>
        <w:t>el </w:t>
      </w:r>
      <w:r>
        <w:rPr>
          <w:color w:val="231F20"/>
          <w:spacing w:val="-8"/>
        </w:rPr>
        <w:t>marco</w:t>
      </w:r>
      <w:r>
        <w:rPr>
          <w:color w:val="231F20"/>
          <w:spacing w:val="-9"/>
        </w:rPr>
        <w:t> </w:t>
      </w:r>
      <w:r>
        <w:rPr>
          <w:color w:val="231F20"/>
          <w:spacing w:val="-8"/>
        </w:rPr>
        <w:t>del “Evento</w:t>
      </w:r>
      <w:r>
        <w:rPr>
          <w:color w:val="231F20"/>
          <w:spacing w:val="-9"/>
        </w:rPr>
        <w:t> </w:t>
      </w:r>
      <w:r>
        <w:rPr>
          <w:color w:val="231F20"/>
          <w:spacing w:val="-8"/>
        </w:rPr>
        <w:t>Nórdico de</w:t>
      </w:r>
      <w:r>
        <w:rPr>
          <w:color w:val="231F20"/>
          <w:spacing w:val="-9"/>
        </w:rPr>
        <w:t> </w:t>
      </w:r>
      <w:r>
        <w:rPr>
          <w:color w:val="231F20"/>
          <w:spacing w:val="-8"/>
        </w:rPr>
        <w:t>Solidaridad </w:t>
      </w:r>
      <w:r>
        <w:rPr>
          <w:color w:val="231F20"/>
        </w:rPr>
        <w:t>con</w:t>
      </w:r>
      <w:r>
        <w:rPr>
          <w:color w:val="231F20"/>
          <w:spacing w:val="1"/>
        </w:rPr>
        <w:t> </w:t>
      </w:r>
      <w:r>
        <w:rPr>
          <w:color w:val="231F20"/>
        </w:rPr>
        <w:t>Cuba</w:t>
      </w:r>
      <w:r>
        <w:rPr>
          <w:color w:val="231F20"/>
          <w:spacing w:val="3"/>
        </w:rPr>
        <w:t> </w:t>
      </w:r>
      <w:r>
        <w:rPr>
          <w:color w:val="231F20"/>
        </w:rPr>
        <w:t>2023”,</w:t>
      </w:r>
      <w:r>
        <w:rPr>
          <w:color w:val="231F20"/>
          <w:spacing w:val="3"/>
        </w:rPr>
        <w:t> </w:t>
      </w:r>
      <w:r>
        <w:rPr>
          <w:color w:val="231F20"/>
        </w:rPr>
        <w:t>donde</w:t>
      </w:r>
      <w:r>
        <w:rPr>
          <w:color w:val="231F20"/>
          <w:spacing w:val="3"/>
        </w:rPr>
        <w:t> </w:t>
      </w:r>
      <w:r>
        <w:rPr>
          <w:color w:val="231F20"/>
        </w:rPr>
        <w:t>demandaron</w:t>
      </w:r>
      <w:r>
        <w:rPr>
          <w:color w:val="231F20"/>
          <w:spacing w:val="3"/>
        </w:rPr>
        <w:t> </w:t>
      </w:r>
      <w:r>
        <w:rPr>
          <w:color w:val="231F20"/>
          <w:spacing w:val="-5"/>
        </w:rPr>
        <w:t>la</w:t>
      </w:r>
    </w:p>
    <w:p>
      <w:pPr>
        <w:pStyle w:val="BodyText"/>
        <w:spacing w:before="77"/>
        <w:ind w:left="673" w:right="1475"/>
      </w:pPr>
      <w:r>
        <w:rPr/>
        <w:br w:type="column"/>
      </w:r>
      <w:r>
        <w:rPr>
          <w:color w:val="231F20"/>
          <w:spacing w:val="-4"/>
        </w:rPr>
        <w:t>retirada</w:t>
      </w:r>
      <w:r>
        <w:rPr>
          <w:color w:val="231F20"/>
          <w:spacing w:val="-11"/>
        </w:rPr>
        <w:t> </w:t>
      </w:r>
      <w:r>
        <w:rPr>
          <w:color w:val="231F20"/>
          <w:spacing w:val="-4"/>
        </w:rPr>
        <w:t>inmediata</w:t>
      </w:r>
      <w:r>
        <w:rPr>
          <w:color w:val="231F20"/>
          <w:spacing w:val="-11"/>
        </w:rPr>
        <w:t> </w:t>
      </w:r>
      <w:r>
        <w:rPr>
          <w:color w:val="231F20"/>
          <w:spacing w:val="-4"/>
        </w:rPr>
        <w:t>de</w:t>
      </w:r>
      <w:r>
        <w:rPr>
          <w:color w:val="231F20"/>
          <w:spacing w:val="-11"/>
        </w:rPr>
        <w:t> </w:t>
      </w:r>
      <w:r>
        <w:rPr>
          <w:color w:val="231F20"/>
          <w:spacing w:val="-4"/>
        </w:rPr>
        <w:t>Cuba</w:t>
      </w:r>
      <w:r>
        <w:rPr>
          <w:color w:val="231F20"/>
          <w:spacing w:val="-11"/>
        </w:rPr>
        <w:t> </w:t>
      </w:r>
      <w:r>
        <w:rPr>
          <w:color w:val="231F20"/>
          <w:spacing w:val="-4"/>
        </w:rPr>
        <w:t>de</w:t>
      </w:r>
      <w:r>
        <w:rPr>
          <w:color w:val="231F20"/>
          <w:spacing w:val="-11"/>
        </w:rPr>
        <w:t> </w:t>
      </w:r>
      <w:r>
        <w:rPr>
          <w:color w:val="231F20"/>
          <w:spacing w:val="-4"/>
        </w:rPr>
        <w:t>la</w:t>
      </w:r>
      <w:r>
        <w:rPr>
          <w:color w:val="231F20"/>
          <w:spacing w:val="-11"/>
        </w:rPr>
        <w:t> </w:t>
      </w:r>
      <w:r>
        <w:rPr>
          <w:color w:val="231F20"/>
          <w:spacing w:val="-4"/>
        </w:rPr>
        <w:t>Lista</w:t>
      </w:r>
      <w:r>
        <w:rPr>
          <w:color w:val="231F20"/>
          <w:spacing w:val="-11"/>
        </w:rPr>
        <w:t> </w:t>
      </w:r>
      <w:r>
        <w:rPr>
          <w:color w:val="231F20"/>
          <w:spacing w:val="-4"/>
        </w:rPr>
        <w:t>de </w:t>
      </w:r>
      <w:r>
        <w:rPr>
          <w:color w:val="231F20"/>
        </w:rPr>
        <w:t>Estados Patrocinadores del terrorismo. Señalaron que “Cuba es víctima del terrorismo,</w:t>
      </w:r>
      <w:r>
        <w:rPr>
          <w:color w:val="231F20"/>
          <w:spacing w:val="-11"/>
        </w:rPr>
        <w:t> </w:t>
      </w:r>
      <w:r>
        <w:rPr>
          <w:color w:val="231F20"/>
        </w:rPr>
        <w:t>no</w:t>
      </w:r>
      <w:r>
        <w:rPr>
          <w:color w:val="231F20"/>
          <w:spacing w:val="-11"/>
        </w:rPr>
        <w:t> </w:t>
      </w:r>
      <w:r>
        <w:rPr>
          <w:color w:val="231F20"/>
        </w:rPr>
        <w:t>perpetrador”.</w:t>
      </w:r>
      <w:r>
        <w:rPr>
          <w:color w:val="231F20"/>
          <w:spacing w:val="-11"/>
        </w:rPr>
        <w:t> </w:t>
      </w:r>
      <w:r>
        <w:rPr>
          <w:color w:val="231F20"/>
        </w:rPr>
        <w:t>Calificaron </w:t>
      </w:r>
      <w:r>
        <w:rPr>
          <w:color w:val="231F20"/>
          <w:spacing w:val="-6"/>
        </w:rPr>
        <w:t>la</w:t>
      </w:r>
      <w:r>
        <w:rPr>
          <w:color w:val="231F20"/>
          <w:spacing w:val="-11"/>
        </w:rPr>
        <w:t> </w:t>
      </w:r>
      <w:r>
        <w:rPr>
          <w:color w:val="231F20"/>
          <w:spacing w:val="-6"/>
        </w:rPr>
        <w:t>medida</w:t>
      </w:r>
      <w:r>
        <w:rPr>
          <w:color w:val="231F20"/>
          <w:spacing w:val="-10"/>
        </w:rPr>
        <w:t> </w:t>
      </w:r>
      <w:r>
        <w:rPr>
          <w:color w:val="231F20"/>
          <w:spacing w:val="-6"/>
        </w:rPr>
        <w:t>como</w:t>
      </w:r>
      <w:r>
        <w:rPr>
          <w:color w:val="231F20"/>
          <w:spacing w:val="-11"/>
        </w:rPr>
        <w:t> </w:t>
      </w:r>
      <w:r>
        <w:rPr>
          <w:color w:val="231F20"/>
          <w:spacing w:val="-6"/>
        </w:rPr>
        <w:t>una</w:t>
      </w:r>
      <w:r>
        <w:rPr>
          <w:color w:val="231F20"/>
          <w:spacing w:val="-10"/>
        </w:rPr>
        <w:t> </w:t>
      </w:r>
      <w:r>
        <w:rPr>
          <w:color w:val="231F20"/>
          <w:spacing w:val="-6"/>
        </w:rPr>
        <w:t>acusación</w:t>
      </w:r>
      <w:r>
        <w:rPr>
          <w:color w:val="231F20"/>
          <w:spacing w:val="-11"/>
        </w:rPr>
        <w:t> </w:t>
      </w:r>
      <w:r>
        <w:rPr>
          <w:color w:val="231F20"/>
          <w:spacing w:val="-6"/>
        </w:rPr>
        <w:t>falsa,</w:t>
      </w:r>
      <w:r>
        <w:rPr>
          <w:color w:val="231F20"/>
          <w:spacing w:val="-10"/>
        </w:rPr>
        <w:t> </w:t>
      </w:r>
      <w:r>
        <w:rPr>
          <w:color w:val="231F20"/>
          <w:spacing w:val="-6"/>
        </w:rPr>
        <w:t>algo </w:t>
      </w:r>
      <w:r>
        <w:rPr>
          <w:color w:val="231F20"/>
          <w:spacing w:val="-8"/>
        </w:rPr>
        <w:t>que reconocen los círculos políticos serios </w:t>
      </w:r>
      <w:r>
        <w:rPr>
          <w:color w:val="231F20"/>
        </w:rPr>
        <w:t>de los Estados Unidos. Denunciaron que el peor acto de terrorismo son los más de 60 años de inhumano bloqueo contra Cuba, el cual calificaron como crimen</w:t>
      </w:r>
      <w:r>
        <w:rPr>
          <w:color w:val="231F20"/>
          <w:spacing w:val="-2"/>
        </w:rPr>
        <w:t> </w:t>
      </w:r>
      <w:r>
        <w:rPr>
          <w:color w:val="231F20"/>
        </w:rPr>
        <w:t>de</w:t>
      </w:r>
      <w:r>
        <w:rPr>
          <w:color w:val="231F20"/>
          <w:spacing w:val="-2"/>
        </w:rPr>
        <w:t> </w:t>
      </w:r>
      <w:r>
        <w:rPr>
          <w:color w:val="231F20"/>
        </w:rPr>
        <w:t>lesa</w:t>
      </w:r>
      <w:r>
        <w:rPr>
          <w:color w:val="231F20"/>
          <w:spacing w:val="-2"/>
        </w:rPr>
        <w:t> </w:t>
      </w:r>
      <w:r>
        <w:rPr>
          <w:color w:val="231F20"/>
        </w:rPr>
        <w:t>humanidad</w:t>
      </w:r>
      <w:r>
        <w:rPr>
          <w:color w:val="231F20"/>
          <w:spacing w:val="-2"/>
        </w:rPr>
        <w:t> </w:t>
      </w:r>
      <w:r>
        <w:rPr>
          <w:color w:val="231F20"/>
        </w:rPr>
        <w:t>y</w:t>
      </w:r>
      <w:r>
        <w:rPr>
          <w:color w:val="231F20"/>
          <w:spacing w:val="-2"/>
        </w:rPr>
        <w:t> </w:t>
      </w:r>
      <w:r>
        <w:rPr>
          <w:color w:val="231F20"/>
        </w:rPr>
        <w:t>solicitaron su levantamiento inmediato.</w:t>
      </w:r>
    </w:p>
    <w:p>
      <w:pPr>
        <w:spacing w:before="169"/>
        <w:ind w:left="673" w:right="0" w:firstLine="0"/>
        <w:jc w:val="both"/>
        <w:rPr>
          <w:sz w:val="24"/>
        </w:rPr>
      </w:pPr>
      <w:r>
        <w:rPr/>
        <mc:AlternateContent>
          <mc:Choice Requires="wps">
            <w:drawing>
              <wp:anchor distT="0" distB="0" distL="0" distR="0" allowOverlap="1" layoutInCell="1" locked="0" behindDoc="0" simplePos="0" relativeHeight="15776256">
                <wp:simplePos x="0" y="0"/>
                <wp:positionH relativeFrom="page">
                  <wp:posOffset>3815998</wp:posOffset>
                </wp:positionH>
                <wp:positionV relativeFrom="paragraph">
                  <wp:posOffset>192856</wp:posOffset>
                </wp:positionV>
                <wp:extent cx="59690" cy="59690"/>
                <wp:effectExtent l="0" t="0" r="0" b="0"/>
                <wp:wrapNone/>
                <wp:docPr id="149" name="Graphic 149"/>
                <wp:cNvGraphicFramePr>
                  <a:graphicFrameLocks/>
                </wp:cNvGraphicFramePr>
                <a:graphic>
                  <a:graphicData uri="http://schemas.microsoft.com/office/word/2010/wordprocessingShape">
                    <wps:wsp>
                      <wps:cNvPr id="149" name="Graphic 14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18555pt;width:4.7pt;height:4.7pt;mso-position-horizontal-relative:page;mso-position-vertical-relative:paragraph;z-index:15776256" id="docshape122" coordorigin="6009,304" coordsize="94,94" path="m6056,304l6038,307,6023,317,6013,332,6009,350,6013,368,6023,383,6038,393,6056,397,6074,393,6089,383,6099,368,6103,350,6099,332,6089,317,6074,307,6056,304xe" filled="true" fillcolor="#1a4796" stroked="false">
                <v:path arrowok="t"/>
                <v:fill type="solid"/>
                <w10:wrap type="none"/>
              </v:shape>
            </w:pict>
          </mc:Fallback>
        </mc:AlternateContent>
      </w:r>
      <w:r>
        <w:rPr>
          <w:b/>
          <w:color w:val="1A4796"/>
          <w:spacing w:val="-2"/>
          <w:sz w:val="24"/>
        </w:rPr>
        <w:t>El</w:t>
      </w:r>
      <w:r>
        <w:rPr>
          <w:b/>
          <w:color w:val="1A4796"/>
          <w:spacing w:val="-14"/>
          <w:sz w:val="24"/>
        </w:rPr>
        <w:t> </w:t>
      </w:r>
      <w:r>
        <w:rPr>
          <w:b/>
          <w:color w:val="1A4796"/>
          <w:spacing w:val="-2"/>
          <w:sz w:val="24"/>
        </w:rPr>
        <w:t>25</w:t>
      </w:r>
      <w:r>
        <w:rPr>
          <w:b/>
          <w:color w:val="1A4796"/>
          <w:spacing w:val="-13"/>
          <w:sz w:val="24"/>
        </w:rPr>
        <w:t> </w:t>
      </w:r>
      <w:r>
        <w:rPr>
          <w:b/>
          <w:color w:val="1A4796"/>
          <w:spacing w:val="-2"/>
          <w:sz w:val="24"/>
        </w:rPr>
        <w:t>de</w:t>
      </w:r>
      <w:r>
        <w:rPr>
          <w:b/>
          <w:color w:val="1A4796"/>
          <w:spacing w:val="-14"/>
          <w:sz w:val="24"/>
        </w:rPr>
        <w:t> </w:t>
      </w:r>
      <w:r>
        <w:rPr>
          <w:b/>
          <w:color w:val="1A4796"/>
          <w:spacing w:val="-2"/>
          <w:sz w:val="24"/>
        </w:rPr>
        <w:t>marzo</w:t>
      </w:r>
      <w:r>
        <w:rPr>
          <w:b/>
          <w:color w:val="1A4796"/>
          <w:spacing w:val="-13"/>
          <w:sz w:val="24"/>
        </w:rPr>
        <w:t> </w:t>
      </w:r>
      <w:r>
        <w:rPr>
          <w:b/>
          <w:color w:val="1A4796"/>
          <w:spacing w:val="-2"/>
          <w:sz w:val="24"/>
        </w:rPr>
        <w:t>de</w:t>
      </w:r>
      <w:r>
        <w:rPr>
          <w:b/>
          <w:color w:val="1A4796"/>
          <w:spacing w:val="-14"/>
          <w:sz w:val="24"/>
        </w:rPr>
        <w:t> </w:t>
      </w:r>
      <w:r>
        <w:rPr>
          <w:b/>
          <w:color w:val="1A4796"/>
          <w:spacing w:val="-2"/>
          <w:sz w:val="24"/>
        </w:rPr>
        <w:t>2023,</w:t>
      </w:r>
      <w:r>
        <w:rPr>
          <w:b/>
          <w:color w:val="1A4796"/>
          <w:spacing w:val="-13"/>
          <w:sz w:val="24"/>
        </w:rPr>
        <w:t> </w:t>
      </w:r>
      <w:r>
        <w:rPr>
          <w:color w:val="231F20"/>
          <w:spacing w:val="-2"/>
          <w:sz w:val="24"/>
        </w:rPr>
        <w:t>en</w:t>
      </w:r>
      <w:r>
        <w:rPr>
          <w:color w:val="231F20"/>
          <w:spacing w:val="-14"/>
          <w:sz w:val="24"/>
        </w:rPr>
        <w:t> </w:t>
      </w:r>
      <w:r>
        <w:rPr>
          <w:color w:val="231F20"/>
          <w:spacing w:val="-2"/>
          <w:sz w:val="24"/>
        </w:rPr>
        <w:t>el</w:t>
      </w:r>
      <w:r>
        <w:rPr>
          <w:color w:val="231F20"/>
          <w:spacing w:val="-13"/>
          <w:sz w:val="24"/>
        </w:rPr>
        <w:t> </w:t>
      </w:r>
      <w:r>
        <w:rPr>
          <w:color w:val="231F20"/>
          <w:spacing w:val="-2"/>
          <w:sz w:val="24"/>
        </w:rPr>
        <w:t>marco</w:t>
      </w:r>
      <w:r>
        <w:rPr>
          <w:color w:val="231F20"/>
          <w:spacing w:val="-13"/>
          <w:sz w:val="24"/>
        </w:rPr>
        <w:t> </w:t>
      </w:r>
      <w:r>
        <w:rPr>
          <w:color w:val="231F20"/>
          <w:spacing w:val="-5"/>
          <w:sz w:val="24"/>
        </w:rPr>
        <w:t>de</w:t>
      </w:r>
    </w:p>
    <w:p>
      <w:pPr>
        <w:pStyle w:val="BodyText"/>
        <w:spacing w:before="1"/>
        <w:ind w:left="673" w:right="1477"/>
      </w:pPr>
      <w:r>
        <w:rPr>
          <w:color w:val="231F20"/>
        </w:rPr>
        <w:t>XXVIII</w:t>
      </w:r>
      <w:r>
        <w:rPr>
          <w:color w:val="231F20"/>
          <w:spacing w:val="-7"/>
        </w:rPr>
        <w:t> </w:t>
      </w:r>
      <w:r>
        <w:rPr>
          <w:color w:val="231F20"/>
        </w:rPr>
        <w:t>Cumbre</w:t>
      </w:r>
      <w:r>
        <w:rPr>
          <w:color w:val="231F20"/>
          <w:spacing w:val="-7"/>
        </w:rPr>
        <w:t> </w:t>
      </w:r>
      <w:r>
        <w:rPr>
          <w:color w:val="231F20"/>
        </w:rPr>
        <w:t>Iberoamericana</w:t>
      </w:r>
      <w:r>
        <w:rPr>
          <w:color w:val="231F20"/>
          <w:spacing w:val="-7"/>
        </w:rPr>
        <w:t> </w:t>
      </w:r>
      <w:r>
        <w:rPr>
          <w:color w:val="231F20"/>
        </w:rPr>
        <w:t>de</w:t>
      </w:r>
      <w:r>
        <w:rPr>
          <w:color w:val="231F20"/>
          <w:spacing w:val="-7"/>
        </w:rPr>
        <w:t> </w:t>
      </w:r>
      <w:r>
        <w:rPr>
          <w:color w:val="231F20"/>
        </w:rPr>
        <w:t>Jefes de Estado y de Gobierno, celebrada en Santo</w:t>
      </w:r>
      <w:r>
        <w:rPr>
          <w:color w:val="231F20"/>
          <w:spacing w:val="-17"/>
        </w:rPr>
        <w:t> </w:t>
      </w:r>
      <w:r>
        <w:rPr>
          <w:color w:val="231F20"/>
        </w:rPr>
        <w:t>Domingo,</w:t>
      </w:r>
      <w:r>
        <w:rPr>
          <w:color w:val="231F20"/>
          <w:spacing w:val="-16"/>
        </w:rPr>
        <w:t> </w:t>
      </w:r>
      <w:r>
        <w:rPr>
          <w:color w:val="231F20"/>
        </w:rPr>
        <w:t>República</w:t>
      </w:r>
      <w:r>
        <w:rPr>
          <w:color w:val="231F20"/>
          <w:spacing w:val="-17"/>
        </w:rPr>
        <w:t> </w:t>
      </w:r>
      <w:r>
        <w:rPr>
          <w:color w:val="231F20"/>
        </w:rPr>
        <w:t>Dominicana, </w:t>
      </w:r>
      <w:r>
        <w:rPr>
          <w:color w:val="231F20"/>
          <w:spacing w:val="-6"/>
        </w:rPr>
        <w:t>se</w:t>
      </w:r>
      <w:r>
        <w:rPr>
          <w:color w:val="231F20"/>
          <w:spacing w:val="-7"/>
        </w:rPr>
        <w:t> </w:t>
      </w:r>
      <w:r>
        <w:rPr>
          <w:color w:val="231F20"/>
          <w:spacing w:val="-6"/>
        </w:rPr>
        <w:t>emitió</w:t>
      </w:r>
      <w:r>
        <w:rPr>
          <w:color w:val="231F20"/>
          <w:spacing w:val="-7"/>
        </w:rPr>
        <w:t> </w:t>
      </w:r>
      <w:r>
        <w:rPr>
          <w:color w:val="231F20"/>
          <w:spacing w:val="-6"/>
        </w:rPr>
        <w:t>un</w:t>
      </w:r>
      <w:r>
        <w:rPr>
          <w:color w:val="231F20"/>
          <w:spacing w:val="-7"/>
        </w:rPr>
        <w:t> </w:t>
      </w:r>
      <w:r>
        <w:rPr>
          <w:color w:val="231F20"/>
          <w:spacing w:val="-6"/>
        </w:rPr>
        <w:t>“Comunicado</w:t>
      </w:r>
      <w:r>
        <w:rPr>
          <w:color w:val="231F20"/>
          <w:spacing w:val="-7"/>
        </w:rPr>
        <w:t> </w:t>
      </w:r>
      <w:r>
        <w:rPr>
          <w:color w:val="231F20"/>
          <w:spacing w:val="-6"/>
        </w:rPr>
        <w:t>Especial</w:t>
      </w:r>
      <w:r>
        <w:rPr>
          <w:color w:val="231F20"/>
          <w:spacing w:val="-7"/>
        </w:rPr>
        <w:t> </w:t>
      </w:r>
      <w:r>
        <w:rPr>
          <w:color w:val="231F20"/>
          <w:spacing w:val="-6"/>
        </w:rPr>
        <w:t>sobre </w:t>
      </w:r>
      <w:r>
        <w:rPr>
          <w:color w:val="231F20"/>
        </w:rPr>
        <w:t>la necesidad de poner fin al bloqueo económico, comercial y financiero </w:t>
      </w:r>
      <w:r>
        <w:rPr>
          <w:color w:val="231F20"/>
          <w:spacing w:val="-2"/>
        </w:rPr>
        <w:t>impuesto</w:t>
      </w:r>
      <w:r>
        <w:rPr>
          <w:color w:val="231F20"/>
          <w:spacing w:val="-15"/>
        </w:rPr>
        <w:t> </w:t>
      </w:r>
      <w:r>
        <w:rPr>
          <w:color w:val="231F20"/>
          <w:spacing w:val="-2"/>
        </w:rPr>
        <w:t>por</w:t>
      </w:r>
      <w:r>
        <w:rPr>
          <w:color w:val="231F20"/>
          <w:spacing w:val="-14"/>
        </w:rPr>
        <w:t> </w:t>
      </w:r>
      <w:r>
        <w:rPr>
          <w:color w:val="231F20"/>
          <w:spacing w:val="-2"/>
        </w:rPr>
        <w:t>el</w:t>
      </w:r>
      <w:r>
        <w:rPr>
          <w:color w:val="231F20"/>
          <w:spacing w:val="-15"/>
        </w:rPr>
        <w:t> </w:t>
      </w:r>
      <w:r>
        <w:rPr>
          <w:color w:val="231F20"/>
          <w:spacing w:val="-2"/>
        </w:rPr>
        <w:t>gobierno</w:t>
      </w:r>
      <w:r>
        <w:rPr>
          <w:color w:val="231F20"/>
          <w:spacing w:val="-14"/>
        </w:rPr>
        <w:t> </w:t>
      </w:r>
      <w:r>
        <w:rPr>
          <w:color w:val="231F20"/>
          <w:spacing w:val="-2"/>
        </w:rPr>
        <w:t>de</w:t>
      </w:r>
      <w:r>
        <w:rPr>
          <w:color w:val="231F20"/>
          <w:spacing w:val="-15"/>
        </w:rPr>
        <w:t> </w:t>
      </w:r>
      <w:r>
        <w:rPr>
          <w:color w:val="231F20"/>
          <w:spacing w:val="-2"/>
        </w:rPr>
        <w:t>los</w:t>
      </w:r>
      <w:r>
        <w:rPr>
          <w:color w:val="231F20"/>
          <w:spacing w:val="-14"/>
        </w:rPr>
        <w:t> </w:t>
      </w:r>
      <w:r>
        <w:rPr>
          <w:color w:val="231F20"/>
          <w:spacing w:val="-2"/>
        </w:rPr>
        <w:t>Estados </w:t>
      </w:r>
      <w:r>
        <w:rPr>
          <w:color w:val="231F20"/>
        </w:rPr>
        <w:t>Unidos de América a Cuba, incluida la </w:t>
      </w:r>
      <w:r>
        <w:rPr>
          <w:color w:val="231F20"/>
          <w:spacing w:val="-12"/>
        </w:rPr>
        <w:t>aplicación</w:t>
      </w:r>
      <w:r>
        <w:rPr>
          <w:color w:val="231F20"/>
          <w:spacing w:val="-5"/>
        </w:rPr>
        <w:t> </w:t>
      </w:r>
      <w:r>
        <w:rPr>
          <w:color w:val="231F20"/>
          <w:spacing w:val="-12"/>
        </w:rPr>
        <w:t>de</w:t>
      </w:r>
      <w:r>
        <w:rPr>
          <w:color w:val="231F20"/>
          <w:spacing w:val="-4"/>
        </w:rPr>
        <w:t> </w:t>
      </w:r>
      <w:r>
        <w:rPr>
          <w:color w:val="231F20"/>
          <w:spacing w:val="-12"/>
        </w:rPr>
        <w:t>la</w:t>
      </w:r>
      <w:r>
        <w:rPr>
          <w:color w:val="231F20"/>
          <w:spacing w:val="-5"/>
        </w:rPr>
        <w:t> </w:t>
      </w:r>
      <w:r>
        <w:rPr>
          <w:color w:val="231F20"/>
          <w:spacing w:val="-12"/>
        </w:rPr>
        <w:t>llamada</w:t>
      </w:r>
      <w:r>
        <w:rPr>
          <w:color w:val="231F20"/>
          <w:spacing w:val="-4"/>
        </w:rPr>
        <w:t> </w:t>
      </w:r>
      <w:r>
        <w:rPr>
          <w:color w:val="231F20"/>
          <w:spacing w:val="-12"/>
        </w:rPr>
        <w:t>Ley</w:t>
      </w:r>
      <w:r>
        <w:rPr>
          <w:color w:val="231F20"/>
          <w:spacing w:val="-5"/>
        </w:rPr>
        <w:t> </w:t>
      </w:r>
      <w:r>
        <w:rPr>
          <w:color w:val="231F20"/>
          <w:spacing w:val="-12"/>
        </w:rPr>
        <w:t>Helms</w:t>
      </w:r>
      <w:r>
        <w:rPr>
          <w:color w:val="231F20"/>
          <w:spacing w:val="-4"/>
        </w:rPr>
        <w:t> </w:t>
      </w:r>
      <w:r>
        <w:rPr>
          <w:color w:val="231F20"/>
          <w:spacing w:val="-12"/>
        </w:rPr>
        <w:t>Burton”, </w:t>
      </w:r>
      <w:r>
        <w:rPr>
          <w:color w:val="231F20"/>
        </w:rPr>
        <w:t>así como un “Comunicado Especial de apoyo</w:t>
      </w:r>
      <w:r>
        <w:rPr>
          <w:color w:val="231F20"/>
          <w:spacing w:val="-13"/>
        </w:rPr>
        <w:t> </w:t>
      </w:r>
      <w:r>
        <w:rPr>
          <w:color w:val="231F20"/>
        </w:rPr>
        <w:t>a</w:t>
      </w:r>
      <w:r>
        <w:rPr>
          <w:color w:val="231F20"/>
          <w:spacing w:val="-13"/>
        </w:rPr>
        <w:t> </w:t>
      </w:r>
      <w:r>
        <w:rPr>
          <w:color w:val="231F20"/>
        </w:rPr>
        <w:t>la</w:t>
      </w:r>
      <w:r>
        <w:rPr>
          <w:color w:val="231F20"/>
          <w:spacing w:val="-13"/>
        </w:rPr>
        <w:t> </w:t>
      </w:r>
      <w:r>
        <w:rPr>
          <w:color w:val="231F20"/>
        </w:rPr>
        <w:t>lucha</w:t>
      </w:r>
      <w:r>
        <w:rPr>
          <w:color w:val="231F20"/>
          <w:spacing w:val="-13"/>
        </w:rPr>
        <w:t> </w:t>
      </w:r>
      <w:r>
        <w:rPr>
          <w:color w:val="231F20"/>
        </w:rPr>
        <w:t>contra</w:t>
      </w:r>
      <w:r>
        <w:rPr>
          <w:color w:val="231F20"/>
          <w:spacing w:val="-13"/>
        </w:rPr>
        <w:t> </w:t>
      </w:r>
      <w:r>
        <w:rPr>
          <w:color w:val="231F20"/>
        </w:rPr>
        <w:t>el</w:t>
      </w:r>
      <w:r>
        <w:rPr>
          <w:color w:val="231F20"/>
          <w:spacing w:val="-13"/>
        </w:rPr>
        <w:t> </w:t>
      </w:r>
      <w:r>
        <w:rPr>
          <w:color w:val="231F20"/>
        </w:rPr>
        <w:t>terrorismo</w:t>
      </w:r>
      <w:r>
        <w:rPr>
          <w:color w:val="231F20"/>
          <w:spacing w:val="-13"/>
        </w:rPr>
        <w:t> </w:t>
      </w:r>
      <w:r>
        <w:rPr>
          <w:color w:val="231F20"/>
        </w:rPr>
        <w:t>en todas</w:t>
      </w:r>
      <w:r>
        <w:rPr>
          <w:color w:val="231F20"/>
          <w:spacing w:val="-17"/>
        </w:rPr>
        <w:t> </w:t>
      </w:r>
      <w:r>
        <w:rPr>
          <w:color w:val="231F20"/>
        </w:rPr>
        <w:t>sus</w:t>
      </w:r>
      <w:r>
        <w:rPr>
          <w:color w:val="231F20"/>
          <w:spacing w:val="-16"/>
        </w:rPr>
        <w:t> </w:t>
      </w:r>
      <w:r>
        <w:rPr>
          <w:color w:val="231F20"/>
        </w:rPr>
        <w:t>formas</w:t>
      </w:r>
      <w:r>
        <w:rPr>
          <w:color w:val="231F20"/>
          <w:spacing w:val="-17"/>
        </w:rPr>
        <w:t> </w:t>
      </w:r>
      <w:r>
        <w:rPr>
          <w:color w:val="231F20"/>
        </w:rPr>
        <w:t>y</w:t>
      </w:r>
      <w:r>
        <w:rPr>
          <w:color w:val="231F20"/>
          <w:spacing w:val="-16"/>
        </w:rPr>
        <w:t> </w:t>
      </w:r>
      <w:r>
        <w:rPr>
          <w:color w:val="231F20"/>
        </w:rPr>
        <w:t>manifestaciones”,</w:t>
      </w:r>
      <w:r>
        <w:rPr>
          <w:color w:val="231F20"/>
          <w:spacing w:val="-17"/>
        </w:rPr>
        <w:t> </w:t>
      </w:r>
      <w:r>
        <w:rPr>
          <w:color w:val="231F20"/>
        </w:rPr>
        <w:t>en </w:t>
      </w:r>
      <w:r>
        <w:rPr>
          <w:color w:val="231F20"/>
          <w:spacing w:val="-6"/>
        </w:rPr>
        <w:t>el</w:t>
      </w:r>
      <w:r>
        <w:rPr>
          <w:color w:val="231F20"/>
          <w:spacing w:val="-10"/>
        </w:rPr>
        <w:t> </w:t>
      </w:r>
      <w:r>
        <w:rPr>
          <w:color w:val="231F20"/>
          <w:spacing w:val="-6"/>
        </w:rPr>
        <w:t>que</w:t>
      </w:r>
      <w:r>
        <w:rPr>
          <w:color w:val="231F20"/>
          <w:spacing w:val="-10"/>
        </w:rPr>
        <w:t> </w:t>
      </w:r>
      <w:r>
        <w:rPr>
          <w:color w:val="231F20"/>
          <w:spacing w:val="-6"/>
        </w:rPr>
        <w:t>se</w:t>
      </w:r>
      <w:r>
        <w:rPr>
          <w:color w:val="231F20"/>
          <w:spacing w:val="-10"/>
        </w:rPr>
        <w:t> </w:t>
      </w:r>
      <w:r>
        <w:rPr>
          <w:color w:val="231F20"/>
          <w:spacing w:val="-6"/>
        </w:rPr>
        <w:t>rechazó</w:t>
      </w:r>
      <w:r>
        <w:rPr>
          <w:color w:val="231F20"/>
          <w:spacing w:val="-10"/>
        </w:rPr>
        <w:t> </w:t>
      </w:r>
      <w:r>
        <w:rPr>
          <w:color w:val="231F20"/>
          <w:spacing w:val="-6"/>
        </w:rPr>
        <w:t>la</w:t>
      </w:r>
      <w:r>
        <w:rPr>
          <w:color w:val="231F20"/>
          <w:spacing w:val="-10"/>
        </w:rPr>
        <w:t> </w:t>
      </w:r>
      <w:r>
        <w:rPr>
          <w:color w:val="231F20"/>
          <w:spacing w:val="-6"/>
        </w:rPr>
        <w:t>injustificada</w:t>
      </w:r>
      <w:r>
        <w:rPr>
          <w:color w:val="231F20"/>
          <w:spacing w:val="-10"/>
        </w:rPr>
        <w:t> </w:t>
      </w:r>
      <w:r>
        <w:rPr>
          <w:color w:val="231F20"/>
          <w:spacing w:val="-6"/>
        </w:rPr>
        <w:t>inclusión </w:t>
      </w:r>
      <w:r>
        <w:rPr>
          <w:color w:val="231F20"/>
        </w:rPr>
        <w:t>de</w:t>
      </w:r>
      <w:r>
        <w:rPr>
          <w:color w:val="231F20"/>
          <w:spacing w:val="-17"/>
        </w:rPr>
        <w:t> </w:t>
      </w:r>
      <w:r>
        <w:rPr>
          <w:color w:val="231F20"/>
        </w:rPr>
        <w:t>Cuba</w:t>
      </w:r>
      <w:r>
        <w:rPr>
          <w:color w:val="231F20"/>
          <w:spacing w:val="-16"/>
        </w:rPr>
        <w:t> </w:t>
      </w:r>
      <w:r>
        <w:rPr>
          <w:color w:val="231F20"/>
        </w:rPr>
        <w:t>en</w:t>
      </w:r>
      <w:r>
        <w:rPr>
          <w:color w:val="231F20"/>
          <w:spacing w:val="-17"/>
        </w:rPr>
        <w:t> </w:t>
      </w:r>
      <w:r>
        <w:rPr>
          <w:color w:val="231F20"/>
        </w:rPr>
        <w:t>la</w:t>
      </w:r>
      <w:r>
        <w:rPr>
          <w:color w:val="231F20"/>
          <w:spacing w:val="-16"/>
        </w:rPr>
        <w:t> </w:t>
      </w:r>
      <w:r>
        <w:rPr>
          <w:color w:val="231F20"/>
        </w:rPr>
        <w:t>Lista</w:t>
      </w:r>
      <w:r>
        <w:rPr>
          <w:color w:val="231F20"/>
          <w:spacing w:val="-17"/>
        </w:rPr>
        <w:t> </w:t>
      </w:r>
      <w:r>
        <w:rPr>
          <w:color w:val="231F20"/>
        </w:rPr>
        <w:t>unilateral</w:t>
      </w:r>
      <w:r>
        <w:rPr>
          <w:color w:val="231F20"/>
          <w:spacing w:val="-16"/>
        </w:rPr>
        <w:t> </w:t>
      </w:r>
      <w:r>
        <w:rPr>
          <w:color w:val="231F20"/>
        </w:rPr>
        <w:t>de</w:t>
      </w:r>
      <w:r>
        <w:rPr>
          <w:color w:val="231F20"/>
          <w:spacing w:val="-17"/>
        </w:rPr>
        <w:t> </w:t>
      </w:r>
      <w:r>
        <w:rPr>
          <w:color w:val="231F20"/>
        </w:rPr>
        <w:t>Estados </w:t>
      </w:r>
      <w:r>
        <w:rPr>
          <w:color w:val="231F20"/>
          <w:spacing w:val="-10"/>
        </w:rPr>
        <w:t>patrocinadores</w:t>
      </w:r>
      <w:r>
        <w:rPr>
          <w:color w:val="231F20"/>
          <w:spacing w:val="-5"/>
        </w:rPr>
        <w:t> </w:t>
      </w:r>
      <w:r>
        <w:rPr>
          <w:color w:val="231F20"/>
          <w:spacing w:val="-10"/>
        </w:rPr>
        <w:t>del</w:t>
      </w:r>
      <w:r>
        <w:rPr>
          <w:color w:val="231F20"/>
          <w:spacing w:val="-5"/>
        </w:rPr>
        <w:t> </w:t>
      </w:r>
      <w:r>
        <w:rPr>
          <w:color w:val="231F20"/>
          <w:spacing w:val="-10"/>
        </w:rPr>
        <w:t>Terrorismo,</w:t>
      </w:r>
      <w:r>
        <w:rPr>
          <w:color w:val="231F20"/>
          <w:spacing w:val="-5"/>
        </w:rPr>
        <w:t> </w:t>
      </w:r>
      <w:r>
        <w:rPr>
          <w:color w:val="231F20"/>
          <w:spacing w:val="-10"/>
        </w:rPr>
        <w:t>y</w:t>
      </w:r>
      <w:r>
        <w:rPr>
          <w:color w:val="231F20"/>
          <w:spacing w:val="-5"/>
        </w:rPr>
        <w:t> </w:t>
      </w:r>
      <w:r>
        <w:rPr>
          <w:color w:val="231F20"/>
          <w:spacing w:val="-10"/>
        </w:rPr>
        <w:t>se</w:t>
      </w:r>
      <w:r>
        <w:rPr>
          <w:color w:val="231F20"/>
          <w:spacing w:val="-5"/>
        </w:rPr>
        <w:t> </w:t>
      </w:r>
      <w:r>
        <w:rPr>
          <w:color w:val="231F20"/>
          <w:spacing w:val="-10"/>
        </w:rPr>
        <w:t>solicitó </w:t>
      </w:r>
      <w:r>
        <w:rPr>
          <w:color w:val="231F20"/>
          <w:spacing w:val="-2"/>
        </w:rPr>
        <w:t>la</w:t>
      </w:r>
      <w:r>
        <w:rPr>
          <w:color w:val="231F20"/>
          <w:spacing w:val="-13"/>
        </w:rPr>
        <w:t> </w:t>
      </w:r>
      <w:r>
        <w:rPr>
          <w:color w:val="231F20"/>
          <w:spacing w:val="-2"/>
        </w:rPr>
        <w:t>exclusión</w:t>
      </w:r>
      <w:r>
        <w:rPr>
          <w:color w:val="231F20"/>
          <w:spacing w:val="-13"/>
        </w:rPr>
        <w:t> </w:t>
      </w:r>
      <w:r>
        <w:rPr>
          <w:color w:val="231F20"/>
          <w:spacing w:val="-2"/>
        </w:rPr>
        <w:t>del</w:t>
      </w:r>
      <w:r>
        <w:rPr>
          <w:color w:val="231F20"/>
          <w:spacing w:val="-13"/>
        </w:rPr>
        <w:t> </w:t>
      </w:r>
      <w:r>
        <w:rPr>
          <w:color w:val="231F20"/>
          <w:spacing w:val="-2"/>
        </w:rPr>
        <w:t>país</w:t>
      </w:r>
      <w:r>
        <w:rPr>
          <w:color w:val="231F20"/>
          <w:spacing w:val="-13"/>
        </w:rPr>
        <w:t> </w:t>
      </w:r>
      <w:r>
        <w:rPr>
          <w:color w:val="231F20"/>
          <w:spacing w:val="-2"/>
        </w:rPr>
        <w:t>de</w:t>
      </w:r>
      <w:r>
        <w:rPr>
          <w:color w:val="231F20"/>
          <w:spacing w:val="-13"/>
        </w:rPr>
        <w:t> </w:t>
      </w:r>
      <w:r>
        <w:rPr>
          <w:color w:val="231F20"/>
          <w:spacing w:val="-2"/>
        </w:rPr>
        <w:t>este</w:t>
      </w:r>
      <w:r>
        <w:rPr>
          <w:color w:val="231F20"/>
          <w:spacing w:val="-13"/>
        </w:rPr>
        <w:t> </w:t>
      </w:r>
      <w:r>
        <w:rPr>
          <w:color w:val="231F20"/>
          <w:spacing w:val="-2"/>
        </w:rPr>
        <w:t>listado.</w:t>
      </w:r>
    </w:p>
    <w:p>
      <w:pPr>
        <w:pStyle w:val="BodyText"/>
        <w:spacing w:before="172"/>
        <w:ind w:left="673" w:right="1475"/>
      </w:pPr>
      <w:r>
        <w:rPr/>
        <mc:AlternateContent>
          <mc:Choice Requires="wps">
            <w:drawing>
              <wp:anchor distT="0" distB="0" distL="0" distR="0" allowOverlap="1" layoutInCell="1" locked="0" behindDoc="0" simplePos="0" relativeHeight="15775744">
                <wp:simplePos x="0" y="0"/>
                <wp:positionH relativeFrom="page">
                  <wp:posOffset>3815998</wp:posOffset>
                </wp:positionH>
                <wp:positionV relativeFrom="paragraph">
                  <wp:posOffset>193137</wp:posOffset>
                </wp:positionV>
                <wp:extent cx="59690" cy="59690"/>
                <wp:effectExtent l="0" t="0" r="0" b="0"/>
                <wp:wrapNone/>
                <wp:docPr id="150" name="Graphic 150"/>
                <wp:cNvGraphicFramePr>
                  <a:graphicFrameLocks/>
                </wp:cNvGraphicFramePr>
                <a:graphic>
                  <a:graphicData uri="http://schemas.microsoft.com/office/word/2010/wordprocessingShape">
                    <wps:wsp>
                      <wps:cNvPr id="150" name="Graphic 15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207712pt;width:4.7pt;height:4.7pt;mso-position-horizontal-relative:page;mso-position-vertical-relative:paragraph;z-index:15775744" id="docshape123" coordorigin="6009,304" coordsize="94,94" path="m6056,304l6038,308,6023,318,6013,333,6009,351,6013,369,6023,384,6038,394,6056,397,6074,394,6089,384,6099,369,6103,351,6099,333,6089,318,6074,308,6056,304xe" filled="true" fillcolor="#1a4796" stroked="false">
                <v:path arrowok="t"/>
                <v:fill type="solid"/>
                <w10:wrap type="none"/>
              </v:shape>
            </w:pict>
          </mc:Fallback>
        </mc:AlternateContent>
      </w:r>
      <w:r>
        <w:rPr>
          <w:b/>
          <w:color w:val="1A4796"/>
        </w:rPr>
        <w:t>El 2 de mayo de 2023, </w:t>
      </w:r>
      <w:r>
        <w:rPr>
          <w:color w:val="231F20"/>
        </w:rPr>
        <w:t>tuvo lugar en La Habana, el Evento Internacional de </w:t>
      </w:r>
      <w:r>
        <w:rPr>
          <w:color w:val="231F20"/>
          <w:spacing w:val="-2"/>
        </w:rPr>
        <w:t>Solidaridad</w:t>
      </w:r>
      <w:r>
        <w:rPr>
          <w:color w:val="231F20"/>
          <w:spacing w:val="-15"/>
        </w:rPr>
        <w:t> </w:t>
      </w:r>
      <w:r>
        <w:rPr>
          <w:color w:val="231F20"/>
          <w:spacing w:val="-2"/>
        </w:rPr>
        <w:t>con</w:t>
      </w:r>
      <w:r>
        <w:rPr>
          <w:color w:val="231F20"/>
          <w:spacing w:val="-14"/>
        </w:rPr>
        <w:t> </w:t>
      </w:r>
      <w:r>
        <w:rPr>
          <w:color w:val="231F20"/>
          <w:spacing w:val="-2"/>
        </w:rPr>
        <w:t>Cuba,</w:t>
      </w:r>
      <w:r>
        <w:rPr>
          <w:color w:val="231F20"/>
          <w:spacing w:val="-15"/>
        </w:rPr>
        <w:t> </w:t>
      </w:r>
      <w:r>
        <w:rPr>
          <w:color w:val="231F20"/>
          <w:spacing w:val="-2"/>
        </w:rPr>
        <w:t>que</w:t>
      </w:r>
      <w:r>
        <w:rPr>
          <w:color w:val="231F20"/>
          <w:spacing w:val="-14"/>
        </w:rPr>
        <w:t> </w:t>
      </w:r>
      <w:r>
        <w:rPr>
          <w:color w:val="231F20"/>
          <w:spacing w:val="-2"/>
        </w:rPr>
        <w:t>agrupó</w:t>
      </w:r>
      <w:r>
        <w:rPr>
          <w:color w:val="231F20"/>
          <w:spacing w:val="-15"/>
        </w:rPr>
        <w:t> </w:t>
      </w:r>
      <w:r>
        <w:rPr>
          <w:color w:val="231F20"/>
          <w:spacing w:val="-2"/>
        </w:rPr>
        <w:t>a</w:t>
      </w:r>
      <w:r>
        <w:rPr>
          <w:color w:val="231F20"/>
          <w:spacing w:val="-14"/>
        </w:rPr>
        <w:t> </w:t>
      </w:r>
      <w:r>
        <w:rPr>
          <w:color w:val="231F20"/>
          <w:spacing w:val="-2"/>
        </w:rPr>
        <w:t>más </w:t>
      </w:r>
      <w:r>
        <w:rPr>
          <w:color w:val="231F20"/>
          <w:spacing w:val="-8"/>
        </w:rPr>
        <w:t>de 271 organizaciones políticas,</w:t>
      </w:r>
      <w:r>
        <w:rPr>
          <w:color w:val="231F20"/>
        </w:rPr>
        <w:t> </w:t>
      </w:r>
      <w:r>
        <w:rPr>
          <w:color w:val="231F20"/>
          <w:spacing w:val="-8"/>
        </w:rPr>
        <w:t>sindicales </w:t>
      </w:r>
      <w:r>
        <w:rPr>
          <w:color w:val="231F20"/>
          <w:spacing w:val="-4"/>
        </w:rPr>
        <w:t>y</w:t>
      </w:r>
      <w:r>
        <w:rPr>
          <w:color w:val="231F20"/>
          <w:spacing w:val="-9"/>
        </w:rPr>
        <w:t> </w:t>
      </w:r>
      <w:r>
        <w:rPr>
          <w:color w:val="231F20"/>
          <w:spacing w:val="-4"/>
        </w:rPr>
        <w:t>sociales</w:t>
      </w:r>
      <w:r>
        <w:rPr>
          <w:color w:val="231F20"/>
          <w:spacing w:val="-9"/>
        </w:rPr>
        <w:t> </w:t>
      </w:r>
      <w:r>
        <w:rPr>
          <w:color w:val="231F20"/>
          <w:spacing w:val="-4"/>
        </w:rPr>
        <w:t>de</w:t>
      </w:r>
      <w:r>
        <w:rPr>
          <w:color w:val="231F20"/>
          <w:spacing w:val="-9"/>
        </w:rPr>
        <w:t> </w:t>
      </w:r>
      <w:r>
        <w:rPr>
          <w:color w:val="231F20"/>
          <w:spacing w:val="-4"/>
        </w:rPr>
        <w:t>58</w:t>
      </w:r>
      <w:r>
        <w:rPr>
          <w:color w:val="231F20"/>
          <w:spacing w:val="-9"/>
        </w:rPr>
        <w:t> </w:t>
      </w:r>
      <w:r>
        <w:rPr>
          <w:color w:val="231F20"/>
          <w:spacing w:val="-4"/>
        </w:rPr>
        <w:t>países.</w:t>
      </w:r>
      <w:r>
        <w:rPr>
          <w:color w:val="231F20"/>
          <w:spacing w:val="-9"/>
        </w:rPr>
        <w:t> </w:t>
      </w:r>
      <w:r>
        <w:rPr>
          <w:color w:val="231F20"/>
          <w:spacing w:val="-4"/>
        </w:rPr>
        <w:t>En</w:t>
      </w:r>
      <w:r>
        <w:rPr>
          <w:color w:val="231F20"/>
          <w:spacing w:val="-9"/>
        </w:rPr>
        <w:t> </w:t>
      </w:r>
      <w:r>
        <w:rPr>
          <w:color w:val="231F20"/>
          <w:spacing w:val="-4"/>
        </w:rPr>
        <w:t>su</w:t>
      </w:r>
      <w:r>
        <w:rPr>
          <w:color w:val="231F20"/>
          <w:spacing w:val="-9"/>
        </w:rPr>
        <w:t> </w:t>
      </w:r>
      <w:r>
        <w:rPr>
          <w:color w:val="231F20"/>
          <w:spacing w:val="-4"/>
        </w:rPr>
        <w:t>declaración </w:t>
      </w:r>
      <w:r>
        <w:rPr>
          <w:color w:val="231F20"/>
        </w:rPr>
        <w:t>final, se exigió la inmediata exclusión de</w:t>
      </w:r>
      <w:r>
        <w:rPr>
          <w:color w:val="231F20"/>
          <w:spacing w:val="-1"/>
        </w:rPr>
        <w:t> </w:t>
      </w:r>
      <w:r>
        <w:rPr>
          <w:color w:val="231F20"/>
        </w:rPr>
        <w:t>Cuba</w:t>
      </w:r>
      <w:r>
        <w:rPr>
          <w:color w:val="231F20"/>
          <w:spacing w:val="-1"/>
        </w:rPr>
        <w:t> </w:t>
      </w:r>
      <w:r>
        <w:rPr>
          <w:color w:val="231F20"/>
        </w:rPr>
        <w:t>de</w:t>
      </w:r>
      <w:r>
        <w:rPr>
          <w:color w:val="231F20"/>
          <w:spacing w:val="-1"/>
        </w:rPr>
        <w:t> </w:t>
      </w:r>
      <w:r>
        <w:rPr>
          <w:color w:val="231F20"/>
        </w:rPr>
        <w:t>la</w:t>
      </w:r>
      <w:r>
        <w:rPr>
          <w:color w:val="231F20"/>
          <w:spacing w:val="-1"/>
        </w:rPr>
        <w:t> </w:t>
      </w:r>
      <w:r>
        <w:rPr>
          <w:color w:val="231F20"/>
        </w:rPr>
        <w:t>ilegítima</w:t>
      </w:r>
      <w:r>
        <w:rPr>
          <w:color w:val="231F20"/>
          <w:spacing w:val="-1"/>
        </w:rPr>
        <w:t> </w:t>
      </w:r>
      <w:r>
        <w:rPr>
          <w:color w:val="231F20"/>
        </w:rPr>
        <w:t>lista</w:t>
      </w:r>
      <w:r>
        <w:rPr>
          <w:color w:val="231F20"/>
          <w:spacing w:val="-1"/>
        </w:rPr>
        <w:t> </w:t>
      </w:r>
      <w:r>
        <w:rPr>
          <w:color w:val="231F20"/>
        </w:rPr>
        <w:t>de</w:t>
      </w:r>
      <w:r>
        <w:rPr>
          <w:color w:val="231F20"/>
          <w:spacing w:val="-1"/>
        </w:rPr>
        <w:t> </w:t>
      </w:r>
      <w:r>
        <w:rPr>
          <w:color w:val="231F20"/>
        </w:rPr>
        <w:t>Estados </w:t>
      </w:r>
      <w:r>
        <w:rPr>
          <w:color w:val="231F20"/>
          <w:spacing w:val="-2"/>
        </w:rPr>
        <w:t>patrocinadores</w:t>
      </w:r>
      <w:r>
        <w:rPr>
          <w:color w:val="231F20"/>
          <w:spacing w:val="-15"/>
        </w:rPr>
        <w:t> </w:t>
      </w:r>
      <w:r>
        <w:rPr>
          <w:color w:val="231F20"/>
          <w:spacing w:val="-2"/>
        </w:rPr>
        <w:t>del</w:t>
      </w:r>
      <w:r>
        <w:rPr>
          <w:color w:val="231F20"/>
          <w:spacing w:val="-14"/>
        </w:rPr>
        <w:t> </w:t>
      </w:r>
      <w:r>
        <w:rPr>
          <w:color w:val="231F20"/>
          <w:spacing w:val="-2"/>
        </w:rPr>
        <w:t>terrorismo,</w:t>
      </w:r>
      <w:r>
        <w:rPr>
          <w:color w:val="231F20"/>
          <w:spacing w:val="-15"/>
        </w:rPr>
        <w:t> </w:t>
      </w:r>
      <w:r>
        <w:rPr>
          <w:color w:val="231F20"/>
          <w:spacing w:val="-2"/>
        </w:rPr>
        <w:t>impuesta </w:t>
      </w:r>
      <w:r>
        <w:rPr>
          <w:color w:val="231F20"/>
        </w:rPr>
        <w:t>de manera unilateral, ilegal e inmoral por el gobierno de los Estados Unidos. Acordaron movilizarse a lo largo de los cinco continentes para que se </w:t>
      </w:r>
      <w:r>
        <w:rPr>
          <w:color w:val="231F20"/>
        </w:rPr>
        <w:t>ponga fin</w:t>
      </w:r>
      <w:r>
        <w:rPr>
          <w:color w:val="231F20"/>
          <w:spacing w:val="-3"/>
        </w:rPr>
        <w:t> </w:t>
      </w:r>
      <w:r>
        <w:rPr>
          <w:color w:val="231F20"/>
        </w:rPr>
        <w:t>al</w:t>
      </w:r>
      <w:r>
        <w:rPr>
          <w:color w:val="231F20"/>
          <w:spacing w:val="-4"/>
        </w:rPr>
        <w:t> </w:t>
      </w:r>
      <w:r>
        <w:rPr>
          <w:color w:val="231F20"/>
        </w:rPr>
        <w:t>recrudecido</w:t>
      </w:r>
      <w:r>
        <w:rPr>
          <w:color w:val="231F20"/>
          <w:spacing w:val="-3"/>
        </w:rPr>
        <w:t> </w:t>
      </w:r>
      <w:r>
        <w:rPr>
          <w:color w:val="231F20"/>
        </w:rPr>
        <w:t>bloqueo,</w:t>
      </w:r>
      <w:r>
        <w:rPr>
          <w:color w:val="231F20"/>
          <w:spacing w:val="-3"/>
        </w:rPr>
        <w:t> </w:t>
      </w:r>
      <w:r>
        <w:rPr>
          <w:color w:val="231F20"/>
        </w:rPr>
        <w:t>que</w:t>
      </w:r>
      <w:r>
        <w:rPr>
          <w:color w:val="231F20"/>
          <w:spacing w:val="-3"/>
        </w:rPr>
        <w:t> </w:t>
      </w:r>
      <w:r>
        <w:rPr>
          <w:color w:val="231F20"/>
        </w:rPr>
        <w:t>daña</w:t>
      </w:r>
      <w:r>
        <w:rPr>
          <w:color w:val="231F20"/>
          <w:spacing w:val="-3"/>
        </w:rPr>
        <w:t> </w:t>
      </w:r>
      <w:r>
        <w:rPr>
          <w:color w:val="231F20"/>
        </w:rPr>
        <w:t>el </w:t>
      </w:r>
      <w:r>
        <w:rPr>
          <w:color w:val="231F20"/>
          <w:spacing w:val="-6"/>
        </w:rPr>
        <w:t>desarrollo</w:t>
      </w:r>
      <w:r>
        <w:rPr>
          <w:color w:val="231F20"/>
          <w:spacing w:val="-7"/>
        </w:rPr>
        <w:t> </w:t>
      </w:r>
      <w:r>
        <w:rPr>
          <w:color w:val="231F20"/>
          <w:spacing w:val="-6"/>
        </w:rPr>
        <w:t>y</w:t>
      </w:r>
      <w:r>
        <w:rPr>
          <w:color w:val="231F20"/>
          <w:spacing w:val="-4"/>
        </w:rPr>
        <w:t> </w:t>
      </w:r>
      <w:r>
        <w:rPr>
          <w:color w:val="231F20"/>
          <w:spacing w:val="-6"/>
        </w:rPr>
        <w:t>bienestar</w:t>
      </w:r>
      <w:r>
        <w:rPr>
          <w:color w:val="231F20"/>
          <w:spacing w:val="-4"/>
        </w:rPr>
        <w:t> </w:t>
      </w:r>
      <w:r>
        <w:rPr>
          <w:color w:val="231F20"/>
          <w:spacing w:val="-6"/>
        </w:rPr>
        <w:t>del</w:t>
      </w:r>
      <w:r>
        <w:rPr>
          <w:color w:val="231F20"/>
          <w:spacing w:val="-5"/>
        </w:rPr>
        <w:t> </w:t>
      </w:r>
      <w:r>
        <w:rPr>
          <w:color w:val="231F20"/>
          <w:spacing w:val="-6"/>
        </w:rPr>
        <w:t>pueblo</w:t>
      </w:r>
      <w:r>
        <w:rPr>
          <w:color w:val="231F20"/>
          <w:spacing w:val="-4"/>
        </w:rPr>
        <w:t> </w:t>
      </w:r>
      <w:r>
        <w:rPr>
          <w:color w:val="231F20"/>
          <w:spacing w:val="-6"/>
        </w:rPr>
        <w:t>cubano.</w:t>
      </w:r>
    </w:p>
    <w:p>
      <w:pPr>
        <w:spacing w:after="0"/>
        <w:sectPr>
          <w:pgSz w:w="11910" w:h="16840"/>
          <w:pgMar w:header="0" w:footer="695" w:top="1260" w:bottom="880" w:left="0" w:right="0"/>
          <w:cols w:num="2" w:equalWidth="0">
            <w:col w:w="5557" w:space="40"/>
            <w:col w:w="6313"/>
          </w:cols>
        </w:sectPr>
      </w:pPr>
    </w:p>
    <w:p>
      <w:pPr>
        <w:pStyle w:val="BodyText"/>
        <w:spacing w:before="77"/>
        <w:ind w:left="1734" w:right="6007"/>
      </w:pPr>
      <w:r>
        <w:rPr/>
        <mc:AlternateContent>
          <mc:Choice Requires="wps">
            <w:drawing>
              <wp:anchor distT="0" distB="0" distL="0" distR="0" allowOverlap="1" layoutInCell="1" locked="0" behindDoc="0" simplePos="0" relativeHeight="15777280">
                <wp:simplePos x="0" y="0"/>
                <wp:positionH relativeFrom="page">
                  <wp:posOffset>935997</wp:posOffset>
                </wp:positionH>
                <wp:positionV relativeFrom="paragraph">
                  <wp:posOffset>131798</wp:posOffset>
                </wp:positionV>
                <wp:extent cx="59690" cy="59690"/>
                <wp:effectExtent l="0" t="0" r="0" b="0"/>
                <wp:wrapNone/>
                <wp:docPr id="151" name="Graphic 151"/>
                <wp:cNvGraphicFramePr>
                  <a:graphicFrameLocks/>
                </wp:cNvGraphicFramePr>
                <a:graphic>
                  <a:graphicData uri="http://schemas.microsoft.com/office/word/2010/wordprocessingShape">
                    <wps:wsp>
                      <wps:cNvPr id="151" name="Graphic 15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0.3778pt;width:4.7pt;height:4.7pt;mso-position-horizontal-relative:page;mso-position-vertical-relative:paragraph;z-index:15777280" id="docshape124" coordorigin="1474,208" coordsize="94,94" path="m1521,208l1502,211,1488,221,1478,236,1474,254,1478,272,1488,287,1502,297,1521,301,1539,297,1554,287,1564,272,1567,254,1564,236,1554,221,1539,211,1521,208xe" filled="true" fillcolor="#1a4796" stroked="false">
                <v:path arrowok="t"/>
                <v:fill type="solid"/>
                <w10:wrap type="none"/>
              </v:shape>
            </w:pict>
          </mc:Fallback>
        </mc:AlternateContent>
      </w:r>
      <w:r>
        <w:rPr>
          <w:b/>
          <w:color w:val="1A4796"/>
          <w:spacing w:val="-8"/>
        </w:rPr>
        <w:t>El</w:t>
      </w:r>
      <w:r>
        <w:rPr>
          <w:b/>
          <w:color w:val="1A4796"/>
          <w:spacing w:val="-9"/>
        </w:rPr>
        <w:t> </w:t>
      </w:r>
      <w:r>
        <w:rPr>
          <w:b/>
          <w:color w:val="1A4796"/>
          <w:spacing w:val="-8"/>
        </w:rPr>
        <w:t>12</w:t>
      </w:r>
      <w:r>
        <w:rPr>
          <w:b/>
          <w:color w:val="1A4796"/>
          <w:spacing w:val="-9"/>
        </w:rPr>
        <w:t> </w:t>
      </w:r>
      <w:r>
        <w:rPr>
          <w:b/>
          <w:color w:val="1A4796"/>
          <w:spacing w:val="-8"/>
        </w:rPr>
        <w:t>de mayo</w:t>
      </w:r>
      <w:r>
        <w:rPr>
          <w:b/>
          <w:color w:val="1A4796"/>
          <w:spacing w:val="-9"/>
        </w:rPr>
        <w:t> </w:t>
      </w:r>
      <w:r>
        <w:rPr>
          <w:b/>
          <w:color w:val="1A4796"/>
          <w:spacing w:val="-8"/>
        </w:rPr>
        <w:t>de 2023,</w:t>
      </w:r>
      <w:r>
        <w:rPr>
          <w:b/>
          <w:color w:val="1A4796"/>
          <w:spacing w:val="-6"/>
        </w:rPr>
        <w:t> </w:t>
      </w:r>
      <w:r>
        <w:rPr>
          <w:color w:val="231F20"/>
          <w:spacing w:val="-8"/>
        </w:rPr>
        <w:t>en la</w:t>
      </w:r>
      <w:r>
        <w:rPr>
          <w:color w:val="231F20"/>
          <w:spacing w:val="-9"/>
        </w:rPr>
        <w:t> </w:t>
      </w:r>
      <w:r>
        <w:rPr>
          <w:color w:val="231F20"/>
          <w:spacing w:val="-8"/>
        </w:rPr>
        <w:t>declaración </w:t>
      </w:r>
      <w:r>
        <w:rPr>
          <w:color w:val="231F20"/>
          <w:spacing w:val="-2"/>
        </w:rPr>
        <w:t>final</w:t>
      </w:r>
      <w:r>
        <w:rPr>
          <w:color w:val="231F20"/>
          <w:spacing w:val="-15"/>
        </w:rPr>
        <w:t> </w:t>
      </w:r>
      <w:r>
        <w:rPr>
          <w:color w:val="231F20"/>
          <w:spacing w:val="-2"/>
        </w:rPr>
        <w:t>de</w:t>
      </w:r>
      <w:r>
        <w:rPr>
          <w:color w:val="231F20"/>
          <w:spacing w:val="-14"/>
        </w:rPr>
        <w:t> </w:t>
      </w:r>
      <w:r>
        <w:rPr>
          <w:color w:val="231F20"/>
          <w:spacing w:val="-2"/>
        </w:rPr>
        <w:t>la</w:t>
      </w:r>
      <w:r>
        <w:rPr>
          <w:color w:val="231F20"/>
          <w:spacing w:val="-15"/>
        </w:rPr>
        <w:t> </w:t>
      </w:r>
      <w:r>
        <w:rPr>
          <w:color w:val="231F20"/>
          <w:spacing w:val="-2"/>
        </w:rPr>
        <w:t>IX</w:t>
      </w:r>
      <w:r>
        <w:rPr>
          <w:color w:val="231F20"/>
          <w:spacing w:val="-14"/>
        </w:rPr>
        <w:t> </w:t>
      </w:r>
      <w:r>
        <w:rPr>
          <w:color w:val="231F20"/>
          <w:spacing w:val="-2"/>
        </w:rPr>
        <w:t>Cumbre</w:t>
      </w:r>
      <w:r>
        <w:rPr>
          <w:color w:val="231F20"/>
          <w:spacing w:val="-15"/>
        </w:rPr>
        <w:t> </w:t>
      </w:r>
      <w:r>
        <w:rPr>
          <w:color w:val="231F20"/>
          <w:spacing w:val="-2"/>
        </w:rPr>
        <w:t>de</w:t>
      </w:r>
      <w:r>
        <w:rPr>
          <w:color w:val="231F20"/>
          <w:spacing w:val="-14"/>
        </w:rPr>
        <w:t> </w:t>
      </w:r>
      <w:r>
        <w:rPr>
          <w:color w:val="231F20"/>
          <w:spacing w:val="-2"/>
        </w:rPr>
        <w:t>la</w:t>
      </w:r>
      <w:r>
        <w:rPr>
          <w:color w:val="231F20"/>
          <w:spacing w:val="-15"/>
        </w:rPr>
        <w:t> </w:t>
      </w:r>
      <w:r>
        <w:rPr>
          <w:color w:val="231F20"/>
          <w:spacing w:val="-2"/>
        </w:rPr>
        <w:t>Asociación</w:t>
      </w:r>
      <w:r>
        <w:rPr>
          <w:color w:val="231F20"/>
          <w:spacing w:val="-14"/>
        </w:rPr>
        <w:t> </w:t>
      </w:r>
      <w:r>
        <w:rPr>
          <w:color w:val="231F20"/>
          <w:spacing w:val="-2"/>
        </w:rPr>
        <w:t>de </w:t>
      </w:r>
      <w:r>
        <w:rPr>
          <w:color w:val="231F20"/>
          <w:spacing w:val="-6"/>
        </w:rPr>
        <w:t>Estados</w:t>
      </w:r>
      <w:r>
        <w:rPr>
          <w:color w:val="231F20"/>
          <w:spacing w:val="-11"/>
        </w:rPr>
        <w:t> </w:t>
      </w:r>
      <w:r>
        <w:rPr>
          <w:color w:val="231F20"/>
          <w:spacing w:val="-6"/>
        </w:rPr>
        <w:t>del</w:t>
      </w:r>
      <w:r>
        <w:rPr>
          <w:color w:val="231F20"/>
          <w:spacing w:val="-10"/>
        </w:rPr>
        <w:t> </w:t>
      </w:r>
      <w:r>
        <w:rPr>
          <w:color w:val="231F20"/>
          <w:spacing w:val="-6"/>
        </w:rPr>
        <w:t>Caribe,</w:t>
      </w:r>
      <w:r>
        <w:rPr>
          <w:color w:val="231F20"/>
          <w:spacing w:val="-11"/>
        </w:rPr>
        <w:t> </w:t>
      </w:r>
      <w:r>
        <w:rPr>
          <w:color w:val="231F20"/>
          <w:spacing w:val="-6"/>
        </w:rPr>
        <w:t>sus</w:t>
      </w:r>
      <w:r>
        <w:rPr>
          <w:color w:val="231F20"/>
          <w:spacing w:val="-10"/>
        </w:rPr>
        <w:t> </w:t>
      </w:r>
      <w:r>
        <w:rPr>
          <w:color w:val="231F20"/>
          <w:spacing w:val="-6"/>
        </w:rPr>
        <w:t>Estados</w:t>
      </w:r>
      <w:r>
        <w:rPr>
          <w:color w:val="231F20"/>
          <w:spacing w:val="-11"/>
        </w:rPr>
        <w:t> </w:t>
      </w:r>
      <w:r>
        <w:rPr>
          <w:color w:val="231F20"/>
          <w:spacing w:val="-6"/>
        </w:rPr>
        <w:t>Miembros </w:t>
      </w:r>
      <w:r>
        <w:rPr>
          <w:color w:val="231F20"/>
        </w:rPr>
        <w:t>solicitaron</w:t>
      </w:r>
      <w:r>
        <w:rPr>
          <w:color w:val="231F20"/>
          <w:spacing w:val="-16"/>
        </w:rPr>
        <w:t> </w:t>
      </w:r>
      <w:r>
        <w:rPr>
          <w:color w:val="231F20"/>
        </w:rPr>
        <w:t>a</w:t>
      </w:r>
      <w:r>
        <w:rPr>
          <w:color w:val="231F20"/>
          <w:spacing w:val="-16"/>
        </w:rPr>
        <w:t> </w:t>
      </w:r>
      <w:r>
        <w:rPr>
          <w:color w:val="231F20"/>
        </w:rPr>
        <w:t>los</w:t>
      </w:r>
      <w:r>
        <w:rPr>
          <w:color w:val="231F20"/>
          <w:spacing w:val="-16"/>
        </w:rPr>
        <w:t> </w:t>
      </w:r>
      <w:r>
        <w:rPr>
          <w:color w:val="231F20"/>
        </w:rPr>
        <w:t>Estados</w:t>
      </w:r>
      <w:r>
        <w:rPr>
          <w:color w:val="231F20"/>
          <w:spacing w:val="-16"/>
        </w:rPr>
        <w:t> </w:t>
      </w:r>
      <w:r>
        <w:rPr>
          <w:color w:val="231F20"/>
        </w:rPr>
        <w:t>Unidos</w:t>
      </w:r>
      <w:r>
        <w:rPr>
          <w:color w:val="231F20"/>
          <w:spacing w:val="-16"/>
        </w:rPr>
        <w:t> </w:t>
      </w:r>
      <w:r>
        <w:rPr>
          <w:color w:val="231F20"/>
        </w:rPr>
        <w:t>retirar</w:t>
      </w:r>
      <w:r>
        <w:rPr>
          <w:color w:val="231F20"/>
          <w:spacing w:val="-16"/>
        </w:rPr>
        <w:t> </w:t>
      </w:r>
      <w:r>
        <w:rPr>
          <w:color w:val="231F20"/>
        </w:rPr>
        <w:t>a Cuba de la espuria lista de Estados que </w:t>
      </w:r>
      <w:r>
        <w:rPr>
          <w:color w:val="231F20"/>
          <w:spacing w:val="-2"/>
        </w:rPr>
        <w:t>supuestamente</w:t>
      </w:r>
      <w:r>
        <w:rPr>
          <w:color w:val="231F20"/>
          <w:spacing w:val="-13"/>
        </w:rPr>
        <w:t> </w:t>
      </w:r>
      <w:r>
        <w:rPr>
          <w:color w:val="231F20"/>
          <w:spacing w:val="-2"/>
        </w:rPr>
        <w:t>patrocinan</w:t>
      </w:r>
      <w:r>
        <w:rPr>
          <w:color w:val="231F20"/>
          <w:spacing w:val="-13"/>
        </w:rPr>
        <w:t> </w:t>
      </w:r>
      <w:r>
        <w:rPr>
          <w:color w:val="231F20"/>
          <w:spacing w:val="-2"/>
        </w:rPr>
        <w:t>el</w:t>
      </w:r>
      <w:r>
        <w:rPr>
          <w:color w:val="231F20"/>
          <w:spacing w:val="-13"/>
        </w:rPr>
        <w:t> </w:t>
      </w:r>
      <w:r>
        <w:rPr>
          <w:color w:val="231F20"/>
          <w:spacing w:val="-2"/>
        </w:rPr>
        <w:t>terrorismo </w:t>
      </w:r>
      <w:r>
        <w:rPr>
          <w:color w:val="231F20"/>
        </w:rPr>
        <w:t>internacional y reiteraron su llamado </w:t>
      </w:r>
      <w:r>
        <w:rPr>
          <w:color w:val="231F20"/>
        </w:rPr>
        <w:t>a que</w:t>
      </w:r>
      <w:r>
        <w:rPr>
          <w:color w:val="231F20"/>
          <w:spacing w:val="-17"/>
        </w:rPr>
        <w:t> </w:t>
      </w:r>
      <w:r>
        <w:rPr>
          <w:color w:val="231F20"/>
        </w:rPr>
        <w:t>se</w:t>
      </w:r>
      <w:r>
        <w:rPr>
          <w:color w:val="231F20"/>
          <w:spacing w:val="-16"/>
        </w:rPr>
        <w:t> </w:t>
      </w:r>
      <w:r>
        <w:rPr>
          <w:color w:val="231F20"/>
        </w:rPr>
        <w:t>levante</w:t>
      </w:r>
      <w:r>
        <w:rPr>
          <w:color w:val="231F20"/>
          <w:spacing w:val="-17"/>
        </w:rPr>
        <w:t> </w:t>
      </w:r>
      <w:r>
        <w:rPr>
          <w:color w:val="231F20"/>
        </w:rPr>
        <w:t>el</w:t>
      </w:r>
      <w:r>
        <w:rPr>
          <w:color w:val="231F20"/>
          <w:spacing w:val="-16"/>
        </w:rPr>
        <w:t> </w:t>
      </w:r>
      <w:r>
        <w:rPr>
          <w:color w:val="231F20"/>
        </w:rPr>
        <w:t>bloqueo</w:t>
      </w:r>
      <w:r>
        <w:rPr>
          <w:color w:val="231F20"/>
          <w:spacing w:val="-17"/>
        </w:rPr>
        <w:t> </w:t>
      </w:r>
      <w:r>
        <w:rPr>
          <w:color w:val="231F20"/>
        </w:rPr>
        <w:t>contra</w:t>
      </w:r>
      <w:r>
        <w:rPr>
          <w:color w:val="231F20"/>
          <w:spacing w:val="-16"/>
        </w:rPr>
        <w:t> </w:t>
      </w:r>
      <w:r>
        <w:rPr>
          <w:color w:val="231F20"/>
        </w:rPr>
        <w:t>el</w:t>
      </w:r>
      <w:r>
        <w:rPr>
          <w:color w:val="231F20"/>
          <w:spacing w:val="-17"/>
        </w:rPr>
        <w:t> </w:t>
      </w:r>
      <w:r>
        <w:rPr>
          <w:color w:val="231F20"/>
        </w:rPr>
        <w:t>país.</w:t>
      </w:r>
    </w:p>
    <w:p>
      <w:pPr>
        <w:pStyle w:val="BodyText"/>
        <w:spacing w:before="234"/>
        <w:jc w:val="left"/>
        <w:rPr>
          <w:sz w:val="20"/>
        </w:rPr>
      </w:pPr>
      <w:r>
        <w:rPr/>
        <mc:AlternateContent>
          <mc:Choice Requires="wps">
            <w:drawing>
              <wp:anchor distT="0" distB="0" distL="0" distR="0" allowOverlap="1" layoutInCell="1" locked="0" behindDoc="1" simplePos="0" relativeHeight="487635968">
                <wp:simplePos x="0" y="0"/>
                <wp:positionH relativeFrom="page">
                  <wp:posOffset>2834652</wp:posOffset>
                </wp:positionH>
                <wp:positionV relativeFrom="paragraph">
                  <wp:posOffset>332749</wp:posOffset>
                </wp:positionV>
                <wp:extent cx="909319" cy="26034"/>
                <wp:effectExtent l="0" t="0" r="0" b="0"/>
                <wp:wrapTopAndBottom/>
                <wp:docPr id="152" name="Graphic 152"/>
                <wp:cNvGraphicFramePr>
                  <a:graphicFrameLocks/>
                </wp:cNvGraphicFramePr>
                <a:graphic>
                  <a:graphicData uri="http://schemas.microsoft.com/office/word/2010/wordprocessingShape">
                    <wps:wsp>
                      <wps:cNvPr id="152" name="Graphic 152"/>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23.201004pt;margin-top:26.200781pt;width:71.584pt;height:2.021pt;mso-position-horizontal-relative:page;mso-position-vertical-relative:paragraph;z-index:-15680512;mso-wrap-distance-left:0;mso-wrap-distance-right:0" id="docshape125"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sectPr>
      </w:pPr>
    </w:p>
    <w:p>
      <w:pPr>
        <w:pStyle w:val="Heading1"/>
        <w:spacing w:before="154"/>
        <w:ind w:left="1105"/>
      </w:pPr>
      <w:r>
        <w:rPr>
          <w:color w:val="1A4796"/>
          <w:spacing w:val="-2"/>
          <w:w w:val="115"/>
        </w:rPr>
        <w:t>Conclusiones</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636992">
                <wp:simplePos x="0" y="0"/>
                <wp:positionH relativeFrom="page">
                  <wp:posOffset>720001</wp:posOffset>
                </wp:positionH>
                <wp:positionV relativeFrom="paragraph">
                  <wp:posOffset>288395</wp:posOffset>
                </wp:positionV>
                <wp:extent cx="909319" cy="26034"/>
                <wp:effectExtent l="0" t="0" r="0" b="0"/>
                <wp:wrapTopAndBottom/>
                <wp:docPr id="153" name="Graphic 153"/>
                <wp:cNvGraphicFramePr>
                  <a:graphicFrameLocks/>
                </wp:cNvGraphicFramePr>
                <a:graphic>
                  <a:graphicData uri="http://schemas.microsoft.com/office/word/2010/wordprocessingShape">
                    <wps:wsp>
                      <wps:cNvPr id="153" name="Graphic 153"/>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56.693001pt;margin-top:22.708281pt;width:71.584pt;height:2.021pt;mso-position-horizontal-relative:page;mso-position-vertical-relative:paragraph;z-index:-15679488;mso-wrap-distance-left:0;mso-wrap-distance-right:0" id="docshape126" filled="true" fillcolor="#b52628" stroked="false">
                <v:fill type="solid"/>
                <w10:wrap type="topAndBottom"/>
              </v:rect>
            </w:pict>
          </mc:Fallback>
        </mc:AlternateContent>
      </w:r>
    </w:p>
    <w:p>
      <w:pPr>
        <w:pStyle w:val="BodyText"/>
        <w:spacing w:before="186"/>
        <w:jc w:val="left"/>
        <w:rPr>
          <w:rFonts w:ascii="Trebuchet MS"/>
          <w:sz w:val="20"/>
        </w:rPr>
      </w:pPr>
    </w:p>
    <w:p>
      <w:pPr>
        <w:spacing w:after="0"/>
        <w:jc w:val="left"/>
        <w:rPr>
          <w:rFonts w:ascii="Trebuchet MS"/>
          <w:sz w:val="20"/>
        </w:rPr>
        <w:sectPr>
          <w:pgSz w:w="11910" w:h="16840"/>
          <w:pgMar w:header="0" w:footer="695" w:top="1920" w:bottom="880" w:left="0" w:right="0"/>
        </w:sectPr>
      </w:pPr>
    </w:p>
    <w:p>
      <w:pPr>
        <w:pStyle w:val="BodyText"/>
        <w:spacing w:before="100"/>
        <w:ind w:left="1133" w:right="1"/>
      </w:pPr>
      <w:r>
        <w:rPr>
          <w:color w:val="231F20"/>
        </w:rPr>
        <w:t>Ninguna familia cubana escapa de los </w:t>
      </w:r>
      <w:r>
        <w:rPr>
          <w:color w:val="231F20"/>
          <w:spacing w:val="-2"/>
        </w:rPr>
        <w:t>efectos</w:t>
      </w:r>
      <w:r>
        <w:rPr>
          <w:color w:val="231F20"/>
          <w:spacing w:val="-14"/>
        </w:rPr>
        <w:t> </w:t>
      </w:r>
      <w:r>
        <w:rPr>
          <w:color w:val="231F20"/>
          <w:spacing w:val="-2"/>
        </w:rPr>
        <w:t>del</w:t>
      </w:r>
      <w:r>
        <w:rPr>
          <w:color w:val="231F20"/>
          <w:spacing w:val="-14"/>
        </w:rPr>
        <w:t> </w:t>
      </w:r>
      <w:r>
        <w:rPr>
          <w:color w:val="231F20"/>
          <w:spacing w:val="-2"/>
        </w:rPr>
        <w:t>bloqueo</w:t>
      </w:r>
      <w:r>
        <w:rPr>
          <w:color w:val="231F20"/>
          <w:spacing w:val="-14"/>
        </w:rPr>
        <w:t> </w:t>
      </w:r>
      <w:r>
        <w:rPr>
          <w:color w:val="231F20"/>
          <w:spacing w:val="-2"/>
        </w:rPr>
        <w:t>de</w:t>
      </w:r>
      <w:r>
        <w:rPr>
          <w:color w:val="231F20"/>
          <w:spacing w:val="-14"/>
        </w:rPr>
        <w:t> </w:t>
      </w:r>
      <w:r>
        <w:rPr>
          <w:color w:val="231F20"/>
          <w:spacing w:val="-2"/>
        </w:rPr>
        <w:t>los</w:t>
      </w:r>
      <w:r>
        <w:rPr>
          <w:color w:val="231F20"/>
          <w:spacing w:val="-14"/>
        </w:rPr>
        <w:t> </w:t>
      </w:r>
      <w:r>
        <w:rPr>
          <w:color w:val="231F20"/>
          <w:spacing w:val="-2"/>
        </w:rPr>
        <w:t>Estados</w:t>
      </w:r>
      <w:r>
        <w:rPr>
          <w:color w:val="231F20"/>
          <w:spacing w:val="-14"/>
        </w:rPr>
        <w:t> </w:t>
      </w:r>
      <w:r>
        <w:rPr>
          <w:color w:val="231F20"/>
          <w:spacing w:val="-2"/>
        </w:rPr>
        <w:t>Unidos, </w:t>
      </w:r>
      <w:r>
        <w:rPr>
          <w:color w:val="231F20"/>
        </w:rPr>
        <w:t>el más prolongado, cruel y abarcador </w:t>
      </w:r>
      <w:r>
        <w:rPr>
          <w:color w:val="231F20"/>
          <w:spacing w:val="-2"/>
        </w:rPr>
        <w:t>sistema</w:t>
      </w:r>
      <w:r>
        <w:rPr>
          <w:color w:val="231F20"/>
          <w:spacing w:val="-15"/>
        </w:rPr>
        <w:t> </w:t>
      </w:r>
      <w:r>
        <w:rPr>
          <w:color w:val="231F20"/>
          <w:spacing w:val="-2"/>
        </w:rPr>
        <w:t>de</w:t>
      </w:r>
      <w:r>
        <w:rPr>
          <w:color w:val="231F20"/>
          <w:spacing w:val="-14"/>
        </w:rPr>
        <w:t> </w:t>
      </w:r>
      <w:r>
        <w:rPr>
          <w:color w:val="231F20"/>
          <w:spacing w:val="-2"/>
        </w:rPr>
        <w:t>medidas</w:t>
      </w:r>
      <w:r>
        <w:rPr>
          <w:color w:val="231F20"/>
          <w:spacing w:val="-15"/>
        </w:rPr>
        <w:t> </w:t>
      </w:r>
      <w:r>
        <w:rPr>
          <w:color w:val="231F20"/>
          <w:spacing w:val="-2"/>
        </w:rPr>
        <w:t>coercitivas</w:t>
      </w:r>
      <w:r>
        <w:rPr>
          <w:color w:val="231F20"/>
          <w:spacing w:val="-14"/>
        </w:rPr>
        <w:t> </w:t>
      </w:r>
      <w:r>
        <w:rPr>
          <w:color w:val="231F20"/>
          <w:spacing w:val="-2"/>
        </w:rPr>
        <w:t>unilaterales </w:t>
      </w:r>
      <w:r>
        <w:rPr>
          <w:color w:val="231F20"/>
        </w:rPr>
        <w:t>jamás aplicado contra nación alguna.</w:t>
      </w:r>
    </w:p>
    <w:p>
      <w:pPr>
        <w:pStyle w:val="BodyText"/>
        <w:spacing w:before="164"/>
        <w:ind w:left="1133"/>
      </w:pPr>
      <w:r>
        <w:rPr>
          <w:color w:val="231F20"/>
        </w:rPr>
        <w:t>Como expresara el General de Ejército Raúl</w:t>
      </w:r>
      <w:r>
        <w:rPr>
          <w:color w:val="231F20"/>
          <w:spacing w:val="40"/>
        </w:rPr>
        <w:t> </w:t>
      </w:r>
      <w:r>
        <w:rPr>
          <w:color w:val="231F20"/>
        </w:rPr>
        <w:t>Castro</w:t>
      </w:r>
      <w:r>
        <w:rPr>
          <w:color w:val="231F20"/>
          <w:spacing w:val="40"/>
        </w:rPr>
        <w:t> </w:t>
      </w:r>
      <w:r>
        <w:rPr>
          <w:color w:val="231F20"/>
        </w:rPr>
        <w:t>Ruz</w:t>
      </w:r>
      <w:r>
        <w:rPr>
          <w:color w:val="231F20"/>
          <w:spacing w:val="40"/>
        </w:rPr>
        <w:t> </w:t>
      </w:r>
      <w:r>
        <w:rPr>
          <w:color w:val="231F20"/>
        </w:rPr>
        <w:t>el</w:t>
      </w:r>
      <w:r>
        <w:rPr>
          <w:color w:val="231F20"/>
          <w:spacing w:val="40"/>
        </w:rPr>
        <w:t> </w:t>
      </w:r>
      <w:r>
        <w:rPr>
          <w:color w:val="231F20"/>
        </w:rPr>
        <w:t>16</w:t>
      </w:r>
      <w:r>
        <w:rPr>
          <w:color w:val="231F20"/>
          <w:spacing w:val="40"/>
        </w:rPr>
        <w:t> </w:t>
      </w:r>
      <w:r>
        <w:rPr>
          <w:color w:val="231F20"/>
        </w:rPr>
        <w:t>de</w:t>
      </w:r>
      <w:r>
        <w:rPr>
          <w:color w:val="231F20"/>
          <w:spacing w:val="40"/>
        </w:rPr>
        <w:t> </w:t>
      </w:r>
      <w:r>
        <w:rPr>
          <w:color w:val="231F20"/>
        </w:rPr>
        <w:t>abril</w:t>
      </w:r>
      <w:r>
        <w:rPr>
          <w:color w:val="231F20"/>
          <w:spacing w:val="40"/>
        </w:rPr>
        <w:t> </w:t>
      </w:r>
      <w:r>
        <w:rPr>
          <w:color w:val="231F20"/>
        </w:rPr>
        <w:t>de</w:t>
      </w:r>
      <w:r>
        <w:rPr>
          <w:color w:val="231F20"/>
          <w:spacing w:val="40"/>
        </w:rPr>
        <w:t> </w:t>
      </w:r>
      <w:r>
        <w:rPr>
          <w:color w:val="231F20"/>
        </w:rPr>
        <w:t>2021 en su Informe Central al 8vo </w:t>
      </w:r>
      <w:r>
        <w:rPr>
          <w:color w:val="231F20"/>
        </w:rPr>
        <w:t>Congreso</w:t>
      </w:r>
      <w:r>
        <w:rPr>
          <w:color w:val="231F20"/>
          <w:spacing w:val="40"/>
        </w:rPr>
        <w:t> </w:t>
      </w:r>
      <w:r>
        <w:rPr>
          <w:color w:val="231F20"/>
        </w:rPr>
        <w:t>del Partido Comunista de Cuba: “El daño que</w:t>
      </w:r>
      <w:r>
        <w:rPr>
          <w:color w:val="231F20"/>
          <w:spacing w:val="-2"/>
        </w:rPr>
        <w:t> </w:t>
      </w:r>
      <w:r>
        <w:rPr>
          <w:color w:val="231F20"/>
        </w:rPr>
        <w:t>estas</w:t>
      </w:r>
      <w:r>
        <w:rPr>
          <w:color w:val="231F20"/>
          <w:spacing w:val="-2"/>
        </w:rPr>
        <w:t> </w:t>
      </w:r>
      <w:r>
        <w:rPr>
          <w:color w:val="231F20"/>
        </w:rPr>
        <w:t>medidas</w:t>
      </w:r>
      <w:r>
        <w:rPr>
          <w:color w:val="231F20"/>
          <w:spacing w:val="-2"/>
        </w:rPr>
        <w:t> </w:t>
      </w:r>
      <w:r>
        <w:rPr>
          <w:color w:val="231F20"/>
        </w:rPr>
        <w:t>causan</w:t>
      </w:r>
      <w:r>
        <w:rPr>
          <w:color w:val="231F20"/>
          <w:spacing w:val="-2"/>
        </w:rPr>
        <w:t> </w:t>
      </w:r>
      <w:r>
        <w:rPr>
          <w:color w:val="231F20"/>
        </w:rPr>
        <w:t>al</w:t>
      </w:r>
      <w:r>
        <w:rPr>
          <w:color w:val="231F20"/>
          <w:spacing w:val="-2"/>
        </w:rPr>
        <w:t> </w:t>
      </w:r>
      <w:r>
        <w:rPr>
          <w:color w:val="231F20"/>
        </w:rPr>
        <w:t>nivel</w:t>
      </w:r>
      <w:r>
        <w:rPr>
          <w:color w:val="231F20"/>
          <w:spacing w:val="-2"/>
        </w:rPr>
        <w:t> </w:t>
      </w:r>
      <w:r>
        <w:rPr>
          <w:color w:val="231F20"/>
        </w:rPr>
        <w:t>de</w:t>
      </w:r>
      <w:r>
        <w:rPr>
          <w:color w:val="231F20"/>
          <w:spacing w:val="-2"/>
        </w:rPr>
        <w:t> </w:t>
      </w:r>
      <w:r>
        <w:rPr>
          <w:color w:val="231F20"/>
        </w:rPr>
        <w:t>vida de la población no es fortuito ni fruto de efectos</w:t>
      </w:r>
      <w:r>
        <w:rPr>
          <w:color w:val="231F20"/>
          <w:spacing w:val="-14"/>
        </w:rPr>
        <w:t> </w:t>
      </w:r>
      <w:r>
        <w:rPr>
          <w:color w:val="231F20"/>
        </w:rPr>
        <w:t>colaterales;</w:t>
      </w:r>
      <w:r>
        <w:rPr>
          <w:color w:val="231F20"/>
          <w:spacing w:val="-14"/>
        </w:rPr>
        <w:t> </w:t>
      </w:r>
      <w:r>
        <w:rPr>
          <w:color w:val="231F20"/>
        </w:rPr>
        <w:t>es</w:t>
      </w:r>
      <w:r>
        <w:rPr>
          <w:color w:val="231F20"/>
          <w:spacing w:val="-14"/>
        </w:rPr>
        <w:t> </w:t>
      </w:r>
      <w:r>
        <w:rPr>
          <w:color w:val="231F20"/>
        </w:rPr>
        <w:t>consecuencia</w:t>
      </w:r>
      <w:r>
        <w:rPr>
          <w:color w:val="231F20"/>
          <w:spacing w:val="-14"/>
        </w:rPr>
        <w:t> </w:t>
      </w:r>
      <w:r>
        <w:rPr>
          <w:color w:val="231F20"/>
        </w:rPr>
        <w:t>de</w:t>
      </w:r>
      <w:r>
        <w:rPr>
          <w:color w:val="231F20"/>
          <w:spacing w:val="-14"/>
        </w:rPr>
        <w:t> </w:t>
      </w:r>
      <w:r>
        <w:rPr>
          <w:color w:val="231F20"/>
        </w:rPr>
        <w:t>un propósito deliberado de castigar, en su conjunto, al pueblo cubano.”</w:t>
      </w:r>
    </w:p>
    <w:p>
      <w:pPr>
        <w:pStyle w:val="BodyText"/>
        <w:spacing w:before="167"/>
        <w:ind w:left="1133" w:right="1"/>
      </w:pPr>
      <w:r>
        <w:rPr>
          <w:color w:val="231F20"/>
        </w:rPr>
        <w:t>Entre marzo de 2022 y febrero de 2023,</w:t>
      </w:r>
      <w:r>
        <w:rPr>
          <w:color w:val="231F20"/>
          <w:spacing w:val="40"/>
        </w:rPr>
        <w:t> </w:t>
      </w:r>
      <w:r>
        <w:rPr>
          <w:color w:val="231F20"/>
        </w:rPr>
        <w:t>el gobierno de los Estados Unidos ha </w:t>
      </w:r>
      <w:r>
        <w:rPr>
          <w:color w:val="231F20"/>
          <w:spacing w:val="-2"/>
        </w:rPr>
        <w:t>mantenido</w:t>
      </w:r>
      <w:r>
        <w:rPr>
          <w:color w:val="231F20"/>
          <w:spacing w:val="-15"/>
        </w:rPr>
        <w:t> </w:t>
      </w:r>
      <w:r>
        <w:rPr>
          <w:color w:val="231F20"/>
          <w:spacing w:val="-2"/>
        </w:rPr>
        <w:t>la</w:t>
      </w:r>
      <w:r>
        <w:rPr>
          <w:color w:val="231F20"/>
          <w:spacing w:val="-14"/>
        </w:rPr>
        <w:t> </w:t>
      </w:r>
      <w:r>
        <w:rPr>
          <w:color w:val="231F20"/>
          <w:spacing w:val="-2"/>
        </w:rPr>
        <w:t>persecución</w:t>
      </w:r>
      <w:r>
        <w:rPr>
          <w:color w:val="231F20"/>
          <w:spacing w:val="-15"/>
        </w:rPr>
        <w:t> </w:t>
      </w:r>
      <w:r>
        <w:rPr>
          <w:color w:val="231F20"/>
          <w:spacing w:val="-2"/>
        </w:rPr>
        <w:t>a</w:t>
      </w:r>
      <w:r>
        <w:rPr>
          <w:color w:val="231F20"/>
          <w:spacing w:val="-14"/>
        </w:rPr>
        <w:t> </w:t>
      </w:r>
      <w:r>
        <w:rPr>
          <w:color w:val="231F20"/>
          <w:spacing w:val="-2"/>
        </w:rPr>
        <w:t>los</w:t>
      </w:r>
      <w:r>
        <w:rPr>
          <w:color w:val="231F20"/>
          <w:spacing w:val="-15"/>
        </w:rPr>
        <w:t> </w:t>
      </w:r>
      <w:r>
        <w:rPr>
          <w:color w:val="231F20"/>
          <w:spacing w:val="-2"/>
        </w:rPr>
        <w:t>suministros </w:t>
      </w:r>
      <w:r>
        <w:rPr>
          <w:color w:val="231F20"/>
        </w:rPr>
        <w:t>de</w:t>
      </w:r>
      <w:r>
        <w:rPr>
          <w:color w:val="231F20"/>
          <w:spacing w:val="40"/>
        </w:rPr>
        <w:t> </w:t>
      </w:r>
      <w:r>
        <w:rPr>
          <w:color w:val="231F20"/>
        </w:rPr>
        <w:t>combustible</w:t>
      </w:r>
      <w:r>
        <w:rPr>
          <w:color w:val="231F20"/>
          <w:spacing w:val="40"/>
        </w:rPr>
        <w:t> </w:t>
      </w:r>
      <w:r>
        <w:rPr>
          <w:color w:val="231F20"/>
        </w:rPr>
        <w:t>a</w:t>
      </w:r>
      <w:r>
        <w:rPr>
          <w:color w:val="231F20"/>
          <w:spacing w:val="40"/>
        </w:rPr>
        <w:t> </w:t>
      </w:r>
      <w:r>
        <w:rPr>
          <w:color w:val="231F20"/>
        </w:rPr>
        <w:t>Cuba,</w:t>
      </w:r>
      <w:r>
        <w:rPr>
          <w:color w:val="231F20"/>
          <w:spacing w:val="40"/>
        </w:rPr>
        <w:t> </w:t>
      </w:r>
      <w:r>
        <w:rPr>
          <w:color w:val="231F20"/>
        </w:rPr>
        <w:t>ha</w:t>
      </w:r>
      <w:r>
        <w:rPr>
          <w:color w:val="231F20"/>
          <w:spacing w:val="40"/>
        </w:rPr>
        <w:t> </w:t>
      </w:r>
      <w:r>
        <w:rPr>
          <w:color w:val="231F20"/>
        </w:rPr>
        <w:t>continuado la campaña de descrédito contra los programas de cooperación médica que</w:t>
      </w:r>
      <w:r>
        <w:rPr>
          <w:color w:val="231F20"/>
          <w:spacing w:val="80"/>
        </w:rPr>
        <w:t> </w:t>
      </w:r>
      <w:r>
        <w:rPr>
          <w:color w:val="231F20"/>
        </w:rPr>
        <w:t>la Isla presta en numerosos países y se</w:t>
      </w:r>
      <w:r>
        <w:rPr>
          <w:color w:val="231F20"/>
          <w:spacing w:val="80"/>
        </w:rPr>
        <w:t> </w:t>
      </w:r>
      <w:r>
        <w:rPr>
          <w:color w:val="231F20"/>
        </w:rPr>
        <w:t>ha propuesto coartar por todas las vías la recuperación del sector turístico cubano, </w:t>
      </w:r>
      <w:r>
        <w:rPr>
          <w:color w:val="231F20"/>
          <w:spacing w:val="-2"/>
        </w:rPr>
        <w:t>fuertemente</w:t>
      </w:r>
      <w:r>
        <w:rPr>
          <w:color w:val="231F20"/>
          <w:spacing w:val="-15"/>
        </w:rPr>
        <w:t> </w:t>
      </w:r>
      <w:r>
        <w:rPr>
          <w:color w:val="231F20"/>
          <w:spacing w:val="-2"/>
        </w:rPr>
        <w:t>afectado</w:t>
      </w:r>
      <w:r>
        <w:rPr>
          <w:color w:val="231F20"/>
          <w:spacing w:val="-14"/>
        </w:rPr>
        <w:t> </w:t>
      </w:r>
      <w:r>
        <w:rPr>
          <w:color w:val="231F20"/>
          <w:spacing w:val="-2"/>
        </w:rPr>
        <w:t>durante</w:t>
      </w:r>
      <w:r>
        <w:rPr>
          <w:color w:val="231F20"/>
          <w:spacing w:val="-15"/>
        </w:rPr>
        <w:t> </w:t>
      </w:r>
      <w:r>
        <w:rPr>
          <w:color w:val="231F20"/>
          <w:spacing w:val="-2"/>
        </w:rPr>
        <w:t>la</w:t>
      </w:r>
      <w:r>
        <w:rPr>
          <w:color w:val="231F20"/>
          <w:spacing w:val="-14"/>
        </w:rPr>
        <w:t> </w:t>
      </w:r>
      <w:r>
        <w:rPr>
          <w:color w:val="231F20"/>
          <w:spacing w:val="-2"/>
        </w:rPr>
        <w:t>pandemia </w:t>
      </w:r>
      <w:r>
        <w:rPr>
          <w:color w:val="231F20"/>
        </w:rPr>
        <w:t>de la COVID-19. Estas medidas persiguen asestar un golpe mortal a las principales fuentes de ingreso del país.</w:t>
      </w:r>
    </w:p>
    <w:p>
      <w:pPr>
        <w:pStyle w:val="BodyText"/>
        <w:spacing w:before="170"/>
        <w:ind w:left="1133" w:right="1"/>
      </w:pPr>
      <w:r>
        <w:rPr>
          <w:color w:val="231F20"/>
        </w:rPr>
        <w:t>El enfrentamiento a las consecuencias </w:t>
      </w:r>
      <w:r>
        <w:rPr>
          <w:color w:val="231F20"/>
          <w:spacing w:val="-6"/>
        </w:rPr>
        <w:t>persistentes</w:t>
      </w:r>
      <w:r>
        <w:rPr>
          <w:color w:val="231F20"/>
          <w:spacing w:val="-11"/>
        </w:rPr>
        <w:t> </w:t>
      </w:r>
      <w:r>
        <w:rPr>
          <w:color w:val="231F20"/>
          <w:spacing w:val="-6"/>
        </w:rPr>
        <w:t>de</w:t>
      </w:r>
      <w:r>
        <w:rPr>
          <w:color w:val="231F20"/>
          <w:spacing w:val="-10"/>
        </w:rPr>
        <w:t> </w:t>
      </w:r>
      <w:r>
        <w:rPr>
          <w:color w:val="231F20"/>
          <w:spacing w:val="-6"/>
        </w:rPr>
        <w:t>la</w:t>
      </w:r>
      <w:r>
        <w:rPr>
          <w:color w:val="231F20"/>
          <w:spacing w:val="-11"/>
        </w:rPr>
        <w:t> </w:t>
      </w:r>
      <w:r>
        <w:rPr>
          <w:color w:val="231F20"/>
          <w:spacing w:val="-6"/>
        </w:rPr>
        <w:t>COVID-19,</w:t>
      </w:r>
      <w:r>
        <w:rPr>
          <w:color w:val="231F20"/>
          <w:spacing w:val="-10"/>
        </w:rPr>
        <w:t> </w:t>
      </w:r>
      <w:r>
        <w:rPr>
          <w:color w:val="231F20"/>
          <w:spacing w:val="-6"/>
        </w:rPr>
        <w:t>en</w:t>
      </w:r>
      <w:r>
        <w:rPr>
          <w:color w:val="231F20"/>
          <w:spacing w:val="-11"/>
        </w:rPr>
        <w:t> </w:t>
      </w:r>
      <w:r>
        <w:rPr>
          <w:color w:val="231F20"/>
          <w:spacing w:val="-6"/>
        </w:rPr>
        <w:t>condiciones </w:t>
      </w:r>
      <w:r>
        <w:rPr>
          <w:color w:val="231F20"/>
        </w:rPr>
        <w:t>de una verdadera guerra económica, ha significado una presión adicional para nuestro</w:t>
      </w:r>
      <w:r>
        <w:rPr>
          <w:color w:val="231F20"/>
          <w:spacing w:val="-11"/>
        </w:rPr>
        <w:t> </w:t>
      </w:r>
      <w:r>
        <w:rPr>
          <w:color w:val="231F20"/>
        </w:rPr>
        <w:t>sistema</w:t>
      </w:r>
      <w:r>
        <w:rPr>
          <w:color w:val="231F20"/>
          <w:spacing w:val="-11"/>
        </w:rPr>
        <w:t> </w:t>
      </w:r>
      <w:r>
        <w:rPr>
          <w:color w:val="231F20"/>
        </w:rPr>
        <w:t>de</w:t>
      </w:r>
      <w:r>
        <w:rPr>
          <w:color w:val="231F20"/>
          <w:spacing w:val="-11"/>
        </w:rPr>
        <w:t> </w:t>
      </w:r>
      <w:r>
        <w:rPr>
          <w:color w:val="231F20"/>
        </w:rPr>
        <w:t>salud</w:t>
      </w:r>
      <w:r>
        <w:rPr>
          <w:color w:val="231F20"/>
          <w:spacing w:val="-11"/>
        </w:rPr>
        <w:t> </w:t>
      </w:r>
      <w:r>
        <w:rPr>
          <w:color w:val="231F20"/>
        </w:rPr>
        <w:t>y</w:t>
      </w:r>
      <w:r>
        <w:rPr>
          <w:color w:val="231F20"/>
          <w:spacing w:val="-11"/>
        </w:rPr>
        <w:t> </w:t>
      </w:r>
      <w:r>
        <w:rPr>
          <w:color w:val="231F20"/>
        </w:rPr>
        <w:t>para</w:t>
      </w:r>
      <w:r>
        <w:rPr>
          <w:color w:val="231F20"/>
          <w:spacing w:val="-11"/>
        </w:rPr>
        <w:t> </w:t>
      </w:r>
      <w:r>
        <w:rPr>
          <w:color w:val="231F20"/>
        </w:rPr>
        <w:t>los</w:t>
      </w:r>
      <w:r>
        <w:rPr>
          <w:color w:val="231F20"/>
          <w:spacing w:val="-11"/>
        </w:rPr>
        <w:t> </w:t>
      </w:r>
      <w:r>
        <w:rPr>
          <w:color w:val="231F20"/>
        </w:rPr>
        <w:t>planes a corto, mediano y largo plazo de una economía asediada. El gobierno de los </w:t>
      </w:r>
      <w:r>
        <w:rPr>
          <w:color w:val="231F20"/>
          <w:spacing w:val="-6"/>
        </w:rPr>
        <w:t>Estados</w:t>
      </w:r>
      <w:r>
        <w:rPr>
          <w:color w:val="231F20"/>
          <w:spacing w:val="-3"/>
        </w:rPr>
        <w:t> </w:t>
      </w:r>
      <w:r>
        <w:rPr>
          <w:color w:val="231F20"/>
          <w:spacing w:val="-6"/>
        </w:rPr>
        <w:t>Unidos</w:t>
      </w:r>
      <w:r>
        <w:rPr>
          <w:color w:val="231F20"/>
          <w:spacing w:val="-2"/>
        </w:rPr>
        <w:t> </w:t>
      </w:r>
      <w:r>
        <w:rPr>
          <w:color w:val="231F20"/>
          <w:spacing w:val="-6"/>
        </w:rPr>
        <w:t>identificó</w:t>
      </w:r>
      <w:r>
        <w:rPr>
          <w:color w:val="231F20"/>
          <w:spacing w:val="-3"/>
        </w:rPr>
        <w:t> </w:t>
      </w:r>
      <w:r>
        <w:rPr>
          <w:color w:val="231F20"/>
          <w:spacing w:val="-6"/>
        </w:rPr>
        <w:t>oportunistamente</w:t>
      </w:r>
    </w:p>
    <w:p>
      <w:pPr>
        <w:pStyle w:val="BodyText"/>
        <w:spacing w:before="100"/>
        <w:ind w:left="413" w:right="1472"/>
      </w:pPr>
      <w:r>
        <w:rPr/>
        <w:br w:type="column"/>
      </w:r>
      <w:r>
        <w:rPr>
          <w:color w:val="231F20"/>
        </w:rPr>
        <w:t>en</w:t>
      </w:r>
      <w:r>
        <w:rPr>
          <w:color w:val="231F20"/>
          <w:spacing w:val="40"/>
        </w:rPr>
        <w:t> </w:t>
      </w:r>
      <w:r>
        <w:rPr>
          <w:color w:val="231F20"/>
        </w:rPr>
        <w:t>la</w:t>
      </w:r>
      <w:r>
        <w:rPr>
          <w:color w:val="231F20"/>
          <w:spacing w:val="40"/>
        </w:rPr>
        <w:t> </w:t>
      </w:r>
      <w:r>
        <w:rPr>
          <w:color w:val="231F20"/>
        </w:rPr>
        <w:t>pandemia</w:t>
      </w:r>
      <w:r>
        <w:rPr>
          <w:color w:val="231F20"/>
          <w:spacing w:val="40"/>
        </w:rPr>
        <w:t> </w:t>
      </w:r>
      <w:r>
        <w:rPr>
          <w:color w:val="231F20"/>
        </w:rPr>
        <w:t>un</w:t>
      </w:r>
      <w:r>
        <w:rPr>
          <w:color w:val="231F20"/>
          <w:spacing w:val="40"/>
        </w:rPr>
        <w:t> </w:t>
      </w:r>
      <w:r>
        <w:rPr>
          <w:color w:val="231F20"/>
        </w:rPr>
        <w:t>aliado</w:t>
      </w:r>
      <w:r>
        <w:rPr>
          <w:color w:val="231F20"/>
          <w:spacing w:val="40"/>
        </w:rPr>
        <w:t> </w:t>
      </w:r>
      <w:r>
        <w:rPr>
          <w:color w:val="231F20"/>
        </w:rPr>
        <w:t>para</w:t>
      </w:r>
      <w:r>
        <w:rPr>
          <w:color w:val="231F20"/>
          <w:spacing w:val="40"/>
        </w:rPr>
        <w:t> </w:t>
      </w:r>
      <w:r>
        <w:rPr>
          <w:color w:val="231F20"/>
        </w:rPr>
        <w:t>reforzar el cerco a la Isla y propiciar el colapso económico. Hoy, como nunca antes, esta política continúa afectando de manera severa los esfuerzos nacionales para</w:t>
      </w:r>
      <w:r>
        <w:rPr>
          <w:color w:val="231F20"/>
          <w:spacing w:val="40"/>
        </w:rPr>
        <w:t> </w:t>
      </w:r>
      <w:r>
        <w:rPr>
          <w:color w:val="231F20"/>
        </w:rPr>
        <w:t>paliar</w:t>
      </w:r>
      <w:r>
        <w:rPr>
          <w:color w:val="231F20"/>
          <w:spacing w:val="-10"/>
        </w:rPr>
        <w:t> </w:t>
      </w:r>
      <w:r>
        <w:rPr>
          <w:color w:val="231F20"/>
        </w:rPr>
        <w:t>los</w:t>
      </w:r>
      <w:r>
        <w:rPr>
          <w:color w:val="231F20"/>
          <w:spacing w:val="-10"/>
        </w:rPr>
        <w:t> </w:t>
      </w:r>
      <w:r>
        <w:rPr>
          <w:color w:val="231F20"/>
        </w:rPr>
        <w:t>impactos</w:t>
      </w:r>
      <w:r>
        <w:rPr>
          <w:color w:val="231F20"/>
          <w:spacing w:val="-10"/>
        </w:rPr>
        <w:t> </w:t>
      </w:r>
      <w:r>
        <w:rPr>
          <w:color w:val="231F20"/>
        </w:rPr>
        <w:t>económicos,</w:t>
      </w:r>
      <w:r>
        <w:rPr>
          <w:color w:val="231F20"/>
          <w:spacing w:val="-10"/>
        </w:rPr>
        <w:t> </w:t>
      </w:r>
      <w:r>
        <w:rPr>
          <w:color w:val="231F20"/>
        </w:rPr>
        <w:t>sociales</w:t>
      </w:r>
      <w:r>
        <w:rPr>
          <w:color w:val="231F20"/>
          <w:spacing w:val="-10"/>
        </w:rPr>
        <w:t> </w:t>
      </w:r>
      <w:r>
        <w:rPr>
          <w:color w:val="231F20"/>
        </w:rPr>
        <w:t>y humanitarios</w:t>
      </w:r>
      <w:r>
        <w:rPr>
          <w:color w:val="231F20"/>
          <w:spacing w:val="-11"/>
        </w:rPr>
        <w:t> </w:t>
      </w:r>
      <w:r>
        <w:rPr>
          <w:color w:val="231F20"/>
        </w:rPr>
        <w:t>derivados</w:t>
      </w:r>
      <w:r>
        <w:rPr>
          <w:color w:val="231F20"/>
          <w:spacing w:val="-11"/>
        </w:rPr>
        <w:t> </w:t>
      </w:r>
      <w:r>
        <w:rPr>
          <w:color w:val="231F20"/>
        </w:rPr>
        <w:t>de</w:t>
      </w:r>
      <w:r>
        <w:rPr>
          <w:color w:val="231F20"/>
          <w:spacing w:val="-11"/>
        </w:rPr>
        <w:t> </w:t>
      </w:r>
      <w:r>
        <w:rPr>
          <w:color w:val="231F20"/>
        </w:rPr>
        <w:t>la</w:t>
      </w:r>
      <w:r>
        <w:rPr>
          <w:color w:val="231F20"/>
          <w:spacing w:val="-11"/>
        </w:rPr>
        <w:t> </w:t>
      </w:r>
      <w:r>
        <w:rPr>
          <w:color w:val="231F20"/>
        </w:rPr>
        <w:t>COVID-19.</w:t>
      </w:r>
    </w:p>
    <w:p>
      <w:pPr>
        <w:pStyle w:val="BodyText"/>
        <w:spacing w:before="165"/>
        <w:ind w:left="413" w:right="1471"/>
      </w:pPr>
      <w:r>
        <w:rPr>
          <w:color w:val="231F20"/>
        </w:rPr>
        <w:t>Adicionalmente,</w:t>
      </w:r>
      <w:r>
        <w:rPr>
          <w:color w:val="231F20"/>
          <w:spacing w:val="-17"/>
        </w:rPr>
        <w:t> </w:t>
      </w:r>
      <w:r>
        <w:rPr>
          <w:color w:val="231F20"/>
        </w:rPr>
        <w:t>con</w:t>
      </w:r>
      <w:r>
        <w:rPr>
          <w:color w:val="231F20"/>
          <w:spacing w:val="-16"/>
        </w:rPr>
        <w:t> </w:t>
      </w:r>
      <w:r>
        <w:rPr>
          <w:color w:val="231F20"/>
        </w:rPr>
        <w:t>total</w:t>
      </w:r>
      <w:r>
        <w:rPr>
          <w:color w:val="231F20"/>
          <w:spacing w:val="-17"/>
        </w:rPr>
        <w:t> </w:t>
      </w:r>
      <w:r>
        <w:rPr>
          <w:color w:val="231F20"/>
        </w:rPr>
        <w:t>intencionalidad, el gobierno de los Estados Unidos se ha dispuesto a amedrentar a inversionistas y </w:t>
      </w:r>
      <w:r>
        <w:rPr>
          <w:color w:val="231F20"/>
          <w:spacing w:val="-6"/>
        </w:rPr>
        <w:t>entidades</w:t>
      </w:r>
      <w:r>
        <w:rPr>
          <w:color w:val="231F20"/>
          <w:spacing w:val="-11"/>
        </w:rPr>
        <w:t> </w:t>
      </w:r>
      <w:r>
        <w:rPr>
          <w:color w:val="231F20"/>
          <w:spacing w:val="-6"/>
        </w:rPr>
        <w:t>comerciales</w:t>
      </w:r>
      <w:r>
        <w:rPr>
          <w:color w:val="231F20"/>
          <w:spacing w:val="-10"/>
        </w:rPr>
        <w:t> </w:t>
      </w:r>
      <w:r>
        <w:rPr>
          <w:color w:val="231F20"/>
          <w:spacing w:val="-6"/>
        </w:rPr>
        <w:t>extranjeras,</w:t>
      </w:r>
      <w:r>
        <w:rPr>
          <w:color w:val="231F20"/>
          <w:spacing w:val="-11"/>
        </w:rPr>
        <w:t> </w:t>
      </w:r>
      <w:r>
        <w:rPr>
          <w:color w:val="231F20"/>
          <w:spacing w:val="-6"/>
        </w:rPr>
        <w:t>mediante </w:t>
      </w:r>
      <w:r>
        <w:rPr>
          <w:color w:val="231F20"/>
        </w:rPr>
        <w:t>la</w:t>
      </w:r>
      <w:r>
        <w:rPr>
          <w:color w:val="231F20"/>
          <w:spacing w:val="-7"/>
        </w:rPr>
        <w:t> </w:t>
      </w:r>
      <w:r>
        <w:rPr>
          <w:color w:val="231F20"/>
        </w:rPr>
        <w:t>aplicación</w:t>
      </w:r>
      <w:r>
        <w:rPr>
          <w:color w:val="231F20"/>
          <w:spacing w:val="-7"/>
        </w:rPr>
        <w:t> </w:t>
      </w:r>
      <w:r>
        <w:rPr>
          <w:color w:val="231F20"/>
        </w:rPr>
        <w:t>del</w:t>
      </w:r>
      <w:r>
        <w:rPr>
          <w:color w:val="231F20"/>
          <w:spacing w:val="-7"/>
        </w:rPr>
        <w:t> </w:t>
      </w:r>
      <w:r>
        <w:rPr>
          <w:color w:val="231F20"/>
        </w:rPr>
        <w:t>Título</w:t>
      </w:r>
      <w:r>
        <w:rPr>
          <w:color w:val="231F20"/>
          <w:spacing w:val="-7"/>
        </w:rPr>
        <w:t> </w:t>
      </w:r>
      <w:r>
        <w:rPr>
          <w:color w:val="231F20"/>
        </w:rPr>
        <w:t>III</w:t>
      </w:r>
      <w:r>
        <w:rPr>
          <w:color w:val="231F20"/>
          <w:spacing w:val="-7"/>
        </w:rPr>
        <w:t> </w:t>
      </w:r>
      <w:r>
        <w:rPr>
          <w:color w:val="231F20"/>
        </w:rPr>
        <w:t>de</w:t>
      </w:r>
      <w:r>
        <w:rPr>
          <w:color w:val="231F20"/>
          <w:spacing w:val="-7"/>
        </w:rPr>
        <w:t> </w:t>
      </w:r>
      <w:r>
        <w:rPr>
          <w:color w:val="231F20"/>
        </w:rPr>
        <w:t>la</w:t>
      </w:r>
      <w:r>
        <w:rPr>
          <w:color w:val="231F20"/>
          <w:spacing w:val="-7"/>
        </w:rPr>
        <w:t> </w:t>
      </w:r>
      <w:r>
        <w:rPr>
          <w:color w:val="231F20"/>
        </w:rPr>
        <w:t>Ley</w:t>
      </w:r>
      <w:r>
        <w:rPr>
          <w:color w:val="231F20"/>
          <w:spacing w:val="-7"/>
        </w:rPr>
        <w:t> </w:t>
      </w:r>
      <w:r>
        <w:rPr>
          <w:color w:val="231F20"/>
        </w:rPr>
        <w:t>Helms- Burton. Ha perjudicado también al sector no estatal de la Isla y ha obstaculizado</w:t>
      </w:r>
      <w:r>
        <w:rPr>
          <w:color w:val="231F20"/>
          <w:spacing w:val="80"/>
        </w:rPr>
        <w:t> </w:t>
      </w:r>
      <w:r>
        <w:rPr>
          <w:color w:val="231F20"/>
        </w:rPr>
        <w:t>los vínculos con los cubanos residentes</w:t>
      </w:r>
      <w:r>
        <w:rPr>
          <w:color w:val="231F20"/>
          <w:spacing w:val="40"/>
        </w:rPr>
        <w:t> </w:t>
      </w:r>
      <w:r>
        <w:rPr>
          <w:color w:val="231F20"/>
        </w:rPr>
        <w:t>en los Estados Unidos. Si bien dio pasos de avance muy limitados en materia de </w:t>
      </w:r>
      <w:r>
        <w:rPr>
          <w:color w:val="231F20"/>
          <w:spacing w:val="-2"/>
        </w:rPr>
        <w:t>visados,</w:t>
      </w:r>
      <w:r>
        <w:rPr>
          <w:color w:val="231F20"/>
          <w:spacing w:val="-15"/>
        </w:rPr>
        <w:t> </w:t>
      </w:r>
      <w:r>
        <w:rPr>
          <w:color w:val="231F20"/>
          <w:spacing w:val="-2"/>
        </w:rPr>
        <w:t>migración</w:t>
      </w:r>
      <w:r>
        <w:rPr>
          <w:color w:val="231F20"/>
          <w:spacing w:val="-14"/>
        </w:rPr>
        <w:t> </w:t>
      </w:r>
      <w:r>
        <w:rPr>
          <w:color w:val="231F20"/>
          <w:spacing w:val="-2"/>
        </w:rPr>
        <w:t>regular,</w:t>
      </w:r>
      <w:r>
        <w:rPr>
          <w:color w:val="231F20"/>
          <w:spacing w:val="-15"/>
        </w:rPr>
        <w:t> </w:t>
      </w:r>
      <w:r>
        <w:rPr>
          <w:color w:val="231F20"/>
          <w:spacing w:val="-2"/>
        </w:rPr>
        <w:t>vuelos</w:t>
      </w:r>
      <w:r>
        <w:rPr>
          <w:color w:val="231F20"/>
          <w:spacing w:val="-14"/>
        </w:rPr>
        <w:t> </w:t>
      </w:r>
      <w:r>
        <w:rPr>
          <w:color w:val="231F20"/>
          <w:spacing w:val="-2"/>
        </w:rPr>
        <w:t>a</w:t>
      </w:r>
      <w:r>
        <w:rPr>
          <w:color w:val="231F20"/>
          <w:spacing w:val="-15"/>
        </w:rPr>
        <w:t> </w:t>
      </w:r>
      <w:r>
        <w:rPr>
          <w:color w:val="231F20"/>
          <w:spacing w:val="-2"/>
        </w:rPr>
        <w:t>Cuba</w:t>
      </w:r>
      <w:r>
        <w:rPr>
          <w:color w:val="231F20"/>
          <w:spacing w:val="-14"/>
        </w:rPr>
        <w:t> </w:t>
      </w:r>
      <w:r>
        <w:rPr>
          <w:color w:val="231F20"/>
          <w:spacing w:val="-2"/>
        </w:rPr>
        <w:t>y </w:t>
      </w:r>
      <w:r>
        <w:rPr>
          <w:color w:val="231F20"/>
        </w:rPr>
        <w:t>remesas,</w:t>
      </w:r>
      <w:r>
        <w:rPr>
          <w:color w:val="231F20"/>
          <w:spacing w:val="-3"/>
        </w:rPr>
        <w:t> </w:t>
      </w:r>
      <w:r>
        <w:rPr>
          <w:color w:val="231F20"/>
        </w:rPr>
        <w:t>ha</w:t>
      </w:r>
      <w:r>
        <w:rPr>
          <w:color w:val="231F20"/>
          <w:spacing w:val="-3"/>
        </w:rPr>
        <w:t> </w:t>
      </w:r>
      <w:r>
        <w:rPr>
          <w:color w:val="231F20"/>
        </w:rPr>
        <w:t>mantenido</w:t>
      </w:r>
      <w:r>
        <w:rPr>
          <w:color w:val="231F20"/>
          <w:spacing w:val="-3"/>
        </w:rPr>
        <w:t> </w:t>
      </w:r>
      <w:r>
        <w:rPr>
          <w:color w:val="231F20"/>
        </w:rPr>
        <w:t>en</w:t>
      </w:r>
      <w:r>
        <w:rPr>
          <w:color w:val="231F20"/>
          <w:spacing w:val="-3"/>
        </w:rPr>
        <w:t> </w:t>
      </w:r>
      <w:r>
        <w:rPr>
          <w:color w:val="231F20"/>
        </w:rPr>
        <w:t>pleno</w:t>
      </w:r>
      <w:r>
        <w:rPr>
          <w:color w:val="231F20"/>
          <w:spacing w:val="-3"/>
        </w:rPr>
        <w:t> </w:t>
      </w:r>
      <w:r>
        <w:rPr>
          <w:color w:val="231F20"/>
        </w:rPr>
        <w:t>vigor</w:t>
      </w:r>
      <w:r>
        <w:rPr>
          <w:color w:val="231F20"/>
          <w:spacing w:val="-3"/>
        </w:rPr>
        <w:t> </w:t>
      </w:r>
      <w:r>
        <w:rPr>
          <w:color w:val="231F20"/>
        </w:rPr>
        <w:t>las disposiciones más severas del bloqueo y </w:t>
      </w:r>
      <w:r>
        <w:rPr>
          <w:color w:val="231F20"/>
          <w:spacing w:val="-4"/>
        </w:rPr>
        <w:t>las</w:t>
      </w:r>
      <w:r>
        <w:rPr>
          <w:color w:val="231F20"/>
          <w:spacing w:val="-12"/>
        </w:rPr>
        <w:t> </w:t>
      </w:r>
      <w:r>
        <w:rPr>
          <w:color w:val="231F20"/>
          <w:spacing w:val="-4"/>
        </w:rPr>
        <w:t>medidas</w:t>
      </w:r>
      <w:r>
        <w:rPr>
          <w:color w:val="231F20"/>
          <w:spacing w:val="-12"/>
        </w:rPr>
        <w:t> </w:t>
      </w:r>
      <w:r>
        <w:rPr>
          <w:color w:val="231F20"/>
          <w:spacing w:val="-4"/>
        </w:rPr>
        <w:t>de</w:t>
      </w:r>
      <w:r>
        <w:rPr>
          <w:color w:val="231F20"/>
          <w:spacing w:val="-12"/>
        </w:rPr>
        <w:t> </w:t>
      </w:r>
      <w:r>
        <w:rPr>
          <w:color w:val="231F20"/>
          <w:spacing w:val="-4"/>
        </w:rPr>
        <w:t>máxima</w:t>
      </w:r>
      <w:r>
        <w:rPr>
          <w:color w:val="231F20"/>
          <w:spacing w:val="-12"/>
        </w:rPr>
        <w:t> </w:t>
      </w:r>
      <w:r>
        <w:rPr>
          <w:color w:val="231F20"/>
          <w:spacing w:val="-4"/>
        </w:rPr>
        <w:t>presión</w:t>
      </w:r>
      <w:r>
        <w:rPr>
          <w:color w:val="231F20"/>
          <w:spacing w:val="-13"/>
        </w:rPr>
        <w:t> </w:t>
      </w:r>
      <w:r>
        <w:rPr>
          <w:color w:val="231F20"/>
          <w:spacing w:val="-4"/>
        </w:rPr>
        <w:t>instauradas </w:t>
      </w:r>
      <w:r>
        <w:rPr>
          <w:color w:val="231F20"/>
        </w:rPr>
        <w:t>desde 2017.</w:t>
      </w:r>
    </w:p>
    <w:p>
      <w:pPr>
        <w:pStyle w:val="BodyText"/>
        <w:spacing w:before="172"/>
        <w:ind w:left="413" w:right="1471"/>
      </w:pPr>
      <w:r>
        <w:rPr>
          <w:color w:val="231F20"/>
        </w:rPr>
        <w:t>La persecución financiera se ha </w:t>
      </w:r>
      <w:r>
        <w:rPr>
          <w:color w:val="231F20"/>
        </w:rPr>
        <w:t>reforzado aún</w:t>
      </w:r>
      <w:r>
        <w:rPr>
          <w:color w:val="231F20"/>
          <w:spacing w:val="80"/>
          <w:w w:val="150"/>
        </w:rPr>
        <w:t> </w:t>
      </w:r>
      <w:r>
        <w:rPr>
          <w:color w:val="231F20"/>
        </w:rPr>
        <w:t>más</w:t>
      </w:r>
      <w:r>
        <w:rPr>
          <w:color w:val="231F20"/>
          <w:spacing w:val="80"/>
          <w:w w:val="150"/>
        </w:rPr>
        <w:t> </w:t>
      </w:r>
      <w:r>
        <w:rPr>
          <w:color w:val="231F20"/>
        </w:rPr>
        <w:t>con</w:t>
      </w:r>
      <w:r>
        <w:rPr>
          <w:color w:val="231F20"/>
          <w:spacing w:val="80"/>
          <w:w w:val="150"/>
        </w:rPr>
        <w:t> </w:t>
      </w:r>
      <w:r>
        <w:rPr>
          <w:color w:val="231F20"/>
        </w:rPr>
        <w:t>la</w:t>
      </w:r>
      <w:r>
        <w:rPr>
          <w:color w:val="231F20"/>
          <w:spacing w:val="80"/>
          <w:w w:val="150"/>
        </w:rPr>
        <w:t> </w:t>
      </w:r>
      <w:r>
        <w:rPr>
          <w:color w:val="231F20"/>
        </w:rPr>
        <w:t>arbitraria</w:t>
      </w:r>
      <w:r>
        <w:rPr>
          <w:color w:val="231F20"/>
          <w:spacing w:val="80"/>
          <w:w w:val="150"/>
        </w:rPr>
        <w:t> </w:t>
      </w:r>
      <w:r>
        <w:rPr>
          <w:color w:val="231F20"/>
        </w:rPr>
        <w:t>inclusión de Cuba en la lista unilateral del Departamento</w:t>
      </w:r>
      <w:r>
        <w:rPr>
          <w:color w:val="231F20"/>
          <w:spacing w:val="-11"/>
        </w:rPr>
        <w:t> </w:t>
      </w:r>
      <w:r>
        <w:rPr>
          <w:color w:val="231F20"/>
        </w:rPr>
        <w:t>de</w:t>
      </w:r>
      <w:r>
        <w:rPr>
          <w:color w:val="231F20"/>
          <w:spacing w:val="-11"/>
        </w:rPr>
        <w:t> </w:t>
      </w:r>
      <w:r>
        <w:rPr>
          <w:color w:val="231F20"/>
        </w:rPr>
        <w:t>Estado</w:t>
      </w:r>
      <w:r>
        <w:rPr>
          <w:color w:val="231F20"/>
          <w:spacing w:val="-11"/>
        </w:rPr>
        <w:t> </w:t>
      </w:r>
      <w:r>
        <w:rPr>
          <w:color w:val="231F20"/>
        </w:rPr>
        <w:t>sobre</w:t>
      </w:r>
      <w:r>
        <w:rPr>
          <w:color w:val="231F20"/>
          <w:spacing w:val="-11"/>
        </w:rPr>
        <w:t> </w:t>
      </w:r>
      <w:r>
        <w:rPr>
          <w:color w:val="231F20"/>
        </w:rPr>
        <w:t>supuestos países patrocinadores del terrorismo. Fue una medida impuesta por el gobierno republicano de Donald Trump, a solo nueve días de abandonar la Casa Blanca. El</w:t>
      </w:r>
      <w:r>
        <w:rPr>
          <w:color w:val="231F20"/>
          <w:spacing w:val="-13"/>
        </w:rPr>
        <w:t> </w:t>
      </w:r>
      <w:r>
        <w:rPr>
          <w:color w:val="231F20"/>
        </w:rPr>
        <w:t>actual</w:t>
      </w:r>
      <w:r>
        <w:rPr>
          <w:color w:val="231F20"/>
          <w:spacing w:val="-13"/>
        </w:rPr>
        <w:t> </w:t>
      </w:r>
      <w:r>
        <w:rPr>
          <w:color w:val="231F20"/>
        </w:rPr>
        <w:t>Presidente</w:t>
      </w:r>
      <w:r>
        <w:rPr>
          <w:color w:val="231F20"/>
          <w:spacing w:val="-13"/>
        </w:rPr>
        <w:t> </w:t>
      </w:r>
      <w:r>
        <w:rPr>
          <w:color w:val="231F20"/>
        </w:rPr>
        <w:t>pudiera</w:t>
      </w:r>
      <w:r>
        <w:rPr>
          <w:color w:val="231F20"/>
          <w:spacing w:val="-13"/>
        </w:rPr>
        <w:t> </w:t>
      </w:r>
      <w:r>
        <w:rPr>
          <w:color w:val="231F20"/>
        </w:rPr>
        <w:t>corregirla</w:t>
      </w:r>
      <w:r>
        <w:rPr>
          <w:color w:val="231F20"/>
          <w:spacing w:val="-13"/>
        </w:rPr>
        <w:t> </w:t>
      </w:r>
      <w:r>
        <w:rPr>
          <w:color w:val="231F20"/>
        </w:rPr>
        <w:t>con </w:t>
      </w:r>
      <w:r>
        <w:rPr>
          <w:color w:val="231F20"/>
          <w:spacing w:val="-2"/>
        </w:rPr>
        <w:t>solo</w:t>
      </w:r>
      <w:r>
        <w:rPr>
          <w:color w:val="231F20"/>
          <w:spacing w:val="-15"/>
        </w:rPr>
        <w:t> </w:t>
      </w:r>
      <w:r>
        <w:rPr>
          <w:color w:val="231F20"/>
          <w:spacing w:val="-2"/>
        </w:rPr>
        <w:t>una</w:t>
      </w:r>
      <w:r>
        <w:rPr>
          <w:color w:val="231F20"/>
          <w:spacing w:val="-14"/>
        </w:rPr>
        <w:t> </w:t>
      </w:r>
      <w:r>
        <w:rPr>
          <w:color w:val="231F20"/>
          <w:spacing w:val="-2"/>
        </w:rPr>
        <w:t>firma.</w:t>
      </w:r>
      <w:r>
        <w:rPr>
          <w:color w:val="231F20"/>
          <w:spacing w:val="-15"/>
        </w:rPr>
        <w:t> </w:t>
      </w:r>
      <w:r>
        <w:rPr>
          <w:color w:val="231F20"/>
          <w:spacing w:val="-2"/>
        </w:rPr>
        <w:t>Sin</w:t>
      </w:r>
      <w:r>
        <w:rPr>
          <w:color w:val="231F20"/>
          <w:spacing w:val="-14"/>
        </w:rPr>
        <w:t> </w:t>
      </w:r>
      <w:r>
        <w:rPr>
          <w:color w:val="231F20"/>
          <w:spacing w:val="-2"/>
        </w:rPr>
        <w:t>embargo,</w:t>
      </w:r>
      <w:r>
        <w:rPr>
          <w:color w:val="231F20"/>
          <w:spacing w:val="-15"/>
        </w:rPr>
        <w:t> </w:t>
      </w:r>
      <w:r>
        <w:rPr>
          <w:color w:val="231F20"/>
          <w:spacing w:val="-2"/>
        </w:rPr>
        <w:t>no</w:t>
      </w:r>
      <w:r>
        <w:rPr>
          <w:color w:val="231F20"/>
          <w:spacing w:val="-14"/>
        </w:rPr>
        <w:t> </w:t>
      </w:r>
      <w:r>
        <w:rPr>
          <w:color w:val="231F20"/>
          <w:spacing w:val="-2"/>
        </w:rPr>
        <w:t>ha</w:t>
      </w:r>
      <w:r>
        <w:rPr>
          <w:color w:val="231F20"/>
          <w:spacing w:val="-15"/>
        </w:rPr>
        <w:t> </w:t>
      </w:r>
      <w:r>
        <w:rPr>
          <w:color w:val="231F20"/>
          <w:spacing w:val="-2"/>
        </w:rPr>
        <w:t>existido </w:t>
      </w:r>
      <w:r>
        <w:rPr>
          <w:color w:val="231F20"/>
        </w:rPr>
        <w:t>la voluntad política real de revertir una</w:t>
      </w:r>
      <w:r>
        <w:rPr>
          <w:color w:val="231F20"/>
          <w:spacing w:val="80"/>
        </w:rPr>
        <w:t> </w:t>
      </w:r>
      <w:r>
        <w:rPr>
          <w:color w:val="231F20"/>
        </w:rPr>
        <w:t>de las medidas más dañinas que gravita sobre</w:t>
      </w:r>
      <w:r>
        <w:rPr>
          <w:color w:val="231F20"/>
          <w:spacing w:val="29"/>
        </w:rPr>
        <w:t> </w:t>
      </w:r>
      <w:r>
        <w:rPr>
          <w:color w:val="231F20"/>
        </w:rPr>
        <w:t>todos</w:t>
      </w:r>
      <w:r>
        <w:rPr>
          <w:color w:val="231F20"/>
          <w:spacing w:val="29"/>
        </w:rPr>
        <w:t> </w:t>
      </w:r>
      <w:r>
        <w:rPr>
          <w:color w:val="231F20"/>
        </w:rPr>
        <w:t>los</w:t>
      </w:r>
      <w:r>
        <w:rPr>
          <w:color w:val="231F20"/>
          <w:spacing w:val="29"/>
        </w:rPr>
        <w:t> </w:t>
      </w:r>
      <w:r>
        <w:rPr>
          <w:color w:val="231F20"/>
        </w:rPr>
        <w:t>ámbitos</w:t>
      </w:r>
      <w:r>
        <w:rPr>
          <w:color w:val="231F20"/>
          <w:spacing w:val="29"/>
        </w:rPr>
        <w:t> </w:t>
      </w:r>
      <w:r>
        <w:rPr>
          <w:color w:val="231F20"/>
        </w:rPr>
        <w:t>de</w:t>
      </w:r>
      <w:r>
        <w:rPr>
          <w:color w:val="231F20"/>
          <w:spacing w:val="29"/>
        </w:rPr>
        <w:t> </w:t>
      </w:r>
      <w:r>
        <w:rPr>
          <w:color w:val="231F20"/>
        </w:rPr>
        <w:t>la</w:t>
      </w:r>
      <w:r>
        <w:rPr>
          <w:color w:val="231F20"/>
          <w:spacing w:val="29"/>
        </w:rPr>
        <w:t> </w:t>
      </w:r>
      <w:r>
        <w:rPr>
          <w:color w:val="231F20"/>
          <w:spacing w:val="-2"/>
        </w:rPr>
        <w:t>economía</w:t>
      </w:r>
    </w:p>
    <w:p>
      <w:pPr>
        <w:spacing w:after="0"/>
        <w:sectPr>
          <w:type w:val="continuous"/>
          <w:pgSz w:w="11910" w:h="16840"/>
          <w:pgMar w:header="0" w:footer="695" w:top="1920" w:bottom="280" w:left="0" w:right="0"/>
          <w:cols w:num="2" w:equalWidth="0">
            <w:col w:w="5557" w:space="40"/>
            <w:col w:w="6313"/>
          </w:cols>
        </w:sectPr>
      </w:pPr>
    </w:p>
    <w:p>
      <w:pPr>
        <w:pStyle w:val="BodyText"/>
        <w:spacing w:before="77"/>
        <w:ind w:left="1474" w:right="1"/>
      </w:pPr>
      <w:r>
        <w:rPr>
          <w:color w:val="231F20"/>
        </w:rPr>
        <w:t>nacional, aun cuando se conoce que </w:t>
      </w:r>
      <w:r>
        <w:rPr>
          <w:color w:val="231F20"/>
        </w:rPr>
        <w:t>los motivos</w:t>
      </w:r>
      <w:r>
        <w:rPr>
          <w:color w:val="231F20"/>
          <w:spacing w:val="-17"/>
        </w:rPr>
        <w:t> </w:t>
      </w:r>
      <w:r>
        <w:rPr>
          <w:color w:val="231F20"/>
        </w:rPr>
        <w:t>esgrimidos</w:t>
      </w:r>
      <w:r>
        <w:rPr>
          <w:color w:val="231F20"/>
          <w:spacing w:val="-16"/>
        </w:rPr>
        <w:t> </w:t>
      </w:r>
      <w:r>
        <w:rPr>
          <w:color w:val="231F20"/>
        </w:rPr>
        <w:t>para</w:t>
      </w:r>
      <w:r>
        <w:rPr>
          <w:color w:val="231F20"/>
          <w:spacing w:val="-17"/>
        </w:rPr>
        <w:t> </w:t>
      </w:r>
      <w:r>
        <w:rPr>
          <w:color w:val="231F20"/>
        </w:rPr>
        <w:t>su</w:t>
      </w:r>
      <w:r>
        <w:rPr>
          <w:color w:val="231F20"/>
          <w:spacing w:val="-16"/>
        </w:rPr>
        <w:t> </w:t>
      </w:r>
      <w:r>
        <w:rPr>
          <w:color w:val="231F20"/>
        </w:rPr>
        <w:t>aplicación</w:t>
      </w:r>
      <w:r>
        <w:rPr>
          <w:color w:val="231F20"/>
          <w:spacing w:val="-17"/>
        </w:rPr>
        <w:t> </w:t>
      </w:r>
      <w:r>
        <w:rPr>
          <w:color w:val="231F20"/>
        </w:rPr>
        <w:t>son infundados y deshonestos.</w:t>
      </w:r>
    </w:p>
    <w:p>
      <w:pPr>
        <w:pStyle w:val="BodyText"/>
        <w:spacing w:before="162"/>
        <w:ind w:left="1474"/>
      </w:pPr>
      <w:r>
        <w:rPr>
          <w:color w:val="231F20"/>
        </w:rPr>
        <w:t>Esta política constituye también </w:t>
      </w:r>
      <w:r>
        <w:rPr>
          <w:color w:val="231F20"/>
        </w:rPr>
        <w:t>una afrenta a los principios del Derecho </w:t>
      </w:r>
      <w:r>
        <w:rPr>
          <w:color w:val="231F20"/>
          <w:spacing w:val="-4"/>
        </w:rPr>
        <w:t>Internacional</w:t>
      </w:r>
      <w:r>
        <w:rPr>
          <w:color w:val="231F20"/>
          <w:spacing w:val="-13"/>
        </w:rPr>
        <w:t> </w:t>
      </w:r>
      <w:r>
        <w:rPr>
          <w:color w:val="231F20"/>
          <w:spacing w:val="-4"/>
        </w:rPr>
        <w:t>y</w:t>
      </w:r>
      <w:r>
        <w:rPr>
          <w:color w:val="231F20"/>
          <w:spacing w:val="-12"/>
        </w:rPr>
        <w:t> </w:t>
      </w:r>
      <w:r>
        <w:rPr>
          <w:color w:val="231F20"/>
          <w:spacing w:val="-4"/>
        </w:rPr>
        <w:t>a</w:t>
      </w:r>
      <w:r>
        <w:rPr>
          <w:color w:val="231F20"/>
          <w:spacing w:val="-13"/>
        </w:rPr>
        <w:t> </w:t>
      </w:r>
      <w:r>
        <w:rPr>
          <w:color w:val="231F20"/>
          <w:spacing w:val="-4"/>
        </w:rPr>
        <w:t>las</w:t>
      </w:r>
      <w:r>
        <w:rPr>
          <w:color w:val="231F20"/>
          <w:spacing w:val="-12"/>
        </w:rPr>
        <w:t> </w:t>
      </w:r>
      <w:r>
        <w:rPr>
          <w:color w:val="231F20"/>
          <w:spacing w:val="-4"/>
        </w:rPr>
        <w:t>normas</w:t>
      </w:r>
      <w:r>
        <w:rPr>
          <w:color w:val="231F20"/>
          <w:spacing w:val="-13"/>
        </w:rPr>
        <w:t> </w:t>
      </w:r>
      <w:r>
        <w:rPr>
          <w:color w:val="231F20"/>
          <w:spacing w:val="-4"/>
        </w:rPr>
        <w:t>internacionales </w:t>
      </w:r>
      <w:r>
        <w:rPr>
          <w:color w:val="231F20"/>
          <w:spacing w:val="-2"/>
        </w:rPr>
        <w:t>de</w:t>
      </w:r>
      <w:r>
        <w:rPr>
          <w:color w:val="231F20"/>
          <w:spacing w:val="-13"/>
        </w:rPr>
        <w:t> </w:t>
      </w:r>
      <w:r>
        <w:rPr>
          <w:color w:val="231F20"/>
          <w:spacing w:val="-2"/>
        </w:rPr>
        <w:t>comercio,</w:t>
      </w:r>
      <w:r>
        <w:rPr>
          <w:color w:val="231F20"/>
          <w:spacing w:val="-13"/>
        </w:rPr>
        <w:t> </w:t>
      </w:r>
      <w:r>
        <w:rPr>
          <w:color w:val="231F20"/>
          <w:spacing w:val="-2"/>
        </w:rPr>
        <w:t>en</w:t>
      </w:r>
      <w:r>
        <w:rPr>
          <w:color w:val="231F20"/>
          <w:spacing w:val="-13"/>
        </w:rPr>
        <w:t> </w:t>
      </w:r>
      <w:r>
        <w:rPr>
          <w:color w:val="231F20"/>
          <w:spacing w:val="-2"/>
        </w:rPr>
        <w:t>tanto</w:t>
      </w:r>
      <w:r>
        <w:rPr>
          <w:color w:val="231F20"/>
          <w:spacing w:val="-14"/>
        </w:rPr>
        <w:t> </w:t>
      </w:r>
      <w:r>
        <w:rPr>
          <w:color w:val="231F20"/>
          <w:spacing w:val="-2"/>
        </w:rPr>
        <w:t>dispone</w:t>
      </w:r>
      <w:r>
        <w:rPr>
          <w:color w:val="231F20"/>
          <w:spacing w:val="-13"/>
        </w:rPr>
        <w:t> </w:t>
      </w:r>
      <w:r>
        <w:rPr>
          <w:color w:val="231F20"/>
          <w:spacing w:val="-2"/>
        </w:rPr>
        <w:t>acciones</w:t>
      </w:r>
      <w:r>
        <w:rPr>
          <w:color w:val="231F20"/>
          <w:spacing w:val="-14"/>
        </w:rPr>
        <w:t> </w:t>
      </w:r>
      <w:r>
        <w:rPr>
          <w:color w:val="231F20"/>
          <w:spacing w:val="-2"/>
        </w:rPr>
        <w:t>de </w:t>
      </w:r>
      <w:r>
        <w:rPr>
          <w:color w:val="231F20"/>
        </w:rPr>
        <w:t>presión económica lesivas a la soberanía de terceros países. Mediante la presión y el empleo de prácticas antidemocráticas</w:t>
      </w:r>
      <w:r>
        <w:rPr>
          <w:color w:val="231F20"/>
          <w:spacing w:val="40"/>
        </w:rPr>
        <w:t> </w:t>
      </w:r>
      <w:r>
        <w:rPr>
          <w:color w:val="231F20"/>
        </w:rPr>
        <w:t>e injerencistas, Washington persigue que el resto de los Estados y organizaciones internacionales acaten sus decisiones políticas con respecto a Cuba.</w:t>
      </w:r>
    </w:p>
    <w:p>
      <w:pPr>
        <w:spacing w:before="168"/>
        <w:ind w:left="1474" w:right="0" w:firstLine="0"/>
        <w:jc w:val="both"/>
        <w:rPr>
          <w:rFonts w:ascii="Segoe UI Semibold" w:hAnsi="Segoe UI Semibold"/>
          <w:b/>
          <w:i/>
          <w:sz w:val="24"/>
        </w:rPr>
      </w:pPr>
      <w:r>
        <w:rPr>
          <w:rFonts w:ascii="Segoe UI Semibold" w:hAnsi="Segoe UI Semibold"/>
          <w:b/>
          <w:i/>
          <w:color w:val="231F20"/>
          <w:sz w:val="24"/>
        </w:rPr>
        <w:t>Del 1º de marzo de 2022 hasta el 28 de</w:t>
      </w:r>
      <w:r>
        <w:rPr>
          <w:rFonts w:ascii="Segoe UI Semibold" w:hAnsi="Segoe UI Semibold"/>
          <w:b/>
          <w:i/>
          <w:color w:val="231F20"/>
          <w:sz w:val="24"/>
        </w:rPr>
        <w:t> febrero</w:t>
      </w:r>
      <w:r>
        <w:rPr>
          <w:rFonts w:ascii="Segoe UI Semibold" w:hAnsi="Segoe UI Semibold"/>
          <w:b/>
          <w:i/>
          <w:color w:val="231F20"/>
          <w:spacing w:val="-16"/>
          <w:sz w:val="24"/>
        </w:rPr>
        <w:t>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2023,</w:t>
      </w:r>
      <w:r>
        <w:rPr>
          <w:rFonts w:ascii="Segoe UI Semibold" w:hAnsi="Segoe UI Semibold"/>
          <w:b/>
          <w:i/>
          <w:color w:val="231F20"/>
          <w:spacing w:val="-16"/>
          <w:sz w:val="24"/>
        </w:rPr>
        <w:t> </w:t>
      </w:r>
      <w:r>
        <w:rPr>
          <w:rFonts w:ascii="Segoe UI Semibold" w:hAnsi="Segoe UI Semibold"/>
          <w:b/>
          <w:i/>
          <w:color w:val="231F20"/>
          <w:sz w:val="24"/>
        </w:rPr>
        <w:t>el</w:t>
      </w:r>
      <w:r>
        <w:rPr>
          <w:rFonts w:ascii="Segoe UI Semibold" w:hAnsi="Segoe UI Semibold"/>
          <w:b/>
          <w:i/>
          <w:color w:val="231F20"/>
          <w:spacing w:val="-16"/>
          <w:sz w:val="24"/>
        </w:rPr>
        <w:t> </w:t>
      </w:r>
      <w:r>
        <w:rPr>
          <w:rFonts w:ascii="Segoe UI Semibold" w:hAnsi="Segoe UI Semibold"/>
          <w:b/>
          <w:i/>
          <w:color w:val="231F20"/>
          <w:sz w:val="24"/>
        </w:rPr>
        <w:t>bloqueo</w:t>
      </w:r>
      <w:r>
        <w:rPr>
          <w:rFonts w:ascii="Segoe UI Semibold" w:hAnsi="Segoe UI Semibold"/>
          <w:b/>
          <w:i/>
          <w:color w:val="231F20"/>
          <w:spacing w:val="-15"/>
          <w:sz w:val="24"/>
        </w:rPr>
        <w:t> </w:t>
      </w:r>
      <w:r>
        <w:rPr>
          <w:rFonts w:ascii="Segoe UI Semibold" w:hAnsi="Segoe UI Semibold"/>
          <w:b/>
          <w:i/>
          <w:color w:val="231F20"/>
          <w:sz w:val="24"/>
        </w:rPr>
        <w:t>causó</w:t>
      </w:r>
      <w:r>
        <w:rPr>
          <w:rFonts w:ascii="Segoe UI Semibold" w:hAnsi="Segoe UI Semibold"/>
          <w:b/>
          <w:i/>
          <w:color w:val="231F20"/>
          <w:spacing w:val="-16"/>
          <w:sz w:val="24"/>
        </w:rPr>
        <w:t> </w:t>
      </w:r>
      <w:r>
        <w:rPr>
          <w:rFonts w:ascii="Segoe UI Semibold" w:hAnsi="Segoe UI Semibold"/>
          <w:b/>
          <w:i/>
          <w:color w:val="231F20"/>
          <w:sz w:val="24"/>
        </w:rPr>
        <w:t>daños</w:t>
      </w:r>
      <w:r>
        <w:rPr>
          <w:rFonts w:ascii="Segoe UI Semibold" w:hAnsi="Segoe UI Semibold"/>
          <w:b/>
          <w:i/>
          <w:color w:val="231F20"/>
          <w:spacing w:val="-15"/>
          <w:sz w:val="24"/>
        </w:rPr>
        <w:t> </w:t>
      </w:r>
      <w:r>
        <w:rPr>
          <w:rFonts w:ascii="Segoe UI Semibold" w:hAnsi="Segoe UI Semibold"/>
          <w:b/>
          <w:i/>
          <w:color w:val="231F20"/>
          <w:sz w:val="24"/>
        </w:rPr>
        <w:t>y perjuicios estimados conservadoramente en el orden de los </w:t>
      </w:r>
      <w:r>
        <w:rPr>
          <w:b/>
          <w:i/>
          <w:color w:val="231F20"/>
          <w:sz w:val="24"/>
        </w:rPr>
        <w:t>4 mil 867 millones de</w:t>
      </w:r>
      <w:r>
        <w:rPr>
          <w:b/>
          <w:i/>
          <w:color w:val="231F20"/>
          <w:sz w:val="24"/>
        </w:rPr>
        <w:t> </w:t>
      </w:r>
      <w:r>
        <w:rPr>
          <w:b/>
          <w:i/>
          <w:color w:val="231F20"/>
          <w:spacing w:val="-2"/>
          <w:sz w:val="24"/>
        </w:rPr>
        <w:t>dólares</w:t>
      </w:r>
      <w:r>
        <w:rPr>
          <w:rFonts w:ascii="Segoe UI Semibold" w:hAnsi="Segoe UI Semibold"/>
          <w:b/>
          <w:i/>
          <w:color w:val="231F20"/>
          <w:spacing w:val="-2"/>
          <w:sz w:val="24"/>
        </w:rPr>
        <w:t>.</w:t>
      </w:r>
    </w:p>
    <w:p>
      <w:pPr>
        <w:spacing w:before="158"/>
        <w:ind w:left="1474" w:right="0" w:firstLine="0"/>
        <w:jc w:val="both"/>
        <w:rPr>
          <w:rFonts w:ascii="Segoe UI Semibold" w:hAnsi="Segoe UI Semibold"/>
          <w:b/>
          <w:i/>
          <w:sz w:val="24"/>
        </w:rPr>
      </w:pPr>
      <w:r>
        <w:rPr>
          <w:rFonts w:ascii="Segoe UI Semibold" w:hAnsi="Segoe UI Semibold"/>
          <w:b/>
          <w:i/>
          <w:color w:val="231F20"/>
          <w:sz w:val="24"/>
        </w:rPr>
        <w:t>Esto representa una afectación de más</w:t>
      </w:r>
      <w:r>
        <w:rPr>
          <w:rFonts w:ascii="Segoe UI Semibold" w:hAnsi="Segoe UI Semibold"/>
          <w:b/>
          <w:i/>
          <w:color w:val="231F20"/>
          <w:sz w:val="24"/>
        </w:rPr>
        <w:t> de </w:t>
      </w:r>
      <w:r>
        <w:rPr>
          <w:b/>
          <w:i/>
          <w:color w:val="231F20"/>
          <w:sz w:val="24"/>
        </w:rPr>
        <w:t>405 millones de dólares mensuales,</w:t>
      </w:r>
      <w:r>
        <w:rPr>
          <w:b/>
          <w:i/>
          <w:color w:val="231F20"/>
          <w:sz w:val="24"/>
        </w:rPr>
        <w:t> </w:t>
      </w:r>
      <w:r>
        <w:rPr>
          <w:rFonts w:ascii="Segoe UI Semibold" w:hAnsi="Segoe UI Semibold"/>
          <w:b/>
          <w:i/>
          <w:color w:val="231F20"/>
          <w:sz w:val="24"/>
        </w:rPr>
        <w:t>más de </w:t>
      </w:r>
      <w:r>
        <w:rPr>
          <w:b/>
          <w:i/>
          <w:color w:val="231F20"/>
          <w:sz w:val="24"/>
        </w:rPr>
        <w:t>13 millones de dólares </w:t>
      </w:r>
      <w:r>
        <w:rPr>
          <w:b/>
          <w:i/>
          <w:color w:val="231F20"/>
          <w:sz w:val="24"/>
        </w:rPr>
        <w:t>diarios</w:t>
      </w:r>
      <w:r>
        <w:rPr>
          <w:rFonts w:ascii="Segoe UI Semibold" w:hAnsi="Segoe UI Semibold"/>
          <w:b/>
          <w:i/>
          <w:color w:val="231F20"/>
          <w:sz w:val="24"/>
        </w:rPr>
        <w:t>,</w:t>
      </w:r>
      <w:r>
        <w:rPr>
          <w:rFonts w:ascii="Segoe UI Semibold" w:hAnsi="Segoe UI Semibold"/>
          <w:b/>
          <w:i/>
          <w:color w:val="231F20"/>
          <w:spacing w:val="40"/>
          <w:sz w:val="24"/>
        </w:rPr>
        <w:t> </w:t>
      </w:r>
      <w:r>
        <w:rPr>
          <w:rFonts w:ascii="Segoe UI Semibold" w:hAnsi="Segoe UI Semibold"/>
          <w:b/>
          <w:i/>
          <w:color w:val="231F20"/>
          <w:sz w:val="24"/>
        </w:rPr>
        <w:t>y</w:t>
      </w:r>
      <w:r>
        <w:rPr>
          <w:rFonts w:ascii="Segoe UI Semibold" w:hAnsi="Segoe UI Semibold"/>
          <w:b/>
          <w:i/>
          <w:color w:val="231F20"/>
          <w:spacing w:val="-3"/>
          <w:sz w:val="24"/>
        </w:rPr>
        <w:t> </w:t>
      </w:r>
      <w:r>
        <w:rPr>
          <w:rFonts w:ascii="Segoe UI Semibold" w:hAnsi="Segoe UI Semibold"/>
          <w:b/>
          <w:i/>
          <w:color w:val="231F20"/>
          <w:sz w:val="24"/>
        </w:rPr>
        <w:t>más</w:t>
      </w:r>
      <w:r>
        <w:rPr>
          <w:rFonts w:ascii="Segoe UI Semibold" w:hAnsi="Segoe UI Semibold"/>
          <w:b/>
          <w:i/>
          <w:color w:val="231F20"/>
          <w:spacing w:val="-3"/>
          <w:sz w:val="24"/>
        </w:rPr>
        <w:t> </w:t>
      </w:r>
      <w:r>
        <w:rPr>
          <w:rFonts w:ascii="Segoe UI Semibold" w:hAnsi="Segoe UI Semibold"/>
          <w:b/>
          <w:i/>
          <w:color w:val="231F20"/>
          <w:sz w:val="24"/>
        </w:rPr>
        <w:t>de</w:t>
      </w:r>
      <w:r>
        <w:rPr>
          <w:rFonts w:ascii="Segoe UI Semibold" w:hAnsi="Segoe UI Semibold"/>
          <w:b/>
          <w:i/>
          <w:color w:val="231F20"/>
          <w:spacing w:val="-3"/>
          <w:sz w:val="24"/>
        </w:rPr>
        <w:t> </w:t>
      </w:r>
      <w:r>
        <w:rPr>
          <w:b/>
          <w:i/>
          <w:color w:val="231F20"/>
          <w:sz w:val="24"/>
        </w:rPr>
        <w:t>555</w:t>
      </w:r>
      <w:r>
        <w:rPr>
          <w:b/>
          <w:i/>
          <w:color w:val="231F20"/>
          <w:spacing w:val="-3"/>
          <w:sz w:val="24"/>
        </w:rPr>
        <w:t> </w:t>
      </w:r>
      <w:r>
        <w:rPr>
          <w:b/>
          <w:i/>
          <w:color w:val="231F20"/>
          <w:sz w:val="24"/>
        </w:rPr>
        <w:t>mil</w:t>
      </w:r>
      <w:r>
        <w:rPr>
          <w:b/>
          <w:i/>
          <w:color w:val="231F20"/>
          <w:spacing w:val="-3"/>
          <w:sz w:val="24"/>
        </w:rPr>
        <w:t> </w:t>
      </w:r>
      <w:r>
        <w:rPr>
          <w:b/>
          <w:i/>
          <w:color w:val="231F20"/>
          <w:sz w:val="24"/>
        </w:rPr>
        <w:t>dólares</w:t>
      </w:r>
      <w:r>
        <w:rPr>
          <w:b/>
          <w:i/>
          <w:color w:val="231F20"/>
          <w:spacing w:val="-3"/>
          <w:sz w:val="24"/>
        </w:rPr>
        <w:t> </w:t>
      </w:r>
      <w:r>
        <w:rPr>
          <w:b/>
          <w:i/>
          <w:color w:val="231F20"/>
          <w:sz w:val="24"/>
        </w:rPr>
        <w:t>por</w:t>
      </w:r>
      <w:r>
        <w:rPr>
          <w:b/>
          <w:i/>
          <w:color w:val="231F20"/>
          <w:spacing w:val="-3"/>
          <w:sz w:val="24"/>
        </w:rPr>
        <w:t> </w:t>
      </w:r>
      <w:r>
        <w:rPr>
          <w:b/>
          <w:i/>
          <w:color w:val="231F20"/>
          <w:sz w:val="24"/>
        </w:rPr>
        <w:t>cada</w:t>
      </w:r>
      <w:r>
        <w:rPr>
          <w:b/>
          <w:i/>
          <w:color w:val="231F20"/>
          <w:spacing w:val="-3"/>
          <w:sz w:val="24"/>
        </w:rPr>
        <w:t> </w:t>
      </w:r>
      <w:r>
        <w:rPr>
          <w:b/>
          <w:i/>
          <w:color w:val="231F20"/>
          <w:sz w:val="24"/>
        </w:rPr>
        <w:t>hora</w:t>
      </w:r>
      <w:r>
        <w:rPr>
          <w:b/>
          <w:i/>
          <w:color w:val="231F20"/>
          <w:sz w:val="24"/>
        </w:rPr>
        <w:t> </w:t>
      </w:r>
      <w:r>
        <w:rPr>
          <w:rFonts w:ascii="Segoe UI Semibold" w:hAnsi="Segoe UI Semibold"/>
          <w:b/>
          <w:i/>
          <w:color w:val="231F20"/>
          <w:sz w:val="24"/>
        </w:rPr>
        <w:t>de</w:t>
      </w:r>
      <w:r>
        <w:rPr>
          <w:rFonts w:ascii="Segoe UI Semibold" w:hAnsi="Segoe UI Semibold"/>
          <w:b/>
          <w:i/>
          <w:color w:val="231F20"/>
          <w:spacing w:val="-8"/>
          <w:sz w:val="24"/>
        </w:rPr>
        <w:t> </w:t>
      </w:r>
      <w:r>
        <w:rPr>
          <w:rFonts w:ascii="Segoe UI Semibold" w:hAnsi="Segoe UI Semibold"/>
          <w:b/>
          <w:i/>
          <w:color w:val="231F20"/>
          <w:sz w:val="24"/>
        </w:rPr>
        <w:t>bloqueo.</w:t>
      </w:r>
      <w:r>
        <w:rPr>
          <w:rFonts w:ascii="Segoe UI Semibold" w:hAnsi="Segoe UI Semibold"/>
          <w:b/>
          <w:i/>
          <w:color w:val="231F20"/>
          <w:spacing w:val="-8"/>
          <w:sz w:val="24"/>
        </w:rPr>
        <w:t> </w:t>
      </w:r>
      <w:r>
        <w:rPr>
          <w:rFonts w:ascii="Segoe UI Semibold" w:hAnsi="Segoe UI Semibold"/>
          <w:b/>
          <w:i/>
          <w:color w:val="231F20"/>
          <w:sz w:val="24"/>
        </w:rPr>
        <w:t>Se</w:t>
      </w:r>
      <w:r>
        <w:rPr>
          <w:rFonts w:ascii="Segoe UI Semibold" w:hAnsi="Segoe UI Semibold"/>
          <w:b/>
          <w:i/>
          <w:color w:val="231F20"/>
          <w:spacing w:val="-8"/>
          <w:sz w:val="24"/>
        </w:rPr>
        <w:t> </w:t>
      </w:r>
      <w:r>
        <w:rPr>
          <w:rFonts w:ascii="Segoe UI Semibold" w:hAnsi="Segoe UI Semibold"/>
          <w:b/>
          <w:i/>
          <w:color w:val="231F20"/>
          <w:sz w:val="24"/>
        </w:rPr>
        <w:t>estima</w:t>
      </w:r>
      <w:r>
        <w:rPr>
          <w:rFonts w:ascii="Segoe UI Semibold" w:hAnsi="Segoe UI Semibold"/>
          <w:b/>
          <w:i/>
          <w:color w:val="231F20"/>
          <w:spacing w:val="-8"/>
          <w:sz w:val="24"/>
        </w:rPr>
        <w:t> </w:t>
      </w:r>
      <w:r>
        <w:rPr>
          <w:rFonts w:ascii="Segoe UI Semibold" w:hAnsi="Segoe UI Semibold"/>
          <w:b/>
          <w:i/>
          <w:color w:val="231F20"/>
          <w:sz w:val="24"/>
        </w:rPr>
        <w:t>que</w:t>
      </w:r>
      <w:r>
        <w:rPr>
          <w:rFonts w:ascii="Segoe UI Semibold" w:hAnsi="Segoe UI Semibold"/>
          <w:b/>
          <w:i/>
          <w:color w:val="231F20"/>
          <w:spacing w:val="-8"/>
          <w:sz w:val="24"/>
        </w:rPr>
        <w:t> </w:t>
      </w:r>
      <w:r>
        <w:rPr>
          <w:rFonts w:ascii="Segoe UI Semibold" w:hAnsi="Segoe UI Semibold"/>
          <w:b/>
          <w:i/>
          <w:color w:val="231F20"/>
          <w:sz w:val="24"/>
        </w:rPr>
        <w:t>el</w:t>
      </w:r>
      <w:r>
        <w:rPr>
          <w:rFonts w:ascii="Segoe UI Semibold" w:hAnsi="Segoe UI Semibold"/>
          <w:b/>
          <w:i/>
          <w:color w:val="231F20"/>
          <w:spacing w:val="-8"/>
          <w:sz w:val="24"/>
        </w:rPr>
        <w:t> </w:t>
      </w:r>
      <w:r>
        <w:rPr>
          <w:rFonts w:ascii="Segoe UI Semibold" w:hAnsi="Segoe UI Semibold"/>
          <w:b/>
          <w:i/>
          <w:color w:val="231F20"/>
          <w:sz w:val="24"/>
        </w:rPr>
        <w:t>PIB</w:t>
      </w:r>
      <w:r>
        <w:rPr>
          <w:rFonts w:ascii="Segoe UI Semibold" w:hAnsi="Segoe UI Semibold"/>
          <w:b/>
          <w:i/>
          <w:color w:val="231F20"/>
          <w:spacing w:val="-8"/>
          <w:sz w:val="24"/>
        </w:rPr>
        <w:t> </w:t>
      </w:r>
      <w:r>
        <w:rPr>
          <w:rFonts w:ascii="Segoe UI Semibold" w:hAnsi="Segoe UI Semibold"/>
          <w:b/>
          <w:i/>
          <w:color w:val="231F20"/>
          <w:sz w:val="24"/>
        </w:rPr>
        <w:t>de</w:t>
      </w:r>
      <w:r>
        <w:rPr>
          <w:rFonts w:ascii="Segoe UI Semibold" w:hAnsi="Segoe UI Semibold"/>
          <w:b/>
          <w:i/>
          <w:color w:val="231F20"/>
          <w:spacing w:val="-8"/>
          <w:sz w:val="24"/>
        </w:rPr>
        <w:t> </w:t>
      </w:r>
      <w:r>
        <w:rPr>
          <w:rFonts w:ascii="Segoe UI Semibold" w:hAnsi="Segoe UI Semibold"/>
          <w:b/>
          <w:i/>
          <w:color w:val="231F20"/>
          <w:sz w:val="24"/>
        </w:rPr>
        <w:t>Cuba</w:t>
      </w:r>
      <w:r>
        <w:rPr>
          <w:rFonts w:ascii="Segoe UI Semibold" w:hAnsi="Segoe UI Semibold"/>
          <w:b/>
          <w:i/>
          <w:color w:val="231F20"/>
          <w:sz w:val="24"/>
        </w:rPr>
        <w:t> pudo</w:t>
      </w:r>
      <w:r>
        <w:rPr>
          <w:rFonts w:ascii="Segoe UI Semibold" w:hAnsi="Segoe UI Semibold"/>
          <w:b/>
          <w:i/>
          <w:color w:val="231F20"/>
          <w:spacing w:val="-5"/>
          <w:sz w:val="24"/>
        </w:rPr>
        <w:t> </w:t>
      </w:r>
      <w:r>
        <w:rPr>
          <w:rFonts w:ascii="Segoe UI Semibold" w:hAnsi="Segoe UI Semibold"/>
          <w:b/>
          <w:i/>
          <w:color w:val="231F20"/>
          <w:sz w:val="24"/>
        </w:rPr>
        <w:t>haber</w:t>
      </w:r>
      <w:r>
        <w:rPr>
          <w:rFonts w:ascii="Segoe UI Semibold" w:hAnsi="Segoe UI Semibold"/>
          <w:b/>
          <w:i/>
          <w:color w:val="231F20"/>
          <w:spacing w:val="-5"/>
          <w:sz w:val="24"/>
        </w:rPr>
        <w:t> </w:t>
      </w:r>
      <w:r>
        <w:rPr>
          <w:rFonts w:ascii="Segoe UI Semibold" w:hAnsi="Segoe UI Semibold"/>
          <w:b/>
          <w:i/>
          <w:color w:val="231F20"/>
          <w:sz w:val="24"/>
        </w:rPr>
        <w:t>crecido</w:t>
      </w:r>
      <w:r>
        <w:rPr>
          <w:rFonts w:ascii="Segoe UI Semibold" w:hAnsi="Segoe UI Semibold"/>
          <w:b/>
          <w:i/>
          <w:color w:val="231F20"/>
          <w:spacing w:val="-5"/>
          <w:sz w:val="24"/>
        </w:rPr>
        <w:t> </w:t>
      </w:r>
      <w:r>
        <w:rPr>
          <w:rFonts w:ascii="Segoe UI Semibold" w:hAnsi="Segoe UI Semibold"/>
          <w:b/>
          <w:i/>
          <w:color w:val="231F20"/>
          <w:sz w:val="24"/>
        </w:rPr>
        <w:t>un</w:t>
      </w:r>
      <w:r>
        <w:rPr>
          <w:rFonts w:ascii="Segoe UI Semibold" w:hAnsi="Segoe UI Semibold"/>
          <w:b/>
          <w:i/>
          <w:color w:val="231F20"/>
          <w:spacing w:val="-5"/>
          <w:sz w:val="24"/>
        </w:rPr>
        <w:t> </w:t>
      </w:r>
      <w:r>
        <w:rPr>
          <w:rFonts w:ascii="Segoe UI Semibold" w:hAnsi="Segoe UI Semibold"/>
          <w:b/>
          <w:i/>
          <w:color w:val="231F20"/>
          <w:sz w:val="24"/>
        </w:rPr>
        <w:t>9%</w:t>
      </w:r>
      <w:r>
        <w:rPr>
          <w:rFonts w:ascii="Segoe UI Semibold" w:hAnsi="Segoe UI Semibold"/>
          <w:b/>
          <w:i/>
          <w:color w:val="231F20"/>
          <w:spacing w:val="-5"/>
          <w:sz w:val="24"/>
        </w:rPr>
        <w:t> </w:t>
      </w:r>
      <w:r>
        <w:rPr>
          <w:rFonts w:ascii="Segoe UI Semibold" w:hAnsi="Segoe UI Semibold"/>
          <w:b/>
          <w:i/>
          <w:color w:val="231F20"/>
          <w:sz w:val="24"/>
        </w:rPr>
        <w:t>en</w:t>
      </w:r>
      <w:r>
        <w:rPr>
          <w:rFonts w:ascii="Segoe UI Semibold" w:hAnsi="Segoe UI Semibold"/>
          <w:b/>
          <w:i/>
          <w:color w:val="231F20"/>
          <w:spacing w:val="-5"/>
          <w:sz w:val="24"/>
        </w:rPr>
        <w:t> </w:t>
      </w:r>
      <w:r>
        <w:rPr>
          <w:rFonts w:ascii="Segoe UI Semibold" w:hAnsi="Segoe UI Semibold"/>
          <w:b/>
          <w:i/>
          <w:color w:val="231F20"/>
          <w:sz w:val="24"/>
        </w:rPr>
        <w:t>2022,</w:t>
      </w:r>
      <w:r>
        <w:rPr>
          <w:rFonts w:ascii="Segoe UI Semibold" w:hAnsi="Segoe UI Semibold"/>
          <w:b/>
          <w:i/>
          <w:color w:val="231F20"/>
          <w:spacing w:val="-6"/>
          <w:sz w:val="24"/>
        </w:rPr>
        <w:t> </w:t>
      </w:r>
      <w:r>
        <w:rPr>
          <w:rFonts w:ascii="Segoe UI Semibold" w:hAnsi="Segoe UI Semibold"/>
          <w:b/>
          <w:i/>
          <w:color w:val="231F20"/>
          <w:sz w:val="24"/>
        </w:rPr>
        <w:t>de</w:t>
      </w:r>
      <w:r>
        <w:rPr>
          <w:rFonts w:ascii="Segoe UI Semibold" w:hAnsi="Segoe UI Semibold"/>
          <w:b/>
          <w:i/>
          <w:color w:val="231F20"/>
          <w:spacing w:val="-5"/>
          <w:sz w:val="24"/>
        </w:rPr>
        <w:t> </w:t>
      </w:r>
      <w:r>
        <w:rPr>
          <w:rFonts w:ascii="Segoe UI Semibold" w:hAnsi="Segoe UI Semibold"/>
          <w:b/>
          <w:i/>
          <w:color w:val="231F20"/>
          <w:sz w:val="24"/>
        </w:rPr>
        <w:t>no existir el bloqueo.</w:t>
      </w:r>
    </w:p>
    <w:p>
      <w:pPr>
        <w:spacing w:before="158"/>
        <w:ind w:left="1474" w:right="0" w:firstLine="0"/>
        <w:jc w:val="both"/>
        <w:rPr>
          <w:rFonts w:ascii="Segoe UI Semibold" w:hAnsi="Segoe UI Semibold"/>
          <w:b/>
          <w:i/>
          <w:sz w:val="24"/>
        </w:rPr>
      </w:pPr>
      <w:r>
        <w:rPr>
          <w:rFonts w:ascii="Segoe UI Semibold" w:hAnsi="Segoe UI Semibold"/>
          <w:b/>
          <w:i/>
          <w:color w:val="231F20"/>
          <w:spacing w:val="-4"/>
          <w:sz w:val="24"/>
        </w:rPr>
        <w:t>A</w:t>
      </w:r>
      <w:r>
        <w:rPr>
          <w:rFonts w:ascii="Segoe UI Semibold" w:hAnsi="Segoe UI Semibold"/>
          <w:b/>
          <w:i/>
          <w:color w:val="231F20"/>
          <w:spacing w:val="-13"/>
          <w:sz w:val="24"/>
        </w:rPr>
        <w:t> </w:t>
      </w:r>
      <w:r>
        <w:rPr>
          <w:rFonts w:ascii="Segoe UI Semibold" w:hAnsi="Segoe UI Semibold"/>
          <w:b/>
          <w:i/>
          <w:color w:val="231F20"/>
          <w:spacing w:val="-4"/>
          <w:sz w:val="24"/>
        </w:rPr>
        <w:t>precios</w:t>
      </w:r>
      <w:r>
        <w:rPr>
          <w:rFonts w:ascii="Segoe UI Semibold" w:hAnsi="Segoe UI Semibold"/>
          <w:b/>
          <w:i/>
          <w:color w:val="231F20"/>
          <w:spacing w:val="-12"/>
          <w:sz w:val="24"/>
        </w:rPr>
        <w:t> </w:t>
      </w:r>
      <w:r>
        <w:rPr>
          <w:rFonts w:ascii="Segoe UI Semibold" w:hAnsi="Segoe UI Semibold"/>
          <w:b/>
          <w:i/>
          <w:color w:val="231F20"/>
          <w:spacing w:val="-4"/>
          <w:sz w:val="24"/>
        </w:rPr>
        <w:t>corrientes,</w:t>
      </w:r>
      <w:r>
        <w:rPr>
          <w:rFonts w:ascii="Segoe UI Semibold" w:hAnsi="Segoe UI Semibold"/>
          <w:b/>
          <w:i/>
          <w:color w:val="231F20"/>
          <w:spacing w:val="-13"/>
          <w:sz w:val="24"/>
        </w:rPr>
        <w:t> </w:t>
      </w:r>
      <w:r>
        <w:rPr>
          <w:rFonts w:ascii="Segoe UI Semibold" w:hAnsi="Segoe UI Semibold"/>
          <w:b/>
          <w:i/>
          <w:color w:val="231F20"/>
          <w:spacing w:val="-4"/>
          <w:sz w:val="24"/>
        </w:rPr>
        <w:t>los</w:t>
      </w:r>
      <w:r>
        <w:rPr>
          <w:rFonts w:ascii="Segoe UI Semibold" w:hAnsi="Segoe UI Semibold"/>
          <w:b/>
          <w:i/>
          <w:color w:val="231F20"/>
          <w:spacing w:val="-12"/>
          <w:sz w:val="24"/>
        </w:rPr>
        <w:t> </w:t>
      </w:r>
      <w:r>
        <w:rPr>
          <w:rFonts w:ascii="Segoe UI Semibold" w:hAnsi="Segoe UI Semibold"/>
          <w:b/>
          <w:i/>
          <w:color w:val="231F20"/>
          <w:spacing w:val="-4"/>
          <w:sz w:val="24"/>
        </w:rPr>
        <w:t>daños</w:t>
      </w:r>
      <w:r>
        <w:rPr>
          <w:rFonts w:ascii="Segoe UI Semibold" w:hAnsi="Segoe UI Semibold"/>
          <w:b/>
          <w:i/>
          <w:color w:val="231F20"/>
          <w:spacing w:val="-13"/>
          <w:sz w:val="24"/>
        </w:rPr>
        <w:t> </w:t>
      </w:r>
      <w:r>
        <w:rPr>
          <w:rFonts w:ascii="Segoe UI Semibold" w:hAnsi="Segoe UI Semibold"/>
          <w:b/>
          <w:i/>
          <w:color w:val="231F20"/>
          <w:spacing w:val="-4"/>
          <w:sz w:val="24"/>
        </w:rPr>
        <w:t>acumulados</w:t>
      </w:r>
      <w:r>
        <w:rPr>
          <w:rFonts w:ascii="Segoe UI Semibold" w:hAnsi="Segoe UI Semibold"/>
          <w:b/>
          <w:i/>
          <w:color w:val="231F20"/>
          <w:spacing w:val="-4"/>
          <w:sz w:val="24"/>
        </w:rPr>
        <w:t> durante</w:t>
      </w:r>
      <w:r>
        <w:rPr>
          <w:rFonts w:ascii="Segoe UI Semibold" w:hAnsi="Segoe UI Semibold"/>
          <w:b/>
          <w:i/>
          <w:color w:val="231F20"/>
          <w:spacing w:val="-8"/>
          <w:sz w:val="24"/>
        </w:rPr>
        <w:t> </w:t>
      </w:r>
      <w:r>
        <w:rPr>
          <w:rFonts w:ascii="Segoe UI Semibold" w:hAnsi="Segoe UI Semibold"/>
          <w:b/>
          <w:i/>
          <w:color w:val="231F20"/>
          <w:spacing w:val="-4"/>
          <w:sz w:val="24"/>
        </w:rPr>
        <w:t>más</w:t>
      </w:r>
      <w:r>
        <w:rPr>
          <w:rFonts w:ascii="Segoe UI Semibold" w:hAnsi="Segoe UI Semibold"/>
          <w:b/>
          <w:i/>
          <w:color w:val="231F20"/>
          <w:spacing w:val="-8"/>
          <w:sz w:val="24"/>
        </w:rPr>
        <w:t> </w:t>
      </w:r>
      <w:r>
        <w:rPr>
          <w:rFonts w:ascii="Segoe UI Semibold" w:hAnsi="Segoe UI Semibold"/>
          <w:b/>
          <w:i/>
          <w:color w:val="231F20"/>
          <w:spacing w:val="-4"/>
          <w:sz w:val="24"/>
        </w:rPr>
        <w:t>de</w:t>
      </w:r>
      <w:r>
        <w:rPr>
          <w:rFonts w:ascii="Segoe UI Semibold" w:hAnsi="Segoe UI Semibold"/>
          <w:b/>
          <w:i/>
          <w:color w:val="231F20"/>
          <w:spacing w:val="-8"/>
          <w:sz w:val="24"/>
        </w:rPr>
        <w:t> </w:t>
      </w:r>
      <w:r>
        <w:rPr>
          <w:rFonts w:ascii="Segoe UI Semibold" w:hAnsi="Segoe UI Semibold"/>
          <w:b/>
          <w:i/>
          <w:color w:val="231F20"/>
          <w:spacing w:val="-4"/>
          <w:sz w:val="24"/>
        </w:rPr>
        <w:t>seis</w:t>
      </w:r>
      <w:r>
        <w:rPr>
          <w:rFonts w:ascii="Segoe UI Semibold" w:hAnsi="Segoe UI Semibold"/>
          <w:b/>
          <w:i/>
          <w:color w:val="231F20"/>
          <w:spacing w:val="-8"/>
          <w:sz w:val="24"/>
        </w:rPr>
        <w:t> </w:t>
      </w:r>
      <w:r>
        <w:rPr>
          <w:rFonts w:ascii="Segoe UI Semibold" w:hAnsi="Segoe UI Semibold"/>
          <w:b/>
          <w:i/>
          <w:color w:val="231F20"/>
          <w:spacing w:val="-4"/>
          <w:sz w:val="24"/>
        </w:rPr>
        <w:t>décadas</w:t>
      </w:r>
      <w:r>
        <w:rPr>
          <w:rFonts w:ascii="Segoe UI Semibold" w:hAnsi="Segoe UI Semibold"/>
          <w:b/>
          <w:i/>
          <w:color w:val="231F20"/>
          <w:spacing w:val="-8"/>
          <w:sz w:val="24"/>
        </w:rPr>
        <w:t> </w:t>
      </w:r>
      <w:r>
        <w:rPr>
          <w:rFonts w:ascii="Segoe UI Semibold" w:hAnsi="Segoe UI Semibold"/>
          <w:b/>
          <w:i/>
          <w:color w:val="231F20"/>
          <w:spacing w:val="-4"/>
          <w:sz w:val="24"/>
        </w:rPr>
        <w:t>de</w:t>
      </w:r>
      <w:r>
        <w:rPr>
          <w:rFonts w:ascii="Segoe UI Semibold" w:hAnsi="Segoe UI Semibold"/>
          <w:b/>
          <w:i/>
          <w:color w:val="231F20"/>
          <w:spacing w:val="-8"/>
          <w:sz w:val="24"/>
        </w:rPr>
        <w:t> </w:t>
      </w:r>
      <w:r>
        <w:rPr>
          <w:rFonts w:ascii="Segoe UI Semibold" w:hAnsi="Segoe UI Semibold"/>
          <w:b/>
          <w:i/>
          <w:color w:val="231F20"/>
          <w:spacing w:val="-4"/>
          <w:sz w:val="24"/>
        </w:rPr>
        <w:t>aplicación </w:t>
      </w:r>
      <w:r>
        <w:rPr>
          <w:rFonts w:ascii="Segoe UI Semibold" w:hAnsi="Segoe UI Semibold"/>
          <w:b/>
          <w:i/>
          <w:color w:val="231F20"/>
          <w:sz w:val="24"/>
        </w:rPr>
        <w:t>de</w:t>
      </w:r>
      <w:r>
        <w:rPr>
          <w:rFonts w:ascii="Segoe UI Semibold" w:hAnsi="Segoe UI Semibold"/>
          <w:b/>
          <w:i/>
          <w:color w:val="231F20"/>
          <w:spacing w:val="-8"/>
          <w:sz w:val="24"/>
        </w:rPr>
        <w:t> </w:t>
      </w:r>
      <w:r>
        <w:rPr>
          <w:rFonts w:ascii="Segoe UI Semibold" w:hAnsi="Segoe UI Semibold"/>
          <w:b/>
          <w:i/>
          <w:color w:val="231F20"/>
          <w:sz w:val="24"/>
        </w:rPr>
        <w:t>esta</w:t>
      </w:r>
      <w:r>
        <w:rPr>
          <w:rFonts w:ascii="Segoe UI Semibold" w:hAnsi="Segoe UI Semibold"/>
          <w:b/>
          <w:i/>
          <w:color w:val="231F20"/>
          <w:spacing w:val="-8"/>
          <w:sz w:val="24"/>
        </w:rPr>
        <w:t> </w:t>
      </w:r>
      <w:r>
        <w:rPr>
          <w:rFonts w:ascii="Segoe UI Semibold" w:hAnsi="Segoe UI Semibold"/>
          <w:b/>
          <w:i/>
          <w:color w:val="231F20"/>
          <w:sz w:val="24"/>
        </w:rPr>
        <w:t>política</w:t>
      </w:r>
      <w:r>
        <w:rPr>
          <w:rFonts w:ascii="Segoe UI Semibold" w:hAnsi="Segoe UI Semibold"/>
          <w:b/>
          <w:i/>
          <w:color w:val="231F20"/>
          <w:spacing w:val="-8"/>
          <w:sz w:val="24"/>
        </w:rPr>
        <w:t> </w:t>
      </w:r>
      <w:r>
        <w:rPr>
          <w:rFonts w:ascii="Segoe UI Semibold" w:hAnsi="Segoe UI Semibold"/>
          <w:b/>
          <w:i/>
          <w:color w:val="231F20"/>
          <w:sz w:val="24"/>
        </w:rPr>
        <w:t>ascienden</w:t>
      </w:r>
      <w:r>
        <w:rPr>
          <w:rFonts w:ascii="Segoe UI Semibold" w:hAnsi="Segoe UI Semibold"/>
          <w:b/>
          <w:i/>
          <w:color w:val="231F20"/>
          <w:spacing w:val="-8"/>
          <w:sz w:val="24"/>
        </w:rPr>
        <w:t> </w:t>
      </w:r>
      <w:r>
        <w:rPr>
          <w:rFonts w:ascii="Segoe UI Semibold" w:hAnsi="Segoe UI Semibold"/>
          <w:b/>
          <w:i/>
          <w:color w:val="231F20"/>
          <w:sz w:val="24"/>
        </w:rPr>
        <w:t>a</w:t>
      </w:r>
      <w:r>
        <w:rPr>
          <w:rFonts w:ascii="Segoe UI Semibold" w:hAnsi="Segoe UI Semibold"/>
          <w:b/>
          <w:i/>
          <w:color w:val="231F20"/>
          <w:spacing w:val="-7"/>
          <w:sz w:val="24"/>
        </w:rPr>
        <w:t> </w:t>
      </w:r>
      <w:r>
        <w:rPr>
          <w:b/>
          <w:i/>
          <w:color w:val="231F20"/>
          <w:sz w:val="24"/>
        </w:rPr>
        <w:t>159</w:t>
      </w:r>
      <w:r>
        <w:rPr>
          <w:b/>
          <w:i/>
          <w:color w:val="231F20"/>
          <w:spacing w:val="-8"/>
          <w:sz w:val="24"/>
        </w:rPr>
        <w:t> </w:t>
      </w:r>
      <w:r>
        <w:rPr>
          <w:b/>
          <w:i/>
          <w:color w:val="231F20"/>
          <w:sz w:val="24"/>
        </w:rPr>
        <w:t>mil</w:t>
      </w:r>
      <w:r>
        <w:rPr>
          <w:b/>
          <w:i/>
          <w:color w:val="231F20"/>
          <w:spacing w:val="-8"/>
          <w:sz w:val="24"/>
        </w:rPr>
        <w:t> </w:t>
      </w:r>
      <w:r>
        <w:rPr>
          <w:b/>
          <w:i/>
          <w:color w:val="231F20"/>
          <w:sz w:val="24"/>
        </w:rPr>
        <w:t>84,3</w:t>
      </w:r>
      <w:r>
        <w:rPr>
          <w:b/>
          <w:i/>
          <w:color w:val="231F20"/>
          <w:sz w:val="24"/>
        </w:rPr>
        <w:t> </w:t>
      </w:r>
      <w:r>
        <w:rPr>
          <w:b/>
          <w:i/>
          <w:color w:val="231F20"/>
          <w:spacing w:val="-8"/>
          <w:sz w:val="24"/>
        </w:rPr>
        <w:t>millones de dólares</w:t>
      </w:r>
      <w:r>
        <w:rPr>
          <w:rFonts w:ascii="Segoe UI Semibold" w:hAnsi="Segoe UI Semibold"/>
          <w:b/>
          <w:i/>
          <w:color w:val="231F20"/>
          <w:spacing w:val="-8"/>
          <w:sz w:val="24"/>
        </w:rPr>
        <w:t>. Tomando en cuenta el</w:t>
      </w:r>
      <w:r>
        <w:rPr>
          <w:rFonts w:ascii="Segoe UI Semibold" w:hAnsi="Segoe UI Semibold"/>
          <w:b/>
          <w:i/>
          <w:color w:val="231F20"/>
          <w:spacing w:val="-8"/>
          <w:sz w:val="24"/>
        </w:rPr>
        <w:t> </w:t>
      </w:r>
      <w:r>
        <w:rPr>
          <w:rFonts w:ascii="Segoe UI Semibold" w:hAnsi="Segoe UI Semibold"/>
          <w:b/>
          <w:i/>
          <w:color w:val="231F20"/>
          <w:spacing w:val="-10"/>
          <w:sz w:val="24"/>
        </w:rPr>
        <w:t>comportamiento</w:t>
      </w:r>
      <w:r>
        <w:rPr>
          <w:rFonts w:ascii="Segoe UI Semibold" w:hAnsi="Segoe UI Semibold"/>
          <w:b/>
          <w:i/>
          <w:color w:val="231F20"/>
          <w:spacing w:val="-6"/>
          <w:sz w:val="24"/>
        </w:rPr>
        <w:t> </w:t>
      </w:r>
      <w:r>
        <w:rPr>
          <w:rFonts w:ascii="Segoe UI Semibold" w:hAnsi="Segoe UI Semibold"/>
          <w:b/>
          <w:i/>
          <w:color w:val="231F20"/>
          <w:spacing w:val="-10"/>
          <w:sz w:val="24"/>
        </w:rPr>
        <w:t>del</w:t>
      </w:r>
      <w:r>
        <w:rPr>
          <w:rFonts w:ascii="Segoe UI Semibold" w:hAnsi="Segoe UI Semibold"/>
          <w:b/>
          <w:i/>
          <w:color w:val="231F20"/>
          <w:spacing w:val="-6"/>
          <w:sz w:val="24"/>
        </w:rPr>
        <w:t> </w:t>
      </w:r>
      <w:r>
        <w:rPr>
          <w:rFonts w:ascii="Segoe UI Semibold" w:hAnsi="Segoe UI Semibold"/>
          <w:b/>
          <w:i/>
          <w:color w:val="231F20"/>
          <w:spacing w:val="-10"/>
          <w:sz w:val="24"/>
        </w:rPr>
        <w:t>dólar</w:t>
      </w:r>
      <w:r>
        <w:rPr>
          <w:rFonts w:ascii="Segoe UI Semibold" w:hAnsi="Segoe UI Semibold"/>
          <w:b/>
          <w:i/>
          <w:color w:val="231F20"/>
          <w:spacing w:val="-6"/>
          <w:sz w:val="24"/>
        </w:rPr>
        <w:t> </w:t>
      </w:r>
      <w:r>
        <w:rPr>
          <w:rFonts w:ascii="Segoe UI Semibold" w:hAnsi="Segoe UI Semibold"/>
          <w:b/>
          <w:i/>
          <w:color w:val="231F20"/>
          <w:spacing w:val="-10"/>
          <w:sz w:val="24"/>
        </w:rPr>
        <w:t>frente</w:t>
      </w:r>
      <w:r>
        <w:rPr>
          <w:rFonts w:ascii="Segoe UI Semibold" w:hAnsi="Segoe UI Semibold"/>
          <w:b/>
          <w:i/>
          <w:color w:val="231F20"/>
          <w:spacing w:val="-6"/>
          <w:sz w:val="24"/>
        </w:rPr>
        <w:t> </w:t>
      </w:r>
      <w:r>
        <w:rPr>
          <w:rFonts w:ascii="Segoe UI Semibold" w:hAnsi="Segoe UI Semibold"/>
          <w:b/>
          <w:i/>
          <w:color w:val="231F20"/>
          <w:spacing w:val="-10"/>
          <w:sz w:val="24"/>
        </w:rPr>
        <w:t>al</w:t>
      </w:r>
      <w:r>
        <w:rPr>
          <w:rFonts w:ascii="Segoe UI Semibold" w:hAnsi="Segoe UI Semibold"/>
          <w:b/>
          <w:i/>
          <w:color w:val="231F20"/>
          <w:spacing w:val="-6"/>
          <w:sz w:val="24"/>
        </w:rPr>
        <w:t> </w:t>
      </w:r>
      <w:r>
        <w:rPr>
          <w:rFonts w:ascii="Segoe UI Semibold" w:hAnsi="Segoe UI Semibold"/>
          <w:b/>
          <w:i/>
          <w:color w:val="231F20"/>
          <w:spacing w:val="-10"/>
          <w:sz w:val="24"/>
        </w:rPr>
        <w:t>valor</w:t>
      </w:r>
      <w:r>
        <w:rPr>
          <w:rFonts w:ascii="Segoe UI Semibold" w:hAnsi="Segoe UI Semibold"/>
          <w:b/>
          <w:i/>
          <w:color w:val="231F20"/>
          <w:spacing w:val="-6"/>
          <w:sz w:val="24"/>
        </w:rPr>
        <w:t> </w:t>
      </w:r>
      <w:r>
        <w:rPr>
          <w:rFonts w:ascii="Segoe UI Semibold" w:hAnsi="Segoe UI Semibold"/>
          <w:b/>
          <w:i/>
          <w:color w:val="231F20"/>
          <w:spacing w:val="-10"/>
          <w:sz w:val="24"/>
        </w:rPr>
        <w:t>del </w:t>
      </w:r>
      <w:r>
        <w:rPr>
          <w:rFonts w:ascii="Segoe UI Semibold" w:hAnsi="Segoe UI Semibold"/>
          <w:b/>
          <w:i/>
          <w:color w:val="231F20"/>
          <w:spacing w:val="-6"/>
          <w:sz w:val="24"/>
        </w:rPr>
        <w:t>oro</w:t>
      </w:r>
      <w:r>
        <w:rPr>
          <w:rFonts w:ascii="Segoe UI Semibold" w:hAnsi="Segoe UI Semibold"/>
          <w:b/>
          <w:i/>
          <w:color w:val="231F20"/>
          <w:spacing w:val="-11"/>
          <w:sz w:val="24"/>
        </w:rPr>
        <w:t> </w:t>
      </w:r>
      <w:r>
        <w:rPr>
          <w:rFonts w:ascii="Segoe UI Semibold" w:hAnsi="Segoe UI Semibold"/>
          <w:b/>
          <w:i/>
          <w:color w:val="231F20"/>
          <w:spacing w:val="-6"/>
          <w:sz w:val="24"/>
        </w:rPr>
        <w:t>en</w:t>
      </w:r>
      <w:r>
        <w:rPr>
          <w:rFonts w:ascii="Segoe UI Semibold" w:hAnsi="Segoe UI Semibold"/>
          <w:b/>
          <w:i/>
          <w:color w:val="231F20"/>
          <w:spacing w:val="-10"/>
          <w:sz w:val="24"/>
        </w:rPr>
        <w:t> </w:t>
      </w:r>
      <w:r>
        <w:rPr>
          <w:rFonts w:ascii="Segoe UI Semibold" w:hAnsi="Segoe UI Semibold"/>
          <w:b/>
          <w:i/>
          <w:color w:val="231F20"/>
          <w:spacing w:val="-6"/>
          <w:sz w:val="24"/>
        </w:rPr>
        <w:t>el</w:t>
      </w:r>
      <w:r>
        <w:rPr>
          <w:rFonts w:ascii="Segoe UI Semibold" w:hAnsi="Segoe UI Semibold"/>
          <w:b/>
          <w:i/>
          <w:color w:val="231F20"/>
          <w:spacing w:val="-11"/>
          <w:sz w:val="24"/>
        </w:rPr>
        <w:t> </w:t>
      </w:r>
      <w:r>
        <w:rPr>
          <w:rFonts w:ascii="Segoe UI Semibold" w:hAnsi="Segoe UI Semibold"/>
          <w:b/>
          <w:i/>
          <w:color w:val="231F20"/>
          <w:spacing w:val="-6"/>
          <w:sz w:val="24"/>
        </w:rPr>
        <w:t>mercado</w:t>
      </w:r>
      <w:r>
        <w:rPr>
          <w:rFonts w:ascii="Segoe UI Semibold" w:hAnsi="Segoe UI Semibold"/>
          <w:b/>
          <w:i/>
          <w:color w:val="231F20"/>
          <w:spacing w:val="-10"/>
          <w:sz w:val="24"/>
        </w:rPr>
        <w:t> </w:t>
      </w:r>
      <w:r>
        <w:rPr>
          <w:rFonts w:ascii="Segoe UI Semibold" w:hAnsi="Segoe UI Semibold"/>
          <w:b/>
          <w:i/>
          <w:color w:val="231F20"/>
          <w:spacing w:val="-6"/>
          <w:sz w:val="24"/>
        </w:rPr>
        <w:t>internacional,</w:t>
      </w:r>
      <w:r>
        <w:rPr>
          <w:rFonts w:ascii="Segoe UI Semibold" w:hAnsi="Segoe UI Semibold"/>
          <w:b/>
          <w:i/>
          <w:color w:val="231F20"/>
          <w:spacing w:val="-11"/>
          <w:sz w:val="24"/>
        </w:rPr>
        <w:t> </w:t>
      </w:r>
      <w:r>
        <w:rPr>
          <w:rFonts w:ascii="Segoe UI Semibold" w:hAnsi="Segoe UI Semibold"/>
          <w:b/>
          <w:i/>
          <w:color w:val="231F20"/>
          <w:spacing w:val="-6"/>
          <w:sz w:val="24"/>
        </w:rPr>
        <w:t>el</w:t>
      </w:r>
      <w:r>
        <w:rPr>
          <w:rFonts w:ascii="Segoe UI Semibold" w:hAnsi="Segoe UI Semibold"/>
          <w:b/>
          <w:i/>
          <w:color w:val="231F20"/>
          <w:spacing w:val="-10"/>
          <w:sz w:val="24"/>
        </w:rPr>
        <w:t> </w:t>
      </w:r>
      <w:r>
        <w:rPr>
          <w:rFonts w:ascii="Segoe UI Semibold" w:hAnsi="Segoe UI Semibold"/>
          <w:b/>
          <w:i/>
          <w:color w:val="231F20"/>
          <w:spacing w:val="-6"/>
          <w:sz w:val="24"/>
        </w:rPr>
        <w:t>bloqueo </w:t>
      </w:r>
      <w:r>
        <w:rPr>
          <w:rFonts w:ascii="Segoe UI Semibold" w:hAnsi="Segoe UI Semibold"/>
          <w:b/>
          <w:i/>
          <w:color w:val="231F20"/>
          <w:spacing w:val="-2"/>
          <w:sz w:val="24"/>
        </w:rPr>
        <w:t>ha</w:t>
      </w:r>
      <w:r>
        <w:rPr>
          <w:rFonts w:ascii="Segoe UI Semibold" w:hAnsi="Segoe UI Semibold"/>
          <w:b/>
          <w:i/>
          <w:color w:val="231F20"/>
          <w:spacing w:val="-15"/>
          <w:sz w:val="24"/>
        </w:rPr>
        <w:t> </w:t>
      </w:r>
      <w:r>
        <w:rPr>
          <w:rFonts w:ascii="Segoe UI Semibold" w:hAnsi="Segoe UI Semibold"/>
          <w:b/>
          <w:i/>
          <w:color w:val="231F20"/>
          <w:spacing w:val="-2"/>
          <w:sz w:val="24"/>
        </w:rPr>
        <w:t>provocado</w:t>
      </w:r>
      <w:r>
        <w:rPr>
          <w:rFonts w:ascii="Segoe UI Semibold" w:hAnsi="Segoe UI Semibold"/>
          <w:b/>
          <w:i/>
          <w:color w:val="231F20"/>
          <w:spacing w:val="-14"/>
          <w:sz w:val="24"/>
        </w:rPr>
        <w:t> </w:t>
      </w:r>
      <w:r>
        <w:rPr>
          <w:rFonts w:ascii="Segoe UI Semibold" w:hAnsi="Segoe UI Semibold"/>
          <w:b/>
          <w:i/>
          <w:color w:val="231F20"/>
          <w:spacing w:val="-2"/>
          <w:sz w:val="24"/>
        </w:rPr>
        <w:t>perjuicios</w:t>
      </w:r>
      <w:r>
        <w:rPr>
          <w:rFonts w:ascii="Segoe UI Semibold" w:hAnsi="Segoe UI Semibold"/>
          <w:b/>
          <w:i/>
          <w:color w:val="231F20"/>
          <w:spacing w:val="-15"/>
          <w:sz w:val="24"/>
        </w:rPr>
        <w:t> </w:t>
      </w:r>
      <w:r>
        <w:rPr>
          <w:rFonts w:ascii="Segoe UI Semibold" w:hAnsi="Segoe UI Semibold"/>
          <w:b/>
          <w:i/>
          <w:color w:val="231F20"/>
          <w:spacing w:val="-2"/>
          <w:sz w:val="24"/>
        </w:rPr>
        <w:t>cuantificables</w:t>
      </w:r>
      <w:r>
        <w:rPr>
          <w:rFonts w:ascii="Segoe UI Semibold" w:hAnsi="Segoe UI Semibold"/>
          <w:b/>
          <w:i/>
          <w:color w:val="231F20"/>
          <w:spacing w:val="-14"/>
          <w:sz w:val="24"/>
        </w:rPr>
        <w:t> </w:t>
      </w:r>
      <w:r>
        <w:rPr>
          <w:rFonts w:ascii="Segoe UI Semibold" w:hAnsi="Segoe UI Semibold"/>
          <w:b/>
          <w:i/>
          <w:color w:val="231F20"/>
          <w:spacing w:val="-2"/>
          <w:sz w:val="24"/>
        </w:rPr>
        <w:t>por </w:t>
      </w:r>
      <w:r>
        <w:rPr>
          <w:rFonts w:ascii="Segoe UI Semibold" w:hAnsi="Segoe UI Semibold"/>
          <w:b/>
          <w:i/>
          <w:color w:val="231F20"/>
          <w:sz w:val="24"/>
        </w:rPr>
        <w:t>más de </w:t>
      </w:r>
      <w:r>
        <w:rPr>
          <w:b/>
          <w:i/>
          <w:color w:val="231F20"/>
          <w:sz w:val="24"/>
        </w:rPr>
        <w:t>1 billón 337 mil 57 millones de</w:t>
      </w:r>
      <w:r>
        <w:rPr>
          <w:b/>
          <w:i/>
          <w:color w:val="231F20"/>
          <w:sz w:val="24"/>
        </w:rPr>
        <w:t> dólares</w:t>
      </w:r>
      <w:r>
        <w:rPr>
          <w:rFonts w:ascii="Segoe UI Semibold" w:hAnsi="Segoe UI Semibold"/>
          <w:b/>
          <w:i/>
          <w:color w:val="231F20"/>
          <w:sz w:val="24"/>
        </w:rPr>
        <w:t>,</w:t>
      </w:r>
      <w:r>
        <w:rPr>
          <w:rFonts w:ascii="Segoe UI Semibold" w:hAnsi="Segoe UI Semibold"/>
          <w:b/>
          <w:i/>
          <w:color w:val="231F20"/>
          <w:spacing w:val="-14"/>
          <w:sz w:val="24"/>
        </w:rPr>
        <w:t> </w:t>
      </w:r>
      <w:r>
        <w:rPr>
          <w:rFonts w:ascii="Segoe UI Semibold" w:hAnsi="Segoe UI Semibold"/>
          <w:b/>
          <w:i/>
          <w:color w:val="231F20"/>
          <w:sz w:val="24"/>
        </w:rPr>
        <w:t>cifra</w:t>
      </w:r>
      <w:r>
        <w:rPr>
          <w:rFonts w:ascii="Segoe UI Semibold" w:hAnsi="Segoe UI Semibold"/>
          <w:b/>
          <w:i/>
          <w:color w:val="231F20"/>
          <w:spacing w:val="-14"/>
          <w:sz w:val="24"/>
        </w:rPr>
        <w:t> </w:t>
      </w:r>
      <w:r>
        <w:rPr>
          <w:rFonts w:ascii="Segoe UI Semibold" w:hAnsi="Segoe UI Semibold"/>
          <w:b/>
          <w:i/>
          <w:color w:val="231F20"/>
          <w:sz w:val="24"/>
        </w:rPr>
        <w:t>inferior</w:t>
      </w:r>
      <w:r>
        <w:rPr>
          <w:rFonts w:ascii="Segoe UI Semibold" w:hAnsi="Segoe UI Semibold"/>
          <w:b/>
          <w:i/>
          <w:color w:val="231F20"/>
          <w:spacing w:val="-14"/>
          <w:sz w:val="24"/>
        </w:rPr>
        <w:t> </w:t>
      </w:r>
      <w:r>
        <w:rPr>
          <w:rFonts w:ascii="Segoe UI Semibold" w:hAnsi="Segoe UI Semibold"/>
          <w:b/>
          <w:i/>
          <w:color w:val="231F20"/>
          <w:sz w:val="24"/>
        </w:rPr>
        <w:t>a</w:t>
      </w:r>
      <w:r>
        <w:rPr>
          <w:rFonts w:ascii="Segoe UI Semibold" w:hAnsi="Segoe UI Semibold"/>
          <w:b/>
          <w:i/>
          <w:color w:val="231F20"/>
          <w:spacing w:val="-14"/>
          <w:sz w:val="24"/>
        </w:rPr>
        <w:t> </w:t>
      </w:r>
      <w:r>
        <w:rPr>
          <w:rFonts w:ascii="Segoe UI Semibold" w:hAnsi="Segoe UI Semibold"/>
          <w:b/>
          <w:i/>
          <w:color w:val="231F20"/>
          <w:sz w:val="24"/>
        </w:rPr>
        <w:t>la</w:t>
      </w:r>
      <w:r>
        <w:rPr>
          <w:rFonts w:ascii="Segoe UI Semibold" w:hAnsi="Segoe UI Semibold"/>
          <w:b/>
          <w:i/>
          <w:color w:val="231F20"/>
          <w:spacing w:val="-14"/>
          <w:sz w:val="24"/>
        </w:rPr>
        <w:t> </w:t>
      </w:r>
      <w:r>
        <w:rPr>
          <w:rFonts w:ascii="Segoe UI Semibold" w:hAnsi="Segoe UI Semibold"/>
          <w:b/>
          <w:i/>
          <w:color w:val="231F20"/>
          <w:sz w:val="24"/>
        </w:rPr>
        <w:t>reportada</w:t>
      </w:r>
      <w:r>
        <w:rPr>
          <w:rFonts w:ascii="Segoe UI Semibold" w:hAnsi="Segoe UI Semibold"/>
          <w:b/>
          <w:i/>
          <w:color w:val="231F20"/>
          <w:spacing w:val="-14"/>
          <w:sz w:val="24"/>
        </w:rPr>
        <w:t> </w:t>
      </w:r>
      <w:r>
        <w:rPr>
          <w:rFonts w:ascii="Segoe UI Semibold" w:hAnsi="Segoe UI Semibold"/>
          <w:b/>
          <w:i/>
          <w:color w:val="231F20"/>
          <w:sz w:val="24"/>
        </w:rPr>
        <w:t>en</w:t>
      </w:r>
      <w:r>
        <w:rPr>
          <w:rFonts w:ascii="Segoe UI Semibold" w:hAnsi="Segoe UI Semibold"/>
          <w:b/>
          <w:i/>
          <w:color w:val="231F20"/>
          <w:spacing w:val="-14"/>
          <w:sz w:val="24"/>
        </w:rPr>
        <w:t> </w:t>
      </w:r>
      <w:r>
        <w:rPr>
          <w:rFonts w:ascii="Segoe UI Semibold" w:hAnsi="Segoe UI Semibold"/>
          <w:b/>
          <w:i/>
          <w:color w:val="231F20"/>
          <w:sz w:val="24"/>
        </w:rPr>
        <w:t>el</w:t>
      </w:r>
      <w:r>
        <w:rPr>
          <w:rFonts w:ascii="Segoe UI Semibold" w:hAnsi="Segoe UI Semibold"/>
          <w:b/>
          <w:i/>
          <w:color w:val="231F20"/>
          <w:sz w:val="24"/>
        </w:rPr>
        <w:t> informe</w:t>
      </w:r>
      <w:r>
        <w:rPr>
          <w:rFonts w:ascii="Segoe UI Semibold" w:hAnsi="Segoe UI Semibold"/>
          <w:b/>
          <w:i/>
          <w:color w:val="231F20"/>
          <w:spacing w:val="-16"/>
          <w:sz w:val="24"/>
        </w:rPr>
        <w:t> </w:t>
      </w:r>
      <w:r>
        <w:rPr>
          <w:rFonts w:ascii="Segoe UI Semibold" w:hAnsi="Segoe UI Semibold"/>
          <w:b/>
          <w:i/>
          <w:color w:val="231F20"/>
          <w:sz w:val="24"/>
        </w:rPr>
        <w:t>anterior</w:t>
      </w:r>
      <w:r>
        <w:rPr>
          <w:rFonts w:ascii="Segoe UI Semibold" w:hAnsi="Segoe UI Semibold"/>
          <w:b/>
          <w:i/>
          <w:color w:val="231F20"/>
          <w:spacing w:val="-16"/>
          <w:sz w:val="24"/>
        </w:rPr>
        <w:t> </w:t>
      </w:r>
      <w:r>
        <w:rPr>
          <w:rFonts w:ascii="Segoe UI Semibold" w:hAnsi="Segoe UI Semibold"/>
          <w:b/>
          <w:i/>
          <w:color w:val="231F20"/>
          <w:sz w:val="24"/>
        </w:rPr>
        <w:t>que</w:t>
      </w:r>
      <w:r>
        <w:rPr>
          <w:rFonts w:ascii="Segoe UI Semibold" w:hAnsi="Segoe UI Semibold"/>
          <w:b/>
          <w:i/>
          <w:color w:val="231F20"/>
          <w:spacing w:val="-16"/>
          <w:sz w:val="24"/>
        </w:rPr>
        <w:t> </w:t>
      </w:r>
      <w:r>
        <w:rPr>
          <w:rFonts w:ascii="Segoe UI Semibold" w:hAnsi="Segoe UI Semibold"/>
          <w:b/>
          <w:i/>
          <w:color w:val="231F20"/>
          <w:sz w:val="24"/>
        </w:rPr>
        <w:t>abarcó</w:t>
      </w:r>
      <w:r>
        <w:rPr>
          <w:rFonts w:ascii="Segoe UI Semibold" w:hAnsi="Segoe UI Semibold"/>
          <w:b/>
          <w:i/>
          <w:color w:val="231F20"/>
          <w:spacing w:val="-16"/>
          <w:sz w:val="24"/>
        </w:rPr>
        <w:t>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agosto</w:t>
      </w:r>
      <w:r>
        <w:rPr>
          <w:rFonts w:ascii="Segoe UI Semibold" w:hAnsi="Segoe UI Semibold"/>
          <w:b/>
          <w:i/>
          <w:color w:val="231F20"/>
          <w:spacing w:val="-16"/>
          <w:sz w:val="24"/>
        </w:rPr>
        <w:t> </w:t>
      </w:r>
      <w:r>
        <w:rPr>
          <w:rFonts w:ascii="Segoe UI Semibold" w:hAnsi="Segoe UI Semibold"/>
          <w:b/>
          <w:i/>
          <w:color w:val="231F20"/>
          <w:sz w:val="24"/>
        </w:rPr>
        <w:t>de </w:t>
      </w:r>
      <w:r>
        <w:rPr>
          <w:rFonts w:ascii="Segoe UI Semibold" w:hAnsi="Segoe UI Semibold"/>
          <w:b/>
          <w:i/>
          <w:color w:val="231F20"/>
          <w:spacing w:val="-10"/>
          <w:sz w:val="24"/>
        </w:rPr>
        <w:t>2021</w:t>
      </w:r>
      <w:r>
        <w:rPr>
          <w:rFonts w:ascii="Segoe UI Semibold" w:hAnsi="Segoe UI Semibold"/>
          <w:b/>
          <w:i/>
          <w:color w:val="231F20"/>
          <w:spacing w:val="-7"/>
          <w:sz w:val="24"/>
        </w:rPr>
        <w:t> </w:t>
      </w:r>
      <w:r>
        <w:rPr>
          <w:rFonts w:ascii="Segoe UI Semibold" w:hAnsi="Segoe UI Semibold"/>
          <w:b/>
          <w:i/>
          <w:color w:val="231F20"/>
          <w:spacing w:val="-10"/>
          <w:sz w:val="24"/>
        </w:rPr>
        <w:t>a</w:t>
      </w:r>
      <w:r>
        <w:rPr>
          <w:rFonts w:ascii="Segoe UI Semibold" w:hAnsi="Segoe UI Semibold"/>
          <w:b/>
          <w:i/>
          <w:color w:val="231F20"/>
          <w:spacing w:val="-6"/>
          <w:sz w:val="24"/>
        </w:rPr>
        <w:t> </w:t>
      </w:r>
      <w:r>
        <w:rPr>
          <w:rFonts w:ascii="Segoe UI Semibold" w:hAnsi="Segoe UI Semibold"/>
          <w:b/>
          <w:i/>
          <w:color w:val="231F20"/>
          <w:spacing w:val="-10"/>
          <w:sz w:val="24"/>
        </w:rPr>
        <w:t>febrero</w:t>
      </w:r>
      <w:r>
        <w:rPr>
          <w:rFonts w:ascii="Segoe UI Semibold" w:hAnsi="Segoe UI Semibold"/>
          <w:b/>
          <w:i/>
          <w:color w:val="231F20"/>
          <w:spacing w:val="-7"/>
          <w:sz w:val="24"/>
        </w:rPr>
        <w:t> </w:t>
      </w:r>
      <w:r>
        <w:rPr>
          <w:rFonts w:ascii="Segoe UI Semibold" w:hAnsi="Segoe UI Semibold"/>
          <w:b/>
          <w:i/>
          <w:color w:val="231F20"/>
          <w:spacing w:val="-10"/>
          <w:sz w:val="24"/>
        </w:rPr>
        <w:t>de</w:t>
      </w:r>
      <w:r>
        <w:rPr>
          <w:rFonts w:ascii="Segoe UI Semibold" w:hAnsi="Segoe UI Semibold"/>
          <w:b/>
          <w:i/>
          <w:color w:val="231F20"/>
          <w:spacing w:val="-6"/>
          <w:sz w:val="24"/>
        </w:rPr>
        <w:t> </w:t>
      </w:r>
      <w:r>
        <w:rPr>
          <w:rFonts w:ascii="Segoe UI Semibold" w:hAnsi="Segoe UI Semibold"/>
          <w:b/>
          <w:i/>
          <w:color w:val="231F20"/>
          <w:spacing w:val="-10"/>
          <w:sz w:val="24"/>
        </w:rPr>
        <w:t>2022,</w:t>
      </w:r>
      <w:r>
        <w:rPr>
          <w:rFonts w:ascii="Segoe UI Semibold" w:hAnsi="Segoe UI Semibold"/>
          <w:b/>
          <w:i/>
          <w:color w:val="231F20"/>
          <w:spacing w:val="-7"/>
          <w:sz w:val="24"/>
        </w:rPr>
        <w:t> </w:t>
      </w:r>
      <w:r>
        <w:rPr>
          <w:rFonts w:ascii="Segoe UI Semibold" w:hAnsi="Segoe UI Semibold"/>
          <w:b/>
          <w:i/>
          <w:color w:val="231F20"/>
          <w:spacing w:val="-10"/>
          <w:sz w:val="24"/>
        </w:rPr>
        <w:t>en</w:t>
      </w:r>
      <w:r>
        <w:rPr>
          <w:rFonts w:ascii="Segoe UI Semibold" w:hAnsi="Segoe UI Semibold"/>
          <w:b/>
          <w:i/>
          <w:color w:val="231F20"/>
          <w:spacing w:val="-5"/>
          <w:sz w:val="24"/>
        </w:rPr>
        <w:t> </w:t>
      </w:r>
      <w:r>
        <w:rPr>
          <w:rFonts w:ascii="Segoe UI Semibold" w:hAnsi="Segoe UI Semibold"/>
          <w:b/>
          <w:i/>
          <w:color w:val="231F20"/>
          <w:spacing w:val="-10"/>
          <w:sz w:val="24"/>
        </w:rPr>
        <w:t>tanto</w:t>
      </w:r>
      <w:r>
        <w:rPr>
          <w:rFonts w:ascii="Segoe UI Semibold" w:hAnsi="Segoe UI Semibold"/>
          <w:b/>
          <w:i/>
          <w:color w:val="231F20"/>
          <w:spacing w:val="-6"/>
          <w:sz w:val="24"/>
        </w:rPr>
        <w:t> </w:t>
      </w:r>
      <w:r>
        <w:rPr>
          <w:rFonts w:ascii="Segoe UI Semibold" w:hAnsi="Segoe UI Semibold"/>
          <w:b/>
          <w:i/>
          <w:color w:val="231F20"/>
          <w:spacing w:val="-10"/>
          <w:sz w:val="24"/>
        </w:rPr>
        <w:t>el</w:t>
      </w:r>
      <w:r>
        <w:rPr>
          <w:rFonts w:ascii="Segoe UI Semibold" w:hAnsi="Segoe UI Semibold"/>
          <w:b/>
          <w:i/>
          <w:color w:val="231F20"/>
          <w:spacing w:val="-7"/>
          <w:sz w:val="24"/>
        </w:rPr>
        <w:t> </w:t>
      </w:r>
      <w:r>
        <w:rPr>
          <w:rFonts w:ascii="Segoe UI Semibold" w:hAnsi="Segoe UI Semibold"/>
          <w:b/>
          <w:i/>
          <w:color w:val="231F20"/>
          <w:spacing w:val="-10"/>
          <w:sz w:val="24"/>
        </w:rPr>
        <w:t>precio</w:t>
      </w:r>
      <w:r>
        <w:rPr>
          <w:rFonts w:ascii="Segoe UI Semibold" w:hAnsi="Segoe UI Semibold"/>
          <w:b/>
          <w:i/>
          <w:color w:val="231F20"/>
          <w:spacing w:val="-6"/>
          <w:sz w:val="24"/>
        </w:rPr>
        <w:t> </w:t>
      </w:r>
      <w:r>
        <w:rPr>
          <w:rFonts w:ascii="Segoe UI Semibold" w:hAnsi="Segoe UI Semibold"/>
          <w:b/>
          <w:i/>
          <w:color w:val="231F20"/>
          <w:spacing w:val="-10"/>
          <w:sz w:val="24"/>
        </w:rPr>
        <w:t>del </w:t>
      </w:r>
      <w:r>
        <w:rPr>
          <w:rFonts w:ascii="Segoe UI Semibold" w:hAnsi="Segoe UI Semibold"/>
          <w:b/>
          <w:i/>
          <w:color w:val="231F20"/>
          <w:sz w:val="24"/>
        </w:rPr>
        <w:t>oro</w:t>
      </w:r>
      <w:r>
        <w:rPr>
          <w:rFonts w:ascii="Segoe UI Semibold" w:hAnsi="Segoe UI Semibold"/>
          <w:b/>
          <w:i/>
          <w:color w:val="231F20"/>
          <w:spacing w:val="-17"/>
          <w:sz w:val="24"/>
        </w:rPr>
        <w:t> </w:t>
      </w:r>
      <w:r>
        <w:rPr>
          <w:rFonts w:ascii="Segoe UI Semibold" w:hAnsi="Segoe UI Semibold"/>
          <w:b/>
          <w:i/>
          <w:color w:val="231F20"/>
          <w:sz w:val="24"/>
        </w:rPr>
        <w:t>al</w:t>
      </w:r>
      <w:r>
        <w:rPr>
          <w:rFonts w:ascii="Segoe UI Semibold" w:hAnsi="Segoe UI Semibold"/>
          <w:b/>
          <w:i/>
          <w:color w:val="231F20"/>
          <w:spacing w:val="-16"/>
          <w:sz w:val="24"/>
        </w:rPr>
        <w:t> </w:t>
      </w:r>
      <w:r>
        <w:rPr>
          <w:rFonts w:ascii="Segoe UI Semibold" w:hAnsi="Segoe UI Semibold"/>
          <w:b/>
          <w:i/>
          <w:color w:val="231F20"/>
          <w:sz w:val="24"/>
        </w:rPr>
        <w:t>cierre</w:t>
      </w:r>
      <w:r>
        <w:rPr>
          <w:rFonts w:ascii="Segoe UI Semibold" w:hAnsi="Segoe UI Semibold"/>
          <w:b/>
          <w:i/>
          <w:color w:val="231F20"/>
          <w:spacing w:val="-17"/>
          <w:sz w:val="24"/>
        </w:rPr>
        <w:t>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febrero</w:t>
      </w:r>
      <w:r>
        <w:rPr>
          <w:rFonts w:ascii="Segoe UI Semibold" w:hAnsi="Segoe UI Semibold"/>
          <w:b/>
          <w:i/>
          <w:color w:val="231F20"/>
          <w:spacing w:val="-17"/>
          <w:sz w:val="24"/>
        </w:rPr>
        <w:t>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2023</w:t>
      </w:r>
      <w:r>
        <w:rPr>
          <w:rFonts w:ascii="Segoe UI Semibold" w:hAnsi="Segoe UI Semibold"/>
          <w:b/>
          <w:i/>
          <w:color w:val="231F20"/>
          <w:spacing w:val="-17"/>
          <w:sz w:val="24"/>
        </w:rPr>
        <w:t> </w:t>
      </w:r>
      <w:r>
        <w:rPr>
          <w:rFonts w:ascii="Segoe UI Semibold" w:hAnsi="Segoe UI Semibold"/>
          <w:b/>
          <w:i/>
          <w:color w:val="231F20"/>
          <w:sz w:val="24"/>
        </w:rPr>
        <w:t>disminuyó </w:t>
      </w:r>
      <w:r>
        <w:rPr>
          <w:rFonts w:ascii="Segoe UI Semibold" w:hAnsi="Segoe UI Semibold"/>
          <w:b/>
          <w:i/>
          <w:color w:val="231F20"/>
          <w:spacing w:val="-6"/>
          <w:sz w:val="24"/>
        </w:rPr>
        <w:t>un</w:t>
      </w:r>
      <w:r>
        <w:rPr>
          <w:rFonts w:ascii="Segoe UI Semibold" w:hAnsi="Segoe UI Semibold"/>
          <w:b/>
          <w:i/>
          <w:color w:val="231F20"/>
          <w:spacing w:val="-11"/>
          <w:sz w:val="24"/>
        </w:rPr>
        <w:t> </w:t>
      </w:r>
      <w:r>
        <w:rPr>
          <w:rFonts w:ascii="Segoe UI Semibold" w:hAnsi="Segoe UI Semibold"/>
          <w:b/>
          <w:i/>
          <w:color w:val="231F20"/>
          <w:spacing w:val="-6"/>
          <w:sz w:val="24"/>
        </w:rPr>
        <w:t>4,2%</w:t>
      </w:r>
      <w:r>
        <w:rPr>
          <w:rFonts w:ascii="Segoe UI Semibold" w:hAnsi="Segoe UI Semibold"/>
          <w:b/>
          <w:i/>
          <w:color w:val="231F20"/>
          <w:spacing w:val="-10"/>
          <w:sz w:val="24"/>
        </w:rPr>
        <w:t> </w:t>
      </w:r>
      <w:r>
        <w:rPr>
          <w:rFonts w:ascii="Segoe UI Semibold" w:hAnsi="Segoe UI Semibold"/>
          <w:b/>
          <w:i/>
          <w:color w:val="231F20"/>
          <w:spacing w:val="-6"/>
          <w:sz w:val="24"/>
        </w:rPr>
        <w:t>en</w:t>
      </w:r>
      <w:r>
        <w:rPr>
          <w:rFonts w:ascii="Segoe UI Semibold" w:hAnsi="Segoe UI Semibold"/>
          <w:b/>
          <w:i/>
          <w:color w:val="231F20"/>
          <w:spacing w:val="-11"/>
          <w:sz w:val="24"/>
        </w:rPr>
        <w:t> </w:t>
      </w:r>
      <w:r>
        <w:rPr>
          <w:rFonts w:ascii="Segoe UI Semibold" w:hAnsi="Segoe UI Semibold"/>
          <w:b/>
          <w:i/>
          <w:color w:val="231F20"/>
          <w:spacing w:val="-6"/>
          <w:sz w:val="24"/>
        </w:rPr>
        <w:t>comparación</w:t>
      </w:r>
      <w:r>
        <w:rPr>
          <w:rFonts w:ascii="Segoe UI Semibold" w:hAnsi="Segoe UI Semibold"/>
          <w:b/>
          <w:i/>
          <w:color w:val="231F20"/>
          <w:spacing w:val="-10"/>
          <w:sz w:val="24"/>
        </w:rPr>
        <w:t> </w:t>
      </w:r>
      <w:r>
        <w:rPr>
          <w:rFonts w:ascii="Segoe UI Semibold" w:hAnsi="Segoe UI Semibold"/>
          <w:b/>
          <w:i/>
          <w:color w:val="231F20"/>
          <w:spacing w:val="-6"/>
          <w:sz w:val="24"/>
        </w:rPr>
        <w:t>con</w:t>
      </w:r>
      <w:r>
        <w:rPr>
          <w:rFonts w:ascii="Segoe UI Semibold" w:hAnsi="Segoe UI Semibold"/>
          <w:b/>
          <w:i/>
          <w:color w:val="231F20"/>
          <w:spacing w:val="-11"/>
          <w:sz w:val="24"/>
        </w:rPr>
        <w:t> </w:t>
      </w:r>
      <w:r>
        <w:rPr>
          <w:rFonts w:ascii="Segoe UI Semibold" w:hAnsi="Segoe UI Semibold"/>
          <w:b/>
          <w:i/>
          <w:color w:val="231F20"/>
          <w:spacing w:val="-6"/>
          <w:sz w:val="24"/>
        </w:rPr>
        <w:t>el</w:t>
      </w:r>
      <w:r>
        <w:rPr>
          <w:rFonts w:ascii="Segoe UI Semibold" w:hAnsi="Segoe UI Semibold"/>
          <w:b/>
          <w:i/>
          <w:color w:val="231F20"/>
          <w:spacing w:val="-10"/>
          <w:sz w:val="24"/>
        </w:rPr>
        <w:t> </w:t>
      </w:r>
      <w:r>
        <w:rPr>
          <w:rFonts w:ascii="Segoe UI Semibold" w:hAnsi="Segoe UI Semibold"/>
          <w:b/>
          <w:i/>
          <w:color w:val="231F20"/>
          <w:spacing w:val="-6"/>
          <w:sz w:val="24"/>
        </w:rPr>
        <w:t>mismo</w:t>
      </w:r>
      <w:r>
        <w:rPr>
          <w:rFonts w:ascii="Segoe UI Semibold" w:hAnsi="Segoe UI Semibold"/>
          <w:b/>
          <w:i/>
          <w:color w:val="231F20"/>
          <w:spacing w:val="-11"/>
          <w:sz w:val="24"/>
        </w:rPr>
        <w:t> </w:t>
      </w:r>
      <w:r>
        <w:rPr>
          <w:rFonts w:ascii="Segoe UI Semibold" w:hAnsi="Segoe UI Semibold"/>
          <w:b/>
          <w:i/>
          <w:color w:val="231F20"/>
          <w:spacing w:val="-6"/>
          <w:sz w:val="24"/>
        </w:rPr>
        <w:t>mes </w:t>
      </w:r>
      <w:r>
        <w:rPr>
          <w:rFonts w:ascii="Segoe UI Semibold" w:hAnsi="Segoe UI Semibold"/>
          <w:b/>
          <w:i/>
          <w:color w:val="231F20"/>
          <w:sz w:val="24"/>
        </w:rPr>
        <w:t>de 2022.</w:t>
      </w:r>
    </w:p>
    <w:p>
      <w:pPr>
        <w:pStyle w:val="BodyText"/>
        <w:spacing w:before="77"/>
        <w:ind w:left="412" w:right="1130"/>
      </w:pPr>
      <w:r>
        <w:rPr/>
        <w:br w:type="column"/>
      </w:r>
      <w:r>
        <w:rPr>
          <w:color w:val="231F20"/>
        </w:rPr>
        <w:t>El Gobierno de los Estados Unidos ha ignorado por 30 años las sucesivas resoluciones</w:t>
      </w:r>
      <w:r>
        <w:rPr>
          <w:color w:val="231F20"/>
          <w:spacing w:val="80"/>
        </w:rPr>
        <w:t> </w:t>
      </w:r>
      <w:r>
        <w:rPr>
          <w:color w:val="231F20"/>
        </w:rPr>
        <w:t>de</w:t>
      </w:r>
      <w:r>
        <w:rPr>
          <w:color w:val="231F20"/>
          <w:spacing w:val="80"/>
        </w:rPr>
        <w:t> </w:t>
      </w:r>
      <w:r>
        <w:rPr>
          <w:color w:val="231F20"/>
        </w:rPr>
        <w:t>la</w:t>
      </w:r>
      <w:r>
        <w:rPr>
          <w:color w:val="231F20"/>
          <w:spacing w:val="80"/>
        </w:rPr>
        <w:t> </w:t>
      </w:r>
      <w:r>
        <w:rPr>
          <w:color w:val="231F20"/>
        </w:rPr>
        <w:t>Asamblea</w:t>
      </w:r>
      <w:r>
        <w:rPr>
          <w:color w:val="231F20"/>
          <w:spacing w:val="80"/>
        </w:rPr>
        <w:t> </w:t>
      </w:r>
      <w:r>
        <w:rPr>
          <w:color w:val="231F20"/>
        </w:rPr>
        <w:t>General de las Naciones Unidas y las voces a lo interno</w:t>
      </w:r>
      <w:r>
        <w:rPr>
          <w:color w:val="231F20"/>
          <w:spacing w:val="40"/>
        </w:rPr>
        <w:t> </w:t>
      </w:r>
      <w:r>
        <w:rPr>
          <w:color w:val="231F20"/>
        </w:rPr>
        <w:t>de</w:t>
      </w:r>
      <w:r>
        <w:rPr>
          <w:color w:val="231F20"/>
          <w:spacing w:val="40"/>
        </w:rPr>
        <w:t> </w:t>
      </w:r>
      <w:r>
        <w:rPr>
          <w:color w:val="231F20"/>
        </w:rPr>
        <w:t>la</w:t>
      </w:r>
      <w:r>
        <w:rPr>
          <w:color w:val="231F20"/>
          <w:spacing w:val="40"/>
        </w:rPr>
        <w:t> </w:t>
      </w:r>
      <w:r>
        <w:rPr>
          <w:color w:val="231F20"/>
        </w:rPr>
        <w:t>sociedad</w:t>
      </w:r>
      <w:r>
        <w:rPr>
          <w:color w:val="231F20"/>
          <w:spacing w:val="40"/>
        </w:rPr>
        <w:t> </w:t>
      </w:r>
      <w:r>
        <w:rPr>
          <w:color w:val="231F20"/>
        </w:rPr>
        <w:t>estadounidense</w:t>
      </w:r>
      <w:r>
        <w:rPr>
          <w:color w:val="231F20"/>
          <w:spacing w:val="80"/>
        </w:rPr>
        <w:t> </w:t>
      </w:r>
      <w:r>
        <w:rPr>
          <w:color w:val="231F20"/>
        </w:rPr>
        <w:t>y de su propio aparato estadual que abogan por poner fin al bloqueo. Es una política anacrónica que ha terminado por desacreditar y aislar a esa nación.</w:t>
      </w:r>
    </w:p>
    <w:p>
      <w:pPr>
        <w:pStyle w:val="BodyText"/>
        <w:spacing w:before="167"/>
        <w:ind w:left="412" w:right="1138"/>
      </w:pPr>
      <w:r>
        <w:rPr>
          <w:color w:val="231F20"/>
          <w:spacing w:val="-8"/>
        </w:rPr>
        <w:t>Cuba</w:t>
      </w:r>
      <w:r>
        <w:rPr>
          <w:color w:val="231F20"/>
          <w:spacing w:val="-9"/>
        </w:rPr>
        <w:t> </w:t>
      </w:r>
      <w:r>
        <w:rPr>
          <w:color w:val="231F20"/>
          <w:spacing w:val="-8"/>
        </w:rPr>
        <w:t>y su</w:t>
      </w:r>
      <w:r>
        <w:rPr>
          <w:color w:val="231F20"/>
          <w:spacing w:val="-9"/>
        </w:rPr>
        <w:t> </w:t>
      </w:r>
      <w:r>
        <w:rPr>
          <w:color w:val="231F20"/>
          <w:spacing w:val="-8"/>
        </w:rPr>
        <w:t>pueblo agradecen</w:t>
      </w:r>
      <w:r>
        <w:rPr>
          <w:color w:val="231F20"/>
          <w:spacing w:val="-9"/>
        </w:rPr>
        <w:t> </w:t>
      </w:r>
      <w:r>
        <w:rPr>
          <w:color w:val="231F20"/>
          <w:spacing w:val="-8"/>
        </w:rPr>
        <w:t>profundamente </w:t>
      </w:r>
      <w:r>
        <w:rPr>
          <w:color w:val="231F20"/>
          <w:spacing w:val="-10"/>
        </w:rPr>
        <w:t>las</w:t>
      </w:r>
      <w:r>
        <w:rPr>
          <w:color w:val="231F20"/>
          <w:spacing w:val="-7"/>
        </w:rPr>
        <w:t> </w:t>
      </w:r>
      <w:r>
        <w:rPr>
          <w:color w:val="231F20"/>
          <w:spacing w:val="-10"/>
        </w:rPr>
        <w:t>muestras</w:t>
      </w:r>
      <w:r>
        <w:rPr>
          <w:color w:val="231F20"/>
          <w:spacing w:val="-6"/>
        </w:rPr>
        <w:t> </w:t>
      </w:r>
      <w:r>
        <w:rPr>
          <w:color w:val="231F20"/>
          <w:spacing w:val="-10"/>
        </w:rPr>
        <w:t>de</w:t>
      </w:r>
      <w:r>
        <w:rPr>
          <w:color w:val="231F20"/>
          <w:spacing w:val="-7"/>
        </w:rPr>
        <w:t> </w:t>
      </w:r>
      <w:r>
        <w:rPr>
          <w:color w:val="231F20"/>
          <w:spacing w:val="-10"/>
        </w:rPr>
        <w:t>solidaridad</w:t>
      </w:r>
      <w:r>
        <w:rPr>
          <w:color w:val="231F20"/>
          <w:spacing w:val="-6"/>
        </w:rPr>
        <w:t> </w:t>
      </w:r>
      <w:r>
        <w:rPr>
          <w:color w:val="231F20"/>
          <w:spacing w:val="-10"/>
        </w:rPr>
        <w:t>y</w:t>
      </w:r>
      <w:r>
        <w:rPr>
          <w:color w:val="231F20"/>
          <w:spacing w:val="-7"/>
        </w:rPr>
        <w:t> </w:t>
      </w:r>
      <w:r>
        <w:rPr>
          <w:color w:val="231F20"/>
          <w:spacing w:val="-10"/>
        </w:rPr>
        <w:t>apoyo</w:t>
      </w:r>
      <w:r>
        <w:rPr>
          <w:color w:val="231F20"/>
          <w:spacing w:val="-6"/>
        </w:rPr>
        <w:t> </w:t>
      </w:r>
      <w:r>
        <w:rPr>
          <w:color w:val="231F20"/>
          <w:spacing w:val="-10"/>
        </w:rPr>
        <w:t>recibidas, </w:t>
      </w:r>
      <w:r>
        <w:rPr>
          <w:color w:val="231F20"/>
        </w:rPr>
        <w:t>y confían en el respaldo de la comunidad internacional en su legítimo reclamo de </w:t>
      </w:r>
      <w:r>
        <w:rPr>
          <w:color w:val="231F20"/>
          <w:spacing w:val="-8"/>
        </w:rPr>
        <w:t>poner fin, de una vez y sin condicionamiento </w:t>
      </w:r>
      <w:r>
        <w:rPr>
          <w:color w:val="231F20"/>
          <w:spacing w:val="-2"/>
        </w:rPr>
        <w:t>alguno,</w:t>
      </w:r>
      <w:r>
        <w:rPr>
          <w:color w:val="231F20"/>
          <w:spacing w:val="-14"/>
        </w:rPr>
        <w:t> </w:t>
      </w:r>
      <w:r>
        <w:rPr>
          <w:color w:val="231F20"/>
          <w:spacing w:val="-2"/>
        </w:rPr>
        <w:t>a</w:t>
      </w:r>
      <w:r>
        <w:rPr>
          <w:color w:val="231F20"/>
          <w:spacing w:val="-14"/>
        </w:rPr>
        <w:t> </w:t>
      </w:r>
      <w:r>
        <w:rPr>
          <w:color w:val="231F20"/>
          <w:spacing w:val="-2"/>
        </w:rPr>
        <w:t>este</w:t>
      </w:r>
      <w:r>
        <w:rPr>
          <w:color w:val="231F20"/>
          <w:spacing w:val="-14"/>
        </w:rPr>
        <w:t> </w:t>
      </w:r>
      <w:r>
        <w:rPr>
          <w:color w:val="231F20"/>
          <w:spacing w:val="-2"/>
        </w:rPr>
        <w:t>injusto,</w:t>
      </w:r>
      <w:r>
        <w:rPr>
          <w:color w:val="231F20"/>
          <w:spacing w:val="-14"/>
        </w:rPr>
        <w:t> </w:t>
      </w:r>
      <w:r>
        <w:rPr>
          <w:color w:val="231F20"/>
          <w:spacing w:val="-2"/>
        </w:rPr>
        <w:t>ilegal</w:t>
      </w:r>
      <w:r>
        <w:rPr>
          <w:color w:val="231F20"/>
          <w:spacing w:val="-14"/>
        </w:rPr>
        <w:t> </w:t>
      </w:r>
      <w:r>
        <w:rPr>
          <w:color w:val="231F20"/>
          <w:spacing w:val="-2"/>
        </w:rPr>
        <w:t>y</w:t>
      </w:r>
      <w:r>
        <w:rPr>
          <w:color w:val="231F20"/>
          <w:spacing w:val="-14"/>
        </w:rPr>
        <w:t> </w:t>
      </w:r>
      <w:r>
        <w:rPr>
          <w:color w:val="231F20"/>
          <w:spacing w:val="-2"/>
        </w:rPr>
        <w:t>cruel</w:t>
      </w:r>
      <w:r>
        <w:rPr>
          <w:color w:val="231F20"/>
          <w:spacing w:val="-14"/>
        </w:rPr>
        <w:t> </w:t>
      </w:r>
      <w:r>
        <w:rPr>
          <w:color w:val="231F20"/>
          <w:spacing w:val="-2"/>
        </w:rPr>
        <w:t>sistema de</w:t>
      </w:r>
      <w:r>
        <w:rPr>
          <w:color w:val="231F20"/>
          <w:spacing w:val="-15"/>
        </w:rPr>
        <w:t> </w:t>
      </w:r>
      <w:r>
        <w:rPr>
          <w:color w:val="231F20"/>
          <w:spacing w:val="-2"/>
        </w:rPr>
        <w:t>medidas</w:t>
      </w:r>
      <w:r>
        <w:rPr>
          <w:color w:val="231F20"/>
          <w:spacing w:val="-15"/>
        </w:rPr>
        <w:t> </w:t>
      </w:r>
      <w:r>
        <w:rPr>
          <w:color w:val="231F20"/>
          <w:spacing w:val="-2"/>
        </w:rPr>
        <w:t>coercitivas</w:t>
      </w:r>
      <w:r>
        <w:rPr>
          <w:color w:val="231F20"/>
          <w:spacing w:val="-15"/>
        </w:rPr>
        <w:t> </w:t>
      </w:r>
      <w:r>
        <w:rPr>
          <w:color w:val="231F20"/>
          <w:spacing w:val="-2"/>
        </w:rPr>
        <w:t>unilaterales.</w:t>
      </w:r>
    </w:p>
    <w:p>
      <w:pPr>
        <w:pStyle w:val="BodyText"/>
        <w:spacing w:before="233"/>
        <w:jc w:val="left"/>
        <w:rPr>
          <w:sz w:val="20"/>
        </w:rPr>
      </w:pPr>
      <w:r>
        <w:rPr/>
        <mc:AlternateContent>
          <mc:Choice Requires="wps">
            <w:drawing>
              <wp:anchor distT="0" distB="0" distL="0" distR="0" allowOverlap="1" layoutInCell="1" locked="0" behindDoc="1" simplePos="0" relativeHeight="487637504">
                <wp:simplePos x="0" y="0"/>
                <wp:positionH relativeFrom="page">
                  <wp:posOffset>5930887</wp:posOffset>
                </wp:positionH>
                <wp:positionV relativeFrom="paragraph">
                  <wp:posOffset>332613</wp:posOffset>
                </wp:positionV>
                <wp:extent cx="909319" cy="26034"/>
                <wp:effectExtent l="0" t="0" r="0" b="0"/>
                <wp:wrapTopAndBottom/>
                <wp:docPr id="154" name="Graphic 154"/>
                <wp:cNvGraphicFramePr>
                  <a:graphicFrameLocks/>
                </wp:cNvGraphicFramePr>
                <a:graphic>
                  <a:graphicData uri="http://schemas.microsoft.com/office/word/2010/wordprocessingShape">
                    <wps:wsp>
                      <wps:cNvPr id="154" name="Graphic 154"/>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466.998993pt;margin-top:26.190001pt;width:71.584pt;height:2.021pt;mso-position-horizontal-relative:page;mso-position-vertical-relative:paragraph;z-index:-15678976;mso-wrap-distance-left:0;mso-wrap-distance-right:0" id="docshape127" filled="true" fillcolor="#b52628" stroked="false">
                <v:fill type="solid"/>
                <w10:wrap type="topAndBottom"/>
              </v:rect>
            </w:pict>
          </mc:Fallback>
        </mc:AlternateContent>
      </w:r>
    </w:p>
    <w:p>
      <w:pPr>
        <w:spacing w:after="0"/>
        <w:jc w:val="left"/>
        <w:rPr>
          <w:sz w:val="20"/>
        </w:rPr>
        <w:sectPr>
          <w:pgSz w:w="11910" w:h="16840"/>
          <w:pgMar w:header="0" w:footer="695" w:top="1260" w:bottom="880" w:left="0" w:right="0"/>
          <w:cols w:num="2" w:equalWidth="0">
            <w:col w:w="5898" w:space="40"/>
            <w:col w:w="5972"/>
          </w:cols>
        </w:sectPr>
      </w:pPr>
    </w:p>
    <w:p>
      <w:pPr>
        <w:pStyle w:val="Heading1"/>
        <w:spacing w:before="154"/>
        <w:ind w:left="1105"/>
      </w:pPr>
      <w:r>
        <w:rPr>
          <w:color w:val="1A4796"/>
          <w:spacing w:val="-2"/>
          <w:w w:val="120"/>
        </w:rPr>
        <w:t>Anexos</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638016">
                <wp:simplePos x="0" y="0"/>
                <wp:positionH relativeFrom="page">
                  <wp:posOffset>720001</wp:posOffset>
                </wp:positionH>
                <wp:positionV relativeFrom="paragraph">
                  <wp:posOffset>288395</wp:posOffset>
                </wp:positionV>
                <wp:extent cx="909319" cy="26034"/>
                <wp:effectExtent l="0" t="0" r="0" b="0"/>
                <wp:wrapTopAndBottom/>
                <wp:docPr id="155" name="Graphic 155"/>
                <wp:cNvGraphicFramePr>
                  <a:graphicFrameLocks/>
                </wp:cNvGraphicFramePr>
                <a:graphic>
                  <a:graphicData uri="http://schemas.microsoft.com/office/word/2010/wordprocessingShape">
                    <wps:wsp>
                      <wps:cNvPr id="155" name="Graphic 155"/>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56.693001pt;margin-top:22.708281pt;width:71.584pt;height:2.021pt;mso-position-horizontal-relative:page;mso-position-vertical-relative:paragraph;z-index:-15678464;mso-wrap-distance-left:0;mso-wrap-distance-right:0" id="docshape128" filled="true" fillcolor="#b52628" stroked="false">
                <v:fill type="solid"/>
                <w10:wrap type="topAndBottom"/>
              </v:rect>
            </w:pict>
          </mc:Fallback>
        </mc:AlternateContent>
      </w:r>
    </w:p>
    <w:p>
      <w:pPr>
        <w:pStyle w:val="BodyText"/>
        <w:spacing w:before="239"/>
        <w:jc w:val="left"/>
        <w:rPr>
          <w:rFonts w:ascii="Trebuchet MS"/>
        </w:rPr>
      </w:pPr>
    </w:p>
    <w:p>
      <w:pPr>
        <w:pStyle w:val="ListParagraph"/>
        <w:numPr>
          <w:ilvl w:val="0"/>
          <w:numId w:val="5"/>
        </w:numPr>
        <w:tabs>
          <w:tab w:pos="1446" w:val="left" w:leader="none"/>
        </w:tabs>
        <w:spacing w:line="240" w:lineRule="auto" w:before="0" w:after="0"/>
        <w:ind w:left="1133" w:right="6348" w:firstLine="0"/>
        <w:jc w:val="both"/>
        <w:rPr>
          <w:sz w:val="24"/>
        </w:rPr>
      </w:pPr>
      <w:r>
        <w:rPr>
          <w:color w:val="231F20"/>
          <w:sz w:val="24"/>
        </w:rPr>
        <w:t>Tabla resumen de las afectaciones cuantificadas por sectores, en el período marzo de 2022 a febrero de 2023.</w:t>
      </w:r>
    </w:p>
    <w:p>
      <w:pPr>
        <w:pStyle w:val="BodyText"/>
        <w:spacing w:before="11"/>
        <w:jc w:val="left"/>
        <w:rPr>
          <w:sz w:val="17"/>
        </w:rPr>
      </w:pPr>
      <w:r>
        <w:rPr/>
        <mc:AlternateContent>
          <mc:Choice Requires="wps">
            <w:drawing>
              <wp:anchor distT="0" distB="0" distL="0" distR="0" allowOverlap="1" layoutInCell="1" locked="0" behindDoc="1" simplePos="0" relativeHeight="487638528">
                <wp:simplePos x="0" y="0"/>
                <wp:positionH relativeFrom="page">
                  <wp:posOffset>720001</wp:posOffset>
                </wp:positionH>
                <wp:positionV relativeFrom="paragraph">
                  <wp:posOffset>165806</wp:posOffset>
                </wp:positionV>
                <wp:extent cx="4707890" cy="6621145"/>
                <wp:effectExtent l="0" t="0" r="0" b="0"/>
                <wp:wrapTopAndBottom/>
                <wp:docPr id="156" name="Group 156"/>
                <wp:cNvGraphicFramePr>
                  <a:graphicFrameLocks/>
                </wp:cNvGraphicFramePr>
                <a:graphic>
                  <a:graphicData uri="http://schemas.microsoft.com/office/word/2010/wordprocessingGroup">
                    <wpg:wgp>
                      <wpg:cNvPr id="156" name="Group 156"/>
                      <wpg:cNvGrpSpPr/>
                      <wpg:grpSpPr>
                        <a:xfrm>
                          <a:off x="0" y="0"/>
                          <a:ext cx="4707890" cy="6621145"/>
                          <a:chExt cx="4707890" cy="6621145"/>
                        </a:xfrm>
                      </wpg:grpSpPr>
                      <wps:wsp>
                        <wps:cNvPr id="157" name="Graphic 157"/>
                        <wps:cNvSpPr/>
                        <wps:spPr>
                          <a:xfrm>
                            <a:off x="0" y="0"/>
                            <a:ext cx="4707890" cy="6621145"/>
                          </a:xfrm>
                          <a:custGeom>
                            <a:avLst/>
                            <a:gdLst/>
                            <a:ahLst/>
                            <a:cxnLst/>
                            <a:rect l="l" t="t" r="r" b="b"/>
                            <a:pathLst>
                              <a:path w="4707890" h="6621145">
                                <a:moveTo>
                                  <a:pt x="4707369" y="0"/>
                                </a:moveTo>
                                <a:lnTo>
                                  <a:pt x="0" y="0"/>
                                </a:lnTo>
                                <a:lnTo>
                                  <a:pt x="0" y="6620675"/>
                                </a:lnTo>
                                <a:lnTo>
                                  <a:pt x="4707369" y="6620675"/>
                                </a:lnTo>
                                <a:lnTo>
                                  <a:pt x="4707369" y="0"/>
                                </a:lnTo>
                                <a:close/>
                              </a:path>
                            </a:pathLst>
                          </a:custGeom>
                          <a:solidFill>
                            <a:srgbClr val="E0E2E2"/>
                          </a:solidFill>
                        </wps:spPr>
                        <wps:bodyPr wrap="square" lIns="0" tIns="0" rIns="0" bIns="0" rtlCol="0">
                          <a:prstTxWarp prst="textNoShape">
                            <a:avLst/>
                          </a:prstTxWarp>
                          <a:noAutofit/>
                        </wps:bodyPr>
                      </wps:wsp>
                      <wps:wsp>
                        <wps:cNvPr id="158" name="Graphic 158"/>
                        <wps:cNvSpPr/>
                        <wps:spPr>
                          <a:xfrm>
                            <a:off x="-12" y="708050"/>
                            <a:ext cx="4414520" cy="5418455"/>
                          </a:xfrm>
                          <a:custGeom>
                            <a:avLst/>
                            <a:gdLst/>
                            <a:ahLst/>
                            <a:cxnLst/>
                            <a:rect l="l" t="t" r="r" b="b"/>
                            <a:pathLst>
                              <a:path w="4414520" h="5418455">
                                <a:moveTo>
                                  <a:pt x="4414380" y="5010975"/>
                                </a:moveTo>
                                <a:lnTo>
                                  <a:pt x="0" y="5010975"/>
                                </a:lnTo>
                                <a:lnTo>
                                  <a:pt x="0" y="5417845"/>
                                </a:lnTo>
                                <a:lnTo>
                                  <a:pt x="4414380" y="5417845"/>
                                </a:lnTo>
                                <a:lnTo>
                                  <a:pt x="4414380" y="5010975"/>
                                </a:lnTo>
                                <a:close/>
                              </a:path>
                              <a:path w="4414520" h="5418455">
                                <a:moveTo>
                                  <a:pt x="4414380" y="4205033"/>
                                </a:moveTo>
                                <a:lnTo>
                                  <a:pt x="0" y="4205033"/>
                                </a:lnTo>
                                <a:lnTo>
                                  <a:pt x="0" y="4611903"/>
                                </a:lnTo>
                                <a:lnTo>
                                  <a:pt x="4414380" y="4611903"/>
                                </a:lnTo>
                                <a:lnTo>
                                  <a:pt x="4414380" y="4205033"/>
                                </a:lnTo>
                                <a:close/>
                              </a:path>
                              <a:path w="4414520" h="5418455">
                                <a:moveTo>
                                  <a:pt x="4414380" y="3403384"/>
                                </a:moveTo>
                                <a:lnTo>
                                  <a:pt x="0" y="3403384"/>
                                </a:lnTo>
                                <a:lnTo>
                                  <a:pt x="0" y="3810266"/>
                                </a:lnTo>
                                <a:lnTo>
                                  <a:pt x="4414380" y="3810266"/>
                                </a:lnTo>
                                <a:lnTo>
                                  <a:pt x="4414380" y="3403384"/>
                                </a:lnTo>
                                <a:close/>
                              </a:path>
                              <a:path w="4414520" h="5418455">
                                <a:moveTo>
                                  <a:pt x="4414380" y="2413711"/>
                                </a:moveTo>
                                <a:lnTo>
                                  <a:pt x="0" y="2413711"/>
                                </a:lnTo>
                                <a:lnTo>
                                  <a:pt x="0" y="2820581"/>
                                </a:lnTo>
                                <a:lnTo>
                                  <a:pt x="4414380" y="2820581"/>
                                </a:lnTo>
                                <a:lnTo>
                                  <a:pt x="4414380" y="2413711"/>
                                </a:lnTo>
                                <a:close/>
                              </a:path>
                              <a:path w="4414520" h="5418455">
                                <a:moveTo>
                                  <a:pt x="4414380" y="1600822"/>
                                </a:moveTo>
                                <a:lnTo>
                                  <a:pt x="0" y="1600822"/>
                                </a:lnTo>
                                <a:lnTo>
                                  <a:pt x="0" y="2007679"/>
                                </a:lnTo>
                                <a:lnTo>
                                  <a:pt x="4414380" y="2007679"/>
                                </a:lnTo>
                                <a:lnTo>
                                  <a:pt x="4414380" y="1600822"/>
                                </a:lnTo>
                                <a:close/>
                              </a:path>
                              <a:path w="4414520" h="5418455">
                                <a:moveTo>
                                  <a:pt x="4414380" y="812901"/>
                                </a:moveTo>
                                <a:lnTo>
                                  <a:pt x="0" y="812901"/>
                                </a:lnTo>
                                <a:lnTo>
                                  <a:pt x="0" y="1219758"/>
                                </a:lnTo>
                                <a:lnTo>
                                  <a:pt x="4414380" y="1219758"/>
                                </a:lnTo>
                                <a:lnTo>
                                  <a:pt x="4414380" y="812901"/>
                                </a:lnTo>
                                <a:close/>
                              </a:path>
                              <a:path w="4414520" h="5418455">
                                <a:moveTo>
                                  <a:pt x="4414380" y="0"/>
                                </a:moveTo>
                                <a:lnTo>
                                  <a:pt x="0" y="0"/>
                                </a:lnTo>
                                <a:lnTo>
                                  <a:pt x="0" y="406869"/>
                                </a:lnTo>
                                <a:lnTo>
                                  <a:pt x="4414380" y="406869"/>
                                </a:lnTo>
                                <a:lnTo>
                                  <a:pt x="4414380" y="0"/>
                                </a:lnTo>
                                <a:close/>
                              </a:path>
                            </a:pathLst>
                          </a:custGeom>
                          <a:solidFill>
                            <a:srgbClr val="FFFFFF"/>
                          </a:solidFill>
                        </wps:spPr>
                        <wps:bodyPr wrap="square" lIns="0" tIns="0" rIns="0" bIns="0" rtlCol="0">
                          <a:prstTxWarp prst="textNoShape">
                            <a:avLst/>
                          </a:prstTxWarp>
                          <a:noAutofit/>
                        </wps:bodyPr>
                      </wps:wsp>
                      <pic:pic>
                        <pic:nvPicPr>
                          <pic:cNvPr id="159" name="Image 159"/>
                          <pic:cNvPicPr/>
                        </pic:nvPicPr>
                        <pic:blipFill>
                          <a:blip r:embed="rId28" cstate="print"/>
                          <a:stretch>
                            <a:fillRect/>
                          </a:stretch>
                        </pic:blipFill>
                        <pic:spPr>
                          <a:xfrm>
                            <a:off x="2449300" y="234845"/>
                            <a:ext cx="1672065" cy="259411"/>
                          </a:xfrm>
                          <a:prstGeom prst="rect">
                            <a:avLst/>
                          </a:prstGeom>
                        </pic:spPr>
                      </pic:pic>
                      <pic:pic>
                        <pic:nvPicPr>
                          <pic:cNvPr id="160" name="Image 160"/>
                          <pic:cNvPicPr/>
                        </pic:nvPicPr>
                        <pic:blipFill>
                          <a:blip r:embed="rId29" cstate="print"/>
                          <a:stretch>
                            <a:fillRect/>
                          </a:stretch>
                        </pic:blipFill>
                        <pic:spPr>
                          <a:xfrm>
                            <a:off x="2462974" y="884858"/>
                            <a:ext cx="651847" cy="88861"/>
                          </a:xfrm>
                          <a:prstGeom prst="rect">
                            <a:avLst/>
                          </a:prstGeom>
                        </pic:spPr>
                      </pic:pic>
                      <pic:pic>
                        <pic:nvPicPr>
                          <pic:cNvPr id="161" name="Image 161"/>
                          <pic:cNvPicPr/>
                        </pic:nvPicPr>
                        <pic:blipFill>
                          <a:blip r:embed="rId30" cstate="print"/>
                          <a:stretch>
                            <a:fillRect/>
                          </a:stretch>
                        </pic:blipFill>
                        <pic:spPr>
                          <a:xfrm>
                            <a:off x="293729" y="879998"/>
                            <a:ext cx="285259" cy="92285"/>
                          </a:xfrm>
                          <a:prstGeom prst="rect">
                            <a:avLst/>
                          </a:prstGeom>
                        </pic:spPr>
                      </pic:pic>
                      <pic:pic>
                        <pic:nvPicPr>
                          <pic:cNvPr id="162" name="Image 162"/>
                          <pic:cNvPicPr/>
                        </pic:nvPicPr>
                        <pic:blipFill>
                          <a:blip r:embed="rId31" cstate="print"/>
                          <a:stretch>
                            <a:fillRect/>
                          </a:stretch>
                        </pic:blipFill>
                        <pic:spPr>
                          <a:xfrm>
                            <a:off x="2463087" y="1280200"/>
                            <a:ext cx="120487" cy="87415"/>
                          </a:xfrm>
                          <a:prstGeom prst="rect">
                            <a:avLst/>
                          </a:prstGeom>
                        </pic:spPr>
                      </pic:pic>
                      <pic:pic>
                        <pic:nvPicPr>
                          <pic:cNvPr id="163" name="Image 163"/>
                          <pic:cNvPicPr/>
                        </pic:nvPicPr>
                        <pic:blipFill>
                          <a:blip r:embed="rId32" cstate="print"/>
                          <a:stretch>
                            <a:fillRect/>
                          </a:stretch>
                        </pic:blipFill>
                        <pic:spPr>
                          <a:xfrm>
                            <a:off x="2629294" y="1278275"/>
                            <a:ext cx="158123" cy="89340"/>
                          </a:xfrm>
                          <a:prstGeom prst="rect">
                            <a:avLst/>
                          </a:prstGeom>
                        </pic:spPr>
                      </pic:pic>
                      <pic:pic>
                        <pic:nvPicPr>
                          <pic:cNvPr id="164" name="Image 164"/>
                          <pic:cNvPicPr/>
                        </pic:nvPicPr>
                        <pic:blipFill>
                          <a:blip r:embed="rId33" cstate="print"/>
                          <a:stretch>
                            <a:fillRect/>
                          </a:stretch>
                        </pic:blipFill>
                        <pic:spPr>
                          <a:xfrm>
                            <a:off x="2841409" y="1278752"/>
                            <a:ext cx="187124" cy="88861"/>
                          </a:xfrm>
                          <a:prstGeom prst="rect">
                            <a:avLst/>
                          </a:prstGeom>
                        </pic:spPr>
                      </pic:pic>
                      <wps:wsp>
                        <wps:cNvPr id="165" name="Graphic 165"/>
                        <wps:cNvSpPr/>
                        <wps:spPr>
                          <a:xfrm>
                            <a:off x="301155" y="1274978"/>
                            <a:ext cx="530860" cy="94615"/>
                          </a:xfrm>
                          <a:custGeom>
                            <a:avLst/>
                            <a:gdLst/>
                            <a:ahLst/>
                            <a:cxnLst/>
                            <a:rect l="l" t="t" r="r" b="b"/>
                            <a:pathLst>
                              <a:path w="530860" h="94615">
                                <a:moveTo>
                                  <a:pt x="45542" y="83515"/>
                                </a:moveTo>
                                <a:lnTo>
                                  <a:pt x="10071" y="83515"/>
                                </a:lnTo>
                                <a:lnTo>
                                  <a:pt x="10071" y="53441"/>
                                </a:lnTo>
                                <a:lnTo>
                                  <a:pt x="41097" y="53441"/>
                                </a:lnTo>
                                <a:lnTo>
                                  <a:pt x="41097" y="44386"/>
                                </a:lnTo>
                                <a:lnTo>
                                  <a:pt x="10071" y="44386"/>
                                </a:lnTo>
                                <a:lnTo>
                                  <a:pt x="10071" y="15811"/>
                                </a:lnTo>
                                <a:lnTo>
                                  <a:pt x="43624" y="15811"/>
                                </a:lnTo>
                                <a:lnTo>
                                  <a:pt x="43624" y="6705"/>
                                </a:lnTo>
                                <a:lnTo>
                                  <a:pt x="0" y="6705"/>
                                </a:lnTo>
                                <a:lnTo>
                                  <a:pt x="0" y="92621"/>
                                </a:lnTo>
                                <a:lnTo>
                                  <a:pt x="45542" y="92621"/>
                                </a:lnTo>
                                <a:lnTo>
                                  <a:pt x="45542" y="83515"/>
                                </a:lnTo>
                                <a:close/>
                              </a:path>
                              <a:path w="530860" h="94615">
                                <a:moveTo>
                                  <a:pt x="113118" y="1790"/>
                                </a:moveTo>
                                <a:lnTo>
                                  <a:pt x="103301" y="1790"/>
                                </a:lnTo>
                                <a:lnTo>
                                  <a:pt x="103301" y="39776"/>
                                </a:lnTo>
                                <a:lnTo>
                                  <a:pt x="103301" y="50876"/>
                                </a:lnTo>
                                <a:lnTo>
                                  <a:pt x="103301" y="70904"/>
                                </a:lnTo>
                                <a:lnTo>
                                  <a:pt x="101600" y="75907"/>
                                </a:lnTo>
                                <a:lnTo>
                                  <a:pt x="94805" y="83807"/>
                                </a:lnTo>
                                <a:lnTo>
                                  <a:pt x="90360" y="85775"/>
                                </a:lnTo>
                                <a:lnTo>
                                  <a:pt x="79298" y="85775"/>
                                </a:lnTo>
                                <a:lnTo>
                                  <a:pt x="74866" y="83743"/>
                                </a:lnTo>
                                <a:lnTo>
                                  <a:pt x="68287" y="75552"/>
                                </a:lnTo>
                                <a:lnTo>
                                  <a:pt x="66636" y="69964"/>
                                </a:lnTo>
                                <a:lnTo>
                                  <a:pt x="66636" y="55156"/>
                                </a:lnTo>
                                <a:lnTo>
                                  <a:pt x="68351" y="49072"/>
                                </a:lnTo>
                                <a:lnTo>
                                  <a:pt x="75222" y="40284"/>
                                </a:lnTo>
                                <a:lnTo>
                                  <a:pt x="79933" y="38087"/>
                                </a:lnTo>
                                <a:lnTo>
                                  <a:pt x="90919" y="38087"/>
                                </a:lnTo>
                                <a:lnTo>
                                  <a:pt x="95072" y="39814"/>
                                </a:lnTo>
                                <a:lnTo>
                                  <a:pt x="101650" y="46685"/>
                                </a:lnTo>
                                <a:lnTo>
                                  <a:pt x="103301" y="50876"/>
                                </a:lnTo>
                                <a:lnTo>
                                  <a:pt x="103301" y="39776"/>
                                </a:lnTo>
                                <a:lnTo>
                                  <a:pt x="103060" y="39776"/>
                                </a:lnTo>
                                <a:lnTo>
                                  <a:pt x="102082" y="38087"/>
                                </a:lnTo>
                                <a:lnTo>
                                  <a:pt x="101155" y="36449"/>
                                </a:lnTo>
                                <a:lnTo>
                                  <a:pt x="98653" y="33972"/>
                                </a:lnTo>
                                <a:lnTo>
                                  <a:pt x="92544" y="30645"/>
                                </a:lnTo>
                                <a:lnTo>
                                  <a:pt x="88900" y="29819"/>
                                </a:lnTo>
                                <a:lnTo>
                                  <a:pt x="76161" y="29819"/>
                                </a:lnTo>
                                <a:lnTo>
                                  <a:pt x="56591" y="62903"/>
                                </a:lnTo>
                                <a:lnTo>
                                  <a:pt x="56565" y="72847"/>
                                </a:lnTo>
                                <a:lnTo>
                                  <a:pt x="58877" y="80327"/>
                                </a:lnTo>
                                <a:lnTo>
                                  <a:pt x="68097" y="91313"/>
                                </a:lnTo>
                                <a:lnTo>
                                  <a:pt x="74256" y="94056"/>
                                </a:lnTo>
                                <a:lnTo>
                                  <a:pt x="86766" y="94056"/>
                                </a:lnTo>
                                <a:lnTo>
                                  <a:pt x="90906" y="93065"/>
                                </a:lnTo>
                                <a:lnTo>
                                  <a:pt x="97904" y="89115"/>
                                </a:lnTo>
                                <a:lnTo>
                                  <a:pt x="100787" y="86144"/>
                                </a:lnTo>
                                <a:lnTo>
                                  <a:pt x="100990" y="85775"/>
                                </a:lnTo>
                                <a:lnTo>
                                  <a:pt x="103060" y="82194"/>
                                </a:lnTo>
                                <a:lnTo>
                                  <a:pt x="103301" y="82194"/>
                                </a:lnTo>
                                <a:lnTo>
                                  <a:pt x="103301" y="92621"/>
                                </a:lnTo>
                                <a:lnTo>
                                  <a:pt x="113118" y="92621"/>
                                </a:lnTo>
                                <a:lnTo>
                                  <a:pt x="113118" y="82194"/>
                                </a:lnTo>
                                <a:lnTo>
                                  <a:pt x="113118" y="39776"/>
                                </a:lnTo>
                                <a:lnTo>
                                  <a:pt x="113118" y="1790"/>
                                </a:lnTo>
                                <a:close/>
                              </a:path>
                              <a:path w="530860" h="94615">
                                <a:moveTo>
                                  <a:pt x="182626" y="31267"/>
                                </a:moveTo>
                                <a:lnTo>
                                  <a:pt x="172796" y="31267"/>
                                </a:lnTo>
                                <a:lnTo>
                                  <a:pt x="172796" y="72326"/>
                                </a:lnTo>
                                <a:lnTo>
                                  <a:pt x="171246" y="76949"/>
                                </a:lnTo>
                                <a:lnTo>
                                  <a:pt x="165061" y="84023"/>
                                </a:lnTo>
                                <a:lnTo>
                                  <a:pt x="161124" y="85788"/>
                                </a:lnTo>
                                <a:lnTo>
                                  <a:pt x="151371" y="85788"/>
                                </a:lnTo>
                                <a:lnTo>
                                  <a:pt x="147662" y="84175"/>
                                </a:lnTo>
                                <a:lnTo>
                                  <a:pt x="142697" y="77698"/>
                                </a:lnTo>
                                <a:lnTo>
                                  <a:pt x="141465" y="72847"/>
                                </a:lnTo>
                                <a:lnTo>
                                  <a:pt x="141465" y="31267"/>
                                </a:lnTo>
                                <a:lnTo>
                                  <a:pt x="131699" y="31267"/>
                                </a:lnTo>
                                <a:lnTo>
                                  <a:pt x="131699" y="76644"/>
                                </a:lnTo>
                                <a:lnTo>
                                  <a:pt x="133527" y="83172"/>
                                </a:lnTo>
                                <a:lnTo>
                                  <a:pt x="140830" y="91884"/>
                                </a:lnTo>
                                <a:lnTo>
                                  <a:pt x="146316" y="94068"/>
                                </a:lnTo>
                                <a:lnTo>
                                  <a:pt x="157899" y="94068"/>
                                </a:lnTo>
                                <a:lnTo>
                                  <a:pt x="161620" y="93129"/>
                                </a:lnTo>
                                <a:lnTo>
                                  <a:pt x="167932" y="89408"/>
                                </a:lnTo>
                                <a:lnTo>
                                  <a:pt x="170522" y="86626"/>
                                </a:lnTo>
                                <a:lnTo>
                                  <a:pt x="172567" y="82905"/>
                                </a:lnTo>
                                <a:lnTo>
                                  <a:pt x="172796" y="82905"/>
                                </a:lnTo>
                                <a:lnTo>
                                  <a:pt x="172796" y="92621"/>
                                </a:lnTo>
                                <a:lnTo>
                                  <a:pt x="182626" y="92621"/>
                                </a:lnTo>
                                <a:lnTo>
                                  <a:pt x="182626" y="31267"/>
                                </a:lnTo>
                                <a:close/>
                              </a:path>
                              <a:path w="530860" h="94615">
                                <a:moveTo>
                                  <a:pt x="247269" y="34683"/>
                                </a:moveTo>
                                <a:lnTo>
                                  <a:pt x="244360" y="32969"/>
                                </a:lnTo>
                                <a:lnTo>
                                  <a:pt x="241465" y="31724"/>
                                </a:lnTo>
                                <a:lnTo>
                                  <a:pt x="235762" y="30200"/>
                                </a:lnTo>
                                <a:lnTo>
                                  <a:pt x="232752" y="29832"/>
                                </a:lnTo>
                                <a:lnTo>
                                  <a:pt x="219849" y="29832"/>
                                </a:lnTo>
                                <a:lnTo>
                                  <a:pt x="198259" y="63258"/>
                                </a:lnTo>
                                <a:lnTo>
                                  <a:pt x="198259" y="73088"/>
                                </a:lnTo>
                                <a:lnTo>
                                  <a:pt x="201028" y="80683"/>
                                </a:lnTo>
                                <a:lnTo>
                                  <a:pt x="212090" y="91376"/>
                                </a:lnTo>
                                <a:lnTo>
                                  <a:pt x="219176" y="94068"/>
                                </a:lnTo>
                                <a:lnTo>
                                  <a:pt x="231152" y="94068"/>
                                </a:lnTo>
                                <a:lnTo>
                                  <a:pt x="239064" y="83210"/>
                                </a:lnTo>
                                <a:lnTo>
                                  <a:pt x="236918" y="84188"/>
                                </a:lnTo>
                                <a:lnTo>
                                  <a:pt x="232638" y="85420"/>
                                </a:lnTo>
                                <a:lnTo>
                                  <a:pt x="230593" y="85737"/>
                                </a:lnTo>
                                <a:lnTo>
                                  <a:pt x="222643" y="85737"/>
                                </a:lnTo>
                                <a:lnTo>
                                  <a:pt x="217766" y="83718"/>
                                </a:lnTo>
                                <a:lnTo>
                                  <a:pt x="210210" y="75641"/>
                                </a:lnTo>
                                <a:lnTo>
                                  <a:pt x="208330" y="69786"/>
                                </a:lnTo>
                                <a:lnTo>
                                  <a:pt x="208330" y="55168"/>
                                </a:lnTo>
                                <a:lnTo>
                                  <a:pt x="210121" y="49441"/>
                                </a:lnTo>
                                <a:lnTo>
                                  <a:pt x="217309" y="40411"/>
                                </a:lnTo>
                                <a:lnTo>
                                  <a:pt x="222491" y="38150"/>
                                </a:lnTo>
                                <a:lnTo>
                                  <a:pt x="231838" y="38150"/>
                                </a:lnTo>
                                <a:lnTo>
                                  <a:pt x="234226" y="38455"/>
                                </a:lnTo>
                                <a:lnTo>
                                  <a:pt x="238620" y="39649"/>
                                </a:lnTo>
                                <a:lnTo>
                                  <a:pt x="240855" y="40589"/>
                                </a:lnTo>
                                <a:lnTo>
                                  <a:pt x="243141" y="41871"/>
                                </a:lnTo>
                                <a:lnTo>
                                  <a:pt x="247269" y="34683"/>
                                </a:lnTo>
                                <a:close/>
                              </a:path>
                              <a:path w="530860" h="94615">
                                <a:moveTo>
                                  <a:pt x="302577" y="45085"/>
                                </a:moveTo>
                                <a:lnTo>
                                  <a:pt x="300697" y="39357"/>
                                </a:lnTo>
                                <a:lnTo>
                                  <a:pt x="299453" y="38087"/>
                                </a:lnTo>
                                <a:lnTo>
                                  <a:pt x="293192" y="31737"/>
                                </a:lnTo>
                                <a:lnTo>
                                  <a:pt x="287591" y="29819"/>
                                </a:lnTo>
                                <a:lnTo>
                                  <a:pt x="275412" y="29819"/>
                                </a:lnTo>
                                <a:lnTo>
                                  <a:pt x="271094" y="30607"/>
                                </a:lnTo>
                                <a:lnTo>
                                  <a:pt x="263347" y="33718"/>
                                </a:lnTo>
                                <a:lnTo>
                                  <a:pt x="259689" y="36156"/>
                                </a:lnTo>
                                <a:lnTo>
                                  <a:pt x="256260" y="39471"/>
                                </a:lnTo>
                                <a:lnTo>
                                  <a:pt x="262013" y="45402"/>
                                </a:lnTo>
                                <a:lnTo>
                                  <a:pt x="264604" y="42926"/>
                                </a:lnTo>
                                <a:lnTo>
                                  <a:pt x="267385" y="41084"/>
                                </a:lnTo>
                                <a:lnTo>
                                  <a:pt x="273291" y="38696"/>
                                </a:lnTo>
                                <a:lnTo>
                                  <a:pt x="276377" y="38087"/>
                                </a:lnTo>
                                <a:lnTo>
                                  <a:pt x="283552" y="38087"/>
                                </a:lnTo>
                                <a:lnTo>
                                  <a:pt x="286753" y="39179"/>
                                </a:lnTo>
                                <a:lnTo>
                                  <a:pt x="291553" y="43535"/>
                                </a:lnTo>
                                <a:lnTo>
                                  <a:pt x="292747" y="47205"/>
                                </a:lnTo>
                                <a:lnTo>
                                  <a:pt x="292747" y="53733"/>
                                </a:lnTo>
                                <a:lnTo>
                                  <a:pt x="292747" y="61582"/>
                                </a:lnTo>
                                <a:lnTo>
                                  <a:pt x="292747" y="73012"/>
                                </a:lnTo>
                                <a:lnTo>
                                  <a:pt x="291185" y="77406"/>
                                </a:lnTo>
                                <a:lnTo>
                                  <a:pt x="284911" y="84353"/>
                                </a:lnTo>
                                <a:lnTo>
                                  <a:pt x="280682" y="86093"/>
                                </a:lnTo>
                                <a:lnTo>
                                  <a:pt x="272300" y="86093"/>
                                </a:lnTo>
                                <a:lnTo>
                                  <a:pt x="269684" y="85115"/>
                                </a:lnTo>
                                <a:lnTo>
                                  <a:pt x="265417" y="81216"/>
                                </a:lnTo>
                                <a:lnTo>
                                  <a:pt x="264350" y="78435"/>
                                </a:lnTo>
                                <a:lnTo>
                                  <a:pt x="264350" y="71247"/>
                                </a:lnTo>
                                <a:lnTo>
                                  <a:pt x="265493" y="68681"/>
                                </a:lnTo>
                                <a:lnTo>
                                  <a:pt x="270040" y="65392"/>
                                </a:lnTo>
                                <a:lnTo>
                                  <a:pt x="273431" y="64262"/>
                                </a:lnTo>
                                <a:lnTo>
                                  <a:pt x="292747" y="61582"/>
                                </a:lnTo>
                                <a:lnTo>
                                  <a:pt x="292747" y="53733"/>
                                </a:lnTo>
                                <a:lnTo>
                                  <a:pt x="256374" y="66090"/>
                                </a:lnTo>
                                <a:lnTo>
                                  <a:pt x="254584" y="70421"/>
                                </a:lnTo>
                                <a:lnTo>
                                  <a:pt x="254596" y="81241"/>
                                </a:lnTo>
                                <a:lnTo>
                                  <a:pt x="256362" y="85674"/>
                                </a:lnTo>
                                <a:lnTo>
                                  <a:pt x="263474" y="92379"/>
                                </a:lnTo>
                                <a:lnTo>
                                  <a:pt x="268122" y="94068"/>
                                </a:lnTo>
                                <a:lnTo>
                                  <a:pt x="277990" y="94068"/>
                                </a:lnTo>
                                <a:lnTo>
                                  <a:pt x="292506" y="83032"/>
                                </a:lnTo>
                                <a:lnTo>
                                  <a:pt x="292747" y="83032"/>
                                </a:lnTo>
                                <a:lnTo>
                                  <a:pt x="292747" y="92621"/>
                                </a:lnTo>
                                <a:lnTo>
                                  <a:pt x="302577" y="92621"/>
                                </a:lnTo>
                                <a:lnTo>
                                  <a:pt x="302577" y="83032"/>
                                </a:lnTo>
                                <a:lnTo>
                                  <a:pt x="302577" y="61582"/>
                                </a:lnTo>
                                <a:lnTo>
                                  <a:pt x="302577" y="45085"/>
                                </a:lnTo>
                                <a:close/>
                              </a:path>
                              <a:path w="530860" h="94615">
                                <a:moveTo>
                                  <a:pt x="366395" y="34683"/>
                                </a:moveTo>
                                <a:lnTo>
                                  <a:pt x="363474" y="32969"/>
                                </a:lnTo>
                                <a:lnTo>
                                  <a:pt x="360591" y="31724"/>
                                </a:lnTo>
                                <a:lnTo>
                                  <a:pt x="354876" y="30200"/>
                                </a:lnTo>
                                <a:lnTo>
                                  <a:pt x="351878" y="29832"/>
                                </a:lnTo>
                                <a:lnTo>
                                  <a:pt x="338975" y="29832"/>
                                </a:lnTo>
                                <a:lnTo>
                                  <a:pt x="317373" y="63258"/>
                                </a:lnTo>
                                <a:lnTo>
                                  <a:pt x="317373" y="73088"/>
                                </a:lnTo>
                                <a:lnTo>
                                  <a:pt x="320141" y="80683"/>
                                </a:lnTo>
                                <a:lnTo>
                                  <a:pt x="331216" y="91376"/>
                                </a:lnTo>
                                <a:lnTo>
                                  <a:pt x="338289" y="94068"/>
                                </a:lnTo>
                                <a:lnTo>
                                  <a:pt x="350278" y="94068"/>
                                </a:lnTo>
                                <a:lnTo>
                                  <a:pt x="358178" y="83210"/>
                                </a:lnTo>
                                <a:lnTo>
                                  <a:pt x="356031" y="84188"/>
                                </a:lnTo>
                                <a:lnTo>
                                  <a:pt x="351764" y="85420"/>
                                </a:lnTo>
                                <a:lnTo>
                                  <a:pt x="349707" y="85737"/>
                                </a:lnTo>
                                <a:lnTo>
                                  <a:pt x="341769" y="85737"/>
                                </a:lnTo>
                                <a:lnTo>
                                  <a:pt x="336880" y="83718"/>
                                </a:lnTo>
                                <a:lnTo>
                                  <a:pt x="329336" y="75641"/>
                                </a:lnTo>
                                <a:lnTo>
                                  <a:pt x="327444" y="69786"/>
                                </a:lnTo>
                                <a:lnTo>
                                  <a:pt x="327444" y="55168"/>
                                </a:lnTo>
                                <a:lnTo>
                                  <a:pt x="329247" y="49441"/>
                                </a:lnTo>
                                <a:lnTo>
                                  <a:pt x="336435" y="40411"/>
                                </a:lnTo>
                                <a:lnTo>
                                  <a:pt x="341604" y="38150"/>
                                </a:lnTo>
                                <a:lnTo>
                                  <a:pt x="350964" y="38150"/>
                                </a:lnTo>
                                <a:lnTo>
                                  <a:pt x="353352" y="38455"/>
                                </a:lnTo>
                                <a:lnTo>
                                  <a:pt x="357746" y="39649"/>
                                </a:lnTo>
                                <a:lnTo>
                                  <a:pt x="359981" y="40589"/>
                                </a:lnTo>
                                <a:lnTo>
                                  <a:pt x="362267" y="41871"/>
                                </a:lnTo>
                                <a:lnTo>
                                  <a:pt x="366395" y="34683"/>
                                </a:lnTo>
                                <a:close/>
                              </a:path>
                              <a:path w="530860" h="94615">
                                <a:moveTo>
                                  <a:pt x="388073" y="31267"/>
                                </a:moveTo>
                                <a:lnTo>
                                  <a:pt x="378244" y="31267"/>
                                </a:lnTo>
                                <a:lnTo>
                                  <a:pt x="378244" y="92621"/>
                                </a:lnTo>
                                <a:lnTo>
                                  <a:pt x="388073" y="92621"/>
                                </a:lnTo>
                                <a:lnTo>
                                  <a:pt x="388073" y="31267"/>
                                </a:lnTo>
                                <a:close/>
                              </a:path>
                              <a:path w="530860" h="94615">
                                <a:moveTo>
                                  <a:pt x="390359" y="7683"/>
                                </a:moveTo>
                                <a:lnTo>
                                  <a:pt x="389674" y="6032"/>
                                </a:lnTo>
                                <a:lnTo>
                                  <a:pt x="386969" y="3352"/>
                                </a:lnTo>
                                <a:lnTo>
                                  <a:pt x="385279" y="2692"/>
                                </a:lnTo>
                                <a:lnTo>
                                  <a:pt x="381279" y="2692"/>
                                </a:lnTo>
                                <a:lnTo>
                                  <a:pt x="379603" y="3352"/>
                                </a:lnTo>
                                <a:lnTo>
                                  <a:pt x="376897" y="6032"/>
                                </a:lnTo>
                                <a:lnTo>
                                  <a:pt x="376212" y="7683"/>
                                </a:lnTo>
                                <a:lnTo>
                                  <a:pt x="376212" y="11595"/>
                                </a:lnTo>
                                <a:lnTo>
                                  <a:pt x="376897" y="13246"/>
                                </a:lnTo>
                                <a:lnTo>
                                  <a:pt x="379603" y="15925"/>
                                </a:lnTo>
                                <a:lnTo>
                                  <a:pt x="381279" y="16586"/>
                                </a:lnTo>
                                <a:lnTo>
                                  <a:pt x="385279" y="16586"/>
                                </a:lnTo>
                                <a:lnTo>
                                  <a:pt x="386969" y="15925"/>
                                </a:lnTo>
                                <a:lnTo>
                                  <a:pt x="389674" y="13246"/>
                                </a:lnTo>
                                <a:lnTo>
                                  <a:pt x="390359" y="11595"/>
                                </a:lnTo>
                                <a:lnTo>
                                  <a:pt x="390359" y="7683"/>
                                </a:lnTo>
                                <a:close/>
                              </a:path>
                              <a:path w="530860" h="94615">
                                <a:moveTo>
                                  <a:pt x="449732" y="0"/>
                                </a:moveTo>
                                <a:lnTo>
                                  <a:pt x="439788" y="0"/>
                                </a:lnTo>
                                <a:lnTo>
                                  <a:pt x="426427" y="19646"/>
                                </a:lnTo>
                                <a:lnTo>
                                  <a:pt x="434035" y="19646"/>
                                </a:lnTo>
                                <a:lnTo>
                                  <a:pt x="449732" y="0"/>
                                </a:lnTo>
                                <a:close/>
                              </a:path>
                              <a:path w="530860" h="94615">
                                <a:moveTo>
                                  <a:pt x="464172" y="51752"/>
                                </a:moveTo>
                                <a:lnTo>
                                  <a:pt x="461606" y="43954"/>
                                </a:lnTo>
                                <a:lnTo>
                                  <a:pt x="456311" y="38100"/>
                                </a:lnTo>
                                <a:lnTo>
                                  <a:pt x="454113" y="35674"/>
                                </a:lnTo>
                                <a:lnTo>
                                  <a:pt x="454113" y="54368"/>
                                </a:lnTo>
                                <a:lnTo>
                                  <a:pt x="454113" y="69621"/>
                                </a:lnTo>
                                <a:lnTo>
                                  <a:pt x="452399" y="75463"/>
                                </a:lnTo>
                                <a:lnTo>
                                  <a:pt x="445566" y="83731"/>
                                </a:lnTo>
                                <a:lnTo>
                                  <a:pt x="440690" y="85788"/>
                                </a:lnTo>
                                <a:lnTo>
                                  <a:pt x="428104" y="85788"/>
                                </a:lnTo>
                                <a:lnTo>
                                  <a:pt x="423138" y="83705"/>
                                </a:lnTo>
                                <a:lnTo>
                                  <a:pt x="415696" y="75311"/>
                                </a:lnTo>
                                <a:lnTo>
                                  <a:pt x="413854" y="69621"/>
                                </a:lnTo>
                                <a:lnTo>
                                  <a:pt x="413842" y="54800"/>
                                </a:lnTo>
                                <a:lnTo>
                                  <a:pt x="415683" y="48882"/>
                                </a:lnTo>
                                <a:lnTo>
                                  <a:pt x="423037" y="40259"/>
                                </a:lnTo>
                                <a:lnTo>
                                  <a:pt x="428028" y="38100"/>
                                </a:lnTo>
                                <a:lnTo>
                                  <a:pt x="440651" y="38100"/>
                                </a:lnTo>
                                <a:lnTo>
                                  <a:pt x="445516" y="40170"/>
                                </a:lnTo>
                                <a:lnTo>
                                  <a:pt x="452399" y="48437"/>
                                </a:lnTo>
                                <a:lnTo>
                                  <a:pt x="454113" y="54368"/>
                                </a:lnTo>
                                <a:lnTo>
                                  <a:pt x="454113" y="35674"/>
                                </a:lnTo>
                                <a:lnTo>
                                  <a:pt x="451345" y="32613"/>
                                </a:lnTo>
                                <a:lnTo>
                                  <a:pt x="444195" y="29794"/>
                                </a:lnTo>
                                <a:lnTo>
                                  <a:pt x="425386" y="29883"/>
                                </a:lnTo>
                                <a:lnTo>
                                  <a:pt x="403783" y="62674"/>
                                </a:lnTo>
                                <a:lnTo>
                                  <a:pt x="403783" y="72123"/>
                                </a:lnTo>
                                <a:lnTo>
                                  <a:pt x="406476" y="79730"/>
                                </a:lnTo>
                                <a:lnTo>
                                  <a:pt x="417309" y="91198"/>
                                </a:lnTo>
                                <a:lnTo>
                                  <a:pt x="424548" y="94068"/>
                                </a:lnTo>
                                <a:lnTo>
                                  <a:pt x="442925" y="94068"/>
                                </a:lnTo>
                                <a:lnTo>
                                  <a:pt x="450342" y="91135"/>
                                </a:lnTo>
                                <a:lnTo>
                                  <a:pt x="455383" y="85788"/>
                                </a:lnTo>
                                <a:lnTo>
                                  <a:pt x="461403" y="79387"/>
                                </a:lnTo>
                                <a:lnTo>
                                  <a:pt x="464172" y="71539"/>
                                </a:lnTo>
                                <a:lnTo>
                                  <a:pt x="464172" y="51752"/>
                                </a:lnTo>
                                <a:close/>
                              </a:path>
                              <a:path w="530860" h="94615">
                                <a:moveTo>
                                  <a:pt x="530809" y="46926"/>
                                </a:moveTo>
                                <a:lnTo>
                                  <a:pt x="529031" y="40665"/>
                                </a:lnTo>
                                <a:lnTo>
                                  <a:pt x="521919" y="31991"/>
                                </a:lnTo>
                                <a:lnTo>
                                  <a:pt x="516788" y="29819"/>
                                </a:lnTo>
                                <a:lnTo>
                                  <a:pt x="505675" y="29819"/>
                                </a:lnTo>
                                <a:lnTo>
                                  <a:pt x="501802" y="30797"/>
                                </a:lnTo>
                                <a:lnTo>
                                  <a:pt x="495084" y="34671"/>
                                </a:lnTo>
                                <a:lnTo>
                                  <a:pt x="492252" y="37579"/>
                                </a:lnTo>
                                <a:lnTo>
                                  <a:pt x="489940" y="41440"/>
                                </a:lnTo>
                                <a:lnTo>
                                  <a:pt x="489699" y="41440"/>
                                </a:lnTo>
                                <a:lnTo>
                                  <a:pt x="489699" y="31267"/>
                                </a:lnTo>
                                <a:lnTo>
                                  <a:pt x="479869" y="31267"/>
                                </a:lnTo>
                                <a:lnTo>
                                  <a:pt x="479869" y="92621"/>
                                </a:lnTo>
                                <a:lnTo>
                                  <a:pt x="489699" y="92621"/>
                                </a:lnTo>
                                <a:lnTo>
                                  <a:pt x="489699" y="51993"/>
                                </a:lnTo>
                                <a:lnTo>
                                  <a:pt x="491312" y="47332"/>
                                </a:lnTo>
                                <a:lnTo>
                                  <a:pt x="497738" y="39941"/>
                                </a:lnTo>
                                <a:lnTo>
                                  <a:pt x="501802" y="38087"/>
                                </a:lnTo>
                                <a:lnTo>
                                  <a:pt x="511479" y="38087"/>
                                </a:lnTo>
                                <a:lnTo>
                                  <a:pt x="515035" y="39725"/>
                                </a:lnTo>
                                <a:lnTo>
                                  <a:pt x="519785" y="46240"/>
                                </a:lnTo>
                                <a:lnTo>
                                  <a:pt x="520979" y="51117"/>
                                </a:lnTo>
                                <a:lnTo>
                                  <a:pt x="520979" y="92621"/>
                                </a:lnTo>
                                <a:lnTo>
                                  <a:pt x="530809" y="92621"/>
                                </a:lnTo>
                                <a:lnTo>
                                  <a:pt x="530809" y="46926"/>
                                </a:lnTo>
                                <a:close/>
                              </a:path>
                            </a:pathLst>
                          </a:custGeom>
                          <a:solidFill>
                            <a:srgbClr val="231F20"/>
                          </a:solidFill>
                        </wps:spPr>
                        <wps:bodyPr wrap="square" lIns="0" tIns="0" rIns="0" bIns="0" rtlCol="0">
                          <a:prstTxWarp prst="textNoShape">
                            <a:avLst/>
                          </a:prstTxWarp>
                          <a:noAutofit/>
                        </wps:bodyPr>
                      </wps:wsp>
                      <pic:pic>
                        <pic:nvPicPr>
                          <pic:cNvPr id="166" name="Image 166"/>
                          <pic:cNvPicPr/>
                        </pic:nvPicPr>
                        <pic:blipFill>
                          <a:blip r:embed="rId34" cstate="print"/>
                          <a:stretch>
                            <a:fillRect/>
                          </a:stretch>
                        </pic:blipFill>
                        <pic:spPr>
                          <a:xfrm>
                            <a:off x="2462545" y="1685630"/>
                            <a:ext cx="578451" cy="103183"/>
                          </a:xfrm>
                          <a:prstGeom prst="rect">
                            <a:avLst/>
                          </a:prstGeom>
                        </pic:spPr>
                      </pic:pic>
                      <pic:pic>
                        <pic:nvPicPr>
                          <pic:cNvPr id="167" name="Image 167"/>
                          <pic:cNvPicPr/>
                        </pic:nvPicPr>
                        <pic:blipFill>
                          <a:blip r:embed="rId35" cstate="print"/>
                          <a:stretch>
                            <a:fillRect/>
                          </a:stretch>
                        </pic:blipFill>
                        <pic:spPr>
                          <a:xfrm>
                            <a:off x="301152" y="1687083"/>
                            <a:ext cx="426497" cy="114134"/>
                          </a:xfrm>
                          <a:prstGeom prst="rect">
                            <a:avLst/>
                          </a:prstGeom>
                        </pic:spPr>
                      </pic:pic>
                      <pic:pic>
                        <pic:nvPicPr>
                          <pic:cNvPr id="168" name="Image 168"/>
                          <pic:cNvPicPr/>
                        </pic:nvPicPr>
                        <pic:blipFill>
                          <a:blip r:embed="rId36" cstate="print"/>
                          <a:stretch>
                            <a:fillRect/>
                          </a:stretch>
                        </pic:blipFill>
                        <pic:spPr>
                          <a:xfrm>
                            <a:off x="2458653" y="2473075"/>
                            <a:ext cx="636503" cy="89343"/>
                          </a:xfrm>
                          <a:prstGeom prst="rect">
                            <a:avLst/>
                          </a:prstGeom>
                        </pic:spPr>
                      </pic:pic>
                      <pic:pic>
                        <pic:nvPicPr>
                          <pic:cNvPr id="169" name="Image 169"/>
                          <pic:cNvPicPr/>
                        </pic:nvPicPr>
                        <pic:blipFill>
                          <a:blip r:embed="rId37" cstate="print"/>
                          <a:stretch>
                            <a:fillRect/>
                          </a:stretch>
                        </pic:blipFill>
                        <pic:spPr>
                          <a:xfrm>
                            <a:off x="290734" y="2393853"/>
                            <a:ext cx="1296254" cy="268756"/>
                          </a:xfrm>
                          <a:prstGeom prst="rect">
                            <a:avLst/>
                          </a:prstGeom>
                        </pic:spPr>
                      </pic:pic>
                      <pic:pic>
                        <pic:nvPicPr>
                          <pic:cNvPr id="170" name="Image 170"/>
                          <pic:cNvPicPr/>
                        </pic:nvPicPr>
                        <pic:blipFill>
                          <a:blip r:embed="rId38" cstate="print"/>
                          <a:stretch>
                            <a:fillRect/>
                          </a:stretch>
                        </pic:blipFill>
                        <pic:spPr>
                          <a:xfrm>
                            <a:off x="2462545" y="2092507"/>
                            <a:ext cx="586129" cy="88861"/>
                          </a:xfrm>
                          <a:prstGeom prst="rect">
                            <a:avLst/>
                          </a:prstGeom>
                        </pic:spPr>
                      </pic:pic>
                      <pic:pic>
                        <pic:nvPicPr>
                          <pic:cNvPr id="171" name="Image 171"/>
                          <pic:cNvPicPr/>
                        </pic:nvPicPr>
                        <pic:blipFill>
                          <a:blip r:embed="rId39" cstate="print"/>
                          <a:stretch>
                            <a:fillRect/>
                          </a:stretch>
                        </pic:blipFill>
                        <pic:spPr>
                          <a:xfrm>
                            <a:off x="295521" y="2092505"/>
                            <a:ext cx="129901" cy="88808"/>
                          </a:xfrm>
                          <a:prstGeom prst="rect">
                            <a:avLst/>
                          </a:prstGeom>
                        </pic:spPr>
                      </pic:pic>
                      <pic:pic>
                        <pic:nvPicPr>
                          <pic:cNvPr id="172" name="Image 172"/>
                          <pic:cNvPicPr/>
                        </pic:nvPicPr>
                        <pic:blipFill>
                          <a:blip r:embed="rId40" cstate="print"/>
                          <a:stretch>
                            <a:fillRect/>
                          </a:stretch>
                        </pic:blipFill>
                        <pic:spPr>
                          <a:xfrm>
                            <a:off x="445262" y="2089035"/>
                            <a:ext cx="120909" cy="92278"/>
                          </a:xfrm>
                          <a:prstGeom prst="rect">
                            <a:avLst/>
                          </a:prstGeom>
                        </pic:spPr>
                      </pic:pic>
                      <pic:pic>
                        <pic:nvPicPr>
                          <pic:cNvPr id="173" name="Image 173"/>
                          <pic:cNvPicPr/>
                        </pic:nvPicPr>
                        <pic:blipFill>
                          <a:blip r:embed="rId41" cstate="print"/>
                          <a:stretch>
                            <a:fillRect/>
                          </a:stretch>
                        </pic:blipFill>
                        <pic:spPr>
                          <a:xfrm>
                            <a:off x="586000" y="2117064"/>
                            <a:ext cx="86104" cy="64249"/>
                          </a:xfrm>
                          <a:prstGeom prst="rect">
                            <a:avLst/>
                          </a:prstGeom>
                        </pic:spPr>
                      </pic:pic>
                      <pic:pic>
                        <pic:nvPicPr>
                          <pic:cNvPr id="174" name="Image 174"/>
                          <pic:cNvPicPr/>
                        </pic:nvPicPr>
                        <pic:blipFill>
                          <a:blip r:embed="rId42" cstate="print"/>
                          <a:stretch>
                            <a:fillRect/>
                          </a:stretch>
                        </pic:blipFill>
                        <pic:spPr>
                          <a:xfrm>
                            <a:off x="2458653" y="2879327"/>
                            <a:ext cx="735670" cy="89341"/>
                          </a:xfrm>
                          <a:prstGeom prst="rect">
                            <a:avLst/>
                          </a:prstGeom>
                        </pic:spPr>
                      </pic:pic>
                      <pic:pic>
                        <pic:nvPicPr>
                          <pic:cNvPr id="175" name="Image 175"/>
                          <pic:cNvPicPr/>
                        </pic:nvPicPr>
                        <pic:blipFill>
                          <a:blip r:embed="rId43" cstate="print"/>
                          <a:stretch>
                            <a:fillRect/>
                          </a:stretch>
                        </pic:blipFill>
                        <pic:spPr>
                          <a:xfrm>
                            <a:off x="292225" y="2882723"/>
                            <a:ext cx="121521" cy="87358"/>
                          </a:xfrm>
                          <a:prstGeom prst="rect">
                            <a:avLst/>
                          </a:prstGeom>
                        </pic:spPr>
                      </pic:pic>
                      <pic:pic>
                        <pic:nvPicPr>
                          <pic:cNvPr id="176" name="Image 176"/>
                          <pic:cNvPicPr/>
                        </pic:nvPicPr>
                        <pic:blipFill>
                          <a:blip r:embed="rId44" cstate="print"/>
                          <a:stretch>
                            <a:fillRect/>
                          </a:stretch>
                        </pic:blipFill>
                        <pic:spPr>
                          <a:xfrm>
                            <a:off x="433575" y="2878710"/>
                            <a:ext cx="286344" cy="91373"/>
                          </a:xfrm>
                          <a:prstGeom prst="rect">
                            <a:avLst/>
                          </a:prstGeom>
                        </pic:spPr>
                      </pic:pic>
                      <pic:pic>
                        <pic:nvPicPr>
                          <pic:cNvPr id="177" name="Image 177"/>
                          <pic:cNvPicPr/>
                        </pic:nvPicPr>
                        <pic:blipFill>
                          <a:blip r:embed="rId45" cstate="print"/>
                          <a:stretch>
                            <a:fillRect/>
                          </a:stretch>
                        </pic:blipFill>
                        <pic:spPr>
                          <a:xfrm>
                            <a:off x="2462974" y="3285825"/>
                            <a:ext cx="651847" cy="88868"/>
                          </a:xfrm>
                          <a:prstGeom prst="rect">
                            <a:avLst/>
                          </a:prstGeom>
                        </pic:spPr>
                      </pic:pic>
                      <pic:pic>
                        <pic:nvPicPr>
                          <pic:cNvPr id="178" name="Image 178"/>
                          <pic:cNvPicPr/>
                        </pic:nvPicPr>
                        <pic:blipFill>
                          <a:blip r:embed="rId46" cstate="print"/>
                          <a:stretch>
                            <a:fillRect/>
                          </a:stretch>
                        </pic:blipFill>
                        <pic:spPr>
                          <a:xfrm>
                            <a:off x="291211" y="3288746"/>
                            <a:ext cx="140153" cy="114791"/>
                          </a:xfrm>
                          <a:prstGeom prst="rect">
                            <a:avLst/>
                          </a:prstGeom>
                        </pic:spPr>
                      </pic:pic>
                      <pic:pic>
                        <pic:nvPicPr>
                          <pic:cNvPr id="179" name="Image 179"/>
                          <pic:cNvPicPr/>
                        </pic:nvPicPr>
                        <pic:blipFill>
                          <a:blip r:embed="rId47" cstate="print"/>
                          <a:stretch>
                            <a:fillRect/>
                          </a:stretch>
                        </pic:blipFill>
                        <pic:spPr>
                          <a:xfrm>
                            <a:off x="451255" y="3284729"/>
                            <a:ext cx="178664" cy="91380"/>
                          </a:xfrm>
                          <a:prstGeom prst="rect">
                            <a:avLst/>
                          </a:prstGeom>
                        </pic:spPr>
                      </pic:pic>
                      <pic:pic>
                        <pic:nvPicPr>
                          <pic:cNvPr id="180" name="Image 180"/>
                          <pic:cNvPicPr/>
                        </pic:nvPicPr>
                        <pic:blipFill>
                          <a:blip r:embed="rId48" cstate="print"/>
                          <a:stretch>
                            <a:fillRect/>
                          </a:stretch>
                        </pic:blipFill>
                        <pic:spPr>
                          <a:xfrm>
                            <a:off x="649757" y="3283839"/>
                            <a:ext cx="120916" cy="92270"/>
                          </a:xfrm>
                          <a:prstGeom prst="rect">
                            <a:avLst/>
                          </a:prstGeom>
                        </pic:spPr>
                      </pic:pic>
                      <pic:pic>
                        <pic:nvPicPr>
                          <pic:cNvPr id="181" name="Image 181"/>
                          <pic:cNvPicPr/>
                        </pic:nvPicPr>
                        <pic:blipFill>
                          <a:blip r:embed="rId49" cstate="print"/>
                          <a:stretch>
                            <a:fillRect/>
                          </a:stretch>
                        </pic:blipFill>
                        <pic:spPr>
                          <a:xfrm>
                            <a:off x="790502" y="3311860"/>
                            <a:ext cx="86105" cy="64249"/>
                          </a:xfrm>
                          <a:prstGeom prst="rect">
                            <a:avLst/>
                          </a:prstGeom>
                        </pic:spPr>
                      </pic:pic>
                      <pic:pic>
                        <pic:nvPicPr>
                          <pic:cNvPr id="182" name="Image 182"/>
                          <pic:cNvPicPr/>
                        </pic:nvPicPr>
                        <pic:blipFill>
                          <a:blip r:embed="rId50" cstate="print"/>
                          <a:stretch>
                            <a:fillRect/>
                          </a:stretch>
                        </pic:blipFill>
                        <pic:spPr>
                          <a:xfrm>
                            <a:off x="2460510" y="3692220"/>
                            <a:ext cx="94847" cy="88677"/>
                          </a:xfrm>
                          <a:prstGeom prst="rect">
                            <a:avLst/>
                          </a:prstGeom>
                        </pic:spPr>
                      </pic:pic>
                      <pic:pic>
                        <pic:nvPicPr>
                          <pic:cNvPr id="183" name="Image 183"/>
                          <pic:cNvPicPr/>
                        </pic:nvPicPr>
                        <pic:blipFill>
                          <a:blip r:embed="rId51" cstate="print"/>
                          <a:stretch>
                            <a:fillRect/>
                          </a:stretch>
                        </pic:blipFill>
                        <pic:spPr>
                          <a:xfrm>
                            <a:off x="2609222" y="3692702"/>
                            <a:ext cx="187726" cy="88866"/>
                          </a:xfrm>
                          <a:prstGeom prst="rect">
                            <a:avLst/>
                          </a:prstGeom>
                        </pic:spPr>
                      </pic:pic>
                      <pic:pic>
                        <pic:nvPicPr>
                          <pic:cNvPr id="184" name="Image 184"/>
                          <pic:cNvPicPr/>
                        </pic:nvPicPr>
                        <pic:blipFill>
                          <a:blip r:embed="rId52" cstate="print"/>
                          <a:stretch>
                            <a:fillRect/>
                          </a:stretch>
                        </pic:blipFill>
                        <pic:spPr>
                          <a:xfrm>
                            <a:off x="2840751" y="3692707"/>
                            <a:ext cx="188258" cy="88863"/>
                          </a:xfrm>
                          <a:prstGeom prst="rect">
                            <a:avLst/>
                          </a:prstGeom>
                        </pic:spPr>
                      </pic:pic>
                      <pic:pic>
                        <pic:nvPicPr>
                          <pic:cNvPr id="185" name="Image 185"/>
                          <pic:cNvPicPr/>
                        </pic:nvPicPr>
                        <pic:blipFill>
                          <a:blip r:embed="rId53" cstate="print"/>
                          <a:stretch>
                            <a:fillRect/>
                          </a:stretch>
                        </pic:blipFill>
                        <pic:spPr>
                          <a:xfrm>
                            <a:off x="290734" y="3614796"/>
                            <a:ext cx="1583917" cy="386784"/>
                          </a:xfrm>
                          <a:prstGeom prst="rect">
                            <a:avLst/>
                          </a:prstGeom>
                        </pic:spPr>
                      </pic:pic>
                      <pic:pic>
                        <pic:nvPicPr>
                          <pic:cNvPr id="186" name="Image 186"/>
                          <pic:cNvPicPr/>
                        </pic:nvPicPr>
                        <pic:blipFill>
                          <a:blip r:embed="rId54" cstate="print"/>
                          <a:stretch>
                            <a:fillRect/>
                          </a:stretch>
                        </pic:blipFill>
                        <pic:spPr>
                          <a:xfrm>
                            <a:off x="2462974" y="4265249"/>
                            <a:ext cx="566035" cy="89347"/>
                          </a:xfrm>
                          <a:prstGeom prst="rect">
                            <a:avLst/>
                          </a:prstGeom>
                        </pic:spPr>
                      </pic:pic>
                      <wps:wsp>
                        <wps:cNvPr id="187" name="Graphic 187"/>
                        <wps:cNvSpPr/>
                        <wps:spPr>
                          <a:xfrm>
                            <a:off x="301155" y="4269346"/>
                            <a:ext cx="10160" cy="86360"/>
                          </a:xfrm>
                          <a:custGeom>
                            <a:avLst/>
                            <a:gdLst/>
                            <a:ahLst/>
                            <a:cxnLst/>
                            <a:rect l="l" t="t" r="r" b="b"/>
                            <a:pathLst>
                              <a:path w="10160" h="86360">
                                <a:moveTo>
                                  <a:pt x="10071" y="0"/>
                                </a:moveTo>
                                <a:lnTo>
                                  <a:pt x="0" y="0"/>
                                </a:lnTo>
                                <a:lnTo>
                                  <a:pt x="0" y="85915"/>
                                </a:lnTo>
                                <a:lnTo>
                                  <a:pt x="10071" y="85915"/>
                                </a:lnTo>
                                <a:lnTo>
                                  <a:pt x="10071" y="0"/>
                                </a:lnTo>
                                <a:close/>
                              </a:path>
                            </a:pathLst>
                          </a:custGeom>
                          <a:solidFill>
                            <a:srgbClr val="231F20"/>
                          </a:solidFill>
                        </wps:spPr>
                        <wps:bodyPr wrap="square" lIns="0" tIns="0" rIns="0" bIns="0" rtlCol="0">
                          <a:prstTxWarp prst="textNoShape">
                            <a:avLst/>
                          </a:prstTxWarp>
                          <a:noAutofit/>
                        </wps:bodyPr>
                      </wps:wsp>
                      <pic:pic>
                        <pic:nvPicPr>
                          <pic:cNvPr id="188" name="Image 188"/>
                          <pic:cNvPicPr/>
                        </pic:nvPicPr>
                        <pic:blipFill>
                          <a:blip r:embed="rId55" cstate="print"/>
                          <a:stretch>
                            <a:fillRect/>
                          </a:stretch>
                        </pic:blipFill>
                        <pic:spPr>
                          <a:xfrm>
                            <a:off x="332496" y="4264427"/>
                            <a:ext cx="420622" cy="92275"/>
                          </a:xfrm>
                          <a:prstGeom prst="rect">
                            <a:avLst/>
                          </a:prstGeom>
                        </pic:spPr>
                      </pic:pic>
                      <pic:pic>
                        <pic:nvPicPr>
                          <pic:cNvPr id="189" name="Image 189"/>
                          <pic:cNvPicPr/>
                        </pic:nvPicPr>
                        <pic:blipFill>
                          <a:blip r:embed="rId56" cstate="print"/>
                          <a:stretch>
                            <a:fillRect/>
                          </a:stretch>
                        </pic:blipFill>
                        <pic:spPr>
                          <a:xfrm>
                            <a:off x="2462545" y="4671762"/>
                            <a:ext cx="121512" cy="88849"/>
                          </a:xfrm>
                          <a:prstGeom prst="rect">
                            <a:avLst/>
                          </a:prstGeom>
                        </pic:spPr>
                      </pic:pic>
                      <wps:wsp>
                        <wps:cNvPr id="190" name="Graphic 190"/>
                        <wps:cNvSpPr/>
                        <wps:spPr>
                          <a:xfrm>
                            <a:off x="2624560" y="4671270"/>
                            <a:ext cx="31115" cy="88265"/>
                          </a:xfrm>
                          <a:custGeom>
                            <a:avLst/>
                            <a:gdLst/>
                            <a:ahLst/>
                            <a:cxnLst/>
                            <a:rect l="l" t="t" r="r" b="b"/>
                            <a:pathLst>
                              <a:path w="31115" h="88265">
                                <a:moveTo>
                                  <a:pt x="30556" y="0"/>
                                </a:moveTo>
                                <a:lnTo>
                                  <a:pt x="26847" y="0"/>
                                </a:lnTo>
                                <a:lnTo>
                                  <a:pt x="23888" y="2806"/>
                                </a:lnTo>
                                <a:lnTo>
                                  <a:pt x="19824" y="5562"/>
                                </a:lnTo>
                                <a:lnTo>
                                  <a:pt x="9486" y="10998"/>
                                </a:lnTo>
                                <a:lnTo>
                                  <a:pt x="4597" y="12954"/>
                                </a:lnTo>
                                <a:lnTo>
                                  <a:pt x="0" y="14147"/>
                                </a:lnTo>
                                <a:lnTo>
                                  <a:pt x="2819" y="22783"/>
                                </a:lnTo>
                                <a:lnTo>
                                  <a:pt x="20739" y="14274"/>
                                </a:lnTo>
                                <a:lnTo>
                                  <a:pt x="20739" y="87845"/>
                                </a:lnTo>
                                <a:lnTo>
                                  <a:pt x="30556" y="87845"/>
                                </a:lnTo>
                                <a:lnTo>
                                  <a:pt x="30556" y="0"/>
                                </a:lnTo>
                                <a:close/>
                              </a:path>
                            </a:pathLst>
                          </a:custGeom>
                          <a:solidFill>
                            <a:srgbClr val="231F20"/>
                          </a:solidFill>
                        </wps:spPr>
                        <wps:bodyPr wrap="square" lIns="0" tIns="0" rIns="0" bIns="0" rtlCol="0">
                          <a:prstTxWarp prst="textNoShape">
                            <a:avLst/>
                          </a:prstTxWarp>
                          <a:noAutofit/>
                        </wps:bodyPr>
                      </wps:wsp>
                      <pic:pic>
                        <pic:nvPicPr>
                          <pic:cNvPr id="191" name="Image 191"/>
                          <pic:cNvPicPr/>
                        </pic:nvPicPr>
                        <pic:blipFill>
                          <a:blip r:embed="rId57" cstate="print"/>
                          <a:stretch>
                            <a:fillRect/>
                          </a:stretch>
                        </pic:blipFill>
                        <pic:spPr>
                          <a:xfrm>
                            <a:off x="2676213" y="4671759"/>
                            <a:ext cx="122657" cy="88849"/>
                          </a:xfrm>
                          <a:prstGeom prst="rect">
                            <a:avLst/>
                          </a:prstGeom>
                        </pic:spPr>
                      </pic:pic>
                      <pic:pic>
                        <pic:nvPicPr>
                          <pic:cNvPr id="192" name="Image 192"/>
                          <pic:cNvPicPr/>
                        </pic:nvPicPr>
                        <pic:blipFill>
                          <a:blip r:embed="rId58" cstate="print"/>
                          <a:stretch>
                            <a:fillRect/>
                          </a:stretch>
                        </pic:blipFill>
                        <pic:spPr>
                          <a:xfrm>
                            <a:off x="2841710" y="4671752"/>
                            <a:ext cx="187299" cy="88863"/>
                          </a:xfrm>
                          <a:prstGeom prst="rect">
                            <a:avLst/>
                          </a:prstGeom>
                        </pic:spPr>
                      </pic:pic>
                      <wps:wsp>
                        <wps:cNvPr id="193" name="Graphic 193"/>
                        <wps:cNvSpPr/>
                        <wps:spPr>
                          <a:xfrm>
                            <a:off x="295516" y="4667973"/>
                            <a:ext cx="693420" cy="94615"/>
                          </a:xfrm>
                          <a:custGeom>
                            <a:avLst/>
                            <a:gdLst/>
                            <a:ahLst/>
                            <a:cxnLst/>
                            <a:rect l="l" t="t" r="r" b="b"/>
                            <a:pathLst>
                              <a:path w="693420" h="94615">
                                <a:moveTo>
                                  <a:pt x="66154" y="88303"/>
                                </a:moveTo>
                                <a:lnTo>
                                  <a:pt x="62141" y="80162"/>
                                </a:lnTo>
                                <a:lnTo>
                                  <a:pt x="58661" y="81876"/>
                                </a:lnTo>
                                <a:lnTo>
                                  <a:pt x="55257" y="83108"/>
                                </a:lnTo>
                                <a:lnTo>
                                  <a:pt x="48590" y="84632"/>
                                </a:lnTo>
                                <a:lnTo>
                                  <a:pt x="45186" y="85013"/>
                                </a:lnTo>
                                <a:lnTo>
                                  <a:pt x="32308" y="85013"/>
                                </a:lnTo>
                                <a:lnTo>
                                  <a:pt x="10553" y="50673"/>
                                </a:lnTo>
                                <a:lnTo>
                                  <a:pt x="11112" y="42710"/>
                                </a:lnTo>
                                <a:lnTo>
                                  <a:pt x="43446" y="14363"/>
                                </a:lnTo>
                                <a:lnTo>
                                  <a:pt x="46875" y="14363"/>
                                </a:lnTo>
                                <a:lnTo>
                                  <a:pt x="50076" y="14668"/>
                                </a:lnTo>
                                <a:lnTo>
                                  <a:pt x="55981" y="15913"/>
                                </a:lnTo>
                                <a:lnTo>
                                  <a:pt x="59042" y="16916"/>
                                </a:lnTo>
                                <a:lnTo>
                                  <a:pt x="62191" y="18326"/>
                                </a:lnTo>
                                <a:lnTo>
                                  <a:pt x="65913" y="10058"/>
                                </a:lnTo>
                                <a:lnTo>
                                  <a:pt x="62128" y="8369"/>
                                </a:lnTo>
                                <a:lnTo>
                                  <a:pt x="58458" y="7162"/>
                                </a:lnTo>
                                <a:lnTo>
                                  <a:pt x="51384" y="5638"/>
                                </a:lnTo>
                                <a:lnTo>
                                  <a:pt x="47599" y="5257"/>
                                </a:lnTo>
                                <a:lnTo>
                                  <a:pt x="43573" y="5257"/>
                                </a:lnTo>
                                <a:lnTo>
                                  <a:pt x="6794" y="24536"/>
                                </a:lnTo>
                                <a:lnTo>
                                  <a:pt x="0" y="51282"/>
                                </a:lnTo>
                                <a:lnTo>
                                  <a:pt x="673" y="60401"/>
                                </a:lnTo>
                                <a:lnTo>
                                  <a:pt x="23799" y="91109"/>
                                </a:lnTo>
                                <a:lnTo>
                                  <a:pt x="41109" y="94056"/>
                                </a:lnTo>
                                <a:lnTo>
                                  <a:pt x="45745" y="94056"/>
                                </a:lnTo>
                                <a:lnTo>
                                  <a:pt x="50025" y="93599"/>
                                </a:lnTo>
                                <a:lnTo>
                                  <a:pt x="57950" y="91757"/>
                                </a:lnTo>
                                <a:lnTo>
                                  <a:pt x="62001" y="90297"/>
                                </a:lnTo>
                                <a:lnTo>
                                  <a:pt x="66154" y="88303"/>
                                </a:lnTo>
                                <a:close/>
                              </a:path>
                              <a:path w="693420" h="94615">
                                <a:moveTo>
                                  <a:pt x="136499" y="51765"/>
                                </a:moveTo>
                                <a:lnTo>
                                  <a:pt x="133934" y="43954"/>
                                </a:lnTo>
                                <a:lnTo>
                                  <a:pt x="128638" y="38100"/>
                                </a:lnTo>
                                <a:lnTo>
                                  <a:pt x="126428" y="35674"/>
                                </a:lnTo>
                                <a:lnTo>
                                  <a:pt x="126428" y="54368"/>
                                </a:lnTo>
                                <a:lnTo>
                                  <a:pt x="126428" y="69621"/>
                                </a:lnTo>
                                <a:lnTo>
                                  <a:pt x="124714" y="75463"/>
                                </a:lnTo>
                                <a:lnTo>
                                  <a:pt x="117894" y="83731"/>
                                </a:lnTo>
                                <a:lnTo>
                                  <a:pt x="113004" y="85788"/>
                                </a:lnTo>
                                <a:lnTo>
                                  <a:pt x="100418" y="85788"/>
                                </a:lnTo>
                                <a:lnTo>
                                  <a:pt x="95453" y="83705"/>
                                </a:lnTo>
                                <a:lnTo>
                                  <a:pt x="88011" y="75311"/>
                                </a:lnTo>
                                <a:lnTo>
                                  <a:pt x="86169" y="69621"/>
                                </a:lnTo>
                                <a:lnTo>
                                  <a:pt x="86156" y="54800"/>
                                </a:lnTo>
                                <a:lnTo>
                                  <a:pt x="87998" y="48882"/>
                                </a:lnTo>
                                <a:lnTo>
                                  <a:pt x="95351" y="40259"/>
                                </a:lnTo>
                                <a:lnTo>
                                  <a:pt x="100342" y="38100"/>
                                </a:lnTo>
                                <a:lnTo>
                                  <a:pt x="112966" y="38100"/>
                                </a:lnTo>
                                <a:lnTo>
                                  <a:pt x="117830" y="40170"/>
                                </a:lnTo>
                                <a:lnTo>
                                  <a:pt x="124714" y="48437"/>
                                </a:lnTo>
                                <a:lnTo>
                                  <a:pt x="126428" y="54368"/>
                                </a:lnTo>
                                <a:lnTo>
                                  <a:pt x="126428" y="35674"/>
                                </a:lnTo>
                                <a:lnTo>
                                  <a:pt x="123659" y="32613"/>
                                </a:lnTo>
                                <a:lnTo>
                                  <a:pt x="116509" y="29794"/>
                                </a:lnTo>
                                <a:lnTo>
                                  <a:pt x="97701" y="29883"/>
                                </a:lnTo>
                                <a:lnTo>
                                  <a:pt x="76098" y="62674"/>
                                </a:lnTo>
                                <a:lnTo>
                                  <a:pt x="76098" y="72136"/>
                                </a:lnTo>
                                <a:lnTo>
                                  <a:pt x="78803" y="79730"/>
                                </a:lnTo>
                                <a:lnTo>
                                  <a:pt x="89623" y="91198"/>
                                </a:lnTo>
                                <a:lnTo>
                                  <a:pt x="96862" y="94068"/>
                                </a:lnTo>
                                <a:lnTo>
                                  <a:pt x="115239" y="94068"/>
                                </a:lnTo>
                                <a:lnTo>
                                  <a:pt x="122656" y="91135"/>
                                </a:lnTo>
                                <a:lnTo>
                                  <a:pt x="127698" y="85788"/>
                                </a:lnTo>
                                <a:lnTo>
                                  <a:pt x="133731" y="79387"/>
                                </a:lnTo>
                                <a:lnTo>
                                  <a:pt x="136499" y="71539"/>
                                </a:lnTo>
                                <a:lnTo>
                                  <a:pt x="136499" y="51765"/>
                                </a:lnTo>
                                <a:close/>
                              </a:path>
                              <a:path w="693420" h="94615">
                                <a:moveTo>
                                  <a:pt x="203123" y="46926"/>
                                </a:moveTo>
                                <a:lnTo>
                                  <a:pt x="201345" y="40665"/>
                                </a:lnTo>
                                <a:lnTo>
                                  <a:pt x="194233" y="31991"/>
                                </a:lnTo>
                                <a:lnTo>
                                  <a:pt x="189103" y="29819"/>
                                </a:lnTo>
                                <a:lnTo>
                                  <a:pt x="177990" y="29819"/>
                                </a:lnTo>
                                <a:lnTo>
                                  <a:pt x="174129" y="30797"/>
                                </a:lnTo>
                                <a:lnTo>
                                  <a:pt x="167411" y="34671"/>
                                </a:lnTo>
                                <a:lnTo>
                                  <a:pt x="164579" y="37579"/>
                                </a:lnTo>
                                <a:lnTo>
                                  <a:pt x="162267" y="41452"/>
                                </a:lnTo>
                                <a:lnTo>
                                  <a:pt x="162026" y="41452"/>
                                </a:lnTo>
                                <a:lnTo>
                                  <a:pt x="162026" y="31267"/>
                                </a:lnTo>
                                <a:lnTo>
                                  <a:pt x="152196" y="31267"/>
                                </a:lnTo>
                                <a:lnTo>
                                  <a:pt x="152196" y="92621"/>
                                </a:lnTo>
                                <a:lnTo>
                                  <a:pt x="162026" y="92621"/>
                                </a:lnTo>
                                <a:lnTo>
                                  <a:pt x="162026" y="51993"/>
                                </a:lnTo>
                                <a:lnTo>
                                  <a:pt x="163626" y="47332"/>
                                </a:lnTo>
                                <a:lnTo>
                                  <a:pt x="170053" y="39941"/>
                                </a:lnTo>
                                <a:lnTo>
                                  <a:pt x="174129" y="38100"/>
                                </a:lnTo>
                                <a:lnTo>
                                  <a:pt x="183794" y="38100"/>
                                </a:lnTo>
                                <a:lnTo>
                                  <a:pt x="187350" y="39725"/>
                                </a:lnTo>
                                <a:lnTo>
                                  <a:pt x="192112" y="46240"/>
                                </a:lnTo>
                                <a:lnTo>
                                  <a:pt x="193306" y="51117"/>
                                </a:lnTo>
                                <a:lnTo>
                                  <a:pt x="193306" y="92621"/>
                                </a:lnTo>
                                <a:lnTo>
                                  <a:pt x="203123" y="92621"/>
                                </a:lnTo>
                                <a:lnTo>
                                  <a:pt x="203123" y="46926"/>
                                </a:lnTo>
                                <a:close/>
                              </a:path>
                              <a:path w="693420" h="94615">
                                <a:moveTo>
                                  <a:pt x="258838" y="70789"/>
                                </a:moveTo>
                                <a:lnTo>
                                  <a:pt x="257289" y="66852"/>
                                </a:lnTo>
                                <a:lnTo>
                                  <a:pt x="251104" y="60807"/>
                                </a:lnTo>
                                <a:lnTo>
                                  <a:pt x="246443" y="58470"/>
                                </a:lnTo>
                                <a:lnTo>
                                  <a:pt x="235458" y="55549"/>
                                </a:lnTo>
                                <a:lnTo>
                                  <a:pt x="232016" y="54229"/>
                                </a:lnTo>
                                <a:lnTo>
                                  <a:pt x="227736" y="51435"/>
                                </a:lnTo>
                                <a:lnTo>
                                  <a:pt x="226669" y="49364"/>
                                </a:lnTo>
                                <a:lnTo>
                                  <a:pt x="226669" y="43853"/>
                                </a:lnTo>
                                <a:lnTo>
                                  <a:pt x="227711" y="41744"/>
                                </a:lnTo>
                                <a:lnTo>
                                  <a:pt x="231863" y="38823"/>
                                </a:lnTo>
                                <a:lnTo>
                                  <a:pt x="234873" y="38100"/>
                                </a:lnTo>
                                <a:lnTo>
                                  <a:pt x="241109" y="38100"/>
                                </a:lnTo>
                                <a:lnTo>
                                  <a:pt x="243357" y="38455"/>
                                </a:lnTo>
                                <a:lnTo>
                                  <a:pt x="247789" y="39839"/>
                                </a:lnTo>
                                <a:lnTo>
                                  <a:pt x="250304" y="41071"/>
                                </a:lnTo>
                                <a:lnTo>
                                  <a:pt x="253098" y="42824"/>
                                </a:lnTo>
                                <a:lnTo>
                                  <a:pt x="257467" y="35394"/>
                                </a:lnTo>
                                <a:lnTo>
                                  <a:pt x="254393" y="33362"/>
                                </a:lnTo>
                                <a:lnTo>
                                  <a:pt x="251371" y="31927"/>
                                </a:lnTo>
                                <a:lnTo>
                                  <a:pt x="245465" y="30238"/>
                                </a:lnTo>
                                <a:lnTo>
                                  <a:pt x="242341" y="29819"/>
                                </a:lnTo>
                                <a:lnTo>
                                  <a:pt x="232283" y="29819"/>
                                </a:lnTo>
                                <a:lnTo>
                                  <a:pt x="226999" y="31521"/>
                                </a:lnTo>
                                <a:lnTo>
                                  <a:pt x="219392" y="38265"/>
                                </a:lnTo>
                                <a:lnTo>
                                  <a:pt x="217500" y="42468"/>
                                </a:lnTo>
                                <a:lnTo>
                                  <a:pt x="217500" y="51854"/>
                                </a:lnTo>
                                <a:lnTo>
                                  <a:pt x="218922" y="55524"/>
                                </a:lnTo>
                                <a:lnTo>
                                  <a:pt x="224599" y="61468"/>
                                </a:lnTo>
                                <a:lnTo>
                                  <a:pt x="229844" y="63944"/>
                                </a:lnTo>
                                <a:lnTo>
                                  <a:pt x="241630" y="66941"/>
                                </a:lnTo>
                                <a:lnTo>
                                  <a:pt x="244652" y="68326"/>
                                </a:lnTo>
                                <a:lnTo>
                                  <a:pt x="248526" y="71805"/>
                                </a:lnTo>
                                <a:lnTo>
                                  <a:pt x="249491" y="73926"/>
                                </a:lnTo>
                                <a:lnTo>
                                  <a:pt x="249491" y="79552"/>
                                </a:lnTo>
                                <a:lnTo>
                                  <a:pt x="248412" y="81902"/>
                                </a:lnTo>
                                <a:lnTo>
                                  <a:pt x="244055" y="85013"/>
                                </a:lnTo>
                                <a:lnTo>
                                  <a:pt x="240868" y="85788"/>
                                </a:lnTo>
                                <a:lnTo>
                                  <a:pt x="233718" y="85788"/>
                                </a:lnTo>
                                <a:lnTo>
                                  <a:pt x="230962" y="85344"/>
                                </a:lnTo>
                                <a:lnTo>
                                  <a:pt x="225856" y="83553"/>
                                </a:lnTo>
                                <a:lnTo>
                                  <a:pt x="223227" y="82219"/>
                                </a:lnTo>
                                <a:lnTo>
                                  <a:pt x="220560" y="80454"/>
                                </a:lnTo>
                                <a:lnTo>
                                  <a:pt x="215887" y="88011"/>
                                </a:lnTo>
                                <a:lnTo>
                                  <a:pt x="218833" y="89966"/>
                                </a:lnTo>
                                <a:lnTo>
                                  <a:pt x="222046" y="91465"/>
                                </a:lnTo>
                                <a:lnTo>
                                  <a:pt x="228955" y="93548"/>
                                </a:lnTo>
                                <a:lnTo>
                                  <a:pt x="232562" y="94068"/>
                                </a:lnTo>
                                <a:lnTo>
                                  <a:pt x="243306" y="94068"/>
                                </a:lnTo>
                                <a:lnTo>
                                  <a:pt x="248818" y="92417"/>
                                </a:lnTo>
                                <a:lnTo>
                                  <a:pt x="256844" y="85813"/>
                                </a:lnTo>
                                <a:lnTo>
                                  <a:pt x="258838" y="81343"/>
                                </a:lnTo>
                                <a:lnTo>
                                  <a:pt x="258838" y="70789"/>
                                </a:lnTo>
                                <a:close/>
                              </a:path>
                              <a:path w="693420" h="94615">
                                <a:moveTo>
                                  <a:pt x="302945" y="91897"/>
                                </a:moveTo>
                                <a:lnTo>
                                  <a:pt x="300545" y="84416"/>
                                </a:lnTo>
                                <a:lnTo>
                                  <a:pt x="298843" y="85090"/>
                                </a:lnTo>
                                <a:lnTo>
                                  <a:pt x="295465" y="85788"/>
                                </a:lnTo>
                                <a:lnTo>
                                  <a:pt x="291744" y="85788"/>
                                </a:lnTo>
                                <a:lnTo>
                                  <a:pt x="289852" y="85013"/>
                                </a:lnTo>
                                <a:lnTo>
                                  <a:pt x="287337" y="81889"/>
                                </a:lnTo>
                                <a:lnTo>
                                  <a:pt x="286715" y="79362"/>
                                </a:lnTo>
                                <a:lnTo>
                                  <a:pt x="286715" y="39649"/>
                                </a:lnTo>
                                <a:lnTo>
                                  <a:pt x="302158" y="39649"/>
                                </a:lnTo>
                                <a:lnTo>
                                  <a:pt x="302158" y="31267"/>
                                </a:lnTo>
                                <a:lnTo>
                                  <a:pt x="286715" y="31267"/>
                                </a:lnTo>
                                <a:lnTo>
                                  <a:pt x="286715" y="13106"/>
                                </a:lnTo>
                                <a:lnTo>
                                  <a:pt x="276885" y="16281"/>
                                </a:lnTo>
                                <a:lnTo>
                                  <a:pt x="276885" y="31267"/>
                                </a:lnTo>
                                <a:lnTo>
                                  <a:pt x="266344" y="31267"/>
                                </a:lnTo>
                                <a:lnTo>
                                  <a:pt x="266344" y="39649"/>
                                </a:lnTo>
                                <a:lnTo>
                                  <a:pt x="276885" y="39649"/>
                                </a:lnTo>
                                <a:lnTo>
                                  <a:pt x="276885" y="82575"/>
                                </a:lnTo>
                                <a:lnTo>
                                  <a:pt x="278269" y="86791"/>
                                </a:lnTo>
                                <a:lnTo>
                                  <a:pt x="283819" y="92506"/>
                                </a:lnTo>
                                <a:lnTo>
                                  <a:pt x="287642" y="93929"/>
                                </a:lnTo>
                                <a:lnTo>
                                  <a:pt x="294551" y="93929"/>
                                </a:lnTo>
                                <a:lnTo>
                                  <a:pt x="296392" y="93764"/>
                                </a:lnTo>
                                <a:lnTo>
                                  <a:pt x="299618" y="93091"/>
                                </a:lnTo>
                                <a:lnTo>
                                  <a:pt x="302945" y="91897"/>
                                </a:lnTo>
                                <a:close/>
                              </a:path>
                              <a:path w="693420" h="94615">
                                <a:moveTo>
                                  <a:pt x="347167" y="30911"/>
                                </a:moveTo>
                                <a:lnTo>
                                  <a:pt x="346494" y="30670"/>
                                </a:lnTo>
                                <a:lnTo>
                                  <a:pt x="344004" y="30238"/>
                                </a:lnTo>
                                <a:lnTo>
                                  <a:pt x="337959" y="30187"/>
                                </a:lnTo>
                                <a:lnTo>
                                  <a:pt x="334645" y="31318"/>
                                </a:lnTo>
                                <a:lnTo>
                                  <a:pt x="328891" y="35826"/>
                                </a:lnTo>
                                <a:lnTo>
                                  <a:pt x="326758" y="39116"/>
                                </a:lnTo>
                                <a:lnTo>
                                  <a:pt x="325361" y="43434"/>
                                </a:lnTo>
                                <a:lnTo>
                                  <a:pt x="325120" y="43434"/>
                                </a:lnTo>
                                <a:lnTo>
                                  <a:pt x="325120" y="31267"/>
                                </a:lnTo>
                                <a:lnTo>
                                  <a:pt x="315290" y="31267"/>
                                </a:lnTo>
                                <a:lnTo>
                                  <a:pt x="315290" y="92621"/>
                                </a:lnTo>
                                <a:lnTo>
                                  <a:pt x="325120" y="92621"/>
                                </a:lnTo>
                                <a:lnTo>
                                  <a:pt x="325120" y="54952"/>
                                </a:lnTo>
                                <a:lnTo>
                                  <a:pt x="326555" y="49631"/>
                                </a:lnTo>
                                <a:lnTo>
                                  <a:pt x="332308" y="41122"/>
                                </a:lnTo>
                                <a:lnTo>
                                  <a:pt x="336245" y="38989"/>
                                </a:lnTo>
                                <a:lnTo>
                                  <a:pt x="342912" y="39039"/>
                                </a:lnTo>
                                <a:lnTo>
                                  <a:pt x="345554" y="39649"/>
                                </a:lnTo>
                                <a:lnTo>
                                  <a:pt x="347167" y="30911"/>
                                </a:lnTo>
                                <a:close/>
                              </a:path>
                              <a:path w="693420" h="94615">
                                <a:moveTo>
                                  <a:pt x="407555" y="31267"/>
                                </a:moveTo>
                                <a:lnTo>
                                  <a:pt x="397738" y="31267"/>
                                </a:lnTo>
                                <a:lnTo>
                                  <a:pt x="397738" y="72326"/>
                                </a:lnTo>
                                <a:lnTo>
                                  <a:pt x="396176" y="76949"/>
                                </a:lnTo>
                                <a:lnTo>
                                  <a:pt x="389991" y="84023"/>
                                </a:lnTo>
                                <a:lnTo>
                                  <a:pt x="386054" y="85788"/>
                                </a:lnTo>
                                <a:lnTo>
                                  <a:pt x="376313" y="85788"/>
                                </a:lnTo>
                                <a:lnTo>
                                  <a:pt x="372592" y="84175"/>
                                </a:lnTo>
                                <a:lnTo>
                                  <a:pt x="367626" y="77698"/>
                                </a:lnTo>
                                <a:lnTo>
                                  <a:pt x="366395" y="72847"/>
                                </a:lnTo>
                                <a:lnTo>
                                  <a:pt x="366395" y="31267"/>
                                </a:lnTo>
                                <a:lnTo>
                                  <a:pt x="356628" y="31267"/>
                                </a:lnTo>
                                <a:lnTo>
                                  <a:pt x="356628" y="76644"/>
                                </a:lnTo>
                                <a:lnTo>
                                  <a:pt x="358457" y="83172"/>
                                </a:lnTo>
                                <a:lnTo>
                                  <a:pt x="365760" y="91884"/>
                                </a:lnTo>
                                <a:lnTo>
                                  <a:pt x="371246" y="94068"/>
                                </a:lnTo>
                                <a:lnTo>
                                  <a:pt x="382828" y="94068"/>
                                </a:lnTo>
                                <a:lnTo>
                                  <a:pt x="386549" y="93129"/>
                                </a:lnTo>
                                <a:lnTo>
                                  <a:pt x="392861" y="89420"/>
                                </a:lnTo>
                                <a:lnTo>
                                  <a:pt x="395452" y="86626"/>
                                </a:lnTo>
                                <a:lnTo>
                                  <a:pt x="397497" y="82918"/>
                                </a:lnTo>
                                <a:lnTo>
                                  <a:pt x="397738" y="82918"/>
                                </a:lnTo>
                                <a:lnTo>
                                  <a:pt x="397738" y="92621"/>
                                </a:lnTo>
                                <a:lnTo>
                                  <a:pt x="407555" y="92621"/>
                                </a:lnTo>
                                <a:lnTo>
                                  <a:pt x="407555" y="31267"/>
                                </a:lnTo>
                                <a:close/>
                              </a:path>
                              <a:path w="693420" h="94615">
                                <a:moveTo>
                                  <a:pt x="472211" y="34683"/>
                                </a:moveTo>
                                <a:lnTo>
                                  <a:pt x="469290" y="32956"/>
                                </a:lnTo>
                                <a:lnTo>
                                  <a:pt x="466407" y="31724"/>
                                </a:lnTo>
                                <a:lnTo>
                                  <a:pt x="460705" y="30200"/>
                                </a:lnTo>
                                <a:lnTo>
                                  <a:pt x="457695" y="29819"/>
                                </a:lnTo>
                                <a:lnTo>
                                  <a:pt x="444792" y="29819"/>
                                </a:lnTo>
                                <a:lnTo>
                                  <a:pt x="423202" y="63258"/>
                                </a:lnTo>
                                <a:lnTo>
                                  <a:pt x="423202" y="73088"/>
                                </a:lnTo>
                                <a:lnTo>
                                  <a:pt x="425970" y="80683"/>
                                </a:lnTo>
                                <a:lnTo>
                                  <a:pt x="437032" y="91376"/>
                                </a:lnTo>
                                <a:lnTo>
                                  <a:pt x="444106" y="94056"/>
                                </a:lnTo>
                                <a:lnTo>
                                  <a:pt x="456095" y="94056"/>
                                </a:lnTo>
                                <a:lnTo>
                                  <a:pt x="464007" y="83210"/>
                                </a:lnTo>
                                <a:lnTo>
                                  <a:pt x="461860" y="84188"/>
                                </a:lnTo>
                                <a:lnTo>
                                  <a:pt x="457581" y="85420"/>
                                </a:lnTo>
                                <a:lnTo>
                                  <a:pt x="455523" y="85725"/>
                                </a:lnTo>
                                <a:lnTo>
                                  <a:pt x="447586" y="85725"/>
                                </a:lnTo>
                                <a:lnTo>
                                  <a:pt x="442696" y="83718"/>
                                </a:lnTo>
                                <a:lnTo>
                                  <a:pt x="435152" y="75641"/>
                                </a:lnTo>
                                <a:lnTo>
                                  <a:pt x="433260" y="69786"/>
                                </a:lnTo>
                                <a:lnTo>
                                  <a:pt x="433260" y="55168"/>
                                </a:lnTo>
                                <a:lnTo>
                                  <a:pt x="435063" y="49441"/>
                                </a:lnTo>
                                <a:lnTo>
                                  <a:pt x="442252" y="40411"/>
                                </a:lnTo>
                                <a:lnTo>
                                  <a:pt x="447421" y="38150"/>
                                </a:lnTo>
                                <a:lnTo>
                                  <a:pt x="456780" y="38150"/>
                                </a:lnTo>
                                <a:lnTo>
                                  <a:pt x="459168" y="38455"/>
                                </a:lnTo>
                                <a:lnTo>
                                  <a:pt x="463562" y="39649"/>
                                </a:lnTo>
                                <a:lnTo>
                                  <a:pt x="465797" y="40589"/>
                                </a:lnTo>
                                <a:lnTo>
                                  <a:pt x="468083" y="41871"/>
                                </a:lnTo>
                                <a:lnTo>
                                  <a:pt x="472211" y="34683"/>
                                </a:lnTo>
                                <a:close/>
                              </a:path>
                              <a:path w="693420" h="94615">
                                <a:moveTo>
                                  <a:pt x="528904" y="34683"/>
                                </a:moveTo>
                                <a:lnTo>
                                  <a:pt x="525983" y="32956"/>
                                </a:lnTo>
                                <a:lnTo>
                                  <a:pt x="523100" y="31724"/>
                                </a:lnTo>
                                <a:lnTo>
                                  <a:pt x="517385" y="30200"/>
                                </a:lnTo>
                                <a:lnTo>
                                  <a:pt x="514375" y="29819"/>
                                </a:lnTo>
                                <a:lnTo>
                                  <a:pt x="501484" y="29819"/>
                                </a:lnTo>
                                <a:lnTo>
                                  <a:pt x="479894" y="63258"/>
                                </a:lnTo>
                                <a:lnTo>
                                  <a:pt x="479894" y="73088"/>
                                </a:lnTo>
                                <a:lnTo>
                                  <a:pt x="482650" y="80683"/>
                                </a:lnTo>
                                <a:lnTo>
                                  <a:pt x="493712" y="91376"/>
                                </a:lnTo>
                                <a:lnTo>
                                  <a:pt x="500799" y="94056"/>
                                </a:lnTo>
                                <a:lnTo>
                                  <a:pt x="512787" y="94056"/>
                                </a:lnTo>
                                <a:lnTo>
                                  <a:pt x="520687" y="83210"/>
                                </a:lnTo>
                                <a:lnTo>
                                  <a:pt x="518541" y="84188"/>
                                </a:lnTo>
                                <a:lnTo>
                                  <a:pt x="514273" y="85420"/>
                                </a:lnTo>
                                <a:lnTo>
                                  <a:pt x="512229" y="85725"/>
                                </a:lnTo>
                                <a:lnTo>
                                  <a:pt x="504278" y="85725"/>
                                </a:lnTo>
                                <a:lnTo>
                                  <a:pt x="499389" y="83718"/>
                                </a:lnTo>
                                <a:lnTo>
                                  <a:pt x="491845" y="75641"/>
                                </a:lnTo>
                                <a:lnTo>
                                  <a:pt x="489953" y="69786"/>
                                </a:lnTo>
                                <a:lnTo>
                                  <a:pt x="489953" y="55168"/>
                                </a:lnTo>
                                <a:lnTo>
                                  <a:pt x="491756" y="49441"/>
                                </a:lnTo>
                                <a:lnTo>
                                  <a:pt x="498932" y="40411"/>
                                </a:lnTo>
                                <a:lnTo>
                                  <a:pt x="504126" y="38150"/>
                                </a:lnTo>
                                <a:lnTo>
                                  <a:pt x="513461" y="38150"/>
                                </a:lnTo>
                                <a:lnTo>
                                  <a:pt x="515861" y="38455"/>
                                </a:lnTo>
                                <a:lnTo>
                                  <a:pt x="520255" y="39649"/>
                                </a:lnTo>
                                <a:lnTo>
                                  <a:pt x="522490" y="40589"/>
                                </a:lnTo>
                                <a:lnTo>
                                  <a:pt x="524764" y="41871"/>
                                </a:lnTo>
                                <a:lnTo>
                                  <a:pt x="528904" y="34683"/>
                                </a:lnTo>
                                <a:close/>
                              </a:path>
                              <a:path w="693420" h="94615">
                                <a:moveTo>
                                  <a:pt x="550583" y="31267"/>
                                </a:moveTo>
                                <a:lnTo>
                                  <a:pt x="540766" y="31267"/>
                                </a:lnTo>
                                <a:lnTo>
                                  <a:pt x="540766" y="92621"/>
                                </a:lnTo>
                                <a:lnTo>
                                  <a:pt x="550583" y="92621"/>
                                </a:lnTo>
                                <a:lnTo>
                                  <a:pt x="550583" y="31267"/>
                                </a:lnTo>
                                <a:close/>
                              </a:path>
                              <a:path w="693420" h="94615">
                                <a:moveTo>
                                  <a:pt x="552869" y="7683"/>
                                </a:moveTo>
                                <a:lnTo>
                                  <a:pt x="552196" y="6032"/>
                                </a:lnTo>
                                <a:lnTo>
                                  <a:pt x="549478" y="3352"/>
                                </a:lnTo>
                                <a:lnTo>
                                  <a:pt x="547801" y="2692"/>
                                </a:lnTo>
                                <a:lnTo>
                                  <a:pt x="543801" y="2692"/>
                                </a:lnTo>
                                <a:lnTo>
                                  <a:pt x="542124" y="3352"/>
                                </a:lnTo>
                                <a:lnTo>
                                  <a:pt x="539407" y="6032"/>
                                </a:lnTo>
                                <a:lnTo>
                                  <a:pt x="538721" y="7683"/>
                                </a:lnTo>
                                <a:lnTo>
                                  <a:pt x="538721" y="11595"/>
                                </a:lnTo>
                                <a:lnTo>
                                  <a:pt x="539407" y="13246"/>
                                </a:lnTo>
                                <a:lnTo>
                                  <a:pt x="542124" y="15925"/>
                                </a:lnTo>
                                <a:lnTo>
                                  <a:pt x="543801" y="16586"/>
                                </a:lnTo>
                                <a:lnTo>
                                  <a:pt x="547801" y="16586"/>
                                </a:lnTo>
                                <a:lnTo>
                                  <a:pt x="549478" y="15925"/>
                                </a:lnTo>
                                <a:lnTo>
                                  <a:pt x="552196" y="13246"/>
                                </a:lnTo>
                                <a:lnTo>
                                  <a:pt x="552869" y="11595"/>
                                </a:lnTo>
                                <a:lnTo>
                                  <a:pt x="552869" y="7683"/>
                                </a:lnTo>
                                <a:close/>
                              </a:path>
                              <a:path w="693420" h="94615">
                                <a:moveTo>
                                  <a:pt x="612241" y="0"/>
                                </a:moveTo>
                                <a:lnTo>
                                  <a:pt x="602297" y="0"/>
                                </a:lnTo>
                                <a:lnTo>
                                  <a:pt x="588937" y="19646"/>
                                </a:lnTo>
                                <a:lnTo>
                                  <a:pt x="596544" y="19646"/>
                                </a:lnTo>
                                <a:lnTo>
                                  <a:pt x="612241" y="0"/>
                                </a:lnTo>
                                <a:close/>
                              </a:path>
                              <a:path w="693420" h="94615">
                                <a:moveTo>
                                  <a:pt x="626681" y="51765"/>
                                </a:moveTo>
                                <a:lnTo>
                                  <a:pt x="624116" y="43954"/>
                                </a:lnTo>
                                <a:lnTo>
                                  <a:pt x="618820" y="38100"/>
                                </a:lnTo>
                                <a:lnTo>
                                  <a:pt x="616610" y="35661"/>
                                </a:lnTo>
                                <a:lnTo>
                                  <a:pt x="616610" y="54368"/>
                                </a:lnTo>
                                <a:lnTo>
                                  <a:pt x="616610" y="69621"/>
                                </a:lnTo>
                                <a:lnTo>
                                  <a:pt x="614908" y="75463"/>
                                </a:lnTo>
                                <a:lnTo>
                                  <a:pt x="608076" y="83731"/>
                                </a:lnTo>
                                <a:lnTo>
                                  <a:pt x="603199" y="85788"/>
                                </a:lnTo>
                                <a:lnTo>
                                  <a:pt x="590613" y="85788"/>
                                </a:lnTo>
                                <a:lnTo>
                                  <a:pt x="585635" y="83705"/>
                                </a:lnTo>
                                <a:lnTo>
                                  <a:pt x="578205" y="75311"/>
                                </a:lnTo>
                                <a:lnTo>
                                  <a:pt x="576364" y="69621"/>
                                </a:lnTo>
                                <a:lnTo>
                                  <a:pt x="576351" y="54800"/>
                                </a:lnTo>
                                <a:lnTo>
                                  <a:pt x="578180" y="48882"/>
                                </a:lnTo>
                                <a:lnTo>
                                  <a:pt x="585546" y="40259"/>
                                </a:lnTo>
                                <a:lnTo>
                                  <a:pt x="590537" y="38100"/>
                                </a:lnTo>
                                <a:lnTo>
                                  <a:pt x="603161" y="38100"/>
                                </a:lnTo>
                                <a:lnTo>
                                  <a:pt x="608025" y="40170"/>
                                </a:lnTo>
                                <a:lnTo>
                                  <a:pt x="614908" y="48437"/>
                                </a:lnTo>
                                <a:lnTo>
                                  <a:pt x="616610" y="54368"/>
                                </a:lnTo>
                                <a:lnTo>
                                  <a:pt x="616610" y="35661"/>
                                </a:lnTo>
                                <a:lnTo>
                                  <a:pt x="613854" y="32613"/>
                                </a:lnTo>
                                <a:lnTo>
                                  <a:pt x="606704" y="29794"/>
                                </a:lnTo>
                                <a:lnTo>
                                  <a:pt x="587895" y="29883"/>
                                </a:lnTo>
                                <a:lnTo>
                                  <a:pt x="566280" y="62674"/>
                                </a:lnTo>
                                <a:lnTo>
                                  <a:pt x="566280" y="72136"/>
                                </a:lnTo>
                                <a:lnTo>
                                  <a:pt x="568998" y="79730"/>
                                </a:lnTo>
                                <a:lnTo>
                                  <a:pt x="579818" y="91198"/>
                                </a:lnTo>
                                <a:lnTo>
                                  <a:pt x="587057" y="94068"/>
                                </a:lnTo>
                                <a:lnTo>
                                  <a:pt x="605421" y="94068"/>
                                </a:lnTo>
                                <a:lnTo>
                                  <a:pt x="612851" y="91135"/>
                                </a:lnTo>
                                <a:lnTo>
                                  <a:pt x="617880" y="85788"/>
                                </a:lnTo>
                                <a:lnTo>
                                  <a:pt x="623912" y="79387"/>
                                </a:lnTo>
                                <a:lnTo>
                                  <a:pt x="626681" y="71539"/>
                                </a:lnTo>
                                <a:lnTo>
                                  <a:pt x="626681" y="51765"/>
                                </a:lnTo>
                                <a:close/>
                              </a:path>
                              <a:path w="693420" h="94615">
                                <a:moveTo>
                                  <a:pt x="693305" y="46926"/>
                                </a:moveTo>
                                <a:lnTo>
                                  <a:pt x="691527" y="40665"/>
                                </a:lnTo>
                                <a:lnTo>
                                  <a:pt x="684415" y="31991"/>
                                </a:lnTo>
                                <a:lnTo>
                                  <a:pt x="679284" y="29819"/>
                                </a:lnTo>
                                <a:lnTo>
                                  <a:pt x="668172" y="29819"/>
                                </a:lnTo>
                                <a:lnTo>
                                  <a:pt x="664311" y="30797"/>
                                </a:lnTo>
                                <a:lnTo>
                                  <a:pt x="657593" y="34671"/>
                                </a:lnTo>
                                <a:lnTo>
                                  <a:pt x="654761" y="37579"/>
                                </a:lnTo>
                                <a:lnTo>
                                  <a:pt x="652437" y="41452"/>
                                </a:lnTo>
                                <a:lnTo>
                                  <a:pt x="652208" y="41452"/>
                                </a:lnTo>
                                <a:lnTo>
                                  <a:pt x="652208" y="31267"/>
                                </a:lnTo>
                                <a:lnTo>
                                  <a:pt x="642378" y="31267"/>
                                </a:lnTo>
                                <a:lnTo>
                                  <a:pt x="642378" y="92621"/>
                                </a:lnTo>
                                <a:lnTo>
                                  <a:pt x="652208" y="92621"/>
                                </a:lnTo>
                                <a:lnTo>
                                  <a:pt x="652208" y="51993"/>
                                </a:lnTo>
                                <a:lnTo>
                                  <a:pt x="653808" y="47332"/>
                                </a:lnTo>
                                <a:lnTo>
                                  <a:pt x="660234" y="39941"/>
                                </a:lnTo>
                                <a:lnTo>
                                  <a:pt x="664311" y="38100"/>
                                </a:lnTo>
                                <a:lnTo>
                                  <a:pt x="673976" y="38100"/>
                                </a:lnTo>
                                <a:lnTo>
                                  <a:pt x="677532" y="39725"/>
                                </a:lnTo>
                                <a:lnTo>
                                  <a:pt x="682294" y="46240"/>
                                </a:lnTo>
                                <a:lnTo>
                                  <a:pt x="683488" y="51117"/>
                                </a:lnTo>
                                <a:lnTo>
                                  <a:pt x="683488" y="92621"/>
                                </a:lnTo>
                                <a:lnTo>
                                  <a:pt x="693305" y="92621"/>
                                </a:lnTo>
                                <a:lnTo>
                                  <a:pt x="693305" y="46926"/>
                                </a:lnTo>
                                <a:close/>
                              </a:path>
                            </a:pathLst>
                          </a:custGeom>
                          <a:solidFill>
                            <a:srgbClr val="231F20"/>
                          </a:solidFill>
                        </wps:spPr>
                        <wps:bodyPr wrap="square" lIns="0" tIns="0" rIns="0" bIns="0" rtlCol="0">
                          <a:prstTxWarp prst="textNoShape">
                            <a:avLst/>
                          </a:prstTxWarp>
                          <a:noAutofit/>
                        </wps:bodyPr>
                      </wps:wsp>
                      <pic:pic>
                        <pic:nvPicPr>
                          <pic:cNvPr id="194" name="Image 194"/>
                          <pic:cNvPicPr/>
                        </pic:nvPicPr>
                        <pic:blipFill>
                          <a:blip r:embed="rId59" cstate="print"/>
                          <a:stretch>
                            <a:fillRect/>
                          </a:stretch>
                        </pic:blipFill>
                        <pic:spPr>
                          <a:xfrm>
                            <a:off x="2462974" y="5078148"/>
                            <a:ext cx="632183" cy="89340"/>
                          </a:xfrm>
                          <a:prstGeom prst="rect">
                            <a:avLst/>
                          </a:prstGeom>
                        </pic:spPr>
                      </pic:pic>
                      <wps:wsp>
                        <wps:cNvPr id="195" name="Graphic 195"/>
                        <wps:cNvSpPr/>
                        <wps:spPr>
                          <a:xfrm>
                            <a:off x="292214" y="5080075"/>
                            <a:ext cx="565785" cy="114300"/>
                          </a:xfrm>
                          <a:custGeom>
                            <a:avLst/>
                            <a:gdLst/>
                            <a:ahLst/>
                            <a:cxnLst/>
                            <a:rect l="l" t="t" r="r" b="b"/>
                            <a:pathLst>
                              <a:path w="565785" h="114300">
                                <a:moveTo>
                                  <a:pt x="59626" y="0"/>
                                </a:moveTo>
                                <a:lnTo>
                                  <a:pt x="0" y="0"/>
                                </a:lnTo>
                                <a:lnTo>
                                  <a:pt x="0" y="9105"/>
                                </a:lnTo>
                                <a:lnTo>
                                  <a:pt x="24752" y="9105"/>
                                </a:lnTo>
                                <a:lnTo>
                                  <a:pt x="24752" y="85915"/>
                                </a:lnTo>
                                <a:lnTo>
                                  <a:pt x="34810" y="85915"/>
                                </a:lnTo>
                                <a:lnTo>
                                  <a:pt x="34810" y="9105"/>
                                </a:lnTo>
                                <a:lnTo>
                                  <a:pt x="59626" y="9105"/>
                                </a:lnTo>
                                <a:lnTo>
                                  <a:pt x="59626" y="0"/>
                                </a:lnTo>
                                <a:close/>
                              </a:path>
                              <a:path w="565785" h="114300">
                                <a:moveTo>
                                  <a:pt x="93116" y="24218"/>
                                </a:moveTo>
                                <a:lnTo>
                                  <a:pt x="92430" y="23977"/>
                                </a:lnTo>
                                <a:lnTo>
                                  <a:pt x="89954" y="23545"/>
                                </a:lnTo>
                                <a:lnTo>
                                  <a:pt x="83908" y="23495"/>
                                </a:lnTo>
                                <a:lnTo>
                                  <a:pt x="80594" y="24625"/>
                                </a:lnTo>
                                <a:lnTo>
                                  <a:pt x="74841" y="29133"/>
                                </a:lnTo>
                                <a:lnTo>
                                  <a:pt x="72707" y="32423"/>
                                </a:lnTo>
                                <a:lnTo>
                                  <a:pt x="71310" y="36741"/>
                                </a:lnTo>
                                <a:lnTo>
                                  <a:pt x="71069" y="36741"/>
                                </a:lnTo>
                                <a:lnTo>
                                  <a:pt x="71069" y="24574"/>
                                </a:lnTo>
                                <a:lnTo>
                                  <a:pt x="61239" y="24574"/>
                                </a:lnTo>
                                <a:lnTo>
                                  <a:pt x="61239" y="85928"/>
                                </a:lnTo>
                                <a:lnTo>
                                  <a:pt x="71069" y="85928"/>
                                </a:lnTo>
                                <a:lnTo>
                                  <a:pt x="71069" y="48260"/>
                                </a:lnTo>
                                <a:lnTo>
                                  <a:pt x="72504" y="42938"/>
                                </a:lnTo>
                                <a:lnTo>
                                  <a:pt x="78257" y="34429"/>
                                </a:lnTo>
                                <a:lnTo>
                                  <a:pt x="82194" y="32296"/>
                                </a:lnTo>
                                <a:lnTo>
                                  <a:pt x="88861" y="32346"/>
                                </a:lnTo>
                                <a:lnTo>
                                  <a:pt x="91503" y="32956"/>
                                </a:lnTo>
                                <a:lnTo>
                                  <a:pt x="93116" y="24218"/>
                                </a:lnTo>
                                <a:close/>
                              </a:path>
                              <a:path w="565785" h="114300">
                                <a:moveTo>
                                  <a:pt x="147345" y="38392"/>
                                </a:moveTo>
                                <a:lnTo>
                                  <a:pt x="145465" y="32664"/>
                                </a:lnTo>
                                <a:lnTo>
                                  <a:pt x="144233" y="31407"/>
                                </a:lnTo>
                                <a:lnTo>
                                  <a:pt x="137960" y="25044"/>
                                </a:lnTo>
                                <a:lnTo>
                                  <a:pt x="132359" y="23126"/>
                                </a:lnTo>
                                <a:lnTo>
                                  <a:pt x="120180" y="23126"/>
                                </a:lnTo>
                                <a:lnTo>
                                  <a:pt x="115862" y="23914"/>
                                </a:lnTo>
                                <a:lnTo>
                                  <a:pt x="108115" y="27025"/>
                                </a:lnTo>
                                <a:lnTo>
                                  <a:pt x="104470" y="29464"/>
                                </a:lnTo>
                                <a:lnTo>
                                  <a:pt x="101028" y="32778"/>
                                </a:lnTo>
                                <a:lnTo>
                                  <a:pt x="106781" y="38709"/>
                                </a:lnTo>
                                <a:lnTo>
                                  <a:pt x="109385" y="36233"/>
                                </a:lnTo>
                                <a:lnTo>
                                  <a:pt x="112153" y="34404"/>
                                </a:lnTo>
                                <a:lnTo>
                                  <a:pt x="118059" y="32004"/>
                                </a:lnTo>
                                <a:lnTo>
                                  <a:pt x="121145" y="31407"/>
                                </a:lnTo>
                                <a:lnTo>
                                  <a:pt x="128333" y="31407"/>
                                </a:lnTo>
                                <a:lnTo>
                                  <a:pt x="131521" y="32486"/>
                                </a:lnTo>
                                <a:lnTo>
                                  <a:pt x="136321" y="36842"/>
                                </a:lnTo>
                                <a:lnTo>
                                  <a:pt x="137515" y="40513"/>
                                </a:lnTo>
                                <a:lnTo>
                                  <a:pt x="137515" y="47040"/>
                                </a:lnTo>
                                <a:lnTo>
                                  <a:pt x="137515" y="54889"/>
                                </a:lnTo>
                                <a:lnTo>
                                  <a:pt x="137515" y="66319"/>
                                </a:lnTo>
                                <a:lnTo>
                                  <a:pt x="135953" y="70713"/>
                                </a:lnTo>
                                <a:lnTo>
                                  <a:pt x="129679" y="77660"/>
                                </a:lnTo>
                                <a:lnTo>
                                  <a:pt x="125450" y="79400"/>
                                </a:lnTo>
                                <a:lnTo>
                                  <a:pt x="117055" y="79400"/>
                                </a:lnTo>
                                <a:lnTo>
                                  <a:pt x="114452" y="78422"/>
                                </a:lnTo>
                                <a:lnTo>
                                  <a:pt x="110172" y="74523"/>
                                </a:lnTo>
                                <a:lnTo>
                                  <a:pt x="109118" y="71755"/>
                                </a:lnTo>
                                <a:lnTo>
                                  <a:pt x="109118" y="64554"/>
                                </a:lnTo>
                                <a:lnTo>
                                  <a:pt x="110261" y="61988"/>
                                </a:lnTo>
                                <a:lnTo>
                                  <a:pt x="114808" y="58712"/>
                                </a:lnTo>
                                <a:lnTo>
                                  <a:pt x="118198" y="57569"/>
                                </a:lnTo>
                                <a:lnTo>
                                  <a:pt x="137515" y="54889"/>
                                </a:lnTo>
                                <a:lnTo>
                                  <a:pt x="137515" y="47040"/>
                                </a:lnTo>
                                <a:lnTo>
                                  <a:pt x="101142" y="59410"/>
                                </a:lnTo>
                                <a:lnTo>
                                  <a:pt x="99352" y="63741"/>
                                </a:lnTo>
                                <a:lnTo>
                                  <a:pt x="99364" y="74549"/>
                                </a:lnTo>
                                <a:lnTo>
                                  <a:pt x="101130" y="78981"/>
                                </a:lnTo>
                                <a:lnTo>
                                  <a:pt x="108229" y="85686"/>
                                </a:lnTo>
                                <a:lnTo>
                                  <a:pt x="112890" y="87376"/>
                                </a:lnTo>
                                <a:lnTo>
                                  <a:pt x="122745" y="87376"/>
                                </a:lnTo>
                                <a:lnTo>
                                  <a:pt x="137274" y="76339"/>
                                </a:lnTo>
                                <a:lnTo>
                                  <a:pt x="137515" y="76339"/>
                                </a:lnTo>
                                <a:lnTo>
                                  <a:pt x="137515" y="85928"/>
                                </a:lnTo>
                                <a:lnTo>
                                  <a:pt x="147345" y="85928"/>
                                </a:lnTo>
                                <a:lnTo>
                                  <a:pt x="147345" y="76339"/>
                                </a:lnTo>
                                <a:lnTo>
                                  <a:pt x="147345" y="54889"/>
                                </a:lnTo>
                                <a:lnTo>
                                  <a:pt x="147345" y="38392"/>
                                </a:lnTo>
                                <a:close/>
                              </a:path>
                              <a:path w="565785" h="114300">
                                <a:moveTo>
                                  <a:pt x="217271" y="40233"/>
                                </a:moveTo>
                                <a:lnTo>
                                  <a:pt x="215493" y="33972"/>
                                </a:lnTo>
                                <a:lnTo>
                                  <a:pt x="208381" y="25298"/>
                                </a:lnTo>
                                <a:lnTo>
                                  <a:pt x="203250" y="23126"/>
                                </a:lnTo>
                                <a:lnTo>
                                  <a:pt x="192138" y="23126"/>
                                </a:lnTo>
                                <a:lnTo>
                                  <a:pt x="188264" y="24104"/>
                                </a:lnTo>
                                <a:lnTo>
                                  <a:pt x="181559" y="27978"/>
                                </a:lnTo>
                                <a:lnTo>
                                  <a:pt x="178727" y="30886"/>
                                </a:lnTo>
                                <a:lnTo>
                                  <a:pt x="176403" y="34759"/>
                                </a:lnTo>
                                <a:lnTo>
                                  <a:pt x="176174" y="34759"/>
                                </a:lnTo>
                                <a:lnTo>
                                  <a:pt x="176174" y="24574"/>
                                </a:lnTo>
                                <a:lnTo>
                                  <a:pt x="166344" y="24574"/>
                                </a:lnTo>
                                <a:lnTo>
                                  <a:pt x="166344" y="85928"/>
                                </a:lnTo>
                                <a:lnTo>
                                  <a:pt x="176174" y="85928"/>
                                </a:lnTo>
                                <a:lnTo>
                                  <a:pt x="176174" y="45300"/>
                                </a:lnTo>
                                <a:lnTo>
                                  <a:pt x="177774" y="40640"/>
                                </a:lnTo>
                                <a:lnTo>
                                  <a:pt x="184200" y="33248"/>
                                </a:lnTo>
                                <a:lnTo>
                                  <a:pt x="188264" y="31407"/>
                                </a:lnTo>
                                <a:lnTo>
                                  <a:pt x="197942" y="31407"/>
                                </a:lnTo>
                                <a:lnTo>
                                  <a:pt x="201498" y="33032"/>
                                </a:lnTo>
                                <a:lnTo>
                                  <a:pt x="206260" y="39547"/>
                                </a:lnTo>
                                <a:lnTo>
                                  <a:pt x="207454" y="44424"/>
                                </a:lnTo>
                                <a:lnTo>
                                  <a:pt x="207454" y="85928"/>
                                </a:lnTo>
                                <a:lnTo>
                                  <a:pt x="217271" y="85928"/>
                                </a:lnTo>
                                <a:lnTo>
                                  <a:pt x="217271" y="40233"/>
                                </a:lnTo>
                                <a:close/>
                              </a:path>
                              <a:path w="565785" h="114300">
                                <a:moveTo>
                                  <a:pt x="272986" y="64096"/>
                                </a:moveTo>
                                <a:lnTo>
                                  <a:pt x="271437" y="60159"/>
                                </a:lnTo>
                                <a:lnTo>
                                  <a:pt x="265239" y="54114"/>
                                </a:lnTo>
                                <a:lnTo>
                                  <a:pt x="260591" y="51777"/>
                                </a:lnTo>
                                <a:lnTo>
                                  <a:pt x="249605" y="48856"/>
                                </a:lnTo>
                                <a:lnTo>
                                  <a:pt x="246164" y="47536"/>
                                </a:lnTo>
                                <a:lnTo>
                                  <a:pt x="241884" y="44742"/>
                                </a:lnTo>
                                <a:lnTo>
                                  <a:pt x="240817" y="42672"/>
                                </a:lnTo>
                                <a:lnTo>
                                  <a:pt x="240817" y="37160"/>
                                </a:lnTo>
                                <a:lnTo>
                                  <a:pt x="241846" y="35052"/>
                                </a:lnTo>
                                <a:lnTo>
                                  <a:pt x="245999" y="32131"/>
                                </a:lnTo>
                                <a:lnTo>
                                  <a:pt x="249021" y="31407"/>
                                </a:lnTo>
                                <a:lnTo>
                                  <a:pt x="255257" y="31407"/>
                                </a:lnTo>
                                <a:lnTo>
                                  <a:pt x="257505" y="31762"/>
                                </a:lnTo>
                                <a:lnTo>
                                  <a:pt x="261937" y="33147"/>
                                </a:lnTo>
                                <a:lnTo>
                                  <a:pt x="264439" y="34378"/>
                                </a:lnTo>
                                <a:lnTo>
                                  <a:pt x="267233" y="36131"/>
                                </a:lnTo>
                                <a:lnTo>
                                  <a:pt x="271614" y="28702"/>
                                </a:lnTo>
                                <a:lnTo>
                                  <a:pt x="268541" y="26670"/>
                                </a:lnTo>
                                <a:lnTo>
                                  <a:pt x="265518" y="25234"/>
                                </a:lnTo>
                                <a:lnTo>
                                  <a:pt x="259613" y="23545"/>
                                </a:lnTo>
                                <a:lnTo>
                                  <a:pt x="256489" y="23126"/>
                                </a:lnTo>
                                <a:lnTo>
                                  <a:pt x="246430" y="23126"/>
                                </a:lnTo>
                                <a:lnTo>
                                  <a:pt x="241134" y="24828"/>
                                </a:lnTo>
                                <a:lnTo>
                                  <a:pt x="233540" y="31572"/>
                                </a:lnTo>
                                <a:lnTo>
                                  <a:pt x="231648" y="35775"/>
                                </a:lnTo>
                                <a:lnTo>
                                  <a:pt x="231648" y="45161"/>
                                </a:lnTo>
                                <a:lnTo>
                                  <a:pt x="233070" y="48831"/>
                                </a:lnTo>
                                <a:lnTo>
                                  <a:pt x="238734" y="54775"/>
                                </a:lnTo>
                                <a:lnTo>
                                  <a:pt x="243992" y="57251"/>
                                </a:lnTo>
                                <a:lnTo>
                                  <a:pt x="255778" y="60236"/>
                                </a:lnTo>
                                <a:lnTo>
                                  <a:pt x="258800" y="61633"/>
                                </a:lnTo>
                                <a:lnTo>
                                  <a:pt x="262674" y="65112"/>
                                </a:lnTo>
                                <a:lnTo>
                                  <a:pt x="263639" y="67233"/>
                                </a:lnTo>
                                <a:lnTo>
                                  <a:pt x="263639" y="72859"/>
                                </a:lnTo>
                                <a:lnTo>
                                  <a:pt x="262559" y="75209"/>
                                </a:lnTo>
                                <a:lnTo>
                                  <a:pt x="258203" y="78320"/>
                                </a:lnTo>
                                <a:lnTo>
                                  <a:pt x="255016" y="79095"/>
                                </a:lnTo>
                                <a:lnTo>
                                  <a:pt x="247865" y="79095"/>
                                </a:lnTo>
                                <a:lnTo>
                                  <a:pt x="245110" y="78651"/>
                                </a:lnTo>
                                <a:lnTo>
                                  <a:pt x="239991" y="76860"/>
                                </a:lnTo>
                                <a:lnTo>
                                  <a:pt x="237375" y="75526"/>
                                </a:lnTo>
                                <a:lnTo>
                                  <a:pt x="234708" y="73761"/>
                                </a:lnTo>
                                <a:lnTo>
                                  <a:pt x="230035" y="81318"/>
                                </a:lnTo>
                                <a:lnTo>
                                  <a:pt x="232981" y="83273"/>
                                </a:lnTo>
                                <a:lnTo>
                                  <a:pt x="236194" y="84772"/>
                                </a:lnTo>
                                <a:lnTo>
                                  <a:pt x="243103" y="86855"/>
                                </a:lnTo>
                                <a:lnTo>
                                  <a:pt x="246697" y="87376"/>
                                </a:lnTo>
                                <a:lnTo>
                                  <a:pt x="257454" y="87376"/>
                                </a:lnTo>
                                <a:lnTo>
                                  <a:pt x="262953" y="85725"/>
                                </a:lnTo>
                                <a:lnTo>
                                  <a:pt x="270992" y="79121"/>
                                </a:lnTo>
                                <a:lnTo>
                                  <a:pt x="272986" y="74650"/>
                                </a:lnTo>
                                <a:lnTo>
                                  <a:pt x="272986" y="64096"/>
                                </a:lnTo>
                                <a:close/>
                              </a:path>
                              <a:path w="565785" h="114300">
                                <a:moveTo>
                                  <a:pt x="344297" y="44221"/>
                                </a:moveTo>
                                <a:lnTo>
                                  <a:pt x="342087" y="36855"/>
                                </a:lnTo>
                                <a:lnTo>
                                  <a:pt x="337667" y="31407"/>
                                </a:lnTo>
                                <a:lnTo>
                                  <a:pt x="334225" y="27152"/>
                                </a:lnTo>
                                <a:lnTo>
                                  <a:pt x="334225" y="61379"/>
                                </a:lnTo>
                                <a:lnTo>
                                  <a:pt x="332536" y="67716"/>
                                </a:lnTo>
                                <a:lnTo>
                                  <a:pt x="325793" y="76822"/>
                                </a:lnTo>
                                <a:lnTo>
                                  <a:pt x="321132" y="79095"/>
                                </a:lnTo>
                                <a:lnTo>
                                  <a:pt x="310108" y="79095"/>
                                </a:lnTo>
                                <a:lnTo>
                                  <a:pt x="305917" y="77330"/>
                                </a:lnTo>
                                <a:lnTo>
                                  <a:pt x="305676" y="77063"/>
                                </a:lnTo>
                                <a:lnTo>
                                  <a:pt x="299326" y="70256"/>
                                </a:lnTo>
                                <a:lnTo>
                                  <a:pt x="297675" y="65963"/>
                                </a:lnTo>
                                <a:lnTo>
                                  <a:pt x="297675" y="46329"/>
                                </a:lnTo>
                                <a:lnTo>
                                  <a:pt x="299415" y="41338"/>
                                </a:lnTo>
                                <a:lnTo>
                                  <a:pt x="304647" y="35356"/>
                                </a:lnTo>
                                <a:lnTo>
                                  <a:pt x="306374" y="33388"/>
                                </a:lnTo>
                                <a:lnTo>
                                  <a:pt x="310959" y="31407"/>
                                </a:lnTo>
                                <a:lnTo>
                                  <a:pt x="322072" y="31407"/>
                                </a:lnTo>
                                <a:lnTo>
                                  <a:pt x="326339" y="33350"/>
                                </a:lnTo>
                                <a:lnTo>
                                  <a:pt x="332651" y="41097"/>
                                </a:lnTo>
                                <a:lnTo>
                                  <a:pt x="334187" y="46329"/>
                                </a:lnTo>
                                <a:lnTo>
                                  <a:pt x="334225" y="61379"/>
                                </a:lnTo>
                                <a:lnTo>
                                  <a:pt x="334225" y="27152"/>
                                </a:lnTo>
                                <a:lnTo>
                                  <a:pt x="333209" y="25882"/>
                                </a:lnTo>
                                <a:lnTo>
                                  <a:pt x="327037" y="23126"/>
                                </a:lnTo>
                                <a:lnTo>
                                  <a:pt x="314502" y="23126"/>
                                </a:lnTo>
                                <a:lnTo>
                                  <a:pt x="310413" y="24155"/>
                                </a:lnTo>
                                <a:lnTo>
                                  <a:pt x="303339" y="28232"/>
                                </a:lnTo>
                                <a:lnTo>
                                  <a:pt x="300355" y="31280"/>
                                </a:lnTo>
                                <a:lnTo>
                                  <a:pt x="297916" y="35356"/>
                                </a:lnTo>
                                <a:lnTo>
                                  <a:pt x="297675" y="35356"/>
                                </a:lnTo>
                                <a:lnTo>
                                  <a:pt x="297675" y="24574"/>
                                </a:lnTo>
                                <a:lnTo>
                                  <a:pt x="287858" y="24574"/>
                                </a:lnTo>
                                <a:lnTo>
                                  <a:pt x="287858" y="114147"/>
                                </a:lnTo>
                                <a:lnTo>
                                  <a:pt x="297675" y="114147"/>
                                </a:lnTo>
                                <a:lnTo>
                                  <a:pt x="297675" y="77063"/>
                                </a:lnTo>
                                <a:lnTo>
                                  <a:pt x="297916" y="77063"/>
                                </a:lnTo>
                                <a:lnTo>
                                  <a:pt x="300075" y="80492"/>
                                </a:lnTo>
                                <a:lnTo>
                                  <a:pt x="302691" y="83070"/>
                                </a:lnTo>
                                <a:lnTo>
                                  <a:pt x="308851" y="86512"/>
                                </a:lnTo>
                                <a:lnTo>
                                  <a:pt x="312356" y="87376"/>
                                </a:lnTo>
                                <a:lnTo>
                                  <a:pt x="324980" y="87376"/>
                                </a:lnTo>
                                <a:lnTo>
                                  <a:pt x="344297" y="53454"/>
                                </a:lnTo>
                                <a:lnTo>
                                  <a:pt x="344297" y="44221"/>
                                </a:lnTo>
                                <a:close/>
                              </a:path>
                              <a:path w="565785" h="114300">
                                <a:moveTo>
                                  <a:pt x="416204" y="45059"/>
                                </a:moveTo>
                                <a:lnTo>
                                  <a:pt x="413626" y="37249"/>
                                </a:lnTo>
                                <a:lnTo>
                                  <a:pt x="408330" y="31394"/>
                                </a:lnTo>
                                <a:lnTo>
                                  <a:pt x="406133" y="28968"/>
                                </a:lnTo>
                                <a:lnTo>
                                  <a:pt x="406133" y="47663"/>
                                </a:lnTo>
                                <a:lnTo>
                                  <a:pt x="406133" y="62915"/>
                                </a:lnTo>
                                <a:lnTo>
                                  <a:pt x="404418" y="68757"/>
                                </a:lnTo>
                                <a:lnTo>
                                  <a:pt x="397586" y="77025"/>
                                </a:lnTo>
                                <a:lnTo>
                                  <a:pt x="392709" y="79082"/>
                                </a:lnTo>
                                <a:lnTo>
                                  <a:pt x="380123" y="79082"/>
                                </a:lnTo>
                                <a:lnTo>
                                  <a:pt x="375158" y="77000"/>
                                </a:lnTo>
                                <a:lnTo>
                                  <a:pt x="367715" y="68605"/>
                                </a:lnTo>
                                <a:lnTo>
                                  <a:pt x="365874" y="62915"/>
                                </a:lnTo>
                                <a:lnTo>
                                  <a:pt x="365861" y="48094"/>
                                </a:lnTo>
                                <a:lnTo>
                                  <a:pt x="367703" y="42176"/>
                                </a:lnTo>
                                <a:lnTo>
                                  <a:pt x="375056" y="33553"/>
                                </a:lnTo>
                                <a:lnTo>
                                  <a:pt x="380047" y="31394"/>
                                </a:lnTo>
                                <a:lnTo>
                                  <a:pt x="392671" y="31394"/>
                                </a:lnTo>
                                <a:lnTo>
                                  <a:pt x="397535" y="33464"/>
                                </a:lnTo>
                                <a:lnTo>
                                  <a:pt x="404418" y="41732"/>
                                </a:lnTo>
                                <a:lnTo>
                                  <a:pt x="406133" y="47663"/>
                                </a:lnTo>
                                <a:lnTo>
                                  <a:pt x="406133" y="28968"/>
                                </a:lnTo>
                                <a:lnTo>
                                  <a:pt x="403364" y="25908"/>
                                </a:lnTo>
                                <a:lnTo>
                                  <a:pt x="396214" y="23088"/>
                                </a:lnTo>
                                <a:lnTo>
                                  <a:pt x="377405" y="23177"/>
                                </a:lnTo>
                                <a:lnTo>
                                  <a:pt x="355803" y="55968"/>
                                </a:lnTo>
                                <a:lnTo>
                                  <a:pt x="355803" y="65430"/>
                                </a:lnTo>
                                <a:lnTo>
                                  <a:pt x="358508" y="73025"/>
                                </a:lnTo>
                                <a:lnTo>
                                  <a:pt x="369328" y="84493"/>
                                </a:lnTo>
                                <a:lnTo>
                                  <a:pt x="376567" y="87363"/>
                                </a:lnTo>
                                <a:lnTo>
                                  <a:pt x="394944" y="87363"/>
                                </a:lnTo>
                                <a:lnTo>
                                  <a:pt x="402361" y="84429"/>
                                </a:lnTo>
                                <a:lnTo>
                                  <a:pt x="407403" y="79082"/>
                                </a:lnTo>
                                <a:lnTo>
                                  <a:pt x="413435" y="72682"/>
                                </a:lnTo>
                                <a:lnTo>
                                  <a:pt x="416204" y="64833"/>
                                </a:lnTo>
                                <a:lnTo>
                                  <a:pt x="416204" y="45059"/>
                                </a:lnTo>
                                <a:close/>
                              </a:path>
                              <a:path w="565785" h="114300">
                                <a:moveTo>
                                  <a:pt x="463765" y="24218"/>
                                </a:moveTo>
                                <a:lnTo>
                                  <a:pt x="463080" y="23977"/>
                                </a:lnTo>
                                <a:lnTo>
                                  <a:pt x="460603" y="23545"/>
                                </a:lnTo>
                                <a:lnTo>
                                  <a:pt x="454558" y="23495"/>
                                </a:lnTo>
                                <a:lnTo>
                                  <a:pt x="451243" y="24625"/>
                                </a:lnTo>
                                <a:lnTo>
                                  <a:pt x="445490" y="29133"/>
                                </a:lnTo>
                                <a:lnTo>
                                  <a:pt x="443357" y="32423"/>
                                </a:lnTo>
                                <a:lnTo>
                                  <a:pt x="441960" y="36741"/>
                                </a:lnTo>
                                <a:lnTo>
                                  <a:pt x="441718" y="36741"/>
                                </a:lnTo>
                                <a:lnTo>
                                  <a:pt x="441718" y="24574"/>
                                </a:lnTo>
                                <a:lnTo>
                                  <a:pt x="431888" y="24574"/>
                                </a:lnTo>
                                <a:lnTo>
                                  <a:pt x="431888" y="85928"/>
                                </a:lnTo>
                                <a:lnTo>
                                  <a:pt x="441718" y="85928"/>
                                </a:lnTo>
                                <a:lnTo>
                                  <a:pt x="441718" y="48260"/>
                                </a:lnTo>
                                <a:lnTo>
                                  <a:pt x="443153" y="42938"/>
                                </a:lnTo>
                                <a:lnTo>
                                  <a:pt x="448906" y="34429"/>
                                </a:lnTo>
                                <a:lnTo>
                                  <a:pt x="452843" y="32296"/>
                                </a:lnTo>
                                <a:lnTo>
                                  <a:pt x="459511" y="32346"/>
                                </a:lnTo>
                                <a:lnTo>
                                  <a:pt x="462153" y="32956"/>
                                </a:lnTo>
                                <a:lnTo>
                                  <a:pt x="463765" y="24218"/>
                                </a:lnTo>
                                <a:close/>
                              </a:path>
                              <a:path w="565785" h="114300">
                                <a:moveTo>
                                  <a:pt x="503796" y="85204"/>
                                </a:moveTo>
                                <a:lnTo>
                                  <a:pt x="501408" y="77724"/>
                                </a:lnTo>
                                <a:lnTo>
                                  <a:pt x="499706" y="78397"/>
                                </a:lnTo>
                                <a:lnTo>
                                  <a:pt x="496316" y="79095"/>
                                </a:lnTo>
                                <a:lnTo>
                                  <a:pt x="492594" y="79095"/>
                                </a:lnTo>
                                <a:lnTo>
                                  <a:pt x="490702" y="78320"/>
                                </a:lnTo>
                                <a:lnTo>
                                  <a:pt x="488188" y="75196"/>
                                </a:lnTo>
                                <a:lnTo>
                                  <a:pt x="487565" y="72669"/>
                                </a:lnTo>
                                <a:lnTo>
                                  <a:pt x="487565" y="32956"/>
                                </a:lnTo>
                                <a:lnTo>
                                  <a:pt x="503021" y="32956"/>
                                </a:lnTo>
                                <a:lnTo>
                                  <a:pt x="503021" y="24574"/>
                                </a:lnTo>
                                <a:lnTo>
                                  <a:pt x="487565" y="24574"/>
                                </a:lnTo>
                                <a:lnTo>
                                  <a:pt x="487565" y="6413"/>
                                </a:lnTo>
                                <a:lnTo>
                                  <a:pt x="477735" y="9588"/>
                                </a:lnTo>
                                <a:lnTo>
                                  <a:pt x="477735" y="24574"/>
                                </a:lnTo>
                                <a:lnTo>
                                  <a:pt x="467194" y="24574"/>
                                </a:lnTo>
                                <a:lnTo>
                                  <a:pt x="467194" y="32956"/>
                                </a:lnTo>
                                <a:lnTo>
                                  <a:pt x="477735" y="32956"/>
                                </a:lnTo>
                                <a:lnTo>
                                  <a:pt x="477735" y="75882"/>
                                </a:lnTo>
                                <a:lnTo>
                                  <a:pt x="479132" y="80098"/>
                                </a:lnTo>
                                <a:lnTo>
                                  <a:pt x="484682" y="85813"/>
                                </a:lnTo>
                                <a:lnTo>
                                  <a:pt x="488492" y="87236"/>
                                </a:lnTo>
                                <a:lnTo>
                                  <a:pt x="495414" y="87236"/>
                                </a:lnTo>
                                <a:lnTo>
                                  <a:pt x="497243" y="87071"/>
                                </a:lnTo>
                                <a:lnTo>
                                  <a:pt x="500481" y="86398"/>
                                </a:lnTo>
                                <a:lnTo>
                                  <a:pt x="503796" y="85204"/>
                                </a:lnTo>
                                <a:close/>
                              </a:path>
                              <a:path w="565785" h="114300">
                                <a:moveTo>
                                  <a:pt x="565454" y="43383"/>
                                </a:moveTo>
                                <a:lnTo>
                                  <a:pt x="563245" y="36169"/>
                                </a:lnTo>
                                <a:lnTo>
                                  <a:pt x="559206" y="31407"/>
                                </a:lnTo>
                                <a:lnTo>
                                  <a:pt x="555396" y="26911"/>
                                </a:lnTo>
                                <a:lnTo>
                                  <a:pt x="555396" y="49441"/>
                                </a:lnTo>
                                <a:lnTo>
                                  <a:pt x="522198" y="49441"/>
                                </a:lnTo>
                                <a:lnTo>
                                  <a:pt x="555396" y="49441"/>
                                </a:lnTo>
                                <a:lnTo>
                                  <a:pt x="555396" y="26911"/>
                                </a:lnTo>
                                <a:lnTo>
                                  <a:pt x="554418" y="25742"/>
                                </a:lnTo>
                                <a:lnTo>
                                  <a:pt x="548220" y="23126"/>
                                </a:lnTo>
                                <a:lnTo>
                                  <a:pt x="531850" y="23126"/>
                                </a:lnTo>
                                <a:lnTo>
                                  <a:pt x="525018" y="26149"/>
                                </a:lnTo>
                                <a:lnTo>
                                  <a:pt x="514515" y="38214"/>
                                </a:lnTo>
                                <a:lnTo>
                                  <a:pt x="511911" y="46164"/>
                                </a:lnTo>
                                <a:lnTo>
                                  <a:pt x="512000" y="65900"/>
                                </a:lnTo>
                                <a:lnTo>
                                  <a:pt x="514604" y="73583"/>
                                </a:lnTo>
                                <a:lnTo>
                                  <a:pt x="524992" y="84607"/>
                                </a:lnTo>
                                <a:lnTo>
                                  <a:pt x="532231" y="87363"/>
                                </a:lnTo>
                                <a:lnTo>
                                  <a:pt x="545642" y="87363"/>
                                </a:lnTo>
                                <a:lnTo>
                                  <a:pt x="549465" y="86855"/>
                                </a:lnTo>
                                <a:lnTo>
                                  <a:pt x="556412" y="84772"/>
                                </a:lnTo>
                                <a:lnTo>
                                  <a:pt x="559892" y="83134"/>
                                </a:lnTo>
                                <a:lnTo>
                                  <a:pt x="563359" y="80886"/>
                                </a:lnTo>
                                <a:lnTo>
                                  <a:pt x="562152" y="79032"/>
                                </a:lnTo>
                                <a:lnTo>
                                  <a:pt x="558812" y="73888"/>
                                </a:lnTo>
                                <a:lnTo>
                                  <a:pt x="556094" y="75679"/>
                                </a:lnTo>
                                <a:lnTo>
                                  <a:pt x="553339" y="77000"/>
                                </a:lnTo>
                                <a:lnTo>
                                  <a:pt x="547789" y="78625"/>
                                </a:lnTo>
                                <a:lnTo>
                                  <a:pt x="545020" y="79032"/>
                                </a:lnTo>
                                <a:lnTo>
                                  <a:pt x="535965" y="79032"/>
                                </a:lnTo>
                                <a:lnTo>
                                  <a:pt x="531050" y="77177"/>
                                </a:lnTo>
                                <a:lnTo>
                                  <a:pt x="524065" y="69697"/>
                                </a:lnTo>
                                <a:lnTo>
                                  <a:pt x="522236" y="64376"/>
                                </a:lnTo>
                                <a:lnTo>
                                  <a:pt x="522071" y="57467"/>
                                </a:lnTo>
                                <a:lnTo>
                                  <a:pt x="565454" y="57467"/>
                                </a:lnTo>
                                <a:lnTo>
                                  <a:pt x="565454" y="49441"/>
                                </a:lnTo>
                                <a:lnTo>
                                  <a:pt x="565454" y="43383"/>
                                </a:lnTo>
                                <a:close/>
                              </a:path>
                            </a:pathLst>
                          </a:custGeom>
                          <a:solidFill>
                            <a:srgbClr val="231F20"/>
                          </a:solidFill>
                        </wps:spPr>
                        <wps:bodyPr wrap="square" lIns="0" tIns="0" rIns="0" bIns="0" rtlCol="0">
                          <a:prstTxWarp prst="textNoShape">
                            <a:avLst/>
                          </a:prstTxWarp>
                          <a:noAutofit/>
                        </wps:bodyPr>
                      </wps:wsp>
                      <pic:pic>
                        <pic:nvPicPr>
                          <pic:cNvPr id="196" name="Image 196"/>
                          <pic:cNvPicPr/>
                        </pic:nvPicPr>
                        <pic:blipFill>
                          <a:blip r:embed="rId60" cstate="print"/>
                          <a:stretch>
                            <a:fillRect/>
                          </a:stretch>
                        </pic:blipFill>
                        <pic:spPr>
                          <a:xfrm>
                            <a:off x="2460510" y="5486499"/>
                            <a:ext cx="614994" cy="89340"/>
                          </a:xfrm>
                          <a:prstGeom prst="rect">
                            <a:avLst/>
                          </a:prstGeom>
                        </pic:spPr>
                      </pic:pic>
                      <pic:pic>
                        <pic:nvPicPr>
                          <pic:cNvPr id="197" name="Image 197"/>
                          <pic:cNvPicPr/>
                        </pic:nvPicPr>
                        <pic:blipFill>
                          <a:blip r:embed="rId61" cstate="print"/>
                          <a:stretch>
                            <a:fillRect/>
                          </a:stretch>
                        </pic:blipFill>
                        <pic:spPr>
                          <a:xfrm>
                            <a:off x="301157" y="5481718"/>
                            <a:ext cx="832553" cy="121502"/>
                          </a:xfrm>
                          <a:prstGeom prst="rect">
                            <a:avLst/>
                          </a:prstGeom>
                        </pic:spPr>
                      </pic:pic>
                      <pic:pic>
                        <pic:nvPicPr>
                          <pic:cNvPr id="198" name="Image 198"/>
                          <pic:cNvPicPr/>
                        </pic:nvPicPr>
                        <pic:blipFill>
                          <a:blip r:embed="rId62" cstate="print"/>
                          <a:stretch>
                            <a:fillRect/>
                          </a:stretch>
                        </pic:blipFill>
                        <pic:spPr>
                          <a:xfrm>
                            <a:off x="2463810" y="5887020"/>
                            <a:ext cx="731125" cy="89339"/>
                          </a:xfrm>
                          <a:prstGeom prst="rect">
                            <a:avLst/>
                          </a:prstGeom>
                        </pic:spPr>
                      </pic:pic>
                      <pic:pic>
                        <pic:nvPicPr>
                          <pic:cNvPr id="199" name="Image 199"/>
                          <pic:cNvPicPr/>
                        </pic:nvPicPr>
                        <pic:blipFill>
                          <a:blip r:embed="rId63" cstate="print"/>
                          <a:stretch>
                            <a:fillRect/>
                          </a:stretch>
                        </pic:blipFill>
                        <pic:spPr>
                          <a:xfrm>
                            <a:off x="293729" y="5886029"/>
                            <a:ext cx="776470" cy="88811"/>
                          </a:xfrm>
                          <a:prstGeom prst="rect">
                            <a:avLst/>
                          </a:prstGeom>
                        </pic:spPr>
                      </pic:pic>
                      <pic:pic>
                        <pic:nvPicPr>
                          <pic:cNvPr id="200" name="Image 200"/>
                          <pic:cNvPicPr/>
                        </pic:nvPicPr>
                        <pic:blipFill>
                          <a:blip r:embed="rId64" cstate="print"/>
                          <a:stretch>
                            <a:fillRect/>
                          </a:stretch>
                        </pic:blipFill>
                        <pic:spPr>
                          <a:xfrm>
                            <a:off x="2462974" y="6283515"/>
                            <a:ext cx="651847" cy="88858"/>
                          </a:xfrm>
                          <a:prstGeom prst="rect">
                            <a:avLst/>
                          </a:prstGeom>
                        </pic:spPr>
                      </pic:pic>
                      <pic:pic>
                        <pic:nvPicPr>
                          <pic:cNvPr id="201" name="Image 201"/>
                          <pic:cNvPicPr/>
                        </pic:nvPicPr>
                        <pic:blipFill>
                          <a:blip r:embed="rId65" cstate="print"/>
                          <a:stretch>
                            <a:fillRect/>
                          </a:stretch>
                        </pic:blipFill>
                        <pic:spPr>
                          <a:xfrm>
                            <a:off x="293729" y="6278727"/>
                            <a:ext cx="1417293" cy="93599"/>
                          </a:xfrm>
                          <a:prstGeom prst="rect">
                            <a:avLst/>
                          </a:prstGeom>
                        </pic:spPr>
                      </pic:pic>
                      <pic:pic>
                        <pic:nvPicPr>
                          <pic:cNvPr id="202" name="Image 202"/>
                          <pic:cNvPicPr/>
                        </pic:nvPicPr>
                        <pic:blipFill>
                          <a:blip r:embed="rId66" cstate="print"/>
                          <a:stretch>
                            <a:fillRect/>
                          </a:stretch>
                        </pic:blipFill>
                        <pic:spPr>
                          <a:xfrm>
                            <a:off x="283118" y="322684"/>
                            <a:ext cx="481074" cy="88866"/>
                          </a:xfrm>
                          <a:prstGeom prst="rect">
                            <a:avLst/>
                          </a:prstGeom>
                        </pic:spPr>
                      </pic:pic>
                    </wpg:wgp>
                  </a:graphicData>
                </a:graphic>
              </wp:anchor>
            </w:drawing>
          </mc:Choice>
          <mc:Fallback>
            <w:pict>
              <v:group style="position:absolute;margin-left:56.693001pt;margin-top:13.055664pt;width:370.7pt;height:521.35pt;mso-position-horizontal-relative:page;mso-position-vertical-relative:paragraph;z-index:-15677952;mso-wrap-distance-left:0;mso-wrap-distance-right:0" id="docshapegroup129" coordorigin="1134,261" coordsize="7414,10427">
                <v:rect style="position:absolute;left:1133;top:261;width:7414;height:10427" id="docshape130" filled="true" fillcolor="#e0e2e2" stroked="false">
                  <v:fill type="solid"/>
                </v:rect>
                <v:shape style="position:absolute;left:1133;top:1376;width:6952;height:8533" id="docshape131" coordorigin="1134,1376" coordsize="6952,8533" path="m8086,9267l1134,9267,1134,9908,8086,9908,8086,9267xm8086,7998l1134,7998,1134,8639,8086,8639,8086,7998xm8086,6736l1134,6736,1134,7377,8086,7377,8086,6736xm8086,5177l1134,5177,1134,5818,8086,5818,8086,5177xm8086,3897l1134,3897,1134,4538,8086,4538,8086,3897xm8086,2656l1134,2656,1134,3297,8086,3297,8086,2656xm8086,1376l1134,1376,1134,2017,8086,2017,8086,1376xe" filled="true" fillcolor="#ffffff" stroked="false">
                  <v:path arrowok="t"/>
                  <v:fill type="solid"/>
                </v:shape>
                <v:shape style="position:absolute;left:4991;top:630;width:2634;height:409" type="#_x0000_t75" id="docshape132" stroked="false">
                  <v:imagedata r:id="rId28" o:title=""/>
                </v:shape>
                <v:shape style="position:absolute;left:5012;top:1654;width:1027;height:140" type="#_x0000_t75" id="docshape133" stroked="false">
                  <v:imagedata r:id="rId29" o:title=""/>
                </v:shape>
                <v:shape style="position:absolute;left:1596;top:1646;width:450;height:146" type="#_x0000_t75" id="docshape134" stroked="false">
                  <v:imagedata r:id="rId30" o:title=""/>
                </v:shape>
                <v:shape style="position:absolute;left:5012;top:2277;width:190;height:138" type="#_x0000_t75" id="docshape135" stroked="false">
                  <v:imagedata r:id="rId31" o:title=""/>
                </v:shape>
                <v:shape style="position:absolute;left:5274;top:2274;width:250;height:141" type="#_x0000_t75" id="docshape136" stroked="false">
                  <v:imagedata r:id="rId32" o:title=""/>
                </v:shape>
                <v:shape style="position:absolute;left:5608;top:2274;width:295;height:140" type="#_x0000_t75" id="docshape137" stroked="false">
                  <v:imagedata r:id="rId33" o:title=""/>
                </v:shape>
                <v:shape style="position:absolute;left:1608;top:2268;width:836;height:149" id="docshape138" coordorigin="1608,2269" coordsize="836,149" path="m1680,2400l1624,2400,1624,2353,1673,2353,1673,2339,1624,2339,1624,2294,1677,2294,1677,2280,1608,2280,1608,2415,1680,2415,1680,2400xm1786,2272l1771,2272,1771,2332,1771,2349,1771,2381,1768,2388,1757,2401,1750,2404,1733,2404,1726,2401,1716,2388,1713,2379,1713,2356,1716,2346,1727,2332,1734,2329,1751,2329,1758,2332,1768,2342,1771,2349,1771,2332,1770,2332,1769,2329,1767,2326,1763,2322,1754,2317,1748,2316,1728,2316,1717,2321,1709,2330,1704,2338,1700,2347,1698,2357,1697,2368,1697,2384,1701,2395,1715,2413,1725,2417,1745,2417,1751,2416,1762,2409,1767,2405,1767,2404,1770,2398,1771,2398,1771,2415,1786,2415,1786,2398,1786,2332,1786,2272xm1896,2318l1880,2318,1880,2383,1878,2390,1868,2401,1862,2404,1847,2404,1841,2402,1833,2391,1831,2384,1831,2318,1816,2318,1816,2390,1818,2400,1830,2414,1839,2417,1857,2417,1863,2416,1873,2410,1877,2405,1880,2400,1880,2400,1880,2415,1896,2415,1896,2318xm1998,2324l1993,2321,1988,2319,1979,2317,1975,2316,1954,2316,1942,2321,1934,2330,1928,2338,1924,2347,1921,2357,1920,2369,1920,2384,1925,2396,1942,2413,1953,2417,1972,2417,1977,2416,1986,2414,1990,2412,1995,2409,1988,2398,1985,2400,1981,2402,1974,2403,1971,2404,1959,2404,1951,2401,1939,2388,1936,2379,1936,2356,1939,2347,1950,2333,1959,2329,1973,2329,1977,2330,1984,2331,1987,2333,1991,2335,1998,2324xm2085,2340l2082,2331,2080,2329,2070,2319,2061,2316,2042,2316,2035,2317,2023,2322,2017,2326,2012,2331,2021,2340,2025,2337,2029,2334,2039,2330,2043,2329,2055,2329,2060,2331,2067,2338,2069,2343,2069,2354,2069,2366,2069,2384,2067,2391,2057,2402,2050,2405,2037,2405,2033,2403,2026,2397,2024,2392,2024,2381,2026,2377,2033,2372,2039,2370,2069,2366,2069,2354,2042,2357,2031,2359,2023,2362,2012,2373,2009,2380,2009,2397,2012,2404,2023,2414,2030,2417,2046,2417,2052,2416,2061,2410,2065,2405,2066,2405,2069,2400,2069,2400,2069,2415,2085,2415,2085,2400,2085,2366,2085,2340xm2185,2324l2181,2321,2176,2319,2167,2317,2162,2316,2142,2316,2130,2321,2121,2330,2115,2338,2111,2347,2109,2357,2108,2369,2108,2384,2112,2396,2130,2413,2141,2417,2160,2417,2165,2416,2174,2414,2178,2412,2182,2409,2176,2398,2172,2400,2169,2402,2162,2403,2159,2404,2146,2404,2139,2401,2127,2388,2124,2379,2124,2356,2127,2347,2138,2333,2146,2329,2161,2329,2165,2330,2172,2331,2175,2333,2179,2335,2185,2324xm2219,2318l2204,2318,2204,2415,2219,2415,2219,2318xm2223,2281l2222,2278,2218,2274,2215,2273,2209,2273,2206,2274,2202,2278,2201,2281,2201,2287,2202,2290,2206,2294,2209,2295,2215,2295,2218,2294,2222,2290,2223,2287,2223,2281xm2316,2269l2301,2269,2280,2300,2292,2300,2316,2269xm2339,2350l2335,2338,2327,2329,2323,2325,2323,2355,2323,2379,2321,2388,2310,2401,2302,2404,2282,2404,2274,2401,2263,2388,2260,2379,2260,2355,2263,2346,2274,2332,2282,2329,2302,2329,2310,2332,2321,2345,2323,2355,2323,2325,2319,2320,2308,2316,2278,2316,2266,2321,2257,2330,2251,2337,2247,2346,2245,2356,2244,2368,2244,2383,2248,2395,2265,2413,2277,2417,2306,2417,2317,2412,2325,2404,2335,2394,2339,2382,2339,2350xm2444,2343l2441,2333,2430,2319,2422,2316,2404,2316,2398,2317,2388,2324,2383,2328,2380,2334,2379,2334,2379,2318,2364,2318,2364,2415,2379,2415,2379,2351,2382,2343,2392,2332,2398,2329,2414,2329,2419,2332,2427,2342,2429,2349,2429,2415,2444,2415,2444,2343xe" filled="true" fillcolor="#231f20" stroked="false">
                  <v:path arrowok="t"/>
                  <v:fill type="solid"/>
                </v:shape>
                <v:shape style="position:absolute;left:5011;top:2915;width:911;height:163" type="#_x0000_t75" id="docshape139" stroked="false">
                  <v:imagedata r:id="rId34" o:title=""/>
                </v:shape>
                <v:shape style="position:absolute;left:1608;top:2917;width:672;height:180" type="#_x0000_t75" id="docshape140" stroked="false">
                  <v:imagedata r:id="rId35" o:title=""/>
                </v:shape>
                <v:shape style="position:absolute;left:5005;top:4155;width:1003;height:141" type="#_x0000_t75" id="docshape141" stroked="false">
                  <v:imagedata r:id="rId36" o:title=""/>
                </v:shape>
                <v:shape style="position:absolute;left:1591;top:4030;width:2042;height:424" type="#_x0000_t75" id="docshape142" stroked="false">
                  <v:imagedata r:id="rId37" o:title=""/>
                </v:shape>
                <v:shape style="position:absolute;left:5011;top:3556;width:924;height:140" type="#_x0000_t75" id="docshape143" stroked="false">
                  <v:imagedata r:id="rId38" o:title=""/>
                </v:shape>
                <v:shape style="position:absolute;left:1599;top:3556;width:205;height:140" type="#_x0000_t75" id="docshape144" stroked="false">
                  <v:imagedata r:id="rId39" o:title=""/>
                </v:shape>
                <v:shape style="position:absolute;left:1835;top:3550;width:191;height:146" type="#_x0000_t75" id="docshape145" stroked="false">
                  <v:imagedata r:id="rId40" o:title=""/>
                </v:shape>
                <v:shape style="position:absolute;left:2056;top:3595;width:136;height:102" type="#_x0000_t75" id="docshape146" stroked="false">
                  <v:imagedata r:id="rId41" o:title=""/>
                </v:shape>
                <v:shape style="position:absolute;left:5005;top:4795;width:1159;height:141" type="#_x0000_t75" id="docshape147" stroked="false">
                  <v:imagedata r:id="rId42" o:title=""/>
                </v:shape>
                <v:shape style="position:absolute;left:1594;top:4800;width:192;height:138" type="#_x0000_t75" id="docshape148" stroked="false">
                  <v:imagedata r:id="rId43" o:title=""/>
                </v:shape>
                <v:shape style="position:absolute;left:1816;top:4794;width:451;height:144" type="#_x0000_t75" id="docshape149" stroked="false">
                  <v:imagedata r:id="rId44" o:title=""/>
                </v:shape>
                <v:shape style="position:absolute;left:5012;top:5435;width:1027;height:140" type="#_x0000_t75" id="docshape150" stroked="false">
                  <v:imagedata r:id="rId45" o:title=""/>
                </v:shape>
                <v:shape style="position:absolute;left:1592;top:5440;width:221;height:181" type="#_x0000_t75" id="docshape151" stroked="false">
                  <v:imagedata r:id="rId46" o:title=""/>
                </v:shape>
                <v:shape style="position:absolute;left:1844;top:5433;width:282;height:144" type="#_x0000_t75" id="docshape152" stroked="false">
                  <v:imagedata r:id="rId47" o:title=""/>
                </v:shape>
                <v:shape style="position:absolute;left:2157;top:5432;width:191;height:146" type="#_x0000_t75" id="docshape153" stroked="false">
                  <v:imagedata r:id="rId48" o:title=""/>
                </v:shape>
                <v:shape style="position:absolute;left:2378;top:5476;width:136;height:102" type="#_x0000_t75" id="docshape154" stroked="false">
                  <v:imagedata r:id="rId49" o:title=""/>
                </v:shape>
                <v:shape style="position:absolute;left:5008;top:6075;width:150;height:140" type="#_x0000_t75" id="docshape155" stroked="false">
                  <v:imagedata r:id="rId50" o:title=""/>
                </v:shape>
                <v:shape style="position:absolute;left:5242;top:6076;width:296;height:140" type="#_x0000_t75" id="docshape156" stroked="false">
                  <v:imagedata r:id="rId51" o:title=""/>
                </v:shape>
                <v:shape style="position:absolute;left:5607;top:6076;width:297;height:140" type="#_x0000_t75" id="docshape157" stroked="false">
                  <v:imagedata r:id="rId52" o:title=""/>
                </v:shape>
                <v:shape style="position:absolute;left:1591;top:5953;width:2495;height:610" type="#_x0000_t75" id="docshape158" stroked="false">
                  <v:imagedata r:id="rId53" o:title=""/>
                </v:shape>
                <v:shape style="position:absolute;left:5012;top:6978;width:892;height:141" type="#_x0000_t75" id="docshape159" stroked="false">
                  <v:imagedata r:id="rId54" o:title=""/>
                </v:shape>
                <v:rect style="position:absolute;left:1608;top:6984;width:16;height:136" id="docshape160" filled="true" fillcolor="#231f20" stroked="false">
                  <v:fill type="solid"/>
                </v:rect>
                <v:shape style="position:absolute;left:1657;top:6976;width:663;height:146" type="#_x0000_t75" id="docshape161" stroked="false">
                  <v:imagedata r:id="rId55" o:title=""/>
                </v:shape>
                <v:shape style="position:absolute;left:5011;top:7618;width:192;height:140" type="#_x0000_t75" id="docshape162" stroked="false">
                  <v:imagedata r:id="rId56" o:title=""/>
                </v:shape>
                <v:shape style="position:absolute;left:5267;top:7617;width:49;height:139" id="docshape163" coordorigin="5267,7617" coordsize="49,139" path="m5315,7617l5309,7617,5305,7622,5298,7626,5282,7635,5274,7638,5267,7640,5271,7653,5300,7640,5300,7756,5315,7756,5315,7617xe" filled="true" fillcolor="#231f20" stroked="false">
                  <v:path arrowok="t"/>
                  <v:fill type="solid"/>
                </v:shape>
                <v:shape style="position:absolute;left:5348;top:7618;width:194;height:140" type="#_x0000_t75" id="docshape164" stroked="false">
                  <v:imagedata r:id="rId57" o:title=""/>
                </v:shape>
                <v:shape style="position:absolute;left:5609;top:7618;width:295;height:140" type="#_x0000_t75" id="docshape165" stroked="false">
                  <v:imagedata r:id="rId58" o:title=""/>
                </v:shape>
                <v:shape style="position:absolute;left:1599;top:7612;width:1092;height:149" id="docshape166" coordorigin="1599,7612" coordsize="1092,149" path="m1703,7751l1697,7738,1692,7741,1686,7743,1676,7746,1670,7746,1650,7746,1638,7741,1629,7731,1623,7724,1619,7714,1617,7704,1616,7692,1617,7680,1619,7668,1624,7659,1630,7650,1637,7644,1646,7639,1656,7636,1668,7635,1673,7635,1678,7635,1687,7637,1692,7639,1697,7641,1703,7628,1697,7625,1691,7624,1680,7621,1674,7621,1668,7621,1653,7622,1640,7625,1628,7632,1618,7640,1610,7651,1604,7663,1600,7677,1599,7693,1600,7707,1604,7720,1609,7732,1616,7742,1626,7750,1637,7756,1650,7759,1664,7760,1671,7760,1678,7760,1691,7757,1697,7754,1703,7751xm1814,7694l1810,7681,1802,7672,1798,7668,1798,7698,1798,7722,1796,7731,1785,7744,1777,7747,1757,7747,1750,7744,1738,7731,1735,7722,1735,7699,1738,7689,1749,7676,1757,7672,1777,7672,1785,7676,1796,7689,1798,7698,1798,7668,1794,7664,1783,7659,1753,7659,1741,7664,1732,7673,1727,7681,1722,7689,1720,7699,1719,7711,1719,7726,1723,7738,1740,7756,1752,7760,1781,7760,1792,7756,1800,7747,1810,7737,1814,7725,1814,7694xm1919,7686l1916,7676,1905,7663,1897,7659,1880,7659,1873,7661,1863,7667,1858,7671,1855,7678,1854,7678,1854,7661,1839,7661,1839,7758,1854,7758,1854,7694,1857,7687,1867,7675,1873,7672,1889,7672,1894,7675,1902,7685,1904,7693,1904,7758,1919,7758,1919,7686xm2007,7724l2004,7718,1995,7708,1987,7704,1970,7700,1965,7698,1958,7693,1956,7690,1956,7681,1958,7678,1964,7673,1969,7672,1979,7672,1982,7673,1989,7675,1993,7677,1998,7680,2005,7668,2000,7665,1995,7663,1986,7660,1981,7659,1965,7659,1957,7662,1945,7673,1942,7679,1942,7694,1944,7700,1953,7709,1961,7713,1980,7718,1985,7720,1991,7725,1992,7729,1992,7738,1990,7741,1984,7746,1979,7747,1967,7747,1963,7747,1955,7744,1951,7742,1947,7739,1939,7751,1944,7754,1949,7756,1960,7760,1965,7760,1982,7760,1991,7758,2004,7747,2007,7740,2007,7724xm2076,7757l2073,7745,2070,7746,2065,7747,2059,7747,2056,7746,2052,7741,2051,7737,2051,7675,2075,7675,2075,7661,2051,7661,2051,7633,2035,7638,2035,7661,2019,7661,2019,7675,2035,7675,2035,7742,2037,7749,2046,7758,2052,7760,2063,7760,2066,7760,2071,7759,2076,7757xm2146,7661l2145,7661,2141,7660,2131,7660,2126,7662,2117,7669,2114,7674,2112,7681,2111,7681,2111,7661,2096,7661,2096,7758,2111,7758,2111,7699,2114,7690,2123,7677,2129,7674,2139,7674,2143,7675,2146,7661xm2241,7661l2226,7661,2226,7726,2223,7733,2213,7745,2207,7747,2192,7747,2186,7745,2178,7735,2176,7727,2176,7661,2161,7661,2161,7733,2164,7743,2175,7757,2184,7760,2202,7760,2208,7759,2218,7753,2222,7749,2225,7743,2226,7743,2226,7758,2241,7758,2241,7661xm2343,7667l2338,7664,2334,7662,2325,7660,2320,7659,2300,7659,2288,7664,2279,7674,2273,7682,2269,7691,2267,7701,2266,7712,2266,7727,2270,7739,2287,7756,2299,7760,2318,7760,2322,7760,2331,7757,2336,7755,2340,7752,2333,7741,2330,7743,2327,7745,2320,7747,2317,7747,2304,7747,2296,7744,2285,7731,2282,7722,2282,7699,2284,7690,2296,7676,2304,7672,2319,7672,2322,7673,2329,7675,2333,7676,2336,7678,2343,7667xm2432,7667l2428,7664,2423,7662,2414,7660,2409,7659,2389,7659,2377,7664,2368,7674,2362,7682,2358,7691,2356,7701,2355,7712,2355,7727,2359,7739,2377,7756,2388,7760,2407,7760,2412,7760,2421,7757,2425,7755,2430,7752,2423,7741,2419,7743,2416,7745,2409,7747,2406,7747,2393,7747,2386,7744,2374,7731,2371,7722,2371,7699,2374,7690,2385,7676,2393,7672,2408,7672,2412,7673,2419,7675,2422,7676,2426,7678,2432,7667xm2466,7661l2451,7661,2451,7758,2466,7758,2466,7661xm2470,7624l2469,7622,2465,7618,2462,7616,2456,7616,2453,7618,2449,7622,2448,7624,2448,7631,2449,7633,2453,7637,2456,7638,2462,7638,2465,7637,2469,7633,2470,7631,2470,7624xm2563,7612l2548,7612,2527,7643,2539,7643,2563,7612xm2586,7694l2582,7681,2574,7672,2570,7668,2570,7698,2570,7722,2568,7731,2557,7744,2549,7747,2529,7747,2522,7744,2510,7731,2507,7722,2507,7699,2510,7689,2521,7676,2529,7672,2549,7672,2557,7676,2568,7689,2570,7698,2570,7668,2566,7664,2555,7659,2525,7659,2513,7664,2504,7673,2498,7681,2494,7689,2492,7699,2491,7711,2491,7726,2495,7738,2512,7756,2524,7760,2553,7760,2564,7756,2572,7747,2582,7737,2586,7725,2586,7694xm2691,7686l2688,7676,2677,7663,2669,7659,2651,7659,2645,7661,2635,7667,2630,7671,2627,7678,2626,7678,2626,7661,2611,7661,2611,7758,2626,7758,2626,7694,2629,7687,2639,7675,2645,7672,2661,7672,2666,7675,2674,7685,2676,7693,2676,7758,2691,7758,2691,7686xe" filled="true" fillcolor="#231f20" stroked="false">
                  <v:path arrowok="t"/>
                  <v:fill type="solid"/>
                </v:shape>
                <v:shape style="position:absolute;left:5012;top:8258;width:996;height:141" type="#_x0000_t75" id="docshape167" stroked="false">
                  <v:imagedata r:id="rId59" o:title=""/>
                </v:shape>
                <v:shape style="position:absolute;left:1594;top:8261;width:891;height:180" id="docshape168" coordorigin="1594,8261" coordsize="891,180" path="m1688,8261l1594,8261,1594,8276,1633,8276,1633,8397,1649,8397,1649,8276,1688,8276,1688,8261xm1741,8299l1740,8299,1736,8298,1726,8298,1721,8300,1712,8307,1709,8312,1706,8319,1706,8319,1706,8300,1690,8300,1690,8397,1706,8397,1706,8337,1708,8329,1717,8315,1723,8312,1734,8312,1738,8313,1741,8299xm1826,8322l1823,8313,1821,8311,1811,8301,1802,8298,1783,8298,1777,8299,1764,8304,1759,8308,1753,8313,1762,8322,1766,8318,1771,8315,1780,8312,1785,8311,1796,8311,1801,8312,1809,8319,1811,8325,1811,8335,1811,8348,1811,8366,1808,8373,1798,8384,1792,8386,1778,8386,1774,8385,1768,8379,1766,8374,1766,8363,1768,8359,1775,8354,1780,8352,1811,8348,1811,8335,1783,8339,1773,8341,1765,8344,1753,8355,1751,8362,1751,8379,1753,8386,1764,8396,1772,8399,1787,8399,1793,8397,1803,8392,1807,8387,1807,8386,1810,8381,1811,8381,1811,8397,1826,8397,1826,8381,1826,8348,1826,8322xm1936,8325l1933,8315,1922,8301,1914,8298,1897,8298,1891,8299,1880,8305,1876,8310,1872,8316,1871,8316,1871,8300,1856,8300,1856,8397,1871,8397,1871,8333,1874,8325,1884,8314,1891,8311,1906,8311,1911,8313,1919,8324,1921,8331,1921,8397,1936,8397,1936,8325xm2024,8362l2022,8356,2012,8346,2004,8343,1987,8338,1982,8336,1975,8332,1973,8328,1973,8320,1975,8316,1981,8312,1986,8311,1996,8311,2000,8311,2007,8313,2010,8315,2015,8318,2022,8306,2017,8303,2012,8301,2003,8298,1998,8298,1982,8298,1974,8300,1962,8311,1959,8318,1959,8332,1961,8338,1970,8347,1978,8351,1997,8356,2002,8358,2008,8364,2009,8367,2009,8376,2008,8380,2001,8385,1996,8386,1984,8386,1980,8385,1972,8382,1968,8380,1964,8377,1956,8389,1961,8392,1966,8395,1977,8398,1983,8399,1999,8399,2008,8396,2021,8386,2024,8379,2024,8362xm2136,8331l2133,8319,2126,8311,2120,8304,2120,8358,2118,8368,2107,8382,2100,8386,2082,8386,2076,8383,2075,8383,2065,8372,2063,8365,2063,8334,2066,8326,2074,8317,2077,8314,2084,8311,2101,8311,2108,8314,2118,8326,2120,8334,2120,8358,2120,8304,2119,8302,2109,8298,2089,8298,2083,8299,2072,8306,2067,8310,2063,8317,2063,8317,2063,8300,2047,8300,2047,8441,2063,8441,2063,8383,2063,8383,2067,8388,2071,8392,2080,8397,2086,8399,2106,8399,2117,8394,2123,8386,2124,8384,2130,8376,2133,8367,2136,8357,2136,8345,2136,8331xm2249,8332l2245,8320,2237,8311,2234,8307,2234,8336,2234,8360,2231,8370,2220,8383,2212,8386,2193,8386,2185,8382,2173,8369,2170,8360,2170,8337,2173,8328,2185,8314,2193,8311,2212,8311,2220,8314,2231,8327,2234,8336,2234,8307,2229,8302,2218,8298,2188,8298,2176,8302,2168,8311,2162,8319,2158,8328,2155,8338,2154,8349,2154,8364,2159,8376,2176,8394,2187,8399,2216,8399,2228,8394,2236,8386,2245,8376,2249,8363,2249,8332xm2324,8299l2323,8299,2319,8298,2310,8298,2305,8300,2296,8307,2292,8312,2290,8319,2290,8319,2290,8300,2274,8300,2274,8397,2290,8397,2290,8337,2292,8329,2301,8315,2307,8312,2318,8312,2322,8313,2324,8299xm2387,8395l2384,8384,2381,8385,2376,8386,2370,8386,2367,8385,2363,8380,2362,8376,2362,8313,2386,8313,2386,8300,2362,8300,2362,8271,2346,8276,2346,8300,2330,8300,2330,8313,2346,8313,2346,8381,2349,8387,2357,8396,2363,8399,2374,8399,2377,8398,2382,8397,2387,8395xm2485,8330l2481,8318,2475,8311,2469,8304,2469,8339,2416,8339,2418,8330,2421,8324,2431,8313,2437,8311,2452,8311,2458,8313,2466,8323,2469,8330,2469,8339,2469,8304,2467,8302,2457,8298,2432,8298,2421,8302,2404,8321,2400,8334,2400,8365,2404,8377,2421,8394,2432,8399,2453,8399,2459,8398,2470,8395,2476,8392,2481,8389,2479,8386,2474,8378,2470,8380,2465,8382,2457,8385,2452,8386,2438,8386,2430,8383,2419,8371,2416,8363,2416,8352,2485,8352,2485,8339,2485,8330xe" filled="true" fillcolor="#231f20" stroked="false">
                  <v:path arrowok="t"/>
                  <v:fill type="solid"/>
                </v:shape>
                <v:shape style="position:absolute;left:5008;top:8901;width:969;height:141" type="#_x0000_t75" id="docshape169" stroked="false">
                  <v:imagedata r:id="rId60" o:title=""/>
                </v:shape>
                <v:shape style="position:absolute;left:1608;top:8893;width:1312;height:192" type="#_x0000_t75" id="docshape170" stroked="false">
                  <v:imagedata r:id="rId61" o:title=""/>
                </v:shape>
                <v:shape style="position:absolute;left:5013;top:9532;width:1152;height:141" type="#_x0000_t75" id="docshape171" stroked="false">
                  <v:imagedata r:id="rId62" o:title=""/>
                </v:shape>
                <v:shape style="position:absolute;left:1596;top:9530;width:1223;height:140" type="#_x0000_t75" id="docshape172" stroked="false">
                  <v:imagedata r:id="rId63" o:title=""/>
                </v:shape>
                <v:shape style="position:absolute;left:5012;top:10156;width:1027;height:140" type="#_x0000_t75" id="docshape173" stroked="false">
                  <v:imagedata r:id="rId64" o:title=""/>
                </v:shape>
                <v:shape style="position:absolute;left:1596;top:10148;width:2232;height:148" type="#_x0000_t75" id="docshape174" stroked="false">
                  <v:imagedata r:id="rId65" o:title=""/>
                </v:shape>
                <v:shape style="position:absolute;left:1579;top:769;width:758;height:140" type="#_x0000_t75" id="docshape175" stroked="false">
                  <v:imagedata r:id="rId66" o:title=""/>
                </v:shape>
                <w10:wrap type="topAndBottom"/>
              </v:group>
            </w:pict>
          </mc:Fallback>
        </mc:AlternateContent>
      </w:r>
    </w:p>
    <w:p>
      <w:pPr>
        <w:spacing w:after="0"/>
        <w:jc w:val="left"/>
        <w:rPr>
          <w:sz w:val="17"/>
        </w:rPr>
        <w:sectPr>
          <w:pgSz w:w="11910" w:h="16840"/>
          <w:pgMar w:header="0" w:footer="695" w:top="1920" w:bottom="880" w:left="0" w:right="0"/>
        </w:sectPr>
      </w:pPr>
    </w:p>
    <w:p>
      <w:pPr>
        <w:pStyle w:val="Heading1"/>
        <w:spacing w:before="154"/>
        <w:ind w:left="1445"/>
      </w:pPr>
      <w:r>
        <w:rPr>
          <w:color w:val="1A4796"/>
          <w:spacing w:val="-2"/>
          <w:w w:val="120"/>
        </w:rPr>
        <w:t>Anexos</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639040">
                <wp:simplePos x="0" y="0"/>
                <wp:positionH relativeFrom="page">
                  <wp:posOffset>936002</wp:posOffset>
                </wp:positionH>
                <wp:positionV relativeFrom="paragraph">
                  <wp:posOffset>288395</wp:posOffset>
                </wp:positionV>
                <wp:extent cx="909319" cy="26034"/>
                <wp:effectExtent l="0" t="0" r="0" b="0"/>
                <wp:wrapTopAndBottom/>
                <wp:docPr id="203" name="Graphic 203"/>
                <wp:cNvGraphicFramePr>
                  <a:graphicFrameLocks/>
                </wp:cNvGraphicFramePr>
                <a:graphic>
                  <a:graphicData uri="http://schemas.microsoft.com/office/word/2010/wordprocessingShape">
                    <wps:wsp>
                      <wps:cNvPr id="203" name="Graphic 203"/>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73.700996pt;margin-top:22.708281pt;width:71.584pt;height:2.021pt;mso-position-horizontal-relative:page;mso-position-vertical-relative:paragraph;z-index:-15677440;mso-wrap-distance-left:0;mso-wrap-distance-right:0" id="docshape176" filled="true" fillcolor="#b52628" stroked="false">
                <v:fill type="solid"/>
                <w10:wrap type="topAndBottom"/>
              </v:rect>
            </w:pict>
          </mc:Fallback>
        </mc:AlternateContent>
      </w:r>
    </w:p>
    <w:p>
      <w:pPr>
        <w:pStyle w:val="BodyText"/>
        <w:spacing w:before="239"/>
        <w:jc w:val="left"/>
        <w:rPr>
          <w:rFonts w:ascii="Trebuchet MS"/>
        </w:rPr>
      </w:pPr>
    </w:p>
    <w:p>
      <w:pPr>
        <w:pStyle w:val="ListParagraph"/>
        <w:numPr>
          <w:ilvl w:val="0"/>
          <w:numId w:val="5"/>
        </w:numPr>
        <w:tabs>
          <w:tab w:pos="1719" w:val="left" w:leader="none"/>
        </w:tabs>
        <w:spacing w:line="240" w:lineRule="auto" w:before="0" w:after="0"/>
        <w:ind w:left="1474" w:right="2572" w:firstLine="0"/>
        <w:jc w:val="left"/>
        <w:rPr>
          <w:sz w:val="24"/>
        </w:rPr>
      </w:pPr>
      <w:r>
        <w:rPr>
          <w:color w:val="231F20"/>
          <w:sz w:val="24"/>
        </w:rPr>
        <w:t>Comportamiento histórico de las votaciones de la resolución de la Asamblea General de las Naciones Unidas titulada “Necesidad de poner fin</w:t>
      </w:r>
      <w:r>
        <w:rPr>
          <w:color w:val="231F20"/>
          <w:spacing w:val="-4"/>
          <w:sz w:val="24"/>
        </w:rPr>
        <w:t> </w:t>
      </w:r>
      <w:r>
        <w:rPr>
          <w:color w:val="231F20"/>
          <w:sz w:val="24"/>
        </w:rPr>
        <w:t>al</w:t>
      </w:r>
      <w:r>
        <w:rPr>
          <w:color w:val="231F20"/>
          <w:spacing w:val="-4"/>
          <w:sz w:val="24"/>
        </w:rPr>
        <w:t> </w:t>
      </w:r>
      <w:r>
        <w:rPr>
          <w:color w:val="231F20"/>
          <w:sz w:val="24"/>
        </w:rPr>
        <w:t>bloqueo</w:t>
      </w:r>
      <w:r>
        <w:rPr>
          <w:color w:val="231F20"/>
          <w:spacing w:val="-4"/>
          <w:sz w:val="24"/>
        </w:rPr>
        <w:t> </w:t>
      </w:r>
      <w:r>
        <w:rPr>
          <w:color w:val="231F20"/>
          <w:sz w:val="24"/>
        </w:rPr>
        <w:t>económico,</w:t>
      </w:r>
      <w:r>
        <w:rPr>
          <w:color w:val="231F20"/>
          <w:spacing w:val="-4"/>
          <w:sz w:val="24"/>
        </w:rPr>
        <w:t> </w:t>
      </w:r>
      <w:r>
        <w:rPr>
          <w:color w:val="231F20"/>
          <w:sz w:val="24"/>
        </w:rPr>
        <w:t>comercial</w:t>
      </w:r>
      <w:r>
        <w:rPr>
          <w:color w:val="231F20"/>
          <w:spacing w:val="-4"/>
          <w:sz w:val="24"/>
        </w:rPr>
        <w:t> </w:t>
      </w:r>
      <w:r>
        <w:rPr>
          <w:color w:val="231F20"/>
          <w:sz w:val="24"/>
        </w:rPr>
        <w:t>y</w:t>
      </w:r>
      <w:r>
        <w:rPr>
          <w:color w:val="231F20"/>
          <w:spacing w:val="-4"/>
          <w:sz w:val="24"/>
        </w:rPr>
        <w:t> </w:t>
      </w:r>
      <w:r>
        <w:rPr>
          <w:color w:val="231F20"/>
          <w:sz w:val="24"/>
        </w:rPr>
        <w:t>financiero</w:t>
      </w:r>
      <w:r>
        <w:rPr>
          <w:color w:val="231F20"/>
          <w:spacing w:val="-4"/>
          <w:sz w:val="24"/>
        </w:rPr>
        <w:t> </w:t>
      </w:r>
      <w:r>
        <w:rPr>
          <w:color w:val="231F20"/>
          <w:sz w:val="24"/>
        </w:rPr>
        <w:t>impuesto</w:t>
      </w:r>
      <w:r>
        <w:rPr>
          <w:color w:val="231F20"/>
          <w:spacing w:val="-4"/>
          <w:sz w:val="24"/>
        </w:rPr>
        <w:t> </w:t>
      </w:r>
      <w:r>
        <w:rPr>
          <w:color w:val="231F20"/>
          <w:sz w:val="24"/>
        </w:rPr>
        <w:t>por</w:t>
      </w:r>
      <w:r>
        <w:rPr>
          <w:color w:val="231F20"/>
          <w:spacing w:val="-4"/>
          <w:sz w:val="24"/>
        </w:rPr>
        <w:t> </w:t>
      </w:r>
      <w:r>
        <w:rPr>
          <w:color w:val="231F20"/>
          <w:sz w:val="24"/>
        </w:rPr>
        <w:t>los</w:t>
      </w:r>
      <w:r>
        <w:rPr>
          <w:color w:val="231F20"/>
          <w:spacing w:val="-4"/>
          <w:sz w:val="24"/>
        </w:rPr>
        <w:t> </w:t>
      </w:r>
      <w:r>
        <w:rPr>
          <w:color w:val="231F20"/>
          <w:sz w:val="24"/>
        </w:rPr>
        <w:t>Estados Unidos de América contra Cuba” (1992-2022).</w:t>
      </w:r>
    </w:p>
    <w:p>
      <w:pPr>
        <w:pStyle w:val="BodyText"/>
        <w:spacing w:before="4"/>
        <w:jc w:val="left"/>
        <w:rPr>
          <w:sz w:val="20"/>
        </w:rPr>
      </w:pPr>
      <w:r>
        <w:rPr/>
        <w:drawing>
          <wp:anchor distT="0" distB="0" distL="0" distR="0" allowOverlap="1" layoutInCell="1" locked="0" behindDoc="1" simplePos="0" relativeHeight="487639552">
            <wp:simplePos x="0" y="0"/>
            <wp:positionH relativeFrom="page">
              <wp:posOffset>936002</wp:posOffset>
            </wp:positionH>
            <wp:positionV relativeFrom="paragraph">
              <wp:posOffset>187208</wp:posOffset>
            </wp:positionV>
            <wp:extent cx="5874110" cy="3468909"/>
            <wp:effectExtent l="0" t="0" r="0" b="0"/>
            <wp:wrapTopAndBottom/>
            <wp:docPr id="204" name="Image 204"/>
            <wp:cNvGraphicFramePr>
              <a:graphicFrameLocks/>
            </wp:cNvGraphicFramePr>
            <a:graphic>
              <a:graphicData uri="http://schemas.openxmlformats.org/drawingml/2006/picture">
                <pic:pic>
                  <pic:nvPicPr>
                    <pic:cNvPr id="204" name="Image 204"/>
                    <pic:cNvPicPr/>
                  </pic:nvPicPr>
                  <pic:blipFill>
                    <a:blip r:embed="rId67" cstate="print"/>
                    <a:stretch>
                      <a:fillRect/>
                    </a:stretch>
                  </pic:blipFill>
                  <pic:spPr>
                    <a:xfrm>
                      <a:off x="0" y="0"/>
                      <a:ext cx="5874110" cy="3468909"/>
                    </a:xfrm>
                    <a:prstGeom prst="rect">
                      <a:avLst/>
                    </a:prstGeom>
                  </pic:spPr>
                </pic:pic>
              </a:graphicData>
            </a:graphic>
          </wp:anchor>
        </w:drawing>
      </w:r>
    </w:p>
    <w:p>
      <w:pPr>
        <w:spacing w:after="0"/>
        <w:jc w:val="left"/>
        <w:rPr>
          <w:sz w:val="20"/>
        </w:rPr>
        <w:sectPr>
          <w:pgSz w:w="11910" w:h="16840"/>
          <w:pgMar w:header="0" w:footer="695" w:top="1920" w:bottom="880" w:left="0" w:right="0"/>
        </w:sectPr>
      </w:pPr>
    </w:p>
    <w:p>
      <w:pPr>
        <w:pStyle w:val="BodyText"/>
        <w:jc w:val="left"/>
        <w:rPr>
          <w:sz w:val="15"/>
        </w:rPr>
      </w:pPr>
    </w:p>
    <w:p>
      <w:pPr>
        <w:spacing w:after="0"/>
        <w:jc w:val="left"/>
        <w:rPr>
          <w:sz w:val="15"/>
        </w:rPr>
        <w:sectPr>
          <w:footerReference w:type="even" r:id="rId68"/>
          <w:pgSz w:w="11910" w:h="16840"/>
          <w:pgMar w:header="0" w:footer="0" w:top="1920" w:bottom="280" w:left="0" w:right="0"/>
        </w:sectPr>
      </w:pPr>
    </w:p>
    <w:p>
      <w:pPr>
        <w:pStyle w:val="BodyText"/>
        <w:jc w:val="left"/>
        <w:rPr>
          <w:sz w:val="56"/>
        </w:rPr>
      </w:pPr>
    </w:p>
    <w:p>
      <w:pPr>
        <w:pStyle w:val="BodyText"/>
        <w:jc w:val="left"/>
        <w:rPr>
          <w:sz w:val="56"/>
        </w:rPr>
      </w:pPr>
    </w:p>
    <w:p>
      <w:pPr>
        <w:pStyle w:val="BodyText"/>
        <w:jc w:val="left"/>
        <w:rPr>
          <w:sz w:val="56"/>
        </w:rPr>
      </w:pPr>
    </w:p>
    <w:p>
      <w:pPr>
        <w:pStyle w:val="BodyText"/>
        <w:jc w:val="left"/>
        <w:rPr>
          <w:sz w:val="56"/>
        </w:rPr>
      </w:pPr>
    </w:p>
    <w:p>
      <w:pPr>
        <w:pStyle w:val="BodyText"/>
        <w:jc w:val="left"/>
        <w:rPr>
          <w:sz w:val="56"/>
        </w:rPr>
      </w:pPr>
    </w:p>
    <w:p>
      <w:pPr>
        <w:pStyle w:val="BodyText"/>
        <w:spacing w:before="250"/>
        <w:jc w:val="left"/>
        <w:rPr>
          <w:sz w:val="56"/>
        </w:rPr>
      </w:pPr>
    </w:p>
    <w:p>
      <w:pPr>
        <w:pStyle w:val="Heading1"/>
        <w:spacing w:before="0"/>
        <w:ind w:left="3510" w:right="3507"/>
        <w:jc w:val="center"/>
      </w:pPr>
      <w:r>
        <w:rPr>
          <w:color w:val="B52628"/>
          <w:spacing w:val="-7"/>
          <w:w w:val="120"/>
        </w:rPr>
        <w:t>CUBA’S</w:t>
      </w:r>
      <w:r>
        <w:rPr>
          <w:color w:val="B52628"/>
          <w:spacing w:val="-42"/>
          <w:w w:val="120"/>
        </w:rPr>
        <w:t> </w:t>
      </w:r>
      <w:r>
        <w:rPr>
          <w:color w:val="B52628"/>
          <w:spacing w:val="-2"/>
          <w:w w:val="120"/>
        </w:rPr>
        <w:t>REPORT</w:t>
      </w:r>
    </w:p>
    <w:p>
      <w:pPr>
        <w:spacing w:line="216" w:lineRule="auto" w:before="301"/>
        <w:ind w:left="3510" w:right="3505" w:firstLine="0"/>
        <w:jc w:val="center"/>
        <w:rPr>
          <w:rFonts w:ascii="Segoe UI Semibold" w:hAnsi="Segoe UI Semibold"/>
          <w:b/>
          <w:i/>
          <w:sz w:val="28"/>
        </w:rPr>
      </w:pPr>
      <w:r>
        <w:rPr>
          <w:i/>
          <w:color w:val="231F20"/>
          <w:sz w:val="28"/>
        </w:rPr>
        <w:t>On Resolution 77/7 of the United</w:t>
      </w:r>
      <w:r>
        <w:rPr>
          <w:i/>
          <w:color w:val="231F20"/>
          <w:sz w:val="28"/>
        </w:rPr>
        <w:t> Nations General Assembly entitled </w:t>
      </w:r>
      <w:r>
        <w:rPr>
          <w:rFonts w:ascii="Segoe UI Semibold" w:hAnsi="Segoe UI Semibold"/>
          <w:b/>
          <w:i/>
          <w:color w:val="231F20"/>
          <w:sz w:val="28"/>
        </w:rPr>
        <w:t>“Necessity</w:t>
      </w:r>
      <w:r>
        <w:rPr>
          <w:rFonts w:ascii="Segoe UI Semibold" w:hAnsi="Segoe UI Semibold"/>
          <w:b/>
          <w:i/>
          <w:color w:val="231F20"/>
          <w:spacing w:val="-5"/>
          <w:sz w:val="28"/>
        </w:rPr>
        <w:t> </w:t>
      </w:r>
      <w:r>
        <w:rPr>
          <w:rFonts w:ascii="Segoe UI Semibold" w:hAnsi="Segoe UI Semibold"/>
          <w:b/>
          <w:i/>
          <w:color w:val="231F20"/>
          <w:sz w:val="28"/>
        </w:rPr>
        <w:t>of</w:t>
      </w:r>
      <w:r>
        <w:rPr>
          <w:rFonts w:ascii="Segoe UI Semibold" w:hAnsi="Segoe UI Semibold"/>
          <w:b/>
          <w:i/>
          <w:color w:val="231F20"/>
          <w:spacing w:val="-5"/>
          <w:sz w:val="28"/>
        </w:rPr>
        <w:t> </w:t>
      </w:r>
      <w:r>
        <w:rPr>
          <w:rFonts w:ascii="Segoe UI Semibold" w:hAnsi="Segoe UI Semibold"/>
          <w:b/>
          <w:i/>
          <w:color w:val="231F20"/>
          <w:sz w:val="28"/>
        </w:rPr>
        <w:t>ending</w:t>
      </w:r>
      <w:r>
        <w:rPr>
          <w:rFonts w:ascii="Segoe UI Semibold" w:hAnsi="Segoe UI Semibold"/>
          <w:b/>
          <w:i/>
          <w:color w:val="231F20"/>
          <w:spacing w:val="-6"/>
          <w:sz w:val="28"/>
        </w:rPr>
        <w:t> </w:t>
      </w:r>
      <w:r>
        <w:rPr>
          <w:rFonts w:ascii="Segoe UI Semibold" w:hAnsi="Segoe UI Semibold"/>
          <w:b/>
          <w:i/>
          <w:color w:val="231F20"/>
          <w:sz w:val="28"/>
        </w:rPr>
        <w:t>the</w:t>
      </w:r>
      <w:r>
        <w:rPr>
          <w:rFonts w:ascii="Segoe UI Semibold" w:hAnsi="Segoe UI Semibold"/>
          <w:b/>
          <w:i/>
          <w:color w:val="231F20"/>
          <w:spacing w:val="-6"/>
          <w:sz w:val="28"/>
        </w:rPr>
        <w:t> </w:t>
      </w:r>
      <w:r>
        <w:rPr>
          <w:rFonts w:ascii="Segoe UI Semibold" w:hAnsi="Segoe UI Semibold"/>
          <w:b/>
          <w:i/>
          <w:color w:val="231F20"/>
          <w:sz w:val="28"/>
        </w:rPr>
        <w:t>economic,</w:t>
      </w:r>
      <w:r>
        <w:rPr>
          <w:rFonts w:ascii="Segoe UI Semibold" w:hAnsi="Segoe UI Semibold"/>
          <w:b/>
          <w:i/>
          <w:color w:val="231F20"/>
          <w:sz w:val="28"/>
        </w:rPr>
        <w:t> commercial</w:t>
      </w:r>
      <w:r>
        <w:rPr>
          <w:rFonts w:ascii="Segoe UI Semibold" w:hAnsi="Segoe UI Semibold"/>
          <w:b/>
          <w:i/>
          <w:color w:val="231F20"/>
          <w:spacing w:val="-15"/>
          <w:sz w:val="28"/>
        </w:rPr>
        <w:t> </w:t>
      </w:r>
      <w:r>
        <w:rPr>
          <w:rFonts w:ascii="Segoe UI Semibold" w:hAnsi="Segoe UI Semibold"/>
          <w:b/>
          <w:i/>
          <w:color w:val="231F20"/>
          <w:sz w:val="28"/>
        </w:rPr>
        <w:t>and</w:t>
      </w:r>
      <w:r>
        <w:rPr>
          <w:rFonts w:ascii="Segoe UI Semibold" w:hAnsi="Segoe UI Semibold"/>
          <w:b/>
          <w:i/>
          <w:color w:val="231F20"/>
          <w:spacing w:val="-16"/>
          <w:sz w:val="28"/>
        </w:rPr>
        <w:t> </w:t>
      </w:r>
      <w:r>
        <w:rPr>
          <w:rFonts w:ascii="Segoe UI Semibold" w:hAnsi="Segoe UI Semibold"/>
          <w:b/>
          <w:i/>
          <w:color w:val="231F20"/>
          <w:sz w:val="28"/>
        </w:rPr>
        <w:t>financial</w:t>
      </w:r>
      <w:r>
        <w:rPr>
          <w:rFonts w:ascii="Segoe UI Semibold" w:hAnsi="Segoe UI Semibold"/>
          <w:b/>
          <w:i/>
          <w:color w:val="231F20"/>
          <w:spacing w:val="-15"/>
          <w:sz w:val="28"/>
        </w:rPr>
        <w:t> </w:t>
      </w:r>
      <w:r>
        <w:rPr>
          <w:rFonts w:ascii="Segoe UI Semibold" w:hAnsi="Segoe UI Semibold"/>
          <w:b/>
          <w:i/>
          <w:color w:val="231F20"/>
          <w:sz w:val="28"/>
        </w:rPr>
        <w:t>blockade imposed by the United States of America against Cuba”</w:t>
      </w:r>
    </w:p>
    <w:p>
      <w:pPr>
        <w:pStyle w:val="BodyText"/>
        <w:spacing w:before="108"/>
        <w:jc w:val="left"/>
        <w:rPr>
          <w:rFonts w:ascii="Segoe UI Semibold"/>
          <w:b/>
          <w:i/>
          <w:sz w:val="20"/>
        </w:rPr>
      </w:pPr>
      <w:r>
        <w:rPr/>
        <mc:AlternateContent>
          <mc:Choice Requires="wps">
            <w:drawing>
              <wp:anchor distT="0" distB="0" distL="0" distR="0" allowOverlap="1" layoutInCell="1" locked="0" behindDoc="1" simplePos="0" relativeHeight="487640064">
                <wp:simplePos x="0" y="0"/>
                <wp:positionH relativeFrom="page">
                  <wp:posOffset>3326688</wp:posOffset>
                </wp:positionH>
                <wp:positionV relativeFrom="paragraph">
                  <wp:posOffset>253641</wp:posOffset>
                </wp:positionV>
                <wp:extent cx="909319" cy="26034"/>
                <wp:effectExtent l="0" t="0" r="0" b="0"/>
                <wp:wrapTopAndBottom/>
                <wp:docPr id="205" name="Graphic 205"/>
                <wp:cNvGraphicFramePr>
                  <a:graphicFrameLocks/>
                </wp:cNvGraphicFramePr>
                <a:graphic>
                  <a:graphicData uri="http://schemas.microsoft.com/office/word/2010/wordprocessingShape">
                    <wps:wsp>
                      <wps:cNvPr id="205" name="Graphic 205"/>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61.9440pt;margin-top:19.971766pt;width:71.584pt;height:2.021pt;mso-position-horizontal-relative:page;mso-position-vertical-relative:paragraph;z-index:-15676416;mso-wrap-distance-left:0;mso-wrap-distance-right:0" id="docshape177" filled="true" fillcolor="#1f4282" stroked="false">
                <v:fill type="solid"/>
                <w10:wrap type="topAndBottom"/>
              </v:rect>
            </w:pict>
          </mc:Fallback>
        </mc:AlternateContent>
      </w:r>
    </w:p>
    <w:p>
      <w:pPr>
        <w:pStyle w:val="BodyText"/>
        <w:spacing w:before="38"/>
        <w:jc w:val="left"/>
        <w:rPr>
          <w:rFonts w:ascii="Segoe UI Semibold"/>
          <w:b/>
          <w:i/>
          <w:sz w:val="28"/>
        </w:rPr>
      </w:pPr>
    </w:p>
    <w:p>
      <w:pPr>
        <w:spacing w:before="0"/>
        <w:ind w:left="340" w:right="0" w:firstLine="0"/>
        <w:jc w:val="center"/>
        <w:rPr>
          <w:i/>
          <w:sz w:val="28"/>
        </w:rPr>
      </w:pPr>
      <w:r>
        <w:rPr>
          <w:i/>
          <w:color w:val="231F20"/>
          <w:sz w:val="28"/>
        </w:rPr>
        <w:t>July </w:t>
      </w:r>
      <w:r>
        <w:rPr>
          <w:i/>
          <w:color w:val="231F20"/>
          <w:spacing w:val="-4"/>
          <w:sz w:val="28"/>
        </w:rPr>
        <w:t>2023</w:t>
      </w:r>
    </w:p>
    <w:p>
      <w:pPr>
        <w:spacing w:after="0"/>
        <w:jc w:val="center"/>
        <w:rPr>
          <w:sz w:val="28"/>
        </w:rPr>
        <w:sectPr>
          <w:footerReference w:type="default" r:id="rId69"/>
          <w:pgSz w:w="11910" w:h="16840"/>
          <w:pgMar w:header="0" w:footer="0" w:top="1920" w:bottom="280" w:left="0" w:right="0"/>
        </w:sectPr>
      </w:pPr>
    </w:p>
    <w:p>
      <w:pPr>
        <w:pStyle w:val="BodyText"/>
        <w:jc w:val="left"/>
        <w:rPr>
          <w:i/>
          <w:sz w:val="15"/>
        </w:rPr>
      </w:pPr>
      <w:r>
        <w:rPr/>
        <mc:AlternateContent>
          <mc:Choice Requires="wps">
            <w:drawing>
              <wp:anchor distT="0" distB="0" distL="0" distR="0" allowOverlap="1" layoutInCell="1" locked="0" behindDoc="0" simplePos="0" relativeHeight="15781376">
                <wp:simplePos x="0" y="0"/>
                <wp:positionH relativeFrom="page">
                  <wp:posOffset>7560005</wp:posOffset>
                </wp:positionH>
                <wp:positionV relativeFrom="page">
                  <wp:posOffset>4885601</wp:posOffset>
                </wp:positionV>
                <wp:extent cx="1270" cy="3149600"/>
                <wp:effectExtent l="0" t="0" r="0" b="0"/>
                <wp:wrapNone/>
                <wp:docPr id="206" name="Graphic 206"/>
                <wp:cNvGraphicFramePr>
                  <a:graphicFrameLocks/>
                </wp:cNvGraphicFramePr>
                <a:graphic>
                  <a:graphicData uri="http://schemas.microsoft.com/office/word/2010/wordprocessingShape">
                    <wps:wsp>
                      <wps:cNvPr id="206" name="Graphic 206"/>
                      <wps:cNvSpPr/>
                      <wps:spPr>
                        <a:xfrm>
                          <a:off x="0" y="0"/>
                          <a:ext cx="1270" cy="3149600"/>
                        </a:xfrm>
                        <a:custGeom>
                          <a:avLst/>
                          <a:gdLst/>
                          <a:ahLst/>
                          <a:cxnLst/>
                          <a:rect l="l" t="t" r="r" b="b"/>
                          <a:pathLst>
                            <a:path w="0" h="3149600">
                              <a:moveTo>
                                <a:pt x="0" y="0"/>
                              </a:moveTo>
                              <a:lnTo>
                                <a:pt x="0" y="3149600"/>
                              </a:lnTo>
                              <a:lnTo>
                                <a:pt x="0" y="0"/>
                              </a:lnTo>
                              <a:close/>
                            </a:path>
                          </a:pathLst>
                        </a:custGeom>
                        <a:solidFill>
                          <a:srgbClr val="E0E2E2"/>
                        </a:solidFill>
                      </wps:spPr>
                      <wps:bodyPr wrap="square" lIns="0" tIns="0" rIns="0" bIns="0" rtlCol="0">
                        <a:prstTxWarp prst="textNoShape">
                          <a:avLst/>
                        </a:prstTxWarp>
                        <a:noAutofit/>
                      </wps:bodyPr>
                    </wps:wsp>
                  </a:graphicData>
                </a:graphic>
              </wp:anchor>
            </w:drawing>
          </mc:Choice>
          <mc:Fallback>
            <w:pict>
              <v:shape style="position:absolute;margin-left:595.276001pt;margin-top:384.693024pt;width:.1pt;height:248pt;mso-position-horizontal-relative:page;mso-position-vertical-relative:page;z-index:15781376" id="docshape178" coordorigin="11906,7694" coordsize="0,4960" path="m11906,7694l11906,12654,11906,7694xe" filled="true" fillcolor="#e0e2e2" stroked="false">
                <v:path arrowok="t"/>
                <v:fill type="solid"/>
                <w10:wrap type="none"/>
              </v:shape>
            </w:pict>
          </mc:Fallback>
        </mc:AlternateContent>
      </w:r>
    </w:p>
    <w:p>
      <w:pPr>
        <w:spacing w:after="0"/>
        <w:jc w:val="left"/>
        <w:rPr>
          <w:sz w:val="15"/>
        </w:rPr>
        <w:sectPr>
          <w:footerReference w:type="even" r:id="rId70"/>
          <w:pgSz w:w="11910" w:h="16840"/>
          <w:pgMar w:header="0" w:footer="0" w:top="1920" w:bottom="280" w:left="0" w:right="0"/>
        </w:sectPr>
      </w:pPr>
    </w:p>
    <w:p>
      <w:pPr>
        <w:pStyle w:val="Heading1"/>
        <w:spacing w:before="154"/>
        <w:ind w:left="1445"/>
      </w:pPr>
      <w:r>
        <w:rPr>
          <w:color w:val="1A4796"/>
          <w:spacing w:val="-2"/>
          <w:w w:val="115"/>
        </w:rPr>
        <w:t>Introduction</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641088">
                <wp:simplePos x="0" y="0"/>
                <wp:positionH relativeFrom="page">
                  <wp:posOffset>936002</wp:posOffset>
                </wp:positionH>
                <wp:positionV relativeFrom="paragraph">
                  <wp:posOffset>288395</wp:posOffset>
                </wp:positionV>
                <wp:extent cx="909319" cy="26034"/>
                <wp:effectExtent l="0" t="0" r="0" b="0"/>
                <wp:wrapTopAndBottom/>
                <wp:docPr id="216" name="Graphic 216"/>
                <wp:cNvGraphicFramePr>
                  <a:graphicFrameLocks/>
                </wp:cNvGraphicFramePr>
                <a:graphic>
                  <a:graphicData uri="http://schemas.microsoft.com/office/word/2010/wordprocessingShape">
                    <wps:wsp>
                      <wps:cNvPr id="216" name="Graphic 216"/>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73.700996pt;margin-top:22.708281pt;width:71.584pt;height:2.021pt;mso-position-horizontal-relative:page;mso-position-vertical-relative:paragraph;z-index:-15675392;mso-wrap-distance-left:0;mso-wrap-distance-right:0" id="docshape184" filled="true" fillcolor="#b52628" stroked="false">
                <v:fill type="solid"/>
                <w10:wrap type="topAndBottom"/>
              </v:rect>
            </w:pict>
          </mc:Fallback>
        </mc:AlternateContent>
      </w:r>
    </w:p>
    <w:p>
      <w:pPr>
        <w:pStyle w:val="BodyText"/>
        <w:spacing w:before="186"/>
        <w:jc w:val="left"/>
        <w:rPr>
          <w:rFonts w:ascii="Trebuchet MS"/>
          <w:sz w:val="20"/>
        </w:rPr>
      </w:pPr>
    </w:p>
    <w:p>
      <w:pPr>
        <w:spacing w:after="0"/>
        <w:jc w:val="left"/>
        <w:rPr>
          <w:rFonts w:ascii="Trebuchet MS"/>
          <w:sz w:val="20"/>
        </w:rPr>
        <w:sectPr>
          <w:footerReference w:type="default" r:id="rId71"/>
          <w:footerReference w:type="even" r:id="rId72"/>
          <w:pgSz w:w="11910" w:h="16840"/>
          <w:pgMar w:header="0" w:footer="695" w:top="1920" w:bottom="880" w:left="0" w:right="0"/>
          <w:pgNumType w:start="69"/>
        </w:sectPr>
      </w:pPr>
    </w:p>
    <w:p>
      <w:pPr>
        <w:pStyle w:val="BodyText"/>
        <w:spacing w:before="100"/>
        <w:ind w:left="1474"/>
      </w:pPr>
      <w:r>
        <w:rPr>
          <w:color w:val="231F20"/>
        </w:rPr>
        <w:t>The economic, commercial and financial blockade is the central element that has defined the policy of the United </w:t>
      </w:r>
      <w:r>
        <w:rPr>
          <w:color w:val="231F20"/>
        </w:rPr>
        <w:t>States towards Cuba for over 60 years. The effects of this undeclared war on the economy,</w:t>
      </w:r>
      <w:r>
        <w:rPr>
          <w:color w:val="231F20"/>
          <w:spacing w:val="-6"/>
        </w:rPr>
        <w:t> </w:t>
      </w:r>
      <w:r>
        <w:rPr>
          <w:color w:val="231F20"/>
        </w:rPr>
        <w:t>society,</w:t>
      </w:r>
      <w:r>
        <w:rPr>
          <w:color w:val="231F20"/>
          <w:spacing w:val="-6"/>
        </w:rPr>
        <w:t> </w:t>
      </w:r>
      <w:r>
        <w:rPr>
          <w:color w:val="231F20"/>
        </w:rPr>
        <w:t>daily</w:t>
      </w:r>
      <w:r>
        <w:rPr>
          <w:color w:val="231F20"/>
          <w:spacing w:val="-6"/>
        </w:rPr>
        <w:t> </w:t>
      </w:r>
      <w:r>
        <w:rPr>
          <w:color w:val="231F20"/>
        </w:rPr>
        <w:t>life</w:t>
      </w:r>
      <w:r>
        <w:rPr>
          <w:color w:val="231F20"/>
          <w:spacing w:val="-6"/>
        </w:rPr>
        <w:t> </w:t>
      </w:r>
      <w:r>
        <w:rPr>
          <w:color w:val="231F20"/>
        </w:rPr>
        <w:t>and</w:t>
      </w:r>
      <w:r>
        <w:rPr>
          <w:color w:val="231F20"/>
          <w:spacing w:val="-6"/>
        </w:rPr>
        <w:t> </w:t>
      </w:r>
      <w:r>
        <w:rPr>
          <w:color w:val="231F20"/>
        </w:rPr>
        <w:t>dreams</w:t>
      </w:r>
      <w:r>
        <w:rPr>
          <w:color w:val="231F20"/>
          <w:spacing w:val="-6"/>
        </w:rPr>
        <w:t> </w:t>
      </w:r>
      <w:r>
        <w:rPr>
          <w:color w:val="231F20"/>
        </w:rPr>
        <w:t>of progress of over 11 million Cubans have been without a single day’s respite.</w:t>
      </w:r>
    </w:p>
    <w:p>
      <w:pPr>
        <w:pStyle w:val="Heading5"/>
        <w:spacing w:before="166"/>
      </w:pPr>
      <w:r>
        <w:rPr/>
        <mc:AlternateContent>
          <mc:Choice Requires="wps">
            <w:drawing>
              <wp:anchor distT="0" distB="0" distL="0" distR="0" allowOverlap="1" layoutInCell="1" locked="0" behindDoc="0" simplePos="0" relativeHeight="15782400">
                <wp:simplePos x="0" y="0"/>
                <wp:positionH relativeFrom="page">
                  <wp:posOffset>0</wp:posOffset>
                </wp:positionH>
                <wp:positionV relativeFrom="paragraph">
                  <wp:posOffset>879642</wp:posOffset>
                </wp:positionV>
                <wp:extent cx="3888104" cy="3149600"/>
                <wp:effectExtent l="0" t="0" r="0" b="0"/>
                <wp:wrapNone/>
                <wp:docPr id="217" name="Textbox 217"/>
                <wp:cNvGraphicFramePr>
                  <a:graphicFrameLocks/>
                </wp:cNvGraphicFramePr>
                <a:graphic>
                  <a:graphicData uri="http://schemas.microsoft.com/office/word/2010/wordprocessingShape">
                    <wps:wsp>
                      <wps:cNvPr id="217" name="Textbox 217"/>
                      <wps:cNvSpPr txBox="1"/>
                      <wps:spPr>
                        <a:xfrm>
                          <a:off x="0" y="0"/>
                          <a:ext cx="3888104" cy="3149600"/>
                        </a:xfrm>
                        <a:prstGeom prst="rect">
                          <a:avLst/>
                        </a:prstGeom>
                        <a:solidFill>
                          <a:srgbClr val="E0E2E2"/>
                        </a:solidFill>
                      </wps:spPr>
                      <wps:txbx>
                        <w:txbxContent>
                          <w:p>
                            <w:pPr>
                              <w:pStyle w:val="BodyText"/>
                              <w:spacing w:before="35"/>
                              <w:jc w:val="left"/>
                              <w:rPr>
                                <w:color w:val="000000"/>
                                <w:sz w:val="26"/>
                              </w:rPr>
                            </w:pPr>
                          </w:p>
                          <w:p>
                            <w:pPr>
                              <w:spacing w:line="220" w:lineRule="auto" w:before="0"/>
                              <w:ind w:left="1474" w:right="270" w:firstLine="0"/>
                              <w:jc w:val="left"/>
                              <w:rPr>
                                <w:rFonts w:ascii="Segoe UI Semibold"/>
                                <w:b/>
                                <w:i/>
                                <w:color w:val="000000"/>
                                <w:sz w:val="26"/>
                              </w:rPr>
                            </w:pPr>
                            <w:r>
                              <w:rPr>
                                <w:rFonts w:ascii="Segoe UI Semibold"/>
                                <w:b/>
                                <w:i/>
                                <w:color w:val="1A4796"/>
                                <w:sz w:val="26"/>
                              </w:rPr>
                              <w:t>This report deals with the damage</w:t>
                            </w:r>
                            <w:r>
                              <w:rPr>
                                <w:rFonts w:ascii="Segoe UI Semibold"/>
                                <w:b/>
                                <w:i/>
                                <w:color w:val="1A4796"/>
                                <w:sz w:val="26"/>
                              </w:rPr>
                              <w:t> caused</w:t>
                            </w:r>
                            <w:r>
                              <w:rPr>
                                <w:rFonts w:ascii="Segoe UI Semibold"/>
                                <w:b/>
                                <w:i/>
                                <w:color w:val="1A4796"/>
                                <w:spacing w:val="-9"/>
                                <w:sz w:val="26"/>
                              </w:rPr>
                              <w:t> </w:t>
                            </w:r>
                            <w:r>
                              <w:rPr>
                                <w:rFonts w:ascii="Segoe UI Semibold"/>
                                <w:b/>
                                <w:i/>
                                <w:color w:val="1A4796"/>
                                <w:sz w:val="26"/>
                              </w:rPr>
                              <w:t>by</w:t>
                            </w:r>
                            <w:r>
                              <w:rPr>
                                <w:rFonts w:ascii="Segoe UI Semibold"/>
                                <w:b/>
                                <w:i/>
                                <w:color w:val="1A4796"/>
                                <w:spacing w:val="-8"/>
                                <w:sz w:val="26"/>
                              </w:rPr>
                              <w:t> </w:t>
                            </w:r>
                            <w:r>
                              <w:rPr>
                                <w:rFonts w:ascii="Segoe UI Semibold"/>
                                <w:b/>
                                <w:i/>
                                <w:color w:val="1A4796"/>
                                <w:sz w:val="26"/>
                              </w:rPr>
                              <w:t>the</w:t>
                            </w:r>
                            <w:r>
                              <w:rPr>
                                <w:rFonts w:ascii="Segoe UI Semibold"/>
                                <w:b/>
                                <w:i/>
                                <w:color w:val="1A4796"/>
                                <w:spacing w:val="-9"/>
                                <w:sz w:val="26"/>
                              </w:rPr>
                              <w:t> </w:t>
                            </w:r>
                            <w:r>
                              <w:rPr>
                                <w:rFonts w:ascii="Segoe UI Semibold"/>
                                <w:b/>
                                <w:i/>
                                <w:color w:val="1A4796"/>
                                <w:sz w:val="26"/>
                              </w:rPr>
                              <w:t>blockade</w:t>
                            </w:r>
                            <w:r>
                              <w:rPr>
                                <w:rFonts w:ascii="Segoe UI Semibold"/>
                                <w:b/>
                                <w:i/>
                                <w:color w:val="1A4796"/>
                                <w:spacing w:val="-9"/>
                                <w:sz w:val="26"/>
                              </w:rPr>
                              <w:t> </w:t>
                            </w:r>
                            <w:r>
                              <w:rPr>
                                <w:rFonts w:ascii="Segoe UI Semibold"/>
                                <w:b/>
                                <w:i/>
                                <w:color w:val="1A4796"/>
                                <w:sz w:val="26"/>
                              </w:rPr>
                              <w:t>in</w:t>
                            </w:r>
                            <w:r>
                              <w:rPr>
                                <w:rFonts w:ascii="Segoe UI Semibold"/>
                                <w:b/>
                                <w:i/>
                                <w:color w:val="1A4796"/>
                                <w:spacing w:val="-8"/>
                                <w:sz w:val="26"/>
                              </w:rPr>
                              <w:t> </w:t>
                            </w:r>
                            <w:r>
                              <w:rPr>
                                <w:rFonts w:ascii="Segoe UI Semibold"/>
                                <w:b/>
                                <w:i/>
                                <w:color w:val="1A4796"/>
                                <w:sz w:val="26"/>
                              </w:rPr>
                              <w:t>the</w:t>
                            </w:r>
                            <w:r>
                              <w:rPr>
                                <w:rFonts w:ascii="Segoe UI Semibold"/>
                                <w:b/>
                                <w:i/>
                                <w:color w:val="1A4796"/>
                                <w:spacing w:val="-9"/>
                                <w:sz w:val="26"/>
                              </w:rPr>
                              <w:t> </w:t>
                            </w:r>
                            <w:r>
                              <w:rPr>
                                <w:rFonts w:ascii="Segoe UI Semibold"/>
                                <w:b/>
                                <w:i/>
                                <w:color w:val="1A4796"/>
                                <w:sz w:val="26"/>
                              </w:rPr>
                              <w:t>period from 1 March 2022 to 28 February 2023, reflecting: the constant, deliberate application of a policy</w:t>
                            </w:r>
                          </w:p>
                          <w:p>
                            <w:pPr>
                              <w:spacing w:line="220" w:lineRule="auto" w:before="4"/>
                              <w:ind w:left="1474" w:right="306" w:firstLine="0"/>
                              <w:jc w:val="left"/>
                              <w:rPr>
                                <w:rFonts w:ascii="Segoe UI Semibold"/>
                                <w:b/>
                                <w:i/>
                                <w:color w:val="000000"/>
                                <w:sz w:val="26"/>
                              </w:rPr>
                            </w:pPr>
                            <w:r>
                              <w:rPr>
                                <w:rFonts w:ascii="Segoe UI Semibold"/>
                                <w:b/>
                                <w:i/>
                                <w:color w:val="1A4796"/>
                                <w:sz w:val="26"/>
                              </w:rPr>
                              <w:t>of maximum pressure, stepped up</w:t>
                            </w:r>
                            <w:r>
                              <w:rPr>
                                <w:rFonts w:ascii="Segoe UI Semibold"/>
                                <w:b/>
                                <w:i/>
                                <w:color w:val="1A4796"/>
                                <w:sz w:val="26"/>
                              </w:rPr>
                              <w:t> during</w:t>
                            </w:r>
                            <w:r>
                              <w:rPr>
                                <w:rFonts w:ascii="Segoe UI Semibold"/>
                                <w:b/>
                                <w:i/>
                                <w:color w:val="1A4796"/>
                                <w:spacing w:val="-16"/>
                                <w:sz w:val="26"/>
                              </w:rPr>
                              <w:t> </w:t>
                            </w:r>
                            <w:r>
                              <w:rPr>
                                <w:rFonts w:ascii="Segoe UI Semibold"/>
                                <w:b/>
                                <w:i/>
                                <w:color w:val="1A4796"/>
                                <w:sz w:val="26"/>
                              </w:rPr>
                              <w:t>the</w:t>
                            </w:r>
                            <w:r>
                              <w:rPr>
                                <w:rFonts w:ascii="Segoe UI Semibold"/>
                                <w:b/>
                                <w:i/>
                                <w:color w:val="1A4796"/>
                                <w:spacing w:val="-16"/>
                                <w:sz w:val="26"/>
                              </w:rPr>
                              <w:t> </w:t>
                            </w:r>
                            <w:r>
                              <w:rPr>
                                <w:rFonts w:ascii="Segoe UI Semibold"/>
                                <w:b/>
                                <w:i/>
                                <w:color w:val="1A4796"/>
                                <w:sz w:val="26"/>
                              </w:rPr>
                              <w:t>Trump</w:t>
                            </w:r>
                            <w:r>
                              <w:rPr>
                                <w:rFonts w:ascii="Segoe UI Semibold"/>
                                <w:b/>
                                <w:i/>
                                <w:color w:val="1A4796"/>
                                <w:spacing w:val="-16"/>
                                <w:sz w:val="26"/>
                              </w:rPr>
                              <w:t> </w:t>
                            </w:r>
                            <w:r>
                              <w:rPr>
                                <w:rFonts w:ascii="Segoe UI Semibold"/>
                                <w:b/>
                                <w:i/>
                                <w:color w:val="1A4796"/>
                                <w:sz w:val="26"/>
                              </w:rPr>
                              <w:t>administration;</w:t>
                            </w:r>
                            <w:r>
                              <w:rPr>
                                <w:rFonts w:ascii="Segoe UI Semibold"/>
                                <w:b/>
                                <w:i/>
                                <w:color w:val="1A4796"/>
                                <w:spacing w:val="-16"/>
                                <w:sz w:val="26"/>
                              </w:rPr>
                              <w:t> </w:t>
                            </w:r>
                            <w:r>
                              <w:rPr>
                                <w:rFonts w:ascii="Segoe UI Semibold"/>
                                <w:b/>
                                <w:i/>
                                <w:color w:val="1A4796"/>
                                <w:sz w:val="26"/>
                              </w:rPr>
                              <w:t>the persistence of the laws that embody this system of unilateral coercive measures; and the complete inaction of the present Biden administration as regards making any real progress in U.S.-Cuba bilateral relations.</w:t>
                            </w:r>
                          </w:p>
                        </w:txbxContent>
                      </wps:txbx>
                      <wps:bodyPr wrap="square" lIns="0" tIns="0" rIns="0" bIns="0" rtlCol="0">
                        <a:noAutofit/>
                      </wps:bodyPr>
                    </wps:wsp>
                  </a:graphicData>
                </a:graphic>
              </wp:anchor>
            </w:drawing>
          </mc:Choice>
          <mc:Fallback>
            <w:pict>
              <v:shape style="position:absolute;margin-left:0pt;margin-top:69.263168pt;width:306.150pt;height:248pt;mso-position-horizontal-relative:page;mso-position-vertical-relative:paragraph;z-index:15782400" type="#_x0000_t202" id="docshape185" filled="true" fillcolor="#e0e2e2" stroked="false">
                <v:textbox inset="0,0,0,0">
                  <w:txbxContent>
                    <w:p>
                      <w:pPr>
                        <w:pStyle w:val="BodyText"/>
                        <w:spacing w:before="35"/>
                        <w:jc w:val="left"/>
                        <w:rPr>
                          <w:color w:val="000000"/>
                          <w:sz w:val="26"/>
                        </w:rPr>
                      </w:pPr>
                    </w:p>
                    <w:p>
                      <w:pPr>
                        <w:spacing w:line="220" w:lineRule="auto" w:before="0"/>
                        <w:ind w:left="1474" w:right="270" w:firstLine="0"/>
                        <w:jc w:val="left"/>
                        <w:rPr>
                          <w:rFonts w:ascii="Segoe UI Semibold"/>
                          <w:b/>
                          <w:i/>
                          <w:color w:val="000000"/>
                          <w:sz w:val="26"/>
                        </w:rPr>
                      </w:pPr>
                      <w:r>
                        <w:rPr>
                          <w:rFonts w:ascii="Segoe UI Semibold"/>
                          <w:b/>
                          <w:i/>
                          <w:color w:val="1A4796"/>
                          <w:sz w:val="26"/>
                        </w:rPr>
                        <w:t>This report deals with the damage</w:t>
                      </w:r>
                      <w:r>
                        <w:rPr>
                          <w:rFonts w:ascii="Segoe UI Semibold"/>
                          <w:b/>
                          <w:i/>
                          <w:color w:val="1A4796"/>
                          <w:sz w:val="26"/>
                        </w:rPr>
                        <w:t> caused</w:t>
                      </w:r>
                      <w:r>
                        <w:rPr>
                          <w:rFonts w:ascii="Segoe UI Semibold"/>
                          <w:b/>
                          <w:i/>
                          <w:color w:val="1A4796"/>
                          <w:spacing w:val="-9"/>
                          <w:sz w:val="26"/>
                        </w:rPr>
                        <w:t> </w:t>
                      </w:r>
                      <w:r>
                        <w:rPr>
                          <w:rFonts w:ascii="Segoe UI Semibold"/>
                          <w:b/>
                          <w:i/>
                          <w:color w:val="1A4796"/>
                          <w:sz w:val="26"/>
                        </w:rPr>
                        <w:t>by</w:t>
                      </w:r>
                      <w:r>
                        <w:rPr>
                          <w:rFonts w:ascii="Segoe UI Semibold"/>
                          <w:b/>
                          <w:i/>
                          <w:color w:val="1A4796"/>
                          <w:spacing w:val="-8"/>
                          <w:sz w:val="26"/>
                        </w:rPr>
                        <w:t> </w:t>
                      </w:r>
                      <w:r>
                        <w:rPr>
                          <w:rFonts w:ascii="Segoe UI Semibold"/>
                          <w:b/>
                          <w:i/>
                          <w:color w:val="1A4796"/>
                          <w:sz w:val="26"/>
                        </w:rPr>
                        <w:t>the</w:t>
                      </w:r>
                      <w:r>
                        <w:rPr>
                          <w:rFonts w:ascii="Segoe UI Semibold"/>
                          <w:b/>
                          <w:i/>
                          <w:color w:val="1A4796"/>
                          <w:spacing w:val="-9"/>
                          <w:sz w:val="26"/>
                        </w:rPr>
                        <w:t> </w:t>
                      </w:r>
                      <w:r>
                        <w:rPr>
                          <w:rFonts w:ascii="Segoe UI Semibold"/>
                          <w:b/>
                          <w:i/>
                          <w:color w:val="1A4796"/>
                          <w:sz w:val="26"/>
                        </w:rPr>
                        <w:t>blockade</w:t>
                      </w:r>
                      <w:r>
                        <w:rPr>
                          <w:rFonts w:ascii="Segoe UI Semibold"/>
                          <w:b/>
                          <w:i/>
                          <w:color w:val="1A4796"/>
                          <w:spacing w:val="-9"/>
                          <w:sz w:val="26"/>
                        </w:rPr>
                        <w:t> </w:t>
                      </w:r>
                      <w:r>
                        <w:rPr>
                          <w:rFonts w:ascii="Segoe UI Semibold"/>
                          <w:b/>
                          <w:i/>
                          <w:color w:val="1A4796"/>
                          <w:sz w:val="26"/>
                        </w:rPr>
                        <w:t>in</w:t>
                      </w:r>
                      <w:r>
                        <w:rPr>
                          <w:rFonts w:ascii="Segoe UI Semibold"/>
                          <w:b/>
                          <w:i/>
                          <w:color w:val="1A4796"/>
                          <w:spacing w:val="-8"/>
                          <w:sz w:val="26"/>
                        </w:rPr>
                        <w:t> </w:t>
                      </w:r>
                      <w:r>
                        <w:rPr>
                          <w:rFonts w:ascii="Segoe UI Semibold"/>
                          <w:b/>
                          <w:i/>
                          <w:color w:val="1A4796"/>
                          <w:sz w:val="26"/>
                        </w:rPr>
                        <w:t>the</w:t>
                      </w:r>
                      <w:r>
                        <w:rPr>
                          <w:rFonts w:ascii="Segoe UI Semibold"/>
                          <w:b/>
                          <w:i/>
                          <w:color w:val="1A4796"/>
                          <w:spacing w:val="-9"/>
                          <w:sz w:val="26"/>
                        </w:rPr>
                        <w:t> </w:t>
                      </w:r>
                      <w:r>
                        <w:rPr>
                          <w:rFonts w:ascii="Segoe UI Semibold"/>
                          <w:b/>
                          <w:i/>
                          <w:color w:val="1A4796"/>
                          <w:sz w:val="26"/>
                        </w:rPr>
                        <w:t>period from 1 March 2022 to 28 February 2023, reflecting: the constant, deliberate application of a policy</w:t>
                      </w:r>
                    </w:p>
                    <w:p>
                      <w:pPr>
                        <w:spacing w:line="220" w:lineRule="auto" w:before="4"/>
                        <w:ind w:left="1474" w:right="306" w:firstLine="0"/>
                        <w:jc w:val="left"/>
                        <w:rPr>
                          <w:rFonts w:ascii="Segoe UI Semibold"/>
                          <w:b/>
                          <w:i/>
                          <w:color w:val="000000"/>
                          <w:sz w:val="26"/>
                        </w:rPr>
                      </w:pPr>
                      <w:r>
                        <w:rPr>
                          <w:rFonts w:ascii="Segoe UI Semibold"/>
                          <w:b/>
                          <w:i/>
                          <w:color w:val="1A4796"/>
                          <w:sz w:val="26"/>
                        </w:rPr>
                        <w:t>of maximum pressure, stepped up</w:t>
                      </w:r>
                      <w:r>
                        <w:rPr>
                          <w:rFonts w:ascii="Segoe UI Semibold"/>
                          <w:b/>
                          <w:i/>
                          <w:color w:val="1A4796"/>
                          <w:sz w:val="26"/>
                        </w:rPr>
                        <w:t> during</w:t>
                      </w:r>
                      <w:r>
                        <w:rPr>
                          <w:rFonts w:ascii="Segoe UI Semibold"/>
                          <w:b/>
                          <w:i/>
                          <w:color w:val="1A4796"/>
                          <w:spacing w:val="-16"/>
                          <w:sz w:val="26"/>
                        </w:rPr>
                        <w:t> </w:t>
                      </w:r>
                      <w:r>
                        <w:rPr>
                          <w:rFonts w:ascii="Segoe UI Semibold"/>
                          <w:b/>
                          <w:i/>
                          <w:color w:val="1A4796"/>
                          <w:sz w:val="26"/>
                        </w:rPr>
                        <w:t>the</w:t>
                      </w:r>
                      <w:r>
                        <w:rPr>
                          <w:rFonts w:ascii="Segoe UI Semibold"/>
                          <w:b/>
                          <w:i/>
                          <w:color w:val="1A4796"/>
                          <w:spacing w:val="-16"/>
                          <w:sz w:val="26"/>
                        </w:rPr>
                        <w:t> </w:t>
                      </w:r>
                      <w:r>
                        <w:rPr>
                          <w:rFonts w:ascii="Segoe UI Semibold"/>
                          <w:b/>
                          <w:i/>
                          <w:color w:val="1A4796"/>
                          <w:sz w:val="26"/>
                        </w:rPr>
                        <w:t>Trump</w:t>
                      </w:r>
                      <w:r>
                        <w:rPr>
                          <w:rFonts w:ascii="Segoe UI Semibold"/>
                          <w:b/>
                          <w:i/>
                          <w:color w:val="1A4796"/>
                          <w:spacing w:val="-16"/>
                          <w:sz w:val="26"/>
                        </w:rPr>
                        <w:t> </w:t>
                      </w:r>
                      <w:r>
                        <w:rPr>
                          <w:rFonts w:ascii="Segoe UI Semibold"/>
                          <w:b/>
                          <w:i/>
                          <w:color w:val="1A4796"/>
                          <w:sz w:val="26"/>
                        </w:rPr>
                        <w:t>administration;</w:t>
                      </w:r>
                      <w:r>
                        <w:rPr>
                          <w:rFonts w:ascii="Segoe UI Semibold"/>
                          <w:b/>
                          <w:i/>
                          <w:color w:val="1A4796"/>
                          <w:spacing w:val="-16"/>
                          <w:sz w:val="26"/>
                        </w:rPr>
                        <w:t> </w:t>
                      </w:r>
                      <w:r>
                        <w:rPr>
                          <w:rFonts w:ascii="Segoe UI Semibold"/>
                          <w:b/>
                          <w:i/>
                          <w:color w:val="1A4796"/>
                          <w:sz w:val="26"/>
                        </w:rPr>
                        <w:t>the persistence of the laws that embody this system of unilateral coercive measures; and the complete inaction of the present Biden administration as regards making any real progress in U.S.-Cuba bilateral relations.</w:t>
                      </w:r>
                    </w:p>
                  </w:txbxContent>
                </v:textbox>
                <v:fill type="solid"/>
                <w10:wrap type="none"/>
              </v:shape>
            </w:pict>
          </mc:Fallback>
        </mc:AlternateContent>
      </w:r>
      <w:r>
        <w:rPr>
          <w:i/>
          <w:color w:val="231F20"/>
        </w:rPr>
        <w:t>Over 80% of Cuba’s current population</w:t>
      </w:r>
      <w:r>
        <w:rPr>
          <w:color w:val="231F20"/>
        </w:rPr>
        <w:t> has never experienced life in </w:t>
      </w:r>
      <w:r>
        <w:rPr>
          <w:color w:val="231F20"/>
        </w:rPr>
        <w:t>Cuba without the blockade.</w:t>
      </w: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spacing w:before="175"/>
        <w:jc w:val="left"/>
        <w:rPr>
          <w:b/>
          <w:i/>
        </w:rPr>
      </w:pPr>
    </w:p>
    <w:p>
      <w:pPr>
        <w:pStyle w:val="BodyText"/>
        <w:spacing w:before="1"/>
        <w:ind w:left="1474" w:right="2"/>
      </w:pPr>
      <w:r>
        <w:rPr>
          <w:color w:val="231F20"/>
        </w:rPr>
        <w:t>Biden administration has been unable </w:t>
      </w:r>
      <w:r>
        <w:rPr>
          <w:color w:val="231F20"/>
        </w:rPr>
        <w:t>to frame its own policy on Cuba in line with the</w:t>
      </w:r>
      <w:r>
        <w:rPr>
          <w:color w:val="231F20"/>
          <w:spacing w:val="-3"/>
        </w:rPr>
        <w:t> </w:t>
      </w:r>
      <w:r>
        <w:rPr>
          <w:color w:val="231F20"/>
        </w:rPr>
        <w:t>electoral</w:t>
      </w:r>
      <w:r>
        <w:rPr>
          <w:color w:val="231F20"/>
          <w:spacing w:val="-3"/>
        </w:rPr>
        <w:t> </w:t>
      </w:r>
      <w:r>
        <w:rPr>
          <w:color w:val="231F20"/>
        </w:rPr>
        <w:t>promises</w:t>
      </w:r>
      <w:r>
        <w:rPr>
          <w:color w:val="231F20"/>
          <w:spacing w:val="-3"/>
        </w:rPr>
        <w:t> </w:t>
      </w:r>
      <w:r>
        <w:rPr>
          <w:color w:val="231F20"/>
        </w:rPr>
        <w:t>that</w:t>
      </w:r>
      <w:r>
        <w:rPr>
          <w:color w:val="231F20"/>
          <w:spacing w:val="-3"/>
        </w:rPr>
        <w:t> </w:t>
      </w:r>
      <w:r>
        <w:rPr>
          <w:color w:val="231F20"/>
        </w:rPr>
        <w:t>supported</w:t>
      </w:r>
      <w:r>
        <w:rPr>
          <w:color w:val="231F20"/>
          <w:spacing w:val="-3"/>
        </w:rPr>
        <w:t> </w:t>
      </w:r>
      <w:r>
        <w:rPr>
          <w:color w:val="231F20"/>
        </w:rPr>
        <w:t>the </w:t>
      </w:r>
      <w:r>
        <w:rPr>
          <w:color w:val="231F20"/>
          <w:spacing w:val="-2"/>
        </w:rPr>
        <w:t>Democratic</w:t>
      </w:r>
      <w:r>
        <w:rPr>
          <w:color w:val="231F20"/>
          <w:spacing w:val="-15"/>
        </w:rPr>
        <w:t> </w:t>
      </w:r>
      <w:r>
        <w:rPr>
          <w:color w:val="231F20"/>
          <w:spacing w:val="-2"/>
        </w:rPr>
        <w:t>party</w:t>
      </w:r>
      <w:r>
        <w:rPr>
          <w:color w:val="231F20"/>
          <w:spacing w:val="-14"/>
        </w:rPr>
        <w:t> </w:t>
      </w:r>
      <w:r>
        <w:rPr>
          <w:color w:val="231F20"/>
          <w:spacing w:val="-2"/>
        </w:rPr>
        <w:t>in</w:t>
      </w:r>
      <w:r>
        <w:rPr>
          <w:color w:val="231F20"/>
          <w:spacing w:val="-15"/>
        </w:rPr>
        <w:t> </w:t>
      </w:r>
      <w:r>
        <w:rPr>
          <w:color w:val="231F20"/>
          <w:spacing w:val="-2"/>
        </w:rPr>
        <w:t>2020.</w:t>
      </w:r>
      <w:r>
        <w:rPr>
          <w:color w:val="231F20"/>
          <w:spacing w:val="-14"/>
        </w:rPr>
        <w:t> </w:t>
      </w:r>
      <w:r>
        <w:rPr>
          <w:color w:val="231F20"/>
          <w:spacing w:val="-2"/>
        </w:rPr>
        <w:t>In</w:t>
      </w:r>
      <w:r>
        <w:rPr>
          <w:color w:val="231F20"/>
          <w:spacing w:val="-15"/>
        </w:rPr>
        <w:t> </w:t>
      </w:r>
      <w:r>
        <w:rPr>
          <w:color w:val="231F20"/>
          <w:spacing w:val="-2"/>
        </w:rPr>
        <w:t>practice,</w:t>
      </w:r>
      <w:r>
        <w:rPr>
          <w:color w:val="231F20"/>
          <w:spacing w:val="-14"/>
        </w:rPr>
        <w:t> </w:t>
      </w:r>
      <w:r>
        <w:rPr>
          <w:color w:val="231F20"/>
          <w:spacing w:val="-2"/>
        </w:rPr>
        <w:t>it</w:t>
      </w:r>
      <w:r>
        <w:rPr>
          <w:color w:val="231F20"/>
          <w:spacing w:val="-15"/>
        </w:rPr>
        <w:t> </w:t>
      </w:r>
      <w:r>
        <w:rPr>
          <w:color w:val="231F20"/>
          <w:spacing w:val="-2"/>
        </w:rPr>
        <w:t>has </w:t>
      </w:r>
      <w:r>
        <w:rPr>
          <w:color w:val="231F20"/>
          <w:spacing w:val="-8"/>
        </w:rPr>
        <w:t>left untouched measures of extreme hostility </w:t>
      </w:r>
      <w:r>
        <w:rPr>
          <w:color w:val="231F20"/>
        </w:rPr>
        <w:t>towards our country which continue to cause</w:t>
      </w:r>
      <w:r>
        <w:rPr>
          <w:color w:val="231F20"/>
          <w:spacing w:val="-5"/>
        </w:rPr>
        <w:t> </w:t>
      </w:r>
      <w:r>
        <w:rPr>
          <w:color w:val="231F20"/>
        </w:rPr>
        <w:t>significant</w:t>
      </w:r>
      <w:r>
        <w:rPr>
          <w:color w:val="231F20"/>
          <w:spacing w:val="-5"/>
        </w:rPr>
        <w:t> </w:t>
      </w:r>
      <w:r>
        <w:rPr>
          <w:color w:val="231F20"/>
        </w:rPr>
        <w:t>harm</w:t>
      </w:r>
      <w:r>
        <w:rPr>
          <w:color w:val="231F20"/>
          <w:spacing w:val="-5"/>
        </w:rPr>
        <w:t> </w:t>
      </w:r>
      <w:r>
        <w:rPr>
          <w:color w:val="231F20"/>
        </w:rPr>
        <w:t>to</w:t>
      </w:r>
      <w:r>
        <w:rPr>
          <w:color w:val="231F20"/>
          <w:spacing w:val="-5"/>
        </w:rPr>
        <w:t> </w:t>
      </w:r>
      <w:r>
        <w:rPr>
          <w:color w:val="231F20"/>
        </w:rPr>
        <w:t>all</w:t>
      </w:r>
      <w:r>
        <w:rPr>
          <w:color w:val="231F20"/>
          <w:spacing w:val="-5"/>
        </w:rPr>
        <w:t> </w:t>
      </w:r>
      <w:r>
        <w:rPr>
          <w:color w:val="231F20"/>
        </w:rPr>
        <w:t>Cubans.</w:t>
      </w:r>
    </w:p>
    <w:p>
      <w:pPr>
        <w:pStyle w:val="BodyText"/>
        <w:spacing w:before="100"/>
        <w:ind w:left="413" w:right="1133"/>
      </w:pPr>
      <w:r>
        <w:rPr/>
        <w:br w:type="column"/>
      </w:r>
      <w:r>
        <w:rPr>
          <w:color w:val="231F20"/>
          <w:spacing w:val="-4"/>
        </w:rPr>
        <w:t>The</w:t>
      </w:r>
      <w:r>
        <w:rPr>
          <w:color w:val="231F20"/>
          <w:spacing w:val="-9"/>
        </w:rPr>
        <w:t> </w:t>
      </w:r>
      <w:r>
        <w:rPr>
          <w:color w:val="231F20"/>
          <w:spacing w:val="-4"/>
        </w:rPr>
        <w:t>severest</w:t>
      </w:r>
      <w:r>
        <w:rPr>
          <w:color w:val="231F20"/>
          <w:spacing w:val="-9"/>
        </w:rPr>
        <w:t> </w:t>
      </w:r>
      <w:r>
        <w:rPr>
          <w:color w:val="231F20"/>
          <w:spacing w:val="-4"/>
        </w:rPr>
        <w:t>of</w:t>
      </w:r>
      <w:r>
        <w:rPr>
          <w:color w:val="231F20"/>
          <w:spacing w:val="-9"/>
        </w:rPr>
        <w:t> </w:t>
      </w:r>
      <w:r>
        <w:rPr>
          <w:color w:val="231F20"/>
          <w:spacing w:val="-4"/>
        </w:rPr>
        <w:t>the</w:t>
      </w:r>
      <w:r>
        <w:rPr>
          <w:color w:val="231F20"/>
          <w:spacing w:val="-9"/>
        </w:rPr>
        <w:t> </w:t>
      </w:r>
      <w:r>
        <w:rPr>
          <w:color w:val="231F20"/>
          <w:spacing w:val="-4"/>
        </w:rPr>
        <w:t>current</w:t>
      </w:r>
      <w:r>
        <w:rPr>
          <w:color w:val="231F20"/>
          <w:spacing w:val="-9"/>
        </w:rPr>
        <w:t> </w:t>
      </w:r>
      <w:r>
        <w:rPr>
          <w:color w:val="231F20"/>
          <w:spacing w:val="-4"/>
        </w:rPr>
        <w:t>measures</w:t>
      </w:r>
      <w:r>
        <w:rPr>
          <w:color w:val="231F20"/>
          <w:spacing w:val="-9"/>
        </w:rPr>
        <w:t> </w:t>
      </w:r>
      <w:r>
        <w:rPr>
          <w:color w:val="231F20"/>
          <w:spacing w:val="-4"/>
        </w:rPr>
        <w:t>under </w:t>
      </w:r>
      <w:r>
        <w:rPr>
          <w:color w:val="231F20"/>
          <w:spacing w:val="-2"/>
        </w:rPr>
        <w:t>Washington’s</w:t>
      </w:r>
      <w:r>
        <w:rPr>
          <w:color w:val="231F20"/>
          <w:spacing w:val="-15"/>
        </w:rPr>
        <w:t> </w:t>
      </w:r>
      <w:r>
        <w:rPr>
          <w:color w:val="231F20"/>
          <w:spacing w:val="-2"/>
        </w:rPr>
        <w:t>policy</w:t>
      </w:r>
      <w:r>
        <w:rPr>
          <w:color w:val="231F20"/>
          <w:spacing w:val="-14"/>
        </w:rPr>
        <w:t> </w:t>
      </w:r>
      <w:r>
        <w:rPr>
          <w:color w:val="231F20"/>
          <w:spacing w:val="-2"/>
        </w:rPr>
        <w:t>of</w:t>
      </w:r>
      <w:r>
        <w:rPr>
          <w:color w:val="231F20"/>
          <w:spacing w:val="-15"/>
        </w:rPr>
        <w:t> </w:t>
      </w:r>
      <w:r>
        <w:rPr>
          <w:color w:val="231F20"/>
          <w:spacing w:val="-2"/>
        </w:rPr>
        <w:t>aggression</w:t>
      </w:r>
      <w:r>
        <w:rPr>
          <w:color w:val="231F20"/>
          <w:spacing w:val="-14"/>
        </w:rPr>
        <w:t> </w:t>
      </w:r>
      <w:r>
        <w:rPr>
          <w:color w:val="231F20"/>
          <w:spacing w:val="-2"/>
        </w:rPr>
        <w:t>towards </w:t>
      </w:r>
      <w:r>
        <w:rPr>
          <w:color w:val="231F20"/>
        </w:rPr>
        <w:t>Cuba</w:t>
      </w:r>
      <w:r>
        <w:rPr>
          <w:color w:val="231F20"/>
          <w:spacing w:val="-12"/>
        </w:rPr>
        <w:t> </w:t>
      </w:r>
      <w:r>
        <w:rPr>
          <w:color w:val="231F20"/>
        </w:rPr>
        <w:t>include:</w:t>
      </w:r>
      <w:r>
        <w:rPr>
          <w:color w:val="231F20"/>
          <w:spacing w:val="-10"/>
        </w:rPr>
        <w:t> </w:t>
      </w:r>
      <w:r>
        <w:rPr>
          <w:color w:val="231F20"/>
        </w:rPr>
        <w:t>enabling</w:t>
      </w:r>
      <w:r>
        <w:rPr>
          <w:color w:val="231F20"/>
          <w:spacing w:val="-10"/>
        </w:rPr>
        <w:t> </w:t>
      </w:r>
      <w:r>
        <w:rPr>
          <w:color w:val="231F20"/>
        </w:rPr>
        <w:t>action</w:t>
      </w:r>
      <w:r>
        <w:rPr>
          <w:color w:val="231F20"/>
          <w:spacing w:val="-10"/>
        </w:rPr>
        <w:t> </w:t>
      </w:r>
      <w:r>
        <w:rPr>
          <w:color w:val="231F20"/>
        </w:rPr>
        <w:t>through</w:t>
      </w:r>
      <w:r>
        <w:rPr>
          <w:color w:val="231F20"/>
          <w:spacing w:val="-9"/>
        </w:rPr>
        <w:t> </w:t>
      </w:r>
      <w:r>
        <w:rPr>
          <w:color w:val="231F20"/>
          <w:spacing w:val="-5"/>
        </w:rPr>
        <w:t>the</w:t>
      </w:r>
    </w:p>
    <w:p>
      <w:pPr>
        <w:pStyle w:val="BodyText"/>
        <w:spacing w:before="2"/>
        <w:ind w:left="413" w:right="1133"/>
      </w:pPr>
      <w:r>
        <w:rPr>
          <w:color w:val="231F20"/>
        </w:rPr>
        <w:t>U.S. courts under Title III of the Helms- Burton</w:t>
      </w:r>
      <w:r>
        <w:rPr>
          <w:color w:val="231F20"/>
          <w:spacing w:val="22"/>
        </w:rPr>
        <w:t> </w:t>
      </w:r>
      <w:r>
        <w:rPr>
          <w:color w:val="231F20"/>
        </w:rPr>
        <w:t>Act;</w:t>
      </w:r>
      <w:r>
        <w:rPr>
          <w:color w:val="231F20"/>
          <w:spacing w:val="24"/>
        </w:rPr>
        <w:t> </w:t>
      </w:r>
      <w:r>
        <w:rPr>
          <w:color w:val="231F20"/>
        </w:rPr>
        <w:t>the</w:t>
      </w:r>
      <w:r>
        <w:rPr>
          <w:color w:val="231F20"/>
          <w:spacing w:val="24"/>
        </w:rPr>
        <w:t> </w:t>
      </w:r>
      <w:r>
        <w:rPr>
          <w:color w:val="231F20"/>
        </w:rPr>
        <w:t>inclusion</w:t>
      </w:r>
      <w:r>
        <w:rPr>
          <w:color w:val="231F20"/>
          <w:spacing w:val="24"/>
        </w:rPr>
        <w:t> </w:t>
      </w:r>
      <w:r>
        <w:rPr>
          <w:color w:val="231F20"/>
        </w:rPr>
        <w:t>of</w:t>
      </w:r>
      <w:r>
        <w:rPr>
          <w:color w:val="231F20"/>
          <w:spacing w:val="24"/>
        </w:rPr>
        <w:t> </w:t>
      </w:r>
      <w:r>
        <w:rPr>
          <w:color w:val="231F20"/>
        </w:rPr>
        <w:t>Cuba</w:t>
      </w:r>
      <w:r>
        <w:rPr>
          <w:color w:val="231F20"/>
          <w:spacing w:val="24"/>
        </w:rPr>
        <w:t> </w:t>
      </w:r>
      <w:r>
        <w:rPr>
          <w:color w:val="231F20"/>
        </w:rPr>
        <w:t>on</w:t>
      </w:r>
      <w:r>
        <w:rPr>
          <w:color w:val="231F20"/>
          <w:spacing w:val="25"/>
        </w:rPr>
        <w:t> </w:t>
      </w:r>
      <w:r>
        <w:rPr>
          <w:color w:val="231F20"/>
          <w:spacing w:val="-5"/>
        </w:rPr>
        <w:t>the</w:t>
      </w:r>
    </w:p>
    <w:p>
      <w:pPr>
        <w:pStyle w:val="BodyText"/>
        <w:spacing w:before="2"/>
        <w:ind w:left="413" w:right="1133"/>
      </w:pPr>
      <w:r>
        <w:rPr>
          <w:color w:val="231F20"/>
          <w:spacing w:val="-6"/>
        </w:rPr>
        <w:t>U.S.</w:t>
      </w:r>
      <w:r>
        <w:rPr>
          <w:color w:val="231F20"/>
          <w:spacing w:val="-8"/>
        </w:rPr>
        <w:t> </w:t>
      </w:r>
      <w:r>
        <w:rPr>
          <w:color w:val="231F20"/>
          <w:spacing w:val="-6"/>
        </w:rPr>
        <w:t>State</w:t>
      </w:r>
      <w:r>
        <w:rPr>
          <w:color w:val="231F20"/>
          <w:spacing w:val="-8"/>
        </w:rPr>
        <w:t> </w:t>
      </w:r>
      <w:r>
        <w:rPr>
          <w:color w:val="231F20"/>
          <w:spacing w:val="-6"/>
        </w:rPr>
        <w:t>Department’s</w:t>
      </w:r>
      <w:r>
        <w:rPr>
          <w:color w:val="231F20"/>
          <w:spacing w:val="-8"/>
        </w:rPr>
        <w:t> </w:t>
      </w:r>
      <w:r>
        <w:rPr>
          <w:color w:val="231F20"/>
          <w:spacing w:val="-6"/>
        </w:rPr>
        <w:t>arbitrary</w:t>
      </w:r>
      <w:r>
        <w:rPr>
          <w:color w:val="231F20"/>
          <w:spacing w:val="-8"/>
        </w:rPr>
        <w:t> </w:t>
      </w:r>
      <w:r>
        <w:rPr>
          <w:color w:val="231F20"/>
          <w:spacing w:val="-6"/>
        </w:rPr>
        <w:t>list</w:t>
      </w:r>
      <w:r>
        <w:rPr>
          <w:color w:val="231F20"/>
          <w:spacing w:val="-8"/>
        </w:rPr>
        <w:t> </w:t>
      </w:r>
      <w:r>
        <w:rPr>
          <w:color w:val="231F20"/>
          <w:spacing w:val="-6"/>
        </w:rPr>
        <w:t>of</w:t>
      </w:r>
      <w:r>
        <w:rPr>
          <w:color w:val="231F20"/>
          <w:spacing w:val="-8"/>
        </w:rPr>
        <w:t> </w:t>
      </w:r>
      <w:r>
        <w:rPr>
          <w:color w:val="231F20"/>
          <w:spacing w:val="-6"/>
        </w:rPr>
        <w:t>state </w:t>
      </w:r>
      <w:r>
        <w:rPr>
          <w:color w:val="231F20"/>
        </w:rPr>
        <w:t>sponsors of terrorism; persecution of the country’s</w:t>
      </w:r>
      <w:r>
        <w:rPr>
          <w:color w:val="231F20"/>
          <w:spacing w:val="-15"/>
        </w:rPr>
        <w:t> </w:t>
      </w:r>
      <w:r>
        <w:rPr>
          <w:color w:val="231F20"/>
        </w:rPr>
        <w:t>financial</w:t>
      </w:r>
      <w:r>
        <w:rPr>
          <w:color w:val="231F20"/>
          <w:spacing w:val="-15"/>
        </w:rPr>
        <w:t> </w:t>
      </w:r>
      <w:r>
        <w:rPr>
          <w:color w:val="231F20"/>
        </w:rPr>
        <w:t>and</w:t>
      </w:r>
      <w:r>
        <w:rPr>
          <w:color w:val="231F20"/>
          <w:spacing w:val="-15"/>
        </w:rPr>
        <w:t> </w:t>
      </w:r>
      <w:r>
        <w:rPr>
          <w:color w:val="231F20"/>
        </w:rPr>
        <w:t>trading</w:t>
      </w:r>
      <w:r>
        <w:rPr>
          <w:color w:val="231F20"/>
          <w:spacing w:val="-15"/>
        </w:rPr>
        <w:t> </w:t>
      </w:r>
      <w:r>
        <w:rPr>
          <w:color w:val="231F20"/>
        </w:rPr>
        <w:t>operations; the impossibility of processing non- immigrant visas in Havana; intimidation</w:t>
      </w:r>
      <w:r>
        <w:rPr>
          <w:color w:val="231F20"/>
          <w:spacing w:val="40"/>
        </w:rPr>
        <w:t> </w:t>
      </w:r>
      <w:r>
        <w:rPr>
          <w:color w:val="231F20"/>
        </w:rPr>
        <w:t>of companies that send us fuel supplies; attempts to undermine recovery of the tourism</w:t>
      </w:r>
      <w:r>
        <w:rPr>
          <w:color w:val="231F20"/>
          <w:spacing w:val="21"/>
        </w:rPr>
        <w:t> </w:t>
      </w:r>
      <w:r>
        <w:rPr>
          <w:color w:val="231F20"/>
        </w:rPr>
        <w:t>sector</w:t>
      </w:r>
      <w:r>
        <w:rPr>
          <w:color w:val="231F20"/>
          <w:spacing w:val="23"/>
        </w:rPr>
        <w:t> </w:t>
      </w:r>
      <w:r>
        <w:rPr>
          <w:color w:val="231F20"/>
        </w:rPr>
        <w:t>in</w:t>
      </w:r>
      <w:r>
        <w:rPr>
          <w:color w:val="231F20"/>
          <w:spacing w:val="24"/>
        </w:rPr>
        <w:t> </w:t>
      </w:r>
      <w:r>
        <w:rPr>
          <w:color w:val="231F20"/>
        </w:rPr>
        <w:t>the</w:t>
      </w:r>
      <w:r>
        <w:rPr>
          <w:color w:val="231F20"/>
          <w:spacing w:val="23"/>
        </w:rPr>
        <w:t> </w:t>
      </w:r>
      <w:r>
        <w:rPr>
          <w:color w:val="231F20"/>
        </w:rPr>
        <w:t>wake</w:t>
      </w:r>
      <w:r>
        <w:rPr>
          <w:color w:val="231F20"/>
          <w:spacing w:val="24"/>
        </w:rPr>
        <w:t> </w:t>
      </w:r>
      <w:r>
        <w:rPr>
          <w:color w:val="231F20"/>
        </w:rPr>
        <w:t>of</w:t>
      </w:r>
      <w:r>
        <w:rPr>
          <w:color w:val="231F20"/>
          <w:spacing w:val="23"/>
        </w:rPr>
        <w:t> </w:t>
      </w:r>
      <w:r>
        <w:rPr>
          <w:color w:val="231F20"/>
        </w:rPr>
        <w:t>the</w:t>
      </w:r>
      <w:r>
        <w:rPr>
          <w:color w:val="231F20"/>
          <w:spacing w:val="24"/>
        </w:rPr>
        <w:t> </w:t>
      </w:r>
      <w:r>
        <w:rPr>
          <w:color w:val="231F20"/>
          <w:spacing w:val="-2"/>
        </w:rPr>
        <w:t>COVID</w:t>
      </w:r>
    </w:p>
    <w:p>
      <w:pPr>
        <w:pStyle w:val="BodyText"/>
        <w:spacing w:before="6"/>
        <w:ind w:left="413" w:right="1133"/>
      </w:pPr>
      <w:r>
        <w:rPr>
          <w:color w:val="231F20"/>
        </w:rPr>
        <w:t>19 pandemic; and a campaign aimed at discrediting Cuba’s medical cooperation </w:t>
      </w:r>
      <w:r>
        <w:rPr>
          <w:color w:val="231F20"/>
          <w:spacing w:val="-2"/>
        </w:rPr>
        <w:t>programs.</w:t>
      </w:r>
    </w:p>
    <w:p>
      <w:pPr>
        <w:pStyle w:val="BodyText"/>
        <w:spacing w:before="162"/>
        <w:ind w:left="413" w:right="1132"/>
      </w:pPr>
      <w:r>
        <w:rPr>
          <w:color w:val="231F20"/>
        </w:rPr>
        <w:t>These are especially injurious measures under the conditions of an international economy in crisis, which is increasingly interconnected, interdependent and at the</w:t>
      </w:r>
      <w:r>
        <w:rPr>
          <w:color w:val="231F20"/>
          <w:spacing w:val="-10"/>
        </w:rPr>
        <w:t> </w:t>
      </w:r>
      <w:r>
        <w:rPr>
          <w:color w:val="231F20"/>
        </w:rPr>
        <w:t>whim</w:t>
      </w:r>
      <w:r>
        <w:rPr>
          <w:color w:val="231F20"/>
          <w:spacing w:val="-10"/>
        </w:rPr>
        <w:t> </w:t>
      </w:r>
      <w:r>
        <w:rPr>
          <w:color w:val="231F20"/>
        </w:rPr>
        <w:t>of</w:t>
      </w:r>
      <w:r>
        <w:rPr>
          <w:color w:val="231F20"/>
          <w:spacing w:val="-10"/>
        </w:rPr>
        <w:t> </w:t>
      </w:r>
      <w:r>
        <w:rPr>
          <w:color w:val="231F20"/>
        </w:rPr>
        <w:t>the</w:t>
      </w:r>
      <w:r>
        <w:rPr>
          <w:color w:val="231F20"/>
          <w:spacing w:val="-10"/>
        </w:rPr>
        <w:t> </w:t>
      </w:r>
      <w:r>
        <w:rPr>
          <w:color w:val="231F20"/>
        </w:rPr>
        <w:t>centers</w:t>
      </w:r>
      <w:r>
        <w:rPr>
          <w:color w:val="231F20"/>
          <w:spacing w:val="-10"/>
        </w:rPr>
        <w:t> </w:t>
      </w:r>
      <w:r>
        <w:rPr>
          <w:color w:val="231F20"/>
        </w:rPr>
        <w:t>of</w:t>
      </w:r>
      <w:r>
        <w:rPr>
          <w:color w:val="231F20"/>
          <w:spacing w:val="-10"/>
        </w:rPr>
        <w:t> </w:t>
      </w:r>
      <w:r>
        <w:rPr>
          <w:color w:val="231F20"/>
        </w:rPr>
        <w:t>financial</w:t>
      </w:r>
      <w:r>
        <w:rPr>
          <w:color w:val="231F20"/>
          <w:spacing w:val="-10"/>
        </w:rPr>
        <w:t> </w:t>
      </w:r>
      <w:r>
        <w:rPr>
          <w:color w:val="231F20"/>
        </w:rPr>
        <w:t>power controlled from Washington.</w:t>
      </w:r>
    </w:p>
    <w:p>
      <w:pPr>
        <w:pStyle w:val="BodyText"/>
        <w:spacing w:before="165"/>
        <w:ind w:left="413" w:right="1131"/>
      </w:pPr>
      <w:r>
        <w:rPr>
          <w:color w:val="231F20"/>
        </w:rPr>
        <w:t>Together with the magnified effects of</w:t>
      </w:r>
      <w:r>
        <w:rPr>
          <w:color w:val="231F20"/>
          <w:spacing w:val="40"/>
        </w:rPr>
        <w:t> </w:t>
      </w:r>
      <w:r>
        <w:rPr>
          <w:color w:val="231F20"/>
        </w:rPr>
        <w:t>the blockade, Cuba has had to suffer the lingering repercussions of the COVID-19 pandemic</w:t>
      </w:r>
      <w:r>
        <w:rPr>
          <w:color w:val="231F20"/>
          <w:spacing w:val="-17"/>
        </w:rPr>
        <w:t> </w:t>
      </w:r>
      <w:r>
        <w:rPr>
          <w:color w:val="231F20"/>
        </w:rPr>
        <w:t>on</w:t>
      </w:r>
      <w:r>
        <w:rPr>
          <w:color w:val="231F20"/>
          <w:spacing w:val="-16"/>
        </w:rPr>
        <w:t> </w:t>
      </w:r>
      <w:r>
        <w:rPr>
          <w:color w:val="231F20"/>
        </w:rPr>
        <w:t>the</w:t>
      </w:r>
      <w:r>
        <w:rPr>
          <w:color w:val="231F20"/>
          <w:spacing w:val="-17"/>
        </w:rPr>
        <w:t> </w:t>
      </w:r>
      <w:r>
        <w:rPr>
          <w:color w:val="231F20"/>
        </w:rPr>
        <w:t>socioeconomic</w:t>
      </w:r>
      <w:r>
        <w:rPr>
          <w:color w:val="231F20"/>
          <w:spacing w:val="-16"/>
        </w:rPr>
        <w:t> </w:t>
      </w:r>
      <w:r>
        <w:rPr>
          <w:color w:val="231F20"/>
        </w:rPr>
        <w:t>life</w:t>
      </w:r>
      <w:r>
        <w:rPr>
          <w:color w:val="231F20"/>
          <w:spacing w:val="-17"/>
        </w:rPr>
        <w:t> </w:t>
      </w:r>
      <w:r>
        <w:rPr>
          <w:color w:val="231F20"/>
        </w:rPr>
        <w:t>of</w:t>
      </w:r>
      <w:r>
        <w:rPr>
          <w:color w:val="231F20"/>
          <w:spacing w:val="-16"/>
        </w:rPr>
        <w:t> </w:t>
      </w:r>
      <w:r>
        <w:rPr>
          <w:color w:val="231F20"/>
        </w:rPr>
        <w:t>the country and the combined impacts of a global multidimensional crisis.</w:t>
      </w:r>
    </w:p>
    <w:p>
      <w:pPr>
        <w:pStyle w:val="BodyText"/>
        <w:spacing w:before="165"/>
        <w:ind w:left="413" w:right="1133"/>
      </w:pPr>
      <w:r>
        <w:rPr>
          <w:color w:val="231F20"/>
        </w:rPr>
        <w:t>The U.S. government seized on the pandemic as an ally in subjecting Cuba</w:t>
      </w:r>
      <w:r>
        <w:rPr>
          <w:color w:val="231F20"/>
          <w:spacing w:val="80"/>
        </w:rPr>
        <w:t> </w:t>
      </w:r>
      <w:r>
        <w:rPr>
          <w:color w:val="231F20"/>
        </w:rPr>
        <w:t>to its policy of aggression. The vindictive </w:t>
      </w:r>
      <w:r>
        <w:rPr>
          <w:color w:val="231F20"/>
          <w:spacing w:val="-6"/>
        </w:rPr>
        <w:t>intention</w:t>
      </w:r>
      <w:r>
        <w:rPr>
          <w:color w:val="231F20"/>
          <w:spacing w:val="-11"/>
        </w:rPr>
        <w:t> </w:t>
      </w:r>
      <w:r>
        <w:rPr>
          <w:color w:val="231F20"/>
          <w:spacing w:val="-6"/>
        </w:rPr>
        <w:t>of</w:t>
      </w:r>
      <w:r>
        <w:rPr>
          <w:color w:val="231F20"/>
          <w:spacing w:val="-10"/>
        </w:rPr>
        <w:t> </w:t>
      </w:r>
      <w:r>
        <w:rPr>
          <w:color w:val="231F20"/>
          <w:spacing w:val="-6"/>
        </w:rPr>
        <w:t>stepping</w:t>
      </w:r>
      <w:r>
        <w:rPr>
          <w:color w:val="231F20"/>
          <w:spacing w:val="-11"/>
        </w:rPr>
        <w:t> </w:t>
      </w:r>
      <w:r>
        <w:rPr>
          <w:color w:val="231F20"/>
          <w:spacing w:val="-6"/>
        </w:rPr>
        <w:t>up</w:t>
      </w:r>
      <w:r>
        <w:rPr>
          <w:color w:val="231F20"/>
          <w:spacing w:val="-10"/>
        </w:rPr>
        <w:t> </w:t>
      </w:r>
      <w:r>
        <w:rPr>
          <w:color w:val="231F20"/>
          <w:spacing w:val="-6"/>
        </w:rPr>
        <w:t>the</w:t>
      </w:r>
      <w:r>
        <w:rPr>
          <w:color w:val="231F20"/>
          <w:spacing w:val="-11"/>
        </w:rPr>
        <w:t> </w:t>
      </w:r>
      <w:r>
        <w:rPr>
          <w:color w:val="231F20"/>
          <w:spacing w:val="-6"/>
        </w:rPr>
        <w:t>blockade</w:t>
      </w:r>
      <w:r>
        <w:rPr>
          <w:color w:val="231F20"/>
          <w:spacing w:val="-10"/>
        </w:rPr>
        <w:t> </w:t>
      </w:r>
      <w:r>
        <w:rPr>
          <w:color w:val="231F20"/>
          <w:spacing w:val="-6"/>
        </w:rPr>
        <w:t>under </w:t>
      </w:r>
      <w:r>
        <w:rPr>
          <w:color w:val="231F20"/>
        </w:rPr>
        <w:t>these conditions exposes Washington’s inhumanity</w:t>
      </w:r>
      <w:r>
        <w:rPr>
          <w:color w:val="231F20"/>
          <w:spacing w:val="40"/>
        </w:rPr>
        <w:t> </w:t>
      </w:r>
      <w:r>
        <w:rPr>
          <w:color w:val="231F20"/>
        </w:rPr>
        <w:t>and</w:t>
      </w:r>
      <w:r>
        <w:rPr>
          <w:color w:val="231F20"/>
          <w:spacing w:val="40"/>
        </w:rPr>
        <w:t> </w:t>
      </w:r>
      <w:r>
        <w:rPr>
          <w:color w:val="231F20"/>
        </w:rPr>
        <w:t>eagerness</w:t>
      </w:r>
      <w:r>
        <w:rPr>
          <w:color w:val="231F20"/>
          <w:spacing w:val="40"/>
        </w:rPr>
        <w:t> </w:t>
      </w:r>
      <w:r>
        <w:rPr>
          <w:color w:val="231F20"/>
        </w:rPr>
        <w:t>to</w:t>
      </w:r>
      <w:r>
        <w:rPr>
          <w:color w:val="231F20"/>
          <w:spacing w:val="40"/>
        </w:rPr>
        <w:t> </w:t>
      </w:r>
      <w:r>
        <w:rPr>
          <w:color w:val="231F20"/>
        </w:rPr>
        <w:t>exploit</w:t>
      </w:r>
      <w:r>
        <w:rPr>
          <w:color w:val="231F20"/>
          <w:spacing w:val="80"/>
        </w:rPr>
        <w:t> </w:t>
      </w:r>
      <w:r>
        <w:rPr>
          <w:color w:val="231F20"/>
        </w:rPr>
        <w:t>the</w:t>
      </w:r>
      <w:r>
        <w:rPr>
          <w:color w:val="231F20"/>
          <w:spacing w:val="58"/>
        </w:rPr>
        <w:t> </w:t>
      </w:r>
      <w:r>
        <w:rPr>
          <w:color w:val="231F20"/>
        </w:rPr>
        <w:t>recession</w:t>
      </w:r>
      <w:r>
        <w:rPr>
          <w:color w:val="231F20"/>
          <w:spacing w:val="61"/>
        </w:rPr>
        <w:t> </w:t>
      </w:r>
      <w:r>
        <w:rPr>
          <w:color w:val="231F20"/>
        </w:rPr>
        <w:t>caused</w:t>
      </w:r>
      <w:r>
        <w:rPr>
          <w:color w:val="231F20"/>
          <w:spacing w:val="60"/>
        </w:rPr>
        <w:t> </w:t>
      </w:r>
      <w:r>
        <w:rPr>
          <w:color w:val="231F20"/>
        </w:rPr>
        <w:t>by</w:t>
      </w:r>
      <w:r>
        <w:rPr>
          <w:color w:val="231F20"/>
          <w:spacing w:val="61"/>
        </w:rPr>
        <w:t> </w:t>
      </w:r>
      <w:r>
        <w:rPr>
          <w:color w:val="231F20"/>
        </w:rPr>
        <w:t>this</w:t>
      </w:r>
      <w:r>
        <w:rPr>
          <w:color w:val="231F20"/>
          <w:spacing w:val="61"/>
        </w:rPr>
        <w:t> </w:t>
      </w:r>
      <w:r>
        <w:rPr>
          <w:color w:val="231F20"/>
          <w:spacing w:val="-2"/>
        </w:rPr>
        <w:t>worldwide</w:t>
      </w:r>
    </w:p>
    <w:p>
      <w:pPr>
        <w:spacing w:after="0"/>
        <w:sectPr>
          <w:type w:val="continuous"/>
          <w:pgSz w:w="11910" w:h="16840"/>
          <w:pgMar w:header="0" w:footer="695" w:top="1920" w:bottom="280" w:left="0" w:right="0"/>
          <w:cols w:num="2" w:equalWidth="0">
            <w:col w:w="5897" w:space="40"/>
            <w:col w:w="5973"/>
          </w:cols>
        </w:sectPr>
      </w:pPr>
    </w:p>
    <w:p>
      <w:pPr>
        <w:pStyle w:val="BodyText"/>
        <w:spacing w:before="77"/>
        <w:ind w:left="1133" w:right="1"/>
      </w:pPr>
      <w:r>
        <w:rPr>
          <w:color w:val="231F20"/>
        </w:rPr>
        <w:t>pandemic, in order to undermine social stability and subjugate the Cuban people through hunger and desperation.</w:t>
      </w:r>
    </w:p>
    <w:p>
      <w:pPr>
        <w:pStyle w:val="BodyText"/>
        <w:spacing w:before="162"/>
        <w:ind w:left="1133"/>
      </w:pPr>
      <w:r>
        <w:rPr>
          <w:color w:val="231F20"/>
        </w:rPr>
        <w:t>The impact of this policy in the present conditions is consequently that much more pernicious and damaging from the humanitarian point of view.</w:t>
      </w:r>
    </w:p>
    <w:p>
      <w:pPr>
        <w:pStyle w:val="BodyText"/>
        <w:spacing w:before="163"/>
        <w:ind w:left="1133" w:right="1"/>
      </w:pPr>
      <w:r>
        <w:rPr>
          <w:color w:val="231F20"/>
          <w:spacing w:val="-2"/>
        </w:rPr>
        <w:t>The</w:t>
      </w:r>
      <w:r>
        <w:rPr>
          <w:color w:val="231F20"/>
          <w:spacing w:val="-15"/>
        </w:rPr>
        <w:t> </w:t>
      </w:r>
      <w:r>
        <w:rPr>
          <w:color w:val="231F20"/>
          <w:spacing w:val="-2"/>
        </w:rPr>
        <w:t>blockade</w:t>
      </w:r>
      <w:r>
        <w:rPr>
          <w:color w:val="231F20"/>
          <w:spacing w:val="-14"/>
        </w:rPr>
        <w:t> </w:t>
      </w:r>
      <w:r>
        <w:rPr>
          <w:color w:val="231F20"/>
          <w:spacing w:val="-2"/>
        </w:rPr>
        <w:t>directly</w:t>
      </w:r>
      <w:r>
        <w:rPr>
          <w:color w:val="231F20"/>
          <w:spacing w:val="-15"/>
        </w:rPr>
        <w:t> </w:t>
      </w:r>
      <w:r>
        <w:rPr>
          <w:color w:val="231F20"/>
          <w:spacing w:val="-2"/>
        </w:rPr>
        <w:t>causes</w:t>
      </w:r>
      <w:r>
        <w:rPr>
          <w:color w:val="231F20"/>
          <w:spacing w:val="-14"/>
        </w:rPr>
        <w:t> </w:t>
      </w:r>
      <w:r>
        <w:rPr>
          <w:color w:val="231F20"/>
          <w:spacing w:val="-2"/>
        </w:rPr>
        <w:t>extreme</w:t>
      </w:r>
      <w:r>
        <w:rPr>
          <w:color w:val="231F20"/>
          <w:spacing w:val="-15"/>
        </w:rPr>
        <w:t> </w:t>
      </w:r>
      <w:r>
        <w:rPr>
          <w:color w:val="231F20"/>
          <w:spacing w:val="-2"/>
        </w:rPr>
        <w:t>harm through</w:t>
      </w:r>
      <w:r>
        <w:rPr>
          <w:color w:val="231F20"/>
          <w:spacing w:val="-15"/>
        </w:rPr>
        <w:t> </w:t>
      </w:r>
      <w:r>
        <w:rPr>
          <w:color w:val="231F20"/>
          <w:spacing w:val="-2"/>
        </w:rPr>
        <w:t>the</w:t>
      </w:r>
      <w:r>
        <w:rPr>
          <w:color w:val="231F20"/>
          <w:spacing w:val="-14"/>
        </w:rPr>
        <w:t> </w:t>
      </w:r>
      <w:r>
        <w:rPr>
          <w:color w:val="231F20"/>
          <w:spacing w:val="-2"/>
        </w:rPr>
        <w:t>combined</w:t>
      </w:r>
      <w:r>
        <w:rPr>
          <w:color w:val="231F20"/>
          <w:spacing w:val="-15"/>
        </w:rPr>
        <w:t> </w:t>
      </w:r>
      <w:r>
        <w:rPr>
          <w:color w:val="231F20"/>
          <w:spacing w:val="-2"/>
        </w:rPr>
        <w:t>effects</w:t>
      </w:r>
      <w:r>
        <w:rPr>
          <w:color w:val="231F20"/>
          <w:spacing w:val="-14"/>
        </w:rPr>
        <w:t> </w:t>
      </w:r>
      <w:r>
        <w:rPr>
          <w:color w:val="231F20"/>
          <w:spacing w:val="-2"/>
        </w:rPr>
        <w:t>of</w:t>
      </w:r>
      <w:r>
        <w:rPr>
          <w:color w:val="231F20"/>
          <w:spacing w:val="-15"/>
        </w:rPr>
        <w:t> </w:t>
      </w:r>
      <w:r>
        <w:rPr>
          <w:color w:val="231F20"/>
          <w:spacing w:val="-2"/>
        </w:rPr>
        <w:t>its</w:t>
      </w:r>
      <w:r>
        <w:rPr>
          <w:color w:val="231F20"/>
          <w:spacing w:val="-14"/>
        </w:rPr>
        <w:t> </w:t>
      </w:r>
      <w:r>
        <w:rPr>
          <w:color w:val="231F20"/>
          <w:spacing w:val="-2"/>
        </w:rPr>
        <w:t>various </w:t>
      </w:r>
      <w:r>
        <w:rPr>
          <w:color w:val="231F20"/>
          <w:spacing w:val="-6"/>
        </w:rPr>
        <w:t>measures,</w:t>
      </w:r>
      <w:r>
        <w:rPr>
          <w:color w:val="231F20"/>
          <w:spacing w:val="-10"/>
        </w:rPr>
        <w:t> </w:t>
      </w:r>
      <w:r>
        <w:rPr>
          <w:color w:val="231F20"/>
          <w:spacing w:val="-6"/>
        </w:rPr>
        <w:t>pursuing</w:t>
      </w:r>
      <w:r>
        <w:rPr>
          <w:color w:val="231F20"/>
          <w:spacing w:val="-10"/>
        </w:rPr>
        <w:t> </w:t>
      </w:r>
      <w:r>
        <w:rPr>
          <w:color w:val="231F20"/>
          <w:spacing w:val="-6"/>
        </w:rPr>
        <w:t>its</w:t>
      </w:r>
      <w:r>
        <w:rPr>
          <w:color w:val="231F20"/>
          <w:spacing w:val="-10"/>
        </w:rPr>
        <w:t> </w:t>
      </w:r>
      <w:r>
        <w:rPr>
          <w:color w:val="231F20"/>
          <w:spacing w:val="-6"/>
        </w:rPr>
        <w:t>cruel,</w:t>
      </w:r>
      <w:r>
        <w:rPr>
          <w:color w:val="231F20"/>
          <w:spacing w:val="-10"/>
        </w:rPr>
        <w:t> </w:t>
      </w:r>
      <w:r>
        <w:rPr>
          <w:color w:val="231F20"/>
          <w:spacing w:val="-6"/>
        </w:rPr>
        <w:t>practical</w:t>
      </w:r>
      <w:r>
        <w:rPr>
          <w:color w:val="231F20"/>
          <w:spacing w:val="-10"/>
        </w:rPr>
        <w:t> </w:t>
      </w:r>
      <w:r>
        <w:rPr>
          <w:color w:val="231F20"/>
          <w:spacing w:val="-6"/>
        </w:rPr>
        <w:t>aim</w:t>
      </w:r>
      <w:r>
        <w:rPr>
          <w:color w:val="231F20"/>
          <w:spacing w:val="-10"/>
        </w:rPr>
        <w:t> </w:t>
      </w:r>
      <w:r>
        <w:rPr>
          <w:color w:val="231F20"/>
          <w:spacing w:val="-6"/>
        </w:rPr>
        <w:t>of </w:t>
      </w:r>
      <w:r>
        <w:rPr>
          <w:color w:val="231F20"/>
          <w:spacing w:val="-4"/>
        </w:rPr>
        <w:t>depriving</w:t>
      </w:r>
      <w:r>
        <w:rPr>
          <w:color w:val="231F20"/>
          <w:spacing w:val="-12"/>
        </w:rPr>
        <w:t> </w:t>
      </w:r>
      <w:r>
        <w:rPr>
          <w:color w:val="231F20"/>
          <w:spacing w:val="-4"/>
        </w:rPr>
        <w:t>the</w:t>
      </w:r>
      <w:r>
        <w:rPr>
          <w:color w:val="231F20"/>
          <w:spacing w:val="-12"/>
        </w:rPr>
        <w:t> </w:t>
      </w:r>
      <w:r>
        <w:rPr>
          <w:color w:val="231F20"/>
          <w:spacing w:val="-4"/>
        </w:rPr>
        <w:t>country</w:t>
      </w:r>
      <w:r>
        <w:rPr>
          <w:color w:val="231F20"/>
          <w:spacing w:val="-12"/>
        </w:rPr>
        <w:t> </w:t>
      </w:r>
      <w:r>
        <w:rPr>
          <w:color w:val="231F20"/>
          <w:spacing w:val="-4"/>
        </w:rPr>
        <w:t>of</w:t>
      </w:r>
      <w:r>
        <w:rPr>
          <w:color w:val="231F20"/>
          <w:spacing w:val="-12"/>
        </w:rPr>
        <w:t> </w:t>
      </w:r>
      <w:r>
        <w:rPr>
          <w:color w:val="231F20"/>
          <w:spacing w:val="-4"/>
        </w:rPr>
        <w:t>the</w:t>
      </w:r>
      <w:r>
        <w:rPr>
          <w:color w:val="231F20"/>
          <w:spacing w:val="-12"/>
        </w:rPr>
        <w:t> </w:t>
      </w:r>
      <w:r>
        <w:rPr>
          <w:color w:val="231F20"/>
          <w:spacing w:val="-4"/>
        </w:rPr>
        <w:t>inflow</w:t>
      </w:r>
      <w:r>
        <w:rPr>
          <w:color w:val="231F20"/>
          <w:spacing w:val="-12"/>
        </w:rPr>
        <w:t> </w:t>
      </w:r>
      <w:r>
        <w:rPr>
          <w:color w:val="231F20"/>
          <w:spacing w:val="-4"/>
        </w:rPr>
        <w:t>of</w:t>
      </w:r>
      <w:r>
        <w:rPr>
          <w:color w:val="231F20"/>
          <w:spacing w:val="-12"/>
        </w:rPr>
        <w:t> </w:t>
      </w:r>
      <w:r>
        <w:rPr>
          <w:color w:val="231F20"/>
          <w:spacing w:val="-4"/>
        </w:rPr>
        <w:t>funds essential</w:t>
      </w:r>
      <w:r>
        <w:rPr>
          <w:color w:val="231F20"/>
          <w:spacing w:val="-8"/>
        </w:rPr>
        <w:t> </w:t>
      </w:r>
      <w:r>
        <w:rPr>
          <w:color w:val="231F20"/>
          <w:spacing w:val="-4"/>
        </w:rPr>
        <w:t>for</w:t>
      </w:r>
      <w:r>
        <w:rPr>
          <w:color w:val="231F20"/>
          <w:spacing w:val="-8"/>
        </w:rPr>
        <w:t> </w:t>
      </w:r>
      <w:r>
        <w:rPr>
          <w:color w:val="231F20"/>
          <w:spacing w:val="-4"/>
        </w:rPr>
        <w:t>the</w:t>
      </w:r>
      <w:r>
        <w:rPr>
          <w:color w:val="231F20"/>
          <w:spacing w:val="-8"/>
        </w:rPr>
        <w:t> </w:t>
      </w:r>
      <w:r>
        <w:rPr>
          <w:color w:val="231F20"/>
          <w:spacing w:val="-4"/>
        </w:rPr>
        <w:t>purchase</w:t>
      </w:r>
      <w:r>
        <w:rPr>
          <w:color w:val="231F20"/>
          <w:spacing w:val="-8"/>
        </w:rPr>
        <w:t> </w:t>
      </w:r>
      <w:r>
        <w:rPr>
          <w:color w:val="231F20"/>
          <w:spacing w:val="-4"/>
        </w:rPr>
        <w:t>of</w:t>
      </w:r>
      <w:r>
        <w:rPr>
          <w:color w:val="231F20"/>
          <w:spacing w:val="-8"/>
        </w:rPr>
        <w:t> </w:t>
      </w:r>
      <w:r>
        <w:rPr>
          <w:color w:val="231F20"/>
          <w:spacing w:val="-4"/>
        </w:rPr>
        <w:t>food,</w:t>
      </w:r>
      <w:r>
        <w:rPr>
          <w:color w:val="231F20"/>
          <w:spacing w:val="-8"/>
        </w:rPr>
        <w:t> </w:t>
      </w:r>
      <w:r>
        <w:rPr>
          <w:color w:val="231F20"/>
          <w:spacing w:val="-4"/>
        </w:rPr>
        <w:t>supplies, </w:t>
      </w:r>
      <w:r>
        <w:rPr>
          <w:color w:val="231F20"/>
        </w:rPr>
        <w:t>equipment, spare parts, technologies and software, marking the day-to-day life of the Cubans by shortages, empty shelves, </w:t>
      </w:r>
      <w:r>
        <w:rPr>
          <w:color w:val="231F20"/>
          <w:spacing w:val="-4"/>
        </w:rPr>
        <w:t>long</w:t>
      </w:r>
      <w:r>
        <w:rPr>
          <w:color w:val="231F20"/>
          <w:spacing w:val="-10"/>
        </w:rPr>
        <w:t> </w:t>
      </w:r>
      <w:r>
        <w:rPr>
          <w:color w:val="231F20"/>
          <w:spacing w:val="-4"/>
        </w:rPr>
        <w:t>lines</w:t>
      </w:r>
      <w:r>
        <w:rPr>
          <w:color w:val="231F20"/>
          <w:spacing w:val="-10"/>
        </w:rPr>
        <w:t> </w:t>
      </w:r>
      <w:r>
        <w:rPr>
          <w:color w:val="231F20"/>
          <w:spacing w:val="-4"/>
        </w:rPr>
        <w:t>and</w:t>
      </w:r>
      <w:r>
        <w:rPr>
          <w:color w:val="231F20"/>
          <w:spacing w:val="-10"/>
        </w:rPr>
        <w:t> </w:t>
      </w:r>
      <w:r>
        <w:rPr>
          <w:color w:val="231F20"/>
          <w:spacing w:val="-4"/>
        </w:rPr>
        <w:t>anxiety.</w:t>
      </w:r>
      <w:r>
        <w:rPr>
          <w:color w:val="231F20"/>
          <w:spacing w:val="-10"/>
        </w:rPr>
        <w:t> </w:t>
      </w:r>
      <w:r>
        <w:rPr>
          <w:color w:val="231F20"/>
          <w:spacing w:val="-4"/>
        </w:rPr>
        <w:t>The</w:t>
      </w:r>
      <w:r>
        <w:rPr>
          <w:color w:val="231F20"/>
          <w:spacing w:val="-10"/>
        </w:rPr>
        <w:t> </w:t>
      </w:r>
      <w:r>
        <w:rPr>
          <w:color w:val="231F20"/>
          <w:spacing w:val="-4"/>
        </w:rPr>
        <w:t>harm</w:t>
      </w:r>
      <w:r>
        <w:rPr>
          <w:color w:val="231F20"/>
          <w:spacing w:val="-10"/>
        </w:rPr>
        <w:t> </w:t>
      </w:r>
      <w:r>
        <w:rPr>
          <w:color w:val="231F20"/>
          <w:spacing w:val="-4"/>
        </w:rPr>
        <w:t>is</w:t>
      </w:r>
      <w:r>
        <w:rPr>
          <w:color w:val="231F20"/>
          <w:spacing w:val="-10"/>
        </w:rPr>
        <w:t> </w:t>
      </w:r>
      <w:r>
        <w:rPr>
          <w:color w:val="231F20"/>
          <w:spacing w:val="-4"/>
        </w:rPr>
        <w:t>very</w:t>
      </w:r>
      <w:r>
        <w:rPr>
          <w:color w:val="231F20"/>
          <w:spacing w:val="-10"/>
        </w:rPr>
        <w:t> </w:t>
      </w:r>
      <w:r>
        <w:rPr>
          <w:color w:val="231F20"/>
          <w:spacing w:val="-4"/>
        </w:rPr>
        <w:t>real </w:t>
      </w:r>
      <w:r>
        <w:rPr>
          <w:color w:val="231F20"/>
        </w:rPr>
        <w:t>and</w:t>
      </w:r>
      <w:r>
        <w:rPr>
          <w:color w:val="231F20"/>
          <w:spacing w:val="-15"/>
        </w:rPr>
        <w:t> </w:t>
      </w:r>
      <w:r>
        <w:rPr>
          <w:color w:val="231F20"/>
        </w:rPr>
        <w:t>is</w:t>
      </w:r>
      <w:r>
        <w:rPr>
          <w:color w:val="231F20"/>
          <w:spacing w:val="-15"/>
        </w:rPr>
        <w:t> </w:t>
      </w:r>
      <w:r>
        <w:rPr>
          <w:color w:val="231F20"/>
        </w:rPr>
        <w:t>clearly</w:t>
      </w:r>
      <w:r>
        <w:rPr>
          <w:color w:val="231F20"/>
          <w:spacing w:val="-15"/>
        </w:rPr>
        <w:t> </w:t>
      </w:r>
      <w:r>
        <w:rPr>
          <w:color w:val="231F20"/>
        </w:rPr>
        <w:t>reflected</w:t>
      </w:r>
      <w:r>
        <w:rPr>
          <w:color w:val="231F20"/>
          <w:spacing w:val="-15"/>
        </w:rPr>
        <w:t> </w:t>
      </w:r>
      <w:r>
        <w:rPr>
          <w:color w:val="231F20"/>
        </w:rPr>
        <w:t>in</w:t>
      </w:r>
      <w:r>
        <w:rPr>
          <w:color w:val="231F20"/>
          <w:spacing w:val="-15"/>
        </w:rPr>
        <w:t> </w:t>
      </w:r>
      <w:r>
        <w:rPr>
          <w:color w:val="231F20"/>
        </w:rPr>
        <w:t>the</w:t>
      </w:r>
      <w:r>
        <w:rPr>
          <w:color w:val="231F20"/>
          <w:spacing w:val="-15"/>
        </w:rPr>
        <w:t> </w:t>
      </w:r>
      <w:r>
        <w:rPr>
          <w:color w:val="231F20"/>
        </w:rPr>
        <w:t>deterioration of</w:t>
      </w:r>
      <w:r>
        <w:rPr>
          <w:color w:val="231F20"/>
          <w:spacing w:val="-17"/>
        </w:rPr>
        <w:t> </w:t>
      </w:r>
      <w:r>
        <w:rPr>
          <w:color w:val="231F20"/>
        </w:rPr>
        <w:t>the</w:t>
      </w:r>
      <w:r>
        <w:rPr>
          <w:color w:val="231F20"/>
          <w:spacing w:val="-16"/>
        </w:rPr>
        <w:t> </w:t>
      </w:r>
      <w:r>
        <w:rPr>
          <w:color w:val="231F20"/>
        </w:rPr>
        <w:t>country’s</w:t>
      </w:r>
      <w:r>
        <w:rPr>
          <w:color w:val="231F20"/>
          <w:spacing w:val="-17"/>
        </w:rPr>
        <w:t> </w:t>
      </w:r>
      <w:r>
        <w:rPr>
          <w:color w:val="231F20"/>
        </w:rPr>
        <w:t>socioeconomic</w:t>
      </w:r>
      <w:r>
        <w:rPr>
          <w:color w:val="231F20"/>
          <w:spacing w:val="-16"/>
        </w:rPr>
        <w:t> </w:t>
      </w:r>
      <w:r>
        <w:rPr>
          <w:color w:val="231F20"/>
        </w:rPr>
        <w:t>indicators.</w:t>
      </w:r>
    </w:p>
    <w:p>
      <w:pPr>
        <w:pStyle w:val="BodyText"/>
        <w:spacing w:before="169"/>
        <w:ind w:left="1133"/>
      </w:pPr>
      <w:r>
        <w:rPr>
          <w:color w:val="231F20"/>
        </w:rPr>
        <w:t>These measures are accompanied by a media</w:t>
      </w:r>
      <w:r>
        <w:rPr>
          <w:color w:val="231F20"/>
          <w:spacing w:val="-3"/>
        </w:rPr>
        <w:t> </w:t>
      </w:r>
      <w:r>
        <w:rPr>
          <w:color w:val="231F20"/>
        </w:rPr>
        <w:t>campaign</w:t>
      </w:r>
      <w:r>
        <w:rPr>
          <w:color w:val="231F20"/>
          <w:spacing w:val="-3"/>
        </w:rPr>
        <w:t> </w:t>
      </w:r>
      <w:r>
        <w:rPr>
          <w:color w:val="231F20"/>
        </w:rPr>
        <w:t>against</w:t>
      </w:r>
      <w:r>
        <w:rPr>
          <w:color w:val="231F20"/>
          <w:spacing w:val="-3"/>
        </w:rPr>
        <w:t> </w:t>
      </w:r>
      <w:r>
        <w:rPr>
          <w:color w:val="231F20"/>
        </w:rPr>
        <w:t>Cuba</w:t>
      </w:r>
      <w:r>
        <w:rPr>
          <w:color w:val="231F20"/>
          <w:spacing w:val="-3"/>
        </w:rPr>
        <w:t> </w:t>
      </w:r>
      <w:r>
        <w:rPr>
          <w:color w:val="231F20"/>
        </w:rPr>
        <w:t>emanating </w:t>
      </w:r>
      <w:r>
        <w:rPr>
          <w:color w:val="231F20"/>
          <w:spacing w:val="-4"/>
        </w:rPr>
        <w:t>from</w:t>
      </w:r>
      <w:r>
        <w:rPr>
          <w:color w:val="231F20"/>
          <w:spacing w:val="-7"/>
        </w:rPr>
        <w:t> </w:t>
      </w:r>
      <w:r>
        <w:rPr>
          <w:color w:val="231F20"/>
          <w:spacing w:val="-4"/>
        </w:rPr>
        <w:t>the</w:t>
      </w:r>
      <w:r>
        <w:rPr>
          <w:color w:val="231F20"/>
          <w:spacing w:val="-7"/>
        </w:rPr>
        <w:t> </w:t>
      </w:r>
      <w:r>
        <w:rPr>
          <w:color w:val="231F20"/>
          <w:spacing w:val="-4"/>
        </w:rPr>
        <w:t>U.S.</w:t>
      </w:r>
      <w:r>
        <w:rPr>
          <w:color w:val="231F20"/>
          <w:spacing w:val="-7"/>
        </w:rPr>
        <w:t> </w:t>
      </w:r>
      <w:r>
        <w:rPr>
          <w:color w:val="231F20"/>
          <w:spacing w:val="-4"/>
        </w:rPr>
        <w:t>broadcasting</w:t>
      </w:r>
      <w:r>
        <w:rPr>
          <w:color w:val="231F20"/>
          <w:spacing w:val="-7"/>
        </w:rPr>
        <w:t> </w:t>
      </w:r>
      <w:r>
        <w:rPr>
          <w:color w:val="231F20"/>
          <w:spacing w:val="-4"/>
        </w:rPr>
        <w:t>and</w:t>
      </w:r>
      <w:r>
        <w:rPr>
          <w:color w:val="231F20"/>
          <w:spacing w:val="-7"/>
        </w:rPr>
        <w:t> </w:t>
      </w:r>
      <w:r>
        <w:rPr>
          <w:color w:val="231F20"/>
          <w:spacing w:val="-4"/>
        </w:rPr>
        <w:t>intelligence </w:t>
      </w:r>
      <w:r>
        <w:rPr>
          <w:color w:val="231F20"/>
        </w:rPr>
        <w:t>services which conveys a distorted virtual picture, sows the seeds of discontent, portrays a situation of internal political crisis,</w:t>
      </w:r>
      <w:r>
        <w:rPr>
          <w:color w:val="231F20"/>
          <w:spacing w:val="-17"/>
        </w:rPr>
        <w:t> </w:t>
      </w:r>
      <w:r>
        <w:rPr>
          <w:color w:val="231F20"/>
        </w:rPr>
        <w:t>discredits</w:t>
      </w:r>
      <w:r>
        <w:rPr>
          <w:color w:val="231F20"/>
          <w:spacing w:val="-16"/>
        </w:rPr>
        <w:t> </w:t>
      </w:r>
      <w:r>
        <w:rPr>
          <w:color w:val="231F20"/>
        </w:rPr>
        <w:t>our</w:t>
      </w:r>
      <w:r>
        <w:rPr>
          <w:color w:val="231F20"/>
          <w:spacing w:val="-17"/>
        </w:rPr>
        <w:t> </w:t>
      </w:r>
      <w:r>
        <w:rPr>
          <w:color w:val="231F20"/>
        </w:rPr>
        <w:t>public</w:t>
      </w:r>
      <w:r>
        <w:rPr>
          <w:color w:val="231F20"/>
          <w:spacing w:val="-16"/>
        </w:rPr>
        <w:t> </w:t>
      </w:r>
      <w:r>
        <w:rPr>
          <w:color w:val="231F20"/>
        </w:rPr>
        <w:t>institutions</w:t>
      </w:r>
      <w:r>
        <w:rPr>
          <w:color w:val="231F20"/>
          <w:spacing w:val="-17"/>
        </w:rPr>
        <w:t> </w:t>
      </w:r>
      <w:r>
        <w:rPr>
          <w:color w:val="231F20"/>
        </w:rPr>
        <w:t>and plays down the huge efforts the country</w:t>
      </w:r>
      <w:r>
        <w:rPr>
          <w:color w:val="231F20"/>
          <w:spacing w:val="40"/>
        </w:rPr>
        <w:t> </w:t>
      </w:r>
      <w:r>
        <w:rPr>
          <w:color w:val="231F20"/>
        </w:rPr>
        <w:t>is making to counter the effects of a blockaded economy.</w:t>
      </w:r>
    </w:p>
    <w:p>
      <w:pPr>
        <w:pStyle w:val="BodyText"/>
        <w:spacing w:before="168"/>
        <w:ind w:left="1133" w:right="1"/>
      </w:pPr>
      <w:r>
        <w:rPr>
          <w:color w:val="231F20"/>
          <w:spacing w:val="-2"/>
        </w:rPr>
        <w:t>Despite</w:t>
      </w:r>
      <w:r>
        <w:rPr>
          <w:color w:val="231F20"/>
          <w:spacing w:val="-15"/>
        </w:rPr>
        <w:t> </w:t>
      </w:r>
      <w:r>
        <w:rPr>
          <w:color w:val="231F20"/>
          <w:spacing w:val="-2"/>
        </w:rPr>
        <w:t>the</w:t>
      </w:r>
      <w:r>
        <w:rPr>
          <w:color w:val="231F20"/>
          <w:spacing w:val="-14"/>
        </w:rPr>
        <w:t> </w:t>
      </w:r>
      <w:r>
        <w:rPr>
          <w:color w:val="231F20"/>
          <w:spacing w:val="-2"/>
        </w:rPr>
        <w:t>priority</w:t>
      </w:r>
      <w:r>
        <w:rPr>
          <w:color w:val="231F20"/>
          <w:spacing w:val="-15"/>
        </w:rPr>
        <w:t> </w:t>
      </w:r>
      <w:r>
        <w:rPr>
          <w:color w:val="231F20"/>
          <w:spacing w:val="-2"/>
        </w:rPr>
        <w:t>accorded</w:t>
      </w:r>
      <w:r>
        <w:rPr>
          <w:color w:val="231F20"/>
          <w:spacing w:val="-14"/>
        </w:rPr>
        <w:t> </w:t>
      </w:r>
      <w:r>
        <w:rPr>
          <w:color w:val="231F20"/>
          <w:spacing w:val="-2"/>
        </w:rPr>
        <w:t>by</w:t>
      </w:r>
      <w:r>
        <w:rPr>
          <w:color w:val="231F20"/>
          <w:spacing w:val="-15"/>
        </w:rPr>
        <w:t> </w:t>
      </w:r>
      <w:r>
        <w:rPr>
          <w:color w:val="231F20"/>
          <w:spacing w:val="-2"/>
        </w:rPr>
        <w:t>the</w:t>
      </w:r>
      <w:r>
        <w:rPr>
          <w:color w:val="231F20"/>
          <w:spacing w:val="-14"/>
        </w:rPr>
        <w:t> </w:t>
      </w:r>
      <w:r>
        <w:rPr>
          <w:color w:val="231F20"/>
          <w:spacing w:val="-2"/>
        </w:rPr>
        <w:t>Cuban government</w:t>
      </w:r>
      <w:r>
        <w:rPr>
          <w:color w:val="231F20"/>
          <w:spacing w:val="-15"/>
        </w:rPr>
        <w:t> </w:t>
      </w:r>
      <w:r>
        <w:rPr>
          <w:color w:val="231F20"/>
          <w:spacing w:val="-2"/>
        </w:rPr>
        <w:t>to</w:t>
      </w:r>
      <w:r>
        <w:rPr>
          <w:color w:val="231F20"/>
          <w:spacing w:val="-14"/>
        </w:rPr>
        <w:t> </w:t>
      </w:r>
      <w:r>
        <w:rPr>
          <w:color w:val="231F20"/>
          <w:spacing w:val="-2"/>
        </w:rPr>
        <w:t>humanitarian</w:t>
      </w:r>
      <w:r>
        <w:rPr>
          <w:color w:val="231F20"/>
          <w:spacing w:val="-15"/>
        </w:rPr>
        <w:t> </w:t>
      </w:r>
      <w:r>
        <w:rPr>
          <w:color w:val="231F20"/>
          <w:spacing w:val="-2"/>
        </w:rPr>
        <w:t>concerns,</w:t>
      </w:r>
      <w:r>
        <w:rPr>
          <w:color w:val="231F20"/>
          <w:spacing w:val="-14"/>
        </w:rPr>
        <w:t> </w:t>
      </w:r>
      <w:r>
        <w:rPr>
          <w:color w:val="231F20"/>
          <w:spacing w:val="-2"/>
        </w:rPr>
        <w:t>the </w:t>
      </w:r>
      <w:r>
        <w:rPr>
          <w:color w:val="231F20"/>
        </w:rPr>
        <w:t>blockade has undoubtedly undermined the quality of life and of public services</w:t>
      </w:r>
      <w:r>
        <w:rPr>
          <w:color w:val="231F20"/>
          <w:spacing w:val="80"/>
        </w:rPr>
        <w:t> </w:t>
      </w:r>
      <w:r>
        <w:rPr>
          <w:color w:val="231F20"/>
        </w:rPr>
        <w:t>to a population which has never before experienced such levels of shortages of </w:t>
      </w:r>
      <w:r>
        <w:rPr>
          <w:color w:val="231F20"/>
          <w:spacing w:val="-2"/>
        </w:rPr>
        <w:t>medicines,</w:t>
      </w:r>
      <w:r>
        <w:rPr>
          <w:color w:val="231F20"/>
          <w:spacing w:val="-15"/>
        </w:rPr>
        <w:t> </w:t>
      </w:r>
      <w:r>
        <w:rPr>
          <w:color w:val="231F20"/>
          <w:spacing w:val="-2"/>
        </w:rPr>
        <w:t>food</w:t>
      </w:r>
      <w:r>
        <w:rPr>
          <w:color w:val="231F20"/>
          <w:spacing w:val="-14"/>
        </w:rPr>
        <w:t> </w:t>
      </w:r>
      <w:r>
        <w:rPr>
          <w:color w:val="231F20"/>
          <w:spacing w:val="-2"/>
        </w:rPr>
        <w:t>and</w:t>
      </w:r>
      <w:r>
        <w:rPr>
          <w:color w:val="231F20"/>
          <w:spacing w:val="-15"/>
        </w:rPr>
        <w:t> </w:t>
      </w:r>
      <w:r>
        <w:rPr>
          <w:color w:val="231F20"/>
          <w:spacing w:val="-2"/>
        </w:rPr>
        <w:t>fuel</w:t>
      </w:r>
      <w:r>
        <w:rPr>
          <w:color w:val="231F20"/>
          <w:spacing w:val="-14"/>
        </w:rPr>
        <w:t> </w:t>
      </w:r>
      <w:r>
        <w:rPr>
          <w:color w:val="231F20"/>
          <w:spacing w:val="-2"/>
        </w:rPr>
        <w:t>as</w:t>
      </w:r>
      <w:r>
        <w:rPr>
          <w:color w:val="231F20"/>
          <w:spacing w:val="-15"/>
        </w:rPr>
        <w:t> </w:t>
      </w:r>
      <w:r>
        <w:rPr>
          <w:color w:val="231F20"/>
          <w:spacing w:val="-2"/>
        </w:rPr>
        <w:t>those</w:t>
      </w:r>
      <w:r>
        <w:rPr>
          <w:color w:val="231F20"/>
          <w:spacing w:val="-14"/>
        </w:rPr>
        <w:t> </w:t>
      </w:r>
      <w:r>
        <w:rPr>
          <w:color w:val="231F20"/>
          <w:spacing w:val="-2"/>
        </w:rPr>
        <w:t>of</w:t>
      </w:r>
      <w:r>
        <w:rPr>
          <w:color w:val="231F20"/>
          <w:spacing w:val="-14"/>
        </w:rPr>
        <w:t> </w:t>
      </w:r>
      <w:r>
        <w:rPr>
          <w:color w:val="231F20"/>
          <w:spacing w:val="-2"/>
        </w:rPr>
        <w:t>recent </w:t>
      </w:r>
      <w:r>
        <w:rPr>
          <w:color w:val="231F20"/>
        </w:rPr>
        <w:t>years. These are conditions that not only undermine</w:t>
      </w:r>
      <w:r>
        <w:rPr>
          <w:color w:val="231F20"/>
          <w:spacing w:val="-11"/>
        </w:rPr>
        <w:t> </w:t>
      </w:r>
      <w:r>
        <w:rPr>
          <w:color w:val="231F20"/>
        </w:rPr>
        <w:t>people’s</w:t>
      </w:r>
      <w:r>
        <w:rPr>
          <w:color w:val="231F20"/>
          <w:spacing w:val="-11"/>
        </w:rPr>
        <w:t> </w:t>
      </w:r>
      <w:r>
        <w:rPr>
          <w:color w:val="231F20"/>
        </w:rPr>
        <w:t>standard</w:t>
      </w:r>
      <w:r>
        <w:rPr>
          <w:color w:val="231F20"/>
          <w:spacing w:val="-11"/>
        </w:rPr>
        <w:t> </w:t>
      </w:r>
      <w:r>
        <w:rPr>
          <w:color w:val="231F20"/>
        </w:rPr>
        <w:t>of</w:t>
      </w:r>
      <w:r>
        <w:rPr>
          <w:color w:val="231F20"/>
          <w:spacing w:val="-11"/>
        </w:rPr>
        <w:t> </w:t>
      </w:r>
      <w:r>
        <w:rPr>
          <w:color w:val="231F20"/>
        </w:rPr>
        <w:t>living</w:t>
      </w:r>
      <w:r>
        <w:rPr>
          <w:color w:val="231F20"/>
          <w:spacing w:val="-11"/>
        </w:rPr>
        <w:t> </w:t>
      </w:r>
      <w:r>
        <w:rPr>
          <w:color w:val="231F20"/>
        </w:rPr>
        <w:t>but also detract from human dignity.</w:t>
      </w:r>
    </w:p>
    <w:p>
      <w:pPr>
        <w:pStyle w:val="BodyText"/>
        <w:spacing w:before="167"/>
        <w:ind w:left="1133" w:right="2"/>
      </w:pPr>
      <w:r>
        <w:rPr>
          <w:color w:val="231F20"/>
        </w:rPr>
        <w:t>The rise in Cuban emigration is a direct </w:t>
      </w:r>
      <w:r>
        <w:rPr>
          <w:color w:val="231F20"/>
          <w:spacing w:val="-4"/>
        </w:rPr>
        <w:t>effect</w:t>
      </w:r>
      <w:r>
        <w:rPr>
          <w:color w:val="231F20"/>
          <w:spacing w:val="-9"/>
        </w:rPr>
        <w:t> </w:t>
      </w:r>
      <w:r>
        <w:rPr>
          <w:color w:val="231F20"/>
          <w:spacing w:val="-4"/>
        </w:rPr>
        <w:t>of</w:t>
      </w:r>
      <w:r>
        <w:rPr>
          <w:color w:val="231F20"/>
          <w:spacing w:val="-9"/>
        </w:rPr>
        <w:t> </w:t>
      </w:r>
      <w:r>
        <w:rPr>
          <w:color w:val="231F20"/>
          <w:spacing w:val="-4"/>
        </w:rPr>
        <w:t>the</w:t>
      </w:r>
      <w:r>
        <w:rPr>
          <w:color w:val="231F20"/>
          <w:spacing w:val="-9"/>
        </w:rPr>
        <w:t> </w:t>
      </w:r>
      <w:r>
        <w:rPr>
          <w:color w:val="231F20"/>
          <w:spacing w:val="-4"/>
        </w:rPr>
        <w:t>intensification</w:t>
      </w:r>
      <w:r>
        <w:rPr>
          <w:color w:val="231F20"/>
          <w:spacing w:val="-9"/>
        </w:rPr>
        <w:t> </w:t>
      </w:r>
      <w:r>
        <w:rPr>
          <w:color w:val="231F20"/>
          <w:spacing w:val="-4"/>
        </w:rPr>
        <w:t>of</w:t>
      </w:r>
      <w:r>
        <w:rPr>
          <w:color w:val="231F20"/>
          <w:spacing w:val="-9"/>
        </w:rPr>
        <w:t> </w:t>
      </w:r>
      <w:r>
        <w:rPr>
          <w:color w:val="231F20"/>
          <w:spacing w:val="-4"/>
        </w:rPr>
        <w:t>the</w:t>
      </w:r>
      <w:r>
        <w:rPr>
          <w:color w:val="231F20"/>
          <w:spacing w:val="-9"/>
        </w:rPr>
        <w:t> </w:t>
      </w:r>
      <w:r>
        <w:rPr>
          <w:color w:val="231F20"/>
          <w:spacing w:val="-4"/>
        </w:rPr>
        <w:t>blockade. </w:t>
      </w:r>
      <w:r>
        <w:rPr>
          <w:color w:val="231F20"/>
        </w:rPr>
        <w:t>No</w:t>
      </w:r>
      <w:r>
        <w:rPr>
          <w:color w:val="231F20"/>
          <w:spacing w:val="-3"/>
        </w:rPr>
        <w:t> </w:t>
      </w:r>
      <w:r>
        <w:rPr>
          <w:color w:val="231F20"/>
        </w:rPr>
        <w:t>one</w:t>
      </w:r>
      <w:r>
        <w:rPr>
          <w:color w:val="231F20"/>
          <w:spacing w:val="-2"/>
        </w:rPr>
        <w:t> </w:t>
      </w:r>
      <w:r>
        <w:rPr>
          <w:color w:val="231F20"/>
        </w:rPr>
        <w:t>can</w:t>
      </w:r>
      <w:r>
        <w:rPr>
          <w:color w:val="231F20"/>
          <w:spacing w:val="-2"/>
        </w:rPr>
        <w:t> </w:t>
      </w:r>
      <w:r>
        <w:rPr>
          <w:color w:val="231F20"/>
        </w:rPr>
        <w:t>deny</w:t>
      </w:r>
      <w:r>
        <w:rPr>
          <w:color w:val="231F20"/>
          <w:spacing w:val="-2"/>
        </w:rPr>
        <w:t> </w:t>
      </w:r>
      <w:r>
        <w:rPr>
          <w:color w:val="231F20"/>
        </w:rPr>
        <w:t>that</w:t>
      </w:r>
      <w:r>
        <w:rPr>
          <w:color w:val="231F20"/>
          <w:spacing w:val="-2"/>
        </w:rPr>
        <w:t> </w:t>
      </w:r>
      <w:r>
        <w:rPr>
          <w:color w:val="231F20"/>
        </w:rPr>
        <w:t>this</w:t>
      </w:r>
      <w:r>
        <w:rPr>
          <w:color w:val="231F20"/>
          <w:spacing w:val="-2"/>
        </w:rPr>
        <w:t> </w:t>
      </w:r>
      <w:r>
        <w:rPr>
          <w:color w:val="231F20"/>
        </w:rPr>
        <w:t>policy</w:t>
      </w:r>
      <w:r>
        <w:rPr>
          <w:color w:val="231F20"/>
          <w:spacing w:val="-2"/>
        </w:rPr>
        <w:t> </w:t>
      </w:r>
      <w:r>
        <w:rPr>
          <w:color w:val="231F20"/>
        </w:rPr>
        <w:t>has</w:t>
      </w:r>
      <w:r>
        <w:rPr>
          <w:color w:val="231F20"/>
          <w:spacing w:val="-2"/>
        </w:rPr>
        <w:t> </w:t>
      </w:r>
      <w:r>
        <w:rPr>
          <w:color w:val="231F20"/>
          <w:spacing w:val="-6"/>
        </w:rPr>
        <w:t>been</w:t>
      </w:r>
    </w:p>
    <w:p>
      <w:pPr>
        <w:pStyle w:val="BodyText"/>
        <w:spacing w:before="77"/>
        <w:ind w:left="413" w:right="1475"/>
      </w:pPr>
      <w:r>
        <w:rPr/>
        <w:br w:type="column"/>
      </w:r>
      <w:r>
        <w:rPr>
          <w:color w:val="231F20"/>
          <w:spacing w:val="-6"/>
        </w:rPr>
        <w:t>the</w:t>
      </w:r>
      <w:r>
        <w:rPr>
          <w:color w:val="231F20"/>
          <w:spacing w:val="-11"/>
        </w:rPr>
        <w:t> </w:t>
      </w:r>
      <w:r>
        <w:rPr>
          <w:color w:val="231F20"/>
          <w:spacing w:val="-6"/>
        </w:rPr>
        <w:t>primary</w:t>
      </w:r>
      <w:r>
        <w:rPr>
          <w:color w:val="231F20"/>
          <w:spacing w:val="-10"/>
        </w:rPr>
        <w:t> </w:t>
      </w:r>
      <w:r>
        <w:rPr>
          <w:color w:val="231F20"/>
          <w:spacing w:val="-6"/>
        </w:rPr>
        <w:t>cause</w:t>
      </w:r>
      <w:r>
        <w:rPr>
          <w:color w:val="231F20"/>
          <w:spacing w:val="-11"/>
        </w:rPr>
        <w:t> </w:t>
      </w:r>
      <w:r>
        <w:rPr>
          <w:color w:val="231F20"/>
          <w:spacing w:val="-6"/>
        </w:rPr>
        <w:t>of</w:t>
      </w:r>
      <w:r>
        <w:rPr>
          <w:color w:val="231F20"/>
          <w:spacing w:val="-10"/>
        </w:rPr>
        <w:t> </w:t>
      </w:r>
      <w:r>
        <w:rPr>
          <w:color w:val="231F20"/>
          <w:spacing w:val="-6"/>
        </w:rPr>
        <w:t>the</w:t>
      </w:r>
      <w:r>
        <w:rPr>
          <w:color w:val="231F20"/>
          <w:spacing w:val="-11"/>
        </w:rPr>
        <w:t> </w:t>
      </w:r>
      <w:r>
        <w:rPr>
          <w:color w:val="231F20"/>
          <w:spacing w:val="-6"/>
        </w:rPr>
        <w:t>country’s</w:t>
      </w:r>
      <w:r>
        <w:rPr>
          <w:color w:val="231F20"/>
          <w:spacing w:val="-10"/>
        </w:rPr>
        <w:t> </w:t>
      </w:r>
      <w:r>
        <w:rPr>
          <w:color w:val="231F20"/>
          <w:spacing w:val="-6"/>
        </w:rPr>
        <w:t>economic </w:t>
      </w:r>
      <w:r>
        <w:rPr>
          <w:color w:val="231F20"/>
        </w:rPr>
        <w:t>decline, resulting in a large number of </w:t>
      </w:r>
      <w:r>
        <w:rPr>
          <w:color w:val="231F20"/>
          <w:spacing w:val="-6"/>
        </w:rPr>
        <w:t>Cubans</w:t>
      </w:r>
      <w:r>
        <w:rPr>
          <w:color w:val="231F20"/>
          <w:spacing w:val="-8"/>
        </w:rPr>
        <w:t> </w:t>
      </w:r>
      <w:r>
        <w:rPr>
          <w:color w:val="231F20"/>
          <w:spacing w:val="-6"/>
        </w:rPr>
        <w:t>seeking personal realization abroad.</w:t>
      </w:r>
    </w:p>
    <w:p>
      <w:pPr>
        <w:pStyle w:val="BodyText"/>
        <w:spacing w:before="11"/>
        <w:jc w:val="left"/>
        <w:rPr>
          <w:sz w:val="17"/>
        </w:rPr>
      </w:pPr>
      <w:r>
        <w:rPr/>
        <mc:AlternateContent>
          <mc:Choice Requires="wps">
            <w:drawing>
              <wp:anchor distT="0" distB="0" distL="0" distR="0" allowOverlap="1" layoutInCell="1" locked="0" behindDoc="1" simplePos="0" relativeHeight="487642112">
                <wp:simplePos x="0" y="0"/>
                <wp:positionH relativeFrom="page">
                  <wp:posOffset>3672001</wp:posOffset>
                </wp:positionH>
                <wp:positionV relativeFrom="paragraph">
                  <wp:posOffset>165991</wp:posOffset>
                </wp:positionV>
                <wp:extent cx="3888104" cy="1727200"/>
                <wp:effectExtent l="0" t="0" r="0" b="0"/>
                <wp:wrapTopAndBottom/>
                <wp:docPr id="218" name="Textbox 218"/>
                <wp:cNvGraphicFramePr>
                  <a:graphicFrameLocks/>
                </wp:cNvGraphicFramePr>
                <a:graphic>
                  <a:graphicData uri="http://schemas.microsoft.com/office/word/2010/wordprocessingShape">
                    <wps:wsp>
                      <wps:cNvPr id="218" name="Textbox 218"/>
                      <wps:cNvSpPr txBox="1"/>
                      <wps:spPr>
                        <a:xfrm>
                          <a:off x="0" y="0"/>
                          <a:ext cx="3888104" cy="1727200"/>
                        </a:xfrm>
                        <a:prstGeom prst="rect">
                          <a:avLst/>
                        </a:prstGeom>
                        <a:solidFill>
                          <a:srgbClr val="E0E2E2"/>
                        </a:solidFill>
                      </wps:spPr>
                      <wps:txbx>
                        <w:txbxContent>
                          <w:p>
                            <w:pPr>
                              <w:spacing w:line="220" w:lineRule="auto" w:before="221"/>
                              <w:ind w:left="887" w:right="1474" w:hanging="249"/>
                              <w:jc w:val="right"/>
                              <w:rPr>
                                <w:b/>
                                <w:i/>
                                <w:color w:val="000000"/>
                                <w:sz w:val="26"/>
                              </w:rPr>
                            </w:pPr>
                            <w:r>
                              <w:rPr>
                                <w:rFonts w:ascii="Segoe UI Semibold"/>
                                <w:b/>
                                <w:i/>
                                <w:color w:val="231F20"/>
                                <w:sz w:val="26"/>
                              </w:rPr>
                              <w:t>From</w:t>
                            </w:r>
                            <w:r>
                              <w:rPr>
                                <w:rFonts w:ascii="Segoe UI Semibold"/>
                                <w:b/>
                                <w:i/>
                                <w:color w:val="231F20"/>
                                <w:spacing w:val="-18"/>
                                <w:sz w:val="26"/>
                              </w:rPr>
                              <w:t> </w:t>
                            </w:r>
                            <w:r>
                              <w:rPr>
                                <w:rFonts w:ascii="Segoe UI Semibold"/>
                                <w:b/>
                                <w:i/>
                                <w:color w:val="231F20"/>
                                <w:sz w:val="26"/>
                              </w:rPr>
                              <w:t>March</w:t>
                            </w:r>
                            <w:r>
                              <w:rPr>
                                <w:rFonts w:ascii="Segoe UI Semibold"/>
                                <w:b/>
                                <w:i/>
                                <w:color w:val="231F20"/>
                                <w:spacing w:val="-18"/>
                                <w:sz w:val="26"/>
                              </w:rPr>
                              <w:t> </w:t>
                            </w:r>
                            <w:r>
                              <w:rPr>
                                <w:rFonts w:ascii="Segoe UI Semibold"/>
                                <w:b/>
                                <w:i/>
                                <w:color w:val="231F20"/>
                                <w:sz w:val="26"/>
                              </w:rPr>
                              <w:t>1,</w:t>
                            </w:r>
                            <w:r>
                              <w:rPr>
                                <w:rFonts w:ascii="Segoe UI Semibold"/>
                                <w:b/>
                                <w:i/>
                                <w:color w:val="231F20"/>
                                <w:spacing w:val="-18"/>
                                <w:sz w:val="26"/>
                              </w:rPr>
                              <w:t> </w:t>
                            </w:r>
                            <w:r>
                              <w:rPr>
                                <w:rFonts w:ascii="Segoe UI Semibold"/>
                                <w:b/>
                                <w:i/>
                                <w:color w:val="231F20"/>
                                <w:sz w:val="26"/>
                              </w:rPr>
                              <w:t>2022</w:t>
                            </w:r>
                            <w:r>
                              <w:rPr>
                                <w:rFonts w:ascii="Segoe UI Semibold"/>
                                <w:b/>
                                <w:i/>
                                <w:color w:val="231F20"/>
                                <w:spacing w:val="-18"/>
                                <w:sz w:val="26"/>
                              </w:rPr>
                              <w:t> </w:t>
                            </w:r>
                            <w:r>
                              <w:rPr>
                                <w:rFonts w:ascii="Segoe UI Semibold"/>
                                <w:b/>
                                <w:i/>
                                <w:color w:val="231F20"/>
                                <w:sz w:val="26"/>
                              </w:rPr>
                              <w:t>to</w:t>
                            </w:r>
                            <w:r>
                              <w:rPr>
                                <w:rFonts w:ascii="Segoe UI Semibold"/>
                                <w:b/>
                                <w:i/>
                                <w:color w:val="231F20"/>
                                <w:spacing w:val="-18"/>
                                <w:sz w:val="26"/>
                              </w:rPr>
                              <w:t> </w:t>
                            </w:r>
                            <w:r>
                              <w:rPr>
                                <w:rFonts w:ascii="Segoe UI Semibold"/>
                                <w:b/>
                                <w:i/>
                                <w:color w:val="231F20"/>
                                <w:sz w:val="26"/>
                              </w:rPr>
                              <w:t>February</w:t>
                            </w:r>
                            <w:r>
                              <w:rPr>
                                <w:rFonts w:ascii="Segoe UI Semibold"/>
                                <w:b/>
                                <w:i/>
                                <w:color w:val="231F20"/>
                                <w:spacing w:val="-18"/>
                                <w:sz w:val="26"/>
                              </w:rPr>
                              <w:t> </w:t>
                            </w:r>
                            <w:r>
                              <w:rPr>
                                <w:rFonts w:ascii="Segoe UI Semibold"/>
                                <w:b/>
                                <w:i/>
                                <w:color w:val="231F20"/>
                                <w:sz w:val="26"/>
                              </w:rPr>
                              <w:t>28,</w:t>
                            </w:r>
                            <w:r>
                              <w:rPr>
                                <w:rFonts w:ascii="Segoe UI Semibold"/>
                                <w:b/>
                                <w:i/>
                                <w:color w:val="231F20"/>
                                <w:sz w:val="26"/>
                              </w:rPr>
                              <w:t> 2023,</w:t>
                            </w:r>
                            <w:r>
                              <w:rPr>
                                <w:rFonts w:ascii="Segoe UI Semibold"/>
                                <w:b/>
                                <w:i/>
                                <w:color w:val="231F20"/>
                                <w:spacing w:val="-16"/>
                                <w:sz w:val="26"/>
                              </w:rPr>
                              <w:t> </w:t>
                            </w:r>
                            <w:r>
                              <w:rPr>
                                <w:rFonts w:ascii="Segoe UI Semibold"/>
                                <w:b/>
                                <w:i/>
                                <w:color w:val="231F20"/>
                                <w:sz w:val="26"/>
                              </w:rPr>
                              <w:t>the</w:t>
                            </w:r>
                            <w:r>
                              <w:rPr>
                                <w:rFonts w:ascii="Segoe UI Semibold"/>
                                <w:b/>
                                <w:i/>
                                <w:color w:val="231F20"/>
                                <w:spacing w:val="-16"/>
                                <w:sz w:val="26"/>
                              </w:rPr>
                              <w:t> </w:t>
                            </w:r>
                            <w:r>
                              <w:rPr>
                                <w:rFonts w:ascii="Segoe UI Semibold"/>
                                <w:b/>
                                <w:i/>
                                <w:color w:val="231F20"/>
                                <w:sz w:val="26"/>
                              </w:rPr>
                              <w:t>blockade</w:t>
                            </w:r>
                            <w:r>
                              <w:rPr>
                                <w:rFonts w:ascii="Segoe UI Semibold"/>
                                <w:b/>
                                <w:i/>
                                <w:color w:val="231F20"/>
                                <w:spacing w:val="-16"/>
                                <w:sz w:val="26"/>
                              </w:rPr>
                              <w:t> </w:t>
                            </w:r>
                            <w:r>
                              <w:rPr>
                                <w:rFonts w:ascii="Segoe UI Semibold"/>
                                <w:b/>
                                <w:i/>
                                <w:color w:val="231F20"/>
                                <w:sz w:val="26"/>
                              </w:rPr>
                              <w:t>caused</w:t>
                            </w:r>
                            <w:r>
                              <w:rPr>
                                <w:rFonts w:ascii="Segoe UI Semibold"/>
                                <w:b/>
                                <w:i/>
                                <w:color w:val="231F20"/>
                                <w:spacing w:val="-16"/>
                                <w:sz w:val="26"/>
                              </w:rPr>
                              <w:t> </w:t>
                            </w:r>
                            <w:r>
                              <w:rPr>
                                <w:rFonts w:ascii="Segoe UI Semibold"/>
                                <w:b/>
                                <w:i/>
                                <w:color w:val="231F20"/>
                                <w:sz w:val="26"/>
                              </w:rPr>
                              <w:t>losses </w:t>
                            </w:r>
                            <w:r>
                              <w:rPr>
                                <w:rFonts w:ascii="Segoe UI Semibold"/>
                                <w:b/>
                                <w:i/>
                                <w:color w:val="231F20"/>
                                <w:spacing w:val="-2"/>
                                <w:sz w:val="26"/>
                              </w:rPr>
                              <w:t>estimated</w:t>
                            </w:r>
                            <w:r>
                              <w:rPr>
                                <w:rFonts w:ascii="Segoe UI Semibold"/>
                                <w:b/>
                                <w:i/>
                                <w:color w:val="231F20"/>
                                <w:spacing w:val="-16"/>
                                <w:sz w:val="26"/>
                              </w:rPr>
                              <w:t> </w:t>
                            </w:r>
                            <w:r>
                              <w:rPr>
                                <w:rFonts w:ascii="Segoe UI Semibold"/>
                                <w:b/>
                                <w:i/>
                                <w:color w:val="231F20"/>
                                <w:spacing w:val="-2"/>
                                <w:sz w:val="26"/>
                              </w:rPr>
                              <w:t>at</w:t>
                            </w:r>
                            <w:r>
                              <w:rPr>
                                <w:rFonts w:ascii="Segoe UI Semibold"/>
                                <w:b/>
                                <w:i/>
                                <w:color w:val="231F20"/>
                                <w:spacing w:val="-16"/>
                                <w:sz w:val="26"/>
                              </w:rPr>
                              <w:t> </w:t>
                            </w:r>
                            <w:r>
                              <w:rPr>
                                <w:b/>
                                <w:i/>
                                <w:color w:val="231F20"/>
                                <w:spacing w:val="-2"/>
                                <w:sz w:val="26"/>
                              </w:rPr>
                              <w:t>USD</w:t>
                            </w:r>
                            <w:r>
                              <w:rPr>
                                <w:b/>
                                <w:i/>
                                <w:color w:val="231F20"/>
                                <w:spacing w:val="-16"/>
                                <w:sz w:val="26"/>
                              </w:rPr>
                              <w:t> </w:t>
                            </w:r>
                            <w:r>
                              <w:rPr>
                                <w:b/>
                                <w:i/>
                                <w:color w:val="231F20"/>
                                <w:spacing w:val="-2"/>
                                <w:sz w:val="26"/>
                              </w:rPr>
                              <w:t>4,867,000,000</w:t>
                            </w:r>
                            <w:r>
                              <w:rPr>
                                <w:b/>
                                <w:i/>
                                <w:color w:val="231F20"/>
                                <w:spacing w:val="-2"/>
                                <w:sz w:val="26"/>
                              </w:rPr>
                              <w:t> </w:t>
                            </w:r>
                            <w:r>
                              <w:rPr>
                                <w:rFonts w:ascii="Segoe UI Semibold"/>
                                <w:b/>
                                <w:i/>
                                <w:color w:val="231F20"/>
                                <w:sz w:val="26"/>
                              </w:rPr>
                              <w:t>or, on average, exceeding </w:t>
                            </w:r>
                            <w:r>
                              <w:rPr>
                                <w:b/>
                                <w:i/>
                                <w:color w:val="231F20"/>
                                <w:sz w:val="26"/>
                              </w:rPr>
                              <w:t>USD</w:t>
                            </w:r>
                            <w:r>
                              <w:rPr>
                                <w:b/>
                                <w:i/>
                                <w:color w:val="231F20"/>
                                <w:sz w:val="26"/>
                              </w:rPr>
                              <w:t> 405,000,000 </w:t>
                            </w:r>
                            <w:r>
                              <w:rPr>
                                <w:rFonts w:ascii="Segoe UI Semibold"/>
                                <w:b/>
                                <w:i/>
                                <w:color w:val="231F20"/>
                                <w:sz w:val="26"/>
                              </w:rPr>
                              <w:t>per month, </w:t>
                            </w:r>
                            <w:r>
                              <w:rPr>
                                <w:b/>
                                <w:i/>
                                <w:color w:val="231F20"/>
                                <w:sz w:val="26"/>
                              </w:rPr>
                              <w:t>USD</w:t>
                            </w:r>
                          </w:p>
                          <w:p>
                            <w:pPr>
                              <w:spacing w:line="315" w:lineRule="exact" w:before="0"/>
                              <w:ind w:left="294" w:right="0" w:firstLine="0"/>
                              <w:jc w:val="left"/>
                              <w:rPr>
                                <w:b/>
                                <w:i/>
                                <w:color w:val="000000"/>
                                <w:sz w:val="26"/>
                              </w:rPr>
                            </w:pPr>
                            <w:r>
                              <w:rPr>
                                <w:b/>
                                <w:i/>
                                <w:color w:val="231F20"/>
                                <w:sz w:val="26"/>
                              </w:rPr>
                              <w:t>13,000,000</w:t>
                            </w:r>
                            <w:r>
                              <w:rPr>
                                <w:b/>
                                <w:i/>
                                <w:color w:val="231F20"/>
                                <w:spacing w:val="-18"/>
                                <w:sz w:val="26"/>
                              </w:rPr>
                              <w:t> </w:t>
                            </w:r>
                            <w:r>
                              <w:rPr>
                                <w:rFonts w:ascii="Segoe UI Semibold"/>
                                <w:b/>
                                <w:i/>
                                <w:color w:val="231F20"/>
                                <w:sz w:val="26"/>
                              </w:rPr>
                              <w:t>per</w:t>
                            </w:r>
                            <w:r>
                              <w:rPr>
                                <w:rFonts w:ascii="Segoe UI Semibold"/>
                                <w:b/>
                                <w:i/>
                                <w:color w:val="231F20"/>
                                <w:spacing w:val="-16"/>
                                <w:sz w:val="26"/>
                              </w:rPr>
                              <w:t> </w:t>
                            </w:r>
                            <w:r>
                              <w:rPr>
                                <w:rFonts w:ascii="Segoe UI Semibold"/>
                                <w:b/>
                                <w:i/>
                                <w:color w:val="231F20"/>
                                <w:sz w:val="26"/>
                              </w:rPr>
                              <w:t>day</w:t>
                            </w:r>
                            <w:r>
                              <w:rPr>
                                <w:rFonts w:ascii="Segoe UI Semibold"/>
                                <w:b/>
                                <w:i/>
                                <w:color w:val="231F20"/>
                                <w:spacing w:val="-16"/>
                                <w:sz w:val="26"/>
                              </w:rPr>
                              <w:t> </w:t>
                            </w:r>
                            <w:r>
                              <w:rPr>
                                <w:rFonts w:ascii="Segoe UI Semibold"/>
                                <w:b/>
                                <w:i/>
                                <w:color w:val="231F20"/>
                                <w:sz w:val="26"/>
                              </w:rPr>
                              <w:t>and</w:t>
                            </w:r>
                            <w:r>
                              <w:rPr>
                                <w:rFonts w:ascii="Segoe UI Semibold"/>
                                <w:b/>
                                <w:i/>
                                <w:color w:val="231F20"/>
                                <w:spacing w:val="-15"/>
                                <w:sz w:val="26"/>
                              </w:rPr>
                              <w:t> </w:t>
                            </w:r>
                            <w:r>
                              <w:rPr>
                                <w:b/>
                                <w:i/>
                                <w:color w:val="231F20"/>
                                <w:sz w:val="26"/>
                              </w:rPr>
                              <w:t>USD</w:t>
                            </w:r>
                            <w:r>
                              <w:rPr>
                                <w:b/>
                                <w:i/>
                                <w:color w:val="231F20"/>
                                <w:spacing w:val="-16"/>
                                <w:sz w:val="26"/>
                              </w:rPr>
                              <w:t> </w:t>
                            </w:r>
                            <w:r>
                              <w:rPr>
                                <w:b/>
                                <w:i/>
                                <w:color w:val="231F20"/>
                                <w:spacing w:val="-2"/>
                                <w:sz w:val="26"/>
                              </w:rPr>
                              <w:t>555,000</w:t>
                            </w:r>
                          </w:p>
                          <w:p>
                            <w:pPr>
                              <w:spacing w:line="333" w:lineRule="exact" w:before="0"/>
                              <w:ind w:left="1165" w:right="0" w:firstLine="0"/>
                              <w:jc w:val="left"/>
                              <w:rPr>
                                <w:rFonts w:ascii="Segoe UI Semibold"/>
                                <w:b/>
                                <w:i/>
                                <w:color w:val="000000"/>
                                <w:sz w:val="26"/>
                              </w:rPr>
                            </w:pPr>
                            <w:r>
                              <w:rPr>
                                <w:rFonts w:ascii="Segoe UI Semibold"/>
                                <w:b/>
                                <w:i/>
                                <w:color w:val="231F20"/>
                                <w:sz w:val="26"/>
                              </w:rPr>
                              <w:t>for</w:t>
                            </w:r>
                            <w:r>
                              <w:rPr>
                                <w:rFonts w:ascii="Segoe UI Semibold"/>
                                <w:b/>
                                <w:i/>
                                <w:color w:val="231F20"/>
                                <w:spacing w:val="-13"/>
                                <w:sz w:val="26"/>
                              </w:rPr>
                              <w:t> </w:t>
                            </w:r>
                            <w:r>
                              <w:rPr>
                                <w:rFonts w:ascii="Segoe UI Semibold"/>
                                <w:b/>
                                <w:i/>
                                <w:color w:val="231F20"/>
                                <w:sz w:val="26"/>
                              </w:rPr>
                              <w:t>every</w:t>
                            </w:r>
                            <w:r>
                              <w:rPr>
                                <w:rFonts w:ascii="Segoe UI Semibold"/>
                                <w:b/>
                                <w:i/>
                                <w:color w:val="231F20"/>
                                <w:spacing w:val="-13"/>
                                <w:sz w:val="26"/>
                              </w:rPr>
                              <w:t> </w:t>
                            </w:r>
                            <w:r>
                              <w:rPr>
                                <w:rFonts w:ascii="Segoe UI Semibold"/>
                                <w:b/>
                                <w:i/>
                                <w:color w:val="231F20"/>
                                <w:sz w:val="26"/>
                              </w:rPr>
                              <w:t>hour</w:t>
                            </w:r>
                            <w:r>
                              <w:rPr>
                                <w:rFonts w:ascii="Segoe UI Semibold"/>
                                <w:b/>
                                <w:i/>
                                <w:color w:val="231F20"/>
                                <w:spacing w:val="-13"/>
                                <w:sz w:val="26"/>
                              </w:rPr>
                              <w:t> </w:t>
                            </w:r>
                            <w:r>
                              <w:rPr>
                                <w:rFonts w:ascii="Segoe UI Semibold"/>
                                <w:b/>
                                <w:i/>
                                <w:color w:val="231F20"/>
                                <w:sz w:val="26"/>
                              </w:rPr>
                              <w:t>of</w:t>
                            </w:r>
                            <w:r>
                              <w:rPr>
                                <w:rFonts w:ascii="Segoe UI Semibold"/>
                                <w:b/>
                                <w:i/>
                                <w:color w:val="231F20"/>
                                <w:spacing w:val="-13"/>
                                <w:sz w:val="26"/>
                              </w:rPr>
                              <w:t> </w:t>
                            </w:r>
                            <w:r>
                              <w:rPr>
                                <w:rFonts w:ascii="Segoe UI Semibold"/>
                                <w:b/>
                                <w:i/>
                                <w:color w:val="231F20"/>
                                <w:sz w:val="26"/>
                              </w:rPr>
                              <w:t>the</w:t>
                            </w:r>
                            <w:r>
                              <w:rPr>
                                <w:rFonts w:ascii="Segoe UI Semibold"/>
                                <w:b/>
                                <w:i/>
                                <w:color w:val="231F20"/>
                                <w:spacing w:val="-13"/>
                                <w:sz w:val="26"/>
                              </w:rPr>
                              <w:t> </w:t>
                            </w:r>
                            <w:r>
                              <w:rPr>
                                <w:rFonts w:ascii="Segoe UI Semibold"/>
                                <w:b/>
                                <w:i/>
                                <w:color w:val="231F20"/>
                                <w:spacing w:val="-2"/>
                                <w:sz w:val="26"/>
                              </w:rPr>
                              <w:t>blockade.</w:t>
                            </w:r>
                          </w:p>
                        </w:txbxContent>
                      </wps:txbx>
                      <wps:bodyPr wrap="square" lIns="0" tIns="0" rIns="0" bIns="0" rtlCol="0">
                        <a:noAutofit/>
                      </wps:bodyPr>
                    </wps:wsp>
                  </a:graphicData>
                </a:graphic>
              </wp:anchor>
            </w:drawing>
          </mc:Choice>
          <mc:Fallback>
            <w:pict>
              <v:shape style="position:absolute;margin-left:289.134003pt;margin-top:13.070188pt;width:306.150pt;height:136pt;mso-position-horizontal-relative:page;mso-position-vertical-relative:paragraph;z-index:-15674368;mso-wrap-distance-left:0;mso-wrap-distance-right:0" type="#_x0000_t202" id="docshape186" filled="true" fillcolor="#e0e2e2" stroked="false">
                <v:textbox inset="0,0,0,0">
                  <w:txbxContent>
                    <w:p>
                      <w:pPr>
                        <w:spacing w:line="220" w:lineRule="auto" w:before="221"/>
                        <w:ind w:left="887" w:right="1474" w:hanging="249"/>
                        <w:jc w:val="right"/>
                        <w:rPr>
                          <w:b/>
                          <w:i/>
                          <w:color w:val="000000"/>
                          <w:sz w:val="26"/>
                        </w:rPr>
                      </w:pPr>
                      <w:r>
                        <w:rPr>
                          <w:rFonts w:ascii="Segoe UI Semibold"/>
                          <w:b/>
                          <w:i/>
                          <w:color w:val="231F20"/>
                          <w:sz w:val="26"/>
                        </w:rPr>
                        <w:t>From</w:t>
                      </w:r>
                      <w:r>
                        <w:rPr>
                          <w:rFonts w:ascii="Segoe UI Semibold"/>
                          <w:b/>
                          <w:i/>
                          <w:color w:val="231F20"/>
                          <w:spacing w:val="-18"/>
                          <w:sz w:val="26"/>
                        </w:rPr>
                        <w:t> </w:t>
                      </w:r>
                      <w:r>
                        <w:rPr>
                          <w:rFonts w:ascii="Segoe UI Semibold"/>
                          <w:b/>
                          <w:i/>
                          <w:color w:val="231F20"/>
                          <w:sz w:val="26"/>
                        </w:rPr>
                        <w:t>March</w:t>
                      </w:r>
                      <w:r>
                        <w:rPr>
                          <w:rFonts w:ascii="Segoe UI Semibold"/>
                          <w:b/>
                          <w:i/>
                          <w:color w:val="231F20"/>
                          <w:spacing w:val="-18"/>
                          <w:sz w:val="26"/>
                        </w:rPr>
                        <w:t> </w:t>
                      </w:r>
                      <w:r>
                        <w:rPr>
                          <w:rFonts w:ascii="Segoe UI Semibold"/>
                          <w:b/>
                          <w:i/>
                          <w:color w:val="231F20"/>
                          <w:sz w:val="26"/>
                        </w:rPr>
                        <w:t>1,</w:t>
                      </w:r>
                      <w:r>
                        <w:rPr>
                          <w:rFonts w:ascii="Segoe UI Semibold"/>
                          <w:b/>
                          <w:i/>
                          <w:color w:val="231F20"/>
                          <w:spacing w:val="-18"/>
                          <w:sz w:val="26"/>
                        </w:rPr>
                        <w:t> </w:t>
                      </w:r>
                      <w:r>
                        <w:rPr>
                          <w:rFonts w:ascii="Segoe UI Semibold"/>
                          <w:b/>
                          <w:i/>
                          <w:color w:val="231F20"/>
                          <w:sz w:val="26"/>
                        </w:rPr>
                        <w:t>2022</w:t>
                      </w:r>
                      <w:r>
                        <w:rPr>
                          <w:rFonts w:ascii="Segoe UI Semibold"/>
                          <w:b/>
                          <w:i/>
                          <w:color w:val="231F20"/>
                          <w:spacing w:val="-18"/>
                          <w:sz w:val="26"/>
                        </w:rPr>
                        <w:t> </w:t>
                      </w:r>
                      <w:r>
                        <w:rPr>
                          <w:rFonts w:ascii="Segoe UI Semibold"/>
                          <w:b/>
                          <w:i/>
                          <w:color w:val="231F20"/>
                          <w:sz w:val="26"/>
                        </w:rPr>
                        <w:t>to</w:t>
                      </w:r>
                      <w:r>
                        <w:rPr>
                          <w:rFonts w:ascii="Segoe UI Semibold"/>
                          <w:b/>
                          <w:i/>
                          <w:color w:val="231F20"/>
                          <w:spacing w:val="-18"/>
                          <w:sz w:val="26"/>
                        </w:rPr>
                        <w:t> </w:t>
                      </w:r>
                      <w:r>
                        <w:rPr>
                          <w:rFonts w:ascii="Segoe UI Semibold"/>
                          <w:b/>
                          <w:i/>
                          <w:color w:val="231F20"/>
                          <w:sz w:val="26"/>
                        </w:rPr>
                        <w:t>February</w:t>
                      </w:r>
                      <w:r>
                        <w:rPr>
                          <w:rFonts w:ascii="Segoe UI Semibold"/>
                          <w:b/>
                          <w:i/>
                          <w:color w:val="231F20"/>
                          <w:spacing w:val="-18"/>
                          <w:sz w:val="26"/>
                        </w:rPr>
                        <w:t> </w:t>
                      </w:r>
                      <w:r>
                        <w:rPr>
                          <w:rFonts w:ascii="Segoe UI Semibold"/>
                          <w:b/>
                          <w:i/>
                          <w:color w:val="231F20"/>
                          <w:sz w:val="26"/>
                        </w:rPr>
                        <w:t>28,</w:t>
                      </w:r>
                      <w:r>
                        <w:rPr>
                          <w:rFonts w:ascii="Segoe UI Semibold"/>
                          <w:b/>
                          <w:i/>
                          <w:color w:val="231F20"/>
                          <w:sz w:val="26"/>
                        </w:rPr>
                        <w:t> 2023,</w:t>
                      </w:r>
                      <w:r>
                        <w:rPr>
                          <w:rFonts w:ascii="Segoe UI Semibold"/>
                          <w:b/>
                          <w:i/>
                          <w:color w:val="231F20"/>
                          <w:spacing w:val="-16"/>
                          <w:sz w:val="26"/>
                        </w:rPr>
                        <w:t> </w:t>
                      </w:r>
                      <w:r>
                        <w:rPr>
                          <w:rFonts w:ascii="Segoe UI Semibold"/>
                          <w:b/>
                          <w:i/>
                          <w:color w:val="231F20"/>
                          <w:sz w:val="26"/>
                        </w:rPr>
                        <w:t>the</w:t>
                      </w:r>
                      <w:r>
                        <w:rPr>
                          <w:rFonts w:ascii="Segoe UI Semibold"/>
                          <w:b/>
                          <w:i/>
                          <w:color w:val="231F20"/>
                          <w:spacing w:val="-16"/>
                          <w:sz w:val="26"/>
                        </w:rPr>
                        <w:t> </w:t>
                      </w:r>
                      <w:r>
                        <w:rPr>
                          <w:rFonts w:ascii="Segoe UI Semibold"/>
                          <w:b/>
                          <w:i/>
                          <w:color w:val="231F20"/>
                          <w:sz w:val="26"/>
                        </w:rPr>
                        <w:t>blockade</w:t>
                      </w:r>
                      <w:r>
                        <w:rPr>
                          <w:rFonts w:ascii="Segoe UI Semibold"/>
                          <w:b/>
                          <w:i/>
                          <w:color w:val="231F20"/>
                          <w:spacing w:val="-16"/>
                          <w:sz w:val="26"/>
                        </w:rPr>
                        <w:t> </w:t>
                      </w:r>
                      <w:r>
                        <w:rPr>
                          <w:rFonts w:ascii="Segoe UI Semibold"/>
                          <w:b/>
                          <w:i/>
                          <w:color w:val="231F20"/>
                          <w:sz w:val="26"/>
                        </w:rPr>
                        <w:t>caused</w:t>
                      </w:r>
                      <w:r>
                        <w:rPr>
                          <w:rFonts w:ascii="Segoe UI Semibold"/>
                          <w:b/>
                          <w:i/>
                          <w:color w:val="231F20"/>
                          <w:spacing w:val="-16"/>
                          <w:sz w:val="26"/>
                        </w:rPr>
                        <w:t> </w:t>
                      </w:r>
                      <w:r>
                        <w:rPr>
                          <w:rFonts w:ascii="Segoe UI Semibold"/>
                          <w:b/>
                          <w:i/>
                          <w:color w:val="231F20"/>
                          <w:sz w:val="26"/>
                        </w:rPr>
                        <w:t>losses </w:t>
                      </w:r>
                      <w:r>
                        <w:rPr>
                          <w:rFonts w:ascii="Segoe UI Semibold"/>
                          <w:b/>
                          <w:i/>
                          <w:color w:val="231F20"/>
                          <w:spacing w:val="-2"/>
                          <w:sz w:val="26"/>
                        </w:rPr>
                        <w:t>estimated</w:t>
                      </w:r>
                      <w:r>
                        <w:rPr>
                          <w:rFonts w:ascii="Segoe UI Semibold"/>
                          <w:b/>
                          <w:i/>
                          <w:color w:val="231F20"/>
                          <w:spacing w:val="-16"/>
                          <w:sz w:val="26"/>
                        </w:rPr>
                        <w:t> </w:t>
                      </w:r>
                      <w:r>
                        <w:rPr>
                          <w:rFonts w:ascii="Segoe UI Semibold"/>
                          <w:b/>
                          <w:i/>
                          <w:color w:val="231F20"/>
                          <w:spacing w:val="-2"/>
                          <w:sz w:val="26"/>
                        </w:rPr>
                        <w:t>at</w:t>
                      </w:r>
                      <w:r>
                        <w:rPr>
                          <w:rFonts w:ascii="Segoe UI Semibold"/>
                          <w:b/>
                          <w:i/>
                          <w:color w:val="231F20"/>
                          <w:spacing w:val="-16"/>
                          <w:sz w:val="26"/>
                        </w:rPr>
                        <w:t> </w:t>
                      </w:r>
                      <w:r>
                        <w:rPr>
                          <w:b/>
                          <w:i/>
                          <w:color w:val="231F20"/>
                          <w:spacing w:val="-2"/>
                          <w:sz w:val="26"/>
                        </w:rPr>
                        <w:t>USD</w:t>
                      </w:r>
                      <w:r>
                        <w:rPr>
                          <w:b/>
                          <w:i/>
                          <w:color w:val="231F20"/>
                          <w:spacing w:val="-16"/>
                          <w:sz w:val="26"/>
                        </w:rPr>
                        <w:t> </w:t>
                      </w:r>
                      <w:r>
                        <w:rPr>
                          <w:b/>
                          <w:i/>
                          <w:color w:val="231F20"/>
                          <w:spacing w:val="-2"/>
                          <w:sz w:val="26"/>
                        </w:rPr>
                        <w:t>4,867,000,000</w:t>
                      </w:r>
                      <w:r>
                        <w:rPr>
                          <w:b/>
                          <w:i/>
                          <w:color w:val="231F20"/>
                          <w:spacing w:val="-2"/>
                          <w:sz w:val="26"/>
                        </w:rPr>
                        <w:t> </w:t>
                      </w:r>
                      <w:r>
                        <w:rPr>
                          <w:rFonts w:ascii="Segoe UI Semibold"/>
                          <w:b/>
                          <w:i/>
                          <w:color w:val="231F20"/>
                          <w:sz w:val="26"/>
                        </w:rPr>
                        <w:t>or, on average, exceeding </w:t>
                      </w:r>
                      <w:r>
                        <w:rPr>
                          <w:b/>
                          <w:i/>
                          <w:color w:val="231F20"/>
                          <w:sz w:val="26"/>
                        </w:rPr>
                        <w:t>USD</w:t>
                      </w:r>
                      <w:r>
                        <w:rPr>
                          <w:b/>
                          <w:i/>
                          <w:color w:val="231F20"/>
                          <w:sz w:val="26"/>
                        </w:rPr>
                        <w:t> 405,000,000 </w:t>
                      </w:r>
                      <w:r>
                        <w:rPr>
                          <w:rFonts w:ascii="Segoe UI Semibold"/>
                          <w:b/>
                          <w:i/>
                          <w:color w:val="231F20"/>
                          <w:sz w:val="26"/>
                        </w:rPr>
                        <w:t>per month, </w:t>
                      </w:r>
                      <w:r>
                        <w:rPr>
                          <w:b/>
                          <w:i/>
                          <w:color w:val="231F20"/>
                          <w:sz w:val="26"/>
                        </w:rPr>
                        <w:t>USD</w:t>
                      </w:r>
                    </w:p>
                    <w:p>
                      <w:pPr>
                        <w:spacing w:line="315" w:lineRule="exact" w:before="0"/>
                        <w:ind w:left="294" w:right="0" w:firstLine="0"/>
                        <w:jc w:val="left"/>
                        <w:rPr>
                          <w:b/>
                          <w:i/>
                          <w:color w:val="000000"/>
                          <w:sz w:val="26"/>
                        </w:rPr>
                      </w:pPr>
                      <w:r>
                        <w:rPr>
                          <w:b/>
                          <w:i/>
                          <w:color w:val="231F20"/>
                          <w:sz w:val="26"/>
                        </w:rPr>
                        <w:t>13,000,000</w:t>
                      </w:r>
                      <w:r>
                        <w:rPr>
                          <w:b/>
                          <w:i/>
                          <w:color w:val="231F20"/>
                          <w:spacing w:val="-18"/>
                          <w:sz w:val="26"/>
                        </w:rPr>
                        <w:t> </w:t>
                      </w:r>
                      <w:r>
                        <w:rPr>
                          <w:rFonts w:ascii="Segoe UI Semibold"/>
                          <w:b/>
                          <w:i/>
                          <w:color w:val="231F20"/>
                          <w:sz w:val="26"/>
                        </w:rPr>
                        <w:t>per</w:t>
                      </w:r>
                      <w:r>
                        <w:rPr>
                          <w:rFonts w:ascii="Segoe UI Semibold"/>
                          <w:b/>
                          <w:i/>
                          <w:color w:val="231F20"/>
                          <w:spacing w:val="-16"/>
                          <w:sz w:val="26"/>
                        </w:rPr>
                        <w:t> </w:t>
                      </w:r>
                      <w:r>
                        <w:rPr>
                          <w:rFonts w:ascii="Segoe UI Semibold"/>
                          <w:b/>
                          <w:i/>
                          <w:color w:val="231F20"/>
                          <w:sz w:val="26"/>
                        </w:rPr>
                        <w:t>day</w:t>
                      </w:r>
                      <w:r>
                        <w:rPr>
                          <w:rFonts w:ascii="Segoe UI Semibold"/>
                          <w:b/>
                          <w:i/>
                          <w:color w:val="231F20"/>
                          <w:spacing w:val="-16"/>
                          <w:sz w:val="26"/>
                        </w:rPr>
                        <w:t> </w:t>
                      </w:r>
                      <w:r>
                        <w:rPr>
                          <w:rFonts w:ascii="Segoe UI Semibold"/>
                          <w:b/>
                          <w:i/>
                          <w:color w:val="231F20"/>
                          <w:sz w:val="26"/>
                        </w:rPr>
                        <w:t>and</w:t>
                      </w:r>
                      <w:r>
                        <w:rPr>
                          <w:rFonts w:ascii="Segoe UI Semibold"/>
                          <w:b/>
                          <w:i/>
                          <w:color w:val="231F20"/>
                          <w:spacing w:val="-15"/>
                          <w:sz w:val="26"/>
                        </w:rPr>
                        <w:t> </w:t>
                      </w:r>
                      <w:r>
                        <w:rPr>
                          <w:b/>
                          <w:i/>
                          <w:color w:val="231F20"/>
                          <w:sz w:val="26"/>
                        </w:rPr>
                        <w:t>USD</w:t>
                      </w:r>
                      <w:r>
                        <w:rPr>
                          <w:b/>
                          <w:i/>
                          <w:color w:val="231F20"/>
                          <w:spacing w:val="-16"/>
                          <w:sz w:val="26"/>
                        </w:rPr>
                        <w:t> </w:t>
                      </w:r>
                      <w:r>
                        <w:rPr>
                          <w:b/>
                          <w:i/>
                          <w:color w:val="231F20"/>
                          <w:spacing w:val="-2"/>
                          <w:sz w:val="26"/>
                        </w:rPr>
                        <w:t>555,000</w:t>
                      </w:r>
                    </w:p>
                    <w:p>
                      <w:pPr>
                        <w:spacing w:line="333" w:lineRule="exact" w:before="0"/>
                        <w:ind w:left="1165" w:right="0" w:firstLine="0"/>
                        <w:jc w:val="left"/>
                        <w:rPr>
                          <w:rFonts w:ascii="Segoe UI Semibold"/>
                          <w:b/>
                          <w:i/>
                          <w:color w:val="000000"/>
                          <w:sz w:val="26"/>
                        </w:rPr>
                      </w:pPr>
                      <w:r>
                        <w:rPr>
                          <w:rFonts w:ascii="Segoe UI Semibold"/>
                          <w:b/>
                          <w:i/>
                          <w:color w:val="231F20"/>
                          <w:sz w:val="26"/>
                        </w:rPr>
                        <w:t>for</w:t>
                      </w:r>
                      <w:r>
                        <w:rPr>
                          <w:rFonts w:ascii="Segoe UI Semibold"/>
                          <w:b/>
                          <w:i/>
                          <w:color w:val="231F20"/>
                          <w:spacing w:val="-13"/>
                          <w:sz w:val="26"/>
                        </w:rPr>
                        <w:t> </w:t>
                      </w:r>
                      <w:r>
                        <w:rPr>
                          <w:rFonts w:ascii="Segoe UI Semibold"/>
                          <w:b/>
                          <w:i/>
                          <w:color w:val="231F20"/>
                          <w:sz w:val="26"/>
                        </w:rPr>
                        <w:t>every</w:t>
                      </w:r>
                      <w:r>
                        <w:rPr>
                          <w:rFonts w:ascii="Segoe UI Semibold"/>
                          <w:b/>
                          <w:i/>
                          <w:color w:val="231F20"/>
                          <w:spacing w:val="-13"/>
                          <w:sz w:val="26"/>
                        </w:rPr>
                        <w:t> </w:t>
                      </w:r>
                      <w:r>
                        <w:rPr>
                          <w:rFonts w:ascii="Segoe UI Semibold"/>
                          <w:b/>
                          <w:i/>
                          <w:color w:val="231F20"/>
                          <w:sz w:val="26"/>
                        </w:rPr>
                        <w:t>hour</w:t>
                      </w:r>
                      <w:r>
                        <w:rPr>
                          <w:rFonts w:ascii="Segoe UI Semibold"/>
                          <w:b/>
                          <w:i/>
                          <w:color w:val="231F20"/>
                          <w:spacing w:val="-13"/>
                          <w:sz w:val="26"/>
                        </w:rPr>
                        <w:t> </w:t>
                      </w:r>
                      <w:r>
                        <w:rPr>
                          <w:rFonts w:ascii="Segoe UI Semibold"/>
                          <w:b/>
                          <w:i/>
                          <w:color w:val="231F20"/>
                          <w:sz w:val="26"/>
                        </w:rPr>
                        <w:t>of</w:t>
                      </w:r>
                      <w:r>
                        <w:rPr>
                          <w:rFonts w:ascii="Segoe UI Semibold"/>
                          <w:b/>
                          <w:i/>
                          <w:color w:val="231F20"/>
                          <w:spacing w:val="-13"/>
                          <w:sz w:val="26"/>
                        </w:rPr>
                        <w:t> </w:t>
                      </w:r>
                      <w:r>
                        <w:rPr>
                          <w:rFonts w:ascii="Segoe UI Semibold"/>
                          <w:b/>
                          <w:i/>
                          <w:color w:val="231F20"/>
                          <w:sz w:val="26"/>
                        </w:rPr>
                        <w:t>the</w:t>
                      </w:r>
                      <w:r>
                        <w:rPr>
                          <w:rFonts w:ascii="Segoe UI Semibold"/>
                          <w:b/>
                          <w:i/>
                          <w:color w:val="231F20"/>
                          <w:spacing w:val="-13"/>
                          <w:sz w:val="26"/>
                        </w:rPr>
                        <w:t> </w:t>
                      </w:r>
                      <w:r>
                        <w:rPr>
                          <w:rFonts w:ascii="Segoe UI Semibold"/>
                          <w:b/>
                          <w:i/>
                          <w:color w:val="231F20"/>
                          <w:spacing w:val="-2"/>
                          <w:sz w:val="26"/>
                        </w:rPr>
                        <w:t>blockade.</w:t>
                      </w:r>
                    </w:p>
                  </w:txbxContent>
                </v:textbox>
                <v:fill type="solid"/>
                <w10:wrap type="topAndBottom"/>
              </v:shape>
            </w:pict>
          </mc:Fallback>
        </mc:AlternateContent>
      </w:r>
    </w:p>
    <w:p>
      <w:pPr>
        <w:pStyle w:val="BodyText"/>
        <w:spacing w:before="221"/>
        <w:ind w:left="413" w:right="1473"/>
      </w:pPr>
      <w:r>
        <w:rPr>
          <w:color w:val="231F20"/>
        </w:rPr>
        <w:t>These levels reflect the intensified impact of the blockade on Cuban exports,</w:t>
      </w:r>
      <w:r>
        <w:rPr>
          <w:color w:val="231F20"/>
          <w:spacing w:val="80"/>
        </w:rPr>
        <w:t> </w:t>
      </w:r>
      <w:r>
        <w:rPr>
          <w:color w:val="231F20"/>
        </w:rPr>
        <w:t>mainly in the tourism sector, the ruthless persecution</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country’s</w:t>
      </w:r>
      <w:r>
        <w:rPr>
          <w:color w:val="231F20"/>
          <w:spacing w:val="40"/>
        </w:rPr>
        <w:t> </w:t>
      </w:r>
      <w:r>
        <w:rPr>
          <w:color w:val="231F20"/>
        </w:rPr>
        <w:t>banking and other financial operations, the cost</w:t>
      </w:r>
      <w:r>
        <w:rPr>
          <w:color w:val="231F20"/>
          <w:spacing w:val="80"/>
        </w:rPr>
        <w:t> </w:t>
      </w:r>
      <w:r>
        <w:rPr>
          <w:color w:val="231F20"/>
        </w:rPr>
        <w:t>of geographical relocation of trade, impairment of production and services to the</w:t>
      </w:r>
      <w:r>
        <w:rPr>
          <w:color w:val="231F20"/>
          <w:spacing w:val="-1"/>
        </w:rPr>
        <w:t> </w:t>
      </w:r>
      <w:r>
        <w:rPr>
          <w:color w:val="231F20"/>
        </w:rPr>
        <w:t>population</w:t>
      </w:r>
      <w:r>
        <w:rPr>
          <w:color w:val="231F20"/>
          <w:spacing w:val="-1"/>
        </w:rPr>
        <w:t> </w:t>
      </w:r>
      <w:r>
        <w:rPr>
          <w:color w:val="231F20"/>
        </w:rPr>
        <w:t>and</w:t>
      </w:r>
      <w:r>
        <w:rPr>
          <w:color w:val="231F20"/>
          <w:spacing w:val="-1"/>
        </w:rPr>
        <w:t> </w:t>
      </w:r>
      <w:r>
        <w:rPr>
          <w:color w:val="231F20"/>
        </w:rPr>
        <w:t>obstacles</w:t>
      </w:r>
      <w:r>
        <w:rPr>
          <w:color w:val="231F20"/>
          <w:spacing w:val="-1"/>
        </w:rPr>
        <w:t> </w:t>
      </w:r>
      <w:r>
        <w:rPr>
          <w:color w:val="231F20"/>
        </w:rPr>
        <w:t>to</w:t>
      </w:r>
      <w:r>
        <w:rPr>
          <w:color w:val="231F20"/>
          <w:spacing w:val="-1"/>
        </w:rPr>
        <w:t> </w:t>
      </w:r>
      <w:r>
        <w:rPr>
          <w:color w:val="231F20"/>
        </w:rPr>
        <w:t>access</w:t>
      </w:r>
      <w:r>
        <w:rPr>
          <w:color w:val="231F20"/>
          <w:spacing w:val="-1"/>
        </w:rPr>
        <w:t> </w:t>
      </w:r>
      <w:r>
        <w:rPr>
          <w:color w:val="231F20"/>
        </w:rPr>
        <w:t>to advanced technologies.</w:t>
      </w:r>
    </w:p>
    <w:p>
      <w:pPr>
        <w:spacing w:before="167"/>
        <w:ind w:left="413" w:right="1477" w:firstLine="0"/>
        <w:jc w:val="both"/>
        <w:rPr>
          <w:i/>
          <w:sz w:val="24"/>
        </w:rPr>
      </w:pPr>
      <w:r>
        <w:rPr>
          <w:i/>
          <w:color w:val="231F20"/>
          <w:sz w:val="24"/>
        </w:rPr>
        <w:t>It</w:t>
      </w:r>
      <w:r>
        <w:rPr>
          <w:i/>
          <w:color w:val="231F20"/>
          <w:spacing w:val="-17"/>
          <w:sz w:val="24"/>
        </w:rPr>
        <w:t> </w:t>
      </w:r>
      <w:r>
        <w:rPr>
          <w:i/>
          <w:color w:val="231F20"/>
          <w:sz w:val="24"/>
        </w:rPr>
        <w:t>is</w:t>
      </w:r>
      <w:r>
        <w:rPr>
          <w:i/>
          <w:color w:val="231F20"/>
          <w:spacing w:val="-16"/>
          <w:sz w:val="24"/>
        </w:rPr>
        <w:t> </w:t>
      </w:r>
      <w:r>
        <w:rPr>
          <w:i/>
          <w:color w:val="231F20"/>
          <w:sz w:val="24"/>
        </w:rPr>
        <w:t>estimated</w:t>
      </w:r>
      <w:r>
        <w:rPr>
          <w:i/>
          <w:color w:val="231F20"/>
          <w:spacing w:val="-17"/>
          <w:sz w:val="24"/>
        </w:rPr>
        <w:t> </w:t>
      </w:r>
      <w:r>
        <w:rPr>
          <w:i/>
          <w:color w:val="231F20"/>
          <w:sz w:val="24"/>
        </w:rPr>
        <w:t>that,</w:t>
      </w:r>
      <w:r>
        <w:rPr>
          <w:i/>
          <w:color w:val="231F20"/>
          <w:spacing w:val="-16"/>
          <w:sz w:val="24"/>
        </w:rPr>
        <w:t> </w:t>
      </w:r>
      <w:r>
        <w:rPr>
          <w:i/>
          <w:color w:val="231F20"/>
          <w:sz w:val="24"/>
        </w:rPr>
        <w:t>without</w:t>
      </w:r>
      <w:r>
        <w:rPr>
          <w:i/>
          <w:color w:val="231F20"/>
          <w:spacing w:val="-17"/>
          <w:sz w:val="24"/>
        </w:rPr>
        <w:t> </w:t>
      </w:r>
      <w:r>
        <w:rPr>
          <w:i/>
          <w:color w:val="231F20"/>
          <w:sz w:val="24"/>
        </w:rPr>
        <w:t>the</w:t>
      </w:r>
      <w:r>
        <w:rPr>
          <w:i/>
          <w:color w:val="231F20"/>
          <w:spacing w:val="-16"/>
          <w:sz w:val="24"/>
        </w:rPr>
        <w:t> </w:t>
      </w:r>
      <w:r>
        <w:rPr>
          <w:i/>
          <w:color w:val="231F20"/>
          <w:sz w:val="24"/>
        </w:rPr>
        <w:t>blockade,</w:t>
      </w:r>
      <w:r>
        <w:rPr>
          <w:i/>
          <w:color w:val="231F20"/>
          <w:spacing w:val="-17"/>
          <w:sz w:val="24"/>
        </w:rPr>
        <w:t> </w:t>
      </w:r>
      <w:r>
        <w:rPr>
          <w:i/>
          <w:color w:val="231F20"/>
          <w:sz w:val="24"/>
        </w:rPr>
        <w:t>in</w:t>
      </w:r>
      <w:r>
        <w:rPr>
          <w:i/>
          <w:color w:val="231F20"/>
          <w:sz w:val="24"/>
        </w:rPr>
        <w:t> </w:t>
      </w:r>
      <w:r>
        <w:rPr>
          <w:i/>
          <w:color w:val="231F20"/>
          <w:spacing w:val="-2"/>
          <w:sz w:val="24"/>
        </w:rPr>
        <w:t>2022</w:t>
      </w:r>
      <w:r>
        <w:rPr>
          <w:i/>
          <w:color w:val="231F20"/>
          <w:spacing w:val="-14"/>
          <w:sz w:val="24"/>
        </w:rPr>
        <w:t> </w:t>
      </w:r>
      <w:r>
        <w:rPr>
          <w:i/>
          <w:color w:val="231F20"/>
          <w:spacing w:val="-2"/>
          <w:sz w:val="24"/>
        </w:rPr>
        <w:t>Cuba’s</w:t>
      </w:r>
      <w:r>
        <w:rPr>
          <w:i/>
          <w:color w:val="231F20"/>
          <w:spacing w:val="-14"/>
          <w:sz w:val="24"/>
        </w:rPr>
        <w:t> </w:t>
      </w:r>
      <w:r>
        <w:rPr>
          <w:i/>
          <w:color w:val="231F20"/>
          <w:spacing w:val="-2"/>
          <w:sz w:val="24"/>
        </w:rPr>
        <w:t>GDP</w:t>
      </w:r>
      <w:r>
        <w:rPr>
          <w:i/>
          <w:color w:val="231F20"/>
          <w:spacing w:val="-14"/>
          <w:sz w:val="24"/>
        </w:rPr>
        <w:t> </w:t>
      </w:r>
      <w:r>
        <w:rPr>
          <w:i/>
          <w:color w:val="231F20"/>
          <w:spacing w:val="-2"/>
          <w:sz w:val="24"/>
        </w:rPr>
        <w:t>would</w:t>
      </w:r>
      <w:r>
        <w:rPr>
          <w:i/>
          <w:color w:val="231F20"/>
          <w:spacing w:val="-14"/>
          <w:sz w:val="24"/>
        </w:rPr>
        <w:t> </w:t>
      </w:r>
      <w:r>
        <w:rPr>
          <w:i/>
          <w:color w:val="231F20"/>
          <w:spacing w:val="-2"/>
          <w:sz w:val="24"/>
        </w:rPr>
        <w:t>have</w:t>
      </w:r>
      <w:r>
        <w:rPr>
          <w:i/>
          <w:color w:val="231F20"/>
          <w:spacing w:val="-14"/>
          <w:sz w:val="24"/>
        </w:rPr>
        <w:t> </w:t>
      </w:r>
      <w:r>
        <w:rPr>
          <w:i/>
          <w:color w:val="231F20"/>
          <w:spacing w:val="-2"/>
          <w:sz w:val="24"/>
        </w:rPr>
        <w:t>grown</w:t>
      </w:r>
      <w:r>
        <w:rPr>
          <w:i/>
          <w:color w:val="231F20"/>
          <w:spacing w:val="-14"/>
          <w:sz w:val="24"/>
        </w:rPr>
        <w:t> </w:t>
      </w:r>
      <w:r>
        <w:rPr>
          <w:i/>
          <w:color w:val="231F20"/>
          <w:spacing w:val="-2"/>
          <w:sz w:val="24"/>
        </w:rPr>
        <w:t>by</w:t>
      </w:r>
      <w:r>
        <w:rPr>
          <w:i/>
          <w:color w:val="231F20"/>
          <w:spacing w:val="-14"/>
          <w:sz w:val="24"/>
        </w:rPr>
        <w:t> </w:t>
      </w:r>
      <w:r>
        <w:rPr>
          <w:i/>
          <w:color w:val="231F20"/>
          <w:spacing w:val="-2"/>
          <w:sz w:val="24"/>
        </w:rPr>
        <w:t>9%.</w:t>
      </w:r>
    </w:p>
    <w:p>
      <w:pPr>
        <w:spacing w:before="161"/>
        <w:ind w:left="413" w:right="1471" w:firstLine="0"/>
        <w:jc w:val="both"/>
        <w:rPr>
          <w:i/>
          <w:sz w:val="24"/>
        </w:rPr>
      </w:pPr>
      <w:r>
        <w:rPr>
          <w:i/>
          <w:color w:val="231F20"/>
          <w:sz w:val="24"/>
        </w:rPr>
        <w:t>At current prices, the accumulated losses</w:t>
      </w:r>
      <w:r>
        <w:rPr>
          <w:i/>
          <w:color w:val="231F20"/>
          <w:sz w:val="24"/>
        </w:rPr>
        <w:t> during the over 60 years of application of </w:t>
      </w:r>
      <w:r>
        <w:rPr>
          <w:i/>
          <w:color w:val="231F20"/>
          <w:spacing w:val="-4"/>
          <w:sz w:val="24"/>
        </w:rPr>
        <w:t>this</w:t>
      </w:r>
      <w:r>
        <w:rPr>
          <w:i/>
          <w:color w:val="231F20"/>
          <w:spacing w:val="-8"/>
          <w:sz w:val="24"/>
        </w:rPr>
        <w:t> </w:t>
      </w:r>
      <w:r>
        <w:rPr>
          <w:i/>
          <w:color w:val="231F20"/>
          <w:spacing w:val="-4"/>
          <w:sz w:val="24"/>
        </w:rPr>
        <w:t>policy</w:t>
      </w:r>
      <w:r>
        <w:rPr>
          <w:i/>
          <w:color w:val="231F20"/>
          <w:spacing w:val="-8"/>
          <w:sz w:val="24"/>
        </w:rPr>
        <w:t> </w:t>
      </w:r>
      <w:r>
        <w:rPr>
          <w:i/>
          <w:color w:val="231F20"/>
          <w:spacing w:val="-4"/>
          <w:sz w:val="24"/>
        </w:rPr>
        <w:t>amount</w:t>
      </w:r>
      <w:r>
        <w:rPr>
          <w:i/>
          <w:color w:val="231F20"/>
          <w:spacing w:val="-8"/>
          <w:sz w:val="24"/>
        </w:rPr>
        <w:t> </w:t>
      </w:r>
      <w:r>
        <w:rPr>
          <w:i/>
          <w:color w:val="231F20"/>
          <w:spacing w:val="-4"/>
          <w:sz w:val="24"/>
        </w:rPr>
        <w:t>to</w:t>
      </w:r>
      <w:r>
        <w:rPr>
          <w:i/>
          <w:color w:val="231F20"/>
          <w:spacing w:val="-8"/>
          <w:sz w:val="24"/>
        </w:rPr>
        <w:t> </w:t>
      </w:r>
      <w:r>
        <w:rPr>
          <w:rFonts w:ascii="Segoe UI Semibold"/>
          <w:b/>
          <w:i/>
          <w:color w:val="231F20"/>
          <w:spacing w:val="-4"/>
          <w:sz w:val="24"/>
        </w:rPr>
        <w:t>USD</w:t>
      </w:r>
      <w:r>
        <w:rPr>
          <w:rFonts w:ascii="Segoe UI Semibold"/>
          <w:b/>
          <w:i/>
          <w:color w:val="231F20"/>
          <w:spacing w:val="-8"/>
          <w:sz w:val="24"/>
        </w:rPr>
        <w:t> </w:t>
      </w:r>
      <w:r>
        <w:rPr>
          <w:rFonts w:ascii="Segoe UI Semibold"/>
          <w:b/>
          <w:i/>
          <w:color w:val="231F20"/>
          <w:spacing w:val="-4"/>
          <w:sz w:val="24"/>
        </w:rPr>
        <w:t>159,084,300,000</w:t>
      </w:r>
      <w:r>
        <w:rPr>
          <w:i/>
          <w:color w:val="231F20"/>
          <w:spacing w:val="-4"/>
          <w:sz w:val="24"/>
        </w:rPr>
        <w:t>.</w:t>
      </w:r>
      <w:r>
        <w:rPr>
          <w:i/>
          <w:color w:val="231F20"/>
          <w:spacing w:val="-4"/>
          <w:sz w:val="24"/>
        </w:rPr>
        <w:t> </w:t>
      </w:r>
      <w:r>
        <w:rPr>
          <w:i/>
          <w:color w:val="231F20"/>
          <w:sz w:val="24"/>
        </w:rPr>
        <w:t>Taking into account the behavior of the </w:t>
      </w:r>
      <w:r>
        <w:rPr>
          <w:i/>
          <w:color w:val="231F20"/>
          <w:spacing w:val="-2"/>
          <w:sz w:val="24"/>
        </w:rPr>
        <w:t>dollar</w:t>
      </w:r>
      <w:r>
        <w:rPr>
          <w:i/>
          <w:color w:val="231F20"/>
          <w:spacing w:val="-15"/>
          <w:sz w:val="24"/>
        </w:rPr>
        <w:t> </w:t>
      </w:r>
      <w:r>
        <w:rPr>
          <w:i/>
          <w:color w:val="231F20"/>
          <w:spacing w:val="-2"/>
          <w:sz w:val="24"/>
        </w:rPr>
        <w:t>in</w:t>
      </w:r>
      <w:r>
        <w:rPr>
          <w:i/>
          <w:color w:val="231F20"/>
          <w:spacing w:val="-14"/>
          <w:sz w:val="24"/>
        </w:rPr>
        <w:t> </w:t>
      </w:r>
      <w:r>
        <w:rPr>
          <w:i/>
          <w:color w:val="231F20"/>
          <w:spacing w:val="-2"/>
          <w:sz w:val="24"/>
        </w:rPr>
        <w:t>relation</w:t>
      </w:r>
      <w:r>
        <w:rPr>
          <w:i/>
          <w:color w:val="231F20"/>
          <w:spacing w:val="-15"/>
          <w:sz w:val="24"/>
        </w:rPr>
        <w:t> </w:t>
      </w:r>
      <w:r>
        <w:rPr>
          <w:i/>
          <w:color w:val="231F20"/>
          <w:spacing w:val="-2"/>
          <w:sz w:val="24"/>
        </w:rPr>
        <w:t>to</w:t>
      </w:r>
      <w:r>
        <w:rPr>
          <w:i/>
          <w:color w:val="231F20"/>
          <w:spacing w:val="-14"/>
          <w:sz w:val="24"/>
        </w:rPr>
        <w:t> </w:t>
      </w:r>
      <w:r>
        <w:rPr>
          <w:i/>
          <w:color w:val="231F20"/>
          <w:spacing w:val="-2"/>
          <w:sz w:val="24"/>
        </w:rPr>
        <w:t>gold</w:t>
      </w:r>
      <w:r>
        <w:rPr>
          <w:i/>
          <w:color w:val="231F20"/>
          <w:spacing w:val="-15"/>
          <w:sz w:val="24"/>
        </w:rPr>
        <w:t> </w:t>
      </w:r>
      <w:r>
        <w:rPr>
          <w:i/>
          <w:color w:val="231F20"/>
          <w:spacing w:val="-2"/>
          <w:sz w:val="24"/>
        </w:rPr>
        <w:t>in</w:t>
      </w:r>
      <w:r>
        <w:rPr>
          <w:i/>
          <w:color w:val="231F20"/>
          <w:spacing w:val="-14"/>
          <w:sz w:val="24"/>
        </w:rPr>
        <w:t> </w:t>
      </w:r>
      <w:r>
        <w:rPr>
          <w:i/>
          <w:color w:val="231F20"/>
          <w:spacing w:val="-2"/>
          <w:sz w:val="24"/>
        </w:rPr>
        <w:t>the</w:t>
      </w:r>
      <w:r>
        <w:rPr>
          <w:i/>
          <w:color w:val="231F20"/>
          <w:spacing w:val="-15"/>
          <w:sz w:val="24"/>
        </w:rPr>
        <w:t> </w:t>
      </w:r>
      <w:r>
        <w:rPr>
          <w:i/>
          <w:color w:val="231F20"/>
          <w:spacing w:val="-2"/>
          <w:sz w:val="24"/>
        </w:rPr>
        <w:t>international </w:t>
      </w:r>
      <w:r>
        <w:rPr>
          <w:i/>
          <w:color w:val="231F20"/>
          <w:sz w:val="24"/>
        </w:rPr>
        <w:t>market,</w:t>
      </w:r>
      <w:r>
        <w:rPr>
          <w:i/>
          <w:color w:val="231F20"/>
          <w:spacing w:val="-9"/>
          <w:sz w:val="24"/>
        </w:rPr>
        <w:t> </w:t>
      </w:r>
      <w:r>
        <w:rPr>
          <w:i/>
          <w:color w:val="231F20"/>
          <w:sz w:val="24"/>
        </w:rPr>
        <w:t>the</w:t>
      </w:r>
      <w:r>
        <w:rPr>
          <w:i/>
          <w:color w:val="231F20"/>
          <w:spacing w:val="-9"/>
          <w:sz w:val="24"/>
        </w:rPr>
        <w:t> </w:t>
      </w:r>
      <w:r>
        <w:rPr>
          <w:i/>
          <w:color w:val="231F20"/>
          <w:sz w:val="24"/>
        </w:rPr>
        <w:t>quantifiable</w:t>
      </w:r>
      <w:r>
        <w:rPr>
          <w:i/>
          <w:color w:val="231F20"/>
          <w:spacing w:val="-9"/>
          <w:sz w:val="24"/>
        </w:rPr>
        <w:t> </w:t>
      </w:r>
      <w:r>
        <w:rPr>
          <w:i/>
          <w:color w:val="231F20"/>
          <w:sz w:val="24"/>
        </w:rPr>
        <w:t>losses</w:t>
      </w:r>
      <w:r>
        <w:rPr>
          <w:i/>
          <w:color w:val="231F20"/>
          <w:spacing w:val="-9"/>
          <w:sz w:val="24"/>
        </w:rPr>
        <w:t> </w:t>
      </w:r>
      <w:r>
        <w:rPr>
          <w:i/>
          <w:color w:val="231F20"/>
          <w:sz w:val="24"/>
        </w:rPr>
        <w:t>attributable to the blockade have reached </w:t>
      </w:r>
      <w:r>
        <w:rPr>
          <w:rFonts w:ascii="Segoe UI Semibold"/>
          <w:b/>
          <w:i/>
          <w:color w:val="231F20"/>
          <w:sz w:val="24"/>
        </w:rPr>
        <w:t>USD</w:t>
      </w:r>
      <w:r>
        <w:rPr>
          <w:rFonts w:ascii="Segoe UI Semibold"/>
          <w:b/>
          <w:i/>
          <w:color w:val="231F20"/>
          <w:sz w:val="24"/>
        </w:rPr>
        <w:t> 1,337,057,000,000</w:t>
      </w:r>
      <w:r>
        <w:rPr>
          <w:i/>
          <w:color w:val="231F20"/>
          <w:sz w:val="24"/>
        </w:rPr>
        <w:t>;</w:t>
      </w:r>
      <w:r>
        <w:rPr>
          <w:i/>
          <w:color w:val="231F20"/>
          <w:spacing w:val="-17"/>
          <w:sz w:val="24"/>
        </w:rPr>
        <w:t> </w:t>
      </w:r>
      <w:r>
        <w:rPr>
          <w:i/>
          <w:color w:val="231F20"/>
          <w:sz w:val="24"/>
        </w:rPr>
        <w:t>the</w:t>
      </w:r>
      <w:r>
        <w:rPr>
          <w:i/>
          <w:color w:val="231F20"/>
          <w:spacing w:val="-16"/>
          <w:sz w:val="24"/>
        </w:rPr>
        <w:t> </w:t>
      </w:r>
      <w:r>
        <w:rPr>
          <w:i/>
          <w:color w:val="231F20"/>
          <w:sz w:val="24"/>
        </w:rPr>
        <w:t>reduction</w:t>
      </w:r>
      <w:r>
        <w:rPr>
          <w:i/>
          <w:color w:val="231F20"/>
          <w:spacing w:val="-17"/>
          <w:sz w:val="24"/>
        </w:rPr>
        <w:t> </w:t>
      </w:r>
      <w:r>
        <w:rPr>
          <w:i/>
          <w:color w:val="231F20"/>
          <w:sz w:val="24"/>
        </w:rPr>
        <w:t>compared</w:t>
      </w:r>
      <w:r>
        <w:rPr>
          <w:i/>
          <w:color w:val="231F20"/>
          <w:sz w:val="24"/>
        </w:rPr>
        <w:t> with the corresponding total cited in the </w:t>
      </w:r>
      <w:r>
        <w:rPr>
          <w:i/>
          <w:color w:val="231F20"/>
          <w:spacing w:val="-10"/>
          <w:sz w:val="24"/>
        </w:rPr>
        <w:t>preceding</w:t>
      </w:r>
      <w:r>
        <w:rPr>
          <w:i/>
          <w:color w:val="231F20"/>
          <w:spacing w:val="-5"/>
          <w:sz w:val="24"/>
        </w:rPr>
        <w:t> </w:t>
      </w:r>
      <w:r>
        <w:rPr>
          <w:i/>
          <w:color w:val="231F20"/>
          <w:spacing w:val="-10"/>
          <w:sz w:val="24"/>
        </w:rPr>
        <w:t>report</w:t>
      </w:r>
      <w:r>
        <w:rPr>
          <w:i/>
          <w:color w:val="231F20"/>
          <w:spacing w:val="-7"/>
          <w:sz w:val="24"/>
        </w:rPr>
        <w:t> </w:t>
      </w:r>
      <w:r>
        <w:rPr>
          <w:i/>
          <w:color w:val="231F20"/>
          <w:spacing w:val="-10"/>
          <w:sz w:val="24"/>
        </w:rPr>
        <w:t>(for</w:t>
      </w:r>
      <w:r>
        <w:rPr>
          <w:i/>
          <w:color w:val="231F20"/>
          <w:spacing w:val="-4"/>
          <w:sz w:val="24"/>
        </w:rPr>
        <w:t> </w:t>
      </w:r>
      <w:r>
        <w:rPr>
          <w:i/>
          <w:color w:val="231F20"/>
          <w:spacing w:val="-10"/>
          <w:sz w:val="24"/>
        </w:rPr>
        <w:t>the</w:t>
      </w:r>
      <w:r>
        <w:rPr>
          <w:i/>
          <w:color w:val="231F20"/>
          <w:spacing w:val="-5"/>
          <w:sz w:val="24"/>
        </w:rPr>
        <w:t> </w:t>
      </w:r>
      <w:r>
        <w:rPr>
          <w:i/>
          <w:color w:val="231F20"/>
          <w:spacing w:val="-10"/>
          <w:sz w:val="24"/>
        </w:rPr>
        <w:t>period</w:t>
      </w:r>
      <w:r>
        <w:rPr>
          <w:i/>
          <w:color w:val="231F20"/>
          <w:spacing w:val="-5"/>
          <w:sz w:val="24"/>
        </w:rPr>
        <w:t> </w:t>
      </w:r>
      <w:r>
        <w:rPr>
          <w:i/>
          <w:color w:val="231F20"/>
          <w:spacing w:val="-10"/>
          <w:sz w:val="24"/>
        </w:rPr>
        <w:t>up</w:t>
      </w:r>
      <w:r>
        <w:rPr>
          <w:i/>
          <w:color w:val="231F20"/>
          <w:spacing w:val="-5"/>
          <w:sz w:val="24"/>
        </w:rPr>
        <w:t> </w:t>
      </w:r>
      <w:r>
        <w:rPr>
          <w:i/>
          <w:color w:val="231F20"/>
          <w:spacing w:val="-10"/>
          <w:sz w:val="24"/>
        </w:rPr>
        <w:t>to</w:t>
      </w:r>
      <w:r>
        <w:rPr>
          <w:i/>
          <w:color w:val="231F20"/>
          <w:spacing w:val="-5"/>
          <w:sz w:val="24"/>
        </w:rPr>
        <w:t> </w:t>
      </w:r>
      <w:r>
        <w:rPr>
          <w:i/>
          <w:color w:val="231F20"/>
          <w:spacing w:val="-10"/>
          <w:sz w:val="24"/>
        </w:rPr>
        <w:t>February </w:t>
      </w:r>
      <w:r>
        <w:rPr>
          <w:i/>
          <w:color w:val="231F20"/>
          <w:sz w:val="24"/>
        </w:rPr>
        <w:t>2022)</w:t>
      </w:r>
      <w:r>
        <w:rPr>
          <w:i/>
          <w:color w:val="231F20"/>
          <w:spacing w:val="-9"/>
          <w:sz w:val="24"/>
        </w:rPr>
        <w:t> </w:t>
      </w:r>
      <w:r>
        <w:rPr>
          <w:i/>
          <w:color w:val="231F20"/>
          <w:sz w:val="24"/>
        </w:rPr>
        <w:t>is</w:t>
      </w:r>
      <w:r>
        <w:rPr>
          <w:i/>
          <w:color w:val="231F20"/>
          <w:spacing w:val="-9"/>
          <w:sz w:val="24"/>
        </w:rPr>
        <w:t> </w:t>
      </w:r>
      <w:r>
        <w:rPr>
          <w:i/>
          <w:color w:val="231F20"/>
          <w:sz w:val="24"/>
        </w:rPr>
        <w:t>due</w:t>
      </w:r>
      <w:r>
        <w:rPr>
          <w:i/>
          <w:color w:val="231F20"/>
          <w:spacing w:val="-9"/>
          <w:sz w:val="24"/>
        </w:rPr>
        <w:t> </w:t>
      </w:r>
      <w:r>
        <w:rPr>
          <w:i/>
          <w:color w:val="231F20"/>
          <w:sz w:val="24"/>
        </w:rPr>
        <w:t>to</w:t>
      </w:r>
      <w:r>
        <w:rPr>
          <w:i/>
          <w:color w:val="231F20"/>
          <w:spacing w:val="-9"/>
          <w:sz w:val="24"/>
        </w:rPr>
        <w:t> </w:t>
      </w:r>
      <w:r>
        <w:rPr>
          <w:i/>
          <w:color w:val="231F20"/>
          <w:sz w:val="24"/>
        </w:rPr>
        <w:t>the</w:t>
      </w:r>
      <w:r>
        <w:rPr>
          <w:i/>
          <w:color w:val="231F20"/>
          <w:spacing w:val="-9"/>
          <w:sz w:val="24"/>
        </w:rPr>
        <w:t> </w:t>
      </w:r>
      <w:r>
        <w:rPr>
          <w:i/>
          <w:color w:val="231F20"/>
          <w:sz w:val="24"/>
        </w:rPr>
        <w:t>4.2%</w:t>
      </w:r>
      <w:r>
        <w:rPr>
          <w:i/>
          <w:color w:val="231F20"/>
          <w:spacing w:val="-9"/>
          <w:sz w:val="24"/>
        </w:rPr>
        <w:t> </w:t>
      </w:r>
      <w:r>
        <w:rPr>
          <w:i/>
          <w:color w:val="231F20"/>
          <w:sz w:val="24"/>
        </w:rPr>
        <w:t>decline</w:t>
      </w:r>
      <w:r>
        <w:rPr>
          <w:i/>
          <w:color w:val="231F20"/>
          <w:spacing w:val="-9"/>
          <w:sz w:val="24"/>
        </w:rPr>
        <w:t> </w:t>
      </w:r>
      <w:r>
        <w:rPr>
          <w:i/>
          <w:color w:val="231F20"/>
          <w:sz w:val="24"/>
        </w:rPr>
        <w:t>in</w:t>
      </w:r>
      <w:r>
        <w:rPr>
          <w:i/>
          <w:color w:val="231F20"/>
          <w:spacing w:val="-9"/>
          <w:sz w:val="24"/>
        </w:rPr>
        <w:t> </w:t>
      </w:r>
      <w:r>
        <w:rPr>
          <w:i/>
          <w:color w:val="231F20"/>
          <w:sz w:val="24"/>
        </w:rPr>
        <w:t>the</w:t>
      </w:r>
      <w:r>
        <w:rPr>
          <w:i/>
          <w:color w:val="231F20"/>
          <w:spacing w:val="-9"/>
          <w:sz w:val="24"/>
        </w:rPr>
        <w:t> </w:t>
      </w:r>
      <w:r>
        <w:rPr>
          <w:i/>
          <w:color w:val="231F20"/>
          <w:sz w:val="24"/>
        </w:rPr>
        <w:t>gold price</w:t>
      </w:r>
      <w:r>
        <w:rPr>
          <w:i/>
          <w:color w:val="231F20"/>
          <w:spacing w:val="-5"/>
          <w:sz w:val="24"/>
        </w:rPr>
        <w:t> </w:t>
      </w:r>
      <w:r>
        <w:rPr>
          <w:i/>
          <w:color w:val="231F20"/>
          <w:sz w:val="24"/>
        </w:rPr>
        <w:t>since</w:t>
      </w:r>
      <w:r>
        <w:rPr>
          <w:i/>
          <w:color w:val="231F20"/>
          <w:spacing w:val="-5"/>
          <w:sz w:val="24"/>
        </w:rPr>
        <w:t> </w:t>
      </w:r>
      <w:r>
        <w:rPr>
          <w:i/>
          <w:color w:val="231F20"/>
          <w:sz w:val="24"/>
        </w:rPr>
        <w:t>then</w:t>
      </w:r>
      <w:r>
        <w:rPr>
          <w:i/>
          <w:color w:val="231F20"/>
          <w:spacing w:val="-5"/>
          <w:sz w:val="24"/>
        </w:rPr>
        <w:t> </w:t>
      </w:r>
      <w:r>
        <w:rPr>
          <w:i/>
          <w:color w:val="231F20"/>
          <w:sz w:val="24"/>
        </w:rPr>
        <w:t>up</w:t>
      </w:r>
      <w:r>
        <w:rPr>
          <w:i/>
          <w:color w:val="231F20"/>
          <w:spacing w:val="-5"/>
          <w:sz w:val="24"/>
        </w:rPr>
        <w:t> </w:t>
      </w:r>
      <w:r>
        <w:rPr>
          <w:i/>
          <w:color w:val="231F20"/>
          <w:sz w:val="24"/>
        </w:rPr>
        <w:t>to</w:t>
      </w:r>
      <w:r>
        <w:rPr>
          <w:i/>
          <w:color w:val="231F20"/>
          <w:spacing w:val="-5"/>
          <w:sz w:val="24"/>
        </w:rPr>
        <w:t> </w:t>
      </w:r>
      <w:r>
        <w:rPr>
          <w:i/>
          <w:color w:val="231F20"/>
          <w:sz w:val="24"/>
        </w:rPr>
        <w:t>February</w:t>
      </w:r>
      <w:r>
        <w:rPr>
          <w:i/>
          <w:color w:val="231F20"/>
          <w:spacing w:val="-5"/>
          <w:sz w:val="24"/>
        </w:rPr>
        <w:t> </w:t>
      </w:r>
      <w:r>
        <w:rPr>
          <w:i/>
          <w:color w:val="231F20"/>
          <w:sz w:val="24"/>
        </w:rPr>
        <w:t>2023.</w:t>
      </w:r>
    </w:p>
    <w:p>
      <w:pPr>
        <w:pStyle w:val="BodyText"/>
        <w:spacing w:before="167"/>
        <w:ind w:left="413" w:right="1477"/>
      </w:pPr>
      <w:r>
        <w:rPr>
          <w:color w:val="231F20"/>
          <w:spacing w:val="-8"/>
        </w:rPr>
        <w:t>No</w:t>
      </w:r>
      <w:r>
        <w:rPr>
          <w:color w:val="231F20"/>
          <w:spacing w:val="-9"/>
        </w:rPr>
        <w:t> </w:t>
      </w:r>
      <w:r>
        <w:rPr>
          <w:color w:val="231F20"/>
          <w:spacing w:val="-8"/>
        </w:rPr>
        <w:t>other nation has</w:t>
      </w:r>
      <w:r>
        <w:rPr>
          <w:color w:val="231F20"/>
          <w:spacing w:val="-9"/>
        </w:rPr>
        <w:t> </w:t>
      </w:r>
      <w:r>
        <w:rPr>
          <w:color w:val="231F20"/>
          <w:spacing w:val="-8"/>
        </w:rPr>
        <w:t>been obliged to</w:t>
      </w:r>
      <w:r>
        <w:rPr>
          <w:color w:val="231F20"/>
          <w:spacing w:val="-9"/>
        </w:rPr>
        <w:t> </w:t>
      </w:r>
      <w:r>
        <w:rPr>
          <w:color w:val="231F20"/>
          <w:spacing w:val="-8"/>
        </w:rPr>
        <w:t>take on </w:t>
      </w:r>
      <w:r>
        <w:rPr>
          <w:color w:val="231F20"/>
        </w:rPr>
        <w:t>a social and development program under such conditions of prolonged systematic hostility</w:t>
      </w:r>
      <w:r>
        <w:rPr>
          <w:color w:val="231F20"/>
          <w:spacing w:val="-6"/>
        </w:rPr>
        <w:t> </w:t>
      </w:r>
      <w:r>
        <w:rPr>
          <w:color w:val="231F20"/>
        </w:rPr>
        <w:t>on</w:t>
      </w:r>
      <w:r>
        <w:rPr>
          <w:color w:val="231F20"/>
          <w:spacing w:val="-6"/>
        </w:rPr>
        <w:t> </w:t>
      </w:r>
      <w:r>
        <w:rPr>
          <w:color w:val="231F20"/>
        </w:rPr>
        <w:t>the</w:t>
      </w:r>
      <w:r>
        <w:rPr>
          <w:color w:val="231F20"/>
          <w:spacing w:val="-6"/>
        </w:rPr>
        <w:t> </w:t>
      </w:r>
      <w:r>
        <w:rPr>
          <w:color w:val="231F20"/>
        </w:rPr>
        <w:t>part</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greatest</w:t>
      </w:r>
      <w:r>
        <w:rPr>
          <w:color w:val="231F20"/>
          <w:spacing w:val="-6"/>
        </w:rPr>
        <w:t> </w:t>
      </w:r>
      <w:r>
        <w:rPr>
          <w:color w:val="231F20"/>
        </w:rPr>
        <w:t>power in human history. Nevertheless, under</w:t>
      </w:r>
      <w:r>
        <w:rPr>
          <w:color w:val="231F20"/>
          <w:spacing w:val="80"/>
        </w:rPr>
        <w:t> </w:t>
      </w:r>
      <w:r>
        <w:rPr>
          <w:color w:val="231F20"/>
        </w:rPr>
        <w:t>the</w:t>
      </w:r>
      <w:r>
        <w:rPr>
          <w:color w:val="231F20"/>
          <w:spacing w:val="19"/>
        </w:rPr>
        <w:t> </w:t>
      </w:r>
      <w:r>
        <w:rPr>
          <w:color w:val="231F20"/>
        </w:rPr>
        <w:t>worst</w:t>
      </w:r>
      <w:r>
        <w:rPr>
          <w:color w:val="231F20"/>
          <w:spacing w:val="21"/>
        </w:rPr>
        <w:t> </w:t>
      </w:r>
      <w:r>
        <w:rPr>
          <w:color w:val="231F20"/>
        </w:rPr>
        <w:t>of</w:t>
      </w:r>
      <w:r>
        <w:rPr>
          <w:color w:val="231F20"/>
          <w:spacing w:val="22"/>
        </w:rPr>
        <w:t> </w:t>
      </w:r>
      <w:r>
        <w:rPr>
          <w:color w:val="231F20"/>
        </w:rPr>
        <w:t>circumstances</w:t>
      </w:r>
      <w:r>
        <w:rPr>
          <w:color w:val="231F20"/>
          <w:spacing w:val="21"/>
        </w:rPr>
        <w:t> </w:t>
      </w:r>
      <w:r>
        <w:rPr>
          <w:color w:val="231F20"/>
        </w:rPr>
        <w:t>and</w:t>
      </w:r>
      <w:r>
        <w:rPr>
          <w:color w:val="231F20"/>
          <w:spacing w:val="21"/>
        </w:rPr>
        <w:t> </w:t>
      </w:r>
      <w:r>
        <w:rPr>
          <w:color w:val="231F20"/>
        </w:rPr>
        <w:t>the</w:t>
      </w:r>
      <w:r>
        <w:rPr>
          <w:color w:val="231F20"/>
          <w:spacing w:val="22"/>
        </w:rPr>
        <w:t> </w:t>
      </w:r>
      <w:r>
        <w:rPr>
          <w:color w:val="231F20"/>
          <w:spacing w:val="-4"/>
        </w:rPr>
        <w:t>most</w:t>
      </w:r>
    </w:p>
    <w:p>
      <w:pPr>
        <w:spacing w:after="0"/>
        <w:sectPr>
          <w:pgSz w:w="11910" w:h="16840"/>
          <w:pgMar w:header="0" w:footer="695" w:top="1260" w:bottom="880" w:left="0" w:right="0"/>
          <w:cols w:num="2" w:equalWidth="0">
            <w:col w:w="5557" w:space="40"/>
            <w:col w:w="6313"/>
          </w:cols>
        </w:sectPr>
      </w:pPr>
    </w:p>
    <w:p>
      <w:pPr>
        <w:pStyle w:val="BodyText"/>
        <w:spacing w:before="77"/>
        <w:ind w:left="1474" w:right="6014"/>
      </w:pPr>
      <w:r>
        <w:rPr>
          <w:color w:val="231F20"/>
          <w:spacing w:val="-2"/>
        </w:rPr>
        <w:t>criminal</w:t>
      </w:r>
      <w:r>
        <w:rPr>
          <w:color w:val="231F20"/>
          <w:spacing w:val="-15"/>
        </w:rPr>
        <w:t> </w:t>
      </w:r>
      <w:r>
        <w:rPr>
          <w:color w:val="231F20"/>
          <w:spacing w:val="-2"/>
        </w:rPr>
        <w:t>pressures,</w:t>
      </w:r>
      <w:r>
        <w:rPr>
          <w:color w:val="231F20"/>
          <w:spacing w:val="-14"/>
        </w:rPr>
        <w:t> </w:t>
      </w:r>
      <w:r>
        <w:rPr>
          <w:color w:val="231F20"/>
          <w:spacing w:val="-2"/>
        </w:rPr>
        <w:t>Cuba</w:t>
      </w:r>
      <w:r>
        <w:rPr>
          <w:color w:val="231F20"/>
          <w:spacing w:val="-15"/>
        </w:rPr>
        <w:t> </w:t>
      </w:r>
      <w:r>
        <w:rPr>
          <w:color w:val="231F20"/>
          <w:spacing w:val="-2"/>
        </w:rPr>
        <w:t>proved</w:t>
      </w:r>
      <w:r>
        <w:rPr>
          <w:color w:val="231F20"/>
          <w:spacing w:val="-14"/>
        </w:rPr>
        <w:t> </w:t>
      </w:r>
      <w:r>
        <w:rPr>
          <w:color w:val="231F20"/>
          <w:spacing w:val="-2"/>
        </w:rPr>
        <w:t>capable</w:t>
      </w:r>
      <w:r>
        <w:rPr>
          <w:color w:val="231F20"/>
          <w:spacing w:val="-15"/>
        </w:rPr>
        <w:t> </w:t>
      </w:r>
      <w:r>
        <w:rPr>
          <w:color w:val="231F20"/>
          <w:spacing w:val="-2"/>
        </w:rPr>
        <w:t>of </w:t>
      </w:r>
      <w:r>
        <w:rPr>
          <w:color w:val="231F20"/>
          <w:spacing w:val="-6"/>
        </w:rPr>
        <w:t>overcoming</w:t>
      </w:r>
      <w:r>
        <w:rPr>
          <w:color w:val="231F20"/>
          <w:spacing w:val="-11"/>
        </w:rPr>
        <w:t> </w:t>
      </w:r>
      <w:r>
        <w:rPr>
          <w:color w:val="231F20"/>
          <w:spacing w:val="-6"/>
        </w:rPr>
        <w:t>the</w:t>
      </w:r>
      <w:r>
        <w:rPr>
          <w:color w:val="231F20"/>
          <w:spacing w:val="-10"/>
        </w:rPr>
        <w:t> </w:t>
      </w:r>
      <w:r>
        <w:rPr>
          <w:color w:val="231F20"/>
          <w:spacing w:val="-6"/>
        </w:rPr>
        <w:t>severe</w:t>
      </w:r>
      <w:r>
        <w:rPr>
          <w:color w:val="231F20"/>
          <w:spacing w:val="-11"/>
        </w:rPr>
        <w:t> </w:t>
      </w:r>
      <w:r>
        <w:rPr>
          <w:color w:val="231F20"/>
          <w:spacing w:val="-6"/>
        </w:rPr>
        <w:t>COVID-19</w:t>
      </w:r>
      <w:r>
        <w:rPr>
          <w:color w:val="231F20"/>
          <w:spacing w:val="-10"/>
        </w:rPr>
        <w:t> </w:t>
      </w:r>
      <w:r>
        <w:rPr>
          <w:color w:val="231F20"/>
          <w:spacing w:val="-6"/>
        </w:rPr>
        <w:t>pandemic </w:t>
      </w:r>
      <w:r>
        <w:rPr>
          <w:color w:val="231F20"/>
        </w:rPr>
        <w:t>with</w:t>
      </w:r>
      <w:r>
        <w:rPr>
          <w:color w:val="231F20"/>
          <w:spacing w:val="-17"/>
        </w:rPr>
        <w:t> </w:t>
      </w:r>
      <w:r>
        <w:rPr>
          <w:color w:val="231F20"/>
        </w:rPr>
        <w:t>our</w:t>
      </w:r>
      <w:r>
        <w:rPr>
          <w:color w:val="231F20"/>
          <w:spacing w:val="-16"/>
        </w:rPr>
        <w:t> </w:t>
      </w:r>
      <w:r>
        <w:rPr>
          <w:color w:val="231F20"/>
        </w:rPr>
        <w:t>own</w:t>
      </w:r>
      <w:r>
        <w:rPr>
          <w:color w:val="231F20"/>
          <w:spacing w:val="-17"/>
        </w:rPr>
        <w:t> </w:t>
      </w:r>
      <w:r>
        <w:rPr>
          <w:color w:val="231F20"/>
        </w:rPr>
        <w:t>efforts</w:t>
      </w:r>
      <w:r>
        <w:rPr>
          <w:color w:val="231F20"/>
          <w:spacing w:val="-16"/>
        </w:rPr>
        <w:t> </w:t>
      </w:r>
      <w:r>
        <w:rPr>
          <w:color w:val="231F20"/>
        </w:rPr>
        <w:t>and</w:t>
      </w:r>
      <w:r>
        <w:rPr>
          <w:color w:val="231F20"/>
          <w:spacing w:val="-17"/>
        </w:rPr>
        <w:t> </w:t>
      </w:r>
      <w:r>
        <w:rPr>
          <w:color w:val="231F20"/>
        </w:rPr>
        <w:t>talent.</w:t>
      </w:r>
    </w:p>
    <w:p>
      <w:pPr>
        <w:pStyle w:val="BodyText"/>
        <w:spacing w:before="162"/>
        <w:ind w:left="1474" w:right="6011"/>
      </w:pPr>
      <w:r>
        <w:rPr>
          <w:color w:val="231F20"/>
        </w:rPr>
        <w:t>The blockade constitutes a </w:t>
      </w:r>
      <w:r>
        <w:rPr>
          <w:color w:val="231F20"/>
        </w:rPr>
        <w:t>massive, flagrant and systematic violation of the </w:t>
      </w:r>
      <w:r>
        <w:rPr>
          <w:color w:val="231F20"/>
          <w:spacing w:val="-2"/>
        </w:rPr>
        <w:t>human</w:t>
      </w:r>
      <w:r>
        <w:rPr>
          <w:color w:val="231F20"/>
          <w:spacing w:val="-15"/>
        </w:rPr>
        <w:t> </w:t>
      </w:r>
      <w:r>
        <w:rPr>
          <w:color w:val="231F20"/>
          <w:spacing w:val="-2"/>
        </w:rPr>
        <w:t>rights</w:t>
      </w:r>
      <w:r>
        <w:rPr>
          <w:color w:val="231F20"/>
          <w:spacing w:val="-14"/>
        </w:rPr>
        <w:t> </w:t>
      </w:r>
      <w:r>
        <w:rPr>
          <w:color w:val="231F20"/>
          <w:spacing w:val="-2"/>
        </w:rPr>
        <w:t>of</w:t>
      </w:r>
      <w:r>
        <w:rPr>
          <w:color w:val="231F20"/>
          <w:spacing w:val="-15"/>
        </w:rPr>
        <w:t> </w:t>
      </w:r>
      <w:r>
        <w:rPr>
          <w:color w:val="231F20"/>
          <w:spacing w:val="-2"/>
        </w:rPr>
        <w:t>all</w:t>
      </w:r>
      <w:r>
        <w:rPr>
          <w:color w:val="231F20"/>
          <w:spacing w:val="-14"/>
        </w:rPr>
        <w:t> </w:t>
      </w:r>
      <w:r>
        <w:rPr>
          <w:color w:val="231F20"/>
          <w:spacing w:val="-2"/>
        </w:rPr>
        <w:t>Cubans.</w:t>
      </w:r>
      <w:r>
        <w:rPr>
          <w:color w:val="231F20"/>
          <w:spacing w:val="-15"/>
        </w:rPr>
        <w:t> </w:t>
      </w:r>
      <w:r>
        <w:rPr>
          <w:color w:val="231F20"/>
          <w:spacing w:val="-2"/>
        </w:rPr>
        <w:t>By</w:t>
      </w:r>
      <w:r>
        <w:rPr>
          <w:color w:val="231F20"/>
          <w:spacing w:val="-14"/>
        </w:rPr>
        <w:t> </w:t>
      </w:r>
      <w:r>
        <w:rPr>
          <w:color w:val="231F20"/>
          <w:spacing w:val="-2"/>
        </w:rPr>
        <w:t>reason</w:t>
      </w:r>
      <w:r>
        <w:rPr>
          <w:color w:val="231F20"/>
          <w:spacing w:val="-15"/>
        </w:rPr>
        <w:t> </w:t>
      </w:r>
      <w:r>
        <w:rPr>
          <w:color w:val="231F20"/>
          <w:spacing w:val="-2"/>
        </w:rPr>
        <w:t>of</w:t>
      </w:r>
      <w:r>
        <w:rPr>
          <w:color w:val="231F20"/>
          <w:spacing w:val="-14"/>
        </w:rPr>
        <w:t> </w:t>
      </w:r>
      <w:r>
        <w:rPr>
          <w:color w:val="231F20"/>
          <w:spacing w:val="-2"/>
        </w:rPr>
        <w:t>its </w:t>
      </w:r>
      <w:r>
        <w:rPr>
          <w:color w:val="231F20"/>
          <w:spacing w:val="-4"/>
        </w:rPr>
        <w:t>express</w:t>
      </w:r>
      <w:r>
        <w:rPr>
          <w:color w:val="231F20"/>
          <w:spacing w:val="-8"/>
        </w:rPr>
        <w:t> </w:t>
      </w:r>
      <w:r>
        <w:rPr>
          <w:color w:val="231F20"/>
          <w:spacing w:val="-4"/>
        </w:rPr>
        <w:t>purpose</w:t>
      </w:r>
      <w:r>
        <w:rPr>
          <w:color w:val="231F20"/>
          <w:spacing w:val="-8"/>
        </w:rPr>
        <w:t> </w:t>
      </w:r>
      <w:r>
        <w:rPr>
          <w:color w:val="231F20"/>
          <w:spacing w:val="-4"/>
        </w:rPr>
        <w:t>and</w:t>
      </w:r>
      <w:r>
        <w:rPr>
          <w:color w:val="231F20"/>
          <w:spacing w:val="-8"/>
        </w:rPr>
        <w:t> </w:t>
      </w:r>
      <w:r>
        <w:rPr>
          <w:color w:val="231F20"/>
          <w:spacing w:val="-4"/>
        </w:rPr>
        <w:t>the</w:t>
      </w:r>
      <w:r>
        <w:rPr>
          <w:color w:val="231F20"/>
          <w:spacing w:val="-8"/>
        </w:rPr>
        <w:t> </w:t>
      </w:r>
      <w:r>
        <w:rPr>
          <w:color w:val="231F20"/>
          <w:spacing w:val="-4"/>
        </w:rPr>
        <w:t>political,</w:t>
      </w:r>
      <w:r>
        <w:rPr>
          <w:color w:val="231F20"/>
          <w:spacing w:val="-8"/>
        </w:rPr>
        <w:t> </w:t>
      </w:r>
      <w:r>
        <w:rPr>
          <w:color w:val="231F20"/>
          <w:spacing w:val="-4"/>
        </w:rPr>
        <w:t>legal</w:t>
      </w:r>
      <w:r>
        <w:rPr>
          <w:color w:val="231F20"/>
          <w:spacing w:val="-8"/>
        </w:rPr>
        <w:t> </w:t>
      </w:r>
      <w:r>
        <w:rPr>
          <w:color w:val="231F20"/>
          <w:spacing w:val="-4"/>
        </w:rPr>
        <w:t>and </w:t>
      </w:r>
      <w:r>
        <w:rPr>
          <w:color w:val="231F20"/>
          <w:spacing w:val="-10"/>
        </w:rPr>
        <w:t>administrative</w:t>
      </w:r>
      <w:r>
        <w:rPr>
          <w:color w:val="231F20"/>
          <w:spacing w:val="-1"/>
        </w:rPr>
        <w:t> </w:t>
      </w:r>
      <w:r>
        <w:rPr>
          <w:color w:val="231F20"/>
          <w:spacing w:val="-10"/>
        </w:rPr>
        <w:t>structures</w:t>
      </w:r>
      <w:r>
        <w:rPr>
          <w:color w:val="231F20"/>
          <w:spacing w:val="-1"/>
        </w:rPr>
        <w:t> </w:t>
      </w:r>
      <w:r>
        <w:rPr>
          <w:color w:val="231F20"/>
          <w:spacing w:val="-10"/>
        </w:rPr>
        <w:t>on</w:t>
      </w:r>
      <w:r>
        <w:rPr>
          <w:color w:val="231F20"/>
          <w:spacing w:val="-1"/>
        </w:rPr>
        <w:t> </w:t>
      </w:r>
      <w:r>
        <w:rPr>
          <w:color w:val="231F20"/>
          <w:spacing w:val="-10"/>
        </w:rPr>
        <w:t>which</w:t>
      </w:r>
      <w:r>
        <w:rPr>
          <w:color w:val="231F20"/>
          <w:spacing w:val="-1"/>
        </w:rPr>
        <w:t> </w:t>
      </w:r>
      <w:r>
        <w:rPr>
          <w:color w:val="231F20"/>
          <w:spacing w:val="-10"/>
        </w:rPr>
        <w:t>it</w:t>
      </w:r>
      <w:r>
        <w:rPr>
          <w:color w:val="231F20"/>
          <w:spacing w:val="-1"/>
        </w:rPr>
        <w:t> </w:t>
      </w:r>
      <w:r>
        <w:rPr>
          <w:color w:val="231F20"/>
          <w:spacing w:val="-10"/>
        </w:rPr>
        <w:t>is</w:t>
      </w:r>
      <w:r>
        <w:rPr>
          <w:color w:val="231F20"/>
          <w:spacing w:val="-1"/>
        </w:rPr>
        <w:t> </w:t>
      </w:r>
      <w:r>
        <w:rPr>
          <w:color w:val="231F20"/>
          <w:spacing w:val="-10"/>
        </w:rPr>
        <w:t>based, </w:t>
      </w:r>
      <w:r>
        <w:rPr>
          <w:color w:val="231F20"/>
        </w:rPr>
        <w:t>it</w:t>
      </w:r>
      <w:r>
        <w:rPr>
          <w:color w:val="231F20"/>
          <w:spacing w:val="-15"/>
        </w:rPr>
        <w:t> </w:t>
      </w:r>
      <w:r>
        <w:rPr>
          <w:color w:val="231F20"/>
        </w:rPr>
        <w:t>constitutes</w:t>
      </w:r>
      <w:r>
        <w:rPr>
          <w:color w:val="231F20"/>
          <w:spacing w:val="-15"/>
        </w:rPr>
        <w:t> </w:t>
      </w:r>
      <w:r>
        <w:rPr>
          <w:color w:val="231F20"/>
        </w:rPr>
        <w:t>an</w:t>
      </w:r>
      <w:r>
        <w:rPr>
          <w:color w:val="231F20"/>
          <w:spacing w:val="-15"/>
        </w:rPr>
        <w:t> </w:t>
      </w:r>
      <w:r>
        <w:rPr>
          <w:color w:val="231F20"/>
        </w:rPr>
        <w:t>act</w:t>
      </w:r>
      <w:r>
        <w:rPr>
          <w:color w:val="231F20"/>
          <w:spacing w:val="-15"/>
        </w:rPr>
        <w:t> </w:t>
      </w:r>
      <w:r>
        <w:rPr>
          <w:color w:val="231F20"/>
        </w:rPr>
        <w:t>of</w:t>
      </w:r>
      <w:r>
        <w:rPr>
          <w:color w:val="231F20"/>
          <w:spacing w:val="-15"/>
        </w:rPr>
        <w:t> </w:t>
      </w:r>
      <w:r>
        <w:rPr>
          <w:color w:val="231F20"/>
        </w:rPr>
        <w:t>genocide</w:t>
      </w:r>
      <w:r>
        <w:rPr>
          <w:color w:val="231F20"/>
          <w:spacing w:val="-15"/>
        </w:rPr>
        <w:t> </w:t>
      </w:r>
      <w:r>
        <w:rPr>
          <w:color w:val="231F20"/>
        </w:rPr>
        <w:t>under</w:t>
      </w:r>
      <w:r>
        <w:rPr>
          <w:color w:val="231F20"/>
          <w:spacing w:val="-15"/>
        </w:rPr>
        <w:t> </w:t>
      </w:r>
      <w:r>
        <w:rPr>
          <w:color w:val="231F20"/>
        </w:rPr>
        <w:t>the 1948 Convention on the Prevention and Punishment</w:t>
      </w:r>
      <w:r>
        <w:rPr>
          <w:color w:val="231F20"/>
          <w:spacing w:val="-5"/>
        </w:rPr>
        <w:t> </w:t>
      </w:r>
      <w:r>
        <w:rPr>
          <w:color w:val="231F20"/>
        </w:rPr>
        <w:t>of</w:t>
      </w:r>
      <w:r>
        <w:rPr>
          <w:color w:val="231F20"/>
          <w:spacing w:val="-5"/>
        </w:rPr>
        <w:t> </w:t>
      </w:r>
      <w:r>
        <w:rPr>
          <w:color w:val="231F20"/>
        </w:rPr>
        <w:t>the</w:t>
      </w:r>
      <w:r>
        <w:rPr>
          <w:color w:val="231F20"/>
          <w:spacing w:val="-5"/>
        </w:rPr>
        <w:t> </w:t>
      </w:r>
      <w:r>
        <w:rPr>
          <w:color w:val="231F20"/>
        </w:rPr>
        <w:t>Crime</w:t>
      </w:r>
      <w:r>
        <w:rPr>
          <w:color w:val="231F20"/>
          <w:spacing w:val="-5"/>
        </w:rPr>
        <w:t> </w:t>
      </w:r>
      <w:r>
        <w:rPr>
          <w:color w:val="231F20"/>
        </w:rPr>
        <w:t>of</w:t>
      </w:r>
      <w:r>
        <w:rPr>
          <w:color w:val="231F20"/>
          <w:spacing w:val="-5"/>
        </w:rPr>
        <w:t> </w:t>
      </w:r>
      <w:r>
        <w:rPr>
          <w:color w:val="231F20"/>
        </w:rPr>
        <w:t>Genocide.</w:t>
      </w:r>
    </w:p>
    <w:p>
      <w:pPr>
        <w:pStyle w:val="BodyText"/>
        <w:spacing w:before="166"/>
        <w:ind w:left="1474" w:right="6009"/>
      </w:pPr>
      <w:r>
        <w:rPr>
          <w:color w:val="231F20"/>
        </w:rPr>
        <w:t>This unilateral policy is the main obstacle for the implementation of the National Economic and Social Development Plan (Spanish initials “PNDES”) up to 2030, as well as for the achievement of the 2030 Agenda and its Sustainable Development Goals (SDGs) in the country.</w:t>
      </w:r>
    </w:p>
    <w:p>
      <w:pPr>
        <w:pStyle w:val="BodyText"/>
        <w:spacing w:before="166"/>
        <w:ind w:left="1474" w:right="6006"/>
      </w:pPr>
      <w:r>
        <w:rPr>
          <w:color w:val="231F20"/>
          <w:spacing w:val="-4"/>
        </w:rPr>
        <w:t>Few</w:t>
      </w:r>
      <w:r>
        <w:rPr>
          <w:color w:val="231F20"/>
          <w:spacing w:val="-13"/>
        </w:rPr>
        <w:t> </w:t>
      </w:r>
      <w:r>
        <w:rPr>
          <w:color w:val="231F20"/>
          <w:spacing w:val="-4"/>
        </w:rPr>
        <w:t>issues</w:t>
      </w:r>
      <w:r>
        <w:rPr>
          <w:color w:val="231F20"/>
          <w:spacing w:val="-12"/>
        </w:rPr>
        <w:t> </w:t>
      </w:r>
      <w:r>
        <w:rPr>
          <w:color w:val="231F20"/>
          <w:spacing w:val="-4"/>
        </w:rPr>
        <w:t>have</w:t>
      </w:r>
      <w:r>
        <w:rPr>
          <w:color w:val="231F20"/>
          <w:spacing w:val="-13"/>
        </w:rPr>
        <w:t> </w:t>
      </w:r>
      <w:r>
        <w:rPr>
          <w:color w:val="231F20"/>
          <w:spacing w:val="-4"/>
        </w:rPr>
        <w:t>encountered</w:t>
      </w:r>
      <w:r>
        <w:rPr>
          <w:color w:val="231F20"/>
          <w:spacing w:val="-12"/>
        </w:rPr>
        <w:t> </w:t>
      </w:r>
      <w:r>
        <w:rPr>
          <w:color w:val="231F20"/>
          <w:spacing w:val="-4"/>
        </w:rPr>
        <w:t>the</w:t>
      </w:r>
      <w:r>
        <w:rPr>
          <w:color w:val="231F20"/>
          <w:spacing w:val="-13"/>
        </w:rPr>
        <w:t> </w:t>
      </w:r>
      <w:r>
        <w:rPr>
          <w:color w:val="231F20"/>
          <w:spacing w:val="-4"/>
        </w:rPr>
        <w:t>unanimity </w:t>
      </w:r>
      <w:r>
        <w:rPr>
          <w:color w:val="231F20"/>
        </w:rPr>
        <w:t>of condemnation across the international community</w:t>
      </w:r>
      <w:r>
        <w:rPr>
          <w:color w:val="231F20"/>
          <w:spacing w:val="40"/>
        </w:rPr>
        <w:t> </w:t>
      </w:r>
      <w:r>
        <w:rPr>
          <w:color w:val="231F20"/>
        </w:rPr>
        <w:t>as</w:t>
      </w:r>
      <w:r>
        <w:rPr>
          <w:color w:val="231F20"/>
          <w:spacing w:val="40"/>
        </w:rPr>
        <w:t> </w:t>
      </w:r>
      <w:r>
        <w:rPr>
          <w:color w:val="231F20"/>
        </w:rPr>
        <w:t>has</w:t>
      </w:r>
      <w:r>
        <w:rPr>
          <w:color w:val="231F20"/>
          <w:spacing w:val="40"/>
        </w:rPr>
        <w:t> </w:t>
      </w:r>
      <w:r>
        <w:rPr>
          <w:color w:val="231F20"/>
        </w:rPr>
        <w:t>the</w:t>
      </w:r>
      <w:r>
        <w:rPr>
          <w:color w:val="231F20"/>
          <w:spacing w:val="40"/>
        </w:rPr>
        <w:t> </w:t>
      </w:r>
      <w:r>
        <w:rPr>
          <w:color w:val="231F20"/>
        </w:rPr>
        <w:t>blockade</w:t>
      </w:r>
      <w:r>
        <w:rPr>
          <w:color w:val="231F20"/>
          <w:spacing w:val="40"/>
        </w:rPr>
        <w:t> </w:t>
      </w:r>
      <w:r>
        <w:rPr>
          <w:color w:val="231F20"/>
        </w:rPr>
        <w:t>on Cuba. More and more forces and actors around the world are ready to accept the responsibility</w:t>
      </w:r>
      <w:r>
        <w:rPr>
          <w:color w:val="231F20"/>
          <w:spacing w:val="-15"/>
        </w:rPr>
        <w:t> </w:t>
      </w:r>
      <w:r>
        <w:rPr>
          <w:color w:val="231F20"/>
        </w:rPr>
        <w:t>of</w:t>
      </w:r>
      <w:r>
        <w:rPr>
          <w:color w:val="231F20"/>
          <w:spacing w:val="-15"/>
        </w:rPr>
        <w:t> </w:t>
      </w:r>
      <w:r>
        <w:rPr>
          <w:color w:val="231F20"/>
        </w:rPr>
        <w:t>denouncing</w:t>
      </w:r>
      <w:r>
        <w:rPr>
          <w:color w:val="231F20"/>
          <w:spacing w:val="-15"/>
        </w:rPr>
        <w:t> </w:t>
      </w:r>
      <w:r>
        <w:rPr>
          <w:color w:val="231F20"/>
        </w:rPr>
        <w:t>this</w:t>
      </w:r>
      <w:r>
        <w:rPr>
          <w:color w:val="231F20"/>
          <w:spacing w:val="-15"/>
        </w:rPr>
        <w:t> </w:t>
      </w:r>
      <w:r>
        <w:rPr>
          <w:color w:val="231F20"/>
        </w:rPr>
        <w:t>inhuman and</w:t>
      </w:r>
      <w:r>
        <w:rPr>
          <w:color w:val="231F20"/>
          <w:spacing w:val="-13"/>
        </w:rPr>
        <w:t> </w:t>
      </w:r>
      <w:r>
        <w:rPr>
          <w:color w:val="231F20"/>
        </w:rPr>
        <w:t>illegal</w:t>
      </w:r>
      <w:r>
        <w:rPr>
          <w:color w:val="231F20"/>
          <w:spacing w:val="-13"/>
        </w:rPr>
        <w:t> </w:t>
      </w:r>
      <w:r>
        <w:rPr>
          <w:color w:val="231F20"/>
        </w:rPr>
        <w:t>policy</w:t>
      </w:r>
      <w:r>
        <w:rPr>
          <w:color w:val="231F20"/>
          <w:spacing w:val="-12"/>
        </w:rPr>
        <w:t> </w:t>
      </w:r>
      <w:r>
        <w:rPr>
          <w:color w:val="231F20"/>
        </w:rPr>
        <w:t>at</w:t>
      </w:r>
      <w:r>
        <w:rPr>
          <w:color w:val="231F20"/>
          <w:spacing w:val="-13"/>
        </w:rPr>
        <w:t> </w:t>
      </w:r>
      <w:r>
        <w:rPr>
          <w:color w:val="231F20"/>
        </w:rPr>
        <w:t>every</w:t>
      </w:r>
      <w:r>
        <w:rPr>
          <w:color w:val="231F20"/>
          <w:spacing w:val="-13"/>
        </w:rPr>
        <w:t> </w:t>
      </w:r>
      <w:r>
        <w:rPr>
          <w:color w:val="231F20"/>
        </w:rPr>
        <w:t>opportunity</w:t>
      </w:r>
      <w:r>
        <w:rPr>
          <w:color w:val="231F20"/>
          <w:spacing w:val="-13"/>
        </w:rPr>
        <w:t> </w:t>
      </w:r>
      <w:r>
        <w:rPr>
          <w:color w:val="231F20"/>
        </w:rPr>
        <w:t>and in every forum. This report is intended as a contribution to those efforts.</w:t>
      </w:r>
    </w:p>
    <w:p>
      <w:pPr>
        <w:pStyle w:val="BodyText"/>
        <w:spacing w:before="235"/>
        <w:jc w:val="left"/>
        <w:rPr>
          <w:sz w:val="20"/>
        </w:rPr>
      </w:pPr>
      <w:r>
        <w:rPr/>
        <mc:AlternateContent>
          <mc:Choice Requires="wps">
            <w:drawing>
              <wp:anchor distT="0" distB="0" distL="0" distR="0" allowOverlap="1" layoutInCell="1" locked="0" behindDoc="1" simplePos="0" relativeHeight="487642624">
                <wp:simplePos x="0" y="0"/>
                <wp:positionH relativeFrom="page">
                  <wp:posOffset>2834881</wp:posOffset>
                </wp:positionH>
                <wp:positionV relativeFrom="paragraph">
                  <wp:posOffset>333384</wp:posOffset>
                </wp:positionV>
                <wp:extent cx="909319" cy="26034"/>
                <wp:effectExtent l="0" t="0" r="0" b="0"/>
                <wp:wrapTopAndBottom/>
                <wp:docPr id="219" name="Graphic 219"/>
                <wp:cNvGraphicFramePr>
                  <a:graphicFrameLocks/>
                </wp:cNvGraphicFramePr>
                <a:graphic>
                  <a:graphicData uri="http://schemas.microsoft.com/office/word/2010/wordprocessingShape">
                    <wps:wsp>
                      <wps:cNvPr id="219" name="Graphic 219"/>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223.218994pt;margin-top:26.250782pt;width:71.584pt;height:2.021pt;mso-position-horizontal-relative:page;mso-position-vertical-relative:paragraph;z-index:-15673856;mso-wrap-distance-left:0;mso-wrap-distance-right:0" id="docshape187" filled="true" fillcolor="#b52628" stroked="false">
                <v:fill type="solid"/>
                <w10:wrap type="topAndBottom"/>
              </v:rect>
            </w:pict>
          </mc:Fallback>
        </mc:AlternateContent>
      </w:r>
    </w:p>
    <w:p>
      <w:pPr>
        <w:spacing w:after="0"/>
        <w:jc w:val="left"/>
        <w:rPr>
          <w:sz w:val="20"/>
        </w:rPr>
        <w:sectPr>
          <w:pgSz w:w="11910" w:h="16840"/>
          <w:pgMar w:header="0" w:footer="695" w:top="1260" w:bottom="880" w:left="0" w:right="0"/>
        </w:sectPr>
      </w:pPr>
    </w:p>
    <w:p>
      <w:pPr>
        <w:pStyle w:val="BodyText"/>
        <w:spacing w:before="568"/>
        <w:jc w:val="left"/>
        <w:rPr>
          <w:sz w:val="56"/>
        </w:rPr>
      </w:pPr>
    </w:p>
    <w:p>
      <w:pPr>
        <w:pStyle w:val="Heading1"/>
        <w:spacing w:line="220" w:lineRule="auto"/>
        <w:ind w:right="6182"/>
      </w:pPr>
      <w:r>
        <w:rPr/>
        <mc:AlternateContent>
          <mc:Choice Requires="wps">
            <w:drawing>
              <wp:anchor distT="0" distB="0" distL="0" distR="0" allowOverlap="1" layoutInCell="1" locked="0" behindDoc="1" simplePos="0" relativeHeight="485808640">
                <wp:simplePos x="0" y="0"/>
                <wp:positionH relativeFrom="page">
                  <wp:posOffset>624240</wp:posOffset>
                </wp:positionH>
                <wp:positionV relativeFrom="paragraph">
                  <wp:posOffset>-782554</wp:posOffset>
                </wp:positionV>
                <wp:extent cx="1296035" cy="1544955"/>
                <wp:effectExtent l="0" t="0" r="0" b="0"/>
                <wp:wrapNone/>
                <wp:docPr id="220" name="Textbox 220"/>
                <wp:cNvGraphicFramePr>
                  <a:graphicFrameLocks/>
                </wp:cNvGraphicFramePr>
                <a:graphic>
                  <a:graphicData uri="http://schemas.microsoft.com/office/word/2010/wordprocessingShape">
                    <wps:wsp>
                      <wps:cNvPr id="220" name="Textbox 220"/>
                      <wps:cNvSpPr txBox="1"/>
                      <wps:spPr>
                        <a:xfrm>
                          <a:off x="0" y="0"/>
                          <a:ext cx="1296035"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58"/>
                                <w:w w:val="132"/>
                                <w:sz w:val="243"/>
                              </w:rPr>
                              <w:t>0</w:t>
                            </w:r>
                            <w:r>
                              <w:rPr>
                                <w:rFonts w:ascii="Arial"/>
                                <w:color w:val="B3B4CF"/>
                                <w:spacing w:val="-627"/>
                                <w:w w:val="68"/>
                                <w:sz w:val="243"/>
                              </w:rPr>
                              <w:t>1</w:t>
                            </w:r>
                          </w:p>
                        </w:txbxContent>
                      </wps:txbx>
                      <wps:bodyPr wrap="square" lIns="0" tIns="0" rIns="0" bIns="0" rtlCol="0">
                        <a:noAutofit/>
                      </wps:bodyPr>
                    </wps:wsp>
                  </a:graphicData>
                </a:graphic>
              </wp:anchor>
            </w:drawing>
          </mc:Choice>
          <mc:Fallback>
            <w:pict>
              <v:shape style="position:absolute;margin-left:49.152802pt;margin-top:-61.618481pt;width:102.05pt;height:121.65pt;mso-position-horizontal-relative:page;mso-position-vertical-relative:paragraph;z-index:-17507840" type="#_x0000_t202" id="docshape188" filled="false" stroked="false">
                <v:textbox inset="0,0,0,0">
                  <w:txbxContent>
                    <w:p>
                      <w:pPr>
                        <w:spacing w:line="2432" w:lineRule="exact" w:before="0"/>
                        <w:ind w:left="0" w:right="0" w:firstLine="0"/>
                        <w:jc w:val="left"/>
                        <w:rPr>
                          <w:rFonts w:ascii="Arial"/>
                          <w:sz w:val="243"/>
                        </w:rPr>
                      </w:pPr>
                      <w:r>
                        <w:rPr>
                          <w:rFonts w:ascii="Arial"/>
                          <w:color w:val="B3B4CF"/>
                          <w:spacing w:val="-58"/>
                          <w:w w:val="132"/>
                          <w:sz w:val="243"/>
                        </w:rPr>
                        <w:t>0</w:t>
                      </w:r>
                      <w:r>
                        <w:rPr>
                          <w:rFonts w:ascii="Arial"/>
                          <w:color w:val="B3B4CF"/>
                          <w:spacing w:val="-627"/>
                          <w:w w:val="68"/>
                          <w:sz w:val="243"/>
                        </w:rPr>
                        <w:t>1</w:t>
                      </w:r>
                    </w:p>
                  </w:txbxContent>
                </v:textbox>
                <w10:wrap type="none"/>
              </v:shape>
            </w:pict>
          </mc:Fallback>
        </mc:AlternateContent>
      </w:r>
      <w:r>
        <w:rPr>
          <w:color w:val="B52628"/>
          <w:w w:val="115"/>
        </w:rPr>
        <w:t>Continuity and </w:t>
      </w:r>
      <w:r>
        <w:rPr>
          <w:color w:val="B52628"/>
          <w:spacing w:val="-2"/>
          <w:w w:val="115"/>
        </w:rPr>
        <w:t>intensification </w:t>
      </w:r>
      <w:r>
        <w:rPr>
          <w:color w:val="B52628"/>
          <w:w w:val="115"/>
        </w:rPr>
        <w:t>of</w:t>
      </w:r>
      <w:r>
        <w:rPr>
          <w:color w:val="B52628"/>
          <w:spacing w:val="-48"/>
          <w:w w:val="115"/>
        </w:rPr>
        <w:t> </w:t>
      </w:r>
      <w:r>
        <w:rPr>
          <w:color w:val="B52628"/>
          <w:w w:val="115"/>
        </w:rPr>
        <w:t>the</w:t>
      </w:r>
      <w:r>
        <w:rPr>
          <w:color w:val="B52628"/>
          <w:spacing w:val="-48"/>
          <w:w w:val="115"/>
        </w:rPr>
        <w:t> </w:t>
      </w:r>
      <w:r>
        <w:rPr>
          <w:color w:val="B52628"/>
          <w:w w:val="115"/>
        </w:rPr>
        <w:t>blockade </w:t>
      </w:r>
      <w:r>
        <w:rPr>
          <w:color w:val="B52628"/>
          <w:spacing w:val="-2"/>
          <w:w w:val="115"/>
        </w:rPr>
        <w:t>policy</w:t>
      </w:r>
    </w:p>
    <w:p>
      <w:pPr>
        <w:pStyle w:val="BodyText"/>
        <w:spacing w:before="21"/>
        <w:jc w:val="left"/>
        <w:rPr>
          <w:rFonts w:ascii="Trebuchet MS"/>
          <w:sz w:val="20"/>
        </w:rPr>
      </w:pPr>
      <w:r>
        <w:rPr/>
        <mc:AlternateContent>
          <mc:Choice Requires="wps">
            <w:drawing>
              <wp:anchor distT="0" distB="0" distL="0" distR="0" allowOverlap="1" layoutInCell="1" locked="0" behindDoc="1" simplePos="0" relativeHeight="487643136">
                <wp:simplePos x="0" y="0"/>
                <wp:positionH relativeFrom="page">
                  <wp:posOffset>720001</wp:posOffset>
                </wp:positionH>
                <wp:positionV relativeFrom="paragraph">
                  <wp:posOffset>176081</wp:posOffset>
                </wp:positionV>
                <wp:extent cx="909319" cy="26034"/>
                <wp:effectExtent l="0" t="0" r="0" b="0"/>
                <wp:wrapTopAndBottom/>
                <wp:docPr id="221" name="Graphic 221"/>
                <wp:cNvGraphicFramePr>
                  <a:graphicFrameLocks/>
                </wp:cNvGraphicFramePr>
                <a:graphic>
                  <a:graphicData uri="http://schemas.microsoft.com/office/word/2010/wordprocessingShape">
                    <wps:wsp>
                      <wps:cNvPr id="221" name="Graphic 221"/>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56.693001pt;margin-top:13.864688pt;width:71.584pt;height:2.021pt;mso-position-horizontal-relative:page;mso-position-vertical-relative:paragraph;z-index:-15673344;mso-wrap-distance-left:0;mso-wrap-distance-right:0" id="docshape189" filled="true" fillcolor="#1f4282" stroked="false">
                <v:fill type="solid"/>
                <w10:wrap type="topAndBottom"/>
              </v:rect>
            </w:pict>
          </mc:Fallback>
        </mc:AlternateContent>
      </w:r>
    </w:p>
    <w:p>
      <w:pPr>
        <w:pStyle w:val="BodyText"/>
        <w:spacing w:before="12"/>
        <w:jc w:val="left"/>
        <w:rPr>
          <w:rFonts w:ascii="Trebuchet MS"/>
          <w:sz w:val="20"/>
        </w:rPr>
      </w:pPr>
    </w:p>
    <w:p>
      <w:pPr>
        <w:spacing w:after="0"/>
        <w:jc w:val="left"/>
        <w:rPr>
          <w:rFonts w:ascii="Trebuchet MS"/>
          <w:sz w:val="20"/>
        </w:rPr>
        <w:sectPr>
          <w:pgSz w:w="11910" w:h="16840"/>
          <w:pgMar w:header="0" w:footer="695" w:top="800" w:bottom="880" w:left="0" w:right="0"/>
        </w:sectPr>
      </w:pPr>
    </w:p>
    <w:p>
      <w:pPr>
        <w:pStyle w:val="Heading2"/>
        <w:spacing w:before="101"/>
        <w:ind w:right="1162"/>
        <w:jc w:val="both"/>
      </w:pPr>
      <w:r>
        <w:rPr>
          <w:color w:val="1F4282"/>
          <w:w w:val="110"/>
        </w:rPr>
        <w:t>Economic, Commercial and Financial </w:t>
      </w:r>
      <w:r>
        <w:rPr>
          <w:color w:val="1F4282"/>
          <w:w w:val="110"/>
        </w:rPr>
        <w:t>Blockade </w:t>
      </w:r>
      <w:r>
        <w:rPr>
          <w:color w:val="1F4282"/>
          <w:w w:val="115"/>
        </w:rPr>
        <w:t>laws in force</w:t>
      </w:r>
    </w:p>
    <w:p>
      <w:pPr>
        <w:pStyle w:val="BodyText"/>
        <w:spacing w:before="176"/>
        <w:ind w:left="1133"/>
      </w:pPr>
      <w:r>
        <w:rPr>
          <w:color w:val="231F20"/>
        </w:rPr>
        <w:t>Contrary to the terms of United Nations General</w:t>
      </w:r>
      <w:r>
        <w:rPr>
          <w:color w:val="231F20"/>
          <w:spacing w:val="-8"/>
        </w:rPr>
        <w:t> </w:t>
      </w:r>
      <w:r>
        <w:rPr>
          <w:color w:val="231F20"/>
        </w:rPr>
        <w:t>Assembly</w:t>
      </w:r>
      <w:r>
        <w:rPr>
          <w:color w:val="231F20"/>
          <w:spacing w:val="-7"/>
        </w:rPr>
        <w:t> </w:t>
      </w:r>
      <w:r>
        <w:rPr>
          <w:color w:val="231F20"/>
        </w:rPr>
        <w:t>Resolution</w:t>
      </w:r>
      <w:r>
        <w:rPr>
          <w:color w:val="231F20"/>
          <w:spacing w:val="-7"/>
        </w:rPr>
        <w:t> </w:t>
      </w:r>
      <w:r>
        <w:rPr>
          <w:color w:val="231F20"/>
        </w:rPr>
        <w:t>A/RES/77/7, the</w:t>
      </w:r>
      <w:r>
        <w:rPr>
          <w:color w:val="231F20"/>
          <w:spacing w:val="-2"/>
        </w:rPr>
        <w:t> </w:t>
      </w:r>
      <w:r>
        <w:rPr>
          <w:color w:val="231F20"/>
        </w:rPr>
        <w:t>departments</w:t>
      </w:r>
      <w:r>
        <w:rPr>
          <w:color w:val="231F20"/>
          <w:spacing w:val="-2"/>
        </w:rPr>
        <w:t> </w:t>
      </w:r>
      <w:r>
        <w:rPr>
          <w:color w:val="231F20"/>
        </w:rPr>
        <w:t>of</w:t>
      </w:r>
      <w:r>
        <w:rPr>
          <w:color w:val="231F20"/>
          <w:spacing w:val="-2"/>
        </w:rPr>
        <w:t> </w:t>
      </w:r>
      <w:r>
        <w:rPr>
          <w:color w:val="231F20"/>
        </w:rPr>
        <w:t>State,</w:t>
      </w:r>
      <w:r>
        <w:rPr>
          <w:color w:val="231F20"/>
          <w:spacing w:val="-2"/>
        </w:rPr>
        <w:t> </w:t>
      </w:r>
      <w:r>
        <w:rPr>
          <w:color w:val="231F20"/>
        </w:rPr>
        <w:t>of</w:t>
      </w:r>
      <w:r>
        <w:rPr>
          <w:color w:val="231F20"/>
          <w:spacing w:val="-2"/>
        </w:rPr>
        <w:t> </w:t>
      </w:r>
      <w:r>
        <w:rPr>
          <w:color w:val="231F20"/>
        </w:rPr>
        <w:t>Treasury</w:t>
      </w:r>
      <w:r>
        <w:rPr>
          <w:color w:val="231F20"/>
          <w:spacing w:val="-2"/>
        </w:rPr>
        <w:t> </w:t>
      </w:r>
      <w:r>
        <w:rPr>
          <w:color w:val="231F20"/>
        </w:rPr>
        <w:t>and </w:t>
      </w:r>
      <w:r>
        <w:rPr>
          <w:color w:val="231F20"/>
          <w:spacing w:val="-2"/>
        </w:rPr>
        <w:t>of</w:t>
      </w:r>
      <w:r>
        <w:rPr>
          <w:color w:val="231F20"/>
          <w:spacing w:val="-15"/>
        </w:rPr>
        <w:t> </w:t>
      </w:r>
      <w:r>
        <w:rPr>
          <w:color w:val="231F20"/>
          <w:spacing w:val="-2"/>
        </w:rPr>
        <w:t>Commerce</w:t>
      </w:r>
      <w:r>
        <w:rPr>
          <w:color w:val="231F20"/>
          <w:spacing w:val="-14"/>
        </w:rPr>
        <w:t> </w:t>
      </w:r>
      <w:r>
        <w:rPr>
          <w:color w:val="231F20"/>
          <w:spacing w:val="-2"/>
        </w:rPr>
        <w:t>are</w:t>
      </w:r>
      <w:r>
        <w:rPr>
          <w:color w:val="231F20"/>
          <w:spacing w:val="-15"/>
        </w:rPr>
        <w:t> </w:t>
      </w:r>
      <w:r>
        <w:rPr>
          <w:color w:val="231F20"/>
          <w:spacing w:val="-2"/>
        </w:rPr>
        <w:t>among</w:t>
      </w:r>
      <w:r>
        <w:rPr>
          <w:color w:val="231F20"/>
          <w:spacing w:val="-14"/>
        </w:rPr>
        <w:t> </w:t>
      </w:r>
      <w:r>
        <w:rPr>
          <w:color w:val="231F20"/>
          <w:spacing w:val="-2"/>
        </w:rPr>
        <w:t>the</w:t>
      </w:r>
      <w:r>
        <w:rPr>
          <w:color w:val="231F20"/>
          <w:spacing w:val="-14"/>
        </w:rPr>
        <w:t> </w:t>
      </w:r>
      <w:r>
        <w:rPr>
          <w:color w:val="231F20"/>
          <w:spacing w:val="-2"/>
        </w:rPr>
        <w:t>U.S.</w:t>
      </w:r>
      <w:r>
        <w:rPr>
          <w:color w:val="231F20"/>
          <w:spacing w:val="-15"/>
        </w:rPr>
        <w:t> </w:t>
      </w:r>
      <w:r>
        <w:rPr>
          <w:color w:val="231F20"/>
          <w:spacing w:val="-2"/>
        </w:rPr>
        <w:t>state</w:t>
      </w:r>
      <w:r>
        <w:rPr>
          <w:color w:val="231F20"/>
          <w:spacing w:val="-14"/>
        </w:rPr>
        <w:t> </w:t>
      </w:r>
      <w:r>
        <w:rPr>
          <w:color w:val="231F20"/>
          <w:spacing w:val="-2"/>
        </w:rPr>
        <w:t>and </w:t>
      </w:r>
      <w:r>
        <w:rPr>
          <w:color w:val="231F20"/>
        </w:rPr>
        <w:t>governmental</w:t>
      </w:r>
      <w:r>
        <w:rPr>
          <w:color w:val="231F20"/>
          <w:spacing w:val="-17"/>
        </w:rPr>
        <w:t> </w:t>
      </w:r>
      <w:r>
        <w:rPr>
          <w:color w:val="231F20"/>
        </w:rPr>
        <w:t>agencies</w:t>
      </w:r>
      <w:r>
        <w:rPr>
          <w:color w:val="231F20"/>
          <w:spacing w:val="-16"/>
        </w:rPr>
        <w:t> </w:t>
      </w:r>
      <w:r>
        <w:rPr>
          <w:color w:val="231F20"/>
        </w:rPr>
        <w:t>that</w:t>
      </w:r>
      <w:r>
        <w:rPr>
          <w:color w:val="231F20"/>
          <w:spacing w:val="-17"/>
        </w:rPr>
        <w:t> </w:t>
      </w:r>
      <w:r>
        <w:rPr>
          <w:color w:val="231F20"/>
        </w:rPr>
        <w:t>are</w:t>
      </w:r>
      <w:r>
        <w:rPr>
          <w:color w:val="231F20"/>
          <w:spacing w:val="-16"/>
        </w:rPr>
        <w:t> </w:t>
      </w:r>
      <w:r>
        <w:rPr>
          <w:color w:val="231F20"/>
        </w:rPr>
        <w:t>rigorously applying the legislation that determines the blockade on Cuba. The following U.S. laws and regulations were maintained in force during the period covered by this </w:t>
      </w:r>
      <w:r>
        <w:rPr>
          <w:color w:val="231F20"/>
          <w:spacing w:val="-2"/>
        </w:rPr>
        <w:t>report:</w:t>
      </w:r>
    </w:p>
    <w:p>
      <w:pPr>
        <w:pStyle w:val="BodyText"/>
        <w:spacing w:before="168"/>
        <w:ind w:left="1394" w:hanging="261"/>
      </w:pPr>
      <w:r>
        <w:rPr>
          <w:position w:val="3"/>
        </w:rPr>
        <w:drawing>
          <wp:inline distT="0" distB="0" distL="0" distR="0">
            <wp:extent cx="59207" cy="59207"/>
            <wp:effectExtent l="0" t="0" r="0" b="0"/>
            <wp:docPr id="222" name="Image 222"/>
            <wp:cNvGraphicFramePr>
              <a:graphicFrameLocks/>
            </wp:cNvGraphicFramePr>
            <a:graphic>
              <a:graphicData uri="http://schemas.openxmlformats.org/drawingml/2006/picture">
                <pic:pic>
                  <pic:nvPicPr>
                    <pic:cNvPr id="222" name="Image 222"/>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spacing w:val="40"/>
          <w:sz w:val="20"/>
        </w:rPr>
        <w:t> </w:t>
      </w:r>
      <w:r>
        <w:rPr>
          <w:rFonts w:ascii="Segoe UI Semibold"/>
          <w:b/>
          <w:color w:val="1A4796"/>
        </w:rPr>
        <w:t>Trading with the Enemy Act (1917): </w:t>
      </w:r>
      <w:r>
        <w:rPr>
          <w:color w:val="231F20"/>
        </w:rPr>
        <w:t>Section 5(b) of the Trading with the Enemy Act of 1917 (TWEA) delegated to the president the power to apply economic</w:t>
      </w:r>
      <w:r>
        <w:rPr>
          <w:color w:val="231F20"/>
          <w:spacing w:val="40"/>
        </w:rPr>
        <w:t> </w:t>
      </w:r>
      <w:r>
        <w:rPr>
          <w:color w:val="231F20"/>
        </w:rPr>
        <w:t>sanctions</w:t>
      </w:r>
      <w:r>
        <w:rPr>
          <w:color w:val="231F20"/>
          <w:spacing w:val="40"/>
        </w:rPr>
        <w:t> </w:t>
      </w:r>
      <w:r>
        <w:rPr>
          <w:color w:val="231F20"/>
        </w:rPr>
        <w:t>in</w:t>
      </w:r>
      <w:r>
        <w:rPr>
          <w:color w:val="231F20"/>
          <w:spacing w:val="40"/>
        </w:rPr>
        <w:t> </w:t>
      </w:r>
      <w:r>
        <w:rPr>
          <w:color w:val="231F20"/>
        </w:rPr>
        <w:t>times</w:t>
      </w:r>
      <w:r>
        <w:rPr>
          <w:color w:val="231F20"/>
          <w:spacing w:val="40"/>
        </w:rPr>
        <w:t> </w:t>
      </w:r>
      <w:r>
        <w:rPr>
          <w:color w:val="231F20"/>
        </w:rPr>
        <w:t>of</w:t>
      </w:r>
      <w:r>
        <w:rPr>
          <w:color w:val="231F20"/>
          <w:spacing w:val="40"/>
        </w:rPr>
        <w:t> </w:t>
      </w:r>
      <w:r>
        <w:rPr>
          <w:color w:val="231F20"/>
        </w:rPr>
        <w:t>war</w:t>
      </w:r>
      <w:r>
        <w:rPr>
          <w:color w:val="231F20"/>
          <w:spacing w:val="40"/>
        </w:rPr>
        <w:t> </w:t>
      </w:r>
      <w:r>
        <w:rPr>
          <w:color w:val="231F20"/>
        </w:rPr>
        <w:t>or any other national emergency and prohibited trade with the enemy or its allies</w:t>
      </w:r>
      <w:r>
        <w:rPr>
          <w:color w:val="231F20"/>
          <w:spacing w:val="-5"/>
        </w:rPr>
        <w:t> </w:t>
      </w:r>
      <w:r>
        <w:rPr>
          <w:color w:val="231F20"/>
        </w:rPr>
        <w:t>during</w:t>
      </w:r>
      <w:r>
        <w:rPr>
          <w:color w:val="231F20"/>
          <w:spacing w:val="-5"/>
        </w:rPr>
        <w:t> </w:t>
      </w:r>
      <w:r>
        <w:rPr>
          <w:color w:val="231F20"/>
        </w:rPr>
        <w:t>wartime.</w:t>
      </w:r>
      <w:r>
        <w:rPr>
          <w:color w:val="231F20"/>
          <w:spacing w:val="-5"/>
        </w:rPr>
        <w:t> </w:t>
      </w:r>
      <w:r>
        <w:rPr>
          <w:color w:val="231F20"/>
        </w:rPr>
        <w:t>Although</w:t>
      </w:r>
      <w:r>
        <w:rPr>
          <w:color w:val="231F20"/>
          <w:spacing w:val="-5"/>
        </w:rPr>
        <w:t> </w:t>
      </w:r>
      <w:r>
        <w:rPr>
          <w:color w:val="231F20"/>
        </w:rPr>
        <w:t>in</w:t>
      </w:r>
      <w:r>
        <w:rPr>
          <w:color w:val="231F20"/>
          <w:spacing w:val="-5"/>
        </w:rPr>
        <w:t> </w:t>
      </w:r>
      <w:r>
        <w:rPr>
          <w:color w:val="231F20"/>
        </w:rPr>
        <w:t>1977 the International Emergency Economic Powers Act restricted to situations of national emergency the power of the president to impose new sanctions,</w:t>
      </w:r>
      <w:r>
        <w:rPr>
          <w:color w:val="231F20"/>
          <w:spacing w:val="80"/>
        </w:rPr>
        <w:t> </w:t>
      </w:r>
      <w:r>
        <w:rPr>
          <w:color w:val="231F20"/>
        </w:rPr>
        <w:t>the 1917 Act continued to be applied to Cuba without the declaration of a national emergency.</w:t>
      </w:r>
    </w:p>
    <w:p>
      <w:pPr>
        <w:pStyle w:val="BodyText"/>
        <w:spacing w:before="172"/>
        <w:ind w:left="1394" w:hanging="261"/>
      </w:pPr>
      <w:r>
        <w:rPr>
          <w:position w:val="3"/>
        </w:rPr>
        <w:drawing>
          <wp:inline distT="0" distB="0" distL="0" distR="0">
            <wp:extent cx="59207" cy="59207"/>
            <wp:effectExtent l="0" t="0" r="0" b="0"/>
            <wp:docPr id="223" name="Image 223"/>
            <wp:cNvGraphicFramePr>
              <a:graphicFrameLocks/>
            </wp:cNvGraphicFramePr>
            <a:graphic>
              <a:graphicData uri="http://schemas.openxmlformats.org/drawingml/2006/picture">
                <pic:pic>
                  <pic:nvPicPr>
                    <pic:cNvPr id="223" name="Image 223"/>
                    <pic:cNvPicPr/>
                  </pic:nvPicPr>
                  <pic:blipFill>
                    <a:blip r:embed="rId7" cstate="print"/>
                    <a:stretch>
                      <a:fillRect/>
                    </a:stretch>
                  </pic:blipFill>
                  <pic:spPr>
                    <a:xfrm>
                      <a:off x="0" y="0"/>
                      <a:ext cx="59207" cy="59207"/>
                    </a:xfrm>
                    <a:prstGeom prst="rect">
                      <a:avLst/>
                    </a:prstGeom>
                  </pic:spPr>
                </pic:pic>
              </a:graphicData>
            </a:graphic>
          </wp:inline>
        </w:drawing>
      </w:r>
      <w:r>
        <w:rPr>
          <w:position w:val="3"/>
        </w:rPr>
      </w:r>
      <w:r>
        <w:rPr>
          <w:rFonts w:ascii="Times New Roman"/>
          <w:spacing w:val="-13"/>
          <w:sz w:val="20"/>
        </w:rPr>
        <w:t> </w:t>
      </w:r>
      <w:r>
        <w:rPr>
          <w:rFonts w:ascii="Segoe UI Semibold"/>
          <w:b/>
          <w:color w:val="1A4796"/>
        </w:rPr>
        <w:t>Foreign</w:t>
      </w:r>
      <w:r>
        <w:rPr>
          <w:rFonts w:ascii="Segoe UI Semibold"/>
          <w:b/>
          <w:color w:val="1A4796"/>
          <w:spacing w:val="-16"/>
        </w:rPr>
        <w:t> </w:t>
      </w:r>
      <w:r>
        <w:rPr>
          <w:rFonts w:ascii="Segoe UI Semibold"/>
          <w:b/>
          <w:color w:val="1A4796"/>
        </w:rPr>
        <w:t>Assistance</w:t>
      </w:r>
      <w:r>
        <w:rPr>
          <w:rFonts w:ascii="Segoe UI Semibold"/>
          <w:b/>
          <w:color w:val="1A4796"/>
          <w:spacing w:val="-17"/>
        </w:rPr>
        <w:t> </w:t>
      </w:r>
      <w:r>
        <w:rPr>
          <w:rFonts w:ascii="Segoe UI Semibold"/>
          <w:b/>
          <w:color w:val="1A4796"/>
        </w:rPr>
        <w:t>Act</w:t>
      </w:r>
      <w:r>
        <w:rPr>
          <w:rFonts w:ascii="Segoe UI Semibold"/>
          <w:b/>
          <w:color w:val="1A4796"/>
          <w:spacing w:val="-16"/>
        </w:rPr>
        <w:t> </w:t>
      </w:r>
      <w:r>
        <w:rPr>
          <w:rFonts w:ascii="Segoe UI Semibold"/>
          <w:b/>
          <w:color w:val="1A4796"/>
        </w:rPr>
        <w:t>(1961):</w:t>
      </w:r>
      <w:r>
        <w:rPr>
          <w:rFonts w:ascii="Segoe UI Semibold"/>
          <w:b/>
          <w:color w:val="1A4796"/>
          <w:spacing w:val="-17"/>
        </w:rPr>
        <w:t> </w:t>
      </w:r>
      <w:r>
        <w:rPr>
          <w:color w:val="231F20"/>
        </w:rPr>
        <w:t>authorizes the</w:t>
      </w:r>
      <w:r>
        <w:rPr>
          <w:color w:val="231F20"/>
          <w:spacing w:val="74"/>
          <w:w w:val="150"/>
        </w:rPr>
        <w:t> </w:t>
      </w:r>
      <w:r>
        <w:rPr>
          <w:color w:val="231F20"/>
        </w:rPr>
        <w:t>U.S.</w:t>
      </w:r>
      <w:r>
        <w:rPr>
          <w:color w:val="231F20"/>
          <w:spacing w:val="75"/>
          <w:w w:val="150"/>
        </w:rPr>
        <w:t> </w:t>
      </w:r>
      <w:r>
        <w:rPr>
          <w:color w:val="231F20"/>
        </w:rPr>
        <w:t>President</w:t>
      </w:r>
      <w:r>
        <w:rPr>
          <w:color w:val="231F20"/>
          <w:spacing w:val="75"/>
          <w:w w:val="150"/>
        </w:rPr>
        <w:t> </w:t>
      </w:r>
      <w:r>
        <w:rPr>
          <w:color w:val="231F20"/>
        </w:rPr>
        <w:t>to</w:t>
      </w:r>
      <w:r>
        <w:rPr>
          <w:color w:val="231F20"/>
          <w:spacing w:val="75"/>
          <w:w w:val="150"/>
        </w:rPr>
        <w:t> </w:t>
      </w:r>
      <w:r>
        <w:rPr>
          <w:color w:val="231F20"/>
        </w:rPr>
        <w:t>establish</w:t>
      </w:r>
      <w:r>
        <w:rPr>
          <w:color w:val="231F20"/>
          <w:spacing w:val="75"/>
          <w:w w:val="150"/>
        </w:rPr>
        <w:t> </w:t>
      </w:r>
      <w:r>
        <w:rPr>
          <w:color w:val="231F20"/>
          <w:spacing w:val="-5"/>
        </w:rPr>
        <w:t>and</w:t>
      </w:r>
    </w:p>
    <w:p>
      <w:pPr>
        <w:spacing w:line="240" w:lineRule="auto" w:before="0"/>
        <w:rPr>
          <w:sz w:val="24"/>
        </w:rPr>
      </w:pPr>
      <w:r>
        <w:rPr/>
        <w:br w:type="column"/>
      </w:r>
      <w:r>
        <w:rPr>
          <w:sz w:val="24"/>
        </w:rPr>
      </w:r>
    </w:p>
    <w:p>
      <w:pPr>
        <w:pStyle w:val="BodyText"/>
        <w:jc w:val="left"/>
      </w:pPr>
    </w:p>
    <w:p>
      <w:pPr>
        <w:pStyle w:val="BodyText"/>
        <w:spacing w:before="270"/>
        <w:jc w:val="left"/>
      </w:pPr>
    </w:p>
    <w:p>
      <w:pPr>
        <w:pStyle w:val="BodyText"/>
        <w:ind w:left="670" w:right="1468"/>
      </w:pPr>
      <w:r>
        <w:rPr>
          <w:color w:val="231F20"/>
        </w:rPr>
        <w:t>maintain</w:t>
      </w:r>
      <w:r>
        <w:rPr>
          <w:color w:val="231F20"/>
          <w:spacing w:val="-5"/>
        </w:rPr>
        <w:t> </w:t>
      </w:r>
      <w:r>
        <w:rPr>
          <w:color w:val="231F20"/>
        </w:rPr>
        <w:t>a</w:t>
      </w:r>
      <w:r>
        <w:rPr>
          <w:color w:val="231F20"/>
          <w:spacing w:val="-5"/>
        </w:rPr>
        <w:t> </w:t>
      </w:r>
      <w:r>
        <w:rPr>
          <w:color w:val="231F20"/>
        </w:rPr>
        <w:t>total</w:t>
      </w:r>
      <w:r>
        <w:rPr>
          <w:color w:val="231F20"/>
          <w:spacing w:val="-5"/>
        </w:rPr>
        <w:t> </w:t>
      </w:r>
      <w:r>
        <w:rPr>
          <w:color w:val="231F20"/>
        </w:rPr>
        <w:t>embargo</w:t>
      </w:r>
      <w:r>
        <w:rPr>
          <w:color w:val="231F20"/>
          <w:spacing w:val="-5"/>
        </w:rPr>
        <w:t> </w:t>
      </w:r>
      <w:r>
        <w:rPr>
          <w:color w:val="231F20"/>
        </w:rPr>
        <w:t>on</w:t>
      </w:r>
      <w:r>
        <w:rPr>
          <w:color w:val="231F20"/>
          <w:spacing w:val="-5"/>
        </w:rPr>
        <w:t> </w:t>
      </w:r>
      <w:r>
        <w:rPr>
          <w:color w:val="231F20"/>
        </w:rPr>
        <w:t>trade</w:t>
      </w:r>
      <w:r>
        <w:rPr>
          <w:color w:val="231F20"/>
          <w:spacing w:val="-5"/>
        </w:rPr>
        <w:t> </w:t>
      </w:r>
      <w:r>
        <w:rPr>
          <w:color w:val="231F20"/>
        </w:rPr>
        <w:t>with Cuba and prohibits the authorization</w:t>
      </w:r>
      <w:r>
        <w:rPr>
          <w:color w:val="231F20"/>
          <w:spacing w:val="40"/>
        </w:rPr>
        <w:t> </w:t>
      </w:r>
      <w:r>
        <w:rPr>
          <w:color w:val="231F20"/>
        </w:rPr>
        <w:t>of any aid to the Cuban government. It establishes that U.S. government funds destined for international aid and sent to international organizations cannot be</w:t>
      </w:r>
      <w:r>
        <w:rPr>
          <w:color w:val="231F20"/>
          <w:spacing w:val="-17"/>
        </w:rPr>
        <w:t> </w:t>
      </w:r>
      <w:r>
        <w:rPr>
          <w:color w:val="231F20"/>
        </w:rPr>
        <w:t>used</w:t>
      </w:r>
      <w:r>
        <w:rPr>
          <w:color w:val="231F20"/>
          <w:spacing w:val="-16"/>
        </w:rPr>
        <w:t> </w:t>
      </w:r>
      <w:r>
        <w:rPr>
          <w:color w:val="231F20"/>
        </w:rPr>
        <w:t>for</w:t>
      </w:r>
      <w:r>
        <w:rPr>
          <w:color w:val="231F20"/>
          <w:spacing w:val="-17"/>
        </w:rPr>
        <w:t> </w:t>
      </w:r>
      <w:r>
        <w:rPr>
          <w:color w:val="231F20"/>
        </w:rPr>
        <w:t>programs</w:t>
      </w:r>
      <w:r>
        <w:rPr>
          <w:color w:val="231F20"/>
          <w:spacing w:val="-16"/>
        </w:rPr>
        <w:t> </w:t>
      </w:r>
      <w:r>
        <w:rPr>
          <w:color w:val="231F20"/>
        </w:rPr>
        <w:t>related</w:t>
      </w:r>
      <w:r>
        <w:rPr>
          <w:color w:val="231F20"/>
          <w:spacing w:val="-17"/>
        </w:rPr>
        <w:t> </w:t>
      </w:r>
      <w:r>
        <w:rPr>
          <w:color w:val="231F20"/>
        </w:rPr>
        <w:t>to</w:t>
      </w:r>
      <w:r>
        <w:rPr>
          <w:color w:val="231F20"/>
          <w:spacing w:val="-16"/>
        </w:rPr>
        <w:t> </w:t>
      </w:r>
      <w:r>
        <w:rPr>
          <w:color w:val="231F20"/>
        </w:rPr>
        <w:t>Cuba.</w:t>
      </w:r>
      <w:r>
        <w:rPr>
          <w:color w:val="231F20"/>
          <w:spacing w:val="-17"/>
        </w:rPr>
        <w:t> </w:t>
      </w:r>
      <w:r>
        <w:rPr>
          <w:color w:val="231F20"/>
        </w:rPr>
        <w:t>It </w:t>
      </w:r>
      <w:r>
        <w:rPr>
          <w:color w:val="231F20"/>
          <w:spacing w:val="-4"/>
        </w:rPr>
        <w:t>prohibits</w:t>
      </w:r>
      <w:r>
        <w:rPr>
          <w:color w:val="231F20"/>
          <w:spacing w:val="-10"/>
        </w:rPr>
        <w:t> </w:t>
      </w:r>
      <w:r>
        <w:rPr>
          <w:color w:val="231F20"/>
          <w:spacing w:val="-4"/>
        </w:rPr>
        <w:t>granting</w:t>
      </w:r>
      <w:r>
        <w:rPr>
          <w:color w:val="231F20"/>
          <w:spacing w:val="-10"/>
        </w:rPr>
        <w:t> </w:t>
      </w:r>
      <w:r>
        <w:rPr>
          <w:color w:val="231F20"/>
          <w:spacing w:val="-4"/>
        </w:rPr>
        <w:t>any</w:t>
      </w:r>
      <w:r>
        <w:rPr>
          <w:color w:val="231F20"/>
          <w:spacing w:val="-10"/>
        </w:rPr>
        <w:t> </w:t>
      </w:r>
      <w:r>
        <w:rPr>
          <w:color w:val="231F20"/>
          <w:spacing w:val="-4"/>
        </w:rPr>
        <w:t>aid</w:t>
      </w:r>
      <w:r>
        <w:rPr>
          <w:color w:val="231F20"/>
          <w:spacing w:val="-10"/>
        </w:rPr>
        <w:t> </w:t>
      </w:r>
      <w:r>
        <w:rPr>
          <w:color w:val="231F20"/>
          <w:spacing w:val="-4"/>
        </w:rPr>
        <w:t>to</w:t>
      </w:r>
      <w:r>
        <w:rPr>
          <w:color w:val="231F20"/>
          <w:spacing w:val="-10"/>
        </w:rPr>
        <w:t> </w:t>
      </w:r>
      <w:r>
        <w:rPr>
          <w:color w:val="231F20"/>
          <w:spacing w:val="-4"/>
        </w:rPr>
        <w:t>Cuba</w:t>
      </w:r>
      <w:r>
        <w:rPr>
          <w:color w:val="231F20"/>
          <w:spacing w:val="-10"/>
        </w:rPr>
        <w:t> </w:t>
      </w:r>
      <w:r>
        <w:rPr>
          <w:color w:val="231F20"/>
          <w:spacing w:val="-4"/>
        </w:rPr>
        <w:t>under </w:t>
      </w:r>
      <w:r>
        <w:rPr>
          <w:color w:val="231F20"/>
        </w:rPr>
        <w:t>this act or any other benefit covered</w:t>
      </w:r>
      <w:r>
        <w:rPr>
          <w:color w:val="231F20"/>
          <w:spacing w:val="80"/>
        </w:rPr>
        <w:t> </w:t>
      </w:r>
      <w:r>
        <w:rPr>
          <w:color w:val="231F20"/>
        </w:rPr>
        <w:t>by any other law “until the President determines that such government has taken appropriate steps … to return to United States citizens … not less than 50 per centum beneficially owned by United States citizens, or to provide equitable</w:t>
      </w:r>
      <w:r>
        <w:rPr>
          <w:color w:val="231F20"/>
          <w:spacing w:val="-3"/>
        </w:rPr>
        <w:t> </w:t>
      </w:r>
      <w:r>
        <w:rPr>
          <w:color w:val="231F20"/>
        </w:rPr>
        <w:t>compensation</w:t>
      </w:r>
      <w:r>
        <w:rPr>
          <w:color w:val="231F20"/>
          <w:spacing w:val="-3"/>
        </w:rPr>
        <w:t> </w:t>
      </w:r>
      <w:r>
        <w:rPr>
          <w:color w:val="231F20"/>
        </w:rPr>
        <w:t>…</w:t>
      </w:r>
      <w:r>
        <w:rPr>
          <w:color w:val="231F20"/>
          <w:spacing w:val="-3"/>
        </w:rPr>
        <w:t> </w:t>
      </w:r>
      <w:r>
        <w:rPr>
          <w:color w:val="231F20"/>
        </w:rPr>
        <w:t>for</w:t>
      </w:r>
      <w:r>
        <w:rPr>
          <w:color w:val="231F20"/>
          <w:spacing w:val="-3"/>
        </w:rPr>
        <w:t> </w:t>
      </w:r>
      <w:r>
        <w:rPr>
          <w:color w:val="231F20"/>
        </w:rPr>
        <w:t>property taken from such citizens and entities</w:t>
      </w:r>
      <w:r>
        <w:rPr>
          <w:color w:val="231F20"/>
          <w:spacing w:val="40"/>
        </w:rPr>
        <w:t> </w:t>
      </w:r>
      <w:r>
        <w:rPr>
          <w:color w:val="231F20"/>
        </w:rPr>
        <w:t>on or after January 1, 1959, by the Government of Cuba”.</w:t>
      </w:r>
    </w:p>
    <w:p>
      <w:pPr>
        <w:pStyle w:val="BodyText"/>
        <w:spacing w:before="175"/>
        <w:ind w:left="670" w:right="1475"/>
      </w:pPr>
      <w:r>
        <w:rPr/>
        <mc:AlternateContent>
          <mc:Choice Requires="wps">
            <w:drawing>
              <wp:anchor distT="0" distB="0" distL="0" distR="0" allowOverlap="1" layoutInCell="1" locked="0" behindDoc="0" simplePos="0" relativeHeight="15784448">
                <wp:simplePos x="0" y="0"/>
                <wp:positionH relativeFrom="page">
                  <wp:posOffset>3815998</wp:posOffset>
                </wp:positionH>
                <wp:positionV relativeFrom="paragraph">
                  <wp:posOffset>193270</wp:posOffset>
                </wp:positionV>
                <wp:extent cx="59690" cy="59690"/>
                <wp:effectExtent l="0" t="0" r="0" b="0"/>
                <wp:wrapNone/>
                <wp:docPr id="224" name="Graphic 224"/>
                <wp:cNvGraphicFramePr>
                  <a:graphicFrameLocks/>
                </wp:cNvGraphicFramePr>
                <a:graphic>
                  <a:graphicData uri="http://schemas.microsoft.com/office/word/2010/wordprocessingShape">
                    <wps:wsp>
                      <wps:cNvPr id="224" name="Graphic 22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218147pt;width:4.7pt;height:4.7pt;mso-position-horizontal-relative:page;mso-position-vertical-relative:paragraph;z-index:15784448" id="docshape190" coordorigin="6009,304" coordsize="94,94" path="m6056,304l6038,308,6023,318,6013,333,6009,351,6013,369,6023,384,6038,394,6056,398,6074,394,6089,384,6099,369,6103,351,6099,333,6089,318,6074,308,6056,304xe" filled="true" fillcolor="#1a4796" stroked="false">
                <v:path arrowok="t"/>
                <v:fill type="solid"/>
                <w10:wrap type="none"/>
              </v:shape>
            </w:pict>
          </mc:Fallback>
        </mc:AlternateContent>
      </w:r>
      <w:r>
        <w:rPr>
          <w:rFonts w:ascii="Segoe UI Semibold" w:hAnsi="Segoe UI Semibold"/>
          <w:b/>
          <w:color w:val="1A4796"/>
        </w:rPr>
        <w:t>Presidential</w:t>
      </w:r>
      <w:r>
        <w:rPr>
          <w:rFonts w:ascii="Segoe UI Semibold" w:hAnsi="Segoe UI Semibold"/>
          <w:b/>
          <w:color w:val="1A4796"/>
          <w:spacing w:val="-17"/>
        </w:rPr>
        <w:t> </w:t>
      </w:r>
      <w:r>
        <w:rPr>
          <w:rFonts w:ascii="Segoe UI Semibold" w:hAnsi="Segoe UI Semibold"/>
          <w:b/>
          <w:color w:val="1A4796"/>
        </w:rPr>
        <w:t>Proclamation</w:t>
      </w:r>
      <w:r>
        <w:rPr>
          <w:rFonts w:ascii="Segoe UI Semibold" w:hAnsi="Segoe UI Semibold"/>
          <w:b/>
          <w:color w:val="1A4796"/>
          <w:spacing w:val="-16"/>
        </w:rPr>
        <w:t> </w:t>
      </w:r>
      <w:r>
        <w:rPr>
          <w:rFonts w:ascii="Segoe UI Semibold" w:hAnsi="Segoe UI Semibold"/>
          <w:b/>
          <w:color w:val="1A4796"/>
        </w:rPr>
        <w:t>3447,</w:t>
      </w:r>
      <w:r>
        <w:rPr>
          <w:rFonts w:ascii="Segoe UI Semibold" w:hAnsi="Segoe UI Semibold"/>
          <w:b/>
          <w:color w:val="1A4796"/>
          <w:spacing w:val="-17"/>
        </w:rPr>
        <w:t> </w:t>
      </w:r>
      <w:r>
        <w:rPr>
          <w:color w:val="231F20"/>
        </w:rPr>
        <w:t>issued </w:t>
      </w:r>
      <w:r>
        <w:rPr>
          <w:color w:val="231F20"/>
          <w:spacing w:val="-2"/>
        </w:rPr>
        <w:t>on</w:t>
      </w:r>
      <w:r>
        <w:rPr>
          <w:color w:val="231F20"/>
          <w:spacing w:val="-12"/>
        </w:rPr>
        <w:t> </w:t>
      </w:r>
      <w:r>
        <w:rPr>
          <w:color w:val="231F20"/>
          <w:spacing w:val="-2"/>
        </w:rPr>
        <w:t>February</w:t>
      </w:r>
      <w:r>
        <w:rPr>
          <w:color w:val="231F20"/>
          <w:spacing w:val="-12"/>
        </w:rPr>
        <w:t> </w:t>
      </w:r>
      <w:r>
        <w:rPr>
          <w:color w:val="231F20"/>
          <w:spacing w:val="-2"/>
        </w:rPr>
        <w:t>3,</w:t>
      </w:r>
      <w:r>
        <w:rPr>
          <w:color w:val="231F20"/>
          <w:spacing w:val="-12"/>
        </w:rPr>
        <w:t> </w:t>
      </w:r>
      <w:r>
        <w:rPr>
          <w:color w:val="231F20"/>
          <w:spacing w:val="-2"/>
        </w:rPr>
        <w:t>1962</w:t>
      </w:r>
      <w:r>
        <w:rPr>
          <w:color w:val="231F20"/>
          <w:spacing w:val="-12"/>
        </w:rPr>
        <w:t> </w:t>
      </w:r>
      <w:r>
        <w:rPr>
          <w:color w:val="231F20"/>
          <w:spacing w:val="-2"/>
        </w:rPr>
        <w:t>by</w:t>
      </w:r>
      <w:r>
        <w:rPr>
          <w:color w:val="231F20"/>
          <w:spacing w:val="-12"/>
        </w:rPr>
        <w:t> </w:t>
      </w:r>
      <w:r>
        <w:rPr>
          <w:color w:val="231F20"/>
          <w:spacing w:val="-2"/>
        </w:rPr>
        <w:t>President</w:t>
      </w:r>
      <w:r>
        <w:rPr>
          <w:color w:val="231F20"/>
          <w:spacing w:val="-12"/>
        </w:rPr>
        <w:t> </w:t>
      </w:r>
      <w:r>
        <w:rPr>
          <w:color w:val="231F20"/>
          <w:spacing w:val="-2"/>
        </w:rPr>
        <w:t>John</w:t>
      </w:r>
      <w:r>
        <w:rPr>
          <w:color w:val="231F20"/>
          <w:spacing w:val="-12"/>
        </w:rPr>
        <w:t> </w:t>
      </w:r>
      <w:r>
        <w:rPr>
          <w:color w:val="231F20"/>
          <w:spacing w:val="-2"/>
        </w:rPr>
        <w:t>F. </w:t>
      </w:r>
      <w:r>
        <w:rPr>
          <w:color w:val="231F20"/>
        </w:rPr>
        <w:t>Kennedy,</w:t>
      </w:r>
      <w:r>
        <w:rPr>
          <w:color w:val="231F20"/>
          <w:spacing w:val="-5"/>
        </w:rPr>
        <w:t> </w:t>
      </w:r>
      <w:r>
        <w:rPr>
          <w:color w:val="231F20"/>
        </w:rPr>
        <w:t>decreeing</w:t>
      </w:r>
      <w:r>
        <w:rPr>
          <w:color w:val="231F20"/>
          <w:spacing w:val="-5"/>
        </w:rPr>
        <w:t> </w:t>
      </w:r>
      <w:r>
        <w:rPr>
          <w:color w:val="231F20"/>
        </w:rPr>
        <w:t>“an</w:t>
      </w:r>
      <w:r>
        <w:rPr>
          <w:color w:val="231F20"/>
          <w:spacing w:val="-5"/>
        </w:rPr>
        <w:t> </w:t>
      </w:r>
      <w:r>
        <w:rPr>
          <w:color w:val="231F20"/>
        </w:rPr>
        <w:t>embargo</w:t>
      </w:r>
      <w:r>
        <w:rPr>
          <w:color w:val="231F20"/>
          <w:spacing w:val="-5"/>
        </w:rPr>
        <w:t> </w:t>
      </w:r>
      <w:r>
        <w:rPr>
          <w:color w:val="231F20"/>
        </w:rPr>
        <w:t>upon trade between the United States and </w:t>
      </w:r>
      <w:r>
        <w:rPr>
          <w:color w:val="231F20"/>
          <w:spacing w:val="-4"/>
        </w:rPr>
        <w:t>Cuba”</w:t>
      </w:r>
      <w:r>
        <w:rPr>
          <w:color w:val="231F20"/>
          <w:spacing w:val="-13"/>
        </w:rPr>
        <w:t> </w:t>
      </w:r>
      <w:r>
        <w:rPr>
          <w:color w:val="231F20"/>
          <w:spacing w:val="-4"/>
        </w:rPr>
        <w:t>as</w:t>
      </w:r>
      <w:r>
        <w:rPr>
          <w:color w:val="231F20"/>
          <w:spacing w:val="-12"/>
        </w:rPr>
        <w:t> </w:t>
      </w:r>
      <w:r>
        <w:rPr>
          <w:color w:val="231F20"/>
          <w:spacing w:val="-4"/>
        </w:rPr>
        <w:t>authorized</w:t>
      </w:r>
      <w:r>
        <w:rPr>
          <w:color w:val="231F20"/>
          <w:spacing w:val="-13"/>
        </w:rPr>
        <w:t> </w:t>
      </w:r>
      <w:r>
        <w:rPr>
          <w:color w:val="231F20"/>
          <w:spacing w:val="-4"/>
        </w:rPr>
        <w:t>by</w:t>
      </w:r>
      <w:r>
        <w:rPr>
          <w:color w:val="231F20"/>
          <w:spacing w:val="-12"/>
        </w:rPr>
        <w:t> </w:t>
      </w:r>
      <w:r>
        <w:rPr>
          <w:color w:val="231F20"/>
          <w:spacing w:val="-4"/>
        </w:rPr>
        <w:t>Section</w:t>
      </w:r>
      <w:r>
        <w:rPr>
          <w:color w:val="231F20"/>
          <w:spacing w:val="-13"/>
        </w:rPr>
        <w:t> </w:t>
      </w:r>
      <w:r>
        <w:rPr>
          <w:color w:val="231F20"/>
          <w:spacing w:val="-4"/>
        </w:rPr>
        <w:t>620</w:t>
      </w:r>
      <w:r>
        <w:rPr>
          <w:color w:val="231F20"/>
          <w:spacing w:val="-12"/>
        </w:rPr>
        <w:t> </w:t>
      </w:r>
      <w:r>
        <w:rPr>
          <w:color w:val="231F20"/>
          <w:spacing w:val="-4"/>
        </w:rPr>
        <w:t>(a)</w:t>
      </w:r>
      <w:r>
        <w:rPr>
          <w:color w:val="231F20"/>
          <w:spacing w:val="-13"/>
        </w:rPr>
        <w:t> </w:t>
      </w:r>
      <w:r>
        <w:rPr>
          <w:color w:val="231F20"/>
          <w:spacing w:val="-4"/>
        </w:rPr>
        <w:t>of </w:t>
      </w:r>
      <w:r>
        <w:rPr>
          <w:color w:val="231F20"/>
        </w:rPr>
        <w:t>the Foreign Assistance Act.</w:t>
      </w:r>
    </w:p>
    <w:p>
      <w:pPr>
        <w:pStyle w:val="BodyText"/>
        <w:spacing w:before="165"/>
        <w:ind w:left="670" w:right="1472"/>
        <w:rPr>
          <w:rFonts w:ascii="Segoe UI Semibold"/>
          <w:b/>
        </w:rPr>
      </w:pPr>
      <w:r>
        <w:rPr/>
        <mc:AlternateContent>
          <mc:Choice Requires="wps">
            <w:drawing>
              <wp:anchor distT="0" distB="0" distL="0" distR="0" allowOverlap="1" layoutInCell="1" locked="0" behindDoc="0" simplePos="0" relativeHeight="15784960">
                <wp:simplePos x="0" y="0"/>
                <wp:positionH relativeFrom="page">
                  <wp:posOffset>3815998</wp:posOffset>
                </wp:positionH>
                <wp:positionV relativeFrom="paragraph">
                  <wp:posOffset>188219</wp:posOffset>
                </wp:positionV>
                <wp:extent cx="59690" cy="59690"/>
                <wp:effectExtent l="0" t="0" r="0" b="0"/>
                <wp:wrapNone/>
                <wp:docPr id="225" name="Graphic 225"/>
                <wp:cNvGraphicFramePr>
                  <a:graphicFrameLocks/>
                </wp:cNvGraphicFramePr>
                <a:graphic>
                  <a:graphicData uri="http://schemas.microsoft.com/office/word/2010/wordprocessingShape">
                    <wps:wsp>
                      <wps:cNvPr id="225" name="Graphic 22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820422pt;width:4.7pt;height:4.7pt;mso-position-horizontal-relative:page;mso-position-vertical-relative:paragraph;z-index:15784960" id="docshape191" coordorigin="6009,296" coordsize="94,94" path="m6056,296l6038,300,6023,310,6013,325,6009,343,6013,361,6023,376,6038,386,6056,390,6074,386,6089,376,6099,361,6103,343,6099,325,6089,310,6074,300,6056,296xe" filled="true" fillcolor="#1a4796" stroked="false">
                <v:path arrowok="t"/>
                <v:fill type="solid"/>
                <w10:wrap type="none"/>
              </v:shape>
            </w:pict>
          </mc:Fallback>
        </mc:AlternateContent>
      </w:r>
      <w:r>
        <w:rPr>
          <w:rFonts w:ascii="Segoe UI Semibold"/>
          <w:b/>
          <w:color w:val="1A4796"/>
        </w:rPr>
        <w:t>The</w:t>
      </w:r>
      <w:r>
        <w:rPr>
          <w:rFonts w:ascii="Segoe UI Semibold"/>
          <w:b/>
          <w:color w:val="1A4796"/>
          <w:spacing w:val="-6"/>
        </w:rPr>
        <w:t> </w:t>
      </w:r>
      <w:r>
        <w:rPr>
          <w:rFonts w:ascii="Segoe UI Semibold"/>
          <w:b/>
          <w:color w:val="1A4796"/>
        </w:rPr>
        <w:t>Cuban</w:t>
      </w:r>
      <w:r>
        <w:rPr>
          <w:rFonts w:ascii="Segoe UI Semibold"/>
          <w:b/>
          <w:color w:val="1A4796"/>
          <w:spacing w:val="-6"/>
        </w:rPr>
        <w:t> </w:t>
      </w:r>
      <w:r>
        <w:rPr>
          <w:rFonts w:ascii="Segoe UI Semibold"/>
          <w:b/>
          <w:color w:val="1A4796"/>
        </w:rPr>
        <w:t>Assets</w:t>
      </w:r>
      <w:r>
        <w:rPr>
          <w:rFonts w:ascii="Segoe UI Semibold"/>
          <w:b/>
          <w:color w:val="1A4796"/>
          <w:spacing w:val="-6"/>
        </w:rPr>
        <w:t> </w:t>
      </w:r>
      <w:r>
        <w:rPr>
          <w:rFonts w:ascii="Segoe UI Semibold"/>
          <w:b/>
          <w:color w:val="1A4796"/>
        </w:rPr>
        <w:t>Control</w:t>
      </w:r>
      <w:r>
        <w:rPr>
          <w:rFonts w:ascii="Segoe UI Semibold"/>
          <w:b/>
          <w:color w:val="1A4796"/>
          <w:spacing w:val="-6"/>
        </w:rPr>
        <w:t> </w:t>
      </w:r>
      <w:r>
        <w:rPr>
          <w:rFonts w:ascii="Segoe UI Semibold"/>
          <w:b/>
          <w:color w:val="1A4796"/>
        </w:rPr>
        <w:t>Regulations of</w:t>
      </w:r>
      <w:r>
        <w:rPr>
          <w:rFonts w:ascii="Segoe UI Semibold"/>
          <w:b/>
          <w:color w:val="1A4796"/>
          <w:spacing w:val="60"/>
          <w:w w:val="150"/>
        </w:rPr>
        <w:t> </w:t>
      </w:r>
      <w:r>
        <w:rPr>
          <w:rFonts w:ascii="Segoe UI Semibold"/>
          <w:b/>
          <w:color w:val="1A4796"/>
        </w:rPr>
        <w:t>the</w:t>
      </w:r>
      <w:r>
        <w:rPr>
          <w:rFonts w:ascii="Segoe UI Semibold"/>
          <w:b/>
          <w:color w:val="1A4796"/>
          <w:spacing w:val="60"/>
          <w:w w:val="150"/>
        </w:rPr>
        <w:t> </w:t>
      </w:r>
      <w:r>
        <w:rPr>
          <w:rFonts w:ascii="Segoe UI Semibold"/>
          <w:b/>
          <w:color w:val="1A4796"/>
        </w:rPr>
        <w:t>Department</w:t>
      </w:r>
      <w:r>
        <w:rPr>
          <w:rFonts w:ascii="Segoe UI Semibold"/>
          <w:b/>
          <w:color w:val="1A4796"/>
          <w:spacing w:val="60"/>
          <w:w w:val="150"/>
        </w:rPr>
        <w:t> </w:t>
      </w:r>
      <w:r>
        <w:rPr>
          <w:rFonts w:ascii="Segoe UI Semibold"/>
          <w:b/>
          <w:color w:val="1A4796"/>
        </w:rPr>
        <w:t>of</w:t>
      </w:r>
      <w:r>
        <w:rPr>
          <w:rFonts w:ascii="Segoe UI Semibold"/>
          <w:b/>
          <w:color w:val="1A4796"/>
          <w:spacing w:val="60"/>
          <w:w w:val="150"/>
        </w:rPr>
        <w:t> </w:t>
      </w:r>
      <w:r>
        <w:rPr>
          <w:rFonts w:ascii="Segoe UI Semibold"/>
          <w:b/>
          <w:color w:val="1A4796"/>
        </w:rPr>
        <w:t>the</w:t>
      </w:r>
      <w:r>
        <w:rPr>
          <w:rFonts w:ascii="Segoe UI Semibold"/>
          <w:b/>
          <w:color w:val="1A4796"/>
          <w:spacing w:val="61"/>
          <w:w w:val="150"/>
        </w:rPr>
        <w:t> </w:t>
      </w:r>
      <w:r>
        <w:rPr>
          <w:rFonts w:ascii="Segoe UI Semibold"/>
          <w:b/>
          <w:color w:val="1A4796"/>
          <w:spacing w:val="-6"/>
        </w:rPr>
        <w:t>Treasury</w:t>
      </w:r>
    </w:p>
    <w:p>
      <w:pPr>
        <w:spacing w:after="0"/>
        <w:rPr>
          <w:rFonts w:ascii="Segoe UI Semibold"/>
        </w:rPr>
        <w:sectPr>
          <w:type w:val="continuous"/>
          <w:pgSz w:w="11910" w:h="16840"/>
          <w:pgMar w:header="0" w:footer="695" w:top="1920" w:bottom="280" w:left="0" w:right="0"/>
          <w:cols w:num="2" w:equalWidth="0">
            <w:col w:w="5560" w:space="40"/>
            <w:col w:w="6310"/>
          </w:cols>
        </w:sectPr>
      </w:pPr>
    </w:p>
    <w:p>
      <w:pPr>
        <w:pStyle w:val="BodyText"/>
        <w:spacing w:before="77"/>
        <w:ind w:left="1734"/>
      </w:pPr>
      <w:r>
        <w:rPr>
          <w:rFonts w:ascii="Segoe UI Semibold" w:hAnsi="Segoe UI Semibold"/>
          <w:b/>
          <w:color w:val="1A4796"/>
        </w:rPr>
        <w:t>(1963).</w:t>
      </w:r>
      <w:r>
        <w:rPr>
          <w:rFonts w:ascii="Segoe UI Semibold" w:hAnsi="Segoe UI Semibold"/>
          <w:b/>
          <w:color w:val="1A4796"/>
          <w:spacing w:val="-17"/>
        </w:rPr>
        <w:t> </w:t>
      </w:r>
      <w:r>
        <w:rPr>
          <w:color w:val="231F20"/>
        </w:rPr>
        <w:t>The</w:t>
      </w:r>
      <w:r>
        <w:rPr>
          <w:color w:val="231F20"/>
          <w:spacing w:val="-16"/>
        </w:rPr>
        <w:t> </w:t>
      </w:r>
      <w:r>
        <w:rPr>
          <w:color w:val="231F20"/>
        </w:rPr>
        <w:t>restrictions</w:t>
      </w:r>
      <w:r>
        <w:rPr>
          <w:color w:val="231F20"/>
          <w:spacing w:val="-17"/>
        </w:rPr>
        <w:t> </w:t>
      </w:r>
      <w:r>
        <w:rPr>
          <w:color w:val="231F20"/>
        </w:rPr>
        <w:t>include:</w:t>
      </w:r>
      <w:r>
        <w:rPr>
          <w:color w:val="231F20"/>
          <w:spacing w:val="-16"/>
        </w:rPr>
        <w:t> </w:t>
      </w:r>
      <w:r>
        <w:rPr>
          <w:color w:val="231F20"/>
        </w:rPr>
        <w:t>freezing of</w:t>
      </w:r>
      <w:r>
        <w:rPr>
          <w:color w:val="231F20"/>
          <w:spacing w:val="-7"/>
        </w:rPr>
        <w:t> </w:t>
      </w:r>
      <w:r>
        <w:rPr>
          <w:color w:val="231F20"/>
        </w:rPr>
        <w:t>all</w:t>
      </w:r>
      <w:r>
        <w:rPr>
          <w:color w:val="231F20"/>
          <w:spacing w:val="-7"/>
        </w:rPr>
        <w:t> </w:t>
      </w:r>
      <w:r>
        <w:rPr>
          <w:color w:val="231F20"/>
        </w:rPr>
        <w:t>Cuban</w:t>
      </w:r>
      <w:r>
        <w:rPr>
          <w:color w:val="231F20"/>
          <w:spacing w:val="-7"/>
        </w:rPr>
        <w:t> </w:t>
      </w:r>
      <w:r>
        <w:rPr>
          <w:color w:val="231F20"/>
        </w:rPr>
        <w:t>assets</w:t>
      </w:r>
      <w:r>
        <w:rPr>
          <w:color w:val="231F20"/>
          <w:spacing w:val="-7"/>
        </w:rPr>
        <w:t> </w:t>
      </w:r>
      <w:r>
        <w:rPr>
          <w:color w:val="231F20"/>
        </w:rPr>
        <w:t>in</w:t>
      </w:r>
      <w:r>
        <w:rPr>
          <w:color w:val="231F20"/>
          <w:spacing w:val="-7"/>
        </w:rPr>
        <w:t> </w:t>
      </w:r>
      <w:r>
        <w:rPr>
          <w:color w:val="231F20"/>
        </w:rPr>
        <w:t>the</w:t>
      </w:r>
      <w:r>
        <w:rPr>
          <w:color w:val="231F20"/>
          <w:spacing w:val="-7"/>
        </w:rPr>
        <w:t> </w:t>
      </w:r>
      <w:r>
        <w:rPr>
          <w:color w:val="231F20"/>
        </w:rPr>
        <w:t>United</w:t>
      </w:r>
      <w:r>
        <w:rPr>
          <w:color w:val="231F20"/>
          <w:spacing w:val="-7"/>
        </w:rPr>
        <w:t> </w:t>
      </w:r>
      <w:r>
        <w:rPr>
          <w:color w:val="231F20"/>
        </w:rPr>
        <w:t>States; “complete</w:t>
      </w:r>
      <w:r>
        <w:rPr>
          <w:color w:val="231F20"/>
          <w:spacing w:val="-1"/>
        </w:rPr>
        <w:t> </w:t>
      </w:r>
      <w:r>
        <w:rPr>
          <w:color w:val="231F20"/>
        </w:rPr>
        <w:t>prohibition</w:t>
      </w:r>
      <w:r>
        <w:rPr>
          <w:color w:val="231F20"/>
          <w:spacing w:val="-1"/>
        </w:rPr>
        <w:t> </w:t>
      </w:r>
      <w:r>
        <w:rPr>
          <w:color w:val="231F20"/>
        </w:rPr>
        <w:t>against</w:t>
      </w:r>
      <w:r>
        <w:rPr>
          <w:color w:val="231F20"/>
          <w:spacing w:val="-1"/>
        </w:rPr>
        <w:t> </w:t>
      </w:r>
      <w:r>
        <w:rPr>
          <w:color w:val="231F20"/>
        </w:rPr>
        <w:t>transfers or transactions of any kind” unless licensed; blocking of imports from Cuba; prohibition of the use of the </w:t>
      </w:r>
      <w:r>
        <w:rPr>
          <w:color w:val="231F20"/>
        </w:rPr>
        <w:t>U.S. dollar</w:t>
      </w:r>
      <w:r>
        <w:rPr>
          <w:color w:val="231F20"/>
          <w:spacing w:val="-13"/>
        </w:rPr>
        <w:t> </w:t>
      </w:r>
      <w:r>
        <w:rPr>
          <w:color w:val="231F20"/>
        </w:rPr>
        <w:t>for</w:t>
      </w:r>
      <w:r>
        <w:rPr>
          <w:color w:val="231F20"/>
          <w:spacing w:val="-13"/>
        </w:rPr>
        <w:t> </w:t>
      </w:r>
      <w:r>
        <w:rPr>
          <w:color w:val="231F20"/>
        </w:rPr>
        <w:t>transactions</w:t>
      </w:r>
      <w:r>
        <w:rPr>
          <w:color w:val="231F20"/>
          <w:spacing w:val="-13"/>
        </w:rPr>
        <w:t> </w:t>
      </w:r>
      <w:r>
        <w:rPr>
          <w:color w:val="231F20"/>
        </w:rPr>
        <w:t>with</w:t>
      </w:r>
      <w:r>
        <w:rPr>
          <w:color w:val="231F20"/>
          <w:spacing w:val="-13"/>
        </w:rPr>
        <w:t> </w:t>
      </w:r>
      <w:r>
        <w:rPr>
          <w:color w:val="231F20"/>
        </w:rPr>
        <w:t>Cuba</w:t>
      </w:r>
      <w:r>
        <w:rPr>
          <w:color w:val="231F20"/>
          <w:spacing w:val="-13"/>
        </w:rPr>
        <w:t> </w:t>
      </w:r>
      <w:r>
        <w:rPr>
          <w:color w:val="231F20"/>
        </w:rPr>
        <w:t>by</w:t>
      </w:r>
      <w:r>
        <w:rPr>
          <w:color w:val="231F20"/>
          <w:spacing w:val="-13"/>
        </w:rPr>
        <w:t> </w:t>
      </w:r>
      <w:r>
        <w:rPr>
          <w:color w:val="231F20"/>
        </w:rPr>
        <w:t>any individual</w:t>
      </w:r>
      <w:r>
        <w:rPr>
          <w:color w:val="231F20"/>
          <w:spacing w:val="-2"/>
        </w:rPr>
        <w:t> </w:t>
      </w:r>
      <w:r>
        <w:rPr>
          <w:color w:val="231F20"/>
        </w:rPr>
        <w:t>or</w:t>
      </w:r>
      <w:r>
        <w:rPr>
          <w:color w:val="231F20"/>
          <w:spacing w:val="-2"/>
        </w:rPr>
        <w:t> </w:t>
      </w:r>
      <w:r>
        <w:rPr>
          <w:color w:val="231F20"/>
        </w:rPr>
        <w:t>corporate</w:t>
      </w:r>
      <w:r>
        <w:rPr>
          <w:color w:val="231F20"/>
          <w:spacing w:val="-3"/>
        </w:rPr>
        <w:t> </w:t>
      </w:r>
      <w:r>
        <w:rPr>
          <w:color w:val="231F20"/>
        </w:rPr>
        <w:t>body,</w:t>
      </w:r>
      <w:r>
        <w:rPr>
          <w:color w:val="231F20"/>
          <w:spacing w:val="-2"/>
        </w:rPr>
        <w:t> </w:t>
      </w:r>
      <w:r>
        <w:rPr>
          <w:color w:val="231F20"/>
        </w:rPr>
        <w:t>American or foreign.</w:t>
      </w:r>
    </w:p>
    <w:p>
      <w:pPr>
        <w:pStyle w:val="BodyText"/>
        <w:spacing w:before="167"/>
        <w:ind w:left="1734"/>
      </w:pPr>
      <w:r>
        <w:rPr/>
        <mc:AlternateContent>
          <mc:Choice Requires="wps">
            <w:drawing>
              <wp:anchor distT="0" distB="0" distL="0" distR="0" allowOverlap="1" layoutInCell="1" locked="0" behindDoc="0" simplePos="0" relativeHeight="15785984">
                <wp:simplePos x="0" y="0"/>
                <wp:positionH relativeFrom="page">
                  <wp:posOffset>935997</wp:posOffset>
                </wp:positionH>
                <wp:positionV relativeFrom="paragraph">
                  <wp:posOffset>191048</wp:posOffset>
                </wp:positionV>
                <wp:extent cx="59690" cy="59690"/>
                <wp:effectExtent l="0" t="0" r="0" b="0"/>
                <wp:wrapNone/>
                <wp:docPr id="226" name="Graphic 226"/>
                <wp:cNvGraphicFramePr>
                  <a:graphicFrameLocks/>
                </wp:cNvGraphicFramePr>
                <a:graphic>
                  <a:graphicData uri="http://schemas.microsoft.com/office/word/2010/wordprocessingShape">
                    <wps:wsp>
                      <wps:cNvPr id="226" name="Graphic 22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043162pt;width:4.7pt;height:4.7pt;mso-position-horizontal-relative:page;mso-position-vertical-relative:paragraph;z-index:15785984" id="docshape192" coordorigin="1474,301" coordsize="94,94" path="m1521,301l1502,305,1488,315,1478,329,1474,347,1478,366,1488,380,1502,390,1521,394,1539,390,1554,380,1564,366,1567,347,1564,329,1554,315,1539,305,1521,301xe" filled="true" fillcolor="#1a4796" stroked="false">
                <v:path arrowok="t"/>
                <v:fill type="solid"/>
                <w10:wrap type="none"/>
              </v:shape>
            </w:pict>
          </mc:Fallback>
        </mc:AlternateContent>
      </w:r>
      <w:r>
        <w:rPr>
          <w:rFonts w:ascii="Segoe UI Semibold" w:hAnsi="Segoe UI Semibold"/>
          <w:b/>
          <w:color w:val="1A4796"/>
        </w:rPr>
        <w:t>Export Administration Act (1979): </w:t>
      </w:r>
      <w:r>
        <w:rPr>
          <w:color w:val="231F20"/>
        </w:rPr>
        <w:t>Section 2401 (b) (1) “National Security Control”,</w:t>
      </w:r>
      <w:r>
        <w:rPr>
          <w:color w:val="231F20"/>
          <w:spacing w:val="-17"/>
        </w:rPr>
        <w:t> </w:t>
      </w:r>
      <w:r>
        <w:rPr>
          <w:color w:val="231F20"/>
        </w:rPr>
        <w:t>“Policy</w:t>
      </w:r>
      <w:r>
        <w:rPr>
          <w:color w:val="231F20"/>
          <w:spacing w:val="-16"/>
        </w:rPr>
        <w:t> </w:t>
      </w:r>
      <w:r>
        <w:rPr>
          <w:color w:val="231F20"/>
        </w:rPr>
        <w:t>towards</w:t>
      </w:r>
      <w:r>
        <w:rPr>
          <w:color w:val="231F20"/>
          <w:spacing w:val="-17"/>
        </w:rPr>
        <w:t> </w:t>
      </w:r>
      <w:r>
        <w:rPr>
          <w:color w:val="231F20"/>
        </w:rPr>
        <w:t>certain</w:t>
      </w:r>
      <w:r>
        <w:rPr>
          <w:color w:val="231F20"/>
          <w:spacing w:val="-16"/>
        </w:rPr>
        <w:t> </w:t>
      </w:r>
      <w:r>
        <w:rPr>
          <w:color w:val="231F20"/>
        </w:rPr>
        <w:t>States” establishes</w:t>
      </w:r>
      <w:r>
        <w:rPr>
          <w:color w:val="231F20"/>
          <w:spacing w:val="40"/>
        </w:rPr>
        <w:t> </w:t>
      </w:r>
      <w:r>
        <w:rPr>
          <w:color w:val="231F20"/>
        </w:rPr>
        <w:t>the</w:t>
      </w:r>
      <w:r>
        <w:rPr>
          <w:color w:val="231F20"/>
          <w:spacing w:val="40"/>
        </w:rPr>
        <w:t> </w:t>
      </w:r>
      <w:r>
        <w:rPr>
          <w:color w:val="231F20"/>
        </w:rPr>
        <w:t>Commerce</w:t>
      </w:r>
      <w:r>
        <w:rPr>
          <w:color w:val="231F20"/>
          <w:spacing w:val="40"/>
        </w:rPr>
        <w:t> </w:t>
      </w:r>
      <w:r>
        <w:rPr>
          <w:color w:val="231F20"/>
        </w:rPr>
        <w:t>Control List, under which the U.S. </w:t>
      </w:r>
      <w:r>
        <w:rPr>
          <w:color w:val="231F20"/>
        </w:rPr>
        <w:t>president designates certain countries to which special export restrictions are applied for</w:t>
      </w:r>
      <w:r>
        <w:rPr>
          <w:color w:val="231F20"/>
          <w:spacing w:val="-5"/>
        </w:rPr>
        <w:t> </w:t>
      </w:r>
      <w:r>
        <w:rPr>
          <w:color w:val="231F20"/>
        </w:rPr>
        <w:t>reasons</w:t>
      </w:r>
      <w:r>
        <w:rPr>
          <w:color w:val="231F20"/>
          <w:spacing w:val="-5"/>
        </w:rPr>
        <w:t> </w:t>
      </w:r>
      <w:r>
        <w:rPr>
          <w:color w:val="231F20"/>
        </w:rPr>
        <w:t>of</w:t>
      </w:r>
      <w:r>
        <w:rPr>
          <w:color w:val="231F20"/>
          <w:spacing w:val="-5"/>
        </w:rPr>
        <w:t> </w:t>
      </w:r>
      <w:r>
        <w:rPr>
          <w:color w:val="231F20"/>
        </w:rPr>
        <w:t>national</w:t>
      </w:r>
      <w:r>
        <w:rPr>
          <w:color w:val="231F20"/>
          <w:spacing w:val="-5"/>
        </w:rPr>
        <w:t> </w:t>
      </w:r>
      <w:r>
        <w:rPr>
          <w:color w:val="231F20"/>
        </w:rPr>
        <w:t>security.</w:t>
      </w:r>
      <w:r>
        <w:rPr>
          <w:color w:val="231F20"/>
          <w:spacing w:val="-5"/>
        </w:rPr>
        <w:t> </w:t>
      </w:r>
      <w:r>
        <w:rPr>
          <w:color w:val="231F20"/>
        </w:rPr>
        <w:t>Cuba</w:t>
      </w:r>
      <w:r>
        <w:rPr>
          <w:color w:val="231F20"/>
          <w:spacing w:val="-5"/>
        </w:rPr>
        <w:t> </w:t>
      </w:r>
      <w:r>
        <w:rPr>
          <w:color w:val="231F20"/>
        </w:rPr>
        <w:t>is included on this list.</w:t>
      </w:r>
    </w:p>
    <w:p>
      <w:pPr>
        <w:pStyle w:val="BodyText"/>
        <w:spacing w:before="167"/>
        <w:ind w:left="1734"/>
      </w:pPr>
      <w:r>
        <w:rPr/>
        <mc:AlternateContent>
          <mc:Choice Requires="wps">
            <w:drawing>
              <wp:anchor distT="0" distB="0" distL="0" distR="0" allowOverlap="1" layoutInCell="1" locked="0" behindDoc="0" simplePos="0" relativeHeight="15786496">
                <wp:simplePos x="0" y="0"/>
                <wp:positionH relativeFrom="page">
                  <wp:posOffset>935997</wp:posOffset>
                </wp:positionH>
                <wp:positionV relativeFrom="paragraph">
                  <wp:posOffset>190988</wp:posOffset>
                </wp:positionV>
                <wp:extent cx="59690" cy="59690"/>
                <wp:effectExtent l="0" t="0" r="0" b="0"/>
                <wp:wrapNone/>
                <wp:docPr id="227" name="Graphic 227"/>
                <wp:cNvGraphicFramePr>
                  <a:graphicFrameLocks/>
                </wp:cNvGraphicFramePr>
                <a:graphic>
                  <a:graphicData uri="http://schemas.microsoft.com/office/word/2010/wordprocessingShape">
                    <wps:wsp>
                      <wps:cNvPr id="227" name="Graphic 22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038425pt;width:4.7pt;height:4.7pt;mso-position-horizontal-relative:page;mso-position-vertical-relative:paragraph;z-index:15786496" id="docshape193" coordorigin="1474,301" coordsize="94,94" path="m1521,301l1502,304,1488,314,1478,329,1474,347,1478,366,1488,380,1502,390,1521,394,1539,390,1554,380,1564,366,1567,347,1564,329,1554,314,1539,304,1521,301xe" filled="true" fillcolor="#1a4796" stroked="false">
                <v:path arrowok="t"/>
                <v:fill type="solid"/>
                <w10:wrap type="none"/>
              </v:shape>
            </w:pict>
          </mc:Fallback>
        </mc:AlternateContent>
      </w:r>
      <w:r>
        <w:rPr>
          <w:rFonts w:ascii="Segoe UI Semibold"/>
          <w:b/>
          <w:color w:val="1A4796"/>
        </w:rPr>
        <w:t>Export Administration Regulations (EAR, 1979): </w:t>
      </w:r>
      <w:r>
        <w:rPr>
          <w:color w:val="231F20"/>
        </w:rPr>
        <w:t>Determines the basis for general restrictions applying to articles and</w:t>
      </w:r>
      <w:r>
        <w:rPr>
          <w:color w:val="231F20"/>
          <w:spacing w:val="-15"/>
        </w:rPr>
        <w:t> </w:t>
      </w:r>
      <w:r>
        <w:rPr>
          <w:color w:val="231F20"/>
        </w:rPr>
        <w:t>activities</w:t>
      </w:r>
      <w:r>
        <w:rPr>
          <w:color w:val="231F20"/>
          <w:spacing w:val="-15"/>
        </w:rPr>
        <w:t> </w:t>
      </w:r>
      <w:r>
        <w:rPr>
          <w:color w:val="231F20"/>
        </w:rPr>
        <w:t>subject</w:t>
      </w:r>
      <w:r>
        <w:rPr>
          <w:color w:val="231F20"/>
          <w:spacing w:val="-15"/>
        </w:rPr>
        <w:t> </w:t>
      </w:r>
      <w:r>
        <w:rPr>
          <w:color w:val="231F20"/>
        </w:rPr>
        <w:t>to</w:t>
      </w:r>
      <w:r>
        <w:rPr>
          <w:color w:val="231F20"/>
          <w:spacing w:val="-15"/>
        </w:rPr>
        <w:t> </w:t>
      </w:r>
      <w:r>
        <w:rPr>
          <w:color w:val="231F20"/>
        </w:rPr>
        <w:t>the</w:t>
      </w:r>
      <w:r>
        <w:rPr>
          <w:color w:val="231F20"/>
          <w:spacing w:val="-15"/>
        </w:rPr>
        <w:t> </w:t>
      </w:r>
      <w:r>
        <w:rPr>
          <w:color w:val="231F20"/>
        </w:rPr>
        <w:t>regulations, in line with the measures imposed by Washington. It sets a general policy of prohibition on exports and re-exports to Cuba.</w:t>
      </w:r>
    </w:p>
    <w:p>
      <w:pPr>
        <w:pStyle w:val="BodyText"/>
        <w:spacing w:before="166"/>
        <w:ind w:left="1734" w:right="1"/>
      </w:pPr>
      <w:r>
        <w:rPr/>
        <mc:AlternateContent>
          <mc:Choice Requires="wps">
            <w:drawing>
              <wp:anchor distT="0" distB="0" distL="0" distR="0" allowOverlap="1" layoutInCell="1" locked="0" behindDoc="0" simplePos="0" relativeHeight="15787008">
                <wp:simplePos x="0" y="0"/>
                <wp:positionH relativeFrom="page">
                  <wp:posOffset>935997</wp:posOffset>
                </wp:positionH>
                <wp:positionV relativeFrom="paragraph">
                  <wp:posOffset>187711</wp:posOffset>
                </wp:positionV>
                <wp:extent cx="59690" cy="59690"/>
                <wp:effectExtent l="0" t="0" r="0" b="0"/>
                <wp:wrapNone/>
                <wp:docPr id="228" name="Graphic 228"/>
                <wp:cNvGraphicFramePr>
                  <a:graphicFrameLocks/>
                </wp:cNvGraphicFramePr>
                <a:graphic>
                  <a:graphicData uri="http://schemas.microsoft.com/office/word/2010/wordprocessingShape">
                    <wps:wsp>
                      <wps:cNvPr id="228" name="Graphic 22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780425pt;width:4.7pt;height:4.7pt;mso-position-horizontal-relative:page;mso-position-vertical-relative:paragraph;z-index:15787008" id="docshape194" coordorigin="1474,296" coordsize="94,94" path="m1521,296l1502,299,1488,309,1478,324,1474,342,1478,360,1488,375,1502,385,1521,389,1539,385,1554,375,1564,360,1567,342,1564,324,1554,309,1539,299,1521,296xe" filled="true" fillcolor="#1a4796" stroked="false">
                <v:path arrowok="t"/>
                <v:fill type="solid"/>
                <w10:wrap type="none"/>
              </v:shape>
            </w:pict>
          </mc:Fallback>
        </mc:AlternateContent>
      </w:r>
      <w:r>
        <w:rPr>
          <w:rFonts w:ascii="Segoe UI Semibold"/>
          <w:b/>
          <w:color w:val="1A4796"/>
        </w:rPr>
        <w:t>The</w:t>
      </w:r>
      <w:r>
        <w:rPr>
          <w:rFonts w:ascii="Segoe UI Semibold"/>
          <w:b/>
          <w:color w:val="1A4796"/>
          <w:spacing w:val="-13"/>
        </w:rPr>
        <w:t> </w:t>
      </w:r>
      <w:r>
        <w:rPr>
          <w:rFonts w:ascii="Segoe UI Semibold"/>
          <w:b/>
          <w:color w:val="1A4796"/>
        </w:rPr>
        <w:t>Cuban</w:t>
      </w:r>
      <w:r>
        <w:rPr>
          <w:rFonts w:ascii="Segoe UI Semibold"/>
          <w:b/>
          <w:color w:val="1A4796"/>
          <w:spacing w:val="-13"/>
        </w:rPr>
        <w:t> </w:t>
      </w:r>
      <w:r>
        <w:rPr>
          <w:rFonts w:ascii="Segoe UI Semibold"/>
          <w:b/>
          <w:color w:val="1A4796"/>
        </w:rPr>
        <w:t>Democracy</w:t>
      </w:r>
      <w:r>
        <w:rPr>
          <w:rFonts w:ascii="Segoe UI Semibold"/>
          <w:b/>
          <w:color w:val="1A4796"/>
          <w:spacing w:val="-12"/>
        </w:rPr>
        <w:t> </w:t>
      </w:r>
      <w:r>
        <w:rPr>
          <w:rFonts w:ascii="Segoe UI Semibold"/>
          <w:b/>
          <w:color w:val="1A4796"/>
        </w:rPr>
        <w:t>Act</w:t>
      </w:r>
      <w:r>
        <w:rPr>
          <w:rFonts w:ascii="Segoe UI Semibold"/>
          <w:b/>
          <w:color w:val="1A4796"/>
          <w:spacing w:val="-13"/>
        </w:rPr>
        <w:t> </w:t>
      </w:r>
      <w:r>
        <w:rPr>
          <w:rFonts w:ascii="Segoe UI Semibold"/>
          <w:b/>
          <w:color w:val="1A4796"/>
        </w:rPr>
        <w:t>or</w:t>
      </w:r>
      <w:r>
        <w:rPr>
          <w:rFonts w:ascii="Segoe UI Semibold"/>
          <w:b/>
          <w:color w:val="1A4796"/>
          <w:spacing w:val="-13"/>
        </w:rPr>
        <w:t> </w:t>
      </w:r>
      <w:r>
        <w:rPr>
          <w:rFonts w:ascii="Segoe UI Semibold"/>
          <w:b/>
          <w:color w:val="1A4796"/>
        </w:rPr>
        <w:t>Torricelli Act</w:t>
      </w:r>
      <w:r>
        <w:rPr>
          <w:rFonts w:ascii="Segoe UI Semibold"/>
          <w:b/>
          <w:color w:val="1A4796"/>
          <w:spacing w:val="70"/>
          <w:w w:val="150"/>
        </w:rPr>
        <w:t> </w:t>
      </w:r>
      <w:r>
        <w:rPr>
          <w:rFonts w:ascii="Segoe UI Semibold"/>
          <w:b/>
          <w:color w:val="1A4796"/>
        </w:rPr>
        <w:t>(1992):</w:t>
      </w:r>
      <w:r>
        <w:rPr>
          <w:rFonts w:ascii="Segoe UI Semibold"/>
          <w:b/>
          <w:color w:val="1A4796"/>
          <w:spacing w:val="69"/>
          <w:w w:val="150"/>
        </w:rPr>
        <w:t> </w:t>
      </w:r>
      <w:r>
        <w:rPr>
          <w:color w:val="231F20"/>
        </w:rPr>
        <w:t>Prohibits</w:t>
      </w:r>
      <w:r>
        <w:rPr>
          <w:color w:val="231F20"/>
          <w:spacing w:val="70"/>
          <w:w w:val="150"/>
        </w:rPr>
        <w:t> </w:t>
      </w:r>
      <w:r>
        <w:rPr>
          <w:color w:val="231F20"/>
        </w:rPr>
        <w:t>subsidiaries</w:t>
      </w:r>
      <w:r>
        <w:rPr>
          <w:color w:val="231F20"/>
          <w:spacing w:val="71"/>
          <w:w w:val="150"/>
        </w:rPr>
        <w:t> </w:t>
      </w:r>
      <w:r>
        <w:rPr>
          <w:color w:val="231F20"/>
          <w:spacing w:val="-5"/>
        </w:rPr>
        <w:t>of</w:t>
      </w:r>
    </w:p>
    <w:p>
      <w:pPr>
        <w:pStyle w:val="BodyText"/>
        <w:spacing w:before="2"/>
        <w:ind w:left="1734"/>
      </w:pPr>
      <w:r>
        <w:rPr>
          <w:color w:val="231F20"/>
        </w:rPr>
        <w:t>U.S. companies in third countries from trading in goods with Cuba or </w:t>
      </w:r>
      <w:r>
        <w:rPr>
          <w:color w:val="231F20"/>
        </w:rPr>
        <w:t>Cuban nationals. It prohibits vessels of any third country that have docked at any Cuban port from entering U.S. territory for</w:t>
      </w:r>
      <w:r>
        <w:rPr>
          <w:color w:val="231F20"/>
          <w:spacing w:val="-16"/>
        </w:rPr>
        <w:t> </w:t>
      </w:r>
      <w:r>
        <w:rPr>
          <w:color w:val="231F20"/>
        </w:rPr>
        <w:t>180</w:t>
      </w:r>
      <w:r>
        <w:rPr>
          <w:color w:val="231F20"/>
          <w:spacing w:val="-16"/>
        </w:rPr>
        <w:t> </w:t>
      </w:r>
      <w:r>
        <w:rPr>
          <w:color w:val="231F20"/>
        </w:rPr>
        <w:t>days,</w:t>
      </w:r>
      <w:r>
        <w:rPr>
          <w:color w:val="231F20"/>
          <w:spacing w:val="-16"/>
        </w:rPr>
        <w:t> </w:t>
      </w:r>
      <w:r>
        <w:rPr>
          <w:color w:val="231F20"/>
        </w:rPr>
        <w:t>unless</w:t>
      </w:r>
      <w:r>
        <w:rPr>
          <w:color w:val="231F20"/>
          <w:spacing w:val="-16"/>
        </w:rPr>
        <w:t> </w:t>
      </w:r>
      <w:r>
        <w:rPr>
          <w:color w:val="231F20"/>
        </w:rPr>
        <w:t>specifically</w:t>
      </w:r>
      <w:r>
        <w:rPr>
          <w:color w:val="231F20"/>
          <w:spacing w:val="-16"/>
        </w:rPr>
        <w:t> </w:t>
      </w:r>
      <w:r>
        <w:rPr>
          <w:color w:val="231F20"/>
        </w:rPr>
        <w:t>licensed by the Secretary of the Treasury.</w:t>
      </w:r>
    </w:p>
    <w:p>
      <w:pPr>
        <w:pStyle w:val="BodyText"/>
        <w:spacing w:before="165"/>
        <w:ind w:left="1734"/>
      </w:pPr>
      <w:r>
        <w:rPr/>
        <mc:AlternateContent>
          <mc:Choice Requires="wps">
            <w:drawing>
              <wp:anchor distT="0" distB="0" distL="0" distR="0" allowOverlap="1" layoutInCell="1" locked="0" behindDoc="0" simplePos="0" relativeHeight="15787520">
                <wp:simplePos x="0" y="0"/>
                <wp:positionH relativeFrom="page">
                  <wp:posOffset>935997</wp:posOffset>
                </wp:positionH>
                <wp:positionV relativeFrom="paragraph">
                  <wp:posOffset>189896</wp:posOffset>
                </wp:positionV>
                <wp:extent cx="59690" cy="59690"/>
                <wp:effectExtent l="0" t="0" r="0" b="0"/>
                <wp:wrapNone/>
                <wp:docPr id="229" name="Graphic 229"/>
                <wp:cNvGraphicFramePr>
                  <a:graphicFrameLocks/>
                </wp:cNvGraphicFramePr>
                <a:graphic>
                  <a:graphicData uri="http://schemas.microsoft.com/office/word/2010/wordprocessingShape">
                    <wps:wsp>
                      <wps:cNvPr id="229" name="Graphic 22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952488pt;width:4.7pt;height:4.7pt;mso-position-horizontal-relative:page;mso-position-vertical-relative:paragraph;z-index:15787520" id="docshape195" coordorigin="1474,299" coordsize="94,94" path="m1521,299l1502,303,1488,313,1478,328,1474,346,1478,364,1488,379,1502,389,1521,392,1539,389,1554,379,1564,364,1567,346,1564,328,1554,313,1539,303,1521,299xe" filled="true" fillcolor="#1a4796" stroked="false">
                <v:path arrowok="t"/>
                <v:fill type="solid"/>
                <w10:wrap type="none"/>
              </v:shape>
            </w:pict>
          </mc:Fallback>
        </mc:AlternateContent>
      </w:r>
      <w:r>
        <w:rPr>
          <w:rFonts w:ascii="Segoe UI Semibold"/>
          <w:b/>
          <w:color w:val="1A4796"/>
        </w:rPr>
        <w:t>The Cuban Liberty and Democratic Solidarity Act or Helms-Burton Act (1996): </w:t>
      </w:r>
      <w:r>
        <w:rPr>
          <w:color w:val="231F20"/>
        </w:rPr>
        <w:t>Codifies the provisions of the blockade</w:t>
      </w:r>
      <w:r>
        <w:rPr>
          <w:color w:val="231F20"/>
          <w:spacing w:val="-15"/>
        </w:rPr>
        <w:t> </w:t>
      </w:r>
      <w:r>
        <w:rPr>
          <w:color w:val="231F20"/>
        </w:rPr>
        <w:t>and</w:t>
      </w:r>
      <w:r>
        <w:rPr>
          <w:color w:val="231F20"/>
          <w:spacing w:val="-15"/>
        </w:rPr>
        <w:t> </w:t>
      </w:r>
      <w:r>
        <w:rPr>
          <w:color w:val="231F20"/>
        </w:rPr>
        <w:t>extends</w:t>
      </w:r>
      <w:r>
        <w:rPr>
          <w:color w:val="231F20"/>
          <w:spacing w:val="-15"/>
        </w:rPr>
        <w:t> </w:t>
      </w:r>
      <w:r>
        <w:rPr>
          <w:color w:val="231F20"/>
        </w:rPr>
        <w:t>its</w:t>
      </w:r>
      <w:r>
        <w:rPr>
          <w:color w:val="231F20"/>
          <w:spacing w:val="-15"/>
        </w:rPr>
        <w:t> </w:t>
      </w:r>
      <w:r>
        <w:rPr>
          <w:color w:val="231F20"/>
        </w:rPr>
        <w:t>extraterritorial scope by authorizing the </w:t>
      </w:r>
      <w:r>
        <w:rPr>
          <w:color w:val="231F20"/>
        </w:rPr>
        <w:t>sanctioning</w:t>
      </w:r>
      <w:r>
        <w:rPr>
          <w:color w:val="231F20"/>
          <w:spacing w:val="40"/>
        </w:rPr>
        <w:t> </w:t>
      </w:r>
      <w:r>
        <w:rPr>
          <w:color w:val="231F20"/>
        </w:rPr>
        <w:t>of executives of foreign companies</w:t>
      </w:r>
      <w:r>
        <w:rPr>
          <w:color w:val="231F20"/>
          <w:spacing w:val="40"/>
        </w:rPr>
        <w:t> </w:t>
      </w:r>
      <w:r>
        <w:rPr>
          <w:color w:val="231F20"/>
        </w:rPr>
        <w:t>who</w:t>
      </w:r>
      <w:r>
        <w:rPr>
          <w:color w:val="231F20"/>
          <w:spacing w:val="60"/>
        </w:rPr>
        <w:t> </w:t>
      </w:r>
      <w:r>
        <w:rPr>
          <w:color w:val="231F20"/>
        </w:rPr>
        <w:t>undertake</w:t>
      </w:r>
      <w:r>
        <w:rPr>
          <w:color w:val="231F20"/>
          <w:spacing w:val="60"/>
        </w:rPr>
        <w:t> </w:t>
      </w:r>
      <w:r>
        <w:rPr>
          <w:color w:val="231F20"/>
        </w:rPr>
        <w:t>transactions</w:t>
      </w:r>
      <w:r>
        <w:rPr>
          <w:color w:val="231F20"/>
          <w:spacing w:val="60"/>
        </w:rPr>
        <w:t> </w:t>
      </w:r>
      <w:r>
        <w:rPr>
          <w:color w:val="231F20"/>
        </w:rPr>
        <w:t>with</w:t>
      </w:r>
      <w:r>
        <w:rPr>
          <w:color w:val="231F20"/>
          <w:spacing w:val="61"/>
        </w:rPr>
        <w:t> </w:t>
      </w:r>
      <w:r>
        <w:rPr>
          <w:color w:val="231F20"/>
          <w:spacing w:val="-4"/>
        </w:rPr>
        <w:t>U.S.</w:t>
      </w:r>
    </w:p>
    <w:p>
      <w:pPr>
        <w:pStyle w:val="BodyText"/>
        <w:spacing w:before="77"/>
        <w:ind w:left="673" w:right="1131"/>
      </w:pPr>
      <w:r>
        <w:rPr/>
        <w:br w:type="column"/>
      </w:r>
      <w:r>
        <w:rPr>
          <w:color w:val="231F20"/>
        </w:rPr>
        <w:t>property nationalized in Cuba, </w:t>
      </w:r>
      <w:r>
        <w:rPr>
          <w:color w:val="231F20"/>
        </w:rPr>
        <w:t>while permitting</w:t>
      </w:r>
      <w:r>
        <w:rPr>
          <w:color w:val="231F20"/>
          <w:spacing w:val="-13"/>
        </w:rPr>
        <w:t> </w:t>
      </w:r>
      <w:r>
        <w:rPr>
          <w:color w:val="231F20"/>
        </w:rPr>
        <w:t>legal</w:t>
      </w:r>
      <w:r>
        <w:rPr>
          <w:color w:val="231F20"/>
          <w:spacing w:val="-13"/>
        </w:rPr>
        <w:t> </w:t>
      </w:r>
      <w:r>
        <w:rPr>
          <w:color w:val="231F20"/>
        </w:rPr>
        <w:t>action</w:t>
      </w:r>
      <w:r>
        <w:rPr>
          <w:color w:val="231F20"/>
          <w:spacing w:val="-13"/>
        </w:rPr>
        <w:t> </w:t>
      </w:r>
      <w:r>
        <w:rPr>
          <w:color w:val="231F20"/>
        </w:rPr>
        <w:t>through</w:t>
      </w:r>
      <w:r>
        <w:rPr>
          <w:color w:val="231F20"/>
          <w:spacing w:val="-13"/>
        </w:rPr>
        <w:t> </w:t>
      </w:r>
      <w:r>
        <w:rPr>
          <w:color w:val="231F20"/>
        </w:rPr>
        <w:t>the</w:t>
      </w:r>
      <w:r>
        <w:rPr>
          <w:color w:val="231F20"/>
          <w:spacing w:val="-13"/>
        </w:rPr>
        <w:t> </w:t>
      </w:r>
      <w:r>
        <w:rPr>
          <w:color w:val="231F20"/>
        </w:rPr>
        <w:t>U.S. courts in this respect. It also restricts the president’s prerogatives as regards lifting the blockade as a whole.</w:t>
      </w:r>
    </w:p>
    <w:p>
      <w:pPr>
        <w:pStyle w:val="BodyText"/>
        <w:spacing w:before="164"/>
        <w:ind w:left="673" w:right="1132" w:hanging="261"/>
      </w:pPr>
      <w:r>
        <w:rPr>
          <w:position w:val="3"/>
        </w:rPr>
        <w:drawing>
          <wp:inline distT="0" distB="0" distL="0" distR="0">
            <wp:extent cx="59207" cy="59207"/>
            <wp:effectExtent l="0" t="0" r="0" b="0"/>
            <wp:docPr id="230" name="Image 230"/>
            <wp:cNvGraphicFramePr>
              <a:graphicFrameLocks/>
            </wp:cNvGraphicFramePr>
            <a:graphic>
              <a:graphicData uri="http://schemas.openxmlformats.org/drawingml/2006/picture">
                <pic:pic>
                  <pic:nvPicPr>
                    <pic:cNvPr id="230" name="Image 230"/>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sz w:val="20"/>
        </w:rPr>
        <w:t> </w:t>
      </w:r>
      <w:r>
        <w:rPr>
          <w:rFonts w:ascii="Segoe UI Semibold"/>
          <w:b/>
          <w:color w:val="1A4796"/>
        </w:rPr>
        <w:t>Section 211 of the Emergency Supplemental Appropriations Act for the 1999 fiscal year: </w:t>
      </w:r>
      <w:r>
        <w:rPr>
          <w:color w:val="231F20"/>
        </w:rPr>
        <w:t>Prohibits the U.S. courts</w:t>
      </w:r>
      <w:r>
        <w:rPr>
          <w:color w:val="231F20"/>
          <w:spacing w:val="80"/>
        </w:rPr>
        <w:t> </w:t>
      </w:r>
      <w:r>
        <w:rPr>
          <w:color w:val="231F20"/>
        </w:rPr>
        <w:t>from</w:t>
      </w:r>
      <w:r>
        <w:rPr>
          <w:color w:val="231F20"/>
          <w:spacing w:val="80"/>
        </w:rPr>
        <w:t> </w:t>
      </w:r>
      <w:r>
        <w:rPr>
          <w:color w:val="231F20"/>
        </w:rPr>
        <w:t>recognizing</w:t>
      </w:r>
      <w:r>
        <w:rPr>
          <w:color w:val="231F20"/>
          <w:spacing w:val="80"/>
        </w:rPr>
        <w:t> </w:t>
      </w:r>
      <w:r>
        <w:rPr>
          <w:color w:val="231F20"/>
        </w:rPr>
        <w:t>the</w:t>
      </w:r>
      <w:r>
        <w:rPr>
          <w:color w:val="231F20"/>
          <w:spacing w:val="80"/>
        </w:rPr>
        <w:t> </w:t>
      </w:r>
      <w:r>
        <w:rPr>
          <w:color w:val="231F20"/>
        </w:rPr>
        <w:t>rights of Cuban companies to trademarks associated with nationalized assets.</w:t>
      </w:r>
    </w:p>
    <w:p>
      <w:pPr>
        <w:pStyle w:val="BodyText"/>
        <w:spacing w:before="164"/>
        <w:ind w:left="673" w:right="1131" w:hanging="261"/>
      </w:pPr>
      <w:r>
        <w:rPr>
          <w:position w:val="3"/>
        </w:rPr>
        <w:drawing>
          <wp:inline distT="0" distB="0" distL="0" distR="0">
            <wp:extent cx="59207" cy="59207"/>
            <wp:effectExtent l="0" t="0" r="0" b="0"/>
            <wp:docPr id="231" name="Image 231"/>
            <wp:cNvGraphicFramePr>
              <a:graphicFrameLocks/>
            </wp:cNvGraphicFramePr>
            <a:graphic>
              <a:graphicData uri="http://schemas.openxmlformats.org/drawingml/2006/picture">
                <pic:pic>
                  <pic:nvPicPr>
                    <pic:cNvPr id="231" name="Image 231"/>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spacing w:val="13"/>
          <w:sz w:val="20"/>
        </w:rPr>
        <w:t> </w:t>
      </w:r>
      <w:r>
        <w:rPr>
          <w:rFonts w:ascii="Segoe UI Semibold"/>
          <w:b/>
          <w:color w:val="1A4796"/>
        </w:rPr>
        <w:t>The</w:t>
      </w:r>
      <w:r>
        <w:rPr>
          <w:rFonts w:ascii="Segoe UI Semibold"/>
          <w:b/>
          <w:color w:val="1A4796"/>
          <w:spacing w:val="-16"/>
        </w:rPr>
        <w:t> </w:t>
      </w:r>
      <w:r>
        <w:rPr>
          <w:rFonts w:ascii="Segoe UI Semibold"/>
          <w:b/>
          <w:color w:val="1A4796"/>
        </w:rPr>
        <w:t>Trade</w:t>
      </w:r>
      <w:r>
        <w:rPr>
          <w:rFonts w:ascii="Segoe UI Semibold"/>
          <w:b/>
          <w:color w:val="1A4796"/>
          <w:spacing w:val="-17"/>
        </w:rPr>
        <w:t> </w:t>
      </w:r>
      <w:r>
        <w:rPr>
          <w:rFonts w:ascii="Segoe UI Semibold"/>
          <w:b/>
          <w:color w:val="1A4796"/>
        </w:rPr>
        <w:t>Sanctions</w:t>
      </w:r>
      <w:r>
        <w:rPr>
          <w:rFonts w:ascii="Segoe UI Semibold"/>
          <w:b/>
          <w:color w:val="1A4796"/>
          <w:spacing w:val="-16"/>
        </w:rPr>
        <w:t> </w:t>
      </w:r>
      <w:r>
        <w:rPr>
          <w:rFonts w:ascii="Segoe UI Semibold"/>
          <w:b/>
          <w:color w:val="1A4796"/>
        </w:rPr>
        <w:t>Reform</w:t>
      </w:r>
      <w:r>
        <w:rPr>
          <w:rFonts w:ascii="Segoe UI Semibold"/>
          <w:b/>
          <w:color w:val="1A4796"/>
          <w:spacing w:val="-17"/>
        </w:rPr>
        <w:t> </w:t>
      </w:r>
      <w:r>
        <w:rPr>
          <w:rFonts w:ascii="Segoe UI Semibold"/>
          <w:b/>
          <w:color w:val="1A4796"/>
        </w:rPr>
        <w:t>and</w:t>
      </w:r>
      <w:r>
        <w:rPr>
          <w:rFonts w:ascii="Segoe UI Semibold"/>
          <w:b/>
          <w:color w:val="1A4796"/>
          <w:spacing w:val="-16"/>
        </w:rPr>
        <w:t> </w:t>
      </w:r>
      <w:r>
        <w:rPr>
          <w:rFonts w:ascii="Segoe UI Semibold"/>
          <w:b/>
          <w:color w:val="1A4796"/>
        </w:rPr>
        <w:t>Export Enhancement Act (2000): </w:t>
      </w:r>
      <w:r>
        <w:rPr>
          <w:color w:val="231F20"/>
        </w:rPr>
        <w:t>Authorized the export of agricultural products to </w:t>
      </w:r>
      <w:r>
        <w:rPr>
          <w:color w:val="231F20"/>
          <w:spacing w:val="-6"/>
        </w:rPr>
        <w:t>Cuba</w:t>
      </w:r>
      <w:r>
        <w:rPr>
          <w:color w:val="231F20"/>
          <w:spacing w:val="-10"/>
        </w:rPr>
        <w:t> </w:t>
      </w:r>
      <w:r>
        <w:rPr>
          <w:color w:val="231F20"/>
          <w:spacing w:val="-6"/>
        </w:rPr>
        <w:t>subject</w:t>
      </w:r>
      <w:r>
        <w:rPr>
          <w:color w:val="231F20"/>
          <w:spacing w:val="-10"/>
        </w:rPr>
        <w:t> </w:t>
      </w:r>
      <w:r>
        <w:rPr>
          <w:color w:val="231F20"/>
          <w:spacing w:val="-6"/>
        </w:rPr>
        <w:t>to</w:t>
      </w:r>
      <w:r>
        <w:rPr>
          <w:color w:val="231F20"/>
          <w:spacing w:val="-10"/>
        </w:rPr>
        <w:t> </w:t>
      </w:r>
      <w:r>
        <w:rPr>
          <w:color w:val="231F20"/>
          <w:spacing w:val="-6"/>
        </w:rPr>
        <w:t>cash</w:t>
      </w:r>
      <w:r>
        <w:rPr>
          <w:color w:val="231F20"/>
          <w:spacing w:val="-10"/>
        </w:rPr>
        <w:t> </w:t>
      </w:r>
      <w:r>
        <w:rPr>
          <w:color w:val="231F20"/>
          <w:spacing w:val="-6"/>
        </w:rPr>
        <w:t>payment</w:t>
      </w:r>
      <w:r>
        <w:rPr>
          <w:color w:val="231F20"/>
          <w:spacing w:val="-10"/>
        </w:rPr>
        <w:t> </w:t>
      </w:r>
      <w:r>
        <w:rPr>
          <w:color w:val="231F20"/>
          <w:spacing w:val="-6"/>
        </w:rPr>
        <w:t>in</w:t>
      </w:r>
      <w:r>
        <w:rPr>
          <w:color w:val="231F20"/>
          <w:spacing w:val="-10"/>
        </w:rPr>
        <w:t> </w:t>
      </w:r>
      <w:r>
        <w:rPr>
          <w:color w:val="231F20"/>
          <w:spacing w:val="-6"/>
        </w:rPr>
        <w:t>advance </w:t>
      </w:r>
      <w:r>
        <w:rPr>
          <w:color w:val="231F20"/>
        </w:rPr>
        <w:t>and</w:t>
      </w:r>
      <w:r>
        <w:rPr>
          <w:color w:val="231F20"/>
          <w:spacing w:val="-13"/>
        </w:rPr>
        <w:t> </w:t>
      </w:r>
      <w:r>
        <w:rPr>
          <w:color w:val="231F20"/>
        </w:rPr>
        <w:t>without</w:t>
      </w:r>
      <w:r>
        <w:rPr>
          <w:color w:val="231F20"/>
          <w:spacing w:val="-12"/>
        </w:rPr>
        <w:t> </w:t>
      </w:r>
      <w:r>
        <w:rPr>
          <w:color w:val="231F20"/>
        </w:rPr>
        <w:t>U.S.</w:t>
      </w:r>
      <w:r>
        <w:rPr>
          <w:color w:val="231F20"/>
          <w:spacing w:val="-12"/>
        </w:rPr>
        <w:t> </w:t>
      </w:r>
      <w:r>
        <w:rPr>
          <w:color w:val="231F20"/>
        </w:rPr>
        <w:t>financing.</w:t>
      </w:r>
      <w:r>
        <w:rPr>
          <w:color w:val="231F20"/>
          <w:spacing w:val="-12"/>
        </w:rPr>
        <w:t> </w:t>
      </w:r>
      <w:r>
        <w:rPr>
          <w:color w:val="231F20"/>
        </w:rPr>
        <w:t>It</w:t>
      </w:r>
      <w:r>
        <w:rPr>
          <w:color w:val="231F20"/>
          <w:spacing w:val="-12"/>
        </w:rPr>
        <w:t> </w:t>
      </w:r>
      <w:r>
        <w:rPr>
          <w:color w:val="231F20"/>
          <w:spacing w:val="-2"/>
        </w:rPr>
        <w:t>prohibited</w:t>
      </w:r>
    </w:p>
    <w:p>
      <w:pPr>
        <w:pStyle w:val="BodyText"/>
        <w:spacing w:before="4"/>
        <w:ind w:left="673" w:right="1131"/>
      </w:pPr>
      <w:r>
        <w:rPr>
          <w:color w:val="231F20"/>
        </w:rPr>
        <w:t>U.S. citizens from visiting Cuba for the purposes of tourism, defined as any activity related to travel to, from, or within Cuba not expressly </w:t>
      </w:r>
      <w:r>
        <w:rPr>
          <w:color w:val="231F20"/>
        </w:rPr>
        <w:t>authorized under</w:t>
      </w:r>
      <w:r>
        <w:rPr>
          <w:color w:val="231F20"/>
          <w:spacing w:val="-3"/>
        </w:rPr>
        <w:t> </w:t>
      </w:r>
      <w:r>
        <w:rPr>
          <w:color w:val="231F20"/>
        </w:rPr>
        <w:t>section</w:t>
      </w:r>
      <w:r>
        <w:rPr>
          <w:color w:val="231F20"/>
          <w:spacing w:val="-3"/>
        </w:rPr>
        <w:t> </w:t>
      </w:r>
      <w:r>
        <w:rPr>
          <w:color w:val="231F20"/>
        </w:rPr>
        <w:t>515.560</w:t>
      </w:r>
      <w:r>
        <w:rPr>
          <w:color w:val="231F20"/>
          <w:spacing w:val="-3"/>
        </w:rPr>
        <w:t> </w:t>
      </w:r>
      <w:r>
        <w:rPr>
          <w:color w:val="231F20"/>
        </w:rPr>
        <w:t>of</w:t>
      </w:r>
      <w:r>
        <w:rPr>
          <w:color w:val="231F20"/>
          <w:spacing w:val="-3"/>
        </w:rPr>
        <w:t> </w:t>
      </w:r>
      <w:r>
        <w:rPr>
          <w:color w:val="231F20"/>
        </w:rPr>
        <w:t>Title</w:t>
      </w:r>
      <w:r>
        <w:rPr>
          <w:color w:val="231F20"/>
          <w:spacing w:val="-3"/>
        </w:rPr>
        <w:t> </w:t>
      </w:r>
      <w:r>
        <w:rPr>
          <w:color w:val="231F20"/>
        </w:rPr>
        <w:t>31</w:t>
      </w:r>
      <w:r>
        <w:rPr>
          <w:color w:val="231F20"/>
          <w:spacing w:val="-3"/>
        </w:rPr>
        <w:t> </w:t>
      </w:r>
      <w:r>
        <w:rPr>
          <w:color w:val="231F20"/>
        </w:rPr>
        <w:t>of</w:t>
      </w:r>
      <w:r>
        <w:rPr>
          <w:color w:val="231F20"/>
          <w:spacing w:val="-3"/>
        </w:rPr>
        <w:t> </w:t>
      </w:r>
      <w:r>
        <w:rPr>
          <w:color w:val="231F20"/>
        </w:rPr>
        <w:t>the Code of Federal Regulations (CFR). It thus</w:t>
      </w:r>
      <w:r>
        <w:rPr>
          <w:color w:val="231F20"/>
          <w:spacing w:val="-8"/>
        </w:rPr>
        <w:t> </w:t>
      </w:r>
      <w:r>
        <w:rPr>
          <w:color w:val="231F20"/>
        </w:rPr>
        <w:t>restricts</w:t>
      </w:r>
      <w:r>
        <w:rPr>
          <w:color w:val="231F20"/>
          <w:spacing w:val="-8"/>
        </w:rPr>
        <w:t> </w:t>
      </w:r>
      <w:r>
        <w:rPr>
          <w:color w:val="231F20"/>
        </w:rPr>
        <w:t>travel</w:t>
      </w:r>
      <w:r>
        <w:rPr>
          <w:color w:val="231F20"/>
          <w:spacing w:val="-8"/>
        </w:rPr>
        <w:t> </w:t>
      </w:r>
      <w:r>
        <w:rPr>
          <w:color w:val="231F20"/>
        </w:rPr>
        <w:t>to</w:t>
      </w:r>
      <w:r>
        <w:rPr>
          <w:color w:val="231F20"/>
          <w:spacing w:val="-8"/>
        </w:rPr>
        <w:t> </w:t>
      </w:r>
      <w:r>
        <w:rPr>
          <w:color w:val="231F20"/>
        </w:rPr>
        <w:t>the</w:t>
      </w:r>
      <w:r>
        <w:rPr>
          <w:color w:val="231F20"/>
          <w:spacing w:val="-8"/>
        </w:rPr>
        <w:t> </w:t>
      </w:r>
      <w:r>
        <w:rPr>
          <w:color w:val="231F20"/>
        </w:rPr>
        <w:t>12</w:t>
      </w:r>
      <w:r>
        <w:rPr>
          <w:color w:val="231F20"/>
          <w:spacing w:val="-8"/>
        </w:rPr>
        <w:t> </w:t>
      </w:r>
      <w:r>
        <w:rPr>
          <w:color w:val="231F20"/>
        </w:rPr>
        <w:t>categories authorized at the time this </w:t>
      </w:r>
      <w:r>
        <w:rPr>
          <w:color w:val="231F20"/>
        </w:rPr>
        <w:t>legislation was passed.</w:t>
      </w:r>
    </w:p>
    <w:p>
      <w:pPr>
        <w:pStyle w:val="BodyText"/>
        <w:spacing w:before="29"/>
        <w:jc w:val="left"/>
      </w:pPr>
    </w:p>
    <w:p>
      <w:pPr>
        <w:pStyle w:val="Heading2"/>
        <w:spacing w:line="225" w:lineRule="auto"/>
        <w:ind w:left="412" w:right="2008"/>
      </w:pPr>
      <w:r>
        <w:rPr>
          <w:color w:val="1F4282"/>
          <w:w w:val="115"/>
        </w:rPr>
        <w:t>Main</w:t>
      </w:r>
      <w:r>
        <w:rPr>
          <w:color w:val="1F4282"/>
          <w:spacing w:val="-22"/>
          <w:w w:val="115"/>
        </w:rPr>
        <w:t> </w:t>
      </w:r>
      <w:r>
        <w:rPr>
          <w:color w:val="1F4282"/>
          <w:w w:val="115"/>
        </w:rPr>
        <w:t>blockade</w:t>
      </w:r>
      <w:r>
        <w:rPr>
          <w:color w:val="1F4282"/>
          <w:spacing w:val="-21"/>
          <w:w w:val="115"/>
        </w:rPr>
        <w:t> </w:t>
      </w:r>
      <w:r>
        <w:rPr>
          <w:color w:val="1F4282"/>
          <w:w w:val="115"/>
        </w:rPr>
        <w:t>measures applied</w:t>
      </w:r>
      <w:r>
        <w:rPr>
          <w:color w:val="1F4282"/>
          <w:spacing w:val="-16"/>
          <w:w w:val="115"/>
        </w:rPr>
        <w:t> </w:t>
      </w:r>
      <w:r>
        <w:rPr>
          <w:color w:val="1F4282"/>
          <w:w w:val="115"/>
        </w:rPr>
        <w:t>from</w:t>
      </w:r>
      <w:r>
        <w:rPr>
          <w:color w:val="1F4282"/>
          <w:spacing w:val="-16"/>
          <w:w w:val="115"/>
        </w:rPr>
        <w:t> </w:t>
      </w:r>
      <w:r>
        <w:rPr>
          <w:color w:val="1F4282"/>
          <w:w w:val="115"/>
        </w:rPr>
        <w:t>March</w:t>
      </w:r>
      <w:r>
        <w:rPr>
          <w:color w:val="1F4282"/>
          <w:spacing w:val="-16"/>
          <w:w w:val="115"/>
        </w:rPr>
        <w:t> </w:t>
      </w:r>
      <w:r>
        <w:rPr>
          <w:color w:val="1F4282"/>
          <w:w w:val="115"/>
        </w:rPr>
        <w:t>2022 to February 2023</w:t>
      </w:r>
    </w:p>
    <w:p>
      <w:pPr>
        <w:pStyle w:val="BodyText"/>
        <w:spacing w:before="205"/>
        <w:ind w:left="412" w:right="1131"/>
      </w:pPr>
      <w:r>
        <w:rPr>
          <w:color w:val="231F20"/>
        </w:rPr>
        <w:t>During</w:t>
      </w:r>
      <w:r>
        <w:rPr>
          <w:color w:val="231F20"/>
          <w:spacing w:val="40"/>
        </w:rPr>
        <w:t> </w:t>
      </w:r>
      <w:r>
        <w:rPr>
          <w:color w:val="231F20"/>
        </w:rPr>
        <w:t>the</w:t>
      </w:r>
      <w:r>
        <w:rPr>
          <w:color w:val="231F20"/>
          <w:spacing w:val="40"/>
        </w:rPr>
        <w:t> </w:t>
      </w:r>
      <w:r>
        <w:rPr>
          <w:color w:val="231F20"/>
        </w:rPr>
        <w:t>March</w:t>
      </w:r>
      <w:r>
        <w:rPr>
          <w:color w:val="231F20"/>
          <w:spacing w:val="40"/>
        </w:rPr>
        <w:t> </w:t>
      </w:r>
      <w:r>
        <w:rPr>
          <w:color w:val="231F20"/>
        </w:rPr>
        <w:t>2022</w:t>
      </w:r>
      <w:r>
        <w:rPr>
          <w:color w:val="231F20"/>
          <w:spacing w:val="40"/>
        </w:rPr>
        <w:t> </w:t>
      </w:r>
      <w:r>
        <w:rPr>
          <w:color w:val="231F20"/>
        </w:rPr>
        <w:t>-</w:t>
      </w:r>
      <w:r>
        <w:rPr>
          <w:color w:val="231F20"/>
          <w:spacing w:val="40"/>
        </w:rPr>
        <w:t> </w:t>
      </w:r>
      <w:r>
        <w:rPr>
          <w:color w:val="231F20"/>
        </w:rPr>
        <w:t>February</w:t>
      </w:r>
      <w:r>
        <w:rPr>
          <w:color w:val="231F20"/>
          <w:spacing w:val="80"/>
          <w:w w:val="150"/>
        </w:rPr>
        <w:t> </w:t>
      </w:r>
      <w:r>
        <w:rPr>
          <w:color w:val="231F20"/>
        </w:rPr>
        <w:t>2023 period, the Biden administration rigorously</w:t>
      </w:r>
      <w:r>
        <w:rPr>
          <w:color w:val="231F20"/>
          <w:spacing w:val="-7"/>
        </w:rPr>
        <w:t> </w:t>
      </w:r>
      <w:r>
        <w:rPr>
          <w:color w:val="231F20"/>
        </w:rPr>
        <w:t>applied</w:t>
      </w:r>
      <w:r>
        <w:rPr>
          <w:color w:val="231F20"/>
          <w:spacing w:val="-6"/>
        </w:rPr>
        <w:t> </w:t>
      </w:r>
      <w:r>
        <w:rPr>
          <w:color w:val="231F20"/>
        </w:rPr>
        <w:t>its</w:t>
      </w:r>
      <w:r>
        <w:rPr>
          <w:color w:val="231F20"/>
          <w:spacing w:val="-6"/>
        </w:rPr>
        <w:t> </w:t>
      </w:r>
      <w:r>
        <w:rPr>
          <w:color w:val="231F20"/>
        </w:rPr>
        <w:t>predecessor’s</w:t>
      </w:r>
      <w:r>
        <w:rPr>
          <w:color w:val="231F20"/>
          <w:spacing w:val="-6"/>
        </w:rPr>
        <w:t> </w:t>
      </w:r>
      <w:r>
        <w:rPr>
          <w:color w:val="231F20"/>
        </w:rPr>
        <w:t>policy of maximum pressure and suffocation against Cuba. In absolute terms, the blockade adversely affected every sector of the country’s economy.</w:t>
      </w:r>
    </w:p>
    <w:p>
      <w:pPr>
        <w:pStyle w:val="BodyText"/>
        <w:spacing w:before="166"/>
        <w:ind w:left="412" w:right="1131"/>
      </w:pPr>
      <w:r>
        <w:rPr>
          <w:color w:val="231F20"/>
        </w:rPr>
        <w:t>The most draconian measures were: the continued, cynical inclusion of Cuba on the list of state sponsors of terrorism; the </w:t>
      </w:r>
      <w:r>
        <w:rPr>
          <w:color w:val="231F20"/>
          <w:spacing w:val="-2"/>
        </w:rPr>
        <w:t>enabling</w:t>
      </w:r>
      <w:r>
        <w:rPr>
          <w:color w:val="231F20"/>
          <w:spacing w:val="-11"/>
        </w:rPr>
        <w:t> </w:t>
      </w:r>
      <w:r>
        <w:rPr>
          <w:color w:val="231F20"/>
          <w:spacing w:val="-2"/>
        </w:rPr>
        <w:t>of</w:t>
      </w:r>
      <w:r>
        <w:rPr>
          <w:color w:val="231F20"/>
          <w:spacing w:val="-11"/>
        </w:rPr>
        <w:t> </w:t>
      </w:r>
      <w:r>
        <w:rPr>
          <w:color w:val="231F20"/>
          <w:spacing w:val="-2"/>
        </w:rPr>
        <w:t>actions</w:t>
      </w:r>
      <w:r>
        <w:rPr>
          <w:color w:val="231F20"/>
          <w:spacing w:val="-11"/>
        </w:rPr>
        <w:t> </w:t>
      </w:r>
      <w:r>
        <w:rPr>
          <w:color w:val="231F20"/>
          <w:spacing w:val="-2"/>
        </w:rPr>
        <w:t>through</w:t>
      </w:r>
      <w:r>
        <w:rPr>
          <w:color w:val="231F20"/>
          <w:spacing w:val="-11"/>
        </w:rPr>
        <w:t> </w:t>
      </w:r>
      <w:r>
        <w:rPr>
          <w:color w:val="231F20"/>
          <w:spacing w:val="-2"/>
        </w:rPr>
        <w:t>the</w:t>
      </w:r>
      <w:r>
        <w:rPr>
          <w:color w:val="231F20"/>
          <w:spacing w:val="-11"/>
        </w:rPr>
        <w:t> </w:t>
      </w:r>
      <w:r>
        <w:rPr>
          <w:color w:val="231F20"/>
          <w:spacing w:val="-2"/>
        </w:rPr>
        <w:t>U.S.</w:t>
      </w:r>
      <w:r>
        <w:rPr>
          <w:color w:val="231F20"/>
          <w:spacing w:val="-11"/>
        </w:rPr>
        <w:t> </w:t>
      </w:r>
      <w:r>
        <w:rPr>
          <w:color w:val="231F20"/>
          <w:spacing w:val="-2"/>
        </w:rPr>
        <w:t>courts </w:t>
      </w:r>
      <w:r>
        <w:rPr>
          <w:color w:val="231F20"/>
        </w:rPr>
        <w:t>under</w:t>
      </w:r>
      <w:r>
        <w:rPr>
          <w:color w:val="231F20"/>
          <w:spacing w:val="-16"/>
        </w:rPr>
        <w:t> </w:t>
      </w:r>
      <w:r>
        <w:rPr>
          <w:color w:val="231F20"/>
        </w:rPr>
        <w:t>Title</w:t>
      </w:r>
      <w:r>
        <w:rPr>
          <w:color w:val="231F20"/>
          <w:spacing w:val="-16"/>
        </w:rPr>
        <w:t> </w:t>
      </w:r>
      <w:r>
        <w:rPr>
          <w:color w:val="231F20"/>
        </w:rPr>
        <w:t>III</w:t>
      </w:r>
      <w:r>
        <w:rPr>
          <w:color w:val="231F20"/>
          <w:spacing w:val="-16"/>
        </w:rPr>
        <w:t> </w:t>
      </w:r>
      <w:r>
        <w:rPr>
          <w:color w:val="231F20"/>
        </w:rPr>
        <w:t>of</w:t>
      </w:r>
      <w:r>
        <w:rPr>
          <w:color w:val="231F20"/>
          <w:spacing w:val="-16"/>
        </w:rPr>
        <w:t> </w:t>
      </w:r>
      <w:r>
        <w:rPr>
          <w:color w:val="231F20"/>
        </w:rPr>
        <w:t>the</w:t>
      </w:r>
      <w:r>
        <w:rPr>
          <w:color w:val="231F20"/>
          <w:spacing w:val="-16"/>
        </w:rPr>
        <w:t> </w:t>
      </w:r>
      <w:r>
        <w:rPr>
          <w:color w:val="231F20"/>
        </w:rPr>
        <w:t>Helms-Burton</w:t>
      </w:r>
      <w:r>
        <w:rPr>
          <w:color w:val="231F20"/>
          <w:spacing w:val="-16"/>
        </w:rPr>
        <w:t> </w:t>
      </w:r>
      <w:r>
        <w:rPr>
          <w:color w:val="231F20"/>
        </w:rPr>
        <w:t>Act;</w:t>
      </w:r>
      <w:r>
        <w:rPr>
          <w:color w:val="231F20"/>
          <w:spacing w:val="-16"/>
        </w:rPr>
        <w:t> </w:t>
      </w:r>
      <w:r>
        <w:rPr>
          <w:color w:val="231F20"/>
        </w:rPr>
        <w:t>the rigorous</w:t>
      </w:r>
      <w:r>
        <w:rPr>
          <w:color w:val="231F20"/>
          <w:spacing w:val="55"/>
        </w:rPr>
        <w:t> </w:t>
      </w:r>
      <w:r>
        <w:rPr>
          <w:color w:val="231F20"/>
        </w:rPr>
        <w:t>persecution</w:t>
      </w:r>
      <w:r>
        <w:rPr>
          <w:color w:val="231F20"/>
          <w:spacing w:val="55"/>
        </w:rPr>
        <w:t> </w:t>
      </w:r>
      <w:r>
        <w:rPr>
          <w:color w:val="231F20"/>
        </w:rPr>
        <w:t>of</w:t>
      </w:r>
      <w:r>
        <w:rPr>
          <w:color w:val="231F20"/>
          <w:spacing w:val="55"/>
        </w:rPr>
        <w:t> </w:t>
      </w:r>
      <w:r>
        <w:rPr>
          <w:color w:val="231F20"/>
        </w:rPr>
        <w:t>Cuba’s</w:t>
      </w:r>
      <w:r>
        <w:rPr>
          <w:color w:val="231F20"/>
          <w:spacing w:val="55"/>
        </w:rPr>
        <w:t> </w:t>
      </w:r>
      <w:r>
        <w:rPr>
          <w:color w:val="231F20"/>
          <w:spacing w:val="-2"/>
        </w:rPr>
        <w:t>financial</w:t>
      </w:r>
    </w:p>
    <w:p>
      <w:pPr>
        <w:spacing w:after="0"/>
        <w:sectPr>
          <w:pgSz w:w="11910" w:h="16840"/>
          <w:pgMar w:header="0" w:footer="695" w:top="1260" w:bottom="880" w:left="0" w:right="0"/>
          <w:cols w:num="2" w:equalWidth="0">
            <w:col w:w="5897" w:space="40"/>
            <w:col w:w="5973"/>
          </w:cols>
        </w:sectPr>
      </w:pPr>
    </w:p>
    <w:p>
      <w:pPr>
        <w:pStyle w:val="BodyText"/>
        <w:spacing w:before="77"/>
        <w:ind w:left="1133"/>
      </w:pPr>
      <w:r>
        <w:rPr>
          <w:color w:val="231F20"/>
        </w:rPr>
        <w:t>operations</w:t>
      </w:r>
      <w:r>
        <w:rPr>
          <w:color w:val="231F20"/>
          <w:spacing w:val="-3"/>
        </w:rPr>
        <w:t> </w:t>
      </w:r>
      <w:r>
        <w:rPr>
          <w:color w:val="231F20"/>
        </w:rPr>
        <w:t>and</w:t>
      </w:r>
      <w:r>
        <w:rPr>
          <w:color w:val="231F20"/>
          <w:spacing w:val="-3"/>
        </w:rPr>
        <w:t> </w:t>
      </w:r>
      <w:r>
        <w:rPr>
          <w:color w:val="231F20"/>
        </w:rPr>
        <w:t>the</w:t>
      </w:r>
      <w:r>
        <w:rPr>
          <w:color w:val="231F20"/>
          <w:spacing w:val="-3"/>
        </w:rPr>
        <w:t> </w:t>
      </w:r>
      <w:r>
        <w:rPr>
          <w:color w:val="231F20"/>
        </w:rPr>
        <w:t>resulting</w:t>
      </w:r>
      <w:r>
        <w:rPr>
          <w:color w:val="231F20"/>
          <w:spacing w:val="-3"/>
        </w:rPr>
        <w:t> </w:t>
      </w:r>
      <w:r>
        <w:rPr>
          <w:color w:val="231F20"/>
        </w:rPr>
        <w:t>disruption</w:t>
      </w:r>
      <w:r>
        <w:rPr>
          <w:color w:val="231F20"/>
          <w:spacing w:val="-3"/>
        </w:rPr>
        <w:t> </w:t>
      </w:r>
      <w:r>
        <w:rPr>
          <w:color w:val="231F20"/>
        </w:rPr>
        <w:t>in the supply of fuel to the country; and the continuity of the unilateral lists that block financial transactions with Cuban entities.</w:t>
      </w:r>
    </w:p>
    <w:p>
      <w:pPr>
        <w:pStyle w:val="BodyText"/>
        <w:spacing w:before="163"/>
        <w:ind w:left="1133"/>
      </w:pPr>
      <w:r>
        <w:rPr>
          <w:color w:val="231F20"/>
        </w:rPr>
        <w:t>On</w:t>
      </w:r>
      <w:r>
        <w:rPr>
          <w:color w:val="231F20"/>
          <w:spacing w:val="-12"/>
        </w:rPr>
        <w:t> </w:t>
      </w:r>
      <w:r>
        <w:rPr>
          <w:color w:val="231F20"/>
        </w:rPr>
        <w:t>May</w:t>
      </w:r>
      <w:r>
        <w:rPr>
          <w:color w:val="231F20"/>
          <w:spacing w:val="-12"/>
        </w:rPr>
        <w:t> </w:t>
      </w:r>
      <w:r>
        <w:rPr>
          <w:color w:val="231F20"/>
        </w:rPr>
        <w:t>16,</w:t>
      </w:r>
      <w:r>
        <w:rPr>
          <w:color w:val="231F20"/>
          <w:spacing w:val="-12"/>
        </w:rPr>
        <w:t> </w:t>
      </w:r>
      <w:r>
        <w:rPr>
          <w:color w:val="231F20"/>
        </w:rPr>
        <w:t>2022,</w:t>
      </w:r>
      <w:r>
        <w:rPr>
          <w:color w:val="231F20"/>
          <w:spacing w:val="-12"/>
        </w:rPr>
        <w:t> </w:t>
      </w:r>
      <w:r>
        <w:rPr>
          <w:color w:val="231F20"/>
        </w:rPr>
        <w:t>Washington</w:t>
      </w:r>
      <w:r>
        <w:rPr>
          <w:color w:val="231F20"/>
          <w:spacing w:val="-12"/>
        </w:rPr>
        <w:t> </w:t>
      </w:r>
      <w:r>
        <w:rPr>
          <w:color w:val="231F20"/>
        </w:rPr>
        <w:t>announced a series of measures regarding visas, regular</w:t>
      </w:r>
      <w:r>
        <w:rPr>
          <w:color w:val="231F20"/>
          <w:spacing w:val="-12"/>
        </w:rPr>
        <w:t> </w:t>
      </w:r>
      <w:r>
        <w:rPr>
          <w:color w:val="231F20"/>
        </w:rPr>
        <w:t>migration,</w:t>
      </w:r>
      <w:r>
        <w:rPr>
          <w:color w:val="231F20"/>
          <w:spacing w:val="-12"/>
        </w:rPr>
        <w:t> </w:t>
      </w:r>
      <w:r>
        <w:rPr>
          <w:color w:val="231F20"/>
        </w:rPr>
        <w:t>flights</w:t>
      </w:r>
      <w:r>
        <w:rPr>
          <w:color w:val="231F20"/>
          <w:spacing w:val="-12"/>
        </w:rPr>
        <w:t> </w:t>
      </w:r>
      <w:r>
        <w:rPr>
          <w:color w:val="231F20"/>
        </w:rPr>
        <w:t>and</w:t>
      </w:r>
      <w:r>
        <w:rPr>
          <w:color w:val="231F20"/>
          <w:spacing w:val="-12"/>
        </w:rPr>
        <w:t> </w:t>
      </w:r>
      <w:r>
        <w:rPr>
          <w:color w:val="231F20"/>
        </w:rPr>
        <w:t>remittances. While these represented steps in the</w:t>
      </w:r>
      <w:r>
        <w:rPr>
          <w:color w:val="231F20"/>
          <w:spacing w:val="40"/>
        </w:rPr>
        <w:t> </w:t>
      </w:r>
      <w:r>
        <w:rPr>
          <w:color w:val="231F20"/>
        </w:rPr>
        <w:t>right direction, they did not mitigate the blockade’s most damaging aspects or reverse the most aggressive measures applied by the Trump administration.</w:t>
      </w:r>
    </w:p>
    <w:p>
      <w:pPr>
        <w:pStyle w:val="BodyText"/>
        <w:spacing w:before="166"/>
        <w:ind w:left="1133"/>
      </w:pPr>
      <w:r>
        <w:rPr>
          <w:color w:val="231F20"/>
        </w:rPr>
        <w:t>During the period covered by this </w:t>
      </w:r>
      <w:r>
        <w:rPr>
          <w:color w:val="231F20"/>
        </w:rPr>
        <w:t>report, </w:t>
      </w:r>
      <w:r>
        <w:rPr>
          <w:color w:val="231F20"/>
          <w:spacing w:val="-4"/>
        </w:rPr>
        <w:t>Washington</w:t>
      </w:r>
      <w:r>
        <w:rPr>
          <w:color w:val="231F20"/>
          <w:spacing w:val="-13"/>
        </w:rPr>
        <w:t> </w:t>
      </w:r>
      <w:r>
        <w:rPr>
          <w:color w:val="231F20"/>
          <w:spacing w:val="-4"/>
        </w:rPr>
        <w:t>extended</w:t>
      </w:r>
      <w:r>
        <w:rPr>
          <w:color w:val="231F20"/>
          <w:spacing w:val="-12"/>
        </w:rPr>
        <w:t> </w:t>
      </w:r>
      <w:r>
        <w:rPr>
          <w:color w:val="231F20"/>
          <w:spacing w:val="-4"/>
        </w:rPr>
        <w:t>harsh</w:t>
      </w:r>
      <w:r>
        <w:rPr>
          <w:color w:val="231F20"/>
          <w:spacing w:val="-13"/>
        </w:rPr>
        <w:t> </w:t>
      </w:r>
      <w:r>
        <w:rPr>
          <w:color w:val="231F20"/>
          <w:spacing w:val="-4"/>
        </w:rPr>
        <w:t>laws</w:t>
      </w:r>
      <w:r>
        <w:rPr>
          <w:color w:val="231F20"/>
          <w:spacing w:val="-12"/>
        </w:rPr>
        <w:t> </w:t>
      </w:r>
      <w:r>
        <w:rPr>
          <w:color w:val="231F20"/>
          <w:spacing w:val="-4"/>
        </w:rPr>
        <w:t>and</w:t>
      </w:r>
      <w:r>
        <w:rPr>
          <w:color w:val="231F20"/>
          <w:spacing w:val="-13"/>
        </w:rPr>
        <w:t> </w:t>
      </w:r>
      <w:r>
        <w:rPr>
          <w:color w:val="231F20"/>
          <w:spacing w:val="-4"/>
        </w:rPr>
        <w:t>other </w:t>
      </w:r>
      <w:r>
        <w:rPr>
          <w:color w:val="231F20"/>
        </w:rPr>
        <w:t>measures relating to Cuba, magnifying the damage caused by the blockade. The relevant official announcements included the following:</w:t>
      </w:r>
    </w:p>
    <w:p>
      <w:pPr>
        <w:pStyle w:val="BodyText"/>
        <w:spacing w:before="165"/>
        <w:ind w:left="1133"/>
      </w:pPr>
      <w:r>
        <w:rPr>
          <w:b/>
          <w:color w:val="231F20"/>
        </w:rPr>
        <w:t>May 11, 2022: </w:t>
      </w:r>
      <w:r>
        <w:rPr>
          <w:color w:val="231F20"/>
        </w:rPr>
        <w:t>the secretary of </w:t>
      </w:r>
      <w:r>
        <w:rPr>
          <w:color w:val="231F20"/>
        </w:rPr>
        <w:t>state reported to Congress the certification of Cuba</w:t>
      </w:r>
      <w:r>
        <w:rPr>
          <w:color w:val="231F20"/>
          <w:spacing w:val="-9"/>
        </w:rPr>
        <w:t> </w:t>
      </w:r>
      <w:r>
        <w:rPr>
          <w:color w:val="231F20"/>
        </w:rPr>
        <w:t>as</w:t>
      </w:r>
      <w:r>
        <w:rPr>
          <w:color w:val="231F20"/>
          <w:spacing w:val="-9"/>
        </w:rPr>
        <w:t> </w:t>
      </w:r>
      <w:r>
        <w:rPr>
          <w:color w:val="231F20"/>
        </w:rPr>
        <w:t>among</w:t>
      </w:r>
      <w:r>
        <w:rPr>
          <w:color w:val="231F20"/>
          <w:spacing w:val="-9"/>
        </w:rPr>
        <w:t> </w:t>
      </w:r>
      <w:r>
        <w:rPr>
          <w:color w:val="231F20"/>
        </w:rPr>
        <w:t>the</w:t>
      </w:r>
      <w:r>
        <w:rPr>
          <w:color w:val="231F20"/>
          <w:spacing w:val="-9"/>
        </w:rPr>
        <w:t> </w:t>
      </w:r>
      <w:r>
        <w:rPr>
          <w:color w:val="231F20"/>
        </w:rPr>
        <w:t>countries</w:t>
      </w:r>
      <w:r>
        <w:rPr>
          <w:color w:val="231F20"/>
          <w:spacing w:val="-9"/>
        </w:rPr>
        <w:t> </w:t>
      </w:r>
      <w:r>
        <w:rPr>
          <w:color w:val="231F20"/>
        </w:rPr>
        <w:t>that</w:t>
      </w:r>
      <w:r>
        <w:rPr>
          <w:color w:val="231F20"/>
          <w:spacing w:val="-9"/>
        </w:rPr>
        <w:t> </w:t>
      </w:r>
      <w:r>
        <w:rPr>
          <w:color w:val="231F20"/>
        </w:rPr>
        <w:t>“do</w:t>
      </w:r>
      <w:r>
        <w:rPr>
          <w:color w:val="231F20"/>
          <w:spacing w:val="-9"/>
        </w:rPr>
        <w:t> </w:t>
      </w:r>
      <w:r>
        <w:rPr>
          <w:color w:val="231F20"/>
        </w:rPr>
        <w:t>not fully cooperate” with U.S. efforts against terrorism, under Section 40A(a) of Arms Export Control Act and Executive Order </w:t>
      </w:r>
      <w:r>
        <w:rPr>
          <w:color w:val="231F20"/>
          <w:spacing w:val="-2"/>
        </w:rPr>
        <w:t>13637.</w:t>
      </w:r>
      <w:r>
        <w:rPr>
          <w:color w:val="231F20"/>
          <w:spacing w:val="-14"/>
        </w:rPr>
        <w:t> </w:t>
      </w:r>
      <w:r>
        <w:rPr>
          <w:color w:val="231F20"/>
          <w:spacing w:val="-2"/>
        </w:rPr>
        <w:t>This</w:t>
      </w:r>
      <w:r>
        <w:rPr>
          <w:color w:val="231F20"/>
          <w:spacing w:val="-14"/>
        </w:rPr>
        <w:t> </w:t>
      </w:r>
      <w:r>
        <w:rPr>
          <w:color w:val="231F20"/>
          <w:spacing w:val="-2"/>
        </w:rPr>
        <w:t>ratified</w:t>
      </w:r>
      <w:r>
        <w:rPr>
          <w:color w:val="231F20"/>
          <w:spacing w:val="-14"/>
        </w:rPr>
        <w:t> </w:t>
      </w:r>
      <w:r>
        <w:rPr>
          <w:color w:val="231F20"/>
          <w:spacing w:val="-2"/>
        </w:rPr>
        <w:t>Cuba’s</w:t>
      </w:r>
      <w:r>
        <w:rPr>
          <w:color w:val="231F20"/>
          <w:spacing w:val="-14"/>
        </w:rPr>
        <w:t> </w:t>
      </w:r>
      <w:r>
        <w:rPr>
          <w:color w:val="231F20"/>
          <w:spacing w:val="-2"/>
        </w:rPr>
        <w:t>inclusion</w:t>
      </w:r>
      <w:r>
        <w:rPr>
          <w:color w:val="231F20"/>
          <w:spacing w:val="-14"/>
        </w:rPr>
        <w:t> </w:t>
      </w:r>
      <w:r>
        <w:rPr>
          <w:color w:val="231F20"/>
          <w:spacing w:val="-2"/>
        </w:rPr>
        <w:t>for</w:t>
      </w:r>
      <w:r>
        <w:rPr>
          <w:color w:val="231F20"/>
          <w:spacing w:val="-14"/>
        </w:rPr>
        <w:t> </w:t>
      </w:r>
      <w:r>
        <w:rPr>
          <w:color w:val="231F20"/>
          <w:spacing w:val="-2"/>
        </w:rPr>
        <w:t>the third</w:t>
      </w:r>
      <w:r>
        <w:rPr>
          <w:color w:val="231F20"/>
          <w:spacing w:val="-15"/>
        </w:rPr>
        <w:t> </w:t>
      </w:r>
      <w:r>
        <w:rPr>
          <w:color w:val="231F20"/>
          <w:spacing w:val="-2"/>
        </w:rPr>
        <w:t>time</w:t>
      </w:r>
      <w:r>
        <w:rPr>
          <w:color w:val="231F20"/>
          <w:spacing w:val="-14"/>
        </w:rPr>
        <w:t> </w:t>
      </w:r>
      <w:r>
        <w:rPr>
          <w:color w:val="231F20"/>
          <w:spacing w:val="-2"/>
        </w:rPr>
        <w:t>on</w:t>
      </w:r>
      <w:r>
        <w:rPr>
          <w:color w:val="231F20"/>
          <w:spacing w:val="-15"/>
        </w:rPr>
        <w:t> </w:t>
      </w:r>
      <w:r>
        <w:rPr>
          <w:color w:val="231F20"/>
          <w:spacing w:val="-2"/>
        </w:rPr>
        <w:t>this</w:t>
      </w:r>
      <w:r>
        <w:rPr>
          <w:color w:val="231F20"/>
          <w:spacing w:val="-14"/>
        </w:rPr>
        <w:t> </w:t>
      </w:r>
      <w:r>
        <w:rPr>
          <w:color w:val="231F20"/>
          <w:spacing w:val="-2"/>
        </w:rPr>
        <w:t>list.</w:t>
      </w:r>
      <w:r>
        <w:rPr>
          <w:color w:val="231F20"/>
          <w:spacing w:val="-15"/>
        </w:rPr>
        <w:t> </w:t>
      </w:r>
      <w:r>
        <w:rPr>
          <w:color w:val="231F20"/>
          <w:spacing w:val="-2"/>
        </w:rPr>
        <w:t>The</w:t>
      </w:r>
      <w:r>
        <w:rPr>
          <w:color w:val="231F20"/>
          <w:spacing w:val="-14"/>
        </w:rPr>
        <w:t> </w:t>
      </w:r>
      <w:r>
        <w:rPr>
          <w:color w:val="231F20"/>
          <w:spacing w:val="-2"/>
        </w:rPr>
        <w:t>measure</w:t>
      </w:r>
      <w:r>
        <w:rPr>
          <w:color w:val="231F20"/>
          <w:spacing w:val="-15"/>
        </w:rPr>
        <w:t> </w:t>
      </w:r>
      <w:r>
        <w:rPr>
          <w:color w:val="231F20"/>
          <w:spacing w:val="-2"/>
        </w:rPr>
        <w:t>became </w:t>
      </w:r>
      <w:r>
        <w:rPr>
          <w:color w:val="231F20"/>
        </w:rPr>
        <w:t>effective on May 20, 2022, following its publication in the Federal Register.</w:t>
      </w:r>
    </w:p>
    <w:p>
      <w:pPr>
        <w:pStyle w:val="BodyText"/>
        <w:spacing w:before="168"/>
        <w:ind w:left="1133"/>
      </w:pPr>
      <w:r>
        <w:rPr>
          <w:b/>
          <w:color w:val="231F20"/>
        </w:rPr>
        <w:t>September 2, 2022: </w:t>
      </w:r>
      <w:r>
        <w:rPr>
          <w:color w:val="231F20"/>
        </w:rPr>
        <w:t>President </w:t>
      </w:r>
      <w:r>
        <w:rPr>
          <w:color w:val="231F20"/>
        </w:rPr>
        <w:t>Biden extended for a further year the blockade restrictions</w:t>
      </w:r>
      <w:r>
        <w:rPr>
          <w:color w:val="231F20"/>
          <w:spacing w:val="-6"/>
        </w:rPr>
        <w:t> </w:t>
      </w:r>
      <w:r>
        <w:rPr>
          <w:color w:val="231F20"/>
        </w:rPr>
        <w:t>on</w:t>
      </w:r>
      <w:r>
        <w:rPr>
          <w:color w:val="231F20"/>
          <w:spacing w:val="-6"/>
        </w:rPr>
        <w:t> </w:t>
      </w:r>
      <w:r>
        <w:rPr>
          <w:color w:val="231F20"/>
        </w:rPr>
        <w:t>Cuba</w:t>
      </w:r>
      <w:r>
        <w:rPr>
          <w:color w:val="231F20"/>
          <w:spacing w:val="-6"/>
        </w:rPr>
        <w:t> </w:t>
      </w:r>
      <w:r>
        <w:rPr>
          <w:color w:val="231F20"/>
        </w:rPr>
        <w:t>under</w:t>
      </w:r>
      <w:r>
        <w:rPr>
          <w:color w:val="231F20"/>
          <w:spacing w:val="-6"/>
        </w:rPr>
        <w:t> </w:t>
      </w:r>
      <w:r>
        <w:rPr>
          <w:color w:val="231F20"/>
        </w:rPr>
        <w:t>the</w:t>
      </w:r>
      <w:r>
        <w:rPr>
          <w:color w:val="231F20"/>
          <w:spacing w:val="-6"/>
        </w:rPr>
        <w:t> </w:t>
      </w:r>
      <w:r>
        <w:rPr>
          <w:color w:val="231F20"/>
        </w:rPr>
        <w:t>framework defined</w:t>
      </w:r>
      <w:r>
        <w:rPr>
          <w:color w:val="231F20"/>
          <w:spacing w:val="-10"/>
        </w:rPr>
        <w:t> </w:t>
      </w:r>
      <w:r>
        <w:rPr>
          <w:color w:val="231F20"/>
        </w:rPr>
        <w:t>in</w:t>
      </w:r>
      <w:r>
        <w:rPr>
          <w:color w:val="231F20"/>
          <w:spacing w:val="-10"/>
        </w:rPr>
        <w:t> </w:t>
      </w:r>
      <w:r>
        <w:rPr>
          <w:color w:val="231F20"/>
        </w:rPr>
        <w:t>the</w:t>
      </w:r>
      <w:r>
        <w:rPr>
          <w:color w:val="231F20"/>
          <w:spacing w:val="-10"/>
        </w:rPr>
        <w:t> </w:t>
      </w:r>
      <w:r>
        <w:rPr>
          <w:color w:val="231F20"/>
        </w:rPr>
        <w:t>Trading</w:t>
      </w:r>
      <w:r>
        <w:rPr>
          <w:color w:val="231F20"/>
          <w:spacing w:val="-10"/>
        </w:rPr>
        <w:t> </w:t>
      </w:r>
      <w:r>
        <w:rPr>
          <w:color w:val="231F20"/>
        </w:rPr>
        <w:t>with</w:t>
      </w:r>
      <w:r>
        <w:rPr>
          <w:color w:val="231F20"/>
          <w:spacing w:val="-10"/>
        </w:rPr>
        <w:t> </w:t>
      </w:r>
      <w:r>
        <w:rPr>
          <w:color w:val="231F20"/>
        </w:rPr>
        <w:t>the</w:t>
      </w:r>
      <w:r>
        <w:rPr>
          <w:color w:val="231F20"/>
          <w:spacing w:val="-10"/>
        </w:rPr>
        <w:t> </w:t>
      </w:r>
      <w:r>
        <w:rPr>
          <w:color w:val="231F20"/>
        </w:rPr>
        <w:t>Enemy</w:t>
      </w:r>
      <w:r>
        <w:rPr>
          <w:color w:val="231F20"/>
          <w:spacing w:val="-10"/>
        </w:rPr>
        <w:t> </w:t>
      </w:r>
      <w:r>
        <w:rPr>
          <w:color w:val="231F20"/>
        </w:rPr>
        <w:t>Act of</w:t>
      </w:r>
      <w:r>
        <w:rPr>
          <w:color w:val="231F20"/>
          <w:spacing w:val="-3"/>
        </w:rPr>
        <w:t> </w:t>
      </w:r>
      <w:r>
        <w:rPr>
          <w:color w:val="231F20"/>
        </w:rPr>
        <w:t>1917.</w:t>
      </w:r>
      <w:r>
        <w:rPr>
          <w:color w:val="231F20"/>
          <w:spacing w:val="-3"/>
        </w:rPr>
        <w:t> </w:t>
      </w:r>
      <w:r>
        <w:rPr>
          <w:color w:val="231F20"/>
        </w:rPr>
        <w:t>The</w:t>
      </w:r>
      <w:r>
        <w:rPr>
          <w:color w:val="231F20"/>
          <w:spacing w:val="-3"/>
        </w:rPr>
        <w:t> </w:t>
      </w:r>
      <w:r>
        <w:rPr>
          <w:color w:val="231F20"/>
        </w:rPr>
        <w:t>decision</w:t>
      </w:r>
      <w:r>
        <w:rPr>
          <w:color w:val="231F20"/>
          <w:spacing w:val="-3"/>
        </w:rPr>
        <w:t> </w:t>
      </w:r>
      <w:r>
        <w:rPr>
          <w:color w:val="231F20"/>
        </w:rPr>
        <w:t>was</w:t>
      </w:r>
      <w:r>
        <w:rPr>
          <w:color w:val="231F20"/>
          <w:spacing w:val="-4"/>
        </w:rPr>
        <w:t> </w:t>
      </w:r>
      <w:r>
        <w:rPr>
          <w:color w:val="231F20"/>
        </w:rPr>
        <w:t>made</w:t>
      </w:r>
      <w:r>
        <w:rPr>
          <w:color w:val="231F20"/>
          <w:spacing w:val="-3"/>
        </w:rPr>
        <w:t> </w:t>
      </w:r>
      <w:r>
        <w:rPr>
          <w:color w:val="231F20"/>
        </w:rPr>
        <w:t>public</w:t>
      </w:r>
      <w:r>
        <w:rPr>
          <w:color w:val="231F20"/>
          <w:spacing w:val="-3"/>
        </w:rPr>
        <w:t> </w:t>
      </w:r>
      <w:r>
        <w:rPr>
          <w:color w:val="231F20"/>
        </w:rPr>
        <w:t>by a White House communiqué.</w:t>
      </w:r>
    </w:p>
    <w:p>
      <w:pPr>
        <w:pStyle w:val="BodyText"/>
        <w:spacing w:before="164"/>
        <w:ind w:left="1133"/>
      </w:pPr>
      <w:r>
        <w:rPr>
          <w:b/>
          <w:color w:val="231F20"/>
        </w:rPr>
        <w:t>October</w:t>
      </w:r>
      <w:r>
        <w:rPr>
          <w:b/>
          <w:color w:val="231F20"/>
          <w:spacing w:val="-17"/>
        </w:rPr>
        <w:t> </w:t>
      </w:r>
      <w:r>
        <w:rPr>
          <w:b/>
          <w:color w:val="231F20"/>
        </w:rPr>
        <w:t>14,</w:t>
      </w:r>
      <w:r>
        <w:rPr>
          <w:b/>
          <w:color w:val="231F20"/>
          <w:spacing w:val="-17"/>
        </w:rPr>
        <w:t> </w:t>
      </w:r>
      <w:r>
        <w:rPr>
          <w:b/>
          <w:color w:val="231F20"/>
        </w:rPr>
        <w:t>2022:</w:t>
      </w:r>
      <w:r>
        <w:rPr>
          <w:b/>
          <w:color w:val="231F20"/>
          <w:spacing w:val="-16"/>
        </w:rPr>
        <w:t> </w:t>
      </w:r>
      <w:r>
        <w:rPr>
          <w:color w:val="231F20"/>
        </w:rPr>
        <w:t>Under</w:t>
      </w:r>
      <w:r>
        <w:rPr>
          <w:color w:val="231F20"/>
          <w:spacing w:val="-17"/>
        </w:rPr>
        <w:t> </w:t>
      </w:r>
      <w:r>
        <w:rPr>
          <w:color w:val="231F20"/>
        </w:rPr>
        <w:t>a</w:t>
      </w:r>
      <w:r>
        <w:rPr>
          <w:color w:val="231F20"/>
          <w:spacing w:val="-16"/>
        </w:rPr>
        <w:t> </w:t>
      </w:r>
      <w:r>
        <w:rPr>
          <w:color w:val="231F20"/>
        </w:rPr>
        <w:t>Memorandum on Presidential Determinations, Biden extended</w:t>
      </w:r>
      <w:r>
        <w:rPr>
          <w:color w:val="231F20"/>
          <w:spacing w:val="-2"/>
        </w:rPr>
        <w:t> </w:t>
      </w:r>
      <w:r>
        <w:rPr>
          <w:color w:val="231F20"/>
        </w:rPr>
        <w:t>by</w:t>
      </w:r>
      <w:r>
        <w:rPr>
          <w:color w:val="231F20"/>
          <w:spacing w:val="-2"/>
        </w:rPr>
        <w:t> </w:t>
      </w:r>
      <w:r>
        <w:rPr>
          <w:color w:val="231F20"/>
        </w:rPr>
        <w:t>a</w:t>
      </w:r>
      <w:r>
        <w:rPr>
          <w:color w:val="231F20"/>
          <w:spacing w:val="-2"/>
        </w:rPr>
        <w:t> </w:t>
      </w:r>
      <w:r>
        <w:rPr>
          <w:color w:val="231F20"/>
        </w:rPr>
        <w:t>year</w:t>
      </w:r>
      <w:r>
        <w:rPr>
          <w:color w:val="231F20"/>
          <w:spacing w:val="-2"/>
        </w:rPr>
        <w:t> </w:t>
      </w:r>
      <w:r>
        <w:rPr>
          <w:color w:val="231F20"/>
        </w:rPr>
        <w:t>the</w:t>
      </w:r>
      <w:r>
        <w:rPr>
          <w:color w:val="231F20"/>
          <w:spacing w:val="-2"/>
        </w:rPr>
        <w:t> </w:t>
      </w:r>
      <w:r>
        <w:rPr>
          <w:color w:val="231F20"/>
        </w:rPr>
        <w:t>restrictions</w:t>
      </w:r>
      <w:r>
        <w:rPr>
          <w:color w:val="231F20"/>
          <w:spacing w:val="-2"/>
        </w:rPr>
        <w:t> </w:t>
      </w:r>
      <w:r>
        <w:rPr>
          <w:color w:val="231F20"/>
        </w:rPr>
        <w:t>on</w:t>
      </w:r>
      <w:r>
        <w:rPr>
          <w:color w:val="231F20"/>
          <w:spacing w:val="-2"/>
        </w:rPr>
        <w:t> </w:t>
      </w:r>
      <w:r>
        <w:rPr>
          <w:color w:val="231F20"/>
        </w:rPr>
        <w:t>the granting of federal funds for cultural and educational</w:t>
      </w:r>
      <w:r>
        <w:rPr>
          <w:color w:val="231F20"/>
          <w:spacing w:val="-4"/>
        </w:rPr>
        <w:t> </w:t>
      </w:r>
      <w:r>
        <w:rPr>
          <w:color w:val="231F20"/>
        </w:rPr>
        <w:t>exchanges</w:t>
      </w:r>
      <w:r>
        <w:rPr>
          <w:color w:val="231F20"/>
          <w:spacing w:val="-4"/>
        </w:rPr>
        <w:t> </w:t>
      </w:r>
      <w:r>
        <w:rPr>
          <w:color w:val="231F20"/>
        </w:rPr>
        <w:t>with</w:t>
      </w:r>
      <w:r>
        <w:rPr>
          <w:color w:val="231F20"/>
          <w:spacing w:val="-4"/>
        </w:rPr>
        <w:t> </w:t>
      </w:r>
      <w:r>
        <w:rPr>
          <w:color w:val="231F20"/>
        </w:rPr>
        <w:t>Cuba,</w:t>
      </w:r>
      <w:r>
        <w:rPr>
          <w:color w:val="231F20"/>
          <w:spacing w:val="-4"/>
        </w:rPr>
        <w:t> </w:t>
      </w:r>
      <w:r>
        <w:rPr>
          <w:color w:val="231F20"/>
        </w:rPr>
        <w:t>among other</w:t>
      </w:r>
      <w:r>
        <w:rPr>
          <w:color w:val="231F20"/>
          <w:spacing w:val="40"/>
        </w:rPr>
        <w:t> </w:t>
      </w:r>
      <w:r>
        <w:rPr>
          <w:color w:val="231F20"/>
        </w:rPr>
        <w:t>measures.</w:t>
      </w:r>
      <w:r>
        <w:rPr>
          <w:color w:val="231F20"/>
          <w:spacing w:val="40"/>
        </w:rPr>
        <w:t> </w:t>
      </w:r>
      <w:r>
        <w:rPr>
          <w:color w:val="231F20"/>
        </w:rPr>
        <w:t>This</w:t>
      </w:r>
      <w:r>
        <w:rPr>
          <w:color w:val="231F20"/>
          <w:spacing w:val="40"/>
        </w:rPr>
        <w:t> </w:t>
      </w:r>
      <w:r>
        <w:rPr>
          <w:color w:val="231F20"/>
        </w:rPr>
        <w:t>action</w:t>
      </w:r>
      <w:r>
        <w:rPr>
          <w:color w:val="231F20"/>
          <w:spacing w:val="40"/>
        </w:rPr>
        <w:t> </w:t>
      </w:r>
      <w:r>
        <w:rPr>
          <w:color w:val="231F20"/>
        </w:rPr>
        <w:t>derived from</w:t>
      </w:r>
      <w:r>
        <w:rPr>
          <w:color w:val="231F20"/>
          <w:spacing w:val="31"/>
        </w:rPr>
        <w:t> </w:t>
      </w:r>
      <w:r>
        <w:rPr>
          <w:color w:val="231F20"/>
        </w:rPr>
        <w:t>the</w:t>
      </w:r>
      <w:r>
        <w:rPr>
          <w:color w:val="231F20"/>
          <w:spacing w:val="34"/>
        </w:rPr>
        <w:t> </w:t>
      </w:r>
      <w:r>
        <w:rPr>
          <w:color w:val="231F20"/>
        </w:rPr>
        <w:t>continued</w:t>
      </w:r>
      <w:r>
        <w:rPr>
          <w:color w:val="231F20"/>
          <w:spacing w:val="33"/>
        </w:rPr>
        <w:t> </w:t>
      </w:r>
      <w:r>
        <w:rPr>
          <w:color w:val="231F20"/>
        </w:rPr>
        <w:t>inclusion</w:t>
      </w:r>
      <w:r>
        <w:rPr>
          <w:color w:val="231F20"/>
          <w:spacing w:val="34"/>
        </w:rPr>
        <w:t> </w:t>
      </w:r>
      <w:r>
        <w:rPr>
          <w:color w:val="231F20"/>
        </w:rPr>
        <w:t>of</w:t>
      </w:r>
      <w:r>
        <w:rPr>
          <w:color w:val="231F20"/>
          <w:spacing w:val="33"/>
        </w:rPr>
        <w:t> </w:t>
      </w:r>
      <w:r>
        <w:rPr>
          <w:color w:val="231F20"/>
        </w:rPr>
        <w:t>Cuba</w:t>
      </w:r>
      <w:r>
        <w:rPr>
          <w:color w:val="231F20"/>
          <w:spacing w:val="34"/>
        </w:rPr>
        <w:t> </w:t>
      </w:r>
      <w:r>
        <w:rPr>
          <w:color w:val="231F20"/>
          <w:spacing w:val="-5"/>
        </w:rPr>
        <w:t>at</w:t>
      </w:r>
    </w:p>
    <w:p>
      <w:pPr>
        <w:pStyle w:val="BodyText"/>
        <w:spacing w:before="77"/>
        <w:ind w:left="412" w:right="1473"/>
      </w:pPr>
      <w:r>
        <w:rPr/>
        <w:br w:type="column"/>
      </w:r>
      <w:r>
        <w:rPr>
          <w:color w:val="231F20"/>
        </w:rPr>
        <w:t>Level 3 in the State Department’s annual Trafficking in Persons Report.</w:t>
      </w:r>
    </w:p>
    <w:p>
      <w:pPr>
        <w:pStyle w:val="BodyText"/>
        <w:spacing w:before="161"/>
        <w:ind w:left="412" w:right="1471"/>
      </w:pPr>
      <w:r>
        <w:rPr>
          <w:b/>
          <w:color w:val="231F20"/>
        </w:rPr>
        <w:t>November 30, 2022: </w:t>
      </w:r>
      <w:r>
        <w:rPr>
          <w:color w:val="231F20"/>
        </w:rPr>
        <w:t>The Justice Department</w:t>
      </w:r>
      <w:r>
        <w:rPr>
          <w:color w:val="231F20"/>
          <w:spacing w:val="-17"/>
        </w:rPr>
        <w:t> </w:t>
      </w:r>
      <w:r>
        <w:rPr>
          <w:color w:val="231F20"/>
        </w:rPr>
        <w:t>published</w:t>
      </w:r>
      <w:r>
        <w:rPr>
          <w:color w:val="231F20"/>
          <w:spacing w:val="-16"/>
        </w:rPr>
        <w:t> </w:t>
      </w:r>
      <w:r>
        <w:rPr>
          <w:color w:val="231F20"/>
        </w:rPr>
        <w:t>a</w:t>
      </w:r>
      <w:r>
        <w:rPr>
          <w:color w:val="231F20"/>
          <w:spacing w:val="-17"/>
        </w:rPr>
        <w:t> </w:t>
      </w:r>
      <w:r>
        <w:rPr>
          <w:color w:val="231F20"/>
        </w:rPr>
        <w:t>recommendation </w:t>
      </w:r>
      <w:r>
        <w:rPr>
          <w:color w:val="231F20"/>
          <w:spacing w:val="-8"/>
        </w:rPr>
        <w:t>to</w:t>
      </w:r>
      <w:r>
        <w:rPr>
          <w:color w:val="231F20"/>
          <w:spacing w:val="-1"/>
        </w:rPr>
        <w:t> </w:t>
      </w:r>
      <w:r>
        <w:rPr>
          <w:color w:val="231F20"/>
          <w:spacing w:val="-8"/>
        </w:rPr>
        <w:t>the</w:t>
      </w:r>
      <w:r>
        <w:rPr>
          <w:color w:val="231F20"/>
          <w:spacing w:val="-1"/>
        </w:rPr>
        <w:t> </w:t>
      </w:r>
      <w:r>
        <w:rPr>
          <w:color w:val="231F20"/>
          <w:spacing w:val="-8"/>
        </w:rPr>
        <w:t>Federal Communications Commission </w:t>
      </w:r>
      <w:r>
        <w:rPr>
          <w:color w:val="231F20"/>
        </w:rPr>
        <w:t>by the Committee for the Assessment of Foreign Participation in the United States Telecommunications Services Sector, for </w:t>
      </w:r>
      <w:r>
        <w:rPr>
          <w:color w:val="231F20"/>
          <w:spacing w:val="-6"/>
        </w:rPr>
        <w:t>denial</w:t>
      </w:r>
      <w:r>
        <w:rPr>
          <w:color w:val="231F20"/>
          <w:spacing w:val="-10"/>
        </w:rPr>
        <w:t> </w:t>
      </w:r>
      <w:r>
        <w:rPr>
          <w:color w:val="231F20"/>
          <w:spacing w:val="-6"/>
        </w:rPr>
        <w:t>of</w:t>
      </w:r>
      <w:r>
        <w:rPr>
          <w:color w:val="231F20"/>
          <w:spacing w:val="-10"/>
        </w:rPr>
        <w:t> </w:t>
      </w:r>
      <w:r>
        <w:rPr>
          <w:color w:val="231F20"/>
          <w:spacing w:val="-6"/>
        </w:rPr>
        <w:t>a</w:t>
      </w:r>
      <w:r>
        <w:rPr>
          <w:color w:val="231F20"/>
          <w:spacing w:val="-9"/>
        </w:rPr>
        <w:t> </w:t>
      </w:r>
      <w:r>
        <w:rPr>
          <w:color w:val="231F20"/>
          <w:spacing w:val="-6"/>
        </w:rPr>
        <w:t>license</w:t>
      </w:r>
      <w:r>
        <w:rPr>
          <w:color w:val="231F20"/>
          <w:spacing w:val="-10"/>
        </w:rPr>
        <w:t> </w:t>
      </w:r>
      <w:r>
        <w:rPr>
          <w:color w:val="231F20"/>
          <w:spacing w:val="-6"/>
        </w:rPr>
        <w:t>to</w:t>
      </w:r>
      <w:r>
        <w:rPr>
          <w:color w:val="231F20"/>
          <w:spacing w:val="-10"/>
        </w:rPr>
        <w:t> </w:t>
      </w:r>
      <w:r>
        <w:rPr>
          <w:color w:val="231F20"/>
          <w:spacing w:val="-6"/>
        </w:rPr>
        <w:t>the</w:t>
      </w:r>
      <w:r>
        <w:rPr>
          <w:color w:val="231F20"/>
          <w:spacing w:val="-10"/>
        </w:rPr>
        <w:t> </w:t>
      </w:r>
      <w:r>
        <w:rPr>
          <w:color w:val="231F20"/>
          <w:spacing w:val="-6"/>
        </w:rPr>
        <w:t>ARCOS-1</w:t>
      </w:r>
      <w:r>
        <w:rPr>
          <w:color w:val="231F20"/>
          <w:spacing w:val="-10"/>
        </w:rPr>
        <w:t> </w:t>
      </w:r>
      <w:r>
        <w:rPr>
          <w:color w:val="231F20"/>
          <w:spacing w:val="-6"/>
        </w:rPr>
        <w:t>undersea </w:t>
      </w:r>
      <w:r>
        <w:rPr>
          <w:color w:val="231F20"/>
        </w:rPr>
        <w:t>cable system relating to the addition of a connection to Cuba, on the grounds of a </w:t>
      </w:r>
      <w:r>
        <w:rPr>
          <w:color w:val="231F20"/>
          <w:spacing w:val="-4"/>
        </w:rPr>
        <w:t>counterintelligence</w:t>
      </w:r>
      <w:r>
        <w:rPr>
          <w:color w:val="231F20"/>
          <w:spacing w:val="-13"/>
        </w:rPr>
        <w:t> </w:t>
      </w:r>
      <w:r>
        <w:rPr>
          <w:color w:val="231F20"/>
          <w:spacing w:val="-4"/>
        </w:rPr>
        <w:t>threat:</w:t>
      </w:r>
      <w:r>
        <w:rPr>
          <w:color w:val="231F20"/>
          <w:spacing w:val="-12"/>
        </w:rPr>
        <w:t> </w:t>
      </w:r>
      <w:r>
        <w:rPr>
          <w:color w:val="231F20"/>
          <w:spacing w:val="-4"/>
        </w:rPr>
        <w:t>that</w:t>
      </w:r>
      <w:r>
        <w:rPr>
          <w:color w:val="231F20"/>
          <w:spacing w:val="-13"/>
        </w:rPr>
        <w:t> </w:t>
      </w:r>
      <w:r>
        <w:rPr>
          <w:color w:val="231F20"/>
          <w:spacing w:val="-4"/>
        </w:rPr>
        <w:t>Cuba</w:t>
      </w:r>
      <w:r>
        <w:rPr>
          <w:color w:val="231F20"/>
          <w:spacing w:val="-12"/>
        </w:rPr>
        <w:t> </w:t>
      </w:r>
      <w:r>
        <w:rPr>
          <w:color w:val="231F20"/>
          <w:spacing w:val="-4"/>
        </w:rPr>
        <w:t>“could </w:t>
      </w:r>
      <w:r>
        <w:rPr>
          <w:color w:val="231F20"/>
          <w:spacing w:val="-6"/>
        </w:rPr>
        <w:t>access sensitive U.S. data traversing the new </w:t>
      </w:r>
      <w:r>
        <w:rPr>
          <w:color w:val="231F20"/>
          <w:spacing w:val="-2"/>
        </w:rPr>
        <w:t>cable</w:t>
      </w:r>
      <w:r>
        <w:rPr>
          <w:color w:val="231F20"/>
          <w:spacing w:val="-15"/>
        </w:rPr>
        <w:t> </w:t>
      </w:r>
      <w:r>
        <w:rPr>
          <w:color w:val="231F20"/>
          <w:spacing w:val="-2"/>
        </w:rPr>
        <w:t>segment”,</w:t>
      </w:r>
      <w:r>
        <w:rPr>
          <w:color w:val="231F20"/>
          <w:spacing w:val="-14"/>
        </w:rPr>
        <w:t> </w:t>
      </w:r>
      <w:r>
        <w:rPr>
          <w:color w:val="231F20"/>
          <w:spacing w:val="-2"/>
        </w:rPr>
        <w:t>coupled</w:t>
      </w:r>
      <w:r>
        <w:rPr>
          <w:color w:val="231F20"/>
          <w:spacing w:val="-15"/>
        </w:rPr>
        <w:t> </w:t>
      </w:r>
      <w:r>
        <w:rPr>
          <w:color w:val="231F20"/>
          <w:spacing w:val="-2"/>
        </w:rPr>
        <w:t>with</w:t>
      </w:r>
      <w:r>
        <w:rPr>
          <w:color w:val="231F20"/>
          <w:spacing w:val="-14"/>
        </w:rPr>
        <w:t> </w:t>
      </w:r>
      <w:r>
        <w:rPr>
          <w:color w:val="231F20"/>
          <w:spacing w:val="-2"/>
        </w:rPr>
        <w:t>the</w:t>
      </w:r>
      <w:r>
        <w:rPr>
          <w:color w:val="231F20"/>
          <w:spacing w:val="-15"/>
        </w:rPr>
        <w:t> </w:t>
      </w:r>
      <w:r>
        <w:rPr>
          <w:color w:val="231F20"/>
          <w:spacing w:val="-2"/>
        </w:rPr>
        <w:t>country’s designation</w:t>
      </w:r>
      <w:r>
        <w:rPr>
          <w:color w:val="231F20"/>
          <w:spacing w:val="-15"/>
        </w:rPr>
        <w:t> </w:t>
      </w:r>
      <w:r>
        <w:rPr>
          <w:color w:val="231F20"/>
          <w:spacing w:val="-2"/>
        </w:rPr>
        <w:t>as</w:t>
      </w:r>
      <w:r>
        <w:rPr>
          <w:color w:val="231F20"/>
          <w:spacing w:val="-14"/>
        </w:rPr>
        <w:t> </w:t>
      </w:r>
      <w:r>
        <w:rPr>
          <w:color w:val="231F20"/>
          <w:spacing w:val="-2"/>
        </w:rPr>
        <w:t>a</w:t>
      </w:r>
      <w:r>
        <w:rPr>
          <w:color w:val="231F20"/>
          <w:spacing w:val="-15"/>
        </w:rPr>
        <w:t> </w:t>
      </w:r>
      <w:r>
        <w:rPr>
          <w:color w:val="231F20"/>
          <w:spacing w:val="-2"/>
        </w:rPr>
        <w:t>state</w:t>
      </w:r>
      <w:r>
        <w:rPr>
          <w:color w:val="231F20"/>
          <w:spacing w:val="-14"/>
        </w:rPr>
        <w:t> </w:t>
      </w:r>
      <w:r>
        <w:rPr>
          <w:color w:val="231F20"/>
          <w:spacing w:val="-2"/>
        </w:rPr>
        <w:t>sponsor</w:t>
      </w:r>
      <w:r>
        <w:rPr>
          <w:color w:val="231F20"/>
          <w:spacing w:val="-15"/>
        </w:rPr>
        <w:t> </w:t>
      </w:r>
      <w:r>
        <w:rPr>
          <w:color w:val="231F20"/>
          <w:spacing w:val="-2"/>
        </w:rPr>
        <w:t>of</w:t>
      </w:r>
      <w:r>
        <w:rPr>
          <w:color w:val="231F20"/>
          <w:spacing w:val="-14"/>
        </w:rPr>
        <w:t> </w:t>
      </w:r>
      <w:r>
        <w:rPr>
          <w:color w:val="231F20"/>
          <w:spacing w:val="-2"/>
        </w:rPr>
        <w:t>terrorism.</w:t>
      </w:r>
    </w:p>
    <w:p>
      <w:pPr>
        <w:pStyle w:val="BodyText"/>
        <w:spacing w:before="56"/>
        <w:jc w:val="left"/>
      </w:pPr>
    </w:p>
    <w:p>
      <w:pPr>
        <w:pStyle w:val="Heading2"/>
        <w:spacing w:line="196" w:lineRule="auto"/>
        <w:ind w:left="412" w:right="1436"/>
      </w:pPr>
      <w:r>
        <w:rPr>
          <w:color w:val="1F4282"/>
          <w:w w:val="115"/>
        </w:rPr>
        <w:t>Application of the </w:t>
      </w:r>
      <w:r>
        <w:rPr>
          <w:color w:val="1F4282"/>
          <w:w w:val="115"/>
        </w:rPr>
        <w:t>Helms- Burton</w:t>
      </w:r>
      <w:r>
        <w:rPr>
          <w:color w:val="1F4282"/>
          <w:spacing w:val="-12"/>
          <w:w w:val="115"/>
        </w:rPr>
        <w:t> </w:t>
      </w:r>
      <w:r>
        <w:rPr>
          <w:color w:val="1F4282"/>
          <w:w w:val="115"/>
        </w:rPr>
        <w:t>Act.</w:t>
      </w:r>
      <w:r>
        <w:rPr>
          <w:color w:val="1F4282"/>
          <w:spacing w:val="-12"/>
          <w:w w:val="115"/>
        </w:rPr>
        <w:t> </w:t>
      </w:r>
      <w:r>
        <w:rPr>
          <w:color w:val="1F4282"/>
          <w:w w:val="115"/>
        </w:rPr>
        <w:t>Lawsuits</w:t>
      </w:r>
      <w:r>
        <w:rPr>
          <w:color w:val="1F4282"/>
          <w:spacing w:val="-11"/>
          <w:w w:val="115"/>
        </w:rPr>
        <w:t> </w:t>
      </w:r>
      <w:r>
        <w:rPr>
          <w:color w:val="1F4282"/>
          <w:spacing w:val="-2"/>
          <w:w w:val="115"/>
        </w:rPr>
        <w:t>filed</w:t>
      </w:r>
    </w:p>
    <w:p>
      <w:pPr>
        <w:pStyle w:val="BodyText"/>
        <w:spacing w:before="236"/>
        <w:ind w:left="412" w:right="1470"/>
      </w:pPr>
      <w:r>
        <w:rPr>
          <w:color w:val="231F20"/>
        </w:rPr>
        <w:t>Since its entry into force in 1996, the Cuban Liberty and Democratic </w:t>
      </w:r>
      <w:r>
        <w:rPr>
          <w:color w:val="231F20"/>
        </w:rPr>
        <w:t>Solidarity Act,</w:t>
      </w:r>
      <w:r>
        <w:rPr>
          <w:color w:val="231F20"/>
          <w:spacing w:val="40"/>
        </w:rPr>
        <w:t> </w:t>
      </w:r>
      <w:r>
        <w:rPr>
          <w:color w:val="231F20"/>
        </w:rPr>
        <w:t>also</w:t>
      </w:r>
      <w:r>
        <w:rPr>
          <w:color w:val="231F20"/>
          <w:spacing w:val="40"/>
        </w:rPr>
        <w:t> </w:t>
      </w:r>
      <w:r>
        <w:rPr>
          <w:color w:val="231F20"/>
        </w:rPr>
        <w:t>known</w:t>
      </w:r>
      <w:r>
        <w:rPr>
          <w:color w:val="231F20"/>
          <w:spacing w:val="40"/>
        </w:rPr>
        <w:t> </w:t>
      </w:r>
      <w:r>
        <w:rPr>
          <w:color w:val="231F20"/>
        </w:rPr>
        <w:t>as</w:t>
      </w:r>
      <w:r>
        <w:rPr>
          <w:color w:val="231F20"/>
          <w:spacing w:val="40"/>
        </w:rPr>
        <w:t> </w:t>
      </w:r>
      <w:r>
        <w:rPr>
          <w:color w:val="231F20"/>
        </w:rPr>
        <w:t>the</w:t>
      </w:r>
      <w:r>
        <w:rPr>
          <w:color w:val="231F20"/>
          <w:spacing w:val="40"/>
        </w:rPr>
        <w:t> </w:t>
      </w:r>
      <w:r>
        <w:rPr>
          <w:color w:val="231F20"/>
        </w:rPr>
        <w:t>Helms-Burton Act, has strengthened the blockade’s </w:t>
      </w:r>
      <w:r>
        <w:rPr>
          <w:color w:val="231F20"/>
          <w:spacing w:val="-4"/>
        </w:rPr>
        <w:t>extraterritorial</w:t>
      </w:r>
      <w:r>
        <w:rPr>
          <w:color w:val="231F20"/>
          <w:spacing w:val="-12"/>
        </w:rPr>
        <w:t> </w:t>
      </w:r>
      <w:r>
        <w:rPr>
          <w:color w:val="231F20"/>
          <w:spacing w:val="-4"/>
        </w:rPr>
        <w:t>scope.</w:t>
      </w:r>
      <w:r>
        <w:rPr>
          <w:color w:val="231F20"/>
          <w:spacing w:val="-10"/>
        </w:rPr>
        <w:t> </w:t>
      </w:r>
      <w:r>
        <w:rPr>
          <w:color w:val="231F20"/>
          <w:spacing w:val="-4"/>
        </w:rPr>
        <w:t>In</w:t>
      </w:r>
      <w:r>
        <w:rPr>
          <w:color w:val="231F20"/>
          <w:spacing w:val="-10"/>
        </w:rPr>
        <w:t> </w:t>
      </w:r>
      <w:r>
        <w:rPr>
          <w:color w:val="231F20"/>
          <w:spacing w:val="-4"/>
        </w:rPr>
        <w:t>addition</w:t>
      </w:r>
      <w:r>
        <w:rPr>
          <w:color w:val="231F20"/>
          <w:spacing w:val="-10"/>
        </w:rPr>
        <w:t> </w:t>
      </w:r>
      <w:r>
        <w:rPr>
          <w:color w:val="231F20"/>
          <w:spacing w:val="-4"/>
        </w:rPr>
        <w:t>to</w:t>
      </w:r>
      <w:r>
        <w:rPr>
          <w:color w:val="231F20"/>
          <w:spacing w:val="-10"/>
        </w:rPr>
        <w:t> </w:t>
      </w:r>
      <w:r>
        <w:rPr>
          <w:color w:val="231F20"/>
          <w:spacing w:val="-4"/>
        </w:rPr>
        <w:t>seeking </w:t>
      </w:r>
      <w:r>
        <w:rPr>
          <w:color w:val="231F20"/>
        </w:rPr>
        <w:t>the imposition of a government in Cuba directly subordinated to Washington’s interests,</w:t>
      </w:r>
      <w:r>
        <w:rPr>
          <w:color w:val="231F20"/>
          <w:spacing w:val="40"/>
        </w:rPr>
        <w:t> </w:t>
      </w:r>
      <w:r>
        <w:rPr>
          <w:color w:val="231F20"/>
        </w:rPr>
        <w:t>this</w:t>
      </w:r>
      <w:r>
        <w:rPr>
          <w:color w:val="231F20"/>
          <w:spacing w:val="40"/>
        </w:rPr>
        <w:t> </w:t>
      </w:r>
      <w:r>
        <w:rPr>
          <w:color w:val="231F20"/>
        </w:rPr>
        <w:t>legislation</w:t>
      </w:r>
      <w:r>
        <w:rPr>
          <w:color w:val="231F20"/>
          <w:spacing w:val="40"/>
        </w:rPr>
        <w:t> </w:t>
      </w:r>
      <w:r>
        <w:rPr>
          <w:color w:val="231F20"/>
        </w:rPr>
        <w:t>was</w:t>
      </w:r>
      <w:r>
        <w:rPr>
          <w:color w:val="231F20"/>
          <w:spacing w:val="40"/>
        </w:rPr>
        <w:t> </w:t>
      </w:r>
      <w:r>
        <w:rPr>
          <w:color w:val="231F20"/>
        </w:rPr>
        <w:t>designed to internationalize the blockade through coercive</w:t>
      </w:r>
      <w:r>
        <w:rPr>
          <w:color w:val="231F20"/>
          <w:spacing w:val="-9"/>
        </w:rPr>
        <w:t> </w:t>
      </w:r>
      <w:r>
        <w:rPr>
          <w:color w:val="231F20"/>
        </w:rPr>
        <w:t>measures</w:t>
      </w:r>
      <w:r>
        <w:rPr>
          <w:color w:val="231F20"/>
          <w:spacing w:val="-9"/>
        </w:rPr>
        <w:t> </w:t>
      </w:r>
      <w:r>
        <w:rPr>
          <w:color w:val="231F20"/>
        </w:rPr>
        <w:t>against</w:t>
      </w:r>
      <w:r>
        <w:rPr>
          <w:color w:val="231F20"/>
          <w:spacing w:val="-9"/>
        </w:rPr>
        <w:t> </w:t>
      </w:r>
      <w:r>
        <w:rPr>
          <w:color w:val="231F20"/>
        </w:rPr>
        <w:t>third</w:t>
      </w:r>
      <w:r>
        <w:rPr>
          <w:color w:val="231F20"/>
          <w:spacing w:val="-9"/>
        </w:rPr>
        <w:t> </w:t>
      </w:r>
      <w:r>
        <w:rPr>
          <w:color w:val="231F20"/>
        </w:rPr>
        <w:t>countries, impeding</w:t>
      </w:r>
      <w:r>
        <w:rPr>
          <w:color w:val="231F20"/>
          <w:spacing w:val="-14"/>
        </w:rPr>
        <w:t> </w:t>
      </w:r>
      <w:r>
        <w:rPr>
          <w:color w:val="231F20"/>
        </w:rPr>
        <w:t>and</w:t>
      </w:r>
      <w:r>
        <w:rPr>
          <w:color w:val="231F20"/>
          <w:spacing w:val="-14"/>
        </w:rPr>
        <w:t> </w:t>
      </w:r>
      <w:r>
        <w:rPr>
          <w:color w:val="231F20"/>
        </w:rPr>
        <w:t>disrupting</w:t>
      </w:r>
      <w:r>
        <w:rPr>
          <w:color w:val="231F20"/>
          <w:spacing w:val="-14"/>
        </w:rPr>
        <w:t> </w:t>
      </w:r>
      <w:r>
        <w:rPr>
          <w:color w:val="231F20"/>
        </w:rPr>
        <w:t>their</w:t>
      </w:r>
      <w:r>
        <w:rPr>
          <w:color w:val="231F20"/>
          <w:spacing w:val="-14"/>
        </w:rPr>
        <w:t> </w:t>
      </w:r>
      <w:r>
        <w:rPr>
          <w:color w:val="231F20"/>
        </w:rPr>
        <w:t>trading</w:t>
      </w:r>
      <w:r>
        <w:rPr>
          <w:color w:val="231F20"/>
          <w:spacing w:val="-15"/>
        </w:rPr>
        <w:t> </w:t>
      </w:r>
      <w:r>
        <w:rPr>
          <w:color w:val="231F20"/>
        </w:rPr>
        <w:t>and investment relations with Cuba.</w:t>
      </w:r>
    </w:p>
    <w:p>
      <w:pPr>
        <w:pStyle w:val="BodyText"/>
        <w:spacing w:before="169"/>
        <w:ind w:left="412" w:right="1471"/>
      </w:pPr>
      <w:r>
        <w:rPr>
          <w:color w:val="231F20"/>
        </w:rPr>
        <w:t>Title</w:t>
      </w:r>
      <w:r>
        <w:rPr>
          <w:color w:val="231F20"/>
          <w:spacing w:val="-17"/>
        </w:rPr>
        <w:t> </w:t>
      </w:r>
      <w:r>
        <w:rPr>
          <w:color w:val="231F20"/>
        </w:rPr>
        <w:t>III</w:t>
      </w:r>
      <w:r>
        <w:rPr>
          <w:color w:val="231F20"/>
          <w:spacing w:val="-16"/>
        </w:rPr>
        <w:t> </w:t>
      </w:r>
      <w:r>
        <w:rPr>
          <w:color w:val="231F20"/>
        </w:rPr>
        <w:t>of</w:t>
      </w:r>
      <w:r>
        <w:rPr>
          <w:color w:val="231F20"/>
          <w:spacing w:val="-17"/>
        </w:rPr>
        <w:t> </w:t>
      </w:r>
      <w:r>
        <w:rPr>
          <w:color w:val="231F20"/>
        </w:rPr>
        <w:t>the</w:t>
      </w:r>
      <w:r>
        <w:rPr>
          <w:color w:val="231F20"/>
          <w:spacing w:val="-16"/>
        </w:rPr>
        <w:t> </w:t>
      </w:r>
      <w:r>
        <w:rPr>
          <w:color w:val="231F20"/>
        </w:rPr>
        <w:t>act</w:t>
      </w:r>
      <w:r>
        <w:rPr>
          <w:color w:val="231F20"/>
          <w:spacing w:val="-17"/>
        </w:rPr>
        <w:t> </w:t>
      </w:r>
      <w:r>
        <w:rPr>
          <w:color w:val="231F20"/>
        </w:rPr>
        <w:t>enables</w:t>
      </w:r>
      <w:r>
        <w:rPr>
          <w:color w:val="231F20"/>
          <w:spacing w:val="-16"/>
        </w:rPr>
        <w:t> </w:t>
      </w:r>
      <w:r>
        <w:rPr>
          <w:color w:val="231F20"/>
        </w:rPr>
        <w:t>former</w:t>
      </w:r>
      <w:r>
        <w:rPr>
          <w:color w:val="231F20"/>
          <w:spacing w:val="-17"/>
        </w:rPr>
        <w:t> </w:t>
      </w:r>
      <w:r>
        <w:rPr>
          <w:color w:val="231F20"/>
        </w:rPr>
        <w:t>owners</w:t>
      </w:r>
      <w:r>
        <w:rPr>
          <w:color w:val="231F20"/>
          <w:spacing w:val="-16"/>
        </w:rPr>
        <w:t> </w:t>
      </w:r>
      <w:r>
        <w:rPr>
          <w:color w:val="231F20"/>
        </w:rPr>
        <w:t>of property nationalized in Cuba, </w:t>
      </w:r>
      <w:r>
        <w:rPr>
          <w:color w:val="231F20"/>
        </w:rPr>
        <w:t>including Cuban</w:t>
      </w:r>
      <w:r>
        <w:rPr>
          <w:color w:val="231F20"/>
          <w:spacing w:val="49"/>
          <w:w w:val="150"/>
        </w:rPr>
        <w:t> </w:t>
      </w:r>
      <w:r>
        <w:rPr>
          <w:color w:val="231F20"/>
        </w:rPr>
        <w:t>citizens</w:t>
      </w:r>
      <w:r>
        <w:rPr>
          <w:color w:val="231F20"/>
          <w:spacing w:val="49"/>
          <w:w w:val="150"/>
        </w:rPr>
        <w:t> </w:t>
      </w:r>
      <w:r>
        <w:rPr>
          <w:color w:val="231F20"/>
        </w:rPr>
        <w:t>who</w:t>
      </w:r>
      <w:r>
        <w:rPr>
          <w:color w:val="231F20"/>
          <w:spacing w:val="50"/>
          <w:w w:val="150"/>
        </w:rPr>
        <w:t> </w:t>
      </w:r>
      <w:r>
        <w:rPr>
          <w:color w:val="231F20"/>
        </w:rPr>
        <w:t>eventually</w:t>
      </w:r>
      <w:r>
        <w:rPr>
          <w:color w:val="231F20"/>
          <w:spacing w:val="49"/>
          <w:w w:val="150"/>
        </w:rPr>
        <w:t> </w:t>
      </w:r>
      <w:r>
        <w:rPr>
          <w:color w:val="231F20"/>
          <w:spacing w:val="-2"/>
        </w:rPr>
        <w:t>became</w:t>
      </w:r>
    </w:p>
    <w:p>
      <w:pPr>
        <w:pStyle w:val="BodyText"/>
        <w:spacing w:before="2"/>
        <w:ind w:left="412" w:right="1471"/>
      </w:pPr>
      <w:r>
        <w:rPr>
          <w:color w:val="231F20"/>
        </w:rPr>
        <w:t>U.S. citizens, to file suit in the U.S. courts against individuals and companies who have “trafficked” in such property.</w:t>
      </w:r>
    </w:p>
    <w:p>
      <w:pPr>
        <w:pStyle w:val="BodyText"/>
        <w:spacing w:before="163"/>
        <w:ind w:left="412" w:right="1471"/>
      </w:pPr>
      <w:r>
        <w:rPr>
          <w:color w:val="231F20"/>
        </w:rPr>
        <w:t>This</w:t>
      </w:r>
      <w:r>
        <w:rPr>
          <w:color w:val="231F20"/>
          <w:spacing w:val="40"/>
        </w:rPr>
        <w:t> </w:t>
      </w:r>
      <w:r>
        <w:rPr>
          <w:color w:val="231F20"/>
        </w:rPr>
        <w:t>is</w:t>
      </w:r>
      <w:r>
        <w:rPr>
          <w:color w:val="231F20"/>
          <w:spacing w:val="40"/>
        </w:rPr>
        <w:t> </w:t>
      </w:r>
      <w:r>
        <w:rPr>
          <w:color w:val="231F20"/>
        </w:rPr>
        <w:t>defined</w:t>
      </w:r>
      <w:r>
        <w:rPr>
          <w:color w:val="231F20"/>
          <w:spacing w:val="40"/>
        </w:rPr>
        <w:t> </w:t>
      </w:r>
      <w:r>
        <w:rPr>
          <w:color w:val="231F20"/>
        </w:rPr>
        <w:t>by</w:t>
      </w:r>
      <w:r>
        <w:rPr>
          <w:color w:val="231F20"/>
          <w:spacing w:val="40"/>
        </w:rPr>
        <w:t> </w:t>
      </w:r>
      <w:r>
        <w:rPr>
          <w:color w:val="231F20"/>
        </w:rPr>
        <w:t>the</w:t>
      </w:r>
      <w:r>
        <w:rPr>
          <w:color w:val="231F20"/>
          <w:spacing w:val="40"/>
        </w:rPr>
        <w:t> </w:t>
      </w:r>
      <w:r>
        <w:rPr>
          <w:color w:val="231F20"/>
        </w:rPr>
        <w:t>act</w:t>
      </w:r>
      <w:r>
        <w:rPr>
          <w:color w:val="231F20"/>
          <w:spacing w:val="40"/>
        </w:rPr>
        <w:t> </w:t>
      </w:r>
      <w:r>
        <w:rPr>
          <w:color w:val="231F20"/>
        </w:rPr>
        <w:t>as</w:t>
      </w:r>
      <w:r>
        <w:rPr>
          <w:color w:val="231F20"/>
          <w:spacing w:val="40"/>
        </w:rPr>
        <w:t> </w:t>
      </w:r>
      <w:r>
        <w:rPr>
          <w:color w:val="231F20"/>
        </w:rPr>
        <w:t>applying</w:t>
      </w:r>
      <w:r>
        <w:rPr>
          <w:color w:val="231F20"/>
          <w:spacing w:val="40"/>
        </w:rPr>
        <w:t> </w:t>
      </w:r>
      <w:r>
        <w:rPr>
          <w:color w:val="231F20"/>
        </w:rPr>
        <w:t>to anyone who “transfers, distributes, dispenses, brokers, or otherwise disposes of confiscated property; or </w:t>
      </w:r>
      <w:r>
        <w:rPr>
          <w:color w:val="231F20"/>
        </w:rPr>
        <w:t>purchases, receives,</w:t>
      </w:r>
      <w:r>
        <w:rPr>
          <w:color w:val="231F20"/>
          <w:spacing w:val="26"/>
        </w:rPr>
        <w:t> </w:t>
      </w:r>
      <w:r>
        <w:rPr>
          <w:color w:val="231F20"/>
        </w:rPr>
        <w:t>obtains</w:t>
      </w:r>
      <w:r>
        <w:rPr>
          <w:color w:val="231F20"/>
          <w:spacing w:val="27"/>
        </w:rPr>
        <w:t> </w:t>
      </w:r>
      <w:r>
        <w:rPr>
          <w:color w:val="231F20"/>
        </w:rPr>
        <w:t>control</w:t>
      </w:r>
      <w:r>
        <w:rPr>
          <w:color w:val="231F20"/>
          <w:spacing w:val="26"/>
        </w:rPr>
        <w:t> </w:t>
      </w:r>
      <w:r>
        <w:rPr>
          <w:color w:val="231F20"/>
        </w:rPr>
        <w:t>of,</w:t>
      </w:r>
      <w:r>
        <w:rPr>
          <w:color w:val="231F20"/>
          <w:spacing w:val="27"/>
        </w:rPr>
        <w:t> </w:t>
      </w:r>
      <w:r>
        <w:rPr>
          <w:color w:val="231F20"/>
        </w:rPr>
        <w:t>or</w:t>
      </w:r>
      <w:r>
        <w:rPr>
          <w:color w:val="231F20"/>
          <w:spacing w:val="27"/>
        </w:rPr>
        <w:t> </w:t>
      </w:r>
      <w:r>
        <w:rPr>
          <w:color w:val="231F20"/>
          <w:spacing w:val="-2"/>
        </w:rPr>
        <w:t>otherwise</w:t>
      </w:r>
    </w:p>
    <w:p>
      <w:pPr>
        <w:spacing w:after="0"/>
        <w:sectPr>
          <w:pgSz w:w="11910" w:h="16840"/>
          <w:pgMar w:header="0" w:footer="695" w:top="1260" w:bottom="880" w:left="0" w:right="0"/>
          <w:cols w:num="2" w:equalWidth="0">
            <w:col w:w="5557" w:space="40"/>
            <w:col w:w="6313"/>
          </w:cols>
        </w:sectPr>
      </w:pPr>
    </w:p>
    <w:p>
      <w:pPr>
        <w:pStyle w:val="BodyText"/>
        <w:spacing w:before="77"/>
        <w:ind w:left="1474"/>
      </w:pPr>
      <w:r>
        <w:rPr>
          <w:color w:val="231F20"/>
        </w:rPr>
        <w:t>acquires confiscated property; </w:t>
      </w:r>
      <w:r>
        <w:rPr>
          <w:color w:val="231F20"/>
        </w:rPr>
        <w:t>or improves, invests in, or begins after the date of the enactment of this Act to manage, lease, possess, use, or hold an interest in confiscated property; enters into a commercial arrangement using or otherwise benefiting from confiscated property; or causes, directs, participates in, or profits from, trafficking through another</w:t>
      </w:r>
      <w:r>
        <w:rPr>
          <w:color w:val="231F20"/>
          <w:spacing w:val="-10"/>
        </w:rPr>
        <w:t> </w:t>
      </w:r>
      <w:r>
        <w:rPr>
          <w:color w:val="231F20"/>
        </w:rPr>
        <w:t>person,</w:t>
      </w:r>
      <w:r>
        <w:rPr>
          <w:color w:val="231F20"/>
          <w:spacing w:val="-10"/>
        </w:rPr>
        <w:t> </w:t>
      </w:r>
      <w:r>
        <w:rPr>
          <w:color w:val="231F20"/>
        </w:rPr>
        <w:t>without</w:t>
      </w:r>
      <w:r>
        <w:rPr>
          <w:color w:val="231F20"/>
          <w:spacing w:val="-10"/>
        </w:rPr>
        <w:t> </w:t>
      </w:r>
      <w:r>
        <w:rPr>
          <w:color w:val="231F20"/>
        </w:rPr>
        <w:t>the</w:t>
      </w:r>
      <w:r>
        <w:rPr>
          <w:color w:val="231F20"/>
          <w:spacing w:val="-10"/>
        </w:rPr>
        <w:t> </w:t>
      </w:r>
      <w:r>
        <w:rPr>
          <w:color w:val="231F20"/>
        </w:rPr>
        <w:t>authorization of</w:t>
      </w:r>
      <w:r>
        <w:rPr>
          <w:color w:val="231F20"/>
          <w:spacing w:val="-3"/>
        </w:rPr>
        <w:t> </w:t>
      </w:r>
      <w:r>
        <w:rPr>
          <w:color w:val="231F20"/>
        </w:rPr>
        <w:t>any</w:t>
      </w:r>
      <w:r>
        <w:rPr>
          <w:color w:val="231F20"/>
          <w:spacing w:val="-3"/>
        </w:rPr>
        <w:t> </w:t>
      </w:r>
      <w:r>
        <w:rPr>
          <w:color w:val="231F20"/>
        </w:rPr>
        <w:t>United</w:t>
      </w:r>
      <w:r>
        <w:rPr>
          <w:color w:val="231F20"/>
          <w:spacing w:val="-3"/>
        </w:rPr>
        <w:t> </w:t>
      </w:r>
      <w:r>
        <w:rPr>
          <w:color w:val="231F20"/>
        </w:rPr>
        <w:t>States</w:t>
      </w:r>
      <w:r>
        <w:rPr>
          <w:color w:val="231F20"/>
          <w:spacing w:val="-3"/>
        </w:rPr>
        <w:t> </w:t>
      </w:r>
      <w:r>
        <w:rPr>
          <w:color w:val="231F20"/>
        </w:rPr>
        <w:t>national</w:t>
      </w:r>
      <w:r>
        <w:rPr>
          <w:color w:val="231F20"/>
          <w:spacing w:val="-3"/>
        </w:rPr>
        <w:t> </w:t>
      </w:r>
      <w:r>
        <w:rPr>
          <w:color w:val="231F20"/>
        </w:rPr>
        <w:t>who</w:t>
      </w:r>
      <w:r>
        <w:rPr>
          <w:color w:val="231F20"/>
          <w:spacing w:val="-3"/>
        </w:rPr>
        <w:t> </w:t>
      </w:r>
      <w:r>
        <w:rPr>
          <w:color w:val="231F20"/>
        </w:rPr>
        <w:t>holds</w:t>
      </w:r>
      <w:r>
        <w:rPr>
          <w:color w:val="231F20"/>
          <w:spacing w:val="-3"/>
        </w:rPr>
        <w:t> </w:t>
      </w:r>
      <w:r>
        <w:rPr>
          <w:color w:val="231F20"/>
        </w:rPr>
        <w:t>a claim to the property”.</w:t>
      </w:r>
    </w:p>
    <w:p>
      <w:pPr>
        <w:pStyle w:val="BodyText"/>
        <w:spacing w:before="169"/>
        <w:ind w:left="1474"/>
      </w:pPr>
      <w:r>
        <w:rPr>
          <w:color w:val="231F20"/>
        </w:rPr>
        <w:t>The</w:t>
      </w:r>
      <w:r>
        <w:rPr>
          <w:color w:val="231F20"/>
          <w:spacing w:val="80"/>
        </w:rPr>
        <w:t> </w:t>
      </w:r>
      <w:r>
        <w:rPr>
          <w:color w:val="231F20"/>
        </w:rPr>
        <w:t>Helms-Burton</w:t>
      </w:r>
      <w:r>
        <w:rPr>
          <w:color w:val="231F20"/>
          <w:spacing w:val="80"/>
        </w:rPr>
        <w:t> </w:t>
      </w:r>
      <w:r>
        <w:rPr>
          <w:color w:val="231F20"/>
        </w:rPr>
        <w:t>Act</w:t>
      </w:r>
      <w:r>
        <w:rPr>
          <w:color w:val="231F20"/>
          <w:spacing w:val="80"/>
        </w:rPr>
        <w:t> </w:t>
      </w:r>
      <w:r>
        <w:rPr>
          <w:color w:val="231F20"/>
        </w:rPr>
        <w:t>has</w:t>
      </w:r>
      <w:r>
        <w:rPr>
          <w:color w:val="231F20"/>
          <w:spacing w:val="80"/>
        </w:rPr>
        <w:t> </w:t>
      </w:r>
      <w:r>
        <w:rPr>
          <w:color w:val="231F20"/>
        </w:rPr>
        <w:t>emerged</w:t>
      </w:r>
      <w:r>
        <w:rPr>
          <w:color w:val="231F20"/>
          <w:spacing w:val="80"/>
        </w:rPr>
        <w:t> </w:t>
      </w:r>
      <w:r>
        <w:rPr>
          <w:color w:val="231F20"/>
        </w:rPr>
        <w:t>as a mechanism that enables the U.S. </w:t>
      </w:r>
      <w:r>
        <w:rPr>
          <w:color w:val="231F20"/>
          <w:spacing w:val="-4"/>
        </w:rPr>
        <w:t>government</w:t>
      </w:r>
      <w:r>
        <w:rPr>
          <w:color w:val="231F20"/>
          <w:spacing w:val="-13"/>
        </w:rPr>
        <w:t> </w:t>
      </w:r>
      <w:r>
        <w:rPr>
          <w:color w:val="231F20"/>
          <w:spacing w:val="-4"/>
        </w:rPr>
        <w:t>to</w:t>
      </w:r>
      <w:r>
        <w:rPr>
          <w:color w:val="231F20"/>
          <w:spacing w:val="-12"/>
        </w:rPr>
        <w:t> </w:t>
      </w:r>
      <w:r>
        <w:rPr>
          <w:color w:val="231F20"/>
          <w:spacing w:val="-4"/>
        </w:rPr>
        <w:t>apply</w:t>
      </w:r>
      <w:r>
        <w:rPr>
          <w:color w:val="231F20"/>
          <w:spacing w:val="-13"/>
        </w:rPr>
        <w:t> </w:t>
      </w:r>
      <w:r>
        <w:rPr>
          <w:color w:val="231F20"/>
          <w:spacing w:val="-4"/>
        </w:rPr>
        <w:t>harsh</w:t>
      </w:r>
      <w:r>
        <w:rPr>
          <w:color w:val="231F20"/>
          <w:spacing w:val="-12"/>
        </w:rPr>
        <w:t> </w:t>
      </w:r>
      <w:r>
        <w:rPr>
          <w:color w:val="231F20"/>
          <w:spacing w:val="-4"/>
        </w:rPr>
        <w:t>illegal</w:t>
      </w:r>
      <w:r>
        <w:rPr>
          <w:color w:val="231F20"/>
          <w:spacing w:val="-13"/>
        </w:rPr>
        <w:t> </w:t>
      </w:r>
      <w:r>
        <w:rPr>
          <w:color w:val="231F20"/>
          <w:spacing w:val="-4"/>
        </w:rPr>
        <w:t>pressures </w:t>
      </w:r>
      <w:r>
        <w:rPr>
          <w:color w:val="231F20"/>
        </w:rPr>
        <w:t>not only on Cuba but also against third country governments and companies. Its tactics are illicit and in breach of the UN Charter and international law.</w:t>
      </w:r>
    </w:p>
    <w:p>
      <w:pPr>
        <w:pStyle w:val="BodyText"/>
        <w:spacing w:before="166"/>
        <w:ind w:left="1474"/>
      </w:pPr>
      <w:r>
        <w:rPr>
          <w:color w:val="231F20"/>
        </w:rPr>
        <w:t>In</w:t>
      </w:r>
      <w:r>
        <w:rPr>
          <w:color w:val="231F20"/>
          <w:spacing w:val="40"/>
        </w:rPr>
        <w:t> </w:t>
      </w:r>
      <w:r>
        <w:rPr>
          <w:color w:val="231F20"/>
        </w:rPr>
        <w:t>this</w:t>
      </w:r>
      <w:r>
        <w:rPr>
          <w:color w:val="231F20"/>
          <w:spacing w:val="40"/>
        </w:rPr>
        <w:t> </w:t>
      </w:r>
      <w:r>
        <w:rPr>
          <w:color w:val="231F20"/>
        </w:rPr>
        <w:t>context,</w:t>
      </w:r>
      <w:r>
        <w:rPr>
          <w:color w:val="231F20"/>
          <w:spacing w:val="40"/>
        </w:rPr>
        <w:t> </w:t>
      </w:r>
      <w:r>
        <w:rPr>
          <w:color w:val="231F20"/>
        </w:rPr>
        <w:t>the</w:t>
      </w:r>
      <w:r>
        <w:rPr>
          <w:color w:val="231F20"/>
          <w:spacing w:val="40"/>
        </w:rPr>
        <w:t> </w:t>
      </w:r>
      <w:r>
        <w:rPr>
          <w:color w:val="231F20"/>
        </w:rPr>
        <w:t>Special</w:t>
      </w:r>
      <w:r>
        <w:rPr>
          <w:color w:val="231F20"/>
          <w:spacing w:val="40"/>
        </w:rPr>
        <w:t> </w:t>
      </w:r>
      <w:r>
        <w:rPr>
          <w:color w:val="231F20"/>
        </w:rPr>
        <w:t>Rapporteur on Unilateral Coercive Measures of the UN Human Rights Council, Alena </w:t>
      </w:r>
      <w:r>
        <w:rPr>
          <w:color w:val="231F20"/>
        </w:rPr>
        <w:t>Dohan, in a keynote lecture at Havana University on May 4, 2023 on the occasion of an academic</w:t>
      </w:r>
      <w:r>
        <w:rPr>
          <w:color w:val="231F20"/>
          <w:spacing w:val="40"/>
        </w:rPr>
        <w:t> </w:t>
      </w:r>
      <w:r>
        <w:rPr>
          <w:color w:val="231F20"/>
        </w:rPr>
        <w:t>visit</w:t>
      </w:r>
      <w:r>
        <w:rPr>
          <w:color w:val="231F20"/>
          <w:spacing w:val="40"/>
        </w:rPr>
        <w:t> </w:t>
      </w:r>
      <w:r>
        <w:rPr>
          <w:color w:val="231F20"/>
        </w:rPr>
        <w:t>to</w:t>
      </w:r>
      <w:r>
        <w:rPr>
          <w:color w:val="231F20"/>
          <w:spacing w:val="40"/>
        </w:rPr>
        <w:t> </w:t>
      </w:r>
      <w:r>
        <w:rPr>
          <w:color w:val="231F20"/>
        </w:rPr>
        <w:t>Cuba,</w:t>
      </w:r>
      <w:r>
        <w:rPr>
          <w:color w:val="231F20"/>
          <w:spacing w:val="40"/>
        </w:rPr>
        <w:t> </w:t>
      </w:r>
      <w:r>
        <w:rPr>
          <w:color w:val="231F20"/>
        </w:rPr>
        <w:t>pointed</w:t>
      </w:r>
      <w:r>
        <w:rPr>
          <w:color w:val="231F20"/>
          <w:spacing w:val="40"/>
        </w:rPr>
        <w:t> </w:t>
      </w:r>
      <w:r>
        <w:rPr>
          <w:color w:val="231F20"/>
        </w:rPr>
        <w:t>out that: “All these sanctions are so complex and all-embracing that not even the so- called European Union Blocking Statute completely protects its companies that wish to conduct operations with Cuba, even when those countries reject the Helms-Burton Act”.</w:t>
      </w:r>
    </w:p>
    <w:p>
      <w:pPr>
        <w:pStyle w:val="BodyText"/>
        <w:spacing w:before="170"/>
        <w:ind w:left="1474"/>
      </w:pPr>
      <w:r>
        <w:rPr>
          <w:color w:val="231F20"/>
        </w:rPr>
        <w:t>The ability to claim against the alleged beneficiaries of such “trafficking” had been repeatedly suspended every </w:t>
      </w:r>
      <w:r>
        <w:rPr>
          <w:color w:val="231F20"/>
        </w:rPr>
        <w:t>six months</w:t>
      </w:r>
      <w:r>
        <w:rPr>
          <w:color w:val="231F20"/>
          <w:spacing w:val="-17"/>
        </w:rPr>
        <w:t> </w:t>
      </w:r>
      <w:r>
        <w:rPr>
          <w:color w:val="231F20"/>
        </w:rPr>
        <w:t>since</w:t>
      </w:r>
      <w:r>
        <w:rPr>
          <w:color w:val="231F20"/>
          <w:spacing w:val="-16"/>
        </w:rPr>
        <w:t> </w:t>
      </w:r>
      <w:r>
        <w:rPr>
          <w:color w:val="231F20"/>
        </w:rPr>
        <w:t>1996</w:t>
      </w:r>
      <w:r>
        <w:rPr>
          <w:color w:val="231F20"/>
          <w:spacing w:val="-17"/>
        </w:rPr>
        <w:t> </w:t>
      </w:r>
      <w:r>
        <w:rPr>
          <w:color w:val="231F20"/>
        </w:rPr>
        <w:t>by</w:t>
      </w:r>
      <w:r>
        <w:rPr>
          <w:color w:val="231F20"/>
          <w:spacing w:val="-16"/>
        </w:rPr>
        <w:t> </w:t>
      </w:r>
      <w:r>
        <w:rPr>
          <w:color w:val="231F20"/>
        </w:rPr>
        <w:t>every</w:t>
      </w:r>
      <w:r>
        <w:rPr>
          <w:color w:val="231F20"/>
          <w:spacing w:val="-17"/>
        </w:rPr>
        <w:t> </w:t>
      </w:r>
      <w:r>
        <w:rPr>
          <w:color w:val="231F20"/>
        </w:rPr>
        <w:t>U.S.</w:t>
      </w:r>
      <w:r>
        <w:rPr>
          <w:color w:val="231F20"/>
          <w:spacing w:val="-16"/>
        </w:rPr>
        <w:t> </w:t>
      </w:r>
      <w:r>
        <w:rPr>
          <w:color w:val="231F20"/>
        </w:rPr>
        <w:t>president, adopting an exception under the law which allowed them that discretion. On April 17, 2019, Donald Trump announced that from May 2 of that year, the option would</w:t>
      </w:r>
      <w:r>
        <w:rPr>
          <w:color w:val="231F20"/>
          <w:spacing w:val="-13"/>
        </w:rPr>
        <w:t> </w:t>
      </w:r>
      <w:r>
        <w:rPr>
          <w:color w:val="231F20"/>
        </w:rPr>
        <w:t>be</w:t>
      </w:r>
      <w:r>
        <w:rPr>
          <w:color w:val="231F20"/>
          <w:spacing w:val="-13"/>
        </w:rPr>
        <w:t> </w:t>
      </w:r>
      <w:r>
        <w:rPr>
          <w:color w:val="231F20"/>
        </w:rPr>
        <w:t>activated,</w:t>
      </w:r>
      <w:r>
        <w:rPr>
          <w:color w:val="231F20"/>
          <w:spacing w:val="-13"/>
        </w:rPr>
        <w:t> </w:t>
      </w:r>
      <w:r>
        <w:rPr>
          <w:color w:val="231F20"/>
        </w:rPr>
        <w:t>by</w:t>
      </w:r>
      <w:r>
        <w:rPr>
          <w:color w:val="231F20"/>
          <w:spacing w:val="-13"/>
        </w:rPr>
        <w:t> </w:t>
      </w:r>
      <w:r>
        <w:rPr>
          <w:color w:val="231F20"/>
        </w:rPr>
        <w:t>allowing</w:t>
      </w:r>
      <w:r>
        <w:rPr>
          <w:color w:val="231F20"/>
          <w:spacing w:val="-13"/>
        </w:rPr>
        <w:t> </w:t>
      </w:r>
      <w:r>
        <w:rPr>
          <w:color w:val="231F20"/>
        </w:rPr>
        <w:t>the</w:t>
      </w:r>
      <w:r>
        <w:rPr>
          <w:color w:val="231F20"/>
          <w:spacing w:val="-13"/>
        </w:rPr>
        <w:t> </w:t>
      </w:r>
      <w:r>
        <w:rPr>
          <w:color w:val="231F20"/>
        </w:rPr>
        <w:t>courts to hear such claims.</w:t>
      </w:r>
    </w:p>
    <w:p>
      <w:pPr>
        <w:pStyle w:val="BodyText"/>
        <w:spacing w:before="77"/>
        <w:ind w:left="412" w:right="1131"/>
      </w:pPr>
      <w:r>
        <w:rPr/>
        <w:br w:type="column"/>
      </w:r>
      <w:r>
        <w:rPr>
          <w:color w:val="231F20"/>
        </w:rPr>
        <w:t>This</w:t>
      </w:r>
      <w:r>
        <w:rPr>
          <w:color w:val="231F20"/>
          <w:spacing w:val="-16"/>
        </w:rPr>
        <w:t> </w:t>
      </w:r>
      <w:r>
        <w:rPr>
          <w:color w:val="231F20"/>
        </w:rPr>
        <w:t>decision</w:t>
      </w:r>
      <w:r>
        <w:rPr>
          <w:color w:val="231F20"/>
          <w:spacing w:val="-16"/>
        </w:rPr>
        <w:t> </w:t>
      </w:r>
      <w:r>
        <w:rPr>
          <w:color w:val="231F20"/>
        </w:rPr>
        <w:t>has</w:t>
      </w:r>
      <w:r>
        <w:rPr>
          <w:color w:val="231F20"/>
          <w:spacing w:val="-16"/>
        </w:rPr>
        <w:t> </w:t>
      </w:r>
      <w:r>
        <w:rPr>
          <w:color w:val="231F20"/>
        </w:rPr>
        <w:t>not</w:t>
      </w:r>
      <w:r>
        <w:rPr>
          <w:color w:val="231F20"/>
          <w:spacing w:val="-17"/>
        </w:rPr>
        <w:t> </w:t>
      </w:r>
      <w:r>
        <w:rPr>
          <w:color w:val="231F20"/>
        </w:rPr>
        <w:t>been</w:t>
      </w:r>
      <w:r>
        <w:rPr>
          <w:color w:val="231F20"/>
          <w:spacing w:val="-16"/>
        </w:rPr>
        <w:t> </w:t>
      </w:r>
      <w:r>
        <w:rPr>
          <w:color w:val="231F20"/>
        </w:rPr>
        <w:t>reversed</w:t>
      </w:r>
      <w:r>
        <w:rPr>
          <w:color w:val="231F20"/>
          <w:spacing w:val="-16"/>
        </w:rPr>
        <w:t> </w:t>
      </w:r>
      <w:r>
        <w:rPr>
          <w:color w:val="231F20"/>
        </w:rPr>
        <w:t>by</w:t>
      </w:r>
      <w:r>
        <w:rPr>
          <w:color w:val="231F20"/>
          <w:spacing w:val="-16"/>
        </w:rPr>
        <w:t> </w:t>
      </w:r>
      <w:r>
        <w:rPr>
          <w:color w:val="231F20"/>
        </w:rPr>
        <w:t>the Biden administration, with repercussions for U.S. and third-country companies</w:t>
      </w:r>
      <w:r>
        <w:rPr>
          <w:color w:val="231F20"/>
          <w:spacing w:val="80"/>
          <w:w w:val="150"/>
        </w:rPr>
        <w:t> </w:t>
      </w:r>
      <w:r>
        <w:rPr>
          <w:color w:val="231F20"/>
        </w:rPr>
        <w:t>that have conducted or are </w:t>
      </w:r>
      <w:r>
        <w:rPr>
          <w:color w:val="231F20"/>
        </w:rPr>
        <w:t>conducting business with Cuba, and for domestic </w:t>
      </w:r>
      <w:r>
        <w:rPr>
          <w:color w:val="231F20"/>
          <w:spacing w:val="-2"/>
        </w:rPr>
        <w:t>companies.</w:t>
      </w:r>
    </w:p>
    <w:p>
      <w:pPr>
        <w:pStyle w:val="BodyText"/>
        <w:spacing w:before="164"/>
        <w:ind w:left="412" w:right="1133"/>
      </w:pPr>
      <w:r>
        <w:rPr>
          <w:color w:val="231F20"/>
        </w:rPr>
        <w:t>By March 31, 2023, a total of 42 lawsuits </w:t>
      </w:r>
      <w:r>
        <w:rPr>
          <w:color w:val="231F20"/>
          <w:spacing w:val="-8"/>
        </w:rPr>
        <w:t>under Title III had been filed. Between March </w:t>
      </w:r>
      <w:r>
        <w:rPr>
          <w:color w:val="231F20"/>
        </w:rPr>
        <w:t>2022 and February 2023, specifically, the following announcements were recorded:</w:t>
      </w:r>
    </w:p>
    <w:p>
      <w:pPr>
        <w:pStyle w:val="BodyText"/>
        <w:spacing w:before="164"/>
        <w:ind w:left="412" w:right="1130"/>
      </w:pPr>
      <w:r>
        <w:rPr>
          <w:b/>
          <w:color w:val="231F20"/>
        </w:rPr>
        <w:t>On</w:t>
      </w:r>
      <w:r>
        <w:rPr>
          <w:b/>
          <w:color w:val="231F20"/>
          <w:spacing w:val="-9"/>
        </w:rPr>
        <w:t> </w:t>
      </w:r>
      <w:r>
        <w:rPr>
          <w:b/>
          <w:color w:val="231F20"/>
        </w:rPr>
        <w:t>March</w:t>
      </w:r>
      <w:r>
        <w:rPr>
          <w:b/>
          <w:color w:val="231F20"/>
          <w:spacing w:val="-9"/>
        </w:rPr>
        <w:t> </w:t>
      </w:r>
      <w:r>
        <w:rPr>
          <w:b/>
          <w:color w:val="231F20"/>
        </w:rPr>
        <w:t>22,</w:t>
      </w:r>
      <w:r>
        <w:rPr>
          <w:b/>
          <w:color w:val="231F20"/>
          <w:spacing w:val="-9"/>
        </w:rPr>
        <w:t> </w:t>
      </w:r>
      <w:r>
        <w:rPr>
          <w:b/>
          <w:color w:val="231F20"/>
        </w:rPr>
        <w:t>2022,</w:t>
      </w:r>
      <w:r>
        <w:rPr>
          <w:b/>
          <w:color w:val="231F20"/>
          <w:spacing w:val="-10"/>
        </w:rPr>
        <w:t> </w:t>
      </w:r>
      <w:r>
        <w:rPr>
          <w:color w:val="231F20"/>
        </w:rPr>
        <w:t>the</w:t>
      </w:r>
      <w:r>
        <w:rPr>
          <w:color w:val="231F20"/>
          <w:spacing w:val="-9"/>
        </w:rPr>
        <w:t> </w:t>
      </w:r>
      <w:r>
        <w:rPr>
          <w:color w:val="231F20"/>
        </w:rPr>
        <w:t>plaintiffs</w:t>
      </w:r>
      <w:r>
        <w:rPr>
          <w:color w:val="231F20"/>
          <w:spacing w:val="-9"/>
        </w:rPr>
        <w:t> </w:t>
      </w:r>
      <w:r>
        <w:rPr>
          <w:color w:val="231F20"/>
        </w:rPr>
        <w:t>Richard </w:t>
      </w:r>
      <w:r>
        <w:rPr>
          <w:color w:val="231F20"/>
          <w:spacing w:val="-4"/>
        </w:rPr>
        <w:t>Sierra,</w:t>
      </w:r>
      <w:r>
        <w:rPr>
          <w:color w:val="231F20"/>
          <w:spacing w:val="-8"/>
        </w:rPr>
        <w:t> </w:t>
      </w:r>
      <w:r>
        <w:rPr>
          <w:color w:val="231F20"/>
          <w:spacing w:val="-4"/>
        </w:rPr>
        <w:t>Veronica</w:t>
      </w:r>
      <w:r>
        <w:rPr>
          <w:color w:val="231F20"/>
          <w:spacing w:val="-8"/>
        </w:rPr>
        <w:t> </w:t>
      </w:r>
      <w:r>
        <w:rPr>
          <w:color w:val="231F20"/>
          <w:spacing w:val="-4"/>
        </w:rPr>
        <w:t>Gooch,</w:t>
      </w:r>
      <w:r>
        <w:rPr>
          <w:color w:val="231F20"/>
          <w:spacing w:val="-8"/>
        </w:rPr>
        <w:t> </w:t>
      </w:r>
      <w:r>
        <w:rPr>
          <w:color w:val="231F20"/>
          <w:spacing w:val="-4"/>
        </w:rPr>
        <w:t>Roland</w:t>
      </w:r>
      <w:r>
        <w:rPr>
          <w:color w:val="231F20"/>
          <w:spacing w:val="-8"/>
        </w:rPr>
        <w:t> </w:t>
      </w:r>
      <w:r>
        <w:rPr>
          <w:color w:val="231F20"/>
          <w:spacing w:val="-4"/>
        </w:rPr>
        <w:t>Sierra,</w:t>
      </w:r>
      <w:r>
        <w:rPr>
          <w:color w:val="231F20"/>
          <w:spacing w:val="-8"/>
        </w:rPr>
        <w:t> </w:t>
      </w:r>
      <w:r>
        <w:rPr>
          <w:color w:val="231F20"/>
          <w:spacing w:val="-4"/>
        </w:rPr>
        <w:t>Lucía </w:t>
      </w:r>
      <w:r>
        <w:rPr>
          <w:color w:val="231F20"/>
          <w:spacing w:val="-2"/>
        </w:rPr>
        <w:t>Lleras</w:t>
      </w:r>
      <w:r>
        <w:rPr>
          <w:color w:val="231F20"/>
          <w:spacing w:val="-11"/>
        </w:rPr>
        <w:t> </w:t>
      </w:r>
      <w:r>
        <w:rPr>
          <w:color w:val="231F20"/>
          <w:spacing w:val="-2"/>
        </w:rPr>
        <w:t>De</w:t>
      </w:r>
      <w:r>
        <w:rPr>
          <w:color w:val="231F20"/>
          <w:spacing w:val="-11"/>
        </w:rPr>
        <w:t> </w:t>
      </w:r>
      <w:r>
        <w:rPr>
          <w:color w:val="231F20"/>
          <w:spacing w:val="-2"/>
        </w:rPr>
        <w:t>Labrada</w:t>
      </w:r>
      <w:r>
        <w:rPr>
          <w:color w:val="231F20"/>
          <w:spacing w:val="-11"/>
        </w:rPr>
        <w:t> </w:t>
      </w:r>
      <w:r>
        <w:rPr>
          <w:color w:val="231F20"/>
          <w:spacing w:val="-2"/>
        </w:rPr>
        <w:t>and</w:t>
      </w:r>
      <w:r>
        <w:rPr>
          <w:color w:val="231F20"/>
          <w:spacing w:val="-11"/>
        </w:rPr>
        <w:t> </w:t>
      </w:r>
      <w:r>
        <w:rPr>
          <w:color w:val="231F20"/>
          <w:spacing w:val="-2"/>
        </w:rPr>
        <w:t>Priscilla</w:t>
      </w:r>
      <w:r>
        <w:rPr>
          <w:color w:val="231F20"/>
          <w:spacing w:val="-11"/>
        </w:rPr>
        <w:t> </w:t>
      </w:r>
      <w:r>
        <w:rPr>
          <w:color w:val="231F20"/>
          <w:spacing w:val="-2"/>
        </w:rPr>
        <w:t>Lleras-Bush, </w:t>
      </w:r>
      <w:r>
        <w:rPr>
          <w:color w:val="231F20"/>
        </w:rPr>
        <w:t>filed a suit in the Delaware district </w:t>
      </w:r>
      <w:r>
        <w:rPr>
          <w:color w:val="231F20"/>
        </w:rPr>
        <w:t>court against</w:t>
      </w:r>
      <w:r>
        <w:rPr>
          <w:color w:val="231F20"/>
          <w:spacing w:val="-16"/>
        </w:rPr>
        <w:t> </w:t>
      </w:r>
      <w:r>
        <w:rPr>
          <w:color w:val="231F20"/>
        </w:rPr>
        <w:t>Trafigura</w:t>
      </w:r>
      <w:r>
        <w:rPr>
          <w:color w:val="231F20"/>
          <w:spacing w:val="-17"/>
        </w:rPr>
        <w:t> </w:t>
      </w:r>
      <w:r>
        <w:rPr>
          <w:color w:val="231F20"/>
        </w:rPr>
        <w:t>Trading</w:t>
      </w:r>
      <w:r>
        <w:rPr>
          <w:color w:val="231F20"/>
          <w:spacing w:val="-15"/>
        </w:rPr>
        <w:t> </w:t>
      </w:r>
      <w:r>
        <w:rPr>
          <w:color w:val="231F20"/>
        </w:rPr>
        <w:t>LLC,</w:t>
      </w:r>
      <w:r>
        <w:rPr>
          <w:color w:val="231F20"/>
          <w:spacing w:val="-16"/>
        </w:rPr>
        <w:t> </w:t>
      </w:r>
      <w:r>
        <w:rPr>
          <w:color w:val="231F20"/>
        </w:rPr>
        <w:t>on</w:t>
      </w:r>
      <w:r>
        <w:rPr>
          <w:color w:val="231F20"/>
          <w:spacing w:val="-16"/>
        </w:rPr>
        <w:t> </w:t>
      </w:r>
      <w:r>
        <w:rPr>
          <w:color w:val="231F20"/>
        </w:rPr>
        <w:t>the</w:t>
      </w:r>
      <w:r>
        <w:rPr>
          <w:color w:val="231F20"/>
          <w:spacing w:val="-16"/>
        </w:rPr>
        <w:t> </w:t>
      </w:r>
      <w:r>
        <w:rPr>
          <w:color w:val="231F20"/>
        </w:rPr>
        <w:t>basis of being shareholders in the companies that owned the Matahambre mines, the Santa Lucia port terminal in Pinar del Río, docks,</w:t>
      </w:r>
      <w:r>
        <w:rPr>
          <w:color w:val="231F20"/>
          <w:spacing w:val="-7"/>
        </w:rPr>
        <w:t> </w:t>
      </w:r>
      <w:r>
        <w:rPr>
          <w:color w:val="231F20"/>
        </w:rPr>
        <w:t>warehouses,</w:t>
      </w:r>
      <w:r>
        <w:rPr>
          <w:color w:val="231F20"/>
          <w:spacing w:val="-7"/>
        </w:rPr>
        <w:t> </w:t>
      </w:r>
      <w:r>
        <w:rPr>
          <w:color w:val="231F20"/>
        </w:rPr>
        <w:t>commercial</w:t>
      </w:r>
      <w:r>
        <w:rPr>
          <w:color w:val="231F20"/>
          <w:spacing w:val="-7"/>
        </w:rPr>
        <w:t> </w:t>
      </w:r>
      <w:r>
        <w:rPr>
          <w:color w:val="231F20"/>
        </w:rPr>
        <w:t>buildings, ranches, highways, mineral processing plant</w:t>
      </w:r>
      <w:r>
        <w:rPr>
          <w:color w:val="231F20"/>
          <w:spacing w:val="-2"/>
        </w:rPr>
        <w:t> </w:t>
      </w:r>
      <w:r>
        <w:rPr>
          <w:color w:val="231F20"/>
        </w:rPr>
        <w:t>and</w:t>
      </w:r>
      <w:r>
        <w:rPr>
          <w:color w:val="231F20"/>
          <w:spacing w:val="-2"/>
        </w:rPr>
        <w:t> </w:t>
      </w:r>
      <w:r>
        <w:rPr>
          <w:color w:val="231F20"/>
        </w:rPr>
        <w:t>other</w:t>
      </w:r>
      <w:r>
        <w:rPr>
          <w:color w:val="231F20"/>
          <w:spacing w:val="-2"/>
        </w:rPr>
        <w:t> </w:t>
      </w:r>
      <w:r>
        <w:rPr>
          <w:color w:val="231F20"/>
        </w:rPr>
        <w:t>properties</w:t>
      </w:r>
      <w:r>
        <w:rPr>
          <w:color w:val="231F20"/>
          <w:spacing w:val="-2"/>
        </w:rPr>
        <w:t> </w:t>
      </w:r>
      <w:r>
        <w:rPr>
          <w:color w:val="231F20"/>
        </w:rPr>
        <w:t>nationalized</w:t>
      </w:r>
      <w:r>
        <w:rPr>
          <w:color w:val="231F20"/>
          <w:spacing w:val="-2"/>
        </w:rPr>
        <w:t> </w:t>
      </w:r>
      <w:r>
        <w:rPr>
          <w:color w:val="231F20"/>
        </w:rPr>
        <w:t>in the wake of Cuba’s revolutionary victory in 1959.</w:t>
      </w:r>
    </w:p>
    <w:p>
      <w:pPr>
        <w:pStyle w:val="BodyText"/>
        <w:spacing w:before="170"/>
        <w:ind w:left="412" w:right="1130"/>
      </w:pPr>
      <w:r>
        <w:rPr>
          <w:b/>
          <w:color w:val="231F20"/>
        </w:rPr>
        <w:t>Also on March 22, 2022, </w:t>
      </w:r>
      <w:r>
        <w:rPr>
          <w:color w:val="231F20"/>
        </w:rPr>
        <w:t>a plaintiff U.S. company,</w:t>
      </w:r>
      <w:r>
        <w:rPr>
          <w:color w:val="231F20"/>
          <w:spacing w:val="-8"/>
        </w:rPr>
        <w:t> </w:t>
      </w:r>
      <w:r>
        <w:rPr>
          <w:color w:val="231F20"/>
        </w:rPr>
        <w:t>Central</w:t>
      </w:r>
      <w:r>
        <w:rPr>
          <w:color w:val="231F20"/>
          <w:spacing w:val="-8"/>
        </w:rPr>
        <w:t> </w:t>
      </w:r>
      <w:r>
        <w:rPr>
          <w:color w:val="231F20"/>
        </w:rPr>
        <w:t>Santa</w:t>
      </w:r>
      <w:r>
        <w:rPr>
          <w:color w:val="231F20"/>
          <w:spacing w:val="-8"/>
        </w:rPr>
        <w:t> </w:t>
      </w:r>
      <w:r>
        <w:rPr>
          <w:color w:val="231F20"/>
        </w:rPr>
        <w:t>Lucía</w:t>
      </w:r>
      <w:r>
        <w:rPr>
          <w:color w:val="231F20"/>
          <w:spacing w:val="-8"/>
        </w:rPr>
        <w:t> </w:t>
      </w:r>
      <w:r>
        <w:rPr>
          <w:color w:val="231F20"/>
        </w:rPr>
        <w:t>L.C.,</w:t>
      </w:r>
      <w:r>
        <w:rPr>
          <w:color w:val="231F20"/>
          <w:spacing w:val="-8"/>
        </w:rPr>
        <w:t> </w:t>
      </w:r>
      <w:r>
        <w:rPr>
          <w:color w:val="231F20"/>
        </w:rPr>
        <w:t>formed just</w:t>
      </w:r>
      <w:r>
        <w:rPr>
          <w:color w:val="231F20"/>
          <w:spacing w:val="-15"/>
        </w:rPr>
        <w:t> </w:t>
      </w:r>
      <w:r>
        <w:rPr>
          <w:color w:val="231F20"/>
        </w:rPr>
        <w:t>before</w:t>
      </w:r>
      <w:r>
        <w:rPr>
          <w:color w:val="231F20"/>
          <w:spacing w:val="-15"/>
        </w:rPr>
        <w:t> </w:t>
      </w:r>
      <w:r>
        <w:rPr>
          <w:color w:val="231F20"/>
        </w:rPr>
        <w:t>March</w:t>
      </w:r>
      <w:r>
        <w:rPr>
          <w:color w:val="231F20"/>
          <w:spacing w:val="-15"/>
        </w:rPr>
        <w:t> </w:t>
      </w:r>
      <w:r>
        <w:rPr>
          <w:color w:val="231F20"/>
        </w:rPr>
        <w:t>12,</w:t>
      </w:r>
      <w:r>
        <w:rPr>
          <w:color w:val="231F20"/>
          <w:spacing w:val="-15"/>
        </w:rPr>
        <w:t> </w:t>
      </w:r>
      <w:r>
        <w:rPr>
          <w:color w:val="231F20"/>
        </w:rPr>
        <w:t>1996</w:t>
      </w:r>
      <w:r>
        <w:rPr>
          <w:color w:val="231F20"/>
          <w:spacing w:val="-15"/>
        </w:rPr>
        <w:t> </w:t>
      </w:r>
      <w:r>
        <w:rPr>
          <w:color w:val="231F20"/>
        </w:rPr>
        <w:t>by</w:t>
      </w:r>
      <w:r>
        <w:rPr>
          <w:color w:val="231F20"/>
          <w:spacing w:val="-15"/>
        </w:rPr>
        <w:t> </w:t>
      </w:r>
      <w:r>
        <w:rPr>
          <w:color w:val="231F20"/>
        </w:rPr>
        <w:t>the</w:t>
      </w:r>
      <w:r>
        <w:rPr>
          <w:color w:val="231F20"/>
          <w:spacing w:val="-15"/>
        </w:rPr>
        <w:t> </w:t>
      </w:r>
      <w:r>
        <w:rPr>
          <w:color w:val="231F20"/>
        </w:rPr>
        <w:t>Sánchez Hill family, alleging ownership of the Cuban company Central Santa Lucía </w:t>
      </w:r>
      <w:r>
        <w:rPr>
          <w:color w:val="231F20"/>
        </w:rPr>
        <w:t>Co. S.A., filed a suit in the Delaware district court against the Expedia Group. They alleged that Expedia had arranged stays at various luxury hotels in and around Holguín</w:t>
      </w:r>
      <w:r>
        <w:rPr>
          <w:color w:val="231F20"/>
          <w:spacing w:val="-16"/>
        </w:rPr>
        <w:t> </w:t>
      </w:r>
      <w:r>
        <w:rPr>
          <w:color w:val="231F20"/>
        </w:rPr>
        <w:t>supposedly</w:t>
      </w:r>
      <w:r>
        <w:rPr>
          <w:color w:val="231F20"/>
          <w:spacing w:val="-16"/>
        </w:rPr>
        <w:t> </w:t>
      </w:r>
      <w:r>
        <w:rPr>
          <w:color w:val="231F20"/>
        </w:rPr>
        <w:t>built</w:t>
      </w:r>
      <w:r>
        <w:rPr>
          <w:color w:val="231F20"/>
          <w:spacing w:val="-16"/>
        </w:rPr>
        <w:t> </w:t>
      </w:r>
      <w:r>
        <w:rPr>
          <w:color w:val="231F20"/>
        </w:rPr>
        <w:t>on</w:t>
      </w:r>
      <w:r>
        <w:rPr>
          <w:color w:val="231F20"/>
          <w:spacing w:val="-16"/>
        </w:rPr>
        <w:t> </w:t>
      </w:r>
      <w:r>
        <w:rPr>
          <w:color w:val="231F20"/>
        </w:rPr>
        <w:t>land</w:t>
      </w:r>
      <w:r>
        <w:rPr>
          <w:color w:val="231F20"/>
          <w:spacing w:val="-16"/>
        </w:rPr>
        <w:t> </w:t>
      </w:r>
      <w:r>
        <w:rPr>
          <w:color w:val="231F20"/>
        </w:rPr>
        <w:t>formerly owned by the Cuban company.</w:t>
      </w:r>
    </w:p>
    <w:p>
      <w:pPr>
        <w:pStyle w:val="BodyText"/>
        <w:spacing w:before="154"/>
        <w:jc w:val="left"/>
      </w:pPr>
    </w:p>
    <w:p>
      <w:pPr>
        <w:pStyle w:val="Heading2"/>
        <w:spacing w:line="196" w:lineRule="auto" w:before="1"/>
        <w:ind w:left="412" w:right="1173"/>
      </w:pPr>
      <w:r>
        <w:rPr>
          <w:color w:val="1A4796"/>
          <w:w w:val="115"/>
        </w:rPr>
        <w:t>Implications of Cuba’s inclusion</w:t>
      </w:r>
      <w:r>
        <w:rPr>
          <w:color w:val="1A4796"/>
          <w:spacing w:val="-3"/>
          <w:w w:val="115"/>
        </w:rPr>
        <w:t> </w:t>
      </w:r>
      <w:r>
        <w:rPr>
          <w:color w:val="1A4796"/>
          <w:w w:val="115"/>
        </w:rPr>
        <w:t>on</w:t>
      </w:r>
      <w:r>
        <w:rPr>
          <w:color w:val="1A4796"/>
          <w:spacing w:val="-3"/>
          <w:w w:val="115"/>
        </w:rPr>
        <w:t> </w:t>
      </w:r>
      <w:r>
        <w:rPr>
          <w:color w:val="1A4796"/>
          <w:w w:val="115"/>
        </w:rPr>
        <w:t>the</w:t>
      </w:r>
      <w:r>
        <w:rPr>
          <w:color w:val="1A4796"/>
          <w:spacing w:val="-3"/>
          <w:w w:val="115"/>
        </w:rPr>
        <w:t> </w:t>
      </w:r>
      <w:r>
        <w:rPr>
          <w:color w:val="1A4796"/>
          <w:w w:val="115"/>
        </w:rPr>
        <w:t>list</w:t>
      </w:r>
      <w:r>
        <w:rPr>
          <w:color w:val="1A4796"/>
          <w:spacing w:val="-3"/>
          <w:w w:val="115"/>
        </w:rPr>
        <w:t> </w:t>
      </w:r>
      <w:r>
        <w:rPr>
          <w:color w:val="1A4796"/>
          <w:w w:val="115"/>
        </w:rPr>
        <w:t>of</w:t>
      </w:r>
      <w:r>
        <w:rPr>
          <w:color w:val="1A4796"/>
          <w:spacing w:val="-3"/>
          <w:w w:val="115"/>
        </w:rPr>
        <w:t> </w:t>
      </w:r>
      <w:r>
        <w:rPr>
          <w:color w:val="1A4796"/>
          <w:w w:val="115"/>
        </w:rPr>
        <w:t>state sponsors of terrorism</w:t>
      </w:r>
    </w:p>
    <w:p>
      <w:pPr>
        <w:pStyle w:val="BodyText"/>
        <w:spacing w:before="195"/>
        <w:ind w:left="412" w:right="1131"/>
      </w:pPr>
      <w:r>
        <w:rPr>
          <w:color w:val="231F20"/>
        </w:rPr>
        <w:t>On January 11, 2021, a few days </w:t>
      </w:r>
      <w:r>
        <w:rPr>
          <w:color w:val="231F20"/>
        </w:rPr>
        <w:t>before Donald Trump’s departure from the</w:t>
      </w:r>
      <w:r>
        <w:rPr>
          <w:color w:val="231F20"/>
          <w:spacing w:val="40"/>
        </w:rPr>
        <w:t> </w:t>
      </w:r>
      <w:r>
        <w:rPr>
          <w:color w:val="231F20"/>
        </w:rPr>
        <w:t>White</w:t>
      </w:r>
      <w:r>
        <w:rPr>
          <w:color w:val="231F20"/>
          <w:spacing w:val="37"/>
        </w:rPr>
        <w:t> </w:t>
      </w:r>
      <w:r>
        <w:rPr>
          <w:color w:val="231F20"/>
        </w:rPr>
        <w:t>House,</w:t>
      </w:r>
      <w:r>
        <w:rPr>
          <w:color w:val="231F20"/>
          <w:spacing w:val="37"/>
        </w:rPr>
        <w:t> </w:t>
      </w:r>
      <w:r>
        <w:rPr>
          <w:color w:val="231F20"/>
        </w:rPr>
        <w:t>the</w:t>
      </w:r>
      <w:r>
        <w:rPr>
          <w:color w:val="231F20"/>
          <w:spacing w:val="38"/>
        </w:rPr>
        <w:t> </w:t>
      </w:r>
      <w:r>
        <w:rPr>
          <w:color w:val="231F20"/>
        </w:rPr>
        <w:t>U.S.</w:t>
      </w:r>
      <w:r>
        <w:rPr>
          <w:color w:val="231F20"/>
          <w:spacing w:val="37"/>
        </w:rPr>
        <w:t> </w:t>
      </w:r>
      <w:r>
        <w:rPr>
          <w:color w:val="231F20"/>
        </w:rPr>
        <w:t>State</w:t>
      </w:r>
      <w:r>
        <w:rPr>
          <w:color w:val="231F20"/>
          <w:spacing w:val="38"/>
        </w:rPr>
        <w:t> </w:t>
      </w:r>
      <w:r>
        <w:rPr>
          <w:color w:val="231F20"/>
          <w:spacing w:val="-2"/>
        </w:rPr>
        <w:t>Department</w:t>
      </w:r>
    </w:p>
    <w:p>
      <w:pPr>
        <w:spacing w:after="0"/>
        <w:sectPr>
          <w:pgSz w:w="11910" w:h="16840"/>
          <w:pgMar w:header="0" w:footer="695" w:top="1260" w:bottom="880" w:left="0" w:right="0"/>
          <w:cols w:num="2" w:equalWidth="0">
            <w:col w:w="5898" w:space="40"/>
            <w:col w:w="5972"/>
          </w:cols>
        </w:sectPr>
      </w:pPr>
    </w:p>
    <w:p>
      <w:pPr>
        <w:pStyle w:val="BodyText"/>
        <w:spacing w:before="77"/>
        <w:ind w:left="1133"/>
      </w:pPr>
      <w:r>
        <w:rPr>
          <w:color w:val="231F20"/>
        </w:rPr>
        <w:t>announced</w:t>
      </w:r>
      <w:r>
        <w:rPr>
          <w:color w:val="231F20"/>
          <w:spacing w:val="-9"/>
        </w:rPr>
        <w:t> </w:t>
      </w:r>
      <w:r>
        <w:rPr>
          <w:color w:val="231F20"/>
        </w:rPr>
        <w:t>the</w:t>
      </w:r>
      <w:r>
        <w:rPr>
          <w:color w:val="231F20"/>
          <w:spacing w:val="-9"/>
        </w:rPr>
        <w:t> </w:t>
      </w:r>
      <w:r>
        <w:rPr>
          <w:color w:val="231F20"/>
        </w:rPr>
        <w:t>reinsertion</w:t>
      </w:r>
      <w:r>
        <w:rPr>
          <w:color w:val="231F20"/>
          <w:spacing w:val="-9"/>
        </w:rPr>
        <w:t> </w:t>
      </w:r>
      <w:r>
        <w:rPr>
          <w:color w:val="231F20"/>
        </w:rPr>
        <w:t>of</w:t>
      </w:r>
      <w:r>
        <w:rPr>
          <w:color w:val="231F20"/>
          <w:spacing w:val="-9"/>
        </w:rPr>
        <w:t> </w:t>
      </w:r>
      <w:r>
        <w:rPr>
          <w:color w:val="231F20"/>
        </w:rPr>
        <w:t>Cuba</w:t>
      </w:r>
      <w:r>
        <w:rPr>
          <w:color w:val="231F20"/>
          <w:spacing w:val="-9"/>
        </w:rPr>
        <w:t> </w:t>
      </w:r>
      <w:r>
        <w:rPr>
          <w:color w:val="231F20"/>
        </w:rPr>
        <w:t>on</w:t>
      </w:r>
      <w:r>
        <w:rPr>
          <w:color w:val="231F20"/>
          <w:spacing w:val="-9"/>
        </w:rPr>
        <w:t> </w:t>
      </w:r>
      <w:r>
        <w:rPr>
          <w:color w:val="231F20"/>
        </w:rPr>
        <w:t>the list of state sponsors of terrorism, on the basis of spurious arguments and without evidence.</w:t>
      </w:r>
      <w:r>
        <w:rPr>
          <w:color w:val="231F20"/>
          <w:spacing w:val="80"/>
        </w:rPr>
        <w:t> </w:t>
      </w:r>
      <w:r>
        <w:rPr>
          <w:color w:val="231F20"/>
        </w:rPr>
        <w:t>During</w:t>
      </w:r>
      <w:r>
        <w:rPr>
          <w:color w:val="231F20"/>
          <w:spacing w:val="80"/>
        </w:rPr>
        <w:t> </w:t>
      </w:r>
      <w:r>
        <w:rPr>
          <w:color w:val="231F20"/>
        </w:rPr>
        <w:t>the</w:t>
      </w:r>
      <w:r>
        <w:rPr>
          <w:color w:val="231F20"/>
          <w:spacing w:val="80"/>
        </w:rPr>
        <w:t> </w:t>
      </w:r>
      <w:r>
        <w:rPr>
          <w:color w:val="231F20"/>
        </w:rPr>
        <w:t>period</w:t>
      </w:r>
      <w:r>
        <w:rPr>
          <w:color w:val="231F20"/>
          <w:spacing w:val="80"/>
        </w:rPr>
        <w:t> </w:t>
      </w:r>
      <w:r>
        <w:rPr>
          <w:color w:val="231F20"/>
        </w:rPr>
        <w:t>covered by this report, Biden administration has maintained that designation, despite being fully aware that the pretexts on which it was based were bogus.</w:t>
      </w:r>
    </w:p>
    <w:p>
      <w:pPr>
        <w:pStyle w:val="BodyText"/>
        <w:spacing w:before="166"/>
        <w:ind w:left="1133"/>
      </w:pPr>
      <w:r>
        <w:rPr>
          <w:color w:val="231F20"/>
          <w:spacing w:val="-6"/>
        </w:rPr>
        <w:t>Cuba’s</w:t>
      </w:r>
      <w:r>
        <w:rPr>
          <w:color w:val="231F20"/>
          <w:spacing w:val="-11"/>
        </w:rPr>
        <w:t> </w:t>
      </w:r>
      <w:r>
        <w:rPr>
          <w:color w:val="231F20"/>
          <w:spacing w:val="-6"/>
        </w:rPr>
        <w:t>inclusion</w:t>
      </w:r>
      <w:r>
        <w:rPr>
          <w:color w:val="231F20"/>
          <w:spacing w:val="-10"/>
        </w:rPr>
        <w:t> </w:t>
      </w:r>
      <w:r>
        <w:rPr>
          <w:color w:val="231F20"/>
          <w:spacing w:val="-6"/>
        </w:rPr>
        <w:t>on</w:t>
      </w:r>
      <w:r>
        <w:rPr>
          <w:color w:val="231F20"/>
          <w:spacing w:val="-11"/>
        </w:rPr>
        <w:t> </w:t>
      </w:r>
      <w:r>
        <w:rPr>
          <w:color w:val="231F20"/>
          <w:spacing w:val="-6"/>
        </w:rPr>
        <w:t>the</w:t>
      </w:r>
      <w:r>
        <w:rPr>
          <w:color w:val="231F20"/>
          <w:spacing w:val="-10"/>
        </w:rPr>
        <w:t> </w:t>
      </w:r>
      <w:r>
        <w:rPr>
          <w:color w:val="231F20"/>
          <w:spacing w:val="-6"/>
        </w:rPr>
        <w:t>list</w:t>
      </w:r>
      <w:r>
        <w:rPr>
          <w:color w:val="231F20"/>
          <w:spacing w:val="-11"/>
        </w:rPr>
        <w:t> </w:t>
      </w:r>
      <w:r>
        <w:rPr>
          <w:color w:val="231F20"/>
          <w:spacing w:val="-6"/>
        </w:rPr>
        <w:t>of</w:t>
      </w:r>
      <w:r>
        <w:rPr>
          <w:color w:val="231F20"/>
          <w:spacing w:val="-10"/>
        </w:rPr>
        <w:t> </w:t>
      </w:r>
      <w:r>
        <w:rPr>
          <w:color w:val="231F20"/>
          <w:spacing w:val="-6"/>
        </w:rPr>
        <w:t>state</w:t>
      </w:r>
      <w:r>
        <w:rPr>
          <w:color w:val="231F20"/>
          <w:spacing w:val="-11"/>
        </w:rPr>
        <w:t> </w:t>
      </w:r>
      <w:r>
        <w:rPr>
          <w:color w:val="231F20"/>
          <w:spacing w:val="-6"/>
        </w:rPr>
        <w:t>sponsors of</w:t>
      </w:r>
      <w:r>
        <w:rPr>
          <w:color w:val="231F20"/>
          <w:spacing w:val="-11"/>
        </w:rPr>
        <w:t> </w:t>
      </w:r>
      <w:r>
        <w:rPr>
          <w:color w:val="231F20"/>
          <w:spacing w:val="-6"/>
        </w:rPr>
        <w:t>terrorism</w:t>
      </w:r>
      <w:r>
        <w:rPr>
          <w:color w:val="231F20"/>
          <w:spacing w:val="-10"/>
        </w:rPr>
        <w:t> </w:t>
      </w:r>
      <w:r>
        <w:rPr>
          <w:color w:val="231F20"/>
          <w:spacing w:val="-6"/>
        </w:rPr>
        <w:t>has</w:t>
      </w:r>
      <w:r>
        <w:rPr>
          <w:color w:val="231F20"/>
          <w:spacing w:val="-11"/>
        </w:rPr>
        <w:t> </w:t>
      </w:r>
      <w:r>
        <w:rPr>
          <w:color w:val="231F20"/>
          <w:spacing w:val="-6"/>
        </w:rPr>
        <w:t>severe</w:t>
      </w:r>
      <w:r>
        <w:rPr>
          <w:color w:val="231F20"/>
          <w:spacing w:val="-10"/>
        </w:rPr>
        <w:t> </w:t>
      </w:r>
      <w:r>
        <w:rPr>
          <w:color w:val="231F20"/>
          <w:spacing w:val="-6"/>
        </w:rPr>
        <w:t>repercussions</w:t>
      </w:r>
      <w:r>
        <w:rPr>
          <w:color w:val="231F20"/>
          <w:spacing w:val="-11"/>
        </w:rPr>
        <w:t> </w:t>
      </w:r>
      <w:r>
        <w:rPr>
          <w:color w:val="231F20"/>
          <w:spacing w:val="-6"/>
        </w:rPr>
        <w:t>for</w:t>
      </w:r>
      <w:r>
        <w:rPr>
          <w:color w:val="231F20"/>
          <w:spacing w:val="-10"/>
        </w:rPr>
        <w:t> </w:t>
      </w:r>
      <w:r>
        <w:rPr>
          <w:color w:val="231F20"/>
          <w:spacing w:val="-6"/>
        </w:rPr>
        <w:t>the </w:t>
      </w:r>
      <w:r>
        <w:rPr>
          <w:color w:val="231F20"/>
          <w:spacing w:val="-2"/>
        </w:rPr>
        <w:t>country’s</w:t>
      </w:r>
      <w:r>
        <w:rPr>
          <w:color w:val="231F20"/>
          <w:spacing w:val="-9"/>
        </w:rPr>
        <w:t> </w:t>
      </w:r>
      <w:r>
        <w:rPr>
          <w:color w:val="231F20"/>
          <w:spacing w:val="-2"/>
        </w:rPr>
        <w:t>economy,</w:t>
      </w:r>
      <w:r>
        <w:rPr>
          <w:color w:val="231F20"/>
          <w:spacing w:val="-9"/>
        </w:rPr>
        <w:t> </w:t>
      </w:r>
      <w:r>
        <w:rPr>
          <w:color w:val="231F20"/>
          <w:spacing w:val="-2"/>
        </w:rPr>
        <w:t>mainly</w:t>
      </w:r>
      <w:r>
        <w:rPr>
          <w:color w:val="231F20"/>
          <w:spacing w:val="-9"/>
        </w:rPr>
        <w:t> </w:t>
      </w:r>
      <w:r>
        <w:rPr>
          <w:color w:val="231F20"/>
          <w:spacing w:val="-2"/>
        </w:rPr>
        <w:t>in</w:t>
      </w:r>
      <w:r>
        <w:rPr>
          <w:color w:val="231F20"/>
          <w:spacing w:val="-9"/>
        </w:rPr>
        <w:t> </w:t>
      </w:r>
      <w:r>
        <w:rPr>
          <w:color w:val="231F20"/>
          <w:spacing w:val="-2"/>
        </w:rPr>
        <w:t>the</w:t>
      </w:r>
      <w:r>
        <w:rPr>
          <w:color w:val="231F20"/>
          <w:spacing w:val="-9"/>
        </w:rPr>
        <w:t> </w:t>
      </w:r>
      <w:r>
        <w:rPr>
          <w:color w:val="231F20"/>
          <w:spacing w:val="-2"/>
        </w:rPr>
        <w:t>banking/ finance</w:t>
      </w:r>
      <w:r>
        <w:rPr>
          <w:color w:val="231F20"/>
          <w:spacing w:val="-12"/>
        </w:rPr>
        <w:t> </w:t>
      </w:r>
      <w:r>
        <w:rPr>
          <w:color w:val="231F20"/>
          <w:spacing w:val="-2"/>
        </w:rPr>
        <w:t>sector,</w:t>
      </w:r>
      <w:r>
        <w:rPr>
          <w:color w:val="231F20"/>
          <w:spacing w:val="-12"/>
        </w:rPr>
        <w:t> </w:t>
      </w:r>
      <w:r>
        <w:rPr>
          <w:color w:val="231F20"/>
          <w:spacing w:val="-2"/>
        </w:rPr>
        <w:t>by</w:t>
      </w:r>
      <w:r>
        <w:rPr>
          <w:color w:val="231F20"/>
          <w:spacing w:val="-12"/>
        </w:rPr>
        <w:t> </w:t>
      </w:r>
      <w:r>
        <w:rPr>
          <w:color w:val="231F20"/>
          <w:spacing w:val="-2"/>
        </w:rPr>
        <w:t>reinforcing</w:t>
      </w:r>
      <w:r>
        <w:rPr>
          <w:color w:val="231F20"/>
          <w:spacing w:val="-12"/>
        </w:rPr>
        <w:t> </w:t>
      </w:r>
      <w:r>
        <w:rPr>
          <w:color w:val="231F20"/>
          <w:spacing w:val="-2"/>
        </w:rPr>
        <w:t>the</w:t>
      </w:r>
      <w:r>
        <w:rPr>
          <w:color w:val="231F20"/>
          <w:spacing w:val="-12"/>
        </w:rPr>
        <w:t> </w:t>
      </w:r>
      <w:r>
        <w:rPr>
          <w:color w:val="231F20"/>
          <w:spacing w:val="-2"/>
        </w:rPr>
        <w:t>deterrent </w:t>
      </w:r>
      <w:r>
        <w:rPr>
          <w:color w:val="231F20"/>
        </w:rPr>
        <w:t>and</w:t>
      </w:r>
      <w:r>
        <w:rPr>
          <w:color w:val="231F20"/>
          <w:spacing w:val="-13"/>
        </w:rPr>
        <w:t> </w:t>
      </w:r>
      <w:r>
        <w:rPr>
          <w:color w:val="231F20"/>
        </w:rPr>
        <w:t>intimidatory</w:t>
      </w:r>
      <w:r>
        <w:rPr>
          <w:color w:val="231F20"/>
          <w:spacing w:val="-13"/>
        </w:rPr>
        <w:t> </w:t>
      </w:r>
      <w:r>
        <w:rPr>
          <w:color w:val="231F20"/>
        </w:rPr>
        <w:t>effects</w:t>
      </w:r>
      <w:r>
        <w:rPr>
          <w:color w:val="231F20"/>
          <w:spacing w:val="-13"/>
        </w:rPr>
        <w:t> </w:t>
      </w:r>
      <w:r>
        <w:rPr>
          <w:color w:val="231F20"/>
        </w:rPr>
        <w:t>on</w:t>
      </w:r>
      <w:r>
        <w:rPr>
          <w:color w:val="231F20"/>
          <w:spacing w:val="-13"/>
        </w:rPr>
        <w:t> </w:t>
      </w:r>
      <w:r>
        <w:rPr>
          <w:color w:val="231F20"/>
        </w:rPr>
        <w:t>third</w:t>
      </w:r>
      <w:r>
        <w:rPr>
          <w:color w:val="231F20"/>
          <w:spacing w:val="-13"/>
        </w:rPr>
        <w:t> </w:t>
      </w:r>
      <w:r>
        <w:rPr>
          <w:color w:val="231F20"/>
        </w:rPr>
        <w:t>parties</w:t>
      </w:r>
      <w:r>
        <w:rPr>
          <w:color w:val="231F20"/>
          <w:spacing w:val="-13"/>
        </w:rPr>
        <w:t> </w:t>
      </w:r>
      <w:r>
        <w:rPr>
          <w:color w:val="231F20"/>
        </w:rPr>
        <w:t>in their trading relations with Cuba. It is not only</w:t>
      </w:r>
      <w:r>
        <w:rPr>
          <w:color w:val="231F20"/>
          <w:spacing w:val="-17"/>
        </w:rPr>
        <w:t> </w:t>
      </w:r>
      <w:r>
        <w:rPr>
          <w:color w:val="231F20"/>
        </w:rPr>
        <w:t>extremely</w:t>
      </w:r>
      <w:r>
        <w:rPr>
          <w:color w:val="231F20"/>
          <w:spacing w:val="-16"/>
        </w:rPr>
        <w:t> </w:t>
      </w:r>
      <w:r>
        <w:rPr>
          <w:color w:val="231F20"/>
        </w:rPr>
        <w:t>damaging</w:t>
      </w:r>
      <w:r>
        <w:rPr>
          <w:color w:val="231F20"/>
          <w:spacing w:val="-17"/>
        </w:rPr>
        <w:t> </w:t>
      </w:r>
      <w:r>
        <w:rPr>
          <w:color w:val="231F20"/>
        </w:rPr>
        <w:t>to</w:t>
      </w:r>
      <w:r>
        <w:rPr>
          <w:color w:val="231F20"/>
          <w:spacing w:val="-16"/>
        </w:rPr>
        <w:t> </w:t>
      </w:r>
      <w:r>
        <w:rPr>
          <w:color w:val="231F20"/>
        </w:rPr>
        <w:t>trade</w:t>
      </w:r>
      <w:r>
        <w:rPr>
          <w:color w:val="231F20"/>
          <w:spacing w:val="-17"/>
        </w:rPr>
        <w:t> </w:t>
      </w:r>
      <w:r>
        <w:rPr>
          <w:color w:val="231F20"/>
        </w:rPr>
        <w:t>but</w:t>
      </w:r>
      <w:r>
        <w:rPr>
          <w:color w:val="231F20"/>
          <w:spacing w:val="-16"/>
        </w:rPr>
        <w:t> </w:t>
      </w:r>
      <w:r>
        <w:rPr>
          <w:color w:val="231F20"/>
        </w:rPr>
        <w:t>also undermines</w:t>
      </w:r>
      <w:r>
        <w:rPr>
          <w:color w:val="231F20"/>
          <w:spacing w:val="-13"/>
        </w:rPr>
        <w:t> </w:t>
      </w:r>
      <w:r>
        <w:rPr>
          <w:color w:val="231F20"/>
        </w:rPr>
        <w:t>our</w:t>
      </w:r>
      <w:r>
        <w:rPr>
          <w:color w:val="231F20"/>
          <w:spacing w:val="-13"/>
        </w:rPr>
        <w:t> </w:t>
      </w:r>
      <w:r>
        <w:rPr>
          <w:color w:val="231F20"/>
        </w:rPr>
        <w:t>ability</w:t>
      </w:r>
      <w:r>
        <w:rPr>
          <w:color w:val="231F20"/>
          <w:spacing w:val="-13"/>
        </w:rPr>
        <w:t> </w:t>
      </w:r>
      <w:r>
        <w:rPr>
          <w:color w:val="231F20"/>
        </w:rPr>
        <w:t>to</w:t>
      </w:r>
      <w:r>
        <w:rPr>
          <w:color w:val="231F20"/>
          <w:spacing w:val="-13"/>
        </w:rPr>
        <w:t> </w:t>
      </w:r>
      <w:r>
        <w:rPr>
          <w:color w:val="231F20"/>
        </w:rPr>
        <w:t>obtain</w:t>
      </w:r>
      <w:r>
        <w:rPr>
          <w:color w:val="231F20"/>
          <w:spacing w:val="-13"/>
        </w:rPr>
        <w:t> </w:t>
      </w:r>
      <w:r>
        <w:rPr>
          <w:color w:val="231F20"/>
        </w:rPr>
        <w:t>financing to pay for supplies and other goods essential to the country’s development.</w:t>
      </w:r>
    </w:p>
    <w:p>
      <w:pPr>
        <w:pStyle w:val="BodyText"/>
        <w:spacing w:before="168"/>
        <w:ind w:left="1133" w:right="2"/>
      </w:pPr>
      <w:r>
        <w:rPr>
          <w:color w:val="231F20"/>
          <w:spacing w:val="-2"/>
        </w:rPr>
        <w:t>In</w:t>
      </w:r>
      <w:r>
        <w:rPr>
          <w:color w:val="231F20"/>
          <w:spacing w:val="-14"/>
        </w:rPr>
        <w:t> </w:t>
      </w:r>
      <w:r>
        <w:rPr>
          <w:color w:val="231F20"/>
          <w:spacing w:val="-2"/>
        </w:rPr>
        <w:t>the</w:t>
      </w:r>
      <w:r>
        <w:rPr>
          <w:color w:val="231F20"/>
          <w:spacing w:val="-14"/>
        </w:rPr>
        <w:t> </w:t>
      </w:r>
      <w:r>
        <w:rPr>
          <w:color w:val="231F20"/>
          <w:spacing w:val="-2"/>
        </w:rPr>
        <w:t>period,</w:t>
      </w:r>
      <w:r>
        <w:rPr>
          <w:color w:val="231F20"/>
          <w:spacing w:val="-14"/>
        </w:rPr>
        <w:t> </w:t>
      </w:r>
      <w:r>
        <w:rPr>
          <w:color w:val="231F20"/>
          <w:spacing w:val="-2"/>
        </w:rPr>
        <w:t>Cuba’s</w:t>
      </w:r>
      <w:r>
        <w:rPr>
          <w:color w:val="231F20"/>
          <w:spacing w:val="-14"/>
        </w:rPr>
        <w:t> </w:t>
      </w:r>
      <w:r>
        <w:rPr>
          <w:color w:val="231F20"/>
          <w:spacing w:val="-2"/>
        </w:rPr>
        <w:t>designation</w:t>
      </w:r>
      <w:r>
        <w:rPr>
          <w:color w:val="231F20"/>
          <w:spacing w:val="-14"/>
        </w:rPr>
        <w:t> </w:t>
      </w:r>
      <w:r>
        <w:rPr>
          <w:color w:val="231F20"/>
          <w:spacing w:val="-2"/>
        </w:rPr>
        <w:t>as</w:t>
      </w:r>
      <w:r>
        <w:rPr>
          <w:color w:val="231F20"/>
          <w:spacing w:val="-14"/>
        </w:rPr>
        <w:t> </w:t>
      </w:r>
      <w:r>
        <w:rPr>
          <w:color w:val="231F20"/>
          <w:spacing w:val="-2"/>
        </w:rPr>
        <w:t>a</w:t>
      </w:r>
      <w:r>
        <w:rPr>
          <w:color w:val="231F20"/>
          <w:spacing w:val="-14"/>
        </w:rPr>
        <w:t> </w:t>
      </w:r>
      <w:r>
        <w:rPr>
          <w:color w:val="231F20"/>
          <w:spacing w:val="-2"/>
        </w:rPr>
        <w:t>state </w:t>
      </w:r>
      <w:r>
        <w:rPr>
          <w:color w:val="231F20"/>
        </w:rPr>
        <w:t>that allegedly sponsors terrorism led to </w:t>
      </w:r>
      <w:r>
        <w:rPr>
          <w:color w:val="231F20"/>
          <w:spacing w:val="-4"/>
        </w:rPr>
        <w:t>numerous</w:t>
      </w:r>
      <w:r>
        <w:rPr>
          <w:color w:val="231F20"/>
          <w:spacing w:val="-7"/>
        </w:rPr>
        <w:t> </w:t>
      </w:r>
      <w:r>
        <w:rPr>
          <w:color w:val="231F20"/>
          <w:spacing w:val="-4"/>
        </w:rPr>
        <w:t>firms</w:t>
      </w:r>
      <w:r>
        <w:rPr>
          <w:color w:val="231F20"/>
          <w:spacing w:val="-7"/>
        </w:rPr>
        <w:t> </w:t>
      </w:r>
      <w:r>
        <w:rPr>
          <w:color w:val="231F20"/>
          <w:spacing w:val="-4"/>
        </w:rPr>
        <w:t>and</w:t>
      </w:r>
      <w:r>
        <w:rPr>
          <w:color w:val="231F20"/>
          <w:spacing w:val="-6"/>
        </w:rPr>
        <w:t> </w:t>
      </w:r>
      <w:r>
        <w:rPr>
          <w:color w:val="231F20"/>
          <w:spacing w:val="-4"/>
        </w:rPr>
        <w:t>financial</w:t>
      </w:r>
      <w:r>
        <w:rPr>
          <w:color w:val="231F20"/>
          <w:spacing w:val="-7"/>
        </w:rPr>
        <w:t> </w:t>
      </w:r>
      <w:r>
        <w:rPr>
          <w:color w:val="231F20"/>
          <w:spacing w:val="-4"/>
        </w:rPr>
        <w:t>organizations </w:t>
      </w:r>
      <w:r>
        <w:rPr>
          <w:color w:val="231F20"/>
        </w:rPr>
        <w:t>abroad</w:t>
      </w:r>
      <w:r>
        <w:rPr>
          <w:color w:val="231F20"/>
          <w:spacing w:val="-2"/>
        </w:rPr>
        <w:t> </w:t>
      </w:r>
      <w:r>
        <w:rPr>
          <w:color w:val="231F20"/>
        </w:rPr>
        <w:t>refusing</w:t>
      </w:r>
      <w:r>
        <w:rPr>
          <w:color w:val="231F20"/>
          <w:spacing w:val="-2"/>
        </w:rPr>
        <w:t> </w:t>
      </w:r>
      <w:r>
        <w:rPr>
          <w:color w:val="231F20"/>
        </w:rPr>
        <w:t>to</w:t>
      </w:r>
      <w:r>
        <w:rPr>
          <w:color w:val="231F20"/>
          <w:spacing w:val="-2"/>
        </w:rPr>
        <w:t> </w:t>
      </w:r>
      <w:r>
        <w:rPr>
          <w:color w:val="231F20"/>
        </w:rPr>
        <w:t>operate</w:t>
      </w:r>
      <w:r>
        <w:rPr>
          <w:color w:val="231F20"/>
          <w:spacing w:val="-2"/>
        </w:rPr>
        <w:t> </w:t>
      </w:r>
      <w:r>
        <w:rPr>
          <w:color w:val="231F20"/>
        </w:rPr>
        <w:t>with</w:t>
      </w:r>
      <w:r>
        <w:rPr>
          <w:color w:val="231F20"/>
          <w:spacing w:val="-2"/>
        </w:rPr>
        <w:t> </w:t>
      </w:r>
      <w:r>
        <w:rPr>
          <w:color w:val="231F20"/>
        </w:rPr>
        <w:t>Cuba,</w:t>
      </w:r>
      <w:r>
        <w:rPr>
          <w:color w:val="231F20"/>
          <w:spacing w:val="-2"/>
        </w:rPr>
        <w:t> </w:t>
      </w:r>
      <w:r>
        <w:rPr>
          <w:color w:val="231F20"/>
        </w:rPr>
        <w:t>for fear of reprisals by the U.S. government </w:t>
      </w:r>
      <w:r>
        <w:rPr>
          <w:color w:val="231F20"/>
          <w:spacing w:val="-6"/>
        </w:rPr>
        <w:t>(specifically</w:t>
      </w:r>
      <w:r>
        <w:rPr>
          <w:color w:val="231F20"/>
          <w:spacing w:val="-14"/>
        </w:rPr>
        <w:t> </w:t>
      </w:r>
      <w:r>
        <w:rPr>
          <w:color w:val="231F20"/>
          <w:spacing w:val="-6"/>
        </w:rPr>
        <w:t>the</w:t>
      </w:r>
      <w:r>
        <w:rPr>
          <w:color w:val="231F20"/>
          <w:spacing w:val="-13"/>
        </w:rPr>
        <w:t> </w:t>
      </w:r>
      <w:r>
        <w:rPr>
          <w:color w:val="231F20"/>
          <w:spacing w:val="-6"/>
        </w:rPr>
        <w:t>Department</w:t>
      </w:r>
      <w:r>
        <w:rPr>
          <w:color w:val="231F20"/>
          <w:spacing w:val="-13"/>
        </w:rPr>
        <w:t> </w:t>
      </w:r>
      <w:r>
        <w:rPr>
          <w:color w:val="231F20"/>
          <w:spacing w:val="-6"/>
        </w:rPr>
        <w:t>of</w:t>
      </w:r>
      <w:r>
        <w:rPr>
          <w:color w:val="231F20"/>
          <w:spacing w:val="-14"/>
        </w:rPr>
        <w:t> </w:t>
      </w:r>
      <w:r>
        <w:rPr>
          <w:color w:val="231F20"/>
          <w:spacing w:val="-6"/>
        </w:rPr>
        <w:t>the</w:t>
      </w:r>
      <w:r>
        <w:rPr>
          <w:color w:val="231F20"/>
          <w:spacing w:val="-13"/>
        </w:rPr>
        <w:t> </w:t>
      </w:r>
      <w:r>
        <w:rPr>
          <w:color w:val="231F20"/>
          <w:spacing w:val="-8"/>
        </w:rPr>
        <w:t>Treasury).</w:t>
      </w:r>
    </w:p>
    <w:p>
      <w:pPr>
        <w:pStyle w:val="BodyText"/>
        <w:spacing w:before="165"/>
        <w:ind w:left="1133"/>
      </w:pPr>
      <w:r>
        <w:rPr>
          <w:color w:val="231F20"/>
        </w:rPr>
        <w:t>Dozens of banks suspended operations with the country, including transfers for the purchase of food, medicines, </w:t>
      </w:r>
      <w:r>
        <w:rPr>
          <w:color w:val="231F20"/>
        </w:rPr>
        <w:t>fuel, materials, spare parts and other goods. Given this reaction by various financial institutions, affecting payments to suppliers</w:t>
      </w:r>
      <w:r>
        <w:rPr>
          <w:color w:val="231F20"/>
          <w:spacing w:val="-15"/>
        </w:rPr>
        <w:t> </w:t>
      </w:r>
      <w:r>
        <w:rPr>
          <w:color w:val="231F20"/>
        </w:rPr>
        <w:t>coupled</w:t>
      </w:r>
      <w:r>
        <w:rPr>
          <w:color w:val="231F20"/>
          <w:spacing w:val="-15"/>
        </w:rPr>
        <w:t> </w:t>
      </w:r>
      <w:r>
        <w:rPr>
          <w:color w:val="231F20"/>
        </w:rPr>
        <w:t>with</w:t>
      </w:r>
      <w:r>
        <w:rPr>
          <w:color w:val="231F20"/>
          <w:spacing w:val="-15"/>
        </w:rPr>
        <w:t> </w:t>
      </w:r>
      <w:r>
        <w:rPr>
          <w:color w:val="231F20"/>
        </w:rPr>
        <w:t>the</w:t>
      </w:r>
      <w:r>
        <w:rPr>
          <w:color w:val="231F20"/>
          <w:spacing w:val="-15"/>
        </w:rPr>
        <w:t> </w:t>
      </w:r>
      <w:r>
        <w:rPr>
          <w:color w:val="231F20"/>
        </w:rPr>
        <w:t>impossibility</w:t>
      </w:r>
      <w:r>
        <w:rPr>
          <w:color w:val="231F20"/>
          <w:spacing w:val="-14"/>
        </w:rPr>
        <w:t> </w:t>
      </w:r>
      <w:r>
        <w:rPr>
          <w:color w:val="231F20"/>
        </w:rPr>
        <w:t>of accessing</w:t>
      </w:r>
      <w:r>
        <w:rPr>
          <w:color w:val="231F20"/>
          <w:spacing w:val="-4"/>
        </w:rPr>
        <w:t> </w:t>
      </w:r>
      <w:r>
        <w:rPr>
          <w:color w:val="231F20"/>
        </w:rPr>
        <w:t>faster,</w:t>
      </w:r>
      <w:r>
        <w:rPr>
          <w:color w:val="231F20"/>
          <w:spacing w:val="-4"/>
        </w:rPr>
        <w:t> </w:t>
      </w:r>
      <w:r>
        <w:rPr>
          <w:color w:val="231F20"/>
        </w:rPr>
        <w:t>more</w:t>
      </w:r>
      <w:r>
        <w:rPr>
          <w:color w:val="231F20"/>
          <w:spacing w:val="-4"/>
        </w:rPr>
        <w:t> </w:t>
      </w:r>
      <w:r>
        <w:rPr>
          <w:color w:val="231F20"/>
        </w:rPr>
        <w:t>direct</w:t>
      </w:r>
      <w:r>
        <w:rPr>
          <w:color w:val="231F20"/>
          <w:spacing w:val="-4"/>
        </w:rPr>
        <w:t> </w:t>
      </w:r>
      <w:r>
        <w:rPr>
          <w:color w:val="231F20"/>
        </w:rPr>
        <w:t>routes,</w:t>
      </w:r>
      <w:r>
        <w:rPr>
          <w:color w:val="231F20"/>
          <w:spacing w:val="-4"/>
        </w:rPr>
        <w:t> </w:t>
      </w:r>
      <w:r>
        <w:rPr>
          <w:color w:val="231F20"/>
        </w:rPr>
        <w:t>Cuba has had to incur substantial additional costs in obtaining priority supplies.</w:t>
      </w:r>
    </w:p>
    <w:p>
      <w:pPr>
        <w:pStyle w:val="BodyText"/>
        <w:spacing w:before="167"/>
        <w:ind w:left="1133" w:right="5"/>
      </w:pPr>
      <w:r>
        <w:rPr>
          <w:color w:val="231F20"/>
          <w:spacing w:val="-10"/>
        </w:rPr>
        <w:t>Another</w:t>
      </w:r>
      <w:r>
        <w:rPr>
          <w:color w:val="231F20"/>
          <w:spacing w:val="-5"/>
        </w:rPr>
        <w:t> </w:t>
      </w:r>
      <w:r>
        <w:rPr>
          <w:color w:val="231F20"/>
          <w:spacing w:val="-10"/>
        </w:rPr>
        <w:t>consequence</w:t>
      </w:r>
      <w:r>
        <w:rPr>
          <w:color w:val="231F20"/>
          <w:spacing w:val="-5"/>
        </w:rPr>
        <w:t> </w:t>
      </w:r>
      <w:r>
        <w:rPr>
          <w:color w:val="231F20"/>
          <w:spacing w:val="-10"/>
        </w:rPr>
        <w:t>has</w:t>
      </w:r>
      <w:r>
        <w:rPr>
          <w:color w:val="231F20"/>
          <w:spacing w:val="-5"/>
        </w:rPr>
        <w:t> </w:t>
      </w:r>
      <w:r>
        <w:rPr>
          <w:color w:val="231F20"/>
          <w:spacing w:val="-10"/>
        </w:rPr>
        <w:t>been</w:t>
      </w:r>
      <w:r>
        <w:rPr>
          <w:color w:val="231F20"/>
          <w:spacing w:val="-5"/>
        </w:rPr>
        <w:t> </w:t>
      </w:r>
      <w:r>
        <w:rPr>
          <w:color w:val="231F20"/>
          <w:spacing w:val="-10"/>
        </w:rPr>
        <w:t>problems</w:t>
      </w:r>
      <w:r>
        <w:rPr>
          <w:color w:val="231F20"/>
          <w:spacing w:val="-5"/>
        </w:rPr>
        <w:t> </w:t>
      </w:r>
      <w:r>
        <w:rPr>
          <w:color w:val="231F20"/>
          <w:spacing w:val="-10"/>
        </w:rPr>
        <w:t>for </w:t>
      </w:r>
      <w:r>
        <w:rPr>
          <w:color w:val="231F20"/>
        </w:rPr>
        <w:t>over</w:t>
      </w:r>
      <w:r>
        <w:rPr>
          <w:color w:val="231F20"/>
          <w:spacing w:val="-15"/>
        </w:rPr>
        <w:t> </w:t>
      </w:r>
      <w:r>
        <w:rPr>
          <w:color w:val="231F20"/>
        </w:rPr>
        <w:t>50</w:t>
      </w:r>
      <w:r>
        <w:rPr>
          <w:color w:val="231F20"/>
          <w:spacing w:val="-15"/>
        </w:rPr>
        <w:t> </w:t>
      </w:r>
      <w:r>
        <w:rPr>
          <w:color w:val="231F20"/>
        </w:rPr>
        <w:t>of</w:t>
      </w:r>
      <w:r>
        <w:rPr>
          <w:color w:val="231F20"/>
          <w:spacing w:val="-15"/>
        </w:rPr>
        <w:t> </w:t>
      </w:r>
      <w:r>
        <w:rPr>
          <w:color w:val="231F20"/>
        </w:rPr>
        <w:t>our</w:t>
      </w:r>
      <w:r>
        <w:rPr>
          <w:color w:val="231F20"/>
          <w:spacing w:val="-15"/>
        </w:rPr>
        <w:t> </w:t>
      </w:r>
      <w:r>
        <w:rPr>
          <w:color w:val="231F20"/>
        </w:rPr>
        <w:t>diplomatic</w:t>
      </w:r>
      <w:r>
        <w:rPr>
          <w:color w:val="231F20"/>
          <w:spacing w:val="-15"/>
        </w:rPr>
        <w:t> </w:t>
      </w:r>
      <w:r>
        <w:rPr>
          <w:color w:val="231F20"/>
        </w:rPr>
        <w:t>missions</w:t>
      </w:r>
      <w:r>
        <w:rPr>
          <w:color w:val="231F20"/>
          <w:spacing w:val="-16"/>
        </w:rPr>
        <w:t> </w:t>
      </w:r>
      <w:r>
        <w:rPr>
          <w:color w:val="231F20"/>
        </w:rPr>
        <w:t>abroad </w:t>
      </w:r>
      <w:r>
        <w:rPr>
          <w:color w:val="231F20"/>
          <w:spacing w:val="-6"/>
        </w:rPr>
        <w:t>with</w:t>
      </w:r>
      <w:r>
        <w:rPr>
          <w:color w:val="231F20"/>
          <w:spacing w:val="-11"/>
        </w:rPr>
        <w:t> </w:t>
      </w:r>
      <w:r>
        <w:rPr>
          <w:color w:val="231F20"/>
          <w:spacing w:val="-6"/>
        </w:rPr>
        <w:t>the</w:t>
      </w:r>
      <w:r>
        <w:rPr>
          <w:color w:val="231F20"/>
          <w:spacing w:val="-10"/>
        </w:rPr>
        <w:t> </w:t>
      </w:r>
      <w:r>
        <w:rPr>
          <w:color w:val="231F20"/>
          <w:spacing w:val="-6"/>
        </w:rPr>
        <w:t>banks</w:t>
      </w:r>
      <w:r>
        <w:rPr>
          <w:color w:val="231F20"/>
          <w:spacing w:val="-11"/>
        </w:rPr>
        <w:t> </w:t>
      </w:r>
      <w:r>
        <w:rPr>
          <w:color w:val="231F20"/>
          <w:spacing w:val="-6"/>
        </w:rPr>
        <w:t>that</w:t>
      </w:r>
      <w:r>
        <w:rPr>
          <w:color w:val="231F20"/>
          <w:spacing w:val="-10"/>
        </w:rPr>
        <w:t> </w:t>
      </w:r>
      <w:r>
        <w:rPr>
          <w:color w:val="231F20"/>
          <w:spacing w:val="-6"/>
        </w:rPr>
        <w:t>have</w:t>
      </w:r>
      <w:r>
        <w:rPr>
          <w:color w:val="231F20"/>
          <w:spacing w:val="-10"/>
        </w:rPr>
        <w:t> </w:t>
      </w:r>
      <w:r>
        <w:rPr>
          <w:color w:val="231F20"/>
          <w:spacing w:val="-6"/>
        </w:rPr>
        <w:t>traditionally</w:t>
      </w:r>
      <w:r>
        <w:rPr>
          <w:color w:val="231F20"/>
          <w:spacing w:val="-11"/>
        </w:rPr>
        <w:t> </w:t>
      </w:r>
      <w:r>
        <w:rPr>
          <w:color w:val="231F20"/>
          <w:spacing w:val="-6"/>
        </w:rPr>
        <w:t>served them,</w:t>
      </w:r>
      <w:r>
        <w:rPr>
          <w:color w:val="231F20"/>
          <w:spacing w:val="-11"/>
        </w:rPr>
        <w:t> </w:t>
      </w:r>
      <w:r>
        <w:rPr>
          <w:color w:val="231F20"/>
          <w:spacing w:val="-6"/>
        </w:rPr>
        <w:t>a</w:t>
      </w:r>
      <w:r>
        <w:rPr>
          <w:color w:val="231F20"/>
          <w:spacing w:val="-10"/>
        </w:rPr>
        <w:t> </w:t>
      </w:r>
      <w:r>
        <w:rPr>
          <w:color w:val="231F20"/>
          <w:spacing w:val="-6"/>
        </w:rPr>
        <w:t>situation</w:t>
      </w:r>
      <w:r>
        <w:rPr>
          <w:color w:val="231F20"/>
          <w:spacing w:val="-11"/>
        </w:rPr>
        <w:t> </w:t>
      </w:r>
      <w:r>
        <w:rPr>
          <w:color w:val="231F20"/>
          <w:spacing w:val="-6"/>
        </w:rPr>
        <w:t>that</w:t>
      </w:r>
      <w:r>
        <w:rPr>
          <w:color w:val="231F20"/>
          <w:spacing w:val="-10"/>
        </w:rPr>
        <w:t> </w:t>
      </w:r>
      <w:r>
        <w:rPr>
          <w:color w:val="231F20"/>
          <w:spacing w:val="-6"/>
        </w:rPr>
        <w:t>affects</w:t>
      </w:r>
      <w:r>
        <w:rPr>
          <w:color w:val="231F20"/>
          <w:spacing w:val="-11"/>
        </w:rPr>
        <w:t> </w:t>
      </w:r>
      <w:r>
        <w:rPr>
          <w:color w:val="231F20"/>
          <w:spacing w:val="-6"/>
        </w:rPr>
        <w:t>the</w:t>
      </w:r>
      <w:r>
        <w:rPr>
          <w:color w:val="231F20"/>
          <w:spacing w:val="-10"/>
        </w:rPr>
        <w:t> </w:t>
      </w:r>
      <w:r>
        <w:rPr>
          <w:color w:val="231F20"/>
          <w:spacing w:val="-6"/>
        </w:rPr>
        <w:t>functioning </w:t>
      </w:r>
      <w:r>
        <w:rPr>
          <w:color w:val="231F20"/>
        </w:rPr>
        <w:t>and</w:t>
      </w:r>
      <w:r>
        <w:rPr>
          <w:color w:val="231F20"/>
          <w:spacing w:val="-7"/>
        </w:rPr>
        <w:t> </w:t>
      </w:r>
      <w:r>
        <w:rPr>
          <w:color w:val="231F20"/>
        </w:rPr>
        <w:t>support</w:t>
      </w:r>
      <w:r>
        <w:rPr>
          <w:color w:val="231F20"/>
          <w:spacing w:val="-7"/>
        </w:rPr>
        <w:t> </w:t>
      </w:r>
      <w:r>
        <w:rPr>
          <w:color w:val="231F20"/>
        </w:rPr>
        <w:t>of</w:t>
      </w:r>
      <w:r>
        <w:rPr>
          <w:color w:val="231F20"/>
          <w:spacing w:val="-7"/>
        </w:rPr>
        <w:t> </w:t>
      </w:r>
      <w:r>
        <w:rPr>
          <w:color w:val="231F20"/>
        </w:rPr>
        <w:t>the</w:t>
      </w:r>
      <w:r>
        <w:rPr>
          <w:color w:val="231F20"/>
          <w:spacing w:val="-7"/>
        </w:rPr>
        <w:t> </w:t>
      </w:r>
      <w:r>
        <w:rPr>
          <w:color w:val="231F20"/>
        </w:rPr>
        <w:t>various</w:t>
      </w:r>
      <w:r>
        <w:rPr>
          <w:color w:val="231F20"/>
          <w:spacing w:val="-7"/>
        </w:rPr>
        <w:t> </w:t>
      </w:r>
      <w:r>
        <w:rPr>
          <w:color w:val="231F20"/>
        </w:rPr>
        <w:t>embassies</w:t>
      </w:r>
      <w:r>
        <w:rPr>
          <w:color w:val="231F20"/>
          <w:spacing w:val="-7"/>
        </w:rPr>
        <w:t> </w:t>
      </w:r>
      <w:r>
        <w:rPr>
          <w:color w:val="231F20"/>
        </w:rPr>
        <w:t>and </w:t>
      </w:r>
      <w:r>
        <w:rPr>
          <w:color w:val="231F20"/>
          <w:spacing w:val="-4"/>
        </w:rPr>
        <w:t>consulates.</w:t>
      </w:r>
      <w:r>
        <w:rPr>
          <w:color w:val="231F20"/>
          <w:spacing w:val="-11"/>
        </w:rPr>
        <w:t> </w:t>
      </w:r>
      <w:r>
        <w:rPr>
          <w:color w:val="231F20"/>
          <w:spacing w:val="-4"/>
        </w:rPr>
        <w:t>Also</w:t>
      </w:r>
      <w:r>
        <w:rPr>
          <w:color w:val="231F20"/>
          <w:spacing w:val="-11"/>
        </w:rPr>
        <w:t> </w:t>
      </w:r>
      <w:r>
        <w:rPr>
          <w:color w:val="231F20"/>
          <w:spacing w:val="-4"/>
        </w:rPr>
        <w:t>seriously</w:t>
      </w:r>
      <w:r>
        <w:rPr>
          <w:color w:val="231F20"/>
          <w:spacing w:val="-11"/>
        </w:rPr>
        <w:t> </w:t>
      </w:r>
      <w:r>
        <w:rPr>
          <w:color w:val="231F20"/>
          <w:spacing w:val="-4"/>
        </w:rPr>
        <w:t>affected</w:t>
      </w:r>
      <w:r>
        <w:rPr>
          <w:color w:val="231F20"/>
          <w:spacing w:val="-11"/>
        </w:rPr>
        <w:t> </w:t>
      </w:r>
      <w:r>
        <w:rPr>
          <w:color w:val="231F20"/>
          <w:spacing w:val="-4"/>
        </w:rPr>
        <w:t>is</w:t>
      </w:r>
      <w:r>
        <w:rPr>
          <w:color w:val="231F20"/>
          <w:spacing w:val="-11"/>
        </w:rPr>
        <w:t> </w:t>
      </w:r>
      <w:r>
        <w:rPr>
          <w:color w:val="231F20"/>
          <w:spacing w:val="-4"/>
        </w:rPr>
        <w:t>Cuba’s </w:t>
      </w:r>
      <w:r>
        <w:rPr>
          <w:color w:val="231F20"/>
          <w:spacing w:val="-8"/>
        </w:rPr>
        <w:t>ability to pay its dues to various international </w:t>
      </w:r>
      <w:r>
        <w:rPr>
          <w:color w:val="231F20"/>
        </w:rPr>
        <w:t>and</w:t>
      </w:r>
      <w:r>
        <w:rPr>
          <w:color w:val="231F20"/>
          <w:spacing w:val="-17"/>
        </w:rPr>
        <w:t> </w:t>
      </w:r>
      <w:r>
        <w:rPr>
          <w:color w:val="231F20"/>
        </w:rPr>
        <w:t>regional</w:t>
      </w:r>
      <w:r>
        <w:rPr>
          <w:color w:val="231F20"/>
          <w:spacing w:val="-16"/>
        </w:rPr>
        <w:t> </w:t>
      </w:r>
      <w:r>
        <w:rPr>
          <w:color w:val="231F20"/>
        </w:rPr>
        <w:t>organizations.</w:t>
      </w:r>
    </w:p>
    <w:p>
      <w:pPr>
        <w:pStyle w:val="BodyText"/>
        <w:spacing w:before="77"/>
        <w:ind w:left="412" w:right="1472"/>
      </w:pPr>
      <w:r>
        <w:rPr/>
        <w:br w:type="column"/>
      </w:r>
      <w:r>
        <w:rPr>
          <w:color w:val="231F20"/>
        </w:rPr>
        <w:t>Cuba cannot purchase goods </w:t>
      </w:r>
      <w:r>
        <w:rPr>
          <w:color w:val="231F20"/>
        </w:rPr>
        <w:t>or technologies produced in third countries which</w:t>
      </w:r>
      <w:r>
        <w:rPr>
          <w:color w:val="231F20"/>
          <w:spacing w:val="-8"/>
        </w:rPr>
        <w:t> </w:t>
      </w:r>
      <w:r>
        <w:rPr>
          <w:color w:val="231F20"/>
        </w:rPr>
        <w:t>have</w:t>
      </w:r>
      <w:r>
        <w:rPr>
          <w:color w:val="231F20"/>
          <w:spacing w:val="-7"/>
        </w:rPr>
        <w:t> </w:t>
      </w:r>
      <w:r>
        <w:rPr>
          <w:color w:val="231F20"/>
        </w:rPr>
        <w:t>10%</w:t>
      </w:r>
      <w:r>
        <w:rPr>
          <w:color w:val="231F20"/>
          <w:spacing w:val="-7"/>
        </w:rPr>
        <w:t> </w:t>
      </w:r>
      <w:r>
        <w:rPr>
          <w:color w:val="231F20"/>
        </w:rPr>
        <w:t>or</w:t>
      </w:r>
      <w:r>
        <w:rPr>
          <w:color w:val="231F20"/>
          <w:spacing w:val="-8"/>
        </w:rPr>
        <w:t> </w:t>
      </w:r>
      <w:r>
        <w:rPr>
          <w:color w:val="231F20"/>
        </w:rPr>
        <w:t>more</w:t>
      </w:r>
      <w:r>
        <w:rPr>
          <w:color w:val="231F20"/>
          <w:spacing w:val="-7"/>
        </w:rPr>
        <w:t> </w:t>
      </w:r>
      <w:r>
        <w:rPr>
          <w:color w:val="231F20"/>
        </w:rPr>
        <w:t>U.S.</w:t>
      </w:r>
      <w:r>
        <w:rPr>
          <w:color w:val="231F20"/>
          <w:spacing w:val="-7"/>
        </w:rPr>
        <w:t> </w:t>
      </w:r>
      <w:r>
        <w:rPr>
          <w:color w:val="231F20"/>
          <w:spacing w:val="-2"/>
        </w:rPr>
        <w:t>components</w:t>
      </w:r>
    </w:p>
    <w:p>
      <w:pPr>
        <w:pStyle w:val="BodyText"/>
        <w:spacing w:before="2"/>
        <w:ind w:left="412" w:right="1470"/>
      </w:pPr>
      <w:r>
        <w:rPr>
          <w:color w:val="231F20"/>
        </w:rPr>
        <w:t>-</w:t>
      </w:r>
      <w:r>
        <w:rPr>
          <w:color w:val="231F20"/>
          <w:spacing w:val="-14"/>
        </w:rPr>
        <w:t> </w:t>
      </w:r>
      <w:r>
        <w:rPr>
          <w:color w:val="231F20"/>
        </w:rPr>
        <w:t>another</w:t>
      </w:r>
      <w:r>
        <w:rPr>
          <w:color w:val="231F20"/>
          <w:spacing w:val="-14"/>
        </w:rPr>
        <w:t> </w:t>
      </w:r>
      <w:r>
        <w:rPr>
          <w:color w:val="231F20"/>
        </w:rPr>
        <w:t>consequence</w:t>
      </w:r>
      <w:r>
        <w:rPr>
          <w:color w:val="231F20"/>
          <w:spacing w:val="-14"/>
        </w:rPr>
        <w:t> </w:t>
      </w:r>
      <w:r>
        <w:rPr>
          <w:color w:val="231F20"/>
        </w:rPr>
        <w:t>of</w:t>
      </w:r>
      <w:r>
        <w:rPr>
          <w:color w:val="231F20"/>
          <w:spacing w:val="-14"/>
        </w:rPr>
        <w:t> </w:t>
      </w:r>
      <w:r>
        <w:rPr>
          <w:color w:val="231F20"/>
        </w:rPr>
        <w:t>the</w:t>
      </w:r>
      <w:r>
        <w:rPr>
          <w:color w:val="231F20"/>
          <w:spacing w:val="-14"/>
        </w:rPr>
        <w:t> </w:t>
      </w:r>
      <w:r>
        <w:rPr>
          <w:color w:val="231F20"/>
        </w:rPr>
        <w:t>inclusion</w:t>
      </w:r>
      <w:r>
        <w:rPr>
          <w:color w:val="231F20"/>
          <w:spacing w:val="-14"/>
        </w:rPr>
        <w:t> </w:t>
      </w:r>
      <w:r>
        <w:rPr>
          <w:color w:val="231F20"/>
        </w:rPr>
        <w:t>on this</w:t>
      </w:r>
      <w:r>
        <w:rPr>
          <w:color w:val="231F20"/>
          <w:spacing w:val="-17"/>
        </w:rPr>
        <w:t> </w:t>
      </w:r>
      <w:r>
        <w:rPr>
          <w:color w:val="231F20"/>
        </w:rPr>
        <w:t>list,</w:t>
      </w:r>
      <w:r>
        <w:rPr>
          <w:color w:val="231F20"/>
          <w:spacing w:val="-16"/>
        </w:rPr>
        <w:t> </w:t>
      </w:r>
      <w:r>
        <w:rPr>
          <w:color w:val="231F20"/>
        </w:rPr>
        <w:t>although</w:t>
      </w:r>
      <w:r>
        <w:rPr>
          <w:color w:val="231F20"/>
          <w:spacing w:val="-17"/>
        </w:rPr>
        <w:t> </w:t>
      </w:r>
      <w:r>
        <w:rPr>
          <w:color w:val="231F20"/>
        </w:rPr>
        <w:t>in</w:t>
      </w:r>
      <w:r>
        <w:rPr>
          <w:color w:val="231F20"/>
          <w:spacing w:val="-16"/>
        </w:rPr>
        <w:t> </w:t>
      </w:r>
      <w:r>
        <w:rPr>
          <w:color w:val="231F20"/>
        </w:rPr>
        <w:t>practice</w:t>
      </w:r>
      <w:r>
        <w:rPr>
          <w:color w:val="231F20"/>
          <w:spacing w:val="-17"/>
        </w:rPr>
        <w:t> </w:t>
      </w:r>
      <w:r>
        <w:rPr>
          <w:color w:val="231F20"/>
        </w:rPr>
        <w:t>the</w:t>
      </w:r>
      <w:r>
        <w:rPr>
          <w:color w:val="231F20"/>
          <w:spacing w:val="-16"/>
        </w:rPr>
        <w:t> </w:t>
      </w:r>
      <w:r>
        <w:rPr>
          <w:color w:val="231F20"/>
        </w:rPr>
        <w:t>restriction was already in effect before the country’s </w:t>
      </w:r>
      <w:r>
        <w:rPr>
          <w:color w:val="231F20"/>
          <w:spacing w:val="-2"/>
        </w:rPr>
        <w:t>designation</w:t>
      </w:r>
      <w:r>
        <w:rPr>
          <w:color w:val="231F20"/>
          <w:spacing w:val="-17"/>
        </w:rPr>
        <w:t> </w:t>
      </w:r>
      <w:r>
        <w:rPr>
          <w:color w:val="231F20"/>
          <w:spacing w:val="-2"/>
        </w:rPr>
        <w:t>as</w:t>
      </w:r>
      <w:r>
        <w:rPr>
          <w:color w:val="231F20"/>
          <w:spacing w:val="-17"/>
        </w:rPr>
        <w:t> </w:t>
      </w:r>
      <w:r>
        <w:rPr>
          <w:color w:val="231F20"/>
          <w:spacing w:val="-2"/>
        </w:rPr>
        <w:t>a</w:t>
      </w:r>
      <w:r>
        <w:rPr>
          <w:color w:val="231F20"/>
          <w:spacing w:val="-17"/>
        </w:rPr>
        <w:t> </w:t>
      </w:r>
      <w:r>
        <w:rPr>
          <w:color w:val="231F20"/>
          <w:spacing w:val="-2"/>
        </w:rPr>
        <w:t>state</w:t>
      </w:r>
      <w:r>
        <w:rPr>
          <w:color w:val="231F20"/>
          <w:spacing w:val="-17"/>
        </w:rPr>
        <w:t> </w:t>
      </w:r>
      <w:r>
        <w:rPr>
          <w:color w:val="231F20"/>
          <w:spacing w:val="-2"/>
        </w:rPr>
        <w:t>sponsor</w:t>
      </w:r>
      <w:r>
        <w:rPr>
          <w:color w:val="231F20"/>
          <w:spacing w:val="-16"/>
        </w:rPr>
        <w:t> </w:t>
      </w:r>
      <w:r>
        <w:rPr>
          <w:color w:val="231F20"/>
          <w:spacing w:val="-2"/>
        </w:rPr>
        <w:t>of</w:t>
      </w:r>
      <w:r>
        <w:rPr>
          <w:color w:val="231F20"/>
          <w:spacing w:val="-16"/>
        </w:rPr>
        <w:t> </w:t>
      </w:r>
      <w:r>
        <w:rPr>
          <w:color w:val="231F20"/>
          <w:spacing w:val="-2"/>
        </w:rPr>
        <w:t>terrorism.</w:t>
      </w:r>
    </w:p>
    <w:p>
      <w:pPr>
        <w:pStyle w:val="BodyText"/>
        <w:spacing w:before="163"/>
        <w:ind w:left="412" w:right="1476"/>
      </w:pPr>
      <w:r>
        <w:rPr>
          <w:color w:val="231F20"/>
        </w:rPr>
        <w:t>Another effect of this situation is that nationals of countries covered by the ESTA</w:t>
      </w:r>
      <w:r>
        <w:rPr>
          <w:color w:val="231F20"/>
          <w:spacing w:val="-2"/>
        </w:rPr>
        <w:t> </w:t>
      </w:r>
      <w:r>
        <w:rPr>
          <w:color w:val="231F20"/>
        </w:rPr>
        <w:t>system</w:t>
      </w:r>
      <w:r>
        <w:rPr>
          <w:color w:val="231F20"/>
          <w:spacing w:val="-2"/>
        </w:rPr>
        <w:t> </w:t>
      </w:r>
      <w:r>
        <w:rPr>
          <w:color w:val="231F20"/>
        </w:rPr>
        <w:t>of</w:t>
      </w:r>
      <w:r>
        <w:rPr>
          <w:color w:val="231F20"/>
          <w:spacing w:val="-2"/>
        </w:rPr>
        <w:t> </w:t>
      </w:r>
      <w:r>
        <w:rPr>
          <w:color w:val="231F20"/>
        </w:rPr>
        <w:t>entry</w:t>
      </w:r>
      <w:r>
        <w:rPr>
          <w:color w:val="231F20"/>
          <w:spacing w:val="-2"/>
        </w:rPr>
        <w:t> </w:t>
      </w:r>
      <w:r>
        <w:rPr>
          <w:color w:val="231F20"/>
        </w:rPr>
        <w:t>to</w:t>
      </w:r>
      <w:r>
        <w:rPr>
          <w:color w:val="231F20"/>
          <w:spacing w:val="-2"/>
        </w:rPr>
        <w:t> </w:t>
      </w:r>
      <w:r>
        <w:rPr>
          <w:color w:val="231F20"/>
        </w:rPr>
        <w:t>the</w:t>
      </w:r>
      <w:r>
        <w:rPr>
          <w:color w:val="231F20"/>
          <w:spacing w:val="-2"/>
        </w:rPr>
        <w:t> </w:t>
      </w:r>
      <w:r>
        <w:rPr>
          <w:color w:val="231F20"/>
        </w:rPr>
        <w:t>United</w:t>
      </w:r>
      <w:r>
        <w:rPr>
          <w:color w:val="231F20"/>
          <w:spacing w:val="-2"/>
        </w:rPr>
        <w:t> </w:t>
      </w:r>
      <w:r>
        <w:rPr>
          <w:color w:val="231F20"/>
        </w:rPr>
        <w:t>States are excluded from the visa </w:t>
      </w:r>
      <w:r>
        <w:rPr>
          <w:color w:val="231F20"/>
        </w:rPr>
        <w:t>exemption </w:t>
      </w:r>
      <w:r>
        <w:rPr>
          <w:color w:val="231F20"/>
          <w:spacing w:val="-6"/>
        </w:rPr>
        <w:t>mechanism</w:t>
      </w:r>
      <w:r>
        <w:rPr>
          <w:color w:val="231F20"/>
          <w:spacing w:val="-11"/>
        </w:rPr>
        <w:t> </w:t>
      </w:r>
      <w:r>
        <w:rPr>
          <w:color w:val="231F20"/>
          <w:spacing w:val="-6"/>
        </w:rPr>
        <w:t>and</w:t>
      </w:r>
      <w:r>
        <w:rPr>
          <w:color w:val="231F20"/>
          <w:spacing w:val="-10"/>
        </w:rPr>
        <w:t> </w:t>
      </w:r>
      <w:r>
        <w:rPr>
          <w:color w:val="231F20"/>
          <w:spacing w:val="-6"/>
        </w:rPr>
        <w:t>are</w:t>
      </w:r>
      <w:r>
        <w:rPr>
          <w:color w:val="231F20"/>
          <w:spacing w:val="-11"/>
        </w:rPr>
        <w:t> </w:t>
      </w:r>
      <w:r>
        <w:rPr>
          <w:color w:val="231F20"/>
          <w:spacing w:val="-6"/>
        </w:rPr>
        <w:t>required</w:t>
      </w:r>
      <w:r>
        <w:rPr>
          <w:color w:val="231F20"/>
          <w:spacing w:val="-10"/>
        </w:rPr>
        <w:t> </w:t>
      </w:r>
      <w:r>
        <w:rPr>
          <w:color w:val="231F20"/>
          <w:spacing w:val="-6"/>
        </w:rPr>
        <w:t>to</w:t>
      </w:r>
      <w:r>
        <w:rPr>
          <w:color w:val="231F20"/>
          <w:spacing w:val="-11"/>
        </w:rPr>
        <w:t> </w:t>
      </w:r>
      <w:r>
        <w:rPr>
          <w:color w:val="231F20"/>
          <w:spacing w:val="-6"/>
        </w:rPr>
        <w:t>comply</w:t>
      </w:r>
      <w:r>
        <w:rPr>
          <w:color w:val="231F20"/>
          <w:spacing w:val="-10"/>
        </w:rPr>
        <w:t> </w:t>
      </w:r>
      <w:r>
        <w:rPr>
          <w:color w:val="231F20"/>
          <w:spacing w:val="-6"/>
        </w:rPr>
        <w:t>with </w:t>
      </w:r>
      <w:r>
        <w:rPr>
          <w:color w:val="231F20"/>
        </w:rPr>
        <w:t>the</w:t>
      </w:r>
      <w:r>
        <w:rPr>
          <w:color w:val="231F20"/>
          <w:spacing w:val="-9"/>
        </w:rPr>
        <w:t> </w:t>
      </w:r>
      <w:r>
        <w:rPr>
          <w:color w:val="231F20"/>
        </w:rPr>
        <w:t>formal</w:t>
      </w:r>
      <w:r>
        <w:rPr>
          <w:color w:val="231F20"/>
          <w:spacing w:val="-10"/>
        </w:rPr>
        <w:t> </w:t>
      </w:r>
      <w:r>
        <w:rPr>
          <w:color w:val="231F20"/>
        </w:rPr>
        <w:t>visa</w:t>
      </w:r>
      <w:r>
        <w:rPr>
          <w:color w:val="231F20"/>
          <w:spacing w:val="-9"/>
        </w:rPr>
        <w:t> </w:t>
      </w:r>
      <w:r>
        <w:rPr>
          <w:color w:val="231F20"/>
        </w:rPr>
        <w:t>application</w:t>
      </w:r>
      <w:r>
        <w:rPr>
          <w:color w:val="231F20"/>
          <w:spacing w:val="-9"/>
        </w:rPr>
        <w:t> </w:t>
      </w:r>
      <w:r>
        <w:rPr>
          <w:color w:val="231F20"/>
        </w:rPr>
        <w:t>process,</w:t>
      </w:r>
      <w:r>
        <w:rPr>
          <w:color w:val="231F20"/>
          <w:spacing w:val="-9"/>
        </w:rPr>
        <w:t> </w:t>
      </w:r>
      <w:r>
        <w:rPr>
          <w:color w:val="231F20"/>
        </w:rPr>
        <w:t>if</w:t>
      </w:r>
      <w:r>
        <w:rPr>
          <w:color w:val="231F20"/>
          <w:spacing w:val="-9"/>
        </w:rPr>
        <w:t> </w:t>
      </w:r>
      <w:r>
        <w:rPr>
          <w:color w:val="231F20"/>
        </w:rPr>
        <w:t>they </w:t>
      </w:r>
      <w:r>
        <w:rPr>
          <w:color w:val="231F20"/>
          <w:spacing w:val="-6"/>
        </w:rPr>
        <w:t>have</w:t>
      </w:r>
      <w:r>
        <w:rPr>
          <w:color w:val="231F20"/>
          <w:spacing w:val="-11"/>
        </w:rPr>
        <w:t> </w:t>
      </w:r>
      <w:r>
        <w:rPr>
          <w:color w:val="231F20"/>
          <w:spacing w:val="-6"/>
        </w:rPr>
        <w:t>visited</w:t>
      </w:r>
      <w:r>
        <w:rPr>
          <w:color w:val="231F20"/>
          <w:spacing w:val="-10"/>
        </w:rPr>
        <w:t> </w:t>
      </w:r>
      <w:r>
        <w:rPr>
          <w:color w:val="231F20"/>
          <w:spacing w:val="-6"/>
        </w:rPr>
        <w:t>Cuba</w:t>
      </w:r>
      <w:r>
        <w:rPr>
          <w:color w:val="231F20"/>
          <w:spacing w:val="-11"/>
        </w:rPr>
        <w:t> </w:t>
      </w:r>
      <w:r>
        <w:rPr>
          <w:color w:val="231F20"/>
          <w:spacing w:val="-6"/>
        </w:rPr>
        <w:t>since</w:t>
      </w:r>
      <w:r>
        <w:rPr>
          <w:color w:val="231F20"/>
          <w:spacing w:val="-10"/>
        </w:rPr>
        <w:t> </w:t>
      </w:r>
      <w:r>
        <w:rPr>
          <w:color w:val="231F20"/>
          <w:spacing w:val="-6"/>
        </w:rPr>
        <w:t>March</w:t>
      </w:r>
      <w:r>
        <w:rPr>
          <w:color w:val="231F20"/>
          <w:spacing w:val="-11"/>
        </w:rPr>
        <w:t> </w:t>
      </w:r>
      <w:r>
        <w:rPr>
          <w:color w:val="231F20"/>
          <w:spacing w:val="-6"/>
        </w:rPr>
        <w:t>1,</w:t>
      </w:r>
      <w:r>
        <w:rPr>
          <w:color w:val="231F20"/>
          <w:spacing w:val="-10"/>
        </w:rPr>
        <w:t> </w:t>
      </w:r>
      <w:r>
        <w:rPr>
          <w:color w:val="231F20"/>
          <w:spacing w:val="-6"/>
        </w:rPr>
        <w:t>2011.</w:t>
      </w:r>
      <w:r>
        <w:rPr>
          <w:color w:val="231F20"/>
          <w:spacing w:val="-11"/>
        </w:rPr>
        <w:t> </w:t>
      </w:r>
      <w:r>
        <w:rPr>
          <w:color w:val="231F20"/>
          <w:spacing w:val="-6"/>
        </w:rPr>
        <w:t>Press </w:t>
      </w:r>
      <w:r>
        <w:rPr>
          <w:color w:val="231F20"/>
          <w:spacing w:val="-2"/>
        </w:rPr>
        <w:t>coverage</w:t>
      </w:r>
      <w:r>
        <w:rPr>
          <w:color w:val="231F20"/>
          <w:spacing w:val="-9"/>
        </w:rPr>
        <w:t> </w:t>
      </w:r>
      <w:r>
        <w:rPr>
          <w:color w:val="231F20"/>
          <w:spacing w:val="-2"/>
        </w:rPr>
        <w:t>in</w:t>
      </w:r>
      <w:r>
        <w:rPr>
          <w:color w:val="231F20"/>
          <w:spacing w:val="-9"/>
        </w:rPr>
        <w:t> </w:t>
      </w:r>
      <w:r>
        <w:rPr>
          <w:color w:val="231F20"/>
          <w:spacing w:val="-2"/>
        </w:rPr>
        <w:t>various</w:t>
      </w:r>
      <w:r>
        <w:rPr>
          <w:color w:val="231F20"/>
          <w:spacing w:val="-9"/>
        </w:rPr>
        <w:t> </w:t>
      </w:r>
      <w:r>
        <w:rPr>
          <w:color w:val="231F20"/>
          <w:spacing w:val="-2"/>
        </w:rPr>
        <w:t>countries</w:t>
      </w:r>
      <w:r>
        <w:rPr>
          <w:color w:val="231F20"/>
          <w:spacing w:val="-9"/>
        </w:rPr>
        <w:t> </w:t>
      </w:r>
      <w:r>
        <w:rPr>
          <w:color w:val="231F20"/>
          <w:spacing w:val="-2"/>
        </w:rPr>
        <w:t>has</w:t>
      </w:r>
      <w:r>
        <w:rPr>
          <w:color w:val="231F20"/>
          <w:spacing w:val="-9"/>
        </w:rPr>
        <w:t> </w:t>
      </w:r>
      <w:r>
        <w:rPr>
          <w:color w:val="231F20"/>
          <w:spacing w:val="-2"/>
        </w:rPr>
        <w:t>reflected </w:t>
      </w:r>
      <w:r>
        <w:rPr>
          <w:color w:val="231F20"/>
          <w:spacing w:val="-6"/>
        </w:rPr>
        <w:t>warnings</w:t>
      </w:r>
      <w:r>
        <w:rPr>
          <w:color w:val="231F20"/>
          <w:spacing w:val="-9"/>
        </w:rPr>
        <w:t> </w:t>
      </w:r>
      <w:r>
        <w:rPr>
          <w:color w:val="231F20"/>
          <w:spacing w:val="-6"/>
        </w:rPr>
        <w:t>by</w:t>
      </w:r>
      <w:r>
        <w:rPr>
          <w:color w:val="231F20"/>
          <w:spacing w:val="-9"/>
        </w:rPr>
        <w:t> </w:t>
      </w:r>
      <w:r>
        <w:rPr>
          <w:color w:val="231F20"/>
          <w:spacing w:val="-6"/>
        </w:rPr>
        <w:t>European</w:t>
      </w:r>
      <w:r>
        <w:rPr>
          <w:color w:val="231F20"/>
          <w:spacing w:val="-9"/>
        </w:rPr>
        <w:t> </w:t>
      </w:r>
      <w:r>
        <w:rPr>
          <w:color w:val="231F20"/>
          <w:spacing w:val="-6"/>
        </w:rPr>
        <w:t>governments</w:t>
      </w:r>
      <w:r>
        <w:rPr>
          <w:color w:val="231F20"/>
          <w:spacing w:val="-9"/>
        </w:rPr>
        <w:t> </w:t>
      </w:r>
      <w:r>
        <w:rPr>
          <w:color w:val="231F20"/>
          <w:spacing w:val="-6"/>
        </w:rPr>
        <w:t>to</w:t>
      </w:r>
      <w:r>
        <w:rPr>
          <w:color w:val="231F20"/>
          <w:spacing w:val="-9"/>
        </w:rPr>
        <w:t> </w:t>
      </w:r>
      <w:r>
        <w:rPr>
          <w:color w:val="231F20"/>
          <w:spacing w:val="-6"/>
        </w:rPr>
        <w:t>their </w:t>
      </w:r>
      <w:r>
        <w:rPr>
          <w:color w:val="231F20"/>
        </w:rPr>
        <w:t>citizens regarding this measure, which in </w:t>
      </w:r>
      <w:r>
        <w:rPr>
          <w:color w:val="231F20"/>
          <w:spacing w:val="-6"/>
        </w:rPr>
        <w:t>practical</w:t>
      </w:r>
      <w:r>
        <w:rPr>
          <w:color w:val="231F20"/>
          <w:spacing w:val="-8"/>
        </w:rPr>
        <w:t> </w:t>
      </w:r>
      <w:r>
        <w:rPr>
          <w:color w:val="231F20"/>
          <w:spacing w:val="-6"/>
        </w:rPr>
        <w:t>terms</w:t>
      </w:r>
      <w:r>
        <w:rPr>
          <w:color w:val="231F20"/>
          <w:spacing w:val="-8"/>
        </w:rPr>
        <w:t> </w:t>
      </w:r>
      <w:r>
        <w:rPr>
          <w:color w:val="231F20"/>
          <w:spacing w:val="-6"/>
        </w:rPr>
        <w:t>is</w:t>
      </w:r>
      <w:r>
        <w:rPr>
          <w:color w:val="231F20"/>
          <w:spacing w:val="-8"/>
        </w:rPr>
        <w:t> </w:t>
      </w:r>
      <w:r>
        <w:rPr>
          <w:color w:val="231F20"/>
          <w:spacing w:val="-6"/>
        </w:rPr>
        <w:t>an</w:t>
      </w:r>
      <w:r>
        <w:rPr>
          <w:color w:val="231F20"/>
          <w:spacing w:val="-8"/>
        </w:rPr>
        <w:t> </w:t>
      </w:r>
      <w:r>
        <w:rPr>
          <w:color w:val="231F20"/>
          <w:spacing w:val="-6"/>
        </w:rPr>
        <w:t>attack</w:t>
      </w:r>
      <w:r>
        <w:rPr>
          <w:color w:val="231F20"/>
          <w:spacing w:val="-8"/>
        </w:rPr>
        <w:t> </w:t>
      </w:r>
      <w:r>
        <w:rPr>
          <w:color w:val="231F20"/>
          <w:spacing w:val="-6"/>
        </w:rPr>
        <w:t>on</w:t>
      </w:r>
      <w:r>
        <w:rPr>
          <w:color w:val="231F20"/>
          <w:spacing w:val="-8"/>
        </w:rPr>
        <w:t> </w:t>
      </w:r>
      <w:r>
        <w:rPr>
          <w:color w:val="231F20"/>
          <w:spacing w:val="-6"/>
        </w:rPr>
        <w:t>one</w:t>
      </w:r>
      <w:r>
        <w:rPr>
          <w:color w:val="231F20"/>
          <w:spacing w:val="-8"/>
        </w:rPr>
        <w:t> </w:t>
      </w:r>
      <w:r>
        <w:rPr>
          <w:color w:val="231F20"/>
          <w:spacing w:val="-6"/>
        </w:rPr>
        <w:t>of</w:t>
      </w:r>
      <w:r>
        <w:rPr>
          <w:color w:val="231F20"/>
          <w:spacing w:val="-8"/>
        </w:rPr>
        <w:t> </w:t>
      </w:r>
      <w:r>
        <w:rPr>
          <w:color w:val="231F20"/>
          <w:spacing w:val="-6"/>
        </w:rPr>
        <w:t>Cuba’s </w:t>
      </w:r>
      <w:r>
        <w:rPr>
          <w:color w:val="231F20"/>
        </w:rPr>
        <w:t>key industries: tourism.</w:t>
      </w:r>
    </w:p>
    <w:p>
      <w:pPr>
        <w:pStyle w:val="BodyText"/>
        <w:spacing w:before="170"/>
        <w:ind w:left="412" w:right="1472"/>
      </w:pPr>
      <w:r>
        <w:rPr>
          <w:color w:val="231F20"/>
        </w:rPr>
        <w:t>Certain of the restrictions associated with the inclusion on the list of state sponsors of terrorism are reflected in various U.S. federal laws:</w:t>
      </w:r>
    </w:p>
    <w:p>
      <w:pPr>
        <w:pStyle w:val="BodyText"/>
        <w:spacing w:before="163"/>
        <w:ind w:left="673" w:right="1471" w:hanging="261"/>
      </w:pPr>
      <w:r>
        <w:rPr>
          <w:position w:val="3"/>
        </w:rPr>
        <w:drawing>
          <wp:inline distT="0" distB="0" distL="0" distR="0">
            <wp:extent cx="59207" cy="59207"/>
            <wp:effectExtent l="0" t="0" r="0" b="0"/>
            <wp:docPr id="232" name="Image 232"/>
            <wp:cNvGraphicFramePr>
              <a:graphicFrameLocks/>
            </wp:cNvGraphicFramePr>
            <a:graphic>
              <a:graphicData uri="http://schemas.openxmlformats.org/drawingml/2006/picture">
                <pic:pic>
                  <pic:nvPicPr>
                    <pic:cNvPr id="232" name="Image 232"/>
                    <pic:cNvPicPr/>
                  </pic:nvPicPr>
                  <pic:blipFill>
                    <a:blip r:embed="rId7" cstate="print"/>
                    <a:stretch>
                      <a:fillRect/>
                    </a:stretch>
                  </pic:blipFill>
                  <pic:spPr>
                    <a:xfrm>
                      <a:off x="0" y="0"/>
                      <a:ext cx="59207" cy="59207"/>
                    </a:xfrm>
                    <a:prstGeom prst="rect">
                      <a:avLst/>
                    </a:prstGeom>
                  </pic:spPr>
                </pic:pic>
              </a:graphicData>
            </a:graphic>
          </wp:inline>
        </w:drawing>
      </w:r>
      <w:r>
        <w:rPr>
          <w:position w:val="3"/>
        </w:rPr>
      </w:r>
      <w:r>
        <w:rPr>
          <w:rFonts w:ascii="Times New Roman"/>
          <w:sz w:val="20"/>
        </w:rPr>
        <w:t> </w:t>
      </w:r>
      <w:r>
        <w:rPr>
          <w:b/>
          <w:color w:val="1A4796"/>
        </w:rPr>
        <w:t>Export Administration Act </w:t>
      </w:r>
      <w:r>
        <w:rPr>
          <w:b/>
          <w:color w:val="1A4796"/>
        </w:rPr>
        <w:t>(1979): </w:t>
      </w:r>
      <w:r>
        <w:rPr>
          <w:color w:val="231F20"/>
        </w:rPr>
        <w:t>Under this law, trade preferences, foreign</w:t>
      </w:r>
      <w:r>
        <w:rPr>
          <w:color w:val="231F20"/>
          <w:spacing w:val="-17"/>
        </w:rPr>
        <w:t> </w:t>
      </w:r>
      <w:r>
        <w:rPr>
          <w:color w:val="231F20"/>
        </w:rPr>
        <w:t>aid</w:t>
      </w:r>
      <w:r>
        <w:rPr>
          <w:color w:val="231F20"/>
          <w:spacing w:val="-16"/>
        </w:rPr>
        <w:t> </w:t>
      </w:r>
      <w:r>
        <w:rPr>
          <w:color w:val="231F20"/>
        </w:rPr>
        <w:t>and</w:t>
      </w:r>
      <w:r>
        <w:rPr>
          <w:color w:val="231F20"/>
          <w:spacing w:val="-17"/>
        </w:rPr>
        <w:t> </w:t>
      </w:r>
      <w:r>
        <w:rPr>
          <w:color w:val="231F20"/>
        </w:rPr>
        <w:t>support</w:t>
      </w:r>
      <w:r>
        <w:rPr>
          <w:color w:val="231F20"/>
          <w:spacing w:val="-16"/>
        </w:rPr>
        <w:t> </w:t>
      </w:r>
      <w:r>
        <w:rPr>
          <w:color w:val="231F20"/>
        </w:rPr>
        <w:t>by</w:t>
      </w:r>
      <w:r>
        <w:rPr>
          <w:color w:val="231F20"/>
          <w:spacing w:val="-17"/>
        </w:rPr>
        <w:t> </w:t>
      </w:r>
      <w:r>
        <w:rPr>
          <w:color w:val="231F20"/>
        </w:rPr>
        <w:t>international financial institutions are restricted as regards the listed countries. Special licenses or permits are required for the export of most categories of goods to countries on the list.</w:t>
      </w:r>
    </w:p>
    <w:p>
      <w:pPr>
        <w:pStyle w:val="BodyText"/>
        <w:spacing w:before="166"/>
        <w:ind w:left="673" w:right="1471" w:hanging="261"/>
      </w:pPr>
      <w:r>
        <w:rPr>
          <w:position w:val="3"/>
        </w:rPr>
        <w:drawing>
          <wp:inline distT="0" distB="0" distL="0" distR="0">
            <wp:extent cx="59207" cy="59207"/>
            <wp:effectExtent l="0" t="0" r="0" b="0"/>
            <wp:docPr id="233" name="Image 233"/>
            <wp:cNvGraphicFramePr>
              <a:graphicFrameLocks/>
            </wp:cNvGraphicFramePr>
            <a:graphic>
              <a:graphicData uri="http://schemas.openxmlformats.org/drawingml/2006/picture">
                <pic:pic>
                  <pic:nvPicPr>
                    <pic:cNvPr id="233" name="Image 233"/>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z w:val="20"/>
        </w:rPr>
        <w:t> </w:t>
      </w:r>
      <w:r>
        <w:rPr>
          <w:b/>
          <w:color w:val="1A4796"/>
        </w:rPr>
        <w:t>Foreign Assistance Act </w:t>
      </w:r>
      <w:r>
        <w:rPr>
          <w:b/>
          <w:color w:val="1A4796"/>
        </w:rPr>
        <w:t>(1961): </w:t>
      </w:r>
      <w:r>
        <w:rPr>
          <w:color w:val="231F20"/>
        </w:rPr>
        <w:t>Prohibits</w:t>
      </w:r>
      <w:r>
        <w:rPr>
          <w:color w:val="231F20"/>
          <w:spacing w:val="80"/>
        </w:rPr>
        <w:t> </w:t>
      </w:r>
      <w:r>
        <w:rPr>
          <w:color w:val="231F20"/>
        </w:rPr>
        <w:t>the</w:t>
      </w:r>
      <w:r>
        <w:rPr>
          <w:color w:val="231F20"/>
          <w:spacing w:val="80"/>
        </w:rPr>
        <w:t> </w:t>
      </w:r>
      <w:r>
        <w:rPr>
          <w:color w:val="231F20"/>
        </w:rPr>
        <w:t>granting</w:t>
      </w:r>
      <w:r>
        <w:rPr>
          <w:color w:val="231F20"/>
          <w:spacing w:val="80"/>
        </w:rPr>
        <w:t> </w:t>
      </w:r>
      <w:r>
        <w:rPr>
          <w:color w:val="231F20"/>
        </w:rPr>
        <w:t>of</w:t>
      </w:r>
      <w:r>
        <w:rPr>
          <w:color w:val="231F20"/>
          <w:spacing w:val="80"/>
        </w:rPr>
        <w:t> </w:t>
      </w:r>
      <w:r>
        <w:rPr>
          <w:color w:val="231F20"/>
        </w:rPr>
        <w:t>aid</w:t>
      </w:r>
      <w:r>
        <w:rPr>
          <w:color w:val="231F20"/>
          <w:spacing w:val="80"/>
        </w:rPr>
        <w:t> </w:t>
      </w:r>
      <w:r>
        <w:rPr>
          <w:color w:val="231F20"/>
        </w:rPr>
        <w:t>“to</w:t>
      </w:r>
      <w:r>
        <w:rPr>
          <w:color w:val="231F20"/>
          <w:spacing w:val="40"/>
        </w:rPr>
        <w:t> </w:t>
      </w:r>
      <w:r>
        <w:rPr>
          <w:color w:val="231F20"/>
        </w:rPr>
        <w:t>any country if the Secretary of State determines that the government of</w:t>
      </w:r>
      <w:r>
        <w:rPr>
          <w:color w:val="231F20"/>
          <w:spacing w:val="40"/>
        </w:rPr>
        <w:t> </w:t>
      </w:r>
      <w:r>
        <w:rPr>
          <w:color w:val="231F20"/>
        </w:rPr>
        <w:t>that country has repeatedly provided support for acts of international </w:t>
      </w:r>
      <w:r>
        <w:rPr>
          <w:color w:val="231F20"/>
          <w:spacing w:val="-2"/>
        </w:rPr>
        <w:t>terrorism”.</w:t>
      </w:r>
    </w:p>
    <w:p>
      <w:pPr>
        <w:spacing w:before="165"/>
        <w:ind w:left="673" w:right="1471" w:hanging="261"/>
        <w:jc w:val="both"/>
        <w:rPr>
          <w:sz w:val="24"/>
        </w:rPr>
      </w:pPr>
      <w:r>
        <w:rPr>
          <w:position w:val="3"/>
        </w:rPr>
        <w:drawing>
          <wp:inline distT="0" distB="0" distL="0" distR="0">
            <wp:extent cx="59207" cy="59207"/>
            <wp:effectExtent l="0" t="0" r="0" b="0"/>
            <wp:docPr id="234" name="Image 234"/>
            <wp:cNvGraphicFramePr>
              <a:graphicFrameLocks/>
            </wp:cNvGraphicFramePr>
            <a:graphic>
              <a:graphicData uri="http://schemas.openxmlformats.org/drawingml/2006/picture">
                <pic:pic>
                  <pic:nvPicPr>
                    <pic:cNvPr id="234" name="Image 234"/>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z w:val="20"/>
        </w:rPr>
        <w:t> </w:t>
      </w:r>
      <w:r>
        <w:rPr>
          <w:b/>
          <w:color w:val="1A4796"/>
          <w:sz w:val="24"/>
        </w:rPr>
        <w:t>Arms Export Control Act </w:t>
      </w:r>
      <w:r>
        <w:rPr>
          <w:b/>
          <w:color w:val="1A4796"/>
          <w:sz w:val="24"/>
        </w:rPr>
        <w:t>(1968): </w:t>
      </w:r>
      <w:r>
        <w:rPr>
          <w:color w:val="231F20"/>
          <w:sz w:val="24"/>
        </w:rPr>
        <w:t>Prohibits the export or transfer of munitions</w:t>
      </w:r>
      <w:r>
        <w:rPr>
          <w:color w:val="231F20"/>
          <w:spacing w:val="28"/>
          <w:sz w:val="24"/>
        </w:rPr>
        <w:t> </w:t>
      </w:r>
      <w:r>
        <w:rPr>
          <w:color w:val="231F20"/>
          <w:sz w:val="24"/>
        </w:rPr>
        <w:t>of</w:t>
      </w:r>
      <w:r>
        <w:rPr>
          <w:color w:val="231F20"/>
          <w:spacing w:val="31"/>
          <w:sz w:val="24"/>
        </w:rPr>
        <w:t> </w:t>
      </w:r>
      <w:r>
        <w:rPr>
          <w:color w:val="231F20"/>
          <w:sz w:val="24"/>
        </w:rPr>
        <w:t>any</w:t>
      </w:r>
      <w:r>
        <w:rPr>
          <w:color w:val="231F20"/>
          <w:spacing w:val="31"/>
          <w:sz w:val="24"/>
        </w:rPr>
        <w:t> </w:t>
      </w:r>
      <w:r>
        <w:rPr>
          <w:color w:val="231F20"/>
          <w:sz w:val="24"/>
        </w:rPr>
        <w:t>kind</w:t>
      </w:r>
      <w:r>
        <w:rPr>
          <w:color w:val="231F20"/>
          <w:spacing w:val="31"/>
          <w:sz w:val="24"/>
        </w:rPr>
        <w:t> </w:t>
      </w:r>
      <w:r>
        <w:rPr>
          <w:color w:val="231F20"/>
          <w:sz w:val="24"/>
        </w:rPr>
        <w:t>to</w:t>
      </w:r>
      <w:r>
        <w:rPr>
          <w:color w:val="231F20"/>
          <w:spacing w:val="31"/>
          <w:sz w:val="24"/>
        </w:rPr>
        <w:t> </w:t>
      </w:r>
      <w:r>
        <w:rPr>
          <w:color w:val="231F20"/>
          <w:sz w:val="24"/>
        </w:rPr>
        <w:t>a</w:t>
      </w:r>
      <w:r>
        <w:rPr>
          <w:color w:val="231F20"/>
          <w:spacing w:val="31"/>
          <w:sz w:val="24"/>
        </w:rPr>
        <w:t> </w:t>
      </w:r>
      <w:r>
        <w:rPr>
          <w:color w:val="231F20"/>
          <w:sz w:val="24"/>
        </w:rPr>
        <w:t>country</w:t>
      </w:r>
      <w:r>
        <w:rPr>
          <w:color w:val="231F20"/>
          <w:spacing w:val="31"/>
          <w:sz w:val="24"/>
        </w:rPr>
        <w:t> </w:t>
      </w:r>
      <w:r>
        <w:rPr>
          <w:color w:val="231F20"/>
          <w:spacing w:val="-5"/>
          <w:sz w:val="24"/>
        </w:rPr>
        <w:t>“if</w:t>
      </w:r>
    </w:p>
    <w:p>
      <w:pPr>
        <w:spacing w:after="0"/>
        <w:jc w:val="both"/>
        <w:rPr>
          <w:sz w:val="24"/>
        </w:rPr>
        <w:sectPr>
          <w:pgSz w:w="11910" w:h="16840"/>
          <w:pgMar w:header="0" w:footer="695" w:top="1260" w:bottom="880" w:left="0" w:right="0"/>
          <w:cols w:num="2" w:equalWidth="0">
            <w:col w:w="5557" w:space="40"/>
            <w:col w:w="6313"/>
          </w:cols>
        </w:sectPr>
      </w:pPr>
    </w:p>
    <w:p>
      <w:pPr>
        <w:pStyle w:val="BodyText"/>
        <w:spacing w:before="77"/>
        <w:ind w:left="1734"/>
      </w:pPr>
      <w:r>
        <w:rPr>
          <w:color w:val="231F20"/>
        </w:rPr>
        <w:t>the Secretary of State determines that the government of that country </w:t>
      </w:r>
      <w:r>
        <w:rPr>
          <w:color w:val="231F20"/>
        </w:rPr>
        <w:t>has repeatedly</w:t>
      </w:r>
      <w:r>
        <w:rPr>
          <w:color w:val="231F20"/>
          <w:spacing w:val="-6"/>
        </w:rPr>
        <w:t> </w:t>
      </w:r>
      <w:r>
        <w:rPr>
          <w:color w:val="231F20"/>
        </w:rPr>
        <w:t>provided</w:t>
      </w:r>
      <w:r>
        <w:rPr>
          <w:color w:val="231F20"/>
          <w:spacing w:val="-6"/>
        </w:rPr>
        <w:t> </w:t>
      </w:r>
      <w:r>
        <w:rPr>
          <w:color w:val="231F20"/>
        </w:rPr>
        <w:t>support</w:t>
      </w:r>
      <w:r>
        <w:rPr>
          <w:color w:val="231F20"/>
          <w:spacing w:val="-6"/>
        </w:rPr>
        <w:t> </w:t>
      </w:r>
      <w:r>
        <w:rPr>
          <w:color w:val="231F20"/>
        </w:rPr>
        <w:t>for</w:t>
      </w:r>
      <w:r>
        <w:rPr>
          <w:color w:val="231F20"/>
          <w:spacing w:val="-6"/>
        </w:rPr>
        <w:t> </w:t>
      </w:r>
      <w:r>
        <w:rPr>
          <w:color w:val="231F20"/>
        </w:rPr>
        <w:t>acts</w:t>
      </w:r>
      <w:r>
        <w:rPr>
          <w:color w:val="231F20"/>
          <w:spacing w:val="-6"/>
        </w:rPr>
        <w:t> </w:t>
      </w:r>
      <w:r>
        <w:rPr>
          <w:color w:val="231F20"/>
        </w:rPr>
        <w:t>of international terrorism”.</w:t>
      </w:r>
    </w:p>
    <w:p>
      <w:pPr>
        <w:spacing w:before="163"/>
        <w:ind w:left="1734" w:right="2" w:hanging="261"/>
        <w:jc w:val="both"/>
        <w:rPr>
          <w:sz w:val="24"/>
        </w:rPr>
      </w:pPr>
      <w:r>
        <w:rPr>
          <w:position w:val="4"/>
        </w:rPr>
        <w:drawing>
          <wp:inline distT="0" distB="0" distL="0" distR="0">
            <wp:extent cx="59207" cy="59207"/>
            <wp:effectExtent l="0" t="0" r="0" b="0"/>
            <wp:docPr id="235" name="Image 235"/>
            <wp:cNvGraphicFramePr>
              <a:graphicFrameLocks/>
            </wp:cNvGraphicFramePr>
            <a:graphic>
              <a:graphicData uri="http://schemas.openxmlformats.org/drawingml/2006/picture">
                <pic:pic>
                  <pic:nvPicPr>
                    <pic:cNvPr id="235" name="Image 235"/>
                    <pic:cNvPicPr/>
                  </pic:nvPicPr>
                  <pic:blipFill>
                    <a:blip r:embed="rId9"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40"/>
          <w:sz w:val="20"/>
        </w:rPr>
        <w:t> </w:t>
      </w:r>
      <w:r>
        <w:rPr>
          <w:b/>
          <w:color w:val="1A4796"/>
          <w:sz w:val="24"/>
        </w:rPr>
        <w:t>Export</w:t>
      </w:r>
      <w:r>
        <w:rPr>
          <w:b/>
          <w:color w:val="1A4796"/>
          <w:spacing w:val="-15"/>
          <w:sz w:val="24"/>
        </w:rPr>
        <w:t> </w:t>
      </w:r>
      <w:r>
        <w:rPr>
          <w:b/>
          <w:color w:val="1A4796"/>
          <w:sz w:val="24"/>
        </w:rPr>
        <w:t>Administration</w:t>
      </w:r>
      <w:r>
        <w:rPr>
          <w:b/>
          <w:color w:val="1A4796"/>
          <w:spacing w:val="-15"/>
          <w:sz w:val="24"/>
        </w:rPr>
        <w:t> </w:t>
      </w:r>
      <w:r>
        <w:rPr>
          <w:b/>
          <w:color w:val="1A4796"/>
          <w:sz w:val="24"/>
        </w:rPr>
        <w:t>Act</w:t>
      </w:r>
      <w:r>
        <w:rPr>
          <w:b/>
          <w:color w:val="1A4796"/>
          <w:spacing w:val="-15"/>
          <w:sz w:val="24"/>
        </w:rPr>
        <w:t> </w:t>
      </w:r>
      <w:r>
        <w:rPr>
          <w:b/>
          <w:color w:val="1A4796"/>
          <w:sz w:val="24"/>
        </w:rPr>
        <w:t>(1979)</w:t>
      </w:r>
      <w:r>
        <w:rPr>
          <w:b/>
          <w:color w:val="1A4796"/>
          <w:spacing w:val="-15"/>
          <w:sz w:val="24"/>
        </w:rPr>
        <w:t> </w:t>
      </w:r>
      <w:r>
        <w:rPr>
          <w:b/>
          <w:color w:val="1A4796"/>
          <w:sz w:val="24"/>
        </w:rPr>
        <w:t>and the Arms Export Control Act (1968): </w:t>
      </w:r>
      <w:r>
        <w:rPr>
          <w:color w:val="231F20"/>
          <w:sz w:val="24"/>
        </w:rPr>
        <w:t>Prohibit the sale or export of defense </w:t>
      </w:r>
      <w:r>
        <w:rPr>
          <w:color w:val="231F20"/>
          <w:spacing w:val="-2"/>
          <w:sz w:val="24"/>
        </w:rPr>
        <w:t>materials</w:t>
      </w:r>
      <w:r>
        <w:rPr>
          <w:color w:val="231F20"/>
          <w:spacing w:val="-12"/>
          <w:sz w:val="24"/>
        </w:rPr>
        <w:t> </w:t>
      </w:r>
      <w:r>
        <w:rPr>
          <w:color w:val="231F20"/>
          <w:spacing w:val="-2"/>
          <w:sz w:val="24"/>
        </w:rPr>
        <w:t>or</w:t>
      </w:r>
      <w:r>
        <w:rPr>
          <w:color w:val="231F20"/>
          <w:spacing w:val="-12"/>
          <w:sz w:val="24"/>
        </w:rPr>
        <w:t> </w:t>
      </w:r>
      <w:r>
        <w:rPr>
          <w:color w:val="231F20"/>
          <w:spacing w:val="-2"/>
          <w:sz w:val="24"/>
        </w:rPr>
        <w:t>services</w:t>
      </w:r>
      <w:r>
        <w:rPr>
          <w:color w:val="231F20"/>
          <w:spacing w:val="-12"/>
          <w:sz w:val="24"/>
        </w:rPr>
        <w:t> </w:t>
      </w:r>
      <w:r>
        <w:rPr>
          <w:color w:val="231F20"/>
          <w:spacing w:val="-2"/>
          <w:sz w:val="24"/>
        </w:rPr>
        <w:t>if</w:t>
      </w:r>
      <w:r>
        <w:rPr>
          <w:color w:val="231F20"/>
          <w:spacing w:val="-12"/>
          <w:sz w:val="24"/>
        </w:rPr>
        <w:t> </w:t>
      </w:r>
      <w:r>
        <w:rPr>
          <w:color w:val="231F20"/>
          <w:spacing w:val="-2"/>
          <w:sz w:val="24"/>
        </w:rPr>
        <w:t>the</w:t>
      </w:r>
      <w:r>
        <w:rPr>
          <w:color w:val="231F20"/>
          <w:spacing w:val="-12"/>
          <w:sz w:val="24"/>
        </w:rPr>
        <w:t> </w:t>
      </w:r>
      <w:r>
        <w:rPr>
          <w:color w:val="231F20"/>
          <w:spacing w:val="-2"/>
          <w:sz w:val="24"/>
        </w:rPr>
        <w:t>U.S.</w:t>
      </w:r>
      <w:r>
        <w:rPr>
          <w:color w:val="231F20"/>
          <w:spacing w:val="-12"/>
          <w:sz w:val="24"/>
        </w:rPr>
        <w:t> </w:t>
      </w:r>
      <w:r>
        <w:rPr>
          <w:color w:val="231F20"/>
          <w:spacing w:val="-2"/>
          <w:sz w:val="24"/>
        </w:rPr>
        <w:t>president </w:t>
      </w:r>
      <w:r>
        <w:rPr>
          <w:color w:val="231F20"/>
          <w:w w:val="90"/>
          <w:sz w:val="24"/>
        </w:rPr>
        <w:t>reports</w:t>
      </w:r>
      <w:r>
        <w:rPr>
          <w:color w:val="231F20"/>
          <w:spacing w:val="-4"/>
          <w:w w:val="90"/>
          <w:sz w:val="24"/>
        </w:rPr>
        <w:t> </w:t>
      </w:r>
      <w:r>
        <w:rPr>
          <w:color w:val="231F20"/>
          <w:w w:val="90"/>
          <w:sz w:val="24"/>
        </w:rPr>
        <w:t>to</w:t>
      </w:r>
      <w:r>
        <w:rPr>
          <w:color w:val="231F20"/>
          <w:spacing w:val="-4"/>
          <w:w w:val="90"/>
          <w:sz w:val="24"/>
        </w:rPr>
        <w:t> </w:t>
      </w:r>
      <w:r>
        <w:rPr>
          <w:color w:val="231F20"/>
          <w:w w:val="90"/>
          <w:sz w:val="24"/>
        </w:rPr>
        <w:t>Congress</w:t>
      </w:r>
      <w:r>
        <w:rPr>
          <w:color w:val="231F20"/>
          <w:spacing w:val="-4"/>
          <w:w w:val="90"/>
          <w:sz w:val="24"/>
        </w:rPr>
        <w:t> </w:t>
      </w:r>
      <w:r>
        <w:rPr>
          <w:color w:val="231F20"/>
          <w:w w:val="90"/>
          <w:sz w:val="24"/>
        </w:rPr>
        <w:t>by</w:t>
      </w:r>
      <w:r>
        <w:rPr>
          <w:color w:val="231F20"/>
          <w:spacing w:val="-4"/>
          <w:w w:val="90"/>
          <w:sz w:val="24"/>
        </w:rPr>
        <w:t> </w:t>
      </w:r>
      <w:r>
        <w:rPr>
          <w:color w:val="231F20"/>
          <w:w w:val="90"/>
          <w:sz w:val="24"/>
        </w:rPr>
        <w:t>May</w:t>
      </w:r>
      <w:r>
        <w:rPr>
          <w:color w:val="231F20"/>
          <w:spacing w:val="-4"/>
          <w:w w:val="90"/>
          <w:sz w:val="24"/>
        </w:rPr>
        <w:t> </w:t>
      </w:r>
      <w:r>
        <w:rPr>
          <w:color w:val="231F20"/>
          <w:w w:val="90"/>
          <w:sz w:val="24"/>
        </w:rPr>
        <w:t>15</w:t>
      </w:r>
      <w:r>
        <w:rPr>
          <w:color w:val="231F20"/>
          <w:spacing w:val="-4"/>
          <w:w w:val="90"/>
          <w:sz w:val="24"/>
        </w:rPr>
        <w:t> </w:t>
      </w:r>
      <w:r>
        <w:rPr>
          <w:color w:val="231F20"/>
          <w:w w:val="90"/>
          <w:sz w:val="24"/>
        </w:rPr>
        <w:t>of</w:t>
      </w:r>
      <w:r>
        <w:rPr>
          <w:color w:val="231F20"/>
          <w:spacing w:val="-4"/>
          <w:w w:val="90"/>
          <w:sz w:val="24"/>
        </w:rPr>
        <w:t> </w:t>
      </w:r>
      <w:r>
        <w:rPr>
          <w:color w:val="231F20"/>
          <w:w w:val="90"/>
          <w:sz w:val="24"/>
        </w:rPr>
        <w:t>each</w:t>
      </w:r>
      <w:r>
        <w:rPr>
          <w:color w:val="231F20"/>
          <w:spacing w:val="-4"/>
          <w:w w:val="90"/>
          <w:sz w:val="24"/>
        </w:rPr>
        <w:t> </w:t>
      </w:r>
      <w:r>
        <w:rPr>
          <w:color w:val="231F20"/>
          <w:w w:val="90"/>
          <w:sz w:val="24"/>
        </w:rPr>
        <w:t>year </w:t>
      </w:r>
      <w:r>
        <w:rPr>
          <w:color w:val="231F20"/>
          <w:spacing w:val="-2"/>
          <w:sz w:val="24"/>
        </w:rPr>
        <w:t>that</w:t>
      </w:r>
      <w:r>
        <w:rPr>
          <w:color w:val="231F20"/>
          <w:spacing w:val="-15"/>
          <w:sz w:val="24"/>
        </w:rPr>
        <w:t> </w:t>
      </w:r>
      <w:r>
        <w:rPr>
          <w:color w:val="231F20"/>
          <w:spacing w:val="-2"/>
          <w:sz w:val="24"/>
        </w:rPr>
        <w:t>the</w:t>
      </w:r>
      <w:r>
        <w:rPr>
          <w:color w:val="231F20"/>
          <w:spacing w:val="-14"/>
          <w:sz w:val="24"/>
        </w:rPr>
        <w:t> </w:t>
      </w:r>
      <w:r>
        <w:rPr>
          <w:color w:val="231F20"/>
          <w:spacing w:val="-2"/>
          <w:sz w:val="24"/>
        </w:rPr>
        <w:t>country</w:t>
      </w:r>
      <w:r>
        <w:rPr>
          <w:color w:val="231F20"/>
          <w:spacing w:val="-15"/>
          <w:sz w:val="24"/>
        </w:rPr>
        <w:t> </w:t>
      </w:r>
      <w:r>
        <w:rPr>
          <w:color w:val="231F20"/>
          <w:spacing w:val="-2"/>
          <w:sz w:val="24"/>
        </w:rPr>
        <w:t>is</w:t>
      </w:r>
      <w:r>
        <w:rPr>
          <w:color w:val="231F20"/>
          <w:spacing w:val="-14"/>
          <w:sz w:val="24"/>
        </w:rPr>
        <w:t> </w:t>
      </w:r>
      <w:r>
        <w:rPr>
          <w:color w:val="231F20"/>
          <w:spacing w:val="-2"/>
          <w:sz w:val="24"/>
        </w:rPr>
        <w:t>“not</w:t>
      </w:r>
      <w:r>
        <w:rPr>
          <w:color w:val="231F20"/>
          <w:spacing w:val="-15"/>
          <w:sz w:val="24"/>
        </w:rPr>
        <w:t> </w:t>
      </w:r>
      <w:r>
        <w:rPr>
          <w:color w:val="231F20"/>
          <w:spacing w:val="-2"/>
          <w:sz w:val="24"/>
        </w:rPr>
        <w:t>fully</w:t>
      </w:r>
      <w:r>
        <w:rPr>
          <w:color w:val="231F20"/>
          <w:spacing w:val="-14"/>
          <w:sz w:val="24"/>
        </w:rPr>
        <w:t> </w:t>
      </w:r>
      <w:r>
        <w:rPr>
          <w:color w:val="231F20"/>
          <w:spacing w:val="-2"/>
          <w:sz w:val="24"/>
        </w:rPr>
        <w:t>cooperating with</w:t>
      </w:r>
      <w:r>
        <w:rPr>
          <w:color w:val="231F20"/>
          <w:spacing w:val="-13"/>
          <w:sz w:val="24"/>
        </w:rPr>
        <w:t> </w:t>
      </w:r>
      <w:r>
        <w:rPr>
          <w:color w:val="231F20"/>
          <w:spacing w:val="-2"/>
          <w:sz w:val="24"/>
        </w:rPr>
        <w:t>United</w:t>
      </w:r>
      <w:r>
        <w:rPr>
          <w:color w:val="231F20"/>
          <w:spacing w:val="-13"/>
          <w:sz w:val="24"/>
        </w:rPr>
        <w:t> </w:t>
      </w:r>
      <w:r>
        <w:rPr>
          <w:color w:val="231F20"/>
          <w:spacing w:val="-2"/>
          <w:sz w:val="24"/>
        </w:rPr>
        <w:t>States</w:t>
      </w:r>
      <w:r>
        <w:rPr>
          <w:color w:val="231F20"/>
          <w:spacing w:val="-13"/>
          <w:sz w:val="24"/>
        </w:rPr>
        <w:t> </w:t>
      </w:r>
      <w:r>
        <w:rPr>
          <w:color w:val="231F20"/>
          <w:spacing w:val="-2"/>
          <w:sz w:val="24"/>
        </w:rPr>
        <w:t>antiterrorism</w:t>
      </w:r>
      <w:r>
        <w:rPr>
          <w:color w:val="231F20"/>
          <w:spacing w:val="-13"/>
          <w:sz w:val="24"/>
        </w:rPr>
        <w:t> </w:t>
      </w:r>
      <w:r>
        <w:rPr>
          <w:color w:val="231F20"/>
          <w:spacing w:val="-2"/>
          <w:sz w:val="24"/>
        </w:rPr>
        <w:t>efforts”. </w:t>
      </w:r>
      <w:r>
        <w:rPr>
          <w:color w:val="231F20"/>
          <w:sz w:val="24"/>
        </w:rPr>
        <w:t>Cuba is currently listed as “not fully cooperating” in this respect.</w:t>
      </w:r>
    </w:p>
    <w:p>
      <w:pPr>
        <w:spacing w:before="167"/>
        <w:ind w:left="1734" w:right="1" w:hanging="261"/>
        <w:jc w:val="both"/>
        <w:rPr>
          <w:sz w:val="24"/>
        </w:rPr>
      </w:pPr>
      <w:r>
        <w:rPr>
          <w:position w:val="3"/>
        </w:rPr>
        <w:drawing>
          <wp:inline distT="0" distB="0" distL="0" distR="0">
            <wp:extent cx="59207" cy="59207"/>
            <wp:effectExtent l="0" t="0" r="0" b="0"/>
            <wp:docPr id="236" name="Image 236"/>
            <wp:cNvGraphicFramePr>
              <a:graphicFrameLocks/>
            </wp:cNvGraphicFramePr>
            <a:graphic>
              <a:graphicData uri="http://schemas.openxmlformats.org/drawingml/2006/picture">
                <pic:pic>
                  <pic:nvPicPr>
                    <pic:cNvPr id="236" name="Image 236"/>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spacing w:val="40"/>
          <w:sz w:val="20"/>
        </w:rPr>
        <w:t> </w:t>
      </w:r>
      <w:r>
        <w:rPr>
          <w:b/>
          <w:color w:val="1A4796"/>
          <w:sz w:val="24"/>
        </w:rPr>
        <w:t>Under an amendment to the Foreign Sovereign Immunities Act. (1976), </w:t>
      </w:r>
      <w:r>
        <w:rPr>
          <w:color w:val="231F20"/>
          <w:sz w:val="24"/>
        </w:rPr>
        <w:t>legal suits may be filed against states so designated or their officials.</w:t>
      </w:r>
    </w:p>
    <w:p>
      <w:pPr>
        <w:pStyle w:val="BodyText"/>
        <w:spacing w:before="163"/>
        <w:ind w:left="1474"/>
      </w:pPr>
      <w:r>
        <w:rPr>
          <w:color w:val="231F20"/>
        </w:rPr>
        <w:t>In</w:t>
      </w:r>
      <w:r>
        <w:rPr>
          <w:color w:val="231F20"/>
          <w:spacing w:val="-16"/>
        </w:rPr>
        <w:t> </w:t>
      </w:r>
      <w:r>
        <w:rPr>
          <w:color w:val="231F20"/>
        </w:rPr>
        <w:t>Cuba’s</w:t>
      </w:r>
      <w:r>
        <w:rPr>
          <w:color w:val="231F20"/>
          <w:spacing w:val="-16"/>
        </w:rPr>
        <w:t> </w:t>
      </w:r>
      <w:r>
        <w:rPr>
          <w:color w:val="231F20"/>
        </w:rPr>
        <w:t>case,</w:t>
      </w:r>
      <w:r>
        <w:rPr>
          <w:color w:val="231F20"/>
          <w:spacing w:val="-16"/>
        </w:rPr>
        <w:t> </w:t>
      </w:r>
      <w:r>
        <w:rPr>
          <w:color w:val="231F20"/>
        </w:rPr>
        <w:t>certain</w:t>
      </w:r>
      <w:r>
        <w:rPr>
          <w:color w:val="231F20"/>
          <w:spacing w:val="-16"/>
        </w:rPr>
        <w:t> </w:t>
      </w:r>
      <w:r>
        <w:rPr>
          <w:color w:val="231F20"/>
        </w:rPr>
        <w:t>of</w:t>
      </w:r>
      <w:r>
        <w:rPr>
          <w:color w:val="231F20"/>
          <w:spacing w:val="-16"/>
        </w:rPr>
        <w:t> </w:t>
      </w:r>
      <w:r>
        <w:rPr>
          <w:color w:val="231F20"/>
        </w:rPr>
        <w:t>these</w:t>
      </w:r>
      <w:r>
        <w:rPr>
          <w:color w:val="231F20"/>
          <w:spacing w:val="-16"/>
        </w:rPr>
        <w:t> </w:t>
      </w:r>
      <w:r>
        <w:rPr>
          <w:color w:val="231F20"/>
        </w:rPr>
        <w:t>restrictions provide additional legal grounds for the prohibitions already being applied to our country under the blockade. That is, </w:t>
      </w:r>
      <w:r>
        <w:rPr>
          <w:color w:val="231F20"/>
        </w:rPr>
        <w:t>they tie in with provisions of the Cuban Assets </w:t>
      </w:r>
      <w:r>
        <w:rPr>
          <w:color w:val="231F20"/>
          <w:spacing w:val="-2"/>
        </w:rPr>
        <w:t>Control</w:t>
      </w:r>
      <w:r>
        <w:rPr>
          <w:color w:val="231F20"/>
          <w:spacing w:val="-14"/>
        </w:rPr>
        <w:t> </w:t>
      </w:r>
      <w:r>
        <w:rPr>
          <w:color w:val="231F20"/>
          <w:spacing w:val="-2"/>
        </w:rPr>
        <w:t>Regulations</w:t>
      </w:r>
      <w:r>
        <w:rPr>
          <w:color w:val="231F20"/>
          <w:spacing w:val="-14"/>
        </w:rPr>
        <w:t> </w:t>
      </w:r>
      <w:r>
        <w:rPr>
          <w:color w:val="231F20"/>
          <w:spacing w:val="-2"/>
        </w:rPr>
        <w:t>-</w:t>
      </w:r>
      <w:r>
        <w:rPr>
          <w:color w:val="231F20"/>
          <w:spacing w:val="-14"/>
        </w:rPr>
        <w:t> </w:t>
      </w:r>
      <w:r>
        <w:rPr>
          <w:color w:val="231F20"/>
          <w:spacing w:val="-2"/>
        </w:rPr>
        <w:t>a</w:t>
      </w:r>
      <w:r>
        <w:rPr>
          <w:color w:val="231F20"/>
          <w:spacing w:val="-14"/>
        </w:rPr>
        <w:t> </w:t>
      </w:r>
      <w:r>
        <w:rPr>
          <w:color w:val="231F20"/>
          <w:spacing w:val="-2"/>
        </w:rPr>
        <w:t>judicial</w:t>
      </w:r>
      <w:r>
        <w:rPr>
          <w:color w:val="231F20"/>
          <w:spacing w:val="-14"/>
        </w:rPr>
        <w:t> </w:t>
      </w:r>
      <w:r>
        <w:rPr>
          <w:color w:val="231F20"/>
          <w:spacing w:val="-2"/>
        </w:rPr>
        <w:t>prop</w:t>
      </w:r>
      <w:r>
        <w:rPr>
          <w:color w:val="231F20"/>
          <w:spacing w:val="-14"/>
        </w:rPr>
        <w:t> </w:t>
      </w:r>
      <w:r>
        <w:rPr>
          <w:color w:val="231F20"/>
          <w:spacing w:val="-2"/>
        </w:rPr>
        <w:t>of</w:t>
      </w:r>
      <w:r>
        <w:rPr>
          <w:color w:val="231F20"/>
          <w:spacing w:val="-14"/>
        </w:rPr>
        <w:t> </w:t>
      </w:r>
      <w:r>
        <w:rPr>
          <w:color w:val="231F20"/>
          <w:spacing w:val="-2"/>
        </w:rPr>
        <w:t>this </w:t>
      </w:r>
      <w:r>
        <w:rPr>
          <w:color w:val="231F20"/>
        </w:rPr>
        <w:t>system of unilateral coercive measures.</w:t>
      </w:r>
    </w:p>
    <w:p>
      <w:pPr>
        <w:pStyle w:val="BodyText"/>
        <w:spacing w:before="166"/>
        <w:ind w:left="1474" w:right="1"/>
      </w:pPr>
      <w:r>
        <w:rPr>
          <w:color w:val="231F20"/>
        </w:rPr>
        <w:t>Specific examples of the effects of these measures on Cuba and citizens of third countries</w:t>
      </w:r>
      <w:r>
        <w:rPr>
          <w:color w:val="231F20"/>
          <w:spacing w:val="-1"/>
        </w:rPr>
        <w:t> </w:t>
      </w:r>
      <w:r>
        <w:rPr>
          <w:color w:val="231F20"/>
        </w:rPr>
        <w:t>are</w:t>
      </w:r>
      <w:r>
        <w:rPr>
          <w:color w:val="231F20"/>
          <w:spacing w:val="-1"/>
        </w:rPr>
        <w:t> </w:t>
      </w:r>
      <w:r>
        <w:rPr>
          <w:color w:val="231F20"/>
        </w:rPr>
        <w:t>cited</w:t>
      </w:r>
      <w:r>
        <w:rPr>
          <w:color w:val="231F20"/>
          <w:spacing w:val="-1"/>
        </w:rPr>
        <w:t> </w:t>
      </w:r>
      <w:r>
        <w:rPr>
          <w:color w:val="231F20"/>
        </w:rPr>
        <w:t>among</w:t>
      </w:r>
      <w:r>
        <w:rPr>
          <w:color w:val="231F20"/>
          <w:spacing w:val="-1"/>
        </w:rPr>
        <w:t> </w:t>
      </w:r>
      <w:r>
        <w:rPr>
          <w:color w:val="231F20"/>
        </w:rPr>
        <w:t>the</w:t>
      </w:r>
      <w:r>
        <w:rPr>
          <w:color w:val="231F20"/>
          <w:spacing w:val="-1"/>
        </w:rPr>
        <w:t> </w:t>
      </w:r>
      <w:r>
        <w:rPr>
          <w:color w:val="231F20"/>
        </w:rPr>
        <w:t>impacts</w:t>
      </w:r>
      <w:r>
        <w:rPr>
          <w:color w:val="231F20"/>
          <w:spacing w:val="-1"/>
        </w:rPr>
        <w:t> </w:t>
      </w:r>
      <w:r>
        <w:rPr>
          <w:color w:val="231F20"/>
        </w:rPr>
        <w:t>by sector throughout this report.</w:t>
      </w:r>
    </w:p>
    <w:p>
      <w:pPr>
        <w:pStyle w:val="Heading2"/>
        <w:spacing w:line="211" w:lineRule="auto" w:before="313"/>
        <w:ind w:left="1474"/>
      </w:pPr>
      <w:r>
        <w:rPr>
          <w:color w:val="1A4796"/>
          <w:w w:val="115"/>
        </w:rPr>
        <w:t>Prerogatives of the U.S. president to modify the application of the </w:t>
      </w:r>
      <w:r>
        <w:rPr>
          <w:color w:val="1A4796"/>
          <w:w w:val="115"/>
        </w:rPr>
        <w:t>blockade</w:t>
      </w:r>
    </w:p>
    <w:p>
      <w:pPr>
        <w:pStyle w:val="BodyText"/>
        <w:spacing w:before="133"/>
        <w:ind w:left="1474"/>
      </w:pPr>
      <w:r>
        <w:rPr>
          <w:color w:val="231F20"/>
        </w:rPr>
        <w:t>With the signing into law of the </w:t>
      </w:r>
      <w:r>
        <w:rPr>
          <w:color w:val="231F20"/>
        </w:rPr>
        <w:t>Helms- Burton</w:t>
      </w:r>
      <w:r>
        <w:rPr>
          <w:color w:val="231F20"/>
          <w:spacing w:val="-4"/>
        </w:rPr>
        <w:t> </w:t>
      </w:r>
      <w:r>
        <w:rPr>
          <w:color w:val="231F20"/>
        </w:rPr>
        <w:t>Act</w:t>
      </w:r>
      <w:r>
        <w:rPr>
          <w:color w:val="231F20"/>
          <w:spacing w:val="-4"/>
        </w:rPr>
        <w:t> </w:t>
      </w:r>
      <w:r>
        <w:rPr>
          <w:color w:val="231F20"/>
        </w:rPr>
        <w:t>by</w:t>
      </w:r>
      <w:r>
        <w:rPr>
          <w:color w:val="231F20"/>
          <w:spacing w:val="-4"/>
        </w:rPr>
        <w:t> </w:t>
      </w:r>
      <w:r>
        <w:rPr>
          <w:color w:val="231F20"/>
        </w:rPr>
        <w:t>President</w:t>
      </w:r>
      <w:r>
        <w:rPr>
          <w:color w:val="231F20"/>
          <w:spacing w:val="-4"/>
        </w:rPr>
        <w:t> </w:t>
      </w:r>
      <w:r>
        <w:rPr>
          <w:color w:val="231F20"/>
        </w:rPr>
        <w:t>Clinton</w:t>
      </w:r>
      <w:r>
        <w:rPr>
          <w:color w:val="231F20"/>
          <w:spacing w:val="-4"/>
        </w:rPr>
        <w:t> </w:t>
      </w:r>
      <w:r>
        <w:rPr>
          <w:color w:val="231F20"/>
        </w:rPr>
        <w:t>on</w:t>
      </w:r>
      <w:r>
        <w:rPr>
          <w:color w:val="231F20"/>
          <w:spacing w:val="-4"/>
        </w:rPr>
        <w:t> </w:t>
      </w:r>
      <w:r>
        <w:rPr>
          <w:color w:val="231F20"/>
        </w:rPr>
        <w:t>March 12, 1996, the laws and web of executive orders that sustain the blockade on Cuba were codified. From that point, the U.S. Congress became the body empowered to</w:t>
      </w:r>
      <w:r>
        <w:rPr>
          <w:color w:val="231F20"/>
          <w:spacing w:val="-4"/>
        </w:rPr>
        <w:t> </w:t>
      </w:r>
      <w:r>
        <w:rPr>
          <w:color w:val="231F20"/>
        </w:rPr>
        <w:t>repeal</w:t>
      </w:r>
      <w:r>
        <w:rPr>
          <w:color w:val="231F20"/>
          <w:spacing w:val="-4"/>
        </w:rPr>
        <w:t> </w:t>
      </w:r>
      <w:r>
        <w:rPr>
          <w:color w:val="231F20"/>
        </w:rPr>
        <w:t>the</w:t>
      </w:r>
      <w:r>
        <w:rPr>
          <w:color w:val="231F20"/>
          <w:spacing w:val="-4"/>
        </w:rPr>
        <w:t> </w:t>
      </w:r>
      <w:r>
        <w:rPr>
          <w:color w:val="231F20"/>
        </w:rPr>
        <w:t>legislation</w:t>
      </w:r>
      <w:r>
        <w:rPr>
          <w:color w:val="231F20"/>
          <w:spacing w:val="-4"/>
        </w:rPr>
        <w:t> </w:t>
      </w:r>
      <w:r>
        <w:rPr>
          <w:color w:val="231F20"/>
        </w:rPr>
        <w:t>underpinning</w:t>
      </w:r>
      <w:r>
        <w:rPr>
          <w:color w:val="231F20"/>
          <w:spacing w:val="-4"/>
        </w:rPr>
        <w:t> </w:t>
      </w:r>
      <w:r>
        <w:rPr>
          <w:color w:val="231F20"/>
        </w:rPr>
        <w:t>the blockade or to decree its lifting.</w:t>
      </w:r>
    </w:p>
    <w:p>
      <w:pPr>
        <w:pStyle w:val="BodyText"/>
        <w:spacing w:before="166"/>
        <w:ind w:left="1474"/>
      </w:pPr>
      <w:r>
        <w:rPr>
          <w:color w:val="231F20"/>
        </w:rPr>
        <w:t>The</w:t>
      </w:r>
      <w:r>
        <w:rPr>
          <w:color w:val="231F20"/>
          <w:spacing w:val="48"/>
          <w:w w:val="150"/>
        </w:rPr>
        <w:t> </w:t>
      </w:r>
      <w:r>
        <w:rPr>
          <w:color w:val="231F20"/>
        </w:rPr>
        <w:t>same</w:t>
      </w:r>
      <w:r>
        <w:rPr>
          <w:color w:val="231F20"/>
          <w:spacing w:val="48"/>
          <w:w w:val="150"/>
        </w:rPr>
        <w:t> </w:t>
      </w:r>
      <w:r>
        <w:rPr>
          <w:color w:val="231F20"/>
        </w:rPr>
        <w:t>law</w:t>
      </w:r>
      <w:r>
        <w:rPr>
          <w:color w:val="231F20"/>
          <w:spacing w:val="48"/>
          <w:w w:val="150"/>
        </w:rPr>
        <w:t> </w:t>
      </w:r>
      <w:r>
        <w:rPr>
          <w:color w:val="231F20"/>
        </w:rPr>
        <w:t>reserved</w:t>
      </w:r>
      <w:r>
        <w:rPr>
          <w:color w:val="231F20"/>
          <w:spacing w:val="48"/>
          <w:w w:val="150"/>
        </w:rPr>
        <w:t> </w:t>
      </w:r>
      <w:r>
        <w:rPr>
          <w:color w:val="231F20"/>
        </w:rPr>
        <w:t>powers</w:t>
      </w:r>
      <w:r>
        <w:rPr>
          <w:color w:val="231F20"/>
          <w:spacing w:val="48"/>
          <w:w w:val="150"/>
        </w:rPr>
        <w:t> </w:t>
      </w:r>
      <w:r>
        <w:rPr>
          <w:color w:val="231F20"/>
        </w:rPr>
        <w:t>to</w:t>
      </w:r>
      <w:r>
        <w:rPr>
          <w:color w:val="231F20"/>
          <w:spacing w:val="48"/>
          <w:w w:val="150"/>
        </w:rPr>
        <w:t> </w:t>
      </w:r>
      <w:r>
        <w:rPr>
          <w:color w:val="231F20"/>
          <w:spacing w:val="-5"/>
        </w:rPr>
        <w:t>the</w:t>
      </w:r>
    </w:p>
    <w:p>
      <w:pPr>
        <w:pStyle w:val="BodyText"/>
        <w:spacing w:before="77"/>
        <w:ind w:left="412" w:right="1133"/>
      </w:pPr>
      <w:r>
        <w:rPr/>
        <w:br w:type="column"/>
      </w:r>
      <w:r>
        <w:rPr>
          <w:color w:val="231F20"/>
          <w:spacing w:val="-4"/>
        </w:rPr>
        <w:t>president</w:t>
      </w:r>
      <w:r>
        <w:rPr>
          <w:color w:val="231F20"/>
          <w:spacing w:val="-8"/>
        </w:rPr>
        <w:t> </w:t>
      </w:r>
      <w:r>
        <w:rPr>
          <w:color w:val="231F20"/>
          <w:spacing w:val="-4"/>
        </w:rPr>
        <w:t>to</w:t>
      </w:r>
      <w:r>
        <w:rPr>
          <w:color w:val="231F20"/>
          <w:spacing w:val="-8"/>
        </w:rPr>
        <w:t> </w:t>
      </w:r>
      <w:r>
        <w:rPr>
          <w:color w:val="231F20"/>
          <w:spacing w:val="-4"/>
        </w:rPr>
        <w:t>allow</w:t>
      </w:r>
      <w:r>
        <w:rPr>
          <w:color w:val="231F20"/>
          <w:spacing w:val="-8"/>
        </w:rPr>
        <w:t> </w:t>
      </w:r>
      <w:r>
        <w:rPr>
          <w:color w:val="231F20"/>
          <w:spacing w:val="-4"/>
        </w:rPr>
        <w:t>certain</w:t>
      </w:r>
      <w:r>
        <w:rPr>
          <w:color w:val="231F20"/>
          <w:spacing w:val="-8"/>
        </w:rPr>
        <w:t> </w:t>
      </w:r>
      <w:r>
        <w:rPr>
          <w:color w:val="231F20"/>
          <w:spacing w:val="-4"/>
        </w:rPr>
        <w:t>operations</w:t>
      </w:r>
      <w:r>
        <w:rPr>
          <w:color w:val="231F20"/>
          <w:spacing w:val="-8"/>
        </w:rPr>
        <w:t> </w:t>
      </w:r>
      <w:r>
        <w:rPr>
          <w:color w:val="231F20"/>
          <w:spacing w:val="-4"/>
        </w:rPr>
        <w:t>based </w:t>
      </w:r>
      <w:r>
        <w:rPr>
          <w:color w:val="231F20"/>
          <w:spacing w:val="-2"/>
        </w:rPr>
        <w:t>on</w:t>
      </w:r>
      <w:r>
        <w:rPr>
          <w:color w:val="231F20"/>
          <w:spacing w:val="-13"/>
        </w:rPr>
        <w:t> </w:t>
      </w:r>
      <w:r>
        <w:rPr>
          <w:color w:val="231F20"/>
          <w:spacing w:val="-2"/>
        </w:rPr>
        <w:t>the</w:t>
      </w:r>
      <w:r>
        <w:rPr>
          <w:color w:val="231F20"/>
          <w:spacing w:val="-13"/>
        </w:rPr>
        <w:t> </w:t>
      </w:r>
      <w:r>
        <w:rPr>
          <w:color w:val="231F20"/>
          <w:spacing w:val="-2"/>
        </w:rPr>
        <w:t>issue</w:t>
      </w:r>
      <w:r>
        <w:rPr>
          <w:color w:val="231F20"/>
          <w:spacing w:val="-13"/>
        </w:rPr>
        <w:t> </w:t>
      </w:r>
      <w:r>
        <w:rPr>
          <w:color w:val="231F20"/>
          <w:spacing w:val="-2"/>
        </w:rPr>
        <w:t>of</w:t>
      </w:r>
      <w:r>
        <w:rPr>
          <w:color w:val="231F20"/>
          <w:spacing w:val="-13"/>
        </w:rPr>
        <w:t> </w:t>
      </w:r>
      <w:r>
        <w:rPr>
          <w:color w:val="231F20"/>
          <w:spacing w:val="-2"/>
        </w:rPr>
        <w:t>licenses,</w:t>
      </w:r>
      <w:r>
        <w:rPr>
          <w:color w:val="231F20"/>
          <w:spacing w:val="-13"/>
        </w:rPr>
        <w:t> </w:t>
      </w:r>
      <w:r>
        <w:rPr>
          <w:color w:val="231F20"/>
          <w:spacing w:val="-2"/>
        </w:rPr>
        <w:t>enabling</w:t>
      </w:r>
      <w:r>
        <w:rPr>
          <w:color w:val="231F20"/>
          <w:spacing w:val="-13"/>
        </w:rPr>
        <w:t> </w:t>
      </w:r>
      <w:r>
        <w:rPr>
          <w:color w:val="231F20"/>
          <w:spacing w:val="-2"/>
        </w:rPr>
        <w:t>the</w:t>
      </w:r>
      <w:r>
        <w:rPr>
          <w:color w:val="231F20"/>
          <w:spacing w:val="-13"/>
        </w:rPr>
        <w:t> </w:t>
      </w:r>
      <w:r>
        <w:rPr>
          <w:color w:val="231F20"/>
          <w:spacing w:val="-2"/>
        </w:rPr>
        <w:t>lifting </w:t>
      </w:r>
      <w:r>
        <w:rPr>
          <w:color w:val="231F20"/>
          <w:spacing w:val="-4"/>
        </w:rPr>
        <w:t>of</w:t>
      </w:r>
      <w:r>
        <w:rPr>
          <w:color w:val="231F20"/>
          <w:spacing w:val="-13"/>
        </w:rPr>
        <w:t> </w:t>
      </w:r>
      <w:r>
        <w:rPr>
          <w:color w:val="231F20"/>
          <w:spacing w:val="-4"/>
        </w:rPr>
        <w:t>blockade</w:t>
      </w:r>
      <w:r>
        <w:rPr>
          <w:color w:val="231F20"/>
          <w:spacing w:val="-12"/>
        </w:rPr>
        <w:t> </w:t>
      </w:r>
      <w:r>
        <w:rPr>
          <w:color w:val="231F20"/>
          <w:spacing w:val="-4"/>
        </w:rPr>
        <w:t>restrictions</w:t>
      </w:r>
      <w:r>
        <w:rPr>
          <w:color w:val="231F20"/>
          <w:spacing w:val="-13"/>
        </w:rPr>
        <w:t> </w:t>
      </w:r>
      <w:r>
        <w:rPr>
          <w:color w:val="231F20"/>
          <w:spacing w:val="-4"/>
        </w:rPr>
        <w:t>by</w:t>
      </w:r>
      <w:r>
        <w:rPr>
          <w:color w:val="231F20"/>
          <w:spacing w:val="-12"/>
        </w:rPr>
        <w:t> </w:t>
      </w:r>
      <w:r>
        <w:rPr>
          <w:color w:val="231F20"/>
          <w:spacing w:val="-4"/>
        </w:rPr>
        <w:t>executive</w:t>
      </w:r>
      <w:r>
        <w:rPr>
          <w:color w:val="231F20"/>
          <w:spacing w:val="-13"/>
        </w:rPr>
        <w:t> </w:t>
      </w:r>
      <w:r>
        <w:rPr>
          <w:color w:val="231F20"/>
          <w:spacing w:val="-4"/>
        </w:rPr>
        <w:t>action. </w:t>
      </w:r>
      <w:r>
        <w:rPr>
          <w:color w:val="231F20"/>
        </w:rPr>
        <w:t>In this way, the president can announce substantive</w:t>
      </w:r>
      <w:r>
        <w:rPr>
          <w:color w:val="231F20"/>
          <w:spacing w:val="-3"/>
        </w:rPr>
        <w:t> </w:t>
      </w:r>
      <w:r>
        <w:rPr>
          <w:color w:val="231F20"/>
        </w:rPr>
        <w:t>amendments</w:t>
      </w:r>
      <w:r>
        <w:rPr>
          <w:color w:val="231F20"/>
          <w:spacing w:val="-3"/>
        </w:rPr>
        <w:t> </w:t>
      </w:r>
      <w:r>
        <w:rPr>
          <w:color w:val="231F20"/>
        </w:rPr>
        <w:t>to</w:t>
      </w:r>
      <w:r>
        <w:rPr>
          <w:color w:val="231F20"/>
          <w:spacing w:val="-3"/>
        </w:rPr>
        <w:t> </w:t>
      </w:r>
      <w:r>
        <w:rPr>
          <w:color w:val="231F20"/>
        </w:rPr>
        <w:t>the</w:t>
      </w:r>
      <w:r>
        <w:rPr>
          <w:color w:val="231F20"/>
          <w:spacing w:val="-3"/>
        </w:rPr>
        <w:t> </w:t>
      </w:r>
      <w:r>
        <w:rPr>
          <w:color w:val="231F20"/>
        </w:rPr>
        <w:t>sanctions by means of regulatory changes in the Treasury and Trade departments; such actions could include:</w:t>
      </w:r>
    </w:p>
    <w:p>
      <w:pPr>
        <w:spacing w:before="166"/>
        <w:ind w:left="673" w:right="1131" w:hanging="261"/>
        <w:jc w:val="both"/>
        <w:rPr>
          <w:i/>
          <w:sz w:val="24"/>
        </w:rPr>
      </w:pPr>
      <w:r>
        <w:rPr/>
        <w:drawing>
          <wp:inline distT="0" distB="0" distL="0" distR="0">
            <wp:extent cx="117165" cy="86804"/>
            <wp:effectExtent l="0" t="0" r="0" b="0"/>
            <wp:docPr id="237" name="Image 237"/>
            <wp:cNvGraphicFramePr>
              <a:graphicFrameLocks/>
            </wp:cNvGraphicFramePr>
            <a:graphic>
              <a:graphicData uri="http://schemas.openxmlformats.org/drawingml/2006/picture">
                <pic:pic>
                  <pic:nvPicPr>
                    <pic:cNvPr id="237" name="Image 237"/>
                    <pic:cNvPicPr/>
                  </pic:nvPicPr>
                  <pic:blipFill>
                    <a:blip r:embed="rId73" cstate="print"/>
                    <a:stretch>
                      <a:fillRect/>
                    </a:stretch>
                  </pic:blipFill>
                  <pic:spPr>
                    <a:xfrm>
                      <a:off x="0" y="0"/>
                      <a:ext cx="117165" cy="86804"/>
                    </a:xfrm>
                    <a:prstGeom prst="rect">
                      <a:avLst/>
                    </a:prstGeom>
                  </pic:spPr>
                </pic:pic>
              </a:graphicData>
            </a:graphic>
          </wp:inline>
        </w:drawing>
      </w:r>
      <w:r>
        <w:rPr/>
      </w:r>
      <w:r>
        <w:rPr>
          <w:rFonts w:ascii="Times New Roman"/>
          <w:sz w:val="20"/>
        </w:rPr>
        <w:t> </w:t>
      </w:r>
      <w:r>
        <w:rPr>
          <w:i/>
          <w:color w:val="1A4796"/>
          <w:sz w:val="24"/>
        </w:rPr>
        <w:t>Abandoning the policy of </w:t>
      </w:r>
      <w:r>
        <w:rPr>
          <w:i/>
          <w:color w:val="1A4796"/>
          <w:sz w:val="24"/>
        </w:rPr>
        <w:t>financial</w:t>
      </w:r>
      <w:r>
        <w:rPr>
          <w:i/>
          <w:color w:val="1A4796"/>
          <w:sz w:val="24"/>
        </w:rPr>
        <w:t> persecution of Cuba.</w:t>
      </w:r>
    </w:p>
    <w:p>
      <w:pPr>
        <w:spacing w:before="162"/>
        <w:ind w:left="673" w:right="1131" w:hanging="261"/>
        <w:jc w:val="both"/>
        <w:rPr>
          <w:i/>
          <w:sz w:val="24"/>
        </w:rPr>
      </w:pPr>
      <w:r>
        <w:rPr/>
        <w:drawing>
          <wp:inline distT="0" distB="0" distL="0" distR="0">
            <wp:extent cx="117165" cy="86804"/>
            <wp:effectExtent l="0" t="0" r="0" b="0"/>
            <wp:docPr id="238" name="Image 238"/>
            <wp:cNvGraphicFramePr>
              <a:graphicFrameLocks/>
            </wp:cNvGraphicFramePr>
            <a:graphic>
              <a:graphicData uri="http://schemas.openxmlformats.org/drawingml/2006/picture">
                <pic:pic>
                  <pic:nvPicPr>
                    <pic:cNvPr id="238" name="Image 238"/>
                    <pic:cNvPicPr/>
                  </pic:nvPicPr>
                  <pic:blipFill>
                    <a:blip r:embed="rId73" cstate="print"/>
                    <a:stretch>
                      <a:fillRect/>
                    </a:stretch>
                  </pic:blipFill>
                  <pic:spPr>
                    <a:xfrm>
                      <a:off x="0" y="0"/>
                      <a:ext cx="117165" cy="86804"/>
                    </a:xfrm>
                    <a:prstGeom prst="rect">
                      <a:avLst/>
                    </a:prstGeom>
                  </pic:spPr>
                </pic:pic>
              </a:graphicData>
            </a:graphic>
          </wp:inline>
        </w:drawing>
      </w:r>
      <w:r>
        <w:rPr/>
      </w:r>
      <w:r>
        <w:rPr>
          <w:rFonts w:ascii="Times New Roman"/>
          <w:sz w:val="20"/>
        </w:rPr>
        <w:t> </w:t>
      </w:r>
      <w:r>
        <w:rPr>
          <w:i/>
          <w:color w:val="1A4796"/>
          <w:sz w:val="24"/>
        </w:rPr>
        <w:t>Enabling Cuban banks or firms to </w:t>
      </w:r>
      <w:r>
        <w:rPr>
          <w:i/>
          <w:color w:val="1A4796"/>
          <w:sz w:val="24"/>
        </w:rPr>
        <w:t>open</w:t>
      </w:r>
      <w:r>
        <w:rPr>
          <w:i/>
          <w:color w:val="1A4796"/>
          <w:sz w:val="24"/>
        </w:rPr>
        <w:t> correspondent accounts in U.S. banks.</w:t>
      </w:r>
    </w:p>
    <w:p>
      <w:pPr>
        <w:spacing w:before="161"/>
        <w:ind w:left="673" w:right="1131" w:hanging="261"/>
        <w:jc w:val="both"/>
        <w:rPr>
          <w:i/>
          <w:sz w:val="24"/>
        </w:rPr>
      </w:pPr>
      <w:r>
        <w:rPr/>
        <w:drawing>
          <wp:inline distT="0" distB="0" distL="0" distR="0">
            <wp:extent cx="117165" cy="86804"/>
            <wp:effectExtent l="0" t="0" r="0" b="0"/>
            <wp:docPr id="239" name="Image 239"/>
            <wp:cNvGraphicFramePr>
              <a:graphicFrameLocks/>
            </wp:cNvGraphicFramePr>
            <a:graphic>
              <a:graphicData uri="http://schemas.openxmlformats.org/drawingml/2006/picture">
                <pic:pic>
                  <pic:nvPicPr>
                    <pic:cNvPr id="239" name="Image 239"/>
                    <pic:cNvPicPr/>
                  </pic:nvPicPr>
                  <pic:blipFill>
                    <a:blip r:embed="rId73" cstate="print"/>
                    <a:stretch>
                      <a:fillRect/>
                    </a:stretch>
                  </pic:blipFill>
                  <pic:spPr>
                    <a:xfrm>
                      <a:off x="0" y="0"/>
                      <a:ext cx="117165" cy="86804"/>
                    </a:xfrm>
                    <a:prstGeom prst="rect">
                      <a:avLst/>
                    </a:prstGeom>
                  </pic:spPr>
                </pic:pic>
              </a:graphicData>
            </a:graphic>
          </wp:inline>
        </w:drawing>
      </w:r>
      <w:r>
        <w:rPr/>
      </w:r>
      <w:r>
        <w:rPr>
          <w:rFonts w:ascii="Times New Roman"/>
          <w:sz w:val="20"/>
        </w:rPr>
        <w:t> </w:t>
      </w:r>
      <w:r>
        <w:rPr>
          <w:i/>
          <w:color w:val="1A4796"/>
          <w:sz w:val="24"/>
        </w:rPr>
        <w:t>Authorizing exports to Cuba of </w:t>
      </w:r>
      <w:r>
        <w:rPr>
          <w:i/>
          <w:color w:val="1A4796"/>
          <w:sz w:val="24"/>
        </w:rPr>
        <w:t>U.S.</w:t>
      </w:r>
      <w:r>
        <w:rPr>
          <w:i/>
          <w:color w:val="1A4796"/>
          <w:sz w:val="24"/>
        </w:rPr>
        <w:t> products relevant to key sectors of the economy, such as mining, tourism and </w:t>
      </w:r>
      <w:r>
        <w:rPr>
          <w:i/>
          <w:color w:val="1A4796"/>
          <w:spacing w:val="-2"/>
          <w:sz w:val="24"/>
        </w:rPr>
        <w:t>biotechnology.</w:t>
      </w:r>
    </w:p>
    <w:p>
      <w:pPr>
        <w:spacing w:before="163"/>
        <w:ind w:left="673" w:right="1131" w:hanging="261"/>
        <w:jc w:val="both"/>
        <w:rPr>
          <w:i/>
          <w:sz w:val="24"/>
        </w:rPr>
      </w:pPr>
      <w:r>
        <w:rPr/>
        <w:drawing>
          <wp:inline distT="0" distB="0" distL="0" distR="0">
            <wp:extent cx="117165" cy="86804"/>
            <wp:effectExtent l="0" t="0" r="0" b="0"/>
            <wp:docPr id="240" name="Image 240"/>
            <wp:cNvGraphicFramePr>
              <a:graphicFrameLocks/>
            </wp:cNvGraphicFramePr>
            <a:graphic>
              <a:graphicData uri="http://schemas.openxmlformats.org/drawingml/2006/picture">
                <pic:pic>
                  <pic:nvPicPr>
                    <pic:cNvPr id="240" name="Image 240"/>
                    <pic:cNvPicPr/>
                  </pic:nvPicPr>
                  <pic:blipFill>
                    <a:blip r:embed="rId73" cstate="print"/>
                    <a:stretch>
                      <a:fillRect/>
                    </a:stretch>
                  </pic:blipFill>
                  <pic:spPr>
                    <a:xfrm>
                      <a:off x="0" y="0"/>
                      <a:ext cx="117165" cy="86804"/>
                    </a:xfrm>
                    <a:prstGeom prst="rect">
                      <a:avLst/>
                    </a:prstGeom>
                  </pic:spPr>
                </pic:pic>
              </a:graphicData>
            </a:graphic>
          </wp:inline>
        </w:drawing>
      </w:r>
      <w:r>
        <w:rPr/>
      </w:r>
      <w:r>
        <w:rPr>
          <w:rFonts w:ascii="Times New Roman"/>
          <w:sz w:val="20"/>
        </w:rPr>
        <w:t> </w:t>
      </w:r>
      <w:r>
        <w:rPr>
          <w:i/>
          <w:color w:val="1A4796"/>
          <w:sz w:val="24"/>
        </w:rPr>
        <w:t>Authorizing imports from Cuba of </w:t>
      </w:r>
      <w:r>
        <w:rPr>
          <w:i/>
          <w:color w:val="1A4796"/>
          <w:sz w:val="24"/>
        </w:rPr>
        <w:t>any</w:t>
      </w:r>
      <w:r>
        <w:rPr>
          <w:i/>
          <w:color w:val="1A4796"/>
          <w:sz w:val="24"/>
        </w:rPr>
        <w:t> manufactured goods or goods derived from agriculture, produced in Cuba by state</w:t>
      </w:r>
      <w:r>
        <w:rPr>
          <w:i/>
          <w:color w:val="1A4796"/>
          <w:spacing w:val="-13"/>
          <w:sz w:val="24"/>
        </w:rPr>
        <w:t> </w:t>
      </w:r>
      <w:r>
        <w:rPr>
          <w:i/>
          <w:color w:val="1A4796"/>
          <w:sz w:val="24"/>
        </w:rPr>
        <w:t>enterprises</w:t>
      </w:r>
      <w:r>
        <w:rPr>
          <w:i/>
          <w:color w:val="1A4796"/>
          <w:spacing w:val="-13"/>
          <w:sz w:val="24"/>
        </w:rPr>
        <w:t> </w:t>
      </w:r>
      <w:r>
        <w:rPr>
          <w:i/>
          <w:color w:val="1A4796"/>
          <w:sz w:val="24"/>
        </w:rPr>
        <w:t>(including</w:t>
      </w:r>
      <w:r>
        <w:rPr>
          <w:i/>
          <w:color w:val="1A4796"/>
          <w:spacing w:val="-13"/>
          <w:sz w:val="24"/>
        </w:rPr>
        <w:t> </w:t>
      </w:r>
      <w:r>
        <w:rPr>
          <w:i/>
          <w:color w:val="1A4796"/>
          <w:sz w:val="24"/>
        </w:rPr>
        <w:t>nickel,</w:t>
      </w:r>
      <w:r>
        <w:rPr>
          <w:i/>
          <w:color w:val="1A4796"/>
          <w:spacing w:val="-13"/>
          <w:sz w:val="24"/>
        </w:rPr>
        <w:t> </w:t>
      </w:r>
      <w:r>
        <w:rPr>
          <w:i/>
          <w:color w:val="1A4796"/>
          <w:sz w:val="24"/>
        </w:rPr>
        <w:t>sugar, tobacco and rum).</w:t>
      </w:r>
    </w:p>
    <w:p>
      <w:pPr>
        <w:spacing w:before="164"/>
        <w:ind w:left="673" w:right="1131" w:hanging="261"/>
        <w:jc w:val="both"/>
        <w:rPr>
          <w:i/>
          <w:sz w:val="24"/>
        </w:rPr>
      </w:pPr>
      <w:r>
        <w:rPr/>
        <w:drawing>
          <wp:inline distT="0" distB="0" distL="0" distR="0">
            <wp:extent cx="117165" cy="86804"/>
            <wp:effectExtent l="0" t="0" r="0" b="0"/>
            <wp:docPr id="241" name="Image 241"/>
            <wp:cNvGraphicFramePr>
              <a:graphicFrameLocks/>
            </wp:cNvGraphicFramePr>
            <a:graphic>
              <a:graphicData uri="http://schemas.openxmlformats.org/drawingml/2006/picture">
                <pic:pic>
                  <pic:nvPicPr>
                    <pic:cNvPr id="241" name="Image 241"/>
                    <pic:cNvPicPr/>
                  </pic:nvPicPr>
                  <pic:blipFill>
                    <a:blip r:embed="rId73" cstate="print"/>
                    <a:stretch>
                      <a:fillRect/>
                    </a:stretch>
                  </pic:blipFill>
                  <pic:spPr>
                    <a:xfrm>
                      <a:off x="0" y="0"/>
                      <a:ext cx="117165" cy="86804"/>
                    </a:xfrm>
                    <a:prstGeom prst="rect">
                      <a:avLst/>
                    </a:prstGeom>
                  </pic:spPr>
                </pic:pic>
              </a:graphicData>
            </a:graphic>
          </wp:inline>
        </w:drawing>
      </w:r>
      <w:r>
        <w:rPr/>
      </w:r>
      <w:r>
        <w:rPr>
          <w:rFonts w:ascii="Times New Roman"/>
          <w:sz w:val="20"/>
        </w:rPr>
        <w:t> </w:t>
      </w:r>
      <w:r>
        <w:rPr>
          <w:i/>
          <w:color w:val="1A4796"/>
          <w:sz w:val="24"/>
        </w:rPr>
        <w:t>Allowing the export to Cuba of supplies</w:t>
      </w:r>
      <w:r>
        <w:rPr>
          <w:i/>
          <w:color w:val="1A4796"/>
          <w:sz w:val="24"/>
        </w:rPr>
        <w:t> </w:t>
      </w:r>
      <w:r>
        <w:rPr>
          <w:i/>
          <w:color w:val="1A4796"/>
          <w:spacing w:val="-6"/>
          <w:sz w:val="24"/>
        </w:rPr>
        <w:t>and</w:t>
      </w:r>
      <w:r>
        <w:rPr>
          <w:i/>
          <w:color w:val="1A4796"/>
          <w:spacing w:val="-8"/>
          <w:sz w:val="24"/>
        </w:rPr>
        <w:t> </w:t>
      </w:r>
      <w:r>
        <w:rPr>
          <w:i/>
          <w:color w:val="1A4796"/>
          <w:spacing w:val="-6"/>
          <w:sz w:val="24"/>
        </w:rPr>
        <w:t>equipment</w:t>
      </w:r>
      <w:r>
        <w:rPr>
          <w:i/>
          <w:color w:val="1A4796"/>
          <w:spacing w:val="-8"/>
          <w:sz w:val="24"/>
        </w:rPr>
        <w:t> </w:t>
      </w:r>
      <w:r>
        <w:rPr>
          <w:i/>
          <w:color w:val="1A4796"/>
          <w:spacing w:val="-6"/>
          <w:sz w:val="24"/>
        </w:rPr>
        <w:t>for</w:t>
      </w:r>
      <w:r>
        <w:rPr>
          <w:i/>
          <w:color w:val="1A4796"/>
          <w:spacing w:val="-8"/>
          <w:sz w:val="24"/>
        </w:rPr>
        <w:t> </w:t>
      </w:r>
      <w:r>
        <w:rPr>
          <w:i/>
          <w:color w:val="1A4796"/>
          <w:spacing w:val="-6"/>
          <w:sz w:val="24"/>
        </w:rPr>
        <w:t>use</w:t>
      </w:r>
      <w:r>
        <w:rPr>
          <w:i/>
          <w:color w:val="1A4796"/>
          <w:spacing w:val="-8"/>
          <w:sz w:val="24"/>
        </w:rPr>
        <w:t> </w:t>
      </w:r>
      <w:r>
        <w:rPr>
          <w:i/>
          <w:color w:val="1A4796"/>
          <w:spacing w:val="-6"/>
          <w:sz w:val="24"/>
        </w:rPr>
        <w:t>in</w:t>
      </w:r>
      <w:r>
        <w:rPr>
          <w:i/>
          <w:color w:val="1A4796"/>
          <w:spacing w:val="-8"/>
          <w:sz w:val="24"/>
        </w:rPr>
        <w:t> </w:t>
      </w:r>
      <w:r>
        <w:rPr>
          <w:i/>
          <w:color w:val="1A4796"/>
          <w:spacing w:val="-6"/>
          <w:sz w:val="24"/>
        </w:rPr>
        <w:t>the</w:t>
      </w:r>
      <w:r>
        <w:rPr>
          <w:i/>
          <w:color w:val="1A4796"/>
          <w:spacing w:val="-8"/>
          <w:sz w:val="24"/>
        </w:rPr>
        <w:t> </w:t>
      </w:r>
      <w:r>
        <w:rPr>
          <w:i/>
          <w:color w:val="1A4796"/>
          <w:spacing w:val="-6"/>
          <w:sz w:val="24"/>
        </w:rPr>
        <w:t>manufacture </w:t>
      </w:r>
      <w:r>
        <w:rPr>
          <w:i/>
          <w:color w:val="1A4796"/>
          <w:sz w:val="24"/>
        </w:rPr>
        <w:t>of Cuban biotechnology products.</w:t>
      </w:r>
    </w:p>
    <w:p>
      <w:pPr>
        <w:spacing w:before="163"/>
        <w:ind w:left="673" w:right="1131" w:hanging="261"/>
        <w:jc w:val="both"/>
        <w:rPr>
          <w:i/>
          <w:sz w:val="24"/>
        </w:rPr>
      </w:pPr>
      <w:r>
        <w:rPr/>
        <w:drawing>
          <wp:inline distT="0" distB="0" distL="0" distR="0">
            <wp:extent cx="117165" cy="86804"/>
            <wp:effectExtent l="0" t="0" r="0" b="0"/>
            <wp:docPr id="242" name="Image 242"/>
            <wp:cNvGraphicFramePr>
              <a:graphicFrameLocks/>
            </wp:cNvGraphicFramePr>
            <a:graphic>
              <a:graphicData uri="http://schemas.openxmlformats.org/drawingml/2006/picture">
                <pic:pic>
                  <pic:nvPicPr>
                    <pic:cNvPr id="242" name="Image 242"/>
                    <pic:cNvPicPr/>
                  </pic:nvPicPr>
                  <pic:blipFill>
                    <a:blip r:embed="rId73" cstate="print"/>
                    <a:stretch>
                      <a:fillRect/>
                    </a:stretch>
                  </pic:blipFill>
                  <pic:spPr>
                    <a:xfrm>
                      <a:off x="0" y="0"/>
                      <a:ext cx="117165" cy="86804"/>
                    </a:xfrm>
                    <a:prstGeom prst="rect">
                      <a:avLst/>
                    </a:prstGeom>
                  </pic:spPr>
                </pic:pic>
              </a:graphicData>
            </a:graphic>
          </wp:inline>
        </w:drawing>
      </w:r>
      <w:r>
        <w:rPr/>
      </w:r>
      <w:r>
        <w:rPr>
          <w:rFonts w:ascii="Times New Roman"/>
          <w:sz w:val="20"/>
        </w:rPr>
        <w:t> </w:t>
      </w:r>
      <w:r>
        <w:rPr>
          <w:i/>
          <w:color w:val="1A4796"/>
          <w:sz w:val="24"/>
        </w:rPr>
        <w:t>Easing the strictures of the policy </w:t>
      </w:r>
      <w:r>
        <w:rPr>
          <w:i/>
          <w:color w:val="1A4796"/>
          <w:sz w:val="24"/>
        </w:rPr>
        <w:t>for</w:t>
      </w:r>
      <w:r>
        <w:rPr>
          <w:i/>
          <w:color w:val="1A4796"/>
          <w:sz w:val="24"/>
        </w:rPr>
        <w:t> granting licenses to U.S. companies to invest in Cuba.</w:t>
      </w:r>
    </w:p>
    <w:p>
      <w:pPr>
        <w:spacing w:before="164"/>
        <w:ind w:left="673" w:right="1131" w:hanging="261"/>
        <w:jc w:val="both"/>
        <w:rPr>
          <w:i/>
          <w:sz w:val="24"/>
        </w:rPr>
      </w:pPr>
      <w:r>
        <w:rPr/>
        <w:drawing>
          <wp:inline distT="0" distB="0" distL="0" distR="0">
            <wp:extent cx="117165" cy="86804"/>
            <wp:effectExtent l="0" t="0" r="0" b="0"/>
            <wp:docPr id="243" name="Image 243"/>
            <wp:cNvGraphicFramePr>
              <a:graphicFrameLocks/>
            </wp:cNvGraphicFramePr>
            <a:graphic>
              <a:graphicData uri="http://schemas.openxmlformats.org/drawingml/2006/picture">
                <pic:pic>
                  <pic:nvPicPr>
                    <pic:cNvPr id="243" name="Image 243"/>
                    <pic:cNvPicPr/>
                  </pic:nvPicPr>
                  <pic:blipFill>
                    <a:blip r:embed="rId73" cstate="print"/>
                    <a:stretch>
                      <a:fillRect/>
                    </a:stretch>
                  </pic:blipFill>
                  <pic:spPr>
                    <a:xfrm>
                      <a:off x="0" y="0"/>
                      <a:ext cx="117165" cy="86804"/>
                    </a:xfrm>
                    <a:prstGeom prst="rect">
                      <a:avLst/>
                    </a:prstGeom>
                  </pic:spPr>
                </pic:pic>
              </a:graphicData>
            </a:graphic>
          </wp:inline>
        </w:drawing>
      </w:r>
      <w:r>
        <w:rPr/>
      </w:r>
      <w:r>
        <w:rPr>
          <w:rFonts w:ascii="Times New Roman"/>
          <w:spacing w:val="19"/>
          <w:sz w:val="20"/>
        </w:rPr>
        <w:t> </w:t>
      </w:r>
      <w:r>
        <w:rPr>
          <w:i/>
          <w:color w:val="1A4796"/>
          <w:sz w:val="24"/>
        </w:rPr>
        <w:t>Authorizing</w:t>
      </w:r>
      <w:r>
        <w:rPr>
          <w:i/>
          <w:color w:val="1A4796"/>
          <w:spacing w:val="-4"/>
          <w:sz w:val="24"/>
        </w:rPr>
        <w:t> </w:t>
      </w:r>
      <w:r>
        <w:rPr>
          <w:i/>
          <w:color w:val="1A4796"/>
          <w:sz w:val="24"/>
        </w:rPr>
        <w:t>U.S.</w:t>
      </w:r>
      <w:r>
        <w:rPr>
          <w:i/>
          <w:color w:val="1A4796"/>
          <w:spacing w:val="-4"/>
          <w:sz w:val="24"/>
        </w:rPr>
        <w:t> </w:t>
      </w:r>
      <w:r>
        <w:rPr>
          <w:i/>
          <w:color w:val="1A4796"/>
          <w:sz w:val="24"/>
        </w:rPr>
        <w:t>citizens</w:t>
      </w:r>
      <w:r>
        <w:rPr>
          <w:i/>
          <w:color w:val="1A4796"/>
          <w:spacing w:val="-4"/>
          <w:sz w:val="24"/>
        </w:rPr>
        <w:t> </w:t>
      </w:r>
      <w:r>
        <w:rPr>
          <w:i/>
          <w:color w:val="1A4796"/>
          <w:sz w:val="24"/>
        </w:rPr>
        <w:t>to</w:t>
      </w:r>
      <w:r>
        <w:rPr>
          <w:i/>
          <w:color w:val="1A4796"/>
          <w:spacing w:val="-4"/>
          <w:sz w:val="24"/>
        </w:rPr>
        <w:t> </w:t>
      </w:r>
      <w:r>
        <w:rPr>
          <w:i/>
          <w:color w:val="1A4796"/>
          <w:sz w:val="24"/>
        </w:rPr>
        <w:t>seek</w:t>
      </w:r>
      <w:r>
        <w:rPr>
          <w:i/>
          <w:color w:val="1A4796"/>
          <w:spacing w:val="-4"/>
          <w:sz w:val="24"/>
        </w:rPr>
        <w:t> </w:t>
      </w:r>
      <w:r>
        <w:rPr>
          <w:i/>
          <w:color w:val="1A4796"/>
          <w:sz w:val="24"/>
        </w:rPr>
        <w:t>medical</w:t>
      </w:r>
      <w:r>
        <w:rPr>
          <w:i/>
          <w:color w:val="1A4796"/>
          <w:sz w:val="24"/>
        </w:rPr>
        <w:t> treatments in Cuba.</w:t>
      </w:r>
    </w:p>
    <w:p>
      <w:pPr>
        <w:spacing w:before="159"/>
        <w:ind w:left="673" w:right="1131" w:hanging="261"/>
        <w:jc w:val="both"/>
        <w:rPr>
          <w:i/>
          <w:sz w:val="24"/>
        </w:rPr>
      </w:pPr>
      <w:r>
        <w:rPr/>
        <w:drawing>
          <wp:inline distT="0" distB="0" distL="0" distR="0">
            <wp:extent cx="117165" cy="86804"/>
            <wp:effectExtent l="0" t="0" r="0" b="0"/>
            <wp:docPr id="244" name="Image 244"/>
            <wp:cNvGraphicFramePr>
              <a:graphicFrameLocks/>
            </wp:cNvGraphicFramePr>
            <a:graphic>
              <a:graphicData uri="http://schemas.openxmlformats.org/drawingml/2006/picture">
                <pic:pic>
                  <pic:nvPicPr>
                    <pic:cNvPr id="244" name="Image 244"/>
                    <pic:cNvPicPr/>
                  </pic:nvPicPr>
                  <pic:blipFill>
                    <a:blip r:embed="rId73" cstate="print"/>
                    <a:stretch>
                      <a:fillRect/>
                    </a:stretch>
                  </pic:blipFill>
                  <pic:spPr>
                    <a:xfrm>
                      <a:off x="0" y="0"/>
                      <a:ext cx="117165" cy="86804"/>
                    </a:xfrm>
                    <a:prstGeom prst="rect">
                      <a:avLst/>
                    </a:prstGeom>
                  </pic:spPr>
                </pic:pic>
              </a:graphicData>
            </a:graphic>
          </wp:inline>
        </w:drawing>
      </w:r>
      <w:r>
        <w:rPr/>
      </w:r>
      <w:r>
        <w:rPr>
          <w:rFonts w:ascii="Times New Roman"/>
          <w:sz w:val="20"/>
        </w:rPr>
        <w:t> </w:t>
      </w:r>
      <w:r>
        <w:rPr>
          <w:i/>
          <w:color w:val="1A4796"/>
          <w:sz w:val="24"/>
        </w:rPr>
        <w:t>Changing the 10% limit on U.S.</w:t>
      </w:r>
      <w:r>
        <w:rPr>
          <w:i/>
          <w:color w:val="1A4796"/>
          <w:sz w:val="24"/>
        </w:rPr>
        <w:t> components in goods imported by </w:t>
      </w:r>
      <w:r>
        <w:rPr>
          <w:i/>
          <w:color w:val="1A4796"/>
          <w:sz w:val="24"/>
        </w:rPr>
        <w:t>Cuba from any country.</w:t>
      </w:r>
    </w:p>
    <w:p>
      <w:pPr>
        <w:pStyle w:val="BodyText"/>
        <w:spacing w:before="163"/>
        <w:ind w:left="412" w:right="1137"/>
      </w:pPr>
      <w:r>
        <w:rPr>
          <w:color w:val="231F20"/>
          <w:spacing w:val="-12"/>
        </w:rPr>
        <w:t>There</w:t>
      </w:r>
      <w:r>
        <w:rPr>
          <w:color w:val="231F20"/>
          <w:spacing w:val="-1"/>
        </w:rPr>
        <w:t> </w:t>
      </w:r>
      <w:r>
        <w:rPr>
          <w:color w:val="231F20"/>
          <w:spacing w:val="-12"/>
        </w:rPr>
        <w:t>are</w:t>
      </w:r>
      <w:r>
        <w:rPr>
          <w:color w:val="231F20"/>
          <w:spacing w:val="-1"/>
        </w:rPr>
        <w:t> </w:t>
      </w:r>
      <w:r>
        <w:rPr>
          <w:color w:val="231F20"/>
          <w:spacing w:val="-12"/>
        </w:rPr>
        <w:t>only</w:t>
      </w:r>
      <w:r>
        <w:rPr>
          <w:color w:val="231F20"/>
          <w:spacing w:val="-1"/>
        </w:rPr>
        <w:t> </w:t>
      </w:r>
      <w:r>
        <w:rPr>
          <w:color w:val="231F20"/>
          <w:spacing w:val="-12"/>
        </w:rPr>
        <w:t>certain</w:t>
      </w:r>
      <w:r>
        <w:rPr>
          <w:color w:val="231F20"/>
          <w:spacing w:val="-1"/>
        </w:rPr>
        <w:t> </w:t>
      </w:r>
      <w:r>
        <w:rPr>
          <w:color w:val="231F20"/>
          <w:spacing w:val="-12"/>
        </w:rPr>
        <w:t>aspects</w:t>
      </w:r>
      <w:r>
        <w:rPr>
          <w:color w:val="231F20"/>
          <w:spacing w:val="-1"/>
        </w:rPr>
        <w:t> </w:t>
      </w:r>
      <w:r>
        <w:rPr>
          <w:color w:val="231F20"/>
          <w:spacing w:val="-12"/>
        </w:rPr>
        <w:t>of</w:t>
      </w:r>
      <w:r>
        <w:rPr>
          <w:color w:val="231F20"/>
          <w:spacing w:val="-1"/>
        </w:rPr>
        <w:t> </w:t>
      </w:r>
      <w:r>
        <w:rPr>
          <w:color w:val="231F20"/>
          <w:spacing w:val="-12"/>
        </w:rPr>
        <w:t>the</w:t>
      </w:r>
      <w:r>
        <w:rPr>
          <w:color w:val="231F20"/>
          <w:spacing w:val="-1"/>
        </w:rPr>
        <w:t> </w:t>
      </w:r>
      <w:r>
        <w:rPr>
          <w:color w:val="231F20"/>
          <w:spacing w:val="-12"/>
        </w:rPr>
        <w:t>blockade </w:t>
      </w:r>
      <w:r>
        <w:rPr>
          <w:color w:val="231F20"/>
          <w:spacing w:val="-10"/>
        </w:rPr>
        <w:t>on</w:t>
      </w:r>
      <w:r>
        <w:rPr>
          <w:color w:val="231F20"/>
          <w:spacing w:val="-2"/>
        </w:rPr>
        <w:t> </w:t>
      </w:r>
      <w:r>
        <w:rPr>
          <w:color w:val="231F20"/>
          <w:spacing w:val="-10"/>
        </w:rPr>
        <w:t>which</w:t>
      </w:r>
      <w:r>
        <w:rPr>
          <w:color w:val="231F20"/>
          <w:spacing w:val="-2"/>
        </w:rPr>
        <w:t> </w:t>
      </w:r>
      <w:r>
        <w:rPr>
          <w:color w:val="231F20"/>
          <w:spacing w:val="-10"/>
        </w:rPr>
        <w:t>the</w:t>
      </w:r>
      <w:r>
        <w:rPr>
          <w:color w:val="231F20"/>
          <w:spacing w:val="-2"/>
        </w:rPr>
        <w:t> </w:t>
      </w:r>
      <w:r>
        <w:rPr>
          <w:color w:val="231F20"/>
          <w:spacing w:val="-10"/>
        </w:rPr>
        <w:t>U.S.</w:t>
      </w:r>
      <w:r>
        <w:rPr>
          <w:color w:val="231F20"/>
          <w:spacing w:val="-2"/>
        </w:rPr>
        <w:t> </w:t>
      </w:r>
      <w:r>
        <w:rPr>
          <w:color w:val="231F20"/>
          <w:spacing w:val="-10"/>
        </w:rPr>
        <w:t>president</w:t>
      </w:r>
      <w:r>
        <w:rPr>
          <w:color w:val="231F20"/>
          <w:spacing w:val="-2"/>
        </w:rPr>
        <w:t> </w:t>
      </w:r>
      <w:r>
        <w:rPr>
          <w:color w:val="231F20"/>
          <w:spacing w:val="-10"/>
        </w:rPr>
        <w:t>cannot</w:t>
      </w:r>
      <w:r>
        <w:rPr>
          <w:color w:val="231F20"/>
          <w:spacing w:val="-2"/>
        </w:rPr>
        <w:t> </w:t>
      </w:r>
      <w:r>
        <w:rPr>
          <w:color w:val="231F20"/>
          <w:spacing w:val="-10"/>
        </w:rPr>
        <w:t>intervene, </w:t>
      </w:r>
      <w:r>
        <w:rPr>
          <w:color w:val="231F20"/>
        </w:rPr>
        <w:t>since they require action by Congress to eliminate</w:t>
      </w:r>
      <w:r>
        <w:rPr>
          <w:color w:val="231F20"/>
          <w:spacing w:val="-17"/>
        </w:rPr>
        <w:t> </w:t>
      </w:r>
      <w:r>
        <w:rPr>
          <w:color w:val="231F20"/>
        </w:rPr>
        <w:t>or</w:t>
      </w:r>
      <w:r>
        <w:rPr>
          <w:color w:val="231F20"/>
          <w:spacing w:val="-16"/>
        </w:rPr>
        <w:t> </w:t>
      </w:r>
      <w:r>
        <w:rPr>
          <w:color w:val="231F20"/>
        </w:rPr>
        <w:t>amend</w:t>
      </w:r>
      <w:r>
        <w:rPr>
          <w:color w:val="231F20"/>
          <w:spacing w:val="-17"/>
        </w:rPr>
        <w:t> </w:t>
      </w:r>
      <w:r>
        <w:rPr>
          <w:color w:val="231F20"/>
        </w:rPr>
        <w:t>them,</w:t>
      </w:r>
      <w:r>
        <w:rPr>
          <w:color w:val="231F20"/>
          <w:spacing w:val="-16"/>
        </w:rPr>
        <w:t> </w:t>
      </w:r>
      <w:r>
        <w:rPr>
          <w:color w:val="231F20"/>
        </w:rPr>
        <w:t>namely:</w:t>
      </w:r>
    </w:p>
    <w:p>
      <w:pPr>
        <w:pStyle w:val="ListParagraph"/>
        <w:numPr>
          <w:ilvl w:val="0"/>
          <w:numId w:val="6"/>
        </w:numPr>
        <w:tabs>
          <w:tab w:pos="807" w:val="left" w:leader="none"/>
        </w:tabs>
        <w:spacing w:line="240" w:lineRule="auto" w:before="163" w:after="0"/>
        <w:ind w:left="412" w:right="1131" w:firstLine="0"/>
        <w:jc w:val="both"/>
        <w:rPr>
          <w:sz w:val="24"/>
        </w:rPr>
      </w:pPr>
      <w:r>
        <w:rPr>
          <w:color w:val="231F20"/>
          <w:sz w:val="24"/>
        </w:rPr>
        <w:t>The ban on trade with Cuba </w:t>
      </w:r>
      <w:r>
        <w:rPr>
          <w:color w:val="231F20"/>
          <w:sz w:val="24"/>
        </w:rPr>
        <w:t>by subsidiaries of U.S. companies in third countries (the Torricelli Act).</w:t>
      </w:r>
    </w:p>
    <w:p>
      <w:pPr>
        <w:spacing w:after="0" w:line="240" w:lineRule="auto"/>
        <w:jc w:val="both"/>
        <w:rPr>
          <w:sz w:val="24"/>
        </w:rPr>
        <w:sectPr>
          <w:pgSz w:w="11910" w:h="16840"/>
          <w:pgMar w:header="0" w:footer="695" w:top="1260" w:bottom="880" w:left="0" w:right="0"/>
          <w:cols w:num="2" w:equalWidth="0">
            <w:col w:w="5897" w:space="40"/>
            <w:col w:w="5973"/>
          </w:cols>
        </w:sectPr>
      </w:pPr>
    </w:p>
    <w:p>
      <w:pPr>
        <w:pStyle w:val="ListParagraph"/>
        <w:numPr>
          <w:ilvl w:val="0"/>
          <w:numId w:val="6"/>
        </w:numPr>
        <w:tabs>
          <w:tab w:pos="1389" w:val="left" w:leader="none"/>
        </w:tabs>
        <w:spacing w:line="240" w:lineRule="auto" w:before="77" w:after="0"/>
        <w:ind w:left="1133" w:right="6346" w:firstLine="0"/>
        <w:jc w:val="both"/>
        <w:rPr>
          <w:sz w:val="24"/>
        </w:rPr>
      </w:pPr>
      <w:r>
        <w:rPr>
          <w:color w:val="231F20"/>
          <w:sz w:val="24"/>
        </w:rPr>
        <w:t>The</w:t>
      </w:r>
      <w:r>
        <w:rPr>
          <w:color w:val="231F20"/>
          <w:spacing w:val="-17"/>
          <w:sz w:val="24"/>
        </w:rPr>
        <w:t> </w:t>
      </w:r>
      <w:r>
        <w:rPr>
          <w:color w:val="231F20"/>
          <w:sz w:val="24"/>
        </w:rPr>
        <w:t>ban</w:t>
      </w:r>
      <w:r>
        <w:rPr>
          <w:color w:val="231F20"/>
          <w:spacing w:val="-16"/>
          <w:sz w:val="24"/>
        </w:rPr>
        <w:t> </w:t>
      </w:r>
      <w:r>
        <w:rPr>
          <w:color w:val="231F20"/>
          <w:sz w:val="24"/>
        </w:rPr>
        <w:t>on</w:t>
      </w:r>
      <w:r>
        <w:rPr>
          <w:color w:val="231F20"/>
          <w:spacing w:val="-17"/>
          <w:sz w:val="24"/>
        </w:rPr>
        <w:t> </w:t>
      </w:r>
      <w:r>
        <w:rPr>
          <w:color w:val="231F20"/>
          <w:sz w:val="24"/>
        </w:rPr>
        <w:t>transactions</w:t>
      </w:r>
      <w:r>
        <w:rPr>
          <w:color w:val="231F20"/>
          <w:spacing w:val="-16"/>
          <w:sz w:val="24"/>
        </w:rPr>
        <w:t> </w:t>
      </w:r>
      <w:r>
        <w:rPr>
          <w:color w:val="231F20"/>
          <w:sz w:val="24"/>
        </w:rPr>
        <w:t>in</w:t>
      </w:r>
      <w:r>
        <w:rPr>
          <w:color w:val="231F20"/>
          <w:spacing w:val="-17"/>
          <w:sz w:val="24"/>
        </w:rPr>
        <w:t> </w:t>
      </w:r>
      <w:r>
        <w:rPr>
          <w:color w:val="231F20"/>
          <w:sz w:val="24"/>
        </w:rPr>
        <w:t>U.S.</w:t>
      </w:r>
      <w:r>
        <w:rPr>
          <w:color w:val="231F20"/>
          <w:spacing w:val="-16"/>
          <w:sz w:val="24"/>
        </w:rPr>
        <w:t> </w:t>
      </w:r>
      <w:r>
        <w:rPr>
          <w:color w:val="231F20"/>
          <w:sz w:val="24"/>
        </w:rPr>
        <w:t>property nationalized by Cuba (the </w:t>
      </w:r>
      <w:r>
        <w:rPr>
          <w:color w:val="231F20"/>
          <w:sz w:val="24"/>
        </w:rPr>
        <w:t>Helms-Burton </w:t>
      </w:r>
      <w:r>
        <w:rPr>
          <w:color w:val="231F20"/>
          <w:spacing w:val="-2"/>
          <w:sz w:val="24"/>
        </w:rPr>
        <w:t>Act).</w:t>
      </w:r>
    </w:p>
    <w:p>
      <w:pPr>
        <w:pStyle w:val="ListParagraph"/>
        <w:numPr>
          <w:ilvl w:val="0"/>
          <w:numId w:val="6"/>
        </w:numPr>
        <w:tabs>
          <w:tab w:pos="1469" w:val="left" w:leader="none"/>
        </w:tabs>
        <w:spacing w:line="240" w:lineRule="auto" w:before="162" w:after="0"/>
        <w:ind w:left="1469" w:right="0" w:hanging="336"/>
        <w:jc w:val="both"/>
        <w:rPr>
          <w:sz w:val="24"/>
        </w:rPr>
      </w:pPr>
      <w:r>
        <w:rPr>
          <w:color w:val="231F20"/>
          <w:sz w:val="24"/>
        </w:rPr>
        <w:t>The</w:t>
      </w:r>
      <w:r>
        <w:rPr>
          <w:color w:val="231F20"/>
          <w:spacing w:val="59"/>
          <w:sz w:val="24"/>
        </w:rPr>
        <w:t> </w:t>
      </w:r>
      <w:r>
        <w:rPr>
          <w:color w:val="231F20"/>
          <w:sz w:val="24"/>
        </w:rPr>
        <w:t>prohibition</w:t>
      </w:r>
      <w:r>
        <w:rPr>
          <w:color w:val="231F20"/>
          <w:spacing w:val="59"/>
          <w:sz w:val="24"/>
        </w:rPr>
        <w:t> </w:t>
      </w:r>
      <w:r>
        <w:rPr>
          <w:color w:val="231F20"/>
          <w:sz w:val="24"/>
        </w:rPr>
        <w:t>of</w:t>
      </w:r>
      <w:r>
        <w:rPr>
          <w:color w:val="231F20"/>
          <w:spacing w:val="59"/>
          <w:sz w:val="24"/>
        </w:rPr>
        <w:t> </w:t>
      </w:r>
      <w:r>
        <w:rPr>
          <w:color w:val="231F20"/>
          <w:sz w:val="24"/>
        </w:rPr>
        <w:t>visits</w:t>
      </w:r>
      <w:r>
        <w:rPr>
          <w:color w:val="231F20"/>
          <w:spacing w:val="59"/>
          <w:sz w:val="24"/>
        </w:rPr>
        <w:t> </w:t>
      </w:r>
      <w:r>
        <w:rPr>
          <w:color w:val="231F20"/>
          <w:sz w:val="24"/>
        </w:rPr>
        <w:t>to</w:t>
      </w:r>
      <w:r>
        <w:rPr>
          <w:color w:val="231F20"/>
          <w:spacing w:val="59"/>
          <w:sz w:val="24"/>
        </w:rPr>
        <w:t> </w:t>
      </w:r>
      <w:r>
        <w:rPr>
          <w:color w:val="231F20"/>
          <w:sz w:val="24"/>
        </w:rPr>
        <w:t>Cuba</w:t>
      </w:r>
      <w:r>
        <w:rPr>
          <w:color w:val="231F20"/>
          <w:spacing w:val="59"/>
          <w:sz w:val="24"/>
        </w:rPr>
        <w:t> </w:t>
      </w:r>
      <w:r>
        <w:rPr>
          <w:color w:val="231F20"/>
          <w:spacing w:val="-5"/>
          <w:sz w:val="24"/>
        </w:rPr>
        <w:t>by</w:t>
      </w:r>
    </w:p>
    <w:p>
      <w:pPr>
        <w:pStyle w:val="BodyText"/>
        <w:spacing w:before="1"/>
        <w:ind w:left="1133" w:right="6350"/>
      </w:pPr>
      <w:r>
        <w:rPr>
          <w:color w:val="231F20"/>
        </w:rPr>
        <w:t>U.S. citizens for the purposes of tourism (the Trade Sanctions Reform and Export Enhancement Act, 2000).</w:t>
      </w:r>
    </w:p>
    <w:p>
      <w:pPr>
        <w:pStyle w:val="ListParagraph"/>
        <w:numPr>
          <w:ilvl w:val="0"/>
          <w:numId w:val="6"/>
        </w:numPr>
        <w:tabs>
          <w:tab w:pos="1444" w:val="left" w:leader="none"/>
        </w:tabs>
        <w:spacing w:line="240" w:lineRule="auto" w:before="162" w:after="0"/>
        <w:ind w:left="1133" w:right="6349" w:firstLine="0"/>
        <w:jc w:val="both"/>
        <w:rPr>
          <w:sz w:val="24"/>
        </w:rPr>
      </w:pPr>
      <w:r>
        <w:rPr>
          <w:color w:val="231F20"/>
          <w:sz w:val="24"/>
        </w:rPr>
        <w:t>The ban on financing of sales of U.S. agricultural produce to Cuba (the Trade </w:t>
      </w:r>
      <w:r>
        <w:rPr>
          <w:color w:val="231F20"/>
          <w:spacing w:val="-4"/>
          <w:sz w:val="24"/>
        </w:rPr>
        <w:t>Sanctions</w:t>
      </w:r>
      <w:r>
        <w:rPr>
          <w:color w:val="231F20"/>
          <w:spacing w:val="-10"/>
          <w:sz w:val="24"/>
        </w:rPr>
        <w:t> </w:t>
      </w:r>
      <w:r>
        <w:rPr>
          <w:color w:val="231F20"/>
          <w:spacing w:val="-4"/>
          <w:sz w:val="24"/>
        </w:rPr>
        <w:t>Reform</w:t>
      </w:r>
      <w:r>
        <w:rPr>
          <w:color w:val="231F20"/>
          <w:spacing w:val="-10"/>
          <w:sz w:val="24"/>
        </w:rPr>
        <w:t> </w:t>
      </w:r>
      <w:r>
        <w:rPr>
          <w:color w:val="231F20"/>
          <w:spacing w:val="-4"/>
          <w:sz w:val="24"/>
        </w:rPr>
        <w:t>and</w:t>
      </w:r>
      <w:r>
        <w:rPr>
          <w:color w:val="231F20"/>
          <w:spacing w:val="-10"/>
          <w:sz w:val="24"/>
        </w:rPr>
        <w:t> </w:t>
      </w:r>
      <w:r>
        <w:rPr>
          <w:color w:val="231F20"/>
          <w:spacing w:val="-4"/>
          <w:sz w:val="24"/>
        </w:rPr>
        <w:t>Export</w:t>
      </w:r>
      <w:r>
        <w:rPr>
          <w:color w:val="231F20"/>
          <w:spacing w:val="-10"/>
          <w:sz w:val="24"/>
        </w:rPr>
        <w:t> </w:t>
      </w:r>
      <w:r>
        <w:rPr>
          <w:color w:val="231F20"/>
          <w:spacing w:val="-4"/>
          <w:sz w:val="24"/>
        </w:rPr>
        <w:t>Enhancement </w:t>
      </w:r>
      <w:r>
        <w:rPr>
          <w:color w:val="231F20"/>
          <w:sz w:val="24"/>
        </w:rPr>
        <w:t>Act, 2000).</w:t>
      </w:r>
    </w:p>
    <w:p>
      <w:pPr>
        <w:pStyle w:val="BodyText"/>
        <w:spacing w:before="163"/>
        <w:ind w:left="1133" w:right="6351"/>
      </w:pPr>
      <w:r>
        <w:rPr>
          <w:color w:val="231F20"/>
          <w:spacing w:val="-2"/>
        </w:rPr>
        <w:t>The</w:t>
      </w:r>
      <w:r>
        <w:rPr>
          <w:color w:val="231F20"/>
          <w:spacing w:val="-15"/>
        </w:rPr>
        <w:t> </w:t>
      </w:r>
      <w:r>
        <w:rPr>
          <w:color w:val="231F20"/>
          <w:spacing w:val="-2"/>
        </w:rPr>
        <w:t>U.S.</w:t>
      </w:r>
      <w:r>
        <w:rPr>
          <w:color w:val="231F20"/>
          <w:spacing w:val="-14"/>
        </w:rPr>
        <w:t> </w:t>
      </w:r>
      <w:r>
        <w:rPr>
          <w:color w:val="231F20"/>
          <w:spacing w:val="-2"/>
        </w:rPr>
        <w:t>president</w:t>
      </w:r>
      <w:r>
        <w:rPr>
          <w:color w:val="231F20"/>
          <w:spacing w:val="-15"/>
        </w:rPr>
        <w:t> </w:t>
      </w:r>
      <w:r>
        <w:rPr>
          <w:color w:val="231F20"/>
          <w:spacing w:val="-2"/>
        </w:rPr>
        <w:t>could</w:t>
      </w:r>
      <w:r>
        <w:rPr>
          <w:color w:val="231F20"/>
          <w:spacing w:val="-14"/>
        </w:rPr>
        <w:t> </w:t>
      </w:r>
      <w:r>
        <w:rPr>
          <w:color w:val="231F20"/>
          <w:spacing w:val="-2"/>
        </w:rPr>
        <w:t>avail</w:t>
      </w:r>
      <w:r>
        <w:rPr>
          <w:color w:val="231F20"/>
          <w:spacing w:val="-15"/>
        </w:rPr>
        <w:t> </w:t>
      </w:r>
      <w:r>
        <w:rPr>
          <w:color w:val="231F20"/>
          <w:spacing w:val="-2"/>
        </w:rPr>
        <w:t>himself</w:t>
      </w:r>
      <w:r>
        <w:rPr>
          <w:color w:val="231F20"/>
          <w:spacing w:val="-14"/>
        </w:rPr>
        <w:t> </w:t>
      </w:r>
      <w:r>
        <w:rPr>
          <w:color w:val="231F20"/>
          <w:spacing w:val="-2"/>
        </w:rPr>
        <w:t>of</w:t>
      </w:r>
      <w:r>
        <w:rPr>
          <w:color w:val="231F20"/>
          <w:spacing w:val="-15"/>
        </w:rPr>
        <w:t> </w:t>
      </w:r>
      <w:r>
        <w:rPr>
          <w:color w:val="231F20"/>
          <w:spacing w:val="-2"/>
        </w:rPr>
        <w:t>his </w:t>
      </w:r>
      <w:r>
        <w:rPr>
          <w:color w:val="231F20"/>
          <w:spacing w:val="-8"/>
        </w:rPr>
        <w:t>wide</w:t>
      </w:r>
      <w:r>
        <w:rPr>
          <w:color w:val="231F20"/>
          <w:spacing w:val="-9"/>
        </w:rPr>
        <w:t> </w:t>
      </w:r>
      <w:r>
        <w:rPr>
          <w:color w:val="231F20"/>
          <w:spacing w:val="-8"/>
        </w:rPr>
        <w:t>prerogatives if</w:t>
      </w:r>
      <w:r>
        <w:rPr>
          <w:color w:val="231F20"/>
          <w:spacing w:val="-9"/>
        </w:rPr>
        <w:t> </w:t>
      </w:r>
      <w:r>
        <w:rPr>
          <w:color w:val="231F20"/>
          <w:spacing w:val="-8"/>
        </w:rPr>
        <w:t>he were</w:t>
      </w:r>
      <w:r>
        <w:rPr>
          <w:color w:val="231F20"/>
          <w:spacing w:val="-9"/>
        </w:rPr>
        <w:t> </w:t>
      </w:r>
      <w:r>
        <w:rPr>
          <w:color w:val="231F20"/>
          <w:spacing w:val="-8"/>
        </w:rPr>
        <w:t>willing to</w:t>
      </w:r>
      <w:r>
        <w:rPr>
          <w:color w:val="231F20"/>
          <w:spacing w:val="-9"/>
        </w:rPr>
        <w:t> </w:t>
      </w:r>
      <w:r>
        <w:rPr>
          <w:color w:val="231F20"/>
          <w:spacing w:val="-8"/>
        </w:rPr>
        <w:t>relieve </w:t>
      </w:r>
      <w:r>
        <w:rPr>
          <w:color w:val="231F20"/>
        </w:rPr>
        <w:t>the</w:t>
      </w:r>
      <w:r>
        <w:rPr>
          <w:color w:val="231F20"/>
          <w:spacing w:val="-1"/>
        </w:rPr>
        <w:t> </w:t>
      </w:r>
      <w:r>
        <w:rPr>
          <w:color w:val="231F20"/>
        </w:rPr>
        <w:t>suffering</w:t>
      </w:r>
      <w:r>
        <w:rPr>
          <w:color w:val="231F20"/>
          <w:spacing w:val="-1"/>
        </w:rPr>
        <w:t> </w:t>
      </w:r>
      <w:r>
        <w:rPr>
          <w:color w:val="231F20"/>
        </w:rPr>
        <w:t>caused</w:t>
      </w:r>
      <w:r>
        <w:rPr>
          <w:color w:val="231F20"/>
          <w:spacing w:val="-1"/>
        </w:rPr>
        <w:t> </w:t>
      </w:r>
      <w:r>
        <w:rPr>
          <w:color w:val="231F20"/>
        </w:rPr>
        <w:t>to</w:t>
      </w:r>
      <w:r>
        <w:rPr>
          <w:color w:val="231F20"/>
          <w:spacing w:val="-1"/>
        </w:rPr>
        <w:t> </w:t>
      </w:r>
      <w:r>
        <w:rPr>
          <w:color w:val="231F20"/>
        </w:rPr>
        <w:t>the</w:t>
      </w:r>
      <w:r>
        <w:rPr>
          <w:color w:val="231F20"/>
          <w:spacing w:val="-1"/>
        </w:rPr>
        <w:t> </w:t>
      </w:r>
      <w:r>
        <w:rPr>
          <w:color w:val="231F20"/>
        </w:rPr>
        <w:t>Cuban</w:t>
      </w:r>
      <w:r>
        <w:rPr>
          <w:color w:val="231F20"/>
          <w:spacing w:val="-1"/>
        </w:rPr>
        <w:t> </w:t>
      </w:r>
      <w:r>
        <w:rPr>
          <w:color w:val="231F20"/>
        </w:rPr>
        <w:t>people </w:t>
      </w:r>
      <w:r>
        <w:rPr>
          <w:color w:val="231F20"/>
          <w:spacing w:val="-2"/>
        </w:rPr>
        <w:t>by</w:t>
      </w:r>
      <w:r>
        <w:rPr>
          <w:color w:val="231F20"/>
          <w:spacing w:val="-15"/>
        </w:rPr>
        <w:t> </w:t>
      </w:r>
      <w:r>
        <w:rPr>
          <w:color w:val="231F20"/>
          <w:spacing w:val="-2"/>
        </w:rPr>
        <w:t>the</w:t>
      </w:r>
      <w:r>
        <w:rPr>
          <w:color w:val="231F20"/>
          <w:spacing w:val="-14"/>
        </w:rPr>
        <w:t> </w:t>
      </w:r>
      <w:r>
        <w:rPr>
          <w:color w:val="231F20"/>
          <w:spacing w:val="-2"/>
        </w:rPr>
        <w:t>blockade,</w:t>
      </w:r>
      <w:r>
        <w:rPr>
          <w:color w:val="231F20"/>
          <w:spacing w:val="-15"/>
        </w:rPr>
        <w:t> </w:t>
      </w:r>
      <w:r>
        <w:rPr>
          <w:color w:val="231F20"/>
          <w:spacing w:val="-2"/>
        </w:rPr>
        <w:t>remove</w:t>
      </w:r>
      <w:r>
        <w:rPr>
          <w:color w:val="231F20"/>
          <w:spacing w:val="-14"/>
        </w:rPr>
        <w:t> </w:t>
      </w:r>
      <w:r>
        <w:rPr>
          <w:color w:val="231F20"/>
          <w:spacing w:val="-2"/>
        </w:rPr>
        <w:t>the</w:t>
      </w:r>
      <w:r>
        <w:rPr>
          <w:color w:val="231F20"/>
          <w:spacing w:val="-15"/>
        </w:rPr>
        <w:t> </w:t>
      </w:r>
      <w:r>
        <w:rPr>
          <w:color w:val="231F20"/>
          <w:spacing w:val="-2"/>
        </w:rPr>
        <w:t>main</w:t>
      </w:r>
      <w:r>
        <w:rPr>
          <w:color w:val="231F20"/>
          <w:spacing w:val="-14"/>
        </w:rPr>
        <w:t> </w:t>
      </w:r>
      <w:r>
        <w:rPr>
          <w:color w:val="231F20"/>
          <w:spacing w:val="-2"/>
        </w:rPr>
        <w:t>obstacle </w:t>
      </w:r>
      <w:r>
        <w:rPr>
          <w:color w:val="231F20"/>
        </w:rPr>
        <w:t>to Cuba’s economic, trade and financial </w:t>
      </w:r>
      <w:r>
        <w:rPr>
          <w:color w:val="231F20"/>
          <w:spacing w:val="-4"/>
        </w:rPr>
        <w:t>relations</w:t>
      </w:r>
      <w:r>
        <w:rPr>
          <w:color w:val="231F20"/>
          <w:spacing w:val="-13"/>
        </w:rPr>
        <w:t> </w:t>
      </w:r>
      <w:r>
        <w:rPr>
          <w:color w:val="231F20"/>
          <w:spacing w:val="-4"/>
        </w:rPr>
        <w:t>with</w:t>
      </w:r>
      <w:r>
        <w:rPr>
          <w:color w:val="231F20"/>
          <w:spacing w:val="-12"/>
        </w:rPr>
        <w:t> </w:t>
      </w:r>
      <w:r>
        <w:rPr>
          <w:color w:val="231F20"/>
          <w:spacing w:val="-4"/>
        </w:rPr>
        <w:t>the</w:t>
      </w:r>
      <w:r>
        <w:rPr>
          <w:color w:val="231F20"/>
          <w:spacing w:val="-13"/>
        </w:rPr>
        <w:t> </w:t>
      </w:r>
      <w:r>
        <w:rPr>
          <w:color w:val="231F20"/>
          <w:spacing w:val="-4"/>
        </w:rPr>
        <w:t>United</w:t>
      </w:r>
      <w:r>
        <w:rPr>
          <w:color w:val="231F20"/>
          <w:spacing w:val="-12"/>
        </w:rPr>
        <w:t> </w:t>
      </w:r>
      <w:r>
        <w:rPr>
          <w:color w:val="231F20"/>
          <w:spacing w:val="-4"/>
        </w:rPr>
        <w:t>States</w:t>
      </w:r>
      <w:r>
        <w:rPr>
          <w:color w:val="231F20"/>
          <w:spacing w:val="-13"/>
        </w:rPr>
        <w:t> </w:t>
      </w:r>
      <w:r>
        <w:rPr>
          <w:color w:val="231F20"/>
          <w:spacing w:val="-4"/>
        </w:rPr>
        <w:t>and</w:t>
      </w:r>
      <w:r>
        <w:rPr>
          <w:color w:val="231F20"/>
          <w:spacing w:val="-12"/>
        </w:rPr>
        <w:t> </w:t>
      </w:r>
      <w:r>
        <w:rPr>
          <w:color w:val="231F20"/>
          <w:spacing w:val="-4"/>
        </w:rPr>
        <w:t>the</w:t>
      </w:r>
      <w:r>
        <w:rPr>
          <w:color w:val="231F20"/>
          <w:spacing w:val="-13"/>
        </w:rPr>
        <w:t> </w:t>
      </w:r>
      <w:r>
        <w:rPr>
          <w:color w:val="231F20"/>
          <w:spacing w:val="-4"/>
        </w:rPr>
        <w:t>rest </w:t>
      </w:r>
      <w:r>
        <w:rPr>
          <w:color w:val="231F20"/>
        </w:rPr>
        <w:t>of</w:t>
      </w:r>
      <w:r>
        <w:rPr>
          <w:color w:val="231F20"/>
          <w:spacing w:val="-17"/>
        </w:rPr>
        <w:t> </w:t>
      </w:r>
      <w:r>
        <w:rPr>
          <w:color w:val="231F20"/>
        </w:rPr>
        <w:t>the</w:t>
      </w:r>
      <w:r>
        <w:rPr>
          <w:color w:val="231F20"/>
          <w:spacing w:val="-16"/>
        </w:rPr>
        <w:t> </w:t>
      </w:r>
      <w:r>
        <w:rPr>
          <w:color w:val="231F20"/>
        </w:rPr>
        <w:t>world,</w:t>
      </w:r>
      <w:r>
        <w:rPr>
          <w:color w:val="231F20"/>
          <w:spacing w:val="-17"/>
        </w:rPr>
        <w:t> </w:t>
      </w:r>
      <w:r>
        <w:rPr>
          <w:color w:val="231F20"/>
        </w:rPr>
        <w:t>and</w:t>
      </w:r>
      <w:r>
        <w:rPr>
          <w:color w:val="231F20"/>
          <w:spacing w:val="-16"/>
        </w:rPr>
        <w:t> </w:t>
      </w:r>
      <w:r>
        <w:rPr>
          <w:color w:val="231F20"/>
        </w:rPr>
        <w:t>remedy</w:t>
      </w:r>
      <w:r>
        <w:rPr>
          <w:color w:val="231F20"/>
          <w:spacing w:val="-17"/>
        </w:rPr>
        <w:t> </w:t>
      </w:r>
      <w:r>
        <w:rPr>
          <w:color w:val="231F20"/>
        </w:rPr>
        <w:t>the</w:t>
      </w:r>
      <w:r>
        <w:rPr>
          <w:color w:val="231F20"/>
          <w:spacing w:val="-16"/>
        </w:rPr>
        <w:t> </w:t>
      </w:r>
      <w:r>
        <w:rPr>
          <w:color w:val="231F20"/>
        </w:rPr>
        <w:t>undermining of</w:t>
      </w:r>
      <w:r>
        <w:rPr>
          <w:color w:val="231F20"/>
          <w:spacing w:val="-5"/>
        </w:rPr>
        <w:t> </w:t>
      </w:r>
      <w:r>
        <w:rPr>
          <w:color w:val="231F20"/>
        </w:rPr>
        <w:t>the</w:t>
      </w:r>
      <w:r>
        <w:rPr>
          <w:color w:val="231F20"/>
          <w:spacing w:val="-5"/>
        </w:rPr>
        <w:t> </w:t>
      </w:r>
      <w:r>
        <w:rPr>
          <w:color w:val="231F20"/>
        </w:rPr>
        <w:t>wellbeing</w:t>
      </w:r>
      <w:r>
        <w:rPr>
          <w:color w:val="231F20"/>
          <w:spacing w:val="-5"/>
        </w:rPr>
        <w:t> </w:t>
      </w:r>
      <w:r>
        <w:rPr>
          <w:color w:val="231F20"/>
        </w:rPr>
        <w:t>of</w:t>
      </w:r>
      <w:r>
        <w:rPr>
          <w:color w:val="231F20"/>
          <w:spacing w:val="-5"/>
        </w:rPr>
        <w:t> </w:t>
      </w:r>
      <w:r>
        <w:rPr>
          <w:color w:val="231F20"/>
        </w:rPr>
        <w:t>the</w:t>
      </w:r>
      <w:r>
        <w:rPr>
          <w:color w:val="231F20"/>
          <w:spacing w:val="-5"/>
        </w:rPr>
        <w:t> </w:t>
      </w:r>
      <w:r>
        <w:rPr>
          <w:color w:val="231F20"/>
        </w:rPr>
        <w:t>Cuban</w:t>
      </w:r>
      <w:r>
        <w:rPr>
          <w:color w:val="231F20"/>
          <w:spacing w:val="-5"/>
        </w:rPr>
        <w:t> </w:t>
      </w:r>
      <w:r>
        <w:rPr>
          <w:color w:val="231F20"/>
        </w:rPr>
        <w:t>people.</w:t>
      </w:r>
    </w:p>
    <w:p>
      <w:pPr>
        <w:pStyle w:val="BodyText"/>
        <w:spacing w:before="209"/>
        <w:jc w:val="left"/>
        <w:rPr>
          <w:sz w:val="20"/>
        </w:rPr>
      </w:pPr>
      <w:r>
        <w:rPr/>
        <mc:AlternateContent>
          <mc:Choice Requires="wps">
            <w:drawing>
              <wp:anchor distT="0" distB="0" distL="0" distR="0" allowOverlap="1" layoutInCell="1" locked="0" behindDoc="1" simplePos="0" relativeHeight="487647232">
                <wp:simplePos x="0" y="0"/>
                <wp:positionH relativeFrom="page">
                  <wp:posOffset>2619006</wp:posOffset>
                </wp:positionH>
                <wp:positionV relativeFrom="paragraph">
                  <wp:posOffset>316874</wp:posOffset>
                </wp:positionV>
                <wp:extent cx="909319" cy="26034"/>
                <wp:effectExtent l="0" t="0" r="0" b="0"/>
                <wp:wrapTopAndBottom/>
                <wp:docPr id="245" name="Graphic 245"/>
                <wp:cNvGraphicFramePr>
                  <a:graphicFrameLocks/>
                </wp:cNvGraphicFramePr>
                <a:graphic>
                  <a:graphicData uri="http://schemas.microsoft.com/office/word/2010/wordprocessingShape">
                    <wps:wsp>
                      <wps:cNvPr id="245" name="Graphic 245"/>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06.220993pt;margin-top:24.950781pt;width:71.584pt;height:2.021pt;mso-position-horizontal-relative:page;mso-position-vertical-relative:paragraph;z-index:-15669248;mso-wrap-distance-left:0;mso-wrap-distance-right:0" id="docshape196"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sectPr>
      </w:pPr>
    </w:p>
    <w:p>
      <w:pPr>
        <w:pStyle w:val="BodyText"/>
        <w:spacing w:before="568"/>
        <w:jc w:val="left"/>
        <w:rPr>
          <w:sz w:val="56"/>
        </w:rPr>
      </w:pPr>
    </w:p>
    <w:p>
      <w:pPr>
        <w:pStyle w:val="Heading1"/>
        <w:spacing w:line="220" w:lineRule="auto"/>
        <w:ind w:left="1474" w:right="5894"/>
      </w:pPr>
      <w:r>
        <w:rPr/>
        <mc:AlternateContent>
          <mc:Choice Requires="wps">
            <w:drawing>
              <wp:anchor distT="0" distB="0" distL="0" distR="0" allowOverlap="1" layoutInCell="1" locked="0" behindDoc="1" simplePos="0" relativeHeight="485812224">
                <wp:simplePos x="0" y="0"/>
                <wp:positionH relativeFrom="page">
                  <wp:posOffset>1056234</wp:posOffset>
                </wp:positionH>
                <wp:positionV relativeFrom="paragraph">
                  <wp:posOffset>-782549</wp:posOffset>
                </wp:positionV>
                <wp:extent cx="1234440" cy="1544955"/>
                <wp:effectExtent l="0" t="0" r="0" b="0"/>
                <wp:wrapNone/>
                <wp:docPr id="246" name="Textbox 246"/>
                <wp:cNvGraphicFramePr>
                  <a:graphicFrameLocks/>
                </wp:cNvGraphicFramePr>
                <a:graphic>
                  <a:graphicData uri="http://schemas.microsoft.com/office/word/2010/wordprocessingShape">
                    <wps:wsp>
                      <wps:cNvPr id="246" name="Textbox 246"/>
                      <wps:cNvSpPr txBox="1"/>
                      <wps:spPr>
                        <a:xfrm>
                          <a:off x="0" y="0"/>
                          <a:ext cx="1234440"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5"/>
                                <w:w w:val="125"/>
                                <w:sz w:val="243"/>
                              </w:rPr>
                              <w:t>0</w:t>
                            </w:r>
                            <w:r>
                              <w:rPr>
                                <w:rFonts w:ascii="Arial"/>
                                <w:color w:val="B3B4CF"/>
                                <w:spacing w:val="-1258"/>
                                <w:w w:val="104"/>
                                <w:sz w:val="243"/>
                              </w:rPr>
                              <w:t>2</w:t>
                            </w:r>
                          </w:p>
                        </w:txbxContent>
                      </wps:txbx>
                      <wps:bodyPr wrap="square" lIns="0" tIns="0" rIns="0" bIns="0" rtlCol="0">
                        <a:noAutofit/>
                      </wps:bodyPr>
                    </wps:wsp>
                  </a:graphicData>
                </a:graphic>
              </wp:anchor>
            </w:drawing>
          </mc:Choice>
          <mc:Fallback>
            <w:pict>
              <v:shape style="position:absolute;margin-left:83.168098pt;margin-top:-61.61808pt;width:97.2pt;height:121.65pt;mso-position-horizontal-relative:page;mso-position-vertical-relative:paragraph;z-index:-17504256" type="#_x0000_t202" id="docshape197" filled="false" stroked="false">
                <v:textbox inset="0,0,0,0">
                  <w:txbxContent>
                    <w:p>
                      <w:pPr>
                        <w:spacing w:line="2432" w:lineRule="exact" w:before="0"/>
                        <w:ind w:left="0" w:right="0" w:firstLine="0"/>
                        <w:jc w:val="left"/>
                        <w:rPr>
                          <w:rFonts w:ascii="Arial"/>
                          <w:sz w:val="243"/>
                        </w:rPr>
                      </w:pPr>
                      <w:r>
                        <w:rPr>
                          <w:rFonts w:ascii="Arial"/>
                          <w:color w:val="B3B4CF"/>
                          <w:spacing w:val="-5"/>
                          <w:w w:val="125"/>
                          <w:sz w:val="243"/>
                        </w:rPr>
                        <w:t>0</w:t>
                      </w:r>
                      <w:r>
                        <w:rPr>
                          <w:rFonts w:ascii="Arial"/>
                          <w:color w:val="B3B4CF"/>
                          <w:spacing w:val="-1258"/>
                          <w:w w:val="104"/>
                          <w:sz w:val="243"/>
                        </w:rPr>
                        <w:t>2</w:t>
                      </w:r>
                    </w:p>
                  </w:txbxContent>
                </v:textbox>
                <w10:wrap type="none"/>
              </v:shape>
            </w:pict>
          </mc:Fallback>
        </mc:AlternateContent>
      </w:r>
      <w:r>
        <w:rPr>
          <w:color w:val="B52628"/>
          <w:w w:val="115"/>
        </w:rPr>
        <w:t>The blockade violates the rights of the Cuban</w:t>
      </w:r>
      <w:r>
        <w:rPr>
          <w:color w:val="B52628"/>
          <w:spacing w:val="-11"/>
          <w:w w:val="115"/>
        </w:rPr>
        <w:t> </w:t>
      </w:r>
      <w:r>
        <w:rPr>
          <w:color w:val="B52628"/>
          <w:w w:val="115"/>
        </w:rPr>
        <w:t>people</w:t>
      </w:r>
    </w:p>
    <w:p>
      <w:pPr>
        <w:pStyle w:val="BodyText"/>
        <w:spacing w:before="191"/>
        <w:jc w:val="left"/>
        <w:rPr>
          <w:rFonts w:ascii="Trebuchet MS"/>
          <w:sz w:val="20"/>
        </w:rPr>
      </w:pPr>
      <w:r>
        <w:rPr/>
        <mc:AlternateContent>
          <mc:Choice Requires="wps">
            <w:drawing>
              <wp:anchor distT="0" distB="0" distL="0" distR="0" allowOverlap="1" layoutInCell="1" locked="0" behindDoc="1" simplePos="0" relativeHeight="487647744">
                <wp:simplePos x="0" y="0"/>
                <wp:positionH relativeFrom="page">
                  <wp:posOffset>936002</wp:posOffset>
                </wp:positionH>
                <wp:positionV relativeFrom="paragraph">
                  <wp:posOffset>284107</wp:posOffset>
                </wp:positionV>
                <wp:extent cx="909319" cy="26034"/>
                <wp:effectExtent l="0" t="0" r="0" b="0"/>
                <wp:wrapTopAndBottom/>
                <wp:docPr id="247" name="Graphic 247"/>
                <wp:cNvGraphicFramePr>
                  <a:graphicFrameLocks/>
                </wp:cNvGraphicFramePr>
                <a:graphic>
                  <a:graphicData uri="http://schemas.microsoft.com/office/word/2010/wordprocessingShape">
                    <wps:wsp>
                      <wps:cNvPr id="247" name="Graphic 247"/>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73.700996pt;margin-top:22.370687pt;width:71.584pt;height:2.021pt;mso-position-horizontal-relative:page;mso-position-vertical-relative:paragraph;z-index:-15668736;mso-wrap-distance-left:0;mso-wrap-distance-right:0" id="docshape198" filled="true" fillcolor="#1f4282" stroked="false">
                <v:fill type="solid"/>
                <w10:wrap type="topAndBottom"/>
              </v:rect>
            </w:pict>
          </mc:Fallback>
        </mc:AlternateContent>
      </w:r>
    </w:p>
    <w:p>
      <w:pPr>
        <w:pStyle w:val="BodyText"/>
        <w:spacing w:before="81"/>
        <w:jc w:val="left"/>
        <w:rPr>
          <w:rFonts w:ascii="Trebuchet MS"/>
          <w:sz w:val="20"/>
        </w:rPr>
      </w:pPr>
    </w:p>
    <w:p>
      <w:pPr>
        <w:spacing w:after="0"/>
        <w:jc w:val="left"/>
        <w:rPr>
          <w:rFonts w:ascii="Trebuchet MS"/>
          <w:sz w:val="20"/>
        </w:rPr>
        <w:sectPr>
          <w:pgSz w:w="11910" w:h="16840"/>
          <w:pgMar w:header="0" w:footer="695" w:top="800" w:bottom="880" w:left="0" w:right="0"/>
        </w:sectPr>
      </w:pPr>
    </w:p>
    <w:p>
      <w:pPr>
        <w:pStyle w:val="Heading2"/>
        <w:spacing w:before="100"/>
        <w:ind w:left="1474" w:right="231"/>
      </w:pPr>
      <w:r>
        <w:rPr>
          <w:color w:val="1F4282"/>
          <w:w w:val="115"/>
        </w:rPr>
        <w:t>Effects on the most </w:t>
      </w:r>
      <w:r>
        <w:rPr>
          <w:color w:val="1F4282"/>
          <w:spacing w:val="-2"/>
          <w:w w:val="115"/>
        </w:rPr>
        <w:t>vulnerable</w:t>
      </w:r>
      <w:r>
        <w:rPr>
          <w:color w:val="1F4282"/>
          <w:spacing w:val="-20"/>
          <w:w w:val="115"/>
        </w:rPr>
        <w:t> </w:t>
      </w:r>
      <w:r>
        <w:rPr>
          <w:color w:val="1F4282"/>
          <w:spacing w:val="-2"/>
          <w:w w:val="115"/>
        </w:rPr>
        <w:t>social</w:t>
      </w:r>
      <w:r>
        <w:rPr>
          <w:color w:val="1F4282"/>
          <w:spacing w:val="-19"/>
          <w:w w:val="115"/>
        </w:rPr>
        <w:t> </w:t>
      </w:r>
      <w:r>
        <w:rPr>
          <w:color w:val="1F4282"/>
          <w:spacing w:val="-2"/>
          <w:w w:val="115"/>
        </w:rPr>
        <w:t>sectors</w:t>
      </w:r>
    </w:p>
    <w:p>
      <w:pPr>
        <w:pStyle w:val="BodyText"/>
        <w:spacing w:before="95"/>
        <w:ind w:left="1474" w:right="1"/>
      </w:pPr>
      <w:r>
        <w:rPr>
          <w:color w:val="231F20"/>
        </w:rPr>
        <w:t>In 2022, 73% of Cuba’s national budget was allocated to the sectors of greatest implications for the population, including </w:t>
      </w:r>
      <w:r>
        <w:rPr>
          <w:color w:val="231F20"/>
          <w:spacing w:val="-4"/>
        </w:rPr>
        <w:t>public</w:t>
      </w:r>
      <w:r>
        <w:rPr>
          <w:color w:val="231F20"/>
          <w:spacing w:val="-9"/>
        </w:rPr>
        <w:t> </w:t>
      </w:r>
      <w:r>
        <w:rPr>
          <w:color w:val="231F20"/>
          <w:spacing w:val="-4"/>
        </w:rPr>
        <w:t>health,</w:t>
      </w:r>
      <w:r>
        <w:rPr>
          <w:color w:val="231F20"/>
          <w:spacing w:val="-11"/>
        </w:rPr>
        <w:t> </w:t>
      </w:r>
      <w:r>
        <w:rPr>
          <w:color w:val="231F20"/>
          <w:spacing w:val="-4"/>
        </w:rPr>
        <w:t>education</w:t>
      </w:r>
      <w:r>
        <w:rPr>
          <w:color w:val="231F20"/>
          <w:spacing w:val="-11"/>
        </w:rPr>
        <w:t> </w:t>
      </w:r>
      <w:r>
        <w:rPr>
          <w:color w:val="231F20"/>
          <w:spacing w:val="-4"/>
        </w:rPr>
        <w:t>and</w:t>
      </w:r>
      <w:r>
        <w:rPr>
          <w:color w:val="231F20"/>
          <w:spacing w:val="-11"/>
        </w:rPr>
        <w:t> </w:t>
      </w:r>
      <w:r>
        <w:rPr>
          <w:color w:val="231F20"/>
          <w:spacing w:val="-4"/>
        </w:rPr>
        <w:t>social</w:t>
      </w:r>
      <w:r>
        <w:rPr>
          <w:color w:val="231F20"/>
          <w:spacing w:val="-9"/>
        </w:rPr>
        <w:t> </w:t>
      </w:r>
      <w:r>
        <w:rPr>
          <w:color w:val="231F20"/>
          <w:spacing w:val="-4"/>
        </w:rPr>
        <w:t>security. </w:t>
      </w:r>
      <w:r>
        <w:rPr>
          <w:color w:val="231F20"/>
        </w:rPr>
        <w:t>This government strategy, based on</w:t>
      </w:r>
      <w:r>
        <w:rPr>
          <w:color w:val="231F20"/>
          <w:spacing w:val="80"/>
        </w:rPr>
        <w:t> </w:t>
      </w:r>
      <w:r>
        <w:rPr>
          <w:color w:val="231F20"/>
        </w:rPr>
        <w:t>deep humanistic conviction, is constantly encroached</w:t>
      </w:r>
      <w:r>
        <w:rPr>
          <w:color w:val="231F20"/>
          <w:spacing w:val="-4"/>
        </w:rPr>
        <w:t> </w:t>
      </w:r>
      <w:r>
        <w:rPr>
          <w:color w:val="231F20"/>
        </w:rPr>
        <w:t>upon</w:t>
      </w:r>
      <w:r>
        <w:rPr>
          <w:color w:val="231F20"/>
          <w:spacing w:val="-4"/>
        </w:rPr>
        <w:t> </w:t>
      </w:r>
      <w:r>
        <w:rPr>
          <w:color w:val="231F20"/>
        </w:rPr>
        <w:t>by</w:t>
      </w:r>
      <w:r>
        <w:rPr>
          <w:color w:val="231F20"/>
          <w:spacing w:val="-4"/>
        </w:rPr>
        <w:t> </w:t>
      </w:r>
      <w:r>
        <w:rPr>
          <w:color w:val="231F20"/>
        </w:rPr>
        <w:t>the</w:t>
      </w:r>
      <w:r>
        <w:rPr>
          <w:color w:val="231F20"/>
          <w:spacing w:val="-4"/>
        </w:rPr>
        <w:t> </w:t>
      </w:r>
      <w:r>
        <w:rPr>
          <w:color w:val="231F20"/>
        </w:rPr>
        <w:t>blockade,</w:t>
      </w:r>
      <w:r>
        <w:rPr>
          <w:color w:val="231F20"/>
          <w:spacing w:val="-4"/>
        </w:rPr>
        <w:t> </w:t>
      </w:r>
      <w:r>
        <w:rPr>
          <w:color w:val="231F20"/>
        </w:rPr>
        <w:t>whose measures seek to overturn the over 60 years’ advances in human development achieved by Cuba.</w:t>
      </w:r>
    </w:p>
    <w:p>
      <w:pPr>
        <w:spacing w:before="167"/>
        <w:ind w:left="1474" w:right="0" w:firstLine="0"/>
        <w:jc w:val="both"/>
        <w:rPr>
          <w:b/>
          <w:i/>
          <w:sz w:val="24"/>
        </w:rPr>
      </w:pPr>
      <w:r>
        <w:rPr>
          <w:rFonts w:ascii="Segoe UI Semibold"/>
          <w:b/>
          <w:i/>
          <w:color w:val="231F20"/>
          <w:sz w:val="24"/>
        </w:rPr>
        <w:t>The losses in </w:t>
      </w:r>
      <w:r>
        <w:rPr>
          <w:b/>
          <w:i/>
          <w:color w:val="B52628"/>
          <w:sz w:val="24"/>
        </w:rPr>
        <w:t>the public health sector</w:t>
      </w:r>
      <w:r>
        <w:rPr>
          <w:b/>
          <w:i/>
          <w:color w:val="B52628"/>
          <w:sz w:val="24"/>
        </w:rPr>
        <w:t> </w:t>
      </w:r>
      <w:r>
        <w:rPr>
          <w:rFonts w:ascii="Segoe UI Semibold"/>
          <w:b/>
          <w:i/>
          <w:color w:val="231F20"/>
          <w:sz w:val="24"/>
        </w:rPr>
        <w:t>caused by the blockade in the period of</w:t>
      </w:r>
      <w:r>
        <w:rPr>
          <w:rFonts w:ascii="Segoe UI Semibold"/>
          <w:b/>
          <w:i/>
          <w:color w:val="231F20"/>
          <w:sz w:val="24"/>
        </w:rPr>
        <w:t> this report totaled </w:t>
      </w:r>
      <w:r>
        <w:rPr>
          <w:b/>
          <w:i/>
          <w:color w:val="231F20"/>
          <w:sz w:val="24"/>
        </w:rPr>
        <w:t>USD 239,803,690</w:t>
      </w:r>
      <w:r>
        <w:rPr>
          <w:rFonts w:ascii="Segoe UI Semibold"/>
          <w:b/>
          <w:i/>
          <w:color w:val="231F20"/>
          <w:sz w:val="24"/>
        </w:rPr>
        <w:t>,</w:t>
      </w:r>
      <w:r>
        <w:rPr>
          <w:rFonts w:ascii="Segoe UI Semibold"/>
          <w:b/>
          <w:i/>
          <w:color w:val="231F20"/>
          <w:sz w:val="24"/>
        </w:rPr>
        <w:t> almost </w:t>
      </w:r>
      <w:r>
        <w:rPr>
          <w:b/>
          <w:i/>
          <w:color w:val="231F20"/>
          <w:sz w:val="24"/>
        </w:rPr>
        <w:t>USD 80,000,000 </w:t>
      </w:r>
      <w:r>
        <w:rPr>
          <w:rFonts w:ascii="Segoe UI Semibold"/>
          <w:b/>
          <w:i/>
          <w:color w:val="231F20"/>
          <w:sz w:val="24"/>
        </w:rPr>
        <w:t>more than in</w:t>
      </w:r>
      <w:r>
        <w:rPr>
          <w:rFonts w:ascii="Segoe UI Semibold"/>
          <w:b/>
          <w:i/>
          <w:color w:val="231F20"/>
          <w:spacing w:val="40"/>
          <w:sz w:val="24"/>
        </w:rPr>
        <w:t> </w:t>
      </w:r>
      <w:r>
        <w:rPr>
          <w:rFonts w:ascii="Segoe UI Semibold"/>
          <w:b/>
          <w:i/>
          <w:color w:val="231F20"/>
          <w:sz w:val="24"/>
        </w:rPr>
        <w:t>the</w:t>
      </w:r>
      <w:r>
        <w:rPr>
          <w:rFonts w:ascii="Segoe UI Semibold"/>
          <w:b/>
          <w:i/>
          <w:color w:val="231F20"/>
          <w:spacing w:val="80"/>
          <w:sz w:val="24"/>
        </w:rPr>
        <w:t> </w:t>
      </w:r>
      <w:r>
        <w:rPr>
          <w:rFonts w:ascii="Segoe UI Semibold"/>
          <w:b/>
          <w:i/>
          <w:color w:val="231F20"/>
          <w:sz w:val="24"/>
        </w:rPr>
        <w:t>corresponding</w:t>
      </w:r>
      <w:r>
        <w:rPr>
          <w:rFonts w:ascii="Segoe UI Semibold"/>
          <w:b/>
          <w:i/>
          <w:color w:val="231F20"/>
          <w:spacing w:val="80"/>
          <w:sz w:val="24"/>
        </w:rPr>
        <w:t> </w:t>
      </w:r>
      <w:r>
        <w:rPr>
          <w:rFonts w:ascii="Segoe UI Semibold"/>
          <w:b/>
          <w:i/>
          <w:color w:val="231F20"/>
          <w:sz w:val="24"/>
        </w:rPr>
        <w:t>period</w:t>
      </w:r>
      <w:r>
        <w:rPr>
          <w:rFonts w:ascii="Segoe UI Semibold"/>
          <w:b/>
          <w:i/>
          <w:color w:val="231F20"/>
          <w:spacing w:val="80"/>
          <w:sz w:val="24"/>
        </w:rPr>
        <w:t> </w:t>
      </w:r>
      <w:r>
        <w:rPr>
          <w:rFonts w:ascii="Segoe UI Semibold"/>
          <w:b/>
          <w:i/>
          <w:color w:val="231F20"/>
          <w:sz w:val="24"/>
        </w:rPr>
        <w:t>preceding the COVID-19 pandemic (April 2019 - March 2020). During the over 60 years</w:t>
      </w:r>
      <w:r>
        <w:rPr>
          <w:rFonts w:ascii="Segoe UI Semibold"/>
          <w:b/>
          <w:i/>
          <w:color w:val="231F20"/>
          <w:spacing w:val="80"/>
          <w:sz w:val="24"/>
        </w:rPr>
        <w:t> </w:t>
      </w:r>
      <w:r>
        <w:rPr>
          <w:rFonts w:ascii="Segoe UI Semibold"/>
          <w:b/>
          <w:i/>
          <w:color w:val="231F20"/>
          <w:sz w:val="24"/>
        </w:rPr>
        <w:t>in</w:t>
      </w:r>
      <w:r>
        <w:rPr>
          <w:rFonts w:ascii="Segoe UI Semibold"/>
          <w:b/>
          <w:i/>
          <w:color w:val="231F20"/>
          <w:spacing w:val="-4"/>
          <w:sz w:val="24"/>
        </w:rPr>
        <w:t> </w:t>
      </w:r>
      <w:r>
        <w:rPr>
          <w:rFonts w:ascii="Segoe UI Semibold"/>
          <w:b/>
          <w:i/>
          <w:color w:val="231F20"/>
          <w:sz w:val="24"/>
        </w:rPr>
        <w:t>which</w:t>
      </w:r>
      <w:r>
        <w:rPr>
          <w:rFonts w:ascii="Segoe UI Semibold"/>
          <w:b/>
          <w:i/>
          <w:color w:val="231F20"/>
          <w:spacing w:val="-4"/>
          <w:sz w:val="24"/>
        </w:rPr>
        <w:t> </w:t>
      </w:r>
      <w:r>
        <w:rPr>
          <w:rFonts w:ascii="Segoe UI Semibold"/>
          <w:b/>
          <w:i/>
          <w:color w:val="231F20"/>
          <w:sz w:val="24"/>
        </w:rPr>
        <w:t>the</w:t>
      </w:r>
      <w:r>
        <w:rPr>
          <w:rFonts w:ascii="Segoe UI Semibold"/>
          <w:b/>
          <w:i/>
          <w:color w:val="231F20"/>
          <w:spacing w:val="-4"/>
          <w:sz w:val="24"/>
        </w:rPr>
        <w:t> </w:t>
      </w:r>
      <w:r>
        <w:rPr>
          <w:rFonts w:ascii="Segoe UI Semibold"/>
          <w:b/>
          <w:i/>
          <w:color w:val="231F20"/>
          <w:sz w:val="24"/>
        </w:rPr>
        <w:t>blockade</w:t>
      </w:r>
      <w:r>
        <w:rPr>
          <w:rFonts w:ascii="Segoe UI Semibold"/>
          <w:b/>
          <w:i/>
          <w:color w:val="231F20"/>
          <w:spacing w:val="-4"/>
          <w:sz w:val="24"/>
        </w:rPr>
        <w:t> </w:t>
      </w:r>
      <w:r>
        <w:rPr>
          <w:rFonts w:ascii="Segoe UI Semibold"/>
          <w:b/>
          <w:i/>
          <w:color w:val="231F20"/>
          <w:sz w:val="24"/>
        </w:rPr>
        <w:t>has</w:t>
      </w:r>
      <w:r>
        <w:rPr>
          <w:rFonts w:ascii="Segoe UI Semibold"/>
          <w:b/>
          <w:i/>
          <w:color w:val="231F20"/>
          <w:spacing w:val="-4"/>
          <w:sz w:val="24"/>
        </w:rPr>
        <w:t> </w:t>
      </w:r>
      <w:r>
        <w:rPr>
          <w:rFonts w:ascii="Segoe UI Semibold"/>
          <w:b/>
          <w:i/>
          <w:color w:val="231F20"/>
          <w:sz w:val="24"/>
        </w:rPr>
        <w:t>been</w:t>
      </w:r>
      <w:r>
        <w:rPr>
          <w:rFonts w:ascii="Segoe UI Semibold"/>
          <w:b/>
          <w:i/>
          <w:color w:val="231F20"/>
          <w:spacing w:val="-4"/>
          <w:sz w:val="24"/>
        </w:rPr>
        <w:t> </w:t>
      </w:r>
      <w:r>
        <w:rPr>
          <w:rFonts w:ascii="Segoe UI Semibold"/>
          <w:b/>
          <w:i/>
          <w:color w:val="231F20"/>
          <w:sz w:val="24"/>
        </w:rPr>
        <w:t>imposed, the</w:t>
      </w:r>
      <w:r>
        <w:rPr>
          <w:rFonts w:ascii="Segoe UI Semibold"/>
          <w:b/>
          <w:i/>
          <w:color w:val="231F20"/>
          <w:spacing w:val="40"/>
          <w:sz w:val="24"/>
        </w:rPr>
        <w:t> </w:t>
      </w:r>
      <w:r>
        <w:rPr>
          <w:rFonts w:ascii="Segoe UI Semibold"/>
          <w:b/>
          <w:i/>
          <w:color w:val="231F20"/>
          <w:sz w:val="24"/>
        </w:rPr>
        <w:t>accumulated</w:t>
      </w:r>
      <w:r>
        <w:rPr>
          <w:rFonts w:ascii="Segoe UI Semibold"/>
          <w:b/>
          <w:i/>
          <w:color w:val="231F20"/>
          <w:spacing w:val="40"/>
          <w:sz w:val="24"/>
        </w:rPr>
        <w:t> </w:t>
      </w:r>
      <w:r>
        <w:rPr>
          <w:rFonts w:ascii="Segoe UI Semibold"/>
          <w:b/>
          <w:i/>
          <w:color w:val="231F20"/>
          <w:sz w:val="24"/>
        </w:rPr>
        <w:t>losses</w:t>
      </w:r>
      <w:r>
        <w:rPr>
          <w:rFonts w:ascii="Segoe UI Semibold"/>
          <w:b/>
          <w:i/>
          <w:color w:val="231F20"/>
          <w:spacing w:val="40"/>
          <w:sz w:val="24"/>
        </w:rPr>
        <w:t> </w:t>
      </w:r>
      <w:r>
        <w:rPr>
          <w:rFonts w:ascii="Segoe UI Semibold"/>
          <w:b/>
          <w:i/>
          <w:color w:val="231F20"/>
          <w:sz w:val="24"/>
        </w:rPr>
        <w:t>thus</w:t>
      </w:r>
      <w:r>
        <w:rPr>
          <w:rFonts w:ascii="Segoe UI Semibold"/>
          <w:b/>
          <w:i/>
          <w:color w:val="231F20"/>
          <w:spacing w:val="40"/>
          <w:sz w:val="24"/>
        </w:rPr>
        <w:t> </w:t>
      </w:r>
      <w:r>
        <w:rPr>
          <w:rFonts w:ascii="Segoe UI Semibold"/>
          <w:b/>
          <w:i/>
          <w:color w:val="231F20"/>
          <w:sz w:val="24"/>
        </w:rPr>
        <w:t>incurred</w:t>
      </w:r>
      <w:r>
        <w:rPr>
          <w:rFonts w:ascii="Segoe UI Semibold"/>
          <w:b/>
          <w:i/>
          <w:color w:val="231F20"/>
          <w:spacing w:val="80"/>
          <w:sz w:val="24"/>
        </w:rPr>
        <w:t> </w:t>
      </w:r>
      <w:r>
        <w:rPr>
          <w:rFonts w:ascii="Segoe UI Semibold"/>
          <w:b/>
          <w:i/>
          <w:color w:val="231F20"/>
          <w:sz w:val="24"/>
        </w:rPr>
        <w:t>in the health sector have reached </w:t>
      </w:r>
      <w:r>
        <w:rPr>
          <w:b/>
          <w:i/>
          <w:color w:val="231F20"/>
          <w:sz w:val="24"/>
        </w:rPr>
        <w:t>USD</w:t>
      </w:r>
      <w:r>
        <w:rPr>
          <w:b/>
          <w:i/>
          <w:color w:val="231F20"/>
          <w:sz w:val="24"/>
        </w:rPr>
        <w:t> </w:t>
      </w:r>
      <w:r>
        <w:rPr>
          <w:b/>
          <w:i/>
          <w:color w:val="231F20"/>
          <w:spacing w:val="-2"/>
          <w:sz w:val="24"/>
        </w:rPr>
        <w:t>3,625,840,594.</w:t>
      </w:r>
    </w:p>
    <w:p>
      <w:pPr>
        <w:pStyle w:val="BodyText"/>
        <w:spacing w:before="159"/>
        <w:ind w:left="1474" w:right="4"/>
      </w:pPr>
      <w:r>
        <w:rPr>
          <w:color w:val="231F20"/>
          <w:spacing w:val="-4"/>
        </w:rPr>
        <w:t>Purchases</w:t>
      </w:r>
      <w:r>
        <w:rPr>
          <w:color w:val="231F20"/>
          <w:spacing w:val="-13"/>
        </w:rPr>
        <w:t> </w:t>
      </w:r>
      <w:r>
        <w:rPr>
          <w:color w:val="231F20"/>
          <w:spacing w:val="-4"/>
        </w:rPr>
        <w:t>of</w:t>
      </w:r>
      <w:r>
        <w:rPr>
          <w:color w:val="231F20"/>
          <w:spacing w:val="-12"/>
        </w:rPr>
        <w:t> </w:t>
      </w:r>
      <w:r>
        <w:rPr>
          <w:color w:val="231F20"/>
          <w:spacing w:val="-4"/>
        </w:rPr>
        <w:t>the</w:t>
      </w:r>
      <w:r>
        <w:rPr>
          <w:color w:val="231F20"/>
          <w:spacing w:val="-13"/>
        </w:rPr>
        <w:t> </w:t>
      </w:r>
      <w:r>
        <w:rPr>
          <w:color w:val="231F20"/>
          <w:spacing w:val="-4"/>
        </w:rPr>
        <w:t>supplies</w:t>
      </w:r>
      <w:r>
        <w:rPr>
          <w:color w:val="231F20"/>
          <w:spacing w:val="-12"/>
        </w:rPr>
        <w:t> </w:t>
      </w:r>
      <w:r>
        <w:rPr>
          <w:color w:val="231F20"/>
          <w:spacing w:val="-4"/>
        </w:rPr>
        <w:t>needed</w:t>
      </w:r>
      <w:r>
        <w:rPr>
          <w:color w:val="231F20"/>
          <w:spacing w:val="-13"/>
        </w:rPr>
        <w:t> </w:t>
      </w:r>
      <w:r>
        <w:rPr>
          <w:color w:val="231F20"/>
          <w:spacing w:val="-4"/>
        </w:rPr>
        <w:t>to</w:t>
      </w:r>
      <w:r>
        <w:rPr>
          <w:color w:val="231F20"/>
          <w:spacing w:val="-12"/>
        </w:rPr>
        <w:t> </w:t>
      </w:r>
      <w:r>
        <w:rPr>
          <w:color w:val="231F20"/>
          <w:spacing w:val="-4"/>
        </w:rPr>
        <w:t>sustain </w:t>
      </w:r>
      <w:r>
        <w:rPr>
          <w:color w:val="231F20"/>
          <w:spacing w:val="-6"/>
        </w:rPr>
        <w:t>the</w:t>
      </w:r>
      <w:r>
        <w:rPr>
          <w:color w:val="231F20"/>
          <w:spacing w:val="-9"/>
        </w:rPr>
        <w:t> </w:t>
      </w:r>
      <w:r>
        <w:rPr>
          <w:color w:val="231F20"/>
          <w:spacing w:val="-6"/>
        </w:rPr>
        <w:t>public</w:t>
      </w:r>
      <w:r>
        <w:rPr>
          <w:color w:val="231F20"/>
          <w:spacing w:val="-9"/>
        </w:rPr>
        <w:t> </w:t>
      </w:r>
      <w:r>
        <w:rPr>
          <w:color w:val="231F20"/>
          <w:spacing w:val="-6"/>
        </w:rPr>
        <w:t>health</w:t>
      </w:r>
      <w:r>
        <w:rPr>
          <w:color w:val="231F20"/>
          <w:spacing w:val="-9"/>
        </w:rPr>
        <w:t> </w:t>
      </w:r>
      <w:r>
        <w:rPr>
          <w:color w:val="231F20"/>
          <w:spacing w:val="-6"/>
        </w:rPr>
        <w:t>system</w:t>
      </w:r>
      <w:r>
        <w:rPr>
          <w:color w:val="231F20"/>
          <w:spacing w:val="-9"/>
        </w:rPr>
        <w:t> </w:t>
      </w:r>
      <w:r>
        <w:rPr>
          <w:color w:val="231F20"/>
          <w:spacing w:val="-6"/>
        </w:rPr>
        <w:t>have</w:t>
      </w:r>
      <w:r>
        <w:rPr>
          <w:color w:val="231F20"/>
          <w:spacing w:val="-9"/>
        </w:rPr>
        <w:t> </w:t>
      </w:r>
      <w:r>
        <w:rPr>
          <w:color w:val="231F20"/>
          <w:spacing w:val="-6"/>
        </w:rPr>
        <w:t>been</w:t>
      </w:r>
      <w:r>
        <w:rPr>
          <w:color w:val="231F20"/>
          <w:spacing w:val="-9"/>
        </w:rPr>
        <w:t> </w:t>
      </w:r>
      <w:r>
        <w:rPr>
          <w:color w:val="231F20"/>
          <w:spacing w:val="-6"/>
        </w:rPr>
        <w:t>severely </w:t>
      </w:r>
      <w:r>
        <w:rPr>
          <w:color w:val="231F20"/>
        </w:rPr>
        <w:t>affected by the cancellation of contracts, </w:t>
      </w:r>
      <w:r>
        <w:rPr>
          <w:color w:val="231F20"/>
          <w:spacing w:val="-6"/>
        </w:rPr>
        <w:t>rising</w:t>
      </w:r>
      <w:r>
        <w:rPr>
          <w:color w:val="231F20"/>
          <w:spacing w:val="-11"/>
        </w:rPr>
        <w:t> </w:t>
      </w:r>
      <w:r>
        <w:rPr>
          <w:color w:val="231F20"/>
          <w:spacing w:val="-6"/>
        </w:rPr>
        <w:t>marketing</w:t>
      </w:r>
      <w:r>
        <w:rPr>
          <w:color w:val="231F20"/>
          <w:spacing w:val="-10"/>
        </w:rPr>
        <w:t> </w:t>
      </w:r>
      <w:r>
        <w:rPr>
          <w:color w:val="231F20"/>
          <w:spacing w:val="-6"/>
        </w:rPr>
        <w:t>costs</w:t>
      </w:r>
      <w:r>
        <w:rPr>
          <w:color w:val="231F20"/>
          <w:spacing w:val="-11"/>
        </w:rPr>
        <w:t> </w:t>
      </w:r>
      <w:r>
        <w:rPr>
          <w:color w:val="231F20"/>
          <w:spacing w:val="-6"/>
        </w:rPr>
        <w:t>and</w:t>
      </w:r>
      <w:r>
        <w:rPr>
          <w:color w:val="231F20"/>
          <w:spacing w:val="-10"/>
        </w:rPr>
        <w:t> </w:t>
      </w:r>
      <w:r>
        <w:rPr>
          <w:color w:val="231F20"/>
          <w:spacing w:val="-6"/>
        </w:rPr>
        <w:t>growing</w:t>
      </w:r>
      <w:r>
        <w:rPr>
          <w:color w:val="231F20"/>
          <w:spacing w:val="-11"/>
        </w:rPr>
        <w:t> </w:t>
      </w:r>
      <w:r>
        <w:rPr>
          <w:color w:val="231F20"/>
          <w:spacing w:val="-6"/>
        </w:rPr>
        <w:t>pressure </w:t>
      </w:r>
      <w:r>
        <w:rPr>
          <w:color w:val="231F20"/>
        </w:rPr>
        <w:t>on the banks worldwide, a situation </w:t>
      </w:r>
      <w:r>
        <w:rPr>
          <w:color w:val="231F20"/>
          <w:spacing w:val="-4"/>
        </w:rPr>
        <w:t>compounded</w:t>
      </w:r>
      <w:r>
        <w:rPr>
          <w:color w:val="231F20"/>
          <w:spacing w:val="-13"/>
        </w:rPr>
        <w:t> </w:t>
      </w:r>
      <w:r>
        <w:rPr>
          <w:color w:val="231F20"/>
          <w:spacing w:val="-4"/>
        </w:rPr>
        <w:t>by</w:t>
      </w:r>
      <w:r>
        <w:rPr>
          <w:color w:val="231F20"/>
          <w:spacing w:val="-12"/>
        </w:rPr>
        <w:t> </w:t>
      </w:r>
      <w:r>
        <w:rPr>
          <w:color w:val="231F20"/>
          <w:spacing w:val="-4"/>
        </w:rPr>
        <w:t>the</w:t>
      </w:r>
      <w:r>
        <w:rPr>
          <w:color w:val="231F20"/>
          <w:spacing w:val="-13"/>
        </w:rPr>
        <w:t> </w:t>
      </w:r>
      <w:r>
        <w:rPr>
          <w:color w:val="231F20"/>
          <w:spacing w:val="-4"/>
        </w:rPr>
        <w:t>lingering</w:t>
      </w:r>
      <w:r>
        <w:rPr>
          <w:color w:val="231F20"/>
          <w:spacing w:val="-12"/>
        </w:rPr>
        <w:t> </w:t>
      </w:r>
      <w:r>
        <w:rPr>
          <w:color w:val="231F20"/>
          <w:spacing w:val="-4"/>
        </w:rPr>
        <w:t>effects</w:t>
      </w:r>
      <w:r>
        <w:rPr>
          <w:color w:val="231F20"/>
          <w:spacing w:val="-13"/>
        </w:rPr>
        <w:t> </w:t>
      </w:r>
      <w:r>
        <w:rPr>
          <w:color w:val="231F20"/>
          <w:spacing w:val="-4"/>
        </w:rPr>
        <w:t>of</w:t>
      </w:r>
      <w:r>
        <w:rPr>
          <w:color w:val="231F20"/>
          <w:spacing w:val="-12"/>
        </w:rPr>
        <w:t> </w:t>
      </w:r>
      <w:r>
        <w:rPr>
          <w:color w:val="231F20"/>
          <w:spacing w:val="-4"/>
        </w:rPr>
        <w:t>the </w:t>
      </w:r>
      <w:r>
        <w:rPr>
          <w:color w:val="231F20"/>
        </w:rPr>
        <w:t>COVID-19 pandemic.</w:t>
      </w:r>
    </w:p>
    <w:p>
      <w:pPr>
        <w:pStyle w:val="BodyText"/>
        <w:spacing w:before="189"/>
        <w:ind w:left="411" w:right="1133"/>
      </w:pPr>
      <w:r>
        <w:rPr/>
        <w:br w:type="column"/>
      </w:r>
      <w:r>
        <w:rPr>
          <w:color w:val="231F20"/>
          <w:spacing w:val="-4"/>
        </w:rPr>
        <w:t>While</w:t>
      </w:r>
      <w:r>
        <w:rPr>
          <w:color w:val="231F20"/>
          <w:spacing w:val="-13"/>
        </w:rPr>
        <w:t> </w:t>
      </w:r>
      <w:r>
        <w:rPr>
          <w:color w:val="231F20"/>
          <w:spacing w:val="-4"/>
        </w:rPr>
        <w:t>COVID-19</w:t>
      </w:r>
      <w:r>
        <w:rPr>
          <w:color w:val="231F20"/>
          <w:spacing w:val="-12"/>
        </w:rPr>
        <w:t> </w:t>
      </w:r>
      <w:r>
        <w:rPr>
          <w:color w:val="231F20"/>
          <w:spacing w:val="-4"/>
        </w:rPr>
        <w:t>was</w:t>
      </w:r>
      <w:r>
        <w:rPr>
          <w:color w:val="231F20"/>
          <w:spacing w:val="-13"/>
        </w:rPr>
        <w:t> </w:t>
      </w:r>
      <w:r>
        <w:rPr>
          <w:color w:val="231F20"/>
          <w:spacing w:val="-4"/>
        </w:rPr>
        <w:t>killing</w:t>
      </w:r>
      <w:r>
        <w:rPr>
          <w:color w:val="231F20"/>
          <w:spacing w:val="-12"/>
        </w:rPr>
        <w:t> </w:t>
      </w:r>
      <w:r>
        <w:rPr>
          <w:color w:val="231F20"/>
          <w:spacing w:val="-4"/>
        </w:rPr>
        <w:t>millions</w:t>
      </w:r>
      <w:r>
        <w:rPr>
          <w:color w:val="231F20"/>
          <w:spacing w:val="-13"/>
        </w:rPr>
        <w:t> </w:t>
      </w:r>
      <w:r>
        <w:rPr>
          <w:color w:val="231F20"/>
          <w:spacing w:val="-4"/>
        </w:rPr>
        <w:t>around </w:t>
      </w:r>
      <w:r>
        <w:rPr>
          <w:color w:val="231F20"/>
        </w:rPr>
        <w:t>the world and aggravating conditions in the Cuban public health system, which is universal and free of charge, Washington did not ease a single element of the blockade. On the contrary, this inhuman policy</w:t>
      </w:r>
      <w:r>
        <w:rPr>
          <w:color w:val="231F20"/>
          <w:spacing w:val="-11"/>
        </w:rPr>
        <w:t> </w:t>
      </w:r>
      <w:r>
        <w:rPr>
          <w:color w:val="231F20"/>
        </w:rPr>
        <w:t>was</w:t>
      </w:r>
      <w:r>
        <w:rPr>
          <w:color w:val="231F20"/>
          <w:spacing w:val="-11"/>
        </w:rPr>
        <w:t> </w:t>
      </w:r>
      <w:r>
        <w:rPr>
          <w:color w:val="231F20"/>
        </w:rPr>
        <w:t>ramped</w:t>
      </w:r>
      <w:r>
        <w:rPr>
          <w:color w:val="231F20"/>
          <w:spacing w:val="-11"/>
        </w:rPr>
        <w:t> </w:t>
      </w:r>
      <w:r>
        <w:rPr>
          <w:color w:val="231F20"/>
        </w:rPr>
        <w:t>up,</w:t>
      </w:r>
      <w:r>
        <w:rPr>
          <w:color w:val="231F20"/>
          <w:spacing w:val="-11"/>
        </w:rPr>
        <w:t> </w:t>
      </w:r>
      <w:r>
        <w:rPr>
          <w:color w:val="231F20"/>
        </w:rPr>
        <w:t>creating</w:t>
      </w:r>
      <w:r>
        <w:rPr>
          <w:color w:val="231F20"/>
          <w:spacing w:val="-11"/>
        </w:rPr>
        <w:t> </w:t>
      </w:r>
      <w:r>
        <w:rPr>
          <w:color w:val="231F20"/>
        </w:rPr>
        <w:t>difficulties and delays in obtaining essential medical supplies and equipment, including those required for scaling up production of the Cuban vaccines. It also even obstructed purchase of medicinal oxygen from third </w:t>
      </w:r>
      <w:r>
        <w:rPr>
          <w:color w:val="231F20"/>
          <w:spacing w:val="-2"/>
        </w:rPr>
        <w:t>countries.</w:t>
      </w:r>
    </w:p>
    <w:p>
      <w:pPr>
        <w:pStyle w:val="BodyText"/>
        <w:spacing w:before="170"/>
        <w:ind w:left="411" w:right="1133"/>
      </w:pPr>
      <w:r>
        <w:rPr>
          <w:color w:val="231F20"/>
        </w:rPr>
        <w:t>The deliberate, shameful obstruction of supplies of pulmonary ventilators when most needed by our health system is an indication of the utter inhumanity of this policy and of its violation of the right to life. The Cuban people proved able to</w:t>
      </w:r>
      <w:r>
        <w:rPr>
          <w:color w:val="231F20"/>
          <w:spacing w:val="80"/>
        </w:rPr>
        <w:t> </w:t>
      </w:r>
      <w:r>
        <w:rPr>
          <w:color w:val="231F20"/>
        </w:rPr>
        <w:t>rise above this obstacle by undertaking </w:t>
      </w:r>
      <w:r>
        <w:rPr>
          <w:color w:val="231F20"/>
          <w:spacing w:val="-2"/>
        </w:rPr>
        <w:t>domestic</w:t>
      </w:r>
      <w:r>
        <w:rPr>
          <w:color w:val="231F20"/>
          <w:spacing w:val="-11"/>
        </w:rPr>
        <w:t> </w:t>
      </w:r>
      <w:r>
        <w:rPr>
          <w:color w:val="231F20"/>
          <w:spacing w:val="-2"/>
        </w:rPr>
        <w:t>production</w:t>
      </w:r>
      <w:r>
        <w:rPr>
          <w:color w:val="231F20"/>
          <w:spacing w:val="-11"/>
        </w:rPr>
        <w:t> </w:t>
      </w:r>
      <w:r>
        <w:rPr>
          <w:color w:val="231F20"/>
          <w:spacing w:val="-2"/>
        </w:rPr>
        <w:t>with</w:t>
      </w:r>
      <w:r>
        <w:rPr>
          <w:color w:val="231F20"/>
          <w:spacing w:val="-11"/>
        </w:rPr>
        <w:t> </w:t>
      </w:r>
      <w:r>
        <w:rPr>
          <w:color w:val="231F20"/>
          <w:spacing w:val="-2"/>
        </w:rPr>
        <w:t>own</w:t>
      </w:r>
      <w:r>
        <w:rPr>
          <w:color w:val="231F20"/>
          <w:spacing w:val="-11"/>
        </w:rPr>
        <w:t> </w:t>
      </w:r>
      <w:r>
        <w:rPr>
          <w:color w:val="231F20"/>
          <w:spacing w:val="-2"/>
        </w:rPr>
        <w:t>prototypes.</w:t>
      </w:r>
    </w:p>
    <w:p>
      <w:pPr>
        <w:pStyle w:val="BodyText"/>
        <w:spacing w:before="166"/>
        <w:ind w:left="411" w:right="1132"/>
        <w:rPr>
          <w:rFonts w:ascii="Segoe UI Semibold" w:hAnsi="Segoe UI Semibold"/>
          <w:b/>
          <w:i/>
        </w:rPr>
      </w:pPr>
      <w:r>
        <w:rPr>
          <w:color w:val="231F20"/>
        </w:rPr>
        <w:t>The exceptional conditions under which Cuba was obliged to respond to SARS- COV</w:t>
      </w:r>
      <w:r>
        <w:rPr>
          <w:color w:val="231F20"/>
          <w:spacing w:val="-1"/>
        </w:rPr>
        <w:t> </w:t>
      </w:r>
      <w:r>
        <w:rPr>
          <w:color w:val="231F20"/>
        </w:rPr>
        <w:t>2</w:t>
      </w:r>
      <w:r>
        <w:rPr>
          <w:color w:val="231F20"/>
          <w:spacing w:val="-1"/>
        </w:rPr>
        <w:t> </w:t>
      </w:r>
      <w:r>
        <w:rPr>
          <w:color w:val="231F20"/>
        </w:rPr>
        <w:t>were</w:t>
      </w:r>
      <w:r>
        <w:rPr>
          <w:color w:val="231F20"/>
          <w:spacing w:val="-1"/>
        </w:rPr>
        <w:t> </w:t>
      </w:r>
      <w:r>
        <w:rPr>
          <w:color w:val="231F20"/>
        </w:rPr>
        <w:t>acknowledged</w:t>
      </w:r>
      <w:r>
        <w:rPr>
          <w:color w:val="231F20"/>
          <w:spacing w:val="-1"/>
        </w:rPr>
        <w:t> </w:t>
      </w:r>
      <w:r>
        <w:rPr>
          <w:color w:val="231F20"/>
        </w:rPr>
        <w:t>by</w:t>
      </w:r>
      <w:r>
        <w:rPr>
          <w:color w:val="231F20"/>
          <w:spacing w:val="-1"/>
        </w:rPr>
        <w:t> </w:t>
      </w:r>
      <w:r>
        <w:rPr>
          <w:color w:val="231F20"/>
        </w:rPr>
        <w:t>the</w:t>
      </w:r>
      <w:r>
        <w:rPr>
          <w:color w:val="231F20"/>
          <w:spacing w:val="-1"/>
        </w:rPr>
        <w:t> </w:t>
      </w:r>
      <w:r>
        <w:rPr>
          <w:color w:val="231F20"/>
        </w:rPr>
        <w:t>Special </w:t>
      </w:r>
      <w:r>
        <w:rPr>
          <w:color w:val="231F20"/>
          <w:spacing w:val="-6"/>
        </w:rPr>
        <w:t>Rapporteur</w:t>
      </w:r>
      <w:r>
        <w:rPr>
          <w:color w:val="231F20"/>
          <w:spacing w:val="-11"/>
        </w:rPr>
        <w:t> </w:t>
      </w:r>
      <w:r>
        <w:rPr>
          <w:color w:val="231F20"/>
          <w:spacing w:val="-6"/>
        </w:rPr>
        <w:t>on</w:t>
      </w:r>
      <w:r>
        <w:rPr>
          <w:color w:val="231F20"/>
          <w:spacing w:val="-10"/>
        </w:rPr>
        <w:t> </w:t>
      </w:r>
      <w:r>
        <w:rPr>
          <w:color w:val="231F20"/>
          <w:spacing w:val="-6"/>
        </w:rPr>
        <w:t>Unilateral</w:t>
      </w:r>
      <w:r>
        <w:rPr>
          <w:color w:val="231F20"/>
          <w:spacing w:val="-11"/>
        </w:rPr>
        <w:t> </w:t>
      </w:r>
      <w:r>
        <w:rPr>
          <w:color w:val="231F20"/>
          <w:spacing w:val="-6"/>
        </w:rPr>
        <w:t>Coercive</w:t>
      </w:r>
      <w:r>
        <w:rPr>
          <w:color w:val="231F20"/>
          <w:spacing w:val="-10"/>
        </w:rPr>
        <w:t> </w:t>
      </w:r>
      <w:r>
        <w:rPr>
          <w:color w:val="231F20"/>
          <w:spacing w:val="-6"/>
        </w:rPr>
        <w:t>Measures </w:t>
      </w:r>
      <w:r>
        <w:rPr>
          <w:color w:val="231F20"/>
        </w:rPr>
        <w:t>of the UN Human Rights Council, Alena Dohan, in a keynote lecture at Havana University</w:t>
      </w:r>
      <w:r>
        <w:rPr>
          <w:color w:val="231F20"/>
          <w:spacing w:val="-12"/>
        </w:rPr>
        <w:t> </w:t>
      </w:r>
      <w:r>
        <w:rPr>
          <w:color w:val="231F20"/>
        </w:rPr>
        <w:t>on</w:t>
      </w:r>
      <w:r>
        <w:rPr>
          <w:color w:val="231F20"/>
          <w:spacing w:val="-12"/>
        </w:rPr>
        <w:t> </w:t>
      </w:r>
      <w:r>
        <w:rPr>
          <w:color w:val="231F20"/>
        </w:rPr>
        <w:t>May</w:t>
      </w:r>
      <w:r>
        <w:rPr>
          <w:color w:val="231F20"/>
          <w:spacing w:val="-12"/>
        </w:rPr>
        <w:t> </w:t>
      </w:r>
      <w:r>
        <w:rPr>
          <w:color w:val="231F20"/>
        </w:rPr>
        <w:t>4,</w:t>
      </w:r>
      <w:r>
        <w:rPr>
          <w:color w:val="231F20"/>
          <w:spacing w:val="-12"/>
        </w:rPr>
        <w:t> </w:t>
      </w:r>
      <w:r>
        <w:rPr>
          <w:color w:val="231F20"/>
        </w:rPr>
        <w:t>2023</w:t>
      </w:r>
      <w:r>
        <w:rPr>
          <w:color w:val="231F20"/>
          <w:spacing w:val="-12"/>
        </w:rPr>
        <w:t> </w:t>
      </w:r>
      <w:r>
        <w:rPr>
          <w:color w:val="231F20"/>
        </w:rPr>
        <w:t>on</w:t>
      </w:r>
      <w:r>
        <w:rPr>
          <w:color w:val="231F20"/>
          <w:spacing w:val="-12"/>
        </w:rPr>
        <w:t> </w:t>
      </w:r>
      <w:r>
        <w:rPr>
          <w:color w:val="231F20"/>
        </w:rPr>
        <w:t>the</w:t>
      </w:r>
      <w:r>
        <w:rPr>
          <w:color w:val="231F20"/>
          <w:spacing w:val="-12"/>
        </w:rPr>
        <w:t> </w:t>
      </w:r>
      <w:r>
        <w:rPr>
          <w:color w:val="231F20"/>
        </w:rPr>
        <w:t>occasion of</w:t>
      </w:r>
      <w:r>
        <w:rPr>
          <w:color w:val="231F20"/>
          <w:spacing w:val="-8"/>
        </w:rPr>
        <w:t> </w:t>
      </w:r>
      <w:r>
        <w:rPr>
          <w:color w:val="231F20"/>
        </w:rPr>
        <w:t>an</w:t>
      </w:r>
      <w:r>
        <w:rPr>
          <w:color w:val="231F20"/>
          <w:spacing w:val="-8"/>
        </w:rPr>
        <w:t> </w:t>
      </w:r>
      <w:r>
        <w:rPr>
          <w:color w:val="231F20"/>
        </w:rPr>
        <w:t>academic</w:t>
      </w:r>
      <w:r>
        <w:rPr>
          <w:color w:val="231F20"/>
          <w:spacing w:val="-8"/>
        </w:rPr>
        <w:t> </w:t>
      </w:r>
      <w:r>
        <w:rPr>
          <w:color w:val="231F20"/>
        </w:rPr>
        <w:t>visit</w:t>
      </w:r>
      <w:r>
        <w:rPr>
          <w:color w:val="231F20"/>
          <w:spacing w:val="-8"/>
        </w:rPr>
        <w:t> </w:t>
      </w:r>
      <w:r>
        <w:rPr>
          <w:color w:val="231F20"/>
        </w:rPr>
        <w:t>to</w:t>
      </w:r>
      <w:r>
        <w:rPr>
          <w:color w:val="231F20"/>
          <w:spacing w:val="-8"/>
        </w:rPr>
        <w:t> </w:t>
      </w:r>
      <w:r>
        <w:rPr>
          <w:color w:val="231F20"/>
        </w:rPr>
        <w:t>Cuba,</w:t>
      </w:r>
      <w:r>
        <w:rPr>
          <w:color w:val="231F20"/>
          <w:spacing w:val="-8"/>
        </w:rPr>
        <w:t> </w:t>
      </w:r>
      <w:r>
        <w:rPr>
          <w:color w:val="231F20"/>
        </w:rPr>
        <w:t>who</w:t>
      </w:r>
      <w:r>
        <w:rPr>
          <w:color w:val="231F20"/>
          <w:spacing w:val="-8"/>
        </w:rPr>
        <w:t> </w:t>
      </w:r>
      <w:r>
        <w:rPr>
          <w:color w:val="231F20"/>
        </w:rPr>
        <w:t>pointed out</w:t>
      </w:r>
      <w:r>
        <w:rPr>
          <w:color w:val="231F20"/>
          <w:spacing w:val="18"/>
        </w:rPr>
        <w:t> </w:t>
      </w:r>
      <w:r>
        <w:rPr>
          <w:color w:val="231F20"/>
        </w:rPr>
        <w:t>that:</w:t>
      </w:r>
      <w:r>
        <w:rPr>
          <w:color w:val="231F20"/>
          <w:spacing w:val="20"/>
        </w:rPr>
        <w:t> </w:t>
      </w:r>
      <w:r>
        <w:rPr>
          <w:rFonts w:ascii="Segoe UI Semibold" w:hAnsi="Segoe UI Semibold"/>
          <w:b/>
          <w:i/>
          <w:color w:val="231F20"/>
        </w:rPr>
        <w:t>“Cuba</w:t>
      </w:r>
      <w:r>
        <w:rPr>
          <w:rFonts w:ascii="Segoe UI Semibold" w:hAnsi="Segoe UI Semibold"/>
          <w:b/>
          <w:i/>
          <w:color w:val="231F20"/>
          <w:spacing w:val="28"/>
        </w:rPr>
        <w:t> </w:t>
      </w:r>
      <w:r>
        <w:rPr>
          <w:rFonts w:ascii="Segoe UI Semibold" w:hAnsi="Segoe UI Semibold"/>
          <w:b/>
          <w:i/>
          <w:color w:val="231F20"/>
        </w:rPr>
        <w:t>was</w:t>
      </w:r>
      <w:r>
        <w:rPr>
          <w:rFonts w:ascii="Segoe UI Semibold" w:hAnsi="Segoe UI Semibold"/>
          <w:b/>
          <w:i/>
          <w:color w:val="231F20"/>
          <w:spacing w:val="29"/>
        </w:rPr>
        <w:t> </w:t>
      </w:r>
      <w:r>
        <w:rPr>
          <w:rFonts w:ascii="Segoe UI Semibold" w:hAnsi="Segoe UI Semibold"/>
          <w:b/>
          <w:i/>
          <w:color w:val="231F20"/>
        </w:rPr>
        <w:t>the</w:t>
      </w:r>
      <w:r>
        <w:rPr>
          <w:rFonts w:ascii="Segoe UI Semibold" w:hAnsi="Segoe UI Semibold"/>
          <w:b/>
          <w:i/>
          <w:color w:val="231F20"/>
          <w:spacing w:val="28"/>
        </w:rPr>
        <w:t> </w:t>
      </w:r>
      <w:r>
        <w:rPr>
          <w:rFonts w:ascii="Segoe UI Semibold" w:hAnsi="Segoe UI Semibold"/>
          <w:b/>
          <w:i/>
          <w:color w:val="231F20"/>
        </w:rPr>
        <w:t>only</w:t>
      </w:r>
      <w:r>
        <w:rPr>
          <w:rFonts w:ascii="Segoe UI Semibold" w:hAnsi="Segoe UI Semibold"/>
          <w:b/>
          <w:i/>
          <w:color w:val="231F20"/>
          <w:spacing w:val="29"/>
        </w:rPr>
        <w:t> </w:t>
      </w:r>
      <w:r>
        <w:rPr>
          <w:rFonts w:ascii="Segoe UI Semibold" w:hAnsi="Segoe UI Semibold"/>
          <w:b/>
          <w:i/>
          <w:color w:val="231F20"/>
        </w:rPr>
        <w:t>country</w:t>
      </w:r>
      <w:r>
        <w:rPr>
          <w:rFonts w:ascii="Segoe UI Semibold" w:hAnsi="Segoe UI Semibold"/>
          <w:b/>
          <w:i/>
          <w:color w:val="231F20"/>
          <w:spacing w:val="29"/>
        </w:rPr>
        <w:t> </w:t>
      </w:r>
      <w:r>
        <w:rPr>
          <w:rFonts w:ascii="Segoe UI Semibold" w:hAnsi="Segoe UI Semibold"/>
          <w:b/>
          <w:i/>
          <w:color w:val="231F20"/>
          <w:spacing w:val="-5"/>
        </w:rPr>
        <w:t>to</w:t>
      </w:r>
    </w:p>
    <w:p>
      <w:pPr>
        <w:spacing w:after="0"/>
        <w:rPr>
          <w:rFonts w:ascii="Segoe UI Semibold" w:hAnsi="Segoe UI Semibold"/>
        </w:rPr>
        <w:sectPr>
          <w:type w:val="continuous"/>
          <w:pgSz w:w="11910" w:h="16840"/>
          <w:pgMar w:header="0" w:footer="695" w:top="1920" w:bottom="280" w:left="0" w:right="0"/>
          <w:cols w:num="2" w:equalWidth="0">
            <w:col w:w="5899" w:space="40"/>
            <w:col w:w="5971"/>
          </w:cols>
        </w:sectPr>
      </w:pPr>
    </w:p>
    <w:p>
      <w:pPr>
        <w:spacing w:before="76"/>
        <w:ind w:left="1133" w:right="1" w:firstLine="0"/>
        <w:jc w:val="both"/>
        <w:rPr>
          <w:sz w:val="24"/>
        </w:rPr>
      </w:pPr>
      <w:r>
        <w:rPr>
          <w:rFonts w:ascii="Segoe UI Semibold" w:hAnsi="Segoe UI Semibold"/>
          <w:b/>
          <w:i/>
          <w:color w:val="231F20"/>
          <w:sz w:val="24"/>
        </w:rPr>
        <w:t>which AliExpress could not make and</w:t>
      </w:r>
      <w:r>
        <w:rPr>
          <w:rFonts w:ascii="Segoe UI Semibold" w:hAnsi="Segoe UI Semibold"/>
          <w:b/>
          <w:i/>
          <w:color w:val="231F20"/>
          <w:sz w:val="24"/>
        </w:rPr>
        <w:t> distribute</w:t>
      </w:r>
      <w:r>
        <w:rPr>
          <w:rFonts w:ascii="Segoe UI Semibold" w:hAnsi="Segoe UI Semibold"/>
          <w:b/>
          <w:i/>
          <w:color w:val="231F20"/>
          <w:spacing w:val="-10"/>
          <w:sz w:val="24"/>
        </w:rPr>
        <w:t> </w:t>
      </w:r>
      <w:r>
        <w:rPr>
          <w:rFonts w:ascii="Segoe UI Semibold" w:hAnsi="Segoe UI Semibold"/>
          <w:b/>
          <w:i/>
          <w:color w:val="231F20"/>
          <w:sz w:val="24"/>
        </w:rPr>
        <w:t>donations,</w:t>
      </w:r>
      <w:r>
        <w:rPr>
          <w:rFonts w:ascii="Segoe UI Semibold" w:hAnsi="Segoe UI Semibold"/>
          <w:b/>
          <w:i/>
          <w:color w:val="231F20"/>
          <w:spacing w:val="-9"/>
          <w:sz w:val="24"/>
        </w:rPr>
        <w:t> </w:t>
      </w:r>
      <w:r>
        <w:rPr>
          <w:rFonts w:ascii="Segoe UI Semibold" w:hAnsi="Segoe UI Semibold"/>
          <w:b/>
          <w:i/>
          <w:color w:val="231F20"/>
          <w:sz w:val="24"/>
        </w:rPr>
        <w:t>due</w:t>
      </w:r>
      <w:r>
        <w:rPr>
          <w:rFonts w:ascii="Segoe UI Semibold" w:hAnsi="Segoe UI Semibold"/>
          <w:b/>
          <w:i/>
          <w:color w:val="231F20"/>
          <w:spacing w:val="-10"/>
          <w:sz w:val="24"/>
        </w:rPr>
        <w:t> </w:t>
      </w:r>
      <w:r>
        <w:rPr>
          <w:rFonts w:ascii="Segoe UI Semibold" w:hAnsi="Segoe UI Semibold"/>
          <w:b/>
          <w:i/>
          <w:color w:val="231F20"/>
          <w:sz w:val="24"/>
        </w:rPr>
        <w:t>to</w:t>
      </w:r>
      <w:r>
        <w:rPr>
          <w:rFonts w:ascii="Segoe UI Semibold" w:hAnsi="Segoe UI Semibold"/>
          <w:b/>
          <w:i/>
          <w:color w:val="231F20"/>
          <w:spacing w:val="-10"/>
          <w:sz w:val="24"/>
        </w:rPr>
        <w:t> </w:t>
      </w:r>
      <w:r>
        <w:rPr>
          <w:rFonts w:ascii="Segoe UI Semibold" w:hAnsi="Segoe UI Semibold"/>
          <w:b/>
          <w:i/>
          <w:color w:val="231F20"/>
          <w:sz w:val="24"/>
        </w:rPr>
        <w:t>the</w:t>
      </w:r>
      <w:r>
        <w:rPr>
          <w:rFonts w:ascii="Segoe UI Semibold" w:hAnsi="Segoe UI Semibold"/>
          <w:b/>
          <w:i/>
          <w:color w:val="231F20"/>
          <w:spacing w:val="-10"/>
          <w:sz w:val="24"/>
        </w:rPr>
        <w:t> </w:t>
      </w:r>
      <w:r>
        <w:rPr>
          <w:rFonts w:ascii="Segoe UI Semibold" w:hAnsi="Segoe UI Semibold"/>
          <w:b/>
          <w:i/>
          <w:color w:val="231F20"/>
          <w:sz w:val="24"/>
        </w:rPr>
        <w:t>deterrent </w:t>
      </w:r>
      <w:r>
        <w:rPr>
          <w:rFonts w:ascii="Segoe UI Semibold" w:hAnsi="Segoe UI Semibold"/>
          <w:b/>
          <w:i/>
          <w:color w:val="231F20"/>
          <w:spacing w:val="-2"/>
          <w:sz w:val="24"/>
        </w:rPr>
        <w:t>effect</w:t>
      </w:r>
      <w:r>
        <w:rPr>
          <w:rFonts w:ascii="Segoe UI Semibold" w:hAnsi="Segoe UI Semibold"/>
          <w:b/>
          <w:i/>
          <w:color w:val="231F20"/>
          <w:spacing w:val="-10"/>
          <w:sz w:val="24"/>
        </w:rPr>
        <w:t> </w:t>
      </w:r>
      <w:r>
        <w:rPr>
          <w:rFonts w:ascii="Segoe UI Semibold" w:hAnsi="Segoe UI Semibold"/>
          <w:b/>
          <w:i/>
          <w:color w:val="231F20"/>
          <w:spacing w:val="-2"/>
          <w:sz w:val="24"/>
        </w:rPr>
        <w:t>of</w:t>
      </w:r>
      <w:r>
        <w:rPr>
          <w:rFonts w:ascii="Segoe UI Semibold" w:hAnsi="Segoe UI Semibold"/>
          <w:b/>
          <w:i/>
          <w:color w:val="231F20"/>
          <w:spacing w:val="-11"/>
          <w:sz w:val="24"/>
        </w:rPr>
        <w:t> </w:t>
      </w:r>
      <w:r>
        <w:rPr>
          <w:rFonts w:ascii="Segoe UI Semibold" w:hAnsi="Segoe UI Semibold"/>
          <w:b/>
          <w:i/>
          <w:color w:val="231F20"/>
          <w:spacing w:val="-2"/>
          <w:sz w:val="24"/>
        </w:rPr>
        <w:t>the</w:t>
      </w:r>
      <w:r>
        <w:rPr>
          <w:rFonts w:ascii="Segoe UI Semibold" w:hAnsi="Segoe UI Semibold"/>
          <w:b/>
          <w:i/>
          <w:color w:val="231F20"/>
          <w:spacing w:val="-11"/>
          <w:sz w:val="24"/>
        </w:rPr>
        <w:t> </w:t>
      </w:r>
      <w:r>
        <w:rPr>
          <w:rFonts w:ascii="Segoe UI Semibold" w:hAnsi="Segoe UI Semibold"/>
          <w:b/>
          <w:i/>
          <w:color w:val="231F20"/>
          <w:spacing w:val="-2"/>
          <w:sz w:val="24"/>
        </w:rPr>
        <w:t>U.S.</w:t>
      </w:r>
      <w:r>
        <w:rPr>
          <w:rFonts w:ascii="Segoe UI Semibold" w:hAnsi="Segoe UI Semibold"/>
          <w:b/>
          <w:i/>
          <w:color w:val="231F20"/>
          <w:spacing w:val="-10"/>
          <w:sz w:val="24"/>
        </w:rPr>
        <w:t> </w:t>
      </w:r>
      <w:r>
        <w:rPr>
          <w:rFonts w:ascii="Segoe UI Semibold" w:hAnsi="Segoe UI Semibold"/>
          <w:b/>
          <w:i/>
          <w:color w:val="231F20"/>
          <w:spacing w:val="-2"/>
          <w:sz w:val="24"/>
        </w:rPr>
        <w:t>unilateral</w:t>
      </w:r>
      <w:r>
        <w:rPr>
          <w:rFonts w:ascii="Segoe UI Semibold" w:hAnsi="Segoe UI Semibold"/>
          <w:b/>
          <w:i/>
          <w:color w:val="231F20"/>
          <w:spacing w:val="-10"/>
          <w:sz w:val="24"/>
        </w:rPr>
        <w:t> </w:t>
      </w:r>
      <w:r>
        <w:rPr>
          <w:rFonts w:ascii="Segoe UI Semibold" w:hAnsi="Segoe UI Semibold"/>
          <w:b/>
          <w:i/>
          <w:color w:val="231F20"/>
          <w:spacing w:val="-2"/>
          <w:sz w:val="24"/>
        </w:rPr>
        <w:t>sanctions.</w:t>
      </w:r>
      <w:r>
        <w:rPr>
          <w:rFonts w:ascii="Segoe UI Semibold" w:hAnsi="Segoe UI Semibold"/>
          <w:b/>
          <w:i/>
          <w:color w:val="231F20"/>
          <w:spacing w:val="-10"/>
          <w:sz w:val="24"/>
        </w:rPr>
        <w:t> </w:t>
      </w:r>
      <w:r>
        <w:rPr>
          <w:rFonts w:ascii="Segoe UI Semibold" w:hAnsi="Segoe UI Semibold"/>
          <w:b/>
          <w:i/>
          <w:color w:val="231F20"/>
          <w:spacing w:val="-2"/>
          <w:sz w:val="24"/>
        </w:rPr>
        <w:t>This </w:t>
      </w:r>
      <w:r>
        <w:rPr>
          <w:rFonts w:ascii="Segoe UI Semibold" w:hAnsi="Segoe UI Semibold"/>
          <w:b/>
          <w:i/>
          <w:color w:val="231F20"/>
          <w:sz w:val="24"/>
        </w:rPr>
        <w:t>is illegal”</w:t>
      </w:r>
      <w:r>
        <w:rPr>
          <w:color w:val="231F20"/>
          <w:sz w:val="24"/>
        </w:rPr>
        <w:t>.</w:t>
      </w:r>
    </w:p>
    <w:p>
      <w:pPr>
        <w:pStyle w:val="BodyText"/>
        <w:spacing w:before="160"/>
        <w:ind w:left="1133"/>
      </w:pPr>
      <w:r>
        <w:rPr>
          <w:color w:val="231F20"/>
        </w:rPr>
        <w:t>In recent years, dozens of suppliers around the world have suspended dealings with Cuba. The results have included unprecedented difficulties for the pharmaceutical industry, in the worst </w:t>
      </w:r>
      <w:r>
        <w:rPr>
          <w:color w:val="231F20"/>
          <w:spacing w:val="-4"/>
        </w:rPr>
        <w:t>cases</w:t>
      </w:r>
      <w:r>
        <w:rPr>
          <w:color w:val="231F20"/>
          <w:spacing w:val="-8"/>
        </w:rPr>
        <w:t> </w:t>
      </w:r>
      <w:r>
        <w:rPr>
          <w:color w:val="231F20"/>
          <w:spacing w:val="-4"/>
        </w:rPr>
        <w:t>severely</w:t>
      </w:r>
      <w:r>
        <w:rPr>
          <w:color w:val="231F20"/>
          <w:spacing w:val="-8"/>
        </w:rPr>
        <w:t> </w:t>
      </w:r>
      <w:r>
        <w:rPr>
          <w:color w:val="231F20"/>
          <w:spacing w:val="-4"/>
        </w:rPr>
        <w:t>affecting</w:t>
      </w:r>
      <w:r>
        <w:rPr>
          <w:color w:val="231F20"/>
          <w:spacing w:val="-8"/>
        </w:rPr>
        <w:t> </w:t>
      </w:r>
      <w:r>
        <w:rPr>
          <w:color w:val="231F20"/>
          <w:spacing w:val="-4"/>
        </w:rPr>
        <w:t>its</w:t>
      </w:r>
      <w:r>
        <w:rPr>
          <w:color w:val="231F20"/>
          <w:spacing w:val="-8"/>
        </w:rPr>
        <w:t> </w:t>
      </w:r>
      <w:r>
        <w:rPr>
          <w:color w:val="231F20"/>
          <w:spacing w:val="-4"/>
        </w:rPr>
        <w:t>supply</w:t>
      </w:r>
      <w:r>
        <w:rPr>
          <w:color w:val="231F20"/>
          <w:spacing w:val="-8"/>
        </w:rPr>
        <w:t> </w:t>
      </w:r>
      <w:r>
        <w:rPr>
          <w:color w:val="231F20"/>
          <w:spacing w:val="-4"/>
        </w:rPr>
        <w:t>lines.</w:t>
      </w:r>
      <w:r>
        <w:rPr>
          <w:color w:val="231F20"/>
          <w:spacing w:val="-8"/>
        </w:rPr>
        <w:t> </w:t>
      </w:r>
      <w:r>
        <w:rPr>
          <w:color w:val="231F20"/>
          <w:spacing w:val="-4"/>
        </w:rPr>
        <w:t>The </w:t>
      </w:r>
      <w:r>
        <w:rPr>
          <w:color w:val="231F20"/>
        </w:rPr>
        <w:t>impact on Cuba’s purchasing power has also</w:t>
      </w:r>
      <w:r>
        <w:rPr>
          <w:color w:val="231F20"/>
          <w:spacing w:val="-6"/>
        </w:rPr>
        <w:t> </w:t>
      </w:r>
      <w:r>
        <w:rPr>
          <w:color w:val="231F20"/>
        </w:rPr>
        <w:t>restricted</w:t>
      </w:r>
      <w:r>
        <w:rPr>
          <w:color w:val="231F20"/>
          <w:spacing w:val="-6"/>
        </w:rPr>
        <w:t> </w:t>
      </w:r>
      <w:r>
        <w:rPr>
          <w:color w:val="231F20"/>
        </w:rPr>
        <w:t>the</w:t>
      </w:r>
      <w:r>
        <w:rPr>
          <w:color w:val="231F20"/>
          <w:spacing w:val="-6"/>
        </w:rPr>
        <w:t> </w:t>
      </w:r>
      <w:r>
        <w:rPr>
          <w:color w:val="231F20"/>
        </w:rPr>
        <w:t>scope</w:t>
      </w:r>
      <w:r>
        <w:rPr>
          <w:color w:val="231F20"/>
          <w:spacing w:val="-6"/>
        </w:rPr>
        <w:t> </w:t>
      </w:r>
      <w:r>
        <w:rPr>
          <w:color w:val="231F20"/>
        </w:rPr>
        <w:t>for</w:t>
      </w:r>
      <w:r>
        <w:rPr>
          <w:color w:val="231F20"/>
          <w:spacing w:val="-6"/>
        </w:rPr>
        <w:t> </w:t>
      </w:r>
      <w:r>
        <w:rPr>
          <w:color w:val="231F20"/>
        </w:rPr>
        <w:t>extra</w:t>
      </w:r>
      <w:r>
        <w:rPr>
          <w:color w:val="231F20"/>
          <w:spacing w:val="-6"/>
        </w:rPr>
        <w:t> </w:t>
      </w:r>
      <w:r>
        <w:rPr>
          <w:color w:val="231F20"/>
        </w:rPr>
        <w:t>funding of medicines that, without the blockade, would be obtained at prices three or four times less than their actual levels.</w:t>
      </w:r>
    </w:p>
    <w:p>
      <w:pPr>
        <w:pStyle w:val="BodyText"/>
        <w:spacing w:before="168"/>
        <w:ind w:left="1133"/>
      </w:pPr>
      <w:r>
        <w:rPr>
          <w:color w:val="231F20"/>
        </w:rPr>
        <w:t>Such severe limitations undermine the quality of public services, causing delays, waiting lists for specialist consultations, </w:t>
      </w:r>
      <w:r>
        <w:rPr>
          <w:color w:val="231F20"/>
          <w:spacing w:val="-2"/>
        </w:rPr>
        <w:t>lengthening</w:t>
      </w:r>
      <w:r>
        <w:rPr>
          <w:color w:val="231F20"/>
          <w:spacing w:val="-7"/>
        </w:rPr>
        <w:t> </w:t>
      </w:r>
      <w:r>
        <w:rPr>
          <w:color w:val="231F20"/>
          <w:spacing w:val="-2"/>
        </w:rPr>
        <w:t>of</w:t>
      </w:r>
      <w:r>
        <w:rPr>
          <w:color w:val="231F20"/>
          <w:spacing w:val="-7"/>
        </w:rPr>
        <w:t> </w:t>
      </w:r>
      <w:r>
        <w:rPr>
          <w:color w:val="231F20"/>
          <w:spacing w:val="-2"/>
        </w:rPr>
        <w:t>hospitalizations</w:t>
      </w:r>
      <w:r>
        <w:rPr>
          <w:color w:val="231F20"/>
          <w:spacing w:val="-7"/>
        </w:rPr>
        <w:t> </w:t>
      </w:r>
      <w:r>
        <w:rPr>
          <w:color w:val="231F20"/>
          <w:spacing w:val="-2"/>
        </w:rPr>
        <w:t>and</w:t>
      </w:r>
      <w:r>
        <w:rPr>
          <w:color w:val="231F20"/>
          <w:spacing w:val="-7"/>
        </w:rPr>
        <w:t> </w:t>
      </w:r>
      <w:r>
        <w:rPr>
          <w:color w:val="231F20"/>
          <w:spacing w:val="-2"/>
        </w:rPr>
        <w:t>similar </w:t>
      </w:r>
      <w:r>
        <w:rPr>
          <w:color w:val="231F20"/>
        </w:rPr>
        <w:t>problems, with a direct impact on the national health indicators.</w:t>
      </w:r>
    </w:p>
    <w:p>
      <w:pPr>
        <w:pStyle w:val="BodyText"/>
        <w:spacing w:before="165"/>
        <w:ind w:left="1133" w:right="2"/>
      </w:pPr>
      <w:r>
        <w:rPr>
          <w:color w:val="231F20"/>
        </w:rPr>
        <w:t>To quote a single example, the infant </w:t>
      </w:r>
      <w:r>
        <w:rPr>
          <w:color w:val="231F20"/>
          <w:spacing w:val="-2"/>
        </w:rPr>
        <w:t>mortality</w:t>
      </w:r>
      <w:r>
        <w:rPr>
          <w:color w:val="231F20"/>
          <w:spacing w:val="-15"/>
        </w:rPr>
        <w:t> </w:t>
      </w:r>
      <w:r>
        <w:rPr>
          <w:color w:val="231F20"/>
          <w:spacing w:val="-2"/>
        </w:rPr>
        <w:t>rate</w:t>
      </w:r>
      <w:r>
        <w:rPr>
          <w:color w:val="231F20"/>
          <w:spacing w:val="-14"/>
        </w:rPr>
        <w:t> </w:t>
      </w:r>
      <w:r>
        <w:rPr>
          <w:color w:val="231F20"/>
          <w:spacing w:val="-2"/>
        </w:rPr>
        <w:t>in</w:t>
      </w:r>
      <w:r>
        <w:rPr>
          <w:color w:val="231F20"/>
          <w:spacing w:val="-15"/>
        </w:rPr>
        <w:t> </w:t>
      </w:r>
      <w:r>
        <w:rPr>
          <w:color w:val="231F20"/>
          <w:spacing w:val="-2"/>
        </w:rPr>
        <w:t>2022</w:t>
      </w:r>
      <w:r>
        <w:rPr>
          <w:color w:val="231F20"/>
          <w:spacing w:val="-14"/>
        </w:rPr>
        <w:t> </w:t>
      </w:r>
      <w:r>
        <w:rPr>
          <w:color w:val="231F20"/>
          <w:spacing w:val="-2"/>
        </w:rPr>
        <w:t>was</w:t>
      </w:r>
      <w:r>
        <w:rPr>
          <w:color w:val="231F20"/>
          <w:spacing w:val="-15"/>
        </w:rPr>
        <w:t> </w:t>
      </w:r>
      <w:r>
        <w:rPr>
          <w:color w:val="231F20"/>
          <w:spacing w:val="-2"/>
        </w:rPr>
        <w:t>7.5</w:t>
      </w:r>
      <w:r>
        <w:rPr>
          <w:color w:val="231F20"/>
          <w:spacing w:val="-14"/>
        </w:rPr>
        <w:t> </w:t>
      </w:r>
      <w:r>
        <w:rPr>
          <w:color w:val="231F20"/>
          <w:spacing w:val="-2"/>
        </w:rPr>
        <w:t>per</w:t>
      </w:r>
      <w:r>
        <w:rPr>
          <w:color w:val="231F20"/>
          <w:spacing w:val="-15"/>
        </w:rPr>
        <w:t> </w:t>
      </w:r>
      <w:r>
        <w:rPr>
          <w:color w:val="231F20"/>
          <w:spacing w:val="-2"/>
        </w:rPr>
        <w:t>thousand </w:t>
      </w:r>
      <w:r>
        <w:rPr>
          <w:color w:val="231F20"/>
        </w:rPr>
        <w:t>live births, compared with the pre-2019 </w:t>
      </w:r>
      <w:r>
        <w:rPr>
          <w:color w:val="231F20"/>
          <w:spacing w:val="-2"/>
        </w:rPr>
        <w:t>levels</w:t>
      </w:r>
      <w:r>
        <w:rPr>
          <w:color w:val="231F20"/>
          <w:spacing w:val="-15"/>
        </w:rPr>
        <w:t> </w:t>
      </w:r>
      <w:r>
        <w:rPr>
          <w:color w:val="231F20"/>
          <w:spacing w:val="-2"/>
        </w:rPr>
        <w:t>around</w:t>
      </w:r>
      <w:r>
        <w:rPr>
          <w:color w:val="231F20"/>
          <w:spacing w:val="-14"/>
        </w:rPr>
        <w:t> </w:t>
      </w:r>
      <w:r>
        <w:rPr>
          <w:color w:val="231F20"/>
          <w:spacing w:val="-2"/>
        </w:rPr>
        <w:t>or</w:t>
      </w:r>
      <w:r>
        <w:rPr>
          <w:color w:val="231F20"/>
          <w:spacing w:val="-15"/>
        </w:rPr>
        <w:t> </w:t>
      </w:r>
      <w:r>
        <w:rPr>
          <w:color w:val="231F20"/>
          <w:spacing w:val="-2"/>
        </w:rPr>
        <w:t>below</w:t>
      </w:r>
      <w:r>
        <w:rPr>
          <w:color w:val="231F20"/>
          <w:spacing w:val="-14"/>
        </w:rPr>
        <w:t> </w:t>
      </w:r>
      <w:r>
        <w:rPr>
          <w:color w:val="231F20"/>
          <w:spacing w:val="-2"/>
        </w:rPr>
        <w:t>5.0.</w:t>
      </w:r>
      <w:r>
        <w:rPr>
          <w:color w:val="231F20"/>
          <w:spacing w:val="-15"/>
        </w:rPr>
        <w:t> </w:t>
      </w:r>
      <w:r>
        <w:rPr>
          <w:color w:val="231F20"/>
          <w:spacing w:val="-2"/>
        </w:rPr>
        <w:t>The</w:t>
      </w:r>
      <w:r>
        <w:rPr>
          <w:color w:val="231F20"/>
          <w:spacing w:val="-14"/>
        </w:rPr>
        <w:t> </w:t>
      </w:r>
      <w:r>
        <w:rPr>
          <w:color w:val="231F20"/>
          <w:spacing w:val="-2"/>
        </w:rPr>
        <w:t>intensifying </w:t>
      </w:r>
      <w:r>
        <w:rPr>
          <w:color w:val="231F20"/>
        </w:rPr>
        <w:t>financial restrictions, the impossibility of </w:t>
      </w:r>
      <w:r>
        <w:rPr>
          <w:color w:val="231F20"/>
          <w:spacing w:val="-4"/>
        </w:rPr>
        <w:t>accessing</w:t>
      </w:r>
      <w:r>
        <w:rPr>
          <w:color w:val="231F20"/>
          <w:spacing w:val="-13"/>
        </w:rPr>
        <w:t> </w:t>
      </w:r>
      <w:r>
        <w:rPr>
          <w:color w:val="231F20"/>
          <w:spacing w:val="-4"/>
        </w:rPr>
        <w:t>essential</w:t>
      </w:r>
      <w:r>
        <w:rPr>
          <w:color w:val="231F20"/>
          <w:spacing w:val="-12"/>
        </w:rPr>
        <w:t> </w:t>
      </w:r>
      <w:r>
        <w:rPr>
          <w:color w:val="231F20"/>
          <w:spacing w:val="-4"/>
        </w:rPr>
        <w:t>supplies</w:t>
      </w:r>
      <w:r>
        <w:rPr>
          <w:color w:val="231F20"/>
          <w:spacing w:val="-13"/>
        </w:rPr>
        <w:t> </w:t>
      </w:r>
      <w:r>
        <w:rPr>
          <w:color w:val="231F20"/>
          <w:spacing w:val="-4"/>
        </w:rPr>
        <w:t>for</w:t>
      </w:r>
      <w:r>
        <w:rPr>
          <w:color w:val="231F20"/>
          <w:spacing w:val="-12"/>
        </w:rPr>
        <w:t> </w:t>
      </w:r>
      <w:r>
        <w:rPr>
          <w:color w:val="231F20"/>
          <w:spacing w:val="-4"/>
        </w:rPr>
        <w:t>the</w:t>
      </w:r>
      <w:r>
        <w:rPr>
          <w:color w:val="231F20"/>
          <w:spacing w:val="-13"/>
        </w:rPr>
        <w:t> </w:t>
      </w:r>
      <w:r>
        <w:rPr>
          <w:color w:val="231F20"/>
          <w:spacing w:val="-4"/>
        </w:rPr>
        <w:t>national </w:t>
      </w:r>
      <w:r>
        <w:rPr>
          <w:color w:val="231F20"/>
        </w:rPr>
        <w:t>mother-and-child care program and the </w:t>
      </w:r>
      <w:r>
        <w:rPr>
          <w:color w:val="231F20"/>
          <w:spacing w:val="-6"/>
        </w:rPr>
        <w:t>persecution of Cuba’s traditional partners in the</w:t>
      </w:r>
      <w:r>
        <w:rPr>
          <w:color w:val="231F20"/>
          <w:spacing w:val="-11"/>
        </w:rPr>
        <w:t> </w:t>
      </w:r>
      <w:r>
        <w:rPr>
          <w:color w:val="231F20"/>
          <w:spacing w:val="-6"/>
        </w:rPr>
        <w:t>supply</w:t>
      </w:r>
      <w:r>
        <w:rPr>
          <w:color w:val="231F20"/>
          <w:spacing w:val="-10"/>
        </w:rPr>
        <w:t> </w:t>
      </w:r>
      <w:r>
        <w:rPr>
          <w:color w:val="231F20"/>
          <w:spacing w:val="-6"/>
        </w:rPr>
        <w:t>of</w:t>
      </w:r>
      <w:r>
        <w:rPr>
          <w:color w:val="231F20"/>
          <w:spacing w:val="-11"/>
        </w:rPr>
        <w:t> </w:t>
      </w:r>
      <w:r>
        <w:rPr>
          <w:color w:val="231F20"/>
          <w:spacing w:val="-6"/>
        </w:rPr>
        <w:t>medicines,</w:t>
      </w:r>
      <w:r>
        <w:rPr>
          <w:color w:val="231F20"/>
          <w:spacing w:val="-10"/>
        </w:rPr>
        <w:t> </w:t>
      </w:r>
      <w:r>
        <w:rPr>
          <w:color w:val="231F20"/>
          <w:spacing w:val="-6"/>
        </w:rPr>
        <w:t>medical</w:t>
      </w:r>
      <w:r>
        <w:rPr>
          <w:color w:val="231F20"/>
          <w:spacing w:val="-11"/>
        </w:rPr>
        <w:t> </w:t>
      </w:r>
      <w:r>
        <w:rPr>
          <w:color w:val="231F20"/>
          <w:spacing w:val="-6"/>
        </w:rPr>
        <w:t>equipment </w:t>
      </w:r>
      <w:r>
        <w:rPr>
          <w:color w:val="231F20"/>
        </w:rPr>
        <w:t>and technologies, among other factors, directly undermined full realization of the right</w:t>
      </w:r>
      <w:r>
        <w:rPr>
          <w:color w:val="231F20"/>
          <w:spacing w:val="-7"/>
        </w:rPr>
        <w:t> </w:t>
      </w:r>
      <w:r>
        <w:rPr>
          <w:color w:val="231F20"/>
        </w:rPr>
        <w:t>to</w:t>
      </w:r>
      <w:r>
        <w:rPr>
          <w:color w:val="231F20"/>
          <w:spacing w:val="-7"/>
        </w:rPr>
        <w:t> </w:t>
      </w:r>
      <w:r>
        <w:rPr>
          <w:color w:val="231F20"/>
        </w:rPr>
        <w:t>health.</w:t>
      </w:r>
      <w:r>
        <w:rPr>
          <w:color w:val="231F20"/>
          <w:spacing w:val="-7"/>
        </w:rPr>
        <w:t> </w:t>
      </w:r>
      <w:r>
        <w:rPr>
          <w:color w:val="231F20"/>
        </w:rPr>
        <w:t>No</w:t>
      </w:r>
      <w:r>
        <w:rPr>
          <w:color w:val="231F20"/>
          <w:spacing w:val="-7"/>
        </w:rPr>
        <w:t> </w:t>
      </w:r>
      <w:r>
        <w:rPr>
          <w:color w:val="231F20"/>
        </w:rPr>
        <w:t>country</w:t>
      </w:r>
      <w:r>
        <w:rPr>
          <w:color w:val="231F20"/>
          <w:spacing w:val="-7"/>
        </w:rPr>
        <w:t> </w:t>
      </w:r>
      <w:r>
        <w:rPr>
          <w:color w:val="231F20"/>
        </w:rPr>
        <w:t>deserves</w:t>
      </w:r>
      <w:r>
        <w:rPr>
          <w:color w:val="231F20"/>
          <w:spacing w:val="-7"/>
        </w:rPr>
        <w:t> </w:t>
      </w:r>
      <w:r>
        <w:rPr>
          <w:color w:val="231F20"/>
        </w:rPr>
        <w:t>to</w:t>
      </w:r>
      <w:r>
        <w:rPr>
          <w:color w:val="231F20"/>
          <w:spacing w:val="-7"/>
        </w:rPr>
        <w:t> </w:t>
      </w:r>
      <w:r>
        <w:rPr>
          <w:color w:val="231F20"/>
        </w:rPr>
        <w:t>be subjected</w:t>
      </w:r>
      <w:r>
        <w:rPr>
          <w:color w:val="231F20"/>
          <w:spacing w:val="-11"/>
        </w:rPr>
        <w:t> </w:t>
      </w:r>
      <w:r>
        <w:rPr>
          <w:color w:val="231F20"/>
        </w:rPr>
        <w:t>to</w:t>
      </w:r>
      <w:r>
        <w:rPr>
          <w:color w:val="231F20"/>
          <w:spacing w:val="-11"/>
        </w:rPr>
        <w:t> </w:t>
      </w:r>
      <w:r>
        <w:rPr>
          <w:color w:val="231F20"/>
        </w:rPr>
        <w:t>such</w:t>
      </w:r>
      <w:r>
        <w:rPr>
          <w:color w:val="231F20"/>
          <w:spacing w:val="-11"/>
        </w:rPr>
        <w:t> </w:t>
      </w:r>
      <w:r>
        <w:rPr>
          <w:color w:val="231F20"/>
        </w:rPr>
        <w:t>harassment</w:t>
      </w:r>
      <w:r>
        <w:rPr>
          <w:color w:val="231F20"/>
          <w:spacing w:val="-11"/>
        </w:rPr>
        <w:t> </w:t>
      </w:r>
      <w:r>
        <w:rPr>
          <w:color w:val="231F20"/>
        </w:rPr>
        <w:t>and</w:t>
      </w:r>
      <w:r>
        <w:rPr>
          <w:color w:val="231F20"/>
          <w:spacing w:val="-11"/>
        </w:rPr>
        <w:t> </w:t>
      </w:r>
      <w:r>
        <w:rPr>
          <w:color w:val="231F20"/>
        </w:rPr>
        <w:t>cruelty.</w:t>
      </w:r>
    </w:p>
    <w:p>
      <w:pPr>
        <w:pStyle w:val="BodyText"/>
        <w:spacing w:before="170"/>
        <w:ind w:left="1133"/>
      </w:pPr>
      <w:r>
        <w:rPr>
          <w:color w:val="231F20"/>
        </w:rPr>
        <w:t>These circumstances have led to the emergence of solidarity projects within Cuban</w:t>
      </w:r>
      <w:r>
        <w:rPr>
          <w:color w:val="231F20"/>
          <w:spacing w:val="-15"/>
        </w:rPr>
        <w:t> </w:t>
      </w:r>
      <w:r>
        <w:rPr>
          <w:color w:val="231F20"/>
        </w:rPr>
        <w:t>communities,</w:t>
      </w:r>
      <w:r>
        <w:rPr>
          <w:color w:val="231F20"/>
          <w:spacing w:val="-15"/>
        </w:rPr>
        <w:t> </w:t>
      </w:r>
      <w:r>
        <w:rPr>
          <w:color w:val="231F20"/>
        </w:rPr>
        <w:t>aimed</w:t>
      </w:r>
      <w:r>
        <w:rPr>
          <w:color w:val="231F20"/>
          <w:spacing w:val="-15"/>
        </w:rPr>
        <w:t> </w:t>
      </w:r>
      <w:r>
        <w:rPr>
          <w:color w:val="231F20"/>
        </w:rPr>
        <w:t>at</w:t>
      </w:r>
      <w:r>
        <w:rPr>
          <w:color w:val="231F20"/>
          <w:spacing w:val="-15"/>
        </w:rPr>
        <w:t> </w:t>
      </w:r>
      <w:r>
        <w:rPr>
          <w:color w:val="231F20"/>
        </w:rPr>
        <w:t>backing</w:t>
      </w:r>
      <w:r>
        <w:rPr>
          <w:color w:val="231F20"/>
          <w:spacing w:val="-15"/>
        </w:rPr>
        <w:t> </w:t>
      </w:r>
      <w:r>
        <w:rPr>
          <w:color w:val="231F20"/>
        </w:rPr>
        <w:t>the government in its efforts to mitigate the present difficult situation.</w:t>
      </w:r>
    </w:p>
    <w:p>
      <w:pPr>
        <w:pStyle w:val="BodyText"/>
        <w:spacing w:before="164"/>
        <w:ind w:left="1133"/>
      </w:pPr>
      <w:r>
        <w:rPr>
          <w:color w:val="231F20"/>
        </w:rPr>
        <w:t>An example is the </w:t>
      </w:r>
      <w:r>
        <w:rPr>
          <w:b/>
          <w:color w:val="231F20"/>
        </w:rPr>
        <w:t>De Corazón </w:t>
      </w:r>
      <w:r>
        <w:rPr>
          <w:color w:val="231F20"/>
        </w:rPr>
        <w:t>(“gladly/ willingly”)</w:t>
      </w:r>
      <w:r>
        <w:rPr>
          <w:color w:val="231F20"/>
          <w:spacing w:val="16"/>
        </w:rPr>
        <w:t> </w:t>
      </w:r>
      <w:r>
        <w:rPr>
          <w:color w:val="231F20"/>
        </w:rPr>
        <w:t>network,</w:t>
      </w:r>
      <w:r>
        <w:rPr>
          <w:color w:val="231F20"/>
          <w:spacing w:val="16"/>
        </w:rPr>
        <w:t> </w:t>
      </w:r>
      <w:r>
        <w:rPr>
          <w:color w:val="231F20"/>
        </w:rPr>
        <w:t>an</w:t>
      </w:r>
      <w:r>
        <w:rPr>
          <w:color w:val="231F20"/>
          <w:spacing w:val="16"/>
        </w:rPr>
        <w:t> </w:t>
      </w:r>
      <w:r>
        <w:rPr>
          <w:color w:val="231F20"/>
        </w:rPr>
        <w:t>initiative</w:t>
      </w:r>
      <w:r>
        <w:rPr>
          <w:color w:val="231F20"/>
          <w:spacing w:val="16"/>
        </w:rPr>
        <w:t> </w:t>
      </w:r>
      <w:r>
        <w:rPr>
          <w:color w:val="231F20"/>
        </w:rPr>
        <w:t>by</w:t>
      </w:r>
      <w:r>
        <w:rPr>
          <w:color w:val="231F20"/>
          <w:spacing w:val="16"/>
        </w:rPr>
        <w:t> </w:t>
      </w:r>
      <w:r>
        <w:rPr>
          <w:color w:val="231F20"/>
          <w:spacing w:val="-2"/>
        </w:rPr>
        <w:t>young</w:t>
      </w:r>
    </w:p>
    <w:p>
      <w:pPr>
        <w:pStyle w:val="BodyText"/>
        <w:spacing w:before="77"/>
        <w:ind w:left="412" w:right="1471"/>
      </w:pPr>
      <w:r>
        <w:rPr/>
        <w:br w:type="column"/>
      </w:r>
      <w:r>
        <w:rPr>
          <w:color w:val="231F20"/>
        </w:rPr>
        <w:t>people</w:t>
      </w:r>
      <w:r>
        <w:rPr>
          <w:color w:val="231F20"/>
          <w:spacing w:val="40"/>
        </w:rPr>
        <w:t> </w:t>
      </w:r>
      <w:r>
        <w:rPr>
          <w:color w:val="231F20"/>
        </w:rPr>
        <w:t>who</w:t>
      </w:r>
      <w:r>
        <w:rPr>
          <w:color w:val="231F20"/>
          <w:spacing w:val="40"/>
        </w:rPr>
        <w:t> </w:t>
      </w:r>
      <w:r>
        <w:rPr>
          <w:color w:val="231F20"/>
        </w:rPr>
        <w:t>decided</w:t>
      </w:r>
      <w:r>
        <w:rPr>
          <w:color w:val="231F20"/>
          <w:spacing w:val="40"/>
        </w:rPr>
        <w:t> </w:t>
      </w:r>
      <w:r>
        <w:rPr>
          <w:color w:val="231F20"/>
        </w:rPr>
        <w:t>to</w:t>
      </w:r>
      <w:r>
        <w:rPr>
          <w:color w:val="231F20"/>
          <w:spacing w:val="40"/>
        </w:rPr>
        <w:t> </w:t>
      </w:r>
      <w:r>
        <w:rPr>
          <w:color w:val="231F20"/>
        </w:rPr>
        <w:t>set</w:t>
      </w:r>
      <w:r>
        <w:rPr>
          <w:color w:val="231F20"/>
          <w:spacing w:val="40"/>
        </w:rPr>
        <w:t> </w:t>
      </w:r>
      <w:r>
        <w:rPr>
          <w:color w:val="231F20"/>
        </w:rPr>
        <w:t>up</w:t>
      </w:r>
      <w:r>
        <w:rPr>
          <w:color w:val="231F20"/>
          <w:spacing w:val="40"/>
        </w:rPr>
        <w:t> </w:t>
      </w:r>
      <w:r>
        <w:rPr>
          <w:color w:val="231F20"/>
        </w:rPr>
        <w:t>a</w:t>
      </w:r>
      <w:r>
        <w:rPr>
          <w:color w:val="231F20"/>
          <w:spacing w:val="40"/>
        </w:rPr>
        <w:t> </w:t>
      </w:r>
      <w:r>
        <w:rPr>
          <w:color w:val="231F20"/>
        </w:rPr>
        <w:t>base for collecting medicines and donating these</w:t>
      </w:r>
      <w:r>
        <w:rPr>
          <w:color w:val="231F20"/>
          <w:spacing w:val="-2"/>
        </w:rPr>
        <w:t> </w:t>
      </w:r>
      <w:r>
        <w:rPr>
          <w:color w:val="231F20"/>
        </w:rPr>
        <w:t>to</w:t>
      </w:r>
      <w:r>
        <w:rPr>
          <w:color w:val="231F20"/>
          <w:spacing w:val="-2"/>
        </w:rPr>
        <w:t> </w:t>
      </w:r>
      <w:r>
        <w:rPr>
          <w:color w:val="231F20"/>
        </w:rPr>
        <w:t>the</w:t>
      </w:r>
      <w:r>
        <w:rPr>
          <w:color w:val="231F20"/>
          <w:spacing w:val="-2"/>
        </w:rPr>
        <w:t> </w:t>
      </w:r>
      <w:r>
        <w:rPr>
          <w:color w:val="231F20"/>
        </w:rPr>
        <w:t>most</w:t>
      </w:r>
      <w:r>
        <w:rPr>
          <w:color w:val="231F20"/>
          <w:spacing w:val="-2"/>
        </w:rPr>
        <w:t> </w:t>
      </w:r>
      <w:r>
        <w:rPr>
          <w:color w:val="231F20"/>
        </w:rPr>
        <w:t>vulnerable.</w:t>
      </w:r>
      <w:r>
        <w:rPr>
          <w:color w:val="231F20"/>
          <w:spacing w:val="-2"/>
        </w:rPr>
        <w:t> </w:t>
      </w:r>
      <w:r>
        <w:rPr>
          <w:color w:val="231F20"/>
        </w:rPr>
        <w:t>Various</w:t>
      </w:r>
      <w:r>
        <w:rPr>
          <w:color w:val="231F20"/>
          <w:spacing w:val="-2"/>
        </w:rPr>
        <w:t> </w:t>
      </w:r>
      <w:r>
        <w:rPr>
          <w:color w:val="231F20"/>
        </w:rPr>
        <w:t>U.S. organizations and solidarity movements have donated to the network, including Puentes de Amor, the Sindicato de Inquilinos de los Angeles (SILA), Put People</w:t>
      </w:r>
      <w:r>
        <w:rPr>
          <w:color w:val="231F20"/>
          <w:spacing w:val="-4"/>
        </w:rPr>
        <w:t> </w:t>
      </w:r>
      <w:r>
        <w:rPr>
          <w:color w:val="231F20"/>
        </w:rPr>
        <w:t>First!-PA</w:t>
      </w:r>
      <w:r>
        <w:rPr>
          <w:color w:val="231F20"/>
          <w:spacing w:val="-4"/>
        </w:rPr>
        <w:t> </w:t>
      </w:r>
      <w:r>
        <w:rPr>
          <w:color w:val="231F20"/>
        </w:rPr>
        <w:t>and</w:t>
      </w:r>
      <w:r>
        <w:rPr>
          <w:color w:val="231F20"/>
          <w:spacing w:val="-4"/>
        </w:rPr>
        <w:t> </w:t>
      </w:r>
      <w:r>
        <w:rPr>
          <w:color w:val="231F20"/>
        </w:rPr>
        <w:t>U.S.</w:t>
      </w:r>
      <w:r>
        <w:rPr>
          <w:color w:val="231F20"/>
          <w:spacing w:val="-4"/>
        </w:rPr>
        <w:t> </w:t>
      </w:r>
      <w:r>
        <w:rPr>
          <w:color w:val="231F20"/>
        </w:rPr>
        <w:t>Hands</w:t>
      </w:r>
      <w:r>
        <w:rPr>
          <w:color w:val="231F20"/>
          <w:spacing w:val="-4"/>
        </w:rPr>
        <w:t> </w:t>
      </w:r>
      <w:r>
        <w:rPr>
          <w:color w:val="231F20"/>
        </w:rPr>
        <w:t>Off</w:t>
      </w:r>
      <w:r>
        <w:rPr>
          <w:color w:val="231F20"/>
          <w:spacing w:val="-4"/>
        </w:rPr>
        <w:t> </w:t>
      </w:r>
      <w:r>
        <w:rPr>
          <w:color w:val="231F20"/>
        </w:rPr>
        <w:t>Cuba, despite the multiple obstacles they have faced in getting the supplies to Cuba.</w:t>
      </w:r>
    </w:p>
    <w:p>
      <w:pPr>
        <w:pStyle w:val="BodyText"/>
        <w:spacing w:before="168"/>
        <w:ind w:left="412" w:right="1470"/>
      </w:pPr>
      <w:r>
        <w:rPr>
          <w:color w:val="231F20"/>
          <w:spacing w:val="-2"/>
        </w:rPr>
        <w:t>Against</w:t>
      </w:r>
      <w:r>
        <w:rPr>
          <w:color w:val="231F20"/>
          <w:spacing w:val="-13"/>
        </w:rPr>
        <w:t> </w:t>
      </w:r>
      <w:r>
        <w:rPr>
          <w:color w:val="231F20"/>
          <w:spacing w:val="-2"/>
        </w:rPr>
        <w:t>the</w:t>
      </w:r>
      <w:r>
        <w:rPr>
          <w:color w:val="231F20"/>
          <w:spacing w:val="-13"/>
        </w:rPr>
        <w:t> </w:t>
      </w:r>
      <w:r>
        <w:rPr>
          <w:color w:val="231F20"/>
          <w:spacing w:val="-2"/>
        </w:rPr>
        <w:t>will</w:t>
      </w:r>
      <w:r>
        <w:rPr>
          <w:color w:val="231F20"/>
          <w:spacing w:val="-13"/>
        </w:rPr>
        <w:t> </w:t>
      </w:r>
      <w:r>
        <w:rPr>
          <w:color w:val="231F20"/>
          <w:spacing w:val="-2"/>
        </w:rPr>
        <w:t>of</w:t>
      </w:r>
      <w:r>
        <w:rPr>
          <w:color w:val="231F20"/>
          <w:spacing w:val="-13"/>
        </w:rPr>
        <w:t> </w:t>
      </w:r>
      <w:r>
        <w:rPr>
          <w:color w:val="231F20"/>
          <w:spacing w:val="-2"/>
        </w:rPr>
        <w:t>its</w:t>
      </w:r>
      <w:r>
        <w:rPr>
          <w:color w:val="231F20"/>
          <w:spacing w:val="-13"/>
        </w:rPr>
        <w:t> </w:t>
      </w:r>
      <w:r>
        <w:rPr>
          <w:color w:val="231F20"/>
          <w:spacing w:val="-2"/>
        </w:rPr>
        <w:t>people</w:t>
      </w:r>
      <w:r>
        <w:rPr>
          <w:color w:val="231F20"/>
          <w:spacing w:val="-13"/>
        </w:rPr>
        <w:t> </w:t>
      </w:r>
      <w:r>
        <w:rPr>
          <w:color w:val="231F20"/>
          <w:spacing w:val="-2"/>
        </w:rPr>
        <w:t>and</w:t>
      </w:r>
      <w:r>
        <w:rPr>
          <w:color w:val="231F20"/>
          <w:spacing w:val="-13"/>
        </w:rPr>
        <w:t> </w:t>
      </w:r>
      <w:r>
        <w:rPr>
          <w:color w:val="231F20"/>
          <w:spacing w:val="-2"/>
        </w:rPr>
        <w:t>of</w:t>
      </w:r>
      <w:r>
        <w:rPr>
          <w:color w:val="231F20"/>
          <w:spacing w:val="-13"/>
        </w:rPr>
        <w:t> </w:t>
      </w:r>
      <w:r>
        <w:rPr>
          <w:color w:val="231F20"/>
          <w:spacing w:val="-2"/>
        </w:rPr>
        <w:t>its</w:t>
      </w:r>
      <w:r>
        <w:rPr>
          <w:color w:val="231F20"/>
          <w:spacing w:val="-13"/>
        </w:rPr>
        <w:t> </w:t>
      </w:r>
      <w:r>
        <w:rPr>
          <w:color w:val="231F20"/>
          <w:spacing w:val="-2"/>
        </w:rPr>
        <w:t>own </w:t>
      </w:r>
      <w:r>
        <w:rPr>
          <w:color w:val="231F20"/>
        </w:rPr>
        <w:t>scientific</w:t>
      </w:r>
      <w:r>
        <w:rPr>
          <w:color w:val="231F20"/>
          <w:spacing w:val="-16"/>
        </w:rPr>
        <w:t> </w:t>
      </w:r>
      <w:r>
        <w:rPr>
          <w:color w:val="231F20"/>
        </w:rPr>
        <w:t>community,</w:t>
      </w:r>
      <w:r>
        <w:rPr>
          <w:color w:val="231F20"/>
          <w:spacing w:val="-16"/>
        </w:rPr>
        <w:t> </w:t>
      </w:r>
      <w:r>
        <w:rPr>
          <w:color w:val="231F20"/>
        </w:rPr>
        <w:t>the</w:t>
      </w:r>
      <w:r>
        <w:rPr>
          <w:color w:val="231F20"/>
          <w:spacing w:val="-16"/>
        </w:rPr>
        <w:t> </w:t>
      </w:r>
      <w:r>
        <w:rPr>
          <w:color w:val="231F20"/>
        </w:rPr>
        <w:t>U.S.</w:t>
      </w:r>
      <w:r>
        <w:rPr>
          <w:color w:val="231F20"/>
          <w:spacing w:val="-16"/>
        </w:rPr>
        <w:t> </w:t>
      </w:r>
      <w:r>
        <w:rPr>
          <w:color w:val="231F20"/>
        </w:rPr>
        <w:t>government continues to maintain barriers to a wider and more effective bilateral cooperation on public health.</w:t>
      </w:r>
    </w:p>
    <w:p>
      <w:pPr>
        <w:spacing w:before="163"/>
        <w:ind w:left="412" w:right="1471" w:firstLine="0"/>
        <w:jc w:val="both"/>
        <w:rPr>
          <w:rFonts w:ascii="Segoe UI Semibold" w:hAnsi="Segoe UI Semibold"/>
          <w:b/>
          <w:i/>
          <w:sz w:val="24"/>
        </w:rPr>
      </w:pPr>
      <w:r>
        <w:rPr>
          <w:color w:val="231F20"/>
          <w:sz w:val="24"/>
        </w:rPr>
        <w:t>On this subject, Grettel Gómez González, a young Cuban university student </w:t>
      </w:r>
      <w:r>
        <w:rPr>
          <w:color w:val="231F20"/>
          <w:sz w:val="24"/>
        </w:rPr>
        <w:t>and founder of the De Corazón network, </w:t>
      </w:r>
      <w:r>
        <w:rPr>
          <w:color w:val="231F20"/>
          <w:spacing w:val="-4"/>
          <w:sz w:val="24"/>
        </w:rPr>
        <w:t>commented:</w:t>
      </w:r>
      <w:r>
        <w:rPr>
          <w:color w:val="231F20"/>
          <w:spacing w:val="-6"/>
          <w:sz w:val="24"/>
        </w:rPr>
        <w:t> </w:t>
      </w:r>
      <w:r>
        <w:rPr>
          <w:rFonts w:ascii="Segoe UI Semibold" w:hAnsi="Segoe UI Semibold"/>
          <w:b/>
          <w:i/>
          <w:color w:val="231F20"/>
          <w:spacing w:val="-4"/>
          <w:sz w:val="24"/>
        </w:rPr>
        <w:t>“If</w:t>
      </w:r>
      <w:r>
        <w:rPr>
          <w:rFonts w:ascii="Segoe UI Semibold" w:hAnsi="Segoe UI Semibold"/>
          <w:b/>
          <w:i/>
          <w:color w:val="231F20"/>
          <w:spacing w:val="-11"/>
          <w:sz w:val="24"/>
        </w:rPr>
        <w:t> </w:t>
      </w:r>
      <w:r>
        <w:rPr>
          <w:rFonts w:ascii="Segoe UI Semibold" w:hAnsi="Segoe UI Semibold"/>
          <w:b/>
          <w:i/>
          <w:color w:val="231F20"/>
          <w:spacing w:val="-4"/>
          <w:sz w:val="24"/>
        </w:rPr>
        <w:t>an</w:t>
      </w:r>
      <w:r>
        <w:rPr>
          <w:rFonts w:ascii="Segoe UI Semibold" w:hAnsi="Segoe UI Semibold"/>
          <w:b/>
          <w:i/>
          <w:color w:val="231F20"/>
          <w:spacing w:val="-11"/>
          <w:sz w:val="24"/>
        </w:rPr>
        <w:t> </w:t>
      </w:r>
      <w:r>
        <w:rPr>
          <w:rFonts w:ascii="Segoe UI Semibold" w:hAnsi="Segoe UI Semibold"/>
          <w:b/>
          <w:i/>
          <w:color w:val="231F20"/>
          <w:spacing w:val="-4"/>
          <w:sz w:val="24"/>
        </w:rPr>
        <w:t>initiative</w:t>
      </w:r>
      <w:r>
        <w:rPr>
          <w:rFonts w:ascii="Segoe UI Semibold" w:hAnsi="Segoe UI Semibold"/>
          <w:b/>
          <w:i/>
          <w:color w:val="231F20"/>
          <w:spacing w:val="-11"/>
          <w:sz w:val="24"/>
        </w:rPr>
        <w:t> </w:t>
      </w:r>
      <w:r>
        <w:rPr>
          <w:rFonts w:ascii="Segoe UI Semibold" w:hAnsi="Segoe UI Semibold"/>
          <w:b/>
          <w:i/>
          <w:color w:val="231F20"/>
          <w:spacing w:val="-4"/>
          <w:sz w:val="24"/>
        </w:rPr>
        <w:t>by</w:t>
      </w:r>
      <w:r>
        <w:rPr>
          <w:rFonts w:ascii="Segoe UI Semibold" w:hAnsi="Segoe UI Semibold"/>
          <w:b/>
          <w:i/>
          <w:color w:val="231F20"/>
          <w:spacing w:val="-11"/>
          <w:sz w:val="24"/>
        </w:rPr>
        <w:t> </w:t>
      </w:r>
      <w:r>
        <w:rPr>
          <w:rFonts w:ascii="Segoe UI Semibold" w:hAnsi="Segoe UI Semibold"/>
          <w:b/>
          <w:i/>
          <w:color w:val="231F20"/>
          <w:spacing w:val="-4"/>
          <w:sz w:val="24"/>
        </w:rPr>
        <w:t>individuals</w:t>
      </w:r>
      <w:r>
        <w:rPr>
          <w:rFonts w:ascii="Segoe UI Semibold" w:hAnsi="Segoe UI Semibold"/>
          <w:b/>
          <w:i/>
          <w:color w:val="231F20"/>
          <w:spacing w:val="-4"/>
          <w:sz w:val="24"/>
        </w:rPr>
        <w:t> </w:t>
      </w:r>
      <w:r>
        <w:rPr>
          <w:rFonts w:ascii="Segoe UI Semibold" w:hAnsi="Segoe UI Semibold"/>
          <w:b/>
          <w:i/>
          <w:color w:val="231F20"/>
          <w:sz w:val="24"/>
        </w:rPr>
        <w:t>and</w:t>
      </w:r>
      <w:r>
        <w:rPr>
          <w:rFonts w:ascii="Segoe UI Semibold" w:hAnsi="Segoe UI Semibold"/>
          <w:b/>
          <w:i/>
          <w:color w:val="231F20"/>
          <w:spacing w:val="-4"/>
          <w:sz w:val="24"/>
        </w:rPr>
        <w:t> </w:t>
      </w:r>
      <w:r>
        <w:rPr>
          <w:rFonts w:ascii="Segoe UI Semibold" w:hAnsi="Segoe UI Semibold"/>
          <w:b/>
          <w:i/>
          <w:color w:val="231F20"/>
          <w:sz w:val="24"/>
        </w:rPr>
        <w:t>small</w:t>
      </w:r>
      <w:r>
        <w:rPr>
          <w:rFonts w:ascii="Segoe UI Semibold" w:hAnsi="Segoe UI Semibold"/>
          <w:b/>
          <w:i/>
          <w:color w:val="231F20"/>
          <w:spacing w:val="-3"/>
          <w:sz w:val="24"/>
        </w:rPr>
        <w:t> </w:t>
      </w:r>
      <w:r>
        <w:rPr>
          <w:rFonts w:ascii="Segoe UI Semibold" w:hAnsi="Segoe UI Semibold"/>
          <w:b/>
          <w:i/>
          <w:color w:val="231F20"/>
          <w:sz w:val="24"/>
        </w:rPr>
        <w:t>groups</w:t>
      </w:r>
      <w:r>
        <w:rPr>
          <w:rFonts w:ascii="Segoe UI Semibold" w:hAnsi="Segoe UI Semibold"/>
          <w:b/>
          <w:i/>
          <w:color w:val="231F20"/>
          <w:spacing w:val="-3"/>
          <w:sz w:val="24"/>
        </w:rPr>
        <w:t> </w:t>
      </w:r>
      <w:r>
        <w:rPr>
          <w:rFonts w:ascii="Segoe UI Semibold" w:hAnsi="Segoe UI Semibold"/>
          <w:b/>
          <w:i/>
          <w:color w:val="231F20"/>
          <w:sz w:val="24"/>
        </w:rPr>
        <w:t>can</w:t>
      </w:r>
      <w:r>
        <w:rPr>
          <w:rFonts w:ascii="Segoe UI Semibold" w:hAnsi="Segoe UI Semibold"/>
          <w:b/>
          <w:i/>
          <w:color w:val="231F20"/>
          <w:spacing w:val="-3"/>
          <w:sz w:val="24"/>
        </w:rPr>
        <w:t> </w:t>
      </w:r>
      <w:r>
        <w:rPr>
          <w:rFonts w:ascii="Segoe UI Semibold" w:hAnsi="Segoe UI Semibold"/>
          <w:b/>
          <w:i/>
          <w:color w:val="231F20"/>
          <w:sz w:val="24"/>
        </w:rPr>
        <w:t>motivate</w:t>
      </w:r>
      <w:r>
        <w:rPr>
          <w:rFonts w:ascii="Segoe UI Semibold" w:hAnsi="Segoe UI Semibold"/>
          <w:b/>
          <w:i/>
          <w:color w:val="231F20"/>
          <w:spacing w:val="-4"/>
          <w:sz w:val="24"/>
        </w:rPr>
        <w:t> </w:t>
      </w:r>
      <w:r>
        <w:rPr>
          <w:rFonts w:ascii="Segoe UI Semibold" w:hAnsi="Segoe UI Semibold"/>
          <w:b/>
          <w:i/>
          <w:color w:val="231F20"/>
          <w:sz w:val="24"/>
        </w:rPr>
        <w:t>people</w:t>
      </w:r>
      <w:r>
        <w:rPr>
          <w:rFonts w:ascii="Segoe UI Semibold" w:hAnsi="Segoe UI Semibold"/>
          <w:b/>
          <w:i/>
          <w:color w:val="231F20"/>
          <w:spacing w:val="-4"/>
          <w:sz w:val="24"/>
        </w:rPr>
        <w:t> </w:t>
      </w:r>
      <w:r>
        <w:rPr>
          <w:rFonts w:ascii="Segoe UI Semibold" w:hAnsi="Segoe UI Semibold"/>
          <w:b/>
          <w:i/>
          <w:color w:val="231F20"/>
          <w:sz w:val="24"/>
        </w:rPr>
        <w:t>to send medicines to Cuba, how beneficial </w:t>
      </w:r>
      <w:r>
        <w:rPr>
          <w:rFonts w:ascii="Segoe UI Semibold" w:hAnsi="Segoe UI Semibold"/>
          <w:b/>
          <w:i/>
          <w:color w:val="231F20"/>
          <w:spacing w:val="-4"/>
          <w:sz w:val="24"/>
        </w:rPr>
        <w:t>would</w:t>
      </w:r>
      <w:r>
        <w:rPr>
          <w:rFonts w:ascii="Segoe UI Semibold" w:hAnsi="Segoe UI Semibold"/>
          <w:b/>
          <w:i/>
          <w:color w:val="231F20"/>
          <w:spacing w:val="-6"/>
          <w:sz w:val="24"/>
        </w:rPr>
        <w:t> </w:t>
      </w:r>
      <w:r>
        <w:rPr>
          <w:rFonts w:ascii="Segoe UI Semibold" w:hAnsi="Segoe UI Semibold"/>
          <w:b/>
          <w:i/>
          <w:color w:val="231F20"/>
          <w:spacing w:val="-4"/>
          <w:sz w:val="24"/>
        </w:rPr>
        <w:t>direct relations between Cuban</w:t>
      </w:r>
      <w:r>
        <w:rPr>
          <w:rFonts w:ascii="Segoe UI Semibold" w:hAnsi="Segoe UI Semibold"/>
          <w:b/>
          <w:i/>
          <w:color w:val="231F20"/>
          <w:spacing w:val="-3"/>
          <w:sz w:val="24"/>
        </w:rPr>
        <w:t> </w:t>
      </w:r>
      <w:r>
        <w:rPr>
          <w:rFonts w:ascii="Segoe UI Semibold" w:hAnsi="Segoe UI Semibold"/>
          <w:b/>
          <w:i/>
          <w:color w:val="231F20"/>
          <w:spacing w:val="-5"/>
          <w:sz w:val="24"/>
        </w:rPr>
        <w:t>and</w:t>
      </w:r>
    </w:p>
    <w:p>
      <w:pPr>
        <w:spacing w:before="1"/>
        <w:ind w:left="412" w:right="0" w:firstLine="0"/>
        <w:jc w:val="both"/>
        <w:rPr>
          <w:rFonts w:ascii="Segoe UI Semibold" w:hAnsi="Segoe UI Semibold"/>
          <w:b/>
          <w:i/>
          <w:sz w:val="24"/>
        </w:rPr>
      </w:pPr>
      <w:r>
        <w:rPr>
          <w:rFonts w:ascii="Segoe UI Semibold" w:hAnsi="Segoe UI Semibold"/>
          <w:b/>
          <w:i/>
          <w:color w:val="231F20"/>
          <w:spacing w:val="-2"/>
          <w:sz w:val="24"/>
        </w:rPr>
        <w:t>U.S.</w:t>
      </w:r>
      <w:r>
        <w:rPr>
          <w:rFonts w:ascii="Segoe UI Semibold" w:hAnsi="Segoe UI Semibold"/>
          <w:b/>
          <w:i/>
          <w:color w:val="231F20"/>
          <w:spacing w:val="-14"/>
          <w:sz w:val="24"/>
        </w:rPr>
        <w:t> </w:t>
      </w:r>
      <w:r>
        <w:rPr>
          <w:rFonts w:ascii="Segoe UI Semibold" w:hAnsi="Segoe UI Semibold"/>
          <w:b/>
          <w:i/>
          <w:color w:val="231F20"/>
          <w:spacing w:val="-2"/>
          <w:sz w:val="24"/>
        </w:rPr>
        <w:t>pharmaceutical</w:t>
      </w:r>
      <w:r>
        <w:rPr>
          <w:rFonts w:ascii="Segoe UI Semibold" w:hAnsi="Segoe UI Semibold"/>
          <w:b/>
          <w:i/>
          <w:color w:val="231F20"/>
          <w:spacing w:val="-13"/>
          <w:sz w:val="24"/>
        </w:rPr>
        <w:t> </w:t>
      </w:r>
      <w:r>
        <w:rPr>
          <w:rFonts w:ascii="Segoe UI Semibold" w:hAnsi="Segoe UI Semibold"/>
          <w:b/>
          <w:i/>
          <w:color w:val="231F20"/>
          <w:spacing w:val="-2"/>
          <w:sz w:val="24"/>
        </w:rPr>
        <w:t>laboratories</w:t>
      </w:r>
      <w:r>
        <w:rPr>
          <w:rFonts w:ascii="Segoe UI Semibold" w:hAnsi="Segoe UI Semibold"/>
          <w:b/>
          <w:i/>
          <w:color w:val="231F20"/>
          <w:spacing w:val="-13"/>
          <w:sz w:val="24"/>
        </w:rPr>
        <w:t> </w:t>
      </w:r>
      <w:r>
        <w:rPr>
          <w:rFonts w:ascii="Segoe UI Semibold" w:hAnsi="Segoe UI Semibold"/>
          <w:b/>
          <w:i/>
          <w:color w:val="231F20"/>
          <w:spacing w:val="-4"/>
          <w:sz w:val="24"/>
        </w:rPr>
        <w:t>be?”</w:t>
      </w:r>
    </w:p>
    <w:p>
      <w:pPr>
        <w:pStyle w:val="BodyText"/>
        <w:spacing w:before="160"/>
        <w:ind w:left="412" w:right="1475"/>
      </w:pPr>
      <w:r>
        <w:rPr>
          <w:color w:val="231F20"/>
        </w:rPr>
        <w:t>During the period, MediCuba made 69 requests to U.S. companies for access to resources and supplies needed by the national</w:t>
      </w:r>
      <w:r>
        <w:rPr>
          <w:color w:val="231F20"/>
          <w:spacing w:val="-4"/>
        </w:rPr>
        <w:t> </w:t>
      </w:r>
      <w:r>
        <w:rPr>
          <w:color w:val="231F20"/>
        </w:rPr>
        <w:t>health</w:t>
      </w:r>
      <w:r>
        <w:rPr>
          <w:color w:val="231F20"/>
          <w:spacing w:val="-4"/>
        </w:rPr>
        <w:t> </w:t>
      </w:r>
      <w:r>
        <w:rPr>
          <w:color w:val="231F20"/>
        </w:rPr>
        <w:t>system,</w:t>
      </w:r>
      <w:r>
        <w:rPr>
          <w:color w:val="231F20"/>
          <w:spacing w:val="-4"/>
        </w:rPr>
        <w:t> </w:t>
      </w:r>
      <w:r>
        <w:rPr>
          <w:color w:val="231F20"/>
        </w:rPr>
        <w:t>specifically</w:t>
      </w:r>
      <w:r>
        <w:rPr>
          <w:color w:val="231F20"/>
          <w:spacing w:val="-4"/>
        </w:rPr>
        <w:t> </w:t>
      </w:r>
      <w:r>
        <w:rPr>
          <w:color w:val="231F20"/>
        </w:rPr>
        <w:t>for</w:t>
      </w:r>
      <w:r>
        <w:rPr>
          <w:color w:val="231F20"/>
          <w:spacing w:val="-4"/>
        </w:rPr>
        <w:t> </w:t>
      </w:r>
      <w:r>
        <w:rPr>
          <w:color w:val="231F20"/>
        </w:rPr>
        <w:t>the Neurology &amp; Neurosurgery Institute and the Oncology &amp; Radiobiology Institute. </w:t>
      </w:r>
      <w:r>
        <w:rPr>
          <w:color w:val="231F20"/>
          <w:spacing w:val="-6"/>
        </w:rPr>
        <w:t>Three</w:t>
      </w:r>
      <w:r>
        <w:rPr>
          <w:color w:val="231F20"/>
          <w:spacing w:val="-11"/>
        </w:rPr>
        <w:t> </w:t>
      </w:r>
      <w:r>
        <w:rPr>
          <w:color w:val="231F20"/>
          <w:spacing w:val="-6"/>
        </w:rPr>
        <w:t>replied</w:t>
      </w:r>
      <w:r>
        <w:rPr>
          <w:color w:val="231F20"/>
          <w:spacing w:val="-10"/>
        </w:rPr>
        <w:t> </w:t>
      </w:r>
      <w:r>
        <w:rPr>
          <w:color w:val="231F20"/>
          <w:spacing w:val="-6"/>
        </w:rPr>
        <w:t>in</w:t>
      </w:r>
      <w:r>
        <w:rPr>
          <w:color w:val="231F20"/>
          <w:spacing w:val="-11"/>
        </w:rPr>
        <w:t> </w:t>
      </w:r>
      <w:r>
        <w:rPr>
          <w:color w:val="231F20"/>
          <w:spacing w:val="-6"/>
        </w:rPr>
        <w:t>the</w:t>
      </w:r>
      <w:r>
        <w:rPr>
          <w:color w:val="231F20"/>
          <w:spacing w:val="-10"/>
        </w:rPr>
        <w:t> </w:t>
      </w:r>
      <w:r>
        <w:rPr>
          <w:color w:val="231F20"/>
          <w:spacing w:val="-6"/>
        </w:rPr>
        <w:t>negative</w:t>
      </w:r>
      <w:r>
        <w:rPr>
          <w:color w:val="231F20"/>
          <w:spacing w:val="-11"/>
        </w:rPr>
        <w:t> </w:t>
      </w:r>
      <w:r>
        <w:rPr>
          <w:color w:val="231F20"/>
          <w:spacing w:val="-6"/>
        </w:rPr>
        <w:t>(Thermo</w:t>
      </w:r>
      <w:r>
        <w:rPr>
          <w:color w:val="231F20"/>
          <w:spacing w:val="-10"/>
        </w:rPr>
        <w:t> </w:t>
      </w:r>
      <w:r>
        <w:rPr>
          <w:color w:val="231F20"/>
          <w:spacing w:val="-6"/>
        </w:rPr>
        <w:t>Fisher </w:t>
      </w:r>
      <w:r>
        <w:rPr>
          <w:color w:val="231F20"/>
          <w:spacing w:val="-4"/>
        </w:rPr>
        <w:t>Scientific,</w:t>
      </w:r>
      <w:r>
        <w:rPr>
          <w:color w:val="231F20"/>
          <w:spacing w:val="-7"/>
        </w:rPr>
        <w:t> </w:t>
      </w:r>
      <w:r>
        <w:rPr>
          <w:color w:val="231F20"/>
          <w:spacing w:val="-4"/>
        </w:rPr>
        <w:t>New</w:t>
      </w:r>
      <w:r>
        <w:rPr>
          <w:color w:val="231F20"/>
          <w:spacing w:val="-7"/>
        </w:rPr>
        <w:t> </w:t>
      </w:r>
      <w:r>
        <w:rPr>
          <w:color w:val="231F20"/>
          <w:spacing w:val="-4"/>
        </w:rPr>
        <w:t>England</w:t>
      </w:r>
      <w:r>
        <w:rPr>
          <w:color w:val="231F20"/>
          <w:spacing w:val="-7"/>
        </w:rPr>
        <w:t> </w:t>
      </w:r>
      <w:r>
        <w:rPr>
          <w:color w:val="231F20"/>
          <w:spacing w:val="-4"/>
        </w:rPr>
        <w:t>Biolabs</w:t>
      </w:r>
      <w:r>
        <w:rPr>
          <w:color w:val="231F20"/>
          <w:spacing w:val="-7"/>
        </w:rPr>
        <w:t> </w:t>
      </w:r>
      <w:r>
        <w:rPr>
          <w:color w:val="231F20"/>
          <w:spacing w:val="-4"/>
        </w:rPr>
        <w:t>and</w:t>
      </w:r>
      <w:r>
        <w:rPr>
          <w:color w:val="231F20"/>
          <w:spacing w:val="-7"/>
        </w:rPr>
        <w:t> </w:t>
      </w:r>
      <w:r>
        <w:rPr>
          <w:color w:val="231F20"/>
          <w:spacing w:val="-4"/>
        </w:rPr>
        <w:t>Agilent </w:t>
      </w:r>
      <w:r>
        <w:rPr>
          <w:color w:val="231F20"/>
        </w:rPr>
        <w:t>Technologies);</w:t>
      </w:r>
      <w:r>
        <w:rPr>
          <w:color w:val="231F20"/>
          <w:spacing w:val="-17"/>
        </w:rPr>
        <w:t> </w:t>
      </w:r>
      <w:r>
        <w:rPr>
          <w:color w:val="231F20"/>
        </w:rPr>
        <w:t>of</w:t>
      </w:r>
      <w:r>
        <w:rPr>
          <w:color w:val="231F20"/>
          <w:spacing w:val="-16"/>
        </w:rPr>
        <w:t> </w:t>
      </w:r>
      <w:r>
        <w:rPr>
          <w:color w:val="231F20"/>
        </w:rPr>
        <w:t>the</w:t>
      </w:r>
      <w:r>
        <w:rPr>
          <w:color w:val="231F20"/>
          <w:spacing w:val="-17"/>
        </w:rPr>
        <w:t> </w:t>
      </w:r>
      <w:r>
        <w:rPr>
          <w:color w:val="231F20"/>
        </w:rPr>
        <w:t>rest,</w:t>
      </w:r>
      <w:r>
        <w:rPr>
          <w:color w:val="231F20"/>
          <w:spacing w:val="-16"/>
        </w:rPr>
        <w:t> </w:t>
      </w:r>
      <w:r>
        <w:rPr>
          <w:color w:val="231F20"/>
        </w:rPr>
        <w:t>64</w:t>
      </w:r>
      <w:r>
        <w:rPr>
          <w:color w:val="231F20"/>
          <w:spacing w:val="-17"/>
        </w:rPr>
        <w:t> </w:t>
      </w:r>
      <w:r>
        <w:rPr>
          <w:color w:val="231F20"/>
        </w:rPr>
        <w:t>did</w:t>
      </w:r>
      <w:r>
        <w:rPr>
          <w:color w:val="231F20"/>
          <w:spacing w:val="-16"/>
        </w:rPr>
        <w:t> </w:t>
      </w:r>
      <w:r>
        <w:rPr>
          <w:color w:val="231F20"/>
        </w:rPr>
        <w:t>not</w:t>
      </w:r>
      <w:r>
        <w:rPr>
          <w:color w:val="231F20"/>
          <w:spacing w:val="-17"/>
        </w:rPr>
        <w:t> </w:t>
      </w:r>
      <w:r>
        <w:rPr>
          <w:color w:val="231F20"/>
        </w:rPr>
        <w:t>reply.</w:t>
      </w:r>
    </w:p>
    <w:p>
      <w:pPr>
        <w:pStyle w:val="Heading3"/>
        <w:spacing w:line="220" w:lineRule="auto" w:before="167"/>
        <w:ind w:left="412" w:right="1473"/>
        <w:jc w:val="both"/>
        <w:rPr>
          <w:b/>
        </w:rPr>
      </w:pPr>
      <w:r>
        <w:rPr>
          <w:b/>
          <w:i/>
          <w:color w:val="1A4796"/>
        </w:rPr>
        <w:t>In</w:t>
      </w:r>
      <w:r>
        <w:rPr>
          <w:b/>
          <w:i/>
          <w:color w:val="1A4796"/>
          <w:spacing w:val="-8"/>
        </w:rPr>
        <w:t> </w:t>
      </w:r>
      <w:r>
        <w:rPr>
          <w:b/>
          <w:i/>
          <w:color w:val="1A4796"/>
        </w:rPr>
        <w:t>Cuba,</w:t>
      </w:r>
      <w:r>
        <w:rPr>
          <w:b/>
          <w:i/>
          <w:color w:val="1A4796"/>
          <w:spacing w:val="-8"/>
        </w:rPr>
        <w:t> </w:t>
      </w:r>
      <w:r>
        <w:rPr>
          <w:b/>
          <w:i/>
          <w:color w:val="1A4796"/>
        </w:rPr>
        <w:t>there</w:t>
      </w:r>
      <w:r>
        <w:rPr>
          <w:b/>
          <w:i/>
          <w:color w:val="1A4796"/>
          <w:spacing w:val="-8"/>
        </w:rPr>
        <w:t> </w:t>
      </w:r>
      <w:r>
        <w:rPr>
          <w:b/>
          <w:i/>
          <w:color w:val="1A4796"/>
        </w:rPr>
        <w:t>are</w:t>
      </w:r>
      <w:r>
        <w:rPr>
          <w:b/>
          <w:i/>
          <w:color w:val="1A4796"/>
          <w:spacing w:val="-8"/>
        </w:rPr>
        <w:t> </w:t>
      </w:r>
      <w:r>
        <w:rPr>
          <w:b/>
          <w:i/>
          <w:color w:val="1A4796"/>
        </w:rPr>
        <w:t>some</w:t>
      </w:r>
      <w:r>
        <w:rPr>
          <w:b/>
          <w:i/>
          <w:color w:val="1A4796"/>
          <w:spacing w:val="-8"/>
        </w:rPr>
        <w:t> </w:t>
      </w:r>
      <w:r>
        <w:rPr>
          <w:b/>
          <w:i/>
          <w:color w:val="1A4796"/>
        </w:rPr>
        <w:t>450</w:t>
      </w:r>
      <w:r>
        <w:rPr>
          <w:b/>
          <w:i/>
          <w:color w:val="1A4796"/>
          <w:spacing w:val="-8"/>
        </w:rPr>
        <w:t> </w:t>
      </w:r>
      <w:r>
        <w:rPr>
          <w:b/>
          <w:i/>
          <w:color w:val="1A4796"/>
        </w:rPr>
        <w:t>new-case</w:t>
      </w:r>
      <w:r>
        <w:rPr>
          <w:b/>
          <w:color w:val="1A4796"/>
        </w:rPr>
        <w:t> </w:t>
      </w:r>
      <w:r>
        <w:rPr>
          <w:b/>
          <w:color w:val="1A4796"/>
          <w:spacing w:val="-6"/>
        </w:rPr>
        <w:t>diagnoses</w:t>
      </w:r>
      <w:r>
        <w:rPr>
          <w:b/>
          <w:color w:val="1A4796"/>
          <w:spacing w:val="-11"/>
        </w:rPr>
        <w:t> </w:t>
      </w:r>
      <w:r>
        <w:rPr>
          <w:b/>
          <w:color w:val="1A4796"/>
          <w:spacing w:val="-6"/>
        </w:rPr>
        <w:t>of</w:t>
      </w:r>
      <w:r>
        <w:rPr>
          <w:b/>
          <w:color w:val="1A4796"/>
          <w:spacing w:val="-11"/>
        </w:rPr>
        <w:t> </w:t>
      </w:r>
      <w:r>
        <w:rPr>
          <w:b/>
          <w:color w:val="1A4796"/>
          <w:spacing w:val="-6"/>
        </w:rPr>
        <w:t>child</w:t>
      </w:r>
      <w:r>
        <w:rPr>
          <w:b/>
          <w:color w:val="1A4796"/>
          <w:spacing w:val="-11"/>
        </w:rPr>
        <w:t> </w:t>
      </w:r>
      <w:r>
        <w:rPr>
          <w:b/>
          <w:color w:val="1A4796"/>
          <w:spacing w:val="-6"/>
        </w:rPr>
        <w:t>cancer</w:t>
      </w:r>
      <w:r>
        <w:rPr>
          <w:b/>
          <w:color w:val="1A4796"/>
          <w:spacing w:val="-11"/>
        </w:rPr>
        <w:t> </w:t>
      </w:r>
      <w:r>
        <w:rPr>
          <w:b/>
          <w:color w:val="1A4796"/>
          <w:spacing w:val="-6"/>
        </w:rPr>
        <w:t>annually.</w:t>
      </w:r>
      <w:r>
        <w:rPr>
          <w:b/>
          <w:color w:val="1A4796"/>
          <w:spacing w:val="-11"/>
        </w:rPr>
        <w:t> </w:t>
      </w:r>
      <w:r>
        <w:rPr>
          <w:b/>
          <w:color w:val="1A4796"/>
          <w:spacing w:val="-6"/>
        </w:rPr>
        <w:t>One </w:t>
      </w:r>
      <w:r>
        <w:rPr>
          <w:b/>
          <w:color w:val="1A4796"/>
        </w:rPr>
        <w:t>barely</w:t>
      </w:r>
      <w:r>
        <w:rPr>
          <w:b/>
          <w:color w:val="1A4796"/>
          <w:spacing w:val="-10"/>
        </w:rPr>
        <w:t> </w:t>
      </w:r>
      <w:r>
        <w:rPr>
          <w:b/>
          <w:color w:val="1A4796"/>
        </w:rPr>
        <w:t>6-year-old</w:t>
      </w:r>
      <w:r>
        <w:rPr>
          <w:b/>
          <w:color w:val="1A4796"/>
          <w:spacing w:val="-10"/>
        </w:rPr>
        <w:t> </w:t>
      </w:r>
      <w:r>
        <w:rPr>
          <w:b/>
          <w:color w:val="1A4796"/>
        </w:rPr>
        <w:t>girl</w:t>
      </w:r>
      <w:r>
        <w:rPr>
          <w:b/>
          <w:color w:val="1A4796"/>
          <w:spacing w:val="-10"/>
        </w:rPr>
        <w:t> </w:t>
      </w:r>
      <w:r>
        <w:rPr>
          <w:b/>
          <w:color w:val="1A4796"/>
        </w:rPr>
        <w:t>was</w:t>
      </w:r>
      <w:r>
        <w:rPr>
          <w:b/>
          <w:color w:val="1A4796"/>
          <w:spacing w:val="-10"/>
        </w:rPr>
        <w:t> </w:t>
      </w:r>
      <w:r>
        <w:rPr>
          <w:b/>
          <w:color w:val="1A4796"/>
        </w:rPr>
        <w:t>operated</w:t>
      </w:r>
      <w:r>
        <w:rPr>
          <w:b/>
          <w:color w:val="1A4796"/>
          <w:spacing w:val="-10"/>
        </w:rPr>
        <w:t> </w:t>
      </w:r>
      <w:r>
        <w:rPr>
          <w:b/>
          <w:color w:val="1A4796"/>
        </w:rPr>
        <w:t>to </w:t>
      </w:r>
      <w:r>
        <w:rPr>
          <w:b/>
          <w:color w:val="1A4796"/>
          <w:spacing w:val="-4"/>
        </w:rPr>
        <w:t>partially</w:t>
      </w:r>
      <w:r>
        <w:rPr>
          <w:b/>
          <w:color w:val="1A4796"/>
          <w:spacing w:val="-12"/>
        </w:rPr>
        <w:t> </w:t>
      </w:r>
      <w:r>
        <w:rPr>
          <w:b/>
          <w:color w:val="1A4796"/>
          <w:spacing w:val="-4"/>
        </w:rPr>
        <w:t>remove</w:t>
      </w:r>
      <w:r>
        <w:rPr>
          <w:b/>
          <w:color w:val="1A4796"/>
          <w:spacing w:val="-12"/>
        </w:rPr>
        <w:t> </w:t>
      </w:r>
      <w:r>
        <w:rPr>
          <w:b/>
          <w:color w:val="1A4796"/>
          <w:spacing w:val="-4"/>
        </w:rPr>
        <w:t>a</w:t>
      </w:r>
      <w:r>
        <w:rPr>
          <w:b/>
          <w:color w:val="1A4796"/>
          <w:spacing w:val="-12"/>
        </w:rPr>
        <w:t> </w:t>
      </w:r>
      <w:r>
        <w:rPr>
          <w:b/>
          <w:color w:val="1A4796"/>
          <w:spacing w:val="-4"/>
        </w:rPr>
        <w:t>Grade</w:t>
      </w:r>
      <w:r>
        <w:rPr>
          <w:b/>
          <w:color w:val="1A4796"/>
          <w:spacing w:val="-12"/>
        </w:rPr>
        <w:t> </w:t>
      </w:r>
      <w:r>
        <w:rPr>
          <w:b/>
          <w:color w:val="1A4796"/>
          <w:spacing w:val="-4"/>
        </w:rPr>
        <w:t>4</w:t>
      </w:r>
      <w:r>
        <w:rPr>
          <w:b/>
          <w:color w:val="1A4796"/>
          <w:spacing w:val="-12"/>
        </w:rPr>
        <w:t> </w:t>
      </w:r>
      <w:r>
        <w:rPr>
          <w:b/>
          <w:color w:val="1A4796"/>
          <w:spacing w:val="-4"/>
        </w:rPr>
        <w:t>intracranial </w:t>
      </w:r>
      <w:r>
        <w:rPr>
          <w:b/>
          <w:color w:val="1A4796"/>
          <w:spacing w:val="-2"/>
        </w:rPr>
        <w:t>tumor.</w:t>
      </w:r>
      <w:r>
        <w:rPr>
          <w:b/>
          <w:color w:val="1A4796"/>
          <w:spacing w:val="-16"/>
        </w:rPr>
        <w:t> </w:t>
      </w:r>
      <w:r>
        <w:rPr>
          <w:b/>
          <w:color w:val="1A4796"/>
          <w:spacing w:val="-2"/>
        </w:rPr>
        <w:t>While</w:t>
      </w:r>
      <w:r>
        <w:rPr>
          <w:b/>
          <w:color w:val="1A4796"/>
          <w:spacing w:val="-16"/>
        </w:rPr>
        <w:t> </w:t>
      </w:r>
      <w:r>
        <w:rPr>
          <w:b/>
          <w:color w:val="1A4796"/>
          <w:spacing w:val="-2"/>
        </w:rPr>
        <w:t>it</w:t>
      </w:r>
      <w:r>
        <w:rPr>
          <w:b/>
          <w:color w:val="1A4796"/>
          <w:spacing w:val="-16"/>
        </w:rPr>
        <w:t> </w:t>
      </w:r>
      <w:r>
        <w:rPr>
          <w:b/>
          <w:color w:val="1A4796"/>
          <w:spacing w:val="-2"/>
        </w:rPr>
        <w:t>was</w:t>
      </w:r>
      <w:r>
        <w:rPr>
          <w:b/>
          <w:color w:val="1A4796"/>
          <w:spacing w:val="-16"/>
        </w:rPr>
        <w:t> </w:t>
      </w:r>
      <w:r>
        <w:rPr>
          <w:b/>
          <w:color w:val="1A4796"/>
          <w:spacing w:val="-2"/>
        </w:rPr>
        <w:t>possible</w:t>
      </w:r>
      <w:r>
        <w:rPr>
          <w:b/>
          <w:color w:val="1A4796"/>
          <w:spacing w:val="-16"/>
        </w:rPr>
        <w:t> </w:t>
      </w:r>
      <w:r>
        <w:rPr>
          <w:b/>
          <w:color w:val="1A4796"/>
          <w:spacing w:val="-2"/>
        </w:rPr>
        <w:t>to</w:t>
      </w:r>
      <w:r>
        <w:rPr>
          <w:b/>
          <w:color w:val="1A4796"/>
          <w:spacing w:val="-16"/>
        </w:rPr>
        <w:t> </w:t>
      </w:r>
      <w:r>
        <w:rPr>
          <w:b/>
          <w:color w:val="1A4796"/>
          <w:spacing w:val="-2"/>
        </w:rPr>
        <w:t>provide </w:t>
      </w:r>
      <w:r>
        <w:rPr>
          <w:b/>
          <w:color w:val="1A4796"/>
        </w:rPr>
        <w:t>her with the chemotherapy needed to combat the growth, she could not be given</w:t>
      </w:r>
      <w:r>
        <w:rPr>
          <w:b/>
          <w:color w:val="1A4796"/>
          <w:spacing w:val="-9"/>
        </w:rPr>
        <w:t> </w:t>
      </w:r>
      <w:r>
        <w:rPr>
          <w:b/>
          <w:color w:val="1A4796"/>
        </w:rPr>
        <w:t>Lomustine,</w:t>
      </w:r>
      <w:r>
        <w:rPr>
          <w:b/>
          <w:color w:val="1A4796"/>
          <w:spacing w:val="-9"/>
        </w:rPr>
        <w:t> </w:t>
      </w:r>
      <w:r>
        <w:rPr>
          <w:b/>
          <w:color w:val="1A4796"/>
        </w:rPr>
        <w:t>the</w:t>
      </w:r>
      <w:r>
        <w:rPr>
          <w:b/>
          <w:color w:val="1A4796"/>
          <w:spacing w:val="-9"/>
        </w:rPr>
        <w:t> </w:t>
      </w:r>
      <w:r>
        <w:rPr>
          <w:b/>
          <w:color w:val="1A4796"/>
        </w:rPr>
        <w:t>drug</w:t>
      </w:r>
      <w:r>
        <w:rPr>
          <w:b/>
          <w:color w:val="1A4796"/>
          <w:spacing w:val="-9"/>
        </w:rPr>
        <w:t> </w:t>
      </w:r>
      <w:r>
        <w:rPr>
          <w:b/>
          <w:color w:val="1A4796"/>
        </w:rPr>
        <w:t>of</w:t>
      </w:r>
      <w:r>
        <w:rPr>
          <w:b/>
          <w:color w:val="1A4796"/>
          <w:spacing w:val="-9"/>
        </w:rPr>
        <w:t> </w:t>
      </w:r>
      <w:r>
        <w:rPr>
          <w:b/>
          <w:color w:val="1A4796"/>
        </w:rPr>
        <w:t>choice</w:t>
      </w:r>
      <w:r>
        <w:rPr>
          <w:b/>
          <w:color w:val="1A4796"/>
          <w:spacing w:val="-9"/>
        </w:rPr>
        <w:t> </w:t>
      </w:r>
      <w:r>
        <w:rPr>
          <w:b/>
          <w:color w:val="1A4796"/>
        </w:rPr>
        <w:t>in the treatment of advanced tumors of </w:t>
      </w:r>
      <w:r>
        <w:rPr>
          <w:b/>
          <w:color w:val="1A4796"/>
          <w:spacing w:val="-4"/>
        </w:rPr>
        <w:t>this</w:t>
      </w:r>
      <w:r>
        <w:rPr>
          <w:b/>
          <w:color w:val="1A4796"/>
          <w:spacing w:val="-11"/>
        </w:rPr>
        <w:t> </w:t>
      </w:r>
      <w:r>
        <w:rPr>
          <w:b/>
          <w:color w:val="1A4796"/>
          <w:spacing w:val="-4"/>
        </w:rPr>
        <w:t>type</w:t>
      </w:r>
      <w:r>
        <w:rPr>
          <w:b/>
          <w:color w:val="1A4796"/>
          <w:spacing w:val="-10"/>
        </w:rPr>
        <w:t> </w:t>
      </w:r>
      <w:r>
        <w:rPr>
          <w:b/>
          <w:color w:val="1A4796"/>
          <w:spacing w:val="-4"/>
        </w:rPr>
        <w:t>that</w:t>
      </w:r>
      <w:r>
        <w:rPr>
          <w:b/>
          <w:color w:val="1A4796"/>
          <w:spacing w:val="-11"/>
        </w:rPr>
        <w:t> </w:t>
      </w:r>
      <w:r>
        <w:rPr>
          <w:b/>
          <w:color w:val="1A4796"/>
          <w:spacing w:val="-4"/>
        </w:rPr>
        <w:t>affect</w:t>
      </w:r>
      <w:r>
        <w:rPr>
          <w:b/>
          <w:color w:val="1A4796"/>
          <w:spacing w:val="-10"/>
        </w:rPr>
        <w:t> </w:t>
      </w:r>
      <w:r>
        <w:rPr>
          <w:b/>
          <w:color w:val="1A4796"/>
          <w:spacing w:val="-4"/>
        </w:rPr>
        <w:t>the</w:t>
      </w:r>
      <w:r>
        <w:rPr>
          <w:b/>
          <w:color w:val="1A4796"/>
          <w:spacing w:val="-11"/>
        </w:rPr>
        <w:t> </w:t>
      </w:r>
      <w:r>
        <w:rPr>
          <w:b/>
          <w:color w:val="1A4796"/>
          <w:spacing w:val="-4"/>
        </w:rPr>
        <w:t>central</w:t>
      </w:r>
      <w:r>
        <w:rPr>
          <w:b/>
          <w:color w:val="1A4796"/>
          <w:spacing w:val="-10"/>
        </w:rPr>
        <w:t> </w:t>
      </w:r>
      <w:r>
        <w:rPr>
          <w:b/>
          <w:color w:val="1A4796"/>
          <w:spacing w:val="-4"/>
        </w:rPr>
        <w:t>nervous</w:t>
      </w:r>
    </w:p>
    <w:p>
      <w:pPr>
        <w:spacing w:after="0" w:line="220" w:lineRule="auto"/>
        <w:jc w:val="both"/>
        <w:sectPr>
          <w:pgSz w:w="11910" w:h="16840"/>
          <w:pgMar w:header="0" w:footer="695" w:top="1260" w:bottom="880" w:left="0" w:right="0"/>
          <w:cols w:num="2" w:equalWidth="0">
            <w:col w:w="5557" w:space="40"/>
            <w:col w:w="6313"/>
          </w:cols>
        </w:sectPr>
      </w:pPr>
    </w:p>
    <w:p>
      <w:pPr>
        <w:spacing w:line="220" w:lineRule="auto" w:before="97"/>
        <w:ind w:left="1474" w:right="1" w:firstLine="0"/>
        <w:jc w:val="both"/>
        <w:rPr>
          <w:rFonts w:ascii="Segoe UI Semibold"/>
          <w:b/>
          <w:i/>
          <w:sz w:val="26"/>
        </w:rPr>
      </w:pPr>
      <w:r>
        <w:rPr>
          <w:rFonts w:ascii="Segoe UI Semibold"/>
          <w:b/>
          <w:i/>
          <w:color w:val="1A4796"/>
          <w:sz w:val="26"/>
        </w:rPr>
        <w:t>system - and unobtainable due to the</w:t>
      </w:r>
      <w:r>
        <w:rPr>
          <w:rFonts w:ascii="Segoe UI Semibold"/>
          <w:b/>
          <w:i/>
          <w:color w:val="1A4796"/>
          <w:sz w:val="26"/>
        </w:rPr>
        <w:t> blockade. This patient is currently in relapse and is under a rescue regime. For this little girl and other Cuban </w:t>
      </w:r>
      <w:r>
        <w:rPr>
          <w:rFonts w:ascii="Segoe UI Semibold"/>
          <w:b/>
          <w:i/>
          <w:color w:val="1A4796"/>
          <w:spacing w:val="-2"/>
          <w:sz w:val="26"/>
        </w:rPr>
        <w:t>children,</w:t>
      </w:r>
      <w:r>
        <w:rPr>
          <w:rFonts w:ascii="Segoe UI Semibold"/>
          <w:b/>
          <w:i/>
          <w:color w:val="1A4796"/>
          <w:spacing w:val="-12"/>
          <w:sz w:val="26"/>
        </w:rPr>
        <w:t> </w:t>
      </w:r>
      <w:r>
        <w:rPr>
          <w:rFonts w:ascii="Segoe UI Semibold"/>
          <w:b/>
          <w:i/>
          <w:color w:val="1A4796"/>
          <w:spacing w:val="-2"/>
          <w:sz w:val="26"/>
        </w:rPr>
        <w:t>the</w:t>
      </w:r>
      <w:r>
        <w:rPr>
          <w:rFonts w:ascii="Segoe UI Semibold"/>
          <w:b/>
          <w:i/>
          <w:color w:val="1A4796"/>
          <w:spacing w:val="-12"/>
          <w:sz w:val="26"/>
        </w:rPr>
        <w:t> </w:t>
      </w:r>
      <w:r>
        <w:rPr>
          <w:rFonts w:ascii="Segoe UI Semibold"/>
          <w:b/>
          <w:i/>
          <w:color w:val="1A4796"/>
          <w:spacing w:val="-2"/>
          <w:sz w:val="26"/>
        </w:rPr>
        <w:t>blockade</w:t>
      </w:r>
      <w:r>
        <w:rPr>
          <w:rFonts w:ascii="Segoe UI Semibold"/>
          <w:b/>
          <w:i/>
          <w:color w:val="1A4796"/>
          <w:spacing w:val="-12"/>
          <w:sz w:val="26"/>
        </w:rPr>
        <w:t> </w:t>
      </w:r>
      <w:r>
        <w:rPr>
          <w:rFonts w:ascii="Segoe UI Semibold"/>
          <w:b/>
          <w:i/>
          <w:color w:val="1A4796"/>
          <w:spacing w:val="-2"/>
          <w:sz w:val="26"/>
        </w:rPr>
        <w:t>on</w:t>
      </w:r>
      <w:r>
        <w:rPr>
          <w:rFonts w:ascii="Segoe UI Semibold"/>
          <w:b/>
          <w:i/>
          <w:color w:val="1A4796"/>
          <w:spacing w:val="-12"/>
          <w:sz w:val="26"/>
        </w:rPr>
        <w:t> </w:t>
      </w:r>
      <w:r>
        <w:rPr>
          <w:rFonts w:ascii="Segoe UI Semibold"/>
          <w:b/>
          <w:i/>
          <w:color w:val="1A4796"/>
          <w:spacing w:val="-2"/>
          <w:sz w:val="26"/>
        </w:rPr>
        <w:t>their</w:t>
      </w:r>
      <w:r>
        <w:rPr>
          <w:rFonts w:ascii="Segoe UI Semibold"/>
          <w:b/>
          <w:i/>
          <w:color w:val="1A4796"/>
          <w:spacing w:val="-12"/>
          <w:sz w:val="26"/>
        </w:rPr>
        <w:t> </w:t>
      </w:r>
      <w:r>
        <w:rPr>
          <w:rFonts w:ascii="Segoe UI Semibold"/>
          <w:b/>
          <w:i/>
          <w:color w:val="1A4796"/>
          <w:spacing w:val="-2"/>
          <w:sz w:val="26"/>
        </w:rPr>
        <w:t>country </w:t>
      </w:r>
      <w:r>
        <w:rPr>
          <w:rFonts w:ascii="Segoe UI Semibold"/>
          <w:b/>
          <w:i/>
          <w:color w:val="1A4796"/>
          <w:sz w:val="26"/>
        </w:rPr>
        <w:t>is a matter of life and death.</w:t>
      </w:r>
    </w:p>
    <w:p>
      <w:pPr>
        <w:pStyle w:val="BodyText"/>
        <w:spacing w:before="165"/>
        <w:ind w:left="1474"/>
      </w:pPr>
      <w:r>
        <w:rPr>
          <w:color w:val="231F20"/>
        </w:rPr>
        <w:t>There are currently 20,000 Cuban families </w:t>
      </w:r>
      <w:r>
        <w:rPr>
          <w:color w:val="231F20"/>
          <w:spacing w:val="-4"/>
        </w:rPr>
        <w:t>waiting</w:t>
      </w:r>
      <w:r>
        <w:rPr>
          <w:color w:val="231F20"/>
          <w:spacing w:val="-13"/>
        </w:rPr>
        <w:t> </w:t>
      </w:r>
      <w:r>
        <w:rPr>
          <w:color w:val="231F20"/>
          <w:spacing w:val="-4"/>
        </w:rPr>
        <w:t>for</w:t>
      </w:r>
      <w:r>
        <w:rPr>
          <w:color w:val="231F20"/>
          <w:spacing w:val="-12"/>
        </w:rPr>
        <w:t> </w:t>
      </w:r>
      <w:r>
        <w:rPr>
          <w:color w:val="231F20"/>
          <w:spacing w:val="-4"/>
        </w:rPr>
        <w:t>diagnoses</w:t>
      </w:r>
      <w:r>
        <w:rPr>
          <w:color w:val="231F20"/>
          <w:spacing w:val="-13"/>
        </w:rPr>
        <w:t> </w:t>
      </w:r>
      <w:r>
        <w:rPr>
          <w:color w:val="231F20"/>
          <w:spacing w:val="-4"/>
        </w:rPr>
        <w:t>of</w:t>
      </w:r>
      <w:r>
        <w:rPr>
          <w:color w:val="231F20"/>
          <w:spacing w:val="-12"/>
        </w:rPr>
        <w:t> </w:t>
      </w:r>
      <w:r>
        <w:rPr>
          <w:color w:val="231F20"/>
          <w:spacing w:val="-4"/>
        </w:rPr>
        <w:t>genetic</w:t>
      </w:r>
      <w:r>
        <w:rPr>
          <w:color w:val="231F20"/>
          <w:spacing w:val="-13"/>
        </w:rPr>
        <w:t> </w:t>
      </w:r>
      <w:r>
        <w:rPr>
          <w:color w:val="231F20"/>
          <w:spacing w:val="-4"/>
        </w:rPr>
        <w:t>diseases</w:t>
      </w:r>
      <w:r>
        <w:rPr>
          <w:color w:val="231F20"/>
          <w:spacing w:val="-12"/>
        </w:rPr>
        <w:t> </w:t>
      </w:r>
      <w:r>
        <w:rPr>
          <w:color w:val="231F20"/>
          <w:spacing w:val="-4"/>
        </w:rPr>
        <w:t>to </w:t>
      </w:r>
      <w:r>
        <w:rPr>
          <w:color w:val="231F20"/>
        </w:rPr>
        <w:t>whom</w:t>
      </w:r>
      <w:r>
        <w:rPr>
          <w:color w:val="231F20"/>
          <w:spacing w:val="-2"/>
        </w:rPr>
        <w:t> </w:t>
      </w:r>
      <w:r>
        <w:rPr>
          <w:color w:val="231F20"/>
        </w:rPr>
        <w:t>it</w:t>
      </w:r>
      <w:r>
        <w:rPr>
          <w:color w:val="231F20"/>
          <w:spacing w:val="-2"/>
        </w:rPr>
        <w:t> </w:t>
      </w:r>
      <w:r>
        <w:rPr>
          <w:color w:val="231F20"/>
        </w:rPr>
        <w:t>has</w:t>
      </w:r>
      <w:r>
        <w:rPr>
          <w:color w:val="231F20"/>
          <w:spacing w:val="-2"/>
        </w:rPr>
        <w:t> </w:t>
      </w:r>
      <w:r>
        <w:rPr>
          <w:color w:val="231F20"/>
        </w:rPr>
        <w:t>not</w:t>
      </w:r>
      <w:r>
        <w:rPr>
          <w:color w:val="231F20"/>
          <w:spacing w:val="-2"/>
        </w:rPr>
        <w:t> </w:t>
      </w:r>
      <w:r>
        <w:rPr>
          <w:color w:val="231F20"/>
        </w:rPr>
        <w:t>been</w:t>
      </w:r>
      <w:r>
        <w:rPr>
          <w:color w:val="231F20"/>
          <w:spacing w:val="-2"/>
        </w:rPr>
        <w:t> </w:t>
      </w:r>
      <w:r>
        <w:rPr>
          <w:color w:val="231F20"/>
        </w:rPr>
        <w:t>possible</w:t>
      </w:r>
      <w:r>
        <w:rPr>
          <w:color w:val="231F20"/>
          <w:spacing w:val="-2"/>
        </w:rPr>
        <w:t> </w:t>
      </w:r>
      <w:r>
        <w:rPr>
          <w:color w:val="231F20"/>
        </w:rPr>
        <w:t>to</w:t>
      </w:r>
      <w:r>
        <w:rPr>
          <w:color w:val="231F20"/>
          <w:spacing w:val="-2"/>
        </w:rPr>
        <w:t> </w:t>
      </w:r>
      <w:r>
        <w:rPr>
          <w:color w:val="231F20"/>
        </w:rPr>
        <w:t>provide adequate care; the necessary technology uses over 10% U.S. components and is consequently inaccessible. To quote a single</w:t>
      </w:r>
      <w:r>
        <w:rPr>
          <w:color w:val="231F20"/>
          <w:spacing w:val="-12"/>
        </w:rPr>
        <w:t> </w:t>
      </w:r>
      <w:r>
        <w:rPr>
          <w:color w:val="231F20"/>
        </w:rPr>
        <w:t>example,</w:t>
      </w:r>
      <w:r>
        <w:rPr>
          <w:color w:val="231F20"/>
          <w:spacing w:val="-12"/>
        </w:rPr>
        <w:t> </w:t>
      </w:r>
      <w:r>
        <w:rPr>
          <w:color w:val="231F20"/>
        </w:rPr>
        <w:t>the</w:t>
      </w:r>
      <w:r>
        <w:rPr>
          <w:color w:val="231F20"/>
          <w:spacing w:val="-12"/>
        </w:rPr>
        <w:t> </w:t>
      </w:r>
      <w:r>
        <w:rPr>
          <w:color w:val="231F20"/>
        </w:rPr>
        <w:t>U.S.</w:t>
      </w:r>
      <w:r>
        <w:rPr>
          <w:color w:val="231F20"/>
          <w:spacing w:val="-12"/>
        </w:rPr>
        <w:t> </w:t>
      </w:r>
      <w:r>
        <w:rPr>
          <w:color w:val="231F20"/>
        </w:rPr>
        <w:t>company</w:t>
      </w:r>
      <w:r>
        <w:rPr>
          <w:color w:val="231F20"/>
          <w:spacing w:val="-12"/>
        </w:rPr>
        <w:t> </w:t>
      </w:r>
      <w:r>
        <w:rPr>
          <w:color w:val="231F20"/>
        </w:rPr>
        <w:t>Chroma has denied our access to supplies for </w:t>
      </w:r>
      <w:r>
        <w:rPr>
          <w:color w:val="231F20"/>
          <w:spacing w:val="-2"/>
        </w:rPr>
        <w:t>Cytovision</w:t>
      </w:r>
      <w:r>
        <w:rPr>
          <w:color w:val="231F20"/>
          <w:spacing w:val="-15"/>
        </w:rPr>
        <w:t> </w:t>
      </w:r>
      <w:r>
        <w:rPr>
          <w:color w:val="231F20"/>
          <w:spacing w:val="-2"/>
        </w:rPr>
        <w:t>systems</w:t>
      </w:r>
      <w:r>
        <w:rPr>
          <w:color w:val="231F20"/>
          <w:spacing w:val="-14"/>
        </w:rPr>
        <w:t> </w:t>
      </w:r>
      <w:r>
        <w:rPr>
          <w:color w:val="231F20"/>
          <w:spacing w:val="-2"/>
        </w:rPr>
        <w:t>installed</w:t>
      </w:r>
      <w:r>
        <w:rPr>
          <w:color w:val="231F20"/>
          <w:spacing w:val="-15"/>
        </w:rPr>
        <w:t> </w:t>
      </w:r>
      <w:r>
        <w:rPr>
          <w:color w:val="231F20"/>
          <w:spacing w:val="-2"/>
        </w:rPr>
        <w:t>in</w:t>
      </w:r>
      <w:r>
        <w:rPr>
          <w:color w:val="231F20"/>
          <w:spacing w:val="-14"/>
        </w:rPr>
        <w:t> </w:t>
      </w:r>
      <w:r>
        <w:rPr>
          <w:color w:val="231F20"/>
          <w:spacing w:val="-2"/>
        </w:rPr>
        <w:t>the</w:t>
      </w:r>
      <w:r>
        <w:rPr>
          <w:color w:val="231F20"/>
          <w:spacing w:val="-14"/>
        </w:rPr>
        <w:t> </w:t>
      </w:r>
      <w:r>
        <w:rPr>
          <w:color w:val="231F20"/>
          <w:spacing w:val="-2"/>
        </w:rPr>
        <w:t>national </w:t>
      </w:r>
      <w:r>
        <w:rPr>
          <w:color w:val="231F20"/>
        </w:rPr>
        <w:t>genetic medicine centers, which include immunofluorescent microscopes.</w:t>
      </w:r>
    </w:p>
    <w:p>
      <w:pPr>
        <w:pStyle w:val="BodyText"/>
        <w:spacing w:before="168"/>
        <w:ind w:left="1474"/>
      </w:pPr>
      <w:r>
        <w:rPr>
          <w:color w:val="231F20"/>
        </w:rPr>
        <w:t>JASCO, a Japanese company </w:t>
      </w:r>
      <w:r>
        <w:rPr>
          <w:color w:val="231F20"/>
        </w:rPr>
        <w:t>that manufactures spare parts for laboratory equipment has refused to sell to Cuba, under a policy precluding dealings with countries on the U.S. State Department’s list of state sponsors of terrorism. Such measures have effects that are harshest for the most vulnerable.</w:t>
      </w:r>
    </w:p>
    <w:p>
      <w:pPr>
        <w:spacing w:before="165"/>
        <w:ind w:left="1474" w:right="4" w:firstLine="0"/>
        <w:jc w:val="both"/>
        <w:rPr>
          <w:sz w:val="24"/>
        </w:rPr>
      </w:pPr>
      <w:r>
        <w:rPr>
          <w:rFonts w:ascii="Segoe UI Semibold" w:hAnsi="Segoe UI Semibold"/>
          <w:b/>
          <w:i/>
          <w:color w:val="231F20"/>
          <w:spacing w:val="-6"/>
          <w:sz w:val="24"/>
        </w:rPr>
        <w:t>In</w:t>
      </w:r>
      <w:r>
        <w:rPr>
          <w:rFonts w:ascii="Segoe UI Semibold" w:hAnsi="Segoe UI Semibold"/>
          <w:b/>
          <w:i/>
          <w:color w:val="231F20"/>
          <w:spacing w:val="-11"/>
          <w:sz w:val="24"/>
        </w:rPr>
        <w:t> </w:t>
      </w:r>
      <w:r>
        <w:rPr>
          <w:rFonts w:ascii="Segoe UI Semibold" w:hAnsi="Segoe UI Semibold"/>
          <w:b/>
          <w:i/>
          <w:color w:val="231F20"/>
          <w:spacing w:val="-6"/>
          <w:sz w:val="24"/>
        </w:rPr>
        <w:t>her</w:t>
      </w:r>
      <w:r>
        <w:rPr>
          <w:rFonts w:ascii="Segoe UI Semibold" w:hAnsi="Segoe UI Semibold"/>
          <w:b/>
          <w:i/>
          <w:color w:val="231F20"/>
          <w:spacing w:val="-10"/>
          <w:sz w:val="24"/>
        </w:rPr>
        <w:t> </w:t>
      </w:r>
      <w:r>
        <w:rPr>
          <w:rFonts w:ascii="Segoe UI Semibold" w:hAnsi="Segoe UI Semibold"/>
          <w:b/>
          <w:i/>
          <w:color w:val="231F20"/>
          <w:spacing w:val="-6"/>
          <w:sz w:val="24"/>
        </w:rPr>
        <w:t>first</w:t>
      </w:r>
      <w:r>
        <w:rPr>
          <w:rFonts w:ascii="Segoe UI Semibold" w:hAnsi="Segoe UI Semibold"/>
          <w:b/>
          <w:i/>
          <w:color w:val="231F20"/>
          <w:spacing w:val="-11"/>
          <w:sz w:val="24"/>
        </w:rPr>
        <w:t> </w:t>
      </w:r>
      <w:r>
        <w:rPr>
          <w:rFonts w:ascii="Segoe UI Semibold" w:hAnsi="Segoe UI Semibold"/>
          <w:b/>
          <w:i/>
          <w:color w:val="231F20"/>
          <w:spacing w:val="-6"/>
          <w:sz w:val="24"/>
        </w:rPr>
        <w:t>year,</w:t>
      </w:r>
      <w:r>
        <w:rPr>
          <w:rFonts w:ascii="Segoe UI Semibold" w:hAnsi="Segoe UI Semibold"/>
          <w:b/>
          <w:i/>
          <w:color w:val="231F20"/>
          <w:spacing w:val="-10"/>
          <w:sz w:val="24"/>
        </w:rPr>
        <w:t> </w:t>
      </w:r>
      <w:r>
        <w:rPr>
          <w:rFonts w:ascii="Segoe UI Semibold" w:hAnsi="Segoe UI Semibold"/>
          <w:b/>
          <w:i/>
          <w:color w:val="231F20"/>
          <w:spacing w:val="-6"/>
          <w:sz w:val="24"/>
        </w:rPr>
        <w:t>a</w:t>
      </w:r>
      <w:r>
        <w:rPr>
          <w:rFonts w:ascii="Segoe UI Semibold" w:hAnsi="Segoe UI Semibold"/>
          <w:b/>
          <w:i/>
          <w:color w:val="231F20"/>
          <w:spacing w:val="-11"/>
          <w:sz w:val="24"/>
        </w:rPr>
        <w:t> </w:t>
      </w:r>
      <w:r>
        <w:rPr>
          <w:rFonts w:ascii="Segoe UI Semibold" w:hAnsi="Segoe UI Semibold"/>
          <w:b/>
          <w:i/>
          <w:color w:val="231F20"/>
          <w:spacing w:val="-6"/>
          <w:sz w:val="24"/>
        </w:rPr>
        <w:t>now</w:t>
      </w:r>
      <w:r>
        <w:rPr>
          <w:rFonts w:ascii="Segoe UI Semibold" w:hAnsi="Segoe UI Semibold"/>
          <w:b/>
          <w:i/>
          <w:color w:val="231F20"/>
          <w:spacing w:val="-10"/>
          <w:sz w:val="24"/>
        </w:rPr>
        <w:t> </w:t>
      </w:r>
      <w:r>
        <w:rPr>
          <w:rFonts w:ascii="Segoe UI Semibold" w:hAnsi="Segoe UI Semibold"/>
          <w:b/>
          <w:i/>
          <w:color w:val="231F20"/>
          <w:spacing w:val="-6"/>
          <w:sz w:val="24"/>
        </w:rPr>
        <w:t>two-year-old</w:t>
      </w:r>
      <w:r>
        <w:rPr>
          <w:rFonts w:ascii="Segoe UI Semibold" w:hAnsi="Segoe UI Semibold"/>
          <w:b/>
          <w:i/>
          <w:color w:val="231F20"/>
          <w:spacing w:val="-11"/>
          <w:sz w:val="24"/>
        </w:rPr>
        <w:t> </w:t>
      </w:r>
      <w:r>
        <w:rPr>
          <w:rFonts w:ascii="Segoe UI Semibold" w:hAnsi="Segoe UI Semibold"/>
          <w:b/>
          <w:i/>
          <w:color w:val="231F20"/>
          <w:spacing w:val="-6"/>
          <w:sz w:val="24"/>
        </w:rPr>
        <w:t>Cuban</w:t>
      </w:r>
      <w:r>
        <w:rPr>
          <w:rFonts w:ascii="Segoe UI Semibold" w:hAnsi="Segoe UI Semibold"/>
          <w:b/>
          <w:i/>
          <w:color w:val="231F20"/>
          <w:spacing w:val="-6"/>
          <w:sz w:val="24"/>
        </w:rPr>
        <w:t> girl</w:t>
      </w:r>
      <w:r>
        <w:rPr>
          <w:rFonts w:ascii="Segoe UI Semibold" w:hAnsi="Segoe UI Semibold"/>
          <w:b/>
          <w:i/>
          <w:color w:val="231F20"/>
          <w:spacing w:val="-9"/>
          <w:sz w:val="24"/>
        </w:rPr>
        <w:t> </w:t>
      </w:r>
      <w:r>
        <w:rPr>
          <w:rFonts w:ascii="Segoe UI Semibold" w:hAnsi="Segoe UI Semibold"/>
          <w:b/>
          <w:i/>
          <w:color w:val="231F20"/>
          <w:spacing w:val="-6"/>
          <w:sz w:val="24"/>
        </w:rPr>
        <w:t>was</w:t>
      </w:r>
      <w:r>
        <w:rPr>
          <w:rFonts w:ascii="Segoe UI Semibold" w:hAnsi="Segoe UI Semibold"/>
          <w:b/>
          <w:i/>
          <w:color w:val="231F20"/>
          <w:spacing w:val="-9"/>
          <w:sz w:val="24"/>
        </w:rPr>
        <w:t> </w:t>
      </w:r>
      <w:r>
        <w:rPr>
          <w:rFonts w:ascii="Segoe UI Semibold" w:hAnsi="Segoe UI Semibold"/>
          <w:b/>
          <w:i/>
          <w:color w:val="231F20"/>
          <w:spacing w:val="-6"/>
          <w:sz w:val="24"/>
        </w:rPr>
        <w:t>referred</w:t>
      </w:r>
      <w:r>
        <w:rPr>
          <w:rFonts w:ascii="Segoe UI Semibold" w:hAnsi="Segoe UI Semibold"/>
          <w:b/>
          <w:i/>
          <w:color w:val="231F20"/>
          <w:spacing w:val="-9"/>
          <w:sz w:val="24"/>
        </w:rPr>
        <w:t> </w:t>
      </w:r>
      <w:r>
        <w:rPr>
          <w:rFonts w:ascii="Segoe UI Semibold" w:hAnsi="Segoe UI Semibold"/>
          <w:b/>
          <w:i/>
          <w:color w:val="231F20"/>
          <w:spacing w:val="-6"/>
          <w:sz w:val="24"/>
        </w:rPr>
        <w:t>for</w:t>
      </w:r>
      <w:r>
        <w:rPr>
          <w:rFonts w:ascii="Segoe UI Semibold" w:hAnsi="Segoe UI Semibold"/>
          <w:b/>
          <w:i/>
          <w:color w:val="231F20"/>
          <w:spacing w:val="-9"/>
          <w:sz w:val="24"/>
        </w:rPr>
        <w:t> </w:t>
      </w:r>
      <w:r>
        <w:rPr>
          <w:rFonts w:ascii="Segoe UI Semibold" w:hAnsi="Segoe UI Semibold"/>
          <w:b/>
          <w:i/>
          <w:color w:val="231F20"/>
          <w:spacing w:val="-6"/>
          <w:sz w:val="24"/>
        </w:rPr>
        <w:t>genetic</w:t>
      </w:r>
      <w:r>
        <w:rPr>
          <w:rFonts w:ascii="Segoe UI Semibold" w:hAnsi="Segoe UI Semibold"/>
          <w:b/>
          <w:i/>
          <w:color w:val="231F20"/>
          <w:spacing w:val="-9"/>
          <w:sz w:val="24"/>
        </w:rPr>
        <w:t> </w:t>
      </w:r>
      <w:r>
        <w:rPr>
          <w:rFonts w:ascii="Segoe UI Semibold" w:hAnsi="Segoe UI Semibold"/>
          <w:b/>
          <w:i/>
          <w:color w:val="231F20"/>
          <w:spacing w:val="-6"/>
          <w:sz w:val="24"/>
        </w:rPr>
        <w:t>evaluation,</w:t>
      </w:r>
      <w:r>
        <w:rPr>
          <w:rFonts w:ascii="Segoe UI Semibold" w:hAnsi="Segoe UI Semibold"/>
          <w:b/>
          <w:i/>
          <w:color w:val="231F20"/>
          <w:spacing w:val="-9"/>
          <w:sz w:val="24"/>
        </w:rPr>
        <w:t> </w:t>
      </w:r>
      <w:r>
        <w:rPr>
          <w:rFonts w:ascii="Segoe UI Semibold" w:hAnsi="Segoe UI Semibold"/>
          <w:b/>
          <w:i/>
          <w:color w:val="231F20"/>
          <w:spacing w:val="-6"/>
          <w:sz w:val="24"/>
        </w:rPr>
        <w:t>her </w:t>
      </w:r>
      <w:r>
        <w:rPr>
          <w:rFonts w:ascii="Segoe UI Semibold" w:hAnsi="Segoe UI Semibold"/>
          <w:b/>
          <w:i/>
          <w:color w:val="231F20"/>
          <w:spacing w:val="-4"/>
          <w:sz w:val="24"/>
        </w:rPr>
        <w:t>family</w:t>
      </w:r>
      <w:r>
        <w:rPr>
          <w:rFonts w:ascii="Segoe UI Semibold" w:hAnsi="Segoe UI Semibold"/>
          <w:b/>
          <w:i/>
          <w:color w:val="231F20"/>
          <w:spacing w:val="-13"/>
          <w:sz w:val="24"/>
        </w:rPr>
        <w:t> </w:t>
      </w:r>
      <w:r>
        <w:rPr>
          <w:rFonts w:ascii="Segoe UI Semibold" w:hAnsi="Segoe UI Semibold"/>
          <w:b/>
          <w:i/>
          <w:color w:val="231F20"/>
          <w:spacing w:val="-4"/>
          <w:sz w:val="24"/>
        </w:rPr>
        <w:t>having</w:t>
      </w:r>
      <w:r>
        <w:rPr>
          <w:rFonts w:ascii="Segoe UI Semibold" w:hAnsi="Segoe UI Semibold"/>
          <w:b/>
          <w:i/>
          <w:color w:val="231F20"/>
          <w:spacing w:val="-12"/>
          <w:sz w:val="24"/>
        </w:rPr>
        <w:t> </w:t>
      </w:r>
      <w:r>
        <w:rPr>
          <w:rFonts w:ascii="Segoe UI Semibold" w:hAnsi="Segoe UI Semibold"/>
          <w:b/>
          <w:i/>
          <w:color w:val="231F20"/>
          <w:spacing w:val="-4"/>
          <w:sz w:val="24"/>
        </w:rPr>
        <w:t>noted</w:t>
      </w:r>
      <w:r>
        <w:rPr>
          <w:rFonts w:ascii="Segoe UI Semibold" w:hAnsi="Segoe UI Semibold"/>
          <w:b/>
          <w:i/>
          <w:color w:val="231F20"/>
          <w:spacing w:val="-13"/>
          <w:sz w:val="24"/>
        </w:rPr>
        <w:t> </w:t>
      </w:r>
      <w:r>
        <w:rPr>
          <w:rFonts w:ascii="Segoe UI Semibold" w:hAnsi="Segoe UI Semibold"/>
          <w:b/>
          <w:i/>
          <w:color w:val="231F20"/>
          <w:spacing w:val="-4"/>
          <w:sz w:val="24"/>
        </w:rPr>
        <w:t>a</w:t>
      </w:r>
      <w:r>
        <w:rPr>
          <w:rFonts w:ascii="Segoe UI Semibold" w:hAnsi="Segoe UI Semibold"/>
          <w:b/>
          <w:i/>
          <w:color w:val="231F20"/>
          <w:spacing w:val="-12"/>
          <w:sz w:val="24"/>
        </w:rPr>
        <w:t> </w:t>
      </w:r>
      <w:r>
        <w:rPr>
          <w:rFonts w:ascii="Segoe UI Semibold" w:hAnsi="Segoe UI Semibold"/>
          <w:b/>
          <w:i/>
          <w:color w:val="231F20"/>
          <w:spacing w:val="-4"/>
          <w:sz w:val="24"/>
        </w:rPr>
        <w:t>marked</w:t>
      </w:r>
      <w:r>
        <w:rPr>
          <w:rFonts w:ascii="Segoe UI Semibold" w:hAnsi="Segoe UI Semibold"/>
          <w:b/>
          <w:i/>
          <w:color w:val="231F20"/>
          <w:spacing w:val="-13"/>
          <w:sz w:val="24"/>
        </w:rPr>
        <w:t> </w:t>
      </w:r>
      <w:r>
        <w:rPr>
          <w:rFonts w:ascii="Segoe UI Semibold" w:hAnsi="Segoe UI Semibold"/>
          <w:b/>
          <w:i/>
          <w:color w:val="231F20"/>
          <w:spacing w:val="-4"/>
          <w:sz w:val="24"/>
        </w:rPr>
        <w:t>deviation</w:t>
      </w:r>
      <w:r>
        <w:rPr>
          <w:rFonts w:ascii="Segoe UI Semibold" w:hAnsi="Segoe UI Semibold"/>
          <w:b/>
          <w:i/>
          <w:color w:val="231F20"/>
          <w:spacing w:val="-12"/>
          <w:sz w:val="24"/>
        </w:rPr>
        <w:t> </w:t>
      </w:r>
      <w:r>
        <w:rPr>
          <w:rFonts w:ascii="Segoe UI Semibold" w:hAnsi="Segoe UI Semibold"/>
          <w:b/>
          <w:i/>
          <w:color w:val="231F20"/>
          <w:spacing w:val="-4"/>
          <w:sz w:val="24"/>
        </w:rPr>
        <w:t>in her</w:t>
      </w:r>
      <w:r>
        <w:rPr>
          <w:rFonts w:ascii="Segoe UI Semibold" w:hAnsi="Segoe UI Semibold"/>
          <w:b/>
          <w:i/>
          <w:color w:val="231F20"/>
          <w:spacing w:val="-10"/>
          <w:sz w:val="24"/>
        </w:rPr>
        <w:t> </w:t>
      </w:r>
      <w:r>
        <w:rPr>
          <w:rFonts w:ascii="Segoe UI Semibold" w:hAnsi="Segoe UI Semibold"/>
          <w:b/>
          <w:i/>
          <w:color w:val="231F20"/>
          <w:spacing w:val="-4"/>
          <w:sz w:val="24"/>
        </w:rPr>
        <w:t>spine</w:t>
      </w:r>
      <w:r>
        <w:rPr>
          <w:rFonts w:ascii="Segoe UI Semibold" w:hAnsi="Segoe UI Semibold"/>
          <w:b/>
          <w:i/>
          <w:color w:val="231F20"/>
          <w:spacing w:val="-10"/>
          <w:sz w:val="24"/>
        </w:rPr>
        <w:t> </w:t>
      </w:r>
      <w:r>
        <w:rPr>
          <w:rFonts w:ascii="Segoe UI Semibold" w:hAnsi="Segoe UI Semibold"/>
          <w:b/>
          <w:i/>
          <w:color w:val="231F20"/>
          <w:spacing w:val="-4"/>
          <w:sz w:val="24"/>
        </w:rPr>
        <w:t>accompanied</w:t>
      </w:r>
      <w:r>
        <w:rPr>
          <w:rFonts w:ascii="Segoe UI Semibold" w:hAnsi="Segoe UI Semibold"/>
          <w:b/>
          <w:i/>
          <w:color w:val="231F20"/>
          <w:spacing w:val="-10"/>
          <w:sz w:val="24"/>
        </w:rPr>
        <w:t> </w:t>
      </w:r>
      <w:r>
        <w:rPr>
          <w:rFonts w:ascii="Segoe UI Semibold" w:hAnsi="Segoe UI Semibold"/>
          <w:b/>
          <w:i/>
          <w:color w:val="231F20"/>
          <w:spacing w:val="-4"/>
          <w:sz w:val="24"/>
        </w:rPr>
        <w:t>by</w:t>
      </w:r>
      <w:r>
        <w:rPr>
          <w:rFonts w:ascii="Segoe UI Semibold" w:hAnsi="Segoe UI Semibold"/>
          <w:b/>
          <w:i/>
          <w:color w:val="231F20"/>
          <w:spacing w:val="-10"/>
          <w:sz w:val="24"/>
        </w:rPr>
        <w:t> </w:t>
      </w:r>
      <w:r>
        <w:rPr>
          <w:rFonts w:ascii="Segoe UI Semibold" w:hAnsi="Segoe UI Semibold"/>
          <w:b/>
          <w:i/>
          <w:color w:val="231F20"/>
          <w:spacing w:val="-4"/>
          <w:sz w:val="24"/>
        </w:rPr>
        <w:t>convexity</w:t>
      </w:r>
      <w:r>
        <w:rPr>
          <w:rFonts w:ascii="Segoe UI Semibold" w:hAnsi="Segoe UI Semibold"/>
          <w:b/>
          <w:i/>
          <w:color w:val="231F20"/>
          <w:spacing w:val="-10"/>
          <w:sz w:val="24"/>
        </w:rPr>
        <w:t> </w:t>
      </w:r>
      <w:r>
        <w:rPr>
          <w:rFonts w:ascii="Segoe UI Semibold" w:hAnsi="Segoe UI Semibold"/>
          <w:b/>
          <w:i/>
          <w:color w:val="231F20"/>
          <w:spacing w:val="-4"/>
          <w:sz w:val="24"/>
        </w:rPr>
        <w:t>in</w:t>
      </w:r>
      <w:r>
        <w:rPr>
          <w:rFonts w:ascii="Segoe UI Semibold" w:hAnsi="Segoe UI Semibold"/>
          <w:b/>
          <w:i/>
          <w:color w:val="231F20"/>
          <w:spacing w:val="-10"/>
          <w:sz w:val="24"/>
        </w:rPr>
        <w:t> </w:t>
      </w:r>
      <w:r>
        <w:rPr>
          <w:rFonts w:ascii="Segoe UI Semibold" w:hAnsi="Segoe UI Semibold"/>
          <w:b/>
          <w:i/>
          <w:color w:val="231F20"/>
          <w:spacing w:val="-4"/>
          <w:sz w:val="24"/>
        </w:rPr>
        <w:t>the </w:t>
      </w:r>
      <w:r>
        <w:rPr>
          <w:rFonts w:ascii="Segoe UI Semibold" w:hAnsi="Segoe UI Semibold"/>
          <w:b/>
          <w:i/>
          <w:color w:val="231F20"/>
          <w:spacing w:val="-2"/>
          <w:sz w:val="24"/>
        </w:rPr>
        <w:t>thoracic</w:t>
      </w:r>
      <w:r>
        <w:rPr>
          <w:rFonts w:ascii="Segoe UI Semibold" w:hAnsi="Segoe UI Semibold"/>
          <w:b/>
          <w:i/>
          <w:color w:val="231F20"/>
          <w:spacing w:val="-9"/>
          <w:sz w:val="24"/>
        </w:rPr>
        <w:t> </w:t>
      </w:r>
      <w:r>
        <w:rPr>
          <w:rFonts w:ascii="Segoe UI Semibold" w:hAnsi="Segoe UI Semibold"/>
          <w:b/>
          <w:i/>
          <w:color w:val="231F20"/>
          <w:spacing w:val="-2"/>
          <w:sz w:val="24"/>
        </w:rPr>
        <w:t>region</w:t>
      </w:r>
      <w:r>
        <w:rPr>
          <w:rFonts w:ascii="Segoe UI Semibold" w:hAnsi="Segoe UI Semibold"/>
          <w:b/>
          <w:i/>
          <w:color w:val="231F20"/>
          <w:spacing w:val="-9"/>
          <w:sz w:val="24"/>
        </w:rPr>
        <w:t> </w:t>
      </w:r>
      <w:r>
        <w:rPr>
          <w:rFonts w:ascii="Segoe UI Semibold" w:hAnsi="Segoe UI Semibold"/>
          <w:b/>
          <w:i/>
          <w:color w:val="231F20"/>
          <w:spacing w:val="-2"/>
          <w:sz w:val="24"/>
        </w:rPr>
        <w:t>and</w:t>
      </w:r>
      <w:r>
        <w:rPr>
          <w:rFonts w:ascii="Segoe UI Semibold" w:hAnsi="Segoe UI Semibold"/>
          <w:b/>
          <w:i/>
          <w:color w:val="231F20"/>
          <w:spacing w:val="-9"/>
          <w:sz w:val="24"/>
        </w:rPr>
        <w:t> </w:t>
      </w:r>
      <w:r>
        <w:rPr>
          <w:rFonts w:ascii="Segoe UI Semibold" w:hAnsi="Segoe UI Semibold"/>
          <w:b/>
          <w:i/>
          <w:color w:val="231F20"/>
          <w:spacing w:val="-2"/>
          <w:sz w:val="24"/>
        </w:rPr>
        <w:t>posterior</w:t>
      </w:r>
      <w:r>
        <w:rPr>
          <w:rFonts w:ascii="Segoe UI Semibold" w:hAnsi="Segoe UI Semibold"/>
          <w:b/>
          <w:i/>
          <w:color w:val="231F20"/>
          <w:spacing w:val="-9"/>
          <w:sz w:val="24"/>
        </w:rPr>
        <w:t> </w:t>
      </w:r>
      <w:r>
        <w:rPr>
          <w:rFonts w:ascii="Segoe UI Semibold" w:hAnsi="Segoe UI Semibold"/>
          <w:b/>
          <w:i/>
          <w:color w:val="231F20"/>
          <w:spacing w:val="-2"/>
          <w:sz w:val="24"/>
        </w:rPr>
        <w:t>column</w:t>
      </w:r>
      <w:r>
        <w:rPr>
          <w:color w:val="231F20"/>
          <w:spacing w:val="-2"/>
          <w:sz w:val="24"/>
        </w:rPr>
        <w:t>.</w:t>
      </w:r>
      <w:r>
        <w:rPr>
          <w:color w:val="231F20"/>
          <w:spacing w:val="-9"/>
          <w:sz w:val="24"/>
        </w:rPr>
        <w:t> </w:t>
      </w:r>
      <w:r>
        <w:rPr>
          <w:color w:val="231F20"/>
          <w:spacing w:val="-2"/>
          <w:sz w:val="24"/>
        </w:rPr>
        <w:t>The geneticists</w:t>
      </w:r>
      <w:r>
        <w:rPr>
          <w:color w:val="231F20"/>
          <w:spacing w:val="-15"/>
          <w:sz w:val="24"/>
        </w:rPr>
        <w:t> </w:t>
      </w:r>
      <w:r>
        <w:rPr>
          <w:color w:val="231F20"/>
          <w:spacing w:val="-2"/>
          <w:sz w:val="24"/>
        </w:rPr>
        <w:t>suspected</w:t>
      </w:r>
      <w:r>
        <w:rPr>
          <w:color w:val="231F20"/>
          <w:spacing w:val="-14"/>
          <w:sz w:val="24"/>
        </w:rPr>
        <w:t> </w:t>
      </w:r>
      <w:r>
        <w:rPr>
          <w:color w:val="231F20"/>
          <w:spacing w:val="-2"/>
          <w:sz w:val="24"/>
        </w:rPr>
        <w:t>Kozlowski</w:t>
      </w:r>
      <w:r>
        <w:rPr>
          <w:color w:val="231F20"/>
          <w:spacing w:val="-15"/>
          <w:sz w:val="24"/>
        </w:rPr>
        <w:t> </w:t>
      </w:r>
      <w:r>
        <w:rPr>
          <w:color w:val="231F20"/>
          <w:spacing w:val="-2"/>
          <w:sz w:val="24"/>
        </w:rPr>
        <w:t>syndrome, </w:t>
      </w:r>
      <w:r>
        <w:rPr>
          <w:color w:val="231F20"/>
          <w:sz w:val="24"/>
        </w:rPr>
        <w:t>a</w:t>
      </w:r>
      <w:r>
        <w:rPr>
          <w:color w:val="231F20"/>
          <w:spacing w:val="-17"/>
          <w:sz w:val="24"/>
        </w:rPr>
        <w:t> </w:t>
      </w:r>
      <w:r>
        <w:rPr>
          <w:color w:val="231F20"/>
          <w:sz w:val="24"/>
        </w:rPr>
        <w:t>severe</w:t>
      </w:r>
      <w:r>
        <w:rPr>
          <w:color w:val="231F20"/>
          <w:spacing w:val="-16"/>
          <w:sz w:val="24"/>
        </w:rPr>
        <w:t> </w:t>
      </w:r>
      <w:r>
        <w:rPr>
          <w:color w:val="231F20"/>
          <w:sz w:val="24"/>
        </w:rPr>
        <w:t>bone</w:t>
      </w:r>
      <w:r>
        <w:rPr>
          <w:color w:val="231F20"/>
          <w:spacing w:val="-17"/>
          <w:sz w:val="24"/>
        </w:rPr>
        <w:t> </w:t>
      </w:r>
      <w:r>
        <w:rPr>
          <w:color w:val="231F20"/>
          <w:sz w:val="24"/>
        </w:rPr>
        <w:t>disease</w:t>
      </w:r>
      <w:r>
        <w:rPr>
          <w:color w:val="231F20"/>
          <w:spacing w:val="-16"/>
          <w:sz w:val="24"/>
        </w:rPr>
        <w:t> </w:t>
      </w:r>
      <w:r>
        <w:rPr>
          <w:color w:val="231F20"/>
          <w:sz w:val="24"/>
        </w:rPr>
        <w:t>(dysplasia)</w:t>
      </w:r>
      <w:r>
        <w:rPr>
          <w:color w:val="231F20"/>
          <w:spacing w:val="-17"/>
          <w:sz w:val="24"/>
        </w:rPr>
        <w:t> </w:t>
      </w:r>
      <w:r>
        <w:rPr>
          <w:color w:val="231F20"/>
          <w:sz w:val="24"/>
        </w:rPr>
        <w:t>affecting </w:t>
      </w:r>
      <w:r>
        <w:rPr>
          <w:color w:val="231F20"/>
          <w:spacing w:val="-2"/>
          <w:sz w:val="24"/>
        </w:rPr>
        <w:t>the</w:t>
      </w:r>
      <w:r>
        <w:rPr>
          <w:color w:val="231F20"/>
          <w:spacing w:val="-15"/>
          <w:sz w:val="24"/>
        </w:rPr>
        <w:t> </w:t>
      </w:r>
      <w:r>
        <w:rPr>
          <w:color w:val="231F20"/>
          <w:spacing w:val="-2"/>
          <w:sz w:val="24"/>
        </w:rPr>
        <w:t>spine</w:t>
      </w:r>
      <w:r>
        <w:rPr>
          <w:color w:val="231F20"/>
          <w:spacing w:val="-14"/>
          <w:sz w:val="24"/>
        </w:rPr>
        <w:t> </w:t>
      </w:r>
      <w:r>
        <w:rPr>
          <w:color w:val="231F20"/>
          <w:spacing w:val="-2"/>
          <w:sz w:val="24"/>
        </w:rPr>
        <w:t>and</w:t>
      </w:r>
      <w:r>
        <w:rPr>
          <w:color w:val="231F20"/>
          <w:spacing w:val="-15"/>
          <w:sz w:val="24"/>
        </w:rPr>
        <w:t> </w:t>
      </w:r>
      <w:r>
        <w:rPr>
          <w:color w:val="231F20"/>
          <w:spacing w:val="-2"/>
          <w:sz w:val="24"/>
        </w:rPr>
        <w:t>the</w:t>
      </w:r>
      <w:r>
        <w:rPr>
          <w:color w:val="231F20"/>
          <w:spacing w:val="-14"/>
          <w:sz w:val="24"/>
        </w:rPr>
        <w:t> </w:t>
      </w:r>
      <w:r>
        <w:rPr>
          <w:color w:val="231F20"/>
          <w:spacing w:val="-2"/>
          <w:sz w:val="24"/>
        </w:rPr>
        <w:t>metaphysis</w:t>
      </w:r>
      <w:r>
        <w:rPr>
          <w:color w:val="231F20"/>
          <w:spacing w:val="-15"/>
          <w:sz w:val="24"/>
        </w:rPr>
        <w:t> </w:t>
      </w:r>
      <w:r>
        <w:rPr>
          <w:color w:val="231F20"/>
          <w:spacing w:val="-2"/>
          <w:sz w:val="24"/>
        </w:rPr>
        <w:t>of</w:t>
      </w:r>
      <w:r>
        <w:rPr>
          <w:color w:val="231F20"/>
          <w:spacing w:val="-14"/>
          <w:sz w:val="24"/>
        </w:rPr>
        <w:t> </w:t>
      </w:r>
      <w:r>
        <w:rPr>
          <w:color w:val="231F20"/>
          <w:spacing w:val="-2"/>
          <w:sz w:val="24"/>
        </w:rPr>
        <w:t>the</w:t>
      </w:r>
      <w:r>
        <w:rPr>
          <w:color w:val="231F20"/>
          <w:spacing w:val="-15"/>
          <w:sz w:val="24"/>
        </w:rPr>
        <w:t> </w:t>
      </w:r>
      <w:r>
        <w:rPr>
          <w:color w:val="231F20"/>
          <w:spacing w:val="-2"/>
          <w:sz w:val="24"/>
        </w:rPr>
        <w:t>body’s </w:t>
      </w:r>
      <w:r>
        <w:rPr>
          <w:color w:val="231F20"/>
          <w:sz w:val="24"/>
        </w:rPr>
        <w:t>long</w:t>
      </w:r>
      <w:r>
        <w:rPr>
          <w:color w:val="231F20"/>
          <w:spacing w:val="-1"/>
          <w:sz w:val="24"/>
        </w:rPr>
        <w:t> </w:t>
      </w:r>
      <w:r>
        <w:rPr>
          <w:color w:val="231F20"/>
          <w:sz w:val="24"/>
        </w:rPr>
        <w:t>bones.</w:t>
      </w:r>
      <w:r>
        <w:rPr>
          <w:color w:val="231F20"/>
          <w:spacing w:val="-1"/>
          <w:sz w:val="24"/>
        </w:rPr>
        <w:t> </w:t>
      </w:r>
      <w:r>
        <w:rPr>
          <w:color w:val="231F20"/>
          <w:sz w:val="24"/>
        </w:rPr>
        <w:t>There</w:t>
      </w:r>
      <w:r>
        <w:rPr>
          <w:color w:val="231F20"/>
          <w:spacing w:val="-1"/>
          <w:sz w:val="24"/>
        </w:rPr>
        <w:t> </w:t>
      </w:r>
      <w:r>
        <w:rPr>
          <w:color w:val="231F20"/>
          <w:sz w:val="24"/>
        </w:rPr>
        <w:t>are</w:t>
      </w:r>
      <w:r>
        <w:rPr>
          <w:color w:val="231F20"/>
          <w:spacing w:val="-1"/>
          <w:sz w:val="24"/>
        </w:rPr>
        <w:t> </w:t>
      </w:r>
      <w:r>
        <w:rPr>
          <w:color w:val="231F20"/>
          <w:sz w:val="24"/>
        </w:rPr>
        <w:t>around</w:t>
      </w:r>
      <w:r>
        <w:rPr>
          <w:color w:val="231F20"/>
          <w:spacing w:val="-1"/>
          <w:sz w:val="24"/>
        </w:rPr>
        <w:t> </w:t>
      </w:r>
      <w:r>
        <w:rPr>
          <w:color w:val="231F20"/>
          <w:sz w:val="24"/>
        </w:rPr>
        <w:t>1,000</w:t>
      </w:r>
      <w:r>
        <w:rPr>
          <w:color w:val="231F20"/>
          <w:spacing w:val="-1"/>
          <w:sz w:val="24"/>
        </w:rPr>
        <w:t> </w:t>
      </w:r>
      <w:r>
        <w:rPr>
          <w:color w:val="231F20"/>
          <w:sz w:val="24"/>
        </w:rPr>
        <w:t>cases worldwide. The blockade has prevented </w:t>
      </w:r>
      <w:r>
        <w:rPr>
          <w:color w:val="231F20"/>
          <w:spacing w:val="-10"/>
          <w:sz w:val="24"/>
        </w:rPr>
        <w:t>diagnosis</w:t>
      </w:r>
      <w:r>
        <w:rPr>
          <w:color w:val="231F20"/>
          <w:spacing w:val="-7"/>
          <w:sz w:val="24"/>
        </w:rPr>
        <w:t> </w:t>
      </w:r>
      <w:r>
        <w:rPr>
          <w:color w:val="231F20"/>
          <w:spacing w:val="-10"/>
          <w:sz w:val="24"/>
        </w:rPr>
        <w:t>of</w:t>
      </w:r>
      <w:r>
        <w:rPr>
          <w:color w:val="231F20"/>
          <w:spacing w:val="-6"/>
          <w:sz w:val="24"/>
        </w:rPr>
        <w:t> </w:t>
      </w:r>
      <w:r>
        <w:rPr>
          <w:color w:val="231F20"/>
          <w:spacing w:val="-10"/>
          <w:sz w:val="24"/>
        </w:rPr>
        <w:t>this</w:t>
      </w:r>
      <w:r>
        <w:rPr>
          <w:color w:val="231F20"/>
          <w:spacing w:val="-7"/>
          <w:sz w:val="24"/>
        </w:rPr>
        <w:t> </w:t>
      </w:r>
      <w:r>
        <w:rPr>
          <w:color w:val="231F20"/>
          <w:spacing w:val="-10"/>
          <w:sz w:val="24"/>
        </w:rPr>
        <w:t>condition</w:t>
      </w:r>
      <w:r>
        <w:rPr>
          <w:color w:val="231F20"/>
          <w:spacing w:val="-6"/>
          <w:sz w:val="24"/>
        </w:rPr>
        <w:t> </w:t>
      </w:r>
      <w:r>
        <w:rPr>
          <w:color w:val="231F20"/>
          <w:spacing w:val="-10"/>
          <w:sz w:val="24"/>
        </w:rPr>
        <w:t>in</w:t>
      </w:r>
      <w:r>
        <w:rPr>
          <w:color w:val="231F20"/>
          <w:spacing w:val="-7"/>
          <w:sz w:val="24"/>
        </w:rPr>
        <w:t> </w:t>
      </w:r>
      <w:r>
        <w:rPr>
          <w:color w:val="231F20"/>
          <w:spacing w:val="-10"/>
          <w:sz w:val="24"/>
        </w:rPr>
        <w:t>the</w:t>
      </w:r>
      <w:r>
        <w:rPr>
          <w:color w:val="231F20"/>
          <w:spacing w:val="-6"/>
          <w:sz w:val="24"/>
        </w:rPr>
        <w:t> </w:t>
      </w:r>
      <w:r>
        <w:rPr>
          <w:color w:val="231F20"/>
          <w:spacing w:val="-10"/>
          <w:sz w:val="24"/>
        </w:rPr>
        <w:t>country,</w:t>
      </w:r>
      <w:r>
        <w:rPr>
          <w:color w:val="231F20"/>
          <w:spacing w:val="-7"/>
          <w:sz w:val="24"/>
        </w:rPr>
        <w:t> </w:t>
      </w:r>
      <w:r>
        <w:rPr>
          <w:color w:val="231F20"/>
          <w:spacing w:val="-10"/>
          <w:sz w:val="24"/>
        </w:rPr>
        <w:t>due </w:t>
      </w:r>
      <w:r>
        <w:rPr>
          <w:color w:val="231F20"/>
          <w:sz w:val="24"/>
        </w:rPr>
        <w:t>to</w:t>
      </w:r>
      <w:r>
        <w:rPr>
          <w:color w:val="231F20"/>
          <w:spacing w:val="-15"/>
          <w:sz w:val="24"/>
        </w:rPr>
        <w:t> </w:t>
      </w:r>
      <w:r>
        <w:rPr>
          <w:color w:val="231F20"/>
          <w:sz w:val="24"/>
        </w:rPr>
        <w:t>the</w:t>
      </w:r>
      <w:r>
        <w:rPr>
          <w:color w:val="231F20"/>
          <w:spacing w:val="-15"/>
          <w:sz w:val="24"/>
        </w:rPr>
        <w:t> </w:t>
      </w:r>
      <w:r>
        <w:rPr>
          <w:color w:val="231F20"/>
          <w:sz w:val="24"/>
        </w:rPr>
        <w:t>absence</w:t>
      </w:r>
      <w:r>
        <w:rPr>
          <w:color w:val="231F20"/>
          <w:spacing w:val="-15"/>
          <w:sz w:val="24"/>
        </w:rPr>
        <w:t> </w:t>
      </w:r>
      <w:r>
        <w:rPr>
          <w:color w:val="231F20"/>
          <w:sz w:val="24"/>
        </w:rPr>
        <w:t>of</w:t>
      </w:r>
      <w:r>
        <w:rPr>
          <w:color w:val="231F20"/>
          <w:spacing w:val="-15"/>
          <w:sz w:val="24"/>
        </w:rPr>
        <w:t> </w:t>
      </w:r>
      <w:r>
        <w:rPr>
          <w:color w:val="231F20"/>
          <w:sz w:val="24"/>
        </w:rPr>
        <w:t>the</w:t>
      </w:r>
      <w:r>
        <w:rPr>
          <w:color w:val="231F20"/>
          <w:spacing w:val="-15"/>
          <w:sz w:val="24"/>
        </w:rPr>
        <w:t> </w:t>
      </w:r>
      <w:r>
        <w:rPr>
          <w:color w:val="231F20"/>
          <w:sz w:val="24"/>
        </w:rPr>
        <w:t>relevant</w:t>
      </w:r>
      <w:r>
        <w:rPr>
          <w:color w:val="231F20"/>
          <w:spacing w:val="-15"/>
          <w:sz w:val="24"/>
        </w:rPr>
        <w:t> </w:t>
      </w:r>
      <w:r>
        <w:rPr>
          <w:color w:val="231F20"/>
          <w:sz w:val="24"/>
        </w:rPr>
        <w:t>technology. It was necessary to fund the studies at an international laboratory, to confirm the </w:t>
      </w:r>
      <w:r>
        <w:rPr>
          <w:color w:val="231F20"/>
          <w:spacing w:val="-2"/>
          <w:sz w:val="24"/>
        </w:rPr>
        <w:t>diagnosis.</w:t>
      </w:r>
    </w:p>
    <w:p>
      <w:pPr>
        <w:spacing w:before="167"/>
        <w:ind w:left="1474" w:right="0" w:firstLine="0"/>
        <w:jc w:val="both"/>
        <w:rPr>
          <w:rFonts w:ascii="Segoe UI Semibold"/>
          <w:b/>
          <w:i/>
          <w:sz w:val="24"/>
        </w:rPr>
      </w:pPr>
      <w:r>
        <w:rPr>
          <w:rFonts w:ascii="Segoe UI Semibold"/>
          <w:b/>
          <w:i/>
          <w:color w:val="231F20"/>
          <w:sz w:val="24"/>
        </w:rPr>
        <w:t>An</w:t>
      </w:r>
      <w:r>
        <w:rPr>
          <w:rFonts w:ascii="Segoe UI Semibold"/>
          <w:b/>
          <w:i/>
          <w:color w:val="231F20"/>
          <w:spacing w:val="-17"/>
          <w:sz w:val="24"/>
        </w:rPr>
        <w:t> </w:t>
      </w:r>
      <w:r>
        <w:rPr>
          <w:rFonts w:ascii="Segoe UI Semibold"/>
          <w:b/>
          <w:i/>
          <w:color w:val="231F20"/>
          <w:sz w:val="24"/>
        </w:rPr>
        <w:t>8-year-old</w:t>
      </w:r>
      <w:r>
        <w:rPr>
          <w:rFonts w:ascii="Segoe UI Semibold"/>
          <w:b/>
          <w:i/>
          <w:color w:val="231F20"/>
          <w:spacing w:val="-16"/>
          <w:sz w:val="24"/>
        </w:rPr>
        <w:t> </w:t>
      </w:r>
      <w:r>
        <w:rPr>
          <w:rFonts w:ascii="Segoe UI Semibold"/>
          <w:b/>
          <w:i/>
          <w:color w:val="231F20"/>
          <w:sz w:val="24"/>
        </w:rPr>
        <w:t>boy,</w:t>
      </w:r>
      <w:r>
        <w:rPr>
          <w:rFonts w:ascii="Segoe UI Semibold"/>
          <w:b/>
          <w:i/>
          <w:color w:val="231F20"/>
          <w:spacing w:val="-17"/>
          <w:sz w:val="24"/>
        </w:rPr>
        <w:t> </w:t>
      </w:r>
      <w:r>
        <w:rPr>
          <w:rFonts w:ascii="Segoe UI Semibold"/>
          <w:b/>
          <w:i/>
          <w:color w:val="231F20"/>
          <w:sz w:val="24"/>
        </w:rPr>
        <w:t>living</w:t>
      </w:r>
      <w:r>
        <w:rPr>
          <w:rFonts w:ascii="Segoe UI Semibold"/>
          <w:b/>
          <w:i/>
          <w:color w:val="231F20"/>
          <w:spacing w:val="-16"/>
          <w:sz w:val="24"/>
        </w:rPr>
        <w:t> </w:t>
      </w:r>
      <w:r>
        <w:rPr>
          <w:rFonts w:ascii="Segoe UI Semibold"/>
          <w:b/>
          <w:i/>
          <w:color w:val="231F20"/>
          <w:sz w:val="24"/>
        </w:rPr>
        <w:t>in</w:t>
      </w:r>
      <w:r>
        <w:rPr>
          <w:rFonts w:ascii="Segoe UI Semibold"/>
          <w:b/>
          <w:i/>
          <w:color w:val="231F20"/>
          <w:spacing w:val="-17"/>
          <w:sz w:val="24"/>
        </w:rPr>
        <w:t> </w:t>
      </w:r>
      <w:r>
        <w:rPr>
          <w:rFonts w:ascii="Segoe UI Semibold"/>
          <w:b/>
          <w:i/>
          <w:color w:val="231F20"/>
          <w:sz w:val="24"/>
        </w:rPr>
        <w:t>eastern</w:t>
      </w:r>
      <w:r>
        <w:rPr>
          <w:rFonts w:ascii="Segoe UI Semibold"/>
          <w:b/>
          <w:i/>
          <w:color w:val="231F20"/>
          <w:spacing w:val="-16"/>
          <w:sz w:val="24"/>
        </w:rPr>
        <w:t> </w:t>
      </w:r>
      <w:r>
        <w:rPr>
          <w:rFonts w:ascii="Segoe UI Semibold"/>
          <w:b/>
          <w:i/>
          <w:color w:val="231F20"/>
          <w:sz w:val="24"/>
        </w:rPr>
        <w:t>Cuba,</w:t>
      </w:r>
      <w:r>
        <w:rPr>
          <w:rFonts w:ascii="Segoe UI Semibold"/>
          <w:b/>
          <w:i/>
          <w:color w:val="231F20"/>
          <w:sz w:val="24"/>
        </w:rPr>
        <w:t> in</w:t>
      </w:r>
      <w:r>
        <w:rPr>
          <w:rFonts w:ascii="Segoe UI Semibold"/>
          <w:b/>
          <w:i/>
          <w:color w:val="231F20"/>
          <w:spacing w:val="-6"/>
          <w:sz w:val="24"/>
        </w:rPr>
        <w:t> </w:t>
      </w:r>
      <w:r>
        <w:rPr>
          <w:rFonts w:ascii="Segoe UI Semibold"/>
          <w:b/>
          <w:i/>
          <w:color w:val="231F20"/>
          <w:sz w:val="24"/>
        </w:rPr>
        <w:t>2018</w:t>
      </w:r>
      <w:r>
        <w:rPr>
          <w:rFonts w:ascii="Segoe UI Semibold"/>
          <w:b/>
          <w:i/>
          <w:color w:val="231F20"/>
          <w:spacing w:val="-5"/>
          <w:sz w:val="24"/>
        </w:rPr>
        <w:t> </w:t>
      </w:r>
      <w:r>
        <w:rPr>
          <w:rFonts w:ascii="Segoe UI Semibold"/>
          <w:b/>
          <w:i/>
          <w:color w:val="231F20"/>
          <w:sz w:val="24"/>
        </w:rPr>
        <w:t>at</w:t>
      </w:r>
      <w:r>
        <w:rPr>
          <w:rFonts w:ascii="Segoe UI Semibold"/>
          <w:b/>
          <w:i/>
          <w:color w:val="231F20"/>
          <w:spacing w:val="-6"/>
          <w:sz w:val="24"/>
        </w:rPr>
        <w:t> </w:t>
      </w:r>
      <w:r>
        <w:rPr>
          <w:rFonts w:ascii="Segoe UI Semibold"/>
          <w:b/>
          <w:i/>
          <w:color w:val="231F20"/>
          <w:sz w:val="24"/>
        </w:rPr>
        <w:t>the</w:t>
      </w:r>
      <w:r>
        <w:rPr>
          <w:rFonts w:ascii="Segoe UI Semibold"/>
          <w:b/>
          <w:i/>
          <w:color w:val="231F20"/>
          <w:spacing w:val="-5"/>
          <w:sz w:val="24"/>
        </w:rPr>
        <w:t> </w:t>
      </w:r>
      <w:r>
        <w:rPr>
          <w:rFonts w:ascii="Segoe UI Semibold"/>
          <w:b/>
          <w:i/>
          <w:color w:val="231F20"/>
          <w:sz w:val="24"/>
        </w:rPr>
        <w:t>age</w:t>
      </w:r>
      <w:r>
        <w:rPr>
          <w:rFonts w:ascii="Segoe UI Semibold"/>
          <w:b/>
          <w:i/>
          <w:color w:val="231F20"/>
          <w:spacing w:val="-6"/>
          <w:sz w:val="24"/>
        </w:rPr>
        <w:t> </w:t>
      </w:r>
      <w:r>
        <w:rPr>
          <w:rFonts w:ascii="Segoe UI Semibold"/>
          <w:b/>
          <w:i/>
          <w:color w:val="231F20"/>
          <w:sz w:val="24"/>
        </w:rPr>
        <w:t>of</w:t>
      </w:r>
      <w:r>
        <w:rPr>
          <w:rFonts w:ascii="Segoe UI Semibold"/>
          <w:b/>
          <w:i/>
          <w:color w:val="231F20"/>
          <w:spacing w:val="-5"/>
          <w:sz w:val="24"/>
        </w:rPr>
        <w:t> </w:t>
      </w:r>
      <w:r>
        <w:rPr>
          <w:rFonts w:ascii="Segoe UI Semibold"/>
          <w:b/>
          <w:i/>
          <w:color w:val="231F20"/>
          <w:sz w:val="24"/>
        </w:rPr>
        <w:t>three</w:t>
      </w:r>
      <w:r>
        <w:rPr>
          <w:rFonts w:ascii="Segoe UI Semibold"/>
          <w:b/>
          <w:i/>
          <w:color w:val="231F20"/>
          <w:spacing w:val="-6"/>
          <w:sz w:val="24"/>
        </w:rPr>
        <w:t> </w:t>
      </w:r>
      <w:r>
        <w:rPr>
          <w:rFonts w:ascii="Segoe UI Semibold"/>
          <w:b/>
          <w:i/>
          <w:color w:val="231F20"/>
          <w:sz w:val="24"/>
        </w:rPr>
        <w:t>had</w:t>
      </w:r>
      <w:r>
        <w:rPr>
          <w:rFonts w:ascii="Segoe UI Semibold"/>
          <w:b/>
          <w:i/>
          <w:color w:val="231F20"/>
          <w:spacing w:val="-5"/>
          <w:sz w:val="24"/>
        </w:rPr>
        <w:t> </w:t>
      </w:r>
      <w:r>
        <w:rPr>
          <w:rFonts w:ascii="Segoe UI Semibold"/>
          <w:b/>
          <w:i/>
          <w:color w:val="231F20"/>
          <w:sz w:val="24"/>
        </w:rPr>
        <w:t>received</w:t>
      </w:r>
      <w:r>
        <w:rPr>
          <w:rFonts w:ascii="Segoe UI Semibold"/>
          <w:b/>
          <w:i/>
          <w:color w:val="231F20"/>
          <w:spacing w:val="-5"/>
          <w:sz w:val="24"/>
        </w:rPr>
        <w:t> </w:t>
      </w:r>
      <w:r>
        <w:rPr>
          <w:rFonts w:ascii="Segoe UI Semibold"/>
          <w:b/>
          <w:i/>
          <w:color w:val="231F20"/>
          <w:spacing w:val="-10"/>
          <w:sz w:val="24"/>
        </w:rPr>
        <w:t>a</w:t>
      </w:r>
    </w:p>
    <w:p>
      <w:pPr>
        <w:pStyle w:val="BodyText"/>
        <w:spacing w:before="96"/>
        <w:ind w:left="412" w:right="1132"/>
      </w:pPr>
      <w:r>
        <w:rPr/>
        <w:br w:type="column"/>
      </w:r>
      <w:r>
        <w:rPr>
          <w:rFonts w:ascii="Segoe UI Semibold" w:hAnsi="Segoe UI Semibold"/>
          <w:b/>
          <w:i/>
          <w:color w:val="231F20"/>
          <w:spacing w:val="-10"/>
        </w:rPr>
        <w:t>clinical</w:t>
      </w:r>
      <w:r>
        <w:rPr>
          <w:rFonts w:ascii="Segoe UI Semibold" w:hAnsi="Segoe UI Semibold"/>
          <w:b/>
          <w:i/>
          <w:color w:val="231F20"/>
        </w:rPr>
        <w:t> </w:t>
      </w:r>
      <w:r>
        <w:rPr>
          <w:rFonts w:ascii="Segoe UI Semibold" w:hAnsi="Segoe UI Semibold"/>
          <w:b/>
          <w:i/>
          <w:color w:val="231F20"/>
          <w:spacing w:val="-10"/>
        </w:rPr>
        <w:t>genetics</w:t>
      </w:r>
      <w:r>
        <w:rPr>
          <w:rFonts w:ascii="Segoe UI Semibold" w:hAnsi="Segoe UI Semibold"/>
          <w:b/>
          <w:i/>
          <w:color w:val="231F20"/>
        </w:rPr>
        <w:t> </w:t>
      </w:r>
      <w:r>
        <w:rPr>
          <w:rFonts w:ascii="Segoe UI Semibold" w:hAnsi="Segoe UI Semibold"/>
          <w:b/>
          <w:i/>
          <w:color w:val="231F20"/>
          <w:spacing w:val="-10"/>
        </w:rPr>
        <w:t>consultation</w:t>
      </w:r>
      <w:r>
        <w:rPr>
          <w:rFonts w:ascii="Segoe UI Semibold" w:hAnsi="Segoe UI Semibold"/>
          <w:b/>
          <w:i/>
          <w:color w:val="231F20"/>
        </w:rPr>
        <w:t> </w:t>
      </w:r>
      <w:r>
        <w:rPr>
          <w:rFonts w:ascii="Segoe UI Semibold" w:hAnsi="Segoe UI Semibold"/>
          <w:b/>
          <w:i/>
          <w:color w:val="231F20"/>
          <w:spacing w:val="-10"/>
        </w:rPr>
        <w:t>for</w:t>
      </w:r>
      <w:r>
        <w:rPr>
          <w:rFonts w:ascii="Segoe UI Semibold" w:hAnsi="Segoe UI Semibold"/>
          <w:b/>
          <w:i/>
          <w:color w:val="231F20"/>
        </w:rPr>
        <w:t> </w:t>
      </w:r>
      <w:r>
        <w:rPr>
          <w:rFonts w:ascii="Segoe UI Semibold" w:hAnsi="Segoe UI Semibold"/>
          <w:b/>
          <w:i/>
          <w:color w:val="231F20"/>
          <w:spacing w:val="-10"/>
        </w:rPr>
        <w:t>generalized</w:t>
      </w:r>
      <w:r>
        <w:rPr>
          <w:rFonts w:ascii="Segoe UI Semibold" w:hAnsi="Segoe UI Semibold"/>
          <w:b/>
          <w:i/>
          <w:color w:val="231F20"/>
          <w:spacing w:val="-10"/>
        </w:rPr>
        <w:t> </w:t>
      </w:r>
      <w:r>
        <w:rPr>
          <w:rFonts w:ascii="Segoe UI Semibold" w:hAnsi="Segoe UI Semibold"/>
          <w:b/>
          <w:i/>
          <w:color w:val="231F20"/>
          <w:spacing w:val="-2"/>
        </w:rPr>
        <w:t>muscular</w:t>
      </w:r>
      <w:r>
        <w:rPr>
          <w:rFonts w:ascii="Segoe UI Semibold" w:hAnsi="Segoe UI Semibold"/>
          <w:b/>
          <w:i/>
          <w:color w:val="231F20"/>
          <w:spacing w:val="-13"/>
        </w:rPr>
        <w:t> </w:t>
      </w:r>
      <w:r>
        <w:rPr>
          <w:rFonts w:ascii="Segoe UI Semibold" w:hAnsi="Segoe UI Semibold"/>
          <w:b/>
          <w:i/>
          <w:color w:val="231F20"/>
          <w:spacing w:val="-2"/>
        </w:rPr>
        <w:t>weakness;</w:t>
      </w:r>
      <w:r>
        <w:rPr>
          <w:rFonts w:ascii="Segoe UI Semibold" w:hAnsi="Segoe UI Semibold"/>
          <w:b/>
          <w:i/>
          <w:color w:val="231F20"/>
          <w:spacing w:val="-13"/>
        </w:rPr>
        <w:t> </w:t>
      </w:r>
      <w:r>
        <w:rPr>
          <w:rFonts w:ascii="Segoe UI Semibold" w:hAnsi="Segoe UI Semibold"/>
          <w:b/>
          <w:i/>
          <w:color w:val="231F20"/>
          <w:spacing w:val="-2"/>
        </w:rPr>
        <w:t>congenital</w:t>
      </w:r>
      <w:r>
        <w:rPr>
          <w:rFonts w:ascii="Segoe UI Semibold" w:hAnsi="Segoe UI Semibold"/>
          <w:b/>
          <w:i/>
          <w:color w:val="231F20"/>
          <w:spacing w:val="-13"/>
        </w:rPr>
        <w:t> </w:t>
      </w:r>
      <w:r>
        <w:rPr>
          <w:rFonts w:ascii="Segoe UI Semibold" w:hAnsi="Segoe UI Semibold"/>
          <w:b/>
          <w:i/>
          <w:color w:val="231F20"/>
          <w:spacing w:val="-2"/>
        </w:rPr>
        <w:t>myopathy </w:t>
      </w:r>
      <w:r>
        <w:rPr>
          <w:rFonts w:ascii="Segoe UI Semibold" w:hAnsi="Segoe UI Semibold"/>
          <w:b/>
          <w:i/>
          <w:color w:val="231F20"/>
          <w:spacing w:val="-6"/>
        </w:rPr>
        <w:t>with</w:t>
      </w:r>
      <w:r>
        <w:rPr>
          <w:rFonts w:ascii="Segoe UI Semibold" w:hAnsi="Segoe UI Semibold"/>
          <w:b/>
          <w:i/>
          <w:color w:val="231F20"/>
          <w:spacing w:val="-11"/>
        </w:rPr>
        <w:t> </w:t>
      </w:r>
      <w:r>
        <w:rPr>
          <w:rFonts w:ascii="Segoe UI Semibold" w:hAnsi="Segoe UI Semibold"/>
          <w:b/>
          <w:i/>
          <w:color w:val="231F20"/>
          <w:spacing w:val="-6"/>
        </w:rPr>
        <w:t>unspecified</w:t>
      </w:r>
      <w:r>
        <w:rPr>
          <w:rFonts w:ascii="Segoe UI Semibold" w:hAnsi="Segoe UI Semibold"/>
          <w:b/>
          <w:i/>
          <w:color w:val="231F20"/>
          <w:spacing w:val="-10"/>
        </w:rPr>
        <w:t> </w:t>
      </w:r>
      <w:r>
        <w:rPr>
          <w:rFonts w:ascii="Segoe UI Semibold" w:hAnsi="Segoe UI Semibold"/>
          <w:b/>
          <w:i/>
          <w:color w:val="231F20"/>
          <w:spacing w:val="-6"/>
        </w:rPr>
        <w:t>cause</w:t>
      </w:r>
      <w:r>
        <w:rPr>
          <w:rFonts w:ascii="Segoe UI Semibold" w:hAnsi="Segoe UI Semibold"/>
          <w:b/>
          <w:i/>
          <w:color w:val="231F20"/>
          <w:spacing w:val="-11"/>
        </w:rPr>
        <w:t> </w:t>
      </w:r>
      <w:r>
        <w:rPr>
          <w:rFonts w:ascii="Segoe UI Semibold" w:hAnsi="Segoe UI Semibold"/>
          <w:b/>
          <w:i/>
          <w:color w:val="231F20"/>
          <w:spacing w:val="-6"/>
        </w:rPr>
        <w:t>was</w:t>
      </w:r>
      <w:r>
        <w:rPr>
          <w:rFonts w:ascii="Segoe UI Semibold" w:hAnsi="Segoe UI Semibold"/>
          <w:b/>
          <w:i/>
          <w:color w:val="231F20"/>
          <w:spacing w:val="-10"/>
        </w:rPr>
        <w:t> </w:t>
      </w:r>
      <w:r>
        <w:rPr>
          <w:rFonts w:ascii="Segoe UI Semibold" w:hAnsi="Segoe UI Semibold"/>
          <w:b/>
          <w:i/>
          <w:color w:val="231F20"/>
          <w:spacing w:val="-6"/>
        </w:rPr>
        <w:t>suspected</w:t>
      </w:r>
      <w:r>
        <w:rPr>
          <w:color w:val="231F20"/>
          <w:spacing w:val="-6"/>
        </w:rPr>
        <w:t>.</w:t>
      </w:r>
      <w:r>
        <w:rPr>
          <w:color w:val="231F20"/>
          <w:spacing w:val="-11"/>
        </w:rPr>
        <w:t> </w:t>
      </w:r>
      <w:r>
        <w:rPr>
          <w:color w:val="231F20"/>
          <w:spacing w:val="-6"/>
        </w:rPr>
        <w:t>Non- </w:t>
      </w:r>
      <w:r>
        <w:rPr>
          <w:color w:val="231F20"/>
        </w:rPr>
        <w:t>availability of the laboratory technology </w:t>
      </w:r>
      <w:r>
        <w:rPr>
          <w:color w:val="231F20"/>
          <w:spacing w:val="-2"/>
        </w:rPr>
        <w:t>needed</w:t>
      </w:r>
      <w:r>
        <w:rPr>
          <w:color w:val="231F20"/>
          <w:spacing w:val="-15"/>
        </w:rPr>
        <w:t> </w:t>
      </w:r>
      <w:r>
        <w:rPr>
          <w:color w:val="231F20"/>
          <w:spacing w:val="-2"/>
        </w:rPr>
        <w:t>meant</w:t>
      </w:r>
      <w:r>
        <w:rPr>
          <w:color w:val="231F20"/>
          <w:spacing w:val="-14"/>
        </w:rPr>
        <w:t> </w:t>
      </w:r>
      <w:r>
        <w:rPr>
          <w:color w:val="231F20"/>
          <w:spacing w:val="-2"/>
        </w:rPr>
        <w:t>that</w:t>
      </w:r>
      <w:r>
        <w:rPr>
          <w:color w:val="231F20"/>
          <w:spacing w:val="-15"/>
        </w:rPr>
        <w:t> </w:t>
      </w:r>
      <w:r>
        <w:rPr>
          <w:color w:val="231F20"/>
          <w:spacing w:val="-2"/>
        </w:rPr>
        <w:t>the</w:t>
      </w:r>
      <w:r>
        <w:rPr>
          <w:color w:val="231F20"/>
          <w:spacing w:val="-14"/>
        </w:rPr>
        <w:t> </w:t>
      </w:r>
      <w:r>
        <w:rPr>
          <w:color w:val="231F20"/>
          <w:spacing w:val="-2"/>
        </w:rPr>
        <w:t>diagnosis</w:t>
      </w:r>
      <w:r>
        <w:rPr>
          <w:color w:val="231F20"/>
          <w:spacing w:val="-15"/>
        </w:rPr>
        <w:t> </w:t>
      </w:r>
      <w:r>
        <w:rPr>
          <w:color w:val="231F20"/>
          <w:spacing w:val="-2"/>
        </w:rPr>
        <w:t>could</w:t>
      </w:r>
      <w:r>
        <w:rPr>
          <w:color w:val="231F20"/>
          <w:spacing w:val="-14"/>
        </w:rPr>
        <w:t> </w:t>
      </w:r>
      <w:r>
        <w:rPr>
          <w:color w:val="231F20"/>
          <w:spacing w:val="-2"/>
        </w:rPr>
        <w:t>not </w:t>
      </w:r>
      <w:r>
        <w:rPr>
          <w:color w:val="231F20"/>
          <w:spacing w:val="-6"/>
        </w:rPr>
        <w:t>be</w:t>
      </w:r>
      <w:r>
        <w:rPr>
          <w:color w:val="231F20"/>
          <w:spacing w:val="-11"/>
        </w:rPr>
        <w:t> </w:t>
      </w:r>
      <w:r>
        <w:rPr>
          <w:color w:val="231F20"/>
          <w:spacing w:val="-6"/>
        </w:rPr>
        <w:t>finalized.</w:t>
      </w:r>
      <w:r>
        <w:rPr>
          <w:color w:val="231F20"/>
          <w:spacing w:val="-10"/>
        </w:rPr>
        <w:t> </w:t>
      </w:r>
      <w:r>
        <w:rPr>
          <w:color w:val="231F20"/>
          <w:spacing w:val="-6"/>
        </w:rPr>
        <w:t>It</w:t>
      </w:r>
      <w:r>
        <w:rPr>
          <w:color w:val="231F20"/>
          <w:spacing w:val="-11"/>
        </w:rPr>
        <w:t> </w:t>
      </w:r>
      <w:r>
        <w:rPr>
          <w:color w:val="231F20"/>
          <w:spacing w:val="-6"/>
        </w:rPr>
        <w:t>took</w:t>
      </w:r>
      <w:r>
        <w:rPr>
          <w:color w:val="231F20"/>
          <w:spacing w:val="-10"/>
        </w:rPr>
        <w:t> </w:t>
      </w:r>
      <w:r>
        <w:rPr>
          <w:color w:val="231F20"/>
          <w:spacing w:val="-6"/>
        </w:rPr>
        <w:t>three</w:t>
      </w:r>
      <w:r>
        <w:rPr>
          <w:color w:val="231F20"/>
          <w:spacing w:val="-11"/>
        </w:rPr>
        <w:t> </w:t>
      </w:r>
      <w:r>
        <w:rPr>
          <w:color w:val="231F20"/>
          <w:spacing w:val="-6"/>
        </w:rPr>
        <w:t>years,</w:t>
      </w:r>
      <w:r>
        <w:rPr>
          <w:color w:val="231F20"/>
          <w:spacing w:val="-10"/>
        </w:rPr>
        <w:t> </w:t>
      </w:r>
      <w:r>
        <w:rPr>
          <w:color w:val="231F20"/>
          <w:spacing w:val="-6"/>
        </w:rPr>
        <w:t>considerable </w:t>
      </w:r>
      <w:r>
        <w:rPr>
          <w:color w:val="231F20"/>
          <w:spacing w:val="-4"/>
        </w:rPr>
        <w:t>efforts</w:t>
      </w:r>
      <w:r>
        <w:rPr>
          <w:color w:val="231F20"/>
          <w:spacing w:val="-12"/>
        </w:rPr>
        <w:t> </w:t>
      </w:r>
      <w:r>
        <w:rPr>
          <w:color w:val="231F20"/>
          <w:spacing w:val="-4"/>
        </w:rPr>
        <w:t>and</w:t>
      </w:r>
      <w:r>
        <w:rPr>
          <w:color w:val="231F20"/>
          <w:spacing w:val="-12"/>
        </w:rPr>
        <w:t> </w:t>
      </w:r>
      <w:r>
        <w:rPr>
          <w:color w:val="231F20"/>
          <w:spacing w:val="-4"/>
        </w:rPr>
        <w:t>expensive</w:t>
      </w:r>
      <w:r>
        <w:rPr>
          <w:color w:val="231F20"/>
          <w:spacing w:val="-12"/>
        </w:rPr>
        <w:t> </w:t>
      </w:r>
      <w:r>
        <w:rPr>
          <w:color w:val="231F20"/>
          <w:spacing w:val="-4"/>
        </w:rPr>
        <w:t>investigations</w:t>
      </w:r>
      <w:r>
        <w:rPr>
          <w:color w:val="231F20"/>
          <w:spacing w:val="-12"/>
        </w:rPr>
        <w:t> </w:t>
      </w:r>
      <w:r>
        <w:rPr>
          <w:color w:val="231F20"/>
          <w:spacing w:val="-4"/>
        </w:rPr>
        <w:t>abroad </w:t>
      </w:r>
      <w:r>
        <w:rPr>
          <w:color w:val="231F20"/>
        </w:rPr>
        <w:t>to arrive at a final diagnosis, which was </w:t>
      </w:r>
      <w:r>
        <w:rPr>
          <w:color w:val="231F20"/>
          <w:spacing w:val="-2"/>
        </w:rPr>
        <w:t>confirmed</w:t>
      </w:r>
      <w:r>
        <w:rPr>
          <w:color w:val="231F20"/>
          <w:spacing w:val="-15"/>
        </w:rPr>
        <w:t> </w:t>
      </w:r>
      <w:r>
        <w:rPr>
          <w:color w:val="231F20"/>
          <w:spacing w:val="-2"/>
        </w:rPr>
        <w:t>in</w:t>
      </w:r>
      <w:r>
        <w:rPr>
          <w:color w:val="231F20"/>
          <w:spacing w:val="-14"/>
        </w:rPr>
        <w:t> </w:t>
      </w:r>
      <w:r>
        <w:rPr>
          <w:color w:val="231F20"/>
          <w:spacing w:val="-2"/>
        </w:rPr>
        <w:t>December</w:t>
      </w:r>
      <w:r>
        <w:rPr>
          <w:color w:val="231F20"/>
          <w:spacing w:val="-15"/>
        </w:rPr>
        <w:t> </w:t>
      </w:r>
      <w:r>
        <w:rPr>
          <w:color w:val="231F20"/>
          <w:spacing w:val="-2"/>
        </w:rPr>
        <w:t>2021,</w:t>
      </w:r>
      <w:r>
        <w:rPr>
          <w:color w:val="231F20"/>
          <w:spacing w:val="-14"/>
        </w:rPr>
        <w:t> </w:t>
      </w:r>
      <w:r>
        <w:rPr>
          <w:color w:val="231F20"/>
          <w:spacing w:val="-2"/>
        </w:rPr>
        <w:t>when</w:t>
      </w:r>
      <w:r>
        <w:rPr>
          <w:color w:val="231F20"/>
          <w:spacing w:val="-15"/>
        </w:rPr>
        <w:t> </w:t>
      </w:r>
      <w:r>
        <w:rPr>
          <w:color w:val="231F20"/>
          <w:spacing w:val="-2"/>
        </w:rPr>
        <w:t>he</w:t>
      </w:r>
      <w:r>
        <w:rPr>
          <w:color w:val="231F20"/>
          <w:spacing w:val="-14"/>
        </w:rPr>
        <w:t> </w:t>
      </w:r>
      <w:r>
        <w:rPr>
          <w:color w:val="231F20"/>
          <w:spacing w:val="-2"/>
        </w:rPr>
        <w:t>was </w:t>
      </w:r>
      <w:r>
        <w:rPr>
          <w:color w:val="231F20"/>
          <w:spacing w:val="-6"/>
        </w:rPr>
        <w:t>six.</w:t>
      </w:r>
      <w:r>
        <w:rPr>
          <w:color w:val="231F20"/>
          <w:spacing w:val="-11"/>
        </w:rPr>
        <w:t> </w:t>
      </w:r>
      <w:r>
        <w:rPr>
          <w:color w:val="231F20"/>
          <w:spacing w:val="-6"/>
        </w:rPr>
        <w:t>This</w:t>
      </w:r>
      <w:r>
        <w:rPr>
          <w:color w:val="231F20"/>
          <w:spacing w:val="-10"/>
        </w:rPr>
        <w:t> </w:t>
      </w:r>
      <w:r>
        <w:rPr>
          <w:color w:val="231F20"/>
          <w:spacing w:val="-6"/>
        </w:rPr>
        <w:t>was</w:t>
      </w:r>
      <w:r>
        <w:rPr>
          <w:color w:val="231F20"/>
          <w:spacing w:val="-10"/>
        </w:rPr>
        <w:t> </w:t>
      </w:r>
      <w:r>
        <w:rPr>
          <w:color w:val="231F20"/>
          <w:spacing w:val="-6"/>
        </w:rPr>
        <w:t>a</w:t>
      </w:r>
      <w:r>
        <w:rPr>
          <w:color w:val="231F20"/>
          <w:spacing w:val="-10"/>
        </w:rPr>
        <w:t> </w:t>
      </w:r>
      <w:r>
        <w:rPr>
          <w:color w:val="231F20"/>
          <w:spacing w:val="-6"/>
        </w:rPr>
        <w:t>case</w:t>
      </w:r>
      <w:r>
        <w:rPr>
          <w:color w:val="231F20"/>
          <w:spacing w:val="-10"/>
        </w:rPr>
        <w:t> </w:t>
      </w:r>
      <w:r>
        <w:rPr>
          <w:color w:val="231F20"/>
          <w:spacing w:val="-6"/>
        </w:rPr>
        <w:t>of</w:t>
      </w:r>
      <w:r>
        <w:rPr>
          <w:color w:val="231F20"/>
          <w:spacing w:val="-10"/>
        </w:rPr>
        <w:t> </w:t>
      </w:r>
      <w:r>
        <w:rPr>
          <w:color w:val="231F20"/>
          <w:spacing w:val="-6"/>
        </w:rPr>
        <w:t>Pelizaeus–Merzbacher </w:t>
      </w:r>
      <w:r>
        <w:rPr>
          <w:color w:val="231F20"/>
          <w:spacing w:val="-2"/>
        </w:rPr>
        <w:t>disease</w:t>
      </w:r>
      <w:r>
        <w:rPr>
          <w:color w:val="231F20"/>
          <w:spacing w:val="-15"/>
        </w:rPr>
        <w:t> </w:t>
      </w:r>
      <w:r>
        <w:rPr>
          <w:color w:val="231F20"/>
          <w:spacing w:val="-2"/>
        </w:rPr>
        <w:t>(PMD),</w:t>
      </w:r>
      <w:r>
        <w:rPr>
          <w:color w:val="231F20"/>
          <w:spacing w:val="-14"/>
        </w:rPr>
        <w:t> </w:t>
      </w:r>
      <w:r>
        <w:rPr>
          <w:color w:val="231F20"/>
          <w:spacing w:val="-2"/>
        </w:rPr>
        <w:t>a</w:t>
      </w:r>
      <w:r>
        <w:rPr>
          <w:color w:val="231F20"/>
          <w:spacing w:val="-15"/>
        </w:rPr>
        <w:t> </w:t>
      </w:r>
      <w:r>
        <w:rPr>
          <w:color w:val="231F20"/>
          <w:spacing w:val="-2"/>
        </w:rPr>
        <w:t>variant</w:t>
      </w:r>
      <w:r>
        <w:rPr>
          <w:color w:val="231F20"/>
          <w:spacing w:val="-14"/>
        </w:rPr>
        <w:t> </w:t>
      </w:r>
      <w:r>
        <w:rPr>
          <w:color w:val="231F20"/>
          <w:spacing w:val="-2"/>
        </w:rPr>
        <w:t>of</w:t>
      </w:r>
      <w:r>
        <w:rPr>
          <w:color w:val="231F20"/>
          <w:spacing w:val="-15"/>
        </w:rPr>
        <w:t> </w:t>
      </w:r>
      <w:r>
        <w:rPr>
          <w:color w:val="231F20"/>
          <w:spacing w:val="-2"/>
        </w:rPr>
        <w:t>leukodystrophy, </w:t>
      </w:r>
      <w:r>
        <w:rPr>
          <w:color w:val="231F20"/>
        </w:rPr>
        <w:t>which involves impairment of the white matter that surrounds nerve fibers. Worldwide,</w:t>
      </w:r>
      <w:r>
        <w:rPr>
          <w:color w:val="231F20"/>
          <w:spacing w:val="-14"/>
        </w:rPr>
        <w:t> </w:t>
      </w:r>
      <w:r>
        <w:rPr>
          <w:color w:val="231F20"/>
        </w:rPr>
        <w:t>the</w:t>
      </w:r>
      <w:r>
        <w:rPr>
          <w:color w:val="231F20"/>
          <w:spacing w:val="-14"/>
        </w:rPr>
        <w:t> </w:t>
      </w:r>
      <w:r>
        <w:rPr>
          <w:color w:val="231F20"/>
        </w:rPr>
        <w:t>incidence</w:t>
      </w:r>
      <w:r>
        <w:rPr>
          <w:color w:val="231F20"/>
          <w:spacing w:val="-14"/>
        </w:rPr>
        <w:t> </w:t>
      </w:r>
      <w:r>
        <w:rPr>
          <w:color w:val="231F20"/>
        </w:rPr>
        <w:t>of</w:t>
      </w:r>
      <w:r>
        <w:rPr>
          <w:color w:val="231F20"/>
          <w:spacing w:val="-14"/>
        </w:rPr>
        <w:t> </w:t>
      </w:r>
      <w:r>
        <w:rPr>
          <w:color w:val="231F20"/>
        </w:rPr>
        <w:t>this</w:t>
      </w:r>
      <w:r>
        <w:rPr>
          <w:color w:val="231F20"/>
          <w:spacing w:val="-14"/>
        </w:rPr>
        <w:t> </w:t>
      </w:r>
      <w:r>
        <w:rPr>
          <w:color w:val="231F20"/>
        </w:rPr>
        <w:t>disease</w:t>
      </w:r>
      <w:r>
        <w:rPr>
          <w:color w:val="231F20"/>
          <w:spacing w:val="-14"/>
        </w:rPr>
        <w:t> </w:t>
      </w:r>
      <w:r>
        <w:rPr>
          <w:color w:val="231F20"/>
        </w:rPr>
        <w:t>is no more than 1 in 400,000.</w:t>
      </w:r>
    </w:p>
    <w:p>
      <w:pPr>
        <w:pStyle w:val="BodyText"/>
        <w:spacing w:before="169"/>
        <w:ind w:left="412" w:right="1134"/>
      </w:pPr>
      <w:r>
        <w:rPr>
          <w:color w:val="231F20"/>
          <w:spacing w:val="-6"/>
        </w:rPr>
        <w:t>Cuba</w:t>
      </w:r>
      <w:r>
        <w:rPr>
          <w:color w:val="231F20"/>
          <w:spacing w:val="-11"/>
        </w:rPr>
        <w:t> </w:t>
      </w:r>
      <w:r>
        <w:rPr>
          <w:color w:val="231F20"/>
          <w:spacing w:val="-6"/>
        </w:rPr>
        <w:t>cannot</w:t>
      </w:r>
      <w:r>
        <w:rPr>
          <w:color w:val="231F20"/>
          <w:spacing w:val="-10"/>
        </w:rPr>
        <w:t> </w:t>
      </w:r>
      <w:r>
        <w:rPr>
          <w:color w:val="231F20"/>
          <w:spacing w:val="-6"/>
        </w:rPr>
        <w:t>purchase</w:t>
      </w:r>
      <w:r>
        <w:rPr>
          <w:color w:val="231F20"/>
          <w:spacing w:val="-11"/>
        </w:rPr>
        <w:t> </w:t>
      </w:r>
      <w:r>
        <w:rPr>
          <w:color w:val="231F20"/>
          <w:spacing w:val="-6"/>
        </w:rPr>
        <w:t>sevelamer</w:t>
      </w:r>
      <w:r>
        <w:rPr>
          <w:color w:val="231F20"/>
          <w:spacing w:val="-10"/>
        </w:rPr>
        <w:t> </w:t>
      </w:r>
      <w:r>
        <w:rPr>
          <w:color w:val="231F20"/>
          <w:spacing w:val="-6"/>
        </w:rPr>
        <w:t>carbonate, </w:t>
      </w:r>
      <w:r>
        <w:rPr>
          <w:color w:val="231F20"/>
        </w:rPr>
        <w:t>a phosphate-binding medication used in treating</w:t>
      </w:r>
      <w:r>
        <w:rPr>
          <w:color w:val="231F20"/>
          <w:spacing w:val="-12"/>
        </w:rPr>
        <w:t> </w:t>
      </w:r>
      <w:r>
        <w:rPr>
          <w:color w:val="231F20"/>
        </w:rPr>
        <w:t>children</w:t>
      </w:r>
      <w:r>
        <w:rPr>
          <w:color w:val="231F20"/>
          <w:spacing w:val="-11"/>
        </w:rPr>
        <w:t> </w:t>
      </w:r>
      <w:r>
        <w:rPr>
          <w:color w:val="231F20"/>
        </w:rPr>
        <w:t>with</w:t>
      </w:r>
      <w:r>
        <w:rPr>
          <w:color w:val="231F20"/>
          <w:spacing w:val="-12"/>
        </w:rPr>
        <w:t> </w:t>
      </w:r>
      <w:r>
        <w:rPr>
          <w:color w:val="231F20"/>
        </w:rPr>
        <w:t>kidney</w:t>
      </w:r>
      <w:r>
        <w:rPr>
          <w:color w:val="231F20"/>
          <w:spacing w:val="-11"/>
        </w:rPr>
        <w:t> </w:t>
      </w:r>
      <w:r>
        <w:rPr>
          <w:color w:val="231F20"/>
        </w:rPr>
        <w:t>disease,</w:t>
      </w:r>
      <w:r>
        <w:rPr>
          <w:color w:val="231F20"/>
          <w:spacing w:val="-11"/>
        </w:rPr>
        <w:t> </w:t>
      </w:r>
      <w:r>
        <w:rPr>
          <w:color w:val="231F20"/>
          <w:spacing w:val="-5"/>
        </w:rPr>
        <w:t>from</w:t>
      </w:r>
    </w:p>
    <w:p>
      <w:pPr>
        <w:pStyle w:val="BodyText"/>
        <w:spacing w:before="3"/>
        <w:ind w:left="412" w:right="1135"/>
      </w:pPr>
      <w:r>
        <w:rPr>
          <w:color w:val="231F20"/>
        </w:rPr>
        <w:t>U.S.</w:t>
      </w:r>
      <w:r>
        <w:rPr>
          <w:color w:val="231F20"/>
          <w:spacing w:val="-17"/>
        </w:rPr>
        <w:t> </w:t>
      </w:r>
      <w:r>
        <w:rPr>
          <w:color w:val="231F20"/>
        </w:rPr>
        <w:t>firms.</w:t>
      </w:r>
      <w:r>
        <w:rPr>
          <w:color w:val="231F20"/>
          <w:spacing w:val="-16"/>
        </w:rPr>
        <w:t> </w:t>
      </w:r>
      <w:r>
        <w:rPr>
          <w:color w:val="231F20"/>
        </w:rPr>
        <w:t>Failure</w:t>
      </w:r>
      <w:r>
        <w:rPr>
          <w:color w:val="231F20"/>
          <w:spacing w:val="-17"/>
        </w:rPr>
        <w:t> </w:t>
      </w:r>
      <w:r>
        <w:rPr>
          <w:color w:val="231F20"/>
        </w:rPr>
        <w:t>to</w:t>
      </w:r>
      <w:r>
        <w:rPr>
          <w:color w:val="231F20"/>
          <w:spacing w:val="-16"/>
        </w:rPr>
        <w:t> </w:t>
      </w:r>
      <w:r>
        <w:rPr>
          <w:color w:val="231F20"/>
        </w:rPr>
        <w:t>administer</w:t>
      </w:r>
      <w:r>
        <w:rPr>
          <w:color w:val="231F20"/>
          <w:spacing w:val="-17"/>
        </w:rPr>
        <w:t> </w:t>
      </w:r>
      <w:r>
        <w:rPr>
          <w:color w:val="231F20"/>
        </w:rPr>
        <w:t>it</w:t>
      </w:r>
      <w:r>
        <w:rPr>
          <w:color w:val="231F20"/>
          <w:spacing w:val="-16"/>
        </w:rPr>
        <w:t> </w:t>
      </w:r>
      <w:r>
        <w:rPr>
          <w:color w:val="231F20"/>
        </w:rPr>
        <w:t>promptly exposes the patient to the risk of renal osteodystrophy and the resulting severe </w:t>
      </w:r>
      <w:r>
        <w:rPr>
          <w:color w:val="231F20"/>
          <w:spacing w:val="-6"/>
        </w:rPr>
        <w:t>bone</w:t>
      </w:r>
      <w:r>
        <w:rPr>
          <w:color w:val="231F20"/>
          <w:spacing w:val="-19"/>
        </w:rPr>
        <w:t> </w:t>
      </w:r>
      <w:r>
        <w:rPr>
          <w:color w:val="231F20"/>
          <w:spacing w:val="-6"/>
        </w:rPr>
        <w:t>malformation,</w:t>
      </w:r>
      <w:r>
        <w:rPr>
          <w:color w:val="231F20"/>
          <w:spacing w:val="-18"/>
        </w:rPr>
        <w:t> </w:t>
      </w:r>
      <w:r>
        <w:rPr>
          <w:color w:val="231F20"/>
          <w:spacing w:val="-6"/>
        </w:rPr>
        <w:t>which</w:t>
      </w:r>
      <w:r>
        <w:rPr>
          <w:color w:val="231F20"/>
          <w:spacing w:val="-18"/>
        </w:rPr>
        <w:t> </w:t>
      </w:r>
      <w:r>
        <w:rPr>
          <w:color w:val="231F20"/>
          <w:spacing w:val="-6"/>
        </w:rPr>
        <w:t>leads</w:t>
      </w:r>
      <w:r>
        <w:rPr>
          <w:color w:val="231F20"/>
          <w:spacing w:val="-18"/>
        </w:rPr>
        <w:t> </w:t>
      </w:r>
      <w:r>
        <w:rPr>
          <w:color w:val="231F20"/>
          <w:spacing w:val="-6"/>
        </w:rPr>
        <w:t>to</w:t>
      </w:r>
      <w:r>
        <w:rPr>
          <w:color w:val="231F20"/>
          <w:spacing w:val="-18"/>
        </w:rPr>
        <w:t> </w:t>
      </w:r>
      <w:r>
        <w:rPr>
          <w:color w:val="231F20"/>
          <w:spacing w:val="-6"/>
        </w:rPr>
        <w:t>disability.</w:t>
      </w:r>
    </w:p>
    <w:p>
      <w:pPr>
        <w:pStyle w:val="BodyText"/>
        <w:spacing w:before="163"/>
        <w:ind w:left="412" w:right="1131"/>
      </w:pPr>
      <w:r>
        <w:rPr>
          <w:color w:val="231F20"/>
        </w:rPr>
        <w:t>A lack of catheters of the right caliber complicates</w:t>
      </w:r>
      <w:r>
        <w:rPr>
          <w:color w:val="231F20"/>
          <w:spacing w:val="-15"/>
        </w:rPr>
        <w:t> </w:t>
      </w:r>
      <w:r>
        <w:rPr>
          <w:color w:val="231F20"/>
        </w:rPr>
        <w:t>the</w:t>
      </w:r>
      <w:r>
        <w:rPr>
          <w:color w:val="231F20"/>
          <w:spacing w:val="-15"/>
        </w:rPr>
        <w:t> </w:t>
      </w:r>
      <w:r>
        <w:rPr>
          <w:color w:val="231F20"/>
        </w:rPr>
        <w:t>dialysis</w:t>
      </w:r>
      <w:r>
        <w:rPr>
          <w:color w:val="231F20"/>
          <w:spacing w:val="-15"/>
        </w:rPr>
        <w:t> </w:t>
      </w:r>
      <w:r>
        <w:rPr>
          <w:color w:val="231F20"/>
        </w:rPr>
        <w:t>needed</w:t>
      </w:r>
      <w:r>
        <w:rPr>
          <w:color w:val="231F20"/>
          <w:spacing w:val="-15"/>
        </w:rPr>
        <w:t> </w:t>
      </w:r>
      <w:r>
        <w:rPr>
          <w:color w:val="231F20"/>
        </w:rPr>
        <w:t>for</w:t>
      </w:r>
      <w:r>
        <w:rPr>
          <w:color w:val="231F20"/>
          <w:spacing w:val="-15"/>
        </w:rPr>
        <w:t> </w:t>
      </w:r>
      <w:r>
        <w:rPr>
          <w:color w:val="231F20"/>
        </w:rPr>
        <w:t>Cuban newborns</w:t>
      </w:r>
      <w:r>
        <w:rPr>
          <w:color w:val="231F20"/>
          <w:spacing w:val="40"/>
        </w:rPr>
        <w:t> </w:t>
      </w:r>
      <w:r>
        <w:rPr>
          <w:color w:val="231F20"/>
        </w:rPr>
        <w:t>with</w:t>
      </w:r>
      <w:r>
        <w:rPr>
          <w:color w:val="231F20"/>
          <w:spacing w:val="40"/>
        </w:rPr>
        <w:t> </w:t>
      </w:r>
      <w:r>
        <w:rPr>
          <w:color w:val="231F20"/>
        </w:rPr>
        <w:t>acute</w:t>
      </w:r>
      <w:r>
        <w:rPr>
          <w:color w:val="231F20"/>
          <w:spacing w:val="40"/>
        </w:rPr>
        <w:t> </w:t>
      </w:r>
      <w:r>
        <w:rPr>
          <w:color w:val="231F20"/>
        </w:rPr>
        <w:t>kidney</w:t>
      </w:r>
      <w:r>
        <w:rPr>
          <w:color w:val="231F20"/>
          <w:spacing w:val="40"/>
        </w:rPr>
        <w:t> </w:t>
      </w:r>
      <w:r>
        <w:rPr>
          <w:color w:val="231F20"/>
        </w:rPr>
        <w:t>failure.</w:t>
      </w:r>
      <w:r>
        <w:rPr>
          <w:color w:val="231F20"/>
          <w:spacing w:val="40"/>
        </w:rPr>
        <w:t> </w:t>
      </w:r>
      <w:r>
        <w:rPr>
          <w:color w:val="231F20"/>
        </w:rPr>
        <w:t>It has proved impossible to get supplies of these,</w:t>
      </w:r>
      <w:r>
        <w:rPr>
          <w:color w:val="231F20"/>
          <w:spacing w:val="-14"/>
        </w:rPr>
        <w:t> </w:t>
      </w:r>
      <w:r>
        <w:rPr>
          <w:color w:val="231F20"/>
        </w:rPr>
        <w:t>since</w:t>
      </w:r>
      <w:r>
        <w:rPr>
          <w:color w:val="231F20"/>
          <w:spacing w:val="-14"/>
        </w:rPr>
        <w:t> </w:t>
      </w:r>
      <w:r>
        <w:rPr>
          <w:color w:val="231F20"/>
        </w:rPr>
        <w:t>they</w:t>
      </w:r>
      <w:r>
        <w:rPr>
          <w:color w:val="231F20"/>
          <w:spacing w:val="-14"/>
        </w:rPr>
        <w:t> </w:t>
      </w:r>
      <w:r>
        <w:rPr>
          <w:color w:val="231F20"/>
        </w:rPr>
        <w:t>are</w:t>
      </w:r>
      <w:r>
        <w:rPr>
          <w:color w:val="231F20"/>
          <w:spacing w:val="-14"/>
        </w:rPr>
        <w:t> </w:t>
      </w:r>
      <w:r>
        <w:rPr>
          <w:color w:val="231F20"/>
        </w:rPr>
        <w:t>manufactured</w:t>
      </w:r>
      <w:r>
        <w:rPr>
          <w:color w:val="231F20"/>
          <w:spacing w:val="-14"/>
        </w:rPr>
        <w:t> </w:t>
      </w:r>
      <w:r>
        <w:rPr>
          <w:color w:val="231F20"/>
        </w:rPr>
        <w:t>by</w:t>
      </w:r>
      <w:r>
        <w:rPr>
          <w:color w:val="231F20"/>
          <w:spacing w:val="-14"/>
        </w:rPr>
        <w:t> </w:t>
      </w:r>
      <w:r>
        <w:rPr>
          <w:color w:val="231F20"/>
        </w:rPr>
        <w:t>U.S. firms banned from dealing with Cuba. To save these lives, it has consequently been </w:t>
      </w:r>
      <w:r>
        <w:rPr>
          <w:color w:val="231F20"/>
          <w:spacing w:val="-6"/>
        </w:rPr>
        <w:t>necessary</w:t>
      </w:r>
      <w:r>
        <w:rPr>
          <w:color w:val="231F20"/>
          <w:spacing w:val="-10"/>
        </w:rPr>
        <w:t> </w:t>
      </w:r>
      <w:r>
        <w:rPr>
          <w:color w:val="231F20"/>
          <w:spacing w:val="-6"/>
        </w:rPr>
        <w:t>to</w:t>
      </w:r>
      <w:r>
        <w:rPr>
          <w:color w:val="231F20"/>
          <w:spacing w:val="-7"/>
        </w:rPr>
        <w:t> </w:t>
      </w:r>
      <w:r>
        <w:rPr>
          <w:color w:val="231F20"/>
          <w:spacing w:val="-6"/>
        </w:rPr>
        <w:t>modify</w:t>
      </w:r>
      <w:r>
        <w:rPr>
          <w:color w:val="231F20"/>
          <w:spacing w:val="-7"/>
        </w:rPr>
        <w:t> </w:t>
      </w:r>
      <w:r>
        <w:rPr>
          <w:color w:val="231F20"/>
          <w:spacing w:val="-6"/>
        </w:rPr>
        <w:t>larger-caliber</w:t>
      </w:r>
      <w:r>
        <w:rPr>
          <w:color w:val="231F20"/>
          <w:spacing w:val="-7"/>
        </w:rPr>
        <w:t> </w:t>
      </w:r>
      <w:r>
        <w:rPr>
          <w:color w:val="231F20"/>
          <w:spacing w:val="-6"/>
        </w:rPr>
        <w:t>catheters.</w:t>
      </w:r>
    </w:p>
    <w:p>
      <w:pPr>
        <w:pStyle w:val="BodyText"/>
        <w:spacing w:before="166"/>
        <w:ind w:left="412" w:right="1135"/>
      </w:pPr>
      <w:r>
        <w:rPr>
          <w:color w:val="231F20"/>
        </w:rPr>
        <w:t>NUTRICIA, a multinational based in The </w:t>
      </w:r>
      <w:r>
        <w:rPr>
          <w:color w:val="231F20"/>
          <w:spacing w:val="-2"/>
        </w:rPr>
        <w:t>Netherlands</w:t>
      </w:r>
      <w:r>
        <w:rPr>
          <w:color w:val="231F20"/>
          <w:spacing w:val="-15"/>
        </w:rPr>
        <w:t> </w:t>
      </w:r>
      <w:r>
        <w:rPr>
          <w:color w:val="231F20"/>
          <w:spacing w:val="-2"/>
        </w:rPr>
        <w:t>has</w:t>
      </w:r>
      <w:r>
        <w:rPr>
          <w:color w:val="231F20"/>
          <w:spacing w:val="-14"/>
        </w:rPr>
        <w:t> </w:t>
      </w:r>
      <w:r>
        <w:rPr>
          <w:color w:val="231F20"/>
          <w:spacing w:val="-2"/>
        </w:rPr>
        <w:t>continued</w:t>
      </w:r>
      <w:r>
        <w:rPr>
          <w:color w:val="231F20"/>
          <w:spacing w:val="-15"/>
        </w:rPr>
        <w:t> </w:t>
      </w:r>
      <w:r>
        <w:rPr>
          <w:color w:val="231F20"/>
          <w:spacing w:val="-2"/>
        </w:rPr>
        <w:t>to</w:t>
      </w:r>
      <w:r>
        <w:rPr>
          <w:color w:val="231F20"/>
          <w:spacing w:val="-14"/>
        </w:rPr>
        <w:t> </w:t>
      </w:r>
      <w:r>
        <w:rPr>
          <w:color w:val="231F20"/>
          <w:spacing w:val="-2"/>
        </w:rPr>
        <w:t>refuse</w:t>
      </w:r>
      <w:r>
        <w:rPr>
          <w:color w:val="231F20"/>
          <w:spacing w:val="-15"/>
        </w:rPr>
        <w:t> </w:t>
      </w:r>
      <w:r>
        <w:rPr>
          <w:color w:val="231F20"/>
          <w:spacing w:val="-2"/>
        </w:rPr>
        <w:t>to</w:t>
      </w:r>
      <w:r>
        <w:rPr>
          <w:color w:val="231F20"/>
          <w:spacing w:val="-14"/>
        </w:rPr>
        <w:t> </w:t>
      </w:r>
      <w:r>
        <w:rPr>
          <w:color w:val="231F20"/>
          <w:spacing w:val="-2"/>
        </w:rPr>
        <w:t>sell </w:t>
      </w:r>
      <w:r>
        <w:rPr>
          <w:color w:val="231F20"/>
          <w:spacing w:val="-8"/>
        </w:rPr>
        <w:t>us products needed for the national mother- </w:t>
      </w:r>
      <w:r>
        <w:rPr>
          <w:color w:val="231F20"/>
        </w:rPr>
        <w:t>and-child</w:t>
      </w:r>
      <w:r>
        <w:rPr>
          <w:color w:val="231F20"/>
          <w:spacing w:val="-15"/>
        </w:rPr>
        <w:t> </w:t>
      </w:r>
      <w:r>
        <w:rPr>
          <w:color w:val="231F20"/>
        </w:rPr>
        <w:t>care</w:t>
      </w:r>
      <w:r>
        <w:rPr>
          <w:color w:val="231F20"/>
          <w:spacing w:val="-15"/>
        </w:rPr>
        <w:t> </w:t>
      </w:r>
      <w:r>
        <w:rPr>
          <w:color w:val="231F20"/>
        </w:rPr>
        <w:t>program</w:t>
      </w:r>
      <w:r>
        <w:rPr>
          <w:color w:val="231F20"/>
          <w:spacing w:val="-15"/>
        </w:rPr>
        <w:t> </w:t>
      </w:r>
      <w:r>
        <w:rPr>
          <w:color w:val="231F20"/>
        </w:rPr>
        <w:t>on</w:t>
      </w:r>
      <w:r>
        <w:rPr>
          <w:color w:val="231F20"/>
          <w:spacing w:val="-15"/>
        </w:rPr>
        <w:t> </w:t>
      </w:r>
      <w:r>
        <w:rPr>
          <w:color w:val="231F20"/>
        </w:rPr>
        <w:t>the</w:t>
      </w:r>
      <w:r>
        <w:rPr>
          <w:color w:val="231F20"/>
          <w:spacing w:val="-15"/>
        </w:rPr>
        <w:t> </w:t>
      </w:r>
      <w:r>
        <w:rPr>
          <w:color w:val="231F20"/>
        </w:rPr>
        <w:t>grounds</w:t>
      </w:r>
      <w:r>
        <w:rPr>
          <w:color w:val="231F20"/>
          <w:spacing w:val="-15"/>
        </w:rPr>
        <w:t> </w:t>
      </w:r>
      <w:r>
        <w:rPr>
          <w:color w:val="231F20"/>
        </w:rPr>
        <w:t>of activation of Title III of the Helms-Burton Act.</w:t>
      </w:r>
      <w:r>
        <w:rPr>
          <w:color w:val="231F20"/>
          <w:spacing w:val="-17"/>
        </w:rPr>
        <w:t> </w:t>
      </w:r>
      <w:r>
        <w:rPr>
          <w:color w:val="231F20"/>
        </w:rPr>
        <w:t>The</w:t>
      </w:r>
      <w:r>
        <w:rPr>
          <w:color w:val="231F20"/>
          <w:spacing w:val="-16"/>
        </w:rPr>
        <w:t> </w:t>
      </w:r>
      <w:r>
        <w:rPr>
          <w:color w:val="231F20"/>
        </w:rPr>
        <w:t>products</w:t>
      </w:r>
      <w:r>
        <w:rPr>
          <w:color w:val="231F20"/>
          <w:spacing w:val="-17"/>
        </w:rPr>
        <w:t> </w:t>
      </w:r>
      <w:r>
        <w:rPr>
          <w:color w:val="231F20"/>
        </w:rPr>
        <w:t>concerned</w:t>
      </w:r>
      <w:r>
        <w:rPr>
          <w:color w:val="231F20"/>
          <w:spacing w:val="-16"/>
        </w:rPr>
        <w:t> </w:t>
      </w:r>
      <w:r>
        <w:rPr>
          <w:color w:val="231F20"/>
        </w:rPr>
        <w:t>are</w:t>
      </w:r>
      <w:r>
        <w:rPr>
          <w:color w:val="231F20"/>
          <w:spacing w:val="-17"/>
        </w:rPr>
        <w:t> </w:t>
      </w:r>
      <w:r>
        <w:rPr>
          <w:color w:val="231F20"/>
        </w:rPr>
        <w:t>medically </w:t>
      </w:r>
      <w:r>
        <w:rPr>
          <w:color w:val="231F20"/>
          <w:spacing w:val="-2"/>
        </w:rPr>
        <w:t>necessary</w:t>
      </w:r>
      <w:r>
        <w:rPr>
          <w:color w:val="231F20"/>
          <w:spacing w:val="-15"/>
        </w:rPr>
        <w:t> </w:t>
      </w:r>
      <w:r>
        <w:rPr>
          <w:color w:val="231F20"/>
          <w:spacing w:val="-2"/>
        </w:rPr>
        <w:t>dietary</w:t>
      </w:r>
      <w:r>
        <w:rPr>
          <w:color w:val="231F20"/>
          <w:spacing w:val="-14"/>
        </w:rPr>
        <w:t> </w:t>
      </w:r>
      <w:r>
        <w:rPr>
          <w:color w:val="231F20"/>
          <w:spacing w:val="-2"/>
        </w:rPr>
        <w:t>supplements</w:t>
      </w:r>
      <w:r>
        <w:rPr>
          <w:color w:val="231F20"/>
          <w:spacing w:val="-14"/>
        </w:rPr>
        <w:t> </w:t>
      </w:r>
      <w:r>
        <w:rPr>
          <w:color w:val="231F20"/>
          <w:spacing w:val="-2"/>
        </w:rPr>
        <w:t>for</w:t>
      </w:r>
      <w:r>
        <w:rPr>
          <w:color w:val="231F20"/>
          <w:spacing w:val="-15"/>
        </w:rPr>
        <w:t> </w:t>
      </w:r>
      <w:r>
        <w:rPr>
          <w:color w:val="231F20"/>
          <w:spacing w:val="-2"/>
        </w:rPr>
        <w:t>children with</w:t>
      </w:r>
      <w:r>
        <w:rPr>
          <w:color w:val="231F20"/>
          <w:spacing w:val="-13"/>
        </w:rPr>
        <w:t> </w:t>
      </w:r>
      <w:r>
        <w:rPr>
          <w:color w:val="231F20"/>
          <w:spacing w:val="-2"/>
        </w:rPr>
        <w:t>diseases</w:t>
      </w:r>
      <w:r>
        <w:rPr>
          <w:color w:val="231F20"/>
          <w:spacing w:val="-13"/>
        </w:rPr>
        <w:t> </w:t>
      </w:r>
      <w:r>
        <w:rPr>
          <w:color w:val="231F20"/>
          <w:spacing w:val="-2"/>
        </w:rPr>
        <w:t>associated</w:t>
      </w:r>
      <w:r>
        <w:rPr>
          <w:color w:val="231F20"/>
          <w:spacing w:val="-13"/>
        </w:rPr>
        <w:t> </w:t>
      </w:r>
      <w:r>
        <w:rPr>
          <w:color w:val="231F20"/>
          <w:spacing w:val="-2"/>
        </w:rPr>
        <w:t>with</w:t>
      </w:r>
      <w:r>
        <w:rPr>
          <w:color w:val="231F20"/>
          <w:spacing w:val="-13"/>
        </w:rPr>
        <w:t> </w:t>
      </w:r>
      <w:r>
        <w:rPr>
          <w:color w:val="231F20"/>
          <w:spacing w:val="-2"/>
        </w:rPr>
        <w:t>inborn</w:t>
      </w:r>
      <w:r>
        <w:rPr>
          <w:color w:val="231F20"/>
          <w:spacing w:val="-13"/>
        </w:rPr>
        <w:t> </w:t>
      </w:r>
      <w:r>
        <w:rPr>
          <w:color w:val="231F20"/>
          <w:spacing w:val="-2"/>
        </w:rPr>
        <w:t>errors </w:t>
      </w:r>
      <w:r>
        <w:rPr>
          <w:color w:val="231F20"/>
        </w:rPr>
        <w:t>of</w:t>
      </w:r>
      <w:r>
        <w:rPr>
          <w:color w:val="231F20"/>
          <w:spacing w:val="-17"/>
        </w:rPr>
        <w:t> </w:t>
      </w:r>
      <w:r>
        <w:rPr>
          <w:color w:val="231F20"/>
        </w:rPr>
        <w:t>metabolism,</w:t>
      </w:r>
      <w:r>
        <w:rPr>
          <w:color w:val="231F20"/>
          <w:spacing w:val="-16"/>
        </w:rPr>
        <w:t> </w:t>
      </w:r>
      <w:r>
        <w:rPr>
          <w:color w:val="231F20"/>
        </w:rPr>
        <w:t>and</w:t>
      </w:r>
      <w:r>
        <w:rPr>
          <w:color w:val="231F20"/>
          <w:spacing w:val="-17"/>
        </w:rPr>
        <w:t> </w:t>
      </w:r>
      <w:r>
        <w:rPr>
          <w:color w:val="231F20"/>
        </w:rPr>
        <w:t>other</w:t>
      </w:r>
      <w:r>
        <w:rPr>
          <w:color w:val="231F20"/>
          <w:spacing w:val="-16"/>
        </w:rPr>
        <w:t> </w:t>
      </w:r>
      <w:r>
        <w:rPr>
          <w:color w:val="231F20"/>
        </w:rPr>
        <w:t>parenteral</w:t>
      </w:r>
      <w:r>
        <w:rPr>
          <w:color w:val="231F20"/>
          <w:spacing w:val="-17"/>
        </w:rPr>
        <w:t> </w:t>
      </w:r>
      <w:r>
        <w:rPr>
          <w:color w:val="231F20"/>
        </w:rPr>
        <w:t>foods for newborns with very low body weight, </w:t>
      </w:r>
      <w:r>
        <w:rPr>
          <w:color w:val="231F20"/>
          <w:spacing w:val="-8"/>
        </w:rPr>
        <w:t>allergic</w:t>
      </w:r>
      <w:r>
        <w:rPr>
          <w:color w:val="231F20"/>
          <w:spacing w:val="-9"/>
        </w:rPr>
        <w:t> </w:t>
      </w:r>
      <w:r>
        <w:rPr>
          <w:color w:val="231F20"/>
          <w:spacing w:val="-8"/>
        </w:rPr>
        <w:t>to proteins</w:t>
      </w:r>
      <w:r>
        <w:rPr>
          <w:color w:val="231F20"/>
          <w:spacing w:val="-9"/>
        </w:rPr>
        <w:t> </w:t>
      </w:r>
      <w:r>
        <w:rPr>
          <w:color w:val="231F20"/>
          <w:spacing w:val="-8"/>
        </w:rPr>
        <w:t>or with</w:t>
      </w:r>
      <w:r>
        <w:rPr>
          <w:color w:val="231F20"/>
          <w:spacing w:val="-9"/>
        </w:rPr>
        <w:t> </w:t>
      </w:r>
      <w:r>
        <w:rPr>
          <w:color w:val="231F20"/>
          <w:spacing w:val="-8"/>
        </w:rPr>
        <w:t>very poor nutrient </w:t>
      </w:r>
      <w:r>
        <w:rPr>
          <w:color w:val="231F20"/>
        </w:rPr>
        <w:t>absorption;</w:t>
      </w:r>
      <w:r>
        <w:rPr>
          <w:color w:val="231F20"/>
          <w:spacing w:val="53"/>
        </w:rPr>
        <w:t> </w:t>
      </w:r>
      <w:r>
        <w:rPr>
          <w:color w:val="231F20"/>
        </w:rPr>
        <w:t>they</w:t>
      </w:r>
      <w:r>
        <w:rPr>
          <w:color w:val="231F20"/>
          <w:spacing w:val="56"/>
        </w:rPr>
        <w:t> </w:t>
      </w:r>
      <w:r>
        <w:rPr>
          <w:color w:val="231F20"/>
        </w:rPr>
        <w:t>include:</w:t>
      </w:r>
      <w:r>
        <w:rPr>
          <w:color w:val="231F20"/>
          <w:spacing w:val="56"/>
        </w:rPr>
        <w:t> </w:t>
      </w:r>
      <w:r>
        <w:rPr>
          <w:color w:val="231F20"/>
        </w:rPr>
        <w:t>Anamix</w:t>
      </w:r>
      <w:r>
        <w:rPr>
          <w:color w:val="231F20"/>
          <w:spacing w:val="56"/>
        </w:rPr>
        <w:t> </w:t>
      </w:r>
      <w:r>
        <w:rPr>
          <w:color w:val="231F20"/>
          <w:spacing w:val="-5"/>
        </w:rPr>
        <w:t>Junior,</w:t>
      </w:r>
    </w:p>
    <w:p>
      <w:pPr>
        <w:spacing w:after="0"/>
        <w:sectPr>
          <w:pgSz w:w="11910" w:h="16840"/>
          <w:pgMar w:header="0" w:footer="695" w:top="1240" w:bottom="880" w:left="0" w:right="0"/>
          <w:cols w:num="2" w:equalWidth="0">
            <w:col w:w="5898" w:space="40"/>
            <w:col w:w="5972"/>
          </w:cols>
        </w:sectPr>
      </w:pPr>
    </w:p>
    <w:p>
      <w:pPr>
        <w:pStyle w:val="BodyText"/>
        <w:spacing w:before="77"/>
        <w:ind w:left="1133"/>
      </w:pPr>
      <w:r>
        <w:rPr>
          <w:color w:val="231F20"/>
          <w:spacing w:val="-4"/>
        </w:rPr>
        <w:t>Anamix</w:t>
      </w:r>
      <w:r>
        <w:rPr>
          <w:color w:val="231F20"/>
          <w:spacing w:val="-10"/>
        </w:rPr>
        <w:t> </w:t>
      </w:r>
      <w:r>
        <w:rPr>
          <w:color w:val="231F20"/>
          <w:spacing w:val="-4"/>
        </w:rPr>
        <w:t>Infant,</w:t>
      </w:r>
      <w:r>
        <w:rPr>
          <w:color w:val="231F20"/>
          <w:spacing w:val="-10"/>
        </w:rPr>
        <w:t> </w:t>
      </w:r>
      <w:r>
        <w:rPr>
          <w:color w:val="231F20"/>
          <w:spacing w:val="-4"/>
        </w:rPr>
        <w:t>XP</w:t>
      </w:r>
      <w:r>
        <w:rPr>
          <w:color w:val="231F20"/>
          <w:spacing w:val="-10"/>
        </w:rPr>
        <w:t> </w:t>
      </w:r>
      <w:r>
        <w:rPr>
          <w:color w:val="231F20"/>
          <w:spacing w:val="-4"/>
        </w:rPr>
        <w:t>Maxamum</w:t>
      </w:r>
      <w:r>
        <w:rPr>
          <w:color w:val="231F20"/>
          <w:spacing w:val="-10"/>
        </w:rPr>
        <w:t> </w:t>
      </w:r>
      <w:r>
        <w:rPr>
          <w:color w:val="231F20"/>
          <w:spacing w:val="-4"/>
        </w:rPr>
        <w:t>and</w:t>
      </w:r>
      <w:r>
        <w:rPr>
          <w:color w:val="231F20"/>
          <w:spacing w:val="-10"/>
        </w:rPr>
        <w:t> </w:t>
      </w:r>
      <w:r>
        <w:rPr>
          <w:color w:val="231F20"/>
          <w:spacing w:val="-4"/>
        </w:rPr>
        <w:t>Neocate.</w:t>
      </w:r>
    </w:p>
    <w:p>
      <w:pPr>
        <w:pStyle w:val="BodyText"/>
        <w:spacing w:before="161"/>
        <w:ind w:left="1133"/>
      </w:pPr>
      <w:r>
        <w:rPr>
          <w:color w:val="231F20"/>
          <w:spacing w:val="-4"/>
        </w:rPr>
        <w:t>Also</w:t>
      </w:r>
      <w:r>
        <w:rPr>
          <w:color w:val="231F20"/>
          <w:spacing w:val="-13"/>
        </w:rPr>
        <w:t> </w:t>
      </w:r>
      <w:r>
        <w:rPr>
          <w:color w:val="231F20"/>
          <w:spacing w:val="-4"/>
        </w:rPr>
        <w:t>unobtainable</w:t>
      </w:r>
      <w:r>
        <w:rPr>
          <w:color w:val="231F20"/>
          <w:spacing w:val="-11"/>
        </w:rPr>
        <w:t> </w:t>
      </w:r>
      <w:r>
        <w:rPr>
          <w:color w:val="231F20"/>
          <w:spacing w:val="-4"/>
        </w:rPr>
        <w:t>are</w:t>
      </w:r>
      <w:r>
        <w:rPr>
          <w:color w:val="231F20"/>
          <w:spacing w:val="-11"/>
        </w:rPr>
        <w:t> </w:t>
      </w:r>
      <w:r>
        <w:rPr>
          <w:color w:val="231F20"/>
          <w:spacing w:val="-4"/>
        </w:rPr>
        <w:t>molecular</w:t>
      </w:r>
      <w:r>
        <w:rPr>
          <w:color w:val="231F20"/>
          <w:spacing w:val="-11"/>
        </w:rPr>
        <w:t> </w:t>
      </w:r>
      <w:r>
        <w:rPr>
          <w:color w:val="231F20"/>
          <w:spacing w:val="-4"/>
        </w:rPr>
        <w:t>diagnostic </w:t>
      </w:r>
      <w:r>
        <w:rPr>
          <w:color w:val="231F20"/>
        </w:rPr>
        <w:t>tests for customized treatment of breast </w:t>
      </w:r>
      <w:r>
        <w:rPr>
          <w:color w:val="231F20"/>
          <w:spacing w:val="-2"/>
        </w:rPr>
        <w:t>cancer</w:t>
      </w:r>
      <w:r>
        <w:rPr>
          <w:color w:val="231F20"/>
          <w:spacing w:val="-13"/>
        </w:rPr>
        <w:t> </w:t>
      </w:r>
      <w:r>
        <w:rPr>
          <w:color w:val="231F20"/>
          <w:spacing w:val="-2"/>
        </w:rPr>
        <w:t>and</w:t>
      </w:r>
      <w:r>
        <w:rPr>
          <w:color w:val="231F20"/>
          <w:spacing w:val="-13"/>
        </w:rPr>
        <w:t> </w:t>
      </w:r>
      <w:r>
        <w:rPr>
          <w:color w:val="231F20"/>
          <w:spacing w:val="-2"/>
        </w:rPr>
        <w:t>colon</w:t>
      </w:r>
      <w:r>
        <w:rPr>
          <w:color w:val="231F20"/>
          <w:spacing w:val="-13"/>
        </w:rPr>
        <w:t> </w:t>
      </w:r>
      <w:r>
        <w:rPr>
          <w:color w:val="231F20"/>
          <w:spacing w:val="-2"/>
        </w:rPr>
        <w:t>cancer</w:t>
      </w:r>
      <w:r>
        <w:rPr>
          <w:color w:val="231F20"/>
          <w:spacing w:val="-13"/>
        </w:rPr>
        <w:t> </w:t>
      </w:r>
      <w:r>
        <w:rPr>
          <w:color w:val="231F20"/>
          <w:spacing w:val="-2"/>
        </w:rPr>
        <w:t>and</w:t>
      </w:r>
      <w:r>
        <w:rPr>
          <w:color w:val="231F20"/>
          <w:spacing w:val="-13"/>
        </w:rPr>
        <w:t> </w:t>
      </w:r>
      <w:r>
        <w:rPr>
          <w:color w:val="231F20"/>
          <w:spacing w:val="-2"/>
        </w:rPr>
        <w:t>for</w:t>
      </w:r>
      <w:r>
        <w:rPr>
          <w:color w:val="231F20"/>
          <w:spacing w:val="-13"/>
        </w:rPr>
        <w:t> </w:t>
      </w:r>
      <w:r>
        <w:rPr>
          <w:color w:val="231F20"/>
          <w:spacing w:val="-2"/>
        </w:rPr>
        <w:t>predicting </w:t>
      </w:r>
      <w:r>
        <w:rPr>
          <w:color w:val="231F20"/>
        </w:rPr>
        <w:t>the risk of relapse. The results include a 3 </w:t>
      </w:r>
      <w:r>
        <w:rPr>
          <w:color w:val="231F20"/>
          <w:spacing w:val="-4"/>
        </w:rPr>
        <w:t>month</w:t>
      </w:r>
      <w:r>
        <w:rPr>
          <w:color w:val="231F20"/>
          <w:spacing w:val="-12"/>
        </w:rPr>
        <w:t> </w:t>
      </w:r>
      <w:r>
        <w:rPr>
          <w:color w:val="231F20"/>
          <w:spacing w:val="-4"/>
        </w:rPr>
        <w:t>waiting</w:t>
      </w:r>
      <w:r>
        <w:rPr>
          <w:color w:val="231F20"/>
          <w:spacing w:val="-12"/>
        </w:rPr>
        <w:t> </w:t>
      </w:r>
      <w:r>
        <w:rPr>
          <w:color w:val="231F20"/>
          <w:spacing w:val="-4"/>
        </w:rPr>
        <w:t>list</w:t>
      </w:r>
      <w:r>
        <w:rPr>
          <w:color w:val="231F20"/>
          <w:spacing w:val="-12"/>
        </w:rPr>
        <w:t> </w:t>
      </w:r>
      <w:r>
        <w:rPr>
          <w:color w:val="231F20"/>
          <w:spacing w:val="-4"/>
        </w:rPr>
        <w:t>for</w:t>
      </w:r>
      <w:r>
        <w:rPr>
          <w:color w:val="231F20"/>
          <w:spacing w:val="-12"/>
        </w:rPr>
        <w:t> </w:t>
      </w:r>
      <w:r>
        <w:rPr>
          <w:color w:val="231F20"/>
          <w:spacing w:val="-4"/>
        </w:rPr>
        <w:t>diagnosis</w:t>
      </w:r>
      <w:r>
        <w:rPr>
          <w:color w:val="231F20"/>
          <w:spacing w:val="-12"/>
        </w:rPr>
        <w:t> </w:t>
      </w:r>
      <w:r>
        <w:rPr>
          <w:color w:val="231F20"/>
          <w:spacing w:val="-4"/>
        </w:rPr>
        <w:t>and</w:t>
      </w:r>
      <w:r>
        <w:rPr>
          <w:color w:val="231F20"/>
          <w:spacing w:val="-12"/>
        </w:rPr>
        <w:t> </w:t>
      </w:r>
      <w:r>
        <w:rPr>
          <w:color w:val="231F20"/>
          <w:spacing w:val="-4"/>
        </w:rPr>
        <w:t>follow- up</w:t>
      </w:r>
      <w:r>
        <w:rPr>
          <w:color w:val="231F20"/>
          <w:spacing w:val="-12"/>
        </w:rPr>
        <w:t> </w:t>
      </w:r>
      <w:r>
        <w:rPr>
          <w:color w:val="231F20"/>
          <w:spacing w:val="-4"/>
        </w:rPr>
        <w:t>of</w:t>
      </w:r>
      <w:r>
        <w:rPr>
          <w:color w:val="231F20"/>
          <w:spacing w:val="-12"/>
        </w:rPr>
        <w:t> </w:t>
      </w:r>
      <w:r>
        <w:rPr>
          <w:color w:val="231F20"/>
          <w:spacing w:val="-4"/>
        </w:rPr>
        <w:t>cancer</w:t>
      </w:r>
      <w:r>
        <w:rPr>
          <w:color w:val="231F20"/>
          <w:spacing w:val="-12"/>
        </w:rPr>
        <w:t> </w:t>
      </w:r>
      <w:r>
        <w:rPr>
          <w:color w:val="231F20"/>
          <w:spacing w:val="-4"/>
        </w:rPr>
        <w:t>patients,</w:t>
      </w:r>
      <w:r>
        <w:rPr>
          <w:color w:val="231F20"/>
          <w:spacing w:val="-12"/>
        </w:rPr>
        <w:t> </w:t>
      </w:r>
      <w:r>
        <w:rPr>
          <w:color w:val="231F20"/>
          <w:spacing w:val="-4"/>
        </w:rPr>
        <w:t>directly</w:t>
      </w:r>
      <w:r>
        <w:rPr>
          <w:color w:val="231F20"/>
          <w:spacing w:val="-12"/>
        </w:rPr>
        <w:t> </w:t>
      </w:r>
      <w:r>
        <w:rPr>
          <w:color w:val="231F20"/>
          <w:spacing w:val="-4"/>
        </w:rPr>
        <w:t>impinging</w:t>
      </w:r>
      <w:r>
        <w:rPr>
          <w:color w:val="231F20"/>
          <w:spacing w:val="-12"/>
        </w:rPr>
        <w:t> </w:t>
      </w:r>
      <w:r>
        <w:rPr>
          <w:color w:val="231F20"/>
          <w:spacing w:val="-4"/>
        </w:rPr>
        <w:t>on </w:t>
      </w:r>
      <w:r>
        <w:rPr>
          <w:color w:val="231F20"/>
        </w:rPr>
        <w:t>the</w:t>
      </w:r>
      <w:r>
        <w:rPr>
          <w:color w:val="231F20"/>
          <w:spacing w:val="-6"/>
        </w:rPr>
        <w:t> </w:t>
      </w:r>
      <w:r>
        <w:rPr>
          <w:color w:val="231F20"/>
        </w:rPr>
        <w:t>quality</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services</w:t>
      </w:r>
      <w:r>
        <w:rPr>
          <w:color w:val="231F20"/>
          <w:spacing w:val="-6"/>
        </w:rPr>
        <w:t> </w:t>
      </w:r>
      <w:r>
        <w:rPr>
          <w:color w:val="231F20"/>
        </w:rPr>
        <w:t>provided.</w:t>
      </w:r>
    </w:p>
    <w:p>
      <w:pPr>
        <w:pStyle w:val="BodyText"/>
        <w:spacing w:before="165"/>
        <w:ind w:left="1133" w:right="2"/>
      </w:pPr>
      <w:r>
        <w:rPr>
          <w:color w:val="231F20"/>
        </w:rPr>
        <w:t>New medicines for use in oncology produced by U.S. drug companies and </w:t>
      </w:r>
      <w:r>
        <w:rPr>
          <w:color w:val="231F20"/>
          <w:spacing w:val="-4"/>
        </w:rPr>
        <w:t>consequently</w:t>
      </w:r>
      <w:r>
        <w:rPr>
          <w:color w:val="231F20"/>
          <w:spacing w:val="-13"/>
        </w:rPr>
        <w:t> </w:t>
      </w:r>
      <w:r>
        <w:rPr>
          <w:color w:val="231F20"/>
          <w:spacing w:val="-4"/>
        </w:rPr>
        <w:t>not</w:t>
      </w:r>
      <w:r>
        <w:rPr>
          <w:color w:val="231F20"/>
          <w:spacing w:val="-12"/>
        </w:rPr>
        <w:t> </w:t>
      </w:r>
      <w:r>
        <w:rPr>
          <w:color w:val="231F20"/>
          <w:spacing w:val="-4"/>
        </w:rPr>
        <w:t>available</w:t>
      </w:r>
      <w:r>
        <w:rPr>
          <w:color w:val="231F20"/>
          <w:spacing w:val="-13"/>
        </w:rPr>
        <w:t> </w:t>
      </w:r>
      <w:r>
        <w:rPr>
          <w:color w:val="231F20"/>
          <w:spacing w:val="-4"/>
        </w:rPr>
        <w:t>to</w:t>
      </w:r>
      <w:r>
        <w:rPr>
          <w:color w:val="231F20"/>
          <w:spacing w:val="-12"/>
        </w:rPr>
        <w:t> </w:t>
      </w:r>
      <w:r>
        <w:rPr>
          <w:color w:val="231F20"/>
          <w:spacing w:val="-4"/>
        </w:rPr>
        <w:t>Cuba</w:t>
      </w:r>
      <w:r>
        <w:rPr>
          <w:color w:val="231F20"/>
          <w:spacing w:val="-13"/>
        </w:rPr>
        <w:t> </w:t>
      </w:r>
      <w:r>
        <w:rPr>
          <w:color w:val="231F20"/>
          <w:spacing w:val="-4"/>
        </w:rPr>
        <w:t>include: </w:t>
      </w:r>
      <w:r>
        <w:rPr>
          <w:color w:val="231F20"/>
        </w:rPr>
        <w:t>abiraterone</w:t>
      </w:r>
      <w:r>
        <w:rPr>
          <w:color w:val="231F20"/>
          <w:spacing w:val="-17"/>
        </w:rPr>
        <w:t> </w:t>
      </w:r>
      <w:r>
        <w:rPr>
          <w:color w:val="231F20"/>
        </w:rPr>
        <w:t>for</w:t>
      </w:r>
      <w:r>
        <w:rPr>
          <w:color w:val="231F20"/>
          <w:spacing w:val="-16"/>
        </w:rPr>
        <w:t> </w:t>
      </w:r>
      <w:r>
        <w:rPr>
          <w:color w:val="231F20"/>
        </w:rPr>
        <w:t>the</w:t>
      </w:r>
      <w:r>
        <w:rPr>
          <w:color w:val="231F20"/>
          <w:spacing w:val="-17"/>
        </w:rPr>
        <w:t> </w:t>
      </w:r>
      <w:r>
        <w:rPr>
          <w:color w:val="231F20"/>
        </w:rPr>
        <w:t>treatment</w:t>
      </w:r>
      <w:r>
        <w:rPr>
          <w:color w:val="231F20"/>
          <w:spacing w:val="-16"/>
        </w:rPr>
        <w:t> </w:t>
      </w:r>
      <w:r>
        <w:rPr>
          <w:color w:val="231F20"/>
        </w:rPr>
        <w:t>of</w:t>
      </w:r>
      <w:r>
        <w:rPr>
          <w:color w:val="231F20"/>
          <w:spacing w:val="-17"/>
        </w:rPr>
        <w:t> </w:t>
      </w:r>
      <w:r>
        <w:rPr>
          <w:color w:val="231F20"/>
        </w:rPr>
        <w:t>castration </w:t>
      </w:r>
      <w:r>
        <w:rPr>
          <w:color w:val="231F20"/>
          <w:spacing w:val="-2"/>
        </w:rPr>
        <w:t>resistant</w:t>
      </w:r>
      <w:r>
        <w:rPr>
          <w:color w:val="231F20"/>
          <w:spacing w:val="-14"/>
        </w:rPr>
        <w:t> </w:t>
      </w:r>
      <w:r>
        <w:rPr>
          <w:color w:val="231F20"/>
          <w:spacing w:val="-2"/>
        </w:rPr>
        <w:t>prostate</w:t>
      </w:r>
      <w:r>
        <w:rPr>
          <w:color w:val="231F20"/>
          <w:spacing w:val="-14"/>
        </w:rPr>
        <w:t> </w:t>
      </w:r>
      <w:r>
        <w:rPr>
          <w:color w:val="231F20"/>
          <w:spacing w:val="-2"/>
        </w:rPr>
        <w:t>cancer</w:t>
      </w:r>
      <w:r>
        <w:rPr>
          <w:color w:val="231F20"/>
          <w:spacing w:val="-14"/>
        </w:rPr>
        <w:t> </w:t>
      </w:r>
      <w:r>
        <w:rPr>
          <w:color w:val="231F20"/>
          <w:spacing w:val="-2"/>
        </w:rPr>
        <w:t>(CRPC),</w:t>
      </w:r>
      <w:r>
        <w:rPr>
          <w:color w:val="231F20"/>
          <w:spacing w:val="-14"/>
        </w:rPr>
        <w:t> </w:t>
      </w:r>
      <w:r>
        <w:rPr>
          <w:color w:val="231F20"/>
          <w:spacing w:val="-2"/>
        </w:rPr>
        <w:t>produced </w:t>
      </w:r>
      <w:r>
        <w:rPr>
          <w:color w:val="231F20"/>
        </w:rPr>
        <w:t>by</w:t>
      </w:r>
      <w:r>
        <w:rPr>
          <w:color w:val="231F20"/>
          <w:spacing w:val="40"/>
        </w:rPr>
        <w:t> </w:t>
      </w:r>
      <w:r>
        <w:rPr>
          <w:color w:val="231F20"/>
        </w:rPr>
        <w:t>Janssen</w:t>
      </w:r>
      <w:r>
        <w:rPr>
          <w:color w:val="231F20"/>
          <w:spacing w:val="40"/>
        </w:rPr>
        <w:t> </w:t>
      </w:r>
      <w:r>
        <w:rPr>
          <w:color w:val="231F20"/>
        </w:rPr>
        <w:t>Pharmaceuticals,</w:t>
      </w:r>
      <w:r>
        <w:rPr>
          <w:color w:val="231F20"/>
          <w:spacing w:val="40"/>
        </w:rPr>
        <w:t> </w:t>
      </w:r>
      <w:r>
        <w:rPr>
          <w:color w:val="231F20"/>
        </w:rPr>
        <w:t>a</w:t>
      </w:r>
      <w:r>
        <w:rPr>
          <w:color w:val="231F20"/>
          <w:spacing w:val="40"/>
        </w:rPr>
        <w:t> </w:t>
      </w:r>
      <w:r>
        <w:rPr>
          <w:color w:val="231F20"/>
        </w:rPr>
        <w:t>Johnson &amp; Johnson subsidiary; pemetrexed for pulmonary</w:t>
      </w:r>
      <w:r>
        <w:rPr>
          <w:color w:val="231F20"/>
          <w:spacing w:val="-3"/>
        </w:rPr>
        <w:t> </w:t>
      </w:r>
      <w:r>
        <w:rPr>
          <w:color w:val="231F20"/>
        </w:rPr>
        <w:t>adenocarcinoma,</w:t>
      </w:r>
      <w:r>
        <w:rPr>
          <w:color w:val="231F20"/>
          <w:spacing w:val="-3"/>
        </w:rPr>
        <w:t> </w:t>
      </w:r>
      <w:r>
        <w:rPr>
          <w:color w:val="231F20"/>
        </w:rPr>
        <w:t>marketed</w:t>
      </w:r>
      <w:r>
        <w:rPr>
          <w:color w:val="231F20"/>
          <w:spacing w:val="-3"/>
        </w:rPr>
        <w:t> </w:t>
      </w:r>
      <w:r>
        <w:rPr>
          <w:color w:val="231F20"/>
        </w:rPr>
        <w:t>Eli </w:t>
      </w:r>
      <w:r>
        <w:rPr>
          <w:color w:val="231F20"/>
          <w:spacing w:val="-8"/>
        </w:rPr>
        <w:t>Lilly and Pfizer; Sunitinib, for metastatic renal </w:t>
      </w:r>
      <w:r>
        <w:rPr>
          <w:color w:val="231F20"/>
        </w:rPr>
        <w:t>cell</w:t>
      </w:r>
      <w:r>
        <w:rPr>
          <w:color w:val="231F20"/>
          <w:spacing w:val="-8"/>
        </w:rPr>
        <w:t> </w:t>
      </w:r>
      <w:r>
        <w:rPr>
          <w:color w:val="231F20"/>
        </w:rPr>
        <w:t>carcinoma,</w:t>
      </w:r>
      <w:r>
        <w:rPr>
          <w:color w:val="231F20"/>
          <w:spacing w:val="-8"/>
        </w:rPr>
        <w:t> </w:t>
      </w:r>
      <w:r>
        <w:rPr>
          <w:color w:val="231F20"/>
        </w:rPr>
        <w:t>also</w:t>
      </w:r>
      <w:r>
        <w:rPr>
          <w:color w:val="231F20"/>
          <w:spacing w:val="-8"/>
        </w:rPr>
        <w:t> </w:t>
      </w:r>
      <w:r>
        <w:rPr>
          <w:color w:val="231F20"/>
        </w:rPr>
        <w:t>produced</w:t>
      </w:r>
      <w:r>
        <w:rPr>
          <w:color w:val="231F20"/>
          <w:spacing w:val="-8"/>
        </w:rPr>
        <w:t> </w:t>
      </w:r>
      <w:r>
        <w:rPr>
          <w:color w:val="231F20"/>
        </w:rPr>
        <w:t>by</w:t>
      </w:r>
      <w:r>
        <w:rPr>
          <w:color w:val="231F20"/>
          <w:spacing w:val="-8"/>
        </w:rPr>
        <w:t> </w:t>
      </w:r>
      <w:r>
        <w:rPr>
          <w:color w:val="231F20"/>
        </w:rPr>
        <w:t>Pfizer.</w:t>
      </w:r>
    </w:p>
    <w:p>
      <w:pPr>
        <w:pStyle w:val="BodyText"/>
        <w:spacing w:before="168"/>
        <w:ind w:left="1133"/>
      </w:pPr>
      <w:r>
        <w:rPr>
          <w:color w:val="231F20"/>
        </w:rPr>
        <w:t>Cuba is barred from accessing </w:t>
      </w:r>
      <w:r>
        <w:rPr>
          <w:color w:val="231F20"/>
        </w:rPr>
        <w:t>the American-made memantine, donepezil and</w:t>
      </w:r>
      <w:r>
        <w:rPr>
          <w:color w:val="231F20"/>
          <w:spacing w:val="-7"/>
        </w:rPr>
        <w:t> </w:t>
      </w:r>
      <w:r>
        <w:rPr>
          <w:color w:val="231F20"/>
        </w:rPr>
        <w:t>rivastigmine</w:t>
      </w:r>
      <w:r>
        <w:rPr>
          <w:color w:val="231F20"/>
          <w:spacing w:val="-7"/>
        </w:rPr>
        <w:t> </w:t>
      </w:r>
      <w:r>
        <w:rPr>
          <w:color w:val="231F20"/>
        </w:rPr>
        <w:t>for</w:t>
      </w:r>
      <w:r>
        <w:rPr>
          <w:color w:val="231F20"/>
          <w:spacing w:val="-7"/>
        </w:rPr>
        <w:t> </w:t>
      </w:r>
      <w:r>
        <w:rPr>
          <w:color w:val="231F20"/>
        </w:rPr>
        <w:t>treating</w:t>
      </w:r>
      <w:r>
        <w:rPr>
          <w:color w:val="231F20"/>
          <w:spacing w:val="-7"/>
        </w:rPr>
        <w:t> </w:t>
      </w:r>
      <w:r>
        <w:rPr>
          <w:color w:val="231F20"/>
        </w:rPr>
        <w:t>dementia,</w:t>
      </w:r>
      <w:r>
        <w:rPr>
          <w:color w:val="231F20"/>
          <w:spacing w:val="-7"/>
        </w:rPr>
        <w:t> </w:t>
      </w:r>
      <w:r>
        <w:rPr>
          <w:color w:val="231F20"/>
        </w:rPr>
        <w:t>or insulin analogues for diabetes mellitus in the elderly.</w:t>
      </w:r>
    </w:p>
    <w:p>
      <w:pPr>
        <w:pStyle w:val="BodyText"/>
        <w:spacing w:before="164"/>
        <w:ind w:left="1133" w:right="2"/>
      </w:pPr>
      <w:r>
        <w:rPr>
          <w:color w:val="231F20"/>
        </w:rPr>
        <w:t>Nusinersen</w:t>
      </w:r>
      <w:r>
        <w:rPr>
          <w:color w:val="231F20"/>
          <w:spacing w:val="-6"/>
        </w:rPr>
        <w:t> </w:t>
      </w:r>
      <w:r>
        <w:rPr>
          <w:color w:val="231F20"/>
        </w:rPr>
        <w:t>is</w:t>
      </w:r>
      <w:r>
        <w:rPr>
          <w:color w:val="231F20"/>
          <w:spacing w:val="-6"/>
        </w:rPr>
        <w:t> </w:t>
      </w:r>
      <w:r>
        <w:rPr>
          <w:color w:val="231F20"/>
        </w:rPr>
        <w:t>a</w:t>
      </w:r>
      <w:r>
        <w:rPr>
          <w:color w:val="231F20"/>
          <w:spacing w:val="-6"/>
        </w:rPr>
        <w:t> </w:t>
      </w:r>
      <w:r>
        <w:rPr>
          <w:color w:val="231F20"/>
        </w:rPr>
        <w:t>drug</w:t>
      </w:r>
      <w:r>
        <w:rPr>
          <w:color w:val="231F20"/>
          <w:spacing w:val="-6"/>
        </w:rPr>
        <w:t> </w:t>
      </w:r>
      <w:r>
        <w:rPr>
          <w:color w:val="231F20"/>
        </w:rPr>
        <w:t>for</w:t>
      </w:r>
      <w:r>
        <w:rPr>
          <w:color w:val="231F20"/>
          <w:spacing w:val="-6"/>
        </w:rPr>
        <w:t> </w:t>
      </w:r>
      <w:r>
        <w:rPr>
          <w:color w:val="231F20"/>
        </w:rPr>
        <w:t>combating</w:t>
      </w:r>
      <w:r>
        <w:rPr>
          <w:color w:val="231F20"/>
          <w:spacing w:val="-6"/>
        </w:rPr>
        <w:t> </w:t>
      </w:r>
      <w:r>
        <w:rPr>
          <w:color w:val="231F20"/>
        </w:rPr>
        <w:t>spinal </w:t>
      </w:r>
      <w:r>
        <w:rPr>
          <w:color w:val="231F20"/>
          <w:spacing w:val="-2"/>
        </w:rPr>
        <w:t>atrophy</w:t>
      </w:r>
      <w:r>
        <w:rPr>
          <w:color w:val="231F20"/>
          <w:spacing w:val="-11"/>
        </w:rPr>
        <w:t> </w:t>
      </w:r>
      <w:r>
        <w:rPr>
          <w:color w:val="231F20"/>
          <w:spacing w:val="-2"/>
        </w:rPr>
        <w:t>in</w:t>
      </w:r>
      <w:r>
        <w:rPr>
          <w:color w:val="231F20"/>
          <w:spacing w:val="-11"/>
        </w:rPr>
        <w:t> </w:t>
      </w:r>
      <w:r>
        <w:rPr>
          <w:color w:val="231F20"/>
          <w:spacing w:val="-2"/>
        </w:rPr>
        <w:t>children.</w:t>
      </w:r>
      <w:r>
        <w:rPr>
          <w:color w:val="231F20"/>
          <w:spacing w:val="-11"/>
        </w:rPr>
        <w:t> </w:t>
      </w:r>
      <w:r>
        <w:rPr>
          <w:color w:val="231F20"/>
          <w:spacing w:val="-2"/>
        </w:rPr>
        <w:t>It</w:t>
      </w:r>
      <w:r>
        <w:rPr>
          <w:color w:val="231F20"/>
          <w:spacing w:val="-10"/>
        </w:rPr>
        <w:t> </w:t>
      </w:r>
      <w:r>
        <w:rPr>
          <w:color w:val="231F20"/>
          <w:spacing w:val="-2"/>
        </w:rPr>
        <w:t>is</w:t>
      </w:r>
      <w:r>
        <w:rPr>
          <w:color w:val="231F20"/>
          <w:spacing w:val="-11"/>
        </w:rPr>
        <w:t> </w:t>
      </w:r>
      <w:r>
        <w:rPr>
          <w:color w:val="231F20"/>
          <w:spacing w:val="-2"/>
        </w:rPr>
        <w:t>expensive</w:t>
      </w:r>
      <w:r>
        <w:rPr>
          <w:color w:val="231F20"/>
          <w:spacing w:val="-11"/>
        </w:rPr>
        <w:t> </w:t>
      </w:r>
      <w:r>
        <w:rPr>
          <w:color w:val="231F20"/>
          <w:spacing w:val="-2"/>
        </w:rPr>
        <w:t>-</w:t>
      </w:r>
      <w:r>
        <w:rPr>
          <w:color w:val="231F20"/>
          <w:spacing w:val="-10"/>
        </w:rPr>
        <w:t> </w:t>
      </w:r>
      <w:r>
        <w:rPr>
          <w:color w:val="231F20"/>
          <w:spacing w:val="-5"/>
        </w:rPr>
        <w:t>around</w:t>
      </w:r>
    </w:p>
    <w:p>
      <w:pPr>
        <w:pStyle w:val="BodyText"/>
        <w:spacing w:before="1"/>
        <w:ind w:left="1133" w:right="2"/>
      </w:pPr>
      <w:r>
        <w:rPr>
          <w:color w:val="231F20"/>
          <w:spacing w:val="-10"/>
        </w:rPr>
        <w:t>$250,000</w:t>
      </w:r>
      <w:r>
        <w:rPr>
          <w:color w:val="231F20"/>
          <w:spacing w:val="-7"/>
        </w:rPr>
        <w:t> </w:t>
      </w:r>
      <w:r>
        <w:rPr>
          <w:color w:val="231F20"/>
          <w:spacing w:val="-10"/>
        </w:rPr>
        <w:t>per</w:t>
      </w:r>
      <w:r>
        <w:rPr>
          <w:color w:val="231F20"/>
          <w:spacing w:val="-6"/>
        </w:rPr>
        <w:t> </w:t>
      </w:r>
      <w:r>
        <w:rPr>
          <w:color w:val="231F20"/>
          <w:spacing w:val="-10"/>
        </w:rPr>
        <w:t>treatment</w:t>
      </w:r>
      <w:r>
        <w:rPr>
          <w:color w:val="231F20"/>
          <w:spacing w:val="-7"/>
        </w:rPr>
        <w:t> </w:t>
      </w:r>
      <w:r>
        <w:rPr>
          <w:color w:val="231F20"/>
          <w:spacing w:val="-10"/>
        </w:rPr>
        <w:t>year</w:t>
      </w:r>
      <w:r>
        <w:rPr>
          <w:color w:val="231F20"/>
          <w:spacing w:val="-6"/>
        </w:rPr>
        <w:t> </w:t>
      </w:r>
      <w:r>
        <w:rPr>
          <w:color w:val="231F20"/>
          <w:spacing w:val="-10"/>
        </w:rPr>
        <w:t>-</w:t>
      </w:r>
      <w:r>
        <w:rPr>
          <w:color w:val="231F20"/>
          <w:spacing w:val="-6"/>
        </w:rPr>
        <w:t> </w:t>
      </w:r>
      <w:r>
        <w:rPr>
          <w:color w:val="231F20"/>
          <w:spacing w:val="-10"/>
        </w:rPr>
        <w:t>but</w:t>
      </w:r>
      <w:r>
        <w:rPr>
          <w:color w:val="231F20"/>
          <w:spacing w:val="-7"/>
        </w:rPr>
        <w:t> </w:t>
      </w:r>
      <w:r>
        <w:rPr>
          <w:color w:val="231F20"/>
          <w:spacing w:val="-10"/>
        </w:rPr>
        <w:t>is</w:t>
      </w:r>
      <w:r>
        <w:rPr>
          <w:color w:val="231F20"/>
          <w:spacing w:val="-6"/>
        </w:rPr>
        <w:t> </w:t>
      </w:r>
      <w:r>
        <w:rPr>
          <w:color w:val="231F20"/>
          <w:spacing w:val="-10"/>
        </w:rPr>
        <w:t>a</w:t>
      </w:r>
      <w:r>
        <w:rPr>
          <w:color w:val="231F20"/>
          <w:spacing w:val="-7"/>
        </w:rPr>
        <w:t> </w:t>
      </w:r>
      <w:r>
        <w:rPr>
          <w:color w:val="231F20"/>
          <w:spacing w:val="-10"/>
        </w:rPr>
        <w:t>proven </w:t>
      </w:r>
      <w:r>
        <w:rPr>
          <w:color w:val="231F20"/>
          <w:spacing w:val="-4"/>
        </w:rPr>
        <w:t>life-saver</w:t>
      </w:r>
      <w:r>
        <w:rPr>
          <w:color w:val="231F20"/>
          <w:spacing w:val="-8"/>
        </w:rPr>
        <w:t> </w:t>
      </w:r>
      <w:r>
        <w:rPr>
          <w:color w:val="231F20"/>
          <w:spacing w:val="-4"/>
        </w:rPr>
        <w:t>for</w:t>
      </w:r>
      <w:r>
        <w:rPr>
          <w:color w:val="231F20"/>
          <w:spacing w:val="-8"/>
        </w:rPr>
        <w:t> </w:t>
      </w:r>
      <w:r>
        <w:rPr>
          <w:color w:val="231F20"/>
          <w:spacing w:val="-4"/>
        </w:rPr>
        <w:t>over</w:t>
      </w:r>
      <w:r>
        <w:rPr>
          <w:color w:val="231F20"/>
          <w:spacing w:val="-8"/>
        </w:rPr>
        <w:t> </w:t>
      </w:r>
      <w:r>
        <w:rPr>
          <w:color w:val="231F20"/>
          <w:spacing w:val="-4"/>
        </w:rPr>
        <w:t>half</w:t>
      </w:r>
      <w:r>
        <w:rPr>
          <w:color w:val="231F20"/>
          <w:spacing w:val="-8"/>
        </w:rPr>
        <w:t> </w:t>
      </w:r>
      <w:r>
        <w:rPr>
          <w:color w:val="231F20"/>
          <w:spacing w:val="-4"/>
        </w:rPr>
        <w:t>the</w:t>
      </w:r>
      <w:r>
        <w:rPr>
          <w:color w:val="231F20"/>
          <w:spacing w:val="-8"/>
        </w:rPr>
        <w:t> </w:t>
      </w:r>
      <w:r>
        <w:rPr>
          <w:color w:val="231F20"/>
          <w:spacing w:val="-4"/>
        </w:rPr>
        <w:t>children</w:t>
      </w:r>
      <w:r>
        <w:rPr>
          <w:color w:val="231F20"/>
          <w:spacing w:val="-8"/>
        </w:rPr>
        <w:t> </w:t>
      </w:r>
      <w:r>
        <w:rPr>
          <w:color w:val="231F20"/>
          <w:spacing w:val="-4"/>
        </w:rPr>
        <w:t>with</w:t>
      </w:r>
      <w:r>
        <w:rPr>
          <w:color w:val="231F20"/>
          <w:spacing w:val="-8"/>
        </w:rPr>
        <w:t> </w:t>
      </w:r>
      <w:r>
        <w:rPr>
          <w:color w:val="231F20"/>
          <w:spacing w:val="-4"/>
        </w:rPr>
        <w:t>this </w:t>
      </w:r>
      <w:r>
        <w:rPr>
          <w:color w:val="231F20"/>
          <w:spacing w:val="-2"/>
        </w:rPr>
        <w:t>fatal</w:t>
      </w:r>
      <w:r>
        <w:rPr>
          <w:color w:val="231F20"/>
          <w:spacing w:val="-15"/>
        </w:rPr>
        <w:t> </w:t>
      </w:r>
      <w:r>
        <w:rPr>
          <w:color w:val="231F20"/>
          <w:spacing w:val="-2"/>
        </w:rPr>
        <w:t>disease.</w:t>
      </w:r>
      <w:r>
        <w:rPr>
          <w:color w:val="231F20"/>
          <w:spacing w:val="-14"/>
        </w:rPr>
        <w:t> </w:t>
      </w:r>
      <w:r>
        <w:rPr>
          <w:color w:val="231F20"/>
          <w:spacing w:val="-2"/>
        </w:rPr>
        <w:t>It</w:t>
      </w:r>
      <w:r>
        <w:rPr>
          <w:color w:val="231F20"/>
          <w:spacing w:val="-15"/>
        </w:rPr>
        <w:t> </w:t>
      </w:r>
      <w:r>
        <w:rPr>
          <w:color w:val="231F20"/>
          <w:spacing w:val="-2"/>
        </w:rPr>
        <w:t>is</w:t>
      </w:r>
      <w:r>
        <w:rPr>
          <w:color w:val="231F20"/>
          <w:spacing w:val="-14"/>
        </w:rPr>
        <w:t> </w:t>
      </w:r>
      <w:r>
        <w:rPr>
          <w:color w:val="231F20"/>
          <w:spacing w:val="-2"/>
        </w:rPr>
        <w:t>produced</w:t>
      </w:r>
      <w:r>
        <w:rPr>
          <w:color w:val="231F20"/>
          <w:spacing w:val="-15"/>
        </w:rPr>
        <w:t> </w:t>
      </w:r>
      <w:r>
        <w:rPr>
          <w:color w:val="231F20"/>
          <w:spacing w:val="-2"/>
        </w:rPr>
        <w:t>only</w:t>
      </w:r>
      <w:r>
        <w:rPr>
          <w:color w:val="231F20"/>
          <w:spacing w:val="-14"/>
        </w:rPr>
        <w:t> </w:t>
      </w:r>
      <w:r>
        <w:rPr>
          <w:color w:val="231F20"/>
          <w:spacing w:val="-2"/>
        </w:rPr>
        <w:t>by</w:t>
      </w:r>
      <w:r>
        <w:rPr>
          <w:color w:val="231F20"/>
          <w:spacing w:val="-15"/>
        </w:rPr>
        <w:t> </w:t>
      </w:r>
      <w:r>
        <w:rPr>
          <w:color w:val="231F20"/>
          <w:spacing w:val="-2"/>
        </w:rPr>
        <w:t>the</w:t>
      </w:r>
      <w:r>
        <w:rPr>
          <w:color w:val="231F20"/>
          <w:spacing w:val="-14"/>
        </w:rPr>
        <w:t> </w:t>
      </w:r>
      <w:r>
        <w:rPr>
          <w:color w:val="231F20"/>
          <w:spacing w:val="-2"/>
        </w:rPr>
        <w:t>U.S. </w:t>
      </w:r>
      <w:r>
        <w:rPr>
          <w:color w:val="231F20"/>
        </w:rPr>
        <w:t>multinational Biogen and is consequently not</w:t>
      </w:r>
      <w:r>
        <w:rPr>
          <w:color w:val="231F20"/>
          <w:spacing w:val="-1"/>
        </w:rPr>
        <w:t> </w:t>
      </w:r>
      <w:r>
        <w:rPr>
          <w:color w:val="231F20"/>
        </w:rPr>
        <w:t>available</w:t>
      </w:r>
      <w:r>
        <w:rPr>
          <w:color w:val="231F20"/>
          <w:spacing w:val="-1"/>
        </w:rPr>
        <w:t> </w:t>
      </w:r>
      <w:r>
        <w:rPr>
          <w:color w:val="231F20"/>
        </w:rPr>
        <w:t>to</w:t>
      </w:r>
      <w:r>
        <w:rPr>
          <w:color w:val="231F20"/>
          <w:spacing w:val="-1"/>
        </w:rPr>
        <w:t> </w:t>
      </w:r>
      <w:r>
        <w:rPr>
          <w:color w:val="231F20"/>
        </w:rPr>
        <w:t>Cuban</w:t>
      </w:r>
      <w:r>
        <w:rPr>
          <w:color w:val="231F20"/>
          <w:spacing w:val="-1"/>
        </w:rPr>
        <w:t> </w:t>
      </w:r>
      <w:r>
        <w:rPr>
          <w:color w:val="231F20"/>
        </w:rPr>
        <w:t>patients.</w:t>
      </w:r>
    </w:p>
    <w:p>
      <w:pPr>
        <w:pStyle w:val="BodyText"/>
        <w:spacing w:before="164"/>
        <w:ind w:left="1133" w:right="2"/>
      </w:pPr>
      <w:r>
        <w:rPr>
          <w:color w:val="231F20"/>
          <w:spacing w:val="-2"/>
        </w:rPr>
        <w:t>The</w:t>
      </w:r>
      <w:r>
        <w:rPr>
          <w:color w:val="231F20"/>
          <w:spacing w:val="-15"/>
        </w:rPr>
        <w:t> </w:t>
      </w:r>
      <w:r>
        <w:rPr>
          <w:color w:val="231F20"/>
          <w:spacing w:val="-2"/>
        </w:rPr>
        <w:t>apparatuses</w:t>
      </w:r>
      <w:r>
        <w:rPr>
          <w:color w:val="231F20"/>
          <w:spacing w:val="-14"/>
        </w:rPr>
        <w:t> </w:t>
      </w:r>
      <w:r>
        <w:rPr>
          <w:color w:val="231F20"/>
          <w:spacing w:val="-2"/>
        </w:rPr>
        <w:t>for</w:t>
      </w:r>
      <w:r>
        <w:rPr>
          <w:color w:val="231F20"/>
          <w:spacing w:val="-15"/>
        </w:rPr>
        <w:t> </w:t>
      </w:r>
      <w:r>
        <w:rPr>
          <w:color w:val="231F20"/>
          <w:spacing w:val="-2"/>
        </w:rPr>
        <w:t>deep</w:t>
      </w:r>
      <w:r>
        <w:rPr>
          <w:color w:val="231F20"/>
          <w:spacing w:val="-14"/>
        </w:rPr>
        <w:t> </w:t>
      </w:r>
      <w:r>
        <w:rPr>
          <w:color w:val="231F20"/>
          <w:spacing w:val="-2"/>
        </w:rPr>
        <w:t>brain</w:t>
      </w:r>
      <w:r>
        <w:rPr>
          <w:color w:val="231F20"/>
          <w:spacing w:val="-15"/>
        </w:rPr>
        <w:t> </w:t>
      </w:r>
      <w:r>
        <w:rPr>
          <w:color w:val="231F20"/>
          <w:spacing w:val="-2"/>
        </w:rPr>
        <w:t>stimulation </w:t>
      </w:r>
      <w:r>
        <w:rPr>
          <w:color w:val="231F20"/>
        </w:rPr>
        <w:t>(DBS) and for invasive stimulation of the vagus nerve provide alternative therapies </w:t>
      </w:r>
      <w:r>
        <w:rPr>
          <w:color w:val="231F20"/>
          <w:spacing w:val="-2"/>
        </w:rPr>
        <w:t>with</w:t>
      </w:r>
      <w:r>
        <w:rPr>
          <w:color w:val="231F20"/>
          <w:spacing w:val="-14"/>
        </w:rPr>
        <w:t> </w:t>
      </w:r>
      <w:r>
        <w:rPr>
          <w:color w:val="231F20"/>
          <w:spacing w:val="-2"/>
        </w:rPr>
        <w:t>efficacy</w:t>
      </w:r>
      <w:r>
        <w:rPr>
          <w:color w:val="231F20"/>
          <w:spacing w:val="-14"/>
        </w:rPr>
        <w:t> </w:t>
      </w:r>
      <w:r>
        <w:rPr>
          <w:color w:val="231F20"/>
          <w:spacing w:val="-2"/>
        </w:rPr>
        <w:t>proven</w:t>
      </w:r>
      <w:r>
        <w:rPr>
          <w:color w:val="231F20"/>
          <w:spacing w:val="-14"/>
        </w:rPr>
        <w:t> </w:t>
      </w:r>
      <w:r>
        <w:rPr>
          <w:color w:val="231F20"/>
          <w:spacing w:val="-2"/>
        </w:rPr>
        <w:t>in</w:t>
      </w:r>
      <w:r>
        <w:rPr>
          <w:color w:val="231F20"/>
          <w:spacing w:val="-14"/>
        </w:rPr>
        <w:t> </w:t>
      </w:r>
      <w:r>
        <w:rPr>
          <w:color w:val="231F20"/>
          <w:spacing w:val="-2"/>
        </w:rPr>
        <w:t>various</w:t>
      </w:r>
      <w:r>
        <w:rPr>
          <w:color w:val="231F20"/>
          <w:spacing w:val="-15"/>
        </w:rPr>
        <w:t> </w:t>
      </w:r>
      <w:r>
        <w:rPr>
          <w:color w:val="231F20"/>
          <w:spacing w:val="-2"/>
        </w:rPr>
        <w:t>clinical</w:t>
      </w:r>
      <w:r>
        <w:rPr>
          <w:color w:val="231F20"/>
          <w:spacing w:val="-14"/>
        </w:rPr>
        <w:t> </w:t>
      </w:r>
      <w:r>
        <w:rPr>
          <w:color w:val="231F20"/>
          <w:spacing w:val="-2"/>
        </w:rPr>
        <w:t>trials </w:t>
      </w:r>
      <w:r>
        <w:rPr>
          <w:color w:val="231F20"/>
        </w:rPr>
        <w:t>for the treatment of certain patients with </w:t>
      </w:r>
      <w:r>
        <w:rPr>
          <w:color w:val="231F20"/>
          <w:spacing w:val="-4"/>
        </w:rPr>
        <w:t>movement</w:t>
      </w:r>
      <w:r>
        <w:rPr>
          <w:color w:val="231F20"/>
          <w:spacing w:val="-13"/>
        </w:rPr>
        <w:t> </w:t>
      </w:r>
      <w:r>
        <w:rPr>
          <w:color w:val="231F20"/>
          <w:spacing w:val="-4"/>
        </w:rPr>
        <w:t>disorders</w:t>
      </w:r>
      <w:r>
        <w:rPr>
          <w:color w:val="231F20"/>
          <w:spacing w:val="-12"/>
        </w:rPr>
        <w:t> </w:t>
      </w:r>
      <w:r>
        <w:rPr>
          <w:color w:val="231F20"/>
          <w:spacing w:val="-4"/>
        </w:rPr>
        <w:t>and</w:t>
      </w:r>
      <w:r>
        <w:rPr>
          <w:color w:val="231F20"/>
          <w:spacing w:val="-13"/>
        </w:rPr>
        <w:t> </w:t>
      </w:r>
      <w:r>
        <w:rPr>
          <w:color w:val="231F20"/>
          <w:spacing w:val="-4"/>
        </w:rPr>
        <w:t>epilepsy.</w:t>
      </w:r>
      <w:r>
        <w:rPr>
          <w:color w:val="231F20"/>
          <w:spacing w:val="-12"/>
        </w:rPr>
        <w:t> </w:t>
      </w:r>
      <w:r>
        <w:rPr>
          <w:color w:val="231F20"/>
          <w:spacing w:val="-4"/>
        </w:rPr>
        <w:t>They</w:t>
      </w:r>
      <w:r>
        <w:rPr>
          <w:color w:val="231F20"/>
          <w:spacing w:val="-13"/>
        </w:rPr>
        <w:t> </w:t>
      </w:r>
      <w:r>
        <w:rPr>
          <w:color w:val="231F20"/>
          <w:spacing w:val="-4"/>
        </w:rPr>
        <w:t>are </w:t>
      </w:r>
      <w:r>
        <w:rPr>
          <w:color w:val="231F20"/>
        </w:rPr>
        <w:t>produced</w:t>
      </w:r>
      <w:r>
        <w:rPr>
          <w:color w:val="231F20"/>
          <w:spacing w:val="-4"/>
        </w:rPr>
        <w:t> </w:t>
      </w:r>
      <w:r>
        <w:rPr>
          <w:color w:val="231F20"/>
        </w:rPr>
        <w:t>and</w:t>
      </w:r>
      <w:r>
        <w:rPr>
          <w:color w:val="231F20"/>
          <w:spacing w:val="-4"/>
        </w:rPr>
        <w:t> </w:t>
      </w:r>
      <w:r>
        <w:rPr>
          <w:color w:val="231F20"/>
        </w:rPr>
        <w:t>marketed</w:t>
      </w:r>
      <w:r>
        <w:rPr>
          <w:color w:val="231F20"/>
          <w:spacing w:val="-4"/>
        </w:rPr>
        <w:t> </w:t>
      </w:r>
      <w:r>
        <w:rPr>
          <w:color w:val="231F20"/>
        </w:rPr>
        <w:t>by</w:t>
      </w:r>
      <w:r>
        <w:rPr>
          <w:color w:val="231F20"/>
          <w:spacing w:val="-4"/>
        </w:rPr>
        <w:t> </w:t>
      </w:r>
      <w:r>
        <w:rPr>
          <w:color w:val="231F20"/>
        </w:rPr>
        <w:t>just</w:t>
      </w:r>
      <w:r>
        <w:rPr>
          <w:color w:val="231F20"/>
          <w:spacing w:val="-4"/>
        </w:rPr>
        <w:t> </w:t>
      </w:r>
      <w:r>
        <w:rPr>
          <w:color w:val="231F20"/>
        </w:rPr>
        <w:t>three</w:t>
      </w:r>
      <w:r>
        <w:rPr>
          <w:color w:val="231F20"/>
          <w:spacing w:val="-4"/>
        </w:rPr>
        <w:t> </w:t>
      </w:r>
      <w:r>
        <w:rPr>
          <w:color w:val="231F20"/>
        </w:rPr>
        <w:t>U.S. companies: Medtronic, Boston Scientific and</w:t>
      </w:r>
      <w:r>
        <w:rPr>
          <w:color w:val="231F20"/>
          <w:spacing w:val="-11"/>
        </w:rPr>
        <w:t> </w:t>
      </w:r>
      <w:r>
        <w:rPr>
          <w:color w:val="231F20"/>
        </w:rPr>
        <w:t>St.</w:t>
      </w:r>
      <w:r>
        <w:rPr>
          <w:color w:val="231F20"/>
          <w:spacing w:val="-11"/>
        </w:rPr>
        <w:t> </w:t>
      </w:r>
      <w:r>
        <w:rPr>
          <w:color w:val="231F20"/>
        </w:rPr>
        <w:t>Jude</w:t>
      </w:r>
      <w:r>
        <w:rPr>
          <w:color w:val="231F20"/>
          <w:spacing w:val="-11"/>
        </w:rPr>
        <w:t> </w:t>
      </w:r>
      <w:r>
        <w:rPr>
          <w:color w:val="231F20"/>
        </w:rPr>
        <w:t>Medical,</w:t>
      </w:r>
      <w:r>
        <w:rPr>
          <w:color w:val="231F20"/>
          <w:spacing w:val="-11"/>
        </w:rPr>
        <w:t> </w:t>
      </w:r>
      <w:r>
        <w:rPr>
          <w:color w:val="231F20"/>
        </w:rPr>
        <w:t>Inc.,</w:t>
      </w:r>
      <w:r>
        <w:rPr>
          <w:color w:val="231F20"/>
          <w:spacing w:val="-11"/>
        </w:rPr>
        <w:t> </w:t>
      </w:r>
      <w:r>
        <w:rPr>
          <w:color w:val="231F20"/>
        </w:rPr>
        <w:t>all</w:t>
      </w:r>
      <w:r>
        <w:rPr>
          <w:color w:val="231F20"/>
          <w:spacing w:val="-11"/>
        </w:rPr>
        <w:t> </w:t>
      </w:r>
      <w:r>
        <w:rPr>
          <w:color w:val="231F20"/>
        </w:rPr>
        <w:t>banned</w:t>
      </w:r>
      <w:r>
        <w:rPr>
          <w:color w:val="231F20"/>
          <w:spacing w:val="-11"/>
        </w:rPr>
        <w:t> </w:t>
      </w:r>
      <w:r>
        <w:rPr>
          <w:color w:val="231F20"/>
        </w:rPr>
        <w:t>from selling to Cuba.</w:t>
      </w:r>
    </w:p>
    <w:p>
      <w:pPr>
        <w:pStyle w:val="BodyText"/>
        <w:spacing w:before="168"/>
        <w:ind w:left="1133"/>
      </w:pPr>
      <w:r>
        <w:rPr>
          <w:color w:val="231F20"/>
        </w:rPr>
        <w:t>Cuba</w:t>
      </w:r>
      <w:r>
        <w:rPr>
          <w:color w:val="231F20"/>
          <w:spacing w:val="71"/>
        </w:rPr>
        <w:t> </w:t>
      </w:r>
      <w:r>
        <w:rPr>
          <w:color w:val="231F20"/>
        </w:rPr>
        <w:t>is</w:t>
      </w:r>
      <w:r>
        <w:rPr>
          <w:color w:val="231F20"/>
          <w:spacing w:val="71"/>
        </w:rPr>
        <w:t> </w:t>
      </w:r>
      <w:r>
        <w:rPr>
          <w:color w:val="231F20"/>
        </w:rPr>
        <w:t>also</w:t>
      </w:r>
      <w:r>
        <w:rPr>
          <w:color w:val="231F20"/>
          <w:spacing w:val="71"/>
        </w:rPr>
        <w:t> </w:t>
      </w:r>
      <w:r>
        <w:rPr>
          <w:color w:val="231F20"/>
        </w:rPr>
        <w:t>prohibited</w:t>
      </w:r>
      <w:r>
        <w:rPr>
          <w:color w:val="231F20"/>
          <w:spacing w:val="70"/>
        </w:rPr>
        <w:t> </w:t>
      </w:r>
      <w:r>
        <w:rPr>
          <w:color w:val="231F20"/>
        </w:rPr>
        <w:t>from</w:t>
      </w:r>
      <w:r>
        <w:rPr>
          <w:color w:val="231F20"/>
          <w:spacing w:val="71"/>
        </w:rPr>
        <w:t> </w:t>
      </w:r>
      <w:r>
        <w:rPr>
          <w:color w:val="231F20"/>
          <w:spacing w:val="-2"/>
        </w:rPr>
        <w:t>acquiring</w:t>
      </w:r>
    </w:p>
    <w:p>
      <w:pPr>
        <w:pStyle w:val="BodyText"/>
        <w:spacing w:before="77"/>
        <w:ind w:left="412" w:right="1472"/>
      </w:pPr>
      <w:r>
        <w:rPr/>
        <w:br w:type="column"/>
      </w:r>
      <w:r>
        <w:rPr>
          <w:color w:val="231F20"/>
        </w:rPr>
        <w:t>the Da Vinci Xi Surgical System Model IS4000 robot, depriving our patients of the</w:t>
      </w:r>
      <w:r>
        <w:rPr>
          <w:color w:val="231F20"/>
          <w:spacing w:val="-15"/>
        </w:rPr>
        <w:t> </w:t>
      </w:r>
      <w:r>
        <w:rPr>
          <w:color w:val="231F20"/>
        </w:rPr>
        <w:t>benefits</w:t>
      </w:r>
      <w:r>
        <w:rPr>
          <w:color w:val="231F20"/>
          <w:spacing w:val="-15"/>
        </w:rPr>
        <w:t> </w:t>
      </w:r>
      <w:r>
        <w:rPr>
          <w:color w:val="231F20"/>
        </w:rPr>
        <w:t>of</w:t>
      </w:r>
      <w:r>
        <w:rPr>
          <w:color w:val="231F20"/>
          <w:spacing w:val="-15"/>
        </w:rPr>
        <w:t> </w:t>
      </w:r>
      <w:r>
        <w:rPr>
          <w:color w:val="231F20"/>
        </w:rPr>
        <w:t>the</w:t>
      </w:r>
      <w:r>
        <w:rPr>
          <w:color w:val="231F20"/>
          <w:spacing w:val="-15"/>
        </w:rPr>
        <w:t> </w:t>
      </w:r>
      <w:r>
        <w:rPr>
          <w:color w:val="231F20"/>
        </w:rPr>
        <w:t>safest</w:t>
      </w:r>
      <w:r>
        <w:rPr>
          <w:color w:val="231F20"/>
          <w:spacing w:val="-15"/>
        </w:rPr>
        <w:t> </w:t>
      </w:r>
      <w:r>
        <w:rPr>
          <w:color w:val="231F20"/>
        </w:rPr>
        <w:t>and</w:t>
      </w:r>
      <w:r>
        <w:rPr>
          <w:color w:val="231F20"/>
          <w:spacing w:val="-15"/>
        </w:rPr>
        <w:t> </w:t>
      </w:r>
      <w:r>
        <w:rPr>
          <w:color w:val="231F20"/>
        </w:rPr>
        <w:t>most</w:t>
      </w:r>
      <w:r>
        <w:rPr>
          <w:color w:val="231F20"/>
          <w:spacing w:val="-15"/>
        </w:rPr>
        <w:t> </w:t>
      </w:r>
      <w:r>
        <w:rPr>
          <w:color w:val="231F20"/>
        </w:rPr>
        <w:t>precise robotic surgery.</w:t>
      </w:r>
    </w:p>
    <w:p>
      <w:pPr>
        <w:pStyle w:val="BodyText"/>
        <w:spacing w:before="163"/>
        <w:ind w:left="412" w:right="1475"/>
      </w:pPr>
      <w:r>
        <w:rPr>
          <w:color w:val="231F20"/>
          <w:spacing w:val="-6"/>
        </w:rPr>
        <w:t>Currently,</w:t>
      </w:r>
      <w:r>
        <w:rPr>
          <w:color w:val="231F20"/>
          <w:spacing w:val="-10"/>
        </w:rPr>
        <w:t> </w:t>
      </w:r>
      <w:r>
        <w:rPr>
          <w:color w:val="231F20"/>
          <w:spacing w:val="-6"/>
        </w:rPr>
        <w:t>the</w:t>
      </w:r>
      <w:r>
        <w:rPr>
          <w:color w:val="231F20"/>
          <w:spacing w:val="-10"/>
        </w:rPr>
        <w:t> </w:t>
      </w:r>
      <w:r>
        <w:rPr>
          <w:color w:val="231F20"/>
          <w:spacing w:val="-6"/>
        </w:rPr>
        <w:t>country</w:t>
      </w:r>
      <w:r>
        <w:rPr>
          <w:color w:val="231F20"/>
          <w:spacing w:val="-10"/>
        </w:rPr>
        <w:t> </w:t>
      </w:r>
      <w:r>
        <w:rPr>
          <w:color w:val="231F20"/>
          <w:spacing w:val="-6"/>
        </w:rPr>
        <w:t>is</w:t>
      </w:r>
      <w:r>
        <w:rPr>
          <w:color w:val="231F20"/>
          <w:spacing w:val="-10"/>
        </w:rPr>
        <w:t> </w:t>
      </w:r>
      <w:r>
        <w:rPr>
          <w:color w:val="231F20"/>
          <w:spacing w:val="-6"/>
        </w:rPr>
        <w:t>incurring</w:t>
      </w:r>
      <w:r>
        <w:rPr>
          <w:color w:val="231F20"/>
          <w:spacing w:val="-10"/>
        </w:rPr>
        <w:t> </w:t>
      </w:r>
      <w:r>
        <w:rPr>
          <w:color w:val="231F20"/>
          <w:spacing w:val="-6"/>
        </w:rPr>
        <w:t>exorbitant </w:t>
      </w:r>
      <w:r>
        <w:rPr>
          <w:color w:val="231F20"/>
        </w:rPr>
        <w:t>sums in technological updating of </w:t>
      </w:r>
      <w:r>
        <w:rPr>
          <w:color w:val="231F20"/>
          <w:spacing w:val="-8"/>
        </w:rPr>
        <w:t>comprehensive treatment for burns patients. </w:t>
      </w:r>
      <w:r>
        <w:rPr>
          <w:color w:val="231F20"/>
          <w:spacing w:val="-6"/>
        </w:rPr>
        <w:t>Facilities</w:t>
      </w:r>
      <w:r>
        <w:rPr>
          <w:color w:val="231F20"/>
          <w:spacing w:val="-11"/>
        </w:rPr>
        <w:t> </w:t>
      </w:r>
      <w:r>
        <w:rPr>
          <w:color w:val="231F20"/>
          <w:spacing w:val="-6"/>
        </w:rPr>
        <w:t>lacking</w:t>
      </w:r>
      <w:r>
        <w:rPr>
          <w:color w:val="231F20"/>
          <w:spacing w:val="-10"/>
        </w:rPr>
        <w:t> </w:t>
      </w:r>
      <w:r>
        <w:rPr>
          <w:color w:val="231F20"/>
          <w:spacing w:val="-6"/>
        </w:rPr>
        <w:t>include</w:t>
      </w:r>
      <w:r>
        <w:rPr>
          <w:color w:val="231F20"/>
          <w:spacing w:val="-11"/>
        </w:rPr>
        <w:t> </w:t>
      </w:r>
      <w:r>
        <w:rPr>
          <w:color w:val="231F20"/>
          <w:spacing w:val="-6"/>
        </w:rPr>
        <w:t>baths,</w:t>
      </w:r>
      <w:r>
        <w:rPr>
          <w:color w:val="231F20"/>
          <w:spacing w:val="-10"/>
        </w:rPr>
        <w:t> </w:t>
      </w:r>
      <w:r>
        <w:rPr>
          <w:color w:val="231F20"/>
          <w:spacing w:val="-6"/>
        </w:rPr>
        <w:t>dermatomes, </w:t>
      </w:r>
      <w:r>
        <w:rPr>
          <w:color w:val="231F20"/>
        </w:rPr>
        <w:t>endoscopic surgical instrumentation, skin substitutes, biological dressings, and the best</w:t>
      </w:r>
      <w:r>
        <w:rPr>
          <w:color w:val="231F20"/>
          <w:spacing w:val="-10"/>
        </w:rPr>
        <w:t> </w:t>
      </w:r>
      <w:r>
        <w:rPr>
          <w:color w:val="231F20"/>
        </w:rPr>
        <w:t>antiseptics</w:t>
      </w:r>
      <w:r>
        <w:rPr>
          <w:color w:val="231F20"/>
          <w:spacing w:val="-10"/>
        </w:rPr>
        <w:t> </w:t>
      </w:r>
      <w:r>
        <w:rPr>
          <w:color w:val="231F20"/>
        </w:rPr>
        <w:t>for</w:t>
      </w:r>
      <w:r>
        <w:rPr>
          <w:color w:val="231F20"/>
          <w:spacing w:val="-10"/>
        </w:rPr>
        <w:t> </w:t>
      </w:r>
      <w:r>
        <w:rPr>
          <w:color w:val="231F20"/>
        </w:rPr>
        <w:t>critical</w:t>
      </w:r>
      <w:r>
        <w:rPr>
          <w:color w:val="231F20"/>
          <w:spacing w:val="-10"/>
        </w:rPr>
        <w:t> </w:t>
      </w:r>
      <w:r>
        <w:rPr>
          <w:color w:val="231F20"/>
        </w:rPr>
        <w:t>burns</w:t>
      </w:r>
      <w:r>
        <w:rPr>
          <w:color w:val="231F20"/>
          <w:spacing w:val="-10"/>
        </w:rPr>
        <w:t> </w:t>
      </w:r>
      <w:r>
        <w:rPr>
          <w:color w:val="231F20"/>
        </w:rPr>
        <w:t>care.</w:t>
      </w:r>
    </w:p>
    <w:p>
      <w:pPr>
        <w:pStyle w:val="BodyText"/>
        <w:spacing w:before="165"/>
        <w:ind w:left="412" w:right="1475"/>
      </w:pPr>
      <w:r>
        <w:rPr>
          <w:color w:val="231F20"/>
          <w:spacing w:val="-6"/>
        </w:rPr>
        <w:t>The</w:t>
      </w:r>
      <w:r>
        <w:rPr>
          <w:color w:val="231F20"/>
          <w:spacing w:val="-11"/>
        </w:rPr>
        <w:t> </w:t>
      </w:r>
      <w:r>
        <w:rPr>
          <w:color w:val="231F20"/>
          <w:spacing w:val="-6"/>
        </w:rPr>
        <w:t>Swiss</w:t>
      </w:r>
      <w:r>
        <w:rPr>
          <w:color w:val="231F20"/>
          <w:spacing w:val="-10"/>
        </w:rPr>
        <w:t> </w:t>
      </w:r>
      <w:r>
        <w:rPr>
          <w:color w:val="231F20"/>
          <w:spacing w:val="-6"/>
        </w:rPr>
        <w:t>banks</w:t>
      </w:r>
      <w:r>
        <w:rPr>
          <w:color w:val="231F20"/>
          <w:spacing w:val="-11"/>
        </w:rPr>
        <w:t> </w:t>
      </w:r>
      <w:r>
        <w:rPr>
          <w:color w:val="231F20"/>
          <w:spacing w:val="-6"/>
        </w:rPr>
        <w:t>UBS,</w:t>
      </w:r>
      <w:r>
        <w:rPr>
          <w:color w:val="231F20"/>
          <w:spacing w:val="-10"/>
        </w:rPr>
        <w:t> </w:t>
      </w:r>
      <w:r>
        <w:rPr>
          <w:color w:val="231F20"/>
          <w:spacing w:val="-6"/>
        </w:rPr>
        <w:t>Banque</w:t>
      </w:r>
      <w:r>
        <w:rPr>
          <w:color w:val="231F20"/>
          <w:spacing w:val="-11"/>
        </w:rPr>
        <w:t> </w:t>
      </w:r>
      <w:r>
        <w:rPr>
          <w:color w:val="231F20"/>
          <w:spacing w:val="-6"/>
        </w:rPr>
        <w:t>Cler</w:t>
      </w:r>
      <w:r>
        <w:rPr>
          <w:color w:val="231F20"/>
          <w:spacing w:val="-10"/>
        </w:rPr>
        <w:t> </w:t>
      </w:r>
      <w:r>
        <w:rPr>
          <w:color w:val="231F20"/>
          <w:spacing w:val="-6"/>
        </w:rPr>
        <w:t>and</w:t>
      </w:r>
      <w:r>
        <w:rPr>
          <w:color w:val="231F20"/>
          <w:spacing w:val="-11"/>
        </w:rPr>
        <w:t> </w:t>
      </w:r>
      <w:r>
        <w:rPr>
          <w:color w:val="231F20"/>
          <w:spacing w:val="-6"/>
        </w:rPr>
        <w:t>Basel Cantonal</w:t>
      </w:r>
      <w:r>
        <w:rPr>
          <w:color w:val="231F20"/>
          <w:spacing w:val="-11"/>
        </w:rPr>
        <w:t> </w:t>
      </w:r>
      <w:r>
        <w:rPr>
          <w:color w:val="231F20"/>
          <w:spacing w:val="-6"/>
        </w:rPr>
        <w:t>Bank</w:t>
      </w:r>
      <w:r>
        <w:rPr>
          <w:color w:val="231F20"/>
          <w:spacing w:val="-10"/>
        </w:rPr>
        <w:t> </w:t>
      </w:r>
      <w:r>
        <w:rPr>
          <w:color w:val="231F20"/>
          <w:spacing w:val="-6"/>
        </w:rPr>
        <w:t>refused</w:t>
      </w:r>
      <w:r>
        <w:rPr>
          <w:color w:val="231F20"/>
          <w:spacing w:val="-11"/>
        </w:rPr>
        <w:t> </w:t>
      </w:r>
      <w:r>
        <w:rPr>
          <w:color w:val="231F20"/>
          <w:spacing w:val="-6"/>
        </w:rPr>
        <w:t>to</w:t>
      </w:r>
      <w:r>
        <w:rPr>
          <w:color w:val="231F20"/>
          <w:spacing w:val="-10"/>
        </w:rPr>
        <w:t> </w:t>
      </w:r>
      <w:r>
        <w:rPr>
          <w:color w:val="231F20"/>
          <w:spacing w:val="-6"/>
        </w:rPr>
        <w:t>transfer</w:t>
      </w:r>
      <w:r>
        <w:rPr>
          <w:color w:val="231F20"/>
          <w:spacing w:val="-10"/>
        </w:rPr>
        <w:t> </w:t>
      </w:r>
      <w:r>
        <w:rPr>
          <w:color w:val="231F20"/>
          <w:spacing w:val="-6"/>
        </w:rPr>
        <w:t>donations </w:t>
      </w:r>
      <w:r>
        <w:rPr>
          <w:color w:val="231F20"/>
        </w:rPr>
        <w:t>to Cuba from the MediCuba-Suiza and Asociación Suiza-Cuba Swiss solidarity organizations, intended for the purchase of surgical instrumentation for the burns </w:t>
      </w:r>
      <w:r>
        <w:rPr>
          <w:color w:val="231F20"/>
          <w:spacing w:val="-2"/>
        </w:rPr>
        <w:t>and</w:t>
      </w:r>
      <w:r>
        <w:rPr>
          <w:color w:val="231F20"/>
          <w:spacing w:val="-15"/>
        </w:rPr>
        <w:t> </w:t>
      </w:r>
      <w:r>
        <w:rPr>
          <w:color w:val="231F20"/>
          <w:spacing w:val="-2"/>
        </w:rPr>
        <w:t>reconstructive</w:t>
      </w:r>
      <w:r>
        <w:rPr>
          <w:color w:val="231F20"/>
          <w:spacing w:val="-14"/>
        </w:rPr>
        <w:t> </w:t>
      </w:r>
      <w:r>
        <w:rPr>
          <w:color w:val="231F20"/>
          <w:spacing w:val="-2"/>
        </w:rPr>
        <w:t>surgery</w:t>
      </w:r>
      <w:r>
        <w:rPr>
          <w:color w:val="231F20"/>
          <w:spacing w:val="-15"/>
        </w:rPr>
        <w:t> </w:t>
      </w:r>
      <w:r>
        <w:rPr>
          <w:color w:val="231F20"/>
          <w:spacing w:val="-2"/>
        </w:rPr>
        <w:t>unit</w:t>
      </w:r>
      <w:r>
        <w:rPr>
          <w:color w:val="231F20"/>
          <w:spacing w:val="-14"/>
        </w:rPr>
        <w:t> </w:t>
      </w:r>
      <w:r>
        <w:rPr>
          <w:color w:val="231F20"/>
          <w:spacing w:val="-2"/>
        </w:rPr>
        <w:t>at</w:t>
      </w:r>
      <w:r>
        <w:rPr>
          <w:color w:val="231F20"/>
          <w:spacing w:val="-15"/>
        </w:rPr>
        <w:t> </w:t>
      </w:r>
      <w:r>
        <w:rPr>
          <w:color w:val="231F20"/>
          <w:spacing w:val="-2"/>
        </w:rPr>
        <w:t>Havana’s </w:t>
      </w:r>
      <w:r>
        <w:rPr>
          <w:color w:val="231F20"/>
        </w:rPr>
        <w:t>Hermanos Ameijeiras hospital.</w:t>
      </w:r>
    </w:p>
    <w:p>
      <w:pPr>
        <w:pStyle w:val="BodyText"/>
        <w:spacing w:before="167"/>
        <w:ind w:left="412" w:right="1470"/>
      </w:pPr>
      <w:r>
        <w:rPr>
          <w:color w:val="231F20"/>
        </w:rPr>
        <w:t>The period covered by this report saw </w:t>
      </w:r>
      <w:r>
        <w:rPr>
          <w:color w:val="231F20"/>
          <w:spacing w:val="-6"/>
        </w:rPr>
        <w:t>cancellation of a gas supply agreement with the</w:t>
      </w:r>
      <w:r>
        <w:rPr>
          <w:color w:val="231F20"/>
          <w:spacing w:val="-11"/>
        </w:rPr>
        <w:t> </w:t>
      </w:r>
      <w:r>
        <w:rPr>
          <w:color w:val="231F20"/>
          <w:spacing w:val="-6"/>
        </w:rPr>
        <w:t>Germany</w:t>
      </w:r>
      <w:r>
        <w:rPr>
          <w:color w:val="231F20"/>
          <w:spacing w:val="-10"/>
        </w:rPr>
        <w:t> </w:t>
      </w:r>
      <w:r>
        <w:rPr>
          <w:color w:val="231F20"/>
          <w:spacing w:val="-6"/>
        </w:rPr>
        <w:t>company</w:t>
      </w:r>
      <w:r>
        <w:rPr>
          <w:color w:val="231F20"/>
          <w:spacing w:val="-11"/>
        </w:rPr>
        <w:t> </w:t>
      </w:r>
      <w:r>
        <w:rPr>
          <w:color w:val="231F20"/>
          <w:spacing w:val="-6"/>
        </w:rPr>
        <w:t>Westfalen</w:t>
      </w:r>
      <w:r>
        <w:rPr>
          <w:color w:val="231F20"/>
          <w:spacing w:val="-10"/>
        </w:rPr>
        <w:t> </w:t>
      </w:r>
      <w:r>
        <w:rPr>
          <w:color w:val="231F20"/>
          <w:spacing w:val="-6"/>
        </w:rPr>
        <w:t>AG</w:t>
      </w:r>
      <w:r>
        <w:rPr>
          <w:color w:val="231F20"/>
          <w:spacing w:val="-11"/>
        </w:rPr>
        <w:t> </w:t>
      </w:r>
      <w:r>
        <w:rPr>
          <w:color w:val="231F20"/>
          <w:spacing w:val="-6"/>
        </w:rPr>
        <w:t>for</w:t>
      </w:r>
      <w:r>
        <w:rPr>
          <w:color w:val="231F20"/>
          <w:spacing w:val="-10"/>
        </w:rPr>
        <w:t> </w:t>
      </w:r>
      <w:r>
        <w:rPr>
          <w:color w:val="231F20"/>
          <w:spacing w:val="-6"/>
        </w:rPr>
        <w:t>the </w:t>
      </w:r>
      <w:r>
        <w:rPr>
          <w:color w:val="231F20"/>
          <w:spacing w:val="-4"/>
        </w:rPr>
        <w:t>commissioning</w:t>
      </w:r>
      <w:r>
        <w:rPr>
          <w:color w:val="231F20"/>
          <w:spacing w:val="-13"/>
        </w:rPr>
        <w:t> </w:t>
      </w:r>
      <w:r>
        <w:rPr>
          <w:color w:val="231F20"/>
          <w:spacing w:val="-4"/>
        </w:rPr>
        <w:t>of</w:t>
      </w:r>
      <w:r>
        <w:rPr>
          <w:color w:val="231F20"/>
          <w:spacing w:val="-12"/>
        </w:rPr>
        <w:t> </w:t>
      </w:r>
      <w:r>
        <w:rPr>
          <w:color w:val="231F20"/>
          <w:spacing w:val="-4"/>
        </w:rPr>
        <w:t>a</w:t>
      </w:r>
      <w:r>
        <w:rPr>
          <w:color w:val="231F20"/>
          <w:spacing w:val="-13"/>
        </w:rPr>
        <w:t> </w:t>
      </w:r>
      <w:r>
        <w:rPr>
          <w:color w:val="231F20"/>
          <w:spacing w:val="-4"/>
        </w:rPr>
        <w:t>capnography</w:t>
      </w:r>
      <w:r>
        <w:rPr>
          <w:color w:val="231F20"/>
          <w:spacing w:val="-12"/>
        </w:rPr>
        <w:t> </w:t>
      </w:r>
      <w:r>
        <w:rPr>
          <w:color w:val="231F20"/>
          <w:spacing w:val="-4"/>
        </w:rPr>
        <w:t>monitor</w:t>
      </w:r>
      <w:r>
        <w:rPr>
          <w:color w:val="231F20"/>
          <w:spacing w:val="-13"/>
        </w:rPr>
        <w:t> </w:t>
      </w:r>
      <w:r>
        <w:rPr>
          <w:color w:val="231F20"/>
          <w:spacing w:val="-4"/>
        </w:rPr>
        <w:t>- </w:t>
      </w:r>
      <w:r>
        <w:rPr>
          <w:color w:val="231F20"/>
        </w:rPr>
        <w:t>a</w:t>
      </w:r>
      <w:r>
        <w:rPr>
          <w:color w:val="231F20"/>
          <w:spacing w:val="-11"/>
        </w:rPr>
        <w:t> </w:t>
      </w:r>
      <w:r>
        <w:rPr>
          <w:color w:val="231F20"/>
        </w:rPr>
        <w:t>device</w:t>
      </w:r>
      <w:r>
        <w:rPr>
          <w:color w:val="231F20"/>
          <w:spacing w:val="-11"/>
        </w:rPr>
        <w:t> </w:t>
      </w:r>
      <w:r>
        <w:rPr>
          <w:color w:val="231F20"/>
        </w:rPr>
        <w:t>for</w:t>
      </w:r>
      <w:r>
        <w:rPr>
          <w:color w:val="231F20"/>
          <w:spacing w:val="-11"/>
        </w:rPr>
        <w:t> </w:t>
      </w:r>
      <w:r>
        <w:rPr>
          <w:color w:val="231F20"/>
        </w:rPr>
        <w:t>measuring</w:t>
      </w:r>
      <w:r>
        <w:rPr>
          <w:color w:val="231F20"/>
          <w:spacing w:val="-11"/>
        </w:rPr>
        <w:t> </w:t>
      </w:r>
      <w:r>
        <w:rPr>
          <w:color w:val="231F20"/>
        </w:rPr>
        <w:t>the</w:t>
      </w:r>
      <w:r>
        <w:rPr>
          <w:color w:val="231F20"/>
          <w:spacing w:val="-11"/>
        </w:rPr>
        <w:t> </w:t>
      </w:r>
      <w:r>
        <w:rPr>
          <w:color w:val="231F20"/>
        </w:rPr>
        <w:t>carbon</w:t>
      </w:r>
      <w:r>
        <w:rPr>
          <w:color w:val="231F20"/>
          <w:spacing w:val="-11"/>
        </w:rPr>
        <w:t> </w:t>
      </w:r>
      <w:r>
        <w:rPr>
          <w:color w:val="231F20"/>
        </w:rPr>
        <w:t>dioxide </w:t>
      </w:r>
      <w:r>
        <w:rPr>
          <w:color w:val="231F20"/>
          <w:spacing w:val="-10"/>
        </w:rPr>
        <w:t>content</w:t>
      </w:r>
      <w:r>
        <w:rPr>
          <w:color w:val="231F20"/>
        </w:rPr>
        <w:t> </w:t>
      </w:r>
      <w:r>
        <w:rPr>
          <w:color w:val="231F20"/>
          <w:spacing w:val="-10"/>
        </w:rPr>
        <w:t>of</w:t>
      </w:r>
      <w:r>
        <w:rPr>
          <w:color w:val="231F20"/>
        </w:rPr>
        <w:t> </w:t>
      </w:r>
      <w:r>
        <w:rPr>
          <w:color w:val="231F20"/>
          <w:spacing w:val="-10"/>
        </w:rPr>
        <w:t>patients’</w:t>
      </w:r>
      <w:r>
        <w:rPr>
          <w:color w:val="231F20"/>
        </w:rPr>
        <w:t> </w:t>
      </w:r>
      <w:r>
        <w:rPr>
          <w:color w:val="231F20"/>
          <w:spacing w:val="-10"/>
        </w:rPr>
        <w:t>exhalations.</w:t>
      </w:r>
      <w:r>
        <w:rPr>
          <w:color w:val="231F20"/>
        </w:rPr>
        <w:t> </w:t>
      </w:r>
      <w:r>
        <w:rPr>
          <w:color w:val="231F20"/>
          <w:spacing w:val="-10"/>
        </w:rPr>
        <w:t>According</w:t>
      </w:r>
      <w:r>
        <w:rPr>
          <w:color w:val="231F20"/>
        </w:rPr>
        <w:t> </w:t>
      </w:r>
      <w:r>
        <w:rPr>
          <w:color w:val="231F20"/>
          <w:spacing w:val="-10"/>
        </w:rPr>
        <w:t>to </w:t>
      </w:r>
      <w:r>
        <w:rPr>
          <w:color w:val="231F20"/>
          <w:spacing w:val="-2"/>
        </w:rPr>
        <w:t>the</w:t>
      </w:r>
      <w:r>
        <w:rPr>
          <w:color w:val="231F20"/>
          <w:spacing w:val="-14"/>
        </w:rPr>
        <w:t> </w:t>
      </w:r>
      <w:r>
        <w:rPr>
          <w:color w:val="231F20"/>
          <w:spacing w:val="-2"/>
        </w:rPr>
        <w:t>supplier,</w:t>
      </w:r>
      <w:r>
        <w:rPr>
          <w:color w:val="231F20"/>
          <w:spacing w:val="-14"/>
        </w:rPr>
        <w:t> </w:t>
      </w:r>
      <w:r>
        <w:rPr>
          <w:color w:val="231F20"/>
          <w:spacing w:val="-2"/>
        </w:rPr>
        <w:t>it</w:t>
      </w:r>
      <w:r>
        <w:rPr>
          <w:color w:val="231F20"/>
          <w:spacing w:val="-14"/>
        </w:rPr>
        <w:t> </w:t>
      </w:r>
      <w:r>
        <w:rPr>
          <w:color w:val="231F20"/>
          <w:spacing w:val="-2"/>
        </w:rPr>
        <w:t>risked</w:t>
      </w:r>
      <w:r>
        <w:rPr>
          <w:color w:val="231F20"/>
          <w:spacing w:val="-14"/>
        </w:rPr>
        <w:t> </w:t>
      </w:r>
      <w:r>
        <w:rPr>
          <w:color w:val="231F20"/>
          <w:spacing w:val="-2"/>
        </w:rPr>
        <w:t>blacklisting</w:t>
      </w:r>
      <w:r>
        <w:rPr>
          <w:color w:val="231F20"/>
          <w:spacing w:val="-14"/>
        </w:rPr>
        <w:t> </w:t>
      </w:r>
      <w:r>
        <w:rPr>
          <w:color w:val="231F20"/>
          <w:spacing w:val="-2"/>
        </w:rPr>
        <w:t>under</w:t>
      </w:r>
      <w:r>
        <w:rPr>
          <w:color w:val="231F20"/>
          <w:spacing w:val="-14"/>
        </w:rPr>
        <w:t> </w:t>
      </w:r>
      <w:r>
        <w:rPr>
          <w:color w:val="231F20"/>
          <w:spacing w:val="-2"/>
        </w:rPr>
        <w:t>the blockade,</w:t>
      </w:r>
      <w:r>
        <w:rPr>
          <w:color w:val="231F20"/>
          <w:spacing w:val="-11"/>
        </w:rPr>
        <w:t> </w:t>
      </w:r>
      <w:r>
        <w:rPr>
          <w:color w:val="231F20"/>
          <w:spacing w:val="-2"/>
        </w:rPr>
        <w:t>which</w:t>
      </w:r>
      <w:r>
        <w:rPr>
          <w:color w:val="231F20"/>
          <w:spacing w:val="-11"/>
        </w:rPr>
        <w:t> </w:t>
      </w:r>
      <w:r>
        <w:rPr>
          <w:color w:val="231F20"/>
          <w:spacing w:val="-2"/>
        </w:rPr>
        <w:t>would</w:t>
      </w:r>
      <w:r>
        <w:rPr>
          <w:color w:val="231F20"/>
          <w:spacing w:val="-11"/>
        </w:rPr>
        <w:t> </w:t>
      </w:r>
      <w:r>
        <w:rPr>
          <w:color w:val="231F20"/>
          <w:spacing w:val="-2"/>
        </w:rPr>
        <w:t>mean</w:t>
      </w:r>
      <w:r>
        <w:rPr>
          <w:color w:val="231F20"/>
          <w:spacing w:val="-11"/>
        </w:rPr>
        <w:t> </w:t>
      </w:r>
      <w:r>
        <w:rPr>
          <w:color w:val="231F20"/>
          <w:spacing w:val="-2"/>
        </w:rPr>
        <w:t>being</w:t>
      </w:r>
      <w:r>
        <w:rPr>
          <w:color w:val="231F20"/>
          <w:spacing w:val="-11"/>
        </w:rPr>
        <w:t> </w:t>
      </w:r>
      <w:r>
        <w:rPr>
          <w:color w:val="231F20"/>
          <w:spacing w:val="-2"/>
        </w:rPr>
        <w:t>unable to</w:t>
      </w:r>
      <w:r>
        <w:rPr>
          <w:color w:val="231F20"/>
          <w:spacing w:val="-15"/>
        </w:rPr>
        <w:t> </w:t>
      </w:r>
      <w:r>
        <w:rPr>
          <w:color w:val="231F20"/>
          <w:spacing w:val="-2"/>
        </w:rPr>
        <w:t>obtain</w:t>
      </w:r>
      <w:r>
        <w:rPr>
          <w:color w:val="231F20"/>
          <w:spacing w:val="-15"/>
        </w:rPr>
        <w:t> </w:t>
      </w:r>
      <w:r>
        <w:rPr>
          <w:color w:val="231F20"/>
          <w:spacing w:val="-2"/>
        </w:rPr>
        <w:t>supplies</w:t>
      </w:r>
      <w:r>
        <w:rPr>
          <w:color w:val="231F20"/>
          <w:spacing w:val="-15"/>
        </w:rPr>
        <w:t> </w:t>
      </w:r>
      <w:r>
        <w:rPr>
          <w:color w:val="231F20"/>
          <w:spacing w:val="-2"/>
        </w:rPr>
        <w:t>from</w:t>
      </w:r>
      <w:r>
        <w:rPr>
          <w:color w:val="231F20"/>
          <w:spacing w:val="-15"/>
        </w:rPr>
        <w:t> </w:t>
      </w:r>
      <w:r>
        <w:rPr>
          <w:color w:val="231F20"/>
          <w:spacing w:val="-2"/>
        </w:rPr>
        <w:t>any</w:t>
      </w:r>
      <w:r>
        <w:rPr>
          <w:color w:val="231F20"/>
          <w:spacing w:val="-15"/>
        </w:rPr>
        <w:t> </w:t>
      </w:r>
      <w:r>
        <w:rPr>
          <w:color w:val="231F20"/>
          <w:spacing w:val="-2"/>
        </w:rPr>
        <w:t>U.S.</w:t>
      </w:r>
      <w:r>
        <w:rPr>
          <w:color w:val="231F20"/>
          <w:spacing w:val="-15"/>
        </w:rPr>
        <w:t> </w:t>
      </w:r>
      <w:r>
        <w:rPr>
          <w:color w:val="231F20"/>
          <w:spacing w:val="-2"/>
        </w:rPr>
        <w:t>company.</w:t>
      </w:r>
    </w:p>
    <w:p>
      <w:pPr>
        <w:pStyle w:val="BodyText"/>
        <w:spacing w:before="167"/>
        <w:ind w:left="412" w:right="1476"/>
      </w:pPr>
      <w:r>
        <w:rPr>
          <w:color w:val="231F20"/>
        </w:rPr>
        <w:t>The Cuban Digital Medical Technology </w:t>
      </w:r>
      <w:r>
        <w:rPr>
          <w:color w:val="231F20"/>
          <w:spacing w:val="-8"/>
        </w:rPr>
        <w:t>Company,</w:t>
      </w:r>
      <w:r>
        <w:rPr>
          <w:color w:val="231F20"/>
          <w:spacing w:val="-3"/>
        </w:rPr>
        <w:t> </w:t>
      </w:r>
      <w:r>
        <w:rPr>
          <w:color w:val="231F20"/>
          <w:spacing w:val="-8"/>
        </w:rPr>
        <w:t>Combiomed,</w:t>
      </w:r>
      <w:r>
        <w:rPr>
          <w:color w:val="231F20"/>
          <w:spacing w:val="-3"/>
        </w:rPr>
        <w:t> </w:t>
      </w:r>
      <w:r>
        <w:rPr>
          <w:color w:val="231F20"/>
          <w:spacing w:val="-8"/>
        </w:rPr>
        <w:t>has faced</w:t>
      </w:r>
      <w:r>
        <w:rPr>
          <w:color w:val="231F20"/>
          <w:spacing w:val="-3"/>
        </w:rPr>
        <w:t> </w:t>
      </w:r>
      <w:r>
        <w:rPr>
          <w:color w:val="231F20"/>
          <w:spacing w:val="-8"/>
        </w:rPr>
        <w:t>difficulties </w:t>
      </w:r>
      <w:r>
        <w:rPr>
          <w:color w:val="231F20"/>
        </w:rPr>
        <w:t>in obtaining spare parts for its Hypermax BF home blood-pressure monitors and </w:t>
      </w:r>
      <w:r>
        <w:rPr>
          <w:color w:val="231F20"/>
          <w:spacing w:val="-4"/>
        </w:rPr>
        <w:t>oximetry</w:t>
      </w:r>
      <w:r>
        <w:rPr>
          <w:color w:val="231F20"/>
          <w:spacing w:val="-11"/>
        </w:rPr>
        <w:t> </w:t>
      </w:r>
      <w:r>
        <w:rPr>
          <w:color w:val="231F20"/>
          <w:spacing w:val="-4"/>
        </w:rPr>
        <w:t>modules</w:t>
      </w:r>
      <w:r>
        <w:rPr>
          <w:color w:val="231F20"/>
          <w:spacing w:val="-11"/>
        </w:rPr>
        <w:t> </w:t>
      </w:r>
      <w:r>
        <w:rPr>
          <w:color w:val="231F20"/>
          <w:spacing w:val="-4"/>
        </w:rPr>
        <w:t>for</w:t>
      </w:r>
      <w:r>
        <w:rPr>
          <w:color w:val="231F20"/>
          <w:spacing w:val="-11"/>
        </w:rPr>
        <w:t> </w:t>
      </w:r>
      <w:r>
        <w:rPr>
          <w:color w:val="231F20"/>
          <w:spacing w:val="-4"/>
        </w:rPr>
        <w:t>production</w:t>
      </w:r>
      <w:r>
        <w:rPr>
          <w:color w:val="231F20"/>
          <w:spacing w:val="-11"/>
        </w:rPr>
        <w:t> </w:t>
      </w:r>
      <w:r>
        <w:rPr>
          <w:color w:val="231F20"/>
          <w:spacing w:val="-4"/>
        </w:rPr>
        <w:t>of</w:t>
      </w:r>
      <w:r>
        <w:rPr>
          <w:color w:val="231F20"/>
          <w:spacing w:val="-11"/>
        </w:rPr>
        <w:t> </w:t>
      </w:r>
      <w:r>
        <w:rPr>
          <w:color w:val="231F20"/>
          <w:spacing w:val="-4"/>
        </w:rPr>
        <w:t>Doctus </w:t>
      </w:r>
      <w:r>
        <w:rPr>
          <w:color w:val="231F20"/>
        </w:rPr>
        <w:t>VIII</w:t>
      </w:r>
      <w:r>
        <w:rPr>
          <w:color w:val="231F20"/>
          <w:spacing w:val="-17"/>
        </w:rPr>
        <w:t> </w:t>
      </w:r>
      <w:r>
        <w:rPr>
          <w:color w:val="231F20"/>
        </w:rPr>
        <w:t>patient</w:t>
      </w:r>
      <w:r>
        <w:rPr>
          <w:color w:val="231F20"/>
          <w:spacing w:val="-16"/>
        </w:rPr>
        <w:t> </w:t>
      </w:r>
      <w:r>
        <w:rPr>
          <w:color w:val="231F20"/>
        </w:rPr>
        <w:t>monitors</w:t>
      </w:r>
      <w:r>
        <w:rPr>
          <w:color w:val="231F20"/>
          <w:spacing w:val="-17"/>
        </w:rPr>
        <w:t> </w:t>
      </w:r>
      <w:r>
        <w:rPr>
          <w:color w:val="231F20"/>
        </w:rPr>
        <w:t>used</w:t>
      </w:r>
      <w:r>
        <w:rPr>
          <w:color w:val="231F20"/>
          <w:spacing w:val="-16"/>
        </w:rPr>
        <w:t> </w:t>
      </w:r>
      <w:r>
        <w:rPr>
          <w:color w:val="231F20"/>
        </w:rPr>
        <w:t>in</w:t>
      </w:r>
      <w:r>
        <w:rPr>
          <w:color w:val="231F20"/>
          <w:spacing w:val="-17"/>
        </w:rPr>
        <w:t> </w:t>
      </w:r>
      <w:r>
        <w:rPr>
          <w:color w:val="231F20"/>
        </w:rPr>
        <w:t>intensive</w:t>
      </w:r>
      <w:r>
        <w:rPr>
          <w:color w:val="231F20"/>
          <w:spacing w:val="-16"/>
        </w:rPr>
        <w:t> </w:t>
      </w:r>
      <w:r>
        <w:rPr>
          <w:color w:val="231F20"/>
        </w:rPr>
        <w:t>care departments,</w:t>
      </w:r>
      <w:r>
        <w:rPr>
          <w:color w:val="231F20"/>
          <w:spacing w:val="-8"/>
        </w:rPr>
        <w:t> </w:t>
      </w:r>
      <w:r>
        <w:rPr>
          <w:color w:val="231F20"/>
        </w:rPr>
        <w:t>the</w:t>
      </w:r>
      <w:r>
        <w:rPr>
          <w:color w:val="231F20"/>
          <w:spacing w:val="-9"/>
        </w:rPr>
        <w:t> </w:t>
      </w:r>
      <w:r>
        <w:rPr>
          <w:color w:val="231F20"/>
        </w:rPr>
        <w:t>carrier</w:t>
      </w:r>
      <w:r>
        <w:rPr>
          <w:color w:val="231F20"/>
          <w:spacing w:val="-8"/>
        </w:rPr>
        <w:t> </w:t>
      </w:r>
      <w:r>
        <w:rPr>
          <w:color w:val="231F20"/>
        </w:rPr>
        <w:t>citing</w:t>
      </w:r>
      <w:r>
        <w:rPr>
          <w:color w:val="231F20"/>
          <w:spacing w:val="-9"/>
        </w:rPr>
        <w:t> </w:t>
      </w:r>
      <w:r>
        <w:rPr>
          <w:color w:val="231F20"/>
        </w:rPr>
        <w:t>as</w:t>
      </w:r>
      <w:r>
        <w:rPr>
          <w:color w:val="231F20"/>
          <w:spacing w:val="-9"/>
        </w:rPr>
        <w:t> </w:t>
      </w:r>
      <w:r>
        <w:rPr>
          <w:color w:val="231F20"/>
        </w:rPr>
        <w:t>grounds </w:t>
      </w:r>
      <w:r>
        <w:rPr>
          <w:color w:val="231F20"/>
          <w:spacing w:val="-8"/>
        </w:rPr>
        <w:t>that</w:t>
      </w:r>
      <w:r>
        <w:rPr>
          <w:color w:val="231F20"/>
          <w:spacing w:val="-9"/>
        </w:rPr>
        <w:t> </w:t>
      </w:r>
      <w:r>
        <w:rPr>
          <w:color w:val="231F20"/>
          <w:spacing w:val="-8"/>
        </w:rPr>
        <w:t>the company</w:t>
      </w:r>
      <w:r>
        <w:rPr>
          <w:color w:val="231F20"/>
          <w:spacing w:val="-9"/>
        </w:rPr>
        <w:t> </w:t>
      </w:r>
      <w:r>
        <w:rPr>
          <w:color w:val="231F20"/>
          <w:spacing w:val="-8"/>
        </w:rPr>
        <w:t>is on</w:t>
      </w:r>
      <w:r>
        <w:rPr>
          <w:color w:val="231F20"/>
          <w:spacing w:val="-9"/>
        </w:rPr>
        <w:t> </w:t>
      </w:r>
      <w:r>
        <w:rPr>
          <w:color w:val="231F20"/>
          <w:spacing w:val="-8"/>
        </w:rPr>
        <w:t>a list</w:t>
      </w:r>
      <w:r>
        <w:rPr>
          <w:color w:val="231F20"/>
          <w:spacing w:val="-9"/>
        </w:rPr>
        <w:t> </w:t>
      </w:r>
      <w:r>
        <w:rPr>
          <w:color w:val="231F20"/>
          <w:spacing w:val="-8"/>
        </w:rPr>
        <w:t>of organizations </w:t>
      </w:r>
      <w:r>
        <w:rPr>
          <w:color w:val="231F20"/>
        </w:rPr>
        <w:t>subject to U.S. sanctions.</w:t>
      </w:r>
    </w:p>
    <w:p>
      <w:pPr>
        <w:pStyle w:val="BodyText"/>
        <w:spacing w:before="167"/>
        <w:ind w:left="412" w:right="1475"/>
      </w:pPr>
      <w:r>
        <w:rPr>
          <w:color w:val="231F20"/>
        </w:rPr>
        <w:t>In the dentistry sector, the repercussions have been considerable. There has been </w:t>
      </w:r>
      <w:r>
        <w:rPr>
          <w:color w:val="231F20"/>
          <w:spacing w:val="-8"/>
        </w:rPr>
        <w:t>significant instability in the supply of surgical </w:t>
      </w:r>
      <w:r>
        <w:rPr>
          <w:color w:val="231F20"/>
        </w:rPr>
        <w:t>and</w:t>
      </w:r>
      <w:r>
        <w:rPr>
          <w:color w:val="231F20"/>
          <w:spacing w:val="9"/>
        </w:rPr>
        <w:t> </w:t>
      </w:r>
      <w:r>
        <w:rPr>
          <w:color w:val="231F20"/>
        </w:rPr>
        <w:t>examination</w:t>
      </w:r>
      <w:r>
        <w:rPr>
          <w:color w:val="231F20"/>
          <w:spacing w:val="9"/>
        </w:rPr>
        <w:t> </w:t>
      </w:r>
      <w:r>
        <w:rPr>
          <w:color w:val="231F20"/>
        </w:rPr>
        <w:t>gloves,</w:t>
      </w:r>
      <w:r>
        <w:rPr>
          <w:color w:val="231F20"/>
          <w:spacing w:val="9"/>
        </w:rPr>
        <w:t> </w:t>
      </w:r>
      <w:r>
        <w:rPr>
          <w:color w:val="231F20"/>
        </w:rPr>
        <w:t>alginates,</w:t>
      </w:r>
      <w:r>
        <w:rPr>
          <w:color w:val="231F20"/>
          <w:spacing w:val="10"/>
        </w:rPr>
        <w:t> </w:t>
      </w:r>
      <w:r>
        <w:rPr>
          <w:color w:val="231F20"/>
          <w:spacing w:val="-5"/>
        </w:rPr>
        <w:t>plaster</w:t>
      </w:r>
    </w:p>
    <w:p>
      <w:pPr>
        <w:spacing w:after="0"/>
        <w:sectPr>
          <w:pgSz w:w="11910" w:h="16840"/>
          <w:pgMar w:header="0" w:footer="695" w:top="1260" w:bottom="880" w:left="0" w:right="0"/>
          <w:cols w:num="2" w:equalWidth="0">
            <w:col w:w="5557" w:space="40"/>
            <w:col w:w="6313"/>
          </w:cols>
        </w:sectPr>
      </w:pPr>
    </w:p>
    <w:p>
      <w:pPr>
        <w:pStyle w:val="BodyText"/>
        <w:spacing w:before="77"/>
        <w:ind w:left="1474"/>
      </w:pPr>
      <w:r>
        <w:rPr>
          <w:color w:val="231F20"/>
          <w:spacing w:val="-2"/>
        </w:rPr>
        <w:t>and</w:t>
      </w:r>
      <w:r>
        <w:rPr>
          <w:color w:val="231F20"/>
          <w:spacing w:val="-15"/>
        </w:rPr>
        <w:t> </w:t>
      </w:r>
      <w:r>
        <w:rPr>
          <w:color w:val="231F20"/>
          <w:spacing w:val="-2"/>
        </w:rPr>
        <w:t>dental</w:t>
      </w:r>
      <w:r>
        <w:rPr>
          <w:color w:val="231F20"/>
          <w:spacing w:val="-14"/>
        </w:rPr>
        <w:t> </w:t>
      </w:r>
      <w:r>
        <w:rPr>
          <w:color w:val="231F20"/>
          <w:spacing w:val="-2"/>
        </w:rPr>
        <w:t>cements,</w:t>
      </w:r>
      <w:r>
        <w:rPr>
          <w:color w:val="231F20"/>
          <w:spacing w:val="-15"/>
        </w:rPr>
        <w:t> </w:t>
      </w:r>
      <w:r>
        <w:rPr>
          <w:color w:val="231F20"/>
          <w:spacing w:val="-2"/>
        </w:rPr>
        <w:t>among</w:t>
      </w:r>
      <w:r>
        <w:rPr>
          <w:color w:val="231F20"/>
          <w:spacing w:val="-14"/>
        </w:rPr>
        <w:t> </w:t>
      </w:r>
      <w:r>
        <w:rPr>
          <w:color w:val="231F20"/>
          <w:spacing w:val="-2"/>
        </w:rPr>
        <w:t>others.</w:t>
      </w:r>
      <w:r>
        <w:rPr>
          <w:color w:val="231F20"/>
          <w:spacing w:val="-14"/>
        </w:rPr>
        <w:t> </w:t>
      </w:r>
      <w:r>
        <w:rPr>
          <w:color w:val="231F20"/>
          <w:spacing w:val="-2"/>
        </w:rPr>
        <w:t>During the</w:t>
      </w:r>
      <w:r>
        <w:rPr>
          <w:color w:val="231F20"/>
          <w:spacing w:val="-13"/>
        </w:rPr>
        <w:t> </w:t>
      </w:r>
      <w:r>
        <w:rPr>
          <w:color w:val="231F20"/>
          <w:spacing w:val="-2"/>
        </w:rPr>
        <w:t>period,</w:t>
      </w:r>
      <w:r>
        <w:rPr>
          <w:color w:val="231F20"/>
          <w:spacing w:val="-13"/>
        </w:rPr>
        <w:t> </w:t>
      </w:r>
      <w:r>
        <w:rPr>
          <w:color w:val="231F20"/>
          <w:spacing w:val="-2"/>
        </w:rPr>
        <w:t>more</w:t>
      </w:r>
      <w:r>
        <w:rPr>
          <w:color w:val="231F20"/>
          <w:spacing w:val="-13"/>
        </w:rPr>
        <w:t> </w:t>
      </w:r>
      <w:r>
        <w:rPr>
          <w:color w:val="231F20"/>
          <w:spacing w:val="-2"/>
        </w:rPr>
        <w:t>than</w:t>
      </w:r>
      <w:r>
        <w:rPr>
          <w:color w:val="231F20"/>
          <w:spacing w:val="-13"/>
        </w:rPr>
        <w:t> </w:t>
      </w:r>
      <w:r>
        <w:rPr>
          <w:color w:val="231F20"/>
          <w:spacing w:val="-2"/>
        </w:rPr>
        <w:t>300</w:t>
      </w:r>
      <w:r>
        <w:rPr>
          <w:color w:val="231F20"/>
          <w:spacing w:val="-13"/>
        </w:rPr>
        <w:t> </w:t>
      </w:r>
      <w:r>
        <w:rPr>
          <w:color w:val="231F20"/>
          <w:spacing w:val="-2"/>
        </w:rPr>
        <w:t>physical</w:t>
      </w:r>
      <w:r>
        <w:rPr>
          <w:color w:val="231F20"/>
          <w:spacing w:val="-13"/>
        </w:rPr>
        <w:t> </w:t>
      </w:r>
      <w:r>
        <w:rPr>
          <w:color w:val="231F20"/>
          <w:spacing w:val="-2"/>
        </w:rPr>
        <w:t>units</w:t>
      </w:r>
      <w:r>
        <w:rPr>
          <w:color w:val="231F20"/>
          <w:spacing w:val="-13"/>
        </w:rPr>
        <w:t> </w:t>
      </w:r>
      <w:r>
        <w:rPr>
          <w:color w:val="231F20"/>
          <w:spacing w:val="-2"/>
        </w:rPr>
        <w:t>of </w:t>
      </w:r>
      <w:r>
        <w:rPr>
          <w:color w:val="231F20"/>
          <w:spacing w:val="-6"/>
        </w:rPr>
        <w:t>dental</w:t>
      </w:r>
      <w:r>
        <w:rPr>
          <w:color w:val="231F20"/>
          <w:spacing w:val="-11"/>
        </w:rPr>
        <w:t> </w:t>
      </w:r>
      <w:r>
        <w:rPr>
          <w:color w:val="231F20"/>
          <w:spacing w:val="-6"/>
        </w:rPr>
        <w:t>prostheses</w:t>
      </w:r>
      <w:r>
        <w:rPr>
          <w:color w:val="231F20"/>
          <w:spacing w:val="-10"/>
        </w:rPr>
        <w:t> </w:t>
      </w:r>
      <w:r>
        <w:rPr>
          <w:color w:val="231F20"/>
          <w:spacing w:val="-6"/>
        </w:rPr>
        <w:t>were</w:t>
      </w:r>
      <w:r>
        <w:rPr>
          <w:color w:val="231F20"/>
          <w:spacing w:val="-11"/>
        </w:rPr>
        <w:t> </w:t>
      </w:r>
      <w:r>
        <w:rPr>
          <w:color w:val="231F20"/>
          <w:spacing w:val="-6"/>
        </w:rPr>
        <w:t>no</w:t>
      </w:r>
      <w:r>
        <w:rPr>
          <w:color w:val="231F20"/>
          <w:spacing w:val="-10"/>
        </w:rPr>
        <w:t> </w:t>
      </w:r>
      <w:r>
        <w:rPr>
          <w:color w:val="231F20"/>
          <w:spacing w:val="-6"/>
        </w:rPr>
        <w:t>longer</w:t>
      </w:r>
      <w:r>
        <w:rPr>
          <w:color w:val="231F20"/>
          <w:spacing w:val="-10"/>
        </w:rPr>
        <w:t> </w:t>
      </w:r>
      <w:r>
        <w:rPr>
          <w:color w:val="231F20"/>
          <w:spacing w:val="-6"/>
        </w:rPr>
        <w:t>produced.</w:t>
      </w:r>
    </w:p>
    <w:p>
      <w:pPr>
        <w:pStyle w:val="BodyText"/>
        <w:spacing w:before="162"/>
        <w:ind w:left="1474"/>
      </w:pPr>
      <w:r>
        <w:rPr>
          <w:color w:val="231F20"/>
        </w:rPr>
        <w:t>Meantime, Washington has kept up its hate</w:t>
      </w:r>
      <w:r>
        <w:rPr>
          <w:color w:val="231F20"/>
          <w:spacing w:val="40"/>
        </w:rPr>
        <w:t> </w:t>
      </w:r>
      <w:r>
        <w:rPr>
          <w:color w:val="231F20"/>
        </w:rPr>
        <w:t>campaign</w:t>
      </w:r>
      <w:r>
        <w:rPr>
          <w:color w:val="231F20"/>
          <w:spacing w:val="40"/>
        </w:rPr>
        <w:t> </w:t>
      </w:r>
      <w:r>
        <w:rPr>
          <w:color w:val="231F20"/>
        </w:rPr>
        <w:t>aimed</w:t>
      </w:r>
      <w:r>
        <w:rPr>
          <w:color w:val="231F20"/>
          <w:spacing w:val="40"/>
        </w:rPr>
        <w:t> </w:t>
      </w:r>
      <w:r>
        <w:rPr>
          <w:color w:val="231F20"/>
        </w:rPr>
        <w:t>at</w:t>
      </w:r>
      <w:r>
        <w:rPr>
          <w:color w:val="231F20"/>
          <w:spacing w:val="40"/>
        </w:rPr>
        <w:t> </w:t>
      </w:r>
      <w:r>
        <w:rPr>
          <w:color w:val="231F20"/>
        </w:rPr>
        <w:t>discrediting and disrupting the international medical </w:t>
      </w:r>
      <w:r>
        <w:rPr>
          <w:color w:val="231F20"/>
          <w:spacing w:val="-4"/>
        </w:rPr>
        <w:t>cooperation</w:t>
      </w:r>
      <w:r>
        <w:rPr>
          <w:color w:val="231F20"/>
          <w:spacing w:val="-13"/>
        </w:rPr>
        <w:t> </w:t>
      </w:r>
      <w:r>
        <w:rPr>
          <w:color w:val="231F20"/>
          <w:spacing w:val="-4"/>
        </w:rPr>
        <w:t>Cuba</w:t>
      </w:r>
      <w:r>
        <w:rPr>
          <w:color w:val="231F20"/>
          <w:spacing w:val="-12"/>
        </w:rPr>
        <w:t> </w:t>
      </w:r>
      <w:r>
        <w:rPr>
          <w:color w:val="231F20"/>
          <w:spacing w:val="-4"/>
        </w:rPr>
        <w:t>offers,</w:t>
      </w:r>
      <w:r>
        <w:rPr>
          <w:color w:val="231F20"/>
          <w:spacing w:val="-13"/>
        </w:rPr>
        <w:t> </w:t>
      </w:r>
      <w:r>
        <w:rPr>
          <w:color w:val="231F20"/>
          <w:spacing w:val="-4"/>
        </w:rPr>
        <w:t>spreading</w:t>
      </w:r>
      <w:r>
        <w:rPr>
          <w:color w:val="231F20"/>
          <w:spacing w:val="-12"/>
        </w:rPr>
        <w:t> </w:t>
      </w:r>
      <w:r>
        <w:rPr>
          <w:color w:val="231F20"/>
          <w:spacing w:val="-4"/>
        </w:rPr>
        <w:t>lies</w:t>
      </w:r>
      <w:r>
        <w:rPr>
          <w:color w:val="231F20"/>
          <w:spacing w:val="-13"/>
        </w:rPr>
        <w:t> </w:t>
      </w:r>
      <w:r>
        <w:rPr>
          <w:color w:val="231F20"/>
          <w:spacing w:val="-4"/>
        </w:rPr>
        <w:t>and </w:t>
      </w:r>
      <w:r>
        <w:rPr>
          <w:color w:val="231F20"/>
        </w:rPr>
        <w:t>discouraging</w:t>
      </w:r>
      <w:r>
        <w:rPr>
          <w:color w:val="231F20"/>
          <w:spacing w:val="-10"/>
        </w:rPr>
        <w:t> </w:t>
      </w:r>
      <w:r>
        <w:rPr>
          <w:color w:val="231F20"/>
        </w:rPr>
        <w:t>third</w:t>
      </w:r>
      <w:r>
        <w:rPr>
          <w:color w:val="231F20"/>
          <w:spacing w:val="-10"/>
        </w:rPr>
        <w:t> </w:t>
      </w:r>
      <w:r>
        <w:rPr>
          <w:color w:val="231F20"/>
        </w:rPr>
        <w:t>countries</w:t>
      </w:r>
      <w:r>
        <w:rPr>
          <w:color w:val="231F20"/>
          <w:spacing w:val="-11"/>
        </w:rPr>
        <w:t> </w:t>
      </w:r>
      <w:r>
        <w:rPr>
          <w:color w:val="231F20"/>
        </w:rPr>
        <w:t>from</w:t>
      </w:r>
      <w:r>
        <w:rPr>
          <w:color w:val="231F20"/>
          <w:spacing w:val="-11"/>
        </w:rPr>
        <w:t> </w:t>
      </w:r>
      <w:r>
        <w:rPr>
          <w:color w:val="231F20"/>
        </w:rPr>
        <w:t>seeking our services. This is part of an assault </w:t>
      </w:r>
      <w:r>
        <w:rPr>
          <w:color w:val="231F20"/>
          <w:spacing w:val="-6"/>
        </w:rPr>
        <w:t>designed</w:t>
      </w:r>
      <w:r>
        <w:rPr>
          <w:color w:val="231F20"/>
          <w:spacing w:val="-9"/>
        </w:rPr>
        <w:t> </w:t>
      </w:r>
      <w:r>
        <w:rPr>
          <w:color w:val="231F20"/>
          <w:spacing w:val="-6"/>
        </w:rPr>
        <w:t>to</w:t>
      </w:r>
      <w:r>
        <w:rPr>
          <w:color w:val="231F20"/>
          <w:spacing w:val="-9"/>
        </w:rPr>
        <w:t> </w:t>
      </w:r>
      <w:r>
        <w:rPr>
          <w:color w:val="231F20"/>
          <w:spacing w:val="-6"/>
        </w:rPr>
        <w:t>deprive</w:t>
      </w:r>
      <w:r>
        <w:rPr>
          <w:color w:val="231F20"/>
          <w:spacing w:val="-9"/>
        </w:rPr>
        <w:t> </w:t>
      </w:r>
      <w:r>
        <w:rPr>
          <w:color w:val="231F20"/>
          <w:spacing w:val="-6"/>
        </w:rPr>
        <w:t>Cuba</w:t>
      </w:r>
      <w:r>
        <w:rPr>
          <w:color w:val="231F20"/>
          <w:spacing w:val="-9"/>
        </w:rPr>
        <w:t> </w:t>
      </w:r>
      <w:r>
        <w:rPr>
          <w:color w:val="231F20"/>
          <w:spacing w:val="-6"/>
        </w:rPr>
        <w:t>of</w:t>
      </w:r>
      <w:r>
        <w:rPr>
          <w:color w:val="231F20"/>
          <w:spacing w:val="-9"/>
        </w:rPr>
        <w:t> </w:t>
      </w:r>
      <w:r>
        <w:rPr>
          <w:color w:val="231F20"/>
          <w:spacing w:val="-6"/>
        </w:rPr>
        <w:t>the</w:t>
      </w:r>
      <w:r>
        <w:rPr>
          <w:color w:val="231F20"/>
          <w:spacing w:val="-9"/>
        </w:rPr>
        <w:t> </w:t>
      </w:r>
      <w:r>
        <w:rPr>
          <w:color w:val="231F20"/>
          <w:spacing w:val="-6"/>
        </w:rPr>
        <w:t>fair,</w:t>
      </w:r>
      <w:r>
        <w:rPr>
          <w:color w:val="231F20"/>
          <w:spacing w:val="-9"/>
        </w:rPr>
        <w:t> </w:t>
      </w:r>
      <w:r>
        <w:rPr>
          <w:color w:val="231F20"/>
          <w:spacing w:val="-6"/>
        </w:rPr>
        <w:t>honest </w:t>
      </w:r>
      <w:r>
        <w:rPr>
          <w:color w:val="231F20"/>
        </w:rPr>
        <w:t>and</w:t>
      </w:r>
      <w:r>
        <w:rPr>
          <w:color w:val="231F20"/>
          <w:spacing w:val="-7"/>
        </w:rPr>
        <w:t> </w:t>
      </w:r>
      <w:r>
        <w:rPr>
          <w:color w:val="231F20"/>
        </w:rPr>
        <w:t>legitimate</w:t>
      </w:r>
      <w:r>
        <w:rPr>
          <w:color w:val="231F20"/>
          <w:spacing w:val="-7"/>
        </w:rPr>
        <w:t> </w:t>
      </w:r>
      <w:r>
        <w:rPr>
          <w:color w:val="231F20"/>
        </w:rPr>
        <w:t>revenues</w:t>
      </w:r>
      <w:r>
        <w:rPr>
          <w:color w:val="231F20"/>
          <w:spacing w:val="-8"/>
        </w:rPr>
        <w:t> </w:t>
      </w:r>
      <w:r>
        <w:rPr>
          <w:color w:val="231F20"/>
        </w:rPr>
        <w:t>generated</w:t>
      </w:r>
      <w:r>
        <w:rPr>
          <w:color w:val="231F20"/>
          <w:spacing w:val="-7"/>
        </w:rPr>
        <w:t> </w:t>
      </w:r>
      <w:r>
        <w:rPr>
          <w:color w:val="231F20"/>
        </w:rPr>
        <w:t>by</w:t>
      </w:r>
      <w:r>
        <w:rPr>
          <w:color w:val="231F20"/>
          <w:spacing w:val="-7"/>
        </w:rPr>
        <w:t> </w:t>
      </w:r>
      <w:r>
        <w:rPr>
          <w:color w:val="231F20"/>
        </w:rPr>
        <w:t>the </w:t>
      </w:r>
      <w:r>
        <w:rPr>
          <w:color w:val="231F20"/>
          <w:spacing w:val="-6"/>
        </w:rPr>
        <w:t>efforts</w:t>
      </w:r>
      <w:r>
        <w:rPr>
          <w:color w:val="231F20"/>
          <w:spacing w:val="-11"/>
        </w:rPr>
        <w:t> </w:t>
      </w:r>
      <w:r>
        <w:rPr>
          <w:color w:val="231F20"/>
          <w:spacing w:val="-6"/>
        </w:rPr>
        <w:t>of</w:t>
      </w:r>
      <w:r>
        <w:rPr>
          <w:color w:val="231F20"/>
          <w:spacing w:val="-10"/>
        </w:rPr>
        <w:t> </w:t>
      </w:r>
      <w:r>
        <w:rPr>
          <w:color w:val="231F20"/>
          <w:spacing w:val="-6"/>
        </w:rPr>
        <w:t>thousands</w:t>
      </w:r>
      <w:r>
        <w:rPr>
          <w:color w:val="231F20"/>
          <w:spacing w:val="-11"/>
        </w:rPr>
        <w:t> </w:t>
      </w:r>
      <w:r>
        <w:rPr>
          <w:color w:val="231F20"/>
          <w:spacing w:val="-6"/>
        </w:rPr>
        <w:t>of</w:t>
      </w:r>
      <w:r>
        <w:rPr>
          <w:color w:val="231F20"/>
          <w:spacing w:val="-10"/>
        </w:rPr>
        <w:t> </w:t>
      </w:r>
      <w:r>
        <w:rPr>
          <w:color w:val="231F20"/>
          <w:spacing w:val="-6"/>
        </w:rPr>
        <w:t>professionals</w:t>
      </w:r>
      <w:r>
        <w:rPr>
          <w:color w:val="231F20"/>
          <w:spacing w:val="-11"/>
        </w:rPr>
        <w:t> </w:t>
      </w:r>
      <w:r>
        <w:rPr>
          <w:color w:val="231F20"/>
          <w:spacing w:val="-6"/>
        </w:rPr>
        <w:t>trained </w:t>
      </w:r>
      <w:r>
        <w:rPr>
          <w:color w:val="231F20"/>
        </w:rPr>
        <w:t>technically,</w:t>
      </w:r>
      <w:r>
        <w:rPr>
          <w:color w:val="231F20"/>
          <w:spacing w:val="-2"/>
        </w:rPr>
        <w:t> </w:t>
      </w:r>
      <w:r>
        <w:rPr>
          <w:color w:val="231F20"/>
        </w:rPr>
        <w:t>humanistically</w:t>
      </w:r>
      <w:r>
        <w:rPr>
          <w:color w:val="231F20"/>
          <w:spacing w:val="-2"/>
        </w:rPr>
        <w:t> </w:t>
      </w:r>
      <w:r>
        <w:rPr>
          <w:color w:val="231F20"/>
        </w:rPr>
        <w:t>and</w:t>
      </w:r>
      <w:r>
        <w:rPr>
          <w:color w:val="231F20"/>
          <w:spacing w:val="-2"/>
        </w:rPr>
        <w:t> </w:t>
      </w:r>
      <w:r>
        <w:rPr>
          <w:color w:val="231F20"/>
        </w:rPr>
        <w:t>ethically</w:t>
      </w:r>
      <w:r>
        <w:rPr>
          <w:color w:val="231F20"/>
          <w:spacing w:val="-2"/>
        </w:rPr>
        <w:t> </w:t>
      </w:r>
      <w:r>
        <w:rPr>
          <w:color w:val="231F20"/>
        </w:rPr>
        <w:t>in the country.</w:t>
      </w:r>
    </w:p>
    <w:p>
      <w:pPr>
        <w:pStyle w:val="BodyText"/>
        <w:spacing w:before="169"/>
        <w:ind w:left="1474"/>
      </w:pPr>
      <w:r>
        <w:rPr>
          <w:color w:val="231F20"/>
        </w:rPr>
        <w:t>The international community has, on multiple occasions, acknowledged the professionalism and altruism of the over </w:t>
      </w:r>
      <w:r>
        <w:rPr>
          <w:color w:val="231F20"/>
          <w:spacing w:val="-2"/>
        </w:rPr>
        <w:t>605,000</w:t>
      </w:r>
      <w:r>
        <w:rPr>
          <w:color w:val="231F20"/>
          <w:spacing w:val="-8"/>
        </w:rPr>
        <w:t> </w:t>
      </w:r>
      <w:r>
        <w:rPr>
          <w:color w:val="231F20"/>
          <w:spacing w:val="-2"/>
        </w:rPr>
        <w:t>Cuban</w:t>
      </w:r>
      <w:r>
        <w:rPr>
          <w:color w:val="231F20"/>
          <w:spacing w:val="-8"/>
        </w:rPr>
        <w:t> </w:t>
      </w:r>
      <w:r>
        <w:rPr>
          <w:color w:val="231F20"/>
          <w:spacing w:val="-2"/>
        </w:rPr>
        <w:t>medical</w:t>
      </w:r>
      <w:r>
        <w:rPr>
          <w:color w:val="231F20"/>
          <w:spacing w:val="-8"/>
        </w:rPr>
        <w:t> </w:t>
      </w:r>
      <w:r>
        <w:rPr>
          <w:color w:val="231F20"/>
          <w:spacing w:val="-2"/>
        </w:rPr>
        <w:t>collaborators</w:t>
      </w:r>
      <w:r>
        <w:rPr>
          <w:color w:val="231F20"/>
          <w:spacing w:val="-8"/>
        </w:rPr>
        <w:t> </w:t>
      </w:r>
      <w:r>
        <w:rPr>
          <w:color w:val="231F20"/>
          <w:spacing w:val="-2"/>
        </w:rPr>
        <w:t>who, </w:t>
      </w:r>
      <w:r>
        <w:rPr>
          <w:color w:val="231F20"/>
        </w:rPr>
        <w:t>during the last 60 years, have completed missions in 165 countries.</w:t>
      </w:r>
    </w:p>
    <w:p>
      <w:pPr>
        <w:pStyle w:val="BodyText"/>
        <w:spacing w:before="164"/>
        <w:ind w:left="1474"/>
      </w:pPr>
      <w:r>
        <w:rPr>
          <w:color w:val="231F20"/>
        </w:rPr>
        <w:t>As</w:t>
      </w:r>
      <w:r>
        <w:rPr>
          <w:color w:val="231F20"/>
          <w:spacing w:val="-17"/>
        </w:rPr>
        <w:t> </w:t>
      </w:r>
      <w:r>
        <w:rPr>
          <w:color w:val="231F20"/>
        </w:rPr>
        <w:t>of</w:t>
      </w:r>
      <w:r>
        <w:rPr>
          <w:color w:val="231F20"/>
          <w:spacing w:val="-16"/>
        </w:rPr>
        <w:t> </w:t>
      </w:r>
      <w:r>
        <w:rPr>
          <w:color w:val="231F20"/>
        </w:rPr>
        <w:t>the</w:t>
      </w:r>
      <w:r>
        <w:rPr>
          <w:color w:val="231F20"/>
          <w:spacing w:val="-17"/>
        </w:rPr>
        <w:t> </w:t>
      </w:r>
      <w:r>
        <w:rPr>
          <w:color w:val="231F20"/>
        </w:rPr>
        <w:t>end</w:t>
      </w:r>
      <w:r>
        <w:rPr>
          <w:color w:val="231F20"/>
          <w:spacing w:val="-16"/>
        </w:rPr>
        <w:t> </w:t>
      </w:r>
      <w:r>
        <w:rPr>
          <w:color w:val="231F20"/>
        </w:rPr>
        <w:t>of</w:t>
      </w:r>
      <w:r>
        <w:rPr>
          <w:color w:val="231F20"/>
          <w:spacing w:val="-17"/>
        </w:rPr>
        <w:t> </w:t>
      </w:r>
      <w:r>
        <w:rPr>
          <w:color w:val="231F20"/>
        </w:rPr>
        <w:t>April</w:t>
      </w:r>
      <w:r>
        <w:rPr>
          <w:color w:val="231F20"/>
          <w:spacing w:val="-16"/>
        </w:rPr>
        <w:t> </w:t>
      </w:r>
      <w:r>
        <w:rPr>
          <w:color w:val="231F20"/>
        </w:rPr>
        <w:t>2023,</w:t>
      </w:r>
      <w:r>
        <w:rPr>
          <w:color w:val="231F20"/>
          <w:spacing w:val="-17"/>
        </w:rPr>
        <w:t> </w:t>
      </w:r>
      <w:r>
        <w:rPr>
          <w:color w:val="231F20"/>
        </w:rPr>
        <w:t>Cuban</w:t>
      </w:r>
      <w:r>
        <w:rPr>
          <w:color w:val="231F20"/>
          <w:spacing w:val="-16"/>
        </w:rPr>
        <w:t> </w:t>
      </w:r>
      <w:r>
        <w:rPr>
          <w:color w:val="231F20"/>
        </w:rPr>
        <w:t>medical </w:t>
      </w:r>
      <w:r>
        <w:rPr>
          <w:color w:val="231F20"/>
          <w:spacing w:val="-8"/>
        </w:rPr>
        <w:t>cooperation had provided care to over 2.198 </w:t>
      </w:r>
      <w:r>
        <w:rPr>
          <w:color w:val="231F20"/>
          <w:spacing w:val="-2"/>
        </w:rPr>
        <w:t>billion</w:t>
      </w:r>
      <w:r>
        <w:rPr>
          <w:color w:val="231F20"/>
          <w:spacing w:val="-14"/>
        </w:rPr>
        <w:t> </w:t>
      </w:r>
      <w:r>
        <w:rPr>
          <w:color w:val="231F20"/>
          <w:spacing w:val="-2"/>
        </w:rPr>
        <w:t>patients</w:t>
      </w:r>
      <w:r>
        <w:rPr>
          <w:color w:val="231F20"/>
          <w:spacing w:val="-14"/>
        </w:rPr>
        <w:t> </w:t>
      </w:r>
      <w:r>
        <w:rPr>
          <w:color w:val="231F20"/>
          <w:spacing w:val="-2"/>
        </w:rPr>
        <w:t>in</w:t>
      </w:r>
      <w:r>
        <w:rPr>
          <w:color w:val="231F20"/>
          <w:spacing w:val="-14"/>
        </w:rPr>
        <w:t> </w:t>
      </w:r>
      <w:r>
        <w:rPr>
          <w:color w:val="231F20"/>
          <w:spacing w:val="-2"/>
        </w:rPr>
        <w:t>consultations</w:t>
      </w:r>
      <w:r>
        <w:rPr>
          <w:color w:val="231F20"/>
          <w:spacing w:val="-14"/>
        </w:rPr>
        <w:t> </w:t>
      </w:r>
      <w:r>
        <w:rPr>
          <w:color w:val="231F20"/>
          <w:spacing w:val="-2"/>
        </w:rPr>
        <w:t>around</w:t>
      </w:r>
      <w:r>
        <w:rPr>
          <w:color w:val="231F20"/>
          <w:spacing w:val="-14"/>
        </w:rPr>
        <w:t> </w:t>
      </w:r>
      <w:r>
        <w:rPr>
          <w:color w:val="231F20"/>
          <w:spacing w:val="-2"/>
        </w:rPr>
        <w:t>the </w:t>
      </w:r>
      <w:r>
        <w:rPr>
          <w:color w:val="231F20"/>
        </w:rPr>
        <w:t>world; over 10.035 million lives had been saved; over 5.112 million childbirths had been attended; and more than 16 million </w:t>
      </w:r>
      <w:r>
        <w:rPr>
          <w:color w:val="231F20"/>
          <w:spacing w:val="-6"/>
        </w:rPr>
        <w:t>operations</w:t>
      </w:r>
      <w:r>
        <w:rPr>
          <w:color w:val="231F20"/>
          <w:spacing w:val="-10"/>
        </w:rPr>
        <w:t> </w:t>
      </w:r>
      <w:r>
        <w:rPr>
          <w:color w:val="231F20"/>
          <w:spacing w:val="-6"/>
        </w:rPr>
        <w:t>had</w:t>
      </w:r>
      <w:r>
        <w:rPr>
          <w:color w:val="231F20"/>
          <w:spacing w:val="-10"/>
        </w:rPr>
        <w:t> </w:t>
      </w:r>
      <w:r>
        <w:rPr>
          <w:color w:val="231F20"/>
          <w:spacing w:val="-6"/>
        </w:rPr>
        <w:t>been</w:t>
      </w:r>
      <w:r>
        <w:rPr>
          <w:color w:val="231F20"/>
          <w:spacing w:val="-10"/>
        </w:rPr>
        <w:t> </w:t>
      </w:r>
      <w:r>
        <w:rPr>
          <w:color w:val="231F20"/>
          <w:spacing w:val="-6"/>
        </w:rPr>
        <w:t>performed.</w:t>
      </w:r>
      <w:r>
        <w:rPr>
          <w:color w:val="231F20"/>
          <w:spacing w:val="-10"/>
        </w:rPr>
        <w:t> </w:t>
      </w:r>
      <w:r>
        <w:rPr>
          <w:color w:val="231F20"/>
          <w:spacing w:val="-6"/>
        </w:rPr>
        <w:t>57</w:t>
      </w:r>
      <w:r>
        <w:rPr>
          <w:color w:val="231F20"/>
          <w:spacing w:val="-10"/>
        </w:rPr>
        <w:t> </w:t>
      </w:r>
      <w:r>
        <w:rPr>
          <w:color w:val="231F20"/>
          <w:spacing w:val="-6"/>
        </w:rPr>
        <w:t>medical </w:t>
      </w:r>
      <w:r>
        <w:rPr>
          <w:color w:val="231F20"/>
        </w:rPr>
        <w:t>brigades comprising 22,632 coworkers </w:t>
      </w:r>
      <w:r>
        <w:rPr>
          <w:color w:val="231F20"/>
          <w:spacing w:val="-2"/>
        </w:rPr>
        <w:t>offered</w:t>
      </w:r>
      <w:r>
        <w:rPr>
          <w:color w:val="231F20"/>
          <w:spacing w:val="-13"/>
        </w:rPr>
        <w:t> </w:t>
      </w:r>
      <w:r>
        <w:rPr>
          <w:color w:val="231F20"/>
          <w:spacing w:val="-2"/>
        </w:rPr>
        <w:t>their</w:t>
      </w:r>
      <w:r>
        <w:rPr>
          <w:color w:val="231F20"/>
          <w:spacing w:val="-13"/>
        </w:rPr>
        <w:t> </w:t>
      </w:r>
      <w:r>
        <w:rPr>
          <w:color w:val="231F20"/>
          <w:spacing w:val="-2"/>
        </w:rPr>
        <w:t>services</w:t>
      </w:r>
      <w:r>
        <w:rPr>
          <w:color w:val="231F20"/>
          <w:spacing w:val="-13"/>
        </w:rPr>
        <w:t> </w:t>
      </w:r>
      <w:r>
        <w:rPr>
          <w:color w:val="231F20"/>
          <w:spacing w:val="-2"/>
        </w:rPr>
        <w:t>in</w:t>
      </w:r>
      <w:r>
        <w:rPr>
          <w:color w:val="231F20"/>
          <w:spacing w:val="-13"/>
        </w:rPr>
        <w:t> </w:t>
      </w:r>
      <w:r>
        <w:rPr>
          <w:color w:val="231F20"/>
          <w:spacing w:val="-2"/>
        </w:rPr>
        <w:t>a</w:t>
      </w:r>
      <w:r>
        <w:rPr>
          <w:color w:val="231F20"/>
          <w:spacing w:val="-13"/>
        </w:rPr>
        <w:t> </w:t>
      </w:r>
      <w:r>
        <w:rPr>
          <w:color w:val="231F20"/>
          <w:spacing w:val="-2"/>
        </w:rPr>
        <w:t>spirit</w:t>
      </w:r>
      <w:r>
        <w:rPr>
          <w:color w:val="231F20"/>
          <w:spacing w:val="-13"/>
        </w:rPr>
        <w:t> </w:t>
      </w:r>
      <w:r>
        <w:rPr>
          <w:color w:val="231F20"/>
          <w:spacing w:val="-2"/>
        </w:rPr>
        <w:t>of</w:t>
      </w:r>
      <w:r>
        <w:rPr>
          <w:color w:val="231F20"/>
          <w:spacing w:val="-13"/>
        </w:rPr>
        <w:t> </w:t>
      </w:r>
      <w:r>
        <w:rPr>
          <w:color w:val="231F20"/>
          <w:spacing w:val="-2"/>
        </w:rPr>
        <w:t>solidarity </w:t>
      </w:r>
      <w:r>
        <w:rPr>
          <w:color w:val="231F20"/>
        </w:rPr>
        <w:t>in various parts of the world.</w:t>
      </w:r>
    </w:p>
    <w:p>
      <w:pPr>
        <w:pStyle w:val="BodyText"/>
        <w:spacing w:before="168"/>
        <w:ind w:left="1474"/>
      </w:pPr>
      <w:r>
        <w:rPr>
          <w:color w:val="231F20"/>
        </w:rPr>
        <w:t>Washington’s campaign of vilification </w:t>
      </w:r>
      <w:r>
        <w:rPr>
          <w:color w:val="231F20"/>
          <w:spacing w:val="-6"/>
        </w:rPr>
        <w:t>would</w:t>
      </w:r>
      <w:r>
        <w:rPr>
          <w:color w:val="231F20"/>
          <w:spacing w:val="-11"/>
        </w:rPr>
        <w:t> </w:t>
      </w:r>
      <w:r>
        <w:rPr>
          <w:color w:val="231F20"/>
          <w:spacing w:val="-6"/>
        </w:rPr>
        <w:t>be</w:t>
      </w:r>
      <w:r>
        <w:rPr>
          <w:color w:val="231F20"/>
          <w:spacing w:val="-10"/>
        </w:rPr>
        <w:t> </w:t>
      </w:r>
      <w:r>
        <w:rPr>
          <w:color w:val="231F20"/>
          <w:spacing w:val="-6"/>
        </w:rPr>
        <w:t>immoral</w:t>
      </w:r>
      <w:r>
        <w:rPr>
          <w:color w:val="231F20"/>
          <w:spacing w:val="-11"/>
        </w:rPr>
        <w:t> </w:t>
      </w:r>
      <w:r>
        <w:rPr>
          <w:color w:val="231F20"/>
          <w:spacing w:val="-6"/>
        </w:rPr>
        <w:t>under</w:t>
      </w:r>
      <w:r>
        <w:rPr>
          <w:color w:val="231F20"/>
          <w:spacing w:val="-10"/>
        </w:rPr>
        <w:t> </w:t>
      </w:r>
      <w:r>
        <w:rPr>
          <w:color w:val="231F20"/>
          <w:spacing w:val="-6"/>
        </w:rPr>
        <w:t>any</w:t>
      </w:r>
      <w:r>
        <w:rPr>
          <w:color w:val="231F20"/>
          <w:spacing w:val="-11"/>
        </w:rPr>
        <w:t> </w:t>
      </w:r>
      <w:r>
        <w:rPr>
          <w:color w:val="231F20"/>
          <w:spacing w:val="-6"/>
        </w:rPr>
        <w:t>circumstances; </w:t>
      </w:r>
      <w:r>
        <w:rPr>
          <w:color w:val="231F20"/>
          <w:spacing w:val="-4"/>
        </w:rPr>
        <w:t>in</w:t>
      </w:r>
      <w:r>
        <w:rPr>
          <w:color w:val="231F20"/>
          <w:spacing w:val="-13"/>
        </w:rPr>
        <w:t> </w:t>
      </w:r>
      <w:r>
        <w:rPr>
          <w:color w:val="231F20"/>
          <w:spacing w:val="-4"/>
        </w:rPr>
        <w:t>the</w:t>
      </w:r>
      <w:r>
        <w:rPr>
          <w:color w:val="231F20"/>
          <w:spacing w:val="-12"/>
        </w:rPr>
        <w:t> </w:t>
      </w:r>
      <w:r>
        <w:rPr>
          <w:color w:val="231F20"/>
          <w:spacing w:val="-4"/>
        </w:rPr>
        <w:t>context</w:t>
      </w:r>
      <w:r>
        <w:rPr>
          <w:color w:val="231F20"/>
          <w:spacing w:val="-13"/>
        </w:rPr>
        <w:t> </w:t>
      </w:r>
      <w:r>
        <w:rPr>
          <w:color w:val="231F20"/>
          <w:spacing w:val="-4"/>
        </w:rPr>
        <w:t>of</w:t>
      </w:r>
      <w:r>
        <w:rPr>
          <w:color w:val="231F20"/>
          <w:spacing w:val="-12"/>
        </w:rPr>
        <w:t> </w:t>
      </w:r>
      <w:r>
        <w:rPr>
          <w:color w:val="231F20"/>
          <w:spacing w:val="-4"/>
        </w:rPr>
        <w:t>recovery</w:t>
      </w:r>
      <w:r>
        <w:rPr>
          <w:color w:val="231F20"/>
          <w:spacing w:val="-13"/>
        </w:rPr>
        <w:t> </w:t>
      </w:r>
      <w:r>
        <w:rPr>
          <w:color w:val="231F20"/>
          <w:spacing w:val="-4"/>
        </w:rPr>
        <w:t>from</w:t>
      </w:r>
      <w:r>
        <w:rPr>
          <w:color w:val="231F20"/>
          <w:spacing w:val="-12"/>
        </w:rPr>
        <w:t> </w:t>
      </w:r>
      <w:r>
        <w:rPr>
          <w:color w:val="231F20"/>
          <w:spacing w:val="-4"/>
        </w:rPr>
        <w:t>a</w:t>
      </w:r>
      <w:r>
        <w:rPr>
          <w:color w:val="231F20"/>
          <w:spacing w:val="-13"/>
        </w:rPr>
        <w:t> </w:t>
      </w:r>
      <w:r>
        <w:rPr>
          <w:color w:val="231F20"/>
          <w:spacing w:val="-4"/>
        </w:rPr>
        <w:t>pandemic, </w:t>
      </w:r>
      <w:r>
        <w:rPr>
          <w:color w:val="231F20"/>
        </w:rPr>
        <w:t>it is despicable. Cuba supported the response to SARS-COV-2 in 42 countries and territories, having dispatched 58 </w:t>
      </w:r>
      <w:r>
        <w:rPr>
          <w:color w:val="231F20"/>
          <w:spacing w:val="-4"/>
        </w:rPr>
        <w:t>medical</w:t>
      </w:r>
      <w:r>
        <w:rPr>
          <w:color w:val="231F20"/>
          <w:spacing w:val="-13"/>
        </w:rPr>
        <w:t> </w:t>
      </w:r>
      <w:r>
        <w:rPr>
          <w:color w:val="231F20"/>
          <w:spacing w:val="-4"/>
        </w:rPr>
        <w:t>brigades</w:t>
      </w:r>
      <w:r>
        <w:rPr>
          <w:color w:val="231F20"/>
          <w:spacing w:val="-12"/>
        </w:rPr>
        <w:t> </w:t>
      </w:r>
      <w:r>
        <w:rPr>
          <w:color w:val="231F20"/>
          <w:spacing w:val="-4"/>
        </w:rPr>
        <w:t>adding</w:t>
      </w:r>
      <w:r>
        <w:rPr>
          <w:color w:val="231F20"/>
          <w:spacing w:val="-13"/>
        </w:rPr>
        <w:t> </w:t>
      </w:r>
      <w:r>
        <w:rPr>
          <w:color w:val="231F20"/>
          <w:spacing w:val="-4"/>
        </w:rPr>
        <w:t>to</w:t>
      </w:r>
      <w:r>
        <w:rPr>
          <w:color w:val="231F20"/>
          <w:spacing w:val="-12"/>
        </w:rPr>
        <w:t> </w:t>
      </w:r>
      <w:r>
        <w:rPr>
          <w:color w:val="231F20"/>
          <w:spacing w:val="-4"/>
        </w:rPr>
        <w:t>the</w:t>
      </w:r>
      <w:r>
        <w:rPr>
          <w:color w:val="231F20"/>
          <w:spacing w:val="-13"/>
        </w:rPr>
        <w:t> </w:t>
      </w:r>
      <w:r>
        <w:rPr>
          <w:color w:val="231F20"/>
          <w:spacing w:val="-4"/>
        </w:rPr>
        <w:t>over</w:t>
      </w:r>
      <w:r>
        <w:rPr>
          <w:color w:val="231F20"/>
          <w:spacing w:val="-12"/>
        </w:rPr>
        <w:t> </w:t>
      </w:r>
      <w:r>
        <w:rPr>
          <w:color w:val="231F20"/>
          <w:spacing w:val="-4"/>
        </w:rPr>
        <w:t>27,000 </w:t>
      </w:r>
      <w:r>
        <w:rPr>
          <w:color w:val="231F20"/>
        </w:rPr>
        <w:t>healthcare professionals already at work in 59 countries. The brigades provided care to over 4 million patients and saved over 80,000 lives. This effort reflects the </w:t>
      </w:r>
      <w:r>
        <w:rPr>
          <w:color w:val="231F20"/>
          <w:spacing w:val="-4"/>
        </w:rPr>
        <w:t>ethical</w:t>
      </w:r>
      <w:r>
        <w:rPr>
          <w:color w:val="231F20"/>
          <w:spacing w:val="-5"/>
        </w:rPr>
        <w:t> </w:t>
      </w:r>
      <w:r>
        <w:rPr>
          <w:color w:val="231F20"/>
          <w:spacing w:val="-4"/>
        </w:rPr>
        <w:t>and humanist principles that are </w:t>
      </w:r>
      <w:r>
        <w:rPr>
          <w:color w:val="231F20"/>
          <w:spacing w:val="-5"/>
        </w:rPr>
        <w:t>the</w:t>
      </w:r>
    </w:p>
    <w:p>
      <w:pPr>
        <w:pStyle w:val="BodyText"/>
        <w:spacing w:before="77"/>
        <w:ind w:left="414"/>
      </w:pPr>
      <w:r>
        <w:rPr/>
        <w:br w:type="column"/>
      </w:r>
      <w:r>
        <w:rPr>
          <w:color w:val="231F20"/>
          <w:spacing w:val="-2"/>
        </w:rPr>
        <w:t>foundation</w:t>
      </w:r>
      <w:r>
        <w:rPr>
          <w:color w:val="231F20"/>
          <w:spacing w:val="-8"/>
        </w:rPr>
        <w:t> </w:t>
      </w:r>
      <w:r>
        <w:rPr>
          <w:color w:val="231F20"/>
          <w:spacing w:val="-2"/>
        </w:rPr>
        <w:t>of</w:t>
      </w:r>
      <w:r>
        <w:rPr>
          <w:color w:val="231F20"/>
          <w:spacing w:val="-8"/>
        </w:rPr>
        <w:t> </w:t>
      </w:r>
      <w:r>
        <w:rPr>
          <w:color w:val="231F20"/>
          <w:spacing w:val="-2"/>
        </w:rPr>
        <w:t>Cuban</w:t>
      </w:r>
      <w:r>
        <w:rPr>
          <w:color w:val="231F20"/>
          <w:spacing w:val="-7"/>
        </w:rPr>
        <w:t> </w:t>
      </w:r>
      <w:r>
        <w:rPr>
          <w:color w:val="231F20"/>
          <w:spacing w:val="-2"/>
        </w:rPr>
        <w:t>society.</w:t>
      </w:r>
    </w:p>
    <w:p>
      <w:pPr>
        <w:spacing w:before="160"/>
        <w:ind w:left="414" w:right="1131" w:firstLine="0"/>
        <w:jc w:val="both"/>
        <w:rPr>
          <w:rFonts w:ascii="Segoe UI Semibold" w:hAnsi="Segoe UI Semibold"/>
          <w:b/>
          <w:i/>
          <w:sz w:val="24"/>
        </w:rPr>
      </w:pPr>
      <w:r>
        <w:rPr>
          <w:b/>
          <w:i/>
          <w:color w:val="B52628"/>
          <w:sz w:val="24"/>
        </w:rPr>
        <w:t>The</w:t>
      </w:r>
      <w:r>
        <w:rPr>
          <w:b/>
          <w:i/>
          <w:color w:val="B52628"/>
          <w:spacing w:val="80"/>
          <w:sz w:val="24"/>
        </w:rPr>
        <w:t> </w:t>
      </w:r>
      <w:r>
        <w:rPr>
          <w:b/>
          <w:i/>
          <w:color w:val="B52628"/>
          <w:sz w:val="24"/>
        </w:rPr>
        <w:t>food</w:t>
      </w:r>
      <w:r>
        <w:rPr>
          <w:b/>
          <w:i/>
          <w:color w:val="B52628"/>
          <w:spacing w:val="80"/>
          <w:sz w:val="24"/>
        </w:rPr>
        <w:t> </w:t>
      </w:r>
      <w:r>
        <w:rPr>
          <w:b/>
          <w:i/>
          <w:color w:val="B52628"/>
          <w:sz w:val="24"/>
        </w:rPr>
        <w:t>and</w:t>
      </w:r>
      <w:r>
        <w:rPr>
          <w:b/>
          <w:i/>
          <w:color w:val="B52628"/>
          <w:spacing w:val="80"/>
          <w:sz w:val="24"/>
        </w:rPr>
        <w:t> </w:t>
      </w:r>
      <w:r>
        <w:rPr>
          <w:b/>
          <w:i/>
          <w:color w:val="B52628"/>
          <w:sz w:val="24"/>
        </w:rPr>
        <w:t>agriculture</w:t>
      </w:r>
      <w:r>
        <w:rPr>
          <w:b/>
          <w:i/>
          <w:color w:val="B52628"/>
          <w:spacing w:val="80"/>
          <w:sz w:val="24"/>
        </w:rPr>
        <w:t> </w:t>
      </w:r>
      <w:r>
        <w:rPr>
          <w:b/>
          <w:i/>
          <w:color w:val="B52628"/>
          <w:sz w:val="24"/>
        </w:rPr>
        <w:t>sector</w:t>
      </w:r>
      <w:r>
        <w:rPr>
          <w:b/>
          <w:i/>
          <w:color w:val="B52628"/>
          <w:spacing w:val="80"/>
          <w:sz w:val="24"/>
        </w:rPr>
        <w:t> </w:t>
      </w:r>
      <w:r>
        <w:rPr>
          <w:rFonts w:ascii="Segoe UI Semibold" w:hAnsi="Segoe UI Semibold"/>
          <w:b/>
          <w:i/>
          <w:color w:val="231F20"/>
          <w:sz w:val="24"/>
        </w:rPr>
        <w:t>is</w:t>
      </w:r>
      <w:r>
        <w:rPr>
          <w:rFonts w:ascii="Segoe UI Semibold" w:hAnsi="Segoe UI Semibold"/>
          <w:b/>
          <w:i/>
          <w:color w:val="231F20"/>
          <w:sz w:val="24"/>
        </w:rPr>
        <w:t> the base for achieving food safety and sovereignty</w:t>
      </w:r>
      <w:r>
        <w:rPr>
          <w:rFonts w:ascii="Segoe UI Semibold" w:hAnsi="Segoe UI Semibold"/>
          <w:b/>
          <w:i/>
          <w:color w:val="231F20"/>
          <w:spacing w:val="-17"/>
          <w:sz w:val="24"/>
        </w:rPr>
        <w:t> </w:t>
      </w:r>
      <w:r>
        <w:rPr>
          <w:rFonts w:ascii="Segoe UI Semibold" w:hAnsi="Segoe UI Semibold"/>
          <w:b/>
          <w:i/>
          <w:color w:val="231F20"/>
          <w:sz w:val="24"/>
        </w:rPr>
        <w:t>-</w:t>
      </w:r>
      <w:r>
        <w:rPr>
          <w:rFonts w:ascii="Segoe UI Semibold" w:hAnsi="Segoe UI Semibold"/>
          <w:b/>
          <w:i/>
          <w:color w:val="231F20"/>
          <w:spacing w:val="-16"/>
          <w:sz w:val="24"/>
        </w:rPr>
        <w:t> </w:t>
      </w:r>
      <w:r>
        <w:rPr>
          <w:rFonts w:ascii="Segoe UI Semibold" w:hAnsi="Segoe UI Semibold"/>
          <w:b/>
          <w:i/>
          <w:color w:val="231F20"/>
          <w:sz w:val="24"/>
        </w:rPr>
        <w:t>two</w:t>
      </w:r>
      <w:r>
        <w:rPr>
          <w:rFonts w:ascii="Segoe UI Semibold" w:hAnsi="Segoe UI Semibold"/>
          <w:b/>
          <w:i/>
          <w:color w:val="231F20"/>
          <w:spacing w:val="-17"/>
          <w:sz w:val="24"/>
        </w:rPr>
        <w:t> </w:t>
      </w:r>
      <w:r>
        <w:rPr>
          <w:rFonts w:ascii="Segoe UI Semibold" w:hAnsi="Segoe UI Semibold"/>
          <w:b/>
          <w:i/>
          <w:color w:val="231F20"/>
          <w:sz w:val="24"/>
        </w:rPr>
        <w:t>goals</w:t>
      </w:r>
      <w:r>
        <w:rPr>
          <w:rFonts w:ascii="Segoe UI Semibold" w:hAnsi="Segoe UI Semibold"/>
          <w:b/>
          <w:i/>
          <w:color w:val="231F20"/>
          <w:spacing w:val="-16"/>
          <w:sz w:val="24"/>
        </w:rPr>
        <w:t> </w:t>
      </w:r>
      <w:r>
        <w:rPr>
          <w:rFonts w:ascii="Segoe UI Semibold" w:hAnsi="Segoe UI Semibold"/>
          <w:b/>
          <w:i/>
          <w:color w:val="231F20"/>
          <w:sz w:val="24"/>
        </w:rPr>
        <w:t>among</w:t>
      </w:r>
      <w:r>
        <w:rPr>
          <w:rFonts w:ascii="Segoe UI Semibold" w:hAnsi="Segoe UI Semibold"/>
          <w:b/>
          <w:i/>
          <w:color w:val="231F20"/>
          <w:spacing w:val="-17"/>
          <w:sz w:val="24"/>
        </w:rPr>
        <w:t> </w:t>
      </w:r>
      <w:r>
        <w:rPr>
          <w:rFonts w:ascii="Segoe UI Semibold" w:hAnsi="Segoe UI Semibold"/>
          <w:b/>
          <w:i/>
          <w:color w:val="231F20"/>
          <w:sz w:val="24"/>
        </w:rPr>
        <w:t>the</w:t>
      </w:r>
      <w:r>
        <w:rPr>
          <w:rFonts w:ascii="Segoe UI Semibold" w:hAnsi="Segoe UI Semibold"/>
          <w:b/>
          <w:i/>
          <w:color w:val="231F20"/>
          <w:spacing w:val="-16"/>
          <w:sz w:val="24"/>
        </w:rPr>
        <w:t> </w:t>
      </w:r>
      <w:r>
        <w:rPr>
          <w:rFonts w:ascii="Segoe UI Semibold" w:hAnsi="Segoe UI Semibold"/>
          <w:b/>
          <w:i/>
          <w:color w:val="231F20"/>
          <w:sz w:val="24"/>
        </w:rPr>
        <w:t>Cuban government’s priorities that are directly linked to the implementation of the national</w:t>
      </w:r>
      <w:r>
        <w:rPr>
          <w:rFonts w:ascii="Segoe UI Semibold" w:hAnsi="Segoe UI Semibold"/>
          <w:b/>
          <w:i/>
          <w:color w:val="231F20"/>
          <w:spacing w:val="-17"/>
          <w:sz w:val="24"/>
        </w:rPr>
        <w:t> </w:t>
      </w:r>
      <w:r>
        <w:rPr>
          <w:rFonts w:ascii="Segoe UI Semibold" w:hAnsi="Segoe UI Semibold"/>
          <w:b/>
          <w:i/>
          <w:color w:val="231F20"/>
          <w:sz w:val="24"/>
        </w:rPr>
        <w:t>food</w:t>
      </w:r>
      <w:r>
        <w:rPr>
          <w:rFonts w:ascii="Segoe UI Semibold" w:hAnsi="Segoe UI Semibold"/>
          <w:b/>
          <w:i/>
          <w:color w:val="231F20"/>
          <w:spacing w:val="-16"/>
          <w:sz w:val="24"/>
        </w:rPr>
        <w:t> </w:t>
      </w:r>
      <w:r>
        <w:rPr>
          <w:rFonts w:ascii="Segoe UI Semibold" w:hAnsi="Segoe UI Semibold"/>
          <w:b/>
          <w:i/>
          <w:color w:val="231F20"/>
          <w:sz w:val="24"/>
        </w:rPr>
        <w:t>sovereignty</w:t>
      </w:r>
      <w:r>
        <w:rPr>
          <w:rFonts w:ascii="Segoe UI Semibold" w:hAnsi="Segoe UI Semibold"/>
          <w:b/>
          <w:i/>
          <w:color w:val="231F20"/>
          <w:spacing w:val="-17"/>
          <w:sz w:val="24"/>
        </w:rPr>
        <w:t> </w:t>
      </w:r>
      <w:r>
        <w:rPr>
          <w:rFonts w:ascii="Segoe UI Semibold" w:hAnsi="Segoe UI Semibold"/>
          <w:b/>
          <w:i/>
          <w:color w:val="231F20"/>
          <w:sz w:val="24"/>
        </w:rPr>
        <w:t>and</w:t>
      </w:r>
      <w:r>
        <w:rPr>
          <w:rFonts w:ascii="Segoe UI Semibold" w:hAnsi="Segoe UI Semibold"/>
          <w:b/>
          <w:i/>
          <w:color w:val="231F20"/>
          <w:spacing w:val="-16"/>
          <w:sz w:val="24"/>
        </w:rPr>
        <w:t> </w:t>
      </w:r>
      <w:r>
        <w:rPr>
          <w:rFonts w:ascii="Segoe UI Semibold" w:hAnsi="Segoe UI Semibold"/>
          <w:b/>
          <w:i/>
          <w:color w:val="231F20"/>
          <w:sz w:val="24"/>
        </w:rPr>
        <w:t>nutritional education</w:t>
      </w:r>
      <w:r>
        <w:rPr>
          <w:rFonts w:ascii="Segoe UI Semibold" w:hAnsi="Segoe UI Semibold"/>
          <w:b/>
          <w:i/>
          <w:color w:val="231F20"/>
          <w:spacing w:val="-5"/>
          <w:sz w:val="24"/>
        </w:rPr>
        <w:t> </w:t>
      </w:r>
      <w:r>
        <w:rPr>
          <w:rFonts w:ascii="Segoe UI Semibold" w:hAnsi="Segoe UI Semibold"/>
          <w:b/>
          <w:i/>
          <w:color w:val="231F20"/>
          <w:sz w:val="24"/>
        </w:rPr>
        <w:t>program</w:t>
      </w:r>
      <w:r>
        <w:rPr>
          <w:rFonts w:ascii="Segoe UI Semibold" w:hAnsi="Segoe UI Semibold"/>
          <w:b/>
          <w:i/>
          <w:color w:val="231F20"/>
          <w:spacing w:val="-5"/>
          <w:sz w:val="24"/>
        </w:rPr>
        <w:t> </w:t>
      </w:r>
      <w:r>
        <w:rPr>
          <w:rFonts w:ascii="Segoe UI Semibold" w:hAnsi="Segoe UI Semibold"/>
          <w:b/>
          <w:i/>
          <w:color w:val="231F20"/>
          <w:sz w:val="24"/>
        </w:rPr>
        <w:t>(the</w:t>
      </w:r>
      <w:r>
        <w:rPr>
          <w:rFonts w:ascii="Segoe UI Semibold" w:hAnsi="Segoe UI Semibold"/>
          <w:b/>
          <w:i/>
          <w:color w:val="231F20"/>
          <w:spacing w:val="-5"/>
          <w:sz w:val="24"/>
        </w:rPr>
        <w:t> </w:t>
      </w:r>
      <w:r>
        <w:rPr>
          <w:rFonts w:ascii="Segoe UI Semibold" w:hAnsi="Segoe UI Semibold"/>
          <w:b/>
          <w:i/>
          <w:color w:val="231F20"/>
          <w:sz w:val="24"/>
        </w:rPr>
        <w:t>“Plan</w:t>
      </w:r>
      <w:r>
        <w:rPr>
          <w:rFonts w:ascii="Segoe UI Semibold" w:hAnsi="Segoe UI Semibold"/>
          <w:b/>
          <w:i/>
          <w:color w:val="231F20"/>
          <w:spacing w:val="-5"/>
          <w:sz w:val="24"/>
        </w:rPr>
        <w:t> </w:t>
      </w:r>
      <w:r>
        <w:rPr>
          <w:rFonts w:ascii="Segoe UI Semibold" w:hAnsi="Segoe UI Semibold"/>
          <w:b/>
          <w:i/>
          <w:color w:val="231F20"/>
          <w:sz w:val="24"/>
        </w:rPr>
        <w:t>SAN”)</w:t>
      </w:r>
      <w:r>
        <w:rPr>
          <w:rFonts w:ascii="Segoe UI Semibold" w:hAnsi="Segoe UI Semibold"/>
          <w:b/>
          <w:i/>
          <w:color w:val="231F20"/>
          <w:spacing w:val="-5"/>
          <w:sz w:val="24"/>
        </w:rPr>
        <w:t> </w:t>
      </w:r>
      <w:r>
        <w:rPr>
          <w:rFonts w:ascii="Segoe UI Semibold" w:hAnsi="Segoe UI Semibold"/>
          <w:b/>
          <w:i/>
          <w:color w:val="231F20"/>
          <w:sz w:val="24"/>
        </w:rPr>
        <w:t>and pursuit of the aims agreed in the 2030 Agenda for Sustainable Development.</w:t>
      </w:r>
    </w:p>
    <w:p>
      <w:pPr>
        <w:pStyle w:val="BodyText"/>
        <w:spacing w:before="158"/>
        <w:ind w:left="414" w:right="1135"/>
      </w:pPr>
      <w:r>
        <w:rPr>
          <w:color w:val="231F20"/>
        </w:rPr>
        <w:t>May 2022 saw the passing of the Law of </w:t>
      </w:r>
      <w:r>
        <w:rPr>
          <w:color w:val="231F20"/>
          <w:spacing w:val="-4"/>
        </w:rPr>
        <w:t>Food</w:t>
      </w:r>
      <w:r>
        <w:rPr>
          <w:color w:val="231F20"/>
          <w:spacing w:val="-13"/>
        </w:rPr>
        <w:t> </w:t>
      </w:r>
      <w:r>
        <w:rPr>
          <w:color w:val="231F20"/>
          <w:spacing w:val="-4"/>
        </w:rPr>
        <w:t>Sovereignty</w:t>
      </w:r>
      <w:r>
        <w:rPr>
          <w:color w:val="231F20"/>
          <w:spacing w:val="-12"/>
        </w:rPr>
        <w:t> </w:t>
      </w:r>
      <w:r>
        <w:rPr>
          <w:color w:val="231F20"/>
          <w:spacing w:val="-4"/>
        </w:rPr>
        <w:t>and</w:t>
      </w:r>
      <w:r>
        <w:rPr>
          <w:color w:val="231F20"/>
          <w:spacing w:val="-13"/>
        </w:rPr>
        <w:t> </w:t>
      </w:r>
      <w:r>
        <w:rPr>
          <w:color w:val="231F20"/>
          <w:spacing w:val="-4"/>
        </w:rPr>
        <w:t>Food</w:t>
      </w:r>
      <w:r>
        <w:rPr>
          <w:color w:val="231F20"/>
          <w:spacing w:val="-12"/>
        </w:rPr>
        <w:t> </w:t>
      </w:r>
      <w:r>
        <w:rPr>
          <w:color w:val="231F20"/>
          <w:spacing w:val="-4"/>
        </w:rPr>
        <w:t>and</w:t>
      </w:r>
      <w:r>
        <w:rPr>
          <w:color w:val="231F20"/>
          <w:spacing w:val="-13"/>
        </w:rPr>
        <w:t> </w:t>
      </w:r>
      <w:r>
        <w:rPr>
          <w:color w:val="231F20"/>
          <w:spacing w:val="-4"/>
        </w:rPr>
        <w:t>Nutritional </w:t>
      </w:r>
      <w:r>
        <w:rPr>
          <w:color w:val="231F20"/>
        </w:rPr>
        <w:t>Safety,</w:t>
      </w:r>
      <w:r>
        <w:rPr>
          <w:color w:val="231F20"/>
          <w:spacing w:val="-13"/>
        </w:rPr>
        <w:t> </w:t>
      </w:r>
      <w:r>
        <w:rPr>
          <w:color w:val="231F20"/>
        </w:rPr>
        <w:t>in</w:t>
      </w:r>
      <w:r>
        <w:rPr>
          <w:color w:val="231F20"/>
          <w:spacing w:val="-13"/>
        </w:rPr>
        <w:t> </w:t>
      </w:r>
      <w:r>
        <w:rPr>
          <w:color w:val="231F20"/>
        </w:rPr>
        <w:t>line</w:t>
      </w:r>
      <w:r>
        <w:rPr>
          <w:color w:val="231F20"/>
          <w:spacing w:val="-13"/>
        </w:rPr>
        <w:t> </w:t>
      </w:r>
      <w:r>
        <w:rPr>
          <w:color w:val="231F20"/>
        </w:rPr>
        <w:t>with</w:t>
      </w:r>
      <w:r>
        <w:rPr>
          <w:color w:val="231F20"/>
          <w:spacing w:val="-13"/>
        </w:rPr>
        <w:t> </w:t>
      </w:r>
      <w:r>
        <w:rPr>
          <w:color w:val="231F20"/>
        </w:rPr>
        <w:t>the</w:t>
      </w:r>
      <w:r>
        <w:rPr>
          <w:color w:val="231F20"/>
          <w:spacing w:val="-13"/>
        </w:rPr>
        <w:t> </w:t>
      </w:r>
      <w:r>
        <w:rPr>
          <w:color w:val="231F20"/>
        </w:rPr>
        <w:t>express</w:t>
      </w:r>
      <w:r>
        <w:rPr>
          <w:color w:val="231F20"/>
          <w:spacing w:val="-13"/>
        </w:rPr>
        <w:t> </w:t>
      </w:r>
      <w:r>
        <w:rPr>
          <w:color w:val="231F20"/>
        </w:rPr>
        <w:t>recognition </w:t>
      </w:r>
      <w:r>
        <w:rPr>
          <w:color w:val="231F20"/>
          <w:spacing w:val="-6"/>
        </w:rPr>
        <w:t>in the national constitution of people’s right </w:t>
      </w:r>
      <w:r>
        <w:rPr>
          <w:color w:val="231F20"/>
        </w:rPr>
        <w:t>to safe and adequate food. The new </w:t>
      </w:r>
      <w:r>
        <w:rPr>
          <w:color w:val="231F20"/>
        </w:rPr>
        <w:t>law </w:t>
      </w:r>
      <w:r>
        <w:rPr>
          <w:color w:val="231F20"/>
          <w:spacing w:val="-4"/>
        </w:rPr>
        <w:t>regulates</w:t>
      </w:r>
      <w:r>
        <w:rPr>
          <w:color w:val="231F20"/>
          <w:spacing w:val="-9"/>
        </w:rPr>
        <w:t> </w:t>
      </w:r>
      <w:r>
        <w:rPr>
          <w:color w:val="231F20"/>
          <w:spacing w:val="-4"/>
        </w:rPr>
        <w:t>the</w:t>
      </w:r>
      <w:r>
        <w:rPr>
          <w:color w:val="231F20"/>
          <w:spacing w:val="-9"/>
        </w:rPr>
        <w:t> </w:t>
      </w:r>
      <w:r>
        <w:rPr>
          <w:color w:val="231F20"/>
          <w:spacing w:val="-4"/>
        </w:rPr>
        <w:t>organization</w:t>
      </w:r>
      <w:r>
        <w:rPr>
          <w:color w:val="231F20"/>
          <w:spacing w:val="-9"/>
        </w:rPr>
        <w:t> </w:t>
      </w:r>
      <w:r>
        <w:rPr>
          <w:color w:val="231F20"/>
          <w:spacing w:val="-4"/>
        </w:rPr>
        <w:t>of</w:t>
      </w:r>
      <w:r>
        <w:rPr>
          <w:color w:val="231F20"/>
          <w:spacing w:val="-9"/>
        </w:rPr>
        <w:t> </w:t>
      </w:r>
      <w:r>
        <w:rPr>
          <w:color w:val="231F20"/>
          <w:spacing w:val="-4"/>
        </w:rPr>
        <w:t>the</w:t>
      </w:r>
      <w:r>
        <w:rPr>
          <w:color w:val="231F20"/>
          <w:spacing w:val="-9"/>
        </w:rPr>
        <w:t> </w:t>
      </w:r>
      <w:r>
        <w:rPr>
          <w:color w:val="231F20"/>
          <w:spacing w:val="-4"/>
        </w:rPr>
        <w:t>local</w:t>
      </w:r>
      <w:r>
        <w:rPr>
          <w:color w:val="231F20"/>
          <w:spacing w:val="-9"/>
        </w:rPr>
        <w:t> </w:t>
      </w:r>
      <w:r>
        <w:rPr>
          <w:color w:val="231F20"/>
          <w:spacing w:val="-4"/>
        </w:rPr>
        <w:t>food </w:t>
      </w:r>
      <w:r>
        <w:rPr>
          <w:color w:val="231F20"/>
        </w:rPr>
        <w:t>systems that operate across sectors and institutions</w:t>
      </w:r>
      <w:r>
        <w:rPr>
          <w:color w:val="231F20"/>
          <w:spacing w:val="-6"/>
        </w:rPr>
        <w:t> </w:t>
      </w:r>
      <w:r>
        <w:rPr>
          <w:color w:val="231F20"/>
        </w:rPr>
        <w:t>in</w:t>
      </w:r>
      <w:r>
        <w:rPr>
          <w:color w:val="231F20"/>
          <w:spacing w:val="-6"/>
        </w:rPr>
        <w:t> </w:t>
      </w:r>
      <w:r>
        <w:rPr>
          <w:color w:val="231F20"/>
        </w:rPr>
        <w:t>managing</w:t>
      </w:r>
      <w:r>
        <w:rPr>
          <w:color w:val="231F20"/>
          <w:spacing w:val="-6"/>
        </w:rPr>
        <w:t> </w:t>
      </w:r>
      <w:r>
        <w:rPr>
          <w:color w:val="231F20"/>
        </w:rPr>
        <w:t>food</w:t>
      </w:r>
      <w:r>
        <w:rPr>
          <w:color w:val="231F20"/>
          <w:spacing w:val="-6"/>
        </w:rPr>
        <w:t> </w:t>
      </w:r>
      <w:r>
        <w:rPr>
          <w:color w:val="231F20"/>
        </w:rPr>
        <w:t>production, conversion,</w:t>
      </w:r>
      <w:r>
        <w:rPr>
          <w:color w:val="231F20"/>
          <w:spacing w:val="-11"/>
        </w:rPr>
        <w:t> </w:t>
      </w:r>
      <w:r>
        <w:rPr>
          <w:color w:val="231F20"/>
        </w:rPr>
        <w:t>marketing</w:t>
      </w:r>
      <w:r>
        <w:rPr>
          <w:color w:val="231F20"/>
          <w:spacing w:val="-11"/>
        </w:rPr>
        <w:t> </w:t>
      </w:r>
      <w:r>
        <w:rPr>
          <w:color w:val="231F20"/>
        </w:rPr>
        <w:t>and</w:t>
      </w:r>
      <w:r>
        <w:rPr>
          <w:color w:val="231F20"/>
          <w:spacing w:val="-11"/>
        </w:rPr>
        <w:t> </w:t>
      </w:r>
      <w:r>
        <w:rPr>
          <w:color w:val="231F20"/>
        </w:rPr>
        <w:t>consumption.</w:t>
      </w:r>
    </w:p>
    <w:p>
      <w:pPr>
        <w:spacing w:before="166"/>
        <w:ind w:left="414" w:right="1140" w:firstLine="0"/>
        <w:jc w:val="both"/>
        <w:rPr>
          <w:rFonts w:ascii="Segoe UI Semibold"/>
          <w:b/>
          <w:sz w:val="24"/>
        </w:rPr>
      </w:pPr>
      <w:r>
        <w:rPr>
          <w:rFonts w:ascii="Segoe UI Semibold"/>
          <w:b/>
          <w:i/>
          <w:color w:val="231F20"/>
          <w:spacing w:val="-10"/>
          <w:sz w:val="24"/>
        </w:rPr>
        <w:t>Despite</w:t>
      </w:r>
      <w:r>
        <w:rPr>
          <w:rFonts w:ascii="Segoe UI Semibold"/>
          <w:b/>
          <w:i/>
          <w:color w:val="231F20"/>
          <w:sz w:val="24"/>
        </w:rPr>
        <w:t> </w:t>
      </w:r>
      <w:r>
        <w:rPr>
          <w:rFonts w:ascii="Segoe UI Semibold"/>
          <w:b/>
          <w:i/>
          <w:color w:val="231F20"/>
          <w:spacing w:val="-10"/>
          <w:sz w:val="24"/>
        </w:rPr>
        <w:t>the</w:t>
      </w:r>
      <w:r>
        <w:rPr>
          <w:rFonts w:ascii="Segoe UI Semibold"/>
          <w:b/>
          <w:i/>
          <w:color w:val="231F20"/>
          <w:sz w:val="24"/>
        </w:rPr>
        <w:t> </w:t>
      </w:r>
      <w:r>
        <w:rPr>
          <w:rFonts w:ascii="Segoe UI Semibold"/>
          <w:b/>
          <w:i/>
          <w:color w:val="231F20"/>
          <w:spacing w:val="-10"/>
          <w:sz w:val="24"/>
        </w:rPr>
        <w:t>substantial</w:t>
      </w:r>
      <w:r>
        <w:rPr>
          <w:rFonts w:ascii="Segoe UI Semibold"/>
          <w:b/>
          <w:i/>
          <w:color w:val="231F20"/>
          <w:sz w:val="24"/>
        </w:rPr>
        <w:t> </w:t>
      </w:r>
      <w:r>
        <w:rPr>
          <w:rFonts w:ascii="Segoe UI Semibold"/>
          <w:b/>
          <w:i/>
          <w:color w:val="231F20"/>
          <w:spacing w:val="-10"/>
          <w:sz w:val="24"/>
        </w:rPr>
        <w:t>resources</w:t>
      </w:r>
      <w:r>
        <w:rPr>
          <w:rFonts w:ascii="Segoe UI Semibold"/>
          <w:b/>
          <w:i/>
          <w:color w:val="231F20"/>
          <w:sz w:val="24"/>
        </w:rPr>
        <w:t> </w:t>
      </w:r>
      <w:r>
        <w:rPr>
          <w:rFonts w:ascii="Segoe UI Semibold"/>
          <w:b/>
          <w:i/>
          <w:color w:val="231F20"/>
          <w:spacing w:val="-10"/>
          <w:sz w:val="24"/>
        </w:rPr>
        <w:t>and</w:t>
      </w:r>
      <w:r>
        <w:rPr>
          <w:rFonts w:ascii="Segoe UI Semibold"/>
          <w:b/>
          <w:i/>
          <w:color w:val="231F20"/>
          <w:sz w:val="24"/>
        </w:rPr>
        <w:t> </w:t>
      </w:r>
      <w:r>
        <w:rPr>
          <w:rFonts w:ascii="Segoe UI Semibold"/>
          <w:b/>
          <w:i/>
          <w:color w:val="231F20"/>
          <w:spacing w:val="-10"/>
          <w:sz w:val="24"/>
        </w:rPr>
        <w:t>efforts</w:t>
      </w:r>
      <w:r>
        <w:rPr>
          <w:rFonts w:ascii="Segoe UI Semibold"/>
          <w:b/>
          <w:i/>
          <w:color w:val="231F20"/>
          <w:spacing w:val="-10"/>
          <w:sz w:val="24"/>
        </w:rPr>
        <w:t> </w:t>
      </w:r>
      <w:r>
        <w:rPr>
          <w:rFonts w:ascii="Segoe UI Semibold"/>
          <w:b/>
          <w:i/>
          <w:color w:val="231F20"/>
          <w:spacing w:val="-14"/>
          <w:sz w:val="24"/>
        </w:rPr>
        <w:t>focused</w:t>
      </w:r>
      <w:r>
        <w:rPr>
          <w:rFonts w:ascii="Segoe UI Semibold"/>
          <w:b/>
          <w:i/>
          <w:color w:val="231F20"/>
          <w:spacing w:val="-2"/>
          <w:sz w:val="24"/>
        </w:rPr>
        <w:t> </w:t>
      </w:r>
      <w:r>
        <w:rPr>
          <w:rFonts w:ascii="Segoe UI Semibold"/>
          <w:b/>
          <w:i/>
          <w:color w:val="231F20"/>
          <w:spacing w:val="-14"/>
          <w:sz w:val="24"/>
        </w:rPr>
        <w:t>by</w:t>
      </w:r>
      <w:r>
        <w:rPr>
          <w:rFonts w:ascii="Segoe UI Semibold"/>
          <w:b/>
          <w:i/>
          <w:color w:val="231F20"/>
          <w:sz w:val="24"/>
        </w:rPr>
        <w:t> </w:t>
      </w:r>
      <w:r>
        <w:rPr>
          <w:rFonts w:ascii="Segoe UI Semibold"/>
          <w:b/>
          <w:i/>
          <w:color w:val="231F20"/>
          <w:spacing w:val="-14"/>
          <w:sz w:val="24"/>
        </w:rPr>
        <w:t>the</w:t>
      </w:r>
      <w:r>
        <w:rPr>
          <w:rFonts w:ascii="Segoe UI Semibold"/>
          <w:b/>
          <w:i/>
          <w:color w:val="231F20"/>
          <w:spacing w:val="-2"/>
          <w:sz w:val="24"/>
        </w:rPr>
        <w:t> </w:t>
      </w:r>
      <w:r>
        <w:rPr>
          <w:rFonts w:ascii="Segoe UI Semibold"/>
          <w:b/>
          <w:i/>
          <w:color w:val="231F20"/>
          <w:spacing w:val="-14"/>
          <w:sz w:val="24"/>
        </w:rPr>
        <w:t>Cuban</w:t>
      </w:r>
      <w:r>
        <w:rPr>
          <w:rFonts w:ascii="Segoe UI Semibold"/>
          <w:b/>
          <w:i/>
          <w:color w:val="231F20"/>
          <w:spacing w:val="-2"/>
          <w:sz w:val="24"/>
        </w:rPr>
        <w:t> </w:t>
      </w:r>
      <w:r>
        <w:rPr>
          <w:rFonts w:ascii="Segoe UI Semibold"/>
          <w:b/>
          <w:i/>
          <w:color w:val="231F20"/>
          <w:spacing w:val="-14"/>
          <w:sz w:val="24"/>
        </w:rPr>
        <w:t>state</w:t>
      </w:r>
      <w:r>
        <w:rPr>
          <w:rFonts w:ascii="Segoe UI Semibold"/>
          <w:b/>
          <w:i/>
          <w:color w:val="231F20"/>
          <w:spacing w:val="-2"/>
          <w:sz w:val="24"/>
        </w:rPr>
        <w:t> </w:t>
      </w:r>
      <w:r>
        <w:rPr>
          <w:rFonts w:ascii="Segoe UI Semibold"/>
          <w:b/>
          <w:i/>
          <w:color w:val="231F20"/>
          <w:spacing w:val="-14"/>
          <w:sz w:val="24"/>
        </w:rPr>
        <w:t>on</w:t>
      </w:r>
      <w:r>
        <w:rPr>
          <w:rFonts w:ascii="Segoe UI Semibold"/>
          <w:b/>
          <w:i/>
          <w:color w:val="231F20"/>
          <w:spacing w:val="-2"/>
          <w:sz w:val="24"/>
        </w:rPr>
        <w:t> </w:t>
      </w:r>
      <w:r>
        <w:rPr>
          <w:rFonts w:ascii="Segoe UI Semibold"/>
          <w:b/>
          <w:i/>
          <w:color w:val="231F20"/>
          <w:spacing w:val="-14"/>
          <w:sz w:val="24"/>
        </w:rPr>
        <w:t>developing</w:t>
      </w:r>
      <w:r>
        <w:rPr>
          <w:rFonts w:ascii="Segoe UI Semibold"/>
          <w:b/>
          <w:i/>
          <w:color w:val="231F20"/>
          <w:spacing w:val="-2"/>
          <w:sz w:val="24"/>
        </w:rPr>
        <w:t> </w:t>
      </w:r>
      <w:r>
        <w:rPr>
          <w:rFonts w:ascii="Segoe UI Semibold"/>
          <w:b/>
          <w:i/>
          <w:color w:val="231F20"/>
          <w:spacing w:val="-14"/>
          <w:sz w:val="24"/>
        </w:rPr>
        <w:t>the </w:t>
      </w:r>
      <w:r>
        <w:rPr>
          <w:rFonts w:ascii="Segoe UI Semibold"/>
          <w:b/>
          <w:i/>
          <w:color w:val="231F20"/>
          <w:spacing w:val="-12"/>
          <w:sz w:val="24"/>
        </w:rPr>
        <w:t>agricultural</w:t>
      </w:r>
      <w:r>
        <w:rPr>
          <w:rFonts w:ascii="Segoe UI Semibold"/>
          <w:b/>
          <w:i/>
          <w:color w:val="231F20"/>
          <w:spacing w:val="-5"/>
          <w:sz w:val="24"/>
        </w:rPr>
        <w:t> </w:t>
      </w:r>
      <w:r>
        <w:rPr>
          <w:rFonts w:ascii="Segoe UI Semibold"/>
          <w:b/>
          <w:i/>
          <w:color w:val="231F20"/>
          <w:spacing w:val="-12"/>
          <w:sz w:val="24"/>
        </w:rPr>
        <w:t>sector,</w:t>
      </w:r>
      <w:r>
        <w:rPr>
          <w:rFonts w:ascii="Segoe UI Semibold"/>
          <w:b/>
          <w:i/>
          <w:color w:val="231F20"/>
          <w:spacing w:val="-4"/>
          <w:sz w:val="24"/>
        </w:rPr>
        <w:t> </w:t>
      </w:r>
      <w:r>
        <w:rPr>
          <w:rFonts w:ascii="Segoe UI Semibold"/>
          <w:b/>
          <w:i/>
          <w:color w:val="231F20"/>
          <w:spacing w:val="-12"/>
          <w:sz w:val="24"/>
        </w:rPr>
        <w:t>it</w:t>
      </w:r>
      <w:r>
        <w:rPr>
          <w:rFonts w:ascii="Segoe UI Semibold"/>
          <w:b/>
          <w:i/>
          <w:color w:val="231F20"/>
          <w:spacing w:val="-5"/>
          <w:sz w:val="24"/>
        </w:rPr>
        <w:t> </w:t>
      </w:r>
      <w:r>
        <w:rPr>
          <w:rFonts w:ascii="Segoe UI Semibold"/>
          <w:b/>
          <w:i/>
          <w:color w:val="231F20"/>
          <w:spacing w:val="-12"/>
          <w:sz w:val="24"/>
        </w:rPr>
        <w:t>is</w:t>
      </w:r>
      <w:r>
        <w:rPr>
          <w:rFonts w:ascii="Segoe UI Semibold"/>
          <w:b/>
          <w:i/>
          <w:color w:val="231F20"/>
          <w:spacing w:val="-4"/>
          <w:sz w:val="24"/>
        </w:rPr>
        <w:t> </w:t>
      </w:r>
      <w:r>
        <w:rPr>
          <w:rFonts w:ascii="Segoe UI Semibold"/>
          <w:b/>
          <w:i/>
          <w:color w:val="231F20"/>
          <w:spacing w:val="-12"/>
          <w:sz w:val="24"/>
        </w:rPr>
        <w:t>by</w:t>
      </w:r>
      <w:r>
        <w:rPr>
          <w:rFonts w:ascii="Segoe UI Semibold"/>
          <w:b/>
          <w:i/>
          <w:color w:val="231F20"/>
          <w:spacing w:val="-5"/>
          <w:sz w:val="24"/>
        </w:rPr>
        <w:t> </w:t>
      </w:r>
      <w:r>
        <w:rPr>
          <w:rFonts w:ascii="Segoe UI Semibold"/>
          <w:b/>
          <w:i/>
          <w:color w:val="231F20"/>
          <w:spacing w:val="-12"/>
          <w:sz w:val="24"/>
        </w:rPr>
        <w:t>no</w:t>
      </w:r>
      <w:r>
        <w:rPr>
          <w:rFonts w:ascii="Segoe UI Semibold"/>
          <w:b/>
          <w:i/>
          <w:color w:val="231F20"/>
          <w:spacing w:val="-4"/>
          <w:sz w:val="24"/>
        </w:rPr>
        <w:t> </w:t>
      </w:r>
      <w:r>
        <w:rPr>
          <w:rFonts w:ascii="Segoe UI Semibold"/>
          <w:b/>
          <w:i/>
          <w:color w:val="231F20"/>
          <w:spacing w:val="-12"/>
          <w:sz w:val="24"/>
        </w:rPr>
        <w:t>means</w:t>
      </w:r>
      <w:r>
        <w:rPr>
          <w:rFonts w:ascii="Segoe UI Semibold"/>
          <w:b/>
          <w:i/>
          <w:color w:val="231F20"/>
          <w:spacing w:val="-5"/>
          <w:sz w:val="24"/>
        </w:rPr>
        <w:t> </w:t>
      </w:r>
      <w:r>
        <w:rPr>
          <w:rFonts w:ascii="Segoe UI Semibold"/>
          <w:b/>
          <w:i/>
          <w:color w:val="231F20"/>
          <w:spacing w:val="-12"/>
          <w:sz w:val="24"/>
        </w:rPr>
        <w:t>immune </w:t>
      </w:r>
      <w:r>
        <w:rPr>
          <w:rFonts w:ascii="Segoe UI Semibold"/>
          <w:b/>
          <w:i/>
          <w:color w:val="231F20"/>
          <w:spacing w:val="-4"/>
          <w:sz w:val="24"/>
        </w:rPr>
        <w:t>from</w:t>
      </w:r>
      <w:r>
        <w:rPr>
          <w:rFonts w:ascii="Segoe UI Semibold"/>
          <w:b/>
          <w:i/>
          <w:color w:val="231F20"/>
          <w:spacing w:val="-13"/>
          <w:sz w:val="24"/>
        </w:rPr>
        <w:t> </w:t>
      </w:r>
      <w:r>
        <w:rPr>
          <w:rFonts w:ascii="Segoe UI Semibold"/>
          <w:b/>
          <w:i/>
          <w:color w:val="231F20"/>
          <w:spacing w:val="-4"/>
          <w:sz w:val="24"/>
        </w:rPr>
        <w:t>the</w:t>
      </w:r>
      <w:r>
        <w:rPr>
          <w:rFonts w:ascii="Segoe UI Semibold"/>
          <w:b/>
          <w:i/>
          <w:color w:val="231F20"/>
          <w:spacing w:val="-12"/>
          <w:sz w:val="24"/>
        </w:rPr>
        <w:t> </w:t>
      </w:r>
      <w:r>
        <w:rPr>
          <w:rFonts w:ascii="Segoe UI Semibold"/>
          <w:b/>
          <w:i/>
          <w:color w:val="231F20"/>
          <w:spacing w:val="-4"/>
          <w:sz w:val="24"/>
        </w:rPr>
        <w:t>effects</w:t>
      </w:r>
      <w:r>
        <w:rPr>
          <w:rFonts w:ascii="Segoe UI Semibold"/>
          <w:b/>
          <w:i/>
          <w:color w:val="231F20"/>
          <w:spacing w:val="-13"/>
          <w:sz w:val="24"/>
        </w:rPr>
        <w:t> </w:t>
      </w:r>
      <w:r>
        <w:rPr>
          <w:rFonts w:ascii="Segoe UI Semibold"/>
          <w:b/>
          <w:i/>
          <w:color w:val="231F20"/>
          <w:spacing w:val="-4"/>
          <w:sz w:val="24"/>
        </w:rPr>
        <w:t>of</w:t>
      </w:r>
      <w:r>
        <w:rPr>
          <w:rFonts w:ascii="Segoe UI Semibold"/>
          <w:b/>
          <w:i/>
          <w:color w:val="231F20"/>
          <w:spacing w:val="-11"/>
          <w:sz w:val="24"/>
        </w:rPr>
        <w:t> </w:t>
      </w:r>
      <w:r>
        <w:rPr>
          <w:rFonts w:ascii="Segoe UI Semibold"/>
          <w:b/>
          <w:i/>
          <w:color w:val="231F20"/>
          <w:spacing w:val="-4"/>
          <w:sz w:val="24"/>
        </w:rPr>
        <w:t>the</w:t>
      </w:r>
      <w:r>
        <w:rPr>
          <w:rFonts w:ascii="Segoe UI Semibold"/>
          <w:b/>
          <w:i/>
          <w:color w:val="231F20"/>
          <w:spacing w:val="-13"/>
          <w:sz w:val="24"/>
        </w:rPr>
        <w:t> </w:t>
      </w:r>
      <w:r>
        <w:rPr>
          <w:rFonts w:ascii="Segoe UI Semibold"/>
          <w:b/>
          <w:i/>
          <w:color w:val="231F20"/>
          <w:spacing w:val="-4"/>
          <w:sz w:val="24"/>
        </w:rPr>
        <w:t>U.S.</w:t>
      </w:r>
      <w:r>
        <w:rPr>
          <w:rFonts w:ascii="Segoe UI Semibold"/>
          <w:b/>
          <w:i/>
          <w:color w:val="231F20"/>
          <w:spacing w:val="-12"/>
          <w:sz w:val="24"/>
        </w:rPr>
        <w:t> </w:t>
      </w:r>
      <w:r>
        <w:rPr>
          <w:rFonts w:ascii="Segoe UI Semibold"/>
          <w:b/>
          <w:i/>
          <w:color w:val="231F20"/>
          <w:spacing w:val="-4"/>
          <w:sz w:val="24"/>
        </w:rPr>
        <w:t>blockade.</w:t>
      </w:r>
      <w:r>
        <w:rPr>
          <w:rFonts w:ascii="Segoe UI Semibold"/>
          <w:b/>
          <w:i/>
          <w:color w:val="231F20"/>
          <w:spacing w:val="-12"/>
          <w:sz w:val="24"/>
        </w:rPr>
        <w:t> </w:t>
      </w:r>
      <w:r>
        <w:rPr>
          <w:rFonts w:ascii="Segoe UI Semibold"/>
          <w:b/>
          <w:i/>
          <w:color w:val="231F20"/>
          <w:spacing w:val="-4"/>
          <w:sz w:val="24"/>
        </w:rPr>
        <w:t>In</w:t>
      </w:r>
      <w:r>
        <w:rPr>
          <w:rFonts w:ascii="Segoe UI Semibold"/>
          <w:b/>
          <w:i/>
          <w:color w:val="231F20"/>
          <w:spacing w:val="-12"/>
          <w:sz w:val="24"/>
        </w:rPr>
        <w:t> </w:t>
      </w:r>
      <w:r>
        <w:rPr>
          <w:rFonts w:ascii="Segoe UI Semibold"/>
          <w:b/>
          <w:i/>
          <w:color w:val="231F20"/>
          <w:spacing w:val="-4"/>
          <w:sz w:val="24"/>
        </w:rPr>
        <w:t>the </w:t>
      </w:r>
      <w:r>
        <w:rPr>
          <w:rFonts w:ascii="Segoe UI Semibold"/>
          <w:b/>
          <w:i/>
          <w:color w:val="231F20"/>
          <w:spacing w:val="-2"/>
          <w:sz w:val="24"/>
        </w:rPr>
        <w:t>period</w:t>
      </w:r>
      <w:r>
        <w:rPr>
          <w:rFonts w:ascii="Segoe UI Semibold"/>
          <w:b/>
          <w:i/>
          <w:color w:val="231F20"/>
          <w:spacing w:val="-15"/>
          <w:sz w:val="24"/>
        </w:rPr>
        <w:t> </w:t>
      </w:r>
      <w:r>
        <w:rPr>
          <w:rFonts w:ascii="Segoe UI Semibold"/>
          <w:b/>
          <w:i/>
          <w:color w:val="231F20"/>
          <w:spacing w:val="-2"/>
          <w:sz w:val="24"/>
        </w:rPr>
        <w:t>of</w:t>
      </w:r>
      <w:r>
        <w:rPr>
          <w:rFonts w:ascii="Segoe UI Semibold"/>
          <w:b/>
          <w:i/>
          <w:color w:val="231F20"/>
          <w:spacing w:val="-14"/>
          <w:sz w:val="24"/>
        </w:rPr>
        <w:t> </w:t>
      </w:r>
      <w:r>
        <w:rPr>
          <w:rFonts w:ascii="Segoe UI Semibold"/>
          <w:b/>
          <w:i/>
          <w:color w:val="231F20"/>
          <w:spacing w:val="-2"/>
          <w:sz w:val="24"/>
        </w:rPr>
        <w:t>this</w:t>
      </w:r>
      <w:r>
        <w:rPr>
          <w:rFonts w:ascii="Segoe UI Semibold"/>
          <w:b/>
          <w:i/>
          <w:color w:val="231F20"/>
          <w:spacing w:val="-15"/>
          <w:sz w:val="24"/>
        </w:rPr>
        <w:t> </w:t>
      </w:r>
      <w:r>
        <w:rPr>
          <w:rFonts w:ascii="Segoe UI Semibold"/>
          <w:b/>
          <w:i/>
          <w:color w:val="231F20"/>
          <w:spacing w:val="-2"/>
          <w:sz w:val="24"/>
        </w:rPr>
        <w:t>report,</w:t>
      </w:r>
      <w:r>
        <w:rPr>
          <w:rFonts w:ascii="Segoe UI Semibold"/>
          <w:b/>
          <w:i/>
          <w:color w:val="231F20"/>
          <w:spacing w:val="-14"/>
          <w:sz w:val="24"/>
        </w:rPr>
        <w:t> </w:t>
      </w:r>
      <w:r>
        <w:rPr>
          <w:rFonts w:ascii="Segoe UI Semibold"/>
          <w:b/>
          <w:i/>
          <w:color w:val="231F20"/>
          <w:spacing w:val="-2"/>
          <w:sz w:val="24"/>
        </w:rPr>
        <w:t>the</w:t>
      </w:r>
      <w:r>
        <w:rPr>
          <w:rFonts w:ascii="Segoe UI Semibold"/>
          <w:b/>
          <w:i/>
          <w:color w:val="231F20"/>
          <w:spacing w:val="-15"/>
          <w:sz w:val="24"/>
        </w:rPr>
        <w:t> </w:t>
      </w:r>
      <w:r>
        <w:rPr>
          <w:rFonts w:ascii="Segoe UI Semibold"/>
          <w:b/>
          <w:i/>
          <w:color w:val="231F20"/>
          <w:spacing w:val="-2"/>
          <w:sz w:val="24"/>
        </w:rPr>
        <w:t>recorded</w:t>
      </w:r>
      <w:r>
        <w:rPr>
          <w:rFonts w:ascii="Segoe UI Semibold"/>
          <w:b/>
          <w:i/>
          <w:color w:val="231F20"/>
          <w:spacing w:val="-14"/>
          <w:sz w:val="24"/>
        </w:rPr>
        <w:t> </w:t>
      </w:r>
      <w:r>
        <w:rPr>
          <w:rFonts w:ascii="Segoe UI Semibold"/>
          <w:b/>
          <w:i/>
          <w:color w:val="231F20"/>
          <w:spacing w:val="-2"/>
          <w:sz w:val="24"/>
        </w:rPr>
        <w:t>damage </w:t>
      </w:r>
      <w:r>
        <w:rPr>
          <w:rFonts w:ascii="Segoe UI Semibold"/>
          <w:b/>
          <w:i/>
          <w:color w:val="231F20"/>
          <w:sz w:val="24"/>
        </w:rPr>
        <w:t>amounted</w:t>
      </w:r>
      <w:r>
        <w:rPr>
          <w:rFonts w:ascii="Segoe UI Semibold"/>
          <w:b/>
          <w:i/>
          <w:color w:val="231F20"/>
          <w:spacing w:val="-17"/>
          <w:sz w:val="24"/>
        </w:rPr>
        <w:t> </w:t>
      </w:r>
      <w:r>
        <w:rPr>
          <w:rFonts w:ascii="Segoe UI Semibold"/>
          <w:b/>
          <w:i/>
          <w:color w:val="231F20"/>
          <w:sz w:val="24"/>
        </w:rPr>
        <w:t>to</w:t>
      </w:r>
      <w:r>
        <w:rPr>
          <w:rFonts w:ascii="Segoe UI Semibold"/>
          <w:b/>
          <w:i/>
          <w:color w:val="231F20"/>
          <w:spacing w:val="-16"/>
          <w:sz w:val="24"/>
        </w:rPr>
        <w:t> </w:t>
      </w:r>
      <w:r>
        <w:rPr>
          <w:b/>
          <w:i/>
          <w:color w:val="231F20"/>
          <w:sz w:val="24"/>
        </w:rPr>
        <w:t>USD</w:t>
      </w:r>
      <w:r>
        <w:rPr>
          <w:b/>
          <w:i/>
          <w:color w:val="231F20"/>
          <w:spacing w:val="-17"/>
          <w:sz w:val="24"/>
        </w:rPr>
        <w:t> </w:t>
      </w:r>
      <w:r>
        <w:rPr>
          <w:b/>
          <w:i/>
          <w:color w:val="231F20"/>
          <w:sz w:val="24"/>
        </w:rPr>
        <w:t>273,390,800</w:t>
      </w:r>
      <w:r>
        <w:rPr>
          <w:rFonts w:ascii="Segoe UI Semibold"/>
          <w:b/>
          <w:color w:val="231F20"/>
          <w:sz w:val="24"/>
        </w:rPr>
        <w:t>.</w:t>
      </w:r>
    </w:p>
    <w:p>
      <w:pPr>
        <w:pStyle w:val="BodyText"/>
        <w:spacing w:before="159"/>
        <w:ind w:left="414" w:right="1131"/>
      </w:pPr>
      <w:r>
        <w:rPr>
          <w:color w:val="231F20"/>
        </w:rPr>
        <w:t>The economic siege has meant curtailed </w:t>
      </w:r>
      <w:r>
        <w:rPr>
          <w:color w:val="231F20"/>
          <w:spacing w:val="-2"/>
        </w:rPr>
        <w:t>access</w:t>
      </w:r>
      <w:r>
        <w:rPr>
          <w:color w:val="231F20"/>
          <w:spacing w:val="-15"/>
        </w:rPr>
        <w:t> </w:t>
      </w:r>
      <w:r>
        <w:rPr>
          <w:color w:val="231F20"/>
          <w:spacing w:val="-2"/>
        </w:rPr>
        <w:t>to</w:t>
      </w:r>
      <w:r>
        <w:rPr>
          <w:color w:val="231F20"/>
          <w:spacing w:val="-14"/>
        </w:rPr>
        <w:t> </w:t>
      </w:r>
      <w:r>
        <w:rPr>
          <w:color w:val="231F20"/>
          <w:spacing w:val="-2"/>
        </w:rPr>
        <w:t>supplies,</w:t>
      </w:r>
      <w:r>
        <w:rPr>
          <w:color w:val="231F20"/>
          <w:spacing w:val="-15"/>
        </w:rPr>
        <w:t> </w:t>
      </w:r>
      <w:r>
        <w:rPr>
          <w:color w:val="231F20"/>
          <w:spacing w:val="-2"/>
        </w:rPr>
        <w:t>raw</w:t>
      </w:r>
      <w:r>
        <w:rPr>
          <w:color w:val="231F20"/>
          <w:spacing w:val="-14"/>
        </w:rPr>
        <w:t> </w:t>
      </w:r>
      <w:r>
        <w:rPr>
          <w:color w:val="231F20"/>
          <w:spacing w:val="-2"/>
        </w:rPr>
        <w:t>materials,</w:t>
      </w:r>
      <w:r>
        <w:rPr>
          <w:color w:val="231F20"/>
          <w:spacing w:val="-15"/>
        </w:rPr>
        <w:t> </w:t>
      </w:r>
      <w:r>
        <w:rPr>
          <w:color w:val="231F20"/>
          <w:spacing w:val="-2"/>
        </w:rPr>
        <w:t>chemicals </w:t>
      </w:r>
      <w:r>
        <w:rPr>
          <w:color w:val="231F20"/>
        </w:rPr>
        <w:t>and</w:t>
      </w:r>
      <w:r>
        <w:rPr>
          <w:color w:val="231F20"/>
          <w:spacing w:val="-4"/>
        </w:rPr>
        <w:t> </w:t>
      </w:r>
      <w:r>
        <w:rPr>
          <w:color w:val="231F20"/>
        </w:rPr>
        <w:t>technologies</w:t>
      </w:r>
      <w:r>
        <w:rPr>
          <w:color w:val="231F20"/>
          <w:spacing w:val="-4"/>
        </w:rPr>
        <w:t> </w:t>
      </w:r>
      <w:r>
        <w:rPr>
          <w:color w:val="231F20"/>
        </w:rPr>
        <w:t>needed</w:t>
      </w:r>
      <w:r>
        <w:rPr>
          <w:color w:val="231F20"/>
          <w:spacing w:val="-4"/>
        </w:rPr>
        <w:t> </w:t>
      </w:r>
      <w:r>
        <w:rPr>
          <w:color w:val="231F20"/>
        </w:rPr>
        <w:t>for</w:t>
      </w:r>
      <w:r>
        <w:rPr>
          <w:color w:val="231F20"/>
          <w:spacing w:val="-4"/>
        </w:rPr>
        <w:t> </w:t>
      </w:r>
      <w:r>
        <w:rPr>
          <w:color w:val="231F20"/>
        </w:rPr>
        <w:t>this</w:t>
      </w:r>
      <w:r>
        <w:rPr>
          <w:color w:val="231F20"/>
          <w:spacing w:val="-4"/>
        </w:rPr>
        <w:t> </w:t>
      </w:r>
      <w:r>
        <w:rPr>
          <w:color w:val="231F20"/>
        </w:rPr>
        <w:t>industry to a degree that has caused a sharp downturn</w:t>
      </w:r>
      <w:r>
        <w:rPr>
          <w:color w:val="231F20"/>
          <w:spacing w:val="-11"/>
        </w:rPr>
        <w:t> </w:t>
      </w:r>
      <w:r>
        <w:rPr>
          <w:color w:val="231F20"/>
        </w:rPr>
        <w:t>in</w:t>
      </w:r>
      <w:r>
        <w:rPr>
          <w:color w:val="231F20"/>
          <w:spacing w:val="-11"/>
        </w:rPr>
        <w:t> </w:t>
      </w:r>
      <w:r>
        <w:rPr>
          <w:color w:val="231F20"/>
        </w:rPr>
        <w:t>national</w:t>
      </w:r>
      <w:r>
        <w:rPr>
          <w:color w:val="231F20"/>
          <w:spacing w:val="-11"/>
        </w:rPr>
        <w:t> </w:t>
      </w:r>
      <w:r>
        <w:rPr>
          <w:color w:val="231F20"/>
        </w:rPr>
        <w:t>production.</w:t>
      </w:r>
      <w:r>
        <w:rPr>
          <w:color w:val="231F20"/>
          <w:spacing w:val="-11"/>
        </w:rPr>
        <w:t> </w:t>
      </w:r>
      <w:r>
        <w:rPr>
          <w:color w:val="231F20"/>
        </w:rPr>
        <w:t>To</w:t>
      </w:r>
      <w:r>
        <w:rPr>
          <w:color w:val="231F20"/>
          <w:spacing w:val="-11"/>
        </w:rPr>
        <w:t> </w:t>
      </w:r>
      <w:r>
        <w:rPr>
          <w:color w:val="231F20"/>
        </w:rPr>
        <w:t>cite</w:t>
      </w:r>
      <w:r>
        <w:rPr>
          <w:color w:val="231F20"/>
          <w:spacing w:val="-11"/>
        </w:rPr>
        <w:t> </w:t>
      </w:r>
      <w:r>
        <w:rPr>
          <w:color w:val="231F20"/>
        </w:rPr>
        <w:t>a </w:t>
      </w:r>
      <w:r>
        <w:rPr>
          <w:color w:val="231F20"/>
          <w:spacing w:val="-2"/>
        </w:rPr>
        <w:t>single</w:t>
      </w:r>
      <w:r>
        <w:rPr>
          <w:color w:val="231F20"/>
          <w:spacing w:val="-13"/>
        </w:rPr>
        <w:t> </w:t>
      </w:r>
      <w:r>
        <w:rPr>
          <w:color w:val="231F20"/>
          <w:spacing w:val="-2"/>
        </w:rPr>
        <w:t>example:</w:t>
      </w:r>
      <w:r>
        <w:rPr>
          <w:color w:val="231F20"/>
          <w:spacing w:val="-13"/>
        </w:rPr>
        <w:t> </w:t>
      </w:r>
      <w:r>
        <w:rPr>
          <w:color w:val="231F20"/>
          <w:spacing w:val="-2"/>
        </w:rPr>
        <w:t>in</w:t>
      </w:r>
      <w:r>
        <w:rPr>
          <w:color w:val="231F20"/>
          <w:spacing w:val="-13"/>
        </w:rPr>
        <w:t> </w:t>
      </w:r>
      <w:r>
        <w:rPr>
          <w:color w:val="231F20"/>
          <w:spacing w:val="-2"/>
        </w:rPr>
        <w:t>the</w:t>
      </w:r>
      <w:r>
        <w:rPr>
          <w:color w:val="231F20"/>
          <w:spacing w:val="-13"/>
        </w:rPr>
        <w:t> </w:t>
      </w:r>
      <w:r>
        <w:rPr>
          <w:color w:val="231F20"/>
          <w:spacing w:val="-2"/>
        </w:rPr>
        <w:t>period</w:t>
      </w:r>
      <w:r>
        <w:rPr>
          <w:color w:val="231F20"/>
          <w:spacing w:val="-13"/>
        </w:rPr>
        <w:t> </w:t>
      </w:r>
      <w:r>
        <w:rPr>
          <w:color w:val="231F20"/>
          <w:spacing w:val="-2"/>
        </w:rPr>
        <w:t>under</w:t>
      </w:r>
      <w:r>
        <w:rPr>
          <w:color w:val="231F20"/>
          <w:spacing w:val="-13"/>
        </w:rPr>
        <w:t> </w:t>
      </w:r>
      <w:r>
        <w:rPr>
          <w:color w:val="231F20"/>
          <w:spacing w:val="-2"/>
        </w:rPr>
        <w:t>review, </w:t>
      </w:r>
      <w:r>
        <w:rPr>
          <w:color w:val="231F20"/>
        </w:rPr>
        <w:t>Bravo</w:t>
      </w:r>
      <w:r>
        <w:rPr>
          <w:color w:val="231F20"/>
          <w:spacing w:val="-6"/>
        </w:rPr>
        <w:t> </w:t>
      </w:r>
      <w:r>
        <w:rPr>
          <w:color w:val="231F20"/>
        </w:rPr>
        <w:t>S.A.,</w:t>
      </w:r>
      <w:r>
        <w:rPr>
          <w:color w:val="231F20"/>
          <w:spacing w:val="-6"/>
        </w:rPr>
        <w:t> </w:t>
      </w:r>
      <w:r>
        <w:rPr>
          <w:color w:val="231F20"/>
        </w:rPr>
        <w:t>a</w:t>
      </w:r>
      <w:r>
        <w:rPr>
          <w:color w:val="231F20"/>
          <w:spacing w:val="-6"/>
        </w:rPr>
        <w:t> </w:t>
      </w:r>
      <w:r>
        <w:rPr>
          <w:color w:val="231F20"/>
        </w:rPr>
        <w:t>Spanish-Cuban</w:t>
      </w:r>
      <w:r>
        <w:rPr>
          <w:color w:val="231F20"/>
          <w:spacing w:val="-6"/>
        </w:rPr>
        <w:t> </w:t>
      </w:r>
      <w:r>
        <w:rPr>
          <w:color w:val="231F20"/>
        </w:rPr>
        <w:t>joint</w:t>
      </w:r>
      <w:r>
        <w:rPr>
          <w:color w:val="231F20"/>
          <w:spacing w:val="-6"/>
        </w:rPr>
        <w:t> </w:t>
      </w:r>
      <w:r>
        <w:rPr>
          <w:color w:val="231F20"/>
        </w:rPr>
        <w:t>venture, could</w:t>
      </w:r>
      <w:r>
        <w:rPr>
          <w:color w:val="231F20"/>
          <w:spacing w:val="-15"/>
        </w:rPr>
        <w:t> </w:t>
      </w:r>
      <w:r>
        <w:rPr>
          <w:color w:val="231F20"/>
        </w:rPr>
        <w:t>have</w:t>
      </w:r>
      <w:r>
        <w:rPr>
          <w:color w:val="231F20"/>
          <w:spacing w:val="-15"/>
        </w:rPr>
        <w:t> </w:t>
      </w:r>
      <w:r>
        <w:rPr>
          <w:color w:val="231F20"/>
        </w:rPr>
        <w:t>obtained</w:t>
      </w:r>
      <w:r>
        <w:rPr>
          <w:color w:val="231F20"/>
          <w:spacing w:val="-15"/>
        </w:rPr>
        <w:t> </w:t>
      </w:r>
      <w:r>
        <w:rPr>
          <w:color w:val="231F20"/>
        </w:rPr>
        <w:t>384</w:t>
      </w:r>
      <w:r>
        <w:rPr>
          <w:color w:val="231F20"/>
          <w:spacing w:val="-15"/>
        </w:rPr>
        <w:t> </w:t>
      </w:r>
      <w:r>
        <w:rPr>
          <w:color w:val="231F20"/>
        </w:rPr>
        <w:t>tons</w:t>
      </w:r>
      <w:r>
        <w:rPr>
          <w:color w:val="231F20"/>
          <w:spacing w:val="-15"/>
        </w:rPr>
        <w:t> </w:t>
      </w:r>
      <w:r>
        <w:rPr>
          <w:color w:val="231F20"/>
        </w:rPr>
        <w:t>more</w:t>
      </w:r>
      <w:r>
        <w:rPr>
          <w:color w:val="231F20"/>
          <w:spacing w:val="-15"/>
        </w:rPr>
        <w:t> </w:t>
      </w:r>
      <w:r>
        <w:rPr>
          <w:color w:val="231F20"/>
        </w:rPr>
        <w:t>of</w:t>
      </w:r>
      <w:r>
        <w:rPr>
          <w:color w:val="231F20"/>
          <w:spacing w:val="-15"/>
        </w:rPr>
        <w:t> </w:t>
      </w:r>
      <w:r>
        <w:rPr>
          <w:color w:val="231F20"/>
        </w:rPr>
        <w:t>raw material</w:t>
      </w:r>
      <w:r>
        <w:rPr>
          <w:color w:val="231F20"/>
          <w:spacing w:val="-17"/>
        </w:rPr>
        <w:t> </w:t>
      </w:r>
      <w:r>
        <w:rPr>
          <w:color w:val="231F20"/>
        </w:rPr>
        <w:t>in</w:t>
      </w:r>
      <w:r>
        <w:rPr>
          <w:color w:val="231F20"/>
          <w:spacing w:val="-16"/>
        </w:rPr>
        <w:t> </w:t>
      </w:r>
      <w:r>
        <w:rPr>
          <w:color w:val="231F20"/>
        </w:rPr>
        <w:t>the</w:t>
      </w:r>
      <w:r>
        <w:rPr>
          <w:color w:val="231F20"/>
          <w:spacing w:val="-17"/>
        </w:rPr>
        <w:t> </w:t>
      </w:r>
      <w:r>
        <w:rPr>
          <w:color w:val="231F20"/>
        </w:rPr>
        <w:t>form</w:t>
      </w:r>
      <w:r>
        <w:rPr>
          <w:color w:val="231F20"/>
          <w:spacing w:val="-16"/>
        </w:rPr>
        <w:t> </w:t>
      </w:r>
      <w:r>
        <w:rPr>
          <w:color w:val="231F20"/>
        </w:rPr>
        <w:t>of</w:t>
      </w:r>
      <w:r>
        <w:rPr>
          <w:color w:val="231F20"/>
          <w:spacing w:val="-17"/>
        </w:rPr>
        <w:t> </w:t>
      </w:r>
      <w:r>
        <w:rPr>
          <w:color w:val="231F20"/>
        </w:rPr>
        <w:t>meat</w:t>
      </w:r>
      <w:r>
        <w:rPr>
          <w:color w:val="231F20"/>
          <w:spacing w:val="-16"/>
        </w:rPr>
        <w:t> </w:t>
      </w:r>
      <w:r>
        <w:rPr>
          <w:color w:val="231F20"/>
        </w:rPr>
        <w:t>and</w:t>
      </w:r>
      <w:r>
        <w:rPr>
          <w:color w:val="231F20"/>
          <w:spacing w:val="-17"/>
        </w:rPr>
        <w:t> </w:t>
      </w:r>
      <w:r>
        <w:rPr>
          <w:color w:val="231F20"/>
        </w:rPr>
        <w:t>produced </w:t>
      </w:r>
      <w:r>
        <w:rPr>
          <w:color w:val="231F20"/>
          <w:spacing w:val="-4"/>
        </w:rPr>
        <w:t>an</w:t>
      </w:r>
      <w:r>
        <w:rPr>
          <w:color w:val="231F20"/>
          <w:spacing w:val="-13"/>
        </w:rPr>
        <w:t> </w:t>
      </w:r>
      <w:r>
        <w:rPr>
          <w:color w:val="231F20"/>
          <w:spacing w:val="-4"/>
        </w:rPr>
        <w:t>additional</w:t>
      </w:r>
      <w:r>
        <w:rPr>
          <w:color w:val="231F20"/>
          <w:spacing w:val="-12"/>
        </w:rPr>
        <w:t> </w:t>
      </w:r>
      <w:r>
        <w:rPr>
          <w:color w:val="231F20"/>
          <w:spacing w:val="-4"/>
        </w:rPr>
        <w:t>626.2</w:t>
      </w:r>
      <w:r>
        <w:rPr>
          <w:color w:val="231F20"/>
          <w:spacing w:val="-13"/>
        </w:rPr>
        <w:t> </w:t>
      </w:r>
      <w:r>
        <w:rPr>
          <w:color w:val="231F20"/>
          <w:spacing w:val="-4"/>
        </w:rPr>
        <w:t>tons</w:t>
      </w:r>
      <w:r>
        <w:rPr>
          <w:color w:val="231F20"/>
          <w:spacing w:val="-12"/>
        </w:rPr>
        <w:t> </w:t>
      </w:r>
      <w:r>
        <w:rPr>
          <w:color w:val="231F20"/>
          <w:spacing w:val="-4"/>
        </w:rPr>
        <w:t>of</w:t>
      </w:r>
      <w:r>
        <w:rPr>
          <w:color w:val="231F20"/>
          <w:spacing w:val="-13"/>
        </w:rPr>
        <w:t> </w:t>
      </w:r>
      <w:r>
        <w:rPr>
          <w:color w:val="231F20"/>
          <w:spacing w:val="-4"/>
        </w:rPr>
        <w:t>finished</w:t>
      </w:r>
      <w:r>
        <w:rPr>
          <w:color w:val="231F20"/>
          <w:spacing w:val="-12"/>
        </w:rPr>
        <w:t> </w:t>
      </w:r>
      <w:r>
        <w:rPr>
          <w:color w:val="231F20"/>
          <w:spacing w:val="-4"/>
        </w:rPr>
        <w:t>product </w:t>
      </w:r>
      <w:r>
        <w:rPr>
          <w:color w:val="231F20"/>
        </w:rPr>
        <w:t>had it been able to import the supplies directly from the U.S. market.</w:t>
      </w:r>
    </w:p>
    <w:p>
      <w:pPr>
        <w:pStyle w:val="BodyText"/>
        <w:spacing w:before="170"/>
        <w:ind w:left="414" w:right="1135"/>
      </w:pPr>
      <w:r>
        <w:rPr>
          <w:color w:val="231F20"/>
        </w:rPr>
        <w:t>Shortage of agricultural machinery and animal feed, lack of spares parts </w:t>
      </w:r>
      <w:r>
        <w:rPr>
          <w:color w:val="231F20"/>
        </w:rPr>
        <w:t>for equipment and the industry generally, coupled</w:t>
      </w:r>
      <w:r>
        <w:rPr>
          <w:color w:val="231F20"/>
          <w:spacing w:val="45"/>
        </w:rPr>
        <w:t> </w:t>
      </w:r>
      <w:r>
        <w:rPr>
          <w:color w:val="231F20"/>
        </w:rPr>
        <w:t>with</w:t>
      </w:r>
      <w:r>
        <w:rPr>
          <w:color w:val="231F20"/>
          <w:spacing w:val="46"/>
        </w:rPr>
        <w:t> </w:t>
      </w:r>
      <w:r>
        <w:rPr>
          <w:color w:val="231F20"/>
        </w:rPr>
        <w:t>scarcity</w:t>
      </w:r>
      <w:r>
        <w:rPr>
          <w:color w:val="231F20"/>
          <w:spacing w:val="45"/>
        </w:rPr>
        <w:t> </w:t>
      </w:r>
      <w:r>
        <w:rPr>
          <w:color w:val="231F20"/>
        </w:rPr>
        <w:t>of</w:t>
      </w:r>
      <w:r>
        <w:rPr>
          <w:color w:val="231F20"/>
          <w:spacing w:val="46"/>
        </w:rPr>
        <w:t> </w:t>
      </w:r>
      <w:r>
        <w:rPr>
          <w:color w:val="231F20"/>
        </w:rPr>
        <w:t>fuel</w:t>
      </w:r>
      <w:r>
        <w:rPr>
          <w:color w:val="231F20"/>
          <w:spacing w:val="45"/>
        </w:rPr>
        <w:t> </w:t>
      </w:r>
      <w:r>
        <w:rPr>
          <w:color w:val="231F20"/>
        </w:rPr>
        <w:t>resulted</w:t>
      </w:r>
      <w:r>
        <w:rPr>
          <w:color w:val="231F20"/>
          <w:spacing w:val="46"/>
        </w:rPr>
        <w:t> </w:t>
      </w:r>
      <w:r>
        <w:rPr>
          <w:color w:val="231F20"/>
          <w:spacing w:val="-5"/>
        </w:rPr>
        <w:t>in</w:t>
      </w:r>
    </w:p>
    <w:p>
      <w:pPr>
        <w:spacing w:after="0"/>
        <w:sectPr>
          <w:pgSz w:w="11910" w:h="16840"/>
          <w:pgMar w:header="0" w:footer="695" w:top="1260" w:bottom="880" w:left="0" w:right="0"/>
          <w:cols w:num="2" w:equalWidth="0">
            <w:col w:w="5895" w:space="40"/>
            <w:col w:w="5975"/>
          </w:cols>
        </w:sectPr>
      </w:pPr>
    </w:p>
    <w:p>
      <w:pPr>
        <w:pStyle w:val="BodyText"/>
        <w:spacing w:before="77"/>
        <w:ind w:left="1133"/>
      </w:pPr>
      <w:r>
        <w:rPr>
          <w:color w:val="231F20"/>
          <w:spacing w:val="-4"/>
        </w:rPr>
        <w:t>under-provisioning</w:t>
      </w:r>
      <w:r>
        <w:rPr>
          <w:color w:val="231F20"/>
          <w:spacing w:val="-13"/>
        </w:rPr>
        <w:t> </w:t>
      </w:r>
      <w:r>
        <w:rPr>
          <w:color w:val="231F20"/>
          <w:spacing w:val="-4"/>
        </w:rPr>
        <w:t>the</w:t>
      </w:r>
      <w:r>
        <w:rPr>
          <w:color w:val="231F20"/>
          <w:spacing w:val="-12"/>
        </w:rPr>
        <w:t> </w:t>
      </w:r>
      <w:r>
        <w:rPr>
          <w:color w:val="231F20"/>
          <w:spacing w:val="-4"/>
        </w:rPr>
        <w:t>national</w:t>
      </w:r>
      <w:r>
        <w:rPr>
          <w:color w:val="231F20"/>
          <w:spacing w:val="-13"/>
        </w:rPr>
        <w:t> </w:t>
      </w:r>
      <w:r>
        <w:rPr>
          <w:color w:val="231F20"/>
          <w:spacing w:val="-4"/>
        </w:rPr>
        <w:t>agricultural </w:t>
      </w:r>
      <w:r>
        <w:rPr>
          <w:color w:val="231F20"/>
        </w:rPr>
        <w:t>system</w:t>
      </w:r>
      <w:r>
        <w:rPr>
          <w:color w:val="231F20"/>
          <w:spacing w:val="-17"/>
        </w:rPr>
        <w:t> </w:t>
      </w:r>
      <w:r>
        <w:rPr>
          <w:color w:val="231F20"/>
        </w:rPr>
        <w:t>for</w:t>
      </w:r>
      <w:r>
        <w:rPr>
          <w:color w:val="231F20"/>
          <w:spacing w:val="-16"/>
        </w:rPr>
        <w:t> </w:t>
      </w:r>
      <w:r>
        <w:rPr>
          <w:color w:val="231F20"/>
        </w:rPr>
        <w:t>meeting</w:t>
      </w:r>
      <w:r>
        <w:rPr>
          <w:color w:val="231F20"/>
          <w:spacing w:val="-17"/>
        </w:rPr>
        <w:t> </w:t>
      </w:r>
      <w:r>
        <w:rPr>
          <w:color w:val="231F20"/>
        </w:rPr>
        <w:t>existing</w:t>
      </w:r>
      <w:r>
        <w:rPr>
          <w:color w:val="231F20"/>
          <w:spacing w:val="-16"/>
        </w:rPr>
        <w:t> </w:t>
      </w:r>
      <w:r>
        <w:rPr>
          <w:color w:val="231F20"/>
        </w:rPr>
        <w:t>demand,</w:t>
      </w:r>
      <w:r>
        <w:rPr>
          <w:color w:val="231F20"/>
          <w:spacing w:val="-17"/>
        </w:rPr>
        <w:t> </w:t>
      </w:r>
      <w:r>
        <w:rPr>
          <w:color w:val="231F20"/>
        </w:rPr>
        <w:t>both domestic</w:t>
      </w:r>
      <w:r>
        <w:rPr>
          <w:color w:val="231F20"/>
          <w:spacing w:val="-11"/>
        </w:rPr>
        <w:t> </w:t>
      </w:r>
      <w:r>
        <w:rPr>
          <w:color w:val="231F20"/>
        </w:rPr>
        <w:t>and</w:t>
      </w:r>
      <w:r>
        <w:rPr>
          <w:color w:val="231F20"/>
          <w:spacing w:val="-11"/>
        </w:rPr>
        <w:t> </w:t>
      </w:r>
      <w:r>
        <w:rPr>
          <w:color w:val="231F20"/>
        </w:rPr>
        <w:t>foreign.</w:t>
      </w:r>
      <w:r>
        <w:rPr>
          <w:color w:val="231F20"/>
          <w:spacing w:val="-11"/>
        </w:rPr>
        <w:t> </w:t>
      </w:r>
      <w:r>
        <w:rPr>
          <w:color w:val="231F20"/>
        </w:rPr>
        <w:t>Also,</w:t>
      </w:r>
      <w:r>
        <w:rPr>
          <w:color w:val="231F20"/>
          <w:spacing w:val="-11"/>
        </w:rPr>
        <w:t> </w:t>
      </w:r>
      <w:r>
        <w:rPr>
          <w:color w:val="231F20"/>
        </w:rPr>
        <w:t>the</w:t>
      </w:r>
      <w:r>
        <w:rPr>
          <w:color w:val="231F20"/>
          <w:spacing w:val="-12"/>
        </w:rPr>
        <w:t> </w:t>
      </w:r>
      <w:r>
        <w:rPr>
          <w:color w:val="231F20"/>
        </w:rPr>
        <w:t>inability</w:t>
      </w:r>
      <w:r>
        <w:rPr>
          <w:color w:val="231F20"/>
          <w:spacing w:val="-11"/>
        </w:rPr>
        <w:t> </w:t>
      </w:r>
      <w:r>
        <w:rPr>
          <w:color w:val="231F20"/>
        </w:rPr>
        <w:t>in many</w:t>
      </w:r>
      <w:r>
        <w:rPr>
          <w:color w:val="231F20"/>
          <w:spacing w:val="-8"/>
        </w:rPr>
        <w:t> </w:t>
      </w:r>
      <w:r>
        <w:rPr>
          <w:color w:val="231F20"/>
        </w:rPr>
        <w:t>cases</w:t>
      </w:r>
      <w:r>
        <w:rPr>
          <w:color w:val="231F20"/>
          <w:spacing w:val="-8"/>
        </w:rPr>
        <w:t> </w:t>
      </w:r>
      <w:r>
        <w:rPr>
          <w:color w:val="231F20"/>
        </w:rPr>
        <w:t>to</w:t>
      </w:r>
      <w:r>
        <w:rPr>
          <w:color w:val="231F20"/>
          <w:spacing w:val="-8"/>
        </w:rPr>
        <w:t> </w:t>
      </w:r>
      <w:r>
        <w:rPr>
          <w:color w:val="231F20"/>
        </w:rPr>
        <w:t>enter</w:t>
      </w:r>
      <w:r>
        <w:rPr>
          <w:color w:val="231F20"/>
          <w:spacing w:val="-8"/>
        </w:rPr>
        <w:t> </w:t>
      </w:r>
      <w:r>
        <w:rPr>
          <w:color w:val="231F20"/>
        </w:rPr>
        <w:t>into</w:t>
      </w:r>
      <w:r>
        <w:rPr>
          <w:color w:val="231F20"/>
          <w:spacing w:val="-8"/>
        </w:rPr>
        <w:t> </w:t>
      </w:r>
      <w:r>
        <w:rPr>
          <w:color w:val="231F20"/>
        </w:rPr>
        <w:t>agreements</w:t>
      </w:r>
      <w:r>
        <w:rPr>
          <w:color w:val="231F20"/>
          <w:spacing w:val="-8"/>
        </w:rPr>
        <w:t> </w:t>
      </w:r>
      <w:r>
        <w:rPr>
          <w:color w:val="231F20"/>
        </w:rPr>
        <w:t>with </w:t>
      </w:r>
      <w:r>
        <w:rPr>
          <w:color w:val="231F20"/>
          <w:spacing w:val="-2"/>
        </w:rPr>
        <w:t>shipping</w:t>
      </w:r>
      <w:r>
        <w:rPr>
          <w:color w:val="231F20"/>
          <w:spacing w:val="-15"/>
        </w:rPr>
        <w:t> </w:t>
      </w:r>
      <w:r>
        <w:rPr>
          <w:color w:val="231F20"/>
          <w:spacing w:val="-2"/>
        </w:rPr>
        <w:t>companies</w:t>
      </w:r>
      <w:r>
        <w:rPr>
          <w:color w:val="231F20"/>
          <w:spacing w:val="-14"/>
        </w:rPr>
        <w:t> </w:t>
      </w:r>
      <w:r>
        <w:rPr>
          <w:color w:val="231F20"/>
          <w:spacing w:val="-2"/>
        </w:rPr>
        <w:t>impeded</w:t>
      </w:r>
      <w:r>
        <w:rPr>
          <w:color w:val="231F20"/>
          <w:spacing w:val="-15"/>
        </w:rPr>
        <w:t> </w:t>
      </w:r>
      <w:r>
        <w:rPr>
          <w:color w:val="231F20"/>
          <w:spacing w:val="-2"/>
        </w:rPr>
        <w:t>the</w:t>
      </w:r>
      <w:r>
        <w:rPr>
          <w:color w:val="231F20"/>
          <w:spacing w:val="-14"/>
        </w:rPr>
        <w:t> </w:t>
      </w:r>
      <w:r>
        <w:rPr>
          <w:color w:val="231F20"/>
          <w:spacing w:val="-2"/>
        </w:rPr>
        <w:t>arrival</w:t>
      </w:r>
      <w:r>
        <w:rPr>
          <w:color w:val="231F20"/>
          <w:spacing w:val="-14"/>
        </w:rPr>
        <w:t> </w:t>
      </w:r>
      <w:r>
        <w:rPr>
          <w:color w:val="231F20"/>
          <w:spacing w:val="-2"/>
        </w:rPr>
        <w:t>of </w:t>
      </w:r>
      <w:r>
        <w:rPr>
          <w:color w:val="231F20"/>
        </w:rPr>
        <w:t>prepaid supplies.</w:t>
      </w:r>
    </w:p>
    <w:p>
      <w:pPr>
        <w:pStyle w:val="BodyText"/>
        <w:spacing w:before="164"/>
        <w:ind w:left="1133" w:right="2"/>
      </w:pPr>
      <w:r>
        <w:rPr>
          <w:color w:val="231F20"/>
          <w:spacing w:val="-4"/>
        </w:rPr>
        <w:t>Other</w:t>
      </w:r>
      <w:r>
        <w:rPr>
          <w:color w:val="231F20"/>
          <w:spacing w:val="-13"/>
        </w:rPr>
        <w:t> </w:t>
      </w:r>
      <w:r>
        <w:rPr>
          <w:color w:val="231F20"/>
          <w:spacing w:val="-4"/>
        </w:rPr>
        <w:t>difficulties</w:t>
      </w:r>
      <w:r>
        <w:rPr>
          <w:color w:val="231F20"/>
          <w:spacing w:val="-12"/>
        </w:rPr>
        <w:t> </w:t>
      </w:r>
      <w:r>
        <w:rPr>
          <w:color w:val="231F20"/>
          <w:spacing w:val="-4"/>
        </w:rPr>
        <w:t>included</w:t>
      </w:r>
      <w:r>
        <w:rPr>
          <w:color w:val="231F20"/>
          <w:spacing w:val="-13"/>
        </w:rPr>
        <w:t> </w:t>
      </w:r>
      <w:r>
        <w:rPr>
          <w:color w:val="231F20"/>
          <w:spacing w:val="-4"/>
        </w:rPr>
        <w:t>not</w:t>
      </w:r>
      <w:r>
        <w:rPr>
          <w:color w:val="231F20"/>
          <w:spacing w:val="-12"/>
        </w:rPr>
        <w:t> </w:t>
      </w:r>
      <w:r>
        <w:rPr>
          <w:color w:val="231F20"/>
          <w:spacing w:val="-4"/>
        </w:rPr>
        <w:t>being</w:t>
      </w:r>
      <w:r>
        <w:rPr>
          <w:color w:val="231F20"/>
          <w:spacing w:val="-13"/>
        </w:rPr>
        <w:t> </w:t>
      </w:r>
      <w:r>
        <w:rPr>
          <w:color w:val="231F20"/>
          <w:spacing w:val="-4"/>
        </w:rPr>
        <w:t>able</w:t>
      </w:r>
      <w:r>
        <w:rPr>
          <w:color w:val="231F20"/>
          <w:spacing w:val="-12"/>
        </w:rPr>
        <w:t> </w:t>
      </w:r>
      <w:r>
        <w:rPr>
          <w:color w:val="231F20"/>
          <w:spacing w:val="-4"/>
        </w:rPr>
        <w:t>to </w:t>
      </w:r>
      <w:r>
        <w:rPr>
          <w:color w:val="231F20"/>
          <w:spacing w:val="-2"/>
        </w:rPr>
        <w:t>obtain</w:t>
      </w:r>
      <w:r>
        <w:rPr>
          <w:color w:val="231F20"/>
          <w:spacing w:val="-13"/>
        </w:rPr>
        <w:t> </w:t>
      </w:r>
      <w:r>
        <w:rPr>
          <w:color w:val="231F20"/>
          <w:spacing w:val="-2"/>
        </w:rPr>
        <w:t>veterinary</w:t>
      </w:r>
      <w:r>
        <w:rPr>
          <w:color w:val="231F20"/>
          <w:spacing w:val="-13"/>
        </w:rPr>
        <w:t> </w:t>
      </w:r>
      <w:r>
        <w:rPr>
          <w:color w:val="231F20"/>
          <w:spacing w:val="-2"/>
        </w:rPr>
        <w:t>supplies</w:t>
      </w:r>
      <w:r>
        <w:rPr>
          <w:color w:val="231F20"/>
          <w:spacing w:val="-13"/>
        </w:rPr>
        <w:t> </w:t>
      </w:r>
      <w:r>
        <w:rPr>
          <w:color w:val="231F20"/>
          <w:spacing w:val="-2"/>
        </w:rPr>
        <w:t>for</w:t>
      </w:r>
      <w:r>
        <w:rPr>
          <w:color w:val="231F20"/>
          <w:spacing w:val="-13"/>
        </w:rPr>
        <w:t> </w:t>
      </w:r>
      <w:r>
        <w:rPr>
          <w:color w:val="231F20"/>
          <w:spacing w:val="-2"/>
        </w:rPr>
        <w:t>the</w:t>
      </w:r>
      <w:r>
        <w:rPr>
          <w:color w:val="231F20"/>
          <w:spacing w:val="-13"/>
        </w:rPr>
        <w:t> </w:t>
      </w:r>
      <w:r>
        <w:rPr>
          <w:color w:val="231F20"/>
          <w:spacing w:val="-2"/>
        </w:rPr>
        <w:t>country’s </w:t>
      </w:r>
      <w:r>
        <w:rPr>
          <w:color w:val="231F20"/>
        </w:rPr>
        <w:t>livestock,</w:t>
      </w:r>
      <w:r>
        <w:rPr>
          <w:color w:val="231F20"/>
          <w:spacing w:val="-2"/>
        </w:rPr>
        <w:t> </w:t>
      </w:r>
      <w:r>
        <w:rPr>
          <w:color w:val="231F20"/>
        </w:rPr>
        <w:t>formerly</w:t>
      </w:r>
      <w:r>
        <w:rPr>
          <w:color w:val="231F20"/>
          <w:spacing w:val="-2"/>
        </w:rPr>
        <w:t> </w:t>
      </w:r>
      <w:r>
        <w:rPr>
          <w:color w:val="231F20"/>
        </w:rPr>
        <w:t>mostly</w:t>
      </w:r>
      <w:r>
        <w:rPr>
          <w:color w:val="231F20"/>
          <w:spacing w:val="-2"/>
        </w:rPr>
        <w:t> </w:t>
      </w:r>
      <w:r>
        <w:rPr>
          <w:color w:val="231F20"/>
        </w:rPr>
        <w:t>supplied</w:t>
      </w:r>
      <w:r>
        <w:rPr>
          <w:color w:val="231F20"/>
          <w:spacing w:val="-2"/>
        </w:rPr>
        <w:t> </w:t>
      </w:r>
      <w:r>
        <w:rPr>
          <w:color w:val="231F20"/>
        </w:rPr>
        <w:t>by</w:t>
      </w:r>
      <w:r>
        <w:rPr>
          <w:color w:val="231F20"/>
          <w:spacing w:val="-2"/>
        </w:rPr>
        <w:t> </w:t>
      </w:r>
      <w:r>
        <w:rPr>
          <w:color w:val="231F20"/>
        </w:rPr>
        <w:t>the German company Bayer. Following the </w:t>
      </w:r>
      <w:r>
        <w:rPr>
          <w:color w:val="231F20"/>
          <w:spacing w:val="-8"/>
        </w:rPr>
        <w:t>latter’s</w:t>
      </w:r>
      <w:r>
        <w:rPr>
          <w:color w:val="231F20"/>
          <w:spacing w:val="-9"/>
        </w:rPr>
        <w:t> </w:t>
      </w:r>
      <w:r>
        <w:rPr>
          <w:color w:val="231F20"/>
          <w:spacing w:val="-8"/>
        </w:rPr>
        <w:t>merger with</w:t>
      </w:r>
      <w:r>
        <w:rPr>
          <w:color w:val="231F20"/>
          <w:spacing w:val="-9"/>
        </w:rPr>
        <w:t> </w:t>
      </w:r>
      <w:r>
        <w:rPr>
          <w:color w:val="231F20"/>
          <w:spacing w:val="-8"/>
        </w:rPr>
        <w:t>an U.S.</w:t>
      </w:r>
      <w:r>
        <w:rPr>
          <w:color w:val="231F20"/>
          <w:spacing w:val="-9"/>
        </w:rPr>
        <w:t> </w:t>
      </w:r>
      <w:r>
        <w:rPr>
          <w:color w:val="231F20"/>
          <w:spacing w:val="-8"/>
        </w:rPr>
        <w:t>consortium, it</w:t>
      </w:r>
      <w:r>
        <w:rPr>
          <w:color w:val="231F20"/>
          <w:spacing w:val="-9"/>
        </w:rPr>
        <w:t> </w:t>
      </w:r>
      <w:r>
        <w:rPr>
          <w:color w:val="231F20"/>
          <w:spacing w:val="-8"/>
        </w:rPr>
        <w:t>has </w:t>
      </w:r>
      <w:r>
        <w:rPr>
          <w:color w:val="231F20"/>
          <w:spacing w:val="-2"/>
        </w:rPr>
        <w:t>severed</w:t>
      </w:r>
      <w:r>
        <w:rPr>
          <w:color w:val="231F20"/>
          <w:spacing w:val="-15"/>
        </w:rPr>
        <w:t> </w:t>
      </w:r>
      <w:r>
        <w:rPr>
          <w:color w:val="231F20"/>
          <w:spacing w:val="-2"/>
        </w:rPr>
        <w:t>commercial</w:t>
      </w:r>
      <w:r>
        <w:rPr>
          <w:color w:val="231F20"/>
          <w:spacing w:val="-15"/>
        </w:rPr>
        <w:t> </w:t>
      </w:r>
      <w:r>
        <w:rPr>
          <w:color w:val="231F20"/>
          <w:spacing w:val="-2"/>
        </w:rPr>
        <w:t>relations</w:t>
      </w:r>
      <w:r>
        <w:rPr>
          <w:color w:val="231F20"/>
          <w:spacing w:val="-15"/>
        </w:rPr>
        <w:t> </w:t>
      </w:r>
      <w:r>
        <w:rPr>
          <w:color w:val="231F20"/>
          <w:spacing w:val="-2"/>
        </w:rPr>
        <w:t>with</w:t>
      </w:r>
      <w:r>
        <w:rPr>
          <w:color w:val="231F20"/>
          <w:spacing w:val="-15"/>
        </w:rPr>
        <w:t> </w:t>
      </w:r>
      <w:r>
        <w:rPr>
          <w:color w:val="231F20"/>
          <w:spacing w:val="-2"/>
        </w:rPr>
        <w:t>Cuba.</w:t>
      </w:r>
    </w:p>
    <w:p>
      <w:pPr>
        <w:pStyle w:val="BodyText"/>
        <w:spacing w:before="165"/>
        <w:ind w:left="1133"/>
      </w:pPr>
      <w:r>
        <w:rPr>
          <w:color w:val="231F20"/>
        </w:rPr>
        <w:t>In the period under review, the Cuban company</w:t>
      </w:r>
      <w:r>
        <w:rPr>
          <w:color w:val="231F20"/>
          <w:spacing w:val="-15"/>
        </w:rPr>
        <w:t> </w:t>
      </w:r>
      <w:r>
        <w:rPr>
          <w:color w:val="231F20"/>
        </w:rPr>
        <w:t>Alimport</w:t>
      </w:r>
      <w:r>
        <w:rPr>
          <w:color w:val="231F20"/>
          <w:spacing w:val="-15"/>
        </w:rPr>
        <w:t> </w:t>
      </w:r>
      <w:r>
        <w:rPr>
          <w:color w:val="231F20"/>
        </w:rPr>
        <w:t>reported</w:t>
      </w:r>
      <w:r>
        <w:rPr>
          <w:color w:val="231F20"/>
          <w:spacing w:val="-15"/>
        </w:rPr>
        <w:t> </w:t>
      </w:r>
      <w:r>
        <w:rPr>
          <w:color w:val="231F20"/>
        </w:rPr>
        <w:t>losses</w:t>
      </w:r>
      <w:r>
        <w:rPr>
          <w:color w:val="231F20"/>
          <w:spacing w:val="-15"/>
        </w:rPr>
        <w:t> </w:t>
      </w:r>
      <w:r>
        <w:rPr>
          <w:color w:val="231F20"/>
        </w:rPr>
        <w:t>of</w:t>
      </w:r>
      <w:r>
        <w:rPr>
          <w:color w:val="231F20"/>
          <w:spacing w:val="-15"/>
        </w:rPr>
        <w:t> </w:t>
      </w:r>
      <w:r>
        <w:rPr>
          <w:color w:val="231F20"/>
        </w:rPr>
        <w:t>USD 35,200,000 representing 90% of the total losses incurred by Grupo Empresarial del Comercio</w:t>
      </w:r>
      <w:r>
        <w:rPr>
          <w:color w:val="231F20"/>
          <w:spacing w:val="-7"/>
        </w:rPr>
        <w:t> </w:t>
      </w:r>
      <w:r>
        <w:rPr>
          <w:color w:val="231F20"/>
        </w:rPr>
        <w:t>Exterior</w:t>
      </w:r>
      <w:r>
        <w:rPr>
          <w:color w:val="231F20"/>
          <w:spacing w:val="-7"/>
        </w:rPr>
        <w:t> </w:t>
      </w:r>
      <w:r>
        <w:rPr>
          <w:color w:val="231F20"/>
        </w:rPr>
        <w:t>de</w:t>
      </w:r>
      <w:r>
        <w:rPr>
          <w:color w:val="231F20"/>
          <w:spacing w:val="-7"/>
        </w:rPr>
        <w:t> </w:t>
      </w:r>
      <w:r>
        <w:rPr>
          <w:color w:val="231F20"/>
        </w:rPr>
        <w:t>Cuba</w:t>
      </w:r>
      <w:r>
        <w:rPr>
          <w:color w:val="231F20"/>
          <w:spacing w:val="-7"/>
        </w:rPr>
        <w:t> </w:t>
      </w:r>
      <w:r>
        <w:rPr>
          <w:color w:val="231F20"/>
        </w:rPr>
        <w:t>(GECOMEX).</w:t>
      </w:r>
    </w:p>
    <w:p>
      <w:pPr>
        <w:pStyle w:val="BodyText"/>
        <w:spacing w:before="164"/>
        <w:ind w:left="1133" w:right="2"/>
      </w:pPr>
      <w:r>
        <w:rPr>
          <w:color w:val="231F20"/>
        </w:rPr>
        <w:t>This</w:t>
      </w:r>
      <w:r>
        <w:rPr>
          <w:color w:val="231F20"/>
          <w:spacing w:val="-15"/>
        </w:rPr>
        <w:t> </w:t>
      </w:r>
      <w:r>
        <w:rPr>
          <w:color w:val="231F20"/>
        </w:rPr>
        <w:t>situation</w:t>
      </w:r>
      <w:r>
        <w:rPr>
          <w:color w:val="231F20"/>
          <w:spacing w:val="-15"/>
        </w:rPr>
        <w:t> </w:t>
      </w:r>
      <w:r>
        <w:rPr>
          <w:color w:val="231F20"/>
        </w:rPr>
        <w:t>was</w:t>
      </w:r>
      <w:r>
        <w:rPr>
          <w:color w:val="231F20"/>
          <w:spacing w:val="-15"/>
        </w:rPr>
        <w:t> </w:t>
      </w:r>
      <w:r>
        <w:rPr>
          <w:color w:val="231F20"/>
        </w:rPr>
        <w:t>largely</w:t>
      </w:r>
      <w:r>
        <w:rPr>
          <w:color w:val="231F20"/>
          <w:spacing w:val="-15"/>
        </w:rPr>
        <w:t> </w:t>
      </w:r>
      <w:r>
        <w:rPr>
          <w:color w:val="231F20"/>
        </w:rPr>
        <w:t>due</w:t>
      </w:r>
      <w:r>
        <w:rPr>
          <w:color w:val="231F20"/>
          <w:spacing w:val="-15"/>
        </w:rPr>
        <w:t> </w:t>
      </w:r>
      <w:r>
        <w:rPr>
          <w:color w:val="231F20"/>
        </w:rPr>
        <w:t>to</w:t>
      </w:r>
      <w:r>
        <w:rPr>
          <w:color w:val="231F20"/>
          <w:spacing w:val="-15"/>
        </w:rPr>
        <w:t> </w:t>
      </w:r>
      <w:r>
        <w:rPr>
          <w:color w:val="231F20"/>
        </w:rPr>
        <w:t>refusal</w:t>
      </w:r>
      <w:r>
        <w:rPr>
          <w:color w:val="231F20"/>
          <w:spacing w:val="-15"/>
        </w:rPr>
        <w:t> </w:t>
      </w:r>
      <w:r>
        <w:rPr>
          <w:color w:val="231F20"/>
        </w:rPr>
        <w:t>by dozens of banks to process payments to </w:t>
      </w:r>
      <w:r>
        <w:rPr>
          <w:color w:val="231F20"/>
          <w:spacing w:val="-6"/>
        </w:rPr>
        <w:t>the firm’s traditional suppliers of oats, grain, </w:t>
      </w:r>
      <w:r>
        <w:rPr>
          <w:color w:val="231F20"/>
        </w:rPr>
        <w:t>cocoa,</w:t>
      </w:r>
      <w:r>
        <w:rPr>
          <w:color w:val="231F20"/>
          <w:spacing w:val="-1"/>
        </w:rPr>
        <w:t> </w:t>
      </w:r>
      <w:r>
        <w:rPr>
          <w:color w:val="231F20"/>
        </w:rPr>
        <w:t>pig</w:t>
      </w:r>
      <w:r>
        <w:rPr>
          <w:color w:val="231F20"/>
          <w:spacing w:val="-1"/>
        </w:rPr>
        <w:t> </w:t>
      </w:r>
      <w:r>
        <w:rPr>
          <w:color w:val="231F20"/>
        </w:rPr>
        <w:t>feed</w:t>
      </w:r>
      <w:r>
        <w:rPr>
          <w:color w:val="231F20"/>
          <w:spacing w:val="-1"/>
        </w:rPr>
        <w:t> </w:t>
      </w:r>
      <w:r>
        <w:rPr>
          <w:color w:val="231F20"/>
        </w:rPr>
        <w:t>and</w:t>
      </w:r>
      <w:r>
        <w:rPr>
          <w:color w:val="231F20"/>
          <w:spacing w:val="-1"/>
        </w:rPr>
        <w:t> </w:t>
      </w:r>
      <w:r>
        <w:rPr>
          <w:color w:val="231F20"/>
        </w:rPr>
        <w:t>other</w:t>
      </w:r>
      <w:r>
        <w:rPr>
          <w:color w:val="231F20"/>
          <w:spacing w:val="-1"/>
        </w:rPr>
        <w:t> </w:t>
      </w:r>
      <w:r>
        <w:rPr>
          <w:color w:val="231F20"/>
        </w:rPr>
        <w:t>feeds.</w:t>
      </w:r>
    </w:p>
    <w:p>
      <w:pPr>
        <w:pStyle w:val="BodyText"/>
        <w:spacing w:before="163"/>
        <w:ind w:left="1133"/>
      </w:pPr>
      <w:r>
        <w:rPr>
          <w:color w:val="231F20"/>
        </w:rPr>
        <w:t>Application</w:t>
      </w:r>
      <w:r>
        <w:rPr>
          <w:color w:val="231F20"/>
          <w:spacing w:val="-17"/>
        </w:rPr>
        <w:t> </w:t>
      </w:r>
      <w:r>
        <w:rPr>
          <w:color w:val="231F20"/>
        </w:rPr>
        <w:t>of</w:t>
      </w:r>
      <w:r>
        <w:rPr>
          <w:color w:val="231F20"/>
          <w:spacing w:val="-16"/>
        </w:rPr>
        <w:t> </w:t>
      </w:r>
      <w:r>
        <w:rPr>
          <w:color w:val="231F20"/>
        </w:rPr>
        <w:t>Title</w:t>
      </w:r>
      <w:r>
        <w:rPr>
          <w:color w:val="231F20"/>
          <w:spacing w:val="-17"/>
        </w:rPr>
        <w:t> </w:t>
      </w:r>
      <w:r>
        <w:rPr>
          <w:color w:val="231F20"/>
        </w:rPr>
        <w:t>III</w:t>
      </w:r>
      <w:r>
        <w:rPr>
          <w:color w:val="231F20"/>
          <w:spacing w:val="-16"/>
        </w:rPr>
        <w:t> </w:t>
      </w:r>
      <w:r>
        <w:rPr>
          <w:color w:val="231F20"/>
        </w:rPr>
        <w:t>of</w:t>
      </w:r>
      <w:r>
        <w:rPr>
          <w:color w:val="231F20"/>
          <w:spacing w:val="-17"/>
        </w:rPr>
        <w:t> </w:t>
      </w:r>
      <w:r>
        <w:rPr>
          <w:color w:val="231F20"/>
        </w:rPr>
        <w:t>the</w:t>
      </w:r>
      <w:r>
        <w:rPr>
          <w:color w:val="231F20"/>
          <w:spacing w:val="-16"/>
        </w:rPr>
        <w:t> </w:t>
      </w:r>
      <w:r>
        <w:rPr>
          <w:color w:val="231F20"/>
        </w:rPr>
        <w:t>Helms-Burton Act</w:t>
      </w:r>
      <w:r>
        <w:rPr>
          <w:color w:val="231F20"/>
          <w:spacing w:val="-14"/>
        </w:rPr>
        <w:t> </w:t>
      </w:r>
      <w:r>
        <w:rPr>
          <w:color w:val="231F20"/>
        </w:rPr>
        <w:t>was</w:t>
      </w:r>
      <w:r>
        <w:rPr>
          <w:color w:val="231F20"/>
          <w:spacing w:val="-14"/>
        </w:rPr>
        <w:t> </w:t>
      </w:r>
      <w:r>
        <w:rPr>
          <w:color w:val="231F20"/>
        </w:rPr>
        <w:t>also</w:t>
      </w:r>
      <w:r>
        <w:rPr>
          <w:color w:val="231F20"/>
          <w:spacing w:val="-14"/>
        </w:rPr>
        <w:t> </w:t>
      </w:r>
      <w:r>
        <w:rPr>
          <w:color w:val="231F20"/>
        </w:rPr>
        <w:t>the</w:t>
      </w:r>
      <w:r>
        <w:rPr>
          <w:color w:val="231F20"/>
          <w:spacing w:val="-14"/>
        </w:rPr>
        <w:t> </w:t>
      </w:r>
      <w:r>
        <w:rPr>
          <w:color w:val="231F20"/>
        </w:rPr>
        <w:t>cause</w:t>
      </w:r>
      <w:r>
        <w:rPr>
          <w:color w:val="231F20"/>
          <w:spacing w:val="-14"/>
        </w:rPr>
        <w:t> </w:t>
      </w:r>
      <w:r>
        <w:rPr>
          <w:color w:val="231F20"/>
        </w:rPr>
        <w:t>of</w:t>
      </w:r>
      <w:r>
        <w:rPr>
          <w:color w:val="231F20"/>
          <w:spacing w:val="-14"/>
        </w:rPr>
        <w:t> </w:t>
      </w:r>
      <w:r>
        <w:rPr>
          <w:color w:val="231F20"/>
        </w:rPr>
        <w:t>a</w:t>
      </w:r>
      <w:r>
        <w:rPr>
          <w:color w:val="231F20"/>
          <w:spacing w:val="-14"/>
        </w:rPr>
        <w:t> </w:t>
      </w:r>
      <w:r>
        <w:rPr>
          <w:color w:val="231F20"/>
        </w:rPr>
        <w:t>decision</w:t>
      </w:r>
      <w:r>
        <w:rPr>
          <w:color w:val="231F20"/>
          <w:spacing w:val="-14"/>
        </w:rPr>
        <w:t> </w:t>
      </w:r>
      <w:r>
        <w:rPr>
          <w:color w:val="231F20"/>
        </w:rPr>
        <w:t>by</w:t>
      </w:r>
      <w:r>
        <w:rPr>
          <w:color w:val="231F20"/>
          <w:spacing w:val="-14"/>
        </w:rPr>
        <w:t> </w:t>
      </w:r>
      <w:r>
        <w:rPr>
          <w:color w:val="231F20"/>
        </w:rPr>
        <w:t>the Canadian company Cypress View Land to terminate</w:t>
      </w:r>
      <w:r>
        <w:rPr>
          <w:color w:val="231F20"/>
          <w:spacing w:val="-17"/>
        </w:rPr>
        <w:t> </w:t>
      </w:r>
      <w:r>
        <w:rPr>
          <w:color w:val="231F20"/>
        </w:rPr>
        <w:t>a</w:t>
      </w:r>
      <w:r>
        <w:rPr>
          <w:color w:val="231F20"/>
          <w:spacing w:val="-16"/>
        </w:rPr>
        <w:t> </w:t>
      </w:r>
      <w:r>
        <w:rPr>
          <w:color w:val="231F20"/>
        </w:rPr>
        <w:t>grains</w:t>
      </w:r>
      <w:r>
        <w:rPr>
          <w:color w:val="231F20"/>
          <w:spacing w:val="-17"/>
        </w:rPr>
        <w:t> </w:t>
      </w:r>
      <w:r>
        <w:rPr>
          <w:color w:val="231F20"/>
        </w:rPr>
        <w:t>production</w:t>
      </w:r>
      <w:r>
        <w:rPr>
          <w:color w:val="231F20"/>
          <w:spacing w:val="-16"/>
        </w:rPr>
        <w:t> </w:t>
      </w:r>
      <w:r>
        <w:rPr>
          <w:color w:val="231F20"/>
        </w:rPr>
        <w:t>project</w:t>
      </w:r>
      <w:r>
        <w:rPr>
          <w:color w:val="231F20"/>
          <w:spacing w:val="-17"/>
        </w:rPr>
        <w:t> </w:t>
      </w:r>
      <w:r>
        <w:rPr>
          <w:color w:val="231F20"/>
        </w:rPr>
        <w:t>with </w:t>
      </w:r>
      <w:r>
        <w:rPr>
          <w:color w:val="231F20"/>
          <w:spacing w:val="-8"/>
        </w:rPr>
        <w:t>Cuba’s</w:t>
      </w:r>
      <w:r>
        <w:rPr>
          <w:color w:val="231F20"/>
          <w:spacing w:val="-9"/>
        </w:rPr>
        <w:t> </w:t>
      </w:r>
      <w:r>
        <w:rPr>
          <w:color w:val="231F20"/>
          <w:spacing w:val="-8"/>
        </w:rPr>
        <w:t>Genetic Engineering</w:t>
      </w:r>
      <w:r>
        <w:rPr>
          <w:color w:val="231F20"/>
          <w:spacing w:val="-9"/>
        </w:rPr>
        <w:t> </w:t>
      </w:r>
      <w:r>
        <w:rPr>
          <w:color w:val="231F20"/>
          <w:spacing w:val="-8"/>
        </w:rPr>
        <w:t>&amp; Biotechnology </w:t>
      </w:r>
      <w:r>
        <w:rPr>
          <w:color w:val="231F20"/>
        </w:rPr>
        <w:t>Center (CIGB), stating that the company </w:t>
      </w:r>
      <w:r>
        <w:rPr>
          <w:color w:val="231F20"/>
          <w:spacing w:val="-2"/>
        </w:rPr>
        <w:t>and</w:t>
      </w:r>
      <w:r>
        <w:rPr>
          <w:color w:val="231F20"/>
          <w:spacing w:val="-15"/>
        </w:rPr>
        <w:t> </w:t>
      </w:r>
      <w:r>
        <w:rPr>
          <w:color w:val="231F20"/>
          <w:spacing w:val="-2"/>
        </w:rPr>
        <w:t>its</w:t>
      </w:r>
      <w:r>
        <w:rPr>
          <w:color w:val="231F20"/>
          <w:spacing w:val="-14"/>
        </w:rPr>
        <w:t> </w:t>
      </w:r>
      <w:r>
        <w:rPr>
          <w:color w:val="231F20"/>
          <w:spacing w:val="-2"/>
        </w:rPr>
        <w:t>members</w:t>
      </w:r>
      <w:r>
        <w:rPr>
          <w:color w:val="231F20"/>
          <w:spacing w:val="-15"/>
        </w:rPr>
        <w:t> </w:t>
      </w:r>
      <w:r>
        <w:rPr>
          <w:color w:val="231F20"/>
          <w:spacing w:val="-2"/>
        </w:rPr>
        <w:t>could</w:t>
      </w:r>
      <w:r>
        <w:rPr>
          <w:color w:val="231F20"/>
          <w:spacing w:val="-14"/>
        </w:rPr>
        <w:t> </w:t>
      </w:r>
      <w:r>
        <w:rPr>
          <w:color w:val="231F20"/>
          <w:spacing w:val="-2"/>
        </w:rPr>
        <w:t>be</w:t>
      </w:r>
      <w:r>
        <w:rPr>
          <w:color w:val="231F20"/>
          <w:spacing w:val="-15"/>
        </w:rPr>
        <w:t> </w:t>
      </w:r>
      <w:r>
        <w:rPr>
          <w:color w:val="231F20"/>
          <w:spacing w:val="-2"/>
        </w:rPr>
        <w:t>exposed</w:t>
      </w:r>
      <w:r>
        <w:rPr>
          <w:color w:val="231F20"/>
          <w:spacing w:val="-14"/>
        </w:rPr>
        <w:t> </w:t>
      </w:r>
      <w:r>
        <w:rPr>
          <w:color w:val="231F20"/>
          <w:spacing w:val="-2"/>
        </w:rPr>
        <w:t>to</w:t>
      </w:r>
      <w:r>
        <w:rPr>
          <w:color w:val="231F20"/>
          <w:spacing w:val="-15"/>
        </w:rPr>
        <w:t> </w:t>
      </w:r>
      <w:r>
        <w:rPr>
          <w:color w:val="231F20"/>
          <w:spacing w:val="-2"/>
        </w:rPr>
        <w:t>legal </w:t>
      </w:r>
      <w:r>
        <w:rPr>
          <w:color w:val="231F20"/>
        </w:rPr>
        <w:t>action, since they conducted agricultural operations</w:t>
      </w:r>
      <w:r>
        <w:rPr>
          <w:color w:val="231F20"/>
          <w:spacing w:val="-3"/>
        </w:rPr>
        <w:t> </w:t>
      </w:r>
      <w:r>
        <w:rPr>
          <w:color w:val="231F20"/>
        </w:rPr>
        <w:t>on</w:t>
      </w:r>
      <w:r>
        <w:rPr>
          <w:color w:val="231F20"/>
          <w:spacing w:val="-3"/>
        </w:rPr>
        <w:t> </w:t>
      </w:r>
      <w:r>
        <w:rPr>
          <w:color w:val="231F20"/>
        </w:rPr>
        <w:t>U.S.</w:t>
      </w:r>
      <w:r>
        <w:rPr>
          <w:color w:val="231F20"/>
          <w:spacing w:val="-3"/>
        </w:rPr>
        <w:t> </w:t>
      </w:r>
      <w:r>
        <w:rPr>
          <w:color w:val="231F20"/>
        </w:rPr>
        <w:t>soil.</w:t>
      </w:r>
      <w:r>
        <w:rPr>
          <w:color w:val="231F20"/>
          <w:spacing w:val="-3"/>
        </w:rPr>
        <w:t> </w:t>
      </w:r>
      <w:r>
        <w:rPr>
          <w:color w:val="231F20"/>
        </w:rPr>
        <w:t>The</w:t>
      </w:r>
      <w:r>
        <w:rPr>
          <w:color w:val="231F20"/>
          <w:spacing w:val="-3"/>
        </w:rPr>
        <w:t> </w:t>
      </w:r>
      <w:r>
        <w:rPr>
          <w:color w:val="231F20"/>
        </w:rPr>
        <w:t>ability</w:t>
      </w:r>
      <w:r>
        <w:rPr>
          <w:color w:val="231F20"/>
          <w:spacing w:val="-3"/>
        </w:rPr>
        <w:t> </w:t>
      </w:r>
      <w:r>
        <w:rPr>
          <w:color w:val="231F20"/>
        </w:rPr>
        <w:t>of</w:t>
      </w:r>
      <w:r>
        <w:rPr>
          <w:color w:val="231F20"/>
          <w:spacing w:val="-3"/>
        </w:rPr>
        <w:t> </w:t>
      </w:r>
      <w:r>
        <w:rPr>
          <w:color w:val="231F20"/>
        </w:rPr>
        <w:t>their executives to travel to the United States could</w:t>
      </w:r>
      <w:r>
        <w:rPr>
          <w:color w:val="231F20"/>
          <w:spacing w:val="-2"/>
        </w:rPr>
        <w:t> </w:t>
      </w:r>
      <w:r>
        <w:rPr>
          <w:color w:val="231F20"/>
        </w:rPr>
        <w:t>also</w:t>
      </w:r>
      <w:r>
        <w:rPr>
          <w:color w:val="231F20"/>
          <w:spacing w:val="-2"/>
        </w:rPr>
        <w:t> </w:t>
      </w:r>
      <w:r>
        <w:rPr>
          <w:color w:val="231F20"/>
        </w:rPr>
        <w:t>have</w:t>
      </w:r>
      <w:r>
        <w:rPr>
          <w:color w:val="231F20"/>
          <w:spacing w:val="-2"/>
        </w:rPr>
        <w:t> </w:t>
      </w:r>
      <w:r>
        <w:rPr>
          <w:color w:val="231F20"/>
        </w:rPr>
        <w:t>been</w:t>
      </w:r>
      <w:r>
        <w:rPr>
          <w:color w:val="231F20"/>
          <w:spacing w:val="-2"/>
        </w:rPr>
        <w:t> </w:t>
      </w:r>
      <w:r>
        <w:rPr>
          <w:color w:val="231F20"/>
        </w:rPr>
        <w:t>compromised.</w:t>
      </w:r>
    </w:p>
    <w:p>
      <w:pPr>
        <w:pStyle w:val="BodyText"/>
        <w:spacing w:before="169"/>
        <w:ind w:left="1133" w:right="1"/>
      </w:pPr>
      <w:r>
        <w:rPr>
          <w:color w:val="231F20"/>
        </w:rPr>
        <w:t>In this sector, the main impact on Cuban </w:t>
      </w:r>
      <w:r>
        <w:rPr>
          <w:color w:val="231F20"/>
          <w:spacing w:val="-4"/>
        </w:rPr>
        <w:t>exports</w:t>
      </w:r>
      <w:r>
        <w:rPr>
          <w:color w:val="231F20"/>
          <w:spacing w:val="-13"/>
        </w:rPr>
        <w:t> </w:t>
      </w:r>
      <w:r>
        <w:rPr>
          <w:color w:val="231F20"/>
          <w:spacing w:val="-4"/>
        </w:rPr>
        <w:t>arises</w:t>
      </w:r>
      <w:r>
        <w:rPr>
          <w:color w:val="231F20"/>
          <w:spacing w:val="-12"/>
        </w:rPr>
        <w:t> </w:t>
      </w:r>
      <w:r>
        <w:rPr>
          <w:color w:val="231F20"/>
          <w:spacing w:val="-4"/>
        </w:rPr>
        <w:t>from</w:t>
      </w:r>
      <w:r>
        <w:rPr>
          <w:color w:val="231F20"/>
          <w:spacing w:val="-13"/>
        </w:rPr>
        <w:t> </w:t>
      </w:r>
      <w:r>
        <w:rPr>
          <w:color w:val="231F20"/>
          <w:spacing w:val="-4"/>
        </w:rPr>
        <w:t>Washington’s</w:t>
      </w:r>
      <w:r>
        <w:rPr>
          <w:color w:val="231F20"/>
          <w:spacing w:val="-12"/>
        </w:rPr>
        <w:t> </w:t>
      </w:r>
      <w:r>
        <w:rPr>
          <w:color w:val="231F20"/>
          <w:spacing w:val="-4"/>
        </w:rPr>
        <w:t>restrictive </w:t>
      </w:r>
      <w:r>
        <w:rPr>
          <w:color w:val="231F20"/>
        </w:rPr>
        <w:t>measures on marketing Cuban tobacco</w:t>
      </w:r>
      <w:r>
        <w:rPr>
          <w:color w:val="231F20"/>
          <w:spacing w:val="80"/>
        </w:rPr>
        <w:t> </w:t>
      </w:r>
      <w:r>
        <w:rPr>
          <w:color w:val="231F20"/>
        </w:rPr>
        <w:t>in</w:t>
      </w:r>
      <w:r>
        <w:rPr>
          <w:color w:val="231F20"/>
          <w:spacing w:val="-5"/>
        </w:rPr>
        <w:t> </w:t>
      </w:r>
      <w:r>
        <w:rPr>
          <w:color w:val="231F20"/>
        </w:rPr>
        <w:t>the</w:t>
      </w:r>
      <w:r>
        <w:rPr>
          <w:color w:val="231F20"/>
          <w:spacing w:val="-5"/>
        </w:rPr>
        <w:t> </w:t>
      </w:r>
      <w:r>
        <w:rPr>
          <w:color w:val="231F20"/>
        </w:rPr>
        <w:t>U.S.</w:t>
      </w:r>
      <w:r>
        <w:rPr>
          <w:color w:val="231F20"/>
          <w:spacing w:val="-5"/>
        </w:rPr>
        <w:t> </w:t>
      </w:r>
      <w:r>
        <w:rPr>
          <w:color w:val="231F20"/>
        </w:rPr>
        <w:t>The</w:t>
      </w:r>
      <w:r>
        <w:rPr>
          <w:color w:val="231F20"/>
          <w:spacing w:val="-5"/>
        </w:rPr>
        <w:t> </w:t>
      </w:r>
      <w:r>
        <w:rPr>
          <w:color w:val="231F20"/>
        </w:rPr>
        <w:t>losses</w:t>
      </w:r>
      <w:r>
        <w:rPr>
          <w:color w:val="231F20"/>
          <w:spacing w:val="-5"/>
        </w:rPr>
        <w:t> </w:t>
      </w:r>
      <w:r>
        <w:rPr>
          <w:color w:val="231F20"/>
        </w:rPr>
        <w:t>in</w:t>
      </w:r>
      <w:r>
        <w:rPr>
          <w:color w:val="231F20"/>
          <w:spacing w:val="-5"/>
        </w:rPr>
        <w:t> </w:t>
      </w:r>
      <w:r>
        <w:rPr>
          <w:color w:val="231F20"/>
        </w:rPr>
        <w:t>this</w:t>
      </w:r>
      <w:r>
        <w:rPr>
          <w:color w:val="231F20"/>
          <w:spacing w:val="-5"/>
        </w:rPr>
        <w:t> </w:t>
      </w:r>
      <w:r>
        <w:rPr>
          <w:color w:val="231F20"/>
        </w:rPr>
        <w:t>respect</w:t>
      </w:r>
      <w:r>
        <w:rPr>
          <w:color w:val="231F20"/>
          <w:spacing w:val="-5"/>
        </w:rPr>
        <w:t> </w:t>
      </w:r>
      <w:r>
        <w:rPr>
          <w:color w:val="231F20"/>
        </w:rPr>
        <w:t>in</w:t>
      </w:r>
      <w:r>
        <w:rPr>
          <w:color w:val="231F20"/>
          <w:spacing w:val="-5"/>
        </w:rPr>
        <w:t> </w:t>
      </w:r>
      <w:r>
        <w:rPr>
          <w:color w:val="231F20"/>
        </w:rPr>
        <w:t>the period</w:t>
      </w:r>
      <w:r>
        <w:rPr>
          <w:color w:val="231F20"/>
          <w:spacing w:val="-10"/>
        </w:rPr>
        <w:t> </w:t>
      </w:r>
      <w:r>
        <w:rPr>
          <w:color w:val="231F20"/>
        </w:rPr>
        <w:t>of</w:t>
      </w:r>
      <w:r>
        <w:rPr>
          <w:color w:val="231F20"/>
          <w:spacing w:val="-10"/>
        </w:rPr>
        <w:t> </w:t>
      </w:r>
      <w:r>
        <w:rPr>
          <w:color w:val="231F20"/>
        </w:rPr>
        <w:t>this</w:t>
      </w:r>
      <w:r>
        <w:rPr>
          <w:color w:val="231F20"/>
          <w:spacing w:val="-10"/>
        </w:rPr>
        <w:t> </w:t>
      </w:r>
      <w:r>
        <w:rPr>
          <w:color w:val="231F20"/>
        </w:rPr>
        <w:t>report</w:t>
      </w:r>
      <w:r>
        <w:rPr>
          <w:color w:val="231F20"/>
          <w:spacing w:val="-10"/>
        </w:rPr>
        <w:t> </w:t>
      </w:r>
      <w:r>
        <w:rPr>
          <w:color w:val="231F20"/>
        </w:rPr>
        <w:t>are</w:t>
      </w:r>
      <w:r>
        <w:rPr>
          <w:color w:val="231F20"/>
          <w:spacing w:val="-10"/>
        </w:rPr>
        <w:t> </w:t>
      </w:r>
      <w:r>
        <w:rPr>
          <w:color w:val="231F20"/>
        </w:rPr>
        <w:t>estimated</w:t>
      </w:r>
      <w:r>
        <w:rPr>
          <w:color w:val="231F20"/>
          <w:spacing w:val="-10"/>
        </w:rPr>
        <w:t> </w:t>
      </w:r>
      <w:r>
        <w:rPr>
          <w:color w:val="231F20"/>
        </w:rPr>
        <w:t>at</w:t>
      </w:r>
      <w:r>
        <w:rPr>
          <w:color w:val="231F20"/>
          <w:spacing w:val="-10"/>
        </w:rPr>
        <w:t> </w:t>
      </w:r>
      <w:r>
        <w:rPr>
          <w:rFonts w:ascii="Segoe UI Semibold" w:hAnsi="Segoe UI Semibold"/>
          <w:b/>
          <w:i/>
          <w:color w:val="231F20"/>
        </w:rPr>
        <w:t>USD</w:t>
      </w:r>
      <w:r>
        <w:rPr>
          <w:rFonts w:ascii="Segoe UI Semibold" w:hAnsi="Segoe UI Semibold"/>
          <w:b/>
          <w:i/>
          <w:color w:val="231F20"/>
        </w:rPr>
        <w:t> </w:t>
      </w:r>
      <w:r>
        <w:rPr>
          <w:rFonts w:ascii="Segoe UI Semibold" w:hAnsi="Segoe UI Semibold"/>
          <w:b/>
          <w:i/>
          <w:color w:val="231F20"/>
          <w:spacing w:val="-2"/>
        </w:rPr>
        <w:t>237,500,000</w:t>
      </w:r>
      <w:r>
        <w:rPr>
          <w:color w:val="231F20"/>
          <w:spacing w:val="-2"/>
        </w:rPr>
        <w:t>.</w:t>
      </w:r>
    </w:p>
    <w:p>
      <w:pPr>
        <w:pStyle w:val="BodyText"/>
        <w:spacing w:before="162"/>
        <w:ind w:left="1133"/>
      </w:pPr>
      <w:r>
        <w:rPr>
          <w:color w:val="231F20"/>
        </w:rPr>
        <w:t>The financial limitations produced as a cumulative effect of the U.S. blockade,</w:t>
      </w:r>
      <w:r>
        <w:rPr>
          <w:color w:val="231F20"/>
          <w:spacing w:val="40"/>
        </w:rPr>
        <w:t> </w:t>
      </w:r>
      <w:r>
        <w:rPr>
          <w:color w:val="231F20"/>
        </w:rPr>
        <w:t>the</w:t>
      </w:r>
      <w:r>
        <w:rPr>
          <w:color w:val="231F20"/>
          <w:spacing w:val="24"/>
        </w:rPr>
        <w:t>  </w:t>
      </w:r>
      <w:r>
        <w:rPr>
          <w:color w:val="231F20"/>
        </w:rPr>
        <w:t>price</w:t>
      </w:r>
      <w:r>
        <w:rPr>
          <w:color w:val="231F20"/>
          <w:spacing w:val="25"/>
        </w:rPr>
        <w:t>  </w:t>
      </w:r>
      <w:r>
        <w:rPr>
          <w:color w:val="231F20"/>
        </w:rPr>
        <w:t>increases</w:t>
      </w:r>
      <w:r>
        <w:rPr>
          <w:color w:val="231F20"/>
          <w:spacing w:val="24"/>
        </w:rPr>
        <w:t>  </w:t>
      </w:r>
      <w:r>
        <w:rPr>
          <w:color w:val="231F20"/>
        </w:rPr>
        <w:t>and</w:t>
      </w:r>
      <w:r>
        <w:rPr>
          <w:color w:val="231F20"/>
          <w:spacing w:val="25"/>
        </w:rPr>
        <w:t>  </w:t>
      </w:r>
      <w:r>
        <w:rPr>
          <w:color w:val="231F20"/>
        </w:rPr>
        <w:t>difficulties</w:t>
      </w:r>
      <w:r>
        <w:rPr>
          <w:color w:val="231F20"/>
          <w:spacing w:val="24"/>
        </w:rPr>
        <w:t>  </w:t>
      </w:r>
      <w:r>
        <w:rPr>
          <w:color w:val="231F20"/>
          <w:spacing w:val="-5"/>
        </w:rPr>
        <w:t>in</w:t>
      </w:r>
    </w:p>
    <w:p>
      <w:pPr>
        <w:pStyle w:val="BodyText"/>
        <w:spacing w:before="77"/>
        <w:ind w:left="414" w:right="1473"/>
      </w:pPr>
      <w:r>
        <w:rPr/>
        <w:br w:type="column"/>
      </w:r>
      <w:r>
        <w:rPr>
          <w:color w:val="231F20"/>
        </w:rPr>
        <w:t>obtaining raw materials including those for meat products and ice cream, in purchasing tripolyphosphate and nitrite, also depressed national food production. This has led to generalized under-supply to the retail trade, severely affecting the general public and the private sector. The situation</w:t>
      </w:r>
      <w:r>
        <w:rPr>
          <w:color w:val="231F20"/>
          <w:spacing w:val="-1"/>
        </w:rPr>
        <w:t> </w:t>
      </w:r>
      <w:r>
        <w:rPr>
          <w:color w:val="231F20"/>
        </w:rPr>
        <w:t>is</w:t>
      </w:r>
      <w:r>
        <w:rPr>
          <w:color w:val="231F20"/>
          <w:spacing w:val="-2"/>
        </w:rPr>
        <w:t> </w:t>
      </w:r>
      <w:r>
        <w:rPr>
          <w:color w:val="231F20"/>
        </w:rPr>
        <w:t>compounded</w:t>
      </w:r>
      <w:r>
        <w:rPr>
          <w:color w:val="231F20"/>
          <w:spacing w:val="-1"/>
        </w:rPr>
        <w:t> </w:t>
      </w:r>
      <w:r>
        <w:rPr>
          <w:color w:val="231F20"/>
        </w:rPr>
        <w:t>by</w:t>
      </w:r>
      <w:r>
        <w:rPr>
          <w:color w:val="231F20"/>
          <w:spacing w:val="-1"/>
        </w:rPr>
        <w:t> </w:t>
      </w:r>
      <w:r>
        <w:rPr>
          <w:color w:val="231F20"/>
        </w:rPr>
        <w:t>deterioration in the infrastructure of refrigeration plant and conventional warehouses, technical equipment and transport.</w:t>
      </w:r>
    </w:p>
    <w:p>
      <w:pPr>
        <w:pStyle w:val="BodyText"/>
        <w:spacing w:before="168"/>
        <w:ind w:left="414" w:right="1476"/>
      </w:pPr>
      <w:r>
        <w:rPr>
          <w:color w:val="231F20"/>
          <w:spacing w:val="-2"/>
        </w:rPr>
        <w:t>The</w:t>
      </w:r>
      <w:r>
        <w:rPr>
          <w:color w:val="231F20"/>
          <w:spacing w:val="-14"/>
        </w:rPr>
        <w:t> </w:t>
      </w:r>
      <w:r>
        <w:rPr>
          <w:color w:val="231F20"/>
          <w:spacing w:val="-2"/>
        </w:rPr>
        <w:t>blockade</w:t>
      </w:r>
      <w:r>
        <w:rPr>
          <w:color w:val="231F20"/>
          <w:spacing w:val="-14"/>
        </w:rPr>
        <w:t> </w:t>
      </w:r>
      <w:r>
        <w:rPr>
          <w:color w:val="231F20"/>
          <w:spacing w:val="-2"/>
        </w:rPr>
        <w:t>also</w:t>
      </w:r>
      <w:r>
        <w:rPr>
          <w:color w:val="231F20"/>
          <w:spacing w:val="-14"/>
        </w:rPr>
        <w:t> </w:t>
      </w:r>
      <w:r>
        <w:rPr>
          <w:color w:val="231F20"/>
          <w:spacing w:val="-2"/>
        </w:rPr>
        <w:t>deprives</w:t>
      </w:r>
      <w:r>
        <w:rPr>
          <w:color w:val="231F20"/>
          <w:spacing w:val="-14"/>
        </w:rPr>
        <w:t> </w:t>
      </w:r>
      <w:r>
        <w:rPr>
          <w:color w:val="231F20"/>
          <w:spacing w:val="-2"/>
        </w:rPr>
        <w:t>Cuban</w:t>
      </w:r>
      <w:r>
        <w:rPr>
          <w:color w:val="231F20"/>
          <w:spacing w:val="-14"/>
        </w:rPr>
        <w:t> </w:t>
      </w:r>
      <w:r>
        <w:rPr>
          <w:color w:val="231F20"/>
          <w:spacing w:val="-2"/>
        </w:rPr>
        <w:t>industry of</w:t>
      </w:r>
      <w:r>
        <w:rPr>
          <w:color w:val="231F20"/>
          <w:spacing w:val="-15"/>
        </w:rPr>
        <w:t> </w:t>
      </w:r>
      <w:r>
        <w:rPr>
          <w:color w:val="231F20"/>
          <w:spacing w:val="-2"/>
        </w:rPr>
        <w:t>financing</w:t>
      </w:r>
      <w:r>
        <w:rPr>
          <w:color w:val="231F20"/>
          <w:spacing w:val="-14"/>
        </w:rPr>
        <w:t> </w:t>
      </w:r>
      <w:r>
        <w:rPr>
          <w:color w:val="231F20"/>
          <w:spacing w:val="-2"/>
        </w:rPr>
        <w:t>for</w:t>
      </w:r>
      <w:r>
        <w:rPr>
          <w:color w:val="231F20"/>
          <w:spacing w:val="-15"/>
        </w:rPr>
        <w:t> </w:t>
      </w:r>
      <w:r>
        <w:rPr>
          <w:color w:val="231F20"/>
          <w:spacing w:val="-2"/>
        </w:rPr>
        <w:t>the</w:t>
      </w:r>
      <w:r>
        <w:rPr>
          <w:color w:val="231F20"/>
          <w:spacing w:val="-14"/>
        </w:rPr>
        <w:t> </w:t>
      </w:r>
      <w:r>
        <w:rPr>
          <w:color w:val="231F20"/>
          <w:spacing w:val="-2"/>
        </w:rPr>
        <w:t>importation</w:t>
      </w:r>
      <w:r>
        <w:rPr>
          <w:color w:val="231F20"/>
          <w:spacing w:val="-15"/>
        </w:rPr>
        <w:t> </w:t>
      </w:r>
      <w:r>
        <w:rPr>
          <w:color w:val="231F20"/>
          <w:spacing w:val="-2"/>
        </w:rPr>
        <w:t>of</w:t>
      </w:r>
      <w:r>
        <w:rPr>
          <w:color w:val="231F20"/>
          <w:spacing w:val="-14"/>
        </w:rPr>
        <w:t> </w:t>
      </w:r>
      <w:r>
        <w:rPr>
          <w:color w:val="231F20"/>
          <w:spacing w:val="-2"/>
        </w:rPr>
        <w:t>supplies </w:t>
      </w:r>
      <w:r>
        <w:rPr>
          <w:color w:val="231F20"/>
        </w:rPr>
        <w:t>needed for food production.</w:t>
      </w:r>
    </w:p>
    <w:p>
      <w:pPr>
        <w:pStyle w:val="BodyText"/>
        <w:spacing w:before="163"/>
        <w:ind w:left="414" w:right="1475"/>
      </w:pPr>
      <w:r>
        <w:rPr>
          <w:color w:val="231F20"/>
        </w:rPr>
        <w:t>Under</w:t>
      </w:r>
      <w:r>
        <w:rPr>
          <w:color w:val="231F20"/>
          <w:spacing w:val="-17"/>
        </w:rPr>
        <w:t> </w:t>
      </w:r>
      <w:r>
        <w:rPr>
          <w:color w:val="231F20"/>
        </w:rPr>
        <w:t>permits</w:t>
      </w:r>
      <w:r>
        <w:rPr>
          <w:color w:val="231F20"/>
          <w:spacing w:val="-16"/>
        </w:rPr>
        <w:t> </w:t>
      </w:r>
      <w:r>
        <w:rPr>
          <w:color w:val="231F20"/>
        </w:rPr>
        <w:t>with</w:t>
      </w:r>
      <w:r>
        <w:rPr>
          <w:color w:val="231F20"/>
          <w:spacing w:val="-17"/>
        </w:rPr>
        <w:t> </w:t>
      </w:r>
      <w:r>
        <w:rPr>
          <w:color w:val="231F20"/>
        </w:rPr>
        <w:t>legal</w:t>
      </w:r>
      <w:r>
        <w:rPr>
          <w:color w:val="231F20"/>
          <w:spacing w:val="-16"/>
        </w:rPr>
        <w:t> </w:t>
      </w:r>
      <w:r>
        <w:rPr>
          <w:color w:val="231F20"/>
        </w:rPr>
        <w:t>restrictions,</w:t>
      </w:r>
      <w:r>
        <w:rPr>
          <w:color w:val="231F20"/>
          <w:spacing w:val="-17"/>
        </w:rPr>
        <w:t> </w:t>
      </w:r>
      <w:r>
        <w:rPr>
          <w:color w:val="231F20"/>
        </w:rPr>
        <w:t>Cuba </w:t>
      </w:r>
      <w:r>
        <w:rPr>
          <w:color w:val="231F20"/>
          <w:spacing w:val="-6"/>
        </w:rPr>
        <w:t>can</w:t>
      </w:r>
      <w:r>
        <w:rPr>
          <w:color w:val="231F20"/>
          <w:spacing w:val="-11"/>
        </w:rPr>
        <w:t> </w:t>
      </w:r>
      <w:r>
        <w:rPr>
          <w:color w:val="231F20"/>
          <w:spacing w:val="-6"/>
        </w:rPr>
        <w:t>purchase</w:t>
      </w:r>
      <w:r>
        <w:rPr>
          <w:color w:val="231F20"/>
          <w:spacing w:val="-10"/>
        </w:rPr>
        <w:t> </w:t>
      </w:r>
      <w:r>
        <w:rPr>
          <w:color w:val="231F20"/>
          <w:spacing w:val="-6"/>
        </w:rPr>
        <w:t>certain</w:t>
      </w:r>
      <w:r>
        <w:rPr>
          <w:color w:val="231F20"/>
          <w:spacing w:val="-11"/>
        </w:rPr>
        <w:t> </w:t>
      </w:r>
      <w:r>
        <w:rPr>
          <w:color w:val="231F20"/>
          <w:spacing w:val="-6"/>
        </w:rPr>
        <w:t>agricultural</w:t>
      </w:r>
      <w:r>
        <w:rPr>
          <w:color w:val="231F20"/>
          <w:spacing w:val="-10"/>
        </w:rPr>
        <w:t> </w:t>
      </w:r>
      <w:r>
        <w:rPr>
          <w:color w:val="231F20"/>
          <w:spacing w:val="-6"/>
        </w:rPr>
        <w:t>products</w:t>
      </w:r>
      <w:r>
        <w:rPr>
          <w:color w:val="231F20"/>
          <w:spacing w:val="-11"/>
        </w:rPr>
        <w:t> </w:t>
      </w:r>
      <w:r>
        <w:rPr>
          <w:color w:val="231F20"/>
          <w:spacing w:val="-6"/>
        </w:rPr>
        <w:t>in </w:t>
      </w:r>
      <w:r>
        <w:rPr>
          <w:color w:val="231F20"/>
        </w:rPr>
        <w:t>the</w:t>
      </w:r>
      <w:r>
        <w:rPr>
          <w:color w:val="231F20"/>
          <w:spacing w:val="-5"/>
        </w:rPr>
        <w:t> </w:t>
      </w:r>
      <w:r>
        <w:rPr>
          <w:color w:val="231F20"/>
        </w:rPr>
        <w:t>U.S.</w:t>
      </w:r>
      <w:r>
        <w:rPr>
          <w:color w:val="231F20"/>
          <w:spacing w:val="-5"/>
        </w:rPr>
        <w:t> </w:t>
      </w:r>
      <w:r>
        <w:rPr>
          <w:color w:val="231F20"/>
        </w:rPr>
        <w:t>market,</w:t>
      </w:r>
      <w:r>
        <w:rPr>
          <w:color w:val="231F20"/>
          <w:spacing w:val="-5"/>
        </w:rPr>
        <w:t> </w:t>
      </w:r>
      <w:r>
        <w:rPr>
          <w:color w:val="231F20"/>
        </w:rPr>
        <w:t>albeit</w:t>
      </w:r>
      <w:r>
        <w:rPr>
          <w:color w:val="231F20"/>
          <w:spacing w:val="-5"/>
        </w:rPr>
        <w:t> </w:t>
      </w:r>
      <w:r>
        <w:rPr>
          <w:color w:val="231F20"/>
        </w:rPr>
        <w:t>subject</w:t>
      </w:r>
      <w:r>
        <w:rPr>
          <w:color w:val="231F20"/>
          <w:spacing w:val="-5"/>
        </w:rPr>
        <w:t> </w:t>
      </w:r>
      <w:r>
        <w:rPr>
          <w:color w:val="231F20"/>
        </w:rPr>
        <w:t>to</w:t>
      </w:r>
      <w:r>
        <w:rPr>
          <w:color w:val="231F20"/>
          <w:spacing w:val="-5"/>
        </w:rPr>
        <w:t> </w:t>
      </w:r>
      <w:r>
        <w:rPr>
          <w:color w:val="231F20"/>
        </w:rPr>
        <w:t>payment in advance and without access to credit finance. This is highly problematic since, at the same time, the country is </w:t>
      </w:r>
      <w:r>
        <w:rPr>
          <w:color w:val="231F20"/>
        </w:rPr>
        <w:t>being starved of revenues. In these conditions </w:t>
      </w:r>
      <w:r>
        <w:rPr>
          <w:color w:val="231F20"/>
          <w:spacing w:val="-6"/>
        </w:rPr>
        <w:t>marked</w:t>
      </w:r>
      <w:r>
        <w:rPr>
          <w:color w:val="231F20"/>
          <w:spacing w:val="-10"/>
        </w:rPr>
        <w:t> </w:t>
      </w:r>
      <w:r>
        <w:rPr>
          <w:color w:val="231F20"/>
          <w:spacing w:val="-6"/>
        </w:rPr>
        <w:t>by</w:t>
      </w:r>
      <w:r>
        <w:rPr>
          <w:color w:val="231F20"/>
          <w:spacing w:val="-10"/>
        </w:rPr>
        <w:t> </w:t>
      </w:r>
      <w:r>
        <w:rPr>
          <w:color w:val="231F20"/>
          <w:spacing w:val="-6"/>
        </w:rPr>
        <w:t>harassment</w:t>
      </w:r>
      <w:r>
        <w:rPr>
          <w:color w:val="231F20"/>
          <w:spacing w:val="-10"/>
        </w:rPr>
        <w:t> </w:t>
      </w:r>
      <w:r>
        <w:rPr>
          <w:color w:val="231F20"/>
          <w:spacing w:val="-6"/>
        </w:rPr>
        <w:t>in</w:t>
      </w:r>
      <w:r>
        <w:rPr>
          <w:color w:val="231F20"/>
          <w:spacing w:val="-10"/>
        </w:rPr>
        <w:t> </w:t>
      </w:r>
      <w:r>
        <w:rPr>
          <w:color w:val="231F20"/>
          <w:spacing w:val="-6"/>
        </w:rPr>
        <w:t>the</w:t>
      </w:r>
      <w:r>
        <w:rPr>
          <w:color w:val="231F20"/>
          <w:spacing w:val="-10"/>
        </w:rPr>
        <w:t> </w:t>
      </w:r>
      <w:r>
        <w:rPr>
          <w:color w:val="231F20"/>
          <w:spacing w:val="-6"/>
        </w:rPr>
        <w:t>finance</w:t>
      </w:r>
      <w:r>
        <w:rPr>
          <w:color w:val="231F20"/>
          <w:spacing w:val="-10"/>
        </w:rPr>
        <w:t> </w:t>
      </w:r>
      <w:r>
        <w:rPr>
          <w:color w:val="231F20"/>
          <w:spacing w:val="-6"/>
        </w:rPr>
        <w:t>sector, </w:t>
      </w:r>
      <w:r>
        <w:rPr>
          <w:color w:val="231F20"/>
        </w:rPr>
        <w:t>gargantuan efforts are required of the Cuban</w:t>
      </w:r>
      <w:r>
        <w:rPr>
          <w:color w:val="231F20"/>
          <w:spacing w:val="-17"/>
        </w:rPr>
        <w:t> </w:t>
      </w:r>
      <w:r>
        <w:rPr>
          <w:color w:val="231F20"/>
        </w:rPr>
        <w:t>government</w:t>
      </w:r>
      <w:r>
        <w:rPr>
          <w:color w:val="231F20"/>
          <w:spacing w:val="-16"/>
        </w:rPr>
        <w:t> </w:t>
      </w:r>
      <w:r>
        <w:rPr>
          <w:color w:val="231F20"/>
        </w:rPr>
        <w:t>to</w:t>
      </w:r>
      <w:r>
        <w:rPr>
          <w:color w:val="231F20"/>
          <w:spacing w:val="-17"/>
        </w:rPr>
        <w:t> </w:t>
      </w:r>
      <w:r>
        <w:rPr>
          <w:color w:val="231F20"/>
        </w:rPr>
        <w:t>supply</w:t>
      </w:r>
      <w:r>
        <w:rPr>
          <w:color w:val="231F20"/>
          <w:spacing w:val="-16"/>
        </w:rPr>
        <w:t> </w:t>
      </w:r>
      <w:r>
        <w:rPr>
          <w:color w:val="231F20"/>
        </w:rPr>
        <w:t>the</w:t>
      </w:r>
      <w:r>
        <w:rPr>
          <w:color w:val="231F20"/>
          <w:spacing w:val="-17"/>
        </w:rPr>
        <w:t> </w:t>
      </w:r>
      <w:r>
        <w:rPr>
          <w:color w:val="231F20"/>
        </w:rPr>
        <w:t>standard family</w:t>
      </w:r>
      <w:r>
        <w:rPr>
          <w:color w:val="231F20"/>
          <w:spacing w:val="-6"/>
        </w:rPr>
        <w:t> </w:t>
      </w:r>
      <w:r>
        <w:rPr>
          <w:color w:val="231F20"/>
        </w:rPr>
        <w:t>food</w:t>
      </w:r>
      <w:r>
        <w:rPr>
          <w:color w:val="231F20"/>
          <w:spacing w:val="-6"/>
        </w:rPr>
        <w:t> </w:t>
      </w:r>
      <w:r>
        <w:rPr>
          <w:color w:val="231F20"/>
        </w:rPr>
        <w:t>basket</w:t>
      </w:r>
      <w:r>
        <w:rPr>
          <w:color w:val="231F20"/>
          <w:spacing w:val="-6"/>
        </w:rPr>
        <w:t> </w:t>
      </w:r>
      <w:r>
        <w:rPr>
          <w:color w:val="231F20"/>
        </w:rPr>
        <w:t>to</w:t>
      </w:r>
      <w:r>
        <w:rPr>
          <w:color w:val="231F20"/>
          <w:spacing w:val="-6"/>
        </w:rPr>
        <w:t> </w:t>
      </w:r>
      <w:r>
        <w:rPr>
          <w:color w:val="231F20"/>
        </w:rPr>
        <w:t>the</w:t>
      </w:r>
      <w:r>
        <w:rPr>
          <w:color w:val="231F20"/>
          <w:spacing w:val="-6"/>
        </w:rPr>
        <w:t> </w:t>
      </w:r>
      <w:r>
        <w:rPr>
          <w:color w:val="231F20"/>
        </w:rPr>
        <w:t>population.</w:t>
      </w:r>
    </w:p>
    <w:p>
      <w:pPr>
        <w:pStyle w:val="BodyText"/>
        <w:spacing w:before="168"/>
        <w:ind w:left="414" w:right="1475"/>
      </w:pPr>
      <w:r>
        <w:rPr>
          <w:color w:val="231F20"/>
        </w:rPr>
        <w:t>This list comprises 24 heavily subsidized products distributed on a monthly basis to the entire population. Also subsidized are certain specific products supplied to 1,218,000 people, as are milk, baby foods </w:t>
      </w:r>
      <w:r>
        <w:rPr>
          <w:color w:val="231F20"/>
          <w:spacing w:val="-4"/>
        </w:rPr>
        <w:t>and</w:t>
      </w:r>
      <w:r>
        <w:rPr>
          <w:color w:val="231F20"/>
          <w:spacing w:val="-13"/>
        </w:rPr>
        <w:t> </w:t>
      </w:r>
      <w:r>
        <w:rPr>
          <w:color w:val="231F20"/>
          <w:spacing w:val="-4"/>
        </w:rPr>
        <w:t>beef</w:t>
      </w:r>
      <w:r>
        <w:rPr>
          <w:color w:val="231F20"/>
          <w:spacing w:val="-12"/>
        </w:rPr>
        <w:t> </w:t>
      </w:r>
      <w:r>
        <w:rPr>
          <w:color w:val="231F20"/>
          <w:spacing w:val="-4"/>
        </w:rPr>
        <w:t>and</w:t>
      </w:r>
      <w:r>
        <w:rPr>
          <w:color w:val="231F20"/>
          <w:spacing w:val="-13"/>
        </w:rPr>
        <w:t> </w:t>
      </w:r>
      <w:r>
        <w:rPr>
          <w:color w:val="231F20"/>
          <w:spacing w:val="-4"/>
        </w:rPr>
        <w:t>chicken</w:t>
      </w:r>
      <w:r>
        <w:rPr>
          <w:color w:val="231F20"/>
          <w:spacing w:val="-12"/>
        </w:rPr>
        <w:t> </w:t>
      </w:r>
      <w:r>
        <w:rPr>
          <w:color w:val="231F20"/>
          <w:spacing w:val="-4"/>
        </w:rPr>
        <w:t>for</w:t>
      </w:r>
      <w:r>
        <w:rPr>
          <w:color w:val="231F20"/>
          <w:spacing w:val="-13"/>
        </w:rPr>
        <w:t> </w:t>
      </w:r>
      <w:r>
        <w:rPr>
          <w:color w:val="231F20"/>
          <w:spacing w:val="-4"/>
        </w:rPr>
        <w:t>children,</w:t>
      </w:r>
      <w:r>
        <w:rPr>
          <w:color w:val="231F20"/>
          <w:spacing w:val="-12"/>
        </w:rPr>
        <w:t> </w:t>
      </w:r>
      <w:r>
        <w:rPr>
          <w:color w:val="231F20"/>
          <w:spacing w:val="-4"/>
        </w:rPr>
        <w:t>mothers- </w:t>
      </w:r>
      <w:r>
        <w:rPr>
          <w:color w:val="231F20"/>
        </w:rPr>
        <w:t>to-be and AIDS patients.</w:t>
      </w:r>
    </w:p>
    <w:p>
      <w:pPr>
        <w:pStyle w:val="BodyText"/>
        <w:spacing w:before="166"/>
        <w:ind w:left="414" w:right="1475"/>
      </w:pPr>
      <w:r>
        <w:rPr>
          <w:color w:val="231F20"/>
        </w:rPr>
        <w:t>Huge</w:t>
      </w:r>
      <w:r>
        <w:rPr>
          <w:color w:val="231F20"/>
          <w:spacing w:val="-6"/>
        </w:rPr>
        <w:t> </w:t>
      </w:r>
      <w:r>
        <w:rPr>
          <w:color w:val="231F20"/>
        </w:rPr>
        <w:t>efforts</w:t>
      </w:r>
      <w:r>
        <w:rPr>
          <w:color w:val="231F20"/>
          <w:spacing w:val="-6"/>
        </w:rPr>
        <w:t> </w:t>
      </w:r>
      <w:r>
        <w:rPr>
          <w:color w:val="231F20"/>
        </w:rPr>
        <w:t>are</w:t>
      </w:r>
      <w:r>
        <w:rPr>
          <w:color w:val="231F20"/>
          <w:spacing w:val="-6"/>
        </w:rPr>
        <w:t> </w:t>
      </w:r>
      <w:r>
        <w:rPr>
          <w:color w:val="231F20"/>
        </w:rPr>
        <w:t>expended</w:t>
      </w:r>
      <w:r>
        <w:rPr>
          <w:color w:val="231F20"/>
          <w:spacing w:val="-6"/>
        </w:rPr>
        <w:t> </w:t>
      </w:r>
      <w:r>
        <w:rPr>
          <w:color w:val="231F20"/>
        </w:rPr>
        <w:t>in</w:t>
      </w:r>
      <w:r>
        <w:rPr>
          <w:color w:val="231F20"/>
          <w:spacing w:val="-6"/>
        </w:rPr>
        <w:t> </w:t>
      </w:r>
      <w:r>
        <w:rPr>
          <w:color w:val="231F20"/>
        </w:rPr>
        <w:t>maintaining a system for feeding a segment of the population comprising 58,457 persons, including elderly, disabled and other vulnerable people, who lack adequate </w:t>
      </w:r>
      <w:r>
        <w:rPr>
          <w:color w:val="231F20"/>
          <w:spacing w:val="-6"/>
        </w:rPr>
        <w:t>income,</w:t>
      </w:r>
      <w:r>
        <w:rPr>
          <w:color w:val="231F20"/>
          <w:spacing w:val="-10"/>
        </w:rPr>
        <w:t> </w:t>
      </w:r>
      <w:r>
        <w:rPr>
          <w:color w:val="231F20"/>
          <w:spacing w:val="-6"/>
        </w:rPr>
        <w:t>have</w:t>
      </w:r>
      <w:r>
        <w:rPr>
          <w:color w:val="231F20"/>
          <w:spacing w:val="-10"/>
        </w:rPr>
        <w:t> </w:t>
      </w:r>
      <w:r>
        <w:rPr>
          <w:color w:val="231F20"/>
          <w:spacing w:val="-6"/>
        </w:rPr>
        <w:t>no</w:t>
      </w:r>
      <w:r>
        <w:rPr>
          <w:color w:val="231F20"/>
          <w:spacing w:val="-10"/>
        </w:rPr>
        <w:t> </w:t>
      </w:r>
      <w:r>
        <w:rPr>
          <w:color w:val="231F20"/>
          <w:spacing w:val="-6"/>
        </w:rPr>
        <w:t>relatives</w:t>
      </w:r>
      <w:r>
        <w:rPr>
          <w:color w:val="231F20"/>
          <w:spacing w:val="-10"/>
        </w:rPr>
        <w:t> </w:t>
      </w:r>
      <w:r>
        <w:rPr>
          <w:color w:val="231F20"/>
          <w:spacing w:val="-6"/>
        </w:rPr>
        <w:t>able</w:t>
      </w:r>
      <w:r>
        <w:rPr>
          <w:color w:val="231F20"/>
          <w:spacing w:val="-10"/>
        </w:rPr>
        <w:t> </w:t>
      </w:r>
      <w:r>
        <w:rPr>
          <w:color w:val="231F20"/>
          <w:spacing w:val="-6"/>
        </w:rPr>
        <w:t>to</w:t>
      </w:r>
      <w:r>
        <w:rPr>
          <w:color w:val="231F20"/>
          <w:spacing w:val="-10"/>
        </w:rPr>
        <w:t> </w:t>
      </w:r>
      <w:r>
        <w:rPr>
          <w:color w:val="231F20"/>
          <w:spacing w:val="-6"/>
        </w:rPr>
        <w:t>help</w:t>
      </w:r>
      <w:r>
        <w:rPr>
          <w:color w:val="231F20"/>
          <w:spacing w:val="-10"/>
        </w:rPr>
        <w:t> </w:t>
      </w:r>
      <w:r>
        <w:rPr>
          <w:color w:val="231F20"/>
          <w:spacing w:val="-6"/>
        </w:rPr>
        <w:t>or</w:t>
      </w:r>
      <w:r>
        <w:rPr>
          <w:color w:val="231F20"/>
          <w:spacing w:val="-10"/>
        </w:rPr>
        <w:t> </w:t>
      </w:r>
      <w:r>
        <w:rPr>
          <w:color w:val="231F20"/>
          <w:spacing w:val="-6"/>
        </w:rPr>
        <w:t>are </w:t>
      </w:r>
      <w:r>
        <w:rPr>
          <w:color w:val="231F20"/>
          <w:spacing w:val="-8"/>
        </w:rPr>
        <w:t>otherwise needy, while free school meals are </w:t>
      </w:r>
      <w:r>
        <w:rPr>
          <w:color w:val="231F20"/>
        </w:rPr>
        <w:t>provided</w:t>
      </w:r>
      <w:r>
        <w:rPr>
          <w:color w:val="231F20"/>
          <w:spacing w:val="-11"/>
        </w:rPr>
        <w:t> </w:t>
      </w:r>
      <w:r>
        <w:rPr>
          <w:color w:val="231F20"/>
        </w:rPr>
        <w:t>to</w:t>
      </w:r>
      <w:r>
        <w:rPr>
          <w:color w:val="231F20"/>
          <w:spacing w:val="-11"/>
        </w:rPr>
        <w:t> </w:t>
      </w:r>
      <w:r>
        <w:rPr>
          <w:color w:val="231F20"/>
        </w:rPr>
        <w:t>124,664</w:t>
      </w:r>
      <w:r>
        <w:rPr>
          <w:color w:val="231F20"/>
          <w:spacing w:val="-11"/>
        </w:rPr>
        <w:t> </w:t>
      </w:r>
      <w:r>
        <w:rPr>
          <w:color w:val="231F20"/>
        </w:rPr>
        <w:t>pupils</w:t>
      </w:r>
      <w:r>
        <w:rPr>
          <w:color w:val="231F20"/>
          <w:spacing w:val="-11"/>
        </w:rPr>
        <w:t> </w:t>
      </w:r>
      <w:r>
        <w:rPr>
          <w:color w:val="231F20"/>
        </w:rPr>
        <w:t>in</w:t>
      </w:r>
      <w:r>
        <w:rPr>
          <w:color w:val="231F20"/>
          <w:spacing w:val="-11"/>
        </w:rPr>
        <w:t> </w:t>
      </w:r>
      <w:r>
        <w:rPr>
          <w:color w:val="231F20"/>
        </w:rPr>
        <w:t>764</w:t>
      </w:r>
      <w:r>
        <w:rPr>
          <w:color w:val="231F20"/>
          <w:spacing w:val="-11"/>
        </w:rPr>
        <w:t> </w:t>
      </w:r>
      <w:r>
        <w:rPr>
          <w:color w:val="231F20"/>
        </w:rPr>
        <w:t>schools.</w:t>
      </w:r>
    </w:p>
    <w:p>
      <w:pPr>
        <w:pStyle w:val="BodyText"/>
        <w:spacing w:before="166"/>
        <w:ind w:left="414"/>
      </w:pPr>
      <w:r>
        <w:rPr>
          <w:color w:val="231F20"/>
        </w:rPr>
        <w:t>The</w:t>
      </w:r>
      <w:r>
        <w:rPr>
          <w:color w:val="231F20"/>
          <w:spacing w:val="78"/>
        </w:rPr>
        <w:t>  </w:t>
      </w:r>
      <w:r>
        <w:rPr>
          <w:color w:val="231F20"/>
        </w:rPr>
        <w:t>factors</w:t>
      </w:r>
      <w:r>
        <w:rPr>
          <w:color w:val="231F20"/>
          <w:spacing w:val="78"/>
        </w:rPr>
        <w:t>  </w:t>
      </w:r>
      <w:r>
        <w:rPr>
          <w:color w:val="231F20"/>
        </w:rPr>
        <w:t>described</w:t>
      </w:r>
      <w:r>
        <w:rPr>
          <w:color w:val="231F20"/>
          <w:spacing w:val="78"/>
        </w:rPr>
        <w:t>  </w:t>
      </w:r>
      <w:r>
        <w:rPr>
          <w:color w:val="231F20"/>
        </w:rPr>
        <w:t>above</w:t>
      </w:r>
      <w:r>
        <w:rPr>
          <w:color w:val="231F20"/>
          <w:spacing w:val="78"/>
        </w:rPr>
        <w:t>  </w:t>
      </w:r>
      <w:r>
        <w:rPr>
          <w:color w:val="231F20"/>
          <w:spacing w:val="-4"/>
        </w:rPr>
        <w:t>have</w:t>
      </w:r>
    </w:p>
    <w:p>
      <w:pPr>
        <w:spacing w:after="0"/>
        <w:sectPr>
          <w:pgSz w:w="11910" w:h="16840"/>
          <w:pgMar w:header="0" w:footer="695" w:top="1260" w:bottom="880" w:left="0" w:right="0"/>
          <w:cols w:num="2" w:equalWidth="0">
            <w:col w:w="5555" w:space="40"/>
            <w:col w:w="6315"/>
          </w:cols>
        </w:sectPr>
      </w:pPr>
    </w:p>
    <w:p>
      <w:pPr>
        <w:pStyle w:val="BodyText"/>
        <w:spacing w:before="77"/>
        <w:ind w:left="1474" w:right="2"/>
      </w:pPr>
      <w:r>
        <w:rPr>
          <w:color w:val="231F20"/>
        </w:rPr>
        <w:t>contributed</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erratic</w:t>
      </w:r>
      <w:r>
        <w:rPr>
          <w:color w:val="231F20"/>
          <w:spacing w:val="40"/>
        </w:rPr>
        <w:t> </w:t>
      </w:r>
      <w:r>
        <w:rPr>
          <w:color w:val="231F20"/>
        </w:rPr>
        <w:t>performance of basic supplies and the disruption of deliveries to the population.</w:t>
      </w:r>
    </w:p>
    <w:p>
      <w:pPr>
        <w:pStyle w:val="BodyText"/>
        <w:spacing w:before="162"/>
        <w:ind w:left="1474" w:right="2"/>
      </w:pPr>
      <w:r>
        <w:rPr>
          <w:color w:val="231F20"/>
          <w:spacing w:val="-8"/>
        </w:rPr>
        <w:t>In 2023, the standard family food basket was </w:t>
      </w:r>
      <w:r>
        <w:rPr>
          <w:color w:val="231F20"/>
        </w:rPr>
        <w:t>planned at USD 1,648,000,000. Only with one third of the amount of the damages caused by the blockade between March 2022 and February 2023, all the expenses for this concept could be covered, for the benefit of our population.</w:t>
      </w:r>
    </w:p>
    <w:p>
      <w:pPr>
        <w:spacing w:before="165"/>
        <w:ind w:left="1474" w:right="0" w:firstLine="0"/>
        <w:jc w:val="both"/>
        <w:rPr>
          <w:rFonts w:ascii="Segoe UI Semibold"/>
          <w:b/>
          <w:i/>
          <w:sz w:val="24"/>
        </w:rPr>
      </w:pPr>
      <w:r>
        <w:rPr>
          <w:b/>
          <w:i/>
          <w:color w:val="B52628"/>
          <w:sz w:val="24"/>
        </w:rPr>
        <w:t>Education, sport and culture </w:t>
      </w:r>
      <w:r>
        <w:rPr>
          <w:rFonts w:ascii="Segoe UI Semibold"/>
          <w:b/>
          <w:i/>
          <w:color w:val="231F20"/>
          <w:sz w:val="24"/>
        </w:rPr>
        <w:t>are </w:t>
      </w:r>
      <w:r>
        <w:rPr>
          <w:rFonts w:ascii="Segoe UI Semibold"/>
          <w:b/>
          <w:i/>
          <w:color w:val="231F20"/>
          <w:sz w:val="24"/>
        </w:rPr>
        <w:t>also</w:t>
      </w:r>
      <w:r>
        <w:rPr>
          <w:rFonts w:ascii="Segoe UI Semibold"/>
          <w:b/>
          <w:i/>
          <w:color w:val="231F20"/>
          <w:sz w:val="24"/>
        </w:rPr>
        <w:t> priority sectors in Cuban government policy, as part of its humanist approach. The blockade has directly affected all three, reflecting the difficulties in access to</w:t>
      </w:r>
      <w:r>
        <w:rPr>
          <w:rFonts w:ascii="Segoe UI Semibold"/>
          <w:b/>
          <w:i/>
          <w:color w:val="231F20"/>
          <w:spacing w:val="-1"/>
          <w:sz w:val="24"/>
        </w:rPr>
        <w:t> </w:t>
      </w:r>
      <w:r>
        <w:rPr>
          <w:rFonts w:ascii="Segoe UI Semibold"/>
          <w:b/>
          <w:i/>
          <w:color w:val="231F20"/>
          <w:sz w:val="24"/>
        </w:rPr>
        <w:t>financing</w:t>
      </w:r>
      <w:r>
        <w:rPr>
          <w:rFonts w:ascii="Segoe UI Semibold"/>
          <w:b/>
          <w:i/>
          <w:color w:val="231F20"/>
          <w:spacing w:val="-1"/>
          <w:sz w:val="24"/>
        </w:rPr>
        <w:t> </w:t>
      </w:r>
      <w:r>
        <w:rPr>
          <w:rFonts w:ascii="Segoe UI Semibold"/>
          <w:b/>
          <w:i/>
          <w:color w:val="231F20"/>
          <w:sz w:val="24"/>
        </w:rPr>
        <w:t>coupled</w:t>
      </w:r>
      <w:r>
        <w:rPr>
          <w:rFonts w:ascii="Segoe UI Semibold"/>
          <w:b/>
          <w:i/>
          <w:color w:val="231F20"/>
          <w:spacing w:val="-1"/>
          <w:sz w:val="24"/>
        </w:rPr>
        <w:t> </w:t>
      </w:r>
      <w:r>
        <w:rPr>
          <w:rFonts w:ascii="Segoe UI Semibold"/>
          <w:b/>
          <w:i/>
          <w:color w:val="231F20"/>
          <w:sz w:val="24"/>
        </w:rPr>
        <w:t>with</w:t>
      </w:r>
      <w:r>
        <w:rPr>
          <w:rFonts w:ascii="Segoe UI Semibold"/>
          <w:b/>
          <w:i/>
          <w:color w:val="231F20"/>
          <w:spacing w:val="-1"/>
          <w:sz w:val="24"/>
        </w:rPr>
        <w:t> </w:t>
      </w:r>
      <w:r>
        <w:rPr>
          <w:rFonts w:ascii="Segoe UI Semibold"/>
          <w:b/>
          <w:i/>
          <w:color w:val="231F20"/>
          <w:sz w:val="24"/>
        </w:rPr>
        <w:t>the</w:t>
      </w:r>
      <w:r>
        <w:rPr>
          <w:rFonts w:ascii="Segoe UI Semibold"/>
          <w:b/>
          <w:i/>
          <w:color w:val="231F20"/>
          <w:spacing w:val="-1"/>
          <w:sz w:val="24"/>
        </w:rPr>
        <w:t> </w:t>
      </w:r>
      <w:r>
        <w:rPr>
          <w:rFonts w:ascii="Segoe UI Semibold"/>
          <w:b/>
          <w:i/>
          <w:color w:val="231F20"/>
          <w:sz w:val="24"/>
        </w:rPr>
        <w:t>limitations caused by the fuel shortage, the high</w:t>
      </w:r>
      <w:r>
        <w:rPr>
          <w:rFonts w:ascii="Segoe UI Semibold"/>
          <w:b/>
          <w:i/>
          <w:color w:val="231F20"/>
          <w:spacing w:val="40"/>
          <w:sz w:val="24"/>
        </w:rPr>
        <w:t> </w:t>
      </w:r>
      <w:r>
        <w:rPr>
          <w:rFonts w:ascii="Segoe UI Semibold"/>
          <w:b/>
          <w:i/>
          <w:color w:val="231F20"/>
          <w:sz w:val="24"/>
        </w:rPr>
        <w:t>cost of purchasing and transporting the relevant supplies and the difficulty of collecting payments for professional services provided abroad due to the banking/financial restrictions.</w:t>
      </w:r>
    </w:p>
    <w:p>
      <w:pPr>
        <w:pStyle w:val="BodyText"/>
        <w:spacing w:before="157"/>
        <w:ind w:left="1474"/>
      </w:pPr>
      <w:r>
        <w:rPr>
          <w:color w:val="231F20"/>
        </w:rPr>
        <w:t>Between</w:t>
      </w:r>
      <w:r>
        <w:rPr>
          <w:color w:val="231F20"/>
          <w:spacing w:val="40"/>
        </w:rPr>
        <w:t> </w:t>
      </w:r>
      <w:r>
        <w:rPr>
          <w:color w:val="231F20"/>
        </w:rPr>
        <w:t>March</w:t>
      </w:r>
      <w:r>
        <w:rPr>
          <w:color w:val="231F20"/>
          <w:spacing w:val="40"/>
        </w:rPr>
        <w:t> </w:t>
      </w:r>
      <w:r>
        <w:rPr>
          <w:color w:val="231F20"/>
        </w:rPr>
        <w:t>2022</w:t>
      </w:r>
      <w:r>
        <w:rPr>
          <w:color w:val="231F20"/>
          <w:spacing w:val="40"/>
        </w:rPr>
        <w:t> </w:t>
      </w:r>
      <w:r>
        <w:rPr>
          <w:color w:val="231F20"/>
        </w:rPr>
        <w:t>and</w:t>
      </w:r>
      <w:r>
        <w:rPr>
          <w:color w:val="231F20"/>
          <w:spacing w:val="40"/>
        </w:rPr>
        <w:t> </w:t>
      </w:r>
      <w:r>
        <w:rPr>
          <w:color w:val="231F20"/>
        </w:rPr>
        <w:t>February 2023, losses in the education sector are estimated at </w:t>
      </w:r>
      <w:r>
        <w:rPr>
          <w:rFonts w:ascii="Segoe UI Semibold"/>
          <w:b/>
          <w:i/>
          <w:color w:val="231F20"/>
        </w:rPr>
        <w:t>USD 75,551,799</w:t>
      </w:r>
      <w:r>
        <w:rPr>
          <w:color w:val="231F20"/>
        </w:rPr>
        <w:t>. The main impacts in this period were as follows:</w:t>
      </w:r>
    </w:p>
    <w:p>
      <w:pPr>
        <w:pStyle w:val="BodyText"/>
        <w:spacing w:before="162"/>
        <w:ind w:left="1734" w:right="1" w:hanging="261"/>
      </w:pPr>
      <w:r>
        <w:rPr>
          <w:position w:val="3"/>
        </w:rPr>
        <w:drawing>
          <wp:inline distT="0" distB="0" distL="0" distR="0">
            <wp:extent cx="59207" cy="59207"/>
            <wp:effectExtent l="0" t="0" r="0" b="0"/>
            <wp:docPr id="248" name="Image 248"/>
            <wp:cNvGraphicFramePr>
              <a:graphicFrameLocks/>
            </wp:cNvGraphicFramePr>
            <a:graphic>
              <a:graphicData uri="http://schemas.openxmlformats.org/drawingml/2006/picture">
                <pic:pic>
                  <pic:nvPicPr>
                    <pic:cNvPr id="248" name="Image 248"/>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spacing w:val="69"/>
          <w:sz w:val="20"/>
        </w:rPr>
        <w:t> </w:t>
      </w:r>
      <w:r>
        <w:rPr>
          <w:color w:val="231F20"/>
        </w:rPr>
        <w:t>Difficulties</w:t>
      </w:r>
      <w:r>
        <w:rPr>
          <w:color w:val="231F20"/>
          <w:spacing w:val="-17"/>
        </w:rPr>
        <w:t> </w:t>
      </w:r>
      <w:r>
        <w:rPr>
          <w:color w:val="231F20"/>
        </w:rPr>
        <w:t>in</w:t>
      </w:r>
      <w:r>
        <w:rPr>
          <w:color w:val="231F20"/>
          <w:spacing w:val="-16"/>
        </w:rPr>
        <w:t> </w:t>
      </w:r>
      <w:r>
        <w:rPr>
          <w:color w:val="231F20"/>
        </w:rPr>
        <w:t>obtaining</w:t>
      </w:r>
      <w:r>
        <w:rPr>
          <w:color w:val="231F20"/>
          <w:spacing w:val="-17"/>
        </w:rPr>
        <w:t> </w:t>
      </w:r>
      <w:r>
        <w:rPr>
          <w:color w:val="231F20"/>
        </w:rPr>
        <w:t>supplies</w:t>
      </w:r>
      <w:r>
        <w:rPr>
          <w:color w:val="231F20"/>
          <w:spacing w:val="-16"/>
        </w:rPr>
        <w:t> </w:t>
      </w:r>
      <w:r>
        <w:rPr>
          <w:color w:val="231F20"/>
        </w:rPr>
        <w:t>needed </w:t>
      </w:r>
      <w:r>
        <w:rPr>
          <w:color w:val="231F20"/>
          <w:spacing w:val="-2"/>
        </w:rPr>
        <w:t>for</w:t>
      </w:r>
      <w:r>
        <w:rPr>
          <w:color w:val="231F20"/>
          <w:spacing w:val="-12"/>
        </w:rPr>
        <w:t> </w:t>
      </w:r>
      <w:r>
        <w:rPr>
          <w:color w:val="231F20"/>
          <w:spacing w:val="-2"/>
        </w:rPr>
        <w:t>the</w:t>
      </w:r>
      <w:r>
        <w:rPr>
          <w:color w:val="231F20"/>
          <w:spacing w:val="-12"/>
        </w:rPr>
        <w:t> </w:t>
      </w:r>
      <w:r>
        <w:rPr>
          <w:color w:val="231F20"/>
          <w:spacing w:val="-2"/>
        </w:rPr>
        <w:t>production</w:t>
      </w:r>
      <w:r>
        <w:rPr>
          <w:color w:val="231F20"/>
          <w:spacing w:val="-12"/>
        </w:rPr>
        <w:t> </w:t>
      </w:r>
      <w:r>
        <w:rPr>
          <w:color w:val="231F20"/>
          <w:spacing w:val="-2"/>
        </w:rPr>
        <w:t>of</w:t>
      </w:r>
      <w:r>
        <w:rPr>
          <w:color w:val="231F20"/>
          <w:spacing w:val="-12"/>
        </w:rPr>
        <w:t> </w:t>
      </w:r>
      <w:r>
        <w:rPr>
          <w:color w:val="231F20"/>
          <w:spacing w:val="-2"/>
        </w:rPr>
        <w:t>books,</w:t>
      </w:r>
      <w:r>
        <w:rPr>
          <w:color w:val="231F20"/>
          <w:spacing w:val="-12"/>
        </w:rPr>
        <w:t> </w:t>
      </w:r>
      <w:r>
        <w:rPr>
          <w:color w:val="231F20"/>
          <w:spacing w:val="-2"/>
        </w:rPr>
        <w:t>leaflets</w:t>
      </w:r>
      <w:r>
        <w:rPr>
          <w:color w:val="231F20"/>
          <w:spacing w:val="-12"/>
        </w:rPr>
        <w:t> </w:t>
      </w:r>
      <w:r>
        <w:rPr>
          <w:color w:val="231F20"/>
          <w:spacing w:val="-2"/>
        </w:rPr>
        <w:t>and </w:t>
      </w:r>
      <w:r>
        <w:rPr>
          <w:color w:val="231F20"/>
        </w:rPr>
        <w:t>other printed teaching matter, which precluded production of the texts for the third rationalization of the national curriculum.</w:t>
      </w:r>
      <w:r>
        <w:rPr>
          <w:color w:val="231F20"/>
          <w:spacing w:val="-8"/>
        </w:rPr>
        <w:t> </w:t>
      </w:r>
      <w:r>
        <w:rPr>
          <w:color w:val="231F20"/>
        </w:rPr>
        <w:t>Over</w:t>
      </w:r>
      <w:r>
        <w:rPr>
          <w:color w:val="231F20"/>
          <w:spacing w:val="-8"/>
        </w:rPr>
        <w:t> </w:t>
      </w:r>
      <w:r>
        <w:rPr>
          <w:color w:val="231F20"/>
        </w:rPr>
        <w:t>118,600</w:t>
      </w:r>
      <w:r>
        <w:rPr>
          <w:color w:val="231F20"/>
          <w:spacing w:val="-8"/>
        </w:rPr>
        <w:t> </w:t>
      </w:r>
      <w:r>
        <w:rPr>
          <w:color w:val="231F20"/>
        </w:rPr>
        <w:t>pupils,</w:t>
      </w:r>
      <w:r>
        <w:rPr>
          <w:color w:val="231F20"/>
          <w:spacing w:val="-8"/>
        </w:rPr>
        <w:t> </w:t>
      </w:r>
      <w:r>
        <w:rPr>
          <w:color w:val="231F20"/>
        </w:rPr>
        <w:t>mainly at</w:t>
      </w:r>
      <w:r>
        <w:rPr>
          <w:color w:val="231F20"/>
          <w:spacing w:val="-7"/>
        </w:rPr>
        <w:t> </w:t>
      </w:r>
      <w:r>
        <w:rPr>
          <w:color w:val="231F20"/>
        </w:rPr>
        <w:t>the</w:t>
      </w:r>
      <w:r>
        <w:rPr>
          <w:color w:val="231F20"/>
          <w:spacing w:val="-7"/>
        </w:rPr>
        <w:t> </w:t>
      </w:r>
      <w:r>
        <w:rPr>
          <w:color w:val="231F20"/>
        </w:rPr>
        <w:t>pre-school</w:t>
      </w:r>
      <w:r>
        <w:rPr>
          <w:color w:val="231F20"/>
          <w:spacing w:val="-7"/>
        </w:rPr>
        <w:t> </w:t>
      </w:r>
      <w:r>
        <w:rPr>
          <w:color w:val="231F20"/>
        </w:rPr>
        <w:t>and</w:t>
      </w:r>
      <w:r>
        <w:rPr>
          <w:color w:val="231F20"/>
          <w:spacing w:val="-7"/>
        </w:rPr>
        <w:t> </w:t>
      </w:r>
      <w:r>
        <w:rPr>
          <w:color w:val="231F20"/>
        </w:rPr>
        <w:t>first-grade</w:t>
      </w:r>
      <w:r>
        <w:rPr>
          <w:color w:val="231F20"/>
          <w:spacing w:val="-7"/>
        </w:rPr>
        <w:t> </w:t>
      </w:r>
      <w:r>
        <w:rPr>
          <w:color w:val="231F20"/>
        </w:rPr>
        <w:t>levels, lacked</w:t>
      </w:r>
      <w:r>
        <w:rPr>
          <w:color w:val="231F20"/>
          <w:spacing w:val="-12"/>
        </w:rPr>
        <w:t> </w:t>
      </w:r>
      <w:r>
        <w:rPr>
          <w:color w:val="231F20"/>
        </w:rPr>
        <w:t>a</w:t>
      </w:r>
      <w:r>
        <w:rPr>
          <w:color w:val="231F20"/>
          <w:spacing w:val="-12"/>
        </w:rPr>
        <w:t> </w:t>
      </w:r>
      <w:r>
        <w:rPr>
          <w:color w:val="231F20"/>
        </w:rPr>
        <w:t>complete</w:t>
      </w:r>
      <w:r>
        <w:rPr>
          <w:color w:val="231F20"/>
          <w:spacing w:val="-12"/>
        </w:rPr>
        <w:t> </w:t>
      </w:r>
      <w:r>
        <w:rPr>
          <w:color w:val="231F20"/>
        </w:rPr>
        <w:t>set</w:t>
      </w:r>
      <w:r>
        <w:rPr>
          <w:color w:val="231F20"/>
          <w:spacing w:val="-12"/>
        </w:rPr>
        <w:t> </w:t>
      </w:r>
      <w:r>
        <w:rPr>
          <w:color w:val="231F20"/>
        </w:rPr>
        <w:t>of</w:t>
      </w:r>
      <w:r>
        <w:rPr>
          <w:color w:val="231F20"/>
          <w:spacing w:val="-12"/>
        </w:rPr>
        <w:t> </w:t>
      </w:r>
      <w:r>
        <w:rPr>
          <w:color w:val="231F20"/>
        </w:rPr>
        <w:t>exercise</w:t>
      </w:r>
      <w:r>
        <w:rPr>
          <w:color w:val="231F20"/>
          <w:spacing w:val="-12"/>
        </w:rPr>
        <w:t> </w:t>
      </w:r>
      <w:r>
        <w:rPr>
          <w:color w:val="231F20"/>
        </w:rPr>
        <w:t>books </w:t>
      </w:r>
      <w:r>
        <w:rPr>
          <w:color w:val="231F20"/>
          <w:spacing w:val="-4"/>
        </w:rPr>
        <w:t>for</w:t>
      </w:r>
      <w:r>
        <w:rPr>
          <w:color w:val="231F20"/>
          <w:spacing w:val="-11"/>
        </w:rPr>
        <w:t> </w:t>
      </w:r>
      <w:r>
        <w:rPr>
          <w:color w:val="231F20"/>
          <w:spacing w:val="-4"/>
        </w:rPr>
        <w:t>the</w:t>
      </w:r>
      <w:r>
        <w:rPr>
          <w:color w:val="231F20"/>
          <w:spacing w:val="-11"/>
        </w:rPr>
        <w:t> </w:t>
      </w:r>
      <w:r>
        <w:rPr>
          <w:color w:val="231F20"/>
          <w:spacing w:val="-4"/>
        </w:rPr>
        <w:t>reading,</w:t>
      </w:r>
      <w:r>
        <w:rPr>
          <w:color w:val="231F20"/>
          <w:spacing w:val="-11"/>
        </w:rPr>
        <w:t> </w:t>
      </w:r>
      <w:r>
        <w:rPr>
          <w:color w:val="231F20"/>
          <w:spacing w:val="-4"/>
        </w:rPr>
        <w:t>writing</w:t>
      </w:r>
      <w:r>
        <w:rPr>
          <w:color w:val="231F20"/>
          <w:spacing w:val="-11"/>
        </w:rPr>
        <w:t> </w:t>
      </w:r>
      <w:r>
        <w:rPr>
          <w:color w:val="231F20"/>
          <w:spacing w:val="-4"/>
        </w:rPr>
        <w:t>and</w:t>
      </w:r>
      <w:r>
        <w:rPr>
          <w:color w:val="231F20"/>
          <w:spacing w:val="-11"/>
        </w:rPr>
        <w:t> </w:t>
      </w:r>
      <w:r>
        <w:rPr>
          <w:color w:val="231F20"/>
          <w:spacing w:val="-4"/>
        </w:rPr>
        <w:t>mathematics </w:t>
      </w:r>
      <w:r>
        <w:rPr>
          <w:color w:val="231F20"/>
          <w:spacing w:val="-2"/>
        </w:rPr>
        <w:t>areas.</w:t>
      </w:r>
    </w:p>
    <w:p>
      <w:pPr>
        <w:spacing w:before="168"/>
        <w:ind w:left="1734" w:right="0" w:firstLine="0"/>
        <w:jc w:val="both"/>
        <w:rPr>
          <w:sz w:val="24"/>
        </w:rPr>
      </w:pPr>
      <w:r>
        <w:rPr>
          <w:i/>
          <w:color w:val="231F20"/>
          <w:spacing w:val="-2"/>
          <w:sz w:val="24"/>
        </w:rPr>
        <w:t>There</w:t>
      </w:r>
      <w:r>
        <w:rPr>
          <w:i/>
          <w:color w:val="231F20"/>
          <w:spacing w:val="-11"/>
          <w:sz w:val="24"/>
        </w:rPr>
        <w:t> </w:t>
      </w:r>
      <w:r>
        <w:rPr>
          <w:i/>
          <w:color w:val="231F20"/>
          <w:spacing w:val="-2"/>
          <w:sz w:val="24"/>
        </w:rPr>
        <w:t>were</w:t>
      </w:r>
      <w:r>
        <w:rPr>
          <w:i/>
          <w:color w:val="231F20"/>
          <w:spacing w:val="-11"/>
          <w:sz w:val="24"/>
        </w:rPr>
        <w:t> </w:t>
      </w:r>
      <w:r>
        <w:rPr>
          <w:i/>
          <w:color w:val="231F20"/>
          <w:spacing w:val="-2"/>
          <w:sz w:val="24"/>
        </w:rPr>
        <w:t>shortfalls</w:t>
      </w:r>
      <w:r>
        <w:rPr>
          <w:i/>
          <w:color w:val="231F20"/>
          <w:spacing w:val="-11"/>
          <w:sz w:val="24"/>
        </w:rPr>
        <w:t> </w:t>
      </w:r>
      <w:r>
        <w:rPr>
          <w:i/>
          <w:color w:val="231F20"/>
          <w:spacing w:val="-2"/>
          <w:sz w:val="24"/>
        </w:rPr>
        <w:t>of</w:t>
      </w:r>
      <w:r>
        <w:rPr>
          <w:i/>
          <w:color w:val="231F20"/>
          <w:spacing w:val="-11"/>
          <w:sz w:val="24"/>
        </w:rPr>
        <w:t> </w:t>
      </w:r>
      <w:r>
        <w:rPr>
          <w:i/>
          <w:color w:val="231F20"/>
          <w:spacing w:val="-2"/>
          <w:sz w:val="24"/>
        </w:rPr>
        <w:t>production</w:t>
      </w:r>
      <w:r>
        <w:rPr>
          <w:i/>
          <w:color w:val="231F20"/>
          <w:spacing w:val="-11"/>
          <w:sz w:val="24"/>
        </w:rPr>
        <w:t> </w:t>
      </w:r>
      <w:r>
        <w:rPr>
          <w:i/>
          <w:color w:val="231F20"/>
          <w:spacing w:val="-2"/>
          <w:sz w:val="24"/>
        </w:rPr>
        <w:t>at</w:t>
      </w:r>
      <w:r>
        <w:rPr>
          <w:i/>
          <w:color w:val="231F20"/>
          <w:spacing w:val="-11"/>
          <w:sz w:val="24"/>
        </w:rPr>
        <w:t> </w:t>
      </w:r>
      <w:r>
        <w:rPr>
          <w:i/>
          <w:color w:val="231F20"/>
          <w:spacing w:val="-2"/>
          <w:sz w:val="24"/>
        </w:rPr>
        <w:t>the</w:t>
      </w:r>
      <w:r>
        <w:rPr>
          <w:i/>
          <w:color w:val="231F20"/>
          <w:spacing w:val="-2"/>
          <w:sz w:val="24"/>
        </w:rPr>
        <w:t> </w:t>
      </w:r>
      <w:r>
        <w:rPr>
          <w:i/>
          <w:color w:val="231F20"/>
          <w:sz w:val="24"/>
        </w:rPr>
        <w:t>Caribe</w:t>
      </w:r>
      <w:r>
        <w:rPr>
          <w:i/>
          <w:color w:val="231F20"/>
          <w:spacing w:val="-17"/>
          <w:sz w:val="24"/>
        </w:rPr>
        <w:t> </w:t>
      </w:r>
      <w:r>
        <w:rPr>
          <w:i/>
          <w:color w:val="231F20"/>
          <w:sz w:val="24"/>
        </w:rPr>
        <w:t>newspapers</w:t>
      </w:r>
      <w:r>
        <w:rPr>
          <w:i/>
          <w:color w:val="231F20"/>
          <w:spacing w:val="-16"/>
          <w:sz w:val="24"/>
        </w:rPr>
        <w:t> </w:t>
      </w:r>
      <w:r>
        <w:rPr>
          <w:i/>
          <w:color w:val="231F20"/>
          <w:sz w:val="24"/>
        </w:rPr>
        <w:t>and</w:t>
      </w:r>
      <w:r>
        <w:rPr>
          <w:i/>
          <w:color w:val="231F20"/>
          <w:spacing w:val="-17"/>
          <w:sz w:val="24"/>
        </w:rPr>
        <w:t> </w:t>
      </w:r>
      <w:r>
        <w:rPr>
          <w:i/>
          <w:color w:val="231F20"/>
          <w:sz w:val="24"/>
        </w:rPr>
        <w:t>publishing</w:t>
      </w:r>
      <w:r>
        <w:rPr>
          <w:i/>
          <w:color w:val="231F20"/>
          <w:spacing w:val="-16"/>
          <w:sz w:val="24"/>
        </w:rPr>
        <w:t> </w:t>
      </w:r>
      <w:r>
        <w:rPr>
          <w:i/>
          <w:color w:val="231F20"/>
          <w:sz w:val="24"/>
        </w:rPr>
        <w:t>firms, of 76.9 million notebooks, textbooks, exercise</w:t>
      </w:r>
      <w:r>
        <w:rPr>
          <w:i/>
          <w:color w:val="231F20"/>
          <w:spacing w:val="-16"/>
          <w:sz w:val="24"/>
        </w:rPr>
        <w:t> </w:t>
      </w:r>
      <w:r>
        <w:rPr>
          <w:i/>
          <w:color w:val="231F20"/>
          <w:sz w:val="24"/>
        </w:rPr>
        <w:t>books</w:t>
      </w:r>
      <w:r>
        <w:rPr>
          <w:i/>
          <w:color w:val="231F20"/>
          <w:spacing w:val="-16"/>
          <w:sz w:val="24"/>
        </w:rPr>
        <w:t> </w:t>
      </w:r>
      <w:r>
        <w:rPr>
          <w:i/>
          <w:color w:val="231F20"/>
          <w:sz w:val="24"/>
        </w:rPr>
        <w:t>and</w:t>
      </w:r>
      <w:r>
        <w:rPr>
          <w:i/>
          <w:color w:val="231F20"/>
          <w:spacing w:val="-16"/>
          <w:sz w:val="24"/>
        </w:rPr>
        <w:t> </w:t>
      </w:r>
      <w:r>
        <w:rPr>
          <w:i/>
          <w:color w:val="231F20"/>
          <w:sz w:val="24"/>
        </w:rPr>
        <w:t>medical</w:t>
      </w:r>
      <w:r>
        <w:rPr>
          <w:i/>
          <w:color w:val="231F20"/>
          <w:spacing w:val="-16"/>
          <w:sz w:val="24"/>
        </w:rPr>
        <w:t> </w:t>
      </w:r>
      <w:r>
        <w:rPr>
          <w:i/>
          <w:color w:val="231F20"/>
          <w:sz w:val="24"/>
        </w:rPr>
        <w:t>prescriptions and</w:t>
      </w:r>
      <w:r>
        <w:rPr>
          <w:i/>
          <w:color w:val="231F20"/>
          <w:spacing w:val="38"/>
          <w:sz w:val="24"/>
        </w:rPr>
        <w:t> </w:t>
      </w:r>
      <w:r>
        <w:rPr>
          <w:i/>
          <w:color w:val="231F20"/>
          <w:sz w:val="24"/>
        </w:rPr>
        <w:t>of</w:t>
      </w:r>
      <w:r>
        <w:rPr>
          <w:i/>
          <w:color w:val="231F20"/>
          <w:spacing w:val="39"/>
          <w:sz w:val="24"/>
        </w:rPr>
        <w:t> </w:t>
      </w:r>
      <w:r>
        <w:rPr>
          <w:i/>
          <w:color w:val="231F20"/>
          <w:sz w:val="24"/>
        </w:rPr>
        <w:t>97.4</w:t>
      </w:r>
      <w:r>
        <w:rPr>
          <w:i/>
          <w:color w:val="231F20"/>
          <w:spacing w:val="38"/>
          <w:sz w:val="24"/>
        </w:rPr>
        <w:t> </w:t>
      </w:r>
      <w:r>
        <w:rPr>
          <w:i/>
          <w:color w:val="231F20"/>
          <w:sz w:val="24"/>
        </w:rPr>
        <w:t>million</w:t>
      </w:r>
      <w:r>
        <w:rPr>
          <w:i/>
          <w:color w:val="231F20"/>
          <w:spacing w:val="39"/>
          <w:sz w:val="24"/>
        </w:rPr>
        <w:t> </w:t>
      </w:r>
      <w:r>
        <w:rPr>
          <w:i/>
          <w:color w:val="231F20"/>
          <w:sz w:val="24"/>
        </w:rPr>
        <w:t>newspapers</w:t>
      </w:r>
      <w:r>
        <w:rPr>
          <w:color w:val="231F20"/>
          <w:sz w:val="24"/>
        </w:rPr>
        <w:t>.</w:t>
      </w:r>
      <w:r>
        <w:rPr>
          <w:color w:val="231F20"/>
          <w:spacing w:val="40"/>
          <w:sz w:val="24"/>
        </w:rPr>
        <w:t> </w:t>
      </w:r>
      <w:r>
        <w:rPr>
          <w:color w:val="231F20"/>
          <w:spacing w:val="-2"/>
          <w:sz w:val="24"/>
        </w:rPr>
        <w:t>These</w:t>
      </w:r>
    </w:p>
    <w:p>
      <w:pPr>
        <w:pStyle w:val="BodyText"/>
        <w:spacing w:before="77"/>
        <w:ind w:left="673" w:right="1133"/>
      </w:pPr>
      <w:r>
        <w:rPr/>
        <w:br w:type="column"/>
      </w:r>
      <w:r>
        <w:rPr>
          <w:color w:val="231F20"/>
        </w:rPr>
        <w:t>effects were partly due to cancellation of</w:t>
      </w:r>
      <w:r>
        <w:rPr>
          <w:color w:val="231F20"/>
          <w:spacing w:val="-9"/>
        </w:rPr>
        <w:t> </w:t>
      </w:r>
      <w:r>
        <w:rPr>
          <w:color w:val="231F20"/>
        </w:rPr>
        <w:t>a</w:t>
      </w:r>
      <w:r>
        <w:rPr>
          <w:color w:val="231F20"/>
          <w:spacing w:val="-9"/>
        </w:rPr>
        <w:t> </w:t>
      </w:r>
      <w:r>
        <w:rPr>
          <w:color w:val="231F20"/>
        </w:rPr>
        <w:t>line</w:t>
      </w:r>
      <w:r>
        <w:rPr>
          <w:color w:val="231F20"/>
          <w:spacing w:val="-9"/>
        </w:rPr>
        <w:t> </w:t>
      </w:r>
      <w:r>
        <w:rPr>
          <w:color w:val="231F20"/>
        </w:rPr>
        <w:t>of</w:t>
      </w:r>
      <w:r>
        <w:rPr>
          <w:color w:val="231F20"/>
          <w:spacing w:val="-9"/>
        </w:rPr>
        <w:t> </w:t>
      </w:r>
      <w:r>
        <w:rPr>
          <w:color w:val="231F20"/>
        </w:rPr>
        <w:t>credit</w:t>
      </w:r>
      <w:r>
        <w:rPr>
          <w:color w:val="231F20"/>
          <w:spacing w:val="-9"/>
        </w:rPr>
        <w:t> </w:t>
      </w:r>
      <w:r>
        <w:rPr>
          <w:color w:val="231F20"/>
        </w:rPr>
        <w:t>following</w:t>
      </w:r>
      <w:r>
        <w:rPr>
          <w:color w:val="231F20"/>
          <w:spacing w:val="-9"/>
        </w:rPr>
        <w:t> </w:t>
      </w:r>
      <w:r>
        <w:rPr>
          <w:color w:val="231F20"/>
        </w:rPr>
        <w:t>the</w:t>
      </w:r>
      <w:r>
        <w:rPr>
          <w:color w:val="231F20"/>
          <w:spacing w:val="-9"/>
        </w:rPr>
        <w:t> </w:t>
      </w:r>
      <w:r>
        <w:rPr>
          <w:color w:val="231F20"/>
        </w:rPr>
        <w:t>decision by</w:t>
      </w:r>
      <w:r>
        <w:rPr>
          <w:color w:val="231F20"/>
          <w:spacing w:val="-1"/>
        </w:rPr>
        <w:t> </w:t>
      </w:r>
      <w:r>
        <w:rPr>
          <w:color w:val="231F20"/>
        </w:rPr>
        <w:t>a</w:t>
      </w:r>
      <w:r>
        <w:rPr>
          <w:color w:val="231F20"/>
          <w:spacing w:val="-1"/>
        </w:rPr>
        <w:t> </w:t>
      </w:r>
      <w:r>
        <w:rPr>
          <w:color w:val="231F20"/>
        </w:rPr>
        <w:t>Canadian</w:t>
      </w:r>
      <w:r>
        <w:rPr>
          <w:color w:val="231F20"/>
          <w:spacing w:val="-1"/>
        </w:rPr>
        <w:t> </w:t>
      </w:r>
      <w:r>
        <w:rPr>
          <w:color w:val="231F20"/>
        </w:rPr>
        <w:t>paper</w:t>
      </w:r>
      <w:r>
        <w:rPr>
          <w:color w:val="231F20"/>
          <w:spacing w:val="-1"/>
        </w:rPr>
        <w:t> </w:t>
      </w:r>
      <w:r>
        <w:rPr>
          <w:color w:val="231F20"/>
        </w:rPr>
        <w:t>mill</w:t>
      </w:r>
      <w:r>
        <w:rPr>
          <w:color w:val="231F20"/>
          <w:spacing w:val="-1"/>
        </w:rPr>
        <w:t> </w:t>
      </w:r>
      <w:r>
        <w:rPr>
          <w:color w:val="231F20"/>
        </w:rPr>
        <w:t>to</w:t>
      </w:r>
      <w:r>
        <w:rPr>
          <w:color w:val="231F20"/>
          <w:spacing w:val="-1"/>
        </w:rPr>
        <w:t> </w:t>
      </w:r>
      <w:r>
        <w:rPr>
          <w:color w:val="231F20"/>
        </w:rPr>
        <w:t>bow</w:t>
      </w:r>
      <w:r>
        <w:rPr>
          <w:color w:val="231F20"/>
          <w:spacing w:val="-1"/>
        </w:rPr>
        <w:t> </w:t>
      </w:r>
      <w:r>
        <w:rPr>
          <w:color w:val="231F20"/>
        </w:rPr>
        <w:t>to</w:t>
      </w:r>
      <w:r>
        <w:rPr>
          <w:color w:val="231F20"/>
          <w:spacing w:val="-1"/>
        </w:rPr>
        <w:t> </w:t>
      </w:r>
      <w:r>
        <w:rPr>
          <w:color w:val="231F20"/>
        </w:rPr>
        <w:t>the blockade</w:t>
      </w:r>
      <w:r>
        <w:rPr>
          <w:color w:val="231F20"/>
          <w:spacing w:val="-3"/>
        </w:rPr>
        <w:t> </w:t>
      </w:r>
      <w:r>
        <w:rPr>
          <w:color w:val="231F20"/>
        </w:rPr>
        <w:t>by</w:t>
      </w:r>
      <w:r>
        <w:rPr>
          <w:color w:val="231F20"/>
          <w:spacing w:val="-3"/>
        </w:rPr>
        <w:t> </w:t>
      </w:r>
      <w:r>
        <w:rPr>
          <w:color w:val="231F20"/>
        </w:rPr>
        <w:t>ceasing</w:t>
      </w:r>
      <w:r>
        <w:rPr>
          <w:color w:val="231F20"/>
          <w:spacing w:val="-3"/>
        </w:rPr>
        <w:t> </w:t>
      </w:r>
      <w:r>
        <w:rPr>
          <w:color w:val="231F20"/>
        </w:rPr>
        <w:t>to</w:t>
      </w:r>
      <w:r>
        <w:rPr>
          <w:color w:val="231F20"/>
          <w:spacing w:val="-3"/>
        </w:rPr>
        <w:t> </w:t>
      </w:r>
      <w:r>
        <w:rPr>
          <w:color w:val="231F20"/>
        </w:rPr>
        <w:t>supply</w:t>
      </w:r>
      <w:r>
        <w:rPr>
          <w:color w:val="231F20"/>
          <w:spacing w:val="-3"/>
        </w:rPr>
        <w:t> </w:t>
      </w:r>
      <w:r>
        <w:rPr>
          <w:color w:val="231F20"/>
        </w:rPr>
        <w:t>to</w:t>
      </w:r>
      <w:r>
        <w:rPr>
          <w:color w:val="231F20"/>
          <w:spacing w:val="-3"/>
        </w:rPr>
        <w:t> </w:t>
      </w:r>
      <w:r>
        <w:rPr>
          <w:color w:val="231F20"/>
        </w:rPr>
        <w:t>Cuba.</w:t>
      </w:r>
    </w:p>
    <w:p>
      <w:pPr>
        <w:spacing w:before="163"/>
        <w:ind w:left="673" w:right="1135" w:firstLine="0"/>
        <w:jc w:val="both"/>
        <w:rPr>
          <w:i/>
          <w:sz w:val="24"/>
        </w:rPr>
      </w:pPr>
      <w:r>
        <w:rPr/>
        <mc:AlternateContent>
          <mc:Choice Requires="wps">
            <w:drawing>
              <wp:anchor distT="0" distB="0" distL="0" distR="0" allowOverlap="1" layoutInCell="1" locked="0" behindDoc="0" simplePos="0" relativeHeight="15789568">
                <wp:simplePos x="0" y="0"/>
                <wp:positionH relativeFrom="page">
                  <wp:posOffset>4031997</wp:posOffset>
                </wp:positionH>
                <wp:positionV relativeFrom="paragraph">
                  <wp:posOffset>189085</wp:posOffset>
                </wp:positionV>
                <wp:extent cx="59690" cy="59690"/>
                <wp:effectExtent l="0" t="0" r="0" b="0"/>
                <wp:wrapNone/>
                <wp:docPr id="249" name="Graphic 249"/>
                <wp:cNvGraphicFramePr>
                  <a:graphicFrameLocks/>
                </wp:cNvGraphicFramePr>
                <a:graphic>
                  <a:graphicData uri="http://schemas.microsoft.com/office/word/2010/wordprocessingShape">
                    <wps:wsp>
                      <wps:cNvPr id="249" name="Graphic 24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88865pt;width:4.7pt;height:4.7pt;mso-position-horizontal-relative:page;mso-position-vertical-relative:paragraph;z-index:15789568" id="docshape199" coordorigin="6350,298" coordsize="94,94" path="m6396,298l6378,301,6363,311,6353,326,6350,344,6353,363,6363,377,6378,387,6396,391,6414,387,6429,377,6439,363,6443,344,6439,326,6429,311,6414,301,6396,298xe" filled="true" fillcolor="#1a4796" stroked="false">
                <v:path arrowok="t"/>
                <v:fill type="solid"/>
                <w10:wrap type="none"/>
              </v:shape>
            </w:pict>
          </mc:Fallback>
        </mc:AlternateContent>
      </w:r>
      <w:r>
        <w:rPr>
          <w:i/>
          <w:color w:val="231F20"/>
          <w:sz w:val="24"/>
        </w:rPr>
        <w:t>There</w:t>
      </w:r>
      <w:r>
        <w:rPr>
          <w:i/>
          <w:color w:val="231F20"/>
          <w:spacing w:val="-17"/>
          <w:sz w:val="24"/>
        </w:rPr>
        <w:t> </w:t>
      </w:r>
      <w:r>
        <w:rPr>
          <w:i/>
          <w:color w:val="231F20"/>
          <w:sz w:val="24"/>
        </w:rPr>
        <w:t>are</w:t>
      </w:r>
      <w:r>
        <w:rPr>
          <w:i/>
          <w:color w:val="231F20"/>
          <w:spacing w:val="-16"/>
          <w:sz w:val="24"/>
        </w:rPr>
        <w:t> </w:t>
      </w:r>
      <w:r>
        <w:rPr>
          <w:i/>
          <w:color w:val="231F20"/>
          <w:sz w:val="24"/>
        </w:rPr>
        <w:t>currently</w:t>
      </w:r>
      <w:r>
        <w:rPr>
          <w:i/>
          <w:color w:val="231F20"/>
          <w:spacing w:val="-17"/>
          <w:sz w:val="24"/>
        </w:rPr>
        <w:t> </w:t>
      </w:r>
      <w:r>
        <w:rPr>
          <w:i/>
          <w:color w:val="231F20"/>
          <w:sz w:val="24"/>
        </w:rPr>
        <w:t>1,315</w:t>
      </w:r>
      <w:r>
        <w:rPr>
          <w:i/>
          <w:color w:val="231F20"/>
          <w:spacing w:val="-16"/>
          <w:sz w:val="24"/>
        </w:rPr>
        <w:t> </w:t>
      </w:r>
      <w:r>
        <w:rPr>
          <w:i/>
          <w:color w:val="231F20"/>
          <w:sz w:val="24"/>
        </w:rPr>
        <w:t>establishments</w:t>
      </w:r>
      <w:r>
        <w:rPr>
          <w:i/>
          <w:color w:val="231F20"/>
          <w:sz w:val="24"/>
        </w:rPr>
        <w:t> within the national education system in need of repair, estimated to cost a total of USD 6,500,000. 12 hours free of the </w:t>
      </w:r>
      <w:r>
        <w:rPr>
          <w:i/>
          <w:color w:val="231F20"/>
          <w:spacing w:val="-2"/>
          <w:sz w:val="24"/>
        </w:rPr>
        <w:t>blockade</w:t>
      </w:r>
      <w:r>
        <w:rPr>
          <w:i/>
          <w:color w:val="231F20"/>
          <w:spacing w:val="-15"/>
          <w:sz w:val="24"/>
        </w:rPr>
        <w:t> </w:t>
      </w:r>
      <w:r>
        <w:rPr>
          <w:i/>
          <w:color w:val="231F20"/>
          <w:spacing w:val="-2"/>
          <w:sz w:val="24"/>
        </w:rPr>
        <w:t>would</w:t>
      </w:r>
      <w:r>
        <w:rPr>
          <w:i/>
          <w:color w:val="231F20"/>
          <w:spacing w:val="-14"/>
          <w:sz w:val="24"/>
        </w:rPr>
        <w:t> </w:t>
      </w:r>
      <w:r>
        <w:rPr>
          <w:i/>
          <w:color w:val="231F20"/>
          <w:spacing w:val="-2"/>
          <w:sz w:val="24"/>
        </w:rPr>
        <w:t>release</w:t>
      </w:r>
      <w:r>
        <w:rPr>
          <w:i/>
          <w:color w:val="231F20"/>
          <w:spacing w:val="-15"/>
          <w:sz w:val="24"/>
        </w:rPr>
        <w:t> </w:t>
      </w:r>
      <w:r>
        <w:rPr>
          <w:i/>
          <w:color w:val="231F20"/>
          <w:spacing w:val="-2"/>
          <w:sz w:val="24"/>
        </w:rPr>
        <w:t>the</w:t>
      </w:r>
      <w:r>
        <w:rPr>
          <w:i/>
          <w:color w:val="231F20"/>
          <w:spacing w:val="-14"/>
          <w:sz w:val="24"/>
        </w:rPr>
        <w:t> </w:t>
      </w:r>
      <w:r>
        <w:rPr>
          <w:i/>
          <w:color w:val="231F20"/>
          <w:spacing w:val="-2"/>
          <w:sz w:val="24"/>
        </w:rPr>
        <w:t>sum</w:t>
      </w:r>
      <w:r>
        <w:rPr>
          <w:i/>
          <w:color w:val="231F20"/>
          <w:spacing w:val="-15"/>
          <w:sz w:val="24"/>
        </w:rPr>
        <w:t> </w:t>
      </w:r>
      <w:r>
        <w:rPr>
          <w:i/>
          <w:color w:val="231F20"/>
          <w:spacing w:val="-2"/>
          <w:sz w:val="24"/>
        </w:rPr>
        <w:t>required.</w:t>
      </w:r>
    </w:p>
    <w:p>
      <w:pPr>
        <w:pStyle w:val="BodyText"/>
        <w:spacing w:before="164"/>
        <w:ind w:left="673" w:right="1137"/>
      </w:pPr>
      <w:r>
        <w:rPr/>
        <mc:AlternateContent>
          <mc:Choice Requires="wps">
            <w:drawing>
              <wp:anchor distT="0" distB="0" distL="0" distR="0" allowOverlap="1" layoutInCell="1" locked="0" behindDoc="0" simplePos="0" relativeHeight="15790080">
                <wp:simplePos x="0" y="0"/>
                <wp:positionH relativeFrom="page">
                  <wp:posOffset>4031997</wp:posOffset>
                </wp:positionH>
                <wp:positionV relativeFrom="paragraph">
                  <wp:posOffset>188343</wp:posOffset>
                </wp:positionV>
                <wp:extent cx="59690" cy="59690"/>
                <wp:effectExtent l="0" t="0" r="0" b="0"/>
                <wp:wrapNone/>
                <wp:docPr id="250" name="Graphic 250"/>
                <wp:cNvGraphicFramePr>
                  <a:graphicFrameLocks/>
                </wp:cNvGraphicFramePr>
                <a:graphic>
                  <a:graphicData uri="http://schemas.microsoft.com/office/word/2010/wordprocessingShape">
                    <wps:wsp>
                      <wps:cNvPr id="250" name="Graphic 25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830162pt;width:4.7pt;height:4.7pt;mso-position-horizontal-relative:page;mso-position-vertical-relative:paragraph;z-index:15790080" id="docshape200" coordorigin="6350,297" coordsize="94,94" path="m6396,297l6378,300,6363,310,6353,325,6350,343,6353,361,6363,376,6378,386,6396,390,6414,386,6429,376,6439,361,6443,343,6439,325,6429,310,6414,300,6396,297xe" filled="true" fillcolor="#1a4796" stroked="false">
                <v:path arrowok="t"/>
                <v:fill type="solid"/>
                <w10:wrap type="none"/>
              </v:shape>
            </w:pict>
          </mc:Fallback>
        </mc:AlternateContent>
      </w:r>
      <w:r>
        <w:rPr>
          <w:color w:val="231F20"/>
          <w:spacing w:val="-8"/>
        </w:rPr>
        <w:t>Importing batteries for the hearing aids of </w:t>
      </w:r>
      <w:r>
        <w:rPr>
          <w:color w:val="231F20"/>
          <w:spacing w:val="-10"/>
        </w:rPr>
        <w:t>pupils</w:t>
      </w:r>
      <w:r>
        <w:rPr>
          <w:color w:val="231F20"/>
          <w:spacing w:val="-5"/>
        </w:rPr>
        <w:t> </w:t>
      </w:r>
      <w:r>
        <w:rPr>
          <w:color w:val="231F20"/>
          <w:spacing w:val="-10"/>
        </w:rPr>
        <w:t>using</w:t>
      </w:r>
      <w:r>
        <w:rPr>
          <w:color w:val="231F20"/>
          <w:spacing w:val="-5"/>
        </w:rPr>
        <w:t> </w:t>
      </w:r>
      <w:r>
        <w:rPr>
          <w:color w:val="231F20"/>
          <w:spacing w:val="-10"/>
        </w:rPr>
        <w:t>these</w:t>
      </w:r>
      <w:r>
        <w:rPr>
          <w:color w:val="231F20"/>
          <w:spacing w:val="-5"/>
        </w:rPr>
        <w:t> </w:t>
      </w:r>
      <w:r>
        <w:rPr>
          <w:color w:val="231F20"/>
          <w:spacing w:val="-10"/>
        </w:rPr>
        <w:t>is</w:t>
      </w:r>
      <w:r>
        <w:rPr>
          <w:color w:val="231F20"/>
          <w:spacing w:val="-5"/>
        </w:rPr>
        <w:t> </w:t>
      </w:r>
      <w:r>
        <w:rPr>
          <w:color w:val="231F20"/>
          <w:spacing w:val="-10"/>
        </w:rPr>
        <w:t>problematic,</w:t>
      </w:r>
      <w:r>
        <w:rPr>
          <w:color w:val="231F20"/>
          <w:spacing w:val="-5"/>
        </w:rPr>
        <w:t> </w:t>
      </w:r>
      <w:r>
        <w:rPr>
          <w:color w:val="231F20"/>
          <w:spacing w:val="-10"/>
        </w:rPr>
        <w:t>since</w:t>
      </w:r>
      <w:r>
        <w:rPr>
          <w:color w:val="231F20"/>
          <w:spacing w:val="-5"/>
        </w:rPr>
        <w:t> </w:t>
      </w:r>
      <w:r>
        <w:rPr>
          <w:color w:val="231F20"/>
          <w:spacing w:val="-10"/>
        </w:rPr>
        <w:t>the </w:t>
      </w:r>
      <w:r>
        <w:rPr>
          <w:color w:val="231F20"/>
          <w:spacing w:val="-8"/>
        </w:rPr>
        <w:t>vast</w:t>
      </w:r>
      <w:r>
        <w:rPr>
          <w:color w:val="231F20"/>
          <w:spacing w:val="-9"/>
        </w:rPr>
        <w:t> </w:t>
      </w:r>
      <w:r>
        <w:rPr>
          <w:color w:val="231F20"/>
          <w:spacing w:val="-8"/>
        </w:rPr>
        <w:t>majority are</w:t>
      </w:r>
      <w:r>
        <w:rPr>
          <w:color w:val="231F20"/>
          <w:spacing w:val="-9"/>
        </w:rPr>
        <w:t> </w:t>
      </w:r>
      <w:r>
        <w:rPr>
          <w:color w:val="231F20"/>
          <w:spacing w:val="-8"/>
        </w:rPr>
        <w:t>made in</w:t>
      </w:r>
      <w:r>
        <w:rPr>
          <w:color w:val="231F20"/>
          <w:spacing w:val="-9"/>
        </w:rPr>
        <w:t> </w:t>
      </w:r>
      <w:r>
        <w:rPr>
          <w:color w:val="231F20"/>
          <w:spacing w:val="-8"/>
        </w:rPr>
        <w:t>U.S. Of</w:t>
      </w:r>
      <w:r>
        <w:rPr>
          <w:color w:val="231F20"/>
          <w:spacing w:val="-9"/>
        </w:rPr>
        <w:t> </w:t>
      </w:r>
      <w:r>
        <w:rPr>
          <w:color w:val="231F20"/>
          <w:spacing w:val="-8"/>
        </w:rPr>
        <w:t>the 1,152 </w:t>
      </w:r>
      <w:r>
        <w:rPr>
          <w:color w:val="231F20"/>
        </w:rPr>
        <w:t>schoolchildren with hearing difficulties, 920</w:t>
      </w:r>
      <w:r>
        <w:rPr>
          <w:color w:val="231F20"/>
          <w:spacing w:val="-7"/>
        </w:rPr>
        <w:t> </w:t>
      </w:r>
      <w:r>
        <w:rPr>
          <w:color w:val="231F20"/>
        </w:rPr>
        <w:t>use</w:t>
      </w:r>
      <w:r>
        <w:rPr>
          <w:color w:val="231F20"/>
          <w:spacing w:val="-7"/>
        </w:rPr>
        <w:t> </w:t>
      </w:r>
      <w:r>
        <w:rPr>
          <w:color w:val="231F20"/>
        </w:rPr>
        <w:t>such</w:t>
      </w:r>
      <w:r>
        <w:rPr>
          <w:color w:val="231F20"/>
          <w:spacing w:val="-7"/>
        </w:rPr>
        <w:t> </w:t>
      </w:r>
      <w:r>
        <w:rPr>
          <w:color w:val="231F20"/>
        </w:rPr>
        <w:t>devices;</w:t>
      </w:r>
      <w:r>
        <w:rPr>
          <w:color w:val="231F20"/>
          <w:spacing w:val="-6"/>
        </w:rPr>
        <w:t> </w:t>
      </w:r>
      <w:r>
        <w:rPr>
          <w:color w:val="231F20"/>
        </w:rPr>
        <w:t>and</w:t>
      </w:r>
      <w:r>
        <w:rPr>
          <w:color w:val="231F20"/>
          <w:spacing w:val="-6"/>
        </w:rPr>
        <w:t> </w:t>
      </w:r>
      <w:r>
        <w:rPr>
          <w:color w:val="231F20"/>
        </w:rPr>
        <w:t>of</w:t>
      </w:r>
      <w:r>
        <w:rPr>
          <w:color w:val="231F20"/>
          <w:spacing w:val="-7"/>
        </w:rPr>
        <w:t> </w:t>
      </w:r>
      <w:r>
        <w:rPr>
          <w:color w:val="231F20"/>
        </w:rPr>
        <w:t>those,</w:t>
      </w:r>
      <w:r>
        <w:rPr>
          <w:color w:val="231F20"/>
          <w:spacing w:val="-6"/>
        </w:rPr>
        <w:t> </w:t>
      </w:r>
      <w:r>
        <w:rPr>
          <w:color w:val="231F20"/>
        </w:rPr>
        <w:t>219 are</w:t>
      </w:r>
      <w:r>
        <w:rPr>
          <w:color w:val="231F20"/>
          <w:spacing w:val="-17"/>
        </w:rPr>
        <w:t> </w:t>
      </w:r>
      <w:r>
        <w:rPr>
          <w:color w:val="231F20"/>
        </w:rPr>
        <w:t>affected</w:t>
      </w:r>
      <w:r>
        <w:rPr>
          <w:color w:val="231F20"/>
          <w:spacing w:val="-16"/>
        </w:rPr>
        <w:t> </w:t>
      </w:r>
      <w:r>
        <w:rPr>
          <w:color w:val="231F20"/>
        </w:rPr>
        <w:t>by</w:t>
      </w:r>
      <w:r>
        <w:rPr>
          <w:color w:val="231F20"/>
          <w:spacing w:val="-17"/>
        </w:rPr>
        <w:t> </w:t>
      </w:r>
      <w:r>
        <w:rPr>
          <w:color w:val="231F20"/>
        </w:rPr>
        <w:t>breakage</w:t>
      </w:r>
      <w:r>
        <w:rPr>
          <w:color w:val="231F20"/>
          <w:spacing w:val="-16"/>
        </w:rPr>
        <w:t> </w:t>
      </w:r>
      <w:r>
        <w:rPr>
          <w:color w:val="231F20"/>
        </w:rPr>
        <w:t>of</w:t>
      </w:r>
      <w:r>
        <w:rPr>
          <w:color w:val="231F20"/>
          <w:spacing w:val="-17"/>
        </w:rPr>
        <w:t> </w:t>
      </w:r>
      <w:r>
        <w:rPr>
          <w:color w:val="231F20"/>
        </w:rPr>
        <w:t>these.</w:t>
      </w:r>
    </w:p>
    <w:p>
      <w:pPr>
        <w:pStyle w:val="BodyText"/>
        <w:spacing w:before="164"/>
        <w:ind w:left="673" w:right="1133"/>
      </w:pPr>
      <w:r>
        <w:rPr/>
        <mc:AlternateContent>
          <mc:Choice Requires="wps">
            <w:drawing>
              <wp:anchor distT="0" distB="0" distL="0" distR="0" allowOverlap="1" layoutInCell="1" locked="0" behindDoc="0" simplePos="0" relativeHeight="15790592">
                <wp:simplePos x="0" y="0"/>
                <wp:positionH relativeFrom="page">
                  <wp:posOffset>4031997</wp:posOffset>
                </wp:positionH>
                <wp:positionV relativeFrom="paragraph">
                  <wp:posOffset>189899</wp:posOffset>
                </wp:positionV>
                <wp:extent cx="59690" cy="59690"/>
                <wp:effectExtent l="0" t="0" r="0" b="0"/>
                <wp:wrapNone/>
                <wp:docPr id="251" name="Graphic 251"/>
                <wp:cNvGraphicFramePr>
                  <a:graphicFrameLocks/>
                </wp:cNvGraphicFramePr>
                <a:graphic>
                  <a:graphicData uri="http://schemas.microsoft.com/office/word/2010/wordprocessingShape">
                    <wps:wsp>
                      <wps:cNvPr id="251" name="Graphic 25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52738pt;width:4.7pt;height:4.7pt;mso-position-horizontal-relative:page;mso-position-vertical-relative:paragraph;z-index:15790592" id="docshape201" coordorigin="6350,299" coordsize="94,94" path="m6396,299l6378,303,6363,313,6353,328,6350,346,6353,364,6363,379,6378,389,6396,392,6414,389,6429,379,6439,364,6443,346,6439,328,6429,313,6414,303,6396,299xe" filled="true" fillcolor="#1a4796" stroked="false">
                <v:path arrowok="t"/>
                <v:fill type="solid"/>
                <w10:wrap type="none"/>
              </v:shape>
            </w:pict>
          </mc:Fallback>
        </mc:AlternateContent>
      </w:r>
      <w:r>
        <w:rPr>
          <w:color w:val="231F20"/>
        </w:rPr>
        <w:t>The Cuban state makes considerable efforts in granting a 50% subsidy on </w:t>
      </w:r>
      <w:r>
        <w:rPr>
          <w:color w:val="231F20"/>
          <w:spacing w:val="-2"/>
        </w:rPr>
        <w:t>school</w:t>
      </w:r>
      <w:r>
        <w:rPr>
          <w:color w:val="231F20"/>
          <w:spacing w:val="-9"/>
        </w:rPr>
        <w:t> </w:t>
      </w:r>
      <w:r>
        <w:rPr>
          <w:color w:val="231F20"/>
          <w:spacing w:val="-2"/>
        </w:rPr>
        <w:t>uniforms.</w:t>
      </w:r>
      <w:r>
        <w:rPr>
          <w:color w:val="231F20"/>
          <w:spacing w:val="-9"/>
        </w:rPr>
        <w:t> </w:t>
      </w:r>
      <w:r>
        <w:rPr>
          <w:color w:val="231F20"/>
          <w:spacing w:val="-2"/>
        </w:rPr>
        <w:t>However,</w:t>
      </w:r>
      <w:r>
        <w:rPr>
          <w:color w:val="231F20"/>
          <w:spacing w:val="-9"/>
        </w:rPr>
        <w:t> </w:t>
      </w:r>
      <w:r>
        <w:rPr>
          <w:color w:val="231F20"/>
          <w:spacing w:val="-2"/>
        </w:rPr>
        <w:t>the</w:t>
      </w:r>
      <w:r>
        <w:rPr>
          <w:color w:val="231F20"/>
          <w:spacing w:val="-9"/>
        </w:rPr>
        <w:t> </w:t>
      </w:r>
      <w:r>
        <w:rPr>
          <w:color w:val="231F20"/>
          <w:spacing w:val="-2"/>
        </w:rPr>
        <w:t>blockade </w:t>
      </w:r>
      <w:r>
        <w:rPr>
          <w:color w:val="231F20"/>
        </w:rPr>
        <w:t>is currently causing a shortage of raw materials for making these and for improving</w:t>
      </w:r>
      <w:r>
        <w:rPr>
          <w:color w:val="231F20"/>
          <w:spacing w:val="-9"/>
        </w:rPr>
        <w:t> </w:t>
      </w:r>
      <w:r>
        <w:rPr>
          <w:color w:val="231F20"/>
        </w:rPr>
        <w:t>school</w:t>
      </w:r>
      <w:r>
        <w:rPr>
          <w:color w:val="231F20"/>
          <w:spacing w:val="-9"/>
        </w:rPr>
        <w:t> </w:t>
      </w:r>
      <w:r>
        <w:rPr>
          <w:color w:val="231F20"/>
        </w:rPr>
        <w:t>furnishings.</w:t>
      </w:r>
      <w:r>
        <w:rPr>
          <w:color w:val="231F20"/>
          <w:spacing w:val="-9"/>
        </w:rPr>
        <w:t> </w:t>
      </w:r>
      <w:r>
        <w:rPr>
          <w:color w:val="231F20"/>
        </w:rPr>
        <w:t>The</w:t>
      </w:r>
      <w:r>
        <w:rPr>
          <w:color w:val="231F20"/>
          <w:spacing w:val="-9"/>
        </w:rPr>
        <w:t> </w:t>
      </w:r>
      <w:r>
        <w:rPr>
          <w:color w:val="231F20"/>
        </w:rPr>
        <w:t>need to</w:t>
      </w:r>
      <w:r>
        <w:rPr>
          <w:color w:val="231F20"/>
          <w:spacing w:val="-17"/>
        </w:rPr>
        <w:t> </w:t>
      </w:r>
      <w:r>
        <w:rPr>
          <w:color w:val="231F20"/>
        </w:rPr>
        <w:t>purchase</w:t>
      </w:r>
      <w:r>
        <w:rPr>
          <w:color w:val="231F20"/>
          <w:spacing w:val="-16"/>
        </w:rPr>
        <w:t> </w:t>
      </w:r>
      <w:r>
        <w:rPr>
          <w:color w:val="231F20"/>
        </w:rPr>
        <w:t>in</w:t>
      </w:r>
      <w:r>
        <w:rPr>
          <w:color w:val="231F20"/>
          <w:spacing w:val="-17"/>
        </w:rPr>
        <w:t> </w:t>
      </w:r>
      <w:r>
        <w:rPr>
          <w:color w:val="231F20"/>
        </w:rPr>
        <w:t>distant</w:t>
      </w:r>
      <w:r>
        <w:rPr>
          <w:color w:val="231F20"/>
          <w:spacing w:val="-16"/>
        </w:rPr>
        <w:t> </w:t>
      </w:r>
      <w:r>
        <w:rPr>
          <w:color w:val="231F20"/>
        </w:rPr>
        <w:t>markets</w:t>
      </w:r>
      <w:r>
        <w:rPr>
          <w:color w:val="231F20"/>
          <w:spacing w:val="-17"/>
        </w:rPr>
        <w:t> </w:t>
      </w:r>
      <w:r>
        <w:rPr>
          <w:color w:val="231F20"/>
        </w:rPr>
        <w:t>increases the costs by a factor of four or five.</w:t>
      </w:r>
    </w:p>
    <w:p>
      <w:pPr>
        <w:pStyle w:val="BodyText"/>
        <w:spacing w:before="167"/>
        <w:ind w:left="673" w:right="1132"/>
      </w:pPr>
      <w:r>
        <w:rPr/>
        <mc:AlternateContent>
          <mc:Choice Requires="wps">
            <w:drawing>
              <wp:anchor distT="0" distB="0" distL="0" distR="0" allowOverlap="1" layoutInCell="1" locked="0" behindDoc="0" simplePos="0" relativeHeight="15791616">
                <wp:simplePos x="0" y="0"/>
                <wp:positionH relativeFrom="page">
                  <wp:posOffset>4031997</wp:posOffset>
                </wp:positionH>
                <wp:positionV relativeFrom="paragraph">
                  <wp:posOffset>191408</wp:posOffset>
                </wp:positionV>
                <wp:extent cx="59690" cy="59690"/>
                <wp:effectExtent l="0" t="0" r="0" b="0"/>
                <wp:wrapNone/>
                <wp:docPr id="252" name="Graphic 252"/>
                <wp:cNvGraphicFramePr>
                  <a:graphicFrameLocks/>
                </wp:cNvGraphicFramePr>
                <a:graphic>
                  <a:graphicData uri="http://schemas.microsoft.com/office/word/2010/wordprocessingShape">
                    <wps:wsp>
                      <wps:cNvPr id="252" name="Graphic 25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071538pt;width:4.7pt;height:4.7pt;mso-position-horizontal-relative:page;mso-position-vertical-relative:paragraph;z-index:15791616" id="docshape202" coordorigin="6350,301" coordsize="94,94" path="m6396,301l6378,305,6363,315,6353,330,6350,348,6353,366,6363,381,6378,391,6396,395,6414,391,6429,381,6439,366,6443,348,6439,330,6429,315,6414,305,6396,301xe" filled="true" fillcolor="#1a4796" stroked="false">
                <v:path arrowok="t"/>
                <v:fill type="solid"/>
                <w10:wrap type="none"/>
              </v:shape>
            </w:pict>
          </mc:Fallback>
        </mc:AlternateContent>
      </w:r>
      <w:r>
        <w:rPr>
          <w:color w:val="231F20"/>
        </w:rPr>
        <w:t>The blockade dissuaded University College London from purchasing and sending computer equipment planned for</w:t>
      </w:r>
      <w:r>
        <w:rPr>
          <w:color w:val="231F20"/>
          <w:spacing w:val="-9"/>
        </w:rPr>
        <w:t> </w:t>
      </w:r>
      <w:r>
        <w:rPr>
          <w:color w:val="231F20"/>
        </w:rPr>
        <w:t>a</w:t>
      </w:r>
      <w:r>
        <w:rPr>
          <w:color w:val="231F20"/>
          <w:spacing w:val="-9"/>
        </w:rPr>
        <w:t> </w:t>
      </w:r>
      <w:r>
        <w:rPr>
          <w:color w:val="231F20"/>
        </w:rPr>
        <w:t>joint</w:t>
      </w:r>
      <w:r>
        <w:rPr>
          <w:color w:val="231F20"/>
          <w:spacing w:val="-9"/>
        </w:rPr>
        <w:t> </w:t>
      </w:r>
      <w:r>
        <w:rPr>
          <w:color w:val="231F20"/>
        </w:rPr>
        <w:t>project</w:t>
      </w:r>
      <w:r>
        <w:rPr>
          <w:color w:val="231F20"/>
          <w:spacing w:val="-9"/>
        </w:rPr>
        <w:t> </w:t>
      </w:r>
      <w:r>
        <w:rPr>
          <w:color w:val="231F20"/>
        </w:rPr>
        <w:t>with</w:t>
      </w:r>
      <w:r>
        <w:rPr>
          <w:color w:val="231F20"/>
          <w:spacing w:val="-9"/>
        </w:rPr>
        <w:t> </w:t>
      </w:r>
      <w:r>
        <w:rPr>
          <w:color w:val="231F20"/>
        </w:rPr>
        <w:t>the</w:t>
      </w:r>
      <w:r>
        <w:rPr>
          <w:color w:val="231F20"/>
          <w:spacing w:val="-9"/>
        </w:rPr>
        <w:t> </w:t>
      </w:r>
      <w:r>
        <w:rPr>
          <w:color w:val="231F20"/>
        </w:rPr>
        <w:t>José</w:t>
      </w:r>
      <w:r>
        <w:rPr>
          <w:color w:val="231F20"/>
          <w:spacing w:val="-9"/>
        </w:rPr>
        <w:t> </w:t>
      </w:r>
      <w:r>
        <w:rPr>
          <w:color w:val="231F20"/>
        </w:rPr>
        <w:t>Antonio Echeverría Technological University (“CUJAE”) in Havana, because it was destined for a Cuban entity.</w:t>
      </w:r>
    </w:p>
    <w:p>
      <w:pPr>
        <w:pStyle w:val="BodyText"/>
        <w:spacing w:before="165"/>
        <w:ind w:left="673" w:right="1133"/>
      </w:pPr>
      <w:r>
        <w:rPr/>
        <mc:AlternateContent>
          <mc:Choice Requires="wps">
            <w:drawing>
              <wp:anchor distT="0" distB="0" distL="0" distR="0" allowOverlap="1" layoutInCell="1" locked="0" behindDoc="0" simplePos="0" relativeHeight="15791104">
                <wp:simplePos x="0" y="0"/>
                <wp:positionH relativeFrom="page">
                  <wp:posOffset>4031997</wp:posOffset>
                </wp:positionH>
                <wp:positionV relativeFrom="paragraph">
                  <wp:posOffset>192832</wp:posOffset>
                </wp:positionV>
                <wp:extent cx="59690" cy="59690"/>
                <wp:effectExtent l="0" t="0" r="0" b="0"/>
                <wp:wrapNone/>
                <wp:docPr id="253" name="Graphic 253"/>
                <wp:cNvGraphicFramePr>
                  <a:graphicFrameLocks/>
                </wp:cNvGraphicFramePr>
                <a:graphic>
                  <a:graphicData uri="http://schemas.microsoft.com/office/word/2010/wordprocessingShape">
                    <wps:wsp>
                      <wps:cNvPr id="253" name="Graphic 25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183675pt;width:4.7pt;height:4.7pt;mso-position-horizontal-relative:page;mso-position-vertical-relative:paragraph;z-index:15791104" id="docshape203" coordorigin="6350,304" coordsize="94,94" path="m6396,304l6378,307,6363,317,6353,332,6350,350,6353,368,6363,383,6378,393,6396,397,6414,393,6429,383,6439,368,6443,350,6439,332,6429,317,6414,307,6396,304xe" filled="true" fillcolor="#1a4796" stroked="false">
                <v:path arrowok="t"/>
                <v:fill type="solid"/>
                <w10:wrap type="none"/>
              </v:shape>
            </w:pict>
          </mc:Fallback>
        </mc:AlternateContent>
      </w:r>
      <w:r>
        <w:rPr>
          <w:color w:val="231F20"/>
        </w:rPr>
        <w:t>Students at the University of Computer Sciences</w:t>
      </w:r>
      <w:r>
        <w:rPr>
          <w:color w:val="231F20"/>
          <w:spacing w:val="70"/>
          <w:w w:val="150"/>
        </w:rPr>
        <w:t> </w:t>
      </w:r>
      <w:r>
        <w:rPr>
          <w:color w:val="231F20"/>
        </w:rPr>
        <w:t>are</w:t>
      </w:r>
      <w:r>
        <w:rPr>
          <w:color w:val="231F20"/>
          <w:spacing w:val="71"/>
          <w:w w:val="150"/>
        </w:rPr>
        <w:t> </w:t>
      </w:r>
      <w:r>
        <w:rPr>
          <w:color w:val="231F20"/>
        </w:rPr>
        <w:t>unable</w:t>
      </w:r>
      <w:r>
        <w:rPr>
          <w:color w:val="231F20"/>
          <w:spacing w:val="71"/>
          <w:w w:val="150"/>
        </w:rPr>
        <w:t> </w:t>
      </w:r>
      <w:r>
        <w:rPr>
          <w:color w:val="231F20"/>
        </w:rPr>
        <w:t>to</w:t>
      </w:r>
      <w:r>
        <w:rPr>
          <w:color w:val="231F20"/>
          <w:spacing w:val="71"/>
          <w:w w:val="150"/>
        </w:rPr>
        <w:t> </w:t>
      </w:r>
      <w:r>
        <w:rPr>
          <w:color w:val="231F20"/>
        </w:rPr>
        <w:t>access</w:t>
      </w:r>
      <w:r>
        <w:rPr>
          <w:color w:val="231F20"/>
          <w:spacing w:val="70"/>
          <w:w w:val="150"/>
        </w:rPr>
        <w:t> </w:t>
      </w:r>
      <w:r>
        <w:rPr>
          <w:color w:val="231F20"/>
          <w:spacing w:val="-4"/>
        </w:rPr>
        <w:t>over</w:t>
      </w:r>
    </w:p>
    <w:p>
      <w:pPr>
        <w:pStyle w:val="BodyText"/>
        <w:spacing w:before="2"/>
        <w:ind w:left="673" w:right="1133"/>
      </w:pPr>
      <w:r>
        <w:rPr>
          <w:color w:val="231F20"/>
        </w:rPr>
        <w:t>300 websites of interest for computer engineers, since they are blocked to Cuban IP addresses. This obstructs the </w:t>
      </w:r>
      <w:r>
        <w:rPr>
          <w:color w:val="231F20"/>
          <w:spacing w:val="-4"/>
        </w:rPr>
        <w:t>downloading</w:t>
      </w:r>
      <w:r>
        <w:rPr>
          <w:color w:val="231F20"/>
          <w:spacing w:val="-13"/>
        </w:rPr>
        <w:t> </w:t>
      </w:r>
      <w:r>
        <w:rPr>
          <w:color w:val="231F20"/>
          <w:spacing w:val="-4"/>
        </w:rPr>
        <w:t>of</w:t>
      </w:r>
      <w:r>
        <w:rPr>
          <w:color w:val="231F20"/>
          <w:spacing w:val="-12"/>
        </w:rPr>
        <w:t> </w:t>
      </w:r>
      <w:r>
        <w:rPr>
          <w:color w:val="231F20"/>
          <w:spacing w:val="-4"/>
        </w:rPr>
        <w:t>resources</w:t>
      </w:r>
      <w:r>
        <w:rPr>
          <w:color w:val="231F20"/>
          <w:spacing w:val="-13"/>
        </w:rPr>
        <w:t> </w:t>
      </w:r>
      <w:r>
        <w:rPr>
          <w:color w:val="231F20"/>
          <w:spacing w:val="-4"/>
        </w:rPr>
        <w:t>for</w:t>
      </w:r>
      <w:r>
        <w:rPr>
          <w:color w:val="231F20"/>
          <w:spacing w:val="-12"/>
        </w:rPr>
        <w:t> </w:t>
      </w:r>
      <w:r>
        <w:rPr>
          <w:color w:val="231F20"/>
          <w:spacing w:val="-4"/>
        </w:rPr>
        <w:t>installation </w:t>
      </w:r>
      <w:r>
        <w:rPr>
          <w:color w:val="231F20"/>
        </w:rPr>
        <w:t>or updating of technologies and complicates the university’s academic, research and production activities.</w:t>
      </w:r>
    </w:p>
    <w:p>
      <w:pPr>
        <w:pStyle w:val="BodyText"/>
        <w:spacing w:before="165"/>
        <w:ind w:left="673" w:right="1134"/>
        <w:jc w:val="left"/>
      </w:pPr>
      <w:r>
        <w:rPr/>
        <mc:AlternateContent>
          <mc:Choice Requires="wps">
            <w:drawing>
              <wp:anchor distT="0" distB="0" distL="0" distR="0" allowOverlap="1" layoutInCell="1" locked="0" behindDoc="0" simplePos="0" relativeHeight="15792128">
                <wp:simplePos x="0" y="0"/>
                <wp:positionH relativeFrom="page">
                  <wp:posOffset>4031997</wp:posOffset>
                </wp:positionH>
                <wp:positionV relativeFrom="paragraph">
                  <wp:posOffset>191172</wp:posOffset>
                </wp:positionV>
                <wp:extent cx="59690" cy="59690"/>
                <wp:effectExtent l="0" t="0" r="0" b="0"/>
                <wp:wrapNone/>
                <wp:docPr id="254" name="Graphic 254"/>
                <wp:cNvGraphicFramePr>
                  <a:graphicFrameLocks/>
                </wp:cNvGraphicFramePr>
                <a:graphic>
                  <a:graphicData uri="http://schemas.microsoft.com/office/word/2010/wordprocessingShape">
                    <wps:wsp>
                      <wps:cNvPr id="254" name="Graphic 25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052938pt;width:4.7pt;height:4.7pt;mso-position-horizontal-relative:page;mso-position-vertical-relative:paragraph;z-index:15792128" id="docshape204" coordorigin="6350,301" coordsize="94,94" path="m6396,301l6378,305,6363,315,6353,330,6350,348,6353,366,6363,381,6378,391,6396,394,6414,391,6429,381,6439,366,6443,348,6439,330,6429,315,6414,305,6396,301xe" filled="true" fillcolor="#1a4796" stroked="false">
                <v:path arrowok="t"/>
                <v:fill type="solid"/>
                <w10:wrap type="none"/>
              </v:shape>
            </w:pict>
          </mc:Fallback>
        </mc:AlternateContent>
      </w:r>
      <w:r>
        <w:rPr>
          <w:color w:val="231F20"/>
          <w:spacing w:val="-6"/>
        </w:rPr>
        <w:t>During</w:t>
      </w:r>
      <w:r>
        <w:rPr>
          <w:color w:val="231F20"/>
          <w:spacing w:val="-21"/>
        </w:rPr>
        <w:t> </w:t>
      </w:r>
      <w:r>
        <w:rPr>
          <w:color w:val="231F20"/>
          <w:spacing w:val="-6"/>
        </w:rPr>
        <w:t>the</w:t>
      </w:r>
      <w:r>
        <w:rPr>
          <w:color w:val="231F20"/>
          <w:spacing w:val="-21"/>
        </w:rPr>
        <w:t> </w:t>
      </w:r>
      <w:r>
        <w:rPr>
          <w:color w:val="231F20"/>
          <w:spacing w:val="-6"/>
        </w:rPr>
        <w:t>period,</w:t>
      </w:r>
      <w:r>
        <w:rPr>
          <w:color w:val="231F20"/>
          <w:spacing w:val="-20"/>
        </w:rPr>
        <w:t> </w:t>
      </w:r>
      <w:r>
        <w:rPr>
          <w:color w:val="231F20"/>
          <w:spacing w:val="-6"/>
        </w:rPr>
        <w:t>funding</w:t>
      </w:r>
      <w:r>
        <w:rPr>
          <w:color w:val="231F20"/>
          <w:spacing w:val="-21"/>
        </w:rPr>
        <w:t> </w:t>
      </w:r>
      <w:r>
        <w:rPr>
          <w:color w:val="231F20"/>
          <w:spacing w:val="-6"/>
        </w:rPr>
        <w:t>for</w:t>
      </w:r>
      <w:r>
        <w:rPr>
          <w:color w:val="231F20"/>
          <w:spacing w:val="-20"/>
        </w:rPr>
        <w:t> </w:t>
      </w:r>
      <w:r>
        <w:rPr>
          <w:color w:val="231F20"/>
          <w:spacing w:val="-6"/>
        </w:rPr>
        <w:t>attendance </w:t>
      </w:r>
      <w:r>
        <w:rPr>
          <w:color w:val="231F20"/>
          <w:spacing w:val="-4"/>
        </w:rPr>
        <w:t>byaCuban</w:t>
      </w:r>
      <w:r>
        <w:rPr>
          <w:color w:val="231F20"/>
          <w:spacing w:val="-41"/>
        </w:rPr>
        <w:t> </w:t>
      </w:r>
      <w:r>
        <w:rPr>
          <w:color w:val="231F20"/>
          <w:spacing w:val="-4"/>
        </w:rPr>
        <w:t>computer</w:t>
      </w:r>
      <w:r>
        <w:rPr>
          <w:color w:val="231F20"/>
          <w:spacing w:val="-41"/>
        </w:rPr>
        <w:t> </w:t>
      </w:r>
      <w:r>
        <w:rPr>
          <w:color w:val="231F20"/>
          <w:spacing w:val="-4"/>
        </w:rPr>
        <w:t>sciences</w:t>
      </w:r>
      <w:r>
        <w:rPr>
          <w:color w:val="231F20"/>
          <w:spacing w:val="-40"/>
        </w:rPr>
        <w:t> </w:t>
      </w:r>
      <w:r>
        <w:rPr>
          <w:color w:val="231F20"/>
          <w:spacing w:val="-6"/>
        </w:rPr>
        <w:t>engineering</w:t>
      </w:r>
    </w:p>
    <w:p>
      <w:pPr>
        <w:spacing w:after="0"/>
        <w:jc w:val="left"/>
        <w:sectPr>
          <w:pgSz w:w="11910" w:h="16840"/>
          <w:pgMar w:header="0" w:footer="695" w:top="1260" w:bottom="880" w:left="0" w:right="0"/>
          <w:cols w:num="2" w:equalWidth="0">
            <w:col w:w="5897" w:space="40"/>
            <w:col w:w="5973"/>
          </w:cols>
        </w:sectPr>
      </w:pPr>
    </w:p>
    <w:p>
      <w:pPr>
        <w:pStyle w:val="BodyText"/>
        <w:spacing w:before="77"/>
        <w:ind w:left="1394" w:right="1"/>
      </w:pPr>
      <w:r>
        <w:rPr>
          <w:color w:val="231F20"/>
        </w:rPr>
        <w:t>student at the World Congress on Undergraduate Research (WorldCUR) was</w:t>
      </w:r>
      <w:r>
        <w:rPr>
          <w:color w:val="231F20"/>
          <w:spacing w:val="-17"/>
        </w:rPr>
        <w:t> </w:t>
      </w:r>
      <w:r>
        <w:rPr>
          <w:color w:val="231F20"/>
        </w:rPr>
        <w:t>withdrawn.</w:t>
      </w:r>
      <w:r>
        <w:rPr>
          <w:color w:val="231F20"/>
          <w:spacing w:val="-15"/>
        </w:rPr>
        <w:t> </w:t>
      </w:r>
      <w:r>
        <w:rPr>
          <w:color w:val="231F20"/>
        </w:rPr>
        <w:t>This</w:t>
      </w:r>
      <w:r>
        <w:rPr>
          <w:color w:val="231F20"/>
          <w:spacing w:val="-17"/>
        </w:rPr>
        <w:t> </w:t>
      </w:r>
      <w:r>
        <w:rPr>
          <w:color w:val="231F20"/>
        </w:rPr>
        <w:t>scientific</w:t>
      </w:r>
      <w:r>
        <w:rPr>
          <w:color w:val="231F20"/>
          <w:spacing w:val="-15"/>
        </w:rPr>
        <w:t> </w:t>
      </w:r>
      <w:r>
        <w:rPr>
          <w:color w:val="231F20"/>
        </w:rPr>
        <w:t>event</w:t>
      </w:r>
      <w:r>
        <w:rPr>
          <w:color w:val="231F20"/>
          <w:spacing w:val="-16"/>
        </w:rPr>
        <w:t> </w:t>
      </w:r>
      <w:r>
        <w:rPr>
          <w:color w:val="231F20"/>
        </w:rPr>
        <w:t>was held on April 4-6 at Warwick University in the UK. The organizers informed the student</w:t>
      </w:r>
      <w:r>
        <w:rPr>
          <w:color w:val="231F20"/>
          <w:spacing w:val="-3"/>
        </w:rPr>
        <w:t> </w:t>
      </w:r>
      <w:r>
        <w:rPr>
          <w:color w:val="231F20"/>
        </w:rPr>
        <w:t>that</w:t>
      </w:r>
      <w:r>
        <w:rPr>
          <w:color w:val="231F20"/>
          <w:spacing w:val="-3"/>
        </w:rPr>
        <w:t> </w:t>
      </w:r>
      <w:r>
        <w:rPr>
          <w:color w:val="231F20"/>
        </w:rPr>
        <w:t>since</w:t>
      </w:r>
      <w:r>
        <w:rPr>
          <w:color w:val="231F20"/>
          <w:spacing w:val="-3"/>
        </w:rPr>
        <w:t> </w:t>
      </w:r>
      <w:r>
        <w:rPr>
          <w:color w:val="231F20"/>
        </w:rPr>
        <w:t>Cuba</w:t>
      </w:r>
      <w:r>
        <w:rPr>
          <w:color w:val="231F20"/>
          <w:spacing w:val="-3"/>
        </w:rPr>
        <w:t> </w:t>
      </w:r>
      <w:r>
        <w:rPr>
          <w:color w:val="231F20"/>
        </w:rPr>
        <w:t>was</w:t>
      </w:r>
      <w:r>
        <w:rPr>
          <w:color w:val="231F20"/>
          <w:spacing w:val="-3"/>
        </w:rPr>
        <w:t> </w:t>
      </w:r>
      <w:r>
        <w:rPr>
          <w:color w:val="231F20"/>
        </w:rPr>
        <w:t>on</w:t>
      </w:r>
      <w:r>
        <w:rPr>
          <w:color w:val="231F20"/>
          <w:spacing w:val="-3"/>
        </w:rPr>
        <w:t> </w:t>
      </w:r>
      <w:r>
        <w:rPr>
          <w:color w:val="231F20"/>
        </w:rPr>
        <w:t>a</w:t>
      </w:r>
      <w:r>
        <w:rPr>
          <w:color w:val="231F20"/>
          <w:spacing w:val="-3"/>
        </w:rPr>
        <w:t> </w:t>
      </w:r>
      <w:r>
        <w:rPr>
          <w:color w:val="231F20"/>
        </w:rPr>
        <w:t>list</w:t>
      </w:r>
      <w:r>
        <w:rPr>
          <w:color w:val="231F20"/>
          <w:spacing w:val="-3"/>
        </w:rPr>
        <w:t> </w:t>
      </w:r>
      <w:r>
        <w:rPr>
          <w:color w:val="231F20"/>
        </w:rPr>
        <w:t>of </w:t>
      </w:r>
      <w:r>
        <w:rPr>
          <w:color w:val="231F20"/>
          <w:spacing w:val="-4"/>
        </w:rPr>
        <w:t>sanctioned</w:t>
      </w:r>
      <w:r>
        <w:rPr>
          <w:color w:val="231F20"/>
          <w:spacing w:val="-13"/>
        </w:rPr>
        <w:t> </w:t>
      </w:r>
      <w:r>
        <w:rPr>
          <w:color w:val="231F20"/>
          <w:spacing w:val="-4"/>
        </w:rPr>
        <w:t>countries,</w:t>
      </w:r>
      <w:r>
        <w:rPr>
          <w:color w:val="231F20"/>
          <w:spacing w:val="-12"/>
        </w:rPr>
        <w:t> </w:t>
      </w:r>
      <w:r>
        <w:rPr>
          <w:color w:val="231F20"/>
          <w:spacing w:val="-4"/>
        </w:rPr>
        <w:t>their</w:t>
      </w:r>
      <w:r>
        <w:rPr>
          <w:color w:val="231F20"/>
          <w:spacing w:val="-13"/>
        </w:rPr>
        <w:t> </w:t>
      </w:r>
      <w:r>
        <w:rPr>
          <w:color w:val="231F20"/>
          <w:spacing w:val="-4"/>
        </w:rPr>
        <w:t>insurance</w:t>
      </w:r>
      <w:r>
        <w:rPr>
          <w:color w:val="231F20"/>
          <w:spacing w:val="-12"/>
        </w:rPr>
        <w:t> </w:t>
      </w:r>
      <w:r>
        <w:rPr>
          <w:color w:val="231F20"/>
          <w:spacing w:val="-4"/>
        </w:rPr>
        <w:t>and </w:t>
      </w:r>
      <w:r>
        <w:rPr>
          <w:color w:val="231F20"/>
        </w:rPr>
        <w:t>financial</w:t>
      </w:r>
      <w:r>
        <w:rPr>
          <w:color w:val="231F20"/>
          <w:spacing w:val="-6"/>
        </w:rPr>
        <w:t> </w:t>
      </w:r>
      <w:r>
        <w:rPr>
          <w:color w:val="231F20"/>
        </w:rPr>
        <w:t>compliance</w:t>
      </w:r>
      <w:r>
        <w:rPr>
          <w:color w:val="231F20"/>
          <w:spacing w:val="-6"/>
        </w:rPr>
        <w:t> </w:t>
      </w:r>
      <w:r>
        <w:rPr>
          <w:color w:val="231F20"/>
        </w:rPr>
        <w:t>departments</w:t>
      </w:r>
      <w:r>
        <w:rPr>
          <w:color w:val="231F20"/>
          <w:spacing w:val="-6"/>
        </w:rPr>
        <w:t> </w:t>
      </w:r>
      <w:r>
        <w:rPr>
          <w:color w:val="231F20"/>
        </w:rPr>
        <w:t>were unable to fund the trip.</w:t>
      </w:r>
    </w:p>
    <w:p>
      <w:pPr>
        <w:spacing w:before="166"/>
        <w:ind w:left="1133" w:right="1" w:firstLine="0"/>
        <w:jc w:val="both"/>
        <w:rPr>
          <w:rFonts w:ascii="Segoe UI Semibold"/>
          <w:b/>
          <w:i/>
          <w:sz w:val="24"/>
        </w:rPr>
      </w:pPr>
      <w:r>
        <w:rPr>
          <w:rFonts w:ascii="Segoe UI Semibold"/>
          <w:b/>
          <w:i/>
          <w:color w:val="B52628"/>
          <w:spacing w:val="-6"/>
          <w:sz w:val="24"/>
        </w:rPr>
        <w:t>I</w:t>
      </w:r>
      <w:r>
        <w:rPr>
          <w:b/>
          <w:i/>
          <w:color w:val="B52628"/>
          <w:spacing w:val="-6"/>
          <w:sz w:val="24"/>
        </w:rPr>
        <w:t>n</w:t>
      </w:r>
      <w:r>
        <w:rPr>
          <w:b/>
          <w:i/>
          <w:color w:val="B52628"/>
          <w:spacing w:val="-11"/>
          <w:sz w:val="24"/>
        </w:rPr>
        <w:t> </w:t>
      </w:r>
      <w:r>
        <w:rPr>
          <w:b/>
          <w:i/>
          <w:color w:val="B52628"/>
          <w:spacing w:val="-6"/>
          <w:sz w:val="24"/>
        </w:rPr>
        <w:t>the</w:t>
      </w:r>
      <w:r>
        <w:rPr>
          <w:b/>
          <w:i/>
          <w:color w:val="B52628"/>
          <w:spacing w:val="-10"/>
          <w:sz w:val="24"/>
        </w:rPr>
        <w:t> </w:t>
      </w:r>
      <w:r>
        <w:rPr>
          <w:b/>
          <w:i/>
          <w:color w:val="B52628"/>
          <w:spacing w:val="-6"/>
          <w:sz w:val="24"/>
        </w:rPr>
        <w:t>field</w:t>
      </w:r>
      <w:r>
        <w:rPr>
          <w:b/>
          <w:i/>
          <w:color w:val="B52628"/>
          <w:spacing w:val="-11"/>
          <w:sz w:val="24"/>
        </w:rPr>
        <w:t> </w:t>
      </w:r>
      <w:r>
        <w:rPr>
          <w:b/>
          <w:i/>
          <w:color w:val="B52628"/>
          <w:spacing w:val="-6"/>
          <w:sz w:val="24"/>
        </w:rPr>
        <w:t>of</w:t>
      </w:r>
      <w:r>
        <w:rPr>
          <w:b/>
          <w:i/>
          <w:color w:val="B52628"/>
          <w:spacing w:val="-10"/>
          <w:sz w:val="24"/>
        </w:rPr>
        <w:t> </w:t>
      </w:r>
      <w:r>
        <w:rPr>
          <w:b/>
          <w:i/>
          <w:color w:val="B52628"/>
          <w:spacing w:val="-6"/>
          <w:sz w:val="24"/>
        </w:rPr>
        <w:t>sports</w:t>
      </w:r>
      <w:r>
        <w:rPr>
          <w:rFonts w:ascii="Segoe UI Semibold"/>
          <w:b/>
          <w:i/>
          <w:color w:val="231F20"/>
          <w:spacing w:val="-6"/>
          <w:sz w:val="24"/>
        </w:rPr>
        <w:t>,</w:t>
      </w:r>
      <w:r>
        <w:rPr>
          <w:rFonts w:ascii="Segoe UI Semibold"/>
          <w:b/>
          <w:i/>
          <w:color w:val="231F20"/>
          <w:spacing w:val="-11"/>
          <w:sz w:val="24"/>
        </w:rPr>
        <w:t> </w:t>
      </w:r>
      <w:r>
        <w:rPr>
          <w:rFonts w:ascii="Segoe UI Semibold"/>
          <w:b/>
          <w:i/>
          <w:color w:val="231F20"/>
          <w:spacing w:val="-6"/>
          <w:sz w:val="24"/>
        </w:rPr>
        <w:t>there</w:t>
      </w:r>
      <w:r>
        <w:rPr>
          <w:rFonts w:ascii="Segoe UI Semibold"/>
          <w:b/>
          <w:i/>
          <w:color w:val="231F20"/>
          <w:spacing w:val="-10"/>
          <w:sz w:val="24"/>
        </w:rPr>
        <w:t> </w:t>
      </w:r>
      <w:r>
        <w:rPr>
          <w:rFonts w:ascii="Segoe UI Semibold"/>
          <w:b/>
          <w:i/>
          <w:color w:val="231F20"/>
          <w:spacing w:val="-6"/>
          <w:sz w:val="24"/>
        </w:rPr>
        <w:t>were</w:t>
      </w:r>
      <w:r>
        <w:rPr>
          <w:rFonts w:ascii="Segoe UI Semibold"/>
          <w:b/>
          <w:i/>
          <w:color w:val="231F20"/>
          <w:spacing w:val="-11"/>
          <w:sz w:val="24"/>
        </w:rPr>
        <w:t> </w:t>
      </w:r>
      <w:r>
        <w:rPr>
          <w:rFonts w:ascii="Segoe UI Semibold"/>
          <w:b/>
          <w:i/>
          <w:color w:val="231F20"/>
          <w:spacing w:val="-6"/>
          <w:sz w:val="24"/>
        </w:rPr>
        <w:t>clear</w:t>
      </w:r>
      <w:r>
        <w:rPr>
          <w:rFonts w:ascii="Segoe UI Semibold"/>
          <w:b/>
          <w:i/>
          <w:color w:val="231F20"/>
          <w:spacing w:val="-10"/>
          <w:sz w:val="24"/>
        </w:rPr>
        <w:t> </w:t>
      </w:r>
      <w:r>
        <w:rPr>
          <w:rFonts w:ascii="Segoe UI Semibold"/>
          <w:b/>
          <w:i/>
          <w:color w:val="231F20"/>
          <w:spacing w:val="-6"/>
          <w:sz w:val="24"/>
        </w:rPr>
        <w:t>signs</w:t>
      </w:r>
      <w:r>
        <w:rPr>
          <w:rFonts w:ascii="Segoe UI Semibold"/>
          <w:b/>
          <w:i/>
          <w:color w:val="231F20"/>
          <w:spacing w:val="-6"/>
          <w:sz w:val="24"/>
        </w:rPr>
        <w:t> </w:t>
      </w:r>
      <w:r>
        <w:rPr>
          <w:rFonts w:ascii="Segoe UI Semibold"/>
          <w:b/>
          <w:i/>
          <w:color w:val="231F20"/>
          <w:spacing w:val="-4"/>
          <w:sz w:val="24"/>
        </w:rPr>
        <w:t>of</w:t>
      </w:r>
      <w:r>
        <w:rPr>
          <w:rFonts w:ascii="Segoe UI Semibold"/>
          <w:b/>
          <w:i/>
          <w:color w:val="231F20"/>
          <w:spacing w:val="-13"/>
          <w:sz w:val="24"/>
        </w:rPr>
        <w:t> </w:t>
      </w:r>
      <w:r>
        <w:rPr>
          <w:rFonts w:ascii="Segoe UI Semibold"/>
          <w:b/>
          <w:i/>
          <w:color w:val="231F20"/>
          <w:spacing w:val="-4"/>
          <w:sz w:val="24"/>
        </w:rPr>
        <w:t>the</w:t>
      </w:r>
      <w:r>
        <w:rPr>
          <w:rFonts w:ascii="Segoe UI Semibold"/>
          <w:b/>
          <w:i/>
          <w:color w:val="231F20"/>
          <w:spacing w:val="-12"/>
          <w:sz w:val="24"/>
        </w:rPr>
        <w:t> </w:t>
      </w:r>
      <w:r>
        <w:rPr>
          <w:rFonts w:ascii="Segoe UI Semibold"/>
          <w:b/>
          <w:i/>
          <w:color w:val="231F20"/>
          <w:spacing w:val="-4"/>
          <w:sz w:val="24"/>
        </w:rPr>
        <w:t>theft</w:t>
      </w:r>
      <w:r>
        <w:rPr>
          <w:rFonts w:ascii="Segoe UI Semibold"/>
          <w:b/>
          <w:i/>
          <w:color w:val="231F20"/>
          <w:spacing w:val="-13"/>
          <w:sz w:val="24"/>
        </w:rPr>
        <w:t> </w:t>
      </w:r>
      <w:r>
        <w:rPr>
          <w:rFonts w:ascii="Segoe UI Semibold"/>
          <w:b/>
          <w:i/>
          <w:color w:val="231F20"/>
          <w:spacing w:val="-4"/>
          <w:sz w:val="24"/>
        </w:rPr>
        <w:t>of</w:t>
      </w:r>
      <w:r>
        <w:rPr>
          <w:rFonts w:ascii="Segoe UI Semibold"/>
          <w:b/>
          <w:i/>
          <w:color w:val="231F20"/>
          <w:spacing w:val="-12"/>
          <w:sz w:val="24"/>
        </w:rPr>
        <w:t> </w:t>
      </w:r>
      <w:r>
        <w:rPr>
          <w:rFonts w:ascii="Segoe UI Semibold"/>
          <w:b/>
          <w:i/>
          <w:color w:val="231F20"/>
          <w:spacing w:val="-4"/>
          <w:sz w:val="24"/>
        </w:rPr>
        <w:t>Cuban</w:t>
      </w:r>
      <w:r>
        <w:rPr>
          <w:rFonts w:ascii="Segoe UI Semibold"/>
          <w:b/>
          <w:i/>
          <w:color w:val="231F20"/>
          <w:spacing w:val="-13"/>
          <w:sz w:val="24"/>
        </w:rPr>
        <w:t> </w:t>
      </w:r>
      <w:r>
        <w:rPr>
          <w:rFonts w:ascii="Segoe UI Semibold"/>
          <w:b/>
          <w:i/>
          <w:color w:val="231F20"/>
          <w:spacing w:val="-4"/>
          <w:sz w:val="24"/>
        </w:rPr>
        <w:t>talent,</w:t>
      </w:r>
      <w:r>
        <w:rPr>
          <w:rFonts w:ascii="Segoe UI Semibold"/>
          <w:b/>
          <w:i/>
          <w:color w:val="231F20"/>
          <w:spacing w:val="-12"/>
          <w:sz w:val="24"/>
        </w:rPr>
        <w:t> </w:t>
      </w:r>
      <w:r>
        <w:rPr>
          <w:rFonts w:ascii="Segoe UI Semibold"/>
          <w:b/>
          <w:i/>
          <w:color w:val="231F20"/>
          <w:spacing w:val="-4"/>
          <w:sz w:val="24"/>
        </w:rPr>
        <w:t>facilitated</w:t>
      </w:r>
      <w:r>
        <w:rPr>
          <w:rFonts w:ascii="Segoe UI Semibold"/>
          <w:b/>
          <w:i/>
          <w:color w:val="231F20"/>
          <w:spacing w:val="-13"/>
          <w:sz w:val="24"/>
        </w:rPr>
        <w:t> </w:t>
      </w:r>
      <w:r>
        <w:rPr>
          <w:rFonts w:ascii="Segoe UI Semibold"/>
          <w:b/>
          <w:i/>
          <w:color w:val="231F20"/>
          <w:spacing w:val="-4"/>
          <w:sz w:val="24"/>
        </w:rPr>
        <w:t>and </w:t>
      </w:r>
      <w:r>
        <w:rPr>
          <w:rFonts w:ascii="Segoe UI Semibold"/>
          <w:b/>
          <w:i/>
          <w:color w:val="231F20"/>
          <w:sz w:val="24"/>
        </w:rPr>
        <w:t>fostered by discriminatory and selective </w:t>
      </w:r>
      <w:r>
        <w:rPr>
          <w:rFonts w:ascii="Segoe UI Semibold"/>
          <w:b/>
          <w:i/>
          <w:color w:val="231F20"/>
          <w:spacing w:val="-2"/>
          <w:sz w:val="24"/>
        </w:rPr>
        <w:t>policies</w:t>
      </w:r>
      <w:r>
        <w:rPr>
          <w:rFonts w:ascii="Segoe UI Semibold"/>
          <w:b/>
          <w:i/>
          <w:color w:val="231F20"/>
          <w:spacing w:val="-12"/>
          <w:sz w:val="24"/>
        </w:rPr>
        <w:t> </w:t>
      </w:r>
      <w:r>
        <w:rPr>
          <w:rFonts w:ascii="Segoe UI Semibold"/>
          <w:b/>
          <w:i/>
          <w:color w:val="231F20"/>
          <w:spacing w:val="-2"/>
          <w:sz w:val="24"/>
        </w:rPr>
        <w:t>of</w:t>
      </w:r>
      <w:r>
        <w:rPr>
          <w:rFonts w:ascii="Segoe UI Semibold"/>
          <w:b/>
          <w:i/>
          <w:color w:val="231F20"/>
          <w:spacing w:val="-12"/>
          <w:sz w:val="24"/>
        </w:rPr>
        <w:t> </w:t>
      </w:r>
      <w:r>
        <w:rPr>
          <w:rFonts w:ascii="Segoe UI Semibold"/>
          <w:b/>
          <w:i/>
          <w:color w:val="231F20"/>
          <w:spacing w:val="-2"/>
          <w:sz w:val="24"/>
        </w:rPr>
        <w:t>the</w:t>
      </w:r>
      <w:r>
        <w:rPr>
          <w:rFonts w:ascii="Segoe UI Semibold"/>
          <w:b/>
          <w:i/>
          <w:color w:val="231F20"/>
          <w:spacing w:val="-12"/>
          <w:sz w:val="24"/>
        </w:rPr>
        <w:t> </w:t>
      </w:r>
      <w:r>
        <w:rPr>
          <w:rFonts w:ascii="Segoe UI Semibold"/>
          <w:b/>
          <w:i/>
          <w:color w:val="231F20"/>
          <w:spacing w:val="-2"/>
          <w:sz w:val="24"/>
        </w:rPr>
        <w:t>United</w:t>
      </w:r>
      <w:r>
        <w:rPr>
          <w:rFonts w:ascii="Segoe UI Semibold"/>
          <w:b/>
          <w:i/>
          <w:color w:val="231F20"/>
          <w:spacing w:val="-12"/>
          <w:sz w:val="24"/>
        </w:rPr>
        <w:t> </w:t>
      </w:r>
      <w:r>
        <w:rPr>
          <w:rFonts w:ascii="Segoe UI Semibold"/>
          <w:b/>
          <w:i/>
          <w:color w:val="231F20"/>
          <w:spacing w:val="-2"/>
          <w:sz w:val="24"/>
        </w:rPr>
        <w:t>States.</w:t>
      </w:r>
      <w:r>
        <w:rPr>
          <w:rFonts w:ascii="Segoe UI Semibold"/>
          <w:b/>
          <w:i/>
          <w:color w:val="231F20"/>
          <w:spacing w:val="-12"/>
          <w:sz w:val="24"/>
        </w:rPr>
        <w:t> </w:t>
      </w:r>
      <w:r>
        <w:rPr>
          <w:rFonts w:ascii="Segoe UI Semibold"/>
          <w:b/>
          <w:i/>
          <w:color w:val="231F20"/>
          <w:spacing w:val="-2"/>
          <w:sz w:val="24"/>
        </w:rPr>
        <w:t>In</w:t>
      </w:r>
      <w:r>
        <w:rPr>
          <w:rFonts w:ascii="Segoe UI Semibold"/>
          <w:b/>
          <w:i/>
          <w:color w:val="231F20"/>
          <w:spacing w:val="-12"/>
          <w:sz w:val="24"/>
        </w:rPr>
        <w:t> </w:t>
      </w:r>
      <w:r>
        <w:rPr>
          <w:rFonts w:ascii="Segoe UI Semibold"/>
          <w:b/>
          <w:i/>
          <w:color w:val="231F20"/>
          <w:spacing w:val="-2"/>
          <w:sz w:val="24"/>
        </w:rPr>
        <w:t>the</w:t>
      </w:r>
      <w:r>
        <w:rPr>
          <w:rFonts w:ascii="Segoe UI Semibold"/>
          <w:b/>
          <w:i/>
          <w:color w:val="231F20"/>
          <w:spacing w:val="-12"/>
          <w:sz w:val="24"/>
        </w:rPr>
        <w:t> </w:t>
      </w:r>
      <w:r>
        <w:rPr>
          <w:rFonts w:ascii="Segoe UI Semibold"/>
          <w:b/>
          <w:i/>
          <w:color w:val="231F20"/>
          <w:spacing w:val="-2"/>
          <w:sz w:val="24"/>
        </w:rPr>
        <w:t>case</w:t>
      </w:r>
      <w:r>
        <w:rPr>
          <w:rFonts w:ascii="Segoe UI Semibold"/>
          <w:b/>
          <w:i/>
          <w:color w:val="231F20"/>
          <w:spacing w:val="-12"/>
          <w:sz w:val="24"/>
        </w:rPr>
        <w:t> </w:t>
      </w:r>
      <w:r>
        <w:rPr>
          <w:rFonts w:ascii="Segoe UI Semibold"/>
          <w:b/>
          <w:i/>
          <w:color w:val="231F20"/>
          <w:spacing w:val="-2"/>
          <w:sz w:val="24"/>
        </w:rPr>
        <w:t>of </w:t>
      </w:r>
      <w:r>
        <w:rPr>
          <w:rFonts w:ascii="Segoe UI Semibold"/>
          <w:b/>
          <w:i/>
          <w:color w:val="231F20"/>
          <w:sz w:val="24"/>
        </w:rPr>
        <w:t>baseball,</w:t>
      </w:r>
      <w:r>
        <w:rPr>
          <w:rFonts w:ascii="Segoe UI Semibold"/>
          <w:b/>
          <w:i/>
          <w:color w:val="231F20"/>
          <w:spacing w:val="-10"/>
          <w:sz w:val="24"/>
        </w:rPr>
        <w:t> </w:t>
      </w:r>
      <w:r>
        <w:rPr>
          <w:rFonts w:ascii="Segoe UI Semibold"/>
          <w:b/>
          <w:i/>
          <w:color w:val="231F20"/>
          <w:sz w:val="24"/>
        </w:rPr>
        <w:t>despite</w:t>
      </w:r>
      <w:r>
        <w:rPr>
          <w:rFonts w:ascii="Segoe UI Semibold"/>
          <w:b/>
          <w:i/>
          <w:color w:val="231F20"/>
          <w:spacing w:val="-10"/>
          <w:sz w:val="24"/>
        </w:rPr>
        <w:t> </w:t>
      </w:r>
      <w:r>
        <w:rPr>
          <w:rFonts w:ascii="Segoe UI Semibold"/>
          <w:b/>
          <w:i/>
          <w:color w:val="231F20"/>
          <w:sz w:val="24"/>
        </w:rPr>
        <w:t>interest</w:t>
      </w:r>
      <w:r>
        <w:rPr>
          <w:rFonts w:ascii="Segoe UI Semibold"/>
          <w:b/>
          <w:i/>
          <w:color w:val="231F20"/>
          <w:spacing w:val="-10"/>
          <w:sz w:val="24"/>
        </w:rPr>
        <w:t> </w:t>
      </w:r>
      <w:r>
        <w:rPr>
          <w:rFonts w:ascii="Segoe UI Semibold"/>
          <w:b/>
          <w:i/>
          <w:color w:val="231F20"/>
          <w:sz w:val="24"/>
        </w:rPr>
        <w:t>from</w:t>
      </w:r>
      <w:r>
        <w:rPr>
          <w:rFonts w:ascii="Segoe UI Semibold"/>
          <w:b/>
          <w:i/>
          <w:color w:val="231F20"/>
          <w:spacing w:val="-10"/>
          <w:sz w:val="24"/>
        </w:rPr>
        <w:t> </w:t>
      </w:r>
      <w:r>
        <w:rPr>
          <w:rFonts w:ascii="Segoe UI Semibold"/>
          <w:b/>
          <w:i/>
          <w:color w:val="231F20"/>
          <w:sz w:val="24"/>
        </w:rPr>
        <w:t>the</w:t>
      </w:r>
      <w:r>
        <w:rPr>
          <w:rFonts w:ascii="Segoe UI Semibold"/>
          <w:b/>
          <w:i/>
          <w:color w:val="231F20"/>
          <w:spacing w:val="-10"/>
          <w:sz w:val="24"/>
        </w:rPr>
        <w:t> </w:t>
      </w:r>
      <w:r>
        <w:rPr>
          <w:rFonts w:ascii="Segoe UI Semibold"/>
          <w:b/>
          <w:i/>
          <w:color w:val="231F20"/>
          <w:sz w:val="24"/>
        </w:rPr>
        <w:t>Cuban side,</w:t>
      </w:r>
      <w:r>
        <w:rPr>
          <w:rFonts w:ascii="Segoe UI Semibold"/>
          <w:b/>
          <w:i/>
          <w:color w:val="231F20"/>
          <w:spacing w:val="-9"/>
          <w:sz w:val="24"/>
        </w:rPr>
        <w:t> </w:t>
      </w:r>
      <w:r>
        <w:rPr>
          <w:rFonts w:ascii="Segoe UI Semibold"/>
          <w:b/>
          <w:i/>
          <w:color w:val="231F20"/>
          <w:sz w:val="24"/>
        </w:rPr>
        <w:t>it</w:t>
      </w:r>
      <w:r>
        <w:rPr>
          <w:rFonts w:ascii="Segoe UI Semibold"/>
          <w:b/>
          <w:i/>
          <w:color w:val="231F20"/>
          <w:spacing w:val="-9"/>
          <w:sz w:val="24"/>
        </w:rPr>
        <w:t> </w:t>
      </w:r>
      <w:r>
        <w:rPr>
          <w:rFonts w:ascii="Segoe UI Semibold"/>
          <w:b/>
          <w:i/>
          <w:color w:val="231F20"/>
          <w:sz w:val="24"/>
        </w:rPr>
        <w:t>has</w:t>
      </w:r>
      <w:r>
        <w:rPr>
          <w:rFonts w:ascii="Segoe UI Semibold"/>
          <w:b/>
          <w:i/>
          <w:color w:val="231F20"/>
          <w:spacing w:val="-9"/>
          <w:sz w:val="24"/>
        </w:rPr>
        <w:t> </w:t>
      </w:r>
      <w:r>
        <w:rPr>
          <w:rFonts w:ascii="Segoe UI Semibold"/>
          <w:b/>
          <w:i/>
          <w:color w:val="231F20"/>
          <w:sz w:val="24"/>
        </w:rPr>
        <w:t>proved</w:t>
      </w:r>
      <w:r>
        <w:rPr>
          <w:rFonts w:ascii="Segoe UI Semibold"/>
          <w:b/>
          <w:i/>
          <w:color w:val="231F20"/>
          <w:spacing w:val="-9"/>
          <w:sz w:val="24"/>
        </w:rPr>
        <w:t> </w:t>
      </w:r>
      <w:r>
        <w:rPr>
          <w:rFonts w:ascii="Segoe UI Semibold"/>
          <w:b/>
          <w:i/>
          <w:color w:val="231F20"/>
          <w:sz w:val="24"/>
        </w:rPr>
        <w:t>impossible</w:t>
      </w:r>
      <w:r>
        <w:rPr>
          <w:rFonts w:ascii="Segoe UI Semibold"/>
          <w:b/>
          <w:i/>
          <w:color w:val="231F20"/>
          <w:spacing w:val="-9"/>
          <w:sz w:val="24"/>
        </w:rPr>
        <w:t> </w:t>
      </w:r>
      <w:r>
        <w:rPr>
          <w:rFonts w:ascii="Segoe UI Semibold"/>
          <w:b/>
          <w:i/>
          <w:color w:val="231F20"/>
          <w:sz w:val="24"/>
        </w:rPr>
        <w:t>to</w:t>
      </w:r>
      <w:r>
        <w:rPr>
          <w:rFonts w:ascii="Segoe UI Semibold"/>
          <w:b/>
          <w:i/>
          <w:color w:val="231F20"/>
          <w:spacing w:val="-9"/>
          <w:sz w:val="24"/>
        </w:rPr>
        <w:t> </w:t>
      </w:r>
      <w:r>
        <w:rPr>
          <w:rFonts w:ascii="Segoe UI Semibold"/>
          <w:b/>
          <w:i/>
          <w:color w:val="231F20"/>
          <w:sz w:val="24"/>
        </w:rPr>
        <w:t>reach</w:t>
      </w:r>
      <w:r>
        <w:rPr>
          <w:rFonts w:ascii="Segoe UI Semibold"/>
          <w:b/>
          <w:i/>
          <w:color w:val="231F20"/>
          <w:spacing w:val="-9"/>
          <w:sz w:val="24"/>
        </w:rPr>
        <w:t> </w:t>
      </w:r>
      <w:r>
        <w:rPr>
          <w:rFonts w:ascii="Segoe UI Semibold"/>
          <w:b/>
          <w:i/>
          <w:color w:val="231F20"/>
          <w:sz w:val="24"/>
        </w:rPr>
        <w:t>an agreement between the Cuban Baseball Federation and Major League Baseball (MLB) whereby our players could play in the</w:t>
      </w:r>
      <w:r>
        <w:rPr>
          <w:rFonts w:ascii="Segoe UI Semibold"/>
          <w:b/>
          <w:i/>
          <w:color w:val="231F20"/>
          <w:spacing w:val="-10"/>
          <w:sz w:val="24"/>
        </w:rPr>
        <w:t> </w:t>
      </w:r>
      <w:r>
        <w:rPr>
          <w:rFonts w:ascii="Segoe UI Semibold"/>
          <w:b/>
          <w:i/>
          <w:color w:val="231F20"/>
          <w:sz w:val="24"/>
        </w:rPr>
        <w:t>league</w:t>
      </w:r>
      <w:r>
        <w:rPr>
          <w:rFonts w:ascii="Segoe UI Semibold"/>
          <w:b/>
          <w:i/>
          <w:color w:val="231F20"/>
          <w:spacing w:val="-10"/>
          <w:sz w:val="24"/>
        </w:rPr>
        <w:t> </w:t>
      </w:r>
      <w:r>
        <w:rPr>
          <w:rFonts w:ascii="Segoe UI Semibold"/>
          <w:b/>
          <w:i/>
          <w:color w:val="231F20"/>
          <w:sz w:val="24"/>
        </w:rPr>
        <w:t>without</w:t>
      </w:r>
      <w:r>
        <w:rPr>
          <w:rFonts w:ascii="Segoe UI Semibold"/>
          <w:b/>
          <w:i/>
          <w:color w:val="231F20"/>
          <w:spacing w:val="-10"/>
          <w:sz w:val="24"/>
        </w:rPr>
        <w:t> </w:t>
      </w:r>
      <w:r>
        <w:rPr>
          <w:rFonts w:ascii="Segoe UI Semibold"/>
          <w:b/>
          <w:i/>
          <w:color w:val="231F20"/>
          <w:sz w:val="24"/>
        </w:rPr>
        <w:t>having</w:t>
      </w:r>
      <w:r>
        <w:rPr>
          <w:rFonts w:ascii="Segoe UI Semibold"/>
          <w:b/>
          <w:i/>
          <w:color w:val="231F20"/>
          <w:spacing w:val="-10"/>
          <w:sz w:val="24"/>
        </w:rPr>
        <w:t> </w:t>
      </w:r>
      <w:r>
        <w:rPr>
          <w:rFonts w:ascii="Segoe UI Semibold"/>
          <w:b/>
          <w:i/>
          <w:color w:val="231F20"/>
          <w:sz w:val="24"/>
        </w:rPr>
        <w:t>to</w:t>
      </w:r>
      <w:r>
        <w:rPr>
          <w:rFonts w:ascii="Segoe UI Semibold"/>
          <w:b/>
          <w:i/>
          <w:color w:val="231F20"/>
          <w:spacing w:val="-10"/>
          <w:sz w:val="24"/>
        </w:rPr>
        <w:t> </w:t>
      </w:r>
      <w:r>
        <w:rPr>
          <w:rFonts w:ascii="Segoe UI Semibold"/>
          <w:b/>
          <w:i/>
          <w:color w:val="231F20"/>
          <w:sz w:val="24"/>
        </w:rPr>
        <w:t>leave</w:t>
      </w:r>
      <w:r>
        <w:rPr>
          <w:rFonts w:ascii="Segoe UI Semibold"/>
          <w:b/>
          <w:i/>
          <w:color w:val="231F20"/>
          <w:spacing w:val="-10"/>
          <w:sz w:val="24"/>
        </w:rPr>
        <w:t> </w:t>
      </w:r>
      <w:r>
        <w:rPr>
          <w:rFonts w:ascii="Segoe UI Semibold"/>
          <w:b/>
          <w:i/>
          <w:color w:val="231F20"/>
          <w:sz w:val="24"/>
        </w:rPr>
        <w:t>Cuba.</w:t>
      </w:r>
    </w:p>
    <w:p>
      <w:pPr>
        <w:pStyle w:val="BodyText"/>
        <w:spacing w:before="158"/>
        <w:ind w:left="1133" w:right="1"/>
      </w:pPr>
      <w:r>
        <w:rPr>
          <w:color w:val="231F20"/>
        </w:rPr>
        <w:t>Encouragement</w:t>
      </w:r>
      <w:r>
        <w:rPr>
          <w:color w:val="231F20"/>
          <w:spacing w:val="-17"/>
        </w:rPr>
        <w:t> </w:t>
      </w:r>
      <w:r>
        <w:rPr>
          <w:color w:val="231F20"/>
        </w:rPr>
        <w:t>of</w:t>
      </w:r>
      <w:r>
        <w:rPr>
          <w:color w:val="231F20"/>
          <w:spacing w:val="-16"/>
        </w:rPr>
        <w:t> </w:t>
      </w:r>
      <w:r>
        <w:rPr>
          <w:color w:val="231F20"/>
        </w:rPr>
        <w:t>hate</w:t>
      </w:r>
      <w:r>
        <w:rPr>
          <w:color w:val="231F20"/>
          <w:spacing w:val="-17"/>
        </w:rPr>
        <w:t> </w:t>
      </w:r>
      <w:r>
        <w:rPr>
          <w:color w:val="231F20"/>
        </w:rPr>
        <w:t>speech</w:t>
      </w:r>
      <w:r>
        <w:rPr>
          <w:color w:val="231F20"/>
          <w:spacing w:val="-16"/>
        </w:rPr>
        <w:t> </w:t>
      </w:r>
      <w:r>
        <w:rPr>
          <w:color w:val="231F20"/>
        </w:rPr>
        <w:t>directed</w:t>
      </w:r>
      <w:r>
        <w:rPr>
          <w:color w:val="231F20"/>
          <w:spacing w:val="-17"/>
        </w:rPr>
        <w:t> </w:t>
      </w:r>
      <w:r>
        <w:rPr>
          <w:color w:val="231F20"/>
        </w:rPr>
        <w:t>at </w:t>
      </w:r>
      <w:r>
        <w:rPr>
          <w:color w:val="231F20"/>
          <w:spacing w:val="-2"/>
        </w:rPr>
        <w:t>Cuba</w:t>
      </w:r>
      <w:r>
        <w:rPr>
          <w:color w:val="231F20"/>
          <w:spacing w:val="-15"/>
        </w:rPr>
        <w:t> </w:t>
      </w:r>
      <w:r>
        <w:rPr>
          <w:color w:val="231F20"/>
          <w:spacing w:val="-2"/>
        </w:rPr>
        <w:t>was</w:t>
      </w:r>
      <w:r>
        <w:rPr>
          <w:color w:val="231F20"/>
          <w:spacing w:val="-14"/>
        </w:rPr>
        <w:t> </w:t>
      </w:r>
      <w:r>
        <w:rPr>
          <w:color w:val="231F20"/>
          <w:spacing w:val="-2"/>
        </w:rPr>
        <w:t>apparent</w:t>
      </w:r>
      <w:r>
        <w:rPr>
          <w:color w:val="231F20"/>
          <w:spacing w:val="-15"/>
        </w:rPr>
        <w:t> </w:t>
      </w:r>
      <w:r>
        <w:rPr>
          <w:color w:val="231F20"/>
          <w:spacing w:val="-2"/>
        </w:rPr>
        <w:t>on</w:t>
      </w:r>
      <w:r>
        <w:rPr>
          <w:color w:val="231F20"/>
          <w:spacing w:val="-14"/>
        </w:rPr>
        <w:t> </w:t>
      </w:r>
      <w:r>
        <w:rPr>
          <w:color w:val="231F20"/>
          <w:spacing w:val="-2"/>
        </w:rPr>
        <w:t>March</w:t>
      </w:r>
      <w:r>
        <w:rPr>
          <w:color w:val="231F20"/>
          <w:spacing w:val="-15"/>
        </w:rPr>
        <w:t> </w:t>
      </w:r>
      <w:r>
        <w:rPr>
          <w:color w:val="231F20"/>
          <w:spacing w:val="-2"/>
        </w:rPr>
        <w:t>19</w:t>
      </w:r>
      <w:r>
        <w:rPr>
          <w:color w:val="231F20"/>
          <w:spacing w:val="-14"/>
        </w:rPr>
        <w:t> </w:t>
      </w:r>
      <w:r>
        <w:rPr>
          <w:color w:val="231F20"/>
          <w:spacing w:val="-2"/>
        </w:rPr>
        <w:t>last,</w:t>
      </w:r>
      <w:r>
        <w:rPr>
          <w:color w:val="231F20"/>
          <w:spacing w:val="-15"/>
        </w:rPr>
        <w:t> </w:t>
      </w:r>
      <w:r>
        <w:rPr>
          <w:color w:val="231F20"/>
          <w:spacing w:val="-2"/>
        </w:rPr>
        <w:t>at</w:t>
      </w:r>
      <w:r>
        <w:rPr>
          <w:color w:val="231F20"/>
          <w:spacing w:val="-14"/>
        </w:rPr>
        <w:t> </w:t>
      </w:r>
      <w:r>
        <w:rPr>
          <w:color w:val="231F20"/>
          <w:spacing w:val="-2"/>
        </w:rPr>
        <w:t>the </w:t>
      </w:r>
      <w:r>
        <w:rPr>
          <w:color w:val="231F20"/>
        </w:rPr>
        <w:t>semifinal</w:t>
      </w:r>
      <w:r>
        <w:rPr>
          <w:color w:val="231F20"/>
          <w:spacing w:val="-13"/>
        </w:rPr>
        <w:t> </w:t>
      </w:r>
      <w:r>
        <w:rPr>
          <w:color w:val="231F20"/>
        </w:rPr>
        <w:t>of</w:t>
      </w:r>
      <w:r>
        <w:rPr>
          <w:color w:val="231F20"/>
          <w:spacing w:val="-13"/>
        </w:rPr>
        <w:t> </w:t>
      </w:r>
      <w:r>
        <w:rPr>
          <w:color w:val="231F20"/>
        </w:rPr>
        <w:t>the</w:t>
      </w:r>
      <w:r>
        <w:rPr>
          <w:color w:val="231F20"/>
          <w:spacing w:val="-13"/>
        </w:rPr>
        <w:t> </w:t>
      </w:r>
      <w:r>
        <w:rPr>
          <w:color w:val="231F20"/>
        </w:rPr>
        <w:t>5th</w:t>
      </w:r>
      <w:r>
        <w:rPr>
          <w:color w:val="231F20"/>
          <w:spacing w:val="-13"/>
        </w:rPr>
        <w:t> </w:t>
      </w:r>
      <w:r>
        <w:rPr>
          <w:color w:val="231F20"/>
        </w:rPr>
        <w:t>World</w:t>
      </w:r>
      <w:r>
        <w:rPr>
          <w:color w:val="231F20"/>
          <w:spacing w:val="-13"/>
        </w:rPr>
        <w:t> </w:t>
      </w:r>
      <w:r>
        <w:rPr>
          <w:color w:val="231F20"/>
        </w:rPr>
        <w:t>Baseball</w:t>
      </w:r>
      <w:r>
        <w:rPr>
          <w:color w:val="231F20"/>
          <w:spacing w:val="-13"/>
        </w:rPr>
        <w:t> </w:t>
      </w:r>
      <w:r>
        <w:rPr>
          <w:color w:val="231F20"/>
        </w:rPr>
        <w:t>Classic </w:t>
      </w:r>
      <w:r>
        <w:rPr>
          <w:color w:val="231F20"/>
          <w:spacing w:val="-8"/>
        </w:rPr>
        <w:t>between Cuba and the United States, held in </w:t>
      </w:r>
      <w:r>
        <w:rPr>
          <w:color w:val="231F20"/>
        </w:rPr>
        <w:t>the</w:t>
      </w:r>
      <w:r>
        <w:rPr>
          <w:color w:val="231F20"/>
          <w:spacing w:val="-10"/>
        </w:rPr>
        <w:t> </w:t>
      </w:r>
      <w:r>
        <w:rPr>
          <w:color w:val="231F20"/>
        </w:rPr>
        <w:t>LoanDepot</w:t>
      </w:r>
      <w:r>
        <w:rPr>
          <w:color w:val="231F20"/>
          <w:spacing w:val="-10"/>
        </w:rPr>
        <w:t> </w:t>
      </w:r>
      <w:r>
        <w:rPr>
          <w:color w:val="231F20"/>
        </w:rPr>
        <w:t>Park,</w:t>
      </w:r>
      <w:r>
        <w:rPr>
          <w:color w:val="231F20"/>
          <w:spacing w:val="-10"/>
        </w:rPr>
        <w:t> </w:t>
      </w:r>
      <w:r>
        <w:rPr>
          <w:color w:val="231F20"/>
        </w:rPr>
        <w:t>Miami,</w:t>
      </w:r>
      <w:r>
        <w:rPr>
          <w:color w:val="231F20"/>
          <w:spacing w:val="-10"/>
        </w:rPr>
        <w:t> </w:t>
      </w:r>
      <w:r>
        <w:rPr>
          <w:color w:val="231F20"/>
        </w:rPr>
        <w:t>Florida.</w:t>
      </w:r>
      <w:r>
        <w:rPr>
          <w:color w:val="231F20"/>
          <w:spacing w:val="-10"/>
        </w:rPr>
        <w:t> </w:t>
      </w:r>
      <w:r>
        <w:rPr>
          <w:color w:val="231F20"/>
        </w:rPr>
        <w:t>There </w:t>
      </w:r>
      <w:r>
        <w:rPr>
          <w:color w:val="231F20"/>
          <w:spacing w:val="-2"/>
        </w:rPr>
        <w:t>were</w:t>
      </w:r>
      <w:r>
        <w:rPr>
          <w:color w:val="231F20"/>
          <w:spacing w:val="-15"/>
        </w:rPr>
        <w:t> </w:t>
      </w:r>
      <w:r>
        <w:rPr>
          <w:color w:val="231F20"/>
          <w:spacing w:val="-2"/>
        </w:rPr>
        <w:t>cases</w:t>
      </w:r>
      <w:r>
        <w:rPr>
          <w:color w:val="231F20"/>
          <w:spacing w:val="-14"/>
        </w:rPr>
        <w:t> </w:t>
      </w:r>
      <w:r>
        <w:rPr>
          <w:color w:val="231F20"/>
          <w:spacing w:val="-2"/>
        </w:rPr>
        <w:t>of</w:t>
      </w:r>
      <w:r>
        <w:rPr>
          <w:color w:val="231F20"/>
          <w:spacing w:val="-15"/>
        </w:rPr>
        <w:t> </w:t>
      </w:r>
      <w:r>
        <w:rPr>
          <w:color w:val="231F20"/>
          <w:spacing w:val="-2"/>
        </w:rPr>
        <w:t>direct</w:t>
      </w:r>
      <w:r>
        <w:rPr>
          <w:color w:val="231F20"/>
          <w:spacing w:val="-14"/>
        </w:rPr>
        <w:t> </w:t>
      </w:r>
      <w:r>
        <w:rPr>
          <w:color w:val="231F20"/>
          <w:spacing w:val="-2"/>
        </w:rPr>
        <w:t>aggression</w:t>
      </w:r>
      <w:r>
        <w:rPr>
          <w:color w:val="231F20"/>
          <w:spacing w:val="-15"/>
        </w:rPr>
        <w:t> </w:t>
      </w:r>
      <w:r>
        <w:rPr>
          <w:color w:val="231F20"/>
          <w:spacing w:val="-2"/>
        </w:rPr>
        <w:t>against</w:t>
      </w:r>
      <w:r>
        <w:rPr>
          <w:color w:val="231F20"/>
          <w:spacing w:val="-14"/>
        </w:rPr>
        <w:t> </w:t>
      </w:r>
      <w:r>
        <w:rPr>
          <w:color w:val="231F20"/>
          <w:spacing w:val="-2"/>
        </w:rPr>
        <w:t>our </w:t>
      </w:r>
      <w:r>
        <w:rPr>
          <w:color w:val="231F20"/>
        </w:rPr>
        <w:t>players, their accompanying delegation and</w:t>
      </w:r>
      <w:r>
        <w:rPr>
          <w:color w:val="231F20"/>
          <w:spacing w:val="-4"/>
        </w:rPr>
        <w:t> </w:t>
      </w:r>
      <w:r>
        <w:rPr>
          <w:color w:val="231F20"/>
        </w:rPr>
        <w:t>the</w:t>
      </w:r>
      <w:r>
        <w:rPr>
          <w:color w:val="231F20"/>
          <w:spacing w:val="-4"/>
        </w:rPr>
        <w:t> </w:t>
      </w:r>
      <w:r>
        <w:rPr>
          <w:color w:val="231F20"/>
        </w:rPr>
        <w:t>Cuban</w:t>
      </w:r>
      <w:r>
        <w:rPr>
          <w:color w:val="231F20"/>
          <w:spacing w:val="-5"/>
        </w:rPr>
        <w:t> </w:t>
      </w:r>
      <w:r>
        <w:rPr>
          <w:color w:val="231F20"/>
        </w:rPr>
        <w:t>team’s</w:t>
      </w:r>
      <w:r>
        <w:rPr>
          <w:color w:val="231F20"/>
          <w:spacing w:val="-5"/>
        </w:rPr>
        <w:t> </w:t>
      </w:r>
      <w:r>
        <w:rPr>
          <w:color w:val="231F20"/>
        </w:rPr>
        <w:t>followers;</w:t>
      </w:r>
      <w:r>
        <w:rPr>
          <w:color w:val="231F20"/>
          <w:spacing w:val="-4"/>
        </w:rPr>
        <w:t> </w:t>
      </w:r>
      <w:r>
        <w:rPr>
          <w:color w:val="231F20"/>
        </w:rPr>
        <w:t>incidents included the throwing of objects, use of offensive language, threats, placards with political slogans and attempts to subvert the team’s morale.</w:t>
      </w:r>
    </w:p>
    <w:p>
      <w:pPr>
        <w:pStyle w:val="Heading3"/>
        <w:spacing w:line="220" w:lineRule="auto" w:before="169"/>
        <w:ind w:left="1133"/>
        <w:jc w:val="both"/>
        <w:rPr>
          <w:b/>
        </w:rPr>
      </w:pPr>
      <w:r>
        <w:rPr>
          <w:b/>
          <w:i/>
          <w:color w:val="1A4796"/>
        </w:rPr>
        <w:t>Cuba emphatically condemns the</w:t>
      </w:r>
      <w:r>
        <w:rPr>
          <w:b/>
          <w:color w:val="1A4796"/>
        </w:rPr>
        <w:t> inciting by local politicians and other </w:t>
      </w:r>
      <w:r>
        <w:rPr>
          <w:b/>
          <w:color w:val="1A4796"/>
          <w:spacing w:val="-4"/>
        </w:rPr>
        <w:t>public</w:t>
      </w:r>
      <w:r>
        <w:rPr>
          <w:b/>
          <w:color w:val="1A4796"/>
          <w:spacing w:val="-13"/>
        </w:rPr>
        <w:t> </w:t>
      </w:r>
      <w:r>
        <w:rPr>
          <w:b/>
          <w:color w:val="1A4796"/>
          <w:spacing w:val="-4"/>
        </w:rPr>
        <w:t>servants</w:t>
      </w:r>
      <w:r>
        <w:rPr>
          <w:b/>
          <w:color w:val="1A4796"/>
          <w:spacing w:val="-13"/>
        </w:rPr>
        <w:t> </w:t>
      </w:r>
      <w:r>
        <w:rPr>
          <w:b/>
          <w:color w:val="1A4796"/>
          <w:spacing w:val="-4"/>
        </w:rPr>
        <w:t>of</w:t>
      </w:r>
      <w:r>
        <w:rPr>
          <w:b/>
          <w:color w:val="1A4796"/>
          <w:spacing w:val="-13"/>
        </w:rPr>
        <w:t> </w:t>
      </w:r>
      <w:r>
        <w:rPr>
          <w:b/>
          <w:color w:val="1A4796"/>
          <w:spacing w:val="-4"/>
        </w:rPr>
        <w:t>harassment,</w:t>
      </w:r>
      <w:r>
        <w:rPr>
          <w:b/>
          <w:color w:val="1A4796"/>
          <w:spacing w:val="-13"/>
        </w:rPr>
        <w:t> </w:t>
      </w:r>
      <w:r>
        <w:rPr>
          <w:b/>
          <w:color w:val="1A4796"/>
          <w:spacing w:val="-4"/>
        </w:rPr>
        <w:t>violence </w:t>
      </w:r>
      <w:r>
        <w:rPr>
          <w:b/>
          <w:color w:val="1A4796"/>
        </w:rPr>
        <w:t>or mobbing of sportspersons. These </w:t>
      </w:r>
      <w:r>
        <w:rPr>
          <w:b/>
          <w:color w:val="1A4796"/>
          <w:spacing w:val="-8"/>
        </w:rPr>
        <w:t>were</w:t>
      </w:r>
      <w:r>
        <w:rPr>
          <w:b/>
          <w:color w:val="1A4796"/>
          <w:spacing w:val="-10"/>
        </w:rPr>
        <w:t> </w:t>
      </w:r>
      <w:r>
        <w:rPr>
          <w:b/>
          <w:color w:val="1A4796"/>
          <w:spacing w:val="-8"/>
        </w:rPr>
        <w:t>the</w:t>
      </w:r>
      <w:r>
        <w:rPr>
          <w:b/>
          <w:color w:val="1A4796"/>
          <w:spacing w:val="-10"/>
        </w:rPr>
        <w:t> </w:t>
      </w:r>
      <w:r>
        <w:rPr>
          <w:b/>
          <w:color w:val="1A4796"/>
          <w:spacing w:val="-8"/>
        </w:rPr>
        <w:t>factions</w:t>
      </w:r>
      <w:r>
        <w:rPr>
          <w:b/>
          <w:color w:val="1A4796"/>
          <w:spacing w:val="-10"/>
        </w:rPr>
        <w:t> </w:t>
      </w:r>
      <w:r>
        <w:rPr>
          <w:b/>
          <w:color w:val="1A4796"/>
          <w:spacing w:val="-8"/>
        </w:rPr>
        <w:t>that</w:t>
      </w:r>
      <w:r>
        <w:rPr>
          <w:b/>
          <w:color w:val="1A4796"/>
          <w:spacing w:val="-10"/>
        </w:rPr>
        <w:t> </w:t>
      </w:r>
      <w:r>
        <w:rPr>
          <w:b/>
          <w:color w:val="1A4796"/>
          <w:spacing w:val="-8"/>
        </w:rPr>
        <w:t>in</w:t>
      </w:r>
      <w:r>
        <w:rPr>
          <w:b/>
          <w:color w:val="1A4796"/>
          <w:spacing w:val="-10"/>
        </w:rPr>
        <w:t> </w:t>
      </w:r>
      <w:r>
        <w:rPr>
          <w:b/>
          <w:color w:val="1A4796"/>
          <w:spacing w:val="-8"/>
        </w:rPr>
        <w:t>2018</w:t>
      </w:r>
      <w:r>
        <w:rPr>
          <w:b/>
          <w:color w:val="1A4796"/>
          <w:spacing w:val="-10"/>
        </w:rPr>
        <w:t> </w:t>
      </w:r>
      <w:r>
        <w:rPr>
          <w:b/>
          <w:color w:val="1A4796"/>
          <w:spacing w:val="-8"/>
        </w:rPr>
        <w:t>sabotaged </w:t>
      </w:r>
      <w:r>
        <w:rPr>
          <w:b/>
          <w:color w:val="1A4796"/>
        </w:rPr>
        <w:t>the Cuban Baseball Federation - MLB </w:t>
      </w:r>
      <w:r>
        <w:rPr>
          <w:b/>
          <w:color w:val="1A4796"/>
          <w:spacing w:val="-4"/>
        </w:rPr>
        <w:t>agreement</w:t>
      </w:r>
      <w:r>
        <w:rPr>
          <w:b/>
          <w:color w:val="1A4796"/>
          <w:spacing w:val="-14"/>
        </w:rPr>
        <w:t> </w:t>
      </w:r>
      <w:r>
        <w:rPr>
          <w:b/>
          <w:color w:val="1A4796"/>
          <w:spacing w:val="-4"/>
        </w:rPr>
        <w:t>which</w:t>
      </w:r>
      <w:r>
        <w:rPr>
          <w:b/>
          <w:color w:val="1A4796"/>
          <w:spacing w:val="-14"/>
        </w:rPr>
        <w:t> </w:t>
      </w:r>
      <w:r>
        <w:rPr>
          <w:b/>
          <w:color w:val="1A4796"/>
          <w:spacing w:val="-4"/>
        </w:rPr>
        <w:t>would</w:t>
      </w:r>
      <w:r>
        <w:rPr>
          <w:b/>
          <w:color w:val="1A4796"/>
          <w:spacing w:val="-14"/>
        </w:rPr>
        <w:t> </w:t>
      </w:r>
      <w:r>
        <w:rPr>
          <w:b/>
          <w:color w:val="1A4796"/>
          <w:spacing w:val="-4"/>
        </w:rPr>
        <w:t>have</w:t>
      </w:r>
      <w:r>
        <w:rPr>
          <w:b/>
          <w:color w:val="1A4796"/>
          <w:spacing w:val="-14"/>
        </w:rPr>
        <w:t> </w:t>
      </w:r>
      <w:r>
        <w:rPr>
          <w:b/>
          <w:color w:val="1A4796"/>
          <w:spacing w:val="-4"/>
        </w:rPr>
        <w:t>benefited all</w:t>
      </w:r>
      <w:r>
        <w:rPr>
          <w:b/>
          <w:color w:val="1A4796"/>
          <w:spacing w:val="-14"/>
        </w:rPr>
        <w:t> </w:t>
      </w:r>
      <w:r>
        <w:rPr>
          <w:b/>
          <w:color w:val="1A4796"/>
          <w:spacing w:val="-4"/>
        </w:rPr>
        <w:t>the</w:t>
      </w:r>
      <w:r>
        <w:rPr>
          <w:b/>
          <w:color w:val="1A4796"/>
          <w:spacing w:val="-14"/>
        </w:rPr>
        <w:t> </w:t>
      </w:r>
      <w:r>
        <w:rPr>
          <w:b/>
          <w:color w:val="1A4796"/>
          <w:spacing w:val="-4"/>
        </w:rPr>
        <w:t>parties</w:t>
      </w:r>
      <w:r>
        <w:rPr>
          <w:b/>
          <w:color w:val="1A4796"/>
          <w:spacing w:val="-14"/>
        </w:rPr>
        <w:t> </w:t>
      </w:r>
      <w:r>
        <w:rPr>
          <w:b/>
          <w:color w:val="1A4796"/>
          <w:spacing w:val="-4"/>
        </w:rPr>
        <w:t>involved</w:t>
      </w:r>
      <w:r>
        <w:rPr>
          <w:b/>
          <w:color w:val="1A4796"/>
          <w:spacing w:val="-14"/>
        </w:rPr>
        <w:t> </w:t>
      </w:r>
      <w:r>
        <w:rPr>
          <w:b/>
          <w:color w:val="1A4796"/>
          <w:spacing w:val="-4"/>
        </w:rPr>
        <w:t>and</w:t>
      </w:r>
      <w:r>
        <w:rPr>
          <w:b/>
          <w:color w:val="1A4796"/>
          <w:spacing w:val="-14"/>
        </w:rPr>
        <w:t> </w:t>
      </w:r>
      <w:r>
        <w:rPr>
          <w:b/>
          <w:color w:val="1A4796"/>
          <w:spacing w:val="-4"/>
        </w:rPr>
        <w:t>contributed to</w:t>
      </w:r>
      <w:r>
        <w:rPr>
          <w:b/>
          <w:color w:val="1A4796"/>
          <w:spacing w:val="-7"/>
        </w:rPr>
        <w:t> </w:t>
      </w:r>
      <w:r>
        <w:rPr>
          <w:b/>
          <w:color w:val="1A4796"/>
          <w:spacing w:val="-4"/>
        </w:rPr>
        <w:t>ending</w:t>
      </w:r>
      <w:r>
        <w:rPr>
          <w:b/>
          <w:color w:val="1A4796"/>
          <w:spacing w:val="-7"/>
        </w:rPr>
        <w:t> </w:t>
      </w:r>
      <w:r>
        <w:rPr>
          <w:b/>
          <w:color w:val="1A4796"/>
          <w:spacing w:val="-4"/>
        </w:rPr>
        <w:t>the</w:t>
      </w:r>
      <w:r>
        <w:rPr>
          <w:b/>
          <w:color w:val="1A4796"/>
          <w:spacing w:val="-7"/>
        </w:rPr>
        <w:t> </w:t>
      </w:r>
      <w:r>
        <w:rPr>
          <w:b/>
          <w:color w:val="1A4796"/>
          <w:spacing w:val="-4"/>
        </w:rPr>
        <w:t>discriminatory</w:t>
      </w:r>
      <w:r>
        <w:rPr>
          <w:b/>
          <w:color w:val="1A4796"/>
          <w:spacing w:val="-7"/>
        </w:rPr>
        <w:t> </w:t>
      </w:r>
      <w:r>
        <w:rPr>
          <w:b/>
          <w:color w:val="1A4796"/>
          <w:spacing w:val="-4"/>
        </w:rPr>
        <w:t>treatment </w:t>
      </w:r>
      <w:r>
        <w:rPr>
          <w:b/>
          <w:color w:val="1A4796"/>
        </w:rPr>
        <w:t>meted</w:t>
      </w:r>
      <w:r>
        <w:rPr>
          <w:b/>
          <w:color w:val="1A4796"/>
          <w:spacing w:val="-17"/>
        </w:rPr>
        <w:t> </w:t>
      </w:r>
      <w:r>
        <w:rPr>
          <w:b/>
          <w:color w:val="1A4796"/>
        </w:rPr>
        <w:t>out</w:t>
      </w:r>
      <w:r>
        <w:rPr>
          <w:b/>
          <w:color w:val="1A4796"/>
          <w:spacing w:val="-17"/>
        </w:rPr>
        <w:t> </w:t>
      </w:r>
      <w:r>
        <w:rPr>
          <w:b/>
          <w:color w:val="1A4796"/>
        </w:rPr>
        <w:t>to</w:t>
      </w:r>
      <w:r>
        <w:rPr>
          <w:b/>
          <w:color w:val="1A4796"/>
          <w:spacing w:val="-17"/>
        </w:rPr>
        <w:t> </w:t>
      </w:r>
      <w:r>
        <w:rPr>
          <w:b/>
          <w:color w:val="1A4796"/>
        </w:rPr>
        <w:t>Cuban</w:t>
      </w:r>
      <w:r>
        <w:rPr>
          <w:b/>
          <w:color w:val="1A4796"/>
          <w:spacing w:val="-17"/>
        </w:rPr>
        <w:t> </w:t>
      </w:r>
      <w:r>
        <w:rPr>
          <w:b/>
          <w:color w:val="1A4796"/>
        </w:rPr>
        <w:t>athletes.</w:t>
      </w:r>
    </w:p>
    <w:p>
      <w:pPr>
        <w:pStyle w:val="BodyText"/>
        <w:spacing w:before="77"/>
        <w:ind w:left="413" w:right="1473"/>
      </w:pPr>
      <w:r>
        <w:rPr/>
        <w:br w:type="column"/>
      </w:r>
      <w:r>
        <w:rPr>
          <w:color w:val="231F20"/>
        </w:rPr>
        <w:t>Long</w:t>
      </w:r>
      <w:r>
        <w:rPr>
          <w:color w:val="231F20"/>
          <w:spacing w:val="-15"/>
        </w:rPr>
        <w:t> </w:t>
      </w:r>
      <w:r>
        <w:rPr>
          <w:color w:val="231F20"/>
        </w:rPr>
        <w:t>before</w:t>
      </w:r>
      <w:r>
        <w:rPr>
          <w:color w:val="231F20"/>
          <w:spacing w:val="-15"/>
        </w:rPr>
        <w:t> </w:t>
      </w:r>
      <w:r>
        <w:rPr>
          <w:color w:val="231F20"/>
        </w:rPr>
        <w:t>the</w:t>
      </w:r>
      <w:r>
        <w:rPr>
          <w:color w:val="231F20"/>
          <w:spacing w:val="-15"/>
        </w:rPr>
        <w:t> </w:t>
      </w:r>
      <w:r>
        <w:rPr>
          <w:color w:val="231F20"/>
        </w:rPr>
        <w:t>start</w:t>
      </w:r>
      <w:r>
        <w:rPr>
          <w:color w:val="231F20"/>
          <w:spacing w:val="-15"/>
        </w:rPr>
        <w:t> </w:t>
      </w:r>
      <w:r>
        <w:rPr>
          <w:color w:val="231F20"/>
        </w:rPr>
        <w:t>of</w:t>
      </w:r>
      <w:r>
        <w:rPr>
          <w:color w:val="231F20"/>
          <w:spacing w:val="-15"/>
        </w:rPr>
        <w:t> </w:t>
      </w:r>
      <w:r>
        <w:rPr>
          <w:color w:val="231F20"/>
        </w:rPr>
        <w:t>the</w:t>
      </w:r>
      <w:r>
        <w:rPr>
          <w:color w:val="231F20"/>
          <w:spacing w:val="-15"/>
        </w:rPr>
        <w:t> </w:t>
      </w:r>
      <w:r>
        <w:rPr>
          <w:color w:val="231F20"/>
        </w:rPr>
        <w:t>championship </w:t>
      </w:r>
      <w:r>
        <w:rPr>
          <w:color w:val="231F20"/>
          <w:spacing w:val="-2"/>
        </w:rPr>
        <w:t>mentioned,</w:t>
      </w:r>
      <w:r>
        <w:rPr>
          <w:color w:val="231F20"/>
          <w:spacing w:val="-12"/>
        </w:rPr>
        <w:t> </w:t>
      </w:r>
      <w:r>
        <w:rPr>
          <w:color w:val="231F20"/>
          <w:spacing w:val="-2"/>
        </w:rPr>
        <w:t>the</w:t>
      </w:r>
      <w:r>
        <w:rPr>
          <w:color w:val="231F20"/>
          <w:spacing w:val="-12"/>
        </w:rPr>
        <w:t> </w:t>
      </w:r>
      <w:r>
        <w:rPr>
          <w:color w:val="231F20"/>
          <w:spacing w:val="-2"/>
        </w:rPr>
        <w:t>Cuban</w:t>
      </w:r>
      <w:r>
        <w:rPr>
          <w:color w:val="231F20"/>
          <w:spacing w:val="-12"/>
        </w:rPr>
        <w:t> </w:t>
      </w:r>
      <w:r>
        <w:rPr>
          <w:color w:val="231F20"/>
          <w:spacing w:val="-2"/>
        </w:rPr>
        <w:t>team</w:t>
      </w:r>
      <w:r>
        <w:rPr>
          <w:color w:val="231F20"/>
          <w:spacing w:val="-12"/>
        </w:rPr>
        <w:t> </w:t>
      </w:r>
      <w:r>
        <w:rPr>
          <w:color w:val="231F20"/>
          <w:spacing w:val="-2"/>
        </w:rPr>
        <w:t>was</w:t>
      </w:r>
      <w:r>
        <w:rPr>
          <w:color w:val="231F20"/>
          <w:spacing w:val="-12"/>
        </w:rPr>
        <w:t> </w:t>
      </w:r>
      <w:r>
        <w:rPr>
          <w:color w:val="231F20"/>
          <w:spacing w:val="-2"/>
        </w:rPr>
        <w:t>subjected </w:t>
      </w:r>
      <w:r>
        <w:rPr>
          <w:color w:val="231F20"/>
        </w:rPr>
        <w:t>to a complex, discriminatory process whereby</w:t>
      </w:r>
      <w:r>
        <w:rPr>
          <w:color w:val="231F20"/>
          <w:spacing w:val="-17"/>
        </w:rPr>
        <w:t> </w:t>
      </w:r>
      <w:r>
        <w:rPr>
          <w:color w:val="231F20"/>
        </w:rPr>
        <w:t>the</w:t>
      </w:r>
      <w:r>
        <w:rPr>
          <w:color w:val="231F20"/>
          <w:spacing w:val="-16"/>
        </w:rPr>
        <w:t> </w:t>
      </w:r>
      <w:r>
        <w:rPr>
          <w:color w:val="231F20"/>
        </w:rPr>
        <w:t>MLB</w:t>
      </w:r>
      <w:r>
        <w:rPr>
          <w:color w:val="231F20"/>
          <w:spacing w:val="-17"/>
        </w:rPr>
        <w:t> </w:t>
      </w:r>
      <w:r>
        <w:rPr>
          <w:color w:val="231F20"/>
        </w:rPr>
        <w:t>authorities</w:t>
      </w:r>
      <w:r>
        <w:rPr>
          <w:color w:val="231F20"/>
          <w:spacing w:val="-16"/>
        </w:rPr>
        <w:t> </w:t>
      </w:r>
      <w:r>
        <w:rPr>
          <w:color w:val="231F20"/>
        </w:rPr>
        <w:t>were</w:t>
      </w:r>
      <w:r>
        <w:rPr>
          <w:color w:val="231F20"/>
          <w:spacing w:val="-17"/>
        </w:rPr>
        <w:t> </w:t>
      </w:r>
      <w:r>
        <w:rPr>
          <w:color w:val="231F20"/>
        </w:rPr>
        <w:t>obliged to apply and wait for approval of licenses by the U.S. Treasury Department’s Office of Foreign Assets Control. This process included a special permit for Cuba’s participation in the event, followed by another for incorporating the Cuban</w:t>
      </w:r>
      <w:r>
        <w:rPr>
          <w:color w:val="231F20"/>
          <w:spacing w:val="80"/>
          <w:w w:val="150"/>
        </w:rPr>
        <w:t> </w:t>
      </w:r>
      <w:r>
        <w:rPr>
          <w:color w:val="231F20"/>
        </w:rPr>
        <w:t>MLB players and, later, yet another to confirm</w:t>
      </w:r>
      <w:r>
        <w:rPr>
          <w:color w:val="231F20"/>
          <w:spacing w:val="40"/>
        </w:rPr>
        <w:t> </w:t>
      </w:r>
      <w:r>
        <w:rPr>
          <w:color w:val="231F20"/>
        </w:rPr>
        <w:t>their</w:t>
      </w:r>
      <w:r>
        <w:rPr>
          <w:color w:val="231F20"/>
          <w:spacing w:val="40"/>
        </w:rPr>
        <w:t> </w:t>
      </w:r>
      <w:r>
        <w:rPr>
          <w:color w:val="231F20"/>
        </w:rPr>
        <w:t>early</w:t>
      </w:r>
      <w:r>
        <w:rPr>
          <w:color w:val="231F20"/>
          <w:spacing w:val="40"/>
        </w:rPr>
        <w:t> </w:t>
      </w:r>
      <w:r>
        <w:rPr>
          <w:color w:val="231F20"/>
        </w:rPr>
        <w:t>incorporation</w:t>
      </w:r>
      <w:r>
        <w:rPr>
          <w:color w:val="231F20"/>
          <w:spacing w:val="40"/>
        </w:rPr>
        <w:t> </w:t>
      </w:r>
      <w:r>
        <w:rPr>
          <w:color w:val="231F20"/>
        </w:rPr>
        <w:t>with the rest of the team. The permits issued expressly prohibited several of the team members from travelling to Cuba with their teammates after the championship. All</w:t>
      </w:r>
      <w:r>
        <w:rPr>
          <w:color w:val="231F20"/>
          <w:spacing w:val="40"/>
        </w:rPr>
        <w:t> </w:t>
      </w:r>
      <w:r>
        <w:rPr>
          <w:color w:val="231F20"/>
        </w:rPr>
        <w:t>this</w:t>
      </w:r>
      <w:r>
        <w:rPr>
          <w:color w:val="231F20"/>
          <w:spacing w:val="40"/>
        </w:rPr>
        <w:t> </w:t>
      </w:r>
      <w:r>
        <w:rPr>
          <w:color w:val="231F20"/>
        </w:rPr>
        <w:t>threatened</w:t>
      </w:r>
      <w:r>
        <w:rPr>
          <w:color w:val="231F20"/>
          <w:spacing w:val="40"/>
        </w:rPr>
        <w:t> </w:t>
      </w:r>
      <w:r>
        <w:rPr>
          <w:color w:val="231F20"/>
        </w:rPr>
        <w:t>Cuba’s</w:t>
      </w:r>
      <w:r>
        <w:rPr>
          <w:color w:val="231F20"/>
          <w:spacing w:val="40"/>
        </w:rPr>
        <w:t> </w:t>
      </w:r>
      <w:r>
        <w:rPr>
          <w:color w:val="231F20"/>
        </w:rPr>
        <w:t>participation in the World Baseball Classic and implied exceptional disadvantages.</w:t>
      </w:r>
    </w:p>
    <w:p>
      <w:pPr>
        <w:pStyle w:val="BodyText"/>
        <w:spacing w:before="175"/>
        <w:ind w:left="413" w:right="1474"/>
      </w:pPr>
      <w:r>
        <w:rPr>
          <w:color w:val="231F20"/>
        </w:rPr>
        <w:t>Following the country’s inclusion on the </w:t>
      </w:r>
      <w:r>
        <w:rPr>
          <w:color w:val="231F20"/>
          <w:spacing w:val="-2"/>
        </w:rPr>
        <w:t>unilateral</w:t>
      </w:r>
      <w:r>
        <w:rPr>
          <w:color w:val="231F20"/>
          <w:spacing w:val="-15"/>
        </w:rPr>
        <w:t> </w:t>
      </w:r>
      <w:r>
        <w:rPr>
          <w:color w:val="231F20"/>
          <w:spacing w:val="-2"/>
        </w:rPr>
        <w:t>list</w:t>
      </w:r>
      <w:r>
        <w:rPr>
          <w:color w:val="231F20"/>
          <w:spacing w:val="-14"/>
        </w:rPr>
        <w:t> </w:t>
      </w:r>
      <w:r>
        <w:rPr>
          <w:color w:val="231F20"/>
          <w:spacing w:val="-2"/>
        </w:rPr>
        <w:t>of</w:t>
      </w:r>
      <w:r>
        <w:rPr>
          <w:color w:val="231F20"/>
          <w:spacing w:val="-15"/>
        </w:rPr>
        <w:t> </w:t>
      </w:r>
      <w:r>
        <w:rPr>
          <w:color w:val="231F20"/>
          <w:spacing w:val="-2"/>
        </w:rPr>
        <w:t>state</w:t>
      </w:r>
      <w:r>
        <w:rPr>
          <w:color w:val="231F20"/>
          <w:spacing w:val="-14"/>
        </w:rPr>
        <w:t> </w:t>
      </w:r>
      <w:r>
        <w:rPr>
          <w:color w:val="231F20"/>
          <w:spacing w:val="-2"/>
        </w:rPr>
        <w:t>sponsors</w:t>
      </w:r>
      <w:r>
        <w:rPr>
          <w:color w:val="231F20"/>
          <w:spacing w:val="-15"/>
        </w:rPr>
        <w:t> </w:t>
      </w:r>
      <w:r>
        <w:rPr>
          <w:color w:val="231F20"/>
          <w:spacing w:val="-2"/>
        </w:rPr>
        <w:t>of</w:t>
      </w:r>
      <w:r>
        <w:rPr>
          <w:color w:val="231F20"/>
          <w:spacing w:val="-14"/>
        </w:rPr>
        <w:t> </w:t>
      </w:r>
      <w:r>
        <w:rPr>
          <w:color w:val="231F20"/>
          <w:spacing w:val="-2"/>
        </w:rPr>
        <w:t>terrorism, </w:t>
      </w:r>
      <w:r>
        <w:rPr>
          <w:color w:val="231F20"/>
        </w:rPr>
        <w:t>excessive, xenophobic checks have been applied to our sporting delegations at international customs and immigration control points.</w:t>
      </w:r>
    </w:p>
    <w:p>
      <w:pPr>
        <w:pStyle w:val="BodyText"/>
        <w:spacing w:before="164"/>
        <w:ind w:left="413" w:right="1473"/>
      </w:pPr>
      <w:r>
        <w:rPr>
          <w:color w:val="231F20"/>
        </w:rPr>
        <w:t>More restrictions and higher costs have marked the purchase of fabrics, footwear, technical equipment, training aids and other sports items, whose main source is the United States. Such articles are now being</w:t>
      </w:r>
      <w:r>
        <w:rPr>
          <w:color w:val="231F20"/>
          <w:spacing w:val="-17"/>
        </w:rPr>
        <w:t> </w:t>
      </w:r>
      <w:r>
        <w:rPr>
          <w:color w:val="231F20"/>
        </w:rPr>
        <w:t>purchased</w:t>
      </w:r>
      <w:r>
        <w:rPr>
          <w:color w:val="231F20"/>
          <w:spacing w:val="-16"/>
        </w:rPr>
        <w:t> </w:t>
      </w:r>
      <w:r>
        <w:rPr>
          <w:color w:val="231F20"/>
        </w:rPr>
        <w:t>in</w:t>
      </w:r>
      <w:r>
        <w:rPr>
          <w:color w:val="231F20"/>
          <w:spacing w:val="-17"/>
        </w:rPr>
        <w:t> </w:t>
      </w:r>
      <w:r>
        <w:rPr>
          <w:color w:val="231F20"/>
        </w:rPr>
        <w:t>third</w:t>
      </w:r>
      <w:r>
        <w:rPr>
          <w:color w:val="231F20"/>
          <w:spacing w:val="-16"/>
        </w:rPr>
        <w:t> </w:t>
      </w:r>
      <w:r>
        <w:rPr>
          <w:color w:val="231F20"/>
        </w:rPr>
        <w:t>countries</w:t>
      </w:r>
      <w:r>
        <w:rPr>
          <w:color w:val="231F20"/>
          <w:spacing w:val="-17"/>
        </w:rPr>
        <w:t> </w:t>
      </w:r>
      <w:r>
        <w:rPr>
          <w:color w:val="231F20"/>
        </w:rPr>
        <w:t>at</w:t>
      </w:r>
      <w:r>
        <w:rPr>
          <w:color w:val="231F20"/>
          <w:spacing w:val="-16"/>
        </w:rPr>
        <w:t> </w:t>
      </w:r>
      <w:r>
        <w:rPr>
          <w:color w:val="231F20"/>
        </w:rPr>
        <w:t>costs </w:t>
      </w:r>
      <w:r>
        <w:rPr>
          <w:color w:val="231F20"/>
          <w:spacing w:val="-4"/>
        </w:rPr>
        <w:t>inflated</w:t>
      </w:r>
      <w:r>
        <w:rPr>
          <w:color w:val="231F20"/>
          <w:spacing w:val="-10"/>
        </w:rPr>
        <w:t> </w:t>
      </w:r>
      <w:r>
        <w:rPr>
          <w:color w:val="231F20"/>
          <w:spacing w:val="-4"/>
        </w:rPr>
        <w:t>by</w:t>
      </w:r>
      <w:r>
        <w:rPr>
          <w:color w:val="231F20"/>
          <w:spacing w:val="-10"/>
        </w:rPr>
        <w:t> </w:t>
      </w:r>
      <w:r>
        <w:rPr>
          <w:color w:val="231F20"/>
          <w:spacing w:val="-4"/>
        </w:rPr>
        <w:t>over</w:t>
      </w:r>
      <w:r>
        <w:rPr>
          <w:color w:val="231F20"/>
          <w:spacing w:val="-10"/>
        </w:rPr>
        <w:t> </w:t>
      </w:r>
      <w:r>
        <w:rPr>
          <w:color w:val="231F20"/>
          <w:spacing w:val="-4"/>
        </w:rPr>
        <w:t>50%,</w:t>
      </w:r>
      <w:r>
        <w:rPr>
          <w:color w:val="231F20"/>
          <w:spacing w:val="-10"/>
        </w:rPr>
        <w:t> </w:t>
      </w:r>
      <w:r>
        <w:rPr>
          <w:color w:val="231F20"/>
          <w:spacing w:val="-4"/>
        </w:rPr>
        <w:t>limiting</w:t>
      </w:r>
      <w:r>
        <w:rPr>
          <w:color w:val="231F20"/>
          <w:spacing w:val="-10"/>
        </w:rPr>
        <w:t> </w:t>
      </w:r>
      <w:r>
        <w:rPr>
          <w:color w:val="231F20"/>
          <w:spacing w:val="-4"/>
        </w:rPr>
        <w:t>the</w:t>
      </w:r>
      <w:r>
        <w:rPr>
          <w:color w:val="231F20"/>
          <w:spacing w:val="-10"/>
        </w:rPr>
        <w:t> </w:t>
      </w:r>
      <w:r>
        <w:rPr>
          <w:color w:val="231F20"/>
          <w:spacing w:val="-4"/>
        </w:rPr>
        <w:t>quantities </w:t>
      </w:r>
      <w:r>
        <w:rPr>
          <w:color w:val="231F20"/>
        </w:rPr>
        <w:t>that can be acquired.</w:t>
      </w:r>
    </w:p>
    <w:p>
      <w:pPr>
        <w:pStyle w:val="BodyText"/>
        <w:spacing w:before="167"/>
        <w:ind w:left="413" w:right="1473"/>
      </w:pPr>
      <w:r>
        <w:rPr>
          <w:color w:val="231F20"/>
        </w:rPr>
        <w:t>Also, our athletes and referees have experienced the retention of thousands</w:t>
      </w:r>
      <w:r>
        <w:rPr>
          <w:color w:val="231F20"/>
          <w:spacing w:val="40"/>
        </w:rPr>
        <w:t> </w:t>
      </w:r>
      <w:r>
        <w:rPr>
          <w:color w:val="231F20"/>
        </w:rPr>
        <w:t>of dollars earned as prizes due to refusal by foreign banks to process payments to </w:t>
      </w:r>
      <w:r>
        <w:rPr>
          <w:color w:val="231F20"/>
          <w:spacing w:val="-2"/>
        </w:rPr>
        <w:t>Cuban</w:t>
      </w:r>
      <w:r>
        <w:rPr>
          <w:color w:val="231F20"/>
          <w:spacing w:val="-15"/>
        </w:rPr>
        <w:t> </w:t>
      </w:r>
      <w:r>
        <w:rPr>
          <w:color w:val="231F20"/>
          <w:spacing w:val="-2"/>
        </w:rPr>
        <w:t>beneficiaries.</w:t>
      </w:r>
      <w:r>
        <w:rPr>
          <w:color w:val="231F20"/>
          <w:spacing w:val="-14"/>
        </w:rPr>
        <w:t> </w:t>
      </w:r>
      <w:r>
        <w:rPr>
          <w:color w:val="231F20"/>
          <w:spacing w:val="-2"/>
        </w:rPr>
        <w:t>Among</w:t>
      </w:r>
      <w:r>
        <w:rPr>
          <w:color w:val="231F20"/>
          <w:spacing w:val="-15"/>
        </w:rPr>
        <w:t> </w:t>
      </w:r>
      <w:r>
        <w:rPr>
          <w:color w:val="231F20"/>
          <w:spacing w:val="-2"/>
        </w:rPr>
        <w:t>those</w:t>
      </w:r>
      <w:r>
        <w:rPr>
          <w:color w:val="231F20"/>
          <w:spacing w:val="-14"/>
        </w:rPr>
        <w:t> </w:t>
      </w:r>
      <w:r>
        <w:rPr>
          <w:color w:val="231F20"/>
          <w:spacing w:val="-2"/>
        </w:rPr>
        <w:t>affected </w:t>
      </w:r>
      <w:r>
        <w:rPr>
          <w:color w:val="231F20"/>
        </w:rPr>
        <w:t>were Leila Consuelo Martínez Ortega and </w:t>
      </w:r>
      <w:r>
        <w:rPr>
          <w:color w:val="231F20"/>
          <w:spacing w:val="-2"/>
        </w:rPr>
        <w:t>Lidianny</w:t>
      </w:r>
      <w:r>
        <w:rPr>
          <w:color w:val="231F20"/>
          <w:spacing w:val="-15"/>
        </w:rPr>
        <w:t> </w:t>
      </w:r>
      <w:r>
        <w:rPr>
          <w:color w:val="231F20"/>
          <w:spacing w:val="-2"/>
        </w:rPr>
        <w:t>Echevarría</w:t>
      </w:r>
      <w:r>
        <w:rPr>
          <w:color w:val="231F20"/>
          <w:spacing w:val="-14"/>
        </w:rPr>
        <w:t> </w:t>
      </w:r>
      <w:r>
        <w:rPr>
          <w:color w:val="231F20"/>
          <w:spacing w:val="-2"/>
        </w:rPr>
        <w:t>Benítez</w:t>
      </w:r>
      <w:r>
        <w:rPr>
          <w:color w:val="231F20"/>
          <w:spacing w:val="-15"/>
        </w:rPr>
        <w:t> </w:t>
      </w:r>
      <w:r>
        <w:rPr>
          <w:color w:val="231F20"/>
          <w:spacing w:val="-2"/>
        </w:rPr>
        <w:t>of</w:t>
      </w:r>
      <w:r>
        <w:rPr>
          <w:color w:val="231F20"/>
          <w:spacing w:val="-14"/>
        </w:rPr>
        <w:t> </w:t>
      </w:r>
      <w:r>
        <w:rPr>
          <w:color w:val="231F20"/>
          <w:spacing w:val="-2"/>
        </w:rPr>
        <w:t>the</w:t>
      </w:r>
      <w:r>
        <w:rPr>
          <w:color w:val="231F20"/>
          <w:spacing w:val="-15"/>
        </w:rPr>
        <w:t> </w:t>
      </w:r>
      <w:r>
        <w:rPr>
          <w:color w:val="231F20"/>
          <w:spacing w:val="-2"/>
        </w:rPr>
        <w:t>women’s beach</w:t>
      </w:r>
      <w:r>
        <w:rPr>
          <w:color w:val="231F20"/>
          <w:spacing w:val="-13"/>
        </w:rPr>
        <w:t> </w:t>
      </w:r>
      <w:r>
        <w:rPr>
          <w:color w:val="231F20"/>
          <w:spacing w:val="-2"/>
        </w:rPr>
        <w:t>volley</w:t>
      </w:r>
      <w:r>
        <w:rPr>
          <w:color w:val="231F20"/>
          <w:spacing w:val="-13"/>
        </w:rPr>
        <w:t> </w:t>
      </w:r>
      <w:r>
        <w:rPr>
          <w:color w:val="231F20"/>
          <w:spacing w:val="-2"/>
        </w:rPr>
        <w:t>squad,</w:t>
      </w:r>
      <w:r>
        <w:rPr>
          <w:color w:val="231F20"/>
          <w:spacing w:val="-13"/>
        </w:rPr>
        <w:t> </w:t>
      </w:r>
      <w:r>
        <w:rPr>
          <w:color w:val="231F20"/>
          <w:spacing w:val="-2"/>
        </w:rPr>
        <w:t>who</w:t>
      </w:r>
      <w:r>
        <w:rPr>
          <w:color w:val="231F20"/>
          <w:spacing w:val="-13"/>
        </w:rPr>
        <w:t> </w:t>
      </w:r>
      <w:r>
        <w:rPr>
          <w:color w:val="231F20"/>
          <w:spacing w:val="-2"/>
        </w:rPr>
        <w:t>have</w:t>
      </w:r>
      <w:r>
        <w:rPr>
          <w:color w:val="231F20"/>
          <w:spacing w:val="-13"/>
        </w:rPr>
        <w:t> </w:t>
      </w:r>
      <w:r>
        <w:rPr>
          <w:color w:val="231F20"/>
          <w:spacing w:val="-2"/>
        </w:rPr>
        <w:t>been</w:t>
      </w:r>
      <w:r>
        <w:rPr>
          <w:color w:val="231F20"/>
          <w:spacing w:val="-13"/>
        </w:rPr>
        <w:t> </w:t>
      </w:r>
      <w:r>
        <w:rPr>
          <w:color w:val="231F20"/>
          <w:spacing w:val="-2"/>
        </w:rPr>
        <w:t>unable </w:t>
      </w:r>
      <w:r>
        <w:rPr>
          <w:color w:val="231F20"/>
        </w:rPr>
        <w:t>to</w:t>
      </w:r>
      <w:r>
        <w:rPr>
          <w:color w:val="231F20"/>
          <w:spacing w:val="41"/>
        </w:rPr>
        <w:t> </w:t>
      </w:r>
      <w:r>
        <w:rPr>
          <w:color w:val="231F20"/>
        </w:rPr>
        <w:t>collect</w:t>
      </w:r>
      <w:r>
        <w:rPr>
          <w:color w:val="231F20"/>
          <w:spacing w:val="42"/>
        </w:rPr>
        <w:t> </w:t>
      </w:r>
      <w:r>
        <w:rPr>
          <w:color w:val="231F20"/>
        </w:rPr>
        <w:t>the</w:t>
      </w:r>
      <w:r>
        <w:rPr>
          <w:color w:val="231F20"/>
          <w:spacing w:val="42"/>
        </w:rPr>
        <w:t> </w:t>
      </w:r>
      <w:r>
        <w:rPr>
          <w:color w:val="231F20"/>
        </w:rPr>
        <w:t>money</w:t>
      </w:r>
      <w:r>
        <w:rPr>
          <w:color w:val="231F20"/>
          <w:spacing w:val="42"/>
        </w:rPr>
        <w:t> </w:t>
      </w:r>
      <w:r>
        <w:rPr>
          <w:color w:val="231F20"/>
        </w:rPr>
        <w:t>due</w:t>
      </w:r>
      <w:r>
        <w:rPr>
          <w:color w:val="231F20"/>
          <w:spacing w:val="42"/>
        </w:rPr>
        <w:t> </w:t>
      </w:r>
      <w:r>
        <w:rPr>
          <w:color w:val="231F20"/>
        </w:rPr>
        <w:t>to</w:t>
      </w:r>
      <w:r>
        <w:rPr>
          <w:color w:val="231F20"/>
          <w:spacing w:val="42"/>
        </w:rPr>
        <w:t> </w:t>
      </w:r>
      <w:r>
        <w:rPr>
          <w:color w:val="231F20"/>
        </w:rPr>
        <w:t>them</w:t>
      </w:r>
      <w:r>
        <w:rPr>
          <w:color w:val="231F20"/>
          <w:spacing w:val="42"/>
        </w:rPr>
        <w:t> </w:t>
      </w:r>
      <w:r>
        <w:rPr>
          <w:color w:val="231F20"/>
          <w:spacing w:val="-4"/>
        </w:rPr>
        <w:t>from</w:t>
      </w:r>
    </w:p>
    <w:p>
      <w:pPr>
        <w:spacing w:after="0"/>
        <w:sectPr>
          <w:pgSz w:w="11910" w:h="16840"/>
          <w:pgMar w:header="0" w:footer="695" w:top="1260" w:bottom="880" w:left="0" w:right="0"/>
          <w:cols w:num="2" w:equalWidth="0">
            <w:col w:w="5557" w:space="40"/>
            <w:col w:w="6313"/>
          </w:cols>
        </w:sectPr>
      </w:pPr>
    </w:p>
    <w:p>
      <w:pPr>
        <w:pStyle w:val="BodyText"/>
        <w:spacing w:before="77"/>
        <w:ind w:left="1474" w:right="1"/>
      </w:pPr>
      <w:r>
        <w:rPr>
          <w:color w:val="231F20"/>
        </w:rPr>
        <w:t>their participation in the Beach Volleyball World Tour.</w:t>
      </w:r>
    </w:p>
    <w:p>
      <w:pPr>
        <w:spacing w:before="160"/>
        <w:ind w:left="1474" w:right="0" w:firstLine="0"/>
        <w:jc w:val="both"/>
        <w:rPr>
          <w:rFonts w:ascii="Segoe UI Semibold"/>
          <w:b/>
          <w:i/>
          <w:sz w:val="24"/>
        </w:rPr>
      </w:pPr>
      <w:r>
        <w:rPr>
          <w:b/>
          <w:i/>
          <w:color w:val="B52628"/>
          <w:sz w:val="24"/>
        </w:rPr>
        <w:t>In the cultural sphere</w:t>
      </w:r>
      <w:r>
        <w:rPr>
          <w:rFonts w:ascii="Segoe UI Semibold"/>
          <w:b/>
          <w:i/>
          <w:color w:val="231F20"/>
          <w:sz w:val="24"/>
        </w:rPr>
        <w:t>, the blockade</w:t>
      </w:r>
      <w:r>
        <w:rPr>
          <w:rFonts w:ascii="Segoe UI Semibold"/>
          <w:b/>
          <w:i/>
          <w:color w:val="231F20"/>
          <w:sz w:val="24"/>
        </w:rPr>
        <w:t> complicates</w:t>
      </w:r>
      <w:r>
        <w:rPr>
          <w:rFonts w:ascii="Segoe UI Semibold"/>
          <w:b/>
          <w:i/>
          <w:color w:val="231F20"/>
          <w:spacing w:val="-2"/>
          <w:sz w:val="24"/>
        </w:rPr>
        <w:t> </w:t>
      </w:r>
      <w:r>
        <w:rPr>
          <w:rFonts w:ascii="Segoe UI Semibold"/>
          <w:b/>
          <w:i/>
          <w:color w:val="231F20"/>
          <w:sz w:val="24"/>
        </w:rPr>
        <w:t>the</w:t>
      </w:r>
      <w:r>
        <w:rPr>
          <w:rFonts w:ascii="Segoe UI Semibold"/>
          <w:b/>
          <w:i/>
          <w:color w:val="231F20"/>
          <w:spacing w:val="-2"/>
          <w:sz w:val="24"/>
        </w:rPr>
        <w:t> </w:t>
      </w:r>
      <w:r>
        <w:rPr>
          <w:rFonts w:ascii="Segoe UI Semibold"/>
          <w:b/>
          <w:i/>
          <w:color w:val="231F20"/>
          <w:sz w:val="24"/>
        </w:rPr>
        <w:t>search</w:t>
      </w:r>
      <w:r>
        <w:rPr>
          <w:rFonts w:ascii="Segoe UI Semibold"/>
          <w:b/>
          <w:i/>
          <w:color w:val="231F20"/>
          <w:spacing w:val="-2"/>
          <w:sz w:val="24"/>
        </w:rPr>
        <w:t> </w:t>
      </w:r>
      <w:r>
        <w:rPr>
          <w:rFonts w:ascii="Segoe UI Semibold"/>
          <w:b/>
          <w:i/>
          <w:color w:val="231F20"/>
          <w:sz w:val="24"/>
        </w:rPr>
        <w:t>for</w:t>
      </w:r>
      <w:r>
        <w:rPr>
          <w:rFonts w:ascii="Segoe UI Semibold"/>
          <w:b/>
          <w:i/>
          <w:color w:val="231F20"/>
          <w:spacing w:val="-2"/>
          <w:sz w:val="24"/>
        </w:rPr>
        <w:t> </w:t>
      </w:r>
      <w:r>
        <w:rPr>
          <w:rFonts w:ascii="Segoe UI Semibold"/>
          <w:b/>
          <w:i/>
          <w:color w:val="231F20"/>
          <w:sz w:val="24"/>
        </w:rPr>
        <w:t>niche</w:t>
      </w:r>
      <w:r>
        <w:rPr>
          <w:rFonts w:ascii="Segoe UI Semibold"/>
          <w:b/>
          <w:i/>
          <w:color w:val="231F20"/>
          <w:spacing w:val="-2"/>
          <w:sz w:val="24"/>
        </w:rPr>
        <w:t> </w:t>
      </w:r>
      <w:r>
        <w:rPr>
          <w:rFonts w:ascii="Segoe UI Semibold"/>
          <w:b/>
          <w:i/>
          <w:color w:val="231F20"/>
          <w:sz w:val="24"/>
        </w:rPr>
        <w:t>markets and business opportunities, hinders promotion,</w:t>
      </w:r>
      <w:r>
        <w:rPr>
          <w:rFonts w:ascii="Segoe UI Semibold"/>
          <w:b/>
          <w:i/>
          <w:color w:val="231F20"/>
          <w:spacing w:val="-13"/>
          <w:sz w:val="24"/>
        </w:rPr>
        <w:t> </w:t>
      </w:r>
      <w:r>
        <w:rPr>
          <w:rFonts w:ascii="Segoe UI Semibold"/>
          <w:b/>
          <w:i/>
          <w:color w:val="231F20"/>
          <w:sz w:val="24"/>
        </w:rPr>
        <w:t>dissemination</w:t>
      </w:r>
      <w:r>
        <w:rPr>
          <w:rFonts w:ascii="Segoe UI Semibold"/>
          <w:b/>
          <w:i/>
          <w:color w:val="231F20"/>
          <w:spacing w:val="-13"/>
          <w:sz w:val="24"/>
        </w:rPr>
        <w:t> </w:t>
      </w:r>
      <w:r>
        <w:rPr>
          <w:rFonts w:ascii="Segoe UI Semibold"/>
          <w:b/>
          <w:i/>
          <w:color w:val="231F20"/>
          <w:sz w:val="24"/>
        </w:rPr>
        <w:t>and</w:t>
      </w:r>
      <w:r>
        <w:rPr>
          <w:rFonts w:ascii="Segoe UI Semibold"/>
          <w:b/>
          <w:i/>
          <w:color w:val="231F20"/>
          <w:spacing w:val="-13"/>
          <w:sz w:val="24"/>
        </w:rPr>
        <w:t> </w:t>
      </w:r>
      <w:r>
        <w:rPr>
          <w:rFonts w:ascii="Segoe UI Semibold"/>
          <w:b/>
          <w:i/>
          <w:color w:val="231F20"/>
          <w:sz w:val="24"/>
        </w:rPr>
        <w:t>marketing of our cultural talents; decimates selling prices</w:t>
      </w:r>
      <w:r>
        <w:rPr>
          <w:rFonts w:ascii="Segoe UI Semibold"/>
          <w:b/>
          <w:i/>
          <w:color w:val="231F20"/>
          <w:spacing w:val="-13"/>
          <w:sz w:val="24"/>
        </w:rPr>
        <w:t> </w:t>
      </w:r>
      <w:r>
        <w:rPr>
          <w:rFonts w:ascii="Segoe UI Semibold"/>
          <w:b/>
          <w:i/>
          <w:color w:val="231F20"/>
          <w:sz w:val="24"/>
        </w:rPr>
        <w:t>and</w:t>
      </w:r>
      <w:r>
        <w:rPr>
          <w:rFonts w:ascii="Segoe UI Semibold"/>
          <w:b/>
          <w:i/>
          <w:color w:val="231F20"/>
          <w:spacing w:val="-13"/>
          <w:sz w:val="24"/>
        </w:rPr>
        <w:t> </w:t>
      </w:r>
      <w:r>
        <w:rPr>
          <w:rFonts w:ascii="Segoe UI Semibold"/>
          <w:b/>
          <w:i/>
          <w:color w:val="231F20"/>
          <w:sz w:val="24"/>
        </w:rPr>
        <w:t>greatly</w:t>
      </w:r>
      <w:r>
        <w:rPr>
          <w:rFonts w:ascii="Segoe UI Semibold"/>
          <w:b/>
          <w:i/>
          <w:color w:val="231F20"/>
          <w:spacing w:val="-13"/>
          <w:sz w:val="24"/>
        </w:rPr>
        <w:t> </w:t>
      </w:r>
      <w:r>
        <w:rPr>
          <w:rFonts w:ascii="Segoe UI Semibold"/>
          <w:b/>
          <w:i/>
          <w:color w:val="231F20"/>
          <w:sz w:val="24"/>
        </w:rPr>
        <w:t>restricts</w:t>
      </w:r>
      <w:r>
        <w:rPr>
          <w:rFonts w:ascii="Segoe UI Semibold"/>
          <w:b/>
          <w:i/>
          <w:color w:val="231F20"/>
          <w:spacing w:val="-13"/>
          <w:sz w:val="24"/>
        </w:rPr>
        <w:t> </w:t>
      </w:r>
      <w:r>
        <w:rPr>
          <w:rFonts w:ascii="Segoe UI Semibold"/>
          <w:b/>
          <w:i/>
          <w:color w:val="231F20"/>
          <w:sz w:val="24"/>
        </w:rPr>
        <w:t>the</w:t>
      </w:r>
      <w:r>
        <w:rPr>
          <w:rFonts w:ascii="Segoe UI Semibold"/>
          <w:b/>
          <w:i/>
          <w:color w:val="231F20"/>
          <w:spacing w:val="-13"/>
          <w:sz w:val="24"/>
        </w:rPr>
        <w:t> </w:t>
      </w:r>
      <w:r>
        <w:rPr>
          <w:rFonts w:ascii="Segoe UI Semibold"/>
          <w:b/>
          <w:i/>
          <w:color w:val="231F20"/>
          <w:sz w:val="24"/>
        </w:rPr>
        <w:t>enjoyment of our art by the mass populations of all the continents.</w:t>
      </w:r>
    </w:p>
    <w:p>
      <w:pPr>
        <w:pStyle w:val="BodyText"/>
        <w:spacing w:before="159"/>
        <w:ind w:left="1474" w:right="1"/>
      </w:pPr>
      <w:r>
        <w:rPr>
          <w:color w:val="231F20"/>
        </w:rPr>
        <w:t>In this stage, the culture sector was the </w:t>
      </w:r>
      <w:r>
        <w:rPr>
          <w:color w:val="231F20"/>
          <w:spacing w:val="-4"/>
        </w:rPr>
        <w:t>target</w:t>
      </w:r>
      <w:r>
        <w:rPr>
          <w:color w:val="231F20"/>
          <w:spacing w:val="-12"/>
        </w:rPr>
        <w:t> </w:t>
      </w:r>
      <w:r>
        <w:rPr>
          <w:color w:val="231F20"/>
          <w:spacing w:val="-4"/>
        </w:rPr>
        <w:t>of</w:t>
      </w:r>
      <w:r>
        <w:rPr>
          <w:color w:val="231F20"/>
          <w:spacing w:val="-12"/>
        </w:rPr>
        <w:t> </w:t>
      </w:r>
      <w:r>
        <w:rPr>
          <w:color w:val="231F20"/>
          <w:spacing w:val="-4"/>
        </w:rPr>
        <w:t>Washington’s</w:t>
      </w:r>
      <w:r>
        <w:rPr>
          <w:color w:val="231F20"/>
          <w:spacing w:val="-13"/>
        </w:rPr>
        <w:t> </w:t>
      </w:r>
      <w:r>
        <w:rPr>
          <w:color w:val="231F20"/>
          <w:spacing w:val="-4"/>
        </w:rPr>
        <w:t>policy</w:t>
      </w:r>
      <w:r>
        <w:rPr>
          <w:color w:val="231F20"/>
          <w:spacing w:val="-11"/>
        </w:rPr>
        <w:t> </w:t>
      </w:r>
      <w:r>
        <w:rPr>
          <w:color w:val="231F20"/>
          <w:spacing w:val="-4"/>
        </w:rPr>
        <w:t>of</w:t>
      </w:r>
      <w:r>
        <w:rPr>
          <w:color w:val="231F20"/>
          <w:spacing w:val="-12"/>
        </w:rPr>
        <w:t> </w:t>
      </w:r>
      <w:r>
        <w:rPr>
          <w:color w:val="231F20"/>
          <w:spacing w:val="-4"/>
        </w:rPr>
        <w:t>subversion </w:t>
      </w:r>
      <w:r>
        <w:rPr>
          <w:color w:val="231F20"/>
        </w:rPr>
        <w:t>against</w:t>
      </w:r>
      <w:r>
        <w:rPr>
          <w:color w:val="231F20"/>
          <w:spacing w:val="-5"/>
        </w:rPr>
        <w:t> </w:t>
      </w:r>
      <w:r>
        <w:rPr>
          <w:color w:val="231F20"/>
        </w:rPr>
        <w:t>Cuba,</w:t>
      </w:r>
      <w:r>
        <w:rPr>
          <w:color w:val="231F20"/>
          <w:spacing w:val="-5"/>
        </w:rPr>
        <w:t> </w:t>
      </w:r>
      <w:r>
        <w:rPr>
          <w:color w:val="231F20"/>
        </w:rPr>
        <w:t>as</w:t>
      </w:r>
      <w:r>
        <w:rPr>
          <w:color w:val="231F20"/>
          <w:spacing w:val="-5"/>
        </w:rPr>
        <w:t> </w:t>
      </w:r>
      <w:r>
        <w:rPr>
          <w:color w:val="231F20"/>
        </w:rPr>
        <w:t>it</w:t>
      </w:r>
      <w:r>
        <w:rPr>
          <w:color w:val="231F20"/>
          <w:spacing w:val="-5"/>
        </w:rPr>
        <w:t> </w:t>
      </w:r>
      <w:r>
        <w:rPr>
          <w:color w:val="231F20"/>
        </w:rPr>
        <w:t>pulled</w:t>
      </w:r>
      <w:r>
        <w:rPr>
          <w:color w:val="231F20"/>
          <w:spacing w:val="-5"/>
        </w:rPr>
        <w:t> </w:t>
      </w:r>
      <w:r>
        <w:rPr>
          <w:color w:val="231F20"/>
        </w:rPr>
        <w:t>out</w:t>
      </w:r>
      <w:r>
        <w:rPr>
          <w:color w:val="231F20"/>
          <w:spacing w:val="-5"/>
        </w:rPr>
        <w:t> </w:t>
      </w:r>
      <w:r>
        <w:rPr>
          <w:color w:val="231F20"/>
        </w:rPr>
        <w:t>all</w:t>
      </w:r>
      <w:r>
        <w:rPr>
          <w:color w:val="231F20"/>
          <w:spacing w:val="-5"/>
        </w:rPr>
        <w:t> </w:t>
      </w:r>
      <w:r>
        <w:rPr>
          <w:color w:val="231F20"/>
        </w:rPr>
        <w:t>the</w:t>
      </w:r>
      <w:r>
        <w:rPr>
          <w:color w:val="231F20"/>
          <w:spacing w:val="-5"/>
        </w:rPr>
        <w:t> </w:t>
      </w:r>
      <w:r>
        <w:rPr>
          <w:color w:val="231F20"/>
        </w:rPr>
        <w:t>stops </w:t>
      </w:r>
      <w:r>
        <w:rPr>
          <w:color w:val="231F20"/>
          <w:spacing w:val="-2"/>
        </w:rPr>
        <w:t>in</w:t>
      </w:r>
      <w:r>
        <w:rPr>
          <w:color w:val="231F20"/>
          <w:spacing w:val="-15"/>
        </w:rPr>
        <w:t> </w:t>
      </w:r>
      <w:r>
        <w:rPr>
          <w:color w:val="231F20"/>
          <w:spacing w:val="-2"/>
        </w:rPr>
        <w:t>its</w:t>
      </w:r>
      <w:r>
        <w:rPr>
          <w:color w:val="231F20"/>
          <w:spacing w:val="-14"/>
        </w:rPr>
        <w:t> </w:t>
      </w:r>
      <w:r>
        <w:rPr>
          <w:color w:val="231F20"/>
          <w:spacing w:val="-2"/>
        </w:rPr>
        <w:t>attempts</w:t>
      </w:r>
      <w:r>
        <w:rPr>
          <w:color w:val="231F20"/>
          <w:spacing w:val="-15"/>
        </w:rPr>
        <w:t> </w:t>
      </w:r>
      <w:r>
        <w:rPr>
          <w:color w:val="231F20"/>
          <w:spacing w:val="-2"/>
        </w:rPr>
        <w:t>to</w:t>
      </w:r>
      <w:r>
        <w:rPr>
          <w:color w:val="231F20"/>
          <w:spacing w:val="-14"/>
        </w:rPr>
        <w:t> </w:t>
      </w:r>
      <w:r>
        <w:rPr>
          <w:color w:val="231F20"/>
          <w:spacing w:val="-2"/>
        </w:rPr>
        <w:t>sow</w:t>
      </w:r>
      <w:r>
        <w:rPr>
          <w:color w:val="231F20"/>
          <w:spacing w:val="-14"/>
        </w:rPr>
        <w:t> </w:t>
      </w:r>
      <w:r>
        <w:rPr>
          <w:color w:val="231F20"/>
          <w:spacing w:val="-2"/>
        </w:rPr>
        <w:t>discontent</w:t>
      </w:r>
      <w:r>
        <w:rPr>
          <w:color w:val="231F20"/>
          <w:spacing w:val="-15"/>
        </w:rPr>
        <w:t> </w:t>
      </w:r>
      <w:r>
        <w:rPr>
          <w:color w:val="231F20"/>
          <w:spacing w:val="-2"/>
        </w:rPr>
        <w:t>and</w:t>
      </w:r>
      <w:r>
        <w:rPr>
          <w:color w:val="231F20"/>
          <w:spacing w:val="-14"/>
        </w:rPr>
        <w:t> </w:t>
      </w:r>
      <w:r>
        <w:rPr>
          <w:color w:val="231F20"/>
          <w:spacing w:val="-2"/>
        </w:rPr>
        <w:t>incite emigration,</w:t>
      </w:r>
      <w:r>
        <w:rPr>
          <w:color w:val="231F20"/>
          <w:spacing w:val="-13"/>
        </w:rPr>
        <w:t> </w:t>
      </w:r>
      <w:r>
        <w:rPr>
          <w:color w:val="231F20"/>
          <w:spacing w:val="-2"/>
        </w:rPr>
        <w:t>with</w:t>
      </w:r>
      <w:r>
        <w:rPr>
          <w:color w:val="231F20"/>
          <w:spacing w:val="-13"/>
        </w:rPr>
        <w:t> </w:t>
      </w:r>
      <w:r>
        <w:rPr>
          <w:color w:val="231F20"/>
          <w:spacing w:val="-2"/>
        </w:rPr>
        <w:t>a</w:t>
      </w:r>
      <w:r>
        <w:rPr>
          <w:color w:val="231F20"/>
          <w:spacing w:val="-13"/>
        </w:rPr>
        <w:t> </w:t>
      </w:r>
      <w:r>
        <w:rPr>
          <w:color w:val="231F20"/>
          <w:spacing w:val="-2"/>
        </w:rPr>
        <w:t>vicious</w:t>
      </w:r>
      <w:r>
        <w:rPr>
          <w:color w:val="231F20"/>
          <w:spacing w:val="-13"/>
        </w:rPr>
        <w:t> </w:t>
      </w:r>
      <w:r>
        <w:rPr>
          <w:color w:val="231F20"/>
          <w:spacing w:val="-2"/>
        </w:rPr>
        <w:t>media</w:t>
      </w:r>
      <w:r>
        <w:rPr>
          <w:color w:val="231F20"/>
          <w:spacing w:val="-13"/>
        </w:rPr>
        <w:t> </w:t>
      </w:r>
      <w:r>
        <w:rPr>
          <w:color w:val="231F20"/>
          <w:spacing w:val="-2"/>
        </w:rPr>
        <w:t>campaign </w:t>
      </w:r>
      <w:r>
        <w:rPr>
          <w:color w:val="231F20"/>
        </w:rPr>
        <w:t>against Cuban creative people and artists </w:t>
      </w:r>
      <w:r>
        <w:rPr>
          <w:color w:val="231F20"/>
          <w:spacing w:val="-6"/>
        </w:rPr>
        <w:t>who</w:t>
      </w:r>
      <w:r>
        <w:rPr>
          <w:color w:val="231F20"/>
          <w:spacing w:val="-11"/>
        </w:rPr>
        <w:t> </w:t>
      </w:r>
      <w:r>
        <w:rPr>
          <w:color w:val="231F20"/>
          <w:spacing w:val="-6"/>
        </w:rPr>
        <w:t>keep</w:t>
      </w:r>
      <w:r>
        <w:rPr>
          <w:color w:val="231F20"/>
          <w:spacing w:val="-10"/>
        </w:rPr>
        <w:t> </w:t>
      </w:r>
      <w:r>
        <w:rPr>
          <w:color w:val="231F20"/>
          <w:spacing w:val="-6"/>
        </w:rPr>
        <w:t>working</w:t>
      </w:r>
      <w:r>
        <w:rPr>
          <w:color w:val="231F20"/>
          <w:spacing w:val="-11"/>
        </w:rPr>
        <w:t> </w:t>
      </w:r>
      <w:r>
        <w:rPr>
          <w:color w:val="231F20"/>
          <w:spacing w:val="-6"/>
        </w:rPr>
        <w:t>in</w:t>
      </w:r>
      <w:r>
        <w:rPr>
          <w:color w:val="231F20"/>
          <w:spacing w:val="-10"/>
        </w:rPr>
        <w:t> </w:t>
      </w:r>
      <w:r>
        <w:rPr>
          <w:color w:val="231F20"/>
          <w:spacing w:val="-6"/>
        </w:rPr>
        <w:t>the</w:t>
      </w:r>
      <w:r>
        <w:rPr>
          <w:color w:val="231F20"/>
          <w:spacing w:val="-11"/>
        </w:rPr>
        <w:t> </w:t>
      </w:r>
      <w:r>
        <w:rPr>
          <w:color w:val="231F20"/>
          <w:spacing w:val="-6"/>
        </w:rPr>
        <w:t>country,</w:t>
      </w:r>
      <w:r>
        <w:rPr>
          <w:color w:val="231F20"/>
          <w:spacing w:val="-10"/>
        </w:rPr>
        <w:t> </w:t>
      </w:r>
      <w:r>
        <w:rPr>
          <w:color w:val="231F20"/>
          <w:spacing w:val="-6"/>
        </w:rPr>
        <w:t>disrupting </w:t>
      </w:r>
      <w:r>
        <w:rPr>
          <w:color w:val="231F20"/>
        </w:rPr>
        <w:t>their presentations abroad, including by the</w:t>
      </w:r>
      <w:r>
        <w:rPr>
          <w:color w:val="231F20"/>
          <w:spacing w:val="-4"/>
        </w:rPr>
        <w:t> </w:t>
      </w:r>
      <w:r>
        <w:rPr>
          <w:color w:val="231F20"/>
        </w:rPr>
        <w:t>use</w:t>
      </w:r>
      <w:r>
        <w:rPr>
          <w:color w:val="231F20"/>
          <w:spacing w:val="-4"/>
        </w:rPr>
        <w:t> </w:t>
      </w:r>
      <w:r>
        <w:rPr>
          <w:color w:val="231F20"/>
        </w:rPr>
        <w:t>of</w:t>
      </w:r>
      <w:r>
        <w:rPr>
          <w:color w:val="231F20"/>
          <w:spacing w:val="-4"/>
        </w:rPr>
        <w:t> </w:t>
      </w:r>
      <w:r>
        <w:rPr>
          <w:color w:val="231F20"/>
        </w:rPr>
        <w:t>harassment</w:t>
      </w:r>
      <w:r>
        <w:rPr>
          <w:color w:val="231F20"/>
          <w:spacing w:val="-4"/>
        </w:rPr>
        <w:t> </w:t>
      </w:r>
      <w:r>
        <w:rPr>
          <w:color w:val="231F20"/>
        </w:rPr>
        <w:t>and</w:t>
      </w:r>
      <w:r>
        <w:rPr>
          <w:color w:val="231F20"/>
          <w:spacing w:val="-4"/>
        </w:rPr>
        <w:t> </w:t>
      </w:r>
      <w:r>
        <w:rPr>
          <w:color w:val="231F20"/>
        </w:rPr>
        <w:t>violence,</w:t>
      </w:r>
      <w:r>
        <w:rPr>
          <w:color w:val="231F20"/>
          <w:spacing w:val="-4"/>
        </w:rPr>
        <w:t> </w:t>
      </w:r>
      <w:r>
        <w:rPr>
          <w:color w:val="231F20"/>
        </w:rPr>
        <w:t>while seeking</w:t>
      </w:r>
      <w:r>
        <w:rPr>
          <w:color w:val="231F20"/>
          <w:spacing w:val="-10"/>
        </w:rPr>
        <w:t> </w:t>
      </w:r>
      <w:r>
        <w:rPr>
          <w:color w:val="231F20"/>
        </w:rPr>
        <w:t>the</w:t>
      </w:r>
      <w:r>
        <w:rPr>
          <w:color w:val="231F20"/>
          <w:spacing w:val="-10"/>
        </w:rPr>
        <w:t> </w:t>
      </w:r>
      <w:r>
        <w:rPr>
          <w:color w:val="231F20"/>
        </w:rPr>
        <w:t>break-up</w:t>
      </w:r>
      <w:r>
        <w:rPr>
          <w:color w:val="231F20"/>
          <w:spacing w:val="-10"/>
        </w:rPr>
        <w:t> </w:t>
      </w:r>
      <w:r>
        <w:rPr>
          <w:color w:val="231F20"/>
        </w:rPr>
        <w:t>of</w:t>
      </w:r>
      <w:r>
        <w:rPr>
          <w:color w:val="231F20"/>
          <w:spacing w:val="-10"/>
        </w:rPr>
        <w:t> </w:t>
      </w:r>
      <w:r>
        <w:rPr>
          <w:color w:val="231F20"/>
        </w:rPr>
        <w:t>our</w:t>
      </w:r>
      <w:r>
        <w:rPr>
          <w:color w:val="231F20"/>
          <w:spacing w:val="-10"/>
        </w:rPr>
        <w:t> </w:t>
      </w:r>
      <w:r>
        <w:rPr>
          <w:color w:val="231F20"/>
        </w:rPr>
        <w:t>relations</w:t>
      </w:r>
      <w:r>
        <w:rPr>
          <w:color w:val="231F20"/>
          <w:spacing w:val="-10"/>
        </w:rPr>
        <w:t> </w:t>
      </w:r>
      <w:r>
        <w:rPr>
          <w:color w:val="231F20"/>
        </w:rPr>
        <w:t>with foreign cultural institutions.</w:t>
      </w:r>
    </w:p>
    <w:p>
      <w:pPr>
        <w:pStyle w:val="BodyText"/>
        <w:spacing w:before="169"/>
        <w:ind w:left="1474" w:right="1"/>
      </w:pPr>
      <w:r>
        <w:rPr>
          <w:color w:val="231F20"/>
        </w:rPr>
        <w:t>In May 2023, the Cuban duo Buena Fe</w:t>
      </w:r>
      <w:r>
        <w:rPr>
          <w:color w:val="231F20"/>
          <w:spacing w:val="80"/>
        </w:rPr>
        <w:t> </w:t>
      </w:r>
      <w:r>
        <w:rPr>
          <w:color w:val="231F20"/>
        </w:rPr>
        <w:t>fell</w:t>
      </w:r>
      <w:r>
        <w:rPr>
          <w:color w:val="231F20"/>
          <w:spacing w:val="40"/>
        </w:rPr>
        <w:t> </w:t>
      </w:r>
      <w:r>
        <w:rPr>
          <w:color w:val="231F20"/>
        </w:rPr>
        <w:t>victim</w:t>
      </w:r>
      <w:r>
        <w:rPr>
          <w:color w:val="231F20"/>
          <w:spacing w:val="40"/>
        </w:rPr>
        <w:t> </w:t>
      </w:r>
      <w:r>
        <w:rPr>
          <w:color w:val="231F20"/>
        </w:rPr>
        <w:t>to</w:t>
      </w:r>
      <w:r>
        <w:rPr>
          <w:color w:val="231F20"/>
          <w:spacing w:val="40"/>
        </w:rPr>
        <w:t> </w:t>
      </w:r>
      <w:r>
        <w:rPr>
          <w:color w:val="231F20"/>
        </w:rPr>
        <w:t>this</w:t>
      </w:r>
      <w:r>
        <w:rPr>
          <w:color w:val="231F20"/>
          <w:spacing w:val="40"/>
        </w:rPr>
        <w:t> </w:t>
      </w:r>
      <w:r>
        <w:rPr>
          <w:color w:val="231F20"/>
        </w:rPr>
        <w:t>venomous</w:t>
      </w:r>
      <w:r>
        <w:rPr>
          <w:color w:val="231F20"/>
          <w:spacing w:val="40"/>
        </w:rPr>
        <w:t> </w:t>
      </w:r>
      <w:r>
        <w:rPr>
          <w:color w:val="231F20"/>
        </w:rPr>
        <w:t>campaign of</w:t>
      </w:r>
      <w:r>
        <w:rPr>
          <w:color w:val="231F20"/>
          <w:spacing w:val="80"/>
          <w:w w:val="150"/>
        </w:rPr>
        <w:t> </w:t>
      </w:r>
      <w:r>
        <w:rPr>
          <w:color w:val="231F20"/>
        </w:rPr>
        <w:t>defamation.</w:t>
      </w:r>
      <w:r>
        <w:rPr>
          <w:color w:val="231F20"/>
          <w:spacing w:val="80"/>
          <w:w w:val="150"/>
        </w:rPr>
        <w:t> </w:t>
      </w:r>
      <w:r>
        <w:rPr>
          <w:color w:val="231F20"/>
        </w:rPr>
        <w:t>During</w:t>
      </w:r>
      <w:r>
        <w:rPr>
          <w:color w:val="231F20"/>
          <w:spacing w:val="80"/>
          <w:w w:val="150"/>
        </w:rPr>
        <w:t> </w:t>
      </w:r>
      <w:r>
        <w:rPr>
          <w:color w:val="231F20"/>
        </w:rPr>
        <w:t>their</w:t>
      </w:r>
      <w:r>
        <w:rPr>
          <w:color w:val="231F20"/>
          <w:spacing w:val="80"/>
          <w:w w:val="150"/>
        </w:rPr>
        <w:t> </w:t>
      </w:r>
      <w:r>
        <w:rPr>
          <w:color w:val="231F20"/>
        </w:rPr>
        <w:t>concert</w:t>
      </w:r>
      <w:r>
        <w:rPr>
          <w:color w:val="231F20"/>
          <w:spacing w:val="40"/>
        </w:rPr>
        <w:t> </w:t>
      </w:r>
      <w:r>
        <w:rPr>
          <w:color w:val="231F20"/>
        </w:rPr>
        <w:t>at Madrid’s Galileo Galilei, as part of a European tour, attempts were made to sabotage their performance by throwing </w:t>
      </w:r>
      <w:r>
        <w:rPr>
          <w:color w:val="231F20"/>
          <w:spacing w:val="-4"/>
        </w:rPr>
        <w:t>objects</w:t>
      </w:r>
      <w:r>
        <w:rPr>
          <w:color w:val="231F20"/>
          <w:spacing w:val="-13"/>
        </w:rPr>
        <w:t> </w:t>
      </w:r>
      <w:r>
        <w:rPr>
          <w:color w:val="231F20"/>
          <w:spacing w:val="-4"/>
        </w:rPr>
        <w:t>and</w:t>
      </w:r>
      <w:r>
        <w:rPr>
          <w:color w:val="231F20"/>
          <w:spacing w:val="-12"/>
        </w:rPr>
        <w:t> </w:t>
      </w:r>
      <w:r>
        <w:rPr>
          <w:color w:val="231F20"/>
          <w:spacing w:val="-4"/>
        </w:rPr>
        <w:t>hurling</w:t>
      </w:r>
      <w:r>
        <w:rPr>
          <w:color w:val="231F20"/>
          <w:spacing w:val="-13"/>
        </w:rPr>
        <w:t> </w:t>
      </w:r>
      <w:r>
        <w:rPr>
          <w:color w:val="231F20"/>
          <w:spacing w:val="-4"/>
        </w:rPr>
        <w:t>insults.</w:t>
      </w:r>
      <w:r>
        <w:rPr>
          <w:color w:val="231F20"/>
          <w:spacing w:val="20"/>
        </w:rPr>
        <w:t> </w:t>
      </w:r>
      <w:r>
        <w:rPr>
          <w:color w:val="231F20"/>
          <w:spacing w:val="-4"/>
        </w:rPr>
        <w:t>The</w:t>
      </w:r>
      <w:r>
        <w:rPr>
          <w:color w:val="231F20"/>
          <w:spacing w:val="-12"/>
        </w:rPr>
        <w:t> </w:t>
      </w:r>
      <w:r>
        <w:rPr>
          <w:color w:val="231F20"/>
          <w:spacing w:val="-4"/>
        </w:rPr>
        <w:t>harassment </w:t>
      </w:r>
      <w:r>
        <w:rPr>
          <w:color w:val="231F20"/>
        </w:rPr>
        <w:t>and pressure from the media on the promoters</w:t>
      </w:r>
      <w:r>
        <w:rPr>
          <w:color w:val="231F20"/>
          <w:spacing w:val="-17"/>
        </w:rPr>
        <w:t> </w:t>
      </w:r>
      <w:r>
        <w:rPr>
          <w:color w:val="231F20"/>
        </w:rPr>
        <w:t>and</w:t>
      </w:r>
      <w:r>
        <w:rPr>
          <w:color w:val="231F20"/>
          <w:spacing w:val="-16"/>
        </w:rPr>
        <w:t> </w:t>
      </w:r>
      <w:r>
        <w:rPr>
          <w:color w:val="231F20"/>
        </w:rPr>
        <w:t>owners</w:t>
      </w:r>
      <w:r>
        <w:rPr>
          <w:color w:val="231F20"/>
          <w:spacing w:val="-17"/>
        </w:rPr>
        <w:t> </w:t>
      </w:r>
      <w:r>
        <w:rPr>
          <w:color w:val="231F20"/>
        </w:rPr>
        <w:t>of</w:t>
      </w:r>
      <w:r>
        <w:rPr>
          <w:color w:val="231F20"/>
          <w:spacing w:val="-16"/>
        </w:rPr>
        <w:t> </w:t>
      </w:r>
      <w:r>
        <w:rPr>
          <w:color w:val="231F20"/>
        </w:rPr>
        <w:t>the</w:t>
      </w:r>
      <w:r>
        <w:rPr>
          <w:color w:val="231F20"/>
          <w:spacing w:val="-17"/>
        </w:rPr>
        <w:t> </w:t>
      </w:r>
      <w:r>
        <w:rPr>
          <w:color w:val="231F20"/>
        </w:rPr>
        <w:t>concert</w:t>
      </w:r>
      <w:r>
        <w:rPr>
          <w:color w:val="231F20"/>
          <w:spacing w:val="-16"/>
        </w:rPr>
        <w:t> </w:t>
      </w:r>
      <w:r>
        <w:rPr>
          <w:color w:val="231F20"/>
        </w:rPr>
        <w:t>halls led to the suspension of further planned performances in Salamanca and Zamora.</w:t>
      </w:r>
    </w:p>
    <w:p>
      <w:pPr>
        <w:pStyle w:val="BodyText"/>
        <w:spacing w:before="168"/>
        <w:ind w:left="1474" w:right="1"/>
      </w:pPr>
      <w:r>
        <w:rPr>
          <w:color w:val="231F20"/>
        </w:rPr>
        <w:t>The Cuban intellectual and national </w:t>
      </w:r>
      <w:r>
        <w:rPr>
          <w:color w:val="231F20"/>
          <w:spacing w:val="-4"/>
        </w:rPr>
        <w:t>literature</w:t>
      </w:r>
      <w:r>
        <w:rPr>
          <w:color w:val="231F20"/>
          <w:spacing w:val="-9"/>
        </w:rPr>
        <w:t> </w:t>
      </w:r>
      <w:r>
        <w:rPr>
          <w:color w:val="231F20"/>
          <w:spacing w:val="-4"/>
        </w:rPr>
        <w:t>prize</w:t>
      </w:r>
      <w:r>
        <w:rPr>
          <w:color w:val="231F20"/>
          <w:spacing w:val="-9"/>
        </w:rPr>
        <w:t> </w:t>
      </w:r>
      <w:r>
        <w:rPr>
          <w:color w:val="231F20"/>
          <w:spacing w:val="-4"/>
        </w:rPr>
        <w:t>winner,</w:t>
      </w:r>
      <w:r>
        <w:rPr>
          <w:color w:val="231F20"/>
          <w:spacing w:val="-9"/>
        </w:rPr>
        <w:t> </w:t>
      </w:r>
      <w:r>
        <w:rPr>
          <w:color w:val="231F20"/>
          <w:spacing w:val="-4"/>
        </w:rPr>
        <w:t>Nancy</w:t>
      </w:r>
      <w:r>
        <w:rPr>
          <w:color w:val="231F20"/>
          <w:spacing w:val="-9"/>
        </w:rPr>
        <w:t> </w:t>
      </w:r>
      <w:r>
        <w:rPr>
          <w:color w:val="231F20"/>
          <w:spacing w:val="-4"/>
        </w:rPr>
        <w:t>Morejón,</w:t>
      </w:r>
      <w:r>
        <w:rPr>
          <w:color w:val="231F20"/>
          <w:spacing w:val="-9"/>
        </w:rPr>
        <w:t> </w:t>
      </w:r>
      <w:r>
        <w:rPr>
          <w:color w:val="231F20"/>
          <w:spacing w:val="-4"/>
        </w:rPr>
        <w:t>was </w:t>
      </w:r>
      <w:r>
        <w:rPr>
          <w:color w:val="231F20"/>
        </w:rPr>
        <w:t>another victim of the cultural and media war on Cuba. At the end of May 2023,</w:t>
      </w:r>
      <w:r>
        <w:rPr>
          <w:color w:val="231F20"/>
          <w:spacing w:val="80"/>
        </w:rPr>
        <w:t> </w:t>
      </w:r>
      <w:r>
        <w:rPr>
          <w:color w:val="231F20"/>
        </w:rPr>
        <w:t>the organizers of the “Poetry Market”, staged in Paris on June 7-12, withdrew her designation as honorary president of the event, bowing to pressure from the promoters</w:t>
      </w:r>
      <w:r>
        <w:rPr>
          <w:color w:val="231F20"/>
          <w:spacing w:val="-17"/>
        </w:rPr>
        <w:t> </w:t>
      </w:r>
      <w:r>
        <w:rPr>
          <w:color w:val="231F20"/>
        </w:rPr>
        <w:t>of</w:t>
      </w:r>
      <w:r>
        <w:rPr>
          <w:color w:val="231F20"/>
          <w:spacing w:val="-16"/>
        </w:rPr>
        <w:t> </w:t>
      </w:r>
      <w:r>
        <w:rPr>
          <w:color w:val="231F20"/>
        </w:rPr>
        <w:t>hate</w:t>
      </w:r>
      <w:r>
        <w:rPr>
          <w:color w:val="231F20"/>
          <w:spacing w:val="-17"/>
        </w:rPr>
        <w:t> </w:t>
      </w:r>
      <w:r>
        <w:rPr>
          <w:color w:val="231F20"/>
        </w:rPr>
        <w:t>speech</w:t>
      </w:r>
      <w:r>
        <w:rPr>
          <w:color w:val="231F20"/>
          <w:spacing w:val="-16"/>
        </w:rPr>
        <w:t> </w:t>
      </w:r>
      <w:r>
        <w:rPr>
          <w:color w:val="231F20"/>
        </w:rPr>
        <w:t>and</w:t>
      </w:r>
      <w:r>
        <w:rPr>
          <w:color w:val="231F20"/>
          <w:spacing w:val="-17"/>
        </w:rPr>
        <w:t> </w:t>
      </w:r>
      <w:r>
        <w:rPr>
          <w:color w:val="231F20"/>
        </w:rPr>
        <w:t>persecution aimed at Cuban artists.</w:t>
      </w:r>
    </w:p>
    <w:p>
      <w:pPr>
        <w:pStyle w:val="BodyText"/>
        <w:spacing w:before="77"/>
        <w:ind w:left="411" w:right="1131"/>
      </w:pPr>
      <w:r>
        <w:rPr/>
        <w:br w:type="column"/>
      </w:r>
      <w:r>
        <w:rPr>
          <w:color w:val="231F20"/>
        </w:rPr>
        <w:t>Other artists living in Cuba have also</w:t>
      </w:r>
      <w:r>
        <w:rPr>
          <w:color w:val="231F20"/>
          <w:spacing w:val="40"/>
        </w:rPr>
        <w:t> </w:t>
      </w:r>
      <w:r>
        <w:rPr>
          <w:color w:val="231F20"/>
        </w:rPr>
        <w:t>been attacked and harmed by the calls</w:t>
      </w:r>
      <w:r>
        <w:rPr>
          <w:color w:val="231F20"/>
          <w:spacing w:val="40"/>
        </w:rPr>
        <w:t> </w:t>
      </w:r>
      <w:r>
        <w:rPr>
          <w:color w:val="231F20"/>
        </w:rPr>
        <w:t>for boycotting and harassment in </w:t>
      </w:r>
      <w:r>
        <w:rPr>
          <w:color w:val="231F20"/>
        </w:rPr>
        <w:t>Miami, including Los Van Van, Haila Mompié, Alexander Abreu, Pedrito Calvo and Paulito FG.</w:t>
      </w:r>
    </w:p>
    <w:p>
      <w:pPr>
        <w:pStyle w:val="BodyText"/>
        <w:spacing w:before="164"/>
        <w:ind w:left="411" w:right="1131"/>
      </w:pPr>
      <w:r>
        <w:rPr>
          <w:color w:val="231F20"/>
        </w:rPr>
        <w:t>Various private sector concerns in this </w:t>
      </w:r>
      <w:r>
        <w:rPr>
          <w:color w:val="231F20"/>
          <w:spacing w:val="-6"/>
        </w:rPr>
        <w:t>sphere have also been faced with difficulties </w:t>
      </w:r>
      <w:r>
        <w:rPr>
          <w:color w:val="231F20"/>
        </w:rPr>
        <w:t>in importing and obtaining supplies as a result of the blockade restrictions. Such is the</w:t>
      </w:r>
      <w:r>
        <w:rPr>
          <w:color w:val="231F20"/>
          <w:spacing w:val="-10"/>
        </w:rPr>
        <w:t> </w:t>
      </w:r>
      <w:r>
        <w:rPr>
          <w:color w:val="231F20"/>
        </w:rPr>
        <w:t>case</w:t>
      </w:r>
      <w:r>
        <w:rPr>
          <w:color w:val="231F20"/>
          <w:spacing w:val="-10"/>
        </w:rPr>
        <w:t> </w:t>
      </w:r>
      <w:r>
        <w:rPr>
          <w:color w:val="231F20"/>
        </w:rPr>
        <w:t>of</w:t>
      </w:r>
      <w:r>
        <w:rPr>
          <w:color w:val="231F20"/>
          <w:spacing w:val="-10"/>
        </w:rPr>
        <w:t> </w:t>
      </w:r>
      <w:r>
        <w:rPr>
          <w:color w:val="231F20"/>
        </w:rPr>
        <w:t>Cuban</w:t>
      </w:r>
      <w:r>
        <w:rPr>
          <w:color w:val="231F20"/>
          <w:spacing w:val="-10"/>
        </w:rPr>
        <w:t> </w:t>
      </w:r>
      <w:r>
        <w:rPr>
          <w:color w:val="231F20"/>
        </w:rPr>
        <w:t>artists</w:t>
      </w:r>
      <w:r>
        <w:rPr>
          <w:color w:val="231F20"/>
          <w:spacing w:val="-10"/>
        </w:rPr>
        <w:t> </w:t>
      </w:r>
      <w:r>
        <w:rPr>
          <w:color w:val="231F20"/>
        </w:rPr>
        <w:t>in</w:t>
      </w:r>
      <w:r>
        <w:rPr>
          <w:color w:val="231F20"/>
          <w:spacing w:val="-10"/>
        </w:rPr>
        <w:t> </w:t>
      </w:r>
      <w:r>
        <w:rPr>
          <w:color w:val="231F20"/>
        </w:rPr>
        <w:t>the</w:t>
      </w:r>
      <w:r>
        <w:rPr>
          <w:color w:val="231F20"/>
          <w:spacing w:val="-10"/>
        </w:rPr>
        <w:t> </w:t>
      </w:r>
      <w:r>
        <w:rPr>
          <w:color w:val="231F20"/>
        </w:rPr>
        <w:t>field</w:t>
      </w:r>
      <w:r>
        <w:rPr>
          <w:color w:val="231F20"/>
          <w:spacing w:val="-10"/>
        </w:rPr>
        <w:t> </w:t>
      </w:r>
      <w:r>
        <w:rPr>
          <w:color w:val="231F20"/>
        </w:rPr>
        <w:t>of</w:t>
      </w:r>
      <w:r>
        <w:rPr>
          <w:color w:val="231F20"/>
          <w:spacing w:val="-10"/>
        </w:rPr>
        <w:t> </w:t>
      </w:r>
      <w:r>
        <w:rPr>
          <w:color w:val="231F20"/>
        </w:rPr>
        <w:t>the </w:t>
      </w:r>
      <w:r>
        <w:rPr>
          <w:color w:val="231F20"/>
          <w:spacing w:val="-4"/>
        </w:rPr>
        <w:t>visual</w:t>
      </w:r>
      <w:r>
        <w:rPr>
          <w:color w:val="231F20"/>
          <w:spacing w:val="-13"/>
        </w:rPr>
        <w:t> </w:t>
      </w:r>
      <w:r>
        <w:rPr>
          <w:color w:val="231F20"/>
          <w:spacing w:val="-4"/>
        </w:rPr>
        <w:t>and</w:t>
      </w:r>
      <w:r>
        <w:rPr>
          <w:color w:val="231F20"/>
          <w:spacing w:val="-12"/>
        </w:rPr>
        <w:t> </w:t>
      </w:r>
      <w:r>
        <w:rPr>
          <w:color w:val="231F20"/>
          <w:spacing w:val="-4"/>
        </w:rPr>
        <w:t>applied</w:t>
      </w:r>
      <w:r>
        <w:rPr>
          <w:color w:val="231F20"/>
          <w:spacing w:val="-13"/>
        </w:rPr>
        <w:t> </w:t>
      </w:r>
      <w:r>
        <w:rPr>
          <w:color w:val="231F20"/>
          <w:spacing w:val="-4"/>
        </w:rPr>
        <w:t>arts,</w:t>
      </w:r>
      <w:r>
        <w:rPr>
          <w:color w:val="231F20"/>
          <w:spacing w:val="-12"/>
        </w:rPr>
        <w:t> </w:t>
      </w:r>
      <w:r>
        <w:rPr>
          <w:color w:val="231F20"/>
          <w:spacing w:val="-4"/>
        </w:rPr>
        <w:t>who</w:t>
      </w:r>
      <w:r>
        <w:rPr>
          <w:color w:val="231F20"/>
          <w:spacing w:val="-13"/>
        </w:rPr>
        <w:t> </w:t>
      </w:r>
      <w:r>
        <w:rPr>
          <w:color w:val="231F20"/>
          <w:spacing w:val="-4"/>
        </w:rPr>
        <w:t>received</w:t>
      </w:r>
      <w:r>
        <w:rPr>
          <w:color w:val="231F20"/>
          <w:spacing w:val="-12"/>
        </w:rPr>
        <w:t> </w:t>
      </w:r>
      <w:r>
        <w:rPr>
          <w:color w:val="231F20"/>
          <w:spacing w:val="-4"/>
        </w:rPr>
        <w:t>goods </w:t>
      </w:r>
      <w:r>
        <w:rPr>
          <w:color w:val="231F20"/>
        </w:rPr>
        <w:t>they ordered two-and-a-half months late due to discriminatory red tape abroad, transshipment, complications at the ports of origin and the need for recourse to distant markets to obtain the material </w:t>
      </w:r>
      <w:r>
        <w:rPr>
          <w:color w:val="231F20"/>
          <w:spacing w:val="-2"/>
        </w:rPr>
        <w:t>required.</w:t>
      </w:r>
      <w:r>
        <w:rPr>
          <w:color w:val="231F20"/>
          <w:spacing w:val="-11"/>
        </w:rPr>
        <w:t> </w:t>
      </w:r>
      <w:r>
        <w:rPr>
          <w:color w:val="231F20"/>
          <w:spacing w:val="-2"/>
        </w:rPr>
        <w:t>Also,</w:t>
      </w:r>
      <w:r>
        <w:rPr>
          <w:color w:val="231F20"/>
          <w:spacing w:val="-11"/>
        </w:rPr>
        <w:t> </w:t>
      </w:r>
      <w:r>
        <w:rPr>
          <w:color w:val="231F20"/>
          <w:spacing w:val="-2"/>
        </w:rPr>
        <w:t>the</w:t>
      </w:r>
      <w:r>
        <w:rPr>
          <w:color w:val="231F20"/>
          <w:spacing w:val="-11"/>
        </w:rPr>
        <w:t> </w:t>
      </w:r>
      <w:r>
        <w:rPr>
          <w:color w:val="231F20"/>
          <w:spacing w:val="-2"/>
        </w:rPr>
        <w:t>cost</w:t>
      </w:r>
      <w:r>
        <w:rPr>
          <w:color w:val="231F20"/>
          <w:spacing w:val="-11"/>
        </w:rPr>
        <w:t> </w:t>
      </w:r>
      <w:r>
        <w:rPr>
          <w:color w:val="231F20"/>
          <w:spacing w:val="-2"/>
        </w:rPr>
        <w:t>of</w:t>
      </w:r>
      <w:r>
        <w:rPr>
          <w:color w:val="231F20"/>
          <w:spacing w:val="-11"/>
        </w:rPr>
        <w:t> </w:t>
      </w:r>
      <w:r>
        <w:rPr>
          <w:color w:val="231F20"/>
          <w:spacing w:val="-2"/>
        </w:rPr>
        <w:t>purchase</w:t>
      </w:r>
      <w:r>
        <w:rPr>
          <w:color w:val="231F20"/>
          <w:spacing w:val="-11"/>
        </w:rPr>
        <w:t> </w:t>
      </w:r>
      <w:r>
        <w:rPr>
          <w:color w:val="231F20"/>
          <w:spacing w:val="-2"/>
        </w:rPr>
        <w:t>was</w:t>
      </w:r>
      <w:r>
        <w:rPr>
          <w:color w:val="231F20"/>
          <w:spacing w:val="-12"/>
        </w:rPr>
        <w:t> </w:t>
      </w:r>
      <w:r>
        <w:rPr>
          <w:color w:val="231F20"/>
          <w:spacing w:val="-2"/>
        </w:rPr>
        <w:t>up </w:t>
      </w:r>
      <w:r>
        <w:rPr>
          <w:color w:val="231F20"/>
        </w:rPr>
        <w:t>to four times higher in consequence.</w:t>
      </w:r>
    </w:p>
    <w:p>
      <w:pPr>
        <w:pStyle w:val="BodyText"/>
        <w:spacing w:before="171"/>
        <w:ind w:left="411" w:right="1133"/>
      </w:pPr>
      <w:r>
        <w:rPr>
          <w:color w:val="231F20"/>
        </w:rPr>
        <w:t>Unjustified freezing of the bank accounts </w:t>
      </w:r>
      <w:r>
        <w:rPr>
          <w:color w:val="231F20"/>
          <w:spacing w:val="-2"/>
        </w:rPr>
        <w:t>of</w:t>
      </w:r>
      <w:r>
        <w:rPr>
          <w:color w:val="231F20"/>
          <w:spacing w:val="-15"/>
        </w:rPr>
        <w:t> </w:t>
      </w:r>
      <w:r>
        <w:rPr>
          <w:color w:val="231F20"/>
          <w:spacing w:val="-2"/>
        </w:rPr>
        <w:t>individuals</w:t>
      </w:r>
      <w:r>
        <w:rPr>
          <w:color w:val="231F20"/>
          <w:spacing w:val="-14"/>
        </w:rPr>
        <w:t> </w:t>
      </w:r>
      <w:r>
        <w:rPr>
          <w:color w:val="231F20"/>
          <w:spacing w:val="-2"/>
        </w:rPr>
        <w:t>and</w:t>
      </w:r>
      <w:r>
        <w:rPr>
          <w:color w:val="231F20"/>
          <w:spacing w:val="-15"/>
        </w:rPr>
        <w:t> </w:t>
      </w:r>
      <w:r>
        <w:rPr>
          <w:color w:val="231F20"/>
          <w:spacing w:val="-2"/>
        </w:rPr>
        <w:t>institutions</w:t>
      </w:r>
      <w:r>
        <w:rPr>
          <w:color w:val="231F20"/>
          <w:spacing w:val="-14"/>
        </w:rPr>
        <w:t> </w:t>
      </w:r>
      <w:r>
        <w:rPr>
          <w:color w:val="231F20"/>
          <w:spacing w:val="-2"/>
        </w:rPr>
        <w:t>in</w:t>
      </w:r>
      <w:r>
        <w:rPr>
          <w:color w:val="231F20"/>
          <w:spacing w:val="-15"/>
        </w:rPr>
        <w:t> </w:t>
      </w:r>
      <w:r>
        <w:rPr>
          <w:color w:val="231F20"/>
          <w:spacing w:val="-2"/>
        </w:rPr>
        <w:t>the</w:t>
      </w:r>
      <w:r>
        <w:rPr>
          <w:color w:val="231F20"/>
          <w:spacing w:val="-14"/>
        </w:rPr>
        <w:t> </w:t>
      </w:r>
      <w:r>
        <w:rPr>
          <w:color w:val="231F20"/>
          <w:spacing w:val="-2"/>
        </w:rPr>
        <w:t>culture </w:t>
      </w:r>
      <w:r>
        <w:rPr>
          <w:color w:val="231F20"/>
        </w:rPr>
        <w:t>sector continues, as does the avalanche</w:t>
      </w:r>
      <w:r>
        <w:rPr>
          <w:color w:val="231F20"/>
          <w:spacing w:val="40"/>
        </w:rPr>
        <w:t> </w:t>
      </w:r>
      <w:r>
        <w:rPr>
          <w:color w:val="231F20"/>
        </w:rPr>
        <w:t>of anti-Cuban propaganda in cyberspace, aimed</w:t>
      </w:r>
      <w:r>
        <w:rPr>
          <w:color w:val="231F20"/>
          <w:spacing w:val="-17"/>
        </w:rPr>
        <w:t> </w:t>
      </w:r>
      <w:r>
        <w:rPr>
          <w:color w:val="231F20"/>
        </w:rPr>
        <w:t>at</w:t>
      </w:r>
      <w:r>
        <w:rPr>
          <w:color w:val="231F20"/>
          <w:spacing w:val="-16"/>
        </w:rPr>
        <w:t> </w:t>
      </w:r>
      <w:r>
        <w:rPr>
          <w:color w:val="231F20"/>
        </w:rPr>
        <w:t>belittling</w:t>
      </w:r>
      <w:r>
        <w:rPr>
          <w:color w:val="231F20"/>
          <w:spacing w:val="-17"/>
        </w:rPr>
        <w:t> </w:t>
      </w:r>
      <w:r>
        <w:rPr>
          <w:color w:val="231F20"/>
        </w:rPr>
        <w:t>our</w:t>
      </w:r>
      <w:r>
        <w:rPr>
          <w:color w:val="231F20"/>
          <w:spacing w:val="-16"/>
        </w:rPr>
        <w:t> </w:t>
      </w:r>
      <w:r>
        <w:rPr>
          <w:color w:val="231F20"/>
        </w:rPr>
        <w:t>society’s</w:t>
      </w:r>
      <w:r>
        <w:rPr>
          <w:color w:val="231F20"/>
          <w:spacing w:val="-17"/>
        </w:rPr>
        <w:t> </w:t>
      </w:r>
      <w:r>
        <w:rPr>
          <w:color w:val="231F20"/>
        </w:rPr>
        <w:t>values</w:t>
      </w:r>
      <w:r>
        <w:rPr>
          <w:color w:val="231F20"/>
          <w:spacing w:val="-16"/>
        </w:rPr>
        <w:t> </w:t>
      </w:r>
      <w:r>
        <w:rPr>
          <w:color w:val="231F20"/>
        </w:rPr>
        <w:t>and </w:t>
      </w:r>
      <w:r>
        <w:rPr>
          <w:color w:val="231F20"/>
          <w:spacing w:val="-2"/>
        </w:rPr>
        <w:t>achievements.</w:t>
      </w:r>
    </w:p>
    <w:p>
      <w:pPr>
        <w:pStyle w:val="BodyText"/>
        <w:spacing w:before="105"/>
        <w:jc w:val="left"/>
      </w:pPr>
    </w:p>
    <w:p>
      <w:pPr>
        <w:pStyle w:val="Heading2"/>
        <w:spacing w:line="196" w:lineRule="auto" w:before="1"/>
        <w:ind w:left="411" w:right="763"/>
      </w:pPr>
      <w:r>
        <w:rPr>
          <w:color w:val="1F4282"/>
          <w:w w:val="115"/>
        </w:rPr>
        <w:t>Impacts</w:t>
      </w:r>
      <w:r>
        <w:rPr>
          <w:color w:val="1F4282"/>
          <w:spacing w:val="-22"/>
          <w:w w:val="115"/>
        </w:rPr>
        <w:t> </w:t>
      </w:r>
      <w:r>
        <w:rPr>
          <w:color w:val="1F4282"/>
          <w:w w:val="115"/>
        </w:rPr>
        <w:t>on</w:t>
      </w:r>
      <w:r>
        <w:rPr>
          <w:color w:val="1F4282"/>
          <w:spacing w:val="-21"/>
          <w:w w:val="115"/>
        </w:rPr>
        <w:t> </w:t>
      </w:r>
      <w:r>
        <w:rPr>
          <w:color w:val="1F4282"/>
          <w:w w:val="115"/>
        </w:rPr>
        <w:t>economic </w:t>
      </w:r>
      <w:r>
        <w:rPr>
          <w:color w:val="1F4282"/>
          <w:spacing w:val="-2"/>
          <w:w w:val="115"/>
        </w:rPr>
        <w:t>development</w:t>
      </w:r>
    </w:p>
    <w:p>
      <w:pPr>
        <w:pStyle w:val="BodyText"/>
        <w:spacing w:before="179"/>
        <w:ind w:left="411" w:right="1133"/>
      </w:pPr>
      <w:r>
        <w:rPr>
          <w:color w:val="231F20"/>
        </w:rPr>
        <w:t>In</w:t>
      </w:r>
      <w:r>
        <w:rPr>
          <w:color w:val="231F20"/>
          <w:spacing w:val="40"/>
        </w:rPr>
        <w:t> </w:t>
      </w:r>
      <w:r>
        <w:rPr>
          <w:color w:val="231F20"/>
        </w:rPr>
        <w:t>2022,</w:t>
      </w:r>
      <w:r>
        <w:rPr>
          <w:color w:val="231F20"/>
          <w:spacing w:val="40"/>
        </w:rPr>
        <w:t> </w:t>
      </w:r>
      <w:r>
        <w:rPr>
          <w:color w:val="231F20"/>
        </w:rPr>
        <w:t>the</w:t>
      </w:r>
      <w:r>
        <w:rPr>
          <w:color w:val="231F20"/>
          <w:spacing w:val="40"/>
        </w:rPr>
        <w:t> </w:t>
      </w:r>
      <w:r>
        <w:rPr>
          <w:color w:val="231F20"/>
        </w:rPr>
        <w:t>Cuban</w:t>
      </w:r>
      <w:r>
        <w:rPr>
          <w:color w:val="231F20"/>
          <w:spacing w:val="40"/>
        </w:rPr>
        <w:t> </w:t>
      </w:r>
      <w:r>
        <w:rPr>
          <w:color w:val="231F20"/>
        </w:rPr>
        <w:t>economy</w:t>
      </w:r>
      <w:r>
        <w:rPr>
          <w:color w:val="231F20"/>
          <w:spacing w:val="40"/>
        </w:rPr>
        <w:t> </w:t>
      </w:r>
      <w:r>
        <w:rPr>
          <w:color w:val="231F20"/>
        </w:rPr>
        <w:t>grew</w:t>
      </w:r>
      <w:r>
        <w:rPr>
          <w:color w:val="231F20"/>
          <w:spacing w:val="40"/>
        </w:rPr>
        <w:t> </w:t>
      </w:r>
      <w:r>
        <w:rPr>
          <w:color w:val="231F20"/>
        </w:rPr>
        <w:t>by</w:t>
      </w:r>
      <w:r>
        <w:rPr>
          <w:color w:val="231F20"/>
          <w:spacing w:val="80"/>
          <w:w w:val="150"/>
        </w:rPr>
        <w:t> </w:t>
      </w:r>
      <w:r>
        <w:rPr>
          <w:color w:val="231F20"/>
        </w:rPr>
        <w:t>a bare 2%, following the loss between January 2020 and September 2021 of</w:t>
      </w:r>
      <w:r>
        <w:rPr>
          <w:color w:val="231F20"/>
          <w:spacing w:val="40"/>
        </w:rPr>
        <w:t> </w:t>
      </w:r>
      <w:r>
        <w:rPr>
          <w:color w:val="231F20"/>
        </w:rPr>
        <w:t>13% of GDP - the combined effect of the COVID-19 pandemic, a world economic crisis and unprecedented intensification of the U.S. economic, commercial and financial blockade.</w:t>
      </w:r>
    </w:p>
    <w:p>
      <w:pPr>
        <w:pStyle w:val="BodyText"/>
        <w:spacing w:before="167"/>
        <w:ind w:left="411" w:right="1133"/>
      </w:pPr>
      <w:r>
        <w:rPr>
          <w:color w:val="231F20"/>
        </w:rPr>
        <w:t>In the first ten months of 2022 alone, inflation</w:t>
      </w:r>
      <w:r>
        <w:rPr>
          <w:color w:val="231F20"/>
          <w:spacing w:val="-17"/>
        </w:rPr>
        <w:t> </w:t>
      </w:r>
      <w:r>
        <w:rPr>
          <w:color w:val="231F20"/>
        </w:rPr>
        <w:t>caused</w:t>
      </w:r>
      <w:r>
        <w:rPr>
          <w:color w:val="231F20"/>
          <w:spacing w:val="-16"/>
        </w:rPr>
        <w:t> </w:t>
      </w:r>
      <w:r>
        <w:rPr>
          <w:color w:val="231F20"/>
        </w:rPr>
        <w:t>a</w:t>
      </w:r>
      <w:r>
        <w:rPr>
          <w:color w:val="231F20"/>
          <w:spacing w:val="-17"/>
        </w:rPr>
        <w:t> </w:t>
      </w:r>
      <w:r>
        <w:rPr>
          <w:color w:val="231F20"/>
        </w:rPr>
        <w:t>rise</w:t>
      </w:r>
      <w:r>
        <w:rPr>
          <w:color w:val="231F20"/>
          <w:spacing w:val="-16"/>
        </w:rPr>
        <w:t> </w:t>
      </w:r>
      <w:r>
        <w:rPr>
          <w:color w:val="231F20"/>
        </w:rPr>
        <w:t>of</w:t>
      </w:r>
      <w:r>
        <w:rPr>
          <w:color w:val="231F20"/>
          <w:spacing w:val="-17"/>
        </w:rPr>
        <w:t> </w:t>
      </w:r>
      <w:r>
        <w:rPr>
          <w:color w:val="231F20"/>
        </w:rPr>
        <w:t>almost</w:t>
      </w:r>
      <w:r>
        <w:rPr>
          <w:color w:val="231F20"/>
          <w:spacing w:val="-16"/>
        </w:rPr>
        <w:t> </w:t>
      </w:r>
      <w:r>
        <w:rPr>
          <w:color w:val="231F20"/>
        </w:rPr>
        <w:t>29%</w:t>
      </w:r>
      <w:r>
        <w:rPr>
          <w:color w:val="231F20"/>
          <w:spacing w:val="-17"/>
        </w:rPr>
        <w:t> </w:t>
      </w:r>
      <w:r>
        <w:rPr>
          <w:color w:val="231F20"/>
        </w:rPr>
        <w:t>in</w:t>
      </w:r>
      <w:r>
        <w:rPr>
          <w:color w:val="231F20"/>
          <w:spacing w:val="-16"/>
        </w:rPr>
        <w:t> </w:t>
      </w:r>
      <w:r>
        <w:rPr>
          <w:color w:val="231F20"/>
        </w:rPr>
        <w:t>the average cost of basic goods and services. From October 2021 to October 2022, inflation increased by almost 40%. The key</w:t>
      </w:r>
      <w:r>
        <w:rPr>
          <w:color w:val="231F20"/>
          <w:spacing w:val="28"/>
        </w:rPr>
        <w:t> </w:t>
      </w:r>
      <w:r>
        <w:rPr>
          <w:color w:val="231F20"/>
        </w:rPr>
        <w:t>factors</w:t>
      </w:r>
      <w:r>
        <w:rPr>
          <w:color w:val="231F20"/>
          <w:spacing w:val="31"/>
        </w:rPr>
        <w:t> </w:t>
      </w:r>
      <w:r>
        <w:rPr>
          <w:color w:val="231F20"/>
        </w:rPr>
        <w:t>in</w:t>
      </w:r>
      <w:r>
        <w:rPr>
          <w:color w:val="231F20"/>
          <w:spacing w:val="30"/>
        </w:rPr>
        <w:t> </w:t>
      </w:r>
      <w:r>
        <w:rPr>
          <w:color w:val="231F20"/>
        </w:rPr>
        <w:t>this</w:t>
      </w:r>
      <w:r>
        <w:rPr>
          <w:color w:val="231F20"/>
          <w:spacing w:val="31"/>
        </w:rPr>
        <w:t> </w:t>
      </w:r>
      <w:r>
        <w:rPr>
          <w:color w:val="231F20"/>
        </w:rPr>
        <w:t>situation</w:t>
      </w:r>
      <w:r>
        <w:rPr>
          <w:color w:val="231F20"/>
          <w:spacing w:val="30"/>
        </w:rPr>
        <w:t> </w:t>
      </w:r>
      <w:r>
        <w:rPr>
          <w:color w:val="231F20"/>
        </w:rPr>
        <w:t>included</w:t>
      </w:r>
      <w:r>
        <w:rPr>
          <w:color w:val="231F20"/>
          <w:spacing w:val="31"/>
        </w:rPr>
        <w:t> </w:t>
      </w:r>
      <w:r>
        <w:rPr>
          <w:color w:val="231F20"/>
          <w:spacing w:val="-5"/>
        </w:rPr>
        <w:t>not</w:t>
      </w:r>
    </w:p>
    <w:p>
      <w:pPr>
        <w:spacing w:after="0"/>
        <w:sectPr>
          <w:pgSz w:w="11910" w:h="16840"/>
          <w:pgMar w:header="0" w:footer="695" w:top="1260" w:bottom="880" w:left="0" w:right="0"/>
          <w:cols w:num="2" w:equalWidth="0">
            <w:col w:w="5898" w:space="40"/>
            <w:col w:w="5972"/>
          </w:cols>
        </w:sectPr>
      </w:pPr>
    </w:p>
    <w:p>
      <w:pPr>
        <w:pStyle w:val="BodyText"/>
        <w:spacing w:before="77"/>
        <w:ind w:left="1133" w:right="1"/>
      </w:pPr>
      <w:r>
        <w:rPr>
          <w:color w:val="231F20"/>
          <w:spacing w:val="-2"/>
        </w:rPr>
        <w:t>only</w:t>
      </w:r>
      <w:r>
        <w:rPr>
          <w:color w:val="231F20"/>
          <w:spacing w:val="-8"/>
        </w:rPr>
        <w:t> </w:t>
      </w:r>
      <w:r>
        <w:rPr>
          <w:color w:val="231F20"/>
          <w:spacing w:val="-2"/>
        </w:rPr>
        <w:t>imported</w:t>
      </w:r>
      <w:r>
        <w:rPr>
          <w:color w:val="231F20"/>
          <w:spacing w:val="-8"/>
        </w:rPr>
        <w:t> </w:t>
      </w:r>
      <w:r>
        <w:rPr>
          <w:color w:val="231F20"/>
          <w:spacing w:val="-2"/>
        </w:rPr>
        <w:t>inflation</w:t>
      </w:r>
      <w:r>
        <w:rPr>
          <w:color w:val="231F20"/>
          <w:spacing w:val="-8"/>
        </w:rPr>
        <w:t> </w:t>
      </w:r>
      <w:r>
        <w:rPr>
          <w:color w:val="231F20"/>
          <w:spacing w:val="-2"/>
        </w:rPr>
        <w:t>derived</w:t>
      </w:r>
      <w:r>
        <w:rPr>
          <w:color w:val="231F20"/>
          <w:spacing w:val="-8"/>
        </w:rPr>
        <w:t> </w:t>
      </w:r>
      <w:r>
        <w:rPr>
          <w:color w:val="231F20"/>
          <w:spacing w:val="-2"/>
        </w:rPr>
        <w:t>from</w:t>
      </w:r>
      <w:r>
        <w:rPr>
          <w:color w:val="231F20"/>
          <w:spacing w:val="-8"/>
        </w:rPr>
        <w:t> </w:t>
      </w:r>
      <w:r>
        <w:rPr>
          <w:color w:val="231F20"/>
          <w:spacing w:val="-2"/>
        </w:rPr>
        <w:t>rising </w:t>
      </w:r>
      <w:r>
        <w:rPr>
          <w:color w:val="231F20"/>
        </w:rPr>
        <w:t>prices in the world market, but also lack of access to hard currency, exacerbated by intensification of the blockade and Washington’s</w:t>
      </w:r>
      <w:r>
        <w:rPr>
          <w:color w:val="231F20"/>
          <w:spacing w:val="-2"/>
        </w:rPr>
        <w:t> </w:t>
      </w:r>
      <w:r>
        <w:rPr>
          <w:color w:val="231F20"/>
        </w:rPr>
        <w:t>relentless</w:t>
      </w:r>
      <w:r>
        <w:rPr>
          <w:color w:val="231F20"/>
          <w:spacing w:val="-2"/>
        </w:rPr>
        <w:t> </w:t>
      </w:r>
      <w:r>
        <w:rPr>
          <w:color w:val="231F20"/>
        </w:rPr>
        <w:t>persecution</w:t>
      </w:r>
      <w:r>
        <w:rPr>
          <w:color w:val="231F20"/>
          <w:spacing w:val="-2"/>
        </w:rPr>
        <w:t> </w:t>
      </w:r>
      <w:r>
        <w:rPr>
          <w:color w:val="231F20"/>
        </w:rPr>
        <w:t>of</w:t>
      </w:r>
      <w:r>
        <w:rPr>
          <w:color w:val="231F20"/>
          <w:spacing w:val="-2"/>
        </w:rPr>
        <w:t> </w:t>
      </w:r>
      <w:r>
        <w:rPr>
          <w:color w:val="231F20"/>
        </w:rPr>
        <w:t>all the country’s sources of revenues.</w:t>
      </w:r>
    </w:p>
    <w:p>
      <w:pPr>
        <w:pStyle w:val="BodyText"/>
        <w:spacing w:before="164"/>
        <w:ind w:left="1133"/>
      </w:pPr>
      <w:r>
        <w:rPr>
          <w:color w:val="231F20"/>
          <w:spacing w:val="-6"/>
        </w:rPr>
        <w:t>The</w:t>
      </w:r>
      <w:r>
        <w:rPr>
          <w:color w:val="231F20"/>
          <w:spacing w:val="-11"/>
        </w:rPr>
        <w:t> </w:t>
      </w:r>
      <w:r>
        <w:rPr>
          <w:color w:val="231F20"/>
          <w:spacing w:val="-6"/>
        </w:rPr>
        <w:t>purchasing</w:t>
      </w:r>
      <w:r>
        <w:rPr>
          <w:color w:val="231F20"/>
          <w:spacing w:val="-10"/>
        </w:rPr>
        <w:t> </w:t>
      </w:r>
      <w:r>
        <w:rPr>
          <w:color w:val="231F20"/>
          <w:spacing w:val="-6"/>
        </w:rPr>
        <w:t>power</w:t>
      </w:r>
      <w:r>
        <w:rPr>
          <w:color w:val="231F20"/>
          <w:spacing w:val="-11"/>
        </w:rPr>
        <w:t> </w:t>
      </w:r>
      <w:r>
        <w:rPr>
          <w:color w:val="231F20"/>
          <w:spacing w:val="-6"/>
        </w:rPr>
        <w:t>of</w:t>
      </w:r>
      <w:r>
        <w:rPr>
          <w:color w:val="231F20"/>
          <w:spacing w:val="-10"/>
        </w:rPr>
        <w:t> </w:t>
      </w:r>
      <w:r>
        <w:rPr>
          <w:color w:val="231F20"/>
          <w:spacing w:val="-6"/>
        </w:rPr>
        <w:t>wages</w:t>
      </w:r>
      <w:r>
        <w:rPr>
          <w:color w:val="231F20"/>
          <w:spacing w:val="-11"/>
        </w:rPr>
        <w:t> </w:t>
      </w:r>
      <w:r>
        <w:rPr>
          <w:color w:val="231F20"/>
          <w:spacing w:val="-6"/>
        </w:rPr>
        <w:t>in</w:t>
      </w:r>
      <w:r>
        <w:rPr>
          <w:color w:val="231F20"/>
          <w:spacing w:val="-10"/>
        </w:rPr>
        <w:t> </w:t>
      </w:r>
      <w:r>
        <w:rPr>
          <w:color w:val="231F20"/>
          <w:spacing w:val="-6"/>
        </w:rPr>
        <w:t>Cuba</w:t>
      </w:r>
      <w:r>
        <w:rPr>
          <w:color w:val="231F20"/>
          <w:spacing w:val="-10"/>
        </w:rPr>
        <w:t> </w:t>
      </w:r>
      <w:r>
        <w:rPr>
          <w:color w:val="231F20"/>
          <w:spacing w:val="-6"/>
        </w:rPr>
        <w:t>has </w:t>
      </w:r>
      <w:r>
        <w:rPr>
          <w:color w:val="231F20"/>
          <w:spacing w:val="-4"/>
        </w:rPr>
        <w:t>consequently</w:t>
      </w:r>
      <w:r>
        <w:rPr>
          <w:color w:val="231F20"/>
          <w:spacing w:val="-13"/>
        </w:rPr>
        <w:t> </w:t>
      </w:r>
      <w:r>
        <w:rPr>
          <w:color w:val="231F20"/>
          <w:spacing w:val="-4"/>
        </w:rPr>
        <w:t>plummeted.</w:t>
      </w:r>
      <w:r>
        <w:rPr>
          <w:color w:val="231F20"/>
          <w:spacing w:val="-12"/>
        </w:rPr>
        <w:t> </w:t>
      </w:r>
      <w:r>
        <w:rPr>
          <w:color w:val="231F20"/>
          <w:spacing w:val="-4"/>
        </w:rPr>
        <w:t>The</w:t>
      </w:r>
      <w:r>
        <w:rPr>
          <w:color w:val="231F20"/>
          <w:spacing w:val="-13"/>
        </w:rPr>
        <w:t> </w:t>
      </w:r>
      <w:r>
        <w:rPr>
          <w:color w:val="231F20"/>
          <w:spacing w:val="-4"/>
        </w:rPr>
        <w:t>situation</w:t>
      </w:r>
      <w:r>
        <w:rPr>
          <w:color w:val="231F20"/>
          <w:spacing w:val="-12"/>
        </w:rPr>
        <w:t> </w:t>
      </w:r>
      <w:r>
        <w:rPr>
          <w:color w:val="231F20"/>
          <w:spacing w:val="-4"/>
        </w:rPr>
        <w:t>has had</w:t>
      </w:r>
      <w:r>
        <w:rPr>
          <w:color w:val="231F20"/>
          <w:spacing w:val="-10"/>
        </w:rPr>
        <w:t> </w:t>
      </w:r>
      <w:r>
        <w:rPr>
          <w:color w:val="231F20"/>
          <w:spacing w:val="-4"/>
        </w:rPr>
        <w:t>devastating</w:t>
      </w:r>
      <w:r>
        <w:rPr>
          <w:color w:val="231F20"/>
          <w:spacing w:val="-10"/>
        </w:rPr>
        <w:t> </w:t>
      </w:r>
      <w:r>
        <w:rPr>
          <w:color w:val="231F20"/>
          <w:spacing w:val="-4"/>
        </w:rPr>
        <w:t>effects</w:t>
      </w:r>
      <w:r>
        <w:rPr>
          <w:color w:val="231F20"/>
          <w:spacing w:val="-10"/>
        </w:rPr>
        <w:t> </w:t>
      </w:r>
      <w:r>
        <w:rPr>
          <w:color w:val="231F20"/>
          <w:spacing w:val="-4"/>
        </w:rPr>
        <w:t>on</w:t>
      </w:r>
      <w:r>
        <w:rPr>
          <w:color w:val="231F20"/>
          <w:spacing w:val="-10"/>
        </w:rPr>
        <w:t> </w:t>
      </w:r>
      <w:r>
        <w:rPr>
          <w:color w:val="231F20"/>
          <w:spacing w:val="-4"/>
        </w:rPr>
        <w:t>all</w:t>
      </w:r>
      <w:r>
        <w:rPr>
          <w:color w:val="231F20"/>
          <w:spacing w:val="-10"/>
        </w:rPr>
        <w:t> </w:t>
      </w:r>
      <w:r>
        <w:rPr>
          <w:color w:val="231F20"/>
          <w:spacing w:val="-4"/>
        </w:rPr>
        <w:t>sectors</w:t>
      </w:r>
      <w:r>
        <w:rPr>
          <w:color w:val="231F20"/>
          <w:spacing w:val="-10"/>
        </w:rPr>
        <w:t> </w:t>
      </w:r>
      <w:r>
        <w:rPr>
          <w:color w:val="231F20"/>
          <w:spacing w:val="-4"/>
        </w:rPr>
        <w:t>of</w:t>
      </w:r>
      <w:r>
        <w:rPr>
          <w:color w:val="231F20"/>
          <w:spacing w:val="-10"/>
        </w:rPr>
        <w:t> </w:t>
      </w:r>
      <w:r>
        <w:rPr>
          <w:color w:val="231F20"/>
          <w:spacing w:val="-4"/>
        </w:rPr>
        <w:t>the </w:t>
      </w:r>
      <w:r>
        <w:rPr>
          <w:color w:val="231F20"/>
          <w:spacing w:val="-6"/>
        </w:rPr>
        <w:t>economy, directly impacting the population </w:t>
      </w:r>
      <w:r>
        <w:rPr>
          <w:color w:val="231F20"/>
          <w:spacing w:val="-2"/>
        </w:rPr>
        <w:t>and</w:t>
      </w:r>
      <w:r>
        <w:rPr>
          <w:color w:val="231F20"/>
          <w:spacing w:val="-13"/>
        </w:rPr>
        <w:t> </w:t>
      </w:r>
      <w:r>
        <w:rPr>
          <w:color w:val="231F20"/>
          <w:spacing w:val="-2"/>
        </w:rPr>
        <w:t>undermining</w:t>
      </w:r>
      <w:r>
        <w:rPr>
          <w:color w:val="231F20"/>
          <w:spacing w:val="-13"/>
        </w:rPr>
        <w:t> </w:t>
      </w:r>
      <w:r>
        <w:rPr>
          <w:color w:val="231F20"/>
          <w:spacing w:val="-2"/>
        </w:rPr>
        <w:t>any</w:t>
      </w:r>
      <w:r>
        <w:rPr>
          <w:color w:val="231F20"/>
          <w:spacing w:val="-13"/>
        </w:rPr>
        <w:t> </w:t>
      </w:r>
      <w:r>
        <w:rPr>
          <w:color w:val="231F20"/>
          <w:spacing w:val="-2"/>
        </w:rPr>
        <w:t>initiative</w:t>
      </w:r>
      <w:r>
        <w:rPr>
          <w:color w:val="231F20"/>
          <w:spacing w:val="-13"/>
        </w:rPr>
        <w:t> </w:t>
      </w:r>
      <w:r>
        <w:rPr>
          <w:color w:val="231F20"/>
          <w:spacing w:val="-2"/>
        </w:rPr>
        <w:t>by</w:t>
      </w:r>
      <w:r>
        <w:rPr>
          <w:color w:val="231F20"/>
          <w:spacing w:val="-13"/>
        </w:rPr>
        <w:t> </w:t>
      </w:r>
      <w:r>
        <w:rPr>
          <w:color w:val="231F20"/>
          <w:spacing w:val="-2"/>
        </w:rPr>
        <w:t>the</w:t>
      </w:r>
      <w:r>
        <w:rPr>
          <w:color w:val="231F20"/>
          <w:spacing w:val="-13"/>
        </w:rPr>
        <w:t> </w:t>
      </w:r>
      <w:r>
        <w:rPr>
          <w:color w:val="231F20"/>
          <w:spacing w:val="-2"/>
        </w:rPr>
        <w:t>state </w:t>
      </w:r>
      <w:r>
        <w:rPr>
          <w:color w:val="231F20"/>
        </w:rPr>
        <w:t>designed</w:t>
      </w:r>
      <w:r>
        <w:rPr>
          <w:color w:val="231F20"/>
          <w:spacing w:val="-14"/>
        </w:rPr>
        <w:t> </w:t>
      </w:r>
      <w:r>
        <w:rPr>
          <w:color w:val="231F20"/>
        </w:rPr>
        <w:t>to</w:t>
      </w:r>
      <w:r>
        <w:rPr>
          <w:color w:val="231F20"/>
          <w:spacing w:val="-14"/>
        </w:rPr>
        <w:t> </w:t>
      </w:r>
      <w:r>
        <w:rPr>
          <w:color w:val="231F20"/>
        </w:rPr>
        <w:t>satisfy</w:t>
      </w:r>
      <w:r>
        <w:rPr>
          <w:color w:val="231F20"/>
          <w:spacing w:val="-14"/>
        </w:rPr>
        <w:t> </w:t>
      </w:r>
      <w:r>
        <w:rPr>
          <w:color w:val="231F20"/>
        </w:rPr>
        <w:t>its</w:t>
      </w:r>
      <w:r>
        <w:rPr>
          <w:color w:val="231F20"/>
          <w:spacing w:val="-14"/>
        </w:rPr>
        <w:t> </w:t>
      </w:r>
      <w:r>
        <w:rPr>
          <w:color w:val="231F20"/>
        </w:rPr>
        <w:t>accumulated</w:t>
      </w:r>
      <w:r>
        <w:rPr>
          <w:color w:val="231F20"/>
          <w:spacing w:val="-14"/>
        </w:rPr>
        <w:t> </w:t>
      </w:r>
      <w:r>
        <w:rPr>
          <w:color w:val="231F20"/>
        </w:rPr>
        <w:t>needs.</w:t>
      </w:r>
    </w:p>
    <w:p>
      <w:pPr>
        <w:spacing w:before="165"/>
        <w:ind w:left="1133" w:right="0" w:firstLine="0"/>
        <w:jc w:val="both"/>
        <w:rPr>
          <w:rFonts w:ascii="Segoe UI Semibold"/>
          <w:b/>
          <w:i/>
          <w:sz w:val="24"/>
        </w:rPr>
      </w:pPr>
      <w:r>
        <w:rPr>
          <w:color w:val="231F20"/>
          <w:sz w:val="24"/>
        </w:rPr>
        <w:t>The country is now in the throes of attempting</w:t>
      </w:r>
      <w:r>
        <w:rPr>
          <w:color w:val="231F20"/>
          <w:spacing w:val="-14"/>
          <w:sz w:val="24"/>
        </w:rPr>
        <w:t> </w:t>
      </w:r>
      <w:r>
        <w:rPr>
          <w:color w:val="231F20"/>
          <w:sz w:val="24"/>
        </w:rPr>
        <w:t>to</w:t>
      </w:r>
      <w:r>
        <w:rPr>
          <w:color w:val="231F20"/>
          <w:spacing w:val="-14"/>
          <w:sz w:val="24"/>
        </w:rPr>
        <w:t> </w:t>
      </w:r>
      <w:r>
        <w:rPr>
          <w:color w:val="231F20"/>
          <w:sz w:val="24"/>
        </w:rPr>
        <w:t>recover</w:t>
      </w:r>
      <w:r>
        <w:rPr>
          <w:color w:val="231F20"/>
          <w:spacing w:val="-13"/>
          <w:sz w:val="24"/>
        </w:rPr>
        <w:t> </w:t>
      </w:r>
      <w:r>
        <w:rPr>
          <w:color w:val="231F20"/>
          <w:sz w:val="24"/>
        </w:rPr>
        <w:t>the</w:t>
      </w:r>
      <w:r>
        <w:rPr>
          <w:color w:val="231F20"/>
          <w:spacing w:val="-14"/>
          <w:sz w:val="24"/>
        </w:rPr>
        <w:t> </w:t>
      </w:r>
      <w:r>
        <w:rPr>
          <w:color w:val="231F20"/>
          <w:sz w:val="24"/>
        </w:rPr>
        <w:t>levels</w:t>
      </w:r>
      <w:r>
        <w:rPr>
          <w:color w:val="231F20"/>
          <w:spacing w:val="-14"/>
          <w:sz w:val="24"/>
        </w:rPr>
        <w:t> </w:t>
      </w:r>
      <w:r>
        <w:rPr>
          <w:color w:val="231F20"/>
          <w:sz w:val="24"/>
        </w:rPr>
        <w:t>of</w:t>
      </w:r>
      <w:r>
        <w:rPr>
          <w:color w:val="231F20"/>
          <w:spacing w:val="-14"/>
          <w:sz w:val="24"/>
        </w:rPr>
        <w:t> </w:t>
      </w:r>
      <w:r>
        <w:rPr>
          <w:color w:val="231F20"/>
          <w:sz w:val="24"/>
        </w:rPr>
        <w:t>activity </w:t>
      </w:r>
      <w:r>
        <w:rPr>
          <w:color w:val="231F20"/>
          <w:spacing w:val="-4"/>
          <w:sz w:val="24"/>
        </w:rPr>
        <w:t>lost</w:t>
      </w:r>
      <w:r>
        <w:rPr>
          <w:color w:val="231F20"/>
          <w:spacing w:val="-11"/>
          <w:sz w:val="24"/>
        </w:rPr>
        <w:t> </w:t>
      </w:r>
      <w:r>
        <w:rPr>
          <w:color w:val="231F20"/>
          <w:spacing w:val="-4"/>
          <w:sz w:val="24"/>
        </w:rPr>
        <w:t>during</w:t>
      </w:r>
      <w:r>
        <w:rPr>
          <w:color w:val="231F20"/>
          <w:spacing w:val="-11"/>
          <w:sz w:val="24"/>
        </w:rPr>
        <w:t> </w:t>
      </w:r>
      <w:r>
        <w:rPr>
          <w:color w:val="231F20"/>
          <w:spacing w:val="-4"/>
          <w:sz w:val="24"/>
        </w:rPr>
        <w:t>the</w:t>
      </w:r>
      <w:r>
        <w:rPr>
          <w:color w:val="231F20"/>
          <w:spacing w:val="-11"/>
          <w:sz w:val="24"/>
        </w:rPr>
        <w:t> </w:t>
      </w:r>
      <w:r>
        <w:rPr>
          <w:color w:val="231F20"/>
          <w:spacing w:val="-4"/>
          <w:sz w:val="24"/>
        </w:rPr>
        <w:t>last</w:t>
      </w:r>
      <w:r>
        <w:rPr>
          <w:color w:val="231F20"/>
          <w:spacing w:val="-11"/>
          <w:sz w:val="24"/>
        </w:rPr>
        <w:t> </w:t>
      </w:r>
      <w:r>
        <w:rPr>
          <w:color w:val="231F20"/>
          <w:spacing w:val="-4"/>
          <w:sz w:val="24"/>
        </w:rPr>
        <w:t>three</w:t>
      </w:r>
      <w:r>
        <w:rPr>
          <w:color w:val="231F20"/>
          <w:spacing w:val="-11"/>
          <w:sz w:val="24"/>
        </w:rPr>
        <w:t> </w:t>
      </w:r>
      <w:r>
        <w:rPr>
          <w:color w:val="231F20"/>
          <w:spacing w:val="-4"/>
          <w:sz w:val="24"/>
        </w:rPr>
        <w:t>years</w:t>
      </w:r>
      <w:r>
        <w:rPr>
          <w:color w:val="231F20"/>
          <w:spacing w:val="-11"/>
          <w:sz w:val="24"/>
        </w:rPr>
        <w:t> </w:t>
      </w:r>
      <w:r>
        <w:rPr>
          <w:color w:val="231F20"/>
          <w:spacing w:val="-4"/>
          <w:sz w:val="24"/>
        </w:rPr>
        <w:t>and</w:t>
      </w:r>
      <w:r>
        <w:rPr>
          <w:color w:val="231F20"/>
          <w:spacing w:val="-11"/>
          <w:sz w:val="24"/>
        </w:rPr>
        <w:t> </w:t>
      </w:r>
      <w:r>
        <w:rPr>
          <w:color w:val="231F20"/>
          <w:spacing w:val="-4"/>
          <w:sz w:val="24"/>
        </w:rPr>
        <w:t>increase </w:t>
      </w:r>
      <w:r>
        <w:rPr>
          <w:color w:val="231F20"/>
          <w:sz w:val="24"/>
        </w:rPr>
        <w:t>the</w:t>
      </w:r>
      <w:r>
        <w:rPr>
          <w:color w:val="231F20"/>
          <w:spacing w:val="-13"/>
          <w:sz w:val="24"/>
        </w:rPr>
        <w:t> </w:t>
      </w:r>
      <w:r>
        <w:rPr>
          <w:color w:val="231F20"/>
          <w:sz w:val="24"/>
        </w:rPr>
        <w:t>offer</w:t>
      </w:r>
      <w:r>
        <w:rPr>
          <w:color w:val="231F20"/>
          <w:spacing w:val="-13"/>
          <w:sz w:val="24"/>
        </w:rPr>
        <w:t> </w:t>
      </w:r>
      <w:r>
        <w:rPr>
          <w:color w:val="231F20"/>
          <w:sz w:val="24"/>
        </w:rPr>
        <w:t>to</w:t>
      </w:r>
      <w:r>
        <w:rPr>
          <w:color w:val="231F20"/>
          <w:spacing w:val="-13"/>
          <w:sz w:val="24"/>
        </w:rPr>
        <w:t> </w:t>
      </w:r>
      <w:r>
        <w:rPr>
          <w:color w:val="231F20"/>
          <w:sz w:val="24"/>
        </w:rPr>
        <w:t>the</w:t>
      </w:r>
      <w:r>
        <w:rPr>
          <w:color w:val="231F20"/>
          <w:spacing w:val="-13"/>
          <w:sz w:val="24"/>
        </w:rPr>
        <w:t> </w:t>
      </w:r>
      <w:r>
        <w:rPr>
          <w:color w:val="231F20"/>
          <w:sz w:val="24"/>
        </w:rPr>
        <w:t>population.</w:t>
      </w:r>
      <w:r>
        <w:rPr>
          <w:color w:val="231F20"/>
          <w:spacing w:val="-13"/>
          <w:sz w:val="24"/>
        </w:rPr>
        <w:t> </w:t>
      </w:r>
      <w:r>
        <w:rPr>
          <w:color w:val="231F20"/>
          <w:sz w:val="24"/>
        </w:rPr>
        <w:t>In</w:t>
      </w:r>
      <w:r>
        <w:rPr>
          <w:color w:val="231F20"/>
          <w:spacing w:val="-13"/>
          <w:sz w:val="24"/>
        </w:rPr>
        <w:t> </w:t>
      </w:r>
      <w:r>
        <w:rPr>
          <w:color w:val="231F20"/>
          <w:sz w:val="24"/>
        </w:rPr>
        <w:t>this</w:t>
      </w:r>
      <w:r>
        <w:rPr>
          <w:color w:val="231F20"/>
          <w:spacing w:val="-13"/>
          <w:sz w:val="24"/>
        </w:rPr>
        <w:t> </w:t>
      </w:r>
      <w:r>
        <w:rPr>
          <w:color w:val="231F20"/>
          <w:sz w:val="24"/>
        </w:rPr>
        <w:t>respect, the Cuban government has encouraged and worked towards diversification of</w:t>
      </w:r>
      <w:r>
        <w:rPr>
          <w:color w:val="231F20"/>
          <w:spacing w:val="80"/>
          <w:w w:val="150"/>
          <w:sz w:val="24"/>
        </w:rPr>
        <w:t> </w:t>
      </w:r>
      <w:r>
        <w:rPr>
          <w:color w:val="231F20"/>
          <w:sz w:val="24"/>
        </w:rPr>
        <w:t>the industrial base, greater participation by public and private sector business </w:t>
      </w:r>
      <w:r>
        <w:rPr>
          <w:color w:val="231F20"/>
          <w:spacing w:val="-2"/>
          <w:sz w:val="24"/>
        </w:rPr>
        <w:t>initiatives</w:t>
      </w:r>
      <w:r>
        <w:rPr>
          <w:color w:val="231F20"/>
          <w:spacing w:val="-15"/>
          <w:sz w:val="24"/>
        </w:rPr>
        <w:t> </w:t>
      </w:r>
      <w:r>
        <w:rPr>
          <w:color w:val="231F20"/>
          <w:spacing w:val="-2"/>
          <w:sz w:val="24"/>
        </w:rPr>
        <w:t>and</w:t>
      </w:r>
      <w:r>
        <w:rPr>
          <w:color w:val="231F20"/>
          <w:spacing w:val="-14"/>
          <w:sz w:val="24"/>
        </w:rPr>
        <w:t> </w:t>
      </w:r>
      <w:r>
        <w:rPr>
          <w:color w:val="231F20"/>
          <w:spacing w:val="-2"/>
          <w:sz w:val="24"/>
        </w:rPr>
        <w:t>by</w:t>
      </w:r>
      <w:r>
        <w:rPr>
          <w:color w:val="231F20"/>
          <w:spacing w:val="-15"/>
          <w:sz w:val="24"/>
        </w:rPr>
        <w:t> </w:t>
      </w:r>
      <w:r>
        <w:rPr>
          <w:color w:val="231F20"/>
          <w:spacing w:val="-2"/>
          <w:sz w:val="24"/>
        </w:rPr>
        <w:t>offering</w:t>
      </w:r>
      <w:r>
        <w:rPr>
          <w:color w:val="231F20"/>
          <w:spacing w:val="-14"/>
          <w:sz w:val="24"/>
        </w:rPr>
        <w:t> </w:t>
      </w:r>
      <w:r>
        <w:rPr>
          <w:color w:val="231F20"/>
          <w:spacing w:val="-2"/>
          <w:sz w:val="24"/>
        </w:rPr>
        <w:t>opportunities</w:t>
      </w:r>
      <w:r>
        <w:rPr>
          <w:color w:val="231F20"/>
          <w:spacing w:val="-15"/>
          <w:sz w:val="24"/>
        </w:rPr>
        <w:t> </w:t>
      </w:r>
      <w:r>
        <w:rPr>
          <w:color w:val="231F20"/>
          <w:spacing w:val="-2"/>
          <w:sz w:val="24"/>
        </w:rPr>
        <w:t>for </w:t>
      </w:r>
      <w:r>
        <w:rPr>
          <w:color w:val="231F20"/>
          <w:sz w:val="24"/>
        </w:rPr>
        <w:t>investment from abroad. </w:t>
      </w:r>
      <w:r>
        <w:rPr>
          <w:rFonts w:ascii="Segoe UI Semibold"/>
          <w:b/>
          <w:i/>
          <w:color w:val="1A4796"/>
          <w:sz w:val="24"/>
        </w:rPr>
        <w:t>As of the end of</w:t>
      </w:r>
      <w:r>
        <w:rPr>
          <w:rFonts w:ascii="Segoe UI Semibold"/>
          <w:b/>
          <w:i/>
          <w:color w:val="1A4796"/>
          <w:sz w:val="24"/>
        </w:rPr>
        <w:t> </w:t>
      </w:r>
      <w:r>
        <w:rPr>
          <w:rFonts w:ascii="Segoe UI Semibold"/>
          <w:b/>
          <w:i/>
          <w:color w:val="1A4796"/>
          <w:spacing w:val="-4"/>
          <w:sz w:val="24"/>
        </w:rPr>
        <w:t>April</w:t>
      </w:r>
      <w:r>
        <w:rPr>
          <w:rFonts w:ascii="Segoe UI Semibold"/>
          <w:b/>
          <w:i/>
          <w:color w:val="1A4796"/>
          <w:spacing w:val="-13"/>
          <w:sz w:val="24"/>
        </w:rPr>
        <w:t> </w:t>
      </w:r>
      <w:r>
        <w:rPr>
          <w:rFonts w:ascii="Segoe UI Semibold"/>
          <w:b/>
          <w:i/>
          <w:color w:val="1A4796"/>
          <w:spacing w:val="-4"/>
          <w:sz w:val="24"/>
        </w:rPr>
        <w:t>2023,</w:t>
      </w:r>
      <w:r>
        <w:rPr>
          <w:rFonts w:ascii="Segoe UI Semibold"/>
          <w:b/>
          <w:i/>
          <w:color w:val="1A4796"/>
          <w:spacing w:val="-12"/>
          <w:sz w:val="24"/>
        </w:rPr>
        <w:t> </w:t>
      </w:r>
      <w:r>
        <w:rPr>
          <w:rFonts w:ascii="Segoe UI Semibold"/>
          <w:b/>
          <w:i/>
          <w:color w:val="1A4796"/>
          <w:spacing w:val="-4"/>
          <w:sz w:val="24"/>
        </w:rPr>
        <w:t>there</w:t>
      </w:r>
      <w:r>
        <w:rPr>
          <w:rFonts w:ascii="Segoe UI Semibold"/>
          <w:b/>
          <w:i/>
          <w:color w:val="1A4796"/>
          <w:spacing w:val="-13"/>
          <w:sz w:val="24"/>
        </w:rPr>
        <w:t> </w:t>
      </w:r>
      <w:r>
        <w:rPr>
          <w:rFonts w:ascii="Segoe UI Semibold"/>
          <w:b/>
          <w:i/>
          <w:color w:val="1A4796"/>
          <w:spacing w:val="-4"/>
          <w:sz w:val="24"/>
        </w:rPr>
        <w:t>were</w:t>
      </w:r>
      <w:r>
        <w:rPr>
          <w:rFonts w:ascii="Segoe UI Semibold"/>
          <w:b/>
          <w:i/>
          <w:color w:val="1A4796"/>
          <w:spacing w:val="-12"/>
          <w:sz w:val="24"/>
        </w:rPr>
        <w:t> </w:t>
      </w:r>
      <w:r>
        <w:rPr>
          <w:rFonts w:ascii="Segoe UI Semibold"/>
          <w:b/>
          <w:i/>
          <w:color w:val="1A4796"/>
          <w:spacing w:val="-4"/>
          <w:sz w:val="24"/>
        </w:rPr>
        <w:t>7,947</w:t>
      </w:r>
      <w:r>
        <w:rPr>
          <w:rFonts w:ascii="Segoe UI Semibold"/>
          <w:b/>
          <w:i/>
          <w:color w:val="1A4796"/>
          <w:spacing w:val="-13"/>
          <w:sz w:val="24"/>
        </w:rPr>
        <w:t> </w:t>
      </w:r>
      <w:r>
        <w:rPr>
          <w:rFonts w:ascii="Segoe UI Semibold"/>
          <w:b/>
          <w:i/>
          <w:color w:val="1A4796"/>
          <w:spacing w:val="-4"/>
          <w:sz w:val="24"/>
        </w:rPr>
        <w:t>MSMEs</w:t>
      </w:r>
      <w:r>
        <w:rPr>
          <w:rFonts w:ascii="Segoe UI Semibold"/>
          <w:b/>
          <w:i/>
          <w:color w:val="1A4796"/>
          <w:spacing w:val="-12"/>
          <w:sz w:val="24"/>
        </w:rPr>
        <w:t> </w:t>
      </w:r>
      <w:r>
        <w:rPr>
          <w:rFonts w:ascii="Segoe UI Semibold"/>
          <w:b/>
          <w:i/>
          <w:color w:val="1A4796"/>
          <w:spacing w:val="-4"/>
          <w:sz w:val="24"/>
        </w:rPr>
        <w:t>(micro, </w:t>
      </w:r>
      <w:r>
        <w:rPr>
          <w:rFonts w:ascii="Segoe UI Semibold"/>
          <w:b/>
          <w:i/>
          <w:color w:val="1A4796"/>
          <w:spacing w:val="-10"/>
          <w:sz w:val="24"/>
        </w:rPr>
        <w:t>small</w:t>
      </w:r>
      <w:r>
        <w:rPr>
          <w:rFonts w:ascii="Segoe UI Semibold"/>
          <w:b/>
          <w:i/>
          <w:color w:val="1A4796"/>
          <w:spacing w:val="-3"/>
          <w:sz w:val="24"/>
        </w:rPr>
        <w:t> </w:t>
      </w:r>
      <w:r>
        <w:rPr>
          <w:rFonts w:ascii="Segoe UI Semibold"/>
          <w:b/>
          <w:i/>
          <w:color w:val="1A4796"/>
          <w:spacing w:val="-10"/>
          <w:sz w:val="24"/>
        </w:rPr>
        <w:t>and</w:t>
      </w:r>
      <w:r>
        <w:rPr>
          <w:rFonts w:ascii="Segoe UI Semibold"/>
          <w:b/>
          <w:i/>
          <w:color w:val="1A4796"/>
          <w:spacing w:val="-3"/>
          <w:sz w:val="24"/>
        </w:rPr>
        <w:t> </w:t>
      </w:r>
      <w:r>
        <w:rPr>
          <w:rFonts w:ascii="Segoe UI Semibold"/>
          <w:b/>
          <w:i/>
          <w:color w:val="1A4796"/>
          <w:spacing w:val="-10"/>
          <w:sz w:val="24"/>
        </w:rPr>
        <w:t>medium-sized</w:t>
      </w:r>
      <w:r>
        <w:rPr>
          <w:rFonts w:ascii="Segoe UI Semibold"/>
          <w:b/>
          <w:i/>
          <w:color w:val="1A4796"/>
          <w:spacing w:val="-3"/>
          <w:sz w:val="24"/>
        </w:rPr>
        <w:t> </w:t>
      </w:r>
      <w:r>
        <w:rPr>
          <w:rFonts w:ascii="Segoe UI Semibold"/>
          <w:b/>
          <w:i/>
          <w:color w:val="1A4796"/>
          <w:spacing w:val="-10"/>
          <w:sz w:val="24"/>
        </w:rPr>
        <w:t>enterprises)</w:t>
      </w:r>
      <w:r>
        <w:rPr>
          <w:rFonts w:ascii="Segoe UI Semibold"/>
          <w:b/>
          <w:i/>
          <w:color w:val="1A4796"/>
          <w:spacing w:val="-3"/>
          <w:sz w:val="24"/>
        </w:rPr>
        <w:t> </w:t>
      </w:r>
      <w:r>
        <w:rPr>
          <w:rFonts w:ascii="Segoe UI Semibold"/>
          <w:b/>
          <w:i/>
          <w:color w:val="1A4796"/>
          <w:spacing w:val="-10"/>
          <w:sz w:val="24"/>
        </w:rPr>
        <w:t>and</w:t>
      </w:r>
      <w:r>
        <w:rPr>
          <w:rFonts w:ascii="Segoe UI Semibold"/>
          <w:b/>
          <w:i/>
          <w:color w:val="1A4796"/>
          <w:spacing w:val="-3"/>
          <w:sz w:val="24"/>
        </w:rPr>
        <w:t> </w:t>
      </w:r>
      <w:r>
        <w:rPr>
          <w:rFonts w:ascii="Segoe UI Semibold"/>
          <w:b/>
          <w:i/>
          <w:color w:val="1A4796"/>
          <w:spacing w:val="-10"/>
          <w:sz w:val="24"/>
        </w:rPr>
        <w:t>65 </w:t>
      </w:r>
      <w:r>
        <w:rPr>
          <w:rFonts w:ascii="Segoe UI Semibold"/>
          <w:b/>
          <w:i/>
          <w:color w:val="1A4796"/>
          <w:spacing w:val="-6"/>
          <w:sz w:val="24"/>
        </w:rPr>
        <w:t>non-agricultural cooperatives representing </w:t>
      </w:r>
      <w:r>
        <w:rPr>
          <w:rFonts w:ascii="Segoe UI Semibold"/>
          <w:b/>
          <w:i/>
          <w:color w:val="1A4796"/>
          <w:sz w:val="24"/>
        </w:rPr>
        <w:t>some 212,479 jobs.</w:t>
      </w:r>
    </w:p>
    <w:p>
      <w:pPr>
        <w:spacing w:before="165"/>
        <w:ind w:left="1133" w:right="0" w:firstLine="0"/>
        <w:jc w:val="both"/>
        <w:rPr>
          <w:rFonts w:ascii="Segoe UI Semibold"/>
          <w:b/>
          <w:i/>
          <w:sz w:val="24"/>
        </w:rPr>
      </w:pPr>
      <w:r>
        <w:rPr>
          <w:rFonts w:ascii="Segoe UI Semibold"/>
          <w:b/>
          <w:i/>
          <w:color w:val="1A4796"/>
          <w:spacing w:val="-10"/>
          <w:sz w:val="24"/>
        </w:rPr>
        <w:t>The</w:t>
      </w:r>
      <w:r>
        <w:rPr>
          <w:rFonts w:ascii="Segoe UI Semibold"/>
          <w:b/>
          <w:i/>
          <w:color w:val="1A4796"/>
          <w:spacing w:val="-6"/>
          <w:sz w:val="24"/>
        </w:rPr>
        <w:t> </w:t>
      </w:r>
      <w:r>
        <w:rPr>
          <w:rFonts w:ascii="Segoe UI Semibold"/>
          <w:b/>
          <w:i/>
          <w:color w:val="1A4796"/>
          <w:spacing w:val="-10"/>
          <w:sz w:val="24"/>
        </w:rPr>
        <w:t>main</w:t>
      </w:r>
      <w:r>
        <w:rPr>
          <w:rFonts w:ascii="Segoe UI Semibold"/>
          <w:b/>
          <w:i/>
          <w:color w:val="1A4796"/>
          <w:spacing w:val="-6"/>
          <w:sz w:val="24"/>
        </w:rPr>
        <w:t> </w:t>
      </w:r>
      <w:r>
        <w:rPr>
          <w:rFonts w:ascii="Segoe UI Semibold"/>
          <w:b/>
          <w:i/>
          <w:color w:val="1A4796"/>
          <w:spacing w:val="-10"/>
          <w:sz w:val="24"/>
        </w:rPr>
        <w:t>factor</w:t>
      </w:r>
      <w:r>
        <w:rPr>
          <w:rFonts w:ascii="Segoe UI Semibold"/>
          <w:b/>
          <w:i/>
          <w:color w:val="1A4796"/>
          <w:spacing w:val="-6"/>
          <w:sz w:val="24"/>
        </w:rPr>
        <w:t> </w:t>
      </w:r>
      <w:r>
        <w:rPr>
          <w:rFonts w:ascii="Segoe UI Semibold"/>
          <w:b/>
          <w:i/>
          <w:color w:val="1A4796"/>
          <w:spacing w:val="-10"/>
          <w:sz w:val="24"/>
        </w:rPr>
        <w:t>in</w:t>
      </w:r>
      <w:r>
        <w:rPr>
          <w:rFonts w:ascii="Segoe UI Semibold"/>
          <w:b/>
          <w:i/>
          <w:color w:val="1A4796"/>
          <w:spacing w:val="-6"/>
          <w:sz w:val="24"/>
        </w:rPr>
        <w:t> </w:t>
      </w:r>
      <w:r>
        <w:rPr>
          <w:rFonts w:ascii="Segoe UI Semibold"/>
          <w:b/>
          <w:i/>
          <w:color w:val="1A4796"/>
          <w:spacing w:val="-10"/>
          <w:sz w:val="24"/>
        </w:rPr>
        <w:t>the</w:t>
      </w:r>
      <w:r>
        <w:rPr>
          <w:rFonts w:ascii="Segoe UI Semibold"/>
          <w:b/>
          <w:i/>
          <w:color w:val="1A4796"/>
          <w:spacing w:val="-6"/>
          <w:sz w:val="24"/>
        </w:rPr>
        <w:t> </w:t>
      </w:r>
      <w:r>
        <w:rPr>
          <w:rFonts w:ascii="Segoe UI Semibold"/>
          <w:b/>
          <w:i/>
          <w:color w:val="1A4796"/>
          <w:spacing w:val="-10"/>
          <w:sz w:val="24"/>
        </w:rPr>
        <w:t>sluggish</w:t>
      </w:r>
      <w:r>
        <w:rPr>
          <w:rFonts w:ascii="Segoe UI Semibold"/>
          <w:b/>
          <w:i/>
          <w:color w:val="1A4796"/>
          <w:spacing w:val="-4"/>
          <w:sz w:val="24"/>
        </w:rPr>
        <w:t> </w:t>
      </w:r>
      <w:r>
        <w:rPr>
          <w:rFonts w:ascii="Segoe UI Semibold"/>
          <w:b/>
          <w:i/>
          <w:color w:val="1A4796"/>
          <w:spacing w:val="-10"/>
          <w:sz w:val="24"/>
        </w:rPr>
        <w:t>performance</w:t>
      </w:r>
      <w:r>
        <w:rPr>
          <w:rFonts w:ascii="Segoe UI Semibold"/>
          <w:b/>
          <w:i/>
          <w:color w:val="1A4796"/>
          <w:spacing w:val="-10"/>
          <w:sz w:val="24"/>
        </w:rPr>
        <w:t> </w:t>
      </w:r>
      <w:r>
        <w:rPr>
          <w:rFonts w:ascii="Segoe UI Semibold"/>
          <w:b/>
          <w:i/>
          <w:color w:val="1A4796"/>
          <w:sz w:val="24"/>
        </w:rPr>
        <w:t>of the economy has been the revenues foregone through lost exports. In this </w:t>
      </w:r>
      <w:r>
        <w:rPr>
          <w:rFonts w:ascii="Segoe UI Semibold"/>
          <w:b/>
          <w:i/>
          <w:color w:val="1A4796"/>
          <w:spacing w:val="-6"/>
          <w:sz w:val="24"/>
        </w:rPr>
        <w:t>respect</w:t>
      </w:r>
      <w:r>
        <w:rPr>
          <w:rFonts w:ascii="Segoe UI Semibold"/>
          <w:b/>
          <w:i/>
          <w:color w:val="1A4796"/>
          <w:spacing w:val="-7"/>
          <w:sz w:val="24"/>
        </w:rPr>
        <w:t> </w:t>
      </w:r>
      <w:r>
        <w:rPr>
          <w:rFonts w:ascii="Segoe UI Semibold"/>
          <w:b/>
          <w:i/>
          <w:color w:val="1A4796"/>
          <w:spacing w:val="-6"/>
          <w:sz w:val="24"/>
        </w:rPr>
        <w:t>alone,</w:t>
      </w:r>
      <w:r>
        <w:rPr>
          <w:rFonts w:ascii="Segoe UI Semibold"/>
          <w:b/>
          <w:i/>
          <w:color w:val="1A4796"/>
          <w:spacing w:val="-7"/>
          <w:sz w:val="24"/>
        </w:rPr>
        <w:t> </w:t>
      </w:r>
      <w:r>
        <w:rPr>
          <w:rFonts w:ascii="Segoe UI Semibold"/>
          <w:b/>
          <w:i/>
          <w:color w:val="1A4796"/>
          <w:spacing w:val="-6"/>
          <w:sz w:val="24"/>
        </w:rPr>
        <w:t>the</w:t>
      </w:r>
      <w:r>
        <w:rPr>
          <w:rFonts w:ascii="Segoe UI Semibold"/>
          <w:b/>
          <w:i/>
          <w:color w:val="1A4796"/>
          <w:spacing w:val="-7"/>
          <w:sz w:val="24"/>
        </w:rPr>
        <w:t> </w:t>
      </w:r>
      <w:r>
        <w:rPr>
          <w:rFonts w:ascii="Segoe UI Semibold"/>
          <w:b/>
          <w:i/>
          <w:color w:val="1A4796"/>
          <w:spacing w:val="-6"/>
          <w:sz w:val="24"/>
        </w:rPr>
        <w:t>detriment</w:t>
      </w:r>
      <w:r>
        <w:rPr>
          <w:rFonts w:ascii="Segoe UI Semibold"/>
          <w:b/>
          <w:i/>
          <w:color w:val="1A4796"/>
          <w:spacing w:val="-7"/>
          <w:sz w:val="24"/>
        </w:rPr>
        <w:t> </w:t>
      </w:r>
      <w:r>
        <w:rPr>
          <w:rFonts w:ascii="Segoe UI Semibold"/>
          <w:b/>
          <w:i/>
          <w:color w:val="1A4796"/>
          <w:spacing w:val="-6"/>
          <w:sz w:val="24"/>
        </w:rPr>
        <w:t>attributable</w:t>
      </w:r>
      <w:r>
        <w:rPr>
          <w:rFonts w:ascii="Segoe UI Semibold"/>
          <w:b/>
          <w:i/>
          <w:color w:val="1A4796"/>
          <w:spacing w:val="-7"/>
          <w:sz w:val="24"/>
        </w:rPr>
        <w:t> </w:t>
      </w:r>
      <w:r>
        <w:rPr>
          <w:rFonts w:ascii="Segoe UI Semibold"/>
          <w:b/>
          <w:i/>
          <w:color w:val="1A4796"/>
          <w:spacing w:val="-6"/>
          <w:sz w:val="24"/>
        </w:rPr>
        <w:t>to </w:t>
      </w:r>
      <w:r>
        <w:rPr>
          <w:rFonts w:ascii="Segoe UI Semibold"/>
          <w:b/>
          <w:i/>
          <w:color w:val="1A4796"/>
          <w:sz w:val="24"/>
        </w:rPr>
        <w:t>the</w:t>
      </w:r>
      <w:r>
        <w:rPr>
          <w:rFonts w:ascii="Segoe UI Semibold"/>
          <w:b/>
          <w:i/>
          <w:color w:val="1A4796"/>
          <w:spacing w:val="-16"/>
          <w:sz w:val="24"/>
        </w:rPr>
        <w:t> </w:t>
      </w:r>
      <w:r>
        <w:rPr>
          <w:rFonts w:ascii="Segoe UI Semibold"/>
          <w:b/>
          <w:i/>
          <w:color w:val="1A4796"/>
          <w:sz w:val="24"/>
        </w:rPr>
        <w:t>blockade</w:t>
      </w:r>
      <w:r>
        <w:rPr>
          <w:rFonts w:ascii="Segoe UI Semibold"/>
          <w:b/>
          <w:i/>
          <w:color w:val="1A4796"/>
          <w:spacing w:val="-16"/>
          <w:sz w:val="24"/>
        </w:rPr>
        <w:t> </w:t>
      </w:r>
      <w:r>
        <w:rPr>
          <w:rFonts w:ascii="Segoe UI Semibold"/>
          <w:b/>
          <w:i/>
          <w:color w:val="1A4796"/>
          <w:sz w:val="24"/>
        </w:rPr>
        <w:t>in</w:t>
      </w:r>
      <w:r>
        <w:rPr>
          <w:rFonts w:ascii="Segoe UI Semibold"/>
          <w:b/>
          <w:i/>
          <w:color w:val="1A4796"/>
          <w:spacing w:val="-16"/>
          <w:sz w:val="24"/>
        </w:rPr>
        <w:t> </w:t>
      </w:r>
      <w:r>
        <w:rPr>
          <w:rFonts w:ascii="Segoe UI Semibold"/>
          <w:b/>
          <w:i/>
          <w:color w:val="1A4796"/>
          <w:sz w:val="24"/>
        </w:rPr>
        <w:t>the</w:t>
      </w:r>
      <w:r>
        <w:rPr>
          <w:rFonts w:ascii="Segoe UI Semibold"/>
          <w:b/>
          <w:i/>
          <w:color w:val="1A4796"/>
          <w:spacing w:val="-16"/>
          <w:sz w:val="24"/>
        </w:rPr>
        <w:t> </w:t>
      </w:r>
      <w:r>
        <w:rPr>
          <w:rFonts w:ascii="Segoe UI Semibold"/>
          <w:b/>
          <w:i/>
          <w:color w:val="1A4796"/>
          <w:sz w:val="24"/>
        </w:rPr>
        <w:t>period</w:t>
      </w:r>
      <w:r>
        <w:rPr>
          <w:rFonts w:ascii="Segoe UI Semibold"/>
          <w:b/>
          <w:i/>
          <w:color w:val="1A4796"/>
          <w:spacing w:val="-16"/>
          <w:sz w:val="24"/>
        </w:rPr>
        <w:t> </w:t>
      </w:r>
      <w:r>
        <w:rPr>
          <w:rFonts w:ascii="Segoe UI Semibold"/>
          <w:b/>
          <w:i/>
          <w:color w:val="1A4796"/>
          <w:sz w:val="24"/>
        </w:rPr>
        <w:t>covered</w:t>
      </w:r>
      <w:r>
        <w:rPr>
          <w:rFonts w:ascii="Segoe UI Semibold"/>
          <w:b/>
          <w:i/>
          <w:color w:val="1A4796"/>
          <w:spacing w:val="-16"/>
          <w:sz w:val="24"/>
        </w:rPr>
        <w:t> </w:t>
      </w:r>
      <w:r>
        <w:rPr>
          <w:rFonts w:ascii="Segoe UI Semibold"/>
          <w:b/>
          <w:i/>
          <w:color w:val="1A4796"/>
          <w:sz w:val="24"/>
        </w:rPr>
        <w:t>by</w:t>
      </w:r>
      <w:r>
        <w:rPr>
          <w:rFonts w:ascii="Segoe UI Semibold"/>
          <w:b/>
          <w:i/>
          <w:color w:val="1A4796"/>
          <w:spacing w:val="-16"/>
          <w:sz w:val="24"/>
        </w:rPr>
        <w:t> </w:t>
      </w:r>
      <w:r>
        <w:rPr>
          <w:rFonts w:ascii="Segoe UI Semibold"/>
          <w:b/>
          <w:i/>
          <w:color w:val="1A4796"/>
          <w:sz w:val="24"/>
        </w:rPr>
        <w:t>this report amounted to USD 1,808,000,000, </w:t>
      </w:r>
      <w:r>
        <w:rPr>
          <w:rFonts w:ascii="Segoe UI Semibold"/>
          <w:b/>
          <w:i/>
          <w:color w:val="1A4796"/>
          <w:spacing w:val="-4"/>
          <w:sz w:val="24"/>
        </w:rPr>
        <w:t>representing</w:t>
      </w:r>
      <w:r>
        <w:rPr>
          <w:rFonts w:ascii="Segoe UI Semibold"/>
          <w:b/>
          <w:i/>
          <w:color w:val="1A4796"/>
          <w:spacing w:val="-13"/>
          <w:sz w:val="24"/>
        </w:rPr>
        <w:t> </w:t>
      </w:r>
      <w:r>
        <w:rPr>
          <w:rFonts w:ascii="Segoe UI Semibold"/>
          <w:b/>
          <w:i/>
          <w:color w:val="1A4796"/>
          <w:spacing w:val="-4"/>
          <w:sz w:val="24"/>
        </w:rPr>
        <w:t>37%</w:t>
      </w:r>
      <w:r>
        <w:rPr>
          <w:rFonts w:ascii="Segoe UI Semibold"/>
          <w:b/>
          <w:i/>
          <w:color w:val="1A4796"/>
          <w:spacing w:val="-12"/>
          <w:sz w:val="24"/>
        </w:rPr>
        <w:t> </w:t>
      </w:r>
      <w:r>
        <w:rPr>
          <w:rFonts w:ascii="Segoe UI Semibold"/>
          <w:b/>
          <w:i/>
          <w:color w:val="1A4796"/>
          <w:spacing w:val="-4"/>
          <w:sz w:val="24"/>
        </w:rPr>
        <w:t>of</w:t>
      </w:r>
      <w:r>
        <w:rPr>
          <w:rFonts w:ascii="Segoe UI Semibold"/>
          <w:b/>
          <w:i/>
          <w:color w:val="1A4796"/>
          <w:spacing w:val="-13"/>
          <w:sz w:val="24"/>
        </w:rPr>
        <w:t> </w:t>
      </w:r>
      <w:r>
        <w:rPr>
          <w:rFonts w:ascii="Segoe UI Semibold"/>
          <w:b/>
          <w:i/>
          <w:color w:val="1A4796"/>
          <w:spacing w:val="-4"/>
          <w:sz w:val="24"/>
        </w:rPr>
        <w:t>the</w:t>
      </w:r>
      <w:r>
        <w:rPr>
          <w:rFonts w:ascii="Segoe UI Semibold"/>
          <w:b/>
          <w:i/>
          <w:color w:val="1A4796"/>
          <w:spacing w:val="-12"/>
          <w:sz w:val="24"/>
        </w:rPr>
        <w:t> </w:t>
      </w:r>
      <w:r>
        <w:rPr>
          <w:rFonts w:ascii="Segoe UI Semibold"/>
          <w:b/>
          <w:i/>
          <w:color w:val="1A4796"/>
          <w:spacing w:val="-4"/>
          <w:sz w:val="24"/>
        </w:rPr>
        <w:t>total</w:t>
      </w:r>
      <w:r>
        <w:rPr>
          <w:rFonts w:ascii="Segoe UI Semibold"/>
          <w:b/>
          <w:i/>
          <w:color w:val="1A4796"/>
          <w:spacing w:val="-13"/>
          <w:sz w:val="24"/>
        </w:rPr>
        <w:t> </w:t>
      </w:r>
      <w:r>
        <w:rPr>
          <w:rFonts w:ascii="Segoe UI Semibold"/>
          <w:b/>
          <w:i/>
          <w:color w:val="1A4796"/>
          <w:spacing w:val="-4"/>
          <w:sz w:val="24"/>
        </w:rPr>
        <w:t>losses</w:t>
      </w:r>
      <w:r>
        <w:rPr>
          <w:rFonts w:ascii="Segoe UI Semibold"/>
          <w:b/>
          <w:i/>
          <w:color w:val="1A4796"/>
          <w:spacing w:val="-12"/>
          <w:sz w:val="24"/>
        </w:rPr>
        <w:t> </w:t>
      </w:r>
      <w:r>
        <w:rPr>
          <w:rFonts w:ascii="Segoe UI Semibold"/>
          <w:b/>
          <w:i/>
          <w:color w:val="1A4796"/>
          <w:spacing w:val="-4"/>
          <w:sz w:val="24"/>
        </w:rPr>
        <w:t>caused </w:t>
      </w:r>
      <w:r>
        <w:rPr>
          <w:rFonts w:ascii="Segoe UI Semibold"/>
          <w:b/>
          <w:i/>
          <w:color w:val="1A4796"/>
          <w:sz w:val="24"/>
        </w:rPr>
        <w:t>by</w:t>
      </w:r>
      <w:r>
        <w:rPr>
          <w:rFonts w:ascii="Segoe UI Semibold"/>
          <w:b/>
          <w:i/>
          <w:color w:val="1A4796"/>
          <w:spacing w:val="-2"/>
          <w:sz w:val="24"/>
        </w:rPr>
        <w:t> </w:t>
      </w:r>
      <w:r>
        <w:rPr>
          <w:rFonts w:ascii="Segoe UI Semibold"/>
          <w:b/>
          <w:i/>
          <w:color w:val="1A4796"/>
          <w:sz w:val="24"/>
        </w:rPr>
        <w:t>this</w:t>
      </w:r>
      <w:r>
        <w:rPr>
          <w:rFonts w:ascii="Segoe UI Semibold"/>
          <w:b/>
          <w:i/>
          <w:color w:val="1A4796"/>
          <w:spacing w:val="-2"/>
          <w:sz w:val="24"/>
        </w:rPr>
        <w:t> </w:t>
      </w:r>
      <w:r>
        <w:rPr>
          <w:rFonts w:ascii="Segoe UI Semibold"/>
          <w:b/>
          <w:i/>
          <w:color w:val="1A4796"/>
          <w:sz w:val="24"/>
        </w:rPr>
        <w:t>policy</w:t>
      </w:r>
      <w:r>
        <w:rPr>
          <w:rFonts w:ascii="Segoe UI Semibold"/>
          <w:b/>
          <w:i/>
          <w:color w:val="1A4796"/>
          <w:spacing w:val="-2"/>
          <w:sz w:val="24"/>
        </w:rPr>
        <w:t> </w:t>
      </w:r>
      <w:r>
        <w:rPr>
          <w:rFonts w:ascii="Segoe UI Semibold"/>
          <w:b/>
          <w:i/>
          <w:color w:val="1A4796"/>
          <w:sz w:val="24"/>
        </w:rPr>
        <w:t>during</w:t>
      </w:r>
      <w:r>
        <w:rPr>
          <w:rFonts w:ascii="Segoe UI Semibold"/>
          <w:b/>
          <w:i/>
          <w:color w:val="1A4796"/>
          <w:spacing w:val="-2"/>
          <w:sz w:val="24"/>
        </w:rPr>
        <w:t> </w:t>
      </w:r>
      <w:r>
        <w:rPr>
          <w:rFonts w:ascii="Segoe UI Semibold"/>
          <w:b/>
          <w:i/>
          <w:color w:val="1A4796"/>
          <w:sz w:val="24"/>
        </w:rPr>
        <w:t>the</w:t>
      </w:r>
      <w:r>
        <w:rPr>
          <w:rFonts w:ascii="Segoe UI Semibold"/>
          <w:b/>
          <w:i/>
          <w:color w:val="1A4796"/>
          <w:spacing w:val="-2"/>
          <w:sz w:val="24"/>
        </w:rPr>
        <w:t> </w:t>
      </w:r>
      <w:r>
        <w:rPr>
          <w:rFonts w:ascii="Segoe UI Semibold"/>
          <w:b/>
          <w:i/>
          <w:color w:val="1A4796"/>
          <w:sz w:val="24"/>
        </w:rPr>
        <w:t>period.</w:t>
      </w:r>
    </w:p>
    <w:p>
      <w:pPr>
        <w:pStyle w:val="BodyText"/>
        <w:spacing w:before="159"/>
        <w:ind w:left="1133" w:right="1"/>
      </w:pPr>
      <w:r>
        <w:rPr>
          <w:color w:val="231F20"/>
        </w:rPr>
        <w:t>In</w:t>
      </w:r>
      <w:r>
        <w:rPr>
          <w:color w:val="231F20"/>
          <w:spacing w:val="-2"/>
        </w:rPr>
        <w:t> </w:t>
      </w:r>
      <w:r>
        <w:rPr>
          <w:color w:val="231F20"/>
        </w:rPr>
        <w:t>this</w:t>
      </w:r>
      <w:r>
        <w:rPr>
          <w:color w:val="231F20"/>
          <w:spacing w:val="-2"/>
        </w:rPr>
        <w:t> </w:t>
      </w:r>
      <w:r>
        <w:rPr>
          <w:color w:val="231F20"/>
        </w:rPr>
        <w:t>context,</w:t>
      </w:r>
      <w:r>
        <w:rPr>
          <w:color w:val="231F20"/>
          <w:spacing w:val="-2"/>
        </w:rPr>
        <w:t> </w:t>
      </w:r>
      <w:r>
        <w:rPr>
          <w:color w:val="231F20"/>
        </w:rPr>
        <w:t>one</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factors</w:t>
      </w:r>
      <w:r>
        <w:rPr>
          <w:color w:val="231F20"/>
          <w:spacing w:val="-2"/>
        </w:rPr>
        <w:t> </w:t>
      </w:r>
      <w:r>
        <w:rPr>
          <w:color w:val="231F20"/>
        </w:rPr>
        <w:t>that</w:t>
      </w:r>
      <w:r>
        <w:rPr>
          <w:color w:val="231F20"/>
          <w:spacing w:val="-2"/>
        </w:rPr>
        <w:t> </w:t>
      </w:r>
      <w:r>
        <w:rPr>
          <w:color w:val="231F20"/>
        </w:rPr>
        <w:t>has led to the scarcity of hard currency in the country has been the failure to reach the target</w:t>
      </w:r>
      <w:r>
        <w:rPr>
          <w:color w:val="231F20"/>
          <w:spacing w:val="-17"/>
        </w:rPr>
        <w:t> </w:t>
      </w:r>
      <w:r>
        <w:rPr>
          <w:color w:val="231F20"/>
        </w:rPr>
        <w:t>of</w:t>
      </w:r>
      <w:r>
        <w:rPr>
          <w:color w:val="231F20"/>
          <w:spacing w:val="-16"/>
        </w:rPr>
        <w:t> </w:t>
      </w:r>
      <w:r>
        <w:rPr>
          <w:color w:val="231F20"/>
        </w:rPr>
        <w:t>2.5</w:t>
      </w:r>
      <w:r>
        <w:rPr>
          <w:color w:val="231F20"/>
          <w:spacing w:val="-17"/>
        </w:rPr>
        <w:t> </w:t>
      </w:r>
      <w:r>
        <w:rPr>
          <w:color w:val="231F20"/>
        </w:rPr>
        <w:t>million</w:t>
      </w:r>
      <w:r>
        <w:rPr>
          <w:color w:val="231F20"/>
          <w:spacing w:val="-16"/>
        </w:rPr>
        <w:t> </w:t>
      </w:r>
      <w:r>
        <w:rPr>
          <w:color w:val="231F20"/>
        </w:rPr>
        <w:t>tourist</w:t>
      </w:r>
      <w:r>
        <w:rPr>
          <w:color w:val="231F20"/>
          <w:spacing w:val="-17"/>
        </w:rPr>
        <w:t> </w:t>
      </w:r>
      <w:r>
        <w:rPr>
          <w:color w:val="231F20"/>
        </w:rPr>
        <w:t>visitors</w:t>
      </w:r>
      <w:r>
        <w:rPr>
          <w:color w:val="231F20"/>
          <w:spacing w:val="-16"/>
        </w:rPr>
        <w:t> </w:t>
      </w:r>
      <w:r>
        <w:rPr>
          <w:color w:val="231F20"/>
        </w:rPr>
        <w:t>in</w:t>
      </w:r>
      <w:r>
        <w:rPr>
          <w:color w:val="231F20"/>
          <w:spacing w:val="-17"/>
        </w:rPr>
        <w:t> </w:t>
      </w:r>
      <w:r>
        <w:rPr>
          <w:color w:val="231F20"/>
        </w:rPr>
        <w:t>2022. In</w:t>
      </w:r>
      <w:r>
        <w:rPr>
          <w:color w:val="231F20"/>
          <w:spacing w:val="-10"/>
        </w:rPr>
        <w:t> </w:t>
      </w:r>
      <w:r>
        <w:rPr>
          <w:color w:val="231F20"/>
        </w:rPr>
        <w:t>the</w:t>
      </w:r>
      <w:r>
        <w:rPr>
          <w:color w:val="231F20"/>
          <w:spacing w:val="-10"/>
        </w:rPr>
        <w:t> </w:t>
      </w:r>
      <w:r>
        <w:rPr>
          <w:color w:val="231F20"/>
        </w:rPr>
        <w:t>period</w:t>
      </w:r>
      <w:r>
        <w:rPr>
          <w:color w:val="231F20"/>
          <w:spacing w:val="-10"/>
        </w:rPr>
        <w:t> </w:t>
      </w:r>
      <w:r>
        <w:rPr>
          <w:color w:val="231F20"/>
        </w:rPr>
        <w:t>under</w:t>
      </w:r>
      <w:r>
        <w:rPr>
          <w:color w:val="231F20"/>
          <w:spacing w:val="-10"/>
        </w:rPr>
        <w:t> </w:t>
      </w:r>
      <w:r>
        <w:rPr>
          <w:color w:val="231F20"/>
        </w:rPr>
        <w:t>review,</w:t>
      </w:r>
      <w:r>
        <w:rPr>
          <w:color w:val="231F20"/>
          <w:spacing w:val="-10"/>
        </w:rPr>
        <w:t> </w:t>
      </w:r>
      <w:r>
        <w:rPr>
          <w:color w:val="231F20"/>
        </w:rPr>
        <w:t>the</w:t>
      </w:r>
      <w:r>
        <w:rPr>
          <w:color w:val="231F20"/>
          <w:spacing w:val="-10"/>
        </w:rPr>
        <w:t> </w:t>
      </w:r>
      <w:r>
        <w:rPr>
          <w:color w:val="231F20"/>
        </w:rPr>
        <w:t>blockade’s focus on impeding recovery by the tourism</w:t>
      </w:r>
      <w:r>
        <w:rPr>
          <w:color w:val="231F20"/>
          <w:spacing w:val="-12"/>
        </w:rPr>
        <w:t> </w:t>
      </w:r>
      <w:r>
        <w:rPr>
          <w:color w:val="231F20"/>
        </w:rPr>
        <w:t>sector</w:t>
      </w:r>
      <w:r>
        <w:rPr>
          <w:color w:val="231F20"/>
          <w:spacing w:val="-12"/>
        </w:rPr>
        <w:t> </w:t>
      </w:r>
      <w:r>
        <w:rPr>
          <w:color w:val="231F20"/>
        </w:rPr>
        <w:t>caused</w:t>
      </w:r>
      <w:r>
        <w:rPr>
          <w:color w:val="231F20"/>
          <w:spacing w:val="-12"/>
        </w:rPr>
        <w:t> </w:t>
      </w:r>
      <w:r>
        <w:rPr>
          <w:color w:val="231F20"/>
        </w:rPr>
        <w:t>losses</w:t>
      </w:r>
      <w:r>
        <w:rPr>
          <w:color w:val="231F20"/>
          <w:spacing w:val="-12"/>
        </w:rPr>
        <w:t> </w:t>
      </w:r>
      <w:r>
        <w:rPr>
          <w:color w:val="231F20"/>
        </w:rPr>
        <w:t>totaling</w:t>
      </w:r>
      <w:r>
        <w:rPr>
          <w:color w:val="231F20"/>
          <w:spacing w:val="-12"/>
        </w:rPr>
        <w:t> </w:t>
      </w:r>
      <w:r>
        <w:rPr>
          <w:rFonts w:ascii="Segoe UI Semibold" w:hAnsi="Segoe UI Semibold"/>
          <w:b/>
          <w:color w:val="231F20"/>
        </w:rPr>
        <w:t>USD </w:t>
      </w:r>
      <w:r>
        <w:rPr>
          <w:rFonts w:ascii="Segoe UI Semibold" w:hAnsi="Segoe UI Semibold"/>
          <w:b/>
          <w:color w:val="231F20"/>
          <w:spacing w:val="-2"/>
        </w:rPr>
        <w:t>1,089,470,572</w:t>
      </w:r>
      <w:r>
        <w:rPr>
          <w:color w:val="231F20"/>
          <w:spacing w:val="-2"/>
        </w:rPr>
        <w:t>.</w:t>
      </w:r>
    </w:p>
    <w:p>
      <w:pPr>
        <w:pStyle w:val="BodyText"/>
        <w:spacing w:before="77"/>
        <w:ind w:left="414" w:right="1473"/>
      </w:pPr>
      <w:r>
        <w:rPr/>
        <w:br w:type="column"/>
      </w:r>
      <w:r>
        <w:rPr>
          <w:color w:val="231F20"/>
        </w:rPr>
        <w:t>International visitors numbered 1,614,087 in</w:t>
      </w:r>
      <w:r>
        <w:rPr>
          <w:color w:val="231F20"/>
          <w:spacing w:val="40"/>
        </w:rPr>
        <w:t> </w:t>
      </w:r>
      <w:r>
        <w:rPr>
          <w:color w:val="231F20"/>
        </w:rPr>
        <w:t>2022</w:t>
      </w:r>
      <w:r>
        <w:rPr>
          <w:color w:val="231F20"/>
          <w:spacing w:val="40"/>
        </w:rPr>
        <w:t> </w:t>
      </w:r>
      <w:r>
        <w:rPr>
          <w:color w:val="231F20"/>
        </w:rPr>
        <w:t>-</w:t>
      </w:r>
      <w:r>
        <w:rPr>
          <w:color w:val="231F20"/>
          <w:spacing w:val="40"/>
        </w:rPr>
        <w:t> </w:t>
      </w:r>
      <w:r>
        <w:rPr>
          <w:color w:val="231F20"/>
        </w:rPr>
        <w:t>64.6%</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planned</w:t>
      </w:r>
      <w:r>
        <w:rPr>
          <w:color w:val="231F20"/>
          <w:spacing w:val="40"/>
        </w:rPr>
        <w:t> </w:t>
      </w:r>
      <w:r>
        <w:rPr>
          <w:color w:val="231F20"/>
        </w:rPr>
        <w:t>total and just 37.8% of the level in 2019. The cumulative</w:t>
      </w:r>
      <w:r>
        <w:rPr>
          <w:color w:val="231F20"/>
          <w:spacing w:val="-17"/>
        </w:rPr>
        <w:t> </w:t>
      </w:r>
      <w:r>
        <w:rPr>
          <w:color w:val="231F20"/>
        </w:rPr>
        <w:t>effect</w:t>
      </w:r>
      <w:r>
        <w:rPr>
          <w:color w:val="231F20"/>
          <w:spacing w:val="-16"/>
        </w:rPr>
        <w:t> </w:t>
      </w:r>
      <w:r>
        <w:rPr>
          <w:color w:val="231F20"/>
        </w:rPr>
        <w:t>of</w:t>
      </w:r>
      <w:r>
        <w:rPr>
          <w:color w:val="231F20"/>
          <w:spacing w:val="-17"/>
        </w:rPr>
        <w:t> </w:t>
      </w:r>
      <w:r>
        <w:rPr>
          <w:color w:val="231F20"/>
        </w:rPr>
        <w:t>the</w:t>
      </w:r>
      <w:r>
        <w:rPr>
          <w:color w:val="231F20"/>
          <w:spacing w:val="-16"/>
        </w:rPr>
        <w:t> </w:t>
      </w:r>
      <w:r>
        <w:rPr>
          <w:color w:val="231F20"/>
        </w:rPr>
        <w:t>unilateral</w:t>
      </w:r>
      <w:r>
        <w:rPr>
          <w:color w:val="231F20"/>
          <w:spacing w:val="-17"/>
        </w:rPr>
        <w:t> </w:t>
      </w:r>
      <w:r>
        <w:rPr>
          <w:color w:val="231F20"/>
        </w:rPr>
        <w:t>coercive measures imposed, the inclusion of Cuba on the list of state sponsors of terrorism and Washington’s blacklist of firms which covers practically all the country’s hotels, explain the downturn in the number of visitors to Cuba.</w:t>
      </w:r>
    </w:p>
    <w:p>
      <w:pPr>
        <w:pStyle w:val="Heading3"/>
        <w:spacing w:line="220" w:lineRule="auto" w:before="167"/>
        <w:ind w:left="414" w:right="1473"/>
        <w:jc w:val="both"/>
        <w:rPr>
          <w:b/>
        </w:rPr>
      </w:pPr>
      <w:r>
        <w:rPr>
          <w:b/>
          <w:i/>
          <w:color w:val="1A4796"/>
        </w:rPr>
        <w:t>Without</w:t>
      </w:r>
      <w:r>
        <w:rPr>
          <w:b/>
          <w:i/>
          <w:color w:val="1A4796"/>
          <w:spacing w:val="40"/>
        </w:rPr>
        <w:t> </w:t>
      </w:r>
      <w:r>
        <w:rPr>
          <w:b/>
          <w:i/>
          <w:color w:val="1A4796"/>
        </w:rPr>
        <w:t>the</w:t>
      </w:r>
      <w:r>
        <w:rPr>
          <w:b/>
          <w:i/>
          <w:color w:val="1A4796"/>
          <w:spacing w:val="40"/>
        </w:rPr>
        <w:t> </w:t>
      </w:r>
      <w:r>
        <w:rPr>
          <w:b/>
          <w:i/>
          <w:color w:val="1A4796"/>
        </w:rPr>
        <w:t>blockade</w:t>
      </w:r>
      <w:r>
        <w:rPr>
          <w:b/>
          <w:i/>
          <w:color w:val="1A4796"/>
          <w:spacing w:val="40"/>
        </w:rPr>
        <w:t> </w:t>
      </w:r>
      <w:r>
        <w:rPr>
          <w:b/>
          <w:i/>
          <w:color w:val="1A4796"/>
        </w:rPr>
        <w:t>and</w:t>
      </w:r>
      <w:r>
        <w:rPr>
          <w:b/>
          <w:i/>
          <w:color w:val="1A4796"/>
          <w:spacing w:val="40"/>
        </w:rPr>
        <w:t> </w:t>
      </w:r>
      <w:r>
        <w:rPr>
          <w:b/>
          <w:i/>
          <w:color w:val="1A4796"/>
        </w:rPr>
        <w:t>the</w:t>
      </w:r>
      <w:r>
        <w:rPr>
          <w:b/>
          <w:i/>
          <w:color w:val="1A4796"/>
          <w:spacing w:val="40"/>
        </w:rPr>
        <w:t> </w:t>
      </w:r>
      <w:r>
        <w:rPr>
          <w:b/>
          <w:i/>
          <w:color w:val="1A4796"/>
        </w:rPr>
        <w:t>ban</w:t>
      </w:r>
      <w:r>
        <w:rPr>
          <w:b/>
          <w:color w:val="1A4796"/>
        </w:rPr>
        <w:t> on U.S. citizens from visiting Cuba</w:t>
      </w:r>
      <w:r>
        <w:rPr>
          <w:b/>
          <w:color w:val="1A4796"/>
          <w:spacing w:val="80"/>
        </w:rPr>
        <w:t> </w:t>
      </w:r>
      <w:r>
        <w:rPr>
          <w:b/>
          <w:color w:val="1A4796"/>
        </w:rPr>
        <w:t>for tourism, the annual total of U.S. visitors to our country would reach at least</w:t>
      </w:r>
      <w:r>
        <w:rPr>
          <w:b/>
          <w:color w:val="1A4796"/>
          <w:spacing w:val="-11"/>
        </w:rPr>
        <w:t> </w:t>
      </w:r>
      <w:r>
        <w:rPr>
          <w:b/>
          <w:color w:val="1A4796"/>
        </w:rPr>
        <w:t>an</w:t>
      </w:r>
      <w:r>
        <w:rPr>
          <w:b/>
          <w:color w:val="1A4796"/>
          <w:spacing w:val="-11"/>
        </w:rPr>
        <w:t> </w:t>
      </w:r>
      <w:r>
        <w:rPr>
          <w:b/>
          <w:color w:val="1A4796"/>
        </w:rPr>
        <w:t>estimated</w:t>
      </w:r>
      <w:r>
        <w:rPr>
          <w:b/>
          <w:color w:val="1A4796"/>
          <w:spacing w:val="-11"/>
        </w:rPr>
        <w:t> </w:t>
      </w:r>
      <w:r>
        <w:rPr>
          <w:b/>
          <w:color w:val="1A4796"/>
        </w:rPr>
        <w:t>1.2</w:t>
      </w:r>
      <w:r>
        <w:rPr>
          <w:b/>
          <w:color w:val="1A4796"/>
          <w:spacing w:val="-11"/>
        </w:rPr>
        <w:t> </w:t>
      </w:r>
      <w:r>
        <w:rPr>
          <w:b/>
          <w:color w:val="1A4796"/>
        </w:rPr>
        <w:t>million,</w:t>
      </w:r>
      <w:r>
        <w:rPr>
          <w:b/>
          <w:color w:val="1A4796"/>
          <w:spacing w:val="-11"/>
        </w:rPr>
        <w:t> </w:t>
      </w:r>
      <w:r>
        <w:rPr>
          <w:b/>
          <w:color w:val="1A4796"/>
        </w:rPr>
        <w:t>making the United States the primary source market.</w:t>
      </w:r>
      <w:r>
        <w:rPr>
          <w:b/>
          <w:color w:val="1A4796"/>
          <w:spacing w:val="-1"/>
        </w:rPr>
        <w:t> </w:t>
      </w:r>
      <w:r>
        <w:rPr>
          <w:b/>
          <w:color w:val="1A4796"/>
        </w:rPr>
        <w:t>Taking</w:t>
      </w:r>
      <w:r>
        <w:rPr>
          <w:b/>
          <w:color w:val="1A4796"/>
          <w:spacing w:val="-1"/>
        </w:rPr>
        <w:t> </w:t>
      </w:r>
      <w:r>
        <w:rPr>
          <w:b/>
          <w:color w:val="1A4796"/>
        </w:rPr>
        <w:t>account</w:t>
      </w:r>
      <w:r>
        <w:rPr>
          <w:b/>
          <w:color w:val="1A4796"/>
          <w:spacing w:val="-1"/>
        </w:rPr>
        <w:t> </w:t>
      </w:r>
      <w:r>
        <w:rPr>
          <w:b/>
          <w:color w:val="1A4796"/>
        </w:rPr>
        <w:t>of</w:t>
      </w:r>
      <w:r>
        <w:rPr>
          <w:b/>
          <w:color w:val="1A4796"/>
          <w:spacing w:val="-1"/>
        </w:rPr>
        <w:t> </w:t>
      </w:r>
      <w:r>
        <w:rPr>
          <w:b/>
          <w:color w:val="1A4796"/>
        </w:rPr>
        <w:t>the</w:t>
      </w:r>
      <w:r>
        <w:rPr>
          <w:b/>
          <w:color w:val="1A4796"/>
          <w:spacing w:val="-1"/>
        </w:rPr>
        <w:t> </w:t>
      </w:r>
      <w:r>
        <w:rPr>
          <w:b/>
          <w:color w:val="1A4796"/>
        </w:rPr>
        <w:t>117,825 such visitors received in the period under review, the number who were dissuaded from traveling to Cuba by the</w:t>
      </w:r>
      <w:r>
        <w:rPr>
          <w:b/>
          <w:color w:val="1A4796"/>
          <w:spacing w:val="-6"/>
        </w:rPr>
        <w:t> </w:t>
      </w:r>
      <w:r>
        <w:rPr>
          <w:b/>
          <w:color w:val="1A4796"/>
        </w:rPr>
        <w:t>ban</w:t>
      </w:r>
      <w:r>
        <w:rPr>
          <w:b/>
          <w:color w:val="1A4796"/>
          <w:spacing w:val="-6"/>
        </w:rPr>
        <w:t> </w:t>
      </w:r>
      <w:r>
        <w:rPr>
          <w:b/>
          <w:color w:val="1A4796"/>
        </w:rPr>
        <w:t>can</w:t>
      </w:r>
      <w:r>
        <w:rPr>
          <w:b/>
          <w:color w:val="1A4796"/>
          <w:spacing w:val="-6"/>
        </w:rPr>
        <w:t> </w:t>
      </w:r>
      <w:r>
        <w:rPr>
          <w:b/>
          <w:color w:val="1A4796"/>
        </w:rPr>
        <w:t>be</w:t>
      </w:r>
      <w:r>
        <w:rPr>
          <w:b/>
          <w:color w:val="1A4796"/>
          <w:spacing w:val="-6"/>
        </w:rPr>
        <w:t> </w:t>
      </w:r>
      <w:r>
        <w:rPr>
          <w:b/>
          <w:color w:val="1A4796"/>
        </w:rPr>
        <w:t>estimated</w:t>
      </w:r>
      <w:r>
        <w:rPr>
          <w:b/>
          <w:color w:val="1A4796"/>
          <w:spacing w:val="-6"/>
        </w:rPr>
        <w:t> </w:t>
      </w:r>
      <w:r>
        <w:rPr>
          <w:b/>
          <w:color w:val="1A4796"/>
        </w:rPr>
        <w:t>at</w:t>
      </w:r>
      <w:r>
        <w:rPr>
          <w:b/>
          <w:color w:val="1A4796"/>
          <w:spacing w:val="-6"/>
        </w:rPr>
        <w:t> </w:t>
      </w:r>
      <w:r>
        <w:rPr>
          <w:b/>
          <w:color w:val="1A4796"/>
        </w:rPr>
        <w:t>1,082,175. Had they done so, the Cuban tourist industry</w:t>
      </w:r>
      <w:r>
        <w:rPr>
          <w:b/>
          <w:color w:val="1A4796"/>
          <w:spacing w:val="18"/>
        </w:rPr>
        <w:t> </w:t>
      </w:r>
      <w:r>
        <w:rPr>
          <w:b/>
          <w:color w:val="1A4796"/>
        </w:rPr>
        <w:t>would</w:t>
      </w:r>
      <w:r>
        <w:rPr>
          <w:b/>
          <w:color w:val="1A4796"/>
          <w:spacing w:val="19"/>
        </w:rPr>
        <w:t> </w:t>
      </w:r>
      <w:r>
        <w:rPr>
          <w:b/>
          <w:color w:val="1A4796"/>
        </w:rPr>
        <w:t>have</w:t>
      </w:r>
      <w:r>
        <w:rPr>
          <w:b/>
          <w:color w:val="1A4796"/>
          <w:spacing w:val="19"/>
        </w:rPr>
        <w:t> </w:t>
      </w:r>
      <w:r>
        <w:rPr>
          <w:b/>
          <w:color w:val="1A4796"/>
        </w:rPr>
        <w:t>earned</w:t>
      </w:r>
      <w:r>
        <w:rPr>
          <w:b/>
          <w:color w:val="1A4796"/>
          <w:spacing w:val="19"/>
        </w:rPr>
        <w:t> </w:t>
      </w:r>
      <w:r>
        <w:rPr>
          <w:b/>
          <w:color w:val="1A4796"/>
        </w:rPr>
        <w:t>from</w:t>
      </w:r>
      <w:r>
        <w:rPr>
          <w:b/>
          <w:color w:val="1A4796"/>
          <w:spacing w:val="19"/>
        </w:rPr>
        <w:t> </w:t>
      </w:r>
      <w:r>
        <w:rPr>
          <w:b/>
          <w:color w:val="1A4796"/>
          <w:spacing w:val="-5"/>
        </w:rPr>
        <w:t>the</w:t>
      </w:r>
    </w:p>
    <w:p>
      <w:pPr>
        <w:spacing w:line="335" w:lineRule="exact" w:before="0"/>
        <w:ind w:left="414" w:right="0" w:firstLine="0"/>
        <w:jc w:val="both"/>
        <w:rPr>
          <w:rFonts w:ascii="Segoe UI Semibold"/>
          <w:b/>
          <w:i/>
          <w:sz w:val="26"/>
        </w:rPr>
      </w:pPr>
      <w:r>
        <w:rPr>
          <w:rFonts w:ascii="Segoe UI Semibold"/>
          <w:b/>
          <w:i/>
          <w:color w:val="1A4796"/>
          <w:spacing w:val="-2"/>
          <w:sz w:val="26"/>
        </w:rPr>
        <w:t>U.S.</w:t>
      </w:r>
      <w:r>
        <w:rPr>
          <w:rFonts w:ascii="Segoe UI Semibold"/>
          <w:b/>
          <w:i/>
          <w:color w:val="1A4796"/>
          <w:spacing w:val="-13"/>
          <w:sz w:val="26"/>
        </w:rPr>
        <w:t> </w:t>
      </w:r>
      <w:r>
        <w:rPr>
          <w:rFonts w:ascii="Segoe UI Semibold"/>
          <w:b/>
          <w:i/>
          <w:color w:val="1A4796"/>
          <w:spacing w:val="-2"/>
          <w:sz w:val="26"/>
        </w:rPr>
        <w:t>market</w:t>
      </w:r>
      <w:r>
        <w:rPr>
          <w:rFonts w:ascii="Segoe UI Semibold"/>
          <w:b/>
          <w:i/>
          <w:color w:val="1A4796"/>
          <w:spacing w:val="-10"/>
          <w:sz w:val="26"/>
        </w:rPr>
        <w:t> </w:t>
      </w:r>
      <w:r>
        <w:rPr>
          <w:rFonts w:ascii="Segoe UI Semibold"/>
          <w:b/>
          <w:i/>
          <w:color w:val="1A4796"/>
          <w:spacing w:val="-2"/>
          <w:sz w:val="26"/>
        </w:rPr>
        <w:t>some</w:t>
      </w:r>
      <w:r>
        <w:rPr>
          <w:rFonts w:ascii="Segoe UI Semibold"/>
          <w:b/>
          <w:i/>
          <w:color w:val="1A4796"/>
          <w:spacing w:val="-11"/>
          <w:sz w:val="26"/>
        </w:rPr>
        <w:t> </w:t>
      </w:r>
      <w:r>
        <w:rPr>
          <w:rFonts w:ascii="Segoe UI Semibold"/>
          <w:b/>
          <w:i/>
          <w:color w:val="1A4796"/>
          <w:spacing w:val="-2"/>
          <w:sz w:val="26"/>
        </w:rPr>
        <w:t>USD</w:t>
      </w:r>
      <w:r>
        <w:rPr>
          <w:rFonts w:ascii="Segoe UI Semibold"/>
          <w:b/>
          <w:i/>
          <w:color w:val="1A4796"/>
          <w:spacing w:val="-10"/>
          <w:sz w:val="26"/>
        </w:rPr>
        <w:t> </w:t>
      </w:r>
      <w:r>
        <w:rPr>
          <w:rFonts w:ascii="Segoe UI Semibold"/>
          <w:b/>
          <w:i/>
          <w:color w:val="1A4796"/>
          <w:spacing w:val="-2"/>
          <w:sz w:val="26"/>
        </w:rPr>
        <w:t>1,001,011,875</w:t>
      </w:r>
    </w:p>
    <w:p>
      <w:pPr>
        <w:pStyle w:val="BodyText"/>
        <w:spacing w:before="156"/>
        <w:ind w:left="414" w:right="1472"/>
      </w:pPr>
      <w:r>
        <w:rPr>
          <w:color w:val="231F20"/>
        </w:rPr>
        <w:t>Another factor hindering development of the sector is the prohibiting of U.S. cruise lines to enter Cuban ports, involving fines and legal proceedings against those that have undertaken operations with Cuba.</w:t>
      </w:r>
    </w:p>
    <w:p>
      <w:pPr>
        <w:pStyle w:val="BodyText"/>
        <w:spacing w:before="164"/>
        <w:ind w:left="414" w:right="1471"/>
      </w:pPr>
      <w:r>
        <w:rPr>
          <w:color w:val="231F20"/>
        </w:rPr>
        <w:t>A</w:t>
      </w:r>
      <w:r>
        <w:rPr>
          <w:color w:val="231F20"/>
          <w:spacing w:val="-1"/>
        </w:rPr>
        <w:t> </w:t>
      </w:r>
      <w:r>
        <w:rPr>
          <w:color w:val="231F20"/>
        </w:rPr>
        <w:t>notable</w:t>
      </w:r>
      <w:r>
        <w:rPr>
          <w:color w:val="231F20"/>
          <w:spacing w:val="-1"/>
        </w:rPr>
        <w:t> </w:t>
      </w:r>
      <w:r>
        <w:rPr>
          <w:color w:val="231F20"/>
        </w:rPr>
        <w:t>case</w:t>
      </w:r>
      <w:r>
        <w:rPr>
          <w:color w:val="231F20"/>
          <w:spacing w:val="-1"/>
        </w:rPr>
        <w:t> </w:t>
      </w:r>
      <w:r>
        <w:rPr>
          <w:color w:val="231F20"/>
        </w:rPr>
        <w:t>in</w:t>
      </w:r>
      <w:r>
        <w:rPr>
          <w:color w:val="231F20"/>
          <w:spacing w:val="-1"/>
        </w:rPr>
        <w:t> </w:t>
      </w:r>
      <w:r>
        <w:rPr>
          <w:color w:val="231F20"/>
        </w:rPr>
        <w:t>point</w:t>
      </w:r>
      <w:r>
        <w:rPr>
          <w:color w:val="231F20"/>
          <w:spacing w:val="-1"/>
        </w:rPr>
        <w:t> </w:t>
      </w:r>
      <w:r>
        <w:rPr>
          <w:color w:val="231F20"/>
        </w:rPr>
        <w:t>is</w:t>
      </w:r>
      <w:r>
        <w:rPr>
          <w:color w:val="231F20"/>
          <w:spacing w:val="-1"/>
        </w:rPr>
        <w:t> </w:t>
      </w:r>
      <w:r>
        <w:rPr>
          <w:color w:val="231F20"/>
        </w:rPr>
        <w:t>the</w:t>
      </w:r>
      <w:r>
        <w:rPr>
          <w:color w:val="231F20"/>
          <w:spacing w:val="-1"/>
        </w:rPr>
        <w:t> </w:t>
      </w:r>
      <w:r>
        <w:rPr>
          <w:color w:val="231F20"/>
        </w:rPr>
        <w:t>finding</w:t>
      </w:r>
      <w:r>
        <w:rPr>
          <w:color w:val="231F20"/>
          <w:spacing w:val="-1"/>
        </w:rPr>
        <w:t> </w:t>
      </w:r>
      <w:r>
        <w:rPr>
          <w:color w:val="231F20"/>
        </w:rPr>
        <w:t>by</w:t>
      </w:r>
      <w:r>
        <w:rPr>
          <w:color w:val="231F20"/>
          <w:spacing w:val="-1"/>
        </w:rPr>
        <w:t> </w:t>
      </w:r>
      <w:r>
        <w:rPr>
          <w:color w:val="231F20"/>
        </w:rPr>
        <w:t>a South</w:t>
      </w:r>
      <w:r>
        <w:rPr>
          <w:color w:val="231F20"/>
          <w:spacing w:val="-12"/>
        </w:rPr>
        <w:t> </w:t>
      </w:r>
      <w:r>
        <w:rPr>
          <w:color w:val="231F20"/>
        </w:rPr>
        <w:t>Florida</w:t>
      </w:r>
      <w:r>
        <w:rPr>
          <w:color w:val="231F20"/>
          <w:spacing w:val="-12"/>
        </w:rPr>
        <w:t> </w:t>
      </w:r>
      <w:r>
        <w:rPr>
          <w:color w:val="231F20"/>
        </w:rPr>
        <w:t>federal</w:t>
      </w:r>
      <w:r>
        <w:rPr>
          <w:color w:val="231F20"/>
          <w:spacing w:val="-12"/>
        </w:rPr>
        <w:t> </w:t>
      </w:r>
      <w:r>
        <w:rPr>
          <w:color w:val="231F20"/>
        </w:rPr>
        <w:t>judge</w:t>
      </w:r>
      <w:r>
        <w:rPr>
          <w:color w:val="231F20"/>
          <w:spacing w:val="-12"/>
        </w:rPr>
        <w:t> </w:t>
      </w:r>
      <w:r>
        <w:rPr>
          <w:color w:val="231F20"/>
        </w:rPr>
        <w:t>in</w:t>
      </w:r>
      <w:r>
        <w:rPr>
          <w:color w:val="231F20"/>
          <w:spacing w:val="-12"/>
        </w:rPr>
        <w:t> </w:t>
      </w:r>
      <w:r>
        <w:rPr>
          <w:color w:val="231F20"/>
        </w:rPr>
        <w:t>2022,</w:t>
      </w:r>
      <w:r>
        <w:rPr>
          <w:color w:val="231F20"/>
          <w:spacing w:val="-12"/>
        </w:rPr>
        <w:t> </w:t>
      </w:r>
      <w:r>
        <w:rPr>
          <w:color w:val="231F20"/>
        </w:rPr>
        <w:t>under Title III of the Helms-Burton Act, in favor of the plaintiff Havana Docks, ordering </w:t>
      </w:r>
      <w:r>
        <w:rPr>
          <w:color w:val="231F20"/>
          <w:spacing w:val="-2"/>
        </w:rPr>
        <w:t>payment</w:t>
      </w:r>
      <w:r>
        <w:rPr>
          <w:color w:val="231F20"/>
          <w:spacing w:val="-15"/>
        </w:rPr>
        <w:t> </w:t>
      </w:r>
      <w:r>
        <w:rPr>
          <w:color w:val="231F20"/>
          <w:spacing w:val="-2"/>
        </w:rPr>
        <w:t>to</w:t>
      </w:r>
      <w:r>
        <w:rPr>
          <w:color w:val="231F20"/>
          <w:spacing w:val="-14"/>
        </w:rPr>
        <w:t> </w:t>
      </w:r>
      <w:r>
        <w:rPr>
          <w:color w:val="231F20"/>
          <w:spacing w:val="-2"/>
        </w:rPr>
        <w:t>the</w:t>
      </w:r>
      <w:r>
        <w:rPr>
          <w:color w:val="231F20"/>
          <w:spacing w:val="-15"/>
        </w:rPr>
        <w:t> </w:t>
      </w:r>
      <w:r>
        <w:rPr>
          <w:color w:val="231F20"/>
          <w:spacing w:val="-2"/>
        </w:rPr>
        <w:t>latter</w:t>
      </w:r>
      <w:r>
        <w:rPr>
          <w:color w:val="231F20"/>
          <w:spacing w:val="-14"/>
        </w:rPr>
        <w:t> </w:t>
      </w:r>
      <w:r>
        <w:rPr>
          <w:color w:val="231F20"/>
          <w:spacing w:val="-2"/>
        </w:rPr>
        <w:t>of</w:t>
      </w:r>
      <w:r>
        <w:rPr>
          <w:color w:val="231F20"/>
          <w:spacing w:val="-15"/>
        </w:rPr>
        <w:t> </w:t>
      </w:r>
      <w:r>
        <w:rPr>
          <w:color w:val="231F20"/>
          <w:spacing w:val="-2"/>
        </w:rPr>
        <w:t>a</w:t>
      </w:r>
      <w:r>
        <w:rPr>
          <w:color w:val="231F20"/>
          <w:spacing w:val="-14"/>
        </w:rPr>
        <w:t> </w:t>
      </w:r>
      <w:r>
        <w:rPr>
          <w:color w:val="231F20"/>
          <w:spacing w:val="-2"/>
        </w:rPr>
        <w:t>total</w:t>
      </w:r>
      <w:r>
        <w:rPr>
          <w:color w:val="231F20"/>
          <w:spacing w:val="-15"/>
        </w:rPr>
        <w:t> </w:t>
      </w:r>
      <w:r>
        <w:rPr>
          <w:color w:val="231F20"/>
          <w:spacing w:val="-2"/>
        </w:rPr>
        <w:t>of</w:t>
      </w:r>
      <w:r>
        <w:rPr>
          <w:color w:val="231F20"/>
          <w:spacing w:val="-14"/>
        </w:rPr>
        <w:t> </w:t>
      </w:r>
      <w:r>
        <w:rPr>
          <w:color w:val="231F20"/>
          <w:spacing w:val="-2"/>
        </w:rPr>
        <w:t>over</w:t>
      </w:r>
      <w:r>
        <w:rPr>
          <w:color w:val="231F20"/>
          <w:spacing w:val="-14"/>
        </w:rPr>
        <w:t> </w:t>
      </w:r>
      <w:r>
        <w:rPr>
          <w:color w:val="231F20"/>
          <w:spacing w:val="-2"/>
        </w:rPr>
        <w:t>USD </w:t>
      </w:r>
      <w:r>
        <w:rPr>
          <w:color w:val="231F20"/>
        </w:rPr>
        <w:t>439,000,000 plus legal fees by four cruise lines (Carnival, MSC SA, Royal Caribbean </w:t>
      </w:r>
      <w:r>
        <w:rPr>
          <w:color w:val="231F20"/>
          <w:spacing w:val="-4"/>
        </w:rPr>
        <w:t>and</w:t>
      </w:r>
      <w:r>
        <w:rPr>
          <w:color w:val="231F20"/>
          <w:spacing w:val="-8"/>
        </w:rPr>
        <w:t> </w:t>
      </w:r>
      <w:r>
        <w:rPr>
          <w:color w:val="231F20"/>
          <w:spacing w:val="-4"/>
        </w:rPr>
        <w:t>Norwegian)</w:t>
      </w:r>
      <w:r>
        <w:rPr>
          <w:color w:val="231F20"/>
          <w:spacing w:val="-8"/>
        </w:rPr>
        <w:t> </w:t>
      </w:r>
      <w:r>
        <w:rPr>
          <w:color w:val="231F20"/>
          <w:spacing w:val="-4"/>
        </w:rPr>
        <w:t>that</w:t>
      </w:r>
      <w:r>
        <w:rPr>
          <w:color w:val="231F20"/>
          <w:spacing w:val="-8"/>
        </w:rPr>
        <w:t> </w:t>
      </w:r>
      <w:r>
        <w:rPr>
          <w:color w:val="231F20"/>
          <w:spacing w:val="-4"/>
        </w:rPr>
        <w:t>included</w:t>
      </w:r>
      <w:r>
        <w:rPr>
          <w:color w:val="231F20"/>
          <w:spacing w:val="-8"/>
        </w:rPr>
        <w:t> </w:t>
      </w:r>
      <w:r>
        <w:rPr>
          <w:color w:val="231F20"/>
          <w:spacing w:val="-4"/>
        </w:rPr>
        <w:t>Cuba</w:t>
      </w:r>
      <w:r>
        <w:rPr>
          <w:color w:val="231F20"/>
          <w:spacing w:val="-8"/>
        </w:rPr>
        <w:t> </w:t>
      </w:r>
      <w:r>
        <w:rPr>
          <w:color w:val="231F20"/>
          <w:spacing w:val="-4"/>
        </w:rPr>
        <w:t>in</w:t>
      </w:r>
      <w:r>
        <w:rPr>
          <w:color w:val="231F20"/>
          <w:spacing w:val="-8"/>
        </w:rPr>
        <w:t> </w:t>
      </w:r>
      <w:r>
        <w:rPr>
          <w:color w:val="231F20"/>
          <w:spacing w:val="-4"/>
        </w:rPr>
        <w:t>their </w:t>
      </w:r>
      <w:r>
        <w:rPr>
          <w:color w:val="231F20"/>
          <w:spacing w:val="-2"/>
        </w:rPr>
        <w:t>itineraries.</w:t>
      </w:r>
    </w:p>
    <w:p>
      <w:pPr>
        <w:pStyle w:val="BodyText"/>
        <w:spacing w:before="167"/>
        <w:ind w:left="414" w:right="1473"/>
      </w:pPr>
      <w:r>
        <w:rPr>
          <w:color w:val="231F20"/>
        </w:rPr>
        <w:t>Had Cuba been able to maintain the cruise</w:t>
      </w:r>
      <w:r>
        <w:rPr>
          <w:color w:val="231F20"/>
          <w:spacing w:val="-10"/>
        </w:rPr>
        <w:t> </w:t>
      </w:r>
      <w:r>
        <w:rPr>
          <w:color w:val="231F20"/>
        </w:rPr>
        <w:t>tourism</w:t>
      </w:r>
      <w:r>
        <w:rPr>
          <w:color w:val="231F20"/>
          <w:spacing w:val="-10"/>
        </w:rPr>
        <w:t> </w:t>
      </w:r>
      <w:r>
        <w:rPr>
          <w:color w:val="231F20"/>
        </w:rPr>
        <w:t>segment,</w:t>
      </w:r>
      <w:r>
        <w:rPr>
          <w:color w:val="231F20"/>
          <w:spacing w:val="-10"/>
        </w:rPr>
        <w:t> </w:t>
      </w:r>
      <w:r>
        <w:rPr>
          <w:color w:val="231F20"/>
        </w:rPr>
        <w:t>the</w:t>
      </w:r>
      <w:r>
        <w:rPr>
          <w:color w:val="231F20"/>
          <w:spacing w:val="-10"/>
        </w:rPr>
        <w:t> </w:t>
      </w:r>
      <w:r>
        <w:rPr>
          <w:color w:val="231F20"/>
        </w:rPr>
        <w:t>revenues</w:t>
      </w:r>
      <w:r>
        <w:rPr>
          <w:color w:val="231F20"/>
          <w:spacing w:val="-10"/>
        </w:rPr>
        <w:t> </w:t>
      </w:r>
      <w:r>
        <w:rPr>
          <w:color w:val="231F20"/>
        </w:rPr>
        <w:t>that would have been earned in the period under</w:t>
      </w:r>
      <w:r>
        <w:rPr>
          <w:color w:val="231F20"/>
          <w:spacing w:val="37"/>
        </w:rPr>
        <w:t>  </w:t>
      </w:r>
      <w:r>
        <w:rPr>
          <w:color w:val="231F20"/>
        </w:rPr>
        <w:t>review</w:t>
      </w:r>
      <w:r>
        <w:rPr>
          <w:color w:val="231F20"/>
          <w:spacing w:val="37"/>
        </w:rPr>
        <w:t>  </w:t>
      </w:r>
      <w:r>
        <w:rPr>
          <w:color w:val="231F20"/>
        </w:rPr>
        <w:t>amount</w:t>
      </w:r>
      <w:r>
        <w:rPr>
          <w:color w:val="231F20"/>
          <w:spacing w:val="37"/>
        </w:rPr>
        <w:t>  </w:t>
      </w:r>
      <w:r>
        <w:rPr>
          <w:color w:val="231F20"/>
        </w:rPr>
        <w:t>to</w:t>
      </w:r>
      <w:r>
        <w:rPr>
          <w:color w:val="231F20"/>
          <w:spacing w:val="37"/>
        </w:rPr>
        <w:t>  </w:t>
      </w:r>
      <w:r>
        <w:rPr>
          <w:color w:val="231F20"/>
        </w:rPr>
        <w:t>some</w:t>
      </w:r>
      <w:r>
        <w:rPr>
          <w:color w:val="231F20"/>
          <w:spacing w:val="38"/>
        </w:rPr>
        <w:t>  </w:t>
      </w:r>
      <w:r>
        <w:rPr>
          <w:color w:val="231F20"/>
          <w:spacing w:val="-5"/>
        </w:rPr>
        <w:t>USD</w:t>
      </w:r>
    </w:p>
    <w:p>
      <w:pPr>
        <w:spacing w:after="0"/>
        <w:sectPr>
          <w:pgSz w:w="11910" w:h="16840"/>
          <w:pgMar w:header="0" w:footer="695" w:top="1260" w:bottom="880" w:left="0" w:right="0"/>
          <w:cols w:num="2" w:equalWidth="0">
            <w:col w:w="5556" w:space="40"/>
            <w:col w:w="6314"/>
          </w:cols>
        </w:sectPr>
      </w:pPr>
    </w:p>
    <w:p>
      <w:pPr>
        <w:pStyle w:val="BodyText"/>
        <w:spacing w:before="77"/>
        <w:ind w:left="1474" w:right="1"/>
      </w:pPr>
      <w:r>
        <w:rPr>
          <w:color w:val="231F20"/>
        </w:rPr>
        <w:t>56,000,000,</w:t>
      </w:r>
      <w:r>
        <w:rPr>
          <w:color w:val="231F20"/>
          <w:spacing w:val="-17"/>
        </w:rPr>
        <w:t> </w:t>
      </w:r>
      <w:r>
        <w:rPr>
          <w:color w:val="231F20"/>
        </w:rPr>
        <w:t>which</w:t>
      </w:r>
      <w:r>
        <w:rPr>
          <w:color w:val="231F20"/>
          <w:spacing w:val="-16"/>
        </w:rPr>
        <w:t> </w:t>
      </w:r>
      <w:r>
        <w:rPr>
          <w:color w:val="231F20"/>
        </w:rPr>
        <w:t>would</w:t>
      </w:r>
      <w:r>
        <w:rPr>
          <w:color w:val="231F20"/>
          <w:spacing w:val="-17"/>
        </w:rPr>
        <w:t> </w:t>
      </w:r>
      <w:r>
        <w:rPr>
          <w:color w:val="231F20"/>
        </w:rPr>
        <w:t>have</w:t>
      </w:r>
      <w:r>
        <w:rPr>
          <w:color w:val="231F20"/>
          <w:spacing w:val="-16"/>
        </w:rPr>
        <w:t> </w:t>
      </w:r>
      <w:r>
        <w:rPr>
          <w:color w:val="231F20"/>
        </w:rPr>
        <w:t>contributed </w:t>
      </w:r>
      <w:r>
        <w:rPr>
          <w:color w:val="231F20"/>
          <w:spacing w:val="-4"/>
        </w:rPr>
        <w:t>to</w:t>
      </w:r>
      <w:r>
        <w:rPr>
          <w:color w:val="231F20"/>
          <w:spacing w:val="-9"/>
        </w:rPr>
        <w:t> </w:t>
      </w:r>
      <w:r>
        <w:rPr>
          <w:color w:val="231F20"/>
          <w:spacing w:val="-4"/>
        </w:rPr>
        <w:t>the</w:t>
      </w:r>
      <w:r>
        <w:rPr>
          <w:color w:val="231F20"/>
          <w:spacing w:val="-9"/>
        </w:rPr>
        <w:t> </w:t>
      </w:r>
      <w:r>
        <w:rPr>
          <w:color w:val="231F20"/>
          <w:spacing w:val="-4"/>
        </w:rPr>
        <w:t>government’s</w:t>
      </w:r>
      <w:r>
        <w:rPr>
          <w:color w:val="231F20"/>
          <w:spacing w:val="-9"/>
        </w:rPr>
        <w:t> </w:t>
      </w:r>
      <w:r>
        <w:rPr>
          <w:color w:val="231F20"/>
          <w:spacing w:val="-4"/>
        </w:rPr>
        <w:t>efforts</w:t>
      </w:r>
      <w:r>
        <w:rPr>
          <w:color w:val="231F20"/>
          <w:spacing w:val="-9"/>
        </w:rPr>
        <w:t> </w:t>
      </w:r>
      <w:r>
        <w:rPr>
          <w:color w:val="231F20"/>
          <w:spacing w:val="-4"/>
        </w:rPr>
        <w:t>to</w:t>
      </w:r>
      <w:r>
        <w:rPr>
          <w:color w:val="231F20"/>
          <w:spacing w:val="-9"/>
        </w:rPr>
        <w:t> </w:t>
      </w:r>
      <w:r>
        <w:rPr>
          <w:color w:val="231F20"/>
          <w:spacing w:val="-4"/>
        </w:rPr>
        <w:t>revitalize</w:t>
      </w:r>
      <w:r>
        <w:rPr>
          <w:color w:val="231F20"/>
          <w:spacing w:val="-9"/>
        </w:rPr>
        <w:t> </w:t>
      </w:r>
      <w:r>
        <w:rPr>
          <w:color w:val="231F20"/>
          <w:spacing w:val="-4"/>
        </w:rPr>
        <w:t>the </w:t>
      </w:r>
      <w:r>
        <w:rPr>
          <w:color w:val="231F20"/>
        </w:rPr>
        <w:t>national</w:t>
      </w:r>
      <w:r>
        <w:rPr>
          <w:color w:val="231F20"/>
          <w:spacing w:val="-1"/>
        </w:rPr>
        <w:t> </w:t>
      </w:r>
      <w:r>
        <w:rPr>
          <w:color w:val="231F20"/>
        </w:rPr>
        <w:t>economy</w:t>
      </w:r>
      <w:r>
        <w:rPr>
          <w:color w:val="231F20"/>
          <w:spacing w:val="-1"/>
        </w:rPr>
        <w:t> </w:t>
      </w:r>
      <w:r>
        <w:rPr>
          <w:color w:val="231F20"/>
        </w:rPr>
        <w:t>and</w:t>
      </w:r>
      <w:r>
        <w:rPr>
          <w:color w:val="231F20"/>
          <w:spacing w:val="-1"/>
        </w:rPr>
        <w:t> </w:t>
      </w:r>
      <w:r>
        <w:rPr>
          <w:color w:val="231F20"/>
        </w:rPr>
        <w:t>the</w:t>
      </w:r>
      <w:r>
        <w:rPr>
          <w:color w:val="231F20"/>
          <w:spacing w:val="-1"/>
        </w:rPr>
        <w:t> </w:t>
      </w:r>
      <w:r>
        <w:rPr>
          <w:color w:val="231F20"/>
        </w:rPr>
        <w:t>country’s</w:t>
      </w:r>
      <w:r>
        <w:rPr>
          <w:color w:val="231F20"/>
          <w:spacing w:val="-1"/>
        </w:rPr>
        <w:t> </w:t>
      </w:r>
      <w:r>
        <w:rPr>
          <w:color w:val="231F20"/>
        </w:rPr>
        <w:t>main social sectors.</w:t>
      </w:r>
    </w:p>
    <w:p>
      <w:pPr>
        <w:pStyle w:val="BodyText"/>
        <w:spacing w:before="163"/>
        <w:ind w:left="1474" w:right="1"/>
      </w:pPr>
      <w:r>
        <w:rPr>
          <w:color w:val="231F20"/>
        </w:rPr>
        <w:t>As a result of the absurd, mendacious designation</w:t>
      </w:r>
      <w:r>
        <w:rPr>
          <w:color w:val="231F20"/>
          <w:spacing w:val="-1"/>
        </w:rPr>
        <w:t> </w:t>
      </w:r>
      <w:r>
        <w:rPr>
          <w:color w:val="231F20"/>
        </w:rPr>
        <w:t>of</w:t>
      </w:r>
      <w:r>
        <w:rPr>
          <w:color w:val="231F20"/>
          <w:spacing w:val="-1"/>
        </w:rPr>
        <w:t> </w:t>
      </w:r>
      <w:r>
        <w:rPr>
          <w:color w:val="231F20"/>
        </w:rPr>
        <w:t>Cuba</w:t>
      </w:r>
      <w:r>
        <w:rPr>
          <w:color w:val="231F20"/>
          <w:spacing w:val="-1"/>
        </w:rPr>
        <w:t> </w:t>
      </w:r>
      <w:r>
        <w:rPr>
          <w:color w:val="231F20"/>
        </w:rPr>
        <w:t>as</w:t>
      </w:r>
      <w:r>
        <w:rPr>
          <w:color w:val="231F20"/>
          <w:spacing w:val="-1"/>
        </w:rPr>
        <w:t> </w:t>
      </w:r>
      <w:r>
        <w:rPr>
          <w:color w:val="231F20"/>
        </w:rPr>
        <w:t>a</w:t>
      </w:r>
      <w:r>
        <w:rPr>
          <w:color w:val="231F20"/>
          <w:spacing w:val="-1"/>
        </w:rPr>
        <w:t> </w:t>
      </w:r>
      <w:r>
        <w:rPr>
          <w:color w:val="231F20"/>
        </w:rPr>
        <w:t>state</w:t>
      </w:r>
      <w:r>
        <w:rPr>
          <w:color w:val="231F20"/>
          <w:spacing w:val="-1"/>
        </w:rPr>
        <w:t> </w:t>
      </w:r>
      <w:r>
        <w:rPr>
          <w:color w:val="231F20"/>
        </w:rPr>
        <w:t>sponsor</w:t>
      </w:r>
      <w:r>
        <w:rPr>
          <w:color w:val="231F20"/>
          <w:spacing w:val="-1"/>
        </w:rPr>
        <w:t> </w:t>
      </w:r>
      <w:r>
        <w:rPr>
          <w:color w:val="231F20"/>
        </w:rPr>
        <w:t>of </w:t>
      </w:r>
      <w:r>
        <w:rPr>
          <w:color w:val="231F20"/>
          <w:spacing w:val="-2"/>
        </w:rPr>
        <w:t>terrorism,</w:t>
      </w:r>
      <w:r>
        <w:rPr>
          <w:color w:val="231F20"/>
          <w:spacing w:val="-9"/>
        </w:rPr>
        <w:t> </w:t>
      </w:r>
      <w:r>
        <w:rPr>
          <w:color w:val="231F20"/>
          <w:spacing w:val="-2"/>
        </w:rPr>
        <w:t>Washington’s</w:t>
      </w:r>
      <w:r>
        <w:rPr>
          <w:color w:val="231F20"/>
          <w:spacing w:val="-9"/>
        </w:rPr>
        <w:t> </w:t>
      </w:r>
      <w:r>
        <w:rPr>
          <w:color w:val="231F20"/>
          <w:spacing w:val="-2"/>
        </w:rPr>
        <w:t>requirement</w:t>
      </w:r>
      <w:r>
        <w:rPr>
          <w:color w:val="231F20"/>
          <w:spacing w:val="-9"/>
        </w:rPr>
        <w:t> </w:t>
      </w:r>
      <w:r>
        <w:rPr>
          <w:color w:val="231F20"/>
          <w:spacing w:val="-2"/>
        </w:rPr>
        <w:t>of</w:t>
      </w:r>
      <w:r>
        <w:rPr>
          <w:color w:val="231F20"/>
          <w:spacing w:val="-9"/>
        </w:rPr>
        <w:t> </w:t>
      </w:r>
      <w:r>
        <w:rPr>
          <w:color w:val="231F20"/>
          <w:spacing w:val="-2"/>
        </w:rPr>
        <w:t>an </w:t>
      </w:r>
      <w:r>
        <w:rPr>
          <w:color w:val="231F20"/>
        </w:rPr>
        <w:t>entry visa for everyone - including those authorized</w:t>
      </w:r>
      <w:r>
        <w:rPr>
          <w:color w:val="231F20"/>
          <w:spacing w:val="50"/>
          <w:w w:val="150"/>
        </w:rPr>
        <w:t> </w:t>
      </w:r>
      <w:r>
        <w:rPr>
          <w:color w:val="231F20"/>
        </w:rPr>
        <w:t>under</w:t>
      </w:r>
      <w:r>
        <w:rPr>
          <w:color w:val="231F20"/>
          <w:spacing w:val="51"/>
          <w:w w:val="150"/>
        </w:rPr>
        <w:t> </w:t>
      </w:r>
      <w:r>
        <w:rPr>
          <w:color w:val="231F20"/>
        </w:rPr>
        <w:t>the</w:t>
      </w:r>
      <w:r>
        <w:rPr>
          <w:color w:val="231F20"/>
          <w:spacing w:val="50"/>
          <w:w w:val="150"/>
        </w:rPr>
        <w:t> </w:t>
      </w:r>
      <w:r>
        <w:rPr>
          <w:color w:val="231F20"/>
        </w:rPr>
        <w:t>ESTA</w:t>
      </w:r>
      <w:r>
        <w:rPr>
          <w:color w:val="231F20"/>
          <w:spacing w:val="51"/>
          <w:w w:val="150"/>
        </w:rPr>
        <w:t> </w:t>
      </w:r>
      <w:r>
        <w:rPr>
          <w:color w:val="231F20"/>
          <w:spacing w:val="-2"/>
        </w:rPr>
        <w:t>mechanism</w:t>
      </w:r>
    </w:p>
    <w:p>
      <w:pPr>
        <w:pStyle w:val="BodyText"/>
        <w:spacing w:before="4"/>
        <w:ind w:left="1474"/>
      </w:pPr>
      <w:r>
        <w:rPr>
          <w:color w:val="231F20"/>
        </w:rPr>
        <w:t>- who has visited or proposes to visit our country, has depressed the numbers of visits by Cubans resident abroad and of tourists</w:t>
      </w:r>
      <w:r>
        <w:rPr>
          <w:color w:val="231F20"/>
          <w:spacing w:val="-7"/>
        </w:rPr>
        <w:t> </w:t>
      </w:r>
      <w:r>
        <w:rPr>
          <w:color w:val="231F20"/>
        </w:rPr>
        <w:t>from</w:t>
      </w:r>
      <w:r>
        <w:rPr>
          <w:color w:val="231F20"/>
          <w:spacing w:val="-7"/>
        </w:rPr>
        <w:t> </w:t>
      </w:r>
      <w:r>
        <w:rPr>
          <w:color w:val="231F20"/>
        </w:rPr>
        <w:t>over</w:t>
      </w:r>
      <w:r>
        <w:rPr>
          <w:color w:val="231F20"/>
          <w:spacing w:val="-7"/>
        </w:rPr>
        <w:t> </w:t>
      </w:r>
      <w:r>
        <w:rPr>
          <w:color w:val="231F20"/>
        </w:rPr>
        <w:t>50</w:t>
      </w:r>
      <w:r>
        <w:rPr>
          <w:color w:val="231F20"/>
          <w:spacing w:val="-7"/>
        </w:rPr>
        <w:t> </w:t>
      </w:r>
      <w:r>
        <w:rPr>
          <w:color w:val="231F20"/>
        </w:rPr>
        <w:t>countries.</w:t>
      </w:r>
      <w:r>
        <w:rPr>
          <w:color w:val="231F20"/>
          <w:spacing w:val="-7"/>
        </w:rPr>
        <w:t> </w:t>
      </w:r>
      <w:r>
        <w:rPr>
          <w:color w:val="231F20"/>
        </w:rPr>
        <w:t>It</w:t>
      </w:r>
      <w:r>
        <w:rPr>
          <w:color w:val="231F20"/>
          <w:spacing w:val="-7"/>
        </w:rPr>
        <w:t> </w:t>
      </w:r>
      <w:r>
        <w:rPr>
          <w:color w:val="231F20"/>
        </w:rPr>
        <w:t>has</w:t>
      </w:r>
      <w:r>
        <w:rPr>
          <w:color w:val="231F20"/>
          <w:spacing w:val="-7"/>
        </w:rPr>
        <w:t> </w:t>
      </w:r>
      <w:r>
        <w:rPr>
          <w:color w:val="231F20"/>
        </w:rPr>
        <w:t>also deterred U.S. visitors whose travel plans </w:t>
      </w:r>
      <w:r>
        <w:rPr>
          <w:color w:val="231F20"/>
          <w:spacing w:val="-2"/>
        </w:rPr>
        <w:t>complied</w:t>
      </w:r>
      <w:r>
        <w:rPr>
          <w:color w:val="231F20"/>
          <w:spacing w:val="-9"/>
        </w:rPr>
        <w:t> </w:t>
      </w:r>
      <w:r>
        <w:rPr>
          <w:color w:val="231F20"/>
          <w:spacing w:val="-2"/>
        </w:rPr>
        <w:t>with</w:t>
      </w:r>
      <w:r>
        <w:rPr>
          <w:color w:val="231F20"/>
          <w:spacing w:val="-9"/>
        </w:rPr>
        <w:t> </w:t>
      </w:r>
      <w:r>
        <w:rPr>
          <w:color w:val="231F20"/>
          <w:spacing w:val="-2"/>
        </w:rPr>
        <w:t>the</w:t>
      </w:r>
      <w:r>
        <w:rPr>
          <w:color w:val="231F20"/>
          <w:spacing w:val="-9"/>
        </w:rPr>
        <w:t> </w:t>
      </w:r>
      <w:r>
        <w:rPr>
          <w:color w:val="231F20"/>
          <w:spacing w:val="-2"/>
        </w:rPr>
        <w:t>12</w:t>
      </w:r>
      <w:r>
        <w:rPr>
          <w:color w:val="231F20"/>
          <w:spacing w:val="-9"/>
        </w:rPr>
        <w:t> </w:t>
      </w:r>
      <w:r>
        <w:rPr>
          <w:color w:val="231F20"/>
          <w:spacing w:val="-2"/>
        </w:rPr>
        <w:t>categories</w:t>
      </w:r>
      <w:r>
        <w:rPr>
          <w:color w:val="231F20"/>
          <w:spacing w:val="-9"/>
        </w:rPr>
        <w:t> </w:t>
      </w:r>
      <w:r>
        <w:rPr>
          <w:color w:val="231F20"/>
          <w:spacing w:val="-2"/>
        </w:rPr>
        <w:t>permitted </w:t>
      </w:r>
      <w:r>
        <w:rPr>
          <w:color w:val="231F20"/>
        </w:rPr>
        <w:t>by their government.</w:t>
      </w:r>
    </w:p>
    <w:p>
      <w:pPr>
        <w:pStyle w:val="BodyText"/>
        <w:spacing w:before="165"/>
        <w:ind w:left="1474" w:right="1"/>
      </w:pPr>
      <w:r>
        <w:rPr>
          <w:color w:val="231F20"/>
        </w:rPr>
        <w:t>Reflecting the U.S. government’s </w:t>
      </w:r>
      <w:r>
        <w:rPr>
          <w:color w:val="231F20"/>
          <w:spacing w:val="-2"/>
        </w:rPr>
        <w:t>persecution</w:t>
      </w:r>
      <w:r>
        <w:rPr>
          <w:color w:val="231F20"/>
          <w:spacing w:val="-15"/>
        </w:rPr>
        <w:t> </w:t>
      </w:r>
      <w:r>
        <w:rPr>
          <w:color w:val="231F20"/>
          <w:spacing w:val="-2"/>
        </w:rPr>
        <w:t>of</w:t>
      </w:r>
      <w:r>
        <w:rPr>
          <w:color w:val="231F20"/>
          <w:spacing w:val="-14"/>
        </w:rPr>
        <w:t> </w:t>
      </w:r>
      <w:r>
        <w:rPr>
          <w:color w:val="231F20"/>
          <w:spacing w:val="-2"/>
        </w:rPr>
        <w:t>financial</w:t>
      </w:r>
      <w:r>
        <w:rPr>
          <w:color w:val="231F20"/>
          <w:spacing w:val="-15"/>
        </w:rPr>
        <w:t> </w:t>
      </w:r>
      <w:r>
        <w:rPr>
          <w:color w:val="231F20"/>
          <w:spacing w:val="-2"/>
        </w:rPr>
        <w:t>operations,</w:t>
      </w:r>
      <w:r>
        <w:rPr>
          <w:color w:val="231F20"/>
          <w:spacing w:val="-14"/>
        </w:rPr>
        <w:t> </w:t>
      </w:r>
      <w:r>
        <w:rPr>
          <w:color w:val="231F20"/>
          <w:spacing w:val="-2"/>
        </w:rPr>
        <w:t>foreign </w:t>
      </w:r>
      <w:r>
        <w:rPr>
          <w:color w:val="231F20"/>
        </w:rPr>
        <w:t>banks</w:t>
      </w:r>
      <w:r>
        <w:rPr>
          <w:color w:val="231F20"/>
          <w:spacing w:val="-17"/>
        </w:rPr>
        <w:t> </w:t>
      </w:r>
      <w:r>
        <w:rPr>
          <w:color w:val="231F20"/>
        </w:rPr>
        <w:t>have</w:t>
      </w:r>
      <w:r>
        <w:rPr>
          <w:color w:val="231F20"/>
          <w:spacing w:val="-16"/>
        </w:rPr>
        <w:t> </w:t>
      </w:r>
      <w:r>
        <w:rPr>
          <w:color w:val="231F20"/>
        </w:rPr>
        <w:t>declined</w:t>
      </w:r>
      <w:r>
        <w:rPr>
          <w:color w:val="231F20"/>
          <w:spacing w:val="-17"/>
        </w:rPr>
        <w:t> </w:t>
      </w:r>
      <w:r>
        <w:rPr>
          <w:color w:val="231F20"/>
        </w:rPr>
        <w:t>to</w:t>
      </w:r>
      <w:r>
        <w:rPr>
          <w:color w:val="231F20"/>
          <w:spacing w:val="-16"/>
        </w:rPr>
        <w:t> </w:t>
      </w:r>
      <w:r>
        <w:rPr>
          <w:color w:val="231F20"/>
        </w:rPr>
        <w:t>operate</w:t>
      </w:r>
      <w:r>
        <w:rPr>
          <w:color w:val="231F20"/>
          <w:spacing w:val="-17"/>
        </w:rPr>
        <w:t> </w:t>
      </w:r>
      <w:r>
        <w:rPr>
          <w:color w:val="231F20"/>
        </w:rPr>
        <w:t>with</w:t>
      </w:r>
      <w:r>
        <w:rPr>
          <w:color w:val="231F20"/>
          <w:spacing w:val="-16"/>
        </w:rPr>
        <w:t> </w:t>
      </w:r>
      <w:r>
        <w:rPr>
          <w:color w:val="231F20"/>
        </w:rPr>
        <w:t>Cuba, </w:t>
      </w:r>
      <w:r>
        <w:rPr>
          <w:color w:val="231F20"/>
          <w:spacing w:val="-8"/>
        </w:rPr>
        <w:t>resulting</w:t>
      </w:r>
      <w:r>
        <w:rPr>
          <w:color w:val="231F20"/>
          <w:spacing w:val="-9"/>
        </w:rPr>
        <w:t> </w:t>
      </w:r>
      <w:r>
        <w:rPr>
          <w:color w:val="231F20"/>
          <w:spacing w:val="-8"/>
        </w:rPr>
        <w:t>in a</w:t>
      </w:r>
      <w:r>
        <w:rPr>
          <w:color w:val="231F20"/>
          <w:spacing w:val="-9"/>
        </w:rPr>
        <w:t> </w:t>
      </w:r>
      <w:r>
        <w:rPr>
          <w:color w:val="231F20"/>
          <w:spacing w:val="-8"/>
        </w:rPr>
        <w:t>drastic reduction</w:t>
      </w:r>
      <w:r>
        <w:rPr>
          <w:color w:val="231F20"/>
          <w:spacing w:val="-9"/>
        </w:rPr>
        <w:t> </w:t>
      </w:r>
      <w:r>
        <w:rPr>
          <w:color w:val="231F20"/>
          <w:spacing w:val="-8"/>
        </w:rPr>
        <w:t>in commercial </w:t>
      </w:r>
      <w:r>
        <w:rPr>
          <w:color w:val="231F20"/>
          <w:spacing w:val="-6"/>
        </w:rPr>
        <w:t>transactions and an associated drop in sales </w:t>
      </w:r>
      <w:r>
        <w:rPr>
          <w:color w:val="231F20"/>
          <w:spacing w:val="-2"/>
        </w:rPr>
        <w:t>of</w:t>
      </w:r>
      <w:r>
        <w:rPr>
          <w:color w:val="231F20"/>
          <w:spacing w:val="-15"/>
        </w:rPr>
        <w:t> </w:t>
      </w:r>
      <w:r>
        <w:rPr>
          <w:color w:val="231F20"/>
          <w:spacing w:val="-2"/>
        </w:rPr>
        <w:t>package</w:t>
      </w:r>
      <w:r>
        <w:rPr>
          <w:color w:val="231F20"/>
          <w:spacing w:val="-14"/>
        </w:rPr>
        <w:t> </w:t>
      </w:r>
      <w:r>
        <w:rPr>
          <w:color w:val="231F20"/>
          <w:spacing w:val="-2"/>
        </w:rPr>
        <w:t>vacations.</w:t>
      </w:r>
      <w:r>
        <w:rPr>
          <w:color w:val="231F20"/>
          <w:spacing w:val="-15"/>
        </w:rPr>
        <w:t> </w:t>
      </w:r>
      <w:r>
        <w:rPr>
          <w:color w:val="231F20"/>
          <w:spacing w:val="-2"/>
        </w:rPr>
        <w:t>The</w:t>
      </w:r>
      <w:r>
        <w:rPr>
          <w:color w:val="231F20"/>
          <w:spacing w:val="-14"/>
        </w:rPr>
        <w:t> </w:t>
      </w:r>
      <w:r>
        <w:rPr>
          <w:color w:val="231F20"/>
          <w:spacing w:val="-2"/>
        </w:rPr>
        <w:t>accounts</w:t>
      </w:r>
      <w:r>
        <w:rPr>
          <w:color w:val="231F20"/>
          <w:spacing w:val="-15"/>
        </w:rPr>
        <w:t> </w:t>
      </w:r>
      <w:r>
        <w:rPr>
          <w:color w:val="231F20"/>
          <w:spacing w:val="-2"/>
        </w:rPr>
        <w:t>abroad </w:t>
      </w:r>
      <w:r>
        <w:rPr>
          <w:color w:val="231F20"/>
        </w:rPr>
        <w:t>of</w:t>
      </w:r>
      <w:r>
        <w:rPr>
          <w:color w:val="231F20"/>
          <w:spacing w:val="-3"/>
        </w:rPr>
        <w:t> </w:t>
      </w:r>
      <w:r>
        <w:rPr>
          <w:color w:val="231F20"/>
        </w:rPr>
        <w:t>Havanatur,</w:t>
      </w:r>
      <w:r>
        <w:rPr>
          <w:color w:val="231F20"/>
          <w:spacing w:val="-3"/>
        </w:rPr>
        <w:t> </w:t>
      </w:r>
      <w:r>
        <w:rPr>
          <w:color w:val="231F20"/>
        </w:rPr>
        <w:t>International</w:t>
      </w:r>
      <w:r>
        <w:rPr>
          <w:color w:val="231F20"/>
          <w:spacing w:val="-3"/>
        </w:rPr>
        <w:t> </w:t>
      </w:r>
      <w:r>
        <w:rPr>
          <w:color w:val="231F20"/>
        </w:rPr>
        <w:t>Group</w:t>
      </w:r>
      <w:r>
        <w:rPr>
          <w:color w:val="231F20"/>
          <w:spacing w:val="-3"/>
        </w:rPr>
        <w:t> </w:t>
      </w:r>
      <w:r>
        <w:rPr>
          <w:color w:val="231F20"/>
        </w:rPr>
        <w:t>of</w:t>
      </w:r>
      <w:r>
        <w:rPr>
          <w:color w:val="231F20"/>
          <w:spacing w:val="-3"/>
        </w:rPr>
        <w:t> </w:t>
      </w:r>
      <w:r>
        <w:rPr>
          <w:color w:val="231F20"/>
        </w:rPr>
        <w:t>Tour Operators and Travel Agencies, leader in the promotion and marketing of Cuban tourism products, have been closed.</w:t>
      </w:r>
    </w:p>
    <w:p>
      <w:pPr>
        <w:pStyle w:val="BodyText"/>
        <w:spacing w:before="168"/>
        <w:ind w:left="1474"/>
      </w:pPr>
      <w:r>
        <w:rPr>
          <w:color w:val="231F20"/>
        </w:rPr>
        <w:t>In addition, delays in payment processes at the banks still in use have resulted in </w:t>
      </w:r>
      <w:r>
        <w:rPr>
          <w:color w:val="231F20"/>
          <w:spacing w:val="-2"/>
        </w:rPr>
        <w:t>substantial</w:t>
      </w:r>
      <w:r>
        <w:rPr>
          <w:color w:val="231F20"/>
          <w:spacing w:val="-12"/>
        </w:rPr>
        <w:t> </w:t>
      </w:r>
      <w:r>
        <w:rPr>
          <w:color w:val="231F20"/>
          <w:spacing w:val="-2"/>
        </w:rPr>
        <w:t>losses</w:t>
      </w:r>
      <w:r>
        <w:rPr>
          <w:color w:val="231F20"/>
          <w:spacing w:val="-12"/>
        </w:rPr>
        <w:t> </w:t>
      </w:r>
      <w:r>
        <w:rPr>
          <w:color w:val="231F20"/>
          <w:spacing w:val="-2"/>
        </w:rPr>
        <w:t>in</w:t>
      </w:r>
      <w:r>
        <w:rPr>
          <w:color w:val="231F20"/>
          <w:spacing w:val="-12"/>
        </w:rPr>
        <w:t> </w:t>
      </w:r>
      <w:r>
        <w:rPr>
          <w:color w:val="231F20"/>
          <w:spacing w:val="-2"/>
        </w:rPr>
        <w:t>the</w:t>
      </w:r>
      <w:r>
        <w:rPr>
          <w:color w:val="231F20"/>
          <w:spacing w:val="-12"/>
        </w:rPr>
        <w:t> </w:t>
      </w:r>
      <w:r>
        <w:rPr>
          <w:color w:val="231F20"/>
          <w:spacing w:val="-2"/>
        </w:rPr>
        <w:t>sector.</w:t>
      </w:r>
      <w:r>
        <w:rPr>
          <w:color w:val="231F20"/>
          <w:spacing w:val="-12"/>
        </w:rPr>
        <w:t> </w:t>
      </w:r>
      <w:r>
        <w:rPr>
          <w:color w:val="231F20"/>
          <w:spacing w:val="-2"/>
        </w:rPr>
        <w:t>Non</w:t>
      </w:r>
      <w:r>
        <w:rPr>
          <w:color w:val="231F20"/>
          <w:spacing w:val="-12"/>
        </w:rPr>
        <w:t> </w:t>
      </w:r>
      <w:r>
        <w:rPr>
          <w:color w:val="231F20"/>
          <w:spacing w:val="-2"/>
        </w:rPr>
        <w:t>access </w:t>
      </w:r>
      <w:r>
        <w:rPr>
          <w:color w:val="231F20"/>
        </w:rPr>
        <w:t>to the U.S. dollar has had a similar effect, obliging the travel agencies to employ high-risk, expensive methods for sending funds, in some cases involving three or more conversions of currency.</w:t>
      </w:r>
    </w:p>
    <w:p>
      <w:pPr>
        <w:pStyle w:val="BodyText"/>
        <w:spacing w:before="166"/>
        <w:ind w:left="1474"/>
      </w:pPr>
      <w:r>
        <w:rPr>
          <w:color w:val="231F20"/>
        </w:rPr>
        <w:t>The obstacles to trading operations with Cuba in the context of an international economic</w:t>
      </w:r>
      <w:r>
        <w:rPr>
          <w:color w:val="231F20"/>
          <w:spacing w:val="80"/>
          <w:w w:val="150"/>
        </w:rPr>
        <w:t> </w:t>
      </w:r>
      <w:r>
        <w:rPr>
          <w:color w:val="231F20"/>
        </w:rPr>
        <w:t>crisis</w:t>
      </w:r>
      <w:r>
        <w:rPr>
          <w:color w:val="231F20"/>
          <w:spacing w:val="80"/>
          <w:w w:val="150"/>
        </w:rPr>
        <w:t> </w:t>
      </w:r>
      <w:r>
        <w:rPr>
          <w:color w:val="231F20"/>
        </w:rPr>
        <w:t>have</w:t>
      </w:r>
      <w:r>
        <w:rPr>
          <w:color w:val="231F20"/>
          <w:spacing w:val="80"/>
          <w:w w:val="150"/>
        </w:rPr>
        <w:t> </w:t>
      </w:r>
      <w:r>
        <w:rPr>
          <w:color w:val="231F20"/>
        </w:rPr>
        <w:t>contributed</w:t>
      </w:r>
      <w:r>
        <w:rPr>
          <w:color w:val="231F20"/>
          <w:spacing w:val="80"/>
          <w:w w:val="150"/>
        </w:rPr>
        <w:t> </w:t>
      </w:r>
      <w:r>
        <w:rPr>
          <w:color w:val="231F20"/>
        </w:rPr>
        <w:t>to</w:t>
      </w:r>
      <w:r>
        <w:rPr>
          <w:color w:val="231F20"/>
          <w:spacing w:val="80"/>
        </w:rPr>
        <w:t> </w:t>
      </w:r>
      <w:r>
        <w:rPr>
          <w:color w:val="231F20"/>
        </w:rPr>
        <w:t>a decline in the number of potential investors in the tourism sector. This has </w:t>
      </w:r>
      <w:r>
        <w:rPr>
          <w:color w:val="231F20"/>
          <w:spacing w:val="-2"/>
        </w:rPr>
        <w:t>undermined</w:t>
      </w:r>
      <w:r>
        <w:rPr>
          <w:color w:val="231F20"/>
          <w:spacing w:val="-15"/>
        </w:rPr>
        <w:t> </w:t>
      </w:r>
      <w:r>
        <w:rPr>
          <w:color w:val="231F20"/>
          <w:spacing w:val="-2"/>
        </w:rPr>
        <w:t>the</w:t>
      </w:r>
      <w:r>
        <w:rPr>
          <w:color w:val="231F20"/>
          <w:spacing w:val="-14"/>
        </w:rPr>
        <w:t> </w:t>
      </w:r>
      <w:r>
        <w:rPr>
          <w:color w:val="231F20"/>
          <w:spacing w:val="-2"/>
        </w:rPr>
        <w:t>performance</w:t>
      </w:r>
      <w:r>
        <w:rPr>
          <w:color w:val="231F20"/>
          <w:spacing w:val="-15"/>
        </w:rPr>
        <w:t> </w:t>
      </w:r>
      <w:r>
        <w:rPr>
          <w:color w:val="231F20"/>
          <w:spacing w:val="-2"/>
        </w:rPr>
        <w:t>of</w:t>
      </w:r>
      <w:r>
        <w:rPr>
          <w:color w:val="231F20"/>
          <w:spacing w:val="-14"/>
        </w:rPr>
        <w:t> </w:t>
      </w:r>
      <w:r>
        <w:rPr>
          <w:color w:val="231F20"/>
          <w:spacing w:val="-2"/>
        </w:rPr>
        <w:t>the</w:t>
      </w:r>
      <w:r>
        <w:rPr>
          <w:color w:val="231F20"/>
          <w:spacing w:val="-15"/>
        </w:rPr>
        <w:t> </w:t>
      </w:r>
      <w:r>
        <w:rPr>
          <w:color w:val="231F20"/>
          <w:spacing w:val="-2"/>
        </w:rPr>
        <w:t>Cuban </w:t>
      </w:r>
      <w:r>
        <w:rPr>
          <w:color w:val="231F20"/>
        </w:rPr>
        <w:t>Palmares</w:t>
      </w:r>
      <w:r>
        <w:rPr>
          <w:color w:val="231F20"/>
          <w:spacing w:val="-6"/>
        </w:rPr>
        <w:t> </w:t>
      </w:r>
      <w:r>
        <w:rPr>
          <w:color w:val="231F20"/>
        </w:rPr>
        <w:t>company’s</w:t>
      </w:r>
      <w:r>
        <w:rPr>
          <w:color w:val="231F20"/>
          <w:spacing w:val="-6"/>
        </w:rPr>
        <w:t> </w:t>
      </w:r>
      <w:r>
        <w:rPr>
          <w:color w:val="231F20"/>
        </w:rPr>
        <w:t>lines</w:t>
      </w:r>
      <w:r>
        <w:rPr>
          <w:color w:val="231F20"/>
          <w:spacing w:val="-6"/>
        </w:rPr>
        <w:t> </w:t>
      </w:r>
      <w:r>
        <w:rPr>
          <w:color w:val="231F20"/>
        </w:rPr>
        <w:t>of</w:t>
      </w:r>
      <w:r>
        <w:rPr>
          <w:color w:val="231F20"/>
          <w:spacing w:val="-6"/>
        </w:rPr>
        <w:t> </w:t>
      </w:r>
      <w:r>
        <w:rPr>
          <w:color w:val="231F20"/>
        </w:rPr>
        <w:t>business</w:t>
      </w:r>
      <w:r>
        <w:rPr>
          <w:color w:val="231F20"/>
          <w:spacing w:val="-6"/>
        </w:rPr>
        <w:t> </w:t>
      </w:r>
      <w:r>
        <w:rPr>
          <w:color w:val="231F20"/>
        </w:rPr>
        <w:t>and its</w:t>
      </w:r>
      <w:r>
        <w:rPr>
          <w:color w:val="231F20"/>
          <w:spacing w:val="22"/>
        </w:rPr>
        <w:t> </w:t>
      </w:r>
      <w:r>
        <w:rPr>
          <w:color w:val="231F20"/>
        </w:rPr>
        <w:t>four</w:t>
      </w:r>
      <w:r>
        <w:rPr>
          <w:color w:val="231F20"/>
          <w:spacing w:val="23"/>
        </w:rPr>
        <w:t> </w:t>
      </w:r>
      <w:r>
        <w:rPr>
          <w:color w:val="231F20"/>
        </w:rPr>
        <w:t>projects</w:t>
      </w:r>
      <w:r>
        <w:rPr>
          <w:color w:val="231F20"/>
          <w:spacing w:val="22"/>
        </w:rPr>
        <w:t> </w:t>
      </w:r>
      <w:r>
        <w:rPr>
          <w:color w:val="231F20"/>
        </w:rPr>
        <w:t>included</w:t>
      </w:r>
      <w:r>
        <w:rPr>
          <w:color w:val="231F20"/>
          <w:spacing w:val="23"/>
        </w:rPr>
        <w:t> </w:t>
      </w:r>
      <w:r>
        <w:rPr>
          <w:color w:val="231F20"/>
        </w:rPr>
        <w:t>in</w:t>
      </w:r>
      <w:r>
        <w:rPr>
          <w:color w:val="231F20"/>
          <w:spacing w:val="22"/>
        </w:rPr>
        <w:t> </w:t>
      </w:r>
      <w:r>
        <w:rPr>
          <w:color w:val="231F20"/>
        </w:rPr>
        <w:t>the</w:t>
      </w:r>
      <w:r>
        <w:rPr>
          <w:color w:val="231F20"/>
          <w:spacing w:val="23"/>
        </w:rPr>
        <w:t> </w:t>
      </w:r>
      <w:r>
        <w:rPr>
          <w:color w:val="231F20"/>
          <w:spacing w:val="-2"/>
        </w:rPr>
        <w:t>portfolio</w:t>
      </w:r>
    </w:p>
    <w:p>
      <w:pPr>
        <w:pStyle w:val="BodyText"/>
        <w:spacing w:before="77"/>
        <w:ind w:left="413" w:right="1132"/>
      </w:pPr>
      <w:r>
        <w:rPr/>
        <w:br w:type="column"/>
      </w:r>
      <w:r>
        <w:rPr>
          <w:color w:val="231F20"/>
        </w:rPr>
        <w:t>of</w:t>
      </w:r>
      <w:r>
        <w:rPr>
          <w:color w:val="231F20"/>
          <w:spacing w:val="-1"/>
        </w:rPr>
        <w:t> </w:t>
      </w:r>
      <w:r>
        <w:rPr>
          <w:color w:val="231F20"/>
        </w:rPr>
        <w:t>opportunities</w:t>
      </w:r>
      <w:r>
        <w:rPr>
          <w:color w:val="231F20"/>
          <w:spacing w:val="-1"/>
        </w:rPr>
        <w:t> </w:t>
      </w:r>
      <w:r>
        <w:rPr>
          <w:color w:val="231F20"/>
        </w:rPr>
        <w:t>for</w:t>
      </w:r>
      <w:r>
        <w:rPr>
          <w:color w:val="231F20"/>
          <w:spacing w:val="-1"/>
        </w:rPr>
        <w:t> </w:t>
      </w:r>
      <w:r>
        <w:rPr>
          <w:color w:val="231F20"/>
        </w:rPr>
        <w:t>foreign</w:t>
      </w:r>
      <w:r>
        <w:rPr>
          <w:color w:val="231F20"/>
          <w:spacing w:val="-1"/>
        </w:rPr>
        <w:t> </w:t>
      </w:r>
      <w:r>
        <w:rPr>
          <w:color w:val="231F20"/>
        </w:rPr>
        <w:t>investment</w:t>
      </w:r>
      <w:r>
        <w:rPr>
          <w:color w:val="231F20"/>
          <w:spacing w:val="-1"/>
        </w:rPr>
        <w:t> </w:t>
      </w:r>
      <w:r>
        <w:rPr>
          <w:color w:val="231F20"/>
        </w:rPr>
        <w:t>in the country.</w:t>
      </w:r>
    </w:p>
    <w:p>
      <w:pPr>
        <w:pStyle w:val="BodyText"/>
        <w:spacing w:before="161"/>
        <w:ind w:left="413" w:right="1133"/>
      </w:pPr>
      <w:r>
        <w:rPr>
          <w:color w:val="231F20"/>
        </w:rPr>
        <w:t>In the case of the Varadero water park project, envisaged as based on a joint venture</w:t>
      </w:r>
      <w:r>
        <w:rPr>
          <w:color w:val="231F20"/>
          <w:spacing w:val="-3"/>
        </w:rPr>
        <w:t> </w:t>
      </w:r>
      <w:r>
        <w:rPr>
          <w:color w:val="231F20"/>
        </w:rPr>
        <w:t>and</w:t>
      </w:r>
      <w:r>
        <w:rPr>
          <w:color w:val="231F20"/>
          <w:spacing w:val="-3"/>
        </w:rPr>
        <w:t> </w:t>
      </w:r>
      <w:r>
        <w:rPr>
          <w:color w:val="231F20"/>
        </w:rPr>
        <w:t>located</w:t>
      </w:r>
      <w:r>
        <w:rPr>
          <w:color w:val="231F20"/>
          <w:spacing w:val="-3"/>
        </w:rPr>
        <w:t> </w:t>
      </w:r>
      <w:r>
        <w:rPr>
          <w:color w:val="231F20"/>
        </w:rPr>
        <w:t>in</w:t>
      </w:r>
      <w:r>
        <w:rPr>
          <w:color w:val="231F20"/>
          <w:spacing w:val="-3"/>
        </w:rPr>
        <w:t> </w:t>
      </w:r>
      <w:r>
        <w:rPr>
          <w:color w:val="231F20"/>
        </w:rPr>
        <w:t>the</w:t>
      </w:r>
      <w:r>
        <w:rPr>
          <w:color w:val="231F20"/>
          <w:spacing w:val="-3"/>
        </w:rPr>
        <w:t> </w:t>
      </w:r>
      <w:r>
        <w:rPr>
          <w:color w:val="231F20"/>
        </w:rPr>
        <w:t>country’s</w:t>
      </w:r>
      <w:r>
        <w:rPr>
          <w:color w:val="231F20"/>
          <w:spacing w:val="-3"/>
        </w:rPr>
        <w:t> </w:t>
      </w:r>
      <w:r>
        <w:rPr>
          <w:color w:val="231F20"/>
        </w:rPr>
        <w:t>most </w:t>
      </w:r>
      <w:r>
        <w:rPr>
          <w:color w:val="231F20"/>
          <w:spacing w:val="-4"/>
        </w:rPr>
        <w:t>popular</w:t>
      </w:r>
      <w:r>
        <w:rPr>
          <w:color w:val="231F20"/>
          <w:spacing w:val="-13"/>
        </w:rPr>
        <w:t> </w:t>
      </w:r>
      <w:r>
        <w:rPr>
          <w:color w:val="231F20"/>
          <w:spacing w:val="-4"/>
        </w:rPr>
        <w:t>resort,</w:t>
      </w:r>
      <w:r>
        <w:rPr>
          <w:color w:val="231F20"/>
          <w:spacing w:val="-12"/>
        </w:rPr>
        <w:t> </w:t>
      </w:r>
      <w:r>
        <w:rPr>
          <w:color w:val="231F20"/>
          <w:spacing w:val="-4"/>
        </w:rPr>
        <w:t>of</w:t>
      </w:r>
      <w:r>
        <w:rPr>
          <w:color w:val="231F20"/>
          <w:spacing w:val="-13"/>
        </w:rPr>
        <w:t> </w:t>
      </w:r>
      <w:r>
        <w:rPr>
          <w:color w:val="231F20"/>
          <w:spacing w:val="-4"/>
        </w:rPr>
        <w:t>the</w:t>
      </w:r>
      <w:r>
        <w:rPr>
          <w:color w:val="231F20"/>
          <w:spacing w:val="-12"/>
        </w:rPr>
        <w:t> </w:t>
      </w:r>
      <w:r>
        <w:rPr>
          <w:color w:val="231F20"/>
          <w:spacing w:val="-4"/>
        </w:rPr>
        <w:t>around</w:t>
      </w:r>
      <w:r>
        <w:rPr>
          <w:color w:val="231F20"/>
          <w:spacing w:val="-12"/>
        </w:rPr>
        <w:t> </w:t>
      </w:r>
      <w:r>
        <w:rPr>
          <w:color w:val="231F20"/>
          <w:spacing w:val="-4"/>
        </w:rPr>
        <w:t>25</w:t>
      </w:r>
      <w:r>
        <w:rPr>
          <w:color w:val="231F20"/>
          <w:spacing w:val="-13"/>
        </w:rPr>
        <w:t> </w:t>
      </w:r>
      <w:r>
        <w:rPr>
          <w:color w:val="231F20"/>
          <w:spacing w:val="-4"/>
        </w:rPr>
        <w:t>companies </w:t>
      </w:r>
      <w:r>
        <w:rPr>
          <w:color w:val="231F20"/>
          <w:spacing w:val="-2"/>
        </w:rPr>
        <w:t>invited</w:t>
      </w:r>
      <w:r>
        <w:rPr>
          <w:color w:val="231F20"/>
          <w:spacing w:val="-15"/>
        </w:rPr>
        <w:t> </w:t>
      </w:r>
      <w:r>
        <w:rPr>
          <w:color w:val="231F20"/>
          <w:spacing w:val="-2"/>
        </w:rPr>
        <w:t>to</w:t>
      </w:r>
      <w:r>
        <w:rPr>
          <w:color w:val="231F20"/>
          <w:spacing w:val="-14"/>
        </w:rPr>
        <w:t> </w:t>
      </w:r>
      <w:r>
        <w:rPr>
          <w:color w:val="231F20"/>
          <w:spacing w:val="-2"/>
        </w:rPr>
        <w:t>participate,</w:t>
      </w:r>
      <w:r>
        <w:rPr>
          <w:color w:val="231F20"/>
          <w:spacing w:val="-15"/>
        </w:rPr>
        <w:t> </w:t>
      </w:r>
      <w:r>
        <w:rPr>
          <w:color w:val="231F20"/>
          <w:spacing w:val="-2"/>
        </w:rPr>
        <w:t>none</w:t>
      </w:r>
      <w:r>
        <w:rPr>
          <w:color w:val="231F20"/>
          <w:spacing w:val="-14"/>
        </w:rPr>
        <w:t> </w:t>
      </w:r>
      <w:r>
        <w:rPr>
          <w:color w:val="231F20"/>
          <w:spacing w:val="-2"/>
        </w:rPr>
        <w:t>have</w:t>
      </w:r>
      <w:r>
        <w:rPr>
          <w:color w:val="231F20"/>
          <w:spacing w:val="-15"/>
        </w:rPr>
        <w:t> </w:t>
      </w:r>
      <w:r>
        <w:rPr>
          <w:color w:val="231F20"/>
          <w:spacing w:val="-2"/>
        </w:rPr>
        <w:t>submitted proposals.</w:t>
      </w:r>
    </w:p>
    <w:p>
      <w:pPr>
        <w:pStyle w:val="BodyText"/>
        <w:spacing w:before="165"/>
        <w:ind w:left="413" w:right="1137"/>
      </w:pPr>
      <w:r>
        <w:rPr>
          <w:color w:val="231F20"/>
        </w:rPr>
        <w:t>These impacts are compounded by the </w:t>
      </w:r>
      <w:r>
        <w:rPr>
          <w:color w:val="231F20"/>
          <w:spacing w:val="-8"/>
        </w:rPr>
        <w:t>deployment</w:t>
      </w:r>
      <w:r>
        <w:rPr>
          <w:color w:val="231F20"/>
          <w:spacing w:val="-9"/>
        </w:rPr>
        <w:t> </w:t>
      </w:r>
      <w:r>
        <w:rPr>
          <w:color w:val="231F20"/>
          <w:spacing w:val="-8"/>
        </w:rPr>
        <w:t>of hostile,</w:t>
      </w:r>
      <w:r>
        <w:rPr>
          <w:color w:val="231F20"/>
          <w:spacing w:val="-9"/>
        </w:rPr>
        <w:t> </w:t>
      </w:r>
      <w:r>
        <w:rPr>
          <w:color w:val="231F20"/>
          <w:spacing w:val="-8"/>
        </w:rPr>
        <w:t>political, media-based </w:t>
      </w:r>
      <w:r>
        <w:rPr>
          <w:color w:val="231F20"/>
          <w:spacing w:val="-10"/>
        </w:rPr>
        <w:t>campaigns</w:t>
      </w:r>
      <w:r>
        <w:rPr>
          <w:color w:val="231F20"/>
        </w:rPr>
        <w:t> </w:t>
      </w:r>
      <w:r>
        <w:rPr>
          <w:color w:val="231F20"/>
          <w:spacing w:val="-10"/>
        </w:rPr>
        <w:t>across</w:t>
      </w:r>
      <w:r>
        <w:rPr>
          <w:color w:val="231F20"/>
        </w:rPr>
        <w:t> </w:t>
      </w:r>
      <w:r>
        <w:rPr>
          <w:color w:val="231F20"/>
          <w:spacing w:val="-10"/>
        </w:rPr>
        <w:t>the</w:t>
      </w:r>
      <w:r>
        <w:rPr>
          <w:color w:val="231F20"/>
        </w:rPr>
        <w:t> </w:t>
      </w:r>
      <w:r>
        <w:rPr>
          <w:color w:val="231F20"/>
          <w:spacing w:val="-10"/>
        </w:rPr>
        <w:t>digital</w:t>
      </w:r>
      <w:r>
        <w:rPr>
          <w:color w:val="231F20"/>
        </w:rPr>
        <w:t> </w:t>
      </w:r>
      <w:r>
        <w:rPr>
          <w:color w:val="231F20"/>
          <w:spacing w:val="-10"/>
        </w:rPr>
        <w:t>platforms,</w:t>
      </w:r>
      <w:r>
        <w:rPr>
          <w:color w:val="231F20"/>
        </w:rPr>
        <w:t> </w:t>
      </w:r>
      <w:r>
        <w:rPr>
          <w:color w:val="231F20"/>
          <w:spacing w:val="-10"/>
        </w:rPr>
        <w:t>social </w:t>
      </w:r>
      <w:r>
        <w:rPr>
          <w:color w:val="231F20"/>
        </w:rPr>
        <w:t>networks and other information sources, attacking</w:t>
      </w:r>
      <w:r>
        <w:rPr>
          <w:color w:val="231F20"/>
          <w:spacing w:val="-2"/>
        </w:rPr>
        <w:t> </w:t>
      </w:r>
      <w:r>
        <w:rPr>
          <w:color w:val="231F20"/>
        </w:rPr>
        <w:t>and</w:t>
      </w:r>
      <w:r>
        <w:rPr>
          <w:color w:val="231F20"/>
          <w:spacing w:val="-2"/>
        </w:rPr>
        <w:t> </w:t>
      </w:r>
      <w:r>
        <w:rPr>
          <w:color w:val="231F20"/>
        </w:rPr>
        <w:t>discrediting</w:t>
      </w:r>
      <w:r>
        <w:rPr>
          <w:color w:val="231F20"/>
          <w:spacing w:val="-2"/>
        </w:rPr>
        <w:t> </w:t>
      </w:r>
      <w:r>
        <w:rPr>
          <w:color w:val="231F20"/>
        </w:rPr>
        <w:t>the</w:t>
      </w:r>
      <w:r>
        <w:rPr>
          <w:color w:val="231F20"/>
          <w:spacing w:val="-2"/>
        </w:rPr>
        <w:t> </w:t>
      </w:r>
      <w:r>
        <w:rPr>
          <w:color w:val="231F20"/>
        </w:rPr>
        <w:t>quality</w:t>
      </w:r>
      <w:r>
        <w:rPr>
          <w:color w:val="231F20"/>
          <w:spacing w:val="-2"/>
        </w:rPr>
        <w:t> </w:t>
      </w:r>
      <w:r>
        <w:rPr>
          <w:color w:val="231F20"/>
        </w:rPr>
        <w:t>and </w:t>
      </w:r>
      <w:r>
        <w:rPr>
          <w:color w:val="231F20"/>
          <w:spacing w:val="-10"/>
        </w:rPr>
        <w:t>image</w:t>
      </w:r>
      <w:r>
        <w:rPr>
          <w:color w:val="231F20"/>
          <w:spacing w:val="-6"/>
        </w:rPr>
        <w:t> </w:t>
      </w:r>
      <w:r>
        <w:rPr>
          <w:color w:val="231F20"/>
          <w:spacing w:val="-10"/>
        </w:rPr>
        <w:t>of</w:t>
      </w:r>
      <w:r>
        <w:rPr>
          <w:color w:val="231F20"/>
          <w:spacing w:val="-6"/>
        </w:rPr>
        <w:t> </w:t>
      </w:r>
      <w:r>
        <w:rPr>
          <w:color w:val="231F20"/>
          <w:spacing w:val="-10"/>
        </w:rPr>
        <w:t>our</w:t>
      </w:r>
      <w:r>
        <w:rPr>
          <w:color w:val="231F20"/>
          <w:spacing w:val="-6"/>
        </w:rPr>
        <w:t> </w:t>
      </w:r>
      <w:r>
        <w:rPr>
          <w:color w:val="231F20"/>
          <w:spacing w:val="-10"/>
        </w:rPr>
        <w:t>tourism</w:t>
      </w:r>
      <w:r>
        <w:rPr>
          <w:color w:val="231F20"/>
          <w:spacing w:val="-6"/>
        </w:rPr>
        <w:t> </w:t>
      </w:r>
      <w:r>
        <w:rPr>
          <w:color w:val="231F20"/>
          <w:spacing w:val="-10"/>
        </w:rPr>
        <w:t>services,</w:t>
      </w:r>
      <w:r>
        <w:rPr>
          <w:color w:val="231F20"/>
          <w:spacing w:val="-6"/>
        </w:rPr>
        <w:t> </w:t>
      </w:r>
      <w:r>
        <w:rPr>
          <w:color w:val="231F20"/>
          <w:spacing w:val="-10"/>
        </w:rPr>
        <w:t>depressing</w:t>
      </w:r>
      <w:r>
        <w:rPr>
          <w:color w:val="231F20"/>
          <w:spacing w:val="-6"/>
        </w:rPr>
        <w:t> </w:t>
      </w:r>
      <w:r>
        <w:rPr>
          <w:color w:val="231F20"/>
          <w:spacing w:val="-10"/>
        </w:rPr>
        <w:t>the </w:t>
      </w:r>
      <w:r>
        <w:rPr>
          <w:color w:val="231F20"/>
        </w:rPr>
        <w:t>inflow of visitors.</w:t>
      </w:r>
    </w:p>
    <w:p>
      <w:pPr>
        <w:spacing w:before="164"/>
        <w:ind w:left="413" w:right="1131" w:firstLine="0"/>
        <w:jc w:val="both"/>
        <w:rPr>
          <w:rFonts w:ascii="Segoe UI Semibold"/>
          <w:b/>
          <w:i/>
          <w:sz w:val="24"/>
        </w:rPr>
      </w:pPr>
      <w:r>
        <w:rPr>
          <w:rFonts w:ascii="Segoe UI Semibold"/>
          <w:b/>
          <w:i/>
          <w:color w:val="231F20"/>
          <w:sz w:val="24"/>
        </w:rPr>
        <w:t>Another sector of the Cuban economy</w:t>
      </w:r>
      <w:r>
        <w:rPr>
          <w:rFonts w:ascii="Segoe UI Semibold"/>
          <w:b/>
          <w:i/>
          <w:color w:val="231F20"/>
          <w:sz w:val="24"/>
        </w:rPr>
        <w:t> appreciably affected by the blockade</w:t>
      </w:r>
      <w:r>
        <w:rPr>
          <w:rFonts w:ascii="Segoe UI Semibold"/>
          <w:b/>
          <w:i/>
          <w:color w:val="231F20"/>
          <w:spacing w:val="80"/>
          <w:sz w:val="24"/>
        </w:rPr>
        <w:t> </w:t>
      </w:r>
      <w:r>
        <w:rPr>
          <w:rFonts w:ascii="Segoe UI Semibold"/>
          <w:b/>
          <w:i/>
          <w:color w:val="231F20"/>
          <w:sz w:val="24"/>
        </w:rPr>
        <w:t>has been </w:t>
      </w:r>
      <w:r>
        <w:rPr>
          <w:b/>
          <w:i/>
          <w:color w:val="B52628"/>
          <w:sz w:val="24"/>
        </w:rPr>
        <w:t>the biotechnology and the</w:t>
      </w:r>
      <w:r>
        <w:rPr>
          <w:b/>
          <w:i/>
          <w:color w:val="B52628"/>
          <w:sz w:val="24"/>
        </w:rPr>
        <w:t> pharmaceutical industry</w:t>
      </w:r>
      <w:r>
        <w:rPr>
          <w:rFonts w:ascii="Segoe UI Semibold"/>
          <w:b/>
          <w:i/>
          <w:color w:val="231F20"/>
          <w:sz w:val="24"/>
        </w:rPr>
        <w:t>. Every year,</w:t>
      </w:r>
      <w:r>
        <w:rPr>
          <w:rFonts w:ascii="Segoe UI Semibold"/>
          <w:b/>
          <w:i/>
          <w:color w:val="231F20"/>
          <w:sz w:val="24"/>
        </w:rPr>
        <w:t> research, development and product </w:t>
      </w:r>
      <w:r>
        <w:rPr>
          <w:rFonts w:ascii="Segoe UI Semibold"/>
          <w:b/>
          <w:i/>
          <w:color w:val="231F20"/>
          <w:spacing w:val="-4"/>
          <w:sz w:val="24"/>
        </w:rPr>
        <w:t>manufacture</w:t>
      </w:r>
      <w:r>
        <w:rPr>
          <w:rFonts w:ascii="Segoe UI Semibold"/>
          <w:b/>
          <w:i/>
          <w:color w:val="231F20"/>
          <w:spacing w:val="-13"/>
          <w:sz w:val="24"/>
        </w:rPr>
        <w:t> </w:t>
      </w:r>
      <w:r>
        <w:rPr>
          <w:rFonts w:ascii="Segoe UI Semibold"/>
          <w:b/>
          <w:i/>
          <w:color w:val="231F20"/>
          <w:spacing w:val="-4"/>
          <w:sz w:val="24"/>
        </w:rPr>
        <w:t>and</w:t>
      </w:r>
      <w:r>
        <w:rPr>
          <w:rFonts w:ascii="Segoe UI Semibold"/>
          <w:b/>
          <w:i/>
          <w:color w:val="231F20"/>
          <w:spacing w:val="-12"/>
          <w:sz w:val="24"/>
        </w:rPr>
        <w:t> </w:t>
      </w:r>
      <w:r>
        <w:rPr>
          <w:rFonts w:ascii="Segoe UI Semibold"/>
          <w:b/>
          <w:i/>
          <w:color w:val="231F20"/>
          <w:spacing w:val="-4"/>
          <w:sz w:val="24"/>
        </w:rPr>
        <w:t>marketing</w:t>
      </w:r>
      <w:r>
        <w:rPr>
          <w:rFonts w:ascii="Segoe UI Semibold"/>
          <w:b/>
          <w:i/>
          <w:color w:val="231F20"/>
          <w:spacing w:val="-13"/>
          <w:sz w:val="24"/>
        </w:rPr>
        <w:t> </w:t>
      </w:r>
      <w:r>
        <w:rPr>
          <w:rFonts w:ascii="Segoe UI Semibold"/>
          <w:b/>
          <w:i/>
          <w:color w:val="231F20"/>
          <w:spacing w:val="-4"/>
          <w:sz w:val="24"/>
        </w:rPr>
        <w:t>are</w:t>
      </w:r>
      <w:r>
        <w:rPr>
          <w:rFonts w:ascii="Segoe UI Semibold"/>
          <w:b/>
          <w:i/>
          <w:color w:val="231F20"/>
          <w:spacing w:val="-12"/>
          <w:sz w:val="24"/>
        </w:rPr>
        <w:t> </w:t>
      </w:r>
      <w:r>
        <w:rPr>
          <w:rFonts w:ascii="Segoe UI Semibold"/>
          <w:b/>
          <w:i/>
          <w:color w:val="231F20"/>
          <w:spacing w:val="-4"/>
          <w:sz w:val="24"/>
        </w:rPr>
        <w:t>impacted, </w:t>
      </w:r>
      <w:r>
        <w:rPr>
          <w:rFonts w:ascii="Segoe UI Semibold"/>
          <w:b/>
          <w:i/>
          <w:color w:val="231F20"/>
          <w:sz w:val="24"/>
        </w:rPr>
        <w:t>with significant financial losses.</w:t>
      </w:r>
    </w:p>
    <w:p>
      <w:pPr>
        <w:pStyle w:val="BodyText"/>
        <w:spacing w:before="160"/>
        <w:ind w:left="413" w:right="1132"/>
      </w:pPr>
      <w:r>
        <w:rPr>
          <w:color w:val="231F20"/>
        </w:rPr>
        <w:t>This industry proved to be an essential pillar of national sovereignty during the response to the COVID-19 pandemic. Development of the sector enabled five Cuban</w:t>
      </w:r>
      <w:r>
        <w:rPr>
          <w:color w:val="231F20"/>
          <w:spacing w:val="-17"/>
        </w:rPr>
        <w:t> </w:t>
      </w:r>
      <w:r>
        <w:rPr>
          <w:color w:val="231F20"/>
        </w:rPr>
        <w:t>vaccine</w:t>
      </w:r>
      <w:r>
        <w:rPr>
          <w:color w:val="231F20"/>
          <w:spacing w:val="-16"/>
        </w:rPr>
        <w:t> </w:t>
      </w:r>
      <w:r>
        <w:rPr>
          <w:color w:val="231F20"/>
        </w:rPr>
        <w:t>candidates</w:t>
      </w:r>
      <w:r>
        <w:rPr>
          <w:color w:val="231F20"/>
          <w:spacing w:val="-17"/>
        </w:rPr>
        <w:t> </w:t>
      </w:r>
      <w:r>
        <w:rPr>
          <w:color w:val="231F20"/>
        </w:rPr>
        <w:t>to</w:t>
      </w:r>
      <w:r>
        <w:rPr>
          <w:color w:val="231F20"/>
          <w:spacing w:val="-16"/>
        </w:rPr>
        <w:t> </w:t>
      </w:r>
      <w:r>
        <w:rPr>
          <w:color w:val="231F20"/>
        </w:rPr>
        <w:t>be</w:t>
      </w:r>
      <w:r>
        <w:rPr>
          <w:color w:val="231F20"/>
          <w:spacing w:val="-17"/>
        </w:rPr>
        <w:t> </w:t>
      </w:r>
      <w:r>
        <w:rPr>
          <w:color w:val="231F20"/>
        </w:rPr>
        <w:t>produced, </w:t>
      </w:r>
      <w:r>
        <w:rPr>
          <w:color w:val="231F20"/>
          <w:spacing w:val="-2"/>
        </w:rPr>
        <w:t>including</w:t>
      </w:r>
      <w:r>
        <w:rPr>
          <w:color w:val="231F20"/>
          <w:spacing w:val="-12"/>
        </w:rPr>
        <w:t> </w:t>
      </w:r>
      <w:r>
        <w:rPr>
          <w:color w:val="231F20"/>
          <w:spacing w:val="-2"/>
        </w:rPr>
        <w:t>three</w:t>
      </w:r>
      <w:r>
        <w:rPr>
          <w:color w:val="231F20"/>
          <w:spacing w:val="-12"/>
        </w:rPr>
        <w:t> </w:t>
      </w:r>
      <w:r>
        <w:rPr>
          <w:color w:val="231F20"/>
          <w:spacing w:val="-2"/>
        </w:rPr>
        <w:t>that</w:t>
      </w:r>
      <w:r>
        <w:rPr>
          <w:color w:val="231F20"/>
          <w:spacing w:val="-12"/>
        </w:rPr>
        <w:t> </w:t>
      </w:r>
      <w:r>
        <w:rPr>
          <w:color w:val="231F20"/>
          <w:spacing w:val="-2"/>
        </w:rPr>
        <w:t>stemmed</w:t>
      </w:r>
      <w:r>
        <w:rPr>
          <w:color w:val="231F20"/>
          <w:spacing w:val="-12"/>
        </w:rPr>
        <w:t> </w:t>
      </w:r>
      <w:r>
        <w:rPr>
          <w:color w:val="231F20"/>
          <w:spacing w:val="-2"/>
        </w:rPr>
        <w:t>propagation </w:t>
      </w:r>
      <w:r>
        <w:rPr>
          <w:color w:val="231F20"/>
          <w:spacing w:val="-6"/>
        </w:rPr>
        <w:t>of this disease and saved thousands of lives. </w:t>
      </w:r>
      <w:r>
        <w:rPr>
          <w:color w:val="231F20"/>
        </w:rPr>
        <w:t>However, the response could have been much earlier and more expeditious had not the blockade obstructed the process of</w:t>
      </w:r>
      <w:r>
        <w:rPr>
          <w:color w:val="231F20"/>
          <w:spacing w:val="-13"/>
        </w:rPr>
        <w:t> </w:t>
      </w:r>
      <w:r>
        <w:rPr>
          <w:color w:val="231F20"/>
        </w:rPr>
        <w:t>research,</w:t>
      </w:r>
      <w:r>
        <w:rPr>
          <w:color w:val="231F20"/>
          <w:spacing w:val="-13"/>
        </w:rPr>
        <w:t> </w:t>
      </w:r>
      <w:r>
        <w:rPr>
          <w:color w:val="231F20"/>
        </w:rPr>
        <w:t>development,</w:t>
      </w:r>
      <w:r>
        <w:rPr>
          <w:color w:val="231F20"/>
          <w:spacing w:val="-13"/>
        </w:rPr>
        <w:t> </w:t>
      </w:r>
      <w:r>
        <w:rPr>
          <w:color w:val="231F20"/>
        </w:rPr>
        <w:t>production</w:t>
      </w:r>
      <w:r>
        <w:rPr>
          <w:color w:val="231F20"/>
          <w:spacing w:val="-13"/>
        </w:rPr>
        <w:t> </w:t>
      </w:r>
      <w:r>
        <w:rPr>
          <w:color w:val="231F20"/>
        </w:rPr>
        <w:t>and industrial scaling up of these drugs.</w:t>
      </w:r>
    </w:p>
    <w:p>
      <w:pPr>
        <w:spacing w:before="169"/>
        <w:ind w:left="413" w:right="1131" w:firstLine="0"/>
        <w:jc w:val="both"/>
        <w:rPr>
          <w:i/>
          <w:sz w:val="24"/>
        </w:rPr>
      </w:pPr>
      <w:r>
        <w:rPr>
          <w:i/>
          <w:color w:val="231F20"/>
          <w:sz w:val="24"/>
        </w:rPr>
        <w:t>In</w:t>
      </w:r>
      <w:r>
        <w:rPr>
          <w:i/>
          <w:color w:val="231F20"/>
          <w:spacing w:val="-14"/>
          <w:sz w:val="24"/>
        </w:rPr>
        <w:t> </w:t>
      </w:r>
      <w:r>
        <w:rPr>
          <w:i/>
          <w:color w:val="231F20"/>
          <w:sz w:val="24"/>
        </w:rPr>
        <w:t>the</w:t>
      </w:r>
      <w:r>
        <w:rPr>
          <w:i/>
          <w:color w:val="231F20"/>
          <w:spacing w:val="-14"/>
          <w:sz w:val="24"/>
        </w:rPr>
        <w:t> </w:t>
      </w:r>
      <w:r>
        <w:rPr>
          <w:i/>
          <w:color w:val="231F20"/>
          <w:sz w:val="24"/>
        </w:rPr>
        <w:t>period</w:t>
      </w:r>
      <w:r>
        <w:rPr>
          <w:i/>
          <w:color w:val="231F20"/>
          <w:spacing w:val="-14"/>
          <w:sz w:val="24"/>
        </w:rPr>
        <w:t> </w:t>
      </w:r>
      <w:r>
        <w:rPr>
          <w:i/>
          <w:color w:val="231F20"/>
          <w:sz w:val="24"/>
        </w:rPr>
        <w:t>considered,</w:t>
      </w:r>
      <w:r>
        <w:rPr>
          <w:i/>
          <w:color w:val="231F20"/>
          <w:spacing w:val="-14"/>
          <w:sz w:val="24"/>
        </w:rPr>
        <w:t> </w:t>
      </w:r>
      <w:r>
        <w:rPr>
          <w:i/>
          <w:color w:val="231F20"/>
          <w:sz w:val="24"/>
        </w:rPr>
        <w:t>the</w:t>
      </w:r>
      <w:r>
        <w:rPr>
          <w:i/>
          <w:color w:val="231F20"/>
          <w:spacing w:val="-14"/>
          <w:sz w:val="24"/>
        </w:rPr>
        <w:t> </w:t>
      </w:r>
      <w:r>
        <w:rPr>
          <w:i/>
          <w:color w:val="231F20"/>
          <w:sz w:val="24"/>
        </w:rPr>
        <w:t>losses</w:t>
      </w:r>
      <w:r>
        <w:rPr>
          <w:i/>
          <w:color w:val="231F20"/>
          <w:spacing w:val="-14"/>
          <w:sz w:val="24"/>
        </w:rPr>
        <w:t> </w:t>
      </w:r>
      <w:r>
        <w:rPr>
          <w:i/>
          <w:color w:val="231F20"/>
          <w:sz w:val="24"/>
        </w:rPr>
        <w:t>suffered</w:t>
      </w:r>
      <w:r>
        <w:rPr>
          <w:i/>
          <w:color w:val="231F20"/>
          <w:sz w:val="24"/>
        </w:rPr>
        <w:t> in this sector totaled </w:t>
      </w:r>
      <w:r>
        <w:rPr>
          <w:rFonts w:ascii="Segoe UI Semibold"/>
          <w:b/>
          <w:i/>
          <w:color w:val="231F20"/>
          <w:sz w:val="24"/>
        </w:rPr>
        <w:t>USD 142,896,200</w:t>
      </w:r>
      <w:r>
        <w:rPr>
          <w:i/>
          <w:color w:val="231F20"/>
          <w:sz w:val="24"/>
        </w:rPr>
        <w:t>,</w:t>
      </w:r>
      <w:r>
        <w:rPr>
          <w:i/>
          <w:color w:val="231F20"/>
          <w:sz w:val="24"/>
        </w:rPr>
        <w:t> mostly in the form of export revenues </w:t>
      </w:r>
      <w:r>
        <w:rPr>
          <w:i/>
          <w:color w:val="231F20"/>
          <w:spacing w:val="-2"/>
          <w:sz w:val="24"/>
        </w:rPr>
        <w:t>foregone,</w:t>
      </w:r>
      <w:r>
        <w:rPr>
          <w:i/>
          <w:color w:val="231F20"/>
          <w:spacing w:val="-8"/>
          <w:sz w:val="24"/>
        </w:rPr>
        <w:t> </w:t>
      </w:r>
      <w:r>
        <w:rPr>
          <w:i/>
          <w:color w:val="231F20"/>
          <w:spacing w:val="-2"/>
          <w:sz w:val="24"/>
        </w:rPr>
        <w:t>the</w:t>
      </w:r>
      <w:r>
        <w:rPr>
          <w:i/>
          <w:color w:val="231F20"/>
          <w:spacing w:val="-8"/>
          <w:sz w:val="24"/>
        </w:rPr>
        <w:t> </w:t>
      </w:r>
      <w:r>
        <w:rPr>
          <w:i/>
          <w:color w:val="231F20"/>
          <w:spacing w:val="-2"/>
          <w:sz w:val="24"/>
        </w:rPr>
        <w:t>cost</w:t>
      </w:r>
      <w:r>
        <w:rPr>
          <w:i/>
          <w:color w:val="231F20"/>
          <w:spacing w:val="-8"/>
          <w:sz w:val="24"/>
        </w:rPr>
        <w:t> </w:t>
      </w:r>
      <w:r>
        <w:rPr>
          <w:i/>
          <w:color w:val="231F20"/>
          <w:spacing w:val="-2"/>
          <w:sz w:val="24"/>
        </w:rPr>
        <w:t>of</w:t>
      </w:r>
      <w:r>
        <w:rPr>
          <w:i/>
          <w:color w:val="231F20"/>
          <w:spacing w:val="-8"/>
          <w:sz w:val="24"/>
        </w:rPr>
        <w:t> </w:t>
      </w:r>
      <w:r>
        <w:rPr>
          <w:i/>
          <w:color w:val="231F20"/>
          <w:spacing w:val="-2"/>
          <w:sz w:val="24"/>
        </w:rPr>
        <w:t>geographic</w:t>
      </w:r>
      <w:r>
        <w:rPr>
          <w:i/>
          <w:color w:val="231F20"/>
          <w:spacing w:val="-8"/>
          <w:sz w:val="24"/>
        </w:rPr>
        <w:t> </w:t>
      </w:r>
      <w:r>
        <w:rPr>
          <w:i/>
          <w:color w:val="231F20"/>
          <w:spacing w:val="-2"/>
          <w:sz w:val="24"/>
        </w:rPr>
        <w:t>relocations </w:t>
      </w:r>
      <w:r>
        <w:rPr>
          <w:i/>
          <w:color w:val="231F20"/>
          <w:sz w:val="24"/>
        </w:rPr>
        <w:t>of business and monetary impacts.</w:t>
      </w:r>
    </w:p>
    <w:p>
      <w:pPr>
        <w:pStyle w:val="BodyText"/>
        <w:spacing w:before="163"/>
        <w:ind w:left="413" w:right="1132"/>
      </w:pPr>
      <w:r>
        <w:rPr>
          <w:color w:val="231F20"/>
        </w:rPr>
        <w:t>The Finlay Vaccines Institute (“IFV”), manufacturer</w:t>
      </w:r>
      <w:r>
        <w:rPr>
          <w:color w:val="231F20"/>
          <w:spacing w:val="56"/>
          <w:w w:val="150"/>
        </w:rPr>
        <w:t> </w:t>
      </w:r>
      <w:r>
        <w:rPr>
          <w:color w:val="231F20"/>
        </w:rPr>
        <w:t>of</w:t>
      </w:r>
      <w:r>
        <w:rPr>
          <w:color w:val="231F20"/>
          <w:spacing w:val="57"/>
          <w:w w:val="150"/>
        </w:rPr>
        <w:t> </w:t>
      </w:r>
      <w:r>
        <w:rPr>
          <w:color w:val="231F20"/>
        </w:rPr>
        <w:t>the</w:t>
      </w:r>
      <w:r>
        <w:rPr>
          <w:color w:val="231F20"/>
          <w:spacing w:val="57"/>
          <w:w w:val="150"/>
        </w:rPr>
        <w:t> </w:t>
      </w:r>
      <w:r>
        <w:rPr>
          <w:color w:val="231F20"/>
        </w:rPr>
        <w:t>Soberana</w:t>
      </w:r>
      <w:r>
        <w:rPr>
          <w:color w:val="231F20"/>
          <w:spacing w:val="57"/>
          <w:w w:val="150"/>
        </w:rPr>
        <w:t> </w:t>
      </w:r>
      <w:r>
        <w:rPr>
          <w:color w:val="231F20"/>
        </w:rPr>
        <w:t>02</w:t>
      </w:r>
      <w:r>
        <w:rPr>
          <w:color w:val="231F20"/>
          <w:spacing w:val="57"/>
          <w:w w:val="150"/>
        </w:rPr>
        <w:t> </w:t>
      </w:r>
      <w:r>
        <w:rPr>
          <w:color w:val="231F20"/>
          <w:spacing w:val="-5"/>
        </w:rPr>
        <w:t>and</w:t>
      </w:r>
    </w:p>
    <w:p>
      <w:pPr>
        <w:spacing w:after="0"/>
        <w:sectPr>
          <w:pgSz w:w="11910" w:h="16840"/>
          <w:pgMar w:header="0" w:footer="695" w:top="1260" w:bottom="880" w:left="0" w:right="0"/>
          <w:cols w:num="2" w:equalWidth="0">
            <w:col w:w="5897" w:space="40"/>
            <w:col w:w="5973"/>
          </w:cols>
        </w:sectPr>
      </w:pPr>
    </w:p>
    <w:p>
      <w:pPr>
        <w:pStyle w:val="BodyText"/>
        <w:spacing w:before="77"/>
        <w:ind w:left="1133" w:right="1"/>
      </w:pPr>
      <w:r>
        <w:rPr>
          <w:color w:val="231F20"/>
        </w:rPr>
        <w:t>Soberana Plus Cuban anti-COVID-19 vaccines, experienced difficulties created by</w:t>
      </w:r>
      <w:r>
        <w:rPr>
          <w:color w:val="231F20"/>
          <w:spacing w:val="-17"/>
        </w:rPr>
        <w:t> </w:t>
      </w:r>
      <w:r>
        <w:rPr>
          <w:color w:val="231F20"/>
        </w:rPr>
        <w:t>the</w:t>
      </w:r>
      <w:r>
        <w:rPr>
          <w:color w:val="231F20"/>
          <w:spacing w:val="-16"/>
        </w:rPr>
        <w:t> </w:t>
      </w:r>
      <w:r>
        <w:rPr>
          <w:color w:val="231F20"/>
        </w:rPr>
        <w:t>blockade</w:t>
      </w:r>
      <w:r>
        <w:rPr>
          <w:color w:val="231F20"/>
          <w:spacing w:val="-17"/>
        </w:rPr>
        <w:t> </w:t>
      </w:r>
      <w:r>
        <w:rPr>
          <w:color w:val="231F20"/>
        </w:rPr>
        <w:t>in</w:t>
      </w:r>
      <w:r>
        <w:rPr>
          <w:color w:val="231F20"/>
          <w:spacing w:val="-16"/>
        </w:rPr>
        <w:t> </w:t>
      </w:r>
      <w:r>
        <w:rPr>
          <w:color w:val="231F20"/>
        </w:rPr>
        <w:t>a</w:t>
      </w:r>
      <w:r>
        <w:rPr>
          <w:color w:val="231F20"/>
          <w:spacing w:val="-17"/>
        </w:rPr>
        <w:t> </w:t>
      </w:r>
      <w:r>
        <w:rPr>
          <w:color w:val="231F20"/>
        </w:rPr>
        <w:t>total</w:t>
      </w:r>
      <w:r>
        <w:rPr>
          <w:color w:val="231F20"/>
          <w:spacing w:val="-16"/>
        </w:rPr>
        <w:t> </w:t>
      </w:r>
      <w:r>
        <w:rPr>
          <w:color w:val="231F20"/>
        </w:rPr>
        <w:t>of</w:t>
      </w:r>
      <w:r>
        <w:rPr>
          <w:color w:val="231F20"/>
          <w:spacing w:val="-17"/>
        </w:rPr>
        <w:t> </w:t>
      </w:r>
      <w:r>
        <w:rPr>
          <w:color w:val="231F20"/>
        </w:rPr>
        <w:t>14</w:t>
      </w:r>
      <w:r>
        <w:rPr>
          <w:color w:val="231F20"/>
          <w:spacing w:val="-16"/>
        </w:rPr>
        <w:t> </w:t>
      </w:r>
      <w:r>
        <w:rPr>
          <w:color w:val="231F20"/>
        </w:rPr>
        <w:t>operations, 7</w:t>
      </w:r>
      <w:r>
        <w:rPr>
          <w:color w:val="231F20"/>
          <w:spacing w:val="25"/>
        </w:rPr>
        <w:t> </w:t>
      </w:r>
      <w:r>
        <w:rPr>
          <w:color w:val="231F20"/>
        </w:rPr>
        <w:t>relating</w:t>
      </w:r>
      <w:r>
        <w:rPr>
          <w:color w:val="231F20"/>
          <w:spacing w:val="28"/>
        </w:rPr>
        <w:t> </w:t>
      </w:r>
      <w:r>
        <w:rPr>
          <w:color w:val="231F20"/>
        </w:rPr>
        <w:t>to</w:t>
      </w:r>
      <w:r>
        <w:rPr>
          <w:color w:val="231F20"/>
          <w:spacing w:val="27"/>
        </w:rPr>
        <w:t> </w:t>
      </w:r>
      <w:r>
        <w:rPr>
          <w:color w:val="231F20"/>
        </w:rPr>
        <w:t>reagents</w:t>
      </w:r>
      <w:r>
        <w:rPr>
          <w:color w:val="231F20"/>
          <w:spacing w:val="28"/>
        </w:rPr>
        <w:t> </w:t>
      </w:r>
      <w:r>
        <w:rPr>
          <w:color w:val="231F20"/>
        </w:rPr>
        <w:t>and</w:t>
      </w:r>
      <w:r>
        <w:rPr>
          <w:color w:val="231F20"/>
          <w:spacing w:val="27"/>
        </w:rPr>
        <w:t> </w:t>
      </w:r>
      <w:r>
        <w:rPr>
          <w:color w:val="231F20"/>
        </w:rPr>
        <w:t>raw</w:t>
      </w:r>
      <w:r>
        <w:rPr>
          <w:color w:val="231F20"/>
          <w:spacing w:val="28"/>
        </w:rPr>
        <w:t> </w:t>
      </w:r>
      <w:r>
        <w:rPr>
          <w:color w:val="231F20"/>
          <w:spacing w:val="-2"/>
        </w:rPr>
        <w:t>materials,</w:t>
      </w:r>
    </w:p>
    <w:p>
      <w:pPr>
        <w:pStyle w:val="BodyText"/>
        <w:spacing w:before="3"/>
        <w:ind w:left="1133"/>
      </w:pPr>
      <w:r>
        <w:rPr>
          <w:color w:val="231F20"/>
        </w:rPr>
        <w:t>4 to supplies of consumables and 3 to </w:t>
      </w:r>
      <w:r>
        <w:rPr>
          <w:color w:val="231F20"/>
          <w:spacing w:val="-2"/>
        </w:rPr>
        <w:t>equipment</w:t>
      </w:r>
      <w:r>
        <w:rPr>
          <w:color w:val="231F20"/>
          <w:spacing w:val="-15"/>
        </w:rPr>
        <w:t> </w:t>
      </w:r>
      <w:r>
        <w:rPr>
          <w:color w:val="231F20"/>
          <w:spacing w:val="-2"/>
        </w:rPr>
        <w:t>of</w:t>
      </w:r>
      <w:r>
        <w:rPr>
          <w:color w:val="231F20"/>
          <w:spacing w:val="-14"/>
        </w:rPr>
        <w:t> </w:t>
      </w:r>
      <w:r>
        <w:rPr>
          <w:color w:val="231F20"/>
          <w:spacing w:val="-2"/>
        </w:rPr>
        <w:t>U.S.</w:t>
      </w:r>
      <w:r>
        <w:rPr>
          <w:color w:val="231F20"/>
          <w:spacing w:val="-15"/>
        </w:rPr>
        <w:t> </w:t>
      </w:r>
      <w:r>
        <w:rPr>
          <w:color w:val="231F20"/>
          <w:spacing w:val="-2"/>
        </w:rPr>
        <w:t>origin.</w:t>
      </w:r>
      <w:r>
        <w:rPr>
          <w:color w:val="231F20"/>
          <w:spacing w:val="-14"/>
        </w:rPr>
        <w:t> </w:t>
      </w:r>
      <w:r>
        <w:rPr>
          <w:color w:val="231F20"/>
          <w:spacing w:val="-2"/>
        </w:rPr>
        <w:t>In</w:t>
      </w:r>
      <w:r>
        <w:rPr>
          <w:color w:val="231F20"/>
          <w:spacing w:val="-15"/>
        </w:rPr>
        <w:t> </w:t>
      </w:r>
      <w:r>
        <w:rPr>
          <w:color w:val="231F20"/>
          <w:spacing w:val="-2"/>
        </w:rPr>
        <w:t>most</w:t>
      </w:r>
      <w:r>
        <w:rPr>
          <w:color w:val="231F20"/>
          <w:spacing w:val="-14"/>
        </w:rPr>
        <w:t> </w:t>
      </w:r>
      <w:r>
        <w:rPr>
          <w:color w:val="231F20"/>
          <w:spacing w:val="-2"/>
        </w:rPr>
        <w:t>cases,</w:t>
      </w:r>
      <w:r>
        <w:rPr>
          <w:color w:val="231F20"/>
          <w:spacing w:val="-15"/>
        </w:rPr>
        <w:t> </w:t>
      </w:r>
      <w:r>
        <w:rPr>
          <w:color w:val="231F20"/>
          <w:spacing w:val="-2"/>
        </w:rPr>
        <w:t>the </w:t>
      </w:r>
      <w:r>
        <w:rPr>
          <w:color w:val="231F20"/>
        </w:rPr>
        <w:t>materials involved had to be obtained via third parties, at significantly inflated unit prices and higher freight costs.</w:t>
      </w:r>
    </w:p>
    <w:p>
      <w:pPr>
        <w:pStyle w:val="BodyText"/>
        <w:spacing w:before="164"/>
        <w:ind w:left="1133"/>
      </w:pPr>
      <w:r>
        <w:rPr>
          <w:color w:val="231F20"/>
        </w:rPr>
        <w:t>Other inconveniences in the period included repeated refusals by Deutsche Bank</w:t>
      </w:r>
      <w:r>
        <w:rPr>
          <w:color w:val="231F20"/>
          <w:spacing w:val="-2"/>
        </w:rPr>
        <w:t> </w:t>
      </w:r>
      <w:r>
        <w:rPr>
          <w:color w:val="231F20"/>
        </w:rPr>
        <w:t>and</w:t>
      </w:r>
      <w:r>
        <w:rPr>
          <w:color w:val="231F20"/>
          <w:spacing w:val="-2"/>
        </w:rPr>
        <w:t> </w:t>
      </w:r>
      <w:r>
        <w:rPr>
          <w:color w:val="231F20"/>
        </w:rPr>
        <w:t>Royal</w:t>
      </w:r>
      <w:r>
        <w:rPr>
          <w:color w:val="231F20"/>
          <w:spacing w:val="-2"/>
        </w:rPr>
        <w:t> </w:t>
      </w:r>
      <w:r>
        <w:rPr>
          <w:color w:val="231F20"/>
        </w:rPr>
        <w:t>Bank</w:t>
      </w:r>
      <w:r>
        <w:rPr>
          <w:color w:val="231F20"/>
          <w:spacing w:val="-2"/>
        </w:rPr>
        <w:t> </w:t>
      </w:r>
      <w:r>
        <w:rPr>
          <w:color w:val="231F20"/>
        </w:rPr>
        <w:t>of</w:t>
      </w:r>
      <w:r>
        <w:rPr>
          <w:color w:val="231F20"/>
          <w:spacing w:val="-2"/>
        </w:rPr>
        <w:t> </w:t>
      </w:r>
      <w:r>
        <w:rPr>
          <w:color w:val="231F20"/>
        </w:rPr>
        <w:t>Canada</w:t>
      </w:r>
      <w:r>
        <w:rPr>
          <w:color w:val="231F20"/>
          <w:spacing w:val="-2"/>
        </w:rPr>
        <w:t> </w:t>
      </w:r>
      <w:r>
        <w:rPr>
          <w:color w:val="231F20"/>
        </w:rPr>
        <w:t>to</w:t>
      </w:r>
      <w:r>
        <w:rPr>
          <w:color w:val="231F20"/>
          <w:spacing w:val="-2"/>
        </w:rPr>
        <w:t> </w:t>
      </w:r>
      <w:r>
        <w:rPr>
          <w:color w:val="231F20"/>
        </w:rPr>
        <w:t>accept payments from the Genetic Engineering &amp; Biotechnology Institute (“CIGB”) to patent agencies representing us in various</w:t>
      </w:r>
      <w:r>
        <w:rPr>
          <w:color w:val="231F20"/>
          <w:spacing w:val="-10"/>
        </w:rPr>
        <w:t> </w:t>
      </w:r>
      <w:r>
        <w:rPr>
          <w:color w:val="231F20"/>
        </w:rPr>
        <w:t>countries,</w:t>
      </w:r>
      <w:r>
        <w:rPr>
          <w:color w:val="231F20"/>
          <w:spacing w:val="-10"/>
        </w:rPr>
        <w:t> </w:t>
      </w:r>
      <w:r>
        <w:rPr>
          <w:color w:val="231F20"/>
        </w:rPr>
        <w:t>which</w:t>
      </w:r>
      <w:r>
        <w:rPr>
          <w:color w:val="231F20"/>
          <w:spacing w:val="-10"/>
        </w:rPr>
        <w:t> </w:t>
      </w:r>
      <w:r>
        <w:rPr>
          <w:color w:val="231F20"/>
        </w:rPr>
        <w:t>affects</w:t>
      </w:r>
      <w:r>
        <w:rPr>
          <w:color w:val="231F20"/>
          <w:spacing w:val="-10"/>
        </w:rPr>
        <w:t> </w:t>
      </w:r>
      <w:r>
        <w:rPr>
          <w:color w:val="231F20"/>
        </w:rPr>
        <w:t>any</w:t>
      </w:r>
      <w:r>
        <w:rPr>
          <w:color w:val="231F20"/>
          <w:spacing w:val="-10"/>
        </w:rPr>
        <w:t> </w:t>
      </w:r>
      <w:r>
        <w:rPr>
          <w:color w:val="231F20"/>
        </w:rPr>
        <w:t>future negotiation, registration or marketing of our products abroad.</w:t>
      </w:r>
    </w:p>
    <w:p>
      <w:pPr>
        <w:pStyle w:val="BodyText"/>
        <w:spacing w:before="167"/>
        <w:ind w:left="1133"/>
      </w:pPr>
      <w:r>
        <w:rPr>
          <w:color w:val="231F20"/>
        </w:rPr>
        <w:t>Since 2021, three European banks have been refusing to effect transactions with Banco Financiero Internacional (BFI) or Banco Internacional de Comercio S.A. (BICSA),</w:t>
      </w:r>
      <w:r>
        <w:rPr>
          <w:color w:val="231F20"/>
          <w:spacing w:val="-16"/>
        </w:rPr>
        <w:t> </w:t>
      </w:r>
      <w:r>
        <w:rPr>
          <w:color w:val="231F20"/>
        </w:rPr>
        <w:t>resulting</w:t>
      </w:r>
      <w:r>
        <w:rPr>
          <w:color w:val="231F20"/>
          <w:spacing w:val="-16"/>
        </w:rPr>
        <w:t> </w:t>
      </w:r>
      <w:r>
        <w:rPr>
          <w:color w:val="231F20"/>
        </w:rPr>
        <w:t>in</w:t>
      </w:r>
      <w:r>
        <w:rPr>
          <w:color w:val="231F20"/>
          <w:spacing w:val="-16"/>
        </w:rPr>
        <w:t> </w:t>
      </w:r>
      <w:r>
        <w:rPr>
          <w:color w:val="231F20"/>
        </w:rPr>
        <w:t>a</w:t>
      </w:r>
      <w:r>
        <w:rPr>
          <w:color w:val="231F20"/>
          <w:spacing w:val="-16"/>
        </w:rPr>
        <w:t> </w:t>
      </w:r>
      <w:r>
        <w:rPr>
          <w:color w:val="231F20"/>
        </w:rPr>
        <w:t>supplier</w:t>
      </w:r>
      <w:r>
        <w:rPr>
          <w:color w:val="231F20"/>
          <w:spacing w:val="-16"/>
        </w:rPr>
        <w:t> </w:t>
      </w:r>
      <w:r>
        <w:rPr>
          <w:color w:val="231F20"/>
        </w:rPr>
        <w:t>suspending </w:t>
      </w:r>
      <w:r>
        <w:rPr>
          <w:color w:val="231F20"/>
          <w:spacing w:val="-4"/>
        </w:rPr>
        <w:t>technical</w:t>
      </w:r>
      <w:r>
        <w:rPr>
          <w:color w:val="231F20"/>
          <w:spacing w:val="-13"/>
        </w:rPr>
        <w:t> </w:t>
      </w:r>
      <w:r>
        <w:rPr>
          <w:color w:val="231F20"/>
          <w:spacing w:val="-4"/>
        </w:rPr>
        <w:t>services</w:t>
      </w:r>
      <w:r>
        <w:rPr>
          <w:color w:val="231F20"/>
          <w:spacing w:val="-12"/>
        </w:rPr>
        <w:t> </w:t>
      </w:r>
      <w:r>
        <w:rPr>
          <w:color w:val="231F20"/>
          <w:spacing w:val="-4"/>
        </w:rPr>
        <w:t>to</w:t>
      </w:r>
      <w:r>
        <w:rPr>
          <w:color w:val="231F20"/>
          <w:spacing w:val="-13"/>
        </w:rPr>
        <w:t> </w:t>
      </w:r>
      <w:r>
        <w:rPr>
          <w:color w:val="231F20"/>
          <w:spacing w:val="-4"/>
        </w:rPr>
        <w:t>the</w:t>
      </w:r>
      <w:r>
        <w:rPr>
          <w:color w:val="231F20"/>
          <w:spacing w:val="-12"/>
        </w:rPr>
        <w:t> </w:t>
      </w:r>
      <w:r>
        <w:rPr>
          <w:color w:val="231F20"/>
          <w:spacing w:val="-4"/>
        </w:rPr>
        <w:t>CIGB’s</w:t>
      </w:r>
      <w:r>
        <w:rPr>
          <w:color w:val="231F20"/>
          <w:spacing w:val="-13"/>
        </w:rPr>
        <w:t> </w:t>
      </w:r>
      <w:r>
        <w:rPr>
          <w:color w:val="231F20"/>
          <w:spacing w:val="-4"/>
        </w:rPr>
        <w:t>Mariel</w:t>
      </w:r>
      <w:r>
        <w:rPr>
          <w:color w:val="231F20"/>
          <w:spacing w:val="-12"/>
        </w:rPr>
        <w:t> </w:t>
      </w:r>
      <w:r>
        <w:rPr>
          <w:color w:val="231F20"/>
          <w:spacing w:val="-4"/>
        </w:rPr>
        <w:t>plant, </w:t>
      </w:r>
      <w:r>
        <w:rPr>
          <w:color w:val="231F20"/>
          <w:spacing w:val="-2"/>
        </w:rPr>
        <w:t>which</w:t>
      </w:r>
      <w:r>
        <w:rPr>
          <w:color w:val="231F20"/>
          <w:spacing w:val="-12"/>
        </w:rPr>
        <w:t> </w:t>
      </w:r>
      <w:r>
        <w:rPr>
          <w:color w:val="231F20"/>
          <w:spacing w:val="-2"/>
        </w:rPr>
        <w:t>produces</w:t>
      </w:r>
      <w:r>
        <w:rPr>
          <w:color w:val="231F20"/>
          <w:spacing w:val="-12"/>
        </w:rPr>
        <w:t> </w:t>
      </w:r>
      <w:r>
        <w:rPr>
          <w:color w:val="231F20"/>
          <w:spacing w:val="-2"/>
        </w:rPr>
        <w:t>the</w:t>
      </w:r>
      <w:r>
        <w:rPr>
          <w:color w:val="231F20"/>
          <w:spacing w:val="-12"/>
        </w:rPr>
        <w:t> </w:t>
      </w:r>
      <w:r>
        <w:rPr>
          <w:color w:val="231F20"/>
          <w:spacing w:val="-2"/>
        </w:rPr>
        <w:t>Abdala</w:t>
      </w:r>
      <w:r>
        <w:rPr>
          <w:color w:val="231F20"/>
          <w:spacing w:val="-12"/>
        </w:rPr>
        <w:t> </w:t>
      </w:r>
      <w:r>
        <w:rPr>
          <w:color w:val="231F20"/>
          <w:spacing w:val="-2"/>
        </w:rPr>
        <w:t>anti-COVID-19 </w:t>
      </w:r>
      <w:r>
        <w:rPr>
          <w:color w:val="231F20"/>
        </w:rPr>
        <w:t>vaccine on an industrial scale.</w:t>
      </w:r>
    </w:p>
    <w:p>
      <w:pPr>
        <w:pStyle w:val="BodyText"/>
        <w:spacing w:before="166"/>
        <w:ind w:left="1133"/>
      </w:pPr>
      <w:r>
        <w:rPr>
          <w:color w:val="231F20"/>
          <w:spacing w:val="-4"/>
        </w:rPr>
        <w:t>Another</w:t>
      </w:r>
      <w:r>
        <w:rPr>
          <w:color w:val="231F20"/>
          <w:spacing w:val="-13"/>
        </w:rPr>
        <w:t> </w:t>
      </w:r>
      <w:r>
        <w:rPr>
          <w:color w:val="231F20"/>
          <w:spacing w:val="-4"/>
        </w:rPr>
        <w:t>factor</w:t>
      </w:r>
      <w:r>
        <w:rPr>
          <w:color w:val="231F20"/>
          <w:spacing w:val="-12"/>
        </w:rPr>
        <w:t> </w:t>
      </w:r>
      <w:r>
        <w:rPr>
          <w:color w:val="231F20"/>
          <w:spacing w:val="-4"/>
        </w:rPr>
        <w:t>is</w:t>
      </w:r>
      <w:r>
        <w:rPr>
          <w:color w:val="231F20"/>
          <w:spacing w:val="-13"/>
        </w:rPr>
        <w:t> </w:t>
      </w:r>
      <w:r>
        <w:rPr>
          <w:color w:val="231F20"/>
          <w:spacing w:val="-4"/>
        </w:rPr>
        <w:t>the</w:t>
      </w:r>
      <w:r>
        <w:rPr>
          <w:color w:val="231F20"/>
          <w:spacing w:val="-12"/>
        </w:rPr>
        <w:t> </w:t>
      </w:r>
      <w:r>
        <w:rPr>
          <w:color w:val="231F20"/>
          <w:spacing w:val="-4"/>
        </w:rPr>
        <w:t>perception</w:t>
      </w:r>
      <w:r>
        <w:rPr>
          <w:color w:val="231F20"/>
          <w:spacing w:val="-13"/>
        </w:rPr>
        <w:t> </w:t>
      </w:r>
      <w:r>
        <w:rPr>
          <w:color w:val="231F20"/>
          <w:spacing w:val="-4"/>
        </w:rPr>
        <w:t>of</w:t>
      </w:r>
      <w:r>
        <w:rPr>
          <w:color w:val="231F20"/>
          <w:spacing w:val="-12"/>
        </w:rPr>
        <w:t> </w:t>
      </w:r>
      <w:r>
        <w:rPr>
          <w:color w:val="231F20"/>
          <w:spacing w:val="-4"/>
        </w:rPr>
        <w:t>high</w:t>
      </w:r>
      <w:r>
        <w:rPr>
          <w:color w:val="231F20"/>
          <w:spacing w:val="-13"/>
        </w:rPr>
        <w:t> </w:t>
      </w:r>
      <w:r>
        <w:rPr>
          <w:color w:val="231F20"/>
          <w:spacing w:val="-4"/>
        </w:rPr>
        <w:t>risk </w:t>
      </w:r>
      <w:r>
        <w:rPr>
          <w:color w:val="231F20"/>
        </w:rPr>
        <w:t>on the part of U.S. companies as regards negotiations on and future marketing of </w:t>
      </w:r>
      <w:r>
        <w:rPr>
          <w:color w:val="231F20"/>
          <w:spacing w:val="-2"/>
        </w:rPr>
        <w:t>the</w:t>
      </w:r>
      <w:r>
        <w:rPr>
          <w:color w:val="231F20"/>
          <w:spacing w:val="-12"/>
        </w:rPr>
        <w:t> </w:t>
      </w:r>
      <w:r>
        <w:rPr>
          <w:color w:val="231F20"/>
          <w:spacing w:val="-2"/>
        </w:rPr>
        <w:t>Cuban</w:t>
      </w:r>
      <w:r>
        <w:rPr>
          <w:color w:val="231F20"/>
          <w:spacing w:val="-12"/>
        </w:rPr>
        <w:t> </w:t>
      </w:r>
      <w:r>
        <w:rPr>
          <w:color w:val="231F20"/>
          <w:spacing w:val="-2"/>
        </w:rPr>
        <w:t>Heberprot-P</w:t>
      </w:r>
      <w:r>
        <w:rPr>
          <w:color w:val="231F20"/>
          <w:spacing w:val="-12"/>
        </w:rPr>
        <w:t> </w:t>
      </w:r>
      <w:r>
        <w:rPr>
          <w:color w:val="231F20"/>
          <w:spacing w:val="-2"/>
        </w:rPr>
        <w:t>product,</w:t>
      </w:r>
      <w:r>
        <w:rPr>
          <w:color w:val="231F20"/>
          <w:spacing w:val="-12"/>
        </w:rPr>
        <w:t> </w:t>
      </w:r>
      <w:r>
        <w:rPr>
          <w:color w:val="231F20"/>
          <w:spacing w:val="-2"/>
        </w:rPr>
        <w:t>unique</w:t>
      </w:r>
      <w:r>
        <w:rPr>
          <w:color w:val="231F20"/>
          <w:spacing w:val="-12"/>
        </w:rPr>
        <w:t> </w:t>
      </w:r>
      <w:r>
        <w:rPr>
          <w:color w:val="231F20"/>
          <w:spacing w:val="-2"/>
        </w:rPr>
        <w:t>of </w:t>
      </w:r>
      <w:r>
        <w:rPr>
          <w:color w:val="231F20"/>
        </w:rPr>
        <w:t>its kind in the world for the treatment of diabetic</w:t>
      </w:r>
      <w:r>
        <w:rPr>
          <w:color w:val="231F20"/>
          <w:spacing w:val="-17"/>
        </w:rPr>
        <w:t> </w:t>
      </w:r>
      <w:r>
        <w:rPr>
          <w:color w:val="231F20"/>
        </w:rPr>
        <w:t>foot</w:t>
      </w:r>
      <w:r>
        <w:rPr>
          <w:color w:val="231F20"/>
          <w:spacing w:val="-16"/>
        </w:rPr>
        <w:t> </w:t>
      </w:r>
      <w:r>
        <w:rPr>
          <w:color w:val="231F20"/>
        </w:rPr>
        <w:t>ulcers,</w:t>
      </w:r>
      <w:r>
        <w:rPr>
          <w:color w:val="231F20"/>
          <w:spacing w:val="-17"/>
        </w:rPr>
        <w:t> </w:t>
      </w:r>
      <w:r>
        <w:rPr>
          <w:color w:val="231F20"/>
        </w:rPr>
        <w:t>reducing</w:t>
      </w:r>
      <w:r>
        <w:rPr>
          <w:color w:val="231F20"/>
          <w:spacing w:val="-16"/>
        </w:rPr>
        <w:t> </w:t>
      </w:r>
      <w:r>
        <w:rPr>
          <w:color w:val="231F20"/>
        </w:rPr>
        <w:t>the</w:t>
      </w:r>
      <w:r>
        <w:rPr>
          <w:color w:val="231F20"/>
          <w:spacing w:val="-17"/>
        </w:rPr>
        <w:t> </w:t>
      </w:r>
      <w:r>
        <w:rPr>
          <w:color w:val="231F20"/>
        </w:rPr>
        <w:t>numbers of</w:t>
      </w:r>
      <w:r>
        <w:rPr>
          <w:color w:val="231F20"/>
          <w:spacing w:val="-17"/>
        </w:rPr>
        <w:t> </w:t>
      </w:r>
      <w:r>
        <w:rPr>
          <w:color w:val="231F20"/>
        </w:rPr>
        <w:t>amputations</w:t>
      </w:r>
      <w:r>
        <w:rPr>
          <w:color w:val="231F20"/>
          <w:spacing w:val="-16"/>
        </w:rPr>
        <w:t> </w:t>
      </w:r>
      <w:r>
        <w:rPr>
          <w:color w:val="231F20"/>
        </w:rPr>
        <w:t>related</w:t>
      </w:r>
      <w:r>
        <w:rPr>
          <w:color w:val="231F20"/>
          <w:spacing w:val="-17"/>
        </w:rPr>
        <w:t> </w:t>
      </w:r>
      <w:r>
        <w:rPr>
          <w:color w:val="231F20"/>
        </w:rPr>
        <w:t>this</w:t>
      </w:r>
      <w:r>
        <w:rPr>
          <w:color w:val="231F20"/>
          <w:spacing w:val="-16"/>
        </w:rPr>
        <w:t> </w:t>
      </w:r>
      <w:r>
        <w:rPr>
          <w:color w:val="231F20"/>
        </w:rPr>
        <w:t>condition.</w:t>
      </w:r>
      <w:r>
        <w:rPr>
          <w:color w:val="231F20"/>
          <w:spacing w:val="-17"/>
        </w:rPr>
        <w:t> </w:t>
      </w:r>
      <w:r>
        <w:rPr>
          <w:color w:val="231F20"/>
        </w:rPr>
        <w:t>Had it been possible to export this product to the</w:t>
      </w:r>
      <w:r>
        <w:rPr>
          <w:color w:val="231F20"/>
          <w:spacing w:val="40"/>
        </w:rPr>
        <w:t> </w:t>
      </w:r>
      <w:r>
        <w:rPr>
          <w:color w:val="231F20"/>
        </w:rPr>
        <w:t>U.S.</w:t>
      </w:r>
      <w:r>
        <w:rPr>
          <w:color w:val="231F20"/>
          <w:spacing w:val="40"/>
        </w:rPr>
        <w:t> </w:t>
      </w:r>
      <w:r>
        <w:rPr>
          <w:color w:val="231F20"/>
        </w:rPr>
        <w:t>market,</w:t>
      </w:r>
      <w:r>
        <w:rPr>
          <w:color w:val="231F20"/>
          <w:spacing w:val="40"/>
        </w:rPr>
        <w:t> </w:t>
      </w:r>
      <w:r>
        <w:rPr>
          <w:color w:val="231F20"/>
        </w:rPr>
        <w:t>the</w:t>
      </w:r>
      <w:r>
        <w:rPr>
          <w:color w:val="231F20"/>
          <w:spacing w:val="40"/>
        </w:rPr>
        <w:t> </w:t>
      </w:r>
      <w:r>
        <w:rPr>
          <w:color w:val="231F20"/>
        </w:rPr>
        <w:t>resulting</w:t>
      </w:r>
      <w:r>
        <w:rPr>
          <w:color w:val="231F20"/>
          <w:spacing w:val="40"/>
        </w:rPr>
        <w:t> </w:t>
      </w:r>
      <w:r>
        <w:rPr>
          <w:color w:val="231F20"/>
        </w:rPr>
        <w:t>revenues in the period under review would have amounted to some USD 105,000,000.</w:t>
      </w:r>
    </w:p>
    <w:p>
      <w:pPr>
        <w:spacing w:before="168"/>
        <w:ind w:left="1133" w:right="4" w:firstLine="0"/>
        <w:jc w:val="both"/>
        <w:rPr>
          <w:rFonts w:ascii="Segoe UI Semibold" w:hAnsi="Segoe UI Semibold"/>
          <w:b/>
          <w:i/>
          <w:sz w:val="24"/>
        </w:rPr>
      </w:pPr>
      <w:r>
        <w:rPr>
          <w:rFonts w:ascii="Segoe UI Semibold" w:hAnsi="Segoe UI Semibold"/>
          <w:b/>
          <w:i/>
          <w:color w:val="231F20"/>
          <w:sz w:val="24"/>
        </w:rPr>
        <w:t>The</w:t>
      </w:r>
      <w:r>
        <w:rPr>
          <w:rFonts w:ascii="Segoe UI Semibold" w:hAnsi="Segoe UI Semibold"/>
          <w:b/>
          <w:i/>
          <w:color w:val="231F20"/>
          <w:spacing w:val="-10"/>
          <w:sz w:val="24"/>
        </w:rPr>
        <w:t> </w:t>
      </w:r>
      <w:r>
        <w:rPr>
          <w:rFonts w:ascii="Segoe UI Semibold" w:hAnsi="Segoe UI Semibold"/>
          <w:b/>
          <w:i/>
          <w:color w:val="231F20"/>
          <w:sz w:val="24"/>
        </w:rPr>
        <w:t>damage</w:t>
      </w:r>
      <w:r>
        <w:rPr>
          <w:rFonts w:ascii="Segoe UI Semibold" w:hAnsi="Segoe UI Semibold"/>
          <w:b/>
          <w:i/>
          <w:color w:val="231F20"/>
          <w:spacing w:val="-10"/>
          <w:sz w:val="24"/>
        </w:rPr>
        <w:t> </w:t>
      </w:r>
      <w:r>
        <w:rPr>
          <w:rFonts w:ascii="Segoe UI Semibold" w:hAnsi="Segoe UI Semibold"/>
          <w:b/>
          <w:i/>
          <w:color w:val="231F20"/>
          <w:sz w:val="24"/>
        </w:rPr>
        <w:t>to</w:t>
      </w:r>
      <w:r>
        <w:rPr>
          <w:rFonts w:ascii="Segoe UI Semibold" w:hAnsi="Segoe UI Semibold"/>
          <w:b/>
          <w:i/>
          <w:color w:val="231F20"/>
          <w:spacing w:val="-10"/>
          <w:sz w:val="24"/>
        </w:rPr>
        <w:t> </w:t>
      </w:r>
      <w:r>
        <w:rPr>
          <w:rFonts w:ascii="Segoe UI Semibold" w:hAnsi="Segoe UI Semibold"/>
          <w:b/>
          <w:i/>
          <w:color w:val="231F20"/>
          <w:sz w:val="24"/>
        </w:rPr>
        <w:t>Cuba’s</w:t>
      </w:r>
      <w:r>
        <w:rPr>
          <w:rFonts w:ascii="Segoe UI Semibold" w:hAnsi="Segoe UI Semibold"/>
          <w:b/>
          <w:i/>
          <w:color w:val="231F20"/>
          <w:spacing w:val="-10"/>
          <w:sz w:val="24"/>
        </w:rPr>
        <w:t> </w:t>
      </w:r>
      <w:r>
        <w:rPr>
          <w:rFonts w:ascii="Segoe UI Semibold" w:hAnsi="Segoe UI Semibold"/>
          <w:b/>
          <w:i/>
          <w:color w:val="231F20"/>
          <w:sz w:val="24"/>
        </w:rPr>
        <w:t>economy</w:t>
      </w:r>
      <w:r>
        <w:rPr>
          <w:rFonts w:ascii="Segoe UI Semibold" w:hAnsi="Segoe UI Semibold"/>
          <w:b/>
          <w:i/>
          <w:color w:val="231F20"/>
          <w:spacing w:val="-10"/>
          <w:sz w:val="24"/>
        </w:rPr>
        <w:t> </w:t>
      </w:r>
      <w:r>
        <w:rPr>
          <w:rFonts w:ascii="Segoe UI Semibold" w:hAnsi="Segoe UI Semibold"/>
          <w:b/>
          <w:i/>
          <w:color w:val="231F20"/>
          <w:sz w:val="24"/>
        </w:rPr>
        <w:t>from</w:t>
      </w:r>
      <w:r>
        <w:rPr>
          <w:rFonts w:ascii="Segoe UI Semibold" w:hAnsi="Segoe UI Semibold"/>
          <w:b/>
          <w:i/>
          <w:color w:val="231F20"/>
          <w:spacing w:val="-10"/>
          <w:sz w:val="24"/>
        </w:rPr>
        <w:t> </w:t>
      </w:r>
      <w:r>
        <w:rPr>
          <w:rFonts w:ascii="Segoe UI Semibold" w:hAnsi="Segoe UI Semibold"/>
          <w:b/>
          <w:i/>
          <w:color w:val="231F20"/>
          <w:sz w:val="24"/>
        </w:rPr>
        <w:t>the</w:t>
      </w:r>
      <w:r>
        <w:rPr>
          <w:rFonts w:ascii="Segoe UI Semibold" w:hAnsi="Segoe UI Semibold"/>
          <w:b/>
          <w:i/>
          <w:color w:val="231F20"/>
          <w:sz w:val="24"/>
        </w:rPr>
        <w:t> blockade in </w:t>
      </w:r>
      <w:r>
        <w:rPr>
          <w:b/>
          <w:i/>
          <w:color w:val="B52628"/>
          <w:sz w:val="24"/>
        </w:rPr>
        <w:t>the communications and</w:t>
      </w:r>
      <w:r>
        <w:rPr>
          <w:b/>
          <w:i/>
          <w:color w:val="B52628"/>
          <w:sz w:val="24"/>
        </w:rPr>
        <w:t> </w:t>
      </w:r>
      <w:r>
        <w:rPr>
          <w:b/>
          <w:i/>
          <w:color w:val="B52628"/>
          <w:spacing w:val="-2"/>
          <w:sz w:val="24"/>
        </w:rPr>
        <w:t>information</w:t>
      </w:r>
      <w:r>
        <w:rPr>
          <w:b/>
          <w:i/>
          <w:color w:val="B52628"/>
          <w:spacing w:val="-15"/>
          <w:sz w:val="24"/>
        </w:rPr>
        <w:t> </w:t>
      </w:r>
      <w:r>
        <w:rPr>
          <w:b/>
          <w:i/>
          <w:color w:val="B52628"/>
          <w:spacing w:val="-2"/>
          <w:sz w:val="24"/>
        </w:rPr>
        <w:t>technology</w:t>
      </w:r>
      <w:r>
        <w:rPr>
          <w:b/>
          <w:i/>
          <w:color w:val="B52628"/>
          <w:spacing w:val="-14"/>
          <w:sz w:val="24"/>
        </w:rPr>
        <w:t> </w:t>
      </w:r>
      <w:r>
        <w:rPr>
          <w:b/>
          <w:i/>
          <w:color w:val="B52628"/>
          <w:spacing w:val="-2"/>
          <w:sz w:val="24"/>
        </w:rPr>
        <w:t>sector</w:t>
      </w:r>
      <w:r>
        <w:rPr>
          <w:rFonts w:ascii="Segoe UI Semibold" w:hAnsi="Segoe UI Semibold"/>
          <w:b/>
          <w:i/>
          <w:color w:val="231F20"/>
          <w:spacing w:val="-2"/>
          <w:sz w:val="24"/>
        </w:rPr>
        <w:t>,</w:t>
      </w:r>
      <w:r>
        <w:rPr>
          <w:rFonts w:ascii="Segoe UI Semibold" w:hAnsi="Segoe UI Semibold"/>
          <w:b/>
          <w:i/>
          <w:color w:val="231F20"/>
          <w:spacing w:val="-15"/>
          <w:sz w:val="24"/>
        </w:rPr>
        <w:t> </w:t>
      </w:r>
      <w:r>
        <w:rPr>
          <w:rFonts w:ascii="Segoe UI Semibold" w:hAnsi="Segoe UI Semibold"/>
          <w:b/>
          <w:i/>
          <w:color w:val="231F20"/>
          <w:spacing w:val="-2"/>
          <w:sz w:val="24"/>
        </w:rPr>
        <w:t>including</w:t>
      </w:r>
      <w:r>
        <w:rPr>
          <w:rFonts w:ascii="Segoe UI Semibold" w:hAnsi="Segoe UI Semibold"/>
          <w:b/>
          <w:i/>
          <w:color w:val="231F20"/>
          <w:spacing w:val="-2"/>
          <w:sz w:val="24"/>
        </w:rPr>
        <w:t> </w:t>
      </w:r>
      <w:r>
        <w:rPr>
          <w:rFonts w:ascii="Segoe UI Semibold" w:hAnsi="Segoe UI Semibold"/>
          <w:b/>
          <w:i/>
          <w:color w:val="231F20"/>
          <w:sz w:val="24"/>
        </w:rPr>
        <w:t>telecommunications, in the period from March</w:t>
      </w:r>
      <w:r>
        <w:rPr>
          <w:rFonts w:ascii="Segoe UI Semibold" w:hAnsi="Segoe UI Semibold"/>
          <w:b/>
          <w:i/>
          <w:color w:val="231F20"/>
          <w:spacing w:val="-11"/>
          <w:sz w:val="24"/>
        </w:rPr>
        <w:t> </w:t>
      </w:r>
      <w:r>
        <w:rPr>
          <w:rFonts w:ascii="Segoe UI Semibold" w:hAnsi="Segoe UI Semibold"/>
          <w:b/>
          <w:i/>
          <w:color w:val="231F20"/>
          <w:sz w:val="24"/>
        </w:rPr>
        <w:t>2022</w:t>
      </w:r>
      <w:r>
        <w:rPr>
          <w:rFonts w:ascii="Segoe UI Semibold" w:hAnsi="Segoe UI Semibold"/>
          <w:b/>
          <w:i/>
          <w:color w:val="231F20"/>
          <w:spacing w:val="-10"/>
          <w:sz w:val="24"/>
        </w:rPr>
        <w:t> </w:t>
      </w:r>
      <w:r>
        <w:rPr>
          <w:rFonts w:ascii="Segoe UI Semibold" w:hAnsi="Segoe UI Semibold"/>
          <w:b/>
          <w:i/>
          <w:color w:val="231F20"/>
          <w:sz w:val="24"/>
        </w:rPr>
        <w:t>to</w:t>
      </w:r>
      <w:r>
        <w:rPr>
          <w:rFonts w:ascii="Segoe UI Semibold" w:hAnsi="Segoe UI Semibold"/>
          <w:b/>
          <w:i/>
          <w:color w:val="231F20"/>
          <w:spacing w:val="-10"/>
          <w:sz w:val="24"/>
        </w:rPr>
        <w:t> </w:t>
      </w:r>
      <w:r>
        <w:rPr>
          <w:rFonts w:ascii="Segoe UI Semibold" w:hAnsi="Segoe UI Semibold"/>
          <w:b/>
          <w:i/>
          <w:color w:val="231F20"/>
          <w:sz w:val="24"/>
        </w:rPr>
        <w:t>February</w:t>
      </w:r>
      <w:r>
        <w:rPr>
          <w:rFonts w:ascii="Segoe UI Semibold" w:hAnsi="Segoe UI Semibold"/>
          <w:b/>
          <w:i/>
          <w:color w:val="231F20"/>
          <w:spacing w:val="-10"/>
          <w:sz w:val="24"/>
        </w:rPr>
        <w:t> </w:t>
      </w:r>
      <w:r>
        <w:rPr>
          <w:rFonts w:ascii="Segoe UI Semibold" w:hAnsi="Segoe UI Semibold"/>
          <w:b/>
          <w:i/>
          <w:color w:val="231F20"/>
          <w:sz w:val="24"/>
        </w:rPr>
        <w:t>2023</w:t>
      </w:r>
      <w:r>
        <w:rPr>
          <w:rFonts w:ascii="Segoe UI Semibold" w:hAnsi="Segoe UI Semibold"/>
          <w:b/>
          <w:i/>
          <w:color w:val="231F20"/>
          <w:spacing w:val="-10"/>
          <w:sz w:val="24"/>
        </w:rPr>
        <w:t> </w:t>
      </w:r>
      <w:r>
        <w:rPr>
          <w:rFonts w:ascii="Segoe UI Semibold" w:hAnsi="Segoe UI Semibold"/>
          <w:b/>
          <w:i/>
          <w:color w:val="231F20"/>
          <w:sz w:val="24"/>
        </w:rPr>
        <w:t>is</w:t>
      </w:r>
      <w:r>
        <w:rPr>
          <w:rFonts w:ascii="Segoe UI Semibold" w:hAnsi="Segoe UI Semibold"/>
          <w:b/>
          <w:i/>
          <w:color w:val="231F20"/>
          <w:spacing w:val="-10"/>
          <w:sz w:val="24"/>
        </w:rPr>
        <w:t> </w:t>
      </w:r>
      <w:r>
        <w:rPr>
          <w:rFonts w:ascii="Segoe UI Semibold" w:hAnsi="Segoe UI Semibold"/>
          <w:b/>
          <w:i/>
          <w:color w:val="231F20"/>
          <w:spacing w:val="-7"/>
          <w:sz w:val="24"/>
        </w:rPr>
        <w:t>quantified</w:t>
      </w:r>
    </w:p>
    <w:p>
      <w:pPr>
        <w:spacing w:before="76"/>
        <w:ind w:left="414" w:right="1473" w:firstLine="0"/>
        <w:jc w:val="both"/>
        <w:rPr>
          <w:rFonts w:ascii="Segoe UI Semibold"/>
          <w:b/>
          <w:i/>
          <w:sz w:val="24"/>
        </w:rPr>
      </w:pPr>
      <w:r>
        <w:rPr/>
        <w:br w:type="column"/>
      </w:r>
      <w:r>
        <w:rPr>
          <w:rFonts w:ascii="Segoe UI Semibold"/>
          <w:b/>
          <w:i/>
          <w:color w:val="231F20"/>
          <w:spacing w:val="-4"/>
          <w:sz w:val="24"/>
        </w:rPr>
        <w:t>at</w:t>
      </w:r>
      <w:r>
        <w:rPr>
          <w:rFonts w:ascii="Segoe UI Semibold"/>
          <w:b/>
          <w:i/>
          <w:color w:val="231F20"/>
          <w:spacing w:val="-13"/>
          <w:sz w:val="24"/>
        </w:rPr>
        <w:t> </w:t>
      </w:r>
      <w:r>
        <w:rPr>
          <w:rFonts w:ascii="Segoe UI Semibold"/>
          <w:b/>
          <w:i/>
          <w:color w:val="231F20"/>
          <w:spacing w:val="-4"/>
          <w:sz w:val="24"/>
        </w:rPr>
        <w:t>an</w:t>
      </w:r>
      <w:r>
        <w:rPr>
          <w:rFonts w:ascii="Segoe UI Semibold"/>
          <w:b/>
          <w:i/>
          <w:color w:val="231F20"/>
          <w:spacing w:val="-12"/>
          <w:sz w:val="24"/>
        </w:rPr>
        <w:t> </w:t>
      </w:r>
      <w:r>
        <w:rPr>
          <w:rFonts w:ascii="Segoe UI Semibold"/>
          <w:b/>
          <w:i/>
          <w:color w:val="231F20"/>
          <w:spacing w:val="-4"/>
          <w:sz w:val="24"/>
        </w:rPr>
        <w:t>estimated</w:t>
      </w:r>
      <w:r>
        <w:rPr>
          <w:rFonts w:ascii="Segoe UI Semibold"/>
          <w:b/>
          <w:i/>
          <w:color w:val="231F20"/>
          <w:spacing w:val="-13"/>
          <w:sz w:val="24"/>
        </w:rPr>
        <w:t> </w:t>
      </w:r>
      <w:r>
        <w:rPr>
          <w:b/>
          <w:i/>
          <w:color w:val="231F20"/>
          <w:spacing w:val="-4"/>
          <w:sz w:val="24"/>
        </w:rPr>
        <w:t>USD</w:t>
      </w:r>
      <w:r>
        <w:rPr>
          <w:b/>
          <w:i/>
          <w:color w:val="231F20"/>
          <w:spacing w:val="-12"/>
          <w:sz w:val="24"/>
        </w:rPr>
        <w:t> </w:t>
      </w:r>
      <w:r>
        <w:rPr>
          <w:b/>
          <w:i/>
          <w:color w:val="231F20"/>
          <w:spacing w:val="-4"/>
          <w:sz w:val="24"/>
        </w:rPr>
        <w:t>41,270,050</w:t>
      </w:r>
      <w:r>
        <w:rPr>
          <w:rFonts w:ascii="Segoe UI Semibold"/>
          <w:b/>
          <w:i/>
          <w:color w:val="231F20"/>
          <w:spacing w:val="-4"/>
          <w:sz w:val="24"/>
        </w:rPr>
        <w:t>.</w:t>
      </w:r>
      <w:r>
        <w:rPr>
          <w:rFonts w:ascii="Segoe UI Semibold"/>
          <w:b/>
          <w:i/>
          <w:color w:val="231F20"/>
          <w:spacing w:val="-13"/>
          <w:sz w:val="24"/>
        </w:rPr>
        <w:t> </w:t>
      </w:r>
      <w:r>
        <w:rPr>
          <w:rFonts w:ascii="Segoe UI Semibold"/>
          <w:b/>
          <w:i/>
          <w:color w:val="231F20"/>
          <w:spacing w:val="-4"/>
          <w:sz w:val="24"/>
        </w:rPr>
        <w:t>As</w:t>
      </w:r>
      <w:r>
        <w:rPr>
          <w:rFonts w:ascii="Segoe UI Semibold"/>
          <w:b/>
          <w:i/>
          <w:color w:val="231F20"/>
          <w:spacing w:val="-12"/>
          <w:sz w:val="24"/>
        </w:rPr>
        <w:t> </w:t>
      </w:r>
      <w:r>
        <w:rPr>
          <w:rFonts w:ascii="Segoe UI Semibold"/>
          <w:b/>
          <w:i/>
          <w:color w:val="231F20"/>
          <w:spacing w:val="-4"/>
          <w:sz w:val="24"/>
        </w:rPr>
        <w:t>in</w:t>
      </w:r>
      <w:r>
        <w:rPr>
          <w:rFonts w:ascii="Segoe UI Semibold"/>
          <w:b/>
          <w:i/>
          <w:color w:val="231F20"/>
          <w:spacing w:val="-13"/>
          <w:sz w:val="24"/>
        </w:rPr>
        <w:t> </w:t>
      </w:r>
      <w:r>
        <w:rPr>
          <w:rFonts w:ascii="Segoe UI Semibold"/>
          <w:b/>
          <w:i/>
          <w:color w:val="231F20"/>
          <w:spacing w:val="-4"/>
          <w:sz w:val="24"/>
        </w:rPr>
        <w:t>the</w:t>
      </w:r>
      <w:r>
        <w:rPr>
          <w:rFonts w:ascii="Segoe UI Semibold"/>
          <w:b/>
          <w:i/>
          <w:color w:val="231F20"/>
          <w:spacing w:val="-4"/>
          <w:sz w:val="24"/>
        </w:rPr>
        <w:t> </w:t>
      </w:r>
      <w:r>
        <w:rPr>
          <w:rFonts w:ascii="Segoe UI Semibold"/>
          <w:b/>
          <w:i/>
          <w:color w:val="231F20"/>
          <w:sz w:val="24"/>
        </w:rPr>
        <w:t>previous</w:t>
      </w:r>
      <w:r>
        <w:rPr>
          <w:rFonts w:ascii="Segoe UI Semibold"/>
          <w:b/>
          <w:i/>
          <w:color w:val="231F20"/>
          <w:spacing w:val="-17"/>
          <w:sz w:val="24"/>
        </w:rPr>
        <w:t> </w:t>
      </w:r>
      <w:r>
        <w:rPr>
          <w:rFonts w:ascii="Segoe UI Semibold"/>
          <w:b/>
          <w:i/>
          <w:color w:val="231F20"/>
          <w:sz w:val="24"/>
        </w:rPr>
        <w:t>stages,</w:t>
      </w:r>
      <w:r>
        <w:rPr>
          <w:rFonts w:ascii="Segoe UI Semibold"/>
          <w:b/>
          <w:i/>
          <w:color w:val="231F20"/>
          <w:spacing w:val="-16"/>
          <w:sz w:val="24"/>
        </w:rPr>
        <w:t> </w:t>
      </w:r>
      <w:r>
        <w:rPr>
          <w:rFonts w:ascii="Segoe UI Semibold"/>
          <w:b/>
          <w:i/>
          <w:color w:val="231F20"/>
          <w:sz w:val="24"/>
        </w:rPr>
        <w:t>ETECSA</w:t>
      </w:r>
      <w:r>
        <w:rPr>
          <w:rFonts w:ascii="Segoe UI Semibold"/>
          <w:b/>
          <w:i/>
          <w:color w:val="231F20"/>
          <w:spacing w:val="-17"/>
          <w:sz w:val="24"/>
        </w:rPr>
        <w:t> </w:t>
      </w:r>
      <w:r>
        <w:rPr>
          <w:rFonts w:ascii="Segoe UI Semibold"/>
          <w:b/>
          <w:i/>
          <w:color w:val="231F20"/>
          <w:sz w:val="24"/>
        </w:rPr>
        <w:t>bore</w:t>
      </w:r>
      <w:r>
        <w:rPr>
          <w:rFonts w:ascii="Segoe UI Semibold"/>
          <w:b/>
          <w:i/>
          <w:color w:val="231F20"/>
          <w:spacing w:val="-16"/>
          <w:sz w:val="24"/>
        </w:rPr>
        <w:t> </w:t>
      </w:r>
      <w:r>
        <w:rPr>
          <w:rFonts w:ascii="Segoe UI Semibold"/>
          <w:b/>
          <w:i/>
          <w:color w:val="231F20"/>
          <w:sz w:val="24"/>
        </w:rPr>
        <w:t>the</w:t>
      </w:r>
      <w:r>
        <w:rPr>
          <w:rFonts w:ascii="Segoe UI Semibold"/>
          <w:b/>
          <w:i/>
          <w:color w:val="231F20"/>
          <w:spacing w:val="-17"/>
          <w:sz w:val="24"/>
        </w:rPr>
        <w:t> </w:t>
      </w:r>
      <w:r>
        <w:rPr>
          <w:rFonts w:ascii="Segoe UI Semibold"/>
          <w:b/>
          <w:i/>
          <w:color w:val="231F20"/>
          <w:sz w:val="24"/>
        </w:rPr>
        <w:t>brunt</w:t>
      </w:r>
      <w:r>
        <w:rPr>
          <w:rFonts w:ascii="Segoe UI Semibold"/>
          <w:b/>
          <w:i/>
          <w:color w:val="231F20"/>
          <w:spacing w:val="-16"/>
          <w:sz w:val="24"/>
        </w:rPr>
        <w:t> </w:t>
      </w:r>
      <w:r>
        <w:rPr>
          <w:rFonts w:ascii="Segoe UI Semibold"/>
          <w:b/>
          <w:i/>
          <w:color w:val="231F20"/>
          <w:sz w:val="24"/>
        </w:rPr>
        <w:t>of </w:t>
      </w:r>
      <w:r>
        <w:rPr>
          <w:rFonts w:ascii="Segoe UI Semibold"/>
          <w:b/>
          <w:i/>
          <w:color w:val="231F20"/>
          <w:spacing w:val="-10"/>
          <w:sz w:val="24"/>
        </w:rPr>
        <w:t>the</w:t>
      </w:r>
      <w:r>
        <w:rPr>
          <w:rFonts w:ascii="Segoe UI Semibold"/>
          <w:b/>
          <w:i/>
          <w:color w:val="231F20"/>
          <w:spacing w:val="-7"/>
          <w:sz w:val="24"/>
        </w:rPr>
        <w:t> </w:t>
      </w:r>
      <w:r>
        <w:rPr>
          <w:rFonts w:ascii="Segoe UI Semibold"/>
          <w:b/>
          <w:i/>
          <w:color w:val="231F20"/>
          <w:spacing w:val="-10"/>
          <w:sz w:val="24"/>
        </w:rPr>
        <w:t>losses,</w:t>
      </w:r>
      <w:r>
        <w:rPr>
          <w:rFonts w:ascii="Segoe UI Semibold"/>
          <w:b/>
          <w:i/>
          <w:color w:val="231F20"/>
          <w:spacing w:val="-6"/>
          <w:sz w:val="24"/>
        </w:rPr>
        <w:t> </w:t>
      </w:r>
      <w:r>
        <w:rPr>
          <w:rFonts w:ascii="Segoe UI Semibold"/>
          <w:b/>
          <w:i/>
          <w:color w:val="231F20"/>
          <w:spacing w:val="-10"/>
          <w:sz w:val="24"/>
        </w:rPr>
        <w:t>reporting</w:t>
      </w:r>
      <w:r>
        <w:rPr>
          <w:rFonts w:ascii="Segoe UI Semibold"/>
          <w:b/>
          <w:i/>
          <w:color w:val="231F20"/>
          <w:spacing w:val="-7"/>
          <w:sz w:val="24"/>
        </w:rPr>
        <w:t> </w:t>
      </w:r>
      <w:r>
        <w:rPr>
          <w:rFonts w:ascii="Segoe UI Semibold"/>
          <w:b/>
          <w:i/>
          <w:color w:val="231F20"/>
          <w:spacing w:val="-10"/>
          <w:sz w:val="24"/>
        </w:rPr>
        <w:t>these</w:t>
      </w:r>
      <w:r>
        <w:rPr>
          <w:rFonts w:ascii="Segoe UI Semibold"/>
          <w:b/>
          <w:i/>
          <w:color w:val="231F20"/>
          <w:spacing w:val="-6"/>
          <w:sz w:val="24"/>
        </w:rPr>
        <w:t> </w:t>
      </w:r>
      <w:r>
        <w:rPr>
          <w:rFonts w:ascii="Segoe UI Semibold"/>
          <w:b/>
          <w:i/>
          <w:color w:val="231F20"/>
          <w:spacing w:val="-10"/>
          <w:sz w:val="24"/>
        </w:rPr>
        <w:t>at</w:t>
      </w:r>
      <w:r>
        <w:rPr>
          <w:rFonts w:ascii="Segoe UI Semibold"/>
          <w:b/>
          <w:i/>
          <w:color w:val="231F20"/>
          <w:spacing w:val="-7"/>
          <w:sz w:val="24"/>
        </w:rPr>
        <w:t> </w:t>
      </w:r>
      <w:r>
        <w:rPr>
          <w:rFonts w:ascii="Segoe UI Semibold"/>
          <w:b/>
          <w:i/>
          <w:color w:val="231F20"/>
          <w:spacing w:val="-10"/>
          <w:sz w:val="24"/>
        </w:rPr>
        <w:t>USD</w:t>
      </w:r>
      <w:r>
        <w:rPr>
          <w:rFonts w:ascii="Segoe UI Semibold"/>
          <w:b/>
          <w:i/>
          <w:color w:val="231F20"/>
          <w:spacing w:val="-6"/>
          <w:sz w:val="24"/>
        </w:rPr>
        <w:t> </w:t>
      </w:r>
      <w:r>
        <w:rPr>
          <w:rFonts w:ascii="Segoe UI Semibold"/>
          <w:b/>
          <w:i/>
          <w:color w:val="231F20"/>
          <w:spacing w:val="-10"/>
          <w:sz w:val="24"/>
        </w:rPr>
        <w:t>40,901,400 </w:t>
      </w:r>
      <w:r>
        <w:rPr>
          <w:rFonts w:ascii="Segoe UI Semibold"/>
          <w:b/>
          <w:i/>
          <w:color w:val="231F20"/>
          <w:spacing w:val="-2"/>
          <w:sz w:val="24"/>
        </w:rPr>
        <w:t>(around</w:t>
      </w:r>
      <w:r>
        <w:rPr>
          <w:rFonts w:ascii="Segoe UI Semibold"/>
          <w:b/>
          <w:i/>
          <w:color w:val="231F20"/>
          <w:spacing w:val="-13"/>
          <w:sz w:val="24"/>
        </w:rPr>
        <w:t> </w:t>
      </w:r>
      <w:r>
        <w:rPr>
          <w:rFonts w:ascii="Segoe UI Semibold"/>
          <w:b/>
          <w:i/>
          <w:color w:val="231F20"/>
          <w:spacing w:val="-2"/>
          <w:sz w:val="24"/>
        </w:rPr>
        <w:t>99.1%</w:t>
      </w:r>
      <w:r>
        <w:rPr>
          <w:rFonts w:ascii="Segoe UI Semibold"/>
          <w:b/>
          <w:i/>
          <w:color w:val="231F20"/>
          <w:spacing w:val="-13"/>
          <w:sz w:val="24"/>
        </w:rPr>
        <w:t> </w:t>
      </w:r>
      <w:r>
        <w:rPr>
          <w:rFonts w:ascii="Segoe UI Semibold"/>
          <w:b/>
          <w:i/>
          <w:color w:val="231F20"/>
          <w:spacing w:val="-2"/>
          <w:sz w:val="24"/>
        </w:rPr>
        <w:t>of</w:t>
      </w:r>
      <w:r>
        <w:rPr>
          <w:rFonts w:ascii="Segoe UI Semibold"/>
          <w:b/>
          <w:i/>
          <w:color w:val="231F20"/>
          <w:spacing w:val="-13"/>
          <w:sz w:val="24"/>
        </w:rPr>
        <w:t> </w:t>
      </w:r>
      <w:r>
        <w:rPr>
          <w:rFonts w:ascii="Segoe UI Semibold"/>
          <w:b/>
          <w:i/>
          <w:color w:val="231F20"/>
          <w:spacing w:val="-2"/>
          <w:sz w:val="24"/>
        </w:rPr>
        <w:t>the</w:t>
      </w:r>
      <w:r>
        <w:rPr>
          <w:rFonts w:ascii="Segoe UI Semibold"/>
          <w:b/>
          <w:i/>
          <w:color w:val="231F20"/>
          <w:spacing w:val="-13"/>
          <w:sz w:val="24"/>
        </w:rPr>
        <w:t> </w:t>
      </w:r>
      <w:r>
        <w:rPr>
          <w:rFonts w:ascii="Segoe UI Semibold"/>
          <w:b/>
          <w:i/>
          <w:color w:val="231F20"/>
          <w:spacing w:val="-2"/>
          <w:sz w:val="24"/>
        </w:rPr>
        <w:t>sector</w:t>
      </w:r>
      <w:r>
        <w:rPr>
          <w:rFonts w:ascii="Segoe UI Semibold"/>
          <w:b/>
          <w:i/>
          <w:color w:val="231F20"/>
          <w:spacing w:val="-13"/>
          <w:sz w:val="24"/>
        </w:rPr>
        <w:t> </w:t>
      </w:r>
      <w:r>
        <w:rPr>
          <w:rFonts w:ascii="Segoe UI Semibold"/>
          <w:b/>
          <w:i/>
          <w:color w:val="231F20"/>
          <w:spacing w:val="-2"/>
          <w:sz w:val="24"/>
        </w:rPr>
        <w:t>total).</w:t>
      </w:r>
    </w:p>
    <w:p>
      <w:pPr>
        <w:pStyle w:val="BodyText"/>
        <w:spacing w:before="160"/>
        <w:ind w:left="414" w:right="1473"/>
      </w:pPr>
      <w:r>
        <w:rPr>
          <w:color w:val="231F20"/>
        </w:rPr>
        <w:t>Harassment and other pressures were maintained against organizations that have trading relations or interest in</w:t>
      </w:r>
      <w:r>
        <w:rPr>
          <w:color w:val="231F20"/>
          <w:spacing w:val="80"/>
        </w:rPr>
        <w:t> </w:t>
      </w:r>
      <w:r>
        <w:rPr>
          <w:color w:val="231F20"/>
        </w:rPr>
        <w:t>doing business with our communications enterprises, damaging the prospects for Cubans</w:t>
      </w:r>
      <w:r>
        <w:rPr>
          <w:color w:val="231F20"/>
          <w:spacing w:val="40"/>
        </w:rPr>
        <w:t> </w:t>
      </w:r>
      <w:r>
        <w:rPr>
          <w:color w:val="231F20"/>
        </w:rPr>
        <w:t>of</w:t>
      </w:r>
      <w:r>
        <w:rPr>
          <w:color w:val="231F20"/>
          <w:spacing w:val="40"/>
        </w:rPr>
        <w:t> </w:t>
      </w:r>
      <w:r>
        <w:rPr>
          <w:color w:val="231F20"/>
        </w:rPr>
        <w:t>an</w:t>
      </w:r>
      <w:r>
        <w:rPr>
          <w:color w:val="231F20"/>
          <w:spacing w:val="40"/>
        </w:rPr>
        <w:t> </w:t>
      </w:r>
      <w:r>
        <w:rPr>
          <w:color w:val="231F20"/>
        </w:rPr>
        <w:t>adequate</w:t>
      </w:r>
      <w:r>
        <w:rPr>
          <w:color w:val="231F20"/>
          <w:spacing w:val="40"/>
        </w:rPr>
        <w:t> </w:t>
      </w:r>
      <w:r>
        <w:rPr>
          <w:color w:val="231F20"/>
        </w:rPr>
        <w:t>infrastructure,</w:t>
      </w:r>
      <w:r>
        <w:rPr>
          <w:color w:val="231F20"/>
          <w:spacing w:val="80"/>
        </w:rPr>
        <w:t> </w:t>
      </w:r>
      <w:r>
        <w:rPr>
          <w:color w:val="231F20"/>
        </w:rPr>
        <w:t>of wider internet access and of access to information. No other country is required </w:t>
      </w:r>
      <w:r>
        <w:rPr>
          <w:color w:val="231F20"/>
          <w:spacing w:val="-2"/>
        </w:rPr>
        <w:t>to</w:t>
      </w:r>
      <w:r>
        <w:rPr>
          <w:color w:val="231F20"/>
          <w:spacing w:val="-15"/>
        </w:rPr>
        <w:t> </w:t>
      </w:r>
      <w:r>
        <w:rPr>
          <w:color w:val="231F20"/>
          <w:spacing w:val="-2"/>
        </w:rPr>
        <w:t>implement</w:t>
      </w:r>
      <w:r>
        <w:rPr>
          <w:color w:val="231F20"/>
          <w:spacing w:val="-14"/>
        </w:rPr>
        <w:t> </w:t>
      </w:r>
      <w:r>
        <w:rPr>
          <w:color w:val="231F20"/>
          <w:spacing w:val="-2"/>
        </w:rPr>
        <w:t>technological</w:t>
      </w:r>
      <w:r>
        <w:rPr>
          <w:color w:val="231F20"/>
          <w:spacing w:val="-15"/>
        </w:rPr>
        <w:t> </w:t>
      </w:r>
      <w:r>
        <w:rPr>
          <w:color w:val="231F20"/>
          <w:spacing w:val="-2"/>
        </w:rPr>
        <w:t>modernization </w:t>
      </w:r>
      <w:r>
        <w:rPr>
          <w:color w:val="231F20"/>
        </w:rPr>
        <w:t>under such conditions.</w:t>
      </w:r>
    </w:p>
    <w:p>
      <w:pPr>
        <w:pStyle w:val="BodyText"/>
        <w:spacing w:before="167"/>
        <w:ind w:left="414" w:right="1472"/>
      </w:pPr>
      <w:r>
        <w:rPr>
          <w:color w:val="231F20"/>
        </w:rPr>
        <w:t>Various international providers of repair services for the installed technology have decided</w:t>
      </w:r>
      <w:r>
        <w:rPr>
          <w:color w:val="231F20"/>
          <w:spacing w:val="-17"/>
        </w:rPr>
        <w:t> </w:t>
      </w:r>
      <w:r>
        <w:rPr>
          <w:color w:val="231F20"/>
        </w:rPr>
        <w:t>to</w:t>
      </w:r>
      <w:r>
        <w:rPr>
          <w:color w:val="231F20"/>
          <w:spacing w:val="-16"/>
        </w:rPr>
        <w:t> </w:t>
      </w:r>
      <w:r>
        <w:rPr>
          <w:color w:val="231F20"/>
        </w:rPr>
        <w:t>withdraw</w:t>
      </w:r>
      <w:r>
        <w:rPr>
          <w:color w:val="231F20"/>
          <w:spacing w:val="-17"/>
        </w:rPr>
        <w:t> </w:t>
      </w:r>
      <w:r>
        <w:rPr>
          <w:color w:val="231F20"/>
        </w:rPr>
        <w:t>their</w:t>
      </w:r>
      <w:r>
        <w:rPr>
          <w:color w:val="231F20"/>
          <w:spacing w:val="-16"/>
        </w:rPr>
        <w:t> </w:t>
      </w:r>
      <w:r>
        <w:rPr>
          <w:color w:val="231F20"/>
        </w:rPr>
        <w:t>services,</w:t>
      </w:r>
      <w:r>
        <w:rPr>
          <w:color w:val="231F20"/>
          <w:spacing w:val="-17"/>
        </w:rPr>
        <w:t> </w:t>
      </w:r>
      <w:r>
        <w:rPr>
          <w:color w:val="231F20"/>
        </w:rPr>
        <w:t>leaving </w:t>
      </w:r>
      <w:r>
        <w:rPr>
          <w:color w:val="231F20"/>
          <w:spacing w:val="-2"/>
        </w:rPr>
        <w:t>over</w:t>
      </w:r>
      <w:r>
        <w:rPr>
          <w:color w:val="231F20"/>
          <w:spacing w:val="-11"/>
        </w:rPr>
        <w:t> </w:t>
      </w:r>
      <w:r>
        <w:rPr>
          <w:color w:val="231F20"/>
          <w:spacing w:val="-2"/>
        </w:rPr>
        <w:t>half</w:t>
      </w:r>
      <w:r>
        <w:rPr>
          <w:color w:val="231F20"/>
          <w:spacing w:val="-11"/>
        </w:rPr>
        <w:t> </w:t>
      </w:r>
      <w:r>
        <w:rPr>
          <w:color w:val="231F20"/>
          <w:spacing w:val="-2"/>
        </w:rPr>
        <w:t>of</w:t>
      </w:r>
      <w:r>
        <w:rPr>
          <w:color w:val="231F20"/>
          <w:spacing w:val="-11"/>
        </w:rPr>
        <w:t> </w:t>
      </w:r>
      <w:r>
        <w:rPr>
          <w:color w:val="231F20"/>
          <w:spacing w:val="-2"/>
        </w:rPr>
        <w:t>the</w:t>
      </w:r>
      <w:r>
        <w:rPr>
          <w:color w:val="231F20"/>
          <w:spacing w:val="-11"/>
        </w:rPr>
        <w:t> </w:t>
      </w:r>
      <w:r>
        <w:rPr>
          <w:color w:val="231F20"/>
          <w:spacing w:val="-2"/>
        </w:rPr>
        <w:t>current</w:t>
      </w:r>
      <w:r>
        <w:rPr>
          <w:color w:val="231F20"/>
          <w:spacing w:val="-11"/>
        </w:rPr>
        <w:t> </w:t>
      </w:r>
      <w:r>
        <w:rPr>
          <w:color w:val="231F20"/>
          <w:spacing w:val="-2"/>
        </w:rPr>
        <w:t>equipment</w:t>
      </w:r>
      <w:r>
        <w:rPr>
          <w:color w:val="231F20"/>
          <w:spacing w:val="-11"/>
        </w:rPr>
        <w:t> </w:t>
      </w:r>
      <w:r>
        <w:rPr>
          <w:color w:val="231F20"/>
          <w:spacing w:val="-2"/>
        </w:rPr>
        <w:t>without </w:t>
      </w:r>
      <w:r>
        <w:rPr>
          <w:color w:val="231F20"/>
        </w:rPr>
        <w:t>such coverage.</w:t>
      </w:r>
    </w:p>
    <w:p>
      <w:pPr>
        <w:pStyle w:val="BodyText"/>
        <w:spacing w:before="164"/>
        <w:ind w:left="414" w:right="1473"/>
      </w:pPr>
      <w:r>
        <w:rPr>
          <w:color w:val="231F20"/>
        </w:rPr>
        <w:t>Limitations on the availability of energy sources combined with the lack of fuel, caused by Washington’s restrictions on suppliers</w:t>
      </w:r>
      <w:r>
        <w:rPr>
          <w:color w:val="231F20"/>
          <w:spacing w:val="-13"/>
        </w:rPr>
        <w:t> </w:t>
      </w:r>
      <w:r>
        <w:rPr>
          <w:color w:val="231F20"/>
        </w:rPr>
        <w:t>and</w:t>
      </w:r>
      <w:r>
        <w:rPr>
          <w:color w:val="231F20"/>
          <w:spacing w:val="-14"/>
        </w:rPr>
        <w:t> </w:t>
      </w:r>
      <w:r>
        <w:rPr>
          <w:color w:val="231F20"/>
        </w:rPr>
        <w:t>on</w:t>
      </w:r>
      <w:r>
        <w:rPr>
          <w:color w:val="231F20"/>
          <w:spacing w:val="-13"/>
        </w:rPr>
        <w:t> </w:t>
      </w:r>
      <w:r>
        <w:rPr>
          <w:color w:val="231F20"/>
        </w:rPr>
        <w:t>vessels</w:t>
      </w:r>
      <w:r>
        <w:rPr>
          <w:color w:val="231F20"/>
          <w:spacing w:val="-14"/>
        </w:rPr>
        <w:t> </w:t>
      </w:r>
      <w:r>
        <w:rPr>
          <w:color w:val="231F20"/>
        </w:rPr>
        <w:t>that</w:t>
      </w:r>
      <w:r>
        <w:rPr>
          <w:color w:val="231F20"/>
          <w:spacing w:val="-13"/>
        </w:rPr>
        <w:t> </w:t>
      </w:r>
      <w:r>
        <w:rPr>
          <w:color w:val="231F20"/>
        </w:rPr>
        <w:t>touch</w:t>
      </w:r>
      <w:r>
        <w:rPr>
          <w:color w:val="231F20"/>
          <w:spacing w:val="-14"/>
        </w:rPr>
        <w:t> </w:t>
      </w:r>
      <w:r>
        <w:rPr>
          <w:color w:val="231F20"/>
        </w:rPr>
        <w:t>port</w:t>
      </w:r>
      <w:r>
        <w:rPr>
          <w:color w:val="231F20"/>
          <w:spacing w:val="-13"/>
        </w:rPr>
        <w:t> </w:t>
      </w:r>
      <w:r>
        <w:rPr>
          <w:color w:val="231F20"/>
        </w:rPr>
        <w:t>in Cuba,</w:t>
      </w:r>
      <w:r>
        <w:rPr>
          <w:color w:val="231F20"/>
          <w:spacing w:val="-4"/>
        </w:rPr>
        <w:t> </w:t>
      </w:r>
      <w:r>
        <w:rPr>
          <w:color w:val="231F20"/>
        </w:rPr>
        <w:t>have</w:t>
      </w:r>
      <w:r>
        <w:rPr>
          <w:color w:val="231F20"/>
          <w:spacing w:val="-4"/>
        </w:rPr>
        <w:t> </w:t>
      </w:r>
      <w:r>
        <w:rPr>
          <w:color w:val="231F20"/>
        </w:rPr>
        <w:t>impaired</w:t>
      </w:r>
      <w:r>
        <w:rPr>
          <w:color w:val="231F20"/>
          <w:spacing w:val="-4"/>
        </w:rPr>
        <w:t> </w:t>
      </w:r>
      <w:r>
        <w:rPr>
          <w:color w:val="231F20"/>
        </w:rPr>
        <w:t>the</w:t>
      </w:r>
      <w:r>
        <w:rPr>
          <w:color w:val="231F20"/>
          <w:spacing w:val="-4"/>
        </w:rPr>
        <w:t> </w:t>
      </w:r>
      <w:r>
        <w:rPr>
          <w:color w:val="231F20"/>
        </w:rPr>
        <w:t>autonomy</w:t>
      </w:r>
      <w:r>
        <w:rPr>
          <w:color w:val="231F20"/>
          <w:spacing w:val="-4"/>
        </w:rPr>
        <w:t> </w:t>
      </w:r>
      <w:r>
        <w:rPr>
          <w:color w:val="231F20"/>
        </w:rPr>
        <w:t>of</w:t>
      </w:r>
      <w:r>
        <w:rPr>
          <w:color w:val="231F20"/>
          <w:spacing w:val="-4"/>
        </w:rPr>
        <w:t> </w:t>
      </w:r>
      <w:r>
        <w:rPr>
          <w:color w:val="231F20"/>
        </w:rPr>
        <w:t>the standby generators in the various plants.</w:t>
      </w:r>
    </w:p>
    <w:p>
      <w:pPr>
        <w:pStyle w:val="BodyText"/>
        <w:spacing w:before="165"/>
        <w:ind w:left="414" w:right="1474"/>
      </w:pPr>
      <w:r>
        <w:rPr>
          <w:color w:val="231F20"/>
        </w:rPr>
        <w:t>The blockade has also prevented Cuban and U.S. companies from finalizing mutually beneficial agreements in the telecommunications sector.</w:t>
      </w:r>
    </w:p>
    <w:p>
      <w:pPr>
        <w:pStyle w:val="BodyText"/>
        <w:spacing w:before="163"/>
        <w:ind w:left="414" w:right="1472"/>
      </w:pPr>
      <w:r>
        <w:rPr>
          <w:color w:val="231F20"/>
        </w:rPr>
        <w:t>An agreement between ETECSA and </w:t>
      </w:r>
      <w:r>
        <w:rPr>
          <w:color w:val="231F20"/>
          <w:spacing w:val="-2"/>
        </w:rPr>
        <w:t>Colombus</w:t>
      </w:r>
      <w:r>
        <w:rPr>
          <w:color w:val="231F20"/>
          <w:spacing w:val="-11"/>
        </w:rPr>
        <w:t> </w:t>
      </w:r>
      <w:r>
        <w:rPr>
          <w:color w:val="231F20"/>
          <w:spacing w:val="-2"/>
        </w:rPr>
        <w:t>Network</w:t>
      </w:r>
      <w:r>
        <w:rPr>
          <w:color w:val="231F20"/>
          <w:spacing w:val="-11"/>
        </w:rPr>
        <w:t> </w:t>
      </w:r>
      <w:r>
        <w:rPr>
          <w:color w:val="231F20"/>
          <w:spacing w:val="-2"/>
        </w:rPr>
        <w:t>Ltd.</w:t>
      </w:r>
      <w:r>
        <w:rPr>
          <w:color w:val="231F20"/>
          <w:spacing w:val="-11"/>
        </w:rPr>
        <w:t> </w:t>
      </w:r>
      <w:r>
        <w:rPr>
          <w:color w:val="231F20"/>
          <w:spacing w:val="-2"/>
        </w:rPr>
        <w:t>(CNL),</w:t>
      </w:r>
      <w:r>
        <w:rPr>
          <w:color w:val="231F20"/>
          <w:spacing w:val="-11"/>
        </w:rPr>
        <w:t> </w:t>
      </w:r>
      <w:r>
        <w:rPr>
          <w:color w:val="231F20"/>
          <w:spacing w:val="-2"/>
        </w:rPr>
        <w:t>a</w:t>
      </w:r>
      <w:r>
        <w:rPr>
          <w:color w:val="231F20"/>
          <w:spacing w:val="-11"/>
        </w:rPr>
        <w:t> </w:t>
      </w:r>
      <w:r>
        <w:rPr>
          <w:color w:val="231F20"/>
          <w:spacing w:val="-2"/>
        </w:rPr>
        <w:t>subsidiary </w:t>
      </w:r>
      <w:r>
        <w:rPr>
          <w:color w:val="231F20"/>
        </w:rPr>
        <w:t>of Liberty Latin America, for connection</w:t>
      </w:r>
      <w:r>
        <w:rPr>
          <w:color w:val="231F20"/>
          <w:spacing w:val="40"/>
        </w:rPr>
        <w:t> </w:t>
      </w:r>
      <w:r>
        <w:rPr>
          <w:color w:val="231F20"/>
        </w:rPr>
        <w:t>of the first ARCOS-1 undersea cable that would</w:t>
      </w:r>
      <w:r>
        <w:rPr>
          <w:color w:val="231F20"/>
          <w:spacing w:val="-8"/>
        </w:rPr>
        <w:t> </w:t>
      </w:r>
      <w:r>
        <w:rPr>
          <w:color w:val="231F20"/>
        </w:rPr>
        <w:t>link</w:t>
      </w:r>
      <w:r>
        <w:rPr>
          <w:color w:val="231F20"/>
          <w:spacing w:val="-9"/>
        </w:rPr>
        <w:t> </w:t>
      </w:r>
      <w:r>
        <w:rPr>
          <w:color w:val="231F20"/>
        </w:rPr>
        <w:t>up</w:t>
      </w:r>
      <w:r>
        <w:rPr>
          <w:color w:val="231F20"/>
          <w:spacing w:val="-9"/>
        </w:rPr>
        <w:t> </w:t>
      </w:r>
      <w:r>
        <w:rPr>
          <w:color w:val="231F20"/>
        </w:rPr>
        <w:t>the</w:t>
      </w:r>
      <w:r>
        <w:rPr>
          <w:color w:val="231F20"/>
          <w:spacing w:val="-9"/>
        </w:rPr>
        <w:t> </w:t>
      </w:r>
      <w:r>
        <w:rPr>
          <w:color w:val="231F20"/>
        </w:rPr>
        <w:t>United</w:t>
      </w:r>
      <w:r>
        <w:rPr>
          <w:color w:val="231F20"/>
          <w:spacing w:val="-9"/>
        </w:rPr>
        <w:t> </w:t>
      </w:r>
      <w:r>
        <w:rPr>
          <w:color w:val="231F20"/>
        </w:rPr>
        <w:t>States</w:t>
      </w:r>
      <w:r>
        <w:rPr>
          <w:color w:val="231F20"/>
          <w:spacing w:val="-9"/>
        </w:rPr>
        <w:t> </w:t>
      </w:r>
      <w:r>
        <w:rPr>
          <w:color w:val="231F20"/>
        </w:rPr>
        <w:t>with</w:t>
      </w:r>
      <w:r>
        <w:rPr>
          <w:color w:val="231F20"/>
          <w:spacing w:val="-8"/>
        </w:rPr>
        <w:t> </w:t>
      </w:r>
      <w:r>
        <w:rPr>
          <w:color w:val="231F20"/>
        </w:rPr>
        <w:t>Cuba has been awaiting finalization for over four</w:t>
      </w:r>
      <w:r>
        <w:rPr>
          <w:color w:val="231F20"/>
          <w:spacing w:val="-2"/>
        </w:rPr>
        <w:t> </w:t>
      </w:r>
      <w:r>
        <w:rPr>
          <w:color w:val="231F20"/>
        </w:rPr>
        <w:t>years,</w:t>
      </w:r>
      <w:r>
        <w:rPr>
          <w:color w:val="231F20"/>
          <w:spacing w:val="-2"/>
        </w:rPr>
        <w:t> </w:t>
      </w:r>
      <w:r>
        <w:rPr>
          <w:color w:val="231F20"/>
        </w:rPr>
        <w:t>pending</w:t>
      </w:r>
      <w:r>
        <w:rPr>
          <w:color w:val="231F20"/>
          <w:spacing w:val="-2"/>
        </w:rPr>
        <w:t> </w:t>
      </w:r>
      <w:r>
        <w:rPr>
          <w:color w:val="231F20"/>
        </w:rPr>
        <w:t>review</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relevant license application by CNL to the Federal Communications Commission (FCC).</w:t>
      </w:r>
    </w:p>
    <w:p>
      <w:pPr>
        <w:pStyle w:val="BodyText"/>
        <w:spacing w:before="167"/>
        <w:ind w:left="414" w:right="1473"/>
      </w:pPr>
      <w:r>
        <w:rPr>
          <w:rFonts w:ascii="Segoe UI Semibold"/>
          <w:b/>
          <w:color w:val="231F20"/>
        </w:rPr>
        <w:t>On November 30, 2022, </w:t>
      </w:r>
      <w:r>
        <w:rPr>
          <w:color w:val="231F20"/>
        </w:rPr>
        <w:t>the Justice Department</w:t>
      </w:r>
      <w:r>
        <w:rPr>
          <w:color w:val="231F20"/>
          <w:spacing w:val="-17"/>
        </w:rPr>
        <w:t> </w:t>
      </w:r>
      <w:r>
        <w:rPr>
          <w:color w:val="231F20"/>
        </w:rPr>
        <w:t>published</w:t>
      </w:r>
      <w:r>
        <w:rPr>
          <w:color w:val="231F20"/>
          <w:spacing w:val="-16"/>
        </w:rPr>
        <w:t> </w:t>
      </w:r>
      <w:r>
        <w:rPr>
          <w:color w:val="231F20"/>
        </w:rPr>
        <w:t>a</w:t>
      </w:r>
      <w:r>
        <w:rPr>
          <w:color w:val="231F20"/>
          <w:spacing w:val="-17"/>
        </w:rPr>
        <w:t> </w:t>
      </w:r>
      <w:r>
        <w:rPr>
          <w:color w:val="231F20"/>
        </w:rPr>
        <w:t>recommendation by</w:t>
      </w:r>
      <w:r>
        <w:rPr>
          <w:color w:val="231F20"/>
          <w:spacing w:val="21"/>
        </w:rPr>
        <w:t> </w:t>
      </w:r>
      <w:r>
        <w:rPr>
          <w:color w:val="231F20"/>
        </w:rPr>
        <w:t>the</w:t>
      </w:r>
      <w:r>
        <w:rPr>
          <w:color w:val="231F20"/>
          <w:spacing w:val="23"/>
        </w:rPr>
        <w:t> </w:t>
      </w:r>
      <w:r>
        <w:rPr>
          <w:color w:val="231F20"/>
        </w:rPr>
        <w:t>Committee</w:t>
      </w:r>
      <w:r>
        <w:rPr>
          <w:color w:val="231F20"/>
          <w:spacing w:val="23"/>
        </w:rPr>
        <w:t> </w:t>
      </w:r>
      <w:r>
        <w:rPr>
          <w:color w:val="231F20"/>
        </w:rPr>
        <w:t>for</w:t>
      </w:r>
      <w:r>
        <w:rPr>
          <w:color w:val="231F20"/>
          <w:spacing w:val="23"/>
        </w:rPr>
        <w:t> </w:t>
      </w:r>
      <w:r>
        <w:rPr>
          <w:color w:val="231F20"/>
        </w:rPr>
        <w:t>the</w:t>
      </w:r>
      <w:r>
        <w:rPr>
          <w:color w:val="231F20"/>
          <w:spacing w:val="23"/>
        </w:rPr>
        <w:t> </w:t>
      </w:r>
      <w:r>
        <w:rPr>
          <w:color w:val="231F20"/>
        </w:rPr>
        <w:t>Assessment</w:t>
      </w:r>
      <w:r>
        <w:rPr>
          <w:color w:val="231F20"/>
          <w:spacing w:val="23"/>
        </w:rPr>
        <w:t> </w:t>
      </w:r>
      <w:r>
        <w:rPr>
          <w:color w:val="231F20"/>
          <w:spacing w:val="-5"/>
        </w:rPr>
        <w:t>of</w:t>
      </w:r>
    </w:p>
    <w:p>
      <w:pPr>
        <w:spacing w:after="0"/>
        <w:sectPr>
          <w:pgSz w:w="11910" w:h="16840"/>
          <w:pgMar w:header="0" w:footer="695" w:top="1260" w:bottom="880" w:left="0" w:right="0"/>
          <w:cols w:num="2" w:equalWidth="0">
            <w:col w:w="5556" w:space="40"/>
            <w:col w:w="6314"/>
          </w:cols>
        </w:sectPr>
      </w:pPr>
    </w:p>
    <w:p>
      <w:pPr>
        <w:pStyle w:val="BodyText"/>
        <w:spacing w:before="77"/>
        <w:ind w:left="1474" w:right="1"/>
      </w:pPr>
      <w:r>
        <w:rPr>
          <w:color w:val="231F20"/>
        </w:rPr>
        <w:t>Foreign Participation in the United States Telecommunications Services Sector to the FCC that the license be denied, on grounds including that Cuba represented a counterintelligence threat to America, coupled</w:t>
      </w:r>
      <w:r>
        <w:rPr>
          <w:color w:val="231F20"/>
          <w:spacing w:val="-4"/>
        </w:rPr>
        <w:t> </w:t>
      </w:r>
      <w:r>
        <w:rPr>
          <w:color w:val="231F20"/>
        </w:rPr>
        <w:t>with</w:t>
      </w:r>
      <w:r>
        <w:rPr>
          <w:color w:val="231F20"/>
          <w:spacing w:val="-4"/>
        </w:rPr>
        <w:t> </w:t>
      </w:r>
      <w:r>
        <w:rPr>
          <w:color w:val="231F20"/>
        </w:rPr>
        <w:t>the</w:t>
      </w:r>
      <w:r>
        <w:rPr>
          <w:color w:val="231F20"/>
          <w:spacing w:val="-4"/>
        </w:rPr>
        <w:t> </w:t>
      </w:r>
      <w:r>
        <w:rPr>
          <w:color w:val="231F20"/>
        </w:rPr>
        <w:t>country’s</w:t>
      </w:r>
      <w:r>
        <w:rPr>
          <w:color w:val="231F20"/>
          <w:spacing w:val="-4"/>
        </w:rPr>
        <w:t> </w:t>
      </w:r>
      <w:r>
        <w:rPr>
          <w:color w:val="231F20"/>
        </w:rPr>
        <w:t>designation</w:t>
      </w:r>
      <w:r>
        <w:rPr>
          <w:color w:val="231F20"/>
          <w:spacing w:val="-4"/>
        </w:rPr>
        <w:t> </w:t>
      </w:r>
      <w:r>
        <w:rPr>
          <w:color w:val="231F20"/>
        </w:rPr>
        <w:t>as a state sponsor of terrorism.</w:t>
      </w:r>
    </w:p>
    <w:p>
      <w:pPr>
        <w:pStyle w:val="BodyText"/>
        <w:spacing w:before="165"/>
        <w:ind w:left="1474"/>
      </w:pPr>
      <w:r>
        <w:rPr>
          <w:color w:val="231F20"/>
          <w:spacing w:val="-10"/>
        </w:rPr>
        <w:t>On</w:t>
      </w:r>
      <w:r>
        <w:rPr>
          <w:color w:val="231F20"/>
          <w:spacing w:val="-3"/>
        </w:rPr>
        <w:t> </w:t>
      </w:r>
      <w:r>
        <w:rPr>
          <w:color w:val="231F20"/>
          <w:spacing w:val="-10"/>
        </w:rPr>
        <w:t>December</w:t>
      </w:r>
      <w:r>
        <w:rPr>
          <w:color w:val="231F20"/>
          <w:spacing w:val="-3"/>
        </w:rPr>
        <w:t> </w:t>
      </w:r>
      <w:r>
        <w:rPr>
          <w:color w:val="231F20"/>
          <w:spacing w:val="-10"/>
        </w:rPr>
        <w:t>13</w:t>
      </w:r>
      <w:r>
        <w:rPr>
          <w:color w:val="231F20"/>
          <w:spacing w:val="-3"/>
        </w:rPr>
        <w:t> </w:t>
      </w:r>
      <w:r>
        <w:rPr>
          <w:color w:val="231F20"/>
          <w:spacing w:val="-10"/>
        </w:rPr>
        <w:t>of</w:t>
      </w:r>
      <w:r>
        <w:rPr>
          <w:color w:val="231F20"/>
          <w:spacing w:val="-3"/>
        </w:rPr>
        <w:t> </w:t>
      </w:r>
      <w:r>
        <w:rPr>
          <w:color w:val="231F20"/>
          <w:spacing w:val="-10"/>
        </w:rPr>
        <w:t>that</w:t>
      </w:r>
      <w:r>
        <w:rPr>
          <w:color w:val="231F20"/>
          <w:spacing w:val="-3"/>
        </w:rPr>
        <w:t> </w:t>
      </w:r>
      <w:r>
        <w:rPr>
          <w:color w:val="231F20"/>
          <w:spacing w:val="-10"/>
        </w:rPr>
        <w:t>year,</w:t>
      </w:r>
      <w:r>
        <w:rPr>
          <w:color w:val="231F20"/>
          <w:spacing w:val="-3"/>
        </w:rPr>
        <w:t> </w:t>
      </w:r>
      <w:r>
        <w:rPr>
          <w:color w:val="231F20"/>
          <w:spacing w:val="-10"/>
        </w:rPr>
        <w:t>Florida</w:t>
      </w:r>
      <w:r>
        <w:rPr>
          <w:color w:val="231F20"/>
          <w:spacing w:val="-3"/>
        </w:rPr>
        <w:t> </w:t>
      </w:r>
      <w:r>
        <w:rPr>
          <w:color w:val="231F20"/>
          <w:spacing w:val="-10"/>
        </w:rPr>
        <w:t>senator </w:t>
      </w:r>
      <w:r>
        <w:rPr>
          <w:color w:val="231F20"/>
        </w:rPr>
        <w:t>Marco</w:t>
      </w:r>
      <w:r>
        <w:rPr>
          <w:color w:val="231F20"/>
          <w:spacing w:val="-10"/>
        </w:rPr>
        <w:t> </w:t>
      </w:r>
      <w:r>
        <w:rPr>
          <w:color w:val="231F20"/>
        </w:rPr>
        <w:t>Rubio</w:t>
      </w:r>
      <w:r>
        <w:rPr>
          <w:color w:val="231F20"/>
          <w:spacing w:val="-11"/>
        </w:rPr>
        <w:t> </w:t>
      </w:r>
      <w:r>
        <w:rPr>
          <w:color w:val="231F20"/>
        </w:rPr>
        <w:t>wrote</w:t>
      </w:r>
      <w:r>
        <w:rPr>
          <w:color w:val="231F20"/>
          <w:spacing w:val="-11"/>
        </w:rPr>
        <w:t> </w:t>
      </w:r>
      <w:r>
        <w:rPr>
          <w:color w:val="231F20"/>
        </w:rPr>
        <w:t>to</w:t>
      </w:r>
      <w:r>
        <w:rPr>
          <w:color w:val="231F20"/>
          <w:spacing w:val="-10"/>
        </w:rPr>
        <w:t> </w:t>
      </w:r>
      <w:r>
        <w:rPr>
          <w:color w:val="231F20"/>
        </w:rPr>
        <w:t>the</w:t>
      </w:r>
      <w:r>
        <w:rPr>
          <w:color w:val="231F20"/>
          <w:spacing w:val="-11"/>
        </w:rPr>
        <w:t> </w:t>
      </w:r>
      <w:r>
        <w:rPr>
          <w:color w:val="231F20"/>
        </w:rPr>
        <w:t>chairman</w:t>
      </w:r>
      <w:r>
        <w:rPr>
          <w:color w:val="231F20"/>
          <w:spacing w:val="-11"/>
        </w:rPr>
        <w:t> </w:t>
      </w:r>
      <w:r>
        <w:rPr>
          <w:color w:val="231F20"/>
        </w:rPr>
        <w:t>of</w:t>
      </w:r>
      <w:r>
        <w:rPr>
          <w:color w:val="231F20"/>
          <w:spacing w:val="-11"/>
        </w:rPr>
        <w:t> </w:t>
      </w:r>
      <w:r>
        <w:rPr>
          <w:color w:val="231F20"/>
        </w:rPr>
        <w:t>the FCC demanding the immediate denial of the</w:t>
      </w:r>
      <w:r>
        <w:rPr>
          <w:color w:val="231F20"/>
          <w:spacing w:val="40"/>
        </w:rPr>
        <w:t> </w:t>
      </w:r>
      <w:r>
        <w:rPr>
          <w:color w:val="231F20"/>
        </w:rPr>
        <w:t>license.</w:t>
      </w:r>
      <w:r>
        <w:rPr>
          <w:color w:val="231F20"/>
          <w:spacing w:val="40"/>
        </w:rPr>
        <w:t> </w:t>
      </w:r>
      <w:r>
        <w:rPr>
          <w:color w:val="231F20"/>
        </w:rPr>
        <w:t>These</w:t>
      </w:r>
      <w:r>
        <w:rPr>
          <w:color w:val="231F20"/>
          <w:spacing w:val="40"/>
        </w:rPr>
        <w:t> </w:t>
      </w:r>
      <w:r>
        <w:rPr>
          <w:color w:val="231F20"/>
        </w:rPr>
        <w:t>events</w:t>
      </w:r>
      <w:r>
        <w:rPr>
          <w:color w:val="231F20"/>
          <w:spacing w:val="40"/>
        </w:rPr>
        <w:t> </w:t>
      </w:r>
      <w:r>
        <w:rPr>
          <w:color w:val="231F20"/>
        </w:rPr>
        <w:t>put</w:t>
      </w:r>
      <w:r>
        <w:rPr>
          <w:color w:val="231F20"/>
          <w:spacing w:val="40"/>
        </w:rPr>
        <w:t> </w:t>
      </w:r>
      <w:r>
        <w:rPr>
          <w:color w:val="231F20"/>
        </w:rPr>
        <w:t>pressure on the U.S. company, which withdrew its </w:t>
      </w:r>
      <w:r>
        <w:rPr>
          <w:color w:val="231F20"/>
          <w:spacing w:val="-2"/>
        </w:rPr>
        <w:t>application.</w:t>
      </w:r>
    </w:p>
    <w:p>
      <w:pPr>
        <w:pStyle w:val="BodyText"/>
        <w:spacing w:before="165"/>
        <w:ind w:left="1474"/>
      </w:pPr>
      <w:r>
        <w:rPr>
          <w:color w:val="231F20"/>
        </w:rPr>
        <w:t>Following</w:t>
      </w:r>
      <w:r>
        <w:rPr>
          <w:color w:val="231F20"/>
          <w:spacing w:val="-17"/>
        </w:rPr>
        <w:t> </w:t>
      </w:r>
      <w:r>
        <w:rPr>
          <w:color w:val="231F20"/>
        </w:rPr>
        <w:t>the</w:t>
      </w:r>
      <w:r>
        <w:rPr>
          <w:color w:val="231F20"/>
          <w:spacing w:val="-16"/>
        </w:rPr>
        <w:t> </w:t>
      </w:r>
      <w:r>
        <w:rPr>
          <w:color w:val="231F20"/>
        </w:rPr>
        <w:t>arbitrary</w:t>
      </w:r>
      <w:r>
        <w:rPr>
          <w:color w:val="231F20"/>
          <w:spacing w:val="-17"/>
        </w:rPr>
        <w:t> </w:t>
      </w:r>
      <w:r>
        <w:rPr>
          <w:color w:val="231F20"/>
        </w:rPr>
        <w:t>reinsertion</w:t>
      </w:r>
      <w:r>
        <w:rPr>
          <w:color w:val="231F20"/>
          <w:spacing w:val="-16"/>
        </w:rPr>
        <w:t> </w:t>
      </w:r>
      <w:r>
        <w:rPr>
          <w:color w:val="231F20"/>
        </w:rPr>
        <w:t>of</w:t>
      </w:r>
      <w:r>
        <w:rPr>
          <w:color w:val="231F20"/>
          <w:spacing w:val="-17"/>
        </w:rPr>
        <w:t> </w:t>
      </w:r>
      <w:r>
        <w:rPr>
          <w:color w:val="231F20"/>
        </w:rPr>
        <w:t>Cuba on the list of state sponsors of terrorism, difficulties</w:t>
      </w:r>
      <w:r>
        <w:rPr>
          <w:color w:val="231F20"/>
          <w:spacing w:val="-1"/>
        </w:rPr>
        <w:t> </w:t>
      </w:r>
      <w:r>
        <w:rPr>
          <w:color w:val="231F20"/>
        </w:rPr>
        <w:t>in</w:t>
      </w:r>
      <w:r>
        <w:rPr>
          <w:color w:val="231F20"/>
          <w:spacing w:val="-1"/>
        </w:rPr>
        <w:t> </w:t>
      </w:r>
      <w:r>
        <w:rPr>
          <w:color w:val="231F20"/>
        </w:rPr>
        <w:t>receiving</w:t>
      </w:r>
      <w:r>
        <w:rPr>
          <w:color w:val="231F20"/>
          <w:spacing w:val="-1"/>
        </w:rPr>
        <w:t> </w:t>
      </w:r>
      <w:r>
        <w:rPr>
          <w:color w:val="231F20"/>
        </w:rPr>
        <w:t>express</w:t>
      </w:r>
      <w:r>
        <w:rPr>
          <w:color w:val="231F20"/>
          <w:spacing w:val="-1"/>
        </w:rPr>
        <w:t> </w:t>
      </w:r>
      <w:r>
        <w:rPr>
          <w:color w:val="231F20"/>
        </w:rPr>
        <w:t>parcels</w:t>
      </w:r>
      <w:r>
        <w:rPr>
          <w:color w:val="231F20"/>
          <w:spacing w:val="-1"/>
        </w:rPr>
        <w:t> </w:t>
      </w:r>
      <w:r>
        <w:rPr>
          <w:color w:val="231F20"/>
        </w:rPr>
        <w:t>via a private-sector service have worsened, while</w:t>
      </w:r>
      <w:r>
        <w:rPr>
          <w:color w:val="231F20"/>
          <w:spacing w:val="-5"/>
        </w:rPr>
        <w:t> </w:t>
      </w:r>
      <w:r>
        <w:rPr>
          <w:color w:val="231F20"/>
        </w:rPr>
        <w:t>the</w:t>
      </w:r>
      <w:r>
        <w:rPr>
          <w:color w:val="231F20"/>
          <w:spacing w:val="-5"/>
        </w:rPr>
        <w:t> </w:t>
      </w:r>
      <w:r>
        <w:rPr>
          <w:color w:val="231F20"/>
        </w:rPr>
        <w:t>Universal</w:t>
      </w:r>
      <w:r>
        <w:rPr>
          <w:color w:val="231F20"/>
          <w:spacing w:val="-5"/>
        </w:rPr>
        <w:t> </w:t>
      </w:r>
      <w:r>
        <w:rPr>
          <w:color w:val="231F20"/>
        </w:rPr>
        <w:t>Postal</w:t>
      </w:r>
      <w:r>
        <w:rPr>
          <w:color w:val="231F20"/>
          <w:spacing w:val="-5"/>
        </w:rPr>
        <w:t> </w:t>
      </w:r>
      <w:r>
        <w:rPr>
          <w:color w:val="231F20"/>
        </w:rPr>
        <w:t>Union’s</w:t>
      </w:r>
      <w:r>
        <w:rPr>
          <w:color w:val="231F20"/>
          <w:spacing w:val="-5"/>
        </w:rPr>
        <w:t> </w:t>
      </w:r>
      <w:r>
        <w:rPr>
          <w:color w:val="231F20"/>
        </w:rPr>
        <w:t>Express Mail Service (EMS</w:t>
      </w:r>
      <w:r>
        <w:rPr>
          <w:color w:val="231F20"/>
          <w:position w:val="8"/>
          <w:sz w:val="14"/>
        </w:rPr>
        <w:t>1</w:t>
      </w:r>
      <w:r>
        <w:rPr>
          <w:color w:val="231F20"/>
        </w:rPr>
        <w:t>) is also affected.</w:t>
      </w:r>
    </w:p>
    <w:p>
      <w:pPr>
        <w:pStyle w:val="BodyText"/>
        <w:spacing w:before="165"/>
        <w:ind w:left="1474" w:right="1"/>
      </w:pPr>
      <w:r>
        <w:rPr>
          <w:color w:val="231F20"/>
        </w:rPr>
        <w:t>Restrictions on broadband access to the internet remain in place, affecting the </w:t>
      </w:r>
      <w:r>
        <w:rPr>
          <w:color w:val="231F20"/>
          <w:spacing w:val="-4"/>
        </w:rPr>
        <w:t>speed</w:t>
      </w:r>
      <w:r>
        <w:rPr>
          <w:color w:val="231F20"/>
          <w:spacing w:val="-11"/>
        </w:rPr>
        <w:t> </w:t>
      </w:r>
      <w:r>
        <w:rPr>
          <w:color w:val="231F20"/>
          <w:spacing w:val="-4"/>
        </w:rPr>
        <w:t>of</w:t>
      </w:r>
      <w:r>
        <w:rPr>
          <w:color w:val="231F20"/>
          <w:spacing w:val="-11"/>
        </w:rPr>
        <w:t> </w:t>
      </w:r>
      <w:r>
        <w:rPr>
          <w:color w:val="231F20"/>
          <w:spacing w:val="-4"/>
        </w:rPr>
        <w:t>downloads</w:t>
      </w:r>
      <w:r>
        <w:rPr>
          <w:color w:val="231F20"/>
          <w:spacing w:val="-11"/>
        </w:rPr>
        <w:t> </w:t>
      </w:r>
      <w:r>
        <w:rPr>
          <w:color w:val="231F20"/>
          <w:spacing w:val="-4"/>
        </w:rPr>
        <w:t>of</w:t>
      </w:r>
      <w:r>
        <w:rPr>
          <w:color w:val="231F20"/>
          <w:spacing w:val="-11"/>
        </w:rPr>
        <w:t> </w:t>
      </w:r>
      <w:r>
        <w:rPr>
          <w:color w:val="231F20"/>
          <w:spacing w:val="-4"/>
        </w:rPr>
        <w:t>software,</w:t>
      </w:r>
      <w:r>
        <w:rPr>
          <w:color w:val="231F20"/>
          <w:spacing w:val="-11"/>
        </w:rPr>
        <w:t> </w:t>
      </w:r>
      <w:r>
        <w:rPr>
          <w:color w:val="231F20"/>
          <w:spacing w:val="-4"/>
        </w:rPr>
        <w:t>music</w:t>
      </w:r>
      <w:r>
        <w:rPr>
          <w:color w:val="231F20"/>
          <w:spacing w:val="-11"/>
        </w:rPr>
        <w:t> </w:t>
      </w:r>
      <w:r>
        <w:rPr>
          <w:color w:val="231F20"/>
          <w:spacing w:val="-4"/>
        </w:rPr>
        <w:t>and </w:t>
      </w:r>
      <w:r>
        <w:rPr>
          <w:color w:val="231F20"/>
        </w:rPr>
        <w:t>radio</w:t>
      </w:r>
      <w:r>
        <w:rPr>
          <w:color w:val="231F20"/>
          <w:spacing w:val="-10"/>
        </w:rPr>
        <w:t> </w:t>
      </w:r>
      <w:r>
        <w:rPr>
          <w:color w:val="231F20"/>
        </w:rPr>
        <w:t>and</w:t>
      </w:r>
      <w:r>
        <w:rPr>
          <w:color w:val="231F20"/>
          <w:spacing w:val="-10"/>
        </w:rPr>
        <w:t> </w:t>
      </w:r>
      <w:r>
        <w:rPr>
          <w:color w:val="231F20"/>
        </w:rPr>
        <w:t>TV</w:t>
      </w:r>
      <w:r>
        <w:rPr>
          <w:color w:val="231F20"/>
          <w:spacing w:val="-10"/>
        </w:rPr>
        <w:t> </w:t>
      </w:r>
      <w:r>
        <w:rPr>
          <w:color w:val="231F20"/>
        </w:rPr>
        <w:t>programs</w:t>
      </w:r>
      <w:r>
        <w:rPr>
          <w:color w:val="231F20"/>
          <w:spacing w:val="-10"/>
        </w:rPr>
        <w:t> </w:t>
      </w:r>
      <w:r>
        <w:rPr>
          <w:color w:val="231F20"/>
        </w:rPr>
        <w:t>transmitted</w:t>
      </w:r>
      <w:r>
        <w:rPr>
          <w:color w:val="231F20"/>
          <w:spacing w:val="-10"/>
        </w:rPr>
        <w:t> </w:t>
      </w:r>
      <w:r>
        <w:rPr>
          <w:color w:val="231F20"/>
        </w:rPr>
        <w:t>in</w:t>
      </w:r>
      <w:r>
        <w:rPr>
          <w:color w:val="231F20"/>
          <w:spacing w:val="-10"/>
        </w:rPr>
        <w:t> </w:t>
      </w:r>
      <w:r>
        <w:rPr>
          <w:color w:val="231F20"/>
        </w:rPr>
        <w:t>real time; access to certain sites that provide </w:t>
      </w:r>
      <w:r>
        <w:rPr>
          <w:color w:val="231F20"/>
          <w:spacing w:val="-4"/>
        </w:rPr>
        <w:t>(often</w:t>
      </w:r>
      <w:r>
        <w:rPr>
          <w:color w:val="231F20"/>
          <w:spacing w:val="-13"/>
        </w:rPr>
        <w:t> </w:t>
      </w:r>
      <w:r>
        <w:rPr>
          <w:color w:val="231F20"/>
          <w:spacing w:val="-4"/>
        </w:rPr>
        <w:t>free)</w:t>
      </w:r>
      <w:r>
        <w:rPr>
          <w:color w:val="231F20"/>
          <w:spacing w:val="-12"/>
        </w:rPr>
        <w:t> </w:t>
      </w:r>
      <w:r>
        <w:rPr>
          <w:color w:val="231F20"/>
          <w:spacing w:val="-4"/>
        </w:rPr>
        <w:t>updating</w:t>
      </w:r>
      <w:r>
        <w:rPr>
          <w:color w:val="231F20"/>
          <w:spacing w:val="-13"/>
        </w:rPr>
        <w:t> </w:t>
      </w:r>
      <w:r>
        <w:rPr>
          <w:color w:val="231F20"/>
          <w:spacing w:val="-4"/>
        </w:rPr>
        <w:t>to</w:t>
      </w:r>
      <w:r>
        <w:rPr>
          <w:color w:val="231F20"/>
          <w:spacing w:val="-12"/>
        </w:rPr>
        <w:t> </w:t>
      </w:r>
      <w:r>
        <w:rPr>
          <w:color w:val="231F20"/>
          <w:spacing w:val="-4"/>
        </w:rPr>
        <w:t>programs</w:t>
      </w:r>
      <w:r>
        <w:rPr>
          <w:color w:val="231F20"/>
          <w:spacing w:val="-13"/>
        </w:rPr>
        <w:t> </w:t>
      </w:r>
      <w:r>
        <w:rPr>
          <w:color w:val="231F20"/>
          <w:spacing w:val="-4"/>
        </w:rPr>
        <w:t>that</w:t>
      </w:r>
      <w:r>
        <w:rPr>
          <w:color w:val="231F20"/>
          <w:spacing w:val="-12"/>
        </w:rPr>
        <w:t> </w:t>
      </w:r>
      <w:r>
        <w:rPr>
          <w:color w:val="231F20"/>
          <w:spacing w:val="-4"/>
        </w:rPr>
        <w:t>have </w:t>
      </w:r>
      <w:r>
        <w:rPr>
          <w:color w:val="231F20"/>
          <w:spacing w:val="-2"/>
        </w:rPr>
        <w:t>millions</w:t>
      </w:r>
      <w:r>
        <w:rPr>
          <w:color w:val="231F20"/>
          <w:spacing w:val="-14"/>
        </w:rPr>
        <w:t> </w:t>
      </w:r>
      <w:r>
        <w:rPr>
          <w:color w:val="231F20"/>
          <w:spacing w:val="-2"/>
        </w:rPr>
        <w:t>of</w:t>
      </w:r>
      <w:r>
        <w:rPr>
          <w:color w:val="231F20"/>
          <w:spacing w:val="-13"/>
        </w:rPr>
        <w:t> </w:t>
      </w:r>
      <w:r>
        <w:rPr>
          <w:color w:val="231F20"/>
          <w:spacing w:val="-2"/>
        </w:rPr>
        <w:t>users</w:t>
      </w:r>
      <w:r>
        <w:rPr>
          <w:color w:val="231F20"/>
          <w:spacing w:val="-14"/>
        </w:rPr>
        <w:t> </w:t>
      </w:r>
      <w:r>
        <w:rPr>
          <w:color w:val="231F20"/>
          <w:spacing w:val="-2"/>
        </w:rPr>
        <w:t>worldwide</w:t>
      </w:r>
      <w:r>
        <w:rPr>
          <w:color w:val="231F20"/>
          <w:spacing w:val="-13"/>
        </w:rPr>
        <w:t> </w:t>
      </w:r>
      <w:r>
        <w:rPr>
          <w:color w:val="231F20"/>
          <w:spacing w:val="-2"/>
        </w:rPr>
        <w:t>is</w:t>
      </w:r>
      <w:r>
        <w:rPr>
          <w:color w:val="231F20"/>
          <w:spacing w:val="-14"/>
        </w:rPr>
        <w:t> </w:t>
      </w:r>
      <w:r>
        <w:rPr>
          <w:color w:val="231F20"/>
          <w:spacing w:val="-2"/>
        </w:rPr>
        <w:t>also</w:t>
      </w:r>
      <w:r>
        <w:rPr>
          <w:color w:val="231F20"/>
          <w:spacing w:val="-13"/>
        </w:rPr>
        <w:t> </w:t>
      </w:r>
      <w:r>
        <w:rPr>
          <w:color w:val="231F20"/>
          <w:spacing w:val="-2"/>
        </w:rPr>
        <w:t>affected.</w:t>
      </w:r>
    </w:p>
    <w:p>
      <w:pPr>
        <w:pStyle w:val="BodyText"/>
        <w:spacing w:before="165"/>
        <w:ind w:left="1474"/>
      </w:pPr>
      <w:r>
        <w:rPr>
          <w:color w:val="231F20"/>
        </w:rPr>
        <w:t>These</w:t>
      </w:r>
      <w:r>
        <w:rPr>
          <w:color w:val="231F20"/>
          <w:spacing w:val="-17"/>
        </w:rPr>
        <w:t> </w:t>
      </w:r>
      <w:r>
        <w:rPr>
          <w:color w:val="231F20"/>
        </w:rPr>
        <w:t>stumbling</w:t>
      </w:r>
      <w:r>
        <w:rPr>
          <w:color w:val="231F20"/>
          <w:spacing w:val="-16"/>
        </w:rPr>
        <w:t> </w:t>
      </w:r>
      <w:r>
        <w:rPr>
          <w:color w:val="231F20"/>
        </w:rPr>
        <w:t>blocks</w:t>
      </w:r>
      <w:r>
        <w:rPr>
          <w:color w:val="231F20"/>
          <w:spacing w:val="-17"/>
        </w:rPr>
        <w:t> </w:t>
      </w:r>
      <w:r>
        <w:rPr>
          <w:color w:val="231F20"/>
        </w:rPr>
        <w:t>disrupt</w:t>
      </w:r>
      <w:r>
        <w:rPr>
          <w:color w:val="231F20"/>
          <w:spacing w:val="-16"/>
        </w:rPr>
        <w:t> </w:t>
      </w:r>
      <w:r>
        <w:rPr>
          <w:color w:val="231F20"/>
        </w:rPr>
        <w:t>the</w:t>
      </w:r>
      <w:r>
        <w:rPr>
          <w:color w:val="231F20"/>
          <w:spacing w:val="-17"/>
        </w:rPr>
        <w:t> </w:t>
      </w:r>
      <w:r>
        <w:rPr>
          <w:color w:val="231F20"/>
        </w:rPr>
        <w:t>flow</w:t>
      </w:r>
      <w:r>
        <w:rPr>
          <w:color w:val="231F20"/>
          <w:spacing w:val="-16"/>
        </w:rPr>
        <w:t> </w:t>
      </w:r>
      <w:r>
        <w:rPr>
          <w:color w:val="231F20"/>
        </w:rPr>
        <w:t>of </w:t>
      </w:r>
      <w:r>
        <w:rPr>
          <w:color w:val="231F20"/>
          <w:spacing w:val="-4"/>
        </w:rPr>
        <w:t>information</w:t>
      </w:r>
      <w:r>
        <w:rPr>
          <w:color w:val="231F20"/>
          <w:spacing w:val="-13"/>
        </w:rPr>
        <w:t> </w:t>
      </w:r>
      <w:r>
        <w:rPr>
          <w:color w:val="231F20"/>
          <w:spacing w:val="-4"/>
        </w:rPr>
        <w:t>and</w:t>
      </w:r>
      <w:r>
        <w:rPr>
          <w:color w:val="231F20"/>
          <w:spacing w:val="-12"/>
        </w:rPr>
        <w:t> </w:t>
      </w:r>
      <w:r>
        <w:rPr>
          <w:color w:val="231F20"/>
          <w:spacing w:val="-4"/>
        </w:rPr>
        <w:t>impede</w:t>
      </w:r>
      <w:r>
        <w:rPr>
          <w:color w:val="231F20"/>
          <w:spacing w:val="-13"/>
        </w:rPr>
        <w:t> </w:t>
      </w:r>
      <w:r>
        <w:rPr>
          <w:color w:val="231F20"/>
          <w:spacing w:val="-4"/>
        </w:rPr>
        <w:t>mass</w:t>
      </w:r>
      <w:r>
        <w:rPr>
          <w:color w:val="231F20"/>
          <w:spacing w:val="-12"/>
        </w:rPr>
        <w:t> </w:t>
      </w:r>
      <w:r>
        <w:rPr>
          <w:color w:val="231F20"/>
          <w:spacing w:val="-4"/>
        </w:rPr>
        <w:t>access</w:t>
      </w:r>
      <w:r>
        <w:rPr>
          <w:color w:val="231F20"/>
          <w:spacing w:val="-13"/>
        </w:rPr>
        <w:t> </w:t>
      </w:r>
      <w:r>
        <w:rPr>
          <w:color w:val="231F20"/>
          <w:spacing w:val="-4"/>
        </w:rPr>
        <w:t>to</w:t>
      </w:r>
      <w:r>
        <w:rPr>
          <w:color w:val="231F20"/>
          <w:spacing w:val="-12"/>
        </w:rPr>
        <w:t> </w:t>
      </w:r>
      <w:r>
        <w:rPr>
          <w:color w:val="231F20"/>
          <w:spacing w:val="-4"/>
        </w:rPr>
        <w:t>the </w:t>
      </w:r>
      <w:r>
        <w:rPr>
          <w:color w:val="231F20"/>
        </w:rPr>
        <w:t>internet in Cuba, complicate connection, increasing its cost, and curb the entry of Cuban users to various virtual platforms.</w:t>
      </w:r>
    </w:p>
    <w:p>
      <w:pPr>
        <w:pStyle w:val="BodyText"/>
        <w:spacing w:before="164"/>
        <w:ind w:left="1474" w:right="1"/>
      </w:pPr>
      <w:r>
        <w:rPr>
          <w:color w:val="231F20"/>
        </w:rPr>
        <w:t>To quote a single example, Adobe’s website</w:t>
      </w:r>
      <w:r>
        <w:rPr>
          <w:color w:val="231F20"/>
          <w:spacing w:val="-17"/>
        </w:rPr>
        <w:t> </w:t>
      </w:r>
      <w:r>
        <w:rPr>
          <w:color w:val="231F20"/>
        </w:rPr>
        <w:t>blocks</w:t>
      </w:r>
      <w:r>
        <w:rPr>
          <w:color w:val="231F20"/>
          <w:spacing w:val="-16"/>
        </w:rPr>
        <w:t> </w:t>
      </w:r>
      <w:r>
        <w:rPr>
          <w:color w:val="231F20"/>
        </w:rPr>
        <w:t>Cuba,</w:t>
      </w:r>
      <w:r>
        <w:rPr>
          <w:color w:val="231F20"/>
          <w:spacing w:val="-17"/>
        </w:rPr>
        <w:t> </w:t>
      </w:r>
      <w:r>
        <w:rPr>
          <w:color w:val="231F20"/>
        </w:rPr>
        <w:t>making</w:t>
      </w:r>
      <w:r>
        <w:rPr>
          <w:color w:val="231F20"/>
          <w:spacing w:val="-16"/>
        </w:rPr>
        <w:t> </w:t>
      </w:r>
      <w:r>
        <w:rPr>
          <w:color w:val="231F20"/>
        </w:rPr>
        <w:t>it</w:t>
      </w:r>
      <w:r>
        <w:rPr>
          <w:color w:val="231F20"/>
          <w:spacing w:val="-17"/>
        </w:rPr>
        <w:t> </w:t>
      </w:r>
      <w:r>
        <w:rPr>
          <w:color w:val="231F20"/>
        </w:rPr>
        <w:t>impossible to access the help associated with certain applications</w:t>
      </w:r>
      <w:r>
        <w:rPr>
          <w:color w:val="231F20"/>
          <w:spacing w:val="-8"/>
        </w:rPr>
        <w:t> </w:t>
      </w:r>
      <w:r>
        <w:rPr>
          <w:color w:val="231F20"/>
        </w:rPr>
        <w:t>which</w:t>
      </w:r>
      <w:r>
        <w:rPr>
          <w:color w:val="231F20"/>
          <w:spacing w:val="-8"/>
        </w:rPr>
        <w:t> </w:t>
      </w:r>
      <w:r>
        <w:rPr>
          <w:color w:val="231F20"/>
        </w:rPr>
        <w:t>is</w:t>
      </w:r>
      <w:r>
        <w:rPr>
          <w:color w:val="231F20"/>
          <w:spacing w:val="-8"/>
        </w:rPr>
        <w:t> </w:t>
      </w:r>
      <w:r>
        <w:rPr>
          <w:color w:val="231F20"/>
        </w:rPr>
        <w:t>available</w:t>
      </w:r>
      <w:r>
        <w:rPr>
          <w:color w:val="231F20"/>
          <w:spacing w:val="-8"/>
        </w:rPr>
        <w:t> </w:t>
      </w:r>
      <w:r>
        <w:rPr>
          <w:color w:val="231F20"/>
        </w:rPr>
        <w:t>only</w:t>
      </w:r>
      <w:r>
        <w:rPr>
          <w:color w:val="231F20"/>
          <w:spacing w:val="-8"/>
        </w:rPr>
        <w:t> </w:t>
      </w:r>
      <w:r>
        <w:rPr>
          <w:color w:val="231F20"/>
        </w:rPr>
        <w:t>in</w:t>
      </w:r>
      <w:r>
        <w:rPr>
          <w:color w:val="231F20"/>
          <w:spacing w:val="-8"/>
        </w:rPr>
        <w:t> </w:t>
      </w:r>
      <w:r>
        <w:rPr>
          <w:color w:val="231F20"/>
        </w:rPr>
        <w:t>that firm’s proprietary format, as is the case of </w:t>
      </w:r>
      <w:r>
        <w:rPr>
          <w:color w:val="231F20"/>
          <w:spacing w:val="-4"/>
        </w:rPr>
        <w:t>the</w:t>
      </w:r>
      <w:r>
        <w:rPr>
          <w:color w:val="231F20"/>
          <w:spacing w:val="-13"/>
        </w:rPr>
        <w:t> </w:t>
      </w:r>
      <w:r>
        <w:rPr>
          <w:color w:val="231F20"/>
          <w:spacing w:val="-4"/>
        </w:rPr>
        <w:t>latest</w:t>
      </w:r>
      <w:r>
        <w:rPr>
          <w:color w:val="231F20"/>
          <w:spacing w:val="-12"/>
        </w:rPr>
        <w:t> </w:t>
      </w:r>
      <w:r>
        <w:rPr>
          <w:color w:val="231F20"/>
          <w:spacing w:val="-4"/>
        </w:rPr>
        <w:t>versions</w:t>
      </w:r>
      <w:r>
        <w:rPr>
          <w:color w:val="231F20"/>
          <w:spacing w:val="-13"/>
        </w:rPr>
        <w:t> </w:t>
      </w:r>
      <w:r>
        <w:rPr>
          <w:color w:val="231F20"/>
          <w:spacing w:val="-4"/>
        </w:rPr>
        <w:t>of</w:t>
      </w:r>
      <w:r>
        <w:rPr>
          <w:color w:val="231F20"/>
          <w:spacing w:val="-12"/>
        </w:rPr>
        <w:t> </w:t>
      </w:r>
      <w:r>
        <w:rPr>
          <w:color w:val="231F20"/>
          <w:spacing w:val="-4"/>
        </w:rPr>
        <w:t>the</w:t>
      </w:r>
      <w:r>
        <w:rPr>
          <w:color w:val="231F20"/>
          <w:spacing w:val="-12"/>
        </w:rPr>
        <w:t> </w:t>
      </w:r>
      <w:r>
        <w:rPr>
          <w:color w:val="231F20"/>
          <w:spacing w:val="-4"/>
        </w:rPr>
        <w:t>professional</w:t>
      </w:r>
      <w:r>
        <w:rPr>
          <w:color w:val="231F20"/>
          <w:spacing w:val="-13"/>
        </w:rPr>
        <w:t> </w:t>
      </w:r>
      <w:r>
        <w:rPr>
          <w:color w:val="231F20"/>
          <w:spacing w:val="-4"/>
        </w:rPr>
        <w:t>audio </w:t>
      </w:r>
      <w:r>
        <w:rPr>
          <w:color w:val="231F20"/>
        </w:rPr>
        <w:t>workstation Audition CS6. Other sites of interest until recently accessible have</w:t>
      </w:r>
      <w:r>
        <w:rPr>
          <w:color w:val="231F20"/>
          <w:spacing w:val="40"/>
        </w:rPr>
        <w:t> </w:t>
      </w:r>
      <w:r>
        <w:rPr>
          <w:color w:val="231F20"/>
        </w:rPr>
        <w:t>now</w:t>
      </w:r>
      <w:r>
        <w:rPr>
          <w:color w:val="231F20"/>
          <w:spacing w:val="2"/>
        </w:rPr>
        <w:t> </w:t>
      </w:r>
      <w:r>
        <w:rPr>
          <w:color w:val="231F20"/>
        </w:rPr>
        <w:t>closed</w:t>
      </w:r>
      <w:r>
        <w:rPr>
          <w:color w:val="231F20"/>
          <w:spacing w:val="2"/>
        </w:rPr>
        <w:t> </w:t>
      </w:r>
      <w:r>
        <w:rPr>
          <w:color w:val="231F20"/>
        </w:rPr>
        <w:t>their</w:t>
      </w:r>
      <w:r>
        <w:rPr>
          <w:color w:val="231F20"/>
          <w:spacing w:val="3"/>
        </w:rPr>
        <w:t> </w:t>
      </w:r>
      <w:r>
        <w:rPr>
          <w:color w:val="231F20"/>
        </w:rPr>
        <w:t>doors</w:t>
      </w:r>
      <w:r>
        <w:rPr>
          <w:color w:val="231F20"/>
          <w:spacing w:val="2"/>
        </w:rPr>
        <w:t> </w:t>
      </w:r>
      <w:r>
        <w:rPr>
          <w:color w:val="231F20"/>
        </w:rPr>
        <w:t>to</w:t>
      </w:r>
      <w:r>
        <w:rPr>
          <w:color w:val="231F20"/>
          <w:spacing w:val="2"/>
        </w:rPr>
        <w:t> </w:t>
      </w:r>
      <w:r>
        <w:rPr>
          <w:color w:val="231F20"/>
        </w:rPr>
        <w:t>Cuba,</w:t>
      </w:r>
      <w:r>
        <w:rPr>
          <w:color w:val="231F20"/>
          <w:spacing w:val="3"/>
        </w:rPr>
        <w:t> </w:t>
      </w:r>
      <w:r>
        <w:rPr>
          <w:color w:val="231F20"/>
          <w:spacing w:val="-2"/>
        </w:rPr>
        <w:t>including</w:t>
      </w:r>
    </w:p>
    <w:p>
      <w:pPr>
        <w:pStyle w:val="BodyText"/>
        <w:spacing w:before="77"/>
        <w:ind w:left="413"/>
      </w:pPr>
      <w:r>
        <w:rPr/>
        <w:br w:type="column"/>
      </w:r>
      <w:r>
        <w:rPr>
          <w:color w:val="231F20"/>
          <w:spacing w:val="-2"/>
        </w:rPr>
        <w:t>Source</w:t>
      </w:r>
      <w:r>
        <w:rPr>
          <w:color w:val="231F20"/>
          <w:spacing w:val="-14"/>
        </w:rPr>
        <w:t> </w:t>
      </w:r>
      <w:r>
        <w:rPr>
          <w:color w:val="231F20"/>
          <w:spacing w:val="-2"/>
        </w:rPr>
        <w:t>Forge,</w:t>
      </w:r>
      <w:r>
        <w:rPr>
          <w:color w:val="231F20"/>
          <w:spacing w:val="-14"/>
        </w:rPr>
        <w:t> </w:t>
      </w:r>
      <w:r>
        <w:rPr>
          <w:color w:val="231F20"/>
          <w:spacing w:val="-2"/>
        </w:rPr>
        <w:t>WeTransfer,</w:t>
      </w:r>
      <w:r>
        <w:rPr>
          <w:color w:val="231F20"/>
          <w:spacing w:val="-14"/>
        </w:rPr>
        <w:t> </w:t>
      </w:r>
      <w:r>
        <w:rPr>
          <w:color w:val="231F20"/>
          <w:spacing w:val="-2"/>
        </w:rPr>
        <w:t>DELL</w:t>
      </w:r>
      <w:r>
        <w:rPr>
          <w:color w:val="231F20"/>
          <w:spacing w:val="-14"/>
        </w:rPr>
        <w:t> </w:t>
      </w:r>
      <w:r>
        <w:rPr>
          <w:color w:val="231F20"/>
          <w:spacing w:val="-2"/>
        </w:rPr>
        <w:t>and</w:t>
      </w:r>
      <w:r>
        <w:rPr>
          <w:color w:val="231F20"/>
          <w:spacing w:val="-14"/>
        </w:rPr>
        <w:t> </w:t>
      </w:r>
      <w:r>
        <w:rPr>
          <w:color w:val="231F20"/>
          <w:spacing w:val="-2"/>
        </w:rPr>
        <w:t>INTEL.</w:t>
      </w:r>
    </w:p>
    <w:p>
      <w:pPr>
        <w:pStyle w:val="BodyText"/>
        <w:spacing w:before="161"/>
        <w:ind w:left="413" w:right="1134"/>
      </w:pPr>
      <w:r>
        <w:rPr>
          <w:color w:val="231F20"/>
        </w:rPr>
        <w:t>Cuba’s representatives have experienced numerous difficulties in participating in virtual meetings and other events of this type staged by organizations in the UN system, reflecting restrictions on Cuba’s access to various of the relevant digital platforms, including Zoom.</w:t>
      </w:r>
    </w:p>
    <w:p>
      <w:pPr>
        <w:pStyle w:val="BodyText"/>
        <w:spacing w:before="165"/>
        <w:ind w:left="413" w:right="1133"/>
      </w:pPr>
      <w:r>
        <w:rPr>
          <w:color w:val="231F20"/>
        </w:rPr>
        <w:t>Also, several platforms within the official websites of international organizations, including the Organisation for the </w:t>
      </w:r>
      <w:r>
        <w:rPr>
          <w:color w:val="231F20"/>
          <w:spacing w:val="-2"/>
        </w:rPr>
        <w:t>Prohibition</w:t>
      </w:r>
      <w:r>
        <w:rPr>
          <w:color w:val="231F20"/>
          <w:spacing w:val="-8"/>
        </w:rPr>
        <w:t> </w:t>
      </w:r>
      <w:r>
        <w:rPr>
          <w:color w:val="231F20"/>
          <w:spacing w:val="-2"/>
        </w:rPr>
        <w:t>of</w:t>
      </w:r>
      <w:r>
        <w:rPr>
          <w:color w:val="231F20"/>
          <w:spacing w:val="-8"/>
        </w:rPr>
        <w:t> </w:t>
      </w:r>
      <w:r>
        <w:rPr>
          <w:color w:val="231F20"/>
          <w:spacing w:val="-2"/>
        </w:rPr>
        <w:t>Chemical</w:t>
      </w:r>
      <w:r>
        <w:rPr>
          <w:color w:val="231F20"/>
          <w:spacing w:val="-8"/>
        </w:rPr>
        <w:t> </w:t>
      </w:r>
      <w:r>
        <w:rPr>
          <w:color w:val="231F20"/>
          <w:spacing w:val="-2"/>
        </w:rPr>
        <w:t>Weapons</w:t>
      </w:r>
      <w:r>
        <w:rPr>
          <w:color w:val="231F20"/>
          <w:spacing w:val="-8"/>
        </w:rPr>
        <w:t> </w:t>
      </w:r>
      <w:r>
        <w:rPr>
          <w:color w:val="231F20"/>
          <w:spacing w:val="-2"/>
        </w:rPr>
        <w:t>(OPCW), </w:t>
      </w:r>
      <w:r>
        <w:rPr>
          <w:color w:val="231F20"/>
        </w:rPr>
        <w:t>have had to seek alternative solutions to </w:t>
      </w:r>
      <w:r>
        <w:rPr>
          <w:color w:val="231F20"/>
          <w:spacing w:val="-4"/>
        </w:rPr>
        <w:t>systems</w:t>
      </w:r>
      <w:r>
        <w:rPr>
          <w:color w:val="231F20"/>
          <w:spacing w:val="-13"/>
        </w:rPr>
        <w:t> </w:t>
      </w:r>
      <w:r>
        <w:rPr>
          <w:color w:val="231F20"/>
          <w:spacing w:val="-4"/>
        </w:rPr>
        <w:t>that</w:t>
      </w:r>
      <w:r>
        <w:rPr>
          <w:color w:val="231F20"/>
          <w:spacing w:val="-12"/>
        </w:rPr>
        <w:t> </w:t>
      </w:r>
      <w:r>
        <w:rPr>
          <w:color w:val="231F20"/>
          <w:spacing w:val="-4"/>
        </w:rPr>
        <w:t>block</w:t>
      </w:r>
      <w:r>
        <w:rPr>
          <w:color w:val="231F20"/>
          <w:spacing w:val="-13"/>
        </w:rPr>
        <w:t> </w:t>
      </w:r>
      <w:r>
        <w:rPr>
          <w:color w:val="231F20"/>
          <w:spacing w:val="-4"/>
        </w:rPr>
        <w:t>Cuban</w:t>
      </w:r>
      <w:r>
        <w:rPr>
          <w:color w:val="231F20"/>
          <w:spacing w:val="-12"/>
        </w:rPr>
        <w:t> </w:t>
      </w:r>
      <w:r>
        <w:rPr>
          <w:color w:val="231F20"/>
          <w:spacing w:val="-4"/>
        </w:rPr>
        <w:t>IPs</w:t>
      </w:r>
      <w:r>
        <w:rPr>
          <w:color w:val="231F20"/>
          <w:spacing w:val="-13"/>
        </w:rPr>
        <w:t> </w:t>
      </w:r>
      <w:r>
        <w:rPr>
          <w:color w:val="231F20"/>
          <w:spacing w:val="-4"/>
        </w:rPr>
        <w:t>in</w:t>
      </w:r>
      <w:r>
        <w:rPr>
          <w:color w:val="231F20"/>
          <w:spacing w:val="-12"/>
        </w:rPr>
        <w:t> </w:t>
      </w:r>
      <w:r>
        <w:rPr>
          <w:color w:val="231F20"/>
          <w:spacing w:val="-4"/>
        </w:rPr>
        <w:t>compliance </w:t>
      </w:r>
      <w:r>
        <w:rPr>
          <w:color w:val="231F20"/>
          <w:spacing w:val="-6"/>
        </w:rPr>
        <w:t>with the discriminatory and illegal measures </w:t>
      </w:r>
      <w:r>
        <w:rPr>
          <w:color w:val="231F20"/>
        </w:rPr>
        <w:t>imposed by the Office of Foreign Assets Control</w:t>
      </w:r>
      <w:r>
        <w:rPr>
          <w:color w:val="231F20"/>
          <w:spacing w:val="40"/>
        </w:rPr>
        <w:t> </w:t>
      </w:r>
      <w:r>
        <w:rPr>
          <w:color w:val="231F20"/>
        </w:rPr>
        <w:t>(OFAC).</w:t>
      </w:r>
    </w:p>
    <w:p>
      <w:pPr>
        <w:pStyle w:val="BodyText"/>
        <w:spacing w:before="167"/>
        <w:ind w:left="413" w:right="1133"/>
      </w:pPr>
      <w:r>
        <w:rPr>
          <w:color w:val="231F20"/>
          <w:spacing w:val="-2"/>
        </w:rPr>
        <w:t>In</w:t>
      </w:r>
      <w:r>
        <w:rPr>
          <w:color w:val="231F20"/>
          <w:spacing w:val="-15"/>
        </w:rPr>
        <w:t> </w:t>
      </w:r>
      <w:r>
        <w:rPr>
          <w:color w:val="231F20"/>
          <w:spacing w:val="-2"/>
        </w:rPr>
        <w:t>the</w:t>
      </w:r>
      <w:r>
        <w:rPr>
          <w:color w:val="231F20"/>
          <w:spacing w:val="-14"/>
        </w:rPr>
        <w:t> </w:t>
      </w:r>
      <w:r>
        <w:rPr>
          <w:color w:val="231F20"/>
          <w:spacing w:val="-2"/>
        </w:rPr>
        <w:t>period</w:t>
      </w:r>
      <w:r>
        <w:rPr>
          <w:color w:val="231F20"/>
          <w:spacing w:val="-15"/>
        </w:rPr>
        <w:t> </w:t>
      </w:r>
      <w:r>
        <w:rPr>
          <w:color w:val="231F20"/>
          <w:spacing w:val="-2"/>
        </w:rPr>
        <w:t>considered,</w:t>
      </w:r>
      <w:r>
        <w:rPr>
          <w:color w:val="231F20"/>
          <w:spacing w:val="-14"/>
        </w:rPr>
        <w:t> </w:t>
      </w:r>
      <w:r>
        <w:rPr>
          <w:color w:val="231F20"/>
          <w:spacing w:val="-2"/>
        </w:rPr>
        <w:t>the</w:t>
      </w:r>
      <w:r>
        <w:rPr>
          <w:color w:val="231F20"/>
          <w:spacing w:val="-15"/>
        </w:rPr>
        <w:t> </w:t>
      </w:r>
      <w:r>
        <w:rPr>
          <w:color w:val="231F20"/>
          <w:spacing w:val="-2"/>
        </w:rPr>
        <w:t>losses</w:t>
      </w:r>
      <w:r>
        <w:rPr>
          <w:color w:val="231F20"/>
          <w:spacing w:val="-14"/>
        </w:rPr>
        <w:t> </w:t>
      </w:r>
      <w:r>
        <w:rPr>
          <w:color w:val="231F20"/>
          <w:spacing w:val="-2"/>
        </w:rPr>
        <w:t>caused </w:t>
      </w:r>
      <w:r>
        <w:rPr>
          <w:color w:val="231F20"/>
          <w:spacing w:val="-6"/>
        </w:rPr>
        <w:t>by</w:t>
      </w:r>
      <w:r>
        <w:rPr>
          <w:color w:val="231F20"/>
          <w:spacing w:val="-11"/>
        </w:rPr>
        <w:t> </w:t>
      </w:r>
      <w:r>
        <w:rPr>
          <w:color w:val="231F20"/>
          <w:spacing w:val="-6"/>
        </w:rPr>
        <w:t>the</w:t>
      </w:r>
      <w:r>
        <w:rPr>
          <w:color w:val="231F20"/>
          <w:spacing w:val="-10"/>
        </w:rPr>
        <w:t> </w:t>
      </w:r>
      <w:r>
        <w:rPr>
          <w:color w:val="231F20"/>
          <w:spacing w:val="-6"/>
        </w:rPr>
        <w:t>blockade</w:t>
      </w:r>
      <w:r>
        <w:rPr>
          <w:color w:val="231F20"/>
          <w:spacing w:val="-11"/>
        </w:rPr>
        <w:t> </w:t>
      </w:r>
      <w:r>
        <w:rPr>
          <w:color w:val="231F20"/>
          <w:spacing w:val="-6"/>
        </w:rPr>
        <w:t>to</w:t>
      </w:r>
      <w:r>
        <w:rPr>
          <w:color w:val="231F20"/>
          <w:spacing w:val="-10"/>
        </w:rPr>
        <w:t> </w:t>
      </w:r>
      <w:r>
        <w:rPr>
          <w:b/>
          <w:color w:val="231F20"/>
          <w:spacing w:val="-6"/>
        </w:rPr>
        <w:t>Cuban</w:t>
      </w:r>
      <w:r>
        <w:rPr>
          <w:b/>
          <w:color w:val="231F20"/>
          <w:spacing w:val="-11"/>
        </w:rPr>
        <w:t> </w:t>
      </w:r>
      <w:r>
        <w:rPr>
          <w:b/>
          <w:color w:val="231F20"/>
          <w:spacing w:val="-6"/>
        </w:rPr>
        <w:t>industry</w:t>
      </w:r>
      <w:r>
        <w:rPr>
          <w:b/>
          <w:color w:val="231F20"/>
          <w:spacing w:val="-10"/>
        </w:rPr>
        <w:t> </w:t>
      </w:r>
      <w:r>
        <w:rPr>
          <w:b/>
          <w:color w:val="231F20"/>
          <w:spacing w:val="-6"/>
        </w:rPr>
        <w:t>and</w:t>
      </w:r>
      <w:r>
        <w:rPr>
          <w:b/>
          <w:color w:val="231F20"/>
          <w:spacing w:val="-11"/>
        </w:rPr>
        <w:t> </w:t>
      </w:r>
      <w:r>
        <w:rPr>
          <w:b/>
          <w:color w:val="231F20"/>
          <w:spacing w:val="-6"/>
        </w:rPr>
        <w:t>the </w:t>
      </w:r>
      <w:r>
        <w:rPr>
          <w:b/>
          <w:color w:val="231F20"/>
        </w:rPr>
        <w:t>business</w:t>
      </w:r>
      <w:r>
        <w:rPr>
          <w:b/>
          <w:color w:val="231F20"/>
          <w:spacing w:val="-13"/>
        </w:rPr>
        <w:t> </w:t>
      </w:r>
      <w:r>
        <w:rPr>
          <w:b/>
          <w:color w:val="231F20"/>
        </w:rPr>
        <w:t>system</w:t>
      </w:r>
      <w:r>
        <w:rPr>
          <w:b/>
          <w:color w:val="231F20"/>
          <w:spacing w:val="-13"/>
        </w:rPr>
        <w:t> </w:t>
      </w:r>
      <w:r>
        <w:rPr>
          <w:color w:val="231F20"/>
        </w:rPr>
        <w:t>combined</w:t>
      </w:r>
      <w:r>
        <w:rPr>
          <w:color w:val="231F20"/>
          <w:spacing w:val="-12"/>
        </w:rPr>
        <w:t> </w:t>
      </w:r>
      <w:r>
        <w:rPr>
          <w:color w:val="231F20"/>
        </w:rPr>
        <w:t>are</w:t>
      </w:r>
      <w:r>
        <w:rPr>
          <w:color w:val="231F20"/>
          <w:spacing w:val="-12"/>
        </w:rPr>
        <w:t> </w:t>
      </w:r>
      <w:r>
        <w:rPr>
          <w:color w:val="231F20"/>
        </w:rPr>
        <w:t>estimated at</w:t>
      </w:r>
      <w:r>
        <w:rPr>
          <w:color w:val="231F20"/>
          <w:spacing w:val="-11"/>
        </w:rPr>
        <w:t> </w:t>
      </w:r>
      <w:r>
        <w:rPr>
          <w:rFonts w:ascii="Segoe UI Semibold"/>
          <w:b/>
          <w:color w:val="231F20"/>
        </w:rPr>
        <w:t>USD</w:t>
      </w:r>
      <w:r>
        <w:rPr>
          <w:rFonts w:ascii="Segoe UI Semibold"/>
          <w:b/>
          <w:color w:val="231F20"/>
          <w:spacing w:val="-12"/>
        </w:rPr>
        <w:t> </w:t>
      </w:r>
      <w:r>
        <w:rPr>
          <w:rFonts w:ascii="Segoe UI Semibold"/>
          <w:b/>
          <w:color w:val="231F20"/>
        </w:rPr>
        <w:t>467,750,990</w:t>
      </w:r>
      <w:r>
        <w:rPr>
          <w:color w:val="231F20"/>
        </w:rPr>
        <w:t>.</w:t>
      </w:r>
      <w:r>
        <w:rPr>
          <w:color w:val="231F20"/>
          <w:spacing w:val="-11"/>
        </w:rPr>
        <w:t> </w:t>
      </w:r>
      <w:r>
        <w:rPr>
          <w:color w:val="231F20"/>
        </w:rPr>
        <w:t>They</w:t>
      </w:r>
      <w:r>
        <w:rPr>
          <w:color w:val="231F20"/>
          <w:spacing w:val="-11"/>
        </w:rPr>
        <w:t> </w:t>
      </w:r>
      <w:r>
        <w:rPr>
          <w:color w:val="231F20"/>
        </w:rPr>
        <w:t>relate</w:t>
      </w:r>
      <w:r>
        <w:rPr>
          <w:color w:val="231F20"/>
          <w:spacing w:val="-11"/>
        </w:rPr>
        <w:t> </w:t>
      </w:r>
      <w:r>
        <w:rPr>
          <w:color w:val="231F20"/>
        </w:rPr>
        <w:t>mainly</w:t>
      </w:r>
      <w:r>
        <w:rPr>
          <w:color w:val="231F20"/>
          <w:spacing w:val="-11"/>
        </w:rPr>
        <w:t> </w:t>
      </w:r>
      <w:r>
        <w:rPr>
          <w:color w:val="231F20"/>
        </w:rPr>
        <w:t>to revenues foregone on exports of goods and services, geographical relocation of trade, fluctuations in exchange rates, the </w:t>
      </w:r>
      <w:r>
        <w:rPr>
          <w:color w:val="231F20"/>
          <w:spacing w:val="-2"/>
        </w:rPr>
        <w:t>impact</w:t>
      </w:r>
      <w:r>
        <w:rPr>
          <w:color w:val="231F20"/>
          <w:spacing w:val="-15"/>
        </w:rPr>
        <w:t> </w:t>
      </w:r>
      <w:r>
        <w:rPr>
          <w:color w:val="231F20"/>
          <w:spacing w:val="-2"/>
        </w:rPr>
        <w:t>of</w:t>
      </w:r>
      <w:r>
        <w:rPr>
          <w:color w:val="231F20"/>
          <w:spacing w:val="-14"/>
        </w:rPr>
        <w:t> </w:t>
      </w:r>
      <w:r>
        <w:rPr>
          <w:color w:val="231F20"/>
          <w:spacing w:val="-2"/>
        </w:rPr>
        <w:t>technological</w:t>
      </w:r>
      <w:r>
        <w:rPr>
          <w:color w:val="231F20"/>
          <w:spacing w:val="-15"/>
        </w:rPr>
        <w:t> </w:t>
      </w:r>
      <w:r>
        <w:rPr>
          <w:color w:val="231F20"/>
          <w:spacing w:val="-2"/>
        </w:rPr>
        <w:t>blocking</w:t>
      </w:r>
      <w:r>
        <w:rPr>
          <w:color w:val="231F20"/>
          <w:spacing w:val="-14"/>
        </w:rPr>
        <w:t> </w:t>
      </w:r>
      <w:r>
        <w:rPr>
          <w:color w:val="231F20"/>
          <w:spacing w:val="-2"/>
        </w:rPr>
        <w:t>and</w:t>
      </w:r>
      <w:r>
        <w:rPr>
          <w:color w:val="231F20"/>
          <w:spacing w:val="-15"/>
        </w:rPr>
        <w:t> </w:t>
      </w:r>
      <w:r>
        <w:rPr>
          <w:color w:val="231F20"/>
          <w:spacing w:val="-2"/>
        </w:rPr>
        <w:t>a</w:t>
      </w:r>
      <w:r>
        <w:rPr>
          <w:color w:val="231F20"/>
          <w:spacing w:val="-14"/>
        </w:rPr>
        <w:t> </w:t>
      </w:r>
      <w:r>
        <w:rPr>
          <w:color w:val="231F20"/>
          <w:spacing w:val="-2"/>
        </w:rPr>
        <w:t>fuel </w:t>
      </w:r>
      <w:r>
        <w:rPr>
          <w:color w:val="231F20"/>
        </w:rPr>
        <w:t>shortage that has impacted the industrial and business system across the board.</w:t>
      </w:r>
    </w:p>
    <w:p>
      <w:pPr>
        <w:pStyle w:val="BodyText"/>
        <w:spacing w:before="168"/>
        <w:ind w:left="413" w:right="1135"/>
      </w:pPr>
      <w:r>
        <w:rPr>
          <w:color w:val="231F20"/>
        </w:rPr>
        <w:t>Some</w:t>
      </w:r>
      <w:r>
        <w:rPr>
          <w:color w:val="231F20"/>
          <w:spacing w:val="-8"/>
        </w:rPr>
        <w:t> </w:t>
      </w:r>
      <w:r>
        <w:rPr>
          <w:color w:val="231F20"/>
        </w:rPr>
        <w:t>of</w:t>
      </w:r>
      <w:r>
        <w:rPr>
          <w:color w:val="231F20"/>
          <w:spacing w:val="-8"/>
        </w:rPr>
        <w:t> </w:t>
      </w:r>
      <w:r>
        <w:rPr>
          <w:color w:val="231F20"/>
        </w:rPr>
        <w:t>the</w:t>
      </w:r>
      <w:r>
        <w:rPr>
          <w:color w:val="231F20"/>
          <w:spacing w:val="-8"/>
        </w:rPr>
        <w:t> </w:t>
      </w:r>
      <w:r>
        <w:rPr>
          <w:color w:val="231F20"/>
        </w:rPr>
        <w:t>severest</w:t>
      </w:r>
      <w:r>
        <w:rPr>
          <w:color w:val="231F20"/>
          <w:spacing w:val="-8"/>
        </w:rPr>
        <w:t> </w:t>
      </w:r>
      <w:r>
        <w:rPr>
          <w:color w:val="231F20"/>
        </w:rPr>
        <w:t>repercussions</w:t>
      </w:r>
      <w:r>
        <w:rPr>
          <w:color w:val="231F20"/>
          <w:spacing w:val="-8"/>
        </w:rPr>
        <w:t> </w:t>
      </w:r>
      <w:r>
        <w:rPr>
          <w:color w:val="231F20"/>
        </w:rPr>
        <w:t>in</w:t>
      </w:r>
      <w:r>
        <w:rPr>
          <w:color w:val="231F20"/>
          <w:spacing w:val="-8"/>
        </w:rPr>
        <w:t> </w:t>
      </w:r>
      <w:r>
        <w:rPr>
          <w:color w:val="231F20"/>
        </w:rPr>
        <w:t>this sector were:</w:t>
      </w:r>
    </w:p>
    <w:p>
      <w:pPr>
        <w:pStyle w:val="BodyText"/>
        <w:spacing w:before="161"/>
        <w:ind w:left="674" w:right="1133" w:hanging="261"/>
      </w:pPr>
      <w:r>
        <w:rPr>
          <w:position w:val="3"/>
        </w:rPr>
        <w:drawing>
          <wp:inline distT="0" distB="0" distL="0" distR="0">
            <wp:extent cx="59207" cy="59207"/>
            <wp:effectExtent l="0" t="0" r="0" b="0"/>
            <wp:docPr id="255" name="Image 255"/>
            <wp:cNvGraphicFramePr>
              <a:graphicFrameLocks/>
            </wp:cNvGraphicFramePr>
            <a:graphic>
              <a:graphicData uri="http://schemas.openxmlformats.org/drawingml/2006/picture">
                <pic:pic>
                  <pic:nvPicPr>
                    <pic:cNvPr id="255" name="Image 255"/>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32"/>
          <w:sz w:val="20"/>
        </w:rPr>
        <w:t> </w:t>
      </w:r>
      <w:r>
        <w:rPr>
          <w:color w:val="231F20"/>
        </w:rPr>
        <w:t>Refusal,</w:t>
      </w:r>
      <w:r>
        <w:rPr>
          <w:color w:val="231F20"/>
          <w:spacing w:val="-16"/>
        </w:rPr>
        <w:t> </w:t>
      </w:r>
      <w:r>
        <w:rPr>
          <w:color w:val="231F20"/>
        </w:rPr>
        <w:t>citing</w:t>
      </w:r>
      <w:r>
        <w:rPr>
          <w:color w:val="231F20"/>
          <w:spacing w:val="-17"/>
        </w:rPr>
        <w:t> </w:t>
      </w:r>
      <w:r>
        <w:rPr>
          <w:color w:val="231F20"/>
        </w:rPr>
        <w:t>the</w:t>
      </w:r>
      <w:r>
        <w:rPr>
          <w:color w:val="231F20"/>
          <w:spacing w:val="-16"/>
        </w:rPr>
        <w:t> </w:t>
      </w:r>
      <w:r>
        <w:rPr>
          <w:color w:val="231F20"/>
        </w:rPr>
        <w:t>blockade,</w:t>
      </w:r>
      <w:r>
        <w:rPr>
          <w:color w:val="231F20"/>
          <w:spacing w:val="-16"/>
        </w:rPr>
        <w:t> </w:t>
      </w:r>
      <w:r>
        <w:rPr>
          <w:color w:val="231F20"/>
        </w:rPr>
        <w:t>by</w:t>
      </w:r>
      <w:r>
        <w:rPr>
          <w:color w:val="231F20"/>
          <w:spacing w:val="-17"/>
        </w:rPr>
        <w:t> </w:t>
      </w:r>
      <w:r>
        <w:rPr>
          <w:color w:val="231F20"/>
        </w:rPr>
        <w:t>the</w:t>
      </w:r>
      <w:r>
        <w:rPr>
          <w:color w:val="231F20"/>
          <w:spacing w:val="-16"/>
        </w:rPr>
        <w:t> </w:t>
      </w:r>
      <w:r>
        <w:rPr>
          <w:color w:val="231F20"/>
        </w:rPr>
        <w:t>Swiss company</w:t>
      </w:r>
      <w:r>
        <w:rPr>
          <w:color w:val="231F20"/>
          <w:spacing w:val="-3"/>
        </w:rPr>
        <w:t> </w:t>
      </w:r>
      <w:r>
        <w:rPr>
          <w:color w:val="231F20"/>
        </w:rPr>
        <w:t>Rieter,</w:t>
      </w:r>
      <w:r>
        <w:rPr>
          <w:color w:val="231F20"/>
          <w:spacing w:val="-3"/>
        </w:rPr>
        <w:t> </w:t>
      </w:r>
      <w:r>
        <w:rPr>
          <w:color w:val="231F20"/>
        </w:rPr>
        <w:t>to</w:t>
      </w:r>
      <w:r>
        <w:rPr>
          <w:color w:val="231F20"/>
          <w:spacing w:val="-3"/>
        </w:rPr>
        <w:t> </w:t>
      </w:r>
      <w:r>
        <w:rPr>
          <w:color w:val="231F20"/>
        </w:rPr>
        <w:t>supply</w:t>
      </w:r>
      <w:r>
        <w:rPr>
          <w:color w:val="231F20"/>
          <w:spacing w:val="-3"/>
        </w:rPr>
        <w:t> </w:t>
      </w:r>
      <w:r>
        <w:rPr>
          <w:color w:val="231F20"/>
        </w:rPr>
        <w:t>replacement parts for the Cuba’s Inejiro Asanuma textile firm.</w:t>
      </w:r>
    </w:p>
    <w:p>
      <w:pPr>
        <w:pStyle w:val="BodyText"/>
        <w:spacing w:before="164"/>
        <w:ind w:left="413"/>
      </w:pPr>
      <w:r>
        <w:rPr>
          <w:position w:val="3"/>
        </w:rPr>
        <w:drawing>
          <wp:inline distT="0" distB="0" distL="0" distR="0">
            <wp:extent cx="59207" cy="59207"/>
            <wp:effectExtent l="0" t="0" r="0" b="0"/>
            <wp:docPr id="256" name="Image 256"/>
            <wp:cNvGraphicFramePr>
              <a:graphicFrameLocks/>
            </wp:cNvGraphicFramePr>
            <a:graphic>
              <a:graphicData uri="http://schemas.openxmlformats.org/drawingml/2006/picture">
                <pic:pic>
                  <pic:nvPicPr>
                    <pic:cNvPr id="256" name="Image 256"/>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spacing w:val="80"/>
          <w:w w:val="150"/>
          <w:sz w:val="20"/>
        </w:rPr>
        <w:t> </w:t>
      </w:r>
      <w:r>
        <w:rPr>
          <w:color w:val="231F20"/>
        </w:rPr>
        <w:t>Late</w:t>
      </w:r>
      <w:r>
        <w:rPr>
          <w:color w:val="231F20"/>
          <w:spacing w:val="40"/>
        </w:rPr>
        <w:t> </w:t>
      </w:r>
      <w:r>
        <w:rPr>
          <w:color w:val="231F20"/>
        </w:rPr>
        <w:t>deliveries</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Suchel</w:t>
      </w:r>
      <w:r>
        <w:rPr>
          <w:color w:val="231F20"/>
          <w:spacing w:val="40"/>
        </w:rPr>
        <w:t> </w:t>
      </w:r>
      <w:r>
        <w:rPr>
          <w:color w:val="231F20"/>
        </w:rPr>
        <w:t>Camacho</w:t>
      </w:r>
    </w:p>
    <w:p>
      <w:pPr>
        <w:pStyle w:val="BodyText"/>
        <w:ind w:left="674" w:right="1133"/>
      </w:pPr>
      <w:r>
        <w:rPr>
          <w:color w:val="231F20"/>
        </w:rPr>
        <w:t>S.A. joint venture company, causing setbacks to the firm’s production schedules. Effects included delayed delivery</w:t>
      </w:r>
      <w:r>
        <w:rPr>
          <w:color w:val="231F20"/>
          <w:spacing w:val="-15"/>
        </w:rPr>
        <w:t> </w:t>
      </w:r>
      <w:r>
        <w:rPr>
          <w:color w:val="231F20"/>
        </w:rPr>
        <w:t>of</w:t>
      </w:r>
      <w:r>
        <w:rPr>
          <w:color w:val="231F20"/>
          <w:spacing w:val="-15"/>
        </w:rPr>
        <w:t> </w:t>
      </w:r>
      <w:r>
        <w:rPr>
          <w:color w:val="231F20"/>
        </w:rPr>
        <w:t>soap</w:t>
      </w:r>
      <w:r>
        <w:rPr>
          <w:color w:val="231F20"/>
          <w:spacing w:val="-15"/>
        </w:rPr>
        <w:t> </w:t>
      </w:r>
      <w:r>
        <w:rPr>
          <w:color w:val="231F20"/>
        </w:rPr>
        <w:t>to</w:t>
      </w:r>
      <w:r>
        <w:rPr>
          <w:color w:val="231F20"/>
          <w:spacing w:val="-15"/>
        </w:rPr>
        <w:t> </w:t>
      </w:r>
      <w:r>
        <w:rPr>
          <w:color w:val="231F20"/>
        </w:rPr>
        <w:t>the</w:t>
      </w:r>
      <w:r>
        <w:rPr>
          <w:color w:val="231F20"/>
          <w:spacing w:val="-15"/>
        </w:rPr>
        <w:t> </w:t>
      </w:r>
      <w:r>
        <w:rPr>
          <w:color w:val="231F20"/>
        </w:rPr>
        <w:t>retail</w:t>
      </w:r>
      <w:r>
        <w:rPr>
          <w:color w:val="231F20"/>
          <w:spacing w:val="-15"/>
        </w:rPr>
        <w:t> </w:t>
      </w:r>
      <w:r>
        <w:rPr>
          <w:color w:val="231F20"/>
        </w:rPr>
        <w:t>outlets</w:t>
      </w:r>
      <w:r>
        <w:rPr>
          <w:color w:val="231F20"/>
          <w:spacing w:val="-15"/>
        </w:rPr>
        <w:t> </w:t>
      </w:r>
      <w:r>
        <w:rPr>
          <w:color w:val="231F20"/>
        </w:rPr>
        <w:t>due to shortage of raw materials caused by the</w:t>
      </w:r>
      <w:r>
        <w:rPr>
          <w:color w:val="231F20"/>
          <w:spacing w:val="58"/>
        </w:rPr>
        <w:t> </w:t>
      </w:r>
      <w:r>
        <w:rPr>
          <w:color w:val="231F20"/>
        </w:rPr>
        <w:t>impossibility</w:t>
      </w:r>
      <w:r>
        <w:rPr>
          <w:color w:val="231F20"/>
          <w:spacing w:val="60"/>
        </w:rPr>
        <w:t> </w:t>
      </w:r>
      <w:r>
        <w:rPr>
          <w:color w:val="231F20"/>
        </w:rPr>
        <w:t>for</w:t>
      </w:r>
      <w:r>
        <w:rPr>
          <w:color w:val="231F20"/>
          <w:spacing w:val="60"/>
        </w:rPr>
        <w:t> </w:t>
      </w:r>
      <w:r>
        <w:rPr>
          <w:color w:val="231F20"/>
        </w:rPr>
        <w:t>vessels</w:t>
      </w:r>
      <w:r>
        <w:rPr>
          <w:color w:val="231F20"/>
          <w:spacing w:val="60"/>
        </w:rPr>
        <w:t> </w:t>
      </w:r>
      <w:r>
        <w:rPr>
          <w:color w:val="231F20"/>
        </w:rPr>
        <w:t>to</w:t>
      </w:r>
      <w:r>
        <w:rPr>
          <w:color w:val="231F20"/>
          <w:spacing w:val="61"/>
        </w:rPr>
        <w:t> </w:t>
      </w:r>
      <w:r>
        <w:rPr>
          <w:color w:val="231F20"/>
          <w:spacing w:val="-2"/>
        </w:rPr>
        <w:t>touch</w:t>
      </w:r>
    </w:p>
    <w:p>
      <w:pPr>
        <w:spacing w:after="0"/>
        <w:sectPr>
          <w:pgSz w:w="11910" w:h="16840"/>
          <w:pgMar w:header="0" w:footer="695" w:top="1260" w:bottom="880" w:left="0" w:right="0"/>
          <w:cols w:num="2" w:equalWidth="0">
            <w:col w:w="5896" w:space="40"/>
            <w:col w:w="5974"/>
          </w:cols>
        </w:sectPr>
      </w:pPr>
    </w:p>
    <w:p>
      <w:pPr>
        <w:spacing w:line="216" w:lineRule="auto" w:before="95"/>
        <w:ind w:left="1474" w:right="1044" w:firstLine="0"/>
        <w:jc w:val="left"/>
        <w:rPr>
          <w:i/>
          <w:sz w:val="18"/>
        </w:rPr>
      </w:pPr>
      <w:r>
        <w:rPr>
          <w:i/>
          <w:color w:val="231F20"/>
          <w:position w:val="6"/>
          <w:sz w:val="10"/>
        </w:rPr>
        <w:t>1</w:t>
      </w:r>
      <w:r>
        <w:rPr>
          <w:i/>
          <w:color w:val="231F20"/>
          <w:spacing w:val="-4"/>
          <w:position w:val="6"/>
          <w:sz w:val="10"/>
        </w:rPr>
        <w:t> </w:t>
      </w:r>
      <w:r>
        <w:rPr>
          <w:i/>
          <w:color w:val="231F20"/>
          <w:sz w:val="18"/>
        </w:rPr>
        <w:t>EMS</w:t>
      </w:r>
      <w:r>
        <w:rPr>
          <w:i/>
          <w:color w:val="231F20"/>
          <w:spacing w:val="-9"/>
          <w:sz w:val="18"/>
        </w:rPr>
        <w:t> </w:t>
      </w:r>
      <w:r>
        <w:rPr>
          <w:i/>
          <w:color w:val="231F20"/>
          <w:sz w:val="18"/>
        </w:rPr>
        <w:t>is</w:t>
      </w:r>
      <w:r>
        <w:rPr>
          <w:i/>
          <w:color w:val="231F20"/>
          <w:spacing w:val="-9"/>
          <w:sz w:val="18"/>
        </w:rPr>
        <w:t> </w:t>
      </w:r>
      <w:r>
        <w:rPr>
          <w:i/>
          <w:color w:val="231F20"/>
          <w:sz w:val="18"/>
        </w:rPr>
        <w:t>a</w:t>
      </w:r>
      <w:r>
        <w:rPr>
          <w:i/>
          <w:color w:val="231F20"/>
          <w:spacing w:val="-9"/>
          <w:sz w:val="18"/>
        </w:rPr>
        <w:t> </w:t>
      </w:r>
      <w:r>
        <w:rPr>
          <w:i/>
          <w:color w:val="231F20"/>
          <w:sz w:val="18"/>
        </w:rPr>
        <w:t>rapid</w:t>
      </w:r>
      <w:r>
        <w:rPr>
          <w:i/>
          <w:color w:val="231F20"/>
          <w:spacing w:val="-9"/>
          <w:sz w:val="18"/>
        </w:rPr>
        <w:t> </w:t>
      </w:r>
      <w:r>
        <w:rPr>
          <w:i/>
          <w:color w:val="231F20"/>
          <w:sz w:val="18"/>
        </w:rPr>
        <w:t>international</w:t>
      </w:r>
      <w:r>
        <w:rPr>
          <w:i/>
          <w:color w:val="231F20"/>
          <w:spacing w:val="-9"/>
          <w:sz w:val="18"/>
        </w:rPr>
        <w:t> </w:t>
      </w:r>
      <w:r>
        <w:rPr>
          <w:i/>
          <w:color w:val="231F20"/>
          <w:sz w:val="18"/>
        </w:rPr>
        <w:t>postal</w:t>
      </w:r>
      <w:r>
        <w:rPr>
          <w:i/>
          <w:color w:val="231F20"/>
          <w:spacing w:val="-9"/>
          <w:sz w:val="18"/>
        </w:rPr>
        <w:t> </w:t>
      </w:r>
      <w:r>
        <w:rPr>
          <w:i/>
          <w:color w:val="231F20"/>
          <w:sz w:val="18"/>
        </w:rPr>
        <w:t>service</w:t>
      </w:r>
      <w:r>
        <w:rPr>
          <w:i/>
          <w:color w:val="231F20"/>
          <w:spacing w:val="-9"/>
          <w:sz w:val="18"/>
        </w:rPr>
        <w:t> </w:t>
      </w:r>
      <w:r>
        <w:rPr>
          <w:i/>
          <w:color w:val="231F20"/>
          <w:sz w:val="18"/>
        </w:rPr>
        <w:t>for</w:t>
      </w:r>
      <w:r>
        <w:rPr>
          <w:i/>
          <w:color w:val="231F20"/>
          <w:spacing w:val="-9"/>
          <w:sz w:val="18"/>
        </w:rPr>
        <w:t> </w:t>
      </w:r>
      <w:r>
        <w:rPr>
          <w:i/>
          <w:color w:val="231F20"/>
          <w:sz w:val="18"/>
        </w:rPr>
        <w:t>documents</w:t>
      </w:r>
      <w:r>
        <w:rPr>
          <w:i/>
          <w:color w:val="231F20"/>
          <w:spacing w:val="-9"/>
          <w:sz w:val="18"/>
        </w:rPr>
        <w:t> </w:t>
      </w:r>
      <w:r>
        <w:rPr>
          <w:i/>
          <w:color w:val="231F20"/>
          <w:sz w:val="18"/>
        </w:rPr>
        <w:t>and</w:t>
      </w:r>
      <w:r>
        <w:rPr>
          <w:i/>
          <w:color w:val="231F20"/>
          <w:spacing w:val="-9"/>
          <w:sz w:val="18"/>
        </w:rPr>
        <w:t> </w:t>
      </w:r>
      <w:r>
        <w:rPr>
          <w:i/>
          <w:color w:val="231F20"/>
          <w:sz w:val="18"/>
        </w:rPr>
        <w:t>goods</w:t>
      </w:r>
      <w:r>
        <w:rPr>
          <w:i/>
          <w:color w:val="231F20"/>
          <w:spacing w:val="-9"/>
          <w:sz w:val="18"/>
        </w:rPr>
        <w:t> </w:t>
      </w:r>
      <w:r>
        <w:rPr>
          <w:i/>
          <w:color w:val="231F20"/>
          <w:sz w:val="18"/>
        </w:rPr>
        <w:t>offered</w:t>
      </w:r>
      <w:r>
        <w:rPr>
          <w:i/>
          <w:color w:val="231F20"/>
          <w:spacing w:val="-9"/>
          <w:sz w:val="18"/>
        </w:rPr>
        <w:t> </w:t>
      </w:r>
      <w:r>
        <w:rPr>
          <w:i/>
          <w:color w:val="231F20"/>
          <w:sz w:val="18"/>
        </w:rPr>
        <w:t>by</w:t>
      </w:r>
      <w:r>
        <w:rPr>
          <w:i/>
          <w:color w:val="231F20"/>
          <w:spacing w:val="-9"/>
          <w:sz w:val="18"/>
        </w:rPr>
        <w:t> </w:t>
      </w:r>
      <w:r>
        <w:rPr>
          <w:i/>
          <w:color w:val="231F20"/>
          <w:sz w:val="18"/>
        </w:rPr>
        <w:t>mail</w:t>
      </w:r>
      <w:r>
        <w:rPr>
          <w:i/>
          <w:color w:val="231F20"/>
          <w:spacing w:val="-9"/>
          <w:sz w:val="18"/>
        </w:rPr>
        <w:t> </w:t>
      </w:r>
      <w:r>
        <w:rPr>
          <w:i/>
          <w:color w:val="231F20"/>
          <w:sz w:val="18"/>
        </w:rPr>
        <w:t>operators</w:t>
      </w:r>
      <w:r>
        <w:rPr>
          <w:i/>
          <w:color w:val="231F20"/>
          <w:spacing w:val="-9"/>
          <w:sz w:val="18"/>
        </w:rPr>
        <w:t> </w:t>
      </w:r>
      <w:r>
        <w:rPr>
          <w:i/>
          <w:color w:val="231F20"/>
          <w:sz w:val="18"/>
        </w:rPr>
        <w:t>belonging</w:t>
      </w:r>
      <w:r>
        <w:rPr>
          <w:i/>
          <w:color w:val="231F20"/>
          <w:spacing w:val="-9"/>
          <w:sz w:val="18"/>
        </w:rPr>
        <w:t> </w:t>
      </w:r>
      <w:r>
        <w:rPr>
          <w:i/>
          <w:color w:val="231F20"/>
          <w:sz w:val="18"/>
        </w:rPr>
        <w:t>to</w:t>
      </w:r>
      <w:r>
        <w:rPr>
          <w:i/>
          <w:color w:val="231F20"/>
          <w:spacing w:val="-9"/>
          <w:sz w:val="18"/>
        </w:rPr>
        <w:t> </w:t>
      </w:r>
      <w:r>
        <w:rPr>
          <w:i/>
          <w:color w:val="231F20"/>
          <w:sz w:val="18"/>
        </w:rPr>
        <w:t>the</w:t>
      </w:r>
      <w:r>
        <w:rPr>
          <w:i/>
          <w:color w:val="231F20"/>
          <w:spacing w:val="-9"/>
          <w:sz w:val="18"/>
        </w:rPr>
        <w:t> </w:t>
      </w:r>
      <w:r>
        <w:rPr>
          <w:i/>
          <w:color w:val="231F20"/>
          <w:sz w:val="18"/>
        </w:rPr>
        <w:t>Universal</w:t>
      </w:r>
      <w:r>
        <w:rPr>
          <w:i/>
          <w:color w:val="231F20"/>
          <w:sz w:val="18"/>
        </w:rPr>
        <w:t> Postal Union (UPU) connecting over 180 countries and territories worldwide.</w:t>
      </w:r>
    </w:p>
    <w:p>
      <w:pPr>
        <w:spacing w:after="0" w:line="216" w:lineRule="auto"/>
        <w:jc w:val="left"/>
        <w:rPr>
          <w:sz w:val="18"/>
        </w:rPr>
        <w:sectPr>
          <w:type w:val="continuous"/>
          <w:pgSz w:w="11910" w:h="16840"/>
          <w:pgMar w:header="0" w:footer="695" w:top="1920" w:bottom="280" w:left="0" w:right="0"/>
        </w:sectPr>
      </w:pPr>
    </w:p>
    <w:p>
      <w:pPr>
        <w:pStyle w:val="BodyText"/>
        <w:spacing w:before="77"/>
        <w:ind w:left="1394"/>
      </w:pPr>
      <w:r>
        <w:rPr>
          <w:color w:val="231F20"/>
          <w:spacing w:val="-4"/>
        </w:rPr>
        <w:t>port</w:t>
      </w:r>
      <w:r>
        <w:rPr>
          <w:color w:val="231F20"/>
          <w:spacing w:val="-8"/>
        </w:rPr>
        <w:t> </w:t>
      </w:r>
      <w:r>
        <w:rPr>
          <w:color w:val="231F20"/>
          <w:spacing w:val="-4"/>
        </w:rPr>
        <w:t>in</w:t>
      </w:r>
      <w:r>
        <w:rPr>
          <w:color w:val="231F20"/>
          <w:spacing w:val="-8"/>
        </w:rPr>
        <w:t> </w:t>
      </w:r>
      <w:r>
        <w:rPr>
          <w:color w:val="231F20"/>
          <w:spacing w:val="-4"/>
        </w:rPr>
        <w:t>Cuba</w:t>
      </w:r>
      <w:r>
        <w:rPr>
          <w:color w:val="231F20"/>
          <w:spacing w:val="-8"/>
        </w:rPr>
        <w:t> </w:t>
      </w:r>
      <w:r>
        <w:rPr>
          <w:color w:val="231F20"/>
          <w:spacing w:val="-4"/>
        </w:rPr>
        <w:t>without</w:t>
      </w:r>
      <w:r>
        <w:rPr>
          <w:color w:val="231F20"/>
          <w:spacing w:val="-8"/>
        </w:rPr>
        <w:t> </w:t>
      </w:r>
      <w:r>
        <w:rPr>
          <w:color w:val="231F20"/>
          <w:spacing w:val="-4"/>
        </w:rPr>
        <w:t>incurring</w:t>
      </w:r>
      <w:r>
        <w:rPr>
          <w:color w:val="231F20"/>
          <w:spacing w:val="-8"/>
        </w:rPr>
        <w:t> </w:t>
      </w:r>
      <w:r>
        <w:rPr>
          <w:color w:val="231F20"/>
          <w:spacing w:val="-4"/>
        </w:rPr>
        <w:t>sanctions, </w:t>
      </w:r>
      <w:r>
        <w:rPr>
          <w:color w:val="231F20"/>
        </w:rPr>
        <w:t>and</w:t>
      </w:r>
      <w:r>
        <w:rPr>
          <w:color w:val="231F20"/>
          <w:spacing w:val="-10"/>
        </w:rPr>
        <w:t> </w:t>
      </w:r>
      <w:r>
        <w:rPr>
          <w:color w:val="231F20"/>
        </w:rPr>
        <w:t>reductions</w:t>
      </w:r>
      <w:r>
        <w:rPr>
          <w:color w:val="231F20"/>
          <w:spacing w:val="-11"/>
        </w:rPr>
        <w:t> </w:t>
      </w:r>
      <w:r>
        <w:rPr>
          <w:color w:val="231F20"/>
        </w:rPr>
        <w:t>on</w:t>
      </w:r>
      <w:r>
        <w:rPr>
          <w:color w:val="231F20"/>
          <w:spacing w:val="-10"/>
        </w:rPr>
        <w:t> </w:t>
      </w:r>
      <w:r>
        <w:rPr>
          <w:color w:val="231F20"/>
        </w:rPr>
        <w:t>the</w:t>
      </w:r>
      <w:r>
        <w:rPr>
          <w:color w:val="231F20"/>
          <w:spacing w:val="-10"/>
        </w:rPr>
        <w:t> </w:t>
      </w:r>
      <w:r>
        <w:rPr>
          <w:color w:val="231F20"/>
        </w:rPr>
        <w:t>part</w:t>
      </w:r>
      <w:r>
        <w:rPr>
          <w:color w:val="231F20"/>
          <w:spacing w:val="-10"/>
        </w:rPr>
        <w:t> </w:t>
      </w:r>
      <w:r>
        <w:rPr>
          <w:color w:val="231F20"/>
        </w:rPr>
        <w:t>of</w:t>
      </w:r>
      <w:r>
        <w:rPr>
          <w:color w:val="231F20"/>
          <w:spacing w:val="-10"/>
        </w:rPr>
        <w:t> </w:t>
      </w:r>
      <w:r>
        <w:rPr>
          <w:color w:val="231F20"/>
        </w:rPr>
        <w:t>the</w:t>
      </w:r>
      <w:r>
        <w:rPr>
          <w:color w:val="231F20"/>
          <w:spacing w:val="-10"/>
        </w:rPr>
        <w:t> </w:t>
      </w:r>
      <w:r>
        <w:rPr>
          <w:color w:val="231F20"/>
        </w:rPr>
        <w:t>major shipping companies, namely: Hamburg Süd,</w:t>
      </w:r>
      <w:r>
        <w:rPr>
          <w:color w:val="231F20"/>
          <w:spacing w:val="13"/>
        </w:rPr>
        <w:t> </w:t>
      </w:r>
      <w:r>
        <w:rPr>
          <w:color w:val="231F20"/>
        </w:rPr>
        <w:t>MSC,</w:t>
      </w:r>
      <w:r>
        <w:rPr>
          <w:color w:val="231F20"/>
          <w:spacing w:val="15"/>
        </w:rPr>
        <w:t> </w:t>
      </w:r>
      <w:r>
        <w:rPr>
          <w:color w:val="231F20"/>
        </w:rPr>
        <w:t>Maersk,</w:t>
      </w:r>
      <w:r>
        <w:rPr>
          <w:color w:val="231F20"/>
          <w:spacing w:val="15"/>
        </w:rPr>
        <w:t> </w:t>
      </w:r>
      <w:r>
        <w:rPr>
          <w:color w:val="231F20"/>
        </w:rPr>
        <w:t>COSCO,</w:t>
      </w:r>
      <w:r>
        <w:rPr>
          <w:color w:val="231F20"/>
          <w:spacing w:val="15"/>
        </w:rPr>
        <w:t> </w:t>
      </w:r>
      <w:r>
        <w:rPr>
          <w:color w:val="231F20"/>
        </w:rPr>
        <w:t>CMA</w:t>
      </w:r>
      <w:r>
        <w:rPr>
          <w:color w:val="231F20"/>
          <w:spacing w:val="16"/>
        </w:rPr>
        <w:t> </w:t>
      </w:r>
      <w:r>
        <w:rPr>
          <w:color w:val="231F20"/>
          <w:spacing w:val="-4"/>
        </w:rPr>
        <w:t>CGM,</w:t>
      </w:r>
    </w:p>
    <w:p>
      <w:pPr>
        <w:pStyle w:val="BodyText"/>
        <w:spacing w:before="3"/>
        <w:ind w:left="1394"/>
      </w:pPr>
      <w:r>
        <w:rPr>
          <w:color w:val="231F20"/>
          <w:spacing w:val="-2"/>
        </w:rPr>
        <w:t>Hapag</w:t>
      </w:r>
      <w:r>
        <w:rPr>
          <w:color w:val="231F20"/>
          <w:spacing w:val="-9"/>
        </w:rPr>
        <w:t> </w:t>
      </w:r>
      <w:r>
        <w:rPr>
          <w:color w:val="231F20"/>
          <w:spacing w:val="-2"/>
        </w:rPr>
        <w:t>Lloyd,</w:t>
      </w:r>
      <w:r>
        <w:rPr>
          <w:color w:val="231F20"/>
          <w:spacing w:val="-8"/>
        </w:rPr>
        <w:t> </w:t>
      </w:r>
      <w:r>
        <w:rPr>
          <w:color w:val="231F20"/>
          <w:spacing w:val="-2"/>
        </w:rPr>
        <w:t>NIRINT</w:t>
      </w:r>
      <w:r>
        <w:rPr>
          <w:color w:val="231F20"/>
          <w:spacing w:val="-8"/>
        </w:rPr>
        <w:t> </w:t>
      </w:r>
      <w:r>
        <w:rPr>
          <w:color w:val="231F20"/>
          <w:spacing w:val="-2"/>
        </w:rPr>
        <w:t>and</w:t>
      </w:r>
      <w:r>
        <w:rPr>
          <w:color w:val="231F20"/>
          <w:spacing w:val="-8"/>
        </w:rPr>
        <w:t> </w:t>
      </w:r>
      <w:r>
        <w:rPr>
          <w:color w:val="231F20"/>
          <w:spacing w:val="-2"/>
        </w:rPr>
        <w:t>Melfi</w:t>
      </w:r>
      <w:r>
        <w:rPr>
          <w:color w:val="231F20"/>
          <w:spacing w:val="-8"/>
        </w:rPr>
        <w:t> </w:t>
      </w:r>
      <w:r>
        <w:rPr>
          <w:color w:val="231F20"/>
          <w:spacing w:val="-2"/>
        </w:rPr>
        <w:t>Marine.</w:t>
      </w:r>
    </w:p>
    <w:p>
      <w:pPr>
        <w:pStyle w:val="BodyText"/>
        <w:spacing w:before="161"/>
        <w:ind w:left="1394" w:hanging="261"/>
      </w:pPr>
      <w:r>
        <w:rPr>
          <w:position w:val="3"/>
        </w:rPr>
        <w:drawing>
          <wp:inline distT="0" distB="0" distL="0" distR="0">
            <wp:extent cx="59207" cy="59207"/>
            <wp:effectExtent l="0" t="0" r="0" b="0"/>
            <wp:docPr id="257" name="Image 257"/>
            <wp:cNvGraphicFramePr>
              <a:graphicFrameLocks/>
            </wp:cNvGraphicFramePr>
            <a:graphic>
              <a:graphicData uri="http://schemas.openxmlformats.org/drawingml/2006/picture">
                <pic:pic>
                  <pic:nvPicPr>
                    <pic:cNvPr id="257" name="Image 257"/>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spacing w:val="40"/>
          <w:sz w:val="20"/>
        </w:rPr>
        <w:t> </w:t>
      </w:r>
      <w:r>
        <w:rPr>
          <w:color w:val="231F20"/>
        </w:rPr>
        <w:t>A</w:t>
      </w:r>
      <w:r>
        <w:rPr>
          <w:color w:val="231F20"/>
          <w:spacing w:val="40"/>
        </w:rPr>
        <w:t> </w:t>
      </w:r>
      <w:r>
        <w:rPr>
          <w:color w:val="231F20"/>
        </w:rPr>
        <w:t>reduction</w:t>
      </w:r>
      <w:r>
        <w:rPr>
          <w:color w:val="231F20"/>
          <w:spacing w:val="40"/>
        </w:rPr>
        <w:t> </w:t>
      </w:r>
      <w:r>
        <w:rPr>
          <w:color w:val="231F20"/>
        </w:rPr>
        <w:t>to</w:t>
      </w:r>
      <w:r>
        <w:rPr>
          <w:color w:val="231F20"/>
          <w:spacing w:val="40"/>
        </w:rPr>
        <w:t> </w:t>
      </w:r>
      <w:r>
        <w:rPr>
          <w:color w:val="231F20"/>
        </w:rPr>
        <w:t>68</w:t>
      </w:r>
      <w:r>
        <w:rPr>
          <w:color w:val="231F20"/>
          <w:spacing w:val="40"/>
        </w:rPr>
        <w:t> </w:t>
      </w:r>
      <w:r>
        <w:rPr>
          <w:color w:val="231F20"/>
        </w:rPr>
        <w:t>from</w:t>
      </w:r>
      <w:r>
        <w:rPr>
          <w:color w:val="231F20"/>
          <w:spacing w:val="40"/>
        </w:rPr>
        <w:t> </w:t>
      </w:r>
      <w:r>
        <w:rPr>
          <w:color w:val="231F20"/>
        </w:rPr>
        <w:t>a</w:t>
      </w:r>
      <w:r>
        <w:rPr>
          <w:color w:val="231F20"/>
          <w:spacing w:val="40"/>
        </w:rPr>
        <w:t> </w:t>
      </w:r>
      <w:r>
        <w:rPr>
          <w:color w:val="231F20"/>
        </w:rPr>
        <w:t>total supplier base of 573 in the number </w:t>
      </w:r>
      <w:r>
        <w:rPr>
          <w:color w:val="231F20"/>
        </w:rPr>
        <w:t>of firms from which the COPEXTEL S.A. telecommunications company was</w:t>
      </w:r>
      <w:r>
        <w:rPr>
          <w:color w:val="231F20"/>
          <w:spacing w:val="80"/>
        </w:rPr>
        <w:t> </w:t>
      </w:r>
      <w:r>
        <w:rPr>
          <w:color w:val="231F20"/>
        </w:rPr>
        <w:t>able to import, creating substantial operating problems.</w:t>
      </w:r>
    </w:p>
    <w:p>
      <w:pPr>
        <w:pStyle w:val="BodyText"/>
        <w:spacing w:before="164"/>
        <w:ind w:left="1394" w:hanging="261"/>
      </w:pPr>
      <w:r>
        <w:rPr>
          <w:position w:val="3"/>
        </w:rPr>
        <w:drawing>
          <wp:inline distT="0" distB="0" distL="0" distR="0">
            <wp:extent cx="59207" cy="59207"/>
            <wp:effectExtent l="0" t="0" r="0" b="0"/>
            <wp:docPr id="258" name="Image 258"/>
            <wp:cNvGraphicFramePr>
              <a:graphicFrameLocks/>
            </wp:cNvGraphicFramePr>
            <a:graphic>
              <a:graphicData uri="http://schemas.openxmlformats.org/drawingml/2006/picture">
                <pic:pic>
                  <pic:nvPicPr>
                    <pic:cNvPr id="258" name="Image 258"/>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spacing w:val="-8"/>
          <w:sz w:val="20"/>
        </w:rPr>
        <w:t> </w:t>
      </w:r>
      <w:r>
        <w:rPr>
          <w:color w:val="231F20"/>
          <w:spacing w:val="-2"/>
        </w:rPr>
        <w:t>Excess</w:t>
      </w:r>
      <w:r>
        <w:rPr>
          <w:color w:val="231F20"/>
          <w:spacing w:val="-15"/>
        </w:rPr>
        <w:t> </w:t>
      </w:r>
      <w:r>
        <w:rPr>
          <w:color w:val="231F20"/>
          <w:spacing w:val="-2"/>
        </w:rPr>
        <w:t>costs</w:t>
      </w:r>
      <w:r>
        <w:rPr>
          <w:color w:val="231F20"/>
          <w:spacing w:val="-14"/>
        </w:rPr>
        <w:t> </w:t>
      </w:r>
      <w:r>
        <w:rPr>
          <w:color w:val="231F20"/>
          <w:spacing w:val="-2"/>
        </w:rPr>
        <w:t>reported</w:t>
      </w:r>
      <w:r>
        <w:rPr>
          <w:color w:val="231F20"/>
          <w:spacing w:val="-15"/>
        </w:rPr>
        <w:t> </w:t>
      </w:r>
      <w:r>
        <w:rPr>
          <w:color w:val="231F20"/>
          <w:spacing w:val="-2"/>
        </w:rPr>
        <w:t>at</w:t>
      </w:r>
      <w:r>
        <w:rPr>
          <w:color w:val="231F20"/>
          <w:spacing w:val="-14"/>
        </w:rPr>
        <w:t> </w:t>
      </w:r>
      <w:r>
        <w:rPr>
          <w:color w:val="231F20"/>
          <w:spacing w:val="-2"/>
        </w:rPr>
        <w:t>USD</w:t>
      </w:r>
      <w:r>
        <w:rPr>
          <w:color w:val="231F20"/>
          <w:spacing w:val="-15"/>
        </w:rPr>
        <w:t> </w:t>
      </w:r>
      <w:r>
        <w:rPr>
          <w:color w:val="231F20"/>
          <w:spacing w:val="-2"/>
        </w:rPr>
        <w:t>101,921,200 </w:t>
      </w:r>
      <w:r>
        <w:rPr>
          <w:color w:val="231F20"/>
        </w:rPr>
        <w:t>by CIMEX, which imports, exports and </w:t>
      </w:r>
      <w:r>
        <w:rPr>
          <w:color w:val="231F20"/>
          <w:spacing w:val="-2"/>
        </w:rPr>
        <w:t>markets</w:t>
      </w:r>
      <w:r>
        <w:rPr>
          <w:color w:val="231F20"/>
          <w:spacing w:val="-15"/>
        </w:rPr>
        <w:t> </w:t>
      </w:r>
      <w:r>
        <w:rPr>
          <w:color w:val="231F20"/>
          <w:spacing w:val="-2"/>
        </w:rPr>
        <w:t>goods</w:t>
      </w:r>
      <w:r>
        <w:rPr>
          <w:color w:val="231F20"/>
          <w:spacing w:val="-14"/>
        </w:rPr>
        <w:t> </w:t>
      </w:r>
      <w:r>
        <w:rPr>
          <w:color w:val="231F20"/>
          <w:spacing w:val="-2"/>
        </w:rPr>
        <w:t>and</w:t>
      </w:r>
      <w:r>
        <w:rPr>
          <w:color w:val="231F20"/>
          <w:spacing w:val="-15"/>
        </w:rPr>
        <w:t> </w:t>
      </w:r>
      <w:r>
        <w:rPr>
          <w:color w:val="231F20"/>
          <w:spacing w:val="-2"/>
        </w:rPr>
        <w:t>services.</w:t>
      </w:r>
      <w:r>
        <w:rPr>
          <w:color w:val="231F20"/>
          <w:spacing w:val="-14"/>
        </w:rPr>
        <w:t> </w:t>
      </w:r>
      <w:r>
        <w:rPr>
          <w:color w:val="231F20"/>
          <w:spacing w:val="-2"/>
        </w:rPr>
        <w:t>Had</w:t>
      </w:r>
      <w:r>
        <w:rPr>
          <w:color w:val="231F20"/>
          <w:spacing w:val="-14"/>
        </w:rPr>
        <w:t> </w:t>
      </w:r>
      <w:r>
        <w:rPr>
          <w:color w:val="231F20"/>
          <w:spacing w:val="-2"/>
        </w:rPr>
        <w:t>it</w:t>
      </w:r>
      <w:r>
        <w:rPr>
          <w:color w:val="231F20"/>
          <w:spacing w:val="-15"/>
        </w:rPr>
        <w:t> </w:t>
      </w:r>
      <w:r>
        <w:rPr>
          <w:color w:val="231F20"/>
          <w:spacing w:val="-2"/>
        </w:rPr>
        <w:t>been </w:t>
      </w:r>
      <w:r>
        <w:rPr>
          <w:color w:val="231F20"/>
        </w:rPr>
        <w:t>able to source the relevant products directly from the U.S. market, it would have saved 20% of the costs incurred.</w:t>
      </w:r>
    </w:p>
    <w:p>
      <w:pPr>
        <w:pStyle w:val="BodyText"/>
        <w:spacing w:before="165"/>
        <w:ind w:left="1394" w:hanging="261"/>
      </w:pPr>
      <w:r>
        <w:rPr>
          <w:position w:val="4"/>
        </w:rPr>
        <w:drawing>
          <wp:inline distT="0" distB="0" distL="0" distR="0">
            <wp:extent cx="59207" cy="59207"/>
            <wp:effectExtent l="0" t="0" r="0" b="0"/>
            <wp:docPr id="259" name="Image 259"/>
            <wp:cNvGraphicFramePr>
              <a:graphicFrameLocks/>
            </wp:cNvGraphicFramePr>
            <a:graphic>
              <a:graphicData uri="http://schemas.openxmlformats.org/drawingml/2006/picture">
                <pic:pic>
                  <pic:nvPicPr>
                    <pic:cNvPr id="259" name="Image 259"/>
                    <pic:cNvPicPr/>
                  </pic:nvPicPr>
                  <pic:blipFill>
                    <a:blip r:embed="rId7" cstate="print"/>
                    <a:stretch>
                      <a:fillRect/>
                    </a:stretch>
                  </pic:blipFill>
                  <pic:spPr>
                    <a:xfrm>
                      <a:off x="0" y="0"/>
                      <a:ext cx="59207" cy="59207"/>
                    </a:xfrm>
                    <a:prstGeom prst="rect">
                      <a:avLst/>
                    </a:prstGeom>
                  </pic:spPr>
                </pic:pic>
              </a:graphicData>
            </a:graphic>
          </wp:inline>
        </w:drawing>
      </w:r>
      <w:r>
        <w:rPr>
          <w:position w:val="4"/>
        </w:rPr>
      </w:r>
      <w:r>
        <w:rPr>
          <w:rFonts w:ascii="Times New Roman"/>
          <w:spacing w:val="40"/>
          <w:sz w:val="20"/>
        </w:rPr>
        <w:t> </w:t>
      </w:r>
      <w:r>
        <w:rPr>
          <w:color w:val="231F20"/>
        </w:rPr>
        <w:t>The implications of a situation whereby the Caribe chain of retail stores could </w:t>
      </w:r>
      <w:r>
        <w:rPr>
          <w:color w:val="231F20"/>
          <w:spacing w:val="-8"/>
        </w:rPr>
        <w:t>have</w:t>
      </w:r>
      <w:r>
        <w:rPr>
          <w:color w:val="231F20"/>
          <w:spacing w:val="-9"/>
        </w:rPr>
        <w:t> </w:t>
      </w:r>
      <w:r>
        <w:rPr>
          <w:color w:val="231F20"/>
          <w:spacing w:val="-8"/>
        </w:rPr>
        <w:t>sourced in</w:t>
      </w:r>
      <w:r>
        <w:rPr>
          <w:color w:val="231F20"/>
          <w:spacing w:val="-9"/>
        </w:rPr>
        <w:t> </w:t>
      </w:r>
      <w:r>
        <w:rPr>
          <w:color w:val="231F20"/>
          <w:spacing w:val="-8"/>
        </w:rPr>
        <w:t>the U.S.</w:t>
      </w:r>
      <w:r>
        <w:rPr>
          <w:color w:val="231F20"/>
          <w:spacing w:val="-9"/>
        </w:rPr>
        <w:t> </w:t>
      </w:r>
      <w:r>
        <w:rPr>
          <w:color w:val="231F20"/>
          <w:spacing w:val="-8"/>
        </w:rPr>
        <w:t>market 502</w:t>
      </w:r>
      <w:r>
        <w:rPr>
          <w:color w:val="231F20"/>
          <w:spacing w:val="-9"/>
        </w:rPr>
        <w:t> </w:t>
      </w:r>
      <w:r>
        <w:rPr>
          <w:color w:val="231F20"/>
          <w:spacing w:val="-8"/>
        </w:rPr>
        <w:t>(40%) </w:t>
      </w:r>
      <w:r>
        <w:rPr>
          <w:color w:val="231F20"/>
          <w:spacing w:val="-2"/>
        </w:rPr>
        <w:t>of</w:t>
      </w:r>
      <w:r>
        <w:rPr>
          <w:color w:val="231F20"/>
          <w:spacing w:val="-13"/>
        </w:rPr>
        <w:t> </w:t>
      </w:r>
      <w:r>
        <w:rPr>
          <w:color w:val="231F20"/>
          <w:spacing w:val="-2"/>
        </w:rPr>
        <w:t>the</w:t>
      </w:r>
      <w:r>
        <w:rPr>
          <w:color w:val="231F20"/>
          <w:spacing w:val="-13"/>
        </w:rPr>
        <w:t> </w:t>
      </w:r>
      <w:r>
        <w:rPr>
          <w:color w:val="231F20"/>
          <w:spacing w:val="-2"/>
        </w:rPr>
        <w:t>1,256</w:t>
      </w:r>
      <w:r>
        <w:rPr>
          <w:color w:val="231F20"/>
          <w:spacing w:val="-13"/>
        </w:rPr>
        <w:t> </w:t>
      </w:r>
      <w:r>
        <w:rPr>
          <w:color w:val="231F20"/>
          <w:spacing w:val="-2"/>
        </w:rPr>
        <w:t>containers</w:t>
      </w:r>
      <w:r>
        <w:rPr>
          <w:color w:val="231F20"/>
          <w:spacing w:val="-13"/>
        </w:rPr>
        <w:t> </w:t>
      </w:r>
      <w:r>
        <w:rPr>
          <w:color w:val="231F20"/>
          <w:spacing w:val="-2"/>
        </w:rPr>
        <w:t>of</w:t>
      </w:r>
      <w:r>
        <w:rPr>
          <w:color w:val="231F20"/>
          <w:spacing w:val="-13"/>
        </w:rPr>
        <w:t> </w:t>
      </w:r>
      <w:r>
        <w:rPr>
          <w:color w:val="231F20"/>
          <w:spacing w:val="-2"/>
        </w:rPr>
        <w:t>food</w:t>
      </w:r>
      <w:r>
        <w:rPr>
          <w:color w:val="231F20"/>
          <w:spacing w:val="-13"/>
        </w:rPr>
        <w:t> </w:t>
      </w:r>
      <w:r>
        <w:rPr>
          <w:color w:val="231F20"/>
          <w:spacing w:val="-2"/>
        </w:rPr>
        <w:t>products </w:t>
      </w:r>
      <w:r>
        <w:rPr>
          <w:color w:val="231F20"/>
        </w:rPr>
        <w:t>it</w:t>
      </w:r>
      <w:r>
        <w:rPr>
          <w:color w:val="231F20"/>
          <w:spacing w:val="-12"/>
        </w:rPr>
        <w:t> </w:t>
      </w:r>
      <w:r>
        <w:rPr>
          <w:color w:val="231F20"/>
        </w:rPr>
        <w:t>received.</w:t>
      </w:r>
      <w:r>
        <w:rPr>
          <w:color w:val="231F20"/>
          <w:spacing w:val="-12"/>
        </w:rPr>
        <w:t> </w:t>
      </w:r>
      <w:r>
        <w:rPr>
          <w:color w:val="231F20"/>
        </w:rPr>
        <w:t>Similar</w:t>
      </w:r>
      <w:r>
        <w:rPr>
          <w:color w:val="231F20"/>
          <w:spacing w:val="-12"/>
        </w:rPr>
        <w:t> </w:t>
      </w:r>
      <w:r>
        <w:rPr>
          <w:color w:val="231F20"/>
        </w:rPr>
        <w:t>considerations</w:t>
      </w:r>
      <w:r>
        <w:rPr>
          <w:color w:val="231F20"/>
          <w:spacing w:val="-12"/>
        </w:rPr>
        <w:t> </w:t>
      </w:r>
      <w:r>
        <w:rPr>
          <w:color w:val="231F20"/>
        </w:rPr>
        <w:t>apply to</w:t>
      </w:r>
      <w:r>
        <w:rPr>
          <w:color w:val="231F20"/>
          <w:spacing w:val="-16"/>
        </w:rPr>
        <w:t> </w:t>
      </w:r>
      <w:r>
        <w:rPr>
          <w:color w:val="231F20"/>
        </w:rPr>
        <w:t>its</w:t>
      </w:r>
      <w:r>
        <w:rPr>
          <w:color w:val="231F20"/>
          <w:spacing w:val="-16"/>
        </w:rPr>
        <w:t> </w:t>
      </w:r>
      <w:r>
        <w:rPr>
          <w:color w:val="231F20"/>
        </w:rPr>
        <w:t>imports</w:t>
      </w:r>
      <w:r>
        <w:rPr>
          <w:color w:val="231F20"/>
          <w:spacing w:val="-16"/>
        </w:rPr>
        <w:t> </w:t>
      </w:r>
      <w:r>
        <w:rPr>
          <w:color w:val="231F20"/>
        </w:rPr>
        <w:t>of</w:t>
      </w:r>
      <w:r>
        <w:rPr>
          <w:color w:val="231F20"/>
          <w:spacing w:val="-16"/>
        </w:rPr>
        <w:t> </w:t>
      </w:r>
      <w:r>
        <w:rPr>
          <w:color w:val="231F20"/>
        </w:rPr>
        <w:t>perfumery</w:t>
      </w:r>
      <w:r>
        <w:rPr>
          <w:color w:val="231F20"/>
          <w:spacing w:val="-16"/>
        </w:rPr>
        <w:t> </w:t>
      </w:r>
      <w:r>
        <w:rPr>
          <w:color w:val="231F20"/>
        </w:rPr>
        <w:t>and</w:t>
      </w:r>
      <w:r>
        <w:rPr>
          <w:color w:val="231F20"/>
          <w:spacing w:val="-16"/>
        </w:rPr>
        <w:t> </w:t>
      </w:r>
      <w:r>
        <w:rPr>
          <w:color w:val="231F20"/>
        </w:rPr>
        <w:t>hygiene </w:t>
      </w:r>
      <w:r>
        <w:rPr>
          <w:color w:val="231F20"/>
          <w:spacing w:val="-6"/>
        </w:rPr>
        <w:t>products,</w:t>
      </w:r>
      <w:r>
        <w:rPr>
          <w:color w:val="231F20"/>
          <w:spacing w:val="-10"/>
        </w:rPr>
        <w:t> </w:t>
      </w:r>
      <w:r>
        <w:rPr>
          <w:color w:val="231F20"/>
          <w:spacing w:val="-6"/>
        </w:rPr>
        <w:t>of</w:t>
      </w:r>
      <w:r>
        <w:rPr>
          <w:color w:val="231F20"/>
          <w:spacing w:val="-10"/>
        </w:rPr>
        <w:t> </w:t>
      </w:r>
      <w:r>
        <w:rPr>
          <w:color w:val="231F20"/>
          <w:spacing w:val="-6"/>
        </w:rPr>
        <w:t>which</w:t>
      </w:r>
      <w:r>
        <w:rPr>
          <w:color w:val="231F20"/>
          <w:spacing w:val="-10"/>
        </w:rPr>
        <w:t> </w:t>
      </w:r>
      <w:r>
        <w:rPr>
          <w:color w:val="231F20"/>
          <w:spacing w:val="-6"/>
        </w:rPr>
        <w:t>656</w:t>
      </w:r>
      <w:r>
        <w:rPr>
          <w:color w:val="231F20"/>
          <w:spacing w:val="-10"/>
        </w:rPr>
        <w:t> </w:t>
      </w:r>
      <w:r>
        <w:rPr>
          <w:color w:val="231F20"/>
          <w:spacing w:val="-6"/>
        </w:rPr>
        <w:t>(57%)</w:t>
      </w:r>
      <w:r>
        <w:rPr>
          <w:color w:val="231F20"/>
          <w:spacing w:val="-10"/>
        </w:rPr>
        <w:t> </w:t>
      </w:r>
      <w:r>
        <w:rPr>
          <w:color w:val="231F20"/>
          <w:spacing w:val="-6"/>
        </w:rPr>
        <w:t>of</w:t>
      </w:r>
      <w:r>
        <w:rPr>
          <w:color w:val="231F20"/>
          <w:spacing w:val="-10"/>
        </w:rPr>
        <w:t> </w:t>
      </w:r>
      <w:r>
        <w:rPr>
          <w:color w:val="231F20"/>
          <w:spacing w:val="-6"/>
        </w:rPr>
        <w:t>the</w:t>
      </w:r>
      <w:r>
        <w:rPr>
          <w:color w:val="231F20"/>
          <w:spacing w:val="-10"/>
        </w:rPr>
        <w:t> </w:t>
      </w:r>
      <w:r>
        <w:rPr>
          <w:color w:val="231F20"/>
          <w:spacing w:val="-6"/>
        </w:rPr>
        <w:t>1,151 </w:t>
      </w:r>
      <w:r>
        <w:rPr>
          <w:color w:val="231F20"/>
        </w:rPr>
        <w:t>containers could otherwise have been from</w:t>
      </w:r>
      <w:r>
        <w:rPr>
          <w:color w:val="231F20"/>
          <w:spacing w:val="-8"/>
        </w:rPr>
        <w:t> </w:t>
      </w:r>
      <w:r>
        <w:rPr>
          <w:color w:val="231F20"/>
        </w:rPr>
        <w:t>the</w:t>
      </w:r>
      <w:r>
        <w:rPr>
          <w:color w:val="231F20"/>
          <w:spacing w:val="-8"/>
        </w:rPr>
        <w:t> </w:t>
      </w:r>
      <w:r>
        <w:rPr>
          <w:color w:val="231F20"/>
        </w:rPr>
        <w:t>U.S.;</w:t>
      </w:r>
      <w:r>
        <w:rPr>
          <w:color w:val="231F20"/>
          <w:spacing w:val="-8"/>
        </w:rPr>
        <w:t> </w:t>
      </w:r>
      <w:r>
        <w:rPr>
          <w:color w:val="231F20"/>
        </w:rPr>
        <w:t>the</w:t>
      </w:r>
      <w:r>
        <w:rPr>
          <w:color w:val="231F20"/>
          <w:spacing w:val="-8"/>
        </w:rPr>
        <w:t> </w:t>
      </w:r>
      <w:r>
        <w:rPr>
          <w:color w:val="231F20"/>
        </w:rPr>
        <w:t>resulting</w:t>
      </w:r>
      <w:r>
        <w:rPr>
          <w:color w:val="231F20"/>
          <w:spacing w:val="-8"/>
        </w:rPr>
        <w:t> </w:t>
      </w:r>
      <w:r>
        <w:rPr>
          <w:color w:val="231F20"/>
        </w:rPr>
        <w:t>cost</w:t>
      </w:r>
      <w:r>
        <w:rPr>
          <w:color w:val="231F20"/>
          <w:spacing w:val="-8"/>
        </w:rPr>
        <w:t> </w:t>
      </w:r>
      <w:r>
        <w:rPr>
          <w:color w:val="231F20"/>
        </w:rPr>
        <w:t>penalty is</w:t>
      </w:r>
      <w:r>
        <w:rPr>
          <w:color w:val="231F20"/>
          <w:spacing w:val="-15"/>
        </w:rPr>
        <w:t> </w:t>
      </w:r>
      <w:r>
        <w:rPr>
          <w:color w:val="231F20"/>
        </w:rPr>
        <w:t>estimated</w:t>
      </w:r>
      <w:r>
        <w:rPr>
          <w:color w:val="231F20"/>
          <w:spacing w:val="-15"/>
        </w:rPr>
        <w:t> </w:t>
      </w:r>
      <w:r>
        <w:rPr>
          <w:color w:val="231F20"/>
        </w:rPr>
        <w:t>at</w:t>
      </w:r>
      <w:r>
        <w:rPr>
          <w:color w:val="231F20"/>
          <w:spacing w:val="-15"/>
        </w:rPr>
        <w:t> </w:t>
      </w:r>
      <w:r>
        <w:rPr>
          <w:color w:val="231F20"/>
        </w:rPr>
        <w:t>USD</w:t>
      </w:r>
      <w:r>
        <w:rPr>
          <w:color w:val="231F20"/>
          <w:spacing w:val="-15"/>
        </w:rPr>
        <w:t> </w:t>
      </w:r>
      <w:r>
        <w:rPr>
          <w:color w:val="231F20"/>
        </w:rPr>
        <w:t>3,680,900.</w:t>
      </w:r>
      <w:r>
        <w:rPr>
          <w:color w:val="231F20"/>
          <w:spacing w:val="-15"/>
        </w:rPr>
        <w:t> </w:t>
      </w:r>
      <w:r>
        <w:rPr>
          <w:color w:val="231F20"/>
        </w:rPr>
        <w:t>Shipping delays resulted in failure to adhere to the delivery schedules agreed with the </w:t>
      </w:r>
      <w:r>
        <w:rPr>
          <w:color w:val="231F20"/>
          <w:spacing w:val="-2"/>
        </w:rPr>
        <w:t>retail</w:t>
      </w:r>
      <w:r>
        <w:rPr>
          <w:color w:val="231F20"/>
          <w:spacing w:val="-13"/>
        </w:rPr>
        <w:t> </w:t>
      </w:r>
      <w:r>
        <w:rPr>
          <w:color w:val="231F20"/>
          <w:spacing w:val="-2"/>
        </w:rPr>
        <w:t>outlets,</w:t>
      </w:r>
      <w:r>
        <w:rPr>
          <w:color w:val="231F20"/>
          <w:spacing w:val="-13"/>
        </w:rPr>
        <w:t> </w:t>
      </w:r>
      <w:r>
        <w:rPr>
          <w:color w:val="231F20"/>
          <w:spacing w:val="-2"/>
        </w:rPr>
        <w:t>leading</w:t>
      </w:r>
      <w:r>
        <w:rPr>
          <w:color w:val="231F20"/>
          <w:spacing w:val="-13"/>
        </w:rPr>
        <w:t> </w:t>
      </w:r>
      <w:r>
        <w:rPr>
          <w:color w:val="231F20"/>
          <w:spacing w:val="-2"/>
        </w:rPr>
        <w:t>to</w:t>
      </w:r>
      <w:r>
        <w:rPr>
          <w:color w:val="231F20"/>
          <w:spacing w:val="-13"/>
        </w:rPr>
        <w:t> </w:t>
      </w:r>
      <w:r>
        <w:rPr>
          <w:color w:val="231F20"/>
          <w:spacing w:val="-2"/>
        </w:rPr>
        <w:t>shortages</w:t>
      </w:r>
      <w:r>
        <w:rPr>
          <w:color w:val="231F20"/>
          <w:spacing w:val="-13"/>
        </w:rPr>
        <w:t> </w:t>
      </w:r>
      <w:r>
        <w:rPr>
          <w:color w:val="231F20"/>
          <w:spacing w:val="-2"/>
        </w:rPr>
        <w:t>in</w:t>
      </w:r>
      <w:r>
        <w:rPr>
          <w:color w:val="231F20"/>
          <w:spacing w:val="-13"/>
        </w:rPr>
        <w:t> </w:t>
      </w:r>
      <w:r>
        <w:rPr>
          <w:color w:val="231F20"/>
          <w:spacing w:val="-2"/>
        </w:rPr>
        <w:t>the </w:t>
      </w:r>
      <w:r>
        <w:rPr>
          <w:color w:val="231F20"/>
        </w:rPr>
        <w:t>home market.</w:t>
      </w:r>
    </w:p>
    <w:p>
      <w:pPr>
        <w:pStyle w:val="BodyText"/>
        <w:spacing w:before="171"/>
        <w:ind w:left="1394"/>
      </w:pPr>
      <w:r>
        <w:rPr>
          <w:color w:val="231F20"/>
        </w:rPr>
        <w:t>The chain continued to suffer technical </w:t>
      </w:r>
      <w:r>
        <w:rPr>
          <w:color w:val="231F20"/>
          <w:spacing w:val="-2"/>
        </w:rPr>
        <w:t>difficulties</w:t>
      </w:r>
      <w:r>
        <w:rPr>
          <w:color w:val="231F20"/>
          <w:spacing w:val="-11"/>
        </w:rPr>
        <w:t> </w:t>
      </w:r>
      <w:r>
        <w:rPr>
          <w:color w:val="231F20"/>
          <w:spacing w:val="-2"/>
        </w:rPr>
        <w:t>throughout</w:t>
      </w:r>
      <w:r>
        <w:rPr>
          <w:color w:val="231F20"/>
          <w:spacing w:val="-11"/>
        </w:rPr>
        <w:t> </w:t>
      </w:r>
      <w:r>
        <w:rPr>
          <w:color w:val="231F20"/>
          <w:spacing w:val="-2"/>
        </w:rPr>
        <w:t>the</w:t>
      </w:r>
      <w:r>
        <w:rPr>
          <w:color w:val="231F20"/>
          <w:spacing w:val="-11"/>
        </w:rPr>
        <w:t> </w:t>
      </w:r>
      <w:r>
        <w:rPr>
          <w:color w:val="231F20"/>
          <w:spacing w:val="-2"/>
        </w:rPr>
        <w:t>period,</w:t>
      </w:r>
      <w:r>
        <w:rPr>
          <w:color w:val="231F20"/>
          <w:spacing w:val="-11"/>
        </w:rPr>
        <w:t> </w:t>
      </w:r>
      <w:r>
        <w:rPr>
          <w:color w:val="231F20"/>
          <w:spacing w:val="-2"/>
        </w:rPr>
        <w:t>partly </w:t>
      </w:r>
      <w:r>
        <w:rPr>
          <w:color w:val="231F20"/>
          <w:spacing w:val="-6"/>
        </w:rPr>
        <w:t>due</w:t>
      </w:r>
      <w:r>
        <w:rPr>
          <w:color w:val="231F20"/>
          <w:spacing w:val="-11"/>
        </w:rPr>
        <w:t> </w:t>
      </w:r>
      <w:r>
        <w:rPr>
          <w:color w:val="231F20"/>
          <w:spacing w:val="-6"/>
        </w:rPr>
        <w:t>to</w:t>
      </w:r>
      <w:r>
        <w:rPr>
          <w:color w:val="231F20"/>
          <w:spacing w:val="-10"/>
        </w:rPr>
        <w:t> </w:t>
      </w:r>
      <w:r>
        <w:rPr>
          <w:color w:val="231F20"/>
          <w:spacing w:val="-6"/>
        </w:rPr>
        <w:t>the</w:t>
      </w:r>
      <w:r>
        <w:rPr>
          <w:color w:val="231F20"/>
          <w:spacing w:val="-11"/>
        </w:rPr>
        <w:t> </w:t>
      </w:r>
      <w:r>
        <w:rPr>
          <w:color w:val="231F20"/>
          <w:spacing w:val="-6"/>
        </w:rPr>
        <w:t>inability</w:t>
      </w:r>
      <w:r>
        <w:rPr>
          <w:color w:val="231F20"/>
          <w:spacing w:val="-10"/>
        </w:rPr>
        <w:t> </w:t>
      </w:r>
      <w:r>
        <w:rPr>
          <w:color w:val="231F20"/>
          <w:spacing w:val="-6"/>
        </w:rPr>
        <w:t>to</w:t>
      </w:r>
      <w:r>
        <w:rPr>
          <w:color w:val="231F20"/>
          <w:spacing w:val="-11"/>
        </w:rPr>
        <w:t> </w:t>
      </w:r>
      <w:r>
        <w:rPr>
          <w:color w:val="231F20"/>
          <w:spacing w:val="-6"/>
        </w:rPr>
        <w:t>obtain</w:t>
      </w:r>
      <w:r>
        <w:rPr>
          <w:color w:val="231F20"/>
          <w:spacing w:val="-10"/>
        </w:rPr>
        <w:t> </w:t>
      </w:r>
      <w:r>
        <w:rPr>
          <w:color w:val="231F20"/>
          <w:spacing w:val="-6"/>
        </w:rPr>
        <w:t>replacement </w:t>
      </w:r>
      <w:r>
        <w:rPr>
          <w:color w:val="231F20"/>
        </w:rPr>
        <w:t>parts,</w:t>
      </w:r>
      <w:r>
        <w:rPr>
          <w:color w:val="231F20"/>
          <w:spacing w:val="40"/>
        </w:rPr>
        <w:t> </w:t>
      </w:r>
      <w:r>
        <w:rPr>
          <w:color w:val="231F20"/>
        </w:rPr>
        <w:t>tires</w:t>
      </w:r>
      <w:r>
        <w:rPr>
          <w:color w:val="231F20"/>
          <w:spacing w:val="40"/>
        </w:rPr>
        <w:t> </w:t>
      </w:r>
      <w:r>
        <w:rPr>
          <w:color w:val="231F20"/>
        </w:rPr>
        <w:t>and</w:t>
      </w:r>
      <w:r>
        <w:rPr>
          <w:color w:val="231F20"/>
          <w:spacing w:val="40"/>
        </w:rPr>
        <w:t> </w:t>
      </w:r>
      <w:r>
        <w:rPr>
          <w:color w:val="231F20"/>
        </w:rPr>
        <w:t>other</w:t>
      </w:r>
      <w:r>
        <w:rPr>
          <w:color w:val="231F20"/>
          <w:spacing w:val="40"/>
        </w:rPr>
        <w:t> </w:t>
      </w:r>
      <w:r>
        <w:rPr>
          <w:color w:val="231F20"/>
        </w:rPr>
        <w:t>supplies</w:t>
      </w:r>
      <w:r>
        <w:rPr>
          <w:color w:val="231F20"/>
          <w:spacing w:val="40"/>
        </w:rPr>
        <w:t> </w:t>
      </w:r>
      <w:r>
        <w:rPr>
          <w:color w:val="231F20"/>
        </w:rPr>
        <w:t>from the United States. The effects included paralyzation of an average 100 forklifts and 174 vehicles.</w:t>
      </w:r>
    </w:p>
    <w:p>
      <w:pPr>
        <w:spacing w:before="164"/>
        <w:ind w:left="1133" w:right="1" w:firstLine="0"/>
        <w:jc w:val="both"/>
        <w:rPr>
          <w:rFonts w:ascii="Segoe UI Semibold"/>
          <w:b/>
          <w:i/>
          <w:sz w:val="24"/>
        </w:rPr>
      </w:pPr>
      <w:r>
        <w:rPr>
          <w:rFonts w:ascii="Segoe UI Semibold"/>
          <w:b/>
          <w:i/>
          <w:color w:val="231F20"/>
          <w:sz w:val="24"/>
        </w:rPr>
        <w:t>The impacts of the blockade on </w:t>
      </w:r>
      <w:r>
        <w:rPr>
          <w:b/>
          <w:i/>
          <w:color w:val="B52628"/>
          <w:sz w:val="24"/>
        </w:rPr>
        <w:t>the</w:t>
      </w:r>
      <w:r>
        <w:rPr>
          <w:b/>
          <w:i/>
          <w:color w:val="B52628"/>
          <w:sz w:val="24"/>
        </w:rPr>
        <w:t> </w:t>
      </w:r>
      <w:r>
        <w:rPr>
          <w:b/>
          <w:i/>
          <w:color w:val="B52628"/>
          <w:spacing w:val="-8"/>
          <w:sz w:val="24"/>
        </w:rPr>
        <w:t>construction</w:t>
      </w:r>
      <w:r>
        <w:rPr>
          <w:b/>
          <w:i/>
          <w:color w:val="B52628"/>
          <w:spacing w:val="-9"/>
          <w:sz w:val="24"/>
        </w:rPr>
        <w:t> </w:t>
      </w:r>
      <w:r>
        <w:rPr>
          <w:b/>
          <w:i/>
          <w:color w:val="B52628"/>
          <w:spacing w:val="-8"/>
          <w:sz w:val="24"/>
        </w:rPr>
        <w:t>sector </w:t>
      </w:r>
      <w:r>
        <w:rPr>
          <w:rFonts w:ascii="Segoe UI Semibold"/>
          <w:b/>
          <w:i/>
          <w:color w:val="231F20"/>
          <w:spacing w:val="-8"/>
          <w:sz w:val="24"/>
        </w:rPr>
        <w:t>included</w:t>
      </w:r>
      <w:r>
        <w:rPr>
          <w:rFonts w:ascii="Segoe UI Semibold"/>
          <w:b/>
          <w:i/>
          <w:color w:val="231F20"/>
          <w:spacing w:val="-9"/>
          <w:sz w:val="24"/>
        </w:rPr>
        <w:t> </w:t>
      </w:r>
      <w:r>
        <w:rPr>
          <w:rFonts w:ascii="Segoe UI Semibold"/>
          <w:b/>
          <w:i/>
          <w:color w:val="231F20"/>
          <w:spacing w:val="-8"/>
          <w:sz w:val="24"/>
        </w:rPr>
        <w:t>the persistence</w:t>
      </w:r>
      <w:r>
        <w:rPr>
          <w:rFonts w:ascii="Segoe UI Semibold"/>
          <w:b/>
          <w:i/>
          <w:color w:val="231F20"/>
          <w:spacing w:val="-8"/>
          <w:sz w:val="24"/>
        </w:rPr>
        <w:t> </w:t>
      </w:r>
      <w:r>
        <w:rPr>
          <w:rFonts w:ascii="Segoe UI Semibold"/>
          <w:b/>
          <w:i/>
          <w:color w:val="231F20"/>
          <w:sz w:val="24"/>
        </w:rPr>
        <w:t>of</w:t>
      </w:r>
      <w:r>
        <w:rPr>
          <w:rFonts w:ascii="Segoe UI Semibold"/>
          <w:b/>
          <w:i/>
          <w:color w:val="231F20"/>
          <w:spacing w:val="45"/>
          <w:sz w:val="24"/>
        </w:rPr>
        <w:t> </w:t>
      </w:r>
      <w:r>
        <w:rPr>
          <w:rFonts w:ascii="Segoe UI Semibold"/>
          <w:b/>
          <w:i/>
          <w:color w:val="231F20"/>
          <w:sz w:val="24"/>
        </w:rPr>
        <w:t>serious</w:t>
      </w:r>
      <w:r>
        <w:rPr>
          <w:rFonts w:ascii="Segoe UI Semibold"/>
          <w:b/>
          <w:i/>
          <w:color w:val="231F20"/>
          <w:spacing w:val="45"/>
          <w:sz w:val="24"/>
        </w:rPr>
        <w:t> </w:t>
      </w:r>
      <w:r>
        <w:rPr>
          <w:rFonts w:ascii="Segoe UI Semibold"/>
          <w:b/>
          <w:i/>
          <w:color w:val="231F20"/>
          <w:sz w:val="24"/>
        </w:rPr>
        <w:t>difficulties</w:t>
      </w:r>
      <w:r>
        <w:rPr>
          <w:rFonts w:ascii="Segoe UI Semibold"/>
          <w:b/>
          <w:i/>
          <w:color w:val="231F20"/>
          <w:spacing w:val="46"/>
          <w:sz w:val="24"/>
        </w:rPr>
        <w:t> </w:t>
      </w:r>
      <w:r>
        <w:rPr>
          <w:rFonts w:ascii="Segoe UI Semibold"/>
          <w:b/>
          <w:i/>
          <w:color w:val="231F20"/>
          <w:sz w:val="24"/>
        </w:rPr>
        <w:t>in</w:t>
      </w:r>
      <w:r>
        <w:rPr>
          <w:rFonts w:ascii="Segoe UI Semibold"/>
          <w:b/>
          <w:i/>
          <w:color w:val="231F20"/>
          <w:spacing w:val="45"/>
          <w:sz w:val="24"/>
        </w:rPr>
        <w:t> </w:t>
      </w:r>
      <w:r>
        <w:rPr>
          <w:rFonts w:ascii="Segoe UI Semibold"/>
          <w:b/>
          <w:i/>
          <w:color w:val="231F20"/>
          <w:sz w:val="24"/>
        </w:rPr>
        <w:t>accessing</w:t>
      </w:r>
      <w:r>
        <w:rPr>
          <w:rFonts w:ascii="Segoe UI Semibold"/>
          <w:b/>
          <w:i/>
          <w:color w:val="231F20"/>
          <w:spacing w:val="46"/>
          <w:sz w:val="24"/>
        </w:rPr>
        <w:t> </w:t>
      </w:r>
      <w:r>
        <w:rPr>
          <w:rFonts w:ascii="Segoe UI Semibold"/>
          <w:b/>
          <w:i/>
          <w:color w:val="231F20"/>
          <w:spacing w:val="-6"/>
          <w:sz w:val="24"/>
        </w:rPr>
        <w:t>more</w:t>
      </w:r>
    </w:p>
    <w:p>
      <w:pPr>
        <w:spacing w:before="76"/>
        <w:ind w:left="412" w:right="1472" w:firstLine="0"/>
        <w:jc w:val="both"/>
        <w:rPr>
          <w:rFonts w:ascii="Segoe UI Semibold"/>
          <w:b/>
          <w:i/>
          <w:sz w:val="24"/>
        </w:rPr>
      </w:pPr>
      <w:r>
        <w:rPr/>
        <w:br w:type="column"/>
      </w:r>
      <w:r>
        <w:rPr>
          <w:rFonts w:ascii="Segoe UI Semibold"/>
          <w:b/>
          <w:i/>
          <w:color w:val="231F20"/>
          <w:spacing w:val="-2"/>
          <w:sz w:val="24"/>
        </w:rPr>
        <w:t>efficient,</w:t>
      </w:r>
      <w:r>
        <w:rPr>
          <w:rFonts w:ascii="Segoe UI Semibold"/>
          <w:b/>
          <w:i/>
          <w:color w:val="231F20"/>
          <w:spacing w:val="-15"/>
          <w:sz w:val="24"/>
        </w:rPr>
        <w:t> </w:t>
      </w:r>
      <w:r>
        <w:rPr>
          <w:rFonts w:ascii="Segoe UI Semibold"/>
          <w:b/>
          <w:i/>
          <w:color w:val="231F20"/>
          <w:spacing w:val="-2"/>
          <w:sz w:val="24"/>
        </w:rPr>
        <w:t>lighter</w:t>
      </w:r>
      <w:r>
        <w:rPr>
          <w:rFonts w:ascii="Segoe UI Semibold"/>
          <w:b/>
          <w:i/>
          <w:color w:val="231F20"/>
          <w:spacing w:val="-14"/>
          <w:sz w:val="24"/>
        </w:rPr>
        <w:t> </w:t>
      </w:r>
      <w:r>
        <w:rPr>
          <w:rFonts w:ascii="Segoe UI Semibold"/>
          <w:b/>
          <w:i/>
          <w:color w:val="231F20"/>
          <w:spacing w:val="-2"/>
          <w:sz w:val="24"/>
        </w:rPr>
        <w:t>construction</w:t>
      </w:r>
      <w:r>
        <w:rPr>
          <w:rFonts w:ascii="Segoe UI Semibold"/>
          <w:b/>
          <w:i/>
          <w:color w:val="231F20"/>
          <w:spacing w:val="-15"/>
          <w:sz w:val="24"/>
        </w:rPr>
        <w:t> </w:t>
      </w:r>
      <w:r>
        <w:rPr>
          <w:rFonts w:ascii="Segoe UI Semibold"/>
          <w:b/>
          <w:i/>
          <w:color w:val="231F20"/>
          <w:spacing w:val="-2"/>
          <w:sz w:val="24"/>
        </w:rPr>
        <w:t>technologies</w:t>
      </w:r>
      <w:r>
        <w:rPr>
          <w:rFonts w:ascii="Segoe UI Semibold"/>
          <w:b/>
          <w:i/>
          <w:color w:val="231F20"/>
          <w:spacing w:val="-2"/>
          <w:sz w:val="24"/>
        </w:rPr>
        <w:t> </w:t>
      </w:r>
      <w:r>
        <w:rPr>
          <w:rFonts w:ascii="Segoe UI Semibold"/>
          <w:b/>
          <w:i/>
          <w:color w:val="231F20"/>
          <w:spacing w:val="-10"/>
          <w:sz w:val="24"/>
        </w:rPr>
        <w:t>with</w:t>
      </w:r>
      <w:r>
        <w:rPr>
          <w:rFonts w:ascii="Segoe UI Semibold"/>
          <w:b/>
          <w:i/>
          <w:color w:val="231F20"/>
          <w:spacing w:val="-7"/>
          <w:sz w:val="24"/>
        </w:rPr>
        <w:t> </w:t>
      </w:r>
      <w:r>
        <w:rPr>
          <w:rFonts w:ascii="Segoe UI Semibold"/>
          <w:b/>
          <w:i/>
          <w:color w:val="231F20"/>
          <w:spacing w:val="-10"/>
          <w:sz w:val="24"/>
        </w:rPr>
        <w:t>reduced</w:t>
      </w:r>
      <w:r>
        <w:rPr>
          <w:rFonts w:ascii="Segoe UI Semibold"/>
          <w:b/>
          <w:i/>
          <w:color w:val="231F20"/>
          <w:spacing w:val="-6"/>
          <w:sz w:val="24"/>
        </w:rPr>
        <w:t> </w:t>
      </w:r>
      <w:r>
        <w:rPr>
          <w:rFonts w:ascii="Segoe UI Semibold"/>
          <w:b/>
          <w:i/>
          <w:color w:val="231F20"/>
          <w:spacing w:val="-10"/>
          <w:sz w:val="24"/>
        </w:rPr>
        <w:t>consumption</w:t>
      </w:r>
      <w:r>
        <w:rPr>
          <w:rFonts w:ascii="Segoe UI Semibold"/>
          <w:b/>
          <w:i/>
          <w:color w:val="231F20"/>
          <w:spacing w:val="-7"/>
          <w:sz w:val="24"/>
        </w:rPr>
        <w:t> </w:t>
      </w:r>
      <w:r>
        <w:rPr>
          <w:rFonts w:ascii="Segoe UI Semibold"/>
          <w:b/>
          <w:i/>
          <w:color w:val="231F20"/>
          <w:spacing w:val="-10"/>
          <w:sz w:val="24"/>
        </w:rPr>
        <w:t>of</w:t>
      </w:r>
      <w:r>
        <w:rPr>
          <w:rFonts w:ascii="Segoe UI Semibold"/>
          <w:b/>
          <w:i/>
          <w:color w:val="231F20"/>
          <w:spacing w:val="-6"/>
          <w:sz w:val="24"/>
        </w:rPr>
        <w:t> </w:t>
      </w:r>
      <w:r>
        <w:rPr>
          <w:rFonts w:ascii="Segoe UI Semibold"/>
          <w:b/>
          <w:i/>
          <w:color w:val="231F20"/>
          <w:spacing w:val="-10"/>
          <w:sz w:val="24"/>
        </w:rPr>
        <w:t>basic</w:t>
      </w:r>
      <w:r>
        <w:rPr>
          <w:rFonts w:ascii="Segoe UI Semibold"/>
          <w:b/>
          <w:i/>
          <w:color w:val="231F20"/>
          <w:spacing w:val="-7"/>
          <w:sz w:val="24"/>
        </w:rPr>
        <w:t> </w:t>
      </w:r>
      <w:r>
        <w:rPr>
          <w:rFonts w:ascii="Segoe UI Semibold"/>
          <w:b/>
          <w:i/>
          <w:color w:val="231F20"/>
          <w:spacing w:val="-10"/>
          <w:sz w:val="24"/>
        </w:rPr>
        <w:t>materials </w:t>
      </w:r>
      <w:r>
        <w:rPr>
          <w:rFonts w:ascii="Segoe UI Semibold"/>
          <w:b/>
          <w:i/>
          <w:color w:val="231F20"/>
          <w:sz w:val="24"/>
        </w:rPr>
        <w:t>and energy components. Between March </w:t>
      </w:r>
      <w:r>
        <w:rPr>
          <w:rFonts w:ascii="Segoe UI Semibold"/>
          <w:b/>
          <w:i/>
          <w:color w:val="231F20"/>
          <w:spacing w:val="-10"/>
          <w:sz w:val="24"/>
        </w:rPr>
        <w:t>2022</w:t>
      </w:r>
      <w:r>
        <w:rPr>
          <w:rFonts w:ascii="Segoe UI Semibold"/>
          <w:b/>
          <w:i/>
          <w:color w:val="231F20"/>
          <w:spacing w:val="-6"/>
          <w:sz w:val="24"/>
        </w:rPr>
        <w:t> </w:t>
      </w:r>
      <w:r>
        <w:rPr>
          <w:rFonts w:ascii="Segoe UI Semibold"/>
          <w:b/>
          <w:i/>
          <w:color w:val="231F20"/>
          <w:spacing w:val="-10"/>
          <w:sz w:val="24"/>
        </w:rPr>
        <w:t>and</w:t>
      </w:r>
      <w:r>
        <w:rPr>
          <w:rFonts w:ascii="Segoe UI Semibold"/>
          <w:b/>
          <w:i/>
          <w:color w:val="231F20"/>
          <w:spacing w:val="-6"/>
          <w:sz w:val="24"/>
        </w:rPr>
        <w:t> </w:t>
      </w:r>
      <w:r>
        <w:rPr>
          <w:rFonts w:ascii="Segoe UI Semibold"/>
          <w:b/>
          <w:i/>
          <w:color w:val="231F20"/>
          <w:spacing w:val="-10"/>
          <w:sz w:val="24"/>
        </w:rPr>
        <w:t>February</w:t>
      </w:r>
      <w:r>
        <w:rPr>
          <w:rFonts w:ascii="Segoe UI Semibold"/>
          <w:b/>
          <w:i/>
          <w:color w:val="231F20"/>
          <w:spacing w:val="-6"/>
          <w:sz w:val="24"/>
        </w:rPr>
        <w:t> </w:t>
      </w:r>
      <w:r>
        <w:rPr>
          <w:rFonts w:ascii="Segoe UI Semibold"/>
          <w:b/>
          <w:i/>
          <w:color w:val="231F20"/>
          <w:spacing w:val="-10"/>
          <w:sz w:val="24"/>
        </w:rPr>
        <w:t>2023,</w:t>
      </w:r>
      <w:r>
        <w:rPr>
          <w:rFonts w:ascii="Segoe UI Semibold"/>
          <w:b/>
          <w:i/>
          <w:color w:val="231F20"/>
          <w:spacing w:val="-6"/>
          <w:sz w:val="24"/>
        </w:rPr>
        <w:t> </w:t>
      </w:r>
      <w:r>
        <w:rPr>
          <w:rFonts w:ascii="Segoe UI Semibold"/>
          <w:b/>
          <w:i/>
          <w:color w:val="231F20"/>
          <w:spacing w:val="-10"/>
          <w:sz w:val="24"/>
        </w:rPr>
        <w:t>the</w:t>
      </w:r>
      <w:r>
        <w:rPr>
          <w:rFonts w:ascii="Segoe UI Semibold"/>
          <w:b/>
          <w:i/>
          <w:color w:val="231F20"/>
          <w:spacing w:val="-6"/>
          <w:sz w:val="24"/>
        </w:rPr>
        <w:t> </w:t>
      </w:r>
      <w:r>
        <w:rPr>
          <w:rFonts w:ascii="Segoe UI Semibold"/>
          <w:b/>
          <w:i/>
          <w:color w:val="231F20"/>
          <w:spacing w:val="-10"/>
          <w:sz w:val="24"/>
        </w:rPr>
        <w:t>damage</w:t>
      </w:r>
      <w:r>
        <w:rPr>
          <w:rFonts w:ascii="Segoe UI Semibold"/>
          <w:b/>
          <w:i/>
          <w:color w:val="231F20"/>
          <w:spacing w:val="-6"/>
          <w:sz w:val="24"/>
        </w:rPr>
        <w:t> </w:t>
      </w:r>
      <w:r>
        <w:rPr>
          <w:rFonts w:ascii="Segoe UI Semibold"/>
          <w:b/>
          <w:i/>
          <w:color w:val="231F20"/>
          <w:spacing w:val="-10"/>
          <w:sz w:val="24"/>
        </w:rPr>
        <w:t>arising </w:t>
      </w:r>
      <w:r>
        <w:rPr>
          <w:rFonts w:ascii="Segoe UI Semibold"/>
          <w:b/>
          <w:i/>
          <w:color w:val="231F20"/>
          <w:spacing w:val="-8"/>
          <w:sz w:val="24"/>
        </w:rPr>
        <w:t>in</w:t>
      </w:r>
      <w:r>
        <w:rPr>
          <w:rFonts w:ascii="Segoe UI Semibold"/>
          <w:b/>
          <w:i/>
          <w:color w:val="231F20"/>
          <w:spacing w:val="-28"/>
          <w:sz w:val="24"/>
        </w:rPr>
        <w:t> </w:t>
      </w:r>
      <w:r>
        <w:rPr>
          <w:rFonts w:ascii="Segoe UI Semibold"/>
          <w:b/>
          <w:i/>
          <w:color w:val="231F20"/>
          <w:spacing w:val="-8"/>
          <w:sz w:val="24"/>
        </w:rPr>
        <w:t>the</w:t>
      </w:r>
      <w:r>
        <w:rPr>
          <w:rFonts w:ascii="Segoe UI Semibold"/>
          <w:b/>
          <w:i/>
          <w:color w:val="231F20"/>
          <w:spacing w:val="-28"/>
          <w:sz w:val="24"/>
        </w:rPr>
        <w:t> </w:t>
      </w:r>
      <w:r>
        <w:rPr>
          <w:rFonts w:ascii="Segoe UI Semibold"/>
          <w:b/>
          <w:i/>
          <w:color w:val="231F20"/>
          <w:spacing w:val="-8"/>
          <w:sz w:val="24"/>
        </w:rPr>
        <w:t>sector</w:t>
      </w:r>
      <w:r>
        <w:rPr>
          <w:rFonts w:ascii="Segoe UI Semibold"/>
          <w:b/>
          <w:i/>
          <w:color w:val="231F20"/>
          <w:spacing w:val="-28"/>
          <w:sz w:val="24"/>
        </w:rPr>
        <w:t> </w:t>
      </w:r>
      <w:r>
        <w:rPr>
          <w:rFonts w:ascii="Segoe UI Semibold"/>
          <w:b/>
          <w:i/>
          <w:color w:val="231F20"/>
          <w:spacing w:val="-8"/>
          <w:sz w:val="24"/>
        </w:rPr>
        <w:t>is</w:t>
      </w:r>
      <w:r>
        <w:rPr>
          <w:rFonts w:ascii="Segoe UI Semibold"/>
          <w:b/>
          <w:i/>
          <w:color w:val="231F20"/>
          <w:spacing w:val="-28"/>
          <w:sz w:val="24"/>
        </w:rPr>
        <w:t> </w:t>
      </w:r>
      <w:r>
        <w:rPr>
          <w:rFonts w:ascii="Segoe UI Semibold"/>
          <w:b/>
          <w:i/>
          <w:color w:val="231F20"/>
          <w:spacing w:val="-8"/>
          <w:sz w:val="24"/>
        </w:rPr>
        <w:t>quantified</w:t>
      </w:r>
      <w:r>
        <w:rPr>
          <w:rFonts w:ascii="Segoe UI Semibold"/>
          <w:b/>
          <w:i/>
          <w:color w:val="231F20"/>
          <w:spacing w:val="-28"/>
          <w:sz w:val="24"/>
        </w:rPr>
        <w:t> </w:t>
      </w:r>
      <w:r>
        <w:rPr>
          <w:rFonts w:ascii="Segoe UI Semibold"/>
          <w:b/>
          <w:i/>
          <w:color w:val="231F20"/>
          <w:spacing w:val="-8"/>
          <w:sz w:val="24"/>
        </w:rPr>
        <w:t>at</w:t>
      </w:r>
      <w:r>
        <w:rPr>
          <w:rFonts w:ascii="Segoe UI Semibold"/>
          <w:b/>
          <w:i/>
          <w:color w:val="231F20"/>
          <w:spacing w:val="-27"/>
          <w:sz w:val="24"/>
        </w:rPr>
        <w:t> </w:t>
      </w:r>
      <w:r>
        <w:rPr>
          <w:b/>
          <w:i/>
          <w:color w:val="231F20"/>
          <w:spacing w:val="-8"/>
          <w:sz w:val="24"/>
        </w:rPr>
        <w:t>USD</w:t>
      </w:r>
      <w:r>
        <w:rPr>
          <w:b/>
          <w:i/>
          <w:color w:val="231F20"/>
          <w:spacing w:val="-27"/>
          <w:sz w:val="24"/>
        </w:rPr>
        <w:t> </w:t>
      </w:r>
      <w:r>
        <w:rPr>
          <w:b/>
          <w:i/>
          <w:color w:val="231F20"/>
          <w:spacing w:val="-10"/>
          <w:sz w:val="24"/>
        </w:rPr>
        <w:t>89,134,500</w:t>
      </w:r>
      <w:r>
        <w:rPr>
          <w:rFonts w:ascii="Segoe UI Semibold"/>
          <w:b/>
          <w:i/>
          <w:color w:val="231F20"/>
          <w:spacing w:val="-10"/>
          <w:sz w:val="24"/>
        </w:rPr>
        <w:t>.</w:t>
      </w:r>
    </w:p>
    <w:p>
      <w:pPr>
        <w:pStyle w:val="BodyText"/>
        <w:spacing w:before="158"/>
        <w:ind w:left="412" w:right="1474"/>
      </w:pPr>
      <w:r>
        <w:rPr>
          <w:color w:val="231F20"/>
        </w:rPr>
        <w:t>93.6% of the losses reported, </w:t>
      </w:r>
      <w:r>
        <w:rPr>
          <w:rFonts w:ascii="Segoe UI Semibold"/>
          <w:b/>
          <w:i/>
          <w:color w:val="231F20"/>
        </w:rPr>
        <w:t>USD</w:t>
      </w:r>
      <w:r>
        <w:rPr>
          <w:rFonts w:ascii="Segoe UI Semibold"/>
          <w:b/>
          <w:i/>
          <w:color w:val="231F20"/>
        </w:rPr>
        <w:t> 83,425,400</w:t>
      </w:r>
      <w:r>
        <w:rPr>
          <w:color w:val="231F20"/>
        </w:rPr>
        <w:t>, were incurred by the national housing authority.</w:t>
      </w:r>
    </w:p>
    <w:p>
      <w:pPr>
        <w:pStyle w:val="BodyText"/>
        <w:spacing w:before="162"/>
        <w:ind w:left="412" w:right="1472"/>
      </w:pPr>
      <w:r>
        <w:rPr>
          <w:color w:val="231F20"/>
        </w:rPr>
        <w:t>The main impacts arose from limited access to basic materials-industry goods and technologies, including cement, dry goods, blocks, fiber cement tiles, asphalt membranes and woodwork. The situation was</w:t>
      </w:r>
      <w:r>
        <w:rPr>
          <w:color w:val="231F20"/>
          <w:spacing w:val="-17"/>
        </w:rPr>
        <w:t> </w:t>
      </w:r>
      <w:r>
        <w:rPr>
          <w:color w:val="231F20"/>
        </w:rPr>
        <w:t>compounded</w:t>
      </w:r>
      <w:r>
        <w:rPr>
          <w:color w:val="231F20"/>
          <w:spacing w:val="-16"/>
        </w:rPr>
        <w:t> </w:t>
      </w:r>
      <w:r>
        <w:rPr>
          <w:color w:val="231F20"/>
        </w:rPr>
        <w:t>by</w:t>
      </w:r>
      <w:r>
        <w:rPr>
          <w:color w:val="231F20"/>
          <w:spacing w:val="-17"/>
        </w:rPr>
        <w:t> </w:t>
      </w:r>
      <w:r>
        <w:rPr>
          <w:color w:val="231F20"/>
        </w:rPr>
        <w:t>loss</w:t>
      </w:r>
      <w:r>
        <w:rPr>
          <w:color w:val="231F20"/>
          <w:spacing w:val="-16"/>
        </w:rPr>
        <w:t> </w:t>
      </w:r>
      <w:r>
        <w:rPr>
          <w:color w:val="231F20"/>
        </w:rPr>
        <w:t>of</w:t>
      </w:r>
      <w:r>
        <w:rPr>
          <w:color w:val="231F20"/>
          <w:spacing w:val="-17"/>
        </w:rPr>
        <w:t> </w:t>
      </w:r>
      <w:r>
        <w:rPr>
          <w:color w:val="231F20"/>
        </w:rPr>
        <w:t>contracts</w:t>
      </w:r>
      <w:r>
        <w:rPr>
          <w:color w:val="231F20"/>
          <w:spacing w:val="-16"/>
        </w:rPr>
        <w:t> </w:t>
      </w:r>
      <w:r>
        <w:rPr>
          <w:color w:val="231F20"/>
        </w:rPr>
        <w:t>with foreign suppliers and transport problems due to the scarcity of fuel.</w:t>
      </w:r>
    </w:p>
    <w:p>
      <w:pPr>
        <w:pStyle w:val="BodyText"/>
        <w:spacing w:before="166"/>
        <w:ind w:left="412" w:right="1471"/>
      </w:pPr>
      <w:r>
        <w:rPr>
          <w:color w:val="231F20"/>
        </w:rPr>
        <w:t>To cite a single example, in early 2022 a Central American supplier with whom we </w:t>
      </w:r>
      <w:r>
        <w:rPr>
          <w:color w:val="231F20"/>
          <w:spacing w:val="-6"/>
        </w:rPr>
        <w:t>had</w:t>
      </w:r>
      <w:r>
        <w:rPr>
          <w:color w:val="231F20"/>
          <w:spacing w:val="-8"/>
        </w:rPr>
        <w:t> </w:t>
      </w:r>
      <w:r>
        <w:rPr>
          <w:color w:val="231F20"/>
          <w:spacing w:val="-6"/>
        </w:rPr>
        <w:t>a</w:t>
      </w:r>
      <w:r>
        <w:rPr>
          <w:color w:val="231F20"/>
          <w:spacing w:val="-8"/>
        </w:rPr>
        <w:t> </w:t>
      </w:r>
      <w:r>
        <w:rPr>
          <w:color w:val="231F20"/>
          <w:spacing w:val="-6"/>
        </w:rPr>
        <w:t>USD</w:t>
      </w:r>
      <w:r>
        <w:rPr>
          <w:color w:val="231F20"/>
          <w:spacing w:val="-8"/>
        </w:rPr>
        <w:t> </w:t>
      </w:r>
      <w:r>
        <w:rPr>
          <w:color w:val="231F20"/>
          <w:spacing w:val="-6"/>
        </w:rPr>
        <w:t>3,000,000</w:t>
      </w:r>
      <w:r>
        <w:rPr>
          <w:color w:val="231F20"/>
          <w:spacing w:val="-8"/>
        </w:rPr>
        <w:t> </w:t>
      </w:r>
      <w:r>
        <w:rPr>
          <w:color w:val="231F20"/>
          <w:spacing w:val="-6"/>
        </w:rPr>
        <w:t>contract</w:t>
      </w:r>
      <w:r>
        <w:rPr>
          <w:color w:val="231F20"/>
          <w:spacing w:val="-8"/>
        </w:rPr>
        <w:t> </w:t>
      </w:r>
      <w:r>
        <w:rPr>
          <w:color w:val="231F20"/>
          <w:spacing w:val="-6"/>
        </w:rPr>
        <w:t>for</w:t>
      </w:r>
      <w:r>
        <w:rPr>
          <w:color w:val="231F20"/>
          <w:spacing w:val="-8"/>
        </w:rPr>
        <w:t> </w:t>
      </w:r>
      <w:r>
        <w:rPr>
          <w:color w:val="231F20"/>
          <w:spacing w:val="-6"/>
        </w:rPr>
        <w:t>the</w:t>
      </w:r>
      <w:r>
        <w:rPr>
          <w:color w:val="231F20"/>
          <w:spacing w:val="-8"/>
        </w:rPr>
        <w:t> </w:t>
      </w:r>
      <w:r>
        <w:rPr>
          <w:color w:val="231F20"/>
          <w:spacing w:val="-6"/>
        </w:rPr>
        <w:t>supply </w:t>
      </w:r>
      <w:r>
        <w:rPr>
          <w:color w:val="231F20"/>
        </w:rPr>
        <w:t>of PVC sanitary and water-supply tubing, notified its decision to cease operations </w:t>
      </w:r>
      <w:r>
        <w:rPr>
          <w:color w:val="231F20"/>
          <w:spacing w:val="-2"/>
        </w:rPr>
        <w:t>with</w:t>
      </w:r>
      <w:r>
        <w:rPr>
          <w:color w:val="231F20"/>
          <w:spacing w:val="-15"/>
        </w:rPr>
        <w:t> </w:t>
      </w:r>
      <w:r>
        <w:rPr>
          <w:color w:val="231F20"/>
          <w:spacing w:val="-2"/>
        </w:rPr>
        <w:t>Cuba;</w:t>
      </w:r>
      <w:r>
        <w:rPr>
          <w:color w:val="231F20"/>
          <w:spacing w:val="-14"/>
        </w:rPr>
        <w:t> </w:t>
      </w:r>
      <w:r>
        <w:rPr>
          <w:color w:val="231F20"/>
          <w:spacing w:val="-2"/>
        </w:rPr>
        <w:t>there</w:t>
      </w:r>
      <w:r>
        <w:rPr>
          <w:color w:val="231F20"/>
          <w:spacing w:val="-15"/>
        </w:rPr>
        <w:t> </w:t>
      </w:r>
      <w:r>
        <w:rPr>
          <w:color w:val="231F20"/>
          <w:spacing w:val="-2"/>
        </w:rPr>
        <w:t>were</w:t>
      </w:r>
      <w:r>
        <w:rPr>
          <w:color w:val="231F20"/>
          <w:spacing w:val="-14"/>
        </w:rPr>
        <w:t> </w:t>
      </w:r>
      <w:r>
        <w:rPr>
          <w:color w:val="231F20"/>
          <w:spacing w:val="-2"/>
        </w:rPr>
        <w:t>26</w:t>
      </w:r>
      <w:r>
        <w:rPr>
          <w:color w:val="231F20"/>
          <w:spacing w:val="-15"/>
        </w:rPr>
        <w:t> </w:t>
      </w:r>
      <w:r>
        <w:rPr>
          <w:color w:val="231F20"/>
          <w:spacing w:val="-2"/>
        </w:rPr>
        <w:t>orders</w:t>
      </w:r>
      <w:r>
        <w:rPr>
          <w:color w:val="231F20"/>
          <w:spacing w:val="-14"/>
        </w:rPr>
        <w:t> </w:t>
      </w:r>
      <w:r>
        <w:rPr>
          <w:color w:val="231F20"/>
          <w:spacing w:val="-2"/>
        </w:rPr>
        <w:t>pending</w:t>
      </w:r>
      <w:r>
        <w:rPr>
          <w:color w:val="231F20"/>
          <w:spacing w:val="-15"/>
        </w:rPr>
        <w:t> </w:t>
      </w:r>
      <w:r>
        <w:rPr>
          <w:color w:val="231F20"/>
          <w:spacing w:val="-2"/>
        </w:rPr>
        <w:t>at </w:t>
      </w:r>
      <w:r>
        <w:rPr>
          <w:color w:val="231F20"/>
        </w:rPr>
        <w:t>this point. Making alternative contractual </w:t>
      </w:r>
      <w:r>
        <w:rPr>
          <w:color w:val="231F20"/>
          <w:spacing w:val="-2"/>
        </w:rPr>
        <w:t>arrangements</w:t>
      </w:r>
      <w:r>
        <w:rPr>
          <w:color w:val="231F20"/>
          <w:spacing w:val="-15"/>
        </w:rPr>
        <w:t> </w:t>
      </w:r>
      <w:r>
        <w:rPr>
          <w:color w:val="231F20"/>
          <w:spacing w:val="-2"/>
        </w:rPr>
        <w:t>with</w:t>
      </w:r>
      <w:r>
        <w:rPr>
          <w:color w:val="231F20"/>
          <w:spacing w:val="-14"/>
        </w:rPr>
        <w:t> </w:t>
      </w:r>
      <w:r>
        <w:rPr>
          <w:color w:val="231F20"/>
          <w:spacing w:val="-2"/>
        </w:rPr>
        <w:t>other</w:t>
      </w:r>
      <w:r>
        <w:rPr>
          <w:color w:val="231F20"/>
          <w:spacing w:val="-15"/>
        </w:rPr>
        <w:t> </w:t>
      </w:r>
      <w:r>
        <w:rPr>
          <w:color w:val="231F20"/>
          <w:spacing w:val="-2"/>
        </w:rPr>
        <w:t>suppliers</w:t>
      </w:r>
      <w:r>
        <w:rPr>
          <w:color w:val="231F20"/>
          <w:spacing w:val="-14"/>
        </w:rPr>
        <w:t> </w:t>
      </w:r>
      <w:r>
        <w:rPr>
          <w:color w:val="231F20"/>
          <w:spacing w:val="-2"/>
        </w:rPr>
        <w:t>resulted </w:t>
      </w:r>
      <w:r>
        <w:rPr>
          <w:color w:val="231F20"/>
        </w:rPr>
        <w:t>in a substantial increase in costs.</w:t>
      </w:r>
    </w:p>
    <w:p>
      <w:pPr>
        <w:pStyle w:val="BodyText"/>
        <w:spacing w:before="167"/>
        <w:ind w:left="412" w:right="1475"/>
      </w:pPr>
      <w:r>
        <w:rPr>
          <w:color w:val="231F20"/>
          <w:spacing w:val="-2"/>
        </w:rPr>
        <w:t>The</w:t>
      </w:r>
      <w:r>
        <w:rPr>
          <w:color w:val="231F20"/>
          <w:spacing w:val="-15"/>
        </w:rPr>
        <w:t> </w:t>
      </w:r>
      <w:r>
        <w:rPr>
          <w:color w:val="231F20"/>
          <w:spacing w:val="-2"/>
        </w:rPr>
        <w:t>steel</w:t>
      </w:r>
      <w:r>
        <w:rPr>
          <w:color w:val="231F20"/>
          <w:spacing w:val="-14"/>
        </w:rPr>
        <w:t> </w:t>
      </w:r>
      <w:r>
        <w:rPr>
          <w:color w:val="231F20"/>
          <w:spacing w:val="-2"/>
        </w:rPr>
        <w:t>industry</w:t>
      </w:r>
      <w:r>
        <w:rPr>
          <w:color w:val="231F20"/>
          <w:spacing w:val="-15"/>
        </w:rPr>
        <w:t> </w:t>
      </w:r>
      <w:r>
        <w:rPr>
          <w:color w:val="231F20"/>
          <w:spacing w:val="-2"/>
        </w:rPr>
        <w:t>reported</w:t>
      </w:r>
      <w:r>
        <w:rPr>
          <w:color w:val="231F20"/>
          <w:spacing w:val="-14"/>
        </w:rPr>
        <w:t> </w:t>
      </w:r>
      <w:r>
        <w:rPr>
          <w:color w:val="231F20"/>
          <w:spacing w:val="-2"/>
        </w:rPr>
        <w:t>lost</w:t>
      </w:r>
      <w:r>
        <w:rPr>
          <w:color w:val="231F20"/>
          <w:spacing w:val="-15"/>
        </w:rPr>
        <w:t> </w:t>
      </w:r>
      <w:r>
        <w:rPr>
          <w:color w:val="231F20"/>
          <w:spacing w:val="-2"/>
        </w:rPr>
        <w:t>production </w:t>
      </w:r>
      <w:r>
        <w:rPr>
          <w:color w:val="231F20"/>
        </w:rPr>
        <w:t>worth some USD 9,172,568 reflecting problems in accessing supplies and in arranging</w:t>
      </w:r>
      <w:r>
        <w:rPr>
          <w:color w:val="231F20"/>
          <w:spacing w:val="-9"/>
        </w:rPr>
        <w:t> </w:t>
      </w:r>
      <w:r>
        <w:rPr>
          <w:color w:val="231F20"/>
        </w:rPr>
        <w:t>imports.</w:t>
      </w:r>
      <w:r>
        <w:rPr>
          <w:color w:val="231F20"/>
          <w:spacing w:val="-9"/>
        </w:rPr>
        <w:t> </w:t>
      </w:r>
      <w:r>
        <w:rPr>
          <w:color w:val="231F20"/>
        </w:rPr>
        <w:t>The</w:t>
      </w:r>
      <w:r>
        <w:rPr>
          <w:color w:val="231F20"/>
          <w:spacing w:val="-9"/>
        </w:rPr>
        <w:t> </w:t>
      </w:r>
      <w:r>
        <w:rPr>
          <w:color w:val="231F20"/>
        </w:rPr>
        <w:t>resulting</w:t>
      </w:r>
      <w:r>
        <w:rPr>
          <w:color w:val="231F20"/>
          <w:spacing w:val="-9"/>
        </w:rPr>
        <w:t> </w:t>
      </w:r>
      <w:r>
        <w:rPr>
          <w:color w:val="231F20"/>
        </w:rPr>
        <w:t>shortfalls of</w:t>
      </w:r>
      <w:r>
        <w:rPr>
          <w:color w:val="231F20"/>
          <w:spacing w:val="-8"/>
        </w:rPr>
        <w:t> </w:t>
      </w:r>
      <w:r>
        <w:rPr>
          <w:color w:val="231F20"/>
        </w:rPr>
        <w:t>goods</w:t>
      </w:r>
      <w:r>
        <w:rPr>
          <w:color w:val="231F20"/>
          <w:spacing w:val="-8"/>
        </w:rPr>
        <w:t> </w:t>
      </w:r>
      <w:r>
        <w:rPr>
          <w:color w:val="231F20"/>
        </w:rPr>
        <w:t>not</w:t>
      </w:r>
      <w:r>
        <w:rPr>
          <w:color w:val="231F20"/>
          <w:spacing w:val="-8"/>
        </w:rPr>
        <w:t> </w:t>
      </w:r>
      <w:r>
        <w:rPr>
          <w:color w:val="231F20"/>
        </w:rPr>
        <w:t>only</w:t>
      </w:r>
      <w:r>
        <w:rPr>
          <w:color w:val="231F20"/>
          <w:spacing w:val="-8"/>
        </w:rPr>
        <w:t> </w:t>
      </w:r>
      <w:r>
        <w:rPr>
          <w:color w:val="231F20"/>
        </w:rPr>
        <w:t>affected</w:t>
      </w:r>
      <w:r>
        <w:rPr>
          <w:color w:val="231F20"/>
          <w:spacing w:val="-8"/>
        </w:rPr>
        <w:t> </w:t>
      </w:r>
      <w:r>
        <w:rPr>
          <w:color w:val="231F20"/>
        </w:rPr>
        <w:t>businesses</w:t>
      </w:r>
      <w:r>
        <w:rPr>
          <w:color w:val="231F20"/>
          <w:spacing w:val="-8"/>
        </w:rPr>
        <w:t> </w:t>
      </w:r>
      <w:r>
        <w:rPr>
          <w:color w:val="231F20"/>
        </w:rPr>
        <w:t>but were also a setback to implementation of the national housebuilding plan, marked </w:t>
      </w:r>
      <w:r>
        <w:rPr>
          <w:color w:val="231F20"/>
          <w:spacing w:val="-2"/>
        </w:rPr>
        <w:t>by</w:t>
      </w:r>
      <w:r>
        <w:rPr>
          <w:color w:val="231F20"/>
          <w:spacing w:val="-10"/>
        </w:rPr>
        <w:t> </w:t>
      </w:r>
      <w:r>
        <w:rPr>
          <w:color w:val="231F20"/>
          <w:spacing w:val="-2"/>
        </w:rPr>
        <w:t>shortages</w:t>
      </w:r>
      <w:r>
        <w:rPr>
          <w:color w:val="231F20"/>
          <w:spacing w:val="-10"/>
        </w:rPr>
        <w:t> </w:t>
      </w:r>
      <w:r>
        <w:rPr>
          <w:color w:val="231F20"/>
          <w:spacing w:val="-2"/>
        </w:rPr>
        <w:t>of</w:t>
      </w:r>
      <w:r>
        <w:rPr>
          <w:color w:val="231F20"/>
          <w:spacing w:val="-10"/>
        </w:rPr>
        <w:t> </w:t>
      </w:r>
      <w:r>
        <w:rPr>
          <w:color w:val="231F20"/>
          <w:spacing w:val="-2"/>
        </w:rPr>
        <w:t>metalwork,</w:t>
      </w:r>
      <w:r>
        <w:rPr>
          <w:color w:val="231F20"/>
          <w:spacing w:val="-10"/>
        </w:rPr>
        <w:t> </w:t>
      </w:r>
      <w:r>
        <w:rPr>
          <w:color w:val="231F20"/>
          <w:spacing w:val="-2"/>
        </w:rPr>
        <w:t>pipework,</w:t>
      </w:r>
      <w:r>
        <w:rPr>
          <w:color w:val="231F20"/>
          <w:spacing w:val="-10"/>
        </w:rPr>
        <w:t> </w:t>
      </w:r>
      <w:r>
        <w:rPr>
          <w:color w:val="231F20"/>
          <w:spacing w:val="-2"/>
        </w:rPr>
        <w:t>light </w:t>
      </w:r>
      <w:r>
        <w:rPr>
          <w:color w:val="231F20"/>
          <w:spacing w:val="-6"/>
        </w:rPr>
        <w:t>metal</w:t>
      </w:r>
      <w:r>
        <w:rPr>
          <w:color w:val="231F20"/>
          <w:spacing w:val="-10"/>
        </w:rPr>
        <w:t> </w:t>
      </w:r>
      <w:r>
        <w:rPr>
          <w:color w:val="231F20"/>
          <w:spacing w:val="-6"/>
        </w:rPr>
        <w:t>coverings,</w:t>
      </w:r>
      <w:r>
        <w:rPr>
          <w:color w:val="231F20"/>
          <w:spacing w:val="-7"/>
        </w:rPr>
        <w:t> </w:t>
      </w:r>
      <w:r>
        <w:rPr>
          <w:color w:val="231F20"/>
          <w:spacing w:val="-6"/>
        </w:rPr>
        <w:t>beams</w:t>
      </w:r>
      <w:r>
        <w:rPr>
          <w:color w:val="231F20"/>
          <w:spacing w:val="-8"/>
        </w:rPr>
        <w:t> </w:t>
      </w:r>
      <w:r>
        <w:rPr>
          <w:color w:val="231F20"/>
          <w:spacing w:val="-6"/>
        </w:rPr>
        <w:t>and</w:t>
      </w:r>
      <w:r>
        <w:rPr>
          <w:color w:val="231F20"/>
          <w:spacing w:val="-7"/>
        </w:rPr>
        <w:t> </w:t>
      </w:r>
      <w:r>
        <w:rPr>
          <w:color w:val="231F20"/>
          <w:spacing w:val="-6"/>
        </w:rPr>
        <w:t>other</w:t>
      </w:r>
      <w:r>
        <w:rPr>
          <w:color w:val="231F20"/>
          <w:spacing w:val="-7"/>
        </w:rPr>
        <w:t> </w:t>
      </w:r>
      <w:r>
        <w:rPr>
          <w:color w:val="231F20"/>
          <w:spacing w:val="-6"/>
        </w:rPr>
        <w:t>materials.</w:t>
      </w:r>
    </w:p>
    <w:p>
      <w:pPr>
        <w:spacing w:before="166"/>
        <w:ind w:left="412" w:right="1474" w:firstLine="0"/>
        <w:jc w:val="both"/>
        <w:rPr>
          <w:rFonts w:ascii="Segoe UI Semibold"/>
          <w:b/>
          <w:i/>
          <w:sz w:val="24"/>
        </w:rPr>
      </w:pPr>
      <w:r>
        <w:rPr>
          <w:rFonts w:ascii="Segoe UI Semibold"/>
          <w:b/>
          <w:i/>
          <w:color w:val="231F20"/>
          <w:sz w:val="24"/>
        </w:rPr>
        <w:t>In</w:t>
      </w:r>
      <w:r>
        <w:rPr>
          <w:rFonts w:ascii="Segoe UI Semibold"/>
          <w:b/>
          <w:i/>
          <w:color w:val="231F20"/>
          <w:spacing w:val="-17"/>
          <w:sz w:val="24"/>
        </w:rPr>
        <w:t> </w:t>
      </w:r>
      <w:r>
        <w:rPr>
          <w:rFonts w:ascii="Segoe UI Semibold"/>
          <w:b/>
          <w:i/>
          <w:color w:val="231F20"/>
          <w:sz w:val="24"/>
        </w:rPr>
        <w:t>the</w:t>
      </w:r>
      <w:r>
        <w:rPr>
          <w:rFonts w:ascii="Segoe UI Semibold"/>
          <w:b/>
          <w:i/>
          <w:color w:val="231F20"/>
          <w:spacing w:val="-16"/>
          <w:sz w:val="24"/>
        </w:rPr>
        <w:t> </w:t>
      </w:r>
      <w:r>
        <w:rPr>
          <w:rFonts w:ascii="Segoe UI Semibold"/>
          <w:b/>
          <w:i/>
          <w:color w:val="231F20"/>
          <w:sz w:val="24"/>
        </w:rPr>
        <w:t>case</w:t>
      </w:r>
      <w:r>
        <w:rPr>
          <w:rFonts w:ascii="Segoe UI Semibold"/>
          <w:b/>
          <w:i/>
          <w:color w:val="231F20"/>
          <w:spacing w:val="-17"/>
          <w:sz w:val="24"/>
        </w:rPr>
        <w:t> </w:t>
      </w:r>
      <w:r>
        <w:rPr>
          <w:rFonts w:ascii="Segoe UI Semibold"/>
          <w:b/>
          <w:i/>
          <w:color w:val="231F20"/>
          <w:sz w:val="24"/>
        </w:rPr>
        <w:t>of</w:t>
      </w:r>
      <w:r>
        <w:rPr>
          <w:rFonts w:ascii="Segoe UI Semibold"/>
          <w:b/>
          <w:i/>
          <w:color w:val="231F20"/>
          <w:spacing w:val="-16"/>
          <w:sz w:val="24"/>
        </w:rPr>
        <w:t> </w:t>
      </w:r>
      <w:r>
        <w:rPr>
          <w:b/>
          <w:i/>
          <w:color w:val="B52628"/>
          <w:sz w:val="24"/>
        </w:rPr>
        <w:t>the</w:t>
      </w:r>
      <w:r>
        <w:rPr>
          <w:b/>
          <w:i/>
          <w:color w:val="B52628"/>
          <w:spacing w:val="-17"/>
          <w:sz w:val="24"/>
        </w:rPr>
        <w:t> </w:t>
      </w:r>
      <w:r>
        <w:rPr>
          <w:b/>
          <w:i/>
          <w:color w:val="B52628"/>
          <w:sz w:val="24"/>
        </w:rPr>
        <w:t>transport</w:t>
      </w:r>
      <w:r>
        <w:rPr>
          <w:b/>
          <w:i/>
          <w:color w:val="B52628"/>
          <w:spacing w:val="-16"/>
          <w:sz w:val="24"/>
        </w:rPr>
        <w:t> </w:t>
      </w:r>
      <w:r>
        <w:rPr>
          <w:b/>
          <w:i/>
          <w:color w:val="B52628"/>
          <w:sz w:val="24"/>
        </w:rPr>
        <w:t>sector</w:t>
      </w:r>
      <w:r>
        <w:rPr>
          <w:rFonts w:ascii="Segoe UI Semibold"/>
          <w:b/>
          <w:i/>
          <w:color w:val="231F20"/>
          <w:sz w:val="24"/>
        </w:rPr>
        <w:t>,</w:t>
      </w:r>
      <w:r>
        <w:rPr>
          <w:rFonts w:ascii="Segoe UI Semibold"/>
          <w:b/>
          <w:i/>
          <w:color w:val="231F20"/>
          <w:spacing w:val="-17"/>
          <w:sz w:val="24"/>
        </w:rPr>
        <w:t> </w:t>
      </w:r>
      <w:r>
        <w:rPr>
          <w:rFonts w:ascii="Segoe UI Semibold"/>
          <w:b/>
          <w:i/>
          <w:color w:val="231F20"/>
          <w:sz w:val="24"/>
        </w:rPr>
        <w:t>during</w:t>
      </w:r>
      <w:r>
        <w:rPr>
          <w:rFonts w:ascii="Segoe UI Semibold"/>
          <w:b/>
          <w:i/>
          <w:color w:val="231F20"/>
          <w:sz w:val="24"/>
        </w:rPr>
        <w:t> the period considered, the blockade was responsible for economic damage to the tune of </w:t>
      </w:r>
      <w:r>
        <w:rPr>
          <w:b/>
          <w:i/>
          <w:color w:val="231F20"/>
          <w:sz w:val="24"/>
        </w:rPr>
        <w:t>USD 202,420,140</w:t>
      </w:r>
      <w:r>
        <w:rPr>
          <w:rFonts w:ascii="Segoe UI Semibold"/>
          <w:b/>
          <w:i/>
          <w:color w:val="231F20"/>
          <w:sz w:val="24"/>
        </w:rPr>
        <w:t>.</w:t>
      </w:r>
    </w:p>
    <w:p>
      <w:pPr>
        <w:pStyle w:val="BodyText"/>
        <w:spacing w:before="160"/>
        <w:ind w:left="412" w:right="1472"/>
      </w:pPr>
      <w:r>
        <w:rPr>
          <w:color w:val="231F20"/>
        </w:rPr>
        <w:t>The last three years have seen a steady decline in all the means of passenger </w:t>
      </w:r>
      <w:r>
        <w:rPr>
          <w:color w:val="231F20"/>
          <w:spacing w:val="-4"/>
        </w:rPr>
        <w:t>transport</w:t>
      </w:r>
      <w:r>
        <w:rPr>
          <w:color w:val="231F20"/>
          <w:spacing w:val="-27"/>
        </w:rPr>
        <w:t> </w:t>
      </w:r>
      <w:r>
        <w:rPr>
          <w:color w:val="231F20"/>
          <w:spacing w:val="-4"/>
        </w:rPr>
        <w:t>and</w:t>
      </w:r>
      <w:r>
        <w:rPr>
          <w:color w:val="231F20"/>
          <w:spacing w:val="-27"/>
        </w:rPr>
        <w:t> </w:t>
      </w:r>
      <w:r>
        <w:rPr>
          <w:color w:val="231F20"/>
          <w:spacing w:val="-4"/>
        </w:rPr>
        <w:t>the</w:t>
      </w:r>
      <w:r>
        <w:rPr>
          <w:color w:val="231F20"/>
          <w:spacing w:val="-27"/>
        </w:rPr>
        <w:t> </w:t>
      </w:r>
      <w:r>
        <w:rPr>
          <w:color w:val="231F20"/>
          <w:spacing w:val="-4"/>
        </w:rPr>
        <w:t>associated</w:t>
      </w:r>
      <w:r>
        <w:rPr>
          <w:color w:val="231F20"/>
          <w:spacing w:val="-26"/>
        </w:rPr>
        <w:t> </w:t>
      </w:r>
      <w:r>
        <w:rPr>
          <w:color w:val="231F20"/>
          <w:spacing w:val="-4"/>
        </w:rPr>
        <w:t>infrastructures,</w:t>
      </w:r>
    </w:p>
    <w:p>
      <w:pPr>
        <w:spacing w:after="0"/>
        <w:sectPr>
          <w:pgSz w:w="11910" w:h="16840"/>
          <w:pgMar w:header="0" w:footer="695" w:top="1260" w:bottom="880" w:left="0" w:right="0"/>
          <w:cols w:num="2" w:equalWidth="0">
            <w:col w:w="5558" w:space="40"/>
            <w:col w:w="6312"/>
          </w:cols>
        </w:sectPr>
      </w:pPr>
    </w:p>
    <w:p>
      <w:pPr>
        <w:pStyle w:val="BodyText"/>
        <w:spacing w:before="77"/>
        <w:ind w:left="1474" w:right="1"/>
      </w:pPr>
      <w:r>
        <w:rPr>
          <w:color w:val="231F20"/>
        </w:rPr>
        <w:t>as vehicle condition has deteriorated, replacement parts have become scarce (through lack of funds as well as supplier refusals) and Washington has persisted with the policies it introduced in 2019 designed</w:t>
      </w:r>
      <w:r>
        <w:rPr>
          <w:color w:val="231F20"/>
          <w:spacing w:val="-12"/>
        </w:rPr>
        <w:t> </w:t>
      </w:r>
      <w:r>
        <w:rPr>
          <w:color w:val="231F20"/>
        </w:rPr>
        <w:t>to</w:t>
      </w:r>
      <w:r>
        <w:rPr>
          <w:color w:val="231F20"/>
          <w:spacing w:val="-13"/>
        </w:rPr>
        <w:t> </w:t>
      </w:r>
      <w:r>
        <w:rPr>
          <w:color w:val="231F20"/>
        </w:rPr>
        <w:t>starve</w:t>
      </w:r>
      <w:r>
        <w:rPr>
          <w:color w:val="231F20"/>
          <w:spacing w:val="-12"/>
        </w:rPr>
        <w:t> </w:t>
      </w:r>
      <w:r>
        <w:rPr>
          <w:color w:val="231F20"/>
        </w:rPr>
        <w:t>Cuba</w:t>
      </w:r>
      <w:r>
        <w:rPr>
          <w:color w:val="231F20"/>
          <w:spacing w:val="-12"/>
        </w:rPr>
        <w:t> </w:t>
      </w:r>
      <w:r>
        <w:rPr>
          <w:color w:val="231F20"/>
        </w:rPr>
        <w:t>of</w:t>
      </w:r>
      <w:r>
        <w:rPr>
          <w:color w:val="231F20"/>
          <w:spacing w:val="-12"/>
        </w:rPr>
        <w:t> </w:t>
      </w:r>
      <w:r>
        <w:rPr>
          <w:color w:val="231F20"/>
        </w:rPr>
        <w:t>fuel,</w:t>
      </w:r>
      <w:r>
        <w:rPr>
          <w:color w:val="231F20"/>
          <w:spacing w:val="-12"/>
        </w:rPr>
        <w:t> </w:t>
      </w:r>
      <w:r>
        <w:rPr>
          <w:color w:val="231F20"/>
        </w:rPr>
        <w:t>which</w:t>
      </w:r>
      <w:r>
        <w:rPr>
          <w:color w:val="231F20"/>
          <w:spacing w:val="-12"/>
        </w:rPr>
        <w:t> </w:t>
      </w:r>
      <w:r>
        <w:rPr>
          <w:color w:val="231F20"/>
        </w:rPr>
        <w:t>has had a devastating effect on this sector. The</w:t>
      </w:r>
      <w:r>
        <w:rPr>
          <w:color w:val="231F20"/>
          <w:spacing w:val="-13"/>
        </w:rPr>
        <w:t> </w:t>
      </w:r>
      <w:r>
        <w:rPr>
          <w:color w:val="231F20"/>
        </w:rPr>
        <w:t>impact</w:t>
      </w:r>
      <w:r>
        <w:rPr>
          <w:color w:val="231F20"/>
          <w:spacing w:val="-13"/>
        </w:rPr>
        <w:t> </w:t>
      </w:r>
      <w:r>
        <w:rPr>
          <w:color w:val="231F20"/>
        </w:rPr>
        <w:t>is</w:t>
      </w:r>
      <w:r>
        <w:rPr>
          <w:color w:val="231F20"/>
          <w:spacing w:val="-13"/>
        </w:rPr>
        <w:t> </w:t>
      </w:r>
      <w:r>
        <w:rPr>
          <w:color w:val="231F20"/>
        </w:rPr>
        <w:t>felt</w:t>
      </w:r>
      <w:r>
        <w:rPr>
          <w:color w:val="231F20"/>
          <w:spacing w:val="-13"/>
        </w:rPr>
        <w:t> </w:t>
      </w:r>
      <w:r>
        <w:rPr>
          <w:color w:val="231F20"/>
        </w:rPr>
        <w:t>in</w:t>
      </w:r>
      <w:r>
        <w:rPr>
          <w:color w:val="231F20"/>
          <w:spacing w:val="-13"/>
        </w:rPr>
        <w:t> </w:t>
      </w:r>
      <w:r>
        <w:rPr>
          <w:color w:val="231F20"/>
        </w:rPr>
        <w:t>lower</w:t>
      </w:r>
      <w:r>
        <w:rPr>
          <w:color w:val="231F20"/>
          <w:spacing w:val="-13"/>
        </w:rPr>
        <w:t> </w:t>
      </w:r>
      <w:r>
        <w:rPr>
          <w:color w:val="231F20"/>
        </w:rPr>
        <w:t>levels</w:t>
      </w:r>
      <w:r>
        <w:rPr>
          <w:color w:val="231F20"/>
          <w:spacing w:val="-13"/>
        </w:rPr>
        <w:t> </w:t>
      </w:r>
      <w:r>
        <w:rPr>
          <w:color w:val="231F20"/>
        </w:rPr>
        <w:t>of</w:t>
      </w:r>
      <w:r>
        <w:rPr>
          <w:color w:val="231F20"/>
          <w:spacing w:val="-13"/>
        </w:rPr>
        <w:t> </w:t>
      </w:r>
      <w:r>
        <w:rPr>
          <w:color w:val="231F20"/>
        </w:rPr>
        <w:t>service, seriously affecting the public at large.</w:t>
      </w:r>
    </w:p>
    <w:p>
      <w:pPr>
        <w:pStyle w:val="BodyText"/>
        <w:spacing w:before="167"/>
        <w:ind w:left="1474" w:right="1"/>
      </w:pPr>
      <w:r>
        <w:rPr>
          <w:color w:val="231F20"/>
        </w:rPr>
        <w:t>Public transportation alone requires maintenance expenditure totaling USD 40,000,000 a year, plus investment in the sector. The banning of cruise ships from </w:t>
      </w:r>
      <w:r>
        <w:rPr>
          <w:color w:val="231F20"/>
          <w:spacing w:val="-2"/>
        </w:rPr>
        <w:t>entering</w:t>
      </w:r>
      <w:r>
        <w:rPr>
          <w:color w:val="231F20"/>
          <w:spacing w:val="-15"/>
        </w:rPr>
        <w:t> </w:t>
      </w:r>
      <w:r>
        <w:rPr>
          <w:color w:val="231F20"/>
          <w:spacing w:val="-2"/>
        </w:rPr>
        <w:t>Cuban</w:t>
      </w:r>
      <w:r>
        <w:rPr>
          <w:color w:val="231F20"/>
          <w:spacing w:val="-14"/>
        </w:rPr>
        <w:t> </w:t>
      </w:r>
      <w:r>
        <w:rPr>
          <w:color w:val="231F20"/>
          <w:spacing w:val="-2"/>
        </w:rPr>
        <w:t>ports</w:t>
      </w:r>
      <w:r>
        <w:rPr>
          <w:color w:val="231F20"/>
          <w:spacing w:val="-15"/>
        </w:rPr>
        <w:t> </w:t>
      </w:r>
      <w:r>
        <w:rPr>
          <w:color w:val="231F20"/>
          <w:spacing w:val="-2"/>
        </w:rPr>
        <w:t>has</w:t>
      </w:r>
      <w:r>
        <w:rPr>
          <w:color w:val="231F20"/>
          <w:spacing w:val="-14"/>
        </w:rPr>
        <w:t> </w:t>
      </w:r>
      <w:r>
        <w:rPr>
          <w:color w:val="231F20"/>
          <w:spacing w:val="-2"/>
        </w:rPr>
        <w:t>cut</w:t>
      </w:r>
      <w:r>
        <w:rPr>
          <w:color w:val="231F20"/>
          <w:spacing w:val="-15"/>
        </w:rPr>
        <w:t> </w:t>
      </w:r>
      <w:r>
        <w:rPr>
          <w:color w:val="231F20"/>
          <w:spacing w:val="-2"/>
        </w:rPr>
        <w:t>off</w:t>
      </w:r>
      <w:r>
        <w:rPr>
          <w:color w:val="231F20"/>
          <w:spacing w:val="-14"/>
        </w:rPr>
        <w:t> </w:t>
      </w:r>
      <w:r>
        <w:rPr>
          <w:color w:val="231F20"/>
          <w:spacing w:val="-2"/>
        </w:rPr>
        <w:t>one</w:t>
      </w:r>
      <w:r>
        <w:rPr>
          <w:color w:val="231F20"/>
          <w:spacing w:val="-15"/>
        </w:rPr>
        <w:t> </w:t>
      </w:r>
      <w:r>
        <w:rPr>
          <w:color w:val="231F20"/>
          <w:spacing w:val="-2"/>
        </w:rPr>
        <w:t>of</w:t>
      </w:r>
      <w:r>
        <w:rPr>
          <w:color w:val="231F20"/>
          <w:spacing w:val="-14"/>
        </w:rPr>
        <w:t> </w:t>
      </w:r>
      <w:r>
        <w:rPr>
          <w:color w:val="231F20"/>
          <w:spacing w:val="-2"/>
        </w:rPr>
        <w:t>the </w:t>
      </w:r>
      <w:r>
        <w:rPr>
          <w:color w:val="231F20"/>
        </w:rPr>
        <w:t>main sources of revenue for funding the transport infrastructure.</w:t>
      </w:r>
    </w:p>
    <w:p>
      <w:pPr>
        <w:spacing w:before="165"/>
        <w:ind w:left="1474" w:right="0" w:firstLine="0"/>
        <w:jc w:val="both"/>
        <w:rPr>
          <w:rFonts w:ascii="Segoe UI Semibold"/>
          <w:b/>
          <w:i/>
          <w:sz w:val="24"/>
        </w:rPr>
      </w:pPr>
      <w:r>
        <w:rPr>
          <w:i/>
          <w:color w:val="231F20"/>
          <w:sz w:val="24"/>
        </w:rPr>
        <w:t>The</w:t>
      </w:r>
      <w:r>
        <w:rPr>
          <w:i/>
          <w:color w:val="231F20"/>
          <w:spacing w:val="-15"/>
          <w:sz w:val="24"/>
        </w:rPr>
        <w:t> </w:t>
      </w:r>
      <w:r>
        <w:rPr>
          <w:i/>
          <w:color w:val="231F20"/>
          <w:sz w:val="24"/>
        </w:rPr>
        <w:t>purchase</w:t>
      </w:r>
      <w:r>
        <w:rPr>
          <w:i/>
          <w:color w:val="231F20"/>
          <w:spacing w:val="-15"/>
          <w:sz w:val="24"/>
        </w:rPr>
        <w:t> </w:t>
      </w:r>
      <w:r>
        <w:rPr>
          <w:i/>
          <w:color w:val="231F20"/>
          <w:sz w:val="24"/>
        </w:rPr>
        <w:t>price</w:t>
      </w:r>
      <w:r>
        <w:rPr>
          <w:i/>
          <w:color w:val="231F20"/>
          <w:spacing w:val="-15"/>
          <w:sz w:val="24"/>
        </w:rPr>
        <w:t> </w:t>
      </w:r>
      <w:r>
        <w:rPr>
          <w:i/>
          <w:color w:val="231F20"/>
          <w:sz w:val="24"/>
        </w:rPr>
        <w:t>of</w:t>
      </w:r>
      <w:r>
        <w:rPr>
          <w:i/>
          <w:color w:val="231F20"/>
          <w:spacing w:val="-15"/>
          <w:sz w:val="24"/>
        </w:rPr>
        <w:t> </w:t>
      </w:r>
      <w:r>
        <w:rPr>
          <w:i/>
          <w:color w:val="231F20"/>
          <w:sz w:val="24"/>
        </w:rPr>
        <w:t>a</w:t>
      </w:r>
      <w:r>
        <w:rPr>
          <w:i/>
          <w:color w:val="231F20"/>
          <w:spacing w:val="-15"/>
          <w:sz w:val="24"/>
        </w:rPr>
        <w:t> </w:t>
      </w:r>
      <w:r>
        <w:rPr>
          <w:i/>
          <w:color w:val="231F20"/>
          <w:sz w:val="24"/>
        </w:rPr>
        <w:t>bus</w:t>
      </w:r>
      <w:r>
        <w:rPr>
          <w:i/>
          <w:color w:val="231F20"/>
          <w:spacing w:val="-15"/>
          <w:sz w:val="24"/>
        </w:rPr>
        <w:t> </w:t>
      </w:r>
      <w:r>
        <w:rPr>
          <w:i/>
          <w:color w:val="231F20"/>
          <w:sz w:val="24"/>
        </w:rPr>
        <w:t>of</w:t>
      </w:r>
      <w:r>
        <w:rPr>
          <w:i/>
          <w:color w:val="231F20"/>
          <w:spacing w:val="-15"/>
          <w:sz w:val="24"/>
        </w:rPr>
        <w:t> </w:t>
      </w:r>
      <w:r>
        <w:rPr>
          <w:i/>
          <w:color w:val="231F20"/>
          <w:sz w:val="24"/>
        </w:rPr>
        <w:t>the</w:t>
      </w:r>
      <w:r>
        <w:rPr>
          <w:i/>
          <w:color w:val="231F20"/>
          <w:spacing w:val="-15"/>
          <w:sz w:val="24"/>
        </w:rPr>
        <w:t> </w:t>
      </w:r>
      <w:r>
        <w:rPr>
          <w:i/>
          <w:color w:val="231F20"/>
          <w:sz w:val="24"/>
        </w:rPr>
        <w:t>type</w:t>
      </w:r>
      <w:r>
        <w:rPr>
          <w:i/>
          <w:color w:val="231F20"/>
          <w:spacing w:val="-15"/>
          <w:sz w:val="24"/>
        </w:rPr>
        <w:t> </w:t>
      </w:r>
      <w:r>
        <w:rPr>
          <w:i/>
          <w:color w:val="231F20"/>
          <w:sz w:val="24"/>
        </w:rPr>
        <w:t>seen</w:t>
      </w:r>
      <w:r>
        <w:rPr>
          <w:i/>
          <w:color w:val="231F20"/>
          <w:sz w:val="24"/>
        </w:rPr>
        <w:t> in the streets of Havana is USD 200,000; a locomotive costs around USD 2,000,000; a small</w:t>
      </w:r>
      <w:r>
        <w:rPr>
          <w:i/>
          <w:color w:val="231F20"/>
          <w:spacing w:val="-17"/>
          <w:sz w:val="24"/>
        </w:rPr>
        <w:t> </w:t>
      </w:r>
      <w:r>
        <w:rPr>
          <w:i/>
          <w:color w:val="231F20"/>
          <w:sz w:val="24"/>
        </w:rPr>
        <w:t>airplane</w:t>
      </w:r>
      <w:r>
        <w:rPr>
          <w:i/>
          <w:color w:val="231F20"/>
          <w:spacing w:val="-16"/>
          <w:sz w:val="24"/>
        </w:rPr>
        <w:t> </w:t>
      </w:r>
      <w:r>
        <w:rPr>
          <w:i/>
          <w:color w:val="231F20"/>
          <w:sz w:val="24"/>
        </w:rPr>
        <w:t>over</w:t>
      </w:r>
      <w:r>
        <w:rPr>
          <w:i/>
          <w:color w:val="231F20"/>
          <w:spacing w:val="-17"/>
          <w:sz w:val="24"/>
        </w:rPr>
        <w:t> </w:t>
      </w:r>
      <w:r>
        <w:rPr>
          <w:i/>
          <w:color w:val="231F20"/>
          <w:sz w:val="24"/>
        </w:rPr>
        <w:t>USD</w:t>
      </w:r>
      <w:r>
        <w:rPr>
          <w:i/>
          <w:color w:val="231F20"/>
          <w:spacing w:val="-16"/>
          <w:sz w:val="24"/>
        </w:rPr>
        <w:t> </w:t>
      </w:r>
      <w:r>
        <w:rPr>
          <w:i/>
          <w:color w:val="231F20"/>
          <w:sz w:val="24"/>
        </w:rPr>
        <w:t>30,000,000;</w:t>
      </w:r>
      <w:r>
        <w:rPr>
          <w:i/>
          <w:color w:val="231F20"/>
          <w:spacing w:val="-17"/>
          <w:sz w:val="24"/>
        </w:rPr>
        <w:t> </w:t>
      </w:r>
      <w:r>
        <w:rPr>
          <w:i/>
          <w:color w:val="231F20"/>
          <w:sz w:val="24"/>
        </w:rPr>
        <w:t>a</w:t>
      </w:r>
      <w:r>
        <w:rPr>
          <w:i/>
          <w:color w:val="231F20"/>
          <w:spacing w:val="-16"/>
          <w:sz w:val="24"/>
        </w:rPr>
        <w:t> </w:t>
      </w:r>
      <w:r>
        <w:rPr>
          <w:i/>
          <w:color w:val="231F20"/>
          <w:sz w:val="24"/>
        </w:rPr>
        <w:t>ferry over USD 10,000,000. </w:t>
      </w:r>
      <w:r>
        <w:rPr>
          <w:rFonts w:ascii="Segoe UI Semibold"/>
          <w:b/>
          <w:i/>
          <w:color w:val="231F20"/>
          <w:sz w:val="24"/>
        </w:rPr>
        <w:t>One blockade-free</w:t>
      </w:r>
      <w:r>
        <w:rPr>
          <w:rFonts w:ascii="Segoe UI Semibold"/>
          <w:b/>
          <w:i/>
          <w:color w:val="231F20"/>
          <w:sz w:val="24"/>
        </w:rPr>
        <w:t> week</w:t>
      </w:r>
      <w:r>
        <w:rPr>
          <w:rFonts w:ascii="Segoe UI Semibold"/>
          <w:b/>
          <w:i/>
          <w:color w:val="231F20"/>
          <w:spacing w:val="-6"/>
          <w:sz w:val="24"/>
        </w:rPr>
        <w:t> </w:t>
      </w:r>
      <w:r>
        <w:rPr>
          <w:rFonts w:ascii="Segoe UI Semibold"/>
          <w:b/>
          <w:i/>
          <w:color w:val="231F20"/>
          <w:sz w:val="24"/>
        </w:rPr>
        <w:t>would</w:t>
      </w:r>
      <w:r>
        <w:rPr>
          <w:rFonts w:ascii="Segoe UI Semibold"/>
          <w:b/>
          <w:i/>
          <w:color w:val="231F20"/>
          <w:spacing w:val="-6"/>
          <w:sz w:val="24"/>
        </w:rPr>
        <w:t> </w:t>
      </w:r>
      <w:r>
        <w:rPr>
          <w:rFonts w:ascii="Segoe UI Semibold"/>
          <w:b/>
          <w:i/>
          <w:color w:val="231F20"/>
          <w:sz w:val="24"/>
        </w:rPr>
        <w:t>pay</w:t>
      </w:r>
      <w:r>
        <w:rPr>
          <w:rFonts w:ascii="Segoe UI Semibold"/>
          <w:b/>
          <w:i/>
          <w:color w:val="231F20"/>
          <w:spacing w:val="-6"/>
          <w:sz w:val="24"/>
        </w:rPr>
        <w:t> </w:t>
      </w:r>
      <w:r>
        <w:rPr>
          <w:rFonts w:ascii="Segoe UI Semibold"/>
          <w:b/>
          <w:i/>
          <w:color w:val="231F20"/>
          <w:sz w:val="24"/>
        </w:rPr>
        <w:t>for</w:t>
      </w:r>
      <w:r>
        <w:rPr>
          <w:rFonts w:ascii="Segoe UI Semibold"/>
          <w:b/>
          <w:i/>
          <w:color w:val="231F20"/>
          <w:spacing w:val="-6"/>
          <w:sz w:val="24"/>
        </w:rPr>
        <w:t> </w:t>
      </w:r>
      <w:r>
        <w:rPr>
          <w:rFonts w:ascii="Segoe UI Semibold"/>
          <w:b/>
          <w:i/>
          <w:color w:val="231F20"/>
          <w:sz w:val="24"/>
        </w:rPr>
        <w:t>206</w:t>
      </w:r>
      <w:r>
        <w:rPr>
          <w:rFonts w:ascii="Segoe UI Semibold"/>
          <w:b/>
          <w:i/>
          <w:color w:val="231F20"/>
          <w:spacing w:val="-6"/>
          <w:sz w:val="24"/>
        </w:rPr>
        <w:t> </w:t>
      </w:r>
      <w:r>
        <w:rPr>
          <w:rFonts w:ascii="Segoe UI Semibold"/>
          <w:b/>
          <w:i/>
          <w:color w:val="231F20"/>
          <w:sz w:val="24"/>
        </w:rPr>
        <w:t>buses,</w:t>
      </w:r>
      <w:r>
        <w:rPr>
          <w:rFonts w:ascii="Segoe UI Semibold"/>
          <w:b/>
          <w:i/>
          <w:color w:val="231F20"/>
          <w:spacing w:val="-6"/>
          <w:sz w:val="24"/>
        </w:rPr>
        <w:t> </w:t>
      </w:r>
      <w:r>
        <w:rPr>
          <w:rFonts w:ascii="Segoe UI Semibold"/>
          <w:b/>
          <w:i/>
          <w:color w:val="231F20"/>
          <w:sz w:val="24"/>
        </w:rPr>
        <w:t>6</w:t>
      </w:r>
      <w:r>
        <w:rPr>
          <w:rFonts w:ascii="Segoe UI Semibold"/>
          <w:b/>
          <w:i/>
          <w:color w:val="231F20"/>
          <w:spacing w:val="-6"/>
          <w:sz w:val="24"/>
        </w:rPr>
        <w:t> </w:t>
      </w:r>
      <w:r>
        <w:rPr>
          <w:rFonts w:ascii="Segoe UI Semibold"/>
          <w:b/>
          <w:i/>
          <w:color w:val="231F20"/>
          <w:sz w:val="24"/>
        </w:rPr>
        <w:t>trains,</w:t>
      </w:r>
      <w:r>
        <w:rPr>
          <w:rFonts w:ascii="Segoe UI Semibold"/>
          <w:b/>
          <w:i/>
          <w:color w:val="231F20"/>
          <w:spacing w:val="-6"/>
          <w:sz w:val="24"/>
        </w:rPr>
        <w:t> </w:t>
      </w:r>
      <w:r>
        <w:rPr>
          <w:rFonts w:ascii="Segoe UI Semibold"/>
          <w:b/>
          <w:i/>
          <w:color w:val="231F20"/>
          <w:sz w:val="24"/>
        </w:rPr>
        <w:t>a plane and a ferry.</w:t>
      </w:r>
    </w:p>
    <w:p>
      <w:pPr>
        <w:pStyle w:val="BodyText"/>
        <w:spacing w:before="163"/>
        <w:ind w:left="1474"/>
      </w:pPr>
      <w:r>
        <w:rPr>
          <w:color w:val="231F20"/>
        </w:rPr>
        <w:t>In normal times, public transportation in Havana consumes over 80,000 liters of diesel per day. It is currently not possible to meet that level of supply. Importantly, in</w:t>
      </w:r>
      <w:r>
        <w:rPr>
          <w:color w:val="231F20"/>
          <w:spacing w:val="-5"/>
        </w:rPr>
        <w:t> </w:t>
      </w:r>
      <w:r>
        <w:rPr>
          <w:color w:val="231F20"/>
        </w:rPr>
        <w:t>the</w:t>
      </w:r>
      <w:r>
        <w:rPr>
          <w:color w:val="231F20"/>
          <w:spacing w:val="-5"/>
        </w:rPr>
        <w:t> </w:t>
      </w:r>
      <w:r>
        <w:rPr>
          <w:color w:val="231F20"/>
        </w:rPr>
        <w:t>period</w:t>
      </w:r>
      <w:r>
        <w:rPr>
          <w:color w:val="231F20"/>
          <w:spacing w:val="-5"/>
        </w:rPr>
        <w:t> </w:t>
      </w:r>
      <w:r>
        <w:rPr>
          <w:color w:val="231F20"/>
        </w:rPr>
        <w:t>under</w:t>
      </w:r>
      <w:r>
        <w:rPr>
          <w:color w:val="231F20"/>
          <w:spacing w:val="-5"/>
        </w:rPr>
        <w:t> </w:t>
      </w:r>
      <w:r>
        <w:rPr>
          <w:color w:val="231F20"/>
        </w:rPr>
        <w:t>review,</w:t>
      </w:r>
      <w:r>
        <w:rPr>
          <w:color w:val="231F20"/>
          <w:spacing w:val="-5"/>
        </w:rPr>
        <w:t> </w:t>
      </w:r>
      <w:r>
        <w:rPr>
          <w:color w:val="231F20"/>
        </w:rPr>
        <w:t>marine</w:t>
      </w:r>
      <w:r>
        <w:rPr>
          <w:color w:val="231F20"/>
          <w:spacing w:val="-5"/>
        </w:rPr>
        <w:t> </w:t>
      </w:r>
      <w:r>
        <w:rPr>
          <w:color w:val="231F20"/>
        </w:rPr>
        <w:t>freight costs</w:t>
      </w:r>
      <w:r>
        <w:rPr>
          <w:color w:val="231F20"/>
          <w:spacing w:val="-5"/>
        </w:rPr>
        <w:t> </w:t>
      </w:r>
      <w:r>
        <w:rPr>
          <w:color w:val="231F20"/>
        </w:rPr>
        <w:t>trebled</w:t>
      </w:r>
      <w:r>
        <w:rPr>
          <w:color w:val="231F20"/>
          <w:spacing w:val="-5"/>
        </w:rPr>
        <w:t> </w:t>
      </w:r>
      <w:r>
        <w:rPr>
          <w:color w:val="231F20"/>
        </w:rPr>
        <w:t>due</w:t>
      </w:r>
      <w:r>
        <w:rPr>
          <w:color w:val="231F20"/>
          <w:spacing w:val="-5"/>
        </w:rPr>
        <w:t> </w:t>
      </w:r>
      <w:r>
        <w:rPr>
          <w:color w:val="231F20"/>
        </w:rPr>
        <w:t>to</w:t>
      </w:r>
      <w:r>
        <w:rPr>
          <w:color w:val="231F20"/>
          <w:spacing w:val="-5"/>
        </w:rPr>
        <w:t> </w:t>
      </w:r>
      <w:r>
        <w:rPr>
          <w:color w:val="231F20"/>
        </w:rPr>
        <w:t>the</w:t>
      </w:r>
      <w:r>
        <w:rPr>
          <w:color w:val="231F20"/>
          <w:spacing w:val="-5"/>
        </w:rPr>
        <w:t> </w:t>
      </w:r>
      <w:r>
        <w:rPr>
          <w:color w:val="231F20"/>
        </w:rPr>
        <w:t>rise</w:t>
      </w:r>
      <w:r>
        <w:rPr>
          <w:color w:val="231F20"/>
          <w:spacing w:val="-5"/>
        </w:rPr>
        <w:t> </w:t>
      </w:r>
      <w:r>
        <w:rPr>
          <w:color w:val="231F20"/>
        </w:rPr>
        <w:t>in</w:t>
      </w:r>
      <w:r>
        <w:rPr>
          <w:color w:val="231F20"/>
          <w:spacing w:val="-5"/>
        </w:rPr>
        <w:t> </w:t>
      </w:r>
      <w:r>
        <w:rPr>
          <w:color w:val="231F20"/>
        </w:rPr>
        <w:t>fuel</w:t>
      </w:r>
      <w:r>
        <w:rPr>
          <w:color w:val="231F20"/>
          <w:spacing w:val="-5"/>
        </w:rPr>
        <w:t> </w:t>
      </w:r>
      <w:r>
        <w:rPr>
          <w:color w:val="231F20"/>
        </w:rPr>
        <w:t>prices, </w:t>
      </w:r>
      <w:r>
        <w:rPr>
          <w:color w:val="231F20"/>
          <w:spacing w:val="-2"/>
        </w:rPr>
        <w:t>making</w:t>
      </w:r>
      <w:r>
        <w:rPr>
          <w:color w:val="231F20"/>
          <w:spacing w:val="-11"/>
        </w:rPr>
        <w:t> </w:t>
      </w:r>
      <w:r>
        <w:rPr>
          <w:color w:val="231F20"/>
          <w:spacing w:val="-2"/>
        </w:rPr>
        <w:t>these</w:t>
      </w:r>
      <w:r>
        <w:rPr>
          <w:color w:val="231F20"/>
          <w:spacing w:val="-11"/>
        </w:rPr>
        <w:t> </w:t>
      </w:r>
      <w:r>
        <w:rPr>
          <w:color w:val="231F20"/>
          <w:spacing w:val="-2"/>
        </w:rPr>
        <w:t>operations</w:t>
      </w:r>
      <w:r>
        <w:rPr>
          <w:color w:val="231F20"/>
          <w:spacing w:val="-11"/>
        </w:rPr>
        <w:t> </w:t>
      </w:r>
      <w:r>
        <w:rPr>
          <w:color w:val="231F20"/>
          <w:spacing w:val="-2"/>
        </w:rPr>
        <w:t>even</w:t>
      </w:r>
      <w:r>
        <w:rPr>
          <w:color w:val="231F20"/>
          <w:spacing w:val="-11"/>
        </w:rPr>
        <w:t> </w:t>
      </w:r>
      <w:r>
        <w:rPr>
          <w:color w:val="231F20"/>
          <w:spacing w:val="-2"/>
        </w:rPr>
        <w:t>more</w:t>
      </w:r>
      <w:r>
        <w:rPr>
          <w:color w:val="231F20"/>
          <w:spacing w:val="-10"/>
        </w:rPr>
        <w:t> </w:t>
      </w:r>
      <w:r>
        <w:rPr>
          <w:color w:val="231F20"/>
          <w:spacing w:val="-2"/>
        </w:rPr>
        <w:t>costly.</w:t>
      </w:r>
    </w:p>
    <w:p>
      <w:pPr>
        <w:pStyle w:val="BodyText"/>
        <w:spacing w:before="165"/>
        <w:ind w:left="1474" w:right="1"/>
      </w:pPr>
      <w:r>
        <w:rPr>
          <w:color w:val="231F20"/>
          <w:spacing w:val="-8"/>
        </w:rPr>
        <w:t>The</w:t>
      </w:r>
      <w:r>
        <w:rPr>
          <w:color w:val="231F20"/>
          <w:spacing w:val="-9"/>
        </w:rPr>
        <w:t> </w:t>
      </w:r>
      <w:r>
        <w:rPr>
          <w:color w:val="231F20"/>
          <w:spacing w:val="-8"/>
        </w:rPr>
        <w:t>restrictions imposed</w:t>
      </w:r>
      <w:r>
        <w:rPr>
          <w:color w:val="231F20"/>
          <w:spacing w:val="-9"/>
        </w:rPr>
        <w:t> </w:t>
      </w:r>
      <w:r>
        <w:rPr>
          <w:color w:val="231F20"/>
          <w:spacing w:val="-8"/>
        </w:rPr>
        <w:t>on the</w:t>
      </w:r>
      <w:r>
        <w:rPr>
          <w:color w:val="231F20"/>
          <w:spacing w:val="-9"/>
        </w:rPr>
        <w:t> </w:t>
      </w:r>
      <w:r>
        <w:rPr>
          <w:color w:val="231F20"/>
          <w:spacing w:val="-8"/>
        </w:rPr>
        <w:t>international </w:t>
      </w:r>
      <w:r>
        <w:rPr>
          <w:color w:val="231F20"/>
        </w:rPr>
        <w:t>shipping</w:t>
      </w:r>
      <w:r>
        <w:rPr>
          <w:color w:val="231F20"/>
          <w:spacing w:val="-15"/>
        </w:rPr>
        <w:t> </w:t>
      </w:r>
      <w:r>
        <w:rPr>
          <w:color w:val="231F20"/>
        </w:rPr>
        <w:t>lines</w:t>
      </w:r>
      <w:r>
        <w:rPr>
          <w:color w:val="231F20"/>
          <w:spacing w:val="-15"/>
        </w:rPr>
        <w:t> </w:t>
      </w:r>
      <w:r>
        <w:rPr>
          <w:color w:val="231F20"/>
        </w:rPr>
        <w:t>employing</w:t>
      </w:r>
      <w:r>
        <w:rPr>
          <w:color w:val="231F20"/>
          <w:spacing w:val="-15"/>
        </w:rPr>
        <w:t> </w:t>
      </w:r>
      <w:r>
        <w:rPr>
          <w:color w:val="231F20"/>
        </w:rPr>
        <w:t>Cuban</w:t>
      </w:r>
      <w:r>
        <w:rPr>
          <w:color w:val="231F20"/>
          <w:spacing w:val="-15"/>
        </w:rPr>
        <w:t> </w:t>
      </w:r>
      <w:r>
        <w:rPr>
          <w:color w:val="231F20"/>
        </w:rPr>
        <w:t>crews</w:t>
      </w:r>
      <w:r>
        <w:rPr>
          <w:color w:val="231F20"/>
          <w:spacing w:val="-15"/>
        </w:rPr>
        <w:t> </w:t>
      </w:r>
      <w:r>
        <w:rPr>
          <w:color w:val="231F20"/>
        </w:rPr>
        <w:t>are being maintained, as are the obstacles to accessing U.S. ports imposed by the 1992 </w:t>
      </w:r>
      <w:r>
        <w:rPr>
          <w:color w:val="231F20"/>
          <w:spacing w:val="-8"/>
        </w:rPr>
        <w:t>Torricelli Act. On learning that a vessel’s crew </w:t>
      </w:r>
      <w:r>
        <w:rPr>
          <w:color w:val="231F20"/>
          <w:spacing w:val="-4"/>
        </w:rPr>
        <w:t>includes</w:t>
      </w:r>
      <w:r>
        <w:rPr>
          <w:color w:val="231F20"/>
          <w:spacing w:val="-5"/>
        </w:rPr>
        <w:t> </w:t>
      </w:r>
      <w:r>
        <w:rPr>
          <w:color w:val="231F20"/>
          <w:spacing w:val="-4"/>
        </w:rPr>
        <w:t>Cuban</w:t>
      </w:r>
      <w:r>
        <w:rPr>
          <w:color w:val="231F20"/>
          <w:spacing w:val="-5"/>
        </w:rPr>
        <w:t> </w:t>
      </w:r>
      <w:r>
        <w:rPr>
          <w:color w:val="231F20"/>
          <w:spacing w:val="-4"/>
        </w:rPr>
        <w:t>personnel,</w:t>
      </w:r>
      <w:r>
        <w:rPr>
          <w:color w:val="231F20"/>
          <w:spacing w:val="-5"/>
        </w:rPr>
        <w:t> </w:t>
      </w:r>
      <w:r>
        <w:rPr>
          <w:color w:val="231F20"/>
          <w:spacing w:val="-4"/>
        </w:rPr>
        <w:t>the</w:t>
      </w:r>
      <w:r>
        <w:rPr>
          <w:color w:val="231F20"/>
          <w:spacing w:val="-5"/>
        </w:rPr>
        <w:t> </w:t>
      </w:r>
      <w:r>
        <w:rPr>
          <w:color w:val="231F20"/>
          <w:spacing w:val="-4"/>
        </w:rPr>
        <w:t>immigration authorities</w:t>
      </w:r>
      <w:r>
        <w:rPr>
          <w:color w:val="231F20"/>
          <w:spacing w:val="-13"/>
        </w:rPr>
        <w:t> </w:t>
      </w:r>
      <w:r>
        <w:rPr>
          <w:color w:val="231F20"/>
          <w:spacing w:val="-4"/>
        </w:rPr>
        <w:t>detain</w:t>
      </w:r>
      <w:r>
        <w:rPr>
          <w:color w:val="231F20"/>
          <w:spacing w:val="-12"/>
        </w:rPr>
        <w:t> </w:t>
      </w:r>
      <w:r>
        <w:rPr>
          <w:color w:val="231F20"/>
          <w:spacing w:val="-4"/>
        </w:rPr>
        <w:t>it</w:t>
      </w:r>
      <w:r>
        <w:rPr>
          <w:color w:val="231F20"/>
          <w:spacing w:val="-13"/>
        </w:rPr>
        <w:t> </w:t>
      </w:r>
      <w:r>
        <w:rPr>
          <w:color w:val="231F20"/>
          <w:spacing w:val="-4"/>
        </w:rPr>
        <w:t>for</w:t>
      </w:r>
      <w:r>
        <w:rPr>
          <w:color w:val="231F20"/>
          <w:spacing w:val="-12"/>
        </w:rPr>
        <w:t> </w:t>
      </w:r>
      <w:r>
        <w:rPr>
          <w:color w:val="231F20"/>
          <w:spacing w:val="-4"/>
        </w:rPr>
        <w:t>several</w:t>
      </w:r>
      <w:r>
        <w:rPr>
          <w:color w:val="231F20"/>
          <w:spacing w:val="-13"/>
        </w:rPr>
        <w:t> </w:t>
      </w:r>
      <w:r>
        <w:rPr>
          <w:color w:val="231F20"/>
          <w:spacing w:val="-4"/>
        </w:rPr>
        <w:t>hours</w:t>
      </w:r>
      <w:r>
        <w:rPr>
          <w:color w:val="231F20"/>
          <w:spacing w:val="-12"/>
        </w:rPr>
        <w:t> </w:t>
      </w:r>
      <w:r>
        <w:rPr>
          <w:color w:val="231F20"/>
          <w:spacing w:val="-4"/>
        </w:rPr>
        <w:t>on</w:t>
      </w:r>
      <w:r>
        <w:rPr>
          <w:color w:val="231F20"/>
          <w:spacing w:val="-13"/>
        </w:rPr>
        <w:t> </w:t>
      </w:r>
      <w:r>
        <w:rPr>
          <w:color w:val="231F20"/>
          <w:spacing w:val="-4"/>
        </w:rPr>
        <w:t>the </w:t>
      </w:r>
      <w:r>
        <w:rPr>
          <w:color w:val="231F20"/>
        </w:rPr>
        <w:t>outskirts of the port, place a guard on it </w:t>
      </w:r>
      <w:r>
        <w:rPr>
          <w:color w:val="231F20"/>
        </w:rPr>
        <w:t>- costing the shipping company USD 1,500 a</w:t>
      </w:r>
      <w:r>
        <w:rPr>
          <w:color w:val="231F20"/>
          <w:spacing w:val="-9"/>
        </w:rPr>
        <w:t> </w:t>
      </w:r>
      <w:r>
        <w:rPr>
          <w:color w:val="231F20"/>
        </w:rPr>
        <w:t>day</w:t>
      </w:r>
      <w:r>
        <w:rPr>
          <w:color w:val="231F20"/>
          <w:spacing w:val="-9"/>
        </w:rPr>
        <w:t> </w:t>
      </w:r>
      <w:r>
        <w:rPr>
          <w:color w:val="231F20"/>
        </w:rPr>
        <w:t>while</w:t>
      </w:r>
      <w:r>
        <w:rPr>
          <w:color w:val="231F20"/>
          <w:spacing w:val="-9"/>
        </w:rPr>
        <w:t> </w:t>
      </w:r>
      <w:r>
        <w:rPr>
          <w:color w:val="231F20"/>
        </w:rPr>
        <w:t>in</w:t>
      </w:r>
      <w:r>
        <w:rPr>
          <w:color w:val="231F20"/>
          <w:spacing w:val="-9"/>
        </w:rPr>
        <w:t> </w:t>
      </w:r>
      <w:r>
        <w:rPr>
          <w:color w:val="231F20"/>
        </w:rPr>
        <w:t>port</w:t>
      </w:r>
      <w:r>
        <w:rPr>
          <w:color w:val="231F20"/>
          <w:spacing w:val="-9"/>
        </w:rPr>
        <w:t> </w:t>
      </w:r>
      <w:r>
        <w:rPr>
          <w:color w:val="231F20"/>
        </w:rPr>
        <w:t>-</w:t>
      </w:r>
      <w:r>
        <w:rPr>
          <w:color w:val="231F20"/>
          <w:spacing w:val="-9"/>
        </w:rPr>
        <w:t> </w:t>
      </w:r>
      <w:r>
        <w:rPr>
          <w:color w:val="231F20"/>
        </w:rPr>
        <w:t>and</w:t>
      </w:r>
      <w:r>
        <w:rPr>
          <w:color w:val="231F20"/>
          <w:spacing w:val="-9"/>
        </w:rPr>
        <w:t> </w:t>
      </w:r>
      <w:r>
        <w:rPr>
          <w:color w:val="231F20"/>
        </w:rPr>
        <w:t>ban</w:t>
      </w:r>
      <w:r>
        <w:rPr>
          <w:color w:val="231F20"/>
          <w:spacing w:val="-9"/>
        </w:rPr>
        <w:t> </w:t>
      </w:r>
      <w:r>
        <w:rPr>
          <w:color w:val="231F20"/>
        </w:rPr>
        <w:t>our</w:t>
      </w:r>
      <w:r>
        <w:rPr>
          <w:color w:val="231F20"/>
          <w:spacing w:val="-9"/>
        </w:rPr>
        <w:t> </w:t>
      </w:r>
      <w:r>
        <w:rPr>
          <w:color w:val="231F20"/>
        </w:rPr>
        <w:t>mariners from setting foot on land.</w:t>
      </w:r>
    </w:p>
    <w:p>
      <w:pPr>
        <w:pStyle w:val="BodyText"/>
        <w:spacing w:before="77"/>
        <w:ind w:left="411" w:right="1132"/>
      </w:pPr>
      <w:r>
        <w:rPr/>
        <w:br w:type="column"/>
      </w:r>
      <w:r>
        <w:rPr>
          <w:color w:val="231F20"/>
        </w:rPr>
        <w:t>In the case of air transportation, the U.S. revoked airplane leasing licenses, thereby preventing Cubana de Aviación from quoting for international flights. Based</w:t>
      </w:r>
      <w:r>
        <w:rPr>
          <w:color w:val="231F20"/>
          <w:spacing w:val="80"/>
        </w:rPr>
        <w:t> </w:t>
      </w:r>
      <w:r>
        <w:rPr>
          <w:color w:val="231F20"/>
        </w:rPr>
        <w:t>on a total of 7,854 lost operations with medium-sized</w:t>
      </w:r>
      <w:r>
        <w:rPr>
          <w:color w:val="231F20"/>
          <w:spacing w:val="-6"/>
        </w:rPr>
        <w:t> </w:t>
      </w:r>
      <w:r>
        <w:rPr>
          <w:color w:val="231F20"/>
        </w:rPr>
        <w:t>aircraft</w:t>
      </w:r>
      <w:r>
        <w:rPr>
          <w:color w:val="231F20"/>
          <w:spacing w:val="-6"/>
        </w:rPr>
        <w:t> </w:t>
      </w:r>
      <w:r>
        <w:rPr>
          <w:color w:val="231F20"/>
        </w:rPr>
        <w:t>used</w:t>
      </w:r>
      <w:r>
        <w:rPr>
          <w:color w:val="231F20"/>
          <w:spacing w:val="-6"/>
        </w:rPr>
        <w:t> </w:t>
      </w:r>
      <w:r>
        <w:rPr>
          <w:color w:val="231F20"/>
        </w:rPr>
        <w:t>by</w:t>
      </w:r>
      <w:r>
        <w:rPr>
          <w:color w:val="231F20"/>
          <w:spacing w:val="-6"/>
        </w:rPr>
        <w:t> </w:t>
      </w:r>
      <w:r>
        <w:rPr>
          <w:color w:val="231F20"/>
        </w:rPr>
        <w:t>the</w:t>
      </w:r>
      <w:r>
        <w:rPr>
          <w:color w:val="231F20"/>
          <w:spacing w:val="-6"/>
        </w:rPr>
        <w:t> </w:t>
      </w:r>
      <w:r>
        <w:rPr>
          <w:color w:val="231F20"/>
        </w:rPr>
        <w:t>airlines that operate in Cuba and average fuel consumption by such planes of 3.13 tons </w:t>
      </w:r>
      <w:r>
        <w:rPr>
          <w:color w:val="231F20"/>
          <w:spacing w:val="-6"/>
        </w:rPr>
        <w:t>(4,000</w:t>
      </w:r>
      <w:r>
        <w:rPr>
          <w:color w:val="231F20"/>
          <w:spacing w:val="-10"/>
        </w:rPr>
        <w:t> </w:t>
      </w:r>
      <w:r>
        <w:rPr>
          <w:color w:val="231F20"/>
          <w:spacing w:val="-6"/>
        </w:rPr>
        <w:t>liters)</w:t>
      </w:r>
      <w:r>
        <w:rPr>
          <w:color w:val="231F20"/>
          <w:spacing w:val="-10"/>
        </w:rPr>
        <w:t> </w:t>
      </w:r>
      <w:r>
        <w:rPr>
          <w:color w:val="231F20"/>
          <w:spacing w:val="-6"/>
        </w:rPr>
        <w:t>on</w:t>
      </w:r>
      <w:r>
        <w:rPr>
          <w:color w:val="231F20"/>
          <w:spacing w:val="-10"/>
        </w:rPr>
        <w:t> </w:t>
      </w:r>
      <w:r>
        <w:rPr>
          <w:color w:val="231F20"/>
          <w:spacing w:val="-6"/>
        </w:rPr>
        <w:t>the</w:t>
      </w:r>
      <w:r>
        <w:rPr>
          <w:color w:val="231F20"/>
          <w:spacing w:val="-10"/>
        </w:rPr>
        <w:t> </w:t>
      </w:r>
      <w:r>
        <w:rPr>
          <w:color w:val="231F20"/>
          <w:spacing w:val="-6"/>
        </w:rPr>
        <w:t>busiest</w:t>
      </w:r>
      <w:r>
        <w:rPr>
          <w:color w:val="231F20"/>
          <w:spacing w:val="-10"/>
        </w:rPr>
        <w:t> </w:t>
      </w:r>
      <w:r>
        <w:rPr>
          <w:color w:val="231F20"/>
          <w:spacing w:val="-6"/>
        </w:rPr>
        <w:t>route</w:t>
      </w:r>
      <w:r>
        <w:rPr>
          <w:color w:val="231F20"/>
          <w:spacing w:val="-10"/>
        </w:rPr>
        <w:t> </w:t>
      </w:r>
      <w:r>
        <w:rPr>
          <w:color w:val="231F20"/>
          <w:spacing w:val="-6"/>
        </w:rPr>
        <w:t>(to</w:t>
      </w:r>
      <w:r>
        <w:rPr>
          <w:color w:val="231F20"/>
          <w:spacing w:val="-10"/>
        </w:rPr>
        <w:t> </w:t>
      </w:r>
      <w:r>
        <w:rPr>
          <w:color w:val="231F20"/>
          <w:spacing w:val="-6"/>
        </w:rPr>
        <w:t>Miami), </w:t>
      </w:r>
      <w:r>
        <w:rPr>
          <w:color w:val="231F20"/>
          <w:spacing w:val="-4"/>
        </w:rPr>
        <w:t>the</w:t>
      </w:r>
      <w:r>
        <w:rPr>
          <w:color w:val="231F20"/>
          <w:spacing w:val="-10"/>
        </w:rPr>
        <w:t> </w:t>
      </w:r>
      <w:r>
        <w:rPr>
          <w:color w:val="231F20"/>
          <w:spacing w:val="-4"/>
        </w:rPr>
        <w:t>losses</w:t>
      </w:r>
      <w:r>
        <w:rPr>
          <w:color w:val="231F20"/>
          <w:spacing w:val="-10"/>
        </w:rPr>
        <w:t> </w:t>
      </w:r>
      <w:r>
        <w:rPr>
          <w:color w:val="231F20"/>
          <w:spacing w:val="-4"/>
        </w:rPr>
        <w:t>during</w:t>
      </w:r>
      <w:r>
        <w:rPr>
          <w:color w:val="231F20"/>
          <w:spacing w:val="-10"/>
        </w:rPr>
        <w:t> </w:t>
      </w:r>
      <w:r>
        <w:rPr>
          <w:color w:val="231F20"/>
          <w:spacing w:val="-4"/>
        </w:rPr>
        <w:t>the</w:t>
      </w:r>
      <w:r>
        <w:rPr>
          <w:color w:val="231F20"/>
          <w:spacing w:val="-10"/>
        </w:rPr>
        <w:t> </w:t>
      </w:r>
      <w:r>
        <w:rPr>
          <w:color w:val="231F20"/>
          <w:spacing w:val="-4"/>
        </w:rPr>
        <w:t>period</w:t>
      </w:r>
      <w:r>
        <w:rPr>
          <w:color w:val="231F20"/>
          <w:spacing w:val="-10"/>
        </w:rPr>
        <w:t> </w:t>
      </w:r>
      <w:r>
        <w:rPr>
          <w:color w:val="231F20"/>
          <w:spacing w:val="-4"/>
        </w:rPr>
        <w:t>considered</w:t>
      </w:r>
      <w:r>
        <w:rPr>
          <w:color w:val="231F20"/>
          <w:spacing w:val="-10"/>
        </w:rPr>
        <w:t> </w:t>
      </w:r>
      <w:r>
        <w:rPr>
          <w:color w:val="231F20"/>
          <w:spacing w:val="-4"/>
        </w:rPr>
        <w:t>are </w:t>
      </w:r>
      <w:r>
        <w:rPr>
          <w:color w:val="231F20"/>
        </w:rPr>
        <w:t>estimated at USD 37,572,455.96.</w:t>
      </w:r>
    </w:p>
    <w:p>
      <w:pPr>
        <w:pStyle w:val="BodyText"/>
        <w:spacing w:before="168"/>
        <w:ind w:left="411" w:right="1133"/>
      </w:pPr>
      <w:r>
        <w:rPr>
          <w:color w:val="231F20"/>
        </w:rPr>
        <w:t>Similarly, there has been no recovery of the cancelled inter-airline agreements for cargo</w:t>
      </w:r>
      <w:r>
        <w:rPr>
          <w:color w:val="231F20"/>
          <w:spacing w:val="-14"/>
        </w:rPr>
        <w:t> </w:t>
      </w:r>
      <w:r>
        <w:rPr>
          <w:color w:val="231F20"/>
        </w:rPr>
        <w:t>transport,</w:t>
      </w:r>
      <w:r>
        <w:rPr>
          <w:color w:val="231F20"/>
          <w:spacing w:val="-14"/>
        </w:rPr>
        <w:t> </w:t>
      </w:r>
      <w:r>
        <w:rPr>
          <w:color w:val="231F20"/>
        </w:rPr>
        <w:t>preventing</w:t>
      </w:r>
      <w:r>
        <w:rPr>
          <w:color w:val="231F20"/>
          <w:spacing w:val="-14"/>
        </w:rPr>
        <w:t> </w:t>
      </w:r>
      <w:r>
        <w:rPr>
          <w:color w:val="231F20"/>
        </w:rPr>
        <w:t>the</w:t>
      </w:r>
      <w:r>
        <w:rPr>
          <w:color w:val="231F20"/>
          <w:spacing w:val="-14"/>
        </w:rPr>
        <w:t> </w:t>
      </w:r>
      <w:r>
        <w:rPr>
          <w:color w:val="231F20"/>
        </w:rPr>
        <w:t>marketing of this service with Cubana de Aviación</w:t>
      </w:r>
      <w:r>
        <w:rPr>
          <w:color w:val="231F20"/>
          <w:spacing w:val="40"/>
        </w:rPr>
        <w:t> </w:t>
      </w:r>
      <w:r>
        <w:rPr>
          <w:color w:val="231F20"/>
        </w:rPr>
        <w:t>air</w:t>
      </w:r>
      <w:r>
        <w:rPr>
          <w:color w:val="231F20"/>
          <w:spacing w:val="40"/>
        </w:rPr>
        <w:t> </w:t>
      </w:r>
      <w:r>
        <w:rPr>
          <w:color w:val="231F20"/>
        </w:rPr>
        <w:t>waybills</w:t>
      </w:r>
      <w:r>
        <w:rPr>
          <w:color w:val="231F20"/>
          <w:spacing w:val="40"/>
        </w:rPr>
        <w:t> </w:t>
      </w:r>
      <w:r>
        <w:rPr>
          <w:color w:val="231F20"/>
        </w:rPr>
        <w:t>and</w:t>
      </w:r>
      <w:r>
        <w:rPr>
          <w:color w:val="231F20"/>
          <w:spacing w:val="40"/>
        </w:rPr>
        <w:t> </w:t>
      </w:r>
      <w:r>
        <w:rPr>
          <w:color w:val="231F20"/>
        </w:rPr>
        <w:t>forestalling</w:t>
      </w:r>
      <w:r>
        <w:rPr>
          <w:color w:val="231F20"/>
          <w:spacing w:val="40"/>
        </w:rPr>
        <w:t> </w:t>
      </w:r>
      <w:r>
        <w:rPr>
          <w:color w:val="231F20"/>
        </w:rPr>
        <w:t>an</w:t>
      </w:r>
      <w:r>
        <w:rPr>
          <w:color w:val="231F20"/>
          <w:spacing w:val="40"/>
        </w:rPr>
        <w:t> </w:t>
      </w:r>
      <w:r>
        <w:rPr>
          <w:color w:val="231F20"/>
        </w:rPr>
        <w:t>upturn</w:t>
      </w:r>
      <w:r>
        <w:rPr>
          <w:color w:val="231F20"/>
          <w:spacing w:val="40"/>
        </w:rPr>
        <w:t> </w:t>
      </w:r>
      <w:r>
        <w:rPr>
          <w:color w:val="231F20"/>
        </w:rPr>
        <w:t>in multi-destination sales in commercial </w:t>
      </w:r>
      <w:r>
        <w:rPr>
          <w:color w:val="231F20"/>
          <w:spacing w:val="-2"/>
        </w:rPr>
        <w:t>partnerships</w:t>
      </w:r>
      <w:r>
        <w:rPr>
          <w:color w:val="231F20"/>
          <w:spacing w:val="-9"/>
        </w:rPr>
        <w:t> </w:t>
      </w:r>
      <w:r>
        <w:rPr>
          <w:color w:val="231F20"/>
          <w:spacing w:val="-2"/>
        </w:rPr>
        <w:t>with</w:t>
      </w:r>
      <w:r>
        <w:rPr>
          <w:color w:val="231F20"/>
          <w:spacing w:val="-9"/>
        </w:rPr>
        <w:t> </w:t>
      </w:r>
      <w:r>
        <w:rPr>
          <w:color w:val="231F20"/>
          <w:spacing w:val="-2"/>
        </w:rPr>
        <w:t>Avianca,</w:t>
      </w:r>
      <w:r>
        <w:rPr>
          <w:color w:val="231F20"/>
          <w:spacing w:val="-9"/>
        </w:rPr>
        <w:t> </w:t>
      </w:r>
      <w:r>
        <w:rPr>
          <w:color w:val="231F20"/>
          <w:spacing w:val="-2"/>
        </w:rPr>
        <w:t>DHL,</w:t>
      </w:r>
      <w:r>
        <w:rPr>
          <w:color w:val="231F20"/>
          <w:spacing w:val="-9"/>
        </w:rPr>
        <w:t> </w:t>
      </w:r>
      <w:r>
        <w:rPr>
          <w:color w:val="231F20"/>
          <w:spacing w:val="-2"/>
        </w:rPr>
        <w:t>Air</w:t>
      </w:r>
      <w:r>
        <w:rPr>
          <w:color w:val="231F20"/>
          <w:spacing w:val="-9"/>
        </w:rPr>
        <w:t> </w:t>
      </w:r>
      <w:r>
        <w:rPr>
          <w:color w:val="231F20"/>
          <w:spacing w:val="-2"/>
        </w:rPr>
        <w:t>France, </w:t>
      </w:r>
      <w:r>
        <w:rPr>
          <w:color w:val="231F20"/>
        </w:rPr>
        <w:t>Air Caraïbes, Cathay Pacific, LATAM and LOT Polish Airlines. The termination of these arrangements is currently affecting </w:t>
      </w:r>
      <w:r>
        <w:rPr>
          <w:color w:val="231F20"/>
          <w:spacing w:val="-4"/>
        </w:rPr>
        <w:t>such</w:t>
      </w:r>
      <w:r>
        <w:rPr>
          <w:color w:val="231F20"/>
          <w:spacing w:val="-10"/>
        </w:rPr>
        <w:t> </w:t>
      </w:r>
      <w:r>
        <w:rPr>
          <w:color w:val="231F20"/>
          <w:spacing w:val="-4"/>
        </w:rPr>
        <w:t>service</w:t>
      </w:r>
      <w:r>
        <w:rPr>
          <w:color w:val="231F20"/>
          <w:spacing w:val="-10"/>
        </w:rPr>
        <w:t> </w:t>
      </w:r>
      <w:r>
        <w:rPr>
          <w:color w:val="231F20"/>
          <w:spacing w:val="-4"/>
        </w:rPr>
        <w:t>as</w:t>
      </w:r>
      <w:r>
        <w:rPr>
          <w:color w:val="231F20"/>
          <w:spacing w:val="-10"/>
        </w:rPr>
        <w:t> </w:t>
      </w:r>
      <w:r>
        <w:rPr>
          <w:color w:val="231F20"/>
          <w:spacing w:val="-4"/>
        </w:rPr>
        <w:t>can</w:t>
      </w:r>
      <w:r>
        <w:rPr>
          <w:color w:val="231F20"/>
          <w:spacing w:val="-10"/>
        </w:rPr>
        <w:t> </w:t>
      </w:r>
      <w:r>
        <w:rPr>
          <w:color w:val="231F20"/>
          <w:spacing w:val="-4"/>
        </w:rPr>
        <w:t>be</w:t>
      </w:r>
      <w:r>
        <w:rPr>
          <w:color w:val="231F20"/>
          <w:spacing w:val="-10"/>
        </w:rPr>
        <w:t> </w:t>
      </w:r>
      <w:r>
        <w:rPr>
          <w:color w:val="231F20"/>
          <w:spacing w:val="-4"/>
        </w:rPr>
        <w:t>offered</w:t>
      </w:r>
      <w:r>
        <w:rPr>
          <w:color w:val="231F20"/>
          <w:spacing w:val="-10"/>
        </w:rPr>
        <w:t> </w:t>
      </w:r>
      <w:r>
        <w:rPr>
          <w:color w:val="231F20"/>
          <w:spacing w:val="-4"/>
        </w:rPr>
        <w:t>to</w:t>
      </w:r>
      <w:r>
        <w:rPr>
          <w:color w:val="231F20"/>
          <w:spacing w:val="-10"/>
        </w:rPr>
        <w:t> </w:t>
      </w:r>
      <w:r>
        <w:rPr>
          <w:color w:val="231F20"/>
          <w:spacing w:val="-4"/>
        </w:rPr>
        <w:t>the</w:t>
      </w:r>
      <w:r>
        <w:rPr>
          <w:color w:val="231F20"/>
          <w:spacing w:val="-10"/>
        </w:rPr>
        <w:t> </w:t>
      </w:r>
      <w:r>
        <w:rPr>
          <w:color w:val="231F20"/>
          <w:spacing w:val="-4"/>
        </w:rPr>
        <w:t>Cuban </w:t>
      </w:r>
      <w:r>
        <w:rPr>
          <w:color w:val="231F20"/>
        </w:rPr>
        <w:t>business</w:t>
      </w:r>
      <w:r>
        <w:rPr>
          <w:color w:val="231F20"/>
          <w:spacing w:val="-9"/>
        </w:rPr>
        <w:t> </w:t>
      </w:r>
      <w:r>
        <w:rPr>
          <w:color w:val="231F20"/>
        </w:rPr>
        <w:t>sector</w:t>
      </w:r>
      <w:r>
        <w:rPr>
          <w:color w:val="231F20"/>
          <w:spacing w:val="-9"/>
        </w:rPr>
        <w:t> </w:t>
      </w:r>
      <w:r>
        <w:rPr>
          <w:color w:val="231F20"/>
        </w:rPr>
        <w:t>and</w:t>
      </w:r>
      <w:r>
        <w:rPr>
          <w:color w:val="231F20"/>
          <w:spacing w:val="-9"/>
        </w:rPr>
        <w:t> </w:t>
      </w:r>
      <w:r>
        <w:rPr>
          <w:color w:val="231F20"/>
        </w:rPr>
        <w:t>to</w:t>
      </w:r>
      <w:r>
        <w:rPr>
          <w:color w:val="231F20"/>
          <w:spacing w:val="-9"/>
        </w:rPr>
        <w:t> </w:t>
      </w:r>
      <w:r>
        <w:rPr>
          <w:color w:val="231F20"/>
        </w:rPr>
        <w:t>private</w:t>
      </w:r>
      <w:r>
        <w:rPr>
          <w:color w:val="231F20"/>
          <w:spacing w:val="-9"/>
        </w:rPr>
        <w:t> </w:t>
      </w:r>
      <w:r>
        <w:rPr>
          <w:color w:val="231F20"/>
        </w:rPr>
        <w:t>industry</w:t>
      </w:r>
      <w:r>
        <w:rPr>
          <w:color w:val="231F20"/>
          <w:spacing w:val="-9"/>
        </w:rPr>
        <w:t> </w:t>
      </w:r>
      <w:r>
        <w:rPr>
          <w:color w:val="231F20"/>
        </w:rPr>
        <w:t>for exports</w:t>
      </w:r>
      <w:r>
        <w:rPr>
          <w:color w:val="231F20"/>
          <w:spacing w:val="-11"/>
        </w:rPr>
        <w:t> </w:t>
      </w:r>
      <w:r>
        <w:rPr>
          <w:color w:val="231F20"/>
        </w:rPr>
        <w:t>and</w:t>
      </w:r>
      <w:r>
        <w:rPr>
          <w:color w:val="231F20"/>
          <w:spacing w:val="-11"/>
        </w:rPr>
        <w:t> </w:t>
      </w:r>
      <w:r>
        <w:rPr>
          <w:color w:val="231F20"/>
        </w:rPr>
        <w:t>imports,</w:t>
      </w:r>
      <w:r>
        <w:rPr>
          <w:color w:val="231F20"/>
          <w:spacing w:val="-11"/>
        </w:rPr>
        <w:t> </w:t>
      </w:r>
      <w:r>
        <w:rPr>
          <w:color w:val="231F20"/>
        </w:rPr>
        <w:t>since</w:t>
      </w:r>
      <w:r>
        <w:rPr>
          <w:color w:val="231F20"/>
          <w:spacing w:val="-11"/>
        </w:rPr>
        <w:t> </w:t>
      </w:r>
      <w:r>
        <w:rPr>
          <w:color w:val="231F20"/>
        </w:rPr>
        <w:t>cargos</w:t>
      </w:r>
      <w:r>
        <w:rPr>
          <w:color w:val="231F20"/>
          <w:spacing w:val="-11"/>
        </w:rPr>
        <w:t> </w:t>
      </w:r>
      <w:r>
        <w:rPr>
          <w:color w:val="231F20"/>
        </w:rPr>
        <w:t>are</w:t>
      </w:r>
      <w:r>
        <w:rPr>
          <w:color w:val="231F20"/>
          <w:spacing w:val="-11"/>
        </w:rPr>
        <w:t> </w:t>
      </w:r>
      <w:r>
        <w:rPr>
          <w:color w:val="231F20"/>
        </w:rPr>
        <w:t>sent via</w:t>
      </w:r>
      <w:r>
        <w:rPr>
          <w:color w:val="231F20"/>
          <w:spacing w:val="40"/>
        </w:rPr>
        <w:t> </w:t>
      </w:r>
      <w:r>
        <w:rPr>
          <w:color w:val="231F20"/>
        </w:rPr>
        <w:t>alternative routes at higher costs.</w:t>
      </w:r>
    </w:p>
    <w:p>
      <w:pPr>
        <w:pStyle w:val="BodyText"/>
        <w:spacing w:before="171"/>
        <w:ind w:left="411" w:right="1132"/>
      </w:pPr>
      <w:r>
        <w:rPr>
          <w:color w:val="231F20"/>
        </w:rPr>
        <w:t>On May 17, 2022, the Portuguese international</w:t>
      </w:r>
      <w:r>
        <w:rPr>
          <w:color w:val="231F20"/>
          <w:spacing w:val="-17"/>
        </w:rPr>
        <w:t> </w:t>
      </w:r>
      <w:r>
        <w:rPr>
          <w:color w:val="231F20"/>
        </w:rPr>
        <w:t>logistics</w:t>
      </w:r>
      <w:r>
        <w:rPr>
          <w:color w:val="231F20"/>
          <w:spacing w:val="-16"/>
        </w:rPr>
        <w:t> </w:t>
      </w:r>
      <w:r>
        <w:rPr>
          <w:color w:val="231F20"/>
        </w:rPr>
        <w:t>and</w:t>
      </w:r>
      <w:r>
        <w:rPr>
          <w:color w:val="231F20"/>
          <w:spacing w:val="-17"/>
        </w:rPr>
        <w:t> </w:t>
      </w:r>
      <w:r>
        <w:rPr>
          <w:color w:val="231F20"/>
        </w:rPr>
        <w:t>freight</w:t>
      </w:r>
      <w:r>
        <w:rPr>
          <w:color w:val="231F20"/>
          <w:spacing w:val="-16"/>
        </w:rPr>
        <w:t> </w:t>
      </w:r>
      <w:r>
        <w:rPr>
          <w:color w:val="231F20"/>
        </w:rPr>
        <w:t>operator JTM Group, in business with Cuba since </w:t>
      </w:r>
      <w:r>
        <w:rPr>
          <w:color w:val="231F20"/>
          <w:spacing w:val="-8"/>
        </w:rPr>
        <w:t>2019, ordered a credit transfer in favor of the </w:t>
      </w:r>
      <w:r>
        <w:rPr>
          <w:color w:val="231F20"/>
        </w:rPr>
        <w:t>Cuban</w:t>
      </w:r>
      <w:r>
        <w:rPr>
          <w:color w:val="231F20"/>
          <w:spacing w:val="71"/>
          <w:w w:val="150"/>
        </w:rPr>
        <w:t> </w:t>
      </w:r>
      <w:r>
        <w:rPr>
          <w:color w:val="231F20"/>
        </w:rPr>
        <w:t>Servicios</w:t>
      </w:r>
      <w:r>
        <w:rPr>
          <w:color w:val="231F20"/>
          <w:spacing w:val="18"/>
        </w:rPr>
        <w:t> </w:t>
      </w:r>
      <w:r>
        <w:rPr>
          <w:color w:val="231F20"/>
        </w:rPr>
        <w:t>Aduanales</w:t>
      </w:r>
      <w:r>
        <w:rPr>
          <w:color w:val="231F20"/>
          <w:spacing w:val="19"/>
        </w:rPr>
        <w:t> </w:t>
      </w:r>
      <w:r>
        <w:rPr>
          <w:color w:val="231F20"/>
        </w:rPr>
        <w:t>y</w:t>
      </w:r>
      <w:r>
        <w:rPr>
          <w:color w:val="231F20"/>
          <w:spacing w:val="18"/>
        </w:rPr>
        <w:t> </w:t>
      </w:r>
      <w:r>
        <w:rPr>
          <w:color w:val="231F20"/>
          <w:spacing w:val="-4"/>
        </w:rPr>
        <w:t>Transitarios</w:t>
      </w:r>
    </w:p>
    <w:p>
      <w:pPr>
        <w:pStyle w:val="BodyText"/>
        <w:spacing w:before="4"/>
        <w:ind w:left="411" w:right="1133"/>
      </w:pPr>
      <w:r>
        <w:rPr>
          <w:color w:val="231F20"/>
        </w:rPr>
        <w:t>S.A. (SATSA) agency. The transaction was canceled. It subsequently emerged that the cause was Cuba’s inclusion on the list of state sponsors of terrorism.</w:t>
      </w:r>
    </w:p>
    <w:p>
      <w:pPr>
        <w:spacing w:before="162"/>
        <w:ind w:left="411" w:right="1132" w:firstLine="0"/>
        <w:jc w:val="both"/>
        <w:rPr>
          <w:rFonts w:ascii="Segoe UI Semibold"/>
          <w:b/>
          <w:i/>
          <w:sz w:val="24"/>
        </w:rPr>
      </w:pPr>
      <w:r>
        <w:rPr>
          <w:rFonts w:ascii="Segoe UI Semibold"/>
          <w:b/>
          <w:i/>
          <w:color w:val="231F20"/>
          <w:sz w:val="24"/>
        </w:rPr>
        <w:t>The impact on </w:t>
      </w:r>
      <w:r>
        <w:rPr>
          <w:b/>
          <w:i/>
          <w:color w:val="B52628"/>
          <w:sz w:val="24"/>
        </w:rPr>
        <w:t>the energy and mining</w:t>
      </w:r>
      <w:r>
        <w:rPr>
          <w:b/>
          <w:i/>
          <w:color w:val="B52628"/>
          <w:sz w:val="24"/>
        </w:rPr>
        <w:t> sector </w:t>
      </w:r>
      <w:r>
        <w:rPr>
          <w:rFonts w:ascii="Segoe UI Semibold"/>
          <w:b/>
          <w:i/>
          <w:color w:val="231F20"/>
          <w:sz w:val="24"/>
        </w:rPr>
        <w:t>in the period considered has been</w:t>
      </w:r>
      <w:r>
        <w:rPr>
          <w:rFonts w:ascii="Segoe UI Semibold"/>
          <w:b/>
          <w:i/>
          <w:color w:val="231F20"/>
          <w:sz w:val="24"/>
        </w:rPr>
        <w:t> put at </w:t>
      </w:r>
      <w:r>
        <w:rPr>
          <w:b/>
          <w:i/>
          <w:color w:val="231F20"/>
          <w:sz w:val="24"/>
        </w:rPr>
        <w:t>USD 491,156,960</w:t>
      </w:r>
      <w:r>
        <w:rPr>
          <w:rFonts w:ascii="Segoe UI Semibold"/>
          <w:b/>
          <w:i/>
          <w:color w:val="231F20"/>
          <w:sz w:val="24"/>
        </w:rPr>
        <w:t>. The heaviest</w:t>
      </w:r>
      <w:r>
        <w:rPr>
          <w:rFonts w:ascii="Segoe UI Semibold"/>
          <w:b/>
          <w:i/>
          <w:color w:val="231F20"/>
          <w:sz w:val="24"/>
        </w:rPr>
        <w:t> </w:t>
      </w:r>
      <w:r>
        <w:rPr>
          <w:rFonts w:ascii="Segoe UI Semibold"/>
          <w:b/>
          <w:i/>
          <w:color w:val="231F20"/>
          <w:spacing w:val="-4"/>
          <w:sz w:val="24"/>
        </w:rPr>
        <w:t>losses,</w:t>
      </w:r>
      <w:r>
        <w:rPr>
          <w:rFonts w:ascii="Segoe UI Semibold"/>
          <w:b/>
          <w:i/>
          <w:color w:val="231F20"/>
          <w:spacing w:val="-13"/>
          <w:sz w:val="24"/>
        </w:rPr>
        <w:t> </w:t>
      </w:r>
      <w:r>
        <w:rPr>
          <w:b/>
          <w:i/>
          <w:color w:val="231F20"/>
          <w:spacing w:val="-4"/>
          <w:sz w:val="24"/>
        </w:rPr>
        <w:t>USD</w:t>
      </w:r>
      <w:r>
        <w:rPr>
          <w:b/>
          <w:i/>
          <w:color w:val="231F20"/>
          <w:spacing w:val="-12"/>
          <w:sz w:val="24"/>
        </w:rPr>
        <w:t> </w:t>
      </w:r>
      <w:r>
        <w:rPr>
          <w:b/>
          <w:i/>
          <w:color w:val="231F20"/>
          <w:spacing w:val="-4"/>
          <w:sz w:val="24"/>
        </w:rPr>
        <w:t>239,276,300</w:t>
      </w:r>
      <w:r>
        <w:rPr>
          <w:rFonts w:ascii="Segoe UI Semibold"/>
          <w:b/>
          <w:i/>
          <w:color w:val="231F20"/>
          <w:spacing w:val="-4"/>
          <w:sz w:val="24"/>
        </w:rPr>
        <w:t>,</w:t>
      </w:r>
      <w:r>
        <w:rPr>
          <w:rFonts w:ascii="Segoe UI Semibold"/>
          <w:b/>
          <w:i/>
          <w:color w:val="231F20"/>
          <w:spacing w:val="-13"/>
          <w:sz w:val="24"/>
        </w:rPr>
        <w:t> </w:t>
      </w:r>
      <w:r>
        <w:rPr>
          <w:rFonts w:ascii="Segoe UI Semibold"/>
          <w:b/>
          <w:i/>
          <w:color w:val="231F20"/>
          <w:spacing w:val="-4"/>
          <w:sz w:val="24"/>
        </w:rPr>
        <w:t>were</w:t>
      </w:r>
      <w:r>
        <w:rPr>
          <w:rFonts w:ascii="Segoe UI Semibold"/>
          <w:b/>
          <w:i/>
          <w:color w:val="231F20"/>
          <w:spacing w:val="-12"/>
          <w:sz w:val="24"/>
        </w:rPr>
        <w:t> </w:t>
      </w:r>
      <w:r>
        <w:rPr>
          <w:rFonts w:ascii="Segoe UI Semibold"/>
          <w:b/>
          <w:i/>
          <w:color w:val="231F20"/>
          <w:spacing w:val="-4"/>
          <w:sz w:val="24"/>
        </w:rPr>
        <w:t>incurred</w:t>
      </w:r>
      <w:r>
        <w:rPr>
          <w:rFonts w:ascii="Segoe UI Semibold"/>
          <w:b/>
          <w:i/>
          <w:color w:val="231F20"/>
          <w:spacing w:val="-13"/>
          <w:sz w:val="24"/>
        </w:rPr>
        <w:t> </w:t>
      </w:r>
      <w:r>
        <w:rPr>
          <w:rFonts w:ascii="Segoe UI Semibold"/>
          <w:b/>
          <w:i/>
          <w:color w:val="231F20"/>
          <w:spacing w:val="-4"/>
          <w:sz w:val="24"/>
        </w:rPr>
        <w:t>by</w:t>
      </w:r>
      <w:r>
        <w:rPr>
          <w:rFonts w:ascii="Segoe UI Semibold"/>
          <w:b/>
          <w:i/>
          <w:color w:val="231F20"/>
          <w:spacing w:val="-4"/>
          <w:sz w:val="24"/>
        </w:rPr>
        <w:t> </w:t>
      </w:r>
      <w:r>
        <w:rPr>
          <w:rFonts w:ascii="Segoe UI Semibold"/>
          <w:b/>
          <w:i/>
          <w:color w:val="231F20"/>
          <w:sz w:val="24"/>
        </w:rPr>
        <w:t>the National Electrical Union.</w:t>
      </w:r>
    </w:p>
    <w:p>
      <w:pPr>
        <w:pStyle w:val="BodyText"/>
        <w:spacing w:before="160"/>
        <w:ind w:left="411" w:right="1133"/>
      </w:pPr>
      <w:r>
        <w:rPr>
          <w:color w:val="231F20"/>
        </w:rPr>
        <w:t>Cuba has faced huge difficulties in maintaining</w:t>
      </w:r>
      <w:r>
        <w:rPr>
          <w:color w:val="231F20"/>
          <w:spacing w:val="-17"/>
        </w:rPr>
        <w:t> </w:t>
      </w:r>
      <w:r>
        <w:rPr>
          <w:color w:val="231F20"/>
        </w:rPr>
        <w:t>the</w:t>
      </w:r>
      <w:r>
        <w:rPr>
          <w:color w:val="231F20"/>
          <w:spacing w:val="-16"/>
        </w:rPr>
        <w:t> </w:t>
      </w:r>
      <w:r>
        <w:rPr>
          <w:color w:val="231F20"/>
        </w:rPr>
        <w:t>generation</w:t>
      </w:r>
      <w:r>
        <w:rPr>
          <w:color w:val="231F20"/>
          <w:spacing w:val="-17"/>
        </w:rPr>
        <w:t> </w:t>
      </w:r>
      <w:r>
        <w:rPr>
          <w:color w:val="231F20"/>
        </w:rPr>
        <w:t>of</w:t>
      </w:r>
      <w:r>
        <w:rPr>
          <w:color w:val="231F20"/>
          <w:spacing w:val="-16"/>
        </w:rPr>
        <w:t> </w:t>
      </w:r>
      <w:r>
        <w:rPr>
          <w:color w:val="231F20"/>
        </w:rPr>
        <w:t>electricity</w:t>
      </w:r>
      <w:r>
        <w:rPr>
          <w:color w:val="231F20"/>
          <w:spacing w:val="-17"/>
        </w:rPr>
        <w:t> </w:t>
      </w:r>
      <w:r>
        <w:rPr>
          <w:color w:val="231F20"/>
        </w:rPr>
        <w:t>in </w:t>
      </w:r>
      <w:r>
        <w:rPr>
          <w:color w:val="231F20"/>
          <w:spacing w:val="-4"/>
        </w:rPr>
        <w:t>the</w:t>
      </w:r>
      <w:r>
        <w:rPr>
          <w:color w:val="231F20"/>
          <w:spacing w:val="-15"/>
        </w:rPr>
        <w:t> </w:t>
      </w:r>
      <w:r>
        <w:rPr>
          <w:color w:val="231F20"/>
          <w:spacing w:val="-4"/>
        </w:rPr>
        <w:t>tense</w:t>
      </w:r>
      <w:r>
        <w:rPr>
          <w:color w:val="231F20"/>
          <w:spacing w:val="-14"/>
        </w:rPr>
        <w:t> </w:t>
      </w:r>
      <w:r>
        <w:rPr>
          <w:color w:val="231F20"/>
          <w:spacing w:val="-4"/>
        </w:rPr>
        <w:t>situation</w:t>
      </w:r>
      <w:r>
        <w:rPr>
          <w:color w:val="231F20"/>
          <w:spacing w:val="-14"/>
        </w:rPr>
        <w:t> </w:t>
      </w:r>
      <w:r>
        <w:rPr>
          <w:color w:val="231F20"/>
          <w:spacing w:val="-4"/>
        </w:rPr>
        <w:t>created</w:t>
      </w:r>
      <w:r>
        <w:rPr>
          <w:color w:val="231F20"/>
          <w:spacing w:val="-14"/>
        </w:rPr>
        <w:t> </w:t>
      </w:r>
      <w:r>
        <w:rPr>
          <w:color w:val="231F20"/>
          <w:spacing w:val="-4"/>
        </w:rPr>
        <w:t>by</w:t>
      </w:r>
      <w:r>
        <w:rPr>
          <w:color w:val="231F20"/>
          <w:spacing w:val="-14"/>
        </w:rPr>
        <w:t> </w:t>
      </w:r>
      <w:r>
        <w:rPr>
          <w:color w:val="231F20"/>
          <w:spacing w:val="-4"/>
        </w:rPr>
        <w:t>the</w:t>
      </w:r>
      <w:r>
        <w:rPr>
          <w:color w:val="231F20"/>
          <w:spacing w:val="-14"/>
        </w:rPr>
        <w:t> </w:t>
      </w:r>
      <w:r>
        <w:rPr>
          <w:color w:val="231F20"/>
          <w:spacing w:val="-4"/>
        </w:rPr>
        <w:t>blockade.</w:t>
      </w:r>
    </w:p>
    <w:p>
      <w:pPr>
        <w:spacing w:after="0"/>
        <w:sectPr>
          <w:pgSz w:w="11910" w:h="16840"/>
          <w:pgMar w:header="0" w:footer="695" w:top="1260" w:bottom="880" w:left="0" w:right="0"/>
          <w:cols w:num="2" w:equalWidth="0">
            <w:col w:w="5898" w:space="40"/>
            <w:col w:w="5972"/>
          </w:cols>
        </w:sectPr>
      </w:pPr>
    </w:p>
    <w:p>
      <w:pPr>
        <w:pStyle w:val="BodyText"/>
        <w:spacing w:before="77"/>
        <w:ind w:left="1133"/>
      </w:pPr>
      <w:r>
        <w:rPr>
          <w:color w:val="231F20"/>
        </w:rPr>
        <w:t>The economic straitjacket has worsened the</w:t>
      </w:r>
      <w:r>
        <w:rPr>
          <w:color w:val="231F20"/>
          <w:spacing w:val="-12"/>
        </w:rPr>
        <w:t> </w:t>
      </w:r>
      <w:r>
        <w:rPr>
          <w:color w:val="231F20"/>
        </w:rPr>
        <w:t>financial</w:t>
      </w:r>
      <w:r>
        <w:rPr>
          <w:color w:val="231F20"/>
          <w:spacing w:val="-12"/>
        </w:rPr>
        <w:t> </w:t>
      </w:r>
      <w:r>
        <w:rPr>
          <w:color w:val="231F20"/>
        </w:rPr>
        <w:t>constraints</w:t>
      </w:r>
      <w:r>
        <w:rPr>
          <w:color w:val="231F20"/>
          <w:spacing w:val="-12"/>
        </w:rPr>
        <w:t> </w:t>
      </w:r>
      <w:r>
        <w:rPr>
          <w:color w:val="231F20"/>
        </w:rPr>
        <w:t>and</w:t>
      </w:r>
      <w:r>
        <w:rPr>
          <w:color w:val="231F20"/>
          <w:spacing w:val="-12"/>
        </w:rPr>
        <w:t> </w:t>
      </w:r>
      <w:r>
        <w:rPr>
          <w:color w:val="231F20"/>
        </w:rPr>
        <w:t>the</w:t>
      </w:r>
      <w:r>
        <w:rPr>
          <w:color w:val="231F20"/>
          <w:spacing w:val="-12"/>
        </w:rPr>
        <w:t> </w:t>
      </w:r>
      <w:r>
        <w:rPr>
          <w:color w:val="231F20"/>
        </w:rPr>
        <w:t>problems of accessing debt funding for repairs to the country’s thermoelectric plants, for obtaining</w:t>
      </w:r>
      <w:r>
        <w:rPr>
          <w:color w:val="231F20"/>
          <w:spacing w:val="-4"/>
        </w:rPr>
        <w:t> </w:t>
      </w:r>
      <w:r>
        <w:rPr>
          <w:color w:val="231F20"/>
        </w:rPr>
        <w:t>the</w:t>
      </w:r>
      <w:r>
        <w:rPr>
          <w:color w:val="231F20"/>
          <w:spacing w:val="-4"/>
        </w:rPr>
        <w:t> </w:t>
      </w:r>
      <w:r>
        <w:rPr>
          <w:color w:val="231F20"/>
        </w:rPr>
        <w:t>necessary</w:t>
      </w:r>
      <w:r>
        <w:rPr>
          <w:color w:val="231F20"/>
          <w:spacing w:val="-4"/>
        </w:rPr>
        <w:t> </w:t>
      </w:r>
      <w:r>
        <w:rPr>
          <w:color w:val="231F20"/>
        </w:rPr>
        <w:t>technologies</w:t>
      </w:r>
      <w:r>
        <w:rPr>
          <w:color w:val="231F20"/>
          <w:spacing w:val="-5"/>
        </w:rPr>
        <w:t> </w:t>
      </w:r>
      <w:r>
        <w:rPr>
          <w:color w:val="231F20"/>
        </w:rPr>
        <w:t>and the fuel required for stable public supply and supply to the strategic sectors of the national economy.</w:t>
      </w:r>
    </w:p>
    <w:p>
      <w:pPr>
        <w:pStyle w:val="BodyText"/>
        <w:spacing w:before="166"/>
        <w:ind w:left="1133" w:firstLine="33"/>
      </w:pPr>
      <w:r>
        <w:rPr>
          <w:color w:val="231F20"/>
          <w:spacing w:val="-8"/>
        </w:rPr>
        <w:t>Being obliged to purchase products in more </w:t>
      </w:r>
      <w:r>
        <w:rPr>
          <w:color w:val="231F20"/>
        </w:rPr>
        <w:t>distant markets for capital maintenance works arising from generating operations means</w:t>
      </w:r>
      <w:r>
        <w:rPr>
          <w:color w:val="231F20"/>
          <w:spacing w:val="-17"/>
        </w:rPr>
        <w:t> </w:t>
      </w:r>
      <w:r>
        <w:rPr>
          <w:color w:val="231F20"/>
        </w:rPr>
        <w:t>higher</w:t>
      </w:r>
      <w:r>
        <w:rPr>
          <w:color w:val="231F20"/>
          <w:spacing w:val="-16"/>
        </w:rPr>
        <w:t> </w:t>
      </w:r>
      <w:r>
        <w:rPr>
          <w:color w:val="231F20"/>
        </w:rPr>
        <w:t>costs</w:t>
      </w:r>
      <w:r>
        <w:rPr>
          <w:color w:val="231F20"/>
          <w:spacing w:val="-17"/>
        </w:rPr>
        <w:t> </w:t>
      </w:r>
      <w:r>
        <w:rPr>
          <w:color w:val="231F20"/>
        </w:rPr>
        <w:t>on</w:t>
      </w:r>
      <w:r>
        <w:rPr>
          <w:color w:val="231F20"/>
          <w:spacing w:val="-16"/>
        </w:rPr>
        <w:t> </w:t>
      </w:r>
      <w:r>
        <w:rPr>
          <w:color w:val="231F20"/>
        </w:rPr>
        <w:t>importation.</w:t>
      </w:r>
      <w:r>
        <w:rPr>
          <w:color w:val="231F20"/>
          <w:spacing w:val="-17"/>
        </w:rPr>
        <w:t> </w:t>
      </w:r>
      <w:r>
        <w:rPr>
          <w:color w:val="231F20"/>
        </w:rPr>
        <w:t>Excess expenditure in this respect on freight</w:t>
      </w:r>
      <w:r>
        <w:rPr>
          <w:color w:val="231F20"/>
          <w:spacing w:val="80"/>
          <w:w w:val="150"/>
        </w:rPr>
        <w:t> </w:t>
      </w:r>
      <w:r>
        <w:rPr>
          <w:color w:val="231F20"/>
        </w:rPr>
        <w:t>and insurance alone amounted to </w:t>
      </w:r>
      <w:r>
        <w:rPr>
          <w:rFonts w:ascii="Segoe UI Semibold"/>
          <w:b/>
          <w:i/>
          <w:color w:val="231F20"/>
        </w:rPr>
        <w:t>USD</w:t>
      </w:r>
      <w:r>
        <w:rPr>
          <w:rFonts w:ascii="Segoe UI Semibold"/>
          <w:b/>
          <w:i/>
          <w:color w:val="231F20"/>
        </w:rPr>
        <w:t> </w:t>
      </w:r>
      <w:r>
        <w:rPr>
          <w:rFonts w:ascii="Segoe UI Semibold"/>
          <w:b/>
          <w:i/>
          <w:color w:val="231F20"/>
          <w:spacing w:val="-2"/>
        </w:rPr>
        <w:t>92,784,868</w:t>
      </w:r>
      <w:r>
        <w:rPr>
          <w:color w:val="231F20"/>
          <w:spacing w:val="-2"/>
        </w:rPr>
        <w:t>.</w:t>
      </w:r>
    </w:p>
    <w:p>
      <w:pPr>
        <w:pStyle w:val="BodyText"/>
        <w:spacing w:before="163"/>
        <w:ind w:left="1133" w:right="4"/>
      </w:pPr>
      <w:r>
        <w:rPr>
          <w:color w:val="231F20"/>
          <w:spacing w:val="-8"/>
        </w:rPr>
        <w:t>Persecution and intimidation by Washington </w:t>
      </w:r>
      <w:r>
        <w:rPr>
          <w:color w:val="231F20"/>
        </w:rPr>
        <w:t>combined with its regulations and other </w:t>
      </w:r>
      <w:r>
        <w:rPr>
          <w:color w:val="231F20"/>
          <w:spacing w:val="-10"/>
        </w:rPr>
        <w:t>measures</w:t>
      </w:r>
      <w:r>
        <w:rPr>
          <w:color w:val="231F20"/>
        </w:rPr>
        <w:t> </w:t>
      </w:r>
      <w:r>
        <w:rPr>
          <w:color w:val="231F20"/>
          <w:spacing w:val="-10"/>
        </w:rPr>
        <w:t>targeting</w:t>
      </w:r>
      <w:r>
        <w:rPr>
          <w:color w:val="231F20"/>
        </w:rPr>
        <w:t> </w:t>
      </w:r>
      <w:r>
        <w:rPr>
          <w:color w:val="231F20"/>
          <w:spacing w:val="-10"/>
        </w:rPr>
        <w:t>shipowners</w:t>
      </w:r>
      <w:r>
        <w:rPr>
          <w:color w:val="231F20"/>
        </w:rPr>
        <w:t> </w:t>
      </w:r>
      <w:r>
        <w:rPr>
          <w:color w:val="231F20"/>
          <w:spacing w:val="-10"/>
        </w:rPr>
        <w:t>and</w:t>
      </w:r>
      <w:r>
        <w:rPr>
          <w:color w:val="231F20"/>
        </w:rPr>
        <w:t> </w:t>
      </w:r>
      <w:r>
        <w:rPr>
          <w:color w:val="231F20"/>
          <w:spacing w:val="-10"/>
        </w:rPr>
        <w:t>shipping </w:t>
      </w:r>
      <w:r>
        <w:rPr>
          <w:color w:val="231F20"/>
          <w:spacing w:val="-14"/>
        </w:rPr>
        <w:t>companies</w:t>
      </w:r>
      <w:r>
        <w:rPr>
          <w:color w:val="231F20"/>
          <w:spacing w:val="-3"/>
        </w:rPr>
        <w:t> </w:t>
      </w:r>
      <w:r>
        <w:rPr>
          <w:color w:val="231F20"/>
          <w:spacing w:val="-14"/>
        </w:rPr>
        <w:t>supplying</w:t>
      </w:r>
      <w:r>
        <w:rPr>
          <w:color w:val="231F20"/>
          <w:spacing w:val="-2"/>
        </w:rPr>
        <w:t> </w:t>
      </w:r>
      <w:r>
        <w:rPr>
          <w:color w:val="231F20"/>
          <w:spacing w:val="-14"/>
        </w:rPr>
        <w:t>fuel</w:t>
      </w:r>
      <w:r>
        <w:rPr>
          <w:color w:val="231F20"/>
          <w:spacing w:val="-3"/>
        </w:rPr>
        <w:t> </w:t>
      </w:r>
      <w:r>
        <w:rPr>
          <w:color w:val="231F20"/>
          <w:spacing w:val="-14"/>
        </w:rPr>
        <w:t>to</w:t>
      </w:r>
      <w:r>
        <w:rPr>
          <w:color w:val="231F20"/>
          <w:spacing w:val="-2"/>
        </w:rPr>
        <w:t> </w:t>
      </w:r>
      <w:r>
        <w:rPr>
          <w:color w:val="231F20"/>
          <w:spacing w:val="-14"/>
        </w:rPr>
        <w:t>Cuba</w:t>
      </w:r>
      <w:r>
        <w:rPr>
          <w:color w:val="231F20"/>
          <w:spacing w:val="-3"/>
        </w:rPr>
        <w:t> </w:t>
      </w:r>
      <w:r>
        <w:rPr>
          <w:color w:val="231F20"/>
          <w:spacing w:val="-14"/>
        </w:rPr>
        <w:t>has</w:t>
      </w:r>
      <w:r>
        <w:rPr>
          <w:color w:val="231F20"/>
          <w:spacing w:val="-2"/>
        </w:rPr>
        <w:t> </w:t>
      </w:r>
      <w:r>
        <w:rPr>
          <w:color w:val="231F20"/>
          <w:spacing w:val="-14"/>
        </w:rPr>
        <w:t>resulted </w:t>
      </w:r>
      <w:r>
        <w:rPr>
          <w:color w:val="231F20"/>
          <w:spacing w:val="-4"/>
        </w:rPr>
        <w:t>in</w:t>
      </w:r>
      <w:r>
        <w:rPr>
          <w:color w:val="231F20"/>
          <w:spacing w:val="-13"/>
        </w:rPr>
        <w:t> </w:t>
      </w:r>
      <w:r>
        <w:rPr>
          <w:color w:val="231F20"/>
          <w:spacing w:val="-4"/>
        </w:rPr>
        <w:t>reduction</w:t>
      </w:r>
      <w:r>
        <w:rPr>
          <w:color w:val="231F20"/>
          <w:spacing w:val="-12"/>
        </w:rPr>
        <w:t> </w:t>
      </w:r>
      <w:r>
        <w:rPr>
          <w:color w:val="231F20"/>
          <w:spacing w:val="-4"/>
        </w:rPr>
        <w:t>of</w:t>
      </w:r>
      <w:r>
        <w:rPr>
          <w:color w:val="231F20"/>
          <w:spacing w:val="-13"/>
        </w:rPr>
        <w:t> </w:t>
      </w:r>
      <w:r>
        <w:rPr>
          <w:color w:val="231F20"/>
          <w:spacing w:val="-4"/>
        </w:rPr>
        <w:t>the</w:t>
      </w:r>
      <w:r>
        <w:rPr>
          <w:color w:val="231F20"/>
          <w:spacing w:val="-12"/>
        </w:rPr>
        <w:t> </w:t>
      </w:r>
      <w:r>
        <w:rPr>
          <w:color w:val="231F20"/>
          <w:spacing w:val="-4"/>
        </w:rPr>
        <w:t>base</w:t>
      </w:r>
      <w:r>
        <w:rPr>
          <w:color w:val="231F20"/>
          <w:spacing w:val="-13"/>
        </w:rPr>
        <w:t> </w:t>
      </w:r>
      <w:r>
        <w:rPr>
          <w:color w:val="231F20"/>
          <w:spacing w:val="-4"/>
        </w:rPr>
        <w:t>of</w:t>
      </w:r>
      <w:r>
        <w:rPr>
          <w:color w:val="231F20"/>
          <w:spacing w:val="-12"/>
        </w:rPr>
        <w:t> </w:t>
      </w:r>
      <w:r>
        <w:rPr>
          <w:color w:val="231F20"/>
          <w:spacing w:val="-4"/>
        </w:rPr>
        <w:t>foreign</w:t>
      </w:r>
      <w:r>
        <w:rPr>
          <w:color w:val="231F20"/>
          <w:spacing w:val="-13"/>
        </w:rPr>
        <w:t> </w:t>
      </w:r>
      <w:r>
        <w:rPr>
          <w:color w:val="231F20"/>
          <w:spacing w:val="-4"/>
        </w:rPr>
        <w:t>suppliers and</w:t>
      </w:r>
      <w:r>
        <w:rPr>
          <w:color w:val="231F20"/>
          <w:spacing w:val="-8"/>
        </w:rPr>
        <w:t> </w:t>
      </w:r>
      <w:r>
        <w:rPr>
          <w:color w:val="231F20"/>
          <w:spacing w:val="-4"/>
        </w:rPr>
        <w:t>other</w:t>
      </w:r>
      <w:r>
        <w:rPr>
          <w:color w:val="231F20"/>
          <w:spacing w:val="-8"/>
        </w:rPr>
        <w:t> </w:t>
      </w:r>
      <w:r>
        <w:rPr>
          <w:color w:val="231F20"/>
          <w:spacing w:val="-4"/>
        </w:rPr>
        <w:t>firms</w:t>
      </w:r>
      <w:r>
        <w:rPr>
          <w:color w:val="231F20"/>
          <w:spacing w:val="-8"/>
        </w:rPr>
        <w:t> </w:t>
      </w:r>
      <w:r>
        <w:rPr>
          <w:color w:val="231F20"/>
          <w:spacing w:val="-4"/>
        </w:rPr>
        <w:t>that</w:t>
      </w:r>
      <w:r>
        <w:rPr>
          <w:color w:val="231F20"/>
          <w:spacing w:val="-8"/>
        </w:rPr>
        <w:t> </w:t>
      </w:r>
      <w:r>
        <w:rPr>
          <w:color w:val="231F20"/>
          <w:spacing w:val="-4"/>
        </w:rPr>
        <w:t>maintained</w:t>
      </w:r>
      <w:r>
        <w:rPr>
          <w:color w:val="231F20"/>
          <w:spacing w:val="-8"/>
        </w:rPr>
        <w:t> </w:t>
      </w:r>
      <w:r>
        <w:rPr>
          <w:color w:val="231F20"/>
          <w:spacing w:val="-4"/>
        </w:rPr>
        <w:t>supplies</w:t>
      </w:r>
      <w:r>
        <w:rPr>
          <w:color w:val="231F20"/>
          <w:spacing w:val="-8"/>
        </w:rPr>
        <w:t> </w:t>
      </w:r>
      <w:r>
        <w:rPr>
          <w:color w:val="231F20"/>
          <w:spacing w:val="-4"/>
        </w:rPr>
        <w:t>of </w:t>
      </w:r>
      <w:r>
        <w:rPr>
          <w:color w:val="231F20"/>
          <w:spacing w:val="-10"/>
        </w:rPr>
        <w:t>such</w:t>
      </w:r>
      <w:r>
        <w:rPr>
          <w:color w:val="231F20"/>
          <w:spacing w:val="-4"/>
        </w:rPr>
        <w:t> </w:t>
      </w:r>
      <w:r>
        <w:rPr>
          <w:color w:val="231F20"/>
          <w:spacing w:val="-10"/>
        </w:rPr>
        <w:t>products,</w:t>
      </w:r>
      <w:r>
        <w:rPr>
          <w:color w:val="231F20"/>
          <w:spacing w:val="-4"/>
        </w:rPr>
        <w:t> </w:t>
      </w:r>
      <w:r>
        <w:rPr>
          <w:color w:val="231F20"/>
          <w:spacing w:val="-10"/>
        </w:rPr>
        <w:t>while</w:t>
      </w:r>
      <w:r>
        <w:rPr>
          <w:color w:val="231F20"/>
          <w:spacing w:val="-4"/>
        </w:rPr>
        <w:t> </w:t>
      </w:r>
      <w:r>
        <w:rPr>
          <w:color w:val="231F20"/>
          <w:spacing w:val="-10"/>
        </w:rPr>
        <w:t>prices</w:t>
      </w:r>
      <w:r>
        <w:rPr>
          <w:color w:val="231F20"/>
          <w:spacing w:val="-4"/>
        </w:rPr>
        <w:t> </w:t>
      </w:r>
      <w:r>
        <w:rPr>
          <w:color w:val="231F20"/>
          <w:spacing w:val="-10"/>
        </w:rPr>
        <w:t>have</w:t>
      </w:r>
      <w:r>
        <w:rPr>
          <w:color w:val="231F20"/>
          <w:spacing w:val="-4"/>
        </w:rPr>
        <w:t> </w:t>
      </w:r>
      <w:r>
        <w:rPr>
          <w:color w:val="231F20"/>
          <w:spacing w:val="-10"/>
        </w:rPr>
        <w:t>risen</w:t>
      </w:r>
      <w:r>
        <w:rPr>
          <w:color w:val="231F20"/>
          <w:spacing w:val="-4"/>
        </w:rPr>
        <w:t> </w:t>
      </w:r>
      <w:r>
        <w:rPr>
          <w:color w:val="231F20"/>
          <w:spacing w:val="-10"/>
        </w:rPr>
        <w:t>sharply in</w:t>
      </w:r>
      <w:r>
        <w:rPr>
          <w:color w:val="231F20"/>
          <w:spacing w:val="-7"/>
        </w:rPr>
        <w:t> </w:t>
      </w:r>
      <w:r>
        <w:rPr>
          <w:color w:val="231F20"/>
          <w:spacing w:val="-10"/>
        </w:rPr>
        <w:t>response</w:t>
      </w:r>
      <w:r>
        <w:rPr>
          <w:color w:val="231F20"/>
          <w:spacing w:val="-6"/>
        </w:rPr>
        <w:t> </w:t>
      </w:r>
      <w:r>
        <w:rPr>
          <w:color w:val="231F20"/>
          <w:spacing w:val="-10"/>
        </w:rPr>
        <w:t>to</w:t>
      </w:r>
      <w:r>
        <w:rPr>
          <w:color w:val="231F20"/>
          <w:spacing w:val="-7"/>
        </w:rPr>
        <w:t> </w:t>
      </w:r>
      <w:r>
        <w:rPr>
          <w:color w:val="231F20"/>
          <w:spacing w:val="-10"/>
        </w:rPr>
        <w:t>country</w:t>
      </w:r>
      <w:r>
        <w:rPr>
          <w:color w:val="231F20"/>
          <w:spacing w:val="-6"/>
        </w:rPr>
        <w:t> </w:t>
      </w:r>
      <w:r>
        <w:rPr>
          <w:color w:val="231F20"/>
          <w:spacing w:val="-10"/>
        </w:rPr>
        <w:t>risk.</w:t>
      </w:r>
      <w:r>
        <w:rPr>
          <w:color w:val="231F20"/>
          <w:spacing w:val="-7"/>
        </w:rPr>
        <w:t> </w:t>
      </w:r>
      <w:r>
        <w:rPr>
          <w:color w:val="231F20"/>
          <w:spacing w:val="-10"/>
        </w:rPr>
        <w:t>Other</w:t>
      </w:r>
      <w:r>
        <w:rPr>
          <w:color w:val="231F20"/>
          <w:spacing w:val="-6"/>
        </w:rPr>
        <w:t> </w:t>
      </w:r>
      <w:r>
        <w:rPr>
          <w:color w:val="231F20"/>
          <w:spacing w:val="-10"/>
        </w:rPr>
        <w:t>effects</w:t>
      </w:r>
      <w:r>
        <w:rPr>
          <w:color w:val="231F20"/>
          <w:spacing w:val="-7"/>
        </w:rPr>
        <w:t> </w:t>
      </w:r>
      <w:r>
        <w:rPr>
          <w:color w:val="231F20"/>
          <w:spacing w:val="-10"/>
        </w:rPr>
        <w:t>have </w:t>
      </w:r>
      <w:r>
        <w:rPr>
          <w:color w:val="231F20"/>
        </w:rPr>
        <w:t>included extended delivery times and the </w:t>
      </w:r>
      <w:r>
        <w:rPr>
          <w:color w:val="231F20"/>
          <w:spacing w:val="-4"/>
        </w:rPr>
        <w:t>consequent</w:t>
      </w:r>
      <w:r>
        <w:rPr>
          <w:color w:val="231F20"/>
          <w:spacing w:val="-13"/>
        </w:rPr>
        <w:t> </w:t>
      </w:r>
      <w:r>
        <w:rPr>
          <w:color w:val="231F20"/>
          <w:spacing w:val="-4"/>
        </w:rPr>
        <w:t>shortages,</w:t>
      </w:r>
      <w:r>
        <w:rPr>
          <w:color w:val="231F20"/>
          <w:spacing w:val="-12"/>
        </w:rPr>
        <w:t> </w:t>
      </w:r>
      <w:r>
        <w:rPr>
          <w:color w:val="231F20"/>
          <w:spacing w:val="-4"/>
        </w:rPr>
        <w:t>notwithstanding</w:t>
      </w:r>
      <w:r>
        <w:rPr>
          <w:color w:val="231F20"/>
          <w:spacing w:val="-13"/>
        </w:rPr>
        <w:t> </w:t>
      </w:r>
      <w:r>
        <w:rPr>
          <w:color w:val="231F20"/>
          <w:spacing w:val="-4"/>
        </w:rPr>
        <w:t>the terms</w:t>
      </w:r>
      <w:r>
        <w:rPr>
          <w:color w:val="231F20"/>
          <w:spacing w:val="-20"/>
        </w:rPr>
        <w:t> </w:t>
      </w:r>
      <w:r>
        <w:rPr>
          <w:color w:val="231F20"/>
          <w:spacing w:val="-4"/>
        </w:rPr>
        <w:t>of</w:t>
      </w:r>
      <w:r>
        <w:rPr>
          <w:color w:val="231F20"/>
          <w:spacing w:val="-20"/>
        </w:rPr>
        <w:t> </w:t>
      </w:r>
      <w:r>
        <w:rPr>
          <w:color w:val="231F20"/>
          <w:spacing w:val="-4"/>
        </w:rPr>
        <w:t>the</w:t>
      </w:r>
      <w:r>
        <w:rPr>
          <w:color w:val="231F20"/>
          <w:spacing w:val="-20"/>
        </w:rPr>
        <w:t> </w:t>
      </w:r>
      <w:r>
        <w:rPr>
          <w:color w:val="231F20"/>
          <w:spacing w:val="-4"/>
        </w:rPr>
        <w:t>relevant</w:t>
      </w:r>
      <w:r>
        <w:rPr>
          <w:color w:val="231F20"/>
          <w:spacing w:val="-20"/>
        </w:rPr>
        <w:t> </w:t>
      </w:r>
      <w:r>
        <w:rPr>
          <w:color w:val="231F20"/>
          <w:spacing w:val="-4"/>
        </w:rPr>
        <w:t>supply</w:t>
      </w:r>
      <w:r>
        <w:rPr>
          <w:color w:val="231F20"/>
          <w:spacing w:val="-20"/>
        </w:rPr>
        <w:t> </w:t>
      </w:r>
      <w:r>
        <w:rPr>
          <w:color w:val="231F20"/>
          <w:spacing w:val="-4"/>
        </w:rPr>
        <w:t>agreements.</w:t>
      </w:r>
    </w:p>
    <w:p>
      <w:pPr>
        <w:pStyle w:val="BodyText"/>
        <w:spacing w:before="169"/>
        <w:ind w:left="1133"/>
      </w:pPr>
      <w:r>
        <w:rPr>
          <w:color w:val="231F20"/>
          <w:spacing w:val="-4"/>
        </w:rPr>
        <w:t>The</w:t>
      </w:r>
      <w:r>
        <w:rPr>
          <w:color w:val="231F20"/>
          <w:spacing w:val="-13"/>
        </w:rPr>
        <w:t> </w:t>
      </w:r>
      <w:r>
        <w:rPr>
          <w:color w:val="231F20"/>
          <w:spacing w:val="-4"/>
        </w:rPr>
        <w:t>figures</w:t>
      </w:r>
      <w:r>
        <w:rPr>
          <w:color w:val="231F20"/>
          <w:spacing w:val="-12"/>
        </w:rPr>
        <w:t> </w:t>
      </w:r>
      <w:r>
        <w:rPr>
          <w:color w:val="231F20"/>
          <w:spacing w:val="-4"/>
        </w:rPr>
        <w:t>do</w:t>
      </w:r>
      <w:r>
        <w:rPr>
          <w:color w:val="231F20"/>
          <w:spacing w:val="-13"/>
        </w:rPr>
        <w:t> </w:t>
      </w:r>
      <w:r>
        <w:rPr>
          <w:color w:val="231F20"/>
          <w:spacing w:val="-4"/>
        </w:rPr>
        <w:t>not</w:t>
      </w:r>
      <w:r>
        <w:rPr>
          <w:color w:val="231F20"/>
          <w:spacing w:val="-12"/>
        </w:rPr>
        <w:t> </w:t>
      </w:r>
      <w:r>
        <w:rPr>
          <w:color w:val="231F20"/>
          <w:spacing w:val="-4"/>
        </w:rPr>
        <w:t>convey</w:t>
      </w:r>
      <w:r>
        <w:rPr>
          <w:color w:val="231F20"/>
          <w:spacing w:val="-12"/>
        </w:rPr>
        <w:t> </w:t>
      </w:r>
      <w:r>
        <w:rPr>
          <w:color w:val="231F20"/>
          <w:spacing w:val="-4"/>
        </w:rPr>
        <w:t>the</w:t>
      </w:r>
      <w:r>
        <w:rPr>
          <w:color w:val="231F20"/>
          <w:spacing w:val="-13"/>
        </w:rPr>
        <w:t> </w:t>
      </w:r>
      <w:r>
        <w:rPr>
          <w:color w:val="231F20"/>
          <w:spacing w:val="-4"/>
        </w:rPr>
        <w:t>full</w:t>
      </w:r>
      <w:r>
        <w:rPr>
          <w:color w:val="231F20"/>
          <w:spacing w:val="-12"/>
        </w:rPr>
        <w:t> </w:t>
      </w:r>
      <w:r>
        <w:rPr>
          <w:color w:val="231F20"/>
          <w:spacing w:val="-4"/>
        </w:rPr>
        <w:t>impact</w:t>
      </w:r>
      <w:r>
        <w:rPr>
          <w:color w:val="231F20"/>
          <w:spacing w:val="-13"/>
        </w:rPr>
        <w:t> </w:t>
      </w:r>
      <w:r>
        <w:rPr>
          <w:color w:val="231F20"/>
          <w:spacing w:val="-4"/>
        </w:rPr>
        <w:t>of these</w:t>
      </w:r>
      <w:r>
        <w:rPr>
          <w:color w:val="231F20"/>
          <w:spacing w:val="-13"/>
        </w:rPr>
        <w:t> </w:t>
      </w:r>
      <w:r>
        <w:rPr>
          <w:color w:val="231F20"/>
          <w:spacing w:val="-4"/>
        </w:rPr>
        <w:t>complications</w:t>
      </w:r>
      <w:r>
        <w:rPr>
          <w:color w:val="231F20"/>
          <w:spacing w:val="-12"/>
        </w:rPr>
        <w:t> </w:t>
      </w:r>
      <w:r>
        <w:rPr>
          <w:color w:val="231F20"/>
          <w:spacing w:val="-4"/>
        </w:rPr>
        <w:t>on</w:t>
      </w:r>
      <w:r>
        <w:rPr>
          <w:color w:val="231F20"/>
          <w:spacing w:val="-13"/>
        </w:rPr>
        <w:t> </w:t>
      </w:r>
      <w:r>
        <w:rPr>
          <w:color w:val="231F20"/>
          <w:spacing w:val="-4"/>
        </w:rPr>
        <w:t>the</w:t>
      </w:r>
      <w:r>
        <w:rPr>
          <w:color w:val="231F20"/>
          <w:spacing w:val="-12"/>
        </w:rPr>
        <w:t> </w:t>
      </w:r>
      <w:r>
        <w:rPr>
          <w:color w:val="231F20"/>
          <w:spacing w:val="-4"/>
        </w:rPr>
        <w:t>day-to-day</w:t>
      </w:r>
      <w:r>
        <w:rPr>
          <w:color w:val="231F20"/>
          <w:spacing w:val="-13"/>
        </w:rPr>
        <w:t> </w:t>
      </w:r>
      <w:r>
        <w:rPr>
          <w:color w:val="231F20"/>
          <w:spacing w:val="-4"/>
        </w:rPr>
        <w:t>lives </w:t>
      </w:r>
      <w:r>
        <w:rPr>
          <w:color w:val="231F20"/>
          <w:spacing w:val="-6"/>
        </w:rPr>
        <w:t>of</w:t>
      </w:r>
      <w:r>
        <w:rPr>
          <w:color w:val="231F20"/>
          <w:spacing w:val="-9"/>
        </w:rPr>
        <w:t> </w:t>
      </w:r>
      <w:r>
        <w:rPr>
          <w:color w:val="231F20"/>
          <w:spacing w:val="-6"/>
        </w:rPr>
        <w:t>the</w:t>
      </w:r>
      <w:r>
        <w:rPr>
          <w:color w:val="231F20"/>
          <w:spacing w:val="-9"/>
        </w:rPr>
        <w:t> </w:t>
      </w:r>
      <w:r>
        <w:rPr>
          <w:color w:val="231F20"/>
          <w:spacing w:val="-6"/>
        </w:rPr>
        <w:t>Cubans</w:t>
      </w:r>
      <w:r>
        <w:rPr>
          <w:color w:val="231F20"/>
          <w:spacing w:val="-9"/>
        </w:rPr>
        <w:t> </w:t>
      </w:r>
      <w:r>
        <w:rPr>
          <w:color w:val="231F20"/>
          <w:spacing w:val="-6"/>
        </w:rPr>
        <w:t>or</w:t>
      </w:r>
      <w:r>
        <w:rPr>
          <w:color w:val="231F20"/>
          <w:spacing w:val="-9"/>
        </w:rPr>
        <w:t> </w:t>
      </w:r>
      <w:r>
        <w:rPr>
          <w:color w:val="231F20"/>
          <w:spacing w:val="-6"/>
        </w:rPr>
        <w:t>the</w:t>
      </w:r>
      <w:r>
        <w:rPr>
          <w:color w:val="231F20"/>
          <w:spacing w:val="-9"/>
        </w:rPr>
        <w:t> </w:t>
      </w:r>
      <w:r>
        <w:rPr>
          <w:color w:val="231F20"/>
          <w:spacing w:val="-6"/>
        </w:rPr>
        <w:t>constant</w:t>
      </w:r>
      <w:r>
        <w:rPr>
          <w:color w:val="231F20"/>
          <w:spacing w:val="-9"/>
        </w:rPr>
        <w:t> </w:t>
      </w:r>
      <w:r>
        <w:rPr>
          <w:color w:val="231F20"/>
          <w:spacing w:val="-6"/>
        </w:rPr>
        <w:t>stress</w:t>
      </w:r>
      <w:r>
        <w:rPr>
          <w:color w:val="231F20"/>
          <w:spacing w:val="-9"/>
        </w:rPr>
        <w:t> </w:t>
      </w:r>
      <w:r>
        <w:rPr>
          <w:color w:val="231F20"/>
          <w:spacing w:val="-6"/>
        </w:rPr>
        <w:t>implied </w:t>
      </w:r>
      <w:r>
        <w:rPr>
          <w:color w:val="231F20"/>
        </w:rPr>
        <w:t>by repeated outages in the power supply system, despite the willingness and best </w:t>
      </w:r>
      <w:r>
        <w:rPr>
          <w:color w:val="231F20"/>
          <w:spacing w:val="-2"/>
        </w:rPr>
        <w:t>efforts</w:t>
      </w:r>
      <w:r>
        <w:rPr>
          <w:color w:val="231F20"/>
          <w:spacing w:val="-13"/>
        </w:rPr>
        <w:t> </w:t>
      </w:r>
      <w:r>
        <w:rPr>
          <w:color w:val="231F20"/>
          <w:spacing w:val="-2"/>
        </w:rPr>
        <w:t>of</w:t>
      </w:r>
      <w:r>
        <w:rPr>
          <w:color w:val="231F20"/>
          <w:spacing w:val="-13"/>
        </w:rPr>
        <w:t> </w:t>
      </w:r>
      <w:r>
        <w:rPr>
          <w:color w:val="231F20"/>
          <w:spacing w:val="-2"/>
        </w:rPr>
        <w:t>the</w:t>
      </w:r>
      <w:r>
        <w:rPr>
          <w:color w:val="231F20"/>
          <w:spacing w:val="-13"/>
        </w:rPr>
        <w:t> </w:t>
      </w:r>
      <w:r>
        <w:rPr>
          <w:color w:val="231F20"/>
          <w:spacing w:val="-2"/>
        </w:rPr>
        <w:t>government</w:t>
      </w:r>
      <w:r>
        <w:rPr>
          <w:color w:val="231F20"/>
          <w:spacing w:val="-13"/>
        </w:rPr>
        <w:t> </w:t>
      </w:r>
      <w:r>
        <w:rPr>
          <w:color w:val="231F20"/>
          <w:spacing w:val="-2"/>
        </w:rPr>
        <w:t>to</w:t>
      </w:r>
      <w:r>
        <w:rPr>
          <w:color w:val="231F20"/>
          <w:spacing w:val="-13"/>
        </w:rPr>
        <w:t> </w:t>
      </w:r>
      <w:r>
        <w:rPr>
          <w:color w:val="231F20"/>
          <w:spacing w:val="-2"/>
        </w:rPr>
        <w:t>find</w:t>
      </w:r>
      <w:r>
        <w:rPr>
          <w:color w:val="231F20"/>
          <w:spacing w:val="-13"/>
        </w:rPr>
        <w:t> </w:t>
      </w:r>
      <w:r>
        <w:rPr>
          <w:color w:val="231F20"/>
          <w:spacing w:val="-2"/>
        </w:rPr>
        <w:t>a</w:t>
      </w:r>
      <w:r>
        <w:rPr>
          <w:color w:val="231F20"/>
          <w:spacing w:val="-13"/>
        </w:rPr>
        <w:t> </w:t>
      </w:r>
      <w:r>
        <w:rPr>
          <w:color w:val="231F20"/>
          <w:spacing w:val="-2"/>
        </w:rPr>
        <w:t>prompt </w:t>
      </w:r>
      <w:r>
        <w:rPr>
          <w:color w:val="231F20"/>
        </w:rPr>
        <w:t>and</w:t>
      </w:r>
      <w:r>
        <w:rPr>
          <w:color w:val="231F20"/>
          <w:spacing w:val="-7"/>
        </w:rPr>
        <w:t> </w:t>
      </w:r>
      <w:r>
        <w:rPr>
          <w:color w:val="231F20"/>
        </w:rPr>
        <w:t>effective</w:t>
      </w:r>
      <w:r>
        <w:rPr>
          <w:color w:val="231F20"/>
          <w:spacing w:val="-7"/>
        </w:rPr>
        <w:t> </w:t>
      </w:r>
      <w:r>
        <w:rPr>
          <w:color w:val="231F20"/>
        </w:rPr>
        <w:t>solution</w:t>
      </w:r>
      <w:r>
        <w:rPr>
          <w:color w:val="231F20"/>
          <w:spacing w:val="-7"/>
        </w:rPr>
        <w:t> </w:t>
      </w:r>
      <w:r>
        <w:rPr>
          <w:color w:val="231F20"/>
        </w:rPr>
        <w:t>to</w:t>
      </w:r>
      <w:r>
        <w:rPr>
          <w:color w:val="231F20"/>
          <w:spacing w:val="-7"/>
        </w:rPr>
        <w:t> </w:t>
      </w:r>
      <w:r>
        <w:rPr>
          <w:color w:val="231F20"/>
        </w:rPr>
        <w:t>this</w:t>
      </w:r>
      <w:r>
        <w:rPr>
          <w:color w:val="231F20"/>
          <w:spacing w:val="-7"/>
        </w:rPr>
        <w:t> </w:t>
      </w:r>
      <w:r>
        <w:rPr>
          <w:color w:val="231F20"/>
        </w:rPr>
        <w:t>problem.</w:t>
      </w:r>
    </w:p>
    <w:p>
      <w:pPr>
        <w:pStyle w:val="BodyText"/>
        <w:spacing w:before="165"/>
        <w:ind w:left="1133"/>
      </w:pPr>
      <w:r>
        <w:rPr>
          <w:color w:val="231F20"/>
        </w:rPr>
        <w:t>Brüel &amp; Kjær Vibro GmbH, a German company</w:t>
      </w:r>
      <w:r>
        <w:rPr>
          <w:color w:val="231F20"/>
          <w:spacing w:val="-16"/>
        </w:rPr>
        <w:t> </w:t>
      </w:r>
      <w:r>
        <w:rPr>
          <w:color w:val="231F20"/>
        </w:rPr>
        <w:t>that</w:t>
      </w:r>
      <w:r>
        <w:rPr>
          <w:color w:val="231F20"/>
          <w:spacing w:val="-16"/>
        </w:rPr>
        <w:t> </w:t>
      </w:r>
      <w:r>
        <w:rPr>
          <w:color w:val="231F20"/>
        </w:rPr>
        <w:t>provides</w:t>
      </w:r>
      <w:r>
        <w:rPr>
          <w:color w:val="231F20"/>
          <w:spacing w:val="-16"/>
        </w:rPr>
        <w:t> </w:t>
      </w:r>
      <w:r>
        <w:rPr>
          <w:color w:val="231F20"/>
        </w:rPr>
        <w:t>the</w:t>
      </w:r>
      <w:r>
        <w:rPr>
          <w:color w:val="231F20"/>
          <w:spacing w:val="-16"/>
        </w:rPr>
        <w:t> </w:t>
      </w:r>
      <w:r>
        <w:rPr>
          <w:color w:val="231F20"/>
        </w:rPr>
        <w:t>technology</w:t>
      </w:r>
      <w:r>
        <w:rPr>
          <w:color w:val="231F20"/>
          <w:spacing w:val="-16"/>
        </w:rPr>
        <w:t> </w:t>
      </w:r>
      <w:r>
        <w:rPr>
          <w:color w:val="231F20"/>
        </w:rPr>
        <w:t>for the systems for vibration monitoring of the</w:t>
      </w:r>
      <w:r>
        <w:rPr>
          <w:color w:val="231F20"/>
          <w:spacing w:val="-6"/>
        </w:rPr>
        <w:t> </w:t>
      </w:r>
      <w:r>
        <w:rPr>
          <w:color w:val="231F20"/>
        </w:rPr>
        <w:t>thermal</w:t>
      </w:r>
      <w:r>
        <w:rPr>
          <w:color w:val="231F20"/>
          <w:spacing w:val="-6"/>
        </w:rPr>
        <w:t> </w:t>
      </w:r>
      <w:r>
        <w:rPr>
          <w:color w:val="231F20"/>
        </w:rPr>
        <w:t>turbines</w:t>
      </w:r>
      <w:r>
        <w:rPr>
          <w:color w:val="231F20"/>
          <w:spacing w:val="-6"/>
        </w:rPr>
        <w:t> </w:t>
      </w:r>
      <w:r>
        <w:rPr>
          <w:color w:val="231F20"/>
        </w:rPr>
        <w:t>used</w:t>
      </w:r>
      <w:r>
        <w:rPr>
          <w:color w:val="231F20"/>
          <w:spacing w:val="-6"/>
        </w:rPr>
        <w:t> </w:t>
      </w:r>
      <w:r>
        <w:rPr>
          <w:color w:val="231F20"/>
        </w:rPr>
        <w:t>by</w:t>
      </w:r>
      <w:r>
        <w:rPr>
          <w:color w:val="231F20"/>
          <w:spacing w:val="-6"/>
        </w:rPr>
        <w:t> </w:t>
      </w:r>
      <w:r>
        <w:rPr>
          <w:color w:val="231F20"/>
        </w:rPr>
        <w:t>the</w:t>
      </w:r>
      <w:r>
        <w:rPr>
          <w:color w:val="231F20"/>
          <w:spacing w:val="-6"/>
        </w:rPr>
        <w:t> </w:t>
      </w:r>
      <w:r>
        <w:rPr>
          <w:color w:val="231F20"/>
        </w:rPr>
        <w:t>National Electrical Union (“UNE”) has continued to accept its bank’s recommendation not to operate with Cuba due to the application of Title III of the Helms-Burton Act.</w:t>
      </w:r>
    </w:p>
    <w:p>
      <w:pPr>
        <w:pStyle w:val="BodyText"/>
        <w:spacing w:before="77"/>
        <w:ind w:left="415" w:right="1473"/>
      </w:pPr>
      <w:r>
        <w:rPr/>
        <w:br w:type="column"/>
      </w:r>
      <w:r>
        <w:rPr>
          <w:color w:val="231F20"/>
          <w:spacing w:val="-2"/>
        </w:rPr>
        <w:t>ABB</w:t>
      </w:r>
      <w:r>
        <w:rPr>
          <w:color w:val="231F20"/>
          <w:spacing w:val="-10"/>
        </w:rPr>
        <w:t> </w:t>
      </w:r>
      <w:r>
        <w:rPr>
          <w:color w:val="231F20"/>
          <w:spacing w:val="-2"/>
        </w:rPr>
        <w:t>Turbocharging</w:t>
      </w:r>
      <w:r>
        <w:rPr>
          <w:color w:val="231F20"/>
          <w:spacing w:val="-10"/>
        </w:rPr>
        <w:t> </w:t>
      </w:r>
      <w:r>
        <w:rPr>
          <w:color w:val="231F20"/>
          <w:spacing w:val="-2"/>
        </w:rPr>
        <w:t>spin-off</w:t>
      </w:r>
      <w:r>
        <w:rPr>
          <w:color w:val="231F20"/>
          <w:spacing w:val="-9"/>
        </w:rPr>
        <w:t> </w:t>
      </w:r>
      <w:r>
        <w:rPr>
          <w:color w:val="231F20"/>
          <w:spacing w:val="-2"/>
        </w:rPr>
        <w:t>ACCELLERON, </w:t>
      </w:r>
      <w:r>
        <w:rPr>
          <w:color w:val="231F20"/>
        </w:rPr>
        <w:t>source of the technology employed by </w:t>
      </w:r>
      <w:r>
        <w:rPr>
          <w:color w:val="231F20"/>
          <w:spacing w:val="-2"/>
        </w:rPr>
        <w:t>UNE’s</w:t>
      </w:r>
      <w:r>
        <w:rPr>
          <w:color w:val="231F20"/>
          <w:spacing w:val="-9"/>
        </w:rPr>
        <w:t> </w:t>
      </w:r>
      <w:r>
        <w:rPr>
          <w:color w:val="231F20"/>
          <w:spacing w:val="-2"/>
        </w:rPr>
        <w:t>turbochargers,</w:t>
      </w:r>
      <w:r>
        <w:rPr>
          <w:color w:val="231F20"/>
          <w:spacing w:val="-9"/>
        </w:rPr>
        <w:t> </w:t>
      </w:r>
      <w:r>
        <w:rPr>
          <w:color w:val="231F20"/>
          <w:spacing w:val="-2"/>
        </w:rPr>
        <w:t>has</w:t>
      </w:r>
      <w:r>
        <w:rPr>
          <w:color w:val="231F20"/>
          <w:spacing w:val="-9"/>
        </w:rPr>
        <w:t> </w:t>
      </w:r>
      <w:r>
        <w:rPr>
          <w:color w:val="231F20"/>
          <w:spacing w:val="-2"/>
        </w:rPr>
        <w:t>decided</w:t>
      </w:r>
      <w:r>
        <w:rPr>
          <w:color w:val="231F20"/>
          <w:spacing w:val="-9"/>
        </w:rPr>
        <w:t> </w:t>
      </w:r>
      <w:r>
        <w:rPr>
          <w:color w:val="231F20"/>
          <w:spacing w:val="-2"/>
        </w:rPr>
        <w:t>to</w:t>
      </w:r>
      <w:r>
        <w:rPr>
          <w:color w:val="231F20"/>
          <w:spacing w:val="-9"/>
        </w:rPr>
        <w:t> </w:t>
      </w:r>
      <w:r>
        <w:rPr>
          <w:color w:val="231F20"/>
          <w:spacing w:val="-2"/>
        </w:rPr>
        <w:t>cease </w:t>
      </w:r>
      <w:r>
        <w:rPr>
          <w:color w:val="231F20"/>
          <w:spacing w:val="-6"/>
        </w:rPr>
        <w:t>direct</w:t>
      </w:r>
      <w:r>
        <w:rPr>
          <w:color w:val="231F20"/>
          <w:spacing w:val="-11"/>
        </w:rPr>
        <w:t> </w:t>
      </w:r>
      <w:r>
        <w:rPr>
          <w:color w:val="231F20"/>
          <w:spacing w:val="-6"/>
        </w:rPr>
        <w:t>operations</w:t>
      </w:r>
      <w:r>
        <w:rPr>
          <w:color w:val="231F20"/>
          <w:spacing w:val="-10"/>
        </w:rPr>
        <w:t> </w:t>
      </w:r>
      <w:r>
        <w:rPr>
          <w:color w:val="231F20"/>
          <w:spacing w:val="-6"/>
        </w:rPr>
        <w:t>with</w:t>
      </w:r>
      <w:r>
        <w:rPr>
          <w:color w:val="231F20"/>
          <w:spacing w:val="-11"/>
        </w:rPr>
        <w:t> </w:t>
      </w:r>
      <w:r>
        <w:rPr>
          <w:color w:val="231F20"/>
          <w:spacing w:val="-6"/>
        </w:rPr>
        <w:t>Cuba,</w:t>
      </w:r>
      <w:r>
        <w:rPr>
          <w:color w:val="231F20"/>
          <w:spacing w:val="-10"/>
        </w:rPr>
        <w:t> </w:t>
      </w:r>
      <w:r>
        <w:rPr>
          <w:color w:val="231F20"/>
          <w:spacing w:val="-6"/>
        </w:rPr>
        <w:t>on</w:t>
      </w:r>
      <w:r>
        <w:rPr>
          <w:color w:val="231F20"/>
          <w:spacing w:val="-11"/>
        </w:rPr>
        <w:t> </w:t>
      </w:r>
      <w:r>
        <w:rPr>
          <w:color w:val="231F20"/>
          <w:spacing w:val="-6"/>
        </w:rPr>
        <w:t>the</w:t>
      </w:r>
      <w:r>
        <w:rPr>
          <w:color w:val="231F20"/>
          <w:spacing w:val="-10"/>
        </w:rPr>
        <w:t> </w:t>
      </w:r>
      <w:r>
        <w:rPr>
          <w:color w:val="231F20"/>
          <w:spacing w:val="-6"/>
        </w:rPr>
        <w:t>grounds </w:t>
      </w:r>
      <w:r>
        <w:rPr>
          <w:color w:val="231F20"/>
          <w:spacing w:val="-2"/>
        </w:rPr>
        <w:t>of</w:t>
      </w:r>
      <w:r>
        <w:rPr>
          <w:color w:val="231F20"/>
          <w:spacing w:val="-15"/>
        </w:rPr>
        <w:t> </w:t>
      </w:r>
      <w:r>
        <w:rPr>
          <w:color w:val="231F20"/>
          <w:spacing w:val="-2"/>
        </w:rPr>
        <w:t>the</w:t>
      </w:r>
      <w:r>
        <w:rPr>
          <w:color w:val="231F20"/>
          <w:spacing w:val="-14"/>
        </w:rPr>
        <w:t> </w:t>
      </w:r>
      <w:r>
        <w:rPr>
          <w:color w:val="231F20"/>
          <w:spacing w:val="-2"/>
        </w:rPr>
        <w:t>ban</w:t>
      </w:r>
      <w:r>
        <w:rPr>
          <w:color w:val="231F20"/>
          <w:spacing w:val="-15"/>
        </w:rPr>
        <w:t> </w:t>
      </w:r>
      <w:r>
        <w:rPr>
          <w:color w:val="231F20"/>
          <w:spacing w:val="-2"/>
        </w:rPr>
        <w:t>on</w:t>
      </w:r>
      <w:r>
        <w:rPr>
          <w:color w:val="231F20"/>
          <w:spacing w:val="-14"/>
        </w:rPr>
        <w:t> </w:t>
      </w:r>
      <w:r>
        <w:rPr>
          <w:color w:val="231F20"/>
          <w:spacing w:val="-2"/>
        </w:rPr>
        <w:t>countries</w:t>
      </w:r>
      <w:r>
        <w:rPr>
          <w:color w:val="231F20"/>
          <w:spacing w:val="-15"/>
        </w:rPr>
        <w:t> </w:t>
      </w:r>
      <w:r>
        <w:rPr>
          <w:color w:val="231F20"/>
          <w:spacing w:val="-2"/>
        </w:rPr>
        <w:t>designated</w:t>
      </w:r>
      <w:r>
        <w:rPr>
          <w:color w:val="231F20"/>
          <w:spacing w:val="-14"/>
        </w:rPr>
        <w:t> </w:t>
      </w:r>
      <w:r>
        <w:rPr>
          <w:color w:val="231F20"/>
          <w:spacing w:val="-2"/>
        </w:rPr>
        <w:t>as</w:t>
      </w:r>
      <w:r>
        <w:rPr>
          <w:color w:val="231F20"/>
          <w:spacing w:val="-15"/>
        </w:rPr>
        <w:t> </w:t>
      </w:r>
      <w:r>
        <w:rPr>
          <w:color w:val="231F20"/>
          <w:spacing w:val="-2"/>
        </w:rPr>
        <w:t>state </w:t>
      </w:r>
      <w:r>
        <w:rPr>
          <w:color w:val="231F20"/>
        </w:rPr>
        <w:t>sponsors of terrorism. The effect on costs in the period covered by this report was an</w:t>
      </w:r>
      <w:r>
        <w:rPr>
          <w:color w:val="231F20"/>
          <w:spacing w:val="-12"/>
        </w:rPr>
        <w:t> </w:t>
      </w:r>
      <w:r>
        <w:rPr>
          <w:color w:val="231F20"/>
        </w:rPr>
        <w:t>increase</w:t>
      </w:r>
      <w:r>
        <w:rPr>
          <w:color w:val="231F20"/>
          <w:spacing w:val="-12"/>
        </w:rPr>
        <w:t> </w:t>
      </w:r>
      <w:r>
        <w:rPr>
          <w:color w:val="231F20"/>
        </w:rPr>
        <w:t>of</w:t>
      </w:r>
      <w:r>
        <w:rPr>
          <w:color w:val="231F20"/>
          <w:spacing w:val="-12"/>
        </w:rPr>
        <w:t> </w:t>
      </w:r>
      <w:r>
        <w:rPr>
          <w:color w:val="231F20"/>
        </w:rPr>
        <w:t>30%</w:t>
      </w:r>
      <w:r>
        <w:rPr>
          <w:color w:val="231F20"/>
          <w:spacing w:val="-12"/>
        </w:rPr>
        <w:t> </w:t>
      </w:r>
      <w:r>
        <w:rPr>
          <w:color w:val="231F20"/>
        </w:rPr>
        <w:t>above</w:t>
      </w:r>
      <w:r>
        <w:rPr>
          <w:color w:val="231F20"/>
          <w:spacing w:val="-12"/>
        </w:rPr>
        <w:t> </w:t>
      </w:r>
      <w:r>
        <w:rPr>
          <w:color w:val="231F20"/>
        </w:rPr>
        <w:t>the</w:t>
      </w:r>
      <w:r>
        <w:rPr>
          <w:color w:val="231F20"/>
          <w:spacing w:val="-12"/>
        </w:rPr>
        <w:t> </w:t>
      </w:r>
      <w:r>
        <w:rPr>
          <w:color w:val="231F20"/>
        </w:rPr>
        <w:t>normal</w:t>
      </w:r>
      <w:r>
        <w:rPr>
          <w:color w:val="231F20"/>
          <w:spacing w:val="-12"/>
        </w:rPr>
        <w:t> </w:t>
      </w:r>
      <w:r>
        <w:rPr>
          <w:color w:val="231F20"/>
        </w:rPr>
        <w:t>level when dealing with the firm mentioned.</w:t>
      </w:r>
    </w:p>
    <w:p>
      <w:pPr>
        <w:pStyle w:val="BodyText"/>
        <w:spacing w:before="167"/>
        <w:ind w:left="415" w:right="1473"/>
      </w:pPr>
      <w:r>
        <w:rPr>
          <w:color w:val="231F20"/>
        </w:rPr>
        <w:t>Cuba’s dealings with the Canadian firm Diesel Expert Quebec included importing components and spare parts for gas turbines. Recently, one of the turbines ordered was intercepted by Canadian </w:t>
      </w:r>
      <w:r>
        <w:rPr>
          <w:color w:val="231F20"/>
          <w:spacing w:val="-2"/>
        </w:rPr>
        <w:t>customs</w:t>
      </w:r>
      <w:r>
        <w:rPr>
          <w:color w:val="231F20"/>
          <w:spacing w:val="-12"/>
        </w:rPr>
        <w:t> </w:t>
      </w:r>
      <w:r>
        <w:rPr>
          <w:color w:val="231F20"/>
          <w:spacing w:val="-2"/>
        </w:rPr>
        <w:t>and</w:t>
      </w:r>
      <w:r>
        <w:rPr>
          <w:color w:val="231F20"/>
          <w:spacing w:val="-12"/>
        </w:rPr>
        <w:t> </w:t>
      </w:r>
      <w:r>
        <w:rPr>
          <w:color w:val="231F20"/>
          <w:spacing w:val="-2"/>
        </w:rPr>
        <w:t>detained</w:t>
      </w:r>
      <w:r>
        <w:rPr>
          <w:color w:val="231F20"/>
          <w:spacing w:val="-12"/>
        </w:rPr>
        <w:t> </w:t>
      </w:r>
      <w:r>
        <w:rPr>
          <w:color w:val="231F20"/>
          <w:spacing w:val="-2"/>
        </w:rPr>
        <w:t>on</w:t>
      </w:r>
      <w:r>
        <w:rPr>
          <w:color w:val="231F20"/>
          <w:spacing w:val="-12"/>
        </w:rPr>
        <w:t> </w:t>
      </w:r>
      <w:r>
        <w:rPr>
          <w:color w:val="231F20"/>
          <w:spacing w:val="-2"/>
        </w:rPr>
        <w:t>the</w:t>
      </w:r>
      <w:r>
        <w:rPr>
          <w:color w:val="231F20"/>
          <w:spacing w:val="-12"/>
        </w:rPr>
        <w:t> </w:t>
      </w:r>
      <w:r>
        <w:rPr>
          <w:color w:val="231F20"/>
          <w:spacing w:val="-2"/>
        </w:rPr>
        <w:t>grounds</w:t>
      </w:r>
      <w:r>
        <w:rPr>
          <w:color w:val="231F20"/>
          <w:spacing w:val="-12"/>
        </w:rPr>
        <w:t> </w:t>
      </w:r>
      <w:r>
        <w:rPr>
          <w:color w:val="231F20"/>
          <w:spacing w:val="-2"/>
        </w:rPr>
        <w:t>that </w:t>
      </w:r>
      <w:r>
        <w:rPr>
          <w:color w:val="231F20"/>
        </w:rPr>
        <w:t>it contained over 10% parts of U.S. origin. </w:t>
      </w:r>
      <w:r>
        <w:rPr>
          <w:color w:val="231F20"/>
          <w:spacing w:val="-8"/>
        </w:rPr>
        <w:t>The supplier is currently awaiting a Canadian </w:t>
      </w:r>
      <w:r>
        <w:rPr>
          <w:color w:val="231F20"/>
        </w:rPr>
        <w:t>government export license for sending these parts to Cuba. The impact for every turbine not available is lost generation of 20 MW, required to cover the peak hours of national electricity consumption</w:t>
      </w:r>
    </w:p>
    <w:p>
      <w:pPr>
        <w:pStyle w:val="BodyText"/>
        <w:spacing w:before="170"/>
        <w:ind w:left="415" w:right="1472"/>
      </w:pPr>
      <w:r>
        <w:rPr>
          <w:color w:val="231F20"/>
        </w:rPr>
        <w:t>Cuba is banned from acquiring advanced oil-industry management systems and certain firms have refused to offer these, citing the blockade. In the period, there were</w:t>
      </w:r>
      <w:r>
        <w:rPr>
          <w:color w:val="231F20"/>
          <w:spacing w:val="80"/>
        </w:rPr>
        <w:t> </w:t>
      </w:r>
      <w:r>
        <w:rPr>
          <w:color w:val="231F20"/>
        </w:rPr>
        <w:t>problems</w:t>
      </w:r>
      <w:r>
        <w:rPr>
          <w:color w:val="231F20"/>
          <w:spacing w:val="80"/>
        </w:rPr>
        <w:t> </w:t>
      </w:r>
      <w:r>
        <w:rPr>
          <w:color w:val="231F20"/>
        </w:rPr>
        <w:t>in</w:t>
      </w:r>
      <w:r>
        <w:rPr>
          <w:color w:val="231F20"/>
          <w:spacing w:val="80"/>
        </w:rPr>
        <w:t> </w:t>
      </w:r>
      <w:r>
        <w:rPr>
          <w:color w:val="231F20"/>
        </w:rPr>
        <w:t>purchasing</w:t>
      </w:r>
      <w:r>
        <w:rPr>
          <w:color w:val="231F20"/>
          <w:spacing w:val="80"/>
        </w:rPr>
        <w:t> </w:t>
      </w:r>
      <w:r>
        <w:rPr>
          <w:color w:val="231F20"/>
        </w:rPr>
        <w:t>deep</w:t>
      </w:r>
      <w:r>
        <w:rPr>
          <w:color w:val="231F20"/>
          <w:spacing w:val="40"/>
        </w:rPr>
        <w:t> </w:t>
      </w:r>
      <w:r>
        <w:rPr>
          <w:color w:val="231F20"/>
        </w:rPr>
        <w:t>well pumps manufactured by KUDU (Switzerland)</w:t>
      </w:r>
      <w:r>
        <w:rPr>
          <w:color w:val="231F20"/>
          <w:spacing w:val="-1"/>
        </w:rPr>
        <w:t> </w:t>
      </w:r>
      <w:r>
        <w:rPr>
          <w:color w:val="231F20"/>
        </w:rPr>
        <w:t>for</w:t>
      </w:r>
      <w:r>
        <w:rPr>
          <w:color w:val="231F20"/>
          <w:spacing w:val="-1"/>
        </w:rPr>
        <w:t> </w:t>
      </w:r>
      <w:r>
        <w:rPr>
          <w:color w:val="231F20"/>
        </w:rPr>
        <w:t>extraction</w:t>
      </w:r>
      <w:r>
        <w:rPr>
          <w:color w:val="231F20"/>
          <w:spacing w:val="-2"/>
        </w:rPr>
        <w:t> </w:t>
      </w:r>
      <w:r>
        <w:rPr>
          <w:color w:val="231F20"/>
        </w:rPr>
        <w:t>of</w:t>
      </w:r>
      <w:r>
        <w:rPr>
          <w:color w:val="231F20"/>
          <w:spacing w:val="-2"/>
        </w:rPr>
        <w:t> </w:t>
      </w:r>
      <w:r>
        <w:rPr>
          <w:color w:val="231F20"/>
        </w:rPr>
        <w:t>oil</w:t>
      </w:r>
      <w:r>
        <w:rPr>
          <w:color w:val="231F20"/>
          <w:spacing w:val="-2"/>
        </w:rPr>
        <w:t> </w:t>
      </w:r>
      <w:r>
        <w:rPr>
          <w:color w:val="231F20"/>
        </w:rPr>
        <w:t>and</w:t>
      </w:r>
      <w:r>
        <w:rPr>
          <w:color w:val="231F20"/>
          <w:spacing w:val="-1"/>
        </w:rPr>
        <w:t> </w:t>
      </w:r>
      <w:r>
        <w:rPr>
          <w:color w:val="231F20"/>
        </w:rPr>
        <w:t>gas. </w:t>
      </w:r>
      <w:r>
        <w:rPr>
          <w:color w:val="231F20"/>
          <w:spacing w:val="-2"/>
        </w:rPr>
        <w:t>The</w:t>
      </w:r>
      <w:r>
        <w:rPr>
          <w:color w:val="231F20"/>
          <w:spacing w:val="-11"/>
        </w:rPr>
        <w:t> </w:t>
      </w:r>
      <w:r>
        <w:rPr>
          <w:color w:val="231F20"/>
          <w:spacing w:val="-2"/>
        </w:rPr>
        <w:t>supplier,</w:t>
      </w:r>
      <w:r>
        <w:rPr>
          <w:color w:val="231F20"/>
          <w:spacing w:val="-11"/>
        </w:rPr>
        <w:t> </w:t>
      </w:r>
      <w:r>
        <w:rPr>
          <w:color w:val="231F20"/>
          <w:spacing w:val="-2"/>
        </w:rPr>
        <w:t>Schlumberger,</w:t>
      </w:r>
      <w:r>
        <w:rPr>
          <w:color w:val="231F20"/>
          <w:spacing w:val="-11"/>
        </w:rPr>
        <w:t> </w:t>
      </w:r>
      <w:r>
        <w:rPr>
          <w:color w:val="231F20"/>
          <w:spacing w:val="-2"/>
        </w:rPr>
        <w:t>notified</w:t>
      </w:r>
      <w:r>
        <w:rPr>
          <w:color w:val="231F20"/>
          <w:spacing w:val="-11"/>
        </w:rPr>
        <w:t> </w:t>
      </w:r>
      <w:r>
        <w:rPr>
          <w:color w:val="231F20"/>
          <w:spacing w:val="-2"/>
        </w:rPr>
        <w:t>that</w:t>
      </w:r>
      <w:r>
        <w:rPr>
          <w:color w:val="231F20"/>
          <w:spacing w:val="-11"/>
        </w:rPr>
        <w:t> </w:t>
      </w:r>
      <w:r>
        <w:rPr>
          <w:color w:val="231F20"/>
          <w:spacing w:val="-2"/>
        </w:rPr>
        <w:t>it </w:t>
      </w:r>
      <w:r>
        <w:rPr>
          <w:color w:val="231F20"/>
        </w:rPr>
        <w:t>could</w:t>
      </w:r>
      <w:r>
        <w:rPr>
          <w:color w:val="231F20"/>
          <w:spacing w:val="-3"/>
        </w:rPr>
        <w:t> </w:t>
      </w:r>
      <w:r>
        <w:rPr>
          <w:color w:val="231F20"/>
        </w:rPr>
        <w:t>no</w:t>
      </w:r>
      <w:r>
        <w:rPr>
          <w:color w:val="231F20"/>
          <w:spacing w:val="-3"/>
        </w:rPr>
        <w:t> </w:t>
      </w:r>
      <w:r>
        <w:rPr>
          <w:color w:val="231F20"/>
        </w:rPr>
        <w:t>longer</w:t>
      </w:r>
      <w:r>
        <w:rPr>
          <w:color w:val="231F20"/>
          <w:spacing w:val="-3"/>
        </w:rPr>
        <w:t> </w:t>
      </w:r>
      <w:r>
        <w:rPr>
          <w:color w:val="231F20"/>
        </w:rPr>
        <w:t>continue</w:t>
      </w:r>
      <w:r>
        <w:rPr>
          <w:color w:val="231F20"/>
          <w:spacing w:val="-3"/>
        </w:rPr>
        <w:t> </w:t>
      </w:r>
      <w:r>
        <w:rPr>
          <w:color w:val="231F20"/>
        </w:rPr>
        <w:t>supplying</w:t>
      </w:r>
      <w:r>
        <w:rPr>
          <w:color w:val="231F20"/>
          <w:spacing w:val="-3"/>
        </w:rPr>
        <w:t> </w:t>
      </w:r>
      <w:r>
        <w:rPr>
          <w:color w:val="231F20"/>
        </w:rPr>
        <w:t>these or the related components. The direct effect was problems across the board for this industry, in which the technology in question is installed.</w:t>
      </w:r>
    </w:p>
    <w:p>
      <w:pPr>
        <w:pStyle w:val="BodyText"/>
        <w:spacing w:before="170"/>
        <w:ind w:left="415" w:right="1480"/>
      </w:pPr>
      <w:r>
        <w:rPr>
          <w:color w:val="231F20"/>
          <w:spacing w:val="-12"/>
        </w:rPr>
        <w:t>The</w:t>
      </w:r>
      <w:r>
        <w:rPr>
          <w:color w:val="231F20"/>
          <w:spacing w:val="-5"/>
        </w:rPr>
        <w:t> </w:t>
      </w:r>
      <w:r>
        <w:rPr>
          <w:color w:val="231F20"/>
          <w:spacing w:val="-12"/>
        </w:rPr>
        <w:t>economic</w:t>
      </w:r>
      <w:r>
        <w:rPr>
          <w:color w:val="231F20"/>
          <w:spacing w:val="-4"/>
        </w:rPr>
        <w:t> </w:t>
      </w:r>
      <w:r>
        <w:rPr>
          <w:color w:val="231F20"/>
          <w:spacing w:val="-12"/>
        </w:rPr>
        <w:t>constraints</w:t>
      </w:r>
      <w:r>
        <w:rPr>
          <w:color w:val="231F20"/>
          <w:spacing w:val="-5"/>
        </w:rPr>
        <w:t> </w:t>
      </w:r>
      <w:r>
        <w:rPr>
          <w:color w:val="231F20"/>
          <w:spacing w:val="-12"/>
        </w:rPr>
        <w:t>have</w:t>
      </w:r>
      <w:r>
        <w:rPr>
          <w:color w:val="231F20"/>
          <w:spacing w:val="-4"/>
        </w:rPr>
        <w:t> </w:t>
      </w:r>
      <w:r>
        <w:rPr>
          <w:color w:val="231F20"/>
          <w:spacing w:val="-12"/>
        </w:rPr>
        <w:t>caused</w:t>
      </w:r>
      <w:r>
        <w:rPr>
          <w:color w:val="231F20"/>
          <w:spacing w:val="-5"/>
        </w:rPr>
        <w:t> </w:t>
      </w:r>
      <w:r>
        <w:rPr>
          <w:color w:val="231F20"/>
          <w:spacing w:val="-12"/>
        </w:rPr>
        <w:t>serious </w:t>
      </w:r>
      <w:r>
        <w:rPr>
          <w:color w:val="231F20"/>
        </w:rPr>
        <w:t>problems also in the private sector. The </w:t>
      </w:r>
      <w:r>
        <w:rPr>
          <w:color w:val="231F20"/>
          <w:spacing w:val="-8"/>
        </w:rPr>
        <w:t>blockade has severely limited the operations </w:t>
      </w:r>
      <w:r>
        <w:rPr>
          <w:color w:val="231F20"/>
          <w:spacing w:val="-2"/>
        </w:rPr>
        <w:t>of</w:t>
      </w:r>
      <w:r>
        <w:rPr>
          <w:color w:val="231F20"/>
          <w:spacing w:val="-9"/>
        </w:rPr>
        <w:t> </w:t>
      </w:r>
      <w:r>
        <w:rPr>
          <w:color w:val="231F20"/>
          <w:spacing w:val="-2"/>
        </w:rPr>
        <w:t>numerous</w:t>
      </w:r>
      <w:r>
        <w:rPr>
          <w:color w:val="231F20"/>
          <w:spacing w:val="-9"/>
        </w:rPr>
        <w:t> </w:t>
      </w:r>
      <w:r>
        <w:rPr>
          <w:color w:val="231F20"/>
          <w:spacing w:val="-2"/>
        </w:rPr>
        <w:t>private-sector</w:t>
      </w:r>
      <w:r>
        <w:rPr>
          <w:color w:val="231F20"/>
          <w:spacing w:val="-9"/>
        </w:rPr>
        <w:t> </w:t>
      </w:r>
      <w:r>
        <w:rPr>
          <w:color w:val="231F20"/>
          <w:spacing w:val="-2"/>
        </w:rPr>
        <w:t>entrepreneurs, </w:t>
      </w:r>
      <w:r>
        <w:rPr>
          <w:color w:val="231F20"/>
          <w:spacing w:val="-14"/>
        </w:rPr>
        <w:t>owners</w:t>
      </w:r>
      <w:r>
        <w:rPr>
          <w:color w:val="231F20"/>
          <w:spacing w:val="-3"/>
        </w:rPr>
        <w:t> </w:t>
      </w:r>
      <w:r>
        <w:rPr>
          <w:color w:val="231F20"/>
          <w:spacing w:val="-14"/>
        </w:rPr>
        <w:t>of</w:t>
      </w:r>
      <w:r>
        <w:rPr>
          <w:color w:val="231F20"/>
          <w:spacing w:val="-2"/>
        </w:rPr>
        <w:t> </w:t>
      </w:r>
      <w:r>
        <w:rPr>
          <w:color w:val="231F20"/>
          <w:spacing w:val="-14"/>
        </w:rPr>
        <w:t>companies</w:t>
      </w:r>
      <w:r>
        <w:rPr>
          <w:color w:val="231F20"/>
          <w:spacing w:val="-3"/>
        </w:rPr>
        <w:t> </w:t>
      </w:r>
      <w:r>
        <w:rPr>
          <w:color w:val="231F20"/>
          <w:spacing w:val="-14"/>
        </w:rPr>
        <w:t>and</w:t>
      </w:r>
      <w:r>
        <w:rPr>
          <w:color w:val="231F20"/>
          <w:spacing w:val="-2"/>
        </w:rPr>
        <w:t> </w:t>
      </w:r>
      <w:r>
        <w:rPr>
          <w:color w:val="231F20"/>
          <w:spacing w:val="-14"/>
        </w:rPr>
        <w:t>Cuban</w:t>
      </w:r>
      <w:r>
        <w:rPr>
          <w:color w:val="231F20"/>
          <w:spacing w:val="-3"/>
        </w:rPr>
        <w:t> </w:t>
      </w:r>
      <w:r>
        <w:rPr>
          <w:color w:val="231F20"/>
          <w:spacing w:val="-14"/>
        </w:rPr>
        <w:t>cooperatives. </w:t>
      </w:r>
      <w:r>
        <w:rPr>
          <w:color w:val="231F20"/>
        </w:rPr>
        <w:t>The restrictions on travel to Cuba by U.S. </w:t>
      </w:r>
      <w:r>
        <w:rPr>
          <w:color w:val="231F20"/>
          <w:spacing w:val="-2"/>
        </w:rPr>
        <w:t>citizens</w:t>
      </w:r>
      <w:r>
        <w:rPr>
          <w:color w:val="231F20"/>
          <w:spacing w:val="25"/>
        </w:rPr>
        <w:t> </w:t>
      </w:r>
      <w:r>
        <w:rPr>
          <w:color w:val="231F20"/>
          <w:spacing w:val="-2"/>
        </w:rPr>
        <w:t>have</w:t>
      </w:r>
      <w:r>
        <w:rPr>
          <w:color w:val="231F20"/>
          <w:spacing w:val="25"/>
        </w:rPr>
        <w:t> </w:t>
      </w:r>
      <w:r>
        <w:rPr>
          <w:color w:val="231F20"/>
          <w:spacing w:val="-2"/>
        </w:rPr>
        <w:t>continued</w:t>
      </w:r>
      <w:r>
        <w:rPr>
          <w:color w:val="231F20"/>
          <w:spacing w:val="25"/>
        </w:rPr>
        <w:t> </w:t>
      </w:r>
      <w:r>
        <w:rPr>
          <w:color w:val="231F20"/>
          <w:spacing w:val="-2"/>
        </w:rPr>
        <w:t>to</w:t>
      </w:r>
      <w:r>
        <w:rPr>
          <w:color w:val="231F20"/>
          <w:spacing w:val="25"/>
        </w:rPr>
        <w:t> </w:t>
      </w:r>
      <w:r>
        <w:rPr>
          <w:color w:val="231F20"/>
          <w:spacing w:val="-2"/>
        </w:rPr>
        <w:t>depress</w:t>
      </w:r>
      <w:r>
        <w:rPr>
          <w:color w:val="231F20"/>
          <w:spacing w:val="25"/>
        </w:rPr>
        <w:t> </w:t>
      </w:r>
      <w:r>
        <w:rPr>
          <w:color w:val="231F20"/>
          <w:spacing w:val="-9"/>
        </w:rPr>
        <w:t>tourist</w:t>
      </w:r>
    </w:p>
    <w:p>
      <w:pPr>
        <w:spacing w:after="0"/>
        <w:sectPr>
          <w:pgSz w:w="11910" w:h="16840"/>
          <w:pgMar w:header="0" w:footer="695" w:top="1260" w:bottom="880" w:left="0" w:right="0"/>
          <w:cols w:num="2" w:equalWidth="0">
            <w:col w:w="5555" w:space="40"/>
            <w:col w:w="6315"/>
          </w:cols>
        </w:sectPr>
      </w:pPr>
    </w:p>
    <w:p>
      <w:pPr>
        <w:pStyle w:val="BodyText"/>
        <w:spacing w:before="77"/>
        <w:ind w:left="1474" w:right="6"/>
      </w:pPr>
      <w:r>
        <w:rPr>
          <w:color w:val="231F20"/>
        </w:rPr>
        <w:t>numbers, with a significant reduction in </w:t>
      </w:r>
      <w:r>
        <w:rPr>
          <w:color w:val="231F20"/>
          <w:spacing w:val="-10"/>
        </w:rPr>
        <w:t>demand</w:t>
      </w:r>
      <w:r>
        <w:rPr>
          <w:color w:val="231F20"/>
          <w:spacing w:val="-6"/>
        </w:rPr>
        <w:t> </w:t>
      </w:r>
      <w:r>
        <w:rPr>
          <w:color w:val="231F20"/>
          <w:spacing w:val="-10"/>
        </w:rPr>
        <w:t>for</w:t>
      </w:r>
      <w:r>
        <w:rPr>
          <w:color w:val="231F20"/>
          <w:spacing w:val="-6"/>
        </w:rPr>
        <w:t> </w:t>
      </w:r>
      <w:r>
        <w:rPr>
          <w:color w:val="231F20"/>
          <w:spacing w:val="-10"/>
        </w:rPr>
        <w:t>goods</w:t>
      </w:r>
      <w:r>
        <w:rPr>
          <w:color w:val="231F20"/>
          <w:spacing w:val="-6"/>
        </w:rPr>
        <w:t> </w:t>
      </w:r>
      <w:r>
        <w:rPr>
          <w:color w:val="231F20"/>
          <w:spacing w:val="-10"/>
        </w:rPr>
        <w:t>and</w:t>
      </w:r>
      <w:r>
        <w:rPr>
          <w:color w:val="231F20"/>
          <w:spacing w:val="-6"/>
        </w:rPr>
        <w:t> </w:t>
      </w:r>
      <w:r>
        <w:rPr>
          <w:color w:val="231F20"/>
          <w:spacing w:val="-10"/>
        </w:rPr>
        <w:t>services</w:t>
      </w:r>
      <w:r>
        <w:rPr>
          <w:color w:val="231F20"/>
          <w:spacing w:val="-6"/>
        </w:rPr>
        <w:t> </w:t>
      </w:r>
      <w:r>
        <w:rPr>
          <w:color w:val="231F20"/>
          <w:spacing w:val="-10"/>
        </w:rPr>
        <w:t>in</w:t>
      </w:r>
      <w:r>
        <w:rPr>
          <w:color w:val="231F20"/>
          <w:spacing w:val="-6"/>
        </w:rPr>
        <w:t> </w:t>
      </w:r>
      <w:r>
        <w:rPr>
          <w:color w:val="231F20"/>
          <w:spacing w:val="-10"/>
        </w:rPr>
        <w:t>the</w:t>
      </w:r>
      <w:r>
        <w:rPr>
          <w:color w:val="231F20"/>
          <w:spacing w:val="-6"/>
        </w:rPr>
        <w:t> </w:t>
      </w:r>
      <w:r>
        <w:rPr>
          <w:color w:val="231F20"/>
          <w:spacing w:val="-10"/>
        </w:rPr>
        <w:t>private </w:t>
      </w:r>
      <w:r>
        <w:rPr>
          <w:color w:val="231F20"/>
        </w:rPr>
        <w:t>sector</w:t>
      </w:r>
      <w:r>
        <w:rPr>
          <w:color w:val="231F20"/>
          <w:spacing w:val="-20"/>
        </w:rPr>
        <w:t> </w:t>
      </w:r>
      <w:r>
        <w:rPr>
          <w:color w:val="231F20"/>
        </w:rPr>
        <w:t>over</w:t>
      </w:r>
      <w:r>
        <w:rPr>
          <w:color w:val="231F20"/>
          <w:spacing w:val="-20"/>
        </w:rPr>
        <w:t> </w:t>
      </w:r>
      <w:r>
        <w:rPr>
          <w:color w:val="231F20"/>
        </w:rPr>
        <w:t>recent</w:t>
      </w:r>
      <w:r>
        <w:rPr>
          <w:color w:val="231F20"/>
          <w:spacing w:val="-20"/>
        </w:rPr>
        <w:t> </w:t>
      </w:r>
      <w:r>
        <w:rPr>
          <w:color w:val="231F20"/>
        </w:rPr>
        <w:t>years.</w:t>
      </w:r>
    </w:p>
    <w:p>
      <w:pPr>
        <w:pStyle w:val="BodyText"/>
        <w:spacing w:before="162"/>
        <w:ind w:left="1474"/>
      </w:pPr>
      <w:r>
        <w:rPr>
          <w:color w:val="231F20"/>
          <w:spacing w:val="-2"/>
        </w:rPr>
        <w:t>Also,</w:t>
      </w:r>
      <w:r>
        <w:rPr>
          <w:color w:val="231F20"/>
          <w:spacing w:val="-8"/>
        </w:rPr>
        <w:t> </w:t>
      </w:r>
      <w:r>
        <w:rPr>
          <w:color w:val="231F20"/>
          <w:spacing w:val="-2"/>
        </w:rPr>
        <w:t>the</w:t>
      </w:r>
      <w:r>
        <w:rPr>
          <w:color w:val="231F20"/>
          <w:spacing w:val="-6"/>
        </w:rPr>
        <w:t> </w:t>
      </w:r>
      <w:r>
        <w:rPr>
          <w:color w:val="231F20"/>
          <w:spacing w:val="-2"/>
        </w:rPr>
        <w:t>inability</w:t>
      </w:r>
      <w:r>
        <w:rPr>
          <w:color w:val="231F20"/>
          <w:spacing w:val="-6"/>
        </w:rPr>
        <w:t> </w:t>
      </w:r>
      <w:r>
        <w:rPr>
          <w:color w:val="231F20"/>
          <w:spacing w:val="-2"/>
        </w:rPr>
        <w:t>to</w:t>
      </w:r>
      <w:r>
        <w:rPr>
          <w:color w:val="231F20"/>
          <w:spacing w:val="-6"/>
        </w:rPr>
        <w:t> </w:t>
      </w:r>
      <w:r>
        <w:rPr>
          <w:color w:val="231F20"/>
          <w:spacing w:val="-2"/>
        </w:rPr>
        <w:t>obtain</w:t>
      </w:r>
      <w:r>
        <w:rPr>
          <w:color w:val="231F20"/>
          <w:spacing w:val="-5"/>
        </w:rPr>
        <w:t> </w:t>
      </w:r>
      <w:r>
        <w:rPr>
          <w:color w:val="231F20"/>
          <w:spacing w:val="-2"/>
        </w:rPr>
        <w:t>non-immigrant</w:t>
      </w:r>
    </w:p>
    <w:p>
      <w:pPr>
        <w:pStyle w:val="BodyText"/>
        <w:spacing w:before="1"/>
        <w:ind w:left="1474"/>
      </w:pPr>
      <w:r>
        <w:rPr>
          <w:color w:val="231F20"/>
        </w:rPr>
        <w:t>U.S. visas in Havana has restricted the ability of Cuban businessmen to travel to </w:t>
      </w:r>
      <w:r>
        <w:rPr>
          <w:color w:val="231F20"/>
          <w:spacing w:val="-4"/>
        </w:rPr>
        <w:t>the</w:t>
      </w:r>
      <w:r>
        <w:rPr>
          <w:color w:val="231F20"/>
          <w:spacing w:val="-9"/>
        </w:rPr>
        <w:t> </w:t>
      </w:r>
      <w:r>
        <w:rPr>
          <w:color w:val="231F20"/>
          <w:spacing w:val="-4"/>
        </w:rPr>
        <w:t>United</w:t>
      </w:r>
      <w:r>
        <w:rPr>
          <w:color w:val="231F20"/>
          <w:spacing w:val="-9"/>
        </w:rPr>
        <w:t> </w:t>
      </w:r>
      <w:r>
        <w:rPr>
          <w:color w:val="231F20"/>
          <w:spacing w:val="-4"/>
        </w:rPr>
        <w:t>States</w:t>
      </w:r>
      <w:r>
        <w:rPr>
          <w:color w:val="231F20"/>
          <w:spacing w:val="-9"/>
        </w:rPr>
        <w:t> </w:t>
      </w:r>
      <w:r>
        <w:rPr>
          <w:color w:val="231F20"/>
          <w:spacing w:val="-4"/>
        </w:rPr>
        <w:t>and</w:t>
      </w:r>
      <w:r>
        <w:rPr>
          <w:color w:val="231F20"/>
          <w:spacing w:val="-9"/>
        </w:rPr>
        <w:t> </w:t>
      </w:r>
      <w:r>
        <w:rPr>
          <w:color w:val="231F20"/>
          <w:spacing w:val="-4"/>
        </w:rPr>
        <w:t>buy</w:t>
      </w:r>
      <w:r>
        <w:rPr>
          <w:color w:val="231F20"/>
          <w:spacing w:val="-9"/>
        </w:rPr>
        <w:t> </w:t>
      </w:r>
      <w:r>
        <w:rPr>
          <w:color w:val="231F20"/>
          <w:spacing w:val="-4"/>
        </w:rPr>
        <w:t>supplies</w:t>
      </w:r>
      <w:r>
        <w:rPr>
          <w:color w:val="231F20"/>
          <w:spacing w:val="-9"/>
        </w:rPr>
        <w:t> </w:t>
      </w:r>
      <w:r>
        <w:rPr>
          <w:color w:val="231F20"/>
          <w:spacing w:val="-4"/>
        </w:rPr>
        <w:t>for</w:t>
      </w:r>
      <w:r>
        <w:rPr>
          <w:color w:val="231F20"/>
          <w:spacing w:val="-9"/>
        </w:rPr>
        <w:t> </w:t>
      </w:r>
      <w:r>
        <w:rPr>
          <w:color w:val="231F20"/>
          <w:spacing w:val="-4"/>
        </w:rPr>
        <w:t>their </w:t>
      </w:r>
      <w:r>
        <w:rPr>
          <w:color w:val="231F20"/>
        </w:rPr>
        <w:t>operations directly in that market.</w:t>
      </w:r>
    </w:p>
    <w:p>
      <w:pPr>
        <w:pStyle w:val="BodyText"/>
        <w:spacing w:before="163"/>
        <w:ind w:left="1474"/>
      </w:pPr>
      <w:r>
        <w:rPr>
          <w:color w:val="231F20"/>
        </w:rPr>
        <w:t>The ban on cruise ships from entering Cuban ports has adversely affected trade for</w:t>
      </w:r>
      <w:r>
        <w:rPr>
          <w:color w:val="231F20"/>
          <w:spacing w:val="-12"/>
        </w:rPr>
        <w:t> </w:t>
      </w:r>
      <w:r>
        <w:rPr>
          <w:color w:val="231F20"/>
        </w:rPr>
        <w:t>a</w:t>
      </w:r>
      <w:r>
        <w:rPr>
          <w:color w:val="231F20"/>
          <w:spacing w:val="-12"/>
        </w:rPr>
        <w:t> </w:t>
      </w:r>
      <w:r>
        <w:rPr>
          <w:color w:val="231F20"/>
        </w:rPr>
        <w:t>number</w:t>
      </w:r>
      <w:r>
        <w:rPr>
          <w:color w:val="231F20"/>
          <w:spacing w:val="-12"/>
        </w:rPr>
        <w:t> </w:t>
      </w:r>
      <w:r>
        <w:rPr>
          <w:color w:val="231F20"/>
        </w:rPr>
        <w:t>of</w:t>
      </w:r>
      <w:r>
        <w:rPr>
          <w:color w:val="231F20"/>
          <w:spacing w:val="-13"/>
        </w:rPr>
        <w:t> </w:t>
      </w:r>
      <w:r>
        <w:rPr>
          <w:color w:val="231F20"/>
        </w:rPr>
        <w:t>private-sector</w:t>
      </w:r>
      <w:r>
        <w:rPr>
          <w:color w:val="231F20"/>
          <w:spacing w:val="-12"/>
        </w:rPr>
        <w:t> </w:t>
      </w:r>
      <w:r>
        <w:rPr>
          <w:color w:val="231F20"/>
        </w:rPr>
        <w:t>businesses, restaurants, shops selling Cuban crafts, stalls with national literature, car rental services and taxis, mainly located in Havana’s historic center.</w:t>
      </w:r>
    </w:p>
    <w:p>
      <w:pPr>
        <w:pStyle w:val="BodyText"/>
        <w:spacing w:before="165"/>
        <w:ind w:left="1474"/>
      </w:pPr>
      <w:r>
        <w:rPr>
          <w:color w:val="231F20"/>
          <w:spacing w:val="-2"/>
        </w:rPr>
        <w:t>Cuban</w:t>
      </w:r>
      <w:r>
        <w:rPr>
          <w:color w:val="231F20"/>
          <w:spacing w:val="-15"/>
        </w:rPr>
        <w:t> </w:t>
      </w:r>
      <w:r>
        <w:rPr>
          <w:color w:val="231F20"/>
          <w:spacing w:val="-2"/>
        </w:rPr>
        <w:t>businessmen</w:t>
      </w:r>
      <w:r>
        <w:rPr>
          <w:color w:val="231F20"/>
          <w:spacing w:val="-14"/>
        </w:rPr>
        <w:t> </w:t>
      </w:r>
      <w:r>
        <w:rPr>
          <w:color w:val="231F20"/>
          <w:spacing w:val="-2"/>
        </w:rPr>
        <w:t>have</w:t>
      </w:r>
      <w:r>
        <w:rPr>
          <w:color w:val="231F20"/>
          <w:spacing w:val="-15"/>
        </w:rPr>
        <w:t> </w:t>
      </w:r>
      <w:r>
        <w:rPr>
          <w:color w:val="231F20"/>
          <w:spacing w:val="-2"/>
        </w:rPr>
        <w:t>also</w:t>
      </w:r>
      <w:r>
        <w:rPr>
          <w:color w:val="231F20"/>
          <w:spacing w:val="-14"/>
        </w:rPr>
        <w:t> </w:t>
      </w:r>
      <w:r>
        <w:rPr>
          <w:color w:val="231F20"/>
          <w:spacing w:val="-2"/>
        </w:rPr>
        <w:t>seen</w:t>
      </w:r>
      <w:r>
        <w:rPr>
          <w:color w:val="231F20"/>
          <w:spacing w:val="-15"/>
        </w:rPr>
        <w:t> </w:t>
      </w:r>
      <w:r>
        <w:rPr>
          <w:color w:val="231F20"/>
          <w:spacing w:val="-2"/>
        </w:rPr>
        <w:t>closure </w:t>
      </w:r>
      <w:r>
        <w:rPr>
          <w:color w:val="231F20"/>
        </w:rPr>
        <w:t>of their U.S. bank accounts, making their financial transactions more difficult and expensive. The coercive measures aimed at financial institutions in recent years </w:t>
      </w:r>
      <w:r>
        <w:rPr>
          <w:color w:val="231F20"/>
          <w:spacing w:val="-2"/>
        </w:rPr>
        <w:t>have</w:t>
      </w:r>
      <w:r>
        <w:rPr>
          <w:color w:val="231F20"/>
          <w:spacing w:val="-14"/>
        </w:rPr>
        <w:t> </w:t>
      </w:r>
      <w:r>
        <w:rPr>
          <w:color w:val="231F20"/>
          <w:spacing w:val="-2"/>
        </w:rPr>
        <w:t>resulted</w:t>
      </w:r>
      <w:r>
        <w:rPr>
          <w:color w:val="231F20"/>
          <w:spacing w:val="-14"/>
        </w:rPr>
        <w:t> </w:t>
      </w:r>
      <w:r>
        <w:rPr>
          <w:color w:val="231F20"/>
          <w:spacing w:val="-2"/>
        </w:rPr>
        <w:t>in</w:t>
      </w:r>
      <w:r>
        <w:rPr>
          <w:color w:val="231F20"/>
          <w:spacing w:val="-14"/>
        </w:rPr>
        <w:t> </w:t>
      </w:r>
      <w:r>
        <w:rPr>
          <w:color w:val="231F20"/>
          <w:spacing w:val="-2"/>
        </w:rPr>
        <w:t>refusal</w:t>
      </w:r>
      <w:r>
        <w:rPr>
          <w:color w:val="231F20"/>
          <w:spacing w:val="-14"/>
        </w:rPr>
        <w:t> </w:t>
      </w:r>
      <w:r>
        <w:rPr>
          <w:color w:val="231F20"/>
          <w:spacing w:val="-2"/>
        </w:rPr>
        <w:t>of</w:t>
      </w:r>
      <w:r>
        <w:rPr>
          <w:color w:val="231F20"/>
          <w:spacing w:val="-14"/>
        </w:rPr>
        <w:t> </w:t>
      </w:r>
      <w:r>
        <w:rPr>
          <w:color w:val="231F20"/>
          <w:spacing w:val="-2"/>
        </w:rPr>
        <w:t>service</w:t>
      </w:r>
      <w:r>
        <w:rPr>
          <w:color w:val="231F20"/>
          <w:spacing w:val="-14"/>
        </w:rPr>
        <w:t> </w:t>
      </w:r>
      <w:r>
        <w:rPr>
          <w:color w:val="231F20"/>
          <w:spacing w:val="-2"/>
        </w:rPr>
        <w:t>to</w:t>
      </w:r>
      <w:r>
        <w:rPr>
          <w:color w:val="231F20"/>
          <w:spacing w:val="-14"/>
        </w:rPr>
        <w:t> </w:t>
      </w:r>
      <w:r>
        <w:rPr>
          <w:color w:val="231F20"/>
          <w:spacing w:val="-2"/>
        </w:rPr>
        <w:t>Cuban </w:t>
      </w:r>
      <w:r>
        <w:rPr>
          <w:color w:val="231F20"/>
        </w:rPr>
        <w:t>customers by PayPal, Airbnb and several other payment platforms.</w:t>
      </w:r>
    </w:p>
    <w:p>
      <w:pPr>
        <w:pStyle w:val="BodyText"/>
        <w:spacing w:before="15"/>
        <w:jc w:val="left"/>
      </w:pPr>
    </w:p>
    <w:p>
      <w:pPr>
        <w:pStyle w:val="Heading2"/>
        <w:ind w:left="1474" w:right="1541"/>
      </w:pPr>
      <w:r>
        <w:rPr>
          <w:color w:val="1F4282"/>
          <w:w w:val="115"/>
        </w:rPr>
        <w:t>Unquantifiable</w:t>
      </w:r>
      <w:r>
        <w:rPr>
          <w:color w:val="1F4282"/>
          <w:spacing w:val="-22"/>
          <w:w w:val="115"/>
        </w:rPr>
        <w:t> </w:t>
      </w:r>
      <w:r>
        <w:rPr>
          <w:color w:val="1F4282"/>
          <w:w w:val="115"/>
        </w:rPr>
        <w:t>harm to human beings</w:t>
      </w:r>
    </w:p>
    <w:p>
      <w:pPr>
        <w:pStyle w:val="BodyText"/>
        <w:spacing w:before="159"/>
        <w:ind w:left="1474" w:right="1"/>
      </w:pPr>
      <w:r>
        <w:rPr>
          <w:color w:val="231F20"/>
        </w:rPr>
        <w:t>The</w:t>
      </w:r>
      <w:r>
        <w:rPr>
          <w:color w:val="231F20"/>
          <w:spacing w:val="-9"/>
        </w:rPr>
        <w:t> </w:t>
      </w:r>
      <w:r>
        <w:rPr>
          <w:color w:val="231F20"/>
        </w:rPr>
        <w:t>serious</w:t>
      </w:r>
      <w:r>
        <w:rPr>
          <w:color w:val="231F20"/>
          <w:spacing w:val="-9"/>
        </w:rPr>
        <w:t> </w:t>
      </w:r>
      <w:r>
        <w:rPr>
          <w:color w:val="231F20"/>
        </w:rPr>
        <w:t>repercussions</w:t>
      </w:r>
      <w:r>
        <w:rPr>
          <w:color w:val="231F20"/>
          <w:spacing w:val="-9"/>
        </w:rPr>
        <w:t> </w:t>
      </w:r>
      <w:r>
        <w:rPr>
          <w:color w:val="231F20"/>
        </w:rPr>
        <w:t>of</w:t>
      </w:r>
      <w:r>
        <w:rPr>
          <w:color w:val="231F20"/>
          <w:spacing w:val="-9"/>
        </w:rPr>
        <w:t> </w:t>
      </w:r>
      <w:r>
        <w:rPr>
          <w:color w:val="231F20"/>
        </w:rPr>
        <w:t>the</w:t>
      </w:r>
      <w:r>
        <w:rPr>
          <w:color w:val="231F20"/>
          <w:spacing w:val="-9"/>
        </w:rPr>
        <w:t> </w:t>
      </w:r>
      <w:r>
        <w:rPr>
          <w:color w:val="231F20"/>
        </w:rPr>
        <w:t>blockade have a human dimension, which is unquantifiable but is real and significant</w:t>
      </w:r>
    </w:p>
    <w:p>
      <w:pPr>
        <w:pStyle w:val="BodyText"/>
        <w:spacing w:before="162"/>
        <w:ind w:left="1474"/>
      </w:pPr>
      <w:r>
        <w:rPr>
          <w:color w:val="231F20"/>
        </w:rPr>
        <w:t>From the outset, this policy has targeted this</w:t>
      </w:r>
      <w:r>
        <w:rPr>
          <w:color w:val="231F20"/>
          <w:spacing w:val="-17"/>
        </w:rPr>
        <w:t> </w:t>
      </w:r>
      <w:r>
        <w:rPr>
          <w:color w:val="231F20"/>
        </w:rPr>
        <w:t>dimension</w:t>
      </w:r>
      <w:r>
        <w:rPr>
          <w:color w:val="231F20"/>
          <w:spacing w:val="-16"/>
        </w:rPr>
        <w:t> </w:t>
      </w:r>
      <w:r>
        <w:rPr>
          <w:color w:val="231F20"/>
        </w:rPr>
        <w:t>which,</w:t>
      </w:r>
      <w:r>
        <w:rPr>
          <w:color w:val="231F20"/>
          <w:spacing w:val="-17"/>
        </w:rPr>
        <w:t> </w:t>
      </w:r>
      <w:r>
        <w:rPr>
          <w:color w:val="231F20"/>
        </w:rPr>
        <w:t>being</w:t>
      </w:r>
      <w:r>
        <w:rPr>
          <w:color w:val="231F20"/>
          <w:spacing w:val="-16"/>
        </w:rPr>
        <w:t> </w:t>
      </w:r>
      <w:r>
        <w:rPr>
          <w:color w:val="231F20"/>
        </w:rPr>
        <w:t>both</w:t>
      </w:r>
      <w:r>
        <w:rPr>
          <w:color w:val="231F20"/>
          <w:spacing w:val="-17"/>
        </w:rPr>
        <w:t> </w:t>
      </w:r>
      <w:r>
        <w:rPr>
          <w:color w:val="231F20"/>
        </w:rPr>
        <w:t>sensitive and</w:t>
      </w:r>
      <w:r>
        <w:rPr>
          <w:color w:val="231F20"/>
          <w:spacing w:val="-5"/>
        </w:rPr>
        <w:t> </w:t>
      </w:r>
      <w:r>
        <w:rPr>
          <w:color w:val="231F20"/>
        </w:rPr>
        <w:t>all-present,</w:t>
      </w:r>
      <w:r>
        <w:rPr>
          <w:color w:val="231F20"/>
          <w:spacing w:val="-5"/>
        </w:rPr>
        <w:t> </w:t>
      </w:r>
      <w:r>
        <w:rPr>
          <w:color w:val="231F20"/>
        </w:rPr>
        <w:t>has</w:t>
      </w:r>
      <w:r>
        <w:rPr>
          <w:color w:val="231F20"/>
          <w:spacing w:val="-5"/>
        </w:rPr>
        <w:t> </w:t>
      </w:r>
      <w:r>
        <w:rPr>
          <w:color w:val="231F20"/>
        </w:rPr>
        <w:t>implications</w:t>
      </w:r>
      <w:r>
        <w:rPr>
          <w:color w:val="231F20"/>
          <w:spacing w:val="-5"/>
        </w:rPr>
        <w:t> </w:t>
      </w:r>
      <w:r>
        <w:rPr>
          <w:color w:val="231F20"/>
        </w:rPr>
        <w:t>for</w:t>
      </w:r>
      <w:r>
        <w:rPr>
          <w:color w:val="231F20"/>
          <w:spacing w:val="-5"/>
        </w:rPr>
        <w:t> </w:t>
      </w:r>
      <w:r>
        <w:rPr>
          <w:color w:val="231F20"/>
        </w:rPr>
        <w:t>every </w:t>
      </w:r>
      <w:r>
        <w:rPr>
          <w:color w:val="231F20"/>
          <w:spacing w:val="-2"/>
        </w:rPr>
        <w:t>sphere</w:t>
      </w:r>
      <w:r>
        <w:rPr>
          <w:color w:val="231F20"/>
          <w:spacing w:val="-15"/>
        </w:rPr>
        <w:t> </w:t>
      </w:r>
      <w:r>
        <w:rPr>
          <w:color w:val="231F20"/>
          <w:spacing w:val="-2"/>
        </w:rPr>
        <w:t>of</w:t>
      </w:r>
      <w:r>
        <w:rPr>
          <w:color w:val="231F20"/>
          <w:spacing w:val="-14"/>
        </w:rPr>
        <w:t> </w:t>
      </w:r>
      <w:r>
        <w:rPr>
          <w:color w:val="231F20"/>
          <w:spacing w:val="-2"/>
        </w:rPr>
        <w:t>the</w:t>
      </w:r>
      <w:r>
        <w:rPr>
          <w:color w:val="231F20"/>
          <w:spacing w:val="-15"/>
        </w:rPr>
        <w:t> </w:t>
      </w:r>
      <w:r>
        <w:rPr>
          <w:color w:val="231F20"/>
          <w:spacing w:val="-2"/>
        </w:rPr>
        <w:t>country’s</w:t>
      </w:r>
      <w:r>
        <w:rPr>
          <w:color w:val="231F20"/>
          <w:spacing w:val="-14"/>
        </w:rPr>
        <w:t> </w:t>
      </w:r>
      <w:r>
        <w:rPr>
          <w:color w:val="231F20"/>
          <w:spacing w:val="-2"/>
        </w:rPr>
        <w:t>socioeconomic</w:t>
      </w:r>
      <w:r>
        <w:rPr>
          <w:color w:val="231F20"/>
          <w:spacing w:val="-15"/>
        </w:rPr>
        <w:t> </w:t>
      </w:r>
      <w:r>
        <w:rPr>
          <w:color w:val="231F20"/>
          <w:spacing w:val="-2"/>
        </w:rPr>
        <w:t>and </w:t>
      </w:r>
      <w:r>
        <w:rPr>
          <w:color w:val="231F20"/>
        </w:rPr>
        <w:t>political life.</w:t>
      </w:r>
    </w:p>
    <w:p>
      <w:pPr>
        <w:pStyle w:val="BodyText"/>
        <w:spacing w:before="164"/>
        <w:ind w:left="1474" w:right="1"/>
      </w:pPr>
      <w:r>
        <w:rPr>
          <w:color w:val="231F20"/>
        </w:rPr>
        <w:t>This is demonstrated by the infamous </w:t>
      </w:r>
      <w:r>
        <w:rPr>
          <w:color w:val="231F20"/>
          <w:spacing w:val="-6"/>
        </w:rPr>
        <w:t>memorandum</w:t>
      </w:r>
      <w:r>
        <w:rPr>
          <w:color w:val="231F20"/>
          <w:spacing w:val="-8"/>
        </w:rPr>
        <w:t> </w:t>
      </w:r>
      <w:r>
        <w:rPr>
          <w:color w:val="231F20"/>
          <w:spacing w:val="-6"/>
        </w:rPr>
        <w:t>by</w:t>
      </w:r>
      <w:r>
        <w:rPr>
          <w:color w:val="231F20"/>
          <w:spacing w:val="-7"/>
        </w:rPr>
        <w:t> </w:t>
      </w:r>
      <w:r>
        <w:rPr>
          <w:color w:val="231F20"/>
          <w:spacing w:val="-6"/>
        </w:rPr>
        <w:t>the</w:t>
      </w:r>
      <w:r>
        <w:rPr>
          <w:color w:val="231F20"/>
          <w:spacing w:val="-7"/>
        </w:rPr>
        <w:t> </w:t>
      </w:r>
      <w:r>
        <w:rPr>
          <w:color w:val="231F20"/>
          <w:spacing w:val="-6"/>
        </w:rPr>
        <w:t>then</w:t>
      </w:r>
      <w:r>
        <w:rPr>
          <w:color w:val="231F20"/>
          <w:spacing w:val="-7"/>
        </w:rPr>
        <w:t> </w:t>
      </w:r>
      <w:r>
        <w:rPr>
          <w:color w:val="231F20"/>
          <w:spacing w:val="-6"/>
        </w:rPr>
        <w:t>Deputy</w:t>
      </w:r>
      <w:r>
        <w:rPr>
          <w:color w:val="231F20"/>
          <w:spacing w:val="-7"/>
        </w:rPr>
        <w:t> </w:t>
      </w:r>
      <w:r>
        <w:rPr>
          <w:color w:val="231F20"/>
          <w:spacing w:val="-6"/>
        </w:rPr>
        <w:t>Assistant </w:t>
      </w:r>
      <w:r>
        <w:rPr>
          <w:color w:val="231F20"/>
        </w:rPr>
        <w:t>Secretary of State for Inter-American Affairs</w:t>
      </w:r>
      <w:r>
        <w:rPr>
          <w:color w:val="231F20"/>
          <w:spacing w:val="-17"/>
        </w:rPr>
        <w:t> </w:t>
      </w:r>
      <w:r>
        <w:rPr>
          <w:color w:val="231F20"/>
        </w:rPr>
        <w:t>at</w:t>
      </w:r>
      <w:r>
        <w:rPr>
          <w:color w:val="231F20"/>
          <w:spacing w:val="-16"/>
        </w:rPr>
        <w:t> </w:t>
      </w:r>
      <w:r>
        <w:rPr>
          <w:color w:val="231F20"/>
        </w:rPr>
        <w:t>the</w:t>
      </w:r>
      <w:r>
        <w:rPr>
          <w:color w:val="231F20"/>
          <w:spacing w:val="-17"/>
        </w:rPr>
        <w:t> </w:t>
      </w:r>
      <w:r>
        <w:rPr>
          <w:color w:val="231F20"/>
        </w:rPr>
        <w:t>U.S.</w:t>
      </w:r>
      <w:r>
        <w:rPr>
          <w:color w:val="231F20"/>
          <w:spacing w:val="-16"/>
        </w:rPr>
        <w:t> </w:t>
      </w:r>
      <w:r>
        <w:rPr>
          <w:color w:val="231F20"/>
        </w:rPr>
        <w:t>State</w:t>
      </w:r>
      <w:r>
        <w:rPr>
          <w:color w:val="231F20"/>
          <w:spacing w:val="-17"/>
        </w:rPr>
        <w:t> </w:t>
      </w:r>
      <w:r>
        <w:rPr>
          <w:color w:val="231F20"/>
        </w:rPr>
        <w:t>Department,</w:t>
      </w:r>
      <w:r>
        <w:rPr>
          <w:color w:val="231F20"/>
          <w:spacing w:val="-16"/>
        </w:rPr>
        <w:t> </w:t>
      </w:r>
      <w:r>
        <w:rPr>
          <w:color w:val="231F20"/>
        </w:rPr>
        <w:t>Lester Mallory,</w:t>
      </w:r>
      <w:r>
        <w:rPr>
          <w:color w:val="231F20"/>
          <w:spacing w:val="-2"/>
        </w:rPr>
        <w:t> </w:t>
      </w:r>
      <w:r>
        <w:rPr>
          <w:color w:val="231F20"/>
        </w:rPr>
        <w:t>who</w:t>
      </w:r>
      <w:r>
        <w:rPr>
          <w:color w:val="231F20"/>
          <w:spacing w:val="-2"/>
        </w:rPr>
        <w:t> </w:t>
      </w:r>
      <w:r>
        <w:rPr>
          <w:color w:val="231F20"/>
        </w:rPr>
        <w:t>wrote</w:t>
      </w:r>
      <w:r>
        <w:rPr>
          <w:color w:val="231F20"/>
          <w:spacing w:val="-2"/>
        </w:rPr>
        <w:t> </w:t>
      </w:r>
      <w:r>
        <w:rPr>
          <w:color w:val="231F20"/>
        </w:rPr>
        <w:t>the</w:t>
      </w:r>
      <w:r>
        <w:rPr>
          <w:color w:val="231F20"/>
          <w:spacing w:val="-2"/>
        </w:rPr>
        <w:t> </w:t>
      </w:r>
      <w:r>
        <w:rPr>
          <w:color w:val="231F20"/>
        </w:rPr>
        <w:t>following</w:t>
      </w:r>
      <w:r>
        <w:rPr>
          <w:color w:val="231F20"/>
          <w:spacing w:val="-2"/>
        </w:rPr>
        <w:t> </w:t>
      </w:r>
      <w:r>
        <w:rPr>
          <w:color w:val="231F20"/>
        </w:rPr>
        <w:t>on</w:t>
      </w:r>
      <w:r>
        <w:rPr>
          <w:color w:val="231F20"/>
          <w:spacing w:val="-2"/>
        </w:rPr>
        <w:t> </w:t>
      </w:r>
      <w:r>
        <w:rPr>
          <w:color w:val="231F20"/>
        </w:rPr>
        <w:t>April </w:t>
      </w:r>
      <w:r>
        <w:rPr>
          <w:color w:val="231F20"/>
          <w:spacing w:val="-2"/>
        </w:rPr>
        <w:t>6,</w:t>
      </w:r>
      <w:r>
        <w:rPr>
          <w:color w:val="231F20"/>
          <w:spacing w:val="-15"/>
        </w:rPr>
        <w:t> </w:t>
      </w:r>
      <w:r>
        <w:rPr>
          <w:color w:val="231F20"/>
          <w:spacing w:val="-2"/>
        </w:rPr>
        <w:t>1960,</w:t>
      </w:r>
      <w:r>
        <w:rPr>
          <w:color w:val="231F20"/>
          <w:spacing w:val="-14"/>
        </w:rPr>
        <w:t> </w:t>
      </w:r>
      <w:r>
        <w:rPr>
          <w:color w:val="231F20"/>
          <w:spacing w:val="-2"/>
        </w:rPr>
        <w:t>describing</w:t>
      </w:r>
      <w:r>
        <w:rPr>
          <w:color w:val="231F20"/>
          <w:spacing w:val="-15"/>
        </w:rPr>
        <w:t> </w:t>
      </w:r>
      <w:r>
        <w:rPr>
          <w:color w:val="231F20"/>
          <w:spacing w:val="-2"/>
        </w:rPr>
        <w:t>the</w:t>
      </w:r>
      <w:r>
        <w:rPr>
          <w:color w:val="231F20"/>
          <w:spacing w:val="-14"/>
        </w:rPr>
        <w:t> </w:t>
      </w:r>
      <w:r>
        <w:rPr>
          <w:color w:val="231F20"/>
          <w:spacing w:val="-2"/>
        </w:rPr>
        <w:t>aim</w:t>
      </w:r>
      <w:r>
        <w:rPr>
          <w:color w:val="231F20"/>
          <w:spacing w:val="-15"/>
        </w:rPr>
        <w:t> </w:t>
      </w:r>
      <w:r>
        <w:rPr>
          <w:color w:val="231F20"/>
          <w:spacing w:val="-2"/>
        </w:rPr>
        <w:t>of</w:t>
      </w:r>
      <w:r>
        <w:rPr>
          <w:color w:val="231F20"/>
          <w:spacing w:val="-14"/>
        </w:rPr>
        <w:t> </w:t>
      </w:r>
      <w:r>
        <w:rPr>
          <w:color w:val="231F20"/>
          <w:spacing w:val="-2"/>
        </w:rPr>
        <w:t>the</w:t>
      </w:r>
      <w:r>
        <w:rPr>
          <w:color w:val="231F20"/>
          <w:spacing w:val="-15"/>
        </w:rPr>
        <w:t> </w:t>
      </w:r>
      <w:r>
        <w:rPr>
          <w:color w:val="231F20"/>
          <w:spacing w:val="-2"/>
        </w:rPr>
        <w:t>blockade </w:t>
      </w:r>
      <w:r>
        <w:rPr>
          <w:color w:val="231F20"/>
        </w:rPr>
        <w:t>on Cuba:</w:t>
      </w:r>
    </w:p>
    <w:p>
      <w:pPr>
        <w:spacing w:line="240" w:lineRule="auto"/>
        <w:ind w:left="413" w:right="0" w:firstLine="0"/>
        <w:rPr>
          <w:sz w:val="20"/>
        </w:rPr>
      </w:pPr>
      <w:r>
        <w:rPr/>
        <w:br w:type="column"/>
      </w:r>
      <w:r>
        <w:rPr>
          <w:sz w:val="20"/>
        </w:rPr>
        <mc:AlternateContent>
          <mc:Choice Requires="wps">
            <w:drawing>
              <wp:inline distT="0" distB="0" distL="0" distR="0">
                <wp:extent cx="2808605" cy="3556000"/>
                <wp:effectExtent l="0" t="0" r="0" b="0"/>
                <wp:docPr id="260" name="Textbox 260"/>
                <wp:cNvGraphicFramePr>
                  <a:graphicFrameLocks/>
                </wp:cNvGraphicFramePr>
                <a:graphic>
                  <a:graphicData uri="http://schemas.microsoft.com/office/word/2010/wordprocessingShape">
                    <wps:wsp>
                      <wps:cNvPr id="260" name="Textbox 260"/>
                      <wps:cNvSpPr txBox="1"/>
                      <wps:spPr>
                        <a:xfrm>
                          <a:off x="0" y="0"/>
                          <a:ext cx="2808605" cy="3556000"/>
                        </a:xfrm>
                        <a:prstGeom prst="rect">
                          <a:avLst/>
                        </a:prstGeom>
                        <a:solidFill>
                          <a:srgbClr val="1A4796"/>
                        </a:solidFill>
                      </wps:spPr>
                      <wps:txbx>
                        <w:txbxContent>
                          <w:p>
                            <w:pPr>
                              <w:pStyle w:val="BodyText"/>
                              <w:spacing w:before="60"/>
                              <w:jc w:val="left"/>
                              <w:rPr>
                                <w:color w:val="000000"/>
                              </w:rPr>
                            </w:pPr>
                          </w:p>
                          <w:p>
                            <w:pPr>
                              <w:spacing w:before="0"/>
                              <w:ind w:left="269" w:right="259" w:firstLine="165"/>
                              <w:jc w:val="both"/>
                              <w:rPr>
                                <w:rFonts w:ascii="Segoe UI Semibold" w:hAnsi="Segoe UI Semibold"/>
                                <w:b/>
                                <w:i/>
                                <w:color w:val="000000"/>
                                <w:sz w:val="24"/>
                              </w:rPr>
                            </w:pPr>
                            <w:r>
                              <w:rPr>
                                <w:rFonts w:ascii="Segoe UI Semibold" w:hAnsi="Segoe UI Semibold"/>
                                <w:b/>
                                <w:i/>
                                <w:color w:val="FFFFFF"/>
                                <w:sz w:val="24"/>
                              </w:rPr>
                              <w:t>“The majority of Cubans support</w:t>
                            </w:r>
                            <w:r>
                              <w:rPr>
                                <w:rFonts w:ascii="Segoe UI Semibold" w:hAnsi="Segoe UI Semibold"/>
                                <w:b/>
                                <w:i/>
                                <w:color w:val="FFFFFF"/>
                                <w:sz w:val="24"/>
                              </w:rPr>
                              <w:t> </w:t>
                            </w:r>
                            <w:r>
                              <w:rPr>
                                <w:rFonts w:ascii="Segoe UI Semibold" w:hAnsi="Segoe UI Semibold"/>
                                <w:b/>
                                <w:i/>
                                <w:color w:val="FFFFFF"/>
                                <w:spacing w:val="-10"/>
                                <w:sz w:val="24"/>
                              </w:rPr>
                              <w:t>Castro…</w:t>
                            </w:r>
                            <w:r>
                              <w:rPr>
                                <w:rFonts w:ascii="Segoe UI Semibold" w:hAnsi="Segoe UI Semibold"/>
                                <w:b/>
                                <w:i/>
                                <w:color w:val="FFFFFF"/>
                                <w:spacing w:val="-7"/>
                                <w:sz w:val="24"/>
                              </w:rPr>
                              <w:t> </w:t>
                            </w:r>
                            <w:r>
                              <w:rPr>
                                <w:rFonts w:ascii="Segoe UI Semibold" w:hAnsi="Segoe UI Semibold"/>
                                <w:b/>
                                <w:i/>
                                <w:color w:val="FFFFFF"/>
                                <w:spacing w:val="-10"/>
                                <w:sz w:val="24"/>
                              </w:rPr>
                              <w:t>The</w:t>
                            </w:r>
                            <w:r>
                              <w:rPr>
                                <w:rFonts w:ascii="Segoe UI Semibold" w:hAnsi="Segoe UI Semibold"/>
                                <w:b/>
                                <w:i/>
                                <w:color w:val="FFFFFF"/>
                                <w:spacing w:val="-6"/>
                                <w:sz w:val="24"/>
                              </w:rPr>
                              <w:t> </w:t>
                            </w:r>
                            <w:r>
                              <w:rPr>
                                <w:rFonts w:ascii="Segoe UI Semibold" w:hAnsi="Segoe UI Semibold"/>
                                <w:b/>
                                <w:i/>
                                <w:color w:val="FFFFFF"/>
                                <w:spacing w:val="-10"/>
                                <w:sz w:val="24"/>
                              </w:rPr>
                              <w:t>only</w:t>
                            </w:r>
                            <w:r>
                              <w:rPr>
                                <w:rFonts w:ascii="Segoe UI Semibold" w:hAnsi="Segoe UI Semibold"/>
                                <w:b/>
                                <w:i/>
                                <w:color w:val="FFFFFF"/>
                                <w:spacing w:val="-7"/>
                                <w:sz w:val="24"/>
                              </w:rPr>
                              <w:t> </w:t>
                            </w:r>
                            <w:r>
                              <w:rPr>
                                <w:rFonts w:ascii="Segoe UI Semibold" w:hAnsi="Segoe UI Semibold"/>
                                <w:b/>
                                <w:i/>
                                <w:color w:val="FFFFFF"/>
                                <w:spacing w:val="-10"/>
                                <w:sz w:val="24"/>
                              </w:rPr>
                              <w:t>foreseeable</w:t>
                            </w:r>
                            <w:r>
                              <w:rPr>
                                <w:rFonts w:ascii="Segoe UI Semibold" w:hAnsi="Segoe UI Semibold"/>
                                <w:b/>
                                <w:i/>
                                <w:color w:val="FFFFFF"/>
                                <w:spacing w:val="-6"/>
                                <w:sz w:val="24"/>
                              </w:rPr>
                              <w:t> </w:t>
                            </w:r>
                            <w:r>
                              <w:rPr>
                                <w:rFonts w:ascii="Segoe UI Semibold" w:hAnsi="Segoe UI Semibold"/>
                                <w:b/>
                                <w:i/>
                                <w:color w:val="FFFFFF"/>
                                <w:spacing w:val="-10"/>
                                <w:sz w:val="24"/>
                              </w:rPr>
                              <w:t>means</w:t>
                            </w:r>
                            <w:r>
                              <w:rPr>
                                <w:rFonts w:ascii="Segoe UI Semibold" w:hAnsi="Segoe UI Semibold"/>
                                <w:b/>
                                <w:i/>
                                <w:color w:val="FFFFFF"/>
                                <w:spacing w:val="-7"/>
                                <w:sz w:val="24"/>
                              </w:rPr>
                              <w:t> </w:t>
                            </w:r>
                            <w:r>
                              <w:rPr>
                                <w:rFonts w:ascii="Segoe UI Semibold" w:hAnsi="Segoe UI Semibold"/>
                                <w:b/>
                                <w:i/>
                                <w:color w:val="FFFFFF"/>
                                <w:spacing w:val="-10"/>
                                <w:sz w:val="24"/>
                              </w:rPr>
                              <w:t>of </w:t>
                            </w:r>
                            <w:r>
                              <w:rPr>
                                <w:rFonts w:ascii="Segoe UI Semibold" w:hAnsi="Segoe UI Semibold"/>
                                <w:b/>
                                <w:i/>
                                <w:color w:val="FFFFFF"/>
                                <w:spacing w:val="-4"/>
                                <w:sz w:val="24"/>
                              </w:rPr>
                              <w:t>alienating</w:t>
                            </w:r>
                            <w:r>
                              <w:rPr>
                                <w:rFonts w:ascii="Segoe UI Semibold" w:hAnsi="Segoe UI Semibold"/>
                                <w:b/>
                                <w:i/>
                                <w:color w:val="FFFFFF"/>
                                <w:spacing w:val="-13"/>
                                <w:sz w:val="24"/>
                              </w:rPr>
                              <w:t> </w:t>
                            </w:r>
                            <w:r>
                              <w:rPr>
                                <w:rFonts w:ascii="Segoe UI Semibold" w:hAnsi="Segoe UI Semibold"/>
                                <w:b/>
                                <w:i/>
                                <w:color w:val="FFFFFF"/>
                                <w:spacing w:val="-4"/>
                                <w:sz w:val="24"/>
                              </w:rPr>
                              <w:t>internal</w:t>
                            </w:r>
                            <w:r>
                              <w:rPr>
                                <w:rFonts w:ascii="Segoe UI Semibold" w:hAnsi="Segoe UI Semibold"/>
                                <w:b/>
                                <w:i/>
                                <w:color w:val="FFFFFF"/>
                                <w:spacing w:val="-12"/>
                                <w:sz w:val="24"/>
                              </w:rPr>
                              <w:t> </w:t>
                            </w:r>
                            <w:r>
                              <w:rPr>
                                <w:rFonts w:ascii="Segoe UI Semibold" w:hAnsi="Segoe UI Semibold"/>
                                <w:b/>
                                <w:i/>
                                <w:color w:val="FFFFFF"/>
                                <w:spacing w:val="-4"/>
                                <w:sz w:val="24"/>
                              </w:rPr>
                              <w:t>support</w:t>
                            </w:r>
                            <w:r>
                              <w:rPr>
                                <w:rFonts w:ascii="Segoe UI Semibold" w:hAnsi="Segoe UI Semibold"/>
                                <w:b/>
                                <w:i/>
                                <w:color w:val="FFFFFF"/>
                                <w:spacing w:val="-13"/>
                                <w:sz w:val="24"/>
                              </w:rPr>
                              <w:t> </w:t>
                            </w:r>
                            <w:r>
                              <w:rPr>
                                <w:rFonts w:ascii="Segoe UI Semibold" w:hAnsi="Segoe UI Semibold"/>
                                <w:b/>
                                <w:i/>
                                <w:color w:val="FFFFFF"/>
                                <w:spacing w:val="-4"/>
                                <w:sz w:val="24"/>
                              </w:rPr>
                              <w:t>is</w:t>
                            </w:r>
                            <w:r>
                              <w:rPr>
                                <w:rFonts w:ascii="Segoe UI Semibold" w:hAnsi="Segoe UI Semibold"/>
                                <w:b/>
                                <w:i/>
                                <w:color w:val="FFFFFF"/>
                                <w:spacing w:val="-12"/>
                                <w:sz w:val="24"/>
                              </w:rPr>
                              <w:t> </w:t>
                            </w:r>
                            <w:r>
                              <w:rPr>
                                <w:rFonts w:ascii="Segoe UI Semibold" w:hAnsi="Segoe UI Semibold"/>
                                <w:b/>
                                <w:i/>
                                <w:color w:val="FFFFFF"/>
                                <w:spacing w:val="-4"/>
                                <w:sz w:val="24"/>
                              </w:rPr>
                              <w:t>through </w:t>
                            </w:r>
                            <w:r>
                              <w:rPr>
                                <w:rFonts w:ascii="Segoe UI Semibold" w:hAnsi="Segoe UI Semibold"/>
                                <w:b/>
                                <w:i/>
                                <w:color w:val="FFFFFF"/>
                                <w:sz w:val="24"/>
                              </w:rPr>
                              <w:t>disenchantment and disaffection based on economic dissatisfaction </w:t>
                            </w:r>
                            <w:r>
                              <w:rPr>
                                <w:rFonts w:ascii="Segoe UI Semibold" w:hAnsi="Segoe UI Semibold"/>
                                <w:b/>
                                <w:i/>
                                <w:color w:val="FFFFFF"/>
                                <w:spacing w:val="-2"/>
                                <w:sz w:val="24"/>
                              </w:rPr>
                              <w:t>and</w:t>
                            </w:r>
                            <w:r>
                              <w:rPr>
                                <w:rFonts w:ascii="Segoe UI Semibold" w:hAnsi="Segoe UI Semibold"/>
                                <w:b/>
                                <w:i/>
                                <w:color w:val="FFFFFF"/>
                                <w:spacing w:val="-14"/>
                                <w:sz w:val="24"/>
                              </w:rPr>
                              <w:t> </w:t>
                            </w:r>
                            <w:r>
                              <w:rPr>
                                <w:rFonts w:ascii="Segoe UI Semibold" w:hAnsi="Segoe UI Semibold"/>
                                <w:b/>
                                <w:i/>
                                <w:color w:val="FFFFFF"/>
                                <w:spacing w:val="-2"/>
                                <w:sz w:val="24"/>
                              </w:rPr>
                              <w:t>hardship…</w:t>
                            </w:r>
                            <w:r>
                              <w:rPr>
                                <w:rFonts w:ascii="Segoe UI Semibold" w:hAnsi="Segoe UI Semibold"/>
                                <w:b/>
                                <w:i/>
                                <w:color w:val="FFFFFF"/>
                                <w:spacing w:val="-13"/>
                                <w:sz w:val="24"/>
                              </w:rPr>
                              <w:t> </w:t>
                            </w:r>
                            <w:r>
                              <w:rPr>
                                <w:rFonts w:ascii="Segoe UI Semibold" w:hAnsi="Segoe UI Semibold"/>
                                <w:b/>
                                <w:i/>
                                <w:color w:val="FFFFFF"/>
                                <w:spacing w:val="-2"/>
                                <w:sz w:val="24"/>
                              </w:rPr>
                              <w:t>every</w:t>
                            </w:r>
                            <w:r>
                              <w:rPr>
                                <w:rFonts w:ascii="Segoe UI Semibold" w:hAnsi="Segoe UI Semibold"/>
                                <w:b/>
                                <w:i/>
                                <w:color w:val="FFFFFF"/>
                                <w:spacing w:val="-13"/>
                                <w:sz w:val="24"/>
                              </w:rPr>
                              <w:t> </w:t>
                            </w:r>
                            <w:r>
                              <w:rPr>
                                <w:rFonts w:ascii="Segoe UI Semibold" w:hAnsi="Segoe UI Semibold"/>
                                <w:b/>
                                <w:i/>
                                <w:color w:val="FFFFFF"/>
                                <w:spacing w:val="-2"/>
                                <w:sz w:val="24"/>
                              </w:rPr>
                              <w:t>possible</w:t>
                            </w:r>
                            <w:r>
                              <w:rPr>
                                <w:rFonts w:ascii="Segoe UI Semibold" w:hAnsi="Segoe UI Semibold"/>
                                <w:b/>
                                <w:i/>
                                <w:color w:val="FFFFFF"/>
                                <w:spacing w:val="-14"/>
                                <w:sz w:val="24"/>
                              </w:rPr>
                              <w:t> </w:t>
                            </w:r>
                            <w:r>
                              <w:rPr>
                                <w:rFonts w:ascii="Segoe UI Semibold" w:hAnsi="Segoe UI Semibold"/>
                                <w:b/>
                                <w:i/>
                                <w:color w:val="FFFFFF"/>
                                <w:spacing w:val="-2"/>
                                <w:sz w:val="24"/>
                              </w:rPr>
                              <w:t>means </w:t>
                            </w:r>
                            <w:r>
                              <w:rPr>
                                <w:rFonts w:ascii="Segoe UI Semibold" w:hAnsi="Segoe UI Semibold"/>
                                <w:b/>
                                <w:i/>
                                <w:color w:val="FFFFFF"/>
                                <w:sz w:val="24"/>
                              </w:rPr>
                              <w:t>should be undertaken promptly to weaken the economic life of Cuba… </w:t>
                            </w:r>
                            <w:r>
                              <w:rPr>
                                <w:rFonts w:ascii="Segoe UI Semibold" w:hAnsi="Segoe UI Semibold"/>
                                <w:b/>
                                <w:i/>
                                <w:color w:val="FFFFFF"/>
                                <w:spacing w:val="-2"/>
                                <w:sz w:val="24"/>
                              </w:rPr>
                              <w:t>a</w:t>
                            </w:r>
                            <w:r>
                              <w:rPr>
                                <w:rFonts w:ascii="Segoe UI Semibold" w:hAnsi="Segoe UI Semibold"/>
                                <w:b/>
                                <w:i/>
                                <w:color w:val="FFFFFF"/>
                                <w:spacing w:val="-15"/>
                                <w:sz w:val="24"/>
                              </w:rPr>
                              <w:t> </w:t>
                            </w:r>
                            <w:r>
                              <w:rPr>
                                <w:rFonts w:ascii="Segoe UI Semibold" w:hAnsi="Segoe UI Semibold"/>
                                <w:b/>
                                <w:i/>
                                <w:color w:val="FFFFFF"/>
                                <w:spacing w:val="-2"/>
                                <w:sz w:val="24"/>
                              </w:rPr>
                              <w:t>line</w:t>
                            </w:r>
                            <w:r>
                              <w:rPr>
                                <w:rFonts w:ascii="Segoe UI Semibold" w:hAnsi="Segoe UI Semibold"/>
                                <w:b/>
                                <w:i/>
                                <w:color w:val="FFFFFF"/>
                                <w:spacing w:val="-14"/>
                                <w:sz w:val="24"/>
                              </w:rPr>
                              <w:t> </w:t>
                            </w:r>
                            <w:r>
                              <w:rPr>
                                <w:rFonts w:ascii="Segoe UI Semibold" w:hAnsi="Segoe UI Semibold"/>
                                <w:b/>
                                <w:i/>
                                <w:color w:val="FFFFFF"/>
                                <w:spacing w:val="-2"/>
                                <w:sz w:val="24"/>
                              </w:rPr>
                              <w:t>of</w:t>
                            </w:r>
                            <w:r>
                              <w:rPr>
                                <w:rFonts w:ascii="Segoe UI Semibold" w:hAnsi="Segoe UI Semibold"/>
                                <w:b/>
                                <w:i/>
                                <w:color w:val="FFFFFF"/>
                                <w:spacing w:val="-15"/>
                                <w:sz w:val="24"/>
                              </w:rPr>
                              <w:t> </w:t>
                            </w:r>
                            <w:r>
                              <w:rPr>
                                <w:rFonts w:ascii="Segoe UI Semibold" w:hAnsi="Segoe UI Semibold"/>
                                <w:b/>
                                <w:i/>
                                <w:color w:val="FFFFFF"/>
                                <w:spacing w:val="-2"/>
                                <w:sz w:val="24"/>
                              </w:rPr>
                              <w:t>action</w:t>
                            </w:r>
                            <w:r>
                              <w:rPr>
                                <w:rFonts w:ascii="Segoe UI Semibold" w:hAnsi="Segoe UI Semibold"/>
                                <w:b/>
                                <w:i/>
                                <w:color w:val="FFFFFF"/>
                                <w:spacing w:val="-14"/>
                                <w:sz w:val="24"/>
                              </w:rPr>
                              <w:t> </w:t>
                            </w:r>
                            <w:r>
                              <w:rPr>
                                <w:rFonts w:ascii="Segoe UI Semibold" w:hAnsi="Segoe UI Semibold"/>
                                <w:b/>
                                <w:i/>
                                <w:color w:val="FFFFFF"/>
                                <w:spacing w:val="-2"/>
                                <w:sz w:val="24"/>
                              </w:rPr>
                              <w:t>which,</w:t>
                            </w:r>
                            <w:r>
                              <w:rPr>
                                <w:rFonts w:ascii="Segoe UI Semibold" w:hAnsi="Segoe UI Semibold"/>
                                <w:b/>
                                <w:i/>
                                <w:color w:val="FFFFFF"/>
                                <w:spacing w:val="-15"/>
                                <w:sz w:val="24"/>
                              </w:rPr>
                              <w:t> </w:t>
                            </w:r>
                            <w:r>
                              <w:rPr>
                                <w:rFonts w:ascii="Segoe UI Semibold" w:hAnsi="Segoe UI Semibold"/>
                                <w:b/>
                                <w:i/>
                                <w:color w:val="FFFFFF"/>
                                <w:spacing w:val="-2"/>
                                <w:sz w:val="24"/>
                              </w:rPr>
                              <w:t>while</w:t>
                            </w:r>
                            <w:r>
                              <w:rPr>
                                <w:rFonts w:ascii="Segoe UI Semibold" w:hAnsi="Segoe UI Semibold"/>
                                <w:b/>
                                <w:i/>
                                <w:color w:val="FFFFFF"/>
                                <w:spacing w:val="-14"/>
                                <w:sz w:val="24"/>
                              </w:rPr>
                              <w:t> </w:t>
                            </w:r>
                            <w:r>
                              <w:rPr>
                                <w:rFonts w:ascii="Segoe UI Semibold" w:hAnsi="Segoe UI Semibold"/>
                                <w:b/>
                                <w:i/>
                                <w:color w:val="FFFFFF"/>
                                <w:spacing w:val="-2"/>
                                <w:sz w:val="24"/>
                              </w:rPr>
                              <w:t>as</w:t>
                            </w:r>
                            <w:r>
                              <w:rPr>
                                <w:rFonts w:ascii="Segoe UI Semibold" w:hAnsi="Segoe UI Semibold"/>
                                <w:b/>
                                <w:i/>
                                <w:color w:val="FFFFFF"/>
                                <w:spacing w:val="-15"/>
                                <w:sz w:val="24"/>
                              </w:rPr>
                              <w:t> </w:t>
                            </w:r>
                            <w:r>
                              <w:rPr>
                                <w:rFonts w:ascii="Segoe UI Semibold" w:hAnsi="Segoe UI Semibold"/>
                                <w:b/>
                                <w:i/>
                                <w:color w:val="FFFFFF"/>
                                <w:spacing w:val="-2"/>
                                <w:sz w:val="24"/>
                              </w:rPr>
                              <w:t>adroit </w:t>
                            </w:r>
                            <w:r>
                              <w:rPr>
                                <w:rFonts w:ascii="Segoe UI Semibold" w:hAnsi="Segoe UI Semibold"/>
                                <w:b/>
                                <w:i/>
                                <w:color w:val="FFFFFF"/>
                                <w:spacing w:val="-4"/>
                                <w:sz w:val="24"/>
                              </w:rPr>
                              <w:t>and</w:t>
                            </w:r>
                            <w:r>
                              <w:rPr>
                                <w:rFonts w:ascii="Segoe UI Semibold" w:hAnsi="Segoe UI Semibold"/>
                                <w:b/>
                                <w:i/>
                                <w:color w:val="FFFFFF"/>
                                <w:spacing w:val="-13"/>
                                <w:sz w:val="24"/>
                              </w:rPr>
                              <w:t> </w:t>
                            </w:r>
                            <w:r>
                              <w:rPr>
                                <w:rFonts w:ascii="Segoe UI Semibold" w:hAnsi="Segoe UI Semibold"/>
                                <w:b/>
                                <w:i/>
                                <w:color w:val="FFFFFF"/>
                                <w:spacing w:val="-4"/>
                                <w:sz w:val="24"/>
                              </w:rPr>
                              <w:t>inconspicuous</w:t>
                            </w:r>
                            <w:r>
                              <w:rPr>
                                <w:rFonts w:ascii="Segoe UI Semibold" w:hAnsi="Segoe UI Semibold"/>
                                <w:b/>
                                <w:i/>
                                <w:color w:val="FFFFFF"/>
                                <w:spacing w:val="-12"/>
                                <w:sz w:val="24"/>
                              </w:rPr>
                              <w:t> </w:t>
                            </w:r>
                            <w:r>
                              <w:rPr>
                                <w:rFonts w:ascii="Segoe UI Semibold" w:hAnsi="Segoe UI Semibold"/>
                                <w:b/>
                                <w:i/>
                                <w:color w:val="FFFFFF"/>
                                <w:spacing w:val="-4"/>
                                <w:sz w:val="24"/>
                              </w:rPr>
                              <w:t>as</w:t>
                            </w:r>
                            <w:r>
                              <w:rPr>
                                <w:rFonts w:ascii="Segoe UI Semibold" w:hAnsi="Segoe UI Semibold"/>
                                <w:b/>
                                <w:i/>
                                <w:color w:val="FFFFFF"/>
                                <w:spacing w:val="-13"/>
                                <w:sz w:val="24"/>
                              </w:rPr>
                              <w:t> </w:t>
                            </w:r>
                            <w:r>
                              <w:rPr>
                                <w:rFonts w:ascii="Segoe UI Semibold" w:hAnsi="Segoe UI Semibold"/>
                                <w:b/>
                                <w:i/>
                                <w:color w:val="FFFFFF"/>
                                <w:spacing w:val="-4"/>
                                <w:sz w:val="24"/>
                              </w:rPr>
                              <w:t>possible,</w:t>
                            </w:r>
                            <w:r>
                              <w:rPr>
                                <w:rFonts w:ascii="Segoe UI Semibold" w:hAnsi="Segoe UI Semibold"/>
                                <w:b/>
                                <w:i/>
                                <w:color w:val="FFFFFF"/>
                                <w:spacing w:val="-12"/>
                                <w:sz w:val="24"/>
                              </w:rPr>
                              <w:t> </w:t>
                            </w:r>
                            <w:r>
                              <w:rPr>
                                <w:rFonts w:ascii="Segoe UI Semibold" w:hAnsi="Segoe UI Semibold"/>
                                <w:b/>
                                <w:i/>
                                <w:color w:val="FFFFFF"/>
                                <w:spacing w:val="-4"/>
                                <w:sz w:val="24"/>
                              </w:rPr>
                              <w:t>makes </w:t>
                            </w:r>
                            <w:r>
                              <w:rPr>
                                <w:rFonts w:ascii="Segoe UI Semibold" w:hAnsi="Segoe UI Semibold"/>
                                <w:b/>
                                <w:i/>
                                <w:color w:val="FFFFFF"/>
                                <w:spacing w:val="-8"/>
                                <w:sz w:val="24"/>
                              </w:rPr>
                              <w:t>the greatest inroads in denying money </w:t>
                            </w:r>
                            <w:r>
                              <w:rPr>
                                <w:rFonts w:ascii="Segoe UI Semibold" w:hAnsi="Segoe UI Semibold"/>
                                <w:b/>
                                <w:i/>
                                <w:color w:val="FFFFFF"/>
                                <w:sz w:val="24"/>
                              </w:rPr>
                              <w:t>and supplies to Cuba, to decrease monetary and real wages, to bring about hunger, desperation and overthrow of government.”</w:t>
                            </w:r>
                          </w:p>
                        </w:txbxContent>
                      </wps:txbx>
                      <wps:bodyPr wrap="square" lIns="0" tIns="0" rIns="0" bIns="0" rtlCol="0">
                        <a:noAutofit/>
                      </wps:bodyPr>
                    </wps:wsp>
                  </a:graphicData>
                </a:graphic>
              </wp:inline>
            </w:drawing>
          </mc:Choice>
          <mc:Fallback>
            <w:pict>
              <v:shape style="width:221.15pt;height:280pt;mso-position-horizontal-relative:char;mso-position-vertical-relative:line" type="#_x0000_t202" id="docshape205" filled="true" fillcolor="#1a4796" stroked="false">
                <w10:anchorlock/>
                <v:textbox inset="0,0,0,0">
                  <w:txbxContent>
                    <w:p>
                      <w:pPr>
                        <w:pStyle w:val="BodyText"/>
                        <w:spacing w:before="60"/>
                        <w:jc w:val="left"/>
                        <w:rPr>
                          <w:color w:val="000000"/>
                        </w:rPr>
                      </w:pPr>
                    </w:p>
                    <w:p>
                      <w:pPr>
                        <w:spacing w:before="0"/>
                        <w:ind w:left="269" w:right="259" w:firstLine="165"/>
                        <w:jc w:val="both"/>
                        <w:rPr>
                          <w:rFonts w:ascii="Segoe UI Semibold" w:hAnsi="Segoe UI Semibold"/>
                          <w:b/>
                          <w:i/>
                          <w:color w:val="000000"/>
                          <w:sz w:val="24"/>
                        </w:rPr>
                      </w:pPr>
                      <w:r>
                        <w:rPr>
                          <w:rFonts w:ascii="Segoe UI Semibold" w:hAnsi="Segoe UI Semibold"/>
                          <w:b/>
                          <w:i/>
                          <w:color w:val="FFFFFF"/>
                          <w:sz w:val="24"/>
                        </w:rPr>
                        <w:t>“The majority of Cubans support</w:t>
                      </w:r>
                      <w:r>
                        <w:rPr>
                          <w:rFonts w:ascii="Segoe UI Semibold" w:hAnsi="Segoe UI Semibold"/>
                          <w:b/>
                          <w:i/>
                          <w:color w:val="FFFFFF"/>
                          <w:sz w:val="24"/>
                        </w:rPr>
                        <w:t> </w:t>
                      </w:r>
                      <w:r>
                        <w:rPr>
                          <w:rFonts w:ascii="Segoe UI Semibold" w:hAnsi="Segoe UI Semibold"/>
                          <w:b/>
                          <w:i/>
                          <w:color w:val="FFFFFF"/>
                          <w:spacing w:val="-10"/>
                          <w:sz w:val="24"/>
                        </w:rPr>
                        <w:t>Castro…</w:t>
                      </w:r>
                      <w:r>
                        <w:rPr>
                          <w:rFonts w:ascii="Segoe UI Semibold" w:hAnsi="Segoe UI Semibold"/>
                          <w:b/>
                          <w:i/>
                          <w:color w:val="FFFFFF"/>
                          <w:spacing w:val="-7"/>
                          <w:sz w:val="24"/>
                        </w:rPr>
                        <w:t> </w:t>
                      </w:r>
                      <w:r>
                        <w:rPr>
                          <w:rFonts w:ascii="Segoe UI Semibold" w:hAnsi="Segoe UI Semibold"/>
                          <w:b/>
                          <w:i/>
                          <w:color w:val="FFFFFF"/>
                          <w:spacing w:val="-10"/>
                          <w:sz w:val="24"/>
                        </w:rPr>
                        <w:t>The</w:t>
                      </w:r>
                      <w:r>
                        <w:rPr>
                          <w:rFonts w:ascii="Segoe UI Semibold" w:hAnsi="Segoe UI Semibold"/>
                          <w:b/>
                          <w:i/>
                          <w:color w:val="FFFFFF"/>
                          <w:spacing w:val="-6"/>
                          <w:sz w:val="24"/>
                        </w:rPr>
                        <w:t> </w:t>
                      </w:r>
                      <w:r>
                        <w:rPr>
                          <w:rFonts w:ascii="Segoe UI Semibold" w:hAnsi="Segoe UI Semibold"/>
                          <w:b/>
                          <w:i/>
                          <w:color w:val="FFFFFF"/>
                          <w:spacing w:val="-10"/>
                          <w:sz w:val="24"/>
                        </w:rPr>
                        <w:t>only</w:t>
                      </w:r>
                      <w:r>
                        <w:rPr>
                          <w:rFonts w:ascii="Segoe UI Semibold" w:hAnsi="Segoe UI Semibold"/>
                          <w:b/>
                          <w:i/>
                          <w:color w:val="FFFFFF"/>
                          <w:spacing w:val="-7"/>
                          <w:sz w:val="24"/>
                        </w:rPr>
                        <w:t> </w:t>
                      </w:r>
                      <w:r>
                        <w:rPr>
                          <w:rFonts w:ascii="Segoe UI Semibold" w:hAnsi="Segoe UI Semibold"/>
                          <w:b/>
                          <w:i/>
                          <w:color w:val="FFFFFF"/>
                          <w:spacing w:val="-10"/>
                          <w:sz w:val="24"/>
                        </w:rPr>
                        <w:t>foreseeable</w:t>
                      </w:r>
                      <w:r>
                        <w:rPr>
                          <w:rFonts w:ascii="Segoe UI Semibold" w:hAnsi="Segoe UI Semibold"/>
                          <w:b/>
                          <w:i/>
                          <w:color w:val="FFFFFF"/>
                          <w:spacing w:val="-6"/>
                          <w:sz w:val="24"/>
                        </w:rPr>
                        <w:t> </w:t>
                      </w:r>
                      <w:r>
                        <w:rPr>
                          <w:rFonts w:ascii="Segoe UI Semibold" w:hAnsi="Segoe UI Semibold"/>
                          <w:b/>
                          <w:i/>
                          <w:color w:val="FFFFFF"/>
                          <w:spacing w:val="-10"/>
                          <w:sz w:val="24"/>
                        </w:rPr>
                        <w:t>means</w:t>
                      </w:r>
                      <w:r>
                        <w:rPr>
                          <w:rFonts w:ascii="Segoe UI Semibold" w:hAnsi="Segoe UI Semibold"/>
                          <w:b/>
                          <w:i/>
                          <w:color w:val="FFFFFF"/>
                          <w:spacing w:val="-7"/>
                          <w:sz w:val="24"/>
                        </w:rPr>
                        <w:t> </w:t>
                      </w:r>
                      <w:r>
                        <w:rPr>
                          <w:rFonts w:ascii="Segoe UI Semibold" w:hAnsi="Segoe UI Semibold"/>
                          <w:b/>
                          <w:i/>
                          <w:color w:val="FFFFFF"/>
                          <w:spacing w:val="-10"/>
                          <w:sz w:val="24"/>
                        </w:rPr>
                        <w:t>of </w:t>
                      </w:r>
                      <w:r>
                        <w:rPr>
                          <w:rFonts w:ascii="Segoe UI Semibold" w:hAnsi="Segoe UI Semibold"/>
                          <w:b/>
                          <w:i/>
                          <w:color w:val="FFFFFF"/>
                          <w:spacing w:val="-4"/>
                          <w:sz w:val="24"/>
                        </w:rPr>
                        <w:t>alienating</w:t>
                      </w:r>
                      <w:r>
                        <w:rPr>
                          <w:rFonts w:ascii="Segoe UI Semibold" w:hAnsi="Segoe UI Semibold"/>
                          <w:b/>
                          <w:i/>
                          <w:color w:val="FFFFFF"/>
                          <w:spacing w:val="-13"/>
                          <w:sz w:val="24"/>
                        </w:rPr>
                        <w:t> </w:t>
                      </w:r>
                      <w:r>
                        <w:rPr>
                          <w:rFonts w:ascii="Segoe UI Semibold" w:hAnsi="Segoe UI Semibold"/>
                          <w:b/>
                          <w:i/>
                          <w:color w:val="FFFFFF"/>
                          <w:spacing w:val="-4"/>
                          <w:sz w:val="24"/>
                        </w:rPr>
                        <w:t>internal</w:t>
                      </w:r>
                      <w:r>
                        <w:rPr>
                          <w:rFonts w:ascii="Segoe UI Semibold" w:hAnsi="Segoe UI Semibold"/>
                          <w:b/>
                          <w:i/>
                          <w:color w:val="FFFFFF"/>
                          <w:spacing w:val="-12"/>
                          <w:sz w:val="24"/>
                        </w:rPr>
                        <w:t> </w:t>
                      </w:r>
                      <w:r>
                        <w:rPr>
                          <w:rFonts w:ascii="Segoe UI Semibold" w:hAnsi="Segoe UI Semibold"/>
                          <w:b/>
                          <w:i/>
                          <w:color w:val="FFFFFF"/>
                          <w:spacing w:val="-4"/>
                          <w:sz w:val="24"/>
                        </w:rPr>
                        <w:t>support</w:t>
                      </w:r>
                      <w:r>
                        <w:rPr>
                          <w:rFonts w:ascii="Segoe UI Semibold" w:hAnsi="Segoe UI Semibold"/>
                          <w:b/>
                          <w:i/>
                          <w:color w:val="FFFFFF"/>
                          <w:spacing w:val="-13"/>
                          <w:sz w:val="24"/>
                        </w:rPr>
                        <w:t> </w:t>
                      </w:r>
                      <w:r>
                        <w:rPr>
                          <w:rFonts w:ascii="Segoe UI Semibold" w:hAnsi="Segoe UI Semibold"/>
                          <w:b/>
                          <w:i/>
                          <w:color w:val="FFFFFF"/>
                          <w:spacing w:val="-4"/>
                          <w:sz w:val="24"/>
                        </w:rPr>
                        <w:t>is</w:t>
                      </w:r>
                      <w:r>
                        <w:rPr>
                          <w:rFonts w:ascii="Segoe UI Semibold" w:hAnsi="Segoe UI Semibold"/>
                          <w:b/>
                          <w:i/>
                          <w:color w:val="FFFFFF"/>
                          <w:spacing w:val="-12"/>
                          <w:sz w:val="24"/>
                        </w:rPr>
                        <w:t> </w:t>
                      </w:r>
                      <w:r>
                        <w:rPr>
                          <w:rFonts w:ascii="Segoe UI Semibold" w:hAnsi="Segoe UI Semibold"/>
                          <w:b/>
                          <w:i/>
                          <w:color w:val="FFFFFF"/>
                          <w:spacing w:val="-4"/>
                          <w:sz w:val="24"/>
                        </w:rPr>
                        <w:t>through </w:t>
                      </w:r>
                      <w:r>
                        <w:rPr>
                          <w:rFonts w:ascii="Segoe UI Semibold" w:hAnsi="Segoe UI Semibold"/>
                          <w:b/>
                          <w:i/>
                          <w:color w:val="FFFFFF"/>
                          <w:sz w:val="24"/>
                        </w:rPr>
                        <w:t>disenchantment and disaffection based on economic dissatisfaction </w:t>
                      </w:r>
                      <w:r>
                        <w:rPr>
                          <w:rFonts w:ascii="Segoe UI Semibold" w:hAnsi="Segoe UI Semibold"/>
                          <w:b/>
                          <w:i/>
                          <w:color w:val="FFFFFF"/>
                          <w:spacing w:val="-2"/>
                          <w:sz w:val="24"/>
                        </w:rPr>
                        <w:t>and</w:t>
                      </w:r>
                      <w:r>
                        <w:rPr>
                          <w:rFonts w:ascii="Segoe UI Semibold" w:hAnsi="Segoe UI Semibold"/>
                          <w:b/>
                          <w:i/>
                          <w:color w:val="FFFFFF"/>
                          <w:spacing w:val="-14"/>
                          <w:sz w:val="24"/>
                        </w:rPr>
                        <w:t> </w:t>
                      </w:r>
                      <w:r>
                        <w:rPr>
                          <w:rFonts w:ascii="Segoe UI Semibold" w:hAnsi="Segoe UI Semibold"/>
                          <w:b/>
                          <w:i/>
                          <w:color w:val="FFFFFF"/>
                          <w:spacing w:val="-2"/>
                          <w:sz w:val="24"/>
                        </w:rPr>
                        <w:t>hardship…</w:t>
                      </w:r>
                      <w:r>
                        <w:rPr>
                          <w:rFonts w:ascii="Segoe UI Semibold" w:hAnsi="Segoe UI Semibold"/>
                          <w:b/>
                          <w:i/>
                          <w:color w:val="FFFFFF"/>
                          <w:spacing w:val="-13"/>
                          <w:sz w:val="24"/>
                        </w:rPr>
                        <w:t> </w:t>
                      </w:r>
                      <w:r>
                        <w:rPr>
                          <w:rFonts w:ascii="Segoe UI Semibold" w:hAnsi="Segoe UI Semibold"/>
                          <w:b/>
                          <w:i/>
                          <w:color w:val="FFFFFF"/>
                          <w:spacing w:val="-2"/>
                          <w:sz w:val="24"/>
                        </w:rPr>
                        <w:t>every</w:t>
                      </w:r>
                      <w:r>
                        <w:rPr>
                          <w:rFonts w:ascii="Segoe UI Semibold" w:hAnsi="Segoe UI Semibold"/>
                          <w:b/>
                          <w:i/>
                          <w:color w:val="FFFFFF"/>
                          <w:spacing w:val="-13"/>
                          <w:sz w:val="24"/>
                        </w:rPr>
                        <w:t> </w:t>
                      </w:r>
                      <w:r>
                        <w:rPr>
                          <w:rFonts w:ascii="Segoe UI Semibold" w:hAnsi="Segoe UI Semibold"/>
                          <w:b/>
                          <w:i/>
                          <w:color w:val="FFFFFF"/>
                          <w:spacing w:val="-2"/>
                          <w:sz w:val="24"/>
                        </w:rPr>
                        <w:t>possible</w:t>
                      </w:r>
                      <w:r>
                        <w:rPr>
                          <w:rFonts w:ascii="Segoe UI Semibold" w:hAnsi="Segoe UI Semibold"/>
                          <w:b/>
                          <w:i/>
                          <w:color w:val="FFFFFF"/>
                          <w:spacing w:val="-14"/>
                          <w:sz w:val="24"/>
                        </w:rPr>
                        <w:t> </w:t>
                      </w:r>
                      <w:r>
                        <w:rPr>
                          <w:rFonts w:ascii="Segoe UI Semibold" w:hAnsi="Segoe UI Semibold"/>
                          <w:b/>
                          <w:i/>
                          <w:color w:val="FFFFFF"/>
                          <w:spacing w:val="-2"/>
                          <w:sz w:val="24"/>
                        </w:rPr>
                        <w:t>means </w:t>
                      </w:r>
                      <w:r>
                        <w:rPr>
                          <w:rFonts w:ascii="Segoe UI Semibold" w:hAnsi="Segoe UI Semibold"/>
                          <w:b/>
                          <w:i/>
                          <w:color w:val="FFFFFF"/>
                          <w:sz w:val="24"/>
                        </w:rPr>
                        <w:t>should be undertaken promptly to weaken the economic life of Cuba… </w:t>
                      </w:r>
                      <w:r>
                        <w:rPr>
                          <w:rFonts w:ascii="Segoe UI Semibold" w:hAnsi="Segoe UI Semibold"/>
                          <w:b/>
                          <w:i/>
                          <w:color w:val="FFFFFF"/>
                          <w:spacing w:val="-2"/>
                          <w:sz w:val="24"/>
                        </w:rPr>
                        <w:t>a</w:t>
                      </w:r>
                      <w:r>
                        <w:rPr>
                          <w:rFonts w:ascii="Segoe UI Semibold" w:hAnsi="Segoe UI Semibold"/>
                          <w:b/>
                          <w:i/>
                          <w:color w:val="FFFFFF"/>
                          <w:spacing w:val="-15"/>
                          <w:sz w:val="24"/>
                        </w:rPr>
                        <w:t> </w:t>
                      </w:r>
                      <w:r>
                        <w:rPr>
                          <w:rFonts w:ascii="Segoe UI Semibold" w:hAnsi="Segoe UI Semibold"/>
                          <w:b/>
                          <w:i/>
                          <w:color w:val="FFFFFF"/>
                          <w:spacing w:val="-2"/>
                          <w:sz w:val="24"/>
                        </w:rPr>
                        <w:t>line</w:t>
                      </w:r>
                      <w:r>
                        <w:rPr>
                          <w:rFonts w:ascii="Segoe UI Semibold" w:hAnsi="Segoe UI Semibold"/>
                          <w:b/>
                          <w:i/>
                          <w:color w:val="FFFFFF"/>
                          <w:spacing w:val="-14"/>
                          <w:sz w:val="24"/>
                        </w:rPr>
                        <w:t> </w:t>
                      </w:r>
                      <w:r>
                        <w:rPr>
                          <w:rFonts w:ascii="Segoe UI Semibold" w:hAnsi="Segoe UI Semibold"/>
                          <w:b/>
                          <w:i/>
                          <w:color w:val="FFFFFF"/>
                          <w:spacing w:val="-2"/>
                          <w:sz w:val="24"/>
                        </w:rPr>
                        <w:t>of</w:t>
                      </w:r>
                      <w:r>
                        <w:rPr>
                          <w:rFonts w:ascii="Segoe UI Semibold" w:hAnsi="Segoe UI Semibold"/>
                          <w:b/>
                          <w:i/>
                          <w:color w:val="FFFFFF"/>
                          <w:spacing w:val="-15"/>
                          <w:sz w:val="24"/>
                        </w:rPr>
                        <w:t> </w:t>
                      </w:r>
                      <w:r>
                        <w:rPr>
                          <w:rFonts w:ascii="Segoe UI Semibold" w:hAnsi="Segoe UI Semibold"/>
                          <w:b/>
                          <w:i/>
                          <w:color w:val="FFFFFF"/>
                          <w:spacing w:val="-2"/>
                          <w:sz w:val="24"/>
                        </w:rPr>
                        <w:t>action</w:t>
                      </w:r>
                      <w:r>
                        <w:rPr>
                          <w:rFonts w:ascii="Segoe UI Semibold" w:hAnsi="Segoe UI Semibold"/>
                          <w:b/>
                          <w:i/>
                          <w:color w:val="FFFFFF"/>
                          <w:spacing w:val="-14"/>
                          <w:sz w:val="24"/>
                        </w:rPr>
                        <w:t> </w:t>
                      </w:r>
                      <w:r>
                        <w:rPr>
                          <w:rFonts w:ascii="Segoe UI Semibold" w:hAnsi="Segoe UI Semibold"/>
                          <w:b/>
                          <w:i/>
                          <w:color w:val="FFFFFF"/>
                          <w:spacing w:val="-2"/>
                          <w:sz w:val="24"/>
                        </w:rPr>
                        <w:t>which,</w:t>
                      </w:r>
                      <w:r>
                        <w:rPr>
                          <w:rFonts w:ascii="Segoe UI Semibold" w:hAnsi="Segoe UI Semibold"/>
                          <w:b/>
                          <w:i/>
                          <w:color w:val="FFFFFF"/>
                          <w:spacing w:val="-15"/>
                          <w:sz w:val="24"/>
                        </w:rPr>
                        <w:t> </w:t>
                      </w:r>
                      <w:r>
                        <w:rPr>
                          <w:rFonts w:ascii="Segoe UI Semibold" w:hAnsi="Segoe UI Semibold"/>
                          <w:b/>
                          <w:i/>
                          <w:color w:val="FFFFFF"/>
                          <w:spacing w:val="-2"/>
                          <w:sz w:val="24"/>
                        </w:rPr>
                        <w:t>while</w:t>
                      </w:r>
                      <w:r>
                        <w:rPr>
                          <w:rFonts w:ascii="Segoe UI Semibold" w:hAnsi="Segoe UI Semibold"/>
                          <w:b/>
                          <w:i/>
                          <w:color w:val="FFFFFF"/>
                          <w:spacing w:val="-14"/>
                          <w:sz w:val="24"/>
                        </w:rPr>
                        <w:t> </w:t>
                      </w:r>
                      <w:r>
                        <w:rPr>
                          <w:rFonts w:ascii="Segoe UI Semibold" w:hAnsi="Segoe UI Semibold"/>
                          <w:b/>
                          <w:i/>
                          <w:color w:val="FFFFFF"/>
                          <w:spacing w:val="-2"/>
                          <w:sz w:val="24"/>
                        </w:rPr>
                        <w:t>as</w:t>
                      </w:r>
                      <w:r>
                        <w:rPr>
                          <w:rFonts w:ascii="Segoe UI Semibold" w:hAnsi="Segoe UI Semibold"/>
                          <w:b/>
                          <w:i/>
                          <w:color w:val="FFFFFF"/>
                          <w:spacing w:val="-15"/>
                          <w:sz w:val="24"/>
                        </w:rPr>
                        <w:t> </w:t>
                      </w:r>
                      <w:r>
                        <w:rPr>
                          <w:rFonts w:ascii="Segoe UI Semibold" w:hAnsi="Segoe UI Semibold"/>
                          <w:b/>
                          <w:i/>
                          <w:color w:val="FFFFFF"/>
                          <w:spacing w:val="-2"/>
                          <w:sz w:val="24"/>
                        </w:rPr>
                        <w:t>adroit </w:t>
                      </w:r>
                      <w:r>
                        <w:rPr>
                          <w:rFonts w:ascii="Segoe UI Semibold" w:hAnsi="Segoe UI Semibold"/>
                          <w:b/>
                          <w:i/>
                          <w:color w:val="FFFFFF"/>
                          <w:spacing w:val="-4"/>
                          <w:sz w:val="24"/>
                        </w:rPr>
                        <w:t>and</w:t>
                      </w:r>
                      <w:r>
                        <w:rPr>
                          <w:rFonts w:ascii="Segoe UI Semibold" w:hAnsi="Segoe UI Semibold"/>
                          <w:b/>
                          <w:i/>
                          <w:color w:val="FFFFFF"/>
                          <w:spacing w:val="-13"/>
                          <w:sz w:val="24"/>
                        </w:rPr>
                        <w:t> </w:t>
                      </w:r>
                      <w:r>
                        <w:rPr>
                          <w:rFonts w:ascii="Segoe UI Semibold" w:hAnsi="Segoe UI Semibold"/>
                          <w:b/>
                          <w:i/>
                          <w:color w:val="FFFFFF"/>
                          <w:spacing w:val="-4"/>
                          <w:sz w:val="24"/>
                        </w:rPr>
                        <w:t>inconspicuous</w:t>
                      </w:r>
                      <w:r>
                        <w:rPr>
                          <w:rFonts w:ascii="Segoe UI Semibold" w:hAnsi="Segoe UI Semibold"/>
                          <w:b/>
                          <w:i/>
                          <w:color w:val="FFFFFF"/>
                          <w:spacing w:val="-12"/>
                          <w:sz w:val="24"/>
                        </w:rPr>
                        <w:t> </w:t>
                      </w:r>
                      <w:r>
                        <w:rPr>
                          <w:rFonts w:ascii="Segoe UI Semibold" w:hAnsi="Segoe UI Semibold"/>
                          <w:b/>
                          <w:i/>
                          <w:color w:val="FFFFFF"/>
                          <w:spacing w:val="-4"/>
                          <w:sz w:val="24"/>
                        </w:rPr>
                        <w:t>as</w:t>
                      </w:r>
                      <w:r>
                        <w:rPr>
                          <w:rFonts w:ascii="Segoe UI Semibold" w:hAnsi="Segoe UI Semibold"/>
                          <w:b/>
                          <w:i/>
                          <w:color w:val="FFFFFF"/>
                          <w:spacing w:val="-13"/>
                          <w:sz w:val="24"/>
                        </w:rPr>
                        <w:t> </w:t>
                      </w:r>
                      <w:r>
                        <w:rPr>
                          <w:rFonts w:ascii="Segoe UI Semibold" w:hAnsi="Segoe UI Semibold"/>
                          <w:b/>
                          <w:i/>
                          <w:color w:val="FFFFFF"/>
                          <w:spacing w:val="-4"/>
                          <w:sz w:val="24"/>
                        </w:rPr>
                        <w:t>possible,</w:t>
                      </w:r>
                      <w:r>
                        <w:rPr>
                          <w:rFonts w:ascii="Segoe UI Semibold" w:hAnsi="Segoe UI Semibold"/>
                          <w:b/>
                          <w:i/>
                          <w:color w:val="FFFFFF"/>
                          <w:spacing w:val="-12"/>
                          <w:sz w:val="24"/>
                        </w:rPr>
                        <w:t> </w:t>
                      </w:r>
                      <w:r>
                        <w:rPr>
                          <w:rFonts w:ascii="Segoe UI Semibold" w:hAnsi="Segoe UI Semibold"/>
                          <w:b/>
                          <w:i/>
                          <w:color w:val="FFFFFF"/>
                          <w:spacing w:val="-4"/>
                          <w:sz w:val="24"/>
                        </w:rPr>
                        <w:t>makes </w:t>
                      </w:r>
                      <w:r>
                        <w:rPr>
                          <w:rFonts w:ascii="Segoe UI Semibold" w:hAnsi="Segoe UI Semibold"/>
                          <w:b/>
                          <w:i/>
                          <w:color w:val="FFFFFF"/>
                          <w:spacing w:val="-8"/>
                          <w:sz w:val="24"/>
                        </w:rPr>
                        <w:t>the greatest inroads in denying money </w:t>
                      </w:r>
                      <w:r>
                        <w:rPr>
                          <w:rFonts w:ascii="Segoe UI Semibold" w:hAnsi="Segoe UI Semibold"/>
                          <w:b/>
                          <w:i/>
                          <w:color w:val="FFFFFF"/>
                          <w:sz w:val="24"/>
                        </w:rPr>
                        <w:t>and supplies to Cuba, to decrease monetary and real wages, to bring about hunger, desperation and overthrow of government.”</w:t>
                      </w:r>
                    </w:p>
                  </w:txbxContent>
                </v:textbox>
                <v:fill type="solid"/>
              </v:shape>
            </w:pict>
          </mc:Fallback>
        </mc:AlternateContent>
      </w:r>
      <w:r>
        <w:rPr>
          <w:sz w:val="20"/>
        </w:rPr>
      </w:r>
    </w:p>
    <w:p>
      <w:pPr>
        <w:pStyle w:val="BodyText"/>
        <w:spacing w:before="212"/>
        <w:ind w:left="413" w:right="1134"/>
        <w:jc w:val="left"/>
      </w:pPr>
      <w:r>
        <w:rPr>
          <w:color w:val="231F20"/>
        </w:rPr>
        <w:t>This</w:t>
      </w:r>
      <w:r>
        <w:rPr>
          <w:color w:val="231F20"/>
          <w:spacing w:val="15"/>
        </w:rPr>
        <w:t> </w:t>
      </w:r>
      <w:r>
        <w:rPr>
          <w:color w:val="231F20"/>
        </w:rPr>
        <w:t>policy’s</w:t>
      </w:r>
      <w:r>
        <w:rPr>
          <w:color w:val="231F20"/>
          <w:spacing w:val="15"/>
        </w:rPr>
        <w:t> </w:t>
      </w:r>
      <w:r>
        <w:rPr>
          <w:color w:val="231F20"/>
        </w:rPr>
        <w:t>more</w:t>
      </w:r>
      <w:r>
        <w:rPr>
          <w:color w:val="231F20"/>
          <w:spacing w:val="16"/>
        </w:rPr>
        <w:t> </w:t>
      </w:r>
      <w:r>
        <w:rPr>
          <w:color w:val="231F20"/>
        </w:rPr>
        <w:t>notable</w:t>
      </w:r>
      <w:r>
        <w:rPr>
          <w:color w:val="231F20"/>
          <w:spacing w:val="15"/>
        </w:rPr>
        <w:t> </w:t>
      </w:r>
      <w:r>
        <w:rPr>
          <w:color w:val="231F20"/>
        </w:rPr>
        <w:t>impacts</w:t>
      </w:r>
      <w:r>
        <w:rPr>
          <w:color w:val="231F20"/>
          <w:spacing w:val="15"/>
        </w:rPr>
        <w:t> </w:t>
      </w:r>
      <w:r>
        <w:rPr>
          <w:color w:val="231F20"/>
        </w:rPr>
        <w:t>which </w:t>
      </w:r>
      <w:r>
        <w:rPr>
          <w:color w:val="231F20"/>
          <w:spacing w:val="-8"/>
        </w:rPr>
        <w:t>cannot</w:t>
      </w:r>
      <w:r>
        <w:rPr>
          <w:color w:val="231F20"/>
          <w:spacing w:val="-16"/>
        </w:rPr>
        <w:t> </w:t>
      </w:r>
      <w:r>
        <w:rPr>
          <w:color w:val="231F20"/>
          <w:spacing w:val="-8"/>
        </w:rPr>
        <w:t>be</w:t>
      </w:r>
      <w:r>
        <w:rPr>
          <w:color w:val="231F20"/>
          <w:spacing w:val="-16"/>
        </w:rPr>
        <w:t> </w:t>
      </w:r>
      <w:r>
        <w:rPr>
          <w:color w:val="231F20"/>
          <w:spacing w:val="-8"/>
        </w:rPr>
        <w:t>expressed</w:t>
      </w:r>
      <w:r>
        <w:rPr>
          <w:color w:val="231F20"/>
          <w:spacing w:val="-16"/>
        </w:rPr>
        <w:t> </w:t>
      </w:r>
      <w:r>
        <w:rPr>
          <w:color w:val="231F20"/>
          <w:spacing w:val="-8"/>
        </w:rPr>
        <w:t>in</w:t>
      </w:r>
      <w:r>
        <w:rPr>
          <w:color w:val="231F20"/>
          <w:spacing w:val="-16"/>
        </w:rPr>
        <w:t> </w:t>
      </w:r>
      <w:r>
        <w:rPr>
          <w:color w:val="231F20"/>
          <w:spacing w:val="-8"/>
        </w:rPr>
        <w:t>money</w:t>
      </w:r>
      <w:r>
        <w:rPr>
          <w:color w:val="231F20"/>
          <w:spacing w:val="-16"/>
        </w:rPr>
        <w:t> </w:t>
      </w:r>
      <w:r>
        <w:rPr>
          <w:color w:val="231F20"/>
          <w:spacing w:val="-8"/>
        </w:rPr>
        <w:t>terms</w:t>
      </w:r>
      <w:r>
        <w:rPr>
          <w:color w:val="231F20"/>
          <w:spacing w:val="-16"/>
        </w:rPr>
        <w:t> </w:t>
      </w:r>
      <w:r>
        <w:rPr>
          <w:color w:val="231F20"/>
          <w:spacing w:val="-8"/>
        </w:rPr>
        <w:t>include:</w:t>
      </w:r>
    </w:p>
    <w:p>
      <w:pPr>
        <w:pStyle w:val="BodyText"/>
        <w:spacing w:before="161"/>
        <w:ind w:left="674" w:right="1131" w:hanging="261"/>
      </w:pPr>
      <w:r>
        <w:rPr>
          <w:position w:val="4"/>
        </w:rPr>
        <w:drawing>
          <wp:inline distT="0" distB="0" distL="0" distR="0">
            <wp:extent cx="59207" cy="59207"/>
            <wp:effectExtent l="0" t="0" r="0" b="0"/>
            <wp:docPr id="261" name="Image 261"/>
            <wp:cNvGraphicFramePr>
              <a:graphicFrameLocks/>
            </wp:cNvGraphicFramePr>
            <a:graphic>
              <a:graphicData uri="http://schemas.openxmlformats.org/drawingml/2006/picture">
                <pic:pic>
                  <pic:nvPicPr>
                    <pic:cNvPr id="261" name="Image 261"/>
                    <pic:cNvPicPr/>
                  </pic:nvPicPr>
                  <pic:blipFill>
                    <a:blip r:embed="rId9" cstate="print"/>
                    <a:stretch>
                      <a:fillRect/>
                    </a:stretch>
                  </pic:blipFill>
                  <pic:spPr>
                    <a:xfrm>
                      <a:off x="0" y="0"/>
                      <a:ext cx="59207" cy="59207"/>
                    </a:xfrm>
                    <a:prstGeom prst="rect">
                      <a:avLst/>
                    </a:prstGeom>
                  </pic:spPr>
                </pic:pic>
              </a:graphicData>
            </a:graphic>
          </wp:inline>
        </w:drawing>
      </w:r>
      <w:r>
        <w:rPr>
          <w:position w:val="4"/>
        </w:rPr>
      </w:r>
      <w:r>
        <w:rPr>
          <w:rFonts w:ascii="Times New Roman"/>
          <w:spacing w:val="80"/>
          <w:sz w:val="20"/>
        </w:rPr>
        <w:t> </w:t>
      </w:r>
      <w:r>
        <w:rPr>
          <w:color w:val="231F20"/>
        </w:rPr>
        <w:t>The</w:t>
      </w:r>
      <w:r>
        <w:rPr>
          <w:color w:val="231F20"/>
          <w:spacing w:val="-17"/>
        </w:rPr>
        <w:t> </w:t>
      </w:r>
      <w:r>
        <w:rPr>
          <w:color w:val="231F20"/>
        </w:rPr>
        <w:t>time</w:t>
      </w:r>
      <w:r>
        <w:rPr>
          <w:color w:val="231F20"/>
          <w:spacing w:val="-16"/>
        </w:rPr>
        <w:t> </w:t>
      </w:r>
      <w:r>
        <w:rPr>
          <w:color w:val="231F20"/>
        </w:rPr>
        <w:t>lost</w:t>
      </w:r>
      <w:r>
        <w:rPr>
          <w:color w:val="231F20"/>
          <w:spacing w:val="-17"/>
        </w:rPr>
        <w:t> </w:t>
      </w:r>
      <w:r>
        <w:rPr>
          <w:color w:val="231F20"/>
        </w:rPr>
        <w:t>in</w:t>
      </w:r>
      <w:r>
        <w:rPr>
          <w:color w:val="231F20"/>
          <w:spacing w:val="-16"/>
        </w:rPr>
        <w:t> </w:t>
      </w:r>
      <w:r>
        <w:rPr>
          <w:color w:val="231F20"/>
        </w:rPr>
        <w:t>searching</w:t>
      </w:r>
      <w:r>
        <w:rPr>
          <w:color w:val="231F20"/>
          <w:spacing w:val="-17"/>
        </w:rPr>
        <w:t> </w:t>
      </w:r>
      <w:r>
        <w:rPr>
          <w:color w:val="231F20"/>
        </w:rPr>
        <w:t>for</w:t>
      </w:r>
      <w:r>
        <w:rPr>
          <w:color w:val="231F20"/>
          <w:spacing w:val="-16"/>
        </w:rPr>
        <w:t> </w:t>
      </w:r>
      <w:r>
        <w:rPr>
          <w:color w:val="231F20"/>
        </w:rPr>
        <w:t>alternative solutions</w:t>
      </w:r>
      <w:r>
        <w:rPr>
          <w:color w:val="231F20"/>
          <w:spacing w:val="-1"/>
        </w:rPr>
        <w:t> </w:t>
      </w:r>
      <w:r>
        <w:rPr>
          <w:color w:val="231F20"/>
        </w:rPr>
        <w:t>to</w:t>
      </w:r>
      <w:r>
        <w:rPr>
          <w:color w:val="231F20"/>
          <w:spacing w:val="-1"/>
        </w:rPr>
        <w:t> </w:t>
      </w:r>
      <w:r>
        <w:rPr>
          <w:color w:val="231F20"/>
        </w:rPr>
        <w:t>the</w:t>
      </w:r>
      <w:r>
        <w:rPr>
          <w:color w:val="231F20"/>
          <w:spacing w:val="-1"/>
        </w:rPr>
        <w:t> </w:t>
      </w:r>
      <w:r>
        <w:rPr>
          <w:color w:val="231F20"/>
        </w:rPr>
        <w:t>daily</w:t>
      </w:r>
      <w:r>
        <w:rPr>
          <w:color w:val="231F20"/>
          <w:spacing w:val="-1"/>
        </w:rPr>
        <w:t> </w:t>
      </w:r>
      <w:r>
        <w:rPr>
          <w:color w:val="231F20"/>
        </w:rPr>
        <w:t>problems</w:t>
      </w:r>
      <w:r>
        <w:rPr>
          <w:color w:val="231F20"/>
          <w:spacing w:val="-1"/>
        </w:rPr>
        <w:t> </w:t>
      </w:r>
      <w:r>
        <w:rPr>
          <w:color w:val="231F20"/>
        </w:rPr>
        <w:t>created by the blockade.</w:t>
      </w:r>
    </w:p>
    <w:p>
      <w:pPr>
        <w:pStyle w:val="BodyText"/>
        <w:spacing w:before="163"/>
        <w:ind w:left="674" w:right="1131" w:hanging="261"/>
      </w:pPr>
      <w:r>
        <w:rPr>
          <w:position w:val="6"/>
        </w:rPr>
        <w:drawing>
          <wp:inline distT="0" distB="0" distL="0" distR="0">
            <wp:extent cx="59207" cy="59207"/>
            <wp:effectExtent l="0" t="0" r="0" b="0"/>
            <wp:docPr id="262" name="Image 262"/>
            <wp:cNvGraphicFramePr>
              <a:graphicFrameLocks/>
            </wp:cNvGraphicFramePr>
            <a:graphic>
              <a:graphicData uri="http://schemas.openxmlformats.org/drawingml/2006/picture">
                <pic:pic>
                  <pic:nvPicPr>
                    <pic:cNvPr id="262" name="Image 262"/>
                    <pic:cNvPicPr/>
                  </pic:nvPicPr>
                  <pic:blipFill>
                    <a:blip r:embed="rId11" cstate="print"/>
                    <a:stretch>
                      <a:fillRect/>
                    </a:stretch>
                  </pic:blipFill>
                  <pic:spPr>
                    <a:xfrm>
                      <a:off x="0" y="0"/>
                      <a:ext cx="59207" cy="59207"/>
                    </a:xfrm>
                    <a:prstGeom prst="rect">
                      <a:avLst/>
                    </a:prstGeom>
                  </pic:spPr>
                </pic:pic>
              </a:graphicData>
            </a:graphic>
          </wp:inline>
        </w:drawing>
      </w:r>
      <w:r>
        <w:rPr>
          <w:position w:val="6"/>
        </w:rPr>
      </w:r>
      <w:r>
        <w:rPr>
          <w:rFonts w:ascii="Times New Roman" w:hAnsi="Times New Roman"/>
          <w:spacing w:val="80"/>
          <w:sz w:val="20"/>
        </w:rPr>
        <w:t> </w:t>
      </w:r>
      <w:r>
        <w:rPr>
          <w:color w:val="231F20"/>
        </w:rPr>
        <w:t>The cumulative effect of over 60 years of this policy’s application on the perception</w:t>
      </w:r>
      <w:r>
        <w:rPr>
          <w:color w:val="231F20"/>
          <w:spacing w:val="-11"/>
        </w:rPr>
        <w:t> </w:t>
      </w:r>
      <w:r>
        <w:rPr>
          <w:color w:val="231F20"/>
        </w:rPr>
        <w:t>of</w:t>
      </w:r>
      <w:r>
        <w:rPr>
          <w:color w:val="231F20"/>
          <w:spacing w:val="-10"/>
        </w:rPr>
        <w:t> </w:t>
      </w:r>
      <w:r>
        <w:rPr>
          <w:color w:val="231F20"/>
        </w:rPr>
        <w:t>Cuba’s</w:t>
      </w:r>
      <w:r>
        <w:rPr>
          <w:color w:val="231F20"/>
          <w:spacing w:val="-11"/>
        </w:rPr>
        <w:t> </w:t>
      </w:r>
      <w:r>
        <w:rPr>
          <w:color w:val="231F20"/>
        </w:rPr>
        <w:t>social</w:t>
      </w:r>
      <w:r>
        <w:rPr>
          <w:color w:val="231F20"/>
          <w:spacing w:val="-10"/>
        </w:rPr>
        <w:t> </w:t>
      </w:r>
      <w:r>
        <w:rPr>
          <w:color w:val="231F20"/>
        </w:rPr>
        <w:t>project,</w:t>
      </w:r>
      <w:r>
        <w:rPr>
          <w:color w:val="231F20"/>
          <w:spacing w:val="-11"/>
        </w:rPr>
        <w:t> </w:t>
      </w:r>
      <w:r>
        <w:rPr>
          <w:color w:val="231F20"/>
        </w:rPr>
        <w:t>and erosion of its potential.</w:t>
      </w:r>
    </w:p>
    <w:p>
      <w:pPr>
        <w:pStyle w:val="BodyText"/>
        <w:spacing w:before="163"/>
        <w:ind w:left="674" w:right="1131" w:hanging="261"/>
      </w:pPr>
      <w:r>
        <w:rPr>
          <w:position w:val="6"/>
        </w:rPr>
        <w:drawing>
          <wp:inline distT="0" distB="0" distL="0" distR="0">
            <wp:extent cx="59207" cy="59207"/>
            <wp:effectExtent l="0" t="0" r="0" b="0"/>
            <wp:docPr id="263" name="Image 263"/>
            <wp:cNvGraphicFramePr>
              <a:graphicFrameLocks/>
            </wp:cNvGraphicFramePr>
            <a:graphic>
              <a:graphicData uri="http://schemas.openxmlformats.org/drawingml/2006/picture">
                <pic:pic>
                  <pic:nvPicPr>
                    <pic:cNvPr id="263" name="Image 263"/>
                    <pic:cNvPicPr/>
                  </pic:nvPicPr>
                  <pic:blipFill>
                    <a:blip r:embed="rId11" cstate="print"/>
                    <a:stretch>
                      <a:fillRect/>
                    </a:stretch>
                  </pic:blipFill>
                  <pic:spPr>
                    <a:xfrm>
                      <a:off x="0" y="0"/>
                      <a:ext cx="59207" cy="59207"/>
                    </a:xfrm>
                    <a:prstGeom prst="rect">
                      <a:avLst/>
                    </a:prstGeom>
                  </pic:spPr>
                </pic:pic>
              </a:graphicData>
            </a:graphic>
          </wp:inline>
        </w:drawing>
      </w:r>
      <w:r>
        <w:rPr>
          <w:position w:val="6"/>
        </w:rPr>
      </w:r>
      <w:r>
        <w:rPr>
          <w:rFonts w:ascii="Times New Roman"/>
          <w:spacing w:val="40"/>
          <w:sz w:val="20"/>
        </w:rPr>
        <w:t> </w:t>
      </w:r>
      <w:r>
        <w:rPr>
          <w:color w:val="231F20"/>
        </w:rPr>
        <w:t>The levels of popular disenchantment, suffering, dissatisfaction </w:t>
      </w:r>
      <w:r>
        <w:rPr>
          <w:color w:val="231F20"/>
        </w:rPr>
        <w:t>and desperation</w:t>
      </w:r>
      <w:r>
        <w:rPr>
          <w:color w:val="231F20"/>
          <w:spacing w:val="-17"/>
        </w:rPr>
        <w:t> </w:t>
      </w:r>
      <w:r>
        <w:rPr>
          <w:color w:val="231F20"/>
        </w:rPr>
        <w:t>caused</w:t>
      </w:r>
      <w:r>
        <w:rPr>
          <w:color w:val="231F20"/>
          <w:spacing w:val="-16"/>
        </w:rPr>
        <w:t> </w:t>
      </w:r>
      <w:r>
        <w:rPr>
          <w:color w:val="231F20"/>
        </w:rPr>
        <w:t>by</w:t>
      </w:r>
      <w:r>
        <w:rPr>
          <w:color w:val="231F20"/>
          <w:spacing w:val="-17"/>
        </w:rPr>
        <w:t> </w:t>
      </w:r>
      <w:r>
        <w:rPr>
          <w:color w:val="231F20"/>
        </w:rPr>
        <w:t>the</w:t>
      </w:r>
      <w:r>
        <w:rPr>
          <w:color w:val="231F20"/>
          <w:spacing w:val="-16"/>
        </w:rPr>
        <w:t> </w:t>
      </w:r>
      <w:r>
        <w:rPr>
          <w:color w:val="231F20"/>
        </w:rPr>
        <w:t>uncertainties in</w:t>
      </w:r>
      <w:r>
        <w:rPr>
          <w:color w:val="231F20"/>
          <w:spacing w:val="80"/>
        </w:rPr>
        <w:t> </w:t>
      </w:r>
      <w:r>
        <w:rPr>
          <w:color w:val="231F20"/>
        </w:rPr>
        <w:t>the</w:t>
      </w:r>
      <w:r>
        <w:rPr>
          <w:color w:val="231F20"/>
          <w:spacing w:val="80"/>
        </w:rPr>
        <w:t> </w:t>
      </w:r>
      <w:r>
        <w:rPr>
          <w:color w:val="231F20"/>
        </w:rPr>
        <w:t>supply</w:t>
      </w:r>
      <w:r>
        <w:rPr>
          <w:color w:val="231F20"/>
          <w:spacing w:val="80"/>
        </w:rPr>
        <w:t> </w:t>
      </w:r>
      <w:r>
        <w:rPr>
          <w:color w:val="231F20"/>
        </w:rPr>
        <w:t>of</w:t>
      </w:r>
      <w:r>
        <w:rPr>
          <w:color w:val="231F20"/>
          <w:spacing w:val="80"/>
        </w:rPr>
        <w:t> </w:t>
      </w:r>
      <w:r>
        <w:rPr>
          <w:color w:val="231F20"/>
        </w:rPr>
        <w:t>essential</w:t>
      </w:r>
      <w:r>
        <w:rPr>
          <w:color w:val="231F20"/>
          <w:spacing w:val="80"/>
        </w:rPr>
        <w:t> </w:t>
      </w:r>
      <w:r>
        <w:rPr>
          <w:color w:val="231F20"/>
        </w:rPr>
        <w:t>goods and services, among other material </w:t>
      </w:r>
      <w:r>
        <w:rPr>
          <w:color w:val="231F20"/>
          <w:spacing w:val="-2"/>
        </w:rPr>
        <w:t>difficulties.</w:t>
      </w:r>
    </w:p>
    <w:p>
      <w:pPr>
        <w:pStyle w:val="BodyText"/>
        <w:spacing w:before="164"/>
        <w:ind w:left="674" w:right="1134" w:hanging="261"/>
      </w:pPr>
      <w:r>
        <w:rPr>
          <w:position w:val="6"/>
        </w:rPr>
        <w:drawing>
          <wp:inline distT="0" distB="0" distL="0" distR="0">
            <wp:extent cx="59207" cy="59207"/>
            <wp:effectExtent l="0" t="0" r="0" b="0"/>
            <wp:docPr id="264" name="Image 264"/>
            <wp:cNvGraphicFramePr>
              <a:graphicFrameLocks/>
            </wp:cNvGraphicFramePr>
            <a:graphic>
              <a:graphicData uri="http://schemas.openxmlformats.org/drawingml/2006/picture">
                <pic:pic>
                  <pic:nvPicPr>
                    <pic:cNvPr id="264" name="Image 264"/>
                    <pic:cNvPicPr/>
                  </pic:nvPicPr>
                  <pic:blipFill>
                    <a:blip r:embed="rId11" cstate="print"/>
                    <a:stretch>
                      <a:fillRect/>
                    </a:stretch>
                  </pic:blipFill>
                  <pic:spPr>
                    <a:xfrm>
                      <a:off x="0" y="0"/>
                      <a:ext cx="59207" cy="59207"/>
                    </a:xfrm>
                    <a:prstGeom prst="rect">
                      <a:avLst/>
                    </a:prstGeom>
                  </pic:spPr>
                </pic:pic>
              </a:graphicData>
            </a:graphic>
          </wp:inline>
        </w:drawing>
      </w:r>
      <w:r>
        <w:rPr>
          <w:position w:val="6"/>
        </w:rPr>
      </w:r>
      <w:r>
        <w:rPr>
          <w:rFonts w:ascii="Times New Roman"/>
          <w:spacing w:val="2"/>
          <w:sz w:val="20"/>
        </w:rPr>
        <w:t> </w:t>
      </w:r>
      <w:r>
        <w:rPr>
          <w:color w:val="231F20"/>
          <w:spacing w:val="-2"/>
        </w:rPr>
        <w:t>The</w:t>
      </w:r>
      <w:r>
        <w:rPr>
          <w:color w:val="231F20"/>
          <w:spacing w:val="-14"/>
        </w:rPr>
        <w:t> </w:t>
      </w:r>
      <w:r>
        <w:rPr>
          <w:color w:val="231F20"/>
          <w:spacing w:val="-2"/>
        </w:rPr>
        <w:t>psychological</w:t>
      </w:r>
      <w:r>
        <w:rPr>
          <w:color w:val="231F20"/>
          <w:spacing w:val="-14"/>
        </w:rPr>
        <w:t> </w:t>
      </w:r>
      <w:r>
        <w:rPr>
          <w:color w:val="231F20"/>
          <w:spacing w:val="-2"/>
        </w:rPr>
        <w:t>damage</w:t>
      </w:r>
      <w:r>
        <w:rPr>
          <w:color w:val="231F20"/>
          <w:spacing w:val="-15"/>
        </w:rPr>
        <w:t> </w:t>
      </w:r>
      <w:r>
        <w:rPr>
          <w:color w:val="231F20"/>
          <w:spacing w:val="-2"/>
        </w:rPr>
        <w:t>from</w:t>
      </w:r>
      <w:r>
        <w:rPr>
          <w:color w:val="231F20"/>
          <w:spacing w:val="-14"/>
        </w:rPr>
        <w:t> </w:t>
      </w:r>
      <w:r>
        <w:rPr>
          <w:color w:val="231F20"/>
          <w:spacing w:val="-2"/>
        </w:rPr>
        <w:t>curtailed life</w:t>
      </w:r>
      <w:r>
        <w:rPr>
          <w:color w:val="231F20"/>
          <w:spacing w:val="-15"/>
        </w:rPr>
        <w:t> </w:t>
      </w:r>
      <w:r>
        <w:rPr>
          <w:color w:val="231F20"/>
          <w:spacing w:val="-2"/>
        </w:rPr>
        <w:t>plans</w:t>
      </w:r>
      <w:r>
        <w:rPr>
          <w:color w:val="231F20"/>
          <w:spacing w:val="-14"/>
        </w:rPr>
        <w:t> </w:t>
      </w:r>
      <w:r>
        <w:rPr>
          <w:color w:val="231F20"/>
          <w:spacing w:val="-2"/>
        </w:rPr>
        <w:t>and</w:t>
      </w:r>
      <w:r>
        <w:rPr>
          <w:color w:val="231F20"/>
          <w:spacing w:val="-15"/>
        </w:rPr>
        <w:t> </w:t>
      </w:r>
      <w:r>
        <w:rPr>
          <w:color w:val="231F20"/>
          <w:spacing w:val="-2"/>
        </w:rPr>
        <w:t>the</w:t>
      </w:r>
      <w:r>
        <w:rPr>
          <w:color w:val="231F20"/>
          <w:spacing w:val="-14"/>
        </w:rPr>
        <w:t> </w:t>
      </w:r>
      <w:r>
        <w:rPr>
          <w:color w:val="231F20"/>
          <w:spacing w:val="-2"/>
        </w:rPr>
        <w:t>breaking</w:t>
      </w:r>
      <w:r>
        <w:rPr>
          <w:color w:val="231F20"/>
          <w:spacing w:val="-15"/>
        </w:rPr>
        <w:t> </w:t>
      </w:r>
      <w:r>
        <w:rPr>
          <w:color w:val="231F20"/>
          <w:spacing w:val="-2"/>
        </w:rPr>
        <w:t>up</w:t>
      </w:r>
      <w:r>
        <w:rPr>
          <w:color w:val="231F20"/>
          <w:spacing w:val="-14"/>
        </w:rPr>
        <w:t> </w:t>
      </w:r>
      <w:r>
        <w:rPr>
          <w:color w:val="231F20"/>
          <w:spacing w:val="-2"/>
        </w:rPr>
        <w:t>of</w:t>
      </w:r>
      <w:r>
        <w:rPr>
          <w:color w:val="231F20"/>
          <w:spacing w:val="-15"/>
        </w:rPr>
        <w:t> </w:t>
      </w:r>
      <w:r>
        <w:rPr>
          <w:color w:val="231F20"/>
          <w:spacing w:val="-2"/>
        </w:rPr>
        <w:t>families </w:t>
      </w:r>
      <w:r>
        <w:rPr>
          <w:color w:val="231F20"/>
        </w:rPr>
        <w:t>in pursuing their legitimate aspirations to development.</w:t>
      </w:r>
    </w:p>
    <w:p>
      <w:pPr>
        <w:pStyle w:val="BodyText"/>
        <w:spacing w:before="164"/>
        <w:ind w:left="413"/>
        <w:jc w:val="left"/>
      </w:pPr>
      <w:r>
        <w:rPr>
          <w:position w:val="6"/>
        </w:rPr>
        <w:drawing>
          <wp:inline distT="0" distB="0" distL="0" distR="0">
            <wp:extent cx="59207" cy="59207"/>
            <wp:effectExtent l="0" t="0" r="0" b="0"/>
            <wp:docPr id="265" name="Image 265"/>
            <wp:cNvGraphicFramePr>
              <a:graphicFrameLocks/>
            </wp:cNvGraphicFramePr>
            <a:graphic>
              <a:graphicData uri="http://schemas.openxmlformats.org/drawingml/2006/picture">
                <pic:pic>
                  <pic:nvPicPr>
                    <pic:cNvPr id="265" name="Image 265"/>
                    <pic:cNvPicPr/>
                  </pic:nvPicPr>
                  <pic:blipFill>
                    <a:blip r:embed="rId9" cstate="print"/>
                    <a:stretch>
                      <a:fillRect/>
                    </a:stretch>
                  </pic:blipFill>
                  <pic:spPr>
                    <a:xfrm>
                      <a:off x="0" y="0"/>
                      <a:ext cx="59207" cy="59207"/>
                    </a:xfrm>
                    <a:prstGeom prst="rect">
                      <a:avLst/>
                    </a:prstGeom>
                  </pic:spPr>
                </pic:pic>
              </a:graphicData>
            </a:graphic>
          </wp:inline>
        </w:drawing>
      </w:r>
      <w:r>
        <w:rPr>
          <w:position w:val="6"/>
        </w:rPr>
      </w:r>
      <w:r>
        <w:rPr>
          <w:rFonts w:ascii="Times New Roman" w:hAnsi="Times New Roman"/>
          <w:spacing w:val="80"/>
          <w:w w:val="150"/>
          <w:sz w:val="20"/>
        </w:rPr>
        <w:t> </w:t>
      </w:r>
      <w:r>
        <w:rPr>
          <w:color w:val="231F20"/>
          <w:spacing w:val="-4"/>
        </w:rPr>
        <w:t>The blockade’s impact on the right to life.</w:t>
      </w:r>
    </w:p>
    <w:p>
      <w:pPr>
        <w:pStyle w:val="BodyText"/>
        <w:spacing w:before="160"/>
        <w:ind w:left="674" w:right="1131" w:hanging="261"/>
      </w:pPr>
      <w:r>
        <w:rPr>
          <w:position w:val="6"/>
        </w:rPr>
        <w:drawing>
          <wp:inline distT="0" distB="0" distL="0" distR="0">
            <wp:extent cx="59207" cy="59207"/>
            <wp:effectExtent l="0" t="0" r="0" b="0"/>
            <wp:docPr id="266" name="Image 266"/>
            <wp:cNvGraphicFramePr>
              <a:graphicFrameLocks/>
            </wp:cNvGraphicFramePr>
            <a:graphic>
              <a:graphicData uri="http://schemas.openxmlformats.org/drawingml/2006/picture">
                <pic:pic>
                  <pic:nvPicPr>
                    <pic:cNvPr id="266" name="Image 266"/>
                    <pic:cNvPicPr/>
                  </pic:nvPicPr>
                  <pic:blipFill>
                    <a:blip r:embed="rId11" cstate="print"/>
                    <a:stretch>
                      <a:fillRect/>
                    </a:stretch>
                  </pic:blipFill>
                  <pic:spPr>
                    <a:xfrm>
                      <a:off x="0" y="0"/>
                      <a:ext cx="59207" cy="59207"/>
                    </a:xfrm>
                    <a:prstGeom prst="rect">
                      <a:avLst/>
                    </a:prstGeom>
                  </pic:spPr>
                </pic:pic>
              </a:graphicData>
            </a:graphic>
          </wp:inline>
        </w:drawing>
      </w:r>
      <w:r>
        <w:rPr>
          <w:position w:val="6"/>
        </w:rPr>
      </w:r>
      <w:r>
        <w:rPr>
          <w:rFonts w:ascii="Times New Roman"/>
          <w:spacing w:val="80"/>
          <w:sz w:val="20"/>
        </w:rPr>
        <w:t> </w:t>
      </w:r>
      <w:r>
        <w:rPr>
          <w:color w:val="231F20"/>
        </w:rPr>
        <w:t>The lives lost as a result of the irregular migration from Cuba to the </w:t>
      </w:r>
      <w:r>
        <w:rPr>
          <w:color w:val="231F20"/>
        </w:rPr>
        <w:t>United </w:t>
      </w:r>
      <w:r>
        <w:rPr>
          <w:color w:val="231F20"/>
          <w:spacing w:val="-2"/>
        </w:rPr>
        <w:t>States.</w:t>
      </w:r>
    </w:p>
    <w:p>
      <w:pPr>
        <w:spacing w:after="0"/>
        <w:sectPr>
          <w:pgSz w:w="11910" w:h="16840"/>
          <w:pgMar w:header="0" w:footer="695" w:top="1260" w:bottom="880" w:left="0" w:right="0"/>
          <w:cols w:num="2" w:equalWidth="0">
            <w:col w:w="5897" w:space="40"/>
            <w:col w:w="5973"/>
          </w:cols>
        </w:sectPr>
      </w:pPr>
    </w:p>
    <w:p>
      <w:pPr>
        <w:pStyle w:val="BodyText"/>
        <w:spacing w:before="77"/>
        <w:ind w:left="1394" w:right="6347" w:hanging="261"/>
      </w:pPr>
      <w:r>
        <w:rPr>
          <w:position w:val="4"/>
        </w:rPr>
        <w:drawing>
          <wp:inline distT="0" distB="0" distL="0" distR="0">
            <wp:extent cx="59207" cy="59207"/>
            <wp:effectExtent l="0" t="0" r="0" b="0"/>
            <wp:docPr id="267" name="Image 267"/>
            <wp:cNvGraphicFramePr>
              <a:graphicFrameLocks/>
            </wp:cNvGraphicFramePr>
            <a:graphic>
              <a:graphicData uri="http://schemas.openxmlformats.org/drawingml/2006/picture">
                <pic:pic>
                  <pic:nvPicPr>
                    <pic:cNvPr id="267" name="Image 267"/>
                    <pic:cNvPicPr/>
                  </pic:nvPicPr>
                  <pic:blipFill>
                    <a:blip r:embed="rId10" cstate="print"/>
                    <a:stretch>
                      <a:fillRect/>
                    </a:stretch>
                  </pic:blipFill>
                  <pic:spPr>
                    <a:xfrm>
                      <a:off x="0" y="0"/>
                      <a:ext cx="59207" cy="59207"/>
                    </a:xfrm>
                    <a:prstGeom prst="rect">
                      <a:avLst/>
                    </a:prstGeom>
                  </pic:spPr>
                </pic:pic>
              </a:graphicData>
            </a:graphic>
          </wp:inline>
        </w:drawing>
      </w:r>
      <w:r>
        <w:rPr>
          <w:position w:val="4"/>
        </w:rPr>
      </w:r>
      <w:r>
        <w:rPr>
          <w:rFonts w:ascii="Times New Roman"/>
          <w:spacing w:val="40"/>
          <w:sz w:val="20"/>
        </w:rPr>
        <w:t> </w:t>
      </w:r>
      <w:r>
        <w:rPr>
          <w:color w:val="231F20"/>
        </w:rPr>
        <w:t>The lives lost through the inability to obtain drugs and treatments of choice for progressive and serious illnesses.</w:t>
      </w:r>
    </w:p>
    <w:p>
      <w:pPr>
        <w:pStyle w:val="BodyText"/>
        <w:spacing w:before="162"/>
        <w:ind w:left="1133" w:right="6348"/>
      </w:pPr>
      <w:r>
        <w:rPr>
          <w:color w:val="231F20"/>
          <w:spacing w:val="-6"/>
        </w:rPr>
        <w:t>Another</w:t>
      </w:r>
      <w:r>
        <w:rPr>
          <w:color w:val="231F20"/>
          <w:spacing w:val="-11"/>
        </w:rPr>
        <w:t> </w:t>
      </w:r>
      <w:r>
        <w:rPr>
          <w:color w:val="231F20"/>
          <w:spacing w:val="-6"/>
        </w:rPr>
        <w:t>prime</w:t>
      </w:r>
      <w:r>
        <w:rPr>
          <w:color w:val="231F20"/>
          <w:spacing w:val="-10"/>
        </w:rPr>
        <w:t> </w:t>
      </w:r>
      <w:r>
        <w:rPr>
          <w:color w:val="231F20"/>
          <w:spacing w:val="-6"/>
        </w:rPr>
        <w:t>example</w:t>
      </w:r>
      <w:r>
        <w:rPr>
          <w:color w:val="231F20"/>
          <w:spacing w:val="-11"/>
        </w:rPr>
        <w:t> </w:t>
      </w:r>
      <w:r>
        <w:rPr>
          <w:color w:val="231F20"/>
          <w:spacing w:val="-6"/>
        </w:rPr>
        <w:t>of</w:t>
      </w:r>
      <w:r>
        <w:rPr>
          <w:color w:val="231F20"/>
          <w:spacing w:val="-10"/>
        </w:rPr>
        <w:t> </w:t>
      </w:r>
      <w:r>
        <w:rPr>
          <w:color w:val="231F20"/>
          <w:spacing w:val="-6"/>
        </w:rPr>
        <w:t>an</w:t>
      </w:r>
      <w:r>
        <w:rPr>
          <w:color w:val="231F20"/>
          <w:spacing w:val="-11"/>
        </w:rPr>
        <w:t> </w:t>
      </w:r>
      <w:r>
        <w:rPr>
          <w:color w:val="231F20"/>
          <w:spacing w:val="-6"/>
        </w:rPr>
        <w:t>unquantifiable </w:t>
      </w:r>
      <w:r>
        <w:rPr>
          <w:color w:val="231F20"/>
          <w:spacing w:val="-2"/>
        </w:rPr>
        <w:t>effect</w:t>
      </w:r>
      <w:r>
        <w:rPr>
          <w:color w:val="231F20"/>
          <w:spacing w:val="-15"/>
        </w:rPr>
        <w:t> </w:t>
      </w:r>
      <w:r>
        <w:rPr>
          <w:color w:val="231F20"/>
          <w:spacing w:val="-2"/>
        </w:rPr>
        <w:t>that</w:t>
      </w:r>
      <w:r>
        <w:rPr>
          <w:color w:val="231F20"/>
          <w:spacing w:val="-14"/>
        </w:rPr>
        <w:t> </w:t>
      </w:r>
      <w:r>
        <w:rPr>
          <w:color w:val="231F20"/>
          <w:spacing w:val="-2"/>
        </w:rPr>
        <w:t>epitomizes</w:t>
      </w:r>
      <w:r>
        <w:rPr>
          <w:color w:val="231F20"/>
          <w:spacing w:val="-15"/>
        </w:rPr>
        <w:t> </w:t>
      </w:r>
      <w:r>
        <w:rPr>
          <w:color w:val="231F20"/>
          <w:spacing w:val="-2"/>
        </w:rPr>
        <w:t>this</w:t>
      </w:r>
      <w:r>
        <w:rPr>
          <w:color w:val="231F20"/>
          <w:spacing w:val="-14"/>
        </w:rPr>
        <w:t> </w:t>
      </w:r>
      <w:r>
        <w:rPr>
          <w:color w:val="231F20"/>
          <w:spacing w:val="-2"/>
        </w:rPr>
        <w:t>web</w:t>
      </w:r>
      <w:r>
        <w:rPr>
          <w:color w:val="231F20"/>
          <w:spacing w:val="-15"/>
        </w:rPr>
        <w:t> </w:t>
      </w:r>
      <w:r>
        <w:rPr>
          <w:color w:val="231F20"/>
          <w:spacing w:val="-2"/>
        </w:rPr>
        <w:t>of</w:t>
      </w:r>
      <w:r>
        <w:rPr>
          <w:color w:val="231F20"/>
          <w:spacing w:val="-14"/>
        </w:rPr>
        <w:t> </w:t>
      </w:r>
      <w:r>
        <w:rPr>
          <w:color w:val="231F20"/>
          <w:spacing w:val="-2"/>
        </w:rPr>
        <w:t>unilateral </w:t>
      </w:r>
      <w:r>
        <w:rPr>
          <w:color w:val="231F20"/>
        </w:rPr>
        <w:t>coercive measures is the arbitrary and </w:t>
      </w:r>
      <w:r>
        <w:rPr>
          <w:color w:val="231F20"/>
          <w:spacing w:val="-4"/>
        </w:rPr>
        <w:t>discriminatory</w:t>
      </w:r>
      <w:r>
        <w:rPr>
          <w:color w:val="231F20"/>
          <w:spacing w:val="-10"/>
        </w:rPr>
        <w:t> </w:t>
      </w:r>
      <w:r>
        <w:rPr>
          <w:color w:val="231F20"/>
          <w:spacing w:val="-4"/>
        </w:rPr>
        <w:t>restriction</w:t>
      </w:r>
      <w:r>
        <w:rPr>
          <w:color w:val="231F20"/>
          <w:spacing w:val="-10"/>
        </w:rPr>
        <w:t> </w:t>
      </w:r>
      <w:r>
        <w:rPr>
          <w:color w:val="231F20"/>
          <w:spacing w:val="-4"/>
        </w:rPr>
        <w:t>on</w:t>
      </w:r>
      <w:r>
        <w:rPr>
          <w:color w:val="231F20"/>
          <w:spacing w:val="-10"/>
        </w:rPr>
        <w:t> </w:t>
      </w:r>
      <w:r>
        <w:rPr>
          <w:color w:val="231F20"/>
          <w:spacing w:val="-4"/>
        </w:rPr>
        <w:t>the</w:t>
      </w:r>
      <w:r>
        <w:rPr>
          <w:color w:val="231F20"/>
          <w:spacing w:val="-10"/>
        </w:rPr>
        <w:t> </w:t>
      </w:r>
      <w:r>
        <w:rPr>
          <w:color w:val="231F20"/>
          <w:spacing w:val="-4"/>
        </w:rPr>
        <w:t>movement </w:t>
      </w:r>
      <w:r>
        <w:rPr>
          <w:color w:val="231F20"/>
        </w:rPr>
        <w:t>of Cuban diplomats accredited to the UN </w:t>
      </w:r>
      <w:r>
        <w:rPr>
          <w:color w:val="231F20"/>
          <w:spacing w:val="-6"/>
        </w:rPr>
        <w:t>headquarters</w:t>
      </w:r>
      <w:r>
        <w:rPr>
          <w:color w:val="231F20"/>
          <w:spacing w:val="-9"/>
        </w:rPr>
        <w:t> </w:t>
      </w:r>
      <w:r>
        <w:rPr>
          <w:color w:val="231F20"/>
          <w:spacing w:val="-6"/>
        </w:rPr>
        <w:t>in</w:t>
      </w:r>
      <w:r>
        <w:rPr>
          <w:color w:val="231F20"/>
          <w:spacing w:val="-9"/>
        </w:rPr>
        <w:t> </w:t>
      </w:r>
      <w:r>
        <w:rPr>
          <w:color w:val="231F20"/>
          <w:spacing w:val="-6"/>
        </w:rPr>
        <w:t>New</w:t>
      </w:r>
      <w:r>
        <w:rPr>
          <w:color w:val="231F20"/>
          <w:spacing w:val="-9"/>
        </w:rPr>
        <w:t> </w:t>
      </w:r>
      <w:r>
        <w:rPr>
          <w:color w:val="231F20"/>
          <w:spacing w:val="-6"/>
        </w:rPr>
        <w:t>York.</w:t>
      </w:r>
      <w:r>
        <w:rPr>
          <w:color w:val="231F20"/>
          <w:spacing w:val="-9"/>
        </w:rPr>
        <w:t> </w:t>
      </w:r>
      <w:r>
        <w:rPr>
          <w:color w:val="231F20"/>
          <w:spacing w:val="-6"/>
        </w:rPr>
        <w:t>This</w:t>
      </w:r>
      <w:r>
        <w:rPr>
          <w:color w:val="231F20"/>
          <w:spacing w:val="-9"/>
        </w:rPr>
        <w:t> </w:t>
      </w:r>
      <w:r>
        <w:rPr>
          <w:color w:val="231F20"/>
          <w:spacing w:val="-6"/>
        </w:rPr>
        <w:t>measure</w:t>
      </w:r>
      <w:r>
        <w:rPr>
          <w:color w:val="231F20"/>
          <w:spacing w:val="-9"/>
        </w:rPr>
        <w:t> </w:t>
      </w:r>
      <w:r>
        <w:rPr>
          <w:color w:val="231F20"/>
          <w:spacing w:val="-6"/>
        </w:rPr>
        <w:t>is</w:t>
      </w:r>
      <w:r>
        <w:rPr>
          <w:color w:val="231F20"/>
          <w:spacing w:val="-9"/>
        </w:rPr>
        <w:t> </w:t>
      </w:r>
      <w:r>
        <w:rPr>
          <w:color w:val="231F20"/>
          <w:spacing w:val="-6"/>
        </w:rPr>
        <w:t>a </w:t>
      </w:r>
      <w:r>
        <w:rPr>
          <w:color w:val="231F20"/>
          <w:spacing w:val="-4"/>
        </w:rPr>
        <w:t>breach</w:t>
      </w:r>
      <w:r>
        <w:rPr>
          <w:color w:val="231F20"/>
          <w:spacing w:val="-13"/>
        </w:rPr>
        <w:t> </w:t>
      </w:r>
      <w:r>
        <w:rPr>
          <w:color w:val="231F20"/>
          <w:spacing w:val="-4"/>
        </w:rPr>
        <w:t>of</w:t>
      </w:r>
      <w:r>
        <w:rPr>
          <w:color w:val="231F20"/>
          <w:spacing w:val="-12"/>
        </w:rPr>
        <w:t> </w:t>
      </w:r>
      <w:r>
        <w:rPr>
          <w:color w:val="231F20"/>
          <w:spacing w:val="-4"/>
        </w:rPr>
        <w:t>the</w:t>
      </w:r>
      <w:r>
        <w:rPr>
          <w:color w:val="231F20"/>
          <w:spacing w:val="-13"/>
        </w:rPr>
        <w:t> </w:t>
      </w:r>
      <w:r>
        <w:rPr>
          <w:color w:val="231F20"/>
          <w:spacing w:val="-4"/>
        </w:rPr>
        <w:t>U.S.</w:t>
      </w:r>
      <w:r>
        <w:rPr>
          <w:color w:val="231F20"/>
          <w:spacing w:val="-12"/>
        </w:rPr>
        <w:t> </w:t>
      </w:r>
      <w:r>
        <w:rPr>
          <w:color w:val="231F20"/>
          <w:spacing w:val="-4"/>
        </w:rPr>
        <w:t>government’s</w:t>
      </w:r>
      <w:r>
        <w:rPr>
          <w:color w:val="231F20"/>
          <w:spacing w:val="-13"/>
        </w:rPr>
        <w:t> </w:t>
      </w:r>
      <w:r>
        <w:rPr>
          <w:color w:val="231F20"/>
          <w:spacing w:val="-4"/>
        </w:rPr>
        <w:t>obligations </w:t>
      </w:r>
      <w:r>
        <w:rPr>
          <w:color w:val="231F20"/>
        </w:rPr>
        <w:t>as the host country.</w:t>
      </w:r>
    </w:p>
    <w:p>
      <w:pPr>
        <w:pStyle w:val="BodyText"/>
        <w:spacing w:before="166"/>
        <w:ind w:left="1133" w:right="6353"/>
      </w:pPr>
      <w:r>
        <w:rPr>
          <w:color w:val="231F20"/>
          <w:spacing w:val="-4"/>
        </w:rPr>
        <w:t>September</w:t>
      </w:r>
      <w:r>
        <w:rPr>
          <w:color w:val="231F20"/>
          <w:spacing w:val="-13"/>
        </w:rPr>
        <w:t> </w:t>
      </w:r>
      <w:r>
        <w:rPr>
          <w:color w:val="231F20"/>
          <w:spacing w:val="-4"/>
        </w:rPr>
        <w:t>2019</w:t>
      </w:r>
      <w:r>
        <w:rPr>
          <w:color w:val="231F20"/>
          <w:spacing w:val="-12"/>
        </w:rPr>
        <w:t> </w:t>
      </w:r>
      <w:r>
        <w:rPr>
          <w:color w:val="231F20"/>
          <w:spacing w:val="-4"/>
        </w:rPr>
        <w:t>saw,</w:t>
      </w:r>
      <w:r>
        <w:rPr>
          <w:color w:val="231F20"/>
          <w:spacing w:val="-13"/>
        </w:rPr>
        <w:t> </w:t>
      </w:r>
      <w:r>
        <w:rPr>
          <w:color w:val="231F20"/>
          <w:spacing w:val="-4"/>
        </w:rPr>
        <w:t>in</w:t>
      </w:r>
      <w:r>
        <w:rPr>
          <w:color w:val="231F20"/>
          <w:spacing w:val="-12"/>
        </w:rPr>
        <w:t> </w:t>
      </w:r>
      <w:r>
        <w:rPr>
          <w:color w:val="231F20"/>
          <w:spacing w:val="-4"/>
        </w:rPr>
        <w:t>addition</w:t>
      </w:r>
      <w:r>
        <w:rPr>
          <w:color w:val="231F20"/>
          <w:spacing w:val="-13"/>
        </w:rPr>
        <w:t> </w:t>
      </w:r>
      <w:r>
        <w:rPr>
          <w:color w:val="231F20"/>
          <w:spacing w:val="-4"/>
        </w:rPr>
        <w:t>to</w:t>
      </w:r>
      <w:r>
        <w:rPr>
          <w:color w:val="231F20"/>
          <w:spacing w:val="-12"/>
        </w:rPr>
        <w:t> </w:t>
      </w:r>
      <w:r>
        <w:rPr>
          <w:color w:val="231F20"/>
          <w:spacing w:val="-4"/>
        </w:rPr>
        <w:t>existing </w:t>
      </w:r>
      <w:r>
        <w:rPr>
          <w:color w:val="231F20"/>
          <w:spacing w:val="-12"/>
        </w:rPr>
        <w:t>limitations,</w:t>
      </w:r>
      <w:r>
        <w:rPr>
          <w:color w:val="231F20"/>
          <w:spacing w:val="-4"/>
        </w:rPr>
        <w:t> </w:t>
      </w:r>
      <w:r>
        <w:rPr>
          <w:color w:val="231F20"/>
          <w:spacing w:val="-12"/>
        </w:rPr>
        <w:t>restriction</w:t>
      </w:r>
      <w:r>
        <w:rPr>
          <w:color w:val="231F20"/>
          <w:spacing w:val="-4"/>
        </w:rPr>
        <w:t> </w:t>
      </w:r>
      <w:r>
        <w:rPr>
          <w:color w:val="231F20"/>
          <w:spacing w:val="-12"/>
        </w:rPr>
        <w:t>to</w:t>
      </w:r>
      <w:r>
        <w:rPr>
          <w:color w:val="231F20"/>
          <w:spacing w:val="-4"/>
        </w:rPr>
        <w:t> </w:t>
      </w:r>
      <w:r>
        <w:rPr>
          <w:color w:val="231F20"/>
          <w:spacing w:val="-12"/>
        </w:rPr>
        <w:t>an</w:t>
      </w:r>
      <w:r>
        <w:rPr>
          <w:color w:val="231F20"/>
          <w:spacing w:val="-4"/>
        </w:rPr>
        <w:t> </w:t>
      </w:r>
      <w:r>
        <w:rPr>
          <w:color w:val="231F20"/>
          <w:spacing w:val="-12"/>
        </w:rPr>
        <w:t>area</w:t>
      </w:r>
      <w:r>
        <w:rPr>
          <w:color w:val="231F20"/>
          <w:spacing w:val="-4"/>
        </w:rPr>
        <w:t> </w:t>
      </w:r>
      <w:r>
        <w:rPr>
          <w:color w:val="231F20"/>
          <w:spacing w:val="-12"/>
        </w:rPr>
        <w:t>of</w:t>
      </w:r>
      <w:r>
        <w:rPr>
          <w:color w:val="231F20"/>
          <w:spacing w:val="-4"/>
        </w:rPr>
        <w:t> </w:t>
      </w:r>
      <w:r>
        <w:rPr>
          <w:color w:val="231F20"/>
          <w:spacing w:val="-12"/>
        </w:rPr>
        <w:t>Manhattan </w:t>
      </w:r>
      <w:r>
        <w:rPr>
          <w:color w:val="231F20"/>
          <w:spacing w:val="-2"/>
        </w:rPr>
        <w:t>barely</w:t>
      </w:r>
      <w:r>
        <w:rPr>
          <w:color w:val="231F20"/>
          <w:spacing w:val="-15"/>
        </w:rPr>
        <w:t> </w:t>
      </w:r>
      <w:r>
        <w:rPr>
          <w:color w:val="231F20"/>
          <w:spacing w:val="-2"/>
        </w:rPr>
        <w:t>2.3</w:t>
      </w:r>
      <w:r>
        <w:rPr>
          <w:color w:val="231F20"/>
          <w:spacing w:val="-14"/>
        </w:rPr>
        <w:t> </w:t>
      </w:r>
      <w:r>
        <w:rPr>
          <w:color w:val="231F20"/>
          <w:spacing w:val="-2"/>
        </w:rPr>
        <w:t>miles</w:t>
      </w:r>
      <w:r>
        <w:rPr>
          <w:color w:val="231F20"/>
          <w:spacing w:val="-15"/>
        </w:rPr>
        <w:t> </w:t>
      </w:r>
      <w:r>
        <w:rPr>
          <w:color w:val="231F20"/>
          <w:spacing w:val="-2"/>
        </w:rPr>
        <w:t>wide</w:t>
      </w:r>
      <w:r>
        <w:rPr>
          <w:color w:val="231F20"/>
          <w:spacing w:val="-14"/>
        </w:rPr>
        <w:t> </w:t>
      </w:r>
      <w:r>
        <w:rPr>
          <w:color w:val="231F20"/>
          <w:spacing w:val="-2"/>
        </w:rPr>
        <w:t>and</w:t>
      </w:r>
      <w:r>
        <w:rPr>
          <w:color w:val="231F20"/>
          <w:spacing w:val="-15"/>
        </w:rPr>
        <w:t> </w:t>
      </w:r>
      <w:r>
        <w:rPr>
          <w:color w:val="231F20"/>
          <w:spacing w:val="-2"/>
        </w:rPr>
        <w:t>11</w:t>
      </w:r>
      <w:r>
        <w:rPr>
          <w:color w:val="231F20"/>
          <w:spacing w:val="-14"/>
        </w:rPr>
        <w:t> </w:t>
      </w:r>
      <w:r>
        <w:rPr>
          <w:color w:val="231F20"/>
          <w:spacing w:val="-2"/>
        </w:rPr>
        <w:t>miles</w:t>
      </w:r>
      <w:r>
        <w:rPr>
          <w:color w:val="231F20"/>
          <w:spacing w:val="-15"/>
        </w:rPr>
        <w:t> </w:t>
      </w:r>
      <w:r>
        <w:rPr>
          <w:color w:val="231F20"/>
          <w:spacing w:val="-2"/>
        </w:rPr>
        <w:t>long.</w:t>
      </w:r>
      <w:r>
        <w:rPr>
          <w:color w:val="231F20"/>
          <w:spacing w:val="-14"/>
        </w:rPr>
        <w:t> </w:t>
      </w:r>
      <w:r>
        <w:rPr>
          <w:color w:val="231F20"/>
          <w:spacing w:val="-2"/>
        </w:rPr>
        <w:t>No </w:t>
      </w:r>
      <w:r>
        <w:rPr>
          <w:color w:val="231F20"/>
          <w:spacing w:val="-4"/>
        </w:rPr>
        <w:t>other</w:t>
      </w:r>
      <w:r>
        <w:rPr>
          <w:color w:val="231F20"/>
          <w:spacing w:val="-13"/>
        </w:rPr>
        <w:t> </w:t>
      </w:r>
      <w:r>
        <w:rPr>
          <w:color w:val="231F20"/>
          <w:spacing w:val="-4"/>
        </w:rPr>
        <w:t>country</w:t>
      </w:r>
      <w:r>
        <w:rPr>
          <w:color w:val="231F20"/>
          <w:spacing w:val="-12"/>
        </w:rPr>
        <w:t> </w:t>
      </w:r>
      <w:r>
        <w:rPr>
          <w:color w:val="231F20"/>
          <w:spacing w:val="-4"/>
        </w:rPr>
        <w:t>is</w:t>
      </w:r>
      <w:r>
        <w:rPr>
          <w:color w:val="231F20"/>
          <w:spacing w:val="-13"/>
        </w:rPr>
        <w:t> </w:t>
      </w:r>
      <w:r>
        <w:rPr>
          <w:color w:val="231F20"/>
          <w:spacing w:val="-4"/>
        </w:rPr>
        <w:t>subject</w:t>
      </w:r>
      <w:r>
        <w:rPr>
          <w:color w:val="231F20"/>
          <w:spacing w:val="-12"/>
        </w:rPr>
        <w:t> </w:t>
      </w:r>
      <w:r>
        <w:rPr>
          <w:color w:val="231F20"/>
          <w:spacing w:val="-4"/>
        </w:rPr>
        <w:t>to</w:t>
      </w:r>
      <w:r>
        <w:rPr>
          <w:color w:val="231F20"/>
          <w:spacing w:val="-13"/>
        </w:rPr>
        <w:t> </w:t>
      </w:r>
      <w:r>
        <w:rPr>
          <w:color w:val="231F20"/>
          <w:spacing w:val="-4"/>
        </w:rPr>
        <w:t>such</w:t>
      </w:r>
      <w:r>
        <w:rPr>
          <w:color w:val="231F20"/>
          <w:spacing w:val="-12"/>
        </w:rPr>
        <w:t> </w:t>
      </w:r>
      <w:r>
        <w:rPr>
          <w:color w:val="231F20"/>
          <w:spacing w:val="-4"/>
        </w:rPr>
        <w:t>an</w:t>
      </w:r>
      <w:r>
        <w:rPr>
          <w:color w:val="231F20"/>
          <w:spacing w:val="-13"/>
        </w:rPr>
        <w:t> </w:t>
      </w:r>
      <w:r>
        <w:rPr>
          <w:color w:val="231F20"/>
          <w:spacing w:val="-4"/>
        </w:rPr>
        <w:t>extreme, </w:t>
      </w:r>
      <w:r>
        <w:rPr>
          <w:color w:val="231F20"/>
        </w:rPr>
        <w:t>severe limitation. Apart from being illegal and totally contrary to international law, this</w:t>
      </w:r>
      <w:r>
        <w:rPr>
          <w:color w:val="231F20"/>
          <w:spacing w:val="-16"/>
        </w:rPr>
        <w:t> </w:t>
      </w:r>
      <w:r>
        <w:rPr>
          <w:color w:val="231F20"/>
        </w:rPr>
        <w:t>stricture</w:t>
      </w:r>
      <w:r>
        <w:rPr>
          <w:color w:val="231F20"/>
          <w:spacing w:val="-16"/>
        </w:rPr>
        <w:t> </w:t>
      </w:r>
      <w:r>
        <w:rPr>
          <w:color w:val="231F20"/>
        </w:rPr>
        <w:t>affects</w:t>
      </w:r>
      <w:r>
        <w:rPr>
          <w:color w:val="231F20"/>
          <w:spacing w:val="-16"/>
        </w:rPr>
        <w:t> </w:t>
      </w:r>
      <w:r>
        <w:rPr>
          <w:color w:val="231F20"/>
        </w:rPr>
        <w:t>the</w:t>
      </w:r>
      <w:r>
        <w:rPr>
          <w:color w:val="231F20"/>
          <w:spacing w:val="-16"/>
        </w:rPr>
        <w:t> </w:t>
      </w:r>
      <w:r>
        <w:rPr>
          <w:color w:val="231F20"/>
        </w:rPr>
        <w:t>work</w:t>
      </w:r>
      <w:r>
        <w:rPr>
          <w:color w:val="231F20"/>
          <w:spacing w:val="-16"/>
        </w:rPr>
        <w:t> </w:t>
      </w:r>
      <w:r>
        <w:rPr>
          <w:color w:val="231F20"/>
        </w:rPr>
        <w:t>of</w:t>
      </w:r>
      <w:r>
        <w:rPr>
          <w:color w:val="231F20"/>
          <w:spacing w:val="-16"/>
        </w:rPr>
        <w:t> </w:t>
      </w:r>
      <w:r>
        <w:rPr>
          <w:color w:val="231F20"/>
        </w:rPr>
        <w:t>the</w:t>
      </w:r>
      <w:r>
        <w:rPr>
          <w:color w:val="231F20"/>
          <w:spacing w:val="-16"/>
        </w:rPr>
        <w:t> </w:t>
      </w:r>
      <w:r>
        <w:rPr>
          <w:color w:val="231F20"/>
        </w:rPr>
        <w:t>Cuban diplomats and goes to absurd extremes</w:t>
      </w:r>
      <w:r>
        <w:rPr>
          <w:color w:val="231F20"/>
          <w:spacing w:val="40"/>
        </w:rPr>
        <w:t> </w:t>
      </w:r>
      <w:r>
        <w:rPr>
          <w:color w:val="231F20"/>
        </w:rPr>
        <w:t>in preventing their children from joining </w:t>
      </w:r>
      <w:r>
        <w:rPr>
          <w:color w:val="231F20"/>
          <w:spacing w:val="-8"/>
        </w:rPr>
        <w:t>extracurricular activities with their classmates </w:t>
      </w:r>
      <w:r>
        <w:rPr>
          <w:color w:val="231F20"/>
        </w:rPr>
        <w:t>outside</w:t>
      </w:r>
      <w:r>
        <w:rPr>
          <w:color w:val="231F20"/>
          <w:spacing w:val="-5"/>
        </w:rPr>
        <w:t> </w:t>
      </w:r>
      <w:r>
        <w:rPr>
          <w:color w:val="231F20"/>
        </w:rPr>
        <w:t>Manhattan.</w:t>
      </w:r>
    </w:p>
    <w:p>
      <w:pPr>
        <w:pStyle w:val="BodyText"/>
        <w:spacing w:before="169"/>
        <w:ind w:left="1133" w:right="6353"/>
      </w:pPr>
      <w:r>
        <w:rPr>
          <w:color w:val="231F20"/>
          <w:spacing w:val="-4"/>
        </w:rPr>
        <w:t>Alena</w:t>
      </w:r>
      <w:r>
        <w:rPr>
          <w:color w:val="231F20"/>
          <w:spacing w:val="-11"/>
        </w:rPr>
        <w:t> </w:t>
      </w:r>
      <w:r>
        <w:rPr>
          <w:color w:val="231F20"/>
          <w:spacing w:val="-4"/>
        </w:rPr>
        <w:t>Dohan,</w:t>
      </w:r>
      <w:r>
        <w:rPr>
          <w:color w:val="231F20"/>
          <w:spacing w:val="-11"/>
        </w:rPr>
        <w:t> </w:t>
      </w:r>
      <w:r>
        <w:rPr>
          <w:color w:val="231F20"/>
          <w:spacing w:val="-4"/>
        </w:rPr>
        <w:t>the</w:t>
      </w:r>
      <w:r>
        <w:rPr>
          <w:color w:val="231F20"/>
          <w:spacing w:val="-11"/>
        </w:rPr>
        <w:t> </w:t>
      </w:r>
      <w:r>
        <w:rPr>
          <w:color w:val="231F20"/>
          <w:spacing w:val="-4"/>
        </w:rPr>
        <w:t>Special</w:t>
      </w:r>
      <w:r>
        <w:rPr>
          <w:color w:val="231F20"/>
          <w:spacing w:val="-11"/>
        </w:rPr>
        <w:t> </w:t>
      </w:r>
      <w:r>
        <w:rPr>
          <w:color w:val="231F20"/>
          <w:spacing w:val="-4"/>
        </w:rPr>
        <w:t>Rapporteur</w:t>
      </w:r>
      <w:r>
        <w:rPr>
          <w:color w:val="231F20"/>
          <w:spacing w:val="-11"/>
        </w:rPr>
        <w:t> </w:t>
      </w:r>
      <w:r>
        <w:rPr>
          <w:color w:val="231F20"/>
          <w:spacing w:val="-4"/>
        </w:rPr>
        <w:t>of</w:t>
      </w:r>
      <w:r>
        <w:rPr>
          <w:color w:val="231F20"/>
          <w:spacing w:val="-11"/>
        </w:rPr>
        <w:t> </w:t>
      </w:r>
      <w:r>
        <w:rPr>
          <w:color w:val="231F20"/>
          <w:spacing w:val="-4"/>
        </w:rPr>
        <w:t>the </w:t>
      </w:r>
      <w:r>
        <w:rPr>
          <w:color w:val="231F20"/>
        </w:rPr>
        <w:t>UN</w:t>
      </w:r>
      <w:r>
        <w:rPr>
          <w:color w:val="231F20"/>
          <w:spacing w:val="-2"/>
        </w:rPr>
        <w:t> </w:t>
      </w:r>
      <w:r>
        <w:rPr>
          <w:color w:val="231F20"/>
        </w:rPr>
        <w:t>Human</w:t>
      </w:r>
      <w:r>
        <w:rPr>
          <w:color w:val="231F20"/>
          <w:spacing w:val="-2"/>
        </w:rPr>
        <w:t> </w:t>
      </w:r>
      <w:r>
        <w:rPr>
          <w:color w:val="231F20"/>
        </w:rPr>
        <w:t>Rights</w:t>
      </w:r>
      <w:r>
        <w:rPr>
          <w:color w:val="231F20"/>
          <w:spacing w:val="-3"/>
        </w:rPr>
        <w:t> </w:t>
      </w:r>
      <w:r>
        <w:rPr>
          <w:color w:val="231F20"/>
        </w:rPr>
        <w:t>Council</w:t>
      </w:r>
      <w:r>
        <w:rPr>
          <w:color w:val="231F20"/>
          <w:spacing w:val="-3"/>
        </w:rPr>
        <w:t> </w:t>
      </w:r>
      <w:r>
        <w:rPr>
          <w:color w:val="231F20"/>
        </w:rPr>
        <w:t>on</w:t>
      </w:r>
      <w:r>
        <w:rPr>
          <w:color w:val="231F20"/>
          <w:spacing w:val="-2"/>
        </w:rPr>
        <w:t> </w:t>
      </w:r>
      <w:r>
        <w:rPr>
          <w:color w:val="231F20"/>
        </w:rPr>
        <w:t>the</w:t>
      </w:r>
      <w:r>
        <w:rPr>
          <w:color w:val="231F20"/>
          <w:spacing w:val="-2"/>
        </w:rPr>
        <w:t> </w:t>
      </w:r>
      <w:r>
        <w:rPr>
          <w:color w:val="231F20"/>
        </w:rPr>
        <w:t>adverse effect of unilateral coercive measures on the</w:t>
      </w:r>
      <w:r>
        <w:rPr>
          <w:color w:val="231F20"/>
          <w:spacing w:val="-4"/>
        </w:rPr>
        <w:t> </w:t>
      </w:r>
      <w:r>
        <w:rPr>
          <w:color w:val="231F20"/>
        </w:rPr>
        <w:t>exercise</w:t>
      </w:r>
      <w:r>
        <w:rPr>
          <w:color w:val="231F20"/>
          <w:spacing w:val="-4"/>
        </w:rPr>
        <w:t> </w:t>
      </w:r>
      <w:r>
        <w:rPr>
          <w:color w:val="231F20"/>
        </w:rPr>
        <w:t>of</w:t>
      </w:r>
      <w:r>
        <w:rPr>
          <w:color w:val="231F20"/>
          <w:spacing w:val="-4"/>
        </w:rPr>
        <w:t> </w:t>
      </w:r>
      <w:r>
        <w:rPr>
          <w:color w:val="231F20"/>
        </w:rPr>
        <w:t>human</w:t>
      </w:r>
      <w:r>
        <w:rPr>
          <w:color w:val="231F20"/>
          <w:spacing w:val="-4"/>
        </w:rPr>
        <w:t> </w:t>
      </w:r>
      <w:r>
        <w:rPr>
          <w:color w:val="231F20"/>
        </w:rPr>
        <w:t>rights,</w:t>
      </w:r>
      <w:r>
        <w:rPr>
          <w:color w:val="231F20"/>
          <w:spacing w:val="-4"/>
        </w:rPr>
        <w:t> </w:t>
      </w:r>
      <w:r>
        <w:rPr>
          <w:color w:val="231F20"/>
        </w:rPr>
        <w:t>in</w:t>
      </w:r>
      <w:r>
        <w:rPr>
          <w:color w:val="231F20"/>
          <w:spacing w:val="-4"/>
        </w:rPr>
        <w:t> </w:t>
      </w:r>
      <w:r>
        <w:rPr>
          <w:color w:val="231F20"/>
        </w:rPr>
        <w:t>a</w:t>
      </w:r>
      <w:r>
        <w:rPr>
          <w:color w:val="231F20"/>
          <w:spacing w:val="-4"/>
        </w:rPr>
        <w:t> </w:t>
      </w:r>
      <w:r>
        <w:rPr>
          <w:color w:val="231F20"/>
        </w:rPr>
        <w:t>keynote </w:t>
      </w:r>
      <w:r>
        <w:rPr>
          <w:color w:val="231F20"/>
          <w:spacing w:val="-4"/>
        </w:rPr>
        <w:t>lecture</w:t>
      </w:r>
      <w:r>
        <w:rPr>
          <w:color w:val="231F20"/>
          <w:spacing w:val="-13"/>
        </w:rPr>
        <w:t> </w:t>
      </w:r>
      <w:r>
        <w:rPr>
          <w:color w:val="231F20"/>
          <w:spacing w:val="-4"/>
        </w:rPr>
        <w:t>at</w:t>
      </w:r>
      <w:r>
        <w:rPr>
          <w:color w:val="231F20"/>
          <w:spacing w:val="-12"/>
        </w:rPr>
        <w:t> </w:t>
      </w:r>
      <w:r>
        <w:rPr>
          <w:color w:val="231F20"/>
          <w:spacing w:val="-4"/>
        </w:rPr>
        <w:t>Havana</w:t>
      </w:r>
      <w:r>
        <w:rPr>
          <w:color w:val="231F20"/>
          <w:spacing w:val="-13"/>
        </w:rPr>
        <w:t> </w:t>
      </w:r>
      <w:r>
        <w:rPr>
          <w:color w:val="231F20"/>
          <w:spacing w:val="-4"/>
        </w:rPr>
        <w:t>University</w:t>
      </w:r>
      <w:r>
        <w:rPr>
          <w:color w:val="231F20"/>
          <w:spacing w:val="-12"/>
        </w:rPr>
        <w:t> </w:t>
      </w:r>
      <w:r>
        <w:rPr>
          <w:color w:val="231F20"/>
          <w:spacing w:val="-4"/>
        </w:rPr>
        <w:t>on</w:t>
      </w:r>
      <w:r>
        <w:rPr>
          <w:color w:val="231F20"/>
          <w:spacing w:val="-13"/>
        </w:rPr>
        <w:t> </w:t>
      </w:r>
      <w:r>
        <w:rPr>
          <w:color w:val="231F20"/>
          <w:spacing w:val="-4"/>
        </w:rPr>
        <w:t>May</w:t>
      </w:r>
      <w:r>
        <w:rPr>
          <w:color w:val="231F20"/>
          <w:spacing w:val="-12"/>
        </w:rPr>
        <w:t> </w:t>
      </w:r>
      <w:r>
        <w:rPr>
          <w:color w:val="231F20"/>
          <w:spacing w:val="-4"/>
        </w:rPr>
        <w:t>4,</w:t>
      </w:r>
      <w:r>
        <w:rPr>
          <w:color w:val="231F20"/>
          <w:spacing w:val="-13"/>
        </w:rPr>
        <w:t> </w:t>
      </w:r>
      <w:r>
        <w:rPr>
          <w:color w:val="231F20"/>
          <w:spacing w:val="-4"/>
        </w:rPr>
        <w:t>2023 </w:t>
      </w:r>
      <w:r>
        <w:rPr>
          <w:color w:val="231F20"/>
        </w:rPr>
        <w:t>on the occasion of an academic visit to Cuba,</w:t>
      </w:r>
      <w:r>
        <w:rPr>
          <w:color w:val="231F20"/>
          <w:spacing w:val="-8"/>
        </w:rPr>
        <w:t> </w:t>
      </w:r>
      <w:r>
        <w:rPr>
          <w:color w:val="231F20"/>
        </w:rPr>
        <w:t>said</w:t>
      </w:r>
      <w:r>
        <w:rPr>
          <w:color w:val="231F20"/>
          <w:spacing w:val="-8"/>
        </w:rPr>
        <w:t> </w:t>
      </w:r>
      <w:r>
        <w:rPr>
          <w:color w:val="231F20"/>
        </w:rPr>
        <w:t>that</w:t>
      </w:r>
      <w:r>
        <w:rPr>
          <w:color w:val="231F20"/>
          <w:spacing w:val="-8"/>
        </w:rPr>
        <w:t> </w:t>
      </w:r>
      <w:r>
        <w:rPr>
          <w:color w:val="231F20"/>
        </w:rPr>
        <w:t>the</w:t>
      </w:r>
      <w:r>
        <w:rPr>
          <w:color w:val="231F20"/>
          <w:spacing w:val="-8"/>
        </w:rPr>
        <w:t> </w:t>
      </w:r>
      <w:r>
        <w:rPr>
          <w:color w:val="231F20"/>
        </w:rPr>
        <w:t>measures</w:t>
      </w:r>
      <w:r>
        <w:rPr>
          <w:color w:val="231F20"/>
          <w:spacing w:val="-8"/>
        </w:rPr>
        <w:t> </w:t>
      </w:r>
      <w:r>
        <w:rPr>
          <w:color w:val="231F20"/>
        </w:rPr>
        <w:t>constraining the</w:t>
      </w:r>
      <w:r>
        <w:rPr>
          <w:color w:val="231F20"/>
          <w:spacing w:val="-14"/>
        </w:rPr>
        <w:t> </w:t>
      </w:r>
      <w:r>
        <w:rPr>
          <w:color w:val="231F20"/>
        </w:rPr>
        <w:t>diplomats’</w:t>
      </w:r>
      <w:r>
        <w:rPr>
          <w:color w:val="231F20"/>
          <w:spacing w:val="-14"/>
        </w:rPr>
        <w:t> </w:t>
      </w:r>
      <w:r>
        <w:rPr>
          <w:color w:val="231F20"/>
        </w:rPr>
        <w:t>freedom</w:t>
      </w:r>
      <w:r>
        <w:rPr>
          <w:color w:val="231F20"/>
          <w:spacing w:val="-14"/>
        </w:rPr>
        <w:t> </w:t>
      </w:r>
      <w:r>
        <w:rPr>
          <w:color w:val="231F20"/>
        </w:rPr>
        <w:t>of</w:t>
      </w:r>
      <w:r>
        <w:rPr>
          <w:color w:val="231F20"/>
          <w:spacing w:val="-14"/>
        </w:rPr>
        <w:t> </w:t>
      </w:r>
      <w:r>
        <w:rPr>
          <w:color w:val="231F20"/>
        </w:rPr>
        <w:t>movement</w:t>
      </w:r>
      <w:r>
        <w:rPr>
          <w:color w:val="231F20"/>
          <w:spacing w:val="-14"/>
        </w:rPr>
        <w:t> </w:t>
      </w:r>
      <w:r>
        <w:rPr>
          <w:color w:val="231F20"/>
        </w:rPr>
        <w:t>also constitute</w:t>
      </w:r>
      <w:r>
        <w:rPr>
          <w:color w:val="231F20"/>
          <w:spacing w:val="-3"/>
        </w:rPr>
        <w:t> </w:t>
      </w:r>
      <w:r>
        <w:rPr>
          <w:color w:val="231F20"/>
        </w:rPr>
        <w:t>unilateral</w:t>
      </w:r>
      <w:r>
        <w:rPr>
          <w:color w:val="231F20"/>
          <w:spacing w:val="-3"/>
        </w:rPr>
        <w:t> </w:t>
      </w:r>
      <w:r>
        <w:rPr>
          <w:color w:val="231F20"/>
        </w:rPr>
        <w:t>coercion</w:t>
      </w:r>
      <w:r>
        <w:rPr>
          <w:color w:val="231F20"/>
          <w:spacing w:val="-3"/>
        </w:rPr>
        <w:t> </w:t>
      </w:r>
      <w:r>
        <w:rPr>
          <w:color w:val="231F20"/>
        </w:rPr>
        <w:t>in</w:t>
      </w:r>
      <w:r>
        <w:rPr>
          <w:color w:val="231F20"/>
          <w:spacing w:val="-3"/>
        </w:rPr>
        <w:t> </w:t>
      </w:r>
      <w:r>
        <w:rPr>
          <w:color w:val="231F20"/>
        </w:rPr>
        <w:t>breach</w:t>
      </w:r>
      <w:r>
        <w:rPr>
          <w:color w:val="231F20"/>
          <w:spacing w:val="-3"/>
        </w:rPr>
        <w:t> </w:t>
      </w:r>
      <w:r>
        <w:rPr>
          <w:color w:val="231F20"/>
        </w:rPr>
        <w:t>of international</w:t>
      </w:r>
      <w:r>
        <w:rPr>
          <w:color w:val="231F20"/>
          <w:spacing w:val="-5"/>
        </w:rPr>
        <w:t> </w:t>
      </w:r>
      <w:r>
        <w:rPr>
          <w:color w:val="231F20"/>
        </w:rPr>
        <w:t>law.</w:t>
      </w:r>
    </w:p>
    <w:p>
      <w:pPr>
        <w:pStyle w:val="BodyText"/>
        <w:spacing w:before="209"/>
        <w:jc w:val="left"/>
        <w:rPr>
          <w:sz w:val="20"/>
        </w:rPr>
      </w:pPr>
      <w:r>
        <w:rPr/>
        <mc:AlternateContent>
          <mc:Choice Requires="wps">
            <w:drawing>
              <wp:anchor distT="0" distB="0" distL="0" distR="0" allowOverlap="1" layoutInCell="1" locked="0" behindDoc="1" simplePos="0" relativeHeight="487652352">
                <wp:simplePos x="0" y="0"/>
                <wp:positionH relativeFrom="page">
                  <wp:posOffset>2619006</wp:posOffset>
                </wp:positionH>
                <wp:positionV relativeFrom="paragraph">
                  <wp:posOffset>316874</wp:posOffset>
                </wp:positionV>
                <wp:extent cx="909319" cy="26034"/>
                <wp:effectExtent l="0" t="0" r="0" b="0"/>
                <wp:wrapTopAndBottom/>
                <wp:docPr id="268" name="Graphic 268"/>
                <wp:cNvGraphicFramePr>
                  <a:graphicFrameLocks/>
                </wp:cNvGraphicFramePr>
                <a:graphic>
                  <a:graphicData uri="http://schemas.microsoft.com/office/word/2010/wordprocessingShape">
                    <wps:wsp>
                      <wps:cNvPr id="268" name="Graphic 268"/>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06.220993pt;margin-top:24.950781pt;width:71.584pt;height:2.021pt;mso-position-horizontal-relative:page;mso-position-vertical-relative:paragraph;z-index:-15664128;mso-wrap-distance-left:0;mso-wrap-distance-right:0" id="docshape206"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sectPr>
      </w:pPr>
    </w:p>
    <w:p>
      <w:pPr>
        <w:pStyle w:val="BodyText"/>
        <w:spacing w:before="568"/>
        <w:jc w:val="left"/>
        <w:rPr>
          <w:sz w:val="56"/>
        </w:rPr>
      </w:pPr>
    </w:p>
    <w:p>
      <w:pPr>
        <w:pStyle w:val="Heading1"/>
        <w:spacing w:line="220" w:lineRule="auto"/>
        <w:ind w:left="1474" w:right="5764"/>
      </w:pPr>
      <w:r>
        <w:rPr/>
        <mc:AlternateContent>
          <mc:Choice Requires="wps">
            <w:drawing>
              <wp:anchor distT="0" distB="0" distL="0" distR="0" allowOverlap="1" layoutInCell="1" locked="0" behindDoc="1" simplePos="0" relativeHeight="485817344">
                <wp:simplePos x="0" y="0"/>
                <wp:positionH relativeFrom="page">
                  <wp:posOffset>840244</wp:posOffset>
                </wp:positionH>
                <wp:positionV relativeFrom="paragraph">
                  <wp:posOffset>-782548</wp:posOffset>
                </wp:positionV>
                <wp:extent cx="1167765" cy="1544955"/>
                <wp:effectExtent l="0" t="0" r="0" b="0"/>
                <wp:wrapNone/>
                <wp:docPr id="269" name="Textbox 269"/>
                <wp:cNvGraphicFramePr>
                  <a:graphicFrameLocks/>
                </wp:cNvGraphicFramePr>
                <a:graphic>
                  <a:graphicData uri="http://schemas.microsoft.com/office/word/2010/wordprocessingShape">
                    <wps:wsp>
                      <wps:cNvPr id="269" name="Textbox 269"/>
                      <wps:cNvSpPr txBox="1"/>
                      <wps:spPr>
                        <a:xfrm>
                          <a:off x="0" y="0"/>
                          <a:ext cx="1167765"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5"/>
                                <w:w w:val="124"/>
                                <w:sz w:val="243"/>
                              </w:rPr>
                              <w:t>0</w:t>
                            </w:r>
                            <w:r>
                              <w:rPr>
                                <w:rFonts w:ascii="Arial"/>
                                <w:color w:val="B3B4CF"/>
                                <w:spacing w:val="-1397"/>
                                <w:w w:val="106"/>
                                <w:sz w:val="243"/>
                              </w:rPr>
                              <w:t>3</w:t>
                            </w:r>
                          </w:p>
                        </w:txbxContent>
                      </wps:txbx>
                      <wps:bodyPr wrap="square" lIns="0" tIns="0" rIns="0" bIns="0" rtlCol="0">
                        <a:noAutofit/>
                      </wps:bodyPr>
                    </wps:wsp>
                  </a:graphicData>
                </a:graphic>
              </wp:anchor>
            </w:drawing>
          </mc:Choice>
          <mc:Fallback>
            <w:pict>
              <v:shape style="position:absolute;margin-left:66.161003pt;margin-top:-61.617977pt;width:91.95pt;height:121.65pt;mso-position-horizontal-relative:page;mso-position-vertical-relative:paragraph;z-index:-17499136" type="#_x0000_t202" id="docshape207" filled="false" stroked="false">
                <v:textbox inset="0,0,0,0">
                  <w:txbxContent>
                    <w:p>
                      <w:pPr>
                        <w:spacing w:line="2432" w:lineRule="exact" w:before="0"/>
                        <w:ind w:left="0" w:right="0" w:firstLine="0"/>
                        <w:jc w:val="left"/>
                        <w:rPr>
                          <w:rFonts w:ascii="Arial"/>
                          <w:sz w:val="243"/>
                        </w:rPr>
                      </w:pPr>
                      <w:r>
                        <w:rPr>
                          <w:rFonts w:ascii="Arial"/>
                          <w:color w:val="B3B4CF"/>
                          <w:spacing w:val="-5"/>
                          <w:w w:val="124"/>
                          <w:sz w:val="243"/>
                        </w:rPr>
                        <w:t>0</w:t>
                      </w:r>
                      <w:r>
                        <w:rPr>
                          <w:rFonts w:ascii="Arial"/>
                          <w:color w:val="B3B4CF"/>
                          <w:spacing w:val="-1397"/>
                          <w:w w:val="106"/>
                          <w:sz w:val="243"/>
                        </w:rPr>
                        <w:t>3</w:t>
                      </w:r>
                    </w:p>
                  </w:txbxContent>
                </v:textbox>
                <w10:wrap type="none"/>
              </v:shape>
            </w:pict>
          </mc:Fallback>
        </mc:AlternateContent>
      </w:r>
      <w:r>
        <w:rPr>
          <w:color w:val="B52628"/>
          <w:spacing w:val="-2"/>
          <w:w w:val="115"/>
        </w:rPr>
        <w:t>Repercussions </w:t>
      </w:r>
      <w:r>
        <w:rPr>
          <w:color w:val="B52628"/>
          <w:w w:val="115"/>
        </w:rPr>
        <w:t>on the foreign sector of the Cuban </w:t>
      </w:r>
      <w:r>
        <w:rPr>
          <w:color w:val="B52628"/>
          <w:w w:val="115"/>
        </w:rPr>
        <w:t>economy</w:t>
      </w:r>
    </w:p>
    <w:p>
      <w:pPr>
        <w:pStyle w:val="BodyText"/>
        <w:spacing w:before="191"/>
        <w:jc w:val="left"/>
        <w:rPr>
          <w:rFonts w:ascii="Trebuchet MS"/>
          <w:sz w:val="20"/>
        </w:rPr>
      </w:pPr>
      <w:r>
        <w:rPr/>
        <mc:AlternateContent>
          <mc:Choice Requires="wps">
            <w:drawing>
              <wp:anchor distT="0" distB="0" distL="0" distR="0" allowOverlap="1" layoutInCell="1" locked="0" behindDoc="1" simplePos="0" relativeHeight="487652864">
                <wp:simplePos x="0" y="0"/>
                <wp:positionH relativeFrom="page">
                  <wp:posOffset>936002</wp:posOffset>
                </wp:positionH>
                <wp:positionV relativeFrom="paragraph">
                  <wp:posOffset>284107</wp:posOffset>
                </wp:positionV>
                <wp:extent cx="909319" cy="26034"/>
                <wp:effectExtent l="0" t="0" r="0" b="0"/>
                <wp:wrapTopAndBottom/>
                <wp:docPr id="270" name="Graphic 270"/>
                <wp:cNvGraphicFramePr>
                  <a:graphicFrameLocks/>
                </wp:cNvGraphicFramePr>
                <a:graphic>
                  <a:graphicData uri="http://schemas.microsoft.com/office/word/2010/wordprocessingShape">
                    <wps:wsp>
                      <wps:cNvPr id="270" name="Graphic 270"/>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73.700996pt;margin-top:22.370687pt;width:71.584pt;height:2.021pt;mso-position-horizontal-relative:page;mso-position-vertical-relative:paragraph;z-index:-15663616;mso-wrap-distance-left:0;mso-wrap-distance-right:0" id="docshape208" filled="true" fillcolor="#1f4282" stroked="false">
                <v:fill type="solid"/>
                <w10:wrap type="topAndBottom"/>
              </v:rect>
            </w:pict>
          </mc:Fallback>
        </mc:AlternateContent>
      </w:r>
    </w:p>
    <w:p>
      <w:pPr>
        <w:tabs>
          <w:tab w:pos="6349" w:val="left" w:leader="none"/>
        </w:tabs>
        <w:spacing w:before="342"/>
        <w:ind w:left="1474" w:right="0" w:firstLine="0"/>
        <w:jc w:val="left"/>
        <w:rPr>
          <w:sz w:val="24"/>
        </w:rPr>
      </w:pPr>
      <w:r>
        <w:rPr>
          <w:rFonts w:ascii="Microsoft Sans Serif"/>
          <w:color w:val="1F4282"/>
          <w:spacing w:val="6"/>
          <w:sz w:val="28"/>
        </w:rPr>
        <w:t>Impacts</w:t>
      </w:r>
      <w:r>
        <w:rPr>
          <w:rFonts w:ascii="Microsoft Sans Serif"/>
          <w:color w:val="1F4282"/>
          <w:spacing w:val="47"/>
          <w:w w:val="150"/>
          <w:sz w:val="28"/>
        </w:rPr>
        <w:t> </w:t>
      </w:r>
      <w:r>
        <w:rPr>
          <w:rFonts w:ascii="Microsoft Sans Serif"/>
          <w:color w:val="1F4282"/>
          <w:spacing w:val="6"/>
          <w:sz w:val="28"/>
        </w:rPr>
        <w:t>on</w:t>
      </w:r>
      <w:r>
        <w:rPr>
          <w:rFonts w:ascii="Microsoft Sans Serif"/>
          <w:color w:val="1F4282"/>
          <w:spacing w:val="48"/>
          <w:w w:val="150"/>
          <w:sz w:val="28"/>
        </w:rPr>
        <w:t> </w:t>
      </w:r>
      <w:r>
        <w:rPr>
          <w:rFonts w:ascii="Microsoft Sans Serif"/>
          <w:color w:val="1F4282"/>
          <w:spacing w:val="6"/>
          <w:sz w:val="28"/>
        </w:rPr>
        <w:t>foreign</w:t>
      </w:r>
      <w:r>
        <w:rPr>
          <w:rFonts w:ascii="Microsoft Sans Serif"/>
          <w:color w:val="1F4282"/>
          <w:spacing w:val="47"/>
          <w:w w:val="150"/>
          <w:sz w:val="28"/>
        </w:rPr>
        <w:t> </w:t>
      </w:r>
      <w:r>
        <w:rPr>
          <w:rFonts w:ascii="Microsoft Sans Serif"/>
          <w:color w:val="1F4282"/>
          <w:spacing w:val="-4"/>
          <w:sz w:val="28"/>
        </w:rPr>
        <w:t>trade</w:t>
      </w:r>
      <w:r>
        <w:rPr>
          <w:rFonts w:ascii="Microsoft Sans Serif"/>
          <w:color w:val="1F4282"/>
          <w:sz w:val="28"/>
        </w:rPr>
        <w:tab/>
      </w:r>
      <w:r>
        <w:rPr>
          <w:color w:val="231F20"/>
          <w:spacing w:val="-4"/>
          <w:sz w:val="24"/>
        </w:rPr>
        <w:t>the</w:t>
      </w:r>
      <w:r>
        <w:rPr>
          <w:color w:val="231F20"/>
          <w:spacing w:val="-10"/>
          <w:sz w:val="24"/>
        </w:rPr>
        <w:t> </w:t>
      </w:r>
      <w:r>
        <w:rPr>
          <w:color w:val="231F20"/>
          <w:spacing w:val="-4"/>
          <w:sz w:val="24"/>
        </w:rPr>
        <w:t>sector</w:t>
      </w:r>
      <w:r>
        <w:rPr>
          <w:color w:val="231F20"/>
          <w:spacing w:val="-7"/>
          <w:sz w:val="24"/>
        </w:rPr>
        <w:t> </w:t>
      </w:r>
      <w:r>
        <w:rPr>
          <w:color w:val="231F20"/>
          <w:spacing w:val="-4"/>
          <w:sz w:val="24"/>
        </w:rPr>
        <w:t>hardest</w:t>
      </w:r>
      <w:r>
        <w:rPr>
          <w:color w:val="231F20"/>
          <w:spacing w:val="-8"/>
          <w:sz w:val="24"/>
        </w:rPr>
        <w:t> </w:t>
      </w:r>
      <w:r>
        <w:rPr>
          <w:color w:val="231F20"/>
          <w:spacing w:val="-4"/>
          <w:sz w:val="24"/>
        </w:rPr>
        <w:t>hit,</w:t>
      </w:r>
      <w:r>
        <w:rPr>
          <w:color w:val="231F20"/>
          <w:spacing w:val="-7"/>
          <w:sz w:val="24"/>
        </w:rPr>
        <w:t> </w:t>
      </w:r>
      <w:r>
        <w:rPr>
          <w:color w:val="231F20"/>
          <w:spacing w:val="-4"/>
          <w:sz w:val="24"/>
        </w:rPr>
        <w:t>accounting</w:t>
      </w:r>
      <w:r>
        <w:rPr>
          <w:color w:val="231F20"/>
          <w:spacing w:val="-8"/>
          <w:sz w:val="24"/>
        </w:rPr>
        <w:t> </w:t>
      </w:r>
      <w:r>
        <w:rPr>
          <w:color w:val="231F20"/>
          <w:spacing w:val="-4"/>
          <w:sz w:val="24"/>
        </w:rPr>
        <w:t>for</w:t>
      </w:r>
      <w:r>
        <w:rPr>
          <w:color w:val="231F20"/>
          <w:spacing w:val="-7"/>
          <w:sz w:val="24"/>
        </w:rPr>
        <w:t> </w:t>
      </w:r>
      <w:r>
        <w:rPr>
          <w:color w:val="231F20"/>
          <w:spacing w:val="-4"/>
          <w:sz w:val="24"/>
        </w:rPr>
        <w:t>58.5%</w:t>
      </w:r>
    </w:p>
    <w:p>
      <w:pPr>
        <w:spacing w:after="0"/>
        <w:jc w:val="left"/>
        <w:rPr>
          <w:sz w:val="24"/>
        </w:rPr>
        <w:sectPr>
          <w:pgSz w:w="11910" w:h="16840"/>
          <w:pgMar w:header="0" w:footer="695" w:top="800" w:bottom="880" w:left="0" w:right="0"/>
        </w:sectPr>
      </w:pPr>
    </w:p>
    <w:p>
      <w:pPr>
        <w:spacing w:before="161"/>
        <w:ind w:left="1474" w:right="0" w:firstLine="0"/>
        <w:jc w:val="both"/>
        <w:rPr>
          <w:i/>
          <w:sz w:val="24"/>
        </w:rPr>
      </w:pPr>
      <w:r>
        <w:rPr>
          <w:i/>
          <w:color w:val="231F20"/>
          <w:sz w:val="24"/>
        </w:rPr>
        <w:t>The losses in foreign trade caused by </w:t>
      </w:r>
      <w:r>
        <w:rPr>
          <w:i/>
          <w:color w:val="231F20"/>
          <w:sz w:val="24"/>
        </w:rPr>
        <w:t>the</w:t>
      </w:r>
      <w:r>
        <w:rPr>
          <w:i/>
          <w:color w:val="231F20"/>
          <w:sz w:val="24"/>
        </w:rPr>
        <w:t> blockade</w:t>
      </w:r>
      <w:r>
        <w:rPr>
          <w:i/>
          <w:color w:val="231F20"/>
          <w:spacing w:val="-6"/>
          <w:sz w:val="24"/>
        </w:rPr>
        <w:t> </w:t>
      </w:r>
      <w:r>
        <w:rPr>
          <w:i/>
          <w:color w:val="231F20"/>
          <w:sz w:val="24"/>
        </w:rPr>
        <w:t>in</w:t>
      </w:r>
      <w:r>
        <w:rPr>
          <w:i/>
          <w:color w:val="231F20"/>
          <w:spacing w:val="-6"/>
          <w:sz w:val="24"/>
        </w:rPr>
        <w:t> </w:t>
      </w:r>
      <w:r>
        <w:rPr>
          <w:i/>
          <w:color w:val="231F20"/>
          <w:sz w:val="24"/>
        </w:rPr>
        <w:t>the</w:t>
      </w:r>
      <w:r>
        <w:rPr>
          <w:i/>
          <w:color w:val="231F20"/>
          <w:spacing w:val="-6"/>
          <w:sz w:val="24"/>
        </w:rPr>
        <w:t> </w:t>
      </w:r>
      <w:r>
        <w:rPr>
          <w:i/>
          <w:color w:val="231F20"/>
          <w:sz w:val="24"/>
        </w:rPr>
        <w:t>period</w:t>
      </w:r>
      <w:r>
        <w:rPr>
          <w:i/>
          <w:color w:val="231F20"/>
          <w:spacing w:val="-6"/>
          <w:sz w:val="24"/>
        </w:rPr>
        <w:t> </w:t>
      </w:r>
      <w:r>
        <w:rPr>
          <w:i/>
          <w:color w:val="231F20"/>
          <w:sz w:val="24"/>
        </w:rPr>
        <w:t>from</w:t>
      </w:r>
      <w:r>
        <w:rPr>
          <w:i/>
          <w:color w:val="231F20"/>
          <w:spacing w:val="-6"/>
          <w:sz w:val="24"/>
        </w:rPr>
        <w:t> </w:t>
      </w:r>
      <w:r>
        <w:rPr>
          <w:i/>
          <w:color w:val="231F20"/>
          <w:sz w:val="24"/>
        </w:rPr>
        <w:t>March</w:t>
      </w:r>
      <w:r>
        <w:rPr>
          <w:i/>
          <w:color w:val="231F20"/>
          <w:spacing w:val="-6"/>
          <w:sz w:val="24"/>
        </w:rPr>
        <w:t> </w:t>
      </w:r>
      <w:r>
        <w:rPr>
          <w:i/>
          <w:color w:val="231F20"/>
          <w:sz w:val="24"/>
        </w:rPr>
        <w:t>2022</w:t>
      </w:r>
      <w:r>
        <w:rPr>
          <w:i/>
          <w:color w:val="231F20"/>
          <w:spacing w:val="-6"/>
          <w:sz w:val="24"/>
        </w:rPr>
        <w:t> </w:t>
      </w:r>
      <w:r>
        <w:rPr>
          <w:i/>
          <w:color w:val="231F20"/>
          <w:sz w:val="24"/>
        </w:rPr>
        <w:t>to February</w:t>
      </w:r>
      <w:r>
        <w:rPr>
          <w:i/>
          <w:color w:val="231F20"/>
          <w:spacing w:val="-1"/>
          <w:sz w:val="24"/>
        </w:rPr>
        <w:t> </w:t>
      </w:r>
      <w:r>
        <w:rPr>
          <w:i/>
          <w:color w:val="231F20"/>
          <w:sz w:val="24"/>
        </w:rPr>
        <w:t>2023</w:t>
      </w:r>
      <w:r>
        <w:rPr>
          <w:i/>
          <w:color w:val="231F20"/>
          <w:spacing w:val="-1"/>
          <w:sz w:val="24"/>
        </w:rPr>
        <w:t> </w:t>
      </w:r>
      <w:r>
        <w:rPr>
          <w:i/>
          <w:color w:val="231F20"/>
          <w:sz w:val="24"/>
        </w:rPr>
        <w:t>totaled</w:t>
      </w:r>
      <w:r>
        <w:rPr>
          <w:i/>
          <w:color w:val="231F20"/>
          <w:spacing w:val="-2"/>
          <w:sz w:val="24"/>
        </w:rPr>
        <w:t> </w:t>
      </w:r>
      <w:r>
        <w:rPr>
          <w:rFonts w:ascii="Segoe UI Semibold"/>
          <w:b/>
          <w:i/>
          <w:color w:val="231F20"/>
          <w:sz w:val="24"/>
        </w:rPr>
        <w:t>USD</w:t>
      </w:r>
      <w:r>
        <w:rPr>
          <w:rFonts w:ascii="Segoe UI Semibold"/>
          <w:b/>
          <w:i/>
          <w:color w:val="231F20"/>
          <w:spacing w:val="-1"/>
          <w:sz w:val="24"/>
        </w:rPr>
        <w:t> </w:t>
      </w:r>
      <w:r>
        <w:rPr>
          <w:rFonts w:ascii="Segoe UI Semibold"/>
          <w:b/>
          <w:i/>
          <w:color w:val="231F20"/>
          <w:spacing w:val="-2"/>
          <w:sz w:val="24"/>
        </w:rPr>
        <w:t>3,081,300,000</w:t>
      </w:r>
      <w:r>
        <w:rPr>
          <w:i/>
          <w:color w:val="231F20"/>
          <w:spacing w:val="-2"/>
          <w:sz w:val="24"/>
        </w:rPr>
        <w:t>.</w:t>
      </w:r>
    </w:p>
    <w:p>
      <w:pPr>
        <w:pStyle w:val="BodyText"/>
        <w:spacing w:before="161"/>
        <w:ind w:left="1474" w:right="1"/>
      </w:pPr>
      <w:r>
        <w:rPr>
          <w:color w:val="231F20"/>
          <w:spacing w:val="-4"/>
        </w:rPr>
        <w:t>In</w:t>
      </w:r>
      <w:r>
        <w:rPr>
          <w:color w:val="231F20"/>
          <w:spacing w:val="-11"/>
        </w:rPr>
        <w:t> </w:t>
      </w:r>
      <w:r>
        <w:rPr>
          <w:color w:val="231F20"/>
          <w:spacing w:val="-4"/>
        </w:rPr>
        <w:t>a</w:t>
      </w:r>
      <w:r>
        <w:rPr>
          <w:color w:val="231F20"/>
          <w:spacing w:val="-11"/>
        </w:rPr>
        <w:t> </w:t>
      </w:r>
      <w:r>
        <w:rPr>
          <w:color w:val="231F20"/>
          <w:spacing w:val="-4"/>
        </w:rPr>
        <w:t>progressively</w:t>
      </w:r>
      <w:r>
        <w:rPr>
          <w:color w:val="231F20"/>
          <w:spacing w:val="-11"/>
        </w:rPr>
        <w:t> </w:t>
      </w:r>
      <w:r>
        <w:rPr>
          <w:color w:val="231F20"/>
          <w:spacing w:val="-4"/>
        </w:rPr>
        <w:t>globalizing</w:t>
      </w:r>
      <w:r>
        <w:rPr>
          <w:color w:val="231F20"/>
          <w:spacing w:val="-11"/>
        </w:rPr>
        <w:t> </w:t>
      </w:r>
      <w:r>
        <w:rPr>
          <w:color w:val="231F20"/>
          <w:spacing w:val="-4"/>
        </w:rPr>
        <w:t>economy,</w:t>
      </w:r>
      <w:r>
        <w:rPr>
          <w:color w:val="231F20"/>
          <w:spacing w:val="-11"/>
        </w:rPr>
        <w:t> </w:t>
      </w:r>
      <w:r>
        <w:rPr>
          <w:color w:val="231F20"/>
          <w:spacing w:val="-4"/>
        </w:rPr>
        <w:t>it</w:t>
      </w:r>
      <w:r>
        <w:rPr>
          <w:color w:val="231F20"/>
          <w:spacing w:val="-11"/>
        </w:rPr>
        <w:t> </w:t>
      </w:r>
      <w:r>
        <w:rPr>
          <w:color w:val="231F20"/>
          <w:spacing w:val="-4"/>
        </w:rPr>
        <w:t>is </w:t>
      </w:r>
      <w:r>
        <w:rPr>
          <w:color w:val="231F20"/>
        </w:rPr>
        <w:t>increasingly</w:t>
      </w:r>
      <w:r>
        <w:rPr>
          <w:color w:val="231F20"/>
          <w:spacing w:val="-3"/>
        </w:rPr>
        <w:t> </w:t>
      </w:r>
      <w:r>
        <w:rPr>
          <w:color w:val="231F20"/>
        </w:rPr>
        <w:t>difficult</w:t>
      </w:r>
      <w:r>
        <w:rPr>
          <w:color w:val="231F20"/>
          <w:spacing w:val="-3"/>
        </w:rPr>
        <w:t> </w:t>
      </w:r>
      <w:r>
        <w:rPr>
          <w:color w:val="231F20"/>
        </w:rPr>
        <w:t>for</w:t>
      </w:r>
      <w:r>
        <w:rPr>
          <w:color w:val="231F20"/>
          <w:spacing w:val="-3"/>
        </w:rPr>
        <w:t> </w:t>
      </w:r>
      <w:r>
        <w:rPr>
          <w:color w:val="231F20"/>
        </w:rPr>
        <w:t>Cuba</w:t>
      </w:r>
      <w:r>
        <w:rPr>
          <w:color w:val="231F20"/>
          <w:spacing w:val="-3"/>
        </w:rPr>
        <w:t> </w:t>
      </w:r>
      <w:r>
        <w:rPr>
          <w:color w:val="231F20"/>
        </w:rPr>
        <w:t>to</w:t>
      </w:r>
      <w:r>
        <w:rPr>
          <w:color w:val="231F20"/>
          <w:spacing w:val="-3"/>
        </w:rPr>
        <w:t> </w:t>
      </w:r>
      <w:r>
        <w:rPr>
          <w:color w:val="231F20"/>
        </w:rPr>
        <w:t>purchase the</w:t>
      </w:r>
      <w:r>
        <w:rPr>
          <w:color w:val="231F20"/>
          <w:spacing w:val="-3"/>
        </w:rPr>
        <w:t> </w:t>
      </w:r>
      <w:r>
        <w:rPr>
          <w:color w:val="231F20"/>
        </w:rPr>
        <w:t>supplies</w:t>
      </w:r>
      <w:r>
        <w:rPr>
          <w:color w:val="231F20"/>
          <w:spacing w:val="-3"/>
        </w:rPr>
        <w:t> </w:t>
      </w:r>
      <w:r>
        <w:rPr>
          <w:color w:val="231F20"/>
        </w:rPr>
        <w:t>it</w:t>
      </w:r>
      <w:r>
        <w:rPr>
          <w:color w:val="231F20"/>
          <w:spacing w:val="-3"/>
        </w:rPr>
        <w:t> </w:t>
      </w:r>
      <w:r>
        <w:rPr>
          <w:color w:val="231F20"/>
        </w:rPr>
        <w:t>needs</w:t>
      </w:r>
      <w:r>
        <w:rPr>
          <w:color w:val="231F20"/>
          <w:spacing w:val="-3"/>
        </w:rPr>
        <w:t> </w:t>
      </w:r>
      <w:r>
        <w:rPr>
          <w:color w:val="231F20"/>
        </w:rPr>
        <w:t>for</w:t>
      </w:r>
      <w:r>
        <w:rPr>
          <w:color w:val="231F20"/>
          <w:spacing w:val="-3"/>
        </w:rPr>
        <w:t> </w:t>
      </w:r>
      <w:r>
        <w:rPr>
          <w:color w:val="231F20"/>
        </w:rPr>
        <w:t>industry,</w:t>
      </w:r>
      <w:r>
        <w:rPr>
          <w:color w:val="231F20"/>
          <w:spacing w:val="-3"/>
        </w:rPr>
        <w:t> </w:t>
      </w:r>
      <w:r>
        <w:rPr>
          <w:color w:val="231F20"/>
        </w:rPr>
        <w:t>services and domestic consumption, regardless</w:t>
      </w:r>
      <w:r>
        <w:rPr>
          <w:color w:val="231F20"/>
          <w:spacing w:val="80"/>
          <w:w w:val="150"/>
        </w:rPr>
        <w:t> </w:t>
      </w:r>
      <w:r>
        <w:rPr>
          <w:color w:val="231F20"/>
        </w:rPr>
        <w:t>of</w:t>
      </w:r>
      <w:r>
        <w:rPr>
          <w:color w:val="231F20"/>
          <w:spacing w:val="-8"/>
        </w:rPr>
        <w:t> </w:t>
      </w:r>
      <w:r>
        <w:rPr>
          <w:color w:val="231F20"/>
        </w:rPr>
        <w:t>the</w:t>
      </w:r>
      <w:r>
        <w:rPr>
          <w:color w:val="231F20"/>
          <w:spacing w:val="-8"/>
        </w:rPr>
        <w:t> </w:t>
      </w:r>
      <w:r>
        <w:rPr>
          <w:color w:val="231F20"/>
        </w:rPr>
        <w:t>political</w:t>
      </w:r>
      <w:r>
        <w:rPr>
          <w:color w:val="231F20"/>
          <w:spacing w:val="-8"/>
        </w:rPr>
        <w:t> </w:t>
      </w:r>
      <w:r>
        <w:rPr>
          <w:color w:val="231F20"/>
        </w:rPr>
        <w:t>or</w:t>
      </w:r>
      <w:r>
        <w:rPr>
          <w:color w:val="231F20"/>
          <w:spacing w:val="-8"/>
        </w:rPr>
        <w:t> </w:t>
      </w:r>
      <w:r>
        <w:rPr>
          <w:color w:val="231F20"/>
        </w:rPr>
        <w:t>trading</w:t>
      </w:r>
      <w:r>
        <w:rPr>
          <w:color w:val="231F20"/>
          <w:spacing w:val="-8"/>
        </w:rPr>
        <w:t> </w:t>
      </w:r>
      <w:r>
        <w:rPr>
          <w:color w:val="231F20"/>
        </w:rPr>
        <w:t>relations</w:t>
      </w:r>
      <w:r>
        <w:rPr>
          <w:color w:val="231F20"/>
          <w:spacing w:val="-8"/>
        </w:rPr>
        <w:t> </w:t>
      </w:r>
      <w:r>
        <w:rPr>
          <w:color w:val="231F20"/>
        </w:rPr>
        <w:t>with</w:t>
      </w:r>
      <w:r>
        <w:rPr>
          <w:color w:val="231F20"/>
          <w:spacing w:val="-8"/>
        </w:rPr>
        <w:t> </w:t>
      </w:r>
      <w:r>
        <w:rPr>
          <w:color w:val="231F20"/>
        </w:rPr>
        <w:t>its import markets of origin.</w:t>
      </w:r>
    </w:p>
    <w:p>
      <w:pPr>
        <w:pStyle w:val="BodyText"/>
        <w:spacing w:before="165"/>
        <w:ind w:left="1474" w:right="4"/>
      </w:pPr>
      <w:r>
        <w:rPr>
          <w:color w:val="231F20"/>
          <w:spacing w:val="-8"/>
        </w:rPr>
        <w:t>The period</w:t>
      </w:r>
      <w:r>
        <w:rPr>
          <w:color w:val="231F20"/>
          <w:spacing w:val="-9"/>
        </w:rPr>
        <w:t> </w:t>
      </w:r>
      <w:r>
        <w:rPr>
          <w:color w:val="231F20"/>
          <w:spacing w:val="-8"/>
        </w:rPr>
        <w:t>saw an appreciable decline</w:t>
      </w:r>
      <w:r>
        <w:rPr>
          <w:color w:val="231F20"/>
          <w:spacing w:val="-9"/>
        </w:rPr>
        <w:t> </w:t>
      </w:r>
      <w:r>
        <w:rPr>
          <w:color w:val="231F20"/>
          <w:spacing w:val="-8"/>
        </w:rPr>
        <w:t>in our </w:t>
      </w:r>
      <w:r>
        <w:rPr>
          <w:color w:val="231F20"/>
          <w:spacing w:val="-2"/>
        </w:rPr>
        <w:t>foreign</w:t>
      </w:r>
      <w:r>
        <w:rPr>
          <w:color w:val="231F20"/>
          <w:spacing w:val="-14"/>
        </w:rPr>
        <w:t> </w:t>
      </w:r>
      <w:r>
        <w:rPr>
          <w:color w:val="231F20"/>
          <w:spacing w:val="-2"/>
        </w:rPr>
        <w:t>trade,</w:t>
      </w:r>
      <w:r>
        <w:rPr>
          <w:color w:val="231F20"/>
          <w:spacing w:val="-14"/>
        </w:rPr>
        <w:t> </w:t>
      </w:r>
      <w:r>
        <w:rPr>
          <w:color w:val="231F20"/>
          <w:spacing w:val="-2"/>
        </w:rPr>
        <w:t>notably</w:t>
      </w:r>
      <w:r>
        <w:rPr>
          <w:color w:val="231F20"/>
          <w:spacing w:val="-14"/>
        </w:rPr>
        <w:t> </w:t>
      </w:r>
      <w:r>
        <w:rPr>
          <w:color w:val="231F20"/>
          <w:spacing w:val="-2"/>
        </w:rPr>
        <w:t>in</w:t>
      </w:r>
      <w:r>
        <w:rPr>
          <w:color w:val="231F20"/>
          <w:spacing w:val="-14"/>
        </w:rPr>
        <w:t> </w:t>
      </w:r>
      <w:r>
        <w:rPr>
          <w:color w:val="231F20"/>
          <w:spacing w:val="-2"/>
        </w:rPr>
        <w:t>the</w:t>
      </w:r>
      <w:r>
        <w:rPr>
          <w:color w:val="231F20"/>
          <w:spacing w:val="-14"/>
        </w:rPr>
        <w:t> </w:t>
      </w:r>
      <w:r>
        <w:rPr>
          <w:color w:val="231F20"/>
          <w:spacing w:val="-2"/>
        </w:rPr>
        <w:t>case</w:t>
      </w:r>
      <w:r>
        <w:rPr>
          <w:color w:val="231F20"/>
          <w:spacing w:val="-14"/>
        </w:rPr>
        <w:t> </w:t>
      </w:r>
      <w:r>
        <w:rPr>
          <w:color w:val="231F20"/>
          <w:spacing w:val="-2"/>
        </w:rPr>
        <w:t>of</w:t>
      </w:r>
      <w:r>
        <w:rPr>
          <w:color w:val="231F20"/>
          <w:spacing w:val="-14"/>
        </w:rPr>
        <w:t> </w:t>
      </w:r>
      <w:r>
        <w:rPr>
          <w:color w:val="231F20"/>
          <w:spacing w:val="-2"/>
        </w:rPr>
        <w:t>import </w:t>
      </w:r>
      <w:r>
        <w:rPr>
          <w:color w:val="231F20"/>
          <w:spacing w:val="-8"/>
        </w:rPr>
        <w:t>volumes. Rising costs on purchases of goods also resulted in a reduction in real funding in </w:t>
      </w:r>
      <w:r>
        <w:rPr>
          <w:color w:val="231F20"/>
          <w:spacing w:val="-2"/>
        </w:rPr>
        <w:t>support</w:t>
      </w:r>
      <w:r>
        <w:rPr>
          <w:color w:val="231F20"/>
          <w:spacing w:val="-15"/>
        </w:rPr>
        <w:t> </w:t>
      </w:r>
      <w:r>
        <w:rPr>
          <w:color w:val="231F20"/>
          <w:spacing w:val="-2"/>
        </w:rPr>
        <w:t>of</w:t>
      </w:r>
      <w:r>
        <w:rPr>
          <w:color w:val="231F20"/>
          <w:spacing w:val="-15"/>
        </w:rPr>
        <w:t> </w:t>
      </w:r>
      <w:r>
        <w:rPr>
          <w:color w:val="231F20"/>
          <w:spacing w:val="-2"/>
        </w:rPr>
        <w:t>the</w:t>
      </w:r>
      <w:r>
        <w:rPr>
          <w:color w:val="231F20"/>
          <w:spacing w:val="-15"/>
        </w:rPr>
        <w:t> </w:t>
      </w:r>
      <w:r>
        <w:rPr>
          <w:color w:val="231F20"/>
          <w:spacing w:val="-2"/>
        </w:rPr>
        <w:t>national</w:t>
      </w:r>
      <w:r>
        <w:rPr>
          <w:color w:val="231F20"/>
          <w:spacing w:val="-15"/>
        </w:rPr>
        <w:t> </w:t>
      </w:r>
      <w:r>
        <w:rPr>
          <w:color w:val="231F20"/>
          <w:spacing w:val="-2"/>
        </w:rPr>
        <w:t>economic</w:t>
      </w:r>
      <w:r>
        <w:rPr>
          <w:color w:val="231F20"/>
          <w:spacing w:val="-15"/>
        </w:rPr>
        <w:t> </w:t>
      </w:r>
      <w:r>
        <w:rPr>
          <w:color w:val="231F20"/>
          <w:spacing w:val="-2"/>
        </w:rPr>
        <w:t>plans.</w:t>
      </w:r>
    </w:p>
    <w:p>
      <w:pPr>
        <w:pStyle w:val="BodyText"/>
        <w:spacing w:before="164"/>
        <w:ind w:left="1474" w:right="8"/>
      </w:pPr>
      <w:r>
        <w:rPr>
          <w:color w:val="231F20"/>
          <w:spacing w:val="-6"/>
        </w:rPr>
        <w:t>As</w:t>
      </w:r>
      <w:r>
        <w:rPr>
          <w:color w:val="231F20"/>
          <w:spacing w:val="-8"/>
        </w:rPr>
        <w:t> </w:t>
      </w:r>
      <w:r>
        <w:rPr>
          <w:color w:val="231F20"/>
          <w:spacing w:val="-6"/>
        </w:rPr>
        <w:t>a</w:t>
      </w:r>
      <w:r>
        <w:rPr>
          <w:color w:val="231F20"/>
          <w:spacing w:val="-8"/>
        </w:rPr>
        <w:t> </w:t>
      </w:r>
      <w:r>
        <w:rPr>
          <w:color w:val="231F20"/>
          <w:spacing w:val="-6"/>
        </w:rPr>
        <w:t>consequence</w:t>
      </w:r>
      <w:r>
        <w:rPr>
          <w:color w:val="231F20"/>
          <w:spacing w:val="-8"/>
        </w:rPr>
        <w:t> </w:t>
      </w:r>
      <w:r>
        <w:rPr>
          <w:color w:val="231F20"/>
          <w:spacing w:val="-6"/>
        </w:rPr>
        <w:t>of</w:t>
      </w:r>
      <w:r>
        <w:rPr>
          <w:color w:val="231F20"/>
          <w:spacing w:val="-8"/>
        </w:rPr>
        <w:t> </w:t>
      </w:r>
      <w:r>
        <w:rPr>
          <w:color w:val="231F20"/>
          <w:spacing w:val="-6"/>
        </w:rPr>
        <w:t>Cuba’s</w:t>
      </w:r>
      <w:r>
        <w:rPr>
          <w:color w:val="231F20"/>
          <w:spacing w:val="-8"/>
        </w:rPr>
        <w:t> </w:t>
      </w:r>
      <w:r>
        <w:rPr>
          <w:color w:val="231F20"/>
          <w:spacing w:val="-6"/>
        </w:rPr>
        <w:t>inclusion</w:t>
      </w:r>
      <w:r>
        <w:rPr>
          <w:color w:val="231F20"/>
          <w:spacing w:val="-8"/>
        </w:rPr>
        <w:t> </w:t>
      </w:r>
      <w:r>
        <w:rPr>
          <w:color w:val="231F20"/>
          <w:spacing w:val="-6"/>
        </w:rPr>
        <w:t>of</w:t>
      </w:r>
      <w:r>
        <w:rPr>
          <w:color w:val="231F20"/>
          <w:spacing w:val="-8"/>
        </w:rPr>
        <w:t> </w:t>
      </w:r>
      <w:r>
        <w:rPr>
          <w:color w:val="231F20"/>
          <w:spacing w:val="-6"/>
        </w:rPr>
        <w:t>the </w:t>
      </w:r>
      <w:r>
        <w:rPr>
          <w:color w:val="231F20"/>
          <w:spacing w:val="-14"/>
        </w:rPr>
        <w:t>list</w:t>
      </w:r>
      <w:r>
        <w:rPr>
          <w:color w:val="231F20"/>
          <w:spacing w:val="-3"/>
        </w:rPr>
        <w:t> </w:t>
      </w:r>
      <w:r>
        <w:rPr>
          <w:color w:val="231F20"/>
          <w:spacing w:val="-14"/>
        </w:rPr>
        <w:t>of</w:t>
      </w:r>
      <w:r>
        <w:rPr>
          <w:color w:val="231F20"/>
          <w:spacing w:val="-2"/>
        </w:rPr>
        <w:t> </w:t>
      </w:r>
      <w:r>
        <w:rPr>
          <w:color w:val="231F20"/>
          <w:spacing w:val="-14"/>
        </w:rPr>
        <w:t>state</w:t>
      </w:r>
      <w:r>
        <w:rPr>
          <w:color w:val="231F20"/>
          <w:spacing w:val="-3"/>
        </w:rPr>
        <w:t> </w:t>
      </w:r>
      <w:r>
        <w:rPr>
          <w:color w:val="231F20"/>
          <w:spacing w:val="-14"/>
        </w:rPr>
        <w:t>sponsors</w:t>
      </w:r>
      <w:r>
        <w:rPr>
          <w:color w:val="231F20"/>
          <w:spacing w:val="-2"/>
        </w:rPr>
        <w:t> </w:t>
      </w:r>
      <w:r>
        <w:rPr>
          <w:color w:val="231F20"/>
          <w:spacing w:val="-14"/>
        </w:rPr>
        <w:t>of</w:t>
      </w:r>
      <w:r>
        <w:rPr>
          <w:color w:val="231F20"/>
          <w:spacing w:val="-3"/>
        </w:rPr>
        <w:t> </w:t>
      </w:r>
      <w:r>
        <w:rPr>
          <w:color w:val="231F20"/>
          <w:spacing w:val="-14"/>
        </w:rPr>
        <w:t>terrorism,</w:t>
      </w:r>
      <w:r>
        <w:rPr>
          <w:color w:val="231F20"/>
          <w:spacing w:val="-2"/>
        </w:rPr>
        <w:t> </w:t>
      </w:r>
      <w:r>
        <w:rPr>
          <w:color w:val="231F20"/>
          <w:spacing w:val="-14"/>
        </w:rPr>
        <w:t>prices</w:t>
      </w:r>
      <w:r>
        <w:rPr>
          <w:color w:val="231F20"/>
          <w:spacing w:val="-3"/>
        </w:rPr>
        <w:t> </w:t>
      </w:r>
      <w:r>
        <w:rPr>
          <w:color w:val="231F20"/>
          <w:spacing w:val="-14"/>
        </w:rPr>
        <w:t>related </w:t>
      </w:r>
      <w:r>
        <w:rPr>
          <w:color w:val="231F20"/>
          <w:spacing w:val="-12"/>
        </w:rPr>
        <w:t>to</w:t>
      </w:r>
      <w:r>
        <w:rPr>
          <w:color w:val="231F20"/>
          <w:spacing w:val="-4"/>
        </w:rPr>
        <w:t> </w:t>
      </w:r>
      <w:r>
        <w:rPr>
          <w:color w:val="231F20"/>
          <w:spacing w:val="-12"/>
        </w:rPr>
        <w:t>business</w:t>
      </w:r>
      <w:r>
        <w:rPr>
          <w:color w:val="231F20"/>
          <w:spacing w:val="-4"/>
        </w:rPr>
        <w:t> </w:t>
      </w:r>
      <w:r>
        <w:rPr>
          <w:color w:val="231F20"/>
          <w:spacing w:val="-12"/>
        </w:rPr>
        <w:t>with</w:t>
      </w:r>
      <w:r>
        <w:rPr>
          <w:color w:val="231F20"/>
          <w:spacing w:val="-4"/>
        </w:rPr>
        <w:t> </w:t>
      </w:r>
      <w:r>
        <w:rPr>
          <w:color w:val="231F20"/>
          <w:spacing w:val="-12"/>
        </w:rPr>
        <w:t>foreign</w:t>
      </w:r>
      <w:r>
        <w:rPr>
          <w:color w:val="231F20"/>
          <w:spacing w:val="-4"/>
        </w:rPr>
        <w:t> </w:t>
      </w:r>
      <w:r>
        <w:rPr>
          <w:color w:val="231F20"/>
          <w:spacing w:val="-12"/>
        </w:rPr>
        <w:t>investment</w:t>
      </w:r>
      <w:r>
        <w:rPr>
          <w:color w:val="231F20"/>
          <w:spacing w:val="-4"/>
        </w:rPr>
        <w:t> </w:t>
      </w:r>
      <w:r>
        <w:rPr>
          <w:color w:val="231F20"/>
          <w:spacing w:val="-12"/>
        </w:rPr>
        <w:t>increased, </w:t>
      </w:r>
      <w:r>
        <w:rPr>
          <w:color w:val="231F20"/>
          <w:spacing w:val="-4"/>
        </w:rPr>
        <w:t>as</w:t>
      </w:r>
      <w:r>
        <w:rPr>
          <w:color w:val="231F20"/>
          <w:spacing w:val="-6"/>
        </w:rPr>
        <w:t> </w:t>
      </w:r>
      <w:r>
        <w:rPr>
          <w:color w:val="231F20"/>
          <w:spacing w:val="-4"/>
        </w:rPr>
        <w:t>did</w:t>
      </w:r>
      <w:r>
        <w:rPr>
          <w:color w:val="231F20"/>
          <w:spacing w:val="-6"/>
        </w:rPr>
        <w:t> </w:t>
      </w:r>
      <w:r>
        <w:rPr>
          <w:color w:val="231F20"/>
          <w:spacing w:val="-4"/>
        </w:rPr>
        <w:t>cancellations</w:t>
      </w:r>
      <w:r>
        <w:rPr>
          <w:color w:val="231F20"/>
          <w:spacing w:val="-6"/>
        </w:rPr>
        <w:t> </w:t>
      </w:r>
      <w:r>
        <w:rPr>
          <w:color w:val="231F20"/>
          <w:spacing w:val="-4"/>
        </w:rPr>
        <w:t>of</w:t>
      </w:r>
      <w:r>
        <w:rPr>
          <w:color w:val="231F20"/>
          <w:spacing w:val="-6"/>
        </w:rPr>
        <w:t> </w:t>
      </w:r>
      <w:r>
        <w:rPr>
          <w:color w:val="231F20"/>
          <w:spacing w:val="-4"/>
        </w:rPr>
        <w:t>trading</w:t>
      </w:r>
      <w:r>
        <w:rPr>
          <w:color w:val="231F20"/>
          <w:spacing w:val="-6"/>
        </w:rPr>
        <w:t> </w:t>
      </w:r>
      <w:r>
        <w:rPr>
          <w:color w:val="231F20"/>
          <w:spacing w:val="-4"/>
        </w:rPr>
        <w:t>transactions, </w:t>
      </w:r>
      <w:r>
        <w:rPr>
          <w:color w:val="231F20"/>
          <w:spacing w:val="-14"/>
        </w:rPr>
        <w:t>cooperation</w:t>
      </w:r>
      <w:r>
        <w:rPr>
          <w:color w:val="231F20"/>
        </w:rPr>
        <w:t> </w:t>
      </w:r>
      <w:r>
        <w:rPr>
          <w:color w:val="231F20"/>
          <w:spacing w:val="-14"/>
        </w:rPr>
        <w:t>initiatives</w:t>
      </w:r>
      <w:r>
        <w:rPr>
          <w:color w:val="231F20"/>
        </w:rPr>
        <w:t> </w:t>
      </w:r>
      <w:r>
        <w:rPr>
          <w:color w:val="231F20"/>
          <w:spacing w:val="-14"/>
        </w:rPr>
        <w:t>and</w:t>
      </w:r>
      <w:r>
        <w:rPr>
          <w:color w:val="231F20"/>
        </w:rPr>
        <w:t> </w:t>
      </w:r>
      <w:r>
        <w:rPr>
          <w:color w:val="231F20"/>
          <w:spacing w:val="-14"/>
        </w:rPr>
        <w:t>investment</w:t>
      </w:r>
      <w:r>
        <w:rPr>
          <w:color w:val="231F20"/>
        </w:rPr>
        <w:t> </w:t>
      </w:r>
      <w:r>
        <w:rPr>
          <w:color w:val="231F20"/>
          <w:spacing w:val="-14"/>
        </w:rPr>
        <w:t>projects </w:t>
      </w:r>
      <w:r>
        <w:rPr>
          <w:color w:val="231F20"/>
        </w:rPr>
        <w:t>at various stages of implementation. Also </w:t>
      </w:r>
      <w:r>
        <w:rPr>
          <w:color w:val="231F20"/>
          <w:spacing w:val="-18"/>
        </w:rPr>
        <w:t>disrupted</w:t>
      </w:r>
      <w:r>
        <w:rPr>
          <w:color w:val="231F20"/>
          <w:spacing w:val="5"/>
        </w:rPr>
        <w:t> </w:t>
      </w:r>
      <w:r>
        <w:rPr>
          <w:color w:val="231F20"/>
          <w:spacing w:val="-18"/>
        </w:rPr>
        <w:t>were</w:t>
      </w:r>
      <w:r>
        <w:rPr>
          <w:color w:val="231F20"/>
          <w:spacing w:val="5"/>
        </w:rPr>
        <w:t> </w:t>
      </w:r>
      <w:r>
        <w:rPr>
          <w:color w:val="231F20"/>
          <w:spacing w:val="-18"/>
        </w:rPr>
        <w:t>dealings</w:t>
      </w:r>
      <w:r>
        <w:rPr>
          <w:color w:val="231F20"/>
          <w:spacing w:val="5"/>
        </w:rPr>
        <w:t> </w:t>
      </w:r>
      <w:r>
        <w:rPr>
          <w:color w:val="231F20"/>
          <w:spacing w:val="-18"/>
        </w:rPr>
        <w:t>with</w:t>
      </w:r>
      <w:r>
        <w:rPr>
          <w:color w:val="231F20"/>
          <w:spacing w:val="5"/>
        </w:rPr>
        <w:t> </w:t>
      </w:r>
      <w:r>
        <w:rPr>
          <w:color w:val="231F20"/>
          <w:spacing w:val="-18"/>
        </w:rPr>
        <w:t>banking</w:t>
      </w:r>
      <w:r>
        <w:rPr>
          <w:color w:val="231F20"/>
          <w:spacing w:val="5"/>
        </w:rPr>
        <w:t> </w:t>
      </w:r>
      <w:r>
        <w:rPr>
          <w:color w:val="231F20"/>
          <w:spacing w:val="-18"/>
        </w:rPr>
        <w:t>and</w:t>
      </w:r>
      <w:r>
        <w:rPr>
          <w:color w:val="231F20"/>
          <w:spacing w:val="5"/>
        </w:rPr>
        <w:t> </w:t>
      </w:r>
      <w:r>
        <w:rPr>
          <w:color w:val="231F20"/>
          <w:spacing w:val="-18"/>
        </w:rPr>
        <w:t>other </w:t>
      </w:r>
      <w:r>
        <w:rPr>
          <w:color w:val="231F20"/>
          <w:spacing w:val="-4"/>
        </w:rPr>
        <w:t>finance-sector</w:t>
      </w:r>
      <w:r>
        <w:rPr>
          <w:color w:val="231F20"/>
          <w:spacing w:val="-13"/>
        </w:rPr>
        <w:t> </w:t>
      </w:r>
      <w:r>
        <w:rPr>
          <w:color w:val="231F20"/>
          <w:spacing w:val="-4"/>
        </w:rPr>
        <w:t>institutions,</w:t>
      </w:r>
      <w:r>
        <w:rPr>
          <w:color w:val="231F20"/>
          <w:spacing w:val="-12"/>
        </w:rPr>
        <w:t> </w:t>
      </w:r>
      <w:r>
        <w:rPr>
          <w:color w:val="231F20"/>
          <w:spacing w:val="-4"/>
        </w:rPr>
        <w:t>which</w:t>
      </w:r>
      <w:r>
        <w:rPr>
          <w:color w:val="231F20"/>
          <w:spacing w:val="-13"/>
        </w:rPr>
        <w:t> </w:t>
      </w:r>
      <w:r>
        <w:rPr>
          <w:color w:val="231F20"/>
          <w:spacing w:val="-4"/>
        </w:rPr>
        <w:t>refused</w:t>
      </w:r>
      <w:r>
        <w:rPr>
          <w:color w:val="231F20"/>
          <w:spacing w:val="-12"/>
        </w:rPr>
        <w:t> </w:t>
      </w:r>
      <w:r>
        <w:rPr>
          <w:color w:val="231F20"/>
          <w:spacing w:val="-4"/>
        </w:rPr>
        <w:t>to </w:t>
      </w:r>
      <w:r>
        <w:rPr>
          <w:color w:val="231F20"/>
          <w:spacing w:val="-12"/>
        </w:rPr>
        <w:t>operate</w:t>
      </w:r>
      <w:r>
        <w:rPr>
          <w:color w:val="231F20"/>
          <w:spacing w:val="-1"/>
        </w:rPr>
        <w:t> </w:t>
      </w:r>
      <w:r>
        <w:rPr>
          <w:color w:val="231F20"/>
          <w:spacing w:val="-12"/>
        </w:rPr>
        <w:t>with</w:t>
      </w:r>
      <w:r>
        <w:rPr>
          <w:color w:val="231F20"/>
          <w:spacing w:val="-1"/>
        </w:rPr>
        <w:t> </w:t>
      </w:r>
      <w:r>
        <w:rPr>
          <w:color w:val="231F20"/>
          <w:spacing w:val="-12"/>
        </w:rPr>
        <w:t>Cuban</w:t>
      </w:r>
      <w:r>
        <w:rPr>
          <w:color w:val="231F20"/>
          <w:spacing w:val="-1"/>
        </w:rPr>
        <w:t> </w:t>
      </w:r>
      <w:r>
        <w:rPr>
          <w:color w:val="231F20"/>
          <w:spacing w:val="-12"/>
        </w:rPr>
        <w:t>firms</w:t>
      </w:r>
      <w:r>
        <w:rPr>
          <w:color w:val="231F20"/>
          <w:spacing w:val="-1"/>
        </w:rPr>
        <w:t> </w:t>
      </w:r>
      <w:r>
        <w:rPr>
          <w:color w:val="231F20"/>
          <w:spacing w:val="-12"/>
        </w:rPr>
        <w:t>for</w:t>
      </w:r>
      <w:r>
        <w:rPr>
          <w:color w:val="231F20"/>
          <w:spacing w:val="-1"/>
        </w:rPr>
        <w:t> </w:t>
      </w:r>
      <w:r>
        <w:rPr>
          <w:color w:val="231F20"/>
          <w:spacing w:val="-12"/>
        </w:rPr>
        <w:t>fear</w:t>
      </w:r>
      <w:r>
        <w:rPr>
          <w:color w:val="231F20"/>
          <w:spacing w:val="-1"/>
        </w:rPr>
        <w:t> </w:t>
      </w:r>
      <w:r>
        <w:rPr>
          <w:color w:val="231F20"/>
          <w:spacing w:val="-12"/>
        </w:rPr>
        <w:t>of</w:t>
      </w:r>
      <w:r>
        <w:rPr>
          <w:color w:val="231F20"/>
          <w:spacing w:val="-1"/>
        </w:rPr>
        <w:t> </w:t>
      </w:r>
      <w:r>
        <w:rPr>
          <w:color w:val="231F20"/>
          <w:spacing w:val="-12"/>
        </w:rPr>
        <w:t>sanctions </w:t>
      </w:r>
      <w:r>
        <w:rPr>
          <w:color w:val="231F20"/>
        </w:rPr>
        <w:t>by</w:t>
      </w:r>
      <w:r>
        <w:rPr>
          <w:color w:val="231F20"/>
          <w:spacing w:val="-23"/>
        </w:rPr>
        <w:t> </w:t>
      </w:r>
      <w:r>
        <w:rPr>
          <w:color w:val="231F20"/>
        </w:rPr>
        <w:t>Washington.</w:t>
      </w:r>
    </w:p>
    <w:p>
      <w:pPr>
        <w:pStyle w:val="BodyText"/>
        <w:spacing w:before="168"/>
        <w:ind w:left="1474" w:right="2"/>
      </w:pPr>
      <w:r>
        <w:rPr>
          <w:color w:val="231F20"/>
        </w:rPr>
        <w:t>As in previous years, the severest impacts were</w:t>
      </w:r>
      <w:r>
        <w:rPr>
          <w:color w:val="231F20"/>
          <w:spacing w:val="-6"/>
        </w:rPr>
        <w:t> </w:t>
      </w:r>
      <w:r>
        <w:rPr>
          <w:color w:val="231F20"/>
        </w:rPr>
        <w:t>in</w:t>
      </w:r>
      <w:r>
        <w:rPr>
          <w:color w:val="231F20"/>
          <w:spacing w:val="-6"/>
        </w:rPr>
        <w:t> </w:t>
      </w:r>
      <w:r>
        <w:rPr>
          <w:color w:val="231F20"/>
        </w:rPr>
        <w:t>the</w:t>
      </w:r>
      <w:r>
        <w:rPr>
          <w:color w:val="231F20"/>
          <w:spacing w:val="-6"/>
        </w:rPr>
        <w:t> </w:t>
      </w:r>
      <w:r>
        <w:rPr>
          <w:color w:val="231F20"/>
        </w:rPr>
        <w:t>form</w:t>
      </w:r>
      <w:r>
        <w:rPr>
          <w:color w:val="231F20"/>
          <w:spacing w:val="-6"/>
        </w:rPr>
        <w:t> </w:t>
      </w:r>
      <w:r>
        <w:rPr>
          <w:color w:val="231F20"/>
        </w:rPr>
        <w:t>of</w:t>
      </w:r>
      <w:r>
        <w:rPr>
          <w:color w:val="231F20"/>
          <w:spacing w:val="-6"/>
        </w:rPr>
        <w:t> </w:t>
      </w:r>
      <w:r>
        <w:rPr>
          <w:color w:val="231F20"/>
        </w:rPr>
        <w:t>revenues</w:t>
      </w:r>
      <w:r>
        <w:rPr>
          <w:color w:val="231F20"/>
          <w:spacing w:val="-6"/>
        </w:rPr>
        <w:t> </w:t>
      </w:r>
      <w:r>
        <w:rPr>
          <w:color w:val="231F20"/>
        </w:rPr>
        <w:t>foregone</w:t>
      </w:r>
      <w:r>
        <w:rPr>
          <w:color w:val="231F20"/>
          <w:spacing w:val="-6"/>
        </w:rPr>
        <w:t> </w:t>
      </w:r>
      <w:r>
        <w:rPr>
          <w:color w:val="231F20"/>
        </w:rPr>
        <w:t>on exports</w:t>
      </w:r>
      <w:r>
        <w:rPr>
          <w:color w:val="231F20"/>
          <w:spacing w:val="-9"/>
        </w:rPr>
        <w:t> </w:t>
      </w:r>
      <w:r>
        <w:rPr>
          <w:color w:val="231F20"/>
        </w:rPr>
        <w:t>of</w:t>
      </w:r>
      <w:r>
        <w:rPr>
          <w:color w:val="231F20"/>
          <w:spacing w:val="-9"/>
        </w:rPr>
        <w:t> </w:t>
      </w:r>
      <w:r>
        <w:rPr>
          <w:color w:val="231F20"/>
        </w:rPr>
        <w:t>goods</w:t>
      </w:r>
      <w:r>
        <w:rPr>
          <w:color w:val="231F20"/>
          <w:spacing w:val="-9"/>
        </w:rPr>
        <w:t> </w:t>
      </w:r>
      <w:r>
        <w:rPr>
          <w:color w:val="231F20"/>
        </w:rPr>
        <w:t>and</w:t>
      </w:r>
      <w:r>
        <w:rPr>
          <w:color w:val="231F20"/>
          <w:spacing w:val="-9"/>
        </w:rPr>
        <w:t> </w:t>
      </w:r>
      <w:r>
        <w:rPr>
          <w:color w:val="231F20"/>
        </w:rPr>
        <w:t>services,</w:t>
      </w:r>
      <w:r>
        <w:rPr>
          <w:color w:val="231F20"/>
          <w:spacing w:val="-9"/>
        </w:rPr>
        <w:t> </w:t>
      </w:r>
      <w:r>
        <w:rPr>
          <w:color w:val="231F20"/>
        </w:rPr>
        <w:t>amounting to</w:t>
      </w:r>
      <w:r>
        <w:rPr>
          <w:color w:val="231F20"/>
          <w:spacing w:val="17"/>
        </w:rPr>
        <w:t> </w:t>
      </w:r>
      <w:r>
        <w:rPr>
          <w:color w:val="231F20"/>
        </w:rPr>
        <w:t>USD</w:t>
      </w:r>
      <w:r>
        <w:rPr>
          <w:color w:val="231F20"/>
          <w:spacing w:val="17"/>
        </w:rPr>
        <w:t> </w:t>
      </w:r>
      <w:r>
        <w:rPr>
          <w:color w:val="231F20"/>
        </w:rPr>
        <w:t>1,808,000,000.</w:t>
      </w:r>
      <w:r>
        <w:rPr>
          <w:color w:val="231F20"/>
          <w:spacing w:val="17"/>
        </w:rPr>
        <w:t> </w:t>
      </w:r>
      <w:r>
        <w:rPr>
          <w:color w:val="231F20"/>
        </w:rPr>
        <w:t>Tourism</w:t>
      </w:r>
      <w:r>
        <w:rPr>
          <w:color w:val="231F20"/>
          <w:spacing w:val="17"/>
        </w:rPr>
        <w:t> </w:t>
      </w:r>
      <w:r>
        <w:rPr>
          <w:color w:val="231F20"/>
        </w:rPr>
        <w:t>was</w:t>
      </w:r>
      <w:r>
        <w:rPr>
          <w:color w:val="231F20"/>
          <w:spacing w:val="18"/>
        </w:rPr>
        <w:t> </w:t>
      </w:r>
      <w:r>
        <w:rPr>
          <w:color w:val="231F20"/>
          <w:spacing w:val="-5"/>
        </w:rPr>
        <w:t>again</w:t>
      </w:r>
    </w:p>
    <w:p>
      <w:pPr>
        <w:pStyle w:val="BodyText"/>
        <w:spacing w:before="1"/>
        <w:ind w:left="413"/>
      </w:pPr>
      <w:r>
        <w:rPr/>
        <w:br w:type="column"/>
      </w:r>
      <w:r>
        <w:rPr>
          <w:color w:val="231F20"/>
          <w:spacing w:val="-4"/>
        </w:rPr>
        <w:t>of</w:t>
      </w:r>
      <w:r>
        <w:rPr>
          <w:color w:val="231F20"/>
          <w:spacing w:val="-9"/>
        </w:rPr>
        <w:t> </w:t>
      </w:r>
      <w:r>
        <w:rPr>
          <w:color w:val="231F20"/>
          <w:spacing w:val="-4"/>
        </w:rPr>
        <w:t>the</w:t>
      </w:r>
      <w:r>
        <w:rPr>
          <w:color w:val="231F20"/>
          <w:spacing w:val="-8"/>
        </w:rPr>
        <w:t> </w:t>
      </w:r>
      <w:r>
        <w:rPr>
          <w:color w:val="231F20"/>
          <w:spacing w:val="-4"/>
        </w:rPr>
        <w:t>total</w:t>
      </w:r>
      <w:r>
        <w:rPr>
          <w:color w:val="231F20"/>
          <w:spacing w:val="-8"/>
        </w:rPr>
        <w:t> </w:t>
      </w:r>
      <w:r>
        <w:rPr>
          <w:color w:val="231F20"/>
          <w:spacing w:val="-4"/>
        </w:rPr>
        <w:t>mentioned.</w:t>
      </w:r>
    </w:p>
    <w:p>
      <w:pPr>
        <w:pStyle w:val="BodyText"/>
        <w:spacing w:before="161"/>
        <w:ind w:left="413" w:right="1135"/>
      </w:pPr>
      <w:r>
        <w:rPr>
          <w:color w:val="231F20"/>
        </w:rPr>
        <w:t>Reflecting the ban under the blockade</w:t>
      </w:r>
      <w:r>
        <w:rPr>
          <w:color w:val="231F20"/>
          <w:spacing w:val="80"/>
        </w:rPr>
        <w:t> </w:t>
      </w:r>
      <w:r>
        <w:rPr>
          <w:color w:val="231F20"/>
        </w:rPr>
        <w:t>on</w:t>
      </w:r>
      <w:r>
        <w:rPr>
          <w:color w:val="231F20"/>
          <w:spacing w:val="40"/>
        </w:rPr>
        <w:t> </w:t>
      </w:r>
      <w:r>
        <w:rPr>
          <w:color w:val="231F20"/>
        </w:rPr>
        <w:t>exports</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U.S.,</w:t>
      </w:r>
      <w:r>
        <w:rPr>
          <w:color w:val="231F20"/>
          <w:spacing w:val="40"/>
        </w:rPr>
        <w:t> </w:t>
      </w:r>
      <w:r>
        <w:rPr>
          <w:color w:val="231F20"/>
        </w:rPr>
        <w:t>the</w:t>
      </w:r>
      <w:r>
        <w:rPr>
          <w:color w:val="231F20"/>
          <w:spacing w:val="40"/>
        </w:rPr>
        <w:t> </w:t>
      </w:r>
      <w:r>
        <w:rPr>
          <w:color w:val="231F20"/>
        </w:rPr>
        <w:t>impact</w:t>
      </w:r>
      <w:r>
        <w:rPr>
          <w:color w:val="231F20"/>
          <w:spacing w:val="40"/>
        </w:rPr>
        <w:t> </w:t>
      </w:r>
      <w:r>
        <w:rPr>
          <w:color w:val="231F20"/>
        </w:rPr>
        <w:t>in the agricultural segment totaled USD 248,900,000 up 8% on the preceding </w:t>
      </w:r>
      <w:r>
        <w:rPr>
          <w:color w:val="231F20"/>
          <w:spacing w:val="-2"/>
        </w:rPr>
        <w:t>period.</w:t>
      </w:r>
      <w:r>
        <w:rPr>
          <w:color w:val="231F20"/>
          <w:spacing w:val="-8"/>
        </w:rPr>
        <w:t> </w:t>
      </w:r>
      <w:r>
        <w:rPr>
          <w:color w:val="231F20"/>
          <w:spacing w:val="-2"/>
        </w:rPr>
        <w:t>The</w:t>
      </w:r>
      <w:r>
        <w:rPr>
          <w:color w:val="231F20"/>
          <w:spacing w:val="-8"/>
        </w:rPr>
        <w:t> </w:t>
      </w:r>
      <w:r>
        <w:rPr>
          <w:color w:val="231F20"/>
          <w:spacing w:val="-2"/>
        </w:rPr>
        <w:t>revenues</w:t>
      </w:r>
      <w:r>
        <w:rPr>
          <w:color w:val="231F20"/>
          <w:spacing w:val="-8"/>
        </w:rPr>
        <w:t> </w:t>
      </w:r>
      <w:r>
        <w:rPr>
          <w:color w:val="231F20"/>
          <w:spacing w:val="-2"/>
        </w:rPr>
        <w:t>foregone</w:t>
      </w:r>
      <w:r>
        <w:rPr>
          <w:color w:val="231F20"/>
          <w:spacing w:val="-8"/>
        </w:rPr>
        <w:t> </w:t>
      </w:r>
      <w:r>
        <w:rPr>
          <w:color w:val="231F20"/>
          <w:spacing w:val="-2"/>
        </w:rPr>
        <w:t>comprising </w:t>
      </w:r>
      <w:r>
        <w:rPr>
          <w:color w:val="231F20"/>
        </w:rPr>
        <w:t>this amount relate to potential exports of tobacco, charcoal, premium quality fruit, honey,</w:t>
      </w:r>
      <w:r>
        <w:rPr>
          <w:color w:val="231F20"/>
          <w:spacing w:val="-8"/>
        </w:rPr>
        <w:t> </w:t>
      </w:r>
      <w:r>
        <w:rPr>
          <w:color w:val="231F20"/>
        </w:rPr>
        <w:t>chili</w:t>
      </w:r>
      <w:r>
        <w:rPr>
          <w:color w:val="231F20"/>
          <w:spacing w:val="-8"/>
        </w:rPr>
        <w:t> </w:t>
      </w:r>
      <w:r>
        <w:rPr>
          <w:color w:val="231F20"/>
        </w:rPr>
        <w:t>peppers</w:t>
      </w:r>
      <w:r>
        <w:rPr>
          <w:color w:val="231F20"/>
          <w:spacing w:val="-8"/>
        </w:rPr>
        <w:t> </w:t>
      </w:r>
      <w:r>
        <w:rPr>
          <w:color w:val="231F20"/>
        </w:rPr>
        <w:t>and</w:t>
      </w:r>
      <w:r>
        <w:rPr>
          <w:color w:val="231F20"/>
          <w:spacing w:val="-8"/>
        </w:rPr>
        <w:t> </w:t>
      </w:r>
      <w:r>
        <w:rPr>
          <w:color w:val="231F20"/>
        </w:rPr>
        <w:t>other</w:t>
      </w:r>
      <w:r>
        <w:rPr>
          <w:color w:val="231F20"/>
          <w:spacing w:val="-8"/>
        </w:rPr>
        <w:t> </w:t>
      </w:r>
      <w:r>
        <w:rPr>
          <w:color w:val="231F20"/>
        </w:rPr>
        <w:t>produce.</w:t>
      </w:r>
    </w:p>
    <w:p>
      <w:pPr>
        <w:pStyle w:val="BodyText"/>
        <w:spacing w:before="166"/>
        <w:ind w:left="413" w:right="1135"/>
      </w:pPr>
      <w:r>
        <w:rPr>
          <w:color w:val="231F20"/>
        </w:rPr>
        <w:t>As regards coffee, ground or as beans, the U.S. market is among the five largest in the world. In view of its quality, Cuban coffee</w:t>
      </w:r>
      <w:r>
        <w:rPr>
          <w:color w:val="231F20"/>
          <w:spacing w:val="1"/>
        </w:rPr>
        <w:t> </w:t>
      </w:r>
      <w:r>
        <w:rPr>
          <w:color w:val="231F20"/>
        </w:rPr>
        <w:t>could</w:t>
      </w:r>
      <w:r>
        <w:rPr>
          <w:color w:val="231F20"/>
          <w:spacing w:val="2"/>
        </w:rPr>
        <w:t> </w:t>
      </w:r>
      <w:r>
        <w:rPr>
          <w:color w:val="231F20"/>
        </w:rPr>
        <w:t>cover</w:t>
      </w:r>
      <w:r>
        <w:rPr>
          <w:color w:val="231F20"/>
          <w:spacing w:val="2"/>
        </w:rPr>
        <w:t> </w:t>
      </w:r>
      <w:r>
        <w:rPr>
          <w:color w:val="231F20"/>
        </w:rPr>
        <w:t>a</w:t>
      </w:r>
      <w:r>
        <w:rPr>
          <w:color w:val="231F20"/>
          <w:spacing w:val="1"/>
        </w:rPr>
        <w:t> </w:t>
      </w:r>
      <w:r>
        <w:rPr>
          <w:color w:val="231F20"/>
        </w:rPr>
        <w:t>significant</w:t>
      </w:r>
      <w:r>
        <w:rPr>
          <w:color w:val="231F20"/>
          <w:spacing w:val="2"/>
        </w:rPr>
        <w:t> </w:t>
      </w:r>
      <w:r>
        <w:rPr>
          <w:color w:val="231F20"/>
        </w:rPr>
        <w:t>portion</w:t>
      </w:r>
      <w:r>
        <w:rPr>
          <w:color w:val="231F20"/>
          <w:spacing w:val="2"/>
        </w:rPr>
        <w:t> </w:t>
      </w:r>
      <w:r>
        <w:rPr>
          <w:color w:val="231F20"/>
          <w:spacing w:val="-5"/>
        </w:rPr>
        <w:t>of</w:t>
      </w:r>
    </w:p>
    <w:p>
      <w:pPr>
        <w:pStyle w:val="BodyText"/>
        <w:spacing w:before="3"/>
        <w:ind w:left="413" w:right="1135"/>
      </w:pPr>
      <w:r>
        <w:rPr>
          <w:color w:val="231F20"/>
        </w:rPr>
        <w:t>U.S. demand but, as in the case of honey, </w:t>
      </w:r>
      <w:r>
        <w:rPr>
          <w:color w:val="231F20"/>
          <w:spacing w:val="-2"/>
        </w:rPr>
        <w:t>the</w:t>
      </w:r>
      <w:r>
        <w:rPr>
          <w:color w:val="231F20"/>
          <w:spacing w:val="-11"/>
        </w:rPr>
        <w:t> </w:t>
      </w:r>
      <w:r>
        <w:rPr>
          <w:color w:val="231F20"/>
          <w:spacing w:val="-2"/>
        </w:rPr>
        <w:t>U.S.</w:t>
      </w:r>
      <w:r>
        <w:rPr>
          <w:color w:val="231F20"/>
          <w:spacing w:val="-11"/>
        </w:rPr>
        <w:t> </w:t>
      </w:r>
      <w:r>
        <w:rPr>
          <w:color w:val="231F20"/>
          <w:spacing w:val="-2"/>
        </w:rPr>
        <w:t>companies</w:t>
      </w:r>
      <w:r>
        <w:rPr>
          <w:color w:val="231F20"/>
          <w:spacing w:val="-11"/>
        </w:rPr>
        <w:t> </w:t>
      </w:r>
      <w:r>
        <w:rPr>
          <w:color w:val="231F20"/>
          <w:spacing w:val="-2"/>
        </w:rPr>
        <w:t>interested</w:t>
      </w:r>
      <w:r>
        <w:rPr>
          <w:color w:val="231F20"/>
          <w:spacing w:val="-11"/>
        </w:rPr>
        <w:t> </w:t>
      </w:r>
      <w:r>
        <w:rPr>
          <w:color w:val="231F20"/>
          <w:spacing w:val="-2"/>
        </w:rPr>
        <w:t>in</w:t>
      </w:r>
      <w:r>
        <w:rPr>
          <w:color w:val="231F20"/>
          <w:spacing w:val="-11"/>
        </w:rPr>
        <w:t> </w:t>
      </w:r>
      <w:r>
        <w:rPr>
          <w:color w:val="231F20"/>
          <w:spacing w:val="-2"/>
        </w:rPr>
        <w:t>importing </w:t>
      </w:r>
      <w:r>
        <w:rPr>
          <w:color w:val="231F20"/>
        </w:rPr>
        <w:t>these products are unable to obtain the </w:t>
      </w:r>
      <w:r>
        <w:rPr>
          <w:color w:val="231F20"/>
          <w:spacing w:val="-2"/>
        </w:rPr>
        <w:t>relevant</w:t>
      </w:r>
      <w:r>
        <w:rPr>
          <w:color w:val="231F20"/>
          <w:spacing w:val="-15"/>
        </w:rPr>
        <w:t> </w:t>
      </w:r>
      <w:r>
        <w:rPr>
          <w:color w:val="231F20"/>
          <w:spacing w:val="-2"/>
        </w:rPr>
        <w:t>licenses</w:t>
      </w:r>
      <w:r>
        <w:rPr>
          <w:color w:val="231F20"/>
          <w:spacing w:val="-14"/>
        </w:rPr>
        <w:t> </w:t>
      </w:r>
      <w:r>
        <w:rPr>
          <w:color w:val="231F20"/>
          <w:spacing w:val="-2"/>
        </w:rPr>
        <w:t>from</w:t>
      </w:r>
      <w:r>
        <w:rPr>
          <w:color w:val="231F20"/>
          <w:spacing w:val="-15"/>
        </w:rPr>
        <w:t> </w:t>
      </w:r>
      <w:r>
        <w:rPr>
          <w:color w:val="231F20"/>
          <w:spacing w:val="-2"/>
        </w:rPr>
        <w:t>the</w:t>
      </w:r>
      <w:r>
        <w:rPr>
          <w:color w:val="231F20"/>
          <w:spacing w:val="-14"/>
        </w:rPr>
        <w:t> </w:t>
      </w:r>
      <w:r>
        <w:rPr>
          <w:color w:val="231F20"/>
          <w:spacing w:val="-2"/>
        </w:rPr>
        <w:t>Office</w:t>
      </w:r>
      <w:r>
        <w:rPr>
          <w:color w:val="231F20"/>
          <w:spacing w:val="-15"/>
        </w:rPr>
        <w:t> </w:t>
      </w:r>
      <w:r>
        <w:rPr>
          <w:color w:val="231F20"/>
          <w:spacing w:val="-2"/>
        </w:rPr>
        <w:t>of</w:t>
      </w:r>
      <w:r>
        <w:rPr>
          <w:color w:val="231F20"/>
          <w:spacing w:val="-14"/>
        </w:rPr>
        <w:t> </w:t>
      </w:r>
      <w:r>
        <w:rPr>
          <w:color w:val="231F20"/>
          <w:spacing w:val="-2"/>
        </w:rPr>
        <w:t>Foreign </w:t>
      </w:r>
      <w:r>
        <w:rPr>
          <w:color w:val="231F20"/>
        </w:rPr>
        <w:t>Assets Control (OFAC).</w:t>
      </w:r>
    </w:p>
    <w:p>
      <w:pPr>
        <w:pStyle w:val="BodyText"/>
        <w:spacing w:before="164"/>
        <w:ind w:left="413" w:right="1135"/>
      </w:pPr>
      <w:r>
        <w:rPr>
          <w:color w:val="231F20"/>
        </w:rPr>
        <w:t>In</w:t>
      </w:r>
      <w:r>
        <w:rPr>
          <w:color w:val="231F20"/>
          <w:spacing w:val="-7"/>
        </w:rPr>
        <w:t> </w:t>
      </w:r>
      <w:r>
        <w:rPr>
          <w:color w:val="231F20"/>
        </w:rPr>
        <w:t>the</w:t>
      </w:r>
      <w:r>
        <w:rPr>
          <w:color w:val="231F20"/>
          <w:spacing w:val="-7"/>
        </w:rPr>
        <w:t> </w:t>
      </w:r>
      <w:r>
        <w:rPr>
          <w:color w:val="231F20"/>
        </w:rPr>
        <w:t>case</w:t>
      </w:r>
      <w:r>
        <w:rPr>
          <w:color w:val="231F20"/>
          <w:spacing w:val="-8"/>
        </w:rPr>
        <w:t> </w:t>
      </w:r>
      <w:r>
        <w:rPr>
          <w:color w:val="231F20"/>
        </w:rPr>
        <w:t>of</w:t>
      </w:r>
      <w:r>
        <w:rPr>
          <w:color w:val="231F20"/>
          <w:spacing w:val="-8"/>
        </w:rPr>
        <w:t> </w:t>
      </w:r>
      <w:r>
        <w:rPr>
          <w:color w:val="231F20"/>
        </w:rPr>
        <w:t>sugar,</w:t>
      </w:r>
      <w:r>
        <w:rPr>
          <w:color w:val="231F20"/>
          <w:spacing w:val="-7"/>
        </w:rPr>
        <w:t> </w:t>
      </w:r>
      <w:r>
        <w:rPr>
          <w:color w:val="231F20"/>
        </w:rPr>
        <w:t>the</w:t>
      </w:r>
      <w:r>
        <w:rPr>
          <w:color w:val="231F20"/>
          <w:spacing w:val="-7"/>
        </w:rPr>
        <w:t> </w:t>
      </w:r>
      <w:r>
        <w:rPr>
          <w:color w:val="231F20"/>
        </w:rPr>
        <w:t>value</w:t>
      </w:r>
      <w:r>
        <w:rPr>
          <w:color w:val="231F20"/>
          <w:spacing w:val="-7"/>
        </w:rPr>
        <w:t> </w:t>
      </w:r>
      <w:r>
        <w:rPr>
          <w:color w:val="231F20"/>
        </w:rPr>
        <w:t>of</w:t>
      </w:r>
      <w:r>
        <w:rPr>
          <w:color w:val="231F20"/>
          <w:spacing w:val="-8"/>
        </w:rPr>
        <w:t> </w:t>
      </w:r>
      <w:r>
        <w:rPr>
          <w:color w:val="231F20"/>
        </w:rPr>
        <w:t>potential </w:t>
      </w:r>
      <w:r>
        <w:rPr>
          <w:color w:val="231F20"/>
          <w:spacing w:val="-6"/>
        </w:rPr>
        <w:t>exports</w:t>
      </w:r>
      <w:r>
        <w:rPr>
          <w:color w:val="231F20"/>
          <w:spacing w:val="-11"/>
        </w:rPr>
        <w:t> </w:t>
      </w:r>
      <w:r>
        <w:rPr>
          <w:color w:val="231F20"/>
          <w:spacing w:val="-6"/>
        </w:rPr>
        <w:t>to</w:t>
      </w:r>
      <w:r>
        <w:rPr>
          <w:color w:val="231F20"/>
          <w:spacing w:val="-10"/>
        </w:rPr>
        <w:t> </w:t>
      </w:r>
      <w:r>
        <w:rPr>
          <w:color w:val="231F20"/>
          <w:spacing w:val="-6"/>
        </w:rPr>
        <w:t>the</w:t>
      </w:r>
      <w:r>
        <w:rPr>
          <w:color w:val="231F20"/>
          <w:spacing w:val="-11"/>
        </w:rPr>
        <w:t> </w:t>
      </w:r>
      <w:r>
        <w:rPr>
          <w:color w:val="231F20"/>
          <w:spacing w:val="-6"/>
        </w:rPr>
        <w:t>U.S.</w:t>
      </w:r>
      <w:r>
        <w:rPr>
          <w:color w:val="231F20"/>
          <w:spacing w:val="-10"/>
        </w:rPr>
        <w:t> </w:t>
      </w:r>
      <w:r>
        <w:rPr>
          <w:color w:val="231F20"/>
          <w:spacing w:val="-6"/>
        </w:rPr>
        <w:t>in</w:t>
      </w:r>
      <w:r>
        <w:rPr>
          <w:color w:val="231F20"/>
          <w:spacing w:val="-11"/>
        </w:rPr>
        <w:t> </w:t>
      </w:r>
      <w:r>
        <w:rPr>
          <w:color w:val="231F20"/>
          <w:spacing w:val="-6"/>
        </w:rPr>
        <w:t>the</w:t>
      </w:r>
      <w:r>
        <w:rPr>
          <w:color w:val="231F20"/>
          <w:spacing w:val="-10"/>
        </w:rPr>
        <w:t> </w:t>
      </w:r>
      <w:r>
        <w:rPr>
          <w:color w:val="231F20"/>
          <w:spacing w:val="-6"/>
        </w:rPr>
        <w:t>period</w:t>
      </w:r>
      <w:r>
        <w:rPr>
          <w:color w:val="231F20"/>
          <w:spacing w:val="-11"/>
        </w:rPr>
        <w:t> </w:t>
      </w:r>
      <w:r>
        <w:rPr>
          <w:color w:val="231F20"/>
          <w:spacing w:val="-6"/>
        </w:rPr>
        <w:t>is</w:t>
      </w:r>
      <w:r>
        <w:rPr>
          <w:color w:val="231F20"/>
          <w:spacing w:val="-10"/>
        </w:rPr>
        <w:t> </w:t>
      </w:r>
      <w:r>
        <w:rPr>
          <w:color w:val="231F20"/>
          <w:spacing w:val="-6"/>
        </w:rPr>
        <w:t>estimated </w:t>
      </w:r>
      <w:r>
        <w:rPr>
          <w:color w:val="231F20"/>
        </w:rPr>
        <w:t>at USD 20,820,600, taking account of the </w:t>
      </w:r>
      <w:r>
        <w:rPr>
          <w:color w:val="231F20"/>
          <w:spacing w:val="-4"/>
        </w:rPr>
        <w:t>60,000</w:t>
      </w:r>
      <w:r>
        <w:rPr>
          <w:color w:val="231F20"/>
          <w:spacing w:val="-35"/>
        </w:rPr>
        <w:t> </w:t>
      </w:r>
      <w:r>
        <w:rPr>
          <w:color w:val="231F20"/>
          <w:spacing w:val="-4"/>
        </w:rPr>
        <w:t>tons</w:t>
      </w:r>
      <w:r>
        <w:rPr>
          <w:color w:val="231F20"/>
          <w:spacing w:val="-32"/>
        </w:rPr>
        <w:t> </w:t>
      </w:r>
      <w:r>
        <w:rPr>
          <w:color w:val="231F20"/>
          <w:spacing w:val="-4"/>
        </w:rPr>
        <w:t>Cuba</w:t>
      </w:r>
      <w:r>
        <w:rPr>
          <w:color w:val="231F20"/>
          <w:spacing w:val="-32"/>
        </w:rPr>
        <w:t> </w:t>
      </w:r>
      <w:r>
        <w:rPr>
          <w:color w:val="231F20"/>
          <w:spacing w:val="-4"/>
        </w:rPr>
        <w:t>placed</w:t>
      </w:r>
      <w:r>
        <w:rPr>
          <w:color w:val="231F20"/>
          <w:spacing w:val="-33"/>
        </w:rPr>
        <w:t> </w:t>
      </w:r>
      <w:r>
        <w:rPr>
          <w:color w:val="231F20"/>
          <w:spacing w:val="-4"/>
        </w:rPr>
        <w:t>in</w:t>
      </w:r>
      <w:r>
        <w:rPr>
          <w:color w:val="231F20"/>
          <w:spacing w:val="-32"/>
        </w:rPr>
        <w:t> </w:t>
      </w:r>
      <w:r>
        <w:rPr>
          <w:color w:val="231F20"/>
          <w:spacing w:val="-4"/>
        </w:rPr>
        <w:t>the</w:t>
      </w:r>
      <w:r>
        <w:rPr>
          <w:color w:val="231F20"/>
          <w:spacing w:val="-32"/>
        </w:rPr>
        <w:t> </w:t>
      </w:r>
      <w:r>
        <w:rPr>
          <w:color w:val="231F20"/>
          <w:spacing w:val="-4"/>
        </w:rPr>
        <w:t>world</w:t>
      </w:r>
      <w:r>
        <w:rPr>
          <w:color w:val="231F20"/>
          <w:spacing w:val="-32"/>
        </w:rPr>
        <w:t> </w:t>
      </w:r>
      <w:r>
        <w:rPr>
          <w:color w:val="231F20"/>
          <w:spacing w:val="-6"/>
        </w:rPr>
        <w:t>market.</w:t>
      </w:r>
    </w:p>
    <w:p>
      <w:pPr>
        <w:pStyle w:val="BodyText"/>
        <w:spacing w:before="163"/>
        <w:ind w:left="413" w:right="1132"/>
      </w:pPr>
      <w:r>
        <w:rPr>
          <w:color w:val="231F20"/>
          <w:spacing w:val="-2"/>
        </w:rPr>
        <w:t>As</w:t>
      </w:r>
      <w:r>
        <w:rPr>
          <w:color w:val="231F20"/>
          <w:spacing w:val="-9"/>
        </w:rPr>
        <w:t> </w:t>
      </w:r>
      <w:r>
        <w:rPr>
          <w:color w:val="231F20"/>
          <w:spacing w:val="-2"/>
        </w:rPr>
        <w:t>regards</w:t>
      </w:r>
      <w:r>
        <w:rPr>
          <w:color w:val="231F20"/>
          <w:spacing w:val="-9"/>
        </w:rPr>
        <w:t> </w:t>
      </w:r>
      <w:r>
        <w:rPr>
          <w:color w:val="231F20"/>
          <w:spacing w:val="-2"/>
        </w:rPr>
        <w:t>other</w:t>
      </w:r>
      <w:r>
        <w:rPr>
          <w:color w:val="231F20"/>
          <w:spacing w:val="-9"/>
        </w:rPr>
        <w:t> </w:t>
      </w:r>
      <w:r>
        <w:rPr>
          <w:color w:val="231F20"/>
          <w:spacing w:val="-2"/>
        </w:rPr>
        <w:t>exportable</w:t>
      </w:r>
      <w:r>
        <w:rPr>
          <w:color w:val="231F20"/>
          <w:spacing w:val="-9"/>
        </w:rPr>
        <w:t> </w:t>
      </w:r>
      <w:r>
        <w:rPr>
          <w:color w:val="231F20"/>
          <w:spacing w:val="-2"/>
        </w:rPr>
        <w:t>products</w:t>
      </w:r>
      <w:r>
        <w:rPr>
          <w:color w:val="231F20"/>
          <w:spacing w:val="-9"/>
        </w:rPr>
        <w:t> </w:t>
      </w:r>
      <w:r>
        <w:rPr>
          <w:color w:val="231F20"/>
          <w:spacing w:val="-2"/>
        </w:rPr>
        <w:t>such </w:t>
      </w:r>
      <w:r>
        <w:rPr>
          <w:color w:val="231F20"/>
        </w:rPr>
        <w:t>as</w:t>
      </w:r>
      <w:r>
        <w:rPr>
          <w:color w:val="231F20"/>
          <w:spacing w:val="-17"/>
        </w:rPr>
        <w:t> </w:t>
      </w:r>
      <w:r>
        <w:rPr>
          <w:color w:val="231F20"/>
        </w:rPr>
        <w:t>rum</w:t>
      </w:r>
      <w:r>
        <w:rPr>
          <w:color w:val="231F20"/>
          <w:spacing w:val="-16"/>
        </w:rPr>
        <w:t> </w:t>
      </w:r>
      <w:r>
        <w:rPr>
          <w:color w:val="231F20"/>
        </w:rPr>
        <w:t>and</w:t>
      </w:r>
      <w:r>
        <w:rPr>
          <w:color w:val="231F20"/>
          <w:spacing w:val="-17"/>
        </w:rPr>
        <w:t> </w:t>
      </w:r>
      <w:r>
        <w:rPr>
          <w:color w:val="231F20"/>
        </w:rPr>
        <w:t>charcoal,</w:t>
      </w:r>
      <w:r>
        <w:rPr>
          <w:color w:val="231F20"/>
          <w:spacing w:val="-16"/>
        </w:rPr>
        <w:t> </w:t>
      </w:r>
      <w:r>
        <w:rPr>
          <w:color w:val="231F20"/>
        </w:rPr>
        <w:t>the</w:t>
      </w:r>
      <w:r>
        <w:rPr>
          <w:color w:val="231F20"/>
          <w:spacing w:val="-17"/>
        </w:rPr>
        <w:t> </w:t>
      </w:r>
      <w:r>
        <w:rPr>
          <w:color w:val="231F20"/>
        </w:rPr>
        <w:t>ban</w:t>
      </w:r>
      <w:r>
        <w:rPr>
          <w:color w:val="231F20"/>
          <w:spacing w:val="-16"/>
        </w:rPr>
        <w:t> </w:t>
      </w:r>
      <w:r>
        <w:rPr>
          <w:color w:val="231F20"/>
        </w:rPr>
        <w:t>on</w:t>
      </w:r>
      <w:r>
        <w:rPr>
          <w:color w:val="231F20"/>
          <w:spacing w:val="-17"/>
        </w:rPr>
        <w:t> </w:t>
      </w:r>
      <w:r>
        <w:rPr>
          <w:color w:val="231F20"/>
        </w:rPr>
        <w:t>exports</w:t>
      </w:r>
      <w:r>
        <w:rPr>
          <w:color w:val="231F20"/>
          <w:spacing w:val="-16"/>
        </w:rPr>
        <w:t> </w:t>
      </w:r>
      <w:r>
        <w:rPr>
          <w:color w:val="231F20"/>
        </w:rPr>
        <w:t>to </w:t>
      </w:r>
      <w:r>
        <w:rPr>
          <w:color w:val="231F20"/>
          <w:spacing w:val="-4"/>
        </w:rPr>
        <w:t>United</w:t>
      </w:r>
      <w:r>
        <w:rPr>
          <w:color w:val="231F20"/>
          <w:spacing w:val="-13"/>
        </w:rPr>
        <w:t> </w:t>
      </w:r>
      <w:r>
        <w:rPr>
          <w:color w:val="231F20"/>
          <w:spacing w:val="-4"/>
        </w:rPr>
        <w:t>States</w:t>
      </w:r>
      <w:r>
        <w:rPr>
          <w:color w:val="231F20"/>
          <w:spacing w:val="-12"/>
        </w:rPr>
        <w:t> </w:t>
      </w:r>
      <w:r>
        <w:rPr>
          <w:color w:val="231F20"/>
          <w:spacing w:val="-4"/>
        </w:rPr>
        <w:t>of</w:t>
      </w:r>
      <w:r>
        <w:rPr>
          <w:color w:val="231F20"/>
          <w:spacing w:val="-13"/>
        </w:rPr>
        <w:t> </w:t>
      </w:r>
      <w:r>
        <w:rPr>
          <w:color w:val="231F20"/>
          <w:spacing w:val="-4"/>
        </w:rPr>
        <w:t>America</w:t>
      </w:r>
      <w:r>
        <w:rPr>
          <w:color w:val="231F20"/>
          <w:spacing w:val="-12"/>
        </w:rPr>
        <w:t> </w:t>
      </w:r>
      <w:r>
        <w:rPr>
          <w:color w:val="231F20"/>
          <w:spacing w:val="-4"/>
        </w:rPr>
        <w:t>obliges</w:t>
      </w:r>
      <w:r>
        <w:rPr>
          <w:color w:val="231F20"/>
          <w:spacing w:val="-13"/>
        </w:rPr>
        <w:t> </w:t>
      </w:r>
      <w:r>
        <w:rPr>
          <w:color w:val="231F20"/>
          <w:spacing w:val="-4"/>
        </w:rPr>
        <w:t>the</w:t>
      </w:r>
      <w:r>
        <w:rPr>
          <w:color w:val="231F20"/>
          <w:spacing w:val="-12"/>
        </w:rPr>
        <w:t> </w:t>
      </w:r>
      <w:r>
        <w:rPr>
          <w:color w:val="231F20"/>
          <w:spacing w:val="-4"/>
        </w:rPr>
        <w:t>Cuban </w:t>
      </w:r>
      <w:r>
        <w:rPr>
          <w:color w:val="231F20"/>
        </w:rPr>
        <w:t>producers to seek customers in more distant markets, including Europe, which considerably raises the cost of marketing.</w:t>
      </w:r>
    </w:p>
    <w:p>
      <w:pPr>
        <w:spacing w:after="0"/>
        <w:sectPr>
          <w:type w:val="continuous"/>
          <w:pgSz w:w="11910" w:h="16840"/>
          <w:pgMar w:header="0" w:footer="695" w:top="1920" w:bottom="280" w:left="0" w:right="0"/>
          <w:cols w:num="2" w:equalWidth="0">
            <w:col w:w="5897" w:space="40"/>
            <w:col w:w="5973"/>
          </w:cols>
        </w:sectPr>
      </w:pPr>
    </w:p>
    <w:p>
      <w:pPr>
        <w:pStyle w:val="BodyText"/>
        <w:spacing w:before="77"/>
        <w:ind w:left="1133" w:right="1"/>
      </w:pPr>
      <w:r>
        <w:rPr>
          <w:color w:val="231F20"/>
        </w:rPr>
        <w:t>The restrictions on imports of agricultural </w:t>
      </w:r>
      <w:r>
        <w:rPr>
          <w:color w:val="231F20"/>
          <w:spacing w:val="-4"/>
        </w:rPr>
        <w:t>products</w:t>
      </w:r>
      <w:r>
        <w:rPr>
          <w:color w:val="231F20"/>
          <w:spacing w:val="-12"/>
        </w:rPr>
        <w:t> </w:t>
      </w:r>
      <w:r>
        <w:rPr>
          <w:color w:val="231F20"/>
          <w:spacing w:val="-4"/>
        </w:rPr>
        <w:t>from</w:t>
      </w:r>
      <w:r>
        <w:rPr>
          <w:color w:val="231F20"/>
          <w:spacing w:val="-12"/>
        </w:rPr>
        <w:t> </w:t>
      </w:r>
      <w:r>
        <w:rPr>
          <w:color w:val="231F20"/>
          <w:spacing w:val="-4"/>
        </w:rPr>
        <w:t>the</w:t>
      </w:r>
      <w:r>
        <w:rPr>
          <w:color w:val="231F20"/>
          <w:spacing w:val="-11"/>
        </w:rPr>
        <w:t> </w:t>
      </w:r>
      <w:r>
        <w:rPr>
          <w:color w:val="231F20"/>
          <w:spacing w:val="-4"/>
        </w:rPr>
        <w:t>U.S.</w:t>
      </w:r>
      <w:r>
        <w:rPr>
          <w:color w:val="231F20"/>
          <w:spacing w:val="-11"/>
        </w:rPr>
        <w:t> </w:t>
      </w:r>
      <w:r>
        <w:rPr>
          <w:color w:val="231F20"/>
          <w:spacing w:val="-4"/>
        </w:rPr>
        <w:t>are</w:t>
      </w:r>
      <w:r>
        <w:rPr>
          <w:color w:val="231F20"/>
          <w:spacing w:val="-11"/>
        </w:rPr>
        <w:t> </w:t>
      </w:r>
      <w:r>
        <w:rPr>
          <w:color w:val="231F20"/>
          <w:spacing w:val="-4"/>
        </w:rPr>
        <w:t>also</w:t>
      </w:r>
      <w:r>
        <w:rPr>
          <w:color w:val="231F20"/>
          <w:spacing w:val="-11"/>
        </w:rPr>
        <w:t> </w:t>
      </w:r>
      <w:r>
        <w:rPr>
          <w:color w:val="231F20"/>
          <w:spacing w:val="-4"/>
        </w:rPr>
        <w:t>still</w:t>
      </w:r>
      <w:r>
        <w:rPr>
          <w:color w:val="231F20"/>
          <w:spacing w:val="-12"/>
        </w:rPr>
        <w:t> </w:t>
      </w:r>
      <w:r>
        <w:rPr>
          <w:color w:val="231F20"/>
          <w:spacing w:val="-4"/>
        </w:rPr>
        <w:t>in</w:t>
      </w:r>
      <w:r>
        <w:rPr>
          <w:color w:val="231F20"/>
          <w:spacing w:val="-11"/>
        </w:rPr>
        <w:t> </w:t>
      </w:r>
      <w:r>
        <w:rPr>
          <w:color w:val="231F20"/>
          <w:spacing w:val="-4"/>
        </w:rPr>
        <w:t>place. </w:t>
      </w:r>
      <w:r>
        <w:rPr>
          <w:color w:val="231F20"/>
        </w:rPr>
        <w:t>Cuba’s ALIMPORT incurs additional costs in order to participate in this erratic trade </w:t>
      </w:r>
      <w:r>
        <w:rPr>
          <w:color w:val="231F20"/>
          <w:spacing w:val="-2"/>
        </w:rPr>
        <w:t>which</w:t>
      </w:r>
      <w:r>
        <w:rPr>
          <w:color w:val="231F20"/>
          <w:spacing w:val="-15"/>
        </w:rPr>
        <w:t> </w:t>
      </w:r>
      <w:r>
        <w:rPr>
          <w:color w:val="231F20"/>
          <w:spacing w:val="-2"/>
        </w:rPr>
        <w:t>operates</w:t>
      </w:r>
      <w:r>
        <w:rPr>
          <w:color w:val="231F20"/>
          <w:spacing w:val="-14"/>
        </w:rPr>
        <w:t> </w:t>
      </w:r>
      <w:r>
        <w:rPr>
          <w:color w:val="231F20"/>
          <w:spacing w:val="-2"/>
        </w:rPr>
        <w:t>on</w:t>
      </w:r>
      <w:r>
        <w:rPr>
          <w:color w:val="231F20"/>
          <w:spacing w:val="-15"/>
        </w:rPr>
        <w:t> </w:t>
      </w:r>
      <w:r>
        <w:rPr>
          <w:color w:val="231F20"/>
          <w:spacing w:val="-2"/>
        </w:rPr>
        <w:t>one</w:t>
      </w:r>
      <w:r>
        <w:rPr>
          <w:color w:val="231F20"/>
          <w:spacing w:val="-14"/>
        </w:rPr>
        <w:t> </w:t>
      </w:r>
      <w:r>
        <w:rPr>
          <w:color w:val="231F20"/>
          <w:spacing w:val="-2"/>
        </w:rPr>
        <w:t>level</w:t>
      </w:r>
      <w:r>
        <w:rPr>
          <w:color w:val="231F20"/>
          <w:spacing w:val="-15"/>
        </w:rPr>
        <w:t> </w:t>
      </w:r>
      <w:r>
        <w:rPr>
          <w:color w:val="231F20"/>
          <w:spacing w:val="-2"/>
        </w:rPr>
        <w:t>only:</w:t>
      </w:r>
      <w:r>
        <w:rPr>
          <w:color w:val="231F20"/>
          <w:spacing w:val="-14"/>
        </w:rPr>
        <w:t> </w:t>
      </w:r>
      <w:r>
        <w:rPr>
          <w:color w:val="231F20"/>
          <w:spacing w:val="-2"/>
        </w:rPr>
        <w:t>Cuba</w:t>
      </w:r>
      <w:r>
        <w:rPr>
          <w:color w:val="231F20"/>
          <w:spacing w:val="-15"/>
        </w:rPr>
        <w:t> </w:t>
      </w:r>
      <w:r>
        <w:rPr>
          <w:color w:val="231F20"/>
          <w:spacing w:val="-2"/>
        </w:rPr>
        <w:t>has </w:t>
      </w:r>
      <w:r>
        <w:rPr>
          <w:color w:val="231F20"/>
        </w:rPr>
        <w:t>no access to U.S. bank financing or, given the</w:t>
      </w:r>
      <w:r>
        <w:rPr>
          <w:color w:val="231F20"/>
          <w:spacing w:val="-16"/>
        </w:rPr>
        <w:t> </w:t>
      </w:r>
      <w:r>
        <w:rPr>
          <w:color w:val="231F20"/>
        </w:rPr>
        <w:t>country</w:t>
      </w:r>
      <w:r>
        <w:rPr>
          <w:color w:val="231F20"/>
          <w:spacing w:val="-16"/>
        </w:rPr>
        <w:t> </w:t>
      </w:r>
      <w:r>
        <w:rPr>
          <w:color w:val="231F20"/>
        </w:rPr>
        <w:t>risk</w:t>
      </w:r>
      <w:r>
        <w:rPr>
          <w:color w:val="231F20"/>
          <w:spacing w:val="-16"/>
        </w:rPr>
        <w:t> </w:t>
      </w:r>
      <w:r>
        <w:rPr>
          <w:color w:val="231F20"/>
        </w:rPr>
        <w:t>factor,</w:t>
      </w:r>
      <w:r>
        <w:rPr>
          <w:color w:val="231F20"/>
          <w:spacing w:val="-16"/>
        </w:rPr>
        <w:t> </w:t>
      </w:r>
      <w:r>
        <w:rPr>
          <w:color w:val="231F20"/>
        </w:rPr>
        <w:t>to</w:t>
      </w:r>
      <w:r>
        <w:rPr>
          <w:color w:val="231F20"/>
          <w:spacing w:val="-16"/>
        </w:rPr>
        <w:t> </w:t>
      </w:r>
      <w:r>
        <w:rPr>
          <w:color w:val="231F20"/>
        </w:rPr>
        <w:t>the</w:t>
      </w:r>
      <w:r>
        <w:rPr>
          <w:color w:val="231F20"/>
          <w:spacing w:val="-16"/>
        </w:rPr>
        <w:t> </w:t>
      </w:r>
      <w:r>
        <w:rPr>
          <w:color w:val="231F20"/>
        </w:rPr>
        <w:t>international credit</w:t>
      </w:r>
      <w:r>
        <w:rPr>
          <w:color w:val="231F20"/>
          <w:spacing w:val="-9"/>
        </w:rPr>
        <w:t> </w:t>
      </w:r>
      <w:r>
        <w:rPr>
          <w:color w:val="231F20"/>
        </w:rPr>
        <w:t>system</w:t>
      </w:r>
      <w:r>
        <w:rPr>
          <w:color w:val="231F20"/>
          <w:spacing w:val="-9"/>
        </w:rPr>
        <w:t> </w:t>
      </w:r>
      <w:r>
        <w:rPr>
          <w:color w:val="231F20"/>
        </w:rPr>
        <w:t>for</w:t>
      </w:r>
      <w:r>
        <w:rPr>
          <w:color w:val="231F20"/>
          <w:spacing w:val="-9"/>
        </w:rPr>
        <w:t> </w:t>
      </w:r>
      <w:r>
        <w:rPr>
          <w:color w:val="231F20"/>
        </w:rPr>
        <w:t>operations</w:t>
      </w:r>
      <w:r>
        <w:rPr>
          <w:color w:val="231F20"/>
          <w:spacing w:val="-9"/>
        </w:rPr>
        <w:t> </w:t>
      </w:r>
      <w:r>
        <w:rPr>
          <w:color w:val="231F20"/>
        </w:rPr>
        <w:t>of</w:t>
      </w:r>
      <w:r>
        <w:rPr>
          <w:color w:val="231F20"/>
          <w:spacing w:val="-9"/>
        </w:rPr>
        <w:t> </w:t>
      </w:r>
      <w:r>
        <w:rPr>
          <w:color w:val="231F20"/>
        </w:rPr>
        <w:t>this</w:t>
      </w:r>
      <w:r>
        <w:rPr>
          <w:color w:val="231F20"/>
          <w:spacing w:val="-9"/>
        </w:rPr>
        <w:t> </w:t>
      </w:r>
      <w:r>
        <w:rPr>
          <w:color w:val="231F20"/>
        </w:rPr>
        <w:t>type.</w:t>
      </w:r>
    </w:p>
    <w:p>
      <w:pPr>
        <w:pStyle w:val="BodyText"/>
        <w:spacing w:before="166"/>
        <w:ind w:left="1133"/>
      </w:pPr>
      <w:r>
        <w:rPr>
          <w:color w:val="231F20"/>
        </w:rPr>
        <w:t>On this basis, the Cuban firm has to seek </w:t>
      </w:r>
      <w:r>
        <w:rPr>
          <w:color w:val="231F20"/>
          <w:spacing w:val="-4"/>
        </w:rPr>
        <w:t>funding</w:t>
      </w:r>
      <w:r>
        <w:rPr>
          <w:color w:val="231F20"/>
          <w:spacing w:val="-7"/>
        </w:rPr>
        <w:t> </w:t>
      </w:r>
      <w:r>
        <w:rPr>
          <w:color w:val="231F20"/>
          <w:spacing w:val="-4"/>
        </w:rPr>
        <w:t>elsewhere,</w:t>
      </w:r>
      <w:r>
        <w:rPr>
          <w:color w:val="231F20"/>
          <w:spacing w:val="-7"/>
        </w:rPr>
        <w:t> </w:t>
      </w:r>
      <w:r>
        <w:rPr>
          <w:color w:val="231F20"/>
          <w:spacing w:val="-4"/>
        </w:rPr>
        <w:t>from</w:t>
      </w:r>
      <w:r>
        <w:rPr>
          <w:color w:val="231F20"/>
          <w:spacing w:val="-7"/>
        </w:rPr>
        <w:t> </w:t>
      </w:r>
      <w:r>
        <w:rPr>
          <w:color w:val="231F20"/>
          <w:spacing w:val="-4"/>
        </w:rPr>
        <w:t>sources</w:t>
      </w:r>
      <w:r>
        <w:rPr>
          <w:color w:val="231F20"/>
          <w:spacing w:val="-7"/>
        </w:rPr>
        <w:t> </w:t>
      </w:r>
      <w:r>
        <w:rPr>
          <w:color w:val="231F20"/>
          <w:spacing w:val="-4"/>
        </w:rPr>
        <w:t>that</w:t>
      </w:r>
      <w:r>
        <w:rPr>
          <w:color w:val="231F20"/>
          <w:spacing w:val="-7"/>
        </w:rPr>
        <w:t> </w:t>
      </w:r>
      <w:r>
        <w:rPr>
          <w:color w:val="231F20"/>
          <w:spacing w:val="-4"/>
        </w:rPr>
        <w:t>apply </w:t>
      </w:r>
      <w:r>
        <w:rPr>
          <w:color w:val="231F20"/>
        </w:rPr>
        <w:t>financing charges around 5 percentage points</w:t>
      </w:r>
      <w:r>
        <w:rPr>
          <w:color w:val="231F20"/>
          <w:spacing w:val="-8"/>
        </w:rPr>
        <w:t> </w:t>
      </w:r>
      <w:r>
        <w:rPr>
          <w:color w:val="231F20"/>
        </w:rPr>
        <w:t>above</w:t>
      </w:r>
      <w:r>
        <w:rPr>
          <w:color w:val="231F20"/>
          <w:spacing w:val="-8"/>
        </w:rPr>
        <w:t> </w:t>
      </w:r>
      <w:r>
        <w:rPr>
          <w:color w:val="231F20"/>
        </w:rPr>
        <w:t>the</w:t>
      </w:r>
      <w:r>
        <w:rPr>
          <w:color w:val="231F20"/>
          <w:spacing w:val="-8"/>
        </w:rPr>
        <w:t> </w:t>
      </w:r>
      <w:r>
        <w:rPr>
          <w:color w:val="231F20"/>
        </w:rPr>
        <w:t>normal</w:t>
      </w:r>
      <w:r>
        <w:rPr>
          <w:color w:val="231F20"/>
          <w:spacing w:val="-8"/>
        </w:rPr>
        <w:t> </w:t>
      </w:r>
      <w:r>
        <w:rPr>
          <w:color w:val="231F20"/>
        </w:rPr>
        <w:t>rates.</w:t>
      </w:r>
      <w:r>
        <w:rPr>
          <w:color w:val="231F20"/>
          <w:spacing w:val="-8"/>
        </w:rPr>
        <w:t> </w:t>
      </w:r>
      <w:r>
        <w:rPr>
          <w:color w:val="231F20"/>
        </w:rPr>
        <w:t>ALIMPORT </w:t>
      </w:r>
      <w:r>
        <w:rPr>
          <w:color w:val="231F20"/>
          <w:spacing w:val="-6"/>
        </w:rPr>
        <w:t>cannot</w:t>
      </w:r>
      <w:r>
        <w:rPr>
          <w:color w:val="231F20"/>
          <w:spacing w:val="-11"/>
        </w:rPr>
        <w:t> </w:t>
      </w:r>
      <w:r>
        <w:rPr>
          <w:color w:val="231F20"/>
          <w:spacing w:val="-6"/>
        </w:rPr>
        <w:t>pay</w:t>
      </w:r>
      <w:r>
        <w:rPr>
          <w:color w:val="231F20"/>
          <w:spacing w:val="-10"/>
        </w:rPr>
        <w:t> </w:t>
      </w:r>
      <w:r>
        <w:rPr>
          <w:color w:val="231F20"/>
          <w:spacing w:val="-6"/>
        </w:rPr>
        <w:t>third</w:t>
      </w:r>
      <w:r>
        <w:rPr>
          <w:color w:val="231F20"/>
          <w:spacing w:val="-11"/>
        </w:rPr>
        <w:t> </w:t>
      </w:r>
      <w:r>
        <w:rPr>
          <w:color w:val="231F20"/>
          <w:spacing w:val="-6"/>
        </w:rPr>
        <w:t>parties</w:t>
      </w:r>
      <w:r>
        <w:rPr>
          <w:color w:val="231F20"/>
          <w:spacing w:val="-10"/>
        </w:rPr>
        <w:t> </w:t>
      </w:r>
      <w:r>
        <w:rPr>
          <w:color w:val="231F20"/>
          <w:spacing w:val="-6"/>
        </w:rPr>
        <w:t>in</w:t>
      </w:r>
      <w:r>
        <w:rPr>
          <w:color w:val="231F20"/>
          <w:spacing w:val="-11"/>
        </w:rPr>
        <w:t> </w:t>
      </w:r>
      <w:r>
        <w:rPr>
          <w:color w:val="231F20"/>
          <w:spacing w:val="-6"/>
        </w:rPr>
        <w:t>U.S.</w:t>
      </w:r>
      <w:r>
        <w:rPr>
          <w:color w:val="231F20"/>
          <w:spacing w:val="-10"/>
        </w:rPr>
        <w:t> </w:t>
      </w:r>
      <w:r>
        <w:rPr>
          <w:color w:val="231F20"/>
          <w:spacing w:val="-6"/>
        </w:rPr>
        <w:t>dollars</w:t>
      </w:r>
      <w:r>
        <w:rPr>
          <w:color w:val="231F20"/>
          <w:spacing w:val="-11"/>
        </w:rPr>
        <w:t> </w:t>
      </w:r>
      <w:r>
        <w:rPr>
          <w:color w:val="231F20"/>
          <w:spacing w:val="-6"/>
        </w:rPr>
        <w:t>and</w:t>
      </w:r>
      <w:r>
        <w:rPr>
          <w:color w:val="231F20"/>
          <w:spacing w:val="-10"/>
        </w:rPr>
        <w:t> </w:t>
      </w:r>
      <w:r>
        <w:rPr>
          <w:color w:val="231F20"/>
          <w:spacing w:val="-6"/>
        </w:rPr>
        <w:t>is </w:t>
      </w:r>
      <w:r>
        <w:rPr>
          <w:color w:val="231F20"/>
          <w:spacing w:val="-2"/>
        </w:rPr>
        <w:t>consequently</w:t>
      </w:r>
      <w:r>
        <w:rPr>
          <w:color w:val="231F20"/>
          <w:spacing w:val="-8"/>
        </w:rPr>
        <w:t> </w:t>
      </w:r>
      <w:r>
        <w:rPr>
          <w:color w:val="231F20"/>
          <w:spacing w:val="-2"/>
        </w:rPr>
        <w:t>obliged</w:t>
      </w:r>
      <w:r>
        <w:rPr>
          <w:color w:val="231F20"/>
          <w:spacing w:val="-8"/>
        </w:rPr>
        <w:t> </w:t>
      </w:r>
      <w:r>
        <w:rPr>
          <w:color w:val="231F20"/>
          <w:spacing w:val="-2"/>
        </w:rPr>
        <w:t>to</w:t>
      </w:r>
      <w:r>
        <w:rPr>
          <w:color w:val="231F20"/>
          <w:spacing w:val="-8"/>
        </w:rPr>
        <w:t> </w:t>
      </w:r>
      <w:r>
        <w:rPr>
          <w:color w:val="231F20"/>
          <w:spacing w:val="-2"/>
        </w:rPr>
        <w:t>obtain</w:t>
      </w:r>
      <w:r>
        <w:rPr>
          <w:color w:val="231F20"/>
          <w:spacing w:val="-8"/>
        </w:rPr>
        <w:t> </w:t>
      </w:r>
      <w:r>
        <w:rPr>
          <w:color w:val="231F20"/>
          <w:spacing w:val="-2"/>
        </w:rPr>
        <w:t>alternative currencies</w:t>
      </w:r>
      <w:r>
        <w:rPr>
          <w:color w:val="231F20"/>
          <w:spacing w:val="-15"/>
        </w:rPr>
        <w:t> </w:t>
      </w:r>
      <w:r>
        <w:rPr>
          <w:color w:val="231F20"/>
          <w:spacing w:val="-2"/>
        </w:rPr>
        <w:t>for</w:t>
      </w:r>
      <w:r>
        <w:rPr>
          <w:color w:val="231F20"/>
          <w:spacing w:val="-14"/>
        </w:rPr>
        <w:t> </w:t>
      </w:r>
      <w:r>
        <w:rPr>
          <w:color w:val="231F20"/>
          <w:spacing w:val="-2"/>
        </w:rPr>
        <w:t>the</w:t>
      </w:r>
      <w:r>
        <w:rPr>
          <w:color w:val="231F20"/>
          <w:spacing w:val="-15"/>
        </w:rPr>
        <w:t> </w:t>
      </w:r>
      <w:r>
        <w:rPr>
          <w:color w:val="231F20"/>
          <w:spacing w:val="-2"/>
        </w:rPr>
        <w:t>purpose,</w:t>
      </w:r>
      <w:r>
        <w:rPr>
          <w:color w:val="231F20"/>
          <w:spacing w:val="-14"/>
        </w:rPr>
        <w:t> </w:t>
      </w:r>
      <w:r>
        <w:rPr>
          <w:color w:val="231F20"/>
          <w:spacing w:val="-2"/>
        </w:rPr>
        <w:t>incurring</w:t>
      </w:r>
      <w:r>
        <w:rPr>
          <w:color w:val="231F20"/>
          <w:spacing w:val="-15"/>
        </w:rPr>
        <w:t> </w:t>
      </w:r>
      <w:r>
        <w:rPr>
          <w:color w:val="231F20"/>
          <w:spacing w:val="-2"/>
        </w:rPr>
        <w:t>losses </w:t>
      </w:r>
      <w:r>
        <w:rPr>
          <w:color w:val="231F20"/>
        </w:rPr>
        <w:t>through exposure to exchange risk. It</w:t>
      </w:r>
      <w:r>
        <w:rPr>
          <w:color w:val="231F20"/>
          <w:spacing w:val="40"/>
        </w:rPr>
        <w:t> </w:t>
      </w:r>
      <w:r>
        <w:rPr>
          <w:color w:val="231F20"/>
        </w:rPr>
        <w:t>also means that every operation involves </w:t>
      </w:r>
      <w:r>
        <w:rPr>
          <w:color w:val="231F20"/>
          <w:spacing w:val="-6"/>
        </w:rPr>
        <w:t>various</w:t>
      </w:r>
      <w:r>
        <w:rPr>
          <w:color w:val="231F20"/>
          <w:spacing w:val="-9"/>
        </w:rPr>
        <w:t> </w:t>
      </w:r>
      <w:r>
        <w:rPr>
          <w:color w:val="231F20"/>
          <w:spacing w:val="-6"/>
        </w:rPr>
        <w:t>international</w:t>
      </w:r>
      <w:r>
        <w:rPr>
          <w:color w:val="231F20"/>
          <w:spacing w:val="-9"/>
        </w:rPr>
        <w:t> </w:t>
      </w:r>
      <w:r>
        <w:rPr>
          <w:color w:val="231F20"/>
          <w:spacing w:val="-6"/>
        </w:rPr>
        <w:t>banks,</w:t>
      </w:r>
      <w:r>
        <w:rPr>
          <w:color w:val="231F20"/>
          <w:spacing w:val="-9"/>
        </w:rPr>
        <w:t> </w:t>
      </w:r>
      <w:r>
        <w:rPr>
          <w:color w:val="231F20"/>
          <w:spacing w:val="-6"/>
        </w:rPr>
        <w:t>which</w:t>
      </w:r>
      <w:r>
        <w:rPr>
          <w:color w:val="231F20"/>
          <w:spacing w:val="-9"/>
        </w:rPr>
        <w:t> </w:t>
      </w:r>
      <w:r>
        <w:rPr>
          <w:color w:val="231F20"/>
          <w:spacing w:val="-6"/>
        </w:rPr>
        <w:t>all</w:t>
      </w:r>
      <w:r>
        <w:rPr>
          <w:color w:val="231F20"/>
          <w:spacing w:val="-9"/>
        </w:rPr>
        <w:t> </w:t>
      </w:r>
      <w:r>
        <w:rPr>
          <w:color w:val="231F20"/>
          <w:spacing w:val="-6"/>
        </w:rPr>
        <w:t>charge </w:t>
      </w:r>
      <w:r>
        <w:rPr>
          <w:color w:val="231F20"/>
        </w:rPr>
        <w:t>commission, adding further to the Cuban firm’s financing costs.</w:t>
      </w:r>
    </w:p>
    <w:p>
      <w:pPr>
        <w:pStyle w:val="BodyText"/>
        <w:spacing w:before="169"/>
        <w:ind w:left="1133" w:right="1"/>
      </w:pPr>
      <w:r>
        <w:rPr>
          <w:color w:val="231F20"/>
        </w:rPr>
        <w:t>The impacts in terms of freight, insurance </w:t>
      </w:r>
      <w:r>
        <w:rPr>
          <w:color w:val="231F20"/>
          <w:spacing w:val="-6"/>
        </w:rPr>
        <w:t>and</w:t>
      </w:r>
      <w:r>
        <w:rPr>
          <w:color w:val="231F20"/>
          <w:spacing w:val="-11"/>
        </w:rPr>
        <w:t> </w:t>
      </w:r>
      <w:r>
        <w:rPr>
          <w:color w:val="231F20"/>
          <w:spacing w:val="-6"/>
        </w:rPr>
        <w:t>the</w:t>
      </w:r>
      <w:r>
        <w:rPr>
          <w:color w:val="231F20"/>
          <w:spacing w:val="-10"/>
        </w:rPr>
        <w:t> </w:t>
      </w:r>
      <w:r>
        <w:rPr>
          <w:color w:val="231F20"/>
          <w:spacing w:val="-6"/>
        </w:rPr>
        <w:t>cost</w:t>
      </w:r>
      <w:r>
        <w:rPr>
          <w:color w:val="231F20"/>
          <w:spacing w:val="-11"/>
        </w:rPr>
        <w:t> </w:t>
      </w:r>
      <w:r>
        <w:rPr>
          <w:color w:val="231F20"/>
          <w:spacing w:val="-6"/>
        </w:rPr>
        <w:t>of</w:t>
      </w:r>
      <w:r>
        <w:rPr>
          <w:color w:val="231F20"/>
          <w:spacing w:val="-10"/>
        </w:rPr>
        <w:t> </w:t>
      </w:r>
      <w:r>
        <w:rPr>
          <w:color w:val="231F20"/>
          <w:spacing w:val="-6"/>
        </w:rPr>
        <w:t>brokerage,</w:t>
      </w:r>
      <w:r>
        <w:rPr>
          <w:color w:val="231F20"/>
          <w:spacing w:val="-11"/>
        </w:rPr>
        <w:t> </w:t>
      </w:r>
      <w:r>
        <w:rPr>
          <w:color w:val="231F20"/>
          <w:spacing w:val="-6"/>
        </w:rPr>
        <w:t>with</w:t>
      </w:r>
      <w:r>
        <w:rPr>
          <w:color w:val="231F20"/>
          <w:spacing w:val="-10"/>
        </w:rPr>
        <w:t> </w:t>
      </w:r>
      <w:r>
        <w:rPr>
          <w:color w:val="231F20"/>
          <w:spacing w:val="-6"/>
        </w:rPr>
        <w:t>the</w:t>
      </w:r>
      <w:r>
        <w:rPr>
          <w:color w:val="231F20"/>
          <w:spacing w:val="-11"/>
        </w:rPr>
        <w:t> </w:t>
      </w:r>
      <w:r>
        <w:rPr>
          <w:color w:val="231F20"/>
          <w:spacing w:val="-6"/>
        </w:rPr>
        <w:t>resulting </w:t>
      </w:r>
      <w:r>
        <w:rPr>
          <w:color w:val="231F20"/>
          <w:spacing w:val="-2"/>
        </w:rPr>
        <w:t>increase</w:t>
      </w:r>
      <w:r>
        <w:rPr>
          <w:color w:val="231F20"/>
          <w:spacing w:val="-13"/>
        </w:rPr>
        <w:t> </w:t>
      </w:r>
      <w:r>
        <w:rPr>
          <w:color w:val="231F20"/>
          <w:spacing w:val="-2"/>
        </w:rPr>
        <w:t>in</w:t>
      </w:r>
      <w:r>
        <w:rPr>
          <w:color w:val="231F20"/>
          <w:spacing w:val="-13"/>
        </w:rPr>
        <w:t> </w:t>
      </w:r>
      <w:r>
        <w:rPr>
          <w:color w:val="231F20"/>
          <w:spacing w:val="-2"/>
        </w:rPr>
        <w:t>the</w:t>
      </w:r>
      <w:r>
        <w:rPr>
          <w:color w:val="231F20"/>
          <w:spacing w:val="-13"/>
        </w:rPr>
        <w:t> </w:t>
      </w:r>
      <w:r>
        <w:rPr>
          <w:color w:val="231F20"/>
          <w:spacing w:val="-2"/>
        </w:rPr>
        <w:t>cost</w:t>
      </w:r>
      <w:r>
        <w:rPr>
          <w:color w:val="231F20"/>
          <w:spacing w:val="-13"/>
        </w:rPr>
        <w:t> </w:t>
      </w:r>
      <w:r>
        <w:rPr>
          <w:color w:val="231F20"/>
          <w:spacing w:val="-2"/>
        </w:rPr>
        <w:t>of</w:t>
      </w:r>
      <w:r>
        <w:rPr>
          <w:color w:val="231F20"/>
          <w:spacing w:val="-13"/>
        </w:rPr>
        <w:t> </w:t>
      </w:r>
      <w:r>
        <w:rPr>
          <w:color w:val="231F20"/>
          <w:spacing w:val="-2"/>
        </w:rPr>
        <w:t>the</w:t>
      </w:r>
      <w:r>
        <w:rPr>
          <w:color w:val="231F20"/>
          <w:spacing w:val="-13"/>
        </w:rPr>
        <w:t> </w:t>
      </w:r>
      <w:r>
        <w:rPr>
          <w:color w:val="231F20"/>
          <w:spacing w:val="-2"/>
        </w:rPr>
        <w:t>goods,</w:t>
      </w:r>
      <w:r>
        <w:rPr>
          <w:color w:val="231F20"/>
          <w:spacing w:val="-13"/>
        </w:rPr>
        <w:t> </w:t>
      </w:r>
      <w:r>
        <w:rPr>
          <w:color w:val="231F20"/>
          <w:spacing w:val="-2"/>
        </w:rPr>
        <w:t>was</w:t>
      </w:r>
      <w:r>
        <w:rPr>
          <w:color w:val="231F20"/>
          <w:spacing w:val="-13"/>
        </w:rPr>
        <w:t> </w:t>
      </w:r>
      <w:r>
        <w:rPr>
          <w:color w:val="231F20"/>
          <w:spacing w:val="-2"/>
        </w:rPr>
        <w:t>extra </w:t>
      </w:r>
      <w:r>
        <w:rPr>
          <w:color w:val="231F20"/>
        </w:rPr>
        <w:t>expense amounting to USD 490,900,000 </w:t>
      </w:r>
      <w:r>
        <w:rPr>
          <w:color w:val="231F20"/>
          <w:spacing w:val="-6"/>
        </w:rPr>
        <w:t>having</w:t>
      </w:r>
      <w:r>
        <w:rPr>
          <w:color w:val="231F20"/>
          <w:spacing w:val="-11"/>
        </w:rPr>
        <w:t> </w:t>
      </w:r>
      <w:r>
        <w:rPr>
          <w:color w:val="231F20"/>
          <w:spacing w:val="-6"/>
        </w:rPr>
        <w:t>increased</w:t>
      </w:r>
      <w:r>
        <w:rPr>
          <w:color w:val="231F20"/>
          <w:spacing w:val="-10"/>
        </w:rPr>
        <w:t> </w:t>
      </w:r>
      <w:r>
        <w:rPr>
          <w:color w:val="231F20"/>
          <w:spacing w:val="-6"/>
        </w:rPr>
        <w:t>by</w:t>
      </w:r>
      <w:r>
        <w:rPr>
          <w:color w:val="231F20"/>
          <w:spacing w:val="-11"/>
        </w:rPr>
        <w:t> </w:t>
      </w:r>
      <w:r>
        <w:rPr>
          <w:color w:val="231F20"/>
          <w:spacing w:val="-6"/>
        </w:rPr>
        <w:t>31%</w:t>
      </w:r>
      <w:r>
        <w:rPr>
          <w:color w:val="231F20"/>
          <w:spacing w:val="-10"/>
        </w:rPr>
        <w:t> </w:t>
      </w:r>
      <w:r>
        <w:rPr>
          <w:color w:val="231F20"/>
          <w:spacing w:val="-6"/>
        </w:rPr>
        <w:t>compared</w:t>
      </w:r>
      <w:r>
        <w:rPr>
          <w:color w:val="231F20"/>
          <w:spacing w:val="-11"/>
        </w:rPr>
        <w:t> </w:t>
      </w:r>
      <w:r>
        <w:rPr>
          <w:color w:val="231F20"/>
          <w:spacing w:val="-6"/>
        </w:rPr>
        <w:t>with</w:t>
      </w:r>
      <w:r>
        <w:rPr>
          <w:color w:val="231F20"/>
          <w:spacing w:val="-10"/>
        </w:rPr>
        <w:t> </w:t>
      </w:r>
      <w:r>
        <w:rPr>
          <w:color w:val="231F20"/>
          <w:spacing w:val="-6"/>
        </w:rPr>
        <w:t>the corresponding</w:t>
      </w:r>
      <w:r>
        <w:rPr>
          <w:color w:val="231F20"/>
          <w:spacing w:val="-7"/>
        </w:rPr>
        <w:t> </w:t>
      </w:r>
      <w:r>
        <w:rPr>
          <w:color w:val="231F20"/>
          <w:spacing w:val="-6"/>
        </w:rPr>
        <w:t>total</w:t>
      </w:r>
      <w:r>
        <w:rPr>
          <w:color w:val="231F20"/>
          <w:spacing w:val="-5"/>
        </w:rPr>
        <w:t> </w:t>
      </w:r>
      <w:r>
        <w:rPr>
          <w:color w:val="231F20"/>
          <w:spacing w:val="-6"/>
        </w:rPr>
        <w:t>in</w:t>
      </w:r>
      <w:r>
        <w:rPr>
          <w:color w:val="231F20"/>
          <w:spacing w:val="-4"/>
        </w:rPr>
        <w:t> </w:t>
      </w:r>
      <w:r>
        <w:rPr>
          <w:color w:val="231F20"/>
          <w:spacing w:val="-6"/>
        </w:rPr>
        <w:t>the</w:t>
      </w:r>
      <w:r>
        <w:rPr>
          <w:color w:val="231F20"/>
          <w:spacing w:val="-5"/>
        </w:rPr>
        <w:t> </w:t>
      </w:r>
      <w:r>
        <w:rPr>
          <w:color w:val="231F20"/>
          <w:spacing w:val="-6"/>
        </w:rPr>
        <w:t>preceding</w:t>
      </w:r>
      <w:r>
        <w:rPr>
          <w:color w:val="231F20"/>
          <w:spacing w:val="-4"/>
        </w:rPr>
        <w:t> </w:t>
      </w:r>
      <w:r>
        <w:rPr>
          <w:color w:val="231F20"/>
          <w:spacing w:val="-6"/>
        </w:rPr>
        <w:t>report.</w:t>
      </w:r>
    </w:p>
    <w:p>
      <w:pPr>
        <w:pStyle w:val="BodyText"/>
        <w:spacing w:before="165"/>
        <w:ind w:left="1133" w:right="8"/>
      </w:pPr>
      <w:r>
        <w:rPr>
          <w:color w:val="231F20"/>
          <w:spacing w:val="-10"/>
        </w:rPr>
        <w:t>The</w:t>
      </w:r>
      <w:r>
        <w:rPr>
          <w:color w:val="231F20"/>
          <w:spacing w:val="-7"/>
        </w:rPr>
        <w:t> </w:t>
      </w:r>
      <w:r>
        <w:rPr>
          <w:color w:val="231F20"/>
          <w:spacing w:val="-10"/>
        </w:rPr>
        <w:t>following</w:t>
      </w:r>
      <w:r>
        <w:rPr>
          <w:color w:val="231F20"/>
          <w:spacing w:val="-6"/>
        </w:rPr>
        <w:t> </w:t>
      </w:r>
      <w:r>
        <w:rPr>
          <w:color w:val="231F20"/>
          <w:spacing w:val="-10"/>
        </w:rPr>
        <w:t>table</w:t>
      </w:r>
      <w:r>
        <w:rPr>
          <w:color w:val="231F20"/>
          <w:spacing w:val="-7"/>
        </w:rPr>
        <w:t> </w:t>
      </w:r>
      <w:r>
        <w:rPr>
          <w:color w:val="231F20"/>
          <w:spacing w:val="-10"/>
        </w:rPr>
        <w:t>summarizes</w:t>
      </w:r>
      <w:r>
        <w:rPr>
          <w:color w:val="231F20"/>
          <w:spacing w:val="-6"/>
        </w:rPr>
        <w:t> </w:t>
      </w:r>
      <w:r>
        <w:rPr>
          <w:color w:val="231F20"/>
          <w:spacing w:val="-10"/>
        </w:rPr>
        <w:t>the</w:t>
      </w:r>
      <w:r>
        <w:rPr>
          <w:color w:val="231F20"/>
          <w:spacing w:val="-7"/>
        </w:rPr>
        <w:t> </w:t>
      </w:r>
      <w:r>
        <w:rPr>
          <w:color w:val="231F20"/>
          <w:spacing w:val="-10"/>
        </w:rPr>
        <w:t>impact</w:t>
      </w:r>
      <w:r>
        <w:rPr>
          <w:color w:val="231F20"/>
          <w:spacing w:val="-6"/>
        </w:rPr>
        <w:t> </w:t>
      </w:r>
      <w:r>
        <w:rPr>
          <w:color w:val="231F20"/>
          <w:spacing w:val="-10"/>
        </w:rPr>
        <w:t>of </w:t>
      </w:r>
      <w:r>
        <w:rPr>
          <w:color w:val="231F20"/>
          <w:spacing w:val="-6"/>
        </w:rPr>
        <w:t>the</w:t>
      </w:r>
      <w:r>
        <w:rPr>
          <w:color w:val="231F20"/>
          <w:spacing w:val="-7"/>
        </w:rPr>
        <w:t> </w:t>
      </w:r>
      <w:r>
        <w:rPr>
          <w:color w:val="231F20"/>
          <w:spacing w:val="-6"/>
        </w:rPr>
        <w:t>blockade</w:t>
      </w:r>
      <w:r>
        <w:rPr>
          <w:color w:val="231F20"/>
          <w:spacing w:val="-7"/>
        </w:rPr>
        <w:t> </w:t>
      </w:r>
      <w:r>
        <w:rPr>
          <w:color w:val="231F20"/>
          <w:spacing w:val="-6"/>
        </w:rPr>
        <w:t>on</w:t>
      </w:r>
      <w:r>
        <w:rPr>
          <w:color w:val="231F20"/>
          <w:spacing w:val="-7"/>
        </w:rPr>
        <w:t> </w:t>
      </w:r>
      <w:r>
        <w:rPr>
          <w:color w:val="231F20"/>
          <w:spacing w:val="-6"/>
        </w:rPr>
        <w:t>Cuba’s</w:t>
      </w:r>
      <w:r>
        <w:rPr>
          <w:color w:val="231F20"/>
          <w:spacing w:val="-7"/>
        </w:rPr>
        <w:t> </w:t>
      </w:r>
      <w:r>
        <w:rPr>
          <w:color w:val="231F20"/>
          <w:spacing w:val="-6"/>
        </w:rPr>
        <w:t>foreign</w:t>
      </w:r>
      <w:r>
        <w:rPr>
          <w:color w:val="231F20"/>
          <w:spacing w:val="-7"/>
        </w:rPr>
        <w:t> </w:t>
      </w:r>
      <w:r>
        <w:rPr>
          <w:color w:val="231F20"/>
          <w:spacing w:val="-6"/>
        </w:rPr>
        <w:t>trade</w:t>
      </w:r>
      <w:r>
        <w:rPr>
          <w:color w:val="231F20"/>
          <w:spacing w:val="-7"/>
        </w:rPr>
        <w:t> </w:t>
      </w:r>
      <w:r>
        <w:rPr>
          <w:color w:val="231F20"/>
          <w:spacing w:val="-6"/>
        </w:rPr>
        <w:t>sector between</w:t>
      </w:r>
      <w:r>
        <w:rPr>
          <w:color w:val="231F20"/>
          <w:spacing w:val="-20"/>
        </w:rPr>
        <w:t> </w:t>
      </w:r>
      <w:r>
        <w:rPr>
          <w:color w:val="231F20"/>
          <w:spacing w:val="-6"/>
        </w:rPr>
        <w:t>March</w:t>
      </w:r>
      <w:r>
        <w:rPr>
          <w:color w:val="231F20"/>
          <w:spacing w:val="-20"/>
        </w:rPr>
        <w:t> </w:t>
      </w:r>
      <w:r>
        <w:rPr>
          <w:color w:val="231F20"/>
          <w:spacing w:val="-6"/>
        </w:rPr>
        <w:t>2022</w:t>
      </w:r>
      <w:r>
        <w:rPr>
          <w:color w:val="231F20"/>
          <w:spacing w:val="-20"/>
        </w:rPr>
        <w:t> </w:t>
      </w:r>
      <w:r>
        <w:rPr>
          <w:color w:val="231F20"/>
          <w:spacing w:val="-6"/>
        </w:rPr>
        <w:t>and</w:t>
      </w:r>
      <w:r>
        <w:rPr>
          <w:color w:val="231F20"/>
          <w:spacing w:val="-20"/>
        </w:rPr>
        <w:t> </w:t>
      </w:r>
      <w:r>
        <w:rPr>
          <w:color w:val="231F20"/>
          <w:spacing w:val="-6"/>
        </w:rPr>
        <w:t>February</w:t>
      </w:r>
      <w:r>
        <w:rPr>
          <w:color w:val="231F20"/>
          <w:spacing w:val="-20"/>
        </w:rPr>
        <w:t> </w:t>
      </w:r>
      <w:r>
        <w:rPr>
          <w:color w:val="231F20"/>
          <w:spacing w:val="-6"/>
        </w:rPr>
        <w:t>2023:</w:t>
      </w:r>
    </w:p>
    <w:p>
      <w:pPr>
        <w:pStyle w:val="Heading2"/>
        <w:spacing w:line="196" w:lineRule="auto" w:before="129"/>
        <w:ind w:left="414" w:right="1091"/>
      </w:pPr>
      <w:r>
        <w:rPr/>
        <w:br w:type="column"/>
      </w:r>
      <w:r>
        <w:rPr>
          <w:color w:val="1F4282"/>
          <w:w w:val="115"/>
        </w:rPr>
        <w:t>Impacts</w:t>
      </w:r>
      <w:r>
        <w:rPr>
          <w:color w:val="1F4282"/>
          <w:spacing w:val="-12"/>
          <w:w w:val="115"/>
        </w:rPr>
        <w:t> </w:t>
      </w:r>
      <w:r>
        <w:rPr>
          <w:color w:val="1F4282"/>
          <w:w w:val="115"/>
        </w:rPr>
        <w:t>in</w:t>
      </w:r>
      <w:r>
        <w:rPr>
          <w:color w:val="1F4282"/>
          <w:spacing w:val="-12"/>
          <w:w w:val="115"/>
        </w:rPr>
        <w:t> </w:t>
      </w:r>
      <w:r>
        <w:rPr>
          <w:color w:val="1F4282"/>
          <w:w w:val="115"/>
        </w:rPr>
        <w:t>the</w:t>
      </w:r>
      <w:r>
        <w:rPr>
          <w:color w:val="1F4282"/>
          <w:spacing w:val="-12"/>
          <w:w w:val="115"/>
        </w:rPr>
        <w:t> </w:t>
      </w:r>
      <w:r>
        <w:rPr>
          <w:color w:val="1F4282"/>
          <w:w w:val="115"/>
        </w:rPr>
        <w:t>banking</w:t>
      </w:r>
      <w:r>
        <w:rPr>
          <w:color w:val="1F4282"/>
          <w:spacing w:val="-12"/>
          <w:w w:val="115"/>
        </w:rPr>
        <w:t> </w:t>
      </w:r>
      <w:r>
        <w:rPr>
          <w:color w:val="1F4282"/>
          <w:w w:val="115"/>
        </w:rPr>
        <w:t>and finance sector</w:t>
      </w:r>
    </w:p>
    <w:p>
      <w:pPr>
        <w:pStyle w:val="BodyText"/>
        <w:spacing w:before="228"/>
        <w:ind w:left="414" w:right="1471"/>
      </w:pPr>
      <w:r>
        <w:rPr>
          <w:color w:val="231F20"/>
        </w:rPr>
        <w:t>Between</w:t>
      </w:r>
      <w:r>
        <w:rPr>
          <w:color w:val="231F20"/>
          <w:spacing w:val="40"/>
        </w:rPr>
        <w:t> </w:t>
      </w:r>
      <w:r>
        <w:rPr>
          <w:color w:val="231F20"/>
        </w:rPr>
        <w:t>March</w:t>
      </w:r>
      <w:r>
        <w:rPr>
          <w:color w:val="231F20"/>
          <w:spacing w:val="40"/>
        </w:rPr>
        <w:t> </w:t>
      </w:r>
      <w:r>
        <w:rPr>
          <w:color w:val="231F20"/>
        </w:rPr>
        <w:t>2022</w:t>
      </w:r>
      <w:r>
        <w:rPr>
          <w:color w:val="231F20"/>
          <w:spacing w:val="40"/>
        </w:rPr>
        <w:t> </w:t>
      </w:r>
      <w:r>
        <w:rPr>
          <w:color w:val="231F20"/>
        </w:rPr>
        <w:t>and</w:t>
      </w:r>
      <w:r>
        <w:rPr>
          <w:color w:val="231F20"/>
          <w:spacing w:val="40"/>
        </w:rPr>
        <w:t> </w:t>
      </w:r>
      <w:r>
        <w:rPr>
          <w:color w:val="231F20"/>
        </w:rPr>
        <w:t>February 2023, Cuba’s banking and financial</w:t>
      </w:r>
      <w:r>
        <w:rPr>
          <w:color w:val="231F20"/>
          <w:spacing w:val="40"/>
        </w:rPr>
        <w:t> </w:t>
      </w:r>
      <w:r>
        <w:rPr>
          <w:color w:val="231F20"/>
        </w:rPr>
        <w:t>system continued to be a primary target of Washington’s aggressive measures designed to consolidate the economic, commercial</w:t>
      </w:r>
      <w:r>
        <w:rPr>
          <w:color w:val="231F20"/>
          <w:spacing w:val="80"/>
        </w:rPr>
        <w:t> </w:t>
      </w:r>
      <w:r>
        <w:rPr>
          <w:color w:val="231F20"/>
        </w:rPr>
        <w:t>and</w:t>
      </w:r>
      <w:r>
        <w:rPr>
          <w:color w:val="231F20"/>
          <w:spacing w:val="80"/>
        </w:rPr>
        <w:t> </w:t>
      </w:r>
      <w:r>
        <w:rPr>
          <w:color w:val="231F20"/>
        </w:rPr>
        <w:t>financial</w:t>
      </w:r>
      <w:r>
        <w:rPr>
          <w:color w:val="231F20"/>
          <w:spacing w:val="80"/>
        </w:rPr>
        <w:t> </w:t>
      </w:r>
      <w:r>
        <w:rPr>
          <w:color w:val="231F20"/>
        </w:rPr>
        <w:t>blockade.</w:t>
      </w:r>
      <w:r>
        <w:rPr>
          <w:color w:val="231F20"/>
          <w:spacing w:val="80"/>
        </w:rPr>
        <w:t> </w:t>
      </w:r>
      <w:r>
        <w:rPr>
          <w:color w:val="231F20"/>
        </w:rPr>
        <w:t>The resulting monetary/financial losses incurred</w:t>
      </w:r>
      <w:r>
        <w:rPr>
          <w:color w:val="231F20"/>
          <w:spacing w:val="-16"/>
        </w:rPr>
        <w:t> </w:t>
      </w:r>
      <w:r>
        <w:rPr>
          <w:color w:val="231F20"/>
        </w:rPr>
        <w:t>by</w:t>
      </w:r>
      <w:r>
        <w:rPr>
          <w:color w:val="231F20"/>
          <w:spacing w:val="-16"/>
        </w:rPr>
        <w:t> </w:t>
      </w:r>
      <w:r>
        <w:rPr>
          <w:color w:val="231F20"/>
        </w:rPr>
        <w:t>the</w:t>
      </w:r>
      <w:r>
        <w:rPr>
          <w:color w:val="231F20"/>
          <w:spacing w:val="-16"/>
        </w:rPr>
        <w:t> </w:t>
      </w:r>
      <w:r>
        <w:rPr>
          <w:color w:val="231F20"/>
        </w:rPr>
        <w:t>Cuban</w:t>
      </w:r>
      <w:r>
        <w:rPr>
          <w:color w:val="231F20"/>
          <w:spacing w:val="-16"/>
        </w:rPr>
        <w:t> </w:t>
      </w:r>
      <w:r>
        <w:rPr>
          <w:color w:val="231F20"/>
        </w:rPr>
        <w:t>economy</w:t>
      </w:r>
      <w:r>
        <w:rPr>
          <w:color w:val="231F20"/>
          <w:spacing w:val="-16"/>
        </w:rPr>
        <w:t> </w:t>
      </w:r>
      <w:r>
        <w:rPr>
          <w:color w:val="231F20"/>
        </w:rPr>
        <w:t>exceeded </w:t>
      </w:r>
      <w:r>
        <w:rPr>
          <w:rFonts w:ascii="Segoe UI Semibold" w:hAnsi="Segoe UI Semibold"/>
          <w:b/>
          <w:color w:val="231F20"/>
        </w:rPr>
        <w:t>USD 280,200,000</w:t>
      </w:r>
      <w:r>
        <w:rPr>
          <w:color w:val="231F20"/>
        </w:rPr>
        <w:t>.</w:t>
      </w:r>
    </w:p>
    <w:p>
      <w:pPr>
        <w:pStyle w:val="BodyText"/>
        <w:spacing w:before="167"/>
        <w:ind w:left="414" w:right="1473"/>
      </w:pPr>
      <w:r>
        <w:rPr>
          <w:color w:val="231F20"/>
        </w:rPr>
        <w:t>The period under review was marked by </w:t>
      </w:r>
      <w:r>
        <w:rPr>
          <w:color w:val="231F20"/>
          <w:spacing w:val="-6"/>
        </w:rPr>
        <w:t>growing</w:t>
      </w:r>
      <w:r>
        <w:rPr>
          <w:color w:val="231F20"/>
          <w:spacing w:val="-11"/>
        </w:rPr>
        <w:t> </w:t>
      </w:r>
      <w:r>
        <w:rPr>
          <w:color w:val="231F20"/>
          <w:spacing w:val="-6"/>
        </w:rPr>
        <w:t>refusals</w:t>
      </w:r>
      <w:r>
        <w:rPr>
          <w:color w:val="231F20"/>
          <w:spacing w:val="-10"/>
        </w:rPr>
        <w:t> </w:t>
      </w:r>
      <w:r>
        <w:rPr>
          <w:color w:val="231F20"/>
          <w:spacing w:val="-6"/>
        </w:rPr>
        <w:t>by</w:t>
      </w:r>
      <w:r>
        <w:rPr>
          <w:color w:val="231F20"/>
          <w:spacing w:val="-11"/>
        </w:rPr>
        <w:t> </w:t>
      </w:r>
      <w:r>
        <w:rPr>
          <w:color w:val="231F20"/>
          <w:spacing w:val="-6"/>
        </w:rPr>
        <w:t>foreign</w:t>
      </w:r>
      <w:r>
        <w:rPr>
          <w:color w:val="231F20"/>
          <w:spacing w:val="-10"/>
        </w:rPr>
        <w:t> </w:t>
      </w:r>
      <w:r>
        <w:rPr>
          <w:color w:val="231F20"/>
          <w:spacing w:val="-6"/>
        </w:rPr>
        <w:t>banks</w:t>
      </w:r>
      <w:r>
        <w:rPr>
          <w:color w:val="231F20"/>
          <w:spacing w:val="-11"/>
        </w:rPr>
        <w:t> </w:t>
      </w:r>
      <w:r>
        <w:rPr>
          <w:color w:val="231F20"/>
          <w:spacing w:val="-6"/>
        </w:rPr>
        <w:t>and</w:t>
      </w:r>
      <w:r>
        <w:rPr>
          <w:color w:val="231F20"/>
          <w:spacing w:val="-10"/>
        </w:rPr>
        <w:t> </w:t>
      </w:r>
      <w:r>
        <w:rPr>
          <w:color w:val="231F20"/>
          <w:spacing w:val="-6"/>
        </w:rPr>
        <w:t>other </w:t>
      </w:r>
      <w:r>
        <w:rPr>
          <w:color w:val="231F20"/>
        </w:rPr>
        <w:t>financial institutions to deal with Cuban banks and firms, involving the closure of accounts and the canceling of ongoing agreements, the constant reversing of banking</w:t>
      </w:r>
      <w:r>
        <w:rPr>
          <w:color w:val="231F20"/>
          <w:spacing w:val="-2"/>
        </w:rPr>
        <w:t> </w:t>
      </w:r>
      <w:r>
        <w:rPr>
          <w:color w:val="231F20"/>
        </w:rPr>
        <w:t>transactions</w:t>
      </w:r>
      <w:r>
        <w:rPr>
          <w:color w:val="231F20"/>
          <w:spacing w:val="-2"/>
        </w:rPr>
        <w:t> </w:t>
      </w:r>
      <w:r>
        <w:rPr>
          <w:color w:val="231F20"/>
        </w:rPr>
        <w:t>and</w:t>
      </w:r>
      <w:r>
        <w:rPr>
          <w:color w:val="231F20"/>
          <w:spacing w:val="-2"/>
        </w:rPr>
        <w:t> </w:t>
      </w:r>
      <w:r>
        <w:rPr>
          <w:color w:val="231F20"/>
        </w:rPr>
        <w:t>the</w:t>
      </w:r>
      <w:r>
        <w:rPr>
          <w:color w:val="231F20"/>
          <w:spacing w:val="-2"/>
        </w:rPr>
        <w:t> </w:t>
      </w:r>
      <w:r>
        <w:rPr>
          <w:color w:val="231F20"/>
        </w:rPr>
        <w:t>cancellation of</w:t>
      </w:r>
      <w:r>
        <w:rPr>
          <w:color w:val="231F20"/>
          <w:spacing w:val="-17"/>
        </w:rPr>
        <w:t> </w:t>
      </w:r>
      <w:r>
        <w:rPr>
          <w:color w:val="231F20"/>
        </w:rPr>
        <w:t>RMA</w:t>
      </w:r>
      <w:r>
        <w:rPr>
          <w:color w:val="231F20"/>
          <w:spacing w:val="-16"/>
        </w:rPr>
        <w:t> </w:t>
      </w:r>
      <w:r>
        <w:rPr>
          <w:color w:val="231F20"/>
        </w:rPr>
        <w:t>codes</w:t>
      </w:r>
      <w:r>
        <w:rPr>
          <w:color w:val="231F20"/>
          <w:spacing w:val="-17"/>
        </w:rPr>
        <w:t> </w:t>
      </w:r>
      <w:r>
        <w:rPr>
          <w:color w:val="231F20"/>
        </w:rPr>
        <w:t>used</w:t>
      </w:r>
      <w:r>
        <w:rPr>
          <w:color w:val="231F20"/>
          <w:spacing w:val="-16"/>
        </w:rPr>
        <w:t> </w:t>
      </w:r>
      <w:r>
        <w:rPr>
          <w:color w:val="231F20"/>
        </w:rPr>
        <w:t>in</w:t>
      </w:r>
      <w:r>
        <w:rPr>
          <w:color w:val="231F20"/>
          <w:spacing w:val="-17"/>
        </w:rPr>
        <w:t> </w:t>
      </w:r>
      <w:r>
        <w:rPr>
          <w:color w:val="231F20"/>
        </w:rPr>
        <w:t>the</w:t>
      </w:r>
      <w:r>
        <w:rPr>
          <w:color w:val="231F20"/>
          <w:spacing w:val="-16"/>
        </w:rPr>
        <w:t> </w:t>
      </w:r>
      <w:r>
        <w:rPr>
          <w:color w:val="231F20"/>
        </w:rPr>
        <w:t>SWIFT</w:t>
      </w:r>
      <w:r>
        <w:rPr>
          <w:color w:val="231F20"/>
          <w:spacing w:val="-17"/>
        </w:rPr>
        <w:t> </w:t>
      </w:r>
      <w:r>
        <w:rPr>
          <w:color w:val="231F20"/>
        </w:rPr>
        <w:t>system</w:t>
      </w:r>
      <w:r>
        <w:rPr>
          <w:color w:val="231F20"/>
          <w:spacing w:val="-16"/>
        </w:rPr>
        <w:t> </w:t>
      </w:r>
      <w:r>
        <w:rPr>
          <w:color w:val="231F20"/>
        </w:rPr>
        <w:t>of exchange of banking information.</w:t>
      </w:r>
    </w:p>
    <w:p>
      <w:pPr>
        <w:pStyle w:val="BodyText"/>
        <w:spacing w:before="167"/>
        <w:ind w:left="414" w:right="1471"/>
      </w:pPr>
      <w:r>
        <w:rPr>
          <w:color w:val="231F20"/>
        </w:rPr>
        <w:t>Persistent problems included restrictions on</w:t>
      </w:r>
      <w:r>
        <w:rPr>
          <w:color w:val="231F20"/>
          <w:spacing w:val="-12"/>
        </w:rPr>
        <w:t> </w:t>
      </w:r>
      <w:r>
        <w:rPr>
          <w:color w:val="231F20"/>
        </w:rPr>
        <w:t>the</w:t>
      </w:r>
      <w:r>
        <w:rPr>
          <w:color w:val="231F20"/>
          <w:spacing w:val="-12"/>
        </w:rPr>
        <w:t> </w:t>
      </w:r>
      <w:r>
        <w:rPr>
          <w:color w:val="231F20"/>
        </w:rPr>
        <w:t>use</w:t>
      </w:r>
      <w:r>
        <w:rPr>
          <w:color w:val="231F20"/>
          <w:spacing w:val="-12"/>
        </w:rPr>
        <w:t> </w:t>
      </w:r>
      <w:r>
        <w:rPr>
          <w:color w:val="231F20"/>
        </w:rPr>
        <w:t>of</w:t>
      </w:r>
      <w:r>
        <w:rPr>
          <w:color w:val="231F20"/>
          <w:spacing w:val="-12"/>
        </w:rPr>
        <w:t> </w:t>
      </w:r>
      <w:r>
        <w:rPr>
          <w:color w:val="231F20"/>
        </w:rPr>
        <w:t>the</w:t>
      </w:r>
      <w:r>
        <w:rPr>
          <w:color w:val="231F20"/>
          <w:spacing w:val="-12"/>
        </w:rPr>
        <w:t> </w:t>
      </w:r>
      <w:r>
        <w:rPr>
          <w:color w:val="231F20"/>
        </w:rPr>
        <w:t>U.S.</w:t>
      </w:r>
      <w:r>
        <w:rPr>
          <w:color w:val="231F20"/>
          <w:spacing w:val="-12"/>
        </w:rPr>
        <w:t> </w:t>
      </w:r>
      <w:r>
        <w:rPr>
          <w:color w:val="231F20"/>
        </w:rPr>
        <w:t>dollar</w:t>
      </w:r>
      <w:r>
        <w:rPr>
          <w:color w:val="231F20"/>
          <w:spacing w:val="-12"/>
        </w:rPr>
        <w:t> </w:t>
      </w:r>
      <w:r>
        <w:rPr>
          <w:color w:val="231F20"/>
        </w:rPr>
        <w:t>in</w:t>
      </w:r>
      <w:r>
        <w:rPr>
          <w:color w:val="231F20"/>
          <w:spacing w:val="-12"/>
        </w:rPr>
        <w:t> </w:t>
      </w:r>
      <w:r>
        <w:rPr>
          <w:color w:val="231F20"/>
        </w:rPr>
        <w:t>trading</w:t>
      </w:r>
      <w:r>
        <w:rPr>
          <w:color w:val="231F20"/>
          <w:spacing w:val="-12"/>
        </w:rPr>
        <w:t> </w:t>
      </w:r>
      <w:r>
        <w:rPr>
          <w:color w:val="231F20"/>
        </w:rPr>
        <w:t>and </w:t>
      </w:r>
      <w:r>
        <w:rPr>
          <w:color w:val="231F20"/>
          <w:spacing w:val="-4"/>
        </w:rPr>
        <w:t>financial</w:t>
      </w:r>
      <w:r>
        <w:rPr>
          <w:color w:val="231F20"/>
          <w:spacing w:val="-12"/>
        </w:rPr>
        <w:t> </w:t>
      </w:r>
      <w:r>
        <w:rPr>
          <w:color w:val="231F20"/>
          <w:spacing w:val="-4"/>
        </w:rPr>
        <w:t>transactions</w:t>
      </w:r>
      <w:r>
        <w:rPr>
          <w:color w:val="231F20"/>
          <w:spacing w:val="-12"/>
        </w:rPr>
        <w:t> </w:t>
      </w:r>
      <w:r>
        <w:rPr>
          <w:color w:val="231F20"/>
          <w:spacing w:val="-4"/>
        </w:rPr>
        <w:t>abroad,</w:t>
      </w:r>
      <w:r>
        <w:rPr>
          <w:color w:val="231F20"/>
          <w:spacing w:val="-11"/>
        </w:rPr>
        <w:t> </w:t>
      </w:r>
      <w:r>
        <w:rPr>
          <w:color w:val="231F20"/>
          <w:spacing w:val="-4"/>
        </w:rPr>
        <w:t>and</w:t>
      </w:r>
      <w:r>
        <w:rPr>
          <w:color w:val="231F20"/>
          <w:spacing w:val="-11"/>
        </w:rPr>
        <w:t> </w:t>
      </w:r>
      <w:r>
        <w:rPr>
          <w:color w:val="231F20"/>
          <w:spacing w:val="-4"/>
        </w:rPr>
        <w:t>exclusion </w:t>
      </w:r>
      <w:r>
        <w:rPr>
          <w:color w:val="231F20"/>
        </w:rPr>
        <w:t>from</w:t>
      </w:r>
      <w:r>
        <w:rPr>
          <w:color w:val="231F20"/>
          <w:spacing w:val="-15"/>
        </w:rPr>
        <w:t> </w:t>
      </w:r>
      <w:r>
        <w:rPr>
          <w:color w:val="231F20"/>
        </w:rPr>
        <w:t>the</w:t>
      </w:r>
      <w:r>
        <w:rPr>
          <w:color w:val="231F20"/>
          <w:spacing w:val="-15"/>
        </w:rPr>
        <w:t> </w:t>
      </w:r>
      <w:r>
        <w:rPr>
          <w:color w:val="231F20"/>
        </w:rPr>
        <w:t>U.S.</w:t>
      </w:r>
      <w:r>
        <w:rPr>
          <w:color w:val="231F20"/>
          <w:spacing w:val="-15"/>
        </w:rPr>
        <w:t> </w:t>
      </w:r>
      <w:r>
        <w:rPr>
          <w:color w:val="231F20"/>
        </w:rPr>
        <w:t>financial</w:t>
      </w:r>
      <w:r>
        <w:rPr>
          <w:color w:val="231F20"/>
          <w:spacing w:val="-15"/>
        </w:rPr>
        <w:t> </w:t>
      </w:r>
      <w:r>
        <w:rPr>
          <w:color w:val="231F20"/>
        </w:rPr>
        <w:t>system</w:t>
      </w:r>
      <w:r>
        <w:rPr>
          <w:color w:val="231F20"/>
          <w:spacing w:val="-15"/>
        </w:rPr>
        <w:t> </w:t>
      </w:r>
      <w:r>
        <w:rPr>
          <w:color w:val="231F20"/>
        </w:rPr>
        <w:t>for</w:t>
      </w:r>
      <w:r>
        <w:rPr>
          <w:color w:val="231F20"/>
          <w:spacing w:val="-15"/>
        </w:rPr>
        <w:t> </w:t>
      </w:r>
      <w:r>
        <w:rPr>
          <w:color w:val="231F20"/>
        </w:rPr>
        <w:t>effecting such operations where the parties to the transfer are a Cuban and a third country entity.</w:t>
      </w:r>
      <w:r>
        <w:rPr>
          <w:color w:val="231F20"/>
          <w:spacing w:val="-3"/>
        </w:rPr>
        <w:t> </w:t>
      </w:r>
      <w:r>
        <w:rPr>
          <w:color w:val="231F20"/>
        </w:rPr>
        <w:t>This</w:t>
      </w:r>
      <w:r>
        <w:rPr>
          <w:color w:val="231F20"/>
          <w:spacing w:val="-3"/>
        </w:rPr>
        <w:t> </w:t>
      </w:r>
      <w:r>
        <w:rPr>
          <w:color w:val="231F20"/>
        </w:rPr>
        <w:t>situation</w:t>
      </w:r>
      <w:r>
        <w:rPr>
          <w:color w:val="231F20"/>
          <w:spacing w:val="-3"/>
        </w:rPr>
        <w:t> </w:t>
      </w:r>
      <w:r>
        <w:rPr>
          <w:color w:val="231F20"/>
        </w:rPr>
        <w:t>has</w:t>
      </w:r>
      <w:r>
        <w:rPr>
          <w:color w:val="231F20"/>
          <w:spacing w:val="-3"/>
        </w:rPr>
        <w:t> </w:t>
      </w:r>
      <w:r>
        <w:rPr>
          <w:color w:val="231F20"/>
        </w:rPr>
        <w:t>been</w:t>
      </w:r>
      <w:r>
        <w:rPr>
          <w:color w:val="231F20"/>
          <w:spacing w:val="-3"/>
        </w:rPr>
        <w:t> </w:t>
      </w:r>
      <w:r>
        <w:rPr>
          <w:color w:val="231F20"/>
        </w:rPr>
        <w:t>aggravated in</w:t>
      </w:r>
      <w:r>
        <w:rPr>
          <w:color w:val="231F20"/>
          <w:spacing w:val="-9"/>
        </w:rPr>
        <w:t> </w:t>
      </w:r>
      <w:r>
        <w:rPr>
          <w:color w:val="231F20"/>
        </w:rPr>
        <w:t>recent</w:t>
      </w:r>
      <w:r>
        <w:rPr>
          <w:color w:val="231F20"/>
          <w:spacing w:val="-9"/>
        </w:rPr>
        <w:t> </w:t>
      </w:r>
      <w:r>
        <w:rPr>
          <w:color w:val="231F20"/>
        </w:rPr>
        <w:t>years</w:t>
      </w:r>
      <w:r>
        <w:rPr>
          <w:color w:val="231F20"/>
          <w:spacing w:val="-9"/>
        </w:rPr>
        <w:t> </w:t>
      </w:r>
      <w:r>
        <w:rPr>
          <w:color w:val="231F20"/>
        </w:rPr>
        <w:t>by</w:t>
      </w:r>
      <w:r>
        <w:rPr>
          <w:color w:val="231F20"/>
          <w:spacing w:val="-9"/>
        </w:rPr>
        <w:t> </w:t>
      </w:r>
      <w:r>
        <w:rPr>
          <w:color w:val="231F20"/>
        </w:rPr>
        <w:t>the</w:t>
      </w:r>
      <w:r>
        <w:rPr>
          <w:color w:val="231F20"/>
          <w:spacing w:val="-9"/>
        </w:rPr>
        <w:t> </w:t>
      </w:r>
      <w:r>
        <w:rPr>
          <w:color w:val="231F20"/>
        </w:rPr>
        <w:t>imposition</w:t>
      </w:r>
      <w:r>
        <w:rPr>
          <w:color w:val="231F20"/>
          <w:spacing w:val="-9"/>
        </w:rPr>
        <w:t> </w:t>
      </w:r>
      <w:r>
        <w:rPr>
          <w:color w:val="231F20"/>
        </w:rPr>
        <w:t>by</w:t>
      </w:r>
      <w:r>
        <w:rPr>
          <w:color w:val="231F20"/>
          <w:spacing w:val="-9"/>
        </w:rPr>
        <w:t> </w:t>
      </w:r>
      <w:r>
        <w:rPr>
          <w:color w:val="231F20"/>
        </w:rPr>
        <w:t>OFAC </w:t>
      </w:r>
      <w:r>
        <w:rPr>
          <w:color w:val="231F20"/>
          <w:spacing w:val="-4"/>
        </w:rPr>
        <w:t>of</w:t>
      </w:r>
      <w:r>
        <w:rPr>
          <w:color w:val="231F20"/>
          <w:spacing w:val="-8"/>
        </w:rPr>
        <w:t> </w:t>
      </w:r>
      <w:r>
        <w:rPr>
          <w:color w:val="231F20"/>
          <w:spacing w:val="-4"/>
        </w:rPr>
        <w:t>coercive</w:t>
      </w:r>
      <w:r>
        <w:rPr>
          <w:color w:val="231F20"/>
          <w:spacing w:val="-7"/>
        </w:rPr>
        <w:t> </w:t>
      </w:r>
      <w:r>
        <w:rPr>
          <w:color w:val="231F20"/>
          <w:spacing w:val="-4"/>
        </w:rPr>
        <w:t>measures</w:t>
      </w:r>
      <w:r>
        <w:rPr>
          <w:color w:val="231F20"/>
          <w:spacing w:val="-8"/>
        </w:rPr>
        <w:t> </w:t>
      </w:r>
      <w:r>
        <w:rPr>
          <w:color w:val="231F20"/>
          <w:spacing w:val="-4"/>
        </w:rPr>
        <w:t>against</w:t>
      </w:r>
      <w:r>
        <w:rPr>
          <w:color w:val="231F20"/>
          <w:spacing w:val="-8"/>
        </w:rPr>
        <w:t> </w:t>
      </w:r>
      <w:r>
        <w:rPr>
          <w:color w:val="231F20"/>
          <w:spacing w:val="-4"/>
        </w:rPr>
        <w:t>U.S.</w:t>
      </w:r>
      <w:r>
        <w:rPr>
          <w:color w:val="231F20"/>
          <w:spacing w:val="-7"/>
        </w:rPr>
        <w:t> </w:t>
      </w:r>
      <w:r>
        <w:rPr>
          <w:color w:val="231F20"/>
          <w:spacing w:val="-4"/>
        </w:rPr>
        <w:t>and</w:t>
      </w:r>
      <w:r>
        <w:rPr>
          <w:color w:val="231F20"/>
          <w:spacing w:val="-7"/>
        </w:rPr>
        <w:t> </w:t>
      </w:r>
      <w:r>
        <w:rPr>
          <w:color w:val="231F20"/>
          <w:spacing w:val="-5"/>
        </w:rPr>
        <w:t>other</w:t>
      </w:r>
    </w:p>
    <w:p>
      <w:pPr>
        <w:pStyle w:val="BodyText"/>
        <w:spacing w:before="7"/>
        <w:ind w:left="2201" w:right="1476"/>
      </w:pPr>
      <w:r>
        <w:rPr/>
        <mc:AlternateContent>
          <mc:Choice Requires="wps">
            <w:drawing>
              <wp:anchor distT="0" distB="0" distL="0" distR="0" allowOverlap="1" layoutInCell="1" locked="0" behindDoc="0" simplePos="0" relativeHeight="15794688">
                <wp:simplePos x="0" y="0"/>
                <wp:positionH relativeFrom="page">
                  <wp:posOffset>324002</wp:posOffset>
                </wp:positionH>
                <wp:positionV relativeFrom="paragraph">
                  <wp:posOffset>182775</wp:posOffset>
                </wp:positionV>
                <wp:extent cx="4434205" cy="2408555"/>
                <wp:effectExtent l="0" t="0" r="0" b="0"/>
                <wp:wrapNone/>
                <wp:docPr id="271" name="Group 271"/>
                <wp:cNvGraphicFramePr>
                  <a:graphicFrameLocks/>
                </wp:cNvGraphicFramePr>
                <a:graphic>
                  <a:graphicData uri="http://schemas.microsoft.com/office/word/2010/wordprocessingGroup">
                    <wpg:wgp>
                      <wpg:cNvPr id="271" name="Group 271"/>
                      <wpg:cNvGrpSpPr/>
                      <wpg:grpSpPr>
                        <a:xfrm>
                          <a:off x="0" y="0"/>
                          <a:ext cx="4434205" cy="2408555"/>
                          <a:chExt cx="4434205" cy="2408555"/>
                        </a:xfrm>
                      </wpg:grpSpPr>
                      <wps:wsp>
                        <wps:cNvPr id="272" name="Graphic 272"/>
                        <wps:cNvSpPr/>
                        <wps:spPr>
                          <a:xfrm>
                            <a:off x="0" y="0"/>
                            <a:ext cx="4434205" cy="2408555"/>
                          </a:xfrm>
                          <a:custGeom>
                            <a:avLst/>
                            <a:gdLst/>
                            <a:ahLst/>
                            <a:cxnLst/>
                            <a:rect l="l" t="t" r="r" b="b"/>
                            <a:pathLst>
                              <a:path w="4434205" h="2408555">
                                <a:moveTo>
                                  <a:pt x="4433608" y="0"/>
                                </a:moveTo>
                                <a:lnTo>
                                  <a:pt x="0" y="0"/>
                                </a:lnTo>
                                <a:lnTo>
                                  <a:pt x="0" y="2408402"/>
                                </a:lnTo>
                                <a:lnTo>
                                  <a:pt x="4433608" y="2408402"/>
                                </a:lnTo>
                                <a:lnTo>
                                  <a:pt x="4433608" y="0"/>
                                </a:lnTo>
                                <a:close/>
                              </a:path>
                            </a:pathLst>
                          </a:custGeom>
                          <a:solidFill>
                            <a:srgbClr val="E0E2E2"/>
                          </a:solidFill>
                        </wps:spPr>
                        <wps:bodyPr wrap="square" lIns="0" tIns="0" rIns="0" bIns="0" rtlCol="0">
                          <a:prstTxWarp prst="textNoShape">
                            <a:avLst/>
                          </a:prstTxWarp>
                          <a:noAutofit/>
                        </wps:bodyPr>
                      </wps:wsp>
                      <wps:wsp>
                        <wps:cNvPr id="273" name="Graphic 273"/>
                        <wps:cNvSpPr/>
                        <wps:spPr>
                          <a:xfrm>
                            <a:off x="306705" y="448208"/>
                            <a:ext cx="4124325" cy="1615440"/>
                          </a:xfrm>
                          <a:custGeom>
                            <a:avLst/>
                            <a:gdLst/>
                            <a:ahLst/>
                            <a:cxnLst/>
                            <a:rect l="l" t="t" r="r" b="b"/>
                            <a:pathLst>
                              <a:path w="4124325" h="1615440">
                                <a:moveTo>
                                  <a:pt x="4123931" y="1326324"/>
                                </a:moveTo>
                                <a:lnTo>
                                  <a:pt x="0" y="1326324"/>
                                </a:lnTo>
                                <a:lnTo>
                                  <a:pt x="0" y="1615287"/>
                                </a:lnTo>
                                <a:lnTo>
                                  <a:pt x="4123931" y="1615287"/>
                                </a:lnTo>
                                <a:lnTo>
                                  <a:pt x="4123931" y="1326324"/>
                                </a:lnTo>
                                <a:close/>
                              </a:path>
                              <a:path w="4124325" h="1615440">
                                <a:moveTo>
                                  <a:pt x="4123931" y="763562"/>
                                </a:moveTo>
                                <a:lnTo>
                                  <a:pt x="0" y="763562"/>
                                </a:lnTo>
                                <a:lnTo>
                                  <a:pt x="0" y="1052525"/>
                                </a:lnTo>
                                <a:lnTo>
                                  <a:pt x="4123931" y="1052525"/>
                                </a:lnTo>
                                <a:lnTo>
                                  <a:pt x="4123931" y="763562"/>
                                </a:lnTo>
                                <a:close/>
                              </a:path>
                              <a:path w="4124325" h="1615440">
                                <a:moveTo>
                                  <a:pt x="4123931" y="0"/>
                                </a:moveTo>
                                <a:lnTo>
                                  <a:pt x="0" y="0"/>
                                </a:lnTo>
                                <a:lnTo>
                                  <a:pt x="0" y="288963"/>
                                </a:lnTo>
                                <a:lnTo>
                                  <a:pt x="4123931" y="288963"/>
                                </a:lnTo>
                                <a:lnTo>
                                  <a:pt x="4123931" y="0"/>
                                </a:lnTo>
                                <a:close/>
                              </a:path>
                            </a:pathLst>
                          </a:custGeom>
                          <a:solidFill>
                            <a:srgbClr val="FFFFFF"/>
                          </a:solidFill>
                        </wps:spPr>
                        <wps:bodyPr wrap="square" lIns="0" tIns="0" rIns="0" bIns="0" rtlCol="0">
                          <a:prstTxWarp prst="textNoShape">
                            <a:avLst/>
                          </a:prstTxWarp>
                          <a:noAutofit/>
                        </wps:bodyPr>
                      </wps:wsp>
                      <pic:pic>
                        <pic:nvPicPr>
                          <pic:cNvPr id="274" name="Image 274"/>
                          <pic:cNvPicPr/>
                        </pic:nvPicPr>
                        <pic:blipFill>
                          <a:blip r:embed="rId74" cstate="print"/>
                          <a:stretch>
                            <a:fillRect/>
                          </a:stretch>
                        </pic:blipFill>
                        <pic:spPr>
                          <a:xfrm>
                            <a:off x="3057629" y="196344"/>
                            <a:ext cx="251406" cy="97129"/>
                          </a:xfrm>
                          <a:prstGeom prst="rect">
                            <a:avLst/>
                          </a:prstGeom>
                        </pic:spPr>
                      </pic:pic>
                      <pic:pic>
                        <pic:nvPicPr>
                          <pic:cNvPr id="275" name="Image 275"/>
                          <pic:cNvPicPr/>
                        </pic:nvPicPr>
                        <pic:blipFill>
                          <a:blip r:embed="rId75" cstate="print"/>
                          <a:stretch>
                            <a:fillRect/>
                          </a:stretch>
                        </pic:blipFill>
                        <pic:spPr>
                          <a:xfrm>
                            <a:off x="3362514" y="192337"/>
                            <a:ext cx="186596" cy="120926"/>
                          </a:xfrm>
                          <a:prstGeom prst="rect">
                            <a:avLst/>
                          </a:prstGeom>
                        </pic:spPr>
                      </pic:pic>
                      <wps:wsp>
                        <wps:cNvPr id="276" name="Graphic 276"/>
                        <wps:cNvSpPr/>
                        <wps:spPr>
                          <a:xfrm>
                            <a:off x="3568700" y="192557"/>
                            <a:ext cx="52705" cy="99695"/>
                          </a:xfrm>
                          <a:custGeom>
                            <a:avLst/>
                            <a:gdLst/>
                            <a:ahLst/>
                            <a:cxnLst/>
                            <a:rect l="l" t="t" r="r" b="b"/>
                            <a:pathLst>
                              <a:path w="52705" h="99695">
                                <a:moveTo>
                                  <a:pt x="15595" y="0"/>
                                </a:moveTo>
                                <a:lnTo>
                                  <a:pt x="0" y="0"/>
                                </a:lnTo>
                                <a:lnTo>
                                  <a:pt x="0" y="99352"/>
                                </a:lnTo>
                                <a:lnTo>
                                  <a:pt x="15595" y="99352"/>
                                </a:lnTo>
                                <a:lnTo>
                                  <a:pt x="15595" y="0"/>
                                </a:lnTo>
                                <a:close/>
                              </a:path>
                              <a:path w="52705" h="99695">
                                <a:moveTo>
                                  <a:pt x="52171" y="0"/>
                                </a:moveTo>
                                <a:lnTo>
                                  <a:pt x="36563" y="0"/>
                                </a:lnTo>
                                <a:lnTo>
                                  <a:pt x="36563" y="99352"/>
                                </a:lnTo>
                                <a:lnTo>
                                  <a:pt x="52171" y="99352"/>
                                </a:lnTo>
                                <a:lnTo>
                                  <a:pt x="52171" y="0"/>
                                </a:lnTo>
                                <a:close/>
                              </a:path>
                            </a:pathLst>
                          </a:custGeom>
                          <a:solidFill>
                            <a:srgbClr val="231F20"/>
                          </a:solidFill>
                        </wps:spPr>
                        <wps:bodyPr wrap="square" lIns="0" tIns="0" rIns="0" bIns="0" rtlCol="0">
                          <a:prstTxWarp prst="textNoShape">
                            <a:avLst/>
                          </a:prstTxWarp>
                          <a:noAutofit/>
                        </wps:bodyPr>
                      </wps:wsp>
                      <pic:pic>
                        <pic:nvPicPr>
                          <pic:cNvPr id="277" name="Image 277"/>
                          <pic:cNvPicPr/>
                        </pic:nvPicPr>
                        <pic:blipFill>
                          <a:blip r:embed="rId76" cstate="print"/>
                          <a:stretch>
                            <a:fillRect/>
                          </a:stretch>
                        </pic:blipFill>
                        <pic:spPr>
                          <a:xfrm>
                            <a:off x="3639940" y="192337"/>
                            <a:ext cx="228794" cy="120926"/>
                          </a:xfrm>
                          <a:prstGeom prst="rect">
                            <a:avLst/>
                          </a:prstGeom>
                        </pic:spPr>
                      </pic:pic>
                      <pic:pic>
                        <pic:nvPicPr>
                          <pic:cNvPr id="278" name="Image 278"/>
                          <pic:cNvPicPr/>
                        </pic:nvPicPr>
                        <pic:blipFill>
                          <a:blip r:embed="rId77" cstate="print"/>
                          <a:stretch>
                            <a:fillRect/>
                          </a:stretch>
                        </pic:blipFill>
                        <pic:spPr>
                          <a:xfrm>
                            <a:off x="3060515" y="544308"/>
                            <a:ext cx="309338" cy="97066"/>
                          </a:xfrm>
                          <a:prstGeom prst="rect">
                            <a:avLst/>
                          </a:prstGeom>
                        </pic:spPr>
                      </pic:pic>
                      <pic:pic>
                        <pic:nvPicPr>
                          <pic:cNvPr id="279" name="Image 279"/>
                          <pic:cNvPicPr/>
                        </pic:nvPicPr>
                        <pic:blipFill>
                          <a:blip r:embed="rId78" cstate="print"/>
                          <a:stretch>
                            <a:fillRect/>
                          </a:stretch>
                        </pic:blipFill>
                        <pic:spPr>
                          <a:xfrm>
                            <a:off x="446453" y="540513"/>
                            <a:ext cx="1908308" cy="100931"/>
                          </a:xfrm>
                          <a:prstGeom prst="rect">
                            <a:avLst/>
                          </a:prstGeom>
                        </pic:spPr>
                      </pic:pic>
                      <pic:pic>
                        <pic:nvPicPr>
                          <pic:cNvPr id="280" name="Image 280"/>
                          <pic:cNvPicPr/>
                        </pic:nvPicPr>
                        <pic:blipFill>
                          <a:blip r:embed="rId79" cstate="print"/>
                          <a:stretch>
                            <a:fillRect/>
                          </a:stretch>
                        </pic:blipFill>
                        <pic:spPr>
                          <a:xfrm>
                            <a:off x="3060515" y="912237"/>
                            <a:ext cx="308813" cy="97196"/>
                          </a:xfrm>
                          <a:prstGeom prst="rect">
                            <a:avLst/>
                          </a:prstGeom>
                        </pic:spPr>
                      </pic:pic>
                      <pic:pic>
                        <pic:nvPicPr>
                          <pic:cNvPr id="281" name="Image 281"/>
                          <pic:cNvPicPr/>
                        </pic:nvPicPr>
                        <pic:blipFill>
                          <a:blip r:embed="rId80" cstate="print"/>
                          <a:stretch>
                            <a:fillRect/>
                          </a:stretch>
                        </pic:blipFill>
                        <pic:spPr>
                          <a:xfrm>
                            <a:off x="442782" y="825558"/>
                            <a:ext cx="1344406" cy="293465"/>
                          </a:xfrm>
                          <a:prstGeom prst="rect">
                            <a:avLst/>
                          </a:prstGeom>
                        </pic:spPr>
                      </pic:pic>
                      <pic:pic>
                        <pic:nvPicPr>
                          <pic:cNvPr id="282" name="Image 282"/>
                          <pic:cNvPicPr/>
                        </pic:nvPicPr>
                        <pic:blipFill>
                          <a:blip r:embed="rId81" cstate="print"/>
                          <a:stretch>
                            <a:fillRect/>
                          </a:stretch>
                        </pic:blipFill>
                        <pic:spPr>
                          <a:xfrm>
                            <a:off x="3058479" y="1305327"/>
                            <a:ext cx="391477" cy="113379"/>
                          </a:xfrm>
                          <a:prstGeom prst="rect">
                            <a:avLst/>
                          </a:prstGeom>
                        </pic:spPr>
                      </pic:pic>
                      <pic:pic>
                        <pic:nvPicPr>
                          <pic:cNvPr id="283" name="Image 283"/>
                          <pic:cNvPicPr/>
                        </pic:nvPicPr>
                        <pic:blipFill>
                          <a:blip r:embed="rId82" cstate="print"/>
                          <a:stretch>
                            <a:fillRect/>
                          </a:stretch>
                        </pic:blipFill>
                        <pic:spPr>
                          <a:xfrm>
                            <a:off x="446454" y="1300595"/>
                            <a:ext cx="1506814" cy="132400"/>
                          </a:xfrm>
                          <a:prstGeom prst="rect">
                            <a:avLst/>
                          </a:prstGeom>
                        </pic:spPr>
                      </pic:pic>
                      <wps:wsp>
                        <wps:cNvPr id="284" name="Graphic 284"/>
                        <wps:cNvSpPr/>
                        <wps:spPr>
                          <a:xfrm>
                            <a:off x="3058479" y="1612177"/>
                            <a:ext cx="33655" cy="96520"/>
                          </a:xfrm>
                          <a:custGeom>
                            <a:avLst/>
                            <a:gdLst/>
                            <a:ahLst/>
                            <a:cxnLst/>
                            <a:rect l="l" t="t" r="r" b="b"/>
                            <a:pathLst>
                              <a:path w="33655" h="96520">
                                <a:moveTo>
                                  <a:pt x="33426" y="0"/>
                                </a:moveTo>
                                <a:lnTo>
                                  <a:pt x="29362" y="0"/>
                                </a:lnTo>
                                <a:lnTo>
                                  <a:pt x="26136" y="3060"/>
                                </a:lnTo>
                                <a:lnTo>
                                  <a:pt x="21678" y="6083"/>
                                </a:lnTo>
                                <a:lnTo>
                                  <a:pt x="10363" y="12026"/>
                                </a:lnTo>
                                <a:lnTo>
                                  <a:pt x="5029" y="14160"/>
                                </a:lnTo>
                                <a:lnTo>
                                  <a:pt x="0" y="15468"/>
                                </a:lnTo>
                                <a:lnTo>
                                  <a:pt x="3086" y="24917"/>
                                </a:lnTo>
                                <a:lnTo>
                                  <a:pt x="22682" y="15608"/>
                                </a:lnTo>
                                <a:lnTo>
                                  <a:pt x="22682" y="96088"/>
                                </a:lnTo>
                                <a:lnTo>
                                  <a:pt x="33426" y="96088"/>
                                </a:lnTo>
                                <a:lnTo>
                                  <a:pt x="33426" y="0"/>
                                </a:lnTo>
                                <a:close/>
                              </a:path>
                            </a:pathLst>
                          </a:custGeom>
                          <a:solidFill>
                            <a:srgbClr val="231F20"/>
                          </a:solidFill>
                        </wps:spPr>
                        <wps:bodyPr wrap="square" lIns="0" tIns="0" rIns="0" bIns="0" rtlCol="0">
                          <a:prstTxWarp prst="textNoShape">
                            <a:avLst/>
                          </a:prstTxWarp>
                          <a:noAutofit/>
                        </wps:bodyPr>
                      </wps:wsp>
                      <pic:pic>
                        <pic:nvPicPr>
                          <pic:cNvPr id="285" name="Image 285"/>
                          <pic:cNvPicPr/>
                        </pic:nvPicPr>
                        <pic:blipFill>
                          <a:blip r:embed="rId83" cstate="print"/>
                          <a:stretch>
                            <a:fillRect/>
                          </a:stretch>
                        </pic:blipFill>
                        <pic:spPr>
                          <a:xfrm>
                            <a:off x="3114978" y="1612701"/>
                            <a:ext cx="163264" cy="97193"/>
                          </a:xfrm>
                          <a:prstGeom prst="rect">
                            <a:avLst/>
                          </a:prstGeom>
                        </pic:spPr>
                      </pic:pic>
                      <pic:pic>
                        <pic:nvPicPr>
                          <pic:cNvPr id="286" name="Image 286"/>
                          <pic:cNvPicPr/>
                        </pic:nvPicPr>
                        <pic:blipFill>
                          <a:blip r:embed="rId84" cstate="print"/>
                          <a:stretch>
                            <a:fillRect/>
                          </a:stretch>
                        </pic:blipFill>
                        <pic:spPr>
                          <a:xfrm>
                            <a:off x="440298" y="1607455"/>
                            <a:ext cx="2046851" cy="132401"/>
                          </a:xfrm>
                          <a:prstGeom prst="rect">
                            <a:avLst/>
                          </a:prstGeom>
                        </pic:spPr>
                      </pic:pic>
                      <pic:pic>
                        <pic:nvPicPr>
                          <pic:cNvPr id="287" name="Image 287"/>
                          <pic:cNvPicPr/>
                        </pic:nvPicPr>
                        <pic:blipFill>
                          <a:blip r:embed="rId85" cstate="print"/>
                          <a:stretch>
                            <a:fillRect/>
                          </a:stretch>
                        </pic:blipFill>
                        <pic:spPr>
                          <a:xfrm>
                            <a:off x="3063199" y="1878534"/>
                            <a:ext cx="306130" cy="97194"/>
                          </a:xfrm>
                          <a:prstGeom prst="rect">
                            <a:avLst/>
                          </a:prstGeom>
                        </pic:spPr>
                      </pic:pic>
                      <pic:pic>
                        <pic:nvPicPr>
                          <pic:cNvPr id="288" name="Image 288"/>
                          <pic:cNvPicPr/>
                        </pic:nvPicPr>
                        <pic:blipFill>
                          <a:blip r:embed="rId86" cstate="print"/>
                          <a:stretch>
                            <a:fillRect/>
                          </a:stretch>
                        </pic:blipFill>
                        <pic:spPr>
                          <a:xfrm>
                            <a:off x="446453" y="1873282"/>
                            <a:ext cx="1244201" cy="102389"/>
                          </a:xfrm>
                          <a:prstGeom prst="rect">
                            <a:avLst/>
                          </a:prstGeom>
                        </pic:spPr>
                      </pic:pic>
                      <wps:wsp>
                        <wps:cNvPr id="289" name="Graphic 289"/>
                        <wps:cNvSpPr/>
                        <wps:spPr>
                          <a:xfrm>
                            <a:off x="1707832" y="1874735"/>
                            <a:ext cx="168275" cy="100965"/>
                          </a:xfrm>
                          <a:custGeom>
                            <a:avLst/>
                            <a:gdLst/>
                            <a:ahLst/>
                            <a:cxnLst/>
                            <a:rect l="l" t="t" r="r" b="b"/>
                            <a:pathLst>
                              <a:path w="168275" h="100965">
                                <a:moveTo>
                                  <a:pt x="10744" y="0"/>
                                </a:moveTo>
                                <a:lnTo>
                                  <a:pt x="0" y="0"/>
                                </a:lnTo>
                                <a:lnTo>
                                  <a:pt x="0" y="99352"/>
                                </a:lnTo>
                                <a:lnTo>
                                  <a:pt x="10744" y="99352"/>
                                </a:lnTo>
                                <a:lnTo>
                                  <a:pt x="10744" y="0"/>
                                </a:lnTo>
                                <a:close/>
                              </a:path>
                              <a:path w="168275" h="100965">
                                <a:moveTo>
                                  <a:pt x="43243" y="0"/>
                                </a:moveTo>
                                <a:lnTo>
                                  <a:pt x="32499" y="0"/>
                                </a:lnTo>
                                <a:lnTo>
                                  <a:pt x="32499" y="99352"/>
                                </a:lnTo>
                                <a:lnTo>
                                  <a:pt x="43243" y="99352"/>
                                </a:lnTo>
                                <a:lnTo>
                                  <a:pt x="43243" y="0"/>
                                </a:lnTo>
                                <a:close/>
                              </a:path>
                              <a:path w="168275" h="100965">
                                <a:moveTo>
                                  <a:pt x="112522" y="47371"/>
                                </a:moveTo>
                                <a:lnTo>
                                  <a:pt x="110464" y="41109"/>
                                </a:lnTo>
                                <a:lnTo>
                                  <a:pt x="109093" y="39725"/>
                                </a:lnTo>
                                <a:lnTo>
                                  <a:pt x="102247" y="32766"/>
                                </a:lnTo>
                                <a:lnTo>
                                  <a:pt x="96139" y="30683"/>
                                </a:lnTo>
                                <a:lnTo>
                                  <a:pt x="82804" y="30683"/>
                                </a:lnTo>
                                <a:lnTo>
                                  <a:pt x="78092" y="31534"/>
                                </a:lnTo>
                                <a:lnTo>
                                  <a:pt x="69621" y="34937"/>
                                </a:lnTo>
                                <a:lnTo>
                                  <a:pt x="65620" y="37604"/>
                                </a:lnTo>
                                <a:lnTo>
                                  <a:pt x="61861" y="41224"/>
                                </a:lnTo>
                                <a:lnTo>
                                  <a:pt x="68148" y="47726"/>
                                </a:lnTo>
                                <a:lnTo>
                                  <a:pt x="70993" y="45008"/>
                                </a:lnTo>
                                <a:lnTo>
                                  <a:pt x="74028" y="43002"/>
                                </a:lnTo>
                                <a:lnTo>
                                  <a:pt x="80492" y="40386"/>
                                </a:lnTo>
                                <a:lnTo>
                                  <a:pt x="83858" y="39725"/>
                                </a:lnTo>
                                <a:lnTo>
                                  <a:pt x="91732" y="39725"/>
                                </a:lnTo>
                                <a:lnTo>
                                  <a:pt x="95224" y="40919"/>
                                </a:lnTo>
                                <a:lnTo>
                                  <a:pt x="100469" y="45681"/>
                                </a:lnTo>
                                <a:lnTo>
                                  <a:pt x="101777" y="49695"/>
                                </a:lnTo>
                                <a:lnTo>
                                  <a:pt x="101777" y="56832"/>
                                </a:lnTo>
                                <a:lnTo>
                                  <a:pt x="101777" y="65417"/>
                                </a:lnTo>
                                <a:lnTo>
                                  <a:pt x="101777" y="77914"/>
                                </a:lnTo>
                                <a:lnTo>
                                  <a:pt x="100063" y="82715"/>
                                </a:lnTo>
                                <a:lnTo>
                                  <a:pt x="93205" y="90322"/>
                                </a:lnTo>
                                <a:lnTo>
                                  <a:pt x="88582" y="92227"/>
                                </a:lnTo>
                                <a:lnTo>
                                  <a:pt x="79400" y="92227"/>
                                </a:lnTo>
                                <a:lnTo>
                                  <a:pt x="76542" y="91160"/>
                                </a:lnTo>
                                <a:lnTo>
                                  <a:pt x="71856" y="86893"/>
                                </a:lnTo>
                                <a:lnTo>
                                  <a:pt x="70713" y="83858"/>
                                </a:lnTo>
                                <a:lnTo>
                                  <a:pt x="70713" y="75984"/>
                                </a:lnTo>
                                <a:lnTo>
                                  <a:pt x="71945" y="73177"/>
                                </a:lnTo>
                                <a:lnTo>
                                  <a:pt x="76936" y="69596"/>
                                </a:lnTo>
                                <a:lnTo>
                                  <a:pt x="80645" y="68338"/>
                                </a:lnTo>
                                <a:lnTo>
                                  <a:pt x="101777" y="65417"/>
                                </a:lnTo>
                                <a:lnTo>
                                  <a:pt x="101777" y="56832"/>
                                </a:lnTo>
                                <a:lnTo>
                                  <a:pt x="61988" y="70358"/>
                                </a:lnTo>
                                <a:lnTo>
                                  <a:pt x="60020" y="75095"/>
                                </a:lnTo>
                                <a:lnTo>
                                  <a:pt x="60020" y="86918"/>
                                </a:lnTo>
                                <a:lnTo>
                                  <a:pt x="61963" y="91757"/>
                                </a:lnTo>
                                <a:lnTo>
                                  <a:pt x="69748" y="99098"/>
                                </a:lnTo>
                                <a:lnTo>
                                  <a:pt x="74841" y="100939"/>
                                </a:lnTo>
                                <a:lnTo>
                                  <a:pt x="85623" y="100939"/>
                                </a:lnTo>
                                <a:lnTo>
                                  <a:pt x="89573" y="99936"/>
                                </a:lnTo>
                                <a:lnTo>
                                  <a:pt x="96342" y="95910"/>
                                </a:lnTo>
                                <a:lnTo>
                                  <a:pt x="99199" y="92900"/>
                                </a:lnTo>
                                <a:lnTo>
                                  <a:pt x="99580" y="92227"/>
                                </a:lnTo>
                                <a:lnTo>
                                  <a:pt x="101511" y="88874"/>
                                </a:lnTo>
                                <a:lnTo>
                                  <a:pt x="101777" y="88874"/>
                                </a:lnTo>
                                <a:lnTo>
                                  <a:pt x="101777" y="99364"/>
                                </a:lnTo>
                                <a:lnTo>
                                  <a:pt x="112522" y="99364"/>
                                </a:lnTo>
                                <a:lnTo>
                                  <a:pt x="112522" y="88874"/>
                                </a:lnTo>
                                <a:lnTo>
                                  <a:pt x="112522" y="65417"/>
                                </a:lnTo>
                                <a:lnTo>
                                  <a:pt x="112522" y="47371"/>
                                </a:lnTo>
                                <a:close/>
                              </a:path>
                              <a:path w="168275" h="100965">
                                <a:moveTo>
                                  <a:pt x="168160" y="31864"/>
                                </a:moveTo>
                                <a:lnTo>
                                  <a:pt x="166573" y="31394"/>
                                </a:lnTo>
                                <a:lnTo>
                                  <a:pt x="164693" y="31140"/>
                                </a:lnTo>
                                <a:lnTo>
                                  <a:pt x="158076" y="31076"/>
                                </a:lnTo>
                                <a:lnTo>
                                  <a:pt x="154457" y="32308"/>
                                </a:lnTo>
                                <a:lnTo>
                                  <a:pt x="148170" y="37249"/>
                                </a:lnTo>
                                <a:lnTo>
                                  <a:pt x="145821" y="40843"/>
                                </a:lnTo>
                                <a:lnTo>
                                  <a:pt x="144297" y="45567"/>
                                </a:lnTo>
                                <a:lnTo>
                                  <a:pt x="144030" y="45567"/>
                                </a:lnTo>
                                <a:lnTo>
                                  <a:pt x="144030" y="32258"/>
                                </a:lnTo>
                                <a:lnTo>
                                  <a:pt x="133286" y="32258"/>
                                </a:lnTo>
                                <a:lnTo>
                                  <a:pt x="133286" y="99364"/>
                                </a:lnTo>
                                <a:lnTo>
                                  <a:pt x="144030" y="99364"/>
                                </a:lnTo>
                                <a:lnTo>
                                  <a:pt x="144030" y="58166"/>
                                </a:lnTo>
                                <a:lnTo>
                                  <a:pt x="145605" y="52349"/>
                                </a:lnTo>
                                <a:lnTo>
                                  <a:pt x="151904" y="43040"/>
                                </a:lnTo>
                                <a:lnTo>
                                  <a:pt x="156197" y="40703"/>
                                </a:lnTo>
                                <a:lnTo>
                                  <a:pt x="163499" y="40767"/>
                                </a:lnTo>
                                <a:lnTo>
                                  <a:pt x="166382" y="41427"/>
                                </a:lnTo>
                                <a:lnTo>
                                  <a:pt x="168160" y="31864"/>
                                </a:lnTo>
                                <a:close/>
                              </a:path>
                            </a:pathLst>
                          </a:custGeom>
                          <a:solidFill>
                            <a:srgbClr val="231F20"/>
                          </a:solidFill>
                        </wps:spPr>
                        <wps:bodyPr wrap="square" lIns="0" tIns="0" rIns="0" bIns="0" rtlCol="0">
                          <a:prstTxWarp prst="textNoShape">
                            <a:avLst/>
                          </a:prstTxWarp>
                          <a:noAutofit/>
                        </wps:bodyPr>
                      </wps:wsp>
                      <pic:pic>
                        <pic:nvPicPr>
                          <pic:cNvPr id="290" name="Image 290"/>
                          <pic:cNvPicPr/>
                        </pic:nvPicPr>
                        <pic:blipFill>
                          <a:blip r:embed="rId87" cstate="print"/>
                          <a:stretch>
                            <a:fillRect/>
                          </a:stretch>
                        </pic:blipFill>
                        <pic:spPr>
                          <a:xfrm>
                            <a:off x="3064445" y="2150257"/>
                            <a:ext cx="308759" cy="112736"/>
                          </a:xfrm>
                          <a:prstGeom prst="rect">
                            <a:avLst/>
                          </a:prstGeom>
                        </pic:spPr>
                      </pic:pic>
                      <pic:pic>
                        <pic:nvPicPr>
                          <pic:cNvPr id="291" name="Image 291"/>
                          <pic:cNvPicPr/>
                        </pic:nvPicPr>
                        <pic:blipFill>
                          <a:blip r:embed="rId88" cstate="print"/>
                          <a:stretch>
                            <a:fillRect/>
                          </a:stretch>
                        </pic:blipFill>
                        <pic:spPr>
                          <a:xfrm>
                            <a:off x="3394896" y="2150788"/>
                            <a:ext cx="101258" cy="97194"/>
                          </a:xfrm>
                          <a:prstGeom prst="rect">
                            <a:avLst/>
                          </a:prstGeom>
                        </pic:spPr>
                      </pic:pic>
                      <pic:pic>
                        <pic:nvPicPr>
                          <pic:cNvPr id="292" name="Image 292"/>
                          <pic:cNvPicPr/>
                        </pic:nvPicPr>
                        <pic:blipFill>
                          <a:blip r:embed="rId89" cstate="print"/>
                          <a:stretch>
                            <a:fillRect/>
                          </a:stretch>
                        </pic:blipFill>
                        <pic:spPr>
                          <a:xfrm>
                            <a:off x="436759" y="2150789"/>
                            <a:ext cx="399849" cy="97193"/>
                          </a:xfrm>
                          <a:prstGeom prst="rect">
                            <a:avLst/>
                          </a:prstGeom>
                        </pic:spPr>
                      </pic:pic>
                      <pic:pic>
                        <pic:nvPicPr>
                          <pic:cNvPr id="293" name="Image 293"/>
                          <pic:cNvPicPr/>
                        </pic:nvPicPr>
                        <pic:blipFill>
                          <a:blip r:embed="rId90" cstate="print"/>
                          <a:stretch>
                            <a:fillRect/>
                          </a:stretch>
                        </pic:blipFill>
                        <pic:spPr>
                          <a:xfrm>
                            <a:off x="434327" y="190582"/>
                            <a:ext cx="1412307" cy="132910"/>
                          </a:xfrm>
                          <a:prstGeom prst="rect">
                            <a:avLst/>
                          </a:prstGeom>
                        </pic:spPr>
                      </pic:pic>
                    </wpg:wgp>
                  </a:graphicData>
                </a:graphic>
              </wp:anchor>
            </w:drawing>
          </mc:Choice>
          <mc:Fallback>
            <w:pict>
              <v:group style="position:absolute;margin-left:25.511999pt;margin-top:14.391734pt;width:349.15pt;height:189.65pt;mso-position-horizontal-relative:page;mso-position-vertical-relative:paragraph;z-index:15794688" id="docshapegroup209" coordorigin="510,288" coordsize="6983,3793">
                <v:rect style="position:absolute;left:510;top:287;width:6983;height:3793" id="docshape210" filled="true" fillcolor="#e0e2e2" stroked="false">
                  <v:fill type="solid"/>
                </v:rect>
                <v:shape style="position:absolute;left:993;top:993;width:6495;height:2544" id="docshape211" coordorigin="993,994" coordsize="6495,2544" path="m7488,3082l993,3082,993,3537,7488,3537,7488,3082xm7488,2196l993,2196,993,2651,7488,2651,7488,2196xm7488,994l993,994,993,1449,7488,1449,7488,994xe" filled="true" fillcolor="#ffffff" stroked="false">
                  <v:path arrowok="t"/>
                  <v:fill type="solid"/>
                </v:shape>
                <v:shape style="position:absolute;left:5325;top:597;width:396;height:153" type="#_x0000_t75" id="docshape212" stroked="false">
                  <v:imagedata r:id="rId74" o:title=""/>
                </v:shape>
                <v:shape style="position:absolute;left:5805;top:590;width:294;height:191" type="#_x0000_t75" id="docshape213" stroked="false">
                  <v:imagedata r:id="rId75" o:title=""/>
                </v:shape>
                <v:shape style="position:absolute;left:6130;top:591;width:83;height:157" id="docshape214" coordorigin="6130,591" coordsize="83,157" path="m6155,591l6130,591,6130,748,6155,748,6155,591xm6212,591l6188,591,6188,748,6212,748,6212,591xe" filled="true" fillcolor="#231f20" stroked="false">
                  <v:path arrowok="t"/>
                  <v:fill type="solid"/>
                </v:shape>
                <v:shape style="position:absolute;left:6242;top:590;width:361;height:191" type="#_x0000_t75" id="docshape215" stroked="false">
                  <v:imagedata r:id="rId76" o:title=""/>
                </v:shape>
                <v:shape style="position:absolute;left:5329;top:1145;width:488;height:153" type="#_x0000_t75" id="docshape216" stroked="false">
                  <v:imagedata r:id="rId77" o:title=""/>
                </v:shape>
                <v:shape style="position:absolute;left:1213;top:1139;width:3006;height:159" type="#_x0000_t75" id="docshape217" stroked="false">
                  <v:imagedata r:id="rId78" o:title=""/>
                </v:shape>
                <v:shape style="position:absolute;left:5329;top:1724;width:487;height:154" type="#_x0000_t75" id="docshape218" stroked="false">
                  <v:imagedata r:id="rId79" o:title=""/>
                </v:shape>
                <v:shape style="position:absolute;left:1207;top:1587;width:2118;height:463" type="#_x0000_t75" id="docshape219" stroked="false">
                  <v:imagedata r:id="rId80" o:title=""/>
                </v:shape>
                <v:shape style="position:absolute;left:5326;top:2343;width:617;height:179" type="#_x0000_t75" id="docshape220" stroked="false">
                  <v:imagedata r:id="rId81" o:title=""/>
                </v:shape>
                <v:shape style="position:absolute;left:1213;top:2336;width:2373;height:209" type="#_x0000_t75" id="docshape221" stroked="false">
                  <v:imagedata r:id="rId82" o:title=""/>
                </v:shape>
                <v:shape style="position:absolute;left:5326;top:2826;width:53;height:152" id="docshape222" coordorigin="5327,2827" coordsize="53,152" path="m5379,2827l5373,2827,5368,2832,5361,2836,5343,2846,5335,2849,5327,2851,5332,2866,5362,2851,5362,2978,5379,2978,5379,2827xe" filled="true" fillcolor="#231f20" stroked="false">
                  <v:path arrowok="t"/>
                  <v:fill type="solid"/>
                </v:shape>
                <v:shape style="position:absolute;left:5415;top:2827;width:258;height:154" type="#_x0000_t75" id="docshape223" stroked="false">
                  <v:imagedata r:id="rId83" o:title=""/>
                </v:shape>
                <v:shape style="position:absolute;left:1203;top:2819;width:3224;height:209" type="#_x0000_t75" id="docshape224" stroked="false">
                  <v:imagedata r:id="rId84" o:title=""/>
                </v:shape>
                <v:shape style="position:absolute;left:5334;top:3246;width:483;height:154" type="#_x0000_t75" id="docshape225" stroked="false">
                  <v:imagedata r:id="rId85" o:title=""/>
                </v:shape>
                <v:shape style="position:absolute;left:1213;top:3237;width:1960;height:162" type="#_x0000_t75" id="docshape226" stroked="false">
                  <v:imagedata r:id="rId86" o:title=""/>
                </v:shape>
                <v:shape style="position:absolute;left:3199;top:3240;width:265;height:159" id="docshape227" coordorigin="3200,3240" coordsize="265,159" path="m3217,3240l3200,3240,3200,3397,3217,3397,3217,3240xm3268,3240l3251,3240,3251,3397,3268,3397,3268,3240xm3377,3315l3374,3305,3372,3303,3361,3292,3351,3288,3330,3288,3323,3290,3309,3295,3303,3299,3297,3305,3307,3315,3312,3311,3316,3308,3327,3304,3332,3303,3344,3303,3350,3305,3358,3312,3360,3318,3360,3330,3360,3343,3360,3363,3357,3370,3347,3382,3339,3385,3325,3385,3320,3384,3313,3377,3311,3372,3311,3360,3313,3355,3321,3350,3327,3348,3360,3343,3360,3330,3330,3334,3319,3335,3310,3339,3297,3351,3294,3358,3294,3377,3297,3385,3310,3396,3318,3399,3335,3399,3341,3398,3351,3391,3356,3386,3357,3385,3360,3380,3360,3380,3360,3397,3377,3397,3377,3380,3377,3343,3377,3315xm3465,3290l3462,3290,3459,3289,3449,3289,3443,3291,3433,3299,3429,3304,3427,3312,3427,3312,3427,3291,3410,3291,3410,3397,3427,3397,3427,3332,3429,3323,3439,3308,3446,3304,3457,3304,3462,3305,3465,3290xe" filled="true" fillcolor="#231f20" stroked="false">
                  <v:path arrowok="t"/>
                  <v:fill type="solid"/>
                </v:shape>
                <v:shape style="position:absolute;left:5336;top:3674;width:487;height:178" type="#_x0000_t75" id="docshape228" stroked="false">
                  <v:imagedata r:id="rId87" o:title=""/>
                </v:shape>
                <v:shape style="position:absolute;left:5856;top:3674;width:160;height:154" type="#_x0000_t75" id="docshape229" stroked="false">
                  <v:imagedata r:id="rId88" o:title=""/>
                </v:shape>
                <v:shape style="position:absolute;left:1198;top:3674;width:630;height:154" type="#_x0000_t75" id="docshape230" stroked="false">
                  <v:imagedata r:id="rId89" o:title=""/>
                </v:shape>
                <v:shape style="position:absolute;left:1194;top:587;width:2225;height:210" type="#_x0000_t75" id="docshape231" stroked="false">
                  <v:imagedata r:id="rId90" o:title=""/>
                </v:shape>
                <w10:wrap type="none"/>
              </v:group>
            </w:pict>
          </mc:Fallback>
        </mc:AlternateContent>
      </w:r>
      <w:r>
        <w:rPr>
          <w:color w:val="231F20"/>
        </w:rPr>
        <w:t>foreign</w:t>
      </w:r>
      <w:r>
        <w:rPr>
          <w:color w:val="231F20"/>
          <w:spacing w:val="-6"/>
        </w:rPr>
        <w:t> </w:t>
      </w:r>
      <w:r>
        <w:rPr>
          <w:color w:val="231F20"/>
        </w:rPr>
        <w:t>firms,</w:t>
      </w:r>
      <w:r>
        <w:rPr>
          <w:color w:val="231F20"/>
          <w:spacing w:val="-6"/>
        </w:rPr>
        <w:t> </w:t>
      </w:r>
      <w:r>
        <w:rPr>
          <w:color w:val="231F20"/>
        </w:rPr>
        <w:t>because</w:t>
      </w:r>
      <w:r>
        <w:rPr>
          <w:color w:val="231F20"/>
          <w:spacing w:val="-6"/>
        </w:rPr>
        <w:t> </w:t>
      </w:r>
      <w:r>
        <w:rPr>
          <w:color w:val="231F20"/>
        </w:rPr>
        <w:t>of alleged breaches of </w:t>
      </w:r>
      <w:r>
        <w:rPr>
          <w:color w:val="231F20"/>
        </w:rPr>
        <w:t>the </w:t>
      </w:r>
      <w:r>
        <w:rPr>
          <w:color w:val="231F20"/>
          <w:spacing w:val="-2"/>
        </w:rPr>
        <w:t>blockade.</w:t>
      </w:r>
    </w:p>
    <w:p>
      <w:pPr>
        <w:pStyle w:val="BodyText"/>
        <w:spacing w:before="162"/>
        <w:ind w:left="2201" w:right="1476"/>
      </w:pPr>
      <w:r>
        <w:rPr>
          <w:color w:val="231F20"/>
        </w:rPr>
        <w:t>The results </w:t>
      </w:r>
      <w:r>
        <w:rPr>
          <w:color w:val="231F20"/>
        </w:rPr>
        <w:t>include substantial losses from fluctuations in exchange rates against the dollar of the currencies of the </w:t>
      </w:r>
      <w:r>
        <w:rPr>
          <w:color w:val="231F20"/>
          <w:spacing w:val="-6"/>
        </w:rPr>
        <w:t>third</w:t>
      </w:r>
      <w:r>
        <w:rPr>
          <w:color w:val="231F20"/>
          <w:spacing w:val="-11"/>
        </w:rPr>
        <w:t> </w:t>
      </w:r>
      <w:r>
        <w:rPr>
          <w:color w:val="231F20"/>
          <w:spacing w:val="-6"/>
        </w:rPr>
        <w:t>countries</w:t>
      </w:r>
      <w:r>
        <w:rPr>
          <w:color w:val="231F20"/>
          <w:spacing w:val="-10"/>
        </w:rPr>
        <w:t> </w:t>
      </w:r>
      <w:r>
        <w:rPr>
          <w:color w:val="231F20"/>
          <w:spacing w:val="-6"/>
        </w:rPr>
        <w:t>concerned, </w:t>
      </w:r>
      <w:r>
        <w:rPr>
          <w:color w:val="231F20"/>
        </w:rPr>
        <w:t>compounded by excess transaction costs.</w:t>
      </w:r>
    </w:p>
    <w:p>
      <w:pPr>
        <w:spacing w:after="0"/>
        <w:sectPr>
          <w:pgSz w:w="11910" w:h="16840"/>
          <w:pgMar w:header="0" w:footer="695" w:top="1260" w:bottom="880" w:left="0" w:right="0"/>
          <w:cols w:num="2" w:equalWidth="0">
            <w:col w:w="5556" w:space="40"/>
            <w:col w:w="6314"/>
          </w:cols>
        </w:sectPr>
      </w:pPr>
    </w:p>
    <w:p>
      <w:pPr>
        <w:pStyle w:val="BodyText"/>
        <w:spacing w:before="77"/>
        <w:ind w:left="1474"/>
      </w:pPr>
      <w:r>
        <w:rPr>
          <w:color w:val="231F20"/>
        </w:rPr>
        <w:t>The inclusion of Cuba on the unilateral</w:t>
      </w:r>
      <w:r>
        <w:rPr>
          <w:color w:val="231F20"/>
          <w:spacing w:val="40"/>
        </w:rPr>
        <w:t> </w:t>
      </w:r>
      <w:r>
        <w:rPr>
          <w:color w:val="231F20"/>
        </w:rPr>
        <w:t>list of state sponsors of terrorism has</w:t>
      </w:r>
      <w:r>
        <w:rPr>
          <w:color w:val="231F20"/>
          <w:spacing w:val="80"/>
          <w:w w:val="150"/>
        </w:rPr>
        <w:t> </w:t>
      </w:r>
      <w:r>
        <w:rPr>
          <w:color w:val="231F20"/>
        </w:rPr>
        <w:t>had devastating effects in the </w:t>
      </w:r>
      <w:r>
        <w:rPr>
          <w:color w:val="231F20"/>
        </w:rPr>
        <w:t>banking/ financial sector.</w:t>
      </w:r>
    </w:p>
    <w:p>
      <w:pPr>
        <w:pStyle w:val="BodyText"/>
        <w:spacing w:before="163"/>
        <w:ind w:left="1474" w:right="5"/>
      </w:pPr>
      <w:r>
        <w:rPr>
          <w:color w:val="231F20"/>
          <w:spacing w:val="-8"/>
        </w:rPr>
        <w:t>Washington’s</w:t>
      </w:r>
      <w:r>
        <w:rPr>
          <w:color w:val="231F20"/>
          <w:spacing w:val="-9"/>
        </w:rPr>
        <w:t> </w:t>
      </w:r>
      <w:r>
        <w:rPr>
          <w:color w:val="231F20"/>
          <w:spacing w:val="-8"/>
        </w:rPr>
        <w:t>policy of</w:t>
      </w:r>
      <w:r>
        <w:rPr>
          <w:color w:val="231F20"/>
          <w:spacing w:val="-9"/>
        </w:rPr>
        <w:t> </w:t>
      </w:r>
      <w:r>
        <w:rPr>
          <w:color w:val="231F20"/>
          <w:spacing w:val="-8"/>
        </w:rPr>
        <w:t>pressure, intimidation </w:t>
      </w:r>
      <w:r>
        <w:rPr>
          <w:color w:val="231F20"/>
        </w:rPr>
        <w:t>and deterrence aimed at international financial institutions has resulted in the introduction of new measures to hamper </w:t>
      </w:r>
      <w:r>
        <w:rPr>
          <w:color w:val="231F20"/>
          <w:spacing w:val="-10"/>
        </w:rPr>
        <w:t>Cuba’s</w:t>
      </w:r>
      <w:r>
        <w:rPr>
          <w:color w:val="231F20"/>
        </w:rPr>
        <w:t> </w:t>
      </w:r>
      <w:r>
        <w:rPr>
          <w:color w:val="231F20"/>
          <w:spacing w:val="-10"/>
        </w:rPr>
        <w:t>banking</w:t>
      </w:r>
      <w:r>
        <w:rPr>
          <w:color w:val="231F20"/>
        </w:rPr>
        <w:t> </w:t>
      </w:r>
      <w:r>
        <w:rPr>
          <w:color w:val="231F20"/>
          <w:spacing w:val="-10"/>
        </w:rPr>
        <w:t>operations.</w:t>
      </w:r>
      <w:r>
        <w:rPr>
          <w:color w:val="231F20"/>
        </w:rPr>
        <w:t> </w:t>
      </w:r>
      <w:r>
        <w:rPr>
          <w:color w:val="231F20"/>
          <w:spacing w:val="-10"/>
        </w:rPr>
        <w:t>Examples</w:t>
      </w:r>
      <w:r>
        <w:rPr>
          <w:color w:val="231F20"/>
        </w:rPr>
        <w:t> </w:t>
      </w:r>
      <w:r>
        <w:rPr>
          <w:color w:val="231F20"/>
          <w:spacing w:val="-10"/>
        </w:rPr>
        <w:t>include </w:t>
      </w:r>
      <w:r>
        <w:rPr>
          <w:color w:val="231F20"/>
        </w:rPr>
        <w:t>the</w:t>
      </w:r>
      <w:r>
        <w:rPr>
          <w:color w:val="231F20"/>
          <w:spacing w:val="-4"/>
        </w:rPr>
        <w:t> </w:t>
      </w:r>
      <w:r>
        <w:rPr>
          <w:color w:val="231F20"/>
        </w:rPr>
        <w:t>need</w:t>
      </w:r>
      <w:r>
        <w:rPr>
          <w:color w:val="231F20"/>
          <w:spacing w:val="-4"/>
        </w:rPr>
        <w:t> </w:t>
      </w:r>
      <w:r>
        <w:rPr>
          <w:color w:val="231F20"/>
        </w:rPr>
        <w:t>for</w:t>
      </w:r>
      <w:r>
        <w:rPr>
          <w:color w:val="231F20"/>
          <w:spacing w:val="-4"/>
        </w:rPr>
        <w:t> </w:t>
      </w:r>
      <w:r>
        <w:rPr>
          <w:color w:val="231F20"/>
        </w:rPr>
        <w:t>additional</w:t>
      </w:r>
      <w:r>
        <w:rPr>
          <w:color w:val="231F20"/>
          <w:spacing w:val="-4"/>
        </w:rPr>
        <w:t> </w:t>
      </w:r>
      <w:r>
        <w:rPr>
          <w:color w:val="231F20"/>
        </w:rPr>
        <w:t>documentation</w:t>
      </w:r>
      <w:r>
        <w:rPr>
          <w:color w:val="231F20"/>
          <w:spacing w:val="-4"/>
        </w:rPr>
        <w:t> </w:t>
      </w:r>
      <w:r>
        <w:rPr>
          <w:color w:val="231F20"/>
        </w:rPr>
        <w:t>to support transactions, causing delays and </w:t>
      </w:r>
      <w:r>
        <w:rPr>
          <w:color w:val="231F20"/>
          <w:spacing w:val="-4"/>
        </w:rPr>
        <w:t>constraining</w:t>
      </w:r>
      <w:r>
        <w:rPr>
          <w:color w:val="231F20"/>
          <w:spacing w:val="-10"/>
        </w:rPr>
        <w:t> </w:t>
      </w:r>
      <w:r>
        <w:rPr>
          <w:color w:val="231F20"/>
          <w:spacing w:val="-4"/>
        </w:rPr>
        <w:t>payments</w:t>
      </w:r>
      <w:r>
        <w:rPr>
          <w:color w:val="231F20"/>
          <w:spacing w:val="-11"/>
        </w:rPr>
        <w:t> </w:t>
      </w:r>
      <w:r>
        <w:rPr>
          <w:color w:val="231F20"/>
          <w:spacing w:val="-4"/>
        </w:rPr>
        <w:t>to</w:t>
      </w:r>
      <w:r>
        <w:rPr>
          <w:color w:val="231F20"/>
          <w:spacing w:val="-10"/>
        </w:rPr>
        <w:t> </w:t>
      </w:r>
      <w:r>
        <w:rPr>
          <w:color w:val="231F20"/>
          <w:spacing w:val="-4"/>
        </w:rPr>
        <w:t>suppliers</w:t>
      </w:r>
      <w:r>
        <w:rPr>
          <w:color w:val="231F20"/>
          <w:spacing w:val="-11"/>
        </w:rPr>
        <w:t> </w:t>
      </w:r>
      <w:r>
        <w:rPr>
          <w:color w:val="231F20"/>
          <w:spacing w:val="-4"/>
        </w:rPr>
        <w:t>and</w:t>
      </w:r>
      <w:r>
        <w:rPr>
          <w:color w:val="231F20"/>
          <w:spacing w:val="-10"/>
        </w:rPr>
        <w:t> </w:t>
      </w:r>
      <w:r>
        <w:rPr>
          <w:color w:val="231F20"/>
          <w:spacing w:val="-4"/>
        </w:rPr>
        <w:t>the </w:t>
      </w:r>
      <w:r>
        <w:rPr>
          <w:color w:val="231F20"/>
        </w:rPr>
        <w:t>receipt</w:t>
      </w:r>
      <w:r>
        <w:rPr>
          <w:color w:val="231F20"/>
          <w:spacing w:val="-17"/>
        </w:rPr>
        <w:t> </w:t>
      </w:r>
      <w:r>
        <w:rPr>
          <w:color w:val="231F20"/>
        </w:rPr>
        <w:t>of</w:t>
      </w:r>
      <w:r>
        <w:rPr>
          <w:color w:val="231F20"/>
          <w:spacing w:val="-16"/>
        </w:rPr>
        <w:t> </w:t>
      </w:r>
      <w:r>
        <w:rPr>
          <w:color w:val="231F20"/>
        </w:rPr>
        <w:t>foreign</w:t>
      </w:r>
      <w:r>
        <w:rPr>
          <w:color w:val="231F20"/>
          <w:spacing w:val="-17"/>
        </w:rPr>
        <w:t> </w:t>
      </w:r>
      <w:r>
        <w:rPr>
          <w:color w:val="231F20"/>
        </w:rPr>
        <w:t>revenues.</w:t>
      </w:r>
    </w:p>
    <w:p>
      <w:pPr>
        <w:pStyle w:val="BodyText"/>
        <w:spacing w:before="167"/>
        <w:ind w:left="1474" w:right="2"/>
      </w:pPr>
      <w:r>
        <w:rPr>
          <w:color w:val="231F20"/>
        </w:rPr>
        <w:t>Compliance requirements relating to the </w:t>
      </w:r>
      <w:r>
        <w:rPr>
          <w:color w:val="231F20"/>
          <w:spacing w:val="-10"/>
        </w:rPr>
        <w:t>processing</w:t>
      </w:r>
      <w:r>
        <w:rPr>
          <w:color w:val="231F20"/>
          <w:spacing w:val="-2"/>
        </w:rPr>
        <w:t> </w:t>
      </w:r>
      <w:r>
        <w:rPr>
          <w:color w:val="231F20"/>
          <w:spacing w:val="-10"/>
        </w:rPr>
        <w:t>of</w:t>
      </w:r>
      <w:r>
        <w:rPr>
          <w:color w:val="231F20"/>
          <w:spacing w:val="-2"/>
        </w:rPr>
        <w:t> </w:t>
      </w:r>
      <w:r>
        <w:rPr>
          <w:color w:val="231F20"/>
          <w:spacing w:val="-10"/>
        </w:rPr>
        <w:t>banking</w:t>
      </w:r>
      <w:r>
        <w:rPr>
          <w:color w:val="231F20"/>
          <w:spacing w:val="-2"/>
        </w:rPr>
        <w:t> </w:t>
      </w:r>
      <w:r>
        <w:rPr>
          <w:color w:val="231F20"/>
          <w:spacing w:val="-10"/>
        </w:rPr>
        <w:t>operations</w:t>
      </w:r>
      <w:r>
        <w:rPr>
          <w:color w:val="231F20"/>
          <w:spacing w:val="-2"/>
        </w:rPr>
        <w:t> </w:t>
      </w:r>
      <w:r>
        <w:rPr>
          <w:color w:val="231F20"/>
          <w:spacing w:val="-10"/>
        </w:rPr>
        <w:t>among</w:t>
      </w:r>
      <w:r>
        <w:rPr>
          <w:color w:val="231F20"/>
          <w:spacing w:val="-2"/>
        </w:rPr>
        <w:t> </w:t>
      </w:r>
      <w:r>
        <w:rPr>
          <w:color w:val="231F20"/>
          <w:spacing w:val="-10"/>
        </w:rPr>
        <w:t>the </w:t>
      </w:r>
      <w:r>
        <w:rPr>
          <w:color w:val="231F20"/>
          <w:spacing w:val="-4"/>
        </w:rPr>
        <w:t>correspondent</w:t>
      </w:r>
      <w:r>
        <w:rPr>
          <w:color w:val="231F20"/>
          <w:spacing w:val="-13"/>
        </w:rPr>
        <w:t> </w:t>
      </w:r>
      <w:r>
        <w:rPr>
          <w:color w:val="231F20"/>
          <w:spacing w:val="-4"/>
        </w:rPr>
        <w:t>banks</w:t>
      </w:r>
      <w:r>
        <w:rPr>
          <w:color w:val="231F20"/>
          <w:spacing w:val="-12"/>
        </w:rPr>
        <w:t> </w:t>
      </w:r>
      <w:r>
        <w:rPr>
          <w:color w:val="231F20"/>
          <w:spacing w:val="-4"/>
        </w:rPr>
        <w:t>have</w:t>
      </w:r>
      <w:r>
        <w:rPr>
          <w:color w:val="231F20"/>
          <w:spacing w:val="-13"/>
        </w:rPr>
        <w:t> </w:t>
      </w:r>
      <w:r>
        <w:rPr>
          <w:color w:val="231F20"/>
          <w:spacing w:val="-4"/>
        </w:rPr>
        <w:t>mushroomed,</w:t>
      </w:r>
      <w:r>
        <w:rPr>
          <w:color w:val="231F20"/>
          <w:spacing w:val="-12"/>
        </w:rPr>
        <w:t> </w:t>
      </w:r>
      <w:r>
        <w:rPr>
          <w:color w:val="231F20"/>
          <w:spacing w:val="-4"/>
        </w:rPr>
        <w:t>in </w:t>
      </w:r>
      <w:r>
        <w:rPr>
          <w:color w:val="231F20"/>
        </w:rPr>
        <w:t>terms</w:t>
      </w:r>
      <w:r>
        <w:rPr>
          <w:color w:val="231F20"/>
          <w:spacing w:val="-6"/>
        </w:rPr>
        <w:t> </w:t>
      </w:r>
      <w:r>
        <w:rPr>
          <w:color w:val="231F20"/>
        </w:rPr>
        <w:t>of</w:t>
      </w:r>
      <w:r>
        <w:rPr>
          <w:color w:val="231F20"/>
          <w:spacing w:val="-6"/>
        </w:rPr>
        <w:t> </w:t>
      </w:r>
      <w:r>
        <w:rPr>
          <w:color w:val="231F20"/>
        </w:rPr>
        <w:t>information</w:t>
      </w:r>
      <w:r>
        <w:rPr>
          <w:color w:val="231F20"/>
          <w:spacing w:val="-6"/>
        </w:rPr>
        <w:t> </w:t>
      </w:r>
      <w:r>
        <w:rPr>
          <w:color w:val="231F20"/>
        </w:rPr>
        <w:t>disclosure</w:t>
      </w:r>
      <w:r>
        <w:rPr>
          <w:color w:val="231F20"/>
          <w:spacing w:val="-6"/>
        </w:rPr>
        <w:t> </w:t>
      </w:r>
      <w:r>
        <w:rPr>
          <w:color w:val="231F20"/>
        </w:rPr>
        <w:t>regarding </w:t>
      </w:r>
      <w:r>
        <w:rPr>
          <w:color w:val="231F20"/>
          <w:spacing w:val="-6"/>
        </w:rPr>
        <w:t>customer</w:t>
      </w:r>
      <w:r>
        <w:rPr>
          <w:color w:val="231F20"/>
          <w:spacing w:val="-7"/>
        </w:rPr>
        <w:t> </w:t>
      </w:r>
      <w:r>
        <w:rPr>
          <w:color w:val="231F20"/>
          <w:spacing w:val="-6"/>
        </w:rPr>
        <w:t>transactions.</w:t>
      </w:r>
      <w:r>
        <w:rPr>
          <w:color w:val="231F20"/>
          <w:spacing w:val="-7"/>
        </w:rPr>
        <w:t> </w:t>
      </w:r>
      <w:r>
        <w:rPr>
          <w:color w:val="231F20"/>
          <w:spacing w:val="-6"/>
        </w:rPr>
        <w:t>These</w:t>
      </w:r>
      <w:r>
        <w:rPr>
          <w:color w:val="231F20"/>
          <w:spacing w:val="-7"/>
        </w:rPr>
        <w:t> </w:t>
      </w:r>
      <w:r>
        <w:rPr>
          <w:color w:val="231F20"/>
          <w:spacing w:val="-6"/>
        </w:rPr>
        <w:t>apply</w:t>
      </w:r>
      <w:r>
        <w:rPr>
          <w:color w:val="231F20"/>
          <w:spacing w:val="-7"/>
        </w:rPr>
        <w:t> </w:t>
      </w:r>
      <w:r>
        <w:rPr>
          <w:color w:val="231F20"/>
          <w:spacing w:val="-6"/>
        </w:rPr>
        <w:t>not</w:t>
      </w:r>
      <w:r>
        <w:rPr>
          <w:color w:val="231F20"/>
          <w:spacing w:val="-7"/>
        </w:rPr>
        <w:t> </w:t>
      </w:r>
      <w:r>
        <w:rPr>
          <w:color w:val="231F20"/>
          <w:spacing w:val="-6"/>
        </w:rPr>
        <w:t>only to</w:t>
      </w:r>
      <w:r>
        <w:rPr>
          <w:color w:val="231F20"/>
          <w:spacing w:val="-9"/>
        </w:rPr>
        <w:t> </w:t>
      </w:r>
      <w:r>
        <w:rPr>
          <w:color w:val="231F20"/>
          <w:spacing w:val="-6"/>
        </w:rPr>
        <w:t>the</w:t>
      </w:r>
      <w:r>
        <w:rPr>
          <w:color w:val="231F20"/>
          <w:spacing w:val="-9"/>
        </w:rPr>
        <w:t> </w:t>
      </w:r>
      <w:r>
        <w:rPr>
          <w:color w:val="231F20"/>
          <w:spacing w:val="-6"/>
        </w:rPr>
        <w:t>correspondent</w:t>
      </w:r>
      <w:r>
        <w:rPr>
          <w:color w:val="231F20"/>
          <w:spacing w:val="-9"/>
        </w:rPr>
        <w:t> </w:t>
      </w:r>
      <w:r>
        <w:rPr>
          <w:color w:val="231F20"/>
          <w:spacing w:val="-6"/>
        </w:rPr>
        <w:t>banks</w:t>
      </w:r>
      <w:r>
        <w:rPr>
          <w:color w:val="231F20"/>
          <w:spacing w:val="-9"/>
        </w:rPr>
        <w:t> </w:t>
      </w:r>
      <w:r>
        <w:rPr>
          <w:color w:val="231F20"/>
          <w:spacing w:val="-6"/>
        </w:rPr>
        <w:t>themselves,</w:t>
      </w:r>
      <w:r>
        <w:rPr>
          <w:color w:val="231F20"/>
          <w:spacing w:val="-9"/>
        </w:rPr>
        <w:t> </w:t>
      </w:r>
      <w:r>
        <w:rPr>
          <w:color w:val="231F20"/>
          <w:spacing w:val="-6"/>
        </w:rPr>
        <w:t>but </w:t>
      </w:r>
      <w:r>
        <w:rPr>
          <w:color w:val="231F20"/>
          <w:spacing w:val="-4"/>
        </w:rPr>
        <w:t>also</w:t>
      </w:r>
      <w:r>
        <w:rPr>
          <w:color w:val="231F20"/>
          <w:spacing w:val="-13"/>
        </w:rPr>
        <w:t> </w:t>
      </w:r>
      <w:r>
        <w:rPr>
          <w:color w:val="231F20"/>
          <w:spacing w:val="-4"/>
        </w:rPr>
        <w:t>to</w:t>
      </w:r>
      <w:r>
        <w:rPr>
          <w:color w:val="231F20"/>
          <w:spacing w:val="-12"/>
        </w:rPr>
        <w:t> </w:t>
      </w:r>
      <w:r>
        <w:rPr>
          <w:color w:val="231F20"/>
          <w:spacing w:val="-4"/>
        </w:rPr>
        <w:t>the</w:t>
      </w:r>
      <w:r>
        <w:rPr>
          <w:color w:val="231F20"/>
          <w:spacing w:val="-13"/>
        </w:rPr>
        <w:t> </w:t>
      </w:r>
      <w:r>
        <w:rPr>
          <w:color w:val="231F20"/>
          <w:spacing w:val="-4"/>
        </w:rPr>
        <w:t>intermediate</w:t>
      </w:r>
      <w:r>
        <w:rPr>
          <w:color w:val="231F20"/>
          <w:spacing w:val="-12"/>
        </w:rPr>
        <w:t> </w:t>
      </w:r>
      <w:r>
        <w:rPr>
          <w:color w:val="231F20"/>
          <w:spacing w:val="-4"/>
        </w:rPr>
        <w:t>banks</w:t>
      </w:r>
      <w:r>
        <w:rPr>
          <w:color w:val="231F20"/>
          <w:spacing w:val="-13"/>
        </w:rPr>
        <w:t> </w:t>
      </w:r>
      <w:r>
        <w:rPr>
          <w:color w:val="231F20"/>
          <w:spacing w:val="-4"/>
        </w:rPr>
        <w:t>they</w:t>
      </w:r>
      <w:r>
        <w:rPr>
          <w:color w:val="231F20"/>
          <w:spacing w:val="-12"/>
        </w:rPr>
        <w:t> </w:t>
      </w:r>
      <w:r>
        <w:rPr>
          <w:color w:val="231F20"/>
          <w:spacing w:val="-4"/>
        </w:rPr>
        <w:t>use</w:t>
      </w:r>
      <w:r>
        <w:rPr>
          <w:color w:val="231F20"/>
          <w:spacing w:val="-13"/>
        </w:rPr>
        <w:t> </w:t>
      </w:r>
      <w:r>
        <w:rPr>
          <w:color w:val="231F20"/>
          <w:spacing w:val="-4"/>
        </w:rPr>
        <w:t>and </w:t>
      </w:r>
      <w:r>
        <w:rPr>
          <w:color w:val="231F20"/>
        </w:rPr>
        <w:t>the beneficiary banks.</w:t>
      </w:r>
    </w:p>
    <w:p>
      <w:pPr>
        <w:pStyle w:val="BodyText"/>
        <w:spacing w:before="166"/>
        <w:ind w:left="1474"/>
      </w:pPr>
      <w:r>
        <w:rPr>
          <w:color w:val="231F20"/>
        </w:rPr>
        <w:t>The intensification of the extraterritorial application</w:t>
      </w:r>
      <w:r>
        <w:rPr>
          <w:color w:val="231F20"/>
          <w:spacing w:val="-17"/>
        </w:rPr>
        <w:t> </w:t>
      </w:r>
      <w:r>
        <w:rPr>
          <w:color w:val="231F20"/>
        </w:rPr>
        <w:t>of</w:t>
      </w:r>
      <w:r>
        <w:rPr>
          <w:color w:val="231F20"/>
          <w:spacing w:val="-16"/>
        </w:rPr>
        <w:t> </w:t>
      </w:r>
      <w:r>
        <w:rPr>
          <w:color w:val="231F20"/>
        </w:rPr>
        <w:t>the</w:t>
      </w:r>
      <w:r>
        <w:rPr>
          <w:color w:val="231F20"/>
          <w:spacing w:val="-17"/>
        </w:rPr>
        <w:t> </w:t>
      </w:r>
      <w:r>
        <w:rPr>
          <w:color w:val="231F20"/>
        </w:rPr>
        <w:t>blockade</w:t>
      </w:r>
      <w:r>
        <w:rPr>
          <w:color w:val="231F20"/>
          <w:spacing w:val="-16"/>
        </w:rPr>
        <w:t> </w:t>
      </w:r>
      <w:r>
        <w:rPr>
          <w:color w:val="231F20"/>
        </w:rPr>
        <w:t>in</w:t>
      </w:r>
      <w:r>
        <w:rPr>
          <w:color w:val="231F20"/>
          <w:spacing w:val="-17"/>
        </w:rPr>
        <w:t> </w:t>
      </w:r>
      <w:r>
        <w:rPr>
          <w:color w:val="231F20"/>
        </w:rPr>
        <w:t>the</w:t>
      </w:r>
      <w:r>
        <w:rPr>
          <w:color w:val="231F20"/>
          <w:spacing w:val="-16"/>
        </w:rPr>
        <w:t> </w:t>
      </w:r>
      <w:r>
        <w:rPr>
          <w:color w:val="231F20"/>
        </w:rPr>
        <w:t>financial sphere</w:t>
      </w:r>
      <w:r>
        <w:rPr>
          <w:color w:val="231F20"/>
          <w:spacing w:val="-9"/>
        </w:rPr>
        <w:t> </w:t>
      </w:r>
      <w:r>
        <w:rPr>
          <w:color w:val="231F20"/>
        </w:rPr>
        <w:t>also</w:t>
      </w:r>
      <w:r>
        <w:rPr>
          <w:color w:val="231F20"/>
          <w:spacing w:val="-9"/>
        </w:rPr>
        <w:t> </w:t>
      </w:r>
      <w:r>
        <w:rPr>
          <w:color w:val="231F20"/>
        </w:rPr>
        <w:t>affects</w:t>
      </w:r>
      <w:r>
        <w:rPr>
          <w:color w:val="231F20"/>
          <w:spacing w:val="-9"/>
        </w:rPr>
        <w:t> </w:t>
      </w:r>
      <w:r>
        <w:rPr>
          <w:color w:val="231F20"/>
        </w:rPr>
        <w:t>individuals.</w:t>
      </w:r>
      <w:r>
        <w:rPr>
          <w:color w:val="231F20"/>
          <w:spacing w:val="-9"/>
        </w:rPr>
        <w:t> </w:t>
      </w:r>
      <w:r>
        <w:rPr>
          <w:color w:val="231F20"/>
        </w:rPr>
        <w:t>There</w:t>
      </w:r>
      <w:r>
        <w:rPr>
          <w:color w:val="231F20"/>
          <w:spacing w:val="-9"/>
        </w:rPr>
        <w:t> </w:t>
      </w:r>
      <w:r>
        <w:rPr>
          <w:color w:val="231F20"/>
        </w:rPr>
        <w:t>have been numerous reports from Cubans </w:t>
      </w:r>
      <w:r>
        <w:rPr>
          <w:color w:val="231F20"/>
          <w:spacing w:val="-2"/>
        </w:rPr>
        <w:t>resident</w:t>
      </w:r>
      <w:r>
        <w:rPr>
          <w:color w:val="231F20"/>
          <w:spacing w:val="-13"/>
        </w:rPr>
        <w:t> </w:t>
      </w:r>
      <w:r>
        <w:rPr>
          <w:color w:val="231F20"/>
          <w:spacing w:val="-2"/>
        </w:rPr>
        <w:t>abroad</w:t>
      </w:r>
      <w:r>
        <w:rPr>
          <w:color w:val="231F20"/>
          <w:spacing w:val="-13"/>
        </w:rPr>
        <w:t> </w:t>
      </w:r>
      <w:r>
        <w:rPr>
          <w:color w:val="231F20"/>
          <w:spacing w:val="-2"/>
        </w:rPr>
        <w:t>of</w:t>
      </w:r>
      <w:r>
        <w:rPr>
          <w:color w:val="231F20"/>
          <w:spacing w:val="-13"/>
        </w:rPr>
        <w:t> </w:t>
      </w:r>
      <w:r>
        <w:rPr>
          <w:color w:val="231F20"/>
          <w:spacing w:val="-2"/>
        </w:rPr>
        <w:t>banks</w:t>
      </w:r>
      <w:r>
        <w:rPr>
          <w:color w:val="231F20"/>
          <w:spacing w:val="-13"/>
        </w:rPr>
        <w:t> </w:t>
      </w:r>
      <w:r>
        <w:rPr>
          <w:color w:val="231F20"/>
          <w:spacing w:val="-2"/>
        </w:rPr>
        <w:t>all</w:t>
      </w:r>
      <w:r>
        <w:rPr>
          <w:color w:val="231F20"/>
          <w:spacing w:val="-13"/>
        </w:rPr>
        <w:t> </w:t>
      </w:r>
      <w:r>
        <w:rPr>
          <w:color w:val="231F20"/>
          <w:spacing w:val="-2"/>
        </w:rPr>
        <w:t>over</w:t>
      </w:r>
      <w:r>
        <w:rPr>
          <w:color w:val="231F20"/>
          <w:spacing w:val="-13"/>
        </w:rPr>
        <w:t> </w:t>
      </w:r>
      <w:r>
        <w:rPr>
          <w:color w:val="231F20"/>
          <w:spacing w:val="-2"/>
        </w:rPr>
        <w:t>the</w:t>
      </w:r>
      <w:r>
        <w:rPr>
          <w:color w:val="231F20"/>
          <w:spacing w:val="-13"/>
        </w:rPr>
        <w:t> </w:t>
      </w:r>
      <w:r>
        <w:rPr>
          <w:color w:val="231F20"/>
          <w:spacing w:val="-2"/>
        </w:rPr>
        <w:t>world </w:t>
      </w:r>
      <w:r>
        <w:rPr>
          <w:color w:val="231F20"/>
        </w:rPr>
        <w:t>refusing</w:t>
      </w:r>
      <w:r>
        <w:rPr>
          <w:color w:val="231F20"/>
          <w:spacing w:val="-11"/>
        </w:rPr>
        <w:t> </w:t>
      </w:r>
      <w:r>
        <w:rPr>
          <w:color w:val="231F20"/>
        </w:rPr>
        <w:t>to</w:t>
      </w:r>
      <w:r>
        <w:rPr>
          <w:color w:val="231F20"/>
          <w:spacing w:val="-11"/>
        </w:rPr>
        <w:t> </w:t>
      </w:r>
      <w:r>
        <w:rPr>
          <w:color w:val="231F20"/>
        </w:rPr>
        <w:t>effect</w:t>
      </w:r>
      <w:r>
        <w:rPr>
          <w:color w:val="231F20"/>
          <w:spacing w:val="-11"/>
        </w:rPr>
        <w:t> </w:t>
      </w:r>
      <w:r>
        <w:rPr>
          <w:color w:val="231F20"/>
        </w:rPr>
        <w:t>transfers</w:t>
      </w:r>
      <w:r>
        <w:rPr>
          <w:color w:val="231F20"/>
          <w:spacing w:val="-11"/>
        </w:rPr>
        <w:t> </w:t>
      </w:r>
      <w:r>
        <w:rPr>
          <w:color w:val="231F20"/>
        </w:rPr>
        <w:t>to</w:t>
      </w:r>
      <w:r>
        <w:rPr>
          <w:color w:val="231F20"/>
          <w:spacing w:val="-11"/>
        </w:rPr>
        <w:t> </w:t>
      </w:r>
      <w:r>
        <w:rPr>
          <w:color w:val="231F20"/>
        </w:rPr>
        <w:t>or</w:t>
      </w:r>
      <w:r>
        <w:rPr>
          <w:color w:val="231F20"/>
          <w:spacing w:val="-11"/>
        </w:rPr>
        <w:t> </w:t>
      </w:r>
      <w:r>
        <w:rPr>
          <w:color w:val="231F20"/>
        </w:rPr>
        <w:t>otherwise deal with Cuba.</w:t>
      </w:r>
    </w:p>
    <w:p>
      <w:pPr>
        <w:pStyle w:val="BodyText"/>
        <w:spacing w:before="166"/>
        <w:ind w:left="1474"/>
      </w:pPr>
      <w:r>
        <w:rPr>
          <w:color w:val="231F20"/>
        </w:rPr>
        <w:t>In the period considered, the number </w:t>
      </w:r>
      <w:r>
        <w:rPr>
          <w:color w:val="231F20"/>
        </w:rPr>
        <w:t>of foreign banks that for various reasons refused to honor transactions with Cuban banks</w:t>
      </w:r>
      <w:r>
        <w:rPr>
          <w:color w:val="231F20"/>
          <w:spacing w:val="-1"/>
        </w:rPr>
        <w:t> </w:t>
      </w:r>
      <w:r>
        <w:rPr>
          <w:color w:val="231F20"/>
        </w:rPr>
        <w:t>rose</w:t>
      </w:r>
      <w:r>
        <w:rPr>
          <w:color w:val="231F20"/>
          <w:spacing w:val="-1"/>
        </w:rPr>
        <w:t> </w:t>
      </w:r>
      <w:r>
        <w:rPr>
          <w:color w:val="231F20"/>
        </w:rPr>
        <w:t>to</w:t>
      </w:r>
      <w:r>
        <w:rPr>
          <w:color w:val="231F20"/>
          <w:spacing w:val="-1"/>
        </w:rPr>
        <w:t> </w:t>
      </w:r>
      <w:r>
        <w:rPr>
          <w:color w:val="231F20"/>
        </w:rPr>
        <w:t>130</w:t>
      </w:r>
      <w:r>
        <w:rPr>
          <w:color w:val="231F20"/>
          <w:spacing w:val="-1"/>
        </w:rPr>
        <w:t> </w:t>
      </w:r>
      <w:r>
        <w:rPr>
          <w:color w:val="231F20"/>
        </w:rPr>
        <w:t>(75</w:t>
      </w:r>
      <w:r>
        <w:rPr>
          <w:color w:val="231F20"/>
          <w:spacing w:val="-1"/>
        </w:rPr>
        <w:t> </w:t>
      </w:r>
      <w:r>
        <w:rPr>
          <w:color w:val="231F20"/>
        </w:rPr>
        <w:t>in</w:t>
      </w:r>
      <w:r>
        <w:rPr>
          <w:color w:val="231F20"/>
          <w:spacing w:val="-1"/>
        </w:rPr>
        <w:t> </w:t>
      </w:r>
      <w:r>
        <w:rPr>
          <w:color w:val="231F20"/>
        </w:rPr>
        <w:t>Europe,</w:t>
      </w:r>
      <w:r>
        <w:rPr>
          <w:color w:val="231F20"/>
          <w:spacing w:val="-2"/>
        </w:rPr>
        <w:t> </w:t>
      </w:r>
      <w:r>
        <w:rPr>
          <w:color w:val="231F20"/>
        </w:rPr>
        <w:t>21</w:t>
      </w:r>
      <w:r>
        <w:rPr>
          <w:color w:val="231F20"/>
          <w:spacing w:val="-1"/>
        </w:rPr>
        <w:t> </w:t>
      </w:r>
      <w:r>
        <w:rPr>
          <w:color w:val="231F20"/>
        </w:rPr>
        <w:t>in</w:t>
      </w:r>
      <w:r>
        <w:rPr>
          <w:color w:val="231F20"/>
          <w:spacing w:val="-1"/>
        </w:rPr>
        <w:t> </w:t>
      </w:r>
      <w:r>
        <w:rPr>
          <w:color w:val="231F20"/>
        </w:rPr>
        <w:t>the Americas and 34 in the rest of the world). The transactions affected numbered 267.</w:t>
      </w:r>
    </w:p>
    <w:p>
      <w:pPr>
        <w:pStyle w:val="BodyText"/>
        <w:spacing w:before="164"/>
        <w:ind w:left="1474"/>
      </w:pPr>
      <w:r>
        <w:rPr>
          <w:color w:val="231F20"/>
        </w:rPr>
        <w:t>The following are a few examples of extraterritorial</w:t>
      </w:r>
      <w:r>
        <w:rPr>
          <w:color w:val="231F20"/>
          <w:spacing w:val="-17"/>
        </w:rPr>
        <w:t> </w:t>
      </w:r>
      <w:r>
        <w:rPr>
          <w:color w:val="231F20"/>
        </w:rPr>
        <w:t>application</w:t>
      </w:r>
      <w:r>
        <w:rPr>
          <w:color w:val="231F20"/>
          <w:spacing w:val="-16"/>
        </w:rPr>
        <w:t> </w:t>
      </w:r>
      <w:r>
        <w:rPr>
          <w:color w:val="231F20"/>
        </w:rPr>
        <w:t>of</w:t>
      </w:r>
      <w:r>
        <w:rPr>
          <w:color w:val="231F20"/>
          <w:spacing w:val="-16"/>
        </w:rPr>
        <w:t> </w:t>
      </w:r>
      <w:r>
        <w:rPr>
          <w:color w:val="231F20"/>
        </w:rPr>
        <w:t>the</w:t>
      </w:r>
      <w:r>
        <w:rPr>
          <w:color w:val="231F20"/>
          <w:spacing w:val="-17"/>
        </w:rPr>
        <w:t> </w:t>
      </w:r>
      <w:r>
        <w:rPr>
          <w:color w:val="231F20"/>
        </w:rPr>
        <w:t>blockade in the banking/finance sector during </w:t>
      </w:r>
      <w:r>
        <w:rPr>
          <w:color w:val="231F20"/>
        </w:rPr>
        <w:t>the period under review:</w:t>
      </w:r>
    </w:p>
    <w:p>
      <w:pPr>
        <w:pStyle w:val="Heading4"/>
        <w:spacing w:before="163"/>
        <w:jc w:val="both"/>
      </w:pPr>
      <w:r>
        <w:rPr>
          <w:color w:val="231F20"/>
        </w:rPr>
        <w:t>Refusal</w:t>
      </w:r>
      <w:r>
        <w:rPr>
          <w:color w:val="231F20"/>
          <w:spacing w:val="11"/>
        </w:rPr>
        <w:t> </w:t>
      </w:r>
      <w:r>
        <w:rPr>
          <w:color w:val="231F20"/>
        </w:rPr>
        <w:t>to</w:t>
      </w:r>
      <w:r>
        <w:rPr>
          <w:color w:val="231F20"/>
          <w:spacing w:val="11"/>
        </w:rPr>
        <w:t> </w:t>
      </w:r>
      <w:r>
        <w:rPr>
          <w:color w:val="231F20"/>
        </w:rPr>
        <w:t>provide</w:t>
      </w:r>
      <w:r>
        <w:rPr>
          <w:color w:val="231F20"/>
          <w:spacing w:val="11"/>
        </w:rPr>
        <w:t> </w:t>
      </w:r>
      <w:r>
        <w:rPr>
          <w:color w:val="231F20"/>
        </w:rPr>
        <w:t>banking</w:t>
      </w:r>
      <w:r>
        <w:rPr>
          <w:color w:val="231F20"/>
          <w:spacing w:val="11"/>
        </w:rPr>
        <w:t> </w:t>
      </w:r>
      <w:r>
        <w:rPr>
          <w:color w:val="231F20"/>
          <w:spacing w:val="-2"/>
        </w:rPr>
        <w:t>services:</w:t>
      </w:r>
    </w:p>
    <w:p>
      <w:pPr>
        <w:pStyle w:val="BodyText"/>
        <w:spacing w:before="77"/>
        <w:ind w:left="673" w:right="1131"/>
      </w:pPr>
      <w:r>
        <w:rPr/>
        <w:br w:type="column"/>
      </w:r>
      <w:r>
        <w:rPr>
          <w:color w:val="231F20"/>
        </w:rPr>
        <w:t>Refusal to open or closure of accounts: 6 foreign banks, all Europe-based.</w:t>
      </w:r>
    </w:p>
    <w:p>
      <w:pPr>
        <w:pStyle w:val="BodyText"/>
        <w:spacing w:before="161"/>
        <w:ind w:left="673" w:right="1136"/>
      </w:pPr>
      <w:r>
        <w:rPr/>
        <mc:AlternateContent>
          <mc:Choice Requires="wps">
            <w:drawing>
              <wp:anchor distT="0" distB="0" distL="0" distR="0" allowOverlap="1" layoutInCell="1" locked="0" behindDoc="0" simplePos="0" relativeHeight="15795200">
                <wp:simplePos x="0" y="0"/>
                <wp:positionH relativeFrom="page">
                  <wp:posOffset>4031997</wp:posOffset>
                </wp:positionH>
                <wp:positionV relativeFrom="paragraph">
                  <wp:posOffset>-321065</wp:posOffset>
                </wp:positionV>
                <wp:extent cx="59690" cy="59690"/>
                <wp:effectExtent l="0" t="0" r="0" b="0"/>
                <wp:wrapNone/>
                <wp:docPr id="294" name="Graphic 294"/>
                <wp:cNvGraphicFramePr>
                  <a:graphicFrameLocks/>
                </wp:cNvGraphicFramePr>
                <a:graphic>
                  <a:graphicData uri="http://schemas.microsoft.com/office/word/2010/wordprocessingShape">
                    <wps:wsp>
                      <wps:cNvPr id="294" name="Graphic 29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25.280775pt;width:4.7pt;height:4.7pt;mso-position-horizontal-relative:page;mso-position-vertical-relative:paragraph;z-index:15795200" id="docshape232" coordorigin="6350,-506" coordsize="94,94" path="m6396,-506l6378,-502,6363,-492,6353,-477,6350,-459,6353,-441,6363,-426,6378,-416,6396,-412,6414,-416,6429,-426,6439,-441,6443,-459,6439,-477,6429,-492,6414,-502,6396,-506xe" filled="true" fillcolor="#1a4796" stroked="false">
                <v:path arrowok="t"/>
                <v:fill type="solid"/>
                <w10:wrap type="none"/>
              </v:shape>
            </w:pict>
          </mc:Fallback>
        </mc:AlternateContent>
      </w:r>
      <w:r>
        <w:rPr/>
        <mc:AlternateContent>
          <mc:Choice Requires="wps">
            <w:drawing>
              <wp:anchor distT="0" distB="0" distL="0" distR="0" allowOverlap="1" layoutInCell="1" locked="0" behindDoc="0" simplePos="0" relativeHeight="15795712">
                <wp:simplePos x="0" y="0"/>
                <wp:positionH relativeFrom="page">
                  <wp:posOffset>4031997</wp:posOffset>
                </wp:positionH>
                <wp:positionV relativeFrom="paragraph">
                  <wp:posOffset>188694</wp:posOffset>
                </wp:positionV>
                <wp:extent cx="59690" cy="59690"/>
                <wp:effectExtent l="0" t="0" r="0" b="0"/>
                <wp:wrapNone/>
                <wp:docPr id="295" name="Graphic 295"/>
                <wp:cNvGraphicFramePr>
                  <a:graphicFrameLocks/>
                </wp:cNvGraphicFramePr>
                <a:graphic>
                  <a:graphicData uri="http://schemas.microsoft.com/office/word/2010/wordprocessingShape">
                    <wps:wsp>
                      <wps:cNvPr id="295" name="Graphic 29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857825pt;width:4.7pt;height:4.7pt;mso-position-horizontal-relative:page;mso-position-vertical-relative:paragraph;z-index:15795712" id="docshape233" coordorigin="6350,297" coordsize="94,94" path="m6396,297l6378,301,6363,311,6353,326,6350,344,6353,362,6363,377,6378,387,6396,390,6414,387,6429,377,6439,362,6443,344,6439,326,6429,311,6414,301,6396,297xe" filled="true" fillcolor="#1a4796" stroked="false">
                <v:path arrowok="t"/>
                <v:fill type="solid"/>
                <w10:wrap type="none"/>
              </v:shape>
            </w:pict>
          </mc:Fallback>
        </mc:AlternateContent>
      </w:r>
      <w:r>
        <w:rPr>
          <w:color w:val="231F20"/>
        </w:rPr>
        <w:t>Refusal to transfer funds to or receive </w:t>
      </w:r>
      <w:r>
        <w:rPr>
          <w:color w:val="231F20"/>
          <w:spacing w:val="-10"/>
        </w:rPr>
        <w:t>funds</w:t>
      </w:r>
      <w:r>
        <w:rPr>
          <w:color w:val="231F20"/>
          <w:spacing w:val="-5"/>
        </w:rPr>
        <w:t> </w:t>
      </w:r>
      <w:r>
        <w:rPr>
          <w:color w:val="231F20"/>
          <w:spacing w:val="-10"/>
        </w:rPr>
        <w:t>from</w:t>
      </w:r>
      <w:r>
        <w:rPr>
          <w:color w:val="231F20"/>
          <w:spacing w:val="-5"/>
        </w:rPr>
        <w:t> </w:t>
      </w:r>
      <w:r>
        <w:rPr>
          <w:color w:val="231F20"/>
          <w:spacing w:val="-10"/>
        </w:rPr>
        <w:t>Cuba</w:t>
      </w:r>
      <w:r>
        <w:rPr>
          <w:color w:val="231F20"/>
          <w:spacing w:val="-5"/>
        </w:rPr>
        <w:t> </w:t>
      </w:r>
      <w:r>
        <w:rPr>
          <w:color w:val="231F20"/>
          <w:spacing w:val="-10"/>
        </w:rPr>
        <w:t>or</w:t>
      </w:r>
      <w:r>
        <w:rPr>
          <w:color w:val="231F20"/>
          <w:spacing w:val="-5"/>
        </w:rPr>
        <w:t> </w:t>
      </w:r>
      <w:r>
        <w:rPr>
          <w:color w:val="231F20"/>
          <w:spacing w:val="-10"/>
        </w:rPr>
        <w:t>provide</w:t>
      </w:r>
      <w:r>
        <w:rPr>
          <w:color w:val="231F20"/>
          <w:spacing w:val="-5"/>
        </w:rPr>
        <w:t> </w:t>
      </w:r>
      <w:r>
        <w:rPr>
          <w:color w:val="231F20"/>
          <w:spacing w:val="-10"/>
        </w:rPr>
        <w:t>other</w:t>
      </w:r>
      <w:r>
        <w:rPr>
          <w:color w:val="231F20"/>
          <w:spacing w:val="-5"/>
        </w:rPr>
        <w:t> </w:t>
      </w:r>
      <w:r>
        <w:rPr>
          <w:color w:val="231F20"/>
          <w:spacing w:val="-10"/>
        </w:rPr>
        <w:t>banking </w:t>
      </w:r>
      <w:r>
        <w:rPr>
          <w:color w:val="231F20"/>
          <w:spacing w:val="-4"/>
        </w:rPr>
        <w:t>services:</w:t>
      </w:r>
      <w:r>
        <w:rPr>
          <w:color w:val="231F20"/>
          <w:spacing w:val="-13"/>
        </w:rPr>
        <w:t> </w:t>
      </w:r>
      <w:r>
        <w:rPr>
          <w:color w:val="231F20"/>
          <w:spacing w:val="-4"/>
        </w:rPr>
        <w:t>35</w:t>
      </w:r>
      <w:r>
        <w:rPr>
          <w:color w:val="231F20"/>
          <w:spacing w:val="-12"/>
        </w:rPr>
        <w:t> </w:t>
      </w:r>
      <w:r>
        <w:rPr>
          <w:color w:val="231F20"/>
          <w:spacing w:val="-4"/>
        </w:rPr>
        <w:t>banks</w:t>
      </w:r>
      <w:r>
        <w:rPr>
          <w:color w:val="231F20"/>
          <w:spacing w:val="-13"/>
        </w:rPr>
        <w:t> </w:t>
      </w:r>
      <w:r>
        <w:rPr>
          <w:color w:val="231F20"/>
          <w:spacing w:val="-4"/>
        </w:rPr>
        <w:t>-</w:t>
      </w:r>
      <w:r>
        <w:rPr>
          <w:color w:val="231F20"/>
          <w:spacing w:val="-12"/>
        </w:rPr>
        <w:t> </w:t>
      </w:r>
      <w:r>
        <w:rPr>
          <w:color w:val="231F20"/>
          <w:spacing w:val="-4"/>
        </w:rPr>
        <w:t>21</w:t>
      </w:r>
      <w:r>
        <w:rPr>
          <w:color w:val="231F20"/>
          <w:spacing w:val="-13"/>
        </w:rPr>
        <w:t> </w:t>
      </w:r>
      <w:r>
        <w:rPr>
          <w:color w:val="231F20"/>
          <w:spacing w:val="-4"/>
        </w:rPr>
        <w:t>European,</w:t>
      </w:r>
      <w:r>
        <w:rPr>
          <w:color w:val="231F20"/>
          <w:spacing w:val="-12"/>
        </w:rPr>
        <w:t> </w:t>
      </w:r>
      <w:r>
        <w:rPr>
          <w:color w:val="231F20"/>
          <w:spacing w:val="-4"/>
        </w:rPr>
        <w:t>9</w:t>
      </w:r>
      <w:r>
        <w:rPr>
          <w:color w:val="231F20"/>
          <w:spacing w:val="-12"/>
        </w:rPr>
        <w:t> </w:t>
      </w:r>
      <w:r>
        <w:rPr>
          <w:color w:val="231F20"/>
          <w:spacing w:val="-4"/>
        </w:rPr>
        <w:t>in</w:t>
      </w:r>
      <w:r>
        <w:rPr>
          <w:color w:val="231F20"/>
          <w:spacing w:val="-13"/>
        </w:rPr>
        <w:t> </w:t>
      </w:r>
      <w:r>
        <w:rPr>
          <w:color w:val="231F20"/>
          <w:spacing w:val="-4"/>
        </w:rPr>
        <w:t>the </w:t>
      </w:r>
      <w:r>
        <w:rPr>
          <w:color w:val="231F20"/>
        </w:rPr>
        <w:t>Americas,</w:t>
      </w:r>
      <w:r>
        <w:rPr>
          <w:color w:val="231F20"/>
          <w:spacing w:val="-4"/>
        </w:rPr>
        <w:t> </w:t>
      </w:r>
      <w:r>
        <w:rPr>
          <w:color w:val="231F20"/>
        </w:rPr>
        <w:t>5</w:t>
      </w:r>
      <w:r>
        <w:rPr>
          <w:color w:val="231F20"/>
          <w:spacing w:val="-4"/>
        </w:rPr>
        <w:t> </w:t>
      </w:r>
      <w:r>
        <w:rPr>
          <w:color w:val="231F20"/>
        </w:rPr>
        <w:t>in</w:t>
      </w:r>
      <w:r>
        <w:rPr>
          <w:color w:val="231F20"/>
          <w:spacing w:val="-4"/>
        </w:rPr>
        <w:t> </w:t>
      </w:r>
      <w:r>
        <w:rPr>
          <w:color w:val="231F20"/>
        </w:rPr>
        <w:t>the</w:t>
      </w:r>
      <w:r>
        <w:rPr>
          <w:color w:val="231F20"/>
          <w:spacing w:val="-4"/>
        </w:rPr>
        <w:t> </w:t>
      </w:r>
      <w:r>
        <w:rPr>
          <w:color w:val="231F20"/>
        </w:rPr>
        <w:t>rest</w:t>
      </w:r>
      <w:r>
        <w:rPr>
          <w:color w:val="231F20"/>
          <w:spacing w:val="-4"/>
        </w:rPr>
        <w:t> </w:t>
      </w:r>
      <w:r>
        <w:rPr>
          <w:color w:val="231F20"/>
        </w:rPr>
        <w:t>of</w:t>
      </w:r>
      <w:r>
        <w:rPr>
          <w:color w:val="231F20"/>
          <w:spacing w:val="-4"/>
        </w:rPr>
        <w:t> </w:t>
      </w:r>
      <w:r>
        <w:rPr>
          <w:color w:val="231F20"/>
        </w:rPr>
        <w:t>the</w:t>
      </w:r>
      <w:r>
        <w:rPr>
          <w:color w:val="231F20"/>
          <w:spacing w:val="-4"/>
        </w:rPr>
        <w:t> </w:t>
      </w:r>
      <w:r>
        <w:rPr>
          <w:color w:val="231F20"/>
        </w:rPr>
        <w:t>world.</w:t>
      </w:r>
    </w:p>
    <w:p>
      <w:pPr>
        <w:pStyle w:val="ListParagraph"/>
        <w:numPr>
          <w:ilvl w:val="0"/>
          <w:numId w:val="7"/>
        </w:numPr>
        <w:tabs>
          <w:tab w:pos="904" w:val="left" w:leader="none"/>
        </w:tabs>
        <w:spacing w:line="240" w:lineRule="auto" w:before="159" w:after="0"/>
        <w:ind w:left="673" w:right="1133" w:firstLine="0"/>
        <w:jc w:val="both"/>
        <w:rPr>
          <w:sz w:val="24"/>
        </w:rPr>
      </w:pPr>
      <w:r>
        <w:rPr>
          <w:color w:val="231F20"/>
          <w:sz w:val="24"/>
        </w:rPr>
        <w:t>The results included cancellation of </w:t>
      </w:r>
      <w:r>
        <w:rPr>
          <w:color w:val="231F20"/>
          <w:spacing w:val="-8"/>
          <w:sz w:val="24"/>
        </w:rPr>
        <w:t>Cuba’s membership of the Latin American </w:t>
      </w:r>
      <w:r>
        <w:rPr>
          <w:color w:val="231F20"/>
          <w:sz w:val="24"/>
        </w:rPr>
        <w:t>Monetary</w:t>
      </w:r>
      <w:r>
        <w:rPr>
          <w:color w:val="231F20"/>
          <w:spacing w:val="-15"/>
          <w:sz w:val="24"/>
        </w:rPr>
        <w:t> </w:t>
      </w:r>
      <w:r>
        <w:rPr>
          <w:color w:val="231F20"/>
          <w:sz w:val="24"/>
        </w:rPr>
        <w:t>Studies</w:t>
      </w:r>
      <w:r>
        <w:rPr>
          <w:color w:val="231F20"/>
          <w:spacing w:val="-15"/>
          <w:sz w:val="24"/>
        </w:rPr>
        <w:t> </w:t>
      </w:r>
      <w:r>
        <w:rPr>
          <w:color w:val="231F20"/>
          <w:sz w:val="24"/>
        </w:rPr>
        <w:t>Center</w:t>
      </w:r>
      <w:r>
        <w:rPr>
          <w:color w:val="231F20"/>
          <w:spacing w:val="-15"/>
          <w:sz w:val="24"/>
        </w:rPr>
        <w:t> </w:t>
      </w:r>
      <w:r>
        <w:rPr>
          <w:color w:val="231F20"/>
          <w:sz w:val="24"/>
        </w:rPr>
        <w:t>(“CEMLA”),</w:t>
      </w:r>
      <w:r>
        <w:rPr>
          <w:color w:val="231F20"/>
          <w:spacing w:val="-15"/>
          <w:sz w:val="24"/>
        </w:rPr>
        <w:t> </w:t>
      </w:r>
      <w:r>
        <w:rPr>
          <w:color w:val="231F20"/>
          <w:sz w:val="24"/>
        </w:rPr>
        <w:t>for underpayment of the subscription for 2022 and non-payment for 2023.</w:t>
      </w:r>
    </w:p>
    <w:p>
      <w:pPr>
        <w:pStyle w:val="ListParagraph"/>
        <w:numPr>
          <w:ilvl w:val="0"/>
          <w:numId w:val="7"/>
        </w:numPr>
        <w:tabs>
          <w:tab w:pos="886" w:val="left" w:leader="none"/>
        </w:tabs>
        <w:spacing w:line="240" w:lineRule="auto" w:before="159" w:after="0"/>
        <w:ind w:left="673" w:right="1133" w:firstLine="0"/>
        <w:jc w:val="both"/>
        <w:rPr>
          <w:sz w:val="24"/>
        </w:rPr>
      </w:pPr>
      <w:r>
        <w:rPr>
          <w:color w:val="231F20"/>
          <w:sz w:val="24"/>
        </w:rPr>
        <w:t>Currently, over 50 Cuban diplomatic missions</w:t>
      </w:r>
      <w:r>
        <w:rPr>
          <w:color w:val="231F20"/>
          <w:spacing w:val="-17"/>
          <w:sz w:val="24"/>
        </w:rPr>
        <w:t> </w:t>
      </w:r>
      <w:r>
        <w:rPr>
          <w:color w:val="231F20"/>
          <w:sz w:val="24"/>
        </w:rPr>
        <w:t>abroad</w:t>
      </w:r>
      <w:r>
        <w:rPr>
          <w:color w:val="231F20"/>
          <w:spacing w:val="-16"/>
          <w:sz w:val="24"/>
        </w:rPr>
        <w:t> </w:t>
      </w:r>
      <w:r>
        <w:rPr>
          <w:color w:val="231F20"/>
          <w:sz w:val="24"/>
        </w:rPr>
        <w:t>have</w:t>
      </w:r>
      <w:r>
        <w:rPr>
          <w:color w:val="231F20"/>
          <w:spacing w:val="-17"/>
          <w:sz w:val="24"/>
        </w:rPr>
        <w:t> </w:t>
      </w:r>
      <w:r>
        <w:rPr>
          <w:color w:val="231F20"/>
          <w:sz w:val="24"/>
        </w:rPr>
        <w:t>been</w:t>
      </w:r>
      <w:r>
        <w:rPr>
          <w:color w:val="231F20"/>
          <w:spacing w:val="-16"/>
          <w:sz w:val="24"/>
        </w:rPr>
        <w:t> </w:t>
      </w:r>
      <w:r>
        <w:rPr>
          <w:color w:val="231F20"/>
          <w:sz w:val="24"/>
        </w:rPr>
        <w:t>excluded</w:t>
      </w:r>
      <w:r>
        <w:rPr>
          <w:color w:val="231F20"/>
          <w:spacing w:val="-17"/>
          <w:sz w:val="24"/>
        </w:rPr>
        <w:t> </w:t>
      </w:r>
      <w:r>
        <w:rPr>
          <w:color w:val="231F20"/>
          <w:sz w:val="24"/>
        </w:rPr>
        <w:t>by </w:t>
      </w:r>
      <w:r>
        <w:rPr>
          <w:color w:val="231F20"/>
          <w:spacing w:val="-2"/>
          <w:sz w:val="24"/>
        </w:rPr>
        <w:t>the</w:t>
      </w:r>
      <w:r>
        <w:rPr>
          <w:color w:val="231F20"/>
          <w:spacing w:val="-13"/>
          <w:sz w:val="24"/>
        </w:rPr>
        <w:t> </w:t>
      </w:r>
      <w:r>
        <w:rPr>
          <w:color w:val="231F20"/>
          <w:spacing w:val="-2"/>
          <w:sz w:val="24"/>
        </w:rPr>
        <w:t>banks</w:t>
      </w:r>
      <w:r>
        <w:rPr>
          <w:color w:val="231F20"/>
          <w:spacing w:val="-13"/>
          <w:sz w:val="24"/>
        </w:rPr>
        <w:t> </w:t>
      </w:r>
      <w:r>
        <w:rPr>
          <w:color w:val="231F20"/>
          <w:spacing w:val="-2"/>
          <w:sz w:val="24"/>
        </w:rPr>
        <w:t>that</w:t>
      </w:r>
      <w:r>
        <w:rPr>
          <w:color w:val="231F20"/>
          <w:spacing w:val="-13"/>
          <w:sz w:val="24"/>
        </w:rPr>
        <w:t> </w:t>
      </w:r>
      <w:r>
        <w:rPr>
          <w:color w:val="231F20"/>
          <w:spacing w:val="-2"/>
          <w:sz w:val="24"/>
        </w:rPr>
        <w:t>traditionally</w:t>
      </w:r>
      <w:r>
        <w:rPr>
          <w:color w:val="231F20"/>
          <w:spacing w:val="-13"/>
          <w:sz w:val="24"/>
        </w:rPr>
        <w:t> </w:t>
      </w:r>
      <w:r>
        <w:rPr>
          <w:color w:val="231F20"/>
          <w:spacing w:val="-2"/>
          <w:sz w:val="24"/>
        </w:rPr>
        <w:t>served</w:t>
      </w:r>
      <w:r>
        <w:rPr>
          <w:color w:val="231F20"/>
          <w:spacing w:val="-14"/>
          <w:sz w:val="24"/>
        </w:rPr>
        <w:t> </w:t>
      </w:r>
      <w:r>
        <w:rPr>
          <w:color w:val="231F20"/>
          <w:spacing w:val="-2"/>
          <w:sz w:val="24"/>
        </w:rPr>
        <w:t>them. </w:t>
      </w:r>
      <w:r>
        <w:rPr>
          <w:color w:val="231F20"/>
          <w:sz w:val="24"/>
        </w:rPr>
        <w:t>It has consequently been impossible to </w:t>
      </w:r>
      <w:r>
        <w:rPr>
          <w:color w:val="231F20"/>
          <w:spacing w:val="-6"/>
          <w:sz w:val="24"/>
        </w:rPr>
        <w:t>conduct the banking/financial operations </w:t>
      </w:r>
      <w:r>
        <w:rPr>
          <w:color w:val="231F20"/>
          <w:spacing w:val="-4"/>
          <w:sz w:val="24"/>
        </w:rPr>
        <w:t>required</w:t>
      </w:r>
      <w:r>
        <w:rPr>
          <w:color w:val="231F20"/>
          <w:spacing w:val="-9"/>
          <w:sz w:val="24"/>
        </w:rPr>
        <w:t> </w:t>
      </w:r>
      <w:r>
        <w:rPr>
          <w:color w:val="231F20"/>
          <w:spacing w:val="-4"/>
          <w:sz w:val="24"/>
        </w:rPr>
        <w:t>to</w:t>
      </w:r>
      <w:r>
        <w:rPr>
          <w:color w:val="231F20"/>
          <w:spacing w:val="-9"/>
          <w:sz w:val="24"/>
        </w:rPr>
        <w:t> </w:t>
      </w:r>
      <w:r>
        <w:rPr>
          <w:color w:val="231F20"/>
          <w:spacing w:val="-4"/>
          <w:sz w:val="24"/>
        </w:rPr>
        <w:t>keep</w:t>
      </w:r>
      <w:r>
        <w:rPr>
          <w:color w:val="231F20"/>
          <w:spacing w:val="-9"/>
          <w:sz w:val="24"/>
        </w:rPr>
        <w:t> </w:t>
      </w:r>
      <w:r>
        <w:rPr>
          <w:color w:val="231F20"/>
          <w:spacing w:val="-4"/>
          <w:sz w:val="24"/>
        </w:rPr>
        <w:t>them</w:t>
      </w:r>
      <w:r>
        <w:rPr>
          <w:color w:val="231F20"/>
          <w:spacing w:val="-9"/>
          <w:sz w:val="24"/>
        </w:rPr>
        <w:t> </w:t>
      </w:r>
      <w:r>
        <w:rPr>
          <w:color w:val="231F20"/>
          <w:spacing w:val="-4"/>
          <w:sz w:val="24"/>
        </w:rPr>
        <w:t>running</w:t>
      </w:r>
      <w:r>
        <w:rPr>
          <w:color w:val="231F20"/>
          <w:spacing w:val="-9"/>
          <w:sz w:val="24"/>
        </w:rPr>
        <w:t> </w:t>
      </w:r>
      <w:r>
        <w:rPr>
          <w:color w:val="231F20"/>
          <w:spacing w:val="-4"/>
          <w:sz w:val="24"/>
        </w:rPr>
        <w:t>normally.</w:t>
      </w:r>
    </w:p>
    <w:p>
      <w:pPr>
        <w:pStyle w:val="BodyText"/>
        <w:spacing w:before="164"/>
        <w:ind w:left="673" w:right="1131"/>
      </w:pPr>
      <w:r>
        <w:rPr/>
        <mc:AlternateContent>
          <mc:Choice Requires="wps">
            <w:drawing>
              <wp:anchor distT="0" distB="0" distL="0" distR="0" allowOverlap="1" layoutInCell="1" locked="0" behindDoc="0" simplePos="0" relativeHeight="15796224">
                <wp:simplePos x="0" y="0"/>
                <wp:positionH relativeFrom="page">
                  <wp:posOffset>4031997</wp:posOffset>
                </wp:positionH>
                <wp:positionV relativeFrom="paragraph">
                  <wp:posOffset>189515</wp:posOffset>
                </wp:positionV>
                <wp:extent cx="59690" cy="59690"/>
                <wp:effectExtent l="0" t="0" r="0" b="0"/>
                <wp:wrapNone/>
                <wp:docPr id="296" name="Graphic 296"/>
                <wp:cNvGraphicFramePr>
                  <a:graphicFrameLocks/>
                </wp:cNvGraphicFramePr>
                <a:graphic>
                  <a:graphicData uri="http://schemas.microsoft.com/office/word/2010/wordprocessingShape">
                    <wps:wsp>
                      <wps:cNvPr id="296" name="Graphic 29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22475pt;width:4.7pt;height:4.7pt;mso-position-horizontal-relative:page;mso-position-vertical-relative:paragraph;z-index:15796224" id="docshape234" coordorigin="6350,298" coordsize="94,94" path="m6396,298l6378,302,6363,312,6353,327,6350,345,6353,363,6363,378,6378,388,6396,392,6414,388,6429,378,6439,363,6443,345,6439,327,6429,312,6414,302,6396,298xe" filled="true" fillcolor="#1a4796" stroked="false">
                <v:path arrowok="t"/>
                <v:fill type="solid"/>
                <w10:wrap type="none"/>
              </v:shape>
            </w:pict>
          </mc:Fallback>
        </mc:AlternateContent>
      </w:r>
      <w:r>
        <w:rPr>
          <w:color w:val="231F20"/>
        </w:rPr>
        <w:t>SWIFT messaging RMA code numbers</w:t>
      </w:r>
      <w:r>
        <w:rPr>
          <w:color w:val="231F20"/>
          <w:position w:val="8"/>
          <w:sz w:val="14"/>
        </w:rPr>
        <w:t>2</w:t>
      </w:r>
      <w:r>
        <w:rPr>
          <w:color w:val="231F20"/>
          <w:spacing w:val="40"/>
          <w:position w:val="8"/>
          <w:sz w:val="14"/>
        </w:rPr>
        <w:t> </w:t>
      </w:r>
      <w:r>
        <w:rPr>
          <w:color w:val="231F20"/>
        </w:rPr>
        <w:t>were canceled or denied by 28 </w:t>
      </w:r>
      <w:r>
        <w:rPr>
          <w:color w:val="231F20"/>
        </w:rPr>
        <w:t>foreign banks - 17 European, 2 in the Americas </w:t>
      </w:r>
      <w:r>
        <w:rPr>
          <w:color w:val="231F20"/>
          <w:spacing w:val="-2"/>
        </w:rPr>
        <w:t>and</w:t>
      </w:r>
      <w:r>
        <w:rPr>
          <w:color w:val="231F20"/>
          <w:spacing w:val="-15"/>
        </w:rPr>
        <w:t> </w:t>
      </w:r>
      <w:r>
        <w:rPr>
          <w:color w:val="231F20"/>
          <w:spacing w:val="-2"/>
        </w:rPr>
        <w:t>9</w:t>
      </w:r>
      <w:r>
        <w:rPr>
          <w:color w:val="231F20"/>
          <w:spacing w:val="-14"/>
        </w:rPr>
        <w:t> </w:t>
      </w:r>
      <w:r>
        <w:rPr>
          <w:color w:val="231F20"/>
          <w:spacing w:val="-2"/>
        </w:rPr>
        <w:t>in</w:t>
      </w:r>
      <w:r>
        <w:rPr>
          <w:color w:val="231F20"/>
          <w:spacing w:val="-15"/>
        </w:rPr>
        <w:t> </w:t>
      </w:r>
      <w:r>
        <w:rPr>
          <w:color w:val="231F20"/>
          <w:spacing w:val="-2"/>
        </w:rPr>
        <w:t>the</w:t>
      </w:r>
      <w:r>
        <w:rPr>
          <w:color w:val="231F20"/>
          <w:spacing w:val="-14"/>
        </w:rPr>
        <w:t> </w:t>
      </w:r>
      <w:r>
        <w:rPr>
          <w:color w:val="231F20"/>
          <w:spacing w:val="-2"/>
        </w:rPr>
        <w:t>rest</w:t>
      </w:r>
      <w:r>
        <w:rPr>
          <w:color w:val="231F20"/>
          <w:spacing w:val="-15"/>
        </w:rPr>
        <w:t> </w:t>
      </w:r>
      <w:r>
        <w:rPr>
          <w:color w:val="231F20"/>
          <w:spacing w:val="-2"/>
        </w:rPr>
        <w:t>of</w:t>
      </w:r>
      <w:r>
        <w:rPr>
          <w:color w:val="231F20"/>
          <w:spacing w:val="-14"/>
        </w:rPr>
        <w:t> </w:t>
      </w:r>
      <w:r>
        <w:rPr>
          <w:color w:val="231F20"/>
          <w:spacing w:val="-2"/>
        </w:rPr>
        <w:t>the</w:t>
      </w:r>
      <w:r>
        <w:rPr>
          <w:color w:val="231F20"/>
          <w:spacing w:val="-15"/>
        </w:rPr>
        <w:t> </w:t>
      </w:r>
      <w:r>
        <w:rPr>
          <w:color w:val="231F20"/>
          <w:spacing w:val="-2"/>
        </w:rPr>
        <w:t>world.</w:t>
      </w:r>
      <w:r>
        <w:rPr>
          <w:color w:val="231F20"/>
          <w:spacing w:val="-14"/>
        </w:rPr>
        <w:t> </w:t>
      </w:r>
      <w:r>
        <w:rPr>
          <w:color w:val="231F20"/>
          <w:spacing w:val="-2"/>
        </w:rPr>
        <w:t>The</w:t>
      </w:r>
      <w:r>
        <w:rPr>
          <w:color w:val="231F20"/>
          <w:spacing w:val="-14"/>
        </w:rPr>
        <w:t> </w:t>
      </w:r>
      <w:r>
        <w:rPr>
          <w:color w:val="231F20"/>
          <w:spacing w:val="-2"/>
        </w:rPr>
        <w:t>results </w:t>
      </w:r>
      <w:r>
        <w:rPr>
          <w:color w:val="231F20"/>
        </w:rPr>
        <w:t>included difficulties and delays in the processing of banking transactions.</w:t>
      </w:r>
    </w:p>
    <w:p>
      <w:pPr>
        <w:pStyle w:val="BodyText"/>
        <w:spacing w:before="165"/>
        <w:ind w:left="673" w:right="1131"/>
      </w:pPr>
      <w:r>
        <w:rPr/>
        <mc:AlternateContent>
          <mc:Choice Requires="wps">
            <w:drawing>
              <wp:anchor distT="0" distB="0" distL="0" distR="0" allowOverlap="1" layoutInCell="1" locked="0" behindDoc="0" simplePos="0" relativeHeight="15796736">
                <wp:simplePos x="0" y="0"/>
                <wp:positionH relativeFrom="page">
                  <wp:posOffset>4031997</wp:posOffset>
                </wp:positionH>
                <wp:positionV relativeFrom="paragraph">
                  <wp:posOffset>188749</wp:posOffset>
                </wp:positionV>
                <wp:extent cx="59690" cy="59690"/>
                <wp:effectExtent l="0" t="0" r="0" b="0"/>
                <wp:wrapNone/>
                <wp:docPr id="297" name="Graphic 297"/>
                <wp:cNvGraphicFramePr>
                  <a:graphicFrameLocks/>
                </wp:cNvGraphicFramePr>
                <a:graphic>
                  <a:graphicData uri="http://schemas.microsoft.com/office/word/2010/wordprocessingShape">
                    <wps:wsp>
                      <wps:cNvPr id="297" name="Graphic 29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86215pt;width:4.7pt;height:4.7pt;mso-position-horizontal-relative:page;mso-position-vertical-relative:paragraph;z-index:15796736" id="docshape235" coordorigin="6350,297" coordsize="94,94" path="m6396,297l6378,301,6363,311,6353,326,6350,344,6353,362,6363,377,6378,387,6396,390,6414,387,6429,377,6439,362,6443,344,6439,326,6429,311,6414,301,6396,297xe" filled="true" fillcolor="#1a4796" stroked="false">
                <v:path arrowok="t"/>
                <v:fill type="solid"/>
                <w10:wrap type="none"/>
              </v:shape>
            </w:pict>
          </mc:Fallback>
        </mc:AlternateContent>
      </w:r>
      <w:r>
        <w:rPr>
          <w:color w:val="231F20"/>
        </w:rPr>
        <w:t>Reversal of banking transactions: 59 banks</w:t>
      </w:r>
      <w:r>
        <w:rPr>
          <w:color w:val="231F20"/>
          <w:spacing w:val="-11"/>
        </w:rPr>
        <w:t> </w:t>
      </w:r>
      <w:r>
        <w:rPr>
          <w:color w:val="231F20"/>
        </w:rPr>
        <w:t>-</w:t>
      </w:r>
      <w:r>
        <w:rPr>
          <w:color w:val="231F20"/>
          <w:spacing w:val="-11"/>
        </w:rPr>
        <w:t> </w:t>
      </w:r>
      <w:r>
        <w:rPr>
          <w:color w:val="231F20"/>
        </w:rPr>
        <w:t>29</w:t>
      </w:r>
      <w:r>
        <w:rPr>
          <w:color w:val="231F20"/>
          <w:spacing w:val="-11"/>
        </w:rPr>
        <w:t> </w:t>
      </w:r>
      <w:r>
        <w:rPr>
          <w:color w:val="231F20"/>
        </w:rPr>
        <w:t>European,</w:t>
      </w:r>
      <w:r>
        <w:rPr>
          <w:color w:val="231F20"/>
          <w:spacing w:val="-11"/>
        </w:rPr>
        <w:t> </w:t>
      </w:r>
      <w:r>
        <w:rPr>
          <w:color w:val="231F20"/>
        </w:rPr>
        <w:t>10</w:t>
      </w:r>
      <w:r>
        <w:rPr>
          <w:color w:val="231F20"/>
          <w:spacing w:val="-11"/>
        </w:rPr>
        <w:t> </w:t>
      </w:r>
      <w:r>
        <w:rPr>
          <w:color w:val="231F20"/>
        </w:rPr>
        <w:t>Latin</w:t>
      </w:r>
      <w:r>
        <w:rPr>
          <w:color w:val="231F20"/>
          <w:spacing w:val="-11"/>
        </w:rPr>
        <w:t> </w:t>
      </w:r>
      <w:r>
        <w:rPr>
          <w:color w:val="231F20"/>
        </w:rPr>
        <w:t>American and 20 in the rest of the world. Most</w:t>
      </w:r>
      <w:r>
        <w:rPr>
          <w:color w:val="231F20"/>
          <w:spacing w:val="80"/>
        </w:rPr>
        <w:t> </w:t>
      </w:r>
      <w:r>
        <w:rPr>
          <w:color w:val="231F20"/>
        </w:rPr>
        <w:t>of</w:t>
      </w:r>
      <w:r>
        <w:rPr>
          <w:color w:val="231F20"/>
          <w:spacing w:val="-17"/>
        </w:rPr>
        <w:t> </w:t>
      </w:r>
      <w:r>
        <w:rPr>
          <w:color w:val="231F20"/>
        </w:rPr>
        <w:t>the</w:t>
      </w:r>
      <w:r>
        <w:rPr>
          <w:color w:val="231F20"/>
          <w:spacing w:val="-16"/>
        </w:rPr>
        <w:t> </w:t>
      </w:r>
      <w:r>
        <w:rPr>
          <w:color w:val="231F20"/>
        </w:rPr>
        <w:t>disruptions</w:t>
      </w:r>
      <w:r>
        <w:rPr>
          <w:color w:val="231F20"/>
          <w:spacing w:val="-16"/>
        </w:rPr>
        <w:t> </w:t>
      </w:r>
      <w:r>
        <w:rPr>
          <w:color w:val="231F20"/>
        </w:rPr>
        <w:t>to</w:t>
      </w:r>
      <w:r>
        <w:rPr>
          <w:color w:val="231F20"/>
          <w:spacing w:val="-17"/>
        </w:rPr>
        <w:t> </w:t>
      </w:r>
      <w:r>
        <w:rPr>
          <w:color w:val="231F20"/>
        </w:rPr>
        <w:t>transactions</w:t>
      </w:r>
      <w:r>
        <w:rPr>
          <w:color w:val="231F20"/>
          <w:spacing w:val="-16"/>
        </w:rPr>
        <w:t> </w:t>
      </w:r>
      <w:r>
        <w:rPr>
          <w:color w:val="231F20"/>
        </w:rPr>
        <w:t>-</w:t>
      </w:r>
      <w:r>
        <w:rPr>
          <w:color w:val="231F20"/>
          <w:spacing w:val="-16"/>
        </w:rPr>
        <w:t> </w:t>
      </w:r>
      <w:r>
        <w:rPr>
          <w:color w:val="231F20"/>
        </w:rPr>
        <w:t>both </w:t>
      </w:r>
      <w:r>
        <w:rPr>
          <w:color w:val="231F20"/>
          <w:spacing w:val="-2"/>
        </w:rPr>
        <w:t>credit</w:t>
      </w:r>
      <w:r>
        <w:rPr>
          <w:color w:val="231F20"/>
          <w:spacing w:val="-17"/>
        </w:rPr>
        <w:t> </w:t>
      </w:r>
      <w:r>
        <w:rPr>
          <w:color w:val="231F20"/>
          <w:spacing w:val="-2"/>
        </w:rPr>
        <w:t>transfers</w:t>
      </w:r>
      <w:r>
        <w:rPr>
          <w:color w:val="231F20"/>
          <w:spacing w:val="-16"/>
        </w:rPr>
        <w:t> </w:t>
      </w:r>
      <w:r>
        <w:rPr>
          <w:color w:val="231F20"/>
          <w:spacing w:val="-2"/>
        </w:rPr>
        <w:t>and</w:t>
      </w:r>
      <w:r>
        <w:rPr>
          <w:color w:val="231F20"/>
          <w:spacing w:val="-17"/>
        </w:rPr>
        <w:t> </w:t>
      </w:r>
      <w:r>
        <w:rPr>
          <w:color w:val="231F20"/>
          <w:spacing w:val="-2"/>
        </w:rPr>
        <w:t>documentary</w:t>
      </w:r>
      <w:r>
        <w:rPr>
          <w:color w:val="231F20"/>
          <w:spacing w:val="-16"/>
        </w:rPr>
        <w:t> </w:t>
      </w:r>
      <w:r>
        <w:rPr>
          <w:color w:val="231F20"/>
          <w:spacing w:val="-2"/>
        </w:rPr>
        <w:t>credits</w:t>
      </w:r>
    </w:p>
    <w:p>
      <w:pPr>
        <w:pStyle w:val="BodyText"/>
        <w:spacing w:before="4"/>
        <w:ind w:left="673" w:right="1131"/>
      </w:pPr>
      <w:r>
        <w:rPr>
          <w:color w:val="231F20"/>
          <w:spacing w:val="-4"/>
        </w:rPr>
        <w:t>-</w:t>
      </w:r>
      <w:r>
        <w:rPr>
          <w:color w:val="231F20"/>
          <w:spacing w:val="-13"/>
        </w:rPr>
        <w:t> </w:t>
      </w:r>
      <w:r>
        <w:rPr>
          <w:color w:val="231F20"/>
          <w:spacing w:val="-4"/>
        </w:rPr>
        <w:t>related</w:t>
      </w:r>
      <w:r>
        <w:rPr>
          <w:color w:val="231F20"/>
          <w:spacing w:val="-12"/>
        </w:rPr>
        <w:t> </w:t>
      </w:r>
      <w:r>
        <w:rPr>
          <w:color w:val="231F20"/>
          <w:spacing w:val="-4"/>
        </w:rPr>
        <w:t>to</w:t>
      </w:r>
      <w:r>
        <w:rPr>
          <w:color w:val="231F20"/>
          <w:spacing w:val="-13"/>
        </w:rPr>
        <w:t> </w:t>
      </w:r>
      <w:r>
        <w:rPr>
          <w:color w:val="231F20"/>
          <w:spacing w:val="-4"/>
        </w:rPr>
        <w:t>funds</w:t>
      </w:r>
      <w:r>
        <w:rPr>
          <w:color w:val="231F20"/>
          <w:spacing w:val="-12"/>
        </w:rPr>
        <w:t> </w:t>
      </w:r>
      <w:r>
        <w:rPr>
          <w:color w:val="231F20"/>
          <w:spacing w:val="-4"/>
        </w:rPr>
        <w:t>returned</w:t>
      </w:r>
      <w:r>
        <w:rPr>
          <w:color w:val="231F20"/>
          <w:spacing w:val="-13"/>
        </w:rPr>
        <w:t> </w:t>
      </w:r>
      <w:r>
        <w:rPr>
          <w:color w:val="231F20"/>
          <w:spacing w:val="-4"/>
        </w:rPr>
        <w:t>under</w:t>
      </w:r>
      <w:r>
        <w:rPr>
          <w:color w:val="231F20"/>
          <w:spacing w:val="-12"/>
        </w:rPr>
        <w:t> </w:t>
      </w:r>
      <w:r>
        <w:rPr>
          <w:color w:val="231F20"/>
          <w:spacing w:val="-4"/>
        </w:rPr>
        <w:t>allege</w:t>
      </w:r>
      <w:r>
        <w:rPr>
          <w:color w:val="231F20"/>
          <w:spacing w:val="-4"/>
        </w:rPr>
        <w:t>d</w:t>
      </w:r>
      <w:r>
        <w:rPr>
          <w:color w:val="231F20"/>
          <w:spacing w:val="-4"/>
        </w:rPr>
        <w:t> </w:t>
      </w:r>
      <w:r>
        <w:rPr>
          <w:color w:val="231F20"/>
        </w:rPr>
        <w:t>internal policies of the beneficiaries’ banks or the correspondent </w:t>
      </w:r>
      <w:r>
        <w:rPr>
          <w:color w:val="231F20"/>
        </w:rPr>
        <w:t>banks, preventing the funds from reaching their destination. Most instances arose with European, Latin American </w:t>
      </w:r>
      <w:r>
        <w:rPr>
          <w:color w:val="231F20"/>
        </w:rPr>
        <w:t>and Asian banks, citing as grounds the U.S. sanctions against Cuba.</w:t>
      </w:r>
    </w:p>
    <w:p>
      <w:pPr>
        <w:pStyle w:val="BodyText"/>
        <w:spacing w:before="166"/>
        <w:ind w:left="673" w:right="1130"/>
      </w:pPr>
      <w:r>
        <w:rPr/>
        <mc:AlternateContent>
          <mc:Choice Requires="wps">
            <w:drawing>
              <wp:anchor distT="0" distB="0" distL="0" distR="0" allowOverlap="1" layoutInCell="1" locked="0" behindDoc="0" simplePos="0" relativeHeight="15797248">
                <wp:simplePos x="0" y="0"/>
                <wp:positionH relativeFrom="page">
                  <wp:posOffset>4031997</wp:posOffset>
                </wp:positionH>
                <wp:positionV relativeFrom="paragraph">
                  <wp:posOffset>189287</wp:posOffset>
                </wp:positionV>
                <wp:extent cx="59690" cy="59690"/>
                <wp:effectExtent l="0" t="0" r="0" b="0"/>
                <wp:wrapNone/>
                <wp:docPr id="298" name="Graphic 298"/>
                <wp:cNvGraphicFramePr>
                  <a:graphicFrameLocks/>
                </wp:cNvGraphicFramePr>
                <a:graphic>
                  <a:graphicData uri="http://schemas.microsoft.com/office/word/2010/wordprocessingShape">
                    <wps:wsp>
                      <wps:cNvPr id="298" name="Graphic 29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04563pt;width:4.7pt;height:4.7pt;mso-position-horizontal-relative:page;mso-position-vertical-relative:paragraph;z-index:15797248" id="docshape236" coordorigin="6350,298" coordsize="94,94" path="m6396,298l6378,302,6363,312,6353,327,6350,345,6353,363,6363,378,6378,388,6396,391,6414,388,6429,378,6439,363,6443,345,6439,327,6429,312,6414,302,6396,298xe" filled="true" fillcolor="#1a4796" stroked="false">
                <v:path arrowok="t"/>
                <v:fill type="solid"/>
                <w10:wrap type="none"/>
              </v:shape>
            </w:pict>
          </mc:Fallback>
        </mc:AlternateContent>
      </w:r>
      <w:r>
        <w:rPr>
          <w:color w:val="231F20"/>
        </w:rPr>
        <w:t>Cancellation of transactions and of correspondence arrangements: 2 European banks.</w:t>
      </w:r>
    </w:p>
    <w:p>
      <w:pPr>
        <w:spacing w:after="0"/>
        <w:sectPr>
          <w:pgSz w:w="11910" w:h="16840"/>
          <w:pgMar w:header="0" w:footer="695" w:top="1260" w:bottom="880" w:left="0" w:right="0"/>
          <w:cols w:num="2" w:equalWidth="0">
            <w:col w:w="5898" w:space="40"/>
            <w:col w:w="5972"/>
          </w:cols>
        </w:sectPr>
      </w:pPr>
    </w:p>
    <w:p>
      <w:pPr>
        <w:pStyle w:val="BodyText"/>
        <w:spacing w:before="180"/>
        <w:jc w:val="left"/>
        <w:rPr>
          <w:sz w:val="18"/>
        </w:rPr>
      </w:pPr>
    </w:p>
    <w:p>
      <w:pPr>
        <w:spacing w:line="216" w:lineRule="auto" w:before="1"/>
        <w:ind w:left="1474" w:right="1044" w:firstLine="0"/>
        <w:jc w:val="left"/>
        <w:rPr>
          <w:i/>
          <w:sz w:val="18"/>
        </w:rPr>
      </w:pPr>
      <w:r>
        <w:rPr>
          <w:i/>
          <w:color w:val="231F20"/>
          <w:position w:val="6"/>
          <w:sz w:val="10"/>
        </w:rPr>
        <w:t>2 </w:t>
      </w:r>
      <w:r>
        <w:rPr>
          <w:i/>
          <w:color w:val="231F20"/>
          <w:sz w:val="18"/>
        </w:rPr>
        <w:t>Authorizations exchanged between correspondent Banks enabling filtration and restriction of messaging received and</w:t>
      </w:r>
      <w:r>
        <w:rPr>
          <w:i/>
          <w:color w:val="231F20"/>
          <w:sz w:val="18"/>
        </w:rPr>
        <w:t> the type of messages sent.</w:t>
      </w:r>
    </w:p>
    <w:p>
      <w:pPr>
        <w:spacing w:after="0" w:line="216" w:lineRule="auto"/>
        <w:jc w:val="left"/>
        <w:rPr>
          <w:sz w:val="18"/>
        </w:rPr>
        <w:sectPr>
          <w:type w:val="continuous"/>
          <w:pgSz w:w="11910" w:h="16840"/>
          <w:pgMar w:header="0" w:footer="695" w:top="1920" w:bottom="280" w:left="0" w:right="0"/>
        </w:sectPr>
      </w:pPr>
    </w:p>
    <w:p>
      <w:pPr>
        <w:pStyle w:val="BodyText"/>
        <w:spacing w:before="77"/>
        <w:ind w:left="1133" w:right="6346"/>
      </w:pPr>
      <w:r>
        <w:rPr>
          <w:color w:val="231F20"/>
        </w:rPr>
        <w:t>By the same token, Cuba’s access to foreign financing is very limited and </w:t>
      </w:r>
      <w:r>
        <w:rPr>
          <w:color w:val="231F20"/>
        </w:rPr>
        <w:t>on extremely onerous terms. Cuban banks and</w:t>
      </w:r>
      <w:r>
        <w:rPr>
          <w:color w:val="231F20"/>
          <w:spacing w:val="40"/>
        </w:rPr>
        <w:t> </w:t>
      </w:r>
      <w:r>
        <w:rPr>
          <w:color w:val="231F20"/>
        </w:rPr>
        <w:t>businesses</w:t>
      </w:r>
      <w:r>
        <w:rPr>
          <w:color w:val="231F20"/>
          <w:spacing w:val="40"/>
        </w:rPr>
        <w:t> </w:t>
      </w:r>
      <w:r>
        <w:rPr>
          <w:color w:val="231F20"/>
        </w:rPr>
        <w:t>continue</w:t>
      </w:r>
      <w:r>
        <w:rPr>
          <w:color w:val="231F20"/>
          <w:spacing w:val="40"/>
        </w:rPr>
        <w:t> </w:t>
      </w:r>
      <w:r>
        <w:rPr>
          <w:color w:val="231F20"/>
        </w:rPr>
        <w:t>to</w:t>
      </w:r>
      <w:r>
        <w:rPr>
          <w:color w:val="231F20"/>
          <w:spacing w:val="40"/>
        </w:rPr>
        <w:t> </w:t>
      </w:r>
      <w:r>
        <w:rPr>
          <w:color w:val="231F20"/>
        </w:rPr>
        <w:t>incur</w:t>
      </w:r>
      <w:r>
        <w:rPr>
          <w:color w:val="231F20"/>
          <w:spacing w:val="40"/>
        </w:rPr>
        <w:t> </w:t>
      </w:r>
      <w:r>
        <w:rPr>
          <w:color w:val="231F20"/>
        </w:rPr>
        <w:t>rates of interest above those prevailing in the market on similar operations to obtain external funding conducted by other countries, reflecting the imposition of surcharges resulting from Cuba’s country risk category.</w:t>
      </w:r>
    </w:p>
    <w:p>
      <w:pPr>
        <w:pStyle w:val="BodyText"/>
        <w:spacing w:before="168"/>
        <w:ind w:left="1133" w:right="6347"/>
      </w:pPr>
      <w:r>
        <w:rPr>
          <w:color w:val="231F20"/>
        </w:rPr>
        <w:t>Difficulties in sending and receiving banking documents via courier services have persisted, notably in the case </w:t>
      </w:r>
      <w:r>
        <w:rPr>
          <w:color w:val="231F20"/>
        </w:rPr>
        <w:t>of DHL. Cuban importers are obliged to</w:t>
      </w:r>
      <w:r>
        <w:rPr>
          <w:color w:val="231F20"/>
          <w:spacing w:val="40"/>
        </w:rPr>
        <w:t> </w:t>
      </w:r>
      <w:r>
        <w:rPr>
          <w:color w:val="231F20"/>
        </w:rPr>
        <w:t>seek alternative means of receiving the documents</w:t>
      </w:r>
      <w:r>
        <w:rPr>
          <w:color w:val="231F20"/>
          <w:spacing w:val="-6"/>
        </w:rPr>
        <w:t> </w:t>
      </w:r>
      <w:r>
        <w:rPr>
          <w:color w:val="231F20"/>
        </w:rPr>
        <w:t>needed</w:t>
      </w:r>
      <w:r>
        <w:rPr>
          <w:color w:val="231F20"/>
          <w:spacing w:val="-6"/>
        </w:rPr>
        <w:t> </w:t>
      </w:r>
      <w:r>
        <w:rPr>
          <w:color w:val="231F20"/>
        </w:rPr>
        <w:t>for</w:t>
      </w:r>
      <w:r>
        <w:rPr>
          <w:color w:val="231F20"/>
          <w:spacing w:val="-6"/>
        </w:rPr>
        <w:t> </w:t>
      </w:r>
      <w:r>
        <w:rPr>
          <w:color w:val="231F20"/>
        </w:rPr>
        <w:t>customs</w:t>
      </w:r>
      <w:r>
        <w:rPr>
          <w:color w:val="231F20"/>
          <w:spacing w:val="-5"/>
        </w:rPr>
        <w:t> </w:t>
      </w:r>
      <w:r>
        <w:rPr>
          <w:color w:val="231F20"/>
        </w:rPr>
        <w:t>clearance of goods received at the ports, creating delays in this process and in getting the goods to their final destination.</w:t>
      </w:r>
    </w:p>
    <w:p>
      <w:pPr>
        <w:spacing w:before="167"/>
        <w:ind w:left="1133" w:right="6352" w:firstLine="0"/>
        <w:jc w:val="both"/>
        <w:rPr>
          <w:i/>
          <w:sz w:val="24"/>
        </w:rPr>
      </w:pPr>
      <w:r>
        <w:rPr>
          <w:i/>
          <w:color w:val="231F20"/>
          <w:sz w:val="24"/>
        </w:rPr>
        <w:t>The</w:t>
      </w:r>
      <w:r>
        <w:rPr>
          <w:i/>
          <w:color w:val="231F20"/>
          <w:spacing w:val="40"/>
          <w:sz w:val="24"/>
        </w:rPr>
        <w:t> </w:t>
      </w:r>
      <w:r>
        <w:rPr>
          <w:i/>
          <w:color w:val="231F20"/>
          <w:sz w:val="24"/>
        </w:rPr>
        <w:t>persistence</w:t>
      </w:r>
      <w:r>
        <w:rPr>
          <w:i/>
          <w:color w:val="231F20"/>
          <w:spacing w:val="40"/>
          <w:sz w:val="24"/>
        </w:rPr>
        <w:t> </w:t>
      </w:r>
      <w:r>
        <w:rPr>
          <w:i/>
          <w:color w:val="231F20"/>
          <w:sz w:val="24"/>
        </w:rPr>
        <w:t>of</w:t>
      </w:r>
      <w:r>
        <w:rPr>
          <w:i/>
          <w:color w:val="231F20"/>
          <w:spacing w:val="40"/>
          <w:sz w:val="24"/>
        </w:rPr>
        <w:t> </w:t>
      </w:r>
      <w:r>
        <w:rPr>
          <w:i/>
          <w:color w:val="231F20"/>
          <w:sz w:val="24"/>
        </w:rPr>
        <w:t>sanctions</w:t>
      </w:r>
      <w:r>
        <w:rPr>
          <w:i/>
          <w:color w:val="231F20"/>
          <w:spacing w:val="40"/>
          <w:sz w:val="24"/>
        </w:rPr>
        <w:t> </w:t>
      </w:r>
      <w:r>
        <w:rPr>
          <w:i/>
          <w:color w:val="231F20"/>
          <w:sz w:val="24"/>
        </w:rPr>
        <w:t>on</w:t>
      </w:r>
      <w:r>
        <w:rPr>
          <w:i/>
          <w:color w:val="231F20"/>
          <w:spacing w:val="40"/>
          <w:sz w:val="24"/>
        </w:rPr>
        <w:t> </w:t>
      </w:r>
      <w:r>
        <w:rPr>
          <w:i/>
          <w:color w:val="231F20"/>
          <w:sz w:val="24"/>
        </w:rPr>
        <w:t>the</w:t>
      </w:r>
      <w:r>
        <w:rPr>
          <w:i/>
          <w:color w:val="231F20"/>
          <w:sz w:val="24"/>
        </w:rPr>
        <w:t> Cuban FINCIMEX non-banking financial </w:t>
      </w:r>
      <w:r>
        <w:rPr>
          <w:i/>
          <w:color w:val="231F20"/>
          <w:spacing w:val="-4"/>
          <w:sz w:val="24"/>
        </w:rPr>
        <w:t>organization</w:t>
      </w:r>
      <w:r>
        <w:rPr>
          <w:i/>
          <w:color w:val="231F20"/>
          <w:spacing w:val="-10"/>
          <w:sz w:val="24"/>
        </w:rPr>
        <w:t> </w:t>
      </w:r>
      <w:r>
        <w:rPr>
          <w:i/>
          <w:color w:val="231F20"/>
          <w:spacing w:val="-4"/>
          <w:sz w:val="24"/>
        </w:rPr>
        <w:t>continues</w:t>
      </w:r>
      <w:r>
        <w:rPr>
          <w:i/>
          <w:color w:val="231F20"/>
          <w:spacing w:val="-10"/>
          <w:sz w:val="24"/>
        </w:rPr>
        <w:t> </w:t>
      </w:r>
      <w:r>
        <w:rPr>
          <w:i/>
          <w:color w:val="231F20"/>
          <w:spacing w:val="-4"/>
          <w:sz w:val="24"/>
        </w:rPr>
        <w:t>to</w:t>
      </w:r>
      <w:r>
        <w:rPr>
          <w:i/>
          <w:color w:val="231F20"/>
          <w:spacing w:val="-11"/>
          <w:sz w:val="24"/>
        </w:rPr>
        <w:t> </w:t>
      </w:r>
      <w:r>
        <w:rPr>
          <w:i/>
          <w:color w:val="231F20"/>
          <w:spacing w:val="-4"/>
          <w:sz w:val="24"/>
        </w:rPr>
        <w:t>affect</w:t>
      </w:r>
      <w:r>
        <w:rPr>
          <w:i/>
          <w:color w:val="231F20"/>
          <w:spacing w:val="-11"/>
          <w:sz w:val="24"/>
        </w:rPr>
        <w:t> </w:t>
      </w:r>
      <w:r>
        <w:rPr>
          <w:i/>
          <w:color w:val="231F20"/>
          <w:spacing w:val="-4"/>
          <w:sz w:val="24"/>
        </w:rPr>
        <w:t>the</w:t>
      </w:r>
      <w:r>
        <w:rPr>
          <w:i/>
          <w:color w:val="231F20"/>
          <w:spacing w:val="-10"/>
          <w:sz w:val="24"/>
        </w:rPr>
        <w:t> </w:t>
      </w:r>
      <w:r>
        <w:rPr>
          <w:i/>
          <w:color w:val="231F20"/>
          <w:spacing w:val="-4"/>
          <w:sz w:val="24"/>
        </w:rPr>
        <w:t>volumes </w:t>
      </w:r>
      <w:r>
        <w:rPr>
          <w:i/>
          <w:color w:val="231F20"/>
          <w:sz w:val="24"/>
        </w:rPr>
        <w:t>of</w:t>
      </w:r>
      <w:r>
        <w:rPr>
          <w:i/>
          <w:color w:val="231F20"/>
          <w:spacing w:val="23"/>
          <w:sz w:val="24"/>
        </w:rPr>
        <w:t> </w:t>
      </w:r>
      <w:r>
        <w:rPr>
          <w:i/>
          <w:color w:val="231F20"/>
          <w:sz w:val="24"/>
        </w:rPr>
        <w:t>remittances</w:t>
      </w:r>
      <w:r>
        <w:rPr>
          <w:i/>
          <w:color w:val="231F20"/>
          <w:spacing w:val="24"/>
          <w:sz w:val="24"/>
        </w:rPr>
        <w:t> </w:t>
      </w:r>
      <w:r>
        <w:rPr>
          <w:i/>
          <w:color w:val="231F20"/>
          <w:sz w:val="24"/>
        </w:rPr>
        <w:t>to</w:t>
      </w:r>
      <w:r>
        <w:rPr>
          <w:i/>
          <w:color w:val="231F20"/>
          <w:spacing w:val="24"/>
          <w:sz w:val="24"/>
        </w:rPr>
        <w:t> </w:t>
      </w:r>
      <w:r>
        <w:rPr>
          <w:i/>
          <w:color w:val="231F20"/>
          <w:sz w:val="24"/>
        </w:rPr>
        <w:t>the</w:t>
      </w:r>
      <w:r>
        <w:rPr>
          <w:i/>
          <w:color w:val="231F20"/>
          <w:spacing w:val="24"/>
          <w:sz w:val="24"/>
        </w:rPr>
        <w:t> </w:t>
      </w:r>
      <w:r>
        <w:rPr>
          <w:i/>
          <w:color w:val="231F20"/>
          <w:sz w:val="24"/>
        </w:rPr>
        <w:t>population</w:t>
      </w:r>
      <w:r>
        <w:rPr>
          <w:i/>
          <w:color w:val="231F20"/>
          <w:spacing w:val="24"/>
          <w:sz w:val="24"/>
        </w:rPr>
        <w:t> </w:t>
      </w:r>
      <w:r>
        <w:rPr>
          <w:i/>
          <w:color w:val="231F20"/>
          <w:sz w:val="24"/>
        </w:rPr>
        <w:t>from</w:t>
      </w:r>
      <w:r>
        <w:rPr>
          <w:i/>
          <w:color w:val="231F20"/>
          <w:spacing w:val="24"/>
          <w:sz w:val="24"/>
        </w:rPr>
        <w:t> </w:t>
      </w:r>
      <w:r>
        <w:rPr>
          <w:i/>
          <w:color w:val="231F20"/>
          <w:spacing w:val="-5"/>
          <w:sz w:val="24"/>
        </w:rPr>
        <w:t>the</w:t>
      </w:r>
    </w:p>
    <w:p>
      <w:pPr>
        <w:spacing w:before="3"/>
        <w:ind w:left="1133" w:right="6351" w:firstLine="0"/>
        <w:jc w:val="both"/>
        <w:rPr>
          <w:i/>
          <w:sz w:val="24"/>
        </w:rPr>
      </w:pPr>
      <w:r>
        <w:rPr>
          <w:i/>
          <w:color w:val="231F20"/>
          <w:sz w:val="24"/>
        </w:rPr>
        <w:t>U.S. via Western Union, the latter having</w:t>
      </w:r>
      <w:r>
        <w:rPr>
          <w:i/>
          <w:color w:val="231F20"/>
          <w:sz w:val="24"/>
        </w:rPr>
        <w:t> </w:t>
      </w:r>
      <w:r>
        <w:rPr>
          <w:i/>
          <w:color w:val="231F20"/>
          <w:spacing w:val="-2"/>
          <w:sz w:val="24"/>
        </w:rPr>
        <w:t>closed</w:t>
      </w:r>
      <w:r>
        <w:rPr>
          <w:i/>
          <w:color w:val="231F20"/>
          <w:spacing w:val="-12"/>
          <w:sz w:val="24"/>
        </w:rPr>
        <w:t> </w:t>
      </w:r>
      <w:r>
        <w:rPr>
          <w:i/>
          <w:color w:val="231F20"/>
          <w:spacing w:val="-2"/>
          <w:sz w:val="24"/>
        </w:rPr>
        <w:t>all</w:t>
      </w:r>
      <w:r>
        <w:rPr>
          <w:i/>
          <w:color w:val="231F20"/>
          <w:spacing w:val="-12"/>
          <w:sz w:val="24"/>
        </w:rPr>
        <w:t> </w:t>
      </w:r>
      <w:r>
        <w:rPr>
          <w:i/>
          <w:color w:val="231F20"/>
          <w:spacing w:val="-2"/>
          <w:sz w:val="24"/>
        </w:rPr>
        <w:t>its</w:t>
      </w:r>
      <w:r>
        <w:rPr>
          <w:i/>
          <w:color w:val="231F20"/>
          <w:spacing w:val="-12"/>
          <w:sz w:val="24"/>
        </w:rPr>
        <w:t> </w:t>
      </w:r>
      <w:r>
        <w:rPr>
          <w:i/>
          <w:color w:val="231F20"/>
          <w:spacing w:val="-2"/>
          <w:sz w:val="24"/>
        </w:rPr>
        <w:t>branches</w:t>
      </w:r>
      <w:r>
        <w:rPr>
          <w:i/>
          <w:color w:val="231F20"/>
          <w:spacing w:val="-12"/>
          <w:sz w:val="24"/>
        </w:rPr>
        <w:t> </w:t>
      </w:r>
      <w:r>
        <w:rPr>
          <w:i/>
          <w:color w:val="231F20"/>
          <w:spacing w:val="-2"/>
          <w:sz w:val="24"/>
        </w:rPr>
        <w:t>in</w:t>
      </w:r>
      <w:r>
        <w:rPr>
          <w:i/>
          <w:color w:val="231F20"/>
          <w:spacing w:val="-12"/>
          <w:sz w:val="24"/>
        </w:rPr>
        <w:t> </w:t>
      </w:r>
      <w:r>
        <w:rPr>
          <w:i/>
          <w:color w:val="231F20"/>
          <w:spacing w:val="-2"/>
          <w:sz w:val="24"/>
        </w:rPr>
        <w:t>Cuba</w:t>
      </w:r>
      <w:r>
        <w:rPr>
          <w:i/>
          <w:color w:val="231F20"/>
          <w:spacing w:val="-12"/>
          <w:sz w:val="24"/>
        </w:rPr>
        <w:t> </w:t>
      </w:r>
      <w:r>
        <w:rPr>
          <w:i/>
          <w:color w:val="231F20"/>
          <w:spacing w:val="-2"/>
          <w:sz w:val="24"/>
        </w:rPr>
        <w:t>in</w:t>
      </w:r>
      <w:r>
        <w:rPr>
          <w:i/>
          <w:color w:val="231F20"/>
          <w:spacing w:val="-12"/>
          <w:sz w:val="24"/>
        </w:rPr>
        <w:t> </w:t>
      </w:r>
      <w:r>
        <w:rPr>
          <w:i/>
          <w:color w:val="231F20"/>
          <w:spacing w:val="-2"/>
          <w:sz w:val="24"/>
        </w:rPr>
        <w:t>November </w:t>
      </w:r>
      <w:r>
        <w:rPr>
          <w:i/>
          <w:color w:val="231F20"/>
          <w:spacing w:val="-6"/>
          <w:sz w:val="24"/>
        </w:rPr>
        <w:t>2020.</w:t>
      </w:r>
      <w:r>
        <w:rPr>
          <w:i/>
          <w:color w:val="231F20"/>
          <w:spacing w:val="-9"/>
          <w:sz w:val="24"/>
        </w:rPr>
        <w:t> </w:t>
      </w:r>
      <w:r>
        <w:rPr>
          <w:i/>
          <w:color w:val="231F20"/>
          <w:spacing w:val="-6"/>
          <w:sz w:val="24"/>
        </w:rPr>
        <w:t>In</w:t>
      </w:r>
      <w:r>
        <w:rPr>
          <w:i/>
          <w:color w:val="231F20"/>
          <w:spacing w:val="-9"/>
          <w:sz w:val="24"/>
        </w:rPr>
        <w:t> </w:t>
      </w:r>
      <w:r>
        <w:rPr>
          <w:i/>
          <w:color w:val="231F20"/>
          <w:spacing w:val="-6"/>
          <w:sz w:val="24"/>
        </w:rPr>
        <w:t>the</w:t>
      </w:r>
      <w:r>
        <w:rPr>
          <w:i/>
          <w:color w:val="231F20"/>
          <w:spacing w:val="-9"/>
          <w:sz w:val="24"/>
        </w:rPr>
        <w:t> </w:t>
      </w:r>
      <w:r>
        <w:rPr>
          <w:i/>
          <w:color w:val="231F20"/>
          <w:spacing w:val="-6"/>
          <w:sz w:val="24"/>
        </w:rPr>
        <w:t>period</w:t>
      </w:r>
      <w:r>
        <w:rPr>
          <w:i/>
          <w:color w:val="231F20"/>
          <w:spacing w:val="-9"/>
          <w:sz w:val="24"/>
        </w:rPr>
        <w:t> </w:t>
      </w:r>
      <w:r>
        <w:rPr>
          <w:i/>
          <w:color w:val="231F20"/>
          <w:spacing w:val="-6"/>
          <w:sz w:val="24"/>
        </w:rPr>
        <w:t>under</w:t>
      </w:r>
      <w:r>
        <w:rPr>
          <w:i/>
          <w:color w:val="231F20"/>
          <w:spacing w:val="-9"/>
          <w:sz w:val="24"/>
        </w:rPr>
        <w:t> </w:t>
      </w:r>
      <w:r>
        <w:rPr>
          <w:i/>
          <w:color w:val="231F20"/>
          <w:spacing w:val="-6"/>
          <w:sz w:val="24"/>
        </w:rPr>
        <w:t>review,</w:t>
      </w:r>
      <w:r>
        <w:rPr>
          <w:i/>
          <w:color w:val="231F20"/>
          <w:spacing w:val="-9"/>
          <w:sz w:val="24"/>
        </w:rPr>
        <w:t> </w:t>
      </w:r>
      <w:r>
        <w:rPr>
          <w:i/>
          <w:color w:val="231F20"/>
          <w:spacing w:val="-6"/>
          <w:sz w:val="24"/>
        </w:rPr>
        <w:t>remittances foregone for this reason totaled an estimated </w:t>
      </w:r>
      <w:r>
        <w:rPr>
          <w:i/>
          <w:color w:val="231F20"/>
          <w:sz w:val="24"/>
        </w:rPr>
        <w:t>USD 651,329,080, directly affecting the Cuban families concerned.</w:t>
      </w:r>
    </w:p>
    <w:p>
      <w:pPr>
        <w:pStyle w:val="BodyText"/>
        <w:spacing w:before="164"/>
        <w:ind w:left="1133" w:right="6353"/>
      </w:pPr>
      <w:r>
        <w:rPr>
          <w:color w:val="231F20"/>
          <w:spacing w:val="-2"/>
        </w:rPr>
        <w:t>The</w:t>
      </w:r>
      <w:r>
        <w:rPr>
          <w:color w:val="231F20"/>
          <w:spacing w:val="-15"/>
        </w:rPr>
        <w:t> </w:t>
      </w:r>
      <w:r>
        <w:rPr>
          <w:color w:val="231F20"/>
          <w:spacing w:val="-2"/>
        </w:rPr>
        <w:t>U.S.</w:t>
      </w:r>
      <w:r>
        <w:rPr>
          <w:color w:val="231F20"/>
          <w:spacing w:val="-14"/>
        </w:rPr>
        <w:t> </w:t>
      </w:r>
      <w:r>
        <w:rPr>
          <w:color w:val="231F20"/>
          <w:spacing w:val="-2"/>
        </w:rPr>
        <w:t>money</w:t>
      </w:r>
      <w:r>
        <w:rPr>
          <w:color w:val="231F20"/>
          <w:spacing w:val="-15"/>
        </w:rPr>
        <w:t> </w:t>
      </w:r>
      <w:r>
        <w:rPr>
          <w:color w:val="231F20"/>
          <w:spacing w:val="-2"/>
        </w:rPr>
        <w:t>transfer</w:t>
      </w:r>
      <w:r>
        <w:rPr>
          <w:color w:val="231F20"/>
          <w:spacing w:val="-14"/>
        </w:rPr>
        <w:t> </w:t>
      </w:r>
      <w:r>
        <w:rPr>
          <w:color w:val="231F20"/>
          <w:spacing w:val="-2"/>
        </w:rPr>
        <w:t>agencies</w:t>
      </w:r>
      <w:r>
        <w:rPr>
          <w:color w:val="231F20"/>
          <w:spacing w:val="-15"/>
        </w:rPr>
        <w:t> </w:t>
      </w:r>
      <w:r>
        <w:rPr>
          <w:color w:val="231F20"/>
          <w:spacing w:val="-2"/>
        </w:rPr>
        <w:t>VA</w:t>
      </w:r>
      <w:r>
        <w:rPr>
          <w:color w:val="231F20"/>
          <w:spacing w:val="-14"/>
        </w:rPr>
        <w:t> </w:t>
      </w:r>
      <w:r>
        <w:rPr>
          <w:color w:val="231F20"/>
          <w:spacing w:val="-2"/>
        </w:rPr>
        <w:t>CUBA </w:t>
      </w:r>
      <w:r>
        <w:rPr>
          <w:color w:val="231F20"/>
          <w:spacing w:val="-10"/>
        </w:rPr>
        <w:t>and</w:t>
      </w:r>
      <w:r>
        <w:rPr>
          <w:color w:val="231F20"/>
          <w:spacing w:val="-7"/>
        </w:rPr>
        <w:t> </w:t>
      </w:r>
      <w:r>
        <w:rPr>
          <w:color w:val="231F20"/>
          <w:spacing w:val="-10"/>
        </w:rPr>
        <w:t>CUBAMAX</w:t>
      </w:r>
      <w:r>
        <w:rPr>
          <w:color w:val="231F20"/>
          <w:spacing w:val="-6"/>
        </w:rPr>
        <w:t> </w:t>
      </w:r>
      <w:r>
        <w:rPr>
          <w:color w:val="231F20"/>
          <w:spacing w:val="-10"/>
        </w:rPr>
        <w:t>have</w:t>
      </w:r>
      <w:r>
        <w:rPr>
          <w:color w:val="231F20"/>
          <w:spacing w:val="-7"/>
        </w:rPr>
        <w:t> </w:t>
      </w:r>
      <w:r>
        <w:rPr>
          <w:color w:val="231F20"/>
          <w:spacing w:val="-10"/>
        </w:rPr>
        <w:t>been</w:t>
      </w:r>
      <w:r>
        <w:rPr>
          <w:color w:val="231F20"/>
          <w:spacing w:val="-6"/>
        </w:rPr>
        <w:t> </w:t>
      </w:r>
      <w:r>
        <w:rPr>
          <w:color w:val="231F20"/>
          <w:spacing w:val="-10"/>
        </w:rPr>
        <w:t>obliged</w:t>
      </w:r>
      <w:r>
        <w:rPr>
          <w:color w:val="231F20"/>
          <w:spacing w:val="-7"/>
        </w:rPr>
        <w:t> </w:t>
      </w:r>
      <w:r>
        <w:rPr>
          <w:color w:val="231F20"/>
          <w:spacing w:val="-10"/>
        </w:rPr>
        <w:t>to</w:t>
      </w:r>
      <w:r>
        <w:rPr>
          <w:color w:val="231F20"/>
          <w:spacing w:val="-6"/>
        </w:rPr>
        <w:t> </w:t>
      </w:r>
      <w:r>
        <w:rPr>
          <w:color w:val="231F20"/>
          <w:spacing w:val="-10"/>
        </w:rPr>
        <w:t>operate </w:t>
      </w:r>
      <w:r>
        <w:rPr>
          <w:color w:val="231F20"/>
          <w:spacing w:val="-8"/>
        </w:rPr>
        <w:t>below</w:t>
      </w:r>
      <w:r>
        <w:rPr>
          <w:color w:val="231F20"/>
          <w:spacing w:val="-9"/>
        </w:rPr>
        <w:t> </w:t>
      </w:r>
      <w:r>
        <w:rPr>
          <w:color w:val="231F20"/>
          <w:spacing w:val="-8"/>
        </w:rPr>
        <w:t>capacity. In</w:t>
      </w:r>
      <w:r>
        <w:rPr>
          <w:color w:val="231F20"/>
          <w:spacing w:val="-9"/>
        </w:rPr>
        <w:t> </w:t>
      </w:r>
      <w:r>
        <w:rPr>
          <w:color w:val="231F20"/>
          <w:spacing w:val="-8"/>
        </w:rPr>
        <w:t>the case</w:t>
      </w:r>
      <w:r>
        <w:rPr>
          <w:color w:val="231F20"/>
          <w:spacing w:val="-9"/>
        </w:rPr>
        <w:t> </w:t>
      </w:r>
      <w:r>
        <w:rPr>
          <w:color w:val="231F20"/>
          <w:spacing w:val="-8"/>
        </w:rPr>
        <w:t>of the</w:t>
      </w:r>
      <w:r>
        <w:rPr>
          <w:color w:val="231F20"/>
          <w:spacing w:val="-9"/>
        </w:rPr>
        <w:t> </w:t>
      </w:r>
      <w:r>
        <w:rPr>
          <w:color w:val="231F20"/>
          <w:spacing w:val="-8"/>
        </w:rPr>
        <w:t>latter, it has </w:t>
      </w:r>
      <w:r>
        <w:rPr>
          <w:color w:val="231F20"/>
          <w:spacing w:val="-6"/>
        </w:rPr>
        <w:t>had to resort to triangulated credit transfers </w:t>
      </w:r>
      <w:r>
        <w:rPr>
          <w:color w:val="231F20"/>
          <w:spacing w:val="-2"/>
        </w:rPr>
        <w:t>involving</w:t>
      </w:r>
      <w:r>
        <w:rPr>
          <w:color w:val="231F20"/>
          <w:spacing w:val="-14"/>
        </w:rPr>
        <w:t> </w:t>
      </w:r>
      <w:r>
        <w:rPr>
          <w:color w:val="231F20"/>
          <w:spacing w:val="-2"/>
        </w:rPr>
        <w:t>other</w:t>
      </w:r>
      <w:r>
        <w:rPr>
          <w:color w:val="231F20"/>
          <w:spacing w:val="-14"/>
        </w:rPr>
        <w:t> </w:t>
      </w:r>
      <w:r>
        <w:rPr>
          <w:color w:val="231F20"/>
          <w:spacing w:val="-2"/>
        </w:rPr>
        <w:t>trading</w:t>
      </w:r>
      <w:r>
        <w:rPr>
          <w:color w:val="231F20"/>
          <w:spacing w:val="-14"/>
        </w:rPr>
        <w:t> </w:t>
      </w:r>
      <w:r>
        <w:rPr>
          <w:color w:val="231F20"/>
          <w:spacing w:val="-2"/>
        </w:rPr>
        <w:t>partners.</w:t>
      </w:r>
    </w:p>
    <w:p>
      <w:pPr>
        <w:pStyle w:val="BodyText"/>
        <w:spacing w:before="164"/>
        <w:ind w:left="1133" w:right="6346"/>
      </w:pPr>
      <w:r>
        <w:rPr>
          <w:color w:val="231F20"/>
        </w:rPr>
        <w:t>In the case of VA CUBA, deprivation </w:t>
      </w:r>
      <w:r>
        <w:rPr>
          <w:color w:val="231F20"/>
        </w:rPr>
        <w:t>of </w:t>
      </w:r>
      <w:r>
        <w:rPr>
          <w:color w:val="231F20"/>
          <w:spacing w:val="-2"/>
        </w:rPr>
        <w:t>Cuban</w:t>
      </w:r>
      <w:r>
        <w:rPr>
          <w:color w:val="231F20"/>
          <w:spacing w:val="-15"/>
        </w:rPr>
        <w:t> </w:t>
      </w:r>
      <w:r>
        <w:rPr>
          <w:color w:val="231F20"/>
          <w:spacing w:val="-2"/>
        </w:rPr>
        <w:t>families</w:t>
      </w:r>
      <w:r>
        <w:rPr>
          <w:color w:val="231F20"/>
          <w:spacing w:val="-14"/>
        </w:rPr>
        <w:t> </w:t>
      </w:r>
      <w:r>
        <w:rPr>
          <w:color w:val="231F20"/>
          <w:spacing w:val="-2"/>
        </w:rPr>
        <w:t>in</w:t>
      </w:r>
      <w:r>
        <w:rPr>
          <w:color w:val="231F20"/>
          <w:spacing w:val="-15"/>
        </w:rPr>
        <w:t> </w:t>
      </w:r>
      <w:r>
        <w:rPr>
          <w:color w:val="231F20"/>
          <w:spacing w:val="-2"/>
        </w:rPr>
        <w:t>the</w:t>
      </w:r>
      <w:r>
        <w:rPr>
          <w:color w:val="231F20"/>
          <w:spacing w:val="-14"/>
        </w:rPr>
        <w:t> </w:t>
      </w:r>
      <w:r>
        <w:rPr>
          <w:color w:val="231F20"/>
          <w:spacing w:val="-2"/>
        </w:rPr>
        <w:t>period</w:t>
      </w:r>
      <w:r>
        <w:rPr>
          <w:color w:val="231F20"/>
          <w:spacing w:val="-15"/>
        </w:rPr>
        <w:t> </w:t>
      </w:r>
      <w:r>
        <w:rPr>
          <w:color w:val="231F20"/>
          <w:spacing w:val="-2"/>
        </w:rPr>
        <w:t>is</w:t>
      </w:r>
      <w:r>
        <w:rPr>
          <w:color w:val="231F20"/>
          <w:spacing w:val="-14"/>
        </w:rPr>
        <w:t> </w:t>
      </w:r>
      <w:r>
        <w:rPr>
          <w:color w:val="231F20"/>
          <w:spacing w:val="-2"/>
        </w:rPr>
        <w:t>estimated</w:t>
      </w:r>
      <w:r>
        <w:rPr>
          <w:color w:val="231F20"/>
          <w:spacing w:val="-15"/>
        </w:rPr>
        <w:t> </w:t>
      </w:r>
      <w:r>
        <w:rPr>
          <w:color w:val="231F20"/>
          <w:spacing w:val="-2"/>
        </w:rPr>
        <w:t>at </w:t>
      </w:r>
      <w:r>
        <w:rPr>
          <w:color w:val="231F20"/>
        </w:rPr>
        <w:t>USD 21,981,060, while the corresponding total for CUBAMAX was USD 8,961,090.</w:t>
      </w:r>
    </w:p>
    <w:p>
      <w:pPr>
        <w:pStyle w:val="BodyText"/>
        <w:spacing w:before="208"/>
        <w:jc w:val="left"/>
        <w:rPr>
          <w:sz w:val="20"/>
        </w:rPr>
      </w:pPr>
      <w:r>
        <w:rPr/>
        <mc:AlternateContent>
          <mc:Choice Requires="wps">
            <w:drawing>
              <wp:anchor distT="0" distB="0" distL="0" distR="0" allowOverlap="1" layoutInCell="1" locked="0" behindDoc="1" simplePos="0" relativeHeight="487656960">
                <wp:simplePos x="0" y="0"/>
                <wp:positionH relativeFrom="page">
                  <wp:posOffset>2619006</wp:posOffset>
                </wp:positionH>
                <wp:positionV relativeFrom="paragraph">
                  <wp:posOffset>316239</wp:posOffset>
                </wp:positionV>
                <wp:extent cx="909319" cy="26034"/>
                <wp:effectExtent l="0" t="0" r="0" b="0"/>
                <wp:wrapTopAndBottom/>
                <wp:docPr id="299" name="Graphic 299"/>
                <wp:cNvGraphicFramePr>
                  <a:graphicFrameLocks/>
                </wp:cNvGraphicFramePr>
                <a:graphic>
                  <a:graphicData uri="http://schemas.microsoft.com/office/word/2010/wordprocessingShape">
                    <wps:wsp>
                      <wps:cNvPr id="299" name="Graphic 299"/>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06.220993pt;margin-top:24.900782pt;width:71.584pt;height:2.021pt;mso-position-horizontal-relative:page;mso-position-vertical-relative:paragraph;z-index:-15659520;mso-wrap-distance-left:0;mso-wrap-distance-right:0" id="docshape237"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sectPr>
      </w:pPr>
    </w:p>
    <w:p>
      <w:pPr>
        <w:pStyle w:val="BodyText"/>
        <w:spacing w:before="636"/>
        <w:jc w:val="left"/>
        <w:rPr>
          <w:sz w:val="56"/>
        </w:rPr>
      </w:pPr>
    </w:p>
    <w:p>
      <w:pPr>
        <w:pStyle w:val="Heading1"/>
        <w:spacing w:line="220" w:lineRule="auto" w:before="0"/>
        <w:ind w:left="1474" w:right="5511"/>
      </w:pPr>
      <w:r>
        <w:rPr/>
        <mc:AlternateContent>
          <mc:Choice Requires="wps">
            <w:drawing>
              <wp:anchor distT="0" distB="0" distL="0" distR="0" allowOverlap="1" layoutInCell="1" locked="0" behindDoc="1" simplePos="0" relativeHeight="485821952">
                <wp:simplePos x="0" y="0"/>
                <wp:positionH relativeFrom="page">
                  <wp:posOffset>840247</wp:posOffset>
                </wp:positionH>
                <wp:positionV relativeFrom="paragraph">
                  <wp:posOffset>-830592</wp:posOffset>
                </wp:positionV>
                <wp:extent cx="1109980" cy="1544955"/>
                <wp:effectExtent l="0" t="0" r="0" b="0"/>
                <wp:wrapNone/>
                <wp:docPr id="300" name="Textbox 300"/>
                <wp:cNvGraphicFramePr>
                  <a:graphicFrameLocks/>
                </wp:cNvGraphicFramePr>
                <a:graphic>
                  <a:graphicData uri="http://schemas.microsoft.com/office/word/2010/wordprocessingShape">
                    <wps:wsp>
                      <wps:cNvPr id="300" name="Textbox 300"/>
                      <wps:cNvSpPr txBox="1"/>
                      <wps:spPr>
                        <a:xfrm>
                          <a:off x="0" y="0"/>
                          <a:ext cx="1109980"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12"/>
                                <w:w w:val="124"/>
                                <w:sz w:val="243"/>
                              </w:rPr>
                              <w:t>0</w:t>
                            </w:r>
                            <w:r>
                              <w:rPr>
                                <w:rFonts w:ascii="Arial"/>
                                <w:color w:val="B3B4CF"/>
                                <w:spacing w:val="-1634"/>
                                <w:w w:val="116"/>
                                <w:sz w:val="243"/>
                              </w:rPr>
                              <w:t>4</w:t>
                            </w:r>
                          </w:p>
                        </w:txbxContent>
                      </wps:txbx>
                      <wps:bodyPr wrap="square" lIns="0" tIns="0" rIns="0" bIns="0" rtlCol="0">
                        <a:noAutofit/>
                      </wps:bodyPr>
                    </wps:wsp>
                  </a:graphicData>
                </a:graphic>
              </wp:anchor>
            </w:drawing>
          </mc:Choice>
          <mc:Fallback>
            <w:pict>
              <v:shape style="position:absolute;margin-left:66.161201pt;margin-top:-65.400978pt;width:87.4pt;height:121.65pt;mso-position-horizontal-relative:page;mso-position-vertical-relative:paragraph;z-index:-17494528" type="#_x0000_t202" id="docshape238" filled="false" stroked="false">
                <v:textbox inset="0,0,0,0">
                  <w:txbxContent>
                    <w:p>
                      <w:pPr>
                        <w:spacing w:line="2432" w:lineRule="exact" w:before="0"/>
                        <w:ind w:left="0" w:right="0" w:firstLine="0"/>
                        <w:jc w:val="left"/>
                        <w:rPr>
                          <w:rFonts w:ascii="Arial"/>
                          <w:sz w:val="243"/>
                        </w:rPr>
                      </w:pPr>
                      <w:r>
                        <w:rPr>
                          <w:rFonts w:ascii="Arial"/>
                          <w:color w:val="B3B4CF"/>
                          <w:spacing w:val="-12"/>
                          <w:w w:val="124"/>
                          <w:sz w:val="243"/>
                        </w:rPr>
                        <w:t>0</w:t>
                      </w:r>
                      <w:r>
                        <w:rPr>
                          <w:rFonts w:ascii="Arial"/>
                          <w:color w:val="B3B4CF"/>
                          <w:spacing w:val="-1634"/>
                          <w:w w:val="116"/>
                          <w:sz w:val="243"/>
                        </w:rPr>
                        <w:t>4</w:t>
                      </w:r>
                    </w:p>
                  </w:txbxContent>
                </v:textbox>
                <w10:wrap type="none"/>
              </v:shape>
            </w:pict>
          </mc:Fallback>
        </mc:AlternateContent>
      </w:r>
      <w:r>
        <w:rPr>
          <w:color w:val="B52628"/>
          <w:w w:val="110"/>
        </w:rPr>
        <w:t>The blockade </w:t>
      </w:r>
      <w:r>
        <w:rPr>
          <w:color w:val="B52628"/>
          <w:spacing w:val="-2"/>
          <w:w w:val="110"/>
        </w:rPr>
        <w:t>breaches international</w:t>
      </w:r>
      <w:r>
        <w:rPr>
          <w:color w:val="B52628"/>
          <w:spacing w:val="-45"/>
          <w:w w:val="110"/>
        </w:rPr>
        <w:t> </w:t>
      </w:r>
      <w:r>
        <w:rPr>
          <w:color w:val="B52628"/>
          <w:spacing w:val="-2"/>
          <w:w w:val="110"/>
        </w:rPr>
        <w:t>law. Extraterritorial application</w:t>
      </w:r>
    </w:p>
    <w:p>
      <w:pPr>
        <w:pStyle w:val="BodyText"/>
        <w:spacing w:before="148"/>
        <w:jc w:val="left"/>
        <w:rPr>
          <w:rFonts w:ascii="Trebuchet MS"/>
          <w:sz w:val="20"/>
        </w:rPr>
      </w:pPr>
      <w:r>
        <w:rPr/>
        <mc:AlternateContent>
          <mc:Choice Requires="wps">
            <w:drawing>
              <wp:anchor distT="0" distB="0" distL="0" distR="0" allowOverlap="1" layoutInCell="1" locked="0" behindDoc="1" simplePos="0" relativeHeight="487657472">
                <wp:simplePos x="0" y="0"/>
                <wp:positionH relativeFrom="page">
                  <wp:posOffset>936002</wp:posOffset>
                </wp:positionH>
                <wp:positionV relativeFrom="paragraph">
                  <wp:posOffset>256805</wp:posOffset>
                </wp:positionV>
                <wp:extent cx="909319" cy="26034"/>
                <wp:effectExtent l="0" t="0" r="0" b="0"/>
                <wp:wrapTopAndBottom/>
                <wp:docPr id="301" name="Graphic 301"/>
                <wp:cNvGraphicFramePr>
                  <a:graphicFrameLocks/>
                </wp:cNvGraphicFramePr>
                <a:graphic>
                  <a:graphicData uri="http://schemas.microsoft.com/office/word/2010/wordprocessingShape">
                    <wps:wsp>
                      <wps:cNvPr id="301" name="Graphic 301"/>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73.700996pt;margin-top:20.220905pt;width:71.584pt;height:2.021pt;mso-position-horizontal-relative:page;mso-position-vertical-relative:paragraph;z-index:-15659008;mso-wrap-distance-left:0;mso-wrap-distance-right:0" id="docshape239" filled="true" fillcolor="#1f4282" stroked="false">
                <v:fill type="solid"/>
                <w10:wrap type="topAndBottom"/>
              </v:rect>
            </w:pict>
          </mc:Fallback>
        </mc:AlternateContent>
      </w:r>
    </w:p>
    <w:p>
      <w:pPr>
        <w:tabs>
          <w:tab w:pos="6349" w:val="left" w:leader="none"/>
        </w:tabs>
        <w:spacing w:line="318" w:lineRule="exact" w:before="382"/>
        <w:ind w:left="1474" w:right="0" w:firstLine="0"/>
        <w:jc w:val="left"/>
        <w:rPr>
          <w:sz w:val="24"/>
        </w:rPr>
      </w:pPr>
      <w:r>
        <w:rPr>
          <w:rFonts w:ascii="Microsoft Sans Serif"/>
          <w:color w:val="1F4282"/>
          <w:w w:val="105"/>
          <w:sz w:val="28"/>
        </w:rPr>
        <w:t>Impact</w:t>
      </w:r>
      <w:r>
        <w:rPr>
          <w:rFonts w:ascii="Microsoft Sans Serif"/>
          <w:color w:val="1F4282"/>
          <w:spacing w:val="56"/>
          <w:w w:val="105"/>
          <w:sz w:val="28"/>
        </w:rPr>
        <w:t> </w:t>
      </w:r>
      <w:r>
        <w:rPr>
          <w:rFonts w:ascii="Microsoft Sans Serif"/>
          <w:color w:val="1F4282"/>
          <w:w w:val="105"/>
          <w:sz w:val="28"/>
        </w:rPr>
        <w:t>on</w:t>
      </w:r>
      <w:r>
        <w:rPr>
          <w:rFonts w:ascii="Microsoft Sans Serif"/>
          <w:color w:val="1F4282"/>
          <w:spacing w:val="56"/>
          <w:w w:val="105"/>
          <w:sz w:val="28"/>
        </w:rPr>
        <w:t> </w:t>
      </w:r>
      <w:r>
        <w:rPr>
          <w:rFonts w:ascii="Microsoft Sans Serif"/>
          <w:color w:val="1F4282"/>
          <w:w w:val="105"/>
          <w:sz w:val="28"/>
        </w:rPr>
        <w:t>Cuban</w:t>
      </w:r>
      <w:r>
        <w:rPr>
          <w:rFonts w:ascii="Microsoft Sans Serif"/>
          <w:color w:val="1F4282"/>
          <w:spacing w:val="57"/>
          <w:w w:val="105"/>
          <w:sz w:val="28"/>
        </w:rPr>
        <w:t> </w:t>
      </w:r>
      <w:r>
        <w:rPr>
          <w:rFonts w:ascii="Microsoft Sans Serif"/>
          <w:color w:val="1F4282"/>
          <w:spacing w:val="-2"/>
          <w:w w:val="105"/>
          <w:sz w:val="28"/>
        </w:rPr>
        <w:t>entities</w:t>
      </w:r>
      <w:r>
        <w:rPr>
          <w:rFonts w:ascii="Microsoft Sans Serif"/>
          <w:color w:val="1F4282"/>
          <w:sz w:val="28"/>
        </w:rPr>
        <w:tab/>
      </w:r>
      <w:r>
        <w:rPr>
          <w:b/>
          <w:color w:val="B52628"/>
          <w:w w:val="105"/>
          <w:sz w:val="24"/>
        </w:rPr>
        <w:t>Also</w:t>
      </w:r>
      <w:r>
        <w:rPr>
          <w:b/>
          <w:color w:val="B52628"/>
          <w:spacing w:val="16"/>
          <w:w w:val="105"/>
          <w:sz w:val="24"/>
        </w:rPr>
        <w:t> </w:t>
      </w:r>
      <w:r>
        <w:rPr>
          <w:b/>
          <w:color w:val="B52628"/>
          <w:w w:val="105"/>
          <w:sz w:val="24"/>
        </w:rPr>
        <w:t>in</w:t>
      </w:r>
      <w:r>
        <w:rPr>
          <w:b/>
          <w:color w:val="B52628"/>
          <w:spacing w:val="16"/>
          <w:w w:val="105"/>
          <w:sz w:val="24"/>
        </w:rPr>
        <w:t> </w:t>
      </w:r>
      <w:r>
        <w:rPr>
          <w:b/>
          <w:color w:val="B52628"/>
          <w:w w:val="105"/>
          <w:sz w:val="24"/>
        </w:rPr>
        <w:t>August</w:t>
      </w:r>
      <w:r>
        <w:rPr>
          <w:b/>
          <w:color w:val="B52628"/>
          <w:spacing w:val="16"/>
          <w:w w:val="105"/>
          <w:sz w:val="24"/>
        </w:rPr>
        <w:t> </w:t>
      </w:r>
      <w:r>
        <w:rPr>
          <w:b/>
          <w:color w:val="B52628"/>
          <w:w w:val="105"/>
          <w:sz w:val="24"/>
        </w:rPr>
        <w:t>2022,</w:t>
      </w:r>
      <w:r>
        <w:rPr>
          <w:b/>
          <w:color w:val="B52628"/>
          <w:spacing w:val="16"/>
          <w:w w:val="105"/>
          <w:sz w:val="24"/>
        </w:rPr>
        <w:t> </w:t>
      </w:r>
      <w:r>
        <w:rPr>
          <w:color w:val="231F20"/>
          <w:w w:val="105"/>
          <w:sz w:val="24"/>
        </w:rPr>
        <w:t>after</w:t>
      </w:r>
      <w:r>
        <w:rPr>
          <w:color w:val="231F20"/>
          <w:spacing w:val="15"/>
          <w:w w:val="105"/>
          <w:sz w:val="24"/>
        </w:rPr>
        <w:t> </w:t>
      </w:r>
      <w:r>
        <w:rPr>
          <w:color w:val="231F20"/>
          <w:w w:val="105"/>
          <w:sz w:val="24"/>
        </w:rPr>
        <w:t>25</w:t>
      </w:r>
      <w:r>
        <w:rPr>
          <w:color w:val="231F20"/>
          <w:spacing w:val="16"/>
          <w:w w:val="105"/>
          <w:sz w:val="24"/>
        </w:rPr>
        <w:t> </w:t>
      </w:r>
      <w:r>
        <w:rPr>
          <w:color w:val="231F20"/>
          <w:w w:val="105"/>
          <w:sz w:val="24"/>
        </w:rPr>
        <w:t>years</w:t>
      </w:r>
      <w:r>
        <w:rPr>
          <w:color w:val="231F20"/>
          <w:spacing w:val="15"/>
          <w:w w:val="105"/>
          <w:sz w:val="24"/>
        </w:rPr>
        <w:t> </w:t>
      </w:r>
      <w:r>
        <w:rPr>
          <w:color w:val="231F20"/>
          <w:spacing w:val="-5"/>
          <w:w w:val="105"/>
          <w:sz w:val="24"/>
        </w:rPr>
        <w:t>of</w:t>
      </w:r>
    </w:p>
    <w:p>
      <w:pPr>
        <w:spacing w:after="0" w:line="318" w:lineRule="exact"/>
        <w:jc w:val="left"/>
        <w:rPr>
          <w:sz w:val="24"/>
        </w:rPr>
        <w:sectPr>
          <w:pgSz w:w="11910" w:h="16840"/>
          <w:pgMar w:header="0" w:footer="695" w:top="780" w:bottom="880" w:left="0" w:right="0"/>
        </w:sectPr>
      </w:pPr>
    </w:p>
    <w:p>
      <w:pPr>
        <w:pStyle w:val="BodyText"/>
        <w:spacing w:before="160"/>
        <w:ind w:left="1474"/>
      </w:pPr>
      <w:r>
        <w:rPr>
          <w:b/>
          <w:color w:val="B52628"/>
        </w:rPr>
        <w:t>In May 2022, </w:t>
      </w:r>
      <w:r>
        <w:rPr>
          <w:color w:val="231F20"/>
        </w:rPr>
        <w:t>YPF, Cubana de Aviación’s supplier of fuel in Argentina, notified its inability to service Cuban aircraft since </w:t>
      </w:r>
      <w:r>
        <w:rPr>
          <w:color w:val="231F20"/>
        </w:rPr>
        <w:t>its bank, the Spanish bank Santander, had refused</w:t>
      </w:r>
      <w:r>
        <w:rPr>
          <w:color w:val="231F20"/>
          <w:spacing w:val="-4"/>
        </w:rPr>
        <w:t> </w:t>
      </w:r>
      <w:r>
        <w:rPr>
          <w:color w:val="231F20"/>
        </w:rPr>
        <w:t>to</w:t>
      </w:r>
      <w:r>
        <w:rPr>
          <w:color w:val="231F20"/>
          <w:spacing w:val="-4"/>
        </w:rPr>
        <w:t> </w:t>
      </w:r>
      <w:r>
        <w:rPr>
          <w:color w:val="231F20"/>
        </w:rPr>
        <w:t>accept</w:t>
      </w:r>
      <w:r>
        <w:rPr>
          <w:color w:val="231F20"/>
          <w:spacing w:val="-4"/>
        </w:rPr>
        <w:t> </w:t>
      </w:r>
      <w:r>
        <w:rPr>
          <w:color w:val="231F20"/>
        </w:rPr>
        <w:t>payments</w:t>
      </w:r>
      <w:r>
        <w:rPr>
          <w:color w:val="231F20"/>
          <w:spacing w:val="-4"/>
        </w:rPr>
        <w:t> </w:t>
      </w:r>
      <w:r>
        <w:rPr>
          <w:color w:val="231F20"/>
        </w:rPr>
        <w:t>from</w:t>
      </w:r>
      <w:r>
        <w:rPr>
          <w:color w:val="231F20"/>
          <w:spacing w:val="-4"/>
        </w:rPr>
        <w:t> </w:t>
      </w:r>
      <w:r>
        <w:rPr>
          <w:color w:val="231F20"/>
        </w:rPr>
        <w:t>Cuba</w:t>
      </w:r>
      <w:r>
        <w:rPr>
          <w:color w:val="231F20"/>
          <w:spacing w:val="-4"/>
        </w:rPr>
        <w:t> </w:t>
      </w:r>
      <w:r>
        <w:rPr>
          <w:color w:val="231F20"/>
        </w:rPr>
        <w:t>as a country sanctioned by OFAC.</w:t>
      </w:r>
    </w:p>
    <w:p>
      <w:pPr>
        <w:pStyle w:val="BodyText"/>
        <w:spacing w:before="165"/>
        <w:ind w:left="1474" w:right="1"/>
      </w:pPr>
      <w:r>
        <w:rPr>
          <w:b/>
          <w:color w:val="B52628"/>
        </w:rPr>
        <w:t>During 2022, </w:t>
      </w:r>
      <w:r>
        <w:rPr>
          <w:color w:val="231F20"/>
        </w:rPr>
        <w:t>the Moroccan Tobacco Society, exclusive distributor of the celebrated</w:t>
      </w:r>
      <w:r>
        <w:rPr>
          <w:color w:val="231F20"/>
          <w:spacing w:val="40"/>
        </w:rPr>
        <w:t> </w:t>
      </w:r>
      <w:r>
        <w:rPr>
          <w:color w:val="231F20"/>
        </w:rPr>
        <w:t>Havanos</w:t>
      </w:r>
      <w:r>
        <w:rPr>
          <w:color w:val="231F20"/>
          <w:spacing w:val="40"/>
        </w:rPr>
        <w:t> </w:t>
      </w:r>
      <w:r>
        <w:rPr>
          <w:color w:val="231F20"/>
        </w:rPr>
        <w:t>cigars,</w:t>
      </w:r>
      <w:r>
        <w:rPr>
          <w:color w:val="231F20"/>
          <w:spacing w:val="40"/>
        </w:rPr>
        <w:t> </w:t>
      </w:r>
      <w:r>
        <w:rPr>
          <w:color w:val="231F20"/>
        </w:rPr>
        <w:t>was</w:t>
      </w:r>
      <w:r>
        <w:rPr>
          <w:color w:val="231F20"/>
          <w:spacing w:val="40"/>
        </w:rPr>
        <w:t> </w:t>
      </w:r>
      <w:r>
        <w:rPr>
          <w:color w:val="231F20"/>
        </w:rPr>
        <w:t>unable to</w:t>
      </w:r>
      <w:r>
        <w:rPr>
          <w:color w:val="231F20"/>
          <w:spacing w:val="40"/>
        </w:rPr>
        <w:t> </w:t>
      </w:r>
      <w:r>
        <w:rPr>
          <w:color w:val="231F20"/>
        </w:rPr>
        <w:t>pay</w:t>
      </w:r>
      <w:r>
        <w:rPr>
          <w:color w:val="231F20"/>
          <w:spacing w:val="40"/>
        </w:rPr>
        <w:t> </w:t>
      </w:r>
      <w:r>
        <w:rPr>
          <w:color w:val="231F20"/>
        </w:rPr>
        <w:t>its</w:t>
      </w:r>
      <w:r>
        <w:rPr>
          <w:color w:val="231F20"/>
          <w:spacing w:val="40"/>
        </w:rPr>
        <w:t> </w:t>
      </w:r>
      <w:r>
        <w:rPr>
          <w:color w:val="231F20"/>
        </w:rPr>
        <w:t>debt</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Cuban</w:t>
      </w:r>
      <w:r>
        <w:rPr>
          <w:color w:val="231F20"/>
          <w:spacing w:val="40"/>
        </w:rPr>
        <w:t> </w:t>
      </w:r>
      <w:r>
        <w:rPr>
          <w:color w:val="231F20"/>
        </w:rPr>
        <w:t>supplier due to refusal by intermediate banks to conduct operations with Cuba. The main Moroccan operators affected include the establishments trading under the Cuban </w:t>
      </w:r>
      <w:r>
        <w:rPr>
          <w:color w:val="231F20"/>
          <w:spacing w:val="-4"/>
        </w:rPr>
        <w:t>“Casa</w:t>
      </w:r>
      <w:r>
        <w:rPr>
          <w:color w:val="231F20"/>
          <w:spacing w:val="-13"/>
        </w:rPr>
        <w:t> </w:t>
      </w:r>
      <w:r>
        <w:rPr>
          <w:color w:val="231F20"/>
          <w:spacing w:val="-4"/>
        </w:rPr>
        <w:t>del</w:t>
      </w:r>
      <w:r>
        <w:rPr>
          <w:color w:val="231F20"/>
          <w:spacing w:val="-12"/>
        </w:rPr>
        <w:t> </w:t>
      </w:r>
      <w:r>
        <w:rPr>
          <w:color w:val="231F20"/>
          <w:spacing w:val="-4"/>
        </w:rPr>
        <w:t>Habano”</w:t>
      </w:r>
      <w:r>
        <w:rPr>
          <w:color w:val="231F20"/>
          <w:spacing w:val="-13"/>
        </w:rPr>
        <w:t> </w:t>
      </w:r>
      <w:r>
        <w:rPr>
          <w:color w:val="231F20"/>
          <w:spacing w:val="-4"/>
        </w:rPr>
        <w:t>franchise,</w:t>
      </w:r>
      <w:r>
        <w:rPr>
          <w:color w:val="231F20"/>
          <w:spacing w:val="-12"/>
        </w:rPr>
        <w:t> </w:t>
      </w:r>
      <w:r>
        <w:rPr>
          <w:color w:val="231F20"/>
          <w:spacing w:val="-4"/>
        </w:rPr>
        <w:t>with</w:t>
      </w:r>
      <w:r>
        <w:rPr>
          <w:color w:val="231F20"/>
          <w:spacing w:val="-13"/>
        </w:rPr>
        <w:t> </w:t>
      </w:r>
      <w:r>
        <w:rPr>
          <w:color w:val="231F20"/>
          <w:spacing w:val="-4"/>
        </w:rPr>
        <w:t>centers</w:t>
      </w:r>
      <w:r>
        <w:rPr>
          <w:color w:val="231F20"/>
          <w:spacing w:val="-12"/>
        </w:rPr>
        <w:t> </w:t>
      </w:r>
      <w:r>
        <w:rPr>
          <w:color w:val="231F20"/>
          <w:spacing w:val="-4"/>
        </w:rPr>
        <w:t>in </w:t>
      </w:r>
      <w:r>
        <w:rPr>
          <w:color w:val="231F20"/>
          <w:spacing w:val="-6"/>
        </w:rPr>
        <w:t>Rabat, Casablanca and Marrakech, the latter </w:t>
      </w:r>
      <w:r>
        <w:rPr>
          <w:color w:val="231F20"/>
        </w:rPr>
        <w:t>in process of inauguration. As franchises that</w:t>
      </w:r>
      <w:r>
        <w:rPr>
          <w:color w:val="231F20"/>
          <w:spacing w:val="-17"/>
        </w:rPr>
        <w:t> </w:t>
      </w:r>
      <w:r>
        <w:rPr>
          <w:color w:val="231F20"/>
        </w:rPr>
        <w:t>depend</w:t>
      </w:r>
      <w:r>
        <w:rPr>
          <w:color w:val="231F20"/>
          <w:spacing w:val="-16"/>
        </w:rPr>
        <w:t> </w:t>
      </w:r>
      <w:r>
        <w:rPr>
          <w:color w:val="231F20"/>
        </w:rPr>
        <w:t>entirely</w:t>
      </w:r>
      <w:r>
        <w:rPr>
          <w:color w:val="231F20"/>
          <w:spacing w:val="-17"/>
        </w:rPr>
        <w:t> </w:t>
      </w:r>
      <w:r>
        <w:rPr>
          <w:color w:val="231F20"/>
        </w:rPr>
        <w:t>on</w:t>
      </w:r>
      <w:r>
        <w:rPr>
          <w:color w:val="231F20"/>
          <w:spacing w:val="-16"/>
        </w:rPr>
        <w:t> </w:t>
      </w:r>
      <w:r>
        <w:rPr>
          <w:color w:val="231F20"/>
        </w:rPr>
        <w:t>sales</w:t>
      </w:r>
      <w:r>
        <w:rPr>
          <w:color w:val="231F20"/>
          <w:spacing w:val="-17"/>
        </w:rPr>
        <w:t> </w:t>
      </w:r>
      <w:r>
        <w:rPr>
          <w:color w:val="231F20"/>
        </w:rPr>
        <w:t>of</w:t>
      </w:r>
      <w:r>
        <w:rPr>
          <w:color w:val="231F20"/>
          <w:spacing w:val="-16"/>
        </w:rPr>
        <w:t> </w:t>
      </w:r>
      <w:r>
        <w:rPr>
          <w:color w:val="231F20"/>
        </w:rPr>
        <w:t>the</w:t>
      </w:r>
      <w:r>
        <w:rPr>
          <w:color w:val="231F20"/>
          <w:spacing w:val="-17"/>
        </w:rPr>
        <w:t> </w:t>
      </w:r>
      <w:r>
        <w:rPr>
          <w:color w:val="231F20"/>
        </w:rPr>
        <w:t>Cuban </w:t>
      </w:r>
      <w:r>
        <w:rPr>
          <w:color w:val="231F20"/>
          <w:spacing w:val="-6"/>
        </w:rPr>
        <w:t>product,</w:t>
      </w:r>
      <w:r>
        <w:rPr>
          <w:color w:val="231F20"/>
          <w:spacing w:val="-11"/>
        </w:rPr>
        <w:t> </w:t>
      </w:r>
      <w:r>
        <w:rPr>
          <w:color w:val="231F20"/>
          <w:spacing w:val="-6"/>
        </w:rPr>
        <w:t>they</w:t>
      </w:r>
      <w:r>
        <w:rPr>
          <w:color w:val="231F20"/>
          <w:spacing w:val="-10"/>
        </w:rPr>
        <w:t> </w:t>
      </w:r>
      <w:r>
        <w:rPr>
          <w:color w:val="231F20"/>
          <w:spacing w:val="-6"/>
        </w:rPr>
        <w:t>are</w:t>
      </w:r>
      <w:r>
        <w:rPr>
          <w:color w:val="231F20"/>
          <w:spacing w:val="-11"/>
        </w:rPr>
        <w:t> </w:t>
      </w:r>
      <w:r>
        <w:rPr>
          <w:color w:val="231F20"/>
          <w:spacing w:val="-6"/>
        </w:rPr>
        <w:t>the</w:t>
      </w:r>
      <w:r>
        <w:rPr>
          <w:color w:val="231F20"/>
          <w:spacing w:val="-10"/>
        </w:rPr>
        <w:t> </w:t>
      </w:r>
      <w:r>
        <w:rPr>
          <w:color w:val="231F20"/>
          <w:spacing w:val="-6"/>
        </w:rPr>
        <w:t>most</w:t>
      </w:r>
      <w:r>
        <w:rPr>
          <w:color w:val="231F20"/>
          <w:spacing w:val="-11"/>
        </w:rPr>
        <w:t> </w:t>
      </w:r>
      <w:r>
        <w:rPr>
          <w:color w:val="231F20"/>
          <w:spacing w:val="-6"/>
        </w:rPr>
        <w:t>severely</w:t>
      </w:r>
      <w:r>
        <w:rPr>
          <w:color w:val="231F20"/>
          <w:spacing w:val="-10"/>
        </w:rPr>
        <w:t> </w:t>
      </w:r>
      <w:r>
        <w:rPr>
          <w:color w:val="231F20"/>
          <w:spacing w:val="-6"/>
        </w:rPr>
        <w:t>affected, </w:t>
      </w:r>
      <w:r>
        <w:rPr>
          <w:color w:val="231F20"/>
        </w:rPr>
        <w:t>experiencing loss of jobs and income and temporary closure of premises.</w:t>
      </w:r>
    </w:p>
    <w:p>
      <w:pPr>
        <w:pStyle w:val="BodyText"/>
        <w:spacing w:before="172"/>
        <w:ind w:left="1474" w:right="1"/>
      </w:pPr>
      <w:r>
        <w:rPr>
          <w:b/>
          <w:color w:val="B52628"/>
        </w:rPr>
        <w:t>In August 2022, </w:t>
      </w:r>
      <w:r>
        <w:rPr>
          <w:color w:val="231F20"/>
        </w:rPr>
        <w:t>we received word that the U.S. visa of the Cypriot businessman and CEO of Phoenicia and those of his two under-age sons had been revoked. </w:t>
      </w:r>
      <w:r>
        <w:rPr>
          <w:color w:val="231F20"/>
          <w:spacing w:val="-4"/>
        </w:rPr>
        <w:t>Phoenicia</w:t>
      </w:r>
      <w:r>
        <w:rPr>
          <w:color w:val="231F20"/>
          <w:spacing w:val="-10"/>
        </w:rPr>
        <w:t> </w:t>
      </w:r>
      <w:r>
        <w:rPr>
          <w:color w:val="231F20"/>
          <w:spacing w:val="-4"/>
        </w:rPr>
        <w:t>markets</w:t>
      </w:r>
      <w:r>
        <w:rPr>
          <w:color w:val="231F20"/>
          <w:spacing w:val="-10"/>
        </w:rPr>
        <w:t> </w:t>
      </w:r>
      <w:r>
        <w:rPr>
          <w:color w:val="231F20"/>
          <w:spacing w:val="-4"/>
        </w:rPr>
        <w:t>and</w:t>
      </w:r>
      <w:r>
        <w:rPr>
          <w:color w:val="231F20"/>
          <w:spacing w:val="-10"/>
        </w:rPr>
        <w:t> </w:t>
      </w:r>
      <w:r>
        <w:rPr>
          <w:color w:val="231F20"/>
          <w:spacing w:val="-4"/>
        </w:rPr>
        <w:t>distributes</w:t>
      </w:r>
      <w:r>
        <w:rPr>
          <w:color w:val="231F20"/>
          <w:spacing w:val="-10"/>
        </w:rPr>
        <w:t> </w:t>
      </w:r>
      <w:r>
        <w:rPr>
          <w:color w:val="231F20"/>
          <w:spacing w:val="-4"/>
        </w:rPr>
        <w:t>Habanos </w:t>
      </w:r>
      <w:r>
        <w:rPr>
          <w:color w:val="231F20"/>
        </w:rPr>
        <w:t>cigars, one of Cuba’s flagship products.</w:t>
      </w:r>
    </w:p>
    <w:p>
      <w:pPr>
        <w:pStyle w:val="BodyText"/>
        <w:ind w:left="413" w:right="1130"/>
      </w:pPr>
      <w:r>
        <w:rPr/>
        <w:br w:type="column"/>
      </w:r>
      <w:r>
        <w:rPr>
          <w:color w:val="231F20"/>
          <w:spacing w:val="-4"/>
        </w:rPr>
        <w:t>service,</w:t>
      </w:r>
      <w:r>
        <w:rPr>
          <w:color w:val="231F20"/>
          <w:spacing w:val="-9"/>
        </w:rPr>
        <w:t> </w:t>
      </w:r>
      <w:r>
        <w:rPr>
          <w:color w:val="231F20"/>
          <w:spacing w:val="-4"/>
        </w:rPr>
        <w:t>National</w:t>
      </w:r>
      <w:r>
        <w:rPr>
          <w:color w:val="231F20"/>
          <w:spacing w:val="-9"/>
        </w:rPr>
        <w:t> </w:t>
      </w:r>
      <w:r>
        <w:rPr>
          <w:color w:val="231F20"/>
          <w:spacing w:val="-4"/>
        </w:rPr>
        <w:t>Australia</w:t>
      </w:r>
      <w:r>
        <w:rPr>
          <w:color w:val="231F20"/>
          <w:spacing w:val="-9"/>
        </w:rPr>
        <w:t> </w:t>
      </w:r>
      <w:r>
        <w:rPr>
          <w:color w:val="231F20"/>
          <w:spacing w:val="-4"/>
        </w:rPr>
        <w:t>Bank</w:t>
      </w:r>
      <w:r>
        <w:rPr>
          <w:color w:val="231F20"/>
          <w:spacing w:val="-9"/>
        </w:rPr>
        <w:t> </w:t>
      </w:r>
      <w:r>
        <w:rPr>
          <w:color w:val="231F20"/>
          <w:spacing w:val="-4"/>
        </w:rPr>
        <w:t>notified</w:t>
      </w:r>
      <w:r>
        <w:rPr>
          <w:color w:val="231F20"/>
          <w:spacing w:val="-9"/>
        </w:rPr>
        <w:t> </w:t>
      </w:r>
      <w:r>
        <w:rPr>
          <w:color w:val="231F20"/>
          <w:spacing w:val="-4"/>
        </w:rPr>
        <w:t>the </w:t>
      </w:r>
      <w:r>
        <w:rPr>
          <w:color w:val="231F20"/>
        </w:rPr>
        <w:t>closure</w:t>
      </w:r>
      <w:r>
        <w:rPr>
          <w:color w:val="231F20"/>
          <w:spacing w:val="-1"/>
        </w:rPr>
        <w:t> </w:t>
      </w:r>
      <w:r>
        <w:rPr>
          <w:color w:val="231F20"/>
        </w:rPr>
        <w:t>of</w:t>
      </w:r>
      <w:r>
        <w:rPr>
          <w:color w:val="231F20"/>
          <w:spacing w:val="-1"/>
        </w:rPr>
        <w:t> </w:t>
      </w:r>
      <w:r>
        <w:rPr>
          <w:color w:val="231F20"/>
        </w:rPr>
        <w:t>the</w:t>
      </w:r>
      <w:r>
        <w:rPr>
          <w:color w:val="231F20"/>
          <w:spacing w:val="-1"/>
        </w:rPr>
        <w:t> </w:t>
      </w:r>
      <w:r>
        <w:rPr>
          <w:color w:val="231F20"/>
        </w:rPr>
        <w:t>Cuban</w:t>
      </w:r>
      <w:r>
        <w:rPr>
          <w:color w:val="231F20"/>
          <w:spacing w:val="-1"/>
        </w:rPr>
        <w:t> </w:t>
      </w:r>
      <w:r>
        <w:rPr>
          <w:color w:val="231F20"/>
        </w:rPr>
        <w:t>embassy’s</w:t>
      </w:r>
      <w:r>
        <w:rPr>
          <w:color w:val="231F20"/>
          <w:spacing w:val="-1"/>
        </w:rPr>
        <w:t> </w:t>
      </w:r>
      <w:r>
        <w:rPr>
          <w:color w:val="231F20"/>
        </w:rPr>
        <w:t>accounts, resulting from use of a new cloud-based payment service based in the U.S. In </w:t>
      </w:r>
      <w:r>
        <w:rPr>
          <w:color w:val="231F20"/>
        </w:rPr>
        <w:t>the search for an alternative, another ten Australian and two international banks declined our request to open accounts, on the grounds of “risk” arising from the extraterritorial effect of the blockade. Another two banks failed to reply.</w:t>
      </w:r>
    </w:p>
    <w:p>
      <w:pPr>
        <w:pStyle w:val="BodyText"/>
        <w:spacing w:before="168"/>
        <w:ind w:left="413" w:right="1131"/>
      </w:pPr>
      <w:r>
        <w:rPr>
          <w:b/>
          <w:color w:val="B52628"/>
        </w:rPr>
        <w:t>In September 2022, </w:t>
      </w:r>
      <w:r>
        <w:rPr>
          <w:color w:val="231F20"/>
        </w:rPr>
        <w:t>the </w:t>
      </w:r>
      <w:r>
        <w:rPr>
          <w:color w:val="231F20"/>
        </w:rPr>
        <w:t>Portuguese company GALP which supplies fuel to Cubana</w:t>
      </w:r>
      <w:r>
        <w:rPr>
          <w:color w:val="231F20"/>
          <w:spacing w:val="-9"/>
        </w:rPr>
        <w:t> </w:t>
      </w:r>
      <w:r>
        <w:rPr>
          <w:color w:val="231F20"/>
        </w:rPr>
        <w:t>de</w:t>
      </w:r>
      <w:r>
        <w:rPr>
          <w:color w:val="231F20"/>
          <w:spacing w:val="-9"/>
        </w:rPr>
        <w:t> </w:t>
      </w:r>
      <w:r>
        <w:rPr>
          <w:color w:val="231F20"/>
        </w:rPr>
        <w:t>Aviación,</w:t>
      </w:r>
      <w:r>
        <w:rPr>
          <w:color w:val="231F20"/>
          <w:spacing w:val="-9"/>
        </w:rPr>
        <w:t> </w:t>
      </w:r>
      <w:r>
        <w:rPr>
          <w:color w:val="231F20"/>
        </w:rPr>
        <w:t>notified</w:t>
      </w:r>
      <w:r>
        <w:rPr>
          <w:color w:val="231F20"/>
          <w:spacing w:val="-9"/>
        </w:rPr>
        <w:t> </w:t>
      </w:r>
      <w:r>
        <w:rPr>
          <w:color w:val="231F20"/>
        </w:rPr>
        <w:t>that</w:t>
      </w:r>
      <w:r>
        <w:rPr>
          <w:color w:val="231F20"/>
          <w:spacing w:val="-9"/>
        </w:rPr>
        <w:t> </w:t>
      </w:r>
      <w:r>
        <w:rPr>
          <w:color w:val="231F20"/>
        </w:rPr>
        <w:t>it</w:t>
      </w:r>
      <w:r>
        <w:rPr>
          <w:color w:val="231F20"/>
          <w:spacing w:val="-9"/>
        </w:rPr>
        <w:t> </w:t>
      </w:r>
      <w:r>
        <w:rPr>
          <w:color w:val="231F20"/>
        </w:rPr>
        <w:t>would not be renewing its agreement with the </w:t>
      </w:r>
      <w:r>
        <w:rPr>
          <w:color w:val="231F20"/>
          <w:spacing w:val="-2"/>
        </w:rPr>
        <w:t>airline,</w:t>
      </w:r>
      <w:r>
        <w:rPr>
          <w:color w:val="231F20"/>
          <w:spacing w:val="-13"/>
        </w:rPr>
        <w:t> </w:t>
      </w:r>
      <w:r>
        <w:rPr>
          <w:color w:val="231F20"/>
          <w:spacing w:val="-2"/>
        </w:rPr>
        <w:t>since</w:t>
      </w:r>
      <w:r>
        <w:rPr>
          <w:color w:val="231F20"/>
          <w:spacing w:val="-13"/>
        </w:rPr>
        <w:t> </w:t>
      </w:r>
      <w:r>
        <w:rPr>
          <w:color w:val="231F20"/>
          <w:spacing w:val="-2"/>
        </w:rPr>
        <w:t>the</w:t>
      </w:r>
      <w:r>
        <w:rPr>
          <w:color w:val="231F20"/>
          <w:spacing w:val="-13"/>
        </w:rPr>
        <w:t> </w:t>
      </w:r>
      <w:r>
        <w:rPr>
          <w:color w:val="231F20"/>
          <w:spacing w:val="-2"/>
        </w:rPr>
        <w:t>latter</w:t>
      </w:r>
      <w:r>
        <w:rPr>
          <w:color w:val="231F20"/>
          <w:spacing w:val="-13"/>
        </w:rPr>
        <w:t> </w:t>
      </w:r>
      <w:r>
        <w:rPr>
          <w:color w:val="231F20"/>
          <w:spacing w:val="-2"/>
        </w:rPr>
        <w:t>was</w:t>
      </w:r>
      <w:r>
        <w:rPr>
          <w:color w:val="231F20"/>
          <w:spacing w:val="-13"/>
        </w:rPr>
        <w:t> </w:t>
      </w:r>
      <w:r>
        <w:rPr>
          <w:color w:val="231F20"/>
          <w:spacing w:val="-2"/>
        </w:rPr>
        <w:t>subject</w:t>
      </w:r>
      <w:r>
        <w:rPr>
          <w:color w:val="231F20"/>
          <w:spacing w:val="-13"/>
        </w:rPr>
        <w:t> </w:t>
      </w:r>
      <w:r>
        <w:rPr>
          <w:color w:val="231F20"/>
          <w:spacing w:val="-2"/>
        </w:rPr>
        <w:t>to</w:t>
      </w:r>
      <w:r>
        <w:rPr>
          <w:color w:val="231F20"/>
          <w:spacing w:val="-13"/>
        </w:rPr>
        <w:t> </w:t>
      </w:r>
      <w:r>
        <w:rPr>
          <w:color w:val="231F20"/>
          <w:spacing w:val="-2"/>
        </w:rPr>
        <w:t>OFAC sanctions.</w:t>
      </w:r>
    </w:p>
    <w:p>
      <w:pPr>
        <w:pStyle w:val="BodyText"/>
        <w:spacing w:before="165"/>
        <w:ind w:left="413" w:right="1137"/>
      </w:pPr>
      <w:r>
        <w:rPr>
          <w:b/>
          <w:color w:val="B52628"/>
        </w:rPr>
        <w:t>On October 20, 2022, </w:t>
      </w:r>
      <w:r>
        <w:rPr>
          <w:color w:val="231F20"/>
        </w:rPr>
        <w:t>the organizing committee of a Cuba-Cambodia friendly </w:t>
      </w:r>
      <w:r>
        <w:rPr>
          <w:color w:val="231F20"/>
          <w:spacing w:val="-8"/>
        </w:rPr>
        <w:t>volleyball match reported that the Courtyard </w:t>
      </w:r>
      <w:r>
        <w:rPr>
          <w:color w:val="231F20"/>
          <w:spacing w:val="-6"/>
        </w:rPr>
        <w:t>By</w:t>
      </w:r>
      <w:r>
        <w:rPr>
          <w:color w:val="231F20"/>
          <w:spacing w:val="-11"/>
        </w:rPr>
        <w:t> </w:t>
      </w:r>
      <w:r>
        <w:rPr>
          <w:color w:val="231F20"/>
          <w:spacing w:val="-6"/>
        </w:rPr>
        <w:t>Marriott</w:t>
      </w:r>
      <w:r>
        <w:rPr>
          <w:color w:val="231F20"/>
          <w:spacing w:val="-10"/>
        </w:rPr>
        <w:t> </w:t>
      </w:r>
      <w:r>
        <w:rPr>
          <w:color w:val="231F20"/>
          <w:spacing w:val="-6"/>
        </w:rPr>
        <w:t>hotel</w:t>
      </w:r>
      <w:r>
        <w:rPr>
          <w:color w:val="231F20"/>
          <w:spacing w:val="-11"/>
        </w:rPr>
        <w:t> </w:t>
      </w:r>
      <w:r>
        <w:rPr>
          <w:color w:val="231F20"/>
          <w:spacing w:val="-6"/>
        </w:rPr>
        <w:t>in</w:t>
      </w:r>
      <w:r>
        <w:rPr>
          <w:color w:val="231F20"/>
          <w:spacing w:val="-10"/>
        </w:rPr>
        <w:t> </w:t>
      </w:r>
      <w:r>
        <w:rPr>
          <w:color w:val="231F20"/>
          <w:spacing w:val="-6"/>
        </w:rPr>
        <w:t>Phnom</w:t>
      </w:r>
      <w:r>
        <w:rPr>
          <w:color w:val="231F20"/>
          <w:spacing w:val="-11"/>
        </w:rPr>
        <w:t> </w:t>
      </w:r>
      <w:r>
        <w:rPr>
          <w:color w:val="231F20"/>
          <w:spacing w:val="-6"/>
        </w:rPr>
        <w:t>Penh,</w:t>
      </w:r>
      <w:r>
        <w:rPr>
          <w:color w:val="231F20"/>
          <w:spacing w:val="-10"/>
        </w:rPr>
        <w:t> </w:t>
      </w:r>
      <w:r>
        <w:rPr>
          <w:color w:val="231F20"/>
          <w:spacing w:val="-6"/>
        </w:rPr>
        <w:t>belonging </w:t>
      </w:r>
      <w:r>
        <w:rPr>
          <w:color w:val="231F20"/>
          <w:spacing w:val="-4"/>
        </w:rPr>
        <w:t>to</w:t>
      </w:r>
      <w:r>
        <w:rPr>
          <w:color w:val="231F20"/>
          <w:spacing w:val="-7"/>
        </w:rPr>
        <w:t> </w:t>
      </w:r>
      <w:r>
        <w:rPr>
          <w:color w:val="231F20"/>
          <w:spacing w:val="-4"/>
        </w:rPr>
        <w:t>the</w:t>
      </w:r>
      <w:r>
        <w:rPr>
          <w:color w:val="231F20"/>
          <w:spacing w:val="-7"/>
        </w:rPr>
        <w:t> </w:t>
      </w:r>
      <w:r>
        <w:rPr>
          <w:color w:val="231F20"/>
          <w:spacing w:val="-4"/>
        </w:rPr>
        <w:t>U.S.</w:t>
      </w:r>
      <w:r>
        <w:rPr>
          <w:color w:val="231F20"/>
          <w:spacing w:val="-7"/>
        </w:rPr>
        <w:t> </w:t>
      </w:r>
      <w:r>
        <w:rPr>
          <w:color w:val="231F20"/>
          <w:spacing w:val="-4"/>
        </w:rPr>
        <w:t>Marriott</w:t>
      </w:r>
      <w:r>
        <w:rPr>
          <w:color w:val="231F20"/>
          <w:spacing w:val="-7"/>
        </w:rPr>
        <w:t> </w:t>
      </w:r>
      <w:r>
        <w:rPr>
          <w:color w:val="231F20"/>
          <w:spacing w:val="-4"/>
        </w:rPr>
        <w:t>International</w:t>
      </w:r>
      <w:r>
        <w:rPr>
          <w:color w:val="231F20"/>
          <w:spacing w:val="-7"/>
        </w:rPr>
        <w:t> </w:t>
      </w:r>
      <w:r>
        <w:rPr>
          <w:color w:val="231F20"/>
          <w:spacing w:val="-4"/>
        </w:rPr>
        <w:t>chain,</w:t>
      </w:r>
      <w:r>
        <w:rPr>
          <w:color w:val="231F20"/>
          <w:spacing w:val="-7"/>
        </w:rPr>
        <w:t> </w:t>
      </w:r>
      <w:r>
        <w:rPr>
          <w:color w:val="231F20"/>
          <w:spacing w:val="-4"/>
        </w:rPr>
        <w:t>had </w:t>
      </w:r>
      <w:r>
        <w:rPr>
          <w:color w:val="231F20"/>
          <w:spacing w:val="-12"/>
        </w:rPr>
        <w:t>refused</w:t>
      </w:r>
      <w:r>
        <w:rPr>
          <w:color w:val="231F20"/>
          <w:spacing w:val="-2"/>
        </w:rPr>
        <w:t> </w:t>
      </w:r>
      <w:r>
        <w:rPr>
          <w:color w:val="231F20"/>
          <w:spacing w:val="-12"/>
        </w:rPr>
        <w:t>to</w:t>
      </w:r>
      <w:r>
        <w:rPr>
          <w:color w:val="231F20"/>
          <w:spacing w:val="-2"/>
        </w:rPr>
        <w:t> </w:t>
      </w:r>
      <w:r>
        <w:rPr>
          <w:color w:val="231F20"/>
          <w:spacing w:val="-12"/>
        </w:rPr>
        <w:t>accommodate</w:t>
      </w:r>
      <w:r>
        <w:rPr>
          <w:color w:val="231F20"/>
          <w:spacing w:val="-2"/>
        </w:rPr>
        <w:t> </w:t>
      </w:r>
      <w:r>
        <w:rPr>
          <w:color w:val="231F20"/>
          <w:spacing w:val="-12"/>
        </w:rPr>
        <w:t>a</w:t>
      </w:r>
      <w:r>
        <w:rPr>
          <w:color w:val="231F20"/>
          <w:spacing w:val="-2"/>
        </w:rPr>
        <w:t> </w:t>
      </w:r>
      <w:r>
        <w:rPr>
          <w:color w:val="231F20"/>
          <w:spacing w:val="-12"/>
        </w:rPr>
        <w:t>Cuban</w:t>
      </w:r>
      <w:r>
        <w:rPr>
          <w:color w:val="231F20"/>
          <w:spacing w:val="-4"/>
        </w:rPr>
        <w:t> </w:t>
      </w:r>
      <w:r>
        <w:rPr>
          <w:color w:val="231F20"/>
          <w:spacing w:val="-12"/>
        </w:rPr>
        <w:t>delegation. </w:t>
      </w:r>
      <w:r>
        <w:rPr>
          <w:color w:val="231F20"/>
        </w:rPr>
        <w:t>The reason given was that the delegation </w:t>
      </w:r>
      <w:r>
        <w:rPr>
          <w:color w:val="231F20"/>
          <w:spacing w:val="-2"/>
        </w:rPr>
        <w:t>represented</w:t>
      </w:r>
      <w:r>
        <w:rPr>
          <w:color w:val="231F20"/>
          <w:spacing w:val="-15"/>
        </w:rPr>
        <w:t> </w:t>
      </w:r>
      <w:r>
        <w:rPr>
          <w:color w:val="231F20"/>
          <w:spacing w:val="-2"/>
        </w:rPr>
        <w:t>the</w:t>
      </w:r>
      <w:r>
        <w:rPr>
          <w:color w:val="231F20"/>
          <w:spacing w:val="-14"/>
        </w:rPr>
        <w:t> </w:t>
      </w:r>
      <w:r>
        <w:rPr>
          <w:color w:val="231F20"/>
          <w:spacing w:val="-2"/>
        </w:rPr>
        <w:t>Cuban</w:t>
      </w:r>
      <w:r>
        <w:rPr>
          <w:color w:val="231F20"/>
          <w:spacing w:val="-15"/>
        </w:rPr>
        <w:t> </w:t>
      </w:r>
      <w:r>
        <w:rPr>
          <w:color w:val="231F20"/>
          <w:spacing w:val="-2"/>
        </w:rPr>
        <w:t>government</w:t>
      </w:r>
      <w:r>
        <w:rPr>
          <w:color w:val="231F20"/>
          <w:spacing w:val="-14"/>
        </w:rPr>
        <w:t> </w:t>
      </w:r>
      <w:r>
        <w:rPr>
          <w:color w:val="231F20"/>
          <w:spacing w:val="-2"/>
        </w:rPr>
        <w:t>and</w:t>
      </w:r>
      <w:r>
        <w:rPr>
          <w:color w:val="231F20"/>
          <w:spacing w:val="-15"/>
        </w:rPr>
        <w:t> </w:t>
      </w:r>
      <w:r>
        <w:rPr>
          <w:color w:val="231F20"/>
          <w:spacing w:val="-2"/>
        </w:rPr>
        <w:t>to </w:t>
      </w:r>
      <w:r>
        <w:rPr>
          <w:color w:val="231F20"/>
        </w:rPr>
        <w:t>do</w:t>
      </w:r>
      <w:r>
        <w:rPr>
          <w:color w:val="231F20"/>
          <w:spacing w:val="-12"/>
        </w:rPr>
        <w:t> </w:t>
      </w:r>
      <w:r>
        <w:rPr>
          <w:color w:val="231F20"/>
        </w:rPr>
        <w:t>so</w:t>
      </w:r>
      <w:r>
        <w:rPr>
          <w:color w:val="231F20"/>
          <w:spacing w:val="-12"/>
        </w:rPr>
        <w:t> </w:t>
      </w:r>
      <w:r>
        <w:rPr>
          <w:color w:val="231F20"/>
        </w:rPr>
        <w:t>was</w:t>
      </w:r>
      <w:r>
        <w:rPr>
          <w:color w:val="231F20"/>
          <w:spacing w:val="-12"/>
        </w:rPr>
        <w:t> </w:t>
      </w:r>
      <w:r>
        <w:rPr>
          <w:color w:val="231F20"/>
        </w:rPr>
        <w:t>to</w:t>
      </w:r>
      <w:r>
        <w:rPr>
          <w:color w:val="231F20"/>
          <w:spacing w:val="-12"/>
        </w:rPr>
        <w:t> </w:t>
      </w:r>
      <w:r>
        <w:rPr>
          <w:color w:val="231F20"/>
        </w:rPr>
        <w:t>break</w:t>
      </w:r>
      <w:r>
        <w:rPr>
          <w:color w:val="231F20"/>
          <w:spacing w:val="-12"/>
        </w:rPr>
        <w:t> </w:t>
      </w:r>
      <w:r>
        <w:rPr>
          <w:color w:val="231F20"/>
        </w:rPr>
        <w:t>U.S.</w:t>
      </w:r>
      <w:r>
        <w:rPr>
          <w:color w:val="231F20"/>
          <w:spacing w:val="-12"/>
        </w:rPr>
        <w:t> </w:t>
      </w:r>
      <w:r>
        <w:rPr>
          <w:color w:val="231F20"/>
        </w:rPr>
        <w:t>laws.</w:t>
      </w:r>
    </w:p>
    <w:p>
      <w:pPr>
        <w:spacing w:before="167"/>
        <w:ind w:left="413" w:right="1130" w:firstLine="0"/>
        <w:jc w:val="both"/>
        <w:rPr>
          <w:sz w:val="24"/>
        </w:rPr>
      </w:pPr>
      <w:r>
        <w:rPr>
          <w:b/>
          <w:color w:val="B52628"/>
          <w:sz w:val="24"/>
        </w:rPr>
        <w:t>In November 2022, </w:t>
      </w:r>
      <w:r>
        <w:rPr>
          <w:color w:val="231F20"/>
          <w:sz w:val="24"/>
        </w:rPr>
        <w:t>a branch </w:t>
      </w:r>
      <w:r>
        <w:rPr>
          <w:color w:val="231F20"/>
          <w:sz w:val="24"/>
        </w:rPr>
        <w:t>of Bancolombia</w:t>
      </w:r>
      <w:r>
        <w:rPr>
          <w:color w:val="231F20"/>
          <w:spacing w:val="27"/>
          <w:sz w:val="24"/>
        </w:rPr>
        <w:t> </w:t>
      </w:r>
      <w:r>
        <w:rPr>
          <w:color w:val="231F20"/>
          <w:sz w:val="24"/>
        </w:rPr>
        <w:t>blocked</w:t>
      </w:r>
      <w:r>
        <w:rPr>
          <w:color w:val="231F20"/>
          <w:spacing w:val="27"/>
          <w:sz w:val="24"/>
        </w:rPr>
        <w:t> </w:t>
      </w:r>
      <w:r>
        <w:rPr>
          <w:color w:val="231F20"/>
          <w:sz w:val="24"/>
        </w:rPr>
        <w:t>the</w:t>
      </w:r>
      <w:r>
        <w:rPr>
          <w:color w:val="231F20"/>
          <w:spacing w:val="27"/>
          <w:sz w:val="24"/>
        </w:rPr>
        <w:t> </w:t>
      </w:r>
      <w:r>
        <w:rPr>
          <w:color w:val="231F20"/>
          <w:sz w:val="24"/>
        </w:rPr>
        <w:t>debit</w:t>
      </w:r>
      <w:r>
        <w:rPr>
          <w:color w:val="231F20"/>
          <w:spacing w:val="27"/>
          <w:sz w:val="24"/>
        </w:rPr>
        <w:t> </w:t>
      </w:r>
      <w:r>
        <w:rPr>
          <w:color w:val="231F20"/>
          <w:sz w:val="24"/>
        </w:rPr>
        <w:t>card</w:t>
      </w:r>
      <w:r>
        <w:rPr>
          <w:color w:val="231F20"/>
          <w:spacing w:val="26"/>
          <w:sz w:val="24"/>
        </w:rPr>
        <w:t> </w:t>
      </w:r>
      <w:r>
        <w:rPr>
          <w:color w:val="231F20"/>
          <w:spacing w:val="-5"/>
          <w:sz w:val="24"/>
        </w:rPr>
        <w:t>and</w:t>
      </w:r>
    </w:p>
    <w:p>
      <w:pPr>
        <w:spacing w:after="0"/>
        <w:jc w:val="both"/>
        <w:rPr>
          <w:sz w:val="24"/>
        </w:rPr>
        <w:sectPr>
          <w:type w:val="continuous"/>
          <w:pgSz w:w="11910" w:h="16840"/>
          <w:pgMar w:header="0" w:footer="695" w:top="1920" w:bottom="280" w:left="0" w:right="0"/>
          <w:cols w:num="2" w:equalWidth="0">
            <w:col w:w="5897" w:space="40"/>
            <w:col w:w="5973"/>
          </w:cols>
        </w:sectPr>
      </w:pPr>
    </w:p>
    <w:p>
      <w:pPr>
        <w:pStyle w:val="BodyText"/>
        <w:spacing w:before="97"/>
        <w:ind w:left="1133" w:right="1"/>
      </w:pPr>
      <w:r>
        <w:rPr>
          <w:color w:val="231F20"/>
        </w:rPr>
        <w:t>corresponding bank account of Do </w:t>
      </w:r>
      <w:r>
        <w:rPr>
          <w:color w:val="231F20"/>
        </w:rPr>
        <w:t>it Viajes y Turismo, an agency that markets Cuba as a tourist destination.</w:t>
      </w:r>
    </w:p>
    <w:p>
      <w:pPr>
        <w:pStyle w:val="BodyText"/>
        <w:spacing w:before="162"/>
        <w:ind w:left="1133"/>
      </w:pPr>
      <w:r>
        <w:rPr>
          <w:b/>
          <w:color w:val="B52628"/>
        </w:rPr>
        <w:t>On December 7, 2022, </w:t>
      </w:r>
      <w:r>
        <w:rPr>
          <w:color w:val="231F20"/>
        </w:rPr>
        <w:t>Nordea Bank </w:t>
      </w:r>
      <w:r>
        <w:rPr>
          <w:color w:val="231F20"/>
        </w:rPr>
        <w:t>in Finland cancelled a credit transfer from Havana effected by the Publicitur agency via Banco Financiero Internacional (BFI), on</w:t>
      </w:r>
      <w:r>
        <w:rPr>
          <w:color w:val="231F20"/>
          <w:spacing w:val="-15"/>
        </w:rPr>
        <w:t> </w:t>
      </w:r>
      <w:r>
        <w:rPr>
          <w:color w:val="231F20"/>
        </w:rPr>
        <w:t>the</w:t>
      </w:r>
      <w:r>
        <w:rPr>
          <w:color w:val="231F20"/>
          <w:spacing w:val="-15"/>
        </w:rPr>
        <w:t> </w:t>
      </w:r>
      <w:r>
        <w:rPr>
          <w:color w:val="231F20"/>
        </w:rPr>
        <w:t>grounds</w:t>
      </w:r>
      <w:r>
        <w:rPr>
          <w:color w:val="231F20"/>
          <w:spacing w:val="-15"/>
        </w:rPr>
        <w:t> </w:t>
      </w:r>
      <w:r>
        <w:rPr>
          <w:color w:val="231F20"/>
        </w:rPr>
        <w:t>that</w:t>
      </w:r>
      <w:r>
        <w:rPr>
          <w:color w:val="231F20"/>
          <w:spacing w:val="-15"/>
        </w:rPr>
        <w:t> </w:t>
      </w:r>
      <w:r>
        <w:rPr>
          <w:color w:val="231F20"/>
        </w:rPr>
        <w:t>BFI</w:t>
      </w:r>
      <w:r>
        <w:rPr>
          <w:color w:val="231F20"/>
          <w:spacing w:val="-15"/>
        </w:rPr>
        <w:t> </w:t>
      </w:r>
      <w:r>
        <w:rPr>
          <w:color w:val="231F20"/>
        </w:rPr>
        <w:t>is</w:t>
      </w:r>
      <w:r>
        <w:rPr>
          <w:color w:val="231F20"/>
          <w:spacing w:val="-15"/>
        </w:rPr>
        <w:t> </w:t>
      </w:r>
      <w:r>
        <w:rPr>
          <w:color w:val="231F20"/>
        </w:rPr>
        <w:t>subject</w:t>
      </w:r>
      <w:r>
        <w:rPr>
          <w:color w:val="231F20"/>
          <w:spacing w:val="-15"/>
        </w:rPr>
        <w:t> </w:t>
      </w:r>
      <w:r>
        <w:rPr>
          <w:color w:val="231F20"/>
        </w:rPr>
        <w:t>to</w:t>
      </w:r>
      <w:r>
        <w:rPr>
          <w:color w:val="231F20"/>
          <w:spacing w:val="-15"/>
        </w:rPr>
        <w:t> </w:t>
      </w:r>
      <w:r>
        <w:rPr>
          <w:color w:val="231F20"/>
        </w:rPr>
        <w:t>OFAC sanctions. This action prevented payment </w:t>
      </w:r>
      <w:r>
        <w:rPr>
          <w:color w:val="231F20"/>
          <w:spacing w:val="-4"/>
        </w:rPr>
        <w:t>of</w:t>
      </w:r>
      <w:r>
        <w:rPr>
          <w:color w:val="231F20"/>
          <w:spacing w:val="-9"/>
        </w:rPr>
        <w:t> </w:t>
      </w:r>
      <w:r>
        <w:rPr>
          <w:color w:val="231F20"/>
          <w:spacing w:val="-4"/>
        </w:rPr>
        <w:t>€12,000</w:t>
      </w:r>
      <w:r>
        <w:rPr>
          <w:color w:val="231F20"/>
          <w:spacing w:val="-9"/>
        </w:rPr>
        <w:t> </w:t>
      </w:r>
      <w:r>
        <w:rPr>
          <w:color w:val="231F20"/>
          <w:spacing w:val="-4"/>
        </w:rPr>
        <w:t>to</w:t>
      </w:r>
      <w:r>
        <w:rPr>
          <w:color w:val="231F20"/>
          <w:spacing w:val="-9"/>
        </w:rPr>
        <w:t> </w:t>
      </w:r>
      <w:r>
        <w:rPr>
          <w:color w:val="231F20"/>
          <w:spacing w:val="-4"/>
        </w:rPr>
        <w:t>the</w:t>
      </w:r>
      <w:r>
        <w:rPr>
          <w:color w:val="231F20"/>
          <w:spacing w:val="-9"/>
        </w:rPr>
        <w:t> </w:t>
      </w:r>
      <w:r>
        <w:rPr>
          <w:color w:val="231F20"/>
          <w:spacing w:val="-4"/>
        </w:rPr>
        <w:t>company</w:t>
      </w:r>
      <w:r>
        <w:rPr>
          <w:color w:val="231F20"/>
          <w:spacing w:val="-9"/>
        </w:rPr>
        <w:t> </w:t>
      </w:r>
      <w:r>
        <w:rPr>
          <w:color w:val="231F20"/>
          <w:spacing w:val="-4"/>
        </w:rPr>
        <w:t>Aurinkomatkat/ </w:t>
      </w:r>
      <w:r>
        <w:rPr>
          <w:color w:val="231F20"/>
        </w:rPr>
        <w:t>Suntours Ltd.</w:t>
      </w:r>
    </w:p>
    <w:p>
      <w:pPr>
        <w:pStyle w:val="BodyText"/>
        <w:spacing w:before="166"/>
        <w:ind w:left="1133" w:right="3"/>
      </w:pPr>
      <w:r>
        <w:rPr>
          <w:b/>
          <w:color w:val="B52628"/>
        </w:rPr>
        <w:t>Between January 11 and 15, 2023, </w:t>
      </w:r>
      <w:r>
        <w:rPr>
          <w:color w:val="231F20"/>
          <w:spacing w:val="-4"/>
        </w:rPr>
        <w:t>difficulties</w:t>
      </w:r>
      <w:r>
        <w:rPr>
          <w:color w:val="231F20"/>
          <w:spacing w:val="-13"/>
        </w:rPr>
        <w:t> </w:t>
      </w:r>
      <w:r>
        <w:rPr>
          <w:color w:val="231F20"/>
          <w:spacing w:val="-4"/>
        </w:rPr>
        <w:t>arose</w:t>
      </w:r>
      <w:r>
        <w:rPr>
          <w:color w:val="231F20"/>
          <w:spacing w:val="-12"/>
        </w:rPr>
        <w:t> </w:t>
      </w:r>
      <w:r>
        <w:rPr>
          <w:color w:val="231F20"/>
          <w:spacing w:val="-4"/>
        </w:rPr>
        <w:t>in</w:t>
      </w:r>
      <w:r>
        <w:rPr>
          <w:color w:val="231F20"/>
          <w:spacing w:val="-13"/>
        </w:rPr>
        <w:t> </w:t>
      </w:r>
      <w:r>
        <w:rPr>
          <w:color w:val="231F20"/>
          <w:spacing w:val="-4"/>
        </w:rPr>
        <w:t>effecting</w:t>
      </w:r>
      <w:r>
        <w:rPr>
          <w:color w:val="231F20"/>
          <w:spacing w:val="-12"/>
        </w:rPr>
        <w:t> </w:t>
      </w:r>
      <w:r>
        <w:rPr>
          <w:color w:val="231F20"/>
          <w:spacing w:val="-4"/>
        </w:rPr>
        <w:t>credit</w:t>
      </w:r>
      <w:r>
        <w:rPr>
          <w:color w:val="231F20"/>
          <w:spacing w:val="-13"/>
        </w:rPr>
        <w:t> </w:t>
      </w:r>
      <w:r>
        <w:rPr>
          <w:color w:val="231F20"/>
          <w:spacing w:val="-4"/>
        </w:rPr>
        <w:t>transfers </w:t>
      </w:r>
      <w:r>
        <w:rPr>
          <w:color w:val="231F20"/>
          <w:spacing w:val="-6"/>
        </w:rPr>
        <w:t>relating</w:t>
      </w:r>
      <w:r>
        <w:rPr>
          <w:color w:val="231F20"/>
          <w:spacing w:val="-11"/>
        </w:rPr>
        <w:t> </w:t>
      </w:r>
      <w:r>
        <w:rPr>
          <w:color w:val="231F20"/>
          <w:spacing w:val="-6"/>
        </w:rPr>
        <w:t>to</w:t>
      </w:r>
      <w:r>
        <w:rPr>
          <w:color w:val="231F20"/>
          <w:spacing w:val="-10"/>
        </w:rPr>
        <w:t> </w:t>
      </w:r>
      <w:r>
        <w:rPr>
          <w:color w:val="231F20"/>
          <w:spacing w:val="-6"/>
        </w:rPr>
        <w:t>accommodation</w:t>
      </w:r>
      <w:r>
        <w:rPr>
          <w:color w:val="231F20"/>
          <w:spacing w:val="-11"/>
        </w:rPr>
        <w:t> </w:t>
      </w:r>
      <w:r>
        <w:rPr>
          <w:color w:val="231F20"/>
          <w:spacing w:val="-6"/>
        </w:rPr>
        <w:t>and</w:t>
      </w:r>
      <w:r>
        <w:rPr>
          <w:color w:val="231F20"/>
          <w:spacing w:val="-10"/>
        </w:rPr>
        <w:t> </w:t>
      </w:r>
      <w:r>
        <w:rPr>
          <w:color w:val="231F20"/>
          <w:spacing w:val="-6"/>
        </w:rPr>
        <w:t>to</w:t>
      </w:r>
      <w:r>
        <w:rPr>
          <w:color w:val="231F20"/>
          <w:spacing w:val="-11"/>
        </w:rPr>
        <w:t> </w:t>
      </w:r>
      <w:r>
        <w:rPr>
          <w:color w:val="231F20"/>
          <w:spacing w:val="-6"/>
        </w:rPr>
        <w:t>initiatives </w:t>
      </w:r>
      <w:r>
        <w:rPr>
          <w:color w:val="231F20"/>
        </w:rPr>
        <w:t>promoting</w:t>
      </w:r>
      <w:r>
        <w:rPr>
          <w:color w:val="231F20"/>
          <w:spacing w:val="-17"/>
        </w:rPr>
        <w:t> </w:t>
      </w:r>
      <w:r>
        <w:rPr>
          <w:color w:val="231F20"/>
        </w:rPr>
        <w:t>Cuba</w:t>
      </w:r>
      <w:r>
        <w:rPr>
          <w:color w:val="231F20"/>
          <w:spacing w:val="-16"/>
        </w:rPr>
        <w:t> </w:t>
      </w:r>
      <w:r>
        <w:rPr>
          <w:color w:val="231F20"/>
        </w:rPr>
        <w:t>as</w:t>
      </w:r>
      <w:r>
        <w:rPr>
          <w:color w:val="231F20"/>
          <w:spacing w:val="-17"/>
        </w:rPr>
        <w:t> </w:t>
      </w:r>
      <w:r>
        <w:rPr>
          <w:color w:val="231F20"/>
        </w:rPr>
        <w:t>a</w:t>
      </w:r>
      <w:r>
        <w:rPr>
          <w:color w:val="231F20"/>
          <w:spacing w:val="-16"/>
        </w:rPr>
        <w:t> </w:t>
      </w:r>
      <w:r>
        <w:rPr>
          <w:color w:val="231F20"/>
        </w:rPr>
        <w:t>tourist</w:t>
      </w:r>
      <w:r>
        <w:rPr>
          <w:color w:val="231F20"/>
          <w:spacing w:val="-17"/>
        </w:rPr>
        <w:t> </w:t>
      </w:r>
      <w:r>
        <w:rPr>
          <w:color w:val="231F20"/>
        </w:rPr>
        <w:t>destination</w:t>
      </w:r>
      <w:r>
        <w:rPr>
          <w:color w:val="231F20"/>
          <w:spacing w:val="-16"/>
        </w:rPr>
        <w:t> </w:t>
      </w:r>
      <w:r>
        <w:rPr>
          <w:color w:val="231F20"/>
        </w:rPr>
        <w:t>at the</w:t>
      </w:r>
      <w:r>
        <w:rPr>
          <w:color w:val="231F20"/>
          <w:spacing w:val="-11"/>
        </w:rPr>
        <w:t> </w:t>
      </w:r>
      <w:r>
        <w:rPr>
          <w:color w:val="231F20"/>
        </w:rPr>
        <w:t>Utrecht</w:t>
      </w:r>
      <w:r>
        <w:rPr>
          <w:color w:val="231F20"/>
          <w:spacing w:val="-11"/>
        </w:rPr>
        <w:t> </w:t>
      </w:r>
      <w:r>
        <w:rPr>
          <w:color w:val="231F20"/>
        </w:rPr>
        <w:t>Tourism</w:t>
      </w:r>
      <w:r>
        <w:rPr>
          <w:color w:val="231F20"/>
          <w:spacing w:val="-11"/>
        </w:rPr>
        <w:t> </w:t>
      </w:r>
      <w:r>
        <w:rPr>
          <w:color w:val="231F20"/>
        </w:rPr>
        <w:t>Fair</w:t>
      </w:r>
      <w:r>
        <w:rPr>
          <w:color w:val="231F20"/>
          <w:spacing w:val="-11"/>
        </w:rPr>
        <w:t> </w:t>
      </w:r>
      <w:r>
        <w:rPr>
          <w:color w:val="231F20"/>
        </w:rPr>
        <w:t>in</w:t>
      </w:r>
      <w:r>
        <w:rPr>
          <w:color w:val="231F20"/>
          <w:spacing w:val="-11"/>
        </w:rPr>
        <w:t> </w:t>
      </w:r>
      <w:r>
        <w:rPr>
          <w:color w:val="231F20"/>
        </w:rPr>
        <w:t>Holland.</w:t>
      </w:r>
    </w:p>
    <w:p>
      <w:pPr>
        <w:pStyle w:val="BodyText"/>
        <w:spacing w:before="164"/>
        <w:ind w:left="1133"/>
      </w:pPr>
      <w:r>
        <w:rPr>
          <w:b/>
          <w:color w:val="B52628"/>
        </w:rPr>
        <w:t>On January 26, 2023, </w:t>
      </w:r>
      <w:r>
        <w:rPr>
          <w:color w:val="231F20"/>
        </w:rPr>
        <w:t>Maccorp </w:t>
      </w:r>
      <w:r>
        <w:rPr>
          <w:color w:val="231F20"/>
        </w:rPr>
        <w:t>Exact Change E.P. S.A. in Madrid, Spain, refused an exchange into U.S. dollars requested by</w:t>
      </w:r>
      <w:r>
        <w:rPr>
          <w:color w:val="231F20"/>
          <w:spacing w:val="-15"/>
        </w:rPr>
        <w:t> </w:t>
      </w:r>
      <w:r>
        <w:rPr>
          <w:color w:val="231F20"/>
        </w:rPr>
        <w:t>a</w:t>
      </w:r>
      <w:r>
        <w:rPr>
          <w:color w:val="231F20"/>
          <w:spacing w:val="-15"/>
        </w:rPr>
        <w:t> </w:t>
      </w:r>
      <w:r>
        <w:rPr>
          <w:color w:val="231F20"/>
        </w:rPr>
        <w:t>Cuban</w:t>
      </w:r>
      <w:r>
        <w:rPr>
          <w:color w:val="231F20"/>
          <w:spacing w:val="-15"/>
        </w:rPr>
        <w:t> </w:t>
      </w:r>
      <w:r>
        <w:rPr>
          <w:color w:val="231F20"/>
        </w:rPr>
        <w:t>diplomat.</w:t>
      </w:r>
      <w:r>
        <w:rPr>
          <w:color w:val="231F20"/>
          <w:spacing w:val="-15"/>
        </w:rPr>
        <w:t> </w:t>
      </w:r>
      <w:r>
        <w:rPr>
          <w:color w:val="231F20"/>
        </w:rPr>
        <w:t>The</w:t>
      </w:r>
      <w:r>
        <w:rPr>
          <w:color w:val="231F20"/>
          <w:spacing w:val="-15"/>
        </w:rPr>
        <w:t> </w:t>
      </w:r>
      <w:r>
        <w:rPr>
          <w:color w:val="231F20"/>
        </w:rPr>
        <w:t>explanation</w:t>
      </w:r>
      <w:r>
        <w:rPr>
          <w:color w:val="231F20"/>
          <w:spacing w:val="-15"/>
        </w:rPr>
        <w:t> </w:t>
      </w:r>
      <w:r>
        <w:rPr>
          <w:color w:val="231F20"/>
        </w:rPr>
        <w:t>was </w:t>
      </w:r>
      <w:r>
        <w:rPr>
          <w:color w:val="231F20"/>
          <w:spacing w:val="-4"/>
        </w:rPr>
        <w:t>compliance</w:t>
      </w:r>
      <w:r>
        <w:rPr>
          <w:color w:val="231F20"/>
          <w:spacing w:val="-13"/>
        </w:rPr>
        <w:t> </w:t>
      </w:r>
      <w:r>
        <w:rPr>
          <w:color w:val="231F20"/>
          <w:spacing w:val="-4"/>
        </w:rPr>
        <w:t>with</w:t>
      </w:r>
      <w:r>
        <w:rPr>
          <w:color w:val="231F20"/>
          <w:spacing w:val="-12"/>
        </w:rPr>
        <w:t> </w:t>
      </w:r>
      <w:r>
        <w:rPr>
          <w:color w:val="231F20"/>
          <w:spacing w:val="-4"/>
        </w:rPr>
        <w:t>the</w:t>
      </w:r>
      <w:r>
        <w:rPr>
          <w:color w:val="231F20"/>
          <w:spacing w:val="-13"/>
        </w:rPr>
        <w:t> </w:t>
      </w:r>
      <w:r>
        <w:rPr>
          <w:color w:val="231F20"/>
          <w:spacing w:val="-4"/>
        </w:rPr>
        <w:t>Treasury</w:t>
      </w:r>
      <w:r>
        <w:rPr>
          <w:color w:val="231F20"/>
          <w:spacing w:val="-12"/>
        </w:rPr>
        <w:t> </w:t>
      </w:r>
      <w:r>
        <w:rPr>
          <w:color w:val="231F20"/>
          <w:spacing w:val="-4"/>
        </w:rPr>
        <w:t>Department’s </w:t>
      </w:r>
      <w:r>
        <w:rPr>
          <w:color w:val="231F20"/>
        </w:rPr>
        <w:t>strictures regarding Cuba.</w:t>
      </w:r>
    </w:p>
    <w:p>
      <w:pPr>
        <w:pStyle w:val="BodyText"/>
        <w:spacing w:before="165"/>
        <w:ind w:left="1133"/>
      </w:pPr>
      <w:r>
        <w:rPr>
          <w:b/>
          <w:color w:val="B52628"/>
        </w:rPr>
        <w:t>On January 31, 2023, </w:t>
      </w:r>
      <w:r>
        <w:rPr>
          <w:color w:val="231F20"/>
        </w:rPr>
        <w:t>the </w:t>
      </w:r>
      <w:r>
        <w:rPr>
          <w:color w:val="231F20"/>
        </w:rPr>
        <w:t>Peugeot subsidiary in Berlin, Germany requested </w:t>
      </w:r>
      <w:r>
        <w:rPr>
          <w:color w:val="231F20"/>
          <w:spacing w:val="-6"/>
        </w:rPr>
        <w:t>termination of a leasing agreement with the </w:t>
      </w:r>
      <w:r>
        <w:rPr>
          <w:color w:val="231F20"/>
        </w:rPr>
        <w:t>Cuban embassy following takeover of the company by Stellantis &amp; You consortium, the</w:t>
      </w:r>
      <w:r>
        <w:rPr>
          <w:color w:val="231F20"/>
          <w:spacing w:val="57"/>
        </w:rPr>
        <w:t> </w:t>
      </w:r>
      <w:r>
        <w:rPr>
          <w:color w:val="231F20"/>
        </w:rPr>
        <w:t>majority</w:t>
      </w:r>
      <w:r>
        <w:rPr>
          <w:color w:val="231F20"/>
          <w:spacing w:val="58"/>
        </w:rPr>
        <w:t> </w:t>
      </w:r>
      <w:r>
        <w:rPr>
          <w:color w:val="231F20"/>
        </w:rPr>
        <w:t>of</w:t>
      </w:r>
      <w:r>
        <w:rPr>
          <w:color w:val="231F20"/>
          <w:spacing w:val="58"/>
        </w:rPr>
        <w:t> </w:t>
      </w:r>
      <w:r>
        <w:rPr>
          <w:color w:val="231F20"/>
        </w:rPr>
        <w:t>whose</w:t>
      </w:r>
      <w:r>
        <w:rPr>
          <w:color w:val="231F20"/>
          <w:spacing w:val="58"/>
        </w:rPr>
        <w:t> </w:t>
      </w:r>
      <w:r>
        <w:rPr>
          <w:color w:val="231F20"/>
        </w:rPr>
        <w:t>shareholders</w:t>
      </w:r>
      <w:r>
        <w:rPr>
          <w:color w:val="231F20"/>
          <w:spacing w:val="58"/>
        </w:rPr>
        <w:t> </w:t>
      </w:r>
      <w:r>
        <w:rPr>
          <w:color w:val="231F20"/>
          <w:spacing w:val="-5"/>
        </w:rPr>
        <w:t>are</w:t>
      </w:r>
    </w:p>
    <w:p>
      <w:pPr>
        <w:pStyle w:val="BodyText"/>
        <w:spacing w:before="5"/>
        <w:ind w:left="1133"/>
      </w:pPr>
      <w:r>
        <w:rPr>
          <w:color w:val="231F20"/>
        </w:rPr>
        <w:t>U.S</w:t>
      </w:r>
      <w:r>
        <w:rPr>
          <w:color w:val="231F20"/>
          <w:spacing w:val="-5"/>
        </w:rPr>
        <w:t> </w:t>
      </w:r>
      <w:r>
        <w:rPr>
          <w:color w:val="231F20"/>
          <w:spacing w:val="-2"/>
        </w:rPr>
        <w:t>citizens.</w:t>
      </w:r>
    </w:p>
    <w:p>
      <w:pPr>
        <w:pStyle w:val="BodyText"/>
        <w:spacing w:before="160"/>
        <w:ind w:left="1133"/>
      </w:pPr>
      <w:r>
        <w:rPr>
          <w:b/>
          <w:color w:val="B52628"/>
          <w:spacing w:val="-4"/>
        </w:rPr>
        <w:t>Between</w:t>
      </w:r>
      <w:r>
        <w:rPr>
          <w:b/>
          <w:color w:val="B52628"/>
          <w:spacing w:val="-10"/>
        </w:rPr>
        <w:t> </w:t>
      </w:r>
      <w:r>
        <w:rPr>
          <w:b/>
          <w:color w:val="B52628"/>
          <w:spacing w:val="-4"/>
        </w:rPr>
        <w:t>January</w:t>
      </w:r>
      <w:r>
        <w:rPr>
          <w:b/>
          <w:color w:val="B52628"/>
          <w:spacing w:val="-10"/>
        </w:rPr>
        <w:t> </w:t>
      </w:r>
      <w:r>
        <w:rPr>
          <w:b/>
          <w:color w:val="B52628"/>
          <w:spacing w:val="-4"/>
        </w:rPr>
        <w:t>and</w:t>
      </w:r>
      <w:r>
        <w:rPr>
          <w:b/>
          <w:color w:val="B52628"/>
          <w:spacing w:val="-10"/>
        </w:rPr>
        <w:t> </w:t>
      </w:r>
      <w:r>
        <w:rPr>
          <w:b/>
          <w:color w:val="B52628"/>
          <w:spacing w:val="-4"/>
        </w:rPr>
        <w:t>February</w:t>
      </w:r>
      <w:r>
        <w:rPr>
          <w:b/>
          <w:color w:val="B52628"/>
          <w:spacing w:val="-10"/>
        </w:rPr>
        <w:t> </w:t>
      </w:r>
      <w:r>
        <w:rPr>
          <w:b/>
          <w:color w:val="B52628"/>
          <w:spacing w:val="-4"/>
        </w:rPr>
        <w:t>2023,</w:t>
      </w:r>
      <w:r>
        <w:rPr>
          <w:b/>
          <w:color w:val="B52628"/>
          <w:spacing w:val="-10"/>
        </w:rPr>
        <w:t> </w:t>
      </w:r>
      <w:r>
        <w:rPr>
          <w:color w:val="231F20"/>
          <w:spacing w:val="-4"/>
        </w:rPr>
        <w:t>the </w:t>
      </w:r>
      <w:r>
        <w:rPr>
          <w:color w:val="231F20"/>
          <w:spacing w:val="-6"/>
        </w:rPr>
        <w:t>banks Wise Payments Ltd., Bank of Scotland </w:t>
      </w:r>
      <w:r>
        <w:rPr>
          <w:color w:val="231F20"/>
        </w:rPr>
        <w:t>and UniCredit Bank Austria AG, refused </w:t>
      </w:r>
      <w:r>
        <w:rPr>
          <w:color w:val="231F20"/>
          <w:spacing w:val="-6"/>
        </w:rPr>
        <w:t>transfers</w:t>
      </w:r>
      <w:r>
        <w:rPr>
          <w:color w:val="231F20"/>
          <w:spacing w:val="-7"/>
        </w:rPr>
        <w:t> </w:t>
      </w:r>
      <w:r>
        <w:rPr>
          <w:color w:val="231F20"/>
          <w:spacing w:val="-6"/>
        </w:rPr>
        <w:t>originating in Cuba for payment of </w:t>
      </w:r>
      <w:r>
        <w:rPr>
          <w:color w:val="231F20"/>
        </w:rPr>
        <w:t>services</w:t>
      </w:r>
      <w:r>
        <w:rPr>
          <w:color w:val="231F20"/>
          <w:spacing w:val="-7"/>
        </w:rPr>
        <w:t> </w:t>
      </w:r>
      <w:r>
        <w:rPr>
          <w:color w:val="231F20"/>
        </w:rPr>
        <w:t>provided</w:t>
      </w:r>
      <w:r>
        <w:rPr>
          <w:color w:val="231F20"/>
          <w:spacing w:val="-7"/>
        </w:rPr>
        <w:t> </w:t>
      </w:r>
      <w:r>
        <w:rPr>
          <w:color w:val="231F20"/>
        </w:rPr>
        <w:t>by</w:t>
      </w:r>
      <w:r>
        <w:rPr>
          <w:color w:val="231F20"/>
          <w:spacing w:val="-7"/>
        </w:rPr>
        <w:t> </w:t>
      </w:r>
      <w:r>
        <w:rPr>
          <w:color w:val="231F20"/>
        </w:rPr>
        <w:t>the</w:t>
      </w:r>
      <w:r>
        <w:rPr>
          <w:color w:val="231F20"/>
          <w:spacing w:val="-7"/>
        </w:rPr>
        <w:t> </w:t>
      </w:r>
      <w:r>
        <w:rPr>
          <w:color w:val="231F20"/>
        </w:rPr>
        <w:t>organizers</w:t>
      </w:r>
      <w:r>
        <w:rPr>
          <w:color w:val="231F20"/>
          <w:spacing w:val="-7"/>
        </w:rPr>
        <w:t> </w:t>
      </w:r>
      <w:r>
        <w:rPr>
          <w:color w:val="231F20"/>
        </w:rPr>
        <w:t>of</w:t>
      </w:r>
      <w:r>
        <w:rPr>
          <w:color w:val="231F20"/>
          <w:spacing w:val="-7"/>
        </w:rPr>
        <w:t> </w:t>
      </w:r>
      <w:r>
        <w:rPr>
          <w:color w:val="231F20"/>
        </w:rPr>
        <w:t>the MICE</w:t>
      </w:r>
      <w:r>
        <w:rPr>
          <w:color w:val="231F20"/>
          <w:spacing w:val="-16"/>
        </w:rPr>
        <w:t> </w:t>
      </w:r>
      <w:r>
        <w:rPr>
          <w:color w:val="231F20"/>
        </w:rPr>
        <w:t>(Frankfurt)</w:t>
      </w:r>
      <w:r>
        <w:rPr>
          <w:color w:val="231F20"/>
          <w:spacing w:val="-16"/>
        </w:rPr>
        <w:t> </w:t>
      </w:r>
      <w:r>
        <w:rPr>
          <w:color w:val="231F20"/>
        </w:rPr>
        <w:t>and</w:t>
      </w:r>
      <w:r>
        <w:rPr>
          <w:color w:val="231F20"/>
          <w:spacing w:val="-16"/>
        </w:rPr>
        <w:t> </w:t>
      </w:r>
      <w:r>
        <w:rPr>
          <w:color w:val="231F20"/>
        </w:rPr>
        <w:t>Messe</w:t>
      </w:r>
      <w:r>
        <w:rPr>
          <w:color w:val="231F20"/>
          <w:spacing w:val="-16"/>
        </w:rPr>
        <w:t> </w:t>
      </w:r>
      <w:r>
        <w:rPr>
          <w:color w:val="231F20"/>
        </w:rPr>
        <w:t>Wien</w:t>
      </w:r>
      <w:r>
        <w:rPr>
          <w:color w:val="231F20"/>
          <w:spacing w:val="-16"/>
        </w:rPr>
        <w:t> </w:t>
      </w:r>
      <w:r>
        <w:rPr>
          <w:color w:val="231F20"/>
        </w:rPr>
        <w:t>(Vienna) tourism fairs, putting at risk the ability to register</w:t>
      </w:r>
      <w:r>
        <w:rPr>
          <w:color w:val="231F20"/>
          <w:spacing w:val="-11"/>
        </w:rPr>
        <w:t> </w:t>
      </w:r>
      <w:r>
        <w:rPr>
          <w:color w:val="231F20"/>
        </w:rPr>
        <w:t>for</w:t>
      </w:r>
      <w:r>
        <w:rPr>
          <w:color w:val="231F20"/>
          <w:spacing w:val="-11"/>
        </w:rPr>
        <w:t> </w:t>
      </w:r>
      <w:r>
        <w:rPr>
          <w:color w:val="231F20"/>
        </w:rPr>
        <w:t>participation</w:t>
      </w:r>
      <w:r>
        <w:rPr>
          <w:color w:val="231F20"/>
          <w:spacing w:val="-11"/>
        </w:rPr>
        <w:t> </w:t>
      </w:r>
      <w:r>
        <w:rPr>
          <w:color w:val="231F20"/>
        </w:rPr>
        <w:t>in</w:t>
      </w:r>
      <w:r>
        <w:rPr>
          <w:color w:val="231F20"/>
          <w:spacing w:val="-11"/>
        </w:rPr>
        <w:t> </w:t>
      </w:r>
      <w:r>
        <w:rPr>
          <w:color w:val="231F20"/>
        </w:rPr>
        <w:t>future</w:t>
      </w:r>
      <w:r>
        <w:rPr>
          <w:color w:val="231F20"/>
          <w:spacing w:val="-11"/>
        </w:rPr>
        <w:t> </w:t>
      </w:r>
      <w:r>
        <w:rPr>
          <w:color w:val="231F20"/>
        </w:rPr>
        <w:t>editions of these events.</w:t>
      </w:r>
    </w:p>
    <w:p>
      <w:pPr>
        <w:pStyle w:val="Heading2"/>
        <w:spacing w:before="86"/>
        <w:ind w:left="412"/>
        <w:jc w:val="both"/>
      </w:pPr>
      <w:r>
        <w:rPr/>
        <w:br w:type="column"/>
      </w:r>
      <w:r>
        <w:rPr>
          <w:color w:val="1F4282"/>
          <w:w w:val="115"/>
        </w:rPr>
        <w:t>Other</w:t>
      </w:r>
      <w:r>
        <w:rPr>
          <w:color w:val="1F4282"/>
          <w:spacing w:val="24"/>
          <w:w w:val="115"/>
        </w:rPr>
        <w:t> </w:t>
      </w:r>
      <w:r>
        <w:rPr>
          <w:color w:val="1F4282"/>
          <w:w w:val="115"/>
        </w:rPr>
        <w:t>extraterritorial</w:t>
      </w:r>
      <w:r>
        <w:rPr>
          <w:color w:val="1F4282"/>
          <w:spacing w:val="25"/>
          <w:w w:val="115"/>
        </w:rPr>
        <w:t> </w:t>
      </w:r>
      <w:r>
        <w:rPr>
          <w:color w:val="1F4282"/>
          <w:spacing w:val="-2"/>
          <w:w w:val="115"/>
        </w:rPr>
        <w:t>impacts</w:t>
      </w:r>
    </w:p>
    <w:p>
      <w:pPr>
        <w:pStyle w:val="BodyText"/>
        <w:spacing w:before="174"/>
        <w:ind w:left="412" w:right="1475"/>
      </w:pPr>
      <w:r>
        <w:rPr>
          <w:b/>
          <w:color w:val="B52628"/>
        </w:rPr>
        <w:t>On April 21, 2022, </w:t>
      </w:r>
      <w:r>
        <w:rPr>
          <w:color w:val="231F20"/>
        </w:rPr>
        <w:t>the U.S. Treasury Department’s Office of Foreign Assets Control</w:t>
      </w:r>
      <w:r>
        <w:rPr>
          <w:color w:val="231F20"/>
          <w:spacing w:val="-11"/>
        </w:rPr>
        <w:t> </w:t>
      </w:r>
      <w:r>
        <w:rPr>
          <w:color w:val="231F20"/>
        </w:rPr>
        <w:t>(OFAC)</w:t>
      </w:r>
      <w:r>
        <w:rPr>
          <w:color w:val="231F20"/>
          <w:spacing w:val="-11"/>
        </w:rPr>
        <w:t> </w:t>
      </w:r>
      <w:r>
        <w:rPr>
          <w:color w:val="231F20"/>
        </w:rPr>
        <w:t>announced</w:t>
      </w:r>
      <w:r>
        <w:rPr>
          <w:color w:val="231F20"/>
          <w:spacing w:val="-11"/>
        </w:rPr>
        <w:t> </w:t>
      </w:r>
      <w:r>
        <w:rPr>
          <w:color w:val="231F20"/>
        </w:rPr>
        <w:t>settlements</w:t>
      </w:r>
      <w:r>
        <w:rPr>
          <w:color w:val="231F20"/>
          <w:spacing w:val="-11"/>
        </w:rPr>
        <w:t> </w:t>
      </w:r>
      <w:r>
        <w:rPr>
          <w:color w:val="231F20"/>
        </w:rPr>
        <w:t>to avoid civil suits with two U.S. companies </w:t>
      </w:r>
      <w:r>
        <w:rPr>
          <w:color w:val="231F20"/>
          <w:spacing w:val="-6"/>
        </w:rPr>
        <w:t>relating</w:t>
      </w:r>
      <w:r>
        <w:rPr>
          <w:color w:val="231F20"/>
          <w:spacing w:val="-8"/>
        </w:rPr>
        <w:t> </w:t>
      </w:r>
      <w:r>
        <w:rPr>
          <w:color w:val="231F20"/>
          <w:spacing w:val="-6"/>
        </w:rPr>
        <w:t>to</w:t>
      </w:r>
      <w:r>
        <w:rPr>
          <w:color w:val="231F20"/>
          <w:spacing w:val="-8"/>
        </w:rPr>
        <w:t> </w:t>
      </w:r>
      <w:r>
        <w:rPr>
          <w:color w:val="231F20"/>
          <w:spacing w:val="-6"/>
        </w:rPr>
        <w:t>alleged</w:t>
      </w:r>
      <w:r>
        <w:rPr>
          <w:color w:val="231F20"/>
          <w:spacing w:val="-8"/>
        </w:rPr>
        <w:t> </w:t>
      </w:r>
      <w:r>
        <w:rPr>
          <w:color w:val="231F20"/>
          <w:spacing w:val="-6"/>
        </w:rPr>
        <w:t>breaches</w:t>
      </w:r>
      <w:r>
        <w:rPr>
          <w:color w:val="231F20"/>
          <w:spacing w:val="-8"/>
        </w:rPr>
        <w:t> </w:t>
      </w:r>
      <w:r>
        <w:rPr>
          <w:color w:val="231F20"/>
          <w:spacing w:val="-6"/>
        </w:rPr>
        <w:t>of</w:t>
      </w:r>
      <w:r>
        <w:rPr>
          <w:color w:val="231F20"/>
          <w:spacing w:val="-8"/>
        </w:rPr>
        <w:t> </w:t>
      </w:r>
      <w:r>
        <w:rPr>
          <w:color w:val="231F20"/>
          <w:spacing w:val="-6"/>
        </w:rPr>
        <w:t>the</w:t>
      </w:r>
      <w:r>
        <w:rPr>
          <w:color w:val="231F20"/>
          <w:spacing w:val="-8"/>
        </w:rPr>
        <w:t> </w:t>
      </w:r>
      <w:r>
        <w:rPr>
          <w:color w:val="231F20"/>
          <w:spacing w:val="-6"/>
        </w:rPr>
        <w:t>blockade </w:t>
      </w:r>
      <w:r>
        <w:rPr>
          <w:color w:val="231F20"/>
          <w:spacing w:val="-10"/>
        </w:rPr>
        <w:t>on</w:t>
      </w:r>
      <w:r>
        <w:rPr>
          <w:color w:val="231F20"/>
          <w:spacing w:val="-5"/>
        </w:rPr>
        <w:t> </w:t>
      </w:r>
      <w:r>
        <w:rPr>
          <w:color w:val="231F20"/>
          <w:spacing w:val="-10"/>
        </w:rPr>
        <w:t>Cuba.</w:t>
      </w:r>
      <w:r>
        <w:rPr>
          <w:color w:val="231F20"/>
          <w:spacing w:val="-5"/>
        </w:rPr>
        <w:t> </w:t>
      </w:r>
      <w:r>
        <w:rPr>
          <w:color w:val="231F20"/>
          <w:spacing w:val="-10"/>
        </w:rPr>
        <w:t>The</w:t>
      </w:r>
      <w:r>
        <w:rPr>
          <w:color w:val="231F20"/>
          <w:spacing w:val="-5"/>
        </w:rPr>
        <w:t> </w:t>
      </w:r>
      <w:r>
        <w:rPr>
          <w:color w:val="231F20"/>
          <w:spacing w:val="-10"/>
        </w:rPr>
        <w:t>mining</w:t>
      </w:r>
      <w:r>
        <w:rPr>
          <w:color w:val="231F20"/>
          <w:spacing w:val="-5"/>
        </w:rPr>
        <w:t> </w:t>
      </w:r>
      <w:r>
        <w:rPr>
          <w:color w:val="231F20"/>
          <w:spacing w:val="-10"/>
        </w:rPr>
        <w:t>multinational</w:t>
      </w:r>
      <w:r>
        <w:rPr>
          <w:color w:val="231F20"/>
          <w:spacing w:val="-5"/>
        </w:rPr>
        <w:t> </w:t>
      </w:r>
      <w:r>
        <w:rPr>
          <w:color w:val="231F20"/>
          <w:spacing w:val="-10"/>
        </w:rPr>
        <w:t>Newmont </w:t>
      </w:r>
      <w:r>
        <w:rPr>
          <w:color w:val="231F20"/>
        </w:rPr>
        <w:t>Corporation</w:t>
      </w:r>
      <w:r>
        <w:rPr>
          <w:color w:val="231F20"/>
          <w:spacing w:val="-4"/>
        </w:rPr>
        <w:t> </w:t>
      </w:r>
      <w:r>
        <w:rPr>
          <w:color w:val="231F20"/>
        </w:rPr>
        <w:t>(Denver,</w:t>
      </w:r>
      <w:r>
        <w:rPr>
          <w:color w:val="231F20"/>
          <w:spacing w:val="-4"/>
        </w:rPr>
        <w:t> </w:t>
      </w:r>
      <w:r>
        <w:rPr>
          <w:color w:val="231F20"/>
        </w:rPr>
        <w:t>Colorado)</w:t>
      </w:r>
      <w:r>
        <w:rPr>
          <w:color w:val="231F20"/>
          <w:spacing w:val="-4"/>
        </w:rPr>
        <w:t> </w:t>
      </w:r>
      <w:r>
        <w:rPr>
          <w:color w:val="231F20"/>
        </w:rPr>
        <w:t>was</w:t>
      </w:r>
      <w:r>
        <w:rPr>
          <w:color w:val="231F20"/>
          <w:spacing w:val="-4"/>
        </w:rPr>
        <w:t> </w:t>
      </w:r>
      <w:r>
        <w:rPr>
          <w:color w:val="231F20"/>
        </w:rPr>
        <w:t>fined USD 141,442 and Chisu International </w:t>
      </w:r>
      <w:r>
        <w:rPr>
          <w:color w:val="231F20"/>
          <w:spacing w:val="-8"/>
        </w:rPr>
        <w:t>Corporation (Florida)</w:t>
      </w:r>
      <w:r>
        <w:rPr>
          <w:color w:val="231F20"/>
        </w:rPr>
        <w:t> </w:t>
      </w:r>
      <w:r>
        <w:rPr>
          <w:color w:val="231F20"/>
          <w:spacing w:val="-8"/>
        </w:rPr>
        <w:t>USD 45,908.</w:t>
      </w:r>
      <w:r>
        <w:rPr>
          <w:color w:val="231F20"/>
        </w:rPr>
        <w:t> </w:t>
      </w:r>
      <w:r>
        <w:rPr>
          <w:color w:val="231F20"/>
          <w:spacing w:val="-8"/>
        </w:rPr>
        <w:t>According </w:t>
      </w:r>
      <w:r>
        <w:rPr>
          <w:color w:val="231F20"/>
          <w:spacing w:val="-6"/>
        </w:rPr>
        <w:t>to</w:t>
      </w:r>
      <w:r>
        <w:rPr>
          <w:color w:val="231F20"/>
          <w:spacing w:val="-8"/>
        </w:rPr>
        <w:t> </w:t>
      </w:r>
      <w:r>
        <w:rPr>
          <w:color w:val="231F20"/>
          <w:spacing w:val="-6"/>
        </w:rPr>
        <w:t>OFAC,</w:t>
      </w:r>
      <w:r>
        <w:rPr>
          <w:color w:val="231F20"/>
          <w:spacing w:val="-7"/>
        </w:rPr>
        <w:t> </w:t>
      </w:r>
      <w:r>
        <w:rPr>
          <w:color w:val="231F20"/>
          <w:spacing w:val="-6"/>
        </w:rPr>
        <w:t>between</w:t>
      </w:r>
      <w:r>
        <w:rPr>
          <w:color w:val="231F20"/>
          <w:spacing w:val="-8"/>
        </w:rPr>
        <w:t> </w:t>
      </w:r>
      <w:r>
        <w:rPr>
          <w:color w:val="231F20"/>
          <w:spacing w:val="-6"/>
        </w:rPr>
        <w:t>2016</w:t>
      </w:r>
      <w:r>
        <w:rPr>
          <w:color w:val="231F20"/>
          <w:spacing w:val="-8"/>
        </w:rPr>
        <w:t> </w:t>
      </w:r>
      <w:r>
        <w:rPr>
          <w:color w:val="231F20"/>
          <w:spacing w:val="-6"/>
        </w:rPr>
        <w:t>and</w:t>
      </w:r>
      <w:r>
        <w:rPr>
          <w:color w:val="231F20"/>
          <w:spacing w:val="-8"/>
        </w:rPr>
        <w:t> </w:t>
      </w:r>
      <w:r>
        <w:rPr>
          <w:color w:val="231F20"/>
          <w:spacing w:val="-6"/>
        </w:rPr>
        <w:t>2017,</w:t>
      </w:r>
      <w:r>
        <w:rPr>
          <w:color w:val="231F20"/>
          <w:spacing w:val="-8"/>
        </w:rPr>
        <w:t> </w:t>
      </w:r>
      <w:r>
        <w:rPr>
          <w:color w:val="231F20"/>
          <w:spacing w:val="-6"/>
        </w:rPr>
        <w:t>in</w:t>
      </w:r>
      <w:r>
        <w:rPr>
          <w:color w:val="231F20"/>
          <w:spacing w:val="-8"/>
        </w:rPr>
        <w:t> </w:t>
      </w:r>
      <w:r>
        <w:rPr>
          <w:color w:val="231F20"/>
          <w:spacing w:val="-6"/>
        </w:rPr>
        <w:t>breach </w:t>
      </w:r>
      <w:r>
        <w:rPr>
          <w:color w:val="231F20"/>
        </w:rPr>
        <w:t>of the Cuban Assets Control Regulations </w:t>
      </w:r>
      <w:r>
        <w:rPr>
          <w:color w:val="231F20"/>
          <w:spacing w:val="-2"/>
        </w:rPr>
        <w:t>(CACRs),</w:t>
      </w:r>
      <w:r>
        <w:rPr>
          <w:color w:val="231F20"/>
          <w:spacing w:val="-15"/>
        </w:rPr>
        <w:t> </w:t>
      </w:r>
      <w:r>
        <w:rPr>
          <w:color w:val="231F20"/>
          <w:spacing w:val="-2"/>
        </w:rPr>
        <w:t>subsidiaries</w:t>
      </w:r>
      <w:r>
        <w:rPr>
          <w:color w:val="231F20"/>
          <w:spacing w:val="-14"/>
        </w:rPr>
        <w:t> </w:t>
      </w:r>
      <w:r>
        <w:rPr>
          <w:color w:val="231F20"/>
          <w:spacing w:val="-2"/>
        </w:rPr>
        <w:t>of</w:t>
      </w:r>
      <w:r>
        <w:rPr>
          <w:color w:val="231F20"/>
          <w:spacing w:val="-15"/>
        </w:rPr>
        <w:t> </w:t>
      </w:r>
      <w:r>
        <w:rPr>
          <w:color w:val="231F20"/>
          <w:spacing w:val="-2"/>
        </w:rPr>
        <w:t>the</w:t>
      </w:r>
      <w:r>
        <w:rPr>
          <w:color w:val="231F20"/>
          <w:spacing w:val="-14"/>
        </w:rPr>
        <w:t> </w:t>
      </w:r>
      <w:r>
        <w:rPr>
          <w:color w:val="231F20"/>
          <w:spacing w:val="-2"/>
        </w:rPr>
        <w:t>two</w:t>
      </w:r>
      <w:r>
        <w:rPr>
          <w:color w:val="231F20"/>
          <w:spacing w:val="-15"/>
        </w:rPr>
        <w:t> </w:t>
      </w:r>
      <w:r>
        <w:rPr>
          <w:color w:val="231F20"/>
          <w:spacing w:val="-2"/>
        </w:rPr>
        <w:t>companies </w:t>
      </w:r>
      <w:r>
        <w:rPr>
          <w:color w:val="231F20"/>
        </w:rPr>
        <w:t>in Suriname and Panama purchased </w:t>
      </w:r>
      <w:r>
        <w:rPr>
          <w:color w:val="231F20"/>
          <w:spacing w:val="-4"/>
        </w:rPr>
        <w:t>explosives</w:t>
      </w:r>
      <w:r>
        <w:rPr>
          <w:color w:val="231F20"/>
          <w:spacing w:val="-11"/>
        </w:rPr>
        <w:t> </w:t>
      </w:r>
      <w:r>
        <w:rPr>
          <w:color w:val="231F20"/>
          <w:spacing w:val="-4"/>
        </w:rPr>
        <w:t>for</w:t>
      </w:r>
      <w:r>
        <w:rPr>
          <w:color w:val="231F20"/>
          <w:spacing w:val="-11"/>
        </w:rPr>
        <w:t> </w:t>
      </w:r>
      <w:r>
        <w:rPr>
          <w:color w:val="231F20"/>
          <w:spacing w:val="-4"/>
        </w:rPr>
        <w:t>mining</w:t>
      </w:r>
      <w:r>
        <w:rPr>
          <w:color w:val="231F20"/>
          <w:spacing w:val="-11"/>
        </w:rPr>
        <w:t> </w:t>
      </w:r>
      <w:r>
        <w:rPr>
          <w:color w:val="231F20"/>
          <w:spacing w:val="-4"/>
        </w:rPr>
        <w:t>and</w:t>
      </w:r>
      <w:r>
        <w:rPr>
          <w:color w:val="231F20"/>
          <w:spacing w:val="-11"/>
        </w:rPr>
        <w:t> </w:t>
      </w:r>
      <w:r>
        <w:rPr>
          <w:color w:val="231F20"/>
          <w:spacing w:val="-4"/>
        </w:rPr>
        <w:t>other</w:t>
      </w:r>
      <w:r>
        <w:rPr>
          <w:color w:val="231F20"/>
          <w:spacing w:val="-11"/>
        </w:rPr>
        <w:t> </w:t>
      </w:r>
      <w:r>
        <w:rPr>
          <w:color w:val="231F20"/>
          <w:spacing w:val="-4"/>
        </w:rPr>
        <w:t>accessories </w:t>
      </w:r>
      <w:r>
        <w:rPr>
          <w:color w:val="231F20"/>
        </w:rPr>
        <w:t>of</w:t>
      </w:r>
      <w:r>
        <w:rPr>
          <w:color w:val="231F20"/>
          <w:spacing w:val="-17"/>
        </w:rPr>
        <w:t> </w:t>
      </w:r>
      <w:r>
        <w:rPr>
          <w:color w:val="231F20"/>
        </w:rPr>
        <w:t>Cuban</w:t>
      </w:r>
      <w:r>
        <w:rPr>
          <w:color w:val="231F20"/>
          <w:spacing w:val="-16"/>
        </w:rPr>
        <w:t> </w:t>
      </w:r>
      <w:r>
        <w:rPr>
          <w:color w:val="231F20"/>
        </w:rPr>
        <w:t>origin,</w:t>
      </w:r>
      <w:r>
        <w:rPr>
          <w:color w:val="231F20"/>
          <w:spacing w:val="-17"/>
        </w:rPr>
        <w:t> </w:t>
      </w:r>
      <w:r>
        <w:rPr>
          <w:color w:val="231F20"/>
        </w:rPr>
        <w:t>exported</w:t>
      </w:r>
      <w:r>
        <w:rPr>
          <w:color w:val="231F20"/>
          <w:spacing w:val="-16"/>
        </w:rPr>
        <w:t> </w:t>
      </w:r>
      <w:r>
        <w:rPr>
          <w:color w:val="231F20"/>
        </w:rPr>
        <w:t>by</w:t>
      </w:r>
      <w:r>
        <w:rPr>
          <w:color w:val="231F20"/>
          <w:spacing w:val="-17"/>
        </w:rPr>
        <w:t> </w:t>
      </w:r>
      <w:r>
        <w:rPr>
          <w:color w:val="231F20"/>
        </w:rPr>
        <w:t>Cuba’s</w:t>
      </w:r>
      <w:r>
        <w:rPr>
          <w:color w:val="231F20"/>
          <w:spacing w:val="-16"/>
        </w:rPr>
        <w:t> </w:t>
      </w:r>
      <w:r>
        <w:rPr>
          <w:color w:val="231F20"/>
        </w:rPr>
        <w:t>Unión Latinoamericana</w:t>
      </w:r>
      <w:r>
        <w:rPr>
          <w:color w:val="231F20"/>
          <w:spacing w:val="-8"/>
        </w:rPr>
        <w:t> </w:t>
      </w:r>
      <w:r>
        <w:rPr>
          <w:color w:val="231F20"/>
        </w:rPr>
        <w:t>de</w:t>
      </w:r>
      <w:r>
        <w:rPr>
          <w:color w:val="231F20"/>
          <w:spacing w:val="-8"/>
        </w:rPr>
        <w:t> </w:t>
      </w:r>
      <w:r>
        <w:rPr>
          <w:color w:val="231F20"/>
        </w:rPr>
        <w:t>Explosivos</w:t>
      </w:r>
      <w:r>
        <w:rPr>
          <w:color w:val="231F20"/>
          <w:spacing w:val="-8"/>
        </w:rPr>
        <w:t> </w:t>
      </w:r>
      <w:r>
        <w:rPr>
          <w:color w:val="231F20"/>
        </w:rPr>
        <w:t>(ULAEX).</w:t>
      </w:r>
    </w:p>
    <w:p>
      <w:pPr>
        <w:spacing w:before="172"/>
        <w:ind w:left="412" w:right="1471" w:firstLine="0"/>
        <w:jc w:val="both"/>
        <w:rPr>
          <w:sz w:val="24"/>
        </w:rPr>
      </w:pPr>
      <w:r>
        <w:rPr>
          <w:b/>
          <w:color w:val="B52628"/>
          <w:spacing w:val="-6"/>
          <w:sz w:val="24"/>
        </w:rPr>
        <w:t>On</w:t>
      </w:r>
      <w:r>
        <w:rPr>
          <w:b/>
          <w:color w:val="B52628"/>
          <w:spacing w:val="-11"/>
          <w:sz w:val="24"/>
        </w:rPr>
        <w:t> </w:t>
      </w:r>
      <w:r>
        <w:rPr>
          <w:b/>
          <w:color w:val="B52628"/>
          <w:spacing w:val="-6"/>
          <w:sz w:val="24"/>
        </w:rPr>
        <w:t>September</w:t>
      </w:r>
      <w:r>
        <w:rPr>
          <w:b/>
          <w:color w:val="B52628"/>
          <w:spacing w:val="-10"/>
          <w:sz w:val="24"/>
        </w:rPr>
        <w:t> </w:t>
      </w:r>
      <w:r>
        <w:rPr>
          <w:b/>
          <w:color w:val="B52628"/>
          <w:spacing w:val="-6"/>
          <w:sz w:val="24"/>
        </w:rPr>
        <w:t>26,</w:t>
      </w:r>
      <w:r>
        <w:rPr>
          <w:b/>
          <w:color w:val="B52628"/>
          <w:spacing w:val="-10"/>
          <w:sz w:val="24"/>
        </w:rPr>
        <w:t> </w:t>
      </w:r>
      <w:r>
        <w:rPr>
          <w:b/>
          <w:color w:val="B52628"/>
          <w:spacing w:val="-6"/>
          <w:sz w:val="24"/>
        </w:rPr>
        <w:t>2022,</w:t>
      </w:r>
      <w:r>
        <w:rPr>
          <w:b/>
          <w:color w:val="B52628"/>
          <w:spacing w:val="-11"/>
          <w:sz w:val="24"/>
        </w:rPr>
        <w:t> </w:t>
      </w:r>
      <w:r>
        <w:rPr>
          <w:color w:val="231F20"/>
          <w:spacing w:val="-6"/>
          <w:sz w:val="24"/>
        </w:rPr>
        <w:t>OFAC</w:t>
      </w:r>
      <w:r>
        <w:rPr>
          <w:color w:val="231F20"/>
          <w:spacing w:val="-10"/>
          <w:sz w:val="24"/>
        </w:rPr>
        <w:t> </w:t>
      </w:r>
      <w:r>
        <w:rPr>
          <w:color w:val="231F20"/>
          <w:spacing w:val="-6"/>
          <w:sz w:val="24"/>
        </w:rPr>
        <w:t>announced </w:t>
      </w:r>
      <w:r>
        <w:rPr>
          <w:color w:val="231F20"/>
          <w:sz w:val="24"/>
        </w:rPr>
        <w:t>a</w:t>
      </w:r>
      <w:r>
        <w:rPr>
          <w:color w:val="231F20"/>
          <w:spacing w:val="-16"/>
          <w:sz w:val="24"/>
        </w:rPr>
        <w:t> </w:t>
      </w:r>
      <w:r>
        <w:rPr>
          <w:color w:val="231F20"/>
          <w:sz w:val="24"/>
        </w:rPr>
        <w:t>settlement</w:t>
      </w:r>
      <w:r>
        <w:rPr>
          <w:color w:val="231F20"/>
          <w:spacing w:val="-15"/>
          <w:sz w:val="24"/>
        </w:rPr>
        <w:t> </w:t>
      </w:r>
      <w:r>
        <w:rPr>
          <w:color w:val="231F20"/>
          <w:sz w:val="24"/>
        </w:rPr>
        <w:t>with</w:t>
      </w:r>
      <w:r>
        <w:rPr>
          <w:color w:val="231F20"/>
          <w:spacing w:val="-16"/>
          <w:sz w:val="24"/>
        </w:rPr>
        <w:t> </w:t>
      </w:r>
      <w:r>
        <w:rPr>
          <w:color w:val="231F20"/>
          <w:sz w:val="24"/>
        </w:rPr>
        <w:t>CA</w:t>
      </w:r>
      <w:r>
        <w:rPr>
          <w:color w:val="231F20"/>
          <w:spacing w:val="-15"/>
          <w:sz w:val="24"/>
        </w:rPr>
        <w:t> </w:t>
      </w:r>
      <w:r>
        <w:rPr>
          <w:color w:val="231F20"/>
          <w:sz w:val="24"/>
        </w:rPr>
        <w:t>Indosuez</w:t>
      </w:r>
      <w:r>
        <w:rPr>
          <w:color w:val="231F20"/>
          <w:spacing w:val="-15"/>
          <w:sz w:val="24"/>
        </w:rPr>
        <w:t> </w:t>
      </w:r>
      <w:r>
        <w:rPr>
          <w:color w:val="231F20"/>
          <w:spacing w:val="-2"/>
          <w:sz w:val="24"/>
        </w:rPr>
        <w:t>Switzerland</w:t>
      </w:r>
    </w:p>
    <w:p>
      <w:pPr>
        <w:pStyle w:val="BodyText"/>
        <w:spacing w:before="2"/>
        <w:ind w:left="412" w:right="1471"/>
      </w:pPr>
      <w:r>
        <w:rPr>
          <w:color w:val="231F20"/>
        </w:rPr>
        <w:t>S.A. (“CAIS”), an indirect subsidiary </w:t>
      </w:r>
      <w:r>
        <w:rPr>
          <w:color w:val="231F20"/>
        </w:rPr>
        <w:t>of Crédit</w:t>
      </w:r>
      <w:r>
        <w:rPr>
          <w:color w:val="231F20"/>
          <w:spacing w:val="-6"/>
        </w:rPr>
        <w:t> </w:t>
      </w:r>
      <w:r>
        <w:rPr>
          <w:color w:val="231F20"/>
        </w:rPr>
        <w:t>Agricole</w:t>
      </w:r>
      <w:r>
        <w:rPr>
          <w:color w:val="231F20"/>
          <w:spacing w:val="-6"/>
        </w:rPr>
        <w:t> </w:t>
      </w:r>
      <w:r>
        <w:rPr>
          <w:color w:val="231F20"/>
        </w:rPr>
        <w:t>Corporate</w:t>
      </w:r>
      <w:r>
        <w:rPr>
          <w:color w:val="231F20"/>
          <w:spacing w:val="-6"/>
        </w:rPr>
        <w:t> </w:t>
      </w:r>
      <w:r>
        <w:rPr>
          <w:color w:val="231F20"/>
        </w:rPr>
        <w:t>and</w:t>
      </w:r>
      <w:r>
        <w:rPr>
          <w:color w:val="231F20"/>
          <w:spacing w:val="-7"/>
        </w:rPr>
        <w:t> </w:t>
      </w:r>
      <w:r>
        <w:rPr>
          <w:color w:val="231F20"/>
        </w:rPr>
        <w:t>Investment Bank in Switzerland, over apparent breaches</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programs</w:t>
      </w:r>
      <w:r>
        <w:rPr>
          <w:color w:val="231F20"/>
          <w:spacing w:val="-2"/>
        </w:rPr>
        <w:t> </w:t>
      </w:r>
      <w:r>
        <w:rPr>
          <w:color w:val="231F20"/>
        </w:rPr>
        <w:t>of</w:t>
      </w:r>
      <w:r>
        <w:rPr>
          <w:color w:val="231F20"/>
          <w:spacing w:val="-2"/>
        </w:rPr>
        <w:t> </w:t>
      </w:r>
      <w:r>
        <w:rPr>
          <w:color w:val="231F20"/>
        </w:rPr>
        <w:t>sanctions</w:t>
      </w:r>
      <w:r>
        <w:rPr>
          <w:color w:val="231F20"/>
          <w:spacing w:val="-2"/>
        </w:rPr>
        <w:t> </w:t>
      </w:r>
      <w:r>
        <w:rPr>
          <w:color w:val="231F20"/>
        </w:rPr>
        <w:t>on Cuba, Iran, Sudan and Syria. CAIS, which specializes in wealth management and </w:t>
      </w:r>
      <w:r>
        <w:rPr>
          <w:color w:val="231F20"/>
          <w:spacing w:val="-2"/>
        </w:rPr>
        <w:t>corporate</w:t>
      </w:r>
      <w:r>
        <w:rPr>
          <w:color w:val="231F20"/>
          <w:spacing w:val="-11"/>
        </w:rPr>
        <w:t> </w:t>
      </w:r>
      <w:r>
        <w:rPr>
          <w:color w:val="231F20"/>
          <w:spacing w:val="-2"/>
        </w:rPr>
        <w:t>and</w:t>
      </w:r>
      <w:r>
        <w:rPr>
          <w:color w:val="231F20"/>
          <w:spacing w:val="-11"/>
        </w:rPr>
        <w:t> </w:t>
      </w:r>
      <w:r>
        <w:rPr>
          <w:color w:val="231F20"/>
          <w:spacing w:val="-2"/>
        </w:rPr>
        <w:t>investment</w:t>
      </w:r>
      <w:r>
        <w:rPr>
          <w:color w:val="231F20"/>
          <w:spacing w:val="-11"/>
        </w:rPr>
        <w:t> </w:t>
      </w:r>
      <w:r>
        <w:rPr>
          <w:color w:val="231F20"/>
          <w:spacing w:val="-2"/>
        </w:rPr>
        <w:t>banking,</w:t>
      </w:r>
      <w:r>
        <w:rPr>
          <w:color w:val="231F20"/>
          <w:spacing w:val="-11"/>
        </w:rPr>
        <w:t> </w:t>
      </w:r>
      <w:r>
        <w:rPr>
          <w:color w:val="231F20"/>
          <w:spacing w:val="-2"/>
        </w:rPr>
        <w:t>agreed </w:t>
      </w:r>
      <w:r>
        <w:rPr>
          <w:color w:val="231F20"/>
        </w:rPr>
        <w:t>to</w:t>
      </w:r>
      <w:r>
        <w:rPr>
          <w:color w:val="231F20"/>
          <w:spacing w:val="-17"/>
        </w:rPr>
        <w:t> </w:t>
      </w:r>
      <w:r>
        <w:rPr>
          <w:color w:val="231F20"/>
        </w:rPr>
        <w:t>remit</w:t>
      </w:r>
      <w:r>
        <w:rPr>
          <w:color w:val="231F20"/>
          <w:spacing w:val="-16"/>
        </w:rPr>
        <w:t> </w:t>
      </w:r>
      <w:r>
        <w:rPr>
          <w:color w:val="231F20"/>
        </w:rPr>
        <w:t>USD</w:t>
      </w:r>
      <w:r>
        <w:rPr>
          <w:color w:val="231F20"/>
          <w:spacing w:val="-17"/>
        </w:rPr>
        <w:t> </w:t>
      </w:r>
      <w:r>
        <w:rPr>
          <w:color w:val="231F20"/>
        </w:rPr>
        <w:t>720,258</w:t>
      </w:r>
      <w:r>
        <w:rPr>
          <w:color w:val="231F20"/>
          <w:spacing w:val="-16"/>
        </w:rPr>
        <w:t> </w:t>
      </w:r>
      <w:r>
        <w:rPr>
          <w:color w:val="231F20"/>
        </w:rPr>
        <w:t>to</w:t>
      </w:r>
      <w:r>
        <w:rPr>
          <w:color w:val="231F20"/>
          <w:spacing w:val="-17"/>
        </w:rPr>
        <w:t> </w:t>
      </w:r>
      <w:r>
        <w:rPr>
          <w:color w:val="231F20"/>
        </w:rPr>
        <w:t>avoid</w:t>
      </w:r>
      <w:r>
        <w:rPr>
          <w:color w:val="231F20"/>
          <w:spacing w:val="-16"/>
        </w:rPr>
        <w:t> </w:t>
      </w:r>
      <w:r>
        <w:rPr>
          <w:color w:val="231F20"/>
        </w:rPr>
        <w:t>its</w:t>
      </w:r>
      <w:r>
        <w:rPr>
          <w:color w:val="231F20"/>
          <w:spacing w:val="-17"/>
        </w:rPr>
        <w:t> </w:t>
      </w:r>
      <w:r>
        <w:rPr>
          <w:color w:val="231F20"/>
        </w:rPr>
        <w:t>potential civil</w:t>
      </w:r>
      <w:r>
        <w:rPr>
          <w:color w:val="231F20"/>
          <w:spacing w:val="-5"/>
        </w:rPr>
        <w:t> </w:t>
      </w:r>
      <w:r>
        <w:rPr>
          <w:color w:val="231F20"/>
        </w:rPr>
        <w:t>liability.</w:t>
      </w:r>
      <w:r>
        <w:rPr>
          <w:color w:val="231F20"/>
          <w:spacing w:val="-5"/>
        </w:rPr>
        <w:t> </w:t>
      </w:r>
      <w:r>
        <w:rPr>
          <w:color w:val="231F20"/>
        </w:rPr>
        <w:t>Separately,</w:t>
      </w:r>
      <w:r>
        <w:rPr>
          <w:color w:val="231F20"/>
          <w:spacing w:val="-5"/>
        </w:rPr>
        <w:t> </w:t>
      </w:r>
      <w:r>
        <w:rPr>
          <w:color w:val="231F20"/>
        </w:rPr>
        <w:t>OFAC</w:t>
      </w:r>
      <w:r>
        <w:rPr>
          <w:color w:val="231F20"/>
          <w:spacing w:val="-5"/>
        </w:rPr>
        <w:t> </w:t>
      </w:r>
      <w:r>
        <w:rPr>
          <w:color w:val="231F20"/>
        </w:rPr>
        <w:t>announced a similar settlement with CFM Indosuez Wealth (“CFM”), an indirect subsidiary of Credit</w:t>
      </w:r>
      <w:r>
        <w:rPr>
          <w:color w:val="231F20"/>
          <w:spacing w:val="-6"/>
        </w:rPr>
        <w:t> </w:t>
      </w:r>
      <w:r>
        <w:rPr>
          <w:color w:val="231F20"/>
        </w:rPr>
        <w:t>Agricole</w:t>
      </w:r>
      <w:r>
        <w:rPr>
          <w:color w:val="231F20"/>
          <w:spacing w:val="-6"/>
        </w:rPr>
        <w:t> </w:t>
      </w:r>
      <w:r>
        <w:rPr>
          <w:color w:val="231F20"/>
        </w:rPr>
        <w:t>Corporate</w:t>
      </w:r>
      <w:r>
        <w:rPr>
          <w:color w:val="231F20"/>
          <w:spacing w:val="-6"/>
        </w:rPr>
        <w:t> </w:t>
      </w:r>
      <w:r>
        <w:rPr>
          <w:color w:val="231F20"/>
        </w:rPr>
        <w:t>and</w:t>
      </w:r>
      <w:r>
        <w:rPr>
          <w:color w:val="231F20"/>
          <w:spacing w:val="-7"/>
        </w:rPr>
        <w:t> </w:t>
      </w:r>
      <w:r>
        <w:rPr>
          <w:color w:val="231F20"/>
        </w:rPr>
        <w:t>Investment Bank, located in Monaco. CFM agreed to remit USD 401,039 to settle its potential civil liability for apparent violations of sanctions against Cuba, Iran, and Syria. According</w:t>
      </w:r>
      <w:r>
        <w:rPr>
          <w:color w:val="231F20"/>
          <w:spacing w:val="-17"/>
        </w:rPr>
        <w:t> </w:t>
      </w:r>
      <w:r>
        <w:rPr>
          <w:color w:val="231F20"/>
        </w:rPr>
        <w:t>to</w:t>
      </w:r>
      <w:r>
        <w:rPr>
          <w:color w:val="231F20"/>
          <w:spacing w:val="-16"/>
        </w:rPr>
        <w:t> </w:t>
      </w:r>
      <w:r>
        <w:rPr>
          <w:color w:val="231F20"/>
        </w:rPr>
        <w:t>OFAC’s</w:t>
      </w:r>
      <w:r>
        <w:rPr>
          <w:color w:val="231F20"/>
          <w:spacing w:val="-17"/>
        </w:rPr>
        <w:t> </w:t>
      </w:r>
      <w:r>
        <w:rPr>
          <w:color w:val="231F20"/>
        </w:rPr>
        <w:t>official</w:t>
      </w:r>
      <w:r>
        <w:rPr>
          <w:color w:val="231F20"/>
          <w:spacing w:val="-16"/>
        </w:rPr>
        <w:t> </w:t>
      </w:r>
      <w:r>
        <w:rPr>
          <w:color w:val="231F20"/>
        </w:rPr>
        <w:t>communiqué, both organizations operated U.S. dollar (USD) banking and securities accounts on behalf of individual customers located in sanctioned jurisdictions and conducted </w:t>
      </w:r>
      <w:r>
        <w:rPr>
          <w:color w:val="231F20"/>
          <w:spacing w:val="-2"/>
        </w:rPr>
        <w:t>USD</w:t>
      </w:r>
      <w:r>
        <w:rPr>
          <w:color w:val="231F20"/>
          <w:spacing w:val="-15"/>
        </w:rPr>
        <w:t> </w:t>
      </w:r>
      <w:r>
        <w:rPr>
          <w:color w:val="231F20"/>
          <w:spacing w:val="-2"/>
        </w:rPr>
        <w:t>business</w:t>
      </w:r>
      <w:r>
        <w:rPr>
          <w:color w:val="231F20"/>
          <w:spacing w:val="-14"/>
        </w:rPr>
        <w:t> </w:t>
      </w:r>
      <w:r>
        <w:rPr>
          <w:color w:val="231F20"/>
          <w:spacing w:val="-2"/>
        </w:rPr>
        <w:t>on</w:t>
      </w:r>
      <w:r>
        <w:rPr>
          <w:color w:val="231F20"/>
          <w:spacing w:val="-15"/>
        </w:rPr>
        <w:t> </w:t>
      </w:r>
      <w:r>
        <w:rPr>
          <w:color w:val="231F20"/>
          <w:spacing w:val="-2"/>
        </w:rPr>
        <w:t>behalf</w:t>
      </w:r>
      <w:r>
        <w:rPr>
          <w:color w:val="231F20"/>
          <w:spacing w:val="-14"/>
        </w:rPr>
        <w:t> </w:t>
      </w:r>
      <w:r>
        <w:rPr>
          <w:color w:val="231F20"/>
          <w:spacing w:val="-2"/>
        </w:rPr>
        <w:t>of</w:t>
      </w:r>
      <w:r>
        <w:rPr>
          <w:color w:val="231F20"/>
          <w:spacing w:val="-15"/>
        </w:rPr>
        <w:t> </w:t>
      </w:r>
      <w:r>
        <w:rPr>
          <w:color w:val="231F20"/>
          <w:spacing w:val="-2"/>
        </w:rPr>
        <w:t>these</w:t>
      </w:r>
      <w:r>
        <w:rPr>
          <w:color w:val="231F20"/>
          <w:spacing w:val="-14"/>
        </w:rPr>
        <w:t> </w:t>
      </w:r>
      <w:r>
        <w:rPr>
          <w:color w:val="231F20"/>
          <w:spacing w:val="-2"/>
        </w:rPr>
        <w:t>customers </w:t>
      </w:r>
      <w:r>
        <w:rPr>
          <w:color w:val="231F20"/>
        </w:rPr>
        <w:t>through the U.S. financial system.</w:t>
      </w:r>
    </w:p>
    <w:p>
      <w:pPr>
        <w:spacing w:after="0"/>
        <w:sectPr>
          <w:pgSz w:w="11910" w:h="16840"/>
          <w:pgMar w:header="0" w:footer="695" w:top="1240" w:bottom="880" w:left="0" w:right="0"/>
          <w:cols w:num="2" w:equalWidth="0">
            <w:col w:w="5558" w:space="40"/>
            <w:col w:w="6312"/>
          </w:cols>
        </w:sectPr>
      </w:pPr>
    </w:p>
    <w:p>
      <w:pPr>
        <w:pStyle w:val="BodyText"/>
        <w:spacing w:before="77"/>
        <w:ind w:left="1474"/>
      </w:pPr>
      <w:r>
        <w:rPr>
          <w:b/>
          <w:color w:val="B52628"/>
          <w:spacing w:val="-6"/>
        </w:rPr>
        <w:t>On</w:t>
      </w:r>
      <w:r>
        <w:rPr>
          <w:b/>
          <w:color w:val="B52628"/>
          <w:spacing w:val="-11"/>
        </w:rPr>
        <w:t> </w:t>
      </w:r>
      <w:r>
        <w:rPr>
          <w:b/>
          <w:color w:val="B52628"/>
          <w:spacing w:val="-6"/>
        </w:rPr>
        <w:t>September</w:t>
      </w:r>
      <w:r>
        <w:rPr>
          <w:b/>
          <w:color w:val="B52628"/>
          <w:spacing w:val="-11"/>
        </w:rPr>
        <w:t> </w:t>
      </w:r>
      <w:r>
        <w:rPr>
          <w:b/>
          <w:color w:val="B52628"/>
          <w:spacing w:val="-6"/>
        </w:rPr>
        <w:t>30,</w:t>
      </w:r>
      <w:r>
        <w:rPr>
          <w:b/>
          <w:color w:val="B52628"/>
          <w:spacing w:val="-10"/>
        </w:rPr>
        <w:t> </w:t>
      </w:r>
      <w:r>
        <w:rPr>
          <w:b/>
          <w:color w:val="B52628"/>
          <w:spacing w:val="-6"/>
        </w:rPr>
        <w:t>2022,</w:t>
      </w:r>
      <w:r>
        <w:rPr>
          <w:b/>
          <w:color w:val="B52628"/>
          <w:spacing w:val="-11"/>
        </w:rPr>
        <w:t> </w:t>
      </w:r>
      <w:r>
        <w:rPr>
          <w:color w:val="231F20"/>
          <w:spacing w:val="-6"/>
        </w:rPr>
        <w:t>OFAC</w:t>
      </w:r>
      <w:r>
        <w:rPr>
          <w:color w:val="231F20"/>
          <w:spacing w:val="-10"/>
        </w:rPr>
        <w:t> </w:t>
      </w:r>
      <w:r>
        <w:rPr>
          <w:color w:val="231F20"/>
          <w:spacing w:val="-6"/>
        </w:rPr>
        <w:t>announced </w:t>
      </w:r>
      <w:r>
        <w:rPr>
          <w:color w:val="231F20"/>
        </w:rPr>
        <w:t>a settlement with Tango Card, Inc., </w:t>
      </w:r>
      <w:r>
        <w:rPr>
          <w:color w:val="231F20"/>
        </w:rPr>
        <w:t>a Seattle,</w:t>
      </w:r>
      <w:r>
        <w:rPr>
          <w:color w:val="231F20"/>
          <w:spacing w:val="40"/>
        </w:rPr>
        <w:t> </w:t>
      </w:r>
      <w:r>
        <w:rPr>
          <w:color w:val="231F20"/>
        </w:rPr>
        <w:t>Washington-based</w:t>
      </w:r>
      <w:r>
        <w:rPr>
          <w:color w:val="231F20"/>
          <w:spacing w:val="40"/>
        </w:rPr>
        <w:t> </w:t>
      </w:r>
      <w:r>
        <w:rPr>
          <w:color w:val="231F20"/>
        </w:rPr>
        <w:t>company</w:t>
      </w:r>
      <w:r>
        <w:rPr>
          <w:color w:val="231F20"/>
          <w:spacing w:val="40"/>
        </w:rPr>
        <w:t> </w:t>
      </w:r>
      <w:r>
        <w:rPr>
          <w:color w:val="231F20"/>
        </w:rPr>
        <w:t>that supplies and distributes electronic rewards,</w:t>
      </w:r>
      <w:r>
        <w:rPr>
          <w:color w:val="231F20"/>
          <w:spacing w:val="40"/>
        </w:rPr>
        <w:t> </w:t>
      </w:r>
      <w:r>
        <w:rPr>
          <w:color w:val="231F20"/>
        </w:rPr>
        <w:t>relating</w:t>
      </w:r>
      <w:r>
        <w:rPr>
          <w:color w:val="231F20"/>
          <w:spacing w:val="40"/>
        </w:rPr>
        <w:t> </w:t>
      </w:r>
      <w:r>
        <w:rPr>
          <w:color w:val="231F20"/>
        </w:rPr>
        <w:t>to</w:t>
      </w:r>
      <w:r>
        <w:rPr>
          <w:color w:val="231F20"/>
          <w:spacing w:val="40"/>
        </w:rPr>
        <w:t> </w:t>
      </w:r>
      <w:r>
        <w:rPr>
          <w:color w:val="231F20"/>
        </w:rPr>
        <w:t>apparent</w:t>
      </w:r>
      <w:r>
        <w:rPr>
          <w:color w:val="231F20"/>
          <w:spacing w:val="40"/>
        </w:rPr>
        <w:t> </w:t>
      </w:r>
      <w:r>
        <w:rPr>
          <w:color w:val="231F20"/>
        </w:rPr>
        <w:t>breaches of the blockade laws and other sanctions programs. Tango Card agreed to remit USD 116,048.60 to settle its potential civil liability. According to OFAC, Tango Card “transmitted stored value products to individuals with Internet Protocol (IP) and email addresses associated with Cuba, Iran, Syria, North Korea, and the Crimea region of Ukraine”.</w:t>
      </w:r>
    </w:p>
    <w:p>
      <w:pPr>
        <w:pStyle w:val="BodyText"/>
        <w:spacing w:before="171"/>
        <w:ind w:left="1474"/>
      </w:pPr>
      <w:r>
        <w:rPr>
          <w:b/>
          <w:color w:val="B52628"/>
        </w:rPr>
        <w:t>On October 11, 2022, </w:t>
      </w:r>
      <w:r>
        <w:rPr>
          <w:color w:val="231F20"/>
        </w:rPr>
        <w:t>OFAC announced a settlement with Bittrex, Inc., a </w:t>
      </w:r>
      <w:r>
        <w:rPr>
          <w:color w:val="231F20"/>
        </w:rPr>
        <w:t>private company operating as a virtual currency exchange,</w:t>
      </w:r>
      <w:r>
        <w:rPr>
          <w:color w:val="231F20"/>
          <w:spacing w:val="-7"/>
        </w:rPr>
        <w:t> </w:t>
      </w:r>
      <w:r>
        <w:rPr>
          <w:color w:val="231F20"/>
        </w:rPr>
        <w:t>based</w:t>
      </w:r>
      <w:r>
        <w:rPr>
          <w:color w:val="231F20"/>
          <w:spacing w:val="-7"/>
        </w:rPr>
        <w:t> </w:t>
      </w:r>
      <w:r>
        <w:rPr>
          <w:color w:val="231F20"/>
        </w:rPr>
        <w:t>in</w:t>
      </w:r>
      <w:r>
        <w:rPr>
          <w:color w:val="231F20"/>
          <w:spacing w:val="-7"/>
        </w:rPr>
        <w:t> </w:t>
      </w:r>
      <w:r>
        <w:rPr>
          <w:color w:val="231F20"/>
        </w:rPr>
        <w:t>Bellevue,</w:t>
      </w:r>
      <w:r>
        <w:rPr>
          <w:color w:val="231F20"/>
          <w:spacing w:val="-7"/>
        </w:rPr>
        <w:t> </w:t>
      </w:r>
      <w:r>
        <w:rPr>
          <w:color w:val="231F20"/>
        </w:rPr>
        <w:t>Washington. Bittrex</w:t>
      </w:r>
      <w:r>
        <w:rPr>
          <w:color w:val="231F20"/>
          <w:spacing w:val="-10"/>
        </w:rPr>
        <w:t> </w:t>
      </w:r>
      <w:r>
        <w:rPr>
          <w:color w:val="231F20"/>
        </w:rPr>
        <w:t>agreed</w:t>
      </w:r>
      <w:r>
        <w:rPr>
          <w:color w:val="231F20"/>
          <w:spacing w:val="-10"/>
        </w:rPr>
        <w:t> </w:t>
      </w:r>
      <w:r>
        <w:rPr>
          <w:color w:val="231F20"/>
        </w:rPr>
        <w:t>to</w:t>
      </w:r>
      <w:r>
        <w:rPr>
          <w:color w:val="231F20"/>
          <w:spacing w:val="-10"/>
        </w:rPr>
        <w:t> </w:t>
      </w:r>
      <w:r>
        <w:rPr>
          <w:color w:val="231F20"/>
        </w:rPr>
        <w:t>remit</w:t>
      </w:r>
      <w:r>
        <w:rPr>
          <w:color w:val="231F20"/>
          <w:spacing w:val="-10"/>
        </w:rPr>
        <w:t> </w:t>
      </w:r>
      <w:r>
        <w:rPr>
          <w:color w:val="231F20"/>
        </w:rPr>
        <w:t>USD</w:t>
      </w:r>
      <w:r>
        <w:rPr>
          <w:color w:val="231F20"/>
          <w:spacing w:val="-10"/>
        </w:rPr>
        <w:t> </w:t>
      </w:r>
      <w:r>
        <w:rPr>
          <w:color w:val="231F20"/>
        </w:rPr>
        <w:t>24,280,829.20 to</w:t>
      </w:r>
      <w:r>
        <w:rPr>
          <w:color w:val="231F20"/>
          <w:spacing w:val="-5"/>
        </w:rPr>
        <w:t> </w:t>
      </w:r>
      <w:r>
        <w:rPr>
          <w:color w:val="231F20"/>
        </w:rPr>
        <w:t>OFAC</w:t>
      </w:r>
      <w:r>
        <w:rPr>
          <w:color w:val="231F20"/>
          <w:spacing w:val="-5"/>
        </w:rPr>
        <w:t> </w:t>
      </w:r>
      <w:r>
        <w:rPr>
          <w:color w:val="231F20"/>
        </w:rPr>
        <w:t>to</w:t>
      </w:r>
      <w:r>
        <w:rPr>
          <w:color w:val="231F20"/>
          <w:spacing w:val="-5"/>
        </w:rPr>
        <w:t> </w:t>
      </w:r>
      <w:r>
        <w:rPr>
          <w:color w:val="231F20"/>
        </w:rPr>
        <w:t>settle</w:t>
      </w:r>
      <w:r>
        <w:rPr>
          <w:color w:val="231F20"/>
          <w:spacing w:val="-5"/>
        </w:rPr>
        <w:t> </w:t>
      </w:r>
      <w:r>
        <w:rPr>
          <w:color w:val="231F20"/>
        </w:rPr>
        <w:t>its</w:t>
      </w:r>
      <w:r>
        <w:rPr>
          <w:color w:val="231F20"/>
          <w:spacing w:val="-5"/>
        </w:rPr>
        <w:t> </w:t>
      </w:r>
      <w:r>
        <w:rPr>
          <w:color w:val="231F20"/>
        </w:rPr>
        <w:t>potential</w:t>
      </w:r>
      <w:r>
        <w:rPr>
          <w:color w:val="231F20"/>
          <w:spacing w:val="-5"/>
        </w:rPr>
        <w:t> </w:t>
      </w:r>
      <w:r>
        <w:rPr>
          <w:color w:val="231F20"/>
        </w:rPr>
        <w:t>civil</w:t>
      </w:r>
      <w:r>
        <w:rPr>
          <w:color w:val="231F20"/>
          <w:spacing w:val="-5"/>
        </w:rPr>
        <w:t> </w:t>
      </w:r>
      <w:r>
        <w:rPr>
          <w:color w:val="231F20"/>
        </w:rPr>
        <w:t>liability for apparent violations of multiple sanctions programs, including the </w:t>
      </w:r>
      <w:r>
        <w:rPr>
          <w:color w:val="231F20"/>
          <w:spacing w:val="-2"/>
        </w:rPr>
        <w:t>blockade.</w:t>
      </w:r>
      <w:r>
        <w:rPr>
          <w:color w:val="231F20"/>
          <w:spacing w:val="-15"/>
        </w:rPr>
        <w:t> </w:t>
      </w:r>
      <w:r>
        <w:rPr>
          <w:color w:val="231F20"/>
          <w:spacing w:val="-2"/>
        </w:rPr>
        <w:t>According</w:t>
      </w:r>
      <w:r>
        <w:rPr>
          <w:color w:val="231F20"/>
          <w:spacing w:val="-14"/>
        </w:rPr>
        <w:t> </w:t>
      </w:r>
      <w:r>
        <w:rPr>
          <w:color w:val="231F20"/>
          <w:spacing w:val="-2"/>
        </w:rPr>
        <w:t>to</w:t>
      </w:r>
      <w:r>
        <w:rPr>
          <w:color w:val="231F20"/>
          <w:spacing w:val="-15"/>
        </w:rPr>
        <w:t> </w:t>
      </w:r>
      <w:r>
        <w:rPr>
          <w:color w:val="231F20"/>
          <w:spacing w:val="-2"/>
        </w:rPr>
        <w:t>OFAC,</w:t>
      </w:r>
      <w:r>
        <w:rPr>
          <w:color w:val="231F20"/>
          <w:spacing w:val="-14"/>
        </w:rPr>
        <w:t> </w:t>
      </w:r>
      <w:r>
        <w:rPr>
          <w:color w:val="231F20"/>
          <w:spacing w:val="-2"/>
        </w:rPr>
        <w:t>Bittrex</w:t>
      </w:r>
      <w:r>
        <w:rPr>
          <w:color w:val="231F20"/>
          <w:spacing w:val="-15"/>
        </w:rPr>
        <w:t> </w:t>
      </w:r>
      <w:r>
        <w:rPr>
          <w:color w:val="231F20"/>
          <w:spacing w:val="-2"/>
        </w:rPr>
        <w:t>failed </w:t>
      </w:r>
      <w:r>
        <w:rPr>
          <w:color w:val="231F20"/>
        </w:rPr>
        <w:t>to</w:t>
      </w:r>
      <w:r>
        <w:rPr>
          <w:color w:val="231F20"/>
          <w:spacing w:val="40"/>
        </w:rPr>
        <w:t> </w:t>
      </w:r>
      <w:r>
        <w:rPr>
          <w:color w:val="231F20"/>
        </w:rPr>
        <w:t>prevent</w:t>
      </w:r>
      <w:r>
        <w:rPr>
          <w:color w:val="231F20"/>
          <w:spacing w:val="40"/>
        </w:rPr>
        <w:t> </w:t>
      </w:r>
      <w:r>
        <w:rPr>
          <w:color w:val="231F20"/>
        </w:rPr>
        <w:t>persons</w:t>
      </w:r>
      <w:r>
        <w:rPr>
          <w:color w:val="231F20"/>
          <w:spacing w:val="40"/>
        </w:rPr>
        <w:t> </w:t>
      </w:r>
      <w:r>
        <w:rPr>
          <w:color w:val="231F20"/>
        </w:rPr>
        <w:t>apparently</w:t>
      </w:r>
      <w:r>
        <w:rPr>
          <w:color w:val="231F20"/>
          <w:spacing w:val="40"/>
        </w:rPr>
        <w:t> </w:t>
      </w:r>
      <w:r>
        <w:rPr>
          <w:color w:val="231F20"/>
        </w:rPr>
        <w:t>located</w:t>
      </w:r>
      <w:r>
        <w:rPr>
          <w:color w:val="231F20"/>
          <w:spacing w:val="40"/>
        </w:rPr>
        <w:t> </w:t>
      </w:r>
      <w:r>
        <w:rPr>
          <w:color w:val="231F20"/>
        </w:rPr>
        <w:t>in sanctioned jurisdictions from using its platform</w:t>
      </w:r>
      <w:r>
        <w:rPr>
          <w:color w:val="231F20"/>
          <w:spacing w:val="-6"/>
        </w:rPr>
        <w:t> </w:t>
      </w:r>
      <w:r>
        <w:rPr>
          <w:color w:val="231F20"/>
        </w:rPr>
        <w:t>to</w:t>
      </w:r>
      <w:r>
        <w:rPr>
          <w:color w:val="231F20"/>
          <w:spacing w:val="-6"/>
        </w:rPr>
        <w:t> </w:t>
      </w:r>
      <w:r>
        <w:rPr>
          <w:color w:val="231F20"/>
        </w:rPr>
        <w:t>engage</w:t>
      </w:r>
      <w:r>
        <w:rPr>
          <w:color w:val="231F20"/>
          <w:spacing w:val="-6"/>
        </w:rPr>
        <w:t> </w:t>
      </w:r>
      <w:r>
        <w:rPr>
          <w:color w:val="231F20"/>
        </w:rPr>
        <w:t>in</w:t>
      </w:r>
      <w:r>
        <w:rPr>
          <w:color w:val="231F20"/>
          <w:spacing w:val="-5"/>
        </w:rPr>
        <w:t> </w:t>
      </w:r>
      <w:r>
        <w:rPr>
          <w:color w:val="231F20"/>
        </w:rPr>
        <w:t>approximately</w:t>
      </w:r>
      <w:r>
        <w:rPr>
          <w:color w:val="231F20"/>
          <w:spacing w:val="-6"/>
        </w:rPr>
        <w:t> </w:t>
      </w:r>
      <w:r>
        <w:rPr>
          <w:color w:val="231F20"/>
        </w:rPr>
        <w:t>USD 263,000,000-worth of virtual currency- related transactions.</w:t>
      </w:r>
    </w:p>
    <w:p>
      <w:pPr>
        <w:pStyle w:val="BodyText"/>
        <w:spacing w:before="171"/>
        <w:ind w:left="1474"/>
      </w:pPr>
      <w:r>
        <w:rPr>
          <w:b/>
          <w:color w:val="B52628"/>
        </w:rPr>
        <w:t>On March 31, 2023, </w:t>
      </w:r>
      <w:r>
        <w:rPr>
          <w:color w:val="231F20"/>
        </w:rPr>
        <w:t>OFAC announced a </w:t>
      </w:r>
      <w:r>
        <w:rPr>
          <w:color w:val="231F20"/>
          <w:spacing w:val="-4"/>
        </w:rPr>
        <w:t>settlement</w:t>
      </w:r>
      <w:r>
        <w:rPr>
          <w:color w:val="231F20"/>
          <w:spacing w:val="-10"/>
        </w:rPr>
        <w:t> </w:t>
      </w:r>
      <w:r>
        <w:rPr>
          <w:color w:val="231F20"/>
          <w:spacing w:val="-4"/>
        </w:rPr>
        <w:t>with</w:t>
      </w:r>
      <w:r>
        <w:rPr>
          <w:color w:val="231F20"/>
          <w:spacing w:val="-10"/>
        </w:rPr>
        <w:t> </w:t>
      </w:r>
      <w:r>
        <w:rPr>
          <w:color w:val="231F20"/>
          <w:spacing w:val="-4"/>
        </w:rPr>
        <w:t>Uphold</w:t>
      </w:r>
      <w:r>
        <w:rPr>
          <w:color w:val="231F20"/>
          <w:spacing w:val="-10"/>
        </w:rPr>
        <w:t> </w:t>
      </w:r>
      <w:r>
        <w:rPr>
          <w:color w:val="231F20"/>
          <w:spacing w:val="-4"/>
        </w:rPr>
        <w:t>HQ</w:t>
      </w:r>
      <w:r>
        <w:rPr>
          <w:color w:val="231F20"/>
          <w:spacing w:val="-10"/>
        </w:rPr>
        <w:t> </w:t>
      </w:r>
      <w:r>
        <w:rPr>
          <w:color w:val="231F20"/>
          <w:spacing w:val="-4"/>
        </w:rPr>
        <w:t>Inc.,</w:t>
      </w:r>
      <w:r>
        <w:rPr>
          <w:color w:val="231F20"/>
          <w:spacing w:val="-10"/>
        </w:rPr>
        <w:t> </w:t>
      </w:r>
      <w:r>
        <w:rPr>
          <w:color w:val="231F20"/>
          <w:spacing w:val="-4"/>
        </w:rPr>
        <w:t>a</w:t>
      </w:r>
      <w:r>
        <w:rPr>
          <w:color w:val="231F20"/>
          <w:spacing w:val="-10"/>
        </w:rPr>
        <w:t> </w:t>
      </w:r>
      <w:r>
        <w:rPr>
          <w:color w:val="231F20"/>
          <w:spacing w:val="-4"/>
        </w:rPr>
        <w:t>Larkspur, </w:t>
      </w:r>
      <w:r>
        <w:rPr>
          <w:color w:val="231F20"/>
        </w:rPr>
        <w:t>California-based</w:t>
      </w:r>
      <w:r>
        <w:rPr>
          <w:color w:val="231F20"/>
          <w:spacing w:val="-16"/>
        </w:rPr>
        <w:t> </w:t>
      </w:r>
      <w:r>
        <w:rPr>
          <w:color w:val="231F20"/>
        </w:rPr>
        <w:t>money</w:t>
      </w:r>
      <w:r>
        <w:rPr>
          <w:color w:val="231F20"/>
          <w:spacing w:val="-15"/>
        </w:rPr>
        <w:t> </w:t>
      </w:r>
      <w:r>
        <w:rPr>
          <w:color w:val="231F20"/>
        </w:rPr>
        <w:t>services</w:t>
      </w:r>
      <w:r>
        <w:rPr>
          <w:color w:val="231F20"/>
          <w:spacing w:val="-15"/>
        </w:rPr>
        <w:t> </w:t>
      </w:r>
      <w:r>
        <w:rPr>
          <w:color w:val="231F20"/>
        </w:rPr>
        <w:t>business, which</w:t>
      </w:r>
      <w:r>
        <w:rPr>
          <w:color w:val="231F20"/>
          <w:spacing w:val="-12"/>
        </w:rPr>
        <w:t> </w:t>
      </w:r>
      <w:r>
        <w:rPr>
          <w:color w:val="231F20"/>
        </w:rPr>
        <w:t>has</w:t>
      </w:r>
      <w:r>
        <w:rPr>
          <w:color w:val="231F20"/>
          <w:spacing w:val="-12"/>
        </w:rPr>
        <w:t> </w:t>
      </w:r>
      <w:r>
        <w:rPr>
          <w:color w:val="231F20"/>
        </w:rPr>
        <w:t>agreed</w:t>
      </w:r>
      <w:r>
        <w:rPr>
          <w:color w:val="231F20"/>
          <w:spacing w:val="-12"/>
        </w:rPr>
        <w:t> </w:t>
      </w:r>
      <w:r>
        <w:rPr>
          <w:color w:val="231F20"/>
        </w:rPr>
        <w:t>to</w:t>
      </w:r>
      <w:r>
        <w:rPr>
          <w:color w:val="231F20"/>
          <w:spacing w:val="-12"/>
        </w:rPr>
        <w:t> </w:t>
      </w:r>
      <w:r>
        <w:rPr>
          <w:color w:val="231F20"/>
        </w:rPr>
        <w:t>pay</w:t>
      </w:r>
      <w:r>
        <w:rPr>
          <w:color w:val="231F20"/>
          <w:spacing w:val="-12"/>
        </w:rPr>
        <w:t> </w:t>
      </w:r>
      <w:r>
        <w:rPr>
          <w:color w:val="231F20"/>
        </w:rPr>
        <w:t>USD</w:t>
      </w:r>
      <w:r>
        <w:rPr>
          <w:color w:val="231F20"/>
          <w:spacing w:val="-12"/>
        </w:rPr>
        <w:t> </w:t>
      </w:r>
      <w:r>
        <w:rPr>
          <w:color w:val="231F20"/>
        </w:rPr>
        <w:t>72,230.32</w:t>
      </w:r>
      <w:r>
        <w:rPr>
          <w:color w:val="231F20"/>
          <w:spacing w:val="-12"/>
        </w:rPr>
        <w:t> </w:t>
      </w:r>
      <w:r>
        <w:rPr>
          <w:color w:val="231F20"/>
        </w:rPr>
        <w:t>to </w:t>
      </w:r>
      <w:r>
        <w:rPr>
          <w:color w:val="231F20"/>
          <w:spacing w:val="-2"/>
        </w:rPr>
        <w:t>settle</w:t>
      </w:r>
      <w:r>
        <w:rPr>
          <w:color w:val="231F20"/>
          <w:spacing w:val="-15"/>
        </w:rPr>
        <w:t> </w:t>
      </w:r>
      <w:r>
        <w:rPr>
          <w:color w:val="231F20"/>
          <w:spacing w:val="-2"/>
        </w:rPr>
        <w:t>its</w:t>
      </w:r>
      <w:r>
        <w:rPr>
          <w:color w:val="231F20"/>
          <w:spacing w:val="-14"/>
        </w:rPr>
        <w:t> </w:t>
      </w:r>
      <w:r>
        <w:rPr>
          <w:color w:val="231F20"/>
          <w:spacing w:val="-2"/>
        </w:rPr>
        <w:t>potential</w:t>
      </w:r>
      <w:r>
        <w:rPr>
          <w:color w:val="231F20"/>
          <w:spacing w:val="-15"/>
        </w:rPr>
        <w:t> </w:t>
      </w:r>
      <w:r>
        <w:rPr>
          <w:color w:val="231F20"/>
          <w:spacing w:val="-2"/>
        </w:rPr>
        <w:t>civil</w:t>
      </w:r>
      <w:r>
        <w:rPr>
          <w:color w:val="231F20"/>
          <w:spacing w:val="-14"/>
        </w:rPr>
        <w:t> </w:t>
      </w:r>
      <w:r>
        <w:rPr>
          <w:color w:val="231F20"/>
          <w:spacing w:val="-2"/>
        </w:rPr>
        <w:t>liability</w:t>
      </w:r>
      <w:r>
        <w:rPr>
          <w:color w:val="231F20"/>
          <w:spacing w:val="-15"/>
        </w:rPr>
        <w:t> </w:t>
      </w:r>
      <w:r>
        <w:rPr>
          <w:color w:val="231F20"/>
          <w:spacing w:val="-2"/>
        </w:rPr>
        <w:t>for</w:t>
      </w:r>
      <w:r>
        <w:rPr>
          <w:color w:val="231F20"/>
          <w:spacing w:val="-14"/>
        </w:rPr>
        <w:t> </w:t>
      </w:r>
      <w:r>
        <w:rPr>
          <w:color w:val="231F20"/>
          <w:spacing w:val="-2"/>
        </w:rPr>
        <w:t>apparent </w:t>
      </w:r>
      <w:r>
        <w:rPr>
          <w:color w:val="231F20"/>
        </w:rPr>
        <w:t>violations of multiple sanctions programs against Iran, Cuba and Venezuela. There were 25 transactions involving Cuba, </w:t>
      </w:r>
      <w:r>
        <w:rPr>
          <w:color w:val="231F20"/>
          <w:spacing w:val="-2"/>
        </w:rPr>
        <w:t>worth</w:t>
      </w:r>
      <w:r>
        <w:rPr>
          <w:color w:val="231F20"/>
          <w:spacing w:val="-13"/>
        </w:rPr>
        <w:t> </w:t>
      </w:r>
      <w:r>
        <w:rPr>
          <w:color w:val="231F20"/>
          <w:spacing w:val="-2"/>
        </w:rPr>
        <w:t>a</w:t>
      </w:r>
      <w:r>
        <w:rPr>
          <w:color w:val="231F20"/>
          <w:spacing w:val="-11"/>
        </w:rPr>
        <w:t> </w:t>
      </w:r>
      <w:r>
        <w:rPr>
          <w:color w:val="231F20"/>
          <w:spacing w:val="-2"/>
        </w:rPr>
        <w:t>total</w:t>
      </w:r>
      <w:r>
        <w:rPr>
          <w:color w:val="231F20"/>
          <w:spacing w:val="-11"/>
        </w:rPr>
        <w:t> </w:t>
      </w:r>
      <w:r>
        <w:rPr>
          <w:color w:val="231F20"/>
          <w:spacing w:val="-2"/>
        </w:rPr>
        <w:t>of</w:t>
      </w:r>
      <w:r>
        <w:rPr>
          <w:color w:val="231F20"/>
          <w:spacing w:val="-11"/>
        </w:rPr>
        <w:t> </w:t>
      </w:r>
      <w:r>
        <w:rPr>
          <w:color w:val="231F20"/>
          <w:spacing w:val="-2"/>
        </w:rPr>
        <w:t>USD</w:t>
      </w:r>
      <w:r>
        <w:rPr>
          <w:color w:val="231F20"/>
          <w:spacing w:val="-11"/>
        </w:rPr>
        <w:t> </w:t>
      </w:r>
      <w:r>
        <w:rPr>
          <w:color w:val="231F20"/>
          <w:spacing w:val="-2"/>
        </w:rPr>
        <w:t>142,683,074,</w:t>
      </w:r>
      <w:r>
        <w:rPr>
          <w:color w:val="231F20"/>
          <w:spacing w:val="-11"/>
        </w:rPr>
        <w:t> </w:t>
      </w:r>
      <w:r>
        <w:rPr>
          <w:color w:val="231F20"/>
          <w:spacing w:val="-2"/>
        </w:rPr>
        <w:t>between </w:t>
      </w:r>
      <w:r>
        <w:rPr>
          <w:color w:val="231F20"/>
        </w:rPr>
        <w:t>March 2017 and May 2022.</w:t>
      </w:r>
    </w:p>
    <w:p>
      <w:pPr>
        <w:pStyle w:val="BodyText"/>
        <w:spacing w:before="167"/>
        <w:ind w:left="1474"/>
      </w:pPr>
      <w:r>
        <w:rPr>
          <w:b/>
          <w:color w:val="B52628"/>
          <w:spacing w:val="-2"/>
        </w:rPr>
        <w:t>OnApril6,2023,</w:t>
      </w:r>
      <w:r>
        <w:rPr>
          <w:color w:val="231F20"/>
          <w:spacing w:val="-2"/>
        </w:rPr>
        <w:t>theMicrosoftCorporation, </w:t>
      </w:r>
      <w:r>
        <w:rPr>
          <w:color w:val="231F20"/>
        </w:rPr>
        <w:t>headquartered at Redmond, </w:t>
      </w:r>
      <w:r>
        <w:rPr>
          <w:color w:val="231F20"/>
        </w:rPr>
        <w:t>Washington, </w:t>
      </w:r>
      <w:r>
        <w:rPr>
          <w:color w:val="231F20"/>
          <w:spacing w:val="-2"/>
        </w:rPr>
        <w:t>agreed</w:t>
      </w:r>
      <w:r>
        <w:rPr>
          <w:color w:val="231F20"/>
          <w:spacing w:val="-12"/>
        </w:rPr>
        <w:t> </w:t>
      </w:r>
      <w:r>
        <w:rPr>
          <w:color w:val="231F20"/>
          <w:spacing w:val="-2"/>
        </w:rPr>
        <w:t>to</w:t>
      </w:r>
      <w:r>
        <w:rPr>
          <w:color w:val="231F20"/>
          <w:spacing w:val="-12"/>
        </w:rPr>
        <w:t> </w:t>
      </w:r>
      <w:r>
        <w:rPr>
          <w:color w:val="231F20"/>
          <w:spacing w:val="-2"/>
        </w:rPr>
        <w:t>pay</w:t>
      </w:r>
      <w:r>
        <w:rPr>
          <w:color w:val="231F20"/>
          <w:spacing w:val="-12"/>
        </w:rPr>
        <w:t> </w:t>
      </w:r>
      <w:r>
        <w:rPr>
          <w:color w:val="231F20"/>
          <w:spacing w:val="-2"/>
        </w:rPr>
        <w:t>OFAC</w:t>
      </w:r>
      <w:r>
        <w:rPr>
          <w:color w:val="231F20"/>
          <w:spacing w:val="-12"/>
        </w:rPr>
        <w:t> </w:t>
      </w:r>
      <w:r>
        <w:rPr>
          <w:color w:val="231F20"/>
          <w:spacing w:val="-2"/>
        </w:rPr>
        <w:t>USD</w:t>
      </w:r>
      <w:r>
        <w:rPr>
          <w:color w:val="231F20"/>
          <w:spacing w:val="-12"/>
        </w:rPr>
        <w:t> </w:t>
      </w:r>
      <w:r>
        <w:rPr>
          <w:color w:val="231F20"/>
          <w:spacing w:val="-2"/>
        </w:rPr>
        <w:t>2,980,265.86</w:t>
      </w:r>
      <w:r>
        <w:rPr>
          <w:color w:val="231F20"/>
          <w:spacing w:val="-12"/>
        </w:rPr>
        <w:t> </w:t>
      </w:r>
      <w:r>
        <w:rPr>
          <w:color w:val="231F20"/>
          <w:spacing w:val="-2"/>
        </w:rPr>
        <w:t>and </w:t>
      </w:r>
      <w:r>
        <w:rPr>
          <w:color w:val="231F20"/>
        </w:rPr>
        <w:t>the</w:t>
      </w:r>
      <w:r>
        <w:rPr>
          <w:color w:val="231F20"/>
          <w:spacing w:val="68"/>
        </w:rPr>
        <w:t> </w:t>
      </w:r>
      <w:r>
        <w:rPr>
          <w:color w:val="231F20"/>
        </w:rPr>
        <w:t>U.S.</w:t>
      </w:r>
      <w:r>
        <w:rPr>
          <w:color w:val="231F20"/>
          <w:spacing w:val="70"/>
        </w:rPr>
        <w:t> </w:t>
      </w:r>
      <w:r>
        <w:rPr>
          <w:color w:val="231F20"/>
        </w:rPr>
        <w:t>Trade</w:t>
      </w:r>
      <w:r>
        <w:rPr>
          <w:color w:val="231F20"/>
          <w:spacing w:val="71"/>
        </w:rPr>
        <w:t> </w:t>
      </w:r>
      <w:r>
        <w:rPr>
          <w:color w:val="231F20"/>
        </w:rPr>
        <w:t>Department’s</w:t>
      </w:r>
      <w:r>
        <w:rPr>
          <w:color w:val="231F20"/>
          <w:spacing w:val="70"/>
        </w:rPr>
        <w:t> </w:t>
      </w:r>
      <w:r>
        <w:rPr>
          <w:color w:val="231F20"/>
        </w:rPr>
        <w:t>Bureau</w:t>
      </w:r>
      <w:r>
        <w:rPr>
          <w:color w:val="231F20"/>
          <w:spacing w:val="71"/>
        </w:rPr>
        <w:t> </w:t>
      </w:r>
      <w:r>
        <w:rPr>
          <w:color w:val="231F20"/>
          <w:spacing w:val="-5"/>
        </w:rPr>
        <w:t>of</w:t>
      </w:r>
    </w:p>
    <w:p>
      <w:pPr>
        <w:pStyle w:val="BodyText"/>
        <w:spacing w:before="77"/>
        <w:ind w:left="412" w:right="1130"/>
      </w:pPr>
      <w:r>
        <w:rPr/>
        <w:br w:type="column"/>
      </w:r>
      <w:r>
        <w:rPr>
          <w:color w:val="231F20"/>
        </w:rPr>
        <w:t>Industry and Security (BIS) USD </w:t>
      </w:r>
      <w:r>
        <w:rPr>
          <w:color w:val="231F20"/>
        </w:rPr>
        <w:t>347,631, relating</w:t>
      </w:r>
      <w:r>
        <w:rPr>
          <w:color w:val="231F20"/>
          <w:spacing w:val="54"/>
          <w:w w:val="150"/>
        </w:rPr>
        <w:t> </w:t>
      </w:r>
      <w:r>
        <w:rPr>
          <w:color w:val="231F20"/>
        </w:rPr>
        <w:t>to</w:t>
      </w:r>
      <w:r>
        <w:rPr>
          <w:color w:val="231F20"/>
          <w:spacing w:val="55"/>
          <w:w w:val="150"/>
        </w:rPr>
        <w:t> </w:t>
      </w:r>
      <w:r>
        <w:rPr>
          <w:color w:val="231F20"/>
        </w:rPr>
        <w:t>breaches</w:t>
      </w:r>
      <w:r>
        <w:rPr>
          <w:color w:val="231F20"/>
          <w:spacing w:val="55"/>
          <w:w w:val="150"/>
        </w:rPr>
        <w:t> </w:t>
      </w:r>
      <w:r>
        <w:rPr>
          <w:color w:val="231F20"/>
        </w:rPr>
        <w:t>of</w:t>
      </w:r>
      <w:r>
        <w:rPr>
          <w:color w:val="231F20"/>
          <w:spacing w:val="55"/>
          <w:w w:val="150"/>
        </w:rPr>
        <w:t> </w:t>
      </w:r>
      <w:r>
        <w:rPr>
          <w:color w:val="231F20"/>
        </w:rPr>
        <w:t>several</w:t>
      </w:r>
      <w:r>
        <w:rPr>
          <w:color w:val="231F20"/>
          <w:spacing w:val="55"/>
          <w:w w:val="150"/>
        </w:rPr>
        <w:t> </w:t>
      </w:r>
      <w:r>
        <w:rPr>
          <w:color w:val="231F20"/>
        </w:rPr>
        <w:t>of</w:t>
      </w:r>
      <w:r>
        <w:rPr>
          <w:color w:val="231F20"/>
          <w:spacing w:val="55"/>
          <w:w w:val="150"/>
        </w:rPr>
        <w:t> </w:t>
      </w:r>
      <w:r>
        <w:rPr>
          <w:color w:val="231F20"/>
          <w:spacing w:val="-5"/>
        </w:rPr>
        <w:t>the</w:t>
      </w:r>
    </w:p>
    <w:p>
      <w:pPr>
        <w:pStyle w:val="BodyText"/>
        <w:spacing w:before="1"/>
        <w:ind w:left="412" w:right="1130"/>
      </w:pPr>
      <w:r>
        <w:rPr>
          <w:color w:val="231F20"/>
        </w:rPr>
        <w:t>U.S. government’s coercive programs targeting various countries, including </w:t>
      </w:r>
      <w:r>
        <w:rPr>
          <w:color w:val="231F20"/>
          <w:spacing w:val="-2"/>
        </w:rPr>
        <w:t>Cuba.</w:t>
      </w:r>
      <w:r>
        <w:rPr>
          <w:color w:val="231F20"/>
          <w:spacing w:val="-15"/>
        </w:rPr>
        <w:t> </w:t>
      </w:r>
      <w:r>
        <w:rPr>
          <w:color w:val="231F20"/>
          <w:spacing w:val="-2"/>
        </w:rPr>
        <w:t>The</w:t>
      </w:r>
      <w:r>
        <w:rPr>
          <w:color w:val="231F20"/>
          <w:spacing w:val="-14"/>
        </w:rPr>
        <w:t> </w:t>
      </w:r>
      <w:r>
        <w:rPr>
          <w:color w:val="231F20"/>
          <w:spacing w:val="-2"/>
        </w:rPr>
        <w:t>penalties</w:t>
      </w:r>
      <w:r>
        <w:rPr>
          <w:color w:val="231F20"/>
          <w:spacing w:val="-15"/>
        </w:rPr>
        <w:t> </w:t>
      </w:r>
      <w:r>
        <w:rPr>
          <w:color w:val="231F20"/>
          <w:spacing w:val="-2"/>
        </w:rPr>
        <w:t>totaled</w:t>
      </w:r>
      <w:r>
        <w:rPr>
          <w:color w:val="231F20"/>
          <w:spacing w:val="-14"/>
        </w:rPr>
        <w:t> </w:t>
      </w:r>
      <w:r>
        <w:rPr>
          <w:color w:val="231F20"/>
          <w:spacing w:val="-2"/>
        </w:rPr>
        <w:t>USD</w:t>
      </w:r>
      <w:r>
        <w:rPr>
          <w:color w:val="231F20"/>
          <w:spacing w:val="-15"/>
        </w:rPr>
        <w:t> </w:t>
      </w:r>
      <w:r>
        <w:rPr>
          <w:color w:val="231F20"/>
          <w:spacing w:val="-2"/>
        </w:rPr>
        <w:t>3,327,896. </w:t>
      </w:r>
      <w:r>
        <w:rPr>
          <w:color w:val="231F20"/>
        </w:rPr>
        <w:t>According to the communiqués of both agencies, Microsoft committed 1,339 breaches</w:t>
      </w:r>
      <w:r>
        <w:rPr>
          <w:color w:val="231F20"/>
          <w:spacing w:val="-17"/>
        </w:rPr>
        <w:t> </w:t>
      </w:r>
      <w:r>
        <w:rPr>
          <w:color w:val="231F20"/>
        </w:rPr>
        <w:t>relating</w:t>
      </w:r>
      <w:r>
        <w:rPr>
          <w:color w:val="231F20"/>
          <w:spacing w:val="-16"/>
        </w:rPr>
        <w:t> </w:t>
      </w:r>
      <w:r>
        <w:rPr>
          <w:color w:val="231F20"/>
        </w:rPr>
        <w:t>to</w:t>
      </w:r>
      <w:r>
        <w:rPr>
          <w:color w:val="231F20"/>
          <w:spacing w:val="-17"/>
        </w:rPr>
        <w:t> </w:t>
      </w:r>
      <w:r>
        <w:rPr>
          <w:color w:val="231F20"/>
        </w:rPr>
        <w:t>the</w:t>
      </w:r>
      <w:r>
        <w:rPr>
          <w:color w:val="231F20"/>
          <w:spacing w:val="-16"/>
        </w:rPr>
        <w:t> </w:t>
      </w:r>
      <w:r>
        <w:rPr>
          <w:color w:val="231F20"/>
        </w:rPr>
        <w:t>export</w:t>
      </w:r>
      <w:r>
        <w:rPr>
          <w:color w:val="231F20"/>
          <w:spacing w:val="-17"/>
        </w:rPr>
        <w:t> </w:t>
      </w:r>
      <w:r>
        <w:rPr>
          <w:color w:val="231F20"/>
        </w:rPr>
        <w:t>of</w:t>
      </w:r>
      <w:r>
        <w:rPr>
          <w:color w:val="231F20"/>
          <w:spacing w:val="-16"/>
        </w:rPr>
        <w:t> </w:t>
      </w:r>
      <w:r>
        <w:rPr>
          <w:color w:val="231F20"/>
        </w:rPr>
        <w:t>software or services to sanctioned jurisdictions, including Iran, Syria and </w:t>
      </w:r>
      <w:r>
        <w:rPr>
          <w:color w:val="231F20"/>
        </w:rPr>
        <w:t>Ukraine/Russia, while</w:t>
      </w:r>
      <w:r>
        <w:rPr>
          <w:color w:val="231F20"/>
          <w:spacing w:val="-6"/>
        </w:rPr>
        <w:t> </w:t>
      </w:r>
      <w:r>
        <w:rPr>
          <w:color w:val="231F20"/>
        </w:rPr>
        <w:t>54</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alleged</w:t>
      </w:r>
      <w:r>
        <w:rPr>
          <w:color w:val="231F20"/>
          <w:spacing w:val="-6"/>
        </w:rPr>
        <w:t> </w:t>
      </w:r>
      <w:r>
        <w:rPr>
          <w:color w:val="231F20"/>
        </w:rPr>
        <w:t>infractions</w:t>
      </w:r>
      <w:r>
        <w:rPr>
          <w:color w:val="231F20"/>
          <w:spacing w:val="-6"/>
        </w:rPr>
        <w:t> </w:t>
      </w:r>
      <w:r>
        <w:rPr>
          <w:color w:val="231F20"/>
        </w:rPr>
        <w:t>were</w:t>
      </w:r>
      <w:r>
        <w:rPr>
          <w:color w:val="231F20"/>
          <w:spacing w:val="-6"/>
        </w:rPr>
        <w:t> </w:t>
      </w:r>
      <w:r>
        <w:rPr>
          <w:color w:val="231F20"/>
        </w:rPr>
        <w:t>of the Cuban Assets Control Regulations.</w:t>
      </w:r>
    </w:p>
    <w:p>
      <w:pPr>
        <w:pStyle w:val="BodyText"/>
        <w:spacing w:before="168"/>
        <w:ind w:left="412" w:right="1140"/>
      </w:pPr>
      <w:r>
        <w:rPr>
          <w:b/>
          <w:color w:val="B52628"/>
          <w:spacing w:val="-14"/>
        </w:rPr>
        <w:t>On</w:t>
      </w:r>
      <w:r>
        <w:rPr>
          <w:b/>
          <w:color w:val="B52628"/>
          <w:spacing w:val="-3"/>
        </w:rPr>
        <w:t> </w:t>
      </w:r>
      <w:r>
        <w:rPr>
          <w:b/>
          <w:color w:val="B52628"/>
          <w:spacing w:val="-14"/>
        </w:rPr>
        <w:t>May</w:t>
      </w:r>
      <w:r>
        <w:rPr>
          <w:b/>
          <w:color w:val="B52628"/>
          <w:spacing w:val="-3"/>
        </w:rPr>
        <w:t> </w:t>
      </w:r>
      <w:r>
        <w:rPr>
          <w:b/>
          <w:color w:val="B52628"/>
          <w:spacing w:val="-14"/>
        </w:rPr>
        <w:t>1,</w:t>
      </w:r>
      <w:r>
        <w:rPr>
          <w:b/>
          <w:color w:val="B52628"/>
          <w:spacing w:val="-2"/>
        </w:rPr>
        <w:t> </w:t>
      </w:r>
      <w:r>
        <w:rPr>
          <w:b/>
          <w:color w:val="B52628"/>
          <w:spacing w:val="-14"/>
        </w:rPr>
        <w:t>2023,</w:t>
      </w:r>
      <w:r>
        <w:rPr>
          <w:b/>
          <w:color w:val="B52628"/>
          <w:spacing w:val="-3"/>
        </w:rPr>
        <w:t> </w:t>
      </w:r>
      <w:r>
        <w:rPr>
          <w:color w:val="231F20"/>
          <w:spacing w:val="-14"/>
        </w:rPr>
        <w:t>Poloniex</w:t>
      </w:r>
      <w:r>
        <w:rPr>
          <w:color w:val="231F20"/>
          <w:spacing w:val="-2"/>
        </w:rPr>
        <w:t> </w:t>
      </w:r>
      <w:r>
        <w:rPr>
          <w:color w:val="231F20"/>
          <w:spacing w:val="-14"/>
        </w:rPr>
        <w:t>LLC,</w:t>
      </w:r>
      <w:r>
        <w:rPr>
          <w:color w:val="231F20"/>
          <w:spacing w:val="-3"/>
        </w:rPr>
        <w:t> </w:t>
      </w:r>
      <w:r>
        <w:rPr>
          <w:color w:val="231F20"/>
          <w:spacing w:val="-14"/>
        </w:rPr>
        <w:t>headquartered </w:t>
      </w:r>
      <w:r>
        <w:rPr>
          <w:color w:val="231F20"/>
          <w:spacing w:val="-8"/>
        </w:rPr>
        <w:t>in Boston, Massachusetts, agreed to remit to </w:t>
      </w:r>
      <w:r>
        <w:rPr>
          <w:color w:val="231F20"/>
        </w:rPr>
        <w:t>OFAC</w:t>
      </w:r>
      <w:r>
        <w:rPr>
          <w:color w:val="231F20"/>
          <w:spacing w:val="-12"/>
        </w:rPr>
        <w:t> </w:t>
      </w:r>
      <w:r>
        <w:rPr>
          <w:color w:val="231F20"/>
        </w:rPr>
        <w:t>USD</w:t>
      </w:r>
      <w:r>
        <w:rPr>
          <w:color w:val="231F20"/>
          <w:spacing w:val="-12"/>
        </w:rPr>
        <w:t> </w:t>
      </w:r>
      <w:r>
        <w:rPr>
          <w:color w:val="231F20"/>
        </w:rPr>
        <w:t>7,591,630</w:t>
      </w:r>
      <w:r>
        <w:rPr>
          <w:color w:val="231F20"/>
          <w:spacing w:val="-12"/>
        </w:rPr>
        <w:t> </w:t>
      </w:r>
      <w:r>
        <w:rPr>
          <w:color w:val="231F20"/>
        </w:rPr>
        <w:t>to</w:t>
      </w:r>
      <w:r>
        <w:rPr>
          <w:color w:val="231F20"/>
          <w:spacing w:val="-12"/>
        </w:rPr>
        <w:t> </w:t>
      </w:r>
      <w:r>
        <w:rPr>
          <w:color w:val="231F20"/>
        </w:rPr>
        <w:t>settle</w:t>
      </w:r>
      <w:r>
        <w:rPr>
          <w:color w:val="231F20"/>
          <w:spacing w:val="-12"/>
        </w:rPr>
        <w:t> </w:t>
      </w:r>
      <w:r>
        <w:rPr>
          <w:color w:val="231F20"/>
        </w:rPr>
        <w:t>its</w:t>
      </w:r>
      <w:r>
        <w:rPr>
          <w:color w:val="231F20"/>
          <w:spacing w:val="-12"/>
        </w:rPr>
        <w:t> </w:t>
      </w:r>
      <w:r>
        <w:rPr>
          <w:color w:val="231F20"/>
        </w:rPr>
        <w:t>potential </w:t>
      </w:r>
      <w:r>
        <w:rPr>
          <w:color w:val="231F20"/>
          <w:spacing w:val="-8"/>
        </w:rPr>
        <w:t>civil liability for apparent violations of several </w:t>
      </w:r>
      <w:r>
        <w:rPr>
          <w:color w:val="231F20"/>
          <w:spacing w:val="-4"/>
        </w:rPr>
        <w:t>of</w:t>
      </w:r>
      <w:r>
        <w:rPr>
          <w:color w:val="231F20"/>
          <w:spacing w:val="-10"/>
        </w:rPr>
        <w:t> </w:t>
      </w:r>
      <w:r>
        <w:rPr>
          <w:color w:val="231F20"/>
          <w:spacing w:val="-4"/>
        </w:rPr>
        <w:t>Washington’s</w:t>
      </w:r>
      <w:r>
        <w:rPr>
          <w:color w:val="231F20"/>
          <w:spacing w:val="-10"/>
        </w:rPr>
        <w:t> </w:t>
      </w:r>
      <w:r>
        <w:rPr>
          <w:color w:val="231F20"/>
          <w:spacing w:val="-4"/>
        </w:rPr>
        <w:t>coercive</w:t>
      </w:r>
      <w:r>
        <w:rPr>
          <w:color w:val="231F20"/>
          <w:spacing w:val="-10"/>
        </w:rPr>
        <w:t> </w:t>
      </w:r>
      <w:r>
        <w:rPr>
          <w:color w:val="231F20"/>
          <w:spacing w:val="-4"/>
        </w:rPr>
        <w:t>programs</w:t>
      </w:r>
      <w:r>
        <w:rPr>
          <w:color w:val="231F20"/>
          <w:spacing w:val="-10"/>
        </w:rPr>
        <w:t> </w:t>
      </w:r>
      <w:r>
        <w:rPr>
          <w:color w:val="231F20"/>
          <w:spacing w:val="-4"/>
        </w:rPr>
        <w:t>against </w:t>
      </w:r>
      <w:r>
        <w:rPr>
          <w:color w:val="231F20"/>
        </w:rPr>
        <w:t>“sanctioned jurisdictions” including Cuba. </w:t>
      </w:r>
      <w:r>
        <w:rPr>
          <w:color w:val="231F20"/>
          <w:spacing w:val="-2"/>
        </w:rPr>
        <w:t>According</w:t>
      </w:r>
      <w:r>
        <w:rPr>
          <w:color w:val="231F20"/>
          <w:spacing w:val="-12"/>
        </w:rPr>
        <w:t> </w:t>
      </w:r>
      <w:r>
        <w:rPr>
          <w:color w:val="231F20"/>
          <w:spacing w:val="-2"/>
        </w:rPr>
        <w:t>to</w:t>
      </w:r>
      <w:r>
        <w:rPr>
          <w:color w:val="231F20"/>
          <w:spacing w:val="-12"/>
        </w:rPr>
        <w:t> </w:t>
      </w:r>
      <w:r>
        <w:rPr>
          <w:color w:val="231F20"/>
          <w:spacing w:val="-2"/>
        </w:rPr>
        <w:t>OFAC,</w:t>
      </w:r>
      <w:r>
        <w:rPr>
          <w:color w:val="231F20"/>
          <w:spacing w:val="-12"/>
        </w:rPr>
        <w:t> </w:t>
      </w:r>
      <w:r>
        <w:rPr>
          <w:color w:val="231F20"/>
          <w:spacing w:val="-2"/>
        </w:rPr>
        <w:t>the</w:t>
      </w:r>
      <w:r>
        <w:rPr>
          <w:color w:val="231F20"/>
          <w:spacing w:val="-12"/>
        </w:rPr>
        <w:t> </w:t>
      </w:r>
      <w:r>
        <w:rPr>
          <w:color w:val="231F20"/>
          <w:spacing w:val="-2"/>
        </w:rPr>
        <w:t>company</w:t>
      </w:r>
      <w:r>
        <w:rPr>
          <w:color w:val="231F20"/>
          <w:spacing w:val="-12"/>
        </w:rPr>
        <w:t> </w:t>
      </w:r>
      <w:r>
        <w:rPr>
          <w:color w:val="231F20"/>
          <w:spacing w:val="-2"/>
        </w:rPr>
        <w:t>“allowed </w:t>
      </w:r>
      <w:r>
        <w:rPr>
          <w:color w:val="231F20"/>
          <w:spacing w:val="-4"/>
        </w:rPr>
        <w:t>customers</w:t>
      </w:r>
      <w:r>
        <w:rPr>
          <w:color w:val="231F20"/>
          <w:spacing w:val="-13"/>
        </w:rPr>
        <w:t> </w:t>
      </w:r>
      <w:r>
        <w:rPr>
          <w:color w:val="231F20"/>
          <w:spacing w:val="-4"/>
        </w:rPr>
        <w:t>apparently</w:t>
      </w:r>
      <w:r>
        <w:rPr>
          <w:color w:val="231F20"/>
          <w:spacing w:val="-12"/>
        </w:rPr>
        <w:t> </w:t>
      </w:r>
      <w:r>
        <w:rPr>
          <w:color w:val="231F20"/>
          <w:spacing w:val="-4"/>
        </w:rPr>
        <w:t>located</w:t>
      </w:r>
      <w:r>
        <w:rPr>
          <w:color w:val="231F20"/>
          <w:spacing w:val="-13"/>
        </w:rPr>
        <w:t> </w:t>
      </w:r>
      <w:r>
        <w:rPr>
          <w:color w:val="231F20"/>
          <w:spacing w:val="-4"/>
        </w:rPr>
        <w:t>in</w:t>
      </w:r>
      <w:r>
        <w:rPr>
          <w:color w:val="231F20"/>
          <w:spacing w:val="-12"/>
        </w:rPr>
        <w:t> </w:t>
      </w:r>
      <w:r>
        <w:rPr>
          <w:color w:val="231F20"/>
          <w:spacing w:val="-4"/>
        </w:rPr>
        <w:t>sanctioned </w:t>
      </w:r>
      <w:r>
        <w:rPr>
          <w:color w:val="231F20"/>
          <w:spacing w:val="-10"/>
        </w:rPr>
        <w:t>jurisdictions</w:t>
      </w:r>
      <w:r>
        <w:rPr>
          <w:color w:val="231F20"/>
          <w:spacing w:val="-2"/>
        </w:rPr>
        <w:t> </w:t>
      </w:r>
      <w:r>
        <w:rPr>
          <w:color w:val="231F20"/>
          <w:spacing w:val="-10"/>
        </w:rPr>
        <w:t>to</w:t>
      </w:r>
      <w:r>
        <w:rPr>
          <w:color w:val="231F20"/>
          <w:spacing w:val="-2"/>
        </w:rPr>
        <w:t> </w:t>
      </w:r>
      <w:r>
        <w:rPr>
          <w:color w:val="231F20"/>
          <w:spacing w:val="-10"/>
        </w:rPr>
        <w:t>engage</w:t>
      </w:r>
      <w:r>
        <w:rPr>
          <w:color w:val="231F20"/>
          <w:spacing w:val="-2"/>
        </w:rPr>
        <w:t> </w:t>
      </w:r>
      <w:r>
        <w:rPr>
          <w:color w:val="231F20"/>
          <w:spacing w:val="-10"/>
        </w:rPr>
        <w:t>in</w:t>
      </w:r>
      <w:r>
        <w:rPr>
          <w:color w:val="231F20"/>
          <w:spacing w:val="-2"/>
        </w:rPr>
        <w:t> </w:t>
      </w:r>
      <w:r>
        <w:rPr>
          <w:color w:val="231F20"/>
          <w:spacing w:val="-10"/>
        </w:rPr>
        <w:t>online</w:t>
      </w:r>
      <w:r>
        <w:rPr>
          <w:color w:val="231F20"/>
          <w:spacing w:val="-2"/>
        </w:rPr>
        <w:t> </w:t>
      </w:r>
      <w:r>
        <w:rPr>
          <w:color w:val="231F20"/>
          <w:spacing w:val="-10"/>
        </w:rPr>
        <w:t>digital</w:t>
      </w:r>
      <w:r>
        <w:rPr>
          <w:color w:val="231F20"/>
          <w:spacing w:val="-2"/>
        </w:rPr>
        <w:t> </w:t>
      </w:r>
      <w:r>
        <w:rPr>
          <w:color w:val="231F20"/>
          <w:spacing w:val="-10"/>
        </w:rPr>
        <w:t>asset- </w:t>
      </w:r>
      <w:r>
        <w:rPr>
          <w:color w:val="231F20"/>
        </w:rPr>
        <w:t>related</w:t>
      </w:r>
      <w:r>
        <w:rPr>
          <w:color w:val="231F20"/>
          <w:spacing w:val="-10"/>
        </w:rPr>
        <w:t> </w:t>
      </w:r>
      <w:r>
        <w:rPr>
          <w:color w:val="231F20"/>
        </w:rPr>
        <w:t>transactions</w:t>
      </w:r>
      <w:r>
        <w:rPr>
          <w:color w:val="231F20"/>
          <w:spacing w:val="-10"/>
        </w:rPr>
        <w:t> </w:t>
      </w:r>
      <w:r>
        <w:rPr>
          <w:color w:val="231F20"/>
        </w:rPr>
        <w:t>-</w:t>
      </w:r>
      <w:r>
        <w:rPr>
          <w:color w:val="231F20"/>
          <w:spacing w:val="-10"/>
        </w:rPr>
        <w:t> </w:t>
      </w:r>
      <w:r>
        <w:rPr>
          <w:color w:val="231F20"/>
        </w:rPr>
        <w:t>consisting</w:t>
      </w:r>
      <w:r>
        <w:rPr>
          <w:color w:val="231F20"/>
          <w:spacing w:val="-10"/>
        </w:rPr>
        <w:t> </w:t>
      </w:r>
      <w:r>
        <w:rPr>
          <w:color w:val="231F20"/>
        </w:rPr>
        <w:t>of</w:t>
      </w:r>
      <w:r>
        <w:rPr>
          <w:color w:val="231F20"/>
          <w:spacing w:val="-10"/>
        </w:rPr>
        <w:t> </w:t>
      </w:r>
      <w:r>
        <w:rPr>
          <w:color w:val="231F20"/>
        </w:rPr>
        <w:t>trades, </w:t>
      </w:r>
      <w:r>
        <w:rPr>
          <w:color w:val="231F20"/>
          <w:spacing w:val="-8"/>
        </w:rPr>
        <w:t>deposits, and withdrawals - with a combined </w:t>
      </w:r>
      <w:r>
        <w:rPr>
          <w:color w:val="231F20"/>
        </w:rPr>
        <w:t>value</w:t>
      </w:r>
      <w:r>
        <w:rPr>
          <w:color w:val="231F20"/>
          <w:spacing w:val="-20"/>
        </w:rPr>
        <w:t> </w:t>
      </w:r>
      <w:r>
        <w:rPr>
          <w:color w:val="231F20"/>
        </w:rPr>
        <w:t>of</w:t>
      </w:r>
      <w:r>
        <w:rPr>
          <w:color w:val="231F20"/>
          <w:spacing w:val="-20"/>
        </w:rPr>
        <w:t> </w:t>
      </w:r>
      <w:r>
        <w:rPr>
          <w:color w:val="231F20"/>
        </w:rPr>
        <w:t>USD</w:t>
      </w:r>
      <w:r>
        <w:rPr>
          <w:color w:val="231F20"/>
          <w:spacing w:val="-20"/>
        </w:rPr>
        <w:t> </w:t>
      </w:r>
      <w:r>
        <w:rPr>
          <w:color w:val="231F20"/>
        </w:rPr>
        <w:t>15,335,349”.</w:t>
      </w:r>
    </w:p>
    <w:p>
      <w:pPr>
        <w:pStyle w:val="BodyText"/>
        <w:spacing w:before="213"/>
        <w:jc w:val="left"/>
        <w:rPr>
          <w:sz w:val="20"/>
        </w:rPr>
      </w:pPr>
      <w:r>
        <w:rPr/>
        <mc:AlternateContent>
          <mc:Choice Requires="wps">
            <w:drawing>
              <wp:anchor distT="0" distB="0" distL="0" distR="0" allowOverlap="1" layoutInCell="1" locked="0" behindDoc="1" simplePos="0" relativeHeight="487658496">
                <wp:simplePos x="0" y="0"/>
                <wp:positionH relativeFrom="page">
                  <wp:posOffset>5715000</wp:posOffset>
                </wp:positionH>
                <wp:positionV relativeFrom="paragraph">
                  <wp:posOffset>319424</wp:posOffset>
                </wp:positionV>
                <wp:extent cx="909319" cy="26034"/>
                <wp:effectExtent l="0" t="0" r="0" b="0"/>
                <wp:wrapTopAndBottom/>
                <wp:docPr id="302" name="Graphic 302"/>
                <wp:cNvGraphicFramePr>
                  <a:graphicFrameLocks/>
                </wp:cNvGraphicFramePr>
                <a:graphic>
                  <a:graphicData uri="http://schemas.microsoft.com/office/word/2010/wordprocessingShape">
                    <wps:wsp>
                      <wps:cNvPr id="302" name="Graphic 302"/>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450pt;margin-top:25.151501pt;width:71.584pt;height:2.021pt;mso-position-horizontal-relative:page;mso-position-vertical-relative:paragraph;z-index:-15657984;mso-wrap-distance-left:0;mso-wrap-distance-right:0" id="docshape240"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cols w:num="2" w:equalWidth="0">
            <w:col w:w="5898" w:space="40"/>
            <w:col w:w="5972"/>
          </w:cols>
        </w:sectPr>
      </w:pPr>
    </w:p>
    <w:p>
      <w:pPr>
        <w:pStyle w:val="BodyText"/>
        <w:spacing w:before="568"/>
        <w:jc w:val="left"/>
        <w:rPr>
          <w:sz w:val="56"/>
        </w:rPr>
      </w:pPr>
    </w:p>
    <w:p>
      <w:pPr>
        <w:pStyle w:val="Heading1"/>
        <w:spacing w:line="220" w:lineRule="auto"/>
        <w:ind w:right="6550"/>
      </w:pPr>
      <w:r>
        <w:rPr/>
        <mc:AlternateContent>
          <mc:Choice Requires="wps">
            <w:drawing>
              <wp:anchor distT="0" distB="0" distL="0" distR="0" allowOverlap="1" layoutInCell="1" locked="0" behindDoc="1" simplePos="0" relativeHeight="485823488">
                <wp:simplePos x="0" y="0"/>
                <wp:positionH relativeFrom="page">
                  <wp:posOffset>624243</wp:posOffset>
                </wp:positionH>
                <wp:positionV relativeFrom="paragraph">
                  <wp:posOffset>-785714</wp:posOffset>
                </wp:positionV>
                <wp:extent cx="1123950" cy="1544955"/>
                <wp:effectExtent l="0" t="0" r="0" b="0"/>
                <wp:wrapNone/>
                <wp:docPr id="303" name="Textbox 303"/>
                <wp:cNvGraphicFramePr>
                  <a:graphicFrameLocks/>
                </wp:cNvGraphicFramePr>
                <a:graphic>
                  <a:graphicData uri="http://schemas.microsoft.com/office/word/2010/wordprocessingShape">
                    <wps:wsp>
                      <wps:cNvPr id="303" name="Textbox 303"/>
                      <wps:cNvSpPr txBox="1"/>
                      <wps:spPr>
                        <a:xfrm>
                          <a:off x="0" y="0"/>
                          <a:ext cx="1123950"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11"/>
                                <w:w w:val="124"/>
                                <w:sz w:val="243"/>
                              </w:rPr>
                              <w:t>0</w:t>
                            </w:r>
                            <w:r>
                              <w:rPr>
                                <w:rFonts w:ascii="Arial"/>
                                <w:color w:val="B3B4CF"/>
                                <w:spacing w:val="-1470"/>
                                <w:w w:val="106"/>
                                <w:sz w:val="243"/>
                              </w:rPr>
                              <w:t>5</w:t>
                            </w:r>
                          </w:p>
                        </w:txbxContent>
                      </wps:txbx>
                      <wps:bodyPr wrap="square" lIns="0" tIns="0" rIns="0" bIns="0" rtlCol="0">
                        <a:noAutofit/>
                      </wps:bodyPr>
                    </wps:wsp>
                  </a:graphicData>
                </a:graphic>
              </wp:anchor>
            </w:drawing>
          </mc:Choice>
          <mc:Fallback>
            <w:pict>
              <v:shape style="position:absolute;margin-left:49.153pt;margin-top:-61.867279pt;width:88.5pt;height:121.65pt;mso-position-horizontal-relative:page;mso-position-vertical-relative:paragraph;z-index:-17492992" type="#_x0000_t202" id="docshape241" filled="false" stroked="false">
                <v:textbox inset="0,0,0,0">
                  <w:txbxContent>
                    <w:p>
                      <w:pPr>
                        <w:spacing w:line="2432" w:lineRule="exact" w:before="0"/>
                        <w:ind w:left="0" w:right="0" w:firstLine="0"/>
                        <w:jc w:val="left"/>
                        <w:rPr>
                          <w:rFonts w:ascii="Arial"/>
                          <w:sz w:val="243"/>
                        </w:rPr>
                      </w:pPr>
                      <w:r>
                        <w:rPr>
                          <w:rFonts w:ascii="Arial"/>
                          <w:color w:val="B3B4CF"/>
                          <w:spacing w:val="-11"/>
                          <w:w w:val="124"/>
                          <w:sz w:val="243"/>
                        </w:rPr>
                        <w:t>0</w:t>
                      </w:r>
                      <w:r>
                        <w:rPr>
                          <w:rFonts w:ascii="Arial"/>
                          <w:color w:val="B3B4CF"/>
                          <w:spacing w:val="-1470"/>
                          <w:w w:val="106"/>
                          <w:sz w:val="243"/>
                        </w:rPr>
                        <w:t>5</w:t>
                      </w:r>
                    </w:p>
                  </w:txbxContent>
                </v:textbox>
                <w10:wrap type="none"/>
              </v:shape>
            </w:pict>
          </mc:Fallback>
        </mc:AlternateContent>
      </w:r>
      <w:r>
        <w:rPr>
          <w:color w:val="B52628"/>
          <w:spacing w:val="-2"/>
          <w:w w:val="115"/>
        </w:rPr>
        <w:t>Universal </w:t>
      </w:r>
      <w:r>
        <w:rPr>
          <w:color w:val="B52628"/>
          <w:w w:val="115"/>
        </w:rPr>
        <w:t>rejection of the</w:t>
      </w:r>
      <w:r>
        <w:rPr>
          <w:color w:val="B52628"/>
          <w:spacing w:val="-49"/>
          <w:w w:val="115"/>
        </w:rPr>
        <w:t> </w:t>
      </w:r>
      <w:r>
        <w:rPr>
          <w:color w:val="B52628"/>
          <w:w w:val="115"/>
        </w:rPr>
        <w:t>blockade</w:t>
      </w:r>
    </w:p>
    <w:p>
      <w:pPr>
        <w:pStyle w:val="BodyText"/>
        <w:spacing w:before="151"/>
        <w:jc w:val="left"/>
        <w:rPr>
          <w:rFonts w:ascii="Trebuchet MS"/>
          <w:sz w:val="20"/>
        </w:rPr>
      </w:pPr>
      <w:r>
        <w:rPr/>
        <mc:AlternateContent>
          <mc:Choice Requires="wps">
            <w:drawing>
              <wp:anchor distT="0" distB="0" distL="0" distR="0" allowOverlap="1" layoutInCell="1" locked="0" behindDoc="1" simplePos="0" relativeHeight="487659008">
                <wp:simplePos x="0" y="0"/>
                <wp:positionH relativeFrom="page">
                  <wp:posOffset>720001</wp:posOffset>
                </wp:positionH>
                <wp:positionV relativeFrom="paragraph">
                  <wp:posOffset>258806</wp:posOffset>
                </wp:positionV>
                <wp:extent cx="909319" cy="26034"/>
                <wp:effectExtent l="0" t="0" r="0" b="0"/>
                <wp:wrapTopAndBottom/>
                <wp:docPr id="304" name="Graphic 304"/>
                <wp:cNvGraphicFramePr>
                  <a:graphicFrameLocks/>
                </wp:cNvGraphicFramePr>
                <a:graphic>
                  <a:graphicData uri="http://schemas.microsoft.com/office/word/2010/wordprocessingShape">
                    <wps:wsp>
                      <wps:cNvPr id="304" name="Graphic 304"/>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56.693001pt;margin-top:20.378469pt;width:71.584pt;height:2.021pt;mso-position-horizontal-relative:page;mso-position-vertical-relative:paragraph;z-index:-15657472;mso-wrap-distance-left:0;mso-wrap-distance-right:0" id="docshape242" filled="true" fillcolor="#1f4282" stroked="false">
                <v:fill type="solid"/>
                <w10:wrap type="topAndBottom"/>
              </v:rect>
            </w:pict>
          </mc:Fallback>
        </mc:AlternateContent>
      </w:r>
    </w:p>
    <w:p>
      <w:pPr>
        <w:pStyle w:val="BodyText"/>
        <w:spacing w:before="6"/>
        <w:jc w:val="left"/>
        <w:rPr>
          <w:rFonts w:ascii="Trebuchet MS"/>
          <w:sz w:val="20"/>
        </w:rPr>
      </w:pPr>
    </w:p>
    <w:p>
      <w:pPr>
        <w:spacing w:after="0"/>
        <w:jc w:val="left"/>
        <w:rPr>
          <w:rFonts w:ascii="Trebuchet MS"/>
          <w:sz w:val="20"/>
        </w:rPr>
        <w:sectPr>
          <w:pgSz w:w="11910" w:h="16840"/>
          <w:pgMar w:header="0" w:footer="695" w:top="800" w:bottom="880" w:left="0" w:right="0"/>
        </w:sectPr>
      </w:pPr>
    </w:p>
    <w:p>
      <w:pPr>
        <w:pStyle w:val="Heading2"/>
        <w:spacing w:before="100"/>
        <w:ind w:right="521"/>
      </w:pPr>
      <w:r>
        <w:rPr>
          <w:color w:val="1F4282"/>
          <w:w w:val="115"/>
        </w:rPr>
        <w:t>Opposition within </w:t>
      </w:r>
      <w:r>
        <w:rPr>
          <w:color w:val="1F4282"/>
          <w:w w:val="115"/>
        </w:rPr>
        <w:t>the United States</w:t>
      </w:r>
    </w:p>
    <w:p>
      <w:pPr>
        <w:pStyle w:val="BodyText"/>
        <w:spacing w:before="168"/>
        <w:ind w:left="1133"/>
      </w:pPr>
      <w:r>
        <w:rPr>
          <w:color w:val="231F20"/>
        </w:rPr>
        <w:t>During the period covered by this report, a number of significant initiatives were launched, calling for the lifting of the blockade on Cuba and removal of our country from the list of state sponsors of terrorism.</w:t>
      </w:r>
      <w:r>
        <w:rPr>
          <w:color w:val="231F20"/>
          <w:spacing w:val="-8"/>
        </w:rPr>
        <w:t> </w:t>
      </w:r>
      <w:r>
        <w:rPr>
          <w:color w:val="231F20"/>
        </w:rPr>
        <w:t>Many</w:t>
      </w:r>
      <w:r>
        <w:rPr>
          <w:color w:val="231F20"/>
          <w:spacing w:val="-8"/>
        </w:rPr>
        <w:t> </w:t>
      </w:r>
      <w:r>
        <w:rPr>
          <w:color w:val="231F20"/>
        </w:rPr>
        <w:t>of</w:t>
      </w:r>
      <w:r>
        <w:rPr>
          <w:color w:val="231F20"/>
          <w:spacing w:val="-8"/>
        </w:rPr>
        <w:t> </w:t>
      </w:r>
      <w:r>
        <w:rPr>
          <w:color w:val="231F20"/>
        </w:rPr>
        <w:t>these</w:t>
      </w:r>
      <w:r>
        <w:rPr>
          <w:color w:val="231F20"/>
          <w:spacing w:val="-8"/>
        </w:rPr>
        <w:t> </w:t>
      </w:r>
      <w:r>
        <w:rPr>
          <w:color w:val="231F20"/>
        </w:rPr>
        <w:t>involved</w:t>
      </w:r>
      <w:r>
        <w:rPr>
          <w:color w:val="231F20"/>
          <w:spacing w:val="-8"/>
        </w:rPr>
        <w:t> </w:t>
      </w:r>
      <w:r>
        <w:rPr>
          <w:color w:val="231F20"/>
        </w:rPr>
        <w:t>appeals to</w:t>
      </w:r>
      <w:r>
        <w:rPr>
          <w:color w:val="231F20"/>
          <w:spacing w:val="40"/>
        </w:rPr>
        <w:t> </w:t>
      </w:r>
      <w:r>
        <w:rPr>
          <w:color w:val="231F20"/>
        </w:rPr>
        <w:t>President</w:t>
      </w:r>
      <w:r>
        <w:rPr>
          <w:color w:val="231F20"/>
          <w:spacing w:val="40"/>
        </w:rPr>
        <w:t> </w:t>
      </w:r>
      <w:r>
        <w:rPr>
          <w:color w:val="231F20"/>
        </w:rPr>
        <w:t>Biden,</w:t>
      </w:r>
      <w:r>
        <w:rPr>
          <w:color w:val="231F20"/>
          <w:spacing w:val="40"/>
        </w:rPr>
        <w:t> </w:t>
      </w:r>
      <w:r>
        <w:rPr>
          <w:color w:val="231F20"/>
        </w:rPr>
        <w:t>urging</w:t>
      </w:r>
      <w:r>
        <w:rPr>
          <w:color w:val="231F20"/>
          <w:spacing w:val="40"/>
        </w:rPr>
        <w:t> </w:t>
      </w:r>
      <w:r>
        <w:rPr>
          <w:color w:val="231F20"/>
        </w:rPr>
        <w:t>him</w:t>
      </w:r>
      <w:r>
        <w:rPr>
          <w:color w:val="231F20"/>
          <w:spacing w:val="40"/>
        </w:rPr>
        <w:t> </w:t>
      </w:r>
      <w:r>
        <w:rPr>
          <w:color w:val="231F20"/>
        </w:rPr>
        <w:t>to</w:t>
      </w:r>
      <w:r>
        <w:rPr>
          <w:color w:val="231F20"/>
          <w:spacing w:val="40"/>
        </w:rPr>
        <w:t> </w:t>
      </w:r>
      <w:r>
        <w:rPr>
          <w:color w:val="231F20"/>
        </w:rPr>
        <w:t>use his discretionary powers to repeal the </w:t>
      </w:r>
      <w:r>
        <w:rPr>
          <w:color w:val="231F20"/>
          <w:spacing w:val="-2"/>
        </w:rPr>
        <w:t>additional</w:t>
      </w:r>
      <w:r>
        <w:rPr>
          <w:color w:val="231F20"/>
          <w:spacing w:val="-13"/>
        </w:rPr>
        <w:t> </w:t>
      </w:r>
      <w:r>
        <w:rPr>
          <w:color w:val="231F20"/>
          <w:spacing w:val="-2"/>
        </w:rPr>
        <w:t>coercive</w:t>
      </w:r>
      <w:r>
        <w:rPr>
          <w:color w:val="231F20"/>
          <w:spacing w:val="-13"/>
        </w:rPr>
        <w:t> </w:t>
      </w:r>
      <w:r>
        <w:rPr>
          <w:color w:val="231F20"/>
          <w:spacing w:val="-2"/>
        </w:rPr>
        <w:t>measures</w:t>
      </w:r>
      <w:r>
        <w:rPr>
          <w:color w:val="231F20"/>
          <w:spacing w:val="-13"/>
        </w:rPr>
        <w:t> </w:t>
      </w:r>
      <w:r>
        <w:rPr>
          <w:color w:val="231F20"/>
          <w:spacing w:val="-2"/>
        </w:rPr>
        <w:t>against</w:t>
      </w:r>
      <w:r>
        <w:rPr>
          <w:color w:val="231F20"/>
          <w:spacing w:val="-13"/>
        </w:rPr>
        <w:t> </w:t>
      </w:r>
      <w:r>
        <w:rPr>
          <w:color w:val="231F20"/>
          <w:spacing w:val="-2"/>
        </w:rPr>
        <w:t>Cuba </w:t>
      </w:r>
      <w:r>
        <w:rPr>
          <w:color w:val="231F20"/>
        </w:rPr>
        <w:t>imposed by the Trump administration.</w:t>
      </w:r>
    </w:p>
    <w:p>
      <w:pPr>
        <w:pStyle w:val="BodyText"/>
        <w:spacing w:before="168"/>
        <w:ind w:left="1133"/>
      </w:pPr>
      <w:r>
        <w:rPr>
          <w:color w:val="231F20"/>
        </w:rPr>
        <w:t>Representatives of various sectors of society, including artists, academics, religious</w:t>
      </w:r>
      <w:r>
        <w:rPr>
          <w:color w:val="231F20"/>
          <w:spacing w:val="-17"/>
        </w:rPr>
        <w:t> </w:t>
      </w:r>
      <w:r>
        <w:rPr>
          <w:color w:val="231F20"/>
        </w:rPr>
        <w:t>leaders,</w:t>
      </w:r>
      <w:r>
        <w:rPr>
          <w:color w:val="231F20"/>
          <w:spacing w:val="-16"/>
        </w:rPr>
        <w:t> </w:t>
      </w:r>
      <w:r>
        <w:rPr>
          <w:color w:val="231F20"/>
        </w:rPr>
        <w:t>lawyers,</w:t>
      </w:r>
      <w:r>
        <w:rPr>
          <w:color w:val="231F20"/>
          <w:spacing w:val="-17"/>
        </w:rPr>
        <w:t> </w:t>
      </w:r>
      <w:r>
        <w:rPr>
          <w:color w:val="231F20"/>
        </w:rPr>
        <w:t>business</w:t>
      </w:r>
      <w:r>
        <w:rPr>
          <w:color w:val="231F20"/>
          <w:spacing w:val="-16"/>
        </w:rPr>
        <w:t> </w:t>
      </w:r>
      <w:r>
        <w:rPr>
          <w:color w:val="231F20"/>
        </w:rPr>
        <w:t>groups and</w:t>
      </w:r>
      <w:r>
        <w:rPr>
          <w:color w:val="231F20"/>
          <w:spacing w:val="-17"/>
        </w:rPr>
        <w:t> </w:t>
      </w:r>
      <w:r>
        <w:rPr>
          <w:color w:val="231F20"/>
        </w:rPr>
        <w:t>solidarity</w:t>
      </w:r>
      <w:r>
        <w:rPr>
          <w:color w:val="231F20"/>
          <w:spacing w:val="-16"/>
        </w:rPr>
        <w:t> </w:t>
      </w:r>
      <w:r>
        <w:rPr>
          <w:color w:val="231F20"/>
        </w:rPr>
        <w:t>organizations,</w:t>
      </w:r>
      <w:r>
        <w:rPr>
          <w:color w:val="231F20"/>
          <w:spacing w:val="-17"/>
        </w:rPr>
        <w:t> </w:t>
      </w:r>
      <w:r>
        <w:rPr>
          <w:color w:val="231F20"/>
        </w:rPr>
        <w:t>NGOs,</w:t>
      </w:r>
      <w:r>
        <w:rPr>
          <w:color w:val="231F20"/>
          <w:spacing w:val="-16"/>
        </w:rPr>
        <w:t> </w:t>
      </w:r>
      <w:r>
        <w:rPr>
          <w:color w:val="231F20"/>
        </w:rPr>
        <w:t>Cuban </w:t>
      </w:r>
      <w:r>
        <w:rPr>
          <w:color w:val="231F20"/>
          <w:spacing w:val="-2"/>
        </w:rPr>
        <w:t>Americans</w:t>
      </w:r>
      <w:r>
        <w:rPr>
          <w:color w:val="231F20"/>
          <w:spacing w:val="-15"/>
        </w:rPr>
        <w:t> </w:t>
      </w:r>
      <w:r>
        <w:rPr>
          <w:color w:val="231F20"/>
          <w:spacing w:val="-2"/>
        </w:rPr>
        <w:t>and</w:t>
      </w:r>
      <w:r>
        <w:rPr>
          <w:color w:val="231F20"/>
          <w:spacing w:val="-14"/>
        </w:rPr>
        <w:t> </w:t>
      </w:r>
      <w:r>
        <w:rPr>
          <w:color w:val="231F20"/>
          <w:spacing w:val="-2"/>
        </w:rPr>
        <w:t>members</w:t>
      </w:r>
      <w:r>
        <w:rPr>
          <w:color w:val="231F20"/>
          <w:spacing w:val="-15"/>
        </w:rPr>
        <w:t> </w:t>
      </w:r>
      <w:r>
        <w:rPr>
          <w:color w:val="231F20"/>
          <w:spacing w:val="-2"/>
        </w:rPr>
        <w:t>of</w:t>
      </w:r>
      <w:r>
        <w:rPr>
          <w:color w:val="231F20"/>
          <w:spacing w:val="-14"/>
        </w:rPr>
        <w:t> </w:t>
      </w:r>
      <w:r>
        <w:rPr>
          <w:color w:val="231F20"/>
          <w:spacing w:val="-2"/>
        </w:rPr>
        <w:t>Congress,</w:t>
      </w:r>
      <w:r>
        <w:rPr>
          <w:color w:val="231F20"/>
          <w:spacing w:val="-15"/>
        </w:rPr>
        <w:t> </w:t>
      </w:r>
      <w:r>
        <w:rPr>
          <w:color w:val="231F20"/>
          <w:spacing w:val="-2"/>
        </w:rPr>
        <w:t>took </w:t>
      </w:r>
      <w:r>
        <w:rPr>
          <w:color w:val="231F20"/>
        </w:rPr>
        <w:t>part in demonstrations against this policy of maximum pressure on our country.</w:t>
      </w:r>
    </w:p>
    <w:p>
      <w:pPr>
        <w:pStyle w:val="BodyText"/>
        <w:spacing w:before="166"/>
        <w:ind w:left="1133"/>
      </w:pPr>
      <w:r>
        <w:rPr>
          <w:color w:val="231F20"/>
          <w:spacing w:val="-8"/>
        </w:rPr>
        <w:t>The</w:t>
      </w:r>
      <w:r>
        <w:rPr>
          <w:color w:val="231F20"/>
          <w:spacing w:val="-9"/>
        </w:rPr>
        <w:t> </w:t>
      </w:r>
      <w:r>
        <w:rPr>
          <w:color w:val="231F20"/>
          <w:spacing w:val="-8"/>
        </w:rPr>
        <w:t>following were</w:t>
      </w:r>
      <w:r>
        <w:rPr>
          <w:color w:val="231F20"/>
          <w:spacing w:val="-9"/>
        </w:rPr>
        <w:t> </w:t>
      </w:r>
      <w:r>
        <w:rPr>
          <w:color w:val="231F20"/>
          <w:spacing w:val="-8"/>
        </w:rPr>
        <w:t>some of</w:t>
      </w:r>
      <w:r>
        <w:rPr>
          <w:color w:val="231F20"/>
          <w:spacing w:val="-9"/>
        </w:rPr>
        <w:t> </w:t>
      </w:r>
      <w:r>
        <w:rPr>
          <w:color w:val="231F20"/>
          <w:spacing w:val="-8"/>
        </w:rPr>
        <w:t>the declarations, </w:t>
      </w:r>
      <w:r>
        <w:rPr>
          <w:color w:val="231F20"/>
        </w:rPr>
        <w:t>media-based initiatives, resolutions and other actions by a diversity of sectors in the United States seeking an end to the </w:t>
      </w:r>
      <w:r>
        <w:rPr>
          <w:color w:val="231F20"/>
          <w:spacing w:val="-2"/>
        </w:rPr>
        <w:t>blockade</w:t>
      </w:r>
      <w:r>
        <w:rPr>
          <w:color w:val="231F20"/>
          <w:spacing w:val="-11"/>
        </w:rPr>
        <w:t> </w:t>
      </w:r>
      <w:r>
        <w:rPr>
          <w:color w:val="231F20"/>
          <w:spacing w:val="-2"/>
        </w:rPr>
        <w:t>and</w:t>
      </w:r>
      <w:r>
        <w:rPr>
          <w:color w:val="231F20"/>
          <w:spacing w:val="-11"/>
        </w:rPr>
        <w:t> </w:t>
      </w:r>
      <w:r>
        <w:rPr>
          <w:color w:val="231F20"/>
          <w:spacing w:val="-2"/>
        </w:rPr>
        <w:t>the</w:t>
      </w:r>
      <w:r>
        <w:rPr>
          <w:color w:val="231F20"/>
          <w:spacing w:val="-11"/>
        </w:rPr>
        <w:t> </w:t>
      </w:r>
      <w:r>
        <w:rPr>
          <w:color w:val="231F20"/>
          <w:spacing w:val="-2"/>
        </w:rPr>
        <w:t>withdrawal</w:t>
      </w:r>
      <w:r>
        <w:rPr>
          <w:color w:val="231F20"/>
          <w:spacing w:val="-11"/>
        </w:rPr>
        <w:t> </w:t>
      </w:r>
      <w:r>
        <w:rPr>
          <w:color w:val="231F20"/>
          <w:spacing w:val="-2"/>
        </w:rPr>
        <w:t>of</w:t>
      </w:r>
      <w:r>
        <w:rPr>
          <w:color w:val="231F20"/>
          <w:spacing w:val="-11"/>
        </w:rPr>
        <w:t> </w:t>
      </w:r>
      <w:r>
        <w:rPr>
          <w:color w:val="231F20"/>
          <w:spacing w:val="-2"/>
        </w:rPr>
        <w:t>Cuba</w:t>
      </w:r>
      <w:r>
        <w:rPr>
          <w:color w:val="231F20"/>
          <w:spacing w:val="-11"/>
        </w:rPr>
        <w:t> </w:t>
      </w:r>
      <w:r>
        <w:rPr>
          <w:color w:val="231F20"/>
          <w:spacing w:val="-2"/>
        </w:rPr>
        <w:t>from </w:t>
      </w:r>
      <w:r>
        <w:rPr>
          <w:color w:val="231F20"/>
        </w:rPr>
        <w:t>the list of state sponsors of terrorism:</w:t>
      </w:r>
    </w:p>
    <w:p>
      <w:pPr>
        <w:pStyle w:val="BodyText"/>
        <w:spacing w:before="164"/>
        <w:ind w:left="1133"/>
      </w:pPr>
      <w:r>
        <w:rPr>
          <w:b/>
          <w:color w:val="B52628"/>
        </w:rPr>
        <w:t>On March 19 and 20, 2022, </w:t>
      </w:r>
      <w:r>
        <w:rPr>
          <w:color w:val="231F20"/>
        </w:rPr>
        <w:t>an international</w:t>
      </w:r>
      <w:r>
        <w:rPr>
          <w:color w:val="231F20"/>
          <w:spacing w:val="-17"/>
        </w:rPr>
        <w:t> </w:t>
      </w:r>
      <w:r>
        <w:rPr>
          <w:color w:val="231F20"/>
        </w:rPr>
        <w:t>conference</w:t>
      </w:r>
      <w:r>
        <w:rPr>
          <w:color w:val="231F20"/>
          <w:spacing w:val="-16"/>
        </w:rPr>
        <w:t> </w:t>
      </w:r>
      <w:r>
        <w:rPr>
          <w:color w:val="231F20"/>
        </w:rPr>
        <w:t>on</w:t>
      </w:r>
      <w:r>
        <w:rPr>
          <w:color w:val="231F20"/>
          <w:spacing w:val="-17"/>
        </w:rPr>
        <w:t> </w:t>
      </w:r>
      <w:r>
        <w:rPr>
          <w:color w:val="231F20"/>
        </w:rPr>
        <w:t>normalization of US-Cuba relations was held at The People’s Forum solidarity association in Manhattan, New York. The event was </w:t>
      </w:r>
      <w:r>
        <w:rPr>
          <w:color w:val="231F20"/>
          <w:spacing w:val="-4"/>
        </w:rPr>
        <w:t>attended</w:t>
      </w:r>
      <w:r>
        <w:rPr>
          <w:color w:val="231F20"/>
          <w:spacing w:val="-13"/>
        </w:rPr>
        <w:t> </w:t>
      </w:r>
      <w:r>
        <w:rPr>
          <w:color w:val="231F20"/>
          <w:spacing w:val="-4"/>
        </w:rPr>
        <w:t>by</w:t>
      </w:r>
      <w:r>
        <w:rPr>
          <w:color w:val="231F20"/>
          <w:spacing w:val="-11"/>
        </w:rPr>
        <w:t> </w:t>
      </w:r>
      <w:r>
        <w:rPr>
          <w:color w:val="231F20"/>
          <w:spacing w:val="-4"/>
        </w:rPr>
        <w:t>members</w:t>
      </w:r>
      <w:r>
        <w:rPr>
          <w:color w:val="231F20"/>
          <w:spacing w:val="-10"/>
        </w:rPr>
        <w:t> </w:t>
      </w:r>
      <w:r>
        <w:rPr>
          <w:color w:val="231F20"/>
          <w:spacing w:val="-4"/>
        </w:rPr>
        <w:t>of</w:t>
      </w:r>
      <w:r>
        <w:rPr>
          <w:color w:val="231F20"/>
          <w:spacing w:val="-11"/>
        </w:rPr>
        <w:t> </w:t>
      </w:r>
      <w:r>
        <w:rPr>
          <w:color w:val="231F20"/>
          <w:spacing w:val="-4"/>
        </w:rPr>
        <w:t>U.S.</w:t>
      </w:r>
      <w:r>
        <w:rPr>
          <w:color w:val="231F20"/>
          <w:spacing w:val="-11"/>
        </w:rPr>
        <w:t> </w:t>
      </w:r>
      <w:r>
        <w:rPr>
          <w:color w:val="231F20"/>
          <w:spacing w:val="-4"/>
        </w:rPr>
        <w:t>and</w:t>
      </w:r>
      <w:r>
        <w:rPr>
          <w:color w:val="231F20"/>
          <w:spacing w:val="-10"/>
        </w:rPr>
        <w:t> </w:t>
      </w:r>
      <w:r>
        <w:rPr>
          <w:color w:val="231F20"/>
          <w:spacing w:val="-4"/>
        </w:rPr>
        <w:t>Canadian</w:t>
      </w:r>
    </w:p>
    <w:p>
      <w:pPr>
        <w:pStyle w:val="BodyText"/>
        <w:spacing w:before="102"/>
        <w:ind w:left="414" w:right="1472"/>
      </w:pPr>
      <w:r>
        <w:rPr/>
        <w:br w:type="column"/>
      </w:r>
      <w:r>
        <w:rPr>
          <w:color w:val="231F20"/>
        </w:rPr>
        <w:t>solidarity groups, and called on President Biden to abandon the policy of blockade on</w:t>
      </w:r>
      <w:r>
        <w:rPr>
          <w:color w:val="231F20"/>
          <w:spacing w:val="-17"/>
        </w:rPr>
        <w:t> </w:t>
      </w:r>
      <w:r>
        <w:rPr>
          <w:color w:val="231F20"/>
        </w:rPr>
        <w:t>Cuba.</w:t>
      </w:r>
      <w:r>
        <w:rPr>
          <w:color w:val="231F20"/>
          <w:spacing w:val="-16"/>
        </w:rPr>
        <w:t> </w:t>
      </w:r>
      <w:r>
        <w:rPr>
          <w:color w:val="231F20"/>
        </w:rPr>
        <w:t>Also</w:t>
      </w:r>
      <w:r>
        <w:rPr>
          <w:color w:val="231F20"/>
          <w:spacing w:val="-17"/>
        </w:rPr>
        <w:t> </w:t>
      </w:r>
      <w:r>
        <w:rPr>
          <w:color w:val="231F20"/>
        </w:rPr>
        <w:t>repeated</w:t>
      </w:r>
      <w:r>
        <w:rPr>
          <w:color w:val="231F20"/>
          <w:spacing w:val="-16"/>
        </w:rPr>
        <w:t> </w:t>
      </w:r>
      <w:r>
        <w:rPr>
          <w:color w:val="231F20"/>
        </w:rPr>
        <w:t>were</w:t>
      </w:r>
      <w:r>
        <w:rPr>
          <w:color w:val="231F20"/>
          <w:spacing w:val="-17"/>
        </w:rPr>
        <w:t> </w:t>
      </w:r>
      <w:r>
        <w:rPr>
          <w:color w:val="231F20"/>
        </w:rPr>
        <w:t>the</w:t>
      </w:r>
      <w:r>
        <w:rPr>
          <w:color w:val="231F20"/>
          <w:spacing w:val="-16"/>
        </w:rPr>
        <w:t> </w:t>
      </w:r>
      <w:r>
        <w:rPr>
          <w:color w:val="231F20"/>
        </w:rPr>
        <w:t>demands to cancel the coercive measures imposed </w:t>
      </w:r>
      <w:r>
        <w:rPr>
          <w:color w:val="231F20"/>
          <w:spacing w:val="-4"/>
        </w:rPr>
        <w:t>by</w:t>
      </w:r>
      <w:r>
        <w:rPr>
          <w:color w:val="231F20"/>
          <w:spacing w:val="-12"/>
        </w:rPr>
        <w:t> </w:t>
      </w:r>
      <w:r>
        <w:rPr>
          <w:color w:val="231F20"/>
          <w:spacing w:val="-4"/>
        </w:rPr>
        <w:t>the</w:t>
      </w:r>
      <w:r>
        <w:rPr>
          <w:color w:val="231F20"/>
          <w:spacing w:val="-12"/>
        </w:rPr>
        <w:t> </w:t>
      </w:r>
      <w:r>
        <w:rPr>
          <w:color w:val="231F20"/>
          <w:spacing w:val="-4"/>
        </w:rPr>
        <w:t>Trump</w:t>
      </w:r>
      <w:r>
        <w:rPr>
          <w:color w:val="231F20"/>
          <w:spacing w:val="-12"/>
        </w:rPr>
        <w:t> </w:t>
      </w:r>
      <w:r>
        <w:rPr>
          <w:color w:val="231F20"/>
          <w:spacing w:val="-4"/>
        </w:rPr>
        <w:t>administration,</w:t>
      </w:r>
      <w:r>
        <w:rPr>
          <w:color w:val="231F20"/>
          <w:spacing w:val="-12"/>
        </w:rPr>
        <w:t> </w:t>
      </w:r>
      <w:r>
        <w:rPr>
          <w:color w:val="231F20"/>
          <w:spacing w:val="-4"/>
        </w:rPr>
        <w:t>with</w:t>
      </w:r>
      <w:r>
        <w:rPr>
          <w:color w:val="231F20"/>
          <w:spacing w:val="-12"/>
        </w:rPr>
        <w:t> </w:t>
      </w:r>
      <w:r>
        <w:rPr>
          <w:color w:val="231F20"/>
          <w:spacing w:val="-4"/>
        </w:rPr>
        <w:t>their</w:t>
      </w:r>
      <w:r>
        <w:rPr>
          <w:color w:val="231F20"/>
          <w:spacing w:val="-12"/>
        </w:rPr>
        <w:t> </w:t>
      </w:r>
      <w:r>
        <w:rPr>
          <w:color w:val="231F20"/>
          <w:spacing w:val="-4"/>
        </w:rPr>
        <w:t>dire </w:t>
      </w:r>
      <w:r>
        <w:rPr>
          <w:color w:val="231F20"/>
        </w:rPr>
        <w:t>consequences for Cuban families.</w:t>
      </w:r>
    </w:p>
    <w:p>
      <w:pPr>
        <w:pStyle w:val="BodyText"/>
        <w:spacing w:before="165"/>
        <w:ind w:left="414" w:right="1473"/>
      </w:pPr>
      <w:r>
        <w:rPr>
          <w:b/>
          <w:color w:val="B52628"/>
          <w:spacing w:val="-6"/>
        </w:rPr>
        <w:t>On</w:t>
      </w:r>
      <w:r>
        <w:rPr>
          <w:b/>
          <w:color w:val="B52628"/>
          <w:spacing w:val="-10"/>
        </w:rPr>
        <w:t> </w:t>
      </w:r>
      <w:r>
        <w:rPr>
          <w:b/>
          <w:color w:val="B52628"/>
          <w:spacing w:val="-6"/>
        </w:rPr>
        <w:t>March</w:t>
      </w:r>
      <w:r>
        <w:rPr>
          <w:b/>
          <w:color w:val="B52628"/>
          <w:spacing w:val="-10"/>
        </w:rPr>
        <w:t> </w:t>
      </w:r>
      <w:r>
        <w:rPr>
          <w:b/>
          <w:color w:val="B52628"/>
          <w:spacing w:val="-6"/>
        </w:rPr>
        <w:t>26,</w:t>
      </w:r>
      <w:r>
        <w:rPr>
          <w:b/>
          <w:color w:val="B52628"/>
          <w:spacing w:val="-10"/>
        </w:rPr>
        <w:t> </w:t>
      </w:r>
      <w:r>
        <w:rPr>
          <w:b/>
          <w:color w:val="B52628"/>
          <w:spacing w:val="-6"/>
        </w:rPr>
        <w:t>2022,</w:t>
      </w:r>
      <w:r>
        <w:rPr>
          <w:b/>
          <w:color w:val="B52628"/>
          <w:spacing w:val="-10"/>
        </w:rPr>
        <w:t> </w:t>
      </w:r>
      <w:r>
        <w:rPr>
          <w:color w:val="231F20"/>
          <w:spacing w:val="-6"/>
        </w:rPr>
        <w:t>the</w:t>
      </w:r>
      <w:r>
        <w:rPr>
          <w:color w:val="231F20"/>
          <w:spacing w:val="-10"/>
        </w:rPr>
        <w:t> </w:t>
      </w:r>
      <w:r>
        <w:rPr>
          <w:color w:val="231F20"/>
          <w:spacing w:val="-6"/>
        </w:rPr>
        <w:t>MetroDC</w:t>
      </w:r>
      <w:r>
        <w:rPr>
          <w:color w:val="231F20"/>
          <w:spacing w:val="-10"/>
        </w:rPr>
        <w:t> </w:t>
      </w:r>
      <w:r>
        <w:rPr>
          <w:color w:val="231F20"/>
          <w:spacing w:val="-6"/>
        </w:rPr>
        <w:t>Coalition </w:t>
      </w:r>
      <w:r>
        <w:rPr>
          <w:color w:val="231F20"/>
        </w:rPr>
        <w:t>and IFCO/Pastors for Peace organizations staged</w:t>
      </w:r>
      <w:r>
        <w:rPr>
          <w:color w:val="231F20"/>
          <w:spacing w:val="40"/>
        </w:rPr>
        <w:t> </w:t>
      </w:r>
      <w:r>
        <w:rPr>
          <w:color w:val="231F20"/>
        </w:rPr>
        <w:t>an</w:t>
      </w:r>
      <w:r>
        <w:rPr>
          <w:color w:val="231F20"/>
          <w:spacing w:val="40"/>
        </w:rPr>
        <w:t> </w:t>
      </w:r>
      <w:r>
        <w:rPr>
          <w:color w:val="231F20"/>
        </w:rPr>
        <w:t>event</w:t>
      </w:r>
      <w:r>
        <w:rPr>
          <w:color w:val="231F20"/>
          <w:spacing w:val="40"/>
        </w:rPr>
        <w:t> </w:t>
      </w:r>
      <w:r>
        <w:rPr>
          <w:color w:val="231F20"/>
        </w:rPr>
        <w:t>in</w:t>
      </w:r>
      <w:r>
        <w:rPr>
          <w:color w:val="231F20"/>
          <w:spacing w:val="40"/>
        </w:rPr>
        <w:t> </w:t>
      </w:r>
      <w:r>
        <w:rPr>
          <w:color w:val="231F20"/>
        </w:rPr>
        <w:t>solidarity</w:t>
      </w:r>
      <w:r>
        <w:rPr>
          <w:color w:val="231F20"/>
          <w:spacing w:val="40"/>
        </w:rPr>
        <w:t> </w:t>
      </w:r>
      <w:r>
        <w:rPr>
          <w:color w:val="231F20"/>
        </w:rPr>
        <w:t>with</w:t>
      </w:r>
      <w:r>
        <w:rPr>
          <w:color w:val="231F20"/>
          <w:spacing w:val="40"/>
        </w:rPr>
        <w:t> </w:t>
      </w:r>
      <w:r>
        <w:rPr>
          <w:color w:val="231F20"/>
        </w:rPr>
        <w:t>Cuba in Washington D.C. to condemn the persistence of the blockade on Cuba and call for its immediate elimination.</w:t>
      </w:r>
    </w:p>
    <w:p>
      <w:pPr>
        <w:pStyle w:val="BodyText"/>
        <w:spacing w:before="164"/>
        <w:ind w:left="414" w:right="1472"/>
      </w:pPr>
      <w:r>
        <w:rPr>
          <w:b/>
          <w:color w:val="B52628"/>
        </w:rPr>
        <w:t>On March 27, 2022, </w:t>
      </w:r>
      <w:r>
        <w:rPr>
          <w:color w:val="231F20"/>
        </w:rPr>
        <w:t>various initiatives demanding the lifting of the blockade </w:t>
      </w:r>
      <w:r>
        <w:rPr>
          <w:color w:val="231F20"/>
        </w:rPr>
        <w:t>on Cuba were held in U.S. cities, including demonstrations in New York, Seattle, Phoenix and Portland.</w:t>
      </w:r>
    </w:p>
    <w:p>
      <w:pPr>
        <w:pStyle w:val="BodyText"/>
        <w:spacing w:before="164"/>
        <w:ind w:left="414" w:right="1471"/>
      </w:pPr>
      <w:r>
        <w:rPr>
          <w:b/>
          <w:color w:val="B52628"/>
        </w:rPr>
        <w:t>On March 29, 2022, </w:t>
      </w:r>
      <w:r>
        <w:rPr>
          <w:color w:val="231F20"/>
        </w:rPr>
        <w:t>the </w:t>
      </w:r>
      <w:r>
        <w:rPr>
          <w:color w:val="231F20"/>
        </w:rPr>
        <w:t>NEMO organization and other pro-Cuba groups held demonstrations in Connecticut’s </w:t>
      </w:r>
      <w:r>
        <w:rPr>
          <w:color w:val="231F20"/>
          <w:spacing w:val="-4"/>
        </w:rPr>
        <w:t>Bloomfield,</w:t>
      </w:r>
      <w:r>
        <w:rPr>
          <w:color w:val="231F20"/>
          <w:spacing w:val="-7"/>
        </w:rPr>
        <w:t> </w:t>
      </w:r>
      <w:r>
        <w:rPr>
          <w:color w:val="231F20"/>
          <w:spacing w:val="-4"/>
        </w:rPr>
        <w:t>West</w:t>
      </w:r>
      <w:r>
        <w:rPr>
          <w:color w:val="231F20"/>
          <w:spacing w:val="-7"/>
        </w:rPr>
        <w:t> </w:t>
      </w:r>
      <w:r>
        <w:rPr>
          <w:color w:val="231F20"/>
          <w:spacing w:val="-4"/>
        </w:rPr>
        <w:t>Hartford</w:t>
      </w:r>
      <w:r>
        <w:rPr>
          <w:color w:val="231F20"/>
          <w:spacing w:val="-7"/>
        </w:rPr>
        <w:t> </w:t>
      </w:r>
      <w:r>
        <w:rPr>
          <w:color w:val="231F20"/>
          <w:spacing w:val="-4"/>
        </w:rPr>
        <w:t>and</w:t>
      </w:r>
      <w:r>
        <w:rPr>
          <w:color w:val="231F20"/>
          <w:spacing w:val="-7"/>
        </w:rPr>
        <w:t> </w:t>
      </w:r>
      <w:r>
        <w:rPr>
          <w:color w:val="231F20"/>
          <w:spacing w:val="-4"/>
        </w:rPr>
        <w:t>Middletown </w:t>
      </w:r>
      <w:r>
        <w:rPr>
          <w:color w:val="231F20"/>
        </w:rPr>
        <w:t>areas,</w:t>
      </w:r>
      <w:r>
        <w:rPr>
          <w:color w:val="231F20"/>
          <w:spacing w:val="-17"/>
        </w:rPr>
        <w:t> </w:t>
      </w:r>
      <w:r>
        <w:rPr>
          <w:color w:val="231F20"/>
        </w:rPr>
        <w:t>at</w:t>
      </w:r>
      <w:r>
        <w:rPr>
          <w:color w:val="231F20"/>
          <w:spacing w:val="-16"/>
        </w:rPr>
        <w:t> </w:t>
      </w:r>
      <w:r>
        <w:rPr>
          <w:color w:val="231F20"/>
        </w:rPr>
        <w:t>which</w:t>
      </w:r>
      <w:r>
        <w:rPr>
          <w:color w:val="231F20"/>
          <w:spacing w:val="-17"/>
        </w:rPr>
        <w:t> </w:t>
      </w:r>
      <w:r>
        <w:rPr>
          <w:color w:val="231F20"/>
        </w:rPr>
        <w:t>1,200</w:t>
      </w:r>
      <w:r>
        <w:rPr>
          <w:color w:val="231F20"/>
          <w:spacing w:val="-16"/>
        </w:rPr>
        <w:t> </w:t>
      </w:r>
      <w:r>
        <w:rPr>
          <w:color w:val="231F20"/>
        </w:rPr>
        <w:t>handbills</w:t>
      </w:r>
      <w:r>
        <w:rPr>
          <w:color w:val="231F20"/>
          <w:spacing w:val="-17"/>
        </w:rPr>
        <w:t> </w:t>
      </w:r>
      <w:r>
        <w:rPr>
          <w:color w:val="231F20"/>
        </w:rPr>
        <w:t>demanding an end to the aggression towards Cuba and advocating cooperation between the two peoples were distributed.</w:t>
      </w:r>
    </w:p>
    <w:p>
      <w:pPr>
        <w:pStyle w:val="BodyText"/>
        <w:spacing w:before="167"/>
        <w:ind w:left="414" w:right="1468"/>
      </w:pPr>
      <w:r>
        <w:rPr>
          <w:b/>
          <w:color w:val="B52628"/>
        </w:rPr>
        <w:t>On 6 - 8 April, 2022, </w:t>
      </w:r>
      <w:r>
        <w:rPr>
          <w:color w:val="231F20"/>
        </w:rPr>
        <w:t>the 3rd Cuba-US Agricultural Business Conference took place in Havana. At the event, the U.S. participants condemned the obstacles created by the blockade to expansion</w:t>
      </w:r>
      <w:r>
        <w:rPr>
          <w:color w:val="231F20"/>
          <w:spacing w:val="40"/>
        </w:rPr>
        <w:t> </w:t>
      </w:r>
      <w:r>
        <w:rPr>
          <w:color w:val="231F20"/>
        </w:rPr>
        <w:t>and</w:t>
      </w:r>
      <w:r>
        <w:rPr>
          <w:color w:val="231F20"/>
          <w:spacing w:val="75"/>
        </w:rPr>
        <w:t> </w:t>
      </w:r>
      <w:r>
        <w:rPr>
          <w:color w:val="231F20"/>
        </w:rPr>
        <w:t>diversification</w:t>
      </w:r>
      <w:r>
        <w:rPr>
          <w:color w:val="231F20"/>
          <w:spacing w:val="75"/>
        </w:rPr>
        <w:t> </w:t>
      </w:r>
      <w:r>
        <w:rPr>
          <w:color w:val="231F20"/>
        </w:rPr>
        <w:t>of</w:t>
      </w:r>
      <w:r>
        <w:rPr>
          <w:color w:val="231F20"/>
          <w:spacing w:val="75"/>
        </w:rPr>
        <w:t> </w:t>
      </w:r>
      <w:r>
        <w:rPr>
          <w:color w:val="231F20"/>
        </w:rPr>
        <w:t>agribusiness</w:t>
      </w:r>
      <w:r>
        <w:rPr>
          <w:color w:val="231F20"/>
          <w:spacing w:val="74"/>
        </w:rPr>
        <w:t> </w:t>
      </w:r>
      <w:r>
        <w:rPr>
          <w:color w:val="231F20"/>
          <w:spacing w:val="-4"/>
        </w:rPr>
        <w:t>with</w:t>
      </w:r>
    </w:p>
    <w:p>
      <w:pPr>
        <w:spacing w:after="0"/>
        <w:sectPr>
          <w:type w:val="continuous"/>
          <w:pgSz w:w="11910" w:h="16840"/>
          <w:pgMar w:header="0" w:footer="695" w:top="1920" w:bottom="280" w:left="0" w:right="0"/>
          <w:cols w:num="2" w:equalWidth="0">
            <w:col w:w="5556" w:space="40"/>
            <w:col w:w="6314"/>
          </w:cols>
        </w:sectPr>
      </w:pPr>
    </w:p>
    <w:p>
      <w:pPr>
        <w:pStyle w:val="BodyText"/>
        <w:spacing w:before="77"/>
        <w:ind w:left="1474"/>
      </w:pPr>
      <w:r>
        <w:rPr>
          <w:color w:val="231F20"/>
        </w:rPr>
        <w:t>the</w:t>
      </w:r>
      <w:r>
        <w:rPr>
          <w:color w:val="231F20"/>
          <w:spacing w:val="10"/>
        </w:rPr>
        <w:t> </w:t>
      </w:r>
      <w:r>
        <w:rPr>
          <w:color w:val="231F20"/>
        </w:rPr>
        <w:t>various</w:t>
      </w:r>
      <w:r>
        <w:rPr>
          <w:color w:val="231F20"/>
          <w:spacing w:val="12"/>
        </w:rPr>
        <w:t> </w:t>
      </w:r>
      <w:r>
        <w:rPr>
          <w:color w:val="231F20"/>
        </w:rPr>
        <w:t>economic</w:t>
      </w:r>
      <w:r>
        <w:rPr>
          <w:color w:val="231F20"/>
          <w:spacing w:val="13"/>
        </w:rPr>
        <w:t> </w:t>
      </w:r>
      <w:r>
        <w:rPr>
          <w:color w:val="231F20"/>
        </w:rPr>
        <w:t>actors</w:t>
      </w:r>
      <w:r>
        <w:rPr>
          <w:color w:val="231F20"/>
          <w:spacing w:val="12"/>
        </w:rPr>
        <w:t> </w:t>
      </w:r>
      <w:r>
        <w:rPr>
          <w:color w:val="231F20"/>
        </w:rPr>
        <w:t>in</w:t>
      </w:r>
      <w:r>
        <w:rPr>
          <w:color w:val="231F20"/>
          <w:spacing w:val="13"/>
        </w:rPr>
        <w:t> </w:t>
      </w:r>
      <w:r>
        <w:rPr>
          <w:color w:val="231F20"/>
          <w:spacing w:val="-2"/>
        </w:rPr>
        <w:t>Cuba.</w:t>
      </w:r>
    </w:p>
    <w:p>
      <w:pPr>
        <w:pStyle w:val="BodyText"/>
        <w:spacing w:before="161"/>
        <w:ind w:left="1474" w:right="1"/>
      </w:pPr>
      <w:r>
        <w:rPr>
          <w:b/>
          <w:color w:val="B52628"/>
          <w:spacing w:val="-2"/>
        </w:rPr>
        <w:t>On</w:t>
      </w:r>
      <w:r>
        <w:rPr>
          <w:b/>
          <w:color w:val="B52628"/>
          <w:spacing w:val="-15"/>
        </w:rPr>
        <w:t> </w:t>
      </w:r>
      <w:r>
        <w:rPr>
          <w:b/>
          <w:color w:val="B52628"/>
          <w:spacing w:val="-2"/>
        </w:rPr>
        <w:t>May</w:t>
      </w:r>
      <w:r>
        <w:rPr>
          <w:b/>
          <w:color w:val="B52628"/>
          <w:spacing w:val="-15"/>
        </w:rPr>
        <w:t> </w:t>
      </w:r>
      <w:r>
        <w:rPr>
          <w:b/>
          <w:color w:val="B52628"/>
          <w:spacing w:val="-2"/>
        </w:rPr>
        <w:t>17,</w:t>
      </w:r>
      <w:r>
        <w:rPr>
          <w:b/>
          <w:color w:val="B52628"/>
          <w:spacing w:val="-14"/>
        </w:rPr>
        <w:t> </w:t>
      </w:r>
      <w:r>
        <w:rPr>
          <w:b/>
          <w:color w:val="B52628"/>
          <w:spacing w:val="-2"/>
        </w:rPr>
        <w:t>2022,</w:t>
      </w:r>
      <w:r>
        <w:rPr>
          <w:b/>
          <w:color w:val="B52628"/>
          <w:spacing w:val="-15"/>
        </w:rPr>
        <w:t> </w:t>
      </w:r>
      <w:r>
        <w:rPr>
          <w:color w:val="231F20"/>
          <w:spacing w:val="-2"/>
        </w:rPr>
        <w:t>the</w:t>
      </w:r>
      <w:r>
        <w:rPr>
          <w:color w:val="231F20"/>
          <w:spacing w:val="-14"/>
        </w:rPr>
        <w:t> </w:t>
      </w:r>
      <w:r>
        <w:rPr>
          <w:color w:val="231F20"/>
          <w:spacing w:val="-2"/>
        </w:rPr>
        <w:t>NEMO</w:t>
      </w:r>
      <w:r>
        <w:rPr>
          <w:color w:val="231F20"/>
          <w:spacing w:val="-15"/>
        </w:rPr>
        <w:t> </w:t>
      </w:r>
      <w:r>
        <w:rPr>
          <w:color w:val="231F20"/>
          <w:spacing w:val="-2"/>
        </w:rPr>
        <w:t>organization </w:t>
      </w:r>
      <w:r>
        <w:rPr>
          <w:color w:val="231F20"/>
        </w:rPr>
        <w:t>issued</w:t>
      </w:r>
      <w:r>
        <w:rPr>
          <w:color w:val="231F20"/>
          <w:spacing w:val="-2"/>
        </w:rPr>
        <w:t> </w:t>
      </w:r>
      <w:r>
        <w:rPr>
          <w:color w:val="231F20"/>
        </w:rPr>
        <w:t>a</w:t>
      </w:r>
      <w:r>
        <w:rPr>
          <w:color w:val="231F20"/>
          <w:spacing w:val="-2"/>
        </w:rPr>
        <w:t> </w:t>
      </w:r>
      <w:r>
        <w:rPr>
          <w:color w:val="231F20"/>
        </w:rPr>
        <w:t>declaration</w:t>
      </w:r>
      <w:r>
        <w:rPr>
          <w:color w:val="231F20"/>
          <w:spacing w:val="-2"/>
        </w:rPr>
        <w:t> </w:t>
      </w:r>
      <w:r>
        <w:rPr>
          <w:color w:val="231F20"/>
        </w:rPr>
        <w:t>in</w:t>
      </w:r>
      <w:r>
        <w:rPr>
          <w:color w:val="231F20"/>
          <w:spacing w:val="-2"/>
        </w:rPr>
        <w:t> </w:t>
      </w:r>
      <w:r>
        <w:rPr>
          <w:color w:val="231F20"/>
        </w:rPr>
        <w:t>which</w:t>
      </w:r>
      <w:r>
        <w:rPr>
          <w:color w:val="231F20"/>
          <w:spacing w:val="-2"/>
        </w:rPr>
        <w:t> </w:t>
      </w:r>
      <w:r>
        <w:rPr>
          <w:color w:val="231F20"/>
        </w:rPr>
        <w:t>it</w:t>
      </w:r>
      <w:r>
        <w:rPr>
          <w:color w:val="231F20"/>
          <w:spacing w:val="-2"/>
        </w:rPr>
        <w:t> </w:t>
      </w:r>
      <w:r>
        <w:rPr>
          <w:color w:val="231F20"/>
        </w:rPr>
        <w:t>welcomed </w:t>
      </w:r>
      <w:r>
        <w:rPr>
          <w:color w:val="231F20"/>
          <w:spacing w:val="-2"/>
        </w:rPr>
        <w:t>the</w:t>
      </w:r>
      <w:r>
        <w:rPr>
          <w:color w:val="231F20"/>
          <w:spacing w:val="-15"/>
        </w:rPr>
        <w:t> </w:t>
      </w:r>
      <w:r>
        <w:rPr>
          <w:color w:val="231F20"/>
          <w:spacing w:val="-2"/>
        </w:rPr>
        <w:t>measures</w:t>
      </w:r>
      <w:r>
        <w:rPr>
          <w:color w:val="231F20"/>
          <w:spacing w:val="-14"/>
        </w:rPr>
        <w:t> </w:t>
      </w:r>
      <w:r>
        <w:rPr>
          <w:color w:val="231F20"/>
          <w:spacing w:val="-2"/>
        </w:rPr>
        <w:t>towards</w:t>
      </w:r>
      <w:r>
        <w:rPr>
          <w:color w:val="231F20"/>
          <w:spacing w:val="-15"/>
        </w:rPr>
        <w:t> </w:t>
      </w:r>
      <w:r>
        <w:rPr>
          <w:color w:val="231F20"/>
          <w:spacing w:val="-2"/>
        </w:rPr>
        <w:t>Cuba</w:t>
      </w:r>
      <w:r>
        <w:rPr>
          <w:color w:val="231F20"/>
          <w:spacing w:val="-14"/>
        </w:rPr>
        <w:t> </w:t>
      </w:r>
      <w:r>
        <w:rPr>
          <w:color w:val="231F20"/>
          <w:spacing w:val="-2"/>
        </w:rPr>
        <w:t>announced</w:t>
      </w:r>
      <w:r>
        <w:rPr>
          <w:color w:val="231F20"/>
          <w:spacing w:val="-15"/>
        </w:rPr>
        <w:t> </w:t>
      </w:r>
      <w:r>
        <w:rPr>
          <w:color w:val="231F20"/>
          <w:spacing w:val="-2"/>
        </w:rPr>
        <w:t>on </w:t>
      </w:r>
      <w:r>
        <w:rPr>
          <w:color w:val="231F20"/>
        </w:rPr>
        <w:t>May 16, 2022 in matters of visas, regular migration, flights and remittances, while stressing the necessity of completely eliminating the blockade.</w:t>
      </w:r>
    </w:p>
    <w:p>
      <w:pPr>
        <w:pStyle w:val="BodyText"/>
        <w:spacing w:before="165"/>
        <w:ind w:left="1474"/>
      </w:pPr>
      <w:r>
        <w:rPr>
          <w:b/>
          <w:color w:val="B52628"/>
        </w:rPr>
        <w:t>On May 23, 2022, </w:t>
      </w:r>
      <w:r>
        <w:rPr>
          <w:color w:val="231F20"/>
        </w:rPr>
        <w:t>numbers of Cubans and U.S. citizens demonstrated in </w:t>
      </w:r>
      <w:r>
        <w:rPr>
          <w:color w:val="231F20"/>
        </w:rPr>
        <w:t>the streets of Miami FL, calling for an end to the blockade on trade and Washington’s decision</w:t>
      </w:r>
      <w:r>
        <w:rPr>
          <w:color w:val="231F20"/>
          <w:spacing w:val="-6"/>
        </w:rPr>
        <w:t> </w:t>
      </w:r>
      <w:r>
        <w:rPr>
          <w:color w:val="231F20"/>
        </w:rPr>
        <w:t>to</w:t>
      </w:r>
      <w:r>
        <w:rPr>
          <w:color w:val="231F20"/>
          <w:spacing w:val="-6"/>
        </w:rPr>
        <w:t> </w:t>
      </w:r>
      <w:r>
        <w:rPr>
          <w:color w:val="231F20"/>
        </w:rPr>
        <w:t>keep</w:t>
      </w:r>
      <w:r>
        <w:rPr>
          <w:color w:val="231F20"/>
          <w:spacing w:val="-6"/>
        </w:rPr>
        <w:t> </w:t>
      </w:r>
      <w:r>
        <w:rPr>
          <w:color w:val="231F20"/>
        </w:rPr>
        <w:t>Cuba</w:t>
      </w:r>
      <w:r>
        <w:rPr>
          <w:color w:val="231F20"/>
          <w:spacing w:val="-6"/>
        </w:rPr>
        <w:t> </w:t>
      </w:r>
      <w:r>
        <w:rPr>
          <w:color w:val="231F20"/>
        </w:rPr>
        <w:t>on</w:t>
      </w:r>
      <w:r>
        <w:rPr>
          <w:color w:val="231F20"/>
          <w:spacing w:val="-6"/>
        </w:rPr>
        <w:t> </w:t>
      </w:r>
      <w:r>
        <w:rPr>
          <w:color w:val="231F20"/>
        </w:rPr>
        <w:t>the</w:t>
      </w:r>
      <w:r>
        <w:rPr>
          <w:color w:val="231F20"/>
          <w:spacing w:val="-6"/>
        </w:rPr>
        <w:t> </w:t>
      </w:r>
      <w:r>
        <w:rPr>
          <w:color w:val="231F20"/>
        </w:rPr>
        <w:t>list</w:t>
      </w:r>
      <w:r>
        <w:rPr>
          <w:color w:val="231F20"/>
          <w:spacing w:val="-6"/>
        </w:rPr>
        <w:t> </w:t>
      </w:r>
      <w:r>
        <w:rPr>
          <w:color w:val="231F20"/>
        </w:rPr>
        <w:t>of</w:t>
      </w:r>
      <w:r>
        <w:rPr>
          <w:color w:val="231F20"/>
          <w:spacing w:val="-6"/>
        </w:rPr>
        <w:t> </w:t>
      </w:r>
      <w:r>
        <w:rPr>
          <w:color w:val="231F20"/>
        </w:rPr>
        <w:t>states sponsor of terrorism.</w:t>
      </w:r>
    </w:p>
    <w:p>
      <w:pPr>
        <w:pStyle w:val="BodyText"/>
        <w:spacing w:before="165"/>
        <w:ind w:left="1474" w:right="1"/>
      </w:pPr>
      <w:r>
        <w:rPr>
          <w:b/>
          <w:color w:val="B52628"/>
        </w:rPr>
        <w:t>On June 10, 2022, </w:t>
      </w:r>
      <w:r>
        <w:rPr>
          <w:color w:val="231F20"/>
        </w:rPr>
        <w:t>several U.S. activists delivered a missive at the Los Angeles Convention Center, venue for the 9th Summit of the Americas, seeking an end to the blockades against countries such as Cuba, Venezuela and Nicaragua. The </w:t>
      </w:r>
      <w:r>
        <w:rPr>
          <w:color w:val="231F20"/>
          <w:spacing w:val="-6"/>
        </w:rPr>
        <w:t>initiative originated within the framework of </w:t>
      </w:r>
      <w:r>
        <w:rPr>
          <w:color w:val="231F20"/>
          <w:spacing w:val="-4"/>
        </w:rPr>
        <w:t>the</w:t>
      </w:r>
      <w:r>
        <w:rPr>
          <w:color w:val="231F20"/>
          <w:spacing w:val="-13"/>
        </w:rPr>
        <w:t> </w:t>
      </w:r>
      <w:r>
        <w:rPr>
          <w:color w:val="231F20"/>
          <w:spacing w:val="-4"/>
        </w:rPr>
        <w:t>People’s</w:t>
      </w:r>
      <w:r>
        <w:rPr>
          <w:color w:val="231F20"/>
          <w:spacing w:val="-12"/>
        </w:rPr>
        <w:t> </w:t>
      </w:r>
      <w:r>
        <w:rPr>
          <w:color w:val="231F20"/>
          <w:spacing w:val="-4"/>
        </w:rPr>
        <w:t>Summit</w:t>
      </w:r>
      <w:r>
        <w:rPr>
          <w:color w:val="231F20"/>
          <w:spacing w:val="-13"/>
        </w:rPr>
        <w:t> </w:t>
      </w:r>
      <w:r>
        <w:rPr>
          <w:color w:val="231F20"/>
          <w:spacing w:val="-4"/>
        </w:rPr>
        <w:t>and</w:t>
      </w:r>
      <w:r>
        <w:rPr>
          <w:color w:val="231F20"/>
          <w:spacing w:val="-12"/>
        </w:rPr>
        <w:t> </w:t>
      </w:r>
      <w:r>
        <w:rPr>
          <w:color w:val="231F20"/>
          <w:spacing w:val="-4"/>
        </w:rPr>
        <w:t>was</w:t>
      </w:r>
      <w:r>
        <w:rPr>
          <w:color w:val="231F20"/>
          <w:spacing w:val="-13"/>
        </w:rPr>
        <w:t> </w:t>
      </w:r>
      <w:r>
        <w:rPr>
          <w:color w:val="231F20"/>
          <w:spacing w:val="-4"/>
        </w:rPr>
        <w:t>accompanied </w:t>
      </w:r>
      <w:r>
        <w:rPr>
          <w:color w:val="231F20"/>
        </w:rPr>
        <w:t>by speeches and other manifestations in support of Cuba as party to this event.</w:t>
      </w:r>
    </w:p>
    <w:p>
      <w:pPr>
        <w:pStyle w:val="BodyText"/>
        <w:spacing w:before="168"/>
        <w:ind w:left="1474"/>
      </w:pPr>
      <w:r>
        <w:rPr>
          <w:b/>
          <w:color w:val="B52628"/>
          <w:spacing w:val="-4"/>
        </w:rPr>
        <w:t>On</w:t>
      </w:r>
      <w:r>
        <w:rPr>
          <w:b/>
          <w:color w:val="B52628"/>
          <w:spacing w:val="-13"/>
        </w:rPr>
        <w:t> </w:t>
      </w:r>
      <w:r>
        <w:rPr>
          <w:b/>
          <w:color w:val="B52628"/>
          <w:spacing w:val="-4"/>
        </w:rPr>
        <w:t>June</w:t>
      </w:r>
      <w:r>
        <w:rPr>
          <w:b/>
          <w:color w:val="B52628"/>
          <w:spacing w:val="-13"/>
        </w:rPr>
        <w:t> </w:t>
      </w:r>
      <w:r>
        <w:rPr>
          <w:b/>
          <w:color w:val="B52628"/>
          <w:spacing w:val="-4"/>
        </w:rPr>
        <w:t>16,</w:t>
      </w:r>
      <w:r>
        <w:rPr>
          <w:b/>
          <w:color w:val="B52628"/>
          <w:spacing w:val="-12"/>
        </w:rPr>
        <w:t> </w:t>
      </w:r>
      <w:r>
        <w:rPr>
          <w:b/>
          <w:color w:val="B52628"/>
          <w:spacing w:val="-4"/>
        </w:rPr>
        <w:t>2022,</w:t>
      </w:r>
      <w:r>
        <w:rPr>
          <w:b/>
          <w:color w:val="B52628"/>
          <w:spacing w:val="-13"/>
        </w:rPr>
        <w:t> </w:t>
      </w:r>
      <w:r>
        <w:rPr>
          <w:color w:val="231F20"/>
          <w:spacing w:val="-4"/>
        </w:rPr>
        <w:t>a</w:t>
      </w:r>
      <w:r>
        <w:rPr>
          <w:color w:val="231F20"/>
          <w:spacing w:val="-12"/>
        </w:rPr>
        <w:t> </w:t>
      </w:r>
      <w:r>
        <w:rPr>
          <w:color w:val="231F20"/>
          <w:spacing w:val="-4"/>
        </w:rPr>
        <w:t>group</w:t>
      </w:r>
      <w:r>
        <w:rPr>
          <w:color w:val="231F20"/>
          <w:spacing w:val="-13"/>
        </w:rPr>
        <w:t> </w:t>
      </w:r>
      <w:r>
        <w:rPr>
          <w:color w:val="231F20"/>
          <w:spacing w:val="-4"/>
        </w:rPr>
        <w:t>of</w:t>
      </w:r>
      <w:r>
        <w:rPr>
          <w:color w:val="231F20"/>
          <w:spacing w:val="-12"/>
        </w:rPr>
        <w:t> </w:t>
      </w:r>
      <w:r>
        <w:rPr>
          <w:color w:val="231F20"/>
          <w:spacing w:val="-4"/>
        </w:rPr>
        <w:t>26</w:t>
      </w:r>
      <w:r>
        <w:rPr>
          <w:color w:val="231F20"/>
          <w:spacing w:val="-12"/>
        </w:rPr>
        <w:t> </w:t>
      </w:r>
      <w:r>
        <w:rPr>
          <w:color w:val="231F20"/>
          <w:spacing w:val="-4"/>
        </w:rPr>
        <w:t>Democrat </w:t>
      </w:r>
      <w:r>
        <w:rPr>
          <w:color w:val="231F20"/>
        </w:rPr>
        <w:t>representatives headed by Ayanna Pressley</w:t>
      </w:r>
      <w:r>
        <w:rPr>
          <w:color w:val="231F20"/>
          <w:spacing w:val="-17"/>
        </w:rPr>
        <w:t> </w:t>
      </w:r>
      <w:r>
        <w:rPr>
          <w:color w:val="231F20"/>
        </w:rPr>
        <w:t>(Massachusetts)</w:t>
      </w:r>
      <w:r>
        <w:rPr>
          <w:color w:val="231F20"/>
          <w:spacing w:val="-16"/>
        </w:rPr>
        <w:t> </w:t>
      </w:r>
      <w:r>
        <w:rPr>
          <w:color w:val="231F20"/>
        </w:rPr>
        <w:t>and</w:t>
      </w:r>
      <w:r>
        <w:rPr>
          <w:color w:val="231F20"/>
          <w:spacing w:val="-17"/>
        </w:rPr>
        <w:t> </w:t>
      </w:r>
      <w:r>
        <w:rPr>
          <w:color w:val="231F20"/>
        </w:rPr>
        <w:t>Steve</w:t>
      </w:r>
      <w:r>
        <w:rPr>
          <w:color w:val="231F20"/>
          <w:spacing w:val="-16"/>
        </w:rPr>
        <w:t> </w:t>
      </w:r>
      <w:r>
        <w:rPr>
          <w:color w:val="231F20"/>
        </w:rPr>
        <w:t>Cohen </w:t>
      </w:r>
      <w:r>
        <w:rPr>
          <w:color w:val="231F20"/>
          <w:spacing w:val="-4"/>
        </w:rPr>
        <w:t>(Tennessee),</w:t>
      </w:r>
      <w:r>
        <w:rPr>
          <w:color w:val="231F20"/>
          <w:spacing w:val="-13"/>
        </w:rPr>
        <w:t> </w:t>
      </w:r>
      <w:r>
        <w:rPr>
          <w:color w:val="231F20"/>
          <w:spacing w:val="-4"/>
        </w:rPr>
        <w:t>sent</w:t>
      </w:r>
      <w:r>
        <w:rPr>
          <w:color w:val="231F20"/>
          <w:spacing w:val="-12"/>
        </w:rPr>
        <w:t> </w:t>
      </w:r>
      <w:r>
        <w:rPr>
          <w:color w:val="231F20"/>
          <w:spacing w:val="-4"/>
        </w:rPr>
        <w:t>a</w:t>
      </w:r>
      <w:r>
        <w:rPr>
          <w:color w:val="231F20"/>
          <w:spacing w:val="-13"/>
        </w:rPr>
        <w:t> </w:t>
      </w:r>
      <w:r>
        <w:rPr>
          <w:color w:val="231F20"/>
          <w:spacing w:val="-4"/>
        </w:rPr>
        <w:t>letter</w:t>
      </w:r>
      <w:r>
        <w:rPr>
          <w:color w:val="231F20"/>
          <w:spacing w:val="-12"/>
        </w:rPr>
        <w:t> </w:t>
      </w:r>
      <w:r>
        <w:rPr>
          <w:color w:val="231F20"/>
          <w:spacing w:val="-4"/>
        </w:rPr>
        <w:t>to</w:t>
      </w:r>
      <w:r>
        <w:rPr>
          <w:color w:val="231F20"/>
          <w:spacing w:val="-13"/>
        </w:rPr>
        <w:t> </w:t>
      </w:r>
      <w:r>
        <w:rPr>
          <w:color w:val="231F20"/>
          <w:spacing w:val="-4"/>
        </w:rPr>
        <w:t>President</w:t>
      </w:r>
      <w:r>
        <w:rPr>
          <w:color w:val="231F20"/>
          <w:spacing w:val="-12"/>
        </w:rPr>
        <w:t> </w:t>
      </w:r>
      <w:r>
        <w:rPr>
          <w:color w:val="231F20"/>
          <w:spacing w:val="-4"/>
        </w:rPr>
        <w:t>Biden </w:t>
      </w:r>
      <w:r>
        <w:rPr>
          <w:color w:val="231F20"/>
        </w:rPr>
        <w:t>asking that he explore the possibilities of </w:t>
      </w:r>
      <w:r>
        <w:rPr>
          <w:color w:val="231F20"/>
          <w:spacing w:val="-4"/>
        </w:rPr>
        <w:t>cooperation</w:t>
      </w:r>
      <w:r>
        <w:rPr>
          <w:color w:val="231F20"/>
          <w:spacing w:val="-13"/>
        </w:rPr>
        <w:t> </w:t>
      </w:r>
      <w:r>
        <w:rPr>
          <w:color w:val="231F20"/>
          <w:spacing w:val="-4"/>
        </w:rPr>
        <w:t>with</w:t>
      </w:r>
      <w:r>
        <w:rPr>
          <w:color w:val="231F20"/>
          <w:spacing w:val="-12"/>
        </w:rPr>
        <w:t> </w:t>
      </w:r>
      <w:r>
        <w:rPr>
          <w:color w:val="231F20"/>
          <w:spacing w:val="-4"/>
        </w:rPr>
        <w:t>Cuba</w:t>
      </w:r>
      <w:r>
        <w:rPr>
          <w:color w:val="231F20"/>
          <w:spacing w:val="-13"/>
        </w:rPr>
        <w:t> </w:t>
      </w:r>
      <w:r>
        <w:rPr>
          <w:color w:val="231F20"/>
          <w:spacing w:val="-4"/>
        </w:rPr>
        <w:t>on</w:t>
      </w:r>
      <w:r>
        <w:rPr>
          <w:color w:val="231F20"/>
          <w:spacing w:val="-12"/>
        </w:rPr>
        <w:t> </w:t>
      </w:r>
      <w:r>
        <w:rPr>
          <w:color w:val="231F20"/>
          <w:spacing w:val="-4"/>
        </w:rPr>
        <w:t>matters</w:t>
      </w:r>
      <w:r>
        <w:rPr>
          <w:color w:val="231F20"/>
          <w:spacing w:val="-13"/>
        </w:rPr>
        <w:t> </w:t>
      </w:r>
      <w:r>
        <w:rPr>
          <w:color w:val="231F20"/>
          <w:spacing w:val="-4"/>
        </w:rPr>
        <w:t>of</w:t>
      </w:r>
      <w:r>
        <w:rPr>
          <w:color w:val="231F20"/>
          <w:spacing w:val="-12"/>
        </w:rPr>
        <w:t> </w:t>
      </w:r>
      <w:r>
        <w:rPr>
          <w:color w:val="231F20"/>
          <w:spacing w:val="-4"/>
        </w:rPr>
        <w:t>public </w:t>
      </w:r>
      <w:r>
        <w:rPr>
          <w:color w:val="231F20"/>
        </w:rPr>
        <w:t>health. They called for a policy review to ensure that the sanctions against Cuba would not hinder efforts for sharing its anti-COVID-19 vaccines with low-income countries or for otherwise providing its services in the medical and public health technology spheres.</w:t>
      </w:r>
    </w:p>
    <w:p>
      <w:pPr>
        <w:pStyle w:val="BodyText"/>
        <w:spacing w:before="170"/>
        <w:ind w:left="1474" w:right="4"/>
      </w:pPr>
      <w:r>
        <w:rPr>
          <w:b/>
          <w:color w:val="B52628"/>
          <w:spacing w:val="-14"/>
        </w:rPr>
        <w:t>On</w:t>
      </w:r>
      <w:r>
        <w:rPr>
          <w:b/>
          <w:color w:val="B52628"/>
        </w:rPr>
        <w:t> </w:t>
      </w:r>
      <w:r>
        <w:rPr>
          <w:b/>
          <w:color w:val="B52628"/>
          <w:spacing w:val="-14"/>
        </w:rPr>
        <w:t>June</w:t>
      </w:r>
      <w:r>
        <w:rPr>
          <w:b/>
          <w:color w:val="B52628"/>
        </w:rPr>
        <w:t> </w:t>
      </w:r>
      <w:r>
        <w:rPr>
          <w:b/>
          <w:color w:val="B52628"/>
          <w:spacing w:val="-14"/>
        </w:rPr>
        <w:t>29,</w:t>
      </w:r>
      <w:r>
        <w:rPr>
          <w:b/>
          <w:color w:val="B52628"/>
        </w:rPr>
        <w:t> </w:t>
      </w:r>
      <w:r>
        <w:rPr>
          <w:b/>
          <w:color w:val="B52628"/>
          <w:spacing w:val="-14"/>
        </w:rPr>
        <w:t>2022,</w:t>
      </w:r>
      <w:r>
        <w:rPr>
          <w:b/>
          <w:color w:val="B52628"/>
        </w:rPr>
        <w:t> </w:t>
      </w:r>
      <w:r>
        <w:rPr>
          <w:color w:val="231F20"/>
          <w:spacing w:val="-14"/>
        </w:rPr>
        <w:t>a</w:t>
      </w:r>
      <w:r>
        <w:rPr>
          <w:color w:val="231F20"/>
        </w:rPr>
        <w:t> </w:t>
      </w:r>
      <w:r>
        <w:rPr>
          <w:color w:val="231F20"/>
          <w:spacing w:val="-14"/>
        </w:rPr>
        <w:t>total</w:t>
      </w:r>
      <w:r>
        <w:rPr>
          <w:color w:val="231F20"/>
        </w:rPr>
        <w:t> </w:t>
      </w:r>
      <w:r>
        <w:rPr>
          <w:color w:val="231F20"/>
          <w:spacing w:val="-14"/>
        </w:rPr>
        <w:t>of</w:t>
      </w:r>
      <w:r>
        <w:rPr>
          <w:color w:val="231F20"/>
        </w:rPr>
        <w:t> </w:t>
      </w:r>
      <w:r>
        <w:rPr>
          <w:color w:val="231F20"/>
          <w:spacing w:val="-14"/>
        </w:rPr>
        <w:t>22</w:t>
      </w:r>
      <w:r>
        <w:rPr>
          <w:color w:val="231F20"/>
        </w:rPr>
        <w:t> </w:t>
      </w:r>
      <w:r>
        <w:rPr>
          <w:color w:val="231F20"/>
          <w:spacing w:val="-14"/>
        </w:rPr>
        <w:t>organizations, </w:t>
      </w:r>
      <w:r>
        <w:rPr>
          <w:color w:val="231F20"/>
        </w:rPr>
        <w:t>churches and religious denominations affiliated</w:t>
      </w:r>
      <w:r>
        <w:rPr>
          <w:color w:val="231F20"/>
          <w:spacing w:val="-17"/>
        </w:rPr>
        <w:t> </w:t>
      </w:r>
      <w:r>
        <w:rPr>
          <w:color w:val="231F20"/>
        </w:rPr>
        <w:t>to</w:t>
      </w:r>
      <w:r>
        <w:rPr>
          <w:color w:val="231F20"/>
          <w:spacing w:val="-16"/>
        </w:rPr>
        <w:t> </w:t>
      </w:r>
      <w:r>
        <w:rPr>
          <w:color w:val="231F20"/>
        </w:rPr>
        <w:t>the</w:t>
      </w:r>
      <w:r>
        <w:rPr>
          <w:color w:val="231F20"/>
          <w:spacing w:val="-17"/>
        </w:rPr>
        <w:t> </w:t>
      </w:r>
      <w:r>
        <w:rPr>
          <w:color w:val="231F20"/>
        </w:rPr>
        <w:t>Washington</w:t>
      </w:r>
      <w:r>
        <w:rPr>
          <w:color w:val="231F20"/>
          <w:spacing w:val="-16"/>
        </w:rPr>
        <w:t> </w:t>
      </w:r>
      <w:r>
        <w:rPr>
          <w:color w:val="231F20"/>
        </w:rPr>
        <w:t>D.C.</w:t>
      </w:r>
      <w:r>
        <w:rPr>
          <w:color w:val="231F20"/>
          <w:spacing w:val="-17"/>
        </w:rPr>
        <w:t> </w:t>
      </w:r>
      <w:r>
        <w:rPr>
          <w:color w:val="231F20"/>
        </w:rPr>
        <w:t>Interfaith Network</w:t>
      </w:r>
      <w:r>
        <w:rPr>
          <w:color w:val="231F20"/>
          <w:spacing w:val="31"/>
        </w:rPr>
        <w:t> </w:t>
      </w:r>
      <w:r>
        <w:rPr>
          <w:color w:val="231F20"/>
        </w:rPr>
        <w:t>sent</w:t>
      </w:r>
      <w:r>
        <w:rPr>
          <w:color w:val="231F20"/>
          <w:spacing w:val="33"/>
        </w:rPr>
        <w:t> </w:t>
      </w:r>
      <w:r>
        <w:rPr>
          <w:color w:val="231F20"/>
        </w:rPr>
        <w:t>a</w:t>
      </w:r>
      <w:r>
        <w:rPr>
          <w:color w:val="231F20"/>
          <w:spacing w:val="34"/>
        </w:rPr>
        <w:t> </w:t>
      </w:r>
      <w:r>
        <w:rPr>
          <w:color w:val="231F20"/>
        </w:rPr>
        <w:t>letter</w:t>
      </w:r>
      <w:r>
        <w:rPr>
          <w:color w:val="231F20"/>
          <w:spacing w:val="33"/>
        </w:rPr>
        <w:t> </w:t>
      </w:r>
      <w:r>
        <w:rPr>
          <w:color w:val="231F20"/>
        </w:rPr>
        <w:t>to</w:t>
      </w:r>
      <w:r>
        <w:rPr>
          <w:color w:val="231F20"/>
          <w:spacing w:val="33"/>
        </w:rPr>
        <w:t> </w:t>
      </w:r>
      <w:r>
        <w:rPr>
          <w:color w:val="231F20"/>
        </w:rPr>
        <w:t>President</w:t>
      </w:r>
      <w:r>
        <w:rPr>
          <w:color w:val="231F20"/>
          <w:spacing w:val="34"/>
        </w:rPr>
        <w:t> </w:t>
      </w:r>
      <w:r>
        <w:rPr>
          <w:color w:val="231F20"/>
          <w:spacing w:val="-5"/>
        </w:rPr>
        <w:t>Biden</w:t>
      </w:r>
    </w:p>
    <w:p>
      <w:pPr>
        <w:pStyle w:val="BodyText"/>
        <w:spacing w:before="77"/>
        <w:ind w:left="413" w:right="1138"/>
      </w:pPr>
      <w:r>
        <w:rPr/>
        <w:br w:type="column"/>
      </w:r>
      <w:r>
        <w:rPr>
          <w:color w:val="231F20"/>
          <w:spacing w:val="-4"/>
        </w:rPr>
        <w:t>mentioning</w:t>
      </w:r>
      <w:r>
        <w:rPr>
          <w:color w:val="231F20"/>
          <w:spacing w:val="-12"/>
        </w:rPr>
        <w:t> </w:t>
      </w:r>
      <w:r>
        <w:rPr>
          <w:color w:val="231F20"/>
          <w:spacing w:val="-4"/>
        </w:rPr>
        <w:t>the</w:t>
      </w:r>
      <w:r>
        <w:rPr>
          <w:color w:val="231F20"/>
          <w:spacing w:val="-12"/>
        </w:rPr>
        <w:t> </w:t>
      </w:r>
      <w:r>
        <w:rPr>
          <w:color w:val="231F20"/>
          <w:spacing w:val="-4"/>
        </w:rPr>
        <w:t>impact</w:t>
      </w:r>
      <w:r>
        <w:rPr>
          <w:color w:val="231F20"/>
          <w:spacing w:val="-12"/>
        </w:rPr>
        <w:t> </w:t>
      </w:r>
      <w:r>
        <w:rPr>
          <w:color w:val="231F20"/>
          <w:spacing w:val="-4"/>
        </w:rPr>
        <w:t>of</w:t>
      </w:r>
      <w:r>
        <w:rPr>
          <w:color w:val="231F20"/>
          <w:spacing w:val="-12"/>
        </w:rPr>
        <w:t> </w:t>
      </w:r>
      <w:r>
        <w:rPr>
          <w:color w:val="231F20"/>
          <w:spacing w:val="-4"/>
        </w:rPr>
        <w:t>the</w:t>
      </w:r>
      <w:r>
        <w:rPr>
          <w:color w:val="231F20"/>
          <w:spacing w:val="-12"/>
        </w:rPr>
        <w:t> </w:t>
      </w:r>
      <w:r>
        <w:rPr>
          <w:color w:val="231F20"/>
          <w:spacing w:val="-4"/>
        </w:rPr>
        <w:t>blockade</w:t>
      </w:r>
      <w:r>
        <w:rPr>
          <w:color w:val="231F20"/>
          <w:spacing w:val="-12"/>
        </w:rPr>
        <w:t> </w:t>
      </w:r>
      <w:r>
        <w:rPr>
          <w:color w:val="231F20"/>
          <w:spacing w:val="-4"/>
        </w:rPr>
        <w:t>and </w:t>
      </w:r>
      <w:r>
        <w:rPr>
          <w:color w:val="231F20"/>
        </w:rPr>
        <w:t>urging</w:t>
      </w:r>
      <w:r>
        <w:rPr>
          <w:color w:val="231F20"/>
          <w:spacing w:val="-17"/>
        </w:rPr>
        <w:t> </w:t>
      </w:r>
      <w:r>
        <w:rPr>
          <w:color w:val="231F20"/>
        </w:rPr>
        <w:t>further</w:t>
      </w:r>
      <w:r>
        <w:rPr>
          <w:color w:val="231F20"/>
          <w:spacing w:val="-16"/>
        </w:rPr>
        <w:t> </w:t>
      </w:r>
      <w:r>
        <w:rPr>
          <w:color w:val="231F20"/>
        </w:rPr>
        <w:t>easing</w:t>
      </w:r>
      <w:r>
        <w:rPr>
          <w:color w:val="231F20"/>
          <w:spacing w:val="-17"/>
        </w:rPr>
        <w:t> </w:t>
      </w:r>
      <w:r>
        <w:rPr>
          <w:color w:val="231F20"/>
        </w:rPr>
        <w:t>of</w:t>
      </w:r>
      <w:r>
        <w:rPr>
          <w:color w:val="231F20"/>
          <w:spacing w:val="-16"/>
        </w:rPr>
        <w:t> </w:t>
      </w:r>
      <w:r>
        <w:rPr>
          <w:color w:val="231F20"/>
        </w:rPr>
        <w:t>the</w:t>
      </w:r>
      <w:r>
        <w:rPr>
          <w:color w:val="231F20"/>
          <w:spacing w:val="-17"/>
        </w:rPr>
        <w:t> </w:t>
      </w:r>
      <w:r>
        <w:rPr>
          <w:color w:val="231F20"/>
        </w:rPr>
        <w:t>restrictions</w:t>
      </w:r>
      <w:r>
        <w:rPr>
          <w:color w:val="231F20"/>
          <w:spacing w:val="-16"/>
        </w:rPr>
        <w:t> </w:t>
      </w:r>
      <w:r>
        <w:rPr>
          <w:color w:val="231F20"/>
        </w:rPr>
        <w:t>on </w:t>
      </w:r>
      <w:r>
        <w:rPr>
          <w:color w:val="231F20"/>
          <w:spacing w:val="-2"/>
        </w:rPr>
        <w:t>travel,</w:t>
      </w:r>
      <w:r>
        <w:rPr>
          <w:color w:val="231F20"/>
          <w:spacing w:val="-9"/>
        </w:rPr>
        <w:t> </w:t>
      </w:r>
      <w:r>
        <w:rPr>
          <w:color w:val="231F20"/>
          <w:spacing w:val="-2"/>
        </w:rPr>
        <w:t>remittances</w:t>
      </w:r>
      <w:r>
        <w:rPr>
          <w:color w:val="231F20"/>
          <w:spacing w:val="-9"/>
        </w:rPr>
        <w:t> </w:t>
      </w:r>
      <w:r>
        <w:rPr>
          <w:color w:val="231F20"/>
          <w:spacing w:val="-2"/>
        </w:rPr>
        <w:t>and</w:t>
      </w:r>
      <w:r>
        <w:rPr>
          <w:color w:val="231F20"/>
          <w:spacing w:val="-9"/>
        </w:rPr>
        <w:t> </w:t>
      </w:r>
      <w:r>
        <w:rPr>
          <w:color w:val="231F20"/>
          <w:spacing w:val="-2"/>
        </w:rPr>
        <w:t>consular</w:t>
      </w:r>
      <w:r>
        <w:rPr>
          <w:color w:val="231F20"/>
          <w:spacing w:val="-9"/>
        </w:rPr>
        <w:t> </w:t>
      </w:r>
      <w:r>
        <w:rPr>
          <w:color w:val="231F20"/>
          <w:spacing w:val="-2"/>
        </w:rPr>
        <w:t>services.</w:t>
      </w:r>
      <w:r>
        <w:rPr>
          <w:color w:val="231F20"/>
          <w:spacing w:val="-9"/>
        </w:rPr>
        <w:t> </w:t>
      </w:r>
      <w:r>
        <w:rPr>
          <w:color w:val="231F20"/>
          <w:spacing w:val="-2"/>
        </w:rPr>
        <w:t>It </w:t>
      </w:r>
      <w:r>
        <w:rPr>
          <w:color w:val="231F20"/>
          <w:spacing w:val="-8"/>
        </w:rPr>
        <w:t>also</w:t>
      </w:r>
      <w:r>
        <w:rPr>
          <w:color w:val="231F20"/>
          <w:spacing w:val="-9"/>
        </w:rPr>
        <w:t> </w:t>
      </w:r>
      <w:r>
        <w:rPr>
          <w:color w:val="231F20"/>
          <w:spacing w:val="-8"/>
        </w:rPr>
        <w:t>called for</w:t>
      </w:r>
      <w:r>
        <w:rPr>
          <w:color w:val="231F20"/>
          <w:spacing w:val="-9"/>
        </w:rPr>
        <w:t> </w:t>
      </w:r>
      <w:r>
        <w:rPr>
          <w:color w:val="231F20"/>
          <w:spacing w:val="-8"/>
        </w:rPr>
        <w:t>Cuba’s removal</w:t>
      </w:r>
      <w:r>
        <w:rPr>
          <w:color w:val="231F20"/>
          <w:spacing w:val="-9"/>
        </w:rPr>
        <w:t> </w:t>
      </w:r>
      <w:r>
        <w:rPr>
          <w:color w:val="231F20"/>
          <w:spacing w:val="-8"/>
        </w:rPr>
        <w:t>from the</w:t>
      </w:r>
      <w:r>
        <w:rPr>
          <w:color w:val="231F20"/>
          <w:spacing w:val="-9"/>
        </w:rPr>
        <w:t> </w:t>
      </w:r>
      <w:r>
        <w:rPr>
          <w:color w:val="231F20"/>
          <w:spacing w:val="-8"/>
        </w:rPr>
        <w:t>list of </w:t>
      </w:r>
      <w:r>
        <w:rPr>
          <w:color w:val="231F20"/>
        </w:rPr>
        <w:t>state</w:t>
      </w:r>
      <w:r>
        <w:rPr>
          <w:color w:val="231F20"/>
          <w:spacing w:val="-17"/>
        </w:rPr>
        <w:t> </w:t>
      </w:r>
      <w:r>
        <w:rPr>
          <w:color w:val="231F20"/>
        </w:rPr>
        <w:t>sponsors</w:t>
      </w:r>
      <w:r>
        <w:rPr>
          <w:color w:val="231F20"/>
          <w:spacing w:val="-16"/>
        </w:rPr>
        <w:t> </w:t>
      </w:r>
      <w:r>
        <w:rPr>
          <w:color w:val="231F20"/>
        </w:rPr>
        <w:t>of</w:t>
      </w:r>
      <w:r>
        <w:rPr>
          <w:color w:val="231F20"/>
          <w:spacing w:val="-17"/>
        </w:rPr>
        <w:t> </w:t>
      </w:r>
      <w:r>
        <w:rPr>
          <w:color w:val="231F20"/>
        </w:rPr>
        <w:t>terrorism.</w:t>
      </w:r>
    </w:p>
    <w:p>
      <w:pPr>
        <w:pStyle w:val="BodyText"/>
        <w:spacing w:before="164"/>
        <w:ind w:left="413" w:right="1132"/>
      </w:pPr>
      <w:r>
        <w:rPr>
          <w:b/>
          <w:color w:val="B52628"/>
        </w:rPr>
        <w:t>On July 31, 2022, </w:t>
      </w:r>
      <w:r>
        <w:rPr>
          <w:color w:val="231F20"/>
        </w:rPr>
        <w:t>there were initiatives</w:t>
      </w:r>
      <w:r>
        <w:rPr>
          <w:color w:val="231F20"/>
          <w:spacing w:val="40"/>
        </w:rPr>
        <w:t> </w:t>
      </w:r>
      <w:r>
        <w:rPr>
          <w:color w:val="231F20"/>
        </w:rPr>
        <w:t>in various U.S. cities - including Seattle, Baltimore, Milwaukee, Los Angeles, New York, Miami and Oklahoma - demanding the lifting of the blockade on Cuba.</w:t>
      </w:r>
    </w:p>
    <w:p>
      <w:pPr>
        <w:pStyle w:val="BodyText"/>
        <w:spacing w:before="164"/>
        <w:ind w:left="413" w:right="1132"/>
      </w:pPr>
      <w:r>
        <w:rPr>
          <w:b/>
          <w:color w:val="B52628"/>
        </w:rPr>
        <w:t>On August 8, 2022, </w:t>
      </w:r>
      <w:r>
        <w:rPr>
          <w:color w:val="231F20"/>
        </w:rPr>
        <w:t>a group of artists, intellectuals, politicians, activists and religious leaders sent a letter to President Biden seeking an immediate end to Washington’s “cruel policies” applied by the Trump administration. In the context of the fire at the Matanzas supertanker base,</w:t>
      </w:r>
      <w:r>
        <w:rPr>
          <w:color w:val="231F20"/>
          <w:spacing w:val="-4"/>
        </w:rPr>
        <w:t> </w:t>
      </w:r>
      <w:r>
        <w:rPr>
          <w:color w:val="231F20"/>
        </w:rPr>
        <w:t>they</w:t>
      </w:r>
      <w:r>
        <w:rPr>
          <w:color w:val="231F20"/>
          <w:spacing w:val="-4"/>
        </w:rPr>
        <w:t> </w:t>
      </w:r>
      <w:r>
        <w:rPr>
          <w:color w:val="231F20"/>
        </w:rPr>
        <w:t>called</w:t>
      </w:r>
      <w:r>
        <w:rPr>
          <w:color w:val="231F20"/>
          <w:spacing w:val="-4"/>
        </w:rPr>
        <w:t> </w:t>
      </w:r>
      <w:r>
        <w:rPr>
          <w:color w:val="231F20"/>
        </w:rPr>
        <w:t>for</w:t>
      </w:r>
      <w:r>
        <w:rPr>
          <w:color w:val="231F20"/>
          <w:spacing w:val="-4"/>
        </w:rPr>
        <w:t> </w:t>
      </w:r>
      <w:r>
        <w:rPr>
          <w:color w:val="231F20"/>
        </w:rPr>
        <w:t>lifting</w:t>
      </w:r>
      <w:r>
        <w:rPr>
          <w:color w:val="231F20"/>
          <w:spacing w:val="-4"/>
        </w:rPr>
        <w:t> </w:t>
      </w:r>
      <w:r>
        <w:rPr>
          <w:color w:val="231F20"/>
        </w:rPr>
        <w:t>of</w:t>
      </w:r>
      <w:r>
        <w:rPr>
          <w:color w:val="231F20"/>
          <w:spacing w:val="-4"/>
        </w:rPr>
        <w:t> </w:t>
      </w:r>
      <w:r>
        <w:rPr>
          <w:color w:val="231F20"/>
        </w:rPr>
        <w:t>the</w:t>
      </w:r>
      <w:r>
        <w:rPr>
          <w:color w:val="231F20"/>
          <w:spacing w:val="-4"/>
        </w:rPr>
        <w:t> </w:t>
      </w:r>
      <w:r>
        <w:rPr>
          <w:color w:val="231F20"/>
        </w:rPr>
        <w:t>coercive </w:t>
      </w:r>
      <w:r>
        <w:rPr>
          <w:color w:val="231F20"/>
          <w:spacing w:val="-4"/>
        </w:rPr>
        <w:t>measures</w:t>
      </w:r>
      <w:r>
        <w:rPr>
          <w:color w:val="231F20"/>
          <w:spacing w:val="-13"/>
        </w:rPr>
        <w:t> </w:t>
      </w:r>
      <w:r>
        <w:rPr>
          <w:color w:val="231F20"/>
          <w:spacing w:val="-4"/>
        </w:rPr>
        <w:t>that</w:t>
      </w:r>
      <w:r>
        <w:rPr>
          <w:color w:val="231F20"/>
          <w:spacing w:val="-12"/>
        </w:rPr>
        <w:t> </w:t>
      </w:r>
      <w:r>
        <w:rPr>
          <w:color w:val="231F20"/>
          <w:spacing w:val="-4"/>
        </w:rPr>
        <w:t>prevent</w:t>
      </w:r>
      <w:r>
        <w:rPr>
          <w:color w:val="231F20"/>
          <w:spacing w:val="-13"/>
        </w:rPr>
        <w:t> </w:t>
      </w:r>
      <w:r>
        <w:rPr>
          <w:color w:val="231F20"/>
          <w:spacing w:val="-4"/>
        </w:rPr>
        <w:t>Cuba</w:t>
      </w:r>
      <w:r>
        <w:rPr>
          <w:color w:val="231F20"/>
          <w:spacing w:val="-12"/>
        </w:rPr>
        <w:t> </w:t>
      </w:r>
      <w:r>
        <w:rPr>
          <w:color w:val="231F20"/>
          <w:spacing w:val="-4"/>
        </w:rPr>
        <w:t>from</w:t>
      </w:r>
      <w:r>
        <w:rPr>
          <w:color w:val="231F20"/>
          <w:spacing w:val="-13"/>
        </w:rPr>
        <w:t> </w:t>
      </w:r>
      <w:r>
        <w:rPr>
          <w:color w:val="231F20"/>
          <w:spacing w:val="-4"/>
        </w:rPr>
        <w:t>receiving, </w:t>
      </w:r>
      <w:r>
        <w:rPr>
          <w:color w:val="231F20"/>
          <w:spacing w:val="-2"/>
        </w:rPr>
        <w:t>directly</w:t>
      </w:r>
      <w:r>
        <w:rPr>
          <w:color w:val="231F20"/>
          <w:spacing w:val="-15"/>
        </w:rPr>
        <w:t> </w:t>
      </w:r>
      <w:r>
        <w:rPr>
          <w:color w:val="231F20"/>
          <w:spacing w:val="-2"/>
        </w:rPr>
        <w:t>or</w:t>
      </w:r>
      <w:r>
        <w:rPr>
          <w:color w:val="231F20"/>
          <w:spacing w:val="-14"/>
        </w:rPr>
        <w:t> </w:t>
      </w:r>
      <w:r>
        <w:rPr>
          <w:color w:val="231F20"/>
          <w:spacing w:val="-2"/>
        </w:rPr>
        <w:t>indirectly,</w:t>
      </w:r>
      <w:r>
        <w:rPr>
          <w:color w:val="231F20"/>
          <w:spacing w:val="-15"/>
        </w:rPr>
        <w:t> </w:t>
      </w:r>
      <w:r>
        <w:rPr>
          <w:color w:val="231F20"/>
          <w:spacing w:val="-2"/>
        </w:rPr>
        <w:t>medical,</w:t>
      </w:r>
      <w:r>
        <w:rPr>
          <w:color w:val="231F20"/>
          <w:spacing w:val="-14"/>
        </w:rPr>
        <w:t> </w:t>
      </w:r>
      <w:r>
        <w:rPr>
          <w:color w:val="231F20"/>
          <w:spacing w:val="-2"/>
        </w:rPr>
        <w:t>humanitarian </w:t>
      </w:r>
      <w:r>
        <w:rPr>
          <w:color w:val="231F20"/>
        </w:rPr>
        <w:t>or environmental aid or financial or other types of aid from the United States. They also called for the delisting of Cuba as a state sponsor of terrorism.</w:t>
      </w:r>
    </w:p>
    <w:p>
      <w:pPr>
        <w:pStyle w:val="BodyText"/>
        <w:spacing w:before="171"/>
        <w:ind w:left="413" w:right="1137"/>
      </w:pPr>
      <w:r>
        <w:rPr>
          <w:b/>
          <w:color w:val="B52628"/>
        </w:rPr>
        <w:t>On August 8, 2022, </w:t>
      </w:r>
      <w:r>
        <w:rPr>
          <w:color w:val="231F20"/>
        </w:rPr>
        <w:t>a number of U.S. organizations wrote to President Biden </w:t>
      </w:r>
      <w:r>
        <w:rPr>
          <w:color w:val="231F20"/>
          <w:spacing w:val="-2"/>
        </w:rPr>
        <w:t>requesting</w:t>
      </w:r>
      <w:r>
        <w:rPr>
          <w:color w:val="231F20"/>
          <w:spacing w:val="-15"/>
        </w:rPr>
        <w:t> </w:t>
      </w:r>
      <w:r>
        <w:rPr>
          <w:color w:val="231F20"/>
          <w:spacing w:val="-2"/>
        </w:rPr>
        <w:t>direct</w:t>
      </w:r>
      <w:r>
        <w:rPr>
          <w:color w:val="231F20"/>
          <w:spacing w:val="-14"/>
        </w:rPr>
        <w:t> </w:t>
      </w:r>
      <w:r>
        <w:rPr>
          <w:color w:val="231F20"/>
          <w:spacing w:val="-2"/>
        </w:rPr>
        <w:t>technical</w:t>
      </w:r>
      <w:r>
        <w:rPr>
          <w:color w:val="231F20"/>
          <w:spacing w:val="-15"/>
        </w:rPr>
        <w:t> </w:t>
      </w:r>
      <w:r>
        <w:rPr>
          <w:color w:val="231F20"/>
          <w:spacing w:val="-2"/>
        </w:rPr>
        <w:t>support</w:t>
      </w:r>
      <w:r>
        <w:rPr>
          <w:color w:val="231F20"/>
          <w:spacing w:val="-14"/>
        </w:rPr>
        <w:t> </w:t>
      </w:r>
      <w:r>
        <w:rPr>
          <w:color w:val="231F20"/>
          <w:spacing w:val="-2"/>
        </w:rPr>
        <w:t>and</w:t>
      </w:r>
      <w:r>
        <w:rPr>
          <w:color w:val="231F20"/>
          <w:spacing w:val="-15"/>
        </w:rPr>
        <w:t> </w:t>
      </w:r>
      <w:r>
        <w:rPr>
          <w:color w:val="231F20"/>
          <w:spacing w:val="-2"/>
        </w:rPr>
        <w:t>aid </w:t>
      </w:r>
      <w:r>
        <w:rPr>
          <w:color w:val="231F20"/>
        </w:rPr>
        <w:t>for Cuba and suspension of the coercive </w:t>
      </w:r>
      <w:r>
        <w:rPr>
          <w:color w:val="231F20"/>
          <w:spacing w:val="-8"/>
        </w:rPr>
        <w:t>measures,</w:t>
      </w:r>
      <w:r>
        <w:rPr>
          <w:color w:val="231F20"/>
          <w:spacing w:val="-9"/>
        </w:rPr>
        <w:t> </w:t>
      </w:r>
      <w:r>
        <w:rPr>
          <w:color w:val="231F20"/>
          <w:spacing w:val="-8"/>
        </w:rPr>
        <w:t>to facilitate</w:t>
      </w:r>
      <w:r>
        <w:rPr>
          <w:color w:val="231F20"/>
          <w:spacing w:val="-9"/>
        </w:rPr>
        <w:t> </w:t>
      </w:r>
      <w:r>
        <w:rPr>
          <w:color w:val="231F20"/>
          <w:spacing w:val="-8"/>
        </w:rPr>
        <w:t>response and</w:t>
      </w:r>
      <w:r>
        <w:rPr>
          <w:color w:val="231F20"/>
          <w:spacing w:val="-9"/>
        </w:rPr>
        <w:t> </w:t>
      </w:r>
      <w:r>
        <w:rPr>
          <w:color w:val="231F20"/>
          <w:spacing w:val="-8"/>
        </w:rPr>
        <w:t>recovery </w:t>
      </w:r>
      <w:r>
        <w:rPr>
          <w:color w:val="231F20"/>
        </w:rPr>
        <w:t>following the accident at the Matanzas </w:t>
      </w:r>
      <w:r>
        <w:rPr>
          <w:color w:val="231F20"/>
          <w:spacing w:val="-2"/>
        </w:rPr>
        <w:t>supertanker</w:t>
      </w:r>
      <w:r>
        <w:rPr>
          <w:color w:val="231F20"/>
          <w:spacing w:val="-12"/>
        </w:rPr>
        <w:t> </w:t>
      </w:r>
      <w:r>
        <w:rPr>
          <w:color w:val="231F20"/>
          <w:spacing w:val="-2"/>
        </w:rPr>
        <w:t>base.</w:t>
      </w:r>
      <w:r>
        <w:rPr>
          <w:color w:val="231F20"/>
          <w:spacing w:val="-12"/>
        </w:rPr>
        <w:t> </w:t>
      </w:r>
      <w:r>
        <w:rPr>
          <w:color w:val="231F20"/>
          <w:spacing w:val="-2"/>
        </w:rPr>
        <w:t>The</w:t>
      </w:r>
      <w:r>
        <w:rPr>
          <w:color w:val="231F20"/>
          <w:spacing w:val="-12"/>
        </w:rPr>
        <w:t> </w:t>
      </w:r>
      <w:r>
        <w:rPr>
          <w:color w:val="231F20"/>
          <w:spacing w:val="-2"/>
        </w:rPr>
        <w:t>signatories</w:t>
      </w:r>
      <w:r>
        <w:rPr>
          <w:color w:val="231F20"/>
          <w:spacing w:val="-12"/>
        </w:rPr>
        <w:t> </w:t>
      </w:r>
      <w:r>
        <w:rPr>
          <w:color w:val="231F20"/>
          <w:spacing w:val="-2"/>
        </w:rPr>
        <w:t>included </w:t>
      </w:r>
      <w:r>
        <w:rPr>
          <w:color w:val="231F20"/>
        </w:rPr>
        <w:t>the</w:t>
      </w:r>
      <w:r>
        <w:rPr>
          <w:color w:val="231F20"/>
          <w:spacing w:val="-7"/>
        </w:rPr>
        <w:t> </w:t>
      </w:r>
      <w:r>
        <w:rPr>
          <w:color w:val="231F20"/>
        </w:rPr>
        <w:t>Center</w:t>
      </w:r>
      <w:r>
        <w:rPr>
          <w:color w:val="231F20"/>
          <w:spacing w:val="-7"/>
        </w:rPr>
        <w:t> </w:t>
      </w:r>
      <w:r>
        <w:rPr>
          <w:color w:val="231F20"/>
        </w:rPr>
        <w:t>for</w:t>
      </w:r>
      <w:r>
        <w:rPr>
          <w:color w:val="231F20"/>
          <w:spacing w:val="-7"/>
        </w:rPr>
        <w:t> </w:t>
      </w:r>
      <w:r>
        <w:rPr>
          <w:color w:val="231F20"/>
        </w:rPr>
        <w:t>Democracy</w:t>
      </w:r>
      <w:r>
        <w:rPr>
          <w:color w:val="231F20"/>
          <w:spacing w:val="-7"/>
        </w:rPr>
        <w:t> </w:t>
      </w:r>
      <w:r>
        <w:rPr>
          <w:color w:val="231F20"/>
        </w:rPr>
        <w:t>in</w:t>
      </w:r>
      <w:r>
        <w:rPr>
          <w:color w:val="231F20"/>
          <w:spacing w:val="-7"/>
        </w:rPr>
        <w:t> </w:t>
      </w:r>
      <w:r>
        <w:rPr>
          <w:color w:val="231F20"/>
        </w:rPr>
        <w:t>the</w:t>
      </w:r>
      <w:r>
        <w:rPr>
          <w:color w:val="231F20"/>
          <w:spacing w:val="-7"/>
        </w:rPr>
        <w:t> </w:t>
      </w:r>
      <w:r>
        <w:rPr>
          <w:color w:val="231F20"/>
        </w:rPr>
        <w:t>Americas (CDA), Cuba Puentes Inc., Cuba Partners Network, the Presbyterian Church of the </w:t>
      </w:r>
      <w:r>
        <w:rPr>
          <w:color w:val="231F20"/>
          <w:spacing w:val="-4"/>
        </w:rPr>
        <w:t>United</w:t>
      </w:r>
      <w:r>
        <w:rPr>
          <w:color w:val="231F20"/>
          <w:spacing w:val="-13"/>
        </w:rPr>
        <w:t> </w:t>
      </w:r>
      <w:r>
        <w:rPr>
          <w:color w:val="231F20"/>
          <w:spacing w:val="-4"/>
        </w:rPr>
        <w:t>States,</w:t>
      </w:r>
      <w:r>
        <w:rPr>
          <w:color w:val="231F20"/>
          <w:spacing w:val="-12"/>
        </w:rPr>
        <w:t> </w:t>
      </w:r>
      <w:r>
        <w:rPr>
          <w:color w:val="231F20"/>
          <w:spacing w:val="-4"/>
        </w:rPr>
        <w:t>Cuba</w:t>
      </w:r>
      <w:r>
        <w:rPr>
          <w:color w:val="231F20"/>
          <w:spacing w:val="-13"/>
        </w:rPr>
        <w:t> </w:t>
      </w:r>
      <w:r>
        <w:rPr>
          <w:color w:val="231F20"/>
          <w:spacing w:val="-4"/>
        </w:rPr>
        <w:t>Study</w:t>
      </w:r>
      <w:r>
        <w:rPr>
          <w:color w:val="231F20"/>
          <w:spacing w:val="-12"/>
        </w:rPr>
        <w:t> </w:t>
      </w:r>
      <w:r>
        <w:rPr>
          <w:color w:val="231F20"/>
          <w:spacing w:val="-4"/>
        </w:rPr>
        <w:t>Group,</w:t>
      </w:r>
      <w:r>
        <w:rPr>
          <w:color w:val="231F20"/>
          <w:spacing w:val="-13"/>
        </w:rPr>
        <w:t> </w:t>
      </w:r>
      <w:r>
        <w:rPr>
          <w:color w:val="231F20"/>
          <w:spacing w:val="-4"/>
        </w:rPr>
        <w:t>CubaOne </w:t>
      </w:r>
      <w:r>
        <w:rPr>
          <w:color w:val="231F20"/>
        </w:rPr>
        <w:t>Foundation, Washington Office on Latin </w:t>
      </w:r>
      <w:r>
        <w:rPr>
          <w:color w:val="231F20"/>
          <w:spacing w:val="-6"/>
        </w:rPr>
        <w:t>America</w:t>
      </w:r>
      <w:r>
        <w:rPr>
          <w:color w:val="231F20"/>
          <w:spacing w:val="20"/>
        </w:rPr>
        <w:t> </w:t>
      </w:r>
      <w:r>
        <w:rPr>
          <w:color w:val="231F20"/>
          <w:spacing w:val="-6"/>
        </w:rPr>
        <w:t>(WOLA)</w:t>
      </w:r>
      <w:r>
        <w:rPr>
          <w:color w:val="231F20"/>
          <w:spacing w:val="-24"/>
        </w:rPr>
        <w:t> </w:t>
      </w:r>
      <w:r>
        <w:rPr>
          <w:color w:val="231F20"/>
          <w:spacing w:val="-6"/>
        </w:rPr>
        <w:t>and</w:t>
      </w:r>
      <w:r>
        <w:rPr>
          <w:color w:val="231F20"/>
          <w:spacing w:val="-24"/>
        </w:rPr>
        <w:t> </w:t>
      </w:r>
      <w:r>
        <w:rPr>
          <w:color w:val="231F20"/>
          <w:spacing w:val="-6"/>
        </w:rPr>
        <w:t>the</w:t>
      </w:r>
      <w:r>
        <w:rPr>
          <w:color w:val="231F20"/>
          <w:spacing w:val="-24"/>
        </w:rPr>
        <w:t> </w:t>
      </w:r>
      <w:r>
        <w:rPr>
          <w:color w:val="231F20"/>
          <w:spacing w:val="-6"/>
        </w:rPr>
        <w:t>Alliance</w:t>
      </w:r>
      <w:r>
        <w:rPr>
          <w:color w:val="231F20"/>
          <w:spacing w:val="-24"/>
        </w:rPr>
        <w:t> </w:t>
      </w:r>
      <w:r>
        <w:rPr>
          <w:color w:val="231F20"/>
          <w:spacing w:val="-6"/>
        </w:rPr>
        <w:t>of</w:t>
      </w:r>
      <w:r>
        <w:rPr>
          <w:color w:val="231F20"/>
          <w:spacing w:val="-24"/>
        </w:rPr>
        <w:t> </w:t>
      </w:r>
      <w:r>
        <w:rPr>
          <w:color w:val="231F20"/>
          <w:spacing w:val="-7"/>
        </w:rPr>
        <w:t>Baptists.</w:t>
      </w:r>
    </w:p>
    <w:p>
      <w:pPr>
        <w:pStyle w:val="BodyText"/>
        <w:spacing w:before="170"/>
        <w:ind w:left="413" w:right="1133"/>
      </w:pPr>
      <w:r>
        <w:rPr>
          <w:b/>
          <w:color w:val="B52628"/>
        </w:rPr>
        <w:t>On August 10, 2022, </w:t>
      </w:r>
      <w:r>
        <w:rPr>
          <w:color w:val="231F20"/>
        </w:rPr>
        <w:t>the chairman of</w:t>
      </w:r>
      <w:r>
        <w:rPr>
          <w:color w:val="231F20"/>
          <w:spacing w:val="40"/>
        </w:rPr>
        <w:t> </w:t>
      </w:r>
      <w:r>
        <w:rPr>
          <w:color w:val="231F20"/>
        </w:rPr>
        <w:t>the</w:t>
      </w:r>
      <w:r>
        <w:rPr>
          <w:color w:val="231F20"/>
          <w:spacing w:val="-9"/>
        </w:rPr>
        <w:t> </w:t>
      </w:r>
      <w:r>
        <w:rPr>
          <w:color w:val="231F20"/>
        </w:rPr>
        <w:t>U.S.</w:t>
      </w:r>
      <w:r>
        <w:rPr>
          <w:color w:val="231F20"/>
          <w:spacing w:val="-9"/>
        </w:rPr>
        <w:t> </w:t>
      </w:r>
      <w:r>
        <w:rPr>
          <w:color w:val="231F20"/>
        </w:rPr>
        <w:t>House</w:t>
      </w:r>
      <w:r>
        <w:rPr>
          <w:color w:val="231F20"/>
          <w:spacing w:val="-9"/>
        </w:rPr>
        <w:t> </w:t>
      </w:r>
      <w:r>
        <w:rPr>
          <w:color w:val="231F20"/>
        </w:rPr>
        <w:t>of</w:t>
      </w:r>
      <w:r>
        <w:rPr>
          <w:color w:val="231F20"/>
          <w:spacing w:val="-9"/>
        </w:rPr>
        <w:t> </w:t>
      </w:r>
      <w:r>
        <w:rPr>
          <w:color w:val="231F20"/>
        </w:rPr>
        <w:t>Representatives</w:t>
      </w:r>
      <w:r>
        <w:rPr>
          <w:color w:val="231F20"/>
          <w:spacing w:val="-9"/>
        </w:rPr>
        <w:t> </w:t>
      </w:r>
      <w:r>
        <w:rPr>
          <w:color w:val="231F20"/>
        </w:rPr>
        <w:t>Foreign Affairs Committee, Gregory W. Meeks (D- NY) jointly with the Chair of the House </w:t>
      </w:r>
      <w:r>
        <w:rPr>
          <w:color w:val="231F20"/>
          <w:spacing w:val="-4"/>
        </w:rPr>
        <w:t>Appropriations</w:t>
      </w:r>
      <w:r>
        <w:rPr>
          <w:color w:val="231F20"/>
          <w:spacing w:val="-16"/>
        </w:rPr>
        <w:t> </w:t>
      </w:r>
      <w:r>
        <w:rPr>
          <w:color w:val="231F20"/>
          <w:spacing w:val="-4"/>
        </w:rPr>
        <w:t>Subcommittee</w:t>
      </w:r>
      <w:r>
        <w:rPr>
          <w:color w:val="231F20"/>
          <w:spacing w:val="-16"/>
        </w:rPr>
        <w:t> </w:t>
      </w:r>
      <w:r>
        <w:rPr>
          <w:color w:val="231F20"/>
          <w:spacing w:val="-4"/>
        </w:rPr>
        <w:t>on</w:t>
      </w:r>
      <w:r>
        <w:rPr>
          <w:color w:val="231F20"/>
          <w:spacing w:val="-16"/>
        </w:rPr>
        <w:t> </w:t>
      </w:r>
      <w:r>
        <w:rPr>
          <w:color w:val="231F20"/>
          <w:spacing w:val="-4"/>
        </w:rPr>
        <w:t>State</w:t>
      </w:r>
      <w:r>
        <w:rPr>
          <w:color w:val="231F20"/>
          <w:spacing w:val="-15"/>
        </w:rPr>
        <w:t> </w:t>
      </w:r>
      <w:r>
        <w:rPr>
          <w:color w:val="231F20"/>
          <w:spacing w:val="-5"/>
        </w:rPr>
        <w:t>and</w:t>
      </w:r>
    </w:p>
    <w:p>
      <w:pPr>
        <w:spacing w:after="0"/>
        <w:sectPr>
          <w:pgSz w:w="11910" w:h="16840"/>
          <w:pgMar w:header="0" w:footer="695" w:top="1260" w:bottom="880" w:left="0" w:right="0"/>
          <w:cols w:num="2" w:equalWidth="0">
            <w:col w:w="5897" w:space="40"/>
            <w:col w:w="5973"/>
          </w:cols>
        </w:sectPr>
      </w:pPr>
    </w:p>
    <w:p>
      <w:pPr>
        <w:pStyle w:val="BodyText"/>
        <w:spacing w:before="77"/>
        <w:ind w:left="1133"/>
      </w:pPr>
      <w:r>
        <w:rPr>
          <w:color w:val="231F20"/>
        </w:rPr>
        <w:t>Foreign</w:t>
      </w:r>
      <w:r>
        <w:rPr>
          <w:color w:val="231F20"/>
          <w:spacing w:val="-17"/>
        </w:rPr>
        <w:t> </w:t>
      </w:r>
      <w:r>
        <w:rPr>
          <w:color w:val="231F20"/>
        </w:rPr>
        <w:t>Affairs</w:t>
      </w:r>
      <w:r>
        <w:rPr>
          <w:color w:val="231F20"/>
          <w:spacing w:val="-16"/>
        </w:rPr>
        <w:t> </w:t>
      </w:r>
      <w:r>
        <w:rPr>
          <w:color w:val="231F20"/>
        </w:rPr>
        <w:t>Barbara</w:t>
      </w:r>
      <w:r>
        <w:rPr>
          <w:color w:val="231F20"/>
          <w:spacing w:val="-17"/>
        </w:rPr>
        <w:t> </w:t>
      </w:r>
      <w:r>
        <w:rPr>
          <w:color w:val="231F20"/>
        </w:rPr>
        <w:t>Lee</w:t>
      </w:r>
      <w:r>
        <w:rPr>
          <w:color w:val="231F20"/>
          <w:spacing w:val="-16"/>
        </w:rPr>
        <w:t> </w:t>
      </w:r>
      <w:r>
        <w:rPr>
          <w:color w:val="231F20"/>
        </w:rPr>
        <w:t>(D-CA)</w:t>
      </w:r>
      <w:r>
        <w:rPr>
          <w:color w:val="231F20"/>
          <w:spacing w:val="-17"/>
        </w:rPr>
        <w:t> </w:t>
      </w:r>
      <w:r>
        <w:rPr>
          <w:color w:val="231F20"/>
        </w:rPr>
        <w:t>and</w:t>
      </w:r>
      <w:r>
        <w:rPr>
          <w:color w:val="231F20"/>
          <w:spacing w:val="-16"/>
        </w:rPr>
        <w:t> </w:t>
      </w:r>
      <w:r>
        <w:rPr>
          <w:color w:val="231F20"/>
        </w:rPr>
        <w:t>the </w:t>
      </w:r>
      <w:r>
        <w:rPr>
          <w:color w:val="231F20"/>
          <w:spacing w:val="-4"/>
        </w:rPr>
        <w:t>chairman</w:t>
      </w:r>
      <w:r>
        <w:rPr>
          <w:color w:val="231F20"/>
          <w:spacing w:val="-17"/>
        </w:rPr>
        <w:t> </w:t>
      </w:r>
      <w:r>
        <w:rPr>
          <w:color w:val="231F20"/>
          <w:spacing w:val="-4"/>
        </w:rPr>
        <w:t>of</w:t>
      </w:r>
      <w:r>
        <w:rPr>
          <w:color w:val="231F20"/>
          <w:spacing w:val="-17"/>
        </w:rPr>
        <w:t> </w:t>
      </w:r>
      <w:r>
        <w:rPr>
          <w:color w:val="231F20"/>
          <w:spacing w:val="-4"/>
        </w:rPr>
        <w:t>the</w:t>
      </w:r>
      <w:r>
        <w:rPr>
          <w:color w:val="231F20"/>
          <w:spacing w:val="-17"/>
        </w:rPr>
        <w:t> </w:t>
      </w:r>
      <w:r>
        <w:rPr>
          <w:color w:val="231F20"/>
          <w:spacing w:val="-4"/>
        </w:rPr>
        <w:t>Committee</w:t>
      </w:r>
      <w:r>
        <w:rPr>
          <w:color w:val="231F20"/>
          <w:spacing w:val="-17"/>
        </w:rPr>
        <w:t> </w:t>
      </w:r>
      <w:r>
        <w:rPr>
          <w:color w:val="231F20"/>
          <w:spacing w:val="-4"/>
        </w:rPr>
        <w:t>on</w:t>
      </w:r>
      <w:r>
        <w:rPr>
          <w:color w:val="231F20"/>
          <w:spacing w:val="-17"/>
        </w:rPr>
        <w:t> </w:t>
      </w:r>
      <w:r>
        <w:rPr>
          <w:color w:val="231F20"/>
          <w:spacing w:val="-4"/>
        </w:rPr>
        <w:t>Rules,</w:t>
      </w:r>
      <w:r>
        <w:rPr>
          <w:color w:val="231F20"/>
          <w:spacing w:val="-17"/>
        </w:rPr>
        <w:t> </w:t>
      </w:r>
      <w:r>
        <w:rPr>
          <w:color w:val="231F20"/>
          <w:spacing w:val="-4"/>
        </w:rPr>
        <w:t>James</w:t>
      </w:r>
    </w:p>
    <w:p>
      <w:pPr>
        <w:pStyle w:val="BodyText"/>
        <w:spacing w:before="1"/>
        <w:ind w:left="1133"/>
      </w:pPr>
      <w:r>
        <w:rPr>
          <w:color w:val="231F20"/>
          <w:spacing w:val="-4"/>
        </w:rPr>
        <w:t>P.</w:t>
      </w:r>
      <w:r>
        <w:rPr>
          <w:color w:val="231F20"/>
          <w:spacing w:val="-12"/>
        </w:rPr>
        <w:t> </w:t>
      </w:r>
      <w:r>
        <w:rPr>
          <w:color w:val="231F20"/>
          <w:spacing w:val="-4"/>
        </w:rPr>
        <w:t>McGovern</w:t>
      </w:r>
      <w:r>
        <w:rPr>
          <w:color w:val="231F20"/>
          <w:spacing w:val="-12"/>
        </w:rPr>
        <w:t> </w:t>
      </w:r>
      <w:r>
        <w:rPr>
          <w:color w:val="231F20"/>
          <w:spacing w:val="-4"/>
        </w:rPr>
        <w:t>(D-MA)</w:t>
      </w:r>
      <w:r>
        <w:rPr>
          <w:color w:val="231F20"/>
          <w:spacing w:val="-12"/>
        </w:rPr>
        <w:t> </w:t>
      </w:r>
      <w:r>
        <w:rPr>
          <w:color w:val="231F20"/>
          <w:spacing w:val="-4"/>
        </w:rPr>
        <w:t>issued</w:t>
      </w:r>
      <w:r>
        <w:rPr>
          <w:color w:val="231F20"/>
          <w:spacing w:val="-12"/>
        </w:rPr>
        <w:t> </w:t>
      </w:r>
      <w:r>
        <w:rPr>
          <w:color w:val="231F20"/>
          <w:spacing w:val="-4"/>
        </w:rPr>
        <w:t>a</w:t>
      </w:r>
      <w:r>
        <w:rPr>
          <w:color w:val="231F20"/>
          <w:spacing w:val="-12"/>
        </w:rPr>
        <w:t> </w:t>
      </w:r>
      <w:r>
        <w:rPr>
          <w:color w:val="231F20"/>
          <w:spacing w:val="-4"/>
        </w:rPr>
        <w:t>communiqué </w:t>
      </w:r>
      <w:r>
        <w:rPr>
          <w:color w:val="231F20"/>
        </w:rPr>
        <w:t>requesting the Biden administration to send aid to Cuba following the accident at the Matanzas supertanker base. The </w:t>
      </w:r>
      <w:r>
        <w:rPr>
          <w:color w:val="231F20"/>
          <w:spacing w:val="-4"/>
        </w:rPr>
        <w:t>lawmakers</w:t>
      </w:r>
      <w:r>
        <w:rPr>
          <w:color w:val="231F20"/>
          <w:spacing w:val="-10"/>
        </w:rPr>
        <w:t> </w:t>
      </w:r>
      <w:r>
        <w:rPr>
          <w:color w:val="231F20"/>
          <w:spacing w:val="-4"/>
        </w:rPr>
        <w:t>called</w:t>
      </w:r>
      <w:r>
        <w:rPr>
          <w:color w:val="231F20"/>
          <w:spacing w:val="-10"/>
        </w:rPr>
        <w:t> </w:t>
      </w:r>
      <w:r>
        <w:rPr>
          <w:color w:val="231F20"/>
          <w:spacing w:val="-4"/>
        </w:rPr>
        <w:t>for</w:t>
      </w:r>
      <w:r>
        <w:rPr>
          <w:color w:val="231F20"/>
          <w:spacing w:val="-10"/>
        </w:rPr>
        <w:t> </w:t>
      </w:r>
      <w:r>
        <w:rPr>
          <w:color w:val="231F20"/>
          <w:spacing w:val="-4"/>
        </w:rPr>
        <w:t>temporary</w:t>
      </w:r>
      <w:r>
        <w:rPr>
          <w:color w:val="231F20"/>
          <w:spacing w:val="-10"/>
        </w:rPr>
        <w:t> </w:t>
      </w:r>
      <w:r>
        <w:rPr>
          <w:color w:val="231F20"/>
          <w:spacing w:val="-4"/>
        </w:rPr>
        <w:t>suspension </w:t>
      </w:r>
      <w:r>
        <w:rPr>
          <w:color w:val="231F20"/>
        </w:rPr>
        <w:t>of the coercive measures against Cuba.</w:t>
      </w:r>
    </w:p>
    <w:p>
      <w:pPr>
        <w:pStyle w:val="BodyText"/>
        <w:spacing w:before="165"/>
        <w:ind w:left="1133"/>
      </w:pPr>
      <w:r>
        <w:rPr>
          <w:b/>
          <w:color w:val="B52628"/>
        </w:rPr>
        <w:t>On August 11, 2022, </w:t>
      </w:r>
      <w:r>
        <w:rPr>
          <w:color w:val="231F20"/>
        </w:rPr>
        <w:t>a resolution calling for an end to the blockade on Cuba was submitted to New York City Council. The text was placed on the agenda by District 42 councilor Charles Barron.</w:t>
      </w:r>
    </w:p>
    <w:p>
      <w:pPr>
        <w:pStyle w:val="BodyText"/>
        <w:spacing w:before="164"/>
        <w:ind w:left="1133"/>
      </w:pPr>
      <w:r>
        <w:rPr>
          <w:b/>
          <w:color w:val="B52628"/>
        </w:rPr>
        <w:t>On August 27, 2022, </w:t>
      </w:r>
      <w:r>
        <w:rPr>
          <w:color w:val="231F20"/>
        </w:rPr>
        <w:t>friends of Cuba gathered at the church of Rev. Dorlimar </w:t>
      </w:r>
      <w:r>
        <w:rPr>
          <w:color w:val="231F20"/>
          <w:spacing w:val="-6"/>
        </w:rPr>
        <w:t>Lebron</w:t>
      </w:r>
      <w:r>
        <w:rPr>
          <w:color w:val="231F20"/>
          <w:spacing w:val="-11"/>
        </w:rPr>
        <w:t> </w:t>
      </w:r>
      <w:r>
        <w:rPr>
          <w:color w:val="231F20"/>
          <w:spacing w:val="-6"/>
        </w:rPr>
        <w:t>in</w:t>
      </w:r>
      <w:r>
        <w:rPr>
          <w:color w:val="231F20"/>
          <w:spacing w:val="-10"/>
        </w:rPr>
        <w:t> </w:t>
      </w:r>
      <w:r>
        <w:rPr>
          <w:color w:val="231F20"/>
          <w:spacing w:val="-6"/>
        </w:rPr>
        <w:t>New</w:t>
      </w:r>
      <w:r>
        <w:rPr>
          <w:color w:val="231F20"/>
          <w:spacing w:val="-11"/>
        </w:rPr>
        <w:t> </w:t>
      </w:r>
      <w:r>
        <w:rPr>
          <w:color w:val="231F20"/>
          <w:spacing w:val="-6"/>
        </w:rPr>
        <w:t>York,</w:t>
      </w:r>
      <w:r>
        <w:rPr>
          <w:color w:val="231F20"/>
          <w:spacing w:val="-10"/>
        </w:rPr>
        <w:t> </w:t>
      </w:r>
      <w:r>
        <w:rPr>
          <w:color w:val="231F20"/>
          <w:spacing w:val="-6"/>
        </w:rPr>
        <w:t>in</w:t>
      </w:r>
      <w:r>
        <w:rPr>
          <w:color w:val="231F20"/>
          <w:spacing w:val="-11"/>
        </w:rPr>
        <w:t> </w:t>
      </w:r>
      <w:r>
        <w:rPr>
          <w:color w:val="231F20"/>
          <w:spacing w:val="-6"/>
        </w:rPr>
        <w:t>solidarity</w:t>
      </w:r>
      <w:r>
        <w:rPr>
          <w:color w:val="231F20"/>
          <w:spacing w:val="-10"/>
        </w:rPr>
        <w:t> </w:t>
      </w:r>
      <w:r>
        <w:rPr>
          <w:color w:val="231F20"/>
          <w:spacing w:val="-6"/>
        </w:rPr>
        <w:t>with</w:t>
      </w:r>
      <w:r>
        <w:rPr>
          <w:color w:val="231F20"/>
          <w:spacing w:val="-11"/>
        </w:rPr>
        <w:t> </w:t>
      </w:r>
      <w:r>
        <w:rPr>
          <w:color w:val="231F20"/>
          <w:spacing w:val="-6"/>
        </w:rPr>
        <w:t>Cuban </w:t>
      </w:r>
      <w:r>
        <w:rPr>
          <w:color w:val="231F20"/>
        </w:rPr>
        <w:t>families</w:t>
      </w:r>
      <w:r>
        <w:rPr>
          <w:color w:val="231F20"/>
          <w:spacing w:val="-16"/>
        </w:rPr>
        <w:t> </w:t>
      </w:r>
      <w:r>
        <w:rPr>
          <w:color w:val="231F20"/>
        </w:rPr>
        <w:t>the</w:t>
      </w:r>
      <w:r>
        <w:rPr>
          <w:color w:val="231F20"/>
          <w:spacing w:val="-16"/>
        </w:rPr>
        <w:t> </w:t>
      </w:r>
      <w:r>
        <w:rPr>
          <w:color w:val="231F20"/>
        </w:rPr>
        <w:t>world</w:t>
      </w:r>
      <w:r>
        <w:rPr>
          <w:color w:val="231F20"/>
          <w:spacing w:val="-16"/>
        </w:rPr>
        <w:t> </w:t>
      </w:r>
      <w:r>
        <w:rPr>
          <w:color w:val="231F20"/>
        </w:rPr>
        <w:t>over</w:t>
      </w:r>
      <w:r>
        <w:rPr>
          <w:color w:val="231F20"/>
          <w:spacing w:val="-16"/>
        </w:rPr>
        <w:t> </w:t>
      </w:r>
      <w:r>
        <w:rPr>
          <w:color w:val="231F20"/>
        </w:rPr>
        <w:t>that</w:t>
      </w:r>
      <w:r>
        <w:rPr>
          <w:color w:val="231F20"/>
          <w:spacing w:val="-16"/>
        </w:rPr>
        <w:t> </w:t>
      </w:r>
      <w:r>
        <w:rPr>
          <w:color w:val="231F20"/>
        </w:rPr>
        <w:t>are</w:t>
      </w:r>
      <w:r>
        <w:rPr>
          <w:color w:val="231F20"/>
          <w:spacing w:val="-16"/>
        </w:rPr>
        <w:t> </w:t>
      </w:r>
      <w:r>
        <w:rPr>
          <w:color w:val="231F20"/>
        </w:rPr>
        <w:t>seeking</w:t>
      </w:r>
      <w:r>
        <w:rPr>
          <w:color w:val="231F20"/>
          <w:spacing w:val="-16"/>
        </w:rPr>
        <w:t> </w:t>
      </w:r>
      <w:r>
        <w:rPr>
          <w:color w:val="231F20"/>
        </w:rPr>
        <w:t>an end to the blockade.</w:t>
      </w:r>
    </w:p>
    <w:p>
      <w:pPr>
        <w:pStyle w:val="BodyText"/>
        <w:spacing w:before="164"/>
        <w:ind w:left="1133"/>
      </w:pPr>
      <w:r>
        <w:rPr>
          <w:b/>
          <w:color w:val="B52628"/>
        </w:rPr>
        <w:t>On</w:t>
      </w:r>
      <w:r>
        <w:rPr>
          <w:b/>
          <w:color w:val="B52628"/>
          <w:spacing w:val="80"/>
        </w:rPr>
        <w:t> </w:t>
      </w:r>
      <w:r>
        <w:rPr>
          <w:b/>
          <w:color w:val="B52628"/>
        </w:rPr>
        <w:t>September</w:t>
      </w:r>
      <w:r>
        <w:rPr>
          <w:b/>
          <w:color w:val="B52628"/>
          <w:spacing w:val="80"/>
        </w:rPr>
        <w:t> </w:t>
      </w:r>
      <w:r>
        <w:rPr>
          <w:b/>
          <w:color w:val="B52628"/>
        </w:rPr>
        <w:t>2,</w:t>
      </w:r>
      <w:r>
        <w:rPr>
          <w:b/>
          <w:color w:val="B52628"/>
          <w:spacing w:val="80"/>
        </w:rPr>
        <w:t> </w:t>
      </w:r>
      <w:r>
        <w:rPr>
          <w:b/>
          <w:color w:val="B52628"/>
        </w:rPr>
        <w:t>2022,</w:t>
      </w:r>
      <w:r>
        <w:rPr>
          <w:b/>
          <w:color w:val="B52628"/>
          <w:spacing w:val="80"/>
        </w:rPr>
        <w:t> </w:t>
      </w:r>
      <w:r>
        <w:rPr>
          <w:color w:val="231F20"/>
        </w:rPr>
        <w:t>the</w:t>
      </w:r>
      <w:r>
        <w:rPr>
          <w:color w:val="231F20"/>
          <w:spacing w:val="80"/>
        </w:rPr>
        <w:t> </w:t>
      </w:r>
      <w:r>
        <w:rPr>
          <w:color w:val="231F20"/>
        </w:rPr>
        <w:t>Center for Democracy in the Americas (CDA) published</w:t>
      </w:r>
      <w:r>
        <w:rPr>
          <w:color w:val="231F20"/>
          <w:spacing w:val="-17"/>
        </w:rPr>
        <w:t> </w:t>
      </w:r>
      <w:r>
        <w:rPr>
          <w:color w:val="231F20"/>
        </w:rPr>
        <w:t>a</w:t>
      </w:r>
      <w:r>
        <w:rPr>
          <w:color w:val="231F20"/>
          <w:spacing w:val="-16"/>
        </w:rPr>
        <w:t> </w:t>
      </w:r>
      <w:r>
        <w:rPr>
          <w:color w:val="231F20"/>
        </w:rPr>
        <w:t>thread</w:t>
      </w:r>
      <w:r>
        <w:rPr>
          <w:color w:val="231F20"/>
          <w:spacing w:val="-17"/>
        </w:rPr>
        <w:t> </w:t>
      </w:r>
      <w:r>
        <w:rPr>
          <w:color w:val="231F20"/>
        </w:rPr>
        <w:t>of</w:t>
      </w:r>
      <w:r>
        <w:rPr>
          <w:color w:val="231F20"/>
          <w:spacing w:val="-16"/>
        </w:rPr>
        <w:t> </w:t>
      </w:r>
      <w:r>
        <w:rPr>
          <w:color w:val="231F20"/>
        </w:rPr>
        <w:t>messages</w:t>
      </w:r>
      <w:r>
        <w:rPr>
          <w:color w:val="231F20"/>
          <w:spacing w:val="-17"/>
        </w:rPr>
        <w:t> </w:t>
      </w:r>
      <w:r>
        <w:rPr>
          <w:color w:val="231F20"/>
        </w:rPr>
        <w:t>on</w:t>
      </w:r>
      <w:r>
        <w:rPr>
          <w:color w:val="231F20"/>
          <w:spacing w:val="-16"/>
        </w:rPr>
        <w:t> </w:t>
      </w:r>
      <w:r>
        <w:rPr>
          <w:color w:val="231F20"/>
        </w:rPr>
        <w:t>Twitter </w:t>
      </w:r>
      <w:r>
        <w:rPr>
          <w:color w:val="231F20"/>
          <w:spacing w:val="-4"/>
        </w:rPr>
        <w:t>including</w:t>
      </w:r>
      <w:r>
        <w:rPr>
          <w:color w:val="231F20"/>
          <w:spacing w:val="-13"/>
        </w:rPr>
        <w:t> </w:t>
      </w:r>
      <w:r>
        <w:rPr>
          <w:color w:val="231F20"/>
          <w:spacing w:val="-4"/>
        </w:rPr>
        <w:t>one</w:t>
      </w:r>
      <w:r>
        <w:rPr>
          <w:color w:val="231F20"/>
          <w:spacing w:val="-12"/>
        </w:rPr>
        <w:t> </w:t>
      </w:r>
      <w:r>
        <w:rPr>
          <w:color w:val="231F20"/>
          <w:spacing w:val="-4"/>
        </w:rPr>
        <w:t>that</w:t>
      </w:r>
      <w:r>
        <w:rPr>
          <w:color w:val="231F20"/>
          <w:spacing w:val="-13"/>
        </w:rPr>
        <w:t> </w:t>
      </w:r>
      <w:r>
        <w:rPr>
          <w:color w:val="231F20"/>
          <w:spacing w:val="-4"/>
        </w:rPr>
        <w:t>stressed</w:t>
      </w:r>
      <w:r>
        <w:rPr>
          <w:color w:val="231F20"/>
          <w:spacing w:val="-12"/>
        </w:rPr>
        <w:t> </w:t>
      </w:r>
      <w:r>
        <w:rPr>
          <w:color w:val="231F20"/>
          <w:spacing w:val="-4"/>
        </w:rPr>
        <w:t>the</w:t>
      </w:r>
      <w:r>
        <w:rPr>
          <w:color w:val="231F20"/>
          <w:spacing w:val="-13"/>
        </w:rPr>
        <w:t> </w:t>
      </w:r>
      <w:r>
        <w:rPr>
          <w:color w:val="231F20"/>
          <w:spacing w:val="-4"/>
        </w:rPr>
        <w:t>need</w:t>
      </w:r>
      <w:r>
        <w:rPr>
          <w:color w:val="231F20"/>
          <w:spacing w:val="-12"/>
        </w:rPr>
        <w:t> </w:t>
      </w:r>
      <w:r>
        <w:rPr>
          <w:color w:val="231F20"/>
          <w:spacing w:val="-4"/>
        </w:rPr>
        <w:t>for</w:t>
      </w:r>
      <w:r>
        <w:rPr>
          <w:color w:val="231F20"/>
          <w:spacing w:val="-13"/>
        </w:rPr>
        <w:t> </w:t>
      </w:r>
      <w:r>
        <w:rPr>
          <w:color w:val="231F20"/>
          <w:spacing w:val="-4"/>
        </w:rPr>
        <w:t>the Biden</w:t>
      </w:r>
      <w:r>
        <w:rPr>
          <w:color w:val="231F20"/>
          <w:spacing w:val="-7"/>
        </w:rPr>
        <w:t> </w:t>
      </w:r>
      <w:r>
        <w:rPr>
          <w:color w:val="231F20"/>
          <w:spacing w:val="-4"/>
        </w:rPr>
        <w:t>administration</w:t>
      </w:r>
      <w:r>
        <w:rPr>
          <w:color w:val="231F20"/>
          <w:spacing w:val="-7"/>
        </w:rPr>
        <w:t> </w:t>
      </w:r>
      <w:r>
        <w:rPr>
          <w:color w:val="231F20"/>
          <w:spacing w:val="-4"/>
        </w:rPr>
        <w:t>to</w:t>
      </w:r>
      <w:r>
        <w:rPr>
          <w:color w:val="231F20"/>
          <w:spacing w:val="-7"/>
        </w:rPr>
        <w:t> </w:t>
      </w:r>
      <w:r>
        <w:rPr>
          <w:color w:val="231F20"/>
          <w:spacing w:val="-4"/>
        </w:rPr>
        <w:t>lift</w:t>
      </w:r>
      <w:r>
        <w:rPr>
          <w:color w:val="231F20"/>
          <w:spacing w:val="-7"/>
        </w:rPr>
        <w:t> </w:t>
      </w:r>
      <w:r>
        <w:rPr>
          <w:color w:val="231F20"/>
          <w:spacing w:val="-4"/>
        </w:rPr>
        <w:t>all</w:t>
      </w:r>
      <w:r>
        <w:rPr>
          <w:color w:val="231F20"/>
          <w:spacing w:val="-7"/>
        </w:rPr>
        <w:t> </w:t>
      </w:r>
      <w:r>
        <w:rPr>
          <w:color w:val="231F20"/>
          <w:spacing w:val="-4"/>
        </w:rPr>
        <w:t>the</w:t>
      </w:r>
      <w:r>
        <w:rPr>
          <w:color w:val="231F20"/>
          <w:spacing w:val="-7"/>
        </w:rPr>
        <w:t> </w:t>
      </w:r>
      <w:r>
        <w:rPr>
          <w:color w:val="231F20"/>
          <w:spacing w:val="-4"/>
        </w:rPr>
        <w:t>sanctions </w:t>
      </w:r>
      <w:r>
        <w:rPr>
          <w:color w:val="231F20"/>
        </w:rPr>
        <w:t>affecting the Cubans and implement benefit measures.</w:t>
      </w:r>
    </w:p>
    <w:p>
      <w:pPr>
        <w:pStyle w:val="BodyText"/>
        <w:spacing w:before="165"/>
        <w:ind w:left="1133"/>
      </w:pPr>
      <w:r>
        <w:rPr>
          <w:b/>
          <w:color w:val="B52628"/>
          <w:spacing w:val="-2"/>
        </w:rPr>
        <w:t>On</w:t>
      </w:r>
      <w:r>
        <w:rPr>
          <w:b/>
          <w:color w:val="B52628"/>
          <w:spacing w:val="-15"/>
        </w:rPr>
        <w:t> </w:t>
      </w:r>
      <w:r>
        <w:rPr>
          <w:b/>
          <w:color w:val="B52628"/>
          <w:spacing w:val="-2"/>
        </w:rPr>
        <w:t>September</w:t>
      </w:r>
      <w:r>
        <w:rPr>
          <w:b/>
          <w:color w:val="B52628"/>
          <w:spacing w:val="-15"/>
        </w:rPr>
        <w:t> </w:t>
      </w:r>
      <w:r>
        <w:rPr>
          <w:b/>
          <w:color w:val="B52628"/>
          <w:spacing w:val="-2"/>
        </w:rPr>
        <w:t>20,</w:t>
      </w:r>
      <w:r>
        <w:rPr>
          <w:b/>
          <w:color w:val="B52628"/>
          <w:spacing w:val="-14"/>
        </w:rPr>
        <w:t> </w:t>
      </w:r>
      <w:r>
        <w:rPr>
          <w:b/>
          <w:color w:val="B52628"/>
          <w:spacing w:val="-2"/>
        </w:rPr>
        <w:t>2022,</w:t>
      </w:r>
      <w:r>
        <w:rPr>
          <w:b/>
          <w:color w:val="B52628"/>
          <w:spacing w:val="-15"/>
        </w:rPr>
        <w:t> </w:t>
      </w:r>
      <w:r>
        <w:rPr>
          <w:color w:val="231F20"/>
          <w:spacing w:val="-2"/>
        </w:rPr>
        <w:t>the</w:t>
      </w:r>
      <w:r>
        <w:rPr>
          <w:color w:val="231F20"/>
          <w:spacing w:val="-14"/>
        </w:rPr>
        <w:t> </w:t>
      </w:r>
      <w:r>
        <w:rPr>
          <w:color w:val="231F20"/>
          <w:spacing w:val="-2"/>
        </w:rPr>
        <w:t>town</w:t>
      </w:r>
      <w:r>
        <w:rPr>
          <w:color w:val="231F20"/>
          <w:spacing w:val="-15"/>
        </w:rPr>
        <w:t> </w:t>
      </w:r>
      <w:r>
        <w:rPr>
          <w:color w:val="231F20"/>
          <w:spacing w:val="-2"/>
        </w:rPr>
        <w:t>council </w:t>
      </w:r>
      <w:r>
        <w:rPr>
          <w:color w:val="231F20"/>
          <w:spacing w:val="-4"/>
        </w:rPr>
        <w:t>of</w:t>
      </w:r>
      <w:r>
        <w:rPr>
          <w:color w:val="231F20"/>
          <w:spacing w:val="-13"/>
        </w:rPr>
        <w:t> </w:t>
      </w:r>
      <w:r>
        <w:rPr>
          <w:color w:val="231F20"/>
          <w:spacing w:val="-4"/>
        </w:rPr>
        <w:t>Willimantic/Windham,</w:t>
      </w:r>
      <w:r>
        <w:rPr>
          <w:color w:val="231F20"/>
          <w:spacing w:val="-12"/>
        </w:rPr>
        <w:t> </w:t>
      </w:r>
      <w:r>
        <w:rPr>
          <w:color w:val="231F20"/>
          <w:spacing w:val="-4"/>
        </w:rPr>
        <w:t>Windham</w:t>
      </w:r>
      <w:r>
        <w:rPr>
          <w:color w:val="231F20"/>
          <w:spacing w:val="-13"/>
        </w:rPr>
        <w:t> </w:t>
      </w:r>
      <w:r>
        <w:rPr>
          <w:color w:val="231F20"/>
          <w:spacing w:val="-4"/>
        </w:rPr>
        <w:t>County, </w:t>
      </w:r>
      <w:r>
        <w:rPr>
          <w:color w:val="231F20"/>
          <w:spacing w:val="-2"/>
        </w:rPr>
        <w:t>Connecticut,</w:t>
      </w:r>
      <w:r>
        <w:rPr>
          <w:color w:val="231F20"/>
          <w:spacing w:val="-15"/>
        </w:rPr>
        <w:t> </w:t>
      </w:r>
      <w:r>
        <w:rPr>
          <w:color w:val="231F20"/>
          <w:spacing w:val="-2"/>
        </w:rPr>
        <w:t>passed</w:t>
      </w:r>
      <w:r>
        <w:rPr>
          <w:color w:val="231F20"/>
          <w:spacing w:val="-14"/>
        </w:rPr>
        <w:t> </w:t>
      </w:r>
      <w:r>
        <w:rPr>
          <w:color w:val="231F20"/>
          <w:spacing w:val="-2"/>
        </w:rPr>
        <w:t>a</w:t>
      </w:r>
      <w:r>
        <w:rPr>
          <w:color w:val="231F20"/>
          <w:spacing w:val="-15"/>
        </w:rPr>
        <w:t> </w:t>
      </w:r>
      <w:r>
        <w:rPr>
          <w:color w:val="231F20"/>
          <w:spacing w:val="-2"/>
        </w:rPr>
        <w:t>resolution</w:t>
      </w:r>
      <w:r>
        <w:rPr>
          <w:color w:val="231F20"/>
          <w:spacing w:val="-14"/>
        </w:rPr>
        <w:t> </w:t>
      </w:r>
      <w:r>
        <w:rPr>
          <w:color w:val="231F20"/>
          <w:spacing w:val="-2"/>
        </w:rPr>
        <w:t>calling</w:t>
      </w:r>
      <w:r>
        <w:rPr>
          <w:color w:val="231F20"/>
          <w:spacing w:val="-15"/>
        </w:rPr>
        <w:t> </w:t>
      </w:r>
      <w:r>
        <w:rPr>
          <w:color w:val="231F20"/>
          <w:spacing w:val="-2"/>
        </w:rPr>
        <w:t>for </w:t>
      </w:r>
      <w:r>
        <w:rPr>
          <w:color w:val="231F20"/>
        </w:rPr>
        <w:t>elimination of the blockade on Cuba.</w:t>
      </w:r>
    </w:p>
    <w:p>
      <w:pPr>
        <w:pStyle w:val="BodyText"/>
        <w:spacing w:before="163"/>
        <w:ind w:left="1133"/>
      </w:pPr>
      <w:r>
        <w:rPr>
          <w:b/>
          <w:color w:val="B52628"/>
        </w:rPr>
        <w:t>On September 22, 2022, </w:t>
      </w:r>
      <w:r>
        <w:rPr>
          <w:color w:val="231F20"/>
        </w:rPr>
        <w:t>the Somerville, Massachusetts city council passed a resolution</w:t>
      </w:r>
      <w:r>
        <w:rPr>
          <w:color w:val="231F20"/>
          <w:spacing w:val="-3"/>
        </w:rPr>
        <w:t> </w:t>
      </w:r>
      <w:r>
        <w:rPr>
          <w:color w:val="231F20"/>
        </w:rPr>
        <w:t>to</w:t>
      </w:r>
      <w:r>
        <w:rPr>
          <w:color w:val="231F20"/>
          <w:spacing w:val="-3"/>
        </w:rPr>
        <w:t> </w:t>
      </w:r>
      <w:r>
        <w:rPr>
          <w:color w:val="231F20"/>
        </w:rPr>
        <w:t>urge</w:t>
      </w:r>
      <w:r>
        <w:rPr>
          <w:color w:val="231F20"/>
          <w:spacing w:val="-3"/>
        </w:rPr>
        <w:t> </w:t>
      </w:r>
      <w:r>
        <w:rPr>
          <w:color w:val="231F20"/>
        </w:rPr>
        <w:t>Washington</w:t>
      </w:r>
      <w:r>
        <w:rPr>
          <w:color w:val="231F20"/>
          <w:spacing w:val="-3"/>
        </w:rPr>
        <w:t> </w:t>
      </w:r>
      <w:r>
        <w:rPr>
          <w:color w:val="231F20"/>
        </w:rPr>
        <w:t>to</w:t>
      </w:r>
      <w:r>
        <w:rPr>
          <w:color w:val="231F20"/>
          <w:spacing w:val="-3"/>
        </w:rPr>
        <w:t> </w:t>
      </w:r>
      <w:r>
        <w:rPr>
          <w:color w:val="231F20"/>
        </w:rPr>
        <w:t>remove Cuba from the list of state sponsors of </w:t>
      </w:r>
      <w:r>
        <w:rPr>
          <w:color w:val="231F20"/>
          <w:spacing w:val="-6"/>
        </w:rPr>
        <w:t>terrorism and eliminate the current coercive </w:t>
      </w:r>
      <w:r>
        <w:rPr>
          <w:color w:val="231F20"/>
          <w:spacing w:val="-2"/>
        </w:rPr>
        <w:t>measures.</w:t>
      </w:r>
    </w:p>
    <w:p>
      <w:pPr>
        <w:pStyle w:val="BodyText"/>
        <w:spacing w:before="165"/>
        <w:ind w:left="1133"/>
      </w:pPr>
      <w:r>
        <w:rPr>
          <w:b/>
          <w:color w:val="B52628"/>
        </w:rPr>
        <w:t>On September 25, 2022, </w:t>
      </w:r>
      <w:r>
        <w:rPr>
          <w:color w:val="231F20"/>
        </w:rPr>
        <w:t>numbers of people protested the blockade in New York,</w:t>
      </w:r>
      <w:r>
        <w:rPr>
          <w:color w:val="231F20"/>
          <w:spacing w:val="-2"/>
        </w:rPr>
        <w:t> </w:t>
      </w:r>
      <w:r>
        <w:rPr>
          <w:color w:val="231F20"/>
        </w:rPr>
        <w:t>Chicago,</w:t>
      </w:r>
      <w:r>
        <w:rPr>
          <w:color w:val="231F20"/>
          <w:spacing w:val="-2"/>
        </w:rPr>
        <w:t> </w:t>
      </w:r>
      <w:r>
        <w:rPr>
          <w:color w:val="231F20"/>
        </w:rPr>
        <w:t>Seattle,</w:t>
      </w:r>
      <w:r>
        <w:rPr>
          <w:color w:val="231F20"/>
          <w:spacing w:val="-2"/>
        </w:rPr>
        <w:t> </w:t>
      </w:r>
      <w:r>
        <w:rPr>
          <w:color w:val="231F20"/>
        </w:rPr>
        <w:t>Boston,</w:t>
      </w:r>
      <w:r>
        <w:rPr>
          <w:color w:val="231F20"/>
          <w:spacing w:val="-2"/>
        </w:rPr>
        <w:t> </w:t>
      </w:r>
      <w:r>
        <w:rPr>
          <w:color w:val="231F20"/>
        </w:rPr>
        <w:t>Miami</w:t>
      </w:r>
      <w:r>
        <w:rPr>
          <w:color w:val="231F20"/>
          <w:spacing w:val="-2"/>
        </w:rPr>
        <w:t> </w:t>
      </w:r>
      <w:r>
        <w:rPr>
          <w:color w:val="231F20"/>
        </w:rPr>
        <w:t>and other U.S. cities.</w:t>
      </w:r>
    </w:p>
    <w:p>
      <w:pPr>
        <w:spacing w:before="163"/>
        <w:ind w:left="1133" w:right="0" w:firstLine="0"/>
        <w:jc w:val="both"/>
        <w:rPr>
          <w:sz w:val="24"/>
        </w:rPr>
      </w:pPr>
      <w:r>
        <w:rPr>
          <w:b/>
          <w:color w:val="B52628"/>
          <w:sz w:val="24"/>
        </w:rPr>
        <w:t>On</w:t>
      </w:r>
      <w:r>
        <w:rPr>
          <w:b/>
          <w:color w:val="B52628"/>
          <w:spacing w:val="66"/>
          <w:w w:val="150"/>
          <w:sz w:val="24"/>
        </w:rPr>
        <w:t> </w:t>
      </w:r>
      <w:r>
        <w:rPr>
          <w:b/>
          <w:color w:val="B52628"/>
          <w:sz w:val="24"/>
        </w:rPr>
        <w:t>October</w:t>
      </w:r>
      <w:r>
        <w:rPr>
          <w:b/>
          <w:color w:val="B52628"/>
          <w:spacing w:val="66"/>
          <w:w w:val="150"/>
          <w:sz w:val="24"/>
        </w:rPr>
        <w:t> </w:t>
      </w:r>
      <w:r>
        <w:rPr>
          <w:b/>
          <w:color w:val="B52628"/>
          <w:sz w:val="24"/>
        </w:rPr>
        <w:t>2,</w:t>
      </w:r>
      <w:r>
        <w:rPr>
          <w:b/>
          <w:color w:val="B52628"/>
          <w:spacing w:val="66"/>
          <w:w w:val="150"/>
          <w:sz w:val="24"/>
        </w:rPr>
        <w:t> </w:t>
      </w:r>
      <w:r>
        <w:rPr>
          <w:b/>
          <w:color w:val="B52628"/>
          <w:sz w:val="24"/>
        </w:rPr>
        <w:t>2022,</w:t>
      </w:r>
      <w:r>
        <w:rPr>
          <w:b/>
          <w:color w:val="B52628"/>
          <w:spacing w:val="63"/>
          <w:w w:val="150"/>
          <w:sz w:val="24"/>
        </w:rPr>
        <w:t> </w:t>
      </w:r>
      <w:r>
        <w:rPr>
          <w:color w:val="231F20"/>
          <w:sz w:val="24"/>
        </w:rPr>
        <w:t>the</w:t>
      </w:r>
      <w:r>
        <w:rPr>
          <w:color w:val="231F20"/>
          <w:spacing w:val="60"/>
          <w:w w:val="150"/>
          <w:sz w:val="24"/>
        </w:rPr>
        <w:t> </w:t>
      </w:r>
      <w:r>
        <w:rPr>
          <w:color w:val="231F20"/>
          <w:spacing w:val="-4"/>
          <w:sz w:val="24"/>
        </w:rPr>
        <w:t>progressive</w:t>
      </w:r>
    </w:p>
    <w:p>
      <w:pPr>
        <w:pStyle w:val="BodyText"/>
        <w:spacing w:before="77"/>
        <w:ind w:left="414"/>
      </w:pPr>
      <w:r>
        <w:rPr/>
        <w:br w:type="column"/>
      </w:r>
      <w:r>
        <w:rPr>
          <w:color w:val="231F20"/>
        </w:rPr>
        <w:t>People’s</w:t>
      </w:r>
      <w:r>
        <w:rPr>
          <w:color w:val="231F20"/>
          <w:spacing w:val="-13"/>
        </w:rPr>
        <w:t> </w:t>
      </w:r>
      <w:r>
        <w:rPr>
          <w:color w:val="231F20"/>
        </w:rPr>
        <w:t>Forum</w:t>
      </w:r>
      <w:r>
        <w:rPr>
          <w:color w:val="231F20"/>
          <w:spacing w:val="-10"/>
        </w:rPr>
        <w:t> </w:t>
      </w:r>
      <w:r>
        <w:rPr>
          <w:color w:val="231F20"/>
        </w:rPr>
        <w:t>organization</w:t>
      </w:r>
      <w:r>
        <w:rPr>
          <w:color w:val="231F20"/>
          <w:spacing w:val="-10"/>
        </w:rPr>
        <w:t> </w:t>
      </w:r>
      <w:r>
        <w:rPr>
          <w:color w:val="231F20"/>
        </w:rPr>
        <w:t>called</w:t>
      </w:r>
      <w:r>
        <w:rPr>
          <w:color w:val="231F20"/>
          <w:spacing w:val="-10"/>
        </w:rPr>
        <w:t> </w:t>
      </w:r>
      <w:r>
        <w:rPr>
          <w:color w:val="231F20"/>
        </w:rPr>
        <w:t>on</w:t>
      </w:r>
      <w:r>
        <w:rPr>
          <w:color w:val="231F20"/>
          <w:spacing w:val="-9"/>
        </w:rPr>
        <w:t> </w:t>
      </w:r>
      <w:r>
        <w:rPr>
          <w:color w:val="231F20"/>
          <w:spacing w:val="-5"/>
        </w:rPr>
        <w:t>the</w:t>
      </w:r>
    </w:p>
    <w:p>
      <w:pPr>
        <w:pStyle w:val="BodyText"/>
        <w:spacing w:before="1"/>
        <w:ind w:left="414" w:right="1473"/>
      </w:pPr>
      <w:r>
        <w:rPr>
          <w:color w:val="231F20"/>
        </w:rPr>
        <w:t>U.S. president to suspend temporarily the coercive</w:t>
      </w:r>
      <w:r>
        <w:rPr>
          <w:color w:val="231F20"/>
          <w:spacing w:val="-16"/>
        </w:rPr>
        <w:t> </w:t>
      </w:r>
      <w:r>
        <w:rPr>
          <w:color w:val="231F20"/>
        </w:rPr>
        <w:t>measures</w:t>
      </w:r>
      <w:r>
        <w:rPr>
          <w:color w:val="231F20"/>
          <w:spacing w:val="-16"/>
        </w:rPr>
        <w:t> </w:t>
      </w:r>
      <w:r>
        <w:rPr>
          <w:color w:val="231F20"/>
        </w:rPr>
        <w:t>against</w:t>
      </w:r>
      <w:r>
        <w:rPr>
          <w:color w:val="231F20"/>
          <w:spacing w:val="-16"/>
        </w:rPr>
        <w:t> </w:t>
      </w:r>
      <w:r>
        <w:rPr>
          <w:color w:val="231F20"/>
        </w:rPr>
        <w:t>Cuba</w:t>
      </w:r>
      <w:r>
        <w:rPr>
          <w:color w:val="231F20"/>
          <w:spacing w:val="-16"/>
        </w:rPr>
        <w:t> </w:t>
      </w:r>
      <w:r>
        <w:rPr>
          <w:color w:val="231F20"/>
        </w:rPr>
        <w:t>and</w:t>
      </w:r>
      <w:r>
        <w:rPr>
          <w:color w:val="231F20"/>
          <w:spacing w:val="-16"/>
        </w:rPr>
        <w:t> </w:t>
      </w:r>
      <w:r>
        <w:rPr>
          <w:color w:val="231F20"/>
        </w:rPr>
        <w:t>allow the purchase of the materials needed for reconstruction in the wake of Hurricane Ian.</w:t>
      </w:r>
      <w:r>
        <w:rPr>
          <w:color w:val="231F20"/>
          <w:spacing w:val="-16"/>
        </w:rPr>
        <w:t> </w:t>
      </w:r>
      <w:r>
        <w:rPr>
          <w:color w:val="231F20"/>
        </w:rPr>
        <w:t>The</w:t>
      </w:r>
      <w:r>
        <w:rPr>
          <w:color w:val="231F20"/>
          <w:spacing w:val="-16"/>
        </w:rPr>
        <w:t> </w:t>
      </w:r>
      <w:r>
        <w:rPr>
          <w:color w:val="231F20"/>
        </w:rPr>
        <w:t>request</w:t>
      </w:r>
      <w:r>
        <w:rPr>
          <w:color w:val="231F20"/>
          <w:spacing w:val="-16"/>
        </w:rPr>
        <w:t> </w:t>
      </w:r>
      <w:r>
        <w:rPr>
          <w:color w:val="231F20"/>
        </w:rPr>
        <w:t>was</w:t>
      </w:r>
      <w:r>
        <w:rPr>
          <w:color w:val="231F20"/>
          <w:spacing w:val="-16"/>
        </w:rPr>
        <w:t> </w:t>
      </w:r>
      <w:r>
        <w:rPr>
          <w:color w:val="231F20"/>
        </w:rPr>
        <w:t>quoted</w:t>
      </w:r>
      <w:r>
        <w:rPr>
          <w:color w:val="231F20"/>
          <w:spacing w:val="-16"/>
        </w:rPr>
        <w:t> </w:t>
      </w:r>
      <w:r>
        <w:rPr>
          <w:color w:val="231F20"/>
        </w:rPr>
        <w:t>in</w:t>
      </w:r>
      <w:r>
        <w:rPr>
          <w:color w:val="231F20"/>
          <w:spacing w:val="-16"/>
        </w:rPr>
        <w:t> </w:t>
      </w:r>
      <w:r>
        <w:rPr>
          <w:color w:val="231F20"/>
        </w:rPr>
        <w:t>the</w:t>
      </w:r>
      <w:r>
        <w:rPr>
          <w:color w:val="231F20"/>
          <w:spacing w:val="-16"/>
        </w:rPr>
        <w:t> </w:t>
      </w:r>
      <w:r>
        <w:rPr>
          <w:color w:val="231F20"/>
        </w:rPr>
        <w:t>Sunday edition of the New York Times.</w:t>
      </w:r>
    </w:p>
    <w:p>
      <w:pPr>
        <w:spacing w:before="164"/>
        <w:ind w:left="414" w:right="1474" w:firstLine="0"/>
        <w:jc w:val="both"/>
        <w:rPr>
          <w:sz w:val="24"/>
        </w:rPr>
      </w:pPr>
      <w:r>
        <w:rPr>
          <w:b/>
          <w:color w:val="B52628"/>
          <w:sz w:val="24"/>
        </w:rPr>
        <w:t>On October 3, 2022,</w:t>
      </w:r>
      <w:r>
        <w:rPr>
          <w:b/>
          <w:color w:val="B52628"/>
          <w:spacing w:val="-2"/>
          <w:sz w:val="24"/>
        </w:rPr>
        <w:t> </w:t>
      </w:r>
      <w:r>
        <w:rPr>
          <w:color w:val="231F20"/>
          <w:sz w:val="24"/>
        </w:rPr>
        <w:t>the</w:t>
      </w:r>
      <w:r>
        <w:rPr>
          <w:color w:val="231F20"/>
          <w:spacing w:val="-4"/>
          <w:sz w:val="24"/>
        </w:rPr>
        <w:t> </w:t>
      </w:r>
      <w:r>
        <w:rPr>
          <w:color w:val="231F20"/>
          <w:sz w:val="24"/>
        </w:rPr>
        <w:t>chairman</w:t>
      </w:r>
      <w:r>
        <w:rPr>
          <w:color w:val="231F20"/>
          <w:spacing w:val="-4"/>
          <w:sz w:val="24"/>
        </w:rPr>
        <w:t> </w:t>
      </w:r>
      <w:r>
        <w:rPr>
          <w:color w:val="231F20"/>
          <w:sz w:val="24"/>
        </w:rPr>
        <w:t>of</w:t>
      </w:r>
      <w:r>
        <w:rPr>
          <w:color w:val="231F20"/>
          <w:spacing w:val="-4"/>
          <w:sz w:val="24"/>
        </w:rPr>
        <w:t> </w:t>
      </w:r>
      <w:r>
        <w:rPr>
          <w:color w:val="231F20"/>
          <w:sz w:val="24"/>
        </w:rPr>
        <w:t>the </w:t>
      </w:r>
      <w:r>
        <w:rPr>
          <w:color w:val="231F20"/>
          <w:spacing w:val="-2"/>
          <w:sz w:val="24"/>
        </w:rPr>
        <w:t>House</w:t>
      </w:r>
      <w:r>
        <w:rPr>
          <w:color w:val="231F20"/>
          <w:spacing w:val="-5"/>
          <w:sz w:val="24"/>
        </w:rPr>
        <w:t> </w:t>
      </w:r>
      <w:r>
        <w:rPr>
          <w:color w:val="231F20"/>
          <w:spacing w:val="-2"/>
          <w:sz w:val="24"/>
        </w:rPr>
        <w:t>Foreign</w:t>
      </w:r>
      <w:r>
        <w:rPr>
          <w:color w:val="231F20"/>
          <w:spacing w:val="-4"/>
          <w:sz w:val="24"/>
        </w:rPr>
        <w:t> </w:t>
      </w:r>
      <w:r>
        <w:rPr>
          <w:color w:val="231F20"/>
          <w:spacing w:val="-2"/>
          <w:sz w:val="24"/>
        </w:rPr>
        <w:t>Affairs</w:t>
      </w:r>
      <w:r>
        <w:rPr>
          <w:color w:val="231F20"/>
          <w:spacing w:val="-4"/>
          <w:sz w:val="24"/>
        </w:rPr>
        <w:t> </w:t>
      </w:r>
      <w:r>
        <w:rPr>
          <w:color w:val="231F20"/>
          <w:spacing w:val="-2"/>
          <w:sz w:val="24"/>
        </w:rPr>
        <w:t>Committee,</w:t>
      </w:r>
      <w:r>
        <w:rPr>
          <w:color w:val="231F20"/>
          <w:spacing w:val="-4"/>
          <w:sz w:val="24"/>
        </w:rPr>
        <w:t> </w:t>
      </w:r>
      <w:r>
        <w:rPr>
          <w:color w:val="231F20"/>
          <w:spacing w:val="-2"/>
          <w:sz w:val="24"/>
        </w:rPr>
        <w:t>Gregory</w:t>
      </w:r>
    </w:p>
    <w:p>
      <w:pPr>
        <w:pStyle w:val="BodyText"/>
        <w:spacing w:before="2"/>
        <w:ind w:left="414" w:right="1473"/>
      </w:pPr>
      <w:r>
        <w:rPr>
          <w:color w:val="231F20"/>
        </w:rPr>
        <w:t>W. Meeks (D-NY) jointly with the Chair of the House Appropriations Subcommittee on State and Foreign Affairs Barbara Lee </w:t>
      </w:r>
      <w:r>
        <w:rPr>
          <w:color w:val="231F20"/>
          <w:spacing w:val="-2"/>
        </w:rPr>
        <w:t>(D-CA)</w:t>
      </w:r>
      <w:r>
        <w:rPr>
          <w:color w:val="231F20"/>
          <w:spacing w:val="-15"/>
        </w:rPr>
        <w:t> </w:t>
      </w:r>
      <w:r>
        <w:rPr>
          <w:color w:val="231F20"/>
          <w:spacing w:val="-2"/>
        </w:rPr>
        <w:t>and</w:t>
      </w:r>
      <w:r>
        <w:rPr>
          <w:color w:val="231F20"/>
          <w:spacing w:val="-14"/>
        </w:rPr>
        <w:t> </w:t>
      </w:r>
      <w:r>
        <w:rPr>
          <w:color w:val="231F20"/>
          <w:spacing w:val="-2"/>
        </w:rPr>
        <w:t>the</w:t>
      </w:r>
      <w:r>
        <w:rPr>
          <w:color w:val="231F20"/>
          <w:spacing w:val="-15"/>
        </w:rPr>
        <w:t> </w:t>
      </w:r>
      <w:r>
        <w:rPr>
          <w:color w:val="231F20"/>
          <w:spacing w:val="-2"/>
        </w:rPr>
        <w:t>chairman</w:t>
      </w:r>
      <w:r>
        <w:rPr>
          <w:color w:val="231F20"/>
          <w:spacing w:val="-14"/>
        </w:rPr>
        <w:t> </w:t>
      </w:r>
      <w:r>
        <w:rPr>
          <w:color w:val="231F20"/>
          <w:spacing w:val="-2"/>
        </w:rPr>
        <w:t>of</w:t>
      </w:r>
      <w:r>
        <w:rPr>
          <w:color w:val="231F20"/>
          <w:spacing w:val="-15"/>
        </w:rPr>
        <w:t> </w:t>
      </w:r>
      <w:r>
        <w:rPr>
          <w:color w:val="231F20"/>
          <w:spacing w:val="-2"/>
        </w:rPr>
        <w:t>the</w:t>
      </w:r>
      <w:r>
        <w:rPr>
          <w:color w:val="231F20"/>
          <w:spacing w:val="-14"/>
        </w:rPr>
        <w:t> </w:t>
      </w:r>
      <w:r>
        <w:rPr>
          <w:color w:val="231F20"/>
          <w:spacing w:val="-2"/>
        </w:rPr>
        <w:t>Committee </w:t>
      </w:r>
      <w:r>
        <w:rPr>
          <w:color w:val="231F20"/>
        </w:rPr>
        <w:t>on Rules, James P. McGovern (D-MA) issued a statement calling on the Biden administration to provide humanitarian aid</w:t>
      </w:r>
      <w:r>
        <w:rPr>
          <w:color w:val="231F20"/>
          <w:spacing w:val="40"/>
        </w:rPr>
        <w:t> </w:t>
      </w:r>
      <w:r>
        <w:rPr>
          <w:color w:val="231F20"/>
        </w:rPr>
        <w:t>to</w:t>
      </w:r>
      <w:r>
        <w:rPr>
          <w:color w:val="231F20"/>
          <w:spacing w:val="40"/>
        </w:rPr>
        <w:t> </w:t>
      </w:r>
      <w:r>
        <w:rPr>
          <w:color w:val="231F20"/>
        </w:rPr>
        <w:t>Cuba</w:t>
      </w:r>
      <w:r>
        <w:rPr>
          <w:color w:val="231F20"/>
          <w:spacing w:val="40"/>
        </w:rPr>
        <w:t> </w:t>
      </w:r>
      <w:r>
        <w:rPr>
          <w:color w:val="231F20"/>
        </w:rPr>
        <w:t>in</w:t>
      </w:r>
      <w:r>
        <w:rPr>
          <w:color w:val="231F20"/>
          <w:spacing w:val="40"/>
        </w:rPr>
        <w:t> </w:t>
      </w:r>
      <w:r>
        <w:rPr>
          <w:color w:val="231F20"/>
        </w:rPr>
        <w:t>the</w:t>
      </w:r>
      <w:r>
        <w:rPr>
          <w:color w:val="231F20"/>
          <w:spacing w:val="40"/>
        </w:rPr>
        <w:t> </w:t>
      </w:r>
      <w:r>
        <w:rPr>
          <w:color w:val="231F20"/>
        </w:rPr>
        <w:t>wake</w:t>
      </w:r>
      <w:r>
        <w:rPr>
          <w:color w:val="231F20"/>
          <w:spacing w:val="40"/>
        </w:rPr>
        <w:t> </w:t>
      </w:r>
      <w:r>
        <w:rPr>
          <w:color w:val="231F20"/>
        </w:rPr>
        <w:t>of</w:t>
      </w:r>
      <w:r>
        <w:rPr>
          <w:color w:val="231F20"/>
          <w:spacing w:val="40"/>
        </w:rPr>
        <w:t> </w:t>
      </w:r>
      <w:r>
        <w:rPr>
          <w:color w:val="231F20"/>
        </w:rPr>
        <w:t>Hurricane Ian. To speed the response, they sought suspension of all relevant sanctions and regulations and the export to Cuba of humanitarian or medical supplies.</w:t>
      </w:r>
    </w:p>
    <w:p>
      <w:pPr>
        <w:pStyle w:val="BodyText"/>
        <w:spacing w:before="169"/>
        <w:ind w:left="414" w:right="1473"/>
      </w:pPr>
      <w:r>
        <w:rPr>
          <w:b/>
          <w:color w:val="B52628"/>
        </w:rPr>
        <w:t>On October 29, 2022, </w:t>
      </w:r>
      <w:r>
        <w:rPr>
          <w:color w:val="231F20"/>
        </w:rPr>
        <w:t>over a hundred </w:t>
      </w:r>
      <w:r>
        <w:rPr>
          <w:color w:val="231F20"/>
          <w:spacing w:val="-6"/>
        </w:rPr>
        <w:t>organizations of solidarity with Cuba staged </w:t>
      </w:r>
      <w:r>
        <w:rPr>
          <w:color w:val="231F20"/>
        </w:rPr>
        <w:t>a</w:t>
      </w:r>
      <w:r>
        <w:rPr>
          <w:color w:val="231F20"/>
          <w:spacing w:val="-13"/>
        </w:rPr>
        <w:t> </w:t>
      </w:r>
      <w:r>
        <w:rPr>
          <w:color w:val="231F20"/>
        </w:rPr>
        <w:t>march</w:t>
      </w:r>
      <w:r>
        <w:rPr>
          <w:color w:val="231F20"/>
          <w:spacing w:val="-13"/>
        </w:rPr>
        <w:t> </w:t>
      </w:r>
      <w:r>
        <w:rPr>
          <w:color w:val="231F20"/>
        </w:rPr>
        <w:t>in</w:t>
      </w:r>
      <w:r>
        <w:rPr>
          <w:color w:val="231F20"/>
          <w:spacing w:val="-13"/>
        </w:rPr>
        <w:t> </w:t>
      </w:r>
      <w:r>
        <w:rPr>
          <w:color w:val="231F20"/>
        </w:rPr>
        <w:t>New</w:t>
      </w:r>
      <w:r>
        <w:rPr>
          <w:color w:val="231F20"/>
          <w:spacing w:val="-13"/>
        </w:rPr>
        <w:t> </w:t>
      </w:r>
      <w:r>
        <w:rPr>
          <w:color w:val="231F20"/>
        </w:rPr>
        <w:t>York</w:t>
      </w:r>
      <w:r>
        <w:rPr>
          <w:color w:val="231F20"/>
          <w:spacing w:val="-13"/>
        </w:rPr>
        <w:t> </w:t>
      </w:r>
      <w:r>
        <w:rPr>
          <w:color w:val="231F20"/>
        </w:rPr>
        <w:t>to</w:t>
      </w:r>
      <w:r>
        <w:rPr>
          <w:color w:val="231F20"/>
          <w:spacing w:val="-13"/>
        </w:rPr>
        <w:t> </w:t>
      </w:r>
      <w:r>
        <w:rPr>
          <w:color w:val="231F20"/>
        </w:rPr>
        <w:t>demand</w:t>
      </w:r>
      <w:r>
        <w:rPr>
          <w:color w:val="231F20"/>
          <w:spacing w:val="-13"/>
        </w:rPr>
        <w:t> </w:t>
      </w:r>
      <w:r>
        <w:rPr>
          <w:color w:val="231F20"/>
        </w:rPr>
        <w:t>an</w:t>
      </w:r>
      <w:r>
        <w:rPr>
          <w:color w:val="231F20"/>
          <w:spacing w:val="-13"/>
        </w:rPr>
        <w:t> </w:t>
      </w:r>
      <w:r>
        <w:rPr>
          <w:color w:val="231F20"/>
        </w:rPr>
        <w:t>end</w:t>
      </w:r>
      <w:r>
        <w:rPr>
          <w:color w:val="231F20"/>
          <w:spacing w:val="-13"/>
        </w:rPr>
        <w:t> </w:t>
      </w:r>
      <w:r>
        <w:rPr>
          <w:color w:val="231F20"/>
        </w:rPr>
        <w:t>to the economic, commercial and financial blockade. The demonstration progressed from Times Square and arrived at the UN headquarters,</w:t>
      </w:r>
      <w:r>
        <w:rPr>
          <w:color w:val="231F20"/>
          <w:spacing w:val="-3"/>
        </w:rPr>
        <w:t> </w:t>
      </w:r>
      <w:r>
        <w:rPr>
          <w:color w:val="231F20"/>
        </w:rPr>
        <w:t>in</w:t>
      </w:r>
      <w:r>
        <w:rPr>
          <w:color w:val="231F20"/>
          <w:spacing w:val="-3"/>
        </w:rPr>
        <w:t> </w:t>
      </w:r>
      <w:r>
        <w:rPr>
          <w:color w:val="231F20"/>
        </w:rPr>
        <w:t>advance</w:t>
      </w:r>
      <w:r>
        <w:rPr>
          <w:color w:val="231F20"/>
          <w:spacing w:val="-3"/>
        </w:rPr>
        <w:t> </w:t>
      </w:r>
      <w:r>
        <w:rPr>
          <w:color w:val="231F20"/>
        </w:rPr>
        <w:t>of</w:t>
      </w:r>
      <w:r>
        <w:rPr>
          <w:color w:val="231F20"/>
          <w:spacing w:val="-3"/>
        </w:rPr>
        <w:t> </w:t>
      </w:r>
      <w:r>
        <w:rPr>
          <w:color w:val="231F20"/>
        </w:rPr>
        <w:t>the</w:t>
      </w:r>
      <w:r>
        <w:rPr>
          <w:color w:val="231F20"/>
          <w:spacing w:val="-3"/>
        </w:rPr>
        <w:t> </w:t>
      </w:r>
      <w:r>
        <w:rPr>
          <w:color w:val="231F20"/>
        </w:rPr>
        <w:t>voting</w:t>
      </w:r>
      <w:r>
        <w:rPr>
          <w:color w:val="231F20"/>
          <w:spacing w:val="-3"/>
        </w:rPr>
        <w:t> </w:t>
      </w:r>
      <w:r>
        <w:rPr>
          <w:color w:val="231F20"/>
        </w:rPr>
        <w:t>by the General Assembly on the resolution opposing the blockade, at its session on 2-3 November. Participating associations included</w:t>
      </w:r>
      <w:r>
        <w:rPr>
          <w:color w:val="231F20"/>
          <w:spacing w:val="-11"/>
        </w:rPr>
        <w:t> </w:t>
      </w:r>
      <w:r>
        <w:rPr>
          <w:color w:val="231F20"/>
        </w:rPr>
        <w:t>Puentes</w:t>
      </w:r>
      <w:r>
        <w:rPr>
          <w:color w:val="231F20"/>
          <w:spacing w:val="-11"/>
        </w:rPr>
        <w:t> </w:t>
      </w:r>
      <w:r>
        <w:rPr>
          <w:color w:val="231F20"/>
        </w:rPr>
        <w:t>de</w:t>
      </w:r>
      <w:r>
        <w:rPr>
          <w:color w:val="231F20"/>
          <w:spacing w:val="-11"/>
        </w:rPr>
        <w:t> </w:t>
      </w:r>
      <w:r>
        <w:rPr>
          <w:color w:val="231F20"/>
        </w:rPr>
        <w:t>Amor,</w:t>
      </w:r>
      <w:r>
        <w:rPr>
          <w:color w:val="231F20"/>
          <w:spacing w:val="-11"/>
        </w:rPr>
        <w:t> </w:t>
      </w:r>
      <w:r>
        <w:rPr>
          <w:color w:val="231F20"/>
        </w:rPr>
        <w:t>Code</w:t>
      </w:r>
      <w:r>
        <w:rPr>
          <w:color w:val="231F20"/>
          <w:spacing w:val="-11"/>
        </w:rPr>
        <w:t> </w:t>
      </w:r>
      <w:r>
        <w:rPr>
          <w:color w:val="231F20"/>
        </w:rPr>
        <w:t>Pink</w:t>
      </w:r>
      <w:r>
        <w:rPr>
          <w:color w:val="231F20"/>
          <w:spacing w:val="-11"/>
        </w:rPr>
        <w:t> </w:t>
      </w:r>
      <w:r>
        <w:rPr>
          <w:color w:val="231F20"/>
        </w:rPr>
        <w:t>and </w:t>
      </w:r>
      <w:r>
        <w:rPr>
          <w:color w:val="231F20"/>
          <w:spacing w:val="-4"/>
        </w:rPr>
        <w:t>The</w:t>
      </w:r>
      <w:r>
        <w:rPr>
          <w:color w:val="231F20"/>
          <w:spacing w:val="-11"/>
        </w:rPr>
        <w:t> </w:t>
      </w:r>
      <w:r>
        <w:rPr>
          <w:color w:val="231F20"/>
          <w:spacing w:val="-4"/>
        </w:rPr>
        <w:t>People’s</w:t>
      </w:r>
      <w:r>
        <w:rPr>
          <w:color w:val="231F20"/>
          <w:spacing w:val="-11"/>
        </w:rPr>
        <w:t> </w:t>
      </w:r>
      <w:r>
        <w:rPr>
          <w:color w:val="231F20"/>
          <w:spacing w:val="-4"/>
        </w:rPr>
        <w:t>Forum,</w:t>
      </w:r>
      <w:r>
        <w:rPr>
          <w:color w:val="231F20"/>
          <w:spacing w:val="-11"/>
        </w:rPr>
        <w:t> </w:t>
      </w:r>
      <w:r>
        <w:rPr>
          <w:color w:val="231F20"/>
          <w:spacing w:val="-4"/>
        </w:rPr>
        <w:t>plus</w:t>
      </w:r>
      <w:r>
        <w:rPr>
          <w:color w:val="231F20"/>
          <w:spacing w:val="-11"/>
        </w:rPr>
        <w:t> </w:t>
      </w:r>
      <w:r>
        <w:rPr>
          <w:color w:val="231F20"/>
          <w:spacing w:val="-4"/>
        </w:rPr>
        <w:t>representatives</w:t>
      </w:r>
      <w:r>
        <w:rPr>
          <w:color w:val="231F20"/>
          <w:spacing w:val="-11"/>
        </w:rPr>
        <w:t> </w:t>
      </w:r>
      <w:r>
        <w:rPr>
          <w:color w:val="231F20"/>
          <w:spacing w:val="-4"/>
        </w:rPr>
        <w:t>of </w:t>
      </w:r>
      <w:r>
        <w:rPr>
          <w:color w:val="231F20"/>
        </w:rPr>
        <w:t>the Cuban expatriate community.</w:t>
      </w:r>
    </w:p>
    <w:p>
      <w:pPr>
        <w:spacing w:before="170"/>
        <w:ind w:left="414" w:right="0" w:firstLine="0"/>
        <w:jc w:val="both"/>
        <w:rPr>
          <w:sz w:val="24"/>
        </w:rPr>
      </w:pPr>
      <w:r>
        <w:rPr>
          <w:b/>
          <w:color w:val="B52628"/>
          <w:sz w:val="24"/>
        </w:rPr>
        <w:t>On</w:t>
      </w:r>
      <w:r>
        <w:rPr>
          <w:b/>
          <w:color w:val="B52628"/>
          <w:spacing w:val="70"/>
          <w:sz w:val="24"/>
        </w:rPr>
        <w:t>  </w:t>
      </w:r>
      <w:r>
        <w:rPr>
          <w:b/>
          <w:color w:val="B52628"/>
          <w:sz w:val="24"/>
        </w:rPr>
        <w:t>October</w:t>
      </w:r>
      <w:r>
        <w:rPr>
          <w:b/>
          <w:color w:val="B52628"/>
          <w:spacing w:val="70"/>
          <w:sz w:val="24"/>
        </w:rPr>
        <w:t>  </w:t>
      </w:r>
      <w:r>
        <w:rPr>
          <w:b/>
          <w:color w:val="B52628"/>
          <w:sz w:val="24"/>
        </w:rPr>
        <w:t>29,</w:t>
      </w:r>
      <w:r>
        <w:rPr>
          <w:b/>
          <w:color w:val="B52628"/>
          <w:spacing w:val="70"/>
          <w:sz w:val="24"/>
        </w:rPr>
        <w:t>  </w:t>
      </w:r>
      <w:r>
        <w:rPr>
          <w:b/>
          <w:color w:val="B52628"/>
          <w:sz w:val="24"/>
        </w:rPr>
        <w:t>2022,</w:t>
      </w:r>
      <w:r>
        <w:rPr>
          <w:b/>
          <w:color w:val="B52628"/>
          <w:spacing w:val="69"/>
          <w:sz w:val="24"/>
        </w:rPr>
        <w:t>  </w:t>
      </w:r>
      <w:r>
        <w:rPr>
          <w:color w:val="231F20"/>
          <w:spacing w:val="-2"/>
          <w:sz w:val="24"/>
        </w:rPr>
        <w:t>CODEPINK</w:t>
      </w:r>
    </w:p>
    <w:p>
      <w:pPr>
        <w:pStyle w:val="BodyText"/>
        <w:spacing w:before="1"/>
        <w:ind w:left="414" w:right="1471"/>
      </w:pPr>
      <w:r>
        <w:rPr>
          <w:color w:val="231F20"/>
        </w:rPr>
        <w:t>members posted on social networks that they</w:t>
      </w:r>
      <w:r>
        <w:rPr>
          <w:color w:val="231F20"/>
          <w:spacing w:val="-17"/>
        </w:rPr>
        <w:t> </w:t>
      </w:r>
      <w:r>
        <w:rPr>
          <w:color w:val="231F20"/>
        </w:rPr>
        <w:t>had</w:t>
      </w:r>
      <w:r>
        <w:rPr>
          <w:color w:val="231F20"/>
          <w:spacing w:val="-16"/>
        </w:rPr>
        <w:t> </w:t>
      </w:r>
      <w:r>
        <w:rPr>
          <w:color w:val="231F20"/>
        </w:rPr>
        <w:t>sought</w:t>
      </w:r>
      <w:r>
        <w:rPr>
          <w:color w:val="231F20"/>
          <w:spacing w:val="-17"/>
        </w:rPr>
        <w:t> </w:t>
      </w:r>
      <w:r>
        <w:rPr>
          <w:color w:val="231F20"/>
        </w:rPr>
        <w:t>the</w:t>
      </w:r>
      <w:r>
        <w:rPr>
          <w:color w:val="231F20"/>
          <w:spacing w:val="-16"/>
        </w:rPr>
        <w:t> </w:t>
      </w:r>
      <w:r>
        <w:rPr>
          <w:color w:val="231F20"/>
        </w:rPr>
        <w:t>removal</w:t>
      </w:r>
      <w:r>
        <w:rPr>
          <w:color w:val="231F20"/>
          <w:spacing w:val="-17"/>
        </w:rPr>
        <w:t> </w:t>
      </w:r>
      <w:r>
        <w:rPr>
          <w:color w:val="231F20"/>
        </w:rPr>
        <w:t>of</w:t>
      </w:r>
      <w:r>
        <w:rPr>
          <w:color w:val="231F20"/>
          <w:spacing w:val="-16"/>
        </w:rPr>
        <w:t> </w:t>
      </w:r>
      <w:r>
        <w:rPr>
          <w:color w:val="231F20"/>
        </w:rPr>
        <w:t>Cuba</w:t>
      </w:r>
      <w:r>
        <w:rPr>
          <w:color w:val="231F20"/>
          <w:spacing w:val="-17"/>
        </w:rPr>
        <w:t> </w:t>
      </w:r>
      <w:r>
        <w:rPr>
          <w:color w:val="231F20"/>
        </w:rPr>
        <w:t>from the</w:t>
      </w:r>
      <w:r>
        <w:rPr>
          <w:color w:val="231F20"/>
          <w:spacing w:val="-2"/>
        </w:rPr>
        <w:t> </w:t>
      </w:r>
      <w:r>
        <w:rPr>
          <w:color w:val="231F20"/>
        </w:rPr>
        <w:t>list</w:t>
      </w:r>
      <w:r>
        <w:rPr>
          <w:color w:val="231F20"/>
          <w:spacing w:val="-2"/>
        </w:rPr>
        <w:t> </w:t>
      </w:r>
      <w:r>
        <w:rPr>
          <w:color w:val="231F20"/>
        </w:rPr>
        <w:t>of</w:t>
      </w:r>
      <w:r>
        <w:rPr>
          <w:color w:val="231F20"/>
          <w:spacing w:val="-2"/>
        </w:rPr>
        <w:t> </w:t>
      </w:r>
      <w:r>
        <w:rPr>
          <w:color w:val="231F20"/>
        </w:rPr>
        <w:t>state</w:t>
      </w:r>
      <w:r>
        <w:rPr>
          <w:color w:val="231F20"/>
          <w:spacing w:val="-2"/>
        </w:rPr>
        <w:t> </w:t>
      </w:r>
      <w:r>
        <w:rPr>
          <w:color w:val="231F20"/>
        </w:rPr>
        <w:t>sponsors</w:t>
      </w:r>
      <w:r>
        <w:rPr>
          <w:color w:val="231F20"/>
          <w:spacing w:val="-2"/>
        </w:rPr>
        <w:t> </w:t>
      </w:r>
      <w:r>
        <w:rPr>
          <w:color w:val="231F20"/>
        </w:rPr>
        <w:t>of</w:t>
      </w:r>
      <w:r>
        <w:rPr>
          <w:color w:val="231F20"/>
          <w:spacing w:val="-2"/>
        </w:rPr>
        <w:t> </w:t>
      </w:r>
      <w:r>
        <w:rPr>
          <w:color w:val="231F20"/>
        </w:rPr>
        <w:t>terrorism,</w:t>
      </w:r>
      <w:r>
        <w:rPr>
          <w:color w:val="231F20"/>
          <w:spacing w:val="-2"/>
        </w:rPr>
        <w:t> </w:t>
      </w:r>
      <w:r>
        <w:rPr>
          <w:color w:val="231F20"/>
        </w:rPr>
        <w:t>at</w:t>
      </w:r>
      <w:r>
        <w:rPr>
          <w:color w:val="231F20"/>
          <w:spacing w:val="-2"/>
        </w:rPr>
        <w:t> </w:t>
      </w:r>
      <w:r>
        <w:rPr>
          <w:color w:val="231F20"/>
        </w:rPr>
        <w:t>a meeting with State Department </w:t>
      </w:r>
      <w:r>
        <w:rPr>
          <w:color w:val="231F20"/>
        </w:rPr>
        <w:t>officials. Their organization delivered a petition signed</w:t>
      </w:r>
      <w:r>
        <w:rPr>
          <w:color w:val="231F20"/>
          <w:spacing w:val="-1"/>
        </w:rPr>
        <w:t> </w:t>
      </w:r>
      <w:r>
        <w:rPr>
          <w:color w:val="231F20"/>
        </w:rPr>
        <w:t>by</w:t>
      </w:r>
      <w:r>
        <w:rPr>
          <w:color w:val="231F20"/>
          <w:spacing w:val="-2"/>
        </w:rPr>
        <w:t> </w:t>
      </w:r>
      <w:r>
        <w:rPr>
          <w:color w:val="231F20"/>
        </w:rPr>
        <w:t>10,000</w:t>
      </w:r>
      <w:r>
        <w:rPr>
          <w:color w:val="231F20"/>
          <w:spacing w:val="-2"/>
        </w:rPr>
        <w:t> </w:t>
      </w:r>
      <w:r>
        <w:rPr>
          <w:color w:val="231F20"/>
        </w:rPr>
        <w:t>people</w:t>
      </w:r>
      <w:r>
        <w:rPr>
          <w:color w:val="231F20"/>
          <w:spacing w:val="-2"/>
        </w:rPr>
        <w:t> </w:t>
      </w:r>
      <w:r>
        <w:rPr>
          <w:color w:val="231F20"/>
        </w:rPr>
        <w:t>and</w:t>
      </w:r>
      <w:r>
        <w:rPr>
          <w:color w:val="231F20"/>
          <w:spacing w:val="-2"/>
        </w:rPr>
        <w:t> </w:t>
      </w:r>
      <w:r>
        <w:rPr>
          <w:color w:val="231F20"/>
        </w:rPr>
        <w:t>on</w:t>
      </w:r>
      <w:r>
        <w:rPr>
          <w:color w:val="231F20"/>
          <w:spacing w:val="-2"/>
        </w:rPr>
        <w:t> </w:t>
      </w:r>
      <w:r>
        <w:rPr>
          <w:color w:val="231F20"/>
        </w:rPr>
        <w:t>behalf</w:t>
      </w:r>
      <w:r>
        <w:rPr>
          <w:color w:val="231F20"/>
          <w:spacing w:val="-2"/>
        </w:rPr>
        <w:t> </w:t>
      </w:r>
      <w:r>
        <w:rPr>
          <w:color w:val="231F20"/>
        </w:rPr>
        <w:t>of over</w:t>
      </w:r>
      <w:r>
        <w:rPr>
          <w:color w:val="231F20"/>
          <w:spacing w:val="-3"/>
        </w:rPr>
        <w:t> </w:t>
      </w:r>
      <w:r>
        <w:rPr>
          <w:color w:val="231F20"/>
        </w:rPr>
        <w:t>100</w:t>
      </w:r>
      <w:r>
        <w:rPr>
          <w:color w:val="231F20"/>
          <w:spacing w:val="-3"/>
        </w:rPr>
        <w:t> </w:t>
      </w:r>
      <w:r>
        <w:rPr>
          <w:color w:val="231F20"/>
        </w:rPr>
        <w:t>organizations</w:t>
      </w:r>
      <w:r>
        <w:rPr>
          <w:color w:val="231F20"/>
          <w:spacing w:val="-3"/>
        </w:rPr>
        <w:t> </w:t>
      </w:r>
      <w:r>
        <w:rPr>
          <w:color w:val="231F20"/>
        </w:rPr>
        <w:t>to</w:t>
      </w:r>
      <w:r>
        <w:rPr>
          <w:color w:val="231F20"/>
          <w:spacing w:val="-3"/>
        </w:rPr>
        <w:t> </w:t>
      </w:r>
      <w:r>
        <w:rPr>
          <w:color w:val="231F20"/>
        </w:rPr>
        <w:t>President</w:t>
      </w:r>
      <w:r>
        <w:rPr>
          <w:color w:val="231F20"/>
          <w:spacing w:val="-2"/>
        </w:rPr>
        <w:t> Biden</w:t>
      </w:r>
    </w:p>
    <w:p>
      <w:pPr>
        <w:spacing w:after="0"/>
        <w:sectPr>
          <w:pgSz w:w="11910" w:h="16840"/>
          <w:pgMar w:header="0" w:footer="695" w:top="1260" w:bottom="880" w:left="0" w:right="0"/>
          <w:cols w:num="2" w:equalWidth="0">
            <w:col w:w="5555" w:space="40"/>
            <w:col w:w="6315"/>
          </w:cols>
        </w:sectPr>
      </w:pPr>
    </w:p>
    <w:p>
      <w:pPr>
        <w:pStyle w:val="BodyText"/>
        <w:spacing w:before="77"/>
        <w:ind w:left="1474"/>
      </w:pPr>
      <w:r>
        <w:rPr>
          <w:color w:val="231F20"/>
        </w:rPr>
        <w:t>and U.S. ambassador to the UN </w:t>
      </w:r>
      <w:r>
        <w:rPr>
          <w:color w:val="231F20"/>
        </w:rPr>
        <w:t>Linda Thomas-Greenfield, in a move designed to</w:t>
      </w:r>
      <w:r>
        <w:rPr>
          <w:color w:val="231F20"/>
          <w:spacing w:val="-10"/>
        </w:rPr>
        <w:t> </w:t>
      </w:r>
      <w:r>
        <w:rPr>
          <w:color w:val="231F20"/>
        </w:rPr>
        <w:t>bring</w:t>
      </w:r>
      <w:r>
        <w:rPr>
          <w:color w:val="231F20"/>
          <w:spacing w:val="-9"/>
        </w:rPr>
        <w:t> </w:t>
      </w:r>
      <w:r>
        <w:rPr>
          <w:color w:val="231F20"/>
        </w:rPr>
        <w:t>the</w:t>
      </w:r>
      <w:r>
        <w:rPr>
          <w:color w:val="231F20"/>
          <w:spacing w:val="-9"/>
        </w:rPr>
        <w:t> </w:t>
      </w:r>
      <w:r>
        <w:rPr>
          <w:color w:val="231F20"/>
        </w:rPr>
        <w:t>two</w:t>
      </w:r>
      <w:r>
        <w:rPr>
          <w:color w:val="231F20"/>
          <w:spacing w:val="-9"/>
        </w:rPr>
        <w:t> </w:t>
      </w:r>
      <w:r>
        <w:rPr>
          <w:color w:val="231F20"/>
        </w:rPr>
        <w:t>countries</w:t>
      </w:r>
      <w:r>
        <w:rPr>
          <w:color w:val="231F20"/>
          <w:spacing w:val="-9"/>
        </w:rPr>
        <w:t> </w:t>
      </w:r>
      <w:r>
        <w:rPr>
          <w:color w:val="231F20"/>
        </w:rPr>
        <w:t>closer</w:t>
      </w:r>
      <w:r>
        <w:rPr>
          <w:color w:val="231F20"/>
          <w:spacing w:val="-9"/>
        </w:rPr>
        <w:t> </w:t>
      </w:r>
      <w:r>
        <w:rPr>
          <w:color w:val="231F20"/>
          <w:spacing w:val="-2"/>
        </w:rPr>
        <w:t>together.</w:t>
      </w:r>
    </w:p>
    <w:p>
      <w:pPr>
        <w:pStyle w:val="BodyText"/>
        <w:spacing w:before="162"/>
        <w:ind w:left="1474" w:right="1"/>
      </w:pPr>
      <w:r>
        <w:rPr>
          <w:b/>
          <w:color w:val="B52628"/>
        </w:rPr>
        <w:t>On</w:t>
      </w:r>
      <w:r>
        <w:rPr>
          <w:b/>
          <w:color w:val="B52628"/>
          <w:spacing w:val="40"/>
        </w:rPr>
        <w:t> </w:t>
      </w:r>
      <w:r>
        <w:rPr>
          <w:b/>
          <w:color w:val="B52628"/>
        </w:rPr>
        <w:t>October</w:t>
      </w:r>
      <w:r>
        <w:rPr>
          <w:b/>
          <w:color w:val="B52628"/>
          <w:spacing w:val="40"/>
        </w:rPr>
        <w:t> </w:t>
      </w:r>
      <w:r>
        <w:rPr>
          <w:b/>
          <w:color w:val="B52628"/>
        </w:rPr>
        <w:t>30,</w:t>
      </w:r>
      <w:r>
        <w:rPr>
          <w:b/>
          <w:color w:val="B52628"/>
          <w:spacing w:val="40"/>
        </w:rPr>
        <w:t> </w:t>
      </w:r>
      <w:r>
        <w:rPr>
          <w:b/>
          <w:color w:val="B52628"/>
        </w:rPr>
        <w:t>2022,</w:t>
      </w:r>
      <w:r>
        <w:rPr>
          <w:b/>
          <w:color w:val="B52628"/>
          <w:spacing w:val="40"/>
        </w:rPr>
        <w:t> </w:t>
      </w:r>
      <w:r>
        <w:rPr>
          <w:color w:val="231F20"/>
        </w:rPr>
        <w:t>a</w:t>
      </w:r>
      <w:r>
        <w:rPr>
          <w:color w:val="231F20"/>
          <w:spacing w:val="40"/>
        </w:rPr>
        <w:t> </w:t>
      </w:r>
      <w:r>
        <w:rPr>
          <w:color w:val="231F20"/>
        </w:rPr>
        <w:t>new</w:t>
      </w:r>
      <w:r>
        <w:rPr>
          <w:color w:val="231F20"/>
          <w:spacing w:val="40"/>
        </w:rPr>
        <w:t> </w:t>
      </w:r>
      <w:r>
        <w:rPr>
          <w:color w:val="231F20"/>
        </w:rPr>
        <w:t>caravan</w:t>
      </w:r>
      <w:r>
        <w:rPr>
          <w:color w:val="231F20"/>
          <w:spacing w:val="40"/>
        </w:rPr>
        <w:t> </w:t>
      </w:r>
      <w:r>
        <w:rPr>
          <w:color w:val="231F20"/>
        </w:rPr>
        <w:t>in Miami demanding the end of the blockade on Cuba was accompanied by demonstrations with the same objective in Portland (Oregon), Minneapolis and </w:t>
      </w:r>
      <w:r>
        <w:rPr>
          <w:color w:val="231F20"/>
          <w:spacing w:val="-2"/>
        </w:rPr>
        <w:t>Duluth,</w:t>
      </w:r>
      <w:r>
        <w:rPr>
          <w:color w:val="231F20"/>
          <w:spacing w:val="-15"/>
        </w:rPr>
        <w:t> </w:t>
      </w:r>
      <w:r>
        <w:rPr>
          <w:color w:val="231F20"/>
          <w:spacing w:val="-2"/>
        </w:rPr>
        <w:t>(Minnesota),</w:t>
      </w:r>
      <w:r>
        <w:rPr>
          <w:color w:val="231F20"/>
          <w:spacing w:val="-14"/>
        </w:rPr>
        <w:t> </w:t>
      </w:r>
      <w:r>
        <w:rPr>
          <w:color w:val="231F20"/>
          <w:spacing w:val="-2"/>
        </w:rPr>
        <w:t>Phoenix</w:t>
      </w:r>
      <w:r>
        <w:rPr>
          <w:color w:val="231F20"/>
          <w:spacing w:val="-15"/>
        </w:rPr>
        <w:t> </w:t>
      </w:r>
      <w:r>
        <w:rPr>
          <w:color w:val="231F20"/>
          <w:spacing w:val="-2"/>
        </w:rPr>
        <w:t>(Arizona)</w:t>
      </w:r>
      <w:r>
        <w:rPr>
          <w:color w:val="231F20"/>
          <w:spacing w:val="-14"/>
        </w:rPr>
        <w:t> </w:t>
      </w:r>
      <w:r>
        <w:rPr>
          <w:color w:val="231F20"/>
          <w:spacing w:val="-2"/>
        </w:rPr>
        <w:t>and </w:t>
      </w:r>
      <w:r>
        <w:rPr>
          <w:color w:val="231F20"/>
        </w:rPr>
        <w:t>Hartford (Connecticut).</w:t>
      </w:r>
    </w:p>
    <w:p>
      <w:pPr>
        <w:pStyle w:val="BodyText"/>
        <w:spacing w:before="166"/>
        <w:ind w:left="1474"/>
      </w:pPr>
      <w:r>
        <w:rPr>
          <w:b/>
          <w:color w:val="B52628"/>
        </w:rPr>
        <w:t>On November 1, 2022, </w:t>
      </w:r>
      <w:r>
        <w:rPr>
          <w:color w:val="231F20"/>
        </w:rPr>
        <w:t>an international delegation of scientists headed by U.S. </w:t>
      </w:r>
      <w:r>
        <w:rPr>
          <w:color w:val="231F20"/>
          <w:spacing w:val="-12"/>
        </w:rPr>
        <w:t>experts,</w:t>
      </w:r>
      <w:r>
        <w:rPr>
          <w:color w:val="231F20"/>
          <w:spacing w:val="-5"/>
        </w:rPr>
        <w:t> </w:t>
      </w:r>
      <w:r>
        <w:rPr>
          <w:color w:val="231F20"/>
          <w:spacing w:val="-12"/>
        </w:rPr>
        <w:t>published</w:t>
      </w:r>
      <w:r>
        <w:rPr>
          <w:color w:val="231F20"/>
          <w:spacing w:val="-4"/>
        </w:rPr>
        <w:t> </w:t>
      </w:r>
      <w:r>
        <w:rPr>
          <w:color w:val="231F20"/>
          <w:spacing w:val="-12"/>
        </w:rPr>
        <w:t>a</w:t>
      </w:r>
      <w:r>
        <w:rPr>
          <w:color w:val="231F20"/>
          <w:spacing w:val="-5"/>
        </w:rPr>
        <w:t> </w:t>
      </w:r>
      <w:r>
        <w:rPr>
          <w:color w:val="231F20"/>
          <w:spacing w:val="-12"/>
        </w:rPr>
        <w:t>report</w:t>
      </w:r>
      <w:r>
        <w:rPr>
          <w:color w:val="231F20"/>
          <w:spacing w:val="-4"/>
        </w:rPr>
        <w:t> </w:t>
      </w:r>
      <w:r>
        <w:rPr>
          <w:color w:val="231F20"/>
          <w:spacing w:val="-12"/>
        </w:rPr>
        <w:t>calling</w:t>
      </w:r>
      <w:r>
        <w:rPr>
          <w:color w:val="231F20"/>
          <w:spacing w:val="-5"/>
        </w:rPr>
        <w:t> </w:t>
      </w:r>
      <w:r>
        <w:rPr>
          <w:color w:val="231F20"/>
          <w:spacing w:val="-12"/>
        </w:rPr>
        <w:t>for</w:t>
      </w:r>
      <w:r>
        <w:rPr>
          <w:color w:val="231F20"/>
          <w:spacing w:val="-4"/>
        </w:rPr>
        <w:t> </w:t>
      </w:r>
      <w:r>
        <w:rPr>
          <w:color w:val="231F20"/>
          <w:spacing w:val="-12"/>
        </w:rPr>
        <w:t>lowering </w:t>
      </w:r>
      <w:r>
        <w:rPr>
          <w:color w:val="231F20"/>
          <w:spacing w:val="-10"/>
        </w:rPr>
        <w:t>of</w:t>
      </w:r>
      <w:r>
        <w:rPr>
          <w:color w:val="231F20"/>
          <w:spacing w:val="-5"/>
        </w:rPr>
        <w:t> </w:t>
      </w:r>
      <w:r>
        <w:rPr>
          <w:color w:val="231F20"/>
          <w:spacing w:val="-10"/>
        </w:rPr>
        <w:t>the</w:t>
      </w:r>
      <w:r>
        <w:rPr>
          <w:color w:val="231F20"/>
          <w:spacing w:val="-5"/>
        </w:rPr>
        <w:t> </w:t>
      </w:r>
      <w:r>
        <w:rPr>
          <w:color w:val="231F20"/>
          <w:spacing w:val="-10"/>
        </w:rPr>
        <w:t>barriers</w:t>
      </w:r>
      <w:r>
        <w:rPr>
          <w:color w:val="231F20"/>
          <w:spacing w:val="-5"/>
        </w:rPr>
        <w:t> </w:t>
      </w:r>
      <w:r>
        <w:rPr>
          <w:color w:val="231F20"/>
          <w:spacing w:val="-10"/>
        </w:rPr>
        <w:t>to</w:t>
      </w:r>
      <w:r>
        <w:rPr>
          <w:color w:val="231F20"/>
          <w:spacing w:val="-5"/>
        </w:rPr>
        <w:t> </w:t>
      </w:r>
      <w:r>
        <w:rPr>
          <w:color w:val="231F20"/>
          <w:spacing w:val="-10"/>
        </w:rPr>
        <w:t>cooperation</w:t>
      </w:r>
      <w:r>
        <w:rPr>
          <w:color w:val="231F20"/>
          <w:spacing w:val="-5"/>
        </w:rPr>
        <w:t> </w:t>
      </w:r>
      <w:r>
        <w:rPr>
          <w:color w:val="231F20"/>
          <w:spacing w:val="-10"/>
        </w:rPr>
        <w:t>with</w:t>
      </w:r>
      <w:r>
        <w:rPr>
          <w:color w:val="231F20"/>
          <w:spacing w:val="-5"/>
        </w:rPr>
        <w:t> </w:t>
      </w:r>
      <w:r>
        <w:rPr>
          <w:color w:val="231F20"/>
          <w:spacing w:val="-10"/>
        </w:rPr>
        <w:t>the</w:t>
      </w:r>
      <w:r>
        <w:rPr>
          <w:color w:val="231F20"/>
          <w:spacing w:val="-5"/>
        </w:rPr>
        <w:t> </w:t>
      </w:r>
      <w:r>
        <w:rPr>
          <w:color w:val="231F20"/>
          <w:spacing w:val="-10"/>
        </w:rPr>
        <w:t>Cuban </w:t>
      </w:r>
      <w:r>
        <w:rPr>
          <w:color w:val="231F20"/>
          <w:spacing w:val="-2"/>
        </w:rPr>
        <w:t>biotechnology</w:t>
      </w:r>
      <w:r>
        <w:rPr>
          <w:color w:val="231F20"/>
          <w:spacing w:val="-15"/>
        </w:rPr>
        <w:t> </w:t>
      </w:r>
      <w:r>
        <w:rPr>
          <w:color w:val="231F20"/>
          <w:spacing w:val="-2"/>
        </w:rPr>
        <w:t>industry.</w:t>
      </w:r>
      <w:r>
        <w:rPr>
          <w:color w:val="231F20"/>
          <w:spacing w:val="-14"/>
        </w:rPr>
        <w:t> </w:t>
      </w:r>
      <w:r>
        <w:rPr>
          <w:color w:val="231F20"/>
          <w:spacing w:val="-2"/>
        </w:rPr>
        <w:t>The</w:t>
      </w:r>
      <w:r>
        <w:rPr>
          <w:color w:val="231F20"/>
          <w:spacing w:val="-15"/>
        </w:rPr>
        <w:t> </w:t>
      </w:r>
      <w:r>
        <w:rPr>
          <w:color w:val="231F20"/>
          <w:spacing w:val="-2"/>
        </w:rPr>
        <w:t>director</w:t>
      </w:r>
      <w:r>
        <w:rPr>
          <w:color w:val="231F20"/>
          <w:spacing w:val="-14"/>
        </w:rPr>
        <w:t> </w:t>
      </w:r>
      <w:r>
        <w:rPr>
          <w:color w:val="231F20"/>
          <w:spacing w:val="-2"/>
        </w:rPr>
        <w:t>of</w:t>
      </w:r>
      <w:r>
        <w:rPr>
          <w:color w:val="231F20"/>
          <w:spacing w:val="-14"/>
        </w:rPr>
        <w:t> </w:t>
      </w:r>
      <w:r>
        <w:rPr>
          <w:color w:val="231F20"/>
          <w:spacing w:val="-2"/>
        </w:rPr>
        <w:t>the </w:t>
      </w:r>
      <w:r>
        <w:rPr>
          <w:color w:val="231F20"/>
        </w:rPr>
        <w:t>Center for Infectious Disease Research &amp; </w:t>
      </w:r>
      <w:r>
        <w:rPr>
          <w:color w:val="231F20"/>
          <w:spacing w:val="-10"/>
        </w:rPr>
        <w:t>Policy</w:t>
      </w:r>
      <w:r>
        <w:rPr>
          <w:color w:val="231F20"/>
          <w:spacing w:val="-5"/>
        </w:rPr>
        <w:t> </w:t>
      </w:r>
      <w:r>
        <w:rPr>
          <w:color w:val="231F20"/>
          <w:spacing w:val="-10"/>
        </w:rPr>
        <w:t>at</w:t>
      </w:r>
      <w:r>
        <w:rPr>
          <w:color w:val="231F20"/>
          <w:spacing w:val="-5"/>
        </w:rPr>
        <w:t> </w:t>
      </w:r>
      <w:r>
        <w:rPr>
          <w:color w:val="231F20"/>
          <w:spacing w:val="-10"/>
        </w:rPr>
        <w:t>the</w:t>
      </w:r>
      <w:r>
        <w:rPr>
          <w:color w:val="231F20"/>
          <w:spacing w:val="-5"/>
        </w:rPr>
        <w:t> </w:t>
      </w:r>
      <w:r>
        <w:rPr>
          <w:color w:val="231F20"/>
          <w:spacing w:val="-10"/>
        </w:rPr>
        <w:t>University</w:t>
      </w:r>
      <w:r>
        <w:rPr>
          <w:color w:val="231F20"/>
          <w:spacing w:val="-5"/>
        </w:rPr>
        <w:t> </w:t>
      </w:r>
      <w:r>
        <w:rPr>
          <w:color w:val="231F20"/>
          <w:spacing w:val="-10"/>
        </w:rPr>
        <w:t>of</w:t>
      </w:r>
      <w:r>
        <w:rPr>
          <w:color w:val="231F20"/>
          <w:spacing w:val="-5"/>
        </w:rPr>
        <w:t> </w:t>
      </w:r>
      <w:r>
        <w:rPr>
          <w:color w:val="231F20"/>
          <w:spacing w:val="-10"/>
        </w:rPr>
        <w:t>Minnesota,</w:t>
      </w:r>
      <w:r>
        <w:rPr>
          <w:color w:val="231F20"/>
          <w:spacing w:val="-5"/>
        </w:rPr>
        <w:t> </w:t>
      </w:r>
      <w:r>
        <w:rPr>
          <w:color w:val="231F20"/>
          <w:spacing w:val="-10"/>
        </w:rPr>
        <w:t>Michael </w:t>
      </w:r>
      <w:r>
        <w:rPr>
          <w:color w:val="231F20"/>
          <w:spacing w:val="-6"/>
        </w:rPr>
        <w:t>Osterholm, stated in the report that political </w:t>
      </w:r>
      <w:r>
        <w:rPr>
          <w:color w:val="231F20"/>
        </w:rPr>
        <w:t>complexity</w:t>
      </w:r>
      <w:r>
        <w:rPr>
          <w:color w:val="231F20"/>
          <w:spacing w:val="-7"/>
        </w:rPr>
        <w:t> </w:t>
      </w:r>
      <w:r>
        <w:rPr>
          <w:color w:val="231F20"/>
        </w:rPr>
        <w:t>should</w:t>
      </w:r>
      <w:r>
        <w:rPr>
          <w:color w:val="231F20"/>
          <w:spacing w:val="-7"/>
        </w:rPr>
        <w:t> </w:t>
      </w:r>
      <w:r>
        <w:rPr>
          <w:color w:val="231F20"/>
        </w:rPr>
        <w:t>not</w:t>
      </w:r>
      <w:r>
        <w:rPr>
          <w:color w:val="231F20"/>
          <w:spacing w:val="-7"/>
        </w:rPr>
        <w:t> </w:t>
      </w:r>
      <w:r>
        <w:rPr>
          <w:color w:val="231F20"/>
        </w:rPr>
        <w:t>stand</w:t>
      </w:r>
      <w:r>
        <w:rPr>
          <w:color w:val="231F20"/>
          <w:spacing w:val="-7"/>
        </w:rPr>
        <w:t> </w:t>
      </w:r>
      <w:r>
        <w:rPr>
          <w:color w:val="231F20"/>
        </w:rPr>
        <w:t>in</w:t>
      </w:r>
      <w:r>
        <w:rPr>
          <w:color w:val="231F20"/>
          <w:spacing w:val="-7"/>
        </w:rPr>
        <w:t> </w:t>
      </w:r>
      <w:r>
        <w:rPr>
          <w:color w:val="231F20"/>
        </w:rPr>
        <w:t>the</w:t>
      </w:r>
      <w:r>
        <w:rPr>
          <w:color w:val="231F20"/>
          <w:spacing w:val="-7"/>
        </w:rPr>
        <w:t> </w:t>
      </w:r>
      <w:r>
        <w:rPr>
          <w:color w:val="231F20"/>
        </w:rPr>
        <w:t>way</w:t>
      </w:r>
      <w:r>
        <w:rPr>
          <w:color w:val="231F20"/>
          <w:spacing w:val="-7"/>
        </w:rPr>
        <w:t> </w:t>
      </w:r>
      <w:r>
        <w:rPr>
          <w:color w:val="231F20"/>
        </w:rPr>
        <w:t>of cooperation</w:t>
      </w:r>
      <w:r>
        <w:rPr>
          <w:color w:val="231F20"/>
          <w:spacing w:val="-13"/>
        </w:rPr>
        <w:t> </w:t>
      </w:r>
      <w:r>
        <w:rPr>
          <w:color w:val="231F20"/>
        </w:rPr>
        <w:t>in</w:t>
      </w:r>
      <w:r>
        <w:rPr>
          <w:color w:val="231F20"/>
          <w:spacing w:val="-13"/>
        </w:rPr>
        <w:t> </w:t>
      </w:r>
      <w:r>
        <w:rPr>
          <w:color w:val="231F20"/>
        </w:rPr>
        <w:t>this</w:t>
      </w:r>
      <w:r>
        <w:rPr>
          <w:color w:val="231F20"/>
          <w:spacing w:val="-13"/>
        </w:rPr>
        <w:t> </w:t>
      </w:r>
      <w:r>
        <w:rPr>
          <w:color w:val="231F20"/>
        </w:rPr>
        <w:t>field.</w:t>
      </w:r>
    </w:p>
    <w:p>
      <w:pPr>
        <w:pStyle w:val="BodyText"/>
        <w:spacing w:before="167"/>
        <w:ind w:left="1474" w:right="1"/>
      </w:pPr>
      <w:r>
        <w:rPr>
          <w:b/>
          <w:color w:val="B52628"/>
          <w:spacing w:val="-8"/>
        </w:rPr>
        <w:t>On</w:t>
      </w:r>
      <w:r>
        <w:rPr>
          <w:b/>
          <w:color w:val="B52628"/>
          <w:spacing w:val="-9"/>
        </w:rPr>
        <w:t> </w:t>
      </w:r>
      <w:r>
        <w:rPr>
          <w:b/>
          <w:color w:val="B52628"/>
          <w:spacing w:val="-8"/>
        </w:rPr>
        <w:t>November</w:t>
      </w:r>
      <w:r>
        <w:rPr>
          <w:b/>
          <w:color w:val="B52628"/>
          <w:spacing w:val="-9"/>
        </w:rPr>
        <w:t> </w:t>
      </w:r>
      <w:r>
        <w:rPr>
          <w:b/>
          <w:color w:val="B52628"/>
          <w:spacing w:val="-8"/>
        </w:rPr>
        <w:t>3, 2022,</w:t>
      </w:r>
      <w:r>
        <w:rPr>
          <w:b/>
          <w:color w:val="B52628"/>
          <w:spacing w:val="-9"/>
        </w:rPr>
        <w:t> </w:t>
      </w:r>
      <w:r>
        <w:rPr>
          <w:color w:val="231F20"/>
          <w:spacing w:val="-8"/>
        </w:rPr>
        <w:t>in the</w:t>
      </w:r>
      <w:r>
        <w:rPr>
          <w:color w:val="231F20"/>
          <w:spacing w:val="-9"/>
        </w:rPr>
        <w:t> </w:t>
      </w:r>
      <w:r>
        <w:rPr>
          <w:color w:val="231F20"/>
          <w:spacing w:val="-8"/>
        </w:rPr>
        <w:t>context of the </w:t>
      </w:r>
      <w:r>
        <w:rPr>
          <w:color w:val="231F20"/>
        </w:rPr>
        <w:t>30th vote in the UN General Assembly on </w:t>
      </w:r>
      <w:r>
        <w:rPr>
          <w:color w:val="231F20"/>
          <w:spacing w:val="-4"/>
        </w:rPr>
        <w:t>the</w:t>
      </w:r>
      <w:r>
        <w:rPr>
          <w:color w:val="231F20"/>
          <w:spacing w:val="-6"/>
        </w:rPr>
        <w:t> </w:t>
      </w:r>
      <w:r>
        <w:rPr>
          <w:color w:val="231F20"/>
          <w:spacing w:val="-4"/>
        </w:rPr>
        <w:t>draft</w:t>
      </w:r>
      <w:r>
        <w:rPr>
          <w:color w:val="231F20"/>
          <w:spacing w:val="-6"/>
        </w:rPr>
        <w:t> </w:t>
      </w:r>
      <w:r>
        <w:rPr>
          <w:color w:val="231F20"/>
          <w:spacing w:val="-4"/>
        </w:rPr>
        <w:t>resolution</w:t>
      </w:r>
      <w:r>
        <w:rPr>
          <w:color w:val="231F20"/>
          <w:spacing w:val="-6"/>
        </w:rPr>
        <w:t> </w:t>
      </w:r>
      <w:r>
        <w:rPr>
          <w:color w:val="231F20"/>
          <w:spacing w:val="-4"/>
        </w:rPr>
        <w:t>regarding</w:t>
      </w:r>
      <w:r>
        <w:rPr>
          <w:color w:val="231F20"/>
          <w:spacing w:val="-6"/>
        </w:rPr>
        <w:t> </w:t>
      </w:r>
      <w:r>
        <w:rPr>
          <w:color w:val="231F20"/>
          <w:spacing w:val="-4"/>
        </w:rPr>
        <w:t>the</w:t>
      </w:r>
      <w:r>
        <w:rPr>
          <w:color w:val="231F20"/>
          <w:spacing w:val="-6"/>
        </w:rPr>
        <w:t> </w:t>
      </w:r>
      <w:r>
        <w:rPr>
          <w:color w:val="231F20"/>
          <w:spacing w:val="-4"/>
        </w:rPr>
        <w:t>necessity </w:t>
      </w:r>
      <w:r>
        <w:rPr>
          <w:color w:val="231F20"/>
        </w:rPr>
        <w:t>of ending the economic, commercial and financial blockade imposed by the U.S. against Cuba, the Center for Democracy in</w:t>
      </w:r>
      <w:r>
        <w:rPr>
          <w:color w:val="231F20"/>
          <w:spacing w:val="40"/>
        </w:rPr>
        <w:t> </w:t>
      </w:r>
      <w:r>
        <w:rPr>
          <w:color w:val="231F20"/>
        </w:rPr>
        <w:t>the</w:t>
      </w:r>
      <w:r>
        <w:rPr>
          <w:color w:val="231F20"/>
          <w:spacing w:val="40"/>
        </w:rPr>
        <w:t> </w:t>
      </w:r>
      <w:r>
        <w:rPr>
          <w:color w:val="231F20"/>
        </w:rPr>
        <w:t>Americas</w:t>
      </w:r>
      <w:r>
        <w:rPr>
          <w:color w:val="231F20"/>
          <w:spacing w:val="40"/>
        </w:rPr>
        <w:t> </w:t>
      </w:r>
      <w:r>
        <w:rPr>
          <w:color w:val="231F20"/>
        </w:rPr>
        <w:t>(CDA)</w:t>
      </w:r>
      <w:r>
        <w:rPr>
          <w:color w:val="231F20"/>
          <w:spacing w:val="40"/>
        </w:rPr>
        <w:t> </w:t>
      </w:r>
      <w:r>
        <w:rPr>
          <w:color w:val="231F20"/>
        </w:rPr>
        <w:t>published</w:t>
      </w:r>
      <w:r>
        <w:rPr>
          <w:color w:val="231F20"/>
          <w:spacing w:val="40"/>
        </w:rPr>
        <w:t> </w:t>
      </w:r>
      <w:r>
        <w:rPr>
          <w:color w:val="231F20"/>
        </w:rPr>
        <w:t>a thread of messages on Twitter criticizing Washington’s policy on Cuba of the last 60-plus years and deprecated the effects of the blockade on the Cuban people.</w:t>
      </w:r>
    </w:p>
    <w:p>
      <w:pPr>
        <w:pStyle w:val="BodyText"/>
        <w:spacing w:before="169"/>
        <w:ind w:left="1474"/>
      </w:pPr>
      <w:r>
        <w:rPr>
          <w:b/>
          <w:color w:val="B52628"/>
        </w:rPr>
        <w:t>On</w:t>
      </w:r>
      <w:r>
        <w:rPr>
          <w:b/>
          <w:color w:val="B52628"/>
          <w:spacing w:val="-17"/>
        </w:rPr>
        <w:t> </w:t>
      </w:r>
      <w:r>
        <w:rPr>
          <w:b/>
          <w:color w:val="B52628"/>
        </w:rPr>
        <w:t>November</w:t>
      </w:r>
      <w:r>
        <w:rPr>
          <w:b/>
          <w:color w:val="B52628"/>
          <w:spacing w:val="-17"/>
        </w:rPr>
        <w:t> </w:t>
      </w:r>
      <w:r>
        <w:rPr>
          <w:b/>
          <w:color w:val="B52628"/>
        </w:rPr>
        <w:t>3,</w:t>
      </w:r>
      <w:r>
        <w:rPr>
          <w:b/>
          <w:color w:val="B52628"/>
          <w:spacing w:val="-16"/>
        </w:rPr>
        <w:t> </w:t>
      </w:r>
      <w:r>
        <w:rPr>
          <w:b/>
          <w:color w:val="B52628"/>
        </w:rPr>
        <w:t>2022,</w:t>
      </w:r>
      <w:r>
        <w:rPr>
          <w:b/>
          <w:color w:val="B52628"/>
          <w:spacing w:val="-17"/>
        </w:rPr>
        <w:t> </w:t>
      </w:r>
      <w:r>
        <w:rPr>
          <w:color w:val="231F20"/>
        </w:rPr>
        <w:t>the</w:t>
      </w:r>
      <w:r>
        <w:rPr>
          <w:color w:val="231F20"/>
          <w:spacing w:val="-16"/>
        </w:rPr>
        <w:t> </w:t>
      </w:r>
      <w:r>
        <w:rPr>
          <w:color w:val="231F20"/>
        </w:rPr>
        <w:t>World</w:t>
      </w:r>
      <w:r>
        <w:rPr>
          <w:color w:val="231F20"/>
          <w:spacing w:val="-17"/>
        </w:rPr>
        <w:t> </w:t>
      </w:r>
      <w:r>
        <w:rPr>
          <w:color w:val="231F20"/>
        </w:rPr>
        <w:t>Council of Churches sent a letter to the Cuban president, Miguel Díaz-Canel, expressing </w:t>
      </w:r>
      <w:r>
        <w:rPr>
          <w:color w:val="231F20"/>
          <w:spacing w:val="-2"/>
        </w:rPr>
        <w:t>solidarity</w:t>
      </w:r>
      <w:r>
        <w:rPr>
          <w:color w:val="231F20"/>
          <w:spacing w:val="-15"/>
        </w:rPr>
        <w:t> </w:t>
      </w:r>
      <w:r>
        <w:rPr>
          <w:color w:val="231F20"/>
          <w:spacing w:val="-2"/>
        </w:rPr>
        <w:t>with</w:t>
      </w:r>
      <w:r>
        <w:rPr>
          <w:color w:val="231F20"/>
          <w:spacing w:val="-14"/>
        </w:rPr>
        <w:t> </w:t>
      </w:r>
      <w:r>
        <w:rPr>
          <w:color w:val="231F20"/>
          <w:spacing w:val="-2"/>
        </w:rPr>
        <w:t>the</w:t>
      </w:r>
      <w:r>
        <w:rPr>
          <w:color w:val="231F20"/>
          <w:spacing w:val="-15"/>
        </w:rPr>
        <w:t> </w:t>
      </w:r>
      <w:r>
        <w:rPr>
          <w:color w:val="231F20"/>
          <w:spacing w:val="-2"/>
        </w:rPr>
        <w:t>anti-blockade</w:t>
      </w:r>
      <w:r>
        <w:rPr>
          <w:color w:val="231F20"/>
          <w:spacing w:val="-14"/>
        </w:rPr>
        <w:t> </w:t>
      </w:r>
      <w:r>
        <w:rPr>
          <w:color w:val="231F20"/>
          <w:spacing w:val="-2"/>
        </w:rPr>
        <w:t>resolution </w:t>
      </w:r>
      <w:r>
        <w:rPr>
          <w:color w:val="231F20"/>
          <w:spacing w:val="-4"/>
        </w:rPr>
        <w:t>submitted</w:t>
      </w:r>
      <w:r>
        <w:rPr>
          <w:color w:val="231F20"/>
          <w:spacing w:val="-13"/>
        </w:rPr>
        <w:t> </w:t>
      </w:r>
      <w:r>
        <w:rPr>
          <w:color w:val="231F20"/>
          <w:spacing w:val="-4"/>
        </w:rPr>
        <w:t>to</w:t>
      </w:r>
      <w:r>
        <w:rPr>
          <w:color w:val="231F20"/>
          <w:spacing w:val="-12"/>
        </w:rPr>
        <w:t> </w:t>
      </w:r>
      <w:r>
        <w:rPr>
          <w:color w:val="231F20"/>
          <w:spacing w:val="-4"/>
        </w:rPr>
        <w:t>the</w:t>
      </w:r>
      <w:r>
        <w:rPr>
          <w:color w:val="231F20"/>
          <w:spacing w:val="-13"/>
        </w:rPr>
        <w:t> </w:t>
      </w:r>
      <w:r>
        <w:rPr>
          <w:color w:val="231F20"/>
          <w:spacing w:val="-4"/>
        </w:rPr>
        <w:t>UN</w:t>
      </w:r>
      <w:r>
        <w:rPr>
          <w:color w:val="231F20"/>
          <w:spacing w:val="-12"/>
        </w:rPr>
        <w:t> </w:t>
      </w:r>
      <w:r>
        <w:rPr>
          <w:color w:val="231F20"/>
          <w:spacing w:val="-4"/>
        </w:rPr>
        <w:t>General</w:t>
      </w:r>
      <w:r>
        <w:rPr>
          <w:color w:val="231F20"/>
          <w:spacing w:val="-13"/>
        </w:rPr>
        <w:t> </w:t>
      </w:r>
      <w:r>
        <w:rPr>
          <w:color w:val="231F20"/>
          <w:spacing w:val="-4"/>
        </w:rPr>
        <w:t>Assembly</w:t>
      </w:r>
      <w:r>
        <w:rPr>
          <w:color w:val="231F20"/>
          <w:spacing w:val="-12"/>
        </w:rPr>
        <w:t> </w:t>
      </w:r>
      <w:r>
        <w:rPr>
          <w:color w:val="231F20"/>
          <w:spacing w:val="-4"/>
        </w:rPr>
        <w:t>and </w:t>
      </w:r>
      <w:r>
        <w:rPr>
          <w:color w:val="231F20"/>
        </w:rPr>
        <w:t>with the demand that Cuba be removed from</w:t>
      </w:r>
      <w:r>
        <w:rPr>
          <w:color w:val="231F20"/>
          <w:spacing w:val="-16"/>
        </w:rPr>
        <w:t> </w:t>
      </w:r>
      <w:r>
        <w:rPr>
          <w:color w:val="231F20"/>
        </w:rPr>
        <w:t>the</w:t>
      </w:r>
      <w:r>
        <w:rPr>
          <w:color w:val="231F20"/>
          <w:spacing w:val="-14"/>
        </w:rPr>
        <w:t> </w:t>
      </w:r>
      <w:r>
        <w:rPr>
          <w:color w:val="231F20"/>
        </w:rPr>
        <w:t>list</w:t>
      </w:r>
      <w:r>
        <w:rPr>
          <w:color w:val="231F20"/>
          <w:spacing w:val="-14"/>
        </w:rPr>
        <w:t> </w:t>
      </w:r>
      <w:r>
        <w:rPr>
          <w:color w:val="231F20"/>
        </w:rPr>
        <w:t>of</w:t>
      </w:r>
      <w:r>
        <w:rPr>
          <w:color w:val="231F20"/>
          <w:spacing w:val="-14"/>
        </w:rPr>
        <w:t> </w:t>
      </w:r>
      <w:r>
        <w:rPr>
          <w:color w:val="231F20"/>
        </w:rPr>
        <w:t>state</w:t>
      </w:r>
      <w:r>
        <w:rPr>
          <w:color w:val="231F20"/>
          <w:spacing w:val="-14"/>
        </w:rPr>
        <w:t> </w:t>
      </w:r>
      <w:r>
        <w:rPr>
          <w:color w:val="231F20"/>
        </w:rPr>
        <w:t>sponsors</w:t>
      </w:r>
      <w:r>
        <w:rPr>
          <w:color w:val="231F20"/>
          <w:spacing w:val="-14"/>
        </w:rPr>
        <w:t> </w:t>
      </w:r>
      <w:r>
        <w:rPr>
          <w:color w:val="231F20"/>
        </w:rPr>
        <w:t>of</w:t>
      </w:r>
      <w:r>
        <w:rPr>
          <w:color w:val="231F20"/>
          <w:spacing w:val="-14"/>
        </w:rPr>
        <w:t> </w:t>
      </w:r>
      <w:r>
        <w:rPr>
          <w:color w:val="231F20"/>
          <w:spacing w:val="-2"/>
        </w:rPr>
        <w:t>terrorism.</w:t>
      </w:r>
    </w:p>
    <w:p>
      <w:pPr>
        <w:pStyle w:val="BodyText"/>
        <w:spacing w:before="165"/>
        <w:ind w:left="1474"/>
      </w:pPr>
      <w:r>
        <w:rPr>
          <w:b/>
          <w:color w:val="B52628"/>
        </w:rPr>
        <w:t>On November 5, 2022, </w:t>
      </w:r>
      <w:r>
        <w:rPr>
          <w:color w:val="231F20"/>
        </w:rPr>
        <w:t>the Pepe Portilla </w:t>
      </w:r>
      <w:r>
        <w:rPr>
          <w:color w:val="231F20"/>
          <w:spacing w:val="-2"/>
        </w:rPr>
        <w:t>hospital</w:t>
      </w:r>
      <w:r>
        <w:rPr>
          <w:color w:val="231F20"/>
          <w:spacing w:val="-13"/>
        </w:rPr>
        <w:t> </w:t>
      </w:r>
      <w:r>
        <w:rPr>
          <w:color w:val="231F20"/>
          <w:spacing w:val="-2"/>
        </w:rPr>
        <w:t>for</w:t>
      </w:r>
      <w:r>
        <w:rPr>
          <w:color w:val="231F20"/>
          <w:spacing w:val="-13"/>
        </w:rPr>
        <w:t> </w:t>
      </w:r>
      <w:r>
        <w:rPr>
          <w:color w:val="231F20"/>
          <w:spacing w:val="-2"/>
        </w:rPr>
        <w:t>children</w:t>
      </w:r>
      <w:r>
        <w:rPr>
          <w:color w:val="231F20"/>
          <w:spacing w:val="-13"/>
        </w:rPr>
        <w:t> </w:t>
      </w:r>
      <w:r>
        <w:rPr>
          <w:color w:val="231F20"/>
          <w:spacing w:val="-2"/>
        </w:rPr>
        <w:t>in</w:t>
      </w:r>
      <w:r>
        <w:rPr>
          <w:color w:val="231F20"/>
          <w:spacing w:val="-13"/>
        </w:rPr>
        <w:t> </w:t>
      </w:r>
      <w:r>
        <w:rPr>
          <w:color w:val="231F20"/>
          <w:spacing w:val="-2"/>
        </w:rPr>
        <w:t>Cuba’s</w:t>
      </w:r>
      <w:r>
        <w:rPr>
          <w:color w:val="231F20"/>
          <w:spacing w:val="-13"/>
        </w:rPr>
        <w:t> </w:t>
      </w:r>
      <w:r>
        <w:rPr>
          <w:color w:val="231F20"/>
          <w:spacing w:val="-2"/>
        </w:rPr>
        <w:t>Pinar</w:t>
      </w:r>
      <w:r>
        <w:rPr>
          <w:color w:val="231F20"/>
          <w:spacing w:val="-13"/>
        </w:rPr>
        <w:t> </w:t>
      </w:r>
      <w:r>
        <w:rPr>
          <w:color w:val="231F20"/>
          <w:spacing w:val="-2"/>
        </w:rPr>
        <w:t>del</w:t>
      </w:r>
      <w:r>
        <w:rPr>
          <w:color w:val="231F20"/>
          <w:spacing w:val="-13"/>
        </w:rPr>
        <w:t> </w:t>
      </w:r>
      <w:r>
        <w:rPr>
          <w:color w:val="231F20"/>
          <w:spacing w:val="-2"/>
        </w:rPr>
        <w:t>Río </w:t>
      </w:r>
      <w:r>
        <w:rPr>
          <w:color w:val="231F20"/>
        </w:rPr>
        <w:t>province</w:t>
      </w:r>
      <w:r>
        <w:rPr>
          <w:color w:val="231F20"/>
          <w:spacing w:val="-11"/>
        </w:rPr>
        <w:t> </w:t>
      </w:r>
      <w:r>
        <w:rPr>
          <w:color w:val="231F20"/>
        </w:rPr>
        <w:t>received</w:t>
      </w:r>
      <w:r>
        <w:rPr>
          <w:color w:val="231F20"/>
          <w:spacing w:val="-10"/>
        </w:rPr>
        <w:t> </w:t>
      </w:r>
      <w:r>
        <w:rPr>
          <w:color w:val="231F20"/>
        </w:rPr>
        <w:t>a</w:t>
      </w:r>
      <w:r>
        <w:rPr>
          <w:color w:val="231F20"/>
          <w:spacing w:val="-10"/>
        </w:rPr>
        <w:t> </w:t>
      </w:r>
      <w:r>
        <w:rPr>
          <w:color w:val="231F20"/>
        </w:rPr>
        <w:t>donation</w:t>
      </w:r>
      <w:r>
        <w:rPr>
          <w:color w:val="231F20"/>
          <w:spacing w:val="-10"/>
        </w:rPr>
        <w:t> </w:t>
      </w:r>
      <w:r>
        <w:rPr>
          <w:color w:val="231F20"/>
        </w:rPr>
        <w:t>of</w:t>
      </w:r>
      <w:r>
        <w:rPr>
          <w:color w:val="231F20"/>
          <w:spacing w:val="-10"/>
        </w:rPr>
        <w:t> </w:t>
      </w:r>
      <w:r>
        <w:rPr>
          <w:color w:val="231F20"/>
          <w:spacing w:val="-5"/>
        </w:rPr>
        <w:t>powdered</w:t>
      </w:r>
    </w:p>
    <w:p>
      <w:pPr>
        <w:pStyle w:val="BodyText"/>
        <w:spacing w:before="77"/>
        <w:ind w:left="412" w:right="1135"/>
      </w:pPr>
      <w:r>
        <w:rPr/>
        <w:br w:type="column"/>
      </w:r>
      <w:r>
        <w:rPr>
          <w:color w:val="231F20"/>
        </w:rPr>
        <w:t>milk, surgical gloves, food and medicines from Carlos Lazo, a Cuban American </w:t>
      </w:r>
      <w:r>
        <w:rPr>
          <w:color w:val="231F20"/>
          <w:spacing w:val="-8"/>
        </w:rPr>
        <w:t>academic and activist who leads the Puentes </w:t>
      </w:r>
      <w:r>
        <w:rPr>
          <w:color w:val="231F20"/>
        </w:rPr>
        <w:t>de</w:t>
      </w:r>
      <w:r>
        <w:rPr>
          <w:color w:val="231F20"/>
          <w:spacing w:val="-6"/>
        </w:rPr>
        <w:t> </w:t>
      </w:r>
      <w:r>
        <w:rPr>
          <w:color w:val="231F20"/>
        </w:rPr>
        <w:t>Amor</w:t>
      </w:r>
      <w:r>
        <w:rPr>
          <w:color w:val="231F20"/>
          <w:spacing w:val="-6"/>
        </w:rPr>
        <w:t> </w:t>
      </w:r>
      <w:r>
        <w:rPr>
          <w:color w:val="231F20"/>
        </w:rPr>
        <w:t>project,</w:t>
      </w:r>
      <w:r>
        <w:rPr>
          <w:color w:val="231F20"/>
          <w:spacing w:val="-6"/>
        </w:rPr>
        <w:t> </w:t>
      </w:r>
      <w:r>
        <w:rPr>
          <w:color w:val="231F20"/>
        </w:rPr>
        <w:t>and</w:t>
      </w:r>
      <w:r>
        <w:rPr>
          <w:color w:val="231F20"/>
          <w:spacing w:val="-6"/>
        </w:rPr>
        <w:t> </w:t>
      </w:r>
      <w:r>
        <w:rPr>
          <w:color w:val="231F20"/>
        </w:rPr>
        <w:t>from</w:t>
      </w:r>
      <w:r>
        <w:rPr>
          <w:color w:val="231F20"/>
          <w:spacing w:val="-6"/>
        </w:rPr>
        <w:t> </w:t>
      </w:r>
      <w:r>
        <w:rPr>
          <w:color w:val="231F20"/>
        </w:rPr>
        <w:t>the</w:t>
      </w:r>
      <w:r>
        <w:rPr>
          <w:color w:val="231F20"/>
          <w:spacing w:val="40"/>
        </w:rPr>
        <w:t> </w:t>
      </w:r>
      <w:r>
        <w:rPr>
          <w:color w:val="231F20"/>
        </w:rPr>
        <w:t>Code</w:t>
      </w:r>
      <w:r>
        <w:rPr>
          <w:color w:val="231F20"/>
          <w:spacing w:val="-6"/>
        </w:rPr>
        <w:t> </w:t>
      </w:r>
      <w:r>
        <w:rPr>
          <w:color w:val="231F20"/>
        </w:rPr>
        <w:t>Pink pacifist organization. Lazo described the donation</w:t>
      </w:r>
      <w:r>
        <w:rPr>
          <w:color w:val="231F20"/>
          <w:spacing w:val="-16"/>
        </w:rPr>
        <w:t> </w:t>
      </w:r>
      <w:r>
        <w:rPr>
          <w:color w:val="231F20"/>
        </w:rPr>
        <w:t>as</w:t>
      </w:r>
      <w:r>
        <w:rPr>
          <w:color w:val="231F20"/>
          <w:spacing w:val="-16"/>
        </w:rPr>
        <w:t> </w:t>
      </w:r>
      <w:r>
        <w:rPr>
          <w:color w:val="231F20"/>
        </w:rPr>
        <w:t>aid</w:t>
      </w:r>
      <w:r>
        <w:rPr>
          <w:color w:val="231F20"/>
          <w:spacing w:val="-16"/>
        </w:rPr>
        <w:t> </w:t>
      </w:r>
      <w:r>
        <w:rPr>
          <w:color w:val="231F20"/>
        </w:rPr>
        <w:t>to</w:t>
      </w:r>
      <w:r>
        <w:rPr>
          <w:color w:val="231F20"/>
          <w:spacing w:val="-16"/>
        </w:rPr>
        <w:t> </w:t>
      </w:r>
      <w:r>
        <w:rPr>
          <w:color w:val="231F20"/>
        </w:rPr>
        <w:t>Cuba</w:t>
      </w:r>
      <w:r>
        <w:rPr>
          <w:color w:val="231F20"/>
          <w:spacing w:val="-16"/>
        </w:rPr>
        <w:t> </w:t>
      </w:r>
      <w:r>
        <w:rPr>
          <w:color w:val="231F20"/>
        </w:rPr>
        <w:t>in</w:t>
      </w:r>
      <w:r>
        <w:rPr>
          <w:color w:val="231F20"/>
          <w:spacing w:val="-16"/>
        </w:rPr>
        <w:t> </w:t>
      </w:r>
      <w:r>
        <w:rPr>
          <w:color w:val="231F20"/>
        </w:rPr>
        <w:t>response</w:t>
      </w:r>
      <w:r>
        <w:rPr>
          <w:color w:val="231F20"/>
          <w:spacing w:val="-16"/>
        </w:rPr>
        <w:t> </w:t>
      </w:r>
      <w:r>
        <w:rPr>
          <w:color w:val="231F20"/>
        </w:rPr>
        <w:t>to</w:t>
      </w:r>
      <w:r>
        <w:rPr>
          <w:color w:val="231F20"/>
          <w:spacing w:val="-16"/>
        </w:rPr>
        <w:t> </w:t>
      </w:r>
      <w:r>
        <w:rPr>
          <w:color w:val="231F20"/>
        </w:rPr>
        <w:t>the economic blockade.</w:t>
      </w:r>
    </w:p>
    <w:p>
      <w:pPr>
        <w:pStyle w:val="BodyText"/>
        <w:spacing w:before="165"/>
        <w:ind w:left="412" w:right="1133"/>
      </w:pPr>
      <w:r>
        <w:rPr>
          <w:b/>
          <w:color w:val="B52628"/>
        </w:rPr>
        <w:t>On</w:t>
      </w:r>
      <w:r>
        <w:rPr>
          <w:b/>
          <w:color w:val="B52628"/>
          <w:spacing w:val="-10"/>
        </w:rPr>
        <w:t> </w:t>
      </w:r>
      <w:r>
        <w:rPr>
          <w:b/>
          <w:color w:val="B52628"/>
        </w:rPr>
        <w:t>November</w:t>
      </w:r>
      <w:r>
        <w:rPr>
          <w:b/>
          <w:color w:val="B52628"/>
          <w:spacing w:val="-10"/>
        </w:rPr>
        <w:t> </w:t>
      </w:r>
      <w:r>
        <w:rPr>
          <w:b/>
          <w:color w:val="B52628"/>
        </w:rPr>
        <w:t>14,</w:t>
      </w:r>
      <w:r>
        <w:rPr>
          <w:b/>
          <w:color w:val="B52628"/>
          <w:spacing w:val="-10"/>
        </w:rPr>
        <w:t> </w:t>
      </w:r>
      <w:r>
        <w:rPr>
          <w:b/>
          <w:color w:val="B52628"/>
        </w:rPr>
        <w:t>2022,</w:t>
      </w:r>
      <w:r>
        <w:rPr>
          <w:b/>
          <w:color w:val="B52628"/>
          <w:spacing w:val="-7"/>
        </w:rPr>
        <w:t> </w:t>
      </w:r>
      <w:r>
        <w:rPr>
          <w:color w:val="231F20"/>
        </w:rPr>
        <w:t>the</w:t>
      </w:r>
      <w:r>
        <w:rPr>
          <w:color w:val="231F20"/>
          <w:spacing w:val="-5"/>
        </w:rPr>
        <w:t> </w:t>
      </w:r>
      <w:r>
        <w:rPr>
          <w:color w:val="231F20"/>
        </w:rPr>
        <w:t>Washington Post</w:t>
      </w:r>
      <w:r>
        <w:rPr>
          <w:color w:val="231F20"/>
          <w:spacing w:val="-17"/>
        </w:rPr>
        <w:t> </w:t>
      </w:r>
      <w:r>
        <w:rPr>
          <w:color w:val="231F20"/>
        </w:rPr>
        <w:t>published</w:t>
      </w:r>
      <w:r>
        <w:rPr>
          <w:color w:val="231F20"/>
          <w:spacing w:val="-16"/>
        </w:rPr>
        <w:t> </w:t>
      </w:r>
      <w:r>
        <w:rPr>
          <w:color w:val="231F20"/>
        </w:rPr>
        <w:t>an</w:t>
      </w:r>
      <w:r>
        <w:rPr>
          <w:color w:val="231F20"/>
          <w:spacing w:val="-17"/>
        </w:rPr>
        <w:t> </w:t>
      </w:r>
      <w:r>
        <w:rPr>
          <w:color w:val="231F20"/>
        </w:rPr>
        <w:t>article</w:t>
      </w:r>
      <w:r>
        <w:rPr>
          <w:color w:val="231F20"/>
          <w:spacing w:val="-16"/>
        </w:rPr>
        <w:t> </w:t>
      </w:r>
      <w:r>
        <w:rPr>
          <w:color w:val="231F20"/>
        </w:rPr>
        <w:t>by</w:t>
      </w:r>
      <w:r>
        <w:rPr>
          <w:color w:val="231F20"/>
          <w:spacing w:val="-17"/>
        </w:rPr>
        <w:t> </w:t>
      </w:r>
      <w:r>
        <w:rPr>
          <w:color w:val="231F20"/>
        </w:rPr>
        <w:t>the</w:t>
      </w:r>
      <w:r>
        <w:rPr>
          <w:color w:val="231F20"/>
          <w:spacing w:val="-16"/>
        </w:rPr>
        <w:t> </w:t>
      </w:r>
      <w:r>
        <w:rPr>
          <w:color w:val="231F20"/>
        </w:rPr>
        <w:t>U.S.</w:t>
      </w:r>
      <w:r>
        <w:rPr>
          <w:color w:val="231F20"/>
          <w:spacing w:val="-17"/>
        </w:rPr>
        <w:t> </w:t>
      </w:r>
      <w:r>
        <w:rPr>
          <w:color w:val="231F20"/>
        </w:rPr>
        <w:t>citizen of Cuban origin Chris Moldes calling for an end to the blockade on Cuba and for elimination of Cuba from the list of state sponsors of terrorism. He described both as products of anachronistic policies.</w:t>
      </w:r>
    </w:p>
    <w:p>
      <w:pPr>
        <w:pStyle w:val="BodyText"/>
        <w:spacing w:before="166"/>
        <w:ind w:left="412" w:right="1133"/>
      </w:pPr>
      <w:r>
        <w:rPr>
          <w:b/>
          <w:color w:val="B52628"/>
        </w:rPr>
        <w:t>On November 19, 2022, </w:t>
      </w:r>
      <w:r>
        <w:rPr>
          <w:color w:val="231F20"/>
        </w:rPr>
        <w:t>the NEMO organization condemned the blockade</w:t>
      </w:r>
      <w:r>
        <w:rPr>
          <w:color w:val="231F20"/>
          <w:spacing w:val="40"/>
        </w:rPr>
        <w:t> </w:t>
      </w:r>
      <w:r>
        <w:rPr>
          <w:color w:val="231F20"/>
        </w:rPr>
        <w:t>on Cuba during a forum attended by Connecticut members of congress and consular representatives of Latin America &amp;</w:t>
      </w:r>
      <w:r>
        <w:rPr>
          <w:color w:val="231F20"/>
          <w:spacing w:val="40"/>
        </w:rPr>
        <w:t> </w:t>
      </w:r>
      <w:r>
        <w:rPr>
          <w:color w:val="231F20"/>
        </w:rPr>
        <w:t>the</w:t>
      </w:r>
      <w:r>
        <w:rPr>
          <w:color w:val="231F20"/>
          <w:spacing w:val="40"/>
        </w:rPr>
        <w:t> </w:t>
      </w:r>
      <w:r>
        <w:rPr>
          <w:color w:val="231F20"/>
        </w:rPr>
        <w:t>Caribbean.</w:t>
      </w:r>
      <w:r>
        <w:rPr>
          <w:color w:val="231F20"/>
          <w:spacing w:val="40"/>
        </w:rPr>
        <w:t> </w:t>
      </w:r>
      <w:r>
        <w:rPr>
          <w:color w:val="231F20"/>
        </w:rPr>
        <w:t>In</w:t>
      </w:r>
      <w:r>
        <w:rPr>
          <w:color w:val="231F20"/>
          <w:spacing w:val="40"/>
        </w:rPr>
        <w:t> </w:t>
      </w:r>
      <w:r>
        <w:rPr>
          <w:color w:val="231F20"/>
        </w:rPr>
        <w:t>a</w:t>
      </w:r>
      <w:r>
        <w:rPr>
          <w:color w:val="231F20"/>
          <w:spacing w:val="40"/>
        </w:rPr>
        <w:t> </w:t>
      </w:r>
      <w:r>
        <w:rPr>
          <w:color w:val="231F20"/>
        </w:rPr>
        <w:t>speech,</w:t>
      </w:r>
      <w:r>
        <w:rPr>
          <w:color w:val="231F20"/>
          <w:spacing w:val="40"/>
        </w:rPr>
        <w:t> </w:t>
      </w:r>
      <w:r>
        <w:rPr>
          <w:color w:val="231F20"/>
        </w:rPr>
        <w:t>José</w:t>
      </w:r>
      <w:r>
        <w:rPr>
          <w:color w:val="231F20"/>
          <w:spacing w:val="80"/>
        </w:rPr>
        <w:t> </w:t>
      </w:r>
      <w:r>
        <w:rPr>
          <w:color w:val="231F20"/>
        </w:rPr>
        <w:t>Oro, a member of the group’s board of management, condemned the coercive </w:t>
      </w:r>
      <w:r>
        <w:rPr>
          <w:color w:val="231F20"/>
          <w:spacing w:val="-2"/>
        </w:rPr>
        <w:t>measures</w:t>
      </w:r>
      <w:r>
        <w:rPr>
          <w:color w:val="231F20"/>
          <w:spacing w:val="-10"/>
        </w:rPr>
        <w:t> </w:t>
      </w:r>
      <w:r>
        <w:rPr>
          <w:color w:val="231F20"/>
          <w:spacing w:val="-2"/>
        </w:rPr>
        <w:t>applied</w:t>
      </w:r>
      <w:r>
        <w:rPr>
          <w:color w:val="231F20"/>
          <w:spacing w:val="-10"/>
        </w:rPr>
        <w:t> </w:t>
      </w:r>
      <w:r>
        <w:rPr>
          <w:color w:val="231F20"/>
          <w:spacing w:val="-2"/>
        </w:rPr>
        <w:t>for</w:t>
      </w:r>
      <w:r>
        <w:rPr>
          <w:color w:val="231F20"/>
          <w:spacing w:val="-10"/>
        </w:rPr>
        <w:t> </w:t>
      </w:r>
      <w:r>
        <w:rPr>
          <w:color w:val="231F20"/>
          <w:spacing w:val="-2"/>
        </w:rPr>
        <w:t>over</w:t>
      </w:r>
      <w:r>
        <w:rPr>
          <w:color w:val="231F20"/>
          <w:spacing w:val="-10"/>
        </w:rPr>
        <w:t> </w:t>
      </w:r>
      <w:r>
        <w:rPr>
          <w:color w:val="231F20"/>
          <w:spacing w:val="-2"/>
        </w:rPr>
        <w:t>60</w:t>
      </w:r>
      <w:r>
        <w:rPr>
          <w:color w:val="231F20"/>
          <w:spacing w:val="-10"/>
        </w:rPr>
        <w:t> </w:t>
      </w:r>
      <w:r>
        <w:rPr>
          <w:color w:val="231F20"/>
          <w:spacing w:val="-2"/>
        </w:rPr>
        <w:t>years</w:t>
      </w:r>
      <w:r>
        <w:rPr>
          <w:color w:val="231F20"/>
          <w:spacing w:val="-10"/>
        </w:rPr>
        <w:t> </w:t>
      </w:r>
      <w:r>
        <w:rPr>
          <w:color w:val="231F20"/>
          <w:spacing w:val="-2"/>
        </w:rPr>
        <w:t>against </w:t>
      </w:r>
      <w:r>
        <w:rPr>
          <w:color w:val="231F20"/>
        </w:rPr>
        <w:t>Cuba with the aims of weakening its economy, causing desperation and the overthrow of the government.</w:t>
      </w:r>
    </w:p>
    <w:p>
      <w:pPr>
        <w:pStyle w:val="BodyText"/>
        <w:spacing w:before="169"/>
        <w:ind w:left="412" w:right="1132"/>
      </w:pPr>
      <w:r>
        <w:rPr>
          <w:b/>
          <w:color w:val="B52628"/>
        </w:rPr>
        <w:t>On November 28, 2022, </w:t>
      </w:r>
      <w:r>
        <w:rPr>
          <w:color w:val="231F20"/>
        </w:rPr>
        <w:t>the Troy Area </w:t>
      </w:r>
      <w:r>
        <w:rPr>
          <w:color w:val="231F20"/>
          <w:spacing w:val="-4"/>
        </w:rPr>
        <w:t>Labor</w:t>
      </w:r>
      <w:r>
        <w:rPr>
          <w:color w:val="231F20"/>
          <w:spacing w:val="-8"/>
        </w:rPr>
        <w:t> </w:t>
      </w:r>
      <w:r>
        <w:rPr>
          <w:color w:val="231F20"/>
          <w:spacing w:val="-4"/>
        </w:rPr>
        <w:t>Council,</w:t>
      </w:r>
      <w:r>
        <w:rPr>
          <w:color w:val="231F20"/>
          <w:spacing w:val="-8"/>
        </w:rPr>
        <w:t> </w:t>
      </w:r>
      <w:r>
        <w:rPr>
          <w:color w:val="231F20"/>
          <w:spacing w:val="-4"/>
        </w:rPr>
        <w:t>Troy</w:t>
      </w:r>
      <w:r>
        <w:rPr>
          <w:color w:val="231F20"/>
          <w:spacing w:val="-8"/>
        </w:rPr>
        <w:t> </w:t>
      </w:r>
      <w:r>
        <w:rPr>
          <w:color w:val="231F20"/>
          <w:spacing w:val="-4"/>
        </w:rPr>
        <w:t>NY,</w:t>
      </w:r>
      <w:r>
        <w:rPr>
          <w:color w:val="231F20"/>
          <w:spacing w:val="-8"/>
        </w:rPr>
        <w:t> </w:t>
      </w:r>
      <w:r>
        <w:rPr>
          <w:color w:val="231F20"/>
          <w:spacing w:val="-4"/>
        </w:rPr>
        <w:t>passed</w:t>
      </w:r>
      <w:r>
        <w:rPr>
          <w:color w:val="231F20"/>
          <w:spacing w:val="-8"/>
        </w:rPr>
        <w:t> </w:t>
      </w:r>
      <w:r>
        <w:rPr>
          <w:color w:val="231F20"/>
          <w:spacing w:val="-4"/>
        </w:rPr>
        <w:t>a</w:t>
      </w:r>
      <w:r>
        <w:rPr>
          <w:color w:val="231F20"/>
          <w:spacing w:val="-8"/>
        </w:rPr>
        <w:t> </w:t>
      </w:r>
      <w:r>
        <w:rPr>
          <w:color w:val="231F20"/>
          <w:spacing w:val="-4"/>
        </w:rPr>
        <w:t>resolution </w:t>
      </w:r>
      <w:r>
        <w:rPr>
          <w:color w:val="231F20"/>
        </w:rPr>
        <w:t>calling</w:t>
      </w:r>
      <w:r>
        <w:rPr>
          <w:color w:val="231F20"/>
          <w:spacing w:val="-1"/>
        </w:rPr>
        <w:t> </w:t>
      </w:r>
      <w:r>
        <w:rPr>
          <w:color w:val="231F20"/>
        </w:rPr>
        <w:t>for</w:t>
      </w:r>
      <w:r>
        <w:rPr>
          <w:color w:val="231F20"/>
          <w:spacing w:val="-1"/>
        </w:rPr>
        <w:t> </w:t>
      </w:r>
      <w:r>
        <w:rPr>
          <w:color w:val="231F20"/>
        </w:rPr>
        <w:t>lifting</w:t>
      </w:r>
      <w:r>
        <w:rPr>
          <w:color w:val="231F20"/>
          <w:spacing w:val="-1"/>
        </w:rPr>
        <w:t> </w:t>
      </w:r>
      <w:r>
        <w:rPr>
          <w:color w:val="231F20"/>
        </w:rPr>
        <w:t>of</w:t>
      </w:r>
      <w:r>
        <w:rPr>
          <w:color w:val="231F20"/>
          <w:spacing w:val="-1"/>
        </w:rPr>
        <w:t> </w:t>
      </w:r>
      <w:r>
        <w:rPr>
          <w:color w:val="231F20"/>
        </w:rPr>
        <w:t>the</w:t>
      </w:r>
      <w:r>
        <w:rPr>
          <w:color w:val="231F20"/>
          <w:spacing w:val="-1"/>
        </w:rPr>
        <w:t> </w:t>
      </w:r>
      <w:r>
        <w:rPr>
          <w:color w:val="231F20"/>
        </w:rPr>
        <w:t>blockade</w:t>
      </w:r>
      <w:r>
        <w:rPr>
          <w:color w:val="231F20"/>
          <w:spacing w:val="-1"/>
        </w:rPr>
        <w:t> </w:t>
      </w:r>
      <w:r>
        <w:rPr>
          <w:color w:val="231F20"/>
        </w:rPr>
        <w:t>on</w:t>
      </w:r>
      <w:r>
        <w:rPr>
          <w:color w:val="231F20"/>
          <w:spacing w:val="-1"/>
        </w:rPr>
        <w:t> </w:t>
      </w:r>
      <w:r>
        <w:rPr>
          <w:color w:val="231F20"/>
        </w:rPr>
        <w:t>Cuba and</w:t>
      </w:r>
      <w:r>
        <w:rPr>
          <w:color w:val="231F20"/>
          <w:spacing w:val="-17"/>
        </w:rPr>
        <w:t> </w:t>
      </w:r>
      <w:r>
        <w:rPr>
          <w:color w:val="231F20"/>
        </w:rPr>
        <w:t>removal</w:t>
      </w:r>
      <w:r>
        <w:rPr>
          <w:color w:val="231F20"/>
          <w:spacing w:val="-16"/>
        </w:rPr>
        <w:t> </w:t>
      </w:r>
      <w:r>
        <w:rPr>
          <w:color w:val="231F20"/>
        </w:rPr>
        <w:t>of</w:t>
      </w:r>
      <w:r>
        <w:rPr>
          <w:color w:val="231F20"/>
          <w:spacing w:val="-17"/>
        </w:rPr>
        <w:t> </w:t>
      </w:r>
      <w:r>
        <w:rPr>
          <w:color w:val="231F20"/>
        </w:rPr>
        <w:t>our</w:t>
      </w:r>
      <w:r>
        <w:rPr>
          <w:color w:val="231F20"/>
          <w:spacing w:val="-16"/>
        </w:rPr>
        <w:t> </w:t>
      </w:r>
      <w:r>
        <w:rPr>
          <w:color w:val="231F20"/>
        </w:rPr>
        <w:t>country</w:t>
      </w:r>
      <w:r>
        <w:rPr>
          <w:color w:val="231F20"/>
          <w:spacing w:val="-17"/>
        </w:rPr>
        <w:t> </w:t>
      </w:r>
      <w:r>
        <w:rPr>
          <w:color w:val="231F20"/>
        </w:rPr>
        <w:t>from</w:t>
      </w:r>
      <w:r>
        <w:rPr>
          <w:color w:val="231F20"/>
          <w:spacing w:val="-16"/>
        </w:rPr>
        <w:t> </w:t>
      </w:r>
      <w:r>
        <w:rPr>
          <w:color w:val="231F20"/>
        </w:rPr>
        <w:t>the</w:t>
      </w:r>
      <w:r>
        <w:rPr>
          <w:color w:val="231F20"/>
          <w:spacing w:val="-17"/>
        </w:rPr>
        <w:t> </w:t>
      </w:r>
      <w:r>
        <w:rPr>
          <w:color w:val="231F20"/>
        </w:rPr>
        <w:t>list</w:t>
      </w:r>
      <w:r>
        <w:rPr>
          <w:color w:val="231F20"/>
          <w:spacing w:val="-16"/>
        </w:rPr>
        <w:t> </w:t>
      </w:r>
      <w:r>
        <w:rPr>
          <w:color w:val="231F20"/>
        </w:rPr>
        <w:t>of state sponsors of terrorism.</w:t>
      </w:r>
    </w:p>
    <w:p>
      <w:pPr>
        <w:spacing w:before="164"/>
        <w:ind w:left="412" w:right="1133" w:firstLine="0"/>
        <w:jc w:val="both"/>
        <w:rPr>
          <w:sz w:val="24"/>
        </w:rPr>
      </w:pPr>
      <w:r>
        <w:rPr>
          <w:b/>
          <w:color w:val="B52628"/>
          <w:sz w:val="24"/>
        </w:rPr>
        <w:t>On December 4, 2022, </w:t>
      </w:r>
      <w:r>
        <w:rPr>
          <w:color w:val="231F20"/>
          <w:sz w:val="24"/>
        </w:rPr>
        <w:t>a new caravan against</w:t>
      </w:r>
      <w:r>
        <w:rPr>
          <w:color w:val="231F20"/>
          <w:spacing w:val="-2"/>
          <w:sz w:val="24"/>
        </w:rPr>
        <w:t> </w:t>
      </w:r>
      <w:r>
        <w:rPr>
          <w:color w:val="231F20"/>
          <w:sz w:val="24"/>
        </w:rPr>
        <w:t>the</w:t>
      </w:r>
      <w:r>
        <w:rPr>
          <w:color w:val="231F20"/>
          <w:spacing w:val="-2"/>
          <w:sz w:val="24"/>
        </w:rPr>
        <w:t> </w:t>
      </w:r>
      <w:r>
        <w:rPr>
          <w:color w:val="231F20"/>
          <w:sz w:val="24"/>
        </w:rPr>
        <w:t>blockade</w:t>
      </w:r>
      <w:r>
        <w:rPr>
          <w:color w:val="231F20"/>
          <w:spacing w:val="-2"/>
          <w:sz w:val="24"/>
        </w:rPr>
        <w:t> </w:t>
      </w:r>
      <w:r>
        <w:rPr>
          <w:color w:val="231F20"/>
          <w:sz w:val="24"/>
        </w:rPr>
        <w:t>on</w:t>
      </w:r>
      <w:r>
        <w:rPr>
          <w:color w:val="231F20"/>
          <w:spacing w:val="-2"/>
          <w:sz w:val="24"/>
        </w:rPr>
        <w:t> </w:t>
      </w:r>
      <w:r>
        <w:rPr>
          <w:color w:val="231F20"/>
          <w:sz w:val="24"/>
        </w:rPr>
        <w:t>Cuba</w:t>
      </w:r>
      <w:r>
        <w:rPr>
          <w:color w:val="231F20"/>
          <w:spacing w:val="-2"/>
          <w:sz w:val="24"/>
        </w:rPr>
        <w:t> </w:t>
      </w:r>
      <w:r>
        <w:rPr>
          <w:color w:val="231F20"/>
          <w:sz w:val="24"/>
        </w:rPr>
        <w:t>took</w:t>
      </w:r>
      <w:r>
        <w:rPr>
          <w:color w:val="231F20"/>
          <w:spacing w:val="-2"/>
          <w:sz w:val="24"/>
        </w:rPr>
        <w:t> </w:t>
      </w:r>
      <w:r>
        <w:rPr>
          <w:color w:val="231F20"/>
          <w:sz w:val="24"/>
        </w:rPr>
        <w:t>to</w:t>
      </w:r>
      <w:r>
        <w:rPr>
          <w:color w:val="231F20"/>
          <w:spacing w:val="-2"/>
          <w:sz w:val="24"/>
        </w:rPr>
        <w:t> </w:t>
      </w:r>
      <w:r>
        <w:rPr>
          <w:color w:val="231F20"/>
          <w:sz w:val="24"/>
        </w:rPr>
        <w:t>the streets of Miami FL.</w:t>
      </w:r>
    </w:p>
    <w:p>
      <w:pPr>
        <w:pStyle w:val="BodyText"/>
        <w:spacing w:before="162"/>
        <w:ind w:left="412" w:right="1130"/>
      </w:pPr>
      <w:r>
        <w:rPr>
          <w:b/>
          <w:color w:val="B52628"/>
          <w:spacing w:val="-12"/>
        </w:rPr>
        <w:t>On</w:t>
      </w:r>
      <w:r>
        <w:rPr>
          <w:b/>
          <w:color w:val="B52628"/>
        </w:rPr>
        <w:t> </w:t>
      </w:r>
      <w:r>
        <w:rPr>
          <w:b/>
          <w:color w:val="B52628"/>
          <w:spacing w:val="-12"/>
        </w:rPr>
        <w:t>December</w:t>
      </w:r>
      <w:r>
        <w:rPr>
          <w:b/>
          <w:color w:val="B52628"/>
        </w:rPr>
        <w:t> </w:t>
      </w:r>
      <w:r>
        <w:rPr>
          <w:b/>
          <w:color w:val="B52628"/>
          <w:spacing w:val="-12"/>
        </w:rPr>
        <w:t>7,</w:t>
      </w:r>
      <w:r>
        <w:rPr>
          <w:b/>
          <w:color w:val="B52628"/>
        </w:rPr>
        <w:t> </w:t>
      </w:r>
      <w:r>
        <w:rPr>
          <w:b/>
          <w:color w:val="B52628"/>
          <w:spacing w:val="-12"/>
        </w:rPr>
        <w:t>2022,</w:t>
      </w:r>
      <w:r>
        <w:rPr>
          <w:b/>
          <w:color w:val="B52628"/>
          <w:spacing w:val="-2"/>
        </w:rPr>
        <w:t> </w:t>
      </w:r>
      <w:r>
        <w:rPr>
          <w:color w:val="231F20"/>
          <w:spacing w:val="-12"/>
        </w:rPr>
        <w:t>Michigan</w:t>
      </w:r>
      <w:r>
        <w:rPr>
          <w:color w:val="231F20"/>
        </w:rPr>
        <w:t> </w:t>
      </w:r>
      <w:r>
        <w:rPr>
          <w:color w:val="231F20"/>
          <w:spacing w:val="-12"/>
        </w:rPr>
        <w:t>Democratic </w:t>
      </w:r>
      <w:r>
        <w:rPr>
          <w:color w:val="231F20"/>
        </w:rPr>
        <w:t>floor leader Yousef Rabhi submitted a resolution</w:t>
      </w:r>
      <w:r>
        <w:rPr>
          <w:color w:val="231F20"/>
          <w:spacing w:val="-17"/>
        </w:rPr>
        <w:t> </w:t>
      </w:r>
      <w:r>
        <w:rPr>
          <w:color w:val="231F20"/>
        </w:rPr>
        <w:t>calling</w:t>
      </w:r>
      <w:r>
        <w:rPr>
          <w:color w:val="231F20"/>
          <w:spacing w:val="-16"/>
        </w:rPr>
        <w:t> </w:t>
      </w:r>
      <w:r>
        <w:rPr>
          <w:color w:val="231F20"/>
        </w:rPr>
        <w:t>on</w:t>
      </w:r>
      <w:r>
        <w:rPr>
          <w:color w:val="231F20"/>
          <w:spacing w:val="-17"/>
        </w:rPr>
        <w:t> </w:t>
      </w:r>
      <w:r>
        <w:rPr>
          <w:color w:val="231F20"/>
        </w:rPr>
        <w:t>President</w:t>
      </w:r>
      <w:r>
        <w:rPr>
          <w:color w:val="231F20"/>
          <w:spacing w:val="-16"/>
        </w:rPr>
        <w:t> </w:t>
      </w:r>
      <w:r>
        <w:rPr>
          <w:color w:val="231F20"/>
        </w:rPr>
        <w:t>Biden</w:t>
      </w:r>
      <w:r>
        <w:rPr>
          <w:color w:val="231F20"/>
          <w:spacing w:val="-17"/>
        </w:rPr>
        <w:t> </w:t>
      </w:r>
      <w:r>
        <w:rPr>
          <w:color w:val="231F20"/>
        </w:rPr>
        <w:t>to</w:t>
      </w:r>
      <w:r>
        <w:rPr>
          <w:color w:val="231F20"/>
          <w:spacing w:val="-16"/>
        </w:rPr>
        <w:t> </w:t>
      </w:r>
      <w:r>
        <w:rPr>
          <w:color w:val="231F20"/>
        </w:rPr>
        <w:t>lift the blockade and take Cuba off the list of state sponsors of terrorism. The initiative </w:t>
      </w:r>
      <w:r>
        <w:rPr>
          <w:color w:val="231F20"/>
          <w:spacing w:val="-6"/>
        </w:rPr>
        <w:t>was</w:t>
      </w:r>
      <w:r>
        <w:rPr>
          <w:color w:val="231F20"/>
          <w:spacing w:val="-11"/>
        </w:rPr>
        <w:t> </w:t>
      </w:r>
      <w:r>
        <w:rPr>
          <w:color w:val="231F20"/>
          <w:spacing w:val="-6"/>
        </w:rPr>
        <w:t>cosponsored</w:t>
      </w:r>
      <w:r>
        <w:rPr>
          <w:color w:val="231F20"/>
          <w:spacing w:val="-10"/>
        </w:rPr>
        <w:t> </w:t>
      </w:r>
      <w:r>
        <w:rPr>
          <w:color w:val="231F20"/>
          <w:spacing w:val="-6"/>
        </w:rPr>
        <w:t>by</w:t>
      </w:r>
      <w:r>
        <w:rPr>
          <w:color w:val="231F20"/>
          <w:spacing w:val="-11"/>
        </w:rPr>
        <w:t> </w:t>
      </w:r>
      <w:r>
        <w:rPr>
          <w:color w:val="231F20"/>
          <w:spacing w:val="-6"/>
        </w:rPr>
        <w:t>Abraham</w:t>
      </w:r>
      <w:r>
        <w:rPr>
          <w:color w:val="231F20"/>
          <w:spacing w:val="-10"/>
        </w:rPr>
        <w:t> </w:t>
      </w:r>
      <w:r>
        <w:rPr>
          <w:color w:val="231F20"/>
          <w:spacing w:val="-6"/>
        </w:rPr>
        <w:t>Aiyash,</w:t>
      </w:r>
      <w:r>
        <w:rPr>
          <w:color w:val="231F20"/>
          <w:spacing w:val="-11"/>
        </w:rPr>
        <w:t> </w:t>
      </w:r>
      <w:r>
        <w:rPr>
          <w:color w:val="231F20"/>
          <w:spacing w:val="-6"/>
        </w:rPr>
        <w:t>David </w:t>
      </w:r>
      <w:r>
        <w:rPr>
          <w:color w:val="231F20"/>
          <w:spacing w:val="-4"/>
        </w:rPr>
        <w:t>LaGrand,</w:t>
      </w:r>
      <w:r>
        <w:rPr>
          <w:color w:val="231F20"/>
          <w:spacing w:val="-13"/>
        </w:rPr>
        <w:t> </w:t>
      </w:r>
      <w:r>
        <w:rPr>
          <w:color w:val="231F20"/>
          <w:spacing w:val="-4"/>
        </w:rPr>
        <w:t>Julie</w:t>
      </w:r>
      <w:r>
        <w:rPr>
          <w:color w:val="231F20"/>
          <w:spacing w:val="-12"/>
        </w:rPr>
        <w:t> </w:t>
      </w:r>
      <w:r>
        <w:rPr>
          <w:color w:val="231F20"/>
          <w:spacing w:val="-4"/>
        </w:rPr>
        <w:t>Brixie,</w:t>
      </w:r>
      <w:r>
        <w:rPr>
          <w:color w:val="231F20"/>
          <w:spacing w:val="-13"/>
        </w:rPr>
        <w:t> </w:t>
      </w:r>
      <w:r>
        <w:rPr>
          <w:color w:val="231F20"/>
          <w:spacing w:val="-4"/>
        </w:rPr>
        <w:t>Cynthia</w:t>
      </w:r>
      <w:r>
        <w:rPr>
          <w:color w:val="231F20"/>
          <w:spacing w:val="-12"/>
        </w:rPr>
        <w:t> </w:t>
      </w:r>
      <w:r>
        <w:rPr>
          <w:color w:val="231F20"/>
          <w:spacing w:val="-4"/>
        </w:rPr>
        <w:t>Johnson,</w:t>
      </w:r>
      <w:r>
        <w:rPr>
          <w:color w:val="231F20"/>
          <w:spacing w:val="-13"/>
        </w:rPr>
        <w:t> </w:t>
      </w:r>
      <w:r>
        <w:rPr>
          <w:color w:val="231F20"/>
          <w:spacing w:val="-4"/>
        </w:rPr>
        <w:t>Mary</w:t>
      </w:r>
    </w:p>
    <w:p>
      <w:pPr>
        <w:spacing w:after="0"/>
        <w:sectPr>
          <w:pgSz w:w="11910" w:h="16840"/>
          <w:pgMar w:header="0" w:footer="695" w:top="1260" w:bottom="880" w:left="0" w:right="0"/>
          <w:cols w:num="2" w:equalWidth="0">
            <w:col w:w="5898" w:space="40"/>
            <w:col w:w="5972"/>
          </w:cols>
        </w:sectPr>
      </w:pPr>
    </w:p>
    <w:p>
      <w:pPr>
        <w:pStyle w:val="BodyText"/>
        <w:spacing w:before="77"/>
        <w:ind w:left="1133" w:right="4"/>
      </w:pPr>
      <w:r>
        <w:rPr>
          <w:color w:val="231F20"/>
        </w:rPr>
        <w:t>Cavanagh,</w:t>
      </w:r>
      <w:r>
        <w:rPr>
          <w:color w:val="231F20"/>
          <w:spacing w:val="-17"/>
        </w:rPr>
        <w:t> </w:t>
      </w:r>
      <w:r>
        <w:rPr>
          <w:color w:val="231F20"/>
        </w:rPr>
        <w:t>Joseph</w:t>
      </w:r>
      <w:r>
        <w:rPr>
          <w:color w:val="231F20"/>
          <w:spacing w:val="-16"/>
        </w:rPr>
        <w:t> </w:t>
      </w:r>
      <w:r>
        <w:rPr>
          <w:color w:val="231F20"/>
        </w:rPr>
        <w:t>Bellino,</w:t>
      </w:r>
      <w:r>
        <w:rPr>
          <w:color w:val="231F20"/>
          <w:spacing w:val="-17"/>
        </w:rPr>
        <w:t> </w:t>
      </w:r>
      <w:r>
        <w:rPr>
          <w:color w:val="231F20"/>
        </w:rPr>
        <w:t>Laurie</w:t>
      </w:r>
      <w:r>
        <w:rPr>
          <w:color w:val="231F20"/>
          <w:spacing w:val="-16"/>
        </w:rPr>
        <w:t> </w:t>
      </w:r>
      <w:r>
        <w:rPr>
          <w:color w:val="231F20"/>
        </w:rPr>
        <w:t>Pohutsky and Jim Ellison.</w:t>
      </w:r>
    </w:p>
    <w:p>
      <w:pPr>
        <w:pStyle w:val="BodyText"/>
        <w:spacing w:before="161"/>
        <w:ind w:left="1133"/>
      </w:pPr>
      <w:r>
        <w:rPr>
          <w:b/>
          <w:color w:val="B52628"/>
        </w:rPr>
        <w:t>On December 21, 2022, </w:t>
      </w:r>
      <w:r>
        <w:rPr>
          <w:color w:val="231F20"/>
        </w:rPr>
        <w:t>solidarity </w:t>
      </w:r>
      <w:r>
        <w:rPr>
          <w:color w:val="231F20"/>
          <w:spacing w:val="-4"/>
        </w:rPr>
        <w:t>organizations</w:t>
      </w:r>
      <w:r>
        <w:rPr>
          <w:color w:val="231F20"/>
          <w:spacing w:val="-13"/>
        </w:rPr>
        <w:t> </w:t>
      </w:r>
      <w:r>
        <w:rPr>
          <w:color w:val="231F20"/>
          <w:spacing w:val="-4"/>
        </w:rPr>
        <w:t>and</w:t>
      </w:r>
      <w:r>
        <w:rPr>
          <w:color w:val="231F20"/>
          <w:spacing w:val="-12"/>
        </w:rPr>
        <w:t> </w:t>
      </w:r>
      <w:r>
        <w:rPr>
          <w:color w:val="231F20"/>
          <w:spacing w:val="-4"/>
        </w:rPr>
        <w:t>friends</w:t>
      </w:r>
      <w:r>
        <w:rPr>
          <w:color w:val="231F20"/>
          <w:spacing w:val="-13"/>
        </w:rPr>
        <w:t> </w:t>
      </w:r>
      <w:r>
        <w:rPr>
          <w:color w:val="231F20"/>
          <w:spacing w:val="-4"/>
        </w:rPr>
        <w:t>of</w:t>
      </w:r>
      <w:r>
        <w:rPr>
          <w:color w:val="231F20"/>
          <w:spacing w:val="-12"/>
        </w:rPr>
        <w:t> </w:t>
      </w:r>
      <w:r>
        <w:rPr>
          <w:color w:val="231F20"/>
          <w:spacing w:val="-4"/>
        </w:rPr>
        <w:t>Cuba</w:t>
      </w:r>
      <w:r>
        <w:rPr>
          <w:color w:val="231F20"/>
          <w:spacing w:val="-13"/>
        </w:rPr>
        <w:t> </w:t>
      </w:r>
      <w:r>
        <w:rPr>
          <w:color w:val="231F20"/>
          <w:spacing w:val="-4"/>
        </w:rPr>
        <w:t>gathered </w:t>
      </w:r>
      <w:r>
        <w:rPr>
          <w:color w:val="231F20"/>
        </w:rPr>
        <w:t>in Miami, FL to take part in a vigil calling on President Biden to end the coercive measures against our country. Meeting</w:t>
      </w:r>
      <w:r>
        <w:rPr>
          <w:color w:val="231F20"/>
          <w:spacing w:val="80"/>
        </w:rPr>
        <w:t> </w:t>
      </w:r>
      <w:r>
        <w:rPr>
          <w:color w:val="231F20"/>
        </w:rPr>
        <w:t>at the Miami international airport, the activists urged lifting of the blockade and demanded</w:t>
      </w:r>
      <w:r>
        <w:rPr>
          <w:color w:val="231F20"/>
          <w:spacing w:val="-17"/>
        </w:rPr>
        <w:t> </w:t>
      </w:r>
      <w:r>
        <w:rPr>
          <w:color w:val="231F20"/>
        </w:rPr>
        <w:t>that</w:t>
      </w:r>
      <w:r>
        <w:rPr>
          <w:color w:val="231F20"/>
          <w:spacing w:val="-16"/>
        </w:rPr>
        <w:t> </w:t>
      </w:r>
      <w:r>
        <w:rPr>
          <w:color w:val="231F20"/>
        </w:rPr>
        <w:t>the</w:t>
      </w:r>
      <w:r>
        <w:rPr>
          <w:color w:val="231F20"/>
          <w:spacing w:val="-17"/>
        </w:rPr>
        <w:t> </w:t>
      </w:r>
      <w:r>
        <w:rPr>
          <w:color w:val="231F20"/>
        </w:rPr>
        <w:t>White</w:t>
      </w:r>
      <w:r>
        <w:rPr>
          <w:color w:val="231F20"/>
          <w:spacing w:val="-16"/>
        </w:rPr>
        <w:t> </w:t>
      </w:r>
      <w:r>
        <w:rPr>
          <w:color w:val="231F20"/>
        </w:rPr>
        <w:t>House</w:t>
      </w:r>
      <w:r>
        <w:rPr>
          <w:color w:val="231F20"/>
          <w:spacing w:val="-17"/>
        </w:rPr>
        <w:t> </w:t>
      </w:r>
      <w:r>
        <w:rPr>
          <w:color w:val="231F20"/>
        </w:rPr>
        <w:t>speed</w:t>
      </w:r>
      <w:r>
        <w:rPr>
          <w:color w:val="231F20"/>
          <w:spacing w:val="-16"/>
        </w:rPr>
        <w:t> </w:t>
      </w:r>
      <w:r>
        <w:rPr>
          <w:color w:val="231F20"/>
        </w:rPr>
        <w:t>up </w:t>
      </w:r>
      <w:r>
        <w:rPr>
          <w:color w:val="231F20"/>
          <w:spacing w:val="-4"/>
        </w:rPr>
        <w:t>the</w:t>
      </w:r>
      <w:r>
        <w:rPr>
          <w:color w:val="231F20"/>
          <w:spacing w:val="-10"/>
        </w:rPr>
        <w:t> </w:t>
      </w:r>
      <w:r>
        <w:rPr>
          <w:color w:val="231F20"/>
          <w:spacing w:val="-4"/>
        </w:rPr>
        <w:t>processing</w:t>
      </w:r>
      <w:r>
        <w:rPr>
          <w:color w:val="231F20"/>
          <w:spacing w:val="-8"/>
        </w:rPr>
        <w:t> </w:t>
      </w:r>
      <w:r>
        <w:rPr>
          <w:color w:val="231F20"/>
          <w:spacing w:val="-4"/>
        </w:rPr>
        <w:t>of</w:t>
      </w:r>
      <w:r>
        <w:rPr>
          <w:color w:val="231F20"/>
          <w:spacing w:val="-10"/>
        </w:rPr>
        <w:t> </w:t>
      </w:r>
      <w:r>
        <w:rPr>
          <w:color w:val="231F20"/>
          <w:spacing w:val="-4"/>
        </w:rPr>
        <w:t>family</w:t>
      </w:r>
      <w:r>
        <w:rPr>
          <w:color w:val="231F20"/>
          <w:spacing w:val="-10"/>
        </w:rPr>
        <w:t> </w:t>
      </w:r>
      <w:r>
        <w:rPr>
          <w:color w:val="231F20"/>
          <w:spacing w:val="-4"/>
        </w:rPr>
        <w:t>reunifications</w:t>
      </w:r>
      <w:r>
        <w:rPr>
          <w:color w:val="231F20"/>
          <w:spacing w:val="-10"/>
        </w:rPr>
        <w:t> </w:t>
      </w:r>
      <w:r>
        <w:rPr>
          <w:color w:val="231F20"/>
          <w:spacing w:val="-4"/>
        </w:rPr>
        <w:t>at</w:t>
      </w:r>
      <w:r>
        <w:rPr>
          <w:color w:val="231F20"/>
          <w:spacing w:val="-10"/>
        </w:rPr>
        <w:t> </w:t>
      </w:r>
      <w:r>
        <w:rPr>
          <w:color w:val="231F20"/>
          <w:spacing w:val="-4"/>
        </w:rPr>
        <w:t>its </w:t>
      </w:r>
      <w:r>
        <w:rPr>
          <w:color w:val="231F20"/>
        </w:rPr>
        <w:t>Havana embassy, upgrade the system for sending remittances to relatives in Cuba and encourage full cultural and scientific cooperation between the two countries. They</w:t>
      </w:r>
      <w:r>
        <w:rPr>
          <w:color w:val="231F20"/>
          <w:spacing w:val="-14"/>
        </w:rPr>
        <w:t> </w:t>
      </w:r>
      <w:r>
        <w:rPr>
          <w:color w:val="231F20"/>
        </w:rPr>
        <w:t>also</w:t>
      </w:r>
      <w:r>
        <w:rPr>
          <w:color w:val="231F20"/>
          <w:spacing w:val="-14"/>
        </w:rPr>
        <w:t> </w:t>
      </w:r>
      <w:r>
        <w:rPr>
          <w:color w:val="231F20"/>
        </w:rPr>
        <w:t>urged</w:t>
      </w:r>
      <w:r>
        <w:rPr>
          <w:color w:val="231F20"/>
          <w:spacing w:val="-14"/>
        </w:rPr>
        <w:t> </w:t>
      </w:r>
      <w:r>
        <w:rPr>
          <w:color w:val="231F20"/>
        </w:rPr>
        <w:t>removal</w:t>
      </w:r>
      <w:r>
        <w:rPr>
          <w:color w:val="231F20"/>
          <w:spacing w:val="-14"/>
        </w:rPr>
        <w:t> </w:t>
      </w:r>
      <w:r>
        <w:rPr>
          <w:color w:val="231F20"/>
        </w:rPr>
        <w:t>of</w:t>
      </w:r>
      <w:r>
        <w:rPr>
          <w:color w:val="231F20"/>
          <w:spacing w:val="-14"/>
        </w:rPr>
        <w:t> </w:t>
      </w:r>
      <w:r>
        <w:rPr>
          <w:color w:val="231F20"/>
        </w:rPr>
        <w:t>Cuba</w:t>
      </w:r>
      <w:r>
        <w:rPr>
          <w:color w:val="231F20"/>
          <w:spacing w:val="-14"/>
        </w:rPr>
        <w:t> </w:t>
      </w:r>
      <w:r>
        <w:rPr>
          <w:color w:val="231F20"/>
        </w:rPr>
        <w:t>from</w:t>
      </w:r>
      <w:r>
        <w:rPr>
          <w:color w:val="231F20"/>
          <w:spacing w:val="-14"/>
        </w:rPr>
        <w:t> </w:t>
      </w:r>
      <w:r>
        <w:rPr>
          <w:color w:val="231F20"/>
        </w:rPr>
        <w:t>the list of state sponsors of terrorism.</w:t>
      </w:r>
    </w:p>
    <w:p>
      <w:pPr>
        <w:pStyle w:val="BodyText"/>
        <w:spacing w:before="172"/>
        <w:ind w:left="1133"/>
      </w:pPr>
      <w:r>
        <w:rPr>
          <w:b/>
          <w:color w:val="B52628"/>
          <w:spacing w:val="-2"/>
        </w:rPr>
        <w:t>In</w:t>
      </w:r>
      <w:r>
        <w:rPr>
          <w:b/>
          <w:color w:val="B52628"/>
          <w:spacing w:val="-15"/>
        </w:rPr>
        <w:t> </w:t>
      </w:r>
      <w:r>
        <w:rPr>
          <w:b/>
          <w:color w:val="B52628"/>
          <w:spacing w:val="-2"/>
        </w:rPr>
        <w:t>January</w:t>
      </w:r>
      <w:r>
        <w:rPr>
          <w:b/>
          <w:color w:val="B52628"/>
          <w:spacing w:val="-15"/>
        </w:rPr>
        <w:t> </w:t>
      </w:r>
      <w:r>
        <w:rPr>
          <w:b/>
          <w:color w:val="B52628"/>
          <w:spacing w:val="-2"/>
        </w:rPr>
        <w:t>2023,</w:t>
      </w:r>
      <w:r>
        <w:rPr>
          <w:b/>
          <w:color w:val="B52628"/>
          <w:spacing w:val="-14"/>
        </w:rPr>
        <w:t> </w:t>
      </w:r>
      <w:r>
        <w:rPr>
          <w:color w:val="231F20"/>
          <w:spacing w:val="-2"/>
        </w:rPr>
        <w:t>it</w:t>
      </w:r>
      <w:r>
        <w:rPr>
          <w:color w:val="231F20"/>
          <w:spacing w:val="-15"/>
        </w:rPr>
        <w:t> </w:t>
      </w:r>
      <w:r>
        <w:rPr>
          <w:color w:val="231F20"/>
          <w:spacing w:val="-2"/>
        </w:rPr>
        <w:t>emerged</w:t>
      </w:r>
      <w:r>
        <w:rPr>
          <w:color w:val="231F20"/>
          <w:spacing w:val="-14"/>
        </w:rPr>
        <w:t> </w:t>
      </w:r>
      <w:r>
        <w:rPr>
          <w:color w:val="231F20"/>
          <w:spacing w:val="-2"/>
        </w:rPr>
        <w:t>that</w:t>
      </w:r>
      <w:r>
        <w:rPr>
          <w:color w:val="231F20"/>
          <w:spacing w:val="-14"/>
        </w:rPr>
        <w:t> </w:t>
      </w:r>
      <w:r>
        <w:rPr>
          <w:color w:val="231F20"/>
          <w:spacing w:val="-2"/>
        </w:rPr>
        <w:t>the</w:t>
      </w:r>
      <w:r>
        <w:rPr>
          <w:color w:val="231F20"/>
          <w:spacing w:val="-15"/>
        </w:rPr>
        <w:t> </w:t>
      </w:r>
      <w:r>
        <w:rPr>
          <w:color w:val="231F20"/>
          <w:spacing w:val="-2"/>
        </w:rPr>
        <w:t>town council</w:t>
      </w:r>
      <w:r>
        <w:rPr>
          <w:color w:val="231F20"/>
          <w:spacing w:val="-14"/>
        </w:rPr>
        <w:t> </w:t>
      </w:r>
      <w:r>
        <w:rPr>
          <w:color w:val="231F20"/>
          <w:spacing w:val="-2"/>
        </w:rPr>
        <w:t>in</w:t>
      </w:r>
      <w:r>
        <w:rPr>
          <w:color w:val="231F20"/>
          <w:spacing w:val="-14"/>
        </w:rPr>
        <w:t> </w:t>
      </w:r>
      <w:r>
        <w:rPr>
          <w:color w:val="231F20"/>
          <w:spacing w:val="-2"/>
        </w:rPr>
        <w:t>Berkeley,</w:t>
      </w:r>
      <w:r>
        <w:rPr>
          <w:color w:val="231F20"/>
          <w:spacing w:val="-14"/>
        </w:rPr>
        <w:t> </w:t>
      </w:r>
      <w:r>
        <w:rPr>
          <w:color w:val="231F20"/>
          <w:spacing w:val="-2"/>
        </w:rPr>
        <w:t>California</w:t>
      </w:r>
      <w:r>
        <w:rPr>
          <w:color w:val="231F20"/>
          <w:spacing w:val="-14"/>
        </w:rPr>
        <w:t> </w:t>
      </w:r>
      <w:r>
        <w:rPr>
          <w:color w:val="231F20"/>
          <w:spacing w:val="-2"/>
        </w:rPr>
        <w:t>had</w:t>
      </w:r>
      <w:r>
        <w:rPr>
          <w:color w:val="231F20"/>
          <w:spacing w:val="-14"/>
        </w:rPr>
        <w:t> </w:t>
      </w:r>
      <w:r>
        <w:rPr>
          <w:color w:val="231F20"/>
          <w:spacing w:val="-2"/>
        </w:rPr>
        <w:t>passed</w:t>
      </w:r>
      <w:r>
        <w:rPr>
          <w:color w:val="231F20"/>
          <w:spacing w:val="-14"/>
        </w:rPr>
        <w:t> </w:t>
      </w:r>
      <w:r>
        <w:rPr>
          <w:color w:val="231F20"/>
          <w:spacing w:val="-2"/>
        </w:rPr>
        <w:t>a </w:t>
      </w:r>
      <w:r>
        <w:rPr>
          <w:color w:val="231F20"/>
        </w:rPr>
        <w:t>resolution</w:t>
      </w:r>
      <w:r>
        <w:rPr>
          <w:color w:val="231F20"/>
          <w:spacing w:val="-11"/>
        </w:rPr>
        <w:t> </w:t>
      </w:r>
      <w:r>
        <w:rPr>
          <w:color w:val="231F20"/>
        </w:rPr>
        <w:t>calling</w:t>
      </w:r>
      <w:r>
        <w:rPr>
          <w:color w:val="231F20"/>
          <w:spacing w:val="-11"/>
        </w:rPr>
        <w:t> </w:t>
      </w:r>
      <w:r>
        <w:rPr>
          <w:color w:val="231F20"/>
        </w:rPr>
        <w:t>for</w:t>
      </w:r>
      <w:r>
        <w:rPr>
          <w:color w:val="231F20"/>
          <w:spacing w:val="-11"/>
        </w:rPr>
        <w:t> </w:t>
      </w:r>
      <w:r>
        <w:rPr>
          <w:color w:val="231F20"/>
        </w:rPr>
        <w:t>the</w:t>
      </w:r>
      <w:r>
        <w:rPr>
          <w:color w:val="231F20"/>
          <w:spacing w:val="-11"/>
        </w:rPr>
        <w:t> </w:t>
      </w:r>
      <w:r>
        <w:rPr>
          <w:color w:val="231F20"/>
        </w:rPr>
        <w:t>delisting</w:t>
      </w:r>
      <w:r>
        <w:rPr>
          <w:color w:val="231F20"/>
          <w:spacing w:val="-11"/>
        </w:rPr>
        <w:t> </w:t>
      </w:r>
      <w:r>
        <w:rPr>
          <w:color w:val="231F20"/>
        </w:rPr>
        <w:t>of</w:t>
      </w:r>
      <w:r>
        <w:rPr>
          <w:color w:val="231F20"/>
          <w:spacing w:val="-11"/>
        </w:rPr>
        <w:t> </w:t>
      </w:r>
      <w:r>
        <w:rPr>
          <w:color w:val="231F20"/>
        </w:rPr>
        <w:t>Cuba as a state sponsor of terrorism and for lifting of the blockade.</w:t>
      </w:r>
    </w:p>
    <w:p>
      <w:pPr>
        <w:pStyle w:val="BodyText"/>
        <w:spacing w:before="164"/>
        <w:ind w:left="1133"/>
      </w:pPr>
      <w:r>
        <w:rPr>
          <w:b/>
          <w:color w:val="B52628"/>
        </w:rPr>
        <w:t>On</w:t>
      </w:r>
      <w:r>
        <w:rPr>
          <w:b/>
          <w:color w:val="B52628"/>
          <w:spacing w:val="-2"/>
        </w:rPr>
        <w:t> </w:t>
      </w:r>
      <w:r>
        <w:rPr>
          <w:b/>
          <w:color w:val="B52628"/>
        </w:rPr>
        <w:t>January</w:t>
      </w:r>
      <w:r>
        <w:rPr>
          <w:b/>
          <w:color w:val="B52628"/>
          <w:spacing w:val="-2"/>
        </w:rPr>
        <w:t> </w:t>
      </w:r>
      <w:r>
        <w:rPr>
          <w:b/>
          <w:color w:val="B52628"/>
        </w:rPr>
        <w:t>4,</w:t>
      </w:r>
      <w:r>
        <w:rPr>
          <w:b/>
          <w:color w:val="B52628"/>
          <w:spacing w:val="-2"/>
        </w:rPr>
        <w:t> </w:t>
      </w:r>
      <w:r>
        <w:rPr>
          <w:b/>
          <w:color w:val="B52628"/>
        </w:rPr>
        <w:t>2023, </w:t>
      </w:r>
      <w:r>
        <w:rPr>
          <w:color w:val="231F20"/>
        </w:rPr>
        <w:t>senator Ron Wyden </w:t>
      </w:r>
      <w:r>
        <w:rPr>
          <w:color w:val="231F20"/>
          <w:spacing w:val="-4"/>
        </w:rPr>
        <w:t>(D-Oregon)</w:t>
      </w:r>
      <w:r>
        <w:rPr>
          <w:color w:val="231F20"/>
          <w:spacing w:val="-11"/>
        </w:rPr>
        <w:t> </w:t>
      </w:r>
      <w:r>
        <w:rPr>
          <w:color w:val="231F20"/>
          <w:spacing w:val="-4"/>
        </w:rPr>
        <w:t>urged</w:t>
      </w:r>
      <w:r>
        <w:rPr>
          <w:color w:val="231F20"/>
          <w:spacing w:val="-11"/>
        </w:rPr>
        <w:t> </w:t>
      </w:r>
      <w:r>
        <w:rPr>
          <w:color w:val="231F20"/>
          <w:spacing w:val="-4"/>
        </w:rPr>
        <w:t>the</w:t>
      </w:r>
      <w:r>
        <w:rPr>
          <w:color w:val="231F20"/>
          <w:spacing w:val="-12"/>
        </w:rPr>
        <w:t> </w:t>
      </w:r>
      <w:r>
        <w:rPr>
          <w:color w:val="231F20"/>
          <w:spacing w:val="-4"/>
        </w:rPr>
        <w:t>Biden</w:t>
      </w:r>
      <w:r>
        <w:rPr>
          <w:color w:val="231F20"/>
          <w:spacing w:val="-12"/>
        </w:rPr>
        <w:t> </w:t>
      </w:r>
      <w:r>
        <w:rPr>
          <w:color w:val="231F20"/>
          <w:spacing w:val="-4"/>
        </w:rPr>
        <w:t>administration </w:t>
      </w:r>
      <w:r>
        <w:rPr>
          <w:color w:val="231F20"/>
        </w:rPr>
        <w:t>to step up support for Cuban small and medium-sized enterprises through the </w:t>
      </w:r>
      <w:r>
        <w:rPr>
          <w:color w:val="231F20"/>
          <w:spacing w:val="-2"/>
        </w:rPr>
        <w:t>granting</w:t>
      </w:r>
      <w:r>
        <w:rPr>
          <w:color w:val="231F20"/>
          <w:spacing w:val="-14"/>
        </w:rPr>
        <w:t> </w:t>
      </w:r>
      <w:r>
        <w:rPr>
          <w:color w:val="231F20"/>
          <w:spacing w:val="-2"/>
        </w:rPr>
        <w:t>of</w:t>
      </w:r>
      <w:r>
        <w:rPr>
          <w:color w:val="231F20"/>
          <w:spacing w:val="-14"/>
        </w:rPr>
        <w:t> </w:t>
      </w:r>
      <w:r>
        <w:rPr>
          <w:color w:val="231F20"/>
          <w:spacing w:val="-2"/>
        </w:rPr>
        <w:t>general</w:t>
      </w:r>
      <w:r>
        <w:rPr>
          <w:color w:val="231F20"/>
          <w:spacing w:val="-14"/>
        </w:rPr>
        <w:t> </w:t>
      </w:r>
      <w:r>
        <w:rPr>
          <w:color w:val="231F20"/>
          <w:spacing w:val="-2"/>
        </w:rPr>
        <w:t>licenses</w:t>
      </w:r>
      <w:r>
        <w:rPr>
          <w:color w:val="231F20"/>
          <w:spacing w:val="-14"/>
        </w:rPr>
        <w:t> </w:t>
      </w:r>
      <w:r>
        <w:rPr>
          <w:color w:val="231F20"/>
          <w:spacing w:val="-2"/>
        </w:rPr>
        <w:t>and</w:t>
      </w:r>
      <w:r>
        <w:rPr>
          <w:color w:val="231F20"/>
          <w:spacing w:val="-14"/>
        </w:rPr>
        <w:t> </w:t>
      </w:r>
      <w:r>
        <w:rPr>
          <w:color w:val="231F20"/>
          <w:spacing w:val="-2"/>
        </w:rPr>
        <w:t>to</w:t>
      </w:r>
      <w:r>
        <w:rPr>
          <w:color w:val="231F20"/>
          <w:spacing w:val="-14"/>
        </w:rPr>
        <w:t> </w:t>
      </w:r>
      <w:r>
        <w:rPr>
          <w:color w:val="231F20"/>
          <w:spacing w:val="-2"/>
        </w:rPr>
        <w:t>remove </w:t>
      </w:r>
      <w:r>
        <w:rPr>
          <w:color w:val="231F20"/>
        </w:rPr>
        <w:t>the obstacles to access to international banking by private-sector firms.</w:t>
      </w:r>
    </w:p>
    <w:p>
      <w:pPr>
        <w:pStyle w:val="BodyText"/>
        <w:spacing w:before="165"/>
        <w:ind w:left="1133" w:right="5"/>
      </w:pPr>
      <w:r>
        <w:rPr>
          <w:b/>
          <w:color w:val="B52628"/>
          <w:spacing w:val="-12"/>
        </w:rPr>
        <w:t>In</w:t>
      </w:r>
      <w:r>
        <w:rPr>
          <w:b/>
          <w:color w:val="B52628"/>
          <w:spacing w:val="-3"/>
        </w:rPr>
        <w:t> </w:t>
      </w:r>
      <w:r>
        <w:rPr>
          <w:b/>
          <w:color w:val="B52628"/>
          <w:spacing w:val="-12"/>
        </w:rPr>
        <w:t>the</w:t>
      </w:r>
      <w:r>
        <w:rPr>
          <w:b/>
          <w:color w:val="B52628"/>
          <w:spacing w:val="-3"/>
        </w:rPr>
        <w:t> </w:t>
      </w:r>
      <w:r>
        <w:rPr>
          <w:b/>
          <w:color w:val="B52628"/>
          <w:spacing w:val="-12"/>
        </w:rPr>
        <w:t>first</w:t>
      </w:r>
      <w:r>
        <w:rPr>
          <w:b/>
          <w:color w:val="B52628"/>
          <w:spacing w:val="-3"/>
        </w:rPr>
        <w:t> </w:t>
      </w:r>
      <w:r>
        <w:rPr>
          <w:b/>
          <w:color w:val="B52628"/>
          <w:spacing w:val="-12"/>
        </w:rPr>
        <w:t>week</w:t>
      </w:r>
      <w:r>
        <w:rPr>
          <w:b/>
          <w:color w:val="B52628"/>
          <w:spacing w:val="-3"/>
        </w:rPr>
        <w:t> </w:t>
      </w:r>
      <w:r>
        <w:rPr>
          <w:b/>
          <w:color w:val="B52628"/>
          <w:spacing w:val="-12"/>
        </w:rPr>
        <w:t>of</w:t>
      </w:r>
      <w:r>
        <w:rPr>
          <w:b/>
          <w:color w:val="B52628"/>
          <w:spacing w:val="-3"/>
        </w:rPr>
        <w:t> </w:t>
      </w:r>
      <w:r>
        <w:rPr>
          <w:b/>
          <w:color w:val="B52628"/>
          <w:spacing w:val="-12"/>
        </w:rPr>
        <w:t>January</w:t>
      </w:r>
      <w:r>
        <w:rPr>
          <w:b/>
          <w:color w:val="B52628"/>
          <w:spacing w:val="-3"/>
        </w:rPr>
        <w:t> </w:t>
      </w:r>
      <w:r>
        <w:rPr>
          <w:b/>
          <w:color w:val="B52628"/>
          <w:spacing w:val="-12"/>
        </w:rPr>
        <w:t>2023,</w:t>
      </w:r>
      <w:r>
        <w:rPr>
          <w:b/>
          <w:color w:val="B52628"/>
          <w:spacing w:val="-3"/>
        </w:rPr>
        <w:t> </w:t>
      </w:r>
      <w:r>
        <w:rPr>
          <w:color w:val="231F20"/>
          <w:spacing w:val="-12"/>
        </w:rPr>
        <w:t>members </w:t>
      </w:r>
      <w:r>
        <w:rPr>
          <w:color w:val="231F20"/>
        </w:rPr>
        <w:t>of a U.S. delegation visiting Cuba aboard the</w:t>
      </w:r>
      <w:r>
        <w:rPr>
          <w:color w:val="231F20"/>
          <w:spacing w:val="-17"/>
        </w:rPr>
        <w:t> </w:t>
      </w:r>
      <w:r>
        <w:rPr>
          <w:color w:val="231F20"/>
        </w:rPr>
        <w:t>peace</w:t>
      </w:r>
      <w:r>
        <w:rPr>
          <w:color w:val="231F20"/>
          <w:spacing w:val="-16"/>
        </w:rPr>
        <w:t> </w:t>
      </w:r>
      <w:r>
        <w:rPr>
          <w:color w:val="231F20"/>
        </w:rPr>
        <w:t>boat</w:t>
      </w:r>
      <w:r>
        <w:rPr>
          <w:color w:val="231F20"/>
          <w:spacing w:val="-17"/>
        </w:rPr>
        <w:t> </w:t>
      </w:r>
      <w:r>
        <w:rPr>
          <w:color w:val="231F20"/>
        </w:rPr>
        <w:t>Golden</w:t>
      </w:r>
      <w:r>
        <w:rPr>
          <w:color w:val="231F20"/>
          <w:spacing w:val="-16"/>
        </w:rPr>
        <w:t> </w:t>
      </w:r>
      <w:r>
        <w:rPr>
          <w:color w:val="231F20"/>
        </w:rPr>
        <w:t>Rule,</w:t>
      </w:r>
      <w:r>
        <w:rPr>
          <w:color w:val="231F20"/>
          <w:spacing w:val="-17"/>
        </w:rPr>
        <w:t> </w:t>
      </w:r>
      <w:r>
        <w:rPr>
          <w:color w:val="231F20"/>
        </w:rPr>
        <w:t>symbol</w:t>
      </w:r>
      <w:r>
        <w:rPr>
          <w:color w:val="231F20"/>
          <w:spacing w:val="-16"/>
        </w:rPr>
        <w:t> </w:t>
      </w:r>
      <w:r>
        <w:rPr>
          <w:color w:val="231F20"/>
        </w:rPr>
        <w:t>of</w:t>
      </w:r>
      <w:r>
        <w:rPr>
          <w:color w:val="231F20"/>
          <w:spacing w:val="-17"/>
        </w:rPr>
        <w:t> </w:t>
      </w:r>
      <w:r>
        <w:rPr>
          <w:color w:val="231F20"/>
        </w:rPr>
        <w:t>the pacifist Veterans for Peace organization, called</w:t>
      </w:r>
      <w:r>
        <w:rPr>
          <w:color w:val="231F20"/>
          <w:spacing w:val="-17"/>
        </w:rPr>
        <w:t> </w:t>
      </w:r>
      <w:r>
        <w:rPr>
          <w:color w:val="231F20"/>
        </w:rPr>
        <w:t>for</w:t>
      </w:r>
      <w:r>
        <w:rPr>
          <w:color w:val="231F20"/>
          <w:spacing w:val="-16"/>
        </w:rPr>
        <w:t> </w:t>
      </w:r>
      <w:r>
        <w:rPr>
          <w:color w:val="231F20"/>
        </w:rPr>
        <w:t>an</w:t>
      </w:r>
      <w:r>
        <w:rPr>
          <w:color w:val="231F20"/>
          <w:spacing w:val="-17"/>
        </w:rPr>
        <w:t> </w:t>
      </w:r>
      <w:r>
        <w:rPr>
          <w:color w:val="231F20"/>
        </w:rPr>
        <w:t>end</w:t>
      </w:r>
      <w:r>
        <w:rPr>
          <w:color w:val="231F20"/>
          <w:spacing w:val="-16"/>
        </w:rPr>
        <w:t> </w:t>
      </w:r>
      <w:r>
        <w:rPr>
          <w:color w:val="231F20"/>
        </w:rPr>
        <w:t>to</w:t>
      </w:r>
      <w:r>
        <w:rPr>
          <w:color w:val="231F20"/>
          <w:spacing w:val="-17"/>
        </w:rPr>
        <w:t> </w:t>
      </w:r>
      <w:r>
        <w:rPr>
          <w:color w:val="231F20"/>
        </w:rPr>
        <w:t>the</w:t>
      </w:r>
      <w:r>
        <w:rPr>
          <w:color w:val="231F20"/>
          <w:spacing w:val="-16"/>
        </w:rPr>
        <w:t> </w:t>
      </w:r>
      <w:r>
        <w:rPr>
          <w:color w:val="231F20"/>
        </w:rPr>
        <w:t>blockade.</w:t>
      </w:r>
    </w:p>
    <w:p>
      <w:pPr>
        <w:pStyle w:val="BodyText"/>
        <w:spacing w:before="164"/>
        <w:ind w:left="1133" w:right="1"/>
      </w:pPr>
      <w:r>
        <w:rPr>
          <w:b/>
          <w:color w:val="B52628"/>
        </w:rPr>
        <w:t>On January 16, 2023, </w:t>
      </w:r>
      <w:r>
        <w:rPr>
          <w:color w:val="231F20"/>
        </w:rPr>
        <w:t>the Puentes de Amor group paraded in Seattle with thousands</w:t>
      </w:r>
      <w:r>
        <w:rPr>
          <w:color w:val="231F20"/>
          <w:spacing w:val="-6"/>
        </w:rPr>
        <w:t> </w:t>
      </w:r>
      <w:r>
        <w:rPr>
          <w:color w:val="231F20"/>
        </w:rPr>
        <w:t>of</w:t>
      </w:r>
      <w:r>
        <w:rPr>
          <w:color w:val="231F20"/>
          <w:spacing w:val="-6"/>
        </w:rPr>
        <w:t> </w:t>
      </w:r>
      <w:r>
        <w:rPr>
          <w:color w:val="231F20"/>
        </w:rPr>
        <w:t>U.S.</w:t>
      </w:r>
      <w:r>
        <w:rPr>
          <w:color w:val="231F20"/>
          <w:spacing w:val="-6"/>
        </w:rPr>
        <w:t> </w:t>
      </w:r>
      <w:r>
        <w:rPr>
          <w:color w:val="231F20"/>
        </w:rPr>
        <w:t>citizens</w:t>
      </w:r>
      <w:r>
        <w:rPr>
          <w:color w:val="231F20"/>
          <w:spacing w:val="-6"/>
        </w:rPr>
        <w:t> </w:t>
      </w:r>
      <w:r>
        <w:rPr>
          <w:color w:val="231F20"/>
        </w:rPr>
        <w:t>and</w:t>
      </w:r>
      <w:r>
        <w:rPr>
          <w:color w:val="231F20"/>
          <w:spacing w:val="-6"/>
        </w:rPr>
        <w:t> </w:t>
      </w:r>
      <w:r>
        <w:rPr>
          <w:color w:val="231F20"/>
        </w:rPr>
        <w:t>people</w:t>
      </w:r>
      <w:r>
        <w:rPr>
          <w:color w:val="231F20"/>
          <w:spacing w:val="-6"/>
        </w:rPr>
        <w:t> </w:t>
      </w:r>
      <w:r>
        <w:rPr>
          <w:color w:val="231F20"/>
        </w:rPr>
        <w:t>of</w:t>
      </w:r>
      <w:r>
        <w:rPr>
          <w:color w:val="231F20"/>
          <w:spacing w:val="-6"/>
        </w:rPr>
        <w:t> </w:t>
      </w:r>
      <w:r>
        <w:rPr>
          <w:color w:val="231F20"/>
        </w:rPr>
        <w:t>a variety</w:t>
      </w:r>
      <w:r>
        <w:rPr>
          <w:color w:val="231F20"/>
          <w:spacing w:val="-17"/>
        </w:rPr>
        <w:t> </w:t>
      </w:r>
      <w:r>
        <w:rPr>
          <w:color w:val="231F20"/>
        </w:rPr>
        <w:t>of</w:t>
      </w:r>
      <w:r>
        <w:rPr>
          <w:color w:val="231F20"/>
          <w:spacing w:val="-16"/>
        </w:rPr>
        <w:t> </w:t>
      </w:r>
      <w:r>
        <w:rPr>
          <w:color w:val="231F20"/>
        </w:rPr>
        <w:t>origins,</w:t>
      </w:r>
      <w:r>
        <w:rPr>
          <w:color w:val="231F20"/>
          <w:spacing w:val="-17"/>
        </w:rPr>
        <w:t> </w:t>
      </w:r>
      <w:r>
        <w:rPr>
          <w:color w:val="231F20"/>
        </w:rPr>
        <w:t>political</w:t>
      </w:r>
      <w:r>
        <w:rPr>
          <w:color w:val="231F20"/>
          <w:spacing w:val="-16"/>
        </w:rPr>
        <w:t> </w:t>
      </w:r>
      <w:r>
        <w:rPr>
          <w:color w:val="231F20"/>
        </w:rPr>
        <w:t>persuasions</w:t>
      </w:r>
      <w:r>
        <w:rPr>
          <w:color w:val="231F20"/>
          <w:spacing w:val="-17"/>
        </w:rPr>
        <w:t> </w:t>
      </w:r>
      <w:r>
        <w:rPr>
          <w:color w:val="231F20"/>
        </w:rPr>
        <w:t>and religious beliefs, to demand the lifting of the blockade on Cuba.</w:t>
      </w:r>
    </w:p>
    <w:p>
      <w:pPr>
        <w:spacing w:before="165"/>
        <w:ind w:left="1133" w:right="0" w:firstLine="0"/>
        <w:jc w:val="both"/>
        <w:rPr>
          <w:sz w:val="24"/>
        </w:rPr>
      </w:pPr>
      <w:r>
        <w:rPr>
          <w:b/>
          <w:color w:val="B52628"/>
          <w:sz w:val="24"/>
        </w:rPr>
        <w:t>On</w:t>
      </w:r>
      <w:r>
        <w:rPr>
          <w:b/>
          <w:color w:val="B52628"/>
          <w:spacing w:val="28"/>
          <w:sz w:val="24"/>
        </w:rPr>
        <w:t> </w:t>
      </w:r>
      <w:r>
        <w:rPr>
          <w:b/>
          <w:color w:val="B52628"/>
          <w:sz w:val="24"/>
        </w:rPr>
        <w:t>January</w:t>
      </w:r>
      <w:r>
        <w:rPr>
          <w:b/>
          <w:color w:val="B52628"/>
          <w:spacing w:val="29"/>
          <w:sz w:val="24"/>
        </w:rPr>
        <w:t> </w:t>
      </w:r>
      <w:r>
        <w:rPr>
          <w:b/>
          <w:color w:val="B52628"/>
          <w:sz w:val="24"/>
        </w:rPr>
        <w:t>18,</w:t>
      </w:r>
      <w:r>
        <w:rPr>
          <w:b/>
          <w:color w:val="B52628"/>
          <w:spacing w:val="29"/>
          <w:sz w:val="24"/>
        </w:rPr>
        <w:t> </w:t>
      </w:r>
      <w:r>
        <w:rPr>
          <w:b/>
          <w:color w:val="B52628"/>
          <w:sz w:val="24"/>
        </w:rPr>
        <w:t>2023,</w:t>
      </w:r>
      <w:r>
        <w:rPr>
          <w:b/>
          <w:color w:val="B52628"/>
          <w:spacing w:val="30"/>
          <w:sz w:val="24"/>
        </w:rPr>
        <w:t> </w:t>
      </w:r>
      <w:r>
        <w:rPr>
          <w:color w:val="231F20"/>
          <w:sz w:val="24"/>
        </w:rPr>
        <w:t>U.S.</w:t>
      </w:r>
      <w:r>
        <w:rPr>
          <w:color w:val="231F20"/>
          <w:spacing w:val="32"/>
          <w:sz w:val="24"/>
        </w:rPr>
        <w:t> </w:t>
      </w:r>
      <w:r>
        <w:rPr>
          <w:color w:val="231F20"/>
          <w:sz w:val="24"/>
        </w:rPr>
        <w:t>activists</w:t>
      </w:r>
      <w:r>
        <w:rPr>
          <w:color w:val="231F20"/>
          <w:spacing w:val="33"/>
          <w:sz w:val="24"/>
        </w:rPr>
        <w:t> </w:t>
      </w:r>
      <w:r>
        <w:rPr>
          <w:color w:val="231F20"/>
          <w:spacing w:val="-4"/>
          <w:sz w:val="24"/>
        </w:rPr>
        <w:t>sent</w:t>
      </w:r>
    </w:p>
    <w:p>
      <w:pPr>
        <w:pStyle w:val="BodyText"/>
        <w:spacing w:before="77"/>
        <w:ind w:left="412" w:right="1473"/>
      </w:pPr>
      <w:r>
        <w:rPr/>
        <w:br w:type="column"/>
      </w:r>
      <w:r>
        <w:rPr>
          <w:color w:val="231F20"/>
        </w:rPr>
        <w:t>40,000 pounds of humanitarian aid to Cuba for the victims of Hurricane Ian.</w:t>
      </w:r>
      <w:r>
        <w:rPr>
          <w:color w:val="231F20"/>
          <w:spacing w:val="80"/>
          <w:w w:val="150"/>
        </w:rPr>
        <w:t> </w:t>
      </w:r>
      <w:r>
        <w:rPr>
          <w:color w:val="231F20"/>
        </w:rPr>
        <w:t>The donation’s port of origin was the Florida</w:t>
      </w:r>
      <w:r>
        <w:rPr>
          <w:color w:val="231F20"/>
          <w:spacing w:val="-12"/>
        </w:rPr>
        <w:t> </w:t>
      </w:r>
      <w:r>
        <w:rPr>
          <w:color w:val="231F20"/>
        </w:rPr>
        <w:t>Everglades</w:t>
      </w:r>
      <w:r>
        <w:rPr>
          <w:color w:val="231F20"/>
          <w:spacing w:val="-12"/>
        </w:rPr>
        <w:t> </w:t>
      </w:r>
      <w:r>
        <w:rPr>
          <w:color w:val="231F20"/>
        </w:rPr>
        <w:t>and</w:t>
      </w:r>
      <w:r>
        <w:rPr>
          <w:color w:val="231F20"/>
          <w:spacing w:val="-12"/>
        </w:rPr>
        <w:t> </w:t>
      </w:r>
      <w:r>
        <w:rPr>
          <w:color w:val="231F20"/>
        </w:rPr>
        <w:t>was</w:t>
      </w:r>
      <w:r>
        <w:rPr>
          <w:color w:val="231F20"/>
          <w:spacing w:val="-12"/>
        </w:rPr>
        <w:t> </w:t>
      </w:r>
      <w:r>
        <w:rPr>
          <w:color w:val="231F20"/>
        </w:rPr>
        <w:t>made</w:t>
      </w:r>
      <w:r>
        <w:rPr>
          <w:color w:val="231F20"/>
          <w:spacing w:val="-12"/>
        </w:rPr>
        <w:t> </w:t>
      </w:r>
      <w:r>
        <w:rPr>
          <w:color w:val="231F20"/>
        </w:rPr>
        <w:t>possible by cooperation between associations including the ANSWER Coalition, the People’s Forum and Alianza Martiana.</w:t>
      </w:r>
    </w:p>
    <w:p>
      <w:pPr>
        <w:pStyle w:val="BodyText"/>
        <w:spacing w:before="165"/>
        <w:ind w:left="412" w:right="1473"/>
      </w:pPr>
      <w:r>
        <w:rPr>
          <w:b/>
          <w:color w:val="B52628"/>
        </w:rPr>
        <w:t>On</w:t>
      </w:r>
      <w:r>
        <w:rPr>
          <w:b/>
          <w:color w:val="B52628"/>
          <w:spacing w:val="-7"/>
        </w:rPr>
        <w:t> </w:t>
      </w:r>
      <w:r>
        <w:rPr>
          <w:b/>
          <w:color w:val="B52628"/>
        </w:rPr>
        <w:t>January</w:t>
      </w:r>
      <w:r>
        <w:rPr>
          <w:b/>
          <w:color w:val="B52628"/>
          <w:spacing w:val="-7"/>
        </w:rPr>
        <w:t> </w:t>
      </w:r>
      <w:r>
        <w:rPr>
          <w:b/>
          <w:color w:val="B52628"/>
        </w:rPr>
        <w:t>19,</w:t>
      </w:r>
      <w:r>
        <w:rPr>
          <w:b/>
          <w:color w:val="B52628"/>
          <w:spacing w:val="-7"/>
        </w:rPr>
        <w:t> </w:t>
      </w:r>
      <w:r>
        <w:rPr>
          <w:b/>
          <w:color w:val="B52628"/>
        </w:rPr>
        <w:t>2023,</w:t>
      </w:r>
      <w:r>
        <w:rPr>
          <w:b/>
          <w:color w:val="B52628"/>
          <w:spacing w:val="-9"/>
        </w:rPr>
        <w:t> </w:t>
      </w:r>
      <w:r>
        <w:rPr>
          <w:color w:val="231F20"/>
        </w:rPr>
        <w:t>a</w:t>
      </w:r>
      <w:r>
        <w:rPr>
          <w:color w:val="231F20"/>
          <w:spacing w:val="-11"/>
        </w:rPr>
        <w:t> </w:t>
      </w:r>
      <w:r>
        <w:rPr>
          <w:color w:val="231F20"/>
        </w:rPr>
        <w:t>group</w:t>
      </w:r>
      <w:r>
        <w:rPr>
          <w:color w:val="231F20"/>
          <w:spacing w:val="-11"/>
        </w:rPr>
        <w:t> </w:t>
      </w:r>
      <w:r>
        <w:rPr>
          <w:color w:val="231F20"/>
        </w:rPr>
        <w:t>of</w:t>
      </w:r>
      <w:r>
        <w:rPr>
          <w:color w:val="231F20"/>
          <w:spacing w:val="-11"/>
        </w:rPr>
        <w:t> </w:t>
      </w:r>
      <w:r>
        <w:rPr>
          <w:color w:val="231F20"/>
        </w:rPr>
        <w:t>160</w:t>
      </w:r>
      <w:r>
        <w:rPr>
          <w:color w:val="231F20"/>
          <w:spacing w:val="-11"/>
        </w:rPr>
        <w:t> </w:t>
      </w:r>
      <w:r>
        <w:rPr>
          <w:color w:val="231F20"/>
        </w:rPr>
        <w:t>U.S. lawyers sent a letter to President Biden calling</w:t>
      </w:r>
      <w:r>
        <w:rPr>
          <w:color w:val="231F20"/>
          <w:spacing w:val="-13"/>
        </w:rPr>
        <w:t> </w:t>
      </w:r>
      <w:r>
        <w:rPr>
          <w:color w:val="231F20"/>
        </w:rPr>
        <w:t>for</w:t>
      </w:r>
      <w:r>
        <w:rPr>
          <w:color w:val="231F20"/>
          <w:spacing w:val="-13"/>
        </w:rPr>
        <w:t> </w:t>
      </w:r>
      <w:r>
        <w:rPr>
          <w:color w:val="231F20"/>
        </w:rPr>
        <w:t>removal</w:t>
      </w:r>
      <w:r>
        <w:rPr>
          <w:color w:val="231F20"/>
          <w:spacing w:val="-13"/>
        </w:rPr>
        <w:t> </w:t>
      </w:r>
      <w:r>
        <w:rPr>
          <w:color w:val="231F20"/>
        </w:rPr>
        <w:t>of</w:t>
      </w:r>
      <w:r>
        <w:rPr>
          <w:color w:val="231F20"/>
          <w:spacing w:val="-13"/>
        </w:rPr>
        <w:t> </w:t>
      </w:r>
      <w:r>
        <w:rPr>
          <w:color w:val="231F20"/>
        </w:rPr>
        <w:t>Cuba</w:t>
      </w:r>
      <w:r>
        <w:rPr>
          <w:color w:val="231F20"/>
          <w:spacing w:val="-13"/>
        </w:rPr>
        <w:t> </w:t>
      </w:r>
      <w:r>
        <w:rPr>
          <w:color w:val="231F20"/>
        </w:rPr>
        <w:t>from</w:t>
      </w:r>
      <w:r>
        <w:rPr>
          <w:color w:val="231F20"/>
          <w:spacing w:val="-13"/>
        </w:rPr>
        <w:t> </w:t>
      </w:r>
      <w:r>
        <w:rPr>
          <w:color w:val="231F20"/>
        </w:rPr>
        <w:t>the</w:t>
      </w:r>
      <w:r>
        <w:rPr>
          <w:color w:val="231F20"/>
          <w:spacing w:val="-13"/>
        </w:rPr>
        <w:t> </w:t>
      </w:r>
      <w:r>
        <w:rPr>
          <w:color w:val="231F20"/>
        </w:rPr>
        <w:t>list</w:t>
      </w:r>
      <w:r>
        <w:rPr>
          <w:color w:val="231F20"/>
          <w:spacing w:val="-13"/>
        </w:rPr>
        <w:t> </w:t>
      </w:r>
      <w:r>
        <w:rPr>
          <w:color w:val="231F20"/>
        </w:rPr>
        <w:t>of </w:t>
      </w:r>
      <w:r>
        <w:rPr>
          <w:color w:val="231F20"/>
          <w:spacing w:val="-4"/>
        </w:rPr>
        <w:t>state</w:t>
      </w:r>
      <w:r>
        <w:rPr>
          <w:color w:val="231F20"/>
          <w:spacing w:val="-8"/>
        </w:rPr>
        <w:t> </w:t>
      </w:r>
      <w:r>
        <w:rPr>
          <w:color w:val="231F20"/>
          <w:spacing w:val="-4"/>
        </w:rPr>
        <w:t>sponsors</w:t>
      </w:r>
      <w:r>
        <w:rPr>
          <w:color w:val="231F20"/>
          <w:spacing w:val="-8"/>
        </w:rPr>
        <w:t> </w:t>
      </w:r>
      <w:r>
        <w:rPr>
          <w:color w:val="231F20"/>
          <w:spacing w:val="-4"/>
        </w:rPr>
        <w:t>of</w:t>
      </w:r>
      <w:r>
        <w:rPr>
          <w:color w:val="231F20"/>
          <w:spacing w:val="-8"/>
        </w:rPr>
        <w:t> </w:t>
      </w:r>
      <w:r>
        <w:rPr>
          <w:color w:val="231F20"/>
          <w:spacing w:val="-4"/>
        </w:rPr>
        <w:t>terrorism.</w:t>
      </w:r>
      <w:r>
        <w:rPr>
          <w:color w:val="231F20"/>
          <w:spacing w:val="-8"/>
        </w:rPr>
        <w:t> </w:t>
      </w:r>
      <w:r>
        <w:rPr>
          <w:color w:val="231F20"/>
          <w:spacing w:val="-4"/>
        </w:rPr>
        <w:t>They</w:t>
      </w:r>
      <w:r>
        <w:rPr>
          <w:color w:val="231F20"/>
          <w:spacing w:val="-8"/>
        </w:rPr>
        <w:t> </w:t>
      </w:r>
      <w:r>
        <w:rPr>
          <w:color w:val="231F20"/>
          <w:spacing w:val="-4"/>
        </w:rPr>
        <w:t>expressed </w:t>
      </w:r>
      <w:r>
        <w:rPr>
          <w:color w:val="231F20"/>
          <w:spacing w:val="-2"/>
        </w:rPr>
        <w:t>the</w:t>
      </w:r>
      <w:r>
        <w:rPr>
          <w:color w:val="231F20"/>
          <w:spacing w:val="-15"/>
        </w:rPr>
        <w:t> </w:t>
      </w:r>
      <w:r>
        <w:rPr>
          <w:color w:val="231F20"/>
          <w:spacing w:val="-2"/>
        </w:rPr>
        <w:t>view</w:t>
      </w:r>
      <w:r>
        <w:rPr>
          <w:color w:val="231F20"/>
          <w:spacing w:val="-14"/>
        </w:rPr>
        <w:t> </w:t>
      </w:r>
      <w:r>
        <w:rPr>
          <w:color w:val="231F20"/>
          <w:spacing w:val="-2"/>
        </w:rPr>
        <w:t>that</w:t>
      </w:r>
      <w:r>
        <w:rPr>
          <w:color w:val="231F20"/>
          <w:spacing w:val="-15"/>
        </w:rPr>
        <w:t> </w:t>
      </w:r>
      <w:r>
        <w:rPr>
          <w:color w:val="231F20"/>
          <w:spacing w:val="-2"/>
        </w:rPr>
        <w:t>the</w:t>
      </w:r>
      <w:r>
        <w:rPr>
          <w:color w:val="231F20"/>
          <w:spacing w:val="-14"/>
        </w:rPr>
        <w:t> </w:t>
      </w:r>
      <w:r>
        <w:rPr>
          <w:color w:val="231F20"/>
          <w:spacing w:val="-2"/>
        </w:rPr>
        <w:t>decision</w:t>
      </w:r>
      <w:r>
        <w:rPr>
          <w:color w:val="231F20"/>
          <w:spacing w:val="-15"/>
        </w:rPr>
        <w:t> </w:t>
      </w:r>
      <w:r>
        <w:rPr>
          <w:color w:val="231F20"/>
          <w:spacing w:val="-2"/>
        </w:rPr>
        <w:t>to</w:t>
      </w:r>
      <w:r>
        <w:rPr>
          <w:color w:val="231F20"/>
          <w:spacing w:val="-14"/>
        </w:rPr>
        <w:t> </w:t>
      </w:r>
      <w:r>
        <w:rPr>
          <w:color w:val="231F20"/>
          <w:spacing w:val="-2"/>
        </w:rPr>
        <w:t>include</w:t>
      </w:r>
      <w:r>
        <w:rPr>
          <w:color w:val="231F20"/>
          <w:spacing w:val="-15"/>
        </w:rPr>
        <w:t> </w:t>
      </w:r>
      <w:r>
        <w:rPr>
          <w:color w:val="231F20"/>
          <w:spacing w:val="-2"/>
        </w:rPr>
        <w:t>Cuban </w:t>
      </w:r>
      <w:r>
        <w:rPr>
          <w:color w:val="231F20"/>
        </w:rPr>
        <w:t>on the list was without moral or legal </w:t>
      </w:r>
      <w:r>
        <w:rPr>
          <w:color w:val="231F20"/>
          <w:spacing w:val="-2"/>
        </w:rPr>
        <w:t>justification.</w:t>
      </w:r>
    </w:p>
    <w:p>
      <w:pPr>
        <w:pStyle w:val="BodyText"/>
        <w:spacing w:before="166"/>
        <w:ind w:left="412" w:right="1472"/>
      </w:pPr>
      <w:r>
        <w:rPr>
          <w:b/>
          <w:color w:val="B52628"/>
        </w:rPr>
        <w:t>On</w:t>
      </w:r>
      <w:r>
        <w:rPr>
          <w:b/>
          <w:color w:val="B52628"/>
          <w:spacing w:val="-9"/>
        </w:rPr>
        <w:t> </w:t>
      </w:r>
      <w:r>
        <w:rPr>
          <w:b/>
          <w:color w:val="B52628"/>
        </w:rPr>
        <w:t>January</w:t>
      </w:r>
      <w:r>
        <w:rPr>
          <w:b/>
          <w:color w:val="B52628"/>
          <w:spacing w:val="-9"/>
        </w:rPr>
        <w:t> </w:t>
      </w:r>
      <w:r>
        <w:rPr>
          <w:b/>
          <w:color w:val="B52628"/>
        </w:rPr>
        <w:t>20,</w:t>
      </w:r>
      <w:r>
        <w:rPr>
          <w:b/>
          <w:color w:val="B52628"/>
          <w:spacing w:val="-9"/>
        </w:rPr>
        <w:t> </w:t>
      </w:r>
      <w:r>
        <w:rPr>
          <w:b/>
          <w:color w:val="B52628"/>
        </w:rPr>
        <w:t>2023,</w:t>
      </w:r>
      <w:r>
        <w:rPr>
          <w:b/>
          <w:color w:val="B52628"/>
          <w:spacing w:val="-13"/>
        </w:rPr>
        <w:t> </w:t>
      </w:r>
      <w:r>
        <w:rPr>
          <w:color w:val="231F20"/>
        </w:rPr>
        <w:t>the</w:t>
      </w:r>
      <w:r>
        <w:rPr>
          <w:color w:val="231F20"/>
          <w:spacing w:val="-14"/>
        </w:rPr>
        <w:t> </w:t>
      </w:r>
      <w:r>
        <w:rPr>
          <w:color w:val="231F20"/>
        </w:rPr>
        <w:t>town</w:t>
      </w:r>
      <w:r>
        <w:rPr>
          <w:color w:val="231F20"/>
          <w:spacing w:val="-14"/>
        </w:rPr>
        <w:t> </w:t>
      </w:r>
      <w:r>
        <w:rPr>
          <w:color w:val="231F20"/>
        </w:rPr>
        <w:t>council</w:t>
      </w:r>
      <w:r>
        <w:rPr>
          <w:color w:val="231F20"/>
          <w:spacing w:val="-14"/>
        </w:rPr>
        <w:t> </w:t>
      </w:r>
      <w:r>
        <w:rPr>
          <w:color w:val="231F20"/>
        </w:rPr>
        <w:t>of </w:t>
      </w:r>
      <w:r>
        <w:rPr>
          <w:color w:val="231F20"/>
          <w:spacing w:val="-4"/>
        </w:rPr>
        <w:t>Bloomington, Indiana, unanimously passed </w:t>
      </w:r>
      <w:r>
        <w:rPr>
          <w:color w:val="231F20"/>
        </w:rPr>
        <w:t>a resolution calling for an end to the U.S. blockade on Cuba.</w:t>
      </w:r>
    </w:p>
    <w:p>
      <w:pPr>
        <w:pStyle w:val="BodyText"/>
        <w:spacing w:before="163"/>
        <w:ind w:left="412" w:right="1473"/>
      </w:pPr>
      <w:r>
        <w:rPr>
          <w:b/>
          <w:color w:val="B52628"/>
        </w:rPr>
        <w:t>On January 26, 2023, </w:t>
      </w:r>
      <w:r>
        <w:rPr>
          <w:color w:val="231F20"/>
        </w:rPr>
        <w:t>during a visit to Havana, Jeffrey W. Bullock, Secretary of State of Delaware, and Michael T. Scuse, Delaware Secretary of Agriculture, called for lifting of the blockade on Cuba.</w:t>
      </w:r>
    </w:p>
    <w:p>
      <w:pPr>
        <w:pStyle w:val="BodyText"/>
        <w:spacing w:before="164"/>
        <w:ind w:left="412" w:right="1474"/>
      </w:pPr>
      <w:r>
        <w:rPr>
          <w:b/>
          <w:color w:val="B52628"/>
          <w:spacing w:val="-6"/>
        </w:rPr>
        <w:t>On January 29, 2023,</w:t>
      </w:r>
      <w:r>
        <w:rPr>
          <w:b/>
          <w:color w:val="B52628"/>
          <w:spacing w:val="-8"/>
        </w:rPr>
        <w:t> </w:t>
      </w:r>
      <w:r>
        <w:rPr>
          <w:color w:val="231F20"/>
          <w:spacing w:val="-6"/>
        </w:rPr>
        <w:t>caravans</w:t>
      </w:r>
      <w:r>
        <w:rPr>
          <w:color w:val="231F20"/>
          <w:spacing w:val="-11"/>
        </w:rPr>
        <w:t> </w:t>
      </w:r>
      <w:r>
        <w:rPr>
          <w:color w:val="231F20"/>
          <w:spacing w:val="-6"/>
        </w:rPr>
        <w:t>demanding </w:t>
      </w:r>
      <w:r>
        <w:rPr>
          <w:color w:val="231F20"/>
        </w:rPr>
        <w:t>an end to the coercive measures against Cuba took to the streets in over 20 U.S. cities, Miami, FL. among them.</w:t>
      </w:r>
    </w:p>
    <w:p>
      <w:pPr>
        <w:pStyle w:val="BodyText"/>
        <w:spacing w:before="163"/>
        <w:ind w:left="412" w:right="1477"/>
      </w:pPr>
      <w:r>
        <w:rPr>
          <w:b/>
          <w:color w:val="B52628"/>
          <w:spacing w:val="-2"/>
        </w:rPr>
        <w:t>In</w:t>
      </w:r>
      <w:r>
        <w:rPr>
          <w:b/>
          <w:color w:val="B52628"/>
          <w:spacing w:val="-15"/>
        </w:rPr>
        <w:t> </w:t>
      </w:r>
      <w:r>
        <w:rPr>
          <w:b/>
          <w:color w:val="B52628"/>
          <w:spacing w:val="-2"/>
        </w:rPr>
        <w:t>January</w:t>
      </w:r>
      <w:r>
        <w:rPr>
          <w:b/>
          <w:color w:val="B52628"/>
          <w:spacing w:val="-15"/>
        </w:rPr>
        <w:t> </w:t>
      </w:r>
      <w:r>
        <w:rPr>
          <w:b/>
          <w:color w:val="B52628"/>
          <w:spacing w:val="-2"/>
        </w:rPr>
        <w:t>2023,</w:t>
      </w:r>
      <w:r>
        <w:rPr>
          <w:b/>
          <w:color w:val="B52628"/>
          <w:spacing w:val="-14"/>
        </w:rPr>
        <w:t> </w:t>
      </w:r>
      <w:r>
        <w:rPr>
          <w:color w:val="231F20"/>
          <w:spacing w:val="-2"/>
        </w:rPr>
        <w:t>Minneapolis</w:t>
      </w:r>
      <w:r>
        <w:rPr>
          <w:color w:val="231F20"/>
          <w:spacing w:val="-15"/>
        </w:rPr>
        <w:t> </w:t>
      </w:r>
      <w:r>
        <w:rPr>
          <w:color w:val="231F20"/>
          <w:spacing w:val="-2"/>
        </w:rPr>
        <w:t>City</w:t>
      </w:r>
      <w:r>
        <w:rPr>
          <w:color w:val="231F20"/>
          <w:spacing w:val="-14"/>
        </w:rPr>
        <w:t> </w:t>
      </w:r>
      <w:r>
        <w:rPr>
          <w:color w:val="231F20"/>
          <w:spacing w:val="-2"/>
        </w:rPr>
        <w:t>Council </w:t>
      </w:r>
      <w:r>
        <w:rPr>
          <w:color w:val="231F20"/>
          <w:spacing w:val="-8"/>
        </w:rPr>
        <w:t>urged President Biden and the U.S. Congress </w:t>
      </w:r>
      <w:r>
        <w:rPr>
          <w:color w:val="231F20"/>
          <w:spacing w:val="-14"/>
        </w:rPr>
        <w:t>to</w:t>
      </w:r>
      <w:r>
        <w:rPr>
          <w:color w:val="231F20"/>
        </w:rPr>
        <w:t> </w:t>
      </w:r>
      <w:r>
        <w:rPr>
          <w:color w:val="231F20"/>
          <w:spacing w:val="-14"/>
        </w:rPr>
        <w:t>remove</w:t>
      </w:r>
      <w:r>
        <w:rPr>
          <w:color w:val="231F20"/>
        </w:rPr>
        <w:t> </w:t>
      </w:r>
      <w:r>
        <w:rPr>
          <w:color w:val="231F20"/>
          <w:spacing w:val="-14"/>
        </w:rPr>
        <w:t>Cuba</w:t>
      </w:r>
      <w:r>
        <w:rPr>
          <w:color w:val="231F20"/>
        </w:rPr>
        <w:t> </w:t>
      </w:r>
      <w:r>
        <w:rPr>
          <w:color w:val="231F20"/>
          <w:spacing w:val="-14"/>
        </w:rPr>
        <w:t>from</w:t>
      </w:r>
      <w:r>
        <w:rPr>
          <w:color w:val="231F20"/>
        </w:rPr>
        <w:t> </w:t>
      </w:r>
      <w:r>
        <w:rPr>
          <w:color w:val="231F20"/>
          <w:spacing w:val="-14"/>
        </w:rPr>
        <w:t>the</w:t>
      </w:r>
      <w:r>
        <w:rPr>
          <w:color w:val="231F20"/>
        </w:rPr>
        <w:t> </w:t>
      </w:r>
      <w:r>
        <w:rPr>
          <w:color w:val="231F20"/>
          <w:spacing w:val="-14"/>
        </w:rPr>
        <w:t>list</w:t>
      </w:r>
      <w:r>
        <w:rPr>
          <w:color w:val="231F20"/>
        </w:rPr>
        <w:t> </w:t>
      </w:r>
      <w:r>
        <w:rPr>
          <w:color w:val="231F20"/>
          <w:spacing w:val="-14"/>
        </w:rPr>
        <w:t>of</w:t>
      </w:r>
      <w:r>
        <w:rPr>
          <w:color w:val="231F20"/>
        </w:rPr>
        <w:t> </w:t>
      </w:r>
      <w:r>
        <w:rPr>
          <w:color w:val="231F20"/>
          <w:spacing w:val="-14"/>
        </w:rPr>
        <w:t>state</w:t>
      </w:r>
      <w:r>
        <w:rPr>
          <w:color w:val="231F20"/>
        </w:rPr>
        <w:t> </w:t>
      </w:r>
      <w:r>
        <w:rPr>
          <w:color w:val="231F20"/>
          <w:spacing w:val="-14"/>
        </w:rPr>
        <w:t>sponsors </w:t>
      </w:r>
      <w:r>
        <w:rPr>
          <w:color w:val="231F20"/>
          <w:spacing w:val="-4"/>
        </w:rPr>
        <w:t>of</w:t>
      </w:r>
      <w:r>
        <w:rPr>
          <w:color w:val="231F20"/>
          <w:spacing w:val="-13"/>
        </w:rPr>
        <w:t> </w:t>
      </w:r>
      <w:r>
        <w:rPr>
          <w:color w:val="231F20"/>
          <w:spacing w:val="-4"/>
        </w:rPr>
        <w:t>terrorism.</w:t>
      </w:r>
      <w:r>
        <w:rPr>
          <w:color w:val="231F20"/>
          <w:spacing w:val="-12"/>
        </w:rPr>
        <w:t> </w:t>
      </w:r>
      <w:r>
        <w:rPr>
          <w:color w:val="231F20"/>
          <w:spacing w:val="-4"/>
        </w:rPr>
        <w:t>In</w:t>
      </w:r>
      <w:r>
        <w:rPr>
          <w:color w:val="231F20"/>
          <w:spacing w:val="-12"/>
        </w:rPr>
        <w:t> </w:t>
      </w:r>
      <w:r>
        <w:rPr>
          <w:color w:val="231F20"/>
          <w:spacing w:val="-4"/>
        </w:rPr>
        <w:t>a</w:t>
      </w:r>
      <w:r>
        <w:rPr>
          <w:color w:val="231F20"/>
          <w:spacing w:val="-13"/>
        </w:rPr>
        <w:t> </w:t>
      </w:r>
      <w:r>
        <w:rPr>
          <w:color w:val="231F20"/>
          <w:spacing w:val="-4"/>
        </w:rPr>
        <w:t>letter</w:t>
      </w:r>
      <w:r>
        <w:rPr>
          <w:color w:val="231F20"/>
          <w:spacing w:val="-12"/>
        </w:rPr>
        <w:t> </w:t>
      </w:r>
      <w:r>
        <w:rPr>
          <w:color w:val="231F20"/>
          <w:spacing w:val="-4"/>
        </w:rPr>
        <w:t>to</w:t>
      </w:r>
      <w:r>
        <w:rPr>
          <w:color w:val="231F20"/>
          <w:spacing w:val="-12"/>
        </w:rPr>
        <w:t> </w:t>
      </w:r>
      <w:r>
        <w:rPr>
          <w:color w:val="231F20"/>
          <w:spacing w:val="-4"/>
        </w:rPr>
        <w:t>the</w:t>
      </w:r>
      <w:r>
        <w:rPr>
          <w:color w:val="231F20"/>
          <w:spacing w:val="-13"/>
        </w:rPr>
        <w:t> </w:t>
      </w:r>
      <w:r>
        <w:rPr>
          <w:color w:val="231F20"/>
          <w:spacing w:val="-4"/>
        </w:rPr>
        <w:t>director</w:t>
      </w:r>
      <w:r>
        <w:rPr>
          <w:color w:val="231F20"/>
          <w:spacing w:val="-12"/>
        </w:rPr>
        <w:t> </w:t>
      </w:r>
      <w:r>
        <w:rPr>
          <w:color w:val="231F20"/>
          <w:spacing w:val="-4"/>
        </w:rPr>
        <w:t>of</w:t>
      </w:r>
      <w:r>
        <w:rPr>
          <w:color w:val="231F20"/>
          <w:spacing w:val="-12"/>
        </w:rPr>
        <w:t> </w:t>
      </w:r>
      <w:r>
        <w:rPr>
          <w:color w:val="231F20"/>
          <w:spacing w:val="-4"/>
        </w:rPr>
        <w:t>the </w:t>
      </w:r>
      <w:r>
        <w:rPr>
          <w:color w:val="231F20"/>
        </w:rPr>
        <w:t>Office of Intergovernmental Affairs at the White House, Julie Chávez Rodríguez, the activists added a reminder that this could </w:t>
      </w:r>
      <w:r>
        <w:rPr>
          <w:color w:val="231F20"/>
          <w:spacing w:val="-2"/>
        </w:rPr>
        <w:t>be</w:t>
      </w:r>
      <w:r>
        <w:rPr>
          <w:color w:val="231F20"/>
          <w:spacing w:val="-10"/>
        </w:rPr>
        <w:t> </w:t>
      </w:r>
      <w:r>
        <w:rPr>
          <w:color w:val="231F20"/>
          <w:spacing w:val="-2"/>
        </w:rPr>
        <w:t>effected</w:t>
      </w:r>
      <w:r>
        <w:rPr>
          <w:color w:val="231F20"/>
          <w:spacing w:val="-10"/>
        </w:rPr>
        <w:t> </w:t>
      </w:r>
      <w:r>
        <w:rPr>
          <w:color w:val="231F20"/>
          <w:spacing w:val="-2"/>
        </w:rPr>
        <w:t>by</w:t>
      </w:r>
      <w:r>
        <w:rPr>
          <w:color w:val="231F20"/>
          <w:spacing w:val="-10"/>
        </w:rPr>
        <w:t> </w:t>
      </w:r>
      <w:r>
        <w:rPr>
          <w:color w:val="231F20"/>
          <w:spacing w:val="-2"/>
        </w:rPr>
        <w:t>presidential</w:t>
      </w:r>
      <w:r>
        <w:rPr>
          <w:color w:val="231F20"/>
          <w:spacing w:val="-10"/>
        </w:rPr>
        <w:t> </w:t>
      </w:r>
      <w:r>
        <w:rPr>
          <w:color w:val="231F20"/>
          <w:spacing w:val="-2"/>
        </w:rPr>
        <w:t>executive</w:t>
      </w:r>
      <w:r>
        <w:rPr>
          <w:color w:val="231F20"/>
          <w:spacing w:val="-10"/>
        </w:rPr>
        <w:t> </w:t>
      </w:r>
      <w:r>
        <w:rPr>
          <w:color w:val="231F20"/>
          <w:spacing w:val="-2"/>
        </w:rPr>
        <w:t>order </w:t>
      </w:r>
      <w:r>
        <w:rPr>
          <w:color w:val="231F20"/>
        </w:rPr>
        <w:t>and that Mr. Biden had promised during his election campaign to review Cuba’s designation</w:t>
      </w:r>
      <w:r>
        <w:rPr>
          <w:color w:val="231F20"/>
          <w:spacing w:val="-17"/>
        </w:rPr>
        <w:t> </w:t>
      </w:r>
      <w:r>
        <w:rPr>
          <w:color w:val="231F20"/>
        </w:rPr>
        <w:t>in</w:t>
      </w:r>
      <w:r>
        <w:rPr>
          <w:color w:val="231F20"/>
          <w:spacing w:val="-16"/>
        </w:rPr>
        <w:t> </w:t>
      </w:r>
      <w:r>
        <w:rPr>
          <w:color w:val="231F20"/>
        </w:rPr>
        <w:t>this</w:t>
      </w:r>
      <w:r>
        <w:rPr>
          <w:color w:val="231F20"/>
          <w:spacing w:val="-17"/>
        </w:rPr>
        <w:t> </w:t>
      </w:r>
      <w:r>
        <w:rPr>
          <w:color w:val="231F20"/>
        </w:rPr>
        <w:t>respect.</w:t>
      </w:r>
    </w:p>
    <w:p>
      <w:pPr>
        <w:pStyle w:val="BodyText"/>
        <w:spacing w:before="168"/>
        <w:ind w:left="412" w:right="1473"/>
      </w:pPr>
      <w:r>
        <w:rPr>
          <w:b/>
          <w:color w:val="B52628"/>
          <w:spacing w:val="-6"/>
        </w:rPr>
        <w:t>On</w:t>
      </w:r>
      <w:r>
        <w:rPr>
          <w:b/>
          <w:color w:val="B52628"/>
          <w:spacing w:val="-11"/>
        </w:rPr>
        <w:t> </w:t>
      </w:r>
      <w:r>
        <w:rPr>
          <w:b/>
          <w:color w:val="B52628"/>
          <w:spacing w:val="-6"/>
        </w:rPr>
        <w:t>February</w:t>
      </w:r>
      <w:r>
        <w:rPr>
          <w:b/>
          <w:color w:val="B52628"/>
          <w:spacing w:val="-11"/>
        </w:rPr>
        <w:t> </w:t>
      </w:r>
      <w:r>
        <w:rPr>
          <w:b/>
          <w:color w:val="B52628"/>
          <w:spacing w:val="-6"/>
        </w:rPr>
        <w:t>5,</w:t>
      </w:r>
      <w:r>
        <w:rPr>
          <w:b/>
          <w:color w:val="B52628"/>
          <w:spacing w:val="-10"/>
        </w:rPr>
        <w:t> </w:t>
      </w:r>
      <w:r>
        <w:rPr>
          <w:b/>
          <w:color w:val="B52628"/>
          <w:spacing w:val="-6"/>
        </w:rPr>
        <w:t>2023,</w:t>
      </w:r>
      <w:r>
        <w:rPr>
          <w:b/>
          <w:color w:val="B52628"/>
          <w:spacing w:val="-11"/>
        </w:rPr>
        <w:t> </w:t>
      </w:r>
      <w:r>
        <w:rPr>
          <w:color w:val="231F20"/>
          <w:spacing w:val="-6"/>
        </w:rPr>
        <w:t>members</w:t>
      </w:r>
      <w:r>
        <w:rPr>
          <w:color w:val="231F20"/>
          <w:spacing w:val="-10"/>
        </w:rPr>
        <w:t> </w:t>
      </w:r>
      <w:r>
        <w:rPr>
          <w:color w:val="231F20"/>
          <w:spacing w:val="-6"/>
        </w:rPr>
        <w:t>of</w:t>
      </w:r>
      <w:r>
        <w:rPr>
          <w:color w:val="231F20"/>
          <w:spacing w:val="-11"/>
        </w:rPr>
        <w:t> </w:t>
      </w:r>
      <w:r>
        <w:rPr>
          <w:color w:val="231F20"/>
          <w:spacing w:val="-6"/>
        </w:rPr>
        <w:t>“Puentes </w:t>
      </w:r>
      <w:r>
        <w:rPr>
          <w:color w:val="231F20"/>
        </w:rPr>
        <w:t>de Amor” and its coordinator Carlos</w:t>
      </w:r>
      <w:r>
        <w:rPr>
          <w:color w:val="231F20"/>
          <w:spacing w:val="80"/>
        </w:rPr>
        <w:t> </w:t>
      </w:r>
      <w:r>
        <w:rPr>
          <w:color w:val="231F20"/>
        </w:rPr>
        <w:t>Lazo,</w:t>
      </w:r>
      <w:r>
        <w:rPr>
          <w:color w:val="231F20"/>
          <w:spacing w:val="57"/>
        </w:rPr>
        <w:t> </w:t>
      </w:r>
      <w:r>
        <w:rPr>
          <w:color w:val="231F20"/>
        </w:rPr>
        <w:t>together</w:t>
      </w:r>
      <w:r>
        <w:rPr>
          <w:color w:val="231F20"/>
          <w:spacing w:val="57"/>
        </w:rPr>
        <w:t> </w:t>
      </w:r>
      <w:r>
        <w:rPr>
          <w:color w:val="231F20"/>
        </w:rPr>
        <w:t>with</w:t>
      </w:r>
      <w:r>
        <w:rPr>
          <w:color w:val="231F20"/>
          <w:spacing w:val="57"/>
        </w:rPr>
        <w:t> </w:t>
      </w:r>
      <w:r>
        <w:rPr>
          <w:color w:val="231F20"/>
        </w:rPr>
        <w:t>CODEPINK’s</w:t>
      </w:r>
      <w:r>
        <w:rPr>
          <w:color w:val="231F20"/>
          <w:spacing w:val="58"/>
        </w:rPr>
        <w:t> </w:t>
      </w:r>
      <w:r>
        <w:rPr>
          <w:color w:val="231F20"/>
          <w:spacing w:val="-2"/>
        </w:rPr>
        <w:t>Medea</w:t>
      </w:r>
    </w:p>
    <w:p>
      <w:pPr>
        <w:spacing w:after="0"/>
        <w:sectPr>
          <w:pgSz w:w="11910" w:h="16840"/>
          <w:pgMar w:header="0" w:footer="695" w:top="1260" w:bottom="880" w:left="0" w:right="0"/>
          <w:cols w:num="2" w:equalWidth="0">
            <w:col w:w="5557" w:space="40"/>
            <w:col w:w="6313"/>
          </w:cols>
        </w:sectPr>
      </w:pPr>
    </w:p>
    <w:p>
      <w:pPr>
        <w:pStyle w:val="BodyText"/>
        <w:spacing w:before="77"/>
        <w:ind w:left="1474"/>
      </w:pPr>
      <w:r>
        <w:rPr>
          <w:color w:val="231F20"/>
          <w:spacing w:val="-4"/>
        </w:rPr>
        <w:t>Benjamin,</w:t>
      </w:r>
      <w:r>
        <w:rPr>
          <w:color w:val="231F20"/>
          <w:spacing w:val="-13"/>
        </w:rPr>
        <w:t> </w:t>
      </w:r>
      <w:r>
        <w:rPr>
          <w:color w:val="231F20"/>
          <w:spacing w:val="-4"/>
        </w:rPr>
        <w:t>at</w:t>
      </w:r>
      <w:r>
        <w:rPr>
          <w:color w:val="231F20"/>
          <w:spacing w:val="-12"/>
        </w:rPr>
        <w:t> </w:t>
      </w:r>
      <w:r>
        <w:rPr>
          <w:color w:val="231F20"/>
          <w:spacing w:val="-4"/>
        </w:rPr>
        <w:t>a</w:t>
      </w:r>
      <w:r>
        <w:rPr>
          <w:color w:val="231F20"/>
          <w:spacing w:val="-13"/>
        </w:rPr>
        <w:t> </w:t>
      </w:r>
      <w:r>
        <w:rPr>
          <w:color w:val="231F20"/>
          <w:spacing w:val="-4"/>
        </w:rPr>
        <w:t>meeting</w:t>
      </w:r>
      <w:r>
        <w:rPr>
          <w:color w:val="231F20"/>
          <w:spacing w:val="-12"/>
        </w:rPr>
        <w:t> </w:t>
      </w:r>
      <w:r>
        <w:rPr>
          <w:color w:val="231F20"/>
          <w:spacing w:val="-4"/>
        </w:rPr>
        <w:t>with</w:t>
      </w:r>
      <w:r>
        <w:rPr>
          <w:color w:val="231F20"/>
          <w:spacing w:val="-13"/>
        </w:rPr>
        <w:t> </w:t>
      </w:r>
      <w:r>
        <w:rPr>
          <w:color w:val="231F20"/>
          <w:spacing w:val="-4"/>
        </w:rPr>
        <w:t>representatives </w:t>
      </w:r>
      <w:r>
        <w:rPr>
          <w:color w:val="231F20"/>
        </w:rPr>
        <w:t>of</w:t>
      </w:r>
      <w:r>
        <w:rPr>
          <w:color w:val="231F20"/>
          <w:spacing w:val="-15"/>
        </w:rPr>
        <w:t> </w:t>
      </w:r>
      <w:r>
        <w:rPr>
          <w:color w:val="231F20"/>
        </w:rPr>
        <w:t>the</w:t>
      </w:r>
      <w:r>
        <w:rPr>
          <w:color w:val="231F20"/>
          <w:spacing w:val="-15"/>
        </w:rPr>
        <w:t> </w:t>
      </w:r>
      <w:r>
        <w:rPr>
          <w:color w:val="231F20"/>
        </w:rPr>
        <w:t>Cuban</w:t>
      </w:r>
      <w:r>
        <w:rPr>
          <w:color w:val="231F20"/>
          <w:spacing w:val="-15"/>
        </w:rPr>
        <w:t> </w:t>
      </w:r>
      <w:r>
        <w:rPr>
          <w:color w:val="231F20"/>
        </w:rPr>
        <w:t>institution</w:t>
      </w:r>
      <w:r>
        <w:rPr>
          <w:color w:val="231F20"/>
          <w:spacing w:val="-15"/>
        </w:rPr>
        <w:t> </w:t>
      </w:r>
      <w:r>
        <w:rPr>
          <w:color w:val="231F20"/>
        </w:rPr>
        <w:t>of</w:t>
      </w:r>
      <w:r>
        <w:rPr>
          <w:color w:val="231F20"/>
          <w:spacing w:val="-15"/>
        </w:rPr>
        <w:t> </w:t>
      </w:r>
      <w:r>
        <w:rPr>
          <w:color w:val="231F20"/>
        </w:rPr>
        <w:t>Friendship</w:t>
      </w:r>
      <w:r>
        <w:rPr>
          <w:color w:val="231F20"/>
          <w:spacing w:val="-15"/>
        </w:rPr>
        <w:t> </w:t>
      </w:r>
      <w:r>
        <w:rPr>
          <w:color w:val="231F20"/>
        </w:rPr>
        <w:t>with the Peoples, reiterated their intention of continuing to press for the lifting of the </w:t>
      </w:r>
      <w:r>
        <w:rPr>
          <w:color w:val="231F20"/>
          <w:spacing w:val="-2"/>
        </w:rPr>
        <w:t>blockade.</w:t>
      </w:r>
    </w:p>
    <w:p>
      <w:pPr>
        <w:pStyle w:val="BodyText"/>
        <w:spacing w:before="164"/>
        <w:ind w:left="1474"/>
      </w:pPr>
      <w:r>
        <w:rPr>
          <w:b/>
          <w:color w:val="B52628"/>
          <w:spacing w:val="-6"/>
        </w:rPr>
        <w:t>On</w:t>
      </w:r>
      <w:r>
        <w:rPr>
          <w:b/>
          <w:color w:val="B52628"/>
          <w:spacing w:val="-11"/>
        </w:rPr>
        <w:t> </w:t>
      </w:r>
      <w:r>
        <w:rPr>
          <w:b/>
          <w:color w:val="B52628"/>
          <w:spacing w:val="-6"/>
        </w:rPr>
        <w:t>February</w:t>
      </w:r>
      <w:r>
        <w:rPr>
          <w:b/>
          <w:color w:val="B52628"/>
          <w:spacing w:val="-11"/>
        </w:rPr>
        <w:t> </w:t>
      </w:r>
      <w:r>
        <w:rPr>
          <w:b/>
          <w:color w:val="B52628"/>
          <w:spacing w:val="-6"/>
        </w:rPr>
        <w:t>10,</w:t>
      </w:r>
      <w:r>
        <w:rPr>
          <w:b/>
          <w:color w:val="B52628"/>
          <w:spacing w:val="-10"/>
        </w:rPr>
        <w:t> </w:t>
      </w:r>
      <w:r>
        <w:rPr>
          <w:b/>
          <w:color w:val="B52628"/>
          <w:spacing w:val="-6"/>
        </w:rPr>
        <w:t>2023,</w:t>
      </w:r>
      <w:r>
        <w:rPr>
          <w:b/>
          <w:color w:val="B52628"/>
          <w:spacing w:val="-11"/>
        </w:rPr>
        <w:t> </w:t>
      </w:r>
      <w:r>
        <w:rPr>
          <w:color w:val="231F20"/>
          <w:spacing w:val="-6"/>
        </w:rPr>
        <w:t>Washington</w:t>
      </w:r>
      <w:r>
        <w:rPr>
          <w:color w:val="231F20"/>
          <w:spacing w:val="-10"/>
        </w:rPr>
        <w:t> </w:t>
      </w:r>
      <w:r>
        <w:rPr>
          <w:color w:val="231F20"/>
          <w:spacing w:val="-6"/>
        </w:rPr>
        <w:t>DC</w:t>
      </w:r>
      <w:r>
        <w:rPr>
          <w:color w:val="231F20"/>
          <w:spacing w:val="-11"/>
        </w:rPr>
        <w:t> </w:t>
      </w:r>
      <w:r>
        <w:rPr>
          <w:color w:val="231F20"/>
          <w:spacing w:val="-6"/>
        </w:rPr>
        <w:t>City </w:t>
      </w:r>
      <w:r>
        <w:rPr>
          <w:color w:val="231F20"/>
          <w:spacing w:val="-4"/>
        </w:rPr>
        <w:t>Council</w:t>
      </w:r>
      <w:r>
        <w:rPr>
          <w:color w:val="231F20"/>
          <w:spacing w:val="-13"/>
        </w:rPr>
        <w:t> </w:t>
      </w:r>
      <w:r>
        <w:rPr>
          <w:color w:val="231F20"/>
          <w:spacing w:val="-4"/>
        </w:rPr>
        <w:t>introduced</w:t>
      </w:r>
      <w:r>
        <w:rPr>
          <w:color w:val="231F20"/>
          <w:spacing w:val="-12"/>
        </w:rPr>
        <w:t> </w:t>
      </w:r>
      <w:r>
        <w:rPr>
          <w:color w:val="231F20"/>
          <w:spacing w:val="-4"/>
        </w:rPr>
        <w:t>a</w:t>
      </w:r>
      <w:r>
        <w:rPr>
          <w:color w:val="231F20"/>
          <w:spacing w:val="-13"/>
        </w:rPr>
        <w:t> </w:t>
      </w:r>
      <w:r>
        <w:rPr>
          <w:color w:val="231F20"/>
          <w:spacing w:val="-4"/>
        </w:rPr>
        <w:t>resolution</w:t>
      </w:r>
      <w:r>
        <w:rPr>
          <w:color w:val="231F20"/>
          <w:spacing w:val="-12"/>
        </w:rPr>
        <w:t> </w:t>
      </w:r>
      <w:r>
        <w:rPr>
          <w:color w:val="231F20"/>
          <w:spacing w:val="-4"/>
        </w:rPr>
        <w:t>demanding </w:t>
      </w:r>
      <w:r>
        <w:rPr>
          <w:color w:val="231F20"/>
          <w:spacing w:val="-2"/>
        </w:rPr>
        <w:t>that</w:t>
      </w:r>
      <w:r>
        <w:rPr>
          <w:color w:val="231F20"/>
          <w:spacing w:val="-11"/>
        </w:rPr>
        <w:t> </w:t>
      </w:r>
      <w:r>
        <w:rPr>
          <w:color w:val="231F20"/>
          <w:spacing w:val="-2"/>
        </w:rPr>
        <w:t>President</w:t>
      </w:r>
      <w:r>
        <w:rPr>
          <w:color w:val="231F20"/>
          <w:spacing w:val="-11"/>
        </w:rPr>
        <w:t> </w:t>
      </w:r>
      <w:r>
        <w:rPr>
          <w:color w:val="231F20"/>
          <w:spacing w:val="-2"/>
        </w:rPr>
        <w:t>Biden</w:t>
      </w:r>
      <w:r>
        <w:rPr>
          <w:color w:val="231F20"/>
          <w:spacing w:val="-11"/>
        </w:rPr>
        <w:t> </w:t>
      </w:r>
      <w:r>
        <w:rPr>
          <w:color w:val="231F20"/>
          <w:spacing w:val="-2"/>
        </w:rPr>
        <w:t>and</w:t>
      </w:r>
      <w:r>
        <w:rPr>
          <w:color w:val="231F20"/>
          <w:spacing w:val="-11"/>
        </w:rPr>
        <w:t> </w:t>
      </w:r>
      <w:r>
        <w:rPr>
          <w:color w:val="231F20"/>
          <w:spacing w:val="-2"/>
        </w:rPr>
        <w:t>the</w:t>
      </w:r>
      <w:r>
        <w:rPr>
          <w:color w:val="231F20"/>
          <w:spacing w:val="-11"/>
        </w:rPr>
        <w:t> </w:t>
      </w:r>
      <w:r>
        <w:rPr>
          <w:color w:val="231F20"/>
          <w:spacing w:val="-2"/>
        </w:rPr>
        <w:t>U.S.</w:t>
      </w:r>
      <w:r>
        <w:rPr>
          <w:color w:val="231F20"/>
          <w:spacing w:val="-11"/>
        </w:rPr>
        <w:t> </w:t>
      </w:r>
      <w:r>
        <w:rPr>
          <w:color w:val="231F20"/>
          <w:spacing w:val="-2"/>
        </w:rPr>
        <w:t>Congress </w:t>
      </w:r>
      <w:r>
        <w:rPr>
          <w:color w:val="231F20"/>
          <w:spacing w:val="-4"/>
        </w:rPr>
        <w:t>lift</w:t>
      </w:r>
      <w:r>
        <w:rPr>
          <w:color w:val="231F20"/>
          <w:spacing w:val="-13"/>
        </w:rPr>
        <w:t> </w:t>
      </w:r>
      <w:r>
        <w:rPr>
          <w:color w:val="231F20"/>
          <w:spacing w:val="-4"/>
        </w:rPr>
        <w:t>the</w:t>
      </w:r>
      <w:r>
        <w:rPr>
          <w:color w:val="231F20"/>
          <w:spacing w:val="-12"/>
        </w:rPr>
        <w:t> </w:t>
      </w:r>
      <w:r>
        <w:rPr>
          <w:color w:val="231F20"/>
          <w:spacing w:val="-4"/>
        </w:rPr>
        <w:t>embargo</w:t>
      </w:r>
      <w:r>
        <w:rPr>
          <w:color w:val="231F20"/>
          <w:spacing w:val="-13"/>
        </w:rPr>
        <w:t> </w:t>
      </w:r>
      <w:r>
        <w:rPr>
          <w:color w:val="231F20"/>
          <w:spacing w:val="-4"/>
        </w:rPr>
        <w:t>on</w:t>
      </w:r>
      <w:r>
        <w:rPr>
          <w:color w:val="231F20"/>
          <w:spacing w:val="-12"/>
        </w:rPr>
        <w:t> </w:t>
      </w:r>
      <w:r>
        <w:rPr>
          <w:color w:val="231F20"/>
          <w:spacing w:val="-4"/>
        </w:rPr>
        <w:t>Cuba</w:t>
      </w:r>
      <w:r>
        <w:rPr>
          <w:color w:val="231F20"/>
          <w:spacing w:val="-13"/>
        </w:rPr>
        <w:t> </w:t>
      </w:r>
      <w:r>
        <w:rPr>
          <w:color w:val="231F20"/>
          <w:spacing w:val="-4"/>
        </w:rPr>
        <w:t>and</w:t>
      </w:r>
      <w:r>
        <w:rPr>
          <w:color w:val="231F20"/>
          <w:spacing w:val="-12"/>
        </w:rPr>
        <w:t> </w:t>
      </w:r>
      <w:r>
        <w:rPr>
          <w:color w:val="231F20"/>
          <w:spacing w:val="-4"/>
        </w:rPr>
        <w:t>remove</w:t>
      </w:r>
      <w:r>
        <w:rPr>
          <w:color w:val="231F20"/>
          <w:spacing w:val="-13"/>
        </w:rPr>
        <w:t> </w:t>
      </w:r>
      <w:r>
        <w:rPr>
          <w:color w:val="231F20"/>
          <w:spacing w:val="-4"/>
        </w:rPr>
        <w:t>Cuba </w:t>
      </w:r>
      <w:r>
        <w:rPr>
          <w:color w:val="231F20"/>
        </w:rPr>
        <w:t>from</w:t>
      </w:r>
      <w:r>
        <w:rPr>
          <w:color w:val="231F20"/>
          <w:spacing w:val="-16"/>
        </w:rPr>
        <w:t> </w:t>
      </w:r>
      <w:r>
        <w:rPr>
          <w:color w:val="231F20"/>
        </w:rPr>
        <w:t>the</w:t>
      </w:r>
      <w:r>
        <w:rPr>
          <w:color w:val="231F20"/>
          <w:spacing w:val="-14"/>
        </w:rPr>
        <w:t> </w:t>
      </w:r>
      <w:r>
        <w:rPr>
          <w:color w:val="231F20"/>
        </w:rPr>
        <w:t>list</w:t>
      </w:r>
      <w:r>
        <w:rPr>
          <w:color w:val="231F20"/>
          <w:spacing w:val="-14"/>
        </w:rPr>
        <w:t> </w:t>
      </w:r>
      <w:r>
        <w:rPr>
          <w:color w:val="231F20"/>
        </w:rPr>
        <w:t>of</w:t>
      </w:r>
      <w:r>
        <w:rPr>
          <w:color w:val="231F20"/>
          <w:spacing w:val="-14"/>
        </w:rPr>
        <w:t> </w:t>
      </w:r>
      <w:r>
        <w:rPr>
          <w:color w:val="231F20"/>
        </w:rPr>
        <w:t>state</w:t>
      </w:r>
      <w:r>
        <w:rPr>
          <w:color w:val="231F20"/>
          <w:spacing w:val="-14"/>
        </w:rPr>
        <w:t> </w:t>
      </w:r>
      <w:r>
        <w:rPr>
          <w:color w:val="231F20"/>
        </w:rPr>
        <w:t>sponsors</w:t>
      </w:r>
      <w:r>
        <w:rPr>
          <w:color w:val="231F20"/>
          <w:spacing w:val="-14"/>
        </w:rPr>
        <w:t> </w:t>
      </w:r>
      <w:r>
        <w:rPr>
          <w:color w:val="231F20"/>
        </w:rPr>
        <w:t>of</w:t>
      </w:r>
      <w:r>
        <w:rPr>
          <w:color w:val="231F20"/>
          <w:spacing w:val="-14"/>
        </w:rPr>
        <w:t> </w:t>
      </w:r>
      <w:r>
        <w:rPr>
          <w:color w:val="231F20"/>
          <w:spacing w:val="-2"/>
        </w:rPr>
        <w:t>terrorism.</w:t>
      </w:r>
    </w:p>
    <w:p>
      <w:pPr>
        <w:pStyle w:val="BodyText"/>
        <w:spacing w:before="164"/>
        <w:ind w:left="1474"/>
      </w:pPr>
      <w:r>
        <w:rPr>
          <w:b/>
          <w:color w:val="B52628"/>
        </w:rPr>
        <w:t>On February 12, 2023, </w:t>
      </w:r>
      <w:r>
        <w:rPr>
          <w:color w:val="231F20"/>
        </w:rPr>
        <w:t>the People´s Dispatch published an article by Noam Chomsky and Vijay Prashad in which</w:t>
      </w:r>
      <w:r>
        <w:rPr>
          <w:color w:val="231F20"/>
          <w:spacing w:val="80"/>
          <w:w w:val="150"/>
        </w:rPr>
        <w:t> </w:t>
      </w:r>
      <w:r>
        <w:rPr>
          <w:color w:val="231F20"/>
        </w:rPr>
        <w:t>they expressed the view that the Biden </w:t>
      </w:r>
      <w:r>
        <w:rPr>
          <w:color w:val="231F20"/>
          <w:spacing w:val="-4"/>
        </w:rPr>
        <w:t>administration</w:t>
      </w:r>
      <w:r>
        <w:rPr>
          <w:color w:val="231F20"/>
          <w:spacing w:val="-13"/>
        </w:rPr>
        <w:t> </w:t>
      </w:r>
      <w:r>
        <w:rPr>
          <w:color w:val="231F20"/>
          <w:spacing w:val="-4"/>
        </w:rPr>
        <w:t>should</w:t>
      </w:r>
      <w:r>
        <w:rPr>
          <w:color w:val="231F20"/>
          <w:spacing w:val="-12"/>
        </w:rPr>
        <w:t> </w:t>
      </w:r>
      <w:r>
        <w:rPr>
          <w:color w:val="231F20"/>
          <w:spacing w:val="-4"/>
        </w:rPr>
        <w:t>delist</w:t>
      </w:r>
      <w:r>
        <w:rPr>
          <w:color w:val="231F20"/>
          <w:spacing w:val="-13"/>
        </w:rPr>
        <w:t> </w:t>
      </w:r>
      <w:r>
        <w:rPr>
          <w:color w:val="231F20"/>
          <w:spacing w:val="-4"/>
        </w:rPr>
        <w:t>Cuba</w:t>
      </w:r>
      <w:r>
        <w:rPr>
          <w:color w:val="231F20"/>
          <w:spacing w:val="-12"/>
        </w:rPr>
        <w:t> </w:t>
      </w:r>
      <w:r>
        <w:rPr>
          <w:color w:val="231F20"/>
          <w:spacing w:val="-4"/>
        </w:rPr>
        <w:t>as</w:t>
      </w:r>
      <w:r>
        <w:rPr>
          <w:color w:val="231F20"/>
          <w:spacing w:val="-13"/>
        </w:rPr>
        <w:t> </w:t>
      </w:r>
      <w:r>
        <w:rPr>
          <w:color w:val="231F20"/>
          <w:spacing w:val="-4"/>
        </w:rPr>
        <w:t>a</w:t>
      </w:r>
      <w:r>
        <w:rPr>
          <w:color w:val="231F20"/>
          <w:spacing w:val="-12"/>
        </w:rPr>
        <w:t> </w:t>
      </w:r>
      <w:r>
        <w:rPr>
          <w:color w:val="231F20"/>
          <w:spacing w:val="-4"/>
        </w:rPr>
        <w:t>state </w:t>
      </w:r>
      <w:r>
        <w:rPr>
          <w:color w:val="231F20"/>
        </w:rPr>
        <w:t>sponsor of terrorism.</w:t>
      </w:r>
    </w:p>
    <w:p>
      <w:pPr>
        <w:pStyle w:val="BodyText"/>
        <w:spacing w:before="164"/>
        <w:ind w:left="1474"/>
      </w:pPr>
      <w:r>
        <w:rPr>
          <w:b/>
          <w:color w:val="B52628"/>
        </w:rPr>
        <w:t>On February 14, 2023, </w:t>
      </w:r>
      <w:r>
        <w:rPr>
          <w:color w:val="231F20"/>
        </w:rPr>
        <w:t>the International Committee</w:t>
      </w:r>
      <w:r>
        <w:rPr>
          <w:color w:val="231F20"/>
          <w:spacing w:val="-13"/>
        </w:rPr>
        <w:t> </w:t>
      </w:r>
      <w:r>
        <w:rPr>
          <w:color w:val="231F20"/>
        </w:rPr>
        <w:t>of</w:t>
      </w:r>
      <w:r>
        <w:rPr>
          <w:color w:val="231F20"/>
          <w:spacing w:val="-13"/>
        </w:rPr>
        <w:t> </w:t>
      </w:r>
      <w:r>
        <w:rPr>
          <w:color w:val="231F20"/>
        </w:rPr>
        <w:t>the</w:t>
      </w:r>
      <w:r>
        <w:rPr>
          <w:color w:val="231F20"/>
          <w:spacing w:val="-13"/>
        </w:rPr>
        <w:t> </w:t>
      </w:r>
      <w:r>
        <w:rPr>
          <w:color w:val="231F20"/>
        </w:rPr>
        <w:t>Democratic</w:t>
      </w:r>
      <w:r>
        <w:rPr>
          <w:color w:val="231F20"/>
          <w:spacing w:val="-13"/>
        </w:rPr>
        <w:t> </w:t>
      </w:r>
      <w:r>
        <w:rPr>
          <w:color w:val="231F20"/>
        </w:rPr>
        <w:t>Socialists</w:t>
      </w:r>
      <w:r>
        <w:rPr>
          <w:color w:val="231F20"/>
          <w:spacing w:val="-13"/>
        </w:rPr>
        <w:t> </w:t>
      </w:r>
      <w:r>
        <w:rPr>
          <w:color w:val="231F20"/>
        </w:rPr>
        <w:t>of America</w:t>
      </w:r>
      <w:r>
        <w:rPr>
          <w:color w:val="231F20"/>
          <w:spacing w:val="-5"/>
        </w:rPr>
        <w:t> </w:t>
      </w:r>
      <w:r>
        <w:rPr>
          <w:color w:val="231F20"/>
        </w:rPr>
        <w:t>(DSA</w:t>
      </w:r>
      <w:r>
        <w:rPr>
          <w:color w:val="231F20"/>
          <w:spacing w:val="-5"/>
        </w:rPr>
        <w:t> </w:t>
      </w:r>
      <w:r>
        <w:rPr>
          <w:color w:val="231F20"/>
        </w:rPr>
        <w:t>IC)</w:t>
      </w:r>
      <w:r>
        <w:rPr>
          <w:color w:val="231F20"/>
          <w:spacing w:val="-5"/>
        </w:rPr>
        <w:t> </w:t>
      </w:r>
      <w:r>
        <w:rPr>
          <w:color w:val="231F20"/>
        </w:rPr>
        <w:t>reiterated</w:t>
      </w:r>
      <w:r>
        <w:rPr>
          <w:color w:val="231F20"/>
          <w:spacing w:val="-5"/>
        </w:rPr>
        <w:t> </w:t>
      </w:r>
      <w:r>
        <w:rPr>
          <w:color w:val="231F20"/>
        </w:rPr>
        <w:t>its</w:t>
      </w:r>
      <w:r>
        <w:rPr>
          <w:color w:val="231F20"/>
          <w:spacing w:val="-6"/>
        </w:rPr>
        <w:t> </w:t>
      </w:r>
      <w:r>
        <w:rPr>
          <w:color w:val="231F20"/>
        </w:rPr>
        <w:t>opposition </w:t>
      </w:r>
      <w:r>
        <w:rPr>
          <w:color w:val="231F20"/>
          <w:spacing w:val="-2"/>
        </w:rPr>
        <w:t>to</w:t>
      </w:r>
      <w:r>
        <w:rPr>
          <w:color w:val="231F20"/>
          <w:spacing w:val="-15"/>
        </w:rPr>
        <w:t> </w:t>
      </w:r>
      <w:r>
        <w:rPr>
          <w:color w:val="231F20"/>
          <w:spacing w:val="-2"/>
        </w:rPr>
        <w:t>the</w:t>
      </w:r>
      <w:r>
        <w:rPr>
          <w:color w:val="231F20"/>
          <w:spacing w:val="-14"/>
        </w:rPr>
        <w:t> </w:t>
      </w:r>
      <w:r>
        <w:rPr>
          <w:color w:val="231F20"/>
          <w:spacing w:val="-2"/>
        </w:rPr>
        <w:t>U.S.</w:t>
      </w:r>
      <w:r>
        <w:rPr>
          <w:color w:val="231F20"/>
          <w:spacing w:val="-14"/>
        </w:rPr>
        <w:t> </w:t>
      </w:r>
      <w:r>
        <w:rPr>
          <w:color w:val="231F20"/>
          <w:spacing w:val="-2"/>
        </w:rPr>
        <w:t>blockade</w:t>
      </w:r>
      <w:r>
        <w:rPr>
          <w:color w:val="231F20"/>
          <w:spacing w:val="-15"/>
        </w:rPr>
        <w:t> </w:t>
      </w:r>
      <w:r>
        <w:rPr>
          <w:color w:val="231F20"/>
          <w:spacing w:val="-2"/>
        </w:rPr>
        <w:t>on</w:t>
      </w:r>
      <w:r>
        <w:rPr>
          <w:color w:val="231F20"/>
          <w:spacing w:val="-14"/>
        </w:rPr>
        <w:t> </w:t>
      </w:r>
      <w:r>
        <w:rPr>
          <w:color w:val="231F20"/>
          <w:spacing w:val="-2"/>
        </w:rPr>
        <w:t>Cuba</w:t>
      </w:r>
      <w:r>
        <w:rPr>
          <w:color w:val="231F20"/>
          <w:spacing w:val="-14"/>
        </w:rPr>
        <w:t> </w:t>
      </w:r>
      <w:r>
        <w:rPr>
          <w:color w:val="231F20"/>
          <w:spacing w:val="-2"/>
        </w:rPr>
        <w:t>and</w:t>
      </w:r>
      <w:r>
        <w:rPr>
          <w:color w:val="231F20"/>
          <w:spacing w:val="-15"/>
        </w:rPr>
        <w:t> </w:t>
      </w:r>
      <w:r>
        <w:rPr>
          <w:color w:val="231F20"/>
          <w:spacing w:val="-2"/>
        </w:rPr>
        <w:t>called</w:t>
      </w:r>
      <w:r>
        <w:rPr>
          <w:color w:val="231F20"/>
          <w:spacing w:val="-14"/>
        </w:rPr>
        <w:t> </w:t>
      </w:r>
      <w:r>
        <w:rPr>
          <w:color w:val="231F20"/>
          <w:spacing w:val="-2"/>
        </w:rPr>
        <w:t>on </w:t>
      </w:r>
      <w:r>
        <w:rPr>
          <w:color w:val="231F20"/>
        </w:rPr>
        <w:t>the Biden administration to immediately </w:t>
      </w:r>
      <w:r>
        <w:rPr>
          <w:color w:val="231F20"/>
          <w:spacing w:val="-4"/>
        </w:rPr>
        <w:t>remove</w:t>
      </w:r>
      <w:r>
        <w:rPr>
          <w:color w:val="231F20"/>
          <w:spacing w:val="-13"/>
        </w:rPr>
        <w:t> </w:t>
      </w:r>
      <w:r>
        <w:rPr>
          <w:color w:val="231F20"/>
          <w:spacing w:val="-4"/>
        </w:rPr>
        <w:t>Cuba</w:t>
      </w:r>
      <w:r>
        <w:rPr>
          <w:color w:val="231F20"/>
          <w:spacing w:val="-12"/>
        </w:rPr>
        <w:t> </w:t>
      </w:r>
      <w:r>
        <w:rPr>
          <w:color w:val="231F20"/>
          <w:spacing w:val="-4"/>
        </w:rPr>
        <w:t>from</w:t>
      </w:r>
      <w:r>
        <w:rPr>
          <w:color w:val="231F20"/>
          <w:spacing w:val="-13"/>
        </w:rPr>
        <w:t> </w:t>
      </w:r>
      <w:r>
        <w:rPr>
          <w:color w:val="231F20"/>
          <w:spacing w:val="-4"/>
        </w:rPr>
        <w:t>the</w:t>
      </w:r>
      <w:r>
        <w:rPr>
          <w:color w:val="231F20"/>
          <w:spacing w:val="-12"/>
        </w:rPr>
        <w:t> </w:t>
      </w:r>
      <w:r>
        <w:rPr>
          <w:color w:val="231F20"/>
          <w:spacing w:val="-4"/>
        </w:rPr>
        <w:t>list</w:t>
      </w:r>
      <w:r>
        <w:rPr>
          <w:color w:val="231F20"/>
          <w:spacing w:val="-13"/>
        </w:rPr>
        <w:t> </w:t>
      </w:r>
      <w:r>
        <w:rPr>
          <w:color w:val="231F20"/>
          <w:spacing w:val="-4"/>
        </w:rPr>
        <w:t>of</w:t>
      </w:r>
      <w:r>
        <w:rPr>
          <w:color w:val="231F20"/>
          <w:spacing w:val="-12"/>
        </w:rPr>
        <w:t> </w:t>
      </w:r>
      <w:r>
        <w:rPr>
          <w:color w:val="231F20"/>
          <w:spacing w:val="-4"/>
        </w:rPr>
        <w:t>state</w:t>
      </w:r>
      <w:r>
        <w:rPr>
          <w:color w:val="231F20"/>
          <w:spacing w:val="-13"/>
        </w:rPr>
        <w:t> </w:t>
      </w:r>
      <w:r>
        <w:rPr>
          <w:color w:val="231F20"/>
          <w:spacing w:val="-4"/>
        </w:rPr>
        <w:t>sponsors </w:t>
      </w:r>
      <w:r>
        <w:rPr>
          <w:color w:val="231F20"/>
        </w:rPr>
        <w:t>of terrorism.</w:t>
      </w:r>
    </w:p>
    <w:p>
      <w:pPr>
        <w:pStyle w:val="BodyText"/>
        <w:spacing w:before="166"/>
        <w:ind w:left="1474" w:right="1"/>
      </w:pPr>
      <w:r>
        <w:rPr>
          <w:b/>
          <w:color w:val="B52628"/>
          <w:spacing w:val="-10"/>
        </w:rPr>
        <w:t>On</w:t>
      </w:r>
      <w:r>
        <w:rPr>
          <w:b/>
          <w:color w:val="B52628"/>
          <w:spacing w:val="-1"/>
        </w:rPr>
        <w:t> </w:t>
      </w:r>
      <w:r>
        <w:rPr>
          <w:b/>
          <w:color w:val="B52628"/>
          <w:spacing w:val="-10"/>
        </w:rPr>
        <w:t>February</w:t>
      </w:r>
      <w:r>
        <w:rPr>
          <w:b/>
          <w:color w:val="B52628"/>
          <w:spacing w:val="-1"/>
        </w:rPr>
        <w:t> </w:t>
      </w:r>
      <w:r>
        <w:rPr>
          <w:b/>
          <w:color w:val="B52628"/>
          <w:spacing w:val="-10"/>
        </w:rPr>
        <w:t>26,</w:t>
      </w:r>
      <w:r>
        <w:rPr>
          <w:b/>
          <w:color w:val="B52628"/>
          <w:spacing w:val="-1"/>
        </w:rPr>
        <w:t> </w:t>
      </w:r>
      <w:r>
        <w:rPr>
          <w:b/>
          <w:color w:val="B52628"/>
          <w:spacing w:val="-10"/>
        </w:rPr>
        <w:t>2023,</w:t>
      </w:r>
      <w:r>
        <w:rPr>
          <w:b/>
          <w:color w:val="B52628"/>
          <w:spacing w:val="-3"/>
        </w:rPr>
        <w:t> </w:t>
      </w:r>
      <w:r>
        <w:rPr>
          <w:color w:val="231F20"/>
          <w:spacing w:val="-10"/>
        </w:rPr>
        <w:t>caravans</w:t>
      </w:r>
      <w:r>
        <w:rPr>
          <w:color w:val="231F20"/>
          <w:spacing w:val="-2"/>
        </w:rPr>
        <w:t> </w:t>
      </w:r>
      <w:r>
        <w:rPr>
          <w:color w:val="231F20"/>
          <w:spacing w:val="-10"/>
        </w:rPr>
        <w:t>demanding </w:t>
      </w:r>
      <w:r>
        <w:rPr>
          <w:color w:val="231F20"/>
        </w:rPr>
        <w:t>an end to the coercive measures against Cuba</w:t>
      </w:r>
      <w:r>
        <w:rPr>
          <w:color w:val="231F20"/>
          <w:spacing w:val="-16"/>
        </w:rPr>
        <w:t> </w:t>
      </w:r>
      <w:r>
        <w:rPr>
          <w:color w:val="231F20"/>
        </w:rPr>
        <w:t>and</w:t>
      </w:r>
      <w:r>
        <w:rPr>
          <w:color w:val="231F20"/>
          <w:spacing w:val="-16"/>
        </w:rPr>
        <w:t> </w:t>
      </w:r>
      <w:r>
        <w:rPr>
          <w:color w:val="231F20"/>
        </w:rPr>
        <w:t>removal</w:t>
      </w:r>
      <w:r>
        <w:rPr>
          <w:color w:val="231F20"/>
          <w:spacing w:val="-16"/>
        </w:rPr>
        <w:t> </w:t>
      </w:r>
      <w:r>
        <w:rPr>
          <w:color w:val="231F20"/>
        </w:rPr>
        <w:t>of</w:t>
      </w:r>
      <w:r>
        <w:rPr>
          <w:color w:val="231F20"/>
          <w:spacing w:val="-16"/>
        </w:rPr>
        <w:t> </w:t>
      </w:r>
      <w:r>
        <w:rPr>
          <w:color w:val="231F20"/>
        </w:rPr>
        <w:t>our</w:t>
      </w:r>
      <w:r>
        <w:rPr>
          <w:color w:val="231F20"/>
          <w:spacing w:val="-15"/>
        </w:rPr>
        <w:t> </w:t>
      </w:r>
      <w:r>
        <w:rPr>
          <w:color w:val="231F20"/>
        </w:rPr>
        <w:t>country</w:t>
      </w:r>
      <w:r>
        <w:rPr>
          <w:color w:val="231F20"/>
          <w:spacing w:val="-16"/>
        </w:rPr>
        <w:t> </w:t>
      </w:r>
      <w:r>
        <w:rPr>
          <w:color w:val="231F20"/>
        </w:rPr>
        <w:t>from</w:t>
      </w:r>
      <w:r>
        <w:rPr>
          <w:color w:val="231F20"/>
          <w:spacing w:val="-16"/>
        </w:rPr>
        <w:t> </w:t>
      </w:r>
      <w:r>
        <w:rPr>
          <w:color w:val="231F20"/>
        </w:rPr>
        <w:t>the </w:t>
      </w:r>
      <w:r>
        <w:rPr>
          <w:color w:val="231F20"/>
          <w:spacing w:val="-6"/>
        </w:rPr>
        <w:t>list</w:t>
      </w:r>
      <w:r>
        <w:rPr>
          <w:color w:val="231F20"/>
          <w:spacing w:val="-11"/>
        </w:rPr>
        <w:t> </w:t>
      </w:r>
      <w:r>
        <w:rPr>
          <w:color w:val="231F20"/>
          <w:spacing w:val="-6"/>
        </w:rPr>
        <w:t>of</w:t>
      </w:r>
      <w:r>
        <w:rPr>
          <w:color w:val="231F20"/>
          <w:spacing w:val="-10"/>
        </w:rPr>
        <w:t> </w:t>
      </w:r>
      <w:r>
        <w:rPr>
          <w:color w:val="231F20"/>
          <w:spacing w:val="-6"/>
        </w:rPr>
        <w:t>state</w:t>
      </w:r>
      <w:r>
        <w:rPr>
          <w:color w:val="231F20"/>
          <w:spacing w:val="-11"/>
        </w:rPr>
        <w:t> </w:t>
      </w:r>
      <w:r>
        <w:rPr>
          <w:color w:val="231F20"/>
          <w:spacing w:val="-6"/>
        </w:rPr>
        <w:t>sponsors</w:t>
      </w:r>
      <w:r>
        <w:rPr>
          <w:color w:val="231F20"/>
          <w:spacing w:val="-10"/>
        </w:rPr>
        <w:t> </w:t>
      </w:r>
      <w:r>
        <w:rPr>
          <w:color w:val="231F20"/>
          <w:spacing w:val="-6"/>
        </w:rPr>
        <w:t>of</w:t>
      </w:r>
      <w:r>
        <w:rPr>
          <w:color w:val="231F20"/>
          <w:spacing w:val="-11"/>
        </w:rPr>
        <w:t> </w:t>
      </w:r>
      <w:r>
        <w:rPr>
          <w:color w:val="231F20"/>
          <w:spacing w:val="-6"/>
        </w:rPr>
        <w:t>terrorism</w:t>
      </w:r>
      <w:r>
        <w:rPr>
          <w:color w:val="231F20"/>
          <w:spacing w:val="-10"/>
        </w:rPr>
        <w:t> </w:t>
      </w:r>
      <w:r>
        <w:rPr>
          <w:color w:val="231F20"/>
          <w:spacing w:val="-6"/>
        </w:rPr>
        <w:t>took</w:t>
      </w:r>
      <w:r>
        <w:rPr>
          <w:color w:val="231F20"/>
          <w:spacing w:val="-11"/>
        </w:rPr>
        <w:t> </w:t>
      </w:r>
      <w:r>
        <w:rPr>
          <w:color w:val="231F20"/>
          <w:spacing w:val="-6"/>
        </w:rPr>
        <w:t>to</w:t>
      </w:r>
      <w:r>
        <w:rPr>
          <w:color w:val="231F20"/>
          <w:spacing w:val="-10"/>
        </w:rPr>
        <w:t> </w:t>
      </w:r>
      <w:r>
        <w:rPr>
          <w:color w:val="231F20"/>
          <w:spacing w:val="-6"/>
        </w:rPr>
        <w:t>the streets</w:t>
      </w:r>
      <w:r>
        <w:rPr>
          <w:color w:val="231F20"/>
          <w:spacing w:val="-11"/>
        </w:rPr>
        <w:t> </w:t>
      </w:r>
      <w:r>
        <w:rPr>
          <w:color w:val="231F20"/>
          <w:spacing w:val="-6"/>
        </w:rPr>
        <w:t>in</w:t>
      </w:r>
      <w:r>
        <w:rPr>
          <w:color w:val="231F20"/>
          <w:spacing w:val="-10"/>
        </w:rPr>
        <w:t> </w:t>
      </w:r>
      <w:r>
        <w:rPr>
          <w:color w:val="231F20"/>
          <w:spacing w:val="-6"/>
        </w:rPr>
        <w:t>various</w:t>
      </w:r>
      <w:r>
        <w:rPr>
          <w:color w:val="231F20"/>
          <w:spacing w:val="-11"/>
        </w:rPr>
        <w:t> </w:t>
      </w:r>
      <w:r>
        <w:rPr>
          <w:color w:val="231F20"/>
          <w:spacing w:val="-6"/>
        </w:rPr>
        <w:t>U.S.</w:t>
      </w:r>
      <w:r>
        <w:rPr>
          <w:color w:val="231F20"/>
          <w:spacing w:val="-10"/>
        </w:rPr>
        <w:t> </w:t>
      </w:r>
      <w:r>
        <w:rPr>
          <w:color w:val="231F20"/>
          <w:spacing w:val="-6"/>
        </w:rPr>
        <w:t>cities,</w:t>
      </w:r>
      <w:r>
        <w:rPr>
          <w:color w:val="231F20"/>
          <w:spacing w:val="-11"/>
        </w:rPr>
        <w:t> </w:t>
      </w:r>
      <w:r>
        <w:rPr>
          <w:color w:val="231F20"/>
          <w:spacing w:val="-6"/>
        </w:rPr>
        <w:t>including</w:t>
      </w:r>
      <w:r>
        <w:rPr>
          <w:color w:val="231F20"/>
          <w:spacing w:val="-10"/>
        </w:rPr>
        <w:t> </w:t>
      </w:r>
      <w:r>
        <w:rPr>
          <w:color w:val="231F20"/>
          <w:spacing w:val="-6"/>
        </w:rPr>
        <w:t>Miami, </w:t>
      </w:r>
      <w:r>
        <w:rPr>
          <w:color w:val="231F20"/>
        </w:rPr>
        <w:t>Seattle and New York.</w:t>
      </w:r>
    </w:p>
    <w:p>
      <w:pPr>
        <w:pStyle w:val="BodyText"/>
        <w:spacing w:before="164"/>
        <w:ind w:left="1474" w:right="3"/>
      </w:pPr>
      <w:r>
        <w:rPr>
          <w:b/>
          <w:color w:val="B52628"/>
          <w:spacing w:val="-10"/>
        </w:rPr>
        <w:t>On</w:t>
      </w:r>
      <w:r>
        <w:rPr>
          <w:b/>
          <w:color w:val="B52628"/>
          <w:spacing w:val="-5"/>
        </w:rPr>
        <w:t> </w:t>
      </w:r>
      <w:r>
        <w:rPr>
          <w:b/>
          <w:color w:val="B52628"/>
          <w:spacing w:val="-10"/>
        </w:rPr>
        <w:t>February</w:t>
      </w:r>
      <w:r>
        <w:rPr>
          <w:b/>
          <w:color w:val="B52628"/>
          <w:spacing w:val="-5"/>
        </w:rPr>
        <w:t> </w:t>
      </w:r>
      <w:r>
        <w:rPr>
          <w:b/>
          <w:color w:val="B52628"/>
          <w:spacing w:val="-10"/>
        </w:rPr>
        <w:t>28,</w:t>
      </w:r>
      <w:r>
        <w:rPr>
          <w:b/>
          <w:color w:val="B52628"/>
          <w:spacing w:val="-5"/>
        </w:rPr>
        <w:t> </w:t>
      </w:r>
      <w:r>
        <w:rPr>
          <w:b/>
          <w:color w:val="B52628"/>
          <w:spacing w:val="-10"/>
        </w:rPr>
        <w:t>2023,</w:t>
      </w:r>
      <w:r>
        <w:rPr>
          <w:b/>
          <w:color w:val="B52628"/>
          <w:spacing w:val="-5"/>
        </w:rPr>
        <w:t> </w:t>
      </w:r>
      <w:r>
        <w:rPr>
          <w:color w:val="231F20"/>
          <w:spacing w:val="-10"/>
        </w:rPr>
        <w:t>following</w:t>
      </w:r>
      <w:r>
        <w:rPr>
          <w:color w:val="231F20"/>
          <w:spacing w:val="-5"/>
        </w:rPr>
        <w:t> </w:t>
      </w:r>
      <w:r>
        <w:rPr>
          <w:color w:val="231F20"/>
          <w:spacing w:val="-10"/>
        </w:rPr>
        <w:t>publication </w:t>
      </w:r>
      <w:r>
        <w:rPr>
          <w:color w:val="231F20"/>
          <w:spacing w:val="-6"/>
        </w:rPr>
        <w:t>by</w:t>
      </w:r>
      <w:r>
        <w:rPr>
          <w:color w:val="231F20"/>
          <w:spacing w:val="-11"/>
        </w:rPr>
        <w:t> </w:t>
      </w:r>
      <w:r>
        <w:rPr>
          <w:color w:val="231F20"/>
          <w:spacing w:val="-6"/>
        </w:rPr>
        <w:t>the</w:t>
      </w:r>
      <w:r>
        <w:rPr>
          <w:color w:val="231F20"/>
          <w:spacing w:val="-10"/>
        </w:rPr>
        <w:t> </w:t>
      </w:r>
      <w:r>
        <w:rPr>
          <w:color w:val="231F20"/>
          <w:spacing w:val="-6"/>
        </w:rPr>
        <w:t>State</w:t>
      </w:r>
      <w:r>
        <w:rPr>
          <w:color w:val="231F20"/>
          <w:spacing w:val="-11"/>
        </w:rPr>
        <w:t> </w:t>
      </w:r>
      <w:r>
        <w:rPr>
          <w:color w:val="231F20"/>
          <w:spacing w:val="-6"/>
        </w:rPr>
        <w:t>Department</w:t>
      </w:r>
      <w:r>
        <w:rPr>
          <w:color w:val="231F20"/>
          <w:spacing w:val="-10"/>
        </w:rPr>
        <w:t> </w:t>
      </w:r>
      <w:r>
        <w:rPr>
          <w:color w:val="231F20"/>
          <w:spacing w:val="-6"/>
        </w:rPr>
        <w:t>of</w:t>
      </w:r>
      <w:r>
        <w:rPr>
          <w:color w:val="231F20"/>
          <w:spacing w:val="-11"/>
        </w:rPr>
        <w:t> </w:t>
      </w:r>
      <w:r>
        <w:rPr>
          <w:color w:val="231F20"/>
          <w:spacing w:val="-6"/>
        </w:rPr>
        <w:t>its</w:t>
      </w:r>
      <w:r>
        <w:rPr>
          <w:color w:val="231F20"/>
          <w:spacing w:val="-10"/>
        </w:rPr>
        <w:t> </w:t>
      </w:r>
      <w:r>
        <w:rPr>
          <w:color w:val="231F20"/>
          <w:spacing w:val="-6"/>
        </w:rPr>
        <w:t>annual</w:t>
      </w:r>
      <w:r>
        <w:rPr>
          <w:color w:val="231F20"/>
          <w:spacing w:val="-11"/>
        </w:rPr>
        <w:t> </w:t>
      </w:r>
      <w:r>
        <w:rPr>
          <w:color w:val="231F20"/>
          <w:spacing w:val="-6"/>
        </w:rPr>
        <w:t>report on</w:t>
      </w:r>
      <w:r>
        <w:rPr>
          <w:color w:val="231F20"/>
          <w:spacing w:val="-8"/>
        </w:rPr>
        <w:t> </w:t>
      </w:r>
      <w:r>
        <w:rPr>
          <w:color w:val="231F20"/>
          <w:spacing w:val="-6"/>
        </w:rPr>
        <w:t>terrorism</w:t>
      </w:r>
      <w:r>
        <w:rPr>
          <w:color w:val="231F20"/>
          <w:spacing w:val="-8"/>
        </w:rPr>
        <w:t> </w:t>
      </w:r>
      <w:r>
        <w:rPr>
          <w:color w:val="231F20"/>
          <w:spacing w:val="-6"/>
        </w:rPr>
        <w:t>for</w:t>
      </w:r>
      <w:r>
        <w:rPr>
          <w:color w:val="231F20"/>
          <w:spacing w:val="-8"/>
        </w:rPr>
        <w:t> </w:t>
      </w:r>
      <w:r>
        <w:rPr>
          <w:color w:val="231F20"/>
          <w:spacing w:val="-6"/>
        </w:rPr>
        <w:t>2021,</w:t>
      </w:r>
      <w:r>
        <w:rPr>
          <w:color w:val="231F20"/>
          <w:spacing w:val="-8"/>
        </w:rPr>
        <w:t> </w:t>
      </w:r>
      <w:r>
        <w:rPr>
          <w:color w:val="231F20"/>
          <w:spacing w:val="-6"/>
        </w:rPr>
        <w:t>the</w:t>
      </w:r>
      <w:r>
        <w:rPr>
          <w:color w:val="231F20"/>
          <w:spacing w:val="-8"/>
        </w:rPr>
        <w:t> </w:t>
      </w:r>
      <w:r>
        <w:rPr>
          <w:color w:val="231F20"/>
          <w:spacing w:val="-6"/>
        </w:rPr>
        <w:t>National</w:t>
      </w:r>
      <w:r>
        <w:rPr>
          <w:color w:val="231F20"/>
          <w:spacing w:val="-8"/>
        </w:rPr>
        <w:t> </w:t>
      </w:r>
      <w:r>
        <w:rPr>
          <w:color w:val="231F20"/>
          <w:spacing w:val="-6"/>
        </w:rPr>
        <w:t>Network </w:t>
      </w:r>
      <w:r>
        <w:rPr>
          <w:color w:val="231F20"/>
          <w:spacing w:val="-8"/>
        </w:rPr>
        <w:t>on</w:t>
      </w:r>
      <w:r>
        <w:rPr>
          <w:color w:val="231F20"/>
          <w:spacing w:val="-9"/>
        </w:rPr>
        <w:t> </w:t>
      </w:r>
      <w:r>
        <w:rPr>
          <w:color w:val="231F20"/>
          <w:spacing w:val="-8"/>
        </w:rPr>
        <w:t>Cuba coalition</w:t>
      </w:r>
      <w:r>
        <w:rPr>
          <w:color w:val="231F20"/>
          <w:spacing w:val="-9"/>
        </w:rPr>
        <w:t> </w:t>
      </w:r>
      <w:r>
        <w:rPr>
          <w:color w:val="231F20"/>
          <w:spacing w:val="-8"/>
        </w:rPr>
        <w:t>condemned the</w:t>
      </w:r>
      <w:r>
        <w:rPr>
          <w:color w:val="231F20"/>
          <w:spacing w:val="-9"/>
        </w:rPr>
        <w:t> </w:t>
      </w:r>
      <w:r>
        <w:rPr>
          <w:color w:val="231F20"/>
          <w:spacing w:val="-8"/>
        </w:rPr>
        <w:t>continued </w:t>
      </w:r>
      <w:r>
        <w:rPr>
          <w:color w:val="231F20"/>
          <w:spacing w:val="-10"/>
        </w:rPr>
        <w:t>presence</w:t>
      </w:r>
      <w:r>
        <w:rPr>
          <w:color w:val="231F20"/>
          <w:spacing w:val="-7"/>
        </w:rPr>
        <w:t> </w:t>
      </w:r>
      <w:r>
        <w:rPr>
          <w:color w:val="231F20"/>
          <w:spacing w:val="-10"/>
        </w:rPr>
        <w:t>of</w:t>
      </w:r>
      <w:r>
        <w:rPr>
          <w:color w:val="231F20"/>
          <w:spacing w:val="-6"/>
        </w:rPr>
        <w:t> </w:t>
      </w:r>
      <w:r>
        <w:rPr>
          <w:color w:val="231F20"/>
          <w:spacing w:val="-10"/>
        </w:rPr>
        <w:t>Cuba</w:t>
      </w:r>
      <w:r>
        <w:rPr>
          <w:color w:val="231F20"/>
          <w:spacing w:val="-7"/>
        </w:rPr>
        <w:t> </w:t>
      </w:r>
      <w:r>
        <w:rPr>
          <w:color w:val="231F20"/>
          <w:spacing w:val="-10"/>
        </w:rPr>
        <w:t>on</w:t>
      </w:r>
      <w:r>
        <w:rPr>
          <w:color w:val="231F20"/>
          <w:spacing w:val="-6"/>
        </w:rPr>
        <w:t> </w:t>
      </w:r>
      <w:r>
        <w:rPr>
          <w:color w:val="231F20"/>
          <w:spacing w:val="-10"/>
        </w:rPr>
        <w:t>the</w:t>
      </w:r>
      <w:r>
        <w:rPr>
          <w:color w:val="231F20"/>
          <w:spacing w:val="-7"/>
        </w:rPr>
        <w:t> </w:t>
      </w:r>
      <w:r>
        <w:rPr>
          <w:color w:val="231F20"/>
          <w:spacing w:val="-10"/>
        </w:rPr>
        <w:t>list</w:t>
      </w:r>
      <w:r>
        <w:rPr>
          <w:color w:val="231F20"/>
          <w:spacing w:val="-6"/>
        </w:rPr>
        <w:t> </w:t>
      </w:r>
      <w:r>
        <w:rPr>
          <w:color w:val="231F20"/>
          <w:spacing w:val="-10"/>
        </w:rPr>
        <w:t>of</w:t>
      </w:r>
      <w:r>
        <w:rPr>
          <w:color w:val="231F20"/>
          <w:spacing w:val="-7"/>
        </w:rPr>
        <w:t> </w:t>
      </w:r>
      <w:r>
        <w:rPr>
          <w:color w:val="231F20"/>
          <w:spacing w:val="-10"/>
        </w:rPr>
        <w:t>state</w:t>
      </w:r>
      <w:r>
        <w:rPr>
          <w:color w:val="231F20"/>
          <w:spacing w:val="-6"/>
        </w:rPr>
        <w:t> </w:t>
      </w:r>
      <w:r>
        <w:rPr>
          <w:color w:val="231F20"/>
          <w:spacing w:val="-10"/>
        </w:rPr>
        <w:t>sponsors </w:t>
      </w:r>
      <w:r>
        <w:rPr>
          <w:color w:val="231F20"/>
          <w:spacing w:val="-6"/>
        </w:rPr>
        <w:t>of</w:t>
      </w:r>
      <w:r>
        <w:rPr>
          <w:color w:val="231F20"/>
          <w:spacing w:val="-8"/>
        </w:rPr>
        <w:t> </w:t>
      </w:r>
      <w:r>
        <w:rPr>
          <w:color w:val="231F20"/>
          <w:spacing w:val="-6"/>
        </w:rPr>
        <w:t>terrorism</w:t>
      </w:r>
      <w:r>
        <w:rPr>
          <w:color w:val="231F20"/>
          <w:spacing w:val="-8"/>
        </w:rPr>
        <w:t> </w:t>
      </w:r>
      <w:r>
        <w:rPr>
          <w:color w:val="231F20"/>
          <w:spacing w:val="-6"/>
        </w:rPr>
        <w:t>and</w:t>
      </w:r>
      <w:r>
        <w:rPr>
          <w:color w:val="231F20"/>
          <w:spacing w:val="-8"/>
        </w:rPr>
        <w:t> </w:t>
      </w:r>
      <w:r>
        <w:rPr>
          <w:color w:val="231F20"/>
          <w:spacing w:val="-6"/>
        </w:rPr>
        <w:t>called</w:t>
      </w:r>
      <w:r>
        <w:rPr>
          <w:color w:val="231F20"/>
          <w:spacing w:val="-8"/>
        </w:rPr>
        <w:t> </w:t>
      </w:r>
      <w:r>
        <w:rPr>
          <w:color w:val="231F20"/>
          <w:spacing w:val="-6"/>
        </w:rPr>
        <w:t>for</w:t>
      </w:r>
      <w:r>
        <w:rPr>
          <w:color w:val="231F20"/>
          <w:spacing w:val="-8"/>
        </w:rPr>
        <w:t> </w:t>
      </w:r>
      <w:r>
        <w:rPr>
          <w:color w:val="231F20"/>
          <w:spacing w:val="-6"/>
        </w:rPr>
        <w:t>the</w:t>
      </w:r>
      <w:r>
        <w:rPr>
          <w:color w:val="231F20"/>
          <w:spacing w:val="-8"/>
        </w:rPr>
        <w:t> </w:t>
      </w:r>
      <w:r>
        <w:rPr>
          <w:color w:val="231F20"/>
          <w:spacing w:val="-6"/>
        </w:rPr>
        <w:t>ending</w:t>
      </w:r>
      <w:r>
        <w:rPr>
          <w:color w:val="231F20"/>
          <w:spacing w:val="-8"/>
        </w:rPr>
        <w:t> </w:t>
      </w:r>
      <w:r>
        <w:rPr>
          <w:color w:val="231F20"/>
          <w:spacing w:val="-6"/>
        </w:rPr>
        <w:t>of</w:t>
      </w:r>
      <w:r>
        <w:rPr>
          <w:color w:val="231F20"/>
          <w:spacing w:val="-8"/>
        </w:rPr>
        <w:t> </w:t>
      </w:r>
      <w:r>
        <w:rPr>
          <w:color w:val="231F20"/>
          <w:spacing w:val="-6"/>
        </w:rPr>
        <w:t>the </w:t>
      </w:r>
      <w:r>
        <w:rPr>
          <w:color w:val="231F20"/>
          <w:spacing w:val="-2"/>
        </w:rPr>
        <w:t>blockade.</w:t>
      </w:r>
    </w:p>
    <w:p>
      <w:pPr>
        <w:pStyle w:val="BodyText"/>
        <w:spacing w:before="166"/>
        <w:ind w:left="1474"/>
      </w:pPr>
      <w:r>
        <w:rPr>
          <w:b/>
          <w:color w:val="B52628"/>
        </w:rPr>
        <w:t>In February 2023, </w:t>
      </w:r>
      <w:r>
        <w:rPr>
          <w:color w:val="231F20"/>
        </w:rPr>
        <w:t>the labor councils of the AFL-CIO trades union federation in Sacramento, Monterrey Bay and San Diego-Imperial all approved resolutions condemning</w:t>
      </w:r>
      <w:r>
        <w:rPr>
          <w:color w:val="231F20"/>
          <w:spacing w:val="14"/>
        </w:rPr>
        <w:t> </w:t>
      </w:r>
      <w:r>
        <w:rPr>
          <w:color w:val="231F20"/>
        </w:rPr>
        <w:t>the</w:t>
      </w:r>
      <w:r>
        <w:rPr>
          <w:color w:val="231F20"/>
          <w:spacing w:val="14"/>
        </w:rPr>
        <w:t> </w:t>
      </w:r>
      <w:r>
        <w:rPr>
          <w:color w:val="231F20"/>
        </w:rPr>
        <w:t>blockade</w:t>
      </w:r>
      <w:r>
        <w:rPr>
          <w:color w:val="231F20"/>
          <w:spacing w:val="14"/>
        </w:rPr>
        <w:t> </w:t>
      </w:r>
      <w:r>
        <w:rPr>
          <w:color w:val="231F20"/>
        </w:rPr>
        <w:t>on</w:t>
      </w:r>
      <w:r>
        <w:rPr>
          <w:color w:val="231F20"/>
          <w:spacing w:val="14"/>
        </w:rPr>
        <w:t> </w:t>
      </w:r>
      <w:r>
        <w:rPr>
          <w:color w:val="231F20"/>
        </w:rPr>
        <w:t>Cuba.</w:t>
      </w:r>
      <w:r>
        <w:rPr>
          <w:color w:val="231F20"/>
          <w:spacing w:val="15"/>
        </w:rPr>
        <w:t> </w:t>
      </w:r>
      <w:r>
        <w:rPr>
          <w:color w:val="231F20"/>
          <w:spacing w:val="-4"/>
        </w:rPr>
        <w:t>They</w:t>
      </w:r>
    </w:p>
    <w:p>
      <w:pPr>
        <w:pStyle w:val="BodyText"/>
        <w:spacing w:before="77"/>
        <w:ind w:left="414" w:right="1133"/>
      </w:pPr>
      <w:r>
        <w:rPr/>
        <w:br w:type="column"/>
      </w:r>
      <w:r>
        <w:rPr>
          <w:color w:val="231F20"/>
          <w:spacing w:val="-2"/>
        </w:rPr>
        <w:t>also</w:t>
      </w:r>
      <w:r>
        <w:rPr>
          <w:color w:val="231F20"/>
          <w:spacing w:val="-15"/>
        </w:rPr>
        <w:t> </w:t>
      </w:r>
      <w:r>
        <w:rPr>
          <w:color w:val="231F20"/>
          <w:spacing w:val="-2"/>
        </w:rPr>
        <w:t>called</w:t>
      </w:r>
      <w:r>
        <w:rPr>
          <w:color w:val="231F20"/>
          <w:spacing w:val="-14"/>
        </w:rPr>
        <w:t> </w:t>
      </w:r>
      <w:r>
        <w:rPr>
          <w:color w:val="231F20"/>
          <w:spacing w:val="-2"/>
        </w:rPr>
        <w:t>for</w:t>
      </w:r>
      <w:r>
        <w:rPr>
          <w:color w:val="231F20"/>
          <w:spacing w:val="-15"/>
        </w:rPr>
        <w:t> </w:t>
      </w:r>
      <w:r>
        <w:rPr>
          <w:color w:val="231F20"/>
          <w:spacing w:val="-2"/>
        </w:rPr>
        <w:t>the</w:t>
      </w:r>
      <w:r>
        <w:rPr>
          <w:color w:val="231F20"/>
          <w:spacing w:val="-14"/>
        </w:rPr>
        <w:t> </w:t>
      </w:r>
      <w:r>
        <w:rPr>
          <w:color w:val="231F20"/>
          <w:spacing w:val="-2"/>
        </w:rPr>
        <w:t>elimination</w:t>
      </w:r>
      <w:r>
        <w:rPr>
          <w:color w:val="231F20"/>
          <w:spacing w:val="-15"/>
        </w:rPr>
        <w:t> </w:t>
      </w:r>
      <w:r>
        <w:rPr>
          <w:color w:val="231F20"/>
          <w:spacing w:val="-2"/>
        </w:rPr>
        <w:t>of</w:t>
      </w:r>
      <w:r>
        <w:rPr>
          <w:color w:val="231F20"/>
          <w:spacing w:val="-14"/>
        </w:rPr>
        <w:t> </w:t>
      </w:r>
      <w:r>
        <w:rPr>
          <w:color w:val="231F20"/>
          <w:spacing w:val="-2"/>
        </w:rPr>
        <w:t>Cuba</w:t>
      </w:r>
      <w:r>
        <w:rPr>
          <w:color w:val="231F20"/>
          <w:spacing w:val="-15"/>
        </w:rPr>
        <w:t> </w:t>
      </w:r>
      <w:r>
        <w:rPr>
          <w:color w:val="231F20"/>
          <w:spacing w:val="-2"/>
        </w:rPr>
        <w:t>from </w:t>
      </w:r>
      <w:r>
        <w:rPr>
          <w:color w:val="231F20"/>
        </w:rPr>
        <w:t>the list of state sponsors of terrorism.</w:t>
      </w:r>
    </w:p>
    <w:p>
      <w:pPr>
        <w:pStyle w:val="BodyText"/>
        <w:spacing w:before="161"/>
        <w:ind w:left="414" w:right="1133"/>
      </w:pPr>
      <w:r>
        <w:rPr>
          <w:b/>
          <w:color w:val="B52628"/>
        </w:rPr>
        <w:t>On March 2, 2023, </w:t>
      </w:r>
      <w:r>
        <w:rPr>
          <w:color w:val="231F20"/>
        </w:rPr>
        <w:t>the Washtenaw County Board of Commissioners in Ann Arbor, Michigan, passed a resolution </w:t>
      </w:r>
      <w:r>
        <w:rPr>
          <w:color w:val="231F20"/>
          <w:spacing w:val="-2"/>
        </w:rPr>
        <w:t>urging</w:t>
      </w:r>
      <w:r>
        <w:rPr>
          <w:color w:val="231F20"/>
          <w:spacing w:val="-15"/>
        </w:rPr>
        <w:t> </w:t>
      </w:r>
      <w:r>
        <w:rPr>
          <w:color w:val="231F20"/>
          <w:spacing w:val="-2"/>
        </w:rPr>
        <w:t>Washington</w:t>
      </w:r>
      <w:r>
        <w:rPr>
          <w:color w:val="231F20"/>
          <w:spacing w:val="-14"/>
        </w:rPr>
        <w:t> </w:t>
      </w:r>
      <w:r>
        <w:rPr>
          <w:color w:val="231F20"/>
          <w:spacing w:val="-2"/>
        </w:rPr>
        <w:t>to</w:t>
      </w:r>
      <w:r>
        <w:rPr>
          <w:color w:val="231F20"/>
          <w:spacing w:val="-15"/>
        </w:rPr>
        <w:t> </w:t>
      </w:r>
      <w:r>
        <w:rPr>
          <w:color w:val="231F20"/>
          <w:spacing w:val="-2"/>
        </w:rPr>
        <w:t>lift</w:t>
      </w:r>
      <w:r>
        <w:rPr>
          <w:color w:val="231F20"/>
          <w:spacing w:val="-14"/>
        </w:rPr>
        <w:t> </w:t>
      </w:r>
      <w:r>
        <w:rPr>
          <w:color w:val="231F20"/>
          <w:spacing w:val="-2"/>
        </w:rPr>
        <w:t>the</w:t>
      </w:r>
      <w:r>
        <w:rPr>
          <w:color w:val="231F20"/>
          <w:spacing w:val="-15"/>
        </w:rPr>
        <w:t> </w:t>
      </w:r>
      <w:r>
        <w:rPr>
          <w:color w:val="231F20"/>
          <w:spacing w:val="-2"/>
        </w:rPr>
        <w:t>blockade</w:t>
      </w:r>
      <w:r>
        <w:rPr>
          <w:color w:val="231F20"/>
          <w:spacing w:val="-14"/>
        </w:rPr>
        <w:t> </w:t>
      </w:r>
      <w:r>
        <w:rPr>
          <w:color w:val="231F20"/>
          <w:spacing w:val="-2"/>
        </w:rPr>
        <w:t>and </w:t>
      </w:r>
      <w:r>
        <w:rPr>
          <w:color w:val="231F20"/>
          <w:spacing w:val="-4"/>
        </w:rPr>
        <w:t>remove</w:t>
      </w:r>
      <w:r>
        <w:rPr>
          <w:color w:val="231F20"/>
          <w:spacing w:val="-13"/>
        </w:rPr>
        <w:t> </w:t>
      </w:r>
      <w:r>
        <w:rPr>
          <w:color w:val="231F20"/>
          <w:spacing w:val="-4"/>
        </w:rPr>
        <w:t>Cuba</w:t>
      </w:r>
      <w:r>
        <w:rPr>
          <w:color w:val="231F20"/>
          <w:spacing w:val="-12"/>
        </w:rPr>
        <w:t> </w:t>
      </w:r>
      <w:r>
        <w:rPr>
          <w:color w:val="231F20"/>
          <w:spacing w:val="-4"/>
        </w:rPr>
        <w:t>from</w:t>
      </w:r>
      <w:r>
        <w:rPr>
          <w:color w:val="231F20"/>
          <w:spacing w:val="-13"/>
        </w:rPr>
        <w:t> </w:t>
      </w:r>
      <w:r>
        <w:rPr>
          <w:color w:val="231F20"/>
          <w:spacing w:val="-4"/>
        </w:rPr>
        <w:t>the</w:t>
      </w:r>
      <w:r>
        <w:rPr>
          <w:color w:val="231F20"/>
          <w:spacing w:val="-12"/>
        </w:rPr>
        <w:t> </w:t>
      </w:r>
      <w:r>
        <w:rPr>
          <w:color w:val="231F20"/>
          <w:spacing w:val="-4"/>
        </w:rPr>
        <w:t>list</w:t>
      </w:r>
      <w:r>
        <w:rPr>
          <w:color w:val="231F20"/>
          <w:spacing w:val="-13"/>
        </w:rPr>
        <w:t> </w:t>
      </w:r>
      <w:r>
        <w:rPr>
          <w:color w:val="231F20"/>
          <w:spacing w:val="-4"/>
        </w:rPr>
        <w:t>of</w:t>
      </w:r>
      <w:r>
        <w:rPr>
          <w:color w:val="231F20"/>
          <w:spacing w:val="-12"/>
        </w:rPr>
        <w:t> </w:t>
      </w:r>
      <w:r>
        <w:rPr>
          <w:color w:val="231F20"/>
          <w:spacing w:val="-4"/>
        </w:rPr>
        <w:t>state</w:t>
      </w:r>
      <w:r>
        <w:rPr>
          <w:color w:val="231F20"/>
          <w:spacing w:val="-13"/>
        </w:rPr>
        <w:t> </w:t>
      </w:r>
      <w:r>
        <w:rPr>
          <w:color w:val="231F20"/>
          <w:spacing w:val="-4"/>
        </w:rPr>
        <w:t>sponsors </w:t>
      </w:r>
      <w:r>
        <w:rPr>
          <w:color w:val="231F20"/>
        </w:rPr>
        <w:t>of terrorism.</w:t>
      </w:r>
    </w:p>
    <w:p>
      <w:pPr>
        <w:pStyle w:val="BodyText"/>
        <w:spacing w:before="165"/>
        <w:ind w:left="414" w:right="1137"/>
      </w:pPr>
      <w:r>
        <w:rPr>
          <w:b/>
          <w:color w:val="B52628"/>
        </w:rPr>
        <w:t>On March 6, 2023, </w:t>
      </w:r>
      <w:r>
        <w:rPr>
          <w:color w:val="231F20"/>
        </w:rPr>
        <w:t>U.S. senators Amy </w:t>
      </w:r>
      <w:r>
        <w:rPr>
          <w:color w:val="231F20"/>
          <w:spacing w:val="-6"/>
        </w:rPr>
        <w:t>Klobuchar</w:t>
      </w:r>
      <w:r>
        <w:rPr>
          <w:color w:val="231F20"/>
          <w:spacing w:val="-11"/>
        </w:rPr>
        <w:t> </w:t>
      </w:r>
      <w:r>
        <w:rPr>
          <w:color w:val="231F20"/>
          <w:spacing w:val="-6"/>
        </w:rPr>
        <w:t>(D-MN),</w:t>
      </w:r>
      <w:r>
        <w:rPr>
          <w:color w:val="231F20"/>
          <w:spacing w:val="-10"/>
        </w:rPr>
        <w:t> </w:t>
      </w:r>
      <w:r>
        <w:rPr>
          <w:color w:val="231F20"/>
          <w:spacing w:val="-6"/>
        </w:rPr>
        <w:t>Jerry</w:t>
      </w:r>
      <w:r>
        <w:rPr>
          <w:color w:val="231F20"/>
          <w:spacing w:val="-11"/>
        </w:rPr>
        <w:t> </w:t>
      </w:r>
      <w:r>
        <w:rPr>
          <w:color w:val="231F20"/>
          <w:spacing w:val="-6"/>
        </w:rPr>
        <w:t>Moran</w:t>
      </w:r>
      <w:r>
        <w:rPr>
          <w:color w:val="231F20"/>
          <w:spacing w:val="-10"/>
        </w:rPr>
        <w:t> </w:t>
      </w:r>
      <w:r>
        <w:rPr>
          <w:color w:val="231F20"/>
          <w:spacing w:val="-6"/>
        </w:rPr>
        <w:t>(R-KS),</w:t>
      </w:r>
      <w:r>
        <w:rPr>
          <w:color w:val="231F20"/>
          <w:spacing w:val="-11"/>
        </w:rPr>
        <w:t> </w:t>
      </w:r>
      <w:r>
        <w:rPr>
          <w:color w:val="231F20"/>
          <w:spacing w:val="-6"/>
        </w:rPr>
        <w:t>Chris </w:t>
      </w:r>
      <w:r>
        <w:rPr>
          <w:color w:val="231F20"/>
        </w:rPr>
        <w:t>Murphy</w:t>
      </w:r>
      <w:r>
        <w:rPr>
          <w:color w:val="231F20"/>
          <w:spacing w:val="-17"/>
        </w:rPr>
        <w:t> </w:t>
      </w:r>
      <w:r>
        <w:rPr>
          <w:color w:val="231F20"/>
        </w:rPr>
        <w:t>(D-CT),</w:t>
      </w:r>
      <w:r>
        <w:rPr>
          <w:color w:val="231F20"/>
          <w:spacing w:val="-16"/>
        </w:rPr>
        <w:t> </w:t>
      </w:r>
      <w:r>
        <w:rPr>
          <w:color w:val="231F20"/>
        </w:rPr>
        <w:t>Roger</w:t>
      </w:r>
      <w:r>
        <w:rPr>
          <w:color w:val="231F20"/>
          <w:spacing w:val="-17"/>
        </w:rPr>
        <w:t> </w:t>
      </w:r>
      <w:r>
        <w:rPr>
          <w:color w:val="231F20"/>
        </w:rPr>
        <w:t>Marshall</w:t>
      </w:r>
      <w:r>
        <w:rPr>
          <w:color w:val="231F20"/>
          <w:spacing w:val="-16"/>
        </w:rPr>
        <w:t> </w:t>
      </w:r>
      <w:r>
        <w:rPr>
          <w:color w:val="231F20"/>
        </w:rPr>
        <w:t>(R-KS)</w:t>
      </w:r>
      <w:r>
        <w:rPr>
          <w:color w:val="231F20"/>
          <w:spacing w:val="-17"/>
        </w:rPr>
        <w:t> </w:t>
      </w:r>
      <w:r>
        <w:rPr>
          <w:color w:val="231F20"/>
        </w:rPr>
        <w:t>and </w:t>
      </w:r>
      <w:r>
        <w:rPr>
          <w:color w:val="231F20"/>
          <w:spacing w:val="-2"/>
        </w:rPr>
        <w:t>Elizabeth</w:t>
      </w:r>
      <w:r>
        <w:rPr>
          <w:color w:val="231F20"/>
          <w:spacing w:val="-15"/>
        </w:rPr>
        <w:t> </w:t>
      </w:r>
      <w:r>
        <w:rPr>
          <w:color w:val="231F20"/>
          <w:spacing w:val="-2"/>
        </w:rPr>
        <w:t>Warren</w:t>
      </w:r>
      <w:r>
        <w:rPr>
          <w:color w:val="231F20"/>
          <w:spacing w:val="-14"/>
        </w:rPr>
        <w:t> </w:t>
      </w:r>
      <w:r>
        <w:rPr>
          <w:color w:val="231F20"/>
          <w:spacing w:val="-2"/>
        </w:rPr>
        <w:t>(D-MA),</w:t>
      </w:r>
      <w:r>
        <w:rPr>
          <w:color w:val="231F20"/>
          <w:spacing w:val="-15"/>
        </w:rPr>
        <w:t> </w:t>
      </w:r>
      <w:r>
        <w:rPr>
          <w:color w:val="231F20"/>
          <w:spacing w:val="-2"/>
        </w:rPr>
        <w:t>reintroduced</w:t>
      </w:r>
      <w:r>
        <w:rPr>
          <w:color w:val="231F20"/>
          <w:spacing w:val="-14"/>
        </w:rPr>
        <w:t> </w:t>
      </w:r>
      <w:r>
        <w:rPr>
          <w:color w:val="231F20"/>
          <w:spacing w:val="-2"/>
        </w:rPr>
        <w:t>the </w:t>
      </w:r>
      <w:r>
        <w:rPr>
          <w:color w:val="231F20"/>
        </w:rPr>
        <w:t>bipartisan</w:t>
      </w:r>
      <w:r>
        <w:rPr>
          <w:color w:val="231F20"/>
          <w:spacing w:val="-6"/>
        </w:rPr>
        <w:t> </w:t>
      </w:r>
      <w:r>
        <w:rPr>
          <w:color w:val="231F20"/>
        </w:rPr>
        <w:t>Freedom</w:t>
      </w:r>
      <w:r>
        <w:rPr>
          <w:color w:val="231F20"/>
          <w:spacing w:val="-6"/>
        </w:rPr>
        <w:t> </w:t>
      </w:r>
      <w:r>
        <w:rPr>
          <w:color w:val="231F20"/>
        </w:rPr>
        <w:t>to</w:t>
      </w:r>
      <w:r>
        <w:rPr>
          <w:color w:val="231F20"/>
          <w:spacing w:val="-6"/>
        </w:rPr>
        <w:t> </w:t>
      </w:r>
      <w:r>
        <w:rPr>
          <w:color w:val="231F20"/>
        </w:rPr>
        <w:t>Export</w:t>
      </w:r>
      <w:r>
        <w:rPr>
          <w:color w:val="231F20"/>
          <w:spacing w:val="-6"/>
        </w:rPr>
        <w:t> </w:t>
      </w:r>
      <w:r>
        <w:rPr>
          <w:color w:val="231F20"/>
        </w:rPr>
        <w:t>to</w:t>
      </w:r>
      <w:r>
        <w:rPr>
          <w:color w:val="231F20"/>
          <w:spacing w:val="-6"/>
        </w:rPr>
        <w:t> </w:t>
      </w:r>
      <w:r>
        <w:rPr>
          <w:color w:val="231F20"/>
        </w:rPr>
        <w:t>Cuba</w:t>
      </w:r>
      <w:r>
        <w:rPr>
          <w:color w:val="231F20"/>
          <w:spacing w:val="-6"/>
        </w:rPr>
        <w:t> </w:t>
      </w:r>
      <w:r>
        <w:rPr>
          <w:color w:val="231F20"/>
        </w:rPr>
        <w:t>bill, </w:t>
      </w:r>
      <w:r>
        <w:rPr>
          <w:color w:val="231F20"/>
          <w:spacing w:val="-14"/>
        </w:rPr>
        <w:t>which</w:t>
      </w:r>
      <w:r>
        <w:rPr>
          <w:color w:val="231F20"/>
          <w:spacing w:val="-1"/>
        </w:rPr>
        <w:t> </w:t>
      </w:r>
      <w:r>
        <w:rPr>
          <w:color w:val="231F20"/>
          <w:spacing w:val="-14"/>
        </w:rPr>
        <w:t>would</w:t>
      </w:r>
      <w:r>
        <w:rPr>
          <w:color w:val="231F20"/>
        </w:rPr>
        <w:t> </w:t>
      </w:r>
      <w:r>
        <w:rPr>
          <w:color w:val="231F20"/>
          <w:spacing w:val="-14"/>
        </w:rPr>
        <w:t>do</w:t>
      </w:r>
      <w:r>
        <w:rPr>
          <w:color w:val="231F20"/>
          <w:spacing w:val="-1"/>
        </w:rPr>
        <w:t> </w:t>
      </w:r>
      <w:r>
        <w:rPr>
          <w:color w:val="231F20"/>
          <w:spacing w:val="-14"/>
        </w:rPr>
        <w:t>away</w:t>
      </w:r>
      <w:r>
        <w:rPr>
          <w:color w:val="231F20"/>
        </w:rPr>
        <w:t> </w:t>
      </w:r>
      <w:r>
        <w:rPr>
          <w:color w:val="231F20"/>
          <w:spacing w:val="-14"/>
        </w:rPr>
        <w:t>with</w:t>
      </w:r>
      <w:r>
        <w:rPr>
          <w:color w:val="231F20"/>
          <w:spacing w:val="-1"/>
        </w:rPr>
        <w:t> </w:t>
      </w:r>
      <w:r>
        <w:rPr>
          <w:color w:val="231F20"/>
          <w:spacing w:val="-14"/>
        </w:rPr>
        <w:t>the</w:t>
      </w:r>
      <w:r>
        <w:rPr>
          <w:color w:val="231F20"/>
          <w:spacing w:val="-1"/>
        </w:rPr>
        <w:t> </w:t>
      </w:r>
      <w:r>
        <w:rPr>
          <w:color w:val="231F20"/>
          <w:spacing w:val="-14"/>
        </w:rPr>
        <w:t>U.S.</w:t>
      </w:r>
      <w:r>
        <w:rPr>
          <w:color w:val="231F20"/>
        </w:rPr>
        <w:t> </w:t>
      </w:r>
      <w:r>
        <w:rPr>
          <w:color w:val="231F20"/>
          <w:spacing w:val="-14"/>
        </w:rPr>
        <w:t>regulations </w:t>
      </w:r>
      <w:r>
        <w:rPr>
          <w:color w:val="231F20"/>
          <w:spacing w:val="-2"/>
        </w:rPr>
        <w:t>that</w:t>
      </w:r>
      <w:r>
        <w:rPr>
          <w:color w:val="231F20"/>
          <w:spacing w:val="-13"/>
        </w:rPr>
        <w:t> </w:t>
      </w:r>
      <w:r>
        <w:rPr>
          <w:color w:val="231F20"/>
          <w:spacing w:val="-2"/>
        </w:rPr>
        <w:t>constrain</w:t>
      </w:r>
      <w:r>
        <w:rPr>
          <w:color w:val="231F20"/>
          <w:spacing w:val="-13"/>
        </w:rPr>
        <w:t> </w:t>
      </w:r>
      <w:r>
        <w:rPr>
          <w:color w:val="231F20"/>
          <w:spacing w:val="-2"/>
        </w:rPr>
        <w:t>U.S.</w:t>
      </w:r>
      <w:r>
        <w:rPr>
          <w:color w:val="231F20"/>
          <w:spacing w:val="-13"/>
        </w:rPr>
        <w:t> </w:t>
      </w:r>
      <w:r>
        <w:rPr>
          <w:color w:val="231F20"/>
          <w:spacing w:val="-2"/>
        </w:rPr>
        <w:t>exports</w:t>
      </w:r>
      <w:r>
        <w:rPr>
          <w:color w:val="231F20"/>
          <w:spacing w:val="-13"/>
        </w:rPr>
        <w:t> </w:t>
      </w:r>
      <w:r>
        <w:rPr>
          <w:color w:val="231F20"/>
          <w:spacing w:val="-2"/>
        </w:rPr>
        <w:t>to</w:t>
      </w:r>
      <w:r>
        <w:rPr>
          <w:color w:val="231F20"/>
          <w:spacing w:val="-13"/>
        </w:rPr>
        <w:t> </w:t>
      </w:r>
      <w:r>
        <w:rPr>
          <w:color w:val="231F20"/>
          <w:spacing w:val="-2"/>
        </w:rPr>
        <w:t>Cuba.</w:t>
      </w:r>
    </w:p>
    <w:p>
      <w:pPr>
        <w:pStyle w:val="BodyText"/>
        <w:spacing w:before="165"/>
        <w:ind w:left="414" w:right="1132"/>
      </w:pPr>
      <w:r>
        <w:rPr>
          <w:b/>
          <w:color w:val="B52628"/>
        </w:rPr>
        <w:t>On</w:t>
      </w:r>
      <w:r>
        <w:rPr>
          <w:b/>
          <w:color w:val="B52628"/>
          <w:spacing w:val="-11"/>
        </w:rPr>
        <w:t> </w:t>
      </w:r>
      <w:r>
        <w:rPr>
          <w:b/>
          <w:color w:val="B52628"/>
        </w:rPr>
        <w:t>March</w:t>
      </w:r>
      <w:r>
        <w:rPr>
          <w:b/>
          <w:color w:val="B52628"/>
          <w:spacing w:val="-11"/>
        </w:rPr>
        <w:t> </w:t>
      </w:r>
      <w:r>
        <w:rPr>
          <w:b/>
          <w:color w:val="B52628"/>
        </w:rPr>
        <w:t>14,</w:t>
      </w:r>
      <w:r>
        <w:rPr>
          <w:b/>
          <w:color w:val="B52628"/>
          <w:spacing w:val="-11"/>
        </w:rPr>
        <w:t> </w:t>
      </w:r>
      <w:r>
        <w:rPr>
          <w:b/>
          <w:color w:val="B52628"/>
        </w:rPr>
        <w:t>2023,</w:t>
      </w:r>
      <w:r>
        <w:rPr>
          <w:b/>
          <w:color w:val="B52628"/>
          <w:spacing w:val="-11"/>
        </w:rPr>
        <w:t> </w:t>
      </w:r>
      <w:r>
        <w:rPr>
          <w:color w:val="231F20"/>
        </w:rPr>
        <w:t>twenty</w:t>
      </w:r>
      <w:r>
        <w:rPr>
          <w:color w:val="231F20"/>
          <w:spacing w:val="-10"/>
        </w:rPr>
        <w:t> </w:t>
      </w:r>
      <w:r>
        <w:rPr>
          <w:color w:val="231F20"/>
        </w:rPr>
        <w:t>churches</w:t>
      </w:r>
      <w:r>
        <w:rPr>
          <w:color w:val="231F20"/>
          <w:spacing w:val="-10"/>
        </w:rPr>
        <w:t> </w:t>
      </w:r>
      <w:r>
        <w:rPr>
          <w:color w:val="231F20"/>
        </w:rPr>
        <w:t>and confessional organizations, including the Presbyterian Church, sent a joint letter to </w:t>
      </w:r>
      <w:r>
        <w:rPr>
          <w:color w:val="231F20"/>
          <w:spacing w:val="-2"/>
        </w:rPr>
        <w:t>President</w:t>
      </w:r>
      <w:r>
        <w:rPr>
          <w:color w:val="231F20"/>
          <w:spacing w:val="-11"/>
        </w:rPr>
        <w:t> </w:t>
      </w:r>
      <w:r>
        <w:rPr>
          <w:color w:val="231F20"/>
          <w:spacing w:val="-2"/>
        </w:rPr>
        <w:t>Biden</w:t>
      </w:r>
      <w:r>
        <w:rPr>
          <w:color w:val="231F20"/>
          <w:spacing w:val="-11"/>
        </w:rPr>
        <w:t> </w:t>
      </w:r>
      <w:r>
        <w:rPr>
          <w:color w:val="231F20"/>
          <w:spacing w:val="-2"/>
        </w:rPr>
        <w:t>seeking</w:t>
      </w:r>
      <w:r>
        <w:rPr>
          <w:color w:val="231F20"/>
          <w:spacing w:val="-11"/>
        </w:rPr>
        <w:t> </w:t>
      </w:r>
      <w:r>
        <w:rPr>
          <w:color w:val="231F20"/>
          <w:spacing w:val="-2"/>
        </w:rPr>
        <w:t>a</w:t>
      </w:r>
      <w:r>
        <w:rPr>
          <w:color w:val="231F20"/>
          <w:spacing w:val="-11"/>
        </w:rPr>
        <w:t> </w:t>
      </w:r>
      <w:r>
        <w:rPr>
          <w:color w:val="231F20"/>
          <w:spacing w:val="-2"/>
        </w:rPr>
        <w:t>change</w:t>
      </w:r>
      <w:r>
        <w:rPr>
          <w:color w:val="231F20"/>
          <w:spacing w:val="-11"/>
        </w:rPr>
        <w:t> </w:t>
      </w:r>
      <w:r>
        <w:rPr>
          <w:color w:val="231F20"/>
          <w:spacing w:val="-2"/>
        </w:rPr>
        <w:t>of</w:t>
      </w:r>
      <w:r>
        <w:rPr>
          <w:color w:val="231F20"/>
          <w:spacing w:val="-11"/>
        </w:rPr>
        <w:t> </w:t>
      </w:r>
      <w:r>
        <w:rPr>
          <w:color w:val="231F20"/>
          <w:spacing w:val="-2"/>
        </w:rPr>
        <w:t>policy </w:t>
      </w:r>
      <w:r>
        <w:rPr>
          <w:color w:val="231F20"/>
        </w:rPr>
        <w:t>on Cuba and withdrawal of the country from</w:t>
      </w:r>
      <w:r>
        <w:rPr>
          <w:color w:val="231F20"/>
          <w:spacing w:val="-17"/>
        </w:rPr>
        <w:t> </w:t>
      </w:r>
      <w:r>
        <w:rPr>
          <w:color w:val="231F20"/>
        </w:rPr>
        <w:t>the</w:t>
      </w:r>
      <w:r>
        <w:rPr>
          <w:color w:val="231F20"/>
          <w:spacing w:val="-16"/>
        </w:rPr>
        <w:t> </w:t>
      </w:r>
      <w:r>
        <w:rPr>
          <w:color w:val="231F20"/>
        </w:rPr>
        <w:t>list</w:t>
      </w:r>
      <w:r>
        <w:rPr>
          <w:color w:val="231F20"/>
          <w:spacing w:val="-17"/>
        </w:rPr>
        <w:t> </w:t>
      </w:r>
      <w:r>
        <w:rPr>
          <w:color w:val="231F20"/>
        </w:rPr>
        <w:t>of</w:t>
      </w:r>
      <w:r>
        <w:rPr>
          <w:color w:val="231F20"/>
          <w:spacing w:val="-16"/>
        </w:rPr>
        <w:t> </w:t>
      </w:r>
      <w:r>
        <w:rPr>
          <w:color w:val="231F20"/>
        </w:rPr>
        <w:t>state</w:t>
      </w:r>
      <w:r>
        <w:rPr>
          <w:color w:val="231F20"/>
          <w:spacing w:val="-17"/>
        </w:rPr>
        <w:t> </w:t>
      </w:r>
      <w:r>
        <w:rPr>
          <w:color w:val="231F20"/>
        </w:rPr>
        <w:t>sponsors</w:t>
      </w:r>
      <w:r>
        <w:rPr>
          <w:color w:val="231F20"/>
          <w:spacing w:val="-16"/>
        </w:rPr>
        <w:t> </w:t>
      </w:r>
      <w:r>
        <w:rPr>
          <w:color w:val="231F20"/>
        </w:rPr>
        <w:t>of</w:t>
      </w:r>
      <w:r>
        <w:rPr>
          <w:color w:val="231F20"/>
          <w:spacing w:val="-17"/>
        </w:rPr>
        <w:t> </w:t>
      </w:r>
      <w:r>
        <w:rPr>
          <w:color w:val="231F20"/>
        </w:rPr>
        <w:t>terrorism. </w:t>
      </w:r>
      <w:r>
        <w:rPr>
          <w:color w:val="231F20"/>
          <w:spacing w:val="-2"/>
        </w:rPr>
        <w:t>The</w:t>
      </w:r>
      <w:r>
        <w:rPr>
          <w:color w:val="231F20"/>
          <w:spacing w:val="-11"/>
        </w:rPr>
        <w:t> </w:t>
      </w:r>
      <w:r>
        <w:rPr>
          <w:color w:val="231F20"/>
          <w:spacing w:val="-2"/>
        </w:rPr>
        <w:t>signatories</w:t>
      </w:r>
      <w:r>
        <w:rPr>
          <w:color w:val="231F20"/>
          <w:spacing w:val="-12"/>
        </w:rPr>
        <w:t> </w:t>
      </w:r>
      <w:r>
        <w:rPr>
          <w:color w:val="231F20"/>
          <w:spacing w:val="-2"/>
        </w:rPr>
        <w:t>included</w:t>
      </w:r>
      <w:r>
        <w:rPr>
          <w:color w:val="231F20"/>
          <w:spacing w:val="-11"/>
        </w:rPr>
        <w:t> </w:t>
      </w:r>
      <w:r>
        <w:rPr>
          <w:color w:val="231F20"/>
          <w:spacing w:val="-2"/>
        </w:rPr>
        <w:t>the</w:t>
      </w:r>
      <w:r>
        <w:rPr>
          <w:color w:val="231F20"/>
          <w:spacing w:val="-11"/>
        </w:rPr>
        <w:t> </w:t>
      </w:r>
      <w:r>
        <w:rPr>
          <w:color w:val="231F20"/>
          <w:spacing w:val="-2"/>
        </w:rPr>
        <w:t>Church</w:t>
      </w:r>
      <w:r>
        <w:rPr>
          <w:color w:val="231F20"/>
          <w:spacing w:val="-11"/>
        </w:rPr>
        <w:t> </w:t>
      </w:r>
      <w:r>
        <w:rPr>
          <w:color w:val="231F20"/>
          <w:spacing w:val="-2"/>
        </w:rPr>
        <w:t>World </w:t>
      </w:r>
      <w:r>
        <w:rPr>
          <w:color w:val="231F20"/>
        </w:rPr>
        <w:t>Service, the Episcopal Church and the United Methodist Church-General Board of Church and Society.</w:t>
      </w:r>
    </w:p>
    <w:p>
      <w:pPr>
        <w:pStyle w:val="BodyText"/>
        <w:spacing w:before="168"/>
        <w:ind w:left="414" w:right="1132"/>
      </w:pPr>
      <w:r>
        <w:rPr>
          <w:b/>
          <w:color w:val="B52628"/>
        </w:rPr>
        <w:t>On March 15, 2023, </w:t>
      </w:r>
      <w:r>
        <w:rPr>
          <w:color w:val="231F20"/>
        </w:rPr>
        <w:t>U.S. senators Ron </w:t>
      </w:r>
      <w:r>
        <w:rPr>
          <w:color w:val="231F20"/>
          <w:spacing w:val="-2"/>
        </w:rPr>
        <w:t>Wyden,</w:t>
      </w:r>
      <w:r>
        <w:rPr>
          <w:color w:val="231F20"/>
          <w:spacing w:val="-15"/>
        </w:rPr>
        <w:t> </w:t>
      </w:r>
      <w:r>
        <w:rPr>
          <w:color w:val="231F20"/>
          <w:spacing w:val="-2"/>
        </w:rPr>
        <w:t>(D-Ore.),</w:t>
      </w:r>
      <w:r>
        <w:rPr>
          <w:color w:val="231F20"/>
          <w:spacing w:val="-14"/>
        </w:rPr>
        <w:t> </w:t>
      </w:r>
      <w:r>
        <w:rPr>
          <w:color w:val="231F20"/>
          <w:spacing w:val="-2"/>
        </w:rPr>
        <w:t>Cynthia</w:t>
      </w:r>
      <w:r>
        <w:rPr>
          <w:color w:val="231F20"/>
          <w:spacing w:val="-15"/>
        </w:rPr>
        <w:t> </w:t>
      </w:r>
      <w:r>
        <w:rPr>
          <w:color w:val="231F20"/>
          <w:spacing w:val="-2"/>
        </w:rPr>
        <w:t>Lummis,</w:t>
      </w:r>
      <w:r>
        <w:rPr>
          <w:color w:val="231F20"/>
          <w:spacing w:val="-14"/>
        </w:rPr>
        <w:t> </w:t>
      </w:r>
      <w:r>
        <w:rPr>
          <w:color w:val="231F20"/>
          <w:spacing w:val="-2"/>
        </w:rPr>
        <w:t>(R-Wyo.) </w:t>
      </w:r>
      <w:r>
        <w:rPr>
          <w:color w:val="231F20"/>
        </w:rPr>
        <w:t>and Chris Van Hollen, (D-Md.) wrote to President Biden to call for easing of the economic and financial restrictions under </w:t>
      </w:r>
      <w:r>
        <w:rPr>
          <w:color w:val="231F20"/>
          <w:spacing w:val="-4"/>
        </w:rPr>
        <w:t>the</w:t>
      </w:r>
      <w:r>
        <w:rPr>
          <w:color w:val="231F20"/>
          <w:spacing w:val="-13"/>
        </w:rPr>
        <w:t> </w:t>
      </w:r>
      <w:r>
        <w:rPr>
          <w:color w:val="231F20"/>
          <w:spacing w:val="-4"/>
        </w:rPr>
        <w:t>blockade</w:t>
      </w:r>
      <w:r>
        <w:rPr>
          <w:color w:val="231F20"/>
          <w:spacing w:val="-12"/>
        </w:rPr>
        <w:t> </w:t>
      </w:r>
      <w:r>
        <w:rPr>
          <w:color w:val="231F20"/>
          <w:spacing w:val="-4"/>
        </w:rPr>
        <w:t>which</w:t>
      </w:r>
      <w:r>
        <w:rPr>
          <w:color w:val="231F20"/>
          <w:spacing w:val="-12"/>
        </w:rPr>
        <w:t> </w:t>
      </w:r>
      <w:r>
        <w:rPr>
          <w:color w:val="231F20"/>
          <w:spacing w:val="-4"/>
        </w:rPr>
        <w:t>affect</w:t>
      </w:r>
      <w:r>
        <w:rPr>
          <w:color w:val="231F20"/>
          <w:spacing w:val="-13"/>
        </w:rPr>
        <w:t> </w:t>
      </w:r>
      <w:r>
        <w:rPr>
          <w:color w:val="231F20"/>
          <w:spacing w:val="-4"/>
        </w:rPr>
        <w:t>the</w:t>
      </w:r>
      <w:r>
        <w:rPr>
          <w:color w:val="231F20"/>
          <w:spacing w:val="-12"/>
        </w:rPr>
        <w:t> </w:t>
      </w:r>
      <w:r>
        <w:rPr>
          <w:color w:val="231F20"/>
          <w:spacing w:val="-4"/>
        </w:rPr>
        <w:t>private</w:t>
      </w:r>
      <w:r>
        <w:rPr>
          <w:color w:val="231F20"/>
          <w:spacing w:val="-12"/>
        </w:rPr>
        <w:t> </w:t>
      </w:r>
      <w:r>
        <w:rPr>
          <w:color w:val="231F20"/>
          <w:spacing w:val="-4"/>
        </w:rPr>
        <w:t>sector </w:t>
      </w:r>
      <w:r>
        <w:rPr>
          <w:color w:val="231F20"/>
        </w:rPr>
        <w:t>in Cuba.</w:t>
      </w:r>
    </w:p>
    <w:p>
      <w:pPr>
        <w:pStyle w:val="BodyText"/>
        <w:spacing w:before="166"/>
        <w:ind w:left="414" w:right="1133"/>
      </w:pPr>
      <w:r>
        <w:rPr>
          <w:b/>
          <w:color w:val="B52628"/>
        </w:rPr>
        <w:t>On March 21, 2023, </w:t>
      </w:r>
      <w:r>
        <w:rPr>
          <w:color w:val="231F20"/>
        </w:rPr>
        <w:t>the Washington Office on Latin America</w:t>
      </w:r>
      <w:r>
        <w:rPr>
          <w:color w:val="231F20"/>
          <w:spacing w:val="40"/>
        </w:rPr>
        <w:t> </w:t>
      </w:r>
      <w:r>
        <w:rPr>
          <w:color w:val="231F20"/>
        </w:rPr>
        <w:t>(WOLA) and the Center for Democracy in the Americas (CDA)</w:t>
      </w:r>
      <w:r>
        <w:rPr>
          <w:color w:val="231F20"/>
          <w:spacing w:val="-11"/>
        </w:rPr>
        <w:t> </w:t>
      </w:r>
      <w:r>
        <w:rPr>
          <w:color w:val="231F20"/>
        </w:rPr>
        <w:t>issued</w:t>
      </w:r>
      <w:r>
        <w:rPr>
          <w:color w:val="231F20"/>
          <w:spacing w:val="-11"/>
        </w:rPr>
        <w:t> </w:t>
      </w:r>
      <w:r>
        <w:rPr>
          <w:color w:val="231F20"/>
        </w:rPr>
        <w:t>a</w:t>
      </w:r>
      <w:r>
        <w:rPr>
          <w:color w:val="231F20"/>
          <w:spacing w:val="-11"/>
        </w:rPr>
        <w:t> </w:t>
      </w:r>
      <w:r>
        <w:rPr>
          <w:color w:val="231F20"/>
        </w:rPr>
        <w:t>joint</w:t>
      </w:r>
      <w:r>
        <w:rPr>
          <w:color w:val="231F20"/>
          <w:spacing w:val="-11"/>
        </w:rPr>
        <w:t> </w:t>
      </w:r>
      <w:r>
        <w:rPr>
          <w:color w:val="231F20"/>
        </w:rPr>
        <w:t>declaration</w:t>
      </w:r>
      <w:r>
        <w:rPr>
          <w:color w:val="231F20"/>
          <w:spacing w:val="-11"/>
        </w:rPr>
        <w:t> </w:t>
      </w:r>
      <w:r>
        <w:rPr>
          <w:color w:val="231F20"/>
        </w:rPr>
        <w:t>in</w:t>
      </w:r>
      <w:r>
        <w:rPr>
          <w:color w:val="231F20"/>
          <w:spacing w:val="-11"/>
        </w:rPr>
        <w:t> </w:t>
      </w:r>
      <w:r>
        <w:rPr>
          <w:color w:val="231F20"/>
        </w:rPr>
        <w:t>favor</w:t>
      </w:r>
      <w:r>
        <w:rPr>
          <w:color w:val="231F20"/>
          <w:spacing w:val="-11"/>
        </w:rPr>
        <w:t> </w:t>
      </w:r>
      <w:r>
        <w:rPr>
          <w:color w:val="231F20"/>
        </w:rPr>
        <w:t>of reinstatement of the Freedom to Export to Cuba Act. Their communiqué refers to the blockade as the main obstacle to the growth of the Cuban economy.</w:t>
      </w:r>
    </w:p>
    <w:p>
      <w:pPr>
        <w:spacing w:before="166"/>
        <w:ind w:left="414" w:right="0" w:firstLine="0"/>
        <w:jc w:val="both"/>
        <w:rPr>
          <w:sz w:val="24"/>
        </w:rPr>
      </w:pPr>
      <w:r>
        <w:rPr>
          <w:b/>
          <w:color w:val="B52628"/>
          <w:sz w:val="24"/>
        </w:rPr>
        <w:t>On</w:t>
      </w:r>
      <w:r>
        <w:rPr>
          <w:b/>
          <w:color w:val="B52628"/>
          <w:spacing w:val="25"/>
          <w:sz w:val="24"/>
        </w:rPr>
        <w:t> </w:t>
      </w:r>
      <w:r>
        <w:rPr>
          <w:b/>
          <w:color w:val="B52628"/>
          <w:sz w:val="24"/>
        </w:rPr>
        <w:t>March</w:t>
      </w:r>
      <w:r>
        <w:rPr>
          <w:b/>
          <w:color w:val="B52628"/>
          <w:spacing w:val="26"/>
          <w:sz w:val="24"/>
        </w:rPr>
        <w:t> </w:t>
      </w:r>
      <w:r>
        <w:rPr>
          <w:b/>
          <w:color w:val="B52628"/>
          <w:sz w:val="24"/>
        </w:rPr>
        <w:t>22,</w:t>
      </w:r>
      <w:r>
        <w:rPr>
          <w:b/>
          <w:color w:val="B52628"/>
          <w:spacing w:val="26"/>
          <w:sz w:val="24"/>
        </w:rPr>
        <w:t> </w:t>
      </w:r>
      <w:r>
        <w:rPr>
          <w:b/>
          <w:color w:val="B52628"/>
          <w:sz w:val="24"/>
        </w:rPr>
        <w:t>2023,</w:t>
      </w:r>
      <w:r>
        <w:rPr>
          <w:b/>
          <w:color w:val="B52628"/>
          <w:spacing w:val="26"/>
          <w:sz w:val="24"/>
        </w:rPr>
        <w:t> </w:t>
      </w:r>
      <w:r>
        <w:rPr>
          <w:color w:val="231F20"/>
          <w:sz w:val="24"/>
        </w:rPr>
        <w:t>CODEPINK</w:t>
      </w:r>
      <w:r>
        <w:rPr>
          <w:color w:val="231F20"/>
          <w:spacing w:val="26"/>
          <w:sz w:val="24"/>
        </w:rPr>
        <w:t> </w:t>
      </w:r>
      <w:r>
        <w:rPr>
          <w:color w:val="231F20"/>
          <w:spacing w:val="-2"/>
          <w:sz w:val="24"/>
        </w:rPr>
        <w:t>activists</w:t>
      </w:r>
    </w:p>
    <w:p>
      <w:pPr>
        <w:spacing w:after="0"/>
        <w:jc w:val="both"/>
        <w:rPr>
          <w:sz w:val="24"/>
        </w:rPr>
        <w:sectPr>
          <w:pgSz w:w="11910" w:h="16840"/>
          <w:pgMar w:header="0" w:footer="695" w:top="1260" w:bottom="880" w:left="0" w:right="0"/>
          <w:cols w:num="2" w:equalWidth="0">
            <w:col w:w="5895" w:space="40"/>
            <w:col w:w="5975"/>
          </w:cols>
        </w:sectPr>
      </w:pPr>
    </w:p>
    <w:p>
      <w:pPr>
        <w:pStyle w:val="BodyText"/>
        <w:spacing w:before="77"/>
        <w:ind w:left="1133" w:right="1"/>
      </w:pPr>
      <w:r>
        <w:rPr>
          <w:color w:val="231F20"/>
        </w:rPr>
        <w:t>heckled</w:t>
      </w:r>
      <w:r>
        <w:rPr>
          <w:color w:val="231F20"/>
          <w:spacing w:val="-6"/>
        </w:rPr>
        <w:t> </w:t>
      </w:r>
      <w:r>
        <w:rPr>
          <w:color w:val="231F20"/>
        </w:rPr>
        <w:t>Secretary</w:t>
      </w:r>
      <w:r>
        <w:rPr>
          <w:color w:val="231F20"/>
          <w:spacing w:val="-6"/>
        </w:rPr>
        <w:t> </w:t>
      </w:r>
      <w:r>
        <w:rPr>
          <w:color w:val="231F20"/>
        </w:rPr>
        <w:t>of</w:t>
      </w:r>
      <w:r>
        <w:rPr>
          <w:color w:val="231F20"/>
          <w:spacing w:val="-6"/>
        </w:rPr>
        <w:t> </w:t>
      </w:r>
      <w:r>
        <w:rPr>
          <w:color w:val="231F20"/>
        </w:rPr>
        <w:t>State</w:t>
      </w:r>
      <w:r>
        <w:rPr>
          <w:color w:val="231F20"/>
          <w:spacing w:val="-6"/>
        </w:rPr>
        <w:t> </w:t>
      </w:r>
      <w:r>
        <w:rPr>
          <w:color w:val="231F20"/>
        </w:rPr>
        <w:t>Antony</w:t>
      </w:r>
      <w:r>
        <w:rPr>
          <w:color w:val="231F20"/>
          <w:spacing w:val="-6"/>
        </w:rPr>
        <w:t> </w:t>
      </w:r>
      <w:r>
        <w:rPr>
          <w:color w:val="231F20"/>
        </w:rPr>
        <w:t>Blinken who was addressing the Senate Foreign </w:t>
      </w:r>
      <w:r>
        <w:rPr>
          <w:color w:val="231F20"/>
          <w:spacing w:val="-2"/>
        </w:rPr>
        <w:t>Relations</w:t>
      </w:r>
      <w:r>
        <w:rPr>
          <w:color w:val="231F20"/>
          <w:spacing w:val="-15"/>
        </w:rPr>
        <w:t> </w:t>
      </w:r>
      <w:r>
        <w:rPr>
          <w:color w:val="231F20"/>
          <w:spacing w:val="-2"/>
        </w:rPr>
        <w:t>Committee,</w:t>
      </w:r>
      <w:r>
        <w:rPr>
          <w:color w:val="231F20"/>
          <w:spacing w:val="-14"/>
        </w:rPr>
        <w:t> </w:t>
      </w:r>
      <w:r>
        <w:rPr>
          <w:color w:val="231F20"/>
          <w:spacing w:val="-2"/>
        </w:rPr>
        <w:t>to</w:t>
      </w:r>
      <w:r>
        <w:rPr>
          <w:color w:val="231F20"/>
          <w:spacing w:val="-15"/>
        </w:rPr>
        <w:t> </w:t>
      </w:r>
      <w:r>
        <w:rPr>
          <w:color w:val="231F20"/>
          <w:spacing w:val="-2"/>
        </w:rPr>
        <w:t>call</w:t>
      </w:r>
      <w:r>
        <w:rPr>
          <w:color w:val="231F20"/>
          <w:spacing w:val="-14"/>
        </w:rPr>
        <w:t> </w:t>
      </w:r>
      <w:r>
        <w:rPr>
          <w:color w:val="231F20"/>
          <w:spacing w:val="-2"/>
        </w:rPr>
        <w:t>for</w:t>
      </w:r>
      <w:r>
        <w:rPr>
          <w:color w:val="231F20"/>
          <w:spacing w:val="-15"/>
        </w:rPr>
        <w:t> </w:t>
      </w:r>
      <w:r>
        <w:rPr>
          <w:color w:val="231F20"/>
          <w:spacing w:val="-2"/>
        </w:rPr>
        <w:t>withdrawal </w:t>
      </w:r>
      <w:r>
        <w:rPr>
          <w:color w:val="231F20"/>
        </w:rPr>
        <w:t>of</w:t>
      </w:r>
      <w:r>
        <w:rPr>
          <w:color w:val="231F20"/>
          <w:spacing w:val="40"/>
        </w:rPr>
        <w:t> </w:t>
      </w:r>
      <w:r>
        <w:rPr>
          <w:color w:val="231F20"/>
        </w:rPr>
        <w:t>Cuba</w:t>
      </w:r>
      <w:r>
        <w:rPr>
          <w:color w:val="231F20"/>
          <w:spacing w:val="40"/>
        </w:rPr>
        <w:t> </w:t>
      </w:r>
      <w:r>
        <w:rPr>
          <w:color w:val="231F20"/>
        </w:rPr>
        <w:t>from</w:t>
      </w:r>
      <w:r>
        <w:rPr>
          <w:color w:val="231F20"/>
          <w:spacing w:val="40"/>
        </w:rPr>
        <w:t> </w:t>
      </w:r>
      <w:r>
        <w:rPr>
          <w:color w:val="231F20"/>
        </w:rPr>
        <w:t>the</w:t>
      </w:r>
      <w:r>
        <w:rPr>
          <w:color w:val="231F20"/>
          <w:spacing w:val="40"/>
        </w:rPr>
        <w:t> </w:t>
      </w:r>
      <w:r>
        <w:rPr>
          <w:color w:val="231F20"/>
        </w:rPr>
        <w:t>list</w:t>
      </w:r>
      <w:r>
        <w:rPr>
          <w:color w:val="231F20"/>
          <w:spacing w:val="40"/>
        </w:rPr>
        <w:t> </w:t>
      </w:r>
      <w:r>
        <w:rPr>
          <w:color w:val="231F20"/>
        </w:rPr>
        <w:t>of</w:t>
      </w:r>
      <w:r>
        <w:rPr>
          <w:color w:val="231F20"/>
          <w:spacing w:val="40"/>
        </w:rPr>
        <w:t> </w:t>
      </w:r>
      <w:r>
        <w:rPr>
          <w:color w:val="231F20"/>
        </w:rPr>
        <w:t>state</w:t>
      </w:r>
      <w:r>
        <w:rPr>
          <w:color w:val="231F20"/>
          <w:spacing w:val="40"/>
        </w:rPr>
        <w:t> </w:t>
      </w:r>
      <w:r>
        <w:rPr>
          <w:color w:val="231F20"/>
        </w:rPr>
        <w:t>sponsors of terrorism and an end to the current coercive measures.</w:t>
      </w:r>
    </w:p>
    <w:p>
      <w:pPr>
        <w:pStyle w:val="BodyText"/>
        <w:spacing w:before="164"/>
        <w:ind w:left="1133"/>
      </w:pPr>
      <w:r>
        <w:rPr>
          <w:b/>
          <w:color w:val="B52628"/>
        </w:rPr>
        <w:t>On March 26, 2023, </w:t>
      </w:r>
      <w:r>
        <w:rPr>
          <w:color w:val="231F20"/>
        </w:rPr>
        <w:t>a caravan </w:t>
      </w:r>
      <w:r>
        <w:rPr>
          <w:color w:val="231F20"/>
        </w:rPr>
        <w:t>event </w:t>
      </w:r>
      <w:r>
        <w:rPr>
          <w:color w:val="231F20"/>
          <w:spacing w:val="-2"/>
        </w:rPr>
        <w:t>protesting</w:t>
      </w:r>
      <w:r>
        <w:rPr>
          <w:color w:val="231F20"/>
          <w:spacing w:val="-15"/>
        </w:rPr>
        <w:t> </w:t>
      </w:r>
      <w:r>
        <w:rPr>
          <w:color w:val="231F20"/>
          <w:spacing w:val="-2"/>
        </w:rPr>
        <w:t>the</w:t>
      </w:r>
      <w:r>
        <w:rPr>
          <w:color w:val="231F20"/>
          <w:spacing w:val="-14"/>
        </w:rPr>
        <w:t> </w:t>
      </w:r>
      <w:r>
        <w:rPr>
          <w:color w:val="231F20"/>
          <w:spacing w:val="-2"/>
        </w:rPr>
        <w:t>blockade</w:t>
      </w:r>
      <w:r>
        <w:rPr>
          <w:color w:val="231F20"/>
          <w:spacing w:val="-15"/>
        </w:rPr>
        <w:t> </w:t>
      </w:r>
      <w:r>
        <w:rPr>
          <w:color w:val="231F20"/>
          <w:spacing w:val="-2"/>
        </w:rPr>
        <w:t>involved</w:t>
      </w:r>
      <w:r>
        <w:rPr>
          <w:color w:val="231F20"/>
          <w:spacing w:val="-14"/>
        </w:rPr>
        <w:t> </w:t>
      </w:r>
      <w:r>
        <w:rPr>
          <w:color w:val="231F20"/>
          <w:spacing w:val="-2"/>
        </w:rPr>
        <w:t>members </w:t>
      </w:r>
      <w:r>
        <w:rPr>
          <w:color w:val="231F20"/>
        </w:rPr>
        <w:t>of the Alianza Martiana, the José Martí Cultural Association, Puentes de Amor and</w:t>
      </w:r>
      <w:r>
        <w:rPr>
          <w:color w:val="231F20"/>
          <w:spacing w:val="-10"/>
        </w:rPr>
        <w:t> </w:t>
      </w:r>
      <w:r>
        <w:rPr>
          <w:color w:val="231F20"/>
        </w:rPr>
        <w:t>representatives</w:t>
      </w:r>
      <w:r>
        <w:rPr>
          <w:color w:val="231F20"/>
          <w:spacing w:val="-10"/>
        </w:rPr>
        <w:t> </w:t>
      </w:r>
      <w:r>
        <w:rPr>
          <w:color w:val="231F20"/>
        </w:rPr>
        <w:t>of</w:t>
      </w:r>
      <w:r>
        <w:rPr>
          <w:color w:val="231F20"/>
          <w:spacing w:val="-10"/>
        </w:rPr>
        <w:t> </w:t>
      </w:r>
      <w:r>
        <w:rPr>
          <w:color w:val="231F20"/>
        </w:rPr>
        <w:t>the</w:t>
      </w:r>
      <w:r>
        <w:rPr>
          <w:color w:val="231F20"/>
          <w:spacing w:val="-10"/>
        </w:rPr>
        <w:t> </w:t>
      </w:r>
      <w:r>
        <w:rPr>
          <w:color w:val="231F20"/>
        </w:rPr>
        <w:t>Cuban</w:t>
      </w:r>
      <w:r>
        <w:rPr>
          <w:color w:val="231F20"/>
          <w:spacing w:val="-10"/>
        </w:rPr>
        <w:t> </w:t>
      </w:r>
      <w:r>
        <w:rPr>
          <w:color w:val="231F20"/>
        </w:rPr>
        <w:t>and</w:t>
      </w:r>
      <w:r>
        <w:rPr>
          <w:color w:val="231F20"/>
          <w:spacing w:val="-10"/>
        </w:rPr>
        <w:t> </w:t>
      </w:r>
      <w:r>
        <w:rPr>
          <w:color w:val="231F20"/>
        </w:rPr>
        <w:t>U.S. </w:t>
      </w:r>
      <w:r>
        <w:rPr>
          <w:color w:val="231F20"/>
          <w:spacing w:val="-2"/>
        </w:rPr>
        <w:t>community.</w:t>
      </w:r>
    </w:p>
    <w:p>
      <w:pPr>
        <w:pStyle w:val="BodyText"/>
        <w:spacing w:before="165"/>
        <w:ind w:left="1133"/>
      </w:pPr>
      <w:r>
        <w:rPr>
          <w:b/>
          <w:color w:val="B52628"/>
        </w:rPr>
        <w:t>On</w:t>
      </w:r>
      <w:r>
        <w:rPr>
          <w:b/>
          <w:color w:val="B52628"/>
          <w:spacing w:val="-11"/>
        </w:rPr>
        <w:t> </w:t>
      </w:r>
      <w:r>
        <w:rPr>
          <w:b/>
          <w:color w:val="B52628"/>
        </w:rPr>
        <w:t>May</w:t>
      </w:r>
      <w:r>
        <w:rPr>
          <w:b/>
          <w:color w:val="B52628"/>
          <w:spacing w:val="-11"/>
        </w:rPr>
        <w:t> </w:t>
      </w:r>
      <w:r>
        <w:rPr>
          <w:b/>
          <w:color w:val="B52628"/>
        </w:rPr>
        <w:t>10,</w:t>
      </w:r>
      <w:r>
        <w:rPr>
          <w:b/>
          <w:color w:val="B52628"/>
          <w:spacing w:val="-11"/>
        </w:rPr>
        <w:t> </w:t>
      </w:r>
      <w:r>
        <w:rPr>
          <w:b/>
          <w:color w:val="B52628"/>
        </w:rPr>
        <w:t>2023,</w:t>
      </w:r>
      <w:r>
        <w:rPr>
          <w:b/>
          <w:color w:val="B52628"/>
          <w:spacing w:val="-14"/>
        </w:rPr>
        <w:t> </w:t>
      </w:r>
      <w:r>
        <w:rPr>
          <w:color w:val="231F20"/>
        </w:rPr>
        <w:t>21</w:t>
      </w:r>
      <w:r>
        <w:rPr>
          <w:color w:val="231F20"/>
          <w:spacing w:val="-15"/>
        </w:rPr>
        <w:t> </w:t>
      </w:r>
      <w:r>
        <w:rPr>
          <w:color w:val="231F20"/>
        </w:rPr>
        <w:t>Democrat</w:t>
      </w:r>
      <w:r>
        <w:rPr>
          <w:color w:val="231F20"/>
          <w:spacing w:val="-15"/>
        </w:rPr>
        <w:t> </w:t>
      </w:r>
      <w:r>
        <w:rPr>
          <w:color w:val="231F20"/>
        </w:rPr>
        <w:t>members of Congress, mostly from the southern border states, sent a letter to President Biden calling for easing of the policy of </w:t>
      </w:r>
      <w:r>
        <w:rPr>
          <w:color w:val="231F20"/>
          <w:spacing w:val="-4"/>
        </w:rPr>
        <w:t>maximum</w:t>
      </w:r>
      <w:r>
        <w:rPr>
          <w:color w:val="231F20"/>
          <w:spacing w:val="-10"/>
        </w:rPr>
        <w:t> </w:t>
      </w:r>
      <w:r>
        <w:rPr>
          <w:color w:val="231F20"/>
          <w:spacing w:val="-4"/>
        </w:rPr>
        <w:t>pressure</w:t>
      </w:r>
      <w:r>
        <w:rPr>
          <w:color w:val="231F20"/>
          <w:spacing w:val="-10"/>
        </w:rPr>
        <w:t> </w:t>
      </w:r>
      <w:r>
        <w:rPr>
          <w:color w:val="231F20"/>
          <w:spacing w:val="-4"/>
        </w:rPr>
        <w:t>that</w:t>
      </w:r>
      <w:r>
        <w:rPr>
          <w:color w:val="231F20"/>
          <w:spacing w:val="-10"/>
        </w:rPr>
        <w:t> </w:t>
      </w:r>
      <w:r>
        <w:rPr>
          <w:color w:val="231F20"/>
          <w:spacing w:val="-4"/>
        </w:rPr>
        <w:t>affects</w:t>
      </w:r>
      <w:r>
        <w:rPr>
          <w:color w:val="231F20"/>
          <w:spacing w:val="-10"/>
        </w:rPr>
        <w:t> </w:t>
      </w:r>
      <w:r>
        <w:rPr>
          <w:color w:val="231F20"/>
          <w:spacing w:val="-4"/>
        </w:rPr>
        <w:t>Cubans</w:t>
      </w:r>
      <w:r>
        <w:rPr>
          <w:color w:val="231F20"/>
          <w:spacing w:val="-10"/>
        </w:rPr>
        <w:t> </w:t>
      </w:r>
      <w:r>
        <w:rPr>
          <w:color w:val="231F20"/>
          <w:spacing w:val="-4"/>
        </w:rPr>
        <w:t>and </w:t>
      </w:r>
      <w:r>
        <w:rPr>
          <w:color w:val="231F20"/>
        </w:rPr>
        <w:t>Venezuelans. They identified the Trump </w:t>
      </w:r>
      <w:r>
        <w:rPr>
          <w:color w:val="231F20"/>
          <w:spacing w:val="-6"/>
        </w:rPr>
        <w:t>administration’s measures designed to stifle </w:t>
      </w:r>
      <w:r>
        <w:rPr>
          <w:color w:val="231F20"/>
        </w:rPr>
        <w:t>the Cuban economy as among the main reasons</w:t>
      </w:r>
      <w:r>
        <w:rPr>
          <w:color w:val="231F20"/>
          <w:spacing w:val="-4"/>
        </w:rPr>
        <w:t> </w:t>
      </w:r>
      <w:r>
        <w:rPr>
          <w:color w:val="231F20"/>
        </w:rPr>
        <w:t>for</w:t>
      </w:r>
      <w:r>
        <w:rPr>
          <w:color w:val="231F20"/>
          <w:spacing w:val="-4"/>
        </w:rPr>
        <w:t> </w:t>
      </w:r>
      <w:r>
        <w:rPr>
          <w:color w:val="231F20"/>
        </w:rPr>
        <w:t>the</w:t>
      </w:r>
      <w:r>
        <w:rPr>
          <w:color w:val="231F20"/>
          <w:spacing w:val="-4"/>
        </w:rPr>
        <w:t> </w:t>
      </w:r>
      <w:r>
        <w:rPr>
          <w:color w:val="231F20"/>
        </w:rPr>
        <w:t>migration</w:t>
      </w:r>
      <w:r>
        <w:rPr>
          <w:color w:val="231F20"/>
          <w:spacing w:val="-4"/>
        </w:rPr>
        <w:t> </w:t>
      </w:r>
      <w:r>
        <w:rPr>
          <w:color w:val="231F20"/>
        </w:rPr>
        <w:t>of</w:t>
      </w:r>
      <w:r>
        <w:rPr>
          <w:color w:val="231F20"/>
          <w:spacing w:val="-4"/>
        </w:rPr>
        <w:t> </w:t>
      </w:r>
      <w:r>
        <w:rPr>
          <w:color w:val="231F20"/>
        </w:rPr>
        <w:t>thousands</w:t>
      </w:r>
      <w:r>
        <w:rPr>
          <w:color w:val="231F20"/>
          <w:spacing w:val="-4"/>
        </w:rPr>
        <w:t> </w:t>
      </w:r>
      <w:r>
        <w:rPr>
          <w:color w:val="231F20"/>
        </w:rPr>
        <w:t>of </w:t>
      </w:r>
      <w:r>
        <w:rPr>
          <w:color w:val="231F20"/>
          <w:spacing w:val="-4"/>
        </w:rPr>
        <w:t>citizens</w:t>
      </w:r>
      <w:r>
        <w:rPr>
          <w:color w:val="231F20"/>
          <w:spacing w:val="-10"/>
        </w:rPr>
        <w:t> </w:t>
      </w:r>
      <w:r>
        <w:rPr>
          <w:color w:val="231F20"/>
          <w:spacing w:val="-4"/>
        </w:rPr>
        <w:t>of</w:t>
      </w:r>
      <w:r>
        <w:rPr>
          <w:color w:val="231F20"/>
          <w:spacing w:val="-10"/>
        </w:rPr>
        <w:t> </w:t>
      </w:r>
      <w:r>
        <w:rPr>
          <w:color w:val="231F20"/>
          <w:spacing w:val="-4"/>
        </w:rPr>
        <w:t>those</w:t>
      </w:r>
      <w:r>
        <w:rPr>
          <w:color w:val="231F20"/>
          <w:spacing w:val="-10"/>
        </w:rPr>
        <w:t> </w:t>
      </w:r>
      <w:r>
        <w:rPr>
          <w:color w:val="231F20"/>
          <w:spacing w:val="-4"/>
        </w:rPr>
        <w:t>nations</w:t>
      </w:r>
      <w:r>
        <w:rPr>
          <w:color w:val="231F20"/>
          <w:spacing w:val="-10"/>
        </w:rPr>
        <w:t> </w:t>
      </w:r>
      <w:r>
        <w:rPr>
          <w:color w:val="231F20"/>
          <w:spacing w:val="-4"/>
        </w:rPr>
        <w:t>to</w:t>
      </w:r>
      <w:r>
        <w:rPr>
          <w:color w:val="231F20"/>
          <w:spacing w:val="-10"/>
        </w:rPr>
        <w:t> </w:t>
      </w:r>
      <w:r>
        <w:rPr>
          <w:color w:val="231F20"/>
          <w:spacing w:val="-4"/>
        </w:rPr>
        <w:t>United</w:t>
      </w:r>
      <w:r>
        <w:rPr>
          <w:color w:val="231F20"/>
          <w:spacing w:val="-10"/>
        </w:rPr>
        <w:t> </w:t>
      </w:r>
      <w:r>
        <w:rPr>
          <w:color w:val="231F20"/>
          <w:spacing w:val="-4"/>
        </w:rPr>
        <w:t>States</w:t>
      </w:r>
      <w:r>
        <w:rPr>
          <w:color w:val="231F20"/>
          <w:spacing w:val="-10"/>
        </w:rPr>
        <w:t> </w:t>
      </w:r>
      <w:r>
        <w:rPr>
          <w:color w:val="231F20"/>
          <w:spacing w:val="-4"/>
        </w:rPr>
        <w:t>of </w:t>
      </w:r>
      <w:r>
        <w:rPr>
          <w:color w:val="231F20"/>
        </w:rPr>
        <w:t>America.</w:t>
      </w:r>
      <w:r>
        <w:rPr>
          <w:color w:val="231F20"/>
          <w:spacing w:val="-5"/>
        </w:rPr>
        <w:t> </w:t>
      </w:r>
      <w:r>
        <w:rPr>
          <w:color w:val="231F20"/>
        </w:rPr>
        <w:t>In</w:t>
      </w:r>
      <w:r>
        <w:rPr>
          <w:color w:val="231F20"/>
          <w:spacing w:val="-5"/>
        </w:rPr>
        <w:t> </w:t>
      </w:r>
      <w:r>
        <w:rPr>
          <w:color w:val="231F20"/>
        </w:rPr>
        <w:t>the</w:t>
      </w:r>
      <w:r>
        <w:rPr>
          <w:color w:val="231F20"/>
          <w:spacing w:val="-5"/>
        </w:rPr>
        <w:t> </w:t>
      </w:r>
      <w:r>
        <w:rPr>
          <w:color w:val="231F20"/>
        </w:rPr>
        <w:t>case</w:t>
      </w:r>
      <w:r>
        <w:rPr>
          <w:color w:val="231F20"/>
          <w:spacing w:val="-5"/>
        </w:rPr>
        <w:t> </w:t>
      </w:r>
      <w:r>
        <w:rPr>
          <w:color w:val="231F20"/>
        </w:rPr>
        <w:t>of</w:t>
      </w:r>
      <w:r>
        <w:rPr>
          <w:color w:val="231F20"/>
          <w:spacing w:val="-5"/>
        </w:rPr>
        <w:t> </w:t>
      </w:r>
      <w:r>
        <w:rPr>
          <w:color w:val="231F20"/>
        </w:rPr>
        <w:t>Cuba,</w:t>
      </w:r>
      <w:r>
        <w:rPr>
          <w:color w:val="231F20"/>
          <w:spacing w:val="-5"/>
        </w:rPr>
        <w:t> </w:t>
      </w:r>
      <w:r>
        <w:rPr>
          <w:color w:val="231F20"/>
        </w:rPr>
        <w:t>they</w:t>
      </w:r>
      <w:r>
        <w:rPr>
          <w:color w:val="231F20"/>
          <w:spacing w:val="-5"/>
        </w:rPr>
        <w:t> </w:t>
      </w:r>
      <w:r>
        <w:rPr>
          <w:color w:val="231F20"/>
        </w:rPr>
        <w:t>singled out the stepping up of the blockade and the country’s inclusion on the list of state sponsors of terrorism.</w:t>
      </w:r>
    </w:p>
    <w:p>
      <w:pPr>
        <w:pStyle w:val="BodyText"/>
        <w:spacing w:before="171"/>
        <w:ind w:left="1133" w:right="1"/>
      </w:pPr>
      <w:r>
        <w:rPr>
          <w:b/>
          <w:color w:val="B52628"/>
        </w:rPr>
        <w:t>On May 16, 2023, </w:t>
      </w:r>
      <w:r>
        <w:rPr>
          <w:color w:val="231F20"/>
        </w:rPr>
        <w:t>Washington DC City Council unanimously passed a resolution calling on President Biden to lift the economic sanctions against Cuba and remove</w:t>
      </w:r>
      <w:r>
        <w:rPr>
          <w:color w:val="231F20"/>
          <w:spacing w:val="-12"/>
        </w:rPr>
        <w:t> </w:t>
      </w:r>
      <w:r>
        <w:rPr>
          <w:color w:val="231F20"/>
        </w:rPr>
        <w:t>Cuba</w:t>
      </w:r>
      <w:r>
        <w:rPr>
          <w:color w:val="231F20"/>
          <w:spacing w:val="-12"/>
        </w:rPr>
        <w:t> </w:t>
      </w:r>
      <w:r>
        <w:rPr>
          <w:color w:val="231F20"/>
        </w:rPr>
        <w:t>from</w:t>
      </w:r>
      <w:r>
        <w:rPr>
          <w:color w:val="231F20"/>
          <w:spacing w:val="-12"/>
        </w:rPr>
        <w:t> </w:t>
      </w:r>
      <w:r>
        <w:rPr>
          <w:color w:val="231F20"/>
        </w:rPr>
        <w:t>the</w:t>
      </w:r>
      <w:r>
        <w:rPr>
          <w:color w:val="231F20"/>
          <w:spacing w:val="-12"/>
        </w:rPr>
        <w:t> </w:t>
      </w:r>
      <w:r>
        <w:rPr>
          <w:color w:val="231F20"/>
        </w:rPr>
        <w:t>unilateral</w:t>
      </w:r>
      <w:r>
        <w:rPr>
          <w:color w:val="231F20"/>
          <w:spacing w:val="-12"/>
        </w:rPr>
        <w:t> </w:t>
      </w:r>
      <w:r>
        <w:rPr>
          <w:color w:val="231F20"/>
        </w:rPr>
        <w:t>and</w:t>
      </w:r>
      <w:r>
        <w:rPr>
          <w:color w:val="231F20"/>
          <w:spacing w:val="-12"/>
        </w:rPr>
        <w:t> </w:t>
      </w:r>
      <w:r>
        <w:rPr>
          <w:color w:val="231F20"/>
        </w:rPr>
        <w:t>illicit list</w:t>
      </w:r>
      <w:r>
        <w:rPr>
          <w:color w:val="231F20"/>
          <w:spacing w:val="-10"/>
        </w:rPr>
        <w:t> </w:t>
      </w:r>
      <w:r>
        <w:rPr>
          <w:color w:val="231F20"/>
        </w:rPr>
        <w:t>of</w:t>
      </w:r>
      <w:r>
        <w:rPr>
          <w:color w:val="231F20"/>
          <w:spacing w:val="-11"/>
        </w:rPr>
        <w:t> </w:t>
      </w:r>
      <w:r>
        <w:rPr>
          <w:color w:val="231F20"/>
        </w:rPr>
        <w:t>state</w:t>
      </w:r>
      <w:r>
        <w:rPr>
          <w:color w:val="231F20"/>
          <w:spacing w:val="-11"/>
        </w:rPr>
        <w:t> </w:t>
      </w:r>
      <w:r>
        <w:rPr>
          <w:color w:val="231F20"/>
        </w:rPr>
        <w:t>sponsors</w:t>
      </w:r>
      <w:r>
        <w:rPr>
          <w:color w:val="231F20"/>
          <w:spacing w:val="-11"/>
        </w:rPr>
        <w:t> </w:t>
      </w:r>
      <w:r>
        <w:rPr>
          <w:color w:val="231F20"/>
        </w:rPr>
        <w:t>of</w:t>
      </w:r>
      <w:r>
        <w:rPr>
          <w:color w:val="231F20"/>
          <w:spacing w:val="-10"/>
        </w:rPr>
        <w:t> </w:t>
      </w:r>
      <w:r>
        <w:rPr>
          <w:color w:val="231F20"/>
        </w:rPr>
        <w:t>terrorism.</w:t>
      </w:r>
      <w:r>
        <w:rPr>
          <w:color w:val="231F20"/>
          <w:spacing w:val="-10"/>
        </w:rPr>
        <w:t> </w:t>
      </w:r>
      <w:r>
        <w:rPr>
          <w:color w:val="231F20"/>
        </w:rPr>
        <w:t>The</w:t>
      </w:r>
      <w:r>
        <w:rPr>
          <w:color w:val="231F20"/>
          <w:spacing w:val="-11"/>
        </w:rPr>
        <w:t> </w:t>
      </w:r>
      <w:r>
        <w:rPr>
          <w:color w:val="231F20"/>
        </w:rPr>
        <w:t>text highlights</w:t>
      </w:r>
      <w:r>
        <w:rPr>
          <w:color w:val="231F20"/>
          <w:spacing w:val="-13"/>
        </w:rPr>
        <w:t> </w:t>
      </w:r>
      <w:r>
        <w:rPr>
          <w:color w:val="231F20"/>
        </w:rPr>
        <w:t>the</w:t>
      </w:r>
      <w:r>
        <w:rPr>
          <w:color w:val="231F20"/>
          <w:spacing w:val="-13"/>
        </w:rPr>
        <w:t> </w:t>
      </w:r>
      <w:r>
        <w:rPr>
          <w:color w:val="231F20"/>
        </w:rPr>
        <w:t>limitations</w:t>
      </w:r>
      <w:r>
        <w:rPr>
          <w:color w:val="231F20"/>
          <w:spacing w:val="-13"/>
        </w:rPr>
        <w:t> </w:t>
      </w:r>
      <w:r>
        <w:rPr>
          <w:color w:val="231F20"/>
        </w:rPr>
        <w:t>on</w:t>
      </w:r>
      <w:r>
        <w:rPr>
          <w:color w:val="231F20"/>
          <w:spacing w:val="-13"/>
        </w:rPr>
        <w:t> </w:t>
      </w:r>
      <w:r>
        <w:rPr>
          <w:color w:val="231F20"/>
        </w:rPr>
        <w:t>Cuba’s</w:t>
      </w:r>
      <w:r>
        <w:rPr>
          <w:color w:val="231F20"/>
          <w:spacing w:val="-13"/>
        </w:rPr>
        <w:t> </w:t>
      </w:r>
      <w:r>
        <w:rPr>
          <w:color w:val="231F20"/>
        </w:rPr>
        <w:t>public health and education systems and the economy, and its impact on cooperation between the two countries.</w:t>
      </w:r>
    </w:p>
    <w:p>
      <w:pPr>
        <w:pStyle w:val="BodyText"/>
        <w:spacing w:before="2"/>
        <w:jc w:val="left"/>
      </w:pPr>
    </w:p>
    <w:p>
      <w:pPr>
        <w:pStyle w:val="Heading2"/>
        <w:spacing w:before="1"/>
        <w:ind w:right="435"/>
      </w:pPr>
      <w:r>
        <w:rPr>
          <w:color w:val="1F4282"/>
          <w:w w:val="115"/>
        </w:rPr>
        <w:t>Opposition by the international </w:t>
      </w:r>
      <w:r>
        <w:rPr>
          <w:color w:val="1F4282"/>
          <w:w w:val="115"/>
        </w:rPr>
        <w:t>community</w:t>
      </w:r>
    </w:p>
    <w:p>
      <w:pPr>
        <w:pStyle w:val="BodyText"/>
        <w:spacing w:before="172"/>
        <w:ind w:left="1133" w:right="1"/>
      </w:pPr>
      <w:r>
        <w:rPr>
          <w:color w:val="231F20"/>
        </w:rPr>
        <w:t>In</w:t>
      </w:r>
      <w:r>
        <w:rPr>
          <w:color w:val="231F20"/>
          <w:spacing w:val="-13"/>
        </w:rPr>
        <w:t> </w:t>
      </w:r>
      <w:r>
        <w:rPr>
          <w:color w:val="231F20"/>
        </w:rPr>
        <w:t>its</w:t>
      </w:r>
      <w:r>
        <w:rPr>
          <w:color w:val="231F20"/>
          <w:spacing w:val="-11"/>
        </w:rPr>
        <w:t> </w:t>
      </w:r>
      <w:r>
        <w:rPr>
          <w:color w:val="231F20"/>
        </w:rPr>
        <w:t>support</w:t>
      </w:r>
      <w:r>
        <w:rPr>
          <w:color w:val="231F20"/>
          <w:spacing w:val="-11"/>
        </w:rPr>
        <w:t> </w:t>
      </w:r>
      <w:r>
        <w:rPr>
          <w:color w:val="231F20"/>
        </w:rPr>
        <w:t>for</w:t>
      </w:r>
      <w:r>
        <w:rPr>
          <w:color w:val="231F20"/>
          <w:spacing w:val="-11"/>
        </w:rPr>
        <w:t> </w:t>
      </w:r>
      <w:r>
        <w:rPr>
          <w:color w:val="231F20"/>
        </w:rPr>
        <w:t>ending</w:t>
      </w:r>
      <w:r>
        <w:rPr>
          <w:color w:val="231F20"/>
          <w:spacing w:val="-11"/>
        </w:rPr>
        <w:t> </w:t>
      </w:r>
      <w:r>
        <w:rPr>
          <w:color w:val="231F20"/>
        </w:rPr>
        <w:t>the</w:t>
      </w:r>
      <w:r>
        <w:rPr>
          <w:color w:val="231F20"/>
          <w:spacing w:val="-11"/>
        </w:rPr>
        <w:t> </w:t>
      </w:r>
      <w:r>
        <w:rPr>
          <w:color w:val="231F20"/>
        </w:rPr>
        <w:t>blockade,</w:t>
      </w:r>
      <w:r>
        <w:rPr>
          <w:color w:val="231F20"/>
          <w:spacing w:val="-11"/>
        </w:rPr>
        <w:t> </w:t>
      </w:r>
      <w:r>
        <w:rPr>
          <w:color w:val="231F20"/>
        </w:rPr>
        <w:t>the </w:t>
      </w:r>
      <w:r>
        <w:rPr>
          <w:color w:val="231F20"/>
          <w:spacing w:val="-2"/>
        </w:rPr>
        <w:t>Cuban</w:t>
      </w:r>
      <w:r>
        <w:rPr>
          <w:color w:val="231F20"/>
          <w:spacing w:val="-12"/>
        </w:rPr>
        <w:t> </w:t>
      </w:r>
      <w:r>
        <w:rPr>
          <w:color w:val="231F20"/>
          <w:spacing w:val="-2"/>
        </w:rPr>
        <w:t>solidarity</w:t>
      </w:r>
      <w:r>
        <w:rPr>
          <w:color w:val="231F20"/>
          <w:spacing w:val="-12"/>
        </w:rPr>
        <w:t> </w:t>
      </w:r>
      <w:r>
        <w:rPr>
          <w:color w:val="231F20"/>
          <w:spacing w:val="-2"/>
        </w:rPr>
        <w:t>movement</w:t>
      </w:r>
      <w:r>
        <w:rPr>
          <w:color w:val="231F20"/>
          <w:spacing w:val="-12"/>
        </w:rPr>
        <w:t> </w:t>
      </w:r>
      <w:r>
        <w:rPr>
          <w:color w:val="231F20"/>
          <w:spacing w:val="-2"/>
        </w:rPr>
        <w:t>enjoyed</w:t>
      </w:r>
      <w:r>
        <w:rPr>
          <w:color w:val="231F20"/>
          <w:spacing w:val="-12"/>
        </w:rPr>
        <w:t> </w:t>
      </w:r>
      <w:r>
        <w:rPr>
          <w:color w:val="231F20"/>
          <w:spacing w:val="-2"/>
        </w:rPr>
        <w:t>major successes</w:t>
      </w:r>
      <w:r>
        <w:rPr>
          <w:color w:val="231F20"/>
          <w:spacing w:val="-7"/>
        </w:rPr>
        <w:t> </w:t>
      </w:r>
      <w:r>
        <w:rPr>
          <w:color w:val="231F20"/>
          <w:spacing w:val="-2"/>
        </w:rPr>
        <w:t>in</w:t>
      </w:r>
      <w:r>
        <w:rPr>
          <w:color w:val="231F20"/>
          <w:spacing w:val="-7"/>
        </w:rPr>
        <w:t> </w:t>
      </w:r>
      <w:r>
        <w:rPr>
          <w:color w:val="231F20"/>
          <w:spacing w:val="-2"/>
        </w:rPr>
        <w:t>2022;</w:t>
      </w:r>
      <w:r>
        <w:rPr>
          <w:color w:val="231F20"/>
          <w:spacing w:val="-7"/>
        </w:rPr>
        <w:t> </w:t>
      </w:r>
      <w:r>
        <w:rPr>
          <w:color w:val="231F20"/>
          <w:spacing w:val="-2"/>
        </w:rPr>
        <w:t>its</w:t>
      </w:r>
      <w:r>
        <w:rPr>
          <w:color w:val="231F20"/>
          <w:spacing w:val="-7"/>
        </w:rPr>
        <w:t> </w:t>
      </w:r>
      <w:r>
        <w:rPr>
          <w:color w:val="231F20"/>
          <w:spacing w:val="-2"/>
        </w:rPr>
        <w:t>activism</w:t>
      </w:r>
      <w:r>
        <w:rPr>
          <w:color w:val="231F20"/>
          <w:spacing w:val="-7"/>
        </w:rPr>
        <w:t> </w:t>
      </w:r>
      <w:r>
        <w:rPr>
          <w:color w:val="231F20"/>
          <w:spacing w:val="-2"/>
        </w:rPr>
        <w:t>was</w:t>
      </w:r>
      <w:r>
        <w:rPr>
          <w:color w:val="231F20"/>
          <w:spacing w:val="-7"/>
        </w:rPr>
        <w:t> </w:t>
      </w:r>
      <w:r>
        <w:rPr>
          <w:color w:val="231F20"/>
          <w:spacing w:val="-2"/>
        </w:rPr>
        <w:t>notable,</w:t>
      </w:r>
    </w:p>
    <w:p>
      <w:pPr>
        <w:pStyle w:val="BodyText"/>
        <w:spacing w:before="77"/>
        <w:ind w:left="413" w:right="1473"/>
      </w:pPr>
      <w:r>
        <w:rPr/>
        <w:br w:type="column"/>
      </w:r>
      <w:r>
        <w:rPr>
          <w:color w:val="231F20"/>
        </w:rPr>
        <w:t>both in the flesh and on-line, involving </w:t>
      </w:r>
      <w:r>
        <w:rPr>
          <w:color w:val="231F20"/>
          <w:spacing w:val="-4"/>
        </w:rPr>
        <w:t>some</w:t>
      </w:r>
      <w:r>
        <w:rPr>
          <w:color w:val="231F20"/>
          <w:spacing w:val="-13"/>
        </w:rPr>
        <w:t> </w:t>
      </w:r>
      <w:r>
        <w:rPr>
          <w:color w:val="231F20"/>
          <w:spacing w:val="-4"/>
        </w:rPr>
        <w:t>1,649</w:t>
      </w:r>
      <w:r>
        <w:rPr>
          <w:color w:val="231F20"/>
          <w:spacing w:val="-12"/>
        </w:rPr>
        <w:t> </w:t>
      </w:r>
      <w:r>
        <w:rPr>
          <w:color w:val="231F20"/>
          <w:spacing w:val="-4"/>
        </w:rPr>
        <w:t>friendship</w:t>
      </w:r>
      <w:r>
        <w:rPr>
          <w:color w:val="231F20"/>
          <w:spacing w:val="-13"/>
        </w:rPr>
        <w:t> </w:t>
      </w:r>
      <w:r>
        <w:rPr>
          <w:color w:val="231F20"/>
          <w:spacing w:val="-4"/>
        </w:rPr>
        <w:t>associations</w:t>
      </w:r>
      <w:r>
        <w:rPr>
          <w:color w:val="231F20"/>
          <w:spacing w:val="-12"/>
        </w:rPr>
        <w:t> </w:t>
      </w:r>
      <w:r>
        <w:rPr>
          <w:color w:val="231F20"/>
          <w:spacing w:val="-4"/>
        </w:rPr>
        <w:t>active</w:t>
      </w:r>
      <w:r>
        <w:rPr>
          <w:color w:val="231F20"/>
          <w:spacing w:val="-13"/>
        </w:rPr>
        <w:t> </w:t>
      </w:r>
      <w:r>
        <w:rPr>
          <w:color w:val="231F20"/>
          <w:spacing w:val="-4"/>
        </w:rPr>
        <w:t>in 150</w:t>
      </w:r>
      <w:r>
        <w:rPr>
          <w:color w:val="231F20"/>
          <w:spacing w:val="-9"/>
        </w:rPr>
        <w:t> </w:t>
      </w:r>
      <w:r>
        <w:rPr>
          <w:color w:val="231F20"/>
          <w:spacing w:val="-4"/>
        </w:rPr>
        <w:t>nations</w:t>
      </w:r>
      <w:r>
        <w:rPr>
          <w:color w:val="231F20"/>
          <w:spacing w:val="-9"/>
        </w:rPr>
        <w:t> </w:t>
      </w:r>
      <w:r>
        <w:rPr>
          <w:color w:val="231F20"/>
          <w:spacing w:val="-4"/>
        </w:rPr>
        <w:t>and</w:t>
      </w:r>
      <w:r>
        <w:rPr>
          <w:color w:val="231F20"/>
          <w:spacing w:val="-9"/>
        </w:rPr>
        <w:t> </w:t>
      </w:r>
      <w:r>
        <w:rPr>
          <w:color w:val="231F20"/>
          <w:spacing w:val="-4"/>
        </w:rPr>
        <w:t>73</w:t>
      </w:r>
      <w:r>
        <w:rPr>
          <w:color w:val="231F20"/>
          <w:spacing w:val="-9"/>
        </w:rPr>
        <w:t> </w:t>
      </w:r>
      <w:r>
        <w:rPr>
          <w:color w:val="231F20"/>
          <w:spacing w:val="-4"/>
        </w:rPr>
        <w:t>groupings</w:t>
      </w:r>
      <w:r>
        <w:rPr>
          <w:color w:val="231F20"/>
          <w:spacing w:val="-9"/>
        </w:rPr>
        <w:t> </w:t>
      </w:r>
      <w:r>
        <w:rPr>
          <w:color w:val="231F20"/>
          <w:spacing w:val="-4"/>
        </w:rPr>
        <w:t>of</w:t>
      </w:r>
      <w:r>
        <w:rPr>
          <w:color w:val="231F20"/>
          <w:spacing w:val="-9"/>
        </w:rPr>
        <w:t> </w:t>
      </w:r>
      <w:r>
        <w:rPr>
          <w:color w:val="231F20"/>
          <w:spacing w:val="-4"/>
        </w:rPr>
        <w:t>foreigners across</w:t>
      </w:r>
      <w:r>
        <w:rPr>
          <w:color w:val="231F20"/>
          <w:spacing w:val="-13"/>
        </w:rPr>
        <w:t> </w:t>
      </w:r>
      <w:r>
        <w:rPr>
          <w:color w:val="231F20"/>
          <w:spacing w:val="-4"/>
        </w:rPr>
        <w:t>62</w:t>
      </w:r>
      <w:r>
        <w:rPr>
          <w:color w:val="231F20"/>
          <w:spacing w:val="-12"/>
        </w:rPr>
        <w:t> </w:t>
      </w:r>
      <w:r>
        <w:rPr>
          <w:color w:val="231F20"/>
          <w:spacing w:val="-4"/>
        </w:rPr>
        <w:t>countries</w:t>
      </w:r>
      <w:r>
        <w:rPr>
          <w:color w:val="231F20"/>
          <w:spacing w:val="-13"/>
        </w:rPr>
        <w:t> </w:t>
      </w:r>
      <w:r>
        <w:rPr>
          <w:color w:val="231F20"/>
          <w:spacing w:val="-4"/>
        </w:rPr>
        <w:t>who</w:t>
      </w:r>
      <w:r>
        <w:rPr>
          <w:color w:val="231F20"/>
          <w:spacing w:val="-12"/>
        </w:rPr>
        <w:t> </w:t>
      </w:r>
      <w:r>
        <w:rPr>
          <w:color w:val="231F20"/>
          <w:spacing w:val="-4"/>
        </w:rPr>
        <w:t>received</w:t>
      </w:r>
      <w:r>
        <w:rPr>
          <w:color w:val="231F20"/>
          <w:spacing w:val="-13"/>
        </w:rPr>
        <w:t> </w:t>
      </w:r>
      <w:r>
        <w:rPr>
          <w:color w:val="231F20"/>
          <w:spacing w:val="-4"/>
        </w:rPr>
        <w:t>education </w:t>
      </w:r>
      <w:r>
        <w:rPr>
          <w:color w:val="231F20"/>
        </w:rPr>
        <w:t>in Cuba.</w:t>
      </w:r>
    </w:p>
    <w:p>
      <w:pPr>
        <w:pStyle w:val="BodyText"/>
        <w:spacing w:before="164"/>
        <w:ind w:left="413" w:right="1477"/>
      </w:pPr>
      <w:r>
        <w:rPr>
          <w:color w:val="231F20"/>
          <w:spacing w:val="-6"/>
        </w:rPr>
        <w:t>There</w:t>
      </w:r>
      <w:r>
        <w:rPr>
          <w:color w:val="231F20"/>
          <w:spacing w:val="-7"/>
        </w:rPr>
        <w:t> </w:t>
      </w:r>
      <w:r>
        <w:rPr>
          <w:color w:val="231F20"/>
          <w:spacing w:val="-6"/>
        </w:rPr>
        <w:t>were</w:t>
      </w:r>
      <w:r>
        <w:rPr>
          <w:color w:val="231F20"/>
          <w:spacing w:val="-7"/>
        </w:rPr>
        <w:t> </w:t>
      </w:r>
      <w:r>
        <w:rPr>
          <w:color w:val="231F20"/>
          <w:spacing w:val="-6"/>
        </w:rPr>
        <w:t>7,237</w:t>
      </w:r>
      <w:r>
        <w:rPr>
          <w:color w:val="231F20"/>
          <w:spacing w:val="-7"/>
        </w:rPr>
        <w:t> </w:t>
      </w:r>
      <w:r>
        <w:rPr>
          <w:color w:val="231F20"/>
          <w:spacing w:val="-6"/>
        </w:rPr>
        <w:t>initiatives</w:t>
      </w:r>
      <w:r>
        <w:rPr>
          <w:color w:val="231F20"/>
          <w:spacing w:val="-7"/>
        </w:rPr>
        <w:t> </w:t>
      </w:r>
      <w:r>
        <w:rPr>
          <w:color w:val="231F20"/>
          <w:spacing w:val="-6"/>
        </w:rPr>
        <w:t>in</w:t>
      </w:r>
      <w:r>
        <w:rPr>
          <w:color w:val="231F20"/>
          <w:spacing w:val="-7"/>
        </w:rPr>
        <w:t> </w:t>
      </w:r>
      <w:r>
        <w:rPr>
          <w:color w:val="231F20"/>
          <w:spacing w:val="-6"/>
        </w:rPr>
        <w:t>solidarity</w:t>
      </w:r>
      <w:r>
        <w:rPr>
          <w:color w:val="231F20"/>
          <w:spacing w:val="-7"/>
        </w:rPr>
        <w:t> </w:t>
      </w:r>
      <w:r>
        <w:rPr>
          <w:color w:val="231F20"/>
          <w:spacing w:val="-6"/>
        </w:rPr>
        <w:t>with </w:t>
      </w:r>
      <w:r>
        <w:rPr>
          <w:color w:val="231F20"/>
        </w:rPr>
        <w:t>Cuba and against the blockade, including statements</w:t>
      </w:r>
      <w:r>
        <w:rPr>
          <w:color w:val="231F20"/>
          <w:spacing w:val="-17"/>
        </w:rPr>
        <w:t> </w:t>
      </w:r>
      <w:r>
        <w:rPr>
          <w:color w:val="231F20"/>
        </w:rPr>
        <w:t>by</w:t>
      </w:r>
      <w:r>
        <w:rPr>
          <w:color w:val="231F20"/>
          <w:spacing w:val="-16"/>
        </w:rPr>
        <w:t> </w:t>
      </w:r>
      <w:r>
        <w:rPr>
          <w:color w:val="231F20"/>
        </w:rPr>
        <w:t>important</w:t>
      </w:r>
      <w:r>
        <w:rPr>
          <w:color w:val="231F20"/>
          <w:spacing w:val="-17"/>
        </w:rPr>
        <w:t> </w:t>
      </w:r>
      <w:r>
        <w:rPr>
          <w:color w:val="231F20"/>
        </w:rPr>
        <w:t>personalities</w:t>
      </w:r>
      <w:r>
        <w:rPr>
          <w:color w:val="231F20"/>
          <w:spacing w:val="-16"/>
        </w:rPr>
        <w:t> </w:t>
      </w:r>
      <w:r>
        <w:rPr>
          <w:color w:val="231F20"/>
        </w:rPr>
        <w:t>and Cubans resident abroad, caravans against </w:t>
      </w:r>
      <w:r>
        <w:rPr>
          <w:color w:val="231F20"/>
          <w:spacing w:val="-4"/>
        </w:rPr>
        <w:t>the</w:t>
      </w:r>
      <w:r>
        <w:rPr>
          <w:color w:val="231F20"/>
          <w:spacing w:val="-6"/>
        </w:rPr>
        <w:t> </w:t>
      </w:r>
      <w:r>
        <w:rPr>
          <w:color w:val="231F20"/>
          <w:spacing w:val="-4"/>
        </w:rPr>
        <w:t>blockade</w:t>
      </w:r>
      <w:r>
        <w:rPr>
          <w:color w:val="231F20"/>
          <w:spacing w:val="-6"/>
        </w:rPr>
        <w:t> </w:t>
      </w:r>
      <w:r>
        <w:rPr>
          <w:color w:val="231F20"/>
          <w:spacing w:val="-4"/>
        </w:rPr>
        <w:t>in</w:t>
      </w:r>
      <w:r>
        <w:rPr>
          <w:color w:val="231F20"/>
          <w:spacing w:val="-7"/>
        </w:rPr>
        <w:t> </w:t>
      </w:r>
      <w:r>
        <w:rPr>
          <w:color w:val="231F20"/>
          <w:spacing w:val="-4"/>
        </w:rPr>
        <w:t>numerous</w:t>
      </w:r>
      <w:r>
        <w:rPr>
          <w:color w:val="231F20"/>
          <w:spacing w:val="-7"/>
        </w:rPr>
        <w:t> </w:t>
      </w:r>
      <w:r>
        <w:rPr>
          <w:color w:val="231F20"/>
          <w:spacing w:val="-4"/>
        </w:rPr>
        <w:t>countries,</w:t>
      </w:r>
      <w:r>
        <w:rPr>
          <w:color w:val="231F20"/>
          <w:spacing w:val="-6"/>
        </w:rPr>
        <w:t> </w:t>
      </w:r>
      <w:r>
        <w:rPr>
          <w:color w:val="231F20"/>
          <w:spacing w:val="-4"/>
        </w:rPr>
        <w:t>public </w:t>
      </w:r>
      <w:r>
        <w:rPr>
          <w:color w:val="231F20"/>
        </w:rPr>
        <w:t>events, speeches at international events, the</w:t>
      </w:r>
      <w:r>
        <w:rPr>
          <w:color w:val="231F20"/>
          <w:spacing w:val="-14"/>
        </w:rPr>
        <w:t> </w:t>
      </w:r>
      <w:r>
        <w:rPr>
          <w:color w:val="231F20"/>
        </w:rPr>
        <w:t>sending</w:t>
      </w:r>
      <w:r>
        <w:rPr>
          <w:color w:val="231F20"/>
          <w:spacing w:val="-14"/>
        </w:rPr>
        <w:t> </w:t>
      </w:r>
      <w:r>
        <w:rPr>
          <w:color w:val="231F20"/>
        </w:rPr>
        <w:t>of</w:t>
      </w:r>
      <w:r>
        <w:rPr>
          <w:color w:val="231F20"/>
          <w:spacing w:val="-14"/>
        </w:rPr>
        <w:t> </w:t>
      </w:r>
      <w:r>
        <w:rPr>
          <w:color w:val="231F20"/>
        </w:rPr>
        <w:t>open</w:t>
      </w:r>
      <w:r>
        <w:rPr>
          <w:color w:val="231F20"/>
          <w:spacing w:val="-14"/>
        </w:rPr>
        <w:t> </w:t>
      </w:r>
      <w:r>
        <w:rPr>
          <w:color w:val="231F20"/>
        </w:rPr>
        <w:t>letters</w:t>
      </w:r>
      <w:r>
        <w:rPr>
          <w:color w:val="231F20"/>
          <w:spacing w:val="-14"/>
        </w:rPr>
        <w:t> </w:t>
      </w:r>
      <w:r>
        <w:rPr>
          <w:color w:val="231F20"/>
        </w:rPr>
        <w:t>and</w:t>
      </w:r>
      <w:r>
        <w:rPr>
          <w:color w:val="231F20"/>
          <w:spacing w:val="-14"/>
        </w:rPr>
        <w:t> </w:t>
      </w:r>
      <w:r>
        <w:rPr>
          <w:color w:val="231F20"/>
        </w:rPr>
        <w:t>passing</w:t>
      </w:r>
      <w:r>
        <w:rPr>
          <w:color w:val="231F20"/>
          <w:spacing w:val="-14"/>
        </w:rPr>
        <w:t> </w:t>
      </w:r>
      <w:r>
        <w:rPr>
          <w:color w:val="231F20"/>
        </w:rPr>
        <w:t>of </w:t>
      </w:r>
      <w:r>
        <w:rPr>
          <w:color w:val="231F20"/>
          <w:spacing w:val="-2"/>
        </w:rPr>
        <w:t>resolutions.</w:t>
      </w:r>
    </w:p>
    <w:p>
      <w:pPr>
        <w:pStyle w:val="BodyText"/>
        <w:spacing w:before="166"/>
        <w:ind w:left="413" w:right="1478"/>
      </w:pPr>
      <w:r>
        <w:rPr>
          <w:color w:val="231F20"/>
        </w:rPr>
        <w:t>In the same vein, there were over 400 </w:t>
      </w:r>
      <w:r>
        <w:rPr>
          <w:color w:val="231F20"/>
          <w:spacing w:val="-8"/>
        </w:rPr>
        <w:t>pronouncements against Helms-Burton Title </w:t>
      </w:r>
      <w:r>
        <w:rPr>
          <w:color w:val="231F20"/>
          <w:spacing w:val="-6"/>
        </w:rPr>
        <w:t>III</w:t>
      </w:r>
      <w:r>
        <w:rPr>
          <w:color w:val="231F20"/>
          <w:spacing w:val="-8"/>
        </w:rPr>
        <w:t> </w:t>
      </w:r>
      <w:r>
        <w:rPr>
          <w:color w:val="231F20"/>
          <w:spacing w:val="-6"/>
        </w:rPr>
        <w:t>and</w:t>
      </w:r>
      <w:r>
        <w:rPr>
          <w:color w:val="231F20"/>
          <w:spacing w:val="-8"/>
        </w:rPr>
        <w:t> </w:t>
      </w:r>
      <w:r>
        <w:rPr>
          <w:color w:val="231F20"/>
          <w:spacing w:val="-6"/>
        </w:rPr>
        <w:t>the</w:t>
      </w:r>
      <w:r>
        <w:rPr>
          <w:color w:val="231F20"/>
          <w:spacing w:val="-8"/>
        </w:rPr>
        <w:t> </w:t>
      </w:r>
      <w:r>
        <w:rPr>
          <w:color w:val="231F20"/>
          <w:spacing w:val="-6"/>
        </w:rPr>
        <w:t>arbitrary</w:t>
      </w:r>
      <w:r>
        <w:rPr>
          <w:color w:val="231F20"/>
          <w:spacing w:val="-8"/>
        </w:rPr>
        <w:t> </w:t>
      </w:r>
      <w:r>
        <w:rPr>
          <w:color w:val="231F20"/>
          <w:spacing w:val="-6"/>
        </w:rPr>
        <w:t>inclusion</w:t>
      </w:r>
      <w:r>
        <w:rPr>
          <w:color w:val="231F20"/>
          <w:spacing w:val="-8"/>
        </w:rPr>
        <w:t> </w:t>
      </w:r>
      <w:r>
        <w:rPr>
          <w:color w:val="231F20"/>
          <w:spacing w:val="-6"/>
        </w:rPr>
        <w:t>of</w:t>
      </w:r>
      <w:r>
        <w:rPr>
          <w:color w:val="231F20"/>
          <w:spacing w:val="-8"/>
        </w:rPr>
        <w:t> </w:t>
      </w:r>
      <w:r>
        <w:rPr>
          <w:color w:val="231F20"/>
          <w:spacing w:val="-6"/>
        </w:rPr>
        <w:t>Cuba</w:t>
      </w:r>
      <w:r>
        <w:rPr>
          <w:color w:val="231F20"/>
          <w:spacing w:val="-8"/>
        </w:rPr>
        <w:t> </w:t>
      </w:r>
      <w:r>
        <w:rPr>
          <w:color w:val="231F20"/>
          <w:spacing w:val="-6"/>
        </w:rPr>
        <w:t>on</w:t>
      </w:r>
      <w:r>
        <w:rPr>
          <w:color w:val="231F20"/>
          <w:spacing w:val="-8"/>
        </w:rPr>
        <w:t> </w:t>
      </w:r>
      <w:r>
        <w:rPr>
          <w:color w:val="231F20"/>
          <w:spacing w:val="-6"/>
        </w:rPr>
        <w:t>the </w:t>
      </w:r>
      <w:r>
        <w:rPr>
          <w:color w:val="231F20"/>
          <w:spacing w:val="-4"/>
        </w:rPr>
        <w:t>unilateral</w:t>
      </w:r>
      <w:r>
        <w:rPr>
          <w:color w:val="231F20"/>
          <w:spacing w:val="-8"/>
        </w:rPr>
        <w:t> </w:t>
      </w:r>
      <w:r>
        <w:rPr>
          <w:color w:val="231F20"/>
          <w:spacing w:val="-4"/>
        </w:rPr>
        <w:t>list</w:t>
      </w:r>
      <w:r>
        <w:rPr>
          <w:color w:val="231F20"/>
          <w:spacing w:val="-8"/>
        </w:rPr>
        <w:t> </w:t>
      </w:r>
      <w:r>
        <w:rPr>
          <w:color w:val="231F20"/>
          <w:spacing w:val="-4"/>
        </w:rPr>
        <w:t>of</w:t>
      </w:r>
      <w:r>
        <w:rPr>
          <w:color w:val="231F20"/>
          <w:spacing w:val="-8"/>
        </w:rPr>
        <w:t> </w:t>
      </w:r>
      <w:r>
        <w:rPr>
          <w:color w:val="231F20"/>
          <w:spacing w:val="-4"/>
        </w:rPr>
        <w:t>state</w:t>
      </w:r>
      <w:r>
        <w:rPr>
          <w:color w:val="231F20"/>
          <w:spacing w:val="-8"/>
        </w:rPr>
        <w:t> </w:t>
      </w:r>
      <w:r>
        <w:rPr>
          <w:color w:val="231F20"/>
          <w:spacing w:val="-4"/>
        </w:rPr>
        <w:t>sponsors</w:t>
      </w:r>
      <w:r>
        <w:rPr>
          <w:color w:val="231F20"/>
          <w:spacing w:val="-8"/>
        </w:rPr>
        <w:t> </w:t>
      </w:r>
      <w:r>
        <w:rPr>
          <w:color w:val="231F20"/>
          <w:spacing w:val="-4"/>
        </w:rPr>
        <w:t>of</w:t>
      </w:r>
      <w:r>
        <w:rPr>
          <w:color w:val="231F20"/>
          <w:spacing w:val="-8"/>
        </w:rPr>
        <w:t> </w:t>
      </w:r>
      <w:r>
        <w:rPr>
          <w:color w:val="231F20"/>
          <w:spacing w:val="-4"/>
        </w:rPr>
        <w:t>terrorism.</w:t>
      </w:r>
    </w:p>
    <w:p>
      <w:pPr>
        <w:pStyle w:val="BodyText"/>
        <w:spacing w:before="163"/>
        <w:ind w:left="413" w:right="1478"/>
      </w:pPr>
      <w:r>
        <w:rPr>
          <w:color w:val="231F20"/>
        </w:rPr>
        <w:t>Of particular note were the events</w:t>
      </w:r>
      <w:r>
        <w:rPr>
          <w:color w:val="231F20"/>
          <w:spacing w:val="-1"/>
        </w:rPr>
        <w:t> </w:t>
      </w:r>
      <w:r>
        <w:rPr>
          <w:color w:val="231F20"/>
        </w:rPr>
        <w:t>staged by the “Puentes de Amor” platform, the Latin</w:t>
      </w:r>
      <w:r>
        <w:rPr>
          <w:color w:val="231F20"/>
          <w:spacing w:val="-17"/>
        </w:rPr>
        <w:t> </w:t>
      </w:r>
      <w:r>
        <w:rPr>
          <w:color w:val="231F20"/>
        </w:rPr>
        <w:t>American</w:t>
      </w:r>
      <w:r>
        <w:rPr>
          <w:color w:val="231F20"/>
          <w:spacing w:val="-16"/>
        </w:rPr>
        <w:t> </w:t>
      </w:r>
      <w:r>
        <w:rPr>
          <w:color w:val="231F20"/>
        </w:rPr>
        <w:t>and</w:t>
      </w:r>
      <w:r>
        <w:rPr>
          <w:color w:val="231F20"/>
          <w:spacing w:val="-17"/>
        </w:rPr>
        <w:t> </w:t>
      </w:r>
      <w:r>
        <w:rPr>
          <w:color w:val="231F20"/>
        </w:rPr>
        <w:t>Caribbean</w:t>
      </w:r>
      <w:r>
        <w:rPr>
          <w:color w:val="231F20"/>
          <w:spacing w:val="-16"/>
        </w:rPr>
        <w:t> </w:t>
      </w:r>
      <w:r>
        <w:rPr>
          <w:color w:val="231F20"/>
        </w:rPr>
        <w:t>Continental Network of Solidarity with Cuba, Unblock </w:t>
      </w:r>
      <w:r>
        <w:rPr>
          <w:color w:val="231F20"/>
          <w:spacing w:val="-6"/>
        </w:rPr>
        <w:t>Cuba,</w:t>
      </w:r>
      <w:r>
        <w:rPr>
          <w:color w:val="231F20"/>
          <w:spacing w:val="-11"/>
        </w:rPr>
        <w:t> </w:t>
      </w:r>
      <w:r>
        <w:rPr>
          <w:color w:val="231F20"/>
          <w:spacing w:val="-6"/>
        </w:rPr>
        <w:t>the</w:t>
      </w:r>
      <w:r>
        <w:rPr>
          <w:color w:val="231F20"/>
          <w:spacing w:val="-10"/>
        </w:rPr>
        <w:t> </w:t>
      </w:r>
      <w:r>
        <w:rPr>
          <w:color w:val="231F20"/>
          <w:spacing w:val="-6"/>
        </w:rPr>
        <w:t>“From</w:t>
      </w:r>
      <w:r>
        <w:rPr>
          <w:color w:val="231F20"/>
          <w:spacing w:val="-11"/>
        </w:rPr>
        <w:t> </w:t>
      </w:r>
      <w:r>
        <w:rPr>
          <w:color w:val="231F20"/>
          <w:spacing w:val="-6"/>
        </w:rPr>
        <w:t>Australia</w:t>
      </w:r>
      <w:r>
        <w:rPr>
          <w:color w:val="231F20"/>
          <w:spacing w:val="-10"/>
        </w:rPr>
        <w:t> </w:t>
      </w:r>
      <w:r>
        <w:rPr>
          <w:color w:val="231F20"/>
          <w:spacing w:val="-6"/>
        </w:rPr>
        <w:t>to</w:t>
      </w:r>
      <w:r>
        <w:rPr>
          <w:color w:val="231F20"/>
          <w:spacing w:val="-11"/>
        </w:rPr>
        <w:t> </w:t>
      </w:r>
      <w:r>
        <w:rPr>
          <w:color w:val="231F20"/>
          <w:spacing w:val="-6"/>
        </w:rPr>
        <w:t>Cuba</w:t>
      </w:r>
      <w:r>
        <w:rPr>
          <w:color w:val="231F20"/>
          <w:spacing w:val="-10"/>
        </w:rPr>
        <w:t> </w:t>
      </w:r>
      <w:r>
        <w:rPr>
          <w:color w:val="231F20"/>
          <w:spacing w:val="-6"/>
        </w:rPr>
        <w:t>with</w:t>
      </w:r>
      <w:r>
        <w:rPr>
          <w:color w:val="231F20"/>
          <w:spacing w:val="-11"/>
        </w:rPr>
        <w:t> </w:t>
      </w:r>
      <w:r>
        <w:rPr>
          <w:color w:val="231F20"/>
          <w:spacing w:val="-6"/>
        </w:rPr>
        <w:t>love” </w:t>
      </w:r>
      <w:r>
        <w:rPr>
          <w:color w:val="231F20"/>
          <w:spacing w:val="-4"/>
        </w:rPr>
        <w:t>campaign</w:t>
      </w:r>
      <w:r>
        <w:rPr>
          <w:color w:val="231F20"/>
          <w:spacing w:val="-13"/>
        </w:rPr>
        <w:t> </w:t>
      </w:r>
      <w:r>
        <w:rPr>
          <w:color w:val="231F20"/>
          <w:spacing w:val="-4"/>
        </w:rPr>
        <w:t>and</w:t>
      </w:r>
      <w:r>
        <w:rPr>
          <w:color w:val="231F20"/>
          <w:spacing w:val="-12"/>
        </w:rPr>
        <w:t> </w:t>
      </w:r>
      <w:r>
        <w:rPr>
          <w:color w:val="231F20"/>
          <w:spacing w:val="-4"/>
        </w:rPr>
        <w:t>the</w:t>
      </w:r>
      <w:r>
        <w:rPr>
          <w:color w:val="231F20"/>
          <w:spacing w:val="-13"/>
        </w:rPr>
        <w:t> </w:t>
      </w:r>
      <w:r>
        <w:rPr>
          <w:color w:val="231F20"/>
          <w:spacing w:val="-4"/>
        </w:rPr>
        <w:t>“Europe</w:t>
      </w:r>
      <w:r>
        <w:rPr>
          <w:color w:val="231F20"/>
          <w:spacing w:val="-12"/>
        </w:rPr>
        <w:t> </w:t>
      </w:r>
      <w:r>
        <w:rPr>
          <w:color w:val="231F20"/>
          <w:spacing w:val="-4"/>
        </w:rPr>
        <w:t>for</w:t>
      </w:r>
      <w:r>
        <w:rPr>
          <w:color w:val="231F20"/>
          <w:spacing w:val="-13"/>
        </w:rPr>
        <w:t> </w:t>
      </w:r>
      <w:r>
        <w:rPr>
          <w:color w:val="231F20"/>
          <w:spacing w:val="-4"/>
        </w:rPr>
        <w:t>Cuba”</w:t>
      </w:r>
      <w:r>
        <w:rPr>
          <w:color w:val="231F20"/>
          <w:spacing w:val="-12"/>
        </w:rPr>
        <w:t> </w:t>
      </w:r>
      <w:r>
        <w:rPr>
          <w:color w:val="231F20"/>
          <w:spacing w:val="-4"/>
        </w:rPr>
        <w:t>media </w:t>
      </w:r>
      <w:r>
        <w:rPr>
          <w:color w:val="231F20"/>
        </w:rPr>
        <w:t>marathon</w:t>
      </w:r>
      <w:r>
        <w:rPr>
          <w:color w:val="231F20"/>
          <w:spacing w:val="-17"/>
        </w:rPr>
        <w:t> </w:t>
      </w:r>
      <w:r>
        <w:rPr>
          <w:color w:val="231F20"/>
        </w:rPr>
        <w:t>against</w:t>
      </w:r>
      <w:r>
        <w:rPr>
          <w:color w:val="231F20"/>
          <w:spacing w:val="-16"/>
        </w:rPr>
        <w:t> </w:t>
      </w:r>
      <w:r>
        <w:rPr>
          <w:color w:val="231F20"/>
        </w:rPr>
        <w:t>the</w:t>
      </w:r>
      <w:r>
        <w:rPr>
          <w:color w:val="231F20"/>
          <w:spacing w:val="-17"/>
        </w:rPr>
        <w:t> </w:t>
      </w:r>
      <w:r>
        <w:rPr>
          <w:color w:val="231F20"/>
        </w:rPr>
        <w:t>blockade.</w:t>
      </w:r>
    </w:p>
    <w:p>
      <w:pPr>
        <w:pStyle w:val="BodyText"/>
        <w:spacing w:before="166"/>
        <w:ind w:left="413" w:right="1478"/>
      </w:pPr>
      <w:r>
        <w:rPr>
          <w:color w:val="231F20"/>
        </w:rPr>
        <w:t>The following were among the main international initiatives condemning the </w:t>
      </w:r>
      <w:r>
        <w:rPr>
          <w:color w:val="231F20"/>
          <w:spacing w:val="-2"/>
        </w:rPr>
        <w:t>blockade,</w:t>
      </w:r>
      <w:r>
        <w:rPr>
          <w:color w:val="231F20"/>
          <w:spacing w:val="-11"/>
        </w:rPr>
        <w:t> </w:t>
      </w:r>
      <w:r>
        <w:rPr>
          <w:color w:val="231F20"/>
          <w:spacing w:val="-2"/>
        </w:rPr>
        <w:t>in</w:t>
      </w:r>
      <w:r>
        <w:rPr>
          <w:color w:val="231F20"/>
          <w:spacing w:val="-11"/>
        </w:rPr>
        <w:t> </w:t>
      </w:r>
      <w:r>
        <w:rPr>
          <w:color w:val="231F20"/>
          <w:spacing w:val="-2"/>
        </w:rPr>
        <w:t>the</w:t>
      </w:r>
      <w:r>
        <w:rPr>
          <w:color w:val="231F20"/>
          <w:spacing w:val="-11"/>
        </w:rPr>
        <w:t> </w:t>
      </w:r>
      <w:r>
        <w:rPr>
          <w:color w:val="231F20"/>
          <w:spacing w:val="-2"/>
        </w:rPr>
        <w:t>period</w:t>
      </w:r>
      <w:r>
        <w:rPr>
          <w:color w:val="231F20"/>
          <w:spacing w:val="-11"/>
        </w:rPr>
        <w:t> </w:t>
      </w:r>
      <w:r>
        <w:rPr>
          <w:color w:val="231F20"/>
          <w:spacing w:val="-2"/>
        </w:rPr>
        <w:t>between</w:t>
      </w:r>
      <w:r>
        <w:rPr>
          <w:color w:val="231F20"/>
          <w:spacing w:val="-11"/>
        </w:rPr>
        <w:t> </w:t>
      </w:r>
      <w:r>
        <w:rPr>
          <w:color w:val="231F20"/>
          <w:spacing w:val="-2"/>
        </w:rPr>
        <w:t>May</w:t>
      </w:r>
      <w:r>
        <w:rPr>
          <w:color w:val="231F20"/>
          <w:spacing w:val="-11"/>
        </w:rPr>
        <w:t> </w:t>
      </w:r>
      <w:r>
        <w:rPr>
          <w:color w:val="231F20"/>
          <w:spacing w:val="-2"/>
        </w:rPr>
        <w:t>2022 </w:t>
      </w:r>
      <w:r>
        <w:rPr>
          <w:color w:val="231F20"/>
        </w:rPr>
        <w:t>and May 2023:</w:t>
      </w:r>
    </w:p>
    <w:p>
      <w:pPr>
        <w:pStyle w:val="BodyText"/>
        <w:spacing w:before="163"/>
        <w:ind w:left="674" w:right="1477" w:hanging="261"/>
      </w:pPr>
      <w:r>
        <w:rPr>
          <w:position w:val="4"/>
        </w:rPr>
        <w:drawing>
          <wp:inline distT="0" distB="0" distL="0" distR="0">
            <wp:extent cx="59207" cy="59207"/>
            <wp:effectExtent l="0" t="0" r="0" b="0"/>
            <wp:docPr id="305" name="Image 305"/>
            <wp:cNvGraphicFramePr>
              <a:graphicFrameLocks/>
            </wp:cNvGraphicFramePr>
            <a:graphic>
              <a:graphicData uri="http://schemas.openxmlformats.org/drawingml/2006/picture">
                <pic:pic>
                  <pic:nvPicPr>
                    <pic:cNvPr id="305" name="Image 305"/>
                    <pic:cNvPicPr/>
                  </pic:nvPicPr>
                  <pic:blipFill>
                    <a:blip r:embed="rId7"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15"/>
          <w:sz w:val="20"/>
        </w:rPr>
        <w:t> </w:t>
      </w:r>
      <w:r>
        <w:rPr>
          <w:b/>
          <w:color w:val="1A4796"/>
          <w:spacing w:val="-6"/>
        </w:rPr>
        <w:t>6</w:t>
      </w:r>
      <w:r>
        <w:rPr>
          <w:b/>
          <w:color w:val="1A4796"/>
          <w:spacing w:val="-11"/>
        </w:rPr>
        <w:t> </w:t>
      </w:r>
      <w:r>
        <w:rPr>
          <w:b/>
          <w:color w:val="1A4796"/>
          <w:spacing w:val="-6"/>
        </w:rPr>
        <w:t>-</w:t>
      </w:r>
      <w:r>
        <w:rPr>
          <w:b/>
          <w:color w:val="1A4796"/>
          <w:spacing w:val="-10"/>
        </w:rPr>
        <w:t> </w:t>
      </w:r>
      <w:r>
        <w:rPr>
          <w:b/>
          <w:color w:val="1A4796"/>
          <w:spacing w:val="-6"/>
        </w:rPr>
        <w:t>8</w:t>
      </w:r>
      <w:r>
        <w:rPr>
          <w:b/>
          <w:color w:val="1A4796"/>
          <w:spacing w:val="-11"/>
        </w:rPr>
        <w:t> </w:t>
      </w:r>
      <w:r>
        <w:rPr>
          <w:b/>
          <w:color w:val="1A4796"/>
          <w:spacing w:val="-6"/>
        </w:rPr>
        <w:t>May,</w:t>
      </w:r>
      <w:r>
        <w:rPr>
          <w:b/>
          <w:color w:val="1A4796"/>
          <w:spacing w:val="-10"/>
        </w:rPr>
        <w:t> </w:t>
      </w:r>
      <w:r>
        <w:rPr>
          <w:b/>
          <w:color w:val="1A4796"/>
          <w:spacing w:val="-6"/>
        </w:rPr>
        <w:t>2022,</w:t>
      </w:r>
      <w:r>
        <w:rPr>
          <w:b/>
          <w:color w:val="1A4796"/>
          <w:spacing w:val="-11"/>
        </w:rPr>
        <w:t> </w:t>
      </w:r>
      <w:r>
        <w:rPr>
          <w:color w:val="231F20"/>
          <w:spacing w:val="-6"/>
        </w:rPr>
        <w:t>saw</w:t>
      </w:r>
      <w:r>
        <w:rPr>
          <w:color w:val="231F20"/>
          <w:spacing w:val="-10"/>
        </w:rPr>
        <w:t> </w:t>
      </w:r>
      <w:r>
        <w:rPr>
          <w:color w:val="231F20"/>
          <w:spacing w:val="-6"/>
        </w:rPr>
        <w:t>the</w:t>
      </w:r>
      <w:r>
        <w:rPr>
          <w:color w:val="231F20"/>
          <w:spacing w:val="-11"/>
        </w:rPr>
        <w:t> </w:t>
      </w:r>
      <w:r>
        <w:rPr>
          <w:color w:val="231F20"/>
          <w:spacing w:val="-6"/>
        </w:rPr>
        <w:t>holding</w:t>
      </w:r>
      <w:r>
        <w:rPr>
          <w:color w:val="231F20"/>
          <w:spacing w:val="-10"/>
        </w:rPr>
        <w:t> </w:t>
      </w:r>
      <w:r>
        <w:rPr>
          <w:color w:val="231F20"/>
          <w:spacing w:val="-6"/>
        </w:rPr>
        <w:t>in</w:t>
      </w:r>
      <w:r>
        <w:rPr>
          <w:color w:val="231F20"/>
          <w:spacing w:val="-10"/>
        </w:rPr>
        <w:t> </w:t>
      </w:r>
      <w:r>
        <w:rPr>
          <w:color w:val="231F20"/>
          <w:spacing w:val="-6"/>
        </w:rPr>
        <w:t>Rome, </w:t>
      </w:r>
      <w:r>
        <w:rPr>
          <w:color w:val="231F20"/>
        </w:rPr>
        <w:t>Italy,</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18th</w:t>
      </w:r>
      <w:r>
        <w:rPr>
          <w:color w:val="231F20"/>
          <w:spacing w:val="-2"/>
        </w:rPr>
        <w:t> </w:t>
      </w:r>
      <w:r>
        <w:rPr>
          <w:color w:val="231F20"/>
        </w:rPr>
        <w:t>congress</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World Federation of Trade Unions (WFTU), which</w:t>
      </w:r>
      <w:r>
        <w:rPr>
          <w:color w:val="231F20"/>
          <w:spacing w:val="-7"/>
        </w:rPr>
        <w:t> </w:t>
      </w:r>
      <w:r>
        <w:rPr>
          <w:color w:val="231F20"/>
        </w:rPr>
        <w:t>passed</w:t>
      </w:r>
      <w:r>
        <w:rPr>
          <w:color w:val="231F20"/>
          <w:spacing w:val="-7"/>
        </w:rPr>
        <w:t> </w:t>
      </w:r>
      <w:r>
        <w:rPr>
          <w:color w:val="231F20"/>
        </w:rPr>
        <w:t>a</w:t>
      </w:r>
      <w:r>
        <w:rPr>
          <w:color w:val="231F20"/>
          <w:spacing w:val="-7"/>
        </w:rPr>
        <w:t> </w:t>
      </w:r>
      <w:r>
        <w:rPr>
          <w:color w:val="231F20"/>
        </w:rPr>
        <w:t>resolution</w:t>
      </w:r>
      <w:r>
        <w:rPr>
          <w:color w:val="231F20"/>
          <w:spacing w:val="-7"/>
        </w:rPr>
        <w:t> </w:t>
      </w:r>
      <w:r>
        <w:rPr>
          <w:color w:val="231F20"/>
        </w:rPr>
        <w:t>in</w:t>
      </w:r>
      <w:r>
        <w:rPr>
          <w:color w:val="231F20"/>
          <w:spacing w:val="-7"/>
        </w:rPr>
        <w:t> </w:t>
      </w:r>
      <w:r>
        <w:rPr>
          <w:color w:val="231F20"/>
        </w:rPr>
        <w:t>support</w:t>
      </w:r>
      <w:r>
        <w:rPr>
          <w:color w:val="231F20"/>
          <w:spacing w:val="-7"/>
        </w:rPr>
        <w:t> </w:t>
      </w:r>
      <w:r>
        <w:rPr>
          <w:color w:val="231F20"/>
        </w:rPr>
        <w:t>of </w:t>
      </w:r>
      <w:r>
        <w:rPr>
          <w:color w:val="231F20"/>
          <w:spacing w:val="-4"/>
        </w:rPr>
        <w:t>Cuba,</w:t>
      </w:r>
      <w:r>
        <w:rPr>
          <w:color w:val="231F20"/>
          <w:spacing w:val="-11"/>
        </w:rPr>
        <w:t> </w:t>
      </w:r>
      <w:r>
        <w:rPr>
          <w:color w:val="231F20"/>
          <w:spacing w:val="-4"/>
        </w:rPr>
        <w:t>condemning</w:t>
      </w:r>
      <w:r>
        <w:rPr>
          <w:color w:val="231F20"/>
          <w:spacing w:val="-11"/>
        </w:rPr>
        <w:t> </w:t>
      </w:r>
      <w:r>
        <w:rPr>
          <w:color w:val="231F20"/>
          <w:spacing w:val="-4"/>
        </w:rPr>
        <w:t>the</w:t>
      </w:r>
      <w:r>
        <w:rPr>
          <w:color w:val="231F20"/>
          <w:spacing w:val="-11"/>
        </w:rPr>
        <w:t> </w:t>
      </w:r>
      <w:r>
        <w:rPr>
          <w:color w:val="231F20"/>
          <w:spacing w:val="-4"/>
        </w:rPr>
        <w:t>blockade</w:t>
      </w:r>
      <w:r>
        <w:rPr>
          <w:color w:val="231F20"/>
          <w:spacing w:val="-11"/>
        </w:rPr>
        <w:t> </w:t>
      </w:r>
      <w:r>
        <w:rPr>
          <w:color w:val="231F20"/>
          <w:spacing w:val="-4"/>
        </w:rPr>
        <w:t>and</w:t>
      </w:r>
      <w:r>
        <w:rPr>
          <w:color w:val="231F20"/>
          <w:spacing w:val="-11"/>
        </w:rPr>
        <w:t> </w:t>
      </w:r>
      <w:r>
        <w:rPr>
          <w:color w:val="231F20"/>
          <w:spacing w:val="-4"/>
        </w:rPr>
        <w:t>the </w:t>
      </w:r>
      <w:r>
        <w:rPr>
          <w:color w:val="231F20"/>
        </w:rPr>
        <w:t>country’s inclusion on the list of state sponsors of terrorism.</w:t>
      </w:r>
    </w:p>
    <w:p>
      <w:pPr>
        <w:pStyle w:val="BodyText"/>
        <w:spacing w:before="165"/>
        <w:ind w:left="674" w:right="1471" w:hanging="261"/>
      </w:pPr>
      <w:r>
        <w:rPr>
          <w:position w:val="4"/>
        </w:rPr>
        <w:drawing>
          <wp:inline distT="0" distB="0" distL="0" distR="0">
            <wp:extent cx="59207" cy="59207"/>
            <wp:effectExtent l="0" t="0" r="0" b="0"/>
            <wp:docPr id="306" name="Image 306"/>
            <wp:cNvGraphicFramePr>
              <a:graphicFrameLocks/>
            </wp:cNvGraphicFramePr>
            <a:graphic>
              <a:graphicData uri="http://schemas.openxmlformats.org/drawingml/2006/picture">
                <pic:pic>
                  <pic:nvPicPr>
                    <pic:cNvPr id="306" name="Image 306"/>
                    <pic:cNvPicPr/>
                  </pic:nvPicPr>
                  <pic:blipFill>
                    <a:blip r:embed="rId7"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40"/>
          <w:sz w:val="20"/>
        </w:rPr>
        <w:t> </w:t>
      </w:r>
      <w:r>
        <w:rPr>
          <w:b/>
          <w:color w:val="1A4796"/>
        </w:rPr>
        <w:t>On May 18, 2022, </w:t>
      </w:r>
      <w:r>
        <w:rPr>
          <w:color w:val="231F20"/>
        </w:rPr>
        <w:t>the communiqué from CARICOM’s Council for Foreign and Community Relations (COFCOR) again included condemnation of </w:t>
      </w:r>
      <w:r>
        <w:rPr>
          <w:color w:val="231F20"/>
        </w:rPr>
        <w:t>the blockade on Cuba and called for its immediate lifting.</w:t>
      </w:r>
    </w:p>
    <w:p>
      <w:pPr>
        <w:spacing w:after="0"/>
        <w:sectPr>
          <w:pgSz w:w="11910" w:h="16840"/>
          <w:pgMar w:header="0" w:footer="695" w:top="1260" w:bottom="880" w:left="0" w:right="0"/>
          <w:cols w:num="2" w:equalWidth="0">
            <w:col w:w="5557" w:space="40"/>
            <w:col w:w="6313"/>
          </w:cols>
        </w:sectPr>
      </w:pPr>
    </w:p>
    <w:p>
      <w:pPr>
        <w:pStyle w:val="BodyText"/>
        <w:spacing w:before="77"/>
        <w:ind w:left="1734"/>
      </w:pPr>
      <w:r>
        <w:rPr/>
        <mc:AlternateContent>
          <mc:Choice Requires="wps">
            <w:drawing>
              <wp:anchor distT="0" distB="0" distL="0" distR="0" allowOverlap="1" layoutInCell="1" locked="0" behindDoc="0" simplePos="0" relativeHeight="15800832">
                <wp:simplePos x="0" y="0"/>
                <wp:positionH relativeFrom="page">
                  <wp:posOffset>935997</wp:posOffset>
                </wp:positionH>
                <wp:positionV relativeFrom="paragraph">
                  <wp:posOffset>131798</wp:posOffset>
                </wp:positionV>
                <wp:extent cx="59690" cy="59690"/>
                <wp:effectExtent l="0" t="0" r="0" b="0"/>
                <wp:wrapNone/>
                <wp:docPr id="307" name="Graphic 307"/>
                <wp:cNvGraphicFramePr>
                  <a:graphicFrameLocks/>
                </wp:cNvGraphicFramePr>
                <a:graphic>
                  <a:graphicData uri="http://schemas.microsoft.com/office/word/2010/wordprocessingShape">
                    <wps:wsp>
                      <wps:cNvPr id="307" name="Graphic 30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0.3778pt;width:4.7pt;height:4.7pt;mso-position-horizontal-relative:page;mso-position-vertical-relative:paragraph;z-index:15800832" id="docshape243" coordorigin="1474,208" coordsize="94,94" path="m1521,208l1502,211,1488,221,1478,236,1474,254,1478,272,1488,287,1502,297,1521,301,1539,297,1554,287,1564,272,1567,254,1564,236,1554,221,1539,211,1521,208xe" filled="true" fillcolor="#1a4796" stroked="false">
                <v:path arrowok="t"/>
                <v:fill type="solid"/>
                <w10:wrap type="none"/>
              </v:shape>
            </w:pict>
          </mc:Fallback>
        </mc:AlternateContent>
      </w:r>
      <w:r>
        <w:rPr>
          <w:b/>
          <w:color w:val="1A4796"/>
        </w:rPr>
        <w:t>On May 27, 2022, </w:t>
      </w:r>
      <w:r>
        <w:rPr>
          <w:color w:val="231F20"/>
        </w:rPr>
        <w:t>the 21st summit of heads of state and government of </w:t>
      </w:r>
      <w:r>
        <w:rPr>
          <w:color w:val="231F20"/>
        </w:rPr>
        <w:t>the </w:t>
      </w:r>
      <w:r>
        <w:rPr>
          <w:color w:val="231F20"/>
          <w:spacing w:val="-4"/>
        </w:rPr>
        <w:t>Bolivarian</w:t>
      </w:r>
      <w:r>
        <w:rPr>
          <w:color w:val="231F20"/>
          <w:spacing w:val="-12"/>
        </w:rPr>
        <w:t> </w:t>
      </w:r>
      <w:r>
        <w:rPr>
          <w:color w:val="231F20"/>
          <w:spacing w:val="-4"/>
        </w:rPr>
        <w:t>Alliance</w:t>
      </w:r>
      <w:r>
        <w:rPr>
          <w:color w:val="231F20"/>
          <w:spacing w:val="-12"/>
        </w:rPr>
        <w:t> </w:t>
      </w:r>
      <w:r>
        <w:rPr>
          <w:color w:val="231F20"/>
          <w:spacing w:val="-4"/>
        </w:rPr>
        <w:t>for</w:t>
      </w:r>
      <w:r>
        <w:rPr>
          <w:color w:val="231F20"/>
          <w:spacing w:val="-12"/>
        </w:rPr>
        <w:t> </w:t>
      </w:r>
      <w:r>
        <w:rPr>
          <w:color w:val="231F20"/>
          <w:spacing w:val="-4"/>
        </w:rPr>
        <w:t>the</w:t>
      </w:r>
      <w:r>
        <w:rPr>
          <w:color w:val="231F20"/>
          <w:spacing w:val="-12"/>
        </w:rPr>
        <w:t> </w:t>
      </w:r>
      <w:r>
        <w:rPr>
          <w:color w:val="231F20"/>
          <w:spacing w:val="-4"/>
        </w:rPr>
        <w:t>Peoples</w:t>
      </w:r>
      <w:r>
        <w:rPr>
          <w:color w:val="231F20"/>
          <w:spacing w:val="-12"/>
        </w:rPr>
        <w:t> </w:t>
      </w:r>
      <w:r>
        <w:rPr>
          <w:color w:val="231F20"/>
          <w:spacing w:val="-4"/>
        </w:rPr>
        <w:t>of</w:t>
      </w:r>
      <w:r>
        <w:rPr>
          <w:color w:val="231F20"/>
          <w:spacing w:val="-12"/>
        </w:rPr>
        <w:t> </w:t>
      </w:r>
      <w:r>
        <w:rPr>
          <w:color w:val="231F20"/>
          <w:spacing w:val="-4"/>
        </w:rPr>
        <w:t>Our </w:t>
      </w:r>
      <w:r>
        <w:rPr>
          <w:color w:val="231F20"/>
        </w:rPr>
        <w:t>America</w:t>
      </w:r>
      <w:r>
        <w:rPr>
          <w:color w:val="231F20"/>
          <w:spacing w:val="-6"/>
        </w:rPr>
        <w:t> </w:t>
      </w:r>
      <w:r>
        <w:rPr>
          <w:color w:val="231F20"/>
        </w:rPr>
        <w:t>-</w:t>
      </w:r>
      <w:r>
        <w:rPr>
          <w:color w:val="231F20"/>
          <w:spacing w:val="-6"/>
        </w:rPr>
        <w:t> </w:t>
      </w:r>
      <w:r>
        <w:rPr>
          <w:color w:val="231F20"/>
        </w:rPr>
        <w:t>Peoples’</w:t>
      </w:r>
      <w:r>
        <w:rPr>
          <w:color w:val="231F20"/>
          <w:spacing w:val="-6"/>
        </w:rPr>
        <w:t> </w:t>
      </w:r>
      <w:r>
        <w:rPr>
          <w:color w:val="231F20"/>
        </w:rPr>
        <w:t>Trade</w:t>
      </w:r>
      <w:r>
        <w:rPr>
          <w:color w:val="231F20"/>
          <w:spacing w:val="-6"/>
        </w:rPr>
        <w:t> </w:t>
      </w:r>
      <w:r>
        <w:rPr>
          <w:color w:val="231F20"/>
        </w:rPr>
        <w:t>Treaty</w:t>
      </w:r>
      <w:r>
        <w:rPr>
          <w:color w:val="231F20"/>
          <w:spacing w:val="-6"/>
        </w:rPr>
        <w:t> </w:t>
      </w:r>
      <w:r>
        <w:rPr>
          <w:color w:val="231F20"/>
        </w:rPr>
        <w:t>(ALBA- TCP) in Havana, issued a declaration rejecting the imposition of unilateral coercive measures against Venezuela and Nicaragua and the economic, commercial and financial blockade against Cuba, all of which run counter to the aims and principles enshrined in the</w:t>
      </w:r>
      <w:r>
        <w:rPr>
          <w:color w:val="231F20"/>
          <w:spacing w:val="-10"/>
        </w:rPr>
        <w:t> </w:t>
      </w:r>
      <w:r>
        <w:rPr>
          <w:color w:val="231F20"/>
        </w:rPr>
        <w:t>UN</w:t>
      </w:r>
      <w:r>
        <w:rPr>
          <w:color w:val="231F20"/>
          <w:spacing w:val="-9"/>
        </w:rPr>
        <w:t> </w:t>
      </w:r>
      <w:r>
        <w:rPr>
          <w:color w:val="231F20"/>
        </w:rPr>
        <w:t>Charter</w:t>
      </w:r>
      <w:r>
        <w:rPr>
          <w:color w:val="231F20"/>
          <w:spacing w:val="-9"/>
        </w:rPr>
        <w:t> </w:t>
      </w:r>
      <w:r>
        <w:rPr>
          <w:color w:val="231F20"/>
        </w:rPr>
        <w:t>and</w:t>
      </w:r>
      <w:r>
        <w:rPr>
          <w:color w:val="231F20"/>
          <w:spacing w:val="-9"/>
        </w:rPr>
        <w:t> </w:t>
      </w:r>
      <w:r>
        <w:rPr>
          <w:color w:val="231F20"/>
        </w:rPr>
        <w:t>in</w:t>
      </w:r>
      <w:r>
        <w:rPr>
          <w:color w:val="231F20"/>
          <w:spacing w:val="-9"/>
        </w:rPr>
        <w:t> </w:t>
      </w:r>
      <w:r>
        <w:rPr>
          <w:color w:val="231F20"/>
        </w:rPr>
        <w:t>international</w:t>
      </w:r>
      <w:r>
        <w:rPr>
          <w:color w:val="231F20"/>
          <w:spacing w:val="-9"/>
        </w:rPr>
        <w:t> </w:t>
      </w:r>
      <w:r>
        <w:rPr>
          <w:color w:val="231F20"/>
          <w:spacing w:val="-4"/>
        </w:rPr>
        <w:t>law.</w:t>
      </w:r>
    </w:p>
    <w:p>
      <w:pPr>
        <w:pStyle w:val="BodyText"/>
        <w:spacing w:before="169"/>
        <w:ind w:left="1734"/>
      </w:pPr>
      <w:r>
        <w:rPr/>
        <mc:AlternateContent>
          <mc:Choice Requires="wps">
            <w:drawing>
              <wp:anchor distT="0" distB="0" distL="0" distR="0" allowOverlap="1" layoutInCell="1" locked="0" behindDoc="0" simplePos="0" relativeHeight="15804416">
                <wp:simplePos x="0" y="0"/>
                <wp:positionH relativeFrom="page">
                  <wp:posOffset>935997</wp:posOffset>
                </wp:positionH>
                <wp:positionV relativeFrom="paragraph">
                  <wp:posOffset>192056</wp:posOffset>
                </wp:positionV>
                <wp:extent cx="59690" cy="59690"/>
                <wp:effectExtent l="0" t="0" r="0" b="0"/>
                <wp:wrapNone/>
                <wp:docPr id="308" name="Graphic 308"/>
                <wp:cNvGraphicFramePr>
                  <a:graphicFrameLocks/>
                </wp:cNvGraphicFramePr>
                <a:graphic>
                  <a:graphicData uri="http://schemas.microsoft.com/office/word/2010/wordprocessingShape">
                    <wps:wsp>
                      <wps:cNvPr id="308" name="Graphic 30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12255pt;width:4.7pt;height:4.7pt;mso-position-horizontal-relative:page;mso-position-vertical-relative:paragraph;z-index:15804416" id="docshape244" coordorigin="1474,302" coordsize="94,94" path="m1521,302l1502,306,1488,316,1478,331,1474,349,1478,367,1488,382,1502,392,1521,396,1539,392,1554,382,1564,367,1567,349,1564,331,1554,316,1539,306,1521,302xe" filled="true" fillcolor="#1a4796" stroked="false">
                <v:path arrowok="t"/>
                <v:fill type="solid"/>
                <w10:wrap type="none"/>
              </v:shape>
            </w:pict>
          </mc:Fallback>
        </mc:AlternateContent>
      </w:r>
      <w:r>
        <w:rPr>
          <w:b/>
          <w:color w:val="1A4796"/>
          <w:spacing w:val="-4"/>
        </w:rPr>
        <w:t>On</w:t>
      </w:r>
      <w:r>
        <w:rPr>
          <w:b/>
          <w:color w:val="1A4796"/>
          <w:spacing w:val="-13"/>
        </w:rPr>
        <w:t> </w:t>
      </w:r>
      <w:r>
        <w:rPr>
          <w:b/>
          <w:color w:val="1A4796"/>
          <w:spacing w:val="-4"/>
        </w:rPr>
        <w:t>June</w:t>
      </w:r>
      <w:r>
        <w:rPr>
          <w:b/>
          <w:color w:val="1A4796"/>
          <w:spacing w:val="-13"/>
        </w:rPr>
        <w:t> </w:t>
      </w:r>
      <w:r>
        <w:rPr>
          <w:b/>
          <w:color w:val="1A4796"/>
          <w:spacing w:val="-4"/>
        </w:rPr>
        <w:t>6</w:t>
      </w:r>
      <w:r>
        <w:rPr>
          <w:b/>
          <w:color w:val="1A4796"/>
          <w:spacing w:val="-12"/>
        </w:rPr>
        <w:t> </w:t>
      </w:r>
      <w:r>
        <w:rPr>
          <w:b/>
          <w:color w:val="1A4796"/>
          <w:spacing w:val="-4"/>
        </w:rPr>
        <w:t>-</w:t>
      </w:r>
      <w:r>
        <w:rPr>
          <w:b/>
          <w:color w:val="1A4796"/>
          <w:spacing w:val="-13"/>
        </w:rPr>
        <w:t> </w:t>
      </w:r>
      <w:r>
        <w:rPr>
          <w:b/>
          <w:color w:val="1A4796"/>
          <w:spacing w:val="-4"/>
        </w:rPr>
        <w:t>10,</w:t>
      </w:r>
      <w:r>
        <w:rPr>
          <w:b/>
          <w:color w:val="1A4796"/>
          <w:spacing w:val="-12"/>
        </w:rPr>
        <w:t> </w:t>
      </w:r>
      <w:r>
        <w:rPr>
          <w:b/>
          <w:color w:val="1A4796"/>
          <w:spacing w:val="-4"/>
        </w:rPr>
        <w:t>2022,</w:t>
      </w:r>
      <w:r>
        <w:rPr>
          <w:b/>
          <w:color w:val="1A4796"/>
          <w:spacing w:val="-13"/>
        </w:rPr>
        <w:t> </w:t>
      </w:r>
      <w:r>
        <w:rPr>
          <w:color w:val="231F20"/>
          <w:spacing w:val="-4"/>
        </w:rPr>
        <w:t>the</w:t>
      </w:r>
      <w:r>
        <w:rPr>
          <w:color w:val="231F20"/>
          <w:spacing w:val="-12"/>
        </w:rPr>
        <w:t> </w:t>
      </w:r>
      <w:r>
        <w:rPr>
          <w:color w:val="231F20"/>
          <w:spacing w:val="-4"/>
        </w:rPr>
        <w:t>9th</w:t>
      </w:r>
      <w:r>
        <w:rPr>
          <w:color w:val="231F20"/>
          <w:spacing w:val="-13"/>
        </w:rPr>
        <w:t> </w:t>
      </w:r>
      <w:r>
        <w:rPr>
          <w:color w:val="231F20"/>
          <w:spacing w:val="-4"/>
        </w:rPr>
        <w:t>Summit</w:t>
      </w:r>
      <w:r>
        <w:rPr>
          <w:color w:val="231F20"/>
          <w:spacing w:val="-12"/>
        </w:rPr>
        <w:t> </w:t>
      </w:r>
      <w:r>
        <w:rPr>
          <w:color w:val="231F20"/>
          <w:spacing w:val="-4"/>
        </w:rPr>
        <w:t>of </w:t>
      </w:r>
      <w:r>
        <w:rPr>
          <w:color w:val="231F20"/>
        </w:rPr>
        <w:t>the Americas was held in Los Angeles, California. This was an </w:t>
      </w:r>
      <w:r>
        <w:rPr>
          <w:color w:val="231F20"/>
        </w:rPr>
        <w:t>antidemocratic, marginalizing event to which Cuba was not invited, by arbitrary decision of the host nation. Washington even denied </w:t>
      </w:r>
      <w:r>
        <w:rPr>
          <w:color w:val="231F20"/>
          <w:spacing w:val="-4"/>
        </w:rPr>
        <w:t>visas</w:t>
      </w:r>
      <w:r>
        <w:rPr>
          <w:color w:val="231F20"/>
          <w:spacing w:val="-13"/>
        </w:rPr>
        <w:t> </w:t>
      </w:r>
      <w:r>
        <w:rPr>
          <w:color w:val="231F20"/>
          <w:spacing w:val="-4"/>
        </w:rPr>
        <w:t>for</w:t>
      </w:r>
      <w:r>
        <w:rPr>
          <w:color w:val="231F20"/>
          <w:spacing w:val="-12"/>
        </w:rPr>
        <w:t> </w:t>
      </w:r>
      <w:r>
        <w:rPr>
          <w:color w:val="231F20"/>
          <w:spacing w:val="-4"/>
        </w:rPr>
        <w:t>representatives</w:t>
      </w:r>
      <w:r>
        <w:rPr>
          <w:color w:val="231F20"/>
          <w:spacing w:val="-13"/>
        </w:rPr>
        <w:t> </w:t>
      </w:r>
      <w:r>
        <w:rPr>
          <w:color w:val="231F20"/>
          <w:spacing w:val="-4"/>
        </w:rPr>
        <w:t>of</w:t>
      </w:r>
      <w:r>
        <w:rPr>
          <w:color w:val="231F20"/>
          <w:spacing w:val="-12"/>
        </w:rPr>
        <w:t> </w:t>
      </w:r>
      <w:r>
        <w:rPr>
          <w:color w:val="231F20"/>
          <w:spacing w:val="-4"/>
        </w:rPr>
        <w:t>civil</w:t>
      </w:r>
      <w:r>
        <w:rPr>
          <w:color w:val="231F20"/>
          <w:spacing w:val="-13"/>
        </w:rPr>
        <w:t> </w:t>
      </w:r>
      <w:r>
        <w:rPr>
          <w:color w:val="231F20"/>
          <w:spacing w:val="-4"/>
        </w:rPr>
        <w:t>society</w:t>
      </w:r>
      <w:r>
        <w:rPr>
          <w:color w:val="231F20"/>
          <w:spacing w:val="-12"/>
        </w:rPr>
        <w:t> </w:t>
      </w:r>
      <w:r>
        <w:rPr>
          <w:color w:val="231F20"/>
          <w:spacing w:val="-4"/>
        </w:rPr>
        <w:t>to </w:t>
      </w:r>
      <w:r>
        <w:rPr>
          <w:color w:val="231F20"/>
        </w:rPr>
        <w:t>prevent their attendance at the parallel People’s Summit. Nevertheless, Cuba’s voice was present in the 20 countries that opposed the exclusions, while 11 heads</w:t>
      </w:r>
      <w:r>
        <w:rPr>
          <w:color w:val="231F20"/>
          <w:spacing w:val="-4"/>
        </w:rPr>
        <w:t> </w:t>
      </w:r>
      <w:r>
        <w:rPr>
          <w:color w:val="231F20"/>
        </w:rPr>
        <w:t>of</w:t>
      </w:r>
      <w:r>
        <w:rPr>
          <w:color w:val="231F20"/>
          <w:spacing w:val="-4"/>
        </w:rPr>
        <w:t> </w:t>
      </w:r>
      <w:r>
        <w:rPr>
          <w:color w:val="231F20"/>
        </w:rPr>
        <w:t>delegation</w:t>
      </w:r>
      <w:r>
        <w:rPr>
          <w:color w:val="231F20"/>
          <w:spacing w:val="-4"/>
        </w:rPr>
        <w:t> </w:t>
      </w:r>
      <w:r>
        <w:rPr>
          <w:color w:val="231F20"/>
        </w:rPr>
        <w:t>were</w:t>
      </w:r>
      <w:r>
        <w:rPr>
          <w:color w:val="231F20"/>
          <w:spacing w:val="-4"/>
        </w:rPr>
        <w:t> </w:t>
      </w:r>
      <w:r>
        <w:rPr>
          <w:color w:val="231F20"/>
        </w:rPr>
        <w:t>among</w:t>
      </w:r>
      <w:r>
        <w:rPr>
          <w:color w:val="231F20"/>
          <w:spacing w:val="-4"/>
        </w:rPr>
        <w:t> </w:t>
      </w:r>
      <w:r>
        <w:rPr>
          <w:color w:val="231F20"/>
        </w:rPr>
        <w:t>those </w:t>
      </w:r>
      <w:r>
        <w:rPr>
          <w:color w:val="231F20"/>
          <w:spacing w:val="-2"/>
        </w:rPr>
        <w:t>who</w:t>
      </w:r>
      <w:r>
        <w:rPr>
          <w:color w:val="231F20"/>
          <w:spacing w:val="-14"/>
        </w:rPr>
        <w:t> </w:t>
      </w:r>
      <w:r>
        <w:rPr>
          <w:color w:val="231F20"/>
          <w:spacing w:val="-2"/>
        </w:rPr>
        <w:t>expressly</w:t>
      </w:r>
      <w:r>
        <w:rPr>
          <w:color w:val="231F20"/>
          <w:spacing w:val="-14"/>
        </w:rPr>
        <w:t> </w:t>
      </w:r>
      <w:r>
        <w:rPr>
          <w:color w:val="231F20"/>
          <w:spacing w:val="-2"/>
        </w:rPr>
        <w:t>condemned</w:t>
      </w:r>
      <w:r>
        <w:rPr>
          <w:color w:val="231F20"/>
          <w:spacing w:val="-14"/>
        </w:rPr>
        <w:t> </w:t>
      </w:r>
      <w:r>
        <w:rPr>
          <w:color w:val="231F20"/>
          <w:spacing w:val="-2"/>
        </w:rPr>
        <w:t>the</w:t>
      </w:r>
      <w:r>
        <w:rPr>
          <w:color w:val="231F20"/>
          <w:spacing w:val="-14"/>
        </w:rPr>
        <w:t> </w:t>
      </w:r>
      <w:r>
        <w:rPr>
          <w:color w:val="231F20"/>
          <w:spacing w:val="-2"/>
        </w:rPr>
        <w:t>blockade </w:t>
      </w:r>
      <w:r>
        <w:rPr>
          <w:color w:val="231F20"/>
        </w:rPr>
        <w:t>on Cuba, while others also denounced the</w:t>
      </w:r>
      <w:r>
        <w:rPr>
          <w:color w:val="231F20"/>
          <w:spacing w:val="-14"/>
        </w:rPr>
        <w:t> </w:t>
      </w:r>
      <w:r>
        <w:rPr>
          <w:color w:val="231F20"/>
        </w:rPr>
        <w:t>presence</w:t>
      </w:r>
      <w:r>
        <w:rPr>
          <w:color w:val="231F20"/>
          <w:spacing w:val="-14"/>
        </w:rPr>
        <w:t> </w:t>
      </w:r>
      <w:r>
        <w:rPr>
          <w:color w:val="231F20"/>
        </w:rPr>
        <w:t>of</w:t>
      </w:r>
      <w:r>
        <w:rPr>
          <w:color w:val="231F20"/>
          <w:spacing w:val="-14"/>
        </w:rPr>
        <w:t> </w:t>
      </w:r>
      <w:r>
        <w:rPr>
          <w:color w:val="231F20"/>
        </w:rPr>
        <w:t>Cuba</w:t>
      </w:r>
      <w:r>
        <w:rPr>
          <w:color w:val="231F20"/>
          <w:spacing w:val="-14"/>
        </w:rPr>
        <w:t> </w:t>
      </w:r>
      <w:r>
        <w:rPr>
          <w:color w:val="231F20"/>
        </w:rPr>
        <w:t>on</w:t>
      </w:r>
      <w:r>
        <w:rPr>
          <w:color w:val="231F20"/>
          <w:spacing w:val="-14"/>
        </w:rPr>
        <w:t> </w:t>
      </w:r>
      <w:r>
        <w:rPr>
          <w:color w:val="231F20"/>
        </w:rPr>
        <w:t>the</w:t>
      </w:r>
      <w:r>
        <w:rPr>
          <w:color w:val="231F20"/>
          <w:spacing w:val="-14"/>
        </w:rPr>
        <w:t> </w:t>
      </w:r>
      <w:r>
        <w:rPr>
          <w:color w:val="231F20"/>
        </w:rPr>
        <w:t>list</w:t>
      </w:r>
      <w:r>
        <w:rPr>
          <w:color w:val="231F20"/>
          <w:spacing w:val="-14"/>
        </w:rPr>
        <w:t> </w:t>
      </w:r>
      <w:r>
        <w:rPr>
          <w:color w:val="231F20"/>
        </w:rPr>
        <w:t>of</w:t>
      </w:r>
      <w:r>
        <w:rPr>
          <w:color w:val="231F20"/>
          <w:spacing w:val="-14"/>
        </w:rPr>
        <w:t> </w:t>
      </w:r>
      <w:r>
        <w:rPr>
          <w:color w:val="231F20"/>
        </w:rPr>
        <w:t>state sponsors of terrorism.</w:t>
      </w:r>
    </w:p>
    <w:p>
      <w:pPr>
        <w:pStyle w:val="BodyText"/>
        <w:spacing w:before="173"/>
        <w:ind w:left="1734" w:right="6"/>
      </w:pPr>
      <w:r>
        <w:rPr>
          <w:color w:val="231F20"/>
        </w:rPr>
        <w:t>A “Let Cuba Live” panel was staged at the</w:t>
      </w:r>
      <w:r>
        <w:rPr>
          <w:color w:val="231F20"/>
          <w:spacing w:val="-15"/>
        </w:rPr>
        <w:t> </w:t>
      </w:r>
      <w:r>
        <w:rPr>
          <w:color w:val="231F20"/>
        </w:rPr>
        <w:t>People’s</w:t>
      </w:r>
      <w:r>
        <w:rPr>
          <w:color w:val="231F20"/>
          <w:spacing w:val="-15"/>
        </w:rPr>
        <w:t> </w:t>
      </w:r>
      <w:r>
        <w:rPr>
          <w:color w:val="231F20"/>
        </w:rPr>
        <w:t>Summit.</w:t>
      </w:r>
      <w:r>
        <w:rPr>
          <w:color w:val="231F20"/>
          <w:spacing w:val="-15"/>
        </w:rPr>
        <w:t> </w:t>
      </w:r>
      <w:r>
        <w:rPr>
          <w:color w:val="231F20"/>
        </w:rPr>
        <w:t>Activists</w:t>
      </w:r>
      <w:r>
        <w:rPr>
          <w:color w:val="231F20"/>
          <w:spacing w:val="-15"/>
        </w:rPr>
        <w:t> </w:t>
      </w:r>
      <w:r>
        <w:rPr>
          <w:color w:val="231F20"/>
        </w:rPr>
        <w:t>gathered outside</w:t>
      </w:r>
      <w:r>
        <w:rPr>
          <w:color w:val="231F20"/>
          <w:spacing w:val="-6"/>
        </w:rPr>
        <w:t> </w:t>
      </w:r>
      <w:r>
        <w:rPr>
          <w:color w:val="231F20"/>
        </w:rPr>
        <w:t>the</w:t>
      </w:r>
      <w:r>
        <w:rPr>
          <w:color w:val="231F20"/>
          <w:spacing w:val="-6"/>
        </w:rPr>
        <w:t> </w:t>
      </w:r>
      <w:r>
        <w:rPr>
          <w:color w:val="231F20"/>
        </w:rPr>
        <w:t>venue</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Summit</w:t>
      </w:r>
      <w:r>
        <w:rPr>
          <w:color w:val="231F20"/>
          <w:spacing w:val="-6"/>
        </w:rPr>
        <w:t> </w:t>
      </w:r>
      <w:r>
        <w:rPr>
          <w:color w:val="231F20"/>
        </w:rPr>
        <w:t>of</w:t>
      </w:r>
      <w:r>
        <w:rPr>
          <w:color w:val="231F20"/>
          <w:spacing w:val="-7"/>
        </w:rPr>
        <w:t> </w:t>
      </w:r>
      <w:r>
        <w:rPr>
          <w:color w:val="231F20"/>
        </w:rPr>
        <w:t>the </w:t>
      </w:r>
      <w:r>
        <w:rPr>
          <w:color w:val="231F20"/>
          <w:spacing w:val="-10"/>
        </w:rPr>
        <w:t>Americas</w:t>
      </w:r>
      <w:r>
        <w:rPr>
          <w:color w:val="231F20"/>
          <w:spacing w:val="-7"/>
        </w:rPr>
        <w:t> </w:t>
      </w:r>
      <w:r>
        <w:rPr>
          <w:color w:val="231F20"/>
          <w:spacing w:val="-10"/>
        </w:rPr>
        <w:t>to</w:t>
      </w:r>
      <w:r>
        <w:rPr>
          <w:color w:val="231F20"/>
          <w:spacing w:val="-6"/>
        </w:rPr>
        <w:t> </w:t>
      </w:r>
      <w:r>
        <w:rPr>
          <w:color w:val="231F20"/>
          <w:spacing w:val="-10"/>
        </w:rPr>
        <w:t>protest</w:t>
      </w:r>
      <w:r>
        <w:rPr>
          <w:color w:val="231F20"/>
          <w:spacing w:val="-7"/>
        </w:rPr>
        <w:t> </w:t>
      </w:r>
      <w:r>
        <w:rPr>
          <w:color w:val="231F20"/>
          <w:spacing w:val="-10"/>
        </w:rPr>
        <w:t>Washington’s</w:t>
      </w:r>
      <w:r>
        <w:rPr>
          <w:color w:val="231F20"/>
          <w:spacing w:val="-6"/>
        </w:rPr>
        <w:t> </w:t>
      </w:r>
      <w:r>
        <w:rPr>
          <w:color w:val="231F20"/>
          <w:spacing w:val="-10"/>
        </w:rPr>
        <w:t>policy</w:t>
      </w:r>
      <w:r>
        <w:rPr>
          <w:color w:val="231F20"/>
          <w:spacing w:val="-7"/>
        </w:rPr>
        <w:t> </w:t>
      </w:r>
      <w:r>
        <w:rPr>
          <w:color w:val="231F20"/>
          <w:spacing w:val="-10"/>
        </w:rPr>
        <w:t>of marginalization</w:t>
      </w:r>
      <w:r>
        <w:rPr>
          <w:color w:val="231F20"/>
          <w:spacing w:val="-4"/>
        </w:rPr>
        <w:t> </w:t>
      </w:r>
      <w:r>
        <w:rPr>
          <w:color w:val="231F20"/>
          <w:spacing w:val="-10"/>
        </w:rPr>
        <w:t>and</w:t>
      </w:r>
      <w:r>
        <w:rPr>
          <w:color w:val="231F20"/>
          <w:spacing w:val="-3"/>
        </w:rPr>
        <w:t> </w:t>
      </w:r>
      <w:r>
        <w:rPr>
          <w:color w:val="231F20"/>
          <w:spacing w:val="-10"/>
        </w:rPr>
        <w:t>express</w:t>
      </w:r>
      <w:r>
        <w:rPr>
          <w:color w:val="231F20"/>
          <w:spacing w:val="-4"/>
        </w:rPr>
        <w:t> </w:t>
      </w:r>
      <w:r>
        <w:rPr>
          <w:color w:val="231F20"/>
          <w:spacing w:val="-10"/>
        </w:rPr>
        <w:t>their</w:t>
      </w:r>
      <w:r>
        <w:rPr>
          <w:color w:val="231F20"/>
          <w:spacing w:val="-3"/>
        </w:rPr>
        <w:t> </w:t>
      </w:r>
      <w:r>
        <w:rPr>
          <w:color w:val="231F20"/>
          <w:spacing w:val="-10"/>
        </w:rPr>
        <w:t>solidarity </w:t>
      </w:r>
      <w:r>
        <w:rPr>
          <w:color w:val="231F20"/>
        </w:rPr>
        <w:t>with Cuba, Nicaragua and Venezuela, condemning the unilateral sanctions </w:t>
      </w:r>
      <w:r>
        <w:rPr>
          <w:color w:val="231F20"/>
          <w:spacing w:val="-14"/>
        </w:rPr>
        <w:t>against</w:t>
      </w:r>
      <w:r>
        <w:rPr>
          <w:color w:val="231F20"/>
          <w:spacing w:val="-3"/>
        </w:rPr>
        <w:t> </w:t>
      </w:r>
      <w:r>
        <w:rPr>
          <w:color w:val="231F20"/>
          <w:spacing w:val="-14"/>
        </w:rPr>
        <w:t>these</w:t>
      </w:r>
      <w:r>
        <w:rPr>
          <w:color w:val="231F20"/>
          <w:spacing w:val="-2"/>
        </w:rPr>
        <w:t> </w:t>
      </w:r>
      <w:r>
        <w:rPr>
          <w:color w:val="231F20"/>
          <w:spacing w:val="-14"/>
        </w:rPr>
        <w:t>nations.</w:t>
      </w:r>
      <w:r>
        <w:rPr>
          <w:color w:val="231F20"/>
          <w:spacing w:val="-3"/>
        </w:rPr>
        <w:t> </w:t>
      </w:r>
      <w:r>
        <w:rPr>
          <w:color w:val="231F20"/>
          <w:spacing w:val="-14"/>
        </w:rPr>
        <w:t>They</w:t>
      </w:r>
      <w:r>
        <w:rPr>
          <w:color w:val="231F20"/>
          <w:spacing w:val="-2"/>
        </w:rPr>
        <w:t> </w:t>
      </w:r>
      <w:r>
        <w:rPr>
          <w:color w:val="231F20"/>
          <w:spacing w:val="-14"/>
        </w:rPr>
        <w:t>delivered</w:t>
      </w:r>
      <w:r>
        <w:rPr>
          <w:color w:val="231F20"/>
          <w:spacing w:val="-3"/>
        </w:rPr>
        <w:t> </w:t>
      </w:r>
      <w:r>
        <w:rPr>
          <w:color w:val="231F20"/>
          <w:spacing w:val="-14"/>
        </w:rPr>
        <w:t>a</w:t>
      </w:r>
      <w:r>
        <w:rPr>
          <w:color w:val="231F20"/>
          <w:spacing w:val="-2"/>
        </w:rPr>
        <w:t> </w:t>
      </w:r>
      <w:r>
        <w:rPr>
          <w:color w:val="231F20"/>
          <w:spacing w:val="-14"/>
        </w:rPr>
        <w:t>letter </w:t>
      </w:r>
      <w:r>
        <w:rPr>
          <w:color w:val="231F20"/>
          <w:spacing w:val="-12"/>
        </w:rPr>
        <w:t>declaring</w:t>
      </w:r>
      <w:r>
        <w:rPr>
          <w:color w:val="231F20"/>
        </w:rPr>
        <w:t> </w:t>
      </w:r>
      <w:r>
        <w:rPr>
          <w:color w:val="231F20"/>
          <w:spacing w:val="-12"/>
        </w:rPr>
        <w:t>their</w:t>
      </w:r>
      <w:r>
        <w:rPr>
          <w:color w:val="231F20"/>
        </w:rPr>
        <w:t> </w:t>
      </w:r>
      <w:r>
        <w:rPr>
          <w:color w:val="231F20"/>
          <w:spacing w:val="-12"/>
        </w:rPr>
        <w:t>opposition</w:t>
      </w:r>
      <w:r>
        <w:rPr>
          <w:color w:val="231F20"/>
        </w:rPr>
        <w:t> </w:t>
      </w:r>
      <w:r>
        <w:rPr>
          <w:color w:val="231F20"/>
          <w:spacing w:val="-12"/>
        </w:rPr>
        <w:t>to</w:t>
      </w:r>
      <w:r>
        <w:rPr>
          <w:color w:val="231F20"/>
        </w:rPr>
        <w:t> </w:t>
      </w:r>
      <w:r>
        <w:rPr>
          <w:color w:val="231F20"/>
          <w:spacing w:val="-12"/>
        </w:rPr>
        <w:t>the</w:t>
      </w:r>
      <w:r>
        <w:rPr>
          <w:color w:val="231F20"/>
        </w:rPr>
        <w:t> </w:t>
      </w:r>
      <w:r>
        <w:rPr>
          <w:color w:val="231F20"/>
          <w:spacing w:val="-12"/>
        </w:rPr>
        <w:t>U.S.</w:t>
      </w:r>
      <w:r>
        <w:rPr>
          <w:color w:val="231F20"/>
        </w:rPr>
        <w:t> </w:t>
      </w:r>
      <w:r>
        <w:rPr>
          <w:color w:val="231F20"/>
          <w:spacing w:val="-12"/>
        </w:rPr>
        <w:t>policy </w:t>
      </w:r>
      <w:r>
        <w:rPr>
          <w:color w:val="231F20"/>
          <w:spacing w:val="-4"/>
        </w:rPr>
        <w:t>of</w:t>
      </w:r>
      <w:r>
        <w:rPr>
          <w:color w:val="231F20"/>
          <w:spacing w:val="-20"/>
        </w:rPr>
        <w:t> </w:t>
      </w:r>
      <w:r>
        <w:rPr>
          <w:color w:val="231F20"/>
          <w:spacing w:val="-4"/>
        </w:rPr>
        <w:t>sanctions,</w:t>
      </w:r>
      <w:r>
        <w:rPr>
          <w:color w:val="231F20"/>
          <w:spacing w:val="-20"/>
        </w:rPr>
        <w:t> </w:t>
      </w:r>
      <w:r>
        <w:rPr>
          <w:color w:val="231F20"/>
          <w:spacing w:val="-4"/>
        </w:rPr>
        <w:t>exclusions</w:t>
      </w:r>
      <w:r>
        <w:rPr>
          <w:color w:val="231F20"/>
          <w:spacing w:val="-20"/>
        </w:rPr>
        <w:t> </w:t>
      </w:r>
      <w:r>
        <w:rPr>
          <w:color w:val="231F20"/>
          <w:spacing w:val="-4"/>
        </w:rPr>
        <w:t>and</w:t>
      </w:r>
      <w:r>
        <w:rPr>
          <w:color w:val="231F20"/>
          <w:spacing w:val="-20"/>
        </w:rPr>
        <w:t> </w:t>
      </w:r>
      <w:r>
        <w:rPr>
          <w:color w:val="231F20"/>
          <w:spacing w:val="-4"/>
        </w:rPr>
        <w:t>blockades.</w:t>
      </w:r>
    </w:p>
    <w:p>
      <w:pPr>
        <w:pStyle w:val="BodyText"/>
        <w:spacing w:before="167"/>
        <w:ind w:left="1734" w:right="4"/>
      </w:pPr>
      <w:r>
        <w:rPr/>
        <mc:AlternateContent>
          <mc:Choice Requires="wps">
            <w:drawing>
              <wp:anchor distT="0" distB="0" distL="0" distR="0" allowOverlap="1" layoutInCell="1" locked="0" behindDoc="0" simplePos="0" relativeHeight="15804928">
                <wp:simplePos x="0" y="0"/>
                <wp:positionH relativeFrom="page">
                  <wp:posOffset>935997</wp:posOffset>
                </wp:positionH>
                <wp:positionV relativeFrom="paragraph">
                  <wp:posOffset>190984</wp:posOffset>
                </wp:positionV>
                <wp:extent cx="59690" cy="59690"/>
                <wp:effectExtent l="0" t="0" r="0" b="0"/>
                <wp:wrapNone/>
                <wp:docPr id="309" name="Graphic 309"/>
                <wp:cNvGraphicFramePr>
                  <a:graphicFrameLocks/>
                </wp:cNvGraphicFramePr>
                <a:graphic>
                  <a:graphicData uri="http://schemas.microsoft.com/office/word/2010/wordprocessingShape">
                    <wps:wsp>
                      <wps:cNvPr id="309" name="Graphic 30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038175pt;width:4.7pt;height:4.7pt;mso-position-horizontal-relative:page;mso-position-vertical-relative:paragraph;z-index:15804928" id="docshape245" coordorigin="1474,301" coordsize="94,94" path="m1521,301l1502,304,1488,314,1478,329,1474,347,1478,366,1488,380,1502,390,1521,394,1539,390,1554,380,1564,366,1567,347,1564,329,1554,314,1539,304,1521,301xe" filled="true" fillcolor="#1a4796" stroked="false">
                <v:path arrowok="t"/>
                <v:fill type="solid"/>
                <w10:wrap type="none"/>
              </v:shape>
            </w:pict>
          </mc:Fallback>
        </mc:AlternateContent>
      </w:r>
      <w:r>
        <w:rPr>
          <w:b/>
          <w:color w:val="1A4796"/>
          <w:spacing w:val="-10"/>
        </w:rPr>
        <w:t>On</w:t>
      </w:r>
      <w:r>
        <w:rPr>
          <w:b/>
          <w:color w:val="1A4796"/>
          <w:spacing w:val="-7"/>
        </w:rPr>
        <w:t> </w:t>
      </w:r>
      <w:r>
        <w:rPr>
          <w:b/>
          <w:color w:val="1A4796"/>
          <w:spacing w:val="-10"/>
        </w:rPr>
        <w:t>June</w:t>
      </w:r>
      <w:r>
        <w:rPr>
          <w:b/>
          <w:color w:val="1A4796"/>
          <w:spacing w:val="-7"/>
        </w:rPr>
        <w:t> </w:t>
      </w:r>
      <w:r>
        <w:rPr>
          <w:b/>
          <w:color w:val="1A4796"/>
          <w:spacing w:val="-10"/>
        </w:rPr>
        <w:t>6,</w:t>
      </w:r>
      <w:r>
        <w:rPr>
          <w:b/>
          <w:color w:val="1A4796"/>
          <w:spacing w:val="-6"/>
        </w:rPr>
        <w:t> </w:t>
      </w:r>
      <w:r>
        <w:rPr>
          <w:b/>
          <w:color w:val="1A4796"/>
          <w:spacing w:val="-10"/>
        </w:rPr>
        <w:t>2022,</w:t>
      </w:r>
      <w:r>
        <w:rPr>
          <w:b/>
          <w:color w:val="1A4796"/>
          <w:spacing w:val="-7"/>
        </w:rPr>
        <w:t> </w:t>
      </w:r>
      <w:r>
        <w:rPr>
          <w:color w:val="231F20"/>
          <w:spacing w:val="-10"/>
        </w:rPr>
        <w:t>the</w:t>
      </w:r>
      <w:r>
        <w:rPr>
          <w:color w:val="231F20"/>
          <w:spacing w:val="-6"/>
        </w:rPr>
        <w:t> </w:t>
      </w:r>
      <w:r>
        <w:rPr>
          <w:color w:val="231F20"/>
          <w:spacing w:val="-10"/>
        </w:rPr>
        <w:t>31st</w:t>
      </w:r>
      <w:r>
        <w:rPr>
          <w:color w:val="231F20"/>
          <w:spacing w:val="-7"/>
        </w:rPr>
        <w:t> </w:t>
      </w:r>
      <w:r>
        <w:rPr>
          <w:color w:val="231F20"/>
          <w:spacing w:val="-10"/>
        </w:rPr>
        <w:t>Congress</w:t>
      </w:r>
      <w:r>
        <w:rPr>
          <w:color w:val="231F20"/>
          <w:spacing w:val="-6"/>
        </w:rPr>
        <w:t> </w:t>
      </w:r>
      <w:r>
        <w:rPr>
          <w:color w:val="231F20"/>
          <w:spacing w:val="-10"/>
        </w:rPr>
        <w:t>of</w:t>
      </w:r>
      <w:r>
        <w:rPr>
          <w:color w:val="231F20"/>
          <w:spacing w:val="-6"/>
        </w:rPr>
        <w:t> </w:t>
      </w:r>
      <w:r>
        <w:rPr>
          <w:color w:val="231F20"/>
          <w:spacing w:val="-10"/>
        </w:rPr>
        <w:t>the </w:t>
      </w:r>
      <w:r>
        <w:rPr>
          <w:color w:val="231F20"/>
          <w:spacing w:val="-4"/>
        </w:rPr>
        <w:t>Norwegian</w:t>
      </w:r>
      <w:r>
        <w:rPr>
          <w:color w:val="231F20"/>
          <w:spacing w:val="-9"/>
        </w:rPr>
        <w:t> </w:t>
      </w:r>
      <w:r>
        <w:rPr>
          <w:color w:val="231F20"/>
          <w:spacing w:val="-4"/>
        </w:rPr>
        <w:t>Communist</w:t>
      </w:r>
      <w:r>
        <w:rPr>
          <w:color w:val="231F20"/>
          <w:spacing w:val="-9"/>
        </w:rPr>
        <w:t> </w:t>
      </w:r>
      <w:r>
        <w:rPr>
          <w:color w:val="231F20"/>
          <w:spacing w:val="-4"/>
        </w:rPr>
        <w:t>Party</w:t>
      </w:r>
      <w:r>
        <w:rPr>
          <w:color w:val="231F20"/>
          <w:spacing w:val="-9"/>
        </w:rPr>
        <w:t> </w:t>
      </w:r>
      <w:r>
        <w:rPr>
          <w:color w:val="231F20"/>
          <w:spacing w:val="-4"/>
        </w:rPr>
        <w:t>(NKP),</w:t>
      </w:r>
      <w:r>
        <w:rPr>
          <w:color w:val="231F20"/>
          <w:spacing w:val="-9"/>
        </w:rPr>
        <w:t> </w:t>
      </w:r>
      <w:r>
        <w:rPr>
          <w:color w:val="231F20"/>
          <w:spacing w:val="-4"/>
        </w:rPr>
        <w:t>held </w:t>
      </w:r>
      <w:r>
        <w:rPr>
          <w:color w:val="231F20"/>
          <w:spacing w:val="-10"/>
        </w:rPr>
        <w:t>in</w:t>
      </w:r>
      <w:r>
        <w:rPr>
          <w:color w:val="231F20"/>
          <w:spacing w:val="-4"/>
        </w:rPr>
        <w:t> </w:t>
      </w:r>
      <w:r>
        <w:rPr>
          <w:color w:val="231F20"/>
          <w:spacing w:val="-10"/>
        </w:rPr>
        <w:t>Bergen,</w:t>
      </w:r>
      <w:r>
        <w:rPr>
          <w:color w:val="231F20"/>
          <w:spacing w:val="-4"/>
        </w:rPr>
        <w:t> </w:t>
      </w:r>
      <w:r>
        <w:rPr>
          <w:color w:val="231F20"/>
          <w:spacing w:val="-10"/>
        </w:rPr>
        <w:t>issued</w:t>
      </w:r>
      <w:r>
        <w:rPr>
          <w:color w:val="231F20"/>
          <w:spacing w:val="-4"/>
        </w:rPr>
        <w:t> </w:t>
      </w:r>
      <w:r>
        <w:rPr>
          <w:color w:val="231F20"/>
          <w:spacing w:val="-10"/>
        </w:rPr>
        <w:t>a</w:t>
      </w:r>
      <w:r>
        <w:rPr>
          <w:color w:val="231F20"/>
          <w:spacing w:val="-4"/>
        </w:rPr>
        <w:t> </w:t>
      </w:r>
      <w:r>
        <w:rPr>
          <w:color w:val="231F20"/>
          <w:spacing w:val="-10"/>
        </w:rPr>
        <w:t>declaration</w:t>
      </w:r>
      <w:r>
        <w:rPr>
          <w:color w:val="231F20"/>
          <w:spacing w:val="-4"/>
        </w:rPr>
        <w:t> </w:t>
      </w:r>
      <w:r>
        <w:rPr>
          <w:color w:val="231F20"/>
          <w:spacing w:val="-10"/>
        </w:rPr>
        <w:t>of</w:t>
      </w:r>
      <w:r>
        <w:rPr>
          <w:color w:val="231F20"/>
          <w:spacing w:val="-4"/>
        </w:rPr>
        <w:t> </w:t>
      </w:r>
      <w:r>
        <w:rPr>
          <w:color w:val="231F20"/>
          <w:spacing w:val="-10"/>
        </w:rPr>
        <w:t>solidarity </w:t>
      </w:r>
      <w:r>
        <w:rPr>
          <w:color w:val="231F20"/>
          <w:spacing w:val="-4"/>
        </w:rPr>
        <w:t>with</w:t>
      </w:r>
      <w:r>
        <w:rPr>
          <w:color w:val="231F20"/>
          <w:spacing w:val="-15"/>
        </w:rPr>
        <w:t> </w:t>
      </w:r>
      <w:r>
        <w:rPr>
          <w:color w:val="231F20"/>
          <w:spacing w:val="-4"/>
        </w:rPr>
        <w:t>Cuba</w:t>
      </w:r>
      <w:r>
        <w:rPr>
          <w:color w:val="231F20"/>
          <w:spacing w:val="-15"/>
        </w:rPr>
        <w:t> </w:t>
      </w:r>
      <w:r>
        <w:rPr>
          <w:color w:val="231F20"/>
          <w:spacing w:val="-4"/>
        </w:rPr>
        <w:t>and</w:t>
      </w:r>
      <w:r>
        <w:rPr>
          <w:color w:val="231F20"/>
          <w:spacing w:val="-15"/>
        </w:rPr>
        <w:t> </w:t>
      </w:r>
      <w:r>
        <w:rPr>
          <w:color w:val="231F20"/>
          <w:spacing w:val="-4"/>
        </w:rPr>
        <w:t>condemned</w:t>
      </w:r>
      <w:r>
        <w:rPr>
          <w:color w:val="231F20"/>
          <w:spacing w:val="-15"/>
        </w:rPr>
        <w:t> </w:t>
      </w:r>
      <w:r>
        <w:rPr>
          <w:color w:val="231F20"/>
          <w:spacing w:val="-4"/>
        </w:rPr>
        <w:t>the</w:t>
      </w:r>
      <w:r>
        <w:rPr>
          <w:color w:val="231F20"/>
          <w:spacing w:val="-15"/>
        </w:rPr>
        <w:t> </w:t>
      </w:r>
      <w:r>
        <w:rPr>
          <w:color w:val="231F20"/>
          <w:spacing w:val="-4"/>
        </w:rPr>
        <w:t>blockade.</w:t>
      </w:r>
    </w:p>
    <w:p>
      <w:pPr>
        <w:pStyle w:val="BodyText"/>
        <w:spacing w:before="77"/>
        <w:ind w:left="673" w:right="1131"/>
      </w:pPr>
      <w:r>
        <w:rPr/>
        <w:br w:type="column"/>
      </w:r>
      <w:r>
        <w:rPr>
          <w:b/>
          <w:color w:val="1A4796"/>
          <w:spacing w:val="-2"/>
        </w:rPr>
        <w:t>On</w:t>
      </w:r>
      <w:r>
        <w:rPr>
          <w:b/>
          <w:color w:val="1A4796"/>
          <w:spacing w:val="-15"/>
        </w:rPr>
        <w:t> </w:t>
      </w:r>
      <w:r>
        <w:rPr>
          <w:b/>
          <w:color w:val="1A4796"/>
          <w:spacing w:val="-2"/>
        </w:rPr>
        <w:t>July</w:t>
      </w:r>
      <w:r>
        <w:rPr>
          <w:b/>
          <w:color w:val="1A4796"/>
          <w:spacing w:val="-15"/>
        </w:rPr>
        <w:t> </w:t>
      </w:r>
      <w:r>
        <w:rPr>
          <w:b/>
          <w:color w:val="1A4796"/>
          <w:spacing w:val="-2"/>
        </w:rPr>
        <w:t>3</w:t>
      </w:r>
      <w:r>
        <w:rPr>
          <w:b/>
          <w:color w:val="1A4796"/>
          <w:spacing w:val="-14"/>
        </w:rPr>
        <w:t> </w:t>
      </w:r>
      <w:r>
        <w:rPr>
          <w:b/>
          <w:color w:val="1A4796"/>
          <w:spacing w:val="-2"/>
        </w:rPr>
        <w:t>-</w:t>
      </w:r>
      <w:r>
        <w:rPr>
          <w:b/>
          <w:color w:val="1A4796"/>
          <w:spacing w:val="-15"/>
        </w:rPr>
        <w:t> </w:t>
      </w:r>
      <w:r>
        <w:rPr>
          <w:b/>
          <w:color w:val="1A4796"/>
          <w:spacing w:val="-2"/>
        </w:rPr>
        <w:t>5,</w:t>
      </w:r>
      <w:r>
        <w:rPr>
          <w:b/>
          <w:color w:val="1A4796"/>
          <w:spacing w:val="-14"/>
        </w:rPr>
        <w:t> </w:t>
      </w:r>
      <w:r>
        <w:rPr>
          <w:b/>
          <w:color w:val="1A4796"/>
          <w:spacing w:val="-2"/>
        </w:rPr>
        <w:t>2022,</w:t>
      </w:r>
      <w:r>
        <w:rPr>
          <w:b/>
          <w:color w:val="1A4796"/>
          <w:spacing w:val="-15"/>
        </w:rPr>
        <w:t> </w:t>
      </w:r>
      <w:r>
        <w:rPr>
          <w:color w:val="231F20"/>
          <w:spacing w:val="-2"/>
        </w:rPr>
        <w:t>at</w:t>
      </w:r>
      <w:r>
        <w:rPr>
          <w:color w:val="231F20"/>
          <w:spacing w:val="-14"/>
        </w:rPr>
        <w:t> </w:t>
      </w:r>
      <w:r>
        <w:rPr>
          <w:color w:val="231F20"/>
          <w:spacing w:val="-2"/>
        </w:rPr>
        <w:t>the</w:t>
      </w:r>
      <w:r>
        <w:rPr>
          <w:color w:val="231F20"/>
          <w:spacing w:val="-15"/>
        </w:rPr>
        <w:t> </w:t>
      </w:r>
      <w:r>
        <w:rPr>
          <w:color w:val="231F20"/>
          <w:spacing w:val="-2"/>
        </w:rPr>
        <w:t>43rd</w:t>
      </w:r>
      <w:r>
        <w:rPr>
          <w:color w:val="231F20"/>
          <w:spacing w:val="-14"/>
        </w:rPr>
        <w:t> </w:t>
      </w:r>
      <w:r>
        <w:rPr>
          <w:color w:val="231F20"/>
          <w:spacing w:val="-2"/>
        </w:rPr>
        <w:t>meeting </w:t>
      </w:r>
      <w:r>
        <w:rPr>
          <w:color w:val="231F20"/>
        </w:rPr>
        <w:t>of the CARICOM heads of government held in Paramaribo, Suriname, </w:t>
      </w:r>
      <w:r>
        <w:rPr>
          <w:color w:val="231F20"/>
        </w:rPr>
        <w:t>the</w:t>
      </w:r>
      <w:r>
        <w:rPr>
          <w:color w:val="231F20"/>
          <w:spacing w:val="80"/>
        </w:rPr>
        <w:t> </w:t>
      </w:r>
      <w:r>
        <w:rPr>
          <w:color w:val="231F20"/>
        </w:rPr>
        <w:t>need to end the blockade on Cuba</w:t>
      </w:r>
      <w:r>
        <w:rPr>
          <w:color w:val="231F20"/>
          <w:spacing w:val="80"/>
        </w:rPr>
        <w:t> </w:t>
      </w:r>
      <w:r>
        <w:rPr>
          <w:color w:val="231F20"/>
        </w:rPr>
        <w:t>was stressed; the leaders of the Community were urged to maintain their</w:t>
      </w:r>
      <w:r>
        <w:rPr>
          <w:color w:val="231F20"/>
          <w:spacing w:val="-17"/>
        </w:rPr>
        <w:t> </w:t>
      </w:r>
      <w:r>
        <w:rPr>
          <w:color w:val="231F20"/>
        </w:rPr>
        <w:t>commitment</w:t>
      </w:r>
      <w:r>
        <w:rPr>
          <w:color w:val="231F20"/>
          <w:spacing w:val="-16"/>
        </w:rPr>
        <w:t> </w:t>
      </w:r>
      <w:r>
        <w:rPr>
          <w:color w:val="231F20"/>
        </w:rPr>
        <w:t>to</w:t>
      </w:r>
      <w:r>
        <w:rPr>
          <w:color w:val="231F20"/>
          <w:spacing w:val="-17"/>
        </w:rPr>
        <w:t> </w:t>
      </w:r>
      <w:r>
        <w:rPr>
          <w:color w:val="231F20"/>
        </w:rPr>
        <w:t>the</w:t>
      </w:r>
      <w:r>
        <w:rPr>
          <w:color w:val="231F20"/>
          <w:spacing w:val="-16"/>
        </w:rPr>
        <w:t> </w:t>
      </w:r>
      <w:r>
        <w:rPr>
          <w:color w:val="231F20"/>
        </w:rPr>
        <w:t>efforts</w:t>
      </w:r>
      <w:r>
        <w:rPr>
          <w:color w:val="231F20"/>
          <w:spacing w:val="-17"/>
        </w:rPr>
        <w:t> </w:t>
      </w:r>
      <w:r>
        <w:rPr>
          <w:color w:val="231F20"/>
        </w:rPr>
        <w:t>seeking an end to this policy.</w:t>
      </w:r>
    </w:p>
    <w:p>
      <w:pPr>
        <w:pStyle w:val="BodyText"/>
        <w:spacing w:before="166"/>
        <w:ind w:left="673" w:right="1131"/>
      </w:pPr>
      <w:r>
        <w:rPr/>
        <mc:AlternateContent>
          <mc:Choice Requires="wps">
            <w:drawing>
              <wp:anchor distT="0" distB="0" distL="0" distR="0" allowOverlap="1" layoutInCell="1" locked="0" behindDoc="0" simplePos="0" relativeHeight="15803392">
                <wp:simplePos x="0" y="0"/>
                <wp:positionH relativeFrom="page">
                  <wp:posOffset>4031997</wp:posOffset>
                </wp:positionH>
                <wp:positionV relativeFrom="paragraph">
                  <wp:posOffset>189271</wp:posOffset>
                </wp:positionV>
                <wp:extent cx="59690" cy="59690"/>
                <wp:effectExtent l="0" t="0" r="0" b="0"/>
                <wp:wrapNone/>
                <wp:docPr id="310" name="Graphic 310"/>
                <wp:cNvGraphicFramePr>
                  <a:graphicFrameLocks/>
                </wp:cNvGraphicFramePr>
                <a:graphic>
                  <a:graphicData uri="http://schemas.microsoft.com/office/word/2010/wordprocessingShape">
                    <wps:wsp>
                      <wps:cNvPr id="310" name="Graphic 31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033pt;width:4.7pt;height:4.7pt;mso-position-horizontal-relative:page;mso-position-vertical-relative:paragraph;z-index:15803392" id="docshape246" coordorigin="6350,298" coordsize="94,94" path="m6396,298l6378,302,6363,312,6353,327,6350,345,6353,363,6363,378,6378,388,6396,391,6414,388,6429,378,6439,363,6443,345,6439,327,6429,312,6414,302,6396,298xe" filled="true" fillcolor="#1a4796" stroked="false">
                <v:path arrowok="t"/>
                <v:fill type="solid"/>
                <w10:wrap type="none"/>
              </v:shape>
            </w:pict>
          </mc:Fallback>
        </mc:AlternateContent>
      </w:r>
      <w:r>
        <w:rPr/>
        <mc:AlternateContent>
          <mc:Choice Requires="wps">
            <w:drawing>
              <wp:anchor distT="0" distB="0" distL="0" distR="0" allowOverlap="1" layoutInCell="1" locked="0" behindDoc="0" simplePos="0" relativeHeight="15803904">
                <wp:simplePos x="0" y="0"/>
                <wp:positionH relativeFrom="page">
                  <wp:posOffset>4031997</wp:posOffset>
                </wp:positionH>
                <wp:positionV relativeFrom="paragraph">
                  <wp:posOffset>-1533131</wp:posOffset>
                </wp:positionV>
                <wp:extent cx="59690" cy="59690"/>
                <wp:effectExtent l="0" t="0" r="0" b="0"/>
                <wp:wrapNone/>
                <wp:docPr id="311" name="Graphic 311"/>
                <wp:cNvGraphicFramePr>
                  <a:graphicFrameLocks/>
                </wp:cNvGraphicFramePr>
                <a:graphic>
                  <a:graphicData uri="http://schemas.microsoft.com/office/word/2010/wordprocessingShape">
                    <wps:wsp>
                      <wps:cNvPr id="311" name="Graphic 31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20.719002pt;width:4.7pt;height:4.7pt;mso-position-horizontal-relative:page;mso-position-vertical-relative:paragraph;z-index:15803904" id="docshape247" coordorigin="6350,-2414" coordsize="94,94" path="m6396,-2414l6378,-2411,6363,-2401,6353,-2386,6350,-2368,6353,-2350,6363,-2335,6378,-2325,6396,-2321,6414,-2325,6429,-2335,6439,-2350,6443,-2368,6439,-2386,6429,-2401,6414,-2411,6396,-2414xe" filled="true" fillcolor="#1a4796" stroked="false">
                <v:path arrowok="t"/>
                <v:fill type="solid"/>
                <w10:wrap type="none"/>
              </v:shape>
            </w:pict>
          </mc:Fallback>
        </mc:AlternateContent>
      </w:r>
      <w:r>
        <w:rPr>
          <w:b/>
          <w:color w:val="1A4796"/>
        </w:rPr>
        <w:t>On</w:t>
      </w:r>
      <w:r>
        <w:rPr>
          <w:b/>
          <w:color w:val="1A4796"/>
          <w:spacing w:val="-17"/>
        </w:rPr>
        <w:t> </w:t>
      </w:r>
      <w:r>
        <w:rPr>
          <w:b/>
          <w:color w:val="1A4796"/>
        </w:rPr>
        <w:t>July</w:t>
      </w:r>
      <w:r>
        <w:rPr>
          <w:b/>
          <w:color w:val="1A4796"/>
          <w:spacing w:val="-17"/>
        </w:rPr>
        <w:t> </w:t>
      </w:r>
      <w:r>
        <w:rPr>
          <w:b/>
          <w:color w:val="1A4796"/>
        </w:rPr>
        <w:t>15,</w:t>
      </w:r>
      <w:r>
        <w:rPr>
          <w:b/>
          <w:color w:val="1A4796"/>
          <w:spacing w:val="-16"/>
        </w:rPr>
        <w:t> </w:t>
      </w:r>
      <w:r>
        <w:rPr>
          <w:b/>
          <w:color w:val="1A4796"/>
        </w:rPr>
        <w:t>2022,</w:t>
      </w:r>
      <w:r>
        <w:rPr>
          <w:b/>
          <w:color w:val="1A4796"/>
          <w:spacing w:val="-17"/>
        </w:rPr>
        <w:t> </w:t>
      </w:r>
      <w:r>
        <w:rPr>
          <w:color w:val="231F20"/>
        </w:rPr>
        <w:t>the</w:t>
      </w:r>
      <w:r>
        <w:rPr>
          <w:color w:val="231F20"/>
          <w:spacing w:val="-13"/>
        </w:rPr>
        <w:t> </w:t>
      </w:r>
      <w:r>
        <w:rPr>
          <w:color w:val="231F20"/>
        </w:rPr>
        <w:t>general</w:t>
      </w:r>
      <w:r>
        <w:rPr>
          <w:color w:val="231F20"/>
          <w:spacing w:val="-8"/>
        </w:rPr>
        <w:t> </w:t>
      </w:r>
      <w:r>
        <w:rPr>
          <w:color w:val="231F20"/>
        </w:rPr>
        <w:t>secretary the South African Communist </w:t>
      </w:r>
      <w:r>
        <w:rPr>
          <w:color w:val="231F20"/>
        </w:rPr>
        <w:t>Party (SACP),</w:t>
      </w:r>
      <w:r>
        <w:rPr>
          <w:color w:val="231F20"/>
          <w:spacing w:val="32"/>
        </w:rPr>
        <w:t> </w:t>
      </w:r>
      <w:r>
        <w:rPr>
          <w:color w:val="231F20"/>
        </w:rPr>
        <w:t>Solly</w:t>
      </w:r>
      <w:r>
        <w:rPr>
          <w:color w:val="231F20"/>
          <w:spacing w:val="34"/>
        </w:rPr>
        <w:t> </w:t>
      </w:r>
      <w:r>
        <w:rPr>
          <w:color w:val="231F20"/>
        </w:rPr>
        <w:t>Mapaila,</w:t>
      </w:r>
      <w:r>
        <w:rPr>
          <w:color w:val="231F20"/>
          <w:spacing w:val="33"/>
        </w:rPr>
        <w:t> </w:t>
      </w:r>
      <w:r>
        <w:rPr>
          <w:color w:val="231F20"/>
        </w:rPr>
        <w:t>condemned</w:t>
      </w:r>
      <w:r>
        <w:rPr>
          <w:color w:val="231F20"/>
          <w:spacing w:val="33"/>
        </w:rPr>
        <w:t> </w:t>
      </w:r>
      <w:r>
        <w:rPr>
          <w:color w:val="231F20"/>
          <w:spacing w:val="-5"/>
        </w:rPr>
        <w:t>the</w:t>
      </w:r>
    </w:p>
    <w:p>
      <w:pPr>
        <w:pStyle w:val="BodyText"/>
        <w:spacing w:before="2"/>
        <w:ind w:left="673" w:right="1131"/>
      </w:pPr>
      <w:r>
        <w:rPr>
          <w:color w:val="231F20"/>
        </w:rPr>
        <w:t>U.S. blockade on Cuba at the party’s 15th National Congress.</w:t>
      </w:r>
      <w:r>
        <w:rPr>
          <w:color w:val="231F20"/>
          <w:spacing w:val="40"/>
        </w:rPr>
        <w:t> </w:t>
      </w:r>
      <w:r>
        <w:rPr>
          <w:color w:val="231F20"/>
        </w:rPr>
        <w:t>One of the resolutions passed by the party’s Central Committee called for an end to this unjust policy.</w:t>
      </w:r>
    </w:p>
    <w:p>
      <w:pPr>
        <w:spacing w:before="164"/>
        <w:ind w:left="673" w:right="1129" w:firstLine="0"/>
        <w:jc w:val="both"/>
        <w:rPr>
          <w:sz w:val="24"/>
        </w:rPr>
      </w:pPr>
      <w:r>
        <w:rPr/>
        <mc:AlternateContent>
          <mc:Choice Requires="wps">
            <w:drawing>
              <wp:anchor distT="0" distB="0" distL="0" distR="0" allowOverlap="1" layoutInCell="1" locked="0" behindDoc="0" simplePos="0" relativeHeight="15802880">
                <wp:simplePos x="0" y="0"/>
                <wp:positionH relativeFrom="page">
                  <wp:posOffset>4031997</wp:posOffset>
                </wp:positionH>
                <wp:positionV relativeFrom="paragraph">
                  <wp:posOffset>188960</wp:posOffset>
                </wp:positionV>
                <wp:extent cx="59690" cy="59690"/>
                <wp:effectExtent l="0" t="0" r="0" b="0"/>
                <wp:wrapNone/>
                <wp:docPr id="312" name="Graphic 312"/>
                <wp:cNvGraphicFramePr>
                  <a:graphicFrameLocks/>
                </wp:cNvGraphicFramePr>
                <a:graphic>
                  <a:graphicData uri="http://schemas.microsoft.com/office/word/2010/wordprocessingShape">
                    <wps:wsp>
                      <wps:cNvPr id="312" name="Graphic 31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8788pt;width:4.7pt;height:4.7pt;mso-position-horizontal-relative:page;mso-position-vertical-relative:paragraph;z-index:15802880" id="docshape248" coordorigin="6350,298" coordsize="94,94" path="m6396,298l6378,301,6363,311,6353,326,6350,344,6353,362,6363,377,6378,387,6396,391,6414,387,6429,377,6439,362,6443,344,6439,326,6429,311,6414,301,6396,298xe" filled="true" fillcolor="#1a4796" stroked="false">
                <v:path arrowok="t"/>
                <v:fill type="solid"/>
                <w10:wrap type="none"/>
              </v:shape>
            </w:pict>
          </mc:Fallback>
        </mc:AlternateContent>
      </w:r>
      <w:r>
        <w:rPr>
          <w:b/>
          <w:color w:val="1A4796"/>
          <w:sz w:val="24"/>
        </w:rPr>
        <w:t>On August 30, 2022, </w:t>
      </w:r>
      <w:r>
        <w:rPr>
          <w:color w:val="231F20"/>
          <w:sz w:val="24"/>
        </w:rPr>
        <w:t>Ecuador’s national assembly passed a resolution condemning the blockade.</w:t>
      </w:r>
    </w:p>
    <w:p>
      <w:pPr>
        <w:pStyle w:val="BodyText"/>
        <w:spacing w:before="163"/>
        <w:ind w:left="673" w:right="1130"/>
      </w:pPr>
      <w:r>
        <w:rPr/>
        <mc:AlternateContent>
          <mc:Choice Requires="wps">
            <w:drawing>
              <wp:anchor distT="0" distB="0" distL="0" distR="0" allowOverlap="1" layoutInCell="1" locked="0" behindDoc="0" simplePos="0" relativeHeight="15801344">
                <wp:simplePos x="0" y="0"/>
                <wp:positionH relativeFrom="page">
                  <wp:posOffset>4031997</wp:posOffset>
                </wp:positionH>
                <wp:positionV relativeFrom="paragraph">
                  <wp:posOffset>189507</wp:posOffset>
                </wp:positionV>
                <wp:extent cx="59690" cy="59690"/>
                <wp:effectExtent l="0" t="0" r="0" b="0"/>
                <wp:wrapNone/>
                <wp:docPr id="313" name="Graphic 313"/>
                <wp:cNvGraphicFramePr>
                  <a:graphicFrameLocks/>
                </wp:cNvGraphicFramePr>
                <a:graphic>
                  <a:graphicData uri="http://schemas.microsoft.com/office/word/2010/wordprocessingShape">
                    <wps:wsp>
                      <wps:cNvPr id="313" name="Graphic 31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21887pt;width:4.7pt;height:4.7pt;mso-position-horizontal-relative:page;mso-position-vertical-relative:paragraph;z-index:15801344" id="docshape249" coordorigin="6350,298" coordsize="94,94" path="m6396,298l6378,302,6363,312,6353,327,6350,345,6353,363,6363,378,6378,388,6396,392,6414,388,6429,378,6439,363,6443,345,6439,327,6429,312,6414,302,6396,298xe" filled="true" fillcolor="#1a4796" stroked="false">
                <v:path arrowok="t"/>
                <v:fill type="solid"/>
                <w10:wrap type="none"/>
              </v:shape>
            </w:pict>
          </mc:Fallback>
        </mc:AlternateContent>
      </w:r>
      <w:r>
        <w:rPr>
          <w:b/>
          <w:color w:val="1A4796"/>
        </w:rPr>
        <w:t>Also on August 30, 2022, </w:t>
      </w:r>
      <w:r>
        <w:rPr>
          <w:color w:val="231F20"/>
        </w:rPr>
        <w:t>during a visit by Cuban foreign minister </w:t>
      </w:r>
      <w:r>
        <w:rPr>
          <w:color w:val="231F20"/>
        </w:rPr>
        <w:t>Bruno Rodríguez Parrilla to Serbia, President Aleksandar</w:t>
      </w:r>
      <w:r>
        <w:rPr>
          <w:color w:val="231F20"/>
          <w:spacing w:val="-10"/>
        </w:rPr>
        <w:t> </w:t>
      </w:r>
      <w:r>
        <w:rPr>
          <w:color w:val="231F20"/>
        </w:rPr>
        <w:t>Vučić</w:t>
      </w:r>
      <w:r>
        <w:rPr>
          <w:color w:val="231F20"/>
          <w:spacing w:val="-10"/>
        </w:rPr>
        <w:t> </w:t>
      </w:r>
      <w:r>
        <w:rPr>
          <w:color w:val="231F20"/>
        </w:rPr>
        <w:t>expressed</w:t>
      </w:r>
      <w:r>
        <w:rPr>
          <w:color w:val="231F20"/>
          <w:spacing w:val="-10"/>
        </w:rPr>
        <w:t> </w:t>
      </w:r>
      <w:r>
        <w:rPr>
          <w:color w:val="231F20"/>
        </w:rPr>
        <w:t>his</w:t>
      </w:r>
      <w:r>
        <w:rPr>
          <w:color w:val="231F20"/>
          <w:spacing w:val="-10"/>
        </w:rPr>
        <w:t> </w:t>
      </w:r>
      <w:r>
        <w:rPr>
          <w:color w:val="231F20"/>
        </w:rPr>
        <w:t>support for</w:t>
      </w:r>
      <w:r>
        <w:rPr>
          <w:color w:val="231F20"/>
          <w:spacing w:val="67"/>
        </w:rPr>
        <w:t> </w:t>
      </w:r>
      <w:r>
        <w:rPr>
          <w:color w:val="231F20"/>
        </w:rPr>
        <w:t>the</w:t>
      </w:r>
      <w:r>
        <w:rPr>
          <w:color w:val="231F20"/>
          <w:spacing w:val="67"/>
        </w:rPr>
        <w:t> </w:t>
      </w:r>
      <w:r>
        <w:rPr>
          <w:color w:val="231F20"/>
        </w:rPr>
        <w:t>Cuban</w:t>
      </w:r>
      <w:r>
        <w:rPr>
          <w:color w:val="231F20"/>
          <w:spacing w:val="67"/>
        </w:rPr>
        <w:t> </w:t>
      </w:r>
      <w:r>
        <w:rPr>
          <w:color w:val="231F20"/>
        </w:rPr>
        <w:t>resolution</w:t>
      </w:r>
      <w:r>
        <w:rPr>
          <w:color w:val="231F20"/>
          <w:spacing w:val="67"/>
        </w:rPr>
        <w:t> </w:t>
      </w:r>
      <w:r>
        <w:rPr>
          <w:color w:val="231F20"/>
        </w:rPr>
        <w:t>against</w:t>
      </w:r>
      <w:r>
        <w:rPr>
          <w:color w:val="231F20"/>
          <w:spacing w:val="67"/>
        </w:rPr>
        <w:t> </w:t>
      </w:r>
      <w:r>
        <w:rPr>
          <w:color w:val="231F20"/>
          <w:spacing w:val="-5"/>
        </w:rPr>
        <w:t>the</w:t>
      </w:r>
    </w:p>
    <w:p>
      <w:pPr>
        <w:pStyle w:val="BodyText"/>
        <w:spacing w:before="4"/>
        <w:ind w:left="673" w:right="1131"/>
      </w:pPr>
      <w:r>
        <w:rPr>
          <w:color w:val="231F20"/>
        </w:rPr>
        <w:t>U.S. blockade passed every year by </w:t>
      </w:r>
      <w:r>
        <w:rPr>
          <w:color w:val="231F20"/>
        </w:rPr>
        <w:t>the UN General Assembly.</w:t>
      </w:r>
    </w:p>
    <w:p>
      <w:pPr>
        <w:pStyle w:val="BodyText"/>
        <w:spacing w:before="161"/>
        <w:ind w:left="673" w:right="1131"/>
      </w:pPr>
      <w:r>
        <w:rPr/>
        <mc:AlternateContent>
          <mc:Choice Requires="wps">
            <w:drawing>
              <wp:anchor distT="0" distB="0" distL="0" distR="0" allowOverlap="1" layoutInCell="1" locked="0" behindDoc="0" simplePos="0" relativeHeight="15801856">
                <wp:simplePos x="0" y="0"/>
                <wp:positionH relativeFrom="page">
                  <wp:posOffset>4031997</wp:posOffset>
                </wp:positionH>
                <wp:positionV relativeFrom="paragraph">
                  <wp:posOffset>187336</wp:posOffset>
                </wp:positionV>
                <wp:extent cx="59690" cy="59690"/>
                <wp:effectExtent l="0" t="0" r="0" b="0"/>
                <wp:wrapNone/>
                <wp:docPr id="314" name="Graphic 314"/>
                <wp:cNvGraphicFramePr>
                  <a:graphicFrameLocks/>
                </wp:cNvGraphicFramePr>
                <a:graphic>
                  <a:graphicData uri="http://schemas.microsoft.com/office/word/2010/wordprocessingShape">
                    <wps:wsp>
                      <wps:cNvPr id="314" name="Graphic 31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750925pt;width:4.7pt;height:4.7pt;mso-position-horizontal-relative:page;mso-position-vertical-relative:paragraph;z-index:15801856" id="docshape250" coordorigin="6350,295" coordsize="94,94" path="m6396,295l6378,299,6363,309,6353,323,6350,342,6353,360,6363,375,6378,385,6396,388,6414,385,6429,375,6439,360,6443,342,6439,323,6429,309,6414,299,6396,295xe" filled="true" fillcolor="#1a4796" stroked="false">
                <v:path arrowok="t"/>
                <v:fill type="solid"/>
                <w10:wrap type="none"/>
              </v:shape>
            </w:pict>
          </mc:Fallback>
        </mc:AlternateContent>
      </w:r>
      <w:r>
        <w:rPr>
          <w:b/>
          <w:color w:val="1A4796"/>
        </w:rPr>
        <w:t>On September 14, 2022: </w:t>
      </w:r>
      <w:r>
        <w:rPr>
          <w:color w:val="231F20"/>
        </w:rPr>
        <w:t>The</w:t>
      </w:r>
      <w:r>
        <w:rPr>
          <w:color w:val="231F20"/>
          <w:spacing w:val="40"/>
        </w:rPr>
        <w:t> </w:t>
      </w:r>
      <w:r>
        <w:rPr>
          <w:color w:val="231F20"/>
        </w:rPr>
        <w:t>Jamaican parliament passed a </w:t>
      </w:r>
      <w:r>
        <w:rPr>
          <w:color w:val="231F20"/>
        </w:rPr>
        <w:t>motion condemning the blockade and its extraterritorial dimension and the inclusion of Cuba on the unilateral list of state sponsors of terrorism.</w:t>
      </w:r>
    </w:p>
    <w:p>
      <w:pPr>
        <w:pStyle w:val="BodyText"/>
        <w:spacing w:before="165"/>
        <w:ind w:left="673" w:right="1130"/>
      </w:pPr>
      <w:r>
        <w:rPr/>
        <mc:AlternateContent>
          <mc:Choice Requires="wps">
            <w:drawing>
              <wp:anchor distT="0" distB="0" distL="0" distR="0" allowOverlap="1" layoutInCell="1" locked="0" behindDoc="0" simplePos="0" relativeHeight="15802368">
                <wp:simplePos x="0" y="0"/>
                <wp:positionH relativeFrom="page">
                  <wp:posOffset>4031997</wp:posOffset>
                </wp:positionH>
                <wp:positionV relativeFrom="paragraph">
                  <wp:posOffset>190078</wp:posOffset>
                </wp:positionV>
                <wp:extent cx="59690" cy="59690"/>
                <wp:effectExtent l="0" t="0" r="0" b="0"/>
                <wp:wrapNone/>
                <wp:docPr id="315" name="Graphic 315"/>
                <wp:cNvGraphicFramePr>
                  <a:graphicFrameLocks/>
                </wp:cNvGraphicFramePr>
                <a:graphic>
                  <a:graphicData uri="http://schemas.microsoft.com/office/word/2010/wordprocessingShape">
                    <wps:wsp>
                      <wps:cNvPr id="315" name="Graphic 31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668pt;width:4.7pt;height:4.7pt;mso-position-horizontal-relative:page;mso-position-vertical-relative:paragraph;z-index:15802368" id="docshape251" coordorigin="6350,299" coordsize="94,94" path="m6396,299l6378,303,6363,313,6353,328,6350,346,6353,364,6363,379,6378,389,6396,393,6414,389,6429,379,6439,364,6443,346,6439,328,6429,313,6414,303,6396,299xe" filled="true" fillcolor="#1a4796" stroked="false">
                <v:path arrowok="t"/>
                <v:fill type="solid"/>
                <w10:wrap type="none"/>
              </v:shape>
            </w:pict>
          </mc:Fallback>
        </mc:AlternateContent>
      </w:r>
      <w:r>
        <w:rPr>
          <w:b/>
          <w:color w:val="1A4796"/>
        </w:rPr>
        <w:t>Between September 20 and 26,</w:t>
      </w:r>
      <w:r>
        <w:rPr>
          <w:b/>
          <w:color w:val="1A4796"/>
          <w:spacing w:val="40"/>
        </w:rPr>
        <w:t> </w:t>
      </w:r>
      <w:r>
        <w:rPr>
          <w:b/>
          <w:color w:val="1A4796"/>
        </w:rPr>
        <w:t>2022, </w:t>
      </w:r>
      <w:r>
        <w:rPr>
          <w:color w:val="231F20"/>
        </w:rPr>
        <w:t>during the general debate at</w:t>
      </w:r>
      <w:r>
        <w:rPr>
          <w:color w:val="231F20"/>
          <w:spacing w:val="80"/>
          <w:w w:val="150"/>
        </w:rPr>
        <w:t> </w:t>
      </w:r>
      <w:r>
        <w:rPr>
          <w:color w:val="231F20"/>
        </w:rPr>
        <w:t>the 77th session of the UN General Assembly, the heads of delegation of 40</w:t>
      </w:r>
      <w:r>
        <w:rPr>
          <w:color w:val="231F20"/>
          <w:spacing w:val="-6"/>
        </w:rPr>
        <w:t> </w:t>
      </w:r>
      <w:r>
        <w:rPr>
          <w:color w:val="231F20"/>
        </w:rPr>
        <w:t>countries</w:t>
      </w:r>
      <w:r>
        <w:rPr>
          <w:color w:val="231F20"/>
          <w:spacing w:val="-6"/>
        </w:rPr>
        <w:t> </w:t>
      </w:r>
      <w:r>
        <w:rPr>
          <w:color w:val="231F20"/>
        </w:rPr>
        <w:t>included</w:t>
      </w:r>
      <w:r>
        <w:rPr>
          <w:color w:val="231F20"/>
          <w:spacing w:val="-6"/>
        </w:rPr>
        <w:t> </w:t>
      </w:r>
      <w:r>
        <w:rPr>
          <w:color w:val="231F20"/>
        </w:rPr>
        <w:t>condemnation</w:t>
      </w:r>
      <w:r>
        <w:rPr>
          <w:color w:val="231F20"/>
          <w:spacing w:val="-6"/>
        </w:rPr>
        <w:t> </w:t>
      </w:r>
      <w:r>
        <w:rPr>
          <w:color w:val="231F20"/>
        </w:rPr>
        <w:t>of the</w:t>
      </w:r>
      <w:r>
        <w:rPr>
          <w:color w:val="231F20"/>
          <w:spacing w:val="-3"/>
        </w:rPr>
        <w:t> </w:t>
      </w:r>
      <w:r>
        <w:rPr>
          <w:color w:val="231F20"/>
        </w:rPr>
        <w:t>blockade</w:t>
      </w:r>
      <w:r>
        <w:rPr>
          <w:color w:val="231F20"/>
          <w:spacing w:val="-3"/>
        </w:rPr>
        <w:t> </w:t>
      </w:r>
      <w:r>
        <w:rPr>
          <w:color w:val="231F20"/>
        </w:rPr>
        <w:t>in</w:t>
      </w:r>
      <w:r>
        <w:rPr>
          <w:color w:val="231F20"/>
          <w:spacing w:val="-3"/>
        </w:rPr>
        <w:t> </w:t>
      </w:r>
      <w:r>
        <w:rPr>
          <w:color w:val="231F20"/>
        </w:rPr>
        <w:t>their</w:t>
      </w:r>
      <w:r>
        <w:rPr>
          <w:color w:val="231F20"/>
          <w:spacing w:val="-3"/>
        </w:rPr>
        <w:t> </w:t>
      </w:r>
      <w:r>
        <w:rPr>
          <w:color w:val="231F20"/>
        </w:rPr>
        <w:t>speeches.</w:t>
      </w:r>
      <w:r>
        <w:rPr>
          <w:color w:val="231F20"/>
          <w:spacing w:val="-3"/>
        </w:rPr>
        <w:t> </w:t>
      </w:r>
      <w:r>
        <w:rPr>
          <w:color w:val="231F20"/>
        </w:rPr>
        <w:t>In</w:t>
      </w:r>
      <w:r>
        <w:rPr>
          <w:color w:val="231F20"/>
          <w:spacing w:val="-3"/>
        </w:rPr>
        <w:t> </w:t>
      </w:r>
      <w:r>
        <w:rPr>
          <w:color w:val="231F20"/>
        </w:rPr>
        <w:t>three cases, the inclusion of Cuba on the list of state sponsors of terrorism was also denounced.</w:t>
      </w:r>
      <w:r>
        <w:rPr>
          <w:color w:val="231F20"/>
          <w:spacing w:val="-13"/>
        </w:rPr>
        <w:t> </w:t>
      </w:r>
      <w:r>
        <w:rPr>
          <w:color w:val="231F20"/>
        </w:rPr>
        <w:t>Opposition</w:t>
      </w:r>
      <w:r>
        <w:rPr>
          <w:color w:val="231F20"/>
          <w:spacing w:val="-13"/>
        </w:rPr>
        <w:t> </w:t>
      </w:r>
      <w:r>
        <w:rPr>
          <w:color w:val="231F20"/>
        </w:rPr>
        <w:t>to</w:t>
      </w:r>
      <w:r>
        <w:rPr>
          <w:color w:val="231F20"/>
          <w:spacing w:val="-13"/>
        </w:rPr>
        <w:t> </w:t>
      </w:r>
      <w:r>
        <w:rPr>
          <w:color w:val="231F20"/>
        </w:rPr>
        <w:t>the</w:t>
      </w:r>
      <w:r>
        <w:rPr>
          <w:color w:val="231F20"/>
          <w:spacing w:val="-13"/>
        </w:rPr>
        <w:t> </w:t>
      </w:r>
      <w:r>
        <w:rPr>
          <w:color w:val="231F20"/>
          <w:spacing w:val="-2"/>
        </w:rPr>
        <w:t>blockade</w:t>
      </w:r>
    </w:p>
    <w:p>
      <w:pPr>
        <w:spacing w:after="0"/>
        <w:sectPr>
          <w:pgSz w:w="11910" w:h="16840"/>
          <w:pgMar w:header="0" w:footer="695" w:top="1260" w:bottom="880" w:left="0" w:right="0"/>
          <w:cols w:num="2" w:equalWidth="0">
            <w:col w:w="5897" w:space="40"/>
            <w:col w:w="5973"/>
          </w:cols>
        </w:sectPr>
      </w:pPr>
    </w:p>
    <w:p>
      <w:pPr>
        <w:pStyle w:val="BodyText"/>
        <w:spacing w:before="77"/>
        <w:ind w:left="1394"/>
      </w:pPr>
      <w:r>
        <w:rPr>
          <w:color w:val="231F20"/>
        </w:rPr>
        <w:t>was among the ten most </w:t>
      </w:r>
      <w:r>
        <w:rPr>
          <w:color w:val="231F20"/>
        </w:rPr>
        <w:t>debated subjects during the high-level general </w:t>
      </w:r>
      <w:r>
        <w:rPr>
          <w:color w:val="231F20"/>
          <w:spacing w:val="-2"/>
        </w:rPr>
        <w:t>debate.</w:t>
      </w:r>
    </w:p>
    <w:p>
      <w:pPr>
        <w:pStyle w:val="BodyText"/>
        <w:spacing w:before="162"/>
        <w:ind w:left="1394"/>
      </w:pPr>
      <w:r>
        <w:rPr/>
        <mc:AlternateContent>
          <mc:Choice Requires="wps">
            <w:drawing>
              <wp:anchor distT="0" distB="0" distL="0" distR="0" allowOverlap="1" layoutInCell="1" locked="0" behindDoc="0" simplePos="0" relativeHeight="15806976">
                <wp:simplePos x="0" y="0"/>
                <wp:positionH relativeFrom="page">
                  <wp:posOffset>719997</wp:posOffset>
                </wp:positionH>
                <wp:positionV relativeFrom="paragraph">
                  <wp:posOffset>187591</wp:posOffset>
                </wp:positionV>
                <wp:extent cx="59690" cy="59690"/>
                <wp:effectExtent l="0" t="0" r="0" b="0"/>
                <wp:wrapNone/>
                <wp:docPr id="316" name="Graphic 316"/>
                <wp:cNvGraphicFramePr>
                  <a:graphicFrameLocks/>
                </wp:cNvGraphicFramePr>
                <a:graphic>
                  <a:graphicData uri="http://schemas.microsoft.com/office/word/2010/wordprocessingShape">
                    <wps:wsp>
                      <wps:cNvPr id="316" name="Graphic 31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770988pt;width:4.7pt;height:4.7pt;mso-position-horizontal-relative:page;mso-position-vertical-relative:paragraph;z-index:15806976" id="docshape252" coordorigin="1134,295" coordsize="94,94" path="m1180,295l1162,299,1148,309,1138,324,1134,342,1138,360,1148,375,1162,385,1180,389,1199,385,1213,375,1223,360,1227,342,1223,324,1213,309,1199,299,1180,295xe" filled="true" fillcolor="#1a4796" stroked="false">
                <v:path arrowok="t"/>
                <v:fill type="solid"/>
                <w10:wrap type="none"/>
              </v:shape>
            </w:pict>
          </mc:Fallback>
        </mc:AlternateContent>
      </w:r>
      <w:r>
        <w:rPr>
          <w:b/>
          <w:color w:val="1A4796"/>
          <w:spacing w:val="-2"/>
        </w:rPr>
        <w:t>On</w:t>
      </w:r>
      <w:r>
        <w:rPr>
          <w:b/>
          <w:color w:val="1A4796"/>
          <w:spacing w:val="-15"/>
        </w:rPr>
        <w:t> </w:t>
      </w:r>
      <w:r>
        <w:rPr>
          <w:b/>
          <w:color w:val="1A4796"/>
          <w:spacing w:val="-2"/>
        </w:rPr>
        <w:t>September</w:t>
      </w:r>
      <w:r>
        <w:rPr>
          <w:b/>
          <w:color w:val="1A4796"/>
          <w:spacing w:val="-15"/>
        </w:rPr>
        <w:t> </w:t>
      </w:r>
      <w:r>
        <w:rPr>
          <w:b/>
          <w:color w:val="1A4796"/>
          <w:spacing w:val="-2"/>
        </w:rPr>
        <w:t>21,</w:t>
      </w:r>
      <w:r>
        <w:rPr>
          <w:b/>
          <w:color w:val="1A4796"/>
          <w:spacing w:val="-14"/>
        </w:rPr>
        <w:t> </w:t>
      </w:r>
      <w:r>
        <w:rPr>
          <w:b/>
          <w:color w:val="1A4796"/>
          <w:spacing w:val="-2"/>
        </w:rPr>
        <w:t>2022,</w:t>
      </w:r>
      <w:r>
        <w:rPr>
          <w:b/>
          <w:color w:val="1A4796"/>
          <w:spacing w:val="-15"/>
        </w:rPr>
        <w:t> </w:t>
      </w:r>
      <w:r>
        <w:rPr>
          <w:color w:val="231F20"/>
          <w:spacing w:val="-2"/>
        </w:rPr>
        <w:t>83</w:t>
      </w:r>
      <w:r>
        <w:rPr>
          <w:color w:val="231F20"/>
          <w:spacing w:val="-14"/>
        </w:rPr>
        <w:t> </w:t>
      </w:r>
      <w:r>
        <w:rPr>
          <w:color w:val="231F20"/>
          <w:spacing w:val="-2"/>
        </w:rPr>
        <w:t>Colombian deputies</w:t>
      </w:r>
      <w:r>
        <w:rPr>
          <w:color w:val="231F20"/>
          <w:spacing w:val="-12"/>
        </w:rPr>
        <w:t> </w:t>
      </w:r>
      <w:r>
        <w:rPr>
          <w:color w:val="231F20"/>
          <w:spacing w:val="-2"/>
        </w:rPr>
        <w:t>sent</w:t>
      </w:r>
      <w:r>
        <w:rPr>
          <w:color w:val="231F20"/>
          <w:spacing w:val="-12"/>
        </w:rPr>
        <w:t> </w:t>
      </w:r>
      <w:r>
        <w:rPr>
          <w:color w:val="231F20"/>
          <w:spacing w:val="-2"/>
        </w:rPr>
        <w:t>a</w:t>
      </w:r>
      <w:r>
        <w:rPr>
          <w:color w:val="231F20"/>
          <w:spacing w:val="-12"/>
        </w:rPr>
        <w:t> </w:t>
      </w:r>
      <w:r>
        <w:rPr>
          <w:color w:val="231F20"/>
          <w:spacing w:val="-2"/>
        </w:rPr>
        <w:t>letter</w:t>
      </w:r>
      <w:r>
        <w:rPr>
          <w:color w:val="231F20"/>
          <w:spacing w:val="-12"/>
        </w:rPr>
        <w:t> </w:t>
      </w:r>
      <w:r>
        <w:rPr>
          <w:color w:val="231F20"/>
          <w:spacing w:val="-2"/>
        </w:rPr>
        <w:t>calling</w:t>
      </w:r>
      <w:r>
        <w:rPr>
          <w:color w:val="231F20"/>
          <w:spacing w:val="-12"/>
        </w:rPr>
        <w:t> </w:t>
      </w:r>
      <w:r>
        <w:rPr>
          <w:color w:val="231F20"/>
          <w:spacing w:val="-2"/>
        </w:rPr>
        <w:t>for</w:t>
      </w:r>
      <w:r>
        <w:rPr>
          <w:color w:val="231F20"/>
          <w:spacing w:val="-12"/>
        </w:rPr>
        <w:t> </w:t>
      </w:r>
      <w:r>
        <w:rPr>
          <w:color w:val="231F20"/>
          <w:spacing w:val="-2"/>
        </w:rPr>
        <w:t>removal </w:t>
      </w:r>
      <w:r>
        <w:rPr>
          <w:color w:val="231F20"/>
        </w:rPr>
        <w:t>of Cuba from the illegitimate list </w:t>
      </w:r>
      <w:r>
        <w:rPr>
          <w:color w:val="231F20"/>
        </w:rPr>
        <w:t>of state sponsors of terrorism, addressed to:</w:t>
      </w:r>
      <w:r>
        <w:rPr>
          <w:color w:val="231F20"/>
          <w:spacing w:val="40"/>
        </w:rPr>
        <w:t> </w:t>
      </w:r>
      <w:r>
        <w:rPr>
          <w:color w:val="231F20"/>
        </w:rPr>
        <w:t>U.S.</w:t>
      </w:r>
      <w:r>
        <w:rPr>
          <w:color w:val="231F20"/>
          <w:spacing w:val="40"/>
        </w:rPr>
        <w:t> </w:t>
      </w:r>
      <w:r>
        <w:rPr>
          <w:color w:val="231F20"/>
        </w:rPr>
        <w:t>vice</w:t>
      </w:r>
      <w:r>
        <w:rPr>
          <w:color w:val="231F20"/>
          <w:spacing w:val="40"/>
        </w:rPr>
        <w:t> </w:t>
      </w:r>
      <w:r>
        <w:rPr>
          <w:color w:val="231F20"/>
        </w:rPr>
        <w:t>president</w:t>
      </w:r>
      <w:r>
        <w:rPr>
          <w:color w:val="231F20"/>
          <w:spacing w:val="40"/>
        </w:rPr>
        <w:t> </w:t>
      </w:r>
      <w:r>
        <w:rPr>
          <w:color w:val="231F20"/>
        </w:rPr>
        <w:t>and</w:t>
      </w:r>
      <w:r>
        <w:rPr>
          <w:color w:val="231F20"/>
          <w:spacing w:val="40"/>
        </w:rPr>
        <w:t> </w:t>
      </w:r>
      <w:r>
        <w:rPr>
          <w:color w:val="231F20"/>
        </w:rPr>
        <w:t>president of the Senate Kamala Harris; speaker</w:t>
      </w:r>
      <w:r>
        <w:rPr>
          <w:color w:val="231F20"/>
          <w:spacing w:val="80"/>
        </w:rPr>
        <w:t> </w:t>
      </w:r>
      <w:r>
        <w:rPr>
          <w:color w:val="231F20"/>
        </w:rPr>
        <w:t>of the U.S. House of Representatives Nancy</w:t>
      </w:r>
      <w:r>
        <w:rPr>
          <w:color w:val="231F20"/>
          <w:spacing w:val="-6"/>
        </w:rPr>
        <w:t> </w:t>
      </w:r>
      <w:r>
        <w:rPr>
          <w:color w:val="231F20"/>
        </w:rPr>
        <w:t>Pelosi;</w:t>
      </w:r>
      <w:r>
        <w:rPr>
          <w:color w:val="231F20"/>
          <w:spacing w:val="-6"/>
        </w:rPr>
        <w:t> </w:t>
      </w:r>
      <w:r>
        <w:rPr>
          <w:color w:val="231F20"/>
        </w:rPr>
        <w:t>and</w:t>
      </w:r>
      <w:r>
        <w:rPr>
          <w:color w:val="231F20"/>
          <w:spacing w:val="-6"/>
        </w:rPr>
        <w:t> </w:t>
      </w:r>
      <w:r>
        <w:rPr>
          <w:color w:val="231F20"/>
        </w:rPr>
        <w:t>president</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77th session of the UN General Assembly Csaba Kőrösi.</w:t>
      </w:r>
    </w:p>
    <w:p>
      <w:pPr>
        <w:pStyle w:val="BodyText"/>
        <w:spacing w:before="168"/>
        <w:ind w:left="1394"/>
      </w:pPr>
      <w:r>
        <w:rPr/>
        <mc:AlternateContent>
          <mc:Choice Requires="wps">
            <w:drawing>
              <wp:anchor distT="0" distB="0" distL="0" distR="0" allowOverlap="1" layoutInCell="1" locked="0" behindDoc="0" simplePos="0" relativeHeight="15806464">
                <wp:simplePos x="0" y="0"/>
                <wp:positionH relativeFrom="page">
                  <wp:posOffset>719997</wp:posOffset>
                </wp:positionH>
                <wp:positionV relativeFrom="paragraph">
                  <wp:posOffset>190680</wp:posOffset>
                </wp:positionV>
                <wp:extent cx="59690" cy="59690"/>
                <wp:effectExtent l="0" t="0" r="0" b="0"/>
                <wp:wrapNone/>
                <wp:docPr id="317" name="Graphic 317"/>
                <wp:cNvGraphicFramePr>
                  <a:graphicFrameLocks/>
                </wp:cNvGraphicFramePr>
                <a:graphic>
                  <a:graphicData uri="http://schemas.microsoft.com/office/word/2010/wordprocessingShape">
                    <wps:wsp>
                      <wps:cNvPr id="317" name="Graphic 31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5.014213pt;width:4.7pt;height:4.7pt;mso-position-horizontal-relative:page;mso-position-vertical-relative:paragraph;z-index:15806464" id="docshape253" coordorigin="1134,300" coordsize="94,94" path="m1180,300l1162,304,1148,314,1138,329,1134,347,1138,365,1148,380,1162,390,1180,394,1199,390,1213,380,1223,365,1227,347,1223,329,1213,314,1199,304,1180,300xe" filled="true" fillcolor="#1a4796" stroked="false">
                <v:path arrowok="t"/>
                <v:fill type="solid"/>
                <w10:wrap type="none"/>
              </v:shape>
            </w:pict>
          </mc:Fallback>
        </mc:AlternateContent>
      </w:r>
      <w:r>
        <w:rPr>
          <w:b/>
          <w:color w:val="1A4796"/>
        </w:rPr>
        <w:t>On September 23, 2022, </w:t>
      </w:r>
      <w:r>
        <w:rPr>
          <w:color w:val="231F20"/>
        </w:rPr>
        <w:t>the 22nd Meeting of the ALBA-TCP Political Council, held in New York within </w:t>
      </w:r>
      <w:r>
        <w:rPr>
          <w:color w:val="231F20"/>
        </w:rPr>
        <w:t>the framework of the 77th session of the UN</w:t>
      </w:r>
      <w:r>
        <w:rPr>
          <w:color w:val="231F20"/>
          <w:spacing w:val="-17"/>
        </w:rPr>
        <w:t> </w:t>
      </w:r>
      <w:r>
        <w:rPr>
          <w:color w:val="231F20"/>
        </w:rPr>
        <w:t>General</w:t>
      </w:r>
      <w:r>
        <w:rPr>
          <w:color w:val="231F20"/>
          <w:spacing w:val="-16"/>
        </w:rPr>
        <w:t> </w:t>
      </w:r>
      <w:r>
        <w:rPr>
          <w:color w:val="231F20"/>
        </w:rPr>
        <w:t>Assembly</w:t>
      </w:r>
      <w:r>
        <w:rPr>
          <w:color w:val="231F20"/>
          <w:spacing w:val="-17"/>
        </w:rPr>
        <w:t> </w:t>
      </w:r>
      <w:r>
        <w:rPr>
          <w:color w:val="231F20"/>
        </w:rPr>
        <w:t>(UNGA</w:t>
      </w:r>
      <w:r>
        <w:rPr>
          <w:color w:val="231F20"/>
          <w:spacing w:val="-16"/>
        </w:rPr>
        <w:t> </w:t>
      </w:r>
      <w:r>
        <w:rPr>
          <w:color w:val="231F20"/>
        </w:rPr>
        <w:t>77)</w:t>
      </w:r>
      <w:r>
        <w:rPr>
          <w:color w:val="231F20"/>
          <w:spacing w:val="-17"/>
        </w:rPr>
        <w:t> </w:t>
      </w:r>
      <w:r>
        <w:rPr>
          <w:color w:val="231F20"/>
        </w:rPr>
        <w:t>issued a statement calling for the immediate, unconditional elimination of the blockade</w:t>
      </w:r>
      <w:r>
        <w:rPr>
          <w:color w:val="231F20"/>
          <w:spacing w:val="-4"/>
        </w:rPr>
        <w:t> </w:t>
      </w:r>
      <w:r>
        <w:rPr>
          <w:color w:val="231F20"/>
        </w:rPr>
        <w:t>on</w:t>
      </w:r>
      <w:r>
        <w:rPr>
          <w:color w:val="231F20"/>
          <w:spacing w:val="-4"/>
        </w:rPr>
        <w:t> </w:t>
      </w:r>
      <w:r>
        <w:rPr>
          <w:color w:val="231F20"/>
        </w:rPr>
        <w:t>Cuba</w:t>
      </w:r>
      <w:r>
        <w:rPr>
          <w:color w:val="231F20"/>
          <w:spacing w:val="-4"/>
        </w:rPr>
        <w:t> </w:t>
      </w:r>
      <w:r>
        <w:rPr>
          <w:color w:val="231F20"/>
        </w:rPr>
        <w:t>and</w:t>
      </w:r>
      <w:r>
        <w:rPr>
          <w:color w:val="231F20"/>
          <w:spacing w:val="-4"/>
        </w:rPr>
        <w:t> </w:t>
      </w:r>
      <w:r>
        <w:rPr>
          <w:color w:val="231F20"/>
        </w:rPr>
        <w:t>demanding</w:t>
      </w:r>
      <w:r>
        <w:rPr>
          <w:color w:val="231F20"/>
          <w:spacing w:val="-4"/>
        </w:rPr>
        <w:t> </w:t>
      </w:r>
      <w:r>
        <w:rPr>
          <w:color w:val="231F20"/>
        </w:rPr>
        <w:t>that the</w:t>
      </w:r>
      <w:r>
        <w:rPr>
          <w:color w:val="231F20"/>
          <w:spacing w:val="-17"/>
        </w:rPr>
        <w:t> </w:t>
      </w:r>
      <w:r>
        <w:rPr>
          <w:color w:val="231F20"/>
        </w:rPr>
        <w:t>U.S.</w:t>
      </w:r>
      <w:r>
        <w:rPr>
          <w:color w:val="231F20"/>
          <w:spacing w:val="-16"/>
        </w:rPr>
        <w:t> </w:t>
      </w:r>
      <w:r>
        <w:rPr>
          <w:color w:val="231F20"/>
        </w:rPr>
        <w:t>government</w:t>
      </w:r>
      <w:r>
        <w:rPr>
          <w:color w:val="231F20"/>
          <w:spacing w:val="-17"/>
        </w:rPr>
        <w:t> </w:t>
      </w:r>
      <w:r>
        <w:rPr>
          <w:color w:val="231F20"/>
        </w:rPr>
        <w:t>remove</w:t>
      </w:r>
      <w:r>
        <w:rPr>
          <w:color w:val="231F20"/>
          <w:spacing w:val="-16"/>
        </w:rPr>
        <w:t> </w:t>
      </w:r>
      <w:r>
        <w:rPr>
          <w:color w:val="231F20"/>
        </w:rPr>
        <w:t>Cuba</w:t>
      </w:r>
      <w:r>
        <w:rPr>
          <w:color w:val="231F20"/>
          <w:spacing w:val="-17"/>
        </w:rPr>
        <w:t> </w:t>
      </w:r>
      <w:r>
        <w:rPr>
          <w:color w:val="231F20"/>
        </w:rPr>
        <w:t>from the list of state sponsors of terrorism.</w:t>
      </w:r>
    </w:p>
    <w:p>
      <w:pPr>
        <w:spacing w:before="168"/>
        <w:ind w:left="1394" w:right="1" w:firstLine="0"/>
        <w:jc w:val="both"/>
        <w:rPr>
          <w:sz w:val="24"/>
        </w:rPr>
      </w:pPr>
      <w:r>
        <w:rPr/>
        <mc:AlternateContent>
          <mc:Choice Requires="wps">
            <w:drawing>
              <wp:anchor distT="0" distB="0" distL="0" distR="0" allowOverlap="1" layoutInCell="1" locked="0" behindDoc="0" simplePos="0" relativeHeight="15805440">
                <wp:simplePos x="0" y="0"/>
                <wp:positionH relativeFrom="page">
                  <wp:posOffset>719997</wp:posOffset>
                </wp:positionH>
                <wp:positionV relativeFrom="paragraph">
                  <wp:posOffset>188161</wp:posOffset>
                </wp:positionV>
                <wp:extent cx="59690" cy="59690"/>
                <wp:effectExtent l="0" t="0" r="0" b="0"/>
                <wp:wrapNone/>
                <wp:docPr id="318" name="Graphic 318"/>
                <wp:cNvGraphicFramePr>
                  <a:graphicFrameLocks/>
                </wp:cNvGraphicFramePr>
                <a:graphic>
                  <a:graphicData uri="http://schemas.microsoft.com/office/word/2010/wordprocessingShape">
                    <wps:wsp>
                      <wps:cNvPr id="318" name="Graphic 31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815838pt;width:4.7pt;height:4.7pt;mso-position-horizontal-relative:page;mso-position-vertical-relative:paragraph;z-index:15805440" id="docshape254" coordorigin="1134,296" coordsize="94,94" path="m1180,296l1162,300,1148,310,1138,325,1134,343,1138,361,1148,376,1162,386,1180,390,1199,386,1213,376,1223,361,1227,343,1223,325,1213,310,1199,300,1180,296xe" filled="true" fillcolor="#1a4796" stroked="false">
                <v:path arrowok="t"/>
                <v:fill type="solid"/>
                <w10:wrap type="none"/>
              </v:shape>
            </w:pict>
          </mc:Fallback>
        </mc:AlternateContent>
      </w:r>
      <w:r>
        <w:rPr>
          <w:b/>
          <w:color w:val="1A4796"/>
          <w:sz w:val="24"/>
        </w:rPr>
        <w:t>On October 12, 2022,</w:t>
      </w:r>
      <w:r>
        <w:rPr>
          <w:b/>
          <w:color w:val="1A4796"/>
          <w:spacing w:val="-1"/>
          <w:sz w:val="24"/>
        </w:rPr>
        <w:t> </w:t>
      </w:r>
      <w:r>
        <w:rPr>
          <w:color w:val="231F20"/>
          <w:sz w:val="24"/>
        </w:rPr>
        <w:t>The Association of</w:t>
      </w:r>
      <w:r>
        <w:rPr>
          <w:color w:val="231F20"/>
          <w:spacing w:val="-4"/>
          <w:sz w:val="24"/>
        </w:rPr>
        <w:t> </w:t>
      </w:r>
      <w:r>
        <w:rPr>
          <w:color w:val="231F20"/>
          <w:sz w:val="24"/>
        </w:rPr>
        <w:t>Cubans</w:t>
      </w:r>
      <w:r>
        <w:rPr>
          <w:color w:val="231F20"/>
          <w:spacing w:val="-4"/>
          <w:sz w:val="24"/>
        </w:rPr>
        <w:t> </w:t>
      </w:r>
      <w:r>
        <w:rPr>
          <w:color w:val="231F20"/>
          <w:sz w:val="24"/>
        </w:rPr>
        <w:t>Resident</w:t>
      </w:r>
      <w:r>
        <w:rPr>
          <w:color w:val="231F20"/>
          <w:spacing w:val="-4"/>
          <w:sz w:val="24"/>
        </w:rPr>
        <w:t> </w:t>
      </w:r>
      <w:r>
        <w:rPr>
          <w:color w:val="231F20"/>
          <w:sz w:val="24"/>
        </w:rPr>
        <w:t>in</w:t>
      </w:r>
      <w:r>
        <w:rPr>
          <w:color w:val="231F20"/>
          <w:spacing w:val="-4"/>
          <w:sz w:val="24"/>
        </w:rPr>
        <w:t> </w:t>
      </w:r>
      <w:r>
        <w:rPr>
          <w:color w:val="231F20"/>
          <w:sz w:val="24"/>
        </w:rPr>
        <w:t>Panama</w:t>
      </w:r>
      <w:r>
        <w:rPr>
          <w:color w:val="231F20"/>
          <w:spacing w:val="-4"/>
          <w:sz w:val="24"/>
        </w:rPr>
        <w:t> </w:t>
      </w:r>
      <w:r>
        <w:rPr>
          <w:color w:val="231F20"/>
          <w:sz w:val="24"/>
        </w:rPr>
        <w:t>wrote</w:t>
      </w:r>
      <w:r>
        <w:rPr>
          <w:color w:val="231F20"/>
          <w:spacing w:val="-4"/>
          <w:sz w:val="24"/>
        </w:rPr>
        <w:t> </w:t>
      </w:r>
      <w:r>
        <w:rPr>
          <w:color w:val="231F20"/>
          <w:spacing w:val="-5"/>
          <w:sz w:val="24"/>
        </w:rPr>
        <w:t>to</w:t>
      </w:r>
    </w:p>
    <w:p>
      <w:pPr>
        <w:pStyle w:val="BodyText"/>
        <w:spacing w:before="1"/>
        <w:ind w:left="1394"/>
      </w:pPr>
      <w:r>
        <w:rPr>
          <w:color w:val="231F20"/>
          <w:spacing w:val="-6"/>
        </w:rPr>
        <w:t>U.S.</w:t>
      </w:r>
      <w:r>
        <w:rPr>
          <w:color w:val="231F20"/>
          <w:spacing w:val="-11"/>
        </w:rPr>
        <w:t> </w:t>
      </w:r>
      <w:r>
        <w:rPr>
          <w:color w:val="231F20"/>
          <w:spacing w:val="-6"/>
        </w:rPr>
        <w:t>ambassador</w:t>
      </w:r>
      <w:r>
        <w:rPr>
          <w:color w:val="231F20"/>
          <w:spacing w:val="-10"/>
        </w:rPr>
        <w:t> </w:t>
      </w:r>
      <w:r>
        <w:rPr>
          <w:color w:val="231F20"/>
          <w:spacing w:val="-6"/>
        </w:rPr>
        <w:t>to</w:t>
      </w:r>
      <w:r>
        <w:rPr>
          <w:color w:val="231F20"/>
          <w:spacing w:val="-11"/>
        </w:rPr>
        <w:t> </w:t>
      </w:r>
      <w:r>
        <w:rPr>
          <w:color w:val="231F20"/>
          <w:spacing w:val="-6"/>
        </w:rPr>
        <w:t>Panama</w:t>
      </w:r>
      <w:r>
        <w:rPr>
          <w:color w:val="231F20"/>
          <w:spacing w:val="-10"/>
        </w:rPr>
        <w:t> </w:t>
      </w:r>
      <w:r>
        <w:rPr>
          <w:color w:val="231F20"/>
          <w:spacing w:val="-6"/>
        </w:rPr>
        <w:t>Mari</w:t>
      </w:r>
      <w:r>
        <w:rPr>
          <w:color w:val="231F20"/>
          <w:spacing w:val="-11"/>
        </w:rPr>
        <w:t> </w:t>
      </w:r>
      <w:r>
        <w:rPr>
          <w:color w:val="231F20"/>
          <w:spacing w:val="-6"/>
        </w:rPr>
        <w:t>Carmen </w:t>
      </w:r>
      <w:r>
        <w:rPr>
          <w:color w:val="231F20"/>
        </w:rPr>
        <w:t>Aponte, condemning the blockade on </w:t>
      </w:r>
      <w:r>
        <w:rPr>
          <w:color w:val="231F20"/>
          <w:spacing w:val="-4"/>
        </w:rPr>
        <w:t>Cuba</w:t>
      </w:r>
      <w:r>
        <w:rPr>
          <w:color w:val="231F20"/>
          <w:spacing w:val="-13"/>
        </w:rPr>
        <w:t> </w:t>
      </w:r>
      <w:r>
        <w:rPr>
          <w:color w:val="231F20"/>
          <w:spacing w:val="-4"/>
        </w:rPr>
        <w:t>and</w:t>
      </w:r>
      <w:r>
        <w:rPr>
          <w:color w:val="231F20"/>
          <w:spacing w:val="-12"/>
        </w:rPr>
        <w:t> </w:t>
      </w:r>
      <w:r>
        <w:rPr>
          <w:color w:val="231F20"/>
          <w:spacing w:val="-4"/>
        </w:rPr>
        <w:t>calling</w:t>
      </w:r>
      <w:r>
        <w:rPr>
          <w:color w:val="231F20"/>
          <w:spacing w:val="-12"/>
        </w:rPr>
        <w:t> </w:t>
      </w:r>
      <w:r>
        <w:rPr>
          <w:color w:val="231F20"/>
          <w:spacing w:val="-4"/>
        </w:rPr>
        <w:t>for</w:t>
      </w:r>
      <w:r>
        <w:rPr>
          <w:color w:val="231F20"/>
          <w:spacing w:val="-12"/>
        </w:rPr>
        <w:t> </w:t>
      </w:r>
      <w:r>
        <w:rPr>
          <w:color w:val="231F20"/>
          <w:spacing w:val="-4"/>
        </w:rPr>
        <w:t>its</w:t>
      </w:r>
      <w:r>
        <w:rPr>
          <w:color w:val="231F20"/>
          <w:spacing w:val="-12"/>
        </w:rPr>
        <w:t> </w:t>
      </w:r>
      <w:r>
        <w:rPr>
          <w:color w:val="231F20"/>
          <w:spacing w:val="-4"/>
        </w:rPr>
        <w:t>immediate</w:t>
      </w:r>
      <w:r>
        <w:rPr>
          <w:color w:val="231F20"/>
          <w:spacing w:val="-12"/>
        </w:rPr>
        <w:t> </w:t>
      </w:r>
      <w:r>
        <w:rPr>
          <w:color w:val="231F20"/>
          <w:spacing w:val="-4"/>
        </w:rPr>
        <w:t>lifting.</w:t>
      </w:r>
    </w:p>
    <w:p>
      <w:pPr>
        <w:pStyle w:val="BodyText"/>
        <w:spacing w:before="163"/>
        <w:ind w:left="1394"/>
      </w:pPr>
      <w:r>
        <w:rPr/>
        <mc:AlternateContent>
          <mc:Choice Requires="wps">
            <w:drawing>
              <wp:anchor distT="0" distB="0" distL="0" distR="0" allowOverlap="1" layoutInCell="1" locked="0" behindDoc="0" simplePos="0" relativeHeight="15805952">
                <wp:simplePos x="0" y="0"/>
                <wp:positionH relativeFrom="page">
                  <wp:posOffset>719997</wp:posOffset>
                </wp:positionH>
                <wp:positionV relativeFrom="paragraph">
                  <wp:posOffset>185125</wp:posOffset>
                </wp:positionV>
                <wp:extent cx="59690" cy="59690"/>
                <wp:effectExtent l="0" t="0" r="0" b="0"/>
                <wp:wrapNone/>
                <wp:docPr id="319" name="Graphic 319"/>
                <wp:cNvGraphicFramePr>
                  <a:graphicFrameLocks/>
                </wp:cNvGraphicFramePr>
                <a:graphic>
                  <a:graphicData uri="http://schemas.microsoft.com/office/word/2010/wordprocessingShape">
                    <wps:wsp>
                      <wps:cNvPr id="319" name="Graphic 31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57685pt;width:4.7pt;height:4.7pt;mso-position-horizontal-relative:page;mso-position-vertical-relative:paragraph;z-index:15805952" id="docshape255" coordorigin="1134,292" coordsize="94,94" path="m1180,292l1162,295,1148,305,1138,320,1134,338,1138,356,1148,371,1162,381,1180,385,1199,381,1213,371,1223,356,1227,338,1223,320,1213,305,1199,295,1180,292xe" filled="true" fillcolor="#1a4796" stroked="false">
                <v:path arrowok="t"/>
                <v:fill type="solid"/>
                <w10:wrap type="none"/>
              </v:shape>
            </w:pict>
          </mc:Fallback>
        </mc:AlternateContent>
      </w:r>
      <w:r>
        <w:rPr>
          <w:b/>
          <w:color w:val="1A4796"/>
        </w:rPr>
        <w:t>On October 26, 2022, </w:t>
      </w:r>
      <w:r>
        <w:rPr>
          <w:color w:val="231F20"/>
        </w:rPr>
        <w:t>at the 23rd Meeting of the Ministers of Foreign Affairs of the Community of </w:t>
      </w:r>
      <w:r>
        <w:rPr>
          <w:color w:val="231F20"/>
        </w:rPr>
        <w:t>Latin American &amp; Caribbean States (CELAC) held in Buenos Aires, a declaration was issued reiterating the call at the UN General Assembly to end the blockade on Cuba which, apart from being contrary to international law, seriously undermines</w:t>
      </w:r>
      <w:r>
        <w:rPr>
          <w:color w:val="231F20"/>
          <w:spacing w:val="-12"/>
        </w:rPr>
        <w:t> </w:t>
      </w:r>
      <w:r>
        <w:rPr>
          <w:color w:val="231F20"/>
        </w:rPr>
        <w:t>the</w:t>
      </w:r>
      <w:r>
        <w:rPr>
          <w:color w:val="231F20"/>
          <w:spacing w:val="-12"/>
        </w:rPr>
        <w:t> </w:t>
      </w:r>
      <w:r>
        <w:rPr>
          <w:color w:val="231F20"/>
        </w:rPr>
        <w:t>wellbeing</w:t>
      </w:r>
      <w:r>
        <w:rPr>
          <w:color w:val="231F20"/>
          <w:spacing w:val="-12"/>
        </w:rPr>
        <w:t> </w:t>
      </w:r>
      <w:r>
        <w:rPr>
          <w:color w:val="231F20"/>
        </w:rPr>
        <w:t>of</w:t>
      </w:r>
      <w:r>
        <w:rPr>
          <w:color w:val="231F20"/>
          <w:spacing w:val="-12"/>
        </w:rPr>
        <w:t> </w:t>
      </w:r>
      <w:r>
        <w:rPr>
          <w:color w:val="231F20"/>
        </w:rPr>
        <w:t>the</w:t>
      </w:r>
      <w:r>
        <w:rPr>
          <w:color w:val="231F20"/>
          <w:spacing w:val="-12"/>
        </w:rPr>
        <w:t> </w:t>
      </w:r>
      <w:r>
        <w:rPr>
          <w:color w:val="231F20"/>
        </w:rPr>
        <w:t>Cuban people. Also again condemned were the unilateral lists and certifications affecting</w:t>
      </w:r>
      <w:r>
        <w:rPr>
          <w:color w:val="231F20"/>
          <w:spacing w:val="-13"/>
        </w:rPr>
        <w:t> </w:t>
      </w:r>
      <w:r>
        <w:rPr>
          <w:color w:val="231F20"/>
        </w:rPr>
        <w:t>Latin</w:t>
      </w:r>
      <w:r>
        <w:rPr>
          <w:color w:val="231F20"/>
          <w:spacing w:val="-13"/>
        </w:rPr>
        <w:t> </w:t>
      </w:r>
      <w:r>
        <w:rPr>
          <w:color w:val="231F20"/>
        </w:rPr>
        <w:t>American</w:t>
      </w:r>
      <w:r>
        <w:rPr>
          <w:color w:val="231F20"/>
          <w:spacing w:val="-13"/>
        </w:rPr>
        <w:t> </w:t>
      </w:r>
      <w:r>
        <w:rPr>
          <w:color w:val="231F20"/>
        </w:rPr>
        <w:t>and</w:t>
      </w:r>
      <w:r>
        <w:rPr>
          <w:color w:val="231F20"/>
          <w:spacing w:val="-13"/>
        </w:rPr>
        <w:t> </w:t>
      </w:r>
      <w:r>
        <w:rPr>
          <w:color w:val="231F20"/>
        </w:rPr>
        <w:t>Caribbean countries.</w:t>
      </w:r>
      <w:r>
        <w:rPr>
          <w:color w:val="231F20"/>
          <w:spacing w:val="57"/>
        </w:rPr>
        <w:t> </w:t>
      </w:r>
      <w:r>
        <w:rPr>
          <w:color w:val="231F20"/>
        </w:rPr>
        <w:t>In</w:t>
      </w:r>
      <w:r>
        <w:rPr>
          <w:color w:val="231F20"/>
          <w:spacing w:val="57"/>
        </w:rPr>
        <w:t> </w:t>
      </w:r>
      <w:r>
        <w:rPr>
          <w:color w:val="231F20"/>
        </w:rPr>
        <w:t>this</w:t>
      </w:r>
      <w:r>
        <w:rPr>
          <w:color w:val="231F20"/>
          <w:spacing w:val="57"/>
        </w:rPr>
        <w:t> </w:t>
      </w:r>
      <w:r>
        <w:rPr>
          <w:color w:val="231F20"/>
        </w:rPr>
        <w:t>regard,</w:t>
      </w:r>
      <w:r>
        <w:rPr>
          <w:color w:val="231F20"/>
          <w:spacing w:val="57"/>
        </w:rPr>
        <w:t> </w:t>
      </w:r>
      <w:r>
        <w:rPr>
          <w:color w:val="231F20"/>
        </w:rPr>
        <w:t>the</w:t>
      </w:r>
      <w:r>
        <w:rPr>
          <w:color w:val="231F20"/>
          <w:spacing w:val="58"/>
        </w:rPr>
        <w:t> </w:t>
      </w:r>
      <w:r>
        <w:rPr>
          <w:color w:val="231F20"/>
          <w:spacing w:val="-2"/>
        </w:rPr>
        <w:t>region’s</w:t>
      </w:r>
    </w:p>
    <w:p>
      <w:pPr>
        <w:pStyle w:val="BodyText"/>
        <w:spacing w:before="77"/>
        <w:ind w:left="673" w:right="1471"/>
      </w:pPr>
      <w:r>
        <w:rPr/>
        <w:br w:type="column"/>
      </w:r>
      <w:r>
        <w:rPr>
          <w:color w:val="231F20"/>
        </w:rPr>
        <w:t>foreign ministers expressly called for removal of Cuba from the unilateral</w:t>
      </w:r>
      <w:r>
        <w:rPr>
          <w:color w:val="231F20"/>
          <w:spacing w:val="80"/>
        </w:rPr>
        <w:t> </w:t>
      </w:r>
      <w:r>
        <w:rPr>
          <w:color w:val="231F20"/>
        </w:rPr>
        <w:t>list of countries allegedly sponsoring international terrorism.</w:t>
      </w:r>
    </w:p>
    <w:p>
      <w:pPr>
        <w:pStyle w:val="BodyText"/>
        <w:spacing w:before="163"/>
        <w:ind w:left="673" w:right="1470"/>
      </w:pPr>
      <w:r>
        <w:rPr/>
        <mc:AlternateContent>
          <mc:Choice Requires="wps">
            <w:drawing>
              <wp:anchor distT="0" distB="0" distL="0" distR="0" allowOverlap="1" layoutInCell="1" locked="0" behindDoc="0" simplePos="0" relativeHeight="15807488">
                <wp:simplePos x="0" y="0"/>
                <wp:positionH relativeFrom="page">
                  <wp:posOffset>3815998</wp:posOffset>
                </wp:positionH>
                <wp:positionV relativeFrom="paragraph">
                  <wp:posOffset>190086</wp:posOffset>
                </wp:positionV>
                <wp:extent cx="59690" cy="59690"/>
                <wp:effectExtent l="0" t="0" r="0" b="0"/>
                <wp:wrapNone/>
                <wp:docPr id="320" name="Graphic 320"/>
                <wp:cNvGraphicFramePr>
                  <a:graphicFrameLocks/>
                </wp:cNvGraphicFramePr>
                <a:graphic>
                  <a:graphicData uri="http://schemas.microsoft.com/office/word/2010/wordprocessingShape">
                    <wps:wsp>
                      <wps:cNvPr id="320" name="Graphic 32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96745pt;width:4.7pt;height:4.7pt;mso-position-horizontal-relative:page;mso-position-vertical-relative:paragraph;z-index:15807488" id="docshape256" coordorigin="6009,299" coordsize="94,94" path="m6056,299l6038,303,6023,313,6013,328,6009,346,6013,364,6023,379,6038,389,6056,393,6074,389,6089,379,6099,364,6103,346,6099,328,6089,313,6074,303,6056,299xe" filled="true" fillcolor="#1a4796" stroked="false">
                <v:path arrowok="t"/>
                <v:fill type="solid"/>
                <w10:wrap type="none"/>
              </v:shape>
            </w:pict>
          </mc:Fallback>
        </mc:AlternateContent>
      </w:r>
      <w:r>
        <w:rPr>
          <w:b/>
          <w:color w:val="1A4796"/>
        </w:rPr>
        <w:t>On October 27, 2022, </w:t>
      </w:r>
      <w:r>
        <w:rPr>
          <w:color w:val="231F20"/>
        </w:rPr>
        <w:t>a public parliamentary hearing against </w:t>
      </w:r>
      <w:r>
        <w:rPr>
          <w:color w:val="231F20"/>
        </w:rPr>
        <w:t>the blockade was held in Havana at the </w:t>
      </w:r>
      <w:r>
        <w:rPr>
          <w:color w:val="231F20"/>
          <w:spacing w:val="-2"/>
        </w:rPr>
        <w:t>instance</w:t>
      </w:r>
      <w:r>
        <w:rPr>
          <w:color w:val="231F20"/>
          <w:spacing w:val="-15"/>
        </w:rPr>
        <w:t> </w:t>
      </w:r>
      <w:r>
        <w:rPr>
          <w:color w:val="231F20"/>
          <w:spacing w:val="-2"/>
        </w:rPr>
        <w:t>of</w:t>
      </w:r>
      <w:r>
        <w:rPr>
          <w:color w:val="231F20"/>
          <w:spacing w:val="-14"/>
        </w:rPr>
        <w:t> </w:t>
      </w:r>
      <w:r>
        <w:rPr>
          <w:color w:val="231F20"/>
          <w:spacing w:val="-2"/>
        </w:rPr>
        <w:t>the</w:t>
      </w:r>
      <w:r>
        <w:rPr>
          <w:color w:val="231F20"/>
          <w:spacing w:val="-15"/>
        </w:rPr>
        <w:t> </w:t>
      </w:r>
      <w:r>
        <w:rPr>
          <w:color w:val="231F20"/>
          <w:spacing w:val="-2"/>
        </w:rPr>
        <w:t>National</w:t>
      </w:r>
      <w:r>
        <w:rPr>
          <w:color w:val="231F20"/>
          <w:spacing w:val="-14"/>
        </w:rPr>
        <w:t> </w:t>
      </w:r>
      <w:r>
        <w:rPr>
          <w:color w:val="231F20"/>
          <w:spacing w:val="-2"/>
        </w:rPr>
        <w:t>Assembly</w:t>
      </w:r>
      <w:r>
        <w:rPr>
          <w:color w:val="231F20"/>
          <w:spacing w:val="-15"/>
        </w:rPr>
        <w:t> </w:t>
      </w:r>
      <w:r>
        <w:rPr>
          <w:color w:val="231F20"/>
          <w:spacing w:val="-2"/>
        </w:rPr>
        <w:t>of</w:t>
      </w:r>
      <w:r>
        <w:rPr>
          <w:color w:val="231F20"/>
          <w:spacing w:val="-14"/>
        </w:rPr>
        <w:t> </w:t>
      </w:r>
      <w:r>
        <w:rPr>
          <w:color w:val="231F20"/>
          <w:spacing w:val="-2"/>
        </w:rPr>
        <w:t>the </w:t>
      </w:r>
      <w:r>
        <w:rPr>
          <w:color w:val="231F20"/>
        </w:rPr>
        <w:t>People’s</w:t>
      </w:r>
      <w:r>
        <w:rPr>
          <w:color w:val="231F20"/>
          <w:spacing w:val="-17"/>
        </w:rPr>
        <w:t> </w:t>
      </w:r>
      <w:r>
        <w:rPr>
          <w:color w:val="231F20"/>
        </w:rPr>
        <w:t>Power.</w:t>
      </w:r>
      <w:r>
        <w:rPr>
          <w:color w:val="231F20"/>
          <w:spacing w:val="-16"/>
        </w:rPr>
        <w:t> </w:t>
      </w:r>
      <w:r>
        <w:rPr>
          <w:color w:val="231F20"/>
        </w:rPr>
        <w:t>The</w:t>
      </w:r>
      <w:r>
        <w:rPr>
          <w:color w:val="231F20"/>
          <w:spacing w:val="-17"/>
        </w:rPr>
        <w:t> </w:t>
      </w:r>
      <w:r>
        <w:rPr>
          <w:color w:val="231F20"/>
        </w:rPr>
        <w:t>event</w:t>
      </w:r>
      <w:r>
        <w:rPr>
          <w:color w:val="231F20"/>
          <w:spacing w:val="-16"/>
        </w:rPr>
        <w:t> </w:t>
      </w:r>
      <w:r>
        <w:rPr>
          <w:color w:val="231F20"/>
        </w:rPr>
        <w:t>was</w:t>
      </w:r>
      <w:r>
        <w:rPr>
          <w:color w:val="231F20"/>
          <w:spacing w:val="-17"/>
        </w:rPr>
        <w:t> </w:t>
      </w:r>
      <w:r>
        <w:rPr>
          <w:color w:val="231F20"/>
        </w:rPr>
        <w:t>attended by foreign as well as Cuban deputies, including Gloria Flórez, president of</w:t>
      </w:r>
      <w:r>
        <w:rPr>
          <w:color w:val="231F20"/>
          <w:spacing w:val="80"/>
        </w:rPr>
        <w:t> </w:t>
      </w:r>
      <w:r>
        <w:rPr>
          <w:color w:val="231F20"/>
        </w:rPr>
        <w:t>the Colombian senate’s International Relations Commission.</w:t>
      </w:r>
    </w:p>
    <w:p>
      <w:pPr>
        <w:spacing w:before="167"/>
        <w:ind w:left="673" w:right="1471" w:firstLine="0"/>
        <w:jc w:val="both"/>
        <w:rPr>
          <w:sz w:val="24"/>
        </w:rPr>
      </w:pPr>
      <w:r>
        <w:rPr/>
        <mc:AlternateContent>
          <mc:Choice Requires="wps">
            <w:drawing>
              <wp:anchor distT="0" distB="0" distL="0" distR="0" allowOverlap="1" layoutInCell="1" locked="0" behindDoc="0" simplePos="0" relativeHeight="15808000">
                <wp:simplePos x="0" y="0"/>
                <wp:positionH relativeFrom="page">
                  <wp:posOffset>3815998</wp:posOffset>
                </wp:positionH>
                <wp:positionV relativeFrom="paragraph">
                  <wp:posOffset>190045</wp:posOffset>
                </wp:positionV>
                <wp:extent cx="59690" cy="59690"/>
                <wp:effectExtent l="0" t="0" r="0" b="0"/>
                <wp:wrapNone/>
                <wp:docPr id="321" name="Graphic 321"/>
                <wp:cNvGraphicFramePr>
                  <a:graphicFrameLocks/>
                </wp:cNvGraphicFramePr>
                <a:graphic>
                  <a:graphicData uri="http://schemas.microsoft.com/office/word/2010/wordprocessingShape">
                    <wps:wsp>
                      <wps:cNvPr id="321" name="Graphic 32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964212pt;width:4.7pt;height:4.7pt;mso-position-horizontal-relative:page;mso-position-vertical-relative:paragraph;z-index:15808000" id="docshape257" coordorigin="6009,299" coordsize="94,94" path="m6056,299l6038,303,6023,313,6013,328,6009,346,6013,364,6023,379,6038,389,6056,393,6074,389,6089,379,6099,364,6103,346,6099,328,6089,313,6074,303,6056,299xe" filled="true" fillcolor="#1a4796" stroked="false">
                <v:path arrowok="t"/>
                <v:fill type="solid"/>
                <w10:wrap type="none"/>
              </v:shape>
            </w:pict>
          </mc:Fallback>
        </mc:AlternateContent>
      </w:r>
      <w:r>
        <w:rPr>
          <w:b/>
          <w:color w:val="1A4796"/>
          <w:sz w:val="24"/>
        </w:rPr>
        <w:t>Also</w:t>
      </w:r>
      <w:r>
        <w:rPr>
          <w:b/>
          <w:color w:val="1A4796"/>
          <w:spacing w:val="-17"/>
          <w:sz w:val="24"/>
        </w:rPr>
        <w:t> </w:t>
      </w:r>
      <w:r>
        <w:rPr>
          <w:b/>
          <w:color w:val="1A4796"/>
          <w:sz w:val="24"/>
        </w:rPr>
        <w:t>on</w:t>
      </w:r>
      <w:r>
        <w:rPr>
          <w:b/>
          <w:color w:val="1A4796"/>
          <w:spacing w:val="-17"/>
          <w:sz w:val="24"/>
        </w:rPr>
        <w:t> </w:t>
      </w:r>
      <w:r>
        <w:rPr>
          <w:b/>
          <w:color w:val="1A4796"/>
          <w:sz w:val="24"/>
        </w:rPr>
        <w:t>October</w:t>
      </w:r>
      <w:r>
        <w:rPr>
          <w:b/>
          <w:color w:val="1A4796"/>
          <w:spacing w:val="-16"/>
          <w:sz w:val="24"/>
        </w:rPr>
        <w:t> </w:t>
      </w:r>
      <w:r>
        <w:rPr>
          <w:b/>
          <w:color w:val="1A4796"/>
          <w:sz w:val="24"/>
        </w:rPr>
        <w:t>27,</w:t>
      </w:r>
      <w:r>
        <w:rPr>
          <w:b/>
          <w:color w:val="1A4796"/>
          <w:spacing w:val="-17"/>
          <w:sz w:val="24"/>
        </w:rPr>
        <w:t> </w:t>
      </w:r>
      <w:r>
        <w:rPr>
          <w:b/>
          <w:color w:val="1A4796"/>
          <w:sz w:val="24"/>
        </w:rPr>
        <w:t>2022,</w:t>
      </w:r>
      <w:r>
        <w:rPr>
          <w:b/>
          <w:color w:val="1A4796"/>
          <w:spacing w:val="-16"/>
          <w:sz w:val="24"/>
        </w:rPr>
        <w:t> </w:t>
      </w:r>
      <w:r>
        <w:rPr>
          <w:color w:val="231F20"/>
          <w:sz w:val="24"/>
        </w:rPr>
        <w:t>Nicaragua’s National</w:t>
      </w:r>
      <w:r>
        <w:rPr>
          <w:color w:val="231F20"/>
          <w:spacing w:val="-1"/>
          <w:sz w:val="24"/>
        </w:rPr>
        <w:t> </w:t>
      </w:r>
      <w:r>
        <w:rPr>
          <w:color w:val="231F20"/>
          <w:sz w:val="24"/>
        </w:rPr>
        <w:t>Assembly</w:t>
      </w:r>
      <w:r>
        <w:rPr>
          <w:color w:val="231F20"/>
          <w:spacing w:val="-1"/>
          <w:sz w:val="24"/>
        </w:rPr>
        <w:t> </w:t>
      </w:r>
      <w:r>
        <w:rPr>
          <w:color w:val="231F20"/>
          <w:sz w:val="24"/>
        </w:rPr>
        <w:t>issued</w:t>
      </w:r>
      <w:r>
        <w:rPr>
          <w:color w:val="231F20"/>
          <w:spacing w:val="-1"/>
          <w:sz w:val="24"/>
        </w:rPr>
        <w:t> </w:t>
      </w:r>
      <w:r>
        <w:rPr>
          <w:color w:val="231F20"/>
          <w:sz w:val="24"/>
        </w:rPr>
        <w:t>a</w:t>
      </w:r>
      <w:r>
        <w:rPr>
          <w:color w:val="231F20"/>
          <w:spacing w:val="-1"/>
          <w:sz w:val="24"/>
        </w:rPr>
        <w:t> </w:t>
      </w:r>
      <w:r>
        <w:rPr>
          <w:color w:val="231F20"/>
          <w:sz w:val="24"/>
        </w:rPr>
        <w:t>declaration condemning the blockade on Cuba.</w:t>
      </w:r>
    </w:p>
    <w:p>
      <w:pPr>
        <w:pStyle w:val="BodyText"/>
        <w:spacing w:before="162"/>
        <w:ind w:left="673" w:right="1471"/>
      </w:pPr>
      <w:r>
        <w:rPr/>
        <mc:AlternateContent>
          <mc:Choice Requires="wps">
            <w:drawing>
              <wp:anchor distT="0" distB="0" distL="0" distR="0" allowOverlap="1" layoutInCell="1" locked="0" behindDoc="0" simplePos="0" relativeHeight="15808512">
                <wp:simplePos x="0" y="0"/>
                <wp:positionH relativeFrom="page">
                  <wp:posOffset>3815998</wp:posOffset>
                </wp:positionH>
                <wp:positionV relativeFrom="paragraph">
                  <wp:posOffset>188688</wp:posOffset>
                </wp:positionV>
                <wp:extent cx="59690" cy="59690"/>
                <wp:effectExtent l="0" t="0" r="0" b="0"/>
                <wp:wrapNone/>
                <wp:docPr id="322" name="Graphic 322"/>
                <wp:cNvGraphicFramePr>
                  <a:graphicFrameLocks/>
                </wp:cNvGraphicFramePr>
                <a:graphic>
                  <a:graphicData uri="http://schemas.microsoft.com/office/word/2010/wordprocessingShape">
                    <wps:wsp>
                      <wps:cNvPr id="322" name="Graphic 32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8574pt;width:4.7pt;height:4.7pt;mso-position-horizontal-relative:page;mso-position-vertical-relative:paragraph;z-index:15808512" id="docshape258" coordorigin="6009,297" coordsize="94,94" path="m6056,297l6038,301,6023,311,6013,326,6009,344,6013,362,6023,377,6038,387,6056,390,6074,387,6089,377,6099,362,6103,344,6099,326,6089,311,6074,301,6056,297xe" filled="true" fillcolor="#1a4796" stroked="false">
                <v:path arrowok="t"/>
                <v:fill type="solid"/>
                <w10:wrap type="none"/>
              </v:shape>
            </w:pict>
          </mc:Fallback>
        </mc:AlternateContent>
      </w:r>
      <w:r>
        <w:rPr>
          <w:b/>
          <w:color w:val="1A4796"/>
        </w:rPr>
        <w:t>On</w:t>
      </w:r>
      <w:r>
        <w:rPr>
          <w:b/>
          <w:color w:val="1A4796"/>
          <w:spacing w:val="40"/>
        </w:rPr>
        <w:t> </w:t>
      </w:r>
      <w:r>
        <w:rPr>
          <w:b/>
          <w:color w:val="1A4796"/>
        </w:rPr>
        <w:t>October</w:t>
      </w:r>
      <w:r>
        <w:rPr>
          <w:b/>
          <w:color w:val="1A4796"/>
          <w:spacing w:val="40"/>
        </w:rPr>
        <w:t> </w:t>
      </w:r>
      <w:r>
        <w:rPr>
          <w:b/>
          <w:color w:val="1A4796"/>
        </w:rPr>
        <w:t>30,</w:t>
      </w:r>
      <w:r>
        <w:rPr>
          <w:b/>
          <w:color w:val="1A4796"/>
          <w:spacing w:val="40"/>
        </w:rPr>
        <w:t> </w:t>
      </w:r>
      <w:r>
        <w:rPr>
          <w:b/>
          <w:color w:val="1A4796"/>
        </w:rPr>
        <w:t>2022,</w:t>
      </w:r>
      <w:r>
        <w:rPr>
          <w:b/>
          <w:color w:val="1A4796"/>
          <w:spacing w:val="80"/>
        </w:rPr>
        <w:t> </w:t>
      </w:r>
      <w:r>
        <w:rPr>
          <w:color w:val="231F20"/>
        </w:rPr>
        <w:t>the</w:t>
      </w:r>
      <w:r>
        <w:rPr>
          <w:color w:val="231F20"/>
          <w:spacing w:val="80"/>
        </w:rPr>
        <w:t> </w:t>
      </w:r>
      <w:r>
        <w:rPr>
          <w:color w:val="231F20"/>
        </w:rPr>
        <w:t>League</w:t>
      </w:r>
      <w:r>
        <w:rPr>
          <w:color w:val="231F20"/>
          <w:spacing w:val="40"/>
        </w:rPr>
        <w:t> </w:t>
      </w:r>
      <w:r>
        <w:rPr>
          <w:color w:val="231F20"/>
        </w:rPr>
        <w:t>of Palestinian Graduates of Cuban Universities &amp; Institutes issued a declaration</w:t>
      </w:r>
      <w:r>
        <w:rPr>
          <w:color w:val="231F20"/>
          <w:spacing w:val="-17"/>
        </w:rPr>
        <w:t> </w:t>
      </w:r>
      <w:r>
        <w:rPr>
          <w:color w:val="231F20"/>
        </w:rPr>
        <w:t>demanding</w:t>
      </w:r>
      <w:r>
        <w:rPr>
          <w:color w:val="231F20"/>
          <w:spacing w:val="-16"/>
        </w:rPr>
        <w:t> </w:t>
      </w:r>
      <w:r>
        <w:rPr>
          <w:color w:val="231F20"/>
        </w:rPr>
        <w:t>the</w:t>
      </w:r>
      <w:r>
        <w:rPr>
          <w:color w:val="231F20"/>
          <w:spacing w:val="-17"/>
        </w:rPr>
        <w:t> </w:t>
      </w:r>
      <w:r>
        <w:rPr>
          <w:color w:val="231F20"/>
        </w:rPr>
        <w:t>lifting</w:t>
      </w:r>
      <w:r>
        <w:rPr>
          <w:color w:val="231F20"/>
          <w:spacing w:val="-16"/>
        </w:rPr>
        <w:t> </w:t>
      </w:r>
      <w:r>
        <w:rPr>
          <w:color w:val="231F20"/>
        </w:rPr>
        <w:t>of</w:t>
      </w:r>
      <w:r>
        <w:rPr>
          <w:color w:val="231F20"/>
          <w:spacing w:val="-17"/>
        </w:rPr>
        <w:t> </w:t>
      </w:r>
      <w:r>
        <w:rPr>
          <w:color w:val="231F20"/>
        </w:rPr>
        <w:t>the blockade on Cuba.</w:t>
      </w:r>
    </w:p>
    <w:p>
      <w:pPr>
        <w:pStyle w:val="BodyText"/>
        <w:spacing w:before="164"/>
        <w:ind w:left="673" w:right="1471"/>
      </w:pPr>
      <w:r>
        <w:rPr/>
        <mc:AlternateContent>
          <mc:Choice Requires="wps">
            <w:drawing>
              <wp:anchor distT="0" distB="0" distL="0" distR="0" allowOverlap="1" layoutInCell="1" locked="0" behindDoc="0" simplePos="0" relativeHeight="15809024">
                <wp:simplePos x="0" y="0"/>
                <wp:positionH relativeFrom="page">
                  <wp:posOffset>3815998</wp:posOffset>
                </wp:positionH>
                <wp:positionV relativeFrom="paragraph">
                  <wp:posOffset>190101</wp:posOffset>
                </wp:positionV>
                <wp:extent cx="59690" cy="59690"/>
                <wp:effectExtent l="0" t="0" r="0" b="0"/>
                <wp:wrapNone/>
                <wp:docPr id="323" name="Graphic 323"/>
                <wp:cNvGraphicFramePr>
                  <a:graphicFrameLocks/>
                </wp:cNvGraphicFramePr>
                <a:graphic>
                  <a:graphicData uri="http://schemas.microsoft.com/office/word/2010/wordprocessingShape">
                    <wps:wsp>
                      <wps:cNvPr id="323" name="Graphic 32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968613pt;width:4.7pt;height:4.7pt;mso-position-horizontal-relative:page;mso-position-vertical-relative:paragraph;z-index:15809024" id="docshape259" coordorigin="6009,299" coordsize="94,94" path="m6056,299l6038,303,6023,313,6013,328,6009,346,6013,364,6023,379,6038,389,6056,393,6074,389,6089,379,6099,364,6103,346,6099,328,6089,313,6074,303,6056,299xe" filled="true" fillcolor="#1a4796" stroked="false">
                <v:path arrowok="t"/>
                <v:fill type="solid"/>
                <w10:wrap type="none"/>
              </v:shape>
            </w:pict>
          </mc:Fallback>
        </mc:AlternateContent>
      </w:r>
      <w:r>
        <w:rPr>
          <w:b/>
          <w:color w:val="1A4796"/>
        </w:rPr>
        <w:t>On November 1, 2022, </w:t>
      </w:r>
      <w:r>
        <w:rPr>
          <w:color w:val="231F20"/>
        </w:rPr>
        <w:t>Trinidad and Tobago’s civil society organizations</w:t>
      </w:r>
      <w:r>
        <w:rPr>
          <w:color w:val="231F20"/>
          <w:spacing w:val="40"/>
        </w:rPr>
        <w:t> </w:t>
      </w:r>
      <w:r>
        <w:rPr>
          <w:color w:val="231F20"/>
        </w:rPr>
        <w:t>and social movements published a communiqué with the title: End </w:t>
      </w:r>
      <w:r>
        <w:rPr>
          <w:color w:val="231F20"/>
        </w:rPr>
        <w:t>the Illegal and Illegitimate Blockade of Cuba Now! in which they called for the abolition</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Trump</w:t>
      </w:r>
      <w:r>
        <w:rPr>
          <w:color w:val="231F20"/>
          <w:spacing w:val="-2"/>
        </w:rPr>
        <w:t> </w:t>
      </w:r>
      <w:r>
        <w:rPr>
          <w:color w:val="231F20"/>
        </w:rPr>
        <w:t>administration’s measures</w:t>
      </w:r>
      <w:r>
        <w:rPr>
          <w:color w:val="231F20"/>
          <w:spacing w:val="-16"/>
        </w:rPr>
        <w:t> </w:t>
      </w:r>
      <w:r>
        <w:rPr>
          <w:color w:val="231F20"/>
        </w:rPr>
        <w:t>intensifying</w:t>
      </w:r>
      <w:r>
        <w:rPr>
          <w:color w:val="231F20"/>
          <w:spacing w:val="-16"/>
        </w:rPr>
        <w:t> </w:t>
      </w:r>
      <w:r>
        <w:rPr>
          <w:color w:val="231F20"/>
        </w:rPr>
        <w:t>the</w:t>
      </w:r>
      <w:r>
        <w:rPr>
          <w:color w:val="231F20"/>
          <w:spacing w:val="-16"/>
        </w:rPr>
        <w:t> </w:t>
      </w:r>
      <w:r>
        <w:rPr>
          <w:color w:val="231F20"/>
        </w:rPr>
        <w:t>blockade</w:t>
      </w:r>
      <w:r>
        <w:rPr>
          <w:color w:val="231F20"/>
          <w:spacing w:val="-16"/>
        </w:rPr>
        <w:t> </w:t>
      </w:r>
      <w:r>
        <w:rPr>
          <w:color w:val="231F20"/>
        </w:rPr>
        <w:t>and </w:t>
      </w:r>
      <w:r>
        <w:rPr>
          <w:color w:val="231F20"/>
          <w:spacing w:val="-2"/>
        </w:rPr>
        <w:t>for</w:t>
      </w:r>
      <w:r>
        <w:rPr>
          <w:color w:val="231F20"/>
          <w:spacing w:val="-15"/>
        </w:rPr>
        <w:t> </w:t>
      </w:r>
      <w:r>
        <w:rPr>
          <w:color w:val="231F20"/>
          <w:spacing w:val="-2"/>
        </w:rPr>
        <w:t>removal</w:t>
      </w:r>
      <w:r>
        <w:rPr>
          <w:color w:val="231F20"/>
          <w:spacing w:val="-14"/>
        </w:rPr>
        <w:t> </w:t>
      </w:r>
      <w:r>
        <w:rPr>
          <w:color w:val="231F20"/>
          <w:spacing w:val="-2"/>
        </w:rPr>
        <w:t>of</w:t>
      </w:r>
      <w:r>
        <w:rPr>
          <w:color w:val="231F20"/>
          <w:spacing w:val="-15"/>
        </w:rPr>
        <w:t> </w:t>
      </w:r>
      <w:r>
        <w:rPr>
          <w:color w:val="231F20"/>
          <w:spacing w:val="-2"/>
        </w:rPr>
        <w:t>Cuba</w:t>
      </w:r>
      <w:r>
        <w:rPr>
          <w:color w:val="231F20"/>
          <w:spacing w:val="-14"/>
        </w:rPr>
        <w:t> </w:t>
      </w:r>
      <w:r>
        <w:rPr>
          <w:color w:val="231F20"/>
          <w:spacing w:val="-2"/>
        </w:rPr>
        <w:t>from</w:t>
      </w:r>
      <w:r>
        <w:rPr>
          <w:color w:val="231F20"/>
          <w:spacing w:val="-15"/>
        </w:rPr>
        <w:t> </w:t>
      </w:r>
      <w:r>
        <w:rPr>
          <w:color w:val="231F20"/>
          <w:spacing w:val="-2"/>
        </w:rPr>
        <w:t>the</w:t>
      </w:r>
      <w:r>
        <w:rPr>
          <w:color w:val="231F20"/>
          <w:spacing w:val="-14"/>
        </w:rPr>
        <w:t> </w:t>
      </w:r>
      <w:r>
        <w:rPr>
          <w:color w:val="231F20"/>
          <w:spacing w:val="-2"/>
        </w:rPr>
        <w:t>list</w:t>
      </w:r>
      <w:r>
        <w:rPr>
          <w:color w:val="231F20"/>
          <w:spacing w:val="-15"/>
        </w:rPr>
        <w:t> </w:t>
      </w:r>
      <w:r>
        <w:rPr>
          <w:color w:val="231F20"/>
          <w:spacing w:val="-2"/>
        </w:rPr>
        <w:t>of</w:t>
      </w:r>
      <w:r>
        <w:rPr>
          <w:color w:val="231F20"/>
          <w:spacing w:val="-14"/>
        </w:rPr>
        <w:t> </w:t>
      </w:r>
      <w:r>
        <w:rPr>
          <w:color w:val="231F20"/>
          <w:spacing w:val="-2"/>
        </w:rPr>
        <w:t>state </w:t>
      </w:r>
      <w:r>
        <w:rPr>
          <w:color w:val="231F20"/>
        </w:rPr>
        <w:t>sponsors of terrorism. They also urged the U.S. Congress to repeal all the laws behind the blockade on Cuba.</w:t>
      </w:r>
    </w:p>
    <w:p>
      <w:pPr>
        <w:pStyle w:val="BodyText"/>
        <w:spacing w:before="170"/>
        <w:ind w:left="673" w:right="1471"/>
      </w:pPr>
      <w:r>
        <w:rPr/>
        <mc:AlternateContent>
          <mc:Choice Requires="wps">
            <w:drawing>
              <wp:anchor distT="0" distB="0" distL="0" distR="0" allowOverlap="1" layoutInCell="1" locked="0" behindDoc="0" simplePos="0" relativeHeight="15809536">
                <wp:simplePos x="0" y="0"/>
                <wp:positionH relativeFrom="page">
                  <wp:posOffset>3815998</wp:posOffset>
                </wp:positionH>
                <wp:positionV relativeFrom="paragraph">
                  <wp:posOffset>195113</wp:posOffset>
                </wp:positionV>
                <wp:extent cx="59690" cy="59690"/>
                <wp:effectExtent l="0" t="0" r="0" b="0"/>
                <wp:wrapNone/>
                <wp:docPr id="324" name="Graphic 324"/>
                <wp:cNvGraphicFramePr>
                  <a:graphicFrameLocks/>
                </wp:cNvGraphicFramePr>
                <a:graphic>
                  <a:graphicData uri="http://schemas.microsoft.com/office/word/2010/wordprocessingShape">
                    <wps:wsp>
                      <wps:cNvPr id="324" name="Graphic 32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363262pt;width:4.7pt;height:4.7pt;mso-position-horizontal-relative:page;mso-position-vertical-relative:paragraph;z-index:15809536" id="docshape260" coordorigin="6009,307" coordsize="94,94" path="m6056,307l6038,311,6023,321,6013,336,6009,354,6013,372,6023,387,6038,397,6056,401,6074,397,6089,387,6099,372,6103,354,6099,336,6089,321,6074,311,6056,307xe" filled="true" fillcolor="#1a4796" stroked="false">
                <v:path arrowok="t"/>
                <v:fill type="solid"/>
                <w10:wrap type="none"/>
              </v:shape>
            </w:pict>
          </mc:Fallback>
        </mc:AlternateContent>
      </w:r>
      <w:r>
        <w:rPr>
          <w:b/>
          <w:color w:val="1A4796"/>
        </w:rPr>
        <w:t>On November 2, 2022, </w:t>
      </w:r>
      <w:r>
        <w:rPr>
          <w:color w:val="231F20"/>
        </w:rPr>
        <w:t>18 former presidents and former prime ministers of the Latin American and </w:t>
      </w:r>
      <w:r>
        <w:rPr>
          <w:color w:val="231F20"/>
        </w:rPr>
        <w:t>Caribbean region</w:t>
      </w:r>
      <w:r>
        <w:rPr>
          <w:color w:val="231F20"/>
          <w:spacing w:val="-3"/>
        </w:rPr>
        <w:t> </w:t>
      </w:r>
      <w:r>
        <w:rPr>
          <w:color w:val="231F20"/>
        </w:rPr>
        <w:t>sent</w:t>
      </w:r>
      <w:r>
        <w:rPr>
          <w:color w:val="231F20"/>
          <w:spacing w:val="-3"/>
        </w:rPr>
        <w:t> </w:t>
      </w:r>
      <w:r>
        <w:rPr>
          <w:color w:val="231F20"/>
        </w:rPr>
        <w:t>a</w:t>
      </w:r>
      <w:r>
        <w:rPr>
          <w:color w:val="231F20"/>
          <w:spacing w:val="-3"/>
        </w:rPr>
        <w:t> </w:t>
      </w:r>
      <w:r>
        <w:rPr>
          <w:color w:val="231F20"/>
        </w:rPr>
        <w:t>letter</w:t>
      </w:r>
      <w:r>
        <w:rPr>
          <w:color w:val="231F20"/>
          <w:spacing w:val="-3"/>
        </w:rPr>
        <w:t> </w:t>
      </w:r>
      <w:r>
        <w:rPr>
          <w:color w:val="231F20"/>
        </w:rPr>
        <w:t>to</w:t>
      </w:r>
      <w:r>
        <w:rPr>
          <w:color w:val="231F20"/>
          <w:spacing w:val="-3"/>
        </w:rPr>
        <w:t> </w:t>
      </w:r>
      <w:r>
        <w:rPr>
          <w:color w:val="231F20"/>
        </w:rPr>
        <w:t>President</w:t>
      </w:r>
      <w:r>
        <w:rPr>
          <w:color w:val="231F20"/>
          <w:spacing w:val="-3"/>
        </w:rPr>
        <w:t> </w:t>
      </w:r>
      <w:r>
        <w:rPr>
          <w:color w:val="231F20"/>
        </w:rPr>
        <w:t>Joseph Biden calling for the withdrawal of Cuba</w:t>
      </w:r>
      <w:r>
        <w:rPr>
          <w:color w:val="231F20"/>
          <w:spacing w:val="40"/>
        </w:rPr>
        <w:t> </w:t>
      </w:r>
      <w:r>
        <w:rPr>
          <w:color w:val="231F20"/>
        </w:rPr>
        <w:t>from</w:t>
      </w:r>
      <w:r>
        <w:rPr>
          <w:color w:val="231F20"/>
          <w:spacing w:val="40"/>
        </w:rPr>
        <w:t> </w:t>
      </w:r>
      <w:r>
        <w:rPr>
          <w:color w:val="231F20"/>
        </w:rPr>
        <w:t>the</w:t>
      </w:r>
      <w:r>
        <w:rPr>
          <w:color w:val="231F20"/>
          <w:spacing w:val="40"/>
        </w:rPr>
        <w:t> </w:t>
      </w:r>
      <w:r>
        <w:rPr>
          <w:color w:val="231F20"/>
        </w:rPr>
        <w:t>list</w:t>
      </w:r>
      <w:r>
        <w:rPr>
          <w:color w:val="231F20"/>
          <w:spacing w:val="40"/>
        </w:rPr>
        <w:t> </w:t>
      </w:r>
      <w:r>
        <w:rPr>
          <w:color w:val="231F20"/>
        </w:rPr>
        <w:t>of</w:t>
      </w:r>
      <w:r>
        <w:rPr>
          <w:color w:val="231F20"/>
          <w:spacing w:val="40"/>
        </w:rPr>
        <w:t> </w:t>
      </w:r>
      <w:r>
        <w:rPr>
          <w:color w:val="231F20"/>
        </w:rPr>
        <w:t>state</w:t>
      </w:r>
      <w:r>
        <w:rPr>
          <w:color w:val="231F20"/>
          <w:spacing w:val="40"/>
        </w:rPr>
        <w:t> </w:t>
      </w:r>
      <w:r>
        <w:rPr>
          <w:color w:val="231F20"/>
        </w:rPr>
        <w:t>sponsors of</w:t>
      </w:r>
      <w:r>
        <w:rPr>
          <w:color w:val="231F20"/>
          <w:spacing w:val="40"/>
        </w:rPr>
        <w:t> </w:t>
      </w:r>
      <w:r>
        <w:rPr>
          <w:color w:val="231F20"/>
        </w:rPr>
        <w:t>terrorism,</w:t>
      </w:r>
      <w:r>
        <w:rPr>
          <w:color w:val="231F20"/>
          <w:spacing w:val="40"/>
        </w:rPr>
        <w:t> </w:t>
      </w:r>
      <w:r>
        <w:rPr>
          <w:color w:val="231F20"/>
        </w:rPr>
        <w:t>lifting</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blockade on</w:t>
      </w:r>
      <w:r>
        <w:rPr>
          <w:color w:val="231F20"/>
          <w:spacing w:val="47"/>
        </w:rPr>
        <w:t> </w:t>
      </w:r>
      <w:r>
        <w:rPr>
          <w:color w:val="231F20"/>
        </w:rPr>
        <w:t>Cuba</w:t>
      </w:r>
      <w:r>
        <w:rPr>
          <w:color w:val="231F20"/>
          <w:spacing w:val="47"/>
        </w:rPr>
        <w:t> </w:t>
      </w:r>
      <w:r>
        <w:rPr>
          <w:color w:val="231F20"/>
        </w:rPr>
        <w:t>and</w:t>
      </w:r>
      <w:r>
        <w:rPr>
          <w:color w:val="231F20"/>
          <w:spacing w:val="47"/>
        </w:rPr>
        <w:t> </w:t>
      </w:r>
      <w:r>
        <w:rPr>
          <w:color w:val="231F20"/>
        </w:rPr>
        <w:t>a</w:t>
      </w:r>
      <w:r>
        <w:rPr>
          <w:color w:val="231F20"/>
          <w:spacing w:val="47"/>
        </w:rPr>
        <w:t> </w:t>
      </w:r>
      <w:r>
        <w:rPr>
          <w:color w:val="231F20"/>
        </w:rPr>
        <w:t>return</w:t>
      </w:r>
      <w:r>
        <w:rPr>
          <w:color w:val="231F20"/>
          <w:spacing w:val="47"/>
        </w:rPr>
        <w:t> </w:t>
      </w:r>
      <w:r>
        <w:rPr>
          <w:color w:val="231F20"/>
        </w:rPr>
        <w:t>to</w:t>
      </w:r>
      <w:r>
        <w:rPr>
          <w:color w:val="231F20"/>
          <w:spacing w:val="47"/>
        </w:rPr>
        <w:t> </w:t>
      </w:r>
      <w:r>
        <w:rPr>
          <w:color w:val="231F20"/>
        </w:rPr>
        <w:t>the</w:t>
      </w:r>
      <w:r>
        <w:rPr>
          <w:color w:val="231F20"/>
          <w:spacing w:val="47"/>
        </w:rPr>
        <w:t> </w:t>
      </w:r>
      <w:r>
        <w:rPr>
          <w:color w:val="231F20"/>
          <w:spacing w:val="-2"/>
        </w:rPr>
        <w:t>process</w:t>
      </w:r>
    </w:p>
    <w:p>
      <w:pPr>
        <w:spacing w:after="0"/>
        <w:sectPr>
          <w:pgSz w:w="11910" w:h="16840"/>
          <w:pgMar w:header="0" w:footer="695" w:top="1260" w:bottom="880" w:left="0" w:right="0"/>
          <w:cols w:num="2" w:equalWidth="0">
            <w:col w:w="5557" w:space="40"/>
            <w:col w:w="6313"/>
          </w:cols>
        </w:sectPr>
      </w:pPr>
    </w:p>
    <w:p>
      <w:pPr>
        <w:pStyle w:val="BodyText"/>
        <w:spacing w:before="77"/>
        <w:ind w:left="1734" w:right="1"/>
      </w:pPr>
      <w:r>
        <w:rPr>
          <w:color w:val="231F20"/>
        </w:rPr>
        <w:t>of normalization of relations initiated during the Obama administration.</w:t>
      </w:r>
    </w:p>
    <w:p>
      <w:pPr>
        <w:pStyle w:val="BodyText"/>
        <w:spacing w:before="161"/>
        <w:ind w:left="1734"/>
      </w:pPr>
      <w:r>
        <w:rPr/>
        <mc:AlternateContent>
          <mc:Choice Requires="wps">
            <w:drawing>
              <wp:anchor distT="0" distB="0" distL="0" distR="0" allowOverlap="1" layoutInCell="1" locked="0" behindDoc="0" simplePos="0" relativeHeight="15810048">
                <wp:simplePos x="0" y="0"/>
                <wp:positionH relativeFrom="page">
                  <wp:posOffset>935997</wp:posOffset>
                </wp:positionH>
                <wp:positionV relativeFrom="paragraph">
                  <wp:posOffset>187091</wp:posOffset>
                </wp:positionV>
                <wp:extent cx="59690" cy="59690"/>
                <wp:effectExtent l="0" t="0" r="0" b="0"/>
                <wp:wrapNone/>
                <wp:docPr id="325" name="Graphic 325"/>
                <wp:cNvGraphicFramePr>
                  <a:graphicFrameLocks/>
                </wp:cNvGraphicFramePr>
                <a:graphic>
                  <a:graphicData uri="http://schemas.microsoft.com/office/word/2010/wordprocessingShape">
                    <wps:wsp>
                      <wps:cNvPr id="325" name="Graphic 32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731625pt;width:4.7pt;height:4.7pt;mso-position-horizontal-relative:page;mso-position-vertical-relative:paragraph;z-index:15810048" id="docshape261" coordorigin="1474,295" coordsize="94,94" path="m1521,295l1502,298,1488,308,1478,323,1474,341,1478,359,1488,374,1502,384,1521,388,1539,384,1554,374,1564,359,1567,341,1564,323,1554,308,1539,298,1521,295xe" filled="true" fillcolor="#1a4796" stroked="false">
                <v:path arrowok="t"/>
                <v:fill type="solid"/>
                <w10:wrap type="none"/>
              </v:shape>
            </w:pict>
          </mc:Fallback>
        </mc:AlternateContent>
      </w:r>
      <w:r>
        <w:rPr>
          <w:b/>
          <w:color w:val="1A4796"/>
        </w:rPr>
        <w:t>On</w:t>
      </w:r>
      <w:r>
        <w:rPr>
          <w:b/>
          <w:color w:val="1A4796"/>
          <w:spacing w:val="-17"/>
        </w:rPr>
        <w:t> </w:t>
      </w:r>
      <w:r>
        <w:rPr>
          <w:b/>
          <w:color w:val="1A4796"/>
        </w:rPr>
        <w:t>November</w:t>
      </w:r>
      <w:r>
        <w:rPr>
          <w:b/>
          <w:color w:val="1A4796"/>
          <w:spacing w:val="-17"/>
        </w:rPr>
        <w:t> </w:t>
      </w:r>
      <w:r>
        <w:rPr>
          <w:b/>
          <w:color w:val="1A4796"/>
        </w:rPr>
        <w:t>3,</w:t>
      </w:r>
      <w:r>
        <w:rPr>
          <w:b/>
          <w:color w:val="1A4796"/>
          <w:spacing w:val="-16"/>
        </w:rPr>
        <w:t> </w:t>
      </w:r>
      <w:r>
        <w:rPr>
          <w:b/>
          <w:color w:val="1A4796"/>
        </w:rPr>
        <w:t>2022,</w:t>
      </w:r>
      <w:r>
        <w:rPr>
          <w:b/>
          <w:color w:val="1A4796"/>
          <w:spacing w:val="-17"/>
        </w:rPr>
        <w:t> </w:t>
      </w:r>
      <w:r>
        <w:rPr>
          <w:color w:val="231F20"/>
        </w:rPr>
        <w:t>the</w:t>
      </w:r>
      <w:r>
        <w:rPr>
          <w:color w:val="231F20"/>
          <w:spacing w:val="-16"/>
        </w:rPr>
        <w:t> </w:t>
      </w:r>
      <w:r>
        <w:rPr>
          <w:color w:val="231F20"/>
        </w:rPr>
        <w:t>UN</w:t>
      </w:r>
      <w:r>
        <w:rPr>
          <w:color w:val="231F20"/>
          <w:spacing w:val="-17"/>
        </w:rPr>
        <w:t> </w:t>
      </w:r>
      <w:r>
        <w:rPr>
          <w:color w:val="231F20"/>
        </w:rPr>
        <w:t>General Assembly passed for the thirtieth </w:t>
      </w:r>
      <w:r>
        <w:rPr>
          <w:color w:val="231F20"/>
        </w:rPr>
        <w:t>time the</w:t>
      </w:r>
      <w:r>
        <w:rPr>
          <w:color w:val="231F20"/>
          <w:spacing w:val="-17"/>
        </w:rPr>
        <w:t> </w:t>
      </w:r>
      <w:r>
        <w:rPr>
          <w:color w:val="231F20"/>
        </w:rPr>
        <w:t>resolution</w:t>
      </w:r>
      <w:r>
        <w:rPr>
          <w:color w:val="231F20"/>
          <w:spacing w:val="-16"/>
        </w:rPr>
        <w:t> </w:t>
      </w:r>
      <w:r>
        <w:rPr>
          <w:color w:val="231F20"/>
        </w:rPr>
        <w:t>affirming</w:t>
      </w:r>
      <w:r>
        <w:rPr>
          <w:color w:val="231F20"/>
          <w:spacing w:val="-16"/>
        </w:rPr>
        <w:t> </w:t>
      </w:r>
      <w:r>
        <w:rPr>
          <w:color w:val="231F20"/>
        </w:rPr>
        <w:t>the</w:t>
      </w:r>
      <w:r>
        <w:rPr>
          <w:color w:val="231F20"/>
          <w:spacing w:val="-17"/>
        </w:rPr>
        <w:t> </w:t>
      </w:r>
      <w:r>
        <w:rPr>
          <w:color w:val="231F20"/>
        </w:rPr>
        <w:t>necessity</w:t>
      </w:r>
      <w:r>
        <w:rPr>
          <w:color w:val="231F20"/>
          <w:spacing w:val="-16"/>
        </w:rPr>
        <w:t> </w:t>
      </w:r>
      <w:r>
        <w:rPr>
          <w:color w:val="231F20"/>
        </w:rPr>
        <w:t>of ending the economic, commercial and financial blockade imposed by the U.S. government</w:t>
      </w:r>
      <w:r>
        <w:rPr>
          <w:color w:val="231F20"/>
          <w:spacing w:val="-17"/>
        </w:rPr>
        <w:t> </w:t>
      </w:r>
      <w:r>
        <w:rPr>
          <w:color w:val="231F20"/>
        </w:rPr>
        <w:t>against</w:t>
      </w:r>
      <w:r>
        <w:rPr>
          <w:color w:val="231F20"/>
          <w:spacing w:val="-16"/>
        </w:rPr>
        <w:t> </w:t>
      </w:r>
      <w:r>
        <w:rPr>
          <w:color w:val="231F20"/>
        </w:rPr>
        <w:t>Cuba.</w:t>
      </w:r>
      <w:r>
        <w:rPr>
          <w:color w:val="231F20"/>
          <w:spacing w:val="-17"/>
        </w:rPr>
        <w:t> </w:t>
      </w:r>
      <w:r>
        <w:rPr>
          <w:color w:val="231F20"/>
        </w:rPr>
        <w:t>185</w:t>
      </w:r>
      <w:r>
        <w:rPr>
          <w:color w:val="231F20"/>
          <w:spacing w:val="-16"/>
        </w:rPr>
        <w:t> </w:t>
      </w:r>
      <w:r>
        <w:rPr>
          <w:color w:val="231F20"/>
        </w:rPr>
        <w:t>member states voted in favor.</w:t>
      </w:r>
    </w:p>
    <w:p>
      <w:pPr>
        <w:pStyle w:val="BodyText"/>
        <w:spacing w:before="166"/>
        <w:ind w:left="1734"/>
      </w:pPr>
      <w:r>
        <w:rPr>
          <w:color w:val="231F20"/>
        </w:rPr>
        <w:t>During the debate and passing of the resolution, 55 speakers intervened in </w:t>
      </w:r>
      <w:r>
        <w:rPr>
          <w:color w:val="231F20"/>
          <w:spacing w:val="-6"/>
        </w:rPr>
        <w:t>favor</w:t>
      </w:r>
      <w:r>
        <w:rPr>
          <w:color w:val="231F20"/>
          <w:spacing w:val="-11"/>
        </w:rPr>
        <w:t> </w:t>
      </w:r>
      <w:r>
        <w:rPr>
          <w:color w:val="231F20"/>
          <w:spacing w:val="-6"/>
        </w:rPr>
        <w:t>of</w:t>
      </w:r>
      <w:r>
        <w:rPr>
          <w:color w:val="231F20"/>
          <w:spacing w:val="-10"/>
        </w:rPr>
        <w:t> </w:t>
      </w:r>
      <w:r>
        <w:rPr>
          <w:color w:val="231F20"/>
          <w:spacing w:val="-6"/>
        </w:rPr>
        <w:t>lifting</w:t>
      </w:r>
      <w:r>
        <w:rPr>
          <w:color w:val="231F20"/>
          <w:spacing w:val="-11"/>
        </w:rPr>
        <w:t> </w:t>
      </w:r>
      <w:r>
        <w:rPr>
          <w:color w:val="231F20"/>
          <w:spacing w:val="-6"/>
        </w:rPr>
        <w:t>the</w:t>
      </w:r>
      <w:r>
        <w:rPr>
          <w:color w:val="231F20"/>
          <w:spacing w:val="-10"/>
        </w:rPr>
        <w:t> </w:t>
      </w:r>
      <w:r>
        <w:rPr>
          <w:color w:val="231F20"/>
          <w:spacing w:val="-6"/>
        </w:rPr>
        <w:t>blockade,</w:t>
      </w:r>
      <w:r>
        <w:rPr>
          <w:color w:val="231F20"/>
          <w:spacing w:val="-11"/>
        </w:rPr>
        <w:t> </w:t>
      </w:r>
      <w:r>
        <w:rPr>
          <w:color w:val="231F20"/>
          <w:spacing w:val="-6"/>
        </w:rPr>
        <w:t>including</w:t>
      </w:r>
      <w:r>
        <w:rPr>
          <w:color w:val="231F20"/>
          <w:spacing w:val="-10"/>
        </w:rPr>
        <w:t> </w:t>
      </w:r>
      <w:r>
        <w:rPr>
          <w:color w:val="231F20"/>
          <w:spacing w:val="-6"/>
        </w:rPr>
        <w:t>the </w:t>
      </w:r>
      <w:r>
        <w:rPr>
          <w:color w:val="231F20"/>
          <w:spacing w:val="-10"/>
        </w:rPr>
        <w:t>representatives</w:t>
      </w:r>
      <w:r>
        <w:rPr>
          <w:color w:val="231F20"/>
        </w:rPr>
        <w:t> </w:t>
      </w:r>
      <w:r>
        <w:rPr>
          <w:color w:val="231F20"/>
          <w:spacing w:val="-10"/>
        </w:rPr>
        <w:t>of</w:t>
      </w:r>
      <w:r>
        <w:rPr>
          <w:color w:val="231F20"/>
        </w:rPr>
        <w:t> </w:t>
      </w:r>
      <w:r>
        <w:rPr>
          <w:color w:val="231F20"/>
          <w:spacing w:val="-10"/>
        </w:rPr>
        <w:t>10</w:t>
      </w:r>
      <w:r>
        <w:rPr>
          <w:color w:val="231F20"/>
        </w:rPr>
        <w:t> </w:t>
      </w:r>
      <w:r>
        <w:rPr>
          <w:color w:val="231F20"/>
          <w:spacing w:val="-10"/>
        </w:rPr>
        <w:t>political</w:t>
      </w:r>
      <w:r>
        <w:rPr>
          <w:color w:val="231F20"/>
        </w:rPr>
        <w:t> </w:t>
      </w:r>
      <w:r>
        <w:rPr>
          <w:color w:val="231F20"/>
          <w:spacing w:val="-10"/>
        </w:rPr>
        <w:t>coordination </w:t>
      </w:r>
      <w:r>
        <w:rPr>
          <w:color w:val="231F20"/>
        </w:rPr>
        <w:t>groups and regional and subregional </w:t>
      </w:r>
      <w:r>
        <w:rPr>
          <w:color w:val="231F20"/>
          <w:spacing w:val="-4"/>
        </w:rPr>
        <w:t>organizations,</w:t>
      </w:r>
      <w:r>
        <w:rPr>
          <w:color w:val="231F20"/>
          <w:spacing w:val="-13"/>
        </w:rPr>
        <w:t> </w:t>
      </w:r>
      <w:r>
        <w:rPr>
          <w:color w:val="231F20"/>
          <w:spacing w:val="-4"/>
        </w:rPr>
        <w:t>namely:</w:t>
      </w:r>
      <w:r>
        <w:rPr>
          <w:color w:val="231F20"/>
          <w:spacing w:val="-12"/>
        </w:rPr>
        <w:t> </w:t>
      </w:r>
      <w:r>
        <w:rPr>
          <w:color w:val="231F20"/>
          <w:spacing w:val="-4"/>
        </w:rPr>
        <w:t>the</w:t>
      </w:r>
      <w:r>
        <w:rPr>
          <w:color w:val="231F20"/>
          <w:spacing w:val="-13"/>
        </w:rPr>
        <w:t> </w:t>
      </w:r>
      <w:r>
        <w:rPr>
          <w:color w:val="231F20"/>
          <w:spacing w:val="-4"/>
        </w:rPr>
        <w:t>Group</w:t>
      </w:r>
      <w:r>
        <w:rPr>
          <w:color w:val="231F20"/>
          <w:spacing w:val="-12"/>
        </w:rPr>
        <w:t> </w:t>
      </w:r>
      <w:r>
        <w:rPr>
          <w:color w:val="231F20"/>
          <w:spacing w:val="-4"/>
        </w:rPr>
        <w:t>of</w:t>
      </w:r>
      <w:r>
        <w:rPr>
          <w:color w:val="231F20"/>
          <w:spacing w:val="-13"/>
        </w:rPr>
        <w:t> </w:t>
      </w:r>
      <w:r>
        <w:rPr>
          <w:color w:val="231F20"/>
          <w:spacing w:val="-4"/>
        </w:rPr>
        <w:t>77</w:t>
      </w:r>
      <w:r>
        <w:rPr>
          <w:color w:val="231F20"/>
          <w:spacing w:val="-12"/>
        </w:rPr>
        <w:t> </w:t>
      </w:r>
      <w:r>
        <w:rPr>
          <w:color w:val="231F20"/>
          <w:spacing w:val="-4"/>
        </w:rPr>
        <w:t>+ </w:t>
      </w:r>
      <w:r>
        <w:rPr>
          <w:color w:val="231F20"/>
        </w:rPr>
        <w:t>China,</w:t>
      </w:r>
      <w:r>
        <w:rPr>
          <w:color w:val="231F20"/>
          <w:spacing w:val="-11"/>
        </w:rPr>
        <w:t> </w:t>
      </w:r>
      <w:r>
        <w:rPr>
          <w:color w:val="231F20"/>
        </w:rPr>
        <w:t>the</w:t>
      </w:r>
      <w:r>
        <w:rPr>
          <w:color w:val="231F20"/>
          <w:spacing w:val="-11"/>
        </w:rPr>
        <w:t> </w:t>
      </w:r>
      <w:r>
        <w:rPr>
          <w:color w:val="231F20"/>
        </w:rPr>
        <w:t>Non-Aligned</w:t>
      </w:r>
      <w:r>
        <w:rPr>
          <w:color w:val="231F20"/>
          <w:spacing w:val="-11"/>
        </w:rPr>
        <w:t> </w:t>
      </w:r>
      <w:r>
        <w:rPr>
          <w:color w:val="231F20"/>
        </w:rPr>
        <w:t>Movement,</w:t>
      </w:r>
      <w:r>
        <w:rPr>
          <w:color w:val="231F20"/>
          <w:spacing w:val="-11"/>
        </w:rPr>
        <w:t> </w:t>
      </w:r>
      <w:r>
        <w:rPr>
          <w:color w:val="231F20"/>
        </w:rPr>
        <w:t>the African Group, the Community of Latin </w:t>
      </w:r>
      <w:r>
        <w:rPr>
          <w:color w:val="231F20"/>
          <w:spacing w:val="-8"/>
        </w:rPr>
        <w:t>American</w:t>
      </w:r>
      <w:r>
        <w:rPr>
          <w:color w:val="231F20"/>
          <w:spacing w:val="-9"/>
        </w:rPr>
        <w:t> </w:t>
      </w:r>
      <w:r>
        <w:rPr>
          <w:color w:val="231F20"/>
          <w:spacing w:val="-8"/>
        </w:rPr>
        <w:t>&amp; Caribbean</w:t>
      </w:r>
      <w:r>
        <w:rPr>
          <w:color w:val="231F20"/>
          <w:spacing w:val="-9"/>
        </w:rPr>
        <w:t> </w:t>
      </w:r>
      <w:r>
        <w:rPr>
          <w:color w:val="231F20"/>
          <w:spacing w:val="-8"/>
        </w:rPr>
        <w:t>States (CELAC),</w:t>
      </w:r>
      <w:r>
        <w:rPr>
          <w:color w:val="231F20"/>
          <w:spacing w:val="-9"/>
        </w:rPr>
        <w:t> </w:t>
      </w:r>
      <w:r>
        <w:rPr>
          <w:color w:val="231F20"/>
          <w:spacing w:val="-8"/>
        </w:rPr>
        <w:t>the </w:t>
      </w:r>
      <w:r>
        <w:rPr>
          <w:color w:val="231F20"/>
        </w:rPr>
        <w:t>Caribbean Community (CARICOM), the Association</w:t>
      </w:r>
      <w:r>
        <w:rPr>
          <w:color w:val="231F20"/>
          <w:spacing w:val="-2"/>
        </w:rPr>
        <w:t> </w:t>
      </w:r>
      <w:r>
        <w:rPr>
          <w:color w:val="231F20"/>
        </w:rPr>
        <w:t>of</w:t>
      </w:r>
      <w:r>
        <w:rPr>
          <w:color w:val="231F20"/>
          <w:spacing w:val="-2"/>
        </w:rPr>
        <w:t> </w:t>
      </w:r>
      <w:r>
        <w:rPr>
          <w:color w:val="231F20"/>
        </w:rPr>
        <w:t>Southeast</w:t>
      </w:r>
      <w:r>
        <w:rPr>
          <w:color w:val="231F20"/>
          <w:spacing w:val="-2"/>
        </w:rPr>
        <w:t> </w:t>
      </w:r>
      <w:r>
        <w:rPr>
          <w:color w:val="231F20"/>
        </w:rPr>
        <w:t>Asian</w:t>
      </w:r>
      <w:r>
        <w:rPr>
          <w:color w:val="231F20"/>
          <w:spacing w:val="-2"/>
        </w:rPr>
        <w:t> </w:t>
      </w:r>
      <w:r>
        <w:rPr>
          <w:color w:val="231F20"/>
        </w:rPr>
        <w:t>Nations (ASEAN), the Organization of Islamic Cooperation</w:t>
      </w:r>
      <w:r>
        <w:rPr>
          <w:color w:val="231F20"/>
          <w:spacing w:val="-8"/>
        </w:rPr>
        <w:t> </w:t>
      </w:r>
      <w:r>
        <w:rPr>
          <w:color w:val="231F20"/>
        </w:rPr>
        <w:t>(OIC),</w:t>
      </w:r>
      <w:r>
        <w:rPr>
          <w:color w:val="231F20"/>
          <w:spacing w:val="-8"/>
        </w:rPr>
        <w:t> </w:t>
      </w:r>
      <w:r>
        <w:rPr>
          <w:color w:val="231F20"/>
        </w:rPr>
        <w:t>the</w:t>
      </w:r>
      <w:r>
        <w:rPr>
          <w:color w:val="231F20"/>
          <w:spacing w:val="-8"/>
        </w:rPr>
        <w:t> </w:t>
      </w:r>
      <w:r>
        <w:rPr>
          <w:color w:val="231F20"/>
        </w:rPr>
        <w:t>European</w:t>
      </w:r>
      <w:r>
        <w:rPr>
          <w:color w:val="231F20"/>
          <w:spacing w:val="-8"/>
        </w:rPr>
        <w:t> </w:t>
      </w:r>
      <w:r>
        <w:rPr>
          <w:color w:val="231F20"/>
        </w:rPr>
        <w:t>Union (EU),</w:t>
      </w:r>
      <w:r>
        <w:rPr>
          <w:color w:val="231F20"/>
          <w:spacing w:val="40"/>
        </w:rPr>
        <w:t> </w:t>
      </w:r>
      <w:r>
        <w:rPr>
          <w:color w:val="231F20"/>
        </w:rPr>
        <w:t>the Group of Friends in Defense of</w:t>
      </w:r>
      <w:r>
        <w:rPr>
          <w:color w:val="231F20"/>
          <w:spacing w:val="-17"/>
        </w:rPr>
        <w:t> </w:t>
      </w:r>
      <w:r>
        <w:rPr>
          <w:color w:val="231F20"/>
        </w:rPr>
        <w:t>the</w:t>
      </w:r>
      <w:r>
        <w:rPr>
          <w:color w:val="231F20"/>
          <w:spacing w:val="-16"/>
        </w:rPr>
        <w:t> </w:t>
      </w:r>
      <w:r>
        <w:rPr>
          <w:color w:val="231F20"/>
        </w:rPr>
        <w:t>Charter</w:t>
      </w:r>
      <w:r>
        <w:rPr>
          <w:color w:val="231F20"/>
          <w:spacing w:val="-17"/>
        </w:rPr>
        <w:t> </w:t>
      </w:r>
      <w:r>
        <w:rPr>
          <w:color w:val="231F20"/>
        </w:rPr>
        <w:t>of</w:t>
      </w:r>
      <w:r>
        <w:rPr>
          <w:color w:val="231F20"/>
          <w:spacing w:val="-16"/>
        </w:rPr>
        <w:t> </w:t>
      </w:r>
      <w:r>
        <w:rPr>
          <w:color w:val="231F20"/>
        </w:rPr>
        <w:t>the</w:t>
      </w:r>
      <w:r>
        <w:rPr>
          <w:color w:val="231F20"/>
          <w:spacing w:val="-17"/>
        </w:rPr>
        <w:t> </w:t>
      </w:r>
      <w:r>
        <w:rPr>
          <w:color w:val="231F20"/>
        </w:rPr>
        <w:t>United</w:t>
      </w:r>
      <w:r>
        <w:rPr>
          <w:color w:val="231F20"/>
          <w:spacing w:val="-16"/>
        </w:rPr>
        <w:t> </w:t>
      </w:r>
      <w:r>
        <w:rPr>
          <w:color w:val="231F20"/>
        </w:rPr>
        <w:t>Nations</w:t>
      </w:r>
      <w:r>
        <w:rPr>
          <w:color w:val="231F20"/>
          <w:spacing w:val="-17"/>
        </w:rPr>
        <w:t> </w:t>
      </w:r>
      <w:r>
        <w:rPr>
          <w:color w:val="231F20"/>
        </w:rPr>
        <w:t>(for the</w:t>
      </w:r>
      <w:r>
        <w:rPr>
          <w:color w:val="231F20"/>
          <w:spacing w:val="-17"/>
        </w:rPr>
        <w:t> </w:t>
      </w:r>
      <w:r>
        <w:rPr>
          <w:color w:val="231F20"/>
        </w:rPr>
        <w:t>first</w:t>
      </w:r>
      <w:r>
        <w:rPr>
          <w:color w:val="231F20"/>
          <w:spacing w:val="-16"/>
        </w:rPr>
        <w:t> </w:t>
      </w:r>
      <w:r>
        <w:rPr>
          <w:color w:val="231F20"/>
        </w:rPr>
        <w:t>time),</w:t>
      </w:r>
      <w:r>
        <w:rPr>
          <w:color w:val="231F20"/>
          <w:spacing w:val="-17"/>
        </w:rPr>
        <w:t> </w:t>
      </w:r>
      <w:r>
        <w:rPr>
          <w:color w:val="231F20"/>
        </w:rPr>
        <w:t>and</w:t>
      </w:r>
      <w:r>
        <w:rPr>
          <w:color w:val="231F20"/>
          <w:spacing w:val="-16"/>
        </w:rPr>
        <w:t> </w:t>
      </w:r>
      <w:r>
        <w:rPr>
          <w:color w:val="231F20"/>
        </w:rPr>
        <w:t>the</w:t>
      </w:r>
      <w:r>
        <w:rPr>
          <w:color w:val="231F20"/>
          <w:spacing w:val="-17"/>
        </w:rPr>
        <w:t> </w:t>
      </w:r>
      <w:r>
        <w:rPr>
          <w:color w:val="231F20"/>
        </w:rPr>
        <w:t>Central</w:t>
      </w:r>
      <w:r>
        <w:rPr>
          <w:color w:val="231F20"/>
          <w:spacing w:val="-16"/>
        </w:rPr>
        <w:t> </w:t>
      </w:r>
      <w:r>
        <w:rPr>
          <w:color w:val="231F20"/>
        </w:rPr>
        <w:t>American Integration System (“SICA”).</w:t>
      </w:r>
    </w:p>
    <w:p>
      <w:pPr>
        <w:pStyle w:val="BodyText"/>
        <w:spacing w:before="173"/>
        <w:ind w:left="1734" w:right="1"/>
      </w:pPr>
      <w:r>
        <w:rPr>
          <w:color w:val="231F20"/>
        </w:rPr>
        <w:t>Also, 29 states and groups of countries condemned the arbitrary </w:t>
      </w:r>
      <w:r>
        <w:rPr>
          <w:color w:val="231F20"/>
        </w:rPr>
        <w:t>and groundless</w:t>
      </w:r>
      <w:r>
        <w:rPr>
          <w:color w:val="231F20"/>
          <w:spacing w:val="-10"/>
        </w:rPr>
        <w:t> </w:t>
      </w:r>
      <w:r>
        <w:rPr>
          <w:color w:val="231F20"/>
        </w:rPr>
        <w:t>inclusion</w:t>
      </w:r>
      <w:r>
        <w:rPr>
          <w:color w:val="231F20"/>
          <w:spacing w:val="-10"/>
        </w:rPr>
        <w:t> </w:t>
      </w:r>
      <w:r>
        <w:rPr>
          <w:color w:val="231F20"/>
        </w:rPr>
        <w:t>of</w:t>
      </w:r>
      <w:r>
        <w:rPr>
          <w:color w:val="231F20"/>
          <w:spacing w:val="-10"/>
        </w:rPr>
        <w:t> </w:t>
      </w:r>
      <w:r>
        <w:rPr>
          <w:color w:val="231F20"/>
        </w:rPr>
        <w:t>Cuba</w:t>
      </w:r>
      <w:r>
        <w:rPr>
          <w:color w:val="231F20"/>
          <w:spacing w:val="-10"/>
        </w:rPr>
        <w:t> </w:t>
      </w:r>
      <w:r>
        <w:rPr>
          <w:color w:val="231F20"/>
        </w:rPr>
        <w:t>on</w:t>
      </w:r>
      <w:r>
        <w:rPr>
          <w:color w:val="231F20"/>
          <w:spacing w:val="-10"/>
        </w:rPr>
        <w:t> </w:t>
      </w:r>
      <w:r>
        <w:rPr>
          <w:color w:val="231F20"/>
        </w:rPr>
        <w:t>the</w:t>
      </w:r>
      <w:r>
        <w:rPr>
          <w:color w:val="231F20"/>
          <w:spacing w:val="-10"/>
        </w:rPr>
        <w:t> </w:t>
      </w:r>
      <w:r>
        <w:rPr>
          <w:color w:val="231F20"/>
        </w:rPr>
        <w:t>list of alleged state sponsors of terrorism.</w:t>
      </w:r>
    </w:p>
    <w:p>
      <w:pPr>
        <w:pStyle w:val="BodyText"/>
        <w:spacing w:before="163"/>
        <w:ind w:left="1734"/>
      </w:pPr>
      <w:r>
        <w:rPr/>
        <mc:AlternateContent>
          <mc:Choice Requires="wps">
            <w:drawing>
              <wp:anchor distT="0" distB="0" distL="0" distR="0" allowOverlap="1" layoutInCell="1" locked="0" behindDoc="0" simplePos="0" relativeHeight="15810560">
                <wp:simplePos x="0" y="0"/>
                <wp:positionH relativeFrom="page">
                  <wp:posOffset>935997</wp:posOffset>
                </wp:positionH>
                <wp:positionV relativeFrom="paragraph">
                  <wp:posOffset>187882</wp:posOffset>
                </wp:positionV>
                <wp:extent cx="59690" cy="59690"/>
                <wp:effectExtent l="0" t="0" r="0" b="0"/>
                <wp:wrapNone/>
                <wp:docPr id="326" name="Graphic 326"/>
                <wp:cNvGraphicFramePr>
                  <a:graphicFrameLocks/>
                </wp:cNvGraphicFramePr>
                <a:graphic>
                  <a:graphicData uri="http://schemas.microsoft.com/office/word/2010/wordprocessingShape">
                    <wps:wsp>
                      <wps:cNvPr id="326" name="Graphic 32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793875pt;width:4.7pt;height:4.7pt;mso-position-horizontal-relative:page;mso-position-vertical-relative:paragraph;z-index:15810560" id="docshape262" coordorigin="1474,296" coordsize="94,94" path="m1521,296l1502,300,1488,310,1478,324,1474,342,1478,361,1488,375,1502,385,1521,389,1539,385,1554,375,1564,361,1567,342,1564,324,1554,310,1539,300,1521,296xe" filled="true" fillcolor="#1a4796" stroked="false">
                <v:path arrowok="t"/>
                <v:fill type="solid"/>
                <w10:wrap type="none"/>
              </v:shape>
            </w:pict>
          </mc:Fallback>
        </mc:AlternateContent>
      </w:r>
      <w:r>
        <w:rPr>
          <w:b/>
          <w:color w:val="1A4796"/>
        </w:rPr>
        <w:t>In</w:t>
      </w:r>
      <w:r>
        <w:rPr>
          <w:b/>
          <w:color w:val="1A4796"/>
          <w:spacing w:val="-6"/>
        </w:rPr>
        <w:t> </w:t>
      </w:r>
      <w:r>
        <w:rPr>
          <w:b/>
          <w:color w:val="1A4796"/>
        </w:rPr>
        <w:t>November</w:t>
      </w:r>
      <w:r>
        <w:rPr>
          <w:b/>
          <w:color w:val="1A4796"/>
          <w:spacing w:val="-6"/>
        </w:rPr>
        <w:t> </w:t>
      </w:r>
      <w:r>
        <w:rPr>
          <w:b/>
          <w:color w:val="1A4796"/>
        </w:rPr>
        <w:t>2022,</w:t>
      </w:r>
      <w:r>
        <w:rPr>
          <w:b/>
          <w:color w:val="1A4796"/>
          <w:spacing w:val="-6"/>
        </w:rPr>
        <w:t> </w:t>
      </w:r>
      <w:r>
        <w:rPr>
          <w:color w:val="231F20"/>
        </w:rPr>
        <w:t>similar</w:t>
      </w:r>
      <w:r>
        <w:rPr>
          <w:color w:val="231F20"/>
          <w:spacing w:val="-6"/>
        </w:rPr>
        <w:t> </w:t>
      </w:r>
      <w:r>
        <w:rPr>
          <w:color w:val="231F20"/>
        </w:rPr>
        <w:t>resolutions in</w:t>
      </w:r>
      <w:r>
        <w:rPr>
          <w:color w:val="231F20"/>
          <w:spacing w:val="80"/>
        </w:rPr>
        <w:t> </w:t>
      </w:r>
      <w:r>
        <w:rPr>
          <w:color w:val="231F20"/>
        </w:rPr>
        <w:t>support</w:t>
      </w:r>
      <w:r>
        <w:rPr>
          <w:color w:val="231F20"/>
          <w:spacing w:val="80"/>
        </w:rPr>
        <w:t> </w:t>
      </w:r>
      <w:r>
        <w:rPr>
          <w:color w:val="231F20"/>
        </w:rPr>
        <w:t>of</w:t>
      </w:r>
      <w:r>
        <w:rPr>
          <w:color w:val="231F20"/>
          <w:spacing w:val="80"/>
        </w:rPr>
        <w:t> </w:t>
      </w:r>
      <w:r>
        <w:rPr>
          <w:color w:val="231F20"/>
        </w:rPr>
        <w:t>Cuba</w:t>
      </w:r>
      <w:r>
        <w:rPr>
          <w:color w:val="231F20"/>
          <w:spacing w:val="80"/>
        </w:rPr>
        <w:t> </w:t>
      </w:r>
      <w:r>
        <w:rPr>
          <w:color w:val="231F20"/>
        </w:rPr>
        <w:t>and</w:t>
      </w:r>
      <w:r>
        <w:rPr>
          <w:color w:val="231F20"/>
          <w:spacing w:val="80"/>
        </w:rPr>
        <w:t> </w:t>
      </w:r>
      <w:r>
        <w:rPr>
          <w:color w:val="231F20"/>
        </w:rPr>
        <w:t>the</w:t>
      </w:r>
      <w:r>
        <w:rPr>
          <w:color w:val="231F20"/>
          <w:spacing w:val="80"/>
        </w:rPr>
        <w:t> </w:t>
      </w:r>
      <w:r>
        <w:rPr>
          <w:color w:val="231F20"/>
        </w:rPr>
        <w:t>need to</w:t>
      </w:r>
      <w:r>
        <w:rPr>
          <w:color w:val="231F20"/>
          <w:spacing w:val="80"/>
        </w:rPr>
        <w:t> </w:t>
      </w:r>
      <w:r>
        <w:rPr>
          <w:color w:val="231F20"/>
        </w:rPr>
        <w:t>end</w:t>
      </w:r>
      <w:r>
        <w:rPr>
          <w:color w:val="231F20"/>
          <w:spacing w:val="80"/>
        </w:rPr>
        <w:t> </w:t>
      </w:r>
      <w:r>
        <w:rPr>
          <w:color w:val="231F20"/>
        </w:rPr>
        <w:t>the</w:t>
      </w:r>
      <w:r>
        <w:rPr>
          <w:color w:val="231F20"/>
          <w:spacing w:val="80"/>
        </w:rPr>
        <w:t> </w:t>
      </w:r>
      <w:r>
        <w:rPr>
          <w:color w:val="231F20"/>
        </w:rPr>
        <w:t>blockade</w:t>
      </w:r>
      <w:r>
        <w:rPr>
          <w:color w:val="231F20"/>
          <w:spacing w:val="80"/>
        </w:rPr>
        <w:t> </w:t>
      </w:r>
      <w:r>
        <w:rPr>
          <w:color w:val="231F20"/>
        </w:rPr>
        <w:t>were</w:t>
      </w:r>
      <w:r>
        <w:rPr>
          <w:color w:val="231F20"/>
          <w:spacing w:val="80"/>
        </w:rPr>
        <w:t> </w:t>
      </w:r>
      <w:r>
        <w:rPr>
          <w:color w:val="231F20"/>
        </w:rPr>
        <w:t>passed by both Russia’s State Duma and Federation Council. Also on November 5,</w:t>
      </w:r>
      <w:r>
        <w:rPr>
          <w:color w:val="231F20"/>
          <w:spacing w:val="40"/>
        </w:rPr>
        <w:t> </w:t>
      </w:r>
      <w:r>
        <w:rPr>
          <w:color w:val="231F20"/>
        </w:rPr>
        <w:t>the</w:t>
      </w:r>
      <w:r>
        <w:rPr>
          <w:color w:val="231F20"/>
          <w:spacing w:val="40"/>
        </w:rPr>
        <w:t> </w:t>
      </w:r>
      <w:r>
        <w:rPr>
          <w:color w:val="231F20"/>
        </w:rPr>
        <w:t>Russian</w:t>
      </w:r>
      <w:r>
        <w:rPr>
          <w:color w:val="231F20"/>
          <w:spacing w:val="40"/>
        </w:rPr>
        <w:t> </w:t>
      </w:r>
      <w:r>
        <w:rPr>
          <w:color w:val="231F20"/>
        </w:rPr>
        <w:t>foreign</w:t>
      </w:r>
      <w:r>
        <w:rPr>
          <w:color w:val="231F20"/>
          <w:spacing w:val="40"/>
        </w:rPr>
        <w:t> </w:t>
      </w:r>
      <w:r>
        <w:rPr>
          <w:color w:val="231F20"/>
        </w:rPr>
        <w:t>ministry</w:t>
      </w:r>
      <w:r>
        <w:rPr>
          <w:color w:val="231F20"/>
          <w:spacing w:val="40"/>
        </w:rPr>
        <w:t> </w:t>
      </w:r>
      <w:r>
        <w:rPr>
          <w:color w:val="231F20"/>
        </w:rPr>
        <w:t>issued a communiqué on the adoption of the resolution of the UN General Assembly regarding the necessity of ending the economic, commercial and financial blockade</w:t>
      </w:r>
      <w:r>
        <w:rPr>
          <w:color w:val="231F20"/>
          <w:spacing w:val="-6"/>
        </w:rPr>
        <w:t> </w:t>
      </w:r>
      <w:r>
        <w:rPr>
          <w:color w:val="231F20"/>
        </w:rPr>
        <w:t>imposed</w:t>
      </w:r>
      <w:r>
        <w:rPr>
          <w:color w:val="231F20"/>
          <w:spacing w:val="-6"/>
        </w:rPr>
        <w:t> </w:t>
      </w:r>
      <w:r>
        <w:rPr>
          <w:color w:val="231F20"/>
        </w:rPr>
        <w:t>by</w:t>
      </w:r>
      <w:r>
        <w:rPr>
          <w:color w:val="231F20"/>
          <w:spacing w:val="-6"/>
        </w:rPr>
        <w:t> </w:t>
      </w:r>
      <w:r>
        <w:rPr>
          <w:color w:val="231F20"/>
        </w:rPr>
        <w:t>the</w:t>
      </w:r>
      <w:r>
        <w:rPr>
          <w:color w:val="231F20"/>
          <w:spacing w:val="-6"/>
        </w:rPr>
        <w:t> </w:t>
      </w:r>
      <w:r>
        <w:rPr>
          <w:color w:val="231F20"/>
        </w:rPr>
        <w:t>United</w:t>
      </w:r>
      <w:r>
        <w:rPr>
          <w:color w:val="231F20"/>
          <w:spacing w:val="-6"/>
        </w:rPr>
        <w:t> </w:t>
      </w:r>
      <w:r>
        <w:rPr>
          <w:color w:val="231F20"/>
        </w:rPr>
        <w:t>States of America against Cuba.</w:t>
      </w:r>
    </w:p>
    <w:p>
      <w:pPr>
        <w:pStyle w:val="BodyText"/>
        <w:spacing w:before="77"/>
        <w:ind w:left="673" w:right="1131"/>
      </w:pPr>
      <w:r>
        <w:rPr/>
        <w:br w:type="column"/>
      </w:r>
      <w:r>
        <w:rPr>
          <w:b/>
          <w:color w:val="1A4796"/>
          <w:spacing w:val="-4"/>
        </w:rPr>
        <w:t>On</w:t>
      </w:r>
      <w:r>
        <w:rPr>
          <w:b/>
          <w:color w:val="1A4796"/>
          <w:spacing w:val="-13"/>
        </w:rPr>
        <w:t> </w:t>
      </w:r>
      <w:r>
        <w:rPr>
          <w:b/>
          <w:color w:val="1A4796"/>
          <w:spacing w:val="-4"/>
        </w:rPr>
        <w:t>December</w:t>
      </w:r>
      <w:r>
        <w:rPr>
          <w:b/>
          <w:color w:val="1A4796"/>
          <w:spacing w:val="-13"/>
        </w:rPr>
        <w:t> </w:t>
      </w:r>
      <w:r>
        <w:rPr>
          <w:b/>
          <w:color w:val="1A4796"/>
          <w:spacing w:val="-4"/>
        </w:rPr>
        <w:t>6,</w:t>
      </w:r>
      <w:r>
        <w:rPr>
          <w:b/>
          <w:color w:val="1A4796"/>
          <w:spacing w:val="-12"/>
        </w:rPr>
        <w:t> </w:t>
      </w:r>
      <w:r>
        <w:rPr>
          <w:b/>
          <w:color w:val="1A4796"/>
          <w:spacing w:val="-4"/>
        </w:rPr>
        <w:t>2022,</w:t>
      </w:r>
      <w:r>
        <w:rPr>
          <w:b/>
          <w:color w:val="1A4796"/>
          <w:spacing w:val="-13"/>
        </w:rPr>
        <w:t> </w:t>
      </w:r>
      <w:r>
        <w:rPr>
          <w:color w:val="231F20"/>
          <w:spacing w:val="-4"/>
        </w:rPr>
        <w:t>in</w:t>
      </w:r>
      <w:r>
        <w:rPr>
          <w:color w:val="231F20"/>
          <w:spacing w:val="-12"/>
        </w:rPr>
        <w:t> </w:t>
      </w:r>
      <w:r>
        <w:rPr>
          <w:color w:val="231F20"/>
          <w:spacing w:val="-4"/>
        </w:rPr>
        <w:t>its</w:t>
      </w:r>
      <w:r>
        <w:rPr>
          <w:color w:val="231F20"/>
          <w:spacing w:val="-13"/>
        </w:rPr>
        <w:t> </w:t>
      </w:r>
      <w:r>
        <w:rPr>
          <w:color w:val="231F20"/>
          <w:spacing w:val="-4"/>
        </w:rPr>
        <w:t>declaration, </w:t>
      </w:r>
      <w:r>
        <w:rPr>
          <w:color w:val="231F20"/>
        </w:rPr>
        <w:t>the 8th CARICOM-Cuba summit held</w:t>
      </w:r>
      <w:r>
        <w:rPr>
          <w:color w:val="231F20"/>
          <w:spacing w:val="80"/>
        </w:rPr>
        <w:t> </w:t>
      </w:r>
      <w:r>
        <w:rPr>
          <w:color w:val="231F20"/>
        </w:rPr>
        <w:t>in Bridgetown Barbados called for an immediate and unconditional end to the blockade on Cuba. It reiterated outright rejection of extraterritorial laws and similar measures, such as the Helms-Burton Act, whose application seriously breached international law and</w:t>
      </w:r>
      <w:r>
        <w:rPr>
          <w:color w:val="231F20"/>
          <w:spacing w:val="-15"/>
        </w:rPr>
        <w:t> </w:t>
      </w:r>
      <w:r>
        <w:rPr>
          <w:color w:val="231F20"/>
        </w:rPr>
        <w:t>encroached</w:t>
      </w:r>
      <w:r>
        <w:rPr>
          <w:color w:val="231F20"/>
          <w:spacing w:val="-15"/>
        </w:rPr>
        <w:t> </w:t>
      </w:r>
      <w:r>
        <w:rPr>
          <w:color w:val="231F20"/>
        </w:rPr>
        <w:t>on</w:t>
      </w:r>
      <w:r>
        <w:rPr>
          <w:color w:val="231F20"/>
          <w:spacing w:val="-15"/>
        </w:rPr>
        <w:t> </w:t>
      </w:r>
      <w:r>
        <w:rPr>
          <w:color w:val="231F20"/>
        </w:rPr>
        <w:t>the</w:t>
      </w:r>
      <w:r>
        <w:rPr>
          <w:color w:val="231F20"/>
          <w:spacing w:val="-15"/>
        </w:rPr>
        <w:t> </w:t>
      </w:r>
      <w:r>
        <w:rPr>
          <w:color w:val="231F20"/>
        </w:rPr>
        <w:t>sovereignty</w:t>
      </w:r>
      <w:r>
        <w:rPr>
          <w:color w:val="231F20"/>
          <w:spacing w:val="-16"/>
        </w:rPr>
        <w:t> </w:t>
      </w:r>
      <w:r>
        <w:rPr>
          <w:color w:val="231F20"/>
        </w:rPr>
        <w:t>and interests of third countries.</w:t>
      </w:r>
    </w:p>
    <w:p>
      <w:pPr>
        <w:pStyle w:val="BodyText"/>
        <w:spacing w:before="168"/>
        <w:ind w:left="673" w:right="1131"/>
      </w:pPr>
      <w:r>
        <w:rPr/>
        <mc:AlternateContent>
          <mc:Choice Requires="wps">
            <w:drawing>
              <wp:anchor distT="0" distB="0" distL="0" distR="0" allowOverlap="1" layoutInCell="1" locked="0" behindDoc="0" simplePos="0" relativeHeight="15812096">
                <wp:simplePos x="0" y="0"/>
                <wp:positionH relativeFrom="page">
                  <wp:posOffset>4031997</wp:posOffset>
                </wp:positionH>
                <wp:positionV relativeFrom="paragraph">
                  <wp:posOffset>-2146121</wp:posOffset>
                </wp:positionV>
                <wp:extent cx="59690" cy="59690"/>
                <wp:effectExtent l="0" t="0" r="0" b="0"/>
                <wp:wrapNone/>
                <wp:docPr id="327" name="Graphic 327"/>
                <wp:cNvGraphicFramePr>
                  <a:graphicFrameLocks/>
                </wp:cNvGraphicFramePr>
                <a:graphic>
                  <a:graphicData uri="http://schemas.microsoft.com/office/word/2010/wordprocessingShape">
                    <wps:wsp>
                      <wps:cNvPr id="327" name="Graphic 32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68.985916pt;width:4.7pt;height:4.7pt;mso-position-horizontal-relative:page;mso-position-vertical-relative:paragraph;z-index:15812096" id="docshape263" coordorigin="6350,-3380" coordsize="94,94" path="m6396,-3380l6378,-3376,6363,-3366,6353,-3351,6350,-3333,6353,-3315,6363,-3300,6378,-3290,6396,-3286,6414,-3290,6429,-3300,6439,-3315,6443,-3333,6439,-3351,6429,-3366,6414,-3376,6396,-3380xe" filled="true" fillcolor="#1a4796" stroked="false">
                <v:path arrowok="t"/>
                <v:fill type="solid"/>
                <w10:wrap type="none"/>
              </v:shape>
            </w:pict>
          </mc:Fallback>
        </mc:AlternateContent>
      </w:r>
      <w:r>
        <w:rPr>
          <w:color w:val="231F20"/>
        </w:rPr>
        <w:t>This event also declared October 6 as the CARICOM-Cuba Against Terrorism Day, in memory of the 73 people </w:t>
      </w:r>
      <w:r>
        <w:rPr>
          <w:color w:val="231F20"/>
        </w:rPr>
        <w:t>who died in the terrorist bombing of a </w:t>
      </w:r>
      <w:r>
        <w:rPr>
          <w:color w:val="231F20"/>
          <w:spacing w:val="-2"/>
        </w:rPr>
        <w:t>Cubana</w:t>
      </w:r>
      <w:r>
        <w:rPr>
          <w:color w:val="231F20"/>
          <w:spacing w:val="-15"/>
        </w:rPr>
        <w:t> </w:t>
      </w:r>
      <w:r>
        <w:rPr>
          <w:color w:val="231F20"/>
          <w:spacing w:val="-2"/>
        </w:rPr>
        <w:t>de</w:t>
      </w:r>
      <w:r>
        <w:rPr>
          <w:color w:val="231F20"/>
          <w:spacing w:val="-14"/>
        </w:rPr>
        <w:t> </w:t>
      </w:r>
      <w:r>
        <w:rPr>
          <w:color w:val="231F20"/>
          <w:spacing w:val="-2"/>
        </w:rPr>
        <w:t>Aviación</w:t>
      </w:r>
      <w:r>
        <w:rPr>
          <w:color w:val="231F20"/>
          <w:spacing w:val="-15"/>
        </w:rPr>
        <w:t> </w:t>
      </w:r>
      <w:r>
        <w:rPr>
          <w:color w:val="231F20"/>
          <w:spacing w:val="-2"/>
        </w:rPr>
        <w:t>aircraft</w:t>
      </w:r>
      <w:r>
        <w:rPr>
          <w:color w:val="231F20"/>
          <w:spacing w:val="-14"/>
        </w:rPr>
        <w:t> </w:t>
      </w:r>
      <w:r>
        <w:rPr>
          <w:color w:val="231F20"/>
          <w:spacing w:val="-2"/>
        </w:rPr>
        <w:t>off</w:t>
      </w:r>
      <w:r>
        <w:rPr>
          <w:color w:val="231F20"/>
          <w:spacing w:val="-15"/>
        </w:rPr>
        <w:t> </w:t>
      </w:r>
      <w:r>
        <w:rPr>
          <w:color w:val="231F20"/>
          <w:spacing w:val="-2"/>
        </w:rPr>
        <w:t>the</w:t>
      </w:r>
      <w:r>
        <w:rPr>
          <w:color w:val="231F20"/>
          <w:spacing w:val="-14"/>
        </w:rPr>
        <w:t> </w:t>
      </w:r>
      <w:r>
        <w:rPr>
          <w:color w:val="231F20"/>
          <w:spacing w:val="-2"/>
        </w:rPr>
        <w:t>coast </w:t>
      </w:r>
      <w:r>
        <w:rPr>
          <w:color w:val="231F20"/>
        </w:rPr>
        <w:t>of Barbados on October 6, 1976. It also </w:t>
      </w:r>
      <w:r>
        <w:rPr>
          <w:color w:val="231F20"/>
          <w:spacing w:val="-2"/>
        </w:rPr>
        <w:t>represented</w:t>
      </w:r>
      <w:r>
        <w:rPr>
          <w:color w:val="231F20"/>
          <w:spacing w:val="-14"/>
        </w:rPr>
        <w:t> </w:t>
      </w:r>
      <w:r>
        <w:rPr>
          <w:color w:val="231F20"/>
          <w:spacing w:val="-2"/>
        </w:rPr>
        <w:t>a</w:t>
      </w:r>
      <w:r>
        <w:rPr>
          <w:color w:val="231F20"/>
          <w:spacing w:val="-14"/>
        </w:rPr>
        <w:t> </w:t>
      </w:r>
      <w:r>
        <w:rPr>
          <w:color w:val="231F20"/>
          <w:spacing w:val="-2"/>
        </w:rPr>
        <w:t>demonstration</w:t>
      </w:r>
      <w:r>
        <w:rPr>
          <w:color w:val="231F20"/>
          <w:spacing w:val="-14"/>
        </w:rPr>
        <w:t> </w:t>
      </w:r>
      <w:r>
        <w:rPr>
          <w:color w:val="231F20"/>
          <w:spacing w:val="-2"/>
        </w:rPr>
        <w:t>of</w:t>
      </w:r>
      <w:r>
        <w:rPr>
          <w:color w:val="231F20"/>
          <w:spacing w:val="-14"/>
        </w:rPr>
        <w:t> </w:t>
      </w:r>
      <w:r>
        <w:rPr>
          <w:color w:val="231F20"/>
          <w:spacing w:val="-2"/>
        </w:rPr>
        <w:t>support </w:t>
      </w:r>
      <w:r>
        <w:rPr>
          <w:color w:val="231F20"/>
        </w:rPr>
        <w:t>for the battle against the arbitrary and unjustified inclusion of Cuba on the list of state sponsors of terrorism.</w:t>
      </w:r>
    </w:p>
    <w:p>
      <w:pPr>
        <w:pStyle w:val="BodyText"/>
        <w:spacing w:before="168"/>
        <w:ind w:left="673" w:right="1131"/>
      </w:pPr>
      <w:r>
        <w:rPr/>
        <mc:AlternateContent>
          <mc:Choice Requires="wps">
            <w:drawing>
              <wp:anchor distT="0" distB="0" distL="0" distR="0" allowOverlap="1" layoutInCell="1" locked="0" behindDoc="0" simplePos="0" relativeHeight="15811072">
                <wp:simplePos x="0" y="0"/>
                <wp:positionH relativeFrom="page">
                  <wp:posOffset>4031997</wp:posOffset>
                </wp:positionH>
                <wp:positionV relativeFrom="paragraph">
                  <wp:posOffset>194240</wp:posOffset>
                </wp:positionV>
                <wp:extent cx="59690" cy="59690"/>
                <wp:effectExtent l="0" t="0" r="0" b="0"/>
                <wp:wrapNone/>
                <wp:docPr id="328" name="Graphic 328"/>
                <wp:cNvGraphicFramePr>
                  <a:graphicFrameLocks/>
                </wp:cNvGraphicFramePr>
                <a:graphic>
                  <a:graphicData uri="http://schemas.microsoft.com/office/word/2010/wordprocessingShape">
                    <wps:wsp>
                      <wps:cNvPr id="328" name="Graphic 32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294513pt;width:4.7pt;height:4.7pt;mso-position-horizontal-relative:page;mso-position-vertical-relative:paragraph;z-index:15811072" id="docshape264" coordorigin="6350,306" coordsize="94,94" path="m6396,306l6378,310,6363,320,6353,334,6350,353,6353,371,6363,385,6378,395,6396,399,6414,395,6429,385,6439,371,6443,353,6439,334,6429,320,6414,310,6396,306xe" filled="true" fillcolor="#1a4796" stroked="false">
                <v:path arrowok="t"/>
                <v:fill type="solid"/>
                <w10:wrap type="none"/>
              </v:shape>
            </w:pict>
          </mc:Fallback>
        </mc:AlternateContent>
      </w:r>
      <w:r>
        <w:rPr>
          <w:b/>
          <w:color w:val="1A4796"/>
        </w:rPr>
        <w:t>On December 9 - 11, 2022, </w:t>
      </w:r>
      <w:r>
        <w:rPr>
          <w:color w:val="231F20"/>
        </w:rPr>
        <w:t>the </w:t>
      </w:r>
      <w:r>
        <w:rPr>
          <w:color w:val="231F20"/>
        </w:rPr>
        <w:t>7th Congress of the Party of the European Left was held in Vienna, at which a motion in support of Cuba and against the blockade was passed, while the Congress called on the EU to oppose the</w:t>
      </w:r>
      <w:r>
        <w:rPr>
          <w:color w:val="231F20"/>
          <w:spacing w:val="-10"/>
        </w:rPr>
        <w:t> </w:t>
      </w:r>
      <w:r>
        <w:rPr>
          <w:color w:val="231F20"/>
        </w:rPr>
        <w:t>blockade’s</w:t>
      </w:r>
      <w:r>
        <w:rPr>
          <w:color w:val="231F20"/>
          <w:spacing w:val="-10"/>
        </w:rPr>
        <w:t> </w:t>
      </w:r>
      <w:r>
        <w:rPr>
          <w:color w:val="231F20"/>
        </w:rPr>
        <w:t>extraterritorial</w:t>
      </w:r>
      <w:r>
        <w:rPr>
          <w:color w:val="231F20"/>
          <w:spacing w:val="-10"/>
        </w:rPr>
        <w:t> </w:t>
      </w:r>
      <w:r>
        <w:rPr>
          <w:color w:val="231F20"/>
        </w:rPr>
        <w:t>measures </w:t>
      </w:r>
      <w:r>
        <w:rPr>
          <w:color w:val="231F20"/>
          <w:spacing w:val="-2"/>
        </w:rPr>
        <w:t>which</w:t>
      </w:r>
      <w:r>
        <w:rPr>
          <w:color w:val="231F20"/>
          <w:spacing w:val="-14"/>
        </w:rPr>
        <w:t> </w:t>
      </w:r>
      <w:r>
        <w:rPr>
          <w:color w:val="231F20"/>
          <w:spacing w:val="-2"/>
        </w:rPr>
        <w:t>affect</w:t>
      </w:r>
      <w:r>
        <w:rPr>
          <w:color w:val="231F20"/>
          <w:spacing w:val="-14"/>
        </w:rPr>
        <w:t> </w:t>
      </w:r>
      <w:r>
        <w:rPr>
          <w:color w:val="231F20"/>
          <w:spacing w:val="-2"/>
        </w:rPr>
        <w:t>banks</w:t>
      </w:r>
      <w:r>
        <w:rPr>
          <w:color w:val="231F20"/>
          <w:spacing w:val="-14"/>
        </w:rPr>
        <w:t> </w:t>
      </w:r>
      <w:r>
        <w:rPr>
          <w:color w:val="231F20"/>
          <w:spacing w:val="-2"/>
        </w:rPr>
        <w:t>and</w:t>
      </w:r>
      <w:r>
        <w:rPr>
          <w:color w:val="231F20"/>
          <w:spacing w:val="-14"/>
        </w:rPr>
        <w:t> </w:t>
      </w:r>
      <w:r>
        <w:rPr>
          <w:color w:val="231F20"/>
          <w:spacing w:val="-2"/>
        </w:rPr>
        <w:t>other</w:t>
      </w:r>
      <w:r>
        <w:rPr>
          <w:color w:val="231F20"/>
          <w:spacing w:val="-14"/>
        </w:rPr>
        <w:t> </w:t>
      </w:r>
      <w:r>
        <w:rPr>
          <w:color w:val="231F20"/>
          <w:spacing w:val="-2"/>
        </w:rPr>
        <w:t>companies </w:t>
      </w:r>
      <w:r>
        <w:rPr>
          <w:color w:val="231F20"/>
        </w:rPr>
        <w:t>in the Union.</w:t>
      </w:r>
    </w:p>
    <w:p>
      <w:pPr>
        <w:pStyle w:val="BodyText"/>
        <w:spacing w:before="167"/>
        <w:ind w:left="673" w:right="1130"/>
      </w:pPr>
      <w:r>
        <w:rPr/>
        <mc:AlternateContent>
          <mc:Choice Requires="wps">
            <w:drawing>
              <wp:anchor distT="0" distB="0" distL="0" distR="0" allowOverlap="1" layoutInCell="1" locked="0" behindDoc="0" simplePos="0" relativeHeight="15811584">
                <wp:simplePos x="0" y="0"/>
                <wp:positionH relativeFrom="page">
                  <wp:posOffset>4031997</wp:posOffset>
                </wp:positionH>
                <wp:positionV relativeFrom="paragraph">
                  <wp:posOffset>191383</wp:posOffset>
                </wp:positionV>
                <wp:extent cx="59690" cy="59690"/>
                <wp:effectExtent l="0" t="0" r="0" b="0"/>
                <wp:wrapNone/>
                <wp:docPr id="329" name="Graphic 329"/>
                <wp:cNvGraphicFramePr>
                  <a:graphicFrameLocks/>
                </wp:cNvGraphicFramePr>
                <a:graphic>
                  <a:graphicData uri="http://schemas.microsoft.com/office/word/2010/wordprocessingShape">
                    <wps:wsp>
                      <wps:cNvPr id="329" name="Graphic 32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069575pt;width:4.7pt;height:4.7pt;mso-position-horizontal-relative:page;mso-position-vertical-relative:paragraph;z-index:15811584" id="docshape265" coordorigin="6350,301" coordsize="94,94" path="m6396,301l6378,305,6363,315,6353,330,6350,348,6353,366,6363,381,6378,391,6396,395,6414,391,6429,381,6439,366,6443,348,6439,330,6429,315,6414,305,6396,301xe" filled="true" fillcolor="#1a4796" stroked="false">
                <v:path arrowok="t"/>
                <v:fill type="solid"/>
                <w10:wrap type="none"/>
              </v:shape>
            </w:pict>
          </mc:Fallback>
        </mc:AlternateContent>
      </w:r>
      <w:r>
        <w:rPr>
          <w:b/>
          <w:color w:val="1A4796"/>
        </w:rPr>
        <w:t>On December 10, 2022, </w:t>
      </w:r>
      <w:r>
        <w:rPr>
          <w:color w:val="231F20"/>
        </w:rPr>
        <w:t>the </w:t>
      </w:r>
      <w:r>
        <w:rPr>
          <w:color w:val="231F20"/>
        </w:rPr>
        <w:t>10th summit in Angola of the Organisation of</w:t>
      </w:r>
      <w:r>
        <w:rPr>
          <w:color w:val="231F20"/>
          <w:spacing w:val="40"/>
        </w:rPr>
        <w:t> </w:t>
      </w:r>
      <w:r>
        <w:rPr>
          <w:color w:val="231F20"/>
        </w:rPr>
        <w:t>African</w:t>
      </w:r>
      <w:r>
        <w:rPr>
          <w:color w:val="231F20"/>
          <w:spacing w:val="40"/>
        </w:rPr>
        <w:t> </w:t>
      </w:r>
      <w:r>
        <w:rPr>
          <w:color w:val="231F20"/>
        </w:rPr>
        <w:t>Caribbean</w:t>
      </w:r>
      <w:r>
        <w:rPr>
          <w:color w:val="231F20"/>
          <w:spacing w:val="40"/>
        </w:rPr>
        <w:t> </w:t>
      </w:r>
      <w:r>
        <w:rPr>
          <w:color w:val="231F20"/>
        </w:rPr>
        <w:t>and</w:t>
      </w:r>
      <w:r>
        <w:rPr>
          <w:color w:val="231F20"/>
          <w:spacing w:val="40"/>
        </w:rPr>
        <w:t> </w:t>
      </w:r>
      <w:r>
        <w:rPr>
          <w:color w:val="231F20"/>
        </w:rPr>
        <w:t>Pacific States (OACPS) issued the Declaration of Luanda opposing the growing application of unilateral. extraterritorial measures contrary to international law. In this respect, the Helms-Burton Act which codifies the blockade against Cuba, came in for heavy criticism.</w:t>
      </w:r>
    </w:p>
    <w:p>
      <w:pPr>
        <w:spacing w:before="168"/>
        <w:ind w:left="673" w:right="1130" w:firstLine="0"/>
        <w:jc w:val="both"/>
        <w:rPr>
          <w:sz w:val="24"/>
        </w:rPr>
      </w:pPr>
      <w:r>
        <w:rPr/>
        <mc:AlternateContent>
          <mc:Choice Requires="wps">
            <w:drawing>
              <wp:anchor distT="0" distB="0" distL="0" distR="0" allowOverlap="1" layoutInCell="1" locked="0" behindDoc="0" simplePos="0" relativeHeight="15812608">
                <wp:simplePos x="0" y="0"/>
                <wp:positionH relativeFrom="page">
                  <wp:posOffset>4031997</wp:posOffset>
                </wp:positionH>
                <wp:positionV relativeFrom="paragraph">
                  <wp:posOffset>190941</wp:posOffset>
                </wp:positionV>
                <wp:extent cx="59690" cy="59690"/>
                <wp:effectExtent l="0" t="0" r="0" b="0"/>
                <wp:wrapNone/>
                <wp:docPr id="330" name="Graphic 330"/>
                <wp:cNvGraphicFramePr>
                  <a:graphicFrameLocks/>
                </wp:cNvGraphicFramePr>
                <a:graphic>
                  <a:graphicData uri="http://schemas.microsoft.com/office/word/2010/wordprocessingShape">
                    <wps:wsp>
                      <wps:cNvPr id="330" name="Graphic 33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0348pt;width:4.7pt;height:4.7pt;mso-position-horizontal-relative:page;mso-position-vertical-relative:paragraph;z-index:15812608" id="docshape266" coordorigin="6350,301" coordsize="94,94" path="m6396,301l6378,304,6363,314,6353,329,6350,347,6353,365,6363,380,6378,390,6396,394,6414,390,6429,380,6439,365,6443,347,6439,329,6429,314,6414,304,6396,301xe" filled="true" fillcolor="#1a4796" stroked="false">
                <v:path arrowok="t"/>
                <v:fill type="solid"/>
                <w10:wrap type="none"/>
              </v:shape>
            </w:pict>
          </mc:Fallback>
        </mc:AlternateContent>
      </w:r>
      <w:r>
        <w:rPr>
          <w:b/>
          <w:color w:val="1A4796"/>
          <w:spacing w:val="-6"/>
          <w:sz w:val="24"/>
        </w:rPr>
        <w:t>On</w:t>
      </w:r>
      <w:r>
        <w:rPr>
          <w:b/>
          <w:color w:val="1A4796"/>
          <w:spacing w:val="-9"/>
          <w:sz w:val="24"/>
        </w:rPr>
        <w:t> </w:t>
      </w:r>
      <w:r>
        <w:rPr>
          <w:b/>
          <w:color w:val="1A4796"/>
          <w:spacing w:val="-6"/>
          <w:sz w:val="24"/>
        </w:rPr>
        <w:t>December</w:t>
      </w:r>
      <w:r>
        <w:rPr>
          <w:b/>
          <w:color w:val="1A4796"/>
          <w:spacing w:val="-9"/>
          <w:sz w:val="24"/>
        </w:rPr>
        <w:t> </w:t>
      </w:r>
      <w:r>
        <w:rPr>
          <w:b/>
          <w:color w:val="1A4796"/>
          <w:spacing w:val="-6"/>
          <w:sz w:val="24"/>
        </w:rPr>
        <w:t>14,</w:t>
      </w:r>
      <w:r>
        <w:rPr>
          <w:b/>
          <w:color w:val="1A4796"/>
          <w:spacing w:val="-9"/>
          <w:sz w:val="24"/>
        </w:rPr>
        <w:t> </w:t>
      </w:r>
      <w:r>
        <w:rPr>
          <w:b/>
          <w:color w:val="1A4796"/>
          <w:spacing w:val="-6"/>
          <w:sz w:val="24"/>
        </w:rPr>
        <w:t>2022,</w:t>
      </w:r>
      <w:r>
        <w:rPr>
          <w:b/>
          <w:color w:val="1A4796"/>
          <w:spacing w:val="-9"/>
          <w:sz w:val="24"/>
        </w:rPr>
        <w:t> </w:t>
      </w:r>
      <w:r>
        <w:rPr>
          <w:color w:val="231F20"/>
          <w:spacing w:val="-6"/>
          <w:sz w:val="24"/>
        </w:rPr>
        <w:t>the</w:t>
      </w:r>
      <w:r>
        <w:rPr>
          <w:color w:val="231F20"/>
          <w:spacing w:val="-10"/>
          <w:sz w:val="24"/>
        </w:rPr>
        <w:t> </w:t>
      </w:r>
      <w:r>
        <w:rPr>
          <w:color w:val="231F20"/>
          <w:spacing w:val="-6"/>
          <w:sz w:val="24"/>
        </w:rPr>
        <w:t>22nd</w:t>
      </w:r>
      <w:r>
        <w:rPr>
          <w:color w:val="231F20"/>
          <w:spacing w:val="-10"/>
          <w:sz w:val="24"/>
        </w:rPr>
        <w:t> </w:t>
      </w:r>
      <w:r>
        <w:rPr>
          <w:color w:val="231F20"/>
          <w:spacing w:val="-6"/>
          <w:sz w:val="24"/>
        </w:rPr>
        <w:t>ALBA- </w:t>
      </w:r>
      <w:r>
        <w:rPr>
          <w:color w:val="231F20"/>
          <w:sz w:val="24"/>
        </w:rPr>
        <w:t>TCB</w:t>
      </w:r>
      <w:r>
        <w:rPr>
          <w:color w:val="231F20"/>
          <w:spacing w:val="30"/>
          <w:sz w:val="24"/>
        </w:rPr>
        <w:t> </w:t>
      </w:r>
      <w:r>
        <w:rPr>
          <w:color w:val="231F20"/>
          <w:sz w:val="24"/>
        </w:rPr>
        <w:t>Summit,</w:t>
      </w:r>
      <w:r>
        <w:rPr>
          <w:color w:val="231F20"/>
          <w:spacing w:val="33"/>
          <w:sz w:val="24"/>
        </w:rPr>
        <w:t> </w:t>
      </w:r>
      <w:r>
        <w:rPr>
          <w:color w:val="231F20"/>
          <w:sz w:val="24"/>
        </w:rPr>
        <w:t>held</w:t>
      </w:r>
      <w:r>
        <w:rPr>
          <w:color w:val="231F20"/>
          <w:spacing w:val="33"/>
          <w:sz w:val="24"/>
        </w:rPr>
        <w:t> </w:t>
      </w:r>
      <w:r>
        <w:rPr>
          <w:color w:val="231F20"/>
          <w:sz w:val="24"/>
        </w:rPr>
        <w:t>in</w:t>
      </w:r>
      <w:r>
        <w:rPr>
          <w:color w:val="231F20"/>
          <w:spacing w:val="33"/>
          <w:sz w:val="24"/>
        </w:rPr>
        <w:t> </w:t>
      </w:r>
      <w:r>
        <w:rPr>
          <w:color w:val="231F20"/>
          <w:sz w:val="24"/>
        </w:rPr>
        <w:t>Havana,</w:t>
      </w:r>
      <w:r>
        <w:rPr>
          <w:color w:val="231F20"/>
          <w:spacing w:val="33"/>
          <w:sz w:val="24"/>
        </w:rPr>
        <w:t> </w:t>
      </w:r>
      <w:r>
        <w:rPr>
          <w:color w:val="231F20"/>
          <w:sz w:val="24"/>
        </w:rPr>
        <w:t>issued</w:t>
      </w:r>
      <w:r>
        <w:rPr>
          <w:color w:val="231F20"/>
          <w:spacing w:val="33"/>
          <w:sz w:val="24"/>
        </w:rPr>
        <w:t> </w:t>
      </w:r>
      <w:r>
        <w:rPr>
          <w:color w:val="231F20"/>
          <w:spacing w:val="-10"/>
          <w:sz w:val="24"/>
        </w:rPr>
        <w:t>a</w:t>
      </w:r>
    </w:p>
    <w:p>
      <w:pPr>
        <w:spacing w:after="0"/>
        <w:jc w:val="both"/>
        <w:rPr>
          <w:sz w:val="24"/>
        </w:rPr>
        <w:sectPr>
          <w:pgSz w:w="11910" w:h="16840"/>
          <w:pgMar w:header="0" w:footer="695" w:top="1260" w:bottom="880" w:left="0" w:right="0"/>
          <w:cols w:num="2" w:equalWidth="0">
            <w:col w:w="5898" w:space="40"/>
            <w:col w:w="5972"/>
          </w:cols>
        </w:sectPr>
      </w:pPr>
    </w:p>
    <w:p>
      <w:pPr>
        <w:pStyle w:val="BodyText"/>
        <w:spacing w:before="77"/>
        <w:ind w:left="1394"/>
      </w:pPr>
      <w:r>
        <w:rPr>
          <w:color w:val="231F20"/>
        </w:rPr>
        <w:t>declaration in which Washington </w:t>
      </w:r>
      <w:r>
        <w:rPr>
          <w:color w:val="231F20"/>
        </w:rPr>
        <w:t>was again</w:t>
      </w:r>
      <w:r>
        <w:rPr>
          <w:color w:val="231F20"/>
          <w:spacing w:val="-2"/>
        </w:rPr>
        <w:t> </w:t>
      </w:r>
      <w:r>
        <w:rPr>
          <w:color w:val="231F20"/>
        </w:rPr>
        <w:t>urged</w:t>
      </w:r>
      <w:r>
        <w:rPr>
          <w:color w:val="231F20"/>
          <w:spacing w:val="-2"/>
        </w:rPr>
        <w:t> </w:t>
      </w:r>
      <w:r>
        <w:rPr>
          <w:color w:val="231F20"/>
        </w:rPr>
        <w:t>to</w:t>
      </w:r>
      <w:r>
        <w:rPr>
          <w:color w:val="231F20"/>
          <w:spacing w:val="-2"/>
        </w:rPr>
        <w:t> </w:t>
      </w:r>
      <w:r>
        <w:rPr>
          <w:color w:val="231F20"/>
        </w:rPr>
        <w:t>rethink</w:t>
      </w:r>
      <w:r>
        <w:rPr>
          <w:color w:val="231F20"/>
          <w:spacing w:val="-2"/>
        </w:rPr>
        <w:t> </w:t>
      </w:r>
      <w:r>
        <w:rPr>
          <w:color w:val="231F20"/>
        </w:rPr>
        <w:t>its</w:t>
      </w:r>
      <w:r>
        <w:rPr>
          <w:color w:val="231F20"/>
          <w:spacing w:val="-2"/>
        </w:rPr>
        <w:t> </w:t>
      </w:r>
      <w:r>
        <w:rPr>
          <w:color w:val="231F20"/>
        </w:rPr>
        <w:t>hostile</w:t>
      </w:r>
      <w:r>
        <w:rPr>
          <w:color w:val="231F20"/>
          <w:spacing w:val="-2"/>
        </w:rPr>
        <w:t> </w:t>
      </w:r>
      <w:r>
        <w:rPr>
          <w:color w:val="231F20"/>
        </w:rPr>
        <w:t>policy towards Cuba, including an immediate and unconditional end to the</w:t>
      </w:r>
      <w:r>
        <w:rPr>
          <w:color w:val="231F20"/>
          <w:spacing w:val="80"/>
        </w:rPr>
        <w:t> </w:t>
      </w:r>
      <w:r>
        <w:rPr>
          <w:color w:val="231F20"/>
        </w:rPr>
        <w:t>blockade,</w:t>
      </w:r>
      <w:r>
        <w:rPr>
          <w:color w:val="231F20"/>
          <w:spacing w:val="-13"/>
        </w:rPr>
        <w:t> </w:t>
      </w:r>
      <w:r>
        <w:rPr>
          <w:color w:val="231F20"/>
        </w:rPr>
        <w:t>abandonment</w:t>
      </w:r>
      <w:r>
        <w:rPr>
          <w:color w:val="231F20"/>
          <w:spacing w:val="-13"/>
        </w:rPr>
        <w:t> </w:t>
      </w:r>
      <w:r>
        <w:rPr>
          <w:color w:val="231F20"/>
        </w:rPr>
        <w:t>of</w:t>
      </w:r>
      <w:r>
        <w:rPr>
          <w:color w:val="231F20"/>
          <w:spacing w:val="-13"/>
        </w:rPr>
        <w:t> </w:t>
      </w:r>
      <w:r>
        <w:rPr>
          <w:color w:val="231F20"/>
        </w:rPr>
        <w:t>clandestine, subversive, illegal measures - including those employing information and communications technologies (ICTs) - and reversal of the absurd, groundless inclusion of Cuba on the U.S. State Department’s spurious, arbitrary list of state sponsors of terrorism.</w:t>
      </w:r>
    </w:p>
    <w:p>
      <w:pPr>
        <w:pStyle w:val="BodyText"/>
        <w:spacing w:before="169"/>
        <w:ind w:left="1394"/>
      </w:pPr>
      <w:r>
        <w:rPr/>
        <mc:AlternateContent>
          <mc:Choice Requires="wps">
            <w:drawing>
              <wp:anchor distT="0" distB="0" distL="0" distR="0" allowOverlap="1" layoutInCell="1" locked="0" behindDoc="0" simplePos="0" relativeHeight="15813632">
                <wp:simplePos x="0" y="0"/>
                <wp:positionH relativeFrom="page">
                  <wp:posOffset>719997</wp:posOffset>
                </wp:positionH>
                <wp:positionV relativeFrom="paragraph">
                  <wp:posOffset>192056</wp:posOffset>
                </wp:positionV>
                <wp:extent cx="59690" cy="59690"/>
                <wp:effectExtent l="0" t="0" r="0" b="0"/>
                <wp:wrapNone/>
                <wp:docPr id="331" name="Graphic 331"/>
                <wp:cNvGraphicFramePr>
                  <a:graphicFrameLocks/>
                </wp:cNvGraphicFramePr>
                <a:graphic>
                  <a:graphicData uri="http://schemas.microsoft.com/office/word/2010/wordprocessingShape">
                    <wps:wsp>
                      <wps:cNvPr id="331" name="Graphic 33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5.12255pt;width:4.7pt;height:4.7pt;mso-position-horizontal-relative:page;mso-position-vertical-relative:paragraph;z-index:15813632" id="docshape267" coordorigin="1134,302" coordsize="94,94" path="m1180,302l1162,306,1148,316,1138,331,1134,349,1138,367,1148,382,1162,392,1180,396,1199,392,1213,382,1223,367,1227,349,1223,331,1213,316,1199,306,1180,302xe" filled="true" fillcolor="#1a4796" stroked="false">
                <v:path arrowok="t"/>
                <v:fill type="solid"/>
                <w10:wrap type="none"/>
              </v:shape>
            </w:pict>
          </mc:Fallback>
        </mc:AlternateContent>
      </w:r>
      <w:r>
        <w:rPr>
          <w:b/>
          <w:color w:val="1A4796"/>
        </w:rPr>
        <w:t>On December 16, 2022, </w:t>
      </w:r>
      <w:r>
        <w:rPr>
          <w:color w:val="231F20"/>
        </w:rPr>
        <w:t>the </w:t>
      </w:r>
      <w:r>
        <w:rPr>
          <w:color w:val="231F20"/>
        </w:rPr>
        <w:t>president of the Republic of South Africa and the African National Congress (ANC), Cyril Ramaphosa, called for an end to the blockade</w:t>
      </w:r>
      <w:r>
        <w:rPr>
          <w:color w:val="231F20"/>
          <w:spacing w:val="-10"/>
        </w:rPr>
        <w:t> </w:t>
      </w:r>
      <w:r>
        <w:rPr>
          <w:color w:val="231F20"/>
        </w:rPr>
        <w:t>on</w:t>
      </w:r>
      <w:r>
        <w:rPr>
          <w:color w:val="231F20"/>
          <w:spacing w:val="-10"/>
        </w:rPr>
        <w:t> </w:t>
      </w:r>
      <w:r>
        <w:rPr>
          <w:color w:val="231F20"/>
        </w:rPr>
        <w:t>Cuba,</w:t>
      </w:r>
      <w:r>
        <w:rPr>
          <w:color w:val="231F20"/>
          <w:spacing w:val="-10"/>
        </w:rPr>
        <w:t> </w:t>
      </w:r>
      <w:r>
        <w:rPr>
          <w:color w:val="231F20"/>
        </w:rPr>
        <w:t>in</w:t>
      </w:r>
      <w:r>
        <w:rPr>
          <w:color w:val="231F20"/>
          <w:spacing w:val="-10"/>
        </w:rPr>
        <w:t> </w:t>
      </w:r>
      <w:r>
        <w:rPr>
          <w:color w:val="231F20"/>
        </w:rPr>
        <w:t>his</w:t>
      </w:r>
      <w:r>
        <w:rPr>
          <w:color w:val="231F20"/>
          <w:spacing w:val="-10"/>
        </w:rPr>
        <w:t> </w:t>
      </w:r>
      <w:r>
        <w:rPr>
          <w:color w:val="231F20"/>
        </w:rPr>
        <w:t>central</w:t>
      </w:r>
      <w:r>
        <w:rPr>
          <w:color w:val="231F20"/>
          <w:spacing w:val="-10"/>
        </w:rPr>
        <w:t> </w:t>
      </w:r>
      <w:r>
        <w:rPr>
          <w:color w:val="231F20"/>
        </w:rPr>
        <w:t>speech at the 55th ANC National Conference. </w:t>
      </w:r>
      <w:r>
        <w:rPr>
          <w:color w:val="231F20"/>
          <w:spacing w:val="-2"/>
        </w:rPr>
        <w:t>One</w:t>
      </w:r>
      <w:r>
        <w:rPr>
          <w:color w:val="231F20"/>
          <w:spacing w:val="-15"/>
        </w:rPr>
        <w:t> </w:t>
      </w:r>
      <w:r>
        <w:rPr>
          <w:color w:val="231F20"/>
          <w:spacing w:val="-2"/>
        </w:rPr>
        <w:t>of</w:t>
      </w:r>
      <w:r>
        <w:rPr>
          <w:color w:val="231F20"/>
          <w:spacing w:val="-14"/>
        </w:rPr>
        <w:t> </w:t>
      </w:r>
      <w:r>
        <w:rPr>
          <w:color w:val="231F20"/>
          <w:spacing w:val="-2"/>
        </w:rPr>
        <w:t>the</w:t>
      </w:r>
      <w:r>
        <w:rPr>
          <w:color w:val="231F20"/>
          <w:spacing w:val="-15"/>
        </w:rPr>
        <w:t> </w:t>
      </w:r>
      <w:r>
        <w:rPr>
          <w:color w:val="231F20"/>
          <w:spacing w:val="-2"/>
        </w:rPr>
        <w:t>conference</w:t>
      </w:r>
      <w:r>
        <w:rPr>
          <w:color w:val="231F20"/>
          <w:spacing w:val="-14"/>
        </w:rPr>
        <w:t> </w:t>
      </w:r>
      <w:r>
        <w:rPr>
          <w:color w:val="231F20"/>
          <w:spacing w:val="-2"/>
        </w:rPr>
        <w:t>resolutions</w:t>
      </w:r>
      <w:r>
        <w:rPr>
          <w:color w:val="231F20"/>
          <w:spacing w:val="-15"/>
        </w:rPr>
        <w:t> </w:t>
      </w:r>
      <w:r>
        <w:rPr>
          <w:color w:val="231F20"/>
          <w:spacing w:val="-2"/>
        </w:rPr>
        <w:t>urged </w:t>
      </w:r>
      <w:r>
        <w:rPr>
          <w:color w:val="231F20"/>
        </w:rPr>
        <w:t>an immediate lifting of this policy.</w:t>
      </w:r>
    </w:p>
    <w:p>
      <w:pPr>
        <w:pStyle w:val="BodyText"/>
        <w:spacing w:before="166"/>
        <w:ind w:left="1394"/>
      </w:pPr>
      <w:r>
        <w:rPr/>
        <mc:AlternateContent>
          <mc:Choice Requires="wps">
            <w:drawing>
              <wp:anchor distT="0" distB="0" distL="0" distR="0" allowOverlap="1" layoutInCell="1" locked="0" behindDoc="0" simplePos="0" relativeHeight="15813120">
                <wp:simplePos x="0" y="0"/>
                <wp:positionH relativeFrom="page">
                  <wp:posOffset>719997</wp:posOffset>
                </wp:positionH>
                <wp:positionV relativeFrom="paragraph">
                  <wp:posOffset>187509</wp:posOffset>
                </wp:positionV>
                <wp:extent cx="59690" cy="59690"/>
                <wp:effectExtent l="0" t="0" r="0" b="0"/>
                <wp:wrapNone/>
                <wp:docPr id="332" name="Graphic 332"/>
                <wp:cNvGraphicFramePr>
                  <a:graphicFrameLocks/>
                </wp:cNvGraphicFramePr>
                <a:graphic>
                  <a:graphicData uri="http://schemas.microsoft.com/office/word/2010/wordprocessingShape">
                    <wps:wsp>
                      <wps:cNvPr id="332" name="Graphic 33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76455pt;width:4.7pt;height:4.7pt;mso-position-horizontal-relative:page;mso-position-vertical-relative:paragraph;z-index:15813120" id="docshape268" coordorigin="1134,295" coordsize="94,94" path="m1180,295l1162,299,1148,309,1138,324,1134,342,1138,360,1148,375,1162,385,1180,389,1199,385,1213,375,1223,360,1227,342,1223,324,1213,309,1199,299,1180,295xe" filled="true" fillcolor="#1a4796" stroked="false">
                <v:path arrowok="t"/>
                <v:fill type="solid"/>
                <w10:wrap type="none"/>
              </v:shape>
            </w:pict>
          </mc:Fallback>
        </mc:AlternateContent>
      </w:r>
      <w:r>
        <w:rPr>
          <w:b/>
          <w:color w:val="1A4796"/>
        </w:rPr>
        <w:t>In 2022, </w:t>
      </w:r>
      <w:r>
        <w:rPr>
          <w:color w:val="231F20"/>
        </w:rPr>
        <w:t>there were 11 public </w:t>
      </w:r>
      <w:r>
        <w:rPr>
          <w:color w:val="231F20"/>
          <w:spacing w:val="-2"/>
        </w:rPr>
        <w:t>pronouncements</w:t>
      </w:r>
      <w:r>
        <w:rPr>
          <w:color w:val="231F20"/>
          <w:spacing w:val="-15"/>
        </w:rPr>
        <w:t> </w:t>
      </w:r>
      <w:r>
        <w:rPr>
          <w:color w:val="231F20"/>
          <w:spacing w:val="-2"/>
        </w:rPr>
        <w:t>in</w:t>
      </w:r>
      <w:r>
        <w:rPr>
          <w:color w:val="231F20"/>
          <w:spacing w:val="-14"/>
        </w:rPr>
        <w:t> </w:t>
      </w:r>
      <w:r>
        <w:rPr>
          <w:color w:val="231F20"/>
          <w:spacing w:val="-2"/>
        </w:rPr>
        <w:t>favor</w:t>
      </w:r>
      <w:r>
        <w:rPr>
          <w:color w:val="231F20"/>
          <w:spacing w:val="-15"/>
        </w:rPr>
        <w:t> </w:t>
      </w:r>
      <w:r>
        <w:rPr>
          <w:color w:val="231F20"/>
          <w:spacing w:val="-2"/>
        </w:rPr>
        <w:t>of</w:t>
      </w:r>
      <w:r>
        <w:rPr>
          <w:color w:val="231F20"/>
          <w:spacing w:val="-14"/>
        </w:rPr>
        <w:t> </w:t>
      </w:r>
      <w:r>
        <w:rPr>
          <w:color w:val="231F20"/>
          <w:spacing w:val="-2"/>
        </w:rPr>
        <w:t>Cuba</w:t>
      </w:r>
      <w:r>
        <w:rPr>
          <w:color w:val="231F20"/>
          <w:spacing w:val="-15"/>
        </w:rPr>
        <w:t> </w:t>
      </w:r>
      <w:r>
        <w:rPr>
          <w:color w:val="231F20"/>
          <w:spacing w:val="-2"/>
        </w:rPr>
        <w:t>by</w:t>
      </w:r>
      <w:r>
        <w:rPr>
          <w:color w:val="231F20"/>
          <w:spacing w:val="-14"/>
        </w:rPr>
        <w:t> </w:t>
      </w:r>
      <w:r>
        <w:rPr>
          <w:color w:val="231F20"/>
          <w:spacing w:val="-2"/>
        </w:rPr>
        <w:t>the </w:t>
      </w:r>
      <w:r>
        <w:rPr>
          <w:color w:val="231F20"/>
        </w:rPr>
        <w:t>spokesperson for the Chinese foreign ministry, six of which included express condemnation of the blockade policy.</w:t>
      </w:r>
    </w:p>
    <w:p>
      <w:pPr>
        <w:pStyle w:val="BodyText"/>
        <w:spacing w:before="164"/>
        <w:ind w:left="1394"/>
      </w:pPr>
      <w:r>
        <w:rPr>
          <w:color w:val="231F20"/>
          <w:spacing w:val="-8"/>
        </w:rPr>
        <w:t>A report entitled “The State of </w:t>
      </w:r>
      <w:r>
        <w:rPr>
          <w:color w:val="231F20"/>
          <w:spacing w:val="-8"/>
        </w:rPr>
        <w:t>Democracy </w:t>
      </w:r>
      <w:r>
        <w:rPr>
          <w:color w:val="231F20"/>
          <w:spacing w:val="-2"/>
        </w:rPr>
        <w:t>in</w:t>
      </w:r>
      <w:r>
        <w:rPr>
          <w:color w:val="231F20"/>
          <w:spacing w:val="-15"/>
        </w:rPr>
        <w:t> </w:t>
      </w:r>
      <w:r>
        <w:rPr>
          <w:color w:val="231F20"/>
          <w:spacing w:val="-2"/>
        </w:rPr>
        <w:t>the</w:t>
      </w:r>
      <w:r>
        <w:rPr>
          <w:color w:val="231F20"/>
          <w:spacing w:val="-14"/>
        </w:rPr>
        <w:t> </w:t>
      </w:r>
      <w:r>
        <w:rPr>
          <w:color w:val="231F20"/>
          <w:spacing w:val="-2"/>
        </w:rPr>
        <w:t>United</w:t>
      </w:r>
      <w:r>
        <w:rPr>
          <w:color w:val="231F20"/>
          <w:spacing w:val="-15"/>
        </w:rPr>
        <w:t> </w:t>
      </w:r>
      <w:r>
        <w:rPr>
          <w:color w:val="231F20"/>
          <w:spacing w:val="-2"/>
        </w:rPr>
        <w:t>States:</w:t>
      </w:r>
      <w:r>
        <w:rPr>
          <w:color w:val="231F20"/>
          <w:spacing w:val="-14"/>
        </w:rPr>
        <w:t> </w:t>
      </w:r>
      <w:r>
        <w:rPr>
          <w:color w:val="231F20"/>
          <w:spacing w:val="-2"/>
        </w:rPr>
        <w:t>2022”,</w:t>
      </w:r>
      <w:r>
        <w:rPr>
          <w:color w:val="231F20"/>
          <w:spacing w:val="-15"/>
        </w:rPr>
        <w:t> </w:t>
      </w:r>
      <w:r>
        <w:rPr>
          <w:color w:val="231F20"/>
          <w:spacing w:val="-2"/>
        </w:rPr>
        <w:t>published</w:t>
      </w:r>
      <w:r>
        <w:rPr>
          <w:color w:val="231F20"/>
          <w:spacing w:val="-14"/>
        </w:rPr>
        <w:t> </w:t>
      </w:r>
      <w:r>
        <w:rPr>
          <w:color w:val="231F20"/>
          <w:spacing w:val="-2"/>
        </w:rPr>
        <w:t>by </w:t>
      </w:r>
      <w:r>
        <w:rPr>
          <w:color w:val="231F20"/>
        </w:rPr>
        <w:t>the</w:t>
      </w:r>
      <w:r>
        <w:rPr>
          <w:color w:val="231F20"/>
          <w:spacing w:val="-6"/>
        </w:rPr>
        <w:t> </w:t>
      </w:r>
      <w:r>
        <w:rPr>
          <w:color w:val="231F20"/>
        </w:rPr>
        <w:t>Chinese</w:t>
      </w:r>
      <w:r>
        <w:rPr>
          <w:color w:val="231F20"/>
          <w:spacing w:val="-6"/>
        </w:rPr>
        <w:t> </w:t>
      </w:r>
      <w:r>
        <w:rPr>
          <w:color w:val="231F20"/>
        </w:rPr>
        <w:t>foreign</w:t>
      </w:r>
      <w:r>
        <w:rPr>
          <w:color w:val="231F20"/>
          <w:spacing w:val="-6"/>
        </w:rPr>
        <w:t> </w:t>
      </w:r>
      <w:r>
        <w:rPr>
          <w:color w:val="231F20"/>
        </w:rPr>
        <w:t>ministry</w:t>
      </w:r>
      <w:r>
        <w:rPr>
          <w:color w:val="231F20"/>
          <w:spacing w:val="-6"/>
        </w:rPr>
        <w:t> </w:t>
      </w:r>
      <w:r>
        <w:rPr>
          <w:color w:val="231F20"/>
        </w:rPr>
        <w:t>in</w:t>
      </w:r>
      <w:r>
        <w:rPr>
          <w:color w:val="231F20"/>
          <w:spacing w:val="-6"/>
        </w:rPr>
        <w:t> </w:t>
      </w:r>
      <w:r>
        <w:rPr>
          <w:color w:val="231F20"/>
        </w:rPr>
        <w:t>the</w:t>
      </w:r>
      <w:r>
        <w:rPr>
          <w:color w:val="231F20"/>
          <w:spacing w:val="-6"/>
        </w:rPr>
        <w:t> </w:t>
      </w:r>
      <w:r>
        <w:rPr>
          <w:color w:val="231F20"/>
        </w:rPr>
        <w:t>run- up to the 2nd Summit for Democracy</w:t>
      </w:r>
      <w:r>
        <w:rPr>
          <w:color w:val="231F20"/>
          <w:spacing w:val="40"/>
        </w:rPr>
        <w:t> </w:t>
      </w:r>
      <w:r>
        <w:rPr>
          <w:color w:val="231F20"/>
        </w:rPr>
        <w:t>in March 2023, expressly denounces the</w:t>
      </w:r>
      <w:r>
        <w:rPr>
          <w:color w:val="231F20"/>
          <w:spacing w:val="-1"/>
        </w:rPr>
        <w:t> </w:t>
      </w:r>
      <w:r>
        <w:rPr>
          <w:color w:val="231F20"/>
        </w:rPr>
        <w:t>way</w:t>
      </w:r>
      <w:r>
        <w:rPr>
          <w:color w:val="231F20"/>
          <w:spacing w:val="-1"/>
        </w:rPr>
        <w:t> </w:t>
      </w:r>
      <w:r>
        <w:rPr>
          <w:color w:val="231F20"/>
        </w:rPr>
        <w:t>Washington,</w:t>
      </w:r>
      <w:r>
        <w:rPr>
          <w:color w:val="231F20"/>
          <w:spacing w:val="-1"/>
        </w:rPr>
        <w:t> </w:t>
      </w:r>
      <w:r>
        <w:rPr>
          <w:color w:val="231F20"/>
        </w:rPr>
        <w:t>under</w:t>
      </w:r>
      <w:r>
        <w:rPr>
          <w:color w:val="231F20"/>
          <w:spacing w:val="-1"/>
        </w:rPr>
        <w:t> </w:t>
      </w:r>
      <w:r>
        <w:rPr>
          <w:color w:val="231F20"/>
        </w:rPr>
        <w:t>the</w:t>
      </w:r>
      <w:r>
        <w:rPr>
          <w:color w:val="231F20"/>
          <w:spacing w:val="-1"/>
        </w:rPr>
        <w:t> </w:t>
      </w:r>
      <w:r>
        <w:rPr>
          <w:color w:val="231F20"/>
        </w:rPr>
        <w:t>pretext of</w:t>
      </w:r>
      <w:r>
        <w:rPr>
          <w:color w:val="231F20"/>
          <w:spacing w:val="80"/>
        </w:rPr>
        <w:t> </w:t>
      </w:r>
      <w:r>
        <w:rPr>
          <w:color w:val="231F20"/>
        </w:rPr>
        <w:t>human</w:t>
      </w:r>
      <w:r>
        <w:rPr>
          <w:color w:val="231F20"/>
          <w:spacing w:val="80"/>
        </w:rPr>
        <w:t> </w:t>
      </w:r>
      <w:r>
        <w:rPr>
          <w:color w:val="231F20"/>
        </w:rPr>
        <w:t>rights</w:t>
      </w:r>
      <w:r>
        <w:rPr>
          <w:color w:val="231F20"/>
          <w:spacing w:val="80"/>
        </w:rPr>
        <w:t> </w:t>
      </w:r>
      <w:r>
        <w:rPr>
          <w:color w:val="231F20"/>
        </w:rPr>
        <w:t>and</w:t>
      </w:r>
      <w:r>
        <w:rPr>
          <w:color w:val="231F20"/>
          <w:spacing w:val="80"/>
        </w:rPr>
        <w:t> </w:t>
      </w:r>
      <w:r>
        <w:rPr>
          <w:color w:val="231F20"/>
        </w:rPr>
        <w:t>democracy,</w:t>
      </w:r>
      <w:r>
        <w:rPr>
          <w:color w:val="231F20"/>
          <w:spacing w:val="40"/>
        </w:rPr>
        <w:t> </w:t>
      </w:r>
      <w:r>
        <w:rPr>
          <w:color w:val="231F20"/>
        </w:rPr>
        <w:t>has for many years used unilateral, extraterritorial sanctions against other countries, including Cuba.</w:t>
      </w:r>
    </w:p>
    <w:p>
      <w:pPr>
        <w:pStyle w:val="BodyText"/>
        <w:spacing w:before="168"/>
        <w:ind w:left="1394"/>
      </w:pPr>
      <w:r>
        <w:rPr>
          <w:color w:val="231F20"/>
        </w:rPr>
        <w:t>Another report entitled “The Report </w:t>
      </w:r>
      <w:r>
        <w:rPr>
          <w:color w:val="231F20"/>
        </w:rPr>
        <w:t>on Human Rights Violations in the United States in 2022”, an annual publication by China’s State Council Information Office</w:t>
      </w:r>
      <w:r>
        <w:rPr>
          <w:color w:val="231F20"/>
          <w:spacing w:val="-17"/>
        </w:rPr>
        <w:t> </w:t>
      </w:r>
      <w:r>
        <w:rPr>
          <w:color w:val="231F20"/>
        </w:rPr>
        <w:t>again</w:t>
      </w:r>
      <w:r>
        <w:rPr>
          <w:color w:val="231F20"/>
          <w:spacing w:val="-16"/>
        </w:rPr>
        <w:t> </w:t>
      </w:r>
      <w:r>
        <w:rPr>
          <w:color w:val="231F20"/>
        </w:rPr>
        <w:t>mentions</w:t>
      </w:r>
      <w:r>
        <w:rPr>
          <w:color w:val="231F20"/>
          <w:spacing w:val="-17"/>
        </w:rPr>
        <w:t> </w:t>
      </w:r>
      <w:r>
        <w:rPr>
          <w:color w:val="231F20"/>
        </w:rPr>
        <w:t>the</w:t>
      </w:r>
      <w:r>
        <w:rPr>
          <w:color w:val="231F20"/>
          <w:spacing w:val="-16"/>
        </w:rPr>
        <w:t> </w:t>
      </w:r>
      <w:r>
        <w:rPr>
          <w:color w:val="231F20"/>
        </w:rPr>
        <w:t>U.S.</w:t>
      </w:r>
      <w:r>
        <w:rPr>
          <w:color w:val="231F20"/>
          <w:spacing w:val="-17"/>
        </w:rPr>
        <w:t> </w:t>
      </w:r>
      <w:r>
        <w:rPr>
          <w:color w:val="231F20"/>
        </w:rPr>
        <w:t>blockade on Cuba as a policy that undermines human rights in other nations.</w:t>
      </w:r>
    </w:p>
    <w:p>
      <w:pPr>
        <w:pStyle w:val="BodyText"/>
        <w:spacing w:before="77"/>
        <w:ind w:left="673" w:right="1471"/>
      </w:pPr>
      <w:r>
        <w:rPr/>
        <w:br w:type="column"/>
      </w:r>
      <w:r>
        <w:rPr>
          <w:b/>
          <w:color w:val="1A4796"/>
          <w:spacing w:val="-2"/>
        </w:rPr>
        <w:t>On</w:t>
      </w:r>
      <w:r>
        <w:rPr>
          <w:b/>
          <w:color w:val="1A4796"/>
          <w:spacing w:val="-11"/>
        </w:rPr>
        <w:t> </w:t>
      </w:r>
      <w:r>
        <w:rPr>
          <w:b/>
          <w:color w:val="1A4796"/>
          <w:spacing w:val="-2"/>
        </w:rPr>
        <w:t>January</w:t>
      </w:r>
      <w:r>
        <w:rPr>
          <w:b/>
          <w:color w:val="1A4796"/>
          <w:spacing w:val="-11"/>
        </w:rPr>
        <w:t> </w:t>
      </w:r>
      <w:r>
        <w:rPr>
          <w:b/>
          <w:color w:val="1A4796"/>
          <w:spacing w:val="-2"/>
        </w:rPr>
        <w:t>19,</w:t>
      </w:r>
      <w:r>
        <w:rPr>
          <w:b/>
          <w:color w:val="1A4796"/>
          <w:spacing w:val="-11"/>
        </w:rPr>
        <w:t> </w:t>
      </w:r>
      <w:r>
        <w:rPr>
          <w:b/>
          <w:color w:val="1A4796"/>
          <w:spacing w:val="-2"/>
        </w:rPr>
        <w:t>2023,</w:t>
      </w:r>
      <w:r>
        <w:rPr>
          <w:b/>
          <w:color w:val="1A4796"/>
          <w:spacing w:val="-13"/>
        </w:rPr>
        <w:t> </w:t>
      </w:r>
      <w:r>
        <w:rPr>
          <w:color w:val="231F20"/>
          <w:spacing w:val="-2"/>
        </w:rPr>
        <w:t>on</w:t>
      </w:r>
      <w:r>
        <w:rPr>
          <w:color w:val="231F20"/>
          <w:spacing w:val="-12"/>
        </w:rPr>
        <w:t> </w:t>
      </w:r>
      <w:r>
        <w:rPr>
          <w:color w:val="231F20"/>
          <w:spacing w:val="-2"/>
        </w:rPr>
        <w:t>an</w:t>
      </w:r>
      <w:r>
        <w:rPr>
          <w:color w:val="231F20"/>
          <w:spacing w:val="-12"/>
        </w:rPr>
        <w:t> </w:t>
      </w:r>
      <w:r>
        <w:rPr>
          <w:color w:val="231F20"/>
          <w:spacing w:val="-2"/>
        </w:rPr>
        <w:t>official</w:t>
      </w:r>
      <w:r>
        <w:rPr>
          <w:color w:val="231F20"/>
          <w:spacing w:val="-12"/>
        </w:rPr>
        <w:t> </w:t>
      </w:r>
      <w:r>
        <w:rPr>
          <w:color w:val="231F20"/>
          <w:spacing w:val="-2"/>
        </w:rPr>
        <w:t>visit </w:t>
      </w:r>
      <w:r>
        <w:rPr>
          <w:color w:val="231F20"/>
        </w:rPr>
        <w:t>to Cuba, Hungarian foreign </w:t>
      </w:r>
      <w:r>
        <w:rPr>
          <w:color w:val="231F20"/>
        </w:rPr>
        <w:t>minister Péter Szijjártó made press statements opposing the blockade policy.</w:t>
      </w:r>
    </w:p>
    <w:p>
      <w:pPr>
        <w:pStyle w:val="BodyText"/>
        <w:spacing w:before="163"/>
        <w:ind w:left="673" w:right="1471"/>
      </w:pPr>
      <w:r>
        <w:rPr/>
        <mc:AlternateContent>
          <mc:Choice Requires="wps">
            <w:drawing>
              <wp:anchor distT="0" distB="0" distL="0" distR="0" allowOverlap="1" layoutInCell="1" locked="0" behindDoc="0" simplePos="0" relativeHeight="15814144">
                <wp:simplePos x="0" y="0"/>
                <wp:positionH relativeFrom="page">
                  <wp:posOffset>3815998</wp:posOffset>
                </wp:positionH>
                <wp:positionV relativeFrom="paragraph">
                  <wp:posOffset>-727912</wp:posOffset>
                </wp:positionV>
                <wp:extent cx="59690" cy="59690"/>
                <wp:effectExtent l="0" t="0" r="0" b="0"/>
                <wp:wrapNone/>
                <wp:docPr id="333" name="Graphic 333"/>
                <wp:cNvGraphicFramePr>
                  <a:graphicFrameLocks/>
                </wp:cNvGraphicFramePr>
                <a:graphic>
                  <a:graphicData uri="http://schemas.microsoft.com/office/word/2010/wordprocessingShape">
                    <wps:wsp>
                      <wps:cNvPr id="333" name="Graphic 33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57.315948pt;width:4.7pt;height:4.7pt;mso-position-horizontal-relative:page;mso-position-vertical-relative:paragraph;z-index:15814144" id="docshape269" coordorigin="6009,-1146" coordsize="94,94" path="m6056,-1146l6038,-1143,6023,-1133,6013,-1118,6009,-1100,6013,-1082,6023,-1067,6038,-1057,6056,-1053,6074,-1057,6089,-1067,6099,-1082,6103,-1100,6099,-1118,6089,-1133,6074,-1143,6056,-1146xe" filled="true" fillcolor="#1a4796" stroked="false">
                <v:path arrowok="t"/>
                <v:fill type="solid"/>
                <w10:wrap type="none"/>
              </v:shape>
            </w:pict>
          </mc:Fallback>
        </mc:AlternateContent>
      </w:r>
      <w:r>
        <w:rPr/>
        <mc:AlternateContent>
          <mc:Choice Requires="wps">
            <w:drawing>
              <wp:anchor distT="0" distB="0" distL="0" distR="0" allowOverlap="1" layoutInCell="1" locked="0" behindDoc="0" simplePos="0" relativeHeight="15814656">
                <wp:simplePos x="0" y="0"/>
                <wp:positionH relativeFrom="page">
                  <wp:posOffset>3815998</wp:posOffset>
                </wp:positionH>
                <wp:positionV relativeFrom="paragraph">
                  <wp:posOffset>190086</wp:posOffset>
                </wp:positionV>
                <wp:extent cx="59690" cy="59690"/>
                <wp:effectExtent l="0" t="0" r="0" b="0"/>
                <wp:wrapNone/>
                <wp:docPr id="334" name="Graphic 334"/>
                <wp:cNvGraphicFramePr>
                  <a:graphicFrameLocks/>
                </wp:cNvGraphicFramePr>
                <a:graphic>
                  <a:graphicData uri="http://schemas.microsoft.com/office/word/2010/wordprocessingShape">
                    <wps:wsp>
                      <wps:cNvPr id="334" name="Graphic 33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96745pt;width:4.7pt;height:4.7pt;mso-position-horizontal-relative:page;mso-position-vertical-relative:paragraph;z-index:15814656" id="docshape270" coordorigin="6009,299" coordsize="94,94" path="m6056,299l6038,303,6023,313,6013,328,6009,346,6013,364,6023,379,6038,389,6056,393,6074,389,6089,379,6099,364,6103,346,6099,328,6089,313,6074,303,6056,299xe" filled="true" fillcolor="#1a4796" stroked="false">
                <v:path arrowok="t"/>
                <v:fill type="solid"/>
                <w10:wrap type="none"/>
              </v:shape>
            </w:pict>
          </mc:Fallback>
        </mc:AlternateContent>
      </w:r>
      <w:r>
        <w:rPr>
          <w:b/>
          <w:color w:val="1A4796"/>
          <w:spacing w:val="-4"/>
        </w:rPr>
        <w:t>On</w:t>
      </w:r>
      <w:r>
        <w:rPr>
          <w:b/>
          <w:color w:val="1A4796"/>
          <w:spacing w:val="-13"/>
        </w:rPr>
        <w:t> </w:t>
      </w:r>
      <w:r>
        <w:rPr>
          <w:b/>
          <w:color w:val="1A4796"/>
          <w:spacing w:val="-4"/>
        </w:rPr>
        <w:t>January</w:t>
      </w:r>
      <w:r>
        <w:rPr>
          <w:b/>
          <w:color w:val="1A4796"/>
          <w:spacing w:val="-13"/>
        </w:rPr>
        <w:t> </w:t>
      </w:r>
      <w:r>
        <w:rPr>
          <w:b/>
          <w:color w:val="1A4796"/>
          <w:spacing w:val="-4"/>
        </w:rPr>
        <w:t>24,</w:t>
      </w:r>
      <w:r>
        <w:rPr>
          <w:b/>
          <w:color w:val="1A4796"/>
          <w:spacing w:val="-12"/>
        </w:rPr>
        <w:t> </w:t>
      </w:r>
      <w:r>
        <w:rPr>
          <w:b/>
          <w:color w:val="1A4796"/>
          <w:spacing w:val="-4"/>
        </w:rPr>
        <w:t>2023,</w:t>
      </w:r>
      <w:r>
        <w:rPr>
          <w:b/>
          <w:color w:val="1A4796"/>
          <w:spacing w:val="-13"/>
        </w:rPr>
        <w:t> </w:t>
      </w:r>
      <w:r>
        <w:rPr>
          <w:color w:val="231F20"/>
          <w:spacing w:val="-4"/>
        </w:rPr>
        <w:t>the</w:t>
      </w:r>
      <w:r>
        <w:rPr>
          <w:color w:val="231F20"/>
          <w:spacing w:val="-12"/>
        </w:rPr>
        <w:t> </w:t>
      </w:r>
      <w:r>
        <w:rPr>
          <w:color w:val="231F20"/>
          <w:spacing w:val="-4"/>
        </w:rPr>
        <w:t>7th</w:t>
      </w:r>
      <w:r>
        <w:rPr>
          <w:color w:val="231F20"/>
          <w:spacing w:val="-13"/>
        </w:rPr>
        <w:t> </w:t>
      </w:r>
      <w:r>
        <w:rPr>
          <w:color w:val="231F20"/>
          <w:spacing w:val="-4"/>
        </w:rPr>
        <w:t>Summit</w:t>
      </w:r>
      <w:r>
        <w:rPr>
          <w:color w:val="231F20"/>
          <w:spacing w:val="-12"/>
        </w:rPr>
        <w:t> </w:t>
      </w:r>
      <w:r>
        <w:rPr>
          <w:color w:val="231F20"/>
          <w:spacing w:val="-4"/>
        </w:rPr>
        <w:t>of </w:t>
      </w:r>
      <w:r>
        <w:rPr>
          <w:color w:val="231F20"/>
        </w:rPr>
        <w:t>CELAC heads of state and government in Buenos Aires passed a declaration supporting the call by the UN General Assembly to end the blockade on</w:t>
      </w:r>
      <w:r>
        <w:rPr>
          <w:color w:val="231F20"/>
          <w:spacing w:val="40"/>
        </w:rPr>
        <w:t> </w:t>
      </w:r>
      <w:r>
        <w:rPr>
          <w:color w:val="231F20"/>
        </w:rPr>
        <w:t>Cuba.</w:t>
      </w:r>
      <w:r>
        <w:rPr>
          <w:color w:val="231F20"/>
          <w:spacing w:val="-4"/>
        </w:rPr>
        <w:t> </w:t>
      </w:r>
      <w:r>
        <w:rPr>
          <w:color w:val="231F20"/>
        </w:rPr>
        <w:t>Also</w:t>
      </w:r>
      <w:r>
        <w:rPr>
          <w:color w:val="231F20"/>
          <w:spacing w:val="-3"/>
        </w:rPr>
        <w:t> </w:t>
      </w:r>
      <w:r>
        <w:rPr>
          <w:color w:val="231F20"/>
        </w:rPr>
        <w:t>opposed</w:t>
      </w:r>
      <w:r>
        <w:rPr>
          <w:color w:val="231F20"/>
          <w:spacing w:val="-4"/>
        </w:rPr>
        <w:t> </w:t>
      </w:r>
      <w:r>
        <w:rPr>
          <w:color w:val="231F20"/>
        </w:rPr>
        <w:t>were</w:t>
      </w:r>
      <w:r>
        <w:rPr>
          <w:color w:val="231F20"/>
          <w:spacing w:val="-4"/>
        </w:rPr>
        <w:t> </w:t>
      </w:r>
      <w:r>
        <w:rPr>
          <w:color w:val="231F20"/>
        </w:rPr>
        <w:t>the</w:t>
      </w:r>
      <w:r>
        <w:rPr>
          <w:color w:val="231F20"/>
          <w:spacing w:val="-4"/>
        </w:rPr>
        <w:t> </w:t>
      </w:r>
      <w:r>
        <w:rPr>
          <w:color w:val="231F20"/>
        </w:rPr>
        <w:t>unilateral lists and certifications affecting Latin American and Caribbean nations. In</w:t>
      </w:r>
      <w:r>
        <w:rPr>
          <w:color w:val="231F20"/>
          <w:spacing w:val="40"/>
        </w:rPr>
        <w:t> </w:t>
      </w:r>
      <w:r>
        <w:rPr>
          <w:color w:val="231F20"/>
        </w:rPr>
        <w:t>this context, the summit called for the removal of Cuba from the unilateral</w:t>
      </w:r>
      <w:r>
        <w:rPr>
          <w:color w:val="231F20"/>
          <w:spacing w:val="80"/>
        </w:rPr>
        <w:t> </w:t>
      </w:r>
      <w:r>
        <w:rPr>
          <w:color w:val="231F20"/>
        </w:rPr>
        <w:t>list of countries allegedly sponsoring international terrorism. Moreover, a “Special Declaration on the necessity</w:t>
      </w:r>
      <w:r>
        <w:rPr>
          <w:color w:val="231F20"/>
          <w:spacing w:val="80"/>
        </w:rPr>
        <w:t> </w:t>
      </w:r>
      <w:r>
        <w:rPr>
          <w:color w:val="231F20"/>
        </w:rPr>
        <w:t>of ending the economic, commercial and financial blockade by the United States of America against Cuba” was passed,</w:t>
      </w:r>
      <w:r>
        <w:rPr>
          <w:color w:val="231F20"/>
          <w:spacing w:val="-15"/>
        </w:rPr>
        <w:t> </w:t>
      </w:r>
      <w:r>
        <w:rPr>
          <w:color w:val="231F20"/>
        </w:rPr>
        <w:t>as</w:t>
      </w:r>
      <w:r>
        <w:rPr>
          <w:color w:val="231F20"/>
          <w:spacing w:val="-15"/>
        </w:rPr>
        <w:t> </w:t>
      </w:r>
      <w:r>
        <w:rPr>
          <w:color w:val="231F20"/>
        </w:rPr>
        <w:t>was</w:t>
      </w:r>
      <w:r>
        <w:rPr>
          <w:color w:val="231F20"/>
          <w:spacing w:val="-15"/>
        </w:rPr>
        <w:t> </w:t>
      </w:r>
      <w:r>
        <w:rPr>
          <w:color w:val="231F20"/>
        </w:rPr>
        <w:t>a</w:t>
      </w:r>
      <w:r>
        <w:rPr>
          <w:color w:val="231F20"/>
          <w:spacing w:val="-15"/>
        </w:rPr>
        <w:t> </w:t>
      </w:r>
      <w:r>
        <w:rPr>
          <w:color w:val="231F20"/>
        </w:rPr>
        <w:t>“Special</w:t>
      </w:r>
      <w:r>
        <w:rPr>
          <w:color w:val="231F20"/>
          <w:spacing w:val="-15"/>
        </w:rPr>
        <w:t> </w:t>
      </w:r>
      <w:r>
        <w:rPr>
          <w:color w:val="231F20"/>
        </w:rPr>
        <w:t>declaration</w:t>
      </w:r>
      <w:r>
        <w:rPr>
          <w:color w:val="231F20"/>
          <w:spacing w:val="-15"/>
        </w:rPr>
        <w:t> </w:t>
      </w:r>
      <w:r>
        <w:rPr>
          <w:color w:val="231F20"/>
        </w:rPr>
        <w:t>on </w:t>
      </w:r>
      <w:r>
        <w:rPr>
          <w:color w:val="231F20"/>
          <w:spacing w:val="-2"/>
        </w:rPr>
        <w:t>support</w:t>
      </w:r>
      <w:r>
        <w:rPr>
          <w:color w:val="231F20"/>
          <w:spacing w:val="-13"/>
        </w:rPr>
        <w:t> </w:t>
      </w:r>
      <w:r>
        <w:rPr>
          <w:color w:val="231F20"/>
          <w:spacing w:val="-2"/>
        </w:rPr>
        <w:t>for</w:t>
      </w:r>
      <w:r>
        <w:rPr>
          <w:color w:val="231F20"/>
          <w:spacing w:val="-13"/>
        </w:rPr>
        <w:t> </w:t>
      </w:r>
      <w:r>
        <w:rPr>
          <w:color w:val="231F20"/>
          <w:spacing w:val="-2"/>
        </w:rPr>
        <w:t>the</w:t>
      </w:r>
      <w:r>
        <w:rPr>
          <w:color w:val="231F20"/>
          <w:spacing w:val="-13"/>
        </w:rPr>
        <w:t> </w:t>
      </w:r>
      <w:r>
        <w:rPr>
          <w:color w:val="231F20"/>
          <w:spacing w:val="-2"/>
        </w:rPr>
        <w:t>fight</w:t>
      </w:r>
      <w:r>
        <w:rPr>
          <w:color w:val="231F20"/>
          <w:spacing w:val="-13"/>
        </w:rPr>
        <w:t> </w:t>
      </w:r>
      <w:r>
        <w:rPr>
          <w:color w:val="231F20"/>
          <w:spacing w:val="-2"/>
        </w:rPr>
        <w:t>against</w:t>
      </w:r>
      <w:r>
        <w:rPr>
          <w:color w:val="231F20"/>
          <w:spacing w:val="-13"/>
        </w:rPr>
        <w:t> </w:t>
      </w:r>
      <w:r>
        <w:rPr>
          <w:color w:val="231F20"/>
          <w:spacing w:val="-2"/>
        </w:rPr>
        <w:t>terrorism</w:t>
      </w:r>
      <w:r>
        <w:rPr>
          <w:color w:val="231F20"/>
          <w:spacing w:val="-13"/>
        </w:rPr>
        <w:t> </w:t>
      </w:r>
      <w:r>
        <w:rPr>
          <w:color w:val="231F20"/>
          <w:spacing w:val="-2"/>
        </w:rPr>
        <w:t>in </w:t>
      </w:r>
      <w:r>
        <w:rPr>
          <w:color w:val="231F20"/>
        </w:rPr>
        <w:t>all its forms and manifestations”, which included</w:t>
      </w:r>
      <w:r>
        <w:rPr>
          <w:color w:val="231F20"/>
          <w:spacing w:val="-7"/>
        </w:rPr>
        <w:t> </w:t>
      </w:r>
      <w:r>
        <w:rPr>
          <w:color w:val="231F20"/>
        </w:rPr>
        <w:t>a</w:t>
      </w:r>
      <w:r>
        <w:rPr>
          <w:color w:val="231F20"/>
          <w:spacing w:val="-7"/>
        </w:rPr>
        <w:t> </w:t>
      </w:r>
      <w:r>
        <w:rPr>
          <w:color w:val="231F20"/>
        </w:rPr>
        <w:t>reiterated</w:t>
      </w:r>
      <w:r>
        <w:rPr>
          <w:color w:val="231F20"/>
          <w:spacing w:val="-8"/>
        </w:rPr>
        <w:t> </w:t>
      </w:r>
      <w:r>
        <w:rPr>
          <w:color w:val="231F20"/>
        </w:rPr>
        <w:t>call</w:t>
      </w:r>
      <w:r>
        <w:rPr>
          <w:color w:val="231F20"/>
          <w:spacing w:val="-7"/>
        </w:rPr>
        <w:t> </w:t>
      </w:r>
      <w:r>
        <w:rPr>
          <w:color w:val="231F20"/>
        </w:rPr>
        <w:t>for</w:t>
      </w:r>
      <w:r>
        <w:rPr>
          <w:color w:val="231F20"/>
          <w:spacing w:val="-7"/>
        </w:rPr>
        <w:t> </w:t>
      </w:r>
      <w:r>
        <w:rPr>
          <w:color w:val="231F20"/>
        </w:rPr>
        <w:t>removal</w:t>
      </w:r>
      <w:r>
        <w:rPr>
          <w:color w:val="231F20"/>
          <w:spacing w:val="-7"/>
        </w:rPr>
        <w:t> </w:t>
      </w:r>
      <w:r>
        <w:rPr>
          <w:color w:val="231F20"/>
        </w:rPr>
        <w:t>of Cuba from the list of state sponsors of </w:t>
      </w:r>
      <w:r>
        <w:rPr>
          <w:color w:val="231F20"/>
          <w:spacing w:val="-2"/>
        </w:rPr>
        <w:t>terrorism.</w:t>
      </w:r>
    </w:p>
    <w:p>
      <w:pPr>
        <w:pStyle w:val="BodyText"/>
        <w:spacing w:before="177"/>
        <w:ind w:left="673" w:right="1470"/>
      </w:pPr>
      <w:r>
        <w:rPr/>
        <mc:AlternateContent>
          <mc:Choice Requires="wps">
            <w:drawing>
              <wp:anchor distT="0" distB="0" distL="0" distR="0" allowOverlap="1" layoutInCell="1" locked="0" behindDoc="0" simplePos="0" relativeHeight="15815168">
                <wp:simplePos x="0" y="0"/>
                <wp:positionH relativeFrom="page">
                  <wp:posOffset>3815998</wp:posOffset>
                </wp:positionH>
                <wp:positionV relativeFrom="paragraph">
                  <wp:posOffset>199095</wp:posOffset>
                </wp:positionV>
                <wp:extent cx="59690" cy="59690"/>
                <wp:effectExtent l="0" t="0" r="0" b="0"/>
                <wp:wrapNone/>
                <wp:docPr id="335" name="Graphic 335"/>
                <wp:cNvGraphicFramePr>
                  <a:graphicFrameLocks/>
                </wp:cNvGraphicFramePr>
                <a:graphic>
                  <a:graphicData uri="http://schemas.microsoft.com/office/word/2010/wordprocessingShape">
                    <wps:wsp>
                      <wps:cNvPr id="335" name="Graphic 33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676825pt;width:4.7pt;height:4.7pt;mso-position-horizontal-relative:page;mso-position-vertical-relative:paragraph;z-index:15815168" id="docshape271" coordorigin="6009,314" coordsize="94,94" path="m6056,314l6038,317,6023,327,6013,342,6009,360,6013,378,6023,393,6038,403,6056,407,6074,403,6089,393,6099,378,6103,360,6099,342,6089,327,6074,317,6056,314xe" filled="true" fillcolor="#1a4796" stroked="false">
                <v:path arrowok="t"/>
                <v:fill type="solid"/>
                <w10:wrap type="none"/>
              </v:shape>
            </w:pict>
          </mc:Fallback>
        </mc:AlternateContent>
      </w:r>
      <w:r>
        <w:rPr>
          <w:b/>
          <w:color w:val="1A4796"/>
          <w:spacing w:val="-2"/>
        </w:rPr>
        <w:t>On</w:t>
      </w:r>
      <w:r>
        <w:rPr>
          <w:b/>
          <w:color w:val="1A4796"/>
          <w:spacing w:val="-15"/>
        </w:rPr>
        <w:t> </w:t>
      </w:r>
      <w:r>
        <w:rPr>
          <w:b/>
          <w:color w:val="1A4796"/>
          <w:spacing w:val="-2"/>
        </w:rPr>
        <w:t>February</w:t>
      </w:r>
      <w:r>
        <w:rPr>
          <w:b/>
          <w:color w:val="1A4796"/>
          <w:spacing w:val="-15"/>
        </w:rPr>
        <w:t> </w:t>
      </w:r>
      <w:r>
        <w:rPr>
          <w:b/>
          <w:color w:val="1A4796"/>
          <w:spacing w:val="-2"/>
        </w:rPr>
        <w:t>19,</w:t>
      </w:r>
      <w:r>
        <w:rPr>
          <w:b/>
          <w:color w:val="1A4796"/>
          <w:spacing w:val="-14"/>
        </w:rPr>
        <w:t> </w:t>
      </w:r>
      <w:r>
        <w:rPr>
          <w:b/>
          <w:color w:val="1A4796"/>
          <w:spacing w:val="-2"/>
        </w:rPr>
        <w:t>2023,</w:t>
      </w:r>
      <w:r>
        <w:rPr>
          <w:b/>
          <w:color w:val="1A4796"/>
          <w:spacing w:val="-15"/>
        </w:rPr>
        <w:t> </w:t>
      </w:r>
      <w:r>
        <w:rPr>
          <w:color w:val="231F20"/>
          <w:spacing w:val="-2"/>
        </w:rPr>
        <w:t>the</w:t>
      </w:r>
      <w:r>
        <w:rPr>
          <w:color w:val="231F20"/>
          <w:spacing w:val="-14"/>
        </w:rPr>
        <w:t> </w:t>
      </w:r>
      <w:r>
        <w:rPr>
          <w:color w:val="231F20"/>
          <w:spacing w:val="-2"/>
        </w:rPr>
        <w:t>36th</w:t>
      </w:r>
      <w:r>
        <w:rPr>
          <w:color w:val="231F20"/>
          <w:spacing w:val="-15"/>
        </w:rPr>
        <w:t> </w:t>
      </w:r>
      <w:r>
        <w:rPr>
          <w:color w:val="231F20"/>
          <w:spacing w:val="-2"/>
        </w:rPr>
        <w:t>summit </w:t>
      </w:r>
      <w:r>
        <w:rPr>
          <w:color w:val="231F20"/>
        </w:rPr>
        <w:t>of heads of state and government of the African Union (AU) in Addis Ababa, Ethiopia, passed, for the fourteenth consecutive time, a “Resolution on the lifting of the economic, commercial</w:t>
      </w:r>
      <w:r>
        <w:rPr>
          <w:color w:val="231F20"/>
          <w:spacing w:val="40"/>
        </w:rPr>
        <w:t> </w:t>
      </w:r>
      <w:r>
        <w:rPr>
          <w:color w:val="231F20"/>
        </w:rPr>
        <w:t>and</w:t>
      </w:r>
      <w:r>
        <w:rPr>
          <w:color w:val="231F20"/>
          <w:spacing w:val="40"/>
        </w:rPr>
        <w:t> </w:t>
      </w:r>
      <w:r>
        <w:rPr>
          <w:color w:val="231F20"/>
        </w:rPr>
        <w:t>financial</w:t>
      </w:r>
      <w:r>
        <w:rPr>
          <w:color w:val="231F20"/>
          <w:spacing w:val="40"/>
        </w:rPr>
        <w:t> </w:t>
      </w:r>
      <w:r>
        <w:rPr>
          <w:color w:val="231F20"/>
        </w:rPr>
        <w:t>blockade</w:t>
      </w:r>
      <w:r>
        <w:rPr>
          <w:color w:val="231F20"/>
          <w:spacing w:val="40"/>
        </w:rPr>
        <w:t> </w:t>
      </w:r>
      <w:r>
        <w:rPr>
          <w:color w:val="231F20"/>
        </w:rPr>
        <w:t>imposed</w:t>
      </w:r>
      <w:r>
        <w:rPr>
          <w:color w:val="231F20"/>
          <w:spacing w:val="40"/>
        </w:rPr>
        <w:t> </w:t>
      </w:r>
      <w:r>
        <w:rPr>
          <w:color w:val="231F20"/>
        </w:rPr>
        <w:t>on the Republic of Cuba by the United States of America”. The text expresses deep concern over the persistence of the blockade and reiterates the AU’s </w:t>
      </w:r>
      <w:r>
        <w:rPr>
          <w:color w:val="231F20"/>
          <w:spacing w:val="-2"/>
        </w:rPr>
        <w:t>support</w:t>
      </w:r>
      <w:r>
        <w:rPr>
          <w:color w:val="231F20"/>
          <w:spacing w:val="-15"/>
        </w:rPr>
        <w:t> </w:t>
      </w:r>
      <w:r>
        <w:rPr>
          <w:color w:val="231F20"/>
          <w:spacing w:val="-2"/>
        </w:rPr>
        <w:t>for</w:t>
      </w:r>
      <w:r>
        <w:rPr>
          <w:color w:val="231F20"/>
          <w:spacing w:val="-14"/>
        </w:rPr>
        <w:t> </w:t>
      </w:r>
      <w:r>
        <w:rPr>
          <w:color w:val="231F20"/>
          <w:spacing w:val="-2"/>
        </w:rPr>
        <w:t>the</w:t>
      </w:r>
      <w:r>
        <w:rPr>
          <w:color w:val="231F20"/>
          <w:spacing w:val="-15"/>
        </w:rPr>
        <w:t> </w:t>
      </w:r>
      <w:r>
        <w:rPr>
          <w:color w:val="231F20"/>
          <w:spacing w:val="-2"/>
        </w:rPr>
        <w:t>resolution</w:t>
      </w:r>
      <w:r>
        <w:rPr>
          <w:color w:val="231F20"/>
          <w:spacing w:val="-14"/>
        </w:rPr>
        <w:t> </w:t>
      </w:r>
      <w:r>
        <w:rPr>
          <w:color w:val="231F20"/>
          <w:spacing w:val="-2"/>
        </w:rPr>
        <w:t>on</w:t>
      </w:r>
      <w:r>
        <w:rPr>
          <w:color w:val="231F20"/>
          <w:spacing w:val="-15"/>
        </w:rPr>
        <w:t> </w:t>
      </w:r>
      <w:r>
        <w:rPr>
          <w:color w:val="231F20"/>
          <w:spacing w:val="-2"/>
        </w:rPr>
        <w:t>the</w:t>
      </w:r>
      <w:r>
        <w:rPr>
          <w:color w:val="231F20"/>
          <w:spacing w:val="-14"/>
        </w:rPr>
        <w:t> </w:t>
      </w:r>
      <w:r>
        <w:rPr>
          <w:color w:val="231F20"/>
          <w:spacing w:val="-2"/>
        </w:rPr>
        <w:t>subject </w:t>
      </w:r>
      <w:r>
        <w:rPr>
          <w:color w:val="231F20"/>
        </w:rPr>
        <w:t>passed annually by the UN General Assembly. It also expresses regret at the setback in U.S.-Cuba relations and calls on Washington to abandon these prolonged,</w:t>
      </w:r>
      <w:r>
        <w:rPr>
          <w:color w:val="231F20"/>
          <w:spacing w:val="2"/>
        </w:rPr>
        <w:t> </w:t>
      </w:r>
      <w:r>
        <w:rPr>
          <w:color w:val="231F20"/>
        </w:rPr>
        <w:t>unjustified</w:t>
      </w:r>
      <w:r>
        <w:rPr>
          <w:color w:val="231F20"/>
          <w:spacing w:val="2"/>
        </w:rPr>
        <w:t> </w:t>
      </w:r>
      <w:r>
        <w:rPr>
          <w:color w:val="231F20"/>
        </w:rPr>
        <w:t>sanctions.</w:t>
      </w:r>
      <w:r>
        <w:rPr>
          <w:color w:val="231F20"/>
          <w:spacing w:val="2"/>
        </w:rPr>
        <w:t> </w:t>
      </w:r>
      <w:r>
        <w:rPr>
          <w:color w:val="231F20"/>
        </w:rPr>
        <w:t>It</w:t>
      </w:r>
      <w:r>
        <w:rPr>
          <w:color w:val="231F20"/>
          <w:spacing w:val="2"/>
        </w:rPr>
        <w:t> </w:t>
      </w:r>
      <w:r>
        <w:rPr>
          <w:color w:val="231F20"/>
          <w:spacing w:val="-4"/>
        </w:rPr>
        <w:t>also</w:t>
      </w:r>
    </w:p>
    <w:p>
      <w:pPr>
        <w:spacing w:after="0"/>
        <w:sectPr>
          <w:pgSz w:w="11910" w:h="16840"/>
          <w:pgMar w:header="0" w:footer="695" w:top="1260" w:bottom="880" w:left="0" w:right="0"/>
          <w:cols w:num="2" w:equalWidth="0">
            <w:col w:w="5557" w:space="40"/>
            <w:col w:w="6313"/>
          </w:cols>
        </w:sectPr>
      </w:pPr>
    </w:p>
    <w:p>
      <w:pPr>
        <w:pStyle w:val="BodyText"/>
        <w:spacing w:before="77"/>
        <w:ind w:left="1734"/>
      </w:pPr>
      <w:r>
        <w:rPr>
          <w:color w:val="231F20"/>
        </w:rPr>
        <w:t>denounces the adverse consequences from</w:t>
      </w:r>
      <w:r>
        <w:rPr>
          <w:color w:val="231F20"/>
          <w:spacing w:val="40"/>
        </w:rPr>
        <w:t> </w:t>
      </w:r>
      <w:r>
        <w:rPr>
          <w:color w:val="231F20"/>
        </w:rPr>
        <w:t>extraterritorial</w:t>
      </w:r>
      <w:r>
        <w:rPr>
          <w:color w:val="231F20"/>
          <w:spacing w:val="40"/>
        </w:rPr>
        <w:t> </w:t>
      </w:r>
      <w:r>
        <w:rPr>
          <w:color w:val="231F20"/>
        </w:rPr>
        <w:t>implementation</w:t>
      </w:r>
      <w:r>
        <w:rPr>
          <w:color w:val="231F20"/>
          <w:spacing w:val="40"/>
        </w:rPr>
        <w:t> </w:t>
      </w:r>
      <w:r>
        <w:rPr>
          <w:color w:val="231F20"/>
        </w:rPr>
        <w:t>of the Helms-Burton Act in general</w:t>
      </w:r>
      <w:r>
        <w:rPr>
          <w:color w:val="231F20"/>
          <w:spacing w:val="80"/>
        </w:rPr>
        <w:t> </w:t>
      </w:r>
      <w:r>
        <w:rPr>
          <w:color w:val="231F20"/>
        </w:rPr>
        <w:t>and full application of its Title III in particular, and the intensified </w:t>
      </w:r>
      <w:r>
        <w:rPr>
          <w:color w:val="231F20"/>
        </w:rPr>
        <w:t>impact</w:t>
      </w:r>
      <w:r>
        <w:rPr>
          <w:color w:val="231F20"/>
          <w:spacing w:val="80"/>
        </w:rPr>
        <w:t> </w:t>
      </w:r>
      <w:r>
        <w:rPr>
          <w:color w:val="231F20"/>
        </w:rPr>
        <w:t>of the blockade in the context of post- pandemic recovery.</w:t>
      </w:r>
    </w:p>
    <w:p>
      <w:pPr>
        <w:pStyle w:val="BodyText"/>
        <w:spacing w:before="165"/>
        <w:ind w:left="1734"/>
      </w:pPr>
      <w:r>
        <w:rPr/>
        <mc:AlternateContent>
          <mc:Choice Requires="wps">
            <w:drawing>
              <wp:anchor distT="0" distB="0" distL="0" distR="0" allowOverlap="1" layoutInCell="1" locked="0" behindDoc="0" simplePos="0" relativeHeight="15816704">
                <wp:simplePos x="0" y="0"/>
                <wp:positionH relativeFrom="page">
                  <wp:posOffset>935997</wp:posOffset>
                </wp:positionH>
                <wp:positionV relativeFrom="paragraph">
                  <wp:posOffset>190376</wp:posOffset>
                </wp:positionV>
                <wp:extent cx="59690" cy="59690"/>
                <wp:effectExtent l="0" t="0" r="0" b="0"/>
                <wp:wrapNone/>
                <wp:docPr id="336" name="Graphic 336"/>
                <wp:cNvGraphicFramePr>
                  <a:graphicFrameLocks/>
                </wp:cNvGraphicFramePr>
                <a:graphic>
                  <a:graphicData uri="http://schemas.microsoft.com/office/word/2010/wordprocessingShape">
                    <wps:wsp>
                      <wps:cNvPr id="336" name="Graphic 33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990237pt;width:4.7pt;height:4.7pt;mso-position-horizontal-relative:page;mso-position-vertical-relative:paragraph;z-index:15816704" id="docshape272" coordorigin="1474,300" coordsize="94,94" path="m1521,300l1502,303,1488,313,1478,328,1474,346,1478,365,1488,379,1502,389,1521,393,1539,389,1554,379,1564,365,1567,346,1564,328,1554,313,1539,303,1521,300xe" filled="true" fillcolor="#1a4796" stroked="false">
                <v:path arrowok="t"/>
                <v:fill type="solid"/>
                <w10:wrap type="none"/>
              </v:shape>
            </w:pict>
          </mc:Fallback>
        </mc:AlternateContent>
      </w:r>
      <w:r>
        <w:rPr>
          <w:b/>
          <w:color w:val="1A4796"/>
          <w:spacing w:val="-6"/>
        </w:rPr>
        <w:t>On</w:t>
      </w:r>
      <w:r>
        <w:rPr>
          <w:b/>
          <w:color w:val="1A4796"/>
          <w:spacing w:val="-8"/>
        </w:rPr>
        <w:t> </w:t>
      </w:r>
      <w:r>
        <w:rPr>
          <w:b/>
          <w:color w:val="1A4796"/>
          <w:spacing w:val="-6"/>
        </w:rPr>
        <w:t>March</w:t>
      </w:r>
      <w:r>
        <w:rPr>
          <w:b/>
          <w:color w:val="1A4796"/>
          <w:spacing w:val="-8"/>
        </w:rPr>
        <w:t> </w:t>
      </w:r>
      <w:r>
        <w:rPr>
          <w:b/>
          <w:color w:val="1A4796"/>
          <w:spacing w:val="-6"/>
        </w:rPr>
        <w:t>7,</w:t>
      </w:r>
      <w:r>
        <w:rPr>
          <w:b/>
          <w:color w:val="1A4796"/>
          <w:spacing w:val="-8"/>
        </w:rPr>
        <w:t> </w:t>
      </w:r>
      <w:r>
        <w:rPr>
          <w:b/>
          <w:color w:val="1A4796"/>
          <w:spacing w:val="-6"/>
        </w:rPr>
        <w:t>2023,</w:t>
      </w:r>
      <w:r>
        <w:rPr>
          <w:b/>
          <w:color w:val="1A4796"/>
          <w:spacing w:val="-8"/>
        </w:rPr>
        <w:t> </w:t>
      </w:r>
      <w:r>
        <w:rPr>
          <w:color w:val="231F20"/>
          <w:spacing w:val="-6"/>
        </w:rPr>
        <w:t>the</w:t>
      </w:r>
      <w:r>
        <w:rPr>
          <w:color w:val="231F20"/>
          <w:spacing w:val="-8"/>
        </w:rPr>
        <w:t> </w:t>
      </w:r>
      <w:r>
        <w:rPr>
          <w:color w:val="231F20"/>
          <w:spacing w:val="-6"/>
        </w:rPr>
        <w:t>Communist</w:t>
      </w:r>
      <w:r>
        <w:rPr>
          <w:color w:val="231F20"/>
          <w:spacing w:val="-8"/>
        </w:rPr>
        <w:t> </w:t>
      </w:r>
      <w:r>
        <w:rPr>
          <w:color w:val="231F20"/>
          <w:spacing w:val="-6"/>
        </w:rPr>
        <w:t>Party </w:t>
      </w:r>
      <w:r>
        <w:rPr>
          <w:color w:val="231F20"/>
        </w:rPr>
        <w:t>of Britain (CPB) issued a declaration dissenting from the inclusion of Cuba </w:t>
      </w:r>
      <w:r>
        <w:rPr>
          <w:color w:val="231F20"/>
          <w:spacing w:val="-2"/>
        </w:rPr>
        <w:t>on</w:t>
      </w:r>
      <w:r>
        <w:rPr>
          <w:color w:val="231F20"/>
          <w:spacing w:val="-14"/>
        </w:rPr>
        <w:t> </w:t>
      </w:r>
      <w:r>
        <w:rPr>
          <w:color w:val="231F20"/>
          <w:spacing w:val="-2"/>
        </w:rPr>
        <w:t>the</w:t>
      </w:r>
      <w:r>
        <w:rPr>
          <w:color w:val="231F20"/>
          <w:spacing w:val="-12"/>
        </w:rPr>
        <w:t> </w:t>
      </w:r>
      <w:r>
        <w:rPr>
          <w:color w:val="231F20"/>
          <w:spacing w:val="-2"/>
        </w:rPr>
        <w:t>list</w:t>
      </w:r>
      <w:r>
        <w:rPr>
          <w:color w:val="231F20"/>
          <w:spacing w:val="-11"/>
        </w:rPr>
        <w:t> </w:t>
      </w:r>
      <w:r>
        <w:rPr>
          <w:color w:val="231F20"/>
          <w:spacing w:val="-2"/>
        </w:rPr>
        <w:t>of</w:t>
      </w:r>
      <w:r>
        <w:rPr>
          <w:color w:val="231F20"/>
          <w:spacing w:val="-12"/>
        </w:rPr>
        <w:t> </w:t>
      </w:r>
      <w:r>
        <w:rPr>
          <w:color w:val="231F20"/>
          <w:spacing w:val="-2"/>
        </w:rPr>
        <w:t>state</w:t>
      </w:r>
      <w:r>
        <w:rPr>
          <w:color w:val="231F20"/>
          <w:spacing w:val="-11"/>
        </w:rPr>
        <w:t> </w:t>
      </w:r>
      <w:r>
        <w:rPr>
          <w:color w:val="231F20"/>
          <w:spacing w:val="-2"/>
        </w:rPr>
        <w:t>sponsors</w:t>
      </w:r>
      <w:r>
        <w:rPr>
          <w:color w:val="231F20"/>
          <w:spacing w:val="-12"/>
        </w:rPr>
        <w:t> </w:t>
      </w:r>
      <w:r>
        <w:rPr>
          <w:color w:val="231F20"/>
          <w:spacing w:val="-2"/>
        </w:rPr>
        <w:t>of</w:t>
      </w:r>
      <w:r>
        <w:rPr>
          <w:color w:val="231F20"/>
          <w:spacing w:val="-11"/>
        </w:rPr>
        <w:t> </w:t>
      </w:r>
      <w:r>
        <w:rPr>
          <w:color w:val="231F20"/>
          <w:spacing w:val="-2"/>
        </w:rPr>
        <w:t>terrorism.</w:t>
      </w:r>
    </w:p>
    <w:p>
      <w:pPr>
        <w:pStyle w:val="BodyText"/>
        <w:spacing w:before="163"/>
        <w:ind w:left="1734"/>
      </w:pPr>
      <w:r>
        <w:rPr/>
        <mc:AlternateContent>
          <mc:Choice Requires="wps">
            <w:drawing>
              <wp:anchor distT="0" distB="0" distL="0" distR="0" allowOverlap="1" layoutInCell="1" locked="0" behindDoc="0" simplePos="0" relativeHeight="15817216">
                <wp:simplePos x="0" y="0"/>
                <wp:positionH relativeFrom="page">
                  <wp:posOffset>935997</wp:posOffset>
                </wp:positionH>
                <wp:positionV relativeFrom="paragraph">
                  <wp:posOffset>186484</wp:posOffset>
                </wp:positionV>
                <wp:extent cx="59690" cy="59690"/>
                <wp:effectExtent l="0" t="0" r="0" b="0"/>
                <wp:wrapNone/>
                <wp:docPr id="337" name="Graphic 337"/>
                <wp:cNvGraphicFramePr>
                  <a:graphicFrameLocks/>
                </wp:cNvGraphicFramePr>
                <a:graphic>
                  <a:graphicData uri="http://schemas.microsoft.com/office/word/2010/wordprocessingShape">
                    <wps:wsp>
                      <wps:cNvPr id="337" name="Graphic 33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683787pt;width:4.7pt;height:4.7pt;mso-position-horizontal-relative:page;mso-position-vertical-relative:paragraph;z-index:15817216" id="docshape273" coordorigin="1474,294" coordsize="94,94" path="m1521,294l1502,297,1488,307,1478,322,1474,340,1478,358,1488,373,1502,383,1521,387,1539,383,1554,373,1564,358,1567,340,1564,322,1554,307,1539,297,1521,294xe" filled="true" fillcolor="#1a4796" stroked="false">
                <v:path arrowok="t"/>
                <v:fill type="solid"/>
                <w10:wrap type="none"/>
              </v:shape>
            </w:pict>
          </mc:Fallback>
        </mc:AlternateContent>
      </w:r>
      <w:r>
        <w:rPr>
          <w:b/>
          <w:color w:val="1A4796"/>
          <w:spacing w:val="-2"/>
        </w:rPr>
        <w:t>Also</w:t>
      </w:r>
      <w:r>
        <w:rPr>
          <w:b/>
          <w:color w:val="1A4796"/>
          <w:spacing w:val="-13"/>
        </w:rPr>
        <w:t> </w:t>
      </w:r>
      <w:r>
        <w:rPr>
          <w:b/>
          <w:color w:val="1A4796"/>
          <w:spacing w:val="-2"/>
        </w:rPr>
        <w:t>on</w:t>
      </w:r>
      <w:r>
        <w:rPr>
          <w:b/>
          <w:color w:val="1A4796"/>
          <w:spacing w:val="-13"/>
        </w:rPr>
        <w:t> </w:t>
      </w:r>
      <w:r>
        <w:rPr>
          <w:b/>
          <w:color w:val="1A4796"/>
          <w:spacing w:val="-2"/>
        </w:rPr>
        <w:t>March</w:t>
      </w:r>
      <w:r>
        <w:rPr>
          <w:b/>
          <w:color w:val="1A4796"/>
          <w:spacing w:val="-13"/>
        </w:rPr>
        <w:t> </w:t>
      </w:r>
      <w:r>
        <w:rPr>
          <w:b/>
          <w:color w:val="1A4796"/>
          <w:spacing w:val="-2"/>
        </w:rPr>
        <w:t>7,</w:t>
      </w:r>
      <w:r>
        <w:rPr>
          <w:b/>
          <w:color w:val="1A4796"/>
          <w:spacing w:val="-13"/>
        </w:rPr>
        <w:t> </w:t>
      </w:r>
      <w:r>
        <w:rPr>
          <w:b/>
          <w:color w:val="1A4796"/>
          <w:spacing w:val="-2"/>
        </w:rPr>
        <w:t>2023,</w:t>
      </w:r>
      <w:r>
        <w:rPr>
          <w:b/>
          <w:color w:val="1A4796"/>
          <w:spacing w:val="-14"/>
        </w:rPr>
        <w:t> </w:t>
      </w:r>
      <w:r>
        <w:rPr>
          <w:color w:val="231F20"/>
          <w:spacing w:val="-2"/>
        </w:rPr>
        <w:t>the</w:t>
      </w:r>
      <w:r>
        <w:rPr>
          <w:color w:val="231F20"/>
          <w:spacing w:val="-13"/>
        </w:rPr>
        <w:t> </w:t>
      </w:r>
      <w:r>
        <w:rPr>
          <w:color w:val="231F20"/>
          <w:spacing w:val="-2"/>
        </w:rPr>
        <w:t>Portuguese </w:t>
      </w:r>
      <w:r>
        <w:rPr>
          <w:color w:val="231F20"/>
        </w:rPr>
        <w:t>Communist Party passed a declaration calling for removal of Cuba from the illegitimate list of state sponsors of </w:t>
      </w:r>
      <w:r>
        <w:rPr>
          <w:color w:val="231F20"/>
          <w:spacing w:val="-2"/>
        </w:rPr>
        <w:t>terrorism.</w:t>
      </w:r>
    </w:p>
    <w:p>
      <w:pPr>
        <w:pStyle w:val="BodyText"/>
        <w:spacing w:before="164"/>
        <w:ind w:left="1734"/>
      </w:pPr>
      <w:r>
        <w:rPr/>
        <mc:AlternateContent>
          <mc:Choice Requires="wps">
            <w:drawing>
              <wp:anchor distT="0" distB="0" distL="0" distR="0" allowOverlap="1" layoutInCell="1" locked="0" behindDoc="0" simplePos="0" relativeHeight="15817728">
                <wp:simplePos x="0" y="0"/>
                <wp:positionH relativeFrom="page">
                  <wp:posOffset>935997</wp:posOffset>
                </wp:positionH>
                <wp:positionV relativeFrom="paragraph">
                  <wp:posOffset>188160</wp:posOffset>
                </wp:positionV>
                <wp:extent cx="59690" cy="59690"/>
                <wp:effectExtent l="0" t="0" r="0" b="0"/>
                <wp:wrapNone/>
                <wp:docPr id="338" name="Graphic 338"/>
                <wp:cNvGraphicFramePr>
                  <a:graphicFrameLocks/>
                </wp:cNvGraphicFramePr>
                <a:graphic>
                  <a:graphicData uri="http://schemas.microsoft.com/office/word/2010/wordprocessingShape">
                    <wps:wsp>
                      <wps:cNvPr id="338" name="Graphic 33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8158pt;width:4.7pt;height:4.7pt;mso-position-horizontal-relative:page;mso-position-vertical-relative:paragraph;z-index:15817728" id="docshape274" coordorigin="1474,296" coordsize="94,94" path="m1521,296l1502,300,1488,310,1478,325,1474,343,1478,361,1488,376,1502,386,1521,390,1539,386,1554,376,1564,361,1567,343,1564,325,1554,310,1539,300,1521,296xe" filled="true" fillcolor="#1a4796" stroked="false">
                <v:path arrowok="t"/>
                <v:fill type="solid"/>
                <w10:wrap type="none"/>
              </v:shape>
            </w:pict>
          </mc:Fallback>
        </mc:AlternateContent>
      </w:r>
      <w:r>
        <w:rPr>
          <w:b/>
          <w:color w:val="1A4796"/>
        </w:rPr>
        <w:t>On March 18, 2023, </w:t>
      </w:r>
      <w:r>
        <w:rPr>
          <w:color w:val="231F20"/>
        </w:rPr>
        <w:t>the organizations espousing solidarity with Cuba in </w:t>
      </w:r>
      <w:r>
        <w:rPr>
          <w:color w:val="231F20"/>
        </w:rPr>
        <w:t>the Nordic countries, meeting in Oslo, Norway, issued a declaration from the event</w:t>
      </w:r>
      <w:r>
        <w:rPr>
          <w:color w:val="231F20"/>
          <w:spacing w:val="-17"/>
        </w:rPr>
        <w:t> </w:t>
      </w:r>
      <w:r>
        <w:rPr>
          <w:color w:val="231F20"/>
        </w:rPr>
        <w:t>‘Nordic</w:t>
      </w:r>
      <w:r>
        <w:rPr>
          <w:color w:val="231F20"/>
          <w:spacing w:val="-16"/>
        </w:rPr>
        <w:t> </w:t>
      </w:r>
      <w:r>
        <w:rPr>
          <w:color w:val="231F20"/>
        </w:rPr>
        <w:t>Meeting</w:t>
      </w:r>
      <w:r>
        <w:rPr>
          <w:color w:val="231F20"/>
          <w:spacing w:val="-17"/>
        </w:rPr>
        <w:t> </w:t>
      </w:r>
      <w:r>
        <w:rPr>
          <w:color w:val="231F20"/>
        </w:rPr>
        <w:t>of</w:t>
      </w:r>
      <w:r>
        <w:rPr>
          <w:color w:val="231F20"/>
          <w:spacing w:val="-16"/>
        </w:rPr>
        <w:t> </w:t>
      </w:r>
      <w:r>
        <w:rPr>
          <w:color w:val="231F20"/>
        </w:rPr>
        <w:t>Solidarity</w:t>
      </w:r>
      <w:r>
        <w:rPr>
          <w:color w:val="231F20"/>
          <w:spacing w:val="-17"/>
        </w:rPr>
        <w:t> </w:t>
      </w:r>
      <w:r>
        <w:rPr>
          <w:color w:val="231F20"/>
        </w:rPr>
        <w:t>with Cuba 2023’, calling for the immediate removal of Cuba from the list of state sponsors</w:t>
      </w:r>
      <w:r>
        <w:rPr>
          <w:color w:val="231F20"/>
          <w:spacing w:val="-16"/>
        </w:rPr>
        <w:t> </w:t>
      </w:r>
      <w:r>
        <w:rPr>
          <w:color w:val="231F20"/>
        </w:rPr>
        <w:t>of</w:t>
      </w:r>
      <w:r>
        <w:rPr>
          <w:color w:val="231F20"/>
          <w:spacing w:val="-16"/>
        </w:rPr>
        <w:t> </w:t>
      </w:r>
      <w:r>
        <w:rPr>
          <w:color w:val="231F20"/>
        </w:rPr>
        <w:t>terrorism,</w:t>
      </w:r>
      <w:r>
        <w:rPr>
          <w:color w:val="231F20"/>
          <w:spacing w:val="-16"/>
        </w:rPr>
        <w:t> </w:t>
      </w:r>
      <w:r>
        <w:rPr>
          <w:color w:val="231F20"/>
        </w:rPr>
        <w:t>and</w:t>
      </w:r>
      <w:r>
        <w:rPr>
          <w:color w:val="231F20"/>
          <w:spacing w:val="-16"/>
        </w:rPr>
        <w:t> </w:t>
      </w:r>
      <w:r>
        <w:rPr>
          <w:color w:val="231F20"/>
        </w:rPr>
        <w:t>commenting that</w:t>
      </w:r>
      <w:r>
        <w:rPr>
          <w:color w:val="231F20"/>
          <w:spacing w:val="-15"/>
        </w:rPr>
        <w:t> </w:t>
      </w:r>
      <w:r>
        <w:rPr>
          <w:color w:val="231F20"/>
        </w:rPr>
        <w:t>“Cuba</w:t>
      </w:r>
      <w:r>
        <w:rPr>
          <w:color w:val="231F20"/>
          <w:spacing w:val="-15"/>
        </w:rPr>
        <w:t> </w:t>
      </w:r>
      <w:r>
        <w:rPr>
          <w:color w:val="231F20"/>
        </w:rPr>
        <w:t>is</w:t>
      </w:r>
      <w:r>
        <w:rPr>
          <w:color w:val="231F20"/>
          <w:spacing w:val="-15"/>
        </w:rPr>
        <w:t> </w:t>
      </w:r>
      <w:r>
        <w:rPr>
          <w:color w:val="231F20"/>
        </w:rPr>
        <w:t>a</w:t>
      </w:r>
      <w:r>
        <w:rPr>
          <w:color w:val="231F20"/>
          <w:spacing w:val="-15"/>
        </w:rPr>
        <w:t> </w:t>
      </w:r>
      <w:r>
        <w:rPr>
          <w:color w:val="231F20"/>
        </w:rPr>
        <w:t>victim,</w:t>
      </w:r>
      <w:r>
        <w:rPr>
          <w:color w:val="231F20"/>
          <w:spacing w:val="-15"/>
        </w:rPr>
        <w:t> </w:t>
      </w:r>
      <w:r>
        <w:rPr>
          <w:color w:val="231F20"/>
        </w:rPr>
        <w:t>not</w:t>
      </w:r>
      <w:r>
        <w:rPr>
          <w:color w:val="231F20"/>
          <w:spacing w:val="-15"/>
        </w:rPr>
        <w:t> </w:t>
      </w:r>
      <w:r>
        <w:rPr>
          <w:color w:val="231F20"/>
        </w:rPr>
        <w:t>a</w:t>
      </w:r>
      <w:r>
        <w:rPr>
          <w:color w:val="231F20"/>
          <w:spacing w:val="-15"/>
        </w:rPr>
        <w:t> </w:t>
      </w:r>
      <w:r>
        <w:rPr>
          <w:color w:val="231F20"/>
        </w:rPr>
        <w:t>perpetrator, of terrorism”. They described this designation as a false accusation, a</w:t>
      </w:r>
      <w:r>
        <w:rPr>
          <w:color w:val="231F20"/>
          <w:spacing w:val="80"/>
        </w:rPr>
        <w:t> </w:t>
      </w:r>
      <w:r>
        <w:rPr>
          <w:color w:val="231F20"/>
        </w:rPr>
        <w:t>fact recognized in America’s serious political circles. They saw as the worst act of terrorism the 60-plus years of inhuman</w:t>
      </w:r>
      <w:r>
        <w:rPr>
          <w:color w:val="231F20"/>
          <w:spacing w:val="-2"/>
        </w:rPr>
        <w:t> </w:t>
      </w:r>
      <w:r>
        <w:rPr>
          <w:color w:val="231F20"/>
        </w:rPr>
        <w:t>blockade</w:t>
      </w:r>
      <w:r>
        <w:rPr>
          <w:color w:val="231F20"/>
          <w:spacing w:val="-2"/>
        </w:rPr>
        <w:t> </w:t>
      </w:r>
      <w:r>
        <w:rPr>
          <w:color w:val="231F20"/>
        </w:rPr>
        <w:t>against</w:t>
      </w:r>
      <w:r>
        <w:rPr>
          <w:color w:val="231F20"/>
          <w:spacing w:val="-2"/>
        </w:rPr>
        <w:t> </w:t>
      </w:r>
      <w:r>
        <w:rPr>
          <w:color w:val="231F20"/>
        </w:rPr>
        <w:t>Cuba,</w:t>
      </w:r>
      <w:r>
        <w:rPr>
          <w:color w:val="231F20"/>
          <w:spacing w:val="-2"/>
        </w:rPr>
        <w:t> </w:t>
      </w:r>
      <w:r>
        <w:rPr>
          <w:color w:val="231F20"/>
        </w:rPr>
        <w:t>which constituted a crime against humanity and should be lifted immediately.</w:t>
      </w:r>
    </w:p>
    <w:p>
      <w:pPr>
        <w:pStyle w:val="BodyText"/>
        <w:spacing w:before="174"/>
        <w:ind w:left="1734"/>
      </w:pPr>
      <w:r>
        <w:rPr/>
        <mc:AlternateContent>
          <mc:Choice Requires="wps">
            <w:drawing>
              <wp:anchor distT="0" distB="0" distL="0" distR="0" allowOverlap="1" layoutInCell="1" locked="0" behindDoc="0" simplePos="0" relativeHeight="15816192">
                <wp:simplePos x="0" y="0"/>
                <wp:positionH relativeFrom="page">
                  <wp:posOffset>935997</wp:posOffset>
                </wp:positionH>
                <wp:positionV relativeFrom="paragraph">
                  <wp:posOffset>196850</wp:posOffset>
                </wp:positionV>
                <wp:extent cx="59690" cy="59690"/>
                <wp:effectExtent l="0" t="0" r="0" b="0"/>
                <wp:wrapNone/>
                <wp:docPr id="339" name="Graphic 339"/>
                <wp:cNvGraphicFramePr>
                  <a:graphicFrameLocks/>
                </wp:cNvGraphicFramePr>
                <a:graphic>
                  <a:graphicData uri="http://schemas.microsoft.com/office/word/2010/wordprocessingShape">
                    <wps:wsp>
                      <wps:cNvPr id="339" name="Graphic 33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500063pt;width:4.7pt;height:4.7pt;mso-position-horizontal-relative:page;mso-position-vertical-relative:paragraph;z-index:15816192" id="docshape275" coordorigin="1474,310" coordsize="94,94" path="m1521,310l1502,314,1488,324,1478,338,1474,357,1478,375,1488,390,1502,400,1521,403,1539,400,1554,390,1564,375,1567,357,1564,338,1554,324,1539,314,1521,310xe" filled="true" fillcolor="#1a4796" stroked="false">
                <v:path arrowok="t"/>
                <v:fill type="solid"/>
                <w10:wrap type="none"/>
              </v:shape>
            </w:pict>
          </mc:Fallback>
        </mc:AlternateContent>
      </w:r>
      <w:r>
        <w:rPr>
          <w:b/>
          <w:color w:val="1A4796"/>
        </w:rPr>
        <w:t>On March 25, 2023, </w:t>
      </w:r>
      <w:r>
        <w:rPr>
          <w:color w:val="231F20"/>
        </w:rPr>
        <w:t>the 28th </w:t>
      </w:r>
      <w:r>
        <w:rPr>
          <w:color w:val="231F20"/>
        </w:rPr>
        <w:t>Ibero- American</w:t>
      </w:r>
      <w:r>
        <w:rPr>
          <w:color w:val="231F20"/>
          <w:spacing w:val="-9"/>
        </w:rPr>
        <w:t> </w:t>
      </w:r>
      <w:r>
        <w:rPr>
          <w:color w:val="231F20"/>
        </w:rPr>
        <w:t>Summit</w:t>
      </w:r>
      <w:r>
        <w:rPr>
          <w:color w:val="231F20"/>
          <w:spacing w:val="-9"/>
        </w:rPr>
        <w:t> </w:t>
      </w:r>
      <w:r>
        <w:rPr>
          <w:color w:val="231F20"/>
        </w:rPr>
        <w:t>of</w:t>
      </w:r>
      <w:r>
        <w:rPr>
          <w:color w:val="231F20"/>
          <w:spacing w:val="-9"/>
        </w:rPr>
        <w:t> </w:t>
      </w:r>
      <w:r>
        <w:rPr>
          <w:color w:val="231F20"/>
        </w:rPr>
        <w:t>heads</w:t>
      </w:r>
      <w:r>
        <w:rPr>
          <w:color w:val="231F20"/>
          <w:spacing w:val="-9"/>
        </w:rPr>
        <w:t> </w:t>
      </w:r>
      <w:r>
        <w:rPr>
          <w:color w:val="231F20"/>
        </w:rPr>
        <w:t>of</w:t>
      </w:r>
      <w:r>
        <w:rPr>
          <w:color w:val="231F20"/>
          <w:spacing w:val="-9"/>
        </w:rPr>
        <w:t> </w:t>
      </w:r>
      <w:r>
        <w:rPr>
          <w:color w:val="231F20"/>
        </w:rPr>
        <w:t>state</w:t>
      </w:r>
      <w:r>
        <w:rPr>
          <w:color w:val="231F20"/>
          <w:spacing w:val="-9"/>
        </w:rPr>
        <w:t> </w:t>
      </w:r>
      <w:r>
        <w:rPr>
          <w:color w:val="231F20"/>
        </w:rPr>
        <w:t>and government held in Santo Domingo, Dominican Republic, issued a “Special </w:t>
      </w:r>
      <w:r>
        <w:rPr>
          <w:color w:val="231F20"/>
          <w:spacing w:val="-4"/>
        </w:rPr>
        <w:t>Communiqué</w:t>
      </w:r>
      <w:r>
        <w:rPr>
          <w:color w:val="231F20"/>
          <w:spacing w:val="-9"/>
        </w:rPr>
        <w:t> </w:t>
      </w:r>
      <w:r>
        <w:rPr>
          <w:color w:val="231F20"/>
          <w:spacing w:val="-4"/>
        </w:rPr>
        <w:t>on</w:t>
      </w:r>
      <w:r>
        <w:rPr>
          <w:color w:val="231F20"/>
          <w:spacing w:val="-9"/>
        </w:rPr>
        <w:t> </w:t>
      </w:r>
      <w:r>
        <w:rPr>
          <w:color w:val="231F20"/>
          <w:spacing w:val="-4"/>
        </w:rPr>
        <w:t>the</w:t>
      </w:r>
      <w:r>
        <w:rPr>
          <w:color w:val="231F20"/>
          <w:spacing w:val="-9"/>
        </w:rPr>
        <w:t> </w:t>
      </w:r>
      <w:r>
        <w:rPr>
          <w:color w:val="231F20"/>
          <w:spacing w:val="-4"/>
        </w:rPr>
        <w:t>necessity</w:t>
      </w:r>
      <w:r>
        <w:rPr>
          <w:color w:val="231F20"/>
          <w:spacing w:val="-9"/>
        </w:rPr>
        <w:t> </w:t>
      </w:r>
      <w:r>
        <w:rPr>
          <w:color w:val="231F20"/>
          <w:spacing w:val="-4"/>
        </w:rPr>
        <w:t>of</w:t>
      </w:r>
      <w:r>
        <w:rPr>
          <w:color w:val="231F20"/>
          <w:spacing w:val="-9"/>
        </w:rPr>
        <w:t> </w:t>
      </w:r>
      <w:r>
        <w:rPr>
          <w:color w:val="231F20"/>
          <w:spacing w:val="-4"/>
        </w:rPr>
        <w:t>ending </w:t>
      </w:r>
      <w:r>
        <w:rPr>
          <w:color w:val="231F20"/>
        </w:rPr>
        <w:t>the</w:t>
      </w:r>
      <w:r>
        <w:rPr>
          <w:color w:val="231F20"/>
          <w:spacing w:val="-16"/>
        </w:rPr>
        <w:t> </w:t>
      </w:r>
      <w:r>
        <w:rPr>
          <w:color w:val="231F20"/>
        </w:rPr>
        <w:t>economic,</w:t>
      </w:r>
      <w:r>
        <w:rPr>
          <w:color w:val="231F20"/>
          <w:spacing w:val="-15"/>
        </w:rPr>
        <w:t> </w:t>
      </w:r>
      <w:r>
        <w:rPr>
          <w:color w:val="231F20"/>
        </w:rPr>
        <w:t>commercial</w:t>
      </w:r>
      <w:r>
        <w:rPr>
          <w:color w:val="231F20"/>
          <w:spacing w:val="-15"/>
        </w:rPr>
        <w:t> </w:t>
      </w:r>
      <w:r>
        <w:rPr>
          <w:color w:val="231F20"/>
        </w:rPr>
        <w:t>and</w:t>
      </w:r>
      <w:r>
        <w:rPr>
          <w:color w:val="231F20"/>
          <w:spacing w:val="-16"/>
        </w:rPr>
        <w:t> </w:t>
      </w:r>
      <w:r>
        <w:rPr>
          <w:color w:val="231F20"/>
        </w:rPr>
        <w:t>financial blockade imposed by the government of the United States of America on Cuba,</w:t>
      </w:r>
      <w:r>
        <w:rPr>
          <w:color w:val="231F20"/>
          <w:spacing w:val="36"/>
        </w:rPr>
        <w:t> </w:t>
      </w:r>
      <w:r>
        <w:rPr>
          <w:color w:val="231F20"/>
        </w:rPr>
        <w:t>including</w:t>
      </w:r>
      <w:r>
        <w:rPr>
          <w:color w:val="231F20"/>
          <w:spacing w:val="36"/>
        </w:rPr>
        <w:t> </w:t>
      </w:r>
      <w:r>
        <w:rPr>
          <w:color w:val="231F20"/>
        </w:rPr>
        <w:t>the</w:t>
      </w:r>
      <w:r>
        <w:rPr>
          <w:color w:val="231F20"/>
          <w:spacing w:val="36"/>
        </w:rPr>
        <w:t> </w:t>
      </w:r>
      <w:r>
        <w:rPr>
          <w:color w:val="231F20"/>
        </w:rPr>
        <w:t>application</w:t>
      </w:r>
      <w:r>
        <w:rPr>
          <w:color w:val="231F20"/>
          <w:spacing w:val="36"/>
        </w:rPr>
        <w:t> </w:t>
      </w:r>
      <w:r>
        <w:rPr>
          <w:color w:val="231F20"/>
        </w:rPr>
        <w:t>of</w:t>
      </w:r>
      <w:r>
        <w:rPr>
          <w:color w:val="231F20"/>
          <w:spacing w:val="36"/>
        </w:rPr>
        <w:t> </w:t>
      </w:r>
      <w:r>
        <w:rPr>
          <w:color w:val="231F20"/>
          <w:spacing w:val="-5"/>
        </w:rPr>
        <w:t>the</w:t>
      </w:r>
    </w:p>
    <w:p>
      <w:pPr>
        <w:pStyle w:val="BodyText"/>
        <w:spacing w:before="77"/>
        <w:ind w:left="673" w:right="1130"/>
      </w:pPr>
      <w:r>
        <w:rPr/>
        <w:br w:type="column"/>
      </w:r>
      <w:r>
        <w:rPr>
          <w:color w:val="231F20"/>
        </w:rPr>
        <w:t>so-called Helms-Burton Act” and </w:t>
      </w:r>
      <w:r>
        <w:rPr>
          <w:color w:val="231F20"/>
        </w:rPr>
        <w:t>a “Special Communiqué of support for </w:t>
      </w:r>
      <w:r>
        <w:rPr>
          <w:color w:val="231F20"/>
          <w:spacing w:val="-2"/>
        </w:rPr>
        <w:t>the</w:t>
      </w:r>
      <w:r>
        <w:rPr>
          <w:color w:val="231F20"/>
          <w:spacing w:val="-15"/>
        </w:rPr>
        <w:t> </w:t>
      </w:r>
      <w:r>
        <w:rPr>
          <w:color w:val="231F20"/>
          <w:spacing w:val="-2"/>
        </w:rPr>
        <w:t>fight</w:t>
      </w:r>
      <w:r>
        <w:rPr>
          <w:color w:val="231F20"/>
          <w:spacing w:val="-14"/>
        </w:rPr>
        <w:t> </w:t>
      </w:r>
      <w:r>
        <w:rPr>
          <w:color w:val="231F20"/>
          <w:spacing w:val="-2"/>
        </w:rPr>
        <w:t>against</w:t>
      </w:r>
      <w:r>
        <w:rPr>
          <w:color w:val="231F20"/>
          <w:spacing w:val="-15"/>
        </w:rPr>
        <w:t> </w:t>
      </w:r>
      <w:r>
        <w:rPr>
          <w:color w:val="231F20"/>
          <w:spacing w:val="-2"/>
        </w:rPr>
        <w:t>terrorism</w:t>
      </w:r>
      <w:r>
        <w:rPr>
          <w:color w:val="231F20"/>
          <w:spacing w:val="-14"/>
        </w:rPr>
        <w:t> </w:t>
      </w:r>
      <w:r>
        <w:rPr>
          <w:color w:val="231F20"/>
          <w:spacing w:val="-2"/>
        </w:rPr>
        <w:t>in</w:t>
      </w:r>
      <w:r>
        <w:rPr>
          <w:color w:val="231F20"/>
          <w:spacing w:val="-15"/>
        </w:rPr>
        <w:t> </w:t>
      </w:r>
      <w:r>
        <w:rPr>
          <w:color w:val="231F20"/>
          <w:spacing w:val="-2"/>
        </w:rPr>
        <w:t>all</w:t>
      </w:r>
      <w:r>
        <w:rPr>
          <w:color w:val="231F20"/>
          <w:spacing w:val="-14"/>
        </w:rPr>
        <w:t> </w:t>
      </w:r>
      <w:r>
        <w:rPr>
          <w:color w:val="231F20"/>
          <w:spacing w:val="-2"/>
        </w:rPr>
        <w:t>its</w:t>
      </w:r>
      <w:r>
        <w:rPr>
          <w:color w:val="231F20"/>
          <w:spacing w:val="-14"/>
        </w:rPr>
        <w:t> </w:t>
      </w:r>
      <w:r>
        <w:rPr>
          <w:color w:val="231F20"/>
          <w:spacing w:val="-2"/>
        </w:rPr>
        <w:t>forms </w:t>
      </w:r>
      <w:r>
        <w:rPr>
          <w:color w:val="231F20"/>
        </w:rPr>
        <w:t>and</w:t>
      </w:r>
      <w:r>
        <w:rPr>
          <w:color w:val="231F20"/>
          <w:spacing w:val="-14"/>
        </w:rPr>
        <w:t> </w:t>
      </w:r>
      <w:r>
        <w:rPr>
          <w:color w:val="231F20"/>
        </w:rPr>
        <w:t>manifestations”,</w:t>
      </w:r>
      <w:r>
        <w:rPr>
          <w:color w:val="231F20"/>
          <w:spacing w:val="-14"/>
        </w:rPr>
        <w:t> </w:t>
      </w:r>
      <w:r>
        <w:rPr>
          <w:color w:val="231F20"/>
        </w:rPr>
        <w:t>while</w:t>
      </w:r>
      <w:r>
        <w:rPr>
          <w:color w:val="231F20"/>
          <w:spacing w:val="-14"/>
        </w:rPr>
        <w:t> </w:t>
      </w:r>
      <w:r>
        <w:rPr>
          <w:color w:val="231F20"/>
        </w:rPr>
        <w:t>condemning the</w:t>
      </w:r>
      <w:r>
        <w:rPr>
          <w:color w:val="231F20"/>
          <w:spacing w:val="-16"/>
        </w:rPr>
        <w:t> </w:t>
      </w:r>
      <w:r>
        <w:rPr>
          <w:color w:val="231F20"/>
        </w:rPr>
        <w:t>groundless</w:t>
      </w:r>
      <w:r>
        <w:rPr>
          <w:color w:val="231F20"/>
          <w:spacing w:val="-16"/>
        </w:rPr>
        <w:t> </w:t>
      </w:r>
      <w:r>
        <w:rPr>
          <w:color w:val="231F20"/>
        </w:rPr>
        <w:t>inclusion</w:t>
      </w:r>
      <w:r>
        <w:rPr>
          <w:color w:val="231F20"/>
          <w:spacing w:val="-16"/>
        </w:rPr>
        <w:t> </w:t>
      </w:r>
      <w:r>
        <w:rPr>
          <w:color w:val="231F20"/>
        </w:rPr>
        <w:t>of</w:t>
      </w:r>
      <w:r>
        <w:rPr>
          <w:color w:val="231F20"/>
          <w:spacing w:val="-16"/>
        </w:rPr>
        <w:t> </w:t>
      </w:r>
      <w:r>
        <w:rPr>
          <w:color w:val="231F20"/>
        </w:rPr>
        <w:t>Cuba</w:t>
      </w:r>
      <w:r>
        <w:rPr>
          <w:color w:val="231F20"/>
          <w:spacing w:val="-16"/>
        </w:rPr>
        <w:t> </w:t>
      </w:r>
      <w:r>
        <w:rPr>
          <w:color w:val="231F20"/>
        </w:rPr>
        <w:t>on</w:t>
      </w:r>
      <w:r>
        <w:rPr>
          <w:color w:val="231F20"/>
          <w:spacing w:val="-16"/>
        </w:rPr>
        <w:t> </w:t>
      </w:r>
      <w:r>
        <w:rPr>
          <w:color w:val="231F20"/>
        </w:rPr>
        <w:t>the list of state sponsors of terrorism and calling for the reversal of this decision.</w:t>
      </w:r>
    </w:p>
    <w:p>
      <w:pPr>
        <w:pStyle w:val="BodyText"/>
        <w:spacing w:before="165"/>
        <w:ind w:left="673" w:right="1130"/>
      </w:pPr>
      <w:r>
        <w:rPr/>
        <mc:AlternateContent>
          <mc:Choice Requires="wps">
            <w:drawing>
              <wp:anchor distT="0" distB="0" distL="0" distR="0" allowOverlap="1" layoutInCell="1" locked="0" behindDoc="0" simplePos="0" relativeHeight="15818240">
                <wp:simplePos x="0" y="0"/>
                <wp:positionH relativeFrom="page">
                  <wp:posOffset>4031997</wp:posOffset>
                </wp:positionH>
                <wp:positionV relativeFrom="paragraph">
                  <wp:posOffset>186775</wp:posOffset>
                </wp:positionV>
                <wp:extent cx="59690" cy="59690"/>
                <wp:effectExtent l="0" t="0" r="0" b="0"/>
                <wp:wrapNone/>
                <wp:docPr id="340" name="Graphic 340"/>
                <wp:cNvGraphicFramePr>
                  <a:graphicFrameLocks/>
                </wp:cNvGraphicFramePr>
                <a:graphic>
                  <a:graphicData uri="http://schemas.microsoft.com/office/word/2010/wordprocessingShape">
                    <wps:wsp>
                      <wps:cNvPr id="340" name="Graphic 34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706738pt;width:4.7pt;height:4.7pt;mso-position-horizontal-relative:page;mso-position-vertical-relative:paragraph;z-index:15818240" id="docshape276" coordorigin="6350,294" coordsize="94,94" path="m6396,294l6378,298,6363,308,6353,323,6350,341,6353,359,6363,374,6378,384,6396,387,6414,384,6429,374,6439,359,6443,341,6439,323,6429,308,6414,298,6396,294xe" filled="true" fillcolor="#1a4796" stroked="false">
                <v:path arrowok="t"/>
                <v:fill type="solid"/>
                <w10:wrap type="none"/>
              </v:shape>
            </w:pict>
          </mc:Fallback>
        </mc:AlternateContent>
      </w:r>
      <w:r>
        <w:rPr>
          <w:b/>
          <w:color w:val="1A4796"/>
        </w:rPr>
        <w:t>May 2, 2023, </w:t>
      </w:r>
      <w:r>
        <w:rPr>
          <w:color w:val="231F20"/>
        </w:rPr>
        <w:t>saw the holding in Havana of an International Event of Solidarity with Cuba, which </w:t>
      </w:r>
      <w:r>
        <w:rPr>
          <w:color w:val="231F20"/>
        </w:rPr>
        <w:t>brought together over 271 political, trade</w:t>
      </w:r>
      <w:r>
        <w:rPr>
          <w:color w:val="231F20"/>
          <w:spacing w:val="80"/>
        </w:rPr>
        <w:t> </w:t>
      </w:r>
      <w:r>
        <w:rPr>
          <w:color w:val="231F20"/>
        </w:rPr>
        <w:t>union and social organizations from 58 countries.</w:t>
      </w:r>
      <w:r>
        <w:rPr>
          <w:color w:val="231F20"/>
          <w:spacing w:val="-4"/>
        </w:rPr>
        <w:t> </w:t>
      </w:r>
      <w:r>
        <w:rPr>
          <w:color w:val="231F20"/>
        </w:rPr>
        <w:t>Its</w:t>
      </w:r>
      <w:r>
        <w:rPr>
          <w:color w:val="231F20"/>
          <w:spacing w:val="-4"/>
        </w:rPr>
        <w:t> </w:t>
      </w:r>
      <w:r>
        <w:rPr>
          <w:color w:val="231F20"/>
        </w:rPr>
        <w:t>final</w:t>
      </w:r>
      <w:r>
        <w:rPr>
          <w:color w:val="231F20"/>
          <w:spacing w:val="-4"/>
        </w:rPr>
        <w:t> </w:t>
      </w:r>
      <w:r>
        <w:rPr>
          <w:color w:val="231F20"/>
        </w:rPr>
        <w:t>declaration</w:t>
      </w:r>
      <w:r>
        <w:rPr>
          <w:color w:val="231F20"/>
          <w:spacing w:val="-4"/>
        </w:rPr>
        <w:t> </w:t>
      </w:r>
      <w:r>
        <w:rPr>
          <w:color w:val="231F20"/>
        </w:rPr>
        <w:t>called</w:t>
      </w:r>
      <w:r>
        <w:rPr>
          <w:color w:val="231F20"/>
          <w:spacing w:val="-4"/>
        </w:rPr>
        <w:t> </w:t>
      </w:r>
      <w:r>
        <w:rPr>
          <w:color w:val="231F20"/>
        </w:rPr>
        <w:t>for the immediate removal of Cuba from the</w:t>
      </w:r>
      <w:r>
        <w:rPr>
          <w:color w:val="231F20"/>
          <w:spacing w:val="40"/>
        </w:rPr>
        <w:t> </w:t>
      </w:r>
      <w:r>
        <w:rPr>
          <w:color w:val="231F20"/>
        </w:rPr>
        <w:t>illegitimate</w:t>
      </w:r>
      <w:r>
        <w:rPr>
          <w:color w:val="231F20"/>
          <w:spacing w:val="40"/>
        </w:rPr>
        <w:t> </w:t>
      </w:r>
      <w:r>
        <w:rPr>
          <w:color w:val="231F20"/>
        </w:rPr>
        <w:t>list</w:t>
      </w:r>
      <w:r>
        <w:rPr>
          <w:color w:val="231F20"/>
          <w:spacing w:val="40"/>
        </w:rPr>
        <w:t> </w:t>
      </w:r>
      <w:r>
        <w:rPr>
          <w:color w:val="231F20"/>
        </w:rPr>
        <w:t>of</w:t>
      </w:r>
      <w:r>
        <w:rPr>
          <w:color w:val="231F20"/>
          <w:spacing w:val="40"/>
        </w:rPr>
        <w:t> </w:t>
      </w:r>
      <w:r>
        <w:rPr>
          <w:color w:val="231F20"/>
        </w:rPr>
        <w:t>state</w:t>
      </w:r>
      <w:r>
        <w:rPr>
          <w:color w:val="231F20"/>
          <w:spacing w:val="40"/>
        </w:rPr>
        <w:t> </w:t>
      </w:r>
      <w:r>
        <w:rPr>
          <w:color w:val="231F20"/>
        </w:rPr>
        <w:t>sponsors of terrorism, unilaterally, illegally and </w:t>
      </w:r>
      <w:r>
        <w:rPr>
          <w:color w:val="231F20"/>
          <w:spacing w:val="-2"/>
        </w:rPr>
        <w:t>immorally</w:t>
      </w:r>
      <w:r>
        <w:rPr>
          <w:color w:val="231F20"/>
          <w:spacing w:val="-15"/>
        </w:rPr>
        <w:t> </w:t>
      </w:r>
      <w:r>
        <w:rPr>
          <w:color w:val="231F20"/>
          <w:spacing w:val="-2"/>
        </w:rPr>
        <w:t>imposed</w:t>
      </w:r>
      <w:r>
        <w:rPr>
          <w:color w:val="231F20"/>
          <w:spacing w:val="-14"/>
        </w:rPr>
        <w:t> </w:t>
      </w:r>
      <w:r>
        <w:rPr>
          <w:color w:val="231F20"/>
          <w:spacing w:val="-2"/>
        </w:rPr>
        <w:t>by</w:t>
      </w:r>
      <w:r>
        <w:rPr>
          <w:color w:val="231F20"/>
          <w:spacing w:val="-15"/>
        </w:rPr>
        <w:t> </w:t>
      </w:r>
      <w:r>
        <w:rPr>
          <w:color w:val="231F20"/>
          <w:spacing w:val="-2"/>
        </w:rPr>
        <w:t>the</w:t>
      </w:r>
      <w:r>
        <w:rPr>
          <w:color w:val="231F20"/>
          <w:spacing w:val="-14"/>
        </w:rPr>
        <w:t> </w:t>
      </w:r>
      <w:r>
        <w:rPr>
          <w:color w:val="231F20"/>
          <w:spacing w:val="-2"/>
        </w:rPr>
        <w:t>United</w:t>
      </w:r>
      <w:r>
        <w:rPr>
          <w:color w:val="231F20"/>
          <w:spacing w:val="-15"/>
        </w:rPr>
        <w:t> </w:t>
      </w:r>
      <w:r>
        <w:rPr>
          <w:color w:val="231F20"/>
          <w:spacing w:val="-2"/>
        </w:rPr>
        <w:t>States. </w:t>
      </w:r>
      <w:r>
        <w:rPr>
          <w:color w:val="231F20"/>
        </w:rPr>
        <w:t>They</w:t>
      </w:r>
      <w:r>
        <w:rPr>
          <w:color w:val="231F20"/>
          <w:spacing w:val="-1"/>
        </w:rPr>
        <w:t> </w:t>
      </w:r>
      <w:r>
        <w:rPr>
          <w:color w:val="231F20"/>
        </w:rPr>
        <w:t>agreed</w:t>
      </w:r>
      <w:r>
        <w:rPr>
          <w:color w:val="231F20"/>
          <w:spacing w:val="-1"/>
        </w:rPr>
        <w:t> </w:t>
      </w:r>
      <w:r>
        <w:rPr>
          <w:color w:val="231F20"/>
        </w:rPr>
        <w:t>to</w:t>
      </w:r>
      <w:r>
        <w:rPr>
          <w:color w:val="231F20"/>
          <w:spacing w:val="-1"/>
        </w:rPr>
        <w:t> </w:t>
      </w:r>
      <w:r>
        <w:rPr>
          <w:color w:val="231F20"/>
        </w:rPr>
        <w:t>mobilize</w:t>
      </w:r>
      <w:r>
        <w:rPr>
          <w:color w:val="231F20"/>
          <w:spacing w:val="-1"/>
        </w:rPr>
        <w:t> </w:t>
      </w:r>
      <w:r>
        <w:rPr>
          <w:color w:val="231F20"/>
        </w:rPr>
        <w:t>across</w:t>
      </w:r>
      <w:r>
        <w:rPr>
          <w:color w:val="231F20"/>
          <w:spacing w:val="-1"/>
        </w:rPr>
        <w:t> </w:t>
      </w:r>
      <w:r>
        <w:rPr>
          <w:color w:val="231F20"/>
        </w:rPr>
        <w:t>the</w:t>
      </w:r>
      <w:r>
        <w:rPr>
          <w:color w:val="231F20"/>
          <w:spacing w:val="-1"/>
        </w:rPr>
        <w:t> </w:t>
      </w:r>
      <w:r>
        <w:rPr>
          <w:color w:val="231F20"/>
        </w:rPr>
        <w:t>five continents</w:t>
      </w:r>
      <w:r>
        <w:rPr>
          <w:color w:val="231F20"/>
          <w:spacing w:val="-10"/>
        </w:rPr>
        <w:t> </w:t>
      </w:r>
      <w:r>
        <w:rPr>
          <w:color w:val="231F20"/>
        </w:rPr>
        <w:t>to</w:t>
      </w:r>
      <w:r>
        <w:rPr>
          <w:color w:val="231F20"/>
          <w:spacing w:val="-10"/>
        </w:rPr>
        <w:t> </w:t>
      </w:r>
      <w:r>
        <w:rPr>
          <w:color w:val="231F20"/>
        </w:rPr>
        <w:t>bring</w:t>
      </w:r>
      <w:r>
        <w:rPr>
          <w:color w:val="231F20"/>
          <w:spacing w:val="-10"/>
        </w:rPr>
        <w:t> </w:t>
      </w:r>
      <w:r>
        <w:rPr>
          <w:color w:val="231F20"/>
        </w:rPr>
        <w:t>about</w:t>
      </w:r>
      <w:r>
        <w:rPr>
          <w:color w:val="231F20"/>
          <w:spacing w:val="-10"/>
        </w:rPr>
        <w:t> </w:t>
      </w:r>
      <w:r>
        <w:rPr>
          <w:color w:val="231F20"/>
        </w:rPr>
        <w:t>an</w:t>
      </w:r>
      <w:r>
        <w:rPr>
          <w:color w:val="231F20"/>
          <w:spacing w:val="-10"/>
        </w:rPr>
        <w:t> </w:t>
      </w:r>
      <w:r>
        <w:rPr>
          <w:color w:val="231F20"/>
        </w:rPr>
        <w:t>end</w:t>
      </w:r>
      <w:r>
        <w:rPr>
          <w:color w:val="231F20"/>
          <w:spacing w:val="-10"/>
        </w:rPr>
        <w:t> </w:t>
      </w:r>
      <w:r>
        <w:rPr>
          <w:color w:val="231F20"/>
        </w:rPr>
        <w:t>to</w:t>
      </w:r>
      <w:r>
        <w:rPr>
          <w:color w:val="231F20"/>
          <w:spacing w:val="-10"/>
        </w:rPr>
        <w:t> </w:t>
      </w:r>
      <w:r>
        <w:rPr>
          <w:color w:val="231F20"/>
        </w:rPr>
        <w:t>the intensified</w:t>
      </w:r>
      <w:r>
        <w:rPr>
          <w:color w:val="231F20"/>
          <w:spacing w:val="-14"/>
        </w:rPr>
        <w:t> </w:t>
      </w:r>
      <w:r>
        <w:rPr>
          <w:color w:val="231F20"/>
        </w:rPr>
        <w:t>blockade,</w:t>
      </w:r>
      <w:r>
        <w:rPr>
          <w:color w:val="231F20"/>
          <w:spacing w:val="-14"/>
        </w:rPr>
        <w:t> </w:t>
      </w:r>
      <w:r>
        <w:rPr>
          <w:color w:val="231F20"/>
        </w:rPr>
        <w:t>which</w:t>
      </w:r>
      <w:r>
        <w:rPr>
          <w:color w:val="231F20"/>
          <w:spacing w:val="-14"/>
        </w:rPr>
        <w:t> </w:t>
      </w:r>
      <w:r>
        <w:rPr>
          <w:color w:val="231F20"/>
        </w:rPr>
        <w:t>undermines the development and wellbeing of the Cuban people.</w:t>
      </w:r>
    </w:p>
    <w:p>
      <w:pPr>
        <w:pStyle w:val="BodyText"/>
        <w:spacing w:before="172"/>
        <w:ind w:left="673" w:right="1133"/>
      </w:pPr>
      <w:r>
        <w:rPr/>
        <mc:AlternateContent>
          <mc:Choice Requires="wps">
            <w:drawing>
              <wp:anchor distT="0" distB="0" distL="0" distR="0" allowOverlap="1" layoutInCell="1" locked="0" behindDoc="0" simplePos="0" relativeHeight="15818752">
                <wp:simplePos x="0" y="0"/>
                <wp:positionH relativeFrom="page">
                  <wp:posOffset>4031997</wp:posOffset>
                </wp:positionH>
                <wp:positionV relativeFrom="paragraph">
                  <wp:posOffset>195042</wp:posOffset>
                </wp:positionV>
                <wp:extent cx="59690" cy="59690"/>
                <wp:effectExtent l="0" t="0" r="0" b="0"/>
                <wp:wrapNone/>
                <wp:docPr id="341" name="Graphic 341"/>
                <wp:cNvGraphicFramePr>
                  <a:graphicFrameLocks/>
                </wp:cNvGraphicFramePr>
                <a:graphic>
                  <a:graphicData uri="http://schemas.microsoft.com/office/word/2010/wordprocessingShape">
                    <wps:wsp>
                      <wps:cNvPr id="341" name="Graphic 34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357675pt;width:4.7pt;height:4.7pt;mso-position-horizontal-relative:page;mso-position-vertical-relative:paragraph;z-index:15818752" id="docshape277" coordorigin="6350,307" coordsize="94,94" path="m6396,307l6378,311,6363,321,6353,336,6350,354,6353,372,6363,387,6378,397,6396,400,6414,397,6429,387,6439,372,6443,354,6439,336,6429,321,6414,311,6396,307xe" filled="true" fillcolor="#1a4796" stroked="false">
                <v:path arrowok="t"/>
                <v:fill type="solid"/>
                <w10:wrap type="none"/>
              </v:shape>
            </w:pict>
          </mc:Fallback>
        </mc:AlternateContent>
      </w:r>
      <w:r>
        <w:rPr>
          <w:b/>
          <w:color w:val="1A4796"/>
          <w:spacing w:val="-6"/>
        </w:rPr>
        <w:t>On</w:t>
      </w:r>
      <w:r>
        <w:rPr>
          <w:b/>
          <w:color w:val="1A4796"/>
          <w:spacing w:val="-11"/>
        </w:rPr>
        <w:t> </w:t>
      </w:r>
      <w:r>
        <w:rPr>
          <w:b/>
          <w:color w:val="1A4796"/>
          <w:spacing w:val="-6"/>
        </w:rPr>
        <w:t>May</w:t>
      </w:r>
      <w:r>
        <w:rPr>
          <w:b/>
          <w:color w:val="1A4796"/>
          <w:spacing w:val="-10"/>
        </w:rPr>
        <w:t> </w:t>
      </w:r>
      <w:r>
        <w:rPr>
          <w:b/>
          <w:color w:val="1A4796"/>
          <w:spacing w:val="-6"/>
        </w:rPr>
        <w:t>12,</w:t>
      </w:r>
      <w:r>
        <w:rPr>
          <w:b/>
          <w:color w:val="1A4796"/>
          <w:spacing w:val="-10"/>
        </w:rPr>
        <w:t> </w:t>
      </w:r>
      <w:r>
        <w:rPr>
          <w:b/>
          <w:color w:val="1A4796"/>
          <w:spacing w:val="-6"/>
        </w:rPr>
        <w:t>2023,</w:t>
      </w:r>
      <w:r>
        <w:rPr>
          <w:b/>
          <w:color w:val="1A4796"/>
          <w:spacing w:val="-11"/>
        </w:rPr>
        <w:t> </w:t>
      </w:r>
      <w:r>
        <w:rPr>
          <w:color w:val="231F20"/>
          <w:spacing w:val="-6"/>
        </w:rPr>
        <w:t>in</w:t>
      </w:r>
      <w:r>
        <w:rPr>
          <w:color w:val="231F20"/>
          <w:spacing w:val="-10"/>
        </w:rPr>
        <w:t> </w:t>
      </w:r>
      <w:r>
        <w:rPr>
          <w:color w:val="231F20"/>
          <w:spacing w:val="-6"/>
        </w:rPr>
        <w:t>the</w:t>
      </w:r>
      <w:r>
        <w:rPr>
          <w:color w:val="231F20"/>
          <w:spacing w:val="-11"/>
        </w:rPr>
        <w:t> </w:t>
      </w:r>
      <w:r>
        <w:rPr>
          <w:color w:val="231F20"/>
          <w:spacing w:val="-6"/>
        </w:rPr>
        <w:t>final</w:t>
      </w:r>
      <w:r>
        <w:rPr>
          <w:color w:val="231F20"/>
          <w:spacing w:val="-10"/>
        </w:rPr>
        <w:t> </w:t>
      </w:r>
      <w:r>
        <w:rPr>
          <w:color w:val="231F20"/>
          <w:spacing w:val="-6"/>
        </w:rPr>
        <w:t>declaration </w:t>
      </w:r>
      <w:r>
        <w:rPr>
          <w:color w:val="231F20"/>
        </w:rPr>
        <w:t>from</w:t>
      </w:r>
      <w:r>
        <w:rPr>
          <w:color w:val="231F20"/>
          <w:spacing w:val="-4"/>
        </w:rPr>
        <w:t> </w:t>
      </w:r>
      <w:r>
        <w:rPr>
          <w:color w:val="231F20"/>
        </w:rPr>
        <w:t>the</w:t>
      </w:r>
      <w:r>
        <w:rPr>
          <w:color w:val="231F20"/>
          <w:spacing w:val="-4"/>
        </w:rPr>
        <w:t> </w:t>
      </w:r>
      <w:r>
        <w:rPr>
          <w:color w:val="231F20"/>
        </w:rPr>
        <w:t>9th</w:t>
      </w:r>
      <w:r>
        <w:rPr>
          <w:color w:val="231F20"/>
          <w:spacing w:val="-4"/>
        </w:rPr>
        <w:t> </w:t>
      </w:r>
      <w:r>
        <w:rPr>
          <w:color w:val="231F20"/>
        </w:rPr>
        <w:t>summit</w:t>
      </w:r>
      <w:r>
        <w:rPr>
          <w:color w:val="231F20"/>
          <w:spacing w:val="-4"/>
        </w:rPr>
        <w:t> </w:t>
      </w:r>
      <w:r>
        <w:rPr>
          <w:color w:val="231F20"/>
        </w:rPr>
        <w:t>of</w:t>
      </w:r>
      <w:r>
        <w:rPr>
          <w:color w:val="231F20"/>
          <w:spacing w:val="-4"/>
        </w:rPr>
        <w:t> </w:t>
      </w:r>
      <w:r>
        <w:rPr>
          <w:color w:val="231F20"/>
        </w:rPr>
        <w:t>the</w:t>
      </w:r>
      <w:r>
        <w:rPr>
          <w:color w:val="231F20"/>
          <w:spacing w:val="-4"/>
        </w:rPr>
        <w:t> </w:t>
      </w:r>
      <w:r>
        <w:rPr>
          <w:color w:val="231F20"/>
        </w:rPr>
        <w:t>Association of</w:t>
      </w:r>
      <w:r>
        <w:rPr>
          <w:color w:val="231F20"/>
          <w:spacing w:val="-7"/>
        </w:rPr>
        <w:t> </w:t>
      </w:r>
      <w:r>
        <w:rPr>
          <w:color w:val="231F20"/>
        </w:rPr>
        <w:t>Caribbean</w:t>
      </w:r>
      <w:r>
        <w:rPr>
          <w:color w:val="231F20"/>
          <w:spacing w:val="-7"/>
        </w:rPr>
        <w:t> </w:t>
      </w:r>
      <w:r>
        <w:rPr>
          <w:color w:val="231F20"/>
        </w:rPr>
        <w:t>States,</w:t>
      </w:r>
      <w:r>
        <w:rPr>
          <w:color w:val="231F20"/>
          <w:spacing w:val="-7"/>
        </w:rPr>
        <w:t> </w:t>
      </w:r>
      <w:r>
        <w:rPr>
          <w:color w:val="231F20"/>
        </w:rPr>
        <w:t>the</w:t>
      </w:r>
      <w:r>
        <w:rPr>
          <w:color w:val="231F20"/>
          <w:spacing w:val="-7"/>
        </w:rPr>
        <w:t> </w:t>
      </w:r>
      <w:r>
        <w:rPr>
          <w:color w:val="231F20"/>
        </w:rPr>
        <w:t>member</w:t>
      </w:r>
      <w:r>
        <w:rPr>
          <w:color w:val="231F20"/>
          <w:spacing w:val="-7"/>
        </w:rPr>
        <w:t> </w:t>
      </w:r>
      <w:r>
        <w:rPr>
          <w:color w:val="231F20"/>
        </w:rPr>
        <w:t>states called on Washington to remove Cuba from the spurious list of states that </w:t>
      </w:r>
      <w:r>
        <w:rPr>
          <w:color w:val="231F20"/>
          <w:spacing w:val="-4"/>
        </w:rPr>
        <w:t>allegedly</w:t>
      </w:r>
      <w:r>
        <w:rPr>
          <w:color w:val="231F20"/>
          <w:spacing w:val="-5"/>
        </w:rPr>
        <w:t> </w:t>
      </w:r>
      <w:r>
        <w:rPr>
          <w:color w:val="231F20"/>
          <w:spacing w:val="-4"/>
        </w:rPr>
        <w:t>sponsor</w:t>
      </w:r>
      <w:r>
        <w:rPr>
          <w:color w:val="231F20"/>
          <w:spacing w:val="-5"/>
        </w:rPr>
        <w:t> </w:t>
      </w:r>
      <w:r>
        <w:rPr>
          <w:color w:val="231F20"/>
          <w:spacing w:val="-4"/>
        </w:rPr>
        <w:t>international</w:t>
      </w:r>
      <w:r>
        <w:rPr>
          <w:color w:val="231F20"/>
          <w:spacing w:val="-5"/>
        </w:rPr>
        <w:t> </w:t>
      </w:r>
      <w:r>
        <w:rPr>
          <w:color w:val="231F20"/>
          <w:spacing w:val="-4"/>
        </w:rPr>
        <w:t>terrorism </w:t>
      </w:r>
      <w:r>
        <w:rPr>
          <w:color w:val="231F20"/>
        </w:rPr>
        <w:t>and</w:t>
      </w:r>
      <w:r>
        <w:rPr>
          <w:color w:val="231F20"/>
          <w:spacing w:val="-9"/>
        </w:rPr>
        <w:t> </w:t>
      </w:r>
      <w:r>
        <w:rPr>
          <w:color w:val="231F20"/>
        </w:rPr>
        <w:t>reiterated</w:t>
      </w:r>
      <w:r>
        <w:rPr>
          <w:color w:val="231F20"/>
          <w:spacing w:val="-9"/>
        </w:rPr>
        <w:t> </w:t>
      </w:r>
      <w:r>
        <w:rPr>
          <w:color w:val="231F20"/>
        </w:rPr>
        <w:t>their</w:t>
      </w:r>
      <w:r>
        <w:rPr>
          <w:color w:val="231F20"/>
          <w:spacing w:val="-9"/>
        </w:rPr>
        <w:t> </w:t>
      </w:r>
      <w:r>
        <w:rPr>
          <w:color w:val="231F20"/>
        </w:rPr>
        <w:t>call</w:t>
      </w:r>
      <w:r>
        <w:rPr>
          <w:color w:val="231F20"/>
          <w:spacing w:val="-9"/>
        </w:rPr>
        <w:t> </w:t>
      </w:r>
      <w:r>
        <w:rPr>
          <w:color w:val="231F20"/>
        </w:rPr>
        <w:t>for</w:t>
      </w:r>
      <w:r>
        <w:rPr>
          <w:color w:val="231F20"/>
          <w:spacing w:val="-9"/>
        </w:rPr>
        <w:t> </w:t>
      </w:r>
      <w:r>
        <w:rPr>
          <w:color w:val="231F20"/>
        </w:rPr>
        <w:t>the</w:t>
      </w:r>
      <w:r>
        <w:rPr>
          <w:color w:val="231F20"/>
          <w:spacing w:val="-9"/>
        </w:rPr>
        <w:t> </w:t>
      </w:r>
      <w:r>
        <w:rPr>
          <w:color w:val="231F20"/>
        </w:rPr>
        <w:t>lifting</w:t>
      </w:r>
      <w:r>
        <w:rPr>
          <w:color w:val="231F20"/>
          <w:spacing w:val="-9"/>
        </w:rPr>
        <w:t> </w:t>
      </w:r>
      <w:r>
        <w:rPr>
          <w:color w:val="231F20"/>
        </w:rPr>
        <w:t>of the blockade against the country.</w:t>
      </w:r>
    </w:p>
    <w:p>
      <w:pPr>
        <w:pStyle w:val="BodyText"/>
        <w:spacing w:before="208"/>
        <w:jc w:val="left"/>
        <w:rPr>
          <w:sz w:val="20"/>
        </w:rPr>
      </w:pPr>
      <w:r>
        <w:rPr/>
        <mc:AlternateContent>
          <mc:Choice Requires="wps">
            <w:drawing>
              <wp:anchor distT="0" distB="0" distL="0" distR="0" allowOverlap="1" layoutInCell="1" locked="0" behindDoc="1" simplePos="0" relativeHeight="487674880">
                <wp:simplePos x="0" y="0"/>
                <wp:positionH relativeFrom="page">
                  <wp:posOffset>5714110</wp:posOffset>
                </wp:positionH>
                <wp:positionV relativeFrom="paragraph">
                  <wp:posOffset>316266</wp:posOffset>
                </wp:positionV>
                <wp:extent cx="909319" cy="26034"/>
                <wp:effectExtent l="0" t="0" r="0" b="0"/>
                <wp:wrapTopAndBottom/>
                <wp:docPr id="342" name="Graphic 342"/>
                <wp:cNvGraphicFramePr>
                  <a:graphicFrameLocks/>
                </wp:cNvGraphicFramePr>
                <a:graphic>
                  <a:graphicData uri="http://schemas.microsoft.com/office/word/2010/wordprocessingShape">
                    <wps:wsp>
                      <wps:cNvPr id="342" name="Graphic 342"/>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449.929993pt;margin-top:24.902876pt;width:71.584pt;height:2.021pt;mso-position-horizontal-relative:page;mso-position-vertical-relative:paragraph;z-index:-15641600;mso-wrap-distance-left:0;mso-wrap-distance-right:0" id="docshape278"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cols w:num="2" w:equalWidth="0">
            <w:col w:w="5898" w:space="40"/>
            <w:col w:w="5972"/>
          </w:cols>
        </w:sectPr>
      </w:pPr>
    </w:p>
    <w:p>
      <w:pPr>
        <w:pStyle w:val="Heading1"/>
        <w:spacing w:before="154"/>
        <w:ind w:left="1105"/>
      </w:pPr>
      <w:r>
        <w:rPr>
          <w:color w:val="1A4796"/>
          <w:spacing w:val="-2"/>
          <w:w w:val="115"/>
        </w:rPr>
        <w:t>Conclusions</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678464">
                <wp:simplePos x="0" y="0"/>
                <wp:positionH relativeFrom="page">
                  <wp:posOffset>720001</wp:posOffset>
                </wp:positionH>
                <wp:positionV relativeFrom="paragraph">
                  <wp:posOffset>288395</wp:posOffset>
                </wp:positionV>
                <wp:extent cx="909319" cy="26034"/>
                <wp:effectExtent l="0" t="0" r="0" b="0"/>
                <wp:wrapTopAndBottom/>
                <wp:docPr id="343" name="Graphic 343"/>
                <wp:cNvGraphicFramePr>
                  <a:graphicFrameLocks/>
                </wp:cNvGraphicFramePr>
                <a:graphic>
                  <a:graphicData uri="http://schemas.microsoft.com/office/word/2010/wordprocessingShape">
                    <wps:wsp>
                      <wps:cNvPr id="343" name="Graphic 343"/>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56.693001pt;margin-top:22.708281pt;width:71.584pt;height:2.021pt;mso-position-horizontal-relative:page;mso-position-vertical-relative:paragraph;z-index:-15638016;mso-wrap-distance-left:0;mso-wrap-distance-right:0" id="docshape279" filled="true" fillcolor="#b52628" stroked="false">
                <v:fill type="solid"/>
                <w10:wrap type="topAndBottom"/>
              </v:rect>
            </w:pict>
          </mc:Fallback>
        </mc:AlternateContent>
      </w:r>
    </w:p>
    <w:p>
      <w:pPr>
        <w:pStyle w:val="BodyText"/>
        <w:spacing w:before="186"/>
        <w:jc w:val="left"/>
        <w:rPr>
          <w:rFonts w:ascii="Trebuchet MS"/>
          <w:sz w:val="20"/>
        </w:rPr>
      </w:pPr>
    </w:p>
    <w:p>
      <w:pPr>
        <w:spacing w:after="0"/>
        <w:jc w:val="left"/>
        <w:rPr>
          <w:rFonts w:ascii="Trebuchet MS"/>
          <w:sz w:val="20"/>
        </w:rPr>
        <w:sectPr>
          <w:pgSz w:w="11910" w:h="16840"/>
          <w:pgMar w:header="0" w:footer="695" w:top="1920" w:bottom="880" w:left="0" w:right="0"/>
        </w:sectPr>
      </w:pPr>
    </w:p>
    <w:p>
      <w:pPr>
        <w:pStyle w:val="BodyText"/>
        <w:spacing w:before="100"/>
        <w:ind w:left="1133"/>
      </w:pPr>
      <w:r>
        <w:rPr>
          <w:color w:val="231F20"/>
          <w:spacing w:val="-2"/>
        </w:rPr>
        <w:t>No</w:t>
      </w:r>
      <w:r>
        <w:rPr>
          <w:color w:val="231F20"/>
          <w:spacing w:val="-7"/>
        </w:rPr>
        <w:t> </w:t>
      </w:r>
      <w:r>
        <w:rPr>
          <w:color w:val="231F20"/>
          <w:spacing w:val="-2"/>
        </w:rPr>
        <w:t>Cuban</w:t>
      </w:r>
      <w:r>
        <w:rPr>
          <w:color w:val="231F20"/>
          <w:spacing w:val="-6"/>
        </w:rPr>
        <w:t> </w:t>
      </w:r>
      <w:r>
        <w:rPr>
          <w:color w:val="231F20"/>
          <w:spacing w:val="-2"/>
        </w:rPr>
        <w:t>family</w:t>
      </w:r>
      <w:r>
        <w:rPr>
          <w:color w:val="231F20"/>
          <w:spacing w:val="-7"/>
        </w:rPr>
        <w:t> </w:t>
      </w:r>
      <w:r>
        <w:rPr>
          <w:color w:val="231F20"/>
          <w:spacing w:val="-2"/>
        </w:rPr>
        <w:t>escapes</w:t>
      </w:r>
      <w:r>
        <w:rPr>
          <w:color w:val="231F20"/>
          <w:spacing w:val="-6"/>
        </w:rPr>
        <w:t> </w:t>
      </w:r>
      <w:r>
        <w:rPr>
          <w:color w:val="231F20"/>
          <w:spacing w:val="-2"/>
        </w:rPr>
        <w:t>the</w:t>
      </w:r>
      <w:r>
        <w:rPr>
          <w:color w:val="231F20"/>
          <w:spacing w:val="-7"/>
        </w:rPr>
        <w:t> </w:t>
      </w:r>
      <w:r>
        <w:rPr>
          <w:color w:val="231F20"/>
          <w:spacing w:val="-2"/>
        </w:rPr>
        <w:t>effects</w:t>
      </w:r>
      <w:r>
        <w:rPr>
          <w:color w:val="231F20"/>
          <w:spacing w:val="-6"/>
        </w:rPr>
        <w:t> </w:t>
      </w:r>
      <w:r>
        <w:rPr>
          <w:color w:val="231F20"/>
          <w:spacing w:val="-2"/>
        </w:rPr>
        <w:t>of</w:t>
      </w:r>
      <w:r>
        <w:rPr>
          <w:color w:val="231F20"/>
          <w:spacing w:val="-7"/>
        </w:rPr>
        <w:t> </w:t>
      </w:r>
      <w:r>
        <w:rPr>
          <w:color w:val="231F20"/>
          <w:spacing w:val="-5"/>
        </w:rPr>
        <w:t>the</w:t>
      </w:r>
    </w:p>
    <w:p>
      <w:pPr>
        <w:pStyle w:val="BodyText"/>
        <w:spacing w:before="1"/>
        <w:ind w:left="1133" w:right="5"/>
      </w:pPr>
      <w:r>
        <w:rPr>
          <w:color w:val="231F20"/>
          <w:spacing w:val="-12"/>
        </w:rPr>
        <w:t>U.S.</w:t>
      </w:r>
      <w:r>
        <w:rPr>
          <w:color w:val="231F20"/>
          <w:spacing w:val="-4"/>
        </w:rPr>
        <w:t> </w:t>
      </w:r>
      <w:r>
        <w:rPr>
          <w:color w:val="231F20"/>
          <w:spacing w:val="-12"/>
        </w:rPr>
        <w:t>blockade</w:t>
      </w:r>
      <w:r>
        <w:rPr>
          <w:color w:val="231F20"/>
          <w:spacing w:val="-4"/>
        </w:rPr>
        <w:t> </w:t>
      </w:r>
      <w:r>
        <w:rPr>
          <w:color w:val="231F20"/>
          <w:spacing w:val="-12"/>
        </w:rPr>
        <w:t>-</w:t>
      </w:r>
      <w:r>
        <w:rPr>
          <w:color w:val="231F20"/>
          <w:spacing w:val="-4"/>
        </w:rPr>
        <w:t> </w:t>
      </w:r>
      <w:r>
        <w:rPr>
          <w:color w:val="231F20"/>
          <w:spacing w:val="-12"/>
        </w:rPr>
        <w:t>the</w:t>
      </w:r>
      <w:r>
        <w:rPr>
          <w:color w:val="231F20"/>
          <w:spacing w:val="-4"/>
        </w:rPr>
        <w:t> </w:t>
      </w:r>
      <w:r>
        <w:rPr>
          <w:color w:val="231F20"/>
          <w:spacing w:val="-12"/>
        </w:rPr>
        <w:t>most</w:t>
      </w:r>
      <w:r>
        <w:rPr>
          <w:color w:val="231F20"/>
          <w:spacing w:val="-4"/>
        </w:rPr>
        <w:t> </w:t>
      </w:r>
      <w:r>
        <w:rPr>
          <w:color w:val="231F20"/>
          <w:spacing w:val="-12"/>
        </w:rPr>
        <w:t>prolonged,</w:t>
      </w:r>
      <w:r>
        <w:rPr>
          <w:color w:val="231F20"/>
          <w:spacing w:val="-4"/>
        </w:rPr>
        <w:t> </w:t>
      </w:r>
      <w:r>
        <w:rPr>
          <w:color w:val="231F20"/>
          <w:spacing w:val="-12"/>
        </w:rPr>
        <w:t>cruel</w:t>
      </w:r>
      <w:r>
        <w:rPr>
          <w:color w:val="231F20"/>
          <w:spacing w:val="-4"/>
        </w:rPr>
        <w:t> </w:t>
      </w:r>
      <w:r>
        <w:rPr>
          <w:color w:val="231F20"/>
          <w:spacing w:val="-12"/>
        </w:rPr>
        <w:t>and </w:t>
      </w:r>
      <w:r>
        <w:rPr>
          <w:color w:val="231F20"/>
        </w:rPr>
        <w:t>all-pervading</w:t>
      </w:r>
      <w:r>
        <w:rPr>
          <w:color w:val="231F20"/>
          <w:spacing w:val="-17"/>
        </w:rPr>
        <w:t> </w:t>
      </w:r>
      <w:r>
        <w:rPr>
          <w:color w:val="231F20"/>
        </w:rPr>
        <w:t>system</w:t>
      </w:r>
      <w:r>
        <w:rPr>
          <w:color w:val="231F20"/>
          <w:spacing w:val="-16"/>
        </w:rPr>
        <w:t> </w:t>
      </w:r>
      <w:r>
        <w:rPr>
          <w:color w:val="231F20"/>
        </w:rPr>
        <w:t>of</w:t>
      </w:r>
      <w:r>
        <w:rPr>
          <w:color w:val="231F20"/>
          <w:spacing w:val="-17"/>
        </w:rPr>
        <w:t> </w:t>
      </w:r>
      <w:r>
        <w:rPr>
          <w:color w:val="231F20"/>
        </w:rPr>
        <w:t>unilateral</w:t>
      </w:r>
      <w:r>
        <w:rPr>
          <w:color w:val="231F20"/>
          <w:spacing w:val="-16"/>
        </w:rPr>
        <w:t> </w:t>
      </w:r>
      <w:r>
        <w:rPr>
          <w:color w:val="231F20"/>
        </w:rPr>
        <w:t>coercive </w:t>
      </w:r>
      <w:r>
        <w:rPr>
          <w:color w:val="231F20"/>
          <w:spacing w:val="-2"/>
        </w:rPr>
        <w:t>measures</w:t>
      </w:r>
      <w:r>
        <w:rPr>
          <w:color w:val="231F20"/>
          <w:spacing w:val="-13"/>
        </w:rPr>
        <w:t> </w:t>
      </w:r>
      <w:r>
        <w:rPr>
          <w:color w:val="231F20"/>
          <w:spacing w:val="-2"/>
        </w:rPr>
        <w:t>ever</w:t>
      </w:r>
      <w:r>
        <w:rPr>
          <w:color w:val="231F20"/>
          <w:spacing w:val="-13"/>
        </w:rPr>
        <w:t> </w:t>
      </w:r>
      <w:r>
        <w:rPr>
          <w:color w:val="231F20"/>
          <w:spacing w:val="-2"/>
        </w:rPr>
        <w:t>imposed</w:t>
      </w:r>
      <w:r>
        <w:rPr>
          <w:color w:val="231F20"/>
          <w:spacing w:val="-13"/>
        </w:rPr>
        <w:t> </w:t>
      </w:r>
      <w:r>
        <w:rPr>
          <w:color w:val="231F20"/>
          <w:spacing w:val="-2"/>
        </w:rPr>
        <w:t>on</w:t>
      </w:r>
      <w:r>
        <w:rPr>
          <w:color w:val="231F20"/>
          <w:spacing w:val="-13"/>
        </w:rPr>
        <w:t> </w:t>
      </w:r>
      <w:r>
        <w:rPr>
          <w:color w:val="231F20"/>
          <w:spacing w:val="-2"/>
        </w:rPr>
        <w:t>any</w:t>
      </w:r>
      <w:r>
        <w:rPr>
          <w:color w:val="231F20"/>
          <w:spacing w:val="-13"/>
        </w:rPr>
        <w:t> </w:t>
      </w:r>
      <w:r>
        <w:rPr>
          <w:color w:val="231F20"/>
          <w:spacing w:val="-2"/>
        </w:rPr>
        <w:t>nation.</w:t>
      </w:r>
    </w:p>
    <w:p>
      <w:pPr>
        <w:pStyle w:val="BodyText"/>
        <w:spacing w:before="162"/>
        <w:ind w:left="1133"/>
      </w:pPr>
      <w:r>
        <w:rPr>
          <w:color w:val="231F20"/>
        </w:rPr>
        <w:t>In the words of Gen. Raúl Castro in his central</w:t>
      </w:r>
      <w:r>
        <w:rPr>
          <w:color w:val="231F20"/>
          <w:spacing w:val="-9"/>
        </w:rPr>
        <w:t> </w:t>
      </w:r>
      <w:r>
        <w:rPr>
          <w:color w:val="231F20"/>
        </w:rPr>
        <w:t>address</w:t>
      </w:r>
      <w:r>
        <w:rPr>
          <w:color w:val="231F20"/>
          <w:spacing w:val="-9"/>
        </w:rPr>
        <w:t> </w:t>
      </w:r>
      <w:r>
        <w:rPr>
          <w:color w:val="231F20"/>
        </w:rPr>
        <w:t>to</w:t>
      </w:r>
      <w:r>
        <w:rPr>
          <w:color w:val="231F20"/>
          <w:spacing w:val="-9"/>
        </w:rPr>
        <w:t> </w:t>
      </w:r>
      <w:r>
        <w:rPr>
          <w:color w:val="231F20"/>
        </w:rPr>
        <w:t>the</w:t>
      </w:r>
      <w:r>
        <w:rPr>
          <w:color w:val="231F20"/>
          <w:spacing w:val="-9"/>
        </w:rPr>
        <w:t> </w:t>
      </w:r>
      <w:r>
        <w:rPr>
          <w:color w:val="231F20"/>
        </w:rPr>
        <w:t>8th</w:t>
      </w:r>
      <w:r>
        <w:rPr>
          <w:color w:val="231F20"/>
          <w:spacing w:val="-9"/>
        </w:rPr>
        <w:t> </w:t>
      </w:r>
      <w:r>
        <w:rPr>
          <w:color w:val="231F20"/>
        </w:rPr>
        <w:t>Congress</w:t>
      </w:r>
      <w:r>
        <w:rPr>
          <w:color w:val="231F20"/>
          <w:spacing w:val="-9"/>
        </w:rPr>
        <w:t> </w:t>
      </w:r>
      <w:r>
        <w:rPr>
          <w:color w:val="231F20"/>
        </w:rPr>
        <w:t>of</w:t>
      </w:r>
      <w:r>
        <w:rPr>
          <w:color w:val="231F20"/>
          <w:spacing w:val="-9"/>
        </w:rPr>
        <w:t> </w:t>
      </w:r>
      <w:r>
        <w:rPr>
          <w:color w:val="231F20"/>
        </w:rPr>
        <w:t>the Cuban</w:t>
      </w:r>
      <w:r>
        <w:rPr>
          <w:color w:val="231F20"/>
          <w:spacing w:val="-17"/>
        </w:rPr>
        <w:t> </w:t>
      </w:r>
      <w:r>
        <w:rPr>
          <w:color w:val="231F20"/>
        </w:rPr>
        <w:t>Communist</w:t>
      </w:r>
      <w:r>
        <w:rPr>
          <w:color w:val="231F20"/>
          <w:spacing w:val="-16"/>
        </w:rPr>
        <w:t> </w:t>
      </w:r>
      <w:r>
        <w:rPr>
          <w:color w:val="231F20"/>
        </w:rPr>
        <w:t>Party</w:t>
      </w:r>
      <w:r>
        <w:rPr>
          <w:color w:val="231F20"/>
          <w:spacing w:val="-17"/>
        </w:rPr>
        <w:t> </w:t>
      </w:r>
      <w:r>
        <w:rPr>
          <w:color w:val="231F20"/>
        </w:rPr>
        <w:t>on</w:t>
      </w:r>
      <w:r>
        <w:rPr>
          <w:color w:val="231F20"/>
          <w:spacing w:val="-16"/>
        </w:rPr>
        <w:t> </w:t>
      </w:r>
      <w:r>
        <w:rPr>
          <w:color w:val="231F20"/>
        </w:rPr>
        <w:t>April</w:t>
      </w:r>
      <w:r>
        <w:rPr>
          <w:color w:val="231F20"/>
          <w:spacing w:val="-17"/>
        </w:rPr>
        <w:t> </w:t>
      </w:r>
      <w:r>
        <w:rPr>
          <w:color w:val="231F20"/>
        </w:rPr>
        <w:t>16,</w:t>
      </w:r>
      <w:r>
        <w:rPr>
          <w:color w:val="231F20"/>
          <w:spacing w:val="-16"/>
        </w:rPr>
        <w:t> </w:t>
      </w:r>
      <w:r>
        <w:rPr>
          <w:color w:val="231F20"/>
        </w:rPr>
        <w:t>2021: “The harm these measures cause to the quality of life of the population is neither accidental nor a side effect: it is the result of a deliberate intention to punish the Cuban people as a whole”.</w:t>
      </w:r>
    </w:p>
    <w:p>
      <w:pPr>
        <w:pStyle w:val="BodyText"/>
        <w:spacing w:before="166"/>
        <w:ind w:left="1133"/>
      </w:pPr>
      <w:r>
        <w:rPr>
          <w:color w:val="231F20"/>
        </w:rPr>
        <w:t>Between March 2022 and February 2023, Washington maintained its tactics aimed at obstructing the supply of fuel to Cuba, </w:t>
      </w:r>
      <w:r>
        <w:rPr>
          <w:color w:val="231F20"/>
          <w:spacing w:val="-2"/>
        </w:rPr>
        <w:t>kept</w:t>
      </w:r>
      <w:r>
        <w:rPr>
          <w:color w:val="231F20"/>
          <w:spacing w:val="-10"/>
        </w:rPr>
        <w:t> </w:t>
      </w:r>
      <w:r>
        <w:rPr>
          <w:color w:val="231F20"/>
          <w:spacing w:val="-2"/>
        </w:rPr>
        <w:t>up</w:t>
      </w:r>
      <w:r>
        <w:rPr>
          <w:color w:val="231F20"/>
          <w:spacing w:val="-10"/>
        </w:rPr>
        <w:t> </w:t>
      </w:r>
      <w:r>
        <w:rPr>
          <w:color w:val="231F20"/>
          <w:spacing w:val="-2"/>
        </w:rPr>
        <w:t>its</w:t>
      </w:r>
      <w:r>
        <w:rPr>
          <w:color w:val="231F20"/>
          <w:spacing w:val="-10"/>
        </w:rPr>
        <w:t> </w:t>
      </w:r>
      <w:r>
        <w:rPr>
          <w:color w:val="231F20"/>
          <w:spacing w:val="-2"/>
        </w:rPr>
        <w:t>campaign</w:t>
      </w:r>
      <w:r>
        <w:rPr>
          <w:color w:val="231F20"/>
          <w:spacing w:val="-10"/>
        </w:rPr>
        <w:t> </w:t>
      </w:r>
      <w:r>
        <w:rPr>
          <w:color w:val="231F20"/>
          <w:spacing w:val="-2"/>
        </w:rPr>
        <w:t>designed</w:t>
      </w:r>
      <w:r>
        <w:rPr>
          <w:color w:val="231F20"/>
          <w:spacing w:val="-10"/>
        </w:rPr>
        <w:t> </w:t>
      </w:r>
      <w:r>
        <w:rPr>
          <w:color w:val="231F20"/>
          <w:spacing w:val="-2"/>
        </w:rPr>
        <w:t>to</w:t>
      </w:r>
      <w:r>
        <w:rPr>
          <w:color w:val="231F20"/>
          <w:spacing w:val="-10"/>
        </w:rPr>
        <w:t> </w:t>
      </w:r>
      <w:r>
        <w:rPr>
          <w:color w:val="231F20"/>
          <w:spacing w:val="-2"/>
        </w:rPr>
        <w:t>discredit </w:t>
      </w:r>
      <w:r>
        <w:rPr>
          <w:color w:val="231F20"/>
        </w:rPr>
        <w:t>our medical cooperation programs in </w:t>
      </w:r>
      <w:r>
        <w:rPr>
          <w:color w:val="231F20"/>
          <w:spacing w:val="-6"/>
        </w:rPr>
        <w:t>numerous</w:t>
      </w:r>
      <w:r>
        <w:rPr>
          <w:color w:val="231F20"/>
          <w:spacing w:val="-11"/>
        </w:rPr>
        <w:t> </w:t>
      </w:r>
      <w:r>
        <w:rPr>
          <w:color w:val="231F20"/>
          <w:spacing w:val="-6"/>
        </w:rPr>
        <w:t>parts</w:t>
      </w:r>
      <w:r>
        <w:rPr>
          <w:color w:val="231F20"/>
          <w:spacing w:val="-10"/>
        </w:rPr>
        <w:t> </w:t>
      </w:r>
      <w:r>
        <w:rPr>
          <w:color w:val="231F20"/>
          <w:spacing w:val="-6"/>
        </w:rPr>
        <w:t>of</w:t>
      </w:r>
      <w:r>
        <w:rPr>
          <w:color w:val="231F20"/>
          <w:spacing w:val="-11"/>
        </w:rPr>
        <w:t> </w:t>
      </w:r>
      <w:r>
        <w:rPr>
          <w:color w:val="231F20"/>
          <w:spacing w:val="-6"/>
        </w:rPr>
        <w:t>the</w:t>
      </w:r>
      <w:r>
        <w:rPr>
          <w:color w:val="231F20"/>
          <w:spacing w:val="-10"/>
        </w:rPr>
        <w:t> </w:t>
      </w:r>
      <w:r>
        <w:rPr>
          <w:color w:val="231F20"/>
          <w:spacing w:val="-6"/>
        </w:rPr>
        <w:t>world</w:t>
      </w:r>
      <w:r>
        <w:rPr>
          <w:color w:val="231F20"/>
          <w:spacing w:val="-11"/>
        </w:rPr>
        <w:t> </w:t>
      </w:r>
      <w:r>
        <w:rPr>
          <w:color w:val="231F20"/>
          <w:spacing w:val="-6"/>
        </w:rPr>
        <w:t>and</w:t>
      </w:r>
      <w:r>
        <w:rPr>
          <w:color w:val="231F20"/>
          <w:spacing w:val="-10"/>
        </w:rPr>
        <w:t> </w:t>
      </w:r>
      <w:r>
        <w:rPr>
          <w:color w:val="231F20"/>
          <w:spacing w:val="-6"/>
        </w:rPr>
        <w:t>did</w:t>
      </w:r>
      <w:r>
        <w:rPr>
          <w:color w:val="231F20"/>
          <w:spacing w:val="-11"/>
        </w:rPr>
        <w:t> </w:t>
      </w:r>
      <w:r>
        <w:rPr>
          <w:color w:val="231F20"/>
          <w:spacing w:val="-6"/>
        </w:rPr>
        <w:t>its</w:t>
      </w:r>
      <w:r>
        <w:rPr>
          <w:color w:val="231F20"/>
          <w:spacing w:val="-10"/>
        </w:rPr>
        <w:t> </w:t>
      </w:r>
      <w:r>
        <w:rPr>
          <w:color w:val="231F20"/>
          <w:spacing w:val="-6"/>
        </w:rPr>
        <w:t>best </w:t>
      </w:r>
      <w:r>
        <w:rPr>
          <w:color w:val="231F20"/>
          <w:spacing w:val="-4"/>
        </w:rPr>
        <w:t>in</w:t>
      </w:r>
      <w:r>
        <w:rPr>
          <w:color w:val="231F20"/>
          <w:spacing w:val="-13"/>
        </w:rPr>
        <w:t> </w:t>
      </w:r>
      <w:r>
        <w:rPr>
          <w:color w:val="231F20"/>
          <w:spacing w:val="-4"/>
        </w:rPr>
        <w:t>every</w:t>
      </w:r>
      <w:r>
        <w:rPr>
          <w:color w:val="231F20"/>
          <w:spacing w:val="-12"/>
        </w:rPr>
        <w:t> </w:t>
      </w:r>
      <w:r>
        <w:rPr>
          <w:color w:val="231F20"/>
          <w:spacing w:val="-4"/>
        </w:rPr>
        <w:t>possible</w:t>
      </w:r>
      <w:r>
        <w:rPr>
          <w:color w:val="231F20"/>
          <w:spacing w:val="-13"/>
        </w:rPr>
        <w:t> </w:t>
      </w:r>
      <w:r>
        <w:rPr>
          <w:color w:val="231F20"/>
          <w:spacing w:val="-4"/>
        </w:rPr>
        <w:t>way</w:t>
      </w:r>
      <w:r>
        <w:rPr>
          <w:color w:val="231F20"/>
          <w:spacing w:val="-12"/>
        </w:rPr>
        <w:t> </w:t>
      </w:r>
      <w:r>
        <w:rPr>
          <w:color w:val="231F20"/>
          <w:spacing w:val="-4"/>
        </w:rPr>
        <w:t>to</w:t>
      </w:r>
      <w:r>
        <w:rPr>
          <w:color w:val="231F20"/>
          <w:spacing w:val="-13"/>
        </w:rPr>
        <w:t> </w:t>
      </w:r>
      <w:r>
        <w:rPr>
          <w:color w:val="231F20"/>
          <w:spacing w:val="-4"/>
        </w:rPr>
        <w:t>impede</w:t>
      </w:r>
      <w:r>
        <w:rPr>
          <w:color w:val="231F20"/>
          <w:spacing w:val="-12"/>
        </w:rPr>
        <w:t> </w:t>
      </w:r>
      <w:r>
        <w:rPr>
          <w:color w:val="231F20"/>
          <w:spacing w:val="-4"/>
        </w:rPr>
        <w:t>recovery</w:t>
      </w:r>
      <w:r>
        <w:rPr>
          <w:color w:val="231F20"/>
          <w:spacing w:val="-13"/>
        </w:rPr>
        <w:t> </w:t>
      </w:r>
      <w:r>
        <w:rPr>
          <w:color w:val="231F20"/>
          <w:spacing w:val="-4"/>
        </w:rPr>
        <w:t>of </w:t>
      </w:r>
      <w:r>
        <w:rPr>
          <w:color w:val="231F20"/>
          <w:spacing w:val="-2"/>
        </w:rPr>
        <w:t>our</w:t>
      </w:r>
      <w:r>
        <w:rPr>
          <w:color w:val="231F20"/>
          <w:spacing w:val="-15"/>
        </w:rPr>
        <w:t> </w:t>
      </w:r>
      <w:r>
        <w:rPr>
          <w:color w:val="231F20"/>
          <w:spacing w:val="-2"/>
        </w:rPr>
        <w:t>tourism</w:t>
      </w:r>
      <w:r>
        <w:rPr>
          <w:color w:val="231F20"/>
          <w:spacing w:val="-14"/>
        </w:rPr>
        <w:t> </w:t>
      </w:r>
      <w:r>
        <w:rPr>
          <w:color w:val="231F20"/>
          <w:spacing w:val="-2"/>
        </w:rPr>
        <w:t>sector,</w:t>
      </w:r>
      <w:r>
        <w:rPr>
          <w:color w:val="231F20"/>
          <w:spacing w:val="-15"/>
        </w:rPr>
        <w:t> </w:t>
      </w:r>
      <w:r>
        <w:rPr>
          <w:color w:val="231F20"/>
          <w:spacing w:val="-2"/>
        </w:rPr>
        <w:t>severely</w:t>
      </w:r>
      <w:r>
        <w:rPr>
          <w:color w:val="231F20"/>
          <w:spacing w:val="-14"/>
        </w:rPr>
        <w:t> </w:t>
      </w:r>
      <w:r>
        <w:rPr>
          <w:color w:val="231F20"/>
          <w:spacing w:val="-2"/>
        </w:rPr>
        <w:t>affected</w:t>
      </w:r>
      <w:r>
        <w:rPr>
          <w:color w:val="231F20"/>
          <w:spacing w:val="-15"/>
        </w:rPr>
        <w:t> </w:t>
      </w:r>
      <w:r>
        <w:rPr>
          <w:color w:val="231F20"/>
          <w:spacing w:val="-2"/>
        </w:rPr>
        <w:t>by</w:t>
      </w:r>
      <w:r>
        <w:rPr>
          <w:color w:val="231F20"/>
          <w:spacing w:val="-14"/>
        </w:rPr>
        <w:t> </w:t>
      </w:r>
      <w:r>
        <w:rPr>
          <w:color w:val="231F20"/>
          <w:spacing w:val="-2"/>
        </w:rPr>
        <w:t>the </w:t>
      </w:r>
      <w:r>
        <w:rPr>
          <w:color w:val="231F20"/>
        </w:rPr>
        <w:t>COVID-19 pandemic. These measures are designed to deal a mortal blow to Cuba’s primary sources of revenue.</w:t>
      </w:r>
    </w:p>
    <w:p>
      <w:pPr>
        <w:pStyle w:val="BodyText"/>
        <w:spacing w:before="169"/>
        <w:ind w:left="1133" w:right="1"/>
      </w:pPr>
      <w:r>
        <w:rPr>
          <w:color w:val="231F20"/>
        </w:rPr>
        <w:t>Dealing with the lingering effects of COVID-19 in conditions of an all-out economic war has put extra pressure on </w:t>
      </w:r>
      <w:r>
        <w:rPr>
          <w:color w:val="231F20"/>
          <w:spacing w:val="-2"/>
        </w:rPr>
        <w:t>our</w:t>
      </w:r>
      <w:r>
        <w:rPr>
          <w:color w:val="231F20"/>
          <w:spacing w:val="-15"/>
        </w:rPr>
        <w:t> </w:t>
      </w:r>
      <w:r>
        <w:rPr>
          <w:color w:val="231F20"/>
          <w:spacing w:val="-2"/>
        </w:rPr>
        <w:t>health</w:t>
      </w:r>
      <w:r>
        <w:rPr>
          <w:color w:val="231F20"/>
          <w:spacing w:val="-14"/>
        </w:rPr>
        <w:t> </w:t>
      </w:r>
      <w:r>
        <w:rPr>
          <w:color w:val="231F20"/>
          <w:spacing w:val="-2"/>
        </w:rPr>
        <w:t>system</w:t>
      </w:r>
      <w:r>
        <w:rPr>
          <w:color w:val="231F20"/>
          <w:spacing w:val="-15"/>
        </w:rPr>
        <w:t> </w:t>
      </w:r>
      <w:r>
        <w:rPr>
          <w:color w:val="231F20"/>
          <w:spacing w:val="-2"/>
        </w:rPr>
        <w:t>and</w:t>
      </w:r>
      <w:r>
        <w:rPr>
          <w:color w:val="231F20"/>
          <w:spacing w:val="-14"/>
        </w:rPr>
        <w:t> </w:t>
      </w:r>
      <w:r>
        <w:rPr>
          <w:color w:val="231F20"/>
          <w:spacing w:val="-2"/>
        </w:rPr>
        <w:t>the</w:t>
      </w:r>
      <w:r>
        <w:rPr>
          <w:color w:val="231F20"/>
          <w:spacing w:val="-15"/>
        </w:rPr>
        <w:t> </w:t>
      </w:r>
      <w:r>
        <w:rPr>
          <w:color w:val="231F20"/>
          <w:spacing w:val="-2"/>
        </w:rPr>
        <w:t>short-,</w:t>
      </w:r>
      <w:r>
        <w:rPr>
          <w:color w:val="231F20"/>
          <w:spacing w:val="-14"/>
        </w:rPr>
        <w:t> </w:t>
      </w:r>
      <w:r>
        <w:rPr>
          <w:color w:val="231F20"/>
          <w:spacing w:val="-2"/>
        </w:rPr>
        <w:t>medium- </w:t>
      </w:r>
      <w:r>
        <w:rPr>
          <w:color w:val="231F20"/>
        </w:rPr>
        <w:t>and long-term plans of an economy under siege. The U.S. government seized on the pandemic as an ally in tightening its grip and hastening the collapse of the Cuban economy. To an unprecedented </w:t>
      </w:r>
      <w:r>
        <w:rPr>
          <w:color w:val="231F20"/>
          <w:spacing w:val="-4"/>
        </w:rPr>
        <w:t>degree,</w:t>
      </w:r>
      <w:r>
        <w:rPr>
          <w:color w:val="231F20"/>
          <w:spacing w:val="-6"/>
        </w:rPr>
        <w:t> </w:t>
      </w:r>
      <w:r>
        <w:rPr>
          <w:color w:val="231F20"/>
          <w:spacing w:val="-4"/>
        </w:rPr>
        <w:t>this</w:t>
      </w:r>
      <w:r>
        <w:rPr>
          <w:color w:val="231F20"/>
          <w:spacing w:val="-6"/>
        </w:rPr>
        <w:t> </w:t>
      </w:r>
      <w:r>
        <w:rPr>
          <w:color w:val="231F20"/>
          <w:spacing w:val="-4"/>
        </w:rPr>
        <w:t>policy</w:t>
      </w:r>
      <w:r>
        <w:rPr>
          <w:color w:val="231F20"/>
          <w:spacing w:val="-6"/>
        </w:rPr>
        <w:t> </w:t>
      </w:r>
      <w:r>
        <w:rPr>
          <w:color w:val="231F20"/>
          <w:spacing w:val="-4"/>
        </w:rPr>
        <w:t>is</w:t>
      </w:r>
      <w:r>
        <w:rPr>
          <w:color w:val="231F20"/>
          <w:spacing w:val="-6"/>
        </w:rPr>
        <w:t> </w:t>
      </w:r>
      <w:r>
        <w:rPr>
          <w:color w:val="231F20"/>
          <w:spacing w:val="-4"/>
        </w:rPr>
        <w:t>seriously</w:t>
      </w:r>
      <w:r>
        <w:rPr>
          <w:color w:val="231F20"/>
          <w:spacing w:val="-6"/>
        </w:rPr>
        <w:t> </w:t>
      </w:r>
      <w:r>
        <w:rPr>
          <w:color w:val="231F20"/>
          <w:spacing w:val="-4"/>
        </w:rPr>
        <w:t>undermining </w:t>
      </w:r>
      <w:r>
        <w:rPr>
          <w:color w:val="231F20"/>
          <w:spacing w:val="-2"/>
        </w:rPr>
        <w:t>national</w:t>
      </w:r>
      <w:r>
        <w:rPr>
          <w:color w:val="231F20"/>
          <w:spacing w:val="-9"/>
        </w:rPr>
        <w:t> </w:t>
      </w:r>
      <w:r>
        <w:rPr>
          <w:color w:val="231F20"/>
          <w:spacing w:val="-2"/>
        </w:rPr>
        <w:t>efforts</w:t>
      </w:r>
      <w:r>
        <w:rPr>
          <w:color w:val="231F20"/>
          <w:spacing w:val="-9"/>
        </w:rPr>
        <w:t> </w:t>
      </w:r>
      <w:r>
        <w:rPr>
          <w:color w:val="231F20"/>
          <w:spacing w:val="-2"/>
        </w:rPr>
        <w:t>to</w:t>
      </w:r>
      <w:r>
        <w:rPr>
          <w:color w:val="231F20"/>
          <w:spacing w:val="-9"/>
        </w:rPr>
        <w:t> </w:t>
      </w:r>
      <w:r>
        <w:rPr>
          <w:color w:val="231F20"/>
          <w:spacing w:val="-2"/>
        </w:rPr>
        <w:t>mitigate</w:t>
      </w:r>
      <w:r>
        <w:rPr>
          <w:color w:val="231F20"/>
          <w:spacing w:val="-9"/>
        </w:rPr>
        <w:t> </w:t>
      </w:r>
      <w:r>
        <w:rPr>
          <w:color w:val="231F20"/>
          <w:spacing w:val="-2"/>
        </w:rPr>
        <w:t>the</w:t>
      </w:r>
      <w:r>
        <w:rPr>
          <w:color w:val="231F20"/>
          <w:spacing w:val="-9"/>
        </w:rPr>
        <w:t> </w:t>
      </w:r>
      <w:r>
        <w:rPr>
          <w:color w:val="231F20"/>
          <w:spacing w:val="-2"/>
        </w:rPr>
        <w:t>pandemic’s </w:t>
      </w:r>
      <w:r>
        <w:rPr>
          <w:color w:val="231F20"/>
          <w:spacing w:val="-4"/>
        </w:rPr>
        <w:t>economic,</w:t>
      </w:r>
      <w:r>
        <w:rPr>
          <w:color w:val="231F20"/>
          <w:spacing w:val="-17"/>
        </w:rPr>
        <w:t> </w:t>
      </w:r>
      <w:r>
        <w:rPr>
          <w:color w:val="231F20"/>
          <w:spacing w:val="-4"/>
        </w:rPr>
        <w:t>social</w:t>
      </w:r>
      <w:r>
        <w:rPr>
          <w:color w:val="231F20"/>
          <w:spacing w:val="-16"/>
        </w:rPr>
        <w:t> </w:t>
      </w:r>
      <w:r>
        <w:rPr>
          <w:color w:val="231F20"/>
          <w:spacing w:val="-4"/>
        </w:rPr>
        <w:t>and</w:t>
      </w:r>
      <w:r>
        <w:rPr>
          <w:color w:val="231F20"/>
          <w:spacing w:val="-17"/>
        </w:rPr>
        <w:t> </w:t>
      </w:r>
      <w:r>
        <w:rPr>
          <w:color w:val="231F20"/>
          <w:spacing w:val="-4"/>
        </w:rPr>
        <w:t>humanitarian</w:t>
      </w:r>
      <w:r>
        <w:rPr>
          <w:color w:val="231F20"/>
          <w:spacing w:val="-16"/>
        </w:rPr>
        <w:t> </w:t>
      </w:r>
      <w:r>
        <w:rPr>
          <w:color w:val="231F20"/>
          <w:spacing w:val="-4"/>
        </w:rPr>
        <w:t>impacts.</w:t>
      </w:r>
    </w:p>
    <w:p>
      <w:pPr>
        <w:pStyle w:val="BodyText"/>
        <w:spacing w:before="100"/>
        <w:ind w:left="412" w:right="1471"/>
      </w:pPr>
      <w:r>
        <w:rPr/>
        <w:br w:type="column"/>
      </w:r>
      <w:r>
        <w:rPr>
          <w:color w:val="231F20"/>
        </w:rPr>
        <w:t>Moreover, Washington has </w:t>
      </w:r>
      <w:r>
        <w:rPr>
          <w:color w:val="231F20"/>
        </w:rPr>
        <w:t>determinedly set about intimidating investors and foreign commercial organizations by the application</w:t>
      </w:r>
      <w:r>
        <w:rPr>
          <w:color w:val="231F20"/>
          <w:spacing w:val="-11"/>
        </w:rPr>
        <w:t> </w:t>
      </w:r>
      <w:r>
        <w:rPr>
          <w:color w:val="231F20"/>
        </w:rPr>
        <w:t>of</w:t>
      </w:r>
      <w:r>
        <w:rPr>
          <w:color w:val="231F20"/>
          <w:spacing w:val="-11"/>
        </w:rPr>
        <w:t> </w:t>
      </w:r>
      <w:r>
        <w:rPr>
          <w:color w:val="231F20"/>
        </w:rPr>
        <w:t>Title</w:t>
      </w:r>
      <w:r>
        <w:rPr>
          <w:color w:val="231F20"/>
          <w:spacing w:val="-11"/>
        </w:rPr>
        <w:t> </w:t>
      </w:r>
      <w:r>
        <w:rPr>
          <w:color w:val="231F20"/>
        </w:rPr>
        <w:t>III</w:t>
      </w:r>
      <w:r>
        <w:rPr>
          <w:color w:val="231F20"/>
          <w:spacing w:val="-11"/>
        </w:rPr>
        <w:t> </w:t>
      </w:r>
      <w:r>
        <w:rPr>
          <w:color w:val="231F20"/>
        </w:rPr>
        <w:t>of</w:t>
      </w:r>
      <w:r>
        <w:rPr>
          <w:color w:val="231F20"/>
          <w:spacing w:val="-11"/>
        </w:rPr>
        <w:t> </w:t>
      </w:r>
      <w:r>
        <w:rPr>
          <w:color w:val="231F20"/>
        </w:rPr>
        <w:t>the</w:t>
      </w:r>
      <w:r>
        <w:rPr>
          <w:color w:val="231F20"/>
          <w:spacing w:val="-11"/>
        </w:rPr>
        <w:t> </w:t>
      </w:r>
      <w:r>
        <w:rPr>
          <w:color w:val="231F20"/>
        </w:rPr>
        <w:t>Helms-Burton Act.</w:t>
      </w:r>
      <w:r>
        <w:rPr>
          <w:color w:val="231F20"/>
          <w:spacing w:val="-17"/>
        </w:rPr>
        <w:t> </w:t>
      </w:r>
      <w:r>
        <w:rPr>
          <w:color w:val="231F20"/>
        </w:rPr>
        <w:t>It</w:t>
      </w:r>
      <w:r>
        <w:rPr>
          <w:color w:val="231F20"/>
          <w:spacing w:val="-16"/>
        </w:rPr>
        <w:t> </w:t>
      </w:r>
      <w:r>
        <w:rPr>
          <w:color w:val="231F20"/>
        </w:rPr>
        <w:t>has</w:t>
      </w:r>
      <w:r>
        <w:rPr>
          <w:color w:val="231F20"/>
          <w:spacing w:val="-17"/>
        </w:rPr>
        <w:t> </w:t>
      </w:r>
      <w:r>
        <w:rPr>
          <w:color w:val="231F20"/>
        </w:rPr>
        <w:t>also</w:t>
      </w:r>
      <w:r>
        <w:rPr>
          <w:color w:val="231F20"/>
          <w:spacing w:val="-16"/>
        </w:rPr>
        <w:t> </w:t>
      </w:r>
      <w:r>
        <w:rPr>
          <w:color w:val="231F20"/>
        </w:rPr>
        <w:t>compromised</w:t>
      </w:r>
      <w:r>
        <w:rPr>
          <w:color w:val="231F20"/>
          <w:spacing w:val="-17"/>
        </w:rPr>
        <w:t> </w:t>
      </w:r>
      <w:r>
        <w:rPr>
          <w:color w:val="231F20"/>
        </w:rPr>
        <w:t>our</w:t>
      </w:r>
      <w:r>
        <w:rPr>
          <w:color w:val="231F20"/>
          <w:spacing w:val="-16"/>
        </w:rPr>
        <w:t> </w:t>
      </w:r>
      <w:r>
        <w:rPr>
          <w:color w:val="231F20"/>
        </w:rPr>
        <w:t>country’s private sector and has disrupted the links with</w:t>
      </w:r>
      <w:r>
        <w:rPr>
          <w:color w:val="231F20"/>
          <w:spacing w:val="-5"/>
        </w:rPr>
        <w:t> </w:t>
      </w:r>
      <w:r>
        <w:rPr>
          <w:color w:val="231F20"/>
        </w:rPr>
        <w:t>Cubans</w:t>
      </w:r>
      <w:r>
        <w:rPr>
          <w:color w:val="231F20"/>
          <w:spacing w:val="-5"/>
        </w:rPr>
        <w:t> </w:t>
      </w:r>
      <w:r>
        <w:rPr>
          <w:color w:val="231F20"/>
        </w:rPr>
        <w:t>resident</w:t>
      </w:r>
      <w:r>
        <w:rPr>
          <w:color w:val="231F20"/>
          <w:spacing w:val="-5"/>
        </w:rPr>
        <w:t> </w:t>
      </w:r>
      <w:r>
        <w:rPr>
          <w:color w:val="231F20"/>
        </w:rPr>
        <w:t>in</w:t>
      </w:r>
      <w:r>
        <w:rPr>
          <w:color w:val="231F20"/>
          <w:spacing w:val="-5"/>
        </w:rPr>
        <w:t> </w:t>
      </w:r>
      <w:r>
        <w:rPr>
          <w:color w:val="231F20"/>
        </w:rPr>
        <w:t>the</w:t>
      </w:r>
      <w:r>
        <w:rPr>
          <w:color w:val="231F20"/>
          <w:spacing w:val="-5"/>
        </w:rPr>
        <w:t> </w:t>
      </w:r>
      <w:r>
        <w:rPr>
          <w:color w:val="231F20"/>
        </w:rPr>
        <w:t>United</w:t>
      </w:r>
      <w:r>
        <w:rPr>
          <w:color w:val="231F20"/>
          <w:spacing w:val="-5"/>
        </w:rPr>
        <w:t> </w:t>
      </w:r>
      <w:r>
        <w:rPr>
          <w:color w:val="231F20"/>
        </w:rPr>
        <w:t>States. While</w:t>
      </w:r>
      <w:r>
        <w:rPr>
          <w:color w:val="231F20"/>
          <w:spacing w:val="-17"/>
        </w:rPr>
        <w:t> </w:t>
      </w:r>
      <w:r>
        <w:rPr>
          <w:color w:val="231F20"/>
        </w:rPr>
        <w:t>it</w:t>
      </w:r>
      <w:r>
        <w:rPr>
          <w:color w:val="231F20"/>
          <w:spacing w:val="-16"/>
        </w:rPr>
        <w:t> </w:t>
      </w:r>
      <w:r>
        <w:rPr>
          <w:color w:val="231F20"/>
        </w:rPr>
        <w:t>has</w:t>
      </w:r>
      <w:r>
        <w:rPr>
          <w:color w:val="231F20"/>
          <w:spacing w:val="-17"/>
        </w:rPr>
        <w:t> </w:t>
      </w:r>
      <w:r>
        <w:rPr>
          <w:color w:val="231F20"/>
        </w:rPr>
        <w:t>taken</w:t>
      </w:r>
      <w:r>
        <w:rPr>
          <w:color w:val="231F20"/>
          <w:spacing w:val="-16"/>
        </w:rPr>
        <w:t> </w:t>
      </w:r>
      <w:r>
        <w:rPr>
          <w:color w:val="231F20"/>
        </w:rPr>
        <w:t>some</w:t>
      </w:r>
      <w:r>
        <w:rPr>
          <w:color w:val="231F20"/>
          <w:spacing w:val="-17"/>
        </w:rPr>
        <w:t> </w:t>
      </w:r>
      <w:r>
        <w:rPr>
          <w:color w:val="231F20"/>
        </w:rPr>
        <w:t>very</w:t>
      </w:r>
      <w:r>
        <w:rPr>
          <w:color w:val="231F20"/>
          <w:spacing w:val="-16"/>
        </w:rPr>
        <w:t> </w:t>
      </w:r>
      <w:r>
        <w:rPr>
          <w:color w:val="231F20"/>
        </w:rPr>
        <w:t>modest</w:t>
      </w:r>
      <w:r>
        <w:rPr>
          <w:color w:val="231F20"/>
          <w:spacing w:val="-17"/>
        </w:rPr>
        <w:t> </w:t>
      </w:r>
      <w:r>
        <w:rPr>
          <w:color w:val="231F20"/>
        </w:rPr>
        <w:t>steps to ease the restrictions on visas, regular </w:t>
      </w:r>
      <w:r>
        <w:rPr>
          <w:color w:val="231F20"/>
          <w:spacing w:val="-2"/>
        </w:rPr>
        <w:t>migration,</w:t>
      </w:r>
      <w:r>
        <w:rPr>
          <w:color w:val="231F20"/>
          <w:spacing w:val="-10"/>
        </w:rPr>
        <w:t> </w:t>
      </w:r>
      <w:r>
        <w:rPr>
          <w:color w:val="231F20"/>
          <w:spacing w:val="-2"/>
        </w:rPr>
        <w:t>flights</w:t>
      </w:r>
      <w:r>
        <w:rPr>
          <w:color w:val="231F20"/>
          <w:spacing w:val="-10"/>
        </w:rPr>
        <w:t> </w:t>
      </w:r>
      <w:r>
        <w:rPr>
          <w:color w:val="231F20"/>
          <w:spacing w:val="-2"/>
        </w:rPr>
        <w:t>to</w:t>
      </w:r>
      <w:r>
        <w:rPr>
          <w:color w:val="231F20"/>
          <w:spacing w:val="-10"/>
        </w:rPr>
        <w:t> </w:t>
      </w:r>
      <w:r>
        <w:rPr>
          <w:color w:val="231F20"/>
          <w:spacing w:val="-2"/>
        </w:rPr>
        <w:t>Cuba</w:t>
      </w:r>
      <w:r>
        <w:rPr>
          <w:color w:val="231F20"/>
          <w:spacing w:val="-10"/>
        </w:rPr>
        <w:t> </w:t>
      </w:r>
      <w:r>
        <w:rPr>
          <w:color w:val="231F20"/>
          <w:spacing w:val="-2"/>
        </w:rPr>
        <w:t>and</w:t>
      </w:r>
      <w:r>
        <w:rPr>
          <w:color w:val="231F20"/>
          <w:spacing w:val="-10"/>
        </w:rPr>
        <w:t> </w:t>
      </w:r>
      <w:r>
        <w:rPr>
          <w:color w:val="231F20"/>
          <w:spacing w:val="-2"/>
        </w:rPr>
        <w:t>remittances, </w:t>
      </w:r>
      <w:r>
        <w:rPr>
          <w:color w:val="231F20"/>
        </w:rPr>
        <w:t>the blockade’s most draconian features are still in full force together with the measures of maximum pressure imposed since 2017.</w:t>
      </w:r>
    </w:p>
    <w:p>
      <w:pPr>
        <w:pStyle w:val="BodyText"/>
        <w:spacing w:before="171"/>
        <w:ind w:left="412" w:right="1471"/>
      </w:pPr>
      <w:r>
        <w:rPr>
          <w:color w:val="231F20"/>
          <w:spacing w:val="-4"/>
        </w:rPr>
        <w:t>The</w:t>
      </w:r>
      <w:r>
        <w:rPr>
          <w:color w:val="231F20"/>
          <w:spacing w:val="-8"/>
        </w:rPr>
        <w:t> </w:t>
      </w:r>
      <w:r>
        <w:rPr>
          <w:color w:val="231F20"/>
          <w:spacing w:val="-4"/>
        </w:rPr>
        <w:t>financial</w:t>
      </w:r>
      <w:r>
        <w:rPr>
          <w:color w:val="231F20"/>
          <w:spacing w:val="-8"/>
        </w:rPr>
        <w:t> </w:t>
      </w:r>
      <w:r>
        <w:rPr>
          <w:color w:val="231F20"/>
          <w:spacing w:val="-4"/>
        </w:rPr>
        <w:t>persecution</w:t>
      </w:r>
      <w:r>
        <w:rPr>
          <w:color w:val="231F20"/>
          <w:spacing w:val="-8"/>
        </w:rPr>
        <w:t> </w:t>
      </w:r>
      <w:r>
        <w:rPr>
          <w:color w:val="231F20"/>
          <w:spacing w:val="-4"/>
        </w:rPr>
        <w:t>has</w:t>
      </w:r>
      <w:r>
        <w:rPr>
          <w:color w:val="231F20"/>
          <w:spacing w:val="-8"/>
        </w:rPr>
        <w:t> </w:t>
      </w:r>
      <w:r>
        <w:rPr>
          <w:color w:val="231F20"/>
          <w:spacing w:val="-4"/>
        </w:rPr>
        <w:t>been</w:t>
      </w:r>
      <w:r>
        <w:rPr>
          <w:color w:val="231F20"/>
          <w:spacing w:val="-8"/>
        </w:rPr>
        <w:t> </w:t>
      </w:r>
      <w:r>
        <w:rPr>
          <w:color w:val="231F20"/>
          <w:spacing w:val="-4"/>
        </w:rPr>
        <w:t>stepped </w:t>
      </w:r>
      <w:r>
        <w:rPr>
          <w:color w:val="231F20"/>
        </w:rPr>
        <w:t>up</w:t>
      </w:r>
      <w:r>
        <w:rPr>
          <w:color w:val="231F20"/>
          <w:spacing w:val="-17"/>
        </w:rPr>
        <w:t> </w:t>
      </w:r>
      <w:r>
        <w:rPr>
          <w:color w:val="231F20"/>
        </w:rPr>
        <w:t>even</w:t>
      </w:r>
      <w:r>
        <w:rPr>
          <w:color w:val="231F20"/>
          <w:spacing w:val="-16"/>
        </w:rPr>
        <w:t> </w:t>
      </w:r>
      <w:r>
        <w:rPr>
          <w:color w:val="231F20"/>
        </w:rPr>
        <w:t>further</w:t>
      </w:r>
      <w:r>
        <w:rPr>
          <w:color w:val="231F20"/>
          <w:spacing w:val="-17"/>
        </w:rPr>
        <w:t> </w:t>
      </w:r>
      <w:r>
        <w:rPr>
          <w:color w:val="231F20"/>
        </w:rPr>
        <w:t>with</w:t>
      </w:r>
      <w:r>
        <w:rPr>
          <w:color w:val="231F20"/>
          <w:spacing w:val="-16"/>
        </w:rPr>
        <w:t> </w:t>
      </w:r>
      <w:r>
        <w:rPr>
          <w:color w:val="231F20"/>
        </w:rPr>
        <w:t>the</w:t>
      </w:r>
      <w:r>
        <w:rPr>
          <w:color w:val="231F20"/>
          <w:spacing w:val="-17"/>
        </w:rPr>
        <w:t> </w:t>
      </w:r>
      <w:r>
        <w:rPr>
          <w:color w:val="231F20"/>
        </w:rPr>
        <w:t>arbitrary</w:t>
      </w:r>
      <w:r>
        <w:rPr>
          <w:color w:val="231F20"/>
          <w:spacing w:val="-16"/>
        </w:rPr>
        <w:t> </w:t>
      </w:r>
      <w:r>
        <w:rPr>
          <w:color w:val="231F20"/>
        </w:rPr>
        <w:t>inclusion of Cuba on the State Department’s unilateral list of states alleged to be sponsors</w:t>
      </w:r>
      <w:r>
        <w:rPr>
          <w:color w:val="231F20"/>
          <w:spacing w:val="-5"/>
        </w:rPr>
        <w:t> </w:t>
      </w:r>
      <w:r>
        <w:rPr>
          <w:color w:val="231F20"/>
        </w:rPr>
        <w:t>of</w:t>
      </w:r>
      <w:r>
        <w:rPr>
          <w:color w:val="231F20"/>
          <w:spacing w:val="-5"/>
        </w:rPr>
        <w:t> </w:t>
      </w:r>
      <w:r>
        <w:rPr>
          <w:color w:val="231F20"/>
        </w:rPr>
        <w:t>terrorism.</w:t>
      </w:r>
      <w:r>
        <w:rPr>
          <w:color w:val="231F20"/>
          <w:spacing w:val="-5"/>
        </w:rPr>
        <w:t> </w:t>
      </w:r>
      <w:r>
        <w:rPr>
          <w:color w:val="231F20"/>
        </w:rPr>
        <w:t>This</w:t>
      </w:r>
      <w:r>
        <w:rPr>
          <w:color w:val="231F20"/>
          <w:spacing w:val="-5"/>
        </w:rPr>
        <w:t> </w:t>
      </w:r>
      <w:r>
        <w:rPr>
          <w:color w:val="231F20"/>
        </w:rPr>
        <w:t>was</w:t>
      </w:r>
      <w:r>
        <w:rPr>
          <w:color w:val="231F20"/>
          <w:spacing w:val="-5"/>
        </w:rPr>
        <w:t> </w:t>
      </w:r>
      <w:r>
        <w:rPr>
          <w:color w:val="231F20"/>
        </w:rPr>
        <w:t>a</w:t>
      </w:r>
      <w:r>
        <w:rPr>
          <w:color w:val="231F20"/>
          <w:spacing w:val="-5"/>
        </w:rPr>
        <w:t> </w:t>
      </w:r>
      <w:r>
        <w:rPr>
          <w:color w:val="231F20"/>
        </w:rPr>
        <w:t>measure imposed</w:t>
      </w:r>
      <w:r>
        <w:rPr>
          <w:color w:val="231F20"/>
          <w:spacing w:val="-17"/>
        </w:rPr>
        <w:t> </w:t>
      </w:r>
      <w:r>
        <w:rPr>
          <w:color w:val="231F20"/>
        </w:rPr>
        <w:t>by</w:t>
      </w:r>
      <w:r>
        <w:rPr>
          <w:color w:val="231F20"/>
          <w:spacing w:val="-16"/>
        </w:rPr>
        <w:t> </w:t>
      </w:r>
      <w:r>
        <w:rPr>
          <w:color w:val="231F20"/>
        </w:rPr>
        <w:t>the</w:t>
      </w:r>
      <w:r>
        <w:rPr>
          <w:color w:val="231F20"/>
          <w:spacing w:val="-17"/>
        </w:rPr>
        <w:t> </w:t>
      </w:r>
      <w:r>
        <w:rPr>
          <w:color w:val="231F20"/>
        </w:rPr>
        <w:t>Republican</w:t>
      </w:r>
      <w:r>
        <w:rPr>
          <w:color w:val="231F20"/>
          <w:spacing w:val="-16"/>
        </w:rPr>
        <w:t> </w:t>
      </w:r>
      <w:r>
        <w:rPr>
          <w:color w:val="231F20"/>
        </w:rPr>
        <w:t>administration of Donald Trump, just nine days before</w:t>
      </w:r>
      <w:r>
        <w:rPr>
          <w:color w:val="231F20"/>
          <w:spacing w:val="40"/>
        </w:rPr>
        <w:t> </w:t>
      </w:r>
      <w:r>
        <w:rPr>
          <w:color w:val="231F20"/>
        </w:rPr>
        <w:t>he left the White House. His successor could have reversed this act with a single signature. But the political will to undo one</w:t>
      </w:r>
      <w:r>
        <w:rPr>
          <w:color w:val="231F20"/>
          <w:spacing w:val="-7"/>
        </w:rPr>
        <w:t> </w:t>
      </w:r>
      <w:r>
        <w:rPr>
          <w:color w:val="231F20"/>
        </w:rPr>
        <w:t>of</w:t>
      </w:r>
      <w:r>
        <w:rPr>
          <w:color w:val="231F20"/>
          <w:spacing w:val="-7"/>
        </w:rPr>
        <w:t> </w:t>
      </w:r>
      <w:r>
        <w:rPr>
          <w:color w:val="231F20"/>
        </w:rPr>
        <w:t>the</w:t>
      </w:r>
      <w:r>
        <w:rPr>
          <w:color w:val="231F20"/>
          <w:spacing w:val="-7"/>
        </w:rPr>
        <w:t> </w:t>
      </w:r>
      <w:r>
        <w:rPr>
          <w:color w:val="231F20"/>
        </w:rPr>
        <w:t>most</w:t>
      </w:r>
      <w:r>
        <w:rPr>
          <w:color w:val="231F20"/>
          <w:spacing w:val="-7"/>
        </w:rPr>
        <w:t> </w:t>
      </w:r>
      <w:r>
        <w:rPr>
          <w:color w:val="231F20"/>
        </w:rPr>
        <w:t>damaging</w:t>
      </w:r>
      <w:r>
        <w:rPr>
          <w:color w:val="231F20"/>
          <w:spacing w:val="-7"/>
        </w:rPr>
        <w:t> </w:t>
      </w:r>
      <w:r>
        <w:rPr>
          <w:color w:val="231F20"/>
        </w:rPr>
        <w:t>measures,</w:t>
      </w:r>
      <w:r>
        <w:rPr>
          <w:color w:val="231F20"/>
          <w:spacing w:val="-7"/>
        </w:rPr>
        <w:t> </w:t>
      </w:r>
      <w:r>
        <w:rPr>
          <w:color w:val="231F20"/>
        </w:rPr>
        <w:t>that impinges on every sector of the national economy, has been lacking, despite the knowledge that the reasons propounded for its existence are bogus and dishonest.</w:t>
      </w:r>
    </w:p>
    <w:p>
      <w:pPr>
        <w:pStyle w:val="BodyText"/>
        <w:spacing w:before="171"/>
        <w:ind w:left="412" w:right="1475"/>
      </w:pPr>
      <w:r>
        <w:rPr>
          <w:color w:val="231F20"/>
        </w:rPr>
        <w:t>This policy also rides roughshod over international law and the standards of international trade, in that it introduces measures</w:t>
      </w:r>
      <w:r>
        <w:rPr>
          <w:color w:val="231F20"/>
          <w:spacing w:val="-6"/>
        </w:rPr>
        <w:t> </w:t>
      </w:r>
      <w:r>
        <w:rPr>
          <w:color w:val="231F20"/>
        </w:rPr>
        <w:t>for</w:t>
      </w:r>
      <w:r>
        <w:rPr>
          <w:color w:val="231F20"/>
          <w:spacing w:val="-6"/>
        </w:rPr>
        <w:t> </w:t>
      </w:r>
      <w:r>
        <w:rPr>
          <w:color w:val="231F20"/>
        </w:rPr>
        <w:t>applying</w:t>
      </w:r>
      <w:r>
        <w:rPr>
          <w:color w:val="231F20"/>
          <w:spacing w:val="-6"/>
        </w:rPr>
        <w:t> </w:t>
      </w:r>
      <w:r>
        <w:rPr>
          <w:color w:val="231F20"/>
        </w:rPr>
        <w:t>economic</w:t>
      </w:r>
      <w:r>
        <w:rPr>
          <w:color w:val="231F20"/>
          <w:spacing w:val="-6"/>
        </w:rPr>
        <w:t> </w:t>
      </w:r>
      <w:r>
        <w:rPr>
          <w:color w:val="231F20"/>
        </w:rPr>
        <w:t>pressure </w:t>
      </w:r>
      <w:r>
        <w:rPr>
          <w:color w:val="231F20"/>
          <w:spacing w:val="-2"/>
        </w:rPr>
        <w:t>which</w:t>
      </w:r>
      <w:r>
        <w:rPr>
          <w:color w:val="231F20"/>
          <w:spacing w:val="-13"/>
        </w:rPr>
        <w:t> </w:t>
      </w:r>
      <w:r>
        <w:rPr>
          <w:color w:val="231F20"/>
          <w:spacing w:val="-2"/>
        </w:rPr>
        <w:t>encroach</w:t>
      </w:r>
      <w:r>
        <w:rPr>
          <w:color w:val="231F20"/>
          <w:spacing w:val="-13"/>
        </w:rPr>
        <w:t> </w:t>
      </w:r>
      <w:r>
        <w:rPr>
          <w:color w:val="231F20"/>
          <w:spacing w:val="-2"/>
        </w:rPr>
        <w:t>on</w:t>
      </w:r>
      <w:r>
        <w:rPr>
          <w:color w:val="231F20"/>
          <w:spacing w:val="-13"/>
        </w:rPr>
        <w:t> </w:t>
      </w:r>
      <w:r>
        <w:rPr>
          <w:color w:val="231F20"/>
          <w:spacing w:val="-2"/>
        </w:rPr>
        <w:t>the</w:t>
      </w:r>
      <w:r>
        <w:rPr>
          <w:color w:val="231F20"/>
          <w:spacing w:val="-13"/>
        </w:rPr>
        <w:t> </w:t>
      </w:r>
      <w:r>
        <w:rPr>
          <w:color w:val="231F20"/>
          <w:spacing w:val="-2"/>
        </w:rPr>
        <w:t>sovereignty</w:t>
      </w:r>
      <w:r>
        <w:rPr>
          <w:color w:val="231F20"/>
          <w:spacing w:val="-13"/>
        </w:rPr>
        <w:t> </w:t>
      </w:r>
      <w:r>
        <w:rPr>
          <w:color w:val="231F20"/>
          <w:spacing w:val="-2"/>
        </w:rPr>
        <w:t>of</w:t>
      </w:r>
      <w:r>
        <w:rPr>
          <w:color w:val="231F20"/>
          <w:spacing w:val="-13"/>
        </w:rPr>
        <w:t> </w:t>
      </w:r>
      <w:r>
        <w:rPr>
          <w:color w:val="231F20"/>
          <w:spacing w:val="-2"/>
        </w:rPr>
        <w:t>third </w:t>
      </w:r>
      <w:r>
        <w:rPr>
          <w:color w:val="231F20"/>
          <w:spacing w:val="-6"/>
        </w:rPr>
        <w:t>countries.</w:t>
      </w:r>
      <w:r>
        <w:rPr>
          <w:color w:val="231F20"/>
          <w:spacing w:val="-7"/>
        </w:rPr>
        <w:t> </w:t>
      </w:r>
      <w:r>
        <w:rPr>
          <w:color w:val="231F20"/>
          <w:spacing w:val="-6"/>
        </w:rPr>
        <w:t>By</w:t>
      </w:r>
      <w:r>
        <w:rPr>
          <w:color w:val="231F20"/>
          <w:spacing w:val="-7"/>
        </w:rPr>
        <w:t> </w:t>
      </w:r>
      <w:r>
        <w:rPr>
          <w:color w:val="231F20"/>
          <w:spacing w:val="-6"/>
        </w:rPr>
        <w:t>means</w:t>
      </w:r>
      <w:r>
        <w:rPr>
          <w:color w:val="231F20"/>
          <w:spacing w:val="-7"/>
        </w:rPr>
        <w:t> </w:t>
      </w:r>
      <w:r>
        <w:rPr>
          <w:color w:val="231F20"/>
          <w:spacing w:val="-6"/>
        </w:rPr>
        <w:t>of</w:t>
      </w:r>
      <w:r>
        <w:rPr>
          <w:color w:val="231F20"/>
          <w:spacing w:val="-7"/>
        </w:rPr>
        <w:t> </w:t>
      </w:r>
      <w:r>
        <w:rPr>
          <w:color w:val="231F20"/>
          <w:spacing w:val="-6"/>
        </w:rPr>
        <w:t>pressure</w:t>
      </w:r>
      <w:r>
        <w:rPr>
          <w:color w:val="231F20"/>
          <w:spacing w:val="-7"/>
        </w:rPr>
        <w:t> </w:t>
      </w:r>
      <w:r>
        <w:rPr>
          <w:color w:val="231F20"/>
          <w:spacing w:val="-6"/>
        </w:rPr>
        <w:t>and</w:t>
      </w:r>
      <w:r>
        <w:rPr>
          <w:color w:val="231F20"/>
          <w:spacing w:val="-7"/>
        </w:rPr>
        <w:t> </w:t>
      </w:r>
      <w:r>
        <w:rPr>
          <w:color w:val="231F20"/>
          <w:spacing w:val="-6"/>
        </w:rPr>
        <w:t>the</w:t>
      </w:r>
      <w:r>
        <w:rPr>
          <w:color w:val="231F20"/>
          <w:spacing w:val="-7"/>
        </w:rPr>
        <w:t> </w:t>
      </w:r>
      <w:r>
        <w:rPr>
          <w:color w:val="231F20"/>
          <w:spacing w:val="-6"/>
        </w:rPr>
        <w:t>use </w:t>
      </w:r>
      <w:r>
        <w:rPr>
          <w:color w:val="231F20"/>
          <w:spacing w:val="-2"/>
        </w:rPr>
        <w:t>of</w:t>
      </w:r>
      <w:r>
        <w:rPr>
          <w:color w:val="231F20"/>
          <w:spacing w:val="-11"/>
        </w:rPr>
        <w:t> </w:t>
      </w:r>
      <w:r>
        <w:rPr>
          <w:color w:val="231F20"/>
          <w:spacing w:val="-2"/>
        </w:rPr>
        <w:t>antidemocratic,</w:t>
      </w:r>
      <w:r>
        <w:rPr>
          <w:color w:val="231F20"/>
          <w:spacing w:val="-9"/>
        </w:rPr>
        <w:t> </w:t>
      </w:r>
      <w:r>
        <w:rPr>
          <w:color w:val="231F20"/>
          <w:spacing w:val="-2"/>
        </w:rPr>
        <w:t>interventionist</w:t>
      </w:r>
      <w:r>
        <w:rPr>
          <w:color w:val="231F20"/>
          <w:spacing w:val="-9"/>
        </w:rPr>
        <w:t> </w:t>
      </w:r>
      <w:r>
        <w:rPr>
          <w:color w:val="231F20"/>
          <w:spacing w:val="-6"/>
        </w:rPr>
        <w:t>practices,</w:t>
      </w:r>
    </w:p>
    <w:p>
      <w:pPr>
        <w:spacing w:after="0"/>
        <w:sectPr>
          <w:type w:val="continuous"/>
          <w:pgSz w:w="11910" w:h="16840"/>
          <w:pgMar w:header="0" w:footer="695" w:top="1920" w:bottom="280" w:left="0" w:right="0"/>
          <w:cols w:num="2" w:equalWidth="0">
            <w:col w:w="5557" w:space="40"/>
            <w:col w:w="6313"/>
          </w:cols>
        </w:sectPr>
      </w:pPr>
    </w:p>
    <w:p>
      <w:pPr>
        <w:pStyle w:val="BodyText"/>
        <w:spacing w:before="77"/>
        <w:ind w:left="1474" w:right="6014"/>
      </w:pPr>
      <w:r>
        <w:rPr/>
        <mc:AlternateContent>
          <mc:Choice Requires="wps">
            <w:drawing>
              <wp:anchor distT="0" distB="0" distL="0" distR="0" allowOverlap="1" layoutInCell="1" locked="0" behindDoc="0" simplePos="0" relativeHeight="15819776">
                <wp:simplePos x="0" y="0"/>
                <wp:positionH relativeFrom="page">
                  <wp:posOffset>5930887</wp:posOffset>
                </wp:positionH>
                <wp:positionV relativeFrom="paragraph">
                  <wp:posOffset>289331</wp:posOffset>
                </wp:positionV>
                <wp:extent cx="909319" cy="26034"/>
                <wp:effectExtent l="0" t="0" r="0" b="0"/>
                <wp:wrapNone/>
                <wp:docPr id="344" name="Graphic 344"/>
                <wp:cNvGraphicFramePr>
                  <a:graphicFrameLocks/>
                </wp:cNvGraphicFramePr>
                <a:graphic>
                  <a:graphicData uri="http://schemas.microsoft.com/office/word/2010/wordprocessingShape">
                    <wps:wsp>
                      <wps:cNvPr id="344" name="Graphic 344"/>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466.998993pt;margin-top:22.782pt;width:71.584pt;height:2.021pt;mso-position-horizontal-relative:page;mso-position-vertical-relative:paragraph;z-index:15819776" id="docshape280" filled="true" fillcolor="#b52628" stroked="false">
                <v:fill type="solid"/>
                <w10:wrap type="none"/>
              </v:rect>
            </w:pict>
          </mc:Fallback>
        </mc:AlternateContent>
      </w:r>
      <w:r>
        <w:rPr>
          <w:color w:val="231F20"/>
          <w:spacing w:val="-10"/>
        </w:rPr>
        <w:t>Washington</w:t>
      </w:r>
      <w:r>
        <w:rPr>
          <w:color w:val="231F20"/>
          <w:spacing w:val="-7"/>
        </w:rPr>
        <w:t> </w:t>
      </w:r>
      <w:r>
        <w:rPr>
          <w:color w:val="231F20"/>
          <w:spacing w:val="-10"/>
        </w:rPr>
        <w:t>aims</w:t>
      </w:r>
      <w:r>
        <w:rPr>
          <w:color w:val="231F20"/>
          <w:spacing w:val="-6"/>
        </w:rPr>
        <w:t> </w:t>
      </w:r>
      <w:r>
        <w:rPr>
          <w:color w:val="231F20"/>
          <w:spacing w:val="-10"/>
        </w:rPr>
        <w:t>to</w:t>
      </w:r>
      <w:r>
        <w:rPr>
          <w:color w:val="231F20"/>
          <w:spacing w:val="-7"/>
        </w:rPr>
        <w:t> </w:t>
      </w:r>
      <w:r>
        <w:rPr>
          <w:color w:val="231F20"/>
          <w:spacing w:val="-10"/>
        </w:rPr>
        <w:t>gain</w:t>
      </w:r>
      <w:r>
        <w:rPr>
          <w:color w:val="231F20"/>
          <w:spacing w:val="-6"/>
        </w:rPr>
        <w:t> </w:t>
      </w:r>
      <w:r>
        <w:rPr>
          <w:color w:val="231F20"/>
          <w:spacing w:val="-10"/>
        </w:rPr>
        <w:t>the</w:t>
      </w:r>
      <w:r>
        <w:rPr>
          <w:color w:val="231F20"/>
          <w:spacing w:val="-7"/>
        </w:rPr>
        <w:t> </w:t>
      </w:r>
      <w:r>
        <w:rPr>
          <w:color w:val="231F20"/>
          <w:spacing w:val="-10"/>
        </w:rPr>
        <w:t>acquiescence</w:t>
      </w:r>
      <w:r>
        <w:rPr>
          <w:color w:val="231F20"/>
          <w:spacing w:val="-6"/>
        </w:rPr>
        <w:t> </w:t>
      </w:r>
      <w:r>
        <w:rPr>
          <w:color w:val="231F20"/>
          <w:spacing w:val="-10"/>
        </w:rPr>
        <w:t>of </w:t>
      </w:r>
      <w:r>
        <w:rPr>
          <w:color w:val="231F20"/>
          <w:spacing w:val="-4"/>
        </w:rPr>
        <w:t>other</w:t>
      </w:r>
      <w:r>
        <w:rPr>
          <w:color w:val="231F20"/>
          <w:spacing w:val="-13"/>
        </w:rPr>
        <w:t> </w:t>
      </w:r>
      <w:r>
        <w:rPr>
          <w:color w:val="231F20"/>
          <w:spacing w:val="-4"/>
        </w:rPr>
        <w:t>states</w:t>
      </w:r>
      <w:r>
        <w:rPr>
          <w:color w:val="231F20"/>
          <w:spacing w:val="-12"/>
        </w:rPr>
        <w:t> </w:t>
      </w:r>
      <w:r>
        <w:rPr>
          <w:color w:val="231F20"/>
          <w:spacing w:val="-4"/>
        </w:rPr>
        <w:t>and</w:t>
      </w:r>
      <w:r>
        <w:rPr>
          <w:color w:val="231F20"/>
          <w:spacing w:val="-13"/>
        </w:rPr>
        <w:t> </w:t>
      </w:r>
      <w:r>
        <w:rPr>
          <w:color w:val="231F20"/>
          <w:spacing w:val="-4"/>
        </w:rPr>
        <w:t>international</w:t>
      </w:r>
      <w:r>
        <w:rPr>
          <w:color w:val="231F20"/>
          <w:spacing w:val="-12"/>
        </w:rPr>
        <w:t> </w:t>
      </w:r>
      <w:r>
        <w:rPr>
          <w:color w:val="231F20"/>
          <w:spacing w:val="-4"/>
        </w:rPr>
        <w:t>organizations </w:t>
      </w:r>
      <w:r>
        <w:rPr>
          <w:color w:val="231F20"/>
          <w:spacing w:val="-2"/>
        </w:rPr>
        <w:t>in</w:t>
      </w:r>
      <w:r>
        <w:rPr>
          <w:color w:val="231F20"/>
          <w:spacing w:val="-12"/>
        </w:rPr>
        <w:t> </w:t>
      </w:r>
      <w:r>
        <w:rPr>
          <w:color w:val="231F20"/>
          <w:spacing w:val="-2"/>
        </w:rPr>
        <w:t>its</w:t>
      </w:r>
      <w:r>
        <w:rPr>
          <w:color w:val="231F20"/>
          <w:spacing w:val="-12"/>
        </w:rPr>
        <w:t> </w:t>
      </w:r>
      <w:r>
        <w:rPr>
          <w:color w:val="231F20"/>
          <w:spacing w:val="-2"/>
        </w:rPr>
        <w:t>political</w:t>
      </w:r>
      <w:r>
        <w:rPr>
          <w:color w:val="231F20"/>
          <w:spacing w:val="-12"/>
        </w:rPr>
        <w:t> </w:t>
      </w:r>
      <w:r>
        <w:rPr>
          <w:color w:val="231F20"/>
          <w:spacing w:val="-2"/>
        </w:rPr>
        <w:t>decisions</w:t>
      </w:r>
      <w:r>
        <w:rPr>
          <w:color w:val="231F20"/>
          <w:spacing w:val="-12"/>
        </w:rPr>
        <w:t> </w:t>
      </w:r>
      <w:r>
        <w:rPr>
          <w:color w:val="231F20"/>
          <w:spacing w:val="-2"/>
        </w:rPr>
        <w:t>on</w:t>
      </w:r>
      <w:r>
        <w:rPr>
          <w:color w:val="231F20"/>
          <w:spacing w:val="-12"/>
        </w:rPr>
        <w:t> </w:t>
      </w:r>
      <w:r>
        <w:rPr>
          <w:color w:val="231F20"/>
          <w:spacing w:val="-2"/>
        </w:rPr>
        <w:t>Cuba.</w:t>
      </w:r>
    </w:p>
    <w:p>
      <w:pPr>
        <w:spacing w:line="320" w:lineRule="exact" w:before="161"/>
        <w:ind w:left="1474" w:right="0" w:firstLine="0"/>
        <w:jc w:val="both"/>
        <w:rPr>
          <w:rFonts w:ascii="Segoe UI Semibold"/>
          <w:b/>
          <w:i/>
          <w:sz w:val="24"/>
        </w:rPr>
      </w:pPr>
      <w:r>
        <w:rPr>
          <w:rFonts w:ascii="Segoe UI Semibold"/>
          <w:b/>
          <w:i/>
          <w:color w:val="231F20"/>
          <w:sz w:val="24"/>
        </w:rPr>
        <w:t>Between</w:t>
      </w:r>
      <w:r>
        <w:rPr>
          <w:rFonts w:ascii="Segoe UI Semibold"/>
          <w:b/>
          <w:i/>
          <w:color w:val="231F20"/>
          <w:spacing w:val="57"/>
          <w:w w:val="150"/>
          <w:sz w:val="24"/>
        </w:rPr>
        <w:t> </w:t>
      </w:r>
      <w:r>
        <w:rPr>
          <w:rFonts w:ascii="Segoe UI Semibold"/>
          <w:b/>
          <w:i/>
          <w:color w:val="231F20"/>
          <w:sz w:val="24"/>
        </w:rPr>
        <w:t>March</w:t>
      </w:r>
      <w:r>
        <w:rPr>
          <w:rFonts w:ascii="Segoe UI Semibold"/>
          <w:b/>
          <w:i/>
          <w:color w:val="231F20"/>
          <w:spacing w:val="56"/>
          <w:w w:val="150"/>
          <w:sz w:val="24"/>
        </w:rPr>
        <w:t> </w:t>
      </w:r>
      <w:r>
        <w:rPr>
          <w:rFonts w:ascii="Segoe UI Semibold"/>
          <w:b/>
          <w:i/>
          <w:color w:val="231F20"/>
          <w:sz w:val="24"/>
        </w:rPr>
        <w:t>1,</w:t>
      </w:r>
      <w:r>
        <w:rPr>
          <w:rFonts w:ascii="Segoe UI Semibold"/>
          <w:b/>
          <w:i/>
          <w:color w:val="231F20"/>
          <w:spacing w:val="56"/>
          <w:w w:val="150"/>
          <w:sz w:val="24"/>
        </w:rPr>
        <w:t> </w:t>
      </w:r>
      <w:r>
        <w:rPr>
          <w:rFonts w:ascii="Segoe UI Semibold"/>
          <w:b/>
          <w:i/>
          <w:color w:val="231F20"/>
          <w:sz w:val="24"/>
        </w:rPr>
        <w:t>2022</w:t>
      </w:r>
      <w:r>
        <w:rPr>
          <w:rFonts w:ascii="Segoe UI Semibold"/>
          <w:b/>
          <w:i/>
          <w:color w:val="231F20"/>
          <w:spacing w:val="56"/>
          <w:w w:val="150"/>
          <w:sz w:val="24"/>
        </w:rPr>
        <w:t> </w:t>
      </w:r>
      <w:r>
        <w:rPr>
          <w:rFonts w:ascii="Segoe UI Semibold"/>
          <w:b/>
          <w:i/>
          <w:color w:val="231F20"/>
          <w:sz w:val="24"/>
        </w:rPr>
        <w:t>and</w:t>
      </w:r>
      <w:r>
        <w:rPr>
          <w:rFonts w:ascii="Segoe UI Semibold"/>
          <w:b/>
          <w:i/>
          <w:color w:val="231F20"/>
          <w:spacing w:val="57"/>
          <w:w w:val="150"/>
          <w:sz w:val="24"/>
        </w:rPr>
        <w:t> </w:t>
      </w:r>
      <w:r>
        <w:rPr>
          <w:rFonts w:ascii="Segoe UI Semibold"/>
          <w:b/>
          <w:i/>
          <w:color w:val="231F20"/>
          <w:spacing w:val="-2"/>
          <w:sz w:val="24"/>
        </w:rPr>
        <w:t>February</w:t>
      </w:r>
    </w:p>
    <w:p>
      <w:pPr>
        <w:spacing w:before="0"/>
        <w:ind w:left="1474" w:right="6007" w:firstLine="0"/>
        <w:jc w:val="both"/>
        <w:rPr>
          <w:rFonts w:ascii="Segoe UI Semibold"/>
          <w:b/>
          <w:i/>
          <w:sz w:val="24"/>
        </w:rPr>
      </w:pPr>
      <w:r>
        <w:rPr>
          <w:rFonts w:ascii="Segoe UI Semibold"/>
          <w:b/>
          <w:i/>
          <w:color w:val="231F20"/>
          <w:sz w:val="24"/>
        </w:rPr>
        <w:t>28, 2023 the blockade was responsible</w:t>
      </w:r>
      <w:r>
        <w:rPr>
          <w:rFonts w:ascii="Segoe UI Semibold"/>
          <w:b/>
          <w:i/>
          <w:color w:val="231F20"/>
          <w:spacing w:val="40"/>
          <w:sz w:val="24"/>
        </w:rPr>
        <w:t> </w:t>
      </w:r>
      <w:r>
        <w:rPr>
          <w:rFonts w:ascii="Segoe UI Semibold"/>
          <w:b/>
          <w:i/>
          <w:color w:val="231F20"/>
          <w:sz w:val="24"/>
        </w:rPr>
        <w:t>for economic damage conservatively estimated at </w:t>
      </w:r>
      <w:r>
        <w:rPr>
          <w:b/>
          <w:i/>
          <w:color w:val="231F20"/>
          <w:sz w:val="24"/>
        </w:rPr>
        <w:t>USD 4,867,000,000</w:t>
      </w:r>
      <w:r>
        <w:rPr>
          <w:rFonts w:ascii="Segoe UI Semibold"/>
          <w:b/>
          <w:i/>
          <w:color w:val="231F20"/>
          <w:sz w:val="24"/>
        </w:rPr>
        <w:t>.</w:t>
      </w:r>
    </w:p>
    <w:p>
      <w:pPr>
        <w:spacing w:before="159"/>
        <w:ind w:left="1474" w:right="6014" w:firstLine="0"/>
        <w:jc w:val="both"/>
        <w:rPr>
          <w:rFonts w:ascii="Segoe UI Semibold" w:hAnsi="Segoe UI Semibold"/>
          <w:b/>
          <w:i/>
          <w:sz w:val="24"/>
        </w:rPr>
      </w:pPr>
      <w:r>
        <w:rPr>
          <w:rFonts w:ascii="Segoe UI Semibold" w:hAnsi="Segoe UI Semibold"/>
          <w:b/>
          <w:i/>
          <w:color w:val="231F20"/>
          <w:sz w:val="24"/>
        </w:rPr>
        <w:t>This equates to losses of over </w:t>
      </w:r>
      <w:r>
        <w:rPr>
          <w:b/>
          <w:i/>
          <w:color w:val="231F20"/>
          <w:sz w:val="24"/>
        </w:rPr>
        <w:t>USD</w:t>
      </w:r>
      <w:r>
        <w:rPr>
          <w:b/>
          <w:i/>
          <w:color w:val="231F20"/>
          <w:sz w:val="24"/>
        </w:rPr>
        <w:t> 405,000,000 </w:t>
      </w:r>
      <w:r>
        <w:rPr>
          <w:rFonts w:ascii="Segoe UI Semibold" w:hAnsi="Segoe UI Semibold"/>
          <w:b/>
          <w:i/>
          <w:color w:val="231F20"/>
          <w:sz w:val="24"/>
        </w:rPr>
        <w:t>per month, over </w:t>
      </w:r>
      <w:r>
        <w:rPr>
          <w:b/>
          <w:i/>
          <w:color w:val="231F20"/>
          <w:sz w:val="24"/>
        </w:rPr>
        <w:t>USD</w:t>
      </w:r>
      <w:r>
        <w:rPr>
          <w:b/>
          <w:i/>
          <w:color w:val="231F20"/>
          <w:sz w:val="24"/>
        </w:rPr>
        <w:t> </w:t>
      </w:r>
      <w:r>
        <w:rPr>
          <w:b/>
          <w:i/>
          <w:color w:val="231F20"/>
          <w:spacing w:val="-6"/>
          <w:sz w:val="24"/>
        </w:rPr>
        <w:t>13,000,000</w:t>
      </w:r>
      <w:r>
        <w:rPr>
          <w:b/>
          <w:i/>
          <w:color w:val="231F20"/>
          <w:spacing w:val="-8"/>
          <w:sz w:val="24"/>
        </w:rPr>
        <w:t> </w:t>
      </w:r>
      <w:r>
        <w:rPr>
          <w:rFonts w:ascii="Segoe UI Semibold" w:hAnsi="Segoe UI Semibold"/>
          <w:b/>
          <w:i/>
          <w:color w:val="231F20"/>
          <w:spacing w:val="-6"/>
          <w:sz w:val="24"/>
        </w:rPr>
        <w:t>per</w:t>
      </w:r>
      <w:r>
        <w:rPr>
          <w:rFonts w:ascii="Segoe UI Semibold" w:hAnsi="Segoe UI Semibold"/>
          <w:b/>
          <w:i/>
          <w:color w:val="231F20"/>
          <w:spacing w:val="-9"/>
          <w:sz w:val="24"/>
        </w:rPr>
        <w:t> </w:t>
      </w:r>
      <w:r>
        <w:rPr>
          <w:rFonts w:ascii="Segoe UI Semibold" w:hAnsi="Segoe UI Semibold"/>
          <w:b/>
          <w:i/>
          <w:color w:val="231F20"/>
          <w:spacing w:val="-6"/>
          <w:sz w:val="24"/>
        </w:rPr>
        <w:t>day</w:t>
      </w:r>
      <w:r>
        <w:rPr>
          <w:rFonts w:ascii="Segoe UI Semibold" w:hAnsi="Segoe UI Semibold"/>
          <w:b/>
          <w:i/>
          <w:color w:val="231F20"/>
          <w:spacing w:val="-9"/>
          <w:sz w:val="24"/>
        </w:rPr>
        <w:t> </w:t>
      </w:r>
      <w:r>
        <w:rPr>
          <w:rFonts w:ascii="Segoe UI Semibold" w:hAnsi="Segoe UI Semibold"/>
          <w:b/>
          <w:i/>
          <w:color w:val="231F20"/>
          <w:spacing w:val="-6"/>
          <w:sz w:val="24"/>
        </w:rPr>
        <w:t>and</w:t>
      </w:r>
      <w:r>
        <w:rPr>
          <w:rFonts w:ascii="Segoe UI Semibold" w:hAnsi="Segoe UI Semibold"/>
          <w:b/>
          <w:i/>
          <w:color w:val="231F20"/>
          <w:spacing w:val="-9"/>
          <w:sz w:val="24"/>
        </w:rPr>
        <w:t> </w:t>
      </w:r>
      <w:r>
        <w:rPr>
          <w:rFonts w:ascii="Segoe UI Semibold" w:hAnsi="Segoe UI Semibold"/>
          <w:b/>
          <w:i/>
          <w:color w:val="231F20"/>
          <w:spacing w:val="-6"/>
          <w:sz w:val="24"/>
        </w:rPr>
        <w:t>over</w:t>
      </w:r>
      <w:r>
        <w:rPr>
          <w:rFonts w:ascii="Segoe UI Semibold" w:hAnsi="Segoe UI Semibold"/>
          <w:b/>
          <w:i/>
          <w:color w:val="231F20"/>
          <w:spacing w:val="-8"/>
          <w:sz w:val="24"/>
        </w:rPr>
        <w:t> </w:t>
      </w:r>
      <w:r>
        <w:rPr>
          <w:b/>
          <w:i/>
          <w:color w:val="231F20"/>
          <w:spacing w:val="-6"/>
          <w:sz w:val="24"/>
        </w:rPr>
        <w:t>USD</w:t>
      </w:r>
      <w:r>
        <w:rPr>
          <w:b/>
          <w:i/>
          <w:color w:val="231F20"/>
          <w:spacing w:val="-9"/>
          <w:sz w:val="24"/>
        </w:rPr>
        <w:t> </w:t>
      </w:r>
      <w:r>
        <w:rPr>
          <w:b/>
          <w:i/>
          <w:color w:val="231F20"/>
          <w:spacing w:val="-6"/>
          <w:sz w:val="24"/>
        </w:rPr>
        <w:t>555,000</w:t>
      </w:r>
      <w:r>
        <w:rPr>
          <w:b/>
          <w:i/>
          <w:color w:val="231F20"/>
          <w:spacing w:val="-6"/>
          <w:sz w:val="24"/>
        </w:rPr>
        <w:t> </w:t>
      </w:r>
      <w:r>
        <w:rPr>
          <w:rFonts w:ascii="Segoe UI Semibold" w:hAnsi="Segoe UI Semibold"/>
          <w:b/>
          <w:i/>
          <w:color w:val="231F20"/>
          <w:spacing w:val="-12"/>
          <w:sz w:val="24"/>
        </w:rPr>
        <w:t>for</w:t>
      </w:r>
      <w:r>
        <w:rPr>
          <w:rFonts w:ascii="Segoe UI Semibold" w:hAnsi="Segoe UI Semibold"/>
          <w:b/>
          <w:i/>
          <w:color w:val="231F20"/>
          <w:spacing w:val="-4"/>
          <w:sz w:val="24"/>
        </w:rPr>
        <w:t> </w:t>
      </w:r>
      <w:r>
        <w:rPr>
          <w:rFonts w:ascii="Segoe UI Semibold" w:hAnsi="Segoe UI Semibold"/>
          <w:b/>
          <w:i/>
          <w:color w:val="231F20"/>
          <w:spacing w:val="-12"/>
          <w:sz w:val="24"/>
        </w:rPr>
        <w:t>every</w:t>
      </w:r>
      <w:r>
        <w:rPr>
          <w:rFonts w:ascii="Segoe UI Semibold" w:hAnsi="Segoe UI Semibold"/>
          <w:b/>
          <w:i/>
          <w:color w:val="231F20"/>
          <w:spacing w:val="-4"/>
          <w:sz w:val="24"/>
        </w:rPr>
        <w:t> </w:t>
      </w:r>
      <w:r>
        <w:rPr>
          <w:rFonts w:ascii="Segoe UI Semibold" w:hAnsi="Segoe UI Semibold"/>
          <w:b/>
          <w:i/>
          <w:color w:val="231F20"/>
          <w:spacing w:val="-12"/>
          <w:sz w:val="24"/>
        </w:rPr>
        <w:t>hour</w:t>
      </w:r>
      <w:r>
        <w:rPr>
          <w:rFonts w:ascii="Segoe UI Semibold" w:hAnsi="Segoe UI Semibold"/>
          <w:b/>
          <w:i/>
          <w:color w:val="231F20"/>
          <w:spacing w:val="-4"/>
          <w:sz w:val="24"/>
        </w:rPr>
        <w:t> </w:t>
      </w:r>
      <w:r>
        <w:rPr>
          <w:rFonts w:ascii="Segoe UI Semibold" w:hAnsi="Segoe UI Semibold"/>
          <w:b/>
          <w:i/>
          <w:color w:val="231F20"/>
          <w:spacing w:val="-12"/>
          <w:sz w:val="24"/>
        </w:rPr>
        <w:t>of</w:t>
      </w:r>
      <w:r>
        <w:rPr>
          <w:rFonts w:ascii="Segoe UI Semibold" w:hAnsi="Segoe UI Semibold"/>
          <w:b/>
          <w:i/>
          <w:color w:val="231F20"/>
          <w:spacing w:val="-4"/>
          <w:sz w:val="24"/>
        </w:rPr>
        <w:t> </w:t>
      </w:r>
      <w:r>
        <w:rPr>
          <w:rFonts w:ascii="Segoe UI Semibold" w:hAnsi="Segoe UI Semibold"/>
          <w:b/>
          <w:i/>
          <w:color w:val="231F20"/>
          <w:spacing w:val="-12"/>
          <w:sz w:val="24"/>
        </w:rPr>
        <w:t>the</w:t>
      </w:r>
      <w:r>
        <w:rPr>
          <w:rFonts w:ascii="Segoe UI Semibold" w:hAnsi="Segoe UI Semibold"/>
          <w:b/>
          <w:i/>
          <w:color w:val="231F20"/>
          <w:spacing w:val="-4"/>
          <w:sz w:val="24"/>
        </w:rPr>
        <w:t> </w:t>
      </w:r>
      <w:r>
        <w:rPr>
          <w:rFonts w:ascii="Segoe UI Semibold" w:hAnsi="Segoe UI Semibold"/>
          <w:b/>
          <w:i/>
          <w:color w:val="231F20"/>
          <w:spacing w:val="-12"/>
          <w:sz w:val="24"/>
        </w:rPr>
        <w:t>blockade.</w:t>
      </w:r>
      <w:r>
        <w:rPr>
          <w:rFonts w:ascii="Segoe UI Semibold" w:hAnsi="Segoe UI Semibold"/>
          <w:b/>
          <w:i/>
          <w:color w:val="231F20"/>
          <w:spacing w:val="-4"/>
          <w:sz w:val="24"/>
        </w:rPr>
        <w:t> </w:t>
      </w:r>
      <w:r>
        <w:rPr>
          <w:rFonts w:ascii="Segoe UI Semibold" w:hAnsi="Segoe UI Semibold"/>
          <w:b/>
          <w:i/>
          <w:color w:val="231F20"/>
          <w:spacing w:val="-12"/>
          <w:sz w:val="24"/>
        </w:rPr>
        <w:t>It</w:t>
      </w:r>
      <w:r>
        <w:rPr>
          <w:rFonts w:ascii="Segoe UI Semibold" w:hAnsi="Segoe UI Semibold"/>
          <w:b/>
          <w:i/>
          <w:color w:val="231F20"/>
          <w:spacing w:val="-4"/>
          <w:sz w:val="24"/>
        </w:rPr>
        <w:t> </w:t>
      </w:r>
      <w:r>
        <w:rPr>
          <w:rFonts w:ascii="Segoe UI Semibold" w:hAnsi="Segoe UI Semibold"/>
          <w:b/>
          <w:i/>
          <w:color w:val="231F20"/>
          <w:spacing w:val="-12"/>
          <w:sz w:val="24"/>
        </w:rPr>
        <w:t>is</w:t>
      </w:r>
      <w:r>
        <w:rPr>
          <w:rFonts w:ascii="Segoe UI Semibold" w:hAnsi="Segoe UI Semibold"/>
          <w:b/>
          <w:i/>
          <w:color w:val="231F20"/>
          <w:spacing w:val="-4"/>
          <w:sz w:val="24"/>
        </w:rPr>
        <w:t> </w:t>
      </w:r>
      <w:r>
        <w:rPr>
          <w:rFonts w:ascii="Segoe UI Semibold" w:hAnsi="Segoe UI Semibold"/>
          <w:b/>
          <w:i/>
          <w:color w:val="231F20"/>
          <w:spacing w:val="-12"/>
          <w:sz w:val="24"/>
        </w:rPr>
        <w:t>estimated</w:t>
      </w:r>
      <w:r>
        <w:rPr>
          <w:rFonts w:ascii="Segoe UI Semibold" w:hAnsi="Segoe UI Semibold"/>
          <w:b/>
          <w:i/>
          <w:color w:val="231F20"/>
          <w:spacing w:val="-12"/>
          <w:sz w:val="24"/>
        </w:rPr>
        <w:t> </w:t>
      </w:r>
      <w:r>
        <w:rPr>
          <w:rFonts w:ascii="Segoe UI Semibold" w:hAnsi="Segoe UI Semibold"/>
          <w:b/>
          <w:i/>
          <w:color w:val="231F20"/>
          <w:sz w:val="24"/>
        </w:rPr>
        <w:t>that without the blockade, Cuba’s GDP would</w:t>
      </w:r>
      <w:r>
        <w:rPr>
          <w:rFonts w:ascii="Segoe UI Semibold" w:hAnsi="Segoe UI Semibold"/>
          <w:b/>
          <w:i/>
          <w:color w:val="231F20"/>
          <w:spacing w:val="-15"/>
          <w:sz w:val="24"/>
        </w:rPr>
        <w:t> </w:t>
      </w:r>
      <w:r>
        <w:rPr>
          <w:rFonts w:ascii="Segoe UI Semibold" w:hAnsi="Segoe UI Semibold"/>
          <w:b/>
          <w:i/>
          <w:color w:val="231F20"/>
          <w:sz w:val="24"/>
        </w:rPr>
        <w:t>have</w:t>
      </w:r>
      <w:r>
        <w:rPr>
          <w:rFonts w:ascii="Segoe UI Semibold" w:hAnsi="Segoe UI Semibold"/>
          <w:b/>
          <w:i/>
          <w:color w:val="231F20"/>
          <w:spacing w:val="-15"/>
          <w:sz w:val="24"/>
        </w:rPr>
        <w:t> </w:t>
      </w:r>
      <w:r>
        <w:rPr>
          <w:rFonts w:ascii="Segoe UI Semibold" w:hAnsi="Segoe UI Semibold"/>
          <w:b/>
          <w:i/>
          <w:color w:val="231F20"/>
          <w:sz w:val="24"/>
        </w:rPr>
        <w:t>grown</w:t>
      </w:r>
      <w:r>
        <w:rPr>
          <w:rFonts w:ascii="Segoe UI Semibold" w:hAnsi="Segoe UI Semibold"/>
          <w:b/>
          <w:i/>
          <w:color w:val="231F20"/>
          <w:spacing w:val="-15"/>
          <w:sz w:val="24"/>
        </w:rPr>
        <w:t> </w:t>
      </w:r>
      <w:r>
        <w:rPr>
          <w:rFonts w:ascii="Segoe UI Semibold" w:hAnsi="Segoe UI Semibold"/>
          <w:b/>
          <w:i/>
          <w:color w:val="231F20"/>
          <w:sz w:val="24"/>
        </w:rPr>
        <w:t>in</w:t>
      </w:r>
      <w:r>
        <w:rPr>
          <w:rFonts w:ascii="Segoe UI Semibold" w:hAnsi="Segoe UI Semibold"/>
          <w:b/>
          <w:i/>
          <w:color w:val="231F20"/>
          <w:spacing w:val="-15"/>
          <w:sz w:val="24"/>
        </w:rPr>
        <w:t> </w:t>
      </w:r>
      <w:r>
        <w:rPr>
          <w:rFonts w:ascii="Segoe UI Semibold" w:hAnsi="Segoe UI Semibold"/>
          <w:b/>
          <w:i/>
          <w:color w:val="231F20"/>
          <w:sz w:val="24"/>
        </w:rPr>
        <w:t>2022</w:t>
      </w:r>
      <w:r>
        <w:rPr>
          <w:rFonts w:ascii="Segoe UI Semibold" w:hAnsi="Segoe UI Semibold"/>
          <w:b/>
          <w:i/>
          <w:color w:val="231F20"/>
          <w:spacing w:val="-15"/>
          <w:sz w:val="24"/>
        </w:rPr>
        <w:t> </w:t>
      </w:r>
      <w:r>
        <w:rPr>
          <w:rFonts w:ascii="Segoe UI Semibold" w:hAnsi="Segoe UI Semibold"/>
          <w:b/>
          <w:i/>
          <w:color w:val="231F20"/>
          <w:sz w:val="24"/>
        </w:rPr>
        <w:t>by</w:t>
      </w:r>
      <w:r>
        <w:rPr>
          <w:rFonts w:ascii="Segoe UI Semibold" w:hAnsi="Segoe UI Semibold"/>
          <w:b/>
          <w:i/>
          <w:color w:val="231F20"/>
          <w:spacing w:val="-15"/>
          <w:sz w:val="24"/>
        </w:rPr>
        <w:t> </w:t>
      </w:r>
      <w:r>
        <w:rPr>
          <w:rFonts w:ascii="Segoe UI Semibold" w:hAnsi="Segoe UI Semibold"/>
          <w:b/>
          <w:i/>
          <w:color w:val="231F20"/>
          <w:sz w:val="24"/>
        </w:rPr>
        <w:t>9%.</w:t>
      </w:r>
    </w:p>
    <w:p>
      <w:pPr>
        <w:spacing w:before="158"/>
        <w:ind w:left="1474" w:right="6007" w:firstLine="0"/>
        <w:jc w:val="both"/>
        <w:rPr>
          <w:rFonts w:ascii="Segoe UI Semibold" w:hAnsi="Segoe UI Semibold"/>
          <w:b/>
          <w:i/>
          <w:sz w:val="24"/>
        </w:rPr>
      </w:pPr>
      <w:r>
        <w:rPr>
          <w:rFonts w:ascii="Segoe UI Semibold" w:hAnsi="Segoe UI Semibold"/>
          <w:b/>
          <w:i/>
          <w:color w:val="231F20"/>
          <w:sz w:val="24"/>
        </w:rPr>
        <w:t>At</w:t>
      </w:r>
      <w:r>
        <w:rPr>
          <w:rFonts w:ascii="Segoe UI Semibold" w:hAnsi="Segoe UI Semibold"/>
          <w:b/>
          <w:i/>
          <w:color w:val="231F20"/>
          <w:spacing w:val="-12"/>
          <w:sz w:val="24"/>
        </w:rPr>
        <w:t> </w:t>
      </w:r>
      <w:r>
        <w:rPr>
          <w:rFonts w:ascii="Segoe UI Semibold" w:hAnsi="Segoe UI Semibold"/>
          <w:b/>
          <w:i/>
          <w:color w:val="231F20"/>
          <w:sz w:val="24"/>
        </w:rPr>
        <w:t>current</w:t>
      </w:r>
      <w:r>
        <w:rPr>
          <w:rFonts w:ascii="Segoe UI Semibold" w:hAnsi="Segoe UI Semibold"/>
          <w:b/>
          <w:i/>
          <w:color w:val="231F20"/>
          <w:spacing w:val="-12"/>
          <w:sz w:val="24"/>
        </w:rPr>
        <w:t> </w:t>
      </w:r>
      <w:r>
        <w:rPr>
          <w:rFonts w:ascii="Segoe UI Semibold" w:hAnsi="Segoe UI Semibold"/>
          <w:b/>
          <w:i/>
          <w:color w:val="231F20"/>
          <w:sz w:val="24"/>
        </w:rPr>
        <w:t>prices,</w:t>
      </w:r>
      <w:r>
        <w:rPr>
          <w:rFonts w:ascii="Segoe UI Semibold" w:hAnsi="Segoe UI Semibold"/>
          <w:b/>
          <w:i/>
          <w:color w:val="231F20"/>
          <w:spacing w:val="-12"/>
          <w:sz w:val="24"/>
        </w:rPr>
        <w:t> </w:t>
      </w:r>
      <w:r>
        <w:rPr>
          <w:rFonts w:ascii="Segoe UI Semibold" w:hAnsi="Segoe UI Semibold"/>
          <w:b/>
          <w:i/>
          <w:color w:val="231F20"/>
          <w:sz w:val="24"/>
        </w:rPr>
        <w:t>the</w:t>
      </w:r>
      <w:r>
        <w:rPr>
          <w:rFonts w:ascii="Segoe UI Semibold" w:hAnsi="Segoe UI Semibold"/>
          <w:b/>
          <w:i/>
          <w:color w:val="231F20"/>
          <w:spacing w:val="-12"/>
          <w:sz w:val="24"/>
        </w:rPr>
        <w:t> </w:t>
      </w:r>
      <w:r>
        <w:rPr>
          <w:rFonts w:ascii="Segoe UI Semibold" w:hAnsi="Segoe UI Semibold"/>
          <w:b/>
          <w:i/>
          <w:color w:val="231F20"/>
          <w:sz w:val="24"/>
        </w:rPr>
        <w:t>cumulative</w:t>
      </w:r>
      <w:r>
        <w:rPr>
          <w:rFonts w:ascii="Segoe UI Semibold" w:hAnsi="Segoe UI Semibold"/>
          <w:b/>
          <w:i/>
          <w:color w:val="231F20"/>
          <w:spacing w:val="-12"/>
          <w:sz w:val="24"/>
        </w:rPr>
        <w:t> </w:t>
      </w:r>
      <w:r>
        <w:rPr>
          <w:rFonts w:ascii="Segoe UI Semibold" w:hAnsi="Segoe UI Semibold"/>
          <w:b/>
          <w:i/>
          <w:color w:val="231F20"/>
          <w:sz w:val="24"/>
        </w:rPr>
        <w:t>damage</w:t>
      </w:r>
      <w:r>
        <w:rPr>
          <w:rFonts w:ascii="Segoe UI Semibold" w:hAnsi="Segoe UI Semibold"/>
          <w:b/>
          <w:i/>
          <w:color w:val="231F20"/>
          <w:sz w:val="24"/>
        </w:rPr>
        <w:t> during over 60 years’ application of this policy</w:t>
      </w:r>
      <w:r>
        <w:rPr>
          <w:rFonts w:ascii="Segoe UI Semibold" w:hAnsi="Segoe UI Semibold"/>
          <w:b/>
          <w:i/>
          <w:color w:val="231F20"/>
          <w:spacing w:val="-17"/>
          <w:sz w:val="24"/>
        </w:rPr>
        <w:t> </w:t>
      </w:r>
      <w:r>
        <w:rPr>
          <w:rFonts w:ascii="Segoe UI Semibold" w:hAnsi="Segoe UI Semibold"/>
          <w:b/>
          <w:i/>
          <w:color w:val="231F20"/>
          <w:sz w:val="24"/>
        </w:rPr>
        <w:t>amounts</w:t>
      </w:r>
      <w:r>
        <w:rPr>
          <w:rFonts w:ascii="Segoe UI Semibold" w:hAnsi="Segoe UI Semibold"/>
          <w:b/>
          <w:i/>
          <w:color w:val="231F20"/>
          <w:spacing w:val="-16"/>
          <w:sz w:val="24"/>
        </w:rPr>
        <w:t> </w:t>
      </w:r>
      <w:r>
        <w:rPr>
          <w:rFonts w:ascii="Segoe UI Semibold" w:hAnsi="Segoe UI Semibold"/>
          <w:b/>
          <w:i/>
          <w:color w:val="231F20"/>
          <w:sz w:val="24"/>
        </w:rPr>
        <w:t>to</w:t>
      </w:r>
      <w:r>
        <w:rPr>
          <w:rFonts w:ascii="Segoe UI Semibold" w:hAnsi="Segoe UI Semibold"/>
          <w:b/>
          <w:i/>
          <w:color w:val="231F20"/>
          <w:spacing w:val="-17"/>
          <w:sz w:val="24"/>
        </w:rPr>
        <w:t> </w:t>
      </w:r>
      <w:r>
        <w:rPr>
          <w:b/>
          <w:i/>
          <w:color w:val="231F20"/>
          <w:sz w:val="24"/>
        </w:rPr>
        <w:t>USD</w:t>
      </w:r>
      <w:r>
        <w:rPr>
          <w:b/>
          <w:i/>
          <w:color w:val="231F20"/>
          <w:spacing w:val="-16"/>
          <w:sz w:val="24"/>
        </w:rPr>
        <w:t> </w:t>
      </w:r>
      <w:r>
        <w:rPr>
          <w:b/>
          <w:i/>
          <w:color w:val="231F20"/>
          <w:sz w:val="24"/>
        </w:rPr>
        <w:t>159,084,300,000</w:t>
      </w:r>
      <w:r>
        <w:rPr>
          <w:rFonts w:ascii="Segoe UI Semibold" w:hAnsi="Segoe UI Semibold"/>
          <w:b/>
          <w:i/>
          <w:color w:val="231F20"/>
          <w:sz w:val="24"/>
        </w:rPr>
        <w:t>.</w:t>
      </w:r>
      <w:r>
        <w:rPr>
          <w:rFonts w:ascii="Segoe UI Semibold" w:hAnsi="Segoe UI Semibold"/>
          <w:b/>
          <w:i/>
          <w:color w:val="231F20"/>
          <w:sz w:val="24"/>
        </w:rPr>
        <w:t> </w:t>
      </w:r>
      <w:r>
        <w:rPr>
          <w:rFonts w:ascii="Segoe UI Semibold" w:hAnsi="Segoe UI Semibold"/>
          <w:b/>
          <w:i/>
          <w:color w:val="231F20"/>
          <w:spacing w:val="-8"/>
          <w:sz w:val="24"/>
        </w:rPr>
        <w:t>Taking</w:t>
      </w:r>
      <w:r>
        <w:rPr>
          <w:rFonts w:ascii="Segoe UI Semibold" w:hAnsi="Segoe UI Semibold"/>
          <w:b/>
          <w:i/>
          <w:color w:val="231F20"/>
          <w:spacing w:val="-9"/>
          <w:sz w:val="24"/>
        </w:rPr>
        <w:t> </w:t>
      </w:r>
      <w:r>
        <w:rPr>
          <w:rFonts w:ascii="Segoe UI Semibold" w:hAnsi="Segoe UI Semibold"/>
          <w:b/>
          <w:i/>
          <w:color w:val="231F20"/>
          <w:spacing w:val="-8"/>
          <w:sz w:val="24"/>
        </w:rPr>
        <w:t>account of</w:t>
      </w:r>
      <w:r>
        <w:rPr>
          <w:rFonts w:ascii="Segoe UI Semibold" w:hAnsi="Segoe UI Semibold"/>
          <w:b/>
          <w:i/>
          <w:color w:val="231F20"/>
          <w:spacing w:val="-9"/>
          <w:sz w:val="24"/>
        </w:rPr>
        <w:t> </w:t>
      </w:r>
      <w:r>
        <w:rPr>
          <w:rFonts w:ascii="Segoe UI Semibold" w:hAnsi="Segoe UI Semibold"/>
          <w:b/>
          <w:i/>
          <w:color w:val="231F20"/>
          <w:spacing w:val="-8"/>
          <w:sz w:val="24"/>
        </w:rPr>
        <w:t>the behavior</w:t>
      </w:r>
      <w:r>
        <w:rPr>
          <w:rFonts w:ascii="Segoe UI Semibold" w:hAnsi="Segoe UI Semibold"/>
          <w:b/>
          <w:i/>
          <w:color w:val="231F20"/>
          <w:spacing w:val="-9"/>
          <w:sz w:val="24"/>
        </w:rPr>
        <w:t> </w:t>
      </w:r>
      <w:r>
        <w:rPr>
          <w:rFonts w:ascii="Segoe UI Semibold" w:hAnsi="Segoe UI Semibold"/>
          <w:b/>
          <w:i/>
          <w:color w:val="231F20"/>
          <w:spacing w:val="-8"/>
          <w:sz w:val="24"/>
        </w:rPr>
        <w:t>of the</w:t>
      </w:r>
      <w:r>
        <w:rPr>
          <w:rFonts w:ascii="Segoe UI Semibold" w:hAnsi="Segoe UI Semibold"/>
          <w:b/>
          <w:i/>
          <w:color w:val="231F20"/>
          <w:spacing w:val="-9"/>
          <w:sz w:val="24"/>
        </w:rPr>
        <w:t> </w:t>
      </w:r>
      <w:r>
        <w:rPr>
          <w:rFonts w:ascii="Segoe UI Semibold" w:hAnsi="Segoe UI Semibold"/>
          <w:b/>
          <w:i/>
          <w:color w:val="231F20"/>
          <w:spacing w:val="-8"/>
          <w:sz w:val="24"/>
        </w:rPr>
        <w:t>dollar </w:t>
      </w:r>
      <w:r>
        <w:rPr>
          <w:rFonts w:ascii="Segoe UI Semibold" w:hAnsi="Segoe UI Semibold"/>
          <w:b/>
          <w:i/>
          <w:color w:val="231F20"/>
          <w:sz w:val="24"/>
        </w:rPr>
        <w:t>in relation to gold in the international </w:t>
      </w:r>
      <w:r>
        <w:rPr>
          <w:rFonts w:ascii="Segoe UI Semibold" w:hAnsi="Segoe UI Semibold"/>
          <w:b/>
          <w:i/>
          <w:color w:val="231F20"/>
          <w:spacing w:val="-6"/>
          <w:sz w:val="24"/>
        </w:rPr>
        <w:t>market,</w:t>
      </w:r>
      <w:r>
        <w:rPr>
          <w:rFonts w:ascii="Segoe UI Semibold" w:hAnsi="Segoe UI Semibold"/>
          <w:b/>
          <w:i/>
          <w:color w:val="231F20"/>
          <w:spacing w:val="-8"/>
          <w:sz w:val="24"/>
        </w:rPr>
        <w:t> </w:t>
      </w:r>
      <w:r>
        <w:rPr>
          <w:rFonts w:ascii="Segoe UI Semibold" w:hAnsi="Segoe UI Semibold"/>
          <w:b/>
          <w:i/>
          <w:color w:val="231F20"/>
          <w:spacing w:val="-6"/>
          <w:sz w:val="24"/>
        </w:rPr>
        <w:t>the</w:t>
      </w:r>
      <w:r>
        <w:rPr>
          <w:rFonts w:ascii="Segoe UI Semibold" w:hAnsi="Segoe UI Semibold"/>
          <w:b/>
          <w:i/>
          <w:color w:val="231F20"/>
          <w:spacing w:val="-8"/>
          <w:sz w:val="24"/>
        </w:rPr>
        <w:t> </w:t>
      </w:r>
      <w:r>
        <w:rPr>
          <w:rFonts w:ascii="Segoe UI Semibold" w:hAnsi="Segoe UI Semibold"/>
          <w:b/>
          <w:i/>
          <w:color w:val="231F20"/>
          <w:spacing w:val="-6"/>
          <w:sz w:val="24"/>
        </w:rPr>
        <w:t>quantifiable</w:t>
      </w:r>
      <w:r>
        <w:rPr>
          <w:rFonts w:ascii="Segoe UI Semibold" w:hAnsi="Segoe UI Semibold"/>
          <w:b/>
          <w:i/>
          <w:color w:val="231F20"/>
          <w:spacing w:val="-8"/>
          <w:sz w:val="24"/>
        </w:rPr>
        <w:t> </w:t>
      </w:r>
      <w:r>
        <w:rPr>
          <w:rFonts w:ascii="Segoe UI Semibold" w:hAnsi="Segoe UI Semibold"/>
          <w:b/>
          <w:i/>
          <w:color w:val="231F20"/>
          <w:spacing w:val="-6"/>
          <w:sz w:val="24"/>
        </w:rPr>
        <w:t>losses</w:t>
      </w:r>
      <w:r>
        <w:rPr>
          <w:rFonts w:ascii="Segoe UI Semibold" w:hAnsi="Segoe UI Semibold"/>
          <w:b/>
          <w:i/>
          <w:color w:val="231F20"/>
          <w:spacing w:val="-8"/>
          <w:sz w:val="24"/>
        </w:rPr>
        <w:t> </w:t>
      </w:r>
      <w:r>
        <w:rPr>
          <w:rFonts w:ascii="Segoe UI Semibold" w:hAnsi="Segoe UI Semibold"/>
          <w:b/>
          <w:i/>
          <w:color w:val="231F20"/>
          <w:spacing w:val="-6"/>
          <w:sz w:val="24"/>
        </w:rPr>
        <w:t>attributable </w:t>
      </w:r>
      <w:r>
        <w:rPr>
          <w:rFonts w:ascii="Segoe UI Semibold" w:hAnsi="Segoe UI Semibold"/>
          <w:b/>
          <w:i/>
          <w:color w:val="231F20"/>
          <w:sz w:val="24"/>
        </w:rPr>
        <w:t>to the blockade have reached </w:t>
      </w:r>
      <w:r>
        <w:rPr>
          <w:b/>
          <w:i/>
          <w:color w:val="231F20"/>
          <w:sz w:val="24"/>
        </w:rPr>
        <w:t>USD</w:t>
      </w:r>
      <w:r>
        <w:rPr>
          <w:b/>
          <w:i/>
          <w:color w:val="231F20"/>
          <w:sz w:val="24"/>
        </w:rPr>
        <w:t> </w:t>
      </w:r>
      <w:r>
        <w:rPr>
          <w:b/>
          <w:i/>
          <w:color w:val="231F20"/>
          <w:spacing w:val="-10"/>
          <w:sz w:val="24"/>
        </w:rPr>
        <w:t>1,337,057,000,000</w:t>
      </w:r>
      <w:r>
        <w:rPr>
          <w:rFonts w:ascii="Segoe UI Semibold" w:hAnsi="Segoe UI Semibold"/>
          <w:b/>
          <w:i/>
          <w:color w:val="231F20"/>
          <w:spacing w:val="-10"/>
          <w:sz w:val="24"/>
        </w:rPr>
        <w:t>;</w:t>
      </w:r>
      <w:r>
        <w:rPr>
          <w:rFonts w:ascii="Segoe UI Semibold" w:hAnsi="Segoe UI Semibold"/>
          <w:b/>
          <w:i/>
          <w:color w:val="231F20"/>
          <w:sz w:val="24"/>
        </w:rPr>
        <w:t> </w:t>
      </w:r>
      <w:r>
        <w:rPr>
          <w:rFonts w:ascii="Segoe UI Semibold" w:hAnsi="Segoe UI Semibold"/>
          <w:b/>
          <w:i/>
          <w:color w:val="231F20"/>
          <w:spacing w:val="-10"/>
          <w:sz w:val="24"/>
        </w:rPr>
        <w:t>the</w:t>
      </w:r>
      <w:r>
        <w:rPr>
          <w:rFonts w:ascii="Segoe UI Semibold" w:hAnsi="Segoe UI Semibold"/>
          <w:b/>
          <w:i/>
          <w:color w:val="231F20"/>
          <w:sz w:val="24"/>
        </w:rPr>
        <w:t> </w:t>
      </w:r>
      <w:r>
        <w:rPr>
          <w:rFonts w:ascii="Segoe UI Semibold" w:hAnsi="Segoe UI Semibold"/>
          <w:b/>
          <w:i/>
          <w:color w:val="231F20"/>
          <w:spacing w:val="-10"/>
          <w:sz w:val="24"/>
        </w:rPr>
        <w:t>reduction</w:t>
      </w:r>
      <w:r>
        <w:rPr>
          <w:rFonts w:ascii="Segoe UI Semibold" w:hAnsi="Segoe UI Semibold"/>
          <w:b/>
          <w:i/>
          <w:color w:val="231F20"/>
          <w:sz w:val="24"/>
        </w:rPr>
        <w:t> </w:t>
      </w:r>
      <w:r>
        <w:rPr>
          <w:rFonts w:ascii="Segoe UI Semibold" w:hAnsi="Segoe UI Semibold"/>
          <w:b/>
          <w:i/>
          <w:color w:val="231F20"/>
          <w:spacing w:val="-10"/>
          <w:sz w:val="24"/>
        </w:rPr>
        <w:t>compared</w:t>
      </w:r>
      <w:r>
        <w:rPr>
          <w:rFonts w:ascii="Segoe UI Semibold" w:hAnsi="Segoe UI Semibold"/>
          <w:b/>
          <w:i/>
          <w:color w:val="231F20"/>
          <w:spacing w:val="-10"/>
          <w:sz w:val="24"/>
        </w:rPr>
        <w:t> </w:t>
      </w:r>
      <w:r>
        <w:rPr>
          <w:rFonts w:ascii="Segoe UI Semibold" w:hAnsi="Segoe UI Semibold"/>
          <w:b/>
          <w:i/>
          <w:color w:val="231F20"/>
          <w:sz w:val="24"/>
        </w:rPr>
        <w:t>with the corresponding total cited in the </w:t>
      </w:r>
      <w:r>
        <w:rPr>
          <w:rFonts w:ascii="Segoe UI Semibold" w:hAnsi="Segoe UI Semibold"/>
          <w:b/>
          <w:i/>
          <w:color w:val="231F20"/>
          <w:spacing w:val="-14"/>
          <w:sz w:val="24"/>
        </w:rPr>
        <w:t>preceding</w:t>
      </w:r>
      <w:r>
        <w:rPr>
          <w:rFonts w:ascii="Segoe UI Semibold" w:hAnsi="Segoe UI Semibold"/>
          <w:b/>
          <w:i/>
          <w:color w:val="231F20"/>
          <w:spacing w:val="-3"/>
          <w:sz w:val="24"/>
        </w:rPr>
        <w:t> </w:t>
      </w:r>
      <w:r>
        <w:rPr>
          <w:rFonts w:ascii="Segoe UI Semibold" w:hAnsi="Segoe UI Semibold"/>
          <w:b/>
          <w:i/>
          <w:color w:val="231F20"/>
          <w:spacing w:val="-14"/>
          <w:sz w:val="24"/>
        </w:rPr>
        <w:t>report</w:t>
      </w:r>
      <w:r>
        <w:rPr>
          <w:rFonts w:ascii="Segoe UI Semibold" w:hAnsi="Segoe UI Semibold"/>
          <w:b/>
          <w:i/>
          <w:color w:val="231F20"/>
          <w:spacing w:val="-2"/>
          <w:sz w:val="24"/>
        </w:rPr>
        <w:t> </w:t>
      </w:r>
      <w:r>
        <w:rPr>
          <w:rFonts w:ascii="Segoe UI Semibold" w:hAnsi="Segoe UI Semibold"/>
          <w:b/>
          <w:i/>
          <w:color w:val="231F20"/>
          <w:spacing w:val="-14"/>
          <w:sz w:val="24"/>
        </w:rPr>
        <w:t>for</w:t>
      </w:r>
      <w:r>
        <w:rPr>
          <w:rFonts w:ascii="Segoe UI Semibold" w:hAnsi="Segoe UI Semibold"/>
          <w:b/>
          <w:i/>
          <w:color w:val="231F20"/>
          <w:spacing w:val="-3"/>
          <w:sz w:val="24"/>
        </w:rPr>
        <w:t> </w:t>
      </w:r>
      <w:r>
        <w:rPr>
          <w:rFonts w:ascii="Segoe UI Semibold" w:hAnsi="Segoe UI Semibold"/>
          <w:b/>
          <w:i/>
          <w:color w:val="231F20"/>
          <w:spacing w:val="-14"/>
          <w:sz w:val="24"/>
        </w:rPr>
        <w:t>the</w:t>
      </w:r>
      <w:r>
        <w:rPr>
          <w:rFonts w:ascii="Segoe UI Semibold" w:hAnsi="Segoe UI Semibold"/>
          <w:b/>
          <w:i/>
          <w:color w:val="231F20"/>
          <w:spacing w:val="-2"/>
          <w:sz w:val="24"/>
        </w:rPr>
        <w:t> </w:t>
      </w:r>
      <w:r>
        <w:rPr>
          <w:rFonts w:ascii="Segoe UI Semibold" w:hAnsi="Segoe UI Semibold"/>
          <w:b/>
          <w:i/>
          <w:color w:val="231F20"/>
          <w:spacing w:val="-14"/>
          <w:sz w:val="24"/>
        </w:rPr>
        <w:t>period</w:t>
      </w:r>
      <w:r>
        <w:rPr>
          <w:rFonts w:ascii="Segoe UI Semibold" w:hAnsi="Segoe UI Semibold"/>
          <w:b/>
          <w:i/>
          <w:color w:val="231F20"/>
          <w:spacing w:val="-3"/>
          <w:sz w:val="24"/>
        </w:rPr>
        <w:t> </w:t>
      </w:r>
      <w:r>
        <w:rPr>
          <w:rFonts w:ascii="Segoe UI Semibold" w:hAnsi="Segoe UI Semibold"/>
          <w:b/>
          <w:i/>
          <w:color w:val="231F20"/>
          <w:spacing w:val="-14"/>
          <w:sz w:val="24"/>
        </w:rPr>
        <w:t>up</w:t>
      </w:r>
      <w:r>
        <w:rPr>
          <w:rFonts w:ascii="Segoe UI Semibold" w:hAnsi="Segoe UI Semibold"/>
          <w:b/>
          <w:i/>
          <w:color w:val="231F20"/>
          <w:spacing w:val="-2"/>
          <w:sz w:val="24"/>
        </w:rPr>
        <w:t> </w:t>
      </w:r>
      <w:r>
        <w:rPr>
          <w:rFonts w:ascii="Segoe UI Semibold" w:hAnsi="Segoe UI Semibold"/>
          <w:b/>
          <w:i/>
          <w:color w:val="231F20"/>
          <w:spacing w:val="-14"/>
          <w:sz w:val="24"/>
        </w:rPr>
        <w:t>to</w:t>
      </w:r>
      <w:r>
        <w:rPr>
          <w:rFonts w:ascii="Segoe UI Semibold" w:hAnsi="Segoe UI Semibold"/>
          <w:b/>
          <w:i/>
          <w:color w:val="231F20"/>
          <w:spacing w:val="-3"/>
          <w:sz w:val="24"/>
        </w:rPr>
        <w:t> </w:t>
      </w:r>
      <w:r>
        <w:rPr>
          <w:rFonts w:ascii="Segoe UI Semibold" w:hAnsi="Segoe UI Semibold"/>
          <w:b/>
          <w:i/>
          <w:color w:val="231F20"/>
          <w:spacing w:val="-14"/>
          <w:sz w:val="24"/>
        </w:rPr>
        <w:t>February </w:t>
      </w:r>
      <w:r>
        <w:rPr>
          <w:rFonts w:ascii="Segoe UI Semibold" w:hAnsi="Segoe UI Semibold"/>
          <w:b/>
          <w:i/>
          <w:color w:val="231F20"/>
          <w:sz w:val="24"/>
        </w:rPr>
        <w:t>2022</w:t>
      </w:r>
      <w:r>
        <w:rPr>
          <w:rFonts w:ascii="Segoe UI Semibold" w:hAnsi="Segoe UI Semibold"/>
          <w:b/>
          <w:i/>
          <w:color w:val="231F20"/>
          <w:spacing w:val="-16"/>
          <w:sz w:val="24"/>
        </w:rPr>
        <w:t> </w:t>
      </w:r>
      <w:r>
        <w:rPr>
          <w:rFonts w:ascii="Segoe UI Semibold" w:hAnsi="Segoe UI Semibold"/>
          <w:b/>
          <w:i/>
          <w:color w:val="231F20"/>
          <w:sz w:val="24"/>
        </w:rPr>
        <w:t>is</w:t>
      </w:r>
      <w:r>
        <w:rPr>
          <w:rFonts w:ascii="Segoe UI Semibold" w:hAnsi="Segoe UI Semibold"/>
          <w:b/>
          <w:i/>
          <w:color w:val="231F20"/>
          <w:spacing w:val="-16"/>
          <w:sz w:val="24"/>
        </w:rPr>
        <w:t> </w:t>
      </w:r>
      <w:r>
        <w:rPr>
          <w:rFonts w:ascii="Segoe UI Semibold" w:hAnsi="Segoe UI Semibold"/>
          <w:b/>
          <w:i/>
          <w:color w:val="231F20"/>
          <w:sz w:val="24"/>
        </w:rPr>
        <w:t>due</w:t>
      </w:r>
      <w:r>
        <w:rPr>
          <w:rFonts w:ascii="Segoe UI Semibold" w:hAnsi="Segoe UI Semibold"/>
          <w:b/>
          <w:i/>
          <w:color w:val="231F20"/>
          <w:spacing w:val="-16"/>
          <w:sz w:val="24"/>
        </w:rPr>
        <w:t> </w:t>
      </w:r>
      <w:r>
        <w:rPr>
          <w:rFonts w:ascii="Segoe UI Semibold" w:hAnsi="Segoe UI Semibold"/>
          <w:b/>
          <w:i/>
          <w:color w:val="231F20"/>
          <w:sz w:val="24"/>
        </w:rPr>
        <w:t>to</w:t>
      </w:r>
      <w:r>
        <w:rPr>
          <w:rFonts w:ascii="Segoe UI Semibold" w:hAnsi="Segoe UI Semibold"/>
          <w:b/>
          <w:i/>
          <w:color w:val="231F20"/>
          <w:spacing w:val="-16"/>
          <w:sz w:val="24"/>
        </w:rPr>
        <w:t> </w:t>
      </w:r>
      <w:r>
        <w:rPr>
          <w:rFonts w:ascii="Segoe UI Semibold" w:hAnsi="Segoe UI Semibold"/>
          <w:b/>
          <w:i/>
          <w:color w:val="231F20"/>
          <w:sz w:val="24"/>
        </w:rPr>
        <w:t>the</w:t>
      </w:r>
      <w:r>
        <w:rPr>
          <w:rFonts w:ascii="Segoe UI Semibold" w:hAnsi="Segoe UI Semibold"/>
          <w:b/>
          <w:i/>
          <w:color w:val="231F20"/>
          <w:spacing w:val="-16"/>
          <w:sz w:val="24"/>
        </w:rPr>
        <w:t> </w:t>
      </w:r>
      <w:r>
        <w:rPr>
          <w:rFonts w:ascii="Segoe UI Semibold" w:hAnsi="Segoe UI Semibold"/>
          <w:b/>
          <w:i/>
          <w:color w:val="231F20"/>
          <w:sz w:val="24"/>
        </w:rPr>
        <w:t>4.2%</w:t>
      </w:r>
      <w:r>
        <w:rPr>
          <w:rFonts w:ascii="Segoe UI Semibold" w:hAnsi="Segoe UI Semibold"/>
          <w:b/>
          <w:i/>
          <w:color w:val="231F20"/>
          <w:spacing w:val="-16"/>
          <w:sz w:val="24"/>
        </w:rPr>
        <w:t> </w:t>
      </w:r>
      <w:r>
        <w:rPr>
          <w:rFonts w:ascii="Segoe UI Semibold" w:hAnsi="Segoe UI Semibold"/>
          <w:b/>
          <w:i/>
          <w:color w:val="231F20"/>
          <w:sz w:val="24"/>
        </w:rPr>
        <w:t>decline</w:t>
      </w:r>
      <w:r>
        <w:rPr>
          <w:rFonts w:ascii="Segoe UI Semibold" w:hAnsi="Segoe UI Semibold"/>
          <w:b/>
          <w:i/>
          <w:color w:val="231F20"/>
          <w:spacing w:val="-16"/>
          <w:sz w:val="24"/>
        </w:rPr>
        <w:t> </w:t>
      </w:r>
      <w:r>
        <w:rPr>
          <w:rFonts w:ascii="Segoe UI Semibold" w:hAnsi="Segoe UI Semibold"/>
          <w:b/>
          <w:i/>
          <w:color w:val="231F20"/>
          <w:sz w:val="24"/>
        </w:rPr>
        <w:t>in</w:t>
      </w:r>
      <w:r>
        <w:rPr>
          <w:rFonts w:ascii="Segoe UI Semibold" w:hAnsi="Segoe UI Semibold"/>
          <w:b/>
          <w:i/>
          <w:color w:val="231F20"/>
          <w:spacing w:val="-16"/>
          <w:sz w:val="24"/>
        </w:rPr>
        <w:t> </w:t>
      </w:r>
      <w:r>
        <w:rPr>
          <w:rFonts w:ascii="Segoe UI Semibold" w:hAnsi="Segoe UI Semibold"/>
          <w:b/>
          <w:i/>
          <w:color w:val="231F20"/>
          <w:sz w:val="24"/>
        </w:rPr>
        <w:t>the</w:t>
      </w:r>
      <w:r>
        <w:rPr>
          <w:rFonts w:ascii="Segoe UI Semibold" w:hAnsi="Segoe UI Semibold"/>
          <w:b/>
          <w:i/>
          <w:color w:val="231F20"/>
          <w:spacing w:val="-16"/>
          <w:sz w:val="24"/>
        </w:rPr>
        <w:t> </w:t>
      </w:r>
      <w:r>
        <w:rPr>
          <w:rFonts w:ascii="Segoe UI Semibold" w:hAnsi="Segoe UI Semibold"/>
          <w:b/>
          <w:i/>
          <w:color w:val="231F20"/>
          <w:sz w:val="24"/>
        </w:rPr>
        <w:t>gold </w:t>
      </w:r>
      <w:r>
        <w:rPr>
          <w:rFonts w:ascii="Segoe UI Semibold" w:hAnsi="Segoe UI Semibold"/>
          <w:b/>
          <w:i/>
          <w:color w:val="231F20"/>
          <w:spacing w:val="-2"/>
          <w:sz w:val="24"/>
        </w:rPr>
        <w:t>price</w:t>
      </w:r>
      <w:r>
        <w:rPr>
          <w:rFonts w:ascii="Segoe UI Semibold" w:hAnsi="Segoe UI Semibold"/>
          <w:b/>
          <w:i/>
          <w:color w:val="231F20"/>
          <w:spacing w:val="-20"/>
          <w:sz w:val="24"/>
        </w:rPr>
        <w:t> </w:t>
      </w:r>
      <w:r>
        <w:rPr>
          <w:rFonts w:ascii="Segoe UI Semibold" w:hAnsi="Segoe UI Semibold"/>
          <w:b/>
          <w:i/>
          <w:color w:val="231F20"/>
          <w:spacing w:val="-2"/>
          <w:sz w:val="24"/>
        </w:rPr>
        <w:t>since</w:t>
      </w:r>
      <w:r>
        <w:rPr>
          <w:rFonts w:ascii="Segoe UI Semibold" w:hAnsi="Segoe UI Semibold"/>
          <w:b/>
          <w:i/>
          <w:color w:val="231F20"/>
          <w:spacing w:val="-20"/>
          <w:sz w:val="24"/>
        </w:rPr>
        <w:t> </w:t>
      </w:r>
      <w:r>
        <w:rPr>
          <w:rFonts w:ascii="Segoe UI Semibold" w:hAnsi="Segoe UI Semibold"/>
          <w:b/>
          <w:i/>
          <w:color w:val="231F20"/>
          <w:spacing w:val="-2"/>
          <w:sz w:val="24"/>
        </w:rPr>
        <w:t>then</w:t>
      </w:r>
      <w:r>
        <w:rPr>
          <w:rFonts w:ascii="Segoe UI Semibold" w:hAnsi="Segoe UI Semibold"/>
          <w:b/>
          <w:i/>
          <w:color w:val="231F20"/>
          <w:spacing w:val="-20"/>
          <w:sz w:val="24"/>
        </w:rPr>
        <w:t> </w:t>
      </w:r>
      <w:r>
        <w:rPr>
          <w:rFonts w:ascii="Segoe UI Semibold" w:hAnsi="Segoe UI Semibold"/>
          <w:b/>
          <w:i/>
          <w:color w:val="231F20"/>
          <w:spacing w:val="-2"/>
          <w:sz w:val="24"/>
        </w:rPr>
        <w:t>up</w:t>
      </w:r>
      <w:r>
        <w:rPr>
          <w:rFonts w:ascii="Segoe UI Semibold" w:hAnsi="Segoe UI Semibold"/>
          <w:b/>
          <w:i/>
          <w:color w:val="231F20"/>
          <w:spacing w:val="-20"/>
          <w:sz w:val="24"/>
        </w:rPr>
        <w:t> </w:t>
      </w:r>
      <w:r>
        <w:rPr>
          <w:rFonts w:ascii="Segoe UI Semibold" w:hAnsi="Segoe UI Semibold"/>
          <w:b/>
          <w:i/>
          <w:color w:val="231F20"/>
          <w:spacing w:val="-2"/>
          <w:sz w:val="24"/>
        </w:rPr>
        <w:t>to</w:t>
      </w:r>
      <w:r>
        <w:rPr>
          <w:rFonts w:ascii="Segoe UI Semibold" w:hAnsi="Segoe UI Semibold"/>
          <w:b/>
          <w:i/>
          <w:color w:val="231F20"/>
          <w:spacing w:val="-20"/>
          <w:sz w:val="24"/>
        </w:rPr>
        <w:t> </w:t>
      </w:r>
      <w:r>
        <w:rPr>
          <w:rFonts w:ascii="Segoe UI Semibold" w:hAnsi="Segoe UI Semibold"/>
          <w:b/>
          <w:i/>
          <w:color w:val="231F20"/>
          <w:spacing w:val="-2"/>
          <w:sz w:val="24"/>
        </w:rPr>
        <w:t>February</w:t>
      </w:r>
      <w:r>
        <w:rPr>
          <w:rFonts w:ascii="Segoe UI Semibold" w:hAnsi="Segoe UI Semibold"/>
          <w:b/>
          <w:i/>
          <w:color w:val="231F20"/>
          <w:spacing w:val="-20"/>
          <w:sz w:val="24"/>
        </w:rPr>
        <w:t> </w:t>
      </w:r>
      <w:r>
        <w:rPr>
          <w:rFonts w:ascii="Segoe UI Semibold" w:hAnsi="Segoe UI Semibold"/>
          <w:b/>
          <w:i/>
          <w:color w:val="231F20"/>
          <w:spacing w:val="-2"/>
          <w:sz w:val="24"/>
        </w:rPr>
        <w:t>2023.</w:t>
      </w:r>
    </w:p>
    <w:p>
      <w:pPr>
        <w:pStyle w:val="BodyText"/>
        <w:spacing w:before="158"/>
        <w:ind w:left="1474" w:right="6006"/>
      </w:pPr>
      <w:r>
        <w:rPr>
          <w:color w:val="231F20"/>
        </w:rPr>
        <w:t>For 30 years, Washington has ignored successive resolutions by the UN General Assembly, voices from within U.S. society and within its own state apparatus, all calling</w:t>
      </w:r>
      <w:r>
        <w:rPr>
          <w:color w:val="231F20"/>
          <w:spacing w:val="40"/>
        </w:rPr>
        <w:t> </w:t>
      </w:r>
      <w:r>
        <w:rPr>
          <w:color w:val="231F20"/>
        </w:rPr>
        <w:t>for</w:t>
      </w:r>
      <w:r>
        <w:rPr>
          <w:color w:val="231F20"/>
          <w:spacing w:val="40"/>
        </w:rPr>
        <w:t> </w:t>
      </w:r>
      <w:r>
        <w:rPr>
          <w:color w:val="231F20"/>
        </w:rPr>
        <w:t>an</w:t>
      </w:r>
      <w:r>
        <w:rPr>
          <w:color w:val="231F20"/>
          <w:spacing w:val="40"/>
        </w:rPr>
        <w:t> </w:t>
      </w:r>
      <w:r>
        <w:rPr>
          <w:color w:val="231F20"/>
        </w:rPr>
        <w:t>end</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blockade.</w:t>
      </w:r>
      <w:r>
        <w:rPr>
          <w:color w:val="231F20"/>
          <w:spacing w:val="40"/>
        </w:rPr>
        <w:t> </w:t>
      </w:r>
      <w:r>
        <w:rPr>
          <w:color w:val="231F20"/>
        </w:rPr>
        <w:t>It</w:t>
      </w:r>
      <w:r>
        <w:rPr>
          <w:color w:val="231F20"/>
          <w:spacing w:val="40"/>
        </w:rPr>
        <w:t> </w:t>
      </w:r>
      <w:r>
        <w:rPr>
          <w:color w:val="231F20"/>
        </w:rPr>
        <w:t>is an anachronistic policy that, </w:t>
      </w:r>
      <w:r>
        <w:rPr>
          <w:color w:val="231F20"/>
        </w:rPr>
        <w:t>ultimately, has served to discredit and isolate United States of America.</w:t>
      </w:r>
    </w:p>
    <w:p>
      <w:pPr>
        <w:pStyle w:val="BodyText"/>
        <w:spacing w:before="166"/>
        <w:ind w:left="1474" w:right="6006"/>
      </w:pPr>
      <w:r>
        <w:rPr>
          <w:color w:val="231F20"/>
          <w:spacing w:val="-4"/>
        </w:rPr>
        <w:t>Cuba</w:t>
      </w:r>
      <w:r>
        <w:rPr>
          <w:color w:val="231F20"/>
          <w:spacing w:val="-13"/>
        </w:rPr>
        <w:t> </w:t>
      </w:r>
      <w:r>
        <w:rPr>
          <w:color w:val="231F20"/>
          <w:spacing w:val="-4"/>
        </w:rPr>
        <w:t>and</w:t>
      </w:r>
      <w:r>
        <w:rPr>
          <w:color w:val="231F20"/>
          <w:spacing w:val="-12"/>
        </w:rPr>
        <w:t> </w:t>
      </w:r>
      <w:r>
        <w:rPr>
          <w:color w:val="231F20"/>
          <w:spacing w:val="-4"/>
        </w:rPr>
        <w:t>its</w:t>
      </w:r>
      <w:r>
        <w:rPr>
          <w:color w:val="231F20"/>
          <w:spacing w:val="-13"/>
        </w:rPr>
        <w:t> </w:t>
      </w:r>
      <w:r>
        <w:rPr>
          <w:color w:val="231F20"/>
          <w:spacing w:val="-4"/>
        </w:rPr>
        <w:t>people</w:t>
      </w:r>
      <w:r>
        <w:rPr>
          <w:color w:val="231F20"/>
          <w:spacing w:val="-12"/>
        </w:rPr>
        <w:t> </w:t>
      </w:r>
      <w:r>
        <w:rPr>
          <w:color w:val="231F20"/>
          <w:spacing w:val="-4"/>
        </w:rPr>
        <w:t>are</w:t>
      </w:r>
      <w:r>
        <w:rPr>
          <w:color w:val="231F20"/>
          <w:spacing w:val="-13"/>
        </w:rPr>
        <w:t> </w:t>
      </w:r>
      <w:r>
        <w:rPr>
          <w:color w:val="231F20"/>
          <w:spacing w:val="-4"/>
        </w:rPr>
        <w:t>profoundly</w:t>
      </w:r>
      <w:r>
        <w:rPr>
          <w:color w:val="231F20"/>
          <w:spacing w:val="-12"/>
        </w:rPr>
        <w:t> </w:t>
      </w:r>
      <w:r>
        <w:rPr>
          <w:color w:val="231F20"/>
          <w:spacing w:val="-4"/>
        </w:rPr>
        <w:t>grateful </w:t>
      </w:r>
      <w:r>
        <w:rPr>
          <w:color w:val="231F20"/>
        </w:rPr>
        <w:t>for the demonstrations of solidarity and support received; we trust in the </w:t>
      </w:r>
      <w:r>
        <w:rPr>
          <w:color w:val="231F20"/>
        </w:rPr>
        <w:t>backing of the international community in our legitimate demand to put an end, once and for all and without conditions, to this unjust, illegal, callous system of unilateral coercive measures.</w:t>
      </w:r>
    </w:p>
    <w:p>
      <w:pPr>
        <w:spacing w:after="0"/>
        <w:sectPr>
          <w:pgSz w:w="11910" w:h="16840"/>
          <w:pgMar w:header="0" w:footer="695" w:top="1260" w:bottom="880" w:left="0" w:right="0"/>
        </w:sectPr>
      </w:pPr>
    </w:p>
    <w:p>
      <w:pPr>
        <w:pStyle w:val="Heading1"/>
        <w:spacing w:before="154"/>
        <w:ind w:left="1105"/>
      </w:pPr>
      <w:r>
        <w:rPr>
          <w:color w:val="1A4796"/>
          <w:spacing w:val="-2"/>
          <w:w w:val="120"/>
        </w:rPr>
        <w:t>Annexes</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679488">
                <wp:simplePos x="0" y="0"/>
                <wp:positionH relativeFrom="page">
                  <wp:posOffset>720001</wp:posOffset>
                </wp:positionH>
                <wp:positionV relativeFrom="paragraph">
                  <wp:posOffset>288395</wp:posOffset>
                </wp:positionV>
                <wp:extent cx="909319" cy="26034"/>
                <wp:effectExtent l="0" t="0" r="0" b="0"/>
                <wp:wrapTopAndBottom/>
                <wp:docPr id="345" name="Graphic 345"/>
                <wp:cNvGraphicFramePr>
                  <a:graphicFrameLocks/>
                </wp:cNvGraphicFramePr>
                <a:graphic>
                  <a:graphicData uri="http://schemas.microsoft.com/office/word/2010/wordprocessingShape">
                    <wps:wsp>
                      <wps:cNvPr id="345" name="Graphic 345"/>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56.693001pt;margin-top:22.708281pt;width:71.584pt;height:2.021pt;mso-position-horizontal-relative:page;mso-position-vertical-relative:paragraph;z-index:-15636992;mso-wrap-distance-left:0;mso-wrap-distance-right:0" id="docshape281" filled="true" fillcolor="#b52628" stroked="false">
                <v:fill type="solid"/>
                <w10:wrap type="topAndBottom"/>
              </v:rect>
            </w:pict>
          </mc:Fallback>
        </mc:AlternateContent>
      </w:r>
    </w:p>
    <w:p>
      <w:pPr>
        <w:pStyle w:val="BodyText"/>
        <w:spacing w:before="239"/>
        <w:jc w:val="left"/>
        <w:rPr>
          <w:rFonts w:ascii="Trebuchet MS"/>
        </w:rPr>
      </w:pPr>
    </w:p>
    <w:p>
      <w:pPr>
        <w:pStyle w:val="ListParagraph"/>
        <w:numPr>
          <w:ilvl w:val="0"/>
          <w:numId w:val="8"/>
        </w:numPr>
        <w:tabs>
          <w:tab w:pos="1319" w:val="left" w:leader="none"/>
        </w:tabs>
        <w:spacing w:line="240" w:lineRule="auto" w:before="0" w:after="0"/>
        <w:ind w:left="1133" w:right="6347" w:firstLine="0"/>
        <w:jc w:val="both"/>
        <w:rPr>
          <w:sz w:val="24"/>
        </w:rPr>
      </w:pPr>
      <w:r>
        <w:rPr>
          <w:color w:val="231F20"/>
          <w:sz w:val="24"/>
        </w:rPr>
        <w:t>Table</w:t>
      </w:r>
      <w:r>
        <w:rPr>
          <w:color w:val="231F20"/>
          <w:spacing w:val="-10"/>
          <w:sz w:val="24"/>
        </w:rPr>
        <w:t> </w:t>
      </w:r>
      <w:r>
        <w:rPr>
          <w:color w:val="231F20"/>
          <w:sz w:val="24"/>
        </w:rPr>
        <w:t>summarizing</w:t>
      </w:r>
      <w:r>
        <w:rPr>
          <w:color w:val="231F20"/>
          <w:spacing w:val="-10"/>
          <w:sz w:val="24"/>
        </w:rPr>
        <w:t> </w:t>
      </w:r>
      <w:r>
        <w:rPr>
          <w:color w:val="231F20"/>
          <w:sz w:val="24"/>
        </w:rPr>
        <w:t>the</w:t>
      </w:r>
      <w:r>
        <w:rPr>
          <w:color w:val="231F20"/>
          <w:spacing w:val="-10"/>
          <w:sz w:val="24"/>
        </w:rPr>
        <w:t> </w:t>
      </w:r>
      <w:r>
        <w:rPr>
          <w:color w:val="231F20"/>
          <w:sz w:val="24"/>
        </w:rPr>
        <w:t>losses</w:t>
      </w:r>
      <w:r>
        <w:rPr>
          <w:color w:val="231F20"/>
          <w:spacing w:val="-10"/>
          <w:sz w:val="24"/>
        </w:rPr>
        <w:t> </w:t>
      </w:r>
      <w:r>
        <w:rPr>
          <w:color w:val="231F20"/>
          <w:sz w:val="24"/>
        </w:rPr>
        <w:t>quantified by sector, for the period March 2022 to February 2023</w:t>
      </w:r>
    </w:p>
    <w:p>
      <w:pPr>
        <w:pStyle w:val="BodyText"/>
        <w:spacing w:before="11"/>
        <w:jc w:val="left"/>
        <w:rPr>
          <w:sz w:val="17"/>
        </w:rPr>
      </w:pPr>
      <w:r>
        <w:rPr/>
        <mc:AlternateContent>
          <mc:Choice Requires="wps">
            <w:drawing>
              <wp:anchor distT="0" distB="0" distL="0" distR="0" allowOverlap="1" layoutInCell="1" locked="0" behindDoc="1" simplePos="0" relativeHeight="487680000">
                <wp:simplePos x="0" y="0"/>
                <wp:positionH relativeFrom="page">
                  <wp:posOffset>720001</wp:posOffset>
                </wp:positionH>
                <wp:positionV relativeFrom="paragraph">
                  <wp:posOffset>165806</wp:posOffset>
                </wp:positionV>
                <wp:extent cx="4707890" cy="6621145"/>
                <wp:effectExtent l="0" t="0" r="0" b="0"/>
                <wp:wrapTopAndBottom/>
                <wp:docPr id="346" name="Group 346"/>
                <wp:cNvGraphicFramePr>
                  <a:graphicFrameLocks/>
                </wp:cNvGraphicFramePr>
                <a:graphic>
                  <a:graphicData uri="http://schemas.microsoft.com/office/word/2010/wordprocessingGroup">
                    <wpg:wgp>
                      <wpg:cNvPr id="346" name="Group 346"/>
                      <wpg:cNvGrpSpPr/>
                      <wpg:grpSpPr>
                        <a:xfrm>
                          <a:off x="0" y="0"/>
                          <a:ext cx="4707890" cy="6621145"/>
                          <a:chExt cx="4707890" cy="6621145"/>
                        </a:xfrm>
                      </wpg:grpSpPr>
                      <wps:wsp>
                        <wps:cNvPr id="347" name="Graphic 347"/>
                        <wps:cNvSpPr/>
                        <wps:spPr>
                          <a:xfrm>
                            <a:off x="0" y="0"/>
                            <a:ext cx="4707890" cy="6621145"/>
                          </a:xfrm>
                          <a:custGeom>
                            <a:avLst/>
                            <a:gdLst/>
                            <a:ahLst/>
                            <a:cxnLst/>
                            <a:rect l="l" t="t" r="r" b="b"/>
                            <a:pathLst>
                              <a:path w="4707890" h="6621145">
                                <a:moveTo>
                                  <a:pt x="4707369" y="0"/>
                                </a:moveTo>
                                <a:lnTo>
                                  <a:pt x="0" y="0"/>
                                </a:lnTo>
                                <a:lnTo>
                                  <a:pt x="0" y="6620675"/>
                                </a:lnTo>
                                <a:lnTo>
                                  <a:pt x="4707369" y="6620675"/>
                                </a:lnTo>
                                <a:lnTo>
                                  <a:pt x="4707369" y="0"/>
                                </a:lnTo>
                                <a:close/>
                              </a:path>
                            </a:pathLst>
                          </a:custGeom>
                          <a:solidFill>
                            <a:srgbClr val="E0E2E2"/>
                          </a:solidFill>
                        </wps:spPr>
                        <wps:bodyPr wrap="square" lIns="0" tIns="0" rIns="0" bIns="0" rtlCol="0">
                          <a:prstTxWarp prst="textNoShape">
                            <a:avLst/>
                          </a:prstTxWarp>
                          <a:noAutofit/>
                        </wps:bodyPr>
                      </wps:wsp>
                      <wps:wsp>
                        <wps:cNvPr id="348" name="Graphic 348"/>
                        <wps:cNvSpPr/>
                        <wps:spPr>
                          <a:xfrm>
                            <a:off x="-12" y="708037"/>
                            <a:ext cx="4414520" cy="5418455"/>
                          </a:xfrm>
                          <a:custGeom>
                            <a:avLst/>
                            <a:gdLst/>
                            <a:ahLst/>
                            <a:cxnLst/>
                            <a:rect l="l" t="t" r="r" b="b"/>
                            <a:pathLst>
                              <a:path w="4414520" h="5418455">
                                <a:moveTo>
                                  <a:pt x="4414380" y="5010988"/>
                                </a:moveTo>
                                <a:lnTo>
                                  <a:pt x="0" y="5010988"/>
                                </a:lnTo>
                                <a:lnTo>
                                  <a:pt x="0" y="5417858"/>
                                </a:lnTo>
                                <a:lnTo>
                                  <a:pt x="4414380" y="5417858"/>
                                </a:lnTo>
                                <a:lnTo>
                                  <a:pt x="4414380" y="5010988"/>
                                </a:lnTo>
                                <a:close/>
                              </a:path>
                              <a:path w="4414520" h="5418455">
                                <a:moveTo>
                                  <a:pt x="4414380" y="4205046"/>
                                </a:moveTo>
                                <a:lnTo>
                                  <a:pt x="0" y="4205046"/>
                                </a:lnTo>
                                <a:lnTo>
                                  <a:pt x="0" y="4611916"/>
                                </a:lnTo>
                                <a:lnTo>
                                  <a:pt x="4414380" y="4611916"/>
                                </a:lnTo>
                                <a:lnTo>
                                  <a:pt x="4414380" y="4205046"/>
                                </a:lnTo>
                                <a:close/>
                              </a:path>
                              <a:path w="4414520" h="5418455">
                                <a:moveTo>
                                  <a:pt x="4414380" y="3403396"/>
                                </a:moveTo>
                                <a:lnTo>
                                  <a:pt x="0" y="3403396"/>
                                </a:lnTo>
                                <a:lnTo>
                                  <a:pt x="0" y="3810279"/>
                                </a:lnTo>
                                <a:lnTo>
                                  <a:pt x="4414380" y="3810279"/>
                                </a:lnTo>
                                <a:lnTo>
                                  <a:pt x="4414380" y="3403396"/>
                                </a:lnTo>
                                <a:close/>
                              </a:path>
                              <a:path w="4414520" h="5418455">
                                <a:moveTo>
                                  <a:pt x="4414380" y="2413724"/>
                                </a:moveTo>
                                <a:lnTo>
                                  <a:pt x="0" y="2413724"/>
                                </a:lnTo>
                                <a:lnTo>
                                  <a:pt x="0" y="2820593"/>
                                </a:lnTo>
                                <a:lnTo>
                                  <a:pt x="4414380" y="2820593"/>
                                </a:lnTo>
                                <a:lnTo>
                                  <a:pt x="4414380" y="2413724"/>
                                </a:lnTo>
                                <a:close/>
                              </a:path>
                              <a:path w="4414520" h="5418455">
                                <a:moveTo>
                                  <a:pt x="4414380" y="1600835"/>
                                </a:moveTo>
                                <a:lnTo>
                                  <a:pt x="0" y="1600835"/>
                                </a:lnTo>
                                <a:lnTo>
                                  <a:pt x="0" y="2007692"/>
                                </a:lnTo>
                                <a:lnTo>
                                  <a:pt x="4414380" y="2007692"/>
                                </a:lnTo>
                                <a:lnTo>
                                  <a:pt x="4414380" y="1600835"/>
                                </a:lnTo>
                                <a:close/>
                              </a:path>
                              <a:path w="4414520" h="5418455">
                                <a:moveTo>
                                  <a:pt x="4414380" y="812888"/>
                                </a:moveTo>
                                <a:lnTo>
                                  <a:pt x="0" y="812888"/>
                                </a:lnTo>
                                <a:lnTo>
                                  <a:pt x="0" y="1219771"/>
                                </a:lnTo>
                                <a:lnTo>
                                  <a:pt x="4414380" y="1219771"/>
                                </a:lnTo>
                                <a:lnTo>
                                  <a:pt x="4414380" y="812888"/>
                                </a:lnTo>
                                <a:close/>
                              </a:path>
                              <a:path w="4414520" h="5418455">
                                <a:moveTo>
                                  <a:pt x="4414380" y="0"/>
                                </a:moveTo>
                                <a:lnTo>
                                  <a:pt x="0" y="0"/>
                                </a:lnTo>
                                <a:lnTo>
                                  <a:pt x="0" y="406869"/>
                                </a:lnTo>
                                <a:lnTo>
                                  <a:pt x="4414380" y="406869"/>
                                </a:lnTo>
                                <a:lnTo>
                                  <a:pt x="4414380" y="0"/>
                                </a:lnTo>
                                <a:close/>
                              </a:path>
                            </a:pathLst>
                          </a:custGeom>
                          <a:solidFill>
                            <a:srgbClr val="FFFFFF"/>
                          </a:solidFill>
                        </wps:spPr>
                        <wps:bodyPr wrap="square" lIns="0" tIns="0" rIns="0" bIns="0" rtlCol="0">
                          <a:prstTxWarp prst="textNoShape">
                            <a:avLst/>
                          </a:prstTxWarp>
                          <a:noAutofit/>
                        </wps:bodyPr>
                      </wps:wsp>
                      <pic:pic>
                        <pic:nvPicPr>
                          <pic:cNvPr id="349" name="Image 349"/>
                          <pic:cNvPicPr/>
                        </pic:nvPicPr>
                        <pic:blipFill>
                          <a:blip r:embed="rId91" cstate="print"/>
                          <a:stretch>
                            <a:fillRect/>
                          </a:stretch>
                        </pic:blipFill>
                        <pic:spPr>
                          <a:xfrm>
                            <a:off x="2457265" y="236642"/>
                            <a:ext cx="891213" cy="257618"/>
                          </a:xfrm>
                          <a:prstGeom prst="rect">
                            <a:avLst/>
                          </a:prstGeom>
                        </pic:spPr>
                      </pic:pic>
                      <pic:pic>
                        <pic:nvPicPr>
                          <pic:cNvPr id="350" name="Image 350"/>
                          <pic:cNvPicPr/>
                        </pic:nvPicPr>
                        <pic:blipFill>
                          <a:blip r:embed="rId92" cstate="print"/>
                          <a:stretch>
                            <a:fillRect/>
                          </a:stretch>
                        </pic:blipFill>
                        <pic:spPr>
                          <a:xfrm>
                            <a:off x="2462965" y="884854"/>
                            <a:ext cx="637835" cy="103183"/>
                          </a:xfrm>
                          <a:prstGeom prst="rect">
                            <a:avLst/>
                          </a:prstGeom>
                        </pic:spPr>
                      </pic:pic>
                      <pic:pic>
                        <pic:nvPicPr>
                          <pic:cNvPr id="351" name="Image 351"/>
                          <pic:cNvPicPr/>
                        </pic:nvPicPr>
                        <pic:blipFill>
                          <a:blip r:embed="rId93" cstate="print"/>
                          <a:stretch>
                            <a:fillRect/>
                          </a:stretch>
                        </pic:blipFill>
                        <pic:spPr>
                          <a:xfrm>
                            <a:off x="301157" y="884911"/>
                            <a:ext cx="117016" cy="87369"/>
                          </a:xfrm>
                          <a:prstGeom prst="rect">
                            <a:avLst/>
                          </a:prstGeom>
                        </pic:spPr>
                      </pic:pic>
                      <pic:pic>
                        <pic:nvPicPr>
                          <pic:cNvPr id="352" name="Image 352"/>
                          <pic:cNvPicPr/>
                        </pic:nvPicPr>
                        <pic:blipFill>
                          <a:blip r:embed="rId94" cstate="print"/>
                          <a:stretch>
                            <a:fillRect/>
                          </a:stretch>
                        </pic:blipFill>
                        <pic:spPr>
                          <a:xfrm>
                            <a:off x="438017" y="880008"/>
                            <a:ext cx="176389" cy="92265"/>
                          </a:xfrm>
                          <a:prstGeom prst="rect">
                            <a:avLst/>
                          </a:prstGeom>
                        </pic:spPr>
                      </pic:pic>
                      <pic:pic>
                        <pic:nvPicPr>
                          <pic:cNvPr id="353" name="Image 353"/>
                          <pic:cNvPicPr/>
                        </pic:nvPicPr>
                        <pic:blipFill>
                          <a:blip r:embed="rId95" cstate="print"/>
                          <a:stretch>
                            <a:fillRect/>
                          </a:stretch>
                        </pic:blipFill>
                        <pic:spPr>
                          <a:xfrm>
                            <a:off x="659886" y="880003"/>
                            <a:ext cx="318278" cy="92278"/>
                          </a:xfrm>
                          <a:prstGeom prst="rect">
                            <a:avLst/>
                          </a:prstGeom>
                        </pic:spPr>
                      </pic:pic>
                      <wps:wsp>
                        <wps:cNvPr id="354" name="Graphic 354"/>
                        <wps:cNvSpPr/>
                        <wps:spPr>
                          <a:xfrm>
                            <a:off x="301155" y="1276756"/>
                            <a:ext cx="2713355" cy="105410"/>
                          </a:xfrm>
                          <a:custGeom>
                            <a:avLst/>
                            <a:gdLst/>
                            <a:ahLst/>
                            <a:cxnLst/>
                            <a:rect l="l" t="t" r="r" b="b"/>
                            <a:pathLst>
                              <a:path w="2713355" h="105410">
                                <a:moveTo>
                                  <a:pt x="45542" y="81737"/>
                                </a:moveTo>
                                <a:lnTo>
                                  <a:pt x="10071" y="81737"/>
                                </a:lnTo>
                                <a:lnTo>
                                  <a:pt x="10071" y="51663"/>
                                </a:lnTo>
                                <a:lnTo>
                                  <a:pt x="41097" y="51663"/>
                                </a:lnTo>
                                <a:lnTo>
                                  <a:pt x="41097" y="42608"/>
                                </a:lnTo>
                                <a:lnTo>
                                  <a:pt x="10071" y="42608"/>
                                </a:lnTo>
                                <a:lnTo>
                                  <a:pt x="10071" y="14033"/>
                                </a:lnTo>
                                <a:lnTo>
                                  <a:pt x="43624" y="14033"/>
                                </a:lnTo>
                                <a:lnTo>
                                  <a:pt x="43624" y="4927"/>
                                </a:lnTo>
                                <a:lnTo>
                                  <a:pt x="0" y="4927"/>
                                </a:lnTo>
                                <a:lnTo>
                                  <a:pt x="0" y="90843"/>
                                </a:lnTo>
                                <a:lnTo>
                                  <a:pt x="45542" y="90843"/>
                                </a:lnTo>
                                <a:lnTo>
                                  <a:pt x="45542" y="81737"/>
                                </a:lnTo>
                                <a:close/>
                              </a:path>
                              <a:path w="2713355" h="105410">
                                <a:moveTo>
                                  <a:pt x="113131" y="0"/>
                                </a:moveTo>
                                <a:lnTo>
                                  <a:pt x="103301" y="0"/>
                                </a:lnTo>
                                <a:lnTo>
                                  <a:pt x="103301" y="37985"/>
                                </a:lnTo>
                                <a:lnTo>
                                  <a:pt x="103301" y="49098"/>
                                </a:lnTo>
                                <a:lnTo>
                                  <a:pt x="103301" y="69126"/>
                                </a:lnTo>
                                <a:lnTo>
                                  <a:pt x="101600" y="74117"/>
                                </a:lnTo>
                                <a:lnTo>
                                  <a:pt x="94818" y="82029"/>
                                </a:lnTo>
                                <a:lnTo>
                                  <a:pt x="90360" y="83997"/>
                                </a:lnTo>
                                <a:lnTo>
                                  <a:pt x="79298" y="83997"/>
                                </a:lnTo>
                                <a:lnTo>
                                  <a:pt x="74866" y="81953"/>
                                </a:lnTo>
                                <a:lnTo>
                                  <a:pt x="68287" y="73774"/>
                                </a:lnTo>
                                <a:lnTo>
                                  <a:pt x="66636" y="68186"/>
                                </a:lnTo>
                                <a:lnTo>
                                  <a:pt x="66636" y="53378"/>
                                </a:lnTo>
                                <a:lnTo>
                                  <a:pt x="68351" y="47294"/>
                                </a:lnTo>
                                <a:lnTo>
                                  <a:pt x="75222" y="38506"/>
                                </a:lnTo>
                                <a:lnTo>
                                  <a:pt x="79933" y="36309"/>
                                </a:lnTo>
                                <a:lnTo>
                                  <a:pt x="90919" y="36309"/>
                                </a:lnTo>
                                <a:lnTo>
                                  <a:pt x="95072" y="38023"/>
                                </a:lnTo>
                                <a:lnTo>
                                  <a:pt x="101650" y="44907"/>
                                </a:lnTo>
                                <a:lnTo>
                                  <a:pt x="103301" y="49098"/>
                                </a:lnTo>
                                <a:lnTo>
                                  <a:pt x="103301" y="37985"/>
                                </a:lnTo>
                                <a:lnTo>
                                  <a:pt x="103060" y="37985"/>
                                </a:lnTo>
                                <a:lnTo>
                                  <a:pt x="102095" y="36309"/>
                                </a:lnTo>
                                <a:lnTo>
                                  <a:pt x="101155" y="34671"/>
                                </a:lnTo>
                                <a:lnTo>
                                  <a:pt x="98666" y="32181"/>
                                </a:lnTo>
                                <a:lnTo>
                                  <a:pt x="92544" y="28867"/>
                                </a:lnTo>
                                <a:lnTo>
                                  <a:pt x="88900" y="28041"/>
                                </a:lnTo>
                                <a:lnTo>
                                  <a:pt x="76161" y="28041"/>
                                </a:lnTo>
                                <a:lnTo>
                                  <a:pt x="56591" y="61112"/>
                                </a:lnTo>
                                <a:lnTo>
                                  <a:pt x="56565" y="71056"/>
                                </a:lnTo>
                                <a:lnTo>
                                  <a:pt x="58877" y="78549"/>
                                </a:lnTo>
                                <a:lnTo>
                                  <a:pt x="68110" y="89522"/>
                                </a:lnTo>
                                <a:lnTo>
                                  <a:pt x="74256" y="92278"/>
                                </a:lnTo>
                                <a:lnTo>
                                  <a:pt x="86766" y="92278"/>
                                </a:lnTo>
                                <a:lnTo>
                                  <a:pt x="90906" y="91287"/>
                                </a:lnTo>
                                <a:lnTo>
                                  <a:pt x="97904" y="87337"/>
                                </a:lnTo>
                                <a:lnTo>
                                  <a:pt x="100787" y="84366"/>
                                </a:lnTo>
                                <a:lnTo>
                                  <a:pt x="100990" y="83997"/>
                                </a:lnTo>
                                <a:lnTo>
                                  <a:pt x="103060" y="80416"/>
                                </a:lnTo>
                                <a:lnTo>
                                  <a:pt x="103301" y="80416"/>
                                </a:lnTo>
                                <a:lnTo>
                                  <a:pt x="103301" y="90830"/>
                                </a:lnTo>
                                <a:lnTo>
                                  <a:pt x="113131" y="90830"/>
                                </a:lnTo>
                                <a:lnTo>
                                  <a:pt x="113131" y="80416"/>
                                </a:lnTo>
                                <a:lnTo>
                                  <a:pt x="113131" y="37985"/>
                                </a:lnTo>
                                <a:lnTo>
                                  <a:pt x="113131" y="0"/>
                                </a:lnTo>
                                <a:close/>
                              </a:path>
                              <a:path w="2713355" h="105410">
                                <a:moveTo>
                                  <a:pt x="182626" y="29489"/>
                                </a:moveTo>
                                <a:lnTo>
                                  <a:pt x="172796" y="29489"/>
                                </a:lnTo>
                                <a:lnTo>
                                  <a:pt x="172796" y="70548"/>
                                </a:lnTo>
                                <a:lnTo>
                                  <a:pt x="171246" y="75184"/>
                                </a:lnTo>
                                <a:lnTo>
                                  <a:pt x="165061" y="82245"/>
                                </a:lnTo>
                                <a:lnTo>
                                  <a:pt x="161112" y="84010"/>
                                </a:lnTo>
                                <a:lnTo>
                                  <a:pt x="151371" y="84010"/>
                                </a:lnTo>
                                <a:lnTo>
                                  <a:pt x="147650" y="82397"/>
                                </a:lnTo>
                                <a:lnTo>
                                  <a:pt x="142697" y="75933"/>
                                </a:lnTo>
                                <a:lnTo>
                                  <a:pt x="141465" y="71069"/>
                                </a:lnTo>
                                <a:lnTo>
                                  <a:pt x="141465" y="29489"/>
                                </a:lnTo>
                                <a:lnTo>
                                  <a:pt x="131699" y="29489"/>
                                </a:lnTo>
                                <a:lnTo>
                                  <a:pt x="131699" y="74866"/>
                                </a:lnTo>
                                <a:lnTo>
                                  <a:pt x="133527" y="81394"/>
                                </a:lnTo>
                                <a:lnTo>
                                  <a:pt x="140830" y="90106"/>
                                </a:lnTo>
                                <a:lnTo>
                                  <a:pt x="146316" y="92290"/>
                                </a:lnTo>
                                <a:lnTo>
                                  <a:pt x="157899" y="92290"/>
                                </a:lnTo>
                                <a:lnTo>
                                  <a:pt x="161607" y="91363"/>
                                </a:lnTo>
                                <a:lnTo>
                                  <a:pt x="167919" y="87642"/>
                                </a:lnTo>
                                <a:lnTo>
                                  <a:pt x="170522" y="84848"/>
                                </a:lnTo>
                                <a:lnTo>
                                  <a:pt x="172554" y="81140"/>
                                </a:lnTo>
                                <a:lnTo>
                                  <a:pt x="172796" y="81140"/>
                                </a:lnTo>
                                <a:lnTo>
                                  <a:pt x="172796" y="90843"/>
                                </a:lnTo>
                                <a:lnTo>
                                  <a:pt x="182626" y="90843"/>
                                </a:lnTo>
                                <a:lnTo>
                                  <a:pt x="182626" y="29489"/>
                                </a:lnTo>
                                <a:close/>
                              </a:path>
                              <a:path w="2713355" h="105410">
                                <a:moveTo>
                                  <a:pt x="247281" y="32905"/>
                                </a:moveTo>
                                <a:lnTo>
                                  <a:pt x="244360" y="31178"/>
                                </a:lnTo>
                                <a:lnTo>
                                  <a:pt x="241477" y="29946"/>
                                </a:lnTo>
                                <a:lnTo>
                                  <a:pt x="235775" y="28422"/>
                                </a:lnTo>
                                <a:lnTo>
                                  <a:pt x="232765" y="28041"/>
                                </a:lnTo>
                                <a:lnTo>
                                  <a:pt x="219862" y="28041"/>
                                </a:lnTo>
                                <a:lnTo>
                                  <a:pt x="198272" y="61480"/>
                                </a:lnTo>
                                <a:lnTo>
                                  <a:pt x="198272" y="71310"/>
                                </a:lnTo>
                                <a:lnTo>
                                  <a:pt x="201028" y="78905"/>
                                </a:lnTo>
                                <a:lnTo>
                                  <a:pt x="212102" y="89598"/>
                                </a:lnTo>
                                <a:lnTo>
                                  <a:pt x="219176" y="92278"/>
                                </a:lnTo>
                                <a:lnTo>
                                  <a:pt x="231165" y="92278"/>
                                </a:lnTo>
                                <a:lnTo>
                                  <a:pt x="239064" y="81432"/>
                                </a:lnTo>
                                <a:lnTo>
                                  <a:pt x="236918" y="82410"/>
                                </a:lnTo>
                                <a:lnTo>
                                  <a:pt x="232651" y="83642"/>
                                </a:lnTo>
                                <a:lnTo>
                                  <a:pt x="230606" y="83959"/>
                                </a:lnTo>
                                <a:lnTo>
                                  <a:pt x="222656" y="83959"/>
                                </a:lnTo>
                                <a:lnTo>
                                  <a:pt x="217766" y="81940"/>
                                </a:lnTo>
                                <a:lnTo>
                                  <a:pt x="210223" y="73863"/>
                                </a:lnTo>
                                <a:lnTo>
                                  <a:pt x="208330" y="68008"/>
                                </a:lnTo>
                                <a:lnTo>
                                  <a:pt x="208330" y="53390"/>
                                </a:lnTo>
                                <a:lnTo>
                                  <a:pt x="210134" y="47663"/>
                                </a:lnTo>
                                <a:lnTo>
                                  <a:pt x="217322" y="38633"/>
                                </a:lnTo>
                                <a:lnTo>
                                  <a:pt x="222504" y="36372"/>
                                </a:lnTo>
                                <a:lnTo>
                                  <a:pt x="231851" y="36372"/>
                                </a:lnTo>
                                <a:lnTo>
                                  <a:pt x="234238" y="36677"/>
                                </a:lnTo>
                                <a:lnTo>
                                  <a:pt x="238633" y="37871"/>
                                </a:lnTo>
                                <a:lnTo>
                                  <a:pt x="240868" y="38811"/>
                                </a:lnTo>
                                <a:lnTo>
                                  <a:pt x="243154" y="40093"/>
                                </a:lnTo>
                                <a:lnTo>
                                  <a:pt x="247281" y="32905"/>
                                </a:lnTo>
                                <a:close/>
                              </a:path>
                              <a:path w="2713355" h="105410">
                                <a:moveTo>
                                  <a:pt x="302577" y="43307"/>
                                </a:moveTo>
                                <a:lnTo>
                                  <a:pt x="300697" y="37592"/>
                                </a:lnTo>
                                <a:lnTo>
                                  <a:pt x="299453" y="36322"/>
                                </a:lnTo>
                                <a:lnTo>
                                  <a:pt x="293192" y="29959"/>
                                </a:lnTo>
                                <a:lnTo>
                                  <a:pt x="287591" y="28054"/>
                                </a:lnTo>
                                <a:lnTo>
                                  <a:pt x="275412" y="28054"/>
                                </a:lnTo>
                                <a:lnTo>
                                  <a:pt x="271094" y="28829"/>
                                </a:lnTo>
                                <a:lnTo>
                                  <a:pt x="263347" y="31940"/>
                                </a:lnTo>
                                <a:lnTo>
                                  <a:pt x="259689" y="34378"/>
                                </a:lnTo>
                                <a:lnTo>
                                  <a:pt x="256260" y="37693"/>
                                </a:lnTo>
                                <a:lnTo>
                                  <a:pt x="262013" y="43637"/>
                                </a:lnTo>
                                <a:lnTo>
                                  <a:pt x="264604" y="41148"/>
                                </a:lnTo>
                                <a:lnTo>
                                  <a:pt x="267385" y="39319"/>
                                </a:lnTo>
                                <a:lnTo>
                                  <a:pt x="273291" y="36918"/>
                                </a:lnTo>
                                <a:lnTo>
                                  <a:pt x="276377" y="36322"/>
                                </a:lnTo>
                                <a:lnTo>
                                  <a:pt x="283565" y="36322"/>
                                </a:lnTo>
                                <a:lnTo>
                                  <a:pt x="286753" y="37401"/>
                                </a:lnTo>
                                <a:lnTo>
                                  <a:pt x="291553" y="41770"/>
                                </a:lnTo>
                                <a:lnTo>
                                  <a:pt x="292747" y="45427"/>
                                </a:lnTo>
                                <a:lnTo>
                                  <a:pt x="292747" y="51955"/>
                                </a:lnTo>
                                <a:lnTo>
                                  <a:pt x="292747" y="59817"/>
                                </a:lnTo>
                                <a:lnTo>
                                  <a:pt x="292747" y="71234"/>
                                </a:lnTo>
                                <a:lnTo>
                                  <a:pt x="291185" y="75628"/>
                                </a:lnTo>
                                <a:lnTo>
                                  <a:pt x="284911" y="82575"/>
                                </a:lnTo>
                                <a:lnTo>
                                  <a:pt x="280682" y="84315"/>
                                </a:lnTo>
                                <a:lnTo>
                                  <a:pt x="272300" y="84315"/>
                                </a:lnTo>
                                <a:lnTo>
                                  <a:pt x="269684" y="83350"/>
                                </a:lnTo>
                                <a:lnTo>
                                  <a:pt x="265417" y="79438"/>
                                </a:lnTo>
                                <a:lnTo>
                                  <a:pt x="264350" y="76669"/>
                                </a:lnTo>
                                <a:lnTo>
                                  <a:pt x="264350" y="69469"/>
                                </a:lnTo>
                                <a:lnTo>
                                  <a:pt x="265493" y="66903"/>
                                </a:lnTo>
                                <a:lnTo>
                                  <a:pt x="270040" y="63627"/>
                                </a:lnTo>
                                <a:lnTo>
                                  <a:pt x="273443" y="62484"/>
                                </a:lnTo>
                                <a:lnTo>
                                  <a:pt x="292747" y="59817"/>
                                </a:lnTo>
                                <a:lnTo>
                                  <a:pt x="292747" y="51955"/>
                                </a:lnTo>
                                <a:lnTo>
                                  <a:pt x="256374" y="64325"/>
                                </a:lnTo>
                                <a:lnTo>
                                  <a:pt x="254584" y="68656"/>
                                </a:lnTo>
                                <a:lnTo>
                                  <a:pt x="254596" y="79463"/>
                                </a:lnTo>
                                <a:lnTo>
                                  <a:pt x="256362" y="83896"/>
                                </a:lnTo>
                                <a:lnTo>
                                  <a:pt x="263474" y="90601"/>
                                </a:lnTo>
                                <a:lnTo>
                                  <a:pt x="268122" y="92290"/>
                                </a:lnTo>
                                <a:lnTo>
                                  <a:pt x="277990" y="92290"/>
                                </a:lnTo>
                                <a:lnTo>
                                  <a:pt x="292506" y="81267"/>
                                </a:lnTo>
                                <a:lnTo>
                                  <a:pt x="292747" y="81267"/>
                                </a:lnTo>
                                <a:lnTo>
                                  <a:pt x="292747" y="90843"/>
                                </a:lnTo>
                                <a:lnTo>
                                  <a:pt x="302577" y="90843"/>
                                </a:lnTo>
                                <a:lnTo>
                                  <a:pt x="302577" y="81267"/>
                                </a:lnTo>
                                <a:lnTo>
                                  <a:pt x="302577" y="59817"/>
                                </a:lnTo>
                                <a:lnTo>
                                  <a:pt x="302577" y="43307"/>
                                </a:lnTo>
                                <a:close/>
                              </a:path>
                              <a:path w="2713355" h="105410">
                                <a:moveTo>
                                  <a:pt x="350812" y="90119"/>
                                </a:moveTo>
                                <a:lnTo>
                                  <a:pt x="348424" y="82638"/>
                                </a:lnTo>
                                <a:lnTo>
                                  <a:pt x="346722" y="83312"/>
                                </a:lnTo>
                                <a:lnTo>
                                  <a:pt x="343331" y="84010"/>
                                </a:lnTo>
                                <a:lnTo>
                                  <a:pt x="339610" y="84010"/>
                                </a:lnTo>
                                <a:lnTo>
                                  <a:pt x="337718" y="83235"/>
                                </a:lnTo>
                                <a:lnTo>
                                  <a:pt x="335203" y="80111"/>
                                </a:lnTo>
                                <a:lnTo>
                                  <a:pt x="334581" y="77584"/>
                                </a:lnTo>
                                <a:lnTo>
                                  <a:pt x="334581" y="37871"/>
                                </a:lnTo>
                                <a:lnTo>
                                  <a:pt x="350037" y="37871"/>
                                </a:lnTo>
                                <a:lnTo>
                                  <a:pt x="350037" y="29489"/>
                                </a:lnTo>
                                <a:lnTo>
                                  <a:pt x="334581" y="29489"/>
                                </a:lnTo>
                                <a:lnTo>
                                  <a:pt x="334581" y="11328"/>
                                </a:lnTo>
                                <a:lnTo>
                                  <a:pt x="324751" y="14503"/>
                                </a:lnTo>
                                <a:lnTo>
                                  <a:pt x="324751" y="29489"/>
                                </a:lnTo>
                                <a:lnTo>
                                  <a:pt x="314210" y="29489"/>
                                </a:lnTo>
                                <a:lnTo>
                                  <a:pt x="314210" y="37871"/>
                                </a:lnTo>
                                <a:lnTo>
                                  <a:pt x="324751" y="37871"/>
                                </a:lnTo>
                                <a:lnTo>
                                  <a:pt x="324751" y="80797"/>
                                </a:lnTo>
                                <a:lnTo>
                                  <a:pt x="326136" y="85026"/>
                                </a:lnTo>
                                <a:lnTo>
                                  <a:pt x="331685" y="90728"/>
                                </a:lnTo>
                                <a:lnTo>
                                  <a:pt x="335508" y="92163"/>
                                </a:lnTo>
                                <a:lnTo>
                                  <a:pt x="342430" y="92163"/>
                                </a:lnTo>
                                <a:lnTo>
                                  <a:pt x="344258" y="91986"/>
                                </a:lnTo>
                                <a:lnTo>
                                  <a:pt x="347484" y="91313"/>
                                </a:lnTo>
                                <a:lnTo>
                                  <a:pt x="350812" y="90119"/>
                                </a:lnTo>
                                <a:close/>
                              </a:path>
                              <a:path w="2713355" h="105410">
                                <a:moveTo>
                                  <a:pt x="372973" y="29476"/>
                                </a:moveTo>
                                <a:lnTo>
                                  <a:pt x="363143" y="29476"/>
                                </a:lnTo>
                                <a:lnTo>
                                  <a:pt x="363143" y="90830"/>
                                </a:lnTo>
                                <a:lnTo>
                                  <a:pt x="372973" y="90830"/>
                                </a:lnTo>
                                <a:lnTo>
                                  <a:pt x="372973" y="29476"/>
                                </a:lnTo>
                                <a:close/>
                              </a:path>
                              <a:path w="2713355" h="105410">
                                <a:moveTo>
                                  <a:pt x="375259" y="5892"/>
                                </a:moveTo>
                                <a:lnTo>
                                  <a:pt x="374573" y="4241"/>
                                </a:lnTo>
                                <a:lnTo>
                                  <a:pt x="371868" y="1562"/>
                                </a:lnTo>
                                <a:lnTo>
                                  <a:pt x="370179" y="901"/>
                                </a:lnTo>
                                <a:lnTo>
                                  <a:pt x="366191" y="901"/>
                                </a:lnTo>
                                <a:lnTo>
                                  <a:pt x="364515" y="1562"/>
                                </a:lnTo>
                                <a:lnTo>
                                  <a:pt x="361797" y="4241"/>
                                </a:lnTo>
                                <a:lnTo>
                                  <a:pt x="361111" y="5892"/>
                                </a:lnTo>
                                <a:lnTo>
                                  <a:pt x="361111" y="9804"/>
                                </a:lnTo>
                                <a:lnTo>
                                  <a:pt x="361797" y="11455"/>
                                </a:lnTo>
                                <a:lnTo>
                                  <a:pt x="364515" y="14135"/>
                                </a:lnTo>
                                <a:lnTo>
                                  <a:pt x="366191" y="14795"/>
                                </a:lnTo>
                                <a:lnTo>
                                  <a:pt x="370179" y="14795"/>
                                </a:lnTo>
                                <a:lnTo>
                                  <a:pt x="371868" y="14135"/>
                                </a:lnTo>
                                <a:lnTo>
                                  <a:pt x="374573" y="11455"/>
                                </a:lnTo>
                                <a:lnTo>
                                  <a:pt x="375259" y="9804"/>
                                </a:lnTo>
                                <a:lnTo>
                                  <a:pt x="375259" y="5892"/>
                                </a:lnTo>
                                <a:close/>
                              </a:path>
                              <a:path w="2713355" h="105410">
                                <a:moveTo>
                                  <a:pt x="449072" y="49974"/>
                                </a:moveTo>
                                <a:lnTo>
                                  <a:pt x="446519" y="42176"/>
                                </a:lnTo>
                                <a:lnTo>
                                  <a:pt x="441223" y="36322"/>
                                </a:lnTo>
                                <a:lnTo>
                                  <a:pt x="439013" y="33896"/>
                                </a:lnTo>
                                <a:lnTo>
                                  <a:pt x="439013" y="52590"/>
                                </a:lnTo>
                                <a:lnTo>
                                  <a:pt x="439013" y="67843"/>
                                </a:lnTo>
                                <a:lnTo>
                                  <a:pt x="437299" y="73685"/>
                                </a:lnTo>
                                <a:lnTo>
                                  <a:pt x="430466" y="81953"/>
                                </a:lnTo>
                                <a:lnTo>
                                  <a:pt x="425589" y="84010"/>
                                </a:lnTo>
                                <a:lnTo>
                                  <a:pt x="413004" y="84010"/>
                                </a:lnTo>
                                <a:lnTo>
                                  <a:pt x="408038" y="81927"/>
                                </a:lnTo>
                                <a:lnTo>
                                  <a:pt x="400596" y="73533"/>
                                </a:lnTo>
                                <a:lnTo>
                                  <a:pt x="398754" y="67843"/>
                                </a:lnTo>
                                <a:lnTo>
                                  <a:pt x="398741" y="53022"/>
                                </a:lnTo>
                                <a:lnTo>
                                  <a:pt x="400583" y="47104"/>
                                </a:lnTo>
                                <a:lnTo>
                                  <a:pt x="407936" y="38481"/>
                                </a:lnTo>
                                <a:lnTo>
                                  <a:pt x="412927" y="36322"/>
                                </a:lnTo>
                                <a:lnTo>
                                  <a:pt x="425551" y="36322"/>
                                </a:lnTo>
                                <a:lnTo>
                                  <a:pt x="430415" y="38392"/>
                                </a:lnTo>
                                <a:lnTo>
                                  <a:pt x="437299" y="46659"/>
                                </a:lnTo>
                                <a:lnTo>
                                  <a:pt x="439013" y="52590"/>
                                </a:lnTo>
                                <a:lnTo>
                                  <a:pt x="439013" y="33896"/>
                                </a:lnTo>
                                <a:lnTo>
                                  <a:pt x="436245" y="30835"/>
                                </a:lnTo>
                                <a:lnTo>
                                  <a:pt x="429094" y="28016"/>
                                </a:lnTo>
                                <a:lnTo>
                                  <a:pt x="410286" y="28092"/>
                                </a:lnTo>
                                <a:lnTo>
                                  <a:pt x="388683" y="60896"/>
                                </a:lnTo>
                                <a:lnTo>
                                  <a:pt x="388683" y="70345"/>
                                </a:lnTo>
                                <a:lnTo>
                                  <a:pt x="391388" y="77952"/>
                                </a:lnTo>
                                <a:lnTo>
                                  <a:pt x="402209" y="89420"/>
                                </a:lnTo>
                                <a:lnTo>
                                  <a:pt x="409448" y="92290"/>
                                </a:lnTo>
                                <a:lnTo>
                                  <a:pt x="427824" y="92290"/>
                                </a:lnTo>
                                <a:lnTo>
                                  <a:pt x="435241" y="89357"/>
                                </a:lnTo>
                                <a:lnTo>
                                  <a:pt x="440283" y="84010"/>
                                </a:lnTo>
                                <a:lnTo>
                                  <a:pt x="446303" y="77609"/>
                                </a:lnTo>
                                <a:lnTo>
                                  <a:pt x="449072" y="69761"/>
                                </a:lnTo>
                                <a:lnTo>
                                  <a:pt x="449072" y="49974"/>
                                </a:lnTo>
                                <a:close/>
                              </a:path>
                              <a:path w="2713355" h="105410">
                                <a:moveTo>
                                  <a:pt x="515708" y="45148"/>
                                </a:moveTo>
                                <a:lnTo>
                                  <a:pt x="513930" y="38887"/>
                                </a:lnTo>
                                <a:lnTo>
                                  <a:pt x="506818" y="30226"/>
                                </a:lnTo>
                                <a:lnTo>
                                  <a:pt x="501688" y="28054"/>
                                </a:lnTo>
                                <a:lnTo>
                                  <a:pt x="490575" y="28054"/>
                                </a:lnTo>
                                <a:lnTo>
                                  <a:pt x="486702" y="29019"/>
                                </a:lnTo>
                                <a:lnTo>
                                  <a:pt x="479996" y="32893"/>
                                </a:lnTo>
                                <a:lnTo>
                                  <a:pt x="477164" y="35814"/>
                                </a:lnTo>
                                <a:lnTo>
                                  <a:pt x="474840" y="39674"/>
                                </a:lnTo>
                                <a:lnTo>
                                  <a:pt x="474599" y="39674"/>
                                </a:lnTo>
                                <a:lnTo>
                                  <a:pt x="474599" y="29489"/>
                                </a:lnTo>
                                <a:lnTo>
                                  <a:pt x="464781" y="29489"/>
                                </a:lnTo>
                                <a:lnTo>
                                  <a:pt x="464781" y="90843"/>
                                </a:lnTo>
                                <a:lnTo>
                                  <a:pt x="474599" y="90843"/>
                                </a:lnTo>
                                <a:lnTo>
                                  <a:pt x="474599" y="50215"/>
                                </a:lnTo>
                                <a:lnTo>
                                  <a:pt x="476211" y="45567"/>
                                </a:lnTo>
                                <a:lnTo>
                                  <a:pt x="482638" y="38176"/>
                                </a:lnTo>
                                <a:lnTo>
                                  <a:pt x="486702" y="36322"/>
                                </a:lnTo>
                                <a:lnTo>
                                  <a:pt x="496379" y="36322"/>
                                </a:lnTo>
                                <a:lnTo>
                                  <a:pt x="499935" y="37947"/>
                                </a:lnTo>
                                <a:lnTo>
                                  <a:pt x="504685" y="44462"/>
                                </a:lnTo>
                                <a:lnTo>
                                  <a:pt x="505879" y="49339"/>
                                </a:lnTo>
                                <a:lnTo>
                                  <a:pt x="505879" y="90843"/>
                                </a:lnTo>
                                <a:lnTo>
                                  <a:pt x="515708" y="90843"/>
                                </a:lnTo>
                                <a:lnTo>
                                  <a:pt x="515708" y="45148"/>
                                </a:lnTo>
                                <a:close/>
                              </a:path>
                              <a:path w="2713355" h="105410">
                                <a:moveTo>
                                  <a:pt x="2216569" y="3454"/>
                                </a:moveTo>
                                <a:lnTo>
                                  <a:pt x="2161921" y="3454"/>
                                </a:lnTo>
                                <a:lnTo>
                                  <a:pt x="2161921" y="12319"/>
                                </a:lnTo>
                                <a:lnTo>
                                  <a:pt x="2204999" y="12319"/>
                                </a:lnTo>
                                <a:lnTo>
                                  <a:pt x="2200643" y="20180"/>
                                </a:lnTo>
                                <a:lnTo>
                                  <a:pt x="2183104" y="57785"/>
                                </a:lnTo>
                                <a:lnTo>
                                  <a:pt x="2174925" y="89369"/>
                                </a:lnTo>
                                <a:lnTo>
                                  <a:pt x="2185466" y="89369"/>
                                </a:lnTo>
                                <a:lnTo>
                                  <a:pt x="2187537" y="78130"/>
                                </a:lnTo>
                                <a:lnTo>
                                  <a:pt x="2190229" y="67322"/>
                                </a:lnTo>
                                <a:lnTo>
                                  <a:pt x="2206599" y="27724"/>
                                </a:lnTo>
                                <a:lnTo>
                                  <a:pt x="2216569" y="9144"/>
                                </a:lnTo>
                                <a:lnTo>
                                  <a:pt x="2216569" y="3454"/>
                                </a:lnTo>
                                <a:close/>
                              </a:path>
                              <a:path w="2713355" h="105410">
                                <a:moveTo>
                                  <a:pt x="2282418" y="55105"/>
                                </a:moveTo>
                                <a:lnTo>
                                  <a:pt x="2279853" y="48768"/>
                                </a:lnTo>
                                <a:lnTo>
                                  <a:pt x="2269540" y="39547"/>
                                </a:lnTo>
                                <a:lnTo>
                                  <a:pt x="2262454" y="37249"/>
                                </a:lnTo>
                                <a:lnTo>
                                  <a:pt x="2253424" y="37249"/>
                                </a:lnTo>
                                <a:lnTo>
                                  <a:pt x="2245512" y="37541"/>
                                </a:lnTo>
                                <a:lnTo>
                                  <a:pt x="2247252" y="12319"/>
                                </a:lnTo>
                                <a:lnTo>
                                  <a:pt x="2278469" y="12319"/>
                                </a:lnTo>
                                <a:lnTo>
                                  <a:pt x="2278469" y="3454"/>
                                </a:lnTo>
                                <a:lnTo>
                                  <a:pt x="2238743" y="3454"/>
                                </a:lnTo>
                                <a:lnTo>
                                  <a:pt x="2235809" y="46532"/>
                                </a:lnTo>
                                <a:lnTo>
                                  <a:pt x="2237803" y="46291"/>
                                </a:lnTo>
                                <a:lnTo>
                                  <a:pt x="2245550" y="45872"/>
                                </a:lnTo>
                                <a:lnTo>
                                  <a:pt x="2257514" y="45808"/>
                                </a:lnTo>
                                <a:lnTo>
                                  <a:pt x="2262975" y="47396"/>
                                </a:lnTo>
                                <a:lnTo>
                                  <a:pt x="2270480" y="53759"/>
                                </a:lnTo>
                                <a:lnTo>
                                  <a:pt x="2272360" y="58140"/>
                                </a:lnTo>
                                <a:lnTo>
                                  <a:pt x="2272360" y="69240"/>
                                </a:lnTo>
                                <a:lnTo>
                                  <a:pt x="2270544" y="73748"/>
                                </a:lnTo>
                                <a:lnTo>
                                  <a:pt x="2263279" y="80733"/>
                                </a:lnTo>
                                <a:lnTo>
                                  <a:pt x="2258644" y="82486"/>
                                </a:lnTo>
                                <a:lnTo>
                                  <a:pt x="2249284" y="82486"/>
                                </a:lnTo>
                                <a:lnTo>
                                  <a:pt x="2245868" y="81940"/>
                                </a:lnTo>
                                <a:lnTo>
                                  <a:pt x="2239594" y="79781"/>
                                </a:lnTo>
                                <a:lnTo>
                                  <a:pt x="2236533" y="78066"/>
                                </a:lnTo>
                                <a:lnTo>
                                  <a:pt x="2233536" y="75717"/>
                                </a:lnTo>
                                <a:lnTo>
                                  <a:pt x="2228380" y="82359"/>
                                </a:lnTo>
                                <a:lnTo>
                                  <a:pt x="2232139" y="85280"/>
                                </a:lnTo>
                                <a:lnTo>
                                  <a:pt x="2236000" y="87426"/>
                                </a:lnTo>
                                <a:lnTo>
                                  <a:pt x="2243950" y="90182"/>
                                </a:lnTo>
                                <a:lnTo>
                                  <a:pt x="2248331" y="90868"/>
                                </a:lnTo>
                                <a:lnTo>
                                  <a:pt x="2261628" y="90868"/>
                                </a:lnTo>
                                <a:lnTo>
                                  <a:pt x="2268639" y="88341"/>
                                </a:lnTo>
                                <a:lnTo>
                                  <a:pt x="2279675" y="78193"/>
                                </a:lnTo>
                                <a:lnTo>
                                  <a:pt x="2282418" y="71488"/>
                                </a:lnTo>
                                <a:lnTo>
                                  <a:pt x="2282418" y="55105"/>
                                </a:lnTo>
                                <a:close/>
                              </a:path>
                              <a:path w="2713355" h="105410">
                                <a:moveTo>
                                  <a:pt x="2307348" y="75704"/>
                                </a:moveTo>
                                <a:lnTo>
                                  <a:pt x="2297823" y="75704"/>
                                </a:lnTo>
                                <a:lnTo>
                                  <a:pt x="2290813" y="105181"/>
                                </a:lnTo>
                                <a:lnTo>
                                  <a:pt x="2297823" y="105181"/>
                                </a:lnTo>
                                <a:lnTo>
                                  <a:pt x="2307348" y="75704"/>
                                </a:lnTo>
                                <a:close/>
                              </a:path>
                              <a:path w="2713355" h="105410">
                                <a:moveTo>
                                  <a:pt x="2375166" y="55105"/>
                                </a:moveTo>
                                <a:lnTo>
                                  <a:pt x="2372588" y="48768"/>
                                </a:lnTo>
                                <a:lnTo>
                                  <a:pt x="2362289" y="39547"/>
                                </a:lnTo>
                                <a:lnTo>
                                  <a:pt x="2355202" y="37249"/>
                                </a:lnTo>
                                <a:lnTo>
                                  <a:pt x="2346172" y="37249"/>
                                </a:lnTo>
                                <a:lnTo>
                                  <a:pt x="2338260" y="37541"/>
                                </a:lnTo>
                                <a:lnTo>
                                  <a:pt x="2340000" y="12319"/>
                                </a:lnTo>
                                <a:lnTo>
                                  <a:pt x="2371217" y="12319"/>
                                </a:lnTo>
                                <a:lnTo>
                                  <a:pt x="2371217" y="3454"/>
                                </a:lnTo>
                                <a:lnTo>
                                  <a:pt x="2331491" y="3454"/>
                                </a:lnTo>
                                <a:lnTo>
                                  <a:pt x="2328557" y="46532"/>
                                </a:lnTo>
                                <a:lnTo>
                                  <a:pt x="2330551" y="46291"/>
                                </a:lnTo>
                                <a:lnTo>
                                  <a:pt x="2338298" y="45872"/>
                                </a:lnTo>
                                <a:lnTo>
                                  <a:pt x="2350262" y="45808"/>
                                </a:lnTo>
                                <a:lnTo>
                                  <a:pt x="2355723" y="47396"/>
                                </a:lnTo>
                                <a:lnTo>
                                  <a:pt x="2363228" y="53759"/>
                                </a:lnTo>
                                <a:lnTo>
                                  <a:pt x="2365108" y="58140"/>
                                </a:lnTo>
                                <a:lnTo>
                                  <a:pt x="2365108" y="69240"/>
                                </a:lnTo>
                                <a:lnTo>
                                  <a:pt x="2363292" y="73748"/>
                                </a:lnTo>
                                <a:lnTo>
                                  <a:pt x="2356027" y="80733"/>
                                </a:lnTo>
                                <a:lnTo>
                                  <a:pt x="2351392" y="82486"/>
                                </a:lnTo>
                                <a:lnTo>
                                  <a:pt x="2342032" y="82486"/>
                                </a:lnTo>
                                <a:lnTo>
                                  <a:pt x="2338616" y="81940"/>
                                </a:lnTo>
                                <a:lnTo>
                                  <a:pt x="2332342" y="79781"/>
                                </a:lnTo>
                                <a:lnTo>
                                  <a:pt x="2329281" y="78066"/>
                                </a:lnTo>
                                <a:lnTo>
                                  <a:pt x="2326284" y="75717"/>
                                </a:lnTo>
                                <a:lnTo>
                                  <a:pt x="2321128" y="82359"/>
                                </a:lnTo>
                                <a:lnTo>
                                  <a:pt x="2324887" y="85280"/>
                                </a:lnTo>
                                <a:lnTo>
                                  <a:pt x="2328748" y="87426"/>
                                </a:lnTo>
                                <a:lnTo>
                                  <a:pt x="2336698" y="90182"/>
                                </a:lnTo>
                                <a:lnTo>
                                  <a:pt x="2341080" y="90868"/>
                                </a:lnTo>
                                <a:lnTo>
                                  <a:pt x="2354376" y="90868"/>
                                </a:lnTo>
                                <a:lnTo>
                                  <a:pt x="2361387" y="88341"/>
                                </a:lnTo>
                                <a:lnTo>
                                  <a:pt x="2372423" y="78193"/>
                                </a:lnTo>
                                <a:lnTo>
                                  <a:pt x="2375166" y="71488"/>
                                </a:lnTo>
                                <a:lnTo>
                                  <a:pt x="2375166" y="55105"/>
                                </a:lnTo>
                                <a:close/>
                              </a:path>
                              <a:path w="2713355" h="105410">
                                <a:moveTo>
                                  <a:pt x="2441321" y="55105"/>
                                </a:moveTo>
                                <a:lnTo>
                                  <a:pt x="2438743" y="48768"/>
                                </a:lnTo>
                                <a:lnTo>
                                  <a:pt x="2428443" y="39547"/>
                                </a:lnTo>
                                <a:lnTo>
                                  <a:pt x="2421356" y="37249"/>
                                </a:lnTo>
                                <a:lnTo>
                                  <a:pt x="2412327" y="37249"/>
                                </a:lnTo>
                                <a:lnTo>
                                  <a:pt x="2404414" y="37541"/>
                                </a:lnTo>
                                <a:lnTo>
                                  <a:pt x="2406154" y="12319"/>
                                </a:lnTo>
                                <a:lnTo>
                                  <a:pt x="2437371" y="12319"/>
                                </a:lnTo>
                                <a:lnTo>
                                  <a:pt x="2437371" y="3454"/>
                                </a:lnTo>
                                <a:lnTo>
                                  <a:pt x="2397645" y="3454"/>
                                </a:lnTo>
                                <a:lnTo>
                                  <a:pt x="2394712" y="46532"/>
                                </a:lnTo>
                                <a:lnTo>
                                  <a:pt x="2396706" y="46291"/>
                                </a:lnTo>
                                <a:lnTo>
                                  <a:pt x="2404453" y="45872"/>
                                </a:lnTo>
                                <a:lnTo>
                                  <a:pt x="2416416" y="45808"/>
                                </a:lnTo>
                                <a:lnTo>
                                  <a:pt x="2421877" y="47396"/>
                                </a:lnTo>
                                <a:lnTo>
                                  <a:pt x="2429383" y="53759"/>
                                </a:lnTo>
                                <a:lnTo>
                                  <a:pt x="2431262" y="58140"/>
                                </a:lnTo>
                                <a:lnTo>
                                  <a:pt x="2431262" y="69240"/>
                                </a:lnTo>
                                <a:lnTo>
                                  <a:pt x="2429446" y="73748"/>
                                </a:lnTo>
                                <a:lnTo>
                                  <a:pt x="2422182" y="80733"/>
                                </a:lnTo>
                                <a:lnTo>
                                  <a:pt x="2417546" y="82486"/>
                                </a:lnTo>
                                <a:lnTo>
                                  <a:pt x="2408186" y="82486"/>
                                </a:lnTo>
                                <a:lnTo>
                                  <a:pt x="2404770" y="81940"/>
                                </a:lnTo>
                                <a:lnTo>
                                  <a:pt x="2398496" y="79781"/>
                                </a:lnTo>
                                <a:lnTo>
                                  <a:pt x="2395436" y="78066"/>
                                </a:lnTo>
                                <a:lnTo>
                                  <a:pt x="2392438" y="75717"/>
                                </a:lnTo>
                                <a:lnTo>
                                  <a:pt x="2387282" y="82359"/>
                                </a:lnTo>
                                <a:lnTo>
                                  <a:pt x="2391041" y="85280"/>
                                </a:lnTo>
                                <a:lnTo>
                                  <a:pt x="2394902" y="87426"/>
                                </a:lnTo>
                                <a:lnTo>
                                  <a:pt x="2402852" y="90182"/>
                                </a:lnTo>
                                <a:lnTo>
                                  <a:pt x="2407234" y="90868"/>
                                </a:lnTo>
                                <a:lnTo>
                                  <a:pt x="2420531" y="90868"/>
                                </a:lnTo>
                                <a:lnTo>
                                  <a:pt x="2427541" y="88341"/>
                                </a:lnTo>
                                <a:lnTo>
                                  <a:pt x="2438577" y="78193"/>
                                </a:lnTo>
                                <a:lnTo>
                                  <a:pt x="2441321" y="71488"/>
                                </a:lnTo>
                                <a:lnTo>
                                  <a:pt x="2441321" y="55105"/>
                                </a:lnTo>
                                <a:close/>
                              </a:path>
                              <a:path w="2713355" h="105410">
                                <a:moveTo>
                                  <a:pt x="2479256" y="1524"/>
                                </a:moveTo>
                                <a:lnTo>
                                  <a:pt x="2475547" y="1524"/>
                                </a:lnTo>
                                <a:lnTo>
                                  <a:pt x="2472588" y="4330"/>
                                </a:lnTo>
                                <a:lnTo>
                                  <a:pt x="2468524" y="7086"/>
                                </a:lnTo>
                                <a:lnTo>
                                  <a:pt x="2458174" y="12522"/>
                                </a:lnTo>
                                <a:lnTo>
                                  <a:pt x="2453297" y="14478"/>
                                </a:lnTo>
                                <a:lnTo>
                                  <a:pt x="2448699" y="15671"/>
                                </a:lnTo>
                                <a:lnTo>
                                  <a:pt x="2451519" y="24295"/>
                                </a:lnTo>
                                <a:lnTo>
                                  <a:pt x="2469426" y="15798"/>
                                </a:lnTo>
                                <a:lnTo>
                                  <a:pt x="2469426" y="89369"/>
                                </a:lnTo>
                                <a:lnTo>
                                  <a:pt x="2479256" y="89369"/>
                                </a:lnTo>
                                <a:lnTo>
                                  <a:pt x="2479256" y="1524"/>
                                </a:lnTo>
                                <a:close/>
                              </a:path>
                              <a:path w="2713355" h="105410">
                                <a:moveTo>
                                  <a:pt x="2512745" y="75704"/>
                                </a:moveTo>
                                <a:lnTo>
                                  <a:pt x="2503220" y="75704"/>
                                </a:lnTo>
                                <a:lnTo>
                                  <a:pt x="2496210" y="105181"/>
                                </a:lnTo>
                                <a:lnTo>
                                  <a:pt x="2503220" y="105181"/>
                                </a:lnTo>
                                <a:lnTo>
                                  <a:pt x="2512745" y="75704"/>
                                </a:lnTo>
                                <a:close/>
                              </a:path>
                              <a:path w="2713355" h="105410">
                                <a:moveTo>
                                  <a:pt x="2580881" y="3454"/>
                                </a:moveTo>
                                <a:lnTo>
                                  <a:pt x="2526233" y="3454"/>
                                </a:lnTo>
                                <a:lnTo>
                                  <a:pt x="2526233" y="12319"/>
                                </a:lnTo>
                                <a:lnTo>
                                  <a:pt x="2569311" y="12319"/>
                                </a:lnTo>
                                <a:lnTo>
                                  <a:pt x="2564942" y="20180"/>
                                </a:lnTo>
                                <a:lnTo>
                                  <a:pt x="2547416" y="57785"/>
                                </a:lnTo>
                                <a:lnTo>
                                  <a:pt x="2539238" y="89369"/>
                                </a:lnTo>
                                <a:lnTo>
                                  <a:pt x="2549779" y="89369"/>
                                </a:lnTo>
                                <a:lnTo>
                                  <a:pt x="2551836" y="78130"/>
                                </a:lnTo>
                                <a:lnTo>
                                  <a:pt x="2554541" y="67322"/>
                                </a:lnTo>
                                <a:lnTo>
                                  <a:pt x="2570911" y="27724"/>
                                </a:lnTo>
                                <a:lnTo>
                                  <a:pt x="2580881" y="9144"/>
                                </a:lnTo>
                                <a:lnTo>
                                  <a:pt x="2580881" y="3454"/>
                                </a:lnTo>
                                <a:close/>
                              </a:path>
                              <a:path w="2713355" h="105410">
                                <a:moveTo>
                                  <a:pt x="2647200" y="41249"/>
                                </a:moveTo>
                                <a:lnTo>
                                  <a:pt x="2636596" y="6870"/>
                                </a:lnTo>
                                <a:lnTo>
                                  <a:pt x="2636596" y="25857"/>
                                </a:lnTo>
                                <a:lnTo>
                                  <a:pt x="2636596" y="36995"/>
                                </a:lnTo>
                                <a:lnTo>
                                  <a:pt x="2634970" y="40843"/>
                                </a:lnTo>
                                <a:lnTo>
                                  <a:pt x="2628506" y="47167"/>
                                </a:lnTo>
                                <a:lnTo>
                                  <a:pt x="2624607" y="48729"/>
                                </a:lnTo>
                                <a:lnTo>
                                  <a:pt x="2614904" y="48729"/>
                                </a:lnTo>
                                <a:lnTo>
                                  <a:pt x="2610726" y="47040"/>
                                </a:lnTo>
                                <a:lnTo>
                                  <a:pt x="2604338" y="40246"/>
                                </a:lnTo>
                                <a:lnTo>
                                  <a:pt x="2602738" y="35496"/>
                                </a:lnTo>
                                <a:lnTo>
                                  <a:pt x="2602738" y="23876"/>
                                </a:lnTo>
                                <a:lnTo>
                                  <a:pt x="2604351" y="19316"/>
                                </a:lnTo>
                                <a:lnTo>
                                  <a:pt x="2610777" y="12128"/>
                                </a:lnTo>
                                <a:lnTo>
                                  <a:pt x="2614739" y="10337"/>
                                </a:lnTo>
                                <a:lnTo>
                                  <a:pt x="2624442" y="10337"/>
                                </a:lnTo>
                                <a:lnTo>
                                  <a:pt x="2628557" y="12369"/>
                                </a:lnTo>
                                <a:lnTo>
                                  <a:pt x="2634983" y="20510"/>
                                </a:lnTo>
                                <a:lnTo>
                                  <a:pt x="2636596" y="25857"/>
                                </a:lnTo>
                                <a:lnTo>
                                  <a:pt x="2636596" y="6870"/>
                                </a:lnTo>
                                <a:lnTo>
                                  <a:pt x="2635618" y="5422"/>
                                </a:lnTo>
                                <a:lnTo>
                                  <a:pt x="2628963" y="2006"/>
                                </a:lnTo>
                                <a:lnTo>
                                  <a:pt x="2612352" y="2006"/>
                                </a:lnTo>
                                <a:lnTo>
                                  <a:pt x="2605760" y="4660"/>
                                </a:lnTo>
                                <a:lnTo>
                                  <a:pt x="2595295" y="15290"/>
                                </a:lnTo>
                                <a:lnTo>
                                  <a:pt x="2592679" y="22199"/>
                                </a:lnTo>
                                <a:lnTo>
                                  <a:pt x="2592679" y="38582"/>
                                </a:lnTo>
                                <a:lnTo>
                                  <a:pt x="2595016" y="44996"/>
                                </a:lnTo>
                                <a:lnTo>
                                  <a:pt x="2604401" y="54991"/>
                                </a:lnTo>
                                <a:lnTo>
                                  <a:pt x="2610447" y="57480"/>
                                </a:lnTo>
                                <a:lnTo>
                                  <a:pt x="2622397" y="57480"/>
                                </a:lnTo>
                                <a:lnTo>
                                  <a:pt x="2626271" y="56578"/>
                                </a:lnTo>
                                <a:lnTo>
                                  <a:pt x="2632659" y="52895"/>
                                </a:lnTo>
                                <a:lnTo>
                                  <a:pt x="2635173" y="50114"/>
                                </a:lnTo>
                                <a:lnTo>
                                  <a:pt x="2635859" y="48729"/>
                                </a:lnTo>
                                <a:lnTo>
                                  <a:pt x="2637015" y="46405"/>
                                </a:lnTo>
                                <a:lnTo>
                                  <a:pt x="2637256" y="46405"/>
                                </a:lnTo>
                                <a:lnTo>
                                  <a:pt x="2636875" y="55181"/>
                                </a:lnTo>
                                <a:lnTo>
                                  <a:pt x="2621394" y="82232"/>
                                </a:lnTo>
                                <a:lnTo>
                                  <a:pt x="2610485" y="82232"/>
                                </a:lnTo>
                                <a:lnTo>
                                  <a:pt x="2607538" y="81749"/>
                                </a:lnTo>
                                <a:lnTo>
                                  <a:pt x="2602547" y="79844"/>
                                </a:lnTo>
                                <a:lnTo>
                                  <a:pt x="2600134" y="78308"/>
                                </a:lnTo>
                                <a:lnTo>
                                  <a:pt x="2597886" y="76301"/>
                                </a:lnTo>
                                <a:lnTo>
                                  <a:pt x="2592133" y="82715"/>
                                </a:lnTo>
                                <a:lnTo>
                                  <a:pt x="2595245" y="85509"/>
                                </a:lnTo>
                                <a:lnTo>
                                  <a:pt x="2598521" y="87566"/>
                                </a:lnTo>
                                <a:lnTo>
                                  <a:pt x="2605354" y="90195"/>
                                </a:lnTo>
                                <a:lnTo>
                                  <a:pt x="2609151" y="90855"/>
                                </a:lnTo>
                                <a:lnTo>
                                  <a:pt x="2613342" y="90855"/>
                                </a:lnTo>
                                <a:lnTo>
                                  <a:pt x="2621457" y="90081"/>
                                </a:lnTo>
                                <a:lnTo>
                                  <a:pt x="2628442" y="87731"/>
                                </a:lnTo>
                                <a:lnTo>
                                  <a:pt x="2634272" y="83807"/>
                                </a:lnTo>
                                <a:lnTo>
                                  <a:pt x="2635605" y="82232"/>
                                </a:lnTo>
                                <a:lnTo>
                                  <a:pt x="2638958" y="78308"/>
                                </a:lnTo>
                                <a:lnTo>
                                  <a:pt x="2642565" y="71285"/>
                                </a:lnTo>
                                <a:lnTo>
                                  <a:pt x="2645143" y="62776"/>
                                </a:lnTo>
                                <a:lnTo>
                                  <a:pt x="2646692" y="52755"/>
                                </a:lnTo>
                                <a:lnTo>
                                  <a:pt x="2646972" y="46405"/>
                                </a:lnTo>
                                <a:lnTo>
                                  <a:pt x="2647200" y="41249"/>
                                </a:lnTo>
                                <a:close/>
                              </a:path>
                              <a:path w="2713355" h="105410">
                                <a:moveTo>
                                  <a:pt x="2713355" y="41249"/>
                                </a:moveTo>
                                <a:lnTo>
                                  <a:pt x="2702750" y="6870"/>
                                </a:lnTo>
                                <a:lnTo>
                                  <a:pt x="2702750" y="25857"/>
                                </a:lnTo>
                                <a:lnTo>
                                  <a:pt x="2702750" y="36995"/>
                                </a:lnTo>
                                <a:lnTo>
                                  <a:pt x="2701125" y="40843"/>
                                </a:lnTo>
                                <a:lnTo>
                                  <a:pt x="2694660" y="47167"/>
                                </a:lnTo>
                                <a:lnTo>
                                  <a:pt x="2690761" y="48729"/>
                                </a:lnTo>
                                <a:lnTo>
                                  <a:pt x="2681059" y="48729"/>
                                </a:lnTo>
                                <a:lnTo>
                                  <a:pt x="2676880" y="47040"/>
                                </a:lnTo>
                                <a:lnTo>
                                  <a:pt x="2670492" y="40246"/>
                                </a:lnTo>
                                <a:lnTo>
                                  <a:pt x="2668892" y="35496"/>
                                </a:lnTo>
                                <a:lnTo>
                                  <a:pt x="2668892" y="23876"/>
                                </a:lnTo>
                                <a:lnTo>
                                  <a:pt x="2670505" y="19316"/>
                                </a:lnTo>
                                <a:lnTo>
                                  <a:pt x="2676931" y="12128"/>
                                </a:lnTo>
                                <a:lnTo>
                                  <a:pt x="2680893" y="10337"/>
                                </a:lnTo>
                                <a:lnTo>
                                  <a:pt x="2690596" y="10337"/>
                                </a:lnTo>
                                <a:lnTo>
                                  <a:pt x="2694711" y="12369"/>
                                </a:lnTo>
                                <a:lnTo>
                                  <a:pt x="2701137" y="20510"/>
                                </a:lnTo>
                                <a:lnTo>
                                  <a:pt x="2702750" y="25857"/>
                                </a:lnTo>
                                <a:lnTo>
                                  <a:pt x="2702750" y="6870"/>
                                </a:lnTo>
                                <a:lnTo>
                                  <a:pt x="2701772" y="5422"/>
                                </a:lnTo>
                                <a:lnTo>
                                  <a:pt x="2695117" y="2006"/>
                                </a:lnTo>
                                <a:lnTo>
                                  <a:pt x="2678506" y="2006"/>
                                </a:lnTo>
                                <a:lnTo>
                                  <a:pt x="2671915" y="4660"/>
                                </a:lnTo>
                                <a:lnTo>
                                  <a:pt x="2661450" y="15290"/>
                                </a:lnTo>
                                <a:lnTo>
                                  <a:pt x="2658834" y="22199"/>
                                </a:lnTo>
                                <a:lnTo>
                                  <a:pt x="2658834" y="38582"/>
                                </a:lnTo>
                                <a:lnTo>
                                  <a:pt x="2661183" y="44996"/>
                                </a:lnTo>
                                <a:lnTo>
                                  <a:pt x="2670556" y="54991"/>
                                </a:lnTo>
                                <a:lnTo>
                                  <a:pt x="2676601" y="57480"/>
                                </a:lnTo>
                                <a:lnTo>
                                  <a:pt x="2688552" y="57480"/>
                                </a:lnTo>
                                <a:lnTo>
                                  <a:pt x="2692425" y="56578"/>
                                </a:lnTo>
                                <a:lnTo>
                                  <a:pt x="2698813" y="52895"/>
                                </a:lnTo>
                                <a:lnTo>
                                  <a:pt x="2701328" y="50114"/>
                                </a:lnTo>
                                <a:lnTo>
                                  <a:pt x="2702014" y="48729"/>
                                </a:lnTo>
                                <a:lnTo>
                                  <a:pt x="2703169" y="46405"/>
                                </a:lnTo>
                                <a:lnTo>
                                  <a:pt x="2703411" y="46405"/>
                                </a:lnTo>
                                <a:lnTo>
                                  <a:pt x="2703030" y="55181"/>
                                </a:lnTo>
                                <a:lnTo>
                                  <a:pt x="2687548" y="82232"/>
                                </a:lnTo>
                                <a:lnTo>
                                  <a:pt x="2676639" y="82232"/>
                                </a:lnTo>
                                <a:lnTo>
                                  <a:pt x="2673693" y="81749"/>
                                </a:lnTo>
                                <a:lnTo>
                                  <a:pt x="2668701" y="79844"/>
                                </a:lnTo>
                                <a:lnTo>
                                  <a:pt x="2666288" y="78308"/>
                                </a:lnTo>
                                <a:lnTo>
                                  <a:pt x="2664041" y="76301"/>
                                </a:lnTo>
                                <a:lnTo>
                                  <a:pt x="2658287" y="82715"/>
                                </a:lnTo>
                                <a:lnTo>
                                  <a:pt x="2661412" y="85509"/>
                                </a:lnTo>
                                <a:lnTo>
                                  <a:pt x="2664676" y="87566"/>
                                </a:lnTo>
                                <a:lnTo>
                                  <a:pt x="2671508" y="90195"/>
                                </a:lnTo>
                                <a:lnTo>
                                  <a:pt x="2675305" y="90855"/>
                                </a:lnTo>
                                <a:lnTo>
                                  <a:pt x="2679496" y="90855"/>
                                </a:lnTo>
                                <a:lnTo>
                                  <a:pt x="2687612" y="90081"/>
                                </a:lnTo>
                                <a:lnTo>
                                  <a:pt x="2694584" y="87731"/>
                                </a:lnTo>
                                <a:lnTo>
                                  <a:pt x="2700426" y="83807"/>
                                </a:lnTo>
                                <a:lnTo>
                                  <a:pt x="2701760" y="82232"/>
                                </a:lnTo>
                                <a:lnTo>
                                  <a:pt x="2705112" y="78308"/>
                                </a:lnTo>
                                <a:lnTo>
                                  <a:pt x="2708719" y="71285"/>
                                </a:lnTo>
                                <a:lnTo>
                                  <a:pt x="2711297" y="62776"/>
                                </a:lnTo>
                                <a:lnTo>
                                  <a:pt x="2712834" y="52755"/>
                                </a:lnTo>
                                <a:lnTo>
                                  <a:pt x="2713126" y="46405"/>
                                </a:lnTo>
                                <a:lnTo>
                                  <a:pt x="2713355" y="41249"/>
                                </a:lnTo>
                                <a:close/>
                              </a:path>
                            </a:pathLst>
                          </a:custGeom>
                          <a:solidFill>
                            <a:srgbClr val="231F20"/>
                          </a:solidFill>
                        </wps:spPr>
                        <wps:bodyPr wrap="square" lIns="0" tIns="0" rIns="0" bIns="0" rtlCol="0">
                          <a:prstTxWarp prst="textNoShape">
                            <a:avLst/>
                          </a:prstTxWarp>
                          <a:noAutofit/>
                        </wps:bodyPr>
                      </wps:wsp>
                      <pic:pic>
                        <pic:nvPicPr>
                          <pic:cNvPr id="355" name="Image 355"/>
                          <pic:cNvPicPr/>
                        </pic:nvPicPr>
                        <pic:blipFill>
                          <a:blip r:embed="rId96" cstate="print"/>
                          <a:stretch>
                            <a:fillRect/>
                          </a:stretch>
                        </pic:blipFill>
                        <pic:spPr>
                          <a:xfrm>
                            <a:off x="2462549" y="1685630"/>
                            <a:ext cx="571437" cy="103183"/>
                          </a:xfrm>
                          <a:prstGeom prst="rect">
                            <a:avLst/>
                          </a:prstGeom>
                        </pic:spPr>
                      </pic:pic>
                      <pic:pic>
                        <pic:nvPicPr>
                          <pic:cNvPr id="356" name="Image 356"/>
                          <pic:cNvPicPr/>
                        </pic:nvPicPr>
                        <pic:blipFill>
                          <a:blip r:embed="rId97" cstate="print"/>
                          <a:stretch>
                            <a:fillRect/>
                          </a:stretch>
                        </pic:blipFill>
                        <pic:spPr>
                          <a:xfrm>
                            <a:off x="293729" y="1685640"/>
                            <a:ext cx="287244" cy="115573"/>
                          </a:xfrm>
                          <a:prstGeom prst="rect">
                            <a:avLst/>
                          </a:prstGeom>
                        </pic:spPr>
                      </pic:pic>
                      <pic:pic>
                        <pic:nvPicPr>
                          <pic:cNvPr id="357" name="Image 357"/>
                          <pic:cNvPicPr/>
                        </pic:nvPicPr>
                        <pic:blipFill>
                          <a:blip r:embed="rId98" cstate="print"/>
                          <a:stretch>
                            <a:fillRect/>
                          </a:stretch>
                        </pic:blipFill>
                        <pic:spPr>
                          <a:xfrm>
                            <a:off x="2458657" y="2473079"/>
                            <a:ext cx="622491" cy="103661"/>
                          </a:xfrm>
                          <a:prstGeom prst="rect">
                            <a:avLst/>
                          </a:prstGeom>
                        </pic:spPr>
                      </pic:pic>
                      <pic:pic>
                        <pic:nvPicPr>
                          <pic:cNvPr id="358" name="Image 358"/>
                          <pic:cNvPicPr/>
                        </pic:nvPicPr>
                        <pic:blipFill>
                          <a:blip r:embed="rId99" cstate="print"/>
                          <a:stretch>
                            <a:fillRect/>
                          </a:stretch>
                        </pic:blipFill>
                        <pic:spPr>
                          <a:xfrm>
                            <a:off x="299836" y="2395649"/>
                            <a:ext cx="1284876" cy="266962"/>
                          </a:xfrm>
                          <a:prstGeom prst="rect">
                            <a:avLst/>
                          </a:prstGeom>
                        </pic:spPr>
                      </pic:pic>
                      <pic:pic>
                        <pic:nvPicPr>
                          <pic:cNvPr id="359" name="Image 359"/>
                          <pic:cNvPicPr/>
                        </pic:nvPicPr>
                        <pic:blipFill>
                          <a:blip r:embed="rId100" cstate="print"/>
                          <a:stretch>
                            <a:fillRect/>
                          </a:stretch>
                        </pic:blipFill>
                        <pic:spPr>
                          <a:xfrm>
                            <a:off x="2462549" y="2092507"/>
                            <a:ext cx="572104" cy="103183"/>
                          </a:xfrm>
                          <a:prstGeom prst="rect">
                            <a:avLst/>
                          </a:prstGeom>
                        </pic:spPr>
                      </pic:pic>
                      <pic:pic>
                        <pic:nvPicPr>
                          <pic:cNvPr id="360" name="Image 360"/>
                          <pic:cNvPicPr/>
                        </pic:nvPicPr>
                        <pic:blipFill>
                          <a:blip r:embed="rId101" cstate="print"/>
                          <a:stretch>
                            <a:fillRect/>
                          </a:stretch>
                        </pic:blipFill>
                        <pic:spPr>
                          <a:xfrm>
                            <a:off x="295534" y="2092501"/>
                            <a:ext cx="129895" cy="88811"/>
                          </a:xfrm>
                          <a:prstGeom prst="rect">
                            <a:avLst/>
                          </a:prstGeom>
                        </pic:spPr>
                      </pic:pic>
                      <pic:pic>
                        <pic:nvPicPr>
                          <pic:cNvPr id="361" name="Image 361"/>
                          <pic:cNvPicPr/>
                        </pic:nvPicPr>
                        <pic:blipFill>
                          <a:blip r:embed="rId102" cstate="print"/>
                          <a:stretch>
                            <a:fillRect/>
                          </a:stretch>
                        </pic:blipFill>
                        <pic:spPr>
                          <a:xfrm>
                            <a:off x="445262" y="2089035"/>
                            <a:ext cx="120915" cy="92275"/>
                          </a:xfrm>
                          <a:prstGeom prst="rect">
                            <a:avLst/>
                          </a:prstGeom>
                        </pic:spPr>
                      </pic:pic>
                      <pic:pic>
                        <pic:nvPicPr>
                          <pic:cNvPr id="362" name="Image 362"/>
                          <pic:cNvPicPr/>
                        </pic:nvPicPr>
                        <pic:blipFill>
                          <a:blip r:embed="rId103" cstate="print"/>
                          <a:stretch>
                            <a:fillRect/>
                          </a:stretch>
                        </pic:blipFill>
                        <pic:spPr>
                          <a:xfrm>
                            <a:off x="586007" y="2117065"/>
                            <a:ext cx="91977" cy="64236"/>
                          </a:xfrm>
                          <a:prstGeom prst="rect">
                            <a:avLst/>
                          </a:prstGeom>
                        </pic:spPr>
                      </pic:pic>
                      <pic:pic>
                        <pic:nvPicPr>
                          <pic:cNvPr id="363" name="Image 363"/>
                          <pic:cNvPicPr/>
                        </pic:nvPicPr>
                        <pic:blipFill>
                          <a:blip r:embed="rId104" cstate="print"/>
                          <a:stretch>
                            <a:fillRect/>
                          </a:stretch>
                        </pic:blipFill>
                        <pic:spPr>
                          <a:xfrm>
                            <a:off x="2458657" y="2879318"/>
                            <a:ext cx="714634" cy="103667"/>
                          </a:xfrm>
                          <a:prstGeom prst="rect">
                            <a:avLst/>
                          </a:prstGeom>
                        </pic:spPr>
                      </pic:pic>
                      <pic:pic>
                        <pic:nvPicPr>
                          <pic:cNvPr id="364" name="Image 364"/>
                          <pic:cNvPicPr/>
                        </pic:nvPicPr>
                        <pic:blipFill>
                          <a:blip r:embed="rId105" cstate="print"/>
                          <a:stretch>
                            <a:fillRect/>
                          </a:stretch>
                        </pic:blipFill>
                        <pic:spPr>
                          <a:xfrm>
                            <a:off x="292225" y="2882725"/>
                            <a:ext cx="181437" cy="87358"/>
                          </a:xfrm>
                          <a:prstGeom prst="rect">
                            <a:avLst/>
                          </a:prstGeom>
                        </pic:spPr>
                      </pic:pic>
                      <pic:pic>
                        <pic:nvPicPr>
                          <pic:cNvPr id="365" name="Image 365"/>
                          <pic:cNvPicPr/>
                        </pic:nvPicPr>
                        <pic:blipFill>
                          <a:blip r:embed="rId106" cstate="print"/>
                          <a:stretch>
                            <a:fillRect/>
                          </a:stretch>
                        </pic:blipFill>
                        <pic:spPr>
                          <a:xfrm>
                            <a:off x="493491" y="2878714"/>
                            <a:ext cx="211574" cy="91376"/>
                          </a:xfrm>
                          <a:prstGeom prst="rect">
                            <a:avLst/>
                          </a:prstGeom>
                        </pic:spPr>
                      </pic:pic>
                      <pic:pic>
                        <pic:nvPicPr>
                          <pic:cNvPr id="366" name="Image 366"/>
                          <pic:cNvPicPr/>
                        </pic:nvPicPr>
                        <pic:blipFill>
                          <a:blip r:embed="rId107" cstate="print"/>
                          <a:stretch>
                            <a:fillRect/>
                          </a:stretch>
                        </pic:blipFill>
                        <pic:spPr>
                          <a:xfrm>
                            <a:off x="2462965" y="3285823"/>
                            <a:ext cx="637835" cy="103183"/>
                          </a:xfrm>
                          <a:prstGeom prst="rect">
                            <a:avLst/>
                          </a:prstGeom>
                        </pic:spPr>
                      </pic:pic>
                      <pic:pic>
                        <pic:nvPicPr>
                          <pic:cNvPr id="367" name="Image 367"/>
                          <pic:cNvPicPr/>
                        </pic:nvPicPr>
                        <pic:blipFill>
                          <a:blip r:embed="rId108" cstate="print"/>
                          <a:stretch>
                            <a:fillRect/>
                          </a:stretch>
                        </pic:blipFill>
                        <pic:spPr>
                          <a:xfrm>
                            <a:off x="291211" y="3288746"/>
                            <a:ext cx="140153" cy="114791"/>
                          </a:xfrm>
                          <a:prstGeom prst="rect">
                            <a:avLst/>
                          </a:prstGeom>
                        </pic:spPr>
                      </pic:pic>
                      <pic:pic>
                        <pic:nvPicPr>
                          <pic:cNvPr id="368" name="Image 368"/>
                          <pic:cNvPicPr/>
                        </pic:nvPicPr>
                        <pic:blipFill>
                          <a:blip r:embed="rId109" cstate="print"/>
                          <a:stretch>
                            <a:fillRect/>
                          </a:stretch>
                        </pic:blipFill>
                        <pic:spPr>
                          <a:xfrm>
                            <a:off x="451248" y="3284729"/>
                            <a:ext cx="178677" cy="91367"/>
                          </a:xfrm>
                          <a:prstGeom prst="rect">
                            <a:avLst/>
                          </a:prstGeom>
                        </pic:spPr>
                      </pic:pic>
                      <pic:pic>
                        <pic:nvPicPr>
                          <pic:cNvPr id="369" name="Image 369"/>
                          <pic:cNvPicPr/>
                        </pic:nvPicPr>
                        <pic:blipFill>
                          <a:blip r:embed="rId110" cstate="print"/>
                          <a:stretch>
                            <a:fillRect/>
                          </a:stretch>
                        </pic:blipFill>
                        <pic:spPr>
                          <a:xfrm>
                            <a:off x="649757" y="3283826"/>
                            <a:ext cx="120916" cy="92270"/>
                          </a:xfrm>
                          <a:prstGeom prst="rect">
                            <a:avLst/>
                          </a:prstGeom>
                        </pic:spPr>
                      </pic:pic>
                      <pic:pic>
                        <pic:nvPicPr>
                          <pic:cNvPr id="370" name="Image 370"/>
                          <pic:cNvPicPr/>
                        </pic:nvPicPr>
                        <pic:blipFill>
                          <a:blip r:embed="rId111" cstate="print"/>
                          <a:stretch>
                            <a:fillRect/>
                          </a:stretch>
                        </pic:blipFill>
                        <pic:spPr>
                          <a:xfrm>
                            <a:off x="790502" y="3311857"/>
                            <a:ext cx="91978" cy="64236"/>
                          </a:xfrm>
                          <a:prstGeom prst="rect">
                            <a:avLst/>
                          </a:prstGeom>
                        </pic:spPr>
                      </pic:pic>
                      <wps:wsp>
                        <wps:cNvPr id="371" name="Graphic 371"/>
                        <wps:cNvSpPr/>
                        <wps:spPr>
                          <a:xfrm>
                            <a:off x="2460510" y="3692219"/>
                            <a:ext cx="554990" cy="104139"/>
                          </a:xfrm>
                          <a:custGeom>
                            <a:avLst/>
                            <a:gdLst/>
                            <a:ahLst/>
                            <a:cxnLst/>
                            <a:rect l="l" t="t" r="r" b="b"/>
                            <a:pathLst>
                              <a:path w="554990" h="104139">
                                <a:moveTo>
                                  <a:pt x="59804" y="58966"/>
                                </a:moveTo>
                                <a:lnTo>
                                  <a:pt x="50571" y="58966"/>
                                </a:lnTo>
                                <a:lnTo>
                                  <a:pt x="50571" y="16179"/>
                                </a:lnTo>
                                <a:lnTo>
                                  <a:pt x="50571" y="1206"/>
                                </a:lnTo>
                                <a:lnTo>
                                  <a:pt x="40805" y="1206"/>
                                </a:lnTo>
                                <a:lnTo>
                                  <a:pt x="40805" y="16179"/>
                                </a:lnTo>
                                <a:lnTo>
                                  <a:pt x="40805" y="58966"/>
                                </a:lnTo>
                                <a:lnTo>
                                  <a:pt x="11214" y="58966"/>
                                </a:lnTo>
                                <a:lnTo>
                                  <a:pt x="13169" y="56489"/>
                                </a:lnTo>
                                <a:lnTo>
                                  <a:pt x="19685" y="48361"/>
                                </a:lnTo>
                                <a:lnTo>
                                  <a:pt x="22034" y="45262"/>
                                </a:lnTo>
                                <a:lnTo>
                                  <a:pt x="40805" y="16179"/>
                                </a:lnTo>
                                <a:lnTo>
                                  <a:pt x="40805" y="1206"/>
                                </a:lnTo>
                                <a:lnTo>
                                  <a:pt x="40030" y="1206"/>
                                </a:lnTo>
                                <a:lnTo>
                                  <a:pt x="37947" y="5803"/>
                                </a:lnTo>
                                <a:lnTo>
                                  <a:pt x="35407" y="10617"/>
                                </a:lnTo>
                                <a:lnTo>
                                  <a:pt x="7632" y="50520"/>
                                </a:lnTo>
                                <a:lnTo>
                                  <a:pt x="0" y="59448"/>
                                </a:lnTo>
                                <a:lnTo>
                                  <a:pt x="0" y="68135"/>
                                </a:lnTo>
                                <a:lnTo>
                                  <a:pt x="40805" y="68135"/>
                                </a:lnTo>
                                <a:lnTo>
                                  <a:pt x="40805" y="88684"/>
                                </a:lnTo>
                                <a:lnTo>
                                  <a:pt x="50571" y="88684"/>
                                </a:lnTo>
                                <a:lnTo>
                                  <a:pt x="50571" y="68135"/>
                                </a:lnTo>
                                <a:lnTo>
                                  <a:pt x="59804" y="68135"/>
                                </a:lnTo>
                                <a:lnTo>
                                  <a:pt x="59804" y="58966"/>
                                </a:lnTo>
                                <a:close/>
                              </a:path>
                              <a:path w="554990" h="104139">
                                <a:moveTo>
                                  <a:pt x="94843" y="0"/>
                                </a:moveTo>
                                <a:lnTo>
                                  <a:pt x="91135" y="0"/>
                                </a:lnTo>
                                <a:lnTo>
                                  <a:pt x="88176" y="2806"/>
                                </a:lnTo>
                                <a:lnTo>
                                  <a:pt x="84112" y="5562"/>
                                </a:lnTo>
                                <a:lnTo>
                                  <a:pt x="73761" y="10998"/>
                                </a:lnTo>
                                <a:lnTo>
                                  <a:pt x="68884" y="12954"/>
                                </a:lnTo>
                                <a:lnTo>
                                  <a:pt x="64287" y="14147"/>
                                </a:lnTo>
                                <a:lnTo>
                                  <a:pt x="67106" y="22783"/>
                                </a:lnTo>
                                <a:lnTo>
                                  <a:pt x="85013" y="14274"/>
                                </a:lnTo>
                                <a:lnTo>
                                  <a:pt x="85013" y="87845"/>
                                </a:lnTo>
                                <a:lnTo>
                                  <a:pt x="94843" y="87845"/>
                                </a:lnTo>
                                <a:lnTo>
                                  <a:pt x="94843" y="0"/>
                                </a:lnTo>
                                <a:close/>
                              </a:path>
                              <a:path w="554990" h="104139">
                                <a:moveTo>
                                  <a:pt x="128333" y="74193"/>
                                </a:moveTo>
                                <a:lnTo>
                                  <a:pt x="118808" y="74193"/>
                                </a:lnTo>
                                <a:lnTo>
                                  <a:pt x="111798" y="103670"/>
                                </a:lnTo>
                                <a:lnTo>
                                  <a:pt x="118808" y="103670"/>
                                </a:lnTo>
                                <a:lnTo>
                                  <a:pt x="128333" y="74193"/>
                                </a:lnTo>
                                <a:close/>
                              </a:path>
                              <a:path w="554990" h="104139">
                                <a:moveTo>
                                  <a:pt x="196519" y="79044"/>
                                </a:moveTo>
                                <a:lnTo>
                                  <a:pt x="153746" y="79044"/>
                                </a:lnTo>
                                <a:lnTo>
                                  <a:pt x="153746" y="76758"/>
                                </a:lnTo>
                                <a:lnTo>
                                  <a:pt x="177368" y="52603"/>
                                </a:lnTo>
                                <a:lnTo>
                                  <a:pt x="180124" y="50279"/>
                                </a:lnTo>
                                <a:lnTo>
                                  <a:pt x="193230" y="27076"/>
                                </a:lnTo>
                                <a:lnTo>
                                  <a:pt x="193230" y="17729"/>
                                </a:lnTo>
                                <a:lnTo>
                                  <a:pt x="191122" y="12268"/>
                                </a:lnTo>
                                <a:lnTo>
                                  <a:pt x="182689" y="2844"/>
                                </a:lnTo>
                                <a:lnTo>
                                  <a:pt x="176555" y="495"/>
                                </a:lnTo>
                                <a:lnTo>
                                  <a:pt x="163093" y="495"/>
                                </a:lnTo>
                                <a:lnTo>
                                  <a:pt x="158216" y="1422"/>
                                </a:lnTo>
                                <a:lnTo>
                                  <a:pt x="149504" y="5130"/>
                                </a:lnTo>
                                <a:lnTo>
                                  <a:pt x="145453" y="8001"/>
                                </a:lnTo>
                                <a:lnTo>
                                  <a:pt x="141693" y="11874"/>
                                </a:lnTo>
                                <a:lnTo>
                                  <a:pt x="147688" y="17627"/>
                                </a:lnTo>
                                <a:lnTo>
                                  <a:pt x="150609" y="14630"/>
                                </a:lnTo>
                                <a:lnTo>
                                  <a:pt x="153758" y="12420"/>
                                </a:lnTo>
                                <a:lnTo>
                                  <a:pt x="160502" y="9537"/>
                                </a:lnTo>
                                <a:lnTo>
                                  <a:pt x="164109" y="8813"/>
                                </a:lnTo>
                                <a:lnTo>
                                  <a:pt x="172694" y="8813"/>
                                </a:lnTo>
                                <a:lnTo>
                                  <a:pt x="176428" y="10299"/>
                                </a:lnTo>
                                <a:lnTo>
                                  <a:pt x="181864" y="16205"/>
                                </a:lnTo>
                                <a:lnTo>
                                  <a:pt x="183222" y="20040"/>
                                </a:lnTo>
                                <a:lnTo>
                                  <a:pt x="183222" y="27076"/>
                                </a:lnTo>
                                <a:lnTo>
                                  <a:pt x="158838" y="55854"/>
                                </a:lnTo>
                                <a:lnTo>
                                  <a:pt x="152895" y="60883"/>
                                </a:lnTo>
                                <a:lnTo>
                                  <a:pt x="143497" y="79921"/>
                                </a:lnTo>
                                <a:lnTo>
                                  <a:pt x="143497" y="87845"/>
                                </a:lnTo>
                                <a:lnTo>
                                  <a:pt x="196519" y="87845"/>
                                </a:lnTo>
                                <a:lnTo>
                                  <a:pt x="196519" y="79044"/>
                                </a:lnTo>
                                <a:close/>
                              </a:path>
                              <a:path w="554990" h="104139">
                                <a:moveTo>
                                  <a:pt x="262623" y="1930"/>
                                </a:moveTo>
                                <a:lnTo>
                                  <a:pt x="207975" y="1930"/>
                                </a:lnTo>
                                <a:lnTo>
                                  <a:pt x="207975" y="10795"/>
                                </a:lnTo>
                                <a:lnTo>
                                  <a:pt x="251053" y="10795"/>
                                </a:lnTo>
                                <a:lnTo>
                                  <a:pt x="246684" y="18669"/>
                                </a:lnTo>
                                <a:lnTo>
                                  <a:pt x="229158" y="56273"/>
                                </a:lnTo>
                                <a:lnTo>
                                  <a:pt x="220980" y="87845"/>
                                </a:lnTo>
                                <a:lnTo>
                                  <a:pt x="231521" y="87845"/>
                                </a:lnTo>
                                <a:lnTo>
                                  <a:pt x="233578" y="76619"/>
                                </a:lnTo>
                                <a:lnTo>
                                  <a:pt x="236283" y="65798"/>
                                </a:lnTo>
                                <a:lnTo>
                                  <a:pt x="252653" y="26212"/>
                                </a:lnTo>
                                <a:lnTo>
                                  <a:pt x="262623" y="7620"/>
                                </a:lnTo>
                                <a:lnTo>
                                  <a:pt x="262623" y="1930"/>
                                </a:lnTo>
                                <a:close/>
                              </a:path>
                              <a:path w="554990" h="104139">
                                <a:moveTo>
                                  <a:pt x="329438" y="44526"/>
                                </a:moveTo>
                                <a:lnTo>
                                  <a:pt x="319328" y="6007"/>
                                </a:lnTo>
                                <a:lnTo>
                                  <a:pt x="319328" y="44526"/>
                                </a:lnTo>
                                <a:lnTo>
                                  <a:pt x="319316" y="46621"/>
                                </a:lnTo>
                                <a:lnTo>
                                  <a:pt x="307517" y="80962"/>
                                </a:lnTo>
                                <a:lnTo>
                                  <a:pt x="295541" y="80962"/>
                                </a:lnTo>
                                <a:lnTo>
                                  <a:pt x="283552" y="46621"/>
                                </a:lnTo>
                                <a:lnTo>
                                  <a:pt x="283591" y="44526"/>
                                </a:lnTo>
                                <a:lnTo>
                                  <a:pt x="295821" y="8813"/>
                                </a:lnTo>
                                <a:lnTo>
                                  <a:pt x="307721" y="8813"/>
                                </a:lnTo>
                                <a:lnTo>
                                  <a:pt x="319328" y="44526"/>
                                </a:lnTo>
                                <a:lnTo>
                                  <a:pt x="319328" y="6007"/>
                                </a:lnTo>
                                <a:lnTo>
                                  <a:pt x="318198" y="4152"/>
                                </a:lnTo>
                                <a:lnTo>
                                  <a:pt x="311429" y="482"/>
                                </a:lnTo>
                                <a:lnTo>
                                  <a:pt x="293014" y="482"/>
                                </a:lnTo>
                                <a:lnTo>
                                  <a:pt x="273926" y="36055"/>
                                </a:lnTo>
                                <a:lnTo>
                                  <a:pt x="273469" y="46621"/>
                                </a:lnTo>
                                <a:lnTo>
                                  <a:pt x="273900" y="56286"/>
                                </a:lnTo>
                                <a:lnTo>
                                  <a:pt x="291985" y="89344"/>
                                </a:lnTo>
                                <a:lnTo>
                                  <a:pt x="309676" y="89344"/>
                                </a:lnTo>
                                <a:lnTo>
                                  <a:pt x="316750" y="85496"/>
                                </a:lnTo>
                                <a:lnTo>
                                  <a:pt x="319722" y="80962"/>
                                </a:lnTo>
                                <a:lnTo>
                                  <a:pt x="321818" y="77774"/>
                                </a:lnTo>
                                <a:lnTo>
                                  <a:pt x="325145" y="71361"/>
                                </a:lnTo>
                                <a:lnTo>
                                  <a:pt x="327533" y="63690"/>
                                </a:lnTo>
                                <a:lnTo>
                                  <a:pt x="328955" y="54749"/>
                                </a:lnTo>
                                <a:lnTo>
                                  <a:pt x="329438" y="44526"/>
                                </a:lnTo>
                                <a:close/>
                              </a:path>
                              <a:path w="554990" h="104139">
                                <a:moveTo>
                                  <a:pt x="353390" y="74193"/>
                                </a:moveTo>
                                <a:lnTo>
                                  <a:pt x="343865" y="74193"/>
                                </a:lnTo>
                                <a:lnTo>
                                  <a:pt x="336854" y="103670"/>
                                </a:lnTo>
                                <a:lnTo>
                                  <a:pt x="343865" y="103670"/>
                                </a:lnTo>
                                <a:lnTo>
                                  <a:pt x="353390" y="74193"/>
                                </a:lnTo>
                                <a:close/>
                              </a:path>
                              <a:path w="554990" h="104139">
                                <a:moveTo>
                                  <a:pt x="422173" y="44526"/>
                                </a:moveTo>
                                <a:lnTo>
                                  <a:pt x="413804" y="8813"/>
                                </a:lnTo>
                                <a:lnTo>
                                  <a:pt x="412089" y="6019"/>
                                </a:lnTo>
                                <a:lnTo>
                                  <a:pt x="412089" y="44526"/>
                                </a:lnTo>
                                <a:lnTo>
                                  <a:pt x="412076" y="46621"/>
                                </a:lnTo>
                                <a:lnTo>
                                  <a:pt x="400265" y="80962"/>
                                </a:lnTo>
                                <a:lnTo>
                                  <a:pt x="388289" y="80962"/>
                                </a:lnTo>
                                <a:lnTo>
                                  <a:pt x="376301" y="46621"/>
                                </a:lnTo>
                                <a:lnTo>
                                  <a:pt x="376339" y="44526"/>
                                </a:lnTo>
                                <a:lnTo>
                                  <a:pt x="400469" y="8813"/>
                                </a:lnTo>
                                <a:lnTo>
                                  <a:pt x="412089" y="44526"/>
                                </a:lnTo>
                                <a:lnTo>
                                  <a:pt x="412089" y="6019"/>
                                </a:lnTo>
                                <a:lnTo>
                                  <a:pt x="410946" y="4152"/>
                                </a:lnTo>
                                <a:lnTo>
                                  <a:pt x="404177" y="482"/>
                                </a:lnTo>
                                <a:lnTo>
                                  <a:pt x="385762" y="482"/>
                                </a:lnTo>
                                <a:lnTo>
                                  <a:pt x="366687" y="36055"/>
                                </a:lnTo>
                                <a:lnTo>
                                  <a:pt x="366217" y="46621"/>
                                </a:lnTo>
                                <a:lnTo>
                                  <a:pt x="366661" y="56286"/>
                                </a:lnTo>
                                <a:lnTo>
                                  <a:pt x="384733" y="89344"/>
                                </a:lnTo>
                                <a:lnTo>
                                  <a:pt x="402424" y="89344"/>
                                </a:lnTo>
                                <a:lnTo>
                                  <a:pt x="409498" y="85496"/>
                                </a:lnTo>
                                <a:lnTo>
                                  <a:pt x="412470" y="80962"/>
                                </a:lnTo>
                                <a:lnTo>
                                  <a:pt x="414566" y="77774"/>
                                </a:lnTo>
                                <a:lnTo>
                                  <a:pt x="417893" y="71361"/>
                                </a:lnTo>
                                <a:lnTo>
                                  <a:pt x="420281" y="63690"/>
                                </a:lnTo>
                                <a:lnTo>
                                  <a:pt x="421703" y="54749"/>
                                </a:lnTo>
                                <a:lnTo>
                                  <a:pt x="422173" y="44526"/>
                                </a:lnTo>
                                <a:close/>
                              </a:path>
                              <a:path w="554990" h="104139">
                                <a:moveTo>
                                  <a:pt x="487375" y="53581"/>
                                </a:moveTo>
                                <a:lnTo>
                                  <a:pt x="484797" y="47244"/>
                                </a:lnTo>
                                <a:lnTo>
                                  <a:pt x="474484" y="38023"/>
                                </a:lnTo>
                                <a:lnTo>
                                  <a:pt x="467398" y="35725"/>
                                </a:lnTo>
                                <a:lnTo>
                                  <a:pt x="458368" y="35725"/>
                                </a:lnTo>
                                <a:lnTo>
                                  <a:pt x="450456" y="36017"/>
                                </a:lnTo>
                                <a:lnTo>
                                  <a:pt x="452196" y="10795"/>
                                </a:lnTo>
                                <a:lnTo>
                                  <a:pt x="483412" y="10795"/>
                                </a:lnTo>
                                <a:lnTo>
                                  <a:pt x="483412" y="1930"/>
                                </a:lnTo>
                                <a:lnTo>
                                  <a:pt x="443687" y="1930"/>
                                </a:lnTo>
                                <a:lnTo>
                                  <a:pt x="440753" y="45008"/>
                                </a:lnTo>
                                <a:lnTo>
                                  <a:pt x="442747" y="44767"/>
                                </a:lnTo>
                                <a:lnTo>
                                  <a:pt x="450494" y="44335"/>
                                </a:lnTo>
                                <a:lnTo>
                                  <a:pt x="462457" y="44284"/>
                                </a:lnTo>
                                <a:lnTo>
                                  <a:pt x="467918" y="45872"/>
                                </a:lnTo>
                                <a:lnTo>
                                  <a:pt x="475424" y="52222"/>
                                </a:lnTo>
                                <a:lnTo>
                                  <a:pt x="477304" y="56603"/>
                                </a:lnTo>
                                <a:lnTo>
                                  <a:pt x="477304" y="67716"/>
                                </a:lnTo>
                                <a:lnTo>
                                  <a:pt x="475488" y="72212"/>
                                </a:lnTo>
                                <a:lnTo>
                                  <a:pt x="468223" y="79209"/>
                                </a:lnTo>
                                <a:lnTo>
                                  <a:pt x="463588" y="80962"/>
                                </a:lnTo>
                                <a:lnTo>
                                  <a:pt x="454228" y="80962"/>
                                </a:lnTo>
                                <a:lnTo>
                                  <a:pt x="450811" y="80416"/>
                                </a:lnTo>
                                <a:lnTo>
                                  <a:pt x="444538" y="78257"/>
                                </a:lnTo>
                                <a:lnTo>
                                  <a:pt x="441477" y="76542"/>
                                </a:lnTo>
                                <a:lnTo>
                                  <a:pt x="438480" y="74180"/>
                                </a:lnTo>
                                <a:lnTo>
                                  <a:pt x="433324" y="80835"/>
                                </a:lnTo>
                                <a:lnTo>
                                  <a:pt x="437083" y="83756"/>
                                </a:lnTo>
                                <a:lnTo>
                                  <a:pt x="440944" y="85902"/>
                                </a:lnTo>
                                <a:lnTo>
                                  <a:pt x="448894" y="88646"/>
                                </a:lnTo>
                                <a:lnTo>
                                  <a:pt x="453275" y="89344"/>
                                </a:lnTo>
                                <a:lnTo>
                                  <a:pt x="466572" y="89344"/>
                                </a:lnTo>
                                <a:lnTo>
                                  <a:pt x="473583" y="86804"/>
                                </a:lnTo>
                                <a:lnTo>
                                  <a:pt x="484619" y="76657"/>
                                </a:lnTo>
                                <a:lnTo>
                                  <a:pt x="487375" y="69951"/>
                                </a:lnTo>
                                <a:lnTo>
                                  <a:pt x="487375" y="53581"/>
                                </a:lnTo>
                                <a:close/>
                              </a:path>
                              <a:path w="554990" h="104139">
                                <a:moveTo>
                                  <a:pt x="554482" y="44526"/>
                                </a:moveTo>
                                <a:lnTo>
                                  <a:pt x="546100" y="8813"/>
                                </a:lnTo>
                                <a:lnTo>
                                  <a:pt x="544385" y="6019"/>
                                </a:lnTo>
                                <a:lnTo>
                                  <a:pt x="544385" y="44526"/>
                                </a:lnTo>
                                <a:lnTo>
                                  <a:pt x="544372" y="46621"/>
                                </a:lnTo>
                                <a:lnTo>
                                  <a:pt x="532561" y="80962"/>
                                </a:lnTo>
                                <a:lnTo>
                                  <a:pt x="520585" y="80962"/>
                                </a:lnTo>
                                <a:lnTo>
                                  <a:pt x="508609" y="46621"/>
                                </a:lnTo>
                                <a:lnTo>
                                  <a:pt x="508635" y="44526"/>
                                </a:lnTo>
                                <a:lnTo>
                                  <a:pt x="532765" y="8813"/>
                                </a:lnTo>
                                <a:lnTo>
                                  <a:pt x="544385" y="44526"/>
                                </a:lnTo>
                                <a:lnTo>
                                  <a:pt x="544385" y="6019"/>
                                </a:lnTo>
                                <a:lnTo>
                                  <a:pt x="543242" y="4152"/>
                                </a:lnTo>
                                <a:lnTo>
                                  <a:pt x="536486" y="482"/>
                                </a:lnTo>
                                <a:lnTo>
                                  <a:pt x="518058" y="482"/>
                                </a:lnTo>
                                <a:lnTo>
                                  <a:pt x="498983" y="36055"/>
                                </a:lnTo>
                                <a:lnTo>
                                  <a:pt x="498513" y="46621"/>
                                </a:lnTo>
                                <a:lnTo>
                                  <a:pt x="498957" y="56286"/>
                                </a:lnTo>
                                <a:lnTo>
                                  <a:pt x="517029" y="89344"/>
                                </a:lnTo>
                                <a:lnTo>
                                  <a:pt x="534720" y="89344"/>
                                </a:lnTo>
                                <a:lnTo>
                                  <a:pt x="541794" y="85496"/>
                                </a:lnTo>
                                <a:lnTo>
                                  <a:pt x="544766" y="80962"/>
                                </a:lnTo>
                                <a:lnTo>
                                  <a:pt x="546862" y="77774"/>
                                </a:lnTo>
                                <a:lnTo>
                                  <a:pt x="550202" y="71361"/>
                                </a:lnTo>
                                <a:lnTo>
                                  <a:pt x="552577" y="63690"/>
                                </a:lnTo>
                                <a:lnTo>
                                  <a:pt x="554012" y="54749"/>
                                </a:lnTo>
                                <a:lnTo>
                                  <a:pt x="554482" y="44526"/>
                                </a:lnTo>
                                <a:close/>
                              </a:path>
                            </a:pathLst>
                          </a:custGeom>
                          <a:solidFill>
                            <a:srgbClr val="231F20"/>
                          </a:solidFill>
                        </wps:spPr>
                        <wps:bodyPr wrap="square" lIns="0" tIns="0" rIns="0" bIns="0" rtlCol="0">
                          <a:prstTxWarp prst="textNoShape">
                            <a:avLst/>
                          </a:prstTxWarp>
                          <a:noAutofit/>
                        </wps:bodyPr>
                      </wps:wsp>
                      <pic:pic>
                        <pic:nvPicPr>
                          <pic:cNvPr id="372" name="Image 372"/>
                          <pic:cNvPicPr/>
                        </pic:nvPicPr>
                        <pic:blipFill>
                          <a:blip r:embed="rId112" cstate="print"/>
                          <a:stretch>
                            <a:fillRect/>
                          </a:stretch>
                        </pic:blipFill>
                        <pic:spPr>
                          <a:xfrm>
                            <a:off x="292468" y="3615691"/>
                            <a:ext cx="1084577" cy="385889"/>
                          </a:xfrm>
                          <a:prstGeom prst="rect">
                            <a:avLst/>
                          </a:prstGeom>
                        </pic:spPr>
                      </pic:pic>
                      <pic:pic>
                        <pic:nvPicPr>
                          <pic:cNvPr id="373" name="Image 373"/>
                          <pic:cNvPicPr/>
                        </pic:nvPicPr>
                        <pic:blipFill>
                          <a:blip r:embed="rId113" cstate="print"/>
                          <a:stretch>
                            <a:fillRect/>
                          </a:stretch>
                        </pic:blipFill>
                        <pic:spPr>
                          <a:xfrm>
                            <a:off x="2462965" y="4265249"/>
                            <a:ext cx="552035" cy="103661"/>
                          </a:xfrm>
                          <a:prstGeom prst="rect">
                            <a:avLst/>
                          </a:prstGeom>
                        </pic:spPr>
                      </pic:pic>
                      <wps:wsp>
                        <wps:cNvPr id="374" name="Graphic 374"/>
                        <wps:cNvSpPr/>
                        <wps:spPr>
                          <a:xfrm>
                            <a:off x="301155" y="4269346"/>
                            <a:ext cx="10160" cy="86360"/>
                          </a:xfrm>
                          <a:custGeom>
                            <a:avLst/>
                            <a:gdLst/>
                            <a:ahLst/>
                            <a:cxnLst/>
                            <a:rect l="l" t="t" r="r" b="b"/>
                            <a:pathLst>
                              <a:path w="10160" h="86360">
                                <a:moveTo>
                                  <a:pt x="10071" y="0"/>
                                </a:moveTo>
                                <a:lnTo>
                                  <a:pt x="0" y="0"/>
                                </a:lnTo>
                                <a:lnTo>
                                  <a:pt x="0" y="85902"/>
                                </a:lnTo>
                                <a:lnTo>
                                  <a:pt x="10071" y="85902"/>
                                </a:lnTo>
                                <a:lnTo>
                                  <a:pt x="10071" y="0"/>
                                </a:lnTo>
                                <a:close/>
                              </a:path>
                            </a:pathLst>
                          </a:custGeom>
                          <a:solidFill>
                            <a:srgbClr val="231F20"/>
                          </a:solidFill>
                        </wps:spPr>
                        <wps:bodyPr wrap="square" lIns="0" tIns="0" rIns="0" bIns="0" rtlCol="0">
                          <a:prstTxWarp prst="textNoShape">
                            <a:avLst/>
                          </a:prstTxWarp>
                          <a:noAutofit/>
                        </wps:bodyPr>
                      </wps:wsp>
                      <pic:pic>
                        <pic:nvPicPr>
                          <pic:cNvPr id="375" name="Image 375"/>
                          <pic:cNvPicPr/>
                        </pic:nvPicPr>
                        <pic:blipFill>
                          <a:blip r:embed="rId114" cstate="print"/>
                          <a:stretch>
                            <a:fillRect/>
                          </a:stretch>
                        </pic:blipFill>
                        <pic:spPr>
                          <a:xfrm>
                            <a:off x="332496" y="4264418"/>
                            <a:ext cx="396294" cy="119714"/>
                          </a:xfrm>
                          <a:prstGeom prst="rect">
                            <a:avLst/>
                          </a:prstGeom>
                        </pic:spPr>
                      </pic:pic>
                      <pic:pic>
                        <pic:nvPicPr>
                          <pic:cNvPr id="376" name="Image 376"/>
                          <pic:cNvPicPr/>
                        </pic:nvPicPr>
                        <pic:blipFill>
                          <a:blip r:embed="rId115" cstate="print"/>
                          <a:stretch>
                            <a:fillRect/>
                          </a:stretch>
                        </pic:blipFill>
                        <pic:spPr>
                          <a:xfrm>
                            <a:off x="2462549" y="4671270"/>
                            <a:ext cx="185563" cy="103661"/>
                          </a:xfrm>
                          <a:prstGeom prst="rect">
                            <a:avLst/>
                          </a:prstGeom>
                        </pic:spPr>
                      </pic:pic>
                      <pic:pic>
                        <pic:nvPicPr>
                          <pic:cNvPr id="377" name="Image 377"/>
                          <pic:cNvPicPr/>
                        </pic:nvPicPr>
                        <pic:blipFill>
                          <a:blip r:embed="rId116" cstate="print"/>
                          <a:stretch>
                            <a:fillRect/>
                          </a:stretch>
                        </pic:blipFill>
                        <pic:spPr>
                          <a:xfrm>
                            <a:off x="2669206" y="4671749"/>
                            <a:ext cx="345795" cy="103182"/>
                          </a:xfrm>
                          <a:prstGeom prst="rect">
                            <a:avLst/>
                          </a:prstGeom>
                        </pic:spPr>
                      </pic:pic>
                      <wps:wsp>
                        <wps:cNvPr id="378" name="Graphic 378"/>
                        <wps:cNvSpPr/>
                        <wps:spPr>
                          <a:xfrm>
                            <a:off x="295529" y="4670653"/>
                            <a:ext cx="678815" cy="91440"/>
                          </a:xfrm>
                          <a:custGeom>
                            <a:avLst/>
                            <a:gdLst/>
                            <a:ahLst/>
                            <a:cxnLst/>
                            <a:rect l="l" t="t" r="r" b="b"/>
                            <a:pathLst>
                              <a:path w="678815" h="91440">
                                <a:moveTo>
                                  <a:pt x="66141" y="85623"/>
                                </a:moveTo>
                                <a:lnTo>
                                  <a:pt x="62128" y="77470"/>
                                </a:lnTo>
                                <a:lnTo>
                                  <a:pt x="58648" y="79184"/>
                                </a:lnTo>
                                <a:lnTo>
                                  <a:pt x="55245" y="80429"/>
                                </a:lnTo>
                                <a:lnTo>
                                  <a:pt x="48577" y="81940"/>
                                </a:lnTo>
                                <a:lnTo>
                                  <a:pt x="45173" y="82334"/>
                                </a:lnTo>
                                <a:lnTo>
                                  <a:pt x="32308" y="82334"/>
                                </a:lnTo>
                                <a:lnTo>
                                  <a:pt x="10541" y="47993"/>
                                </a:lnTo>
                                <a:lnTo>
                                  <a:pt x="11099" y="40030"/>
                                </a:lnTo>
                                <a:lnTo>
                                  <a:pt x="43434" y="11684"/>
                                </a:lnTo>
                                <a:lnTo>
                                  <a:pt x="46863" y="11684"/>
                                </a:lnTo>
                                <a:lnTo>
                                  <a:pt x="50063" y="11988"/>
                                </a:lnTo>
                                <a:lnTo>
                                  <a:pt x="55981" y="13233"/>
                                </a:lnTo>
                                <a:lnTo>
                                  <a:pt x="59029" y="14236"/>
                                </a:lnTo>
                                <a:lnTo>
                                  <a:pt x="62179" y="15646"/>
                                </a:lnTo>
                                <a:lnTo>
                                  <a:pt x="65900" y="7366"/>
                                </a:lnTo>
                                <a:lnTo>
                                  <a:pt x="62115" y="5689"/>
                                </a:lnTo>
                                <a:lnTo>
                                  <a:pt x="58445" y="4470"/>
                                </a:lnTo>
                                <a:lnTo>
                                  <a:pt x="51371" y="2959"/>
                                </a:lnTo>
                                <a:lnTo>
                                  <a:pt x="47586" y="2578"/>
                                </a:lnTo>
                                <a:lnTo>
                                  <a:pt x="43561" y="2578"/>
                                </a:lnTo>
                                <a:lnTo>
                                  <a:pt x="6781" y="21844"/>
                                </a:lnTo>
                                <a:lnTo>
                                  <a:pt x="0" y="48590"/>
                                </a:lnTo>
                                <a:lnTo>
                                  <a:pt x="673" y="57721"/>
                                </a:lnTo>
                                <a:lnTo>
                                  <a:pt x="23787" y="88430"/>
                                </a:lnTo>
                                <a:lnTo>
                                  <a:pt x="41097" y="91376"/>
                                </a:lnTo>
                                <a:lnTo>
                                  <a:pt x="45732" y="91376"/>
                                </a:lnTo>
                                <a:lnTo>
                                  <a:pt x="50025" y="90919"/>
                                </a:lnTo>
                                <a:lnTo>
                                  <a:pt x="57937" y="89077"/>
                                </a:lnTo>
                                <a:lnTo>
                                  <a:pt x="61988" y="87617"/>
                                </a:lnTo>
                                <a:lnTo>
                                  <a:pt x="66141" y="85623"/>
                                </a:lnTo>
                                <a:close/>
                              </a:path>
                              <a:path w="678815" h="91440">
                                <a:moveTo>
                                  <a:pt x="136486" y="49072"/>
                                </a:moveTo>
                                <a:lnTo>
                                  <a:pt x="133921" y="41275"/>
                                </a:lnTo>
                                <a:lnTo>
                                  <a:pt x="128625" y="35420"/>
                                </a:lnTo>
                                <a:lnTo>
                                  <a:pt x="126428" y="32994"/>
                                </a:lnTo>
                                <a:lnTo>
                                  <a:pt x="126428" y="51689"/>
                                </a:lnTo>
                                <a:lnTo>
                                  <a:pt x="126428" y="66941"/>
                                </a:lnTo>
                                <a:lnTo>
                                  <a:pt x="124714" y="72783"/>
                                </a:lnTo>
                                <a:lnTo>
                                  <a:pt x="117881" y="81051"/>
                                </a:lnTo>
                                <a:lnTo>
                                  <a:pt x="113004" y="83108"/>
                                </a:lnTo>
                                <a:lnTo>
                                  <a:pt x="100418" y="83108"/>
                                </a:lnTo>
                                <a:lnTo>
                                  <a:pt x="95440" y="81026"/>
                                </a:lnTo>
                                <a:lnTo>
                                  <a:pt x="88011" y="72631"/>
                                </a:lnTo>
                                <a:lnTo>
                                  <a:pt x="86169" y="66941"/>
                                </a:lnTo>
                                <a:lnTo>
                                  <a:pt x="86156" y="52120"/>
                                </a:lnTo>
                                <a:lnTo>
                                  <a:pt x="87998" y="46202"/>
                                </a:lnTo>
                                <a:lnTo>
                                  <a:pt x="95351" y="37579"/>
                                </a:lnTo>
                                <a:lnTo>
                                  <a:pt x="100342" y="35420"/>
                                </a:lnTo>
                                <a:lnTo>
                                  <a:pt x="112966" y="35420"/>
                                </a:lnTo>
                                <a:lnTo>
                                  <a:pt x="117830" y="37490"/>
                                </a:lnTo>
                                <a:lnTo>
                                  <a:pt x="124714" y="45758"/>
                                </a:lnTo>
                                <a:lnTo>
                                  <a:pt x="126428" y="51689"/>
                                </a:lnTo>
                                <a:lnTo>
                                  <a:pt x="126428" y="32994"/>
                                </a:lnTo>
                                <a:lnTo>
                                  <a:pt x="123659" y="29933"/>
                                </a:lnTo>
                                <a:lnTo>
                                  <a:pt x="116509" y="27114"/>
                                </a:lnTo>
                                <a:lnTo>
                                  <a:pt x="97701" y="27203"/>
                                </a:lnTo>
                                <a:lnTo>
                                  <a:pt x="76098" y="59994"/>
                                </a:lnTo>
                                <a:lnTo>
                                  <a:pt x="76098" y="69443"/>
                                </a:lnTo>
                                <a:lnTo>
                                  <a:pt x="78803" y="77050"/>
                                </a:lnTo>
                                <a:lnTo>
                                  <a:pt x="89623" y="88519"/>
                                </a:lnTo>
                                <a:lnTo>
                                  <a:pt x="96862" y="91389"/>
                                </a:lnTo>
                                <a:lnTo>
                                  <a:pt x="115239" y="91389"/>
                                </a:lnTo>
                                <a:lnTo>
                                  <a:pt x="122656" y="88455"/>
                                </a:lnTo>
                                <a:lnTo>
                                  <a:pt x="127685" y="83108"/>
                                </a:lnTo>
                                <a:lnTo>
                                  <a:pt x="133718" y="76708"/>
                                </a:lnTo>
                                <a:lnTo>
                                  <a:pt x="136486" y="68859"/>
                                </a:lnTo>
                                <a:lnTo>
                                  <a:pt x="136486" y="49072"/>
                                </a:lnTo>
                                <a:close/>
                              </a:path>
                              <a:path w="678815" h="91440">
                                <a:moveTo>
                                  <a:pt x="203111" y="44246"/>
                                </a:moveTo>
                                <a:lnTo>
                                  <a:pt x="201333" y="37985"/>
                                </a:lnTo>
                                <a:lnTo>
                                  <a:pt x="194221" y="29311"/>
                                </a:lnTo>
                                <a:lnTo>
                                  <a:pt x="189090" y="27139"/>
                                </a:lnTo>
                                <a:lnTo>
                                  <a:pt x="177977" y="27139"/>
                                </a:lnTo>
                                <a:lnTo>
                                  <a:pt x="174117" y="28105"/>
                                </a:lnTo>
                                <a:lnTo>
                                  <a:pt x="167398" y="31991"/>
                                </a:lnTo>
                                <a:lnTo>
                                  <a:pt x="164566" y="34899"/>
                                </a:lnTo>
                                <a:lnTo>
                                  <a:pt x="162255" y="38760"/>
                                </a:lnTo>
                                <a:lnTo>
                                  <a:pt x="162013" y="38760"/>
                                </a:lnTo>
                                <a:lnTo>
                                  <a:pt x="162013" y="28575"/>
                                </a:lnTo>
                                <a:lnTo>
                                  <a:pt x="152184" y="28575"/>
                                </a:lnTo>
                                <a:lnTo>
                                  <a:pt x="152184" y="89941"/>
                                </a:lnTo>
                                <a:lnTo>
                                  <a:pt x="162013" y="89941"/>
                                </a:lnTo>
                                <a:lnTo>
                                  <a:pt x="162013" y="49314"/>
                                </a:lnTo>
                                <a:lnTo>
                                  <a:pt x="163614" y="44653"/>
                                </a:lnTo>
                                <a:lnTo>
                                  <a:pt x="170040" y="37261"/>
                                </a:lnTo>
                                <a:lnTo>
                                  <a:pt x="174117" y="35407"/>
                                </a:lnTo>
                                <a:lnTo>
                                  <a:pt x="183781" y="35407"/>
                                </a:lnTo>
                                <a:lnTo>
                                  <a:pt x="187337" y="37045"/>
                                </a:lnTo>
                                <a:lnTo>
                                  <a:pt x="192100" y="43561"/>
                                </a:lnTo>
                                <a:lnTo>
                                  <a:pt x="193294" y="48437"/>
                                </a:lnTo>
                                <a:lnTo>
                                  <a:pt x="193294" y="89941"/>
                                </a:lnTo>
                                <a:lnTo>
                                  <a:pt x="203111" y="89941"/>
                                </a:lnTo>
                                <a:lnTo>
                                  <a:pt x="203111" y="44246"/>
                                </a:lnTo>
                                <a:close/>
                              </a:path>
                              <a:path w="678815" h="91440">
                                <a:moveTo>
                                  <a:pt x="258838" y="68122"/>
                                </a:moveTo>
                                <a:lnTo>
                                  <a:pt x="257289" y="64173"/>
                                </a:lnTo>
                                <a:lnTo>
                                  <a:pt x="251091" y="58127"/>
                                </a:lnTo>
                                <a:lnTo>
                                  <a:pt x="246430" y="55778"/>
                                </a:lnTo>
                                <a:lnTo>
                                  <a:pt x="235445" y="52870"/>
                                </a:lnTo>
                                <a:lnTo>
                                  <a:pt x="232003" y="51549"/>
                                </a:lnTo>
                                <a:lnTo>
                                  <a:pt x="227736" y="48755"/>
                                </a:lnTo>
                                <a:lnTo>
                                  <a:pt x="226656" y="46685"/>
                                </a:lnTo>
                                <a:lnTo>
                                  <a:pt x="226656" y="41173"/>
                                </a:lnTo>
                                <a:lnTo>
                                  <a:pt x="227698" y="39065"/>
                                </a:lnTo>
                                <a:lnTo>
                                  <a:pt x="231851" y="36144"/>
                                </a:lnTo>
                                <a:lnTo>
                                  <a:pt x="234873" y="35407"/>
                                </a:lnTo>
                                <a:lnTo>
                                  <a:pt x="241096" y="35407"/>
                                </a:lnTo>
                                <a:lnTo>
                                  <a:pt x="243344" y="35775"/>
                                </a:lnTo>
                                <a:lnTo>
                                  <a:pt x="247777" y="37172"/>
                                </a:lnTo>
                                <a:lnTo>
                                  <a:pt x="250291" y="38392"/>
                                </a:lnTo>
                                <a:lnTo>
                                  <a:pt x="253085" y="40144"/>
                                </a:lnTo>
                                <a:lnTo>
                                  <a:pt x="257454" y="32715"/>
                                </a:lnTo>
                                <a:lnTo>
                                  <a:pt x="254381" y="30683"/>
                                </a:lnTo>
                                <a:lnTo>
                                  <a:pt x="251358" y="29248"/>
                                </a:lnTo>
                                <a:lnTo>
                                  <a:pt x="245452" y="27571"/>
                                </a:lnTo>
                                <a:lnTo>
                                  <a:pt x="242341" y="27139"/>
                                </a:lnTo>
                                <a:lnTo>
                                  <a:pt x="232270" y="27139"/>
                                </a:lnTo>
                                <a:lnTo>
                                  <a:pt x="226987" y="28829"/>
                                </a:lnTo>
                                <a:lnTo>
                                  <a:pt x="219392" y="35585"/>
                                </a:lnTo>
                                <a:lnTo>
                                  <a:pt x="217487" y="39789"/>
                                </a:lnTo>
                                <a:lnTo>
                                  <a:pt x="217487" y="49174"/>
                                </a:lnTo>
                                <a:lnTo>
                                  <a:pt x="218909" y="52844"/>
                                </a:lnTo>
                                <a:lnTo>
                                  <a:pt x="224586" y="58788"/>
                                </a:lnTo>
                                <a:lnTo>
                                  <a:pt x="229831" y="61264"/>
                                </a:lnTo>
                                <a:lnTo>
                                  <a:pt x="241617" y="64249"/>
                                </a:lnTo>
                                <a:lnTo>
                                  <a:pt x="244640" y="65646"/>
                                </a:lnTo>
                                <a:lnTo>
                                  <a:pt x="248513" y="69126"/>
                                </a:lnTo>
                                <a:lnTo>
                                  <a:pt x="249478" y="71247"/>
                                </a:lnTo>
                                <a:lnTo>
                                  <a:pt x="249478" y="76873"/>
                                </a:lnTo>
                                <a:lnTo>
                                  <a:pt x="248399" y="79222"/>
                                </a:lnTo>
                                <a:lnTo>
                                  <a:pt x="244043" y="82334"/>
                                </a:lnTo>
                                <a:lnTo>
                                  <a:pt x="240855" y="83108"/>
                                </a:lnTo>
                                <a:lnTo>
                                  <a:pt x="233705" y="83108"/>
                                </a:lnTo>
                                <a:lnTo>
                                  <a:pt x="230949" y="82664"/>
                                </a:lnTo>
                                <a:lnTo>
                                  <a:pt x="225844" y="80860"/>
                                </a:lnTo>
                                <a:lnTo>
                                  <a:pt x="223227" y="79527"/>
                                </a:lnTo>
                                <a:lnTo>
                                  <a:pt x="220548" y="77774"/>
                                </a:lnTo>
                                <a:lnTo>
                                  <a:pt x="215874" y="85331"/>
                                </a:lnTo>
                                <a:lnTo>
                                  <a:pt x="218821" y="87287"/>
                                </a:lnTo>
                                <a:lnTo>
                                  <a:pt x="222034" y="88785"/>
                                </a:lnTo>
                                <a:lnTo>
                                  <a:pt x="228942" y="90868"/>
                                </a:lnTo>
                                <a:lnTo>
                                  <a:pt x="232549" y="91389"/>
                                </a:lnTo>
                                <a:lnTo>
                                  <a:pt x="243293" y="91389"/>
                                </a:lnTo>
                                <a:lnTo>
                                  <a:pt x="248805" y="89738"/>
                                </a:lnTo>
                                <a:lnTo>
                                  <a:pt x="256832" y="83134"/>
                                </a:lnTo>
                                <a:lnTo>
                                  <a:pt x="258838" y="78663"/>
                                </a:lnTo>
                                <a:lnTo>
                                  <a:pt x="258838" y="68122"/>
                                </a:lnTo>
                                <a:close/>
                              </a:path>
                              <a:path w="678815" h="91440">
                                <a:moveTo>
                                  <a:pt x="302933" y="89217"/>
                                </a:moveTo>
                                <a:lnTo>
                                  <a:pt x="300545" y="81737"/>
                                </a:lnTo>
                                <a:lnTo>
                                  <a:pt x="298843" y="82410"/>
                                </a:lnTo>
                                <a:lnTo>
                                  <a:pt x="295452" y="83108"/>
                                </a:lnTo>
                                <a:lnTo>
                                  <a:pt x="291731" y="83108"/>
                                </a:lnTo>
                                <a:lnTo>
                                  <a:pt x="289839" y="82334"/>
                                </a:lnTo>
                                <a:lnTo>
                                  <a:pt x="287324" y="79209"/>
                                </a:lnTo>
                                <a:lnTo>
                                  <a:pt x="286702" y="76682"/>
                                </a:lnTo>
                                <a:lnTo>
                                  <a:pt x="286702" y="36969"/>
                                </a:lnTo>
                                <a:lnTo>
                                  <a:pt x="302158" y="36969"/>
                                </a:lnTo>
                                <a:lnTo>
                                  <a:pt x="302158" y="28587"/>
                                </a:lnTo>
                                <a:lnTo>
                                  <a:pt x="286702" y="28587"/>
                                </a:lnTo>
                                <a:lnTo>
                                  <a:pt x="286702" y="10426"/>
                                </a:lnTo>
                                <a:lnTo>
                                  <a:pt x="276872" y="13601"/>
                                </a:lnTo>
                                <a:lnTo>
                                  <a:pt x="276872" y="28587"/>
                                </a:lnTo>
                                <a:lnTo>
                                  <a:pt x="266331" y="28587"/>
                                </a:lnTo>
                                <a:lnTo>
                                  <a:pt x="266331" y="36969"/>
                                </a:lnTo>
                                <a:lnTo>
                                  <a:pt x="276872" y="36969"/>
                                </a:lnTo>
                                <a:lnTo>
                                  <a:pt x="276872" y="79895"/>
                                </a:lnTo>
                                <a:lnTo>
                                  <a:pt x="278257" y="84124"/>
                                </a:lnTo>
                                <a:lnTo>
                                  <a:pt x="283806" y="89827"/>
                                </a:lnTo>
                                <a:lnTo>
                                  <a:pt x="287629" y="91262"/>
                                </a:lnTo>
                                <a:lnTo>
                                  <a:pt x="294551" y="91262"/>
                                </a:lnTo>
                                <a:lnTo>
                                  <a:pt x="296379" y="91084"/>
                                </a:lnTo>
                                <a:lnTo>
                                  <a:pt x="299605" y="90411"/>
                                </a:lnTo>
                                <a:lnTo>
                                  <a:pt x="302933" y="89217"/>
                                </a:lnTo>
                                <a:close/>
                              </a:path>
                              <a:path w="678815" h="91440">
                                <a:moveTo>
                                  <a:pt x="347154" y="28232"/>
                                </a:moveTo>
                                <a:lnTo>
                                  <a:pt x="346481" y="27990"/>
                                </a:lnTo>
                                <a:lnTo>
                                  <a:pt x="343992" y="27571"/>
                                </a:lnTo>
                                <a:lnTo>
                                  <a:pt x="337947" y="27508"/>
                                </a:lnTo>
                                <a:lnTo>
                                  <a:pt x="334632" y="28638"/>
                                </a:lnTo>
                                <a:lnTo>
                                  <a:pt x="328879" y="33147"/>
                                </a:lnTo>
                                <a:lnTo>
                                  <a:pt x="326745" y="36436"/>
                                </a:lnTo>
                                <a:lnTo>
                                  <a:pt x="325348" y="40754"/>
                                </a:lnTo>
                                <a:lnTo>
                                  <a:pt x="325107" y="40754"/>
                                </a:lnTo>
                                <a:lnTo>
                                  <a:pt x="325107" y="28587"/>
                                </a:lnTo>
                                <a:lnTo>
                                  <a:pt x="315277" y="28587"/>
                                </a:lnTo>
                                <a:lnTo>
                                  <a:pt x="315277" y="89941"/>
                                </a:lnTo>
                                <a:lnTo>
                                  <a:pt x="325107" y="89941"/>
                                </a:lnTo>
                                <a:lnTo>
                                  <a:pt x="325107" y="52273"/>
                                </a:lnTo>
                                <a:lnTo>
                                  <a:pt x="326542" y="46951"/>
                                </a:lnTo>
                                <a:lnTo>
                                  <a:pt x="332295" y="38442"/>
                                </a:lnTo>
                                <a:lnTo>
                                  <a:pt x="336232" y="36309"/>
                                </a:lnTo>
                                <a:lnTo>
                                  <a:pt x="342900" y="36372"/>
                                </a:lnTo>
                                <a:lnTo>
                                  <a:pt x="345541" y="36969"/>
                                </a:lnTo>
                                <a:lnTo>
                                  <a:pt x="347154" y="28232"/>
                                </a:lnTo>
                                <a:close/>
                              </a:path>
                              <a:path w="678815" h="91440">
                                <a:moveTo>
                                  <a:pt x="407555" y="28575"/>
                                </a:moveTo>
                                <a:lnTo>
                                  <a:pt x="397725" y="28575"/>
                                </a:lnTo>
                                <a:lnTo>
                                  <a:pt x="397725" y="69646"/>
                                </a:lnTo>
                                <a:lnTo>
                                  <a:pt x="396176" y="74269"/>
                                </a:lnTo>
                                <a:lnTo>
                                  <a:pt x="389991" y="81343"/>
                                </a:lnTo>
                                <a:lnTo>
                                  <a:pt x="386041" y="83096"/>
                                </a:lnTo>
                                <a:lnTo>
                                  <a:pt x="376301" y="83096"/>
                                </a:lnTo>
                                <a:lnTo>
                                  <a:pt x="372592" y="81495"/>
                                </a:lnTo>
                                <a:lnTo>
                                  <a:pt x="367626" y="75018"/>
                                </a:lnTo>
                                <a:lnTo>
                                  <a:pt x="366395" y="70167"/>
                                </a:lnTo>
                                <a:lnTo>
                                  <a:pt x="366395" y="28575"/>
                                </a:lnTo>
                                <a:lnTo>
                                  <a:pt x="356628" y="28575"/>
                                </a:lnTo>
                                <a:lnTo>
                                  <a:pt x="356628" y="73964"/>
                                </a:lnTo>
                                <a:lnTo>
                                  <a:pt x="358457" y="80492"/>
                                </a:lnTo>
                                <a:lnTo>
                                  <a:pt x="365760" y="89204"/>
                                </a:lnTo>
                                <a:lnTo>
                                  <a:pt x="371246" y="91376"/>
                                </a:lnTo>
                                <a:lnTo>
                                  <a:pt x="382828" y="91376"/>
                                </a:lnTo>
                                <a:lnTo>
                                  <a:pt x="386549" y="90449"/>
                                </a:lnTo>
                                <a:lnTo>
                                  <a:pt x="392849" y="86728"/>
                                </a:lnTo>
                                <a:lnTo>
                                  <a:pt x="395452" y="83947"/>
                                </a:lnTo>
                                <a:lnTo>
                                  <a:pt x="397497" y="80225"/>
                                </a:lnTo>
                                <a:lnTo>
                                  <a:pt x="397725" y="80225"/>
                                </a:lnTo>
                                <a:lnTo>
                                  <a:pt x="397725" y="89941"/>
                                </a:lnTo>
                                <a:lnTo>
                                  <a:pt x="407555" y="89941"/>
                                </a:lnTo>
                                <a:lnTo>
                                  <a:pt x="407555" y="28575"/>
                                </a:lnTo>
                                <a:close/>
                              </a:path>
                              <a:path w="678815" h="91440">
                                <a:moveTo>
                                  <a:pt x="472198" y="32004"/>
                                </a:moveTo>
                                <a:lnTo>
                                  <a:pt x="469277" y="30276"/>
                                </a:lnTo>
                                <a:lnTo>
                                  <a:pt x="466394" y="29044"/>
                                </a:lnTo>
                                <a:lnTo>
                                  <a:pt x="460692" y="27520"/>
                                </a:lnTo>
                                <a:lnTo>
                                  <a:pt x="457682" y="27139"/>
                                </a:lnTo>
                                <a:lnTo>
                                  <a:pt x="444779" y="27139"/>
                                </a:lnTo>
                                <a:lnTo>
                                  <a:pt x="423189" y="60579"/>
                                </a:lnTo>
                                <a:lnTo>
                                  <a:pt x="423189" y="70408"/>
                                </a:lnTo>
                                <a:lnTo>
                                  <a:pt x="425958" y="78003"/>
                                </a:lnTo>
                                <a:lnTo>
                                  <a:pt x="437019" y="88696"/>
                                </a:lnTo>
                                <a:lnTo>
                                  <a:pt x="444093" y="91376"/>
                                </a:lnTo>
                                <a:lnTo>
                                  <a:pt x="456082" y="91376"/>
                                </a:lnTo>
                                <a:lnTo>
                                  <a:pt x="463994" y="80530"/>
                                </a:lnTo>
                                <a:lnTo>
                                  <a:pt x="461848" y="81508"/>
                                </a:lnTo>
                                <a:lnTo>
                                  <a:pt x="457568" y="82740"/>
                                </a:lnTo>
                                <a:lnTo>
                                  <a:pt x="455523" y="83058"/>
                                </a:lnTo>
                                <a:lnTo>
                                  <a:pt x="447573" y="83058"/>
                                </a:lnTo>
                                <a:lnTo>
                                  <a:pt x="442696" y="81038"/>
                                </a:lnTo>
                                <a:lnTo>
                                  <a:pt x="435140" y="72961"/>
                                </a:lnTo>
                                <a:lnTo>
                                  <a:pt x="433247" y="67106"/>
                                </a:lnTo>
                                <a:lnTo>
                                  <a:pt x="433247" y="52489"/>
                                </a:lnTo>
                                <a:lnTo>
                                  <a:pt x="435051" y="46761"/>
                                </a:lnTo>
                                <a:lnTo>
                                  <a:pt x="442239" y="37731"/>
                                </a:lnTo>
                                <a:lnTo>
                                  <a:pt x="447421" y="35471"/>
                                </a:lnTo>
                                <a:lnTo>
                                  <a:pt x="456768" y="35471"/>
                                </a:lnTo>
                                <a:lnTo>
                                  <a:pt x="459155" y="35775"/>
                                </a:lnTo>
                                <a:lnTo>
                                  <a:pt x="463550" y="36969"/>
                                </a:lnTo>
                                <a:lnTo>
                                  <a:pt x="465785" y="37909"/>
                                </a:lnTo>
                                <a:lnTo>
                                  <a:pt x="468071" y="39192"/>
                                </a:lnTo>
                                <a:lnTo>
                                  <a:pt x="472198" y="32004"/>
                                </a:lnTo>
                                <a:close/>
                              </a:path>
                              <a:path w="678815" h="91440">
                                <a:moveTo>
                                  <a:pt x="513308" y="89217"/>
                                </a:moveTo>
                                <a:lnTo>
                                  <a:pt x="510908" y="81737"/>
                                </a:lnTo>
                                <a:lnTo>
                                  <a:pt x="509219" y="82410"/>
                                </a:lnTo>
                                <a:lnTo>
                                  <a:pt x="505815" y="83108"/>
                                </a:lnTo>
                                <a:lnTo>
                                  <a:pt x="502107" y="83108"/>
                                </a:lnTo>
                                <a:lnTo>
                                  <a:pt x="500214" y="82334"/>
                                </a:lnTo>
                                <a:lnTo>
                                  <a:pt x="497700" y="79209"/>
                                </a:lnTo>
                                <a:lnTo>
                                  <a:pt x="497078" y="76682"/>
                                </a:lnTo>
                                <a:lnTo>
                                  <a:pt x="497078" y="36969"/>
                                </a:lnTo>
                                <a:lnTo>
                                  <a:pt x="512533" y="36969"/>
                                </a:lnTo>
                                <a:lnTo>
                                  <a:pt x="512533" y="28587"/>
                                </a:lnTo>
                                <a:lnTo>
                                  <a:pt x="497078" y="28587"/>
                                </a:lnTo>
                                <a:lnTo>
                                  <a:pt x="497078" y="10426"/>
                                </a:lnTo>
                                <a:lnTo>
                                  <a:pt x="487248" y="13601"/>
                                </a:lnTo>
                                <a:lnTo>
                                  <a:pt x="487248" y="28587"/>
                                </a:lnTo>
                                <a:lnTo>
                                  <a:pt x="476707" y="28587"/>
                                </a:lnTo>
                                <a:lnTo>
                                  <a:pt x="476707" y="36969"/>
                                </a:lnTo>
                                <a:lnTo>
                                  <a:pt x="487248" y="36969"/>
                                </a:lnTo>
                                <a:lnTo>
                                  <a:pt x="487248" y="79895"/>
                                </a:lnTo>
                                <a:lnTo>
                                  <a:pt x="488632" y="84124"/>
                                </a:lnTo>
                                <a:lnTo>
                                  <a:pt x="494182" y="89827"/>
                                </a:lnTo>
                                <a:lnTo>
                                  <a:pt x="498005" y="91262"/>
                                </a:lnTo>
                                <a:lnTo>
                                  <a:pt x="504913" y="91262"/>
                                </a:lnTo>
                                <a:lnTo>
                                  <a:pt x="506742" y="91084"/>
                                </a:lnTo>
                                <a:lnTo>
                                  <a:pt x="509981" y="90411"/>
                                </a:lnTo>
                                <a:lnTo>
                                  <a:pt x="513308" y="89217"/>
                                </a:lnTo>
                                <a:close/>
                              </a:path>
                              <a:path w="678815" h="91440">
                                <a:moveTo>
                                  <a:pt x="535470" y="28575"/>
                                </a:moveTo>
                                <a:lnTo>
                                  <a:pt x="525640" y="28575"/>
                                </a:lnTo>
                                <a:lnTo>
                                  <a:pt x="525640" y="89941"/>
                                </a:lnTo>
                                <a:lnTo>
                                  <a:pt x="535470" y="89941"/>
                                </a:lnTo>
                                <a:lnTo>
                                  <a:pt x="535470" y="28575"/>
                                </a:lnTo>
                                <a:close/>
                              </a:path>
                              <a:path w="678815" h="91440">
                                <a:moveTo>
                                  <a:pt x="537756" y="4991"/>
                                </a:moveTo>
                                <a:lnTo>
                                  <a:pt x="537070" y="3340"/>
                                </a:lnTo>
                                <a:lnTo>
                                  <a:pt x="534365" y="660"/>
                                </a:lnTo>
                                <a:lnTo>
                                  <a:pt x="532676" y="0"/>
                                </a:lnTo>
                                <a:lnTo>
                                  <a:pt x="528688" y="0"/>
                                </a:lnTo>
                                <a:lnTo>
                                  <a:pt x="526999" y="660"/>
                                </a:lnTo>
                                <a:lnTo>
                                  <a:pt x="524294" y="3340"/>
                                </a:lnTo>
                                <a:lnTo>
                                  <a:pt x="523608" y="4991"/>
                                </a:lnTo>
                                <a:lnTo>
                                  <a:pt x="523608" y="8902"/>
                                </a:lnTo>
                                <a:lnTo>
                                  <a:pt x="524294" y="10553"/>
                                </a:lnTo>
                                <a:lnTo>
                                  <a:pt x="526999" y="13233"/>
                                </a:lnTo>
                                <a:lnTo>
                                  <a:pt x="528688" y="13893"/>
                                </a:lnTo>
                                <a:lnTo>
                                  <a:pt x="532676" y="13893"/>
                                </a:lnTo>
                                <a:lnTo>
                                  <a:pt x="534365" y="13233"/>
                                </a:lnTo>
                                <a:lnTo>
                                  <a:pt x="537070" y="10553"/>
                                </a:lnTo>
                                <a:lnTo>
                                  <a:pt x="537756" y="8902"/>
                                </a:lnTo>
                                <a:lnTo>
                                  <a:pt x="537756" y="4991"/>
                                </a:lnTo>
                                <a:close/>
                              </a:path>
                              <a:path w="678815" h="91440">
                                <a:moveTo>
                                  <a:pt x="611568" y="49072"/>
                                </a:moveTo>
                                <a:lnTo>
                                  <a:pt x="609003" y="41275"/>
                                </a:lnTo>
                                <a:lnTo>
                                  <a:pt x="603707" y="35420"/>
                                </a:lnTo>
                                <a:lnTo>
                                  <a:pt x="601510" y="32994"/>
                                </a:lnTo>
                                <a:lnTo>
                                  <a:pt x="601510" y="51689"/>
                                </a:lnTo>
                                <a:lnTo>
                                  <a:pt x="601510" y="66941"/>
                                </a:lnTo>
                                <a:lnTo>
                                  <a:pt x="599795" y="72783"/>
                                </a:lnTo>
                                <a:lnTo>
                                  <a:pt x="592963" y="81051"/>
                                </a:lnTo>
                                <a:lnTo>
                                  <a:pt x="588086" y="83108"/>
                                </a:lnTo>
                                <a:lnTo>
                                  <a:pt x="575500" y="83108"/>
                                </a:lnTo>
                                <a:lnTo>
                                  <a:pt x="570534" y="81026"/>
                                </a:lnTo>
                                <a:lnTo>
                                  <a:pt x="563092" y="72631"/>
                                </a:lnTo>
                                <a:lnTo>
                                  <a:pt x="561251" y="66941"/>
                                </a:lnTo>
                                <a:lnTo>
                                  <a:pt x="561238" y="52120"/>
                                </a:lnTo>
                                <a:lnTo>
                                  <a:pt x="563079" y="46202"/>
                                </a:lnTo>
                                <a:lnTo>
                                  <a:pt x="570433" y="37579"/>
                                </a:lnTo>
                                <a:lnTo>
                                  <a:pt x="575424" y="35420"/>
                                </a:lnTo>
                                <a:lnTo>
                                  <a:pt x="588048" y="35420"/>
                                </a:lnTo>
                                <a:lnTo>
                                  <a:pt x="592912" y="37490"/>
                                </a:lnTo>
                                <a:lnTo>
                                  <a:pt x="599795" y="45758"/>
                                </a:lnTo>
                                <a:lnTo>
                                  <a:pt x="601510" y="51689"/>
                                </a:lnTo>
                                <a:lnTo>
                                  <a:pt x="601510" y="32994"/>
                                </a:lnTo>
                                <a:lnTo>
                                  <a:pt x="598741" y="29933"/>
                                </a:lnTo>
                                <a:lnTo>
                                  <a:pt x="591591" y="27114"/>
                                </a:lnTo>
                                <a:lnTo>
                                  <a:pt x="572782" y="27203"/>
                                </a:lnTo>
                                <a:lnTo>
                                  <a:pt x="551180" y="59994"/>
                                </a:lnTo>
                                <a:lnTo>
                                  <a:pt x="551180" y="69443"/>
                                </a:lnTo>
                                <a:lnTo>
                                  <a:pt x="553885" y="77050"/>
                                </a:lnTo>
                                <a:lnTo>
                                  <a:pt x="564705" y="88519"/>
                                </a:lnTo>
                                <a:lnTo>
                                  <a:pt x="571944" y="91389"/>
                                </a:lnTo>
                                <a:lnTo>
                                  <a:pt x="590321" y="91389"/>
                                </a:lnTo>
                                <a:lnTo>
                                  <a:pt x="597738" y="88455"/>
                                </a:lnTo>
                                <a:lnTo>
                                  <a:pt x="602767" y="83108"/>
                                </a:lnTo>
                                <a:lnTo>
                                  <a:pt x="608799" y="76708"/>
                                </a:lnTo>
                                <a:lnTo>
                                  <a:pt x="611568" y="68859"/>
                                </a:lnTo>
                                <a:lnTo>
                                  <a:pt x="611568" y="49072"/>
                                </a:lnTo>
                                <a:close/>
                              </a:path>
                              <a:path w="678815" h="91440">
                                <a:moveTo>
                                  <a:pt x="678205" y="44246"/>
                                </a:moveTo>
                                <a:lnTo>
                                  <a:pt x="676427" y="37985"/>
                                </a:lnTo>
                                <a:lnTo>
                                  <a:pt x="669315" y="29311"/>
                                </a:lnTo>
                                <a:lnTo>
                                  <a:pt x="664184" y="27139"/>
                                </a:lnTo>
                                <a:lnTo>
                                  <a:pt x="653072" y="27139"/>
                                </a:lnTo>
                                <a:lnTo>
                                  <a:pt x="649198" y="28105"/>
                                </a:lnTo>
                                <a:lnTo>
                                  <a:pt x="642493" y="31991"/>
                                </a:lnTo>
                                <a:lnTo>
                                  <a:pt x="639660" y="34899"/>
                                </a:lnTo>
                                <a:lnTo>
                                  <a:pt x="637336" y="38760"/>
                                </a:lnTo>
                                <a:lnTo>
                                  <a:pt x="637095" y="38760"/>
                                </a:lnTo>
                                <a:lnTo>
                                  <a:pt x="637095" y="28575"/>
                                </a:lnTo>
                                <a:lnTo>
                                  <a:pt x="627278" y="28575"/>
                                </a:lnTo>
                                <a:lnTo>
                                  <a:pt x="627278" y="89941"/>
                                </a:lnTo>
                                <a:lnTo>
                                  <a:pt x="637095" y="89941"/>
                                </a:lnTo>
                                <a:lnTo>
                                  <a:pt x="637095" y="49314"/>
                                </a:lnTo>
                                <a:lnTo>
                                  <a:pt x="638708" y="44653"/>
                                </a:lnTo>
                                <a:lnTo>
                                  <a:pt x="645134" y="37261"/>
                                </a:lnTo>
                                <a:lnTo>
                                  <a:pt x="649198" y="35407"/>
                                </a:lnTo>
                                <a:lnTo>
                                  <a:pt x="658876" y="35407"/>
                                </a:lnTo>
                                <a:lnTo>
                                  <a:pt x="662432" y="37045"/>
                                </a:lnTo>
                                <a:lnTo>
                                  <a:pt x="667181" y="43561"/>
                                </a:lnTo>
                                <a:lnTo>
                                  <a:pt x="668375" y="48437"/>
                                </a:lnTo>
                                <a:lnTo>
                                  <a:pt x="668375" y="89941"/>
                                </a:lnTo>
                                <a:lnTo>
                                  <a:pt x="678205" y="89941"/>
                                </a:lnTo>
                                <a:lnTo>
                                  <a:pt x="678205" y="44246"/>
                                </a:lnTo>
                                <a:close/>
                              </a:path>
                            </a:pathLst>
                          </a:custGeom>
                          <a:solidFill>
                            <a:srgbClr val="231F20"/>
                          </a:solidFill>
                        </wps:spPr>
                        <wps:bodyPr wrap="square" lIns="0" tIns="0" rIns="0" bIns="0" rtlCol="0">
                          <a:prstTxWarp prst="textNoShape">
                            <a:avLst/>
                          </a:prstTxWarp>
                          <a:noAutofit/>
                        </wps:bodyPr>
                      </wps:wsp>
                      <pic:pic>
                        <pic:nvPicPr>
                          <pic:cNvPr id="379" name="Image 379"/>
                          <pic:cNvPicPr/>
                        </pic:nvPicPr>
                        <pic:blipFill>
                          <a:blip r:embed="rId117" cstate="print"/>
                          <a:stretch>
                            <a:fillRect/>
                          </a:stretch>
                        </pic:blipFill>
                        <pic:spPr>
                          <a:xfrm>
                            <a:off x="2462965" y="5078148"/>
                            <a:ext cx="618183" cy="103661"/>
                          </a:xfrm>
                          <a:prstGeom prst="rect">
                            <a:avLst/>
                          </a:prstGeom>
                        </pic:spPr>
                      </pic:pic>
                      <pic:pic>
                        <pic:nvPicPr>
                          <pic:cNvPr id="380" name="Image 380"/>
                          <pic:cNvPicPr/>
                        </pic:nvPicPr>
                        <pic:blipFill>
                          <a:blip r:embed="rId118" cstate="print"/>
                          <a:stretch>
                            <a:fillRect/>
                          </a:stretch>
                        </pic:blipFill>
                        <pic:spPr>
                          <a:xfrm>
                            <a:off x="292225" y="5080074"/>
                            <a:ext cx="503792" cy="114141"/>
                          </a:xfrm>
                          <a:prstGeom prst="rect">
                            <a:avLst/>
                          </a:prstGeom>
                        </pic:spPr>
                      </pic:pic>
                      <pic:pic>
                        <pic:nvPicPr>
                          <pic:cNvPr id="381" name="Image 381"/>
                          <pic:cNvPicPr/>
                        </pic:nvPicPr>
                        <pic:blipFill>
                          <a:blip r:embed="rId119" cstate="print"/>
                          <a:stretch>
                            <a:fillRect/>
                          </a:stretch>
                        </pic:blipFill>
                        <pic:spPr>
                          <a:xfrm>
                            <a:off x="2460510" y="5486495"/>
                            <a:ext cx="600984" cy="103654"/>
                          </a:xfrm>
                          <a:prstGeom prst="rect">
                            <a:avLst/>
                          </a:prstGeom>
                        </pic:spPr>
                      </pic:pic>
                      <pic:pic>
                        <pic:nvPicPr>
                          <pic:cNvPr id="382" name="Image 382"/>
                          <pic:cNvPicPr/>
                        </pic:nvPicPr>
                        <pic:blipFill>
                          <a:blip r:embed="rId120" cstate="print"/>
                          <a:stretch>
                            <a:fillRect/>
                          </a:stretch>
                        </pic:blipFill>
                        <pic:spPr>
                          <a:xfrm>
                            <a:off x="301157" y="5484414"/>
                            <a:ext cx="840342" cy="118797"/>
                          </a:xfrm>
                          <a:prstGeom prst="rect">
                            <a:avLst/>
                          </a:prstGeom>
                        </pic:spPr>
                      </pic:pic>
                      <pic:pic>
                        <pic:nvPicPr>
                          <pic:cNvPr id="383" name="Image 383"/>
                          <pic:cNvPicPr/>
                        </pic:nvPicPr>
                        <pic:blipFill>
                          <a:blip r:embed="rId121" cstate="print"/>
                          <a:stretch>
                            <a:fillRect/>
                          </a:stretch>
                        </pic:blipFill>
                        <pic:spPr>
                          <a:xfrm>
                            <a:off x="2463807" y="5887022"/>
                            <a:ext cx="710096" cy="103649"/>
                          </a:xfrm>
                          <a:prstGeom prst="rect">
                            <a:avLst/>
                          </a:prstGeom>
                        </pic:spPr>
                      </pic:pic>
                      <pic:pic>
                        <pic:nvPicPr>
                          <pic:cNvPr id="384" name="Image 384"/>
                          <pic:cNvPicPr/>
                        </pic:nvPicPr>
                        <pic:blipFill>
                          <a:blip r:embed="rId122" cstate="print"/>
                          <a:stretch>
                            <a:fillRect/>
                          </a:stretch>
                        </pic:blipFill>
                        <pic:spPr>
                          <a:xfrm>
                            <a:off x="301152" y="5883460"/>
                            <a:ext cx="319427" cy="118808"/>
                          </a:xfrm>
                          <a:prstGeom prst="rect">
                            <a:avLst/>
                          </a:prstGeom>
                        </pic:spPr>
                      </pic:pic>
                      <wps:wsp>
                        <wps:cNvPr id="385" name="Graphic 385"/>
                        <wps:cNvSpPr/>
                        <wps:spPr>
                          <a:xfrm>
                            <a:off x="640477" y="5910603"/>
                            <a:ext cx="51435" cy="62865"/>
                          </a:xfrm>
                          <a:custGeom>
                            <a:avLst/>
                            <a:gdLst/>
                            <a:ahLst/>
                            <a:cxnLst/>
                            <a:rect l="l" t="t" r="r" b="b"/>
                            <a:pathLst>
                              <a:path w="51435" h="62865">
                                <a:moveTo>
                                  <a:pt x="36906" y="0"/>
                                </a:moveTo>
                                <a:lnTo>
                                  <a:pt x="25793" y="0"/>
                                </a:lnTo>
                                <a:lnTo>
                                  <a:pt x="21920" y="965"/>
                                </a:lnTo>
                                <a:lnTo>
                                  <a:pt x="15214" y="4838"/>
                                </a:lnTo>
                                <a:lnTo>
                                  <a:pt x="12369" y="7746"/>
                                </a:lnTo>
                                <a:lnTo>
                                  <a:pt x="10058" y="11620"/>
                                </a:lnTo>
                                <a:lnTo>
                                  <a:pt x="9817" y="11620"/>
                                </a:lnTo>
                                <a:lnTo>
                                  <a:pt x="9817" y="1435"/>
                                </a:lnTo>
                                <a:lnTo>
                                  <a:pt x="0" y="1435"/>
                                </a:lnTo>
                                <a:lnTo>
                                  <a:pt x="0" y="62788"/>
                                </a:lnTo>
                                <a:lnTo>
                                  <a:pt x="9817" y="62788"/>
                                </a:lnTo>
                                <a:lnTo>
                                  <a:pt x="9817" y="22161"/>
                                </a:lnTo>
                                <a:lnTo>
                                  <a:pt x="11430" y="17513"/>
                                </a:lnTo>
                                <a:lnTo>
                                  <a:pt x="17856" y="10121"/>
                                </a:lnTo>
                                <a:lnTo>
                                  <a:pt x="21920" y="8267"/>
                                </a:lnTo>
                                <a:lnTo>
                                  <a:pt x="31597" y="8267"/>
                                </a:lnTo>
                                <a:lnTo>
                                  <a:pt x="35153" y="9893"/>
                                </a:lnTo>
                                <a:lnTo>
                                  <a:pt x="39903" y="16408"/>
                                </a:lnTo>
                                <a:lnTo>
                                  <a:pt x="41097" y="21285"/>
                                </a:lnTo>
                                <a:lnTo>
                                  <a:pt x="41097" y="62788"/>
                                </a:lnTo>
                                <a:lnTo>
                                  <a:pt x="50927" y="62788"/>
                                </a:lnTo>
                                <a:lnTo>
                                  <a:pt x="50927" y="17094"/>
                                </a:lnTo>
                                <a:lnTo>
                                  <a:pt x="49149" y="10833"/>
                                </a:lnTo>
                                <a:lnTo>
                                  <a:pt x="42037" y="2158"/>
                                </a:lnTo>
                                <a:lnTo>
                                  <a:pt x="36906" y="0"/>
                                </a:lnTo>
                                <a:close/>
                              </a:path>
                            </a:pathLst>
                          </a:custGeom>
                          <a:solidFill>
                            <a:srgbClr val="231F20"/>
                          </a:solidFill>
                        </wps:spPr>
                        <wps:bodyPr wrap="square" lIns="0" tIns="0" rIns="0" bIns="0" rtlCol="0">
                          <a:prstTxWarp prst="textNoShape">
                            <a:avLst/>
                          </a:prstTxWarp>
                          <a:noAutofit/>
                        </wps:bodyPr>
                      </wps:wsp>
                      <pic:pic>
                        <pic:nvPicPr>
                          <pic:cNvPr id="386" name="Image 386"/>
                          <pic:cNvPicPr/>
                        </pic:nvPicPr>
                        <pic:blipFill>
                          <a:blip r:embed="rId123" cstate="print"/>
                          <a:stretch>
                            <a:fillRect/>
                          </a:stretch>
                        </pic:blipFill>
                        <pic:spPr>
                          <a:xfrm>
                            <a:off x="736168" y="5882564"/>
                            <a:ext cx="275619" cy="92278"/>
                          </a:xfrm>
                          <a:prstGeom prst="rect">
                            <a:avLst/>
                          </a:prstGeom>
                        </pic:spPr>
                      </pic:pic>
                      <pic:pic>
                        <pic:nvPicPr>
                          <pic:cNvPr id="387" name="Image 387"/>
                          <pic:cNvPicPr/>
                        </pic:nvPicPr>
                        <pic:blipFill>
                          <a:blip r:embed="rId124" cstate="print"/>
                          <a:stretch>
                            <a:fillRect/>
                          </a:stretch>
                        </pic:blipFill>
                        <pic:spPr>
                          <a:xfrm>
                            <a:off x="2462965" y="6283514"/>
                            <a:ext cx="637835" cy="103183"/>
                          </a:xfrm>
                          <a:prstGeom prst="rect">
                            <a:avLst/>
                          </a:prstGeom>
                        </pic:spPr>
                      </pic:pic>
                      <pic:pic>
                        <pic:nvPicPr>
                          <pic:cNvPr id="388" name="Image 388"/>
                          <pic:cNvPicPr/>
                        </pic:nvPicPr>
                        <pic:blipFill>
                          <a:blip r:embed="rId125" cstate="print"/>
                          <a:stretch>
                            <a:fillRect/>
                          </a:stretch>
                        </pic:blipFill>
                        <pic:spPr>
                          <a:xfrm>
                            <a:off x="301158" y="6278717"/>
                            <a:ext cx="856585" cy="121047"/>
                          </a:xfrm>
                          <a:prstGeom prst="rect">
                            <a:avLst/>
                          </a:prstGeom>
                        </pic:spPr>
                      </pic:pic>
                      <pic:pic>
                        <pic:nvPicPr>
                          <pic:cNvPr id="389" name="Image 389"/>
                          <pic:cNvPicPr/>
                        </pic:nvPicPr>
                        <pic:blipFill>
                          <a:blip r:embed="rId126" cstate="print"/>
                          <a:stretch>
                            <a:fillRect/>
                          </a:stretch>
                        </pic:blipFill>
                        <pic:spPr>
                          <a:xfrm>
                            <a:off x="283118" y="322696"/>
                            <a:ext cx="361367" cy="88853"/>
                          </a:xfrm>
                          <a:prstGeom prst="rect">
                            <a:avLst/>
                          </a:prstGeom>
                        </pic:spPr>
                      </pic:pic>
                    </wpg:wgp>
                  </a:graphicData>
                </a:graphic>
              </wp:anchor>
            </w:drawing>
          </mc:Choice>
          <mc:Fallback>
            <w:pict>
              <v:group style="position:absolute;margin-left:56.693001pt;margin-top:13.055664pt;width:370.7pt;height:521.35pt;mso-position-horizontal-relative:page;mso-position-vertical-relative:paragraph;z-index:-15636480;mso-wrap-distance-left:0;mso-wrap-distance-right:0" id="docshapegroup282" coordorigin="1134,261" coordsize="7414,10427">
                <v:rect style="position:absolute;left:1133;top:261;width:7414;height:10427" id="docshape283" filled="true" fillcolor="#e0e2e2" stroked="false">
                  <v:fill type="solid"/>
                </v:rect>
                <v:shape style="position:absolute;left:1133;top:1376;width:6952;height:8533" id="docshape284" coordorigin="1134,1376" coordsize="6952,8533" path="m8086,9267l1134,9267,1134,9908,8086,9908,8086,9267xm8086,7998l1134,7998,1134,8639,8086,8639,8086,7998xm8086,6736l1134,6736,1134,7377,8086,7377,8086,6736xm8086,5177l1134,5177,1134,5818,8086,5818,8086,5177xm8086,3897l1134,3897,1134,4538,8086,4538,8086,3897xm8086,2656l1134,2656,1134,3297,8086,3297,8086,2656xm8086,1376l1134,1376,1134,2017,8086,2017,8086,1376xe" filled="true" fillcolor="#ffffff" stroked="false">
                  <v:path arrowok="t"/>
                  <v:fill type="solid"/>
                </v:shape>
                <v:shape style="position:absolute;left:5003;top:633;width:1404;height:406" type="#_x0000_t75" id="docshape285" stroked="false">
                  <v:imagedata r:id="rId91" o:title=""/>
                </v:shape>
                <v:shape style="position:absolute;left:5012;top:1654;width:1005;height:163" type="#_x0000_t75" id="docshape286" stroked="false">
                  <v:imagedata r:id="rId92" o:title=""/>
                </v:shape>
                <v:shape style="position:absolute;left:1608;top:1654;width:185;height:138" type="#_x0000_t75" id="docshape287" stroked="false">
                  <v:imagedata r:id="rId93" o:title=""/>
                </v:shape>
                <v:shape style="position:absolute;left:1823;top:1646;width:278;height:146" type="#_x0000_t75" id="docshape288" stroked="false">
                  <v:imagedata r:id="rId94" o:title=""/>
                </v:shape>
                <v:shape style="position:absolute;left:2173;top:1646;width:502;height:146" type="#_x0000_t75" id="docshape289" stroked="false">
                  <v:imagedata r:id="rId95" o:title=""/>
                </v:shape>
                <v:shape style="position:absolute;left:1608;top:2271;width:4273;height:166" id="docshape290" coordorigin="1608,2272" coordsize="4273,166" path="m1680,2400l1624,2400,1624,2353,1673,2353,1673,2339,1624,2339,1624,2294,1677,2294,1677,2280,1608,2280,1608,2415,1680,2415,1680,2400xm1786,2272l1771,2272,1771,2332,1771,2349,1771,2381,1768,2388,1757,2401,1750,2404,1733,2404,1726,2401,1716,2388,1713,2379,1713,2356,1716,2346,1727,2332,1734,2329,1751,2329,1758,2332,1768,2342,1771,2349,1771,2332,1770,2332,1769,2329,1767,2326,1764,2322,1754,2317,1748,2316,1728,2316,1717,2321,1709,2330,1704,2338,1700,2347,1698,2357,1697,2368,1697,2384,1701,2395,1715,2413,1725,2417,1745,2417,1751,2416,1762,2409,1767,2405,1767,2404,1770,2398,1771,2398,1771,2415,1786,2415,1786,2398,1786,2332,1786,2272xm1896,2318l1880,2318,1880,2383,1878,2390,1868,2401,1862,2404,1847,2404,1841,2402,1833,2391,1831,2384,1831,2318,1816,2318,1816,2390,1818,2400,1830,2414,1839,2417,1857,2417,1863,2416,1873,2410,1877,2405,1880,2400,1880,2400,1880,2415,1896,2415,1896,2318xm1998,2324l1993,2321,1988,2319,1979,2317,1975,2316,1954,2316,1942,2321,1934,2330,1928,2338,1924,2347,1921,2357,1920,2369,1920,2384,1925,2396,1942,2413,1953,2417,1972,2417,1977,2416,1986,2414,1990,2412,1995,2409,1988,2398,1985,2400,1981,2402,1975,2403,1971,2404,1959,2404,1951,2401,1939,2388,1936,2379,1936,2356,1939,2347,1950,2333,1959,2329,1973,2329,1977,2330,1984,2331,1987,2333,1991,2335,1998,2324xm2085,2340l2082,2331,2080,2329,2070,2319,2061,2316,2042,2316,2035,2317,2023,2322,2017,2326,2012,2331,2021,2340,2025,2337,2029,2334,2039,2330,2043,2329,2055,2329,2060,2331,2067,2338,2069,2343,2069,2354,2069,2366,2069,2384,2067,2391,2057,2402,2050,2405,2037,2405,2033,2403,2026,2397,2024,2392,2024,2381,2026,2377,2033,2372,2039,2370,2069,2366,2069,2354,2042,2357,2031,2359,2023,2362,2012,2373,2009,2380,2009,2397,2012,2404,2023,2414,2030,2417,2046,2417,2052,2416,2061,2410,2065,2406,2066,2405,2069,2400,2069,2400,2069,2415,2085,2415,2085,2400,2085,2366,2085,2340xm2161,2414l2157,2402,2154,2403,2149,2404,2143,2404,2140,2403,2136,2398,2135,2394,2135,2331,2159,2331,2159,2318,2135,2318,2135,2290,2120,2295,2120,2318,2103,2318,2103,2331,2120,2331,2120,2399,2122,2406,2130,2415,2136,2417,2147,2417,2150,2417,2155,2416,2161,2414xm2195,2318l2180,2318,2180,2415,2195,2415,2195,2318xm2199,2281l2198,2278,2194,2274,2191,2273,2185,2273,2182,2274,2178,2278,2177,2281,2177,2287,2178,2290,2182,2294,2185,2295,2191,2295,2194,2294,2198,2290,2199,2287,2199,2281xm2315,2350l2311,2338,2303,2329,2299,2325,2299,2355,2299,2379,2297,2388,2286,2401,2278,2404,2259,2404,2251,2401,2239,2388,2236,2379,2236,2355,2239,2346,2251,2332,2258,2329,2278,2329,2286,2332,2297,2345,2299,2355,2299,2325,2295,2320,2284,2316,2254,2316,2242,2321,2233,2330,2228,2337,2224,2346,2221,2356,2220,2368,2220,2383,2224,2395,2242,2413,2253,2417,2282,2417,2294,2412,2301,2404,2311,2394,2315,2382,2315,2350xm2420,2343l2417,2333,2406,2319,2398,2316,2381,2316,2375,2317,2364,2324,2360,2328,2356,2334,2356,2334,2356,2318,2340,2318,2340,2415,2356,2415,2356,2351,2358,2344,2368,2332,2375,2329,2390,2329,2395,2332,2403,2342,2405,2349,2405,2415,2420,2415,2420,2343xm5099,2277l5013,2277,5013,2291,5081,2291,5074,2304,5067,2317,5060,2331,5053,2347,5046,2363,5041,2379,5036,2396,5033,2412,5050,2412,5053,2395,5057,2378,5063,2361,5069,2346,5076,2330,5083,2315,5091,2301,5099,2286,5099,2277xm5202,2359l5198,2349,5182,2334,5171,2330,5157,2330,5144,2331,5147,2291,5196,2291,5196,2277,5134,2277,5129,2345,5132,2345,5144,2344,5163,2344,5172,2346,5184,2356,5187,2363,5187,2381,5184,2388,5172,2399,5165,2402,5150,2402,5145,2401,5135,2397,5130,2395,5126,2391,5117,2401,5123,2406,5129,2409,5142,2414,5149,2415,5170,2415,5181,2411,5198,2395,5202,2384,5202,2359xm5242,2391l5227,2391,5216,2437,5227,2437,5242,2391xm5349,2359l5344,2349,5328,2334,5317,2330,5303,2330,5290,2331,5293,2291,5342,2291,5342,2277,5280,2277,5275,2345,5278,2345,5290,2344,5309,2344,5318,2346,5330,2356,5333,2363,5333,2381,5330,2388,5318,2399,5311,2402,5296,2402,5291,2401,5281,2397,5276,2395,5272,2391,5263,2401,5269,2406,5275,2409,5288,2414,5295,2415,5316,2415,5327,2411,5344,2395,5349,2384,5349,2359xm5453,2359l5449,2349,5432,2334,5421,2330,5407,2330,5395,2331,5397,2291,5447,2291,5447,2277,5384,2277,5379,2345,5382,2345,5395,2344,5414,2344,5422,2346,5434,2356,5437,2363,5437,2381,5434,2388,5423,2399,5415,2402,5401,2402,5395,2401,5385,2397,5380,2395,5376,2391,5368,2401,5374,2406,5380,2409,5392,2414,5399,2415,5420,2415,5431,2411,5448,2395,5453,2384,5453,2359xm5512,2274l5507,2274,5502,2279,5496,2283,5479,2291,5472,2295,5464,2296,5469,2310,5473,2309,5479,2307,5491,2301,5495,2299,5497,2297,5497,2412,5512,2412,5512,2274xm5565,2391l5550,2391,5539,2437,5550,2437,5565,2391xm5673,2277l5586,2277,5586,2291,5654,2291,5647,2304,5640,2317,5633,2331,5626,2347,5620,2363,5614,2379,5610,2396,5607,2412,5624,2412,5627,2395,5631,2378,5636,2361,5643,2346,5649,2330,5657,2315,5664,2301,5673,2286,5673,2277xm5777,2337l5776,2323,5774,2311,5771,2300,5766,2291,5764,2288,5760,2283,5760,2312,5760,2330,5758,2336,5748,2346,5741,2348,5726,2348,5720,2346,5709,2335,5707,2328,5707,2309,5709,2302,5720,2291,5726,2288,5741,2288,5748,2291,5758,2304,5760,2312,5760,2283,5759,2280,5748,2275,5722,2275,5712,2279,5695,2296,5691,2307,5691,2333,5695,2343,5710,2358,5719,2362,5738,2362,5744,2361,5754,2355,5758,2351,5759,2348,5761,2345,5761,2345,5761,2359,5759,2370,5756,2380,5752,2388,5745,2397,5736,2401,5719,2401,5714,2400,5707,2397,5703,2395,5699,2392,5690,2402,5695,2406,5700,2410,5711,2414,5717,2415,5724,2415,5736,2414,5747,2410,5757,2404,5759,2401,5764,2395,5770,2384,5774,2371,5776,2355,5777,2345,5777,2337xm5881,2337l5880,2323,5878,2311,5875,2300,5870,2291,5868,2288,5864,2283,5864,2312,5864,2330,5862,2336,5852,2346,5846,2348,5830,2348,5824,2346,5814,2335,5811,2328,5811,2309,5814,2302,5824,2291,5830,2288,5845,2288,5852,2291,5862,2304,5864,2312,5864,2283,5863,2280,5852,2275,5826,2275,5816,2279,5799,2296,5795,2307,5795,2333,5799,2343,5814,2358,5823,2362,5842,2362,5848,2361,5858,2355,5862,2351,5863,2348,5865,2345,5865,2345,5865,2359,5863,2370,5860,2380,5856,2388,5850,2397,5840,2401,5823,2401,5819,2400,5811,2397,5807,2395,5803,2392,5794,2402,5799,2406,5804,2410,5815,2414,5821,2415,5828,2415,5841,2414,5852,2410,5861,2404,5863,2401,5868,2395,5874,2384,5878,2371,5880,2355,5881,2345,5881,2337xe" filled="true" fillcolor="#231f20" stroked="false">
                  <v:path arrowok="t"/>
                  <v:fill type="solid"/>
                </v:shape>
                <v:shape style="position:absolute;left:5011;top:2915;width:900;height:163" type="#_x0000_t75" id="docshape291" stroked="false">
                  <v:imagedata r:id="rId96" o:title=""/>
                </v:shape>
                <v:shape style="position:absolute;left:1596;top:2915;width:453;height:182" type="#_x0000_t75" id="docshape292" stroked="false">
                  <v:imagedata r:id="rId97" o:title=""/>
                </v:shape>
                <v:shape style="position:absolute;left:5005;top:4155;width:981;height:164" type="#_x0000_t75" id="docshape293" stroked="false">
                  <v:imagedata r:id="rId98" o:title=""/>
                </v:shape>
                <v:shape style="position:absolute;left:1606;top:4033;width:2024;height:421" type="#_x0000_t75" id="docshape294" stroked="false">
                  <v:imagedata r:id="rId99" o:title=""/>
                </v:shape>
                <v:shape style="position:absolute;left:5011;top:3556;width:901;height:163" type="#_x0000_t75" id="docshape295" stroked="false">
                  <v:imagedata r:id="rId100" o:title=""/>
                </v:shape>
                <v:shape style="position:absolute;left:1599;top:3556;width:205;height:140" type="#_x0000_t75" id="docshape296" stroked="false">
                  <v:imagedata r:id="rId101" o:title=""/>
                </v:shape>
                <v:shape style="position:absolute;left:1835;top:3550;width:191;height:146" type="#_x0000_t75" id="docshape297" stroked="false">
                  <v:imagedata r:id="rId102" o:title=""/>
                </v:shape>
                <v:shape style="position:absolute;left:2056;top:3595;width:145;height:102" type="#_x0000_t75" id="docshape298" stroked="false">
                  <v:imagedata r:id="rId103" o:title=""/>
                </v:shape>
                <v:shape style="position:absolute;left:5005;top:4795;width:1126;height:164" type="#_x0000_t75" id="docshape299" stroked="false">
                  <v:imagedata r:id="rId104" o:title=""/>
                </v:shape>
                <v:shape style="position:absolute;left:1594;top:4800;width:286;height:138" type="#_x0000_t75" id="docshape300" stroked="false">
                  <v:imagedata r:id="rId105" o:title=""/>
                </v:shape>
                <v:shape style="position:absolute;left:1911;top:4794;width:334;height:144" type="#_x0000_t75" id="docshape301" stroked="false">
                  <v:imagedata r:id="rId106" o:title=""/>
                </v:shape>
                <v:shape style="position:absolute;left:5012;top:5435;width:1005;height:163" type="#_x0000_t75" id="docshape302" stroked="false">
                  <v:imagedata r:id="rId107" o:title=""/>
                </v:shape>
                <v:shape style="position:absolute;left:1592;top:5440;width:221;height:181" type="#_x0000_t75" id="docshape303" stroked="false">
                  <v:imagedata r:id="rId108" o:title=""/>
                </v:shape>
                <v:shape style="position:absolute;left:1844;top:5433;width:282;height:144" type="#_x0000_t75" id="docshape304" stroked="false">
                  <v:imagedata r:id="rId109" o:title=""/>
                </v:shape>
                <v:shape style="position:absolute;left:2157;top:5432;width:191;height:146" type="#_x0000_t75" id="docshape305" stroked="false">
                  <v:imagedata r:id="rId110" o:title=""/>
                </v:shape>
                <v:shape style="position:absolute;left:2378;top:5476;width:145;height:102" type="#_x0000_t75" id="docshape306" stroked="false">
                  <v:imagedata r:id="rId111" o:title=""/>
                </v:shape>
                <v:shape style="position:absolute;left:5008;top:6075;width:874;height:164" id="docshape307" coordorigin="5009,6076" coordsize="874,164" path="m5103,6168l5088,6168,5088,6101,5088,6078,5073,6078,5073,6101,5073,6168,5026,6168,5029,6165,5040,6152,5043,6147,5051,6136,5055,6130,5064,6117,5068,6109,5073,6101,5073,6078,5072,6078,5068,6085,5064,6092,5055,6108,5050,6116,5044,6124,5039,6132,5033,6140,5021,6155,5015,6162,5009,6169,5009,6183,5073,6183,5073,6215,5088,6215,5088,6183,5103,6183,5103,6168xm5158,6076l5152,6076,5148,6080,5141,6084,5125,6093,5117,6096,5110,6098,5114,6112,5119,6110,5124,6108,5136,6103,5140,6100,5143,6098,5143,6214,5158,6214,5158,6076xm5211,6192l5196,6192,5185,6239,5196,6239,5211,6192xm5318,6200l5251,6200,5251,6197,5251,6193,5253,6188,5255,6185,5260,6180,5263,6177,5271,6170,5288,6158,5292,6155,5300,6148,5303,6144,5308,6136,5310,6132,5312,6123,5313,6118,5313,6104,5310,6095,5296,6080,5287,6076,5266,6076,5258,6078,5244,6084,5238,6088,5232,6094,5241,6103,5246,6099,5251,6095,5261,6091,5267,6090,5281,6090,5287,6092,5295,6101,5297,6107,5297,6118,5297,6122,5295,6129,5293,6132,5290,6138,5287,6141,5280,6147,5276,6151,5259,6164,5249,6172,5246,6175,5240,6183,5238,6188,5235,6196,5235,6201,5235,6214,5318,6214,5318,6200xm5422,6079l5336,6079,5336,6093,5404,6093,5397,6105,5390,6118,5383,6133,5376,6148,5370,6164,5364,6181,5360,6197,5357,6214,5373,6214,5377,6196,5381,6179,5386,6163,5392,6147,5399,6132,5407,6117,5414,6102,5422,6088,5422,6079xm5527,6146l5527,6129,5525,6115,5522,6103,5517,6094,5514,6090,5512,6085,5512,6146,5512,6149,5511,6160,5510,6172,5508,6181,5505,6189,5500,6198,5493,6203,5474,6203,5467,6199,5462,6189,5459,6182,5457,6172,5456,6162,5456,6160,5455,6149,5455,6146,5456,6135,5457,6123,5459,6112,5462,6104,5467,6094,5475,6090,5493,6090,5500,6094,5505,6104,5508,6112,5510,6122,5511,6132,5511,6135,5512,6146,5512,6085,5510,6082,5499,6076,5470,6076,5459,6083,5451,6095,5446,6105,5442,6118,5440,6132,5439,6149,5440,6164,5442,6178,5446,6189,5451,6199,5458,6210,5469,6216,5496,6216,5508,6210,5512,6203,5515,6198,5521,6188,5524,6176,5527,6162,5527,6146xm5565,6192l5550,6192,5539,6239,5550,6239,5565,6192xm5674,6146l5673,6129,5671,6115,5668,6103,5663,6094,5660,6090,5658,6085,5658,6146,5658,6149,5657,6160,5656,6172,5654,6181,5651,6189,5646,6198,5639,6203,5620,6203,5613,6199,5608,6189,5605,6182,5603,6172,5602,6162,5602,6160,5601,6149,5601,6146,5602,6135,5603,6123,5605,6112,5609,6104,5613,6094,5621,6090,5639,6090,5646,6094,5651,6104,5654,6112,5656,6122,5657,6132,5657,6135,5658,6146,5658,6085,5656,6082,5645,6076,5616,6076,5605,6083,5597,6095,5592,6105,5588,6118,5586,6132,5585,6149,5586,6164,5588,6178,5592,6189,5597,6199,5604,6210,5615,6216,5642,6216,5654,6210,5658,6203,5662,6198,5667,6188,5671,6176,5673,6162,5674,6146xm5776,6160l5772,6150,5756,6136,5745,6132,5731,6132,5718,6132,5721,6093,5770,6093,5770,6079,5707,6079,5703,6147,5706,6146,5718,6145,5737,6145,5746,6148,5757,6158,5760,6165,5760,6182,5757,6189,5746,6200,5739,6203,5724,6203,5719,6202,5709,6199,5704,6196,5699,6192,5691,6203,5697,6208,5703,6211,5716,6215,5723,6216,5743,6216,5754,6212,5772,6196,5776,6186,5776,6160xm5882,6146l5881,6129,5879,6115,5876,6103,5871,6094,5869,6090,5866,6085,5866,6146,5866,6149,5866,6160,5864,6172,5862,6181,5859,6189,5854,6198,5847,6203,5829,6203,5821,6199,5817,6189,5814,6182,5811,6172,5810,6162,5810,6160,5810,6149,5810,6146,5810,6135,5811,6123,5814,6112,5817,6104,5822,6094,5829,6090,5848,6090,5855,6094,5859,6104,5862,6112,5864,6122,5865,6132,5866,6135,5866,6146,5866,6085,5864,6082,5854,6076,5825,6076,5813,6083,5805,6095,5800,6105,5797,6118,5794,6132,5794,6149,5794,6164,5797,6178,5800,6189,5805,6199,5812,6210,5823,6216,5851,6216,5862,6210,5867,6203,5870,6198,5875,6188,5879,6176,5881,6162,5882,6146xe" filled="true" fillcolor="#231f20" stroked="false">
                  <v:path arrowok="t"/>
                  <v:fill type="solid"/>
                </v:shape>
                <v:shape style="position:absolute;left:1594;top:5955;width:1708;height:608" type="#_x0000_t75" id="docshape308" stroked="false">
                  <v:imagedata r:id="rId112" o:title=""/>
                </v:shape>
                <v:shape style="position:absolute;left:5012;top:6978;width:870;height:164" type="#_x0000_t75" id="docshape309" stroked="false">
                  <v:imagedata r:id="rId113" o:title=""/>
                </v:shape>
                <v:rect style="position:absolute;left:1608;top:6984;width:16;height:136" id="docshape310" filled="true" fillcolor="#231f20" stroked="false">
                  <v:fill type="solid"/>
                </v:rect>
                <v:shape style="position:absolute;left:1657;top:6976;width:625;height:189" type="#_x0000_t75" id="docshape311" stroked="false">
                  <v:imagedata r:id="rId114" o:title=""/>
                </v:shape>
                <v:shape style="position:absolute;left:5011;top:7617;width:293;height:164" type="#_x0000_t75" id="docshape312" stroked="false">
                  <v:imagedata r:id="rId115" o:title=""/>
                </v:shape>
                <v:shape style="position:absolute;left:5337;top:7618;width:545;height:163" type="#_x0000_t75" id="docshape313" stroked="false">
                  <v:imagedata r:id="rId116" o:title=""/>
                </v:shape>
                <v:shape style="position:absolute;left:1599;top:7616;width:1069;height:144" id="docshape314" coordorigin="1599,7616" coordsize="1069,144" path="m1703,7751l1697,7738,1692,7741,1686,7743,1676,7746,1670,7746,1650,7746,1638,7741,1629,7731,1623,7724,1619,7714,1617,7704,1616,7692,1617,7680,1619,7668,1624,7659,1630,7650,1637,7644,1646,7639,1656,7636,1668,7635,1673,7635,1678,7635,1687,7637,1692,7639,1697,7641,1703,7628,1697,7625,1691,7624,1680,7621,1674,7621,1668,7621,1653,7622,1640,7625,1628,7632,1618,7640,1610,7651,1604,7663,1600,7677,1599,7693,1600,7707,1604,7720,1609,7732,1616,7742,1626,7750,1637,7756,1650,7759,1664,7760,1671,7760,1678,7760,1691,7757,1697,7754,1703,7751xm1814,7694l1810,7681,1802,7672,1798,7668,1798,7698,1798,7722,1796,7731,1785,7744,1777,7747,1757,7747,1750,7744,1738,7731,1735,7722,1735,7699,1738,7689,1749,7676,1757,7672,1777,7672,1785,7676,1796,7689,1798,7698,1798,7668,1794,7664,1783,7659,1753,7659,1741,7664,1732,7673,1727,7681,1722,7689,1720,7699,1719,7711,1719,7726,1723,7738,1740,7756,1752,7760,1781,7760,1792,7756,1800,7747,1810,7737,1814,7725,1814,7694xm1919,7686l1916,7676,1905,7663,1897,7659,1880,7659,1873,7661,1863,7667,1858,7671,1855,7678,1854,7678,1854,7661,1839,7661,1839,7758,1854,7758,1854,7694,1857,7687,1867,7675,1873,7672,1889,7672,1894,7675,1902,7685,1904,7693,1904,7758,1919,7758,1919,7686xm2007,7724l2004,7718,1995,7708,1987,7704,1970,7700,1965,7698,1958,7693,1956,7690,1956,7681,1958,7678,1964,7673,1969,7672,1979,7672,1982,7673,1989,7675,1993,7677,1998,7680,2005,7668,2000,7665,1995,7663,1986,7660,1981,7659,1965,7659,1957,7662,1945,7673,1942,7679,1942,7694,1944,7700,1953,7709,1961,7713,1980,7718,1985,7720,1991,7725,1992,7729,1992,7738,1990,7741,1984,7746,1979,7747,1967,7747,1963,7747,1955,7744,1951,7742,1947,7739,1939,7751,1944,7754,1949,7756,1960,7760,1965,7760,1982,7760,1991,7758,2004,7747,2007,7740,2007,7724xm2076,7757l2073,7745,2070,7746,2065,7747,2059,7747,2056,7746,2052,7741,2051,7737,2051,7675,2075,7675,2075,7661,2051,7661,2051,7633,2035,7638,2035,7661,2019,7661,2019,7675,2035,7675,2035,7742,2037,7749,2046,7758,2052,7760,2063,7760,2066,7760,2071,7759,2076,7757xm2146,7661l2145,7661,2141,7660,2131,7660,2126,7662,2117,7669,2114,7674,2112,7681,2111,7681,2111,7661,2096,7661,2096,7758,2111,7758,2111,7699,2114,7690,2123,7677,2129,7674,2139,7674,2143,7675,2146,7661xm2241,7661l2226,7661,2226,7726,2223,7733,2213,7745,2207,7747,2192,7747,2186,7745,2178,7735,2176,7727,2176,7661,2161,7661,2161,7733,2164,7743,2175,7757,2184,7760,2202,7760,2208,7759,2218,7753,2222,7749,2225,7743,2226,7743,2226,7758,2241,7758,2241,7661xm2343,7667l2338,7664,2334,7662,2325,7660,2320,7659,2300,7659,2288,7664,2279,7674,2273,7682,2269,7691,2267,7701,2266,7712,2266,7727,2270,7739,2287,7756,2299,7760,2318,7760,2322,7760,2331,7757,2336,7755,2340,7752,2333,7741,2330,7743,2327,7745,2320,7747,2317,7747,2304,7747,2296,7744,2285,7731,2282,7722,2282,7699,2284,7690,2296,7676,2304,7672,2319,7672,2322,7673,2329,7675,2333,7676,2336,7678,2343,7667xm2408,7757l2404,7745,2401,7746,2396,7747,2390,7747,2387,7746,2383,7741,2382,7737,2382,7675,2406,7675,2406,7661,2382,7661,2382,7633,2367,7638,2367,7661,2350,7661,2350,7675,2367,7675,2367,7742,2369,7749,2378,7758,2384,7760,2394,7760,2397,7760,2402,7759,2408,7757xm2443,7661l2427,7661,2427,7758,2443,7758,2443,7661xm2446,7624l2445,7622,2441,7618,2438,7616,2432,7616,2429,7618,2425,7622,2424,7624,2424,7630,2425,7633,2429,7637,2432,7638,2438,7638,2441,7637,2445,7633,2446,7630,2446,7624xm2562,7694l2558,7681,2550,7672,2547,7668,2547,7698,2547,7722,2544,7731,2533,7744,2525,7747,2506,7747,2498,7744,2486,7731,2483,7722,2483,7699,2486,7689,2498,7676,2505,7672,2525,7672,2533,7676,2544,7689,2547,7698,2547,7668,2542,7664,2531,7659,2501,7659,2489,7664,2480,7673,2475,7681,2471,7689,2468,7699,2467,7711,2467,7726,2472,7738,2489,7756,2500,7760,2529,7760,2541,7756,2549,7747,2558,7737,2562,7725,2562,7694xm2667,7686l2665,7676,2653,7663,2645,7659,2628,7659,2622,7661,2611,7667,2607,7671,2603,7678,2603,7678,2603,7661,2587,7661,2587,7758,2603,7758,2603,7694,2605,7687,2615,7675,2622,7672,2637,7672,2642,7675,2650,7685,2652,7693,2652,7758,2667,7758,2667,7686xe" filled="true" fillcolor="#231f20" stroked="false">
                  <v:path arrowok="t"/>
                  <v:fill type="solid"/>
                </v:shape>
                <v:shape style="position:absolute;left:5012;top:8258;width:974;height:164" type="#_x0000_t75" id="docshape315" stroked="false">
                  <v:imagedata r:id="rId117" o:title=""/>
                </v:shape>
                <v:shape style="position:absolute;left:1594;top:8261;width:794;height:180" type="#_x0000_t75" id="docshape316" stroked="false">
                  <v:imagedata r:id="rId118" o:title=""/>
                </v:shape>
                <v:shape style="position:absolute;left:5008;top:8901;width:947;height:164" type="#_x0000_t75" id="docshape317" stroked="false">
                  <v:imagedata r:id="rId119" o:title=""/>
                </v:shape>
                <v:shape style="position:absolute;left:1608;top:8897;width:1324;height:188" type="#_x0000_t75" id="docshape318" stroked="false">
                  <v:imagedata r:id="rId120" o:title=""/>
                </v:shape>
                <v:shape style="position:absolute;left:5013;top:9532;width:1119;height:164" type="#_x0000_t75" id="docshape319" stroked="false">
                  <v:imagedata r:id="rId121" o:title=""/>
                </v:shape>
                <v:shape style="position:absolute;left:1608;top:9526;width:504;height:188" type="#_x0000_t75" id="docshape320" stroked="false">
                  <v:imagedata r:id="rId122" o:title=""/>
                </v:shape>
                <v:shape style="position:absolute;left:2142;top:9569;width:81;height:99" id="docshape321" coordorigin="2142,9569" coordsize="81,99" path="m2201,9569l2183,9569,2177,9571,2166,9577,2162,9581,2158,9587,2158,9587,2158,9571,2142,9571,2142,9668,2158,9668,2158,9604,2160,9597,2171,9585,2177,9582,2192,9582,2198,9585,2205,9595,2207,9603,2207,9668,2223,9668,2223,9596,2220,9586,2209,9573,2201,9569xe" filled="true" fillcolor="#231f20" stroked="false">
                  <v:path arrowok="t"/>
                  <v:fill type="solid"/>
                </v:shape>
                <v:shape style="position:absolute;left:2293;top:9525;width:435;height:146" type="#_x0000_t75" id="docshape322" stroked="false">
                  <v:imagedata r:id="rId123" o:title=""/>
                </v:shape>
                <v:shape style="position:absolute;left:5012;top:10156;width:1005;height:163" type="#_x0000_t75" id="docshape323" stroked="false">
                  <v:imagedata r:id="rId124" o:title=""/>
                </v:shape>
                <v:shape style="position:absolute;left:1608;top:10148;width:1349;height:191" type="#_x0000_t75" id="docshape324" stroked="false">
                  <v:imagedata r:id="rId125" o:title=""/>
                </v:shape>
                <v:shape style="position:absolute;left:1579;top:769;width:570;height:140" type="#_x0000_t75" id="docshape325" stroked="false">
                  <v:imagedata r:id="rId126" o:title=""/>
                </v:shape>
                <w10:wrap type="topAndBottom"/>
              </v:group>
            </w:pict>
          </mc:Fallback>
        </mc:AlternateContent>
      </w:r>
    </w:p>
    <w:p>
      <w:pPr>
        <w:spacing w:after="0"/>
        <w:jc w:val="left"/>
        <w:rPr>
          <w:sz w:val="17"/>
        </w:rPr>
        <w:sectPr>
          <w:pgSz w:w="11910" w:h="16840"/>
          <w:pgMar w:header="0" w:footer="695" w:top="1920" w:bottom="880" w:left="0" w:right="0"/>
        </w:sectPr>
      </w:pPr>
    </w:p>
    <w:p>
      <w:pPr>
        <w:pStyle w:val="Heading1"/>
        <w:spacing w:before="154"/>
        <w:ind w:left="1445"/>
      </w:pPr>
      <w:r>
        <w:rPr>
          <w:color w:val="1A4796"/>
          <w:spacing w:val="-2"/>
          <w:w w:val="120"/>
        </w:rPr>
        <w:t>Annexes</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680512">
                <wp:simplePos x="0" y="0"/>
                <wp:positionH relativeFrom="page">
                  <wp:posOffset>936002</wp:posOffset>
                </wp:positionH>
                <wp:positionV relativeFrom="paragraph">
                  <wp:posOffset>288395</wp:posOffset>
                </wp:positionV>
                <wp:extent cx="909319" cy="26034"/>
                <wp:effectExtent l="0" t="0" r="0" b="0"/>
                <wp:wrapTopAndBottom/>
                <wp:docPr id="390" name="Graphic 390"/>
                <wp:cNvGraphicFramePr>
                  <a:graphicFrameLocks/>
                </wp:cNvGraphicFramePr>
                <a:graphic>
                  <a:graphicData uri="http://schemas.microsoft.com/office/word/2010/wordprocessingShape">
                    <wps:wsp>
                      <wps:cNvPr id="390" name="Graphic 390"/>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73.700996pt;margin-top:22.708281pt;width:71.584pt;height:2.021pt;mso-position-horizontal-relative:page;mso-position-vertical-relative:paragraph;z-index:-15635968;mso-wrap-distance-left:0;mso-wrap-distance-right:0" id="docshape326" filled="true" fillcolor="#b52628" stroked="false">
                <v:fill type="solid"/>
                <w10:wrap type="topAndBottom"/>
              </v:rect>
            </w:pict>
          </mc:Fallback>
        </mc:AlternateContent>
      </w:r>
    </w:p>
    <w:p>
      <w:pPr>
        <w:pStyle w:val="BodyText"/>
        <w:spacing w:before="239"/>
        <w:jc w:val="left"/>
        <w:rPr>
          <w:rFonts w:ascii="Trebuchet MS"/>
        </w:rPr>
      </w:pPr>
    </w:p>
    <w:p>
      <w:pPr>
        <w:pStyle w:val="ListParagraph"/>
        <w:numPr>
          <w:ilvl w:val="0"/>
          <w:numId w:val="8"/>
        </w:numPr>
        <w:tabs>
          <w:tab w:pos="1719" w:val="left" w:leader="none"/>
        </w:tabs>
        <w:spacing w:line="240" w:lineRule="auto" w:before="0" w:after="0"/>
        <w:ind w:left="1474" w:right="2221" w:firstLine="0"/>
        <w:jc w:val="left"/>
        <w:rPr>
          <w:sz w:val="24"/>
        </w:rPr>
      </w:pPr>
      <w:r>
        <w:rPr>
          <w:color w:val="231F20"/>
          <w:sz w:val="24"/>
        </w:rPr>
        <w:t>History</w:t>
      </w:r>
      <w:r>
        <w:rPr>
          <w:color w:val="231F20"/>
          <w:spacing w:val="-3"/>
          <w:sz w:val="24"/>
        </w:rPr>
        <w:t> </w:t>
      </w:r>
      <w:r>
        <w:rPr>
          <w:color w:val="231F20"/>
          <w:sz w:val="24"/>
        </w:rPr>
        <w:t>of</w:t>
      </w:r>
      <w:r>
        <w:rPr>
          <w:color w:val="231F20"/>
          <w:spacing w:val="-3"/>
          <w:sz w:val="24"/>
        </w:rPr>
        <w:t> </w:t>
      </w:r>
      <w:r>
        <w:rPr>
          <w:color w:val="231F20"/>
          <w:sz w:val="24"/>
        </w:rPr>
        <w:t>the</w:t>
      </w:r>
      <w:r>
        <w:rPr>
          <w:color w:val="231F20"/>
          <w:spacing w:val="-3"/>
          <w:sz w:val="24"/>
        </w:rPr>
        <w:t> </w:t>
      </w:r>
      <w:r>
        <w:rPr>
          <w:color w:val="231F20"/>
          <w:sz w:val="24"/>
        </w:rPr>
        <w:t>voting</w:t>
      </w:r>
      <w:r>
        <w:rPr>
          <w:color w:val="231F20"/>
          <w:spacing w:val="-3"/>
          <w:sz w:val="24"/>
        </w:rPr>
        <w:t> </w:t>
      </w:r>
      <w:r>
        <w:rPr>
          <w:color w:val="231F20"/>
          <w:sz w:val="24"/>
        </w:rPr>
        <w:t>in</w:t>
      </w:r>
      <w:r>
        <w:rPr>
          <w:color w:val="231F20"/>
          <w:spacing w:val="-3"/>
          <w:sz w:val="24"/>
        </w:rPr>
        <w:t> </w:t>
      </w:r>
      <w:r>
        <w:rPr>
          <w:color w:val="231F20"/>
          <w:sz w:val="24"/>
        </w:rPr>
        <w:t>the</w:t>
      </w:r>
      <w:r>
        <w:rPr>
          <w:color w:val="231F20"/>
          <w:spacing w:val="-3"/>
          <w:sz w:val="24"/>
        </w:rPr>
        <w:t> </w:t>
      </w:r>
      <w:r>
        <w:rPr>
          <w:color w:val="231F20"/>
          <w:sz w:val="24"/>
        </w:rPr>
        <w:t>UN</w:t>
      </w:r>
      <w:r>
        <w:rPr>
          <w:color w:val="231F20"/>
          <w:spacing w:val="-3"/>
          <w:sz w:val="24"/>
        </w:rPr>
        <w:t> </w:t>
      </w:r>
      <w:r>
        <w:rPr>
          <w:color w:val="231F20"/>
          <w:sz w:val="24"/>
        </w:rPr>
        <w:t>General</w:t>
      </w:r>
      <w:r>
        <w:rPr>
          <w:color w:val="231F20"/>
          <w:spacing w:val="-4"/>
          <w:sz w:val="24"/>
        </w:rPr>
        <w:t> </w:t>
      </w:r>
      <w:r>
        <w:rPr>
          <w:color w:val="231F20"/>
          <w:sz w:val="24"/>
        </w:rPr>
        <w:t>Assembly</w:t>
      </w:r>
      <w:r>
        <w:rPr>
          <w:color w:val="231F20"/>
          <w:spacing w:val="-3"/>
          <w:sz w:val="24"/>
        </w:rPr>
        <w:t> </w:t>
      </w:r>
      <w:r>
        <w:rPr>
          <w:color w:val="231F20"/>
          <w:sz w:val="24"/>
        </w:rPr>
        <w:t>on</w:t>
      </w:r>
      <w:r>
        <w:rPr>
          <w:color w:val="231F20"/>
          <w:spacing w:val="-3"/>
          <w:sz w:val="24"/>
        </w:rPr>
        <w:t> </w:t>
      </w:r>
      <w:r>
        <w:rPr>
          <w:color w:val="231F20"/>
          <w:sz w:val="24"/>
        </w:rPr>
        <w:t>the</w:t>
      </w:r>
      <w:r>
        <w:rPr>
          <w:color w:val="231F20"/>
          <w:spacing w:val="-3"/>
          <w:sz w:val="24"/>
        </w:rPr>
        <w:t> </w:t>
      </w:r>
      <w:r>
        <w:rPr>
          <w:color w:val="231F20"/>
          <w:sz w:val="24"/>
        </w:rPr>
        <w:t>resolution</w:t>
      </w:r>
      <w:r>
        <w:rPr>
          <w:color w:val="231F20"/>
          <w:spacing w:val="-3"/>
          <w:sz w:val="24"/>
        </w:rPr>
        <w:t> </w:t>
      </w:r>
      <w:r>
        <w:rPr>
          <w:color w:val="231F20"/>
          <w:sz w:val="24"/>
        </w:rPr>
        <w:t>entitled “Necessity of ending the economic, commercial and financial blockade imposed by the United States of America against Cuba” (1992-2022).</w:t>
      </w:r>
    </w:p>
    <w:p>
      <w:pPr>
        <w:pStyle w:val="BodyText"/>
        <w:jc w:val="left"/>
        <w:rPr>
          <w:sz w:val="20"/>
        </w:rPr>
      </w:pPr>
    </w:p>
    <w:p>
      <w:pPr>
        <w:pStyle w:val="BodyText"/>
        <w:spacing w:before="136"/>
        <w:jc w:val="left"/>
        <w:rPr>
          <w:sz w:val="20"/>
        </w:rPr>
      </w:pPr>
      <w:r>
        <w:rPr/>
        <w:drawing>
          <wp:anchor distT="0" distB="0" distL="0" distR="0" allowOverlap="1" layoutInCell="1" locked="0" behindDoc="1" simplePos="0" relativeHeight="487681024">
            <wp:simplePos x="0" y="0"/>
            <wp:positionH relativeFrom="page">
              <wp:posOffset>939812</wp:posOffset>
            </wp:positionH>
            <wp:positionV relativeFrom="paragraph">
              <wp:posOffset>270520</wp:posOffset>
            </wp:positionV>
            <wp:extent cx="5883993" cy="3461385"/>
            <wp:effectExtent l="0" t="0" r="0" b="0"/>
            <wp:wrapTopAndBottom/>
            <wp:docPr id="391" name="Image 391"/>
            <wp:cNvGraphicFramePr>
              <a:graphicFrameLocks/>
            </wp:cNvGraphicFramePr>
            <a:graphic>
              <a:graphicData uri="http://schemas.openxmlformats.org/drawingml/2006/picture">
                <pic:pic>
                  <pic:nvPicPr>
                    <pic:cNvPr id="391" name="Image 391"/>
                    <pic:cNvPicPr/>
                  </pic:nvPicPr>
                  <pic:blipFill>
                    <a:blip r:embed="rId127" cstate="print"/>
                    <a:stretch>
                      <a:fillRect/>
                    </a:stretch>
                  </pic:blipFill>
                  <pic:spPr>
                    <a:xfrm>
                      <a:off x="0" y="0"/>
                      <a:ext cx="5883993" cy="3461385"/>
                    </a:xfrm>
                    <a:prstGeom prst="rect">
                      <a:avLst/>
                    </a:prstGeom>
                  </pic:spPr>
                </pic:pic>
              </a:graphicData>
            </a:graphic>
          </wp:anchor>
        </w:drawing>
      </w:r>
    </w:p>
    <w:p>
      <w:pPr>
        <w:spacing w:after="0"/>
        <w:jc w:val="left"/>
        <w:rPr>
          <w:sz w:val="20"/>
        </w:rPr>
        <w:sectPr>
          <w:pgSz w:w="11910" w:h="16840"/>
          <w:pgMar w:header="0" w:footer="695" w:top="1920" w:bottom="880" w:left="0" w:right="0"/>
        </w:sectPr>
      </w:pPr>
    </w:p>
    <w:p>
      <w:pPr>
        <w:pStyle w:val="BodyText"/>
        <w:jc w:val="left"/>
        <w:rPr>
          <w:sz w:val="15"/>
        </w:rPr>
      </w:pPr>
    </w:p>
    <w:p>
      <w:pPr>
        <w:spacing w:after="0"/>
        <w:jc w:val="left"/>
        <w:rPr>
          <w:sz w:val="15"/>
        </w:rPr>
        <w:sectPr>
          <w:footerReference w:type="even" r:id="rId128"/>
          <w:pgSz w:w="11910" w:h="16840"/>
          <w:pgMar w:header="0" w:footer="0" w:top="1920" w:bottom="280" w:left="0" w:right="0"/>
        </w:sectPr>
      </w:pPr>
    </w:p>
    <w:p>
      <w:pPr>
        <w:pStyle w:val="BodyText"/>
        <w:jc w:val="left"/>
        <w:rPr>
          <w:sz w:val="56"/>
        </w:rPr>
      </w:pPr>
    </w:p>
    <w:p>
      <w:pPr>
        <w:pStyle w:val="BodyText"/>
        <w:jc w:val="left"/>
        <w:rPr>
          <w:sz w:val="56"/>
        </w:rPr>
      </w:pPr>
    </w:p>
    <w:p>
      <w:pPr>
        <w:pStyle w:val="BodyText"/>
        <w:jc w:val="left"/>
        <w:rPr>
          <w:sz w:val="56"/>
        </w:rPr>
      </w:pPr>
    </w:p>
    <w:p>
      <w:pPr>
        <w:pStyle w:val="BodyText"/>
        <w:jc w:val="left"/>
        <w:rPr>
          <w:sz w:val="56"/>
        </w:rPr>
      </w:pPr>
    </w:p>
    <w:p>
      <w:pPr>
        <w:pStyle w:val="BodyText"/>
        <w:jc w:val="left"/>
        <w:rPr>
          <w:sz w:val="56"/>
        </w:rPr>
      </w:pPr>
    </w:p>
    <w:p>
      <w:pPr>
        <w:pStyle w:val="BodyText"/>
        <w:spacing w:before="250"/>
        <w:jc w:val="left"/>
        <w:rPr>
          <w:sz w:val="56"/>
        </w:rPr>
      </w:pPr>
    </w:p>
    <w:p>
      <w:pPr>
        <w:pStyle w:val="Heading1"/>
        <w:spacing w:before="0"/>
        <w:ind w:left="3264" w:right="2924"/>
        <w:jc w:val="center"/>
      </w:pPr>
      <w:r>
        <w:rPr>
          <w:color w:val="B52628"/>
          <w:w w:val="120"/>
        </w:rPr>
        <w:t>RAPPORT</w:t>
      </w:r>
      <w:r>
        <w:rPr>
          <w:color w:val="B52628"/>
          <w:spacing w:val="-14"/>
          <w:w w:val="120"/>
        </w:rPr>
        <w:t> </w:t>
      </w:r>
      <w:r>
        <w:rPr>
          <w:color w:val="B52628"/>
          <w:w w:val="120"/>
        </w:rPr>
        <w:t>DE</w:t>
      </w:r>
      <w:r>
        <w:rPr>
          <w:color w:val="B52628"/>
          <w:spacing w:val="-14"/>
          <w:w w:val="120"/>
        </w:rPr>
        <w:t> </w:t>
      </w:r>
      <w:r>
        <w:rPr>
          <w:color w:val="B52628"/>
          <w:spacing w:val="-4"/>
          <w:w w:val="120"/>
        </w:rPr>
        <w:t>CUBA</w:t>
      </w:r>
    </w:p>
    <w:p>
      <w:pPr>
        <w:spacing w:line="216" w:lineRule="auto" w:before="301"/>
        <w:ind w:left="3618" w:right="2932" w:firstLine="0"/>
        <w:jc w:val="center"/>
        <w:rPr>
          <w:rFonts w:ascii="Segoe UI Semibold" w:hAnsi="Segoe UI Semibold"/>
          <w:b/>
          <w:i/>
          <w:sz w:val="28"/>
        </w:rPr>
      </w:pPr>
      <w:r>
        <w:rPr>
          <w:i/>
          <w:color w:val="231F20"/>
          <w:sz w:val="28"/>
        </w:rPr>
        <w:t>À propos de la résolution 77/7 de</w:t>
      </w:r>
      <w:r>
        <w:rPr>
          <w:i/>
          <w:color w:val="231F20"/>
          <w:sz w:val="28"/>
        </w:rPr>
        <w:t> l’Assemblée générale des Nations Unies intitulée</w:t>
      </w:r>
      <w:r>
        <w:rPr>
          <w:i/>
          <w:color w:val="231F20"/>
          <w:spacing w:val="-5"/>
          <w:sz w:val="28"/>
        </w:rPr>
        <w:t> </w:t>
      </w:r>
      <w:r>
        <w:rPr>
          <w:i/>
          <w:color w:val="231F20"/>
          <w:sz w:val="28"/>
        </w:rPr>
        <w:t>:</w:t>
      </w:r>
      <w:r>
        <w:rPr>
          <w:i/>
          <w:color w:val="231F20"/>
          <w:spacing w:val="-6"/>
          <w:sz w:val="28"/>
        </w:rPr>
        <w:t> </w:t>
      </w:r>
      <w:r>
        <w:rPr>
          <w:rFonts w:ascii="Segoe UI Semibold" w:hAnsi="Segoe UI Semibold"/>
          <w:b/>
          <w:i/>
          <w:color w:val="231F20"/>
          <w:sz w:val="28"/>
        </w:rPr>
        <w:t>«</w:t>
      </w:r>
      <w:r>
        <w:rPr>
          <w:rFonts w:ascii="Segoe UI Semibold" w:hAnsi="Segoe UI Semibold"/>
          <w:b/>
          <w:i/>
          <w:color w:val="231F20"/>
          <w:spacing w:val="-5"/>
          <w:sz w:val="28"/>
        </w:rPr>
        <w:t> </w:t>
      </w:r>
      <w:r>
        <w:rPr>
          <w:rFonts w:ascii="Segoe UI Semibold" w:hAnsi="Segoe UI Semibold"/>
          <w:b/>
          <w:i/>
          <w:color w:val="231F20"/>
          <w:sz w:val="28"/>
        </w:rPr>
        <w:t>Nécessité</w:t>
      </w:r>
      <w:r>
        <w:rPr>
          <w:rFonts w:ascii="Segoe UI Semibold" w:hAnsi="Segoe UI Semibold"/>
          <w:b/>
          <w:i/>
          <w:color w:val="231F20"/>
          <w:spacing w:val="-6"/>
          <w:sz w:val="28"/>
        </w:rPr>
        <w:t> </w:t>
      </w:r>
      <w:r>
        <w:rPr>
          <w:rFonts w:ascii="Segoe UI Semibold" w:hAnsi="Segoe UI Semibold"/>
          <w:b/>
          <w:i/>
          <w:color w:val="231F20"/>
          <w:sz w:val="28"/>
        </w:rPr>
        <w:t>de</w:t>
      </w:r>
      <w:r>
        <w:rPr>
          <w:rFonts w:ascii="Segoe UI Semibold" w:hAnsi="Segoe UI Semibold"/>
          <w:b/>
          <w:i/>
          <w:color w:val="231F20"/>
          <w:spacing w:val="-6"/>
          <w:sz w:val="28"/>
        </w:rPr>
        <w:t> </w:t>
      </w:r>
      <w:r>
        <w:rPr>
          <w:rFonts w:ascii="Segoe UI Semibold" w:hAnsi="Segoe UI Semibold"/>
          <w:b/>
          <w:i/>
          <w:color w:val="231F20"/>
          <w:sz w:val="28"/>
        </w:rPr>
        <w:t>lever</w:t>
      </w:r>
      <w:r>
        <w:rPr>
          <w:rFonts w:ascii="Segoe UI Semibold" w:hAnsi="Segoe UI Semibold"/>
          <w:b/>
          <w:i/>
          <w:color w:val="231F20"/>
          <w:spacing w:val="-6"/>
          <w:sz w:val="28"/>
        </w:rPr>
        <w:t> </w:t>
      </w:r>
      <w:r>
        <w:rPr>
          <w:rFonts w:ascii="Segoe UI Semibold" w:hAnsi="Segoe UI Semibold"/>
          <w:b/>
          <w:i/>
          <w:color w:val="231F20"/>
          <w:sz w:val="28"/>
        </w:rPr>
        <w:t>le</w:t>
      </w:r>
      <w:r>
        <w:rPr>
          <w:rFonts w:ascii="Segoe UI Semibold" w:hAnsi="Segoe UI Semibold"/>
          <w:b/>
          <w:i/>
          <w:color w:val="231F20"/>
          <w:spacing w:val="-6"/>
          <w:sz w:val="28"/>
        </w:rPr>
        <w:t> </w:t>
      </w:r>
      <w:r>
        <w:rPr>
          <w:rFonts w:ascii="Segoe UI Semibold" w:hAnsi="Segoe UI Semibold"/>
          <w:b/>
          <w:i/>
          <w:color w:val="231F20"/>
          <w:sz w:val="28"/>
        </w:rPr>
        <w:t>blocus</w:t>
      </w:r>
      <w:r>
        <w:rPr>
          <w:rFonts w:ascii="Segoe UI Semibold" w:hAnsi="Segoe UI Semibold"/>
          <w:b/>
          <w:i/>
          <w:color w:val="231F20"/>
          <w:sz w:val="28"/>
        </w:rPr>
        <w:t> économique, commercial et financier imposé à Cuba par les États-Unis d’Amérique »</w:t>
      </w:r>
    </w:p>
    <w:p>
      <w:pPr>
        <w:pStyle w:val="BodyText"/>
        <w:spacing w:before="108"/>
        <w:jc w:val="left"/>
        <w:rPr>
          <w:rFonts w:ascii="Segoe UI Semibold"/>
          <w:b/>
          <w:i/>
          <w:sz w:val="20"/>
        </w:rPr>
      </w:pPr>
      <w:r>
        <w:rPr/>
        <mc:AlternateContent>
          <mc:Choice Requires="wps">
            <w:drawing>
              <wp:anchor distT="0" distB="0" distL="0" distR="0" allowOverlap="1" layoutInCell="1" locked="0" behindDoc="1" simplePos="0" relativeHeight="487681536">
                <wp:simplePos x="0" y="0"/>
                <wp:positionH relativeFrom="page">
                  <wp:posOffset>3542690</wp:posOffset>
                </wp:positionH>
                <wp:positionV relativeFrom="paragraph">
                  <wp:posOffset>253641</wp:posOffset>
                </wp:positionV>
                <wp:extent cx="909319" cy="26034"/>
                <wp:effectExtent l="0" t="0" r="0" b="0"/>
                <wp:wrapTopAndBottom/>
                <wp:docPr id="392" name="Graphic 392"/>
                <wp:cNvGraphicFramePr>
                  <a:graphicFrameLocks/>
                </wp:cNvGraphicFramePr>
                <a:graphic>
                  <a:graphicData uri="http://schemas.microsoft.com/office/word/2010/wordprocessingShape">
                    <wps:wsp>
                      <wps:cNvPr id="392" name="Graphic 392"/>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78.951996pt;margin-top:19.971766pt;width:71.584pt;height:2.021pt;mso-position-horizontal-relative:page;mso-position-vertical-relative:paragraph;z-index:-15634944;mso-wrap-distance-left:0;mso-wrap-distance-right:0" id="docshape327" filled="true" fillcolor="#1f4282" stroked="false">
                <v:fill type="solid"/>
                <w10:wrap type="topAndBottom"/>
              </v:rect>
            </w:pict>
          </mc:Fallback>
        </mc:AlternateContent>
      </w:r>
    </w:p>
    <w:p>
      <w:pPr>
        <w:pStyle w:val="BodyText"/>
        <w:spacing w:before="38"/>
        <w:jc w:val="left"/>
        <w:rPr>
          <w:rFonts w:ascii="Segoe UI Semibold"/>
          <w:b/>
          <w:i/>
          <w:sz w:val="28"/>
        </w:rPr>
      </w:pPr>
    </w:p>
    <w:p>
      <w:pPr>
        <w:spacing w:before="0"/>
        <w:ind w:left="339" w:right="0" w:firstLine="0"/>
        <w:jc w:val="center"/>
        <w:rPr>
          <w:i/>
          <w:sz w:val="28"/>
        </w:rPr>
      </w:pPr>
      <w:r>
        <w:rPr>
          <w:i/>
          <w:color w:val="231F20"/>
          <w:sz w:val="28"/>
        </w:rPr>
        <w:t>Juillet</w:t>
      </w:r>
      <w:r>
        <w:rPr>
          <w:i/>
          <w:color w:val="231F20"/>
          <w:spacing w:val="-7"/>
          <w:sz w:val="28"/>
        </w:rPr>
        <w:t> </w:t>
      </w:r>
      <w:r>
        <w:rPr>
          <w:i/>
          <w:color w:val="231F20"/>
          <w:spacing w:val="-4"/>
          <w:sz w:val="28"/>
        </w:rPr>
        <w:t>2023</w:t>
      </w:r>
    </w:p>
    <w:p>
      <w:pPr>
        <w:spacing w:after="0"/>
        <w:jc w:val="center"/>
        <w:rPr>
          <w:sz w:val="28"/>
        </w:rPr>
        <w:sectPr>
          <w:footerReference w:type="default" r:id="rId129"/>
          <w:pgSz w:w="11910" w:h="16840"/>
          <w:pgMar w:header="0" w:footer="0" w:top="1920" w:bottom="280" w:left="0" w:right="0"/>
        </w:sectPr>
      </w:pPr>
    </w:p>
    <w:p>
      <w:pPr>
        <w:pStyle w:val="BodyText"/>
        <w:jc w:val="left"/>
        <w:rPr>
          <w:i/>
          <w:sz w:val="15"/>
        </w:rPr>
      </w:pPr>
      <w:r>
        <w:rPr/>
        <mc:AlternateContent>
          <mc:Choice Requires="wps">
            <w:drawing>
              <wp:anchor distT="0" distB="0" distL="0" distR="0" allowOverlap="1" layoutInCell="1" locked="0" behindDoc="0" simplePos="0" relativeHeight="15822848">
                <wp:simplePos x="0" y="0"/>
                <wp:positionH relativeFrom="page">
                  <wp:posOffset>7560005</wp:posOffset>
                </wp:positionH>
                <wp:positionV relativeFrom="page">
                  <wp:posOffset>5088801</wp:posOffset>
                </wp:positionV>
                <wp:extent cx="1270" cy="3759200"/>
                <wp:effectExtent l="0" t="0" r="0" b="0"/>
                <wp:wrapNone/>
                <wp:docPr id="393" name="Graphic 393"/>
                <wp:cNvGraphicFramePr>
                  <a:graphicFrameLocks/>
                </wp:cNvGraphicFramePr>
                <a:graphic>
                  <a:graphicData uri="http://schemas.microsoft.com/office/word/2010/wordprocessingShape">
                    <wps:wsp>
                      <wps:cNvPr id="393" name="Graphic 393"/>
                      <wps:cNvSpPr/>
                      <wps:spPr>
                        <a:xfrm>
                          <a:off x="0" y="0"/>
                          <a:ext cx="1270" cy="3759200"/>
                        </a:xfrm>
                        <a:custGeom>
                          <a:avLst/>
                          <a:gdLst/>
                          <a:ahLst/>
                          <a:cxnLst/>
                          <a:rect l="l" t="t" r="r" b="b"/>
                          <a:pathLst>
                            <a:path w="0" h="3759200">
                              <a:moveTo>
                                <a:pt x="0" y="0"/>
                              </a:moveTo>
                              <a:lnTo>
                                <a:pt x="0" y="3759200"/>
                              </a:lnTo>
                              <a:lnTo>
                                <a:pt x="0" y="0"/>
                              </a:lnTo>
                              <a:close/>
                            </a:path>
                          </a:pathLst>
                        </a:custGeom>
                        <a:solidFill>
                          <a:srgbClr val="E0E2E2"/>
                        </a:solidFill>
                      </wps:spPr>
                      <wps:bodyPr wrap="square" lIns="0" tIns="0" rIns="0" bIns="0" rtlCol="0">
                        <a:prstTxWarp prst="textNoShape">
                          <a:avLst/>
                        </a:prstTxWarp>
                        <a:noAutofit/>
                      </wps:bodyPr>
                    </wps:wsp>
                  </a:graphicData>
                </a:graphic>
              </wp:anchor>
            </w:drawing>
          </mc:Choice>
          <mc:Fallback>
            <w:pict>
              <v:shape style="position:absolute;margin-left:595.276001pt;margin-top:400.693024pt;width:.1pt;height:296pt;mso-position-horizontal-relative:page;mso-position-vertical-relative:page;z-index:15822848" id="docshape328" coordorigin="11906,8014" coordsize="0,5920" path="m11906,8014l11906,13934,11906,8014xe" filled="true" fillcolor="#e0e2e2" stroked="false">
                <v:path arrowok="t"/>
                <v:fill type="solid"/>
                <w10:wrap type="none"/>
              </v:shape>
            </w:pict>
          </mc:Fallback>
        </mc:AlternateContent>
      </w:r>
    </w:p>
    <w:p>
      <w:pPr>
        <w:spacing w:after="0"/>
        <w:jc w:val="left"/>
        <w:rPr>
          <w:sz w:val="15"/>
        </w:rPr>
        <w:sectPr>
          <w:footerReference w:type="even" r:id="rId130"/>
          <w:pgSz w:w="11910" w:h="16840"/>
          <w:pgMar w:header="0" w:footer="0" w:top="1920" w:bottom="280" w:left="0" w:right="0"/>
        </w:sectPr>
      </w:pPr>
    </w:p>
    <w:p>
      <w:pPr>
        <w:pStyle w:val="Heading1"/>
        <w:spacing w:before="154"/>
        <w:ind w:left="1445"/>
      </w:pPr>
      <w:r>
        <w:rPr>
          <w:color w:val="1A4796"/>
          <w:spacing w:val="-2"/>
          <w:w w:val="115"/>
        </w:rPr>
        <w:t>Introduction</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682560">
                <wp:simplePos x="0" y="0"/>
                <wp:positionH relativeFrom="page">
                  <wp:posOffset>936002</wp:posOffset>
                </wp:positionH>
                <wp:positionV relativeFrom="paragraph">
                  <wp:posOffset>288395</wp:posOffset>
                </wp:positionV>
                <wp:extent cx="909319" cy="26034"/>
                <wp:effectExtent l="0" t="0" r="0" b="0"/>
                <wp:wrapTopAndBottom/>
                <wp:docPr id="402" name="Graphic 402"/>
                <wp:cNvGraphicFramePr>
                  <a:graphicFrameLocks/>
                </wp:cNvGraphicFramePr>
                <a:graphic>
                  <a:graphicData uri="http://schemas.microsoft.com/office/word/2010/wordprocessingShape">
                    <wps:wsp>
                      <wps:cNvPr id="402" name="Graphic 402"/>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73.700996pt;margin-top:22.708281pt;width:71.584pt;height:2.021pt;mso-position-horizontal-relative:page;mso-position-vertical-relative:paragraph;z-index:-15633920;mso-wrap-distance-left:0;mso-wrap-distance-right:0" id="docshape333" filled="true" fillcolor="#b52628" stroked="false">
                <v:fill type="solid"/>
                <w10:wrap type="topAndBottom"/>
              </v:rect>
            </w:pict>
          </mc:Fallback>
        </mc:AlternateContent>
      </w:r>
    </w:p>
    <w:p>
      <w:pPr>
        <w:pStyle w:val="BodyText"/>
        <w:spacing w:before="186"/>
        <w:jc w:val="left"/>
        <w:rPr>
          <w:rFonts w:ascii="Trebuchet MS"/>
          <w:sz w:val="20"/>
        </w:rPr>
      </w:pPr>
    </w:p>
    <w:p>
      <w:pPr>
        <w:spacing w:after="0"/>
        <w:jc w:val="left"/>
        <w:rPr>
          <w:rFonts w:ascii="Trebuchet MS"/>
          <w:sz w:val="20"/>
        </w:rPr>
        <w:sectPr>
          <w:footerReference w:type="default" r:id="rId131"/>
          <w:footerReference w:type="even" r:id="rId132"/>
          <w:pgSz w:w="11910" w:h="16840"/>
          <w:pgMar w:header="0" w:footer="695" w:top="1920" w:bottom="880" w:left="0" w:right="0"/>
          <w:pgNumType w:start="123"/>
        </w:sectPr>
      </w:pPr>
    </w:p>
    <w:p>
      <w:pPr>
        <w:pStyle w:val="BodyText"/>
        <w:spacing w:before="100"/>
        <w:ind w:left="1474"/>
      </w:pPr>
      <w:r>
        <w:rPr>
          <w:color w:val="231F20"/>
        </w:rPr>
        <w:t>Le blocus économique, commercial et financier</w:t>
      </w:r>
      <w:r>
        <w:rPr>
          <w:color w:val="231F20"/>
          <w:spacing w:val="80"/>
        </w:rPr>
        <w:t> </w:t>
      </w:r>
      <w:r>
        <w:rPr>
          <w:color w:val="231F20"/>
        </w:rPr>
        <w:t>se</w:t>
      </w:r>
      <w:r>
        <w:rPr>
          <w:color w:val="231F20"/>
          <w:spacing w:val="80"/>
        </w:rPr>
        <w:t> </w:t>
      </w:r>
      <w:r>
        <w:rPr>
          <w:color w:val="231F20"/>
        </w:rPr>
        <w:t>situe</w:t>
      </w:r>
      <w:r>
        <w:rPr>
          <w:color w:val="231F20"/>
          <w:spacing w:val="80"/>
        </w:rPr>
        <w:t> </w:t>
      </w:r>
      <w:r>
        <w:rPr>
          <w:color w:val="231F20"/>
        </w:rPr>
        <w:t>au</w:t>
      </w:r>
      <w:r>
        <w:rPr>
          <w:color w:val="231F20"/>
          <w:spacing w:val="80"/>
        </w:rPr>
        <w:t> </w:t>
      </w:r>
      <w:r>
        <w:rPr>
          <w:color w:val="231F20"/>
        </w:rPr>
        <w:t>cœur</w:t>
      </w:r>
      <w:r>
        <w:rPr>
          <w:color w:val="231F20"/>
          <w:spacing w:val="80"/>
        </w:rPr>
        <w:t> </w:t>
      </w:r>
      <w:r>
        <w:rPr>
          <w:color w:val="231F20"/>
        </w:rPr>
        <w:t>même</w:t>
      </w:r>
      <w:r>
        <w:rPr>
          <w:color w:val="231F20"/>
          <w:spacing w:val="80"/>
        </w:rPr>
        <w:t> </w:t>
      </w:r>
      <w:r>
        <w:rPr>
          <w:color w:val="231F20"/>
        </w:rPr>
        <w:t>de la politique que suivent les États-Unis d’Amérique envers Cuba depuis de plus </w:t>
      </w:r>
      <w:r>
        <w:rPr>
          <w:color w:val="231F20"/>
          <w:spacing w:val="-2"/>
        </w:rPr>
        <w:t>soixante</w:t>
      </w:r>
      <w:r>
        <w:rPr>
          <w:color w:val="231F20"/>
          <w:spacing w:val="-15"/>
        </w:rPr>
        <w:t> </w:t>
      </w:r>
      <w:r>
        <w:rPr>
          <w:color w:val="231F20"/>
          <w:spacing w:val="-2"/>
        </w:rPr>
        <w:t>ans.</w:t>
      </w:r>
      <w:r>
        <w:rPr>
          <w:color w:val="231F20"/>
          <w:spacing w:val="-14"/>
        </w:rPr>
        <w:t> </w:t>
      </w:r>
      <w:r>
        <w:rPr>
          <w:color w:val="231F20"/>
          <w:spacing w:val="-2"/>
        </w:rPr>
        <w:t>Les</w:t>
      </w:r>
      <w:r>
        <w:rPr>
          <w:color w:val="231F20"/>
          <w:spacing w:val="-15"/>
        </w:rPr>
        <w:t> </w:t>
      </w:r>
      <w:r>
        <w:rPr>
          <w:color w:val="231F20"/>
          <w:spacing w:val="-2"/>
        </w:rPr>
        <w:t>effets</w:t>
      </w:r>
      <w:r>
        <w:rPr>
          <w:color w:val="231F20"/>
          <w:spacing w:val="-14"/>
        </w:rPr>
        <w:t> </w:t>
      </w:r>
      <w:r>
        <w:rPr>
          <w:color w:val="231F20"/>
          <w:spacing w:val="-2"/>
        </w:rPr>
        <w:t>de</w:t>
      </w:r>
      <w:r>
        <w:rPr>
          <w:color w:val="231F20"/>
          <w:spacing w:val="-15"/>
        </w:rPr>
        <w:t> </w:t>
      </w:r>
      <w:r>
        <w:rPr>
          <w:color w:val="231F20"/>
          <w:spacing w:val="-2"/>
        </w:rPr>
        <w:t>cette</w:t>
      </w:r>
      <w:r>
        <w:rPr>
          <w:color w:val="231F20"/>
          <w:spacing w:val="-14"/>
        </w:rPr>
        <w:t> </w:t>
      </w:r>
      <w:r>
        <w:rPr>
          <w:color w:val="231F20"/>
          <w:spacing w:val="-2"/>
        </w:rPr>
        <w:t>guerre</w:t>
      </w:r>
      <w:r>
        <w:rPr>
          <w:color w:val="231F20"/>
          <w:spacing w:val="-15"/>
        </w:rPr>
        <w:t> </w:t>
      </w:r>
      <w:r>
        <w:rPr>
          <w:color w:val="231F20"/>
          <w:spacing w:val="-2"/>
        </w:rPr>
        <w:t>non </w:t>
      </w:r>
      <w:r>
        <w:rPr>
          <w:color w:val="231F20"/>
        </w:rPr>
        <w:t>déclarée contre l’économie, la société, la vie</w:t>
      </w:r>
      <w:r>
        <w:rPr>
          <w:color w:val="231F20"/>
          <w:spacing w:val="-7"/>
        </w:rPr>
        <w:t> </w:t>
      </w:r>
      <w:r>
        <w:rPr>
          <w:color w:val="231F20"/>
        </w:rPr>
        <w:t>quotidienne</w:t>
      </w:r>
      <w:r>
        <w:rPr>
          <w:color w:val="231F20"/>
          <w:spacing w:val="-7"/>
        </w:rPr>
        <w:t> </w:t>
      </w:r>
      <w:r>
        <w:rPr>
          <w:color w:val="231F20"/>
        </w:rPr>
        <w:t>et</w:t>
      </w:r>
      <w:r>
        <w:rPr>
          <w:color w:val="231F20"/>
          <w:spacing w:val="-7"/>
        </w:rPr>
        <w:t> </w:t>
      </w:r>
      <w:r>
        <w:rPr>
          <w:color w:val="231F20"/>
        </w:rPr>
        <w:t>les</w:t>
      </w:r>
      <w:r>
        <w:rPr>
          <w:color w:val="231F20"/>
          <w:spacing w:val="-7"/>
        </w:rPr>
        <w:t> </w:t>
      </w:r>
      <w:r>
        <w:rPr>
          <w:color w:val="231F20"/>
        </w:rPr>
        <w:t>rêves</w:t>
      </w:r>
      <w:r>
        <w:rPr>
          <w:color w:val="231F20"/>
          <w:spacing w:val="-7"/>
        </w:rPr>
        <w:t> </w:t>
      </w:r>
      <w:r>
        <w:rPr>
          <w:color w:val="231F20"/>
        </w:rPr>
        <w:t>de</w:t>
      </w:r>
      <w:r>
        <w:rPr>
          <w:color w:val="231F20"/>
          <w:spacing w:val="-7"/>
        </w:rPr>
        <w:t> </w:t>
      </w:r>
      <w:r>
        <w:rPr>
          <w:color w:val="231F20"/>
        </w:rPr>
        <w:t>progrès</w:t>
      </w:r>
      <w:r>
        <w:rPr>
          <w:color w:val="231F20"/>
          <w:spacing w:val="-7"/>
        </w:rPr>
        <w:t> </w:t>
      </w:r>
      <w:r>
        <w:rPr>
          <w:color w:val="231F20"/>
        </w:rPr>
        <w:t>de plus de onze millions de Cubains n’ayant pas cessé un seul jour.</w:t>
      </w:r>
    </w:p>
    <w:p>
      <w:pPr>
        <w:pStyle w:val="Heading5"/>
        <w:spacing w:before="167"/>
      </w:pPr>
      <w:r>
        <w:rPr/>
        <mc:AlternateContent>
          <mc:Choice Requires="wps">
            <w:drawing>
              <wp:anchor distT="0" distB="0" distL="0" distR="0" allowOverlap="1" layoutInCell="1" locked="0" behindDoc="0" simplePos="0" relativeHeight="15823872">
                <wp:simplePos x="0" y="0"/>
                <wp:positionH relativeFrom="page">
                  <wp:posOffset>0</wp:posOffset>
                </wp:positionH>
                <wp:positionV relativeFrom="paragraph">
                  <wp:posOffset>880138</wp:posOffset>
                </wp:positionV>
                <wp:extent cx="3888104" cy="3759200"/>
                <wp:effectExtent l="0" t="0" r="0" b="0"/>
                <wp:wrapNone/>
                <wp:docPr id="403" name="Textbox 403"/>
                <wp:cNvGraphicFramePr>
                  <a:graphicFrameLocks/>
                </wp:cNvGraphicFramePr>
                <a:graphic>
                  <a:graphicData uri="http://schemas.microsoft.com/office/word/2010/wordprocessingShape">
                    <wps:wsp>
                      <wps:cNvPr id="403" name="Textbox 403"/>
                      <wps:cNvSpPr txBox="1"/>
                      <wps:spPr>
                        <a:xfrm>
                          <a:off x="0" y="0"/>
                          <a:ext cx="3888104" cy="3759200"/>
                        </a:xfrm>
                        <a:prstGeom prst="rect">
                          <a:avLst/>
                        </a:prstGeom>
                        <a:solidFill>
                          <a:srgbClr val="E0E2E2"/>
                        </a:solidFill>
                      </wps:spPr>
                      <wps:txbx>
                        <w:txbxContent>
                          <w:p>
                            <w:pPr>
                              <w:pStyle w:val="BodyText"/>
                              <w:jc w:val="left"/>
                              <w:rPr>
                                <w:color w:val="000000"/>
                                <w:sz w:val="26"/>
                              </w:rPr>
                            </w:pPr>
                          </w:p>
                          <w:p>
                            <w:pPr>
                              <w:pStyle w:val="BodyText"/>
                              <w:spacing w:before="9"/>
                              <w:jc w:val="left"/>
                              <w:rPr>
                                <w:color w:val="000000"/>
                                <w:sz w:val="26"/>
                              </w:rPr>
                            </w:pPr>
                          </w:p>
                          <w:p>
                            <w:pPr>
                              <w:spacing w:line="220" w:lineRule="auto" w:before="0"/>
                              <w:ind w:left="1474" w:right="322" w:firstLine="0"/>
                              <w:jc w:val="left"/>
                              <w:rPr>
                                <w:rFonts w:ascii="Segoe UI Semibold" w:hAnsi="Segoe UI Semibold"/>
                                <w:b/>
                                <w:i/>
                                <w:color w:val="000000"/>
                                <w:sz w:val="26"/>
                              </w:rPr>
                            </w:pPr>
                            <w:r>
                              <w:rPr>
                                <w:rFonts w:ascii="Segoe UI Semibold" w:hAnsi="Segoe UI Semibold"/>
                                <w:b/>
                                <w:i/>
                                <w:color w:val="1A4796"/>
                                <w:sz w:val="26"/>
                              </w:rPr>
                              <w:t>Le présent Rapport englobe les</w:t>
                            </w:r>
                            <w:r>
                              <w:rPr>
                                <w:rFonts w:ascii="Segoe UI Semibold" w:hAnsi="Segoe UI Semibold"/>
                                <w:b/>
                                <w:i/>
                                <w:color w:val="1A4796"/>
                                <w:sz w:val="26"/>
                              </w:rPr>
                              <w:t> préjudices causés par cette politique du 1er mars 2022 au 28 février 2023, une période qui a été marquée par l’application continue et délibérée des mesures de pression maximale adoptées</w:t>
                            </w:r>
                            <w:r>
                              <w:rPr>
                                <w:rFonts w:ascii="Segoe UI Semibold" w:hAnsi="Segoe UI Semibold"/>
                                <w:b/>
                                <w:i/>
                                <w:color w:val="1A4796"/>
                                <w:spacing w:val="-18"/>
                                <w:sz w:val="26"/>
                              </w:rPr>
                              <w:t> </w:t>
                            </w:r>
                            <w:r>
                              <w:rPr>
                                <w:rFonts w:ascii="Segoe UI Semibold" w:hAnsi="Segoe UI Semibold"/>
                                <w:b/>
                                <w:i/>
                                <w:color w:val="1A4796"/>
                                <w:sz w:val="26"/>
                              </w:rPr>
                              <w:t>par</w:t>
                            </w:r>
                            <w:r>
                              <w:rPr>
                                <w:rFonts w:ascii="Segoe UI Semibold" w:hAnsi="Segoe UI Semibold"/>
                                <w:b/>
                                <w:i/>
                                <w:color w:val="1A4796"/>
                                <w:spacing w:val="-18"/>
                                <w:sz w:val="26"/>
                              </w:rPr>
                              <w:t> </w:t>
                            </w:r>
                            <w:r>
                              <w:rPr>
                                <w:rFonts w:ascii="Segoe UI Semibold" w:hAnsi="Segoe UI Semibold"/>
                                <w:b/>
                                <w:i/>
                                <w:color w:val="1A4796"/>
                                <w:sz w:val="26"/>
                              </w:rPr>
                              <w:t>l’administration</w:t>
                            </w:r>
                            <w:r>
                              <w:rPr>
                                <w:rFonts w:ascii="Segoe UI Semibold" w:hAnsi="Segoe UI Semibold"/>
                                <w:b/>
                                <w:i/>
                                <w:color w:val="1A4796"/>
                                <w:spacing w:val="-18"/>
                                <w:sz w:val="26"/>
                              </w:rPr>
                              <w:t> </w:t>
                            </w:r>
                            <w:r>
                              <w:rPr>
                                <w:rFonts w:ascii="Segoe UI Semibold" w:hAnsi="Segoe UI Semibold"/>
                                <w:b/>
                                <w:i/>
                                <w:color w:val="1A4796"/>
                                <w:sz w:val="26"/>
                              </w:rPr>
                              <w:t>Trump, par l’application de l’ensemble</w:t>
                            </w:r>
                          </w:p>
                          <w:p>
                            <w:pPr>
                              <w:spacing w:line="220" w:lineRule="auto" w:before="6"/>
                              <w:ind w:left="1474" w:right="692" w:firstLine="0"/>
                              <w:jc w:val="left"/>
                              <w:rPr>
                                <w:rFonts w:ascii="Segoe UI Semibold" w:hAnsi="Segoe UI Semibold"/>
                                <w:b/>
                                <w:i/>
                                <w:color w:val="000000"/>
                                <w:sz w:val="26"/>
                              </w:rPr>
                            </w:pPr>
                            <w:r>
                              <w:rPr>
                                <w:rFonts w:ascii="Segoe UI Semibold" w:hAnsi="Segoe UI Semibold"/>
                                <w:b/>
                                <w:i/>
                                <w:color w:val="1A4796"/>
                                <w:sz w:val="26"/>
                              </w:rPr>
                              <w:t>des</w:t>
                            </w:r>
                            <w:r>
                              <w:rPr>
                                <w:rFonts w:ascii="Segoe UI Semibold" w:hAnsi="Segoe UI Semibold"/>
                                <w:b/>
                                <w:i/>
                                <w:color w:val="1A4796"/>
                                <w:spacing w:val="-7"/>
                                <w:sz w:val="26"/>
                              </w:rPr>
                              <w:t> </w:t>
                            </w:r>
                            <w:r>
                              <w:rPr>
                                <w:rFonts w:ascii="Segoe UI Semibold" w:hAnsi="Segoe UI Semibold"/>
                                <w:b/>
                                <w:i/>
                                <w:color w:val="1A4796"/>
                                <w:sz w:val="26"/>
                              </w:rPr>
                              <w:t>lois</w:t>
                            </w:r>
                            <w:r>
                              <w:rPr>
                                <w:rFonts w:ascii="Segoe UI Semibold" w:hAnsi="Segoe UI Semibold"/>
                                <w:b/>
                                <w:i/>
                                <w:color w:val="1A4796"/>
                                <w:spacing w:val="-7"/>
                                <w:sz w:val="26"/>
                              </w:rPr>
                              <w:t> </w:t>
                            </w:r>
                            <w:r>
                              <w:rPr>
                                <w:rFonts w:ascii="Segoe UI Semibold" w:hAnsi="Segoe UI Semibold"/>
                                <w:b/>
                                <w:i/>
                                <w:color w:val="1A4796"/>
                                <w:sz w:val="26"/>
                              </w:rPr>
                              <w:t>qui</w:t>
                            </w:r>
                            <w:r>
                              <w:rPr>
                                <w:rFonts w:ascii="Segoe UI Semibold" w:hAnsi="Segoe UI Semibold"/>
                                <w:b/>
                                <w:i/>
                                <w:color w:val="1A4796"/>
                                <w:spacing w:val="-7"/>
                                <w:sz w:val="26"/>
                              </w:rPr>
                              <w:t> </w:t>
                            </w:r>
                            <w:r>
                              <w:rPr>
                                <w:rFonts w:ascii="Segoe UI Semibold" w:hAnsi="Segoe UI Semibold"/>
                                <w:b/>
                                <w:i/>
                                <w:color w:val="1A4796"/>
                                <w:sz w:val="26"/>
                              </w:rPr>
                              <w:t>forment</w:t>
                            </w:r>
                            <w:r>
                              <w:rPr>
                                <w:rFonts w:ascii="Segoe UI Semibold" w:hAnsi="Segoe UI Semibold"/>
                                <w:b/>
                                <w:i/>
                                <w:color w:val="1A4796"/>
                                <w:spacing w:val="-7"/>
                                <w:sz w:val="26"/>
                              </w:rPr>
                              <w:t> </w:t>
                            </w:r>
                            <w:r>
                              <w:rPr>
                                <w:rFonts w:ascii="Segoe UI Semibold" w:hAnsi="Segoe UI Semibold"/>
                                <w:b/>
                                <w:i/>
                                <w:color w:val="1A4796"/>
                                <w:sz w:val="26"/>
                              </w:rPr>
                              <w:t>ce</w:t>
                            </w:r>
                            <w:r>
                              <w:rPr>
                                <w:rFonts w:ascii="Segoe UI Semibold" w:hAnsi="Segoe UI Semibold"/>
                                <w:b/>
                                <w:i/>
                                <w:color w:val="1A4796"/>
                                <w:spacing w:val="-8"/>
                                <w:sz w:val="26"/>
                              </w:rPr>
                              <w:t> </w:t>
                            </w:r>
                            <w:r>
                              <w:rPr>
                                <w:rFonts w:ascii="Segoe UI Semibold" w:hAnsi="Segoe UI Semibold"/>
                                <w:b/>
                                <w:i/>
                                <w:color w:val="1A4796"/>
                                <w:sz w:val="26"/>
                              </w:rPr>
                              <w:t>système</w:t>
                            </w:r>
                            <w:r>
                              <w:rPr>
                                <w:rFonts w:ascii="Segoe UI Semibold" w:hAnsi="Segoe UI Semibold"/>
                                <w:b/>
                                <w:i/>
                                <w:color w:val="1A4796"/>
                                <w:spacing w:val="-8"/>
                                <w:sz w:val="26"/>
                              </w:rPr>
                              <w:t> </w:t>
                            </w:r>
                            <w:r>
                              <w:rPr>
                                <w:rFonts w:ascii="Segoe UI Semibold" w:hAnsi="Segoe UI Semibold"/>
                                <w:b/>
                                <w:i/>
                                <w:color w:val="1A4796"/>
                                <w:sz w:val="26"/>
                              </w:rPr>
                              <w:t>de</w:t>
                            </w:r>
                            <w:r>
                              <w:rPr>
                                <w:rFonts w:ascii="Segoe UI Semibold" w:hAnsi="Segoe UI Semibold"/>
                                <w:b/>
                                <w:i/>
                                <w:color w:val="1A4796"/>
                                <w:sz w:val="26"/>
                              </w:rPr>
                              <w:t> mesures coercitives unilatérales</w:t>
                            </w:r>
                            <w:r>
                              <w:rPr>
                                <w:rFonts w:ascii="Segoe UI Semibold" w:hAnsi="Segoe UI Semibold"/>
                                <w:b/>
                                <w:i/>
                                <w:color w:val="1A4796"/>
                                <w:spacing w:val="40"/>
                                <w:sz w:val="26"/>
                              </w:rPr>
                              <w:t> </w:t>
                            </w:r>
                            <w:r>
                              <w:rPr>
                                <w:rFonts w:ascii="Segoe UI Semibold" w:hAnsi="Segoe UI Semibold"/>
                                <w:b/>
                                <w:i/>
                                <w:color w:val="1A4796"/>
                                <w:sz w:val="26"/>
                              </w:rPr>
                              <w:t>et par l’inertie et l’immobilité de</w:t>
                            </w:r>
                          </w:p>
                          <w:p>
                            <w:pPr>
                              <w:spacing w:line="220" w:lineRule="auto" w:before="3"/>
                              <w:ind w:left="1474" w:right="262" w:firstLine="0"/>
                              <w:jc w:val="both"/>
                              <w:rPr>
                                <w:rFonts w:ascii="Segoe UI Semibold" w:hAnsi="Segoe UI Semibold"/>
                                <w:b/>
                                <w:i/>
                                <w:color w:val="000000"/>
                                <w:sz w:val="26"/>
                              </w:rPr>
                            </w:pPr>
                            <w:r>
                              <w:rPr>
                                <w:rFonts w:ascii="Segoe UI Semibold" w:hAnsi="Segoe UI Semibold"/>
                                <w:b/>
                                <w:i/>
                                <w:color w:val="1A4796"/>
                                <w:sz w:val="26"/>
                              </w:rPr>
                              <w:t>l’administration</w:t>
                            </w:r>
                            <w:r>
                              <w:rPr>
                                <w:rFonts w:ascii="Segoe UI Semibold" w:hAnsi="Segoe UI Semibold"/>
                                <w:b/>
                                <w:i/>
                                <w:color w:val="1A4796"/>
                                <w:spacing w:val="-11"/>
                                <w:sz w:val="26"/>
                              </w:rPr>
                              <w:t> </w:t>
                            </w:r>
                            <w:r>
                              <w:rPr>
                                <w:rFonts w:ascii="Segoe UI Semibold" w:hAnsi="Segoe UI Semibold"/>
                                <w:b/>
                                <w:i/>
                                <w:color w:val="1A4796"/>
                                <w:sz w:val="26"/>
                              </w:rPr>
                              <w:t>Biden</w:t>
                            </w:r>
                            <w:r>
                              <w:rPr>
                                <w:rFonts w:ascii="Segoe UI Semibold" w:hAnsi="Segoe UI Semibold"/>
                                <w:b/>
                                <w:i/>
                                <w:color w:val="1A4796"/>
                                <w:spacing w:val="-11"/>
                                <w:sz w:val="26"/>
                              </w:rPr>
                              <w:t> </w:t>
                            </w:r>
                            <w:r>
                              <w:rPr>
                                <w:rFonts w:ascii="Segoe UI Semibold" w:hAnsi="Segoe UI Semibold"/>
                                <w:b/>
                                <w:i/>
                                <w:color w:val="1A4796"/>
                                <w:sz w:val="26"/>
                              </w:rPr>
                              <w:t>qui</w:t>
                            </w:r>
                            <w:r>
                              <w:rPr>
                                <w:rFonts w:ascii="Segoe UI Semibold" w:hAnsi="Segoe UI Semibold"/>
                                <w:b/>
                                <w:i/>
                                <w:color w:val="1A4796"/>
                                <w:spacing w:val="-11"/>
                                <w:sz w:val="26"/>
                              </w:rPr>
                              <w:t> </w:t>
                            </w:r>
                            <w:r>
                              <w:rPr>
                                <w:rFonts w:ascii="Segoe UI Semibold" w:hAnsi="Segoe UI Semibold"/>
                                <w:b/>
                                <w:i/>
                                <w:color w:val="1A4796"/>
                                <w:sz w:val="26"/>
                              </w:rPr>
                              <w:t>ne</w:t>
                            </w:r>
                            <w:r>
                              <w:rPr>
                                <w:rFonts w:ascii="Segoe UI Semibold" w:hAnsi="Segoe UI Semibold"/>
                                <w:b/>
                                <w:i/>
                                <w:color w:val="1A4796"/>
                                <w:spacing w:val="-12"/>
                                <w:sz w:val="26"/>
                              </w:rPr>
                              <w:t> </w:t>
                            </w:r>
                            <w:r>
                              <w:rPr>
                                <w:rFonts w:ascii="Segoe UI Semibold" w:hAnsi="Segoe UI Semibold"/>
                                <w:b/>
                                <w:i/>
                                <w:color w:val="1A4796"/>
                                <w:sz w:val="26"/>
                              </w:rPr>
                              <w:t>fait</w:t>
                            </w:r>
                            <w:r>
                              <w:rPr>
                                <w:rFonts w:ascii="Segoe UI Semibold" w:hAnsi="Segoe UI Semibold"/>
                                <w:b/>
                                <w:i/>
                                <w:color w:val="1A4796"/>
                                <w:spacing w:val="-11"/>
                                <w:sz w:val="26"/>
                              </w:rPr>
                              <w:t> </w:t>
                            </w:r>
                            <w:r>
                              <w:rPr>
                                <w:rFonts w:ascii="Segoe UI Semibold" w:hAnsi="Segoe UI Semibold"/>
                                <w:b/>
                                <w:i/>
                                <w:color w:val="1A4796"/>
                                <w:sz w:val="26"/>
                              </w:rPr>
                              <w:t>rien</w:t>
                            </w:r>
                            <w:r>
                              <w:rPr>
                                <w:rFonts w:ascii="Segoe UI Semibold" w:hAnsi="Segoe UI Semibold"/>
                                <w:b/>
                                <w:i/>
                                <w:color w:val="1A4796"/>
                                <w:sz w:val="26"/>
                              </w:rPr>
                              <w:t> pour</w:t>
                            </w:r>
                            <w:r>
                              <w:rPr>
                                <w:rFonts w:ascii="Segoe UI Semibold" w:hAnsi="Segoe UI Semibold"/>
                                <w:b/>
                                <w:i/>
                                <w:color w:val="1A4796"/>
                                <w:spacing w:val="-5"/>
                                <w:sz w:val="26"/>
                              </w:rPr>
                              <w:t> </w:t>
                            </w:r>
                            <w:r>
                              <w:rPr>
                                <w:rFonts w:ascii="Segoe UI Semibold" w:hAnsi="Segoe UI Semibold"/>
                                <w:b/>
                                <w:i/>
                                <w:color w:val="1A4796"/>
                                <w:sz w:val="26"/>
                              </w:rPr>
                              <w:t>améliorer</w:t>
                            </w:r>
                            <w:r>
                              <w:rPr>
                                <w:rFonts w:ascii="Segoe UI Semibold" w:hAnsi="Segoe UI Semibold"/>
                                <w:b/>
                                <w:i/>
                                <w:color w:val="1A4796"/>
                                <w:spacing w:val="-5"/>
                                <w:sz w:val="26"/>
                              </w:rPr>
                              <w:t> </w:t>
                            </w:r>
                            <w:r>
                              <w:rPr>
                                <w:rFonts w:ascii="Segoe UI Semibold" w:hAnsi="Segoe UI Semibold"/>
                                <w:b/>
                                <w:i/>
                                <w:color w:val="1A4796"/>
                                <w:sz w:val="26"/>
                              </w:rPr>
                              <w:t>en</w:t>
                            </w:r>
                            <w:r>
                              <w:rPr>
                                <w:rFonts w:ascii="Segoe UI Semibold" w:hAnsi="Segoe UI Semibold"/>
                                <w:b/>
                                <w:i/>
                                <w:color w:val="1A4796"/>
                                <w:spacing w:val="-4"/>
                                <w:sz w:val="26"/>
                              </w:rPr>
                              <w:t> </w:t>
                            </w:r>
                            <w:r>
                              <w:rPr>
                                <w:rFonts w:ascii="Segoe UI Semibold" w:hAnsi="Segoe UI Semibold"/>
                                <w:b/>
                                <w:i/>
                                <w:color w:val="1A4796"/>
                                <w:sz w:val="26"/>
                              </w:rPr>
                              <w:t>quoi</w:t>
                            </w:r>
                            <w:r>
                              <w:rPr>
                                <w:rFonts w:ascii="Segoe UI Semibold" w:hAnsi="Segoe UI Semibold"/>
                                <w:b/>
                                <w:i/>
                                <w:color w:val="1A4796"/>
                                <w:spacing w:val="-4"/>
                                <w:sz w:val="26"/>
                              </w:rPr>
                              <w:t> </w:t>
                            </w:r>
                            <w:r>
                              <w:rPr>
                                <w:rFonts w:ascii="Segoe UI Semibold" w:hAnsi="Segoe UI Semibold"/>
                                <w:b/>
                                <w:i/>
                                <w:color w:val="1A4796"/>
                                <w:sz w:val="26"/>
                              </w:rPr>
                              <w:t>que</w:t>
                            </w:r>
                            <w:r>
                              <w:rPr>
                                <w:rFonts w:ascii="Segoe UI Semibold" w:hAnsi="Segoe UI Semibold"/>
                                <w:b/>
                                <w:i/>
                                <w:color w:val="1A4796"/>
                                <w:spacing w:val="-5"/>
                                <w:sz w:val="26"/>
                              </w:rPr>
                              <w:t> </w:t>
                            </w:r>
                            <w:r>
                              <w:rPr>
                                <w:rFonts w:ascii="Segoe UI Semibold" w:hAnsi="Segoe UI Semibold"/>
                                <w:b/>
                                <w:i/>
                                <w:color w:val="1A4796"/>
                                <w:sz w:val="26"/>
                              </w:rPr>
                              <w:t>ce</w:t>
                            </w:r>
                            <w:r>
                              <w:rPr>
                                <w:rFonts w:ascii="Segoe UI Semibold" w:hAnsi="Segoe UI Semibold"/>
                                <w:b/>
                                <w:i/>
                                <w:color w:val="1A4796"/>
                                <w:spacing w:val="-5"/>
                                <w:sz w:val="26"/>
                              </w:rPr>
                              <w:t> </w:t>
                            </w:r>
                            <w:r>
                              <w:rPr>
                                <w:rFonts w:ascii="Segoe UI Semibold" w:hAnsi="Segoe UI Semibold"/>
                                <w:b/>
                                <w:i/>
                                <w:color w:val="1A4796"/>
                                <w:sz w:val="26"/>
                              </w:rPr>
                              <w:t>soit</w:t>
                            </w:r>
                            <w:r>
                              <w:rPr>
                                <w:rFonts w:ascii="Segoe UI Semibold" w:hAnsi="Segoe UI Semibold"/>
                                <w:b/>
                                <w:i/>
                                <w:color w:val="1A4796"/>
                                <w:spacing w:val="-4"/>
                                <w:sz w:val="26"/>
                              </w:rPr>
                              <w:t> </w:t>
                            </w:r>
                            <w:r>
                              <w:rPr>
                                <w:rFonts w:ascii="Segoe UI Semibold" w:hAnsi="Segoe UI Semibold"/>
                                <w:b/>
                                <w:i/>
                                <w:color w:val="1A4796"/>
                                <w:sz w:val="26"/>
                              </w:rPr>
                              <w:t>les relations entre les deux pays.</w:t>
                            </w:r>
                          </w:p>
                        </w:txbxContent>
                      </wps:txbx>
                      <wps:bodyPr wrap="square" lIns="0" tIns="0" rIns="0" bIns="0" rtlCol="0">
                        <a:noAutofit/>
                      </wps:bodyPr>
                    </wps:wsp>
                  </a:graphicData>
                </a:graphic>
              </wp:anchor>
            </w:drawing>
          </mc:Choice>
          <mc:Fallback>
            <w:pict>
              <v:shape style="position:absolute;margin-left:0pt;margin-top:69.302231pt;width:306.150pt;height:296pt;mso-position-horizontal-relative:page;mso-position-vertical-relative:paragraph;z-index:15823872" type="#_x0000_t202" id="docshape334" filled="true" fillcolor="#e0e2e2" stroked="false">
                <v:textbox inset="0,0,0,0">
                  <w:txbxContent>
                    <w:p>
                      <w:pPr>
                        <w:pStyle w:val="BodyText"/>
                        <w:jc w:val="left"/>
                        <w:rPr>
                          <w:color w:val="000000"/>
                          <w:sz w:val="26"/>
                        </w:rPr>
                      </w:pPr>
                    </w:p>
                    <w:p>
                      <w:pPr>
                        <w:pStyle w:val="BodyText"/>
                        <w:spacing w:before="9"/>
                        <w:jc w:val="left"/>
                        <w:rPr>
                          <w:color w:val="000000"/>
                          <w:sz w:val="26"/>
                        </w:rPr>
                      </w:pPr>
                    </w:p>
                    <w:p>
                      <w:pPr>
                        <w:spacing w:line="220" w:lineRule="auto" w:before="0"/>
                        <w:ind w:left="1474" w:right="322" w:firstLine="0"/>
                        <w:jc w:val="left"/>
                        <w:rPr>
                          <w:rFonts w:ascii="Segoe UI Semibold" w:hAnsi="Segoe UI Semibold"/>
                          <w:b/>
                          <w:i/>
                          <w:color w:val="000000"/>
                          <w:sz w:val="26"/>
                        </w:rPr>
                      </w:pPr>
                      <w:r>
                        <w:rPr>
                          <w:rFonts w:ascii="Segoe UI Semibold" w:hAnsi="Segoe UI Semibold"/>
                          <w:b/>
                          <w:i/>
                          <w:color w:val="1A4796"/>
                          <w:sz w:val="26"/>
                        </w:rPr>
                        <w:t>Le présent Rapport englobe les</w:t>
                      </w:r>
                      <w:r>
                        <w:rPr>
                          <w:rFonts w:ascii="Segoe UI Semibold" w:hAnsi="Segoe UI Semibold"/>
                          <w:b/>
                          <w:i/>
                          <w:color w:val="1A4796"/>
                          <w:sz w:val="26"/>
                        </w:rPr>
                        <w:t> préjudices causés par cette politique du 1er mars 2022 au 28 février 2023, une période qui a été marquée par l’application continue et délibérée des mesures de pression maximale adoptées</w:t>
                      </w:r>
                      <w:r>
                        <w:rPr>
                          <w:rFonts w:ascii="Segoe UI Semibold" w:hAnsi="Segoe UI Semibold"/>
                          <w:b/>
                          <w:i/>
                          <w:color w:val="1A4796"/>
                          <w:spacing w:val="-18"/>
                          <w:sz w:val="26"/>
                        </w:rPr>
                        <w:t> </w:t>
                      </w:r>
                      <w:r>
                        <w:rPr>
                          <w:rFonts w:ascii="Segoe UI Semibold" w:hAnsi="Segoe UI Semibold"/>
                          <w:b/>
                          <w:i/>
                          <w:color w:val="1A4796"/>
                          <w:sz w:val="26"/>
                        </w:rPr>
                        <w:t>par</w:t>
                      </w:r>
                      <w:r>
                        <w:rPr>
                          <w:rFonts w:ascii="Segoe UI Semibold" w:hAnsi="Segoe UI Semibold"/>
                          <w:b/>
                          <w:i/>
                          <w:color w:val="1A4796"/>
                          <w:spacing w:val="-18"/>
                          <w:sz w:val="26"/>
                        </w:rPr>
                        <w:t> </w:t>
                      </w:r>
                      <w:r>
                        <w:rPr>
                          <w:rFonts w:ascii="Segoe UI Semibold" w:hAnsi="Segoe UI Semibold"/>
                          <w:b/>
                          <w:i/>
                          <w:color w:val="1A4796"/>
                          <w:sz w:val="26"/>
                        </w:rPr>
                        <w:t>l’administration</w:t>
                      </w:r>
                      <w:r>
                        <w:rPr>
                          <w:rFonts w:ascii="Segoe UI Semibold" w:hAnsi="Segoe UI Semibold"/>
                          <w:b/>
                          <w:i/>
                          <w:color w:val="1A4796"/>
                          <w:spacing w:val="-18"/>
                          <w:sz w:val="26"/>
                        </w:rPr>
                        <w:t> </w:t>
                      </w:r>
                      <w:r>
                        <w:rPr>
                          <w:rFonts w:ascii="Segoe UI Semibold" w:hAnsi="Segoe UI Semibold"/>
                          <w:b/>
                          <w:i/>
                          <w:color w:val="1A4796"/>
                          <w:sz w:val="26"/>
                        </w:rPr>
                        <w:t>Trump, par l’application de l’ensemble</w:t>
                      </w:r>
                    </w:p>
                    <w:p>
                      <w:pPr>
                        <w:spacing w:line="220" w:lineRule="auto" w:before="6"/>
                        <w:ind w:left="1474" w:right="692" w:firstLine="0"/>
                        <w:jc w:val="left"/>
                        <w:rPr>
                          <w:rFonts w:ascii="Segoe UI Semibold" w:hAnsi="Segoe UI Semibold"/>
                          <w:b/>
                          <w:i/>
                          <w:color w:val="000000"/>
                          <w:sz w:val="26"/>
                        </w:rPr>
                      </w:pPr>
                      <w:r>
                        <w:rPr>
                          <w:rFonts w:ascii="Segoe UI Semibold" w:hAnsi="Segoe UI Semibold"/>
                          <w:b/>
                          <w:i/>
                          <w:color w:val="1A4796"/>
                          <w:sz w:val="26"/>
                        </w:rPr>
                        <w:t>des</w:t>
                      </w:r>
                      <w:r>
                        <w:rPr>
                          <w:rFonts w:ascii="Segoe UI Semibold" w:hAnsi="Segoe UI Semibold"/>
                          <w:b/>
                          <w:i/>
                          <w:color w:val="1A4796"/>
                          <w:spacing w:val="-7"/>
                          <w:sz w:val="26"/>
                        </w:rPr>
                        <w:t> </w:t>
                      </w:r>
                      <w:r>
                        <w:rPr>
                          <w:rFonts w:ascii="Segoe UI Semibold" w:hAnsi="Segoe UI Semibold"/>
                          <w:b/>
                          <w:i/>
                          <w:color w:val="1A4796"/>
                          <w:sz w:val="26"/>
                        </w:rPr>
                        <w:t>lois</w:t>
                      </w:r>
                      <w:r>
                        <w:rPr>
                          <w:rFonts w:ascii="Segoe UI Semibold" w:hAnsi="Segoe UI Semibold"/>
                          <w:b/>
                          <w:i/>
                          <w:color w:val="1A4796"/>
                          <w:spacing w:val="-7"/>
                          <w:sz w:val="26"/>
                        </w:rPr>
                        <w:t> </w:t>
                      </w:r>
                      <w:r>
                        <w:rPr>
                          <w:rFonts w:ascii="Segoe UI Semibold" w:hAnsi="Segoe UI Semibold"/>
                          <w:b/>
                          <w:i/>
                          <w:color w:val="1A4796"/>
                          <w:sz w:val="26"/>
                        </w:rPr>
                        <w:t>qui</w:t>
                      </w:r>
                      <w:r>
                        <w:rPr>
                          <w:rFonts w:ascii="Segoe UI Semibold" w:hAnsi="Segoe UI Semibold"/>
                          <w:b/>
                          <w:i/>
                          <w:color w:val="1A4796"/>
                          <w:spacing w:val="-7"/>
                          <w:sz w:val="26"/>
                        </w:rPr>
                        <w:t> </w:t>
                      </w:r>
                      <w:r>
                        <w:rPr>
                          <w:rFonts w:ascii="Segoe UI Semibold" w:hAnsi="Segoe UI Semibold"/>
                          <w:b/>
                          <w:i/>
                          <w:color w:val="1A4796"/>
                          <w:sz w:val="26"/>
                        </w:rPr>
                        <w:t>forment</w:t>
                      </w:r>
                      <w:r>
                        <w:rPr>
                          <w:rFonts w:ascii="Segoe UI Semibold" w:hAnsi="Segoe UI Semibold"/>
                          <w:b/>
                          <w:i/>
                          <w:color w:val="1A4796"/>
                          <w:spacing w:val="-7"/>
                          <w:sz w:val="26"/>
                        </w:rPr>
                        <w:t> </w:t>
                      </w:r>
                      <w:r>
                        <w:rPr>
                          <w:rFonts w:ascii="Segoe UI Semibold" w:hAnsi="Segoe UI Semibold"/>
                          <w:b/>
                          <w:i/>
                          <w:color w:val="1A4796"/>
                          <w:sz w:val="26"/>
                        </w:rPr>
                        <w:t>ce</w:t>
                      </w:r>
                      <w:r>
                        <w:rPr>
                          <w:rFonts w:ascii="Segoe UI Semibold" w:hAnsi="Segoe UI Semibold"/>
                          <w:b/>
                          <w:i/>
                          <w:color w:val="1A4796"/>
                          <w:spacing w:val="-8"/>
                          <w:sz w:val="26"/>
                        </w:rPr>
                        <w:t> </w:t>
                      </w:r>
                      <w:r>
                        <w:rPr>
                          <w:rFonts w:ascii="Segoe UI Semibold" w:hAnsi="Segoe UI Semibold"/>
                          <w:b/>
                          <w:i/>
                          <w:color w:val="1A4796"/>
                          <w:sz w:val="26"/>
                        </w:rPr>
                        <w:t>système</w:t>
                      </w:r>
                      <w:r>
                        <w:rPr>
                          <w:rFonts w:ascii="Segoe UI Semibold" w:hAnsi="Segoe UI Semibold"/>
                          <w:b/>
                          <w:i/>
                          <w:color w:val="1A4796"/>
                          <w:spacing w:val="-8"/>
                          <w:sz w:val="26"/>
                        </w:rPr>
                        <w:t> </w:t>
                      </w:r>
                      <w:r>
                        <w:rPr>
                          <w:rFonts w:ascii="Segoe UI Semibold" w:hAnsi="Segoe UI Semibold"/>
                          <w:b/>
                          <w:i/>
                          <w:color w:val="1A4796"/>
                          <w:sz w:val="26"/>
                        </w:rPr>
                        <w:t>de</w:t>
                      </w:r>
                      <w:r>
                        <w:rPr>
                          <w:rFonts w:ascii="Segoe UI Semibold" w:hAnsi="Segoe UI Semibold"/>
                          <w:b/>
                          <w:i/>
                          <w:color w:val="1A4796"/>
                          <w:sz w:val="26"/>
                        </w:rPr>
                        <w:t> mesures coercitives unilatérales</w:t>
                      </w:r>
                      <w:r>
                        <w:rPr>
                          <w:rFonts w:ascii="Segoe UI Semibold" w:hAnsi="Segoe UI Semibold"/>
                          <w:b/>
                          <w:i/>
                          <w:color w:val="1A4796"/>
                          <w:spacing w:val="40"/>
                          <w:sz w:val="26"/>
                        </w:rPr>
                        <w:t> </w:t>
                      </w:r>
                      <w:r>
                        <w:rPr>
                          <w:rFonts w:ascii="Segoe UI Semibold" w:hAnsi="Segoe UI Semibold"/>
                          <w:b/>
                          <w:i/>
                          <w:color w:val="1A4796"/>
                          <w:sz w:val="26"/>
                        </w:rPr>
                        <w:t>et par l’inertie et l’immobilité de</w:t>
                      </w:r>
                    </w:p>
                    <w:p>
                      <w:pPr>
                        <w:spacing w:line="220" w:lineRule="auto" w:before="3"/>
                        <w:ind w:left="1474" w:right="262" w:firstLine="0"/>
                        <w:jc w:val="both"/>
                        <w:rPr>
                          <w:rFonts w:ascii="Segoe UI Semibold" w:hAnsi="Segoe UI Semibold"/>
                          <w:b/>
                          <w:i/>
                          <w:color w:val="000000"/>
                          <w:sz w:val="26"/>
                        </w:rPr>
                      </w:pPr>
                      <w:r>
                        <w:rPr>
                          <w:rFonts w:ascii="Segoe UI Semibold" w:hAnsi="Segoe UI Semibold"/>
                          <w:b/>
                          <w:i/>
                          <w:color w:val="1A4796"/>
                          <w:sz w:val="26"/>
                        </w:rPr>
                        <w:t>l’administration</w:t>
                      </w:r>
                      <w:r>
                        <w:rPr>
                          <w:rFonts w:ascii="Segoe UI Semibold" w:hAnsi="Segoe UI Semibold"/>
                          <w:b/>
                          <w:i/>
                          <w:color w:val="1A4796"/>
                          <w:spacing w:val="-11"/>
                          <w:sz w:val="26"/>
                        </w:rPr>
                        <w:t> </w:t>
                      </w:r>
                      <w:r>
                        <w:rPr>
                          <w:rFonts w:ascii="Segoe UI Semibold" w:hAnsi="Segoe UI Semibold"/>
                          <w:b/>
                          <w:i/>
                          <w:color w:val="1A4796"/>
                          <w:sz w:val="26"/>
                        </w:rPr>
                        <w:t>Biden</w:t>
                      </w:r>
                      <w:r>
                        <w:rPr>
                          <w:rFonts w:ascii="Segoe UI Semibold" w:hAnsi="Segoe UI Semibold"/>
                          <w:b/>
                          <w:i/>
                          <w:color w:val="1A4796"/>
                          <w:spacing w:val="-11"/>
                          <w:sz w:val="26"/>
                        </w:rPr>
                        <w:t> </w:t>
                      </w:r>
                      <w:r>
                        <w:rPr>
                          <w:rFonts w:ascii="Segoe UI Semibold" w:hAnsi="Segoe UI Semibold"/>
                          <w:b/>
                          <w:i/>
                          <w:color w:val="1A4796"/>
                          <w:sz w:val="26"/>
                        </w:rPr>
                        <w:t>qui</w:t>
                      </w:r>
                      <w:r>
                        <w:rPr>
                          <w:rFonts w:ascii="Segoe UI Semibold" w:hAnsi="Segoe UI Semibold"/>
                          <w:b/>
                          <w:i/>
                          <w:color w:val="1A4796"/>
                          <w:spacing w:val="-11"/>
                          <w:sz w:val="26"/>
                        </w:rPr>
                        <w:t> </w:t>
                      </w:r>
                      <w:r>
                        <w:rPr>
                          <w:rFonts w:ascii="Segoe UI Semibold" w:hAnsi="Segoe UI Semibold"/>
                          <w:b/>
                          <w:i/>
                          <w:color w:val="1A4796"/>
                          <w:sz w:val="26"/>
                        </w:rPr>
                        <w:t>ne</w:t>
                      </w:r>
                      <w:r>
                        <w:rPr>
                          <w:rFonts w:ascii="Segoe UI Semibold" w:hAnsi="Segoe UI Semibold"/>
                          <w:b/>
                          <w:i/>
                          <w:color w:val="1A4796"/>
                          <w:spacing w:val="-12"/>
                          <w:sz w:val="26"/>
                        </w:rPr>
                        <w:t> </w:t>
                      </w:r>
                      <w:r>
                        <w:rPr>
                          <w:rFonts w:ascii="Segoe UI Semibold" w:hAnsi="Segoe UI Semibold"/>
                          <w:b/>
                          <w:i/>
                          <w:color w:val="1A4796"/>
                          <w:sz w:val="26"/>
                        </w:rPr>
                        <w:t>fait</w:t>
                      </w:r>
                      <w:r>
                        <w:rPr>
                          <w:rFonts w:ascii="Segoe UI Semibold" w:hAnsi="Segoe UI Semibold"/>
                          <w:b/>
                          <w:i/>
                          <w:color w:val="1A4796"/>
                          <w:spacing w:val="-11"/>
                          <w:sz w:val="26"/>
                        </w:rPr>
                        <w:t> </w:t>
                      </w:r>
                      <w:r>
                        <w:rPr>
                          <w:rFonts w:ascii="Segoe UI Semibold" w:hAnsi="Segoe UI Semibold"/>
                          <w:b/>
                          <w:i/>
                          <w:color w:val="1A4796"/>
                          <w:sz w:val="26"/>
                        </w:rPr>
                        <w:t>rien</w:t>
                      </w:r>
                      <w:r>
                        <w:rPr>
                          <w:rFonts w:ascii="Segoe UI Semibold" w:hAnsi="Segoe UI Semibold"/>
                          <w:b/>
                          <w:i/>
                          <w:color w:val="1A4796"/>
                          <w:sz w:val="26"/>
                        </w:rPr>
                        <w:t> pour</w:t>
                      </w:r>
                      <w:r>
                        <w:rPr>
                          <w:rFonts w:ascii="Segoe UI Semibold" w:hAnsi="Segoe UI Semibold"/>
                          <w:b/>
                          <w:i/>
                          <w:color w:val="1A4796"/>
                          <w:spacing w:val="-5"/>
                          <w:sz w:val="26"/>
                        </w:rPr>
                        <w:t> </w:t>
                      </w:r>
                      <w:r>
                        <w:rPr>
                          <w:rFonts w:ascii="Segoe UI Semibold" w:hAnsi="Segoe UI Semibold"/>
                          <w:b/>
                          <w:i/>
                          <w:color w:val="1A4796"/>
                          <w:sz w:val="26"/>
                        </w:rPr>
                        <w:t>améliorer</w:t>
                      </w:r>
                      <w:r>
                        <w:rPr>
                          <w:rFonts w:ascii="Segoe UI Semibold" w:hAnsi="Segoe UI Semibold"/>
                          <w:b/>
                          <w:i/>
                          <w:color w:val="1A4796"/>
                          <w:spacing w:val="-5"/>
                          <w:sz w:val="26"/>
                        </w:rPr>
                        <w:t> </w:t>
                      </w:r>
                      <w:r>
                        <w:rPr>
                          <w:rFonts w:ascii="Segoe UI Semibold" w:hAnsi="Segoe UI Semibold"/>
                          <w:b/>
                          <w:i/>
                          <w:color w:val="1A4796"/>
                          <w:sz w:val="26"/>
                        </w:rPr>
                        <w:t>en</w:t>
                      </w:r>
                      <w:r>
                        <w:rPr>
                          <w:rFonts w:ascii="Segoe UI Semibold" w:hAnsi="Segoe UI Semibold"/>
                          <w:b/>
                          <w:i/>
                          <w:color w:val="1A4796"/>
                          <w:spacing w:val="-4"/>
                          <w:sz w:val="26"/>
                        </w:rPr>
                        <w:t> </w:t>
                      </w:r>
                      <w:r>
                        <w:rPr>
                          <w:rFonts w:ascii="Segoe UI Semibold" w:hAnsi="Segoe UI Semibold"/>
                          <w:b/>
                          <w:i/>
                          <w:color w:val="1A4796"/>
                          <w:sz w:val="26"/>
                        </w:rPr>
                        <w:t>quoi</w:t>
                      </w:r>
                      <w:r>
                        <w:rPr>
                          <w:rFonts w:ascii="Segoe UI Semibold" w:hAnsi="Segoe UI Semibold"/>
                          <w:b/>
                          <w:i/>
                          <w:color w:val="1A4796"/>
                          <w:spacing w:val="-4"/>
                          <w:sz w:val="26"/>
                        </w:rPr>
                        <w:t> </w:t>
                      </w:r>
                      <w:r>
                        <w:rPr>
                          <w:rFonts w:ascii="Segoe UI Semibold" w:hAnsi="Segoe UI Semibold"/>
                          <w:b/>
                          <w:i/>
                          <w:color w:val="1A4796"/>
                          <w:sz w:val="26"/>
                        </w:rPr>
                        <w:t>que</w:t>
                      </w:r>
                      <w:r>
                        <w:rPr>
                          <w:rFonts w:ascii="Segoe UI Semibold" w:hAnsi="Segoe UI Semibold"/>
                          <w:b/>
                          <w:i/>
                          <w:color w:val="1A4796"/>
                          <w:spacing w:val="-5"/>
                          <w:sz w:val="26"/>
                        </w:rPr>
                        <w:t> </w:t>
                      </w:r>
                      <w:r>
                        <w:rPr>
                          <w:rFonts w:ascii="Segoe UI Semibold" w:hAnsi="Segoe UI Semibold"/>
                          <w:b/>
                          <w:i/>
                          <w:color w:val="1A4796"/>
                          <w:sz w:val="26"/>
                        </w:rPr>
                        <w:t>ce</w:t>
                      </w:r>
                      <w:r>
                        <w:rPr>
                          <w:rFonts w:ascii="Segoe UI Semibold" w:hAnsi="Segoe UI Semibold"/>
                          <w:b/>
                          <w:i/>
                          <w:color w:val="1A4796"/>
                          <w:spacing w:val="-5"/>
                          <w:sz w:val="26"/>
                        </w:rPr>
                        <w:t> </w:t>
                      </w:r>
                      <w:r>
                        <w:rPr>
                          <w:rFonts w:ascii="Segoe UI Semibold" w:hAnsi="Segoe UI Semibold"/>
                          <w:b/>
                          <w:i/>
                          <w:color w:val="1A4796"/>
                          <w:sz w:val="26"/>
                        </w:rPr>
                        <w:t>soit</w:t>
                      </w:r>
                      <w:r>
                        <w:rPr>
                          <w:rFonts w:ascii="Segoe UI Semibold" w:hAnsi="Segoe UI Semibold"/>
                          <w:b/>
                          <w:i/>
                          <w:color w:val="1A4796"/>
                          <w:spacing w:val="-4"/>
                          <w:sz w:val="26"/>
                        </w:rPr>
                        <w:t> </w:t>
                      </w:r>
                      <w:r>
                        <w:rPr>
                          <w:rFonts w:ascii="Segoe UI Semibold" w:hAnsi="Segoe UI Semibold"/>
                          <w:b/>
                          <w:i/>
                          <w:color w:val="1A4796"/>
                          <w:sz w:val="26"/>
                        </w:rPr>
                        <w:t>les relations entre les deux pays.</w:t>
                      </w:r>
                    </w:p>
                  </w:txbxContent>
                </v:textbox>
                <v:fill type="solid"/>
                <w10:wrap type="none"/>
              </v:shape>
            </w:pict>
          </mc:Fallback>
        </mc:AlternateContent>
      </w:r>
      <w:r>
        <w:rPr>
          <w:i/>
          <w:color w:val="231F20"/>
        </w:rPr>
        <w:t>Plus de 80 p. 100 de la population</w:t>
      </w:r>
      <w:r>
        <w:rPr>
          <w:color w:val="231F20"/>
        </w:rPr>
        <w:t> </w:t>
      </w:r>
      <w:r>
        <w:rPr>
          <w:color w:val="231F20"/>
          <w:spacing w:val="-2"/>
        </w:rPr>
        <w:t>cubaine</w:t>
      </w:r>
      <w:r>
        <w:rPr>
          <w:color w:val="231F20"/>
          <w:spacing w:val="-12"/>
        </w:rPr>
        <w:t> </w:t>
      </w:r>
      <w:r>
        <w:rPr>
          <w:color w:val="231F20"/>
          <w:spacing w:val="-2"/>
        </w:rPr>
        <w:t>actuelle</w:t>
      </w:r>
      <w:r>
        <w:rPr>
          <w:color w:val="231F20"/>
          <w:spacing w:val="-12"/>
        </w:rPr>
        <w:t> </w:t>
      </w:r>
      <w:r>
        <w:rPr>
          <w:color w:val="231F20"/>
          <w:spacing w:val="-2"/>
        </w:rPr>
        <w:t>n’a</w:t>
      </w:r>
      <w:r>
        <w:rPr>
          <w:color w:val="231F20"/>
          <w:spacing w:val="-12"/>
        </w:rPr>
        <w:t> </w:t>
      </w:r>
      <w:r>
        <w:rPr>
          <w:color w:val="231F20"/>
          <w:spacing w:val="-2"/>
        </w:rPr>
        <w:t>connu</w:t>
      </w:r>
      <w:r>
        <w:rPr>
          <w:color w:val="231F20"/>
          <w:spacing w:val="-12"/>
        </w:rPr>
        <w:t> </w:t>
      </w:r>
      <w:r>
        <w:rPr>
          <w:color w:val="231F20"/>
          <w:spacing w:val="-2"/>
        </w:rPr>
        <w:t>son</w:t>
      </w:r>
      <w:r>
        <w:rPr>
          <w:color w:val="231F20"/>
          <w:spacing w:val="-12"/>
        </w:rPr>
        <w:t> </w:t>
      </w:r>
      <w:r>
        <w:rPr>
          <w:color w:val="231F20"/>
          <w:spacing w:val="-2"/>
        </w:rPr>
        <w:t>pays</w:t>
      </w:r>
      <w:r>
        <w:rPr>
          <w:color w:val="231F20"/>
          <w:spacing w:val="-12"/>
        </w:rPr>
        <w:t> </w:t>
      </w:r>
      <w:r>
        <w:rPr>
          <w:color w:val="231F20"/>
          <w:spacing w:val="-2"/>
        </w:rPr>
        <w:t>que </w:t>
      </w:r>
      <w:r>
        <w:rPr>
          <w:color w:val="231F20"/>
        </w:rPr>
        <w:t>sous blocus.</w:t>
      </w: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jc w:val="left"/>
        <w:rPr>
          <w:b/>
          <w:i/>
        </w:rPr>
      </w:pPr>
    </w:p>
    <w:p>
      <w:pPr>
        <w:pStyle w:val="BodyText"/>
        <w:spacing w:before="18"/>
        <w:jc w:val="left"/>
        <w:rPr>
          <w:b/>
          <w:i/>
        </w:rPr>
      </w:pPr>
    </w:p>
    <w:p>
      <w:pPr>
        <w:pStyle w:val="BodyText"/>
        <w:ind w:left="1474"/>
      </w:pPr>
      <w:r>
        <w:rPr>
          <w:color w:val="231F20"/>
          <w:spacing w:val="-10"/>
        </w:rPr>
        <w:t>Contrairement</w:t>
      </w:r>
      <w:r>
        <w:rPr>
          <w:color w:val="231F20"/>
          <w:spacing w:val="-7"/>
        </w:rPr>
        <w:t> </w:t>
      </w:r>
      <w:r>
        <w:rPr>
          <w:color w:val="231F20"/>
          <w:spacing w:val="-10"/>
        </w:rPr>
        <w:t>aux</w:t>
      </w:r>
      <w:r>
        <w:rPr>
          <w:color w:val="231F20"/>
          <w:spacing w:val="-6"/>
        </w:rPr>
        <w:t> </w:t>
      </w:r>
      <w:r>
        <w:rPr>
          <w:color w:val="231F20"/>
          <w:spacing w:val="-10"/>
        </w:rPr>
        <w:t>promesses</w:t>
      </w:r>
      <w:r>
        <w:rPr>
          <w:color w:val="231F20"/>
          <w:spacing w:val="-7"/>
        </w:rPr>
        <w:t> </w:t>
      </w:r>
      <w:r>
        <w:rPr>
          <w:color w:val="231F20"/>
          <w:spacing w:val="-10"/>
        </w:rPr>
        <w:t>électorales</w:t>
      </w:r>
      <w:r>
        <w:rPr>
          <w:color w:val="231F20"/>
          <w:spacing w:val="-6"/>
        </w:rPr>
        <w:t> </w:t>
      </w:r>
      <w:r>
        <w:rPr>
          <w:color w:val="231F20"/>
          <w:spacing w:val="-10"/>
        </w:rPr>
        <w:t>que </w:t>
      </w:r>
      <w:r>
        <w:rPr>
          <w:color w:val="231F20"/>
          <w:spacing w:val="-2"/>
        </w:rPr>
        <w:t>contenait</w:t>
      </w:r>
      <w:r>
        <w:rPr>
          <w:color w:val="231F20"/>
          <w:spacing w:val="-15"/>
        </w:rPr>
        <w:t> </w:t>
      </w:r>
      <w:r>
        <w:rPr>
          <w:color w:val="231F20"/>
          <w:spacing w:val="-2"/>
        </w:rPr>
        <w:t>la</w:t>
      </w:r>
      <w:r>
        <w:rPr>
          <w:color w:val="231F20"/>
          <w:spacing w:val="-14"/>
        </w:rPr>
        <w:t> </w:t>
      </w:r>
      <w:r>
        <w:rPr>
          <w:color w:val="231F20"/>
          <w:spacing w:val="-2"/>
        </w:rPr>
        <w:t>plateforme</w:t>
      </w:r>
      <w:r>
        <w:rPr>
          <w:color w:val="231F20"/>
          <w:spacing w:val="-15"/>
        </w:rPr>
        <w:t> </w:t>
      </w:r>
      <w:r>
        <w:rPr>
          <w:color w:val="231F20"/>
          <w:spacing w:val="-2"/>
        </w:rPr>
        <w:t>du</w:t>
      </w:r>
      <w:r>
        <w:rPr>
          <w:color w:val="231F20"/>
          <w:spacing w:val="-14"/>
        </w:rPr>
        <w:t> </w:t>
      </w:r>
      <w:r>
        <w:rPr>
          <w:color w:val="231F20"/>
          <w:spacing w:val="-2"/>
        </w:rPr>
        <w:t>Parti</w:t>
      </w:r>
      <w:r>
        <w:rPr>
          <w:color w:val="231F20"/>
          <w:spacing w:val="-15"/>
        </w:rPr>
        <w:t> </w:t>
      </w:r>
      <w:r>
        <w:rPr>
          <w:color w:val="231F20"/>
          <w:spacing w:val="-2"/>
        </w:rPr>
        <w:t>démocrate en</w:t>
      </w:r>
      <w:r>
        <w:rPr>
          <w:color w:val="231F20"/>
          <w:spacing w:val="-15"/>
        </w:rPr>
        <w:t> </w:t>
      </w:r>
      <w:r>
        <w:rPr>
          <w:color w:val="231F20"/>
          <w:spacing w:val="-2"/>
        </w:rPr>
        <w:t>2020,</w:t>
      </w:r>
      <w:r>
        <w:rPr>
          <w:color w:val="231F20"/>
          <w:spacing w:val="-14"/>
        </w:rPr>
        <w:t> </w:t>
      </w:r>
      <w:r>
        <w:rPr>
          <w:color w:val="231F20"/>
          <w:spacing w:val="-2"/>
        </w:rPr>
        <w:t>l’administration</w:t>
      </w:r>
      <w:r>
        <w:rPr>
          <w:color w:val="231F20"/>
          <w:spacing w:val="-15"/>
        </w:rPr>
        <w:t> </w:t>
      </w:r>
      <w:r>
        <w:rPr>
          <w:color w:val="231F20"/>
          <w:spacing w:val="-2"/>
        </w:rPr>
        <w:t>Biden</w:t>
      </w:r>
      <w:r>
        <w:rPr>
          <w:color w:val="231F20"/>
          <w:spacing w:val="-14"/>
        </w:rPr>
        <w:t> </w:t>
      </w:r>
      <w:r>
        <w:rPr>
          <w:color w:val="231F20"/>
          <w:spacing w:val="-2"/>
        </w:rPr>
        <w:t>s’est</w:t>
      </w:r>
      <w:r>
        <w:rPr>
          <w:color w:val="231F20"/>
          <w:spacing w:val="-15"/>
        </w:rPr>
        <w:t> </w:t>
      </w:r>
      <w:r>
        <w:rPr>
          <w:color w:val="231F20"/>
          <w:spacing w:val="-2"/>
        </w:rPr>
        <w:t>avérée </w:t>
      </w:r>
      <w:r>
        <w:rPr>
          <w:color w:val="231F20"/>
          <w:spacing w:val="-8"/>
        </w:rPr>
        <w:t>incapable</w:t>
      </w:r>
      <w:r>
        <w:rPr>
          <w:color w:val="231F20"/>
          <w:spacing w:val="-1"/>
        </w:rPr>
        <w:t> </w:t>
      </w:r>
      <w:r>
        <w:rPr>
          <w:color w:val="231F20"/>
          <w:spacing w:val="-8"/>
        </w:rPr>
        <w:t>d’articuler</w:t>
      </w:r>
      <w:r>
        <w:rPr>
          <w:color w:val="231F20"/>
          <w:spacing w:val="-1"/>
        </w:rPr>
        <w:t> </w:t>
      </w:r>
      <w:r>
        <w:rPr>
          <w:color w:val="231F20"/>
          <w:spacing w:val="-8"/>
        </w:rPr>
        <w:t>vis-à-vis</w:t>
      </w:r>
      <w:r>
        <w:rPr>
          <w:color w:val="231F20"/>
          <w:spacing w:val="-1"/>
        </w:rPr>
        <w:t> </w:t>
      </w:r>
      <w:r>
        <w:rPr>
          <w:color w:val="231F20"/>
          <w:spacing w:val="-8"/>
        </w:rPr>
        <w:t>une</w:t>
      </w:r>
      <w:r>
        <w:rPr>
          <w:color w:val="231F20"/>
          <w:spacing w:val="-1"/>
        </w:rPr>
        <w:t> </w:t>
      </w:r>
      <w:r>
        <w:rPr>
          <w:color w:val="231F20"/>
          <w:spacing w:val="-8"/>
        </w:rPr>
        <w:t>politique</w:t>
      </w:r>
      <w:r>
        <w:rPr>
          <w:color w:val="231F20"/>
          <w:spacing w:val="-1"/>
        </w:rPr>
        <w:t> </w:t>
      </w:r>
      <w:r>
        <w:rPr>
          <w:color w:val="231F20"/>
          <w:spacing w:val="-10"/>
        </w:rPr>
        <w:t>à</w:t>
      </w:r>
    </w:p>
    <w:p>
      <w:pPr>
        <w:pStyle w:val="BodyText"/>
        <w:spacing w:before="100"/>
        <w:ind w:left="412" w:right="1131"/>
      </w:pPr>
      <w:r>
        <w:rPr/>
        <w:br w:type="column"/>
      </w:r>
      <w:r>
        <w:rPr>
          <w:color w:val="231F20"/>
          <w:spacing w:val="-2"/>
        </w:rPr>
        <w:t>soi,</w:t>
      </w:r>
      <w:r>
        <w:rPr>
          <w:color w:val="231F20"/>
          <w:spacing w:val="-15"/>
        </w:rPr>
        <w:t> </w:t>
      </w:r>
      <w:r>
        <w:rPr>
          <w:color w:val="231F20"/>
          <w:spacing w:val="-2"/>
        </w:rPr>
        <w:t>puisqu’elle</w:t>
      </w:r>
      <w:r>
        <w:rPr>
          <w:color w:val="231F20"/>
          <w:spacing w:val="-14"/>
        </w:rPr>
        <w:t> </w:t>
      </w:r>
      <w:r>
        <w:rPr>
          <w:color w:val="231F20"/>
          <w:spacing w:val="-2"/>
        </w:rPr>
        <w:t>a</w:t>
      </w:r>
      <w:r>
        <w:rPr>
          <w:color w:val="231F20"/>
          <w:spacing w:val="-15"/>
        </w:rPr>
        <w:t> </w:t>
      </w:r>
      <w:r>
        <w:rPr>
          <w:color w:val="231F20"/>
          <w:spacing w:val="-2"/>
        </w:rPr>
        <w:t>maintenu</w:t>
      </w:r>
      <w:r>
        <w:rPr>
          <w:color w:val="231F20"/>
          <w:spacing w:val="-14"/>
        </w:rPr>
        <w:t> </w:t>
      </w:r>
      <w:r>
        <w:rPr>
          <w:color w:val="231F20"/>
          <w:spacing w:val="-2"/>
        </w:rPr>
        <w:t>dans</w:t>
      </w:r>
      <w:r>
        <w:rPr>
          <w:color w:val="231F20"/>
          <w:spacing w:val="-15"/>
        </w:rPr>
        <w:t> </w:t>
      </w:r>
      <w:r>
        <w:rPr>
          <w:color w:val="231F20"/>
          <w:spacing w:val="-2"/>
        </w:rPr>
        <w:t>la</w:t>
      </w:r>
      <w:r>
        <w:rPr>
          <w:color w:val="231F20"/>
          <w:spacing w:val="-14"/>
        </w:rPr>
        <w:t> </w:t>
      </w:r>
      <w:r>
        <w:rPr>
          <w:color w:val="231F20"/>
          <w:spacing w:val="-2"/>
        </w:rPr>
        <w:t>pratique les</w:t>
      </w:r>
      <w:r>
        <w:rPr>
          <w:color w:val="231F20"/>
          <w:spacing w:val="-15"/>
        </w:rPr>
        <w:t> </w:t>
      </w:r>
      <w:r>
        <w:rPr>
          <w:color w:val="231F20"/>
          <w:spacing w:val="-2"/>
        </w:rPr>
        <w:t>actions</w:t>
      </w:r>
      <w:r>
        <w:rPr>
          <w:color w:val="231F20"/>
          <w:spacing w:val="-14"/>
        </w:rPr>
        <w:t> </w:t>
      </w:r>
      <w:r>
        <w:rPr>
          <w:color w:val="231F20"/>
          <w:spacing w:val="-2"/>
        </w:rPr>
        <w:t>de</w:t>
      </w:r>
      <w:r>
        <w:rPr>
          <w:color w:val="231F20"/>
          <w:spacing w:val="-15"/>
        </w:rPr>
        <w:t> </w:t>
      </w:r>
      <w:r>
        <w:rPr>
          <w:color w:val="231F20"/>
          <w:spacing w:val="-2"/>
        </w:rPr>
        <w:t>pire</w:t>
      </w:r>
      <w:r>
        <w:rPr>
          <w:color w:val="231F20"/>
          <w:spacing w:val="-14"/>
        </w:rPr>
        <w:t> </w:t>
      </w:r>
      <w:r>
        <w:rPr>
          <w:color w:val="231F20"/>
          <w:spacing w:val="-2"/>
        </w:rPr>
        <w:t>hostilité</w:t>
      </w:r>
      <w:r>
        <w:rPr>
          <w:color w:val="231F20"/>
          <w:spacing w:val="-15"/>
        </w:rPr>
        <w:t> </w:t>
      </w:r>
      <w:r>
        <w:rPr>
          <w:color w:val="231F20"/>
          <w:spacing w:val="-2"/>
        </w:rPr>
        <w:t>contre</w:t>
      </w:r>
      <w:r>
        <w:rPr>
          <w:color w:val="231F20"/>
          <w:spacing w:val="-14"/>
        </w:rPr>
        <w:t> </w:t>
      </w:r>
      <w:r>
        <w:rPr>
          <w:color w:val="231F20"/>
          <w:spacing w:val="-2"/>
        </w:rPr>
        <w:t>Cuba</w:t>
      </w:r>
      <w:r>
        <w:rPr>
          <w:color w:val="231F20"/>
          <w:spacing w:val="-15"/>
        </w:rPr>
        <w:t> </w:t>
      </w:r>
      <w:r>
        <w:rPr>
          <w:color w:val="231F20"/>
          <w:spacing w:val="-2"/>
        </w:rPr>
        <w:t>qui </w:t>
      </w:r>
      <w:r>
        <w:rPr>
          <w:color w:val="231F20"/>
          <w:spacing w:val="-6"/>
        </w:rPr>
        <w:t>continuent</w:t>
      </w:r>
      <w:r>
        <w:rPr>
          <w:color w:val="231F20"/>
          <w:spacing w:val="-11"/>
        </w:rPr>
        <w:t> </w:t>
      </w:r>
      <w:r>
        <w:rPr>
          <w:color w:val="231F20"/>
          <w:spacing w:val="-6"/>
        </w:rPr>
        <w:t>de</w:t>
      </w:r>
      <w:r>
        <w:rPr>
          <w:color w:val="231F20"/>
          <w:spacing w:val="-10"/>
        </w:rPr>
        <w:t> </w:t>
      </w:r>
      <w:r>
        <w:rPr>
          <w:color w:val="231F20"/>
          <w:spacing w:val="-6"/>
        </w:rPr>
        <w:t>causer</w:t>
      </w:r>
      <w:r>
        <w:rPr>
          <w:color w:val="231F20"/>
          <w:spacing w:val="-11"/>
        </w:rPr>
        <w:t> </w:t>
      </w:r>
      <w:r>
        <w:rPr>
          <w:color w:val="231F20"/>
          <w:spacing w:val="-6"/>
        </w:rPr>
        <w:t>de</w:t>
      </w:r>
      <w:r>
        <w:rPr>
          <w:color w:val="231F20"/>
          <w:spacing w:val="-10"/>
        </w:rPr>
        <w:t> </w:t>
      </w:r>
      <w:r>
        <w:rPr>
          <w:color w:val="231F20"/>
          <w:spacing w:val="-6"/>
        </w:rPr>
        <w:t>sérieux</w:t>
      </w:r>
      <w:r>
        <w:rPr>
          <w:color w:val="231F20"/>
          <w:spacing w:val="-11"/>
        </w:rPr>
        <w:t> </w:t>
      </w:r>
      <w:r>
        <w:rPr>
          <w:color w:val="231F20"/>
          <w:spacing w:val="-6"/>
        </w:rPr>
        <w:t>préjudices</w:t>
      </w:r>
      <w:r>
        <w:rPr>
          <w:color w:val="231F20"/>
          <w:spacing w:val="-10"/>
        </w:rPr>
        <w:t> </w:t>
      </w:r>
      <w:r>
        <w:rPr>
          <w:color w:val="231F20"/>
          <w:spacing w:val="-6"/>
        </w:rPr>
        <w:t>à </w:t>
      </w:r>
      <w:r>
        <w:rPr>
          <w:color w:val="231F20"/>
        </w:rPr>
        <w:t>sa</w:t>
      </w:r>
      <w:r>
        <w:rPr>
          <w:color w:val="231F20"/>
          <w:spacing w:val="-17"/>
        </w:rPr>
        <w:t> </w:t>
      </w:r>
      <w:r>
        <w:rPr>
          <w:color w:val="231F20"/>
        </w:rPr>
        <w:t>population</w:t>
      </w:r>
      <w:r>
        <w:rPr>
          <w:color w:val="231F20"/>
          <w:spacing w:val="-16"/>
        </w:rPr>
        <w:t> </w:t>
      </w:r>
      <w:r>
        <w:rPr>
          <w:color w:val="231F20"/>
        </w:rPr>
        <w:t>tout</w:t>
      </w:r>
      <w:r>
        <w:rPr>
          <w:color w:val="231F20"/>
          <w:spacing w:val="-17"/>
        </w:rPr>
        <w:t> </w:t>
      </w:r>
      <w:r>
        <w:rPr>
          <w:color w:val="231F20"/>
        </w:rPr>
        <w:t>entière.</w:t>
      </w:r>
    </w:p>
    <w:p>
      <w:pPr>
        <w:pStyle w:val="BodyText"/>
        <w:spacing w:before="163"/>
        <w:ind w:left="412" w:right="1142"/>
      </w:pPr>
      <w:r>
        <w:rPr>
          <w:color w:val="231F20"/>
          <w:spacing w:val="-4"/>
        </w:rPr>
        <w:t>La</w:t>
      </w:r>
      <w:r>
        <w:rPr>
          <w:color w:val="231F20"/>
          <w:spacing w:val="-10"/>
        </w:rPr>
        <w:t> </w:t>
      </w:r>
      <w:r>
        <w:rPr>
          <w:color w:val="231F20"/>
          <w:spacing w:val="-4"/>
        </w:rPr>
        <w:t>possibilité</w:t>
      </w:r>
      <w:r>
        <w:rPr>
          <w:color w:val="231F20"/>
          <w:spacing w:val="-10"/>
        </w:rPr>
        <w:t> </w:t>
      </w:r>
      <w:r>
        <w:rPr>
          <w:color w:val="231F20"/>
          <w:spacing w:val="-4"/>
        </w:rPr>
        <w:t>qu’offre</w:t>
      </w:r>
      <w:r>
        <w:rPr>
          <w:color w:val="231F20"/>
          <w:spacing w:val="-10"/>
        </w:rPr>
        <w:t> </w:t>
      </w:r>
      <w:r>
        <w:rPr>
          <w:color w:val="231F20"/>
          <w:spacing w:val="-4"/>
        </w:rPr>
        <w:t>la</w:t>
      </w:r>
      <w:r>
        <w:rPr>
          <w:color w:val="231F20"/>
          <w:spacing w:val="-10"/>
        </w:rPr>
        <w:t> </w:t>
      </w:r>
      <w:r>
        <w:rPr>
          <w:color w:val="231F20"/>
          <w:spacing w:val="-4"/>
        </w:rPr>
        <w:t>mise</w:t>
      </w:r>
      <w:r>
        <w:rPr>
          <w:color w:val="231F20"/>
          <w:spacing w:val="-10"/>
        </w:rPr>
        <w:t> </w:t>
      </w:r>
      <w:r>
        <w:rPr>
          <w:color w:val="231F20"/>
          <w:spacing w:val="-4"/>
        </w:rPr>
        <w:t>en</w:t>
      </w:r>
      <w:r>
        <w:rPr>
          <w:color w:val="231F20"/>
          <w:spacing w:val="-10"/>
        </w:rPr>
        <w:t> </w:t>
      </w:r>
      <w:r>
        <w:rPr>
          <w:color w:val="231F20"/>
          <w:spacing w:val="-4"/>
        </w:rPr>
        <w:t>vigueur</w:t>
      </w:r>
      <w:r>
        <w:rPr>
          <w:color w:val="231F20"/>
          <w:spacing w:val="-10"/>
        </w:rPr>
        <w:t> </w:t>
      </w:r>
      <w:r>
        <w:rPr>
          <w:color w:val="231F20"/>
          <w:spacing w:val="-4"/>
        </w:rPr>
        <w:t>du </w:t>
      </w:r>
      <w:r>
        <w:rPr>
          <w:color w:val="231F20"/>
          <w:spacing w:val="-16"/>
        </w:rPr>
        <w:t>Titre</w:t>
      </w:r>
      <w:r>
        <w:rPr>
          <w:color w:val="231F20"/>
          <w:spacing w:val="-1"/>
        </w:rPr>
        <w:t> </w:t>
      </w:r>
      <w:r>
        <w:rPr>
          <w:color w:val="231F20"/>
          <w:spacing w:val="-16"/>
        </w:rPr>
        <w:t>III</w:t>
      </w:r>
      <w:r>
        <w:rPr>
          <w:color w:val="231F20"/>
        </w:rPr>
        <w:t> </w:t>
      </w:r>
      <w:r>
        <w:rPr>
          <w:color w:val="231F20"/>
          <w:spacing w:val="-16"/>
        </w:rPr>
        <w:t>de</w:t>
      </w:r>
      <w:r>
        <w:rPr>
          <w:color w:val="231F20"/>
          <w:spacing w:val="-1"/>
        </w:rPr>
        <w:t> </w:t>
      </w:r>
      <w:r>
        <w:rPr>
          <w:color w:val="231F20"/>
          <w:spacing w:val="-16"/>
        </w:rPr>
        <w:t>la</w:t>
      </w:r>
      <w:r>
        <w:rPr>
          <w:color w:val="231F20"/>
        </w:rPr>
        <w:t> </w:t>
      </w:r>
      <w:r>
        <w:rPr>
          <w:color w:val="231F20"/>
          <w:spacing w:val="-16"/>
        </w:rPr>
        <w:t>Loi</w:t>
      </w:r>
      <w:r>
        <w:rPr>
          <w:color w:val="231F20"/>
          <w:spacing w:val="-1"/>
        </w:rPr>
        <w:t> </w:t>
      </w:r>
      <w:r>
        <w:rPr>
          <w:color w:val="231F20"/>
          <w:spacing w:val="-16"/>
        </w:rPr>
        <w:t>Helms-Burton</w:t>
      </w:r>
      <w:r>
        <w:rPr>
          <w:color w:val="231F20"/>
        </w:rPr>
        <w:t> </w:t>
      </w:r>
      <w:r>
        <w:rPr>
          <w:color w:val="231F20"/>
          <w:spacing w:val="-16"/>
        </w:rPr>
        <w:t>de</w:t>
      </w:r>
      <w:r>
        <w:rPr>
          <w:color w:val="231F20"/>
          <w:spacing w:val="-1"/>
        </w:rPr>
        <w:t> </w:t>
      </w:r>
      <w:r>
        <w:rPr>
          <w:color w:val="231F20"/>
          <w:spacing w:val="-16"/>
        </w:rPr>
        <w:t>présenter</w:t>
      </w:r>
      <w:r>
        <w:rPr>
          <w:color w:val="231F20"/>
        </w:rPr>
        <w:t> </w:t>
      </w:r>
      <w:r>
        <w:rPr>
          <w:color w:val="231F20"/>
          <w:spacing w:val="-16"/>
        </w:rPr>
        <w:t>des </w:t>
      </w:r>
      <w:r>
        <w:rPr>
          <w:color w:val="231F20"/>
          <w:spacing w:val="-6"/>
        </w:rPr>
        <w:t>poursuites</w:t>
      </w:r>
      <w:r>
        <w:rPr>
          <w:color w:val="231F20"/>
          <w:spacing w:val="-7"/>
        </w:rPr>
        <w:t> </w:t>
      </w:r>
      <w:r>
        <w:rPr>
          <w:color w:val="231F20"/>
          <w:spacing w:val="-6"/>
        </w:rPr>
        <w:t>devant</w:t>
      </w:r>
      <w:r>
        <w:rPr>
          <w:color w:val="231F20"/>
          <w:spacing w:val="-7"/>
        </w:rPr>
        <w:t> </w:t>
      </w:r>
      <w:r>
        <w:rPr>
          <w:color w:val="231F20"/>
          <w:spacing w:val="-6"/>
        </w:rPr>
        <w:t>des</w:t>
      </w:r>
      <w:r>
        <w:rPr>
          <w:color w:val="231F20"/>
          <w:spacing w:val="-7"/>
        </w:rPr>
        <w:t> </w:t>
      </w:r>
      <w:r>
        <w:rPr>
          <w:color w:val="231F20"/>
          <w:spacing w:val="-6"/>
        </w:rPr>
        <w:t>tribunaux</w:t>
      </w:r>
      <w:r>
        <w:rPr>
          <w:color w:val="231F20"/>
          <w:spacing w:val="-7"/>
        </w:rPr>
        <w:t> </w:t>
      </w:r>
      <w:r>
        <w:rPr>
          <w:color w:val="231F20"/>
          <w:spacing w:val="-6"/>
        </w:rPr>
        <w:t>étasuniens, </w:t>
      </w:r>
      <w:r>
        <w:rPr>
          <w:color w:val="231F20"/>
        </w:rPr>
        <w:t>le maintien de Cuba sur la liste arbitraire que</w:t>
      </w:r>
      <w:r>
        <w:rPr>
          <w:color w:val="231F20"/>
          <w:spacing w:val="-3"/>
        </w:rPr>
        <w:t> </w:t>
      </w:r>
      <w:r>
        <w:rPr>
          <w:color w:val="231F20"/>
        </w:rPr>
        <w:t>dresse</w:t>
      </w:r>
      <w:r>
        <w:rPr>
          <w:color w:val="231F20"/>
          <w:spacing w:val="-3"/>
        </w:rPr>
        <w:t> </w:t>
      </w:r>
      <w:r>
        <w:rPr>
          <w:color w:val="231F20"/>
        </w:rPr>
        <w:t>le</w:t>
      </w:r>
      <w:r>
        <w:rPr>
          <w:color w:val="231F20"/>
          <w:spacing w:val="-3"/>
        </w:rPr>
        <w:t> </w:t>
      </w:r>
      <w:r>
        <w:rPr>
          <w:color w:val="231F20"/>
        </w:rPr>
        <w:t>département</w:t>
      </w:r>
      <w:r>
        <w:rPr>
          <w:color w:val="231F20"/>
          <w:spacing w:val="-3"/>
        </w:rPr>
        <w:t> </w:t>
      </w:r>
      <w:r>
        <w:rPr>
          <w:color w:val="231F20"/>
        </w:rPr>
        <w:t>d’État</w:t>
      </w:r>
      <w:r>
        <w:rPr>
          <w:color w:val="231F20"/>
          <w:spacing w:val="-3"/>
        </w:rPr>
        <w:t> </w:t>
      </w:r>
      <w:r>
        <w:rPr>
          <w:color w:val="231F20"/>
        </w:rPr>
        <w:t>au</w:t>
      </w:r>
      <w:r>
        <w:rPr>
          <w:color w:val="231F20"/>
          <w:spacing w:val="-3"/>
        </w:rPr>
        <w:t> </w:t>
      </w:r>
      <w:r>
        <w:rPr>
          <w:color w:val="231F20"/>
        </w:rPr>
        <w:t>sujet des États censément commanditaires de </w:t>
      </w:r>
      <w:r>
        <w:rPr>
          <w:color w:val="231F20"/>
          <w:spacing w:val="-8"/>
        </w:rPr>
        <w:t>terrorisme</w:t>
      </w:r>
      <w:r>
        <w:rPr>
          <w:color w:val="231F20"/>
          <w:spacing w:val="-9"/>
        </w:rPr>
        <w:t> </w:t>
      </w:r>
      <w:r>
        <w:rPr>
          <w:color w:val="231F20"/>
          <w:spacing w:val="-8"/>
        </w:rPr>
        <w:t>international, la</w:t>
      </w:r>
      <w:r>
        <w:rPr>
          <w:color w:val="231F20"/>
          <w:spacing w:val="-9"/>
        </w:rPr>
        <w:t> </w:t>
      </w:r>
      <w:r>
        <w:rPr>
          <w:color w:val="231F20"/>
          <w:spacing w:val="-8"/>
        </w:rPr>
        <w:t>traque continuelle des</w:t>
      </w:r>
      <w:r>
        <w:rPr>
          <w:color w:val="231F20"/>
          <w:spacing w:val="-8"/>
        </w:rPr>
        <w:t> transactions</w:t>
      </w:r>
      <w:r>
        <w:rPr>
          <w:color w:val="231F20"/>
          <w:spacing w:val="-8"/>
        </w:rPr>
        <w:t> financières</w:t>
      </w:r>
      <w:r>
        <w:rPr>
          <w:color w:val="231F20"/>
          <w:spacing w:val="-8"/>
        </w:rPr>
        <w:t> et</w:t>
      </w:r>
      <w:r>
        <w:rPr>
          <w:color w:val="231F20"/>
          <w:spacing w:val="-8"/>
        </w:rPr>
        <w:t> commerciales </w:t>
      </w:r>
      <w:r>
        <w:rPr>
          <w:color w:val="231F20"/>
          <w:spacing w:val="-12"/>
        </w:rPr>
        <w:t>de</w:t>
      </w:r>
      <w:r>
        <w:rPr>
          <w:color w:val="231F20"/>
          <w:spacing w:val="-4"/>
        </w:rPr>
        <w:t> </w:t>
      </w:r>
      <w:r>
        <w:rPr>
          <w:color w:val="231F20"/>
          <w:spacing w:val="-12"/>
        </w:rPr>
        <w:t>notre</w:t>
      </w:r>
      <w:r>
        <w:rPr>
          <w:color w:val="231F20"/>
          <w:spacing w:val="-4"/>
        </w:rPr>
        <w:t> </w:t>
      </w:r>
      <w:r>
        <w:rPr>
          <w:color w:val="231F20"/>
          <w:spacing w:val="-12"/>
        </w:rPr>
        <w:t>pays,</w:t>
      </w:r>
      <w:r>
        <w:rPr>
          <w:color w:val="231F20"/>
          <w:spacing w:val="-4"/>
        </w:rPr>
        <w:t> </w:t>
      </w:r>
      <w:r>
        <w:rPr>
          <w:color w:val="231F20"/>
          <w:spacing w:val="-12"/>
        </w:rPr>
        <w:t>le</w:t>
      </w:r>
      <w:r>
        <w:rPr>
          <w:color w:val="231F20"/>
          <w:spacing w:val="-4"/>
        </w:rPr>
        <w:t> </w:t>
      </w:r>
      <w:r>
        <w:rPr>
          <w:color w:val="231F20"/>
          <w:spacing w:val="-12"/>
        </w:rPr>
        <w:t>refus</w:t>
      </w:r>
      <w:r>
        <w:rPr>
          <w:color w:val="231F20"/>
          <w:spacing w:val="-4"/>
        </w:rPr>
        <w:t> </w:t>
      </w:r>
      <w:r>
        <w:rPr>
          <w:color w:val="231F20"/>
          <w:spacing w:val="-12"/>
        </w:rPr>
        <w:t>de</w:t>
      </w:r>
      <w:r>
        <w:rPr>
          <w:color w:val="231F20"/>
          <w:spacing w:val="-4"/>
        </w:rPr>
        <w:t> </w:t>
      </w:r>
      <w:r>
        <w:rPr>
          <w:color w:val="231F20"/>
          <w:spacing w:val="-12"/>
        </w:rPr>
        <w:t>délivrer</w:t>
      </w:r>
      <w:r>
        <w:rPr>
          <w:color w:val="231F20"/>
          <w:spacing w:val="-4"/>
        </w:rPr>
        <w:t> </w:t>
      </w:r>
      <w:r>
        <w:rPr>
          <w:color w:val="231F20"/>
          <w:spacing w:val="-12"/>
        </w:rPr>
        <w:t>à</w:t>
      </w:r>
      <w:r>
        <w:rPr>
          <w:color w:val="231F20"/>
          <w:spacing w:val="-4"/>
        </w:rPr>
        <w:t> </w:t>
      </w:r>
      <w:r>
        <w:rPr>
          <w:color w:val="231F20"/>
          <w:spacing w:val="-12"/>
        </w:rPr>
        <w:t>La</w:t>
      </w:r>
      <w:r>
        <w:rPr>
          <w:color w:val="231F20"/>
          <w:spacing w:val="-4"/>
        </w:rPr>
        <w:t> </w:t>
      </w:r>
      <w:r>
        <w:rPr>
          <w:color w:val="231F20"/>
          <w:spacing w:val="-12"/>
        </w:rPr>
        <w:t>Havane </w:t>
      </w:r>
      <w:r>
        <w:rPr>
          <w:color w:val="231F20"/>
          <w:spacing w:val="-6"/>
        </w:rPr>
        <w:t>des</w:t>
      </w:r>
      <w:r>
        <w:rPr>
          <w:color w:val="231F20"/>
          <w:spacing w:val="-6"/>
        </w:rPr>
        <w:t> visas</w:t>
      </w:r>
      <w:r>
        <w:rPr>
          <w:color w:val="231F20"/>
          <w:spacing w:val="-6"/>
        </w:rPr>
        <w:t> de</w:t>
      </w:r>
      <w:r>
        <w:rPr>
          <w:color w:val="231F20"/>
          <w:spacing w:val="-6"/>
        </w:rPr>
        <w:t> non-immigration,</w:t>
      </w:r>
      <w:r>
        <w:rPr>
          <w:color w:val="231F20"/>
          <w:spacing w:val="-6"/>
        </w:rPr>
        <w:t> l’intimidation </w:t>
      </w:r>
      <w:r>
        <w:rPr>
          <w:color w:val="231F20"/>
          <w:spacing w:val="-16"/>
        </w:rPr>
        <w:t>exercée</w:t>
      </w:r>
      <w:r>
        <w:rPr>
          <w:color w:val="231F20"/>
        </w:rPr>
        <w:t> </w:t>
      </w:r>
      <w:r>
        <w:rPr>
          <w:color w:val="231F20"/>
          <w:spacing w:val="-16"/>
        </w:rPr>
        <w:t>contre</w:t>
      </w:r>
      <w:r>
        <w:rPr>
          <w:color w:val="231F20"/>
        </w:rPr>
        <w:t> </w:t>
      </w:r>
      <w:r>
        <w:rPr>
          <w:color w:val="231F20"/>
          <w:spacing w:val="-16"/>
        </w:rPr>
        <w:t>des</w:t>
      </w:r>
      <w:r>
        <w:rPr>
          <w:color w:val="231F20"/>
        </w:rPr>
        <w:t> </w:t>
      </w:r>
      <w:r>
        <w:rPr>
          <w:color w:val="231F20"/>
          <w:spacing w:val="-16"/>
        </w:rPr>
        <w:t>entreprises</w:t>
      </w:r>
      <w:r>
        <w:rPr>
          <w:color w:val="231F20"/>
        </w:rPr>
        <w:t> </w:t>
      </w:r>
      <w:r>
        <w:rPr>
          <w:color w:val="231F20"/>
          <w:spacing w:val="-16"/>
        </w:rPr>
        <w:t>qui</w:t>
      </w:r>
      <w:r>
        <w:rPr>
          <w:color w:val="231F20"/>
        </w:rPr>
        <w:t> </w:t>
      </w:r>
      <w:r>
        <w:rPr>
          <w:color w:val="231F20"/>
          <w:spacing w:val="-16"/>
        </w:rPr>
        <w:t>délivrent</w:t>
      </w:r>
      <w:r>
        <w:rPr>
          <w:color w:val="231F20"/>
        </w:rPr>
        <w:t> </w:t>
      </w:r>
      <w:r>
        <w:rPr>
          <w:color w:val="231F20"/>
          <w:spacing w:val="-16"/>
        </w:rPr>
        <w:t>des combustibles</w:t>
      </w:r>
      <w:r>
        <w:rPr>
          <w:color w:val="231F20"/>
          <w:spacing w:val="-1"/>
        </w:rPr>
        <w:t> </w:t>
      </w:r>
      <w:r>
        <w:rPr>
          <w:color w:val="231F20"/>
          <w:spacing w:val="-16"/>
        </w:rPr>
        <w:t>à</w:t>
      </w:r>
      <w:r>
        <w:rPr>
          <w:color w:val="231F20"/>
        </w:rPr>
        <w:t> </w:t>
      </w:r>
      <w:r>
        <w:rPr>
          <w:color w:val="231F20"/>
          <w:spacing w:val="-16"/>
        </w:rPr>
        <w:t>Cuba,</w:t>
      </w:r>
      <w:r>
        <w:rPr>
          <w:color w:val="231F20"/>
          <w:spacing w:val="-1"/>
        </w:rPr>
        <w:t> </w:t>
      </w:r>
      <w:r>
        <w:rPr>
          <w:color w:val="231F20"/>
          <w:spacing w:val="-16"/>
        </w:rPr>
        <w:t>les</w:t>
      </w:r>
      <w:r>
        <w:rPr>
          <w:color w:val="231F20"/>
        </w:rPr>
        <w:t> </w:t>
      </w:r>
      <w:r>
        <w:rPr>
          <w:color w:val="231F20"/>
          <w:spacing w:val="-16"/>
        </w:rPr>
        <w:t>efforts</w:t>
      </w:r>
      <w:r>
        <w:rPr>
          <w:color w:val="231F20"/>
          <w:spacing w:val="-1"/>
        </w:rPr>
        <w:t> </w:t>
      </w:r>
      <w:r>
        <w:rPr>
          <w:color w:val="231F20"/>
          <w:spacing w:val="-16"/>
        </w:rPr>
        <w:t>pour</w:t>
      </w:r>
      <w:r>
        <w:rPr>
          <w:color w:val="231F20"/>
        </w:rPr>
        <w:t> </w:t>
      </w:r>
      <w:r>
        <w:rPr>
          <w:color w:val="231F20"/>
          <w:spacing w:val="-16"/>
        </w:rPr>
        <w:t>empêcher </w:t>
      </w:r>
      <w:r>
        <w:rPr>
          <w:color w:val="231F20"/>
          <w:spacing w:val="-4"/>
        </w:rPr>
        <w:t>la</w:t>
      </w:r>
      <w:r>
        <w:rPr>
          <w:color w:val="231F20"/>
          <w:spacing w:val="-13"/>
        </w:rPr>
        <w:t> </w:t>
      </w:r>
      <w:r>
        <w:rPr>
          <w:color w:val="231F20"/>
          <w:spacing w:val="-4"/>
        </w:rPr>
        <w:t>récupération</w:t>
      </w:r>
      <w:r>
        <w:rPr>
          <w:color w:val="231F20"/>
          <w:spacing w:val="-12"/>
        </w:rPr>
        <w:t> </w:t>
      </w:r>
      <w:r>
        <w:rPr>
          <w:color w:val="231F20"/>
          <w:spacing w:val="-4"/>
        </w:rPr>
        <w:t>du</w:t>
      </w:r>
      <w:r>
        <w:rPr>
          <w:color w:val="231F20"/>
          <w:spacing w:val="-13"/>
        </w:rPr>
        <w:t> </w:t>
      </w:r>
      <w:r>
        <w:rPr>
          <w:color w:val="231F20"/>
          <w:spacing w:val="-4"/>
        </w:rPr>
        <w:t>secteur</w:t>
      </w:r>
      <w:r>
        <w:rPr>
          <w:color w:val="231F20"/>
          <w:spacing w:val="-12"/>
        </w:rPr>
        <w:t> </w:t>
      </w:r>
      <w:r>
        <w:rPr>
          <w:color w:val="231F20"/>
          <w:spacing w:val="-4"/>
        </w:rPr>
        <w:t>touristique</w:t>
      </w:r>
      <w:r>
        <w:rPr>
          <w:color w:val="231F20"/>
          <w:spacing w:val="-13"/>
        </w:rPr>
        <w:t> </w:t>
      </w:r>
      <w:r>
        <w:rPr>
          <w:color w:val="231F20"/>
          <w:spacing w:val="-4"/>
        </w:rPr>
        <w:t>après </w:t>
      </w:r>
      <w:r>
        <w:rPr>
          <w:color w:val="231F20"/>
          <w:spacing w:val="-6"/>
        </w:rPr>
        <w:t>la</w:t>
      </w:r>
      <w:r>
        <w:rPr>
          <w:color w:val="231F20"/>
          <w:spacing w:val="-11"/>
        </w:rPr>
        <w:t> </w:t>
      </w:r>
      <w:r>
        <w:rPr>
          <w:color w:val="231F20"/>
          <w:spacing w:val="-6"/>
        </w:rPr>
        <w:t>pandémie</w:t>
      </w:r>
      <w:r>
        <w:rPr>
          <w:color w:val="231F20"/>
          <w:spacing w:val="-10"/>
        </w:rPr>
        <w:t> </w:t>
      </w:r>
      <w:r>
        <w:rPr>
          <w:color w:val="231F20"/>
          <w:spacing w:val="-6"/>
        </w:rPr>
        <w:t>de</w:t>
      </w:r>
      <w:r>
        <w:rPr>
          <w:color w:val="231F20"/>
          <w:spacing w:val="-11"/>
        </w:rPr>
        <w:t> </w:t>
      </w:r>
      <w:r>
        <w:rPr>
          <w:color w:val="231F20"/>
          <w:spacing w:val="-6"/>
        </w:rPr>
        <w:t>Covid-19</w:t>
      </w:r>
      <w:r>
        <w:rPr>
          <w:color w:val="231F20"/>
          <w:spacing w:val="-10"/>
        </w:rPr>
        <w:t> </w:t>
      </w:r>
      <w:r>
        <w:rPr>
          <w:color w:val="231F20"/>
          <w:spacing w:val="-6"/>
        </w:rPr>
        <w:t>et</w:t>
      </w:r>
      <w:r>
        <w:rPr>
          <w:color w:val="231F20"/>
          <w:spacing w:val="-11"/>
        </w:rPr>
        <w:t> </w:t>
      </w:r>
      <w:r>
        <w:rPr>
          <w:color w:val="231F20"/>
          <w:spacing w:val="-6"/>
        </w:rPr>
        <w:t>la</w:t>
      </w:r>
      <w:r>
        <w:rPr>
          <w:color w:val="231F20"/>
          <w:spacing w:val="-10"/>
        </w:rPr>
        <w:t> </w:t>
      </w:r>
      <w:r>
        <w:rPr>
          <w:color w:val="231F20"/>
          <w:spacing w:val="-6"/>
        </w:rPr>
        <w:t>campagne</w:t>
      </w:r>
      <w:r>
        <w:rPr>
          <w:color w:val="231F20"/>
          <w:spacing w:val="-11"/>
        </w:rPr>
        <w:t> </w:t>
      </w:r>
      <w:r>
        <w:rPr>
          <w:color w:val="231F20"/>
          <w:spacing w:val="-6"/>
        </w:rPr>
        <w:t>de </w:t>
      </w:r>
      <w:r>
        <w:rPr>
          <w:color w:val="231F20"/>
          <w:spacing w:val="-14"/>
        </w:rPr>
        <w:t>discrédit</w:t>
      </w:r>
      <w:r>
        <w:rPr>
          <w:color w:val="231F20"/>
        </w:rPr>
        <w:t> </w:t>
      </w:r>
      <w:r>
        <w:rPr>
          <w:color w:val="231F20"/>
          <w:spacing w:val="-14"/>
        </w:rPr>
        <w:t>orchestrée</w:t>
      </w:r>
      <w:r>
        <w:rPr>
          <w:color w:val="231F20"/>
        </w:rPr>
        <w:t> </w:t>
      </w:r>
      <w:r>
        <w:rPr>
          <w:color w:val="231F20"/>
          <w:spacing w:val="-14"/>
        </w:rPr>
        <w:t>contre</w:t>
      </w:r>
      <w:r>
        <w:rPr>
          <w:color w:val="231F20"/>
        </w:rPr>
        <w:t> </w:t>
      </w:r>
      <w:r>
        <w:rPr>
          <w:color w:val="231F20"/>
          <w:spacing w:val="-14"/>
        </w:rPr>
        <w:t>les</w:t>
      </w:r>
      <w:r>
        <w:rPr>
          <w:color w:val="231F20"/>
        </w:rPr>
        <w:t> </w:t>
      </w:r>
      <w:r>
        <w:rPr>
          <w:color w:val="231F20"/>
          <w:spacing w:val="-14"/>
        </w:rPr>
        <w:t>programmes</w:t>
      </w:r>
      <w:r>
        <w:rPr>
          <w:color w:val="231F20"/>
        </w:rPr>
        <w:t> </w:t>
      </w:r>
      <w:r>
        <w:rPr>
          <w:color w:val="231F20"/>
          <w:spacing w:val="-14"/>
        </w:rPr>
        <w:t>de </w:t>
      </w:r>
      <w:r>
        <w:rPr>
          <w:color w:val="231F20"/>
          <w:spacing w:val="-10"/>
        </w:rPr>
        <w:t>coopération</w:t>
      </w:r>
      <w:r>
        <w:rPr>
          <w:color w:val="231F20"/>
          <w:spacing w:val="-5"/>
        </w:rPr>
        <w:t> </w:t>
      </w:r>
      <w:r>
        <w:rPr>
          <w:color w:val="231F20"/>
          <w:spacing w:val="-10"/>
        </w:rPr>
        <w:t>médicale</w:t>
      </w:r>
      <w:r>
        <w:rPr>
          <w:color w:val="231F20"/>
          <w:spacing w:val="-5"/>
        </w:rPr>
        <w:t> </w:t>
      </w:r>
      <w:r>
        <w:rPr>
          <w:color w:val="231F20"/>
          <w:spacing w:val="-10"/>
        </w:rPr>
        <w:t>cubaine</w:t>
      </w:r>
      <w:r>
        <w:rPr>
          <w:color w:val="231F20"/>
          <w:spacing w:val="-5"/>
        </w:rPr>
        <w:t> </w:t>
      </w:r>
      <w:r>
        <w:rPr>
          <w:color w:val="231F20"/>
          <w:spacing w:val="-10"/>
        </w:rPr>
        <w:t>constituent</w:t>
      </w:r>
      <w:r>
        <w:rPr>
          <w:color w:val="231F20"/>
          <w:spacing w:val="-5"/>
        </w:rPr>
        <w:t> </w:t>
      </w:r>
      <w:r>
        <w:rPr>
          <w:color w:val="231F20"/>
          <w:spacing w:val="-10"/>
        </w:rPr>
        <w:t>les </w:t>
      </w:r>
      <w:r>
        <w:rPr>
          <w:color w:val="231F20"/>
          <w:spacing w:val="-12"/>
        </w:rPr>
        <w:t>traits</w:t>
      </w:r>
      <w:r>
        <w:rPr>
          <w:color w:val="231F20"/>
          <w:spacing w:val="-2"/>
        </w:rPr>
        <w:t> </w:t>
      </w:r>
      <w:r>
        <w:rPr>
          <w:color w:val="231F20"/>
          <w:spacing w:val="-12"/>
        </w:rPr>
        <w:t>les</w:t>
      </w:r>
      <w:r>
        <w:rPr>
          <w:color w:val="231F20"/>
          <w:spacing w:val="-2"/>
        </w:rPr>
        <w:t> </w:t>
      </w:r>
      <w:r>
        <w:rPr>
          <w:color w:val="231F20"/>
          <w:spacing w:val="-12"/>
        </w:rPr>
        <w:t>plus</w:t>
      </w:r>
      <w:r>
        <w:rPr>
          <w:color w:val="231F20"/>
          <w:spacing w:val="-2"/>
        </w:rPr>
        <w:t> </w:t>
      </w:r>
      <w:r>
        <w:rPr>
          <w:color w:val="231F20"/>
          <w:spacing w:val="-12"/>
        </w:rPr>
        <w:t>sévères</w:t>
      </w:r>
      <w:r>
        <w:rPr>
          <w:color w:val="231F20"/>
          <w:spacing w:val="-2"/>
        </w:rPr>
        <w:t> </w:t>
      </w:r>
      <w:r>
        <w:rPr>
          <w:color w:val="231F20"/>
          <w:spacing w:val="-12"/>
        </w:rPr>
        <w:t>de</w:t>
      </w:r>
      <w:r>
        <w:rPr>
          <w:color w:val="231F20"/>
          <w:spacing w:val="-2"/>
        </w:rPr>
        <w:t> </w:t>
      </w:r>
      <w:r>
        <w:rPr>
          <w:color w:val="231F20"/>
          <w:spacing w:val="-12"/>
        </w:rPr>
        <w:t>la</w:t>
      </w:r>
      <w:r>
        <w:rPr>
          <w:color w:val="231F20"/>
          <w:spacing w:val="-2"/>
        </w:rPr>
        <w:t> </w:t>
      </w:r>
      <w:r>
        <w:rPr>
          <w:color w:val="231F20"/>
          <w:spacing w:val="-12"/>
        </w:rPr>
        <w:t>politique</w:t>
      </w:r>
      <w:r>
        <w:rPr>
          <w:color w:val="231F20"/>
          <w:spacing w:val="-2"/>
        </w:rPr>
        <w:t> </w:t>
      </w:r>
      <w:r>
        <w:rPr>
          <w:color w:val="231F20"/>
          <w:spacing w:val="-12"/>
        </w:rPr>
        <w:t>d’hostilité </w:t>
      </w:r>
      <w:r>
        <w:rPr>
          <w:color w:val="231F20"/>
          <w:spacing w:val="-4"/>
        </w:rPr>
        <w:t>actuelle</w:t>
      </w:r>
      <w:r>
        <w:rPr>
          <w:color w:val="231F20"/>
          <w:spacing w:val="-22"/>
        </w:rPr>
        <w:t> </w:t>
      </w:r>
      <w:r>
        <w:rPr>
          <w:color w:val="231F20"/>
          <w:spacing w:val="-4"/>
        </w:rPr>
        <w:t>des</w:t>
      </w:r>
      <w:r>
        <w:rPr>
          <w:color w:val="231F20"/>
          <w:spacing w:val="-23"/>
        </w:rPr>
        <w:t> </w:t>
      </w:r>
      <w:r>
        <w:rPr>
          <w:color w:val="231F20"/>
          <w:spacing w:val="-4"/>
        </w:rPr>
        <w:t>États-Unis.</w:t>
      </w:r>
    </w:p>
    <w:p>
      <w:pPr>
        <w:pStyle w:val="BodyText"/>
        <w:spacing w:before="174"/>
        <w:ind w:left="412" w:right="1135"/>
      </w:pPr>
      <w:r>
        <w:rPr>
          <w:color w:val="231F20"/>
        </w:rPr>
        <w:t>Car il s’agit de mesures particulièrement nocives dans un contexte d’économie internationale en crise, toujours plus </w:t>
      </w:r>
      <w:r>
        <w:rPr>
          <w:color w:val="231F20"/>
          <w:spacing w:val="-6"/>
        </w:rPr>
        <w:t>interconnectée,</w:t>
      </w:r>
      <w:r>
        <w:rPr>
          <w:color w:val="231F20"/>
          <w:spacing w:val="-11"/>
        </w:rPr>
        <w:t> </w:t>
      </w:r>
      <w:r>
        <w:rPr>
          <w:color w:val="231F20"/>
          <w:spacing w:val="-6"/>
        </w:rPr>
        <w:t>interdépendante</w:t>
      </w:r>
      <w:r>
        <w:rPr>
          <w:color w:val="231F20"/>
          <w:spacing w:val="-10"/>
        </w:rPr>
        <w:t> </w:t>
      </w:r>
      <w:r>
        <w:rPr>
          <w:color w:val="231F20"/>
          <w:spacing w:val="-6"/>
        </w:rPr>
        <w:t>et</w:t>
      </w:r>
      <w:r>
        <w:rPr>
          <w:color w:val="231F20"/>
          <w:spacing w:val="-11"/>
        </w:rPr>
        <w:t> </w:t>
      </w:r>
      <w:r>
        <w:rPr>
          <w:color w:val="231F20"/>
          <w:spacing w:val="-6"/>
        </w:rPr>
        <w:t>soumise aux</w:t>
      </w:r>
      <w:r>
        <w:rPr>
          <w:color w:val="231F20"/>
          <w:spacing w:val="-11"/>
        </w:rPr>
        <w:t> </w:t>
      </w:r>
      <w:r>
        <w:rPr>
          <w:color w:val="231F20"/>
          <w:spacing w:val="-6"/>
        </w:rPr>
        <w:t>diktats</w:t>
      </w:r>
      <w:r>
        <w:rPr>
          <w:color w:val="231F20"/>
          <w:spacing w:val="-10"/>
        </w:rPr>
        <w:t> </w:t>
      </w:r>
      <w:r>
        <w:rPr>
          <w:color w:val="231F20"/>
          <w:spacing w:val="-6"/>
        </w:rPr>
        <w:t>des</w:t>
      </w:r>
      <w:r>
        <w:rPr>
          <w:color w:val="231F20"/>
          <w:spacing w:val="-11"/>
        </w:rPr>
        <w:t> </w:t>
      </w:r>
      <w:r>
        <w:rPr>
          <w:color w:val="231F20"/>
          <w:spacing w:val="-6"/>
        </w:rPr>
        <w:t>centres</w:t>
      </w:r>
      <w:r>
        <w:rPr>
          <w:color w:val="231F20"/>
          <w:spacing w:val="-10"/>
        </w:rPr>
        <w:t> </w:t>
      </w:r>
      <w:r>
        <w:rPr>
          <w:color w:val="231F20"/>
          <w:spacing w:val="-6"/>
        </w:rPr>
        <w:t>de</w:t>
      </w:r>
      <w:r>
        <w:rPr>
          <w:color w:val="231F20"/>
          <w:spacing w:val="-11"/>
        </w:rPr>
        <w:t> </w:t>
      </w:r>
      <w:r>
        <w:rPr>
          <w:color w:val="231F20"/>
          <w:spacing w:val="-6"/>
        </w:rPr>
        <w:t>pouvoir</w:t>
      </w:r>
      <w:r>
        <w:rPr>
          <w:color w:val="231F20"/>
          <w:spacing w:val="-10"/>
        </w:rPr>
        <w:t> </w:t>
      </w:r>
      <w:r>
        <w:rPr>
          <w:color w:val="231F20"/>
          <w:spacing w:val="-6"/>
        </w:rPr>
        <w:t>financiers </w:t>
      </w:r>
      <w:r>
        <w:rPr>
          <w:color w:val="231F20"/>
        </w:rPr>
        <w:t>contrôlés depuis Washington.</w:t>
      </w:r>
    </w:p>
    <w:p>
      <w:pPr>
        <w:pStyle w:val="BodyText"/>
        <w:spacing w:before="165"/>
        <w:ind w:left="412" w:right="1136"/>
      </w:pPr>
      <w:r>
        <w:rPr>
          <w:color w:val="231F20"/>
          <w:spacing w:val="-4"/>
        </w:rPr>
        <w:t>En</w:t>
      </w:r>
      <w:r>
        <w:rPr>
          <w:color w:val="231F20"/>
          <w:spacing w:val="-8"/>
        </w:rPr>
        <w:t> </w:t>
      </w:r>
      <w:r>
        <w:rPr>
          <w:color w:val="231F20"/>
          <w:spacing w:val="-4"/>
        </w:rPr>
        <w:t>parallèle</w:t>
      </w:r>
      <w:r>
        <w:rPr>
          <w:color w:val="231F20"/>
          <w:spacing w:val="-8"/>
        </w:rPr>
        <w:t> </w:t>
      </w:r>
      <w:r>
        <w:rPr>
          <w:color w:val="231F20"/>
          <w:spacing w:val="-4"/>
        </w:rPr>
        <w:t>aux</w:t>
      </w:r>
      <w:r>
        <w:rPr>
          <w:color w:val="231F20"/>
          <w:spacing w:val="-8"/>
        </w:rPr>
        <w:t> </w:t>
      </w:r>
      <w:r>
        <w:rPr>
          <w:color w:val="231F20"/>
          <w:spacing w:val="-4"/>
        </w:rPr>
        <w:t>effets</w:t>
      </w:r>
      <w:r>
        <w:rPr>
          <w:color w:val="231F20"/>
          <w:spacing w:val="-8"/>
        </w:rPr>
        <w:t> </w:t>
      </w:r>
      <w:r>
        <w:rPr>
          <w:color w:val="231F20"/>
          <w:spacing w:val="-4"/>
        </w:rPr>
        <w:t>d’un</w:t>
      </w:r>
      <w:r>
        <w:rPr>
          <w:color w:val="231F20"/>
          <w:spacing w:val="-8"/>
        </w:rPr>
        <w:t> </w:t>
      </w:r>
      <w:r>
        <w:rPr>
          <w:color w:val="231F20"/>
          <w:spacing w:val="-4"/>
        </w:rPr>
        <w:t>blocus</w:t>
      </w:r>
      <w:r>
        <w:rPr>
          <w:color w:val="231F20"/>
          <w:spacing w:val="-8"/>
        </w:rPr>
        <w:t> </w:t>
      </w:r>
      <w:r>
        <w:rPr>
          <w:color w:val="231F20"/>
          <w:spacing w:val="-4"/>
        </w:rPr>
        <w:t>renforcé, </w:t>
      </w:r>
      <w:r>
        <w:rPr>
          <w:color w:val="231F20"/>
        </w:rPr>
        <w:t>Cuba a dû faire face aux conséquences </w:t>
      </w:r>
      <w:r>
        <w:rPr>
          <w:color w:val="231F20"/>
          <w:spacing w:val="-8"/>
        </w:rPr>
        <w:t>persistantes</w:t>
      </w:r>
      <w:r>
        <w:rPr>
          <w:color w:val="231F20"/>
          <w:spacing w:val="-9"/>
        </w:rPr>
        <w:t> </w:t>
      </w:r>
      <w:r>
        <w:rPr>
          <w:color w:val="231F20"/>
          <w:spacing w:val="-8"/>
        </w:rPr>
        <w:t>de la</w:t>
      </w:r>
      <w:r>
        <w:rPr>
          <w:color w:val="231F20"/>
          <w:spacing w:val="-7"/>
        </w:rPr>
        <w:t> </w:t>
      </w:r>
      <w:r>
        <w:rPr>
          <w:color w:val="231F20"/>
          <w:spacing w:val="-8"/>
        </w:rPr>
        <w:t>pandémie</w:t>
      </w:r>
      <w:r>
        <w:rPr>
          <w:color w:val="231F20"/>
          <w:spacing w:val="-9"/>
        </w:rPr>
        <w:t> </w:t>
      </w:r>
      <w:r>
        <w:rPr>
          <w:color w:val="231F20"/>
          <w:spacing w:val="-8"/>
        </w:rPr>
        <w:t>du Covid-19</w:t>
      </w:r>
      <w:r>
        <w:rPr>
          <w:color w:val="231F20"/>
          <w:spacing w:val="-9"/>
        </w:rPr>
        <w:t> </w:t>
      </w:r>
      <w:r>
        <w:rPr>
          <w:color w:val="231F20"/>
          <w:spacing w:val="-8"/>
        </w:rPr>
        <w:t>qui pèsent sur tous les domaines de la vie socio- </w:t>
      </w:r>
      <w:r>
        <w:rPr>
          <w:color w:val="231F20"/>
        </w:rPr>
        <w:t>économique du pays et aux retombées </w:t>
      </w:r>
      <w:r>
        <w:rPr>
          <w:color w:val="231F20"/>
          <w:spacing w:val="-4"/>
        </w:rPr>
        <w:t>combinées</w:t>
      </w:r>
      <w:r>
        <w:rPr>
          <w:color w:val="231F20"/>
          <w:spacing w:val="-10"/>
        </w:rPr>
        <w:t> </w:t>
      </w:r>
      <w:r>
        <w:rPr>
          <w:color w:val="231F20"/>
          <w:spacing w:val="-4"/>
        </w:rPr>
        <w:t>d’une</w:t>
      </w:r>
      <w:r>
        <w:rPr>
          <w:color w:val="231F20"/>
          <w:spacing w:val="-10"/>
        </w:rPr>
        <w:t> </w:t>
      </w:r>
      <w:r>
        <w:rPr>
          <w:color w:val="231F20"/>
          <w:spacing w:val="-4"/>
        </w:rPr>
        <w:t>crise</w:t>
      </w:r>
      <w:r>
        <w:rPr>
          <w:color w:val="231F20"/>
          <w:spacing w:val="-10"/>
        </w:rPr>
        <w:t> </w:t>
      </w:r>
      <w:r>
        <w:rPr>
          <w:color w:val="231F20"/>
          <w:spacing w:val="-4"/>
        </w:rPr>
        <w:t>multidimensionnelle </w:t>
      </w:r>
      <w:r>
        <w:rPr>
          <w:color w:val="231F20"/>
        </w:rPr>
        <w:t>à l’échelle de la planète.</w:t>
      </w:r>
    </w:p>
    <w:p>
      <w:pPr>
        <w:spacing w:after="0"/>
        <w:sectPr>
          <w:type w:val="continuous"/>
          <w:pgSz w:w="11910" w:h="16840"/>
          <w:pgMar w:header="0" w:footer="695" w:top="1920" w:bottom="280" w:left="0" w:right="0"/>
          <w:cols w:num="2" w:equalWidth="0">
            <w:col w:w="5898" w:space="40"/>
            <w:col w:w="5972"/>
          </w:cols>
        </w:sectPr>
      </w:pPr>
    </w:p>
    <w:p>
      <w:pPr>
        <w:pStyle w:val="BodyText"/>
        <w:spacing w:before="77"/>
        <w:ind w:left="1133"/>
      </w:pPr>
      <w:r>
        <w:rPr>
          <w:color w:val="231F20"/>
          <w:spacing w:val="-4"/>
        </w:rPr>
        <w:t>L’administration</w:t>
      </w:r>
      <w:r>
        <w:rPr>
          <w:color w:val="231F20"/>
          <w:spacing w:val="-11"/>
        </w:rPr>
        <w:t> </w:t>
      </w:r>
      <w:r>
        <w:rPr>
          <w:color w:val="231F20"/>
          <w:spacing w:val="-4"/>
        </w:rPr>
        <w:t>étasunienne,</w:t>
      </w:r>
      <w:r>
        <w:rPr>
          <w:color w:val="231F20"/>
          <w:spacing w:val="-11"/>
        </w:rPr>
        <w:t> </w:t>
      </w:r>
      <w:r>
        <w:rPr>
          <w:color w:val="231F20"/>
          <w:spacing w:val="-4"/>
        </w:rPr>
        <w:t>foncièrement </w:t>
      </w:r>
      <w:r>
        <w:rPr>
          <w:color w:val="231F20"/>
        </w:rPr>
        <w:t>opportuniste, a vu dans la situation qu’engendrait</w:t>
      </w:r>
      <w:r>
        <w:rPr>
          <w:color w:val="231F20"/>
          <w:spacing w:val="-12"/>
        </w:rPr>
        <w:t> </w:t>
      </w:r>
      <w:r>
        <w:rPr>
          <w:color w:val="231F20"/>
        </w:rPr>
        <w:t>le</w:t>
      </w:r>
      <w:r>
        <w:rPr>
          <w:color w:val="231F20"/>
          <w:spacing w:val="-12"/>
        </w:rPr>
        <w:t> </w:t>
      </w:r>
      <w:r>
        <w:rPr>
          <w:color w:val="231F20"/>
        </w:rPr>
        <w:t>Covid-19</w:t>
      </w:r>
      <w:r>
        <w:rPr>
          <w:color w:val="231F20"/>
          <w:spacing w:val="-12"/>
        </w:rPr>
        <w:t> </w:t>
      </w:r>
      <w:r>
        <w:rPr>
          <w:color w:val="231F20"/>
        </w:rPr>
        <w:t>une</w:t>
      </w:r>
      <w:r>
        <w:rPr>
          <w:color w:val="231F20"/>
          <w:spacing w:val="-12"/>
        </w:rPr>
        <w:t> </w:t>
      </w:r>
      <w:r>
        <w:rPr>
          <w:color w:val="231F20"/>
        </w:rPr>
        <w:t>alliée</w:t>
      </w:r>
      <w:r>
        <w:rPr>
          <w:color w:val="231F20"/>
          <w:spacing w:val="-12"/>
        </w:rPr>
        <w:t> </w:t>
      </w:r>
      <w:r>
        <w:rPr>
          <w:color w:val="231F20"/>
        </w:rPr>
        <w:t>de</w:t>
      </w:r>
      <w:r>
        <w:rPr>
          <w:color w:val="231F20"/>
          <w:spacing w:val="-12"/>
        </w:rPr>
        <w:t> </w:t>
      </w:r>
      <w:r>
        <w:rPr>
          <w:color w:val="231F20"/>
        </w:rPr>
        <w:t>sa politique hostile envers Cuba. Sa volonté sordide de renforcer le blocus dans de telles circonstances prouve son visage particulièrement inhumain et son intérêt significatif de tirer profit de la récession économique mondiale découlant de la pandémie pour fomenter l’instabilité sociale</w:t>
      </w:r>
      <w:r>
        <w:rPr>
          <w:color w:val="231F20"/>
          <w:spacing w:val="-17"/>
        </w:rPr>
        <w:t> </w:t>
      </w:r>
      <w:r>
        <w:rPr>
          <w:color w:val="231F20"/>
        </w:rPr>
        <w:t>et</w:t>
      </w:r>
      <w:r>
        <w:rPr>
          <w:color w:val="231F20"/>
          <w:spacing w:val="-16"/>
        </w:rPr>
        <w:t> </w:t>
      </w:r>
      <w:r>
        <w:rPr>
          <w:color w:val="231F20"/>
        </w:rPr>
        <w:t>contraindre</w:t>
      </w:r>
      <w:r>
        <w:rPr>
          <w:color w:val="231F20"/>
          <w:spacing w:val="-17"/>
        </w:rPr>
        <w:t> </w:t>
      </w:r>
      <w:r>
        <w:rPr>
          <w:color w:val="231F20"/>
        </w:rPr>
        <w:t>le</w:t>
      </w:r>
      <w:r>
        <w:rPr>
          <w:color w:val="231F20"/>
          <w:spacing w:val="-16"/>
        </w:rPr>
        <w:t> </w:t>
      </w:r>
      <w:r>
        <w:rPr>
          <w:color w:val="231F20"/>
        </w:rPr>
        <w:t>peuple</w:t>
      </w:r>
      <w:r>
        <w:rPr>
          <w:color w:val="231F20"/>
          <w:spacing w:val="-17"/>
        </w:rPr>
        <w:t> </w:t>
      </w:r>
      <w:r>
        <w:rPr>
          <w:color w:val="231F20"/>
        </w:rPr>
        <w:t>cubain</w:t>
      </w:r>
      <w:r>
        <w:rPr>
          <w:color w:val="231F20"/>
          <w:spacing w:val="-16"/>
        </w:rPr>
        <w:t> </w:t>
      </w:r>
      <w:r>
        <w:rPr>
          <w:color w:val="231F20"/>
        </w:rPr>
        <w:t>à</w:t>
      </w:r>
      <w:r>
        <w:rPr>
          <w:color w:val="231F20"/>
          <w:spacing w:val="-17"/>
        </w:rPr>
        <w:t> </w:t>
      </w:r>
      <w:r>
        <w:rPr>
          <w:color w:val="231F20"/>
        </w:rPr>
        <w:t>la reddition par la faim et la désespérance.</w:t>
      </w:r>
    </w:p>
    <w:p>
      <w:pPr>
        <w:pStyle w:val="BodyText"/>
        <w:spacing w:before="169"/>
        <w:ind w:left="1133" w:right="5"/>
      </w:pPr>
      <w:r>
        <w:rPr>
          <w:color w:val="231F20"/>
          <w:spacing w:val="-4"/>
        </w:rPr>
        <w:t>Cette</w:t>
      </w:r>
      <w:r>
        <w:rPr>
          <w:color w:val="231F20"/>
          <w:spacing w:val="-13"/>
        </w:rPr>
        <w:t> </w:t>
      </w:r>
      <w:r>
        <w:rPr>
          <w:color w:val="231F20"/>
          <w:spacing w:val="-4"/>
        </w:rPr>
        <w:t>politique</w:t>
      </w:r>
      <w:r>
        <w:rPr>
          <w:color w:val="231F20"/>
          <w:spacing w:val="-12"/>
        </w:rPr>
        <w:t> </w:t>
      </w:r>
      <w:r>
        <w:rPr>
          <w:color w:val="231F20"/>
          <w:spacing w:val="-4"/>
        </w:rPr>
        <w:t>a</w:t>
      </w:r>
      <w:r>
        <w:rPr>
          <w:color w:val="231F20"/>
          <w:spacing w:val="-13"/>
        </w:rPr>
        <w:t> </w:t>
      </w:r>
      <w:r>
        <w:rPr>
          <w:color w:val="231F20"/>
          <w:spacing w:val="-4"/>
        </w:rPr>
        <w:t>donc</w:t>
      </w:r>
      <w:r>
        <w:rPr>
          <w:color w:val="231F20"/>
          <w:spacing w:val="-12"/>
        </w:rPr>
        <w:t> </w:t>
      </w:r>
      <w:r>
        <w:rPr>
          <w:color w:val="231F20"/>
          <w:spacing w:val="-4"/>
        </w:rPr>
        <w:t>eu,</w:t>
      </w:r>
      <w:r>
        <w:rPr>
          <w:color w:val="231F20"/>
          <w:spacing w:val="-13"/>
        </w:rPr>
        <w:t> </w:t>
      </w:r>
      <w:r>
        <w:rPr>
          <w:color w:val="231F20"/>
          <w:spacing w:val="-4"/>
        </w:rPr>
        <w:t>durant</w:t>
      </w:r>
      <w:r>
        <w:rPr>
          <w:color w:val="231F20"/>
          <w:spacing w:val="-12"/>
        </w:rPr>
        <w:t> </w:t>
      </w:r>
      <w:r>
        <w:rPr>
          <w:color w:val="231F20"/>
          <w:spacing w:val="-4"/>
        </w:rPr>
        <w:t>la</w:t>
      </w:r>
      <w:r>
        <w:rPr>
          <w:color w:val="231F20"/>
          <w:spacing w:val="-13"/>
        </w:rPr>
        <w:t> </w:t>
      </w:r>
      <w:r>
        <w:rPr>
          <w:color w:val="231F20"/>
          <w:spacing w:val="-4"/>
        </w:rPr>
        <w:t>période </w:t>
      </w:r>
      <w:r>
        <w:rPr>
          <w:color w:val="231F20"/>
          <w:spacing w:val="-14"/>
        </w:rPr>
        <w:t>sous</w:t>
      </w:r>
      <w:r>
        <w:rPr>
          <w:color w:val="231F20"/>
        </w:rPr>
        <w:t> </w:t>
      </w:r>
      <w:r>
        <w:rPr>
          <w:color w:val="231F20"/>
          <w:spacing w:val="-14"/>
        </w:rPr>
        <w:t>examen,</w:t>
      </w:r>
      <w:r>
        <w:rPr>
          <w:color w:val="231F20"/>
        </w:rPr>
        <w:t> </w:t>
      </w:r>
      <w:r>
        <w:rPr>
          <w:color w:val="231F20"/>
          <w:spacing w:val="-14"/>
        </w:rPr>
        <w:t>une</w:t>
      </w:r>
      <w:r>
        <w:rPr>
          <w:color w:val="231F20"/>
        </w:rPr>
        <w:t> </w:t>
      </w:r>
      <w:r>
        <w:rPr>
          <w:color w:val="231F20"/>
          <w:spacing w:val="-14"/>
        </w:rPr>
        <w:t>portée</w:t>
      </w:r>
      <w:r>
        <w:rPr>
          <w:color w:val="231F20"/>
        </w:rPr>
        <w:t> </w:t>
      </w:r>
      <w:r>
        <w:rPr>
          <w:color w:val="231F20"/>
          <w:spacing w:val="-14"/>
        </w:rPr>
        <w:t>encore</w:t>
      </w:r>
      <w:r>
        <w:rPr>
          <w:color w:val="231F20"/>
        </w:rPr>
        <w:t> </w:t>
      </w:r>
      <w:r>
        <w:rPr>
          <w:color w:val="231F20"/>
          <w:spacing w:val="-14"/>
        </w:rPr>
        <w:t>plus</w:t>
      </w:r>
      <w:r>
        <w:rPr>
          <w:color w:val="231F20"/>
        </w:rPr>
        <w:t> </w:t>
      </w:r>
      <w:r>
        <w:rPr>
          <w:color w:val="231F20"/>
          <w:spacing w:val="-14"/>
        </w:rPr>
        <w:t>perverse </w:t>
      </w:r>
      <w:r>
        <w:rPr>
          <w:color w:val="231F20"/>
          <w:spacing w:val="-2"/>
        </w:rPr>
        <w:t>et</w:t>
      </w:r>
      <w:r>
        <w:rPr>
          <w:color w:val="231F20"/>
          <w:spacing w:val="-15"/>
        </w:rPr>
        <w:t> </w:t>
      </w:r>
      <w:r>
        <w:rPr>
          <w:color w:val="231F20"/>
          <w:spacing w:val="-2"/>
        </w:rPr>
        <w:t>nuisible</w:t>
      </w:r>
      <w:r>
        <w:rPr>
          <w:color w:val="231F20"/>
          <w:spacing w:val="-15"/>
        </w:rPr>
        <w:t> </w:t>
      </w:r>
      <w:r>
        <w:rPr>
          <w:color w:val="231F20"/>
          <w:spacing w:val="-2"/>
        </w:rPr>
        <w:t>du</w:t>
      </w:r>
      <w:r>
        <w:rPr>
          <w:color w:val="231F20"/>
          <w:spacing w:val="-15"/>
        </w:rPr>
        <w:t> </w:t>
      </w:r>
      <w:r>
        <w:rPr>
          <w:color w:val="231F20"/>
          <w:spacing w:val="-2"/>
        </w:rPr>
        <w:t>point</w:t>
      </w:r>
      <w:r>
        <w:rPr>
          <w:color w:val="231F20"/>
          <w:spacing w:val="-15"/>
        </w:rPr>
        <w:t> </w:t>
      </w:r>
      <w:r>
        <w:rPr>
          <w:color w:val="231F20"/>
          <w:spacing w:val="-2"/>
        </w:rPr>
        <w:t>de</w:t>
      </w:r>
      <w:r>
        <w:rPr>
          <w:color w:val="231F20"/>
          <w:spacing w:val="-15"/>
        </w:rPr>
        <w:t> </w:t>
      </w:r>
      <w:r>
        <w:rPr>
          <w:color w:val="231F20"/>
          <w:spacing w:val="-2"/>
        </w:rPr>
        <w:t>vue</w:t>
      </w:r>
      <w:r>
        <w:rPr>
          <w:color w:val="231F20"/>
          <w:spacing w:val="-15"/>
        </w:rPr>
        <w:t> </w:t>
      </w:r>
      <w:r>
        <w:rPr>
          <w:color w:val="231F20"/>
          <w:spacing w:val="-2"/>
        </w:rPr>
        <w:t>humanitaire.</w:t>
      </w:r>
    </w:p>
    <w:p>
      <w:pPr>
        <w:pStyle w:val="BodyText"/>
        <w:spacing w:before="162"/>
        <w:ind w:left="1133" w:right="1"/>
      </w:pPr>
      <w:r>
        <w:rPr>
          <w:color w:val="231F20"/>
          <w:spacing w:val="-4"/>
        </w:rPr>
        <w:t>Tout</w:t>
      </w:r>
      <w:r>
        <w:rPr>
          <w:color w:val="231F20"/>
          <w:spacing w:val="-10"/>
        </w:rPr>
        <w:t> </w:t>
      </w:r>
      <w:r>
        <w:rPr>
          <w:color w:val="231F20"/>
          <w:spacing w:val="-4"/>
        </w:rPr>
        <w:t>en</w:t>
      </w:r>
      <w:r>
        <w:rPr>
          <w:color w:val="231F20"/>
          <w:spacing w:val="-10"/>
        </w:rPr>
        <w:t> </w:t>
      </w:r>
      <w:r>
        <w:rPr>
          <w:color w:val="231F20"/>
          <w:spacing w:val="-4"/>
        </w:rPr>
        <w:t>provoquant</w:t>
      </w:r>
      <w:r>
        <w:rPr>
          <w:color w:val="231F20"/>
          <w:spacing w:val="-10"/>
        </w:rPr>
        <w:t> </w:t>
      </w:r>
      <w:r>
        <w:rPr>
          <w:color w:val="231F20"/>
          <w:spacing w:val="-4"/>
        </w:rPr>
        <w:t>des</w:t>
      </w:r>
      <w:r>
        <w:rPr>
          <w:color w:val="231F20"/>
          <w:spacing w:val="-10"/>
        </w:rPr>
        <w:t> </w:t>
      </w:r>
      <w:r>
        <w:rPr>
          <w:color w:val="231F20"/>
          <w:spacing w:val="-4"/>
        </w:rPr>
        <w:t>dommages</w:t>
      </w:r>
      <w:r>
        <w:rPr>
          <w:color w:val="231F20"/>
          <w:spacing w:val="-10"/>
        </w:rPr>
        <w:t> </w:t>
      </w:r>
      <w:r>
        <w:rPr>
          <w:color w:val="231F20"/>
          <w:spacing w:val="-4"/>
        </w:rPr>
        <w:t>directs </w:t>
      </w:r>
      <w:r>
        <w:rPr>
          <w:color w:val="231F20"/>
        </w:rPr>
        <w:t>extrêmes par l’entrelacs de ses mesures, le</w:t>
      </w:r>
      <w:r>
        <w:rPr>
          <w:color w:val="231F20"/>
          <w:spacing w:val="80"/>
        </w:rPr>
        <w:t> </w:t>
      </w:r>
      <w:r>
        <w:rPr>
          <w:color w:val="231F20"/>
        </w:rPr>
        <w:t>blocus</w:t>
      </w:r>
      <w:r>
        <w:rPr>
          <w:color w:val="231F20"/>
          <w:spacing w:val="80"/>
        </w:rPr>
        <w:t> </w:t>
      </w:r>
      <w:r>
        <w:rPr>
          <w:color w:val="231F20"/>
        </w:rPr>
        <w:t>vise</w:t>
      </w:r>
      <w:r>
        <w:rPr>
          <w:color w:val="231F20"/>
          <w:spacing w:val="80"/>
        </w:rPr>
        <w:t> </w:t>
      </w:r>
      <w:r>
        <w:rPr>
          <w:color w:val="231F20"/>
        </w:rPr>
        <w:t>aussi</w:t>
      </w:r>
      <w:r>
        <w:rPr>
          <w:color w:val="231F20"/>
          <w:spacing w:val="80"/>
        </w:rPr>
        <w:t> </w:t>
      </w:r>
      <w:r>
        <w:rPr>
          <w:color w:val="231F20"/>
        </w:rPr>
        <w:t>cruellement</w:t>
      </w:r>
      <w:r>
        <w:rPr>
          <w:color w:val="231F20"/>
          <w:spacing w:val="80"/>
        </w:rPr>
        <w:t> </w:t>
      </w:r>
      <w:r>
        <w:rPr>
          <w:color w:val="231F20"/>
        </w:rPr>
        <w:t>dans la pratique à priver le pays des revenus financiers</w:t>
      </w:r>
      <w:r>
        <w:rPr>
          <w:color w:val="231F20"/>
          <w:spacing w:val="-10"/>
        </w:rPr>
        <w:t> </w:t>
      </w:r>
      <w:r>
        <w:rPr>
          <w:color w:val="231F20"/>
        </w:rPr>
        <w:t>qui</w:t>
      </w:r>
      <w:r>
        <w:rPr>
          <w:color w:val="231F20"/>
          <w:spacing w:val="-10"/>
        </w:rPr>
        <w:t> </w:t>
      </w:r>
      <w:r>
        <w:rPr>
          <w:color w:val="231F20"/>
        </w:rPr>
        <w:t>lui</w:t>
      </w:r>
      <w:r>
        <w:rPr>
          <w:color w:val="231F20"/>
          <w:spacing w:val="-10"/>
        </w:rPr>
        <w:t> </w:t>
      </w:r>
      <w:r>
        <w:rPr>
          <w:color w:val="231F20"/>
        </w:rPr>
        <w:t>sont</w:t>
      </w:r>
      <w:r>
        <w:rPr>
          <w:color w:val="231F20"/>
          <w:spacing w:val="-9"/>
        </w:rPr>
        <w:t> </w:t>
      </w:r>
      <w:r>
        <w:rPr>
          <w:color w:val="231F20"/>
        </w:rPr>
        <w:t>indispensables</w:t>
      </w:r>
      <w:r>
        <w:rPr>
          <w:color w:val="231F20"/>
          <w:spacing w:val="-10"/>
        </w:rPr>
        <w:t> </w:t>
      </w:r>
      <w:r>
        <w:rPr>
          <w:color w:val="231F20"/>
        </w:rPr>
        <w:t>pour acquérir des aliments, des intrants, des équipements, de parties et des pièces, des technologies et des logiciels, ce qui explique entre autres les carences, les ruptures</w:t>
      </w:r>
      <w:r>
        <w:rPr>
          <w:color w:val="231F20"/>
          <w:spacing w:val="40"/>
        </w:rPr>
        <w:t> </w:t>
      </w:r>
      <w:r>
        <w:rPr>
          <w:color w:val="231F20"/>
        </w:rPr>
        <w:t>de</w:t>
      </w:r>
      <w:r>
        <w:rPr>
          <w:color w:val="231F20"/>
          <w:spacing w:val="40"/>
        </w:rPr>
        <w:t> </w:t>
      </w:r>
      <w:r>
        <w:rPr>
          <w:color w:val="231F20"/>
        </w:rPr>
        <w:t>stocks,</w:t>
      </w:r>
      <w:r>
        <w:rPr>
          <w:color w:val="231F20"/>
          <w:spacing w:val="40"/>
        </w:rPr>
        <w:t> </w:t>
      </w:r>
      <w:r>
        <w:rPr>
          <w:color w:val="231F20"/>
        </w:rPr>
        <w:t>les</w:t>
      </w:r>
      <w:r>
        <w:rPr>
          <w:color w:val="231F20"/>
          <w:spacing w:val="40"/>
        </w:rPr>
        <w:t> </w:t>
      </w:r>
      <w:r>
        <w:rPr>
          <w:color w:val="231F20"/>
        </w:rPr>
        <w:t>longues</w:t>
      </w:r>
      <w:r>
        <w:rPr>
          <w:color w:val="231F20"/>
          <w:spacing w:val="40"/>
        </w:rPr>
        <w:t> </w:t>
      </w:r>
      <w:r>
        <w:rPr>
          <w:color w:val="231F20"/>
        </w:rPr>
        <w:t>queues et l’anxiété qui marquent le quotidien</w:t>
      </w:r>
      <w:r>
        <w:rPr>
          <w:color w:val="231F20"/>
          <w:spacing w:val="80"/>
        </w:rPr>
        <w:t> </w:t>
      </w:r>
      <w:r>
        <w:rPr>
          <w:color w:val="231F20"/>
        </w:rPr>
        <w:t>des Cubains. Ces préjudices concrets se </w:t>
      </w:r>
      <w:r>
        <w:rPr>
          <w:color w:val="231F20"/>
          <w:spacing w:val="-2"/>
        </w:rPr>
        <w:t>traduisent</w:t>
      </w:r>
      <w:r>
        <w:rPr>
          <w:color w:val="231F20"/>
          <w:spacing w:val="-15"/>
        </w:rPr>
        <w:t> </w:t>
      </w:r>
      <w:r>
        <w:rPr>
          <w:color w:val="231F20"/>
          <w:spacing w:val="-2"/>
        </w:rPr>
        <w:t>notamment</w:t>
      </w:r>
      <w:r>
        <w:rPr>
          <w:color w:val="231F20"/>
          <w:spacing w:val="-14"/>
        </w:rPr>
        <w:t> </w:t>
      </w:r>
      <w:r>
        <w:rPr>
          <w:color w:val="231F20"/>
          <w:spacing w:val="-2"/>
        </w:rPr>
        <w:t>dans</w:t>
      </w:r>
      <w:r>
        <w:rPr>
          <w:color w:val="231F20"/>
          <w:spacing w:val="-15"/>
        </w:rPr>
        <w:t> </w:t>
      </w:r>
      <w:r>
        <w:rPr>
          <w:color w:val="231F20"/>
          <w:spacing w:val="-2"/>
        </w:rPr>
        <w:t>la</w:t>
      </w:r>
      <w:r>
        <w:rPr>
          <w:color w:val="231F20"/>
          <w:spacing w:val="-14"/>
        </w:rPr>
        <w:t> </w:t>
      </w:r>
      <w:r>
        <w:rPr>
          <w:color w:val="231F20"/>
          <w:spacing w:val="-2"/>
        </w:rPr>
        <w:t>dégradation </w:t>
      </w:r>
      <w:r>
        <w:rPr>
          <w:color w:val="231F20"/>
        </w:rPr>
        <w:t>des indicateurs socio-économiques de notre pays.</w:t>
      </w:r>
    </w:p>
    <w:p>
      <w:pPr>
        <w:pStyle w:val="BodyText"/>
        <w:spacing w:before="172"/>
        <w:ind w:left="1133"/>
      </w:pPr>
      <w:r>
        <w:rPr>
          <w:color w:val="231F20"/>
          <w:spacing w:val="-4"/>
        </w:rPr>
        <w:t>À</w:t>
      </w:r>
      <w:r>
        <w:rPr>
          <w:color w:val="231F20"/>
          <w:spacing w:val="-13"/>
        </w:rPr>
        <w:t> </w:t>
      </w:r>
      <w:r>
        <w:rPr>
          <w:color w:val="231F20"/>
          <w:spacing w:val="-4"/>
        </w:rPr>
        <w:t>quoi</w:t>
      </w:r>
      <w:r>
        <w:rPr>
          <w:color w:val="231F20"/>
          <w:spacing w:val="-12"/>
        </w:rPr>
        <w:t> </w:t>
      </w:r>
      <w:r>
        <w:rPr>
          <w:color w:val="231F20"/>
          <w:spacing w:val="-4"/>
        </w:rPr>
        <w:t>il</w:t>
      </w:r>
      <w:r>
        <w:rPr>
          <w:color w:val="231F20"/>
          <w:spacing w:val="-13"/>
        </w:rPr>
        <w:t> </w:t>
      </w:r>
      <w:r>
        <w:rPr>
          <w:color w:val="231F20"/>
          <w:spacing w:val="-4"/>
        </w:rPr>
        <w:t>faut</w:t>
      </w:r>
      <w:r>
        <w:rPr>
          <w:color w:val="231F20"/>
          <w:spacing w:val="-12"/>
        </w:rPr>
        <w:t> </w:t>
      </w:r>
      <w:r>
        <w:rPr>
          <w:color w:val="231F20"/>
          <w:spacing w:val="-4"/>
        </w:rPr>
        <w:t>ajouter</w:t>
      </w:r>
      <w:r>
        <w:rPr>
          <w:color w:val="231F20"/>
          <w:spacing w:val="-13"/>
        </w:rPr>
        <w:t> </w:t>
      </w:r>
      <w:r>
        <w:rPr>
          <w:color w:val="231F20"/>
          <w:spacing w:val="-4"/>
        </w:rPr>
        <w:t>la</w:t>
      </w:r>
      <w:r>
        <w:rPr>
          <w:color w:val="231F20"/>
          <w:spacing w:val="-12"/>
        </w:rPr>
        <w:t> </w:t>
      </w:r>
      <w:r>
        <w:rPr>
          <w:color w:val="231F20"/>
          <w:spacing w:val="-4"/>
        </w:rPr>
        <w:t>croisade</w:t>
      </w:r>
      <w:r>
        <w:rPr>
          <w:color w:val="231F20"/>
          <w:spacing w:val="-13"/>
        </w:rPr>
        <w:t> </w:t>
      </w:r>
      <w:r>
        <w:rPr>
          <w:color w:val="231F20"/>
          <w:spacing w:val="-4"/>
        </w:rPr>
        <w:t>médiatique </w:t>
      </w:r>
      <w:r>
        <w:rPr>
          <w:color w:val="231F20"/>
        </w:rPr>
        <w:t>orchestrée depuis les centres de communication et de renseignement </w:t>
      </w:r>
      <w:r>
        <w:rPr>
          <w:color w:val="231F20"/>
        </w:rPr>
        <w:t>des </w:t>
      </w:r>
      <w:r>
        <w:rPr>
          <w:color w:val="231F20"/>
          <w:spacing w:val="-2"/>
        </w:rPr>
        <w:t>États-Unis</w:t>
      </w:r>
      <w:r>
        <w:rPr>
          <w:color w:val="231F20"/>
          <w:spacing w:val="-15"/>
        </w:rPr>
        <w:t> </w:t>
      </w:r>
      <w:r>
        <w:rPr>
          <w:color w:val="231F20"/>
          <w:spacing w:val="-2"/>
        </w:rPr>
        <w:t>pour</w:t>
      </w:r>
      <w:r>
        <w:rPr>
          <w:color w:val="231F20"/>
          <w:spacing w:val="-14"/>
        </w:rPr>
        <w:t> </w:t>
      </w:r>
      <w:r>
        <w:rPr>
          <w:color w:val="231F20"/>
          <w:spacing w:val="-2"/>
        </w:rPr>
        <w:t>édifier</w:t>
      </w:r>
      <w:r>
        <w:rPr>
          <w:color w:val="231F20"/>
          <w:spacing w:val="-15"/>
        </w:rPr>
        <w:t> </w:t>
      </w:r>
      <w:r>
        <w:rPr>
          <w:color w:val="231F20"/>
          <w:spacing w:val="-2"/>
        </w:rPr>
        <w:t>dans</w:t>
      </w:r>
      <w:r>
        <w:rPr>
          <w:color w:val="231F20"/>
          <w:spacing w:val="-14"/>
        </w:rPr>
        <w:t> </w:t>
      </w:r>
      <w:r>
        <w:rPr>
          <w:color w:val="231F20"/>
          <w:spacing w:val="-2"/>
        </w:rPr>
        <w:t>l’espace</w:t>
      </w:r>
      <w:r>
        <w:rPr>
          <w:color w:val="231F20"/>
          <w:spacing w:val="-15"/>
        </w:rPr>
        <w:t> </w:t>
      </w:r>
      <w:r>
        <w:rPr>
          <w:color w:val="231F20"/>
          <w:spacing w:val="-2"/>
        </w:rPr>
        <w:t>virtuel </w:t>
      </w:r>
      <w:r>
        <w:rPr>
          <w:color w:val="231F20"/>
        </w:rPr>
        <w:t>une image de Cuba sans rapport avec la réalité, fomenter le mécontentement, créer l’idée que le pays vit une situation de</w:t>
      </w:r>
      <w:r>
        <w:rPr>
          <w:color w:val="231F20"/>
          <w:spacing w:val="80"/>
        </w:rPr>
        <w:t> </w:t>
      </w:r>
      <w:r>
        <w:rPr>
          <w:color w:val="231F20"/>
        </w:rPr>
        <w:t>crise</w:t>
      </w:r>
      <w:r>
        <w:rPr>
          <w:color w:val="231F20"/>
          <w:spacing w:val="80"/>
        </w:rPr>
        <w:t> </w:t>
      </w:r>
      <w:r>
        <w:rPr>
          <w:color w:val="231F20"/>
        </w:rPr>
        <w:t>politique</w:t>
      </w:r>
      <w:r>
        <w:rPr>
          <w:color w:val="231F20"/>
          <w:spacing w:val="80"/>
        </w:rPr>
        <w:t> </w:t>
      </w:r>
      <w:r>
        <w:rPr>
          <w:color w:val="231F20"/>
        </w:rPr>
        <w:t>interne,</w:t>
      </w:r>
      <w:r>
        <w:rPr>
          <w:color w:val="231F20"/>
          <w:spacing w:val="80"/>
        </w:rPr>
        <w:t> </w:t>
      </w:r>
      <w:r>
        <w:rPr>
          <w:color w:val="231F20"/>
        </w:rPr>
        <w:t>discréditer les institutions gouvernementales et minimiser</w:t>
      </w:r>
      <w:r>
        <w:rPr>
          <w:color w:val="231F20"/>
          <w:spacing w:val="-17"/>
        </w:rPr>
        <w:t> </w:t>
      </w:r>
      <w:r>
        <w:rPr>
          <w:color w:val="231F20"/>
        </w:rPr>
        <w:t>les</w:t>
      </w:r>
      <w:r>
        <w:rPr>
          <w:color w:val="231F20"/>
          <w:spacing w:val="-16"/>
        </w:rPr>
        <w:t> </w:t>
      </w:r>
      <w:r>
        <w:rPr>
          <w:color w:val="231F20"/>
        </w:rPr>
        <w:t>énormes</w:t>
      </w:r>
      <w:r>
        <w:rPr>
          <w:color w:val="231F20"/>
          <w:spacing w:val="-17"/>
        </w:rPr>
        <w:t> </w:t>
      </w:r>
      <w:r>
        <w:rPr>
          <w:color w:val="231F20"/>
        </w:rPr>
        <w:t>efforts</w:t>
      </w:r>
      <w:r>
        <w:rPr>
          <w:color w:val="231F20"/>
          <w:spacing w:val="-16"/>
        </w:rPr>
        <w:t> </w:t>
      </w:r>
      <w:r>
        <w:rPr>
          <w:color w:val="231F20"/>
        </w:rPr>
        <w:t>que</w:t>
      </w:r>
      <w:r>
        <w:rPr>
          <w:color w:val="231F20"/>
          <w:spacing w:val="-17"/>
        </w:rPr>
        <w:t> </w:t>
      </w:r>
      <w:r>
        <w:rPr>
          <w:color w:val="231F20"/>
        </w:rPr>
        <w:t>consent le pays pour surmonter les problèmes d’une économie soumise à ce blocus.</w:t>
      </w:r>
    </w:p>
    <w:p>
      <w:pPr>
        <w:pStyle w:val="BodyText"/>
        <w:spacing w:before="77"/>
        <w:ind w:left="412" w:right="1478"/>
      </w:pPr>
      <w:r>
        <w:rPr/>
        <w:br w:type="column"/>
      </w:r>
      <w:r>
        <w:rPr>
          <w:color w:val="231F20"/>
          <w:spacing w:val="-8"/>
        </w:rPr>
        <w:t>Bien que la prise en compte de l’être humain reste la priorité essentielle du gouvernement </w:t>
      </w:r>
      <w:r>
        <w:rPr>
          <w:color w:val="231F20"/>
          <w:spacing w:val="-12"/>
        </w:rPr>
        <w:t>cubain,</w:t>
      </w:r>
      <w:r>
        <w:rPr>
          <w:color w:val="231F20"/>
          <w:spacing w:val="-5"/>
        </w:rPr>
        <w:t> </w:t>
      </w:r>
      <w:r>
        <w:rPr>
          <w:color w:val="231F20"/>
          <w:spacing w:val="-12"/>
        </w:rPr>
        <w:t>il</w:t>
      </w:r>
      <w:r>
        <w:rPr>
          <w:color w:val="231F20"/>
          <w:spacing w:val="-4"/>
        </w:rPr>
        <w:t> </w:t>
      </w:r>
      <w:r>
        <w:rPr>
          <w:color w:val="231F20"/>
          <w:spacing w:val="-12"/>
        </w:rPr>
        <w:t>est</w:t>
      </w:r>
      <w:r>
        <w:rPr>
          <w:color w:val="231F20"/>
          <w:spacing w:val="-5"/>
        </w:rPr>
        <w:t> </w:t>
      </w:r>
      <w:r>
        <w:rPr>
          <w:color w:val="231F20"/>
          <w:spacing w:val="-12"/>
        </w:rPr>
        <w:t>incontestable</w:t>
      </w:r>
      <w:r>
        <w:rPr>
          <w:color w:val="231F20"/>
          <w:spacing w:val="-4"/>
        </w:rPr>
        <w:t> </w:t>
      </w:r>
      <w:r>
        <w:rPr>
          <w:color w:val="231F20"/>
          <w:spacing w:val="-12"/>
        </w:rPr>
        <w:t>que</w:t>
      </w:r>
      <w:r>
        <w:rPr>
          <w:color w:val="231F20"/>
          <w:spacing w:val="-5"/>
        </w:rPr>
        <w:t> </w:t>
      </w:r>
      <w:r>
        <w:rPr>
          <w:color w:val="231F20"/>
          <w:spacing w:val="-12"/>
        </w:rPr>
        <w:t>le</w:t>
      </w:r>
      <w:r>
        <w:rPr>
          <w:color w:val="231F20"/>
          <w:spacing w:val="-4"/>
        </w:rPr>
        <w:t> </w:t>
      </w:r>
      <w:r>
        <w:rPr>
          <w:color w:val="231F20"/>
          <w:spacing w:val="-12"/>
        </w:rPr>
        <w:t>blocus</w:t>
      </w:r>
      <w:r>
        <w:rPr>
          <w:color w:val="231F20"/>
          <w:spacing w:val="-5"/>
        </w:rPr>
        <w:t> </w:t>
      </w:r>
      <w:r>
        <w:rPr>
          <w:color w:val="231F20"/>
          <w:spacing w:val="-12"/>
        </w:rPr>
        <w:t>porte </w:t>
      </w:r>
      <w:r>
        <w:rPr>
          <w:color w:val="231F20"/>
        </w:rPr>
        <w:t>atteinte</w:t>
      </w:r>
      <w:r>
        <w:rPr>
          <w:color w:val="231F20"/>
          <w:spacing w:val="-17"/>
        </w:rPr>
        <w:t> </w:t>
      </w:r>
      <w:r>
        <w:rPr>
          <w:color w:val="231F20"/>
        </w:rPr>
        <w:t>à</w:t>
      </w:r>
      <w:r>
        <w:rPr>
          <w:color w:val="231F20"/>
          <w:spacing w:val="-16"/>
        </w:rPr>
        <w:t> </w:t>
      </w:r>
      <w:r>
        <w:rPr>
          <w:color w:val="231F20"/>
        </w:rPr>
        <w:t>la</w:t>
      </w:r>
      <w:r>
        <w:rPr>
          <w:color w:val="231F20"/>
          <w:spacing w:val="-17"/>
        </w:rPr>
        <w:t> </w:t>
      </w:r>
      <w:r>
        <w:rPr>
          <w:color w:val="231F20"/>
        </w:rPr>
        <w:t>qualité</w:t>
      </w:r>
      <w:r>
        <w:rPr>
          <w:color w:val="231F20"/>
          <w:spacing w:val="-16"/>
        </w:rPr>
        <w:t> </w:t>
      </w:r>
      <w:r>
        <w:rPr>
          <w:color w:val="231F20"/>
        </w:rPr>
        <w:t>de</w:t>
      </w:r>
      <w:r>
        <w:rPr>
          <w:color w:val="231F20"/>
          <w:spacing w:val="-17"/>
        </w:rPr>
        <w:t> </w:t>
      </w:r>
      <w:r>
        <w:rPr>
          <w:color w:val="231F20"/>
        </w:rPr>
        <w:t>vie</w:t>
      </w:r>
      <w:r>
        <w:rPr>
          <w:color w:val="231F20"/>
          <w:spacing w:val="-16"/>
        </w:rPr>
        <w:t> </w:t>
      </w:r>
      <w:r>
        <w:rPr>
          <w:color w:val="231F20"/>
        </w:rPr>
        <w:t>de</w:t>
      </w:r>
      <w:r>
        <w:rPr>
          <w:color w:val="231F20"/>
          <w:spacing w:val="-17"/>
        </w:rPr>
        <w:t> </w:t>
      </w:r>
      <w:r>
        <w:rPr>
          <w:color w:val="231F20"/>
        </w:rPr>
        <w:t>la</w:t>
      </w:r>
      <w:r>
        <w:rPr>
          <w:color w:val="231F20"/>
          <w:spacing w:val="-16"/>
        </w:rPr>
        <w:t> </w:t>
      </w:r>
      <w:r>
        <w:rPr>
          <w:color w:val="231F20"/>
        </w:rPr>
        <w:t>population et aux services qui lui sont offerts, notre peuple</w:t>
      </w:r>
      <w:r>
        <w:rPr>
          <w:color w:val="231F20"/>
          <w:spacing w:val="-11"/>
        </w:rPr>
        <w:t> </w:t>
      </w:r>
      <w:r>
        <w:rPr>
          <w:color w:val="231F20"/>
        </w:rPr>
        <w:t>n’ayant</w:t>
      </w:r>
      <w:r>
        <w:rPr>
          <w:color w:val="231F20"/>
          <w:spacing w:val="-11"/>
        </w:rPr>
        <w:t> </w:t>
      </w:r>
      <w:r>
        <w:rPr>
          <w:color w:val="231F20"/>
        </w:rPr>
        <w:t>jamais</w:t>
      </w:r>
      <w:r>
        <w:rPr>
          <w:color w:val="231F20"/>
          <w:spacing w:val="-11"/>
        </w:rPr>
        <w:t> </w:t>
      </w:r>
      <w:r>
        <w:rPr>
          <w:color w:val="231F20"/>
        </w:rPr>
        <w:t>connu</w:t>
      </w:r>
      <w:r>
        <w:rPr>
          <w:color w:val="231F20"/>
          <w:spacing w:val="-11"/>
        </w:rPr>
        <w:t> </w:t>
      </w:r>
      <w:r>
        <w:rPr>
          <w:color w:val="231F20"/>
        </w:rPr>
        <w:t>des</w:t>
      </w:r>
      <w:r>
        <w:rPr>
          <w:color w:val="231F20"/>
          <w:spacing w:val="-11"/>
        </w:rPr>
        <w:t> </w:t>
      </w:r>
      <w:r>
        <w:rPr>
          <w:color w:val="231F20"/>
        </w:rPr>
        <w:t>carences </w:t>
      </w:r>
      <w:r>
        <w:rPr>
          <w:color w:val="231F20"/>
          <w:spacing w:val="-8"/>
        </w:rPr>
        <w:t>de</w:t>
      </w:r>
      <w:r>
        <w:rPr>
          <w:color w:val="231F20"/>
          <w:spacing w:val="-9"/>
        </w:rPr>
        <w:t> </w:t>
      </w:r>
      <w:r>
        <w:rPr>
          <w:color w:val="231F20"/>
          <w:spacing w:val="-8"/>
        </w:rPr>
        <w:t>médicaments, d’aliments</w:t>
      </w:r>
      <w:r>
        <w:rPr>
          <w:color w:val="231F20"/>
          <w:spacing w:val="-9"/>
        </w:rPr>
        <w:t> </w:t>
      </w:r>
      <w:r>
        <w:rPr>
          <w:color w:val="231F20"/>
          <w:spacing w:val="-8"/>
        </w:rPr>
        <w:t>et de</w:t>
      </w:r>
      <w:r>
        <w:rPr>
          <w:color w:val="231F20"/>
          <w:spacing w:val="-9"/>
        </w:rPr>
        <w:t> </w:t>
      </w:r>
      <w:r>
        <w:rPr>
          <w:color w:val="231F20"/>
          <w:spacing w:val="-8"/>
        </w:rPr>
        <w:t>carburants </w:t>
      </w:r>
      <w:r>
        <w:rPr>
          <w:color w:val="231F20"/>
        </w:rPr>
        <w:t>aussi extrêmes que ces dernières années. Ces</w:t>
      </w:r>
      <w:r>
        <w:rPr>
          <w:color w:val="231F20"/>
          <w:spacing w:val="-17"/>
        </w:rPr>
        <w:t> </w:t>
      </w:r>
      <w:r>
        <w:rPr>
          <w:color w:val="231F20"/>
        </w:rPr>
        <w:t>circonstances</w:t>
      </w:r>
      <w:r>
        <w:rPr>
          <w:color w:val="231F20"/>
          <w:spacing w:val="-16"/>
        </w:rPr>
        <w:t> </w:t>
      </w:r>
      <w:r>
        <w:rPr>
          <w:color w:val="231F20"/>
        </w:rPr>
        <w:t>concrètes</w:t>
      </w:r>
      <w:r>
        <w:rPr>
          <w:color w:val="231F20"/>
          <w:spacing w:val="-16"/>
        </w:rPr>
        <w:t> </w:t>
      </w:r>
      <w:r>
        <w:rPr>
          <w:color w:val="231F20"/>
        </w:rPr>
        <w:t>ne</w:t>
      </w:r>
      <w:r>
        <w:rPr>
          <w:color w:val="231F20"/>
          <w:spacing w:val="-17"/>
        </w:rPr>
        <w:t> </w:t>
      </w:r>
      <w:r>
        <w:rPr>
          <w:color w:val="231F20"/>
        </w:rPr>
        <w:t>faisant</w:t>
      </w:r>
      <w:r>
        <w:rPr>
          <w:color w:val="231F20"/>
          <w:spacing w:val="-16"/>
        </w:rPr>
        <w:t> </w:t>
      </w:r>
      <w:r>
        <w:rPr>
          <w:color w:val="231F20"/>
        </w:rPr>
        <w:t>pas seulement</w:t>
      </w:r>
      <w:r>
        <w:rPr>
          <w:color w:val="231F20"/>
          <w:spacing w:val="-14"/>
        </w:rPr>
        <w:t> </w:t>
      </w:r>
      <w:r>
        <w:rPr>
          <w:color w:val="231F20"/>
        </w:rPr>
        <w:t>que</w:t>
      </w:r>
      <w:r>
        <w:rPr>
          <w:color w:val="231F20"/>
          <w:spacing w:val="-14"/>
        </w:rPr>
        <w:t> </w:t>
      </w:r>
      <w:r>
        <w:rPr>
          <w:color w:val="231F20"/>
        </w:rPr>
        <w:t>dégrader</w:t>
      </w:r>
      <w:r>
        <w:rPr>
          <w:color w:val="231F20"/>
          <w:spacing w:val="-14"/>
        </w:rPr>
        <w:t> </w:t>
      </w:r>
      <w:r>
        <w:rPr>
          <w:color w:val="231F20"/>
        </w:rPr>
        <w:t>les</w:t>
      </w:r>
      <w:r>
        <w:rPr>
          <w:color w:val="231F20"/>
          <w:spacing w:val="-14"/>
        </w:rPr>
        <w:t> </w:t>
      </w:r>
      <w:r>
        <w:rPr>
          <w:color w:val="231F20"/>
        </w:rPr>
        <w:t>conditions</w:t>
      </w:r>
      <w:r>
        <w:rPr>
          <w:color w:val="231F20"/>
          <w:spacing w:val="-14"/>
        </w:rPr>
        <w:t> </w:t>
      </w:r>
      <w:r>
        <w:rPr>
          <w:color w:val="231F20"/>
        </w:rPr>
        <w:t>de </w:t>
      </w:r>
      <w:r>
        <w:rPr>
          <w:color w:val="231F20"/>
          <w:spacing w:val="-6"/>
        </w:rPr>
        <w:t>vie</w:t>
      </w:r>
      <w:r>
        <w:rPr>
          <w:color w:val="231F20"/>
          <w:spacing w:val="-11"/>
        </w:rPr>
        <w:t> </w:t>
      </w:r>
      <w:r>
        <w:rPr>
          <w:color w:val="231F20"/>
          <w:spacing w:val="-6"/>
        </w:rPr>
        <w:t>matérielles,</w:t>
      </w:r>
      <w:r>
        <w:rPr>
          <w:color w:val="231F20"/>
          <w:spacing w:val="-10"/>
        </w:rPr>
        <w:t> </w:t>
      </w:r>
      <w:r>
        <w:rPr>
          <w:color w:val="231F20"/>
          <w:spacing w:val="-6"/>
        </w:rPr>
        <w:t>mais</w:t>
      </w:r>
      <w:r>
        <w:rPr>
          <w:color w:val="231F20"/>
          <w:spacing w:val="-11"/>
        </w:rPr>
        <w:t> </w:t>
      </w:r>
      <w:r>
        <w:rPr>
          <w:color w:val="231F20"/>
          <w:spacing w:val="-6"/>
        </w:rPr>
        <w:t>blessant</w:t>
      </w:r>
      <w:r>
        <w:rPr>
          <w:color w:val="231F20"/>
          <w:spacing w:val="-10"/>
        </w:rPr>
        <w:t> </w:t>
      </w:r>
      <w:r>
        <w:rPr>
          <w:color w:val="231F20"/>
          <w:spacing w:val="-6"/>
        </w:rPr>
        <w:t>aussi</w:t>
      </w:r>
      <w:r>
        <w:rPr>
          <w:color w:val="231F20"/>
          <w:spacing w:val="-10"/>
        </w:rPr>
        <w:t> </w:t>
      </w:r>
      <w:r>
        <w:rPr>
          <w:color w:val="231F20"/>
          <w:spacing w:val="-6"/>
        </w:rPr>
        <w:t>la</w:t>
      </w:r>
      <w:r>
        <w:rPr>
          <w:color w:val="231F20"/>
          <w:spacing w:val="-11"/>
        </w:rPr>
        <w:t> </w:t>
      </w:r>
      <w:r>
        <w:rPr>
          <w:color w:val="231F20"/>
          <w:spacing w:val="-6"/>
        </w:rPr>
        <w:t>dignité </w:t>
      </w:r>
      <w:r>
        <w:rPr>
          <w:color w:val="231F20"/>
          <w:spacing w:val="-2"/>
        </w:rPr>
        <w:t>humaine.</w:t>
      </w:r>
    </w:p>
    <w:p>
      <w:pPr>
        <w:pStyle w:val="BodyText"/>
        <w:spacing w:before="169"/>
        <w:ind w:left="412" w:right="1473"/>
      </w:pPr>
      <w:r>
        <w:rPr/>
        <mc:AlternateContent>
          <mc:Choice Requires="wps">
            <w:drawing>
              <wp:anchor distT="0" distB="0" distL="0" distR="0" allowOverlap="1" layoutInCell="1" locked="0" behindDoc="0" simplePos="0" relativeHeight="15824896">
                <wp:simplePos x="0" y="0"/>
                <wp:positionH relativeFrom="page">
                  <wp:posOffset>7560005</wp:posOffset>
                </wp:positionH>
                <wp:positionV relativeFrom="paragraph">
                  <wp:posOffset>-2369543</wp:posOffset>
                </wp:positionV>
                <wp:extent cx="1270" cy="3251200"/>
                <wp:effectExtent l="0" t="0" r="0" b="0"/>
                <wp:wrapNone/>
                <wp:docPr id="404" name="Graphic 404"/>
                <wp:cNvGraphicFramePr>
                  <a:graphicFrameLocks/>
                </wp:cNvGraphicFramePr>
                <a:graphic>
                  <a:graphicData uri="http://schemas.microsoft.com/office/word/2010/wordprocessingShape">
                    <wps:wsp>
                      <wps:cNvPr id="404" name="Graphic 404"/>
                      <wps:cNvSpPr/>
                      <wps:spPr>
                        <a:xfrm>
                          <a:off x="0" y="0"/>
                          <a:ext cx="1270" cy="3251200"/>
                        </a:xfrm>
                        <a:custGeom>
                          <a:avLst/>
                          <a:gdLst/>
                          <a:ahLst/>
                          <a:cxnLst/>
                          <a:rect l="l" t="t" r="r" b="b"/>
                          <a:pathLst>
                            <a:path w="0" h="3251200">
                              <a:moveTo>
                                <a:pt x="0" y="0"/>
                              </a:moveTo>
                              <a:lnTo>
                                <a:pt x="0" y="3251200"/>
                              </a:lnTo>
                              <a:lnTo>
                                <a:pt x="0" y="0"/>
                              </a:lnTo>
                              <a:close/>
                            </a:path>
                          </a:pathLst>
                        </a:custGeom>
                        <a:solidFill>
                          <a:srgbClr val="E0E2E2"/>
                        </a:solidFill>
                      </wps:spPr>
                      <wps:bodyPr wrap="square" lIns="0" tIns="0" rIns="0" bIns="0" rtlCol="0">
                        <a:prstTxWarp prst="textNoShape">
                          <a:avLst/>
                        </a:prstTxWarp>
                        <a:noAutofit/>
                      </wps:bodyPr>
                    </wps:wsp>
                  </a:graphicData>
                </a:graphic>
              </wp:anchor>
            </w:drawing>
          </mc:Choice>
          <mc:Fallback>
            <w:pict>
              <v:shape style="position:absolute;margin-left:595.276001pt;margin-top:-186.578247pt;width:.1pt;height:256pt;mso-position-horizontal-relative:page;mso-position-vertical-relative:paragraph;z-index:15824896" id="docshape335" coordorigin="11906,-3732" coordsize="0,5120" path="m11906,-3732l11906,1388,11906,-3732xe" filled="true" fillcolor="#e0e2e2" stroked="false">
                <v:path arrowok="t"/>
                <v:fill type="solid"/>
                <w10:wrap type="none"/>
              </v:shape>
            </w:pict>
          </mc:Fallback>
        </mc:AlternateContent>
      </w:r>
      <w:r>
        <w:rPr>
          <w:color w:val="231F20"/>
        </w:rPr>
        <w:t>La hausse de l’émigration cubaine est directement associée à ce durcissement du blocus. Ce serait fausser la vérité que de ne pas reconnaître que cette politique </w:t>
      </w:r>
      <w:r>
        <w:rPr>
          <w:color w:val="231F20"/>
          <w:spacing w:val="-2"/>
        </w:rPr>
        <w:t>est</w:t>
      </w:r>
      <w:r>
        <w:rPr>
          <w:color w:val="231F20"/>
          <w:spacing w:val="-15"/>
        </w:rPr>
        <w:t> </w:t>
      </w:r>
      <w:r>
        <w:rPr>
          <w:color w:val="231F20"/>
          <w:spacing w:val="-2"/>
        </w:rPr>
        <w:t>la</w:t>
      </w:r>
      <w:r>
        <w:rPr>
          <w:color w:val="231F20"/>
          <w:spacing w:val="-14"/>
        </w:rPr>
        <w:t> </w:t>
      </w:r>
      <w:r>
        <w:rPr>
          <w:color w:val="231F20"/>
          <w:spacing w:val="-2"/>
        </w:rPr>
        <w:t>cause</w:t>
      </w:r>
      <w:r>
        <w:rPr>
          <w:color w:val="231F20"/>
          <w:spacing w:val="-15"/>
        </w:rPr>
        <w:t> </w:t>
      </w:r>
      <w:r>
        <w:rPr>
          <w:color w:val="231F20"/>
          <w:spacing w:val="-2"/>
        </w:rPr>
        <w:t>principale</w:t>
      </w:r>
      <w:r>
        <w:rPr>
          <w:color w:val="231F20"/>
          <w:spacing w:val="-14"/>
        </w:rPr>
        <w:t> </w:t>
      </w:r>
      <w:r>
        <w:rPr>
          <w:color w:val="231F20"/>
          <w:spacing w:val="-2"/>
        </w:rPr>
        <w:t>de</w:t>
      </w:r>
      <w:r>
        <w:rPr>
          <w:color w:val="231F20"/>
          <w:spacing w:val="-15"/>
        </w:rPr>
        <w:t> </w:t>
      </w:r>
      <w:r>
        <w:rPr>
          <w:color w:val="231F20"/>
          <w:spacing w:val="-2"/>
        </w:rPr>
        <w:t>la</w:t>
      </w:r>
      <w:r>
        <w:rPr>
          <w:color w:val="231F20"/>
          <w:spacing w:val="-14"/>
        </w:rPr>
        <w:t> </w:t>
      </w:r>
      <w:r>
        <w:rPr>
          <w:color w:val="231F20"/>
          <w:spacing w:val="-2"/>
        </w:rPr>
        <w:t>dégradation</w:t>
      </w:r>
      <w:r>
        <w:rPr>
          <w:color w:val="231F20"/>
          <w:spacing w:val="-15"/>
        </w:rPr>
        <w:t> </w:t>
      </w:r>
      <w:r>
        <w:rPr>
          <w:color w:val="231F20"/>
          <w:spacing w:val="-2"/>
        </w:rPr>
        <w:t>de </w:t>
      </w:r>
      <w:r>
        <w:rPr>
          <w:color w:val="231F20"/>
        </w:rPr>
        <w:t>la situation économique du pays, laquelle conduit une quantité non négligeable de Cubains à chercher hors de l’île d’autres voies de réalisation personnelle.</w:t>
      </w:r>
    </w:p>
    <w:p>
      <w:pPr>
        <w:pStyle w:val="BodyText"/>
        <w:spacing w:before="3"/>
        <w:jc w:val="left"/>
        <w:rPr>
          <w:sz w:val="18"/>
        </w:rPr>
      </w:pPr>
      <w:r>
        <w:rPr/>
        <mc:AlternateContent>
          <mc:Choice Requires="wps">
            <w:drawing>
              <wp:anchor distT="0" distB="0" distL="0" distR="0" allowOverlap="1" layoutInCell="1" locked="0" behindDoc="1" simplePos="0" relativeHeight="487683584">
                <wp:simplePos x="0" y="0"/>
                <wp:positionH relativeFrom="page">
                  <wp:posOffset>3628796</wp:posOffset>
                </wp:positionH>
                <wp:positionV relativeFrom="paragraph">
                  <wp:posOffset>169206</wp:posOffset>
                </wp:positionV>
                <wp:extent cx="3931285" cy="1930400"/>
                <wp:effectExtent l="0" t="0" r="0" b="0"/>
                <wp:wrapTopAndBottom/>
                <wp:docPr id="405" name="Textbox 405"/>
                <wp:cNvGraphicFramePr>
                  <a:graphicFrameLocks/>
                </wp:cNvGraphicFramePr>
                <a:graphic>
                  <a:graphicData uri="http://schemas.microsoft.com/office/word/2010/wordprocessingShape">
                    <wps:wsp>
                      <wps:cNvPr id="405" name="Textbox 405"/>
                      <wps:cNvSpPr txBox="1"/>
                      <wps:spPr>
                        <a:xfrm>
                          <a:off x="0" y="0"/>
                          <a:ext cx="3931285" cy="1930400"/>
                        </a:xfrm>
                        <a:prstGeom prst="rect">
                          <a:avLst/>
                        </a:prstGeom>
                        <a:solidFill>
                          <a:srgbClr val="E0E2E2"/>
                        </a:solidFill>
                      </wps:spPr>
                      <wps:txbx>
                        <w:txbxContent>
                          <w:p>
                            <w:pPr>
                              <w:pStyle w:val="BodyText"/>
                              <w:spacing w:before="60"/>
                              <w:jc w:val="left"/>
                              <w:rPr>
                                <w:color w:val="000000"/>
                              </w:rPr>
                            </w:pPr>
                          </w:p>
                          <w:p>
                            <w:pPr>
                              <w:spacing w:before="0"/>
                              <w:ind w:left="657" w:right="1472" w:hanging="107"/>
                              <w:jc w:val="right"/>
                              <w:rPr>
                                <w:b/>
                                <w:i/>
                                <w:color w:val="000000"/>
                                <w:sz w:val="24"/>
                              </w:rPr>
                            </w:pPr>
                            <w:r>
                              <w:rPr>
                                <w:rFonts w:ascii="Segoe UI Semibold" w:hAnsi="Segoe UI Semibold"/>
                                <w:b/>
                                <w:i/>
                                <w:color w:val="231F20"/>
                                <w:sz w:val="24"/>
                              </w:rPr>
                              <w:t>Du</w:t>
                            </w:r>
                            <w:r>
                              <w:rPr>
                                <w:rFonts w:ascii="Segoe UI Semibold" w:hAnsi="Segoe UI Semibold"/>
                                <w:b/>
                                <w:i/>
                                <w:color w:val="231F20"/>
                                <w:spacing w:val="-4"/>
                                <w:sz w:val="24"/>
                              </w:rPr>
                              <w:t> </w:t>
                            </w:r>
                            <w:r>
                              <w:rPr>
                                <w:rFonts w:ascii="Segoe UI Semibold" w:hAnsi="Segoe UI Semibold"/>
                                <w:b/>
                                <w:i/>
                                <w:color w:val="231F20"/>
                                <w:sz w:val="24"/>
                              </w:rPr>
                              <w:t>1er</w:t>
                            </w:r>
                            <w:r>
                              <w:rPr>
                                <w:rFonts w:ascii="Segoe UI Semibold" w:hAnsi="Segoe UI Semibold"/>
                                <w:b/>
                                <w:i/>
                                <w:color w:val="231F20"/>
                                <w:spacing w:val="-5"/>
                                <w:sz w:val="24"/>
                              </w:rPr>
                              <w:t> </w:t>
                            </w:r>
                            <w:r>
                              <w:rPr>
                                <w:rFonts w:ascii="Segoe UI Semibold" w:hAnsi="Segoe UI Semibold"/>
                                <w:b/>
                                <w:i/>
                                <w:color w:val="231F20"/>
                                <w:sz w:val="24"/>
                              </w:rPr>
                              <w:t>mars</w:t>
                            </w:r>
                            <w:r>
                              <w:rPr>
                                <w:rFonts w:ascii="Segoe UI Semibold" w:hAnsi="Segoe UI Semibold"/>
                                <w:b/>
                                <w:i/>
                                <w:color w:val="231F20"/>
                                <w:spacing w:val="-4"/>
                                <w:sz w:val="24"/>
                              </w:rPr>
                              <w:t> </w:t>
                            </w:r>
                            <w:r>
                              <w:rPr>
                                <w:rFonts w:ascii="Segoe UI Semibold" w:hAnsi="Segoe UI Semibold"/>
                                <w:b/>
                                <w:i/>
                                <w:color w:val="231F20"/>
                                <w:sz w:val="24"/>
                              </w:rPr>
                              <w:t>2022</w:t>
                            </w:r>
                            <w:r>
                              <w:rPr>
                                <w:rFonts w:ascii="Segoe UI Semibold" w:hAnsi="Segoe UI Semibold"/>
                                <w:b/>
                                <w:i/>
                                <w:color w:val="231F20"/>
                                <w:spacing w:val="-4"/>
                                <w:sz w:val="24"/>
                              </w:rPr>
                              <w:t> </w:t>
                            </w:r>
                            <w:r>
                              <w:rPr>
                                <w:rFonts w:ascii="Segoe UI Semibold" w:hAnsi="Segoe UI Semibold"/>
                                <w:b/>
                                <w:i/>
                                <w:color w:val="231F20"/>
                                <w:sz w:val="24"/>
                              </w:rPr>
                              <w:t>au</w:t>
                            </w:r>
                            <w:r>
                              <w:rPr>
                                <w:rFonts w:ascii="Segoe UI Semibold" w:hAnsi="Segoe UI Semibold"/>
                                <w:b/>
                                <w:i/>
                                <w:color w:val="231F20"/>
                                <w:spacing w:val="-4"/>
                                <w:sz w:val="24"/>
                              </w:rPr>
                              <w:t> </w:t>
                            </w:r>
                            <w:r>
                              <w:rPr>
                                <w:rFonts w:ascii="Segoe UI Semibold" w:hAnsi="Segoe UI Semibold"/>
                                <w:b/>
                                <w:i/>
                                <w:color w:val="231F20"/>
                                <w:sz w:val="24"/>
                              </w:rPr>
                              <w:t>28</w:t>
                            </w:r>
                            <w:r>
                              <w:rPr>
                                <w:rFonts w:ascii="Segoe UI Semibold" w:hAnsi="Segoe UI Semibold"/>
                                <w:b/>
                                <w:i/>
                                <w:color w:val="231F20"/>
                                <w:spacing w:val="-4"/>
                                <w:sz w:val="24"/>
                              </w:rPr>
                              <w:t> </w:t>
                            </w:r>
                            <w:r>
                              <w:rPr>
                                <w:rFonts w:ascii="Segoe UI Semibold" w:hAnsi="Segoe UI Semibold"/>
                                <w:b/>
                                <w:i/>
                                <w:color w:val="231F20"/>
                                <w:sz w:val="24"/>
                              </w:rPr>
                              <w:t>février</w:t>
                            </w:r>
                            <w:r>
                              <w:rPr>
                                <w:rFonts w:ascii="Segoe UI Semibold" w:hAnsi="Segoe UI Semibold"/>
                                <w:b/>
                                <w:i/>
                                <w:color w:val="231F20"/>
                                <w:spacing w:val="-5"/>
                                <w:sz w:val="24"/>
                              </w:rPr>
                              <w:t> </w:t>
                            </w:r>
                            <w:r>
                              <w:rPr>
                                <w:rFonts w:ascii="Segoe UI Semibold" w:hAnsi="Segoe UI Semibold"/>
                                <w:b/>
                                <w:i/>
                                <w:color w:val="231F20"/>
                                <w:sz w:val="24"/>
                              </w:rPr>
                              <w:t>2023,</w:t>
                            </w:r>
                            <w:r>
                              <w:rPr>
                                <w:rFonts w:ascii="Segoe UI Semibold" w:hAnsi="Segoe UI Semibold"/>
                                <w:b/>
                                <w:i/>
                                <w:color w:val="231F20"/>
                                <w:spacing w:val="-5"/>
                                <w:sz w:val="24"/>
                              </w:rPr>
                              <w:t> </w:t>
                            </w:r>
                            <w:r>
                              <w:rPr>
                                <w:rFonts w:ascii="Segoe UI Semibold" w:hAnsi="Segoe UI Semibold"/>
                                <w:b/>
                                <w:i/>
                                <w:color w:val="231F20"/>
                                <w:sz w:val="24"/>
                              </w:rPr>
                              <w:t>le</w:t>
                            </w:r>
                            <w:r>
                              <w:rPr>
                                <w:rFonts w:ascii="Segoe UI Semibold" w:hAnsi="Segoe UI Semibold"/>
                                <w:b/>
                                <w:i/>
                                <w:color w:val="231F20"/>
                                <w:sz w:val="24"/>
                              </w:rPr>
                              <w:t> blocus</w:t>
                            </w:r>
                            <w:r>
                              <w:rPr>
                                <w:rFonts w:ascii="Segoe UI Semibold" w:hAnsi="Segoe UI Semibold"/>
                                <w:b/>
                                <w:i/>
                                <w:color w:val="231F20"/>
                                <w:spacing w:val="-7"/>
                                <w:sz w:val="24"/>
                              </w:rPr>
                              <w:t> </w:t>
                            </w:r>
                            <w:r>
                              <w:rPr>
                                <w:rFonts w:ascii="Segoe UI Semibold" w:hAnsi="Segoe UI Semibold"/>
                                <w:b/>
                                <w:i/>
                                <w:color w:val="231F20"/>
                                <w:sz w:val="24"/>
                              </w:rPr>
                              <w:t>a</w:t>
                            </w:r>
                            <w:r>
                              <w:rPr>
                                <w:rFonts w:ascii="Segoe UI Semibold" w:hAnsi="Segoe UI Semibold"/>
                                <w:b/>
                                <w:i/>
                                <w:color w:val="231F20"/>
                                <w:spacing w:val="-8"/>
                                <w:sz w:val="24"/>
                              </w:rPr>
                              <w:t> </w:t>
                            </w:r>
                            <w:r>
                              <w:rPr>
                                <w:rFonts w:ascii="Segoe UI Semibold" w:hAnsi="Segoe UI Semibold"/>
                                <w:b/>
                                <w:i/>
                                <w:color w:val="231F20"/>
                                <w:sz w:val="24"/>
                              </w:rPr>
                              <w:t>causé</w:t>
                            </w:r>
                            <w:r>
                              <w:rPr>
                                <w:rFonts w:ascii="Segoe UI Semibold" w:hAnsi="Segoe UI Semibold"/>
                                <w:b/>
                                <w:i/>
                                <w:color w:val="231F20"/>
                                <w:spacing w:val="-8"/>
                                <w:sz w:val="24"/>
                              </w:rPr>
                              <w:t> </w:t>
                            </w:r>
                            <w:r>
                              <w:rPr>
                                <w:rFonts w:ascii="Segoe UI Semibold" w:hAnsi="Segoe UI Semibold"/>
                                <w:b/>
                                <w:i/>
                                <w:color w:val="231F20"/>
                                <w:sz w:val="24"/>
                              </w:rPr>
                              <w:t>à</w:t>
                            </w:r>
                            <w:r>
                              <w:rPr>
                                <w:rFonts w:ascii="Segoe UI Semibold" w:hAnsi="Segoe UI Semibold"/>
                                <w:b/>
                                <w:i/>
                                <w:color w:val="231F20"/>
                                <w:spacing w:val="-8"/>
                                <w:sz w:val="24"/>
                              </w:rPr>
                              <w:t> </w:t>
                            </w:r>
                            <w:r>
                              <w:rPr>
                                <w:rFonts w:ascii="Segoe UI Semibold" w:hAnsi="Segoe UI Semibold"/>
                                <w:b/>
                                <w:i/>
                                <w:color w:val="231F20"/>
                                <w:sz w:val="24"/>
                              </w:rPr>
                              <w:t>Cuba</w:t>
                            </w:r>
                            <w:r>
                              <w:rPr>
                                <w:rFonts w:ascii="Segoe UI Semibold" w:hAnsi="Segoe UI Semibold"/>
                                <w:b/>
                                <w:i/>
                                <w:color w:val="231F20"/>
                                <w:spacing w:val="-8"/>
                                <w:sz w:val="24"/>
                              </w:rPr>
                              <w:t> </w:t>
                            </w:r>
                            <w:r>
                              <w:rPr>
                                <w:rFonts w:ascii="Segoe UI Semibold" w:hAnsi="Segoe UI Semibold"/>
                                <w:b/>
                                <w:i/>
                                <w:color w:val="231F20"/>
                                <w:sz w:val="24"/>
                              </w:rPr>
                              <w:t>des</w:t>
                            </w:r>
                            <w:r>
                              <w:rPr>
                                <w:rFonts w:ascii="Segoe UI Semibold" w:hAnsi="Segoe UI Semibold"/>
                                <w:b/>
                                <w:i/>
                                <w:color w:val="231F20"/>
                                <w:spacing w:val="-7"/>
                                <w:sz w:val="24"/>
                              </w:rPr>
                              <w:t> </w:t>
                            </w:r>
                            <w:r>
                              <w:rPr>
                                <w:rFonts w:ascii="Segoe UI Semibold" w:hAnsi="Segoe UI Semibold"/>
                                <w:b/>
                                <w:i/>
                                <w:color w:val="231F20"/>
                                <w:sz w:val="24"/>
                              </w:rPr>
                              <w:t>dommages et préjudices se chiffrant à environ </w:t>
                            </w:r>
                            <w:r>
                              <w:rPr>
                                <w:b/>
                                <w:i/>
                                <w:color w:val="231F20"/>
                                <w:sz w:val="24"/>
                              </w:rPr>
                              <w:t>4</w:t>
                            </w:r>
                            <w:r>
                              <w:rPr>
                                <w:b/>
                                <w:i/>
                                <w:color w:val="231F20"/>
                                <w:sz w:val="24"/>
                              </w:rPr>
                              <w:t> 867 000 000 de dollars</w:t>
                            </w:r>
                            <w:r>
                              <w:rPr>
                                <w:rFonts w:ascii="Segoe UI Semibold" w:hAnsi="Segoe UI Semibold"/>
                                <w:b/>
                                <w:i/>
                                <w:color w:val="231F20"/>
                                <w:sz w:val="24"/>
                              </w:rPr>
                              <w:t>, soit plus de</w:t>
                            </w:r>
                            <w:r>
                              <w:rPr>
                                <w:rFonts w:ascii="Segoe UI Semibold" w:hAnsi="Segoe UI Semibold"/>
                                <w:b/>
                                <w:i/>
                                <w:color w:val="231F20"/>
                                <w:sz w:val="24"/>
                              </w:rPr>
                              <w:t> </w:t>
                            </w:r>
                            <w:r>
                              <w:rPr>
                                <w:b/>
                                <w:i/>
                                <w:color w:val="231F20"/>
                                <w:sz w:val="24"/>
                              </w:rPr>
                              <w:t>405 millions </w:t>
                            </w:r>
                            <w:r>
                              <w:rPr>
                                <w:rFonts w:ascii="Segoe UI Semibold" w:hAnsi="Segoe UI Semibold"/>
                                <w:b/>
                                <w:i/>
                                <w:color w:val="231F20"/>
                                <w:sz w:val="24"/>
                              </w:rPr>
                              <w:t>par mois, ou plus de </w:t>
                            </w:r>
                            <w:r>
                              <w:rPr>
                                <w:b/>
                                <w:i/>
                                <w:color w:val="231F20"/>
                                <w:sz w:val="24"/>
                              </w:rPr>
                              <w:t>13</w:t>
                            </w:r>
                            <w:r>
                              <w:rPr>
                                <w:b/>
                                <w:i/>
                                <w:color w:val="231F20"/>
                                <w:sz w:val="24"/>
                              </w:rPr>
                              <w:t> millions par jour </w:t>
                            </w:r>
                            <w:r>
                              <w:rPr>
                                <w:rFonts w:ascii="Segoe UI Semibold" w:hAnsi="Segoe UI Semibold"/>
                                <w:b/>
                                <w:i/>
                                <w:color w:val="231F20"/>
                                <w:sz w:val="24"/>
                              </w:rPr>
                              <w:t>ou plus de </w:t>
                            </w:r>
                            <w:r>
                              <w:rPr>
                                <w:b/>
                                <w:i/>
                                <w:color w:val="231F20"/>
                                <w:sz w:val="24"/>
                              </w:rPr>
                              <w:t>555 000</w:t>
                            </w:r>
                          </w:p>
                          <w:p>
                            <w:pPr>
                              <w:spacing w:line="319" w:lineRule="exact" w:before="0"/>
                              <w:ind w:left="3586" w:right="0" w:firstLine="0"/>
                              <w:jc w:val="left"/>
                              <w:rPr>
                                <w:rFonts w:ascii="Segoe UI Semibold"/>
                                <w:b/>
                                <w:i/>
                                <w:color w:val="000000"/>
                                <w:sz w:val="24"/>
                              </w:rPr>
                            </w:pPr>
                            <w:r>
                              <w:rPr>
                                <w:b/>
                                <w:i/>
                                <w:color w:val="231F20"/>
                                <w:sz w:val="24"/>
                              </w:rPr>
                              <w:t>par</w:t>
                            </w:r>
                            <w:r>
                              <w:rPr>
                                <w:b/>
                                <w:i/>
                                <w:color w:val="231F20"/>
                                <w:spacing w:val="-4"/>
                                <w:sz w:val="24"/>
                              </w:rPr>
                              <w:t> </w:t>
                            </w:r>
                            <w:r>
                              <w:rPr>
                                <w:b/>
                                <w:i/>
                                <w:color w:val="231F20"/>
                                <w:spacing w:val="-2"/>
                                <w:sz w:val="24"/>
                              </w:rPr>
                              <w:t>heure</w:t>
                            </w:r>
                            <w:r>
                              <w:rPr>
                                <w:rFonts w:ascii="Segoe UI Semibold"/>
                                <w:b/>
                                <w:i/>
                                <w:color w:val="231F20"/>
                                <w:spacing w:val="-2"/>
                                <w:sz w:val="24"/>
                              </w:rPr>
                              <w:t>.</w:t>
                            </w:r>
                          </w:p>
                        </w:txbxContent>
                      </wps:txbx>
                      <wps:bodyPr wrap="square" lIns="0" tIns="0" rIns="0" bIns="0" rtlCol="0">
                        <a:noAutofit/>
                      </wps:bodyPr>
                    </wps:wsp>
                  </a:graphicData>
                </a:graphic>
              </wp:anchor>
            </w:drawing>
          </mc:Choice>
          <mc:Fallback>
            <w:pict>
              <v:shape style="position:absolute;margin-left:285.731995pt;margin-top:13.323313pt;width:309.55pt;height:152pt;mso-position-horizontal-relative:page;mso-position-vertical-relative:paragraph;z-index:-15632896;mso-wrap-distance-left:0;mso-wrap-distance-right:0" type="#_x0000_t202" id="docshape336" filled="true" fillcolor="#e0e2e2" stroked="false">
                <v:textbox inset="0,0,0,0">
                  <w:txbxContent>
                    <w:p>
                      <w:pPr>
                        <w:pStyle w:val="BodyText"/>
                        <w:spacing w:before="60"/>
                        <w:jc w:val="left"/>
                        <w:rPr>
                          <w:color w:val="000000"/>
                        </w:rPr>
                      </w:pPr>
                    </w:p>
                    <w:p>
                      <w:pPr>
                        <w:spacing w:before="0"/>
                        <w:ind w:left="657" w:right="1472" w:hanging="107"/>
                        <w:jc w:val="right"/>
                        <w:rPr>
                          <w:b/>
                          <w:i/>
                          <w:color w:val="000000"/>
                          <w:sz w:val="24"/>
                        </w:rPr>
                      </w:pPr>
                      <w:r>
                        <w:rPr>
                          <w:rFonts w:ascii="Segoe UI Semibold" w:hAnsi="Segoe UI Semibold"/>
                          <w:b/>
                          <w:i/>
                          <w:color w:val="231F20"/>
                          <w:sz w:val="24"/>
                        </w:rPr>
                        <w:t>Du</w:t>
                      </w:r>
                      <w:r>
                        <w:rPr>
                          <w:rFonts w:ascii="Segoe UI Semibold" w:hAnsi="Segoe UI Semibold"/>
                          <w:b/>
                          <w:i/>
                          <w:color w:val="231F20"/>
                          <w:spacing w:val="-4"/>
                          <w:sz w:val="24"/>
                        </w:rPr>
                        <w:t> </w:t>
                      </w:r>
                      <w:r>
                        <w:rPr>
                          <w:rFonts w:ascii="Segoe UI Semibold" w:hAnsi="Segoe UI Semibold"/>
                          <w:b/>
                          <w:i/>
                          <w:color w:val="231F20"/>
                          <w:sz w:val="24"/>
                        </w:rPr>
                        <w:t>1er</w:t>
                      </w:r>
                      <w:r>
                        <w:rPr>
                          <w:rFonts w:ascii="Segoe UI Semibold" w:hAnsi="Segoe UI Semibold"/>
                          <w:b/>
                          <w:i/>
                          <w:color w:val="231F20"/>
                          <w:spacing w:val="-5"/>
                          <w:sz w:val="24"/>
                        </w:rPr>
                        <w:t> </w:t>
                      </w:r>
                      <w:r>
                        <w:rPr>
                          <w:rFonts w:ascii="Segoe UI Semibold" w:hAnsi="Segoe UI Semibold"/>
                          <w:b/>
                          <w:i/>
                          <w:color w:val="231F20"/>
                          <w:sz w:val="24"/>
                        </w:rPr>
                        <w:t>mars</w:t>
                      </w:r>
                      <w:r>
                        <w:rPr>
                          <w:rFonts w:ascii="Segoe UI Semibold" w:hAnsi="Segoe UI Semibold"/>
                          <w:b/>
                          <w:i/>
                          <w:color w:val="231F20"/>
                          <w:spacing w:val="-4"/>
                          <w:sz w:val="24"/>
                        </w:rPr>
                        <w:t> </w:t>
                      </w:r>
                      <w:r>
                        <w:rPr>
                          <w:rFonts w:ascii="Segoe UI Semibold" w:hAnsi="Segoe UI Semibold"/>
                          <w:b/>
                          <w:i/>
                          <w:color w:val="231F20"/>
                          <w:sz w:val="24"/>
                        </w:rPr>
                        <w:t>2022</w:t>
                      </w:r>
                      <w:r>
                        <w:rPr>
                          <w:rFonts w:ascii="Segoe UI Semibold" w:hAnsi="Segoe UI Semibold"/>
                          <w:b/>
                          <w:i/>
                          <w:color w:val="231F20"/>
                          <w:spacing w:val="-4"/>
                          <w:sz w:val="24"/>
                        </w:rPr>
                        <w:t> </w:t>
                      </w:r>
                      <w:r>
                        <w:rPr>
                          <w:rFonts w:ascii="Segoe UI Semibold" w:hAnsi="Segoe UI Semibold"/>
                          <w:b/>
                          <w:i/>
                          <w:color w:val="231F20"/>
                          <w:sz w:val="24"/>
                        </w:rPr>
                        <w:t>au</w:t>
                      </w:r>
                      <w:r>
                        <w:rPr>
                          <w:rFonts w:ascii="Segoe UI Semibold" w:hAnsi="Segoe UI Semibold"/>
                          <w:b/>
                          <w:i/>
                          <w:color w:val="231F20"/>
                          <w:spacing w:val="-4"/>
                          <w:sz w:val="24"/>
                        </w:rPr>
                        <w:t> </w:t>
                      </w:r>
                      <w:r>
                        <w:rPr>
                          <w:rFonts w:ascii="Segoe UI Semibold" w:hAnsi="Segoe UI Semibold"/>
                          <w:b/>
                          <w:i/>
                          <w:color w:val="231F20"/>
                          <w:sz w:val="24"/>
                        </w:rPr>
                        <w:t>28</w:t>
                      </w:r>
                      <w:r>
                        <w:rPr>
                          <w:rFonts w:ascii="Segoe UI Semibold" w:hAnsi="Segoe UI Semibold"/>
                          <w:b/>
                          <w:i/>
                          <w:color w:val="231F20"/>
                          <w:spacing w:val="-4"/>
                          <w:sz w:val="24"/>
                        </w:rPr>
                        <w:t> </w:t>
                      </w:r>
                      <w:r>
                        <w:rPr>
                          <w:rFonts w:ascii="Segoe UI Semibold" w:hAnsi="Segoe UI Semibold"/>
                          <w:b/>
                          <w:i/>
                          <w:color w:val="231F20"/>
                          <w:sz w:val="24"/>
                        </w:rPr>
                        <w:t>février</w:t>
                      </w:r>
                      <w:r>
                        <w:rPr>
                          <w:rFonts w:ascii="Segoe UI Semibold" w:hAnsi="Segoe UI Semibold"/>
                          <w:b/>
                          <w:i/>
                          <w:color w:val="231F20"/>
                          <w:spacing w:val="-5"/>
                          <w:sz w:val="24"/>
                        </w:rPr>
                        <w:t> </w:t>
                      </w:r>
                      <w:r>
                        <w:rPr>
                          <w:rFonts w:ascii="Segoe UI Semibold" w:hAnsi="Segoe UI Semibold"/>
                          <w:b/>
                          <w:i/>
                          <w:color w:val="231F20"/>
                          <w:sz w:val="24"/>
                        </w:rPr>
                        <w:t>2023,</w:t>
                      </w:r>
                      <w:r>
                        <w:rPr>
                          <w:rFonts w:ascii="Segoe UI Semibold" w:hAnsi="Segoe UI Semibold"/>
                          <w:b/>
                          <w:i/>
                          <w:color w:val="231F20"/>
                          <w:spacing w:val="-5"/>
                          <w:sz w:val="24"/>
                        </w:rPr>
                        <w:t> </w:t>
                      </w:r>
                      <w:r>
                        <w:rPr>
                          <w:rFonts w:ascii="Segoe UI Semibold" w:hAnsi="Segoe UI Semibold"/>
                          <w:b/>
                          <w:i/>
                          <w:color w:val="231F20"/>
                          <w:sz w:val="24"/>
                        </w:rPr>
                        <w:t>le</w:t>
                      </w:r>
                      <w:r>
                        <w:rPr>
                          <w:rFonts w:ascii="Segoe UI Semibold" w:hAnsi="Segoe UI Semibold"/>
                          <w:b/>
                          <w:i/>
                          <w:color w:val="231F20"/>
                          <w:sz w:val="24"/>
                        </w:rPr>
                        <w:t> blocus</w:t>
                      </w:r>
                      <w:r>
                        <w:rPr>
                          <w:rFonts w:ascii="Segoe UI Semibold" w:hAnsi="Segoe UI Semibold"/>
                          <w:b/>
                          <w:i/>
                          <w:color w:val="231F20"/>
                          <w:spacing w:val="-7"/>
                          <w:sz w:val="24"/>
                        </w:rPr>
                        <w:t> </w:t>
                      </w:r>
                      <w:r>
                        <w:rPr>
                          <w:rFonts w:ascii="Segoe UI Semibold" w:hAnsi="Segoe UI Semibold"/>
                          <w:b/>
                          <w:i/>
                          <w:color w:val="231F20"/>
                          <w:sz w:val="24"/>
                        </w:rPr>
                        <w:t>a</w:t>
                      </w:r>
                      <w:r>
                        <w:rPr>
                          <w:rFonts w:ascii="Segoe UI Semibold" w:hAnsi="Segoe UI Semibold"/>
                          <w:b/>
                          <w:i/>
                          <w:color w:val="231F20"/>
                          <w:spacing w:val="-8"/>
                          <w:sz w:val="24"/>
                        </w:rPr>
                        <w:t> </w:t>
                      </w:r>
                      <w:r>
                        <w:rPr>
                          <w:rFonts w:ascii="Segoe UI Semibold" w:hAnsi="Segoe UI Semibold"/>
                          <w:b/>
                          <w:i/>
                          <w:color w:val="231F20"/>
                          <w:sz w:val="24"/>
                        </w:rPr>
                        <w:t>causé</w:t>
                      </w:r>
                      <w:r>
                        <w:rPr>
                          <w:rFonts w:ascii="Segoe UI Semibold" w:hAnsi="Segoe UI Semibold"/>
                          <w:b/>
                          <w:i/>
                          <w:color w:val="231F20"/>
                          <w:spacing w:val="-8"/>
                          <w:sz w:val="24"/>
                        </w:rPr>
                        <w:t> </w:t>
                      </w:r>
                      <w:r>
                        <w:rPr>
                          <w:rFonts w:ascii="Segoe UI Semibold" w:hAnsi="Segoe UI Semibold"/>
                          <w:b/>
                          <w:i/>
                          <w:color w:val="231F20"/>
                          <w:sz w:val="24"/>
                        </w:rPr>
                        <w:t>à</w:t>
                      </w:r>
                      <w:r>
                        <w:rPr>
                          <w:rFonts w:ascii="Segoe UI Semibold" w:hAnsi="Segoe UI Semibold"/>
                          <w:b/>
                          <w:i/>
                          <w:color w:val="231F20"/>
                          <w:spacing w:val="-8"/>
                          <w:sz w:val="24"/>
                        </w:rPr>
                        <w:t> </w:t>
                      </w:r>
                      <w:r>
                        <w:rPr>
                          <w:rFonts w:ascii="Segoe UI Semibold" w:hAnsi="Segoe UI Semibold"/>
                          <w:b/>
                          <w:i/>
                          <w:color w:val="231F20"/>
                          <w:sz w:val="24"/>
                        </w:rPr>
                        <w:t>Cuba</w:t>
                      </w:r>
                      <w:r>
                        <w:rPr>
                          <w:rFonts w:ascii="Segoe UI Semibold" w:hAnsi="Segoe UI Semibold"/>
                          <w:b/>
                          <w:i/>
                          <w:color w:val="231F20"/>
                          <w:spacing w:val="-8"/>
                          <w:sz w:val="24"/>
                        </w:rPr>
                        <w:t> </w:t>
                      </w:r>
                      <w:r>
                        <w:rPr>
                          <w:rFonts w:ascii="Segoe UI Semibold" w:hAnsi="Segoe UI Semibold"/>
                          <w:b/>
                          <w:i/>
                          <w:color w:val="231F20"/>
                          <w:sz w:val="24"/>
                        </w:rPr>
                        <w:t>des</w:t>
                      </w:r>
                      <w:r>
                        <w:rPr>
                          <w:rFonts w:ascii="Segoe UI Semibold" w:hAnsi="Segoe UI Semibold"/>
                          <w:b/>
                          <w:i/>
                          <w:color w:val="231F20"/>
                          <w:spacing w:val="-7"/>
                          <w:sz w:val="24"/>
                        </w:rPr>
                        <w:t> </w:t>
                      </w:r>
                      <w:r>
                        <w:rPr>
                          <w:rFonts w:ascii="Segoe UI Semibold" w:hAnsi="Segoe UI Semibold"/>
                          <w:b/>
                          <w:i/>
                          <w:color w:val="231F20"/>
                          <w:sz w:val="24"/>
                        </w:rPr>
                        <w:t>dommages et préjudices se chiffrant à environ </w:t>
                      </w:r>
                      <w:r>
                        <w:rPr>
                          <w:b/>
                          <w:i/>
                          <w:color w:val="231F20"/>
                          <w:sz w:val="24"/>
                        </w:rPr>
                        <w:t>4</w:t>
                      </w:r>
                      <w:r>
                        <w:rPr>
                          <w:b/>
                          <w:i/>
                          <w:color w:val="231F20"/>
                          <w:sz w:val="24"/>
                        </w:rPr>
                        <w:t> 867 000 000 de dollars</w:t>
                      </w:r>
                      <w:r>
                        <w:rPr>
                          <w:rFonts w:ascii="Segoe UI Semibold" w:hAnsi="Segoe UI Semibold"/>
                          <w:b/>
                          <w:i/>
                          <w:color w:val="231F20"/>
                          <w:sz w:val="24"/>
                        </w:rPr>
                        <w:t>, soit plus de</w:t>
                      </w:r>
                      <w:r>
                        <w:rPr>
                          <w:rFonts w:ascii="Segoe UI Semibold" w:hAnsi="Segoe UI Semibold"/>
                          <w:b/>
                          <w:i/>
                          <w:color w:val="231F20"/>
                          <w:sz w:val="24"/>
                        </w:rPr>
                        <w:t> </w:t>
                      </w:r>
                      <w:r>
                        <w:rPr>
                          <w:b/>
                          <w:i/>
                          <w:color w:val="231F20"/>
                          <w:sz w:val="24"/>
                        </w:rPr>
                        <w:t>405 millions </w:t>
                      </w:r>
                      <w:r>
                        <w:rPr>
                          <w:rFonts w:ascii="Segoe UI Semibold" w:hAnsi="Segoe UI Semibold"/>
                          <w:b/>
                          <w:i/>
                          <w:color w:val="231F20"/>
                          <w:sz w:val="24"/>
                        </w:rPr>
                        <w:t>par mois, ou plus de </w:t>
                      </w:r>
                      <w:r>
                        <w:rPr>
                          <w:b/>
                          <w:i/>
                          <w:color w:val="231F20"/>
                          <w:sz w:val="24"/>
                        </w:rPr>
                        <w:t>13</w:t>
                      </w:r>
                      <w:r>
                        <w:rPr>
                          <w:b/>
                          <w:i/>
                          <w:color w:val="231F20"/>
                          <w:sz w:val="24"/>
                        </w:rPr>
                        <w:t> millions par jour </w:t>
                      </w:r>
                      <w:r>
                        <w:rPr>
                          <w:rFonts w:ascii="Segoe UI Semibold" w:hAnsi="Segoe UI Semibold"/>
                          <w:b/>
                          <w:i/>
                          <w:color w:val="231F20"/>
                          <w:sz w:val="24"/>
                        </w:rPr>
                        <w:t>ou plus de </w:t>
                      </w:r>
                      <w:r>
                        <w:rPr>
                          <w:b/>
                          <w:i/>
                          <w:color w:val="231F20"/>
                          <w:sz w:val="24"/>
                        </w:rPr>
                        <w:t>555 000</w:t>
                      </w:r>
                    </w:p>
                    <w:p>
                      <w:pPr>
                        <w:spacing w:line="319" w:lineRule="exact" w:before="0"/>
                        <w:ind w:left="3586" w:right="0" w:firstLine="0"/>
                        <w:jc w:val="left"/>
                        <w:rPr>
                          <w:rFonts w:ascii="Segoe UI Semibold"/>
                          <w:b/>
                          <w:i/>
                          <w:color w:val="000000"/>
                          <w:sz w:val="24"/>
                        </w:rPr>
                      </w:pPr>
                      <w:r>
                        <w:rPr>
                          <w:b/>
                          <w:i/>
                          <w:color w:val="231F20"/>
                          <w:sz w:val="24"/>
                        </w:rPr>
                        <w:t>par</w:t>
                      </w:r>
                      <w:r>
                        <w:rPr>
                          <w:b/>
                          <w:i/>
                          <w:color w:val="231F20"/>
                          <w:spacing w:val="-4"/>
                          <w:sz w:val="24"/>
                        </w:rPr>
                        <w:t> </w:t>
                      </w:r>
                      <w:r>
                        <w:rPr>
                          <w:b/>
                          <w:i/>
                          <w:color w:val="231F20"/>
                          <w:spacing w:val="-2"/>
                          <w:sz w:val="24"/>
                        </w:rPr>
                        <w:t>heure</w:t>
                      </w:r>
                      <w:r>
                        <w:rPr>
                          <w:rFonts w:ascii="Segoe UI Semibold"/>
                          <w:b/>
                          <w:i/>
                          <w:color w:val="231F20"/>
                          <w:spacing w:val="-2"/>
                          <w:sz w:val="24"/>
                        </w:rPr>
                        <w:t>.</w:t>
                      </w:r>
                    </w:p>
                  </w:txbxContent>
                </v:textbox>
                <v:fill type="solid"/>
                <w10:wrap type="topAndBottom"/>
              </v:shape>
            </w:pict>
          </mc:Fallback>
        </mc:AlternateContent>
      </w:r>
    </w:p>
    <w:p>
      <w:pPr>
        <w:pStyle w:val="BodyText"/>
        <w:spacing w:before="221"/>
        <w:ind w:left="412" w:right="1473"/>
      </w:pPr>
      <w:r>
        <w:rPr>
          <w:color w:val="231F20"/>
          <w:spacing w:val="-4"/>
        </w:rPr>
        <w:t>Ce</w:t>
      </w:r>
      <w:r>
        <w:rPr>
          <w:color w:val="231F20"/>
          <w:spacing w:val="-13"/>
        </w:rPr>
        <w:t> </w:t>
      </w:r>
      <w:r>
        <w:rPr>
          <w:color w:val="231F20"/>
          <w:spacing w:val="-4"/>
        </w:rPr>
        <w:t>montant</w:t>
      </w:r>
      <w:r>
        <w:rPr>
          <w:color w:val="231F20"/>
          <w:spacing w:val="-12"/>
        </w:rPr>
        <w:t> </w:t>
      </w:r>
      <w:r>
        <w:rPr>
          <w:color w:val="231F20"/>
          <w:spacing w:val="-4"/>
        </w:rPr>
        <w:t>s’explique</w:t>
      </w:r>
      <w:r>
        <w:rPr>
          <w:color w:val="231F20"/>
          <w:spacing w:val="-13"/>
        </w:rPr>
        <w:t> </w:t>
      </w:r>
      <w:r>
        <w:rPr>
          <w:color w:val="231F20"/>
          <w:spacing w:val="-4"/>
        </w:rPr>
        <w:t>par</w:t>
      </w:r>
      <w:r>
        <w:rPr>
          <w:color w:val="231F20"/>
          <w:spacing w:val="-12"/>
        </w:rPr>
        <w:t> </w:t>
      </w:r>
      <w:r>
        <w:rPr>
          <w:color w:val="231F20"/>
          <w:spacing w:val="-4"/>
        </w:rPr>
        <w:t>l’impact</w:t>
      </w:r>
      <w:r>
        <w:rPr>
          <w:color w:val="231F20"/>
          <w:spacing w:val="-13"/>
        </w:rPr>
        <w:t> </w:t>
      </w:r>
      <w:r>
        <w:rPr>
          <w:color w:val="231F20"/>
          <w:spacing w:val="-4"/>
        </w:rPr>
        <w:t>renforcé </w:t>
      </w:r>
      <w:r>
        <w:rPr>
          <w:color w:val="231F20"/>
        </w:rPr>
        <w:t>du blocus sur les exportations cubaines, surtout dans le tourisme, par la traque impitoyable des opérations bancaires et financières</w:t>
      </w:r>
      <w:r>
        <w:rPr>
          <w:color w:val="231F20"/>
          <w:spacing w:val="-6"/>
        </w:rPr>
        <w:t> </w:t>
      </w:r>
      <w:r>
        <w:rPr>
          <w:color w:val="231F20"/>
        </w:rPr>
        <w:t>de</w:t>
      </w:r>
      <w:r>
        <w:rPr>
          <w:color w:val="231F20"/>
          <w:spacing w:val="-6"/>
        </w:rPr>
        <w:t> </w:t>
      </w:r>
      <w:r>
        <w:rPr>
          <w:color w:val="231F20"/>
        </w:rPr>
        <w:t>notre</w:t>
      </w:r>
      <w:r>
        <w:rPr>
          <w:color w:val="231F20"/>
          <w:spacing w:val="-6"/>
        </w:rPr>
        <w:t> </w:t>
      </w:r>
      <w:r>
        <w:rPr>
          <w:color w:val="231F20"/>
        </w:rPr>
        <w:t>pays,</w:t>
      </w:r>
      <w:r>
        <w:rPr>
          <w:color w:val="231F20"/>
          <w:spacing w:val="-6"/>
        </w:rPr>
        <w:t> </w:t>
      </w:r>
      <w:r>
        <w:rPr>
          <w:color w:val="231F20"/>
        </w:rPr>
        <w:t>par</w:t>
      </w:r>
      <w:r>
        <w:rPr>
          <w:color w:val="231F20"/>
          <w:spacing w:val="-6"/>
        </w:rPr>
        <w:t> </w:t>
      </w:r>
      <w:r>
        <w:rPr>
          <w:color w:val="231F20"/>
        </w:rPr>
        <w:t>les</w:t>
      </w:r>
      <w:r>
        <w:rPr>
          <w:color w:val="231F20"/>
          <w:spacing w:val="-6"/>
        </w:rPr>
        <w:t> </w:t>
      </w:r>
      <w:r>
        <w:rPr>
          <w:color w:val="231F20"/>
        </w:rPr>
        <w:t>surcoûts qu’engendre l’obligation de se pourvoir sur</w:t>
      </w:r>
      <w:r>
        <w:rPr>
          <w:color w:val="231F20"/>
          <w:spacing w:val="-13"/>
        </w:rPr>
        <w:t> </w:t>
      </w:r>
      <w:r>
        <w:rPr>
          <w:color w:val="231F20"/>
        </w:rPr>
        <w:t>des</w:t>
      </w:r>
      <w:r>
        <w:rPr>
          <w:color w:val="231F20"/>
          <w:spacing w:val="-13"/>
        </w:rPr>
        <w:t> </w:t>
      </w:r>
      <w:r>
        <w:rPr>
          <w:color w:val="231F20"/>
        </w:rPr>
        <w:t>marchés</w:t>
      </w:r>
      <w:r>
        <w:rPr>
          <w:color w:val="231F20"/>
          <w:spacing w:val="-13"/>
        </w:rPr>
        <w:t> </w:t>
      </w:r>
      <w:r>
        <w:rPr>
          <w:color w:val="231F20"/>
        </w:rPr>
        <w:t>lointains,</w:t>
      </w:r>
      <w:r>
        <w:rPr>
          <w:color w:val="231F20"/>
          <w:spacing w:val="-13"/>
        </w:rPr>
        <w:t> </w:t>
      </w:r>
      <w:r>
        <w:rPr>
          <w:color w:val="231F20"/>
        </w:rPr>
        <w:t>par</w:t>
      </w:r>
      <w:r>
        <w:rPr>
          <w:color w:val="231F20"/>
          <w:spacing w:val="-13"/>
        </w:rPr>
        <w:t> </w:t>
      </w:r>
      <w:r>
        <w:rPr>
          <w:color w:val="231F20"/>
        </w:rPr>
        <w:t>les</w:t>
      </w:r>
      <w:r>
        <w:rPr>
          <w:color w:val="231F20"/>
          <w:spacing w:val="-13"/>
        </w:rPr>
        <w:t> </w:t>
      </w:r>
      <w:r>
        <w:rPr>
          <w:color w:val="231F20"/>
        </w:rPr>
        <w:t>atteintes à la production et aux services prêtés à la </w:t>
      </w:r>
      <w:r>
        <w:rPr>
          <w:color w:val="231F20"/>
          <w:spacing w:val="-4"/>
        </w:rPr>
        <w:t>population</w:t>
      </w:r>
      <w:r>
        <w:rPr>
          <w:color w:val="231F20"/>
          <w:spacing w:val="-11"/>
        </w:rPr>
        <w:t> </w:t>
      </w:r>
      <w:r>
        <w:rPr>
          <w:color w:val="231F20"/>
          <w:spacing w:val="-4"/>
        </w:rPr>
        <w:t>et</w:t>
      </w:r>
      <w:r>
        <w:rPr>
          <w:color w:val="231F20"/>
          <w:spacing w:val="-11"/>
        </w:rPr>
        <w:t> </w:t>
      </w:r>
      <w:r>
        <w:rPr>
          <w:color w:val="231F20"/>
          <w:spacing w:val="-4"/>
        </w:rPr>
        <w:t>par</w:t>
      </w:r>
      <w:r>
        <w:rPr>
          <w:color w:val="231F20"/>
          <w:spacing w:val="-11"/>
        </w:rPr>
        <w:t> </w:t>
      </w:r>
      <w:r>
        <w:rPr>
          <w:color w:val="231F20"/>
          <w:spacing w:val="-4"/>
        </w:rPr>
        <w:t>les</w:t>
      </w:r>
      <w:r>
        <w:rPr>
          <w:color w:val="231F20"/>
          <w:spacing w:val="-11"/>
        </w:rPr>
        <w:t> </w:t>
      </w:r>
      <w:r>
        <w:rPr>
          <w:color w:val="231F20"/>
          <w:spacing w:val="-4"/>
        </w:rPr>
        <w:t>obstacles</w:t>
      </w:r>
      <w:r>
        <w:rPr>
          <w:color w:val="231F20"/>
          <w:spacing w:val="-11"/>
        </w:rPr>
        <w:t> </w:t>
      </w:r>
      <w:r>
        <w:rPr>
          <w:color w:val="231F20"/>
          <w:spacing w:val="-4"/>
        </w:rPr>
        <w:t>mis</w:t>
      </w:r>
      <w:r>
        <w:rPr>
          <w:color w:val="231F20"/>
          <w:spacing w:val="-11"/>
        </w:rPr>
        <w:t> </w:t>
      </w:r>
      <w:r>
        <w:rPr>
          <w:color w:val="231F20"/>
          <w:spacing w:val="-4"/>
        </w:rPr>
        <w:t>à</w:t>
      </w:r>
      <w:r>
        <w:rPr>
          <w:color w:val="231F20"/>
          <w:spacing w:val="-11"/>
        </w:rPr>
        <w:t> </w:t>
      </w:r>
      <w:r>
        <w:rPr>
          <w:color w:val="231F20"/>
          <w:spacing w:val="-4"/>
        </w:rPr>
        <w:t>l’accès </w:t>
      </w:r>
      <w:r>
        <w:rPr>
          <w:color w:val="231F20"/>
        </w:rPr>
        <w:t>à des technologies de pointe.</w:t>
      </w:r>
    </w:p>
    <w:p>
      <w:pPr>
        <w:spacing w:after="0"/>
        <w:sectPr>
          <w:pgSz w:w="11910" w:h="16840"/>
          <w:pgMar w:header="0" w:footer="695" w:top="1260" w:bottom="880" w:left="0" w:right="0"/>
          <w:cols w:num="2" w:equalWidth="0">
            <w:col w:w="5558" w:space="40"/>
            <w:col w:w="6312"/>
          </w:cols>
        </w:sectPr>
      </w:pPr>
    </w:p>
    <w:p>
      <w:pPr>
        <w:pStyle w:val="BodyText"/>
        <w:spacing w:before="77"/>
        <w:ind w:left="6349" w:right="1132"/>
      </w:pPr>
      <w:r>
        <w:rPr/>
        <mc:AlternateContent>
          <mc:Choice Requires="wps">
            <w:drawing>
              <wp:anchor distT="0" distB="0" distL="0" distR="0" allowOverlap="1" layoutInCell="1" locked="0" behindDoc="0" simplePos="0" relativeHeight="15825920">
                <wp:simplePos x="0" y="0"/>
                <wp:positionH relativeFrom="page">
                  <wp:posOffset>0</wp:posOffset>
                </wp:positionH>
                <wp:positionV relativeFrom="paragraph">
                  <wp:posOffset>111798</wp:posOffset>
                </wp:positionV>
                <wp:extent cx="3888104" cy="3251200"/>
                <wp:effectExtent l="0" t="0" r="0" b="0"/>
                <wp:wrapNone/>
                <wp:docPr id="406" name="Textbox 406"/>
                <wp:cNvGraphicFramePr>
                  <a:graphicFrameLocks/>
                </wp:cNvGraphicFramePr>
                <a:graphic>
                  <a:graphicData uri="http://schemas.microsoft.com/office/word/2010/wordprocessingShape">
                    <wps:wsp>
                      <wps:cNvPr id="406" name="Textbox 406"/>
                      <wps:cNvSpPr txBox="1"/>
                      <wps:spPr>
                        <a:xfrm>
                          <a:off x="0" y="0"/>
                          <a:ext cx="3888104" cy="3251200"/>
                        </a:xfrm>
                        <a:prstGeom prst="rect">
                          <a:avLst/>
                        </a:prstGeom>
                        <a:solidFill>
                          <a:srgbClr val="E0E2E2"/>
                        </a:solidFill>
                      </wps:spPr>
                      <wps:txbx>
                        <w:txbxContent>
                          <w:p>
                            <w:pPr>
                              <w:spacing w:line="220" w:lineRule="auto" w:before="221"/>
                              <w:ind w:left="1474" w:right="270" w:firstLine="0"/>
                              <w:jc w:val="left"/>
                              <w:rPr>
                                <w:rFonts w:ascii="Segoe UI Semibold"/>
                                <w:b/>
                                <w:i/>
                                <w:color w:val="000000"/>
                                <w:sz w:val="26"/>
                              </w:rPr>
                            </w:pPr>
                            <w:r>
                              <w:rPr>
                                <w:rFonts w:ascii="Segoe UI Semibold"/>
                                <w:b/>
                                <w:i/>
                                <w:color w:val="000000"/>
                                <w:sz w:val="26"/>
                              </w:rPr>
                              <w:t>Sans blocus, le P.I.B. de Cuba aurait</w:t>
                            </w:r>
                            <w:r>
                              <w:rPr>
                                <w:rFonts w:ascii="Segoe UI Semibold"/>
                                <w:b/>
                                <w:i/>
                                <w:color w:val="000000"/>
                                <w:sz w:val="26"/>
                              </w:rPr>
                              <w:t> pu</w:t>
                            </w:r>
                            <w:r>
                              <w:rPr>
                                <w:rFonts w:ascii="Segoe UI Semibold"/>
                                <w:b/>
                                <w:i/>
                                <w:color w:val="000000"/>
                                <w:spacing w:val="-8"/>
                                <w:sz w:val="26"/>
                              </w:rPr>
                              <w:t> </w:t>
                            </w:r>
                            <w:r>
                              <w:rPr>
                                <w:rFonts w:ascii="Segoe UI Semibold"/>
                                <w:b/>
                                <w:i/>
                                <w:color w:val="000000"/>
                                <w:sz w:val="26"/>
                              </w:rPr>
                              <w:t>enregistrer</w:t>
                            </w:r>
                            <w:r>
                              <w:rPr>
                                <w:rFonts w:ascii="Segoe UI Semibold"/>
                                <w:b/>
                                <w:i/>
                                <w:color w:val="000000"/>
                                <w:spacing w:val="-9"/>
                                <w:sz w:val="26"/>
                              </w:rPr>
                              <w:t> </w:t>
                            </w:r>
                            <w:r>
                              <w:rPr>
                                <w:rFonts w:ascii="Segoe UI Semibold"/>
                                <w:b/>
                                <w:i/>
                                <w:color w:val="000000"/>
                                <w:sz w:val="26"/>
                              </w:rPr>
                              <w:t>une</w:t>
                            </w:r>
                            <w:r>
                              <w:rPr>
                                <w:rFonts w:ascii="Segoe UI Semibold"/>
                                <w:b/>
                                <w:i/>
                                <w:color w:val="000000"/>
                                <w:spacing w:val="-9"/>
                                <w:sz w:val="26"/>
                              </w:rPr>
                              <w:t> </w:t>
                            </w:r>
                            <w:r>
                              <w:rPr>
                                <w:rFonts w:ascii="Segoe UI Semibold"/>
                                <w:b/>
                                <w:i/>
                                <w:color w:val="000000"/>
                                <w:sz w:val="26"/>
                              </w:rPr>
                              <w:t>croissance</w:t>
                            </w:r>
                            <w:r>
                              <w:rPr>
                                <w:rFonts w:ascii="Segoe UI Semibold"/>
                                <w:b/>
                                <w:i/>
                                <w:color w:val="000000"/>
                                <w:spacing w:val="-9"/>
                                <w:sz w:val="26"/>
                              </w:rPr>
                              <w:t> </w:t>
                            </w:r>
                            <w:r>
                              <w:rPr>
                                <w:rFonts w:ascii="Segoe UI Semibold"/>
                                <w:b/>
                                <w:i/>
                                <w:color w:val="000000"/>
                                <w:sz w:val="26"/>
                              </w:rPr>
                              <w:t>de</w:t>
                            </w:r>
                            <w:r>
                              <w:rPr>
                                <w:rFonts w:ascii="Segoe UI Semibold"/>
                                <w:b/>
                                <w:i/>
                                <w:color w:val="000000"/>
                                <w:spacing w:val="-9"/>
                                <w:sz w:val="26"/>
                              </w:rPr>
                              <w:t> </w:t>
                            </w:r>
                            <w:r>
                              <w:rPr>
                                <w:rFonts w:ascii="Segoe UI Semibold"/>
                                <w:b/>
                                <w:i/>
                                <w:color w:val="000000"/>
                                <w:sz w:val="26"/>
                              </w:rPr>
                              <w:t>9</w:t>
                            </w:r>
                            <w:r>
                              <w:rPr>
                                <w:rFonts w:ascii="Segoe UI Semibold"/>
                                <w:b/>
                                <w:i/>
                                <w:color w:val="000000"/>
                                <w:spacing w:val="-8"/>
                                <w:sz w:val="26"/>
                              </w:rPr>
                              <w:t> </w:t>
                            </w:r>
                            <w:r>
                              <w:rPr>
                                <w:rFonts w:ascii="Segoe UI Semibold"/>
                                <w:b/>
                                <w:i/>
                                <w:color w:val="000000"/>
                                <w:sz w:val="26"/>
                              </w:rPr>
                              <w:t>p. 100 en 2022.</w:t>
                            </w:r>
                          </w:p>
                          <w:p>
                            <w:pPr>
                              <w:spacing w:line="220" w:lineRule="auto" w:before="2"/>
                              <w:ind w:left="1474" w:right="0" w:firstLine="0"/>
                              <w:jc w:val="left"/>
                              <w:rPr>
                                <w:rFonts w:ascii="Segoe UI Semibold" w:hAnsi="Segoe UI Semibold"/>
                                <w:b/>
                                <w:i/>
                                <w:color w:val="000000"/>
                                <w:sz w:val="26"/>
                              </w:rPr>
                            </w:pPr>
                            <w:r>
                              <w:rPr>
                                <w:rFonts w:ascii="Segoe UI Semibold" w:hAnsi="Segoe UI Semibold"/>
                                <w:b/>
                                <w:i/>
                                <w:color w:val="000000"/>
                                <w:sz w:val="26"/>
                              </w:rPr>
                              <w:t>À</w:t>
                            </w:r>
                            <w:r>
                              <w:rPr>
                                <w:rFonts w:ascii="Segoe UI Semibold" w:hAnsi="Segoe UI Semibold"/>
                                <w:b/>
                                <w:i/>
                                <w:color w:val="000000"/>
                                <w:spacing w:val="-10"/>
                                <w:sz w:val="26"/>
                              </w:rPr>
                              <w:t> </w:t>
                            </w:r>
                            <w:r>
                              <w:rPr>
                                <w:rFonts w:ascii="Segoe UI Semibold" w:hAnsi="Segoe UI Semibold"/>
                                <w:b/>
                                <w:i/>
                                <w:color w:val="000000"/>
                                <w:sz w:val="26"/>
                              </w:rPr>
                              <w:t>prix</w:t>
                            </w:r>
                            <w:r>
                              <w:rPr>
                                <w:rFonts w:ascii="Segoe UI Semibold" w:hAnsi="Segoe UI Semibold"/>
                                <w:b/>
                                <w:i/>
                                <w:color w:val="000000"/>
                                <w:spacing w:val="-10"/>
                                <w:sz w:val="26"/>
                              </w:rPr>
                              <w:t> </w:t>
                            </w:r>
                            <w:r>
                              <w:rPr>
                                <w:rFonts w:ascii="Segoe UI Semibold" w:hAnsi="Segoe UI Semibold"/>
                                <w:b/>
                                <w:i/>
                                <w:color w:val="000000"/>
                                <w:sz w:val="26"/>
                              </w:rPr>
                              <w:t>courant,</w:t>
                            </w:r>
                            <w:r>
                              <w:rPr>
                                <w:rFonts w:ascii="Segoe UI Semibold" w:hAnsi="Segoe UI Semibold"/>
                                <w:b/>
                                <w:i/>
                                <w:color w:val="000000"/>
                                <w:spacing w:val="-10"/>
                                <w:sz w:val="26"/>
                              </w:rPr>
                              <w:t> </w:t>
                            </w:r>
                            <w:r>
                              <w:rPr>
                                <w:rFonts w:ascii="Segoe UI Semibold" w:hAnsi="Segoe UI Semibold"/>
                                <w:b/>
                                <w:i/>
                                <w:color w:val="000000"/>
                                <w:sz w:val="26"/>
                              </w:rPr>
                              <w:t>les</w:t>
                            </w:r>
                            <w:r>
                              <w:rPr>
                                <w:rFonts w:ascii="Segoe UI Semibold" w:hAnsi="Segoe UI Semibold"/>
                                <w:b/>
                                <w:i/>
                                <w:color w:val="000000"/>
                                <w:spacing w:val="-9"/>
                                <w:sz w:val="26"/>
                              </w:rPr>
                              <w:t> </w:t>
                            </w:r>
                            <w:r>
                              <w:rPr>
                                <w:rFonts w:ascii="Segoe UI Semibold" w:hAnsi="Segoe UI Semibold"/>
                                <w:b/>
                                <w:i/>
                                <w:color w:val="000000"/>
                                <w:sz w:val="26"/>
                              </w:rPr>
                              <w:t>préjudices</w:t>
                            </w:r>
                            <w:r>
                              <w:rPr>
                                <w:rFonts w:ascii="Segoe UI Semibold" w:hAnsi="Segoe UI Semibold"/>
                                <w:b/>
                                <w:i/>
                                <w:color w:val="000000"/>
                                <w:spacing w:val="-9"/>
                                <w:sz w:val="26"/>
                              </w:rPr>
                              <w:t> </w:t>
                            </w:r>
                            <w:r>
                              <w:rPr>
                                <w:rFonts w:ascii="Segoe UI Semibold" w:hAnsi="Segoe UI Semibold"/>
                                <w:b/>
                                <w:i/>
                                <w:color w:val="000000"/>
                                <w:sz w:val="26"/>
                              </w:rPr>
                              <w:t>cumulés</w:t>
                            </w:r>
                            <w:r>
                              <w:rPr>
                                <w:rFonts w:ascii="Segoe UI Semibold" w:hAnsi="Segoe UI Semibold"/>
                                <w:b/>
                                <w:i/>
                                <w:color w:val="000000"/>
                                <w:sz w:val="26"/>
                              </w:rPr>
                              <w:t> sur plus de soixante ans se montent</w:t>
                            </w:r>
                          </w:p>
                          <w:p>
                            <w:pPr>
                              <w:spacing w:line="220" w:lineRule="auto" w:before="2"/>
                              <w:ind w:left="1474" w:right="316" w:firstLine="0"/>
                              <w:jc w:val="left"/>
                              <w:rPr>
                                <w:rFonts w:ascii="Segoe UI Semibold" w:hAnsi="Segoe UI Semibold"/>
                                <w:b/>
                                <w:i/>
                                <w:color w:val="000000"/>
                                <w:sz w:val="26"/>
                              </w:rPr>
                            </w:pPr>
                            <w:r>
                              <w:rPr>
                                <w:rFonts w:ascii="Segoe UI Semibold" w:hAnsi="Segoe UI Semibold"/>
                                <w:b/>
                                <w:i/>
                                <w:color w:val="000000"/>
                                <w:sz w:val="26"/>
                              </w:rPr>
                              <w:t>à </w:t>
                            </w:r>
                            <w:r>
                              <w:rPr>
                                <w:b/>
                                <w:i/>
                                <w:color w:val="000000"/>
                                <w:sz w:val="26"/>
                              </w:rPr>
                              <w:t>159 084 300 000 dollars</w:t>
                            </w:r>
                            <w:r>
                              <w:rPr>
                                <w:rFonts w:ascii="Segoe UI Semibold" w:hAnsi="Segoe UI Semibold"/>
                                <w:b/>
                                <w:i/>
                                <w:color w:val="000000"/>
                                <w:sz w:val="26"/>
                              </w:rPr>
                              <w:t>. À prix</w:t>
                            </w:r>
                            <w:r>
                              <w:rPr>
                                <w:rFonts w:ascii="Segoe UI Semibold" w:hAnsi="Segoe UI Semibold"/>
                                <w:b/>
                                <w:i/>
                                <w:color w:val="000000"/>
                                <w:sz w:val="26"/>
                              </w:rPr>
                              <w:t> constants</w:t>
                            </w:r>
                            <w:r>
                              <w:rPr>
                                <w:rFonts w:ascii="Segoe UI Semibold" w:hAnsi="Segoe UI Semibold"/>
                                <w:b/>
                                <w:i/>
                                <w:color w:val="000000"/>
                                <w:spacing w:val="-11"/>
                                <w:sz w:val="26"/>
                              </w:rPr>
                              <w:t> </w:t>
                            </w:r>
                            <w:r>
                              <w:rPr>
                                <w:rFonts w:ascii="Segoe UI Semibold" w:hAnsi="Segoe UI Semibold"/>
                                <w:b/>
                                <w:i/>
                                <w:color w:val="000000"/>
                                <w:sz w:val="26"/>
                              </w:rPr>
                              <w:t>(fluctuations</w:t>
                            </w:r>
                            <w:r>
                              <w:rPr>
                                <w:rFonts w:ascii="Segoe UI Semibold" w:hAnsi="Segoe UI Semibold"/>
                                <w:b/>
                                <w:i/>
                                <w:color w:val="000000"/>
                                <w:spacing w:val="-11"/>
                                <w:sz w:val="26"/>
                              </w:rPr>
                              <w:t> </w:t>
                            </w:r>
                            <w:r>
                              <w:rPr>
                                <w:rFonts w:ascii="Segoe UI Semibold" w:hAnsi="Segoe UI Semibold"/>
                                <w:b/>
                                <w:i/>
                                <w:color w:val="000000"/>
                                <w:sz w:val="26"/>
                              </w:rPr>
                              <w:t>du</w:t>
                            </w:r>
                            <w:r>
                              <w:rPr>
                                <w:rFonts w:ascii="Segoe UI Semibold" w:hAnsi="Segoe UI Semibold"/>
                                <w:b/>
                                <w:i/>
                                <w:color w:val="000000"/>
                                <w:spacing w:val="-11"/>
                                <w:sz w:val="26"/>
                              </w:rPr>
                              <w:t> </w:t>
                            </w:r>
                            <w:r>
                              <w:rPr>
                                <w:rFonts w:ascii="Segoe UI Semibold" w:hAnsi="Segoe UI Semibold"/>
                                <w:b/>
                                <w:i/>
                                <w:color w:val="000000"/>
                                <w:sz w:val="26"/>
                              </w:rPr>
                              <w:t>dollar</w:t>
                            </w:r>
                            <w:r>
                              <w:rPr>
                                <w:rFonts w:ascii="Segoe UI Semibold" w:hAnsi="Segoe UI Semibold"/>
                                <w:b/>
                                <w:i/>
                                <w:color w:val="000000"/>
                                <w:spacing w:val="-12"/>
                                <w:sz w:val="26"/>
                              </w:rPr>
                              <w:t> </w:t>
                            </w:r>
                            <w:r>
                              <w:rPr>
                                <w:rFonts w:ascii="Segoe UI Semibold" w:hAnsi="Segoe UI Semibold"/>
                                <w:b/>
                                <w:i/>
                                <w:color w:val="000000"/>
                                <w:sz w:val="26"/>
                              </w:rPr>
                              <w:t>face à l’or), les pertes se chiffrent à plus de </w:t>
                            </w:r>
                            <w:r>
                              <w:rPr>
                                <w:b/>
                                <w:i/>
                                <w:color w:val="000000"/>
                                <w:sz w:val="26"/>
                              </w:rPr>
                              <w:t>1 337 057 000 000 de dollars</w:t>
                            </w:r>
                            <w:r>
                              <w:rPr>
                                <w:rFonts w:ascii="Segoe UI Semibold" w:hAnsi="Segoe UI Semibold"/>
                                <w:b/>
                                <w:i/>
                                <w:color w:val="000000"/>
                                <w:sz w:val="26"/>
                              </w:rPr>
                              <w:t>,</w:t>
                            </w:r>
                          </w:p>
                          <w:p>
                            <w:pPr>
                              <w:spacing w:line="220" w:lineRule="auto" w:before="3"/>
                              <w:ind w:left="1474" w:right="270" w:firstLine="0"/>
                              <w:jc w:val="left"/>
                              <w:rPr>
                                <w:rFonts w:ascii="Segoe UI Semibold" w:hAnsi="Segoe UI Semibold"/>
                                <w:b/>
                                <w:i/>
                                <w:color w:val="000000"/>
                                <w:sz w:val="26"/>
                              </w:rPr>
                            </w:pPr>
                            <w:r>
                              <w:rPr>
                                <w:rFonts w:ascii="Segoe UI Semibold" w:hAnsi="Segoe UI Semibold"/>
                                <w:b/>
                                <w:i/>
                                <w:color w:val="000000"/>
                                <w:sz w:val="26"/>
                              </w:rPr>
                              <w:t>un montant inférieur à la période</w:t>
                            </w:r>
                            <w:r>
                              <w:rPr>
                                <w:rFonts w:ascii="Segoe UI Semibold" w:hAnsi="Segoe UI Semibold"/>
                                <w:b/>
                                <w:i/>
                                <w:color w:val="000000"/>
                                <w:sz w:val="26"/>
                              </w:rPr>
                              <w:t> antérieure (août 2021-février 2023) pour</w:t>
                            </w:r>
                            <w:r>
                              <w:rPr>
                                <w:rFonts w:ascii="Segoe UI Semibold" w:hAnsi="Segoe UI Semibold"/>
                                <w:b/>
                                <w:i/>
                                <w:color w:val="000000"/>
                                <w:spacing w:val="-11"/>
                                <w:sz w:val="26"/>
                              </w:rPr>
                              <w:t> </w:t>
                            </w:r>
                            <w:r>
                              <w:rPr>
                                <w:rFonts w:ascii="Segoe UI Semibold" w:hAnsi="Segoe UI Semibold"/>
                                <w:b/>
                                <w:i/>
                                <w:color w:val="000000"/>
                                <w:sz w:val="26"/>
                              </w:rPr>
                              <w:t>dépréciation</w:t>
                            </w:r>
                            <w:r>
                              <w:rPr>
                                <w:rFonts w:ascii="Segoe UI Semibold" w:hAnsi="Segoe UI Semibold"/>
                                <w:b/>
                                <w:i/>
                                <w:color w:val="000000"/>
                                <w:spacing w:val="-11"/>
                                <w:sz w:val="26"/>
                              </w:rPr>
                              <w:t> </w:t>
                            </w:r>
                            <w:r>
                              <w:rPr>
                                <w:rFonts w:ascii="Segoe UI Semibold" w:hAnsi="Segoe UI Semibold"/>
                                <w:b/>
                                <w:i/>
                                <w:color w:val="000000"/>
                                <w:sz w:val="26"/>
                              </w:rPr>
                              <w:t>des</w:t>
                            </w:r>
                            <w:r>
                              <w:rPr>
                                <w:rFonts w:ascii="Segoe UI Semibold" w:hAnsi="Segoe UI Semibold"/>
                                <w:b/>
                                <w:i/>
                                <w:color w:val="000000"/>
                                <w:spacing w:val="-11"/>
                                <w:sz w:val="26"/>
                              </w:rPr>
                              <w:t> </w:t>
                            </w:r>
                            <w:r>
                              <w:rPr>
                                <w:rFonts w:ascii="Segoe UI Semibold" w:hAnsi="Segoe UI Semibold"/>
                                <w:b/>
                                <w:i/>
                                <w:color w:val="000000"/>
                                <w:sz w:val="26"/>
                              </w:rPr>
                              <w:t>cours</w:t>
                            </w:r>
                            <w:r>
                              <w:rPr>
                                <w:rFonts w:ascii="Segoe UI Semibold" w:hAnsi="Segoe UI Semibold"/>
                                <w:b/>
                                <w:i/>
                                <w:color w:val="000000"/>
                                <w:spacing w:val="-11"/>
                                <w:sz w:val="26"/>
                              </w:rPr>
                              <w:t> </w:t>
                            </w:r>
                            <w:r>
                              <w:rPr>
                                <w:rFonts w:ascii="Segoe UI Semibold" w:hAnsi="Segoe UI Semibold"/>
                                <w:b/>
                                <w:i/>
                                <w:color w:val="000000"/>
                                <w:sz w:val="26"/>
                              </w:rPr>
                              <w:t>de</w:t>
                            </w:r>
                            <w:r>
                              <w:rPr>
                                <w:rFonts w:ascii="Segoe UI Semibold" w:hAnsi="Segoe UI Semibold"/>
                                <w:b/>
                                <w:i/>
                                <w:color w:val="000000"/>
                                <w:spacing w:val="-11"/>
                                <w:sz w:val="26"/>
                              </w:rPr>
                              <w:t> </w:t>
                            </w:r>
                            <w:r>
                              <w:rPr>
                                <w:rFonts w:ascii="Segoe UI Semibold" w:hAnsi="Segoe UI Semibold"/>
                                <w:b/>
                                <w:i/>
                                <w:color w:val="000000"/>
                                <w:sz w:val="26"/>
                              </w:rPr>
                              <w:t>l’or</w:t>
                            </w:r>
                            <w:r>
                              <w:rPr>
                                <w:rFonts w:ascii="Segoe UI Semibold" w:hAnsi="Segoe UI Semibold"/>
                                <w:b/>
                                <w:i/>
                                <w:color w:val="000000"/>
                                <w:spacing w:val="-11"/>
                                <w:sz w:val="26"/>
                              </w:rPr>
                              <w:t> </w:t>
                            </w:r>
                            <w:r>
                              <w:rPr>
                                <w:rFonts w:ascii="Segoe UI Semibold" w:hAnsi="Segoe UI Semibold"/>
                                <w:b/>
                                <w:i/>
                                <w:color w:val="000000"/>
                                <w:sz w:val="26"/>
                              </w:rPr>
                              <w:t>de 4,2</w:t>
                            </w:r>
                            <w:r>
                              <w:rPr>
                                <w:rFonts w:ascii="Segoe UI Semibold" w:hAnsi="Segoe UI Semibold"/>
                                <w:b/>
                                <w:i/>
                                <w:color w:val="000000"/>
                                <w:spacing w:val="-3"/>
                                <w:sz w:val="26"/>
                              </w:rPr>
                              <w:t> </w:t>
                            </w:r>
                            <w:r>
                              <w:rPr>
                                <w:rFonts w:ascii="Segoe UI Semibold" w:hAnsi="Segoe UI Semibold"/>
                                <w:b/>
                                <w:i/>
                                <w:color w:val="000000"/>
                                <w:sz w:val="26"/>
                              </w:rPr>
                              <w:t>p.</w:t>
                            </w:r>
                            <w:r>
                              <w:rPr>
                                <w:rFonts w:ascii="Segoe UI Semibold" w:hAnsi="Segoe UI Semibold"/>
                                <w:b/>
                                <w:i/>
                                <w:color w:val="000000"/>
                                <w:spacing w:val="-3"/>
                                <w:sz w:val="26"/>
                              </w:rPr>
                              <w:t> </w:t>
                            </w:r>
                            <w:r>
                              <w:rPr>
                                <w:rFonts w:ascii="Segoe UI Semibold" w:hAnsi="Segoe UI Semibold"/>
                                <w:b/>
                                <w:i/>
                                <w:color w:val="000000"/>
                                <w:sz w:val="26"/>
                              </w:rPr>
                              <w:t>100</w:t>
                            </w:r>
                            <w:r>
                              <w:rPr>
                                <w:rFonts w:ascii="Segoe UI Semibold" w:hAnsi="Segoe UI Semibold"/>
                                <w:b/>
                                <w:i/>
                                <w:color w:val="000000"/>
                                <w:spacing w:val="-3"/>
                                <w:sz w:val="26"/>
                              </w:rPr>
                              <w:t> </w:t>
                            </w:r>
                            <w:r>
                              <w:rPr>
                                <w:rFonts w:ascii="Segoe UI Semibold" w:hAnsi="Segoe UI Semibold"/>
                                <w:b/>
                                <w:i/>
                                <w:color w:val="000000"/>
                                <w:sz w:val="26"/>
                              </w:rPr>
                              <w:t>fin</w:t>
                            </w:r>
                            <w:r>
                              <w:rPr>
                                <w:rFonts w:ascii="Segoe UI Semibold" w:hAnsi="Segoe UI Semibold"/>
                                <w:b/>
                                <w:i/>
                                <w:color w:val="000000"/>
                                <w:spacing w:val="-3"/>
                                <w:sz w:val="26"/>
                              </w:rPr>
                              <w:t> </w:t>
                            </w:r>
                            <w:r>
                              <w:rPr>
                                <w:rFonts w:ascii="Segoe UI Semibold" w:hAnsi="Segoe UI Semibold"/>
                                <w:b/>
                                <w:i/>
                                <w:color w:val="000000"/>
                                <w:sz w:val="26"/>
                              </w:rPr>
                              <w:t>février</w:t>
                            </w:r>
                            <w:r>
                              <w:rPr>
                                <w:rFonts w:ascii="Segoe UI Semibold" w:hAnsi="Segoe UI Semibold"/>
                                <w:b/>
                                <w:i/>
                                <w:color w:val="000000"/>
                                <w:spacing w:val="-3"/>
                                <w:sz w:val="26"/>
                              </w:rPr>
                              <w:t> </w:t>
                            </w:r>
                            <w:r>
                              <w:rPr>
                                <w:rFonts w:ascii="Segoe UI Semibold" w:hAnsi="Segoe UI Semibold"/>
                                <w:b/>
                                <w:i/>
                                <w:color w:val="000000"/>
                                <w:sz w:val="26"/>
                              </w:rPr>
                              <w:t>2023</w:t>
                            </w:r>
                            <w:r>
                              <w:rPr>
                                <w:rFonts w:ascii="Segoe UI Semibold" w:hAnsi="Segoe UI Semibold"/>
                                <w:b/>
                                <w:i/>
                                <w:color w:val="000000"/>
                                <w:spacing w:val="-3"/>
                                <w:sz w:val="26"/>
                              </w:rPr>
                              <w:t> </w:t>
                            </w:r>
                            <w:r>
                              <w:rPr>
                                <w:rFonts w:ascii="Segoe UI Semibold" w:hAnsi="Segoe UI Semibold"/>
                                <w:b/>
                                <w:i/>
                                <w:color w:val="000000"/>
                                <w:sz w:val="26"/>
                              </w:rPr>
                              <w:t>par</w:t>
                            </w:r>
                            <w:r>
                              <w:rPr>
                                <w:rFonts w:ascii="Segoe UI Semibold" w:hAnsi="Segoe UI Semibold"/>
                                <w:b/>
                                <w:i/>
                                <w:color w:val="000000"/>
                                <w:spacing w:val="-3"/>
                                <w:sz w:val="26"/>
                              </w:rPr>
                              <w:t> </w:t>
                            </w:r>
                            <w:r>
                              <w:rPr>
                                <w:rFonts w:ascii="Segoe UI Semibold" w:hAnsi="Segoe UI Semibold"/>
                                <w:b/>
                                <w:i/>
                                <w:color w:val="000000"/>
                                <w:spacing w:val="-2"/>
                                <w:sz w:val="26"/>
                              </w:rPr>
                              <w:t>rapport</w:t>
                            </w:r>
                          </w:p>
                          <w:p>
                            <w:pPr>
                              <w:spacing w:line="328" w:lineRule="exact" w:before="0"/>
                              <w:ind w:left="1474" w:right="0" w:firstLine="0"/>
                              <w:jc w:val="left"/>
                              <w:rPr>
                                <w:rFonts w:ascii="Segoe UI Semibold" w:hAnsi="Segoe UI Semibold"/>
                                <w:b/>
                                <w:i/>
                                <w:color w:val="000000"/>
                                <w:sz w:val="26"/>
                              </w:rPr>
                            </w:pPr>
                            <w:r>
                              <w:rPr>
                                <w:rFonts w:ascii="Segoe UI Semibold" w:hAnsi="Segoe UI Semibold"/>
                                <w:b/>
                                <w:i/>
                                <w:color w:val="000000"/>
                                <w:sz w:val="26"/>
                              </w:rPr>
                              <w:t>à</w:t>
                            </w:r>
                            <w:r>
                              <w:rPr>
                                <w:rFonts w:ascii="Segoe UI Semibold" w:hAnsi="Segoe UI Semibold"/>
                                <w:b/>
                                <w:i/>
                                <w:color w:val="000000"/>
                                <w:spacing w:val="-4"/>
                                <w:sz w:val="26"/>
                              </w:rPr>
                              <w:t> </w:t>
                            </w:r>
                            <w:r>
                              <w:rPr>
                                <w:rFonts w:ascii="Segoe UI Semibold" w:hAnsi="Segoe UI Semibold"/>
                                <w:b/>
                                <w:i/>
                                <w:color w:val="000000"/>
                                <w:sz w:val="26"/>
                              </w:rPr>
                              <w:t>février</w:t>
                            </w:r>
                            <w:r>
                              <w:rPr>
                                <w:rFonts w:ascii="Segoe UI Semibold" w:hAnsi="Segoe UI Semibold"/>
                                <w:b/>
                                <w:i/>
                                <w:color w:val="000000"/>
                                <w:spacing w:val="-3"/>
                                <w:sz w:val="26"/>
                              </w:rPr>
                              <w:t> </w:t>
                            </w:r>
                            <w:r>
                              <w:rPr>
                                <w:rFonts w:ascii="Segoe UI Semibold" w:hAnsi="Segoe UI Semibold"/>
                                <w:b/>
                                <w:i/>
                                <w:color w:val="000000"/>
                                <w:spacing w:val="-2"/>
                                <w:sz w:val="26"/>
                              </w:rPr>
                              <w:t>2002.</w:t>
                            </w:r>
                          </w:p>
                        </w:txbxContent>
                      </wps:txbx>
                      <wps:bodyPr wrap="square" lIns="0" tIns="0" rIns="0" bIns="0" rtlCol="0">
                        <a:noAutofit/>
                      </wps:bodyPr>
                    </wps:wsp>
                  </a:graphicData>
                </a:graphic>
              </wp:anchor>
            </w:drawing>
          </mc:Choice>
          <mc:Fallback>
            <w:pict>
              <v:shape style="position:absolute;margin-left:0pt;margin-top:8.803pt;width:306.150pt;height:256pt;mso-position-horizontal-relative:page;mso-position-vertical-relative:paragraph;z-index:15825920" type="#_x0000_t202" id="docshape337" filled="true" fillcolor="#e0e2e2" stroked="false">
                <v:textbox inset="0,0,0,0">
                  <w:txbxContent>
                    <w:p>
                      <w:pPr>
                        <w:spacing w:line="220" w:lineRule="auto" w:before="221"/>
                        <w:ind w:left="1474" w:right="270" w:firstLine="0"/>
                        <w:jc w:val="left"/>
                        <w:rPr>
                          <w:rFonts w:ascii="Segoe UI Semibold"/>
                          <w:b/>
                          <w:i/>
                          <w:color w:val="000000"/>
                          <w:sz w:val="26"/>
                        </w:rPr>
                      </w:pPr>
                      <w:r>
                        <w:rPr>
                          <w:rFonts w:ascii="Segoe UI Semibold"/>
                          <w:b/>
                          <w:i/>
                          <w:color w:val="000000"/>
                          <w:sz w:val="26"/>
                        </w:rPr>
                        <w:t>Sans blocus, le P.I.B. de Cuba aurait</w:t>
                      </w:r>
                      <w:r>
                        <w:rPr>
                          <w:rFonts w:ascii="Segoe UI Semibold"/>
                          <w:b/>
                          <w:i/>
                          <w:color w:val="000000"/>
                          <w:sz w:val="26"/>
                        </w:rPr>
                        <w:t> pu</w:t>
                      </w:r>
                      <w:r>
                        <w:rPr>
                          <w:rFonts w:ascii="Segoe UI Semibold"/>
                          <w:b/>
                          <w:i/>
                          <w:color w:val="000000"/>
                          <w:spacing w:val="-8"/>
                          <w:sz w:val="26"/>
                        </w:rPr>
                        <w:t> </w:t>
                      </w:r>
                      <w:r>
                        <w:rPr>
                          <w:rFonts w:ascii="Segoe UI Semibold"/>
                          <w:b/>
                          <w:i/>
                          <w:color w:val="000000"/>
                          <w:sz w:val="26"/>
                        </w:rPr>
                        <w:t>enregistrer</w:t>
                      </w:r>
                      <w:r>
                        <w:rPr>
                          <w:rFonts w:ascii="Segoe UI Semibold"/>
                          <w:b/>
                          <w:i/>
                          <w:color w:val="000000"/>
                          <w:spacing w:val="-9"/>
                          <w:sz w:val="26"/>
                        </w:rPr>
                        <w:t> </w:t>
                      </w:r>
                      <w:r>
                        <w:rPr>
                          <w:rFonts w:ascii="Segoe UI Semibold"/>
                          <w:b/>
                          <w:i/>
                          <w:color w:val="000000"/>
                          <w:sz w:val="26"/>
                        </w:rPr>
                        <w:t>une</w:t>
                      </w:r>
                      <w:r>
                        <w:rPr>
                          <w:rFonts w:ascii="Segoe UI Semibold"/>
                          <w:b/>
                          <w:i/>
                          <w:color w:val="000000"/>
                          <w:spacing w:val="-9"/>
                          <w:sz w:val="26"/>
                        </w:rPr>
                        <w:t> </w:t>
                      </w:r>
                      <w:r>
                        <w:rPr>
                          <w:rFonts w:ascii="Segoe UI Semibold"/>
                          <w:b/>
                          <w:i/>
                          <w:color w:val="000000"/>
                          <w:sz w:val="26"/>
                        </w:rPr>
                        <w:t>croissance</w:t>
                      </w:r>
                      <w:r>
                        <w:rPr>
                          <w:rFonts w:ascii="Segoe UI Semibold"/>
                          <w:b/>
                          <w:i/>
                          <w:color w:val="000000"/>
                          <w:spacing w:val="-9"/>
                          <w:sz w:val="26"/>
                        </w:rPr>
                        <w:t> </w:t>
                      </w:r>
                      <w:r>
                        <w:rPr>
                          <w:rFonts w:ascii="Segoe UI Semibold"/>
                          <w:b/>
                          <w:i/>
                          <w:color w:val="000000"/>
                          <w:sz w:val="26"/>
                        </w:rPr>
                        <w:t>de</w:t>
                      </w:r>
                      <w:r>
                        <w:rPr>
                          <w:rFonts w:ascii="Segoe UI Semibold"/>
                          <w:b/>
                          <w:i/>
                          <w:color w:val="000000"/>
                          <w:spacing w:val="-9"/>
                          <w:sz w:val="26"/>
                        </w:rPr>
                        <w:t> </w:t>
                      </w:r>
                      <w:r>
                        <w:rPr>
                          <w:rFonts w:ascii="Segoe UI Semibold"/>
                          <w:b/>
                          <w:i/>
                          <w:color w:val="000000"/>
                          <w:sz w:val="26"/>
                        </w:rPr>
                        <w:t>9</w:t>
                      </w:r>
                      <w:r>
                        <w:rPr>
                          <w:rFonts w:ascii="Segoe UI Semibold"/>
                          <w:b/>
                          <w:i/>
                          <w:color w:val="000000"/>
                          <w:spacing w:val="-8"/>
                          <w:sz w:val="26"/>
                        </w:rPr>
                        <w:t> </w:t>
                      </w:r>
                      <w:r>
                        <w:rPr>
                          <w:rFonts w:ascii="Segoe UI Semibold"/>
                          <w:b/>
                          <w:i/>
                          <w:color w:val="000000"/>
                          <w:sz w:val="26"/>
                        </w:rPr>
                        <w:t>p. 100 en 2022.</w:t>
                      </w:r>
                    </w:p>
                    <w:p>
                      <w:pPr>
                        <w:spacing w:line="220" w:lineRule="auto" w:before="2"/>
                        <w:ind w:left="1474" w:right="0" w:firstLine="0"/>
                        <w:jc w:val="left"/>
                        <w:rPr>
                          <w:rFonts w:ascii="Segoe UI Semibold" w:hAnsi="Segoe UI Semibold"/>
                          <w:b/>
                          <w:i/>
                          <w:color w:val="000000"/>
                          <w:sz w:val="26"/>
                        </w:rPr>
                      </w:pPr>
                      <w:r>
                        <w:rPr>
                          <w:rFonts w:ascii="Segoe UI Semibold" w:hAnsi="Segoe UI Semibold"/>
                          <w:b/>
                          <w:i/>
                          <w:color w:val="000000"/>
                          <w:sz w:val="26"/>
                        </w:rPr>
                        <w:t>À</w:t>
                      </w:r>
                      <w:r>
                        <w:rPr>
                          <w:rFonts w:ascii="Segoe UI Semibold" w:hAnsi="Segoe UI Semibold"/>
                          <w:b/>
                          <w:i/>
                          <w:color w:val="000000"/>
                          <w:spacing w:val="-10"/>
                          <w:sz w:val="26"/>
                        </w:rPr>
                        <w:t> </w:t>
                      </w:r>
                      <w:r>
                        <w:rPr>
                          <w:rFonts w:ascii="Segoe UI Semibold" w:hAnsi="Segoe UI Semibold"/>
                          <w:b/>
                          <w:i/>
                          <w:color w:val="000000"/>
                          <w:sz w:val="26"/>
                        </w:rPr>
                        <w:t>prix</w:t>
                      </w:r>
                      <w:r>
                        <w:rPr>
                          <w:rFonts w:ascii="Segoe UI Semibold" w:hAnsi="Segoe UI Semibold"/>
                          <w:b/>
                          <w:i/>
                          <w:color w:val="000000"/>
                          <w:spacing w:val="-10"/>
                          <w:sz w:val="26"/>
                        </w:rPr>
                        <w:t> </w:t>
                      </w:r>
                      <w:r>
                        <w:rPr>
                          <w:rFonts w:ascii="Segoe UI Semibold" w:hAnsi="Segoe UI Semibold"/>
                          <w:b/>
                          <w:i/>
                          <w:color w:val="000000"/>
                          <w:sz w:val="26"/>
                        </w:rPr>
                        <w:t>courant,</w:t>
                      </w:r>
                      <w:r>
                        <w:rPr>
                          <w:rFonts w:ascii="Segoe UI Semibold" w:hAnsi="Segoe UI Semibold"/>
                          <w:b/>
                          <w:i/>
                          <w:color w:val="000000"/>
                          <w:spacing w:val="-10"/>
                          <w:sz w:val="26"/>
                        </w:rPr>
                        <w:t> </w:t>
                      </w:r>
                      <w:r>
                        <w:rPr>
                          <w:rFonts w:ascii="Segoe UI Semibold" w:hAnsi="Segoe UI Semibold"/>
                          <w:b/>
                          <w:i/>
                          <w:color w:val="000000"/>
                          <w:sz w:val="26"/>
                        </w:rPr>
                        <w:t>les</w:t>
                      </w:r>
                      <w:r>
                        <w:rPr>
                          <w:rFonts w:ascii="Segoe UI Semibold" w:hAnsi="Segoe UI Semibold"/>
                          <w:b/>
                          <w:i/>
                          <w:color w:val="000000"/>
                          <w:spacing w:val="-9"/>
                          <w:sz w:val="26"/>
                        </w:rPr>
                        <w:t> </w:t>
                      </w:r>
                      <w:r>
                        <w:rPr>
                          <w:rFonts w:ascii="Segoe UI Semibold" w:hAnsi="Segoe UI Semibold"/>
                          <w:b/>
                          <w:i/>
                          <w:color w:val="000000"/>
                          <w:sz w:val="26"/>
                        </w:rPr>
                        <w:t>préjudices</w:t>
                      </w:r>
                      <w:r>
                        <w:rPr>
                          <w:rFonts w:ascii="Segoe UI Semibold" w:hAnsi="Segoe UI Semibold"/>
                          <w:b/>
                          <w:i/>
                          <w:color w:val="000000"/>
                          <w:spacing w:val="-9"/>
                          <w:sz w:val="26"/>
                        </w:rPr>
                        <w:t> </w:t>
                      </w:r>
                      <w:r>
                        <w:rPr>
                          <w:rFonts w:ascii="Segoe UI Semibold" w:hAnsi="Segoe UI Semibold"/>
                          <w:b/>
                          <w:i/>
                          <w:color w:val="000000"/>
                          <w:sz w:val="26"/>
                        </w:rPr>
                        <w:t>cumulés</w:t>
                      </w:r>
                      <w:r>
                        <w:rPr>
                          <w:rFonts w:ascii="Segoe UI Semibold" w:hAnsi="Segoe UI Semibold"/>
                          <w:b/>
                          <w:i/>
                          <w:color w:val="000000"/>
                          <w:sz w:val="26"/>
                        </w:rPr>
                        <w:t> sur plus de soixante ans se montent</w:t>
                      </w:r>
                    </w:p>
                    <w:p>
                      <w:pPr>
                        <w:spacing w:line="220" w:lineRule="auto" w:before="2"/>
                        <w:ind w:left="1474" w:right="316" w:firstLine="0"/>
                        <w:jc w:val="left"/>
                        <w:rPr>
                          <w:rFonts w:ascii="Segoe UI Semibold" w:hAnsi="Segoe UI Semibold"/>
                          <w:b/>
                          <w:i/>
                          <w:color w:val="000000"/>
                          <w:sz w:val="26"/>
                        </w:rPr>
                      </w:pPr>
                      <w:r>
                        <w:rPr>
                          <w:rFonts w:ascii="Segoe UI Semibold" w:hAnsi="Segoe UI Semibold"/>
                          <w:b/>
                          <w:i/>
                          <w:color w:val="000000"/>
                          <w:sz w:val="26"/>
                        </w:rPr>
                        <w:t>à </w:t>
                      </w:r>
                      <w:r>
                        <w:rPr>
                          <w:b/>
                          <w:i/>
                          <w:color w:val="000000"/>
                          <w:sz w:val="26"/>
                        </w:rPr>
                        <w:t>159 084 300 000 dollars</w:t>
                      </w:r>
                      <w:r>
                        <w:rPr>
                          <w:rFonts w:ascii="Segoe UI Semibold" w:hAnsi="Segoe UI Semibold"/>
                          <w:b/>
                          <w:i/>
                          <w:color w:val="000000"/>
                          <w:sz w:val="26"/>
                        </w:rPr>
                        <w:t>. À prix</w:t>
                      </w:r>
                      <w:r>
                        <w:rPr>
                          <w:rFonts w:ascii="Segoe UI Semibold" w:hAnsi="Segoe UI Semibold"/>
                          <w:b/>
                          <w:i/>
                          <w:color w:val="000000"/>
                          <w:sz w:val="26"/>
                        </w:rPr>
                        <w:t> constants</w:t>
                      </w:r>
                      <w:r>
                        <w:rPr>
                          <w:rFonts w:ascii="Segoe UI Semibold" w:hAnsi="Segoe UI Semibold"/>
                          <w:b/>
                          <w:i/>
                          <w:color w:val="000000"/>
                          <w:spacing w:val="-11"/>
                          <w:sz w:val="26"/>
                        </w:rPr>
                        <w:t> </w:t>
                      </w:r>
                      <w:r>
                        <w:rPr>
                          <w:rFonts w:ascii="Segoe UI Semibold" w:hAnsi="Segoe UI Semibold"/>
                          <w:b/>
                          <w:i/>
                          <w:color w:val="000000"/>
                          <w:sz w:val="26"/>
                        </w:rPr>
                        <w:t>(fluctuations</w:t>
                      </w:r>
                      <w:r>
                        <w:rPr>
                          <w:rFonts w:ascii="Segoe UI Semibold" w:hAnsi="Segoe UI Semibold"/>
                          <w:b/>
                          <w:i/>
                          <w:color w:val="000000"/>
                          <w:spacing w:val="-11"/>
                          <w:sz w:val="26"/>
                        </w:rPr>
                        <w:t> </w:t>
                      </w:r>
                      <w:r>
                        <w:rPr>
                          <w:rFonts w:ascii="Segoe UI Semibold" w:hAnsi="Segoe UI Semibold"/>
                          <w:b/>
                          <w:i/>
                          <w:color w:val="000000"/>
                          <w:sz w:val="26"/>
                        </w:rPr>
                        <w:t>du</w:t>
                      </w:r>
                      <w:r>
                        <w:rPr>
                          <w:rFonts w:ascii="Segoe UI Semibold" w:hAnsi="Segoe UI Semibold"/>
                          <w:b/>
                          <w:i/>
                          <w:color w:val="000000"/>
                          <w:spacing w:val="-11"/>
                          <w:sz w:val="26"/>
                        </w:rPr>
                        <w:t> </w:t>
                      </w:r>
                      <w:r>
                        <w:rPr>
                          <w:rFonts w:ascii="Segoe UI Semibold" w:hAnsi="Segoe UI Semibold"/>
                          <w:b/>
                          <w:i/>
                          <w:color w:val="000000"/>
                          <w:sz w:val="26"/>
                        </w:rPr>
                        <w:t>dollar</w:t>
                      </w:r>
                      <w:r>
                        <w:rPr>
                          <w:rFonts w:ascii="Segoe UI Semibold" w:hAnsi="Segoe UI Semibold"/>
                          <w:b/>
                          <w:i/>
                          <w:color w:val="000000"/>
                          <w:spacing w:val="-12"/>
                          <w:sz w:val="26"/>
                        </w:rPr>
                        <w:t> </w:t>
                      </w:r>
                      <w:r>
                        <w:rPr>
                          <w:rFonts w:ascii="Segoe UI Semibold" w:hAnsi="Segoe UI Semibold"/>
                          <w:b/>
                          <w:i/>
                          <w:color w:val="000000"/>
                          <w:sz w:val="26"/>
                        </w:rPr>
                        <w:t>face à l’or), les pertes se chiffrent à plus de </w:t>
                      </w:r>
                      <w:r>
                        <w:rPr>
                          <w:b/>
                          <w:i/>
                          <w:color w:val="000000"/>
                          <w:sz w:val="26"/>
                        </w:rPr>
                        <w:t>1 337 057 000 000 de dollars</w:t>
                      </w:r>
                      <w:r>
                        <w:rPr>
                          <w:rFonts w:ascii="Segoe UI Semibold" w:hAnsi="Segoe UI Semibold"/>
                          <w:b/>
                          <w:i/>
                          <w:color w:val="000000"/>
                          <w:sz w:val="26"/>
                        </w:rPr>
                        <w:t>,</w:t>
                      </w:r>
                    </w:p>
                    <w:p>
                      <w:pPr>
                        <w:spacing w:line="220" w:lineRule="auto" w:before="3"/>
                        <w:ind w:left="1474" w:right="270" w:firstLine="0"/>
                        <w:jc w:val="left"/>
                        <w:rPr>
                          <w:rFonts w:ascii="Segoe UI Semibold" w:hAnsi="Segoe UI Semibold"/>
                          <w:b/>
                          <w:i/>
                          <w:color w:val="000000"/>
                          <w:sz w:val="26"/>
                        </w:rPr>
                      </w:pPr>
                      <w:r>
                        <w:rPr>
                          <w:rFonts w:ascii="Segoe UI Semibold" w:hAnsi="Segoe UI Semibold"/>
                          <w:b/>
                          <w:i/>
                          <w:color w:val="000000"/>
                          <w:sz w:val="26"/>
                        </w:rPr>
                        <w:t>un montant inférieur à la période</w:t>
                      </w:r>
                      <w:r>
                        <w:rPr>
                          <w:rFonts w:ascii="Segoe UI Semibold" w:hAnsi="Segoe UI Semibold"/>
                          <w:b/>
                          <w:i/>
                          <w:color w:val="000000"/>
                          <w:sz w:val="26"/>
                        </w:rPr>
                        <w:t> antérieure (août 2021-février 2023) pour</w:t>
                      </w:r>
                      <w:r>
                        <w:rPr>
                          <w:rFonts w:ascii="Segoe UI Semibold" w:hAnsi="Segoe UI Semibold"/>
                          <w:b/>
                          <w:i/>
                          <w:color w:val="000000"/>
                          <w:spacing w:val="-11"/>
                          <w:sz w:val="26"/>
                        </w:rPr>
                        <w:t> </w:t>
                      </w:r>
                      <w:r>
                        <w:rPr>
                          <w:rFonts w:ascii="Segoe UI Semibold" w:hAnsi="Segoe UI Semibold"/>
                          <w:b/>
                          <w:i/>
                          <w:color w:val="000000"/>
                          <w:sz w:val="26"/>
                        </w:rPr>
                        <w:t>dépréciation</w:t>
                      </w:r>
                      <w:r>
                        <w:rPr>
                          <w:rFonts w:ascii="Segoe UI Semibold" w:hAnsi="Segoe UI Semibold"/>
                          <w:b/>
                          <w:i/>
                          <w:color w:val="000000"/>
                          <w:spacing w:val="-11"/>
                          <w:sz w:val="26"/>
                        </w:rPr>
                        <w:t> </w:t>
                      </w:r>
                      <w:r>
                        <w:rPr>
                          <w:rFonts w:ascii="Segoe UI Semibold" w:hAnsi="Segoe UI Semibold"/>
                          <w:b/>
                          <w:i/>
                          <w:color w:val="000000"/>
                          <w:sz w:val="26"/>
                        </w:rPr>
                        <w:t>des</w:t>
                      </w:r>
                      <w:r>
                        <w:rPr>
                          <w:rFonts w:ascii="Segoe UI Semibold" w:hAnsi="Segoe UI Semibold"/>
                          <w:b/>
                          <w:i/>
                          <w:color w:val="000000"/>
                          <w:spacing w:val="-11"/>
                          <w:sz w:val="26"/>
                        </w:rPr>
                        <w:t> </w:t>
                      </w:r>
                      <w:r>
                        <w:rPr>
                          <w:rFonts w:ascii="Segoe UI Semibold" w:hAnsi="Segoe UI Semibold"/>
                          <w:b/>
                          <w:i/>
                          <w:color w:val="000000"/>
                          <w:sz w:val="26"/>
                        </w:rPr>
                        <w:t>cours</w:t>
                      </w:r>
                      <w:r>
                        <w:rPr>
                          <w:rFonts w:ascii="Segoe UI Semibold" w:hAnsi="Segoe UI Semibold"/>
                          <w:b/>
                          <w:i/>
                          <w:color w:val="000000"/>
                          <w:spacing w:val="-11"/>
                          <w:sz w:val="26"/>
                        </w:rPr>
                        <w:t> </w:t>
                      </w:r>
                      <w:r>
                        <w:rPr>
                          <w:rFonts w:ascii="Segoe UI Semibold" w:hAnsi="Segoe UI Semibold"/>
                          <w:b/>
                          <w:i/>
                          <w:color w:val="000000"/>
                          <w:sz w:val="26"/>
                        </w:rPr>
                        <w:t>de</w:t>
                      </w:r>
                      <w:r>
                        <w:rPr>
                          <w:rFonts w:ascii="Segoe UI Semibold" w:hAnsi="Segoe UI Semibold"/>
                          <w:b/>
                          <w:i/>
                          <w:color w:val="000000"/>
                          <w:spacing w:val="-11"/>
                          <w:sz w:val="26"/>
                        </w:rPr>
                        <w:t> </w:t>
                      </w:r>
                      <w:r>
                        <w:rPr>
                          <w:rFonts w:ascii="Segoe UI Semibold" w:hAnsi="Segoe UI Semibold"/>
                          <w:b/>
                          <w:i/>
                          <w:color w:val="000000"/>
                          <w:sz w:val="26"/>
                        </w:rPr>
                        <w:t>l’or</w:t>
                      </w:r>
                      <w:r>
                        <w:rPr>
                          <w:rFonts w:ascii="Segoe UI Semibold" w:hAnsi="Segoe UI Semibold"/>
                          <w:b/>
                          <w:i/>
                          <w:color w:val="000000"/>
                          <w:spacing w:val="-11"/>
                          <w:sz w:val="26"/>
                        </w:rPr>
                        <w:t> </w:t>
                      </w:r>
                      <w:r>
                        <w:rPr>
                          <w:rFonts w:ascii="Segoe UI Semibold" w:hAnsi="Segoe UI Semibold"/>
                          <w:b/>
                          <w:i/>
                          <w:color w:val="000000"/>
                          <w:sz w:val="26"/>
                        </w:rPr>
                        <w:t>de 4,2</w:t>
                      </w:r>
                      <w:r>
                        <w:rPr>
                          <w:rFonts w:ascii="Segoe UI Semibold" w:hAnsi="Segoe UI Semibold"/>
                          <w:b/>
                          <w:i/>
                          <w:color w:val="000000"/>
                          <w:spacing w:val="-3"/>
                          <w:sz w:val="26"/>
                        </w:rPr>
                        <w:t> </w:t>
                      </w:r>
                      <w:r>
                        <w:rPr>
                          <w:rFonts w:ascii="Segoe UI Semibold" w:hAnsi="Segoe UI Semibold"/>
                          <w:b/>
                          <w:i/>
                          <w:color w:val="000000"/>
                          <w:sz w:val="26"/>
                        </w:rPr>
                        <w:t>p.</w:t>
                      </w:r>
                      <w:r>
                        <w:rPr>
                          <w:rFonts w:ascii="Segoe UI Semibold" w:hAnsi="Segoe UI Semibold"/>
                          <w:b/>
                          <w:i/>
                          <w:color w:val="000000"/>
                          <w:spacing w:val="-3"/>
                          <w:sz w:val="26"/>
                        </w:rPr>
                        <w:t> </w:t>
                      </w:r>
                      <w:r>
                        <w:rPr>
                          <w:rFonts w:ascii="Segoe UI Semibold" w:hAnsi="Segoe UI Semibold"/>
                          <w:b/>
                          <w:i/>
                          <w:color w:val="000000"/>
                          <w:sz w:val="26"/>
                        </w:rPr>
                        <w:t>100</w:t>
                      </w:r>
                      <w:r>
                        <w:rPr>
                          <w:rFonts w:ascii="Segoe UI Semibold" w:hAnsi="Segoe UI Semibold"/>
                          <w:b/>
                          <w:i/>
                          <w:color w:val="000000"/>
                          <w:spacing w:val="-3"/>
                          <w:sz w:val="26"/>
                        </w:rPr>
                        <w:t> </w:t>
                      </w:r>
                      <w:r>
                        <w:rPr>
                          <w:rFonts w:ascii="Segoe UI Semibold" w:hAnsi="Segoe UI Semibold"/>
                          <w:b/>
                          <w:i/>
                          <w:color w:val="000000"/>
                          <w:sz w:val="26"/>
                        </w:rPr>
                        <w:t>fin</w:t>
                      </w:r>
                      <w:r>
                        <w:rPr>
                          <w:rFonts w:ascii="Segoe UI Semibold" w:hAnsi="Segoe UI Semibold"/>
                          <w:b/>
                          <w:i/>
                          <w:color w:val="000000"/>
                          <w:spacing w:val="-3"/>
                          <w:sz w:val="26"/>
                        </w:rPr>
                        <w:t> </w:t>
                      </w:r>
                      <w:r>
                        <w:rPr>
                          <w:rFonts w:ascii="Segoe UI Semibold" w:hAnsi="Segoe UI Semibold"/>
                          <w:b/>
                          <w:i/>
                          <w:color w:val="000000"/>
                          <w:sz w:val="26"/>
                        </w:rPr>
                        <w:t>février</w:t>
                      </w:r>
                      <w:r>
                        <w:rPr>
                          <w:rFonts w:ascii="Segoe UI Semibold" w:hAnsi="Segoe UI Semibold"/>
                          <w:b/>
                          <w:i/>
                          <w:color w:val="000000"/>
                          <w:spacing w:val="-3"/>
                          <w:sz w:val="26"/>
                        </w:rPr>
                        <w:t> </w:t>
                      </w:r>
                      <w:r>
                        <w:rPr>
                          <w:rFonts w:ascii="Segoe UI Semibold" w:hAnsi="Segoe UI Semibold"/>
                          <w:b/>
                          <w:i/>
                          <w:color w:val="000000"/>
                          <w:sz w:val="26"/>
                        </w:rPr>
                        <w:t>2023</w:t>
                      </w:r>
                      <w:r>
                        <w:rPr>
                          <w:rFonts w:ascii="Segoe UI Semibold" w:hAnsi="Segoe UI Semibold"/>
                          <w:b/>
                          <w:i/>
                          <w:color w:val="000000"/>
                          <w:spacing w:val="-3"/>
                          <w:sz w:val="26"/>
                        </w:rPr>
                        <w:t> </w:t>
                      </w:r>
                      <w:r>
                        <w:rPr>
                          <w:rFonts w:ascii="Segoe UI Semibold" w:hAnsi="Segoe UI Semibold"/>
                          <w:b/>
                          <w:i/>
                          <w:color w:val="000000"/>
                          <w:sz w:val="26"/>
                        </w:rPr>
                        <w:t>par</w:t>
                      </w:r>
                      <w:r>
                        <w:rPr>
                          <w:rFonts w:ascii="Segoe UI Semibold" w:hAnsi="Segoe UI Semibold"/>
                          <w:b/>
                          <w:i/>
                          <w:color w:val="000000"/>
                          <w:spacing w:val="-3"/>
                          <w:sz w:val="26"/>
                        </w:rPr>
                        <w:t> </w:t>
                      </w:r>
                      <w:r>
                        <w:rPr>
                          <w:rFonts w:ascii="Segoe UI Semibold" w:hAnsi="Segoe UI Semibold"/>
                          <w:b/>
                          <w:i/>
                          <w:color w:val="000000"/>
                          <w:spacing w:val="-2"/>
                          <w:sz w:val="26"/>
                        </w:rPr>
                        <w:t>rapport</w:t>
                      </w:r>
                    </w:p>
                    <w:p>
                      <w:pPr>
                        <w:spacing w:line="328" w:lineRule="exact" w:before="0"/>
                        <w:ind w:left="1474" w:right="0" w:firstLine="0"/>
                        <w:jc w:val="left"/>
                        <w:rPr>
                          <w:rFonts w:ascii="Segoe UI Semibold" w:hAnsi="Segoe UI Semibold"/>
                          <w:b/>
                          <w:i/>
                          <w:color w:val="000000"/>
                          <w:sz w:val="26"/>
                        </w:rPr>
                      </w:pPr>
                      <w:r>
                        <w:rPr>
                          <w:rFonts w:ascii="Segoe UI Semibold" w:hAnsi="Segoe UI Semibold"/>
                          <w:b/>
                          <w:i/>
                          <w:color w:val="000000"/>
                          <w:sz w:val="26"/>
                        </w:rPr>
                        <w:t>à</w:t>
                      </w:r>
                      <w:r>
                        <w:rPr>
                          <w:rFonts w:ascii="Segoe UI Semibold" w:hAnsi="Segoe UI Semibold"/>
                          <w:b/>
                          <w:i/>
                          <w:color w:val="000000"/>
                          <w:spacing w:val="-4"/>
                          <w:sz w:val="26"/>
                        </w:rPr>
                        <w:t> </w:t>
                      </w:r>
                      <w:r>
                        <w:rPr>
                          <w:rFonts w:ascii="Segoe UI Semibold" w:hAnsi="Segoe UI Semibold"/>
                          <w:b/>
                          <w:i/>
                          <w:color w:val="000000"/>
                          <w:sz w:val="26"/>
                        </w:rPr>
                        <w:t>février</w:t>
                      </w:r>
                      <w:r>
                        <w:rPr>
                          <w:rFonts w:ascii="Segoe UI Semibold" w:hAnsi="Segoe UI Semibold"/>
                          <w:b/>
                          <w:i/>
                          <w:color w:val="000000"/>
                          <w:spacing w:val="-3"/>
                          <w:sz w:val="26"/>
                        </w:rPr>
                        <w:t> </w:t>
                      </w:r>
                      <w:r>
                        <w:rPr>
                          <w:rFonts w:ascii="Segoe UI Semibold" w:hAnsi="Segoe UI Semibold"/>
                          <w:b/>
                          <w:i/>
                          <w:color w:val="000000"/>
                          <w:spacing w:val="-2"/>
                          <w:sz w:val="26"/>
                        </w:rPr>
                        <w:t>2002.</w:t>
                      </w:r>
                    </w:p>
                  </w:txbxContent>
                </v:textbox>
                <v:fill type="solid"/>
                <w10:wrap type="none"/>
              </v:shape>
            </w:pict>
          </mc:Fallback>
        </mc:AlternateContent>
      </w:r>
      <w:r>
        <w:rPr>
          <w:color w:val="231F20"/>
        </w:rPr>
        <w:t>et à la réalisation de ses Objectifs de développement durable (ODD).</w:t>
      </w:r>
    </w:p>
    <w:p>
      <w:pPr>
        <w:pStyle w:val="BodyText"/>
        <w:spacing w:before="161"/>
        <w:ind w:left="6349" w:right="1135"/>
      </w:pPr>
      <w:r>
        <w:rPr>
          <w:color w:val="231F20"/>
        </w:rPr>
        <w:t>Peu</w:t>
      </w:r>
      <w:r>
        <w:rPr>
          <w:color w:val="231F20"/>
          <w:spacing w:val="-11"/>
        </w:rPr>
        <w:t> </w:t>
      </w:r>
      <w:r>
        <w:rPr>
          <w:color w:val="231F20"/>
        </w:rPr>
        <w:t>de</w:t>
      </w:r>
      <w:r>
        <w:rPr>
          <w:color w:val="231F20"/>
          <w:spacing w:val="-11"/>
        </w:rPr>
        <w:t> </w:t>
      </w:r>
      <w:r>
        <w:rPr>
          <w:color w:val="231F20"/>
        </w:rPr>
        <w:t>questions</w:t>
      </w:r>
      <w:r>
        <w:rPr>
          <w:color w:val="231F20"/>
          <w:spacing w:val="-11"/>
        </w:rPr>
        <w:t> </w:t>
      </w:r>
      <w:r>
        <w:rPr>
          <w:color w:val="231F20"/>
        </w:rPr>
        <w:t>sont</w:t>
      </w:r>
      <w:r>
        <w:rPr>
          <w:color w:val="231F20"/>
          <w:spacing w:val="-11"/>
        </w:rPr>
        <w:t> </w:t>
      </w:r>
      <w:r>
        <w:rPr>
          <w:color w:val="231F20"/>
        </w:rPr>
        <w:t>parvenues</w:t>
      </w:r>
      <w:r>
        <w:rPr>
          <w:color w:val="231F20"/>
          <w:spacing w:val="-11"/>
        </w:rPr>
        <w:t> </w:t>
      </w:r>
      <w:r>
        <w:rPr>
          <w:color w:val="231F20"/>
        </w:rPr>
        <w:t>à</w:t>
      </w:r>
      <w:r>
        <w:rPr>
          <w:color w:val="231F20"/>
          <w:spacing w:val="-11"/>
        </w:rPr>
        <w:t> </w:t>
      </w:r>
      <w:r>
        <w:rPr>
          <w:color w:val="231F20"/>
        </w:rPr>
        <w:t>faire</w:t>
      </w:r>
      <w:r>
        <w:rPr>
          <w:color w:val="231F20"/>
          <w:spacing w:val="-11"/>
        </w:rPr>
        <w:t> </w:t>
      </w:r>
      <w:r>
        <w:rPr>
          <w:color w:val="231F20"/>
        </w:rPr>
        <w:t>le </w:t>
      </w:r>
      <w:r>
        <w:rPr>
          <w:color w:val="231F20"/>
          <w:spacing w:val="-6"/>
        </w:rPr>
        <w:t>consensus</w:t>
      </w:r>
      <w:r>
        <w:rPr>
          <w:color w:val="231F20"/>
          <w:spacing w:val="-11"/>
        </w:rPr>
        <w:t> </w:t>
      </w:r>
      <w:r>
        <w:rPr>
          <w:color w:val="231F20"/>
          <w:spacing w:val="-6"/>
        </w:rPr>
        <w:t>de</w:t>
      </w:r>
      <w:r>
        <w:rPr>
          <w:color w:val="231F20"/>
          <w:spacing w:val="-10"/>
        </w:rPr>
        <w:t> </w:t>
      </w:r>
      <w:r>
        <w:rPr>
          <w:color w:val="231F20"/>
          <w:spacing w:val="-6"/>
        </w:rPr>
        <w:t>la</w:t>
      </w:r>
      <w:r>
        <w:rPr>
          <w:color w:val="231F20"/>
          <w:spacing w:val="-11"/>
        </w:rPr>
        <w:t> </w:t>
      </w:r>
      <w:r>
        <w:rPr>
          <w:color w:val="231F20"/>
          <w:spacing w:val="-6"/>
        </w:rPr>
        <w:t>communauté</w:t>
      </w:r>
      <w:r>
        <w:rPr>
          <w:color w:val="231F20"/>
          <w:spacing w:val="-10"/>
        </w:rPr>
        <w:t> </w:t>
      </w:r>
      <w:r>
        <w:rPr>
          <w:color w:val="231F20"/>
          <w:spacing w:val="-6"/>
        </w:rPr>
        <w:t>internationale </w:t>
      </w:r>
      <w:r>
        <w:rPr>
          <w:color w:val="231F20"/>
        </w:rPr>
        <w:t>autant que la condamnation du blocus. Toujours plus de forces et d’acteurs dans le monde dénoncent cette politique </w:t>
      </w:r>
      <w:r>
        <w:rPr>
          <w:color w:val="231F20"/>
          <w:spacing w:val="-4"/>
        </w:rPr>
        <w:t>inhumaine</w:t>
      </w:r>
      <w:r>
        <w:rPr>
          <w:color w:val="231F20"/>
          <w:spacing w:val="-13"/>
        </w:rPr>
        <w:t> </w:t>
      </w:r>
      <w:r>
        <w:rPr>
          <w:color w:val="231F20"/>
          <w:spacing w:val="-4"/>
        </w:rPr>
        <w:t>et</w:t>
      </w:r>
      <w:r>
        <w:rPr>
          <w:color w:val="231F20"/>
          <w:spacing w:val="-12"/>
        </w:rPr>
        <w:t> </w:t>
      </w:r>
      <w:r>
        <w:rPr>
          <w:color w:val="231F20"/>
          <w:spacing w:val="-4"/>
        </w:rPr>
        <w:t>illégale</w:t>
      </w:r>
      <w:r>
        <w:rPr>
          <w:color w:val="231F20"/>
          <w:spacing w:val="-13"/>
        </w:rPr>
        <w:t> </w:t>
      </w:r>
      <w:r>
        <w:rPr>
          <w:color w:val="231F20"/>
          <w:spacing w:val="-4"/>
        </w:rPr>
        <w:t>à</w:t>
      </w:r>
      <w:r>
        <w:rPr>
          <w:color w:val="231F20"/>
          <w:spacing w:val="-12"/>
        </w:rPr>
        <w:t> </w:t>
      </w:r>
      <w:r>
        <w:rPr>
          <w:color w:val="231F20"/>
          <w:spacing w:val="-4"/>
        </w:rPr>
        <w:t>la</w:t>
      </w:r>
      <w:r>
        <w:rPr>
          <w:color w:val="231F20"/>
          <w:spacing w:val="-13"/>
        </w:rPr>
        <w:t> </w:t>
      </w:r>
      <w:r>
        <w:rPr>
          <w:color w:val="231F20"/>
          <w:spacing w:val="-4"/>
        </w:rPr>
        <w:t>moindre</w:t>
      </w:r>
      <w:r>
        <w:rPr>
          <w:color w:val="231F20"/>
          <w:spacing w:val="-12"/>
        </w:rPr>
        <w:t> </w:t>
      </w:r>
      <w:r>
        <w:rPr>
          <w:color w:val="231F20"/>
          <w:spacing w:val="-4"/>
        </w:rPr>
        <w:t>occasion. </w:t>
      </w:r>
      <w:r>
        <w:rPr>
          <w:color w:val="231F20"/>
          <w:spacing w:val="-6"/>
        </w:rPr>
        <w:t>Le</w:t>
      </w:r>
      <w:r>
        <w:rPr>
          <w:color w:val="231F20"/>
          <w:spacing w:val="-10"/>
        </w:rPr>
        <w:t> </w:t>
      </w:r>
      <w:r>
        <w:rPr>
          <w:color w:val="231F20"/>
          <w:spacing w:val="-6"/>
        </w:rPr>
        <w:t>présent</w:t>
      </w:r>
      <w:r>
        <w:rPr>
          <w:color w:val="231F20"/>
          <w:spacing w:val="-10"/>
        </w:rPr>
        <w:t> </w:t>
      </w:r>
      <w:r>
        <w:rPr>
          <w:color w:val="231F20"/>
          <w:spacing w:val="-6"/>
        </w:rPr>
        <w:t>Rapport</w:t>
      </w:r>
      <w:r>
        <w:rPr>
          <w:color w:val="231F20"/>
          <w:spacing w:val="-10"/>
        </w:rPr>
        <w:t> </w:t>
      </w:r>
      <w:r>
        <w:rPr>
          <w:color w:val="231F20"/>
          <w:spacing w:val="-6"/>
        </w:rPr>
        <w:t>se</w:t>
      </w:r>
      <w:r>
        <w:rPr>
          <w:color w:val="231F20"/>
          <w:spacing w:val="-10"/>
        </w:rPr>
        <w:t> </w:t>
      </w:r>
      <w:r>
        <w:rPr>
          <w:color w:val="231F20"/>
          <w:spacing w:val="-6"/>
        </w:rPr>
        <w:t>veut</w:t>
      </w:r>
      <w:r>
        <w:rPr>
          <w:color w:val="231F20"/>
          <w:spacing w:val="-10"/>
        </w:rPr>
        <w:t> </w:t>
      </w:r>
      <w:r>
        <w:rPr>
          <w:color w:val="231F20"/>
          <w:spacing w:val="-6"/>
        </w:rPr>
        <w:t>une</w:t>
      </w:r>
      <w:r>
        <w:rPr>
          <w:color w:val="231F20"/>
          <w:spacing w:val="-10"/>
        </w:rPr>
        <w:t> </w:t>
      </w:r>
      <w:r>
        <w:rPr>
          <w:color w:val="231F20"/>
          <w:spacing w:val="-6"/>
        </w:rPr>
        <w:t>contribution </w:t>
      </w:r>
      <w:r>
        <w:rPr>
          <w:color w:val="231F20"/>
        </w:rPr>
        <w:t>à ces efforts.</w:t>
      </w:r>
    </w:p>
    <w:p>
      <w:pPr>
        <w:pStyle w:val="BodyText"/>
        <w:spacing w:before="235"/>
        <w:jc w:val="left"/>
        <w:rPr>
          <w:sz w:val="20"/>
        </w:rPr>
      </w:pPr>
      <w:r>
        <w:rPr/>
        <mc:AlternateContent>
          <mc:Choice Requires="wps">
            <w:drawing>
              <wp:anchor distT="0" distB="0" distL="0" distR="0" allowOverlap="1" layoutInCell="1" locked="0" behindDoc="1" simplePos="0" relativeHeight="487684608">
                <wp:simplePos x="0" y="0"/>
                <wp:positionH relativeFrom="page">
                  <wp:posOffset>5930887</wp:posOffset>
                </wp:positionH>
                <wp:positionV relativeFrom="paragraph">
                  <wp:posOffset>333446</wp:posOffset>
                </wp:positionV>
                <wp:extent cx="909319" cy="26034"/>
                <wp:effectExtent l="0" t="0" r="0" b="0"/>
                <wp:wrapTopAndBottom/>
                <wp:docPr id="407" name="Graphic 407"/>
                <wp:cNvGraphicFramePr>
                  <a:graphicFrameLocks/>
                </wp:cNvGraphicFramePr>
                <a:graphic>
                  <a:graphicData uri="http://schemas.microsoft.com/office/word/2010/wordprocessingShape">
                    <wps:wsp>
                      <wps:cNvPr id="407" name="Graphic 407"/>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466.998993pt;margin-top:26.255625pt;width:71.584pt;height:2.021pt;mso-position-horizontal-relative:page;mso-position-vertical-relative:paragraph;z-index:-15631872;mso-wrap-distance-left:0;mso-wrap-distance-right:0" id="docshape338" filled="true" fillcolor="#b52628" stroked="false">
                <v:fill type="solid"/>
                <w10:wrap type="topAndBottom"/>
              </v:rect>
            </w:pict>
          </mc:Fallback>
        </mc:AlternateContent>
      </w:r>
    </w:p>
    <w:p>
      <w:pPr>
        <w:pStyle w:val="BodyText"/>
        <w:jc w:val="left"/>
      </w:pPr>
    </w:p>
    <w:p>
      <w:pPr>
        <w:pStyle w:val="BodyText"/>
        <w:jc w:val="left"/>
      </w:pPr>
    </w:p>
    <w:p>
      <w:pPr>
        <w:pStyle w:val="BodyText"/>
        <w:jc w:val="left"/>
      </w:pPr>
    </w:p>
    <w:p>
      <w:pPr>
        <w:pStyle w:val="BodyText"/>
        <w:spacing w:before="244"/>
        <w:jc w:val="left"/>
      </w:pPr>
    </w:p>
    <w:p>
      <w:pPr>
        <w:pStyle w:val="BodyText"/>
        <w:ind w:left="1474" w:right="6007"/>
      </w:pPr>
      <w:r>
        <w:rPr>
          <w:color w:val="231F20"/>
        </w:rPr>
        <w:t>Aucun autre peuple n’a dû conduire </w:t>
      </w:r>
      <w:r>
        <w:rPr>
          <w:color w:val="231F20"/>
        </w:rPr>
        <w:t>un projet social et de développement dans des</w:t>
      </w:r>
      <w:r>
        <w:rPr>
          <w:color w:val="231F20"/>
          <w:spacing w:val="-10"/>
        </w:rPr>
        <w:t> </w:t>
      </w:r>
      <w:r>
        <w:rPr>
          <w:color w:val="231F20"/>
        </w:rPr>
        <w:t>conditions</w:t>
      </w:r>
      <w:r>
        <w:rPr>
          <w:color w:val="231F20"/>
          <w:spacing w:val="-10"/>
        </w:rPr>
        <w:t> </w:t>
      </w:r>
      <w:r>
        <w:rPr>
          <w:color w:val="231F20"/>
        </w:rPr>
        <w:t>semblables,</w:t>
      </w:r>
      <w:r>
        <w:rPr>
          <w:color w:val="231F20"/>
          <w:spacing w:val="-10"/>
        </w:rPr>
        <w:t> </w:t>
      </w:r>
      <w:r>
        <w:rPr>
          <w:color w:val="231F20"/>
        </w:rPr>
        <w:t>en</w:t>
      </w:r>
      <w:r>
        <w:rPr>
          <w:color w:val="231F20"/>
          <w:spacing w:val="-10"/>
        </w:rPr>
        <w:t> </w:t>
      </w:r>
      <w:r>
        <w:rPr>
          <w:color w:val="231F20"/>
        </w:rPr>
        <w:t>butte</w:t>
      </w:r>
      <w:r>
        <w:rPr>
          <w:color w:val="231F20"/>
          <w:spacing w:val="-10"/>
        </w:rPr>
        <w:t> </w:t>
      </w:r>
      <w:r>
        <w:rPr>
          <w:color w:val="231F20"/>
        </w:rPr>
        <w:t>à</w:t>
      </w:r>
      <w:r>
        <w:rPr>
          <w:color w:val="231F20"/>
          <w:spacing w:val="-10"/>
        </w:rPr>
        <w:t> </w:t>
      </w:r>
      <w:r>
        <w:rPr>
          <w:color w:val="231F20"/>
        </w:rPr>
        <w:t>une hostilité aussi systématique et prolongée de la part du pays le plus puissant qu’ait connue</w:t>
      </w:r>
      <w:r>
        <w:rPr>
          <w:color w:val="231F20"/>
          <w:spacing w:val="-14"/>
        </w:rPr>
        <w:t> </w:t>
      </w:r>
      <w:r>
        <w:rPr>
          <w:color w:val="231F20"/>
        </w:rPr>
        <w:t>dans</w:t>
      </w:r>
      <w:r>
        <w:rPr>
          <w:color w:val="231F20"/>
          <w:spacing w:val="-14"/>
        </w:rPr>
        <w:t> </w:t>
      </w:r>
      <w:r>
        <w:rPr>
          <w:color w:val="231F20"/>
        </w:rPr>
        <w:t>l’humanité.</w:t>
      </w:r>
      <w:r>
        <w:rPr>
          <w:color w:val="231F20"/>
          <w:spacing w:val="-14"/>
        </w:rPr>
        <w:t> </w:t>
      </w:r>
      <w:r>
        <w:rPr>
          <w:color w:val="231F20"/>
        </w:rPr>
        <w:t>Et</w:t>
      </w:r>
      <w:r>
        <w:rPr>
          <w:color w:val="231F20"/>
          <w:spacing w:val="-14"/>
        </w:rPr>
        <w:t> </w:t>
      </w:r>
      <w:r>
        <w:rPr>
          <w:color w:val="231F20"/>
        </w:rPr>
        <w:t>pourtant,</w:t>
      </w:r>
      <w:r>
        <w:rPr>
          <w:color w:val="231F20"/>
          <w:spacing w:val="-14"/>
        </w:rPr>
        <w:t> </w:t>
      </w:r>
      <w:r>
        <w:rPr>
          <w:color w:val="231F20"/>
        </w:rPr>
        <w:t>dans ces pires circonstances et en butte aux pressions les plus criminelles, Cuba a été capable de vaincre la terrible pandémie de</w:t>
      </w:r>
      <w:r>
        <w:rPr>
          <w:color w:val="231F20"/>
          <w:spacing w:val="-9"/>
        </w:rPr>
        <w:t> </w:t>
      </w:r>
      <w:r>
        <w:rPr>
          <w:color w:val="231F20"/>
        </w:rPr>
        <w:t>Covid-19</w:t>
      </w:r>
      <w:r>
        <w:rPr>
          <w:color w:val="231F20"/>
          <w:spacing w:val="-9"/>
        </w:rPr>
        <w:t> </w:t>
      </w:r>
      <w:r>
        <w:rPr>
          <w:color w:val="231F20"/>
        </w:rPr>
        <w:t>par</w:t>
      </w:r>
      <w:r>
        <w:rPr>
          <w:color w:val="231F20"/>
          <w:spacing w:val="-9"/>
        </w:rPr>
        <w:t> </w:t>
      </w:r>
      <w:r>
        <w:rPr>
          <w:color w:val="231F20"/>
        </w:rPr>
        <w:t>ses</w:t>
      </w:r>
      <w:r>
        <w:rPr>
          <w:color w:val="231F20"/>
          <w:spacing w:val="-9"/>
        </w:rPr>
        <w:t> </w:t>
      </w:r>
      <w:r>
        <w:rPr>
          <w:color w:val="231F20"/>
        </w:rPr>
        <w:t>propres</w:t>
      </w:r>
      <w:r>
        <w:rPr>
          <w:color w:val="231F20"/>
          <w:spacing w:val="-9"/>
        </w:rPr>
        <w:t> </w:t>
      </w:r>
      <w:r>
        <w:rPr>
          <w:color w:val="231F20"/>
        </w:rPr>
        <w:t>efforts</w:t>
      </w:r>
      <w:r>
        <w:rPr>
          <w:color w:val="231F20"/>
          <w:spacing w:val="-9"/>
        </w:rPr>
        <w:t> </w:t>
      </w:r>
      <w:r>
        <w:rPr>
          <w:color w:val="231F20"/>
        </w:rPr>
        <w:t>et</w:t>
      </w:r>
      <w:r>
        <w:rPr>
          <w:color w:val="231F20"/>
          <w:spacing w:val="-9"/>
        </w:rPr>
        <w:t> </w:t>
      </w:r>
      <w:r>
        <w:rPr>
          <w:color w:val="231F20"/>
        </w:rPr>
        <w:t>son propre talent.</w:t>
      </w:r>
    </w:p>
    <w:p>
      <w:pPr>
        <w:pStyle w:val="BodyText"/>
        <w:spacing w:before="169"/>
        <w:ind w:left="1474" w:right="6006"/>
      </w:pPr>
      <w:r>
        <w:rPr>
          <w:color w:val="231F20"/>
        </w:rPr>
        <w:t>Le</w:t>
      </w:r>
      <w:r>
        <w:rPr>
          <w:color w:val="231F20"/>
          <w:spacing w:val="-6"/>
        </w:rPr>
        <w:t> </w:t>
      </w:r>
      <w:r>
        <w:rPr>
          <w:color w:val="231F20"/>
        </w:rPr>
        <w:t>blocus</w:t>
      </w:r>
      <w:r>
        <w:rPr>
          <w:color w:val="231F20"/>
          <w:spacing w:val="-6"/>
        </w:rPr>
        <w:t> </w:t>
      </w:r>
      <w:r>
        <w:rPr>
          <w:color w:val="231F20"/>
        </w:rPr>
        <w:t>constitue</w:t>
      </w:r>
      <w:r>
        <w:rPr>
          <w:color w:val="231F20"/>
          <w:spacing w:val="-6"/>
        </w:rPr>
        <w:t> </w:t>
      </w:r>
      <w:r>
        <w:rPr>
          <w:color w:val="231F20"/>
        </w:rPr>
        <w:t>une</w:t>
      </w:r>
      <w:r>
        <w:rPr>
          <w:color w:val="231F20"/>
          <w:spacing w:val="-6"/>
        </w:rPr>
        <w:t> </w:t>
      </w:r>
      <w:r>
        <w:rPr>
          <w:color w:val="231F20"/>
        </w:rPr>
        <w:t>violation</w:t>
      </w:r>
      <w:r>
        <w:rPr>
          <w:color w:val="231F20"/>
          <w:spacing w:val="-6"/>
        </w:rPr>
        <w:t> </w:t>
      </w:r>
      <w:r>
        <w:rPr>
          <w:color w:val="231F20"/>
        </w:rPr>
        <w:t>massive, flagrante et systématique des droits humains des Cubaines et des Cubains. Compte</w:t>
      </w:r>
      <w:r>
        <w:rPr>
          <w:color w:val="231F20"/>
          <w:spacing w:val="80"/>
        </w:rPr>
        <w:t> </w:t>
      </w:r>
      <w:r>
        <w:rPr>
          <w:color w:val="231F20"/>
        </w:rPr>
        <w:t>tenu</w:t>
      </w:r>
      <w:r>
        <w:rPr>
          <w:color w:val="231F20"/>
          <w:spacing w:val="80"/>
        </w:rPr>
        <w:t> </w:t>
      </w:r>
      <w:r>
        <w:rPr>
          <w:color w:val="231F20"/>
        </w:rPr>
        <w:t>de</w:t>
      </w:r>
      <w:r>
        <w:rPr>
          <w:color w:val="231F20"/>
          <w:spacing w:val="80"/>
        </w:rPr>
        <w:t> </w:t>
      </w:r>
      <w:r>
        <w:rPr>
          <w:color w:val="231F20"/>
        </w:rPr>
        <w:t>ses</w:t>
      </w:r>
      <w:r>
        <w:rPr>
          <w:color w:val="231F20"/>
          <w:spacing w:val="80"/>
        </w:rPr>
        <w:t> </w:t>
      </w:r>
      <w:r>
        <w:rPr>
          <w:color w:val="231F20"/>
        </w:rPr>
        <w:t>visées</w:t>
      </w:r>
      <w:r>
        <w:rPr>
          <w:color w:val="231F20"/>
          <w:spacing w:val="80"/>
        </w:rPr>
        <w:t> </w:t>
      </w:r>
      <w:r>
        <w:rPr>
          <w:color w:val="231F20"/>
        </w:rPr>
        <w:t>déclarées et de l’échafaudage politique, </w:t>
      </w:r>
      <w:r>
        <w:rPr>
          <w:color w:val="231F20"/>
        </w:rPr>
        <w:t>juridique</w:t>
      </w:r>
      <w:r>
        <w:rPr>
          <w:color w:val="231F20"/>
          <w:spacing w:val="80"/>
        </w:rPr>
        <w:t> </w:t>
      </w:r>
      <w:r>
        <w:rPr>
          <w:color w:val="231F20"/>
        </w:rPr>
        <w:t>et administratif qui l’étaie, il relève du génocide tel que défini par la Convention pour la prévention et la répression du crime de génocide (1948).</w:t>
      </w:r>
    </w:p>
    <w:p>
      <w:pPr>
        <w:pStyle w:val="BodyText"/>
        <w:spacing w:before="167"/>
        <w:ind w:left="1474" w:right="6007"/>
      </w:pPr>
      <w:r>
        <w:rPr>
          <w:color w:val="231F20"/>
        </w:rPr>
        <w:t>Cette politique unilatérale est le </w:t>
      </w:r>
      <w:r>
        <w:rPr>
          <w:color w:val="231F20"/>
        </w:rPr>
        <w:t>frein principal</w:t>
      </w:r>
      <w:r>
        <w:rPr>
          <w:color w:val="231F20"/>
          <w:spacing w:val="-9"/>
        </w:rPr>
        <w:t> </w:t>
      </w:r>
      <w:r>
        <w:rPr>
          <w:color w:val="231F20"/>
        </w:rPr>
        <w:t>à</w:t>
      </w:r>
      <w:r>
        <w:rPr>
          <w:color w:val="231F20"/>
          <w:spacing w:val="-9"/>
        </w:rPr>
        <w:t> </w:t>
      </w:r>
      <w:r>
        <w:rPr>
          <w:color w:val="231F20"/>
        </w:rPr>
        <w:t>la</w:t>
      </w:r>
      <w:r>
        <w:rPr>
          <w:color w:val="231F20"/>
          <w:spacing w:val="-9"/>
        </w:rPr>
        <w:t> </w:t>
      </w:r>
      <w:r>
        <w:rPr>
          <w:color w:val="231F20"/>
        </w:rPr>
        <w:t>mise</w:t>
      </w:r>
      <w:r>
        <w:rPr>
          <w:color w:val="231F20"/>
          <w:spacing w:val="-9"/>
        </w:rPr>
        <w:t> </w:t>
      </w:r>
      <w:r>
        <w:rPr>
          <w:color w:val="231F20"/>
        </w:rPr>
        <w:t>en</w:t>
      </w:r>
      <w:r>
        <w:rPr>
          <w:color w:val="231F20"/>
          <w:spacing w:val="-9"/>
        </w:rPr>
        <w:t> </w:t>
      </w:r>
      <w:r>
        <w:rPr>
          <w:color w:val="231F20"/>
        </w:rPr>
        <w:t>œuvre</w:t>
      </w:r>
      <w:r>
        <w:rPr>
          <w:color w:val="231F20"/>
          <w:spacing w:val="-9"/>
        </w:rPr>
        <w:t> </w:t>
      </w:r>
      <w:r>
        <w:rPr>
          <w:color w:val="231F20"/>
        </w:rPr>
        <w:t>de</w:t>
      </w:r>
      <w:r>
        <w:rPr>
          <w:color w:val="231F20"/>
          <w:spacing w:val="-9"/>
        </w:rPr>
        <w:t> </w:t>
      </w:r>
      <w:r>
        <w:rPr>
          <w:color w:val="231F20"/>
        </w:rPr>
        <w:t>notre</w:t>
      </w:r>
      <w:r>
        <w:rPr>
          <w:color w:val="231F20"/>
          <w:spacing w:val="-9"/>
        </w:rPr>
        <w:t> </w:t>
      </w:r>
      <w:r>
        <w:rPr>
          <w:color w:val="231F20"/>
        </w:rPr>
        <w:t>Plan national de développement économique et social à l’horizon 2030 (PNDES) et du Programme</w:t>
      </w:r>
      <w:r>
        <w:rPr>
          <w:color w:val="231F20"/>
          <w:spacing w:val="40"/>
        </w:rPr>
        <w:t> </w:t>
      </w:r>
      <w:r>
        <w:rPr>
          <w:color w:val="231F20"/>
        </w:rPr>
        <w:t>de</w:t>
      </w:r>
      <w:r>
        <w:rPr>
          <w:color w:val="231F20"/>
          <w:spacing w:val="40"/>
        </w:rPr>
        <w:t> </w:t>
      </w:r>
      <w:r>
        <w:rPr>
          <w:color w:val="231F20"/>
        </w:rPr>
        <w:t>développement</w:t>
      </w:r>
      <w:r>
        <w:rPr>
          <w:color w:val="231F20"/>
          <w:spacing w:val="40"/>
        </w:rPr>
        <w:t> </w:t>
      </w:r>
      <w:r>
        <w:rPr>
          <w:color w:val="231F20"/>
        </w:rPr>
        <w:t>durable à</w:t>
      </w:r>
      <w:r>
        <w:rPr>
          <w:color w:val="231F20"/>
          <w:spacing w:val="42"/>
        </w:rPr>
        <w:t>  </w:t>
      </w:r>
      <w:r>
        <w:rPr>
          <w:color w:val="231F20"/>
        </w:rPr>
        <w:t>l’horizon</w:t>
      </w:r>
      <w:r>
        <w:rPr>
          <w:color w:val="231F20"/>
          <w:spacing w:val="42"/>
        </w:rPr>
        <w:t>  </w:t>
      </w:r>
      <w:r>
        <w:rPr>
          <w:color w:val="231F20"/>
        </w:rPr>
        <w:t>2030</w:t>
      </w:r>
      <w:r>
        <w:rPr>
          <w:color w:val="231F20"/>
          <w:spacing w:val="42"/>
        </w:rPr>
        <w:t>  </w:t>
      </w:r>
      <w:r>
        <w:rPr>
          <w:color w:val="231F20"/>
        </w:rPr>
        <w:t>des</w:t>
      </w:r>
      <w:r>
        <w:rPr>
          <w:color w:val="231F20"/>
          <w:spacing w:val="42"/>
        </w:rPr>
        <w:t>  </w:t>
      </w:r>
      <w:r>
        <w:rPr>
          <w:color w:val="231F20"/>
        </w:rPr>
        <w:t>Nations</w:t>
      </w:r>
      <w:r>
        <w:rPr>
          <w:color w:val="231F20"/>
          <w:spacing w:val="42"/>
        </w:rPr>
        <w:t>  </w:t>
      </w:r>
      <w:r>
        <w:rPr>
          <w:color w:val="231F20"/>
          <w:spacing w:val="-2"/>
        </w:rPr>
        <w:t>Unies</w:t>
      </w:r>
    </w:p>
    <w:p>
      <w:pPr>
        <w:spacing w:after="0"/>
        <w:sectPr>
          <w:pgSz w:w="11910" w:h="16840"/>
          <w:pgMar w:header="0" w:footer="695" w:top="1260" w:bottom="880" w:left="0" w:right="0"/>
        </w:sectPr>
      </w:pPr>
    </w:p>
    <w:p>
      <w:pPr>
        <w:pStyle w:val="BodyText"/>
        <w:spacing w:before="568"/>
        <w:jc w:val="left"/>
        <w:rPr>
          <w:sz w:val="56"/>
        </w:rPr>
      </w:pPr>
    </w:p>
    <w:p>
      <w:pPr>
        <w:pStyle w:val="Heading1"/>
        <w:spacing w:line="220" w:lineRule="auto"/>
        <w:ind w:right="6182"/>
      </w:pPr>
      <w:r>
        <w:rPr/>
        <mc:AlternateContent>
          <mc:Choice Requires="wps">
            <w:drawing>
              <wp:anchor distT="0" distB="0" distL="0" distR="0" allowOverlap="1" layoutInCell="1" locked="0" behindDoc="1" simplePos="0" relativeHeight="485850624">
                <wp:simplePos x="0" y="0"/>
                <wp:positionH relativeFrom="page">
                  <wp:posOffset>624240</wp:posOffset>
                </wp:positionH>
                <wp:positionV relativeFrom="paragraph">
                  <wp:posOffset>-782554</wp:posOffset>
                </wp:positionV>
                <wp:extent cx="1127125" cy="1544955"/>
                <wp:effectExtent l="0" t="0" r="0" b="0"/>
                <wp:wrapNone/>
                <wp:docPr id="408" name="Textbox 408"/>
                <wp:cNvGraphicFramePr>
                  <a:graphicFrameLocks/>
                </wp:cNvGraphicFramePr>
                <a:graphic>
                  <a:graphicData uri="http://schemas.microsoft.com/office/word/2010/wordprocessingShape">
                    <wps:wsp>
                      <wps:cNvPr id="408" name="Textbox 408"/>
                      <wps:cNvSpPr txBox="1"/>
                      <wps:spPr>
                        <a:xfrm>
                          <a:off x="0" y="0"/>
                          <a:ext cx="1127125"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58"/>
                                <w:w w:val="132"/>
                                <w:sz w:val="243"/>
                              </w:rPr>
                              <w:t>0</w:t>
                            </w:r>
                            <w:r>
                              <w:rPr>
                                <w:rFonts w:ascii="Arial"/>
                                <w:color w:val="B3B4CF"/>
                                <w:spacing w:val="-893"/>
                                <w:w w:val="68"/>
                                <w:sz w:val="243"/>
                              </w:rPr>
                              <w:t>1</w:t>
                            </w:r>
                          </w:p>
                        </w:txbxContent>
                      </wps:txbx>
                      <wps:bodyPr wrap="square" lIns="0" tIns="0" rIns="0" bIns="0" rtlCol="0">
                        <a:noAutofit/>
                      </wps:bodyPr>
                    </wps:wsp>
                  </a:graphicData>
                </a:graphic>
              </wp:anchor>
            </w:drawing>
          </mc:Choice>
          <mc:Fallback>
            <w:pict>
              <v:shape style="position:absolute;margin-left:49.152802pt;margin-top:-61.618481pt;width:88.75pt;height:121.65pt;mso-position-horizontal-relative:page;mso-position-vertical-relative:paragraph;z-index:-17465856" type="#_x0000_t202" id="docshape339" filled="false" stroked="false">
                <v:textbox inset="0,0,0,0">
                  <w:txbxContent>
                    <w:p>
                      <w:pPr>
                        <w:spacing w:line="2432" w:lineRule="exact" w:before="0"/>
                        <w:ind w:left="0" w:right="0" w:firstLine="0"/>
                        <w:jc w:val="left"/>
                        <w:rPr>
                          <w:rFonts w:ascii="Arial"/>
                          <w:sz w:val="243"/>
                        </w:rPr>
                      </w:pPr>
                      <w:r>
                        <w:rPr>
                          <w:rFonts w:ascii="Arial"/>
                          <w:color w:val="B3B4CF"/>
                          <w:spacing w:val="-58"/>
                          <w:w w:val="132"/>
                          <w:sz w:val="243"/>
                        </w:rPr>
                        <w:t>0</w:t>
                      </w:r>
                      <w:r>
                        <w:rPr>
                          <w:rFonts w:ascii="Arial"/>
                          <w:color w:val="B3B4CF"/>
                          <w:spacing w:val="-893"/>
                          <w:w w:val="68"/>
                          <w:sz w:val="243"/>
                        </w:rPr>
                        <w:t>1</w:t>
                      </w:r>
                    </w:p>
                  </w:txbxContent>
                </v:textbox>
                <w10:wrap type="none"/>
              </v:shape>
            </w:pict>
          </mc:Fallback>
        </mc:AlternateContent>
      </w:r>
      <w:r>
        <w:rPr>
          <w:color w:val="B52628"/>
          <w:w w:val="115"/>
        </w:rPr>
        <w:t>Poursuite et </w:t>
      </w:r>
      <w:r>
        <w:rPr>
          <w:color w:val="B52628"/>
          <w:spacing w:val="-2"/>
          <w:w w:val="110"/>
        </w:rPr>
        <w:t>recrudescence </w:t>
      </w:r>
      <w:r>
        <w:rPr>
          <w:color w:val="B52628"/>
          <w:w w:val="115"/>
        </w:rPr>
        <w:t>de</w:t>
      </w:r>
      <w:r>
        <w:rPr>
          <w:color w:val="B52628"/>
          <w:spacing w:val="-47"/>
          <w:w w:val="115"/>
        </w:rPr>
        <w:t> </w:t>
      </w:r>
      <w:r>
        <w:rPr>
          <w:color w:val="B52628"/>
          <w:w w:val="115"/>
        </w:rPr>
        <w:t>la</w:t>
      </w:r>
      <w:r>
        <w:rPr>
          <w:color w:val="B52628"/>
          <w:spacing w:val="-47"/>
          <w:w w:val="115"/>
        </w:rPr>
        <w:t> </w:t>
      </w:r>
      <w:r>
        <w:rPr>
          <w:color w:val="B52628"/>
          <w:w w:val="115"/>
        </w:rPr>
        <w:t>politique de blocus</w:t>
      </w:r>
    </w:p>
    <w:p>
      <w:pPr>
        <w:pStyle w:val="BodyText"/>
        <w:spacing w:before="21"/>
        <w:jc w:val="left"/>
        <w:rPr>
          <w:rFonts w:ascii="Trebuchet MS"/>
          <w:sz w:val="20"/>
        </w:rPr>
      </w:pPr>
      <w:r>
        <w:rPr/>
        <mc:AlternateContent>
          <mc:Choice Requires="wps">
            <w:drawing>
              <wp:anchor distT="0" distB="0" distL="0" distR="0" allowOverlap="1" layoutInCell="1" locked="0" behindDoc="1" simplePos="0" relativeHeight="487685632">
                <wp:simplePos x="0" y="0"/>
                <wp:positionH relativeFrom="page">
                  <wp:posOffset>720001</wp:posOffset>
                </wp:positionH>
                <wp:positionV relativeFrom="paragraph">
                  <wp:posOffset>176081</wp:posOffset>
                </wp:positionV>
                <wp:extent cx="909319" cy="26034"/>
                <wp:effectExtent l="0" t="0" r="0" b="0"/>
                <wp:wrapTopAndBottom/>
                <wp:docPr id="409" name="Graphic 409"/>
                <wp:cNvGraphicFramePr>
                  <a:graphicFrameLocks/>
                </wp:cNvGraphicFramePr>
                <a:graphic>
                  <a:graphicData uri="http://schemas.microsoft.com/office/word/2010/wordprocessingShape">
                    <wps:wsp>
                      <wps:cNvPr id="409" name="Graphic 409"/>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56.693001pt;margin-top:13.864688pt;width:71.584pt;height:2.021pt;mso-position-horizontal-relative:page;mso-position-vertical-relative:paragraph;z-index:-15630848;mso-wrap-distance-left:0;mso-wrap-distance-right:0" id="docshape340" filled="true" fillcolor="#1f4282" stroked="false">
                <v:fill type="solid"/>
                <w10:wrap type="topAndBottom"/>
              </v:rect>
            </w:pict>
          </mc:Fallback>
        </mc:AlternateContent>
      </w:r>
    </w:p>
    <w:p>
      <w:pPr>
        <w:pStyle w:val="BodyText"/>
        <w:spacing w:before="12"/>
        <w:jc w:val="left"/>
        <w:rPr>
          <w:rFonts w:ascii="Trebuchet MS"/>
          <w:sz w:val="20"/>
        </w:rPr>
      </w:pPr>
    </w:p>
    <w:p>
      <w:pPr>
        <w:spacing w:after="0"/>
        <w:jc w:val="left"/>
        <w:rPr>
          <w:rFonts w:ascii="Trebuchet MS"/>
          <w:sz w:val="20"/>
        </w:rPr>
        <w:sectPr>
          <w:pgSz w:w="11910" w:h="16840"/>
          <w:pgMar w:header="0" w:footer="695" w:top="800" w:bottom="880" w:left="0" w:right="0"/>
        </w:sectPr>
      </w:pPr>
    </w:p>
    <w:p>
      <w:pPr>
        <w:pStyle w:val="Heading2"/>
        <w:spacing w:line="196" w:lineRule="auto" w:before="147"/>
        <w:ind w:right="435"/>
      </w:pPr>
      <w:r>
        <w:rPr>
          <w:color w:val="1F4282"/>
          <w:w w:val="115"/>
        </w:rPr>
        <w:t>Actualité</w:t>
      </w:r>
      <w:r>
        <w:rPr>
          <w:color w:val="1F4282"/>
          <w:spacing w:val="-18"/>
          <w:w w:val="115"/>
        </w:rPr>
        <w:t> </w:t>
      </w:r>
      <w:r>
        <w:rPr>
          <w:color w:val="1F4282"/>
          <w:w w:val="115"/>
        </w:rPr>
        <w:t>des</w:t>
      </w:r>
      <w:r>
        <w:rPr>
          <w:color w:val="1F4282"/>
          <w:spacing w:val="-18"/>
          <w:w w:val="115"/>
        </w:rPr>
        <w:t> </w:t>
      </w:r>
      <w:r>
        <w:rPr>
          <w:color w:val="1F4282"/>
          <w:w w:val="115"/>
        </w:rPr>
        <w:t>lois</w:t>
      </w:r>
      <w:r>
        <w:rPr>
          <w:color w:val="1F4282"/>
          <w:spacing w:val="-18"/>
          <w:w w:val="115"/>
        </w:rPr>
        <w:t> </w:t>
      </w:r>
      <w:r>
        <w:rPr>
          <w:color w:val="1F4282"/>
          <w:w w:val="115"/>
        </w:rPr>
        <w:t>relatives au blocus économique, commercial et financier</w:t>
      </w:r>
    </w:p>
    <w:p>
      <w:pPr>
        <w:pStyle w:val="BodyText"/>
        <w:spacing w:before="302"/>
        <w:ind w:left="1133"/>
      </w:pPr>
      <w:r>
        <w:rPr>
          <w:color w:val="231F20"/>
          <w:spacing w:val="-2"/>
        </w:rPr>
        <w:t>Contrairement</w:t>
      </w:r>
      <w:r>
        <w:rPr>
          <w:color w:val="231F20"/>
          <w:spacing w:val="-12"/>
        </w:rPr>
        <w:t> </w:t>
      </w:r>
      <w:r>
        <w:rPr>
          <w:color w:val="231F20"/>
          <w:spacing w:val="-2"/>
        </w:rPr>
        <w:t>à</w:t>
      </w:r>
      <w:r>
        <w:rPr>
          <w:color w:val="231F20"/>
          <w:spacing w:val="-12"/>
        </w:rPr>
        <w:t> </w:t>
      </w:r>
      <w:r>
        <w:rPr>
          <w:color w:val="231F20"/>
          <w:spacing w:val="-2"/>
        </w:rPr>
        <w:t>ce</w:t>
      </w:r>
      <w:r>
        <w:rPr>
          <w:color w:val="231F20"/>
          <w:spacing w:val="-12"/>
        </w:rPr>
        <w:t> </w:t>
      </w:r>
      <w:r>
        <w:rPr>
          <w:color w:val="231F20"/>
          <w:spacing w:val="-2"/>
        </w:rPr>
        <w:t>qu’établit</w:t>
      </w:r>
      <w:r>
        <w:rPr>
          <w:color w:val="231F20"/>
          <w:spacing w:val="-12"/>
        </w:rPr>
        <w:t> </w:t>
      </w:r>
      <w:r>
        <w:rPr>
          <w:color w:val="231F20"/>
          <w:spacing w:val="-2"/>
        </w:rPr>
        <w:t>la</w:t>
      </w:r>
      <w:r>
        <w:rPr>
          <w:color w:val="231F20"/>
          <w:spacing w:val="-12"/>
        </w:rPr>
        <w:t> </w:t>
      </w:r>
      <w:r>
        <w:rPr>
          <w:color w:val="231F20"/>
          <w:spacing w:val="-2"/>
        </w:rPr>
        <w:t>Résolution </w:t>
      </w:r>
      <w:r>
        <w:rPr>
          <w:color w:val="231F20"/>
        </w:rPr>
        <w:t>A/RES/77/7 de l’Assemblée générale des Nations Unies, les agences des États-</w:t>
      </w:r>
      <w:r>
        <w:rPr>
          <w:color w:val="231F20"/>
          <w:spacing w:val="40"/>
        </w:rPr>
        <w:t> </w:t>
      </w:r>
      <w:r>
        <w:rPr>
          <w:color w:val="231F20"/>
        </w:rPr>
        <w:t>Unis aux niveaux de chaque État et de l’Union, dont le département d’État, le département</w:t>
      </w:r>
      <w:r>
        <w:rPr>
          <w:color w:val="231F20"/>
          <w:spacing w:val="-3"/>
        </w:rPr>
        <w:t> </w:t>
      </w:r>
      <w:r>
        <w:rPr>
          <w:color w:val="231F20"/>
        </w:rPr>
        <w:t>du</w:t>
      </w:r>
      <w:r>
        <w:rPr>
          <w:color w:val="231F20"/>
          <w:spacing w:val="-3"/>
        </w:rPr>
        <w:t> </w:t>
      </w:r>
      <w:r>
        <w:rPr>
          <w:color w:val="231F20"/>
        </w:rPr>
        <w:t>Trésor</w:t>
      </w:r>
      <w:r>
        <w:rPr>
          <w:color w:val="231F20"/>
          <w:spacing w:val="-3"/>
        </w:rPr>
        <w:t> </w:t>
      </w:r>
      <w:r>
        <w:rPr>
          <w:color w:val="231F20"/>
        </w:rPr>
        <w:t>et</w:t>
      </w:r>
      <w:r>
        <w:rPr>
          <w:color w:val="231F20"/>
          <w:spacing w:val="-3"/>
        </w:rPr>
        <w:t> </w:t>
      </w:r>
      <w:r>
        <w:rPr>
          <w:color w:val="231F20"/>
        </w:rPr>
        <w:t>le</w:t>
      </w:r>
      <w:r>
        <w:rPr>
          <w:color w:val="231F20"/>
          <w:spacing w:val="-3"/>
        </w:rPr>
        <w:t> </w:t>
      </w:r>
      <w:r>
        <w:rPr>
          <w:color w:val="231F20"/>
        </w:rPr>
        <w:t>département du</w:t>
      </w:r>
      <w:r>
        <w:rPr>
          <w:color w:val="231F20"/>
          <w:spacing w:val="-7"/>
        </w:rPr>
        <w:t> </w:t>
      </w:r>
      <w:r>
        <w:rPr>
          <w:color w:val="231F20"/>
        </w:rPr>
        <w:t>Commerce,</w:t>
      </w:r>
      <w:r>
        <w:rPr>
          <w:color w:val="231F20"/>
          <w:spacing w:val="-7"/>
        </w:rPr>
        <w:t> </w:t>
      </w:r>
      <w:r>
        <w:rPr>
          <w:color w:val="231F20"/>
        </w:rPr>
        <w:t>appliquent</w:t>
      </w:r>
      <w:r>
        <w:rPr>
          <w:color w:val="231F20"/>
          <w:spacing w:val="-7"/>
        </w:rPr>
        <w:t> </w:t>
      </w:r>
      <w:r>
        <w:rPr>
          <w:color w:val="231F20"/>
        </w:rPr>
        <w:t>dans</w:t>
      </w:r>
      <w:r>
        <w:rPr>
          <w:color w:val="231F20"/>
          <w:spacing w:val="-7"/>
        </w:rPr>
        <w:t> </w:t>
      </w:r>
      <w:r>
        <w:rPr>
          <w:color w:val="231F20"/>
        </w:rPr>
        <w:t>toute</w:t>
      </w:r>
      <w:r>
        <w:rPr>
          <w:color w:val="231F20"/>
          <w:spacing w:val="-7"/>
        </w:rPr>
        <w:t> </w:t>
      </w:r>
      <w:r>
        <w:rPr>
          <w:color w:val="231F20"/>
        </w:rPr>
        <w:t>leur rigueur</w:t>
      </w:r>
      <w:r>
        <w:rPr>
          <w:color w:val="231F20"/>
          <w:spacing w:val="40"/>
        </w:rPr>
        <w:t> </w:t>
      </w:r>
      <w:r>
        <w:rPr>
          <w:color w:val="231F20"/>
        </w:rPr>
        <w:t>les</w:t>
      </w:r>
      <w:r>
        <w:rPr>
          <w:color w:val="231F20"/>
          <w:spacing w:val="40"/>
        </w:rPr>
        <w:t> </w:t>
      </w:r>
      <w:r>
        <w:rPr>
          <w:color w:val="231F20"/>
        </w:rPr>
        <w:t>dispositions</w:t>
      </w:r>
      <w:r>
        <w:rPr>
          <w:color w:val="231F20"/>
          <w:spacing w:val="40"/>
        </w:rPr>
        <w:t> </w:t>
      </w:r>
      <w:r>
        <w:rPr>
          <w:color w:val="231F20"/>
        </w:rPr>
        <w:t>qui</w:t>
      </w:r>
      <w:r>
        <w:rPr>
          <w:color w:val="231F20"/>
          <w:spacing w:val="40"/>
        </w:rPr>
        <w:t> </w:t>
      </w:r>
      <w:r>
        <w:rPr>
          <w:color w:val="231F20"/>
        </w:rPr>
        <w:t>constituent le blocus contre Cuba. Les lois et réglementations étasuniennes suivantes sont restées en vigueur durant la période sous examen :</w:t>
      </w:r>
    </w:p>
    <w:p>
      <w:pPr>
        <w:pStyle w:val="BodyText"/>
        <w:spacing w:before="169"/>
        <w:ind w:left="1394" w:hanging="261"/>
      </w:pPr>
      <w:r>
        <w:rPr>
          <w:position w:val="3"/>
        </w:rPr>
        <w:drawing>
          <wp:inline distT="0" distB="0" distL="0" distR="0">
            <wp:extent cx="59207" cy="59207"/>
            <wp:effectExtent l="0" t="0" r="0" b="0"/>
            <wp:docPr id="410" name="Image 410"/>
            <wp:cNvGraphicFramePr>
              <a:graphicFrameLocks/>
            </wp:cNvGraphicFramePr>
            <a:graphic>
              <a:graphicData uri="http://schemas.openxmlformats.org/drawingml/2006/picture">
                <pic:pic>
                  <pic:nvPicPr>
                    <pic:cNvPr id="410" name="Image 410"/>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z w:val="20"/>
        </w:rPr>
        <w:t> </w:t>
      </w:r>
      <w:r>
        <w:rPr>
          <w:rFonts w:ascii="Segoe UI Semibold" w:hAnsi="Segoe UI Semibold"/>
          <w:b/>
          <w:color w:val="1A4796"/>
          <w:spacing w:val="-4"/>
        </w:rPr>
        <w:t>Trading</w:t>
      </w:r>
      <w:r>
        <w:rPr>
          <w:rFonts w:ascii="Segoe UI Semibold" w:hAnsi="Segoe UI Semibold"/>
          <w:b/>
          <w:color w:val="1A4796"/>
          <w:spacing w:val="-12"/>
        </w:rPr>
        <w:t> </w:t>
      </w:r>
      <w:r>
        <w:rPr>
          <w:rFonts w:ascii="Segoe UI Semibold" w:hAnsi="Segoe UI Semibold"/>
          <w:b/>
          <w:color w:val="1A4796"/>
          <w:spacing w:val="-4"/>
        </w:rPr>
        <w:t>with</w:t>
      </w:r>
      <w:r>
        <w:rPr>
          <w:rFonts w:ascii="Segoe UI Semibold" w:hAnsi="Segoe UI Semibold"/>
          <w:b/>
          <w:color w:val="1A4796"/>
          <w:spacing w:val="-13"/>
        </w:rPr>
        <w:t> </w:t>
      </w:r>
      <w:r>
        <w:rPr>
          <w:rFonts w:ascii="Segoe UI Semibold" w:hAnsi="Segoe UI Semibold"/>
          <w:b/>
          <w:color w:val="1A4796"/>
          <w:spacing w:val="-4"/>
        </w:rPr>
        <w:t>the</w:t>
      </w:r>
      <w:r>
        <w:rPr>
          <w:rFonts w:ascii="Segoe UI Semibold" w:hAnsi="Segoe UI Semibold"/>
          <w:b/>
          <w:color w:val="1A4796"/>
          <w:spacing w:val="-12"/>
        </w:rPr>
        <w:t> </w:t>
      </w:r>
      <w:r>
        <w:rPr>
          <w:rFonts w:ascii="Segoe UI Semibold" w:hAnsi="Segoe UI Semibold"/>
          <w:b/>
          <w:color w:val="1A4796"/>
          <w:spacing w:val="-4"/>
        </w:rPr>
        <w:t>Enemy</w:t>
      </w:r>
      <w:r>
        <w:rPr>
          <w:rFonts w:ascii="Segoe UI Semibold" w:hAnsi="Segoe UI Semibold"/>
          <w:b/>
          <w:color w:val="1A4796"/>
          <w:spacing w:val="-13"/>
        </w:rPr>
        <w:t> </w:t>
      </w:r>
      <w:r>
        <w:rPr>
          <w:rFonts w:ascii="Segoe UI Semibold" w:hAnsi="Segoe UI Semibold"/>
          <w:b/>
          <w:color w:val="1A4796"/>
          <w:spacing w:val="-4"/>
        </w:rPr>
        <w:t>Act,</w:t>
      </w:r>
      <w:r>
        <w:rPr>
          <w:rFonts w:ascii="Segoe UI Semibold" w:hAnsi="Segoe UI Semibold"/>
          <w:b/>
          <w:color w:val="1A4796"/>
          <w:spacing w:val="-12"/>
        </w:rPr>
        <w:t> </w:t>
      </w:r>
      <w:r>
        <w:rPr>
          <w:rFonts w:ascii="Segoe UI Semibold" w:hAnsi="Segoe UI Semibold"/>
          <w:b/>
          <w:color w:val="1A4796"/>
          <w:spacing w:val="-4"/>
        </w:rPr>
        <w:t>1917</w:t>
      </w:r>
      <w:r>
        <w:rPr>
          <w:rFonts w:ascii="Segoe UI Semibold" w:hAnsi="Segoe UI Semibold"/>
          <w:b/>
          <w:color w:val="1A4796"/>
          <w:spacing w:val="-13"/>
        </w:rPr>
        <w:t> </w:t>
      </w:r>
      <w:r>
        <w:rPr>
          <w:rFonts w:ascii="Segoe UI Semibold" w:hAnsi="Segoe UI Semibold"/>
          <w:b/>
          <w:color w:val="1A4796"/>
          <w:spacing w:val="-4"/>
        </w:rPr>
        <w:t>(TWEA, </w:t>
      </w:r>
      <w:r>
        <w:rPr>
          <w:rFonts w:ascii="Segoe UI Semibold" w:hAnsi="Segoe UI Semibold"/>
          <w:b/>
          <w:color w:val="1A4796"/>
        </w:rPr>
        <w:t>Loi du commerce avec l’ennemi) : </w:t>
      </w:r>
      <w:r>
        <w:rPr>
          <w:color w:val="231F20"/>
        </w:rPr>
        <w:t>Aux termes de sa section 5(b), le chef du pouvoir</w:t>
      </w:r>
      <w:r>
        <w:rPr>
          <w:color w:val="231F20"/>
          <w:spacing w:val="-12"/>
        </w:rPr>
        <w:t> </w:t>
      </w:r>
      <w:r>
        <w:rPr>
          <w:color w:val="231F20"/>
        </w:rPr>
        <w:t>exécutif</w:t>
      </w:r>
      <w:r>
        <w:rPr>
          <w:color w:val="231F20"/>
          <w:spacing w:val="-13"/>
        </w:rPr>
        <w:t> </w:t>
      </w:r>
      <w:r>
        <w:rPr>
          <w:color w:val="231F20"/>
        </w:rPr>
        <w:t>est</w:t>
      </w:r>
      <w:r>
        <w:rPr>
          <w:color w:val="231F20"/>
          <w:spacing w:val="-13"/>
        </w:rPr>
        <w:t> </w:t>
      </w:r>
      <w:r>
        <w:rPr>
          <w:color w:val="231F20"/>
        </w:rPr>
        <w:t>habilité</w:t>
      </w:r>
      <w:r>
        <w:rPr>
          <w:color w:val="231F20"/>
          <w:spacing w:val="-13"/>
        </w:rPr>
        <w:t> </w:t>
      </w:r>
      <w:r>
        <w:rPr>
          <w:color w:val="231F20"/>
        </w:rPr>
        <w:t>à</w:t>
      </w:r>
      <w:r>
        <w:rPr>
          <w:color w:val="231F20"/>
          <w:spacing w:val="-12"/>
        </w:rPr>
        <w:t> </w:t>
      </w:r>
      <w:r>
        <w:rPr>
          <w:color w:val="231F20"/>
        </w:rPr>
        <w:t>appliquer des sanctions économiques en temps de guerre ou à n’importe quelle autre période d’urgence nationale et à prohiber</w:t>
      </w:r>
      <w:r>
        <w:rPr>
          <w:color w:val="231F20"/>
          <w:spacing w:val="-12"/>
        </w:rPr>
        <w:t> </w:t>
      </w:r>
      <w:r>
        <w:rPr>
          <w:color w:val="231F20"/>
        </w:rPr>
        <w:t>le</w:t>
      </w:r>
      <w:r>
        <w:rPr>
          <w:color w:val="231F20"/>
          <w:spacing w:val="-12"/>
        </w:rPr>
        <w:t> </w:t>
      </w:r>
      <w:r>
        <w:rPr>
          <w:color w:val="231F20"/>
        </w:rPr>
        <w:t>commerce</w:t>
      </w:r>
      <w:r>
        <w:rPr>
          <w:color w:val="231F20"/>
          <w:spacing w:val="-12"/>
        </w:rPr>
        <w:t> </w:t>
      </w:r>
      <w:r>
        <w:rPr>
          <w:color w:val="231F20"/>
        </w:rPr>
        <w:t>avec</w:t>
      </w:r>
      <w:r>
        <w:rPr>
          <w:color w:val="231F20"/>
          <w:spacing w:val="-12"/>
        </w:rPr>
        <w:t> </w:t>
      </w:r>
      <w:r>
        <w:rPr>
          <w:color w:val="231F20"/>
        </w:rPr>
        <w:t>l’ennemi</w:t>
      </w:r>
      <w:r>
        <w:rPr>
          <w:color w:val="231F20"/>
          <w:spacing w:val="-12"/>
        </w:rPr>
        <w:t> </w:t>
      </w:r>
      <w:r>
        <w:rPr>
          <w:color w:val="231F20"/>
        </w:rPr>
        <w:t>ou des alliés dudit ennemi pendant des </w:t>
      </w:r>
      <w:r>
        <w:rPr>
          <w:color w:val="231F20"/>
          <w:spacing w:val="-4"/>
        </w:rPr>
        <w:t>conflits</w:t>
      </w:r>
      <w:r>
        <w:rPr>
          <w:color w:val="231F20"/>
          <w:spacing w:val="-7"/>
        </w:rPr>
        <w:t> </w:t>
      </w:r>
      <w:r>
        <w:rPr>
          <w:color w:val="231F20"/>
          <w:spacing w:val="-4"/>
        </w:rPr>
        <w:t>militaires.</w:t>
      </w:r>
      <w:r>
        <w:rPr>
          <w:color w:val="231F20"/>
          <w:spacing w:val="-7"/>
        </w:rPr>
        <w:t> </w:t>
      </w:r>
      <w:r>
        <w:rPr>
          <w:color w:val="231F20"/>
          <w:spacing w:val="-4"/>
        </w:rPr>
        <w:t>En</w:t>
      </w:r>
      <w:r>
        <w:rPr>
          <w:color w:val="231F20"/>
          <w:spacing w:val="-7"/>
        </w:rPr>
        <w:t> </w:t>
      </w:r>
      <w:r>
        <w:rPr>
          <w:color w:val="231F20"/>
          <w:spacing w:val="-4"/>
        </w:rPr>
        <w:t>1977,</w:t>
      </w:r>
      <w:r>
        <w:rPr>
          <w:color w:val="231F20"/>
          <w:spacing w:val="-7"/>
        </w:rPr>
        <w:t> </w:t>
      </w:r>
      <w:r>
        <w:rPr>
          <w:color w:val="231F20"/>
          <w:spacing w:val="-4"/>
        </w:rPr>
        <w:t>l’International </w:t>
      </w:r>
      <w:r>
        <w:rPr>
          <w:color w:val="231F20"/>
          <w:spacing w:val="-6"/>
        </w:rPr>
        <w:t>Emergency</w:t>
      </w:r>
      <w:r>
        <w:rPr>
          <w:color w:val="231F20"/>
          <w:spacing w:val="-11"/>
        </w:rPr>
        <w:t> </w:t>
      </w:r>
      <w:r>
        <w:rPr>
          <w:color w:val="231F20"/>
          <w:spacing w:val="-6"/>
        </w:rPr>
        <w:t>Economic</w:t>
      </w:r>
      <w:r>
        <w:rPr>
          <w:color w:val="231F20"/>
          <w:spacing w:val="-10"/>
        </w:rPr>
        <w:t> </w:t>
      </w:r>
      <w:r>
        <w:rPr>
          <w:color w:val="231F20"/>
          <w:spacing w:val="-6"/>
        </w:rPr>
        <w:t>Powers</w:t>
      </w:r>
      <w:r>
        <w:rPr>
          <w:color w:val="231F20"/>
          <w:spacing w:val="-11"/>
        </w:rPr>
        <w:t> </w:t>
      </w:r>
      <w:r>
        <w:rPr>
          <w:color w:val="231F20"/>
          <w:spacing w:val="-6"/>
        </w:rPr>
        <w:t>Act</w:t>
      </w:r>
      <w:r>
        <w:rPr>
          <w:color w:val="231F20"/>
          <w:spacing w:val="-10"/>
        </w:rPr>
        <w:t> </w:t>
      </w:r>
      <w:r>
        <w:rPr>
          <w:color w:val="231F20"/>
          <w:spacing w:val="-6"/>
        </w:rPr>
        <w:t>(Loi</w:t>
      </w:r>
      <w:r>
        <w:rPr>
          <w:color w:val="231F20"/>
          <w:spacing w:val="-11"/>
        </w:rPr>
        <w:t> </w:t>
      </w:r>
      <w:r>
        <w:rPr>
          <w:color w:val="231F20"/>
          <w:spacing w:val="-6"/>
        </w:rPr>
        <w:t>des </w:t>
      </w:r>
      <w:r>
        <w:rPr>
          <w:color w:val="231F20"/>
          <w:spacing w:val="-2"/>
        </w:rPr>
        <w:t>pouvoirs</w:t>
      </w:r>
      <w:r>
        <w:rPr>
          <w:color w:val="231F20"/>
          <w:spacing w:val="-15"/>
        </w:rPr>
        <w:t> </w:t>
      </w:r>
      <w:r>
        <w:rPr>
          <w:color w:val="231F20"/>
          <w:spacing w:val="-2"/>
        </w:rPr>
        <w:t>économiques</w:t>
      </w:r>
      <w:r>
        <w:rPr>
          <w:color w:val="231F20"/>
          <w:spacing w:val="-14"/>
        </w:rPr>
        <w:t> </w:t>
      </w:r>
      <w:r>
        <w:rPr>
          <w:color w:val="231F20"/>
          <w:spacing w:val="-2"/>
        </w:rPr>
        <w:t>en</w:t>
      </w:r>
      <w:r>
        <w:rPr>
          <w:color w:val="231F20"/>
          <w:spacing w:val="-15"/>
        </w:rPr>
        <w:t> </w:t>
      </w:r>
      <w:r>
        <w:rPr>
          <w:color w:val="231F20"/>
          <w:spacing w:val="-2"/>
        </w:rPr>
        <w:t>cas</w:t>
      </w:r>
      <w:r>
        <w:rPr>
          <w:color w:val="231F20"/>
          <w:spacing w:val="-14"/>
        </w:rPr>
        <w:t> </w:t>
      </w:r>
      <w:r>
        <w:rPr>
          <w:color w:val="231F20"/>
          <w:spacing w:val="-2"/>
        </w:rPr>
        <w:t>d’urgence </w:t>
      </w:r>
      <w:r>
        <w:rPr>
          <w:color w:val="231F20"/>
        </w:rPr>
        <w:t>internationale) a restreint les facultés du président à imposer des sanctions en arguant de situations d’urgence nationale.</w:t>
      </w:r>
      <w:r>
        <w:rPr>
          <w:color w:val="231F20"/>
          <w:spacing w:val="61"/>
          <w:w w:val="150"/>
        </w:rPr>
        <w:t> </w:t>
      </w:r>
      <w:r>
        <w:rPr>
          <w:color w:val="231F20"/>
        </w:rPr>
        <w:t>Or,</w:t>
      </w:r>
      <w:r>
        <w:rPr>
          <w:color w:val="231F20"/>
          <w:spacing w:val="62"/>
          <w:w w:val="150"/>
        </w:rPr>
        <w:t> </w:t>
      </w:r>
      <w:r>
        <w:rPr>
          <w:color w:val="231F20"/>
        </w:rPr>
        <w:t>la</w:t>
      </w:r>
      <w:r>
        <w:rPr>
          <w:color w:val="231F20"/>
          <w:spacing w:val="62"/>
          <w:w w:val="150"/>
        </w:rPr>
        <w:t> </w:t>
      </w:r>
      <w:r>
        <w:rPr>
          <w:color w:val="231F20"/>
        </w:rPr>
        <w:t>TWEA</w:t>
      </w:r>
      <w:r>
        <w:rPr>
          <w:color w:val="231F20"/>
          <w:spacing w:val="62"/>
          <w:w w:val="150"/>
        </w:rPr>
        <w:t> </w:t>
      </w:r>
      <w:r>
        <w:rPr>
          <w:color w:val="231F20"/>
        </w:rPr>
        <w:t>continue</w:t>
      </w:r>
      <w:r>
        <w:rPr>
          <w:color w:val="231F20"/>
          <w:spacing w:val="62"/>
          <w:w w:val="150"/>
        </w:rPr>
        <w:t> </w:t>
      </w:r>
      <w:r>
        <w:rPr>
          <w:color w:val="231F20"/>
          <w:spacing w:val="-7"/>
        </w:rPr>
        <w:t>de</w:t>
      </w:r>
    </w:p>
    <w:p>
      <w:pPr>
        <w:spacing w:line="240" w:lineRule="auto" w:before="0"/>
        <w:rPr>
          <w:sz w:val="24"/>
        </w:rPr>
      </w:pPr>
      <w:r>
        <w:rPr/>
        <w:br w:type="column"/>
      </w:r>
      <w:r>
        <w:rPr>
          <w:sz w:val="24"/>
        </w:rPr>
      </w:r>
    </w:p>
    <w:p>
      <w:pPr>
        <w:pStyle w:val="BodyText"/>
        <w:jc w:val="left"/>
      </w:pPr>
    </w:p>
    <w:p>
      <w:pPr>
        <w:pStyle w:val="BodyText"/>
        <w:spacing w:before="270"/>
        <w:jc w:val="left"/>
      </w:pPr>
    </w:p>
    <w:p>
      <w:pPr>
        <w:pStyle w:val="BodyText"/>
        <w:ind w:left="673" w:right="1472"/>
      </w:pPr>
      <w:r>
        <w:rPr>
          <w:color w:val="231F20"/>
        </w:rPr>
        <w:t>s’appliquer</w:t>
      </w:r>
      <w:r>
        <w:rPr>
          <w:color w:val="231F20"/>
          <w:spacing w:val="-3"/>
        </w:rPr>
        <w:t> </w:t>
      </w:r>
      <w:r>
        <w:rPr>
          <w:color w:val="231F20"/>
        </w:rPr>
        <w:t>à</w:t>
      </w:r>
      <w:r>
        <w:rPr>
          <w:color w:val="231F20"/>
          <w:spacing w:val="-3"/>
        </w:rPr>
        <w:t> </w:t>
      </w:r>
      <w:r>
        <w:rPr>
          <w:color w:val="231F20"/>
        </w:rPr>
        <w:t>Cuba</w:t>
      </w:r>
      <w:r>
        <w:rPr>
          <w:color w:val="231F20"/>
          <w:spacing w:val="-3"/>
        </w:rPr>
        <w:t> </w:t>
      </w:r>
      <w:r>
        <w:rPr>
          <w:color w:val="231F20"/>
        </w:rPr>
        <w:t>bien</w:t>
      </w:r>
      <w:r>
        <w:rPr>
          <w:color w:val="231F20"/>
          <w:spacing w:val="-3"/>
        </w:rPr>
        <w:t> </w:t>
      </w:r>
      <w:r>
        <w:rPr>
          <w:color w:val="231F20"/>
        </w:rPr>
        <w:t>que</w:t>
      </w:r>
      <w:r>
        <w:rPr>
          <w:color w:val="231F20"/>
          <w:spacing w:val="-3"/>
        </w:rPr>
        <w:t> </w:t>
      </w:r>
      <w:r>
        <w:rPr>
          <w:color w:val="231F20"/>
        </w:rPr>
        <w:t>la</w:t>
      </w:r>
      <w:r>
        <w:rPr>
          <w:color w:val="231F20"/>
          <w:spacing w:val="-3"/>
        </w:rPr>
        <w:t> </w:t>
      </w:r>
      <w:r>
        <w:rPr>
          <w:color w:val="231F20"/>
        </w:rPr>
        <w:t>Maison- Blanche</w:t>
      </w:r>
      <w:r>
        <w:rPr>
          <w:color w:val="231F20"/>
          <w:spacing w:val="-3"/>
        </w:rPr>
        <w:t> </w:t>
      </w:r>
      <w:r>
        <w:rPr>
          <w:color w:val="231F20"/>
        </w:rPr>
        <w:t>n’ait</w:t>
      </w:r>
      <w:r>
        <w:rPr>
          <w:color w:val="231F20"/>
          <w:spacing w:val="-3"/>
        </w:rPr>
        <w:t> </w:t>
      </w:r>
      <w:r>
        <w:rPr>
          <w:color w:val="231F20"/>
        </w:rPr>
        <w:t>jamais</w:t>
      </w:r>
      <w:r>
        <w:rPr>
          <w:color w:val="231F20"/>
          <w:spacing w:val="-3"/>
        </w:rPr>
        <w:t> </w:t>
      </w:r>
      <w:r>
        <w:rPr>
          <w:color w:val="231F20"/>
        </w:rPr>
        <w:t>décrété</w:t>
      </w:r>
      <w:r>
        <w:rPr>
          <w:color w:val="231F20"/>
          <w:spacing w:val="-3"/>
        </w:rPr>
        <w:t> </w:t>
      </w:r>
      <w:r>
        <w:rPr>
          <w:color w:val="231F20"/>
        </w:rPr>
        <w:t>la</w:t>
      </w:r>
      <w:r>
        <w:rPr>
          <w:color w:val="231F20"/>
          <w:spacing w:val="-3"/>
        </w:rPr>
        <w:t> </w:t>
      </w:r>
      <w:r>
        <w:rPr>
          <w:color w:val="231F20"/>
        </w:rPr>
        <w:t>moindre urgence nationale par rapport à l’île.</w:t>
      </w:r>
    </w:p>
    <w:p>
      <w:pPr>
        <w:pStyle w:val="BodyText"/>
        <w:spacing w:before="163"/>
        <w:ind w:left="673" w:right="1470"/>
      </w:pPr>
      <w:r>
        <w:rPr/>
        <mc:AlternateContent>
          <mc:Choice Requires="wps">
            <w:drawing>
              <wp:anchor distT="0" distB="0" distL="0" distR="0" allowOverlap="1" layoutInCell="1" locked="0" behindDoc="0" simplePos="0" relativeHeight="15826944">
                <wp:simplePos x="0" y="0"/>
                <wp:positionH relativeFrom="page">
                  <wp:posOffset>3815998</wp:posOffset>
                </wp:positionH>
                <wp:positionV relativeFrom="paragraph">
                  <wp:posOffset>188434</wp:posOffset>
                </wp:positionV>
                <wp:extent cx="59690" cy="59690"/>
                <wp:effectExtent l="0" t="0" r="0" b="0"/>
                <wp:wrapNone/>
                <wp:docPr id="411" name="Graphic 411"/>
                <wp:cNvGraphicFramePr>
                  <a:graphicFrameLocks/>
                </wp:cNvGraphicFramePr>
                <a:graphic>
                  <a:graphicData uri="http://schemas.microsoft.com/office/word/2010/wordprocessingShape">
                    <wps:wsp>
                      <wps:cNvPr id="411" name="Graphic 41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837347pt;width:4.7pt;height:4.7pt;mso-position-horizontal-relative:page;mso-position-vertical-relative:paragraph;z-index:15826944" id="docshape341" coordorigin="6009,297" coordsize="94,94" path="m6056,297l6038,300,6023,310,6013,325,6009,343,6013,362,6023,376,6038,386,6056,390,6074,386,6089,376,6099,362,6103,343,6099,325,6089,310,6074,300,6056,297xe" filled="true" fillcolor="#1a4796" stroked="false">
                <v:path arrowok="t"/>
                <v:fill type="solid"/>
                <w10:wrap type="none"/>
              </v:shape>
            </w:pict>
          </mc:Fallback>
        </mc:AlternateContent>
      </w:r>
      <w:r>
        <w:rPr>
          <w:rFonts w:ascii="Segoe UI Semibold" w:hAnsi="Segoe UI Semibold"/>
          <w:b/>
          <w:color w:val="1A4796"/>
        </w:rPr>
        <w:t>Foreign Assistance Act (1961, Loi </w:t>
      </w:r>
      <w:r>
        <w:rPr>
          <w:rFonts w:ascii="Segoe UI Semibold" w:hAnsi="Segoe UI Semibold"/>
          <w:b/>
          <w:color w:val="1A4796"/>
          <w:spacing w:val="-2"/>
        </w:rPr>
        <w:t>relative</w:t>
      </w:r>
      <w:r>
        <w:rPr>
          <w:rFonts w:ascii="Segoe UI Semibold" w:hAnsi="Segoe UI Semibold"/>
          <w:b/>
          <w:color w:val="1A4796"/>
          <w:spacing w:val="-12"/>
        </w:rPr>
        <w:t> </w:t>
      </w:r>
      <w:r>
        <w:rPr>
          <w:rFonts w:ascii="Segoe UI Semibold" w:hAnsi="Segoe UI Semibold"/>
          <w:b/>
          <w:color w:val="1A4796"/>
          <w:spacing w:val="-2"/>
        </w:rPr>
        <w:t>à</w:t>
      </w:r>
      <w:r>
        <w:rPr>
          <w:rFonts w:ascii="Segoe UI Semibold" w:hAnsi="Segoe UI Semibold"/>
          <w:b/>
          <w:color w:val="1A4796"/>
          <w:spacing w:val="-12"/>
        </w:rPr>
        <w:t> </w:t>
      </w:r>
      <w:r>
        <w:rPr>
          <w:rFonts w:ascii="Segoe UI Semibold" w:hAnsi="Segoe UI Semibold"/>
          <w:b/>
          <w:color w:val="1A4796"/>
          <w:spacing w:val="-2"/>
        </w:rPr>
        <w:t>l’aide</w:t>
      </w:r>
      <w:r>
        <w:rPr>
          <w:rFonts w:ascii="Segoe UI Semibold" w:hAnsi="Segoe UI Semibold"/>
          <w:b/>
          <w:color w:val="1A4796"/>
          <w:spacing w:val="-12"/>
        </w:rPr>
        <w:t> </w:t>
      </w:r>
      <w:r>
        <w:rPr>
          <w:rFonts w:ascii="Segoe UI Semibold" w:hAnsi="Segoe UI Semibold"/>
          <w:b/>
          <w:color w:val="1A4796"/>
          <w:spacing w:val="-2"/>
        </w:rPr>
        <w:t>extérieure)</w:t>
      </w:r>
      <w:r>
        <w:rPr>
          <w:rFonts w:ascii="Segoe UI Semibold" w:hAnsi="Segoe UI Semibold"/>
          <w:b/>
          <w:color w:val="1A4796"/>
          <w:spacing w:val="-12"/>
        </w:rPr>
        <w:t> </w:t>
      </w:r>
      <w:r>
        <w:rPr>
          <w:rFonts w:ascii="Segoe UI Semibold" w:hAnsi="Segoe UI Semibold"/>
          <w:b/>
          <w:color w:val="1A4796"/>
          <w:spacing w:val="-2"/>
        </w:rPr>
        <w:t>:</w:t>
      </w:r>
      <w:r>
        <w:rPr>
          <w:rFonts w:ascii="Segoe UI Semibold" w:hAnsi="Segoe UI Semibold"/>
          <w:b/>
          <w:color w:val="1A4796"/>
          <w:spacing w:val="-12"/>
        </w:rPr>
        <w:t> </w:t>
      </w:r>
      <w:r>
        <w:rPr>
          <w:color w:val="231F20"/>
          <w:spacing w:val="-2"/>
        </w:rPr>
        <w:t>Aux</w:t>
      </w:r>
      <w:r>
        <w:rPr>
          <w:color w:val="231F20"/>
          <w:spacing w:val="-12"/>
        </w:rPr>
        <w:t> </w:t>
      </w:r>
      <w:r>
        <w:rPr>
          <w:color w:val="231F20"/>
          <w:spacing w:val="-2"/>
        </w:rPr>
        <w:t>termes </w:t>
      </w:r>
      <w:r>
        <w:rPr>
          <w:color w:val="231F20"/>
        </w:rPr>
        <w:t>de</w:t>
      </w:r>
      <w:r>
        <w:rPr>
          <w:color w:val="231F20"/>
          <w:spacing w:val="-13"/>
        </w:rPr>
        <w:t> </w:t>
      </w:r>
      <w:r>
        <w:rPr>
          <w:color w:val="231F20"/>
        </w:rPr>
        <w:t>cette</w:t>
      </w:r>
      <w:r>
        <w:rPr>
          <w:color w:val="231F20"/>
          <w:spacing w:val="-13"/>
        </w:rPr>
        <w:t> </w:t>
      </w:r>
      <w:r>
        <w:rPr>
          <w:color w:val="231F20"/>
        </w:rPr>
        <w:t>loi,</w:t>
      </w:r>
      <w:r>
        <w:rPr>
          <w:color w:val="231F20"/>
          <w:spacing w:val="-13"/>
        </w:rPr>
        <w:t> </w:t>
      </w:r>
      <w:r>
        <w:rPr>
          <w:color w:val="231F20"/>
        </w:rPr>
        <w:t>le</w:t>
      </w:r>
      <w:r>
        <w:rPr>
          <w:color w:val="231F20"/>
          <w:spacing w:val="-13"/>
        </w:rPr>
        <w:t> </w:t>
      </w:r>
      <w:r>
        <w:rPr>
          <w:color w:val="231F20"/>
        </w:rPr>
        <w:t>président</w:t>
      </w:r>
      <w:r>
        <w:rPr>
          <w:color w:val="231F20"/>
          <w:spacing w:val="-13"/>
        </w:rPr>
        <w:t> </w:t>
      </w:r>
      <w:r>
        <w:rPr>
          <w:color w:val="231F20"/>
        </w:rPr>
        <w:t>étasunien</w:t>
      </w:r>
      <w:r>
        <w:rPr>
          <w:color w:val="231F20"/>
          <w:spacing w:val="-13"/>
        </w:rPr>
        <w:t> </w:t>
      </w:r>
      <w:r>
        <w:rPr>
          <w:color w:val="231F20"/>
        </w:rPr>
        <w:t>a</w:t>
      </w:r>
      <w:r>
        <w:rPr>
          <w:color w:val="231F20"/>
          <w:spacing w:val="-13"/>
        </w:rPr>
        <w:t> </w:t>
      </w:r>
      <w:r>
        <w:rPr>
          <w:color w:val="231F20"/>
        </w:rPr>
        <w:t>été autorisé à établir et à maintenir un « embargo » total sur le commerce avec Cuba</w:t>
      </w:r>
      <w:r>
        <w:rPr>
          <w:color w:val="231F20"/>
          <w:spacing w:val="-12"/>
        </w:rPr>
        <w:t> </w:t>
      </w:r>
      <w:r>
        <w:rPr>
          <w:color w:val="231F20"/>
        </w:rPr>
        <w:t>et</w:t>
      </w:r>
      <w:r>
        <w:rPr>
          <w:color w:val="231F20"/>
          <w:spacing w:val="-12"/>
        </w:rPr>
        <w:t> </w:t>
      </w:r>
      <w:r>
        <w:rPr>
          <w:color w:val="231F20"/>
        </w:rPr>
        <w:t>à</w:t>
      </w:r>
      <w:r>
        <w:rPr>
          <w:color w:val="231F20"/>
          <w:spacing w:val="-12"/>
        </w:rPr>
        <w:t> </w:t>
      </w:r>
      <w:r>
        <w:rPr>
          <w:color w:val="231F20"/>
        </w:rPr>
        <w:t>prohiber</w:t>
      </w:r>
      <w:r>
        <w:rPr>
          <w:color w:val="231F20"/>
          <w:spacing w:val="-12"/>
        </w:rPr>
        <w:t> </w:t>
      </w:r>
      <w:r>
        <w:rPr>
          <w:color w:val="231F20"/>
        </w:rPr>
        <w:t>l’octroi</w:t>
      </w:r>
      <w:r>
        <w:rPr>
          <w:color w:val="231F20"/>
          <w:spacing w:val="-13"/>
        </w:rPr>
        <w:t> </w:t>
      </w:r>
      <w:r>
        <w:rPr>
          <w:color w:val="231F20"/>
        </w:rPr>
        <w:t>de</w:t>
      </w:r>
      <w:r>
        <w:rPr>
          <w:color w:val="231F20"/>
          <w:spacing w:val="-12"/>
        </w:rPr>
        <w:t> </w:t>
      </w:r>
      <w:r>
        <w:rPr>
          <w:color w:val="231F20"/>
        </w:rPr>
        <w:t>n’importe quelle aide qui soit au gouvernement cubain. Les fonds du gouvernement étasunien</w:t>
      </w:r>
      <w:r>
        <w:rPr>
          <w:color w:val="231F20"/>
          <w:spacing w:val="-1"/>
        </w:rPr>
        <w:t> </w:t>
      </w:r>
      <w:r>
        <w:rPr>
          <w:color w:val="231F20"/>
        </w:rPr>
        <w:t>destinés</w:t>
      </w:r>
      <w:r>
        <w:rPr>
          <w:color w:val="231F20"/>
          <w:spacing w:val="-1"/>
        </w:rPr>
        <w:t> </w:t>
      </w:r>
      <w:r>
        <w:rPr>
          <w:color w:val="231F20"/>
        </w:rPr>
        <w:t>à</w:t>
      </w:r>
      <w:r>
        <w:rPr>
          <w:color w:val="231F20"/>
          <w:spacing w:val="-1"/>
        </w:rPr>
        <w:t> </w:t>
      </w:r>
      <w:r>
        <w:rPr>
          <w:color w:val="231F20"/>
        </w:rPr>
        <w:t>l’aide</w:t>
      </w:r>
      <w:r>
        <w:rPr>
          <w:color w:val="231F20"/>
          <w:spacing w:val="-1"/>
        </w:rPr>
        <w:t> </w:t>
      </w:r>
      <w:r>
        <w:rPr>
          <w:color w:val="231F20"/>
        </w:rPr>
        <w:t>étrangère</w:t>
      </w:r>
      <w:r>
        <w:rPr>
          <w:color w:val="231F20"/>
          <w:spacing w:val="-2"/>
        </w:rPr>
        <w:t> </w:t>
      </w:r>
      <w:r>
        <w:rPr>
          <w:color w:val="231F20"/>
        </w:rPr>
        <w:t>et </w:t>
      </w:r>
      <w:r>
        <w:rPr>
          <w:color w:val="231F20"/>
          <w:spacing w:val="-2"/>
        </w:rPr>
        <w:t>alloués</w:t>
      </w:r>
      <w:r>
        <w:rPr>
          <w:color w:val="231F20"/>
          <w:spacing w:val="-10"/>
        </w:rPr>
        <w:t> </w:t>
      </w:r>
      <w:r>
        <w:rPr>
          <w:color w:val="231F20"/>
          <w:spacing w:val="-2"/>
        </w:rPr>
        <w:t>à</w:t>
      </w:r>
      <w:r>
        <w:rPr>
          <w:color w:val="231F20"/>
          <w:spacing w:val="-10"/>
        </w:rPr>
        <w:t> </w:t>
      </w:r>
      <w:r>
        <w:rPr>
          <w:color w:val="231F20"/>
          <w:spacing w:val="-2"/>
        </w:rPr>
        <w:t>des</w:t>
      </w:r>
      <w:r>
        <w:rPr>
          <w:color w:val="231F20"/>
          <w:spacing w:val="-10"/>
        </w:rPr>
        <w:t> </w:t>
      </w:r>
      <w:r>
        <w:rPr>
          <w:color w:val="231F20"/>
          <w:spacing w:val="-2"/>
        </w:rPr>
        <w:t>organismes</w:t>
      </w:r>
      <w:r>
        <w:rPr>
          <w:color w:val="231F20"/>
          <w:spacing w:val="-10"/>
        </w:rPr>
        <w:t> </w:t>
      </w:r>
      <w:r>
        <w:rPr>
          <w:color w:val="231F20"/>
          <w:spacing w:val="-2"/>
        </w:rPr>
        <w:t>internationaux </w:t>
      </w:r>
      <w:r>
        <w:rPr>
          <w:color w:val="231F20"/>
        </w:rPr>
        <w:t>ne peuvent être employés dans des programmes concernant Cuba. L’octroi de n’importe quelle aide prévue aux termes de cette loi ou de tout autre bénéfice prévu dans n’importe quelle autre loi en faveur de Cuba est interdit aussi</w:t>
      </w:r>
      <w:r>
        <w:rPr>
          <w:color w:val="231F20"/>
          <w:spacing w:val="-17"/>
        </w:rPr>
        <w:t> </w:t>
      </w:r>
      <w:r>
        <w:rPr>
          <w:color w:val="231F20"/>
        </w:rPr>
        <w:t>longtemps</w:t>
      </w:r>
      <w:r>
        <w:rPr>
          <w:color w:val="231F20"/>
          <w:spacing w:val="-16"/>
        </w:rPr>
        <w:t> </w:t>
      </w:r>
      <w:r>
        <w:rPr>
          <w:color w:val="231F20"/>
        </w:rPr>
        <w:t>que</w:t>
      </w:r>
      <w:r>
        <w:rPr>
          <w:color w:val="231F20"/>
          <w:spacing w:val="-17"/>
        </w:rPr>
        <w:t> </w:t>
      </w:r>
      <w:r>
        <w:rPr>
          <w:color w:val="231F20"/>
        </w:rPr>
        <w:t>le</w:t>
      </w:r>
      <w:r>
        <w:rPr>
          <w:color w:val="231F20"/>
          <w:spacing w:val="-16"/>
        </w:rPr>
        <w:t> </w:t>
      </w:r>
      <w:r>
        <w:rPr>
          <w:color w:val="231F20"/>
        </w:rPr>
        <w:t>président</w:t>
      </w:r>
      <w:r>
        <w:rPr>
          <w:color w:val="231F20"/>
          <w:spacing w:val="-17"/>
        </w:rPr>
        <w:t> </w:t>
      </w:r>
      <w:r>
        <w:rPr>
          <w:color w:val="231F20"/>
        </w:rPr>
        <w:t>n’aura pas</w:t>
      </w:r>
      <w:r>
        <w:rPr>
          <w:color w:val="231F20"/>
          <w:spacing w:val="40"/>
        </w:rPr>
        <w:t> </w:t>
      </w:r>
      <w:r>
        <w:rPr>
          <w:color w:val="231F20"/>
        </w:rPr>
        <w:t>déterminé</w:t>
      </w:r>
      <w:r>
        <w:rPr>
          <w:color w:val="231F20"/>
          <w:spacing w:val="40"/>
        </w:rPr>
        <w:t> </w:t>
      </w:r>
      <w:r>
        <w:rPr>
          <w:color w:val="231F20"/>
        </w:rPr>
        <w:t>que</w:t>
      </w:r>
      <w:r>
        <w:rPr>
          <w:color w:val="231F20"/>
          <w:spacing w:val="40"/>
        </w:rPr>
        <w:t> </w:t>
      </w:r>
      <w:r>
        <w:rPr>
          <w:color w:val="231F20"/>
        </w:rPr>
        <w:t>Cuba</w:t>
      </w:r>
      <w:r>
        <w:rPr>
          <w:color w:val="231F20"/>
          <w:spacing w:val="40"/>
        </w:rPr>
        <w:t> </w:t>
      </w:r>
      <w:r>
        <w:rPr>
          <w:color w:val="231F20"/>
        </w:rPr>
        <w:t>a</w:t>
      </w:r>
      <w:r>
        <w:rPr>
          <w:color w:val="231F20"/>
          <w:spacing w:val="40"/>
        </w:rPr>
        <w:t> </w:t>
      </w:r>
      <w:r>
        <w:rPr>
          <w:color w:val="231F20"/>
        </w:rPr>
        <w:t>engagé</w:t>
      </w:r>
      <w:r>
        <w:rPr>
          <w:color w:val="231F20"/>
          <w:spacing w:val="40"/>
        </w:rPr>
        <w:t> </w:t>
      </w:r>
      <w:r>
        <w:rPr>
          <w:color w:val="231F20"/>
        </w:rPr>
        <w:t>les actions requises pour restituer à</w:t>
      </w:r>
      <w:r>
        <w:rPr>
          <w:color w:val="231F20"/>
          <w:spacing w:val="40"/>
        </w:rPr>
        <w:t> </w:t>
      </w:r>
      <w:r>
        <w:rPr>
          <w:color w:val="231F20"/>
        </w:rPr>
        <w:t>des personnes physiques ou morales étasuniennes</w:t>
      </w:r>
      <w:r>
        <w:rPr>
          <w:color w:val="231F20"/>
          <w:spacing w:val="40"/>
        </w:rPr>
        <w:t> </w:t>
      </w:r>
      <w:r>
        <w:rPr>
          <w:color w:val="231F20"/>
        </w:rPr>
        <w:t>au</w:t>
      </w:r>
      <w:r>
        <w:rPr>
          <w:color w:val="231F20"/>
          <w:spacing w:val="40"/>
        </w:rPr>
        <w:t> </w:t>
      </w:r>
      <w:r>
        <w:rPr>
          <w:color w:val="231F20"/>
        </w:rPr>
        <w:t>moins</w:t>
      </w:r>
      <w:r>
        <w:rPr>
          <w:color w:val="231F20"/>
          <w:spacing w:val="40"/>
        </w:rPr>
        <w:t> </w:t>
      </w:r>
      <w:r>
        <w:rPr>
          <w:color w:val="231F20"/>
        </w:rPr>
        <w:t>50</w:t>
      </w:r>
      <w:r>
        <w:rPr>
          <w:color w:val="231F20"/>
          <w:spacing w:val="40"/>
        </w:rPr>
        <w:t> </w:t>
      </w:r>
      <w:r>
        <w:rPr>
          <w:color w:val="231F20"/>
        </w:rPr>
        <w:t>p.</w:t>
      </w:r>
      <w:r>
        <w:rPr>
          <w:color w:val="231F20"/>
          <w:spacing w:val="40"/>
        </w:rPr>
        <w:t> </w:t>
      </w:r>
      <w:r>
        <w:rPr>
          <w:color w:val="231F20"/>
        </w:rPr>
        <w:t>100</w:t>
      </w:r>
      <w:r>
        <w:rPr>
          <w:color w:val="231F20"/>
          <w:spacing w:val="40"/>
        </w:rPr>
        <w:t> </w:t>
      </w:r>
      <w:r>
        <w:rPr>
          <w:color w:val="231F20"/>
        </w:rPr>
        <w:t>de la valeur des biens nationalisés par le </w:t>
      </w:r>
      <w:r>
        <w:rPr>
          <w:color w:val="231F20"/>
          <w:spacing w:val="-2"/>
        </w:rPr>
        <w:t>gouvernement</w:t>
      </w:r>
      <w:r>
        <w:rPr>
          <w:color w:val="231F20"/>
          <w:spacing w:val="-14"/>
        </w:rPr>
        <w:t> </w:t>
      </w:r>
      <w:r>
        <w:rPr>
          <w:color w:val="231F20"/>
          <w:spacing w:val="-2"/>
        </w:rPr>
        <w:t>cubain</w:t>
      </w:r>
      <w:r>
        <w:rPr>
          <w:color w:val="231F20"/>
          <w:spacing w:val="-14"/>
        </w:rPr>
        <w:t> </w:t>
      </w:r>
      <w:r>
        <w:rPr>
          <w:color w:val="231F20"/>
          <w:spacing w:val="-2"/>
        </w:rPr>
        <w:t>après</w:t>
      </w:r>
      <w:r>
        <w:rPr>
          <w:color w:val="231F20"/>
          <w:spacing w:val="-14"/>
        </w:rPr>
        <w:t> </w:t>
      </w:r>
      <w:r>
        <w:rPr>
          <w:color w:val="231F20"/>
          <w:spacing w:val="-2"/>
        </w:rPr>
        <w:t>le</w:t>
      </w:r>
      <w:r>
        <w:rPr>
          <w:color w:val="231F20"/>
          <w:spacing w:val="-14"/>
        </w:rPr>
        <w:t> </w:t>
      </w:r>
      <w:r>
        <w:rPr>
          <w:color w:val="231F20"/>
          <w:spacing w:val="-2"/>
        </w:rPr>
        <w:t>triomphe </w:t>
      </w:r>
      <w:r>
        <w:rPr>
          <w:color w:val="231F20"/>
        </w:rPr>
        <w:t>de la Révolution, ou pour verser une juste compensation.</w:t>
      </w:r>
    </w:p>
    <w:p>
      <w:pPr>
        <w:spacing w:after="0"/>
        <w:sectPr>
          <w:type w:val="continuous"/>
          <w:pgSz w:w="11910" w:h="16840"/>
          <w:pgMar w:header="0" w:footer="695" w:top="1920" w:bottom="280" w:left="0" w:right="0"/>
          <w:cols w:num="2" w:equalWidth="0">
            <w:col w:w="5557" w:space="40"/>
            <w:col w:w="6313"/>
          </w:cols>
        </w:sectPr>
      </w:pPr>
    </w:p>
    <w:p>
      <w:pPr>
        <w:pStyle w:val="BodyText"/>
        <w:spacing w:before="77"/>
        <w:ind w:left="1734" w:right="3"/>
      </w:pPr>
      <w:r>
        <w:rPr/>
        <mc:AlternateContent>
          <mc:Choice Requires="wps">
            <w:drawing>
              <wp:anchor distT="0" distB="0" distL="0" distR="0" allowOverlap="1" layoutInCell="1" locked="0" behindDoc="0" simplePos="0" relativeHeight="15827968">
                <wp:simplePos x="0" y="0"/>
                <wp:positionH relativeFrom="page">
                  <wp:posOffset>935997</wp:posOffset>
                </wp:positionH>
                <wp:positionV relativeFrom="paragraph">
                  <wp:posOffset>131798</wp:posOffset>
                </wp:positionV>
                <wp:extent cx="59690" cy="59690"/>
                <wp:effectExtent l="0" t="0" r="0" b="0"/>
                <wp:wrapNone/>
                <wp:docPr id="412" name="Graphic 412"/>
                <wp:cNvGraphicFramePr>
                  <a:graphicFrameLocks/>
                </wp:cNvGraphicFramePr>
                <a:graphic>
                  <a:graphicData uri="http://schemas.microsoft.com/office/word/2010/wordprocessingShape">
                    <wps:wsp>
                      <wps:cNvPr id="412" name="Graphic 41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0.3778pt;width:4.7pt;height:4.7pt;mso-position-horizontal-relative:page;mso-position-vertical-relative:paragraph;z-index:15827968" id="docshape342" coordorigin="1474,208" coordsize="94,94" path="m1521,208l1502,211,1488,221,1478,236,1474,254,1478,272,1488,287,1502,297,1521,301,1539,297,1554,287,1564,272,1567,254,1564,236,1554,221,1539,211,1521,208xe" filled="true" fillcolor="#1a4796" stroked="false">
                <v:path arrowok="t"/>
                <v:fill type="solid"/>
                <w10:wrap type="none"/>
              </v:shape>
            </w:pict>
          </mc:Fallback>
        </mc:AlternateContent>
      </w:r>
      <w:r>
        <w:rPr>
          <w:rFonts w:ascii="Segoe UI Semibold" w:hAnsi="Segoe UI Semibold"/>
          <w:b/>
          <w:color w:val="1A4796"/>
        </w:rPr>
        <w:t>Décret présidentiel 3447 : </w:t>
      </w:r>
      <w:r>
        <w:rPr>
          <w:color w:val="231F20"/>
        </w:rPr>
        <w:t>C’est par cette décision du 3 février 1962 que le président John</w:t>
      </w:r>
      <w:r>
        <w:rPr>
          <w:color w:val="231F20"/>
          <w:spacing w:val="2"/>
        </w:rPr>
        <w:t> </w:t>
      </w:r>
      <w:r>
        <w:rPr>
          <w:color w:val="231F20"/>
        </w:rPr>
        <w:t>F.</w:t>
      </w:r>
      <w:r>
        <w:rPr>
          <w:color w:val="231F20"/>
          <w:spacing w:val="3"/>
        </w:rPr>
        <w:t> </w:t>
      </w:r>
      <w:r>
        <w:rPr>
          <w:color w:val="231F20"/>
        </w:rPr>
        <w:t>Kennedy</w:t>
      </w:r>
      <w:r>
        <w:rPr>
          <w:color w:val="231F20"/>
          <w:spacing w:val="2"/>
        </w:rPr>
        <w:t> </w:t>
      </w:r>
      <w:r>
        <w:rPr>
          <w:color w:val="231F20"/>
        </w:rPr>
        <w:t>a</w:t>
      </w:r>
      <w:r>
        <w:rPr>
          <w:color w:val="231F20"/>
          <w:spacing w:val="2"/>
        </w:rPr>
        <w:t> </w:t>
      </w:r>
      <w:r>
        <w:rPr>
          <w:color w:val="231F20"/>
        </w:rPr>
        <w:t>imposé</w:t>
      </w:r>
      <w:r>
        <w:rPr>
          <w:color w:val="231F20"/>
          <w:spacing w:val="3"/>
        </w:rPr>
        <w:t> </w:t>
      </w:r>
      <w:r>
        <w:rPr>
          <w:color w:val="231F20"/>
          <w:spacing w:val="-5"/>
        </w:rPr>
        <w:t>un</w:t>
      </w:r>
    </w:p>
    <w:p>
      <w:pPr>
        <w:pStyle w:val="BodyText"/>
        <w:spacing w:before="2"/>
        <w:ind w:left="1734" w:right="2"/>
      </w:pPr>
      <w:r>
        <w:rPr>
          <w:color w:val="231F20"/>
          <w:spacing w:val="-4"/>
        </w:rPr>
        <w:t>«</w:t>
      </w:r>
      <w:r>
        <w:rPr>
          <w:color w:val="231F20"/>
          <w:spacing w:val="-13"/>
        </w:rPr>
        <w:t> </w:t>
      </w:r>
      <w:r>
        <w:rPr>
          <w:color w:val="231F20"/>
          <w:spacing w:val="-4"/>
        </w:rPr>
        <w:t>embargo</w:t>
      </w:r>
      <w:r>
        <w:rPr>
          <w:color w:val="231F20"/>
          <w:spacing w:val="-12"/>
        </w:rPr>
        <w:t> </w:t>
      </w:r>
      <w:r>
        <w:rPr>
          <w:color w:val="231F20"/>
          <w:spacing w:val="-4"/>
        </w:rPr>
        <w:t>»</w:t>
      </w:r>
      <w:r>
        <w:rPr>
          <w:color w:val="231F20"/>
          <w:spacing w:val="-13"/>
        </w:rPr>
        <w:t> </w:t>
      </w:r>
      <w:r>
        <w:rPr>
          <w:color w:val="231F20"/>
          <w:spacing w:val="-4"/>
        </w:rPr>
        <w:t>total</w:t>
      </w:r>
      <w:r>
        <w:rPr>
          <w:color w:val="231F20"/>
          <w:spacing w:val="-12"/>
        </w:rPr>
        <w:t> </w:t>
      </w:r>
      <w:r>
        <w:rPr>
          <w:color w:val="231F20"/>
          <w:spacing w:val="-4"/>
        </w:rPr>
        <w:t>au</w:t>
      </w:r>
      <w:r>
        <w:rPr>
          <w:color w:val="231F20"/>
          <w:spacing w:val="-13"/>
        </w:rPr>
        <w:t> </w:t>
      </w:r>
      <w:r>
        <w:rPr>
          <w:color w:val="231F20"/>
          <w:spacing w:val="-4"/>
        </w:rPr>
        <w:t>commerce</w:t>
      </w:r>
      <w:r>
        <w:rPr>
          <w:color w:val="231F20"/>
          <w:spacing w:val="-12"/>
        </w:rPr>
        <w:t> </w:t>
      </w:r>
      <w:r>
        <w:rPr>
          <w:color w:val="231F20"/>
          <w:spacing w:val="-4"/>
        </w:rPr>
        <w:t>entre</w:t>
      </w:r>
      <w:r>
        <w:rPr>
          <w:color w:val="231F20"/>
          <w:spacing w:val="-13"/>
        </w:rPr>
        <w:t> </w:t>
      </w:r>
      <w:r>
        <w:rPr>
          <w:color w:val="231F20"/>
          <w:spacing w:val="-4"/>
        </w:rPr>
        <w:t>les </w:t>
      </w:r>
      <w:r>
        <w:rPr>
          <w:color w:val="231F20"/>
          <w:spacing w:val="-6"/>
        </w:rPr>
        <w:t>USA</w:t>
      </w:r>
      <w:r>
        <w:rPr>
          <w:color w:val="231F20"/>
          <w:spacing w:val="-11"/>
        </w:rPr>
        <w:t> </w:t>
      </w:r>
      <w:r>
        <w:rPr>
          <w:color w:val="231F20"/>
          <w:spacing w:val="-6"/>
        </w:rPr>
        <w:t>et</w:t>
      </w:r>
      <w:r>
        <w:rPr>
          <w:color w:val="231F20"/>
          <w:spacing w:val="-10"/>
        </w:rPr>
        <w:t> </w:t>
      </w:r>
      <w:r>
        <w:rPr>
          <w:color w:val="231F20"/>
          <w:spacing w:val="-6"/>
        </w:rPr>
        <w:t>Cuba,</w:t>
      </w:r>
      <w:r>
        <w:rPr>
          <w:color w:val="231F20"/>
          <w:spacing w:val="-11"/>
        </w:rPr>
        <w:t> </w:t>
      </w:r>
      <w:r>
        <w:rPr>
          <w:color w:val="231F20"/>
          <w:spacing w:val="-6"/>
        </w:rPr>
        <w:t>par</w:t>
      </w:r>
      <w:r>
        <w:rPr>
          <w:color w:val="231F20"/>
          <w:spacing w:val="-10"/>
        </w:rPr>
        <w:t> </w:t>
      </w:r>
      <w:r>
        <w:rPr>
          <w:color w:val="231F20"/>
          <w:spacing w:val="-6"/>
        </w:rPr>
        <w:t>application</w:t>
      </w:r>
      <w:r>
        <w:rPr>
          <w:color w:val="231F20"/>
          <w:spacing w:val="-11"/>
        </w:rPr>
        <w:t> </w:t>
      </w:r>
      <w:r>
        <w:rPr>
          <w:color w:val="231F20"/>
          <w:spacing w:val="-6"/>
        </w:rPr>
        <w:t>de</w:t>
      </w:r>
      <w:r>
        <w:rPr>
          <w:color w:val="231F20"/>
          <w:spacing w:val="-10"/>
        </w:rPr>
        <w:t> </w:t>
      </w:r>
      <w:r>
        <w:rPr>
          <w:color w:val="231F20"/>
          <w:spacing w:val="-6"/>
        </w:rPr>
        <w:t>la</w:t>
      </w:r>
      <w:r>
        <w:rPr>
          <w:color w:val="231F20"/>
          <w:spacing w:val="-11"/>
        </w:rPr>
        <w:t> </w:t>
      </w:r>
      <w:r>
        <w:rPr>
          <w:color w:val="231F20"/>
          <w:spacing w:val="-6"/>
        </w:rPr>
        <w:t>section </w:t>
      </w:r>
      <w:r>
        <w:rPr>
          <w:color w:val="231F20"/>
          <w:spacing w:val="-4"/>
        </w:rPr>
        <w:t>620</w:t>
      </w:r>
      <w:r>
        <w:rPr>
          <w:color w:val="231F20"/>
          <w:spacing w:val="-24"/>
        </w:rPr>
        <w:t> </w:t>
      </w:r>
      <w:r>
        <w:rPr>
          <w:color w:val="231F20"/>
          <w:spacing w:val="-4"/>
        </w:rPr>
        <w:t>(a)</w:t>
      </w:r>
      <w:r>
        <w:rPr>
          <w:color w:val="231F20"/>
          <w:spacing w:val="-22"/>
        </w:rPr>
        <w:t> </w:t>
      </w:r>
      <w:r>
        <w:rPr>
          <w:color w:val="231F20"/>
          <w:spacing w:val="-4"/>
        </w:rPr>
        <w:t>de</w:t>
      </w:r>
      <w:r>
        <w:rPr>
          <w:color w:val="231F20"/>
          <w:spacing w:val="-24"/>
        </w:rPr>
        <w:t> </w:t>
      </w:r>
      <w:r>
        <w:rPr>
          <w:color w:val="231F20"/>
          <w:spacing w:val="-4"/>
        </w:rPr>
        <w:t>la</w:t>
      </w:r>
      <w:r>
        <w:rPr>
          <w:color w:val="231F20"/>
          <w:spacing w:val="-22"/>
        </w:rPr>
        <w:t> </w:t>
      </w:r>
      <w:r>
        <w:rPr>
          <w:color w:val="231F20"/>
          <w:spacing w:val="-4"/>
        </w:rPr>
        <w:t>Loi</w:t>
      </w:r>
      <w:r>
        <w:rPr>
          <w:color w:val="231F20"/>
          <w:spacing w:val="-24"/>
        </w:rPr>
        <w:t> </w:t>
      </w:r>
      <w:r>
        <w:rPr>
          <w:color w:val="231F20"/>
          <w:spacing w:val="-4"/>
        </w:rPr>
        <w:t>relative</w:t>
      </w:r>
      <w:r>
        <w:rPr>
          <w:color w:val="231F20"/>
          <w:spacing w:val="-23"/>
        </w:rPr>
        <w:t> </w:t>
      </w:r>
      <w:r>
        <w:rPr>
          <w:color w:val="231F20"/>
          <w:spacing w:val="-4"/>
        </w:rPr>
        <w:t>à</w:t>
      </w:r>
      <w:r>
        <w:rPr>
          <w:color w:val="231F20"/>
          <w:spacing w:val="-23"/>
        </w:rPr>
        <w:t> </w:t>
      </w:r>
      <w:r>
        <w:rPr>
          <w:color w:val="231F20"/>
          <w:spacing w:val="-4"/>
        </w:rPr>
        <w:t>l’aide</w:t>
      </w:r>
      <w:r>
        <w:rPr>
          <w:color w:val="231F20"/>
          <w:spacing w:val="-23"/>
        </w:rPr>
        <w:t> </w:t>
      </w:r>
      <w:r>
        <w:rPr>
          <w:color w:val="231F20"/>
          <w:spacing w:val="-6"/>
        </w:rPr>
        <w:t>extérieure.</w:t>
      </w:r>
    </w:p>
    <w:p>
      <w:pPr>
        <w:pStyle w:val="BodyText"/>
        <w:spacing w:before="162"/>
        <w:ind w:left="1734"/>
      </w:pPr>
      <w:r>
        <w:rPr/>
        <mc:AlternateContent>
          <mc:Choice Requires="wps">
            <w:drawing>
              <wp:anchor distT="0" distB="0" distL="0" distR="0" allowOverlap="1" layoutInCell="1" locked="0" behindDoc="0" simplePos="0" relativeHeight="15828480">
                <wp:simplePos x="0" y="0"/>
                <wp:positionH relativeFrom="page">
                  <wp:posOffset>935997</wp:posOffset>
                </wp:positionH>
                <wp:positionV relativeFrom="paragraph">
                  <wp:posOffset>186609</wp:posOffset>
                </wp:positionV>
                <wp:extent cx="59690" cy="59690"/>
                <wp:effectExtent l="0" t="0" r="0" b="0"/>
                <wp:wrapNone/>
                <wp:docPr id="413" name="Graphic 413"/>
                <wp:cNvGraphicFramePr>
                  <a:graphicFrameLocks/>
                </wp:cNvGraphicFramePr>
                <a:graphic>
                  <a:graphicData uri="http://schemas.microsoft.com/office/word/2010/wordprocessingShape">
                    <wps:wsp>
                      <wps:cNvPr id="413" name="Graphic 41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693675pt;width:4.7pt;height:4.7pt;mso-position-horizontal-relative:page;mso-position-vertical-relative:paragraph;z-index:15828480" id="docshape343" coordorigin="1474,294" coordsize="94,94" path="m1521,294l1502,298,1488,308,1478,322,1474,340,1478,359,1488,373,1502,383,1521,387,1539,383,1554,373,1564,359,1567,340,1564,322,1554,308,1539,298,1521,294xe" filled="true" fillcolor="#1a4796" stroked="false">
                <v:path arrowok="t"/>
                <v:fill type="solid"/>
                <w10:wrap type="none"/>
              </v:shape>
            </w:pict>
          </mc:Fallback>
        </mc:AlternateContent>
      </w:r>
      <w:r>
        <w:rPr>
          <w:rFonts w:ascii="Segoe UI Semibold" w:hAnsi="Segoe UI Semibold"/>
          <w:b/>
          <w:color w:val="1A4796"/>
          <w:spacing w:val="-6"/>
        </w:rPr>
        <w:t>Cuban</w:t>
      </w:r>
      <w:r>
        <w:rPr>
          <w:rFonts w:ascii="Segoe UI Semibold" w:hAnsi="Segoe UI Semibold"/>
          <w:b/>
          <w:color w:val="1A4796"/>
          <w:spacing w:val="-11"/>
        </w:rPr>
        <w:t> </w:t>
      </w:r>
      <w:r>
        <w:rPr>
          <w:rFonts w:ascii="Segoe UI Semibold" w:hAnsi="Segoe UI Semibold"/>
          <w:b/>
          <w:color w:val="1A4796"/>
          <w:spacing w:val="-6"/>
        </w:rPr>
        <w:t>Assets</w:t>
      </w:r>
      <w:r>
        <w:rPr>
          <w:rFonts w:ascii="Segoe UI Semibold" w:hAnsi="Segoe UI Semibold"/>
          <w:b/>
          <w:color w:val="1A4796"/>
          <w:spacing w:val="-10"/>
        </w:rPr>
        <w:t> </w:t>
      </w:r>
      <w:r>
        <w:rPr>
          <w:rFonts w:ascii="Segoe UI Semibold" w:hAnsi="Segoe UI Semibold"/>
          <w:b/>
          <w:color w:val="1A4796"/>
          <w:spacing w:val="-6"/>
        </w:rPr>
        <w:t>Control</w:t>
      </w:r>
      <w:r>
        <w:rPr>
          <w:rFonts w:ascii="Segoe UI Semibold" w:hAnsi="Segoe UI Semibold"/>
          <w:b/>
          <w:color w:val="1A4796"/>
          <w:spacing w:val="-11"/>
        </w:rPr>
        <w:t> </w:t>
      </w:r>
      <w:r>
        <w:rPr>
          <w:rFonts w:ascii="Segoe UI Semibold" w:hAnsi="Segoe UI Semibold"/>
          <w:b/>
          <w:color w:val="1A4796"/>
          <w:spacing w:val="-6"/>
        </w:rPr>
        <w:t>Regulations</w:t>
      </w:r>
      <w:r>
        <w:rPr>
          <w:rFonts w:ascii="Segoe UI Semibold" w:hAnsi="Segoe UI Semibold"/>
          <w:b/>
          <w:color w:val="1A4796"/>
          <w:spacing w:val="-10"/>
        </w:rPr>
        <w:t> </w:t>
      </w:r>
      <w:r>
        <w:rPr>
          <w:rFonts w:ascii="Segoe UI Semibold" w:hAnsi="Segoe UI Semibold"/>
          <w:b/>
          <w:color w:val="1A4796"/>
          <w:spacing w:val="-6"/>
        </w:rPr>
        <w:t>(1963, </w:t>
      </w:r>
      <w:r>
        <w:rPr>
          <w:rFonts w:ascii="Segoe UI Semibold" w:hAnsi="Segoe UI Semibold"/>
          <w:b/>
          <w:color w:val="1A4796"/>
        </w:rPr>
        <w:t>Réglementations relatives au contrôle des actifs cubains) : </w:t>
      </w:r>
      <w:r>
        <w:rPr>
          <w:color w:val="231F20"/>
        </w:rPr>
        <w:t>Promulguées par le département du Trésor, elles ont, entre autres sanctions, établi la mise </w:t>
      </w:r>
      <w:r>
        <w:rPr>
          <w:color w:val="231F20"/>
          <w:spacing w:val="-2"/>
        </w:rPr>
        <w:t>sous</w:t>
      </w:r>
      <w:r>
        <w:rPr>
          <w:color w:val="231F20"/>
          <w:spacing w:val="-12"/>
        </w:rPr>
        <w:t> </w:t>
      </w:r>
      <w:r>
        <w:rPr>
          <w:color w:val="231F20"/>
          <w:spacing w:val="-2"/>
        </w:rPr>
        <w:t>séquestre</w:t>
      </w:r>
      <w:r>
        <w:rPr>
          <w:color w:val="231F20"/>
          <w:spacing w:val="-12"/>
        </w:rPr>
        <w:t> </w:t>
      </w:r>
      <w:r>
        <w:rPr>
          <w:color w:val="231F20"/>
          <w:spacing w:val="-2"/>
        </w:rPr>
        <w:t>de</w:t>
      </w:r>
      <w:r>
        <w:rPr>
          <w:color w:val="231F20"/>
          <w:spacing w:val="-12"/>
        </w:rPr>
        <w:t> </w:t>
      </w:r>
      <w:r>
        <w:rPr>
          <w:color w:val="231F20"/>
          <w:spacing w:val="-2"/>
        </w:rPr>
        <w:t>tous</w:t>
      </w:r>
      <w:r>
        <w:rPr>
          <w:color w:val="231F20"/>
          <w:spacing w:val="-12"/>
        </w:rPr>
        <w:t> </w:t>
      </w:r>
      <w:r>
        <w:rPr>
          <w:color w:val="231F20"/>
          <w:spacing w:val="-2"/>
        </w:rPr>
        <w:t>les</w:t>
      </w:r>
      <w:r>
        <w:rPr>
          <w:color w:val="231F20"/>
          <w:spacing w:val="-12"/>
        </w:rPr>
        <w:t> </w:t>
      </w:r>
      <w:r>
        <w:rPr>
          <w:color w:val="231F20"/>
          <w:spacing w:val="-2"/>
        </w:rPr>
        <w:t>actifs</w:t>
      </w:r>
      <w:r>
        <w:rPr>
          <w:color w:val="231F20"/>
          <w:spacing w:val="-12"/>
        </w:rPr>
        <w:t> </w:t>
      </w:r>
      <w:r>
        <w:rPr>
          <w:color w:val="231F20"/>
          <w:spacing w:val="-2"/>
        </w:rPr>
        <w:t>cubains </w:t>
      </w:r>
      <w:r>
        <w:rPr>
          <w:color w:val="231F20"/>
        </w:rPr>
        <w:t>aux USA ; l’interdiction de toutes </w:t>
      </w:r>
      <w:r>
        <w:rPr>
          <w:color w:val="231F20"/>
          <w:spacing w:val="-2"/>
        </w:rPr>
        <w:t>transactions</w:t>
      </w:r>
      <w:r>
        <w:rPr>
          <w:color w:val="231F20"/>
          <w:spacing w:val="-15"/>
        </w:rPr>
        <w:t> </w:t>
      </w:r>
      <w:r>
        <w:rPr>
          <w:color w:val="231F20"/>
          <w:spacing w:val="-2"/>
        </w:rPr>
        <w:t>financières</w:t>
      </w:r>
      <w:r>
        <w:rPr>
          <w:color w:val="231F20"/>
          <w:spacing w:val="-14"/>
        </w:rPr>
        <w:t> </w:t>
      </w:r>
      <w:r>
        <w:rPr>
          <w:color w:val="231F20"/>
          <w:spacing w:val="-2"/>
        </w:rPr>
        <w:t>et</w:t>
      </w:r>
      <w:r>
        <w:rPr>
          <w:color w:val="231F20"/>
          <w:spacing w:val="-15"/>
        </w:rPr>
        <w:t> </w:t>
      </w:r>
      <w:r>
        <w:rPr>
          <w:color w:val="231F20"/>
          <w:spacing w:val="-2"/>
        </w:rPr>
        <w:t>commerciales </w:t>
      </w:r>
      <w:r>
        <w:rPr>
          <w:color w:val="231F20"/>
        </w:rPr>
        <w:t>sans autorisation ; la prohibition des exportations cubaines aux USA ; la </w:t>
      </w:r>
      <w:r>
        <w:rPr>
          <w:color w:val="231F20"/>
          <w:spacing w:val="-2"/>
        </w:rPr>
        <w:t>prohibition</w:t>
      </w:r>
      <w:r>
        <w:rPr>
          <w:color w:val="231F20"/>
          <w:spacing w:val="-7"/>
        </w:rPr>
        <w:t> </w:t>
      </w:r>
      <w:r>
        <w:rPr>
          <w:color w:val="231F20"/>
          <w:spacing w:val="-2"/>
        </w:rPr>
        <w:t>à</w:t>
      </w:r>
      <w:r>
        <w:rPr>
          <w:color w:val="231F20"/>
          <w:spacing w:val="-7"/>
        </w:rPr>
        <w:t> </w:t>
      </w:r>
      <w:r>
        <w:rPr>
          <w:color w:val="231F20"/>
          <w:spacing w:val="-2"/>
        </w:rPr>
        <w:t>n’importe</w:t>
      </w:r>
      <w:r>
        <w:rPr>
          <w:color w:val="231F20"/>
          <w:spacing w:val="-7"/>
        </w:rPr>
        <w:t> </w:t>
      </w:r>
      <w:r>
        <w:rPr>
          <w:color w:val="231F20"/>
          <w:spacing w:val="-2"/>
        </w:rPr>
        <w:t>quelle</w:t>
      </w:r>
      <w:r>
        <w:rPr>
          <w:color w:val="231F20"/>
          <w:spacing w:val="-7"/>
        </w:rPr>
        <w:t> </w:t>
      </w:r>
      <w:r>
        <w:rPr>
          <w:color w:val="231F20"/>
          <w:spacing w:val="-2"/>
        </w:rPr>
        <w:t>personne physique</w:t>
      </w:r>
      <w:r>
        <w:rPr>
          <w:color w:val="231F20"/>
          <w:spacing w:val="-13"/>
        </w:rPr>
        <w:t> </w:t>
      </w:r>
      <w:r>
        <w:rPr>
          <w:color w:val="231F20"/>
          <w:spacing w:val="-2"/>
        </w:rPr>
        <w:t>ou</w:t>
      </w:r>
      <w:r>
        <w:rPr>
          <w:color w:val="231F20"/>
          <w:spacing w:val="-13"/>
        </w:rPr>
        <w:t> </w:t>
      </w:r>
      <w:r>
        <w:rPr>
          <w:color w:val="231F20"/>
          <w:spacing w:val="-2"/>
        </w:rPr>
        <w:t>morale</w:t>
      </w:r>
      <w:r>
        <w:rPr>
          <w:color w:val="231F20"/>
          <w:spacing w:val="-13"/>
        </w:rPr>
        <w:t> </w:t>
      </w:r>
      <w:r>
        <w:rPr>
          <w:color w:val="231F20"/>
          <w:spacing w:val="-2"/>
        </w:rPr>
        <w:t>des</w:t>
      </w:r>
      <w:r>
        <w:rPr>
          <w:color w:val="231F20"/>
          <w:spacing w:val="-13"/>
        </w:rPr>
        <w:t> </w:t>
      </w:r>
      <w:r>
        <w:rPr>
          <w:color w:val="231F20"/>
          <w:spacing w:val="-2"/>
        </w:rPr>
        <w:t>USA</w:t>
      </w:r>
      <w:r>
        <w:rPr>
          <w:color w:val="231F20"/>
          <w:spacing w:val="-13"/>
        </w:rPr>
        <w:t> </w:t>
      </w:r>
      <w:r>
        <w:rPr>
          <w:color w:val="231F20"/>
          <w:spacing w:val="-2"/>
        </w:rPr>
        <w:t>ou</w:t>
      </w:r>
      <w:r>
        <w:rPr>
          <w:color w:val="231F20"/>
          <w:spacing w:val="-13"/>
        </w:rPr>
        <w:t> </w:t>
      </w:r>
      <w:r>
        <w:rPr>
          <w:color w:val="231F20"/>
          <w:spacing w:val="-2"/>
        </w:rPr>
        <w:t>de</w:t>
      </w:r>
      <w:r>
        <w:rPr>
          <w:color w:val="231F20"/>
          <w:spacing w:val="-13"/>
        </w:rPr>
        <w:t> </w:t>
      </w:r>
      <w:r>
        <w:rPr>
          <w:color w:val="231F20"/>
          <w:spacing w:val="-2"/>
        </w:rPr>
        <w:t>pays </w:t>
      </w:r>
      <w:r>
        <w:rPr>
          <w:color w:val="231F20"/>
        </w:rPr>
        <w:t>tiers</w:t>
      </w:r>
      <w:r>
        <w:rPr>
          <w:color w:val="231F20"/>
          <w:spacing w:val="-17"/>
        </w:rPr>
        <w:t> </w:t>
      </w:r>
      <w:r>
        <w:rPr>
          <w:color w:val="231F20"/>
        </w:rPr>
        <w:t>de</w:t>
      </w:r>
      <w:r>
        <w:rPr>
          <w:color w:val="231F20"/>
          <w:spacing w:val="-16"/>
        </w:rPr>
        <w:t> </w:t>
      </w:r>
      <w:r>
        <w:rPr>
          <w:color w:val="231F20"/>
        </w:rPr>
        <w:t>faire</w:t>
      </w:r>
      <w:r>
        <w:rPr>
          <w:color w:val="231F20"/>
          <w:spacing w:val="-17"/>
        </w:rPr>
        <w:t> </w:t>
      </w:r>
      <w:r>
        <w:rPr>
          <w:color w:val="231F20"/>
        </w:rPr>
        <w:t>des</w:t>
      </w:r>
      <w:r>
        <w:rPr>
          <w:color w:val="231F20"/>
          <w:spacing w:val="-16"/>
        </w:rPr>
        <w:t> </w:t>
      </w:r>
      <w:r>
        <w:rPr>
          <w:color w:val="231F20"/>
        </w:rPr>
        <w:t>transactions</w:t>
      </w:r>
      <w:r>
        <w:rPr>
          <w:color w:val="231F20"/>
          <w:spacing w:val="-17"/>
        </w:rPr>
        <w:t> </w:t>
      </w:r>
      <w:r>
        <w:rPr>
          <w:color w:val="231F20"/>
        </w:rPr>
        <w:t>avec</w:t>
      </w:r>
      <w:r>
        <w:rPr>
          <w:color w:val="231F20"/>
          <w:spacing w:val="-16"/>
        </w:rPr>
        <w:t> </w:t>
      </w:r>
      <w:r>
        <w:rPr>
          <w:color w:val="231F20"/>
        </w:rPr>
        <w:t>Cuba en dollars des États-Unis.</w:t>
      </w:r>
    </w:p>
    <w:p>
      <w:pPr>
        <w:pStyle w:val="BodyText"/>
        <w:spacing w:before="171"/>
        <w:ind w:left="1734"/>
        <w:rPr>
          <w:rFonts w:ascii="Segoe UI Semibold" w:hAnsi="Segoe UI Semibold"/>
          <w:b/>
        </w:rPr>
      </w:pPr>
      <w:r>
        <w:rPr/>
        <mc:AlternateContent>
          <mc:Choice Requires="wps">
            <w:drawing>
              <wp:anchor distT="0" distB="0" distL="0" distR="0" allowOverlap="1" layoutInCell="1" locked="0" behindDoc="0" simplePos="0" relativeHeight="15828992">
                <wp:simplePos x="0" y="0"/>
                <wp:positionH relativeFrom="page">
                  <wp:posOffset>935997</wp:posOffset>
                </wp:positionH>
                <wp:positionV relativeFrom="paragraph">
                  <wp:posOffset>193386</wp:posOffset>
                </wp:positionV>
                <wp:extent cx="59690" cy="59690"/>
                <wp:effectExtent l="0" t="0" r="0" b="0"/>
                <wp:wrapNone/>
                <wp:docPr id="414" name="Graphic 414"/>
                <wp:cNvGraphicFramePr>
                  <a:graphicFrameLocks/>
                </wp:cNvGraphicFramePr>
                <a:graphic>
                  <a:graphicData uri="http://schemas.microsoft.com/office/word/2010/wordprocessingShape">
                    <wps:wsp>
                      <wps:cNvPr id="414" name="Graphic 41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22725pt;width:4.7pt;height:4.7pt;mso-position-horizontal-relative:page;mso-position-vertical-relative:paragraph;z-index:15828992" id="docshape344" coordorigin="1474,305" coordsize="94,94" path="m1521,305l1502,308,1488,318,1478,333,1474,351,1478,369,1488,384,1502,394,1521,398,1539,394,1554,384,1564,369,1567,351,1564,333,1554,318,1539,308,1521,305xe" filled="true" fillcolor="#1a4796" stroked="false">
                <v:path arrowok="t"/>
                <v:fill type="solid"/>
                <w10:wrap type="none"/>
              </v:shape>
            </w:pict>
          </mc:Fallback>
        </mc:AlternateContent>
      </w:r>
      <w:r>
        <w:rPr>
          <w:rFonts w:ascii="Segoe UI Semibold" w:hAnsi="Segoe UI Semibold"/>
          <w:b/>
          <w:color w:val="1A4796"/>
        </w:rPr>
        <w:t>Export</w:t>
      </w:r>
      <w:r>
        <w:rPr>
          <w:rFonts w:ascii="Segoe UI Semibold" w:hAnsi="Segoe UI Semibold"/>
          <w:b/>
          <w:color w:val="1A4796"/>
          <w:spacing w:val="-4"/>
        </w:rPr>
        <w:t> </w:t>
      </w:r>
      <w:r>
        <w:rPr>
          <w:rFonts w:ascii="Segoe UI Semibold" w:hAnsi="Segoe UI Semibold"/>
          <w:b/>
          <w:color w:val="1A4796"/>
        </w:rPr>
        <w:t>Administration</w:t>
      </w:r>
      <w:r>
        <w:rPr>
          <w:rFonts w:ascii="Segoe UI Semibold" w:hAnsi="Segoe UI Semibold"/>
          <w:b/>
          <w:color w:val="1A4796"/>
          <w:spacing w:val="-4"/>
        </w:rPr>
        <w:t> </w:t>
      </w:r>
      <w:r>
        <w:rPr>
          <w:rFonts w:ascii="Segoe UI Semibold" w:hAnsi="Segoe UI Semibold"/>
          <w:b/>
          <w:color w:val="1A4796"/>
        </w:rPr>
        <w:t>Act</w:t>
      </w:r>
      <w:r>
        <w:rPr>
          <w:rFonts w:ascii="Segoe UI Semibold" w:hAnsi="Segoe UI Semibold"/>
          <w:b/>
          <w:color w:val="1A4796"/>
          <w:spacing w:val="-4"/>
        </w:rPr>
        <w:t> </w:t>
      </w:r>
      <w:r>
        <w:rPr>
          <w:rFonts w:ascii="Segoe UI Semibold" w:hAnsi="Segoe UI Semibold"/>
          <w:b/>
          <w:color w:val="1A4796"/>
        </w:rPr>
        <w:t>of</w:t>
      </w:r>
      <w:r>
        <w:rPr>
          <w:rFonts w:ascii="Segoe UI Semibold" w:hAnsi="Segoe UI Semibold"/>
          <w:b/>
          <w:color w:val="1A4796"/>
          <w:spacing w:val="-4"/>
        </w:rPr>
        <w:t> </w:t>
      </w:r>
      <w:r>
        <w:rPr>
          <w:rFonts w:ascii="Segoe UI Semibold" w:hAnsi="Segoe UI Semibold"/>
          <w:b/>
          <w:color w:val="1A4796"/>
        </w:rPr>
        <w:t>1979</w:t>
      </w:r>
      <w:r>
        <w:rPr>
          <w:rFonts w:ascii="Segoe UI Semibold" w:hAnsi="Segoe UI Semibold"/>
          <w:b/>
          <w:color w:val="1A4796"/>
          <w:spacing w:val="-4"/>
        </w:rPr>
        <w:t> </w:t>
      </w:r>
      <w:r>
        <w:rPr>
          <w:rFonts w:ascii="Segoe UI Semibold" w:hAnsi="Segoe UI Semibold"/>
          <w:b/>
          <w:color w:val="1A4796"/>
        </w:rPr>
        <w:t>(Loi relative</w:t>
      </w:r>
      <w:r>
        <w:rPr>
          <w:rFonts w:ascii="Segoe UI Semibold" w:hAnsi="Segoe UI Semibold"/>
          <w:b/>
          <w:color w:val="1A4796"/>
          <w:spacing w:val="6"/>
        </w:rPr>
        <w:t> </w:t>
      </w:r>
      <w:r>
        <w:rPr>
          <w:rFonts w:ascii="Segoe UI Semibold" w:hAnsi="Segoe UI Semibold"/>
          <w:b/>
          <w:color w:val="1A4796"/>
        </w:rPr>
        <w:t>à</w:t>
      </w:r>
      <w:r>
        <w:rPr>
          <w:rFonts w:ascii="Segoe UI Semibold" w:hAnsi="Segoe UI Semibold"/>
          <w:b/>
          <w:color w:val="1A4796"/>
          <w:spacing w:val="7"/>
        </w:rPr>
        <w:t> </w:t>
      </w:r>
      <w:r>
        <w:rPr>
          <w:rFonts w:ascii="Segoe UI Semibold" w:hAnsi="Segoe UI Semibold"/>
          <w:b/>
          <w:color w:val="1A4796"/>
        </w:rPr>
        <w:t>la</w:t>
      </w:r>
      <w:r>
        <w:rPr>
          <w:rFonts w:ascii="Segoe UI Semibold" w:hAnsi="Segoe UI Semibold"/>
          <w:b/>
          <w:color w:val="1A4796"/>
          <w:spacing w:val="6"/>
        </w:rPr>
        <w:t> </w:t>
      </w:r>
      <w:r>
        <w:rPr>
          <w:rFonts w:ascii="Segoe UI Semibold" w:hAnsi="Segoe UI Semibold"/>
          <w:b/>
          <w:color w:val="1A4796"/>
        </w:rPr>
        <w:t>gestion</w:t>
      </w:r>
      <w:r>
        <w:rPr>
          <w:rFonts w:ascii="Segoe UI Semibold" w:hAnsi="Segoe UI Semibold"/>
          <w:b/>
          <w:color w:val="1A4796"/>
          <w:spacing w:val="7"/>
        </w:rPr>
        <w:t> </w:t>
      </w:r>
      <w:r>
        <w:rPr>
          <w:rFonts w:ascii="Segoe UI Semibold" w:hAnsi="Segoe UI Semibold"/>
          <w:b/>
          <w:color w:val="1A4796"/>
        </w:rPr>
        <w:t>des</w:t>
      </w:r>
      <w:r>
        <w:rPr>
          <w:rFonts w:ascii="Segoe UI Semibold" w:hAnsi="Segoe UI Semibold"/>
          <w:b/>
          <w:color w:val="1A4796"/>
          <w:spacing w:val="7"/>
        </w:rPr>
        <w:t> </w:t>
      </w:r>
      <w:r>
        <w:rPr>
          <w:rFonts w:ascii="Segoe UI Semibold" w:hAnsi="Segoe UI Semibold"/>
          <w:b/>
          <w:color w:val="1A4796"/>
          <w:spacing w:val="-2"/>
        </w:rPr>
        <w:t>exportations)</w:t>
      </w:r>
    </w:p>
    <w:p>
      <w:pPr>
        <w:pStyle w:val="BodyText"/>
        <w:spacing w:before="2"/>
        <w:ind w:left="1734"/>
      </w:pPr>
      <w:r>
        <w:rPr>
          <w:rFonts w:ascii="Segoe UI Semibold" w:hAnsi="Segoe UI Semibold"/>
          <w:b/>
          <w:color w:val="1A4796"/>
        </w:rPr>
        <w:t>:</w:t>
      </w:r>
      <w:r>
        <w:rPr>
          <w:rFonts w:ascii="Segoe UI Semibold" w:hAnsi="Segoe UI Semibold"/>
          <w:b/>
          <w:color w:val="1A4796"/>
          <w:spacing w:val="-4"/>
        </w:rPr>
        <w:t> </w:t>
      </w:r>
      <w:r>
        <w:rPr>
          <w:color w:val="231F20"/>
        </w:rPr>
        <w:t>Aux</w:t>
      </w:r>
      <w:r>
        <w:rPr>
          <w:color w:val="231F20"/>
          <w:spacing w:val="-13"/>
        </w:rPr>
        <w:t> </w:t>
      </w:r>
      <w:r>
        <w:rPr>
          <w:color w:val="231F20"/>
        </w:rPr>
        <w:t>termes</w:t>
      </w:r>
      <w:r>
        <w:rPr>
          <w:color w:val="231F20"/>
          <w:spacing w:val="-13"/>
        </w:rPr>
        <w:t> </w:t>
      </w:r>
      <w:r>
        <w:rPr>
          <w:color w:val="231F20"/>
        </w:rPr>
        <w:t>de</w:t>
      </w:r>
      <w:r>
        <w:rPr>
          <w:color w:val="231F20"/>
          <w:spacing w:val="-13"/>
        </w:rPr>
        <w:t> </w:t>
      </w:r>
      <w:r>
        <w:rPr>
          <w:color w:val="231F20"/>
        </w:rPr>
        <w:t>la</w:t>
      </w:r>
      <w:r>
        <w:rPr>
          <w:color w:val="231F20"/>
          <w:spacing w:val="-13"/>
        </w:rPr>
        <w:t> </w:t>
      </w:r>
      <w:r>
        <w:rPr>
          <w:color w:val="231F20"/>
        </w:rPr>
        <w:t>section</w:t>
      </w:r>
      <w:r>
        <w:rPr>
          <w:color w:val="231F20"/>
          <w:spacing w:val="-13"/>
        </w:rPr>
        <w:t> </w:t>
      </w:r>
      <w:r>
        <w:rPr>
          <w:color w:val="231F20"/>
        </w:rPr>
        <w:t>2401</w:t>
      </w:r>
      <w:r>
        <w:rPr>
          <w:color w:val="231F20"/>
          <w:spacing w:val="-13"/>
        </w:rPr>
        <w:t> </w:t>
      </w:r>
      <w:r>
        <w:rPr>
          <w:color w:val="231F20"/>
        </w:rPr>
        <w:t>(b)</w:t>
      </w:r>
      <w:r>
        <w:rPr>
          <w:color w:val="231F20"/>
          <w:spacing w:val="-13"/>
        </w:rPr>
        <w:t> </w:t>
      </w:r>
      <w:r>
        <w:rPr>
          <w:color w:val="231F20"/>
        </w:rPr>
        <w:t>(1),</w:t>
      </w:r>
      <w:r>
        <w:rPr>
          <w:color w:val="231F20"/>
          <w:spacing w:val="-13"/>
        </w:rPr>
        <w:t> </w:t>
      </w:r>
      <w:r>
        <w:rPr>
          <w:color w:val="231F20"/>
        </w:rPr>
        <w:t>« </w:t>
      </w:r>
      <w:r>
        <w:rPr>
          <w:color w:val="231F20"/>
          <w:spacing w:val="-16"/>
        </w:rPr>
        <w:t>National</w:t>
      </w:r>
      <w:r>
        <w:rPr>
          <w:color w:val="231F20"/>
        </w:rPr>
        <w:t> </w:t>
      </w:r>
      <w:r>
        <w:rPr>
          <w:color w:val="231F20"/>
          <w:spacing w:val="-16"/>
        </w:rPr>
        <w:t>Security</w:t>
      </w:r>
      <w:r>
        <w:rPr>
          <w:color w:val="231F20"/>
        </w:rPr>
        <w:t> </w:t>
      </w:r>
      <w:r>
        <w:rPr>
          <w:color w:val="231F20"/>
          <w:spacing w:val="-16"/>
        </w:rPr>
        <w:t>Controls</w:t>
      </w:r>
      <w:r>
        <w:rPr>
          <w:color w:val="231F20"/>
        </w:rPr>
        <w:t> </w:t>
      </w:r>
      <w:r>
        <w:rPr>
          <w:color w:val="231F20"/>
          <w:spacing w:val="-16"/>
        </w:rPr>
        <w:t>»,</w:t>
      </w:r>
      <w:r>
        <w:rPr>
          <w:color w:val="231F20"/>
        </w:rPr>
        <w:t> </w:t>
      </w:r>
      <w:r>
        <w:rPr>
          <w:color w:val="231F20"/>
          <w:spacing w:val="-16"/>
        </w:rPr>
        <w:t>«</w:t>
      </w:r>
      <w:r>
        <w:rPr>
          <w:color w:val="231F20"/>
        </w:rPr>
        <w:t> </w:t>
      </w:r>
      <w:r>
        <w:rPr>
          <w:color w:val="231F20"/>
          <w:spacing w:val="-16"/>
        </w:rPr>
        <w:t>Policy</w:t>
      </w:r>
      <w:r>
        <w:rPr>
          <w:color w:val="231F20"/>
        </w:rPr>
        <w:t> </w:t>
      </w:r>
      <w:r>
        <w:rPr>
          <w:color w:val="231F20"/>
          <w:spacing w:val="-16"/>
        </w:rPr>
        <w:t>Toward </w:t>
      </w:r>
      <w:r>
        <w:rPr>
          <w:color w:val="231F20"/>
          <w:spacing w:val="-8"/>
          <w:w w:val="90"/>
        </w:rPr>
        <w:t>Individual</w:t>
      </w:r>
      <w:r>
        <w:rPr>
          <w:color w:val="231F20"/>
          <w:spacing w:val="-9"/>
        </w:rPr>
        <w:t> </w:t>
      </w:r>
      <w:r>
        <w:rPr>
          <w:color w:val="231F20"/>
          <w:spacing w:val="-8"/>
          <w:w w:val="90"/>
        </w:rPr>
        <w:t>Countries</w:t>
      </w:r>
      <w:r>
        <w:rPr>
          <w:color w:val="231F20"/>
          <w:spacing w:val="-8"/>
        </w:rPr>
        <w:t> </w:t>
      </w:r>
      <w:r>
        <w:rPr>
          <w:color w:val="231F20"/>
          <w:spacing w:val="-8"/>
          <w:w w:val="90"/>
        </w:rPr>
        <w:t>»,</w:t>
      </w:r>
      <w:r>
        <w:rPr>
          <w:color w:val="231F20"/>
          <w:spacing w:val="-9"/>
        </w:rPr>
        <w:t> </w:t>
      </w:r>
      <w:r>
        <w:rPr>
          <w:color w:val="231F20"/>
          <w:spacing w:val="-8"/>
          <w:w w:val="90"/>
        </w:rPr>
        <w:t>le</w:t>
      </w:r>
      <w:r>
        <w:rPr>
          <w:color w:val="231F20"/>
          <w:spacing w:val="-8"/>
        </w:rPr>
        <w:t> </w:t>
      </w:r>
      <w:r>
        <w:rPr>
          <w:color w:val="231F20"/>
          <w:spacing w:val="-8"/>
          <w:w w:val="90"/>
        </w:rPr>
        <w:t>président</w:t>
      </w:r>
      <w:r>
        <w:rPr>
          <w:color w:val="231F20"/>
          <w:spacing w:val="-9"/>
        </w:rPr>
        <w:t> </w:t>
      </w:r>
      <w:r>
        <w:rPr>
          <w:color w:val="231F20"/>
          <w:spacing w:val="-8"/>
          <w:w w:val="90"/>
        </w:rPr>
        <w:t>des</w:t>
      </w:r>
      <w:r>
        <w:rPr>
          <w:color w:val="231F20"/>
          <w:spacing w:val="-8"/>
        </w:rPr>
        <w:t> </w:t>
      </w:r>
      <w:r>
        <w:rPr>
          <w:color w:val="231F20"/>
          <w:spacing w:val="-8"/>
          <w:w w:val="90"/>
        </w:rPr>
        <w:t>USA</w:t>
      </w:r>
      <w:r>
        <w:rPr>
          <w:color w:val="231F20"/>
          <w:spacing w:val="-9"/>
        </w:rPr>
        <w:t> </w:t>
      </w:r>
      <w:r>
        <w:rPr>
          <w:color w:val="231F20"/>
          <w:spacing w:val="-8"/>
          <w:w w:val="90"/>
        </w:rPr>
        <w:t>est </w:t>
      </w:r>
      <w:r>
        <w:rPr>
          <w:color w:val="231F20"/>
          <w:spacing w:val="-18"/>
        </w:rPr>
        <w:t>habilité</w:t>
      </w:r>
      <w:r>
        <w:rPr>
          <w:color w:val="231F20"/>
          <w:spacing w:val="1"/>
        </w:rPr>
        <w:t> </w:t>
      </w:r>
      <w:r>
        <w:rPr>
          <w:color w:val="231F20"/>
          <w:spacing w:val="-18"/>
        </w:rPr>
        <w:t>à</w:t>
      </w:r>
      <w:r>
        <w:rPr>
          <w:color w:val="231F20"/>
          <w:spacing w:val="2"/>
        </w:rPr>
        <w:t> </w:t>
      </w:r>
      <w:r>
        <w:rPr>
          <w:color w:val="231F20"/>
          <w:spacing w:val="-18"/>
        </w:rPr>
        <w:t>inscrire</w:t>
      </w:r>
      <w:r>
        <w:rPr>
          <w:color w:val="231F20"/>
          <w:spacing w:val="1"/>
        </w:rPr>
        <w:t> </w:t>
      </w:r>
      <w:r>
        <w:rPr>
          <w:color w:val="231F20"/>
          <w:spacing w:val="-18"/>
        </w:rPr>
        <w:t>sur</w:t>
      </w:r>
      <w:r>
        <w:rPr>
          <w:color w:val="231F20"/>
          <w:spacing w:val="2"/>
        </w:rPr>
        <w:t> </w:t>
      </w:r>
      <w:r>
        <w:rPr>
          <w:color w:val="231F20"/>
          <w:spacing w:val="-18"/>
        </w:rPr>
        <w:t>la</w:t>
      </w:r>
      <w:r>
        <w:rPr>
          <w:color w:val="231F20"/>
          <w:spacing w:val="1"/>
        </w:rPr>
        <w:t> </w:t>
      </w:r>
      <w:r>
        <w:rPr>
          <w:color w:val="231F20"/>
          <w:spacing w:val="-18"/>
        </w:rPr>
        <w:t>«</w:t>
      </w:r>
      <w:r>
        <w:rPr>
          <w:color w:val="231F20"/>
          <w:spacing w:val="2"/>
        </w:rPr>
        <w:t> </w:t>
      </w:r>
      <w:r>
        <w:rPr>
          <w:color w:val="231F20"/>
          <w:spacing w:val="-18"/>
        </w:rPr>
        <w:t>Liste</w:t>
      </w:r>
      <w:r>
        <w:rPr>
          <w:color w:val="231F20"/>
          <w:spacing w:val="1"/>
        </w:rPr>
        <w:t> </w:t>
      </w:r>
      <w:r>
        <w:rPr>
          <w:color w:val="231F20"/>
          <w:spacing w:val="-18"/>
        </w:rPr>
        <w:t>de</w:t>
      </w:r>
      <w:r>
        <w:rPr>
          <w:color w:val="231F20"/>
          <w:spacing w:val="2"/>
        </w:rPr>
        <w:t> </w:t>
      </w:r>
      <w:r>
        <w:rPr>
          <w:color w:val="231F20"/>
          <w:spacing w:val="-18"/>
        </w:rPr>
        <w:t>contrôle</w:t>
      </w:r>
      <w:r>
        <w:rPr>
          <w:color w:val="231F20"/>
          <w:spacing w:val="2"/>
        </w:rPr>
        <w:t> </w:t>
      </w:r>
      <w:r>
        <w:rPr>
          <w:color w:val="231F20"/>
          <w:spacing w:val="-18"/>
        </w:rPr>
        <w:t>des </w:t>
      </w:r>
      <w:r>
        <w:rPr>
          <w:color w:val="231F20"/>
          <w:spacing w:val="-14"/>
        </w:rPr>
        <w:t>marchandises</w:t>
      </w:r>
      <w:r>
        <w:rPr>
          <w:color w:val="231F20"/>
        </w:rPr>
        <w:t> </w:t>
      </w:r>
      <w:r>
        <w:rPr>
          <w:color w:val="231F20"/>
          <w:spacing w:val="-14"/>
        </w:rPr>
        <w:t>»</w:t>
      </w:r>
      <w:r>
        <w:rPr>
          <w:color w:val="231F20"/>
        </w:rPr>
        <w:t> </w:t>
      </w:r>
      <w:r>
        <w:rPr>
          <w:color w:val="231F20"/>
          <w:spacing w:val="-14"/>
        </w:rPr>
        <w:t>des</w:t>
      </w:r>
      <w:r>
        <w:rPr>
          <w:color w:val="231F20"/>
        </w:rPr>
        <w:t> </w:t>
      </w:r>
      <w:r>
        <w:rPr>
          <w:color w:val="231F20"/>
          <w:spacing w:val="-14"/>
        </w:rPr>
        <w:t>pays</w:t>
      </w:r>
      <w:r>
        <w:rPr>
          <w:color w:val="231F20"/>
        </w:rPr>
        <w:t> </w:t>
      </w:r>
      <w:r>
        <w:rPr>
          <w:color w:val="231F20"/>
          <w:spacing w:val="-14"/>
        </w:rPr>
        <w:t>auxquels</w:t>
      </w:r>
      <w:r>
        <w:rPr>
          <w:color w:val="231F20"/>
        </w:rPr>
        <w:t> </w:t>
      </w:r>
      <w:r>
        <w:rPr>
          <w:color w:val="231F20"/>
          <w:spacing w:val="-14"/>
        </w:rPr>
        <w:t>pourront </w:t>
      </w:r>
      <w:r>
        <w:rPr>
          <w:color w:val="231F20"/>
          <w:spacing w:val="-8"/>
        </w:rPr>
        <w:t>être</w:t>
      </w:r>
      <w:r>
        <w:rPr>
          <w:color w:val="231F20"/>
          <w:spacing w:val="-9"/>
        </w:rPr>
        <w:t> </w:t>
      </w:r>
      <w:r>
        <w:rPr>
          <w:color w:val="231F20"/>
          <w:spacing w:val="-8"/>
        </w:rPr>
        <w:t>appliqués</w:t>
      </w:r>
      <w:r>
        <w:rPr>
          <w:color w:val="231F20"/>
          <w:spacing w:val="-8"/>
        </w:rPr>
        <w:t> des</w:t>
      </w:r>
      <w:r>
        <w:rPr>
          <w:color w:val="231F20"/>
          <w:spacing w:val="-9"/>
        </w:rPr>
        <w:t> </w:t>
      </w:r>
      <w:r>
        <w:rPr>
          <w:color w:val="231F20"/>
          <w:spacing w:val="-8"/>
        </w:rPr>
        <w:t>contrôles</w:t>
      </w:r>
      <w:r>
        <w:rPr>
          <w:color w:val="231F20"/>
          <w:spacing w:val="-8"/>
        </w:rPr>
        <w:t> d’exportation </w:t>
      </w:r>
      <w:r>
        <w:rPr>
          <w:color w:val="231F20"/>
          <w:spacing w:val="-18"/>
        </w:rPr>
        <w:t>spéciaux</w:t>
      </w:r>
      <w:r>
        <w:rPr>
          <w:color w:val="231F20"/>
          <w:spacing w:val="1"/>
        </w:rPr>
        <w:t> </w:t>
      </w:r>
      <w:r>
        <w:rPr>
          <w:color w:val="231F20"/>
          <w:spacing w:val="-18"/>
        </w:rPr>
        <w:t>dans</w:t>
      </w:r>
      <w:r>
        <w:rPr>
          <w:color w:val="231F20"/>
          <w:spacing w:val="2"/>
        </w:rPr>
        <w:t> </w:t>
      </w:r>
      <w:r>
        <w:rPr>
          <w:color w:val="231F20"/>
          <w:spacing w:val="-18"/>
        </w:rPr>
        <w:t>l’intérêt</w:t>
      </w:r>
      <w:r>
        <w:rPr>
          <w:color w:val="231F20"/>
          <w:spacing w:val="1"/>
        </w:rPr>
        <w:t> </w:t>
      </w:r>
      <w:r>
        <w:rPr>
          <w:color w:val="231F20"/>
          <w:spacing w:val="-18"/>
        </w:rPr>
        <w:t>de</w:t>
      </w:r>
      <w:r>
        <w:rPr>
          <w:color w:val="231F20"/>
          <w:spacing w:val="2"/>
        </w:rPr>
        <w:t> </w:t>
      </w:r>
      <w:r>
        <w:rPr>
          <w:color w:val="231F20"/>
          <w:spacing w:val="-18"/>
        </w:rPr>
        <w:t>la</w:t>
      </w:r>
      <w:r>
        <w:rPr>
          <w:color w:val="231F20"/>
          <w:spacing w:val="1"/>
        </w:rPr>
        <w:t> </w:t>
      </w:r>
      <w:r>
        <w:rPr>
          <w:color w:val="231F20"/>
          <w:spacing w:val="-18"/>
        </w:rPr>
        <w:t>sécurité</w:t>
      </w:r>
      <w:r>
        <w:rPr>
          <w:color w:val="231F20"/>
          <w:spacing w:val="2"/>
        </w:rPr>
        <w:t> </w:t>
      </w:r>
      <w:r>
        <w:rPr>
          <w:color w:val="231F20"/>
          <w:spacing w:val="-18"/>
        </w:rPr>
        <w:t>nationale. </w:t>
      </w:r>
      <w:r>
        <w:rPr>
          <w:color w:val="231F20"/>
          <w:spacing w:val="-2"/>
        </w:rPr>
        <w:t>Cuba</w:t>
      </w:r>
      <w:r>
        <w:rPr>
          <w:color w:val="231F20"/>
          <w:spacing w:val="-29"/>
        </w:rPr>
        <w:t> </w:t>
      </w:r>
      <w:r>
        <w:rPr>
          <w:color w:val="231F20"/>
          <w:spacing w:val="-2"/>
        </w:rPr>
        <w:t>y</w:t>
      </w:r>
      <w:r>
        <w:rPr>
          <w:color w:val="231F20"/>
          <w:spacing w:val="-29"/>
        </w:rPr>
        <w:t> </w:t>
      </w:r>
      <w:r>
        <w:rPr>
          <w:color w:val="231F20"/>
          <w:spacing w:val="-2"/>
        </w:rPr>
        <w:t>est</w:t>
      </w:r>
      <w:r>
        <w:rPr>
          <w:color w:val="231F20"/>
          <w:spacing w:val="-29"/>
        </w:rPr>
        <w:t> </w:t>
      </w:r>
      <w:r>
        <w:rPr>
          <w:color w:val="231F20"/>
          <w:spacing w:val="-2"/>
        </w:rPr>
        <w:t>inscrite.</w:t>
      </w:r>
    </w:p>
    <w:p>
      <w:pPr>
        <w:pStyle w:val="BodyText"/>
        <w:spacing w:before="166"/>
        <w:ind w:left="1734" w:right="8"/>
      </w:pPr>
      <w:r>
        <w:rPr/>
        <mc:AlternateContent>
          <mc:Choice Requires="wps">
            <w:drawing>
              <wp:anchor distT="0" distB="0" distL="0" distR="0" allowOverlap="1" layoutInCell="1" locked="0" behindDoc="0" simplePos="0" relativeHeight="15829504">
                <wp:simplePos x="0" y="0"/>
                <wp:positionH relativeFrom="page">
                  <wp:posOffset>935997</wp:posOffset>
                </wp:positionH>
                <wp:positionV relativeFrom="paragraph">
                  <wp:posOffset>188590</wp:posOffset>
                </wp:positionV>
                <wp:extent cx="59690" cy="59690"/>
                <wp:effectExtent l="0" t="0" r="0" b="0"/>
                <wp:wrapNone/>
                <wp:docPr id="415" name="Graphic 415"/>
                <wp:cNvGraphicFramePr>
                  <a:graphicFrameLocks/>
                </wp:cNvGraphicFramePr>
                <a:graphic>
                  <a:graphicData uri="http://schemas.microsoft.com/office/word/2010/wordprocessingShape">
                    <wps:wsp>
                      <wps:cNvPr id="415" name="Graphic 41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849675pt;width:4.7pt;height:4.7pt;mso-position-horizontal-relative:page;mso-position-vertical-relative:paragraph;z-index:15829504" id="docshape345" coordorigin="1474,297" coordsize="94,94" path="m1521,297l1502,301,1488,311,1478,325,1474,344,1478,362,1488,377,1502,387,1521,390,1539,387,1554,377,1564,362,1567,344,1564,325,1554,311,1539,301,1521,297xe" filled="true" fillcolor="#1a4796" stroked="false">
                <v:path arrowok="t"/>
                <v:fill type="solid"/>
                <w10:wrap type="none"/>
              </v:shape>
            </w:pict>
          </mc:Fallback>
        </mc:AlternateContent>
      </w:r>
      <w:r>
        <w:rPr>
          <w:rFonts w:ascii="Segoe UI Semibold" w:hAnsi="Segoe UI Semibold"/>
          <w:b/>
          <w:color w:val="1A4796"/>
          <w:spacing w:val="-6"/>
        </w:rPr>
        <w:t>Export</w:t>
      </w:r>
      <w:r>
        <w:rPr>
          <w:rFonts w:ascii="Segoe UI Semibold" w:hAnsi="Segoe UI Semibold"/>
          <w:b/>
          <w:color w:val="1A4796"/>
          <w:spacing w:val="-11"/>
        </w:rPr>
        <w:t> </w:t>
      </w:r>
      <w:r>
        <w:rPr>
          <w:rFonts w:ascii="Segoe UI Semibold" w:hAnsi="Segoe UI Semibold"/>
          <w:b/>
          <w:color w:val="1A4796"/>
          <w:spacing w:val="-6"/>
        </w:rPr>
        <w:t>Administration</w:t>
      </w:r>
      <w:r>
        <w:rPr>
          <w:rFonts w:ascii="Segoe UI Semibold" w:hAnsi="Segoe UI Semibold"/>
          <w:b/>
          <w:color w:val="1A4796"/>
          <w:spacing w:val="-10"/>
        </w:rPr>
        <w:t> </w:t>
      </w:r>
      <w:r>
        <w:rPr>
          <w:rFonts w:ascii="Segoe UI Semibold" w:hAnsi="Segoe UI Semibold"/>
          <w:b/>
          <w:color w:val="1A4796"/>
          <w:spacing w:val="-6"/>
        </w:rPr>
        <w:t>Regulations,</w:t>
      </w:r>
      <w:r>
        <w:rPr>
          <w:rFonts w:ascii="Segoe UI Semibold" w:hAnsi="Segoe UI Semibold"/>
          <w:b/>
          <w:color w:val="1A4796"/>
          <w:spacing w:val="-11"/>
        </w:rPr>
        <w:t> </w:t>
      </w:r>
      <w:r>
        <w:rPr>
          <w:rFonts w:ascii="Segoe UI Semibold" w:hAnsi="Segoe UI Semibold"/>
          <w:b/>
          <w:color w:val="1A4796"/>
          <w:spacing w:val="-6"/>
        </w:rPr>
        <w:t>1979 </w:t>
      </w:r>
      <w:r>
        <w:rPr>
          <w:rFonts w:ascii="Segoe UI Semibold" w:hAnsi="Segoe UI Semibold"/>
          <w:b/>
          <w:color w:val="1A4796"/>
        </w:rPr>
        <w:t>(EAR, Réglementations relatives à la gestion</w:t>
      </w:r>
      <w:r>
        <w:rPr>
          <w:rFonts w:ascii="Segoe UI Semibold" w:hAnsi="Segoe UI Semibold"/>
          <w:b/>
          <w:color w:val="1A4796"/>
          <w:spacing w:val="-13"/>
        </w:rPr>
        <w:t> </w:t>
      </w:r>
      <w:r>
        <w:rPr>
          <w:rFonts w:ascii="Segoe UI Semibold" w:hAnsi="Segoe UI Semibold"/>
          <w:b/>
          <w:color w:val="1A4796"/>
        </w:rPr>
        <w:t>des</w:t>
      </w:r>
      <w:r>
        <w:rPr>
          <w:rFonts w:ascii="Segoe UI Semibold" w:hAnsi="Segoe UI Semibold"/>
          <w:b/>
          <w:color w:val="1A4796"/>
          <w:spacing w:val="-13"/>
        </w:rPr>
        <w:t> </w:t>
      </w:r>
      <w:r>
        <w:rPr>
          <w:rFonts w:ascii="Segoe UI Semibold" w:hAnsi="Segoe UI Semibold"/>
          <w:b/>
          <w:color w:val="1A4796"/>
        </w:rPr>
        <w:t>exportations)</w:t>
      </w:r>
      <w:r>
        <w:rPr>
          <w:rFonts w:ascii="Segoe UI Semibold" w:hAnsi="Segoe UI Semibold"/>
          <w:b/>
          <w:color w:val="1A4796"/>
          <w:spacing w:val="-13"/>
        </w:rPr>
        <w:t> </w:t>
      </w:r>
      <w:r>
        <w:rPr>
          <w:rFonts w:ascii="Segoe UI Semibold" w:hAnsi="Segoe UI Semibold"/>
          <w:b/>
          <w:color w:val="1A4796"/>
        </w:rPr>
        <w:t>:</w:t>
      </w:r>
      <w:r>
        <w:rPr>
          <w:rFonts w:ascii="Segoe UI Semibold" w:hAnsi="Segoe UI Semibold"/>
          <w:b/>
          <w:color w:val="1A4796"/>
          <w:spacing w:val="-13"/>
        </w:rPr>
        <w:t> </w:t>
      </w:r>
      <w:r>
        <w:rPr>
          <w:color w:val="231F20"/>
        </w:rPr>
        <w:t>Elles</w:t>
      </w:r>
      <w:r>
        <w:rPr>
          <w:color w:val="231F20"/>
          <w:spacing w:val="-13"/>
        </w:rPr>
        <w:t> </w:t>
      </w:r>
      <w:r>
        <w:rPr>
          <w:color w:val="231F20"/>
        </w:rPr>
        <w:t>jettent </w:t>
      </w:r>
      <w:r>
        <w:rPr>
          <w:color w:val="231F20"/>
          <w:spacing w:val="-6"/>
        </w:rPr>
        <w:t>les</w:t>
      </w:r>
      <w:r>
        <w:rPr>
          <w:color w:val="231F20"/>
          <w:spacing w:val="-7"/>
        </w:rPr>
        <w:t> </w:t>
      </w:r>
      <w:r>
        <w:rPr>
          <w:color w:val="231F20"/>
          <w:spacing w:val="-6"/>
        </w:rPr>
        <w:t>bases</w:t>
      </w:r>
      <w:r>
        <w:rPr>
          <w:color w:val="231F20"/>
          <w:spacing w:val="-7"/>
        </w:rPr>
        <w:t> </w:t>
      </w:r>
      <w:r>
        <w:rPr>
          <w:color w:val="231F20"/>
          <w:spacing w:val="-6"/>
        </w:rPr>
        <w:t>de contrôles</w:t>
      </w:r>
      <w:r>
        <w:rPr>
          <w:color w:val="231F20"/>
          <w:spacing w:val="-7"/>
        </w:rPr>
        <w:t> </w:t>
      </w:r>
      <w:r>
        <w:rPr>
          <w:color w:val="231F20"/>
          <w:spacing w:val="-6"/>
        </w:rPr>
        <w:t>généraux d’articles </w:t>
      </w:r>
      <w:r>
        <w:rPr>
          <w:color w:val="231F20"/>
          <w:spacing w:val="-2"/>
        </w:rPr>
        <w:t>et</w:t>
      </w:r>
      <w:r>
        <w:rPr>
          <w:color w:val="231F20"/>
          <w:spacing w:val="-15"/>
        </w:rPr>
        <w:t> </w:t>
      </w:r>
      <w:r>
        <w:rPr>
          <w:color w:val="231F20"/>
          <w:spacing w:val="-2"/>
        </w:rPr>
        <w:t>d’activités</w:t>
      </w:r>
      <w:r>
        <w:rPr>
          <w:color w:val="231F20"/>
          <w:spacing w:val="-14"/>
        </w:rPr>
        <w:t> </w:t>
      </w:r>
      <w:r>
        <w:rPr>
          <w:color w:val="231F20"/>
          <w:spacing w:val="-2"/>
        </w:rPr>
        <w:t>dans</w:t>
      </w:r>
      <w:r>
        <w:rPr>
          <w:color w:val="231F20"/>
          <w:spacing w:val="-15"/>
        </w:rPr>
        <w:t> </w:t>
      </w:r>
      <w:r>
        <w:rPr>
          <w:color w:val="231F20"/>
          <w:spacing w:val="-2"/>
        </w:rPr>
        <w:t>le</w:t>
      </w:r>
      <w:r>
        <w:rPr>
          <w:color w:val="231F20"/>
          <w:spacing w:val="-14"/>
        </w:rPr>
        <w:t> </w:t>
      </w:r>
      <w:r>
        <w:rPr>
          <w:color w:val="231F20"/>
          <w:spacing w:val="-2"/>
        </w:rPr>
        <w:t>cadre</w:t>
      </w:r>
      <w:r>
        <w:rPr>
          <w:color w:val="231F20"/>
          <w:spacing w:val="-15"/>
        </w:rPr>
        <w:t> </w:t>
      </w:r>
      <w:r>
        <w:rPr>
          <w:color w:val="231F20"/>
          <w:spacing w:val="-2"/>
        </w:rPr>
        <w:t>des</w:t>
      </w:r>
      <w:r>
        <w:rPr>
          <w:color w:val="231F20"/>
          <w:spacing w:val="-14"/>
        </w:rPr>
        <w:t> </w:t>
      </w:r>
      <w:r>
        <w:rPr>
          <w:color w:val="231F20"/>
          <w:spacing w:val="-2"/>
        </w:rPr>
        <w:t>sanctions </w:t>
      </w:r>
      <w:r>
        <w:rPr>
          <w:color w:val="231F20"/>
          <w:spacing w:val="-8"/>
        </w:rPr>
        <w:t>imposées par le gouvernement étasunien, </w:t>
      </w:r>
      <w:r>
        <w:rPr>
          <w:color w:val="231F20"/>
          <w:spacing w:val="-16"/>
        </w:rPr>
        <w:t>et</w:t>
      </w:r>
      <w:r>
        <w:rPr>
          <w:color w:val="231F20"/>
          <w:spacing w:val="5"/>
        </w:rPr>
        <w:t> </w:t>
      </w:r>
      <w:r>
        <w:rPr>
          <w:color w:val="231F20"/>
          <w:spacing w:val="-16"/>
        </w:rPr>
        <w:t>fixent</w:t>
      </w:r>
      <w:r>
        <w:rPr>
          <w:color w:val="231F20"/>
          <w:spacing w:val="5"/>
        </w:rPr>
        <w:t> </w:t>
      </w:r>
      <w:r>
        <w:rPr>
          <w:color w:val="231F20"/>
          <w:spacing w:val="-16"/>
        </w:rPr>
        <w:t>une</w:t>
      </w:r>
      <w:r>
        <w:rPr>
          <w:color w:val="231F20"/>
          <w:spacing w:val="5"/>
        </w:rPr>
        <w:t> </w:t>
      </w:r>
      <w:r>
        <w:rPr>
          <w:color w:val="231F20"/>
          <w:spacing w:val="-16"/>
        </w:rPr>
        <w:t>politique</w:t>
      </w:r>
      <w:r>
        <w:rPr>
          <w:color w:val="231F20"/>
          <w:spacing w:val="5"/>
        </w:rPr>
        <w:t> </w:t>
      </w:r>
      <w:r>
        <w:rPr>
          <w:color w:val="231F20"/>
          <w:spacing w:val="-16"/>
        </w:rPr>
        <w:t>de</w:t>
      </w:r>
      <w:r>
        <w:rPr>
          <w:color w:val="231F20"/>
          <w:spacing w:val="5"/>
        </w:rPr>
        <w:t> </w:t>
      </w:r>
      <w:r>
        <w:rPr>
          <w:color w:val="231F20"/>
          <w:spacing w:val="-16"/>
        </w:rPr>
        <w:t>refus</w:t>
      </w:r>
      <w:r>
        <w:rPr>
          <w:color w:val="231F20"/>
        </w:rPr>
        <w:t> </w:t>
      </w:r>
      <w:r>
        <w:rPr>
          <w:color w:val="231F20"/>
          <w:spacing w:val="-16"/>
        </w:rPr>
        <w:t>systématique </w:t>
      </w:r>
      <w:r>
        <w:rPr>
          <w:color w:val="231F20"/>
          <w:spacing w:val="-8"/>
        </w:rPr>
        <w:t>des</w:t>
      </w:r>
      <w:r>
        <w:rPr>
          <w:color w:val="231F20"/>
          <w:spacing w:val="-14"/>
        </w:rPr>
        <w:t> </w:t>
      </w:r>
      <w:r>
        <w:rPr>
          <w:color w:val="231F20"/>
          <w:spacing w:val="-8"/>
        </w:rPr>
        <w:t>exportations</w:t>
      </w:r>
      <w:r>
        <w:rPr>
          <w:color w:val="231F20"/>
          <w:spacing w:val="-14"/>
        </w:rPr>
        <w:t> </w:t>
      </w:r>
      <w:r>
        <w:rPr>
          <w:color w:val="231F20"/>
          <w:spacing w:val="-8"/>
        </w:rPr>
        <w:t>et</w:t>
      </w:r>
      <w:r>
        <w:rPr>
          <w:color w:val="231F20"/>
          <w:spacing w:val="-14"/>
        </w:rPr>
        <w:t> </w:t>
      </w:r>
      <w:r>
        <w:rPr>
          <w:color w:val="231F20"/>
          <w:spacing w:val="-8"/>
        </w:rPr>
        <w:t>réexportations</w:t>
      </w:r>
      <w:r>
        <w:rPr>
          <w:color w:val="231F20"/>
          <w:spacing w:val="-14"/>
        </w:rPr>
        <w:t> </w:t>
      </w:r>
      <w:r>
        <w:rPr>
          <w:color w:val="231F20"/>
          <w:spacing w:val="-8"/>
        </w:rPr>
        <w:t>à</w:t>
      </w:r>
      <w:r>
        <w:rPr>
          <w:color w:val="231F20"/>
          <w:spacing w:val="-14"/>
        </w:rPr>
        <w:t> </w:t>
      </w:r>
      <w:r>
        <w:rPr>
          <w:color w:val="231F20"/>
          <w:spacing w:val="-8"/>
        </w:rPr>
        <w:t>Cuba.</w:t>
      </w:r>
    </w:p>
    <w:p>
      <w:pPr>
        <w:pStyle w:val="BodyText"/>
        <w:spacing w:before="166"/>
        <w:ind w:left="1734" w:right="1"/>
      </w:pPr>
      <w:r>
        <w:rPr/>
        <mc:AlternateContent>
          <mc:Choice Requires="wps">
            <w:drawing>
              <wp:anchor distT="0" distB="0" distL="0" distR="0" allowOverlap="1" layoutInCell="1" locked="0" behindDoc="0" simplePos="0" relativeHeight="15830016">
                <wp:simplePos x="0" y="0"/>
                <wp:positionH relativeFrom="page">
                  <wp:posOffset>935997</wp:posOffset>
                </wp:positionH>
                <wp:positionV relativeFrom="paragraph">
                  <wp:posOffset>193148</wp:posOffset>
                </wp:positionV>
                <wp:extent cx="59690" cy="59690"/>
                <wp:effectExtent l="0" t="0" r="0" b="0"/>
                <wp:wrapNone/>
                <wp:docPr id="416" name="Graphic 416"/>
                <wp:cNvGraphicFramePr>
                  <a:graphicFrameLocks/>
                </wp:cNvGraphicFramePr>
                <a:graphic>
                  <a:graphicData uri="http://schemas.microsoft.com/office/word/2010/wordprocessingShape">
                    <wps:wsp>
                      <wps:cNvPr id="416" name="Graphic 41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208575pt;width:4.7pt;height:4.7pt;mso-position-horizontal-relative:page;mso-position-vertical-relative:paragraph;z-index:15830016" id="docshape346" coordorigin="1474,304" coordsize="94,94" path="m1521,304l1502,308,1488,318,1478,333,1474,351,1478,369,1488,384,1502,394,1521,397,1539,394,1554,384,1564,369,1567,351,1564,333,1554,318,1539,308,1521,304xe" filled="true" fillcolor="#1a4796" stroked="false">
                <v:path arrowok="t"/>
                <v:fill type="solid"/>
                <w10:wrap type="none"/>
              </v:shape>
            </w:pict>
          </mc:Fallback>
        </mc:AlternateContent>
      </w:r>
      <w:r>
        <w:rPr>
          <w:rFonts w:ascii="Segoe UI Semibold" w:hAnsi="Segoe UI Semibold"/>
          <w:b/>
          <w:color w:val="1A4796"/>
        </w:rPr>
        <w:t>La</w:t>
      </w:r>
      <w:r>
        <w:rPr>
          <w:rFonts w:ascii="Segoe UI Semibold" w:hAnsi="Segoe UI Semibold"/>
          <w:b/>
          <w:color w:val="1A4796"/>
          <w:spacing w:val="-17"/>
        </w:rPr>
        <w:t> </w:t>
      </w:r>
      <w:r>
        <w:rPr>
          <w:rFonts w:ascii="Segoe UI Semibold" w:hAnsi="Segoe UI Semibold"/>
          <w:b/>
          <w:color w:val="1A4796"/>
        </w:rPr>
        <w:t>Cuban</w:t>
      </w:r>
      <w:r>
        <w:rPr>
          <w:rFonts w:ascii="Segoe UI Semibold" w:hAnsi="Segoe UI Semibold"/>
          <w:b/>
          <w:color w:val="1A4796"/>
          <w:spacing w:val="-16"/>
        </w:rPr>
        <w:t> </w:t>
      </w:r>
      <w:r>
        <w:rPr>
          <w:rFonts w:ascii="Segoe UI Semibold" w:hAnsi="Segoe UI Semibold"/>
          <w:b/>
          <w:color w:val="1A4796"/>
        </w:rPr>
        <w:t>Democracy</w:t>
      </w:r>
      <w:r>
        <w:rPr>
          <w:rFonts w:ascii="Segoe UI Semibold" w:hAnsi="Segoe UI Semibold"/>
          <w:b/>
          <w:color w:val="1A4796"/>
          <w:spacing w:val="-17"/>
        </w:rPr>
        <w:t> </w:t>
      </w:r>
      <w:r>
        <w:rPr>
          <w:rFonts w:ascii="Segoe UI Semibold" w:hAnsi="Segoe UI Semibold"/>
          <w:b/>
          <w:color w:val="1A4796"/>
        </w:rPr>
        <w:t>Act</w:t>
      </w:r>
      <w:r>
        <w:rPr>
          <w:rFonts w:ascii="Segoe UI Semibold" w:hAnsi="Segoe UI Semibold"/>
          <w:b/>
          <w:color w:val="1A4796"/>
          <w:spacing w:val="-16"/>
        </w:rPr>
        <w:t> </w:t>
      </w:r>
      <w:r>
        <w:rPr>
          <w:rFonts w:ascii="Segoe UI Semibold" w:hAnsi="Segoe UI Semibold"/>
          <w:b/>
          <w:color w:val="1A4796"/>
        </w:rPr>
        <w:t>of</w:t>
      </w:r>
      <w:r>
        <w:rPr>
          <w:rFonts w:ascii="Segoe UI Semibold" w:hAnsi="Segoe UI Semibold"/>
          <w:b/>
          <w:color w:val="1A4796"/>
          <w:spacing w:val="-17"/>
        </w:rPr>
        <w:t> </w:t>
      </w:r>
      <w:r>
        <w:rPr>
          <w:rFonts w:ascii="Segoe UI Semibold" w:hAnsi="Segoe UI Semibold"/>
          <w:b/>
          <w:color w:val="1A4796"/>
        </w:rPr>
        <w:t>1992</w:t>
      </w:r>
      <w:r>
        <w:rPr>
          <w:rFonts w:ascii="Segoe UI Semibold" w:hAnsi="Segoe UI Semibold"/>
          <w:b/>
          <w:color w:val="1A4796"/>
          <w:spacing w:val="-16"/>
        </w:rPr>
        <w:t> </w:t>
      </w:r>
      <w:r>
        <w:rPr>
          <w:rFonts w:ascii="Segoe UI Semibold" w:hAnsi="Segoe UI Semibold"/>
          <w:b/>
          <w:color w:val="1A4796"/>
        </w:rPr>
        <w:t>(«</w:t>
      </w:r>
      <w:r>
        <w:rPr>
          <w:rFonts w:ascii="Segoe UI Semibold" w:hAnsi="Segoe UI Semibold"/>
          <w:b/>
          <w:color w:val="1A4796"/>
          <w:spacing w:val="-17"/>
        </w:rPr>
        <w:t> </w:t>
      </w:r>
      <w:r>
        <w:rPr>
          <w:rFonts w:ascii="Segoe UI Semibold" w:hAnsi="Segoe UI Semibold"/>
          <w:b/>
          <w:color w:val="1A4796"/>
        </w:rPr>
        <w:t>Loi pour la démocratie à Cuba de 1992 ») ou</w:t>
      </w:r>
      <w:r>
        <w:rPr>
          <w:rFonts w:ascii="Segoe UI Semibold" w:hAnsi="Segoe UI Semibold"/>
          <w:b/>
          <w:color w:val="1A4796"/>
          <w:spacing w:val="-17"/>
        </w:rPr>
        <w:t> </w:t>
      </w:r>
      <w:r>
        <w:rPr>
          <w:rFonts w:ascii="Segoe UI Semibold" w:hAnsi="Segoe UI Semibold"/>
          <w:b/>
          <w:color w:val="1A4796"/>
        </w:rPr>
        <w:t>Loi</w:t>
      </w:r>
      <w:r>
        <w:rPr>
          <w:rFonts w:ascii="Segoe UI Semibold" w:hAnsi="Segoe UI Semibold"/>
          <w:b/>
          <w:color w:val="1A4796"/>
          <w:spacing w:val="-16"/>
        </w:rPr>
        <w:t> </w:t>
      </w:r>
      <w:r>
        <w:rPr>
          <w:rFonts w:ascii="Segoe UI Semibold" w:hAnsi="Segoe UI Semibold"/>
          <w:b/>
          <w:color w:val="1A4796"/>
        </w:rPr>
        <w:t>Torricelli</w:t>
      </w:r>
      <w:r>
        <w:rPr>
          <w:rFonts w:ascii="Segoe UI Semibold" w:hAnsi="Segoe UI Semibold"/>
          <w:b/>
          <w:color w:val="1A4796"/>
          <w:spacing w:val="-17"/>
        </w:rPr>
        <w:t> </w:t>
      </w:r>
      <w:r>
        <w:rPr>
          <w:rFonts w:ascii="Segoe UI Semibold" w:hAnsi="Segoe UI Semibold"/>
          <w:b/>
          <w:color w:val="1A4796"/>
        </w:rPr>
        <w:t>:</w:t>
      </w:r>
      <w:r>
        <w:rPr>
          <w:rFonts w:ascii="Segoe UI Semibold" w:hAnsi="Segoe UI Semibold"/>
          <w:b/>
          <w:color w:val="1A4796"/>
          <w:spacing w:val="-16"/>
        </w:rPr>
        <w:t> </w:t>
      </w:r>
      <w:r>
        <w:rPr>
          <w:color w:val="231F20"/>
        </w:rPr>
        <w:t>Elle</w:t>
      </w:r>
      <w:r>
        <w:rPr>
          <w:color w:val="231F20"/>
          <w:spacing w:val="-12"/>
        </w:rPr>
        <w:t> </w:t>
      </w:r>
      <w:r>
        <w:rPr>
          <w:color w:val="231F20"/>
        </w:rPr>
        <w:t>interdit</w:t>
      </w:r>
      <w:r>
        <w:rPr>
          <w:color w:val="231F20"/>
          <w:spacing w:val="-12"/>
        </w:rPr>
        <w:t> </w:t>
      </w:r>
      <w:r>
        <w:rPr>
          <w:color w:val="231F20"/>
        </w:rPr>
        <w:t>aux</w:t>
      </w:r>
      <w:r>
        <w:rPr>
          <w:color w:val="231F20"/>
          <w:spacing w:val="-12"/>
        </w:rPr>
        <w:t> </w:t>
      </w:r>
      <w:r>
        <w:rPr>
          <w:color w:val="231F20"/>
        </w:rPr>
        <w:t>filiales </w:t>
      </w:r>
      <w:r>
        <w:rPr>
          <w:color w:val="231F20"/>
          <w:spacing w:val="-2"/>
        </w:rPr>
        <w:t>des</w:t>
      </w:r>
      <w:r>
        <w:rPr>
          <w:color w:val="231F20"/>
          <w:spacing w:val="-16"/>
        </w:rPr>
        <w:t> </w:t>
      </w:r>
      <w:r>
        <w:rPr>
          <w:color w:val="231F20"/>
          <w:spacing w:val="-2"/>
        </w:rPr>
        <w:t>sociétés</w:t>
      </w:r>
      <w:r>
        <w:rPr>
          <w:color w:val="231F20"/>
          <w:spacing w:val="-14"/>
        </w:rPr>
        <w:t> </w:t>
      </w:r>
      <w:r>
        <w:rPr>
          <w:color w:val="231F20"/>
          <w:spacing w:val="-2"/>
        </w:rPr>
        <w:t>étasuniennes</w:t>
      </w:r>
      <w:r>
        <w:rPr>
          <w:color w:val="231F20"/>
          <w:spacing w:val="-14"/>
        </w:rPr>
        <w:t> </w:t>
      </w:r>
      <w:r>
        <w:rPr>
          <w:color w:val="231F20"/>
          <w:spacing w:val="-2"/>
        </w:rPr>
        <w:t>dans</w:t>
      </w:r>
      <w:r>
        <w:rPr>
          <w:color w:val="231F20"/>
          <w:spacing w:val="-14"/>
        </w:rPr>
        <w:t> </w:t>
      </w:r>
      <w:r>
        <w:rPr>
          <w:color w:val="231F20"/>
          <w:spacing w:val="-2"/>
        </w:rPr>
        <w:t>des</w:t>
      </w:r>
      <w:r>
        <w:rPr>
          <w:color w:val="231F20"/>
          <w:spacing w:val="-14"/>
        </w:rPr>
        <w:t> </w:t>
      </w:r>
      <w:r>
        <w:rPr>
          <w:color w:val="231F20"/>
          <w:spacing w:val="-4"/>
        </w:rPr>
        <w:t>pays</w:t>
      </w:r>
    </w:p>
    <w:p>
      <w:pPr>
        <w:pStyle w:val="BodyText"/>
        <w:spacing w:before="77"/>
        <w:ind w:left="673" w:right="1133"/>
      </w:pPr>
      <w:r>
        <w:rPr/>
        <w:br w:type="column"/>
      </w:r>
      <w:r>
        <w:rPr>
          <w:color w:val="231F20"/>
          <w:spacing w:val="-4"/>
        </w:rPr>
        <w:t>tiers</w:t>
      </w:r>
      <w:r>
        <w:rPr>
          <w:color w:val="231F20"/>
          <w:spacing w:val="-11"/>
        </w:rPr>
        <w:t> </w:t>
      </w:r>
      <w:r>
        <w:rPr>
          <w:color w:val="231F20"/>
          <w:spacing w:val="-4"/>
        </w:rPr>
        <w:t>de</w:t>
      </w:r>
      <w:r>
        <w:rPr>
          <w:color w:val="231F20"/>
          <w:spacing w:val="-11"/>
        </w:rPr>
        <w:t> </w:t>
      </w:r>
      <w:r>
        <w:rPr>
          <w:color w:val="231F20"/>
          <w:spacing w:val="-4"/>
        </w:rPr>
        <w:t>faire</w:t>
      </w:r>
      <w:r>
        <w:rPr>
          <w:color w:val="231F20"/>
          <w:spacing w:val="-11"/>
        </w:rPr>
        <w:t> </w:t>
      </w:r>
      <w:r>
        <w:rPr>
          <w:color w:val="231F20"/>
          <w:spacing w:val="-4"/>
        </w:rPr>
        <w:t>du</w:t>
      </w:r>
      <w:r>
        <w:rPr>
          <w:color w:val="231F20"/>
          <w:spacing w:val="-11"/>
        </w:rPr>
        <w:t> </w:t>
      </w:r>
      <w:r>
        <w:rPr>
          <w:color w:val="231F20"/>
          <w:spacing w:val="-4"/>
        </w:rPr>
        <w:t>commerce</w:t>
      </w:r>
      <w:r>
        <w:rPr>
          <w:color w:val="231F20"/>
          <w:spacing w:val="-11"/>
        </w:rPr>
        <w:t> </w:t>
      </w:r>
      <w:r>
        <w:rPr>
          <w:color w:val="231F20"/>
          <w:spacing w:val="-4"/>
        </w:rPr>
        <w:t>de</w:t>
      </w:r>
      <w:r>
        <w:rPr>
          <w:color w:val="231F20"/>
          <w:spacing w:val="-11"/>
        </w:rPr>
        <w:t> </w:t>
      </w:r>
      <w:r>
        <w:rPr>
          <w:color w:val="231F20"/>
          <w:spacing w:val="-4"/>
        </w:rPr>
        <w:t>biens</w:t>
      </w:r>
      <w:r>
        <w:rPr>
          <w:color w:val="231F20"/>
          <w:spacing w:val="-11"/>
        </w:rPr>
        <w:t> </w:t>
      </w:r>
      <w:r>
        <w:rPr>
          <w:color w:val="231F20"/>
          <w:spacing w:val="-4"/>
        </w:rPr>
        <w:t>avec </w:t>
      </w:r>
      <w:r>
        <w:rPr>
          <w:color w:val="231F20"/>
        </w:rPr>
        <w:t>Cuba</w:t>
      </w:r>
      <w:r>
        <w:rPr>
          <w:color w:val="231F20"/>
          <w:spacing w:val="-8"/>
        </w:rPr>
        <w:t> </w:t>
      </w:r>
      <w:r>
        <w:rPr>
          <w:color w:val="231F20"/>
        </w:rPr>
        <w:t>ou</w:t>
      </w:r>
      <w:r>
        <w:rPr>
          <w:color w:val="231F20"/>
          <w:spacing w:val="-8"/>
        </w:rPr>
        <w:t> </w:t>
      </w:r>
      <w:r>
        <w:rPr>
          <w:color w:val="231F20"/>
        </w:rPr>
        <w:t>des</w:t>
      </w:r>
      <w:r>
        <w:rPr>
          <w:color w:val="231F20"/>
          <w:spacing w:val="-8"/>
        </w:rPr>
        <w:t> </w:t>
      </w:r>
      <w:r>
        <w:rPr>
          <w:color w:val="231F20"/>
        </w:rPr>
        <w:t>ressortissants</w:t>
      </w:r>
      <w:r>
        <w:rPr>
          <w:color w:val="231F20"/>
          <w:spacing w:val="-8"/>
        </w:rPr>
        <w:t> </w:t>
      </w:r>
      <w:r>
        <w:rPr>
          <w:color w:val="231F20"/>
        </w:rPr>
        <w:t>cubains.</w:t>
      </w:r>
      <w:r>
        <w:rPr>
          <w:color w:val="231F20"/>
          <w:spacing w:val="-8"/>
        </w:rPr>
        <w:t> </w:t>
      </w:r>
      <w:r>
        <w:rPr>
          <w:color w:val="231F20"/>
        </w:rPr>
        <w:t>Elle interdit aux navires marchands de pays </w:t>
      </w:r>
      <w:r>
        <w:rPr>
          <w:color w:val="231F20"/>
          <w:spacing w:val="-4"/>
        </w:rPr>
        <w:t>tiers</w:t>
      </w:r>
      <w:r>
        <w:rPr>
          <w:color w:val="231F20"/>
          <w:spacing w:val="-11"/>
        </w:rPr>
        <w:t> </w:t>
      </w:r>
      <w:r>
        <w:rPr>
          <w:color w:val="231F20"/>
          <w:spacing w:val="-4"/>
        </w:rPr>
        <w:t>ayant</w:t>
      </w:r>
      <w:r>
        <w:rPr>
          <w:color w:val="231F20"/>
          <w:spacing w:val="-11"/>
        </w:rPr>
        <w:t> </w:t>
      </w:r>
      <w:r>
        <w:rPr>
          <w:color w:val="231F20"/>
          <w:spacing w:val="-4"/>
        </w:rPr>
        <w:t>accosté</w:t>
      </w:r>
      <w:r>
        <w:rPr>
          <w:color w:val="231F20"/>
          <w:spacing w:val="-11"/>
        </w:rPr>
        <w:t> </w:t>
      </w:r>
      <w:r>
        <w:rPr>
          <w:color w:val="231F20"/>
          <w:spacing w:val="-4"/>
        </w:rPr>
        <w:t>à</w:t>
      </w:r>
      <w:r>
        <w:rPr>
          <w:color w:val="231F20"/>
          <w:spacing w:val="-11"/>
        </w:rPr>
        <w:t> </w:t>
      </w:r>
      <w:r>
        <w:rPr>
          <w:color w:val="231F20"/>
          <w:spacing w:val="-4"/>
        </w:rPr>
        <w:t>Cuba</w:t>
      </w:r>
      <w:r>
        <w:rPr>
          <w:color w:val="231F20"/>
          <w:spacing w:val="-11"/>
        </w:rPr>
        <w:t> </w:t>
      </w:r>
      <w:r>
        <w:rPr>
          <w:color w:val="231F20"/>
          <w:spacing w:val="-4"/>
        </w:rPr>
        <w:t>d’accoster</w:t>
      </w:r>
      <w:r>
        <w:rPr>
          <w:color w:val="231F20"/>
          <w:spacing w:val="-11"/>
        </w:rPr>
        <w:t> </w:t>
      </w:r>
      <w:r>
        <w:rPr>
          <w:color w:val="231F20"/>
          <w:spacing w:val="-4"/>
        </w:rPr>
        <w:t>aux </w:t>
      </w:r>
      <w:r>
        <w:rPr>
          <w:color w:val="231F20"/>
        </w:rPr>
        <w:t>États-Unis pendant cent quatre-vingts </w:t>
      </w:r>
      <w:r>
        <w:rPr>
          <w:color w:val="231F20"/>
          <w:spacing w:val="-2"/>
        </w:rPr>
        <w:t>jours</w:t>
      </w:r>
      <w:r>
        <w:rPr>
          <w:color w:val="231F20"/>
          <w:spacing w:val="-15"/>
        </w:rPr>
        <w:t> </w:t>
      </w:r>
      <w:r>
        <w:rPr>
          <w:color w:val="231F20"/>
          <w:spacing w:val="-2"/>
        </w:rPr>
        <w:t>à</w:t>
      </w:r>
      <w:r>
        <w:rPr>
          <w:color w:val="231F20"/>
          <w:spacing w:val="-14"/>
        </w:rPr>
        <w:t> </w:t>
      </w:r>
      <w:r>
        <w:rPr>
          <w:color w:val="231F20"/>
          <w:spacing w:val="-2"/>
        </w:rPr>
        <w:t>moins</w:t>
      </w:r>
      <w:r>
        <w:rPr>
          <w:color w:val="231F20"/>
          <w:spacing w:val="-15"/>
        </w:rPr>
        <w:t> </w:t>
      </w:r>
      <w:r>
        <w:rPr>
          <w:color w:val="231F20"/>
          <w:spacing w:val="-2"/>
        </w:rPr>
        <w:t>d’en</w:t>
      </w:r>
      <w:r>
        <w:rPr>
          <w:color w:val="231F20"/>
          <w:spacing w:val="-14"/>
        </w:rPr>
        <w:t> </w:t>
      </w:r>
      <w:r>
        <w:rPr>
          <w:color w:val="231F20"/>
          <w:spacing w:val="-2"/>
        </w:rPr>
        <w:t>recevoir</w:t>
      </w:r>
      <w:r>
        <w:rPr>
          <w:color w:val="231F20"/>
          <w:spacing w:val="-15"/>
        </w:rPr>
        <w:t> </w:t>
      </w:r>
      <w:r>
        <w:rPr>
          <w:color w:val="231F20"/>
          <w:spacing w:val="-2"/>
        </w:rPr>
        <w:t>l’autorisation </w:t>
      </w:r>
      <w:r>
        <w:rPr>
          <w:color w:val="231F20"/>
        </w:rPr>
        <w:t>du secrétaire au Trésor.</w:t>
      </w:r>
    </w:p>
    <w:p>
      <w:pPr>
        <w:pStyle w:val="BodyText"/>
        <w:spacing w:before="165"/>
        <w:ind w:left="673" w:right="1131"/>
      </w:pPr>
      <w:r>
        <w:rPr/>
        <mc:AlternateContent>
          <mc:Choice Requires="wps">
            <w:drawing>
              <wp:anchor distT="0" distB="0" distL="0" distR="0" allowOverlap="1" layoutInCell="1" locked="0" behindDoc="0" simplePos="0" relativeHeight="15830528">
                <wp:simplePos x="0" y="0"/>
                <wp:positionH relativeFrom="page">
                  <wp:posOffset>4031997</wp:posOffset>
                </wp:positionH>
                <wp:positionV relativeFrom="paragraph">
                  <wp:posOffset>188573</wp:posOffset>
                </wp:positionV>
                <wp:extent cx="59690" cy="59690"/>
                <wp:effectExtent l="0" t="0" r="0" b="0"/>
                <wp:wrapNone/>
                <wp:docPr id="417" name="Graphic 417"/>
                <wp:cNvGraphicFramePr>
                  <a:graphicFrameLocks/>
                </wp:cNvGraphicFramePr>
                <a:graphic>
                  <a:graphicData uri="http://schemas.microsoft.com/office/word/2010/wordprocessingShape">
                    <wps:wsp>
                      <wps:cNvPr id="417" name="Graphic 41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848337pt;width:4.7pt;height:4.7pt;mso-position-horizontal-relative:page;mso-position-vertical-relative:paragraph;z-index:15830528" id="docshape347" coordorigin="6350,297" coordsize="94,94" path="m6396,297l6378,301,6363,311,6353,325,6350,344,6353,362,6363,377,6378,387,6396,390,6414,387,6429,377,6439,362,6443,344,6439,325,6429,311,6414,301,6396,297xe" filled="true" fillcolor="#1a4796" stroked="false">
                <v:path arrowok="t"/>
                <v:fill type="solid"/>
                <w10:wrap type="none"/>
              </v:shape>
            </w:pict>
          </mc:Fallback>
        </mc:AlternateContent>
      </w:r>
      <w:r>
        <w:rPr>
          <w:rFonts w:ascii="Segoe UI Semibold" w:hAnsi="Segoe UI Semibold"/>
          <w:b/>
          <w:color w:val="1A4796"/>
        </w:rPr>
        <w:t>La Cuban Liberty and Democratic </w:t>
      </w:r>
      <w:r>
        <w:rPr>
          <w:rFonts w:ascii="Segoe UI Semibold" w:hAnsi="Segoe UI Semibold"/>
          <w:b/>
          <w:color w:val="1A4796"/>
          <w:spacing w:val="-14"/>
        </w:rPr>
        <w:t>Solidarity</w:t>
      </w:r>
      <w:r>
        <w:rPr>
          <w:rFonts w:ascii="Segoe UI Semibold" w:hAnsi="Segoe UI Semibold"/>
          <w:b/>
          <w:color w:val="1A4796"/>
          <w:spacing w:val="-3"/>
        </w:rPr>
        <w:t> </w:t>
      </w:r>
      <w:r>
        <w:rPr>
          <w:rFonts w:ascii="Segoe UI Semibold" w:hAnsi="Segoe UI Semibold"/>
          <w:b/>
          <w:color w:val="1A4796"/>
          <w:spacing w:val="-14"/>
        </w:rPr>
        <w:t>(Libertad)</w:t>
      </w:r>
      <w:r>
        <w:rPr>
          <w:rFonts w:ascii="Segoe UI Semibold" w:hAnsi="Segoe UI Semibold"/>
          <w:b/>
          <w:color w:val="1A4796"/>
          <w:spacing w:val="-2"/>
        </w:rPr>
        <w:t> </w:t>
      </w:r>
      <w:r>
        <w:rPr>
          <w:rFonts w:ascii="Segoe UI Semibold" w:hAnsi="Segoe UI Semibold"/>
          <w:b/>
          <w:color w:val="1A4796"/>
          <w:spacing w:val="-14"/>
        </w:rPr>
        <w:t>Act</w:t>
      </w:r>
      <w:r>
        <w:rPr>
          <w:rFonts w:ascii="Segoe UI Semibold" w:hAnsi="Segoe UI Semibold"/>
          <w:b/>
          <w:color w:val="1A4796"/>
          <w:spacing w:val="-3"/>
        </w:rPr>
        <w:t> </w:t>
      </w:r>
      <w:r>
        <w:rPr>
          <w:rFonts w:ascii="Segoe UI Semibold" w:hAnsi="Segoe UI Semibold"/>
          <w:b/>
          <w:color w:val="1A4796"/>
          <w:spacing w:val="-14"/>
        </w:rPr>
        <w:t>of</w:t>
      </w:r>
      <w:r>
        <w:rPr>
          <w:rFonts w:ascii="Segoe UI Semibold" w:hAnsi="Segoe UI Semibold"/>
          <w:b/>
          <w:color w:val="1A4796"/>
          <w:spacing w:val="-2"/>
        </w:rPr>
        <w:t> </w:t>
      </w:r>
      <w:r>
        <w:rPr>
          <w:rFonts w:ascii="Segoe UI Semibold" w:hAnsi="Segoe UI Semibold"/>
          <w:b/>
          <w:color w:val="1A4796"/>
          <w:spacing w:val="-14"/>
        </w:rPr>
        <w:t>1996</w:t>
      </w:r>
      <w:r>
        <w:rPr>
          <w:rFonts w:ascii="Segoe UI Semibold" w:hAnsi="Segoe UI Semibold"/>
          <w:b/>
          <w:color w:val="1A4796"/>
          <w:spacing w:val="-3"/>
        </w:rPr>
        <w:t> </w:t>
      </w:r>
      <w:r>
        <w:rPr>
          <w:rFonts w:ascii="Segoe UI Semibold" w:hAnsi="Segoe UI Semibold"/>
          <w:b/>
          <w:color w:val="1A4796"/>
          <w:spacing w:val="-14"/>
        </w:rPr>
        <w:t>[«</w:t>
      </w:r>
      <w:r>
        <w:rPr>
          <w:rFonts w:ascii="Segoe UI Semibold" w:hAnsi="Segoe UI Semibold"/>
          <w:b/>
          <w:color w:val="1A4796"/>
          <w:spacing w:val="-2"/>
        </w:rPr>
        <w:t> </w:t>
      </w:r>
      <w:r>
        <w:rPr>
          <w:rFonts w:ascii="Segoe UI Semibold" w:hAnsi="Segoe UI Semibold"/>
          <w:b/>
          <w:color w:val="1A4796"/>
          <w:spacing w:val="-14"/>
        </w:rPr>
        <w:t>Loi</w:t>
      </w:r>
      <w:r>
        <w:rPr>
          <w:rFonts w:ascii="Segoe UI Semibold" w:hAnsi="Segoe UI Semibold"/>
          <w:b/>
          <w:color w:val="1A4796"/>
          <w:spacing w:val="-3"/>
        </w:rPr>
        <w:t> </w:t>
      </w:r>
      <w:r>
        <w:rPr>
          <w:rFonts w:ascii="Segoe UI Semibold" w:hAnsi="Segoe UI Semibold"/>
          <w:b/>
          <w:color w:val="1A4796"/>
          <w:spacing w:val="-14"/>
        </w:rPr>
        <w:t>pour </w:t>
      </w:r>
      <w:r>
        <w:rPr>
          <w:rFonts w:ascii="Segoe UI Semibold" w:hAnsi="Segoe UI Semibold"/>
          <w:b/>
          <w:color w:val="1A4796"/>
          <w:spacing w:val="-4"/>
        </w:rPr>
        <w:t>la</w:t>
      </w:r>
      <w:r>
        <w:rPr>
          <w:rFonts w:ascii="Segoe UI Semibold" w:hAnsi="Segoe UI Semibold"/>
          <w:b/>
          <w:color w:val="1A4796"/>
          <w:spacing w:val="-11"/>
        </w:rPr>
        <w:t> </w:t>
      </w:r>
      <w:r>
        <w:rPr>
          <w:rFonts w:ascii="Segoe UI Semibold" w:hAnsi="Segoe UI Semibold"/>
          <w:b/>
          <w:color w:val="1A4796"/>
          <w:spacing w:val="-4"/>
        </w:rPr>
        <w:t>liberté</w:t>
      </w:r>
      <w:r>
        <w:rPr>
          <w:rFonts w:ascii="Segoe UI Semibold" w:hAnsi="Segoe UI Semibold"/>
          <w:b/>
          <w:color w:val="1A4796"/>
          <w:spacing w:val="-11"/>
        </w:rPr>
        <w:t> </w:t>
      </w:r>
      <w:r>
        <w:rPr>
          <w:rFonts w:ascii="Segoe UI Semibold" w:hAnsi="Segoe UI Semibold"/>
          <w:b/>
          <w:color w:val="1A4796"/>
          <w:spacing w:val="-4"/>
        </w:rPr>
        <w:t>et</w:t>
      </w:r>
      <w:r>
        <w:rPr>
          <w:rFonts w:ascii="Segoe UI Semibold" w:hAnsi="Segoe UI Semibold"/>
          <w:b/>
          <w:color w:val="1A4796"/>
          <w:spacing w:val="-11"/>
        </w:rPr>
        <w:t> </w:t>
      </w:r>
      <w:r>
        <w:rPr>
          <w:rFonts w:ascii="Segoe UI Semibold" w:hAnsi="Segoe UI Semibold"/>
          <w:b/>
          <w:color w:val="1A4796"/>
          <w:spacing w:val="-4"/>
        </w:rPr>
        <w:t>la</w:t>
      </w:r>
      <w:r>
        <w:rPr>
          <w:rFonts w:ascii="Segoe UI Semibold" w:hAnsi="Segoe UI Semibold"/>
          <w:b/>
          <w:color w:val="1A4796"/>
          <w:spacing w:val="-11"/>
        </w:rPr>
        <w:t> </w:t>
      </w:r>
      <w:r>
        <w:rPr>
          <w:rFonts w:ascii="Segoe UI Semibold" w:hAnsi="Segoe UI Semibold"/>
          <w:b/>
          <w:color w:val="1A4796"/>
          <w:spacing w:val="-4"/>
        </w:rPr>
        <w:t>solidarité</w:t>
      </w:r>
      <w:r>
        <w:rPr>
          <w:rFonts w:ascii="Segoe UI Semibold" w:hAnsi="Segoe UI Semibold"/>
          <w:b/>
          <w:color w:val="1A4796"/>
          <w:spacing w:val="-11"/>
        </w:rPr>
        <w:t> </w:t>
      </w:r>
      <w:r>
        <w:rPr>
          <w:rFonts w:ascii="Segoe UI Semibold" w:hAnsi="Segoe UI Semibold"/>
          <w:b/>
          <w:color w:val="1A4796"/>
          <w:spacing w:val="-4"/>
        </w:rPr>
        <w:t>démocratique</w:t>
      </w:r>
      <w:r>
        <w:rPr>
          <w:rFonts w:ascii="Segoe UI Semibold" w:hAnsi="Segoe UI Semibold"/>
          <w:b/>
          <w:color w:val="1A4796"/>
          <w:spacing w:val="-11"/>
        </w:rPr>
        <w:t> </w:t>
      </w:r>
      <w:r>
        <w:rPr>
          <w:rFonts w:ascii="Segoe UI Semibold" w:hAnsi="Segoe UI Semibold"/>
          <w:b/>
          <w:color w:val="1A4796"/>
          <w:spacing w:val="-4"/>
        </w:rPr>
        <w:t>à </w:t>
      </w:r>
      <w:r>
        <w:rPr>
          <w:rFonts w:ascii="Segoe UI Semibold" w:hAnsi="Segoe UI Semibold"/>
          <w:b/>
          <w:color w:val="1A4796"/>
          <w:spacing w:val="-10"/>
        </w:rPr>
        <w:t>Cuba</w:t>
      </w:r>
      <w:r>
        <w:rPr>
          <w:rFonts w:ascii="Segoe UI Semibold" w:hAnsi="Segoe UI Semibold"/>
          <w:b/>
          <w:color w:val="1A4796"/>
          <w:spacing w:val="-5"/>
        </w:rPr>
        <w:t> </w:t>
      </w:r>
      <w:r>
        <w:rPr>
          <w:rFonts w:ascii="Segoe UI Semibold" w:hAnsi="Segoe UI Semibold"/>
          <w:b/>
          <w:color w:val="1A4796"/>
          <w:spacing w:val="-10"/>
        </w:rPr>
        <w:t>(Libertad)</w:t>
      </w:r>
      <w:r>
        <w:rPr>
          <w:rFonts w:ascii="Segoe UI Semibold" w:hAnsi="Segoe UI Semibold"/>
          <w:b/>
          <w:color w:val="1A4796"/>
          <w:spacing w:val="-5"/>
        </w:rPr>
        <w:t> </w:t>
      </w:r>
      <w:r>
        <w:rPr>
          <w:rFonts w:ascii="Segoe UI Semibold" w:hAnsi="Segoe UI Semibold"/>
          <w:b/>
          <w:color w:val="1A4796"/>
          <w:spacing w:val="-10"/>
        </w:rPr>
        <w:t>de</w:t>
      </w:r>
      <w:r>
        <w:rPr>
          <w:rFonts w:ascii="Segoe UI Semibold" w:hAnsi="Segoe UI Semibold"/>
          <w:b/>
          <w:color w:val="1A4796"/>
          <w:spacing w:val="-5"/>
        </w:rPr>
        <w:t> </w:t>
      </w:r>
      <w:r>
        <w:rPr>
          <w:rFonts w:ascii="Segoe UI Semibold" w:hAnsi="Segoe UI Semibold"/>
          <w:b/>
          <w:color w:val="1A4796"/>
          <w:spacing w:val="-10"/>
        </w:rPr>
        <w:t>1996</w:t>
      </w:r>
      <w:r>
        <w:rPr>
          <w:rFonts w:ascii="Segoe UI Semibold" w:hAnsi="Segoe UI Semibold"/>
          <w:b/>
          <w:color w:val="1A4796"/>
          <w:spacing w:val="-5"/>
        </w:rPr>
        <w:t> </w:t>
      </w:r>
      <w:r>
        <w:rPr>
          <w:rFonts w:ascii="Segoe UI Semibold" w:hAnsi="Segoe UI Semibold"/>
          <w:b/>
          <w:color w:val="1A4796"/>
          <w:spacing w:val="-10"/>
        </w:rPr>
        <w:t>»],</w:t>
      </w:r>
      <w:r>
        <w:rPr>
          <w:rFonts w:ascii="Segoe UI Semibold" w:hAnsi="Segoe UI Semibold"/>
          <w:b/>
          <w:color w:val="1A4796"/>
          <w:spacing w:val="-5"/>
        </w:rPr>
        <w:t> </w:t>
      </w:r>
      <w:r>
        <w:rPr>
          <w:rFonts w:ascii="Segoe UI Semibold" w:hAnsi="Segoe UI Semibold"/>
          <w:b/>
          <w:color w:val="1A4796"/>
          <w:spacing w:val="-10"/>
        </w:rPr>
        <w:t>ou</w:t>
      </w:r>
      <w:r>
        <w:rPr>
          <w:rFonts w:ascii="Segoe UI Semibold" w:hAnsi="Segoe UI Semibold"/>
          <w:b/>
          <w:color w:val="1A4796"/>
          <w:spacing w:val="-5"/>
        </w:rPr>
        <w:t> </w:t>
      </w:r>
      <w:r>
        <w:rPr>
          <w:rFonts w:ascii="Segoe UI Semibold" w:hAnsi="Segoe UI Semibold"/>
          <w:b/>
          <w:color w:val="1A4796"/>
          <w:spacing w:val="-10"/>
        </w:rPr>
        <w:t>Loi</w:t>
      </w:r>
      <w:r>
        <w:rPr>
          <w:rFonts w:ascii="Segoe UI Semibold" w:hAnsi="Segoe UI Semibold"/>
          <w:b/>
          <w:color w:val="1A4796"/>
          <w:spacing w:val="-5"/>
        </w:rPr>
        <w:t> </w:t>
      </w:r>
      <w:r>
        <w:rPr>
          <w:rFonts w:ascii="Segoe UI Semibold" w:hAnsi="Segoe UI Semibold"/>
          <w:b/>
          <w:color w:val="1A4796"/>
          <w:spacing w:val="-10"/>
        </w:rPr>
        <w:t>Helms- </w:t>
      </w:r>
      <w:r>
        <w:rPr>
          <w:rFonts w:ascii="Segoe UI Semibold" w:hAnsi="Segoe UI Semibold"/>
          <w:b/>
          <w:color w:val="1A4796"/>
          <w:spacing w:val="-12"/>
        </w:rPr>
        <w:t>Burton</w:t>
      </w:r>
      <w:r>
        <w:rPr>
          <w:rFonts w:ascii="Segoe UI Semibold" w:hAnsi="Segoe UI Semibold"/>
          <w:b/>
          <w:color w:val="1A4796"/>
        </w:rPr>
        <w:t> </w:t>
      </w:r>
      <w:r>
        <w:rPr>
          <w:rFonts w:ascii="Segoe UI Semibold" w:hAnsi="Segoe UI Semibold"/>
          <w:b/>
          <w:color w:val="1A4796"/>
          <w:spacing w:val="-12"/>
        </w:rPr>
        <w:t>:</w:t>
      </w:r>
      <w:r>
        <w:rPr>
          <w:rFonts w:ascii="Segoe UI Semibold" w:hAnsi="Segoe UI Semibold"/>
          <w:b/>
          <w:color w:val="1A4796"/>
          <w:spacing w:val="-4"/>
        </w:rPr>
        <w:t> </w:t>
      </w:r>
      <w:r>
        <w:rPr>
          <w:color w:val="231F20"/>
          <w:spacing w:val="-12"/>
        </w:rPr>
        <w:t>Cette</w:t>
      </w:r>
      <w:r>
        <w:rPr>
          <w:color w:val="231F20"/>
          <w:spacing w:val="-4"/>
        </w:rPr>
        <w:t> </w:t>
      </w:r>
      <w:r>
        <w:rPr>
          <w:color w:val="231F20"/>
          <w:spacing w:val="-12"/>
        </w:rPr>
        <w:t>loi</w:t>
      </w:r>
      <w:r>
        <w:rPr>
          <w:color w:val="231F20"/>
          <w:spacing w:val="-4"/>
        </w:rPr>
        <w:t> </w:t>
      </w:r>
      <w:r>
        <w:rPr>
          <w:color w:val="231F20"/>
          <w:spacing w:val="-12"/>
        </w:rPr>
        <w:t>codifie</w:t>
      </w:r>
      <w:r>
        <w:rPr>
          <w:color w:val="231F20"/>
          <w:spacing w:val="-4"/>
        </w:rPr>
        <w:t> </w:t>
      </w:r>
      <w:r>
        <w:rPr>
          <w:color w:val="231F20"/>
          <w:spacing w:val="-12"/>
        </w:rPr>
        <w:t>les</w:t>
      </w:r>
      <w:r>
        <w:rPr>
          <w:color w:val="231F20"/>
          <w:spacing w:val="-4"/>
        </w:rPr>
        <w:t> </w:t>
      </w:r>
      <w:r>
        <w:rPr>
          <w:color w:val="231F20"/>
          <w:spacing w:val="-12"/>
        </w:rPr>
        <w:t>dispositions</w:t>
      </w:r>
      <w:r>
        <w:rPr>
          <w:color w:val="231F20"/>
          <w:spacing w:val="-4"/>
        </w:rPr>
        <w:t> </w:t>
      </w:r>
      <w:r>
        <w:rPr>
          <w:color w:val="231F20"/>
          <w:spacing w:val="-12"/>
        </w:rPr>
        <w:t>du </w:t>
      </w:r>
      <w:r>
        <w:rPr>
          <w:color w:val="231F20"/>
          <w:spacing w:val="-6"/>
        </w:rPr>
        <w:t>blocus,</w:t>
      </w:r>
      <w:r>
        <w:rPr>
          <w:color w:val="231F20"/>
          <w:spacing w:val="-11"/>
        </w:rPr>
        <w:t> </w:t>
      </w:r>
      <w:r>
        <w:rPr>
          <w:color w:val="231F20"/>
          <w:spacing w:val="-6"/>
        </w:rPr>
        <w:t>élargit</w:t>
      </w:r>
      <w:r>
        <w:rPr>
          <w:color w:val="231F20"/>
          <w:spacing w:val="-10"/>
        </w:rPr>
        <w:t> </w:t>
      </w:r>
      <w:r>
        <w:rPr>
          <w:color w:val="231F20"/>
          <w:spacing w:val="-6"/>
        </w:rPr>
        <w:t>leur</w:t>
      </w:r>
      <w:r>
        <w:rPr>
          <w:color w:val="231F20"/>
          <w:spacing w:val="-11"/>
        </w:rPr>
        <w:t> </w:t>
      </w:r>
      <w:r>
        <w:rPr>
          <w:color w:val="231F20"/>
          <w:spacing w:val="-6"/>
        </w:rPr>
        <w:t>portée</w:t>
      </w:r>
      <w:r>
        <w:rPr>
          <w:color w:val="231F20"/>
          <w:spacing w:val="-10"/>
        </w:rPr>
        <w:t> </w:t>
      </w:r>
      <w:r>
        <w:rPr>
          <w:color w:val="231F20"/>
          <w:spacing w:val="-6"/>
        </w:rPr>
        <w:t>extraterritoriale, </w:t>
      </w:r>
      <w:r>
        <w:rPr>
          <w:color w:val="231F20"/>
          <w:spacing w:val="-8"/>
        </w:rPr>
        <w:t>permet d’infliger des sanctions aux cadres </w:t>
      </w:r>
      <w:r>
        <w:rPr>
          <w:color w:val="231F20"/>
        </w:rPr>
        <w:t>de sociétés étrangères qui feraient des </w:t>
      </w:r>
      <w:r>
        <w:rPr>
          <w:color w:val="231F20"/>
          <w:spacing w:val="-16"/>
        </w:rPr>
        <w:t>transactions</w:t>
      </w:r>
      <w:r>
        <w:rPr>
          <w:color w:val="231F20"/>
          <w:spacing w:val="-1"/>
        </w:rPr>
        <w:t> </w:t>
      </w:r>
      <w:r>
        <w:rPr>
          <w:color w:val="231F20"/>
          <w:spacing w:val="-16"/>
        </w:rPr>
        <w:t>concernant</w:t>
      </w:r>
      <w:r>
        <w:rPr>
          <w:color w:val="231F20"/>
        </w:rPr>
        <w:t> </w:t>
      </w:r>
      <w:r>
        <w:rPr>
          <w:color w:val="231F20"/>
          <w:spacing w:val="-16"/>
        </w:rPr>
        <w:t>des</w:t>
      </w:r>
      <w:r>
        <w:rPr>
          <w:color w:val="231F20"/>
          <w:spacing w:val="-1"/>
        </w:rPr>
        <w:t> </w:t>
      </w:r>
      <w:r>
        <w:rPr>
          <w:color w:val="231F20"/>
          <w:spacing w:val="-16"/>
        </w:rPr>
        <w:t>biens</w:t>
      </w:r>
      <w:r>
        <w:rPr>
          <w:color w:val="231F20"/>
        </w:rPr>
        <w:t> </w:t>
      </w:r>
      <w:r>
        <w:rPr>
          <w:color w:val="231F20"/>
          <w:spacing w:val="-16"/>
        </w:rPr>
        <w:t>étasuniens </w:t>
      </w:r>
      <w:r>
        <w:rPr>
          <w:color w:val="231F20"/>
        </w:rPr>
        <w:t>nationalisés</w:t>
      </w:r>
      <w:r>
        <w:rPr>
          <w:color w:val="231F20"/>
          <w:spacing w:val="-17"/>
        </w:rPr>
        <w:t> </w:t>
      </w:r>
      <w:r>
        <w:rPr>
          <w:color w:val="231F20"/>
        </w:rPr>
        <w:t>à</w:t>
      </w:r>
      <w:r>
        <w:rPr>
          <w:color w:val="231F20"/>
          <w:spacing w:val="-16"/>
        </w:rPr>
        <w:t> </w:t>
      </w:r>
      <w:r>
        <w:rPr>
          <w:color w:val="231F20"/>
        </w:rPr>
        <w:t>Cuba</w:t>
      </w:r>
      <w:r>
        <w:rPr>
          <w:color w:val="231F20"/>
          <w:spacing w:val="-17"/>
        </w:rPr>
        <w:t> </w:t>
      </w:r>
      <w:r>
        <w:rPr>
          <w:color w:val="231F20"/>
        </w:rPr>
        <w:t>et</w:t>
      </w:r>
      <w:r>
        <w:rPr>
          <w:color w:val="231F20"/>
          <w:spacing w:val="-16"/>
        </w:rPr>
        <w:t> </w:t>
      </w:r>
      <w:r>
        <w:rPr>
          <w:color w:val="231F20"/>
        </w:rPr>
        <w:t>les</w:t>
      </w:r>
      <w:r>
        <w:rPr>
          <w:color w:val="231F20"/>
          <w:spacing w:val="-17"/>
        </w:rPr>
        <w:t> </w:t>
      </w:r>
      <w:r>
        <w:rPr>
          <w:color w:val="231F20"/>
        </w:rPr>
        <w:t>menace</w:t>
      </w:r>
      <w:r>
        <w:rPr>
          <w:color w:val="231F20"/>
          <w:spacing w:val="-16"/>
        </w:rPr>
        <w:t> </w:t>
      </w:r>
      <w:r>
        <w:rPr>
          <w:color w:val="231F20"/>
        </w:rPr>
        <w:t>de</w:t>
      </w:r>
      <w:r>
        <w:rPr>
          <w:color w:val="231F20"/>
          <w:spacing w:val="-16"/>
        </w:rPr>
        <w:t> </w:t>
      </w:r>
      <w:r>
        <w:rPr>
          <w:color w:val="231F20"/>
        </w:rPr>
        <w:t>les </w:t>
      </w:r>
      <w:r>
        <w:rPr>
          <w:color w:val="231F20"/>
          <w:spacing w:val="-8"/>
        </w:rPr>
        <w:t>présenter</w:t>
      </w:r>
      <w:r>
        <w:rPr>
          <w:color w:val="231F20"/>
          <w:spacing w:val="-9"/>
        </w:rPr>
        <w:t> </w:t>
      </w:r>
      <w:r>
        <w:rPr>
          <w:color w:val="231F20"/>
          <w:spacing w:val="-8"/>
        </w:rPr>
        <w:t>devant des</w:t>
      </w:r>
      <w:r>
        <w:rPr>
          <w:color w:val="231F20"/>
          <w:spacing w:val="-9"/>
        </w:rPr>
        <w:t> </w:t>
      </w:r>
      <w:r>
        <w:rPr>
          <w:color w:val="231F20"/>
          <w:spacing w:val="-8"/>
        </w:rPr>
        <w:t>cours des</w:t>
      </w:r>
      <w:r>
        <w:rPr>
          <w:color w:val="231F20"/>
          <w:spacing w:val="-9"/>
        </w:rPr>
        <w:t> </w:t>
      </w:r>
      <w:r>
        <w:rPr>
          <w:color w:val="231F20"/>
          <w:spacing w:val="-8"/>
        </w:rPr>
        <w:t>États-Unis. </w:t>
      </w:r>
      <w:r>
        <w:rPr>
          <w:color w:val="231F20"/>
          <w:spacing w:val="-6"/>
        </w:rPr>
        <w:t>Elle a réduit les prérogatives du président </w:t>
      </w:r>
      <w:r>
        <w:rPr>
          <w:color w:val="231F20"/>
          <w:spacing w:val="-4"/>
        </w:rPr>
        <w:t>pour</w:t>
      </w:r>
      <w:r>
        <w:rPr>
          <w:color w:val="231F20"/>
          <w:spacing w:val="-24"/>
        </w:rPr>
        <w:t> </w:t>
      </w:r>
      <w:r>
        <w:rPr>
          <w:color w:val="231F20"/>
          <w:spacing w:val="-4"/>
        </w:rPr>
        <w:t>suspendre</w:t>
      </w:r>
      <w:r>
        <w:rPr>
          <w:color w:val="231F20"/>
          <w:spacing w:val="-24"/>
        </w:rPr>
        <w:t> </w:t>
      </w:r>
      <w:r>
        <w:rPr>
          <w:color w:val="231F20"/>
          <w:spacing w:val="-4"/>
        </w:rPr>
        <w:t>cette</w:t>
      </w:r>
      <w:r>
        <w:rPr>
          <w:color w:val="231F20"/>
          <w:spacing w:val="-24"/>
        </w:rPr>
        <w:t> </w:t>
      </w:r>
      <w:r>
        <w:rPr>
          <w:color w:val="231F20"/>
          <w:spacing w:val="-4"/>
        </w:rPr>
        <w:t>politique.</w:t>
      </w:r>
    </w:p>
    <w:p>
      <w:pPr>
        <w:pStyle w:val="BodyText"/>
        <w:spacing w:before="170"/>
        <w:ind w:left="673" w:right="1134"/>
      </w:pPr>
      <w:r>
        <w:rPr/>
        <mc:AlternateContent>
          <mc:Choice Requires="wps">
            <w:drawing>
              <wp:anchor distT="0" distB="0" distL="0" distR="0" allowOverlap="1" layoutInCell="1" locked="0" behindDoc="0" simplePos="0" relativeHeight="15831040">
                <wp:simplePos x="0" y="0"/>
                <wp:positionH relativeFrom="page">
                  <wp:posOffset>4031997</wp:posOffset>
                </wp:positionH>
                <wp:positionV relativeFrom="paragraph">
                  <wp:posOffset>193650</wp:posOffset>
                </wp:positionV>
                <wp:extent cx="59690" cy="59690"/>
                <wp:effectExtent l="0" t="0" r="0" b="0"/>
                <wp:wrapNone/>
                <wp:docPr id="418" name="Graphic 418"/>
                <wp:cNvGraphicFramePr>
                  <a:graphicFrameLocks/>
                </wp:cNvGraphicFramePr>
                <a:graphic>
                  <a:graphicData uri="http://schemas.microsoft.com/office/word/2010/wordprocessingShape">
                    <wps:wsp>
                      <wps:cNvPr id="418" name="Graphic 41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24805pt;width:4.7pt;height:4.7pt;mso-position-horizontal-relative:page;mso-position-vertical-relative:paragraph;z-index:15831040" id="docshape348" coordorigin="6350,305" coordsize="94,94" path="m6396,305l6378,309,6363,319,6353,333,6350,352,6353,370,6363,385,6378,395,6396,398,6414,395,6429,385,6439,370,6443,352,6439,333,6429,319,6414,309,6396,305xe" filled="true" fillcolor="#1a4796" stroked="false">
                <v:path arrowok="t"/>
                <v:fill type="solid"/>
                <w10:wrap type="none"/>
              </v:shape>
            </w:pict>
          </mc:Fallback>
        </mc:AlternateContent>
      </w:r>
      <w:r>
        <w:rPr>
          <w:rFonts w:ascii="Segoe UI Semibold" w:hAnsi="Segoe UI Semibold"/>
          <w:b/>
          <w:color w:val="1A4796"/>
        </w:rPr>
        <w:t>Section 211 de la Loi d’allocations supplémentaires et d’urgence pour </w:t>
      </w:r>
      <w:r>
        <w:rPr>
          <w:rFonts w:ascii="Segoe UI Semibold" w:hAnsi="Segoe UI Semibold"/>
          <w:b/>
          <w:color w:val="1A4796"/>
          <w:spacing w:val="-8"/>
        </w:rPr>
        <w:t>l’exercice</w:t>
      </w:r>
      <w:r>
        <w:rPr>
          <w:rFonts w:ascii="Segoe UI Semibold" w:hAnsi="Segoe UI Semibold"/>
          <w:b/>
          <w:color w:val="1A4796"/>
          <w:spacing w:val="-9"/>
        </w:rPr>
        <w:t> </w:t>
      </w:r>
      <w:r>
        <w:rPr>
          <w:rFonts w:ascii="Segoe UI Semibold" w:hAnsi="Segoe UI Semibold"/>
          <w:b/>
          <w:color w:val="1A4796"/>
          <w:spacing w:val="-8"/>
        </w:rPr>
        <w:t>fiscal 1999</w:t>
      </w:r>
      <w:r>
        <w:rPr>
          <w:rFonts w:ascii="Segoe UI Semibold" w:hAnsi="Segoe UI Semibold"/>
          <w:b/>
          <w:color w:val="1A4796"/>
          <w:spacing w:val="-9"/>
        </w:rPr>
        <w:t> </w:t>
      </w:r>
      <w:r>
        <w:rPr>
          <w:rFonts w:ascii="Segoe UI Semibold" w:hAnsi="Segoe UI Semibold"/>
          <w:b/>
          <w:color w:val="1A4796"/>
          <w:spacing w:val="-8"/>
        </w:rPr>
        <w:t>: </w:t>
      </w:r>
      <w:r>
        <w:rPr>
          <w:color w:val="231F20"/>
          <w:spacing w:val="-8"/>
        </w:rPr>
        <w:t>Aux</w:t>
      </w:r>
      <w:r>
        <w:rPr>
          <w:color w:val="231F20"/>
          <w:spacing w:val="-9"/>
        </w:rPr>
        <w:t> </w:t>
      </w:r>
      <w:r>
        <w:rPr>
          <w:color w:val="231F20"/>
          <w:spacing w:val="-8"/>
        </w:rPr>
        <w:t>termes de</w:t>
      </w:r>
      <w:r>
        <w:rPr>
          <w:color w:val="231F20"/>
          <w:spacing w:val="-9"/>
        </w:rPr>
        <w:t> </w:t>
      </w:r>
      <w:r>
        <w:rPr>
          <w:color w:val="231F20"/>
          <w:spacing w:val="-8"/>
        </w:rPr>
        <w:t>cette </w:t>
      </w:r>
      <w:r>
        <w:rPr>
          <w:color w:val="231F20"/>
        </w:rPr>
        <w:t>loi,</w:t>
      </w:r>
      <w:r>
        <w:rPr>
          <w:color w:val="231F20"/>
          <w:spacing w:val="-16"/>
        </w:rPr>
        <w:t> </w:t>
      </w:r>
      <w:r>
        <w:rPr>
          <w:color w:val="231F20"/>
        </w:rPr>
        <w:t>il</w:t>
      </w:r>
      <w:r>
        <w:rPr>
          <w:color w:val="231F20"/>
          <w:spacing w:val="-16"/>
        </w:rPr>
        <w:t> </w:t>
      </w:r>
      <w:r>
        <w:rPr>
          <w:color w:val="231F20"/>
        </w:rPr>
        <w:t>est</w:t>
      </w:r>
      <w:r>
        <w:rPr>
          <w:color w:val="231F20"/>
          <w:spacing w:val="-16"/>
        </w:rPr>
        <w:t> </w:t>
      </w:r>
      <w:r>
        <w:rPr>
          <w:color w:val="231F20"/>
        </w:rPr>
        <w:t>interdit</w:t>
      </w:r>
      <w:r>
        <w:rPr>
          <w:color w:val="231F20"/>
          <w:spacing w:val="-16"/>
        </w:rPr>
        <w:t> </w:t>
      </w:r>
      <w:r>
        <w:rPr>
          <w:color w:val="231F20"/>
        </w:rPr>
        <w:t>aux</w:t>
      </w:r>
      <w:r>
        <w:rPr>
          <w:color w:val="231F20"/>
          <w:spacing w:val="-16"/>
        </w:rPr>
        <w:t> </w:t>
      </w:r>
      <w:r>
        <w:rPr>
          <w:color w:val="231F20"/>
        </w:rPr>
        <w:t>cours</w:t>
      </w:r>
      <w:r>
        <w:rPr>
          <w:color w:val="231F20"/>
          <w:spacing w:val="-16"/>
        </w:rPr>
        <w:t> </w:t>
      </w:r>
      <w:r>
        <w:rPr>
          <w:color w:val="231F20"/>
        </w:rPr>
        <w:t>étasuniennes de reconnaître les droits de sociétés </w:t>
      </w:r>
      <w:r>
        <w:rPr>
          <w:color w:val="231F20"/>
          <w:spacing w:val="-4"/>
        </w:rPr>
        <w:t>cubaines</w:t>
      </w:r>
      <w:r>
        <w:rPr>
          <w:color w:val="231F20"/>
          <w:spacing w:val="-12"/>
        </w:rPr>
        <w:t> </w:t>
      </w:r>
      <w:r>
        <w:rPr>
          <w:color w:val="231F20"/>
          <w:spacing w:val="-4"/>
        </w:rPr>
        <w:t>sur</w:t>
      </w:r>
      <w:r>
        <w:rPr>
          <w:color w:val="231F20"/>
          <w:spacing w:val="-11"/>
        </w:rPr>
        <w:t> </w:t>
      </w:r>
      <w:r>
        <w:rPr>
          <w:color w:val="231F20"/>
          <w:spacing w:val="-4"/>
        </w:rPr>
        <w:t>les</w:t>
      </w:r>
      <w:r>
        <w:rPr>
          <w:color w:val="231F20"/>
          <w:spacing w:val="-12"/>
        </w:rPr>
        <w:t> </w:t>
      </w:r>
      <w:r>
        <w:rPr>
          <w:color w:val="231F20"/>
          <w:spacing w:val="-4"/>
        </w:rPr>
        <w:t>marques</w:t>
      </w:r>
      <w:r>
        <w:rPr>
          <w:color w:val="231F20"/>
          <w:spacing w:val="-12"/>
        </w:rPr>
        <w:t> </w:t>
      </w:r>
      <w:r>
        <w:rPr>
          <w:color w:val="231F20"/>
          <w:spacing w:val="-4"/>
        </w:rPr>
        <w:t>associées</w:t>
      </w:r>
      <w:r>
        <w:rPr>
          <w:color w:val="231F20"/>
          <w:spacing w:val="-12"/>
        </w:rPr>
        <w:t> </w:t>
      </w:r>
      <w:r>
        <w:rPr>
          <w:color w:val="231F20"/>
          <w:spacing w:val="-4"/>
        </w:rPr>
        <w:t>à</w:t>
      </w:r>
      <w:r>
        <w:rPr>
          <w:color w:val="231F20"/>
          <w:spacing w:val="-11"/>
        </w:rPr>
        <w:t> </w:t>
      </w:r>
      <w:r>
        <w:rPr>
          <w:color w:val="231F20"/>
          <w:spacing w:val="-4"/>
        </w:rPr>
        <w:t>des </w:t>
      </w:r>
      <w:r>
        <w:rPr>
          <w:color w:val="231F20"/>
        </w:rPr>
        <w:t>biens nationalisés.</w:t>
      </w:r>
    </w:p>
    <w:p>
      <w:pPr>
        <w:pStyle w:val="BodyText"/>
        <w:spacing w:before="166"/>
        <w:ind w:left="673" w:right="1131"/>
      </w:pPr>
      <w:r>
        <w:rPr/>
        <mc:AlternateContent>
          <mc:Choice Requires="wps">
            <w:drawing>
              <wp:anchor distT="0" distB="0" distL="0" distR="0" allowOverlap="1" layoutInCell="1" locked="0" behindDoc="0" simplePos="0" relativeHeight="15831552">
                <wp:simplePos x="0" y="0"/>
                <wp:positionH relativeFrom="page">
                  <wp:posOffset>4031997</wp:posOffset>
                </wp:positionH>
                <wp:positionV relativeFrom="paragraph">
                  <wp:posOffset>191371</wp:posOffset>
                </wp:positionV>
                <wp:extent cx="59690" cy="59690"/>
                <wp:effectExtent l="0" t="0" r="0" b="0"/>
                <wp:wrapNone/>
                <wp:docPr id="419" name="Graphic 419"/>
                <wp:cNvGraphicFramePr>
                  <a:graphicFrameLocks/>
                </wp:cNvGraphicFramePr>
                <a:graphic>
                  <a:graphicData uri="http://schemas.microsoft.com/office/word/2010/wordprocessingShape">
                    <wps:wsp>
                      <wps:cNvPr id="419" name="Graphic 41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068587pt;width:4.7pt;height:4.7pt;mso-position-horizontal-relative:page;mso-position-vertical-relative:paragraph;z-index:15831552" id="docshape349" coordorigin="6350,301" coordsize="94,94" path="m6396,301l6378,305,6363,315,6353,330,6350,348,6353,366,6363,381,6378,391,6396,395,6414,391,6429,381,6439,366,6443,348,6439,330,6429,315,6414,305,6396,301xe" filled="true" fillcolor="#1a4796" stroked="false">
                <v:path arrowok="t"/>
                <v:fill type="solid"/>
                <w10:wrap type="none"/>
              </v:shape>
            </w:pict>
          </mc:Fallback>
        </mc:AlternateContent>
      </w:r>
      <w:r>
        <w:rPr>
          <w:rFonts w:ascii="Segoe UI Semibold" w:hAnsi="Segoe UI Semibold"/>
          <w:b/>
          <w:color w:val="1A4796"/>
        </w:rPr>
        <w:t>The</w:t>
      </w:r>
      <w:r>
        <w:rPr>
          <w:rFonts w:ascii="Segoe UI Semibold" w:hAnsi="Segoe UI Semibold"/>
          <w:b/>
          <w:color w:val="1A4796"/>
          <w:spacing w:val="-17"/>
        </w:rPr>
        <w:t> </w:t>
      </w:r>
      <w:r>
        <w:rPr>
          <w:rFonts w:ascii="Segoe UI Semibold" w:hAnsi="Segoe UI Semibold"/>
          <w:b/>
          <w:color w:val="1A4796"/>
        </w:rPr>
        <w:t>Trade</w:t>
      </w:r>
      <w:r>
        <w:rPr>
          <w:rFonts w:ascii="Segoe UI Semibold" w:hAnsi="Segoe UI Semibold"/>
          <w:b/>
          <w:color w:val="1A4796"/>
          <w:spacing w:val="-16"/>
        </w:rPr>
        <w:t> </w:t>
      </w:r>
      <w:r>
        <w:rPr>
          <w:rFonts w:ascii="Segoe UI Semibold" w:hAnsi="Segoe UI Semibold"/>
          <w:b/>
          <w:color w:val="1A4796"/>
        </w:rPr>
        <w:t>Sanction</w:t>
      </w:r>
      <w:r>
        <w:rPr>
          <w:rFonts w:ascii="Segoe UI Semibold" w:hAnsi="Segoe UI Semibold"/>
          <w:b/>
          <w:color w:val="1A4796"/>
          <w:spacing w:val="-17"/>
        </w:rPr>
        <w:t> </w:t>
      </w:r>
      <w:r>
        <w:rPr>
          <w:rFonts w:ascii="Segoe UI Semibold" w:hAnsi="Segoe UI Semibold"/>
          <w:b/>
          <w:color w:val="1A4796"/>
        </w:rPr>
        <w:t>Reform</w:t>
      </w:r>
      <w:r>
        <w:rPr>
          <w:rFonts w:ascii="Segoe UI Semibold" w:hAnsi="Segoe UI Semibold"/>
          <w:b/>
          <w:color w:val="1A4796"/>
          <w:spacing w:val="-16"/>
        </w:rPr>
        <w:t> </w:t>
      </w:r>
      <w:r>
        <w:rPr>
          <w:rFonts w:ascii="Segoe UI Semibold" w:hAnsi="Segoe UI Semibold"/>
          <w:b/>
          <w:color w:val="1A4796"/>
        </w:rPr>
        <w:t>and</w:t>
      </w:r>
      <w:r>
        <w:rPr>
          <w:rFonts w:ascii="Segoe UI Semibold" w:hAnsi="Segoe UI Semibold"/>
          <w:b/>
          <w:color w:val="1A4796"/>
          <w:spacing w:val="-17"/>
        </w:rPr>
        <w:t> </w:t>
      </w:r>
      <w:r>
        <w:rPr>
          <w:rFonts w:ascii="Segoe UI Semibold" w:hAnsi="Segoe UI Semibold"/>
          <w:b/>
          <w:color w:val="1A4796"/>
        </w:rPr>
        <w:t>Export Enhancement Act (2000, Loi relative à la</w:t>
      </w:r>
      <w:r>
        <w:rPr>
          <w:rFonts w:ascii="Segoe UI Semibold" w:hAnsi="Segoe UI Semibold"/>
          <w:b/>
          <w:color w:val="1A4796"/>
          <w:spacing w:val="-17"/>
        </w:rPr>
        <w:t> </w:t>
      </w:r>
      <w:r>
        <w:rPr>
          <w:rFonts w:ascii="Segoe UI Semibold" w:hAnsi="Segoe UI Semibold"/>
          <w:b/>
          <w:color w:val="1A4796"/>
        </w:rPr>
        <w:t>réforme</w:t>
      </w:r>
      <w:r>
        <w:rPr>
          <w:rFonts w:ascii="Segoe UI Semibold" w:hAnsi="Segoe UI Semibold"/>
          <w:b/>
          <w:color w:val="1A4796"/>
          <w:spacing w:val="-16"/>
        </w:rPr>
        <w:t> </w:t>
      </w:r>
      <w:r>
        <w:rPr>
          <w:rFonts w:ascii="Segoe UI Semibold" w:hAnsi="Segoe UI Semibold"/>
          <w:b/>
          <w:color w:val="1A4796"/>
        </w:rPr>
        <w:t>des</w:t>
      </w:r>
      <w:r>
        <w:rPr>
          <w:rFonts w:ascii="Segoe UI Semibold" w:hAnsi="Segoe UI Semibold"/>
          <w:b/>
          <w:color w:val="1A4796"/>
          <w:spacing w:val="-17"/>
        </w:rPr>
        <w:t> </w:t>
      </w:r>
      <w:r>
        <w:rPr>
          <w:rFonts w:ascii="Segoe UI Semibold" w:hAnsi="Segoe UI Semibold"/>
          <w:b/>
          <w:color w:val="1A4796"/>
        </w:rPr>
        <w:t>sanctions</w:t>
      </w:r>
      <w:r>
        <w:rPr>
          <w:rFonts w:ascii="Segoe UI Semibold" w:hAnsi="Segoe UI Semibold"/>
          <w:b/>
          <w:color w:val="1A4796"/>
          <w:spacing w:val="-16"/>
        </w:rPr>
        <w:t> </w:t>
      </w:r>
      <w:r>
        <w:rPr>
          <w:rFonts w:ascii="Segoe UI Semibold" w:hAnsi="Segoe UI Semibold"/>
          <w:b/>
          <w:color w:val="1A4796"/>
        </w:rPr>
        <w:t>commerciales et</w:t>
      </w:r>
      <w:r>
        <w:rPr>
          <w:rFonts w:ascii="Segoe UI Semibold" w:hAnsi="Segoe UI Semibold"/>
          <w:b/>
          <w:color w:val="1A4796"/>
          <w:spacing w:val="-13"/>
        </w:rPr>
        <w:t> </w:t>
      </w:r>
      <w:r>
        <w:rPr>
          <w:rFonts w:ascii="Segoe UI Semibold" w:hAnsi="Segoe UI Semibold"/>
          <w:b/>
          <w:color w:val="1A4796"/>
        </w:rPr>
        <w:t>à</w:t>
      </w:r>
      <w:r>
        <w:rPr>
          <w:rFonts w:ascii="Segoe UI Semibold" w:hAnsi="Segoe UI Semibold"/>
          <w:b/>
          <w:color w:val="1A4796"/>
          <w:spacing w:val="-13"/>
        </w:rPr>
        <w:t> </w:t>
      </w:r>
      <w:r>
        <w:rPr>
          <w:rFonts w:ascii="Segoe UI Semibold" w:hAnsi="Segoe UI Semibold"/>
          <w:b/>
          <w:color w:val="1A4796"/>
        </w:rPr>
        <w:t>l’élargissement</w:t>
      </w:r>
      <w:r>
        <w:rPr>
          <w:rFonts w:ascii="Segoe UI Semibold" w:hAnsi="Segoe UI Semibold"/>
          <w:b/>
          <w:color w:val="1A4796"/>
          <w:spacing w:val="-13"/>
        </w:rPr>
        <w:t> </w:t>
      </w:r>
      <w:r>
        <w:rPr>
          <w:rFonts w:ascii="Segoe UI Semibold" w:hAnsi="Segoe UI Semibold"/>
          <w:b/>
          <w:color w:val="1A4796"/>
        </w:rPr>
        <w:t>des</w:t>
      </w:r>
      <w:r>
        <w:rPr>
          <w:rFonts w:ascii="Segoe UI Semibold" w:hAnsi="Segoe UI Semibold"/>
          <w:b/>
          <w:color w:val="1A4796"/>
          <w:spacing w:val="-13"/>
        </w:rPr>
        <w:t> </w:t>
      </w:r>
      <w:r>
        <w:rPr>
          <w:rFonts w:ascii="Segoe UI Semibold" w:hAnsi="Segoe UI Semibold"/>
          <w:b/>
          <w:color w:val="1A4796"/>
        </w:rPr>
        <w:t>exportations)</w:t>
      </w:r>
      <w:r>
        <w:rPr>
          <w:rFonts w:ascii="Segoe UI Semibold" w:hAnsi="Segoe UI Semibold"/>
          <w:b/>
          <w:color w:val="1A4796"/>
          <w:spacing w:val="-13"/>
        </w:rPr>
        <w:t> </w:t>
      </w:r>
      <w:r>
        <w:rPr>
          <w:rFonts w:ascii="Segoe UI Semibold" w:hAnsi="Segoe UI Semibold"/>
          <w:b/>
          <w:color w:val="1A4796"/>
        </w:rPr>
        <w:t>: </w:t>
      </w:r>
      <w:r>
        <w:rPr>
          <w:color w:val="231F20"/>
          <w:spacing w:val="-4"/>
        </w:rPr>
        <w:t>Aux</w:t>
      </w:r>
      <w:r>
        <w:rPr>
          <w:color w:val="231F20"/>
          <w:spacing w:val="-9"/>
        </w:rPr>
        <w:t> </w:t>
      </w:r>
      <w:r>
        <w:rPr>
          <w:color w:val="231F20"/>
          <w:spacing w:val="-4"/>
        </w:rPr>
        <w:t>termes</w:t>
      </w:r>
      <w:r>
        <w:rPr>
          <w:color w:val="231F20"/>
          <w:spacing w:val="-9"/>
        </w:rPr>
        <w:t> </w:t>
      </w:r>
      <w:r>
        <w:rPr>
          <w:color w:val="231F20"/>
          <w:spacing w:val="-4"/>
        </w:rPr>
        <w:t>de</w:t>
      </w:r>
      <w:r>
        <w:rPr>
          <w:color w:val="231F20"/>
          <w:spacing w:val="-9"/>
        </w:rPr>
        <w:t> </w:t>
      </w:r>
      <w:r>
        <w:rPr>
          <w:color w:val="231F20"/>
          <w:spacing w:val="-4"/>
        </w:rPr>
        <w:t>cette</w:t>
      </w:r>
      <w:r>
        <w:rPr>
          <w:color w:val="231F20"/>
          <w:spacing w:val="-9"/>
        </w:rPr>
        <w:t> </w:t>
      </w:r>
      <w:r>
        <w:rPr>
          <w:color w:val="231F20"/>
          <w:spacing w:val="-4"/>
        </w:rPr>
        <w:t>loi,</w:t>
      </w:r>
      <w:r>
        <w:rPr>
          <w:color w:val="231F20"/>
          <w:spacing w:val="-9"/>
        </w:rPr>
        <w:t> </w:t>
      </w:r>
      <w:r>
        <w:rPr>
          <w:color w:val="231F20"/>
          <w:spacing w:val="-4"/>
        </w:rPr>
        <w:t>certains</w:t>
      </w:r>
      <w:r>
        <w:rPr>
          <w:color w:val="231F20"/>
          <w:spacing w:val="-9"/>
        </w:rPr>
        <w:t> </w:t>
      </w:r>
      <w:r>
        <w:rPr>
          <w:color w:val="231F20"/>
          <w:spacing w:val="-4"/>
        </w:rPr>
        <w:t>produits </w:t>
      </w:r>
      <w:r>
        <w:rPr>
          <w:color w:val="231F20"/>
          <w:spacing w:val="-10"/>
        </w:rPr>
        <w:t>agricoles</w:t>
      </w:r>
      <w:r>
        <w:rPr>
          <w:color w:val="231F20"/>
          <w:spacing w:val="-7"/>
        </w:rPr>
        <w:t> </w:t>
      </w:r>
      <w:r>
        <w:rPr>
          <w:color w:val="231F20"/>
          <w:spacing w:val="-10"/>
        </w:rPr>
        <w:t>ont</w:t>
      </w:r>
      <w:r>
        <w:rPr>
          <w:color w:val="231F20"/>
          <w:spacing w:val="-6"/>
        </w:rPr>
        <w:t> </w:t>
      </w:r>
      <w:r>
        <w:rPr>
          <w:color w:val="231F20"/>
          <w:spacing w:val="-10"/>
        </w:rPr>
        <w:t>été</w:t>
      </w:r>
      <w:r>
        <w:rPr>
          <w:color w:val="231F20"/>
          <w:spacing w:val="-6"/>
        </w:rPr>
        <w:t> </w:t>
      </w:r>
      <w:r>
        <w:rPr>
          <w:color w:val="231F20"/>
          <w:spacing w:val="-10"/>
        </w:rPr>
        <w:t>autorisés</w:t>
      </w:r>
      <w:r>
        <w:rPr>
          <w:color w:val="231F20"/>
          <w:spacing w:val="-7"/>
        </w:rPr>
        <w:t> </w:t>
      </w:r>
      <w:r>
        <w:rPr>
          <w:color w:val="231F20"/>
          <w:spacing w:val="-10"/>
        </w:rPr>
        <w:t>à</w:t>
      </w:r>
      <w:r>
        <w:rPr>
          <w:color w:val="231F20"/>
          <w:spacing w:val="-6"/>
        </w:rPr>
        <w:t> </w:t>
      </w:r>
      <w:r>
        <w:rPr>
          <w:color w:val="231F20"/>
          <w:spacing w:val="-10"/>
        </w:rPr>
        <w:t>l’exportation</w:t>
      </w:r>
      <w:r>
        <w:rPr>
          <w:color w:val="231F20"/>
          <w:spacing w:val="-7"/>
        </w:rPr>
        <w:t> </w:t>
      </w:r>
      <w:r>
        <w:rPr>
          <w:color w:val="231F20"/>
          <w:spacing w:val="-10"/>
        </w:rPr>
        <w:t>à Cuba,</w:t>
      </w:r>
      <w:r>
        <w:rPr>
          <w:color w:val="231F20"/>
          <w:spacing w:val="-6"/>
        </w:rPr>
        <w:t> </w:t>
      </w:r>
      <w:r>
        <w:rPr>
          <w:color w:val="231F20"/>
          <w:spacing w:val="-10"/>
        </w:rPr>
        <w:t>mais</w:t>
      </w:r>
      <w:r>
        <w:rPr>
          <w:color w:val="231F20"/>
          <w:spacing w:val="-6"/>
        </w:rPr>
        <w:t> </w:t>
      </w:r>
      <w:r>
        <w:rPr>
          <w:color w:val="231F20"/>
          <w:spacing w:val="-10"/>
        </w:rPr>
        <w:t>à</w:t>
      </w:r>
      <w:r>
        <w:rPr>
          <w:color w:val="231F20"/>
          <w:spacing w:val="-6"/>
        </w:rPr>
        <w:t> </w:t>
      </w:r>
      <w:r>
        <w:rPr>
          <w:color w:val="231F20"/>
          <w:spacing w:val="-10"/>
        </w:rPr>
        <w:t>condition</w:t>
      </w:r>
      <w:r>
        <w:rPr>
          <w:color w:val="231F20"/>
          <w:spacing w:val="-6"/>
        </w:rPr>
        <w:t> </w:t>
      </w:r>
      <w:r>
        <w:rPr>
          <w:color w:val="231F20"/>
          <w:spacing w:val="-10"/>
        </w:rPr>
        <w:t>que</w:t>
      </w:r>
      <w:r>
        <w:rPr>
          <w:color w:val="231F20"/>
          <w:spacing w:val="-6"/>
        </w:rPr>
        <w:t> </w:t>
      </w:r>
      <w:r>
        <w:rPr>
          <w:color w:val="231F20"/>
          <w:spacing w:val="-10"/>
        </w:rPr>
        <w:t>celle-ci</w:t>
      </w:r>
      <w:r>
        <w:rPr>
          <w:color w:val="231F20"/>
          <w:spacing w:val="-6"/>
        </w:rPr>
        <w:t> </w:t>
      </w:r>
      <w:r>
        <w:rPr>
          <w:color w:val="231F20"/>
          <w:spacing w:val="-10"/>
        </w:rPr>
        <w:t>paie</w:t>
      </w:r>
      <w:r>
        <w:rPr>
          <w:color w:val="231F20"/>
          <w:spacing w:val="-6"/>
        </w:rPr>
        <w:t> </w:t>
      </w:r>
      <w:r>
        <w:rPr>
          <w:color w:val="231F20"/>
          <w:spacing w:val="-10"/>
        </w:rPr>
        <w:t>en </w:t>
      </w:r>
      <w:r>
        <w:rPr>
          <w:color w:val="231F20"/>
          <w:spacing w:val="-8"/>
        </w:rPr>
        <w:t>liquide,</w:t>
      </w:r>
      <w:r>
        <w:rPr>
          <w:color w:val="231F20"/>
          <w:spacing w:val="-9"/>
        </w:rPr>
        <w:t> </w:t>
      </w:r>
      <w:r>
        <w:rPr>
          <w:color w:val="231F20"/>
          <w:spacing w:val="-8"/>
        </w:rPr>
        <w:t>à l’avance,</w:t>
      </w:r>
      <w:r>
        <w:rPr>
          <w:color w:val="231F20"/>
          <w:spacing w:val="-9"/>
        </w:rPr>
        <w:t> </w:t>
      </w:r>
      <w:r>
        <w:rPr>
          <w:color w:val="231F20"/>
          <w:spacing w:val="-8"/>
        </w:rPr>
        <w:t>et sans</w:t>
      </w:r>
      <w:r>
        <w:rPr>
          <w:color w:val="231F20"/>
          <w:spacing w:val="-9"/>
        </w:rPr>
        <w:t> </w:t>
      </w:r>
      <w:r>
        <w:rPr>
          <w:color w:val="231F20"/>
          <w:spacing w:val="-8"/>
        </w:rPr>
        <w:t>octroi de</w:t>
      </w:r>
      <w:r>
        <w:rPr>
          <w:color w:val="231F20"/>
          <w:spacing w:val="-9"/>
        </w:rPr>
        <w:t> </w:t>
      </w:r>
      <w:r>
        <w:rPr>
          <w:color w:val="231F20"/>
          <w:spacing w:val="-8"/>
        </w:rPr>
        <w:t>crédits </w:t>
      </w:r>
      <w:r>
        <w:rPr>
          <w:color w:val="231F20"/>
        </w:rPr>
        <w:t>étasuniens ; les citoyens étasuniens ne </w:t>
      </w:r>
      <w:r>
        <w:rPr>
          <w:color w:val="231F20"/>
          <w:spacing w:val="-4"/>
        </w:rPr>
        <w:t>peuvent</w:t>
      </w:r>
      <w:r>
        <w:rPr>
          <w:color w:val="231F20"/>
          <w:spacing w:val="-13"/>
        </w:rPr>
        <w:t> </w:t>
      </w:r>
      <w:r>
        <w:rPr>
          <w:color w:val="231F20"/>
          <w:spacing w:val="-4"/>
        </w:rPr>
        <w:t>pas</w:t>
      </w:r>
      <w:r>
        <w:rPr>
          <w:color w:val="231F20"/>
          <w:spacing w:val="-12"/>
        </w:rPr>
        <w:t> </w:t>
      </w:r>
      <w:r>
        <w:rPr>
          <w:color w:val="231F20"/>
          <w:spacing w:val="-4"/>
        </w:rPr>
        <w:t>faire</w:t>
      </w:r>
      <w:r>
        <w:rPr>
          <w:color w:val="231F20"/>
          <w:spacing w:val="-13"/>
        </w:rPr>
        <w:t> </w:t>
      </w:r>
      <w:r>
        <w:rPr>
          <w:color w:val="231F20"/>
          <w:spacing w:val="-4"/>
        </w:rPr>
        <w:t>de</w:t>
      </w:r>
      <w:r>
        <w:rPr>
          <w:color w:val="231F20"/>
          <w:spacing w:val="-12"/>
        </w:rPr>
        <w:t> </w:t>
      </w:r>
      <w:r>
        <w:rPr>
          <w:color w:val="231F20"/>
          <w:spacing w:val="-4"/>
        </w:rPr>
        <w:t>tourisme</w:t>
      </w:r>
      <w:r>
        <w:rPr>
          <w:color w:val="231F20"/>
          <w:spacing w:val="-13"/>
        </w:rPr>
        <w:t> </w:t>
      </w:r>
      <w:r>
        <w:rPr>
          <w:color w:val="231F20"/>
          <w:spacing w:val="-4"/>
        </w:rPr>
        <w:t>à</w:t>
      </w:r>
      <w:r>
        <w:rPr>
          <w:color w:val="231F20"/>
          <w:spacing w:val="-12"/>
        </w:rPr>
        <w:t> </w:t>
      </w:r>
      <w:r>
        <w:rPr>
          <w:color w:val="231F20"/>
          <w:spacing w:val="-4"/>
        </w:rPr>
        <w:t>Cuba,</w:t>
      </w:r>
      <w:r>
        <w:rPr>
          <w:color w:val="231F20"/>
          <w:spacing w:val="-13"/>
        </w:rPr>
        <w:t> </w:t>
      </w:r>
      <w:r>
        <w:rPr>
          <w:color w:val="231F20"/>
          <w:spacing w:val="-4"/>
        </w:rPr>
        <w:t>l’</w:t>
      </w:r>
      <w:r>
        <w:rPr>
          <w:color w:val="231F20"/>
          <w:spacing w:val="-12"/>
        </w:rPr>
        <w:t> </w:t>
      </w:r>
      <w:r>
        <w:rPr>
          <w:color w:val="231F20"/>
          <w:spacing w:val="-4"/>
        </w:rPr>
        <w:t>« </w:t>
      </w:r>
      <w:r>
        <w:rPr>
          <w:color w:val="231F20"/>
          <w:spacing w:val="-6"/>
        </w:rPr>
        <w:t>activité</w:t>
      </w:r>
      <w:r>
        <w:rPr>
          <w:color w:val="231F20"/>
          <w:spacing w:val="-11"/>
        </w:rPr>
        <w:t> </w:t>
      </w:r>
      <w:r>
        <w:rPr>
          <w:color w:val="231F20"/>
          <w:spacing w:val="-6"/>
        </w:rPr>
        <w:t>touristique</w:t>
      </w:r>
      <w:r>
        <w:rPr>
          <w:color w:val="231F20"/>
          <w:spacing w:val="-10"/>
        </w:rPr>
        <w:t> </w:t>
      </w:r>
      <w:r>
        <w:rPr>
          <w:color w:val="231F20"/>
          <w:spacing w:val="-6"/>
        </w:rPr>
        <w:t>»</w:t>
      </w:r>
      <w:r>
        <w:rPr>
          <w:color w:val="231F20"/>
          <w:spacing w:val="-11"/>
        </w:rPr>
        <w:t> </w:t>
      </w:r>
      <w:r>
        <w:rPr>
          <w:color w:val="231F20"/>
          <w:spacing w:val="-6"/>
        </w:rPr>
        <w:t>étant</w:t>
      </w:r>
      <w:r>
        <w:rPr>
          <w:color w:val="231F20"/>
          <w:spacing w:val="-10"/>
        </w:rPr>
        <w:t> </w:t>
      </w:r>
      <w:r>
        <w:rPr>
          <w:color w:val="231F20"/>
          <w:spacing w:val="-6"/>
        </w:rPr>
        <w:t>définie</w:t>
      </w:r>
      <w:r>
        <w:rPr>
          <w:color w:val="231F20"/>
          <w:spacing w:val="-11"/>
        </w:rPr>
        <w:t> </w:t>
      </w:r>
      <w:r>
        <w:rPr>
          <w:color w:val="231F20"/>
          <w:spacing w:val="-6"/>
        </w:rPr>
        <w:t>comme </w:t>
      </w:r>
      <w:r>
        <w:rPr>
          <w:color w:val="231F20"/>
        </w:rPr>
        <w:t>toute activité relative à des voyages vers,</w:t>
      </w:r>
      <w:r>
        <w:rPr>
          <w:color w:val="231F20"/>
          <w:spacing w:val="-8"/>
        </w:rPr>
        <w:t> </w:t>
      </w:r>
      <w:r>
        <w:rPr>
          <w:color w:val="231F20"/>
        </w:rPr>
        <w:t>depuis</w:t>
      </w:r>
      <w:r>
        <w:rPr>
          <w:color w:val="231F20"/>
          <w:spacing w:val="-8"/>
        </w:rPr>
        <w:t> </w:t>
      </w:r>
      <w:r>
        <w:rPr>
          <w:color w:val="231F20"/>
        </w:rPr>
        <w:t>ou</w:t>
      </w:r>
      <w:r>
        <w:rPr>
          <w:color w:val="231F20"/>
          <w:spacing w:val="-8"/>
        </w:rPr>
        <w:t> </w:t>
      </w:r>
      <w:r>
        <w:rPr>
          <w:color w:val="231F20"/>
        </w:rPr>
        <w:t>à</w:t>
      </w:r>
      <w:r>
        <w:rPr>
          <w:color w:val="231F20"/>
          <w:spacing w:val="-8"/>
        </w:rPr>
        <w:t> </w:t>
      </w:r>
      <w:r>
        <w:rPr>
          <w:color w:val="231F20"/>
        </w:rPr>
        <w:t>Cuba</w:t>
      </w:r>
      <w:r>
        <w:rPr>
          <w:color w:val="231F20"/>
          <w:spacing w:val="-8"/>
        </w:rPr>
        <w:t> </w:t>
      </w:r>
      <w:r>
        <w:rPr>
          <w:color w:val="231F20"/>
        </w:rPr>
        <w:t>qui</w:t>
      </w:r>
      <w:r>
        <w:rPr>
          <w:color w:val="231F20"/>
          <w:spacing w:val="-8"/>
        </w:rPr>
        <w:t> </w:t>
      </w:r>
      <w:r>
        <w:rPr>
          <w:color w:val="231F20"/>
        </w:rPr>
        <w:t>ne</w:t>
      </w:r>
      <w:r>
        <w:rPr>
          <w:color w:val="231F20"/>
          <w:spacing w:val="-8"/>
        </w:rPr>
        <w:t> </w:t>
      </w:r>
      <w:r>
        <w:rPr>
          <w:color w:val="231F20"/>
        </w:rPr>
        <w:t>serait</w:t>
      </w:r>
      <w:r>
        <w:rPr>
          <w:color w:val="231F20"/>
          <w:spacing w:val="-8"/>
        </w:rPr>
        <w:t> </w:t>
      </w:r>
      <w:r>
        <w:rPr>
          <w:color w:val="231F20"/>
        </w:rPr>
        <w:t>pas </w:t>
      </w:r>
      <w:r>
        <w:rPr>
          <w:color w:val="231F20"/>
          <w:spacing w:val="-4"/>
        </w:rPr>
        <w:t>expressément</w:t>
      </w:r>
      <w:r>
        <w:rPr>
          <w:color w:val="231F20"/>
          <w:spacing w:val="-9"/>
        </w:rPr>
        <w:t> </w:t>
      </w:r>
      <w:r>
        <w:rPr>
          <w:color w:val="231F20"/>
          <w:spacing w:val="-4"/>
        </w:rPr>
        <w:t>autorisée</w:t>
      </w:r>
      <w:r>
        <w:rPr>
          <w:color w:val="231F20"/>
          <w:spacing w:val="-9"/>
        </w:rPr>
        <w:t> </w:t>
      </w:r>
      <w:r>
        <w:rPr>
          <w:color w:val="231F20"/>
          <w:spacing w:val="-4"/>
        </w:rPr>
        <w:t>aux</w:t>
      </w:r>
      <w:r>
        <w:rPr>
          <w:color w:val="231F20"/>
          <w:spacing w:val="-9"/>
        </w:rPr>
        <w:t> </w:t>
      </w:r>
      <w:r>
        <w:rPr>
          <w:color w:val="231F20"/>
          <w:spacing w:val="-4"/>
        </w:rPr>
        <w:t>termes</w:t>
      </w:r>
      <w:r>
        <w:rPr>
          <w:color w:val="231F20"/>
          <w:spacing w:val="-9"/>
        </w:rPr>
        <w:t> </w:t>
      </w:r>
      <w:r>
        <w:rPr>
          <w:color w:val="231F20"/>
          <w:spacing w:val="-4"/>
        </w:rPr>
        <w:t>de</w:t>
      </w:r>
      <w:r>
        <w:rPr>
          <w:color w:val="231F20"/>
          <w:spacing w:val="-9"/>
        </w:rPr>
        <w:t> </w:t>
      </w:r>
      <w:r>
        <w:rPr>
          <w:color w:val="231F20"/>
          <w:spacing w:val="-4"/>
        </w:rPr>
        <w:t>la </w:t>
      </w:r>
      <w:r>
        <w:rPr>
          <w:color w:val="231F20"/>
        </w:rPr>
        <w:t>section</w:t>
      </w:r>
      <w:r>
        <w:rPr>
          <w:color w:val="231F20"/>
          <w:spacing w:val="-2"/>
        </w:rPr>
        <w:t> </w:t>
      </w:r>
      <w:r>
        <w:rPr>
          <w:color w:val="231F20"/>
        </w:rPr>
        <w:t>515.560</w:t>
      </w:r>
      <w:r>
        <w:rPr>
          <w:color w:val="231F20"/>
          <w:spacing w:val="-1"/>
        </w:rPr>
        <w:t> </w:t>
      </w:r>
      <w:r>
        <w:rPr>
          <w:color w:val="231F20"/>
        </w:rPr>
        <w:t>du</w:t>
      </w:r>
      <w:r>
        <w:rPr>
          <w:color w:val="231F20"/>
          <w:spacing w:val="-1"/>
        </w:rPr>
        <w:t> </w:t>
      </w:r>
      <w:r>
        <w:rPr>
          <w:color w:val="231F20"/>
        </w:rPr>
        <w:t>Titre</w:t>
      </w:r>
      <w:r>
        <w:rPr>
          <w:color w:val="231F20"/>
          <w:spacing w:val="-1"/>
        </w:rPr>
        <w:t> </w:t>
      </w:r>
      <w:r>
        <w:rPr>
          <w:color w:val="231F20"/>
        </w:rPr>
        <w:t>31</w:t>
      </w:r>
      <w:r>
        <w:rPr>
          <w:color w:val="231F20"/>
          <w:spacing w:val="-1"/>
        </w:rPr>
        <w:t> </w:t>
      </w:r>
      <w:r>
        <w:rPr>
          <w:color w:val="231F20"/>
        </w:rPr>
        <w:t>du</w:t>
      </w:r>
      <w:r>
        <w:rPr>
          <w:color w:val="231F20"/>
          <w:spacing w:val="-1"/>
        </w:rPr>
        <w:t> </w:t>
      </w:r>
      <w:r>
        <w:rPr>
          <w:color w:val="231F20"/>
        </w:rPr>
        <w:t>Code</w:t>
      </w:r>
      <w:r>
        <w:rPr>
          <w:color w:val="231F20"/>
          <w:spacing w:val="-1"/>
        </w:rPr>
        <w:t> </w:t>
      </w:r>
      <w:r>
        <w:rPr>
          <w:color w:val="231F20"/>
          <w:spacing w:val="-5"/>
        </w:rPr>
        <w:t>de</w:t>
      </w:r>
    </w:p>
    <w:p>
      <w:pPr>
        <w:spacing w:after="0"/>
        <w:sectPr>
          <w:pgSz w:w="11910" w:h="16840"/>
          <w:pgMar w:header="0" w:footer="695" w:top="1260" w:bottom="880" w:left="0" w:right="0"/>
          <w:cols w:num="2" w:equalWidth="0">
            <w:col w:w="5898" w:space="40"/>
            <w:col w:w="5972"/>
          </w:cols>
        </w:sectPr>
      </w:pPr>
    </w:p>
    <w:p>
      <w:pPr>
        <w:pStyle w:val="BodyText"/>
        <w:spacing w:before="77"/>
        <w:ind w:left="1394" w:right="6"/>
      </w:pPr>
      <w:r>
        <w:rPr/>
        <mc:AlternateContent>
          <mc:Choice Requires="wps">
            <w:drawing>
              <wp:anchor distT="0" distB="0" distL="0" distR="0" allowOverlap="1" layoutInCell="1" locked="0" behindDoc="1" simplePos="0" relativeHeight="485855232">
                <wp:simplePos x="0" y="0"/>
                <wp:positionH relativeFrom="page">
                  <wp:posOffset>3672001</wp:posOffset>
                </wp:positionH>
                <wp:positionV relativeFrom="page">
                  <wp:posOffset>923201</wp:posOffset>
                </wp:positionV>
                <wp:extent cx="2952115" cy="8839200"/>
                <wp:effectExtent l="0" t="0" r="0" b="0"/>
                <wp:wrapNone/>
                <wp:docPr id="420" name="Graphic 420"/>
                <wp:cNvGraphicFramePr>
                  <a:graphicFrameLocks/>
                </wp:cNvGraphicFramePr>
                <a:graphic>
                  <a:graphicData uri="http://schemas.microsoft.com/office/word/2010/wordprocessingShape">
                    <wps:wsp>
                      <wps:cNvPr id="420" name="Graphic 420"/>
                      <wps:cNvSpPr/>
                      <wps:spPr>
                        <a:xfrm>
                          <a:off x="0" y="0"/>
                          <a:ext cx="2952115" cy="8839200"/>
                        </a:xfrm>
                        <a:custGeom>
                          <a:avLst/>
                          <a:gdLst/>
                          <a:ahLst/>
                          <a:cxnLst/>
                          <a:rect l="l" t="t" r="r" b="b"/>
                          <a:pathLst>
                            <a:path w="2952115" h="8839200">
                              <a:moveTo>
                                <a:pt x="2952000" y="0"/>
                              </a:moveTo>
                              <a:lnTo>
                                <a:pt x="0" y="0"/>
                              </a:lnTo>
                              <a:lnTo>
                                <a:pt x="0" y="8839200"/>
                              </a:lnTo>
                              <a:lnTo>
                                <a:pt x="2952000" y="8839200"/>
                              </a:lnTo>
                              <a:lnTo>
                                <a:pt x="2952000"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rect style="position:absolute;margin-left:289.134003pt;margin-top:72.693016pt;width:232.441pt;height:696pt;mso-position-horizontal-relative:page;mso-position-vertical-relative:page;z-index:-17461248" id="docshape350" filled="true" fillcolor="#1a4796" stroked="false">
                <v:fill type="solid"/>
                <w10:wrap type="none"/>
              </v:rect>
            </w:pict>
          </mc:Fallback>
        </mc:AlternateContent>
      </w:r>
      <w:r>
        <w:rPr>
          <w:color w:val="231F20"/>
          <w:spacing w:val="-4"/>
        </w:rPr>
        <w:t>réglementations</w:t>
      </w:r>
      <w:r>
        <w:rPr>
          <w:color w:val="231F20"/>
          <w:spacing w:val="-13"/>
        </w:rPr>
        <w:t> </w:t>
      </w:r>
      <w:r>
        <w:rPr>
          <w:color w:val="231F20"/>
          <w:spacing w:val="-4"/>
        </w:rPr>
        <w:t>fédérales,</w:t>
      </w:r>
      <w:r>
        <w:rPr>
          <w:color w:val="231F20"/>
          <w:spacing w:val="-12"/>
        </w:rPr>
        <w:t> </w:t>
      </w:r>
      <w:r>
        <w:rPr>
          <w:color w:val="231F20"/>
          <w:spacing w:val="-4"/>
        </w:rPr>
        <w:t>autrement</w:t>
      </w:r>
      <w:r>
        <w:rPr>
          <w:color w:val="231F20"/>
          <w:spacing w:val="-13"/>
        </w:rPr>
        <w:t> </w:t>
      </w:r>
      <w:r>
        <w:rPr>
          <w:color w:val="231F20"/>
          <w:spacing w:val="-4"/>
        </w:rPr>
        <w:t>dit </w:t>
      </w:r>
      <w:r>
        <w:rPr>
          <w:color w:val="231F20"/>
          <w:spacing w:val="-2"/>
        </w:rPr>
        <w:t>les</w:t>
      </w:r>
      <w:r>
        <w:rPr>
          <w:color w:val="231F20"/>
          <w:spacing w:val="-15"/>
        </w:rPr>
        <w:t> </w:t>
      </w:r>
      <w:r>
        <w:rPr>
          <w:color w:val="231F20"/>
          <w:spacing w:val="-2"/>
        </w:rPr>
        <w:t>voyages</w:t>
      </w:r>
      <w:r>
        <w:rPr>
          <w:color w:val="231F20"/>
          <w:spacing w:val="-14"/>
        </w:rPr>
        <w:t> </w:t>
      </w:r>
      <w:r>
        <w:rPr>
          <w:color w:val="231F20"/>
          <w:spacing w:val="-2"/>
        </w:rPr>
        <w:t>autorisés</w:t>
      </w:r>
      <w:r>
        <w:rPr>
          <w:color w:val="231F20"/>
          <w:spacing w:val="-15"/>
        </w:rPr>
        <w:t> </w:t>
      </w:r>
      <w:r>
        <w:rPr>
          <w:color w:val="231F20"/>
          <w:spacing w:val="-2"/>
        </w:rPr>
        <w:t>ne</w:t>
      </w:r>
      <w:r>
        <w:rPr>
          <w:color w:val="231F20"/>
          <w:spacing w:val="-14"/>
        </w:rPr>
        <w:t> </w:t>
      </w:r>
      <w:r>
        <w:rPr>
          <w:color w:val="231F20"/>
          <w:spacing w:val="-2"/>
        </w:rPr>
        <w:t>concernent</w:t>
      </w:r>
      <w:r>
        <w:rPr>
          <w:color w:val="231F20"/>
          <w:spacing w:val="-15"/>
        </w:rPr>
        <w:t> </w:t>
      </w:r>
      <w:r>
        <w:rPr>
          <w:color w:val="231F20"/>
          <w:spacing w:val="-2"/>
        </w:rPr>
        <w:t>que </w:t>
      </w:r>
      <w:r>
        <w:rPr>
          <w:color w:val="231F20"/>
        </w:rPr>
        <w:t>douze</w:t>
      </w:r>
      <w:r>
        <w:rPr>
          <w:color w:val="231F20"/>
          <w:spacing w:val="-17"/>
        </w:rPr>
        <w:t> </w:t>
      </w:r>
      <w:r>
        <w:rPr>
          <w:color w:val="231F20"/>
        </w:rPr>
        <w:t>catégories</w:t>
      </w:r>
      <w:r>
        <w:rPr>
          <w:color w:val="231F20"/>
          <w:spacing w:val="-16"/>
        </w:rPr>
        <w:t> </w:t>
      </w:r>
      <w:r>
        <w:rPr>
          <w:color w:val="231F20"/>
        </w:rPr>
        <w:t>de</w:t>
      </w:r>
      <w:r>
        <w:rPr>
          <w:color w:val="231F20"/>
          <w:spacing w:val="-17"/>
        </w:rPr>
        <w:t> </w:t>
      </w:r>
      <w:r>
        <w:rPr>
          <w:color w:val="231F20"/>
        </w:rPr>
        <w:t>personnes.</w:t>
      </w:r>
    </w:p>
    <w:p>
      <w:pPr>
        <w:pStyle w:val="Heading2"/>
        <w:spacing w:line="196" w:lineRule="auto" w:before="308"/>
        <w:ind w:right="333"/>
        <w:jc w:val="both"/>
      </w:pPr>
      <w:r>
        <w:rPr>
          <w:color w:val="1F4282"/>
          <w:spacing w:val="-2"/>
          <w:w w:val="115"/>
        </w:rPr>
        <w:t>Principales</w:t>
      </w:r>
      <w:r>
        <w:rPr>
          <w:color w:val="1F4282"/>
          <w:spacing w:val="-16"/>
          <w:w w:val="115"/>
        </w:rPr>
        <w:t> </w:t>
      </w:r>
      <w:r>
        <w:rPr>
          <w:color w:val="1F4282"/>
          <w:spacing w:val="-2"/>
          <w:w w:val="115"/>
        </w:rPr>
        <w:t>actions</w:t>
      </w:r>
      <w:r>
        <w:rPr>
          <w:color w:val="1F4282"/>
          <w:spacing w:val="-16"/>
          <w:w w:val="115"/>
        </w:rPr>
        <w:t> </w:t>
      </w:r>
      <w:r>
        <w:rPr>
          <w:color w:val="1F4282"/>
          <w:spacing w:val="-2"/>
          <w:w w:val="115"/>
        </w:rPr>
        <w:t>de</w:t>
      </w:r>
      <w:r>
        <w:rPr>
          <w:color w:val="1F4282"/>
          <w:spacing w:val="-16"/>
          <w:w w:val="115"/>
        </w:rPr>
        <w:t> </w:t>
      </w:r>
      <w:r>
        <w:rPr>
          <w:color w:val="1F4282"/>
          <w:spacing w:val="-2"/>
          <w:w w:val="115"/>
        </w:rPr>
        <w:t>blocus </w:t>
      </w:r>
      <w:r>
        <w:rPr>
          <w:color w:val="1F4282"/>
          <w:w w:val="115"/>
        </w:rPr>
        <w:t>adoptées</w:t>
      </w:r>
      <w:r>
        <w:rPr>
          <w:color w:val="1F4282"/>
          <w:spacing w:val="-13"/>
          <w:w w:val="115"/>
        </w:rPr>
        <w:t> </w:t>
      </w:r>
      <w:r>
        <w:rPr>
          <w:color w:val="1F4282"/>
          <w:w w:val="115"/>
        </w:rPr>
        <w:t>entre</w:t>
      </w:r>
      <w:r>
        <w:rPr>
          <w:color w:val="1F4282"/>
          <w:spacing w:val="-13"/>
          <w:w w:val="115"/>
        </w:rPr>
        <w:t> </w:t>
      </w:r>
      <w:r>
        <w:rPr>
          <w:color w:val="1F4282"/>
          <w:w w:val="115"/>
        </w:rPr>
        <w:t>mars</w:t>
      </w:r>
      <w:r>
        <w:rPr>
          <w:color w:val="1F4282"/>
          <w:spacing w:val="-13"/>
          <w:w w:val="115"/>
        </w:rPr>
        <w:t> </w:t>
      </w:r>
      <w:r>
        <w:rPr>
          <w:color w:val="1F4282"/>
          <w:w w:val="115"/>
        </w:rPr>
        <w:t>2022</w:t>
      </w:r>
      <w:r>
        <w:rPr>
          <w:color w:val="1F4282"/>
          <w:spacing w:val="-13"/>
          <w:w w:val="115"/>
        </w:rPr>
        <w:t> </w:t>
      </w:r>
      <w:r>
        <w:rPr>
          <w:color w:val="1F4282"/>
          <w:w w:val="115"/>
        </w:rPr>
        <w:t>et février 2023</w:t>
      </w:r>
    </w:p>
    <w:p>
      <w:pPr>
        <w:pStyle w:val="BodyText"/>
        <w:spacing w:before="195"/>
        <w:ind w:left="1133"/>
      </w:pPr>
      <w:r>
        <w:rPr>
          <w:color w:val="231F20"/>
        </w:rPr>
        <w:t>L’administration Biden a continué, </w:t>
      </w:r>
      <w:r>
        <w:rPr>
          <w:color w:val="231F20"/>
        </w:rPr>
        <w:t>de mars</w:t>
      </w:r>
      <w:r>
        <w:rPr>
          <w:color w:val="231F20"/>
          <w:spacing w:val="-17"/>
        </w:rPr>
        <w:t> </w:t>
      </w:r>
      <w:r>
        <w:rPr>
          <w:color w:val="231F20"/>
        </w:rPr>
        <w:t>2022</w:t>
      </w:r>
      <w:r>
        <w:rPr>
          <w:color w:val="231F20"/>
          <w:spacing w:val="-16"/>
        </w:rPr>
        <w:t> </w:t>
      </w:r>
      <w:r>
        <w:rPr>
          <w:color w:val="231F20"/>
        </w:rPr>
        <w:t>à</w:t>
      </w:r>
      <w:r>
        <w:rPr>
          <w:color w:val="231F20"/>
          <w:spacing w:val="-17"/>
        </w:rPr>
        <w:t> </w:t>
      </w:r>
      <w:r>
        <w:rPr>
          <w:color w:val="231F20"/>
        </w:rPr>
        <w:t>février</w:t>
      </w:r>
      <w:r>
        <w:rPr>
          <w:color w:val="231F20"/>
          <w:spacing w:val="-16"/>
        </w:rPr>
        <w:t> </w:t>
      </w:r>
      <w:r>
        <w:rPr>
          <w:color w:val="231F20"/>
        </w:rPr>
        <w:t>2023,</w:t>
      </w:r>
      <w:r>
        <w:rPr>
          <w:color w:val="231F20"/>
          <w:spacing w:val="-17"/>
        </w:rPr>
        <w:t> </w:t>
      </w:r>
      <w:r>
        <w:rPr>
          <w:color w:val="231F20"/>
        </w:rPr>
        <w:t>d’appliquer</w:t>
      </w:r>
      <w:r>
        <w:rPr>
          <w:color w:val="231F20"/>
          <w:spacing w:val="-16"/>
        </w:rPr>
        <w:t> </w:t>
      </w:r>
      <w:r>
        <w:rPr>
          <w:color w:val="231F20"/>
        </w:rPr>
        <w:t>dans toute sa rigueur la politique de pression et d’asphyxie maximales établie par son prédécesseur, de sorte que le blocus touche négativement, en termes absolus, tous</w:t>
      </w:r>
      <w:r>
        <w:rPr>
          <w:color w:val="231F20"/>
          <w:spacing w:val="-3"/>
        </w:rPr>
        <w:t> </w:t>
      </w:r>
      <w:r>
        <w:rPr>
          <w:color w:val="231F20"/>
        </w:rPr>
        <w:t>les</w:t>
      </w:r>
      <w:r>
        <w:rPr>
          <w:color w:val="231F20"/>
          <w:spacing w:val="-3"/>
        </w:rPr>
        <w:t> </w:t>
      </w:r>
      <w:r>
        <w:rPr>
          <w:color w:val="231F20"/>
        </w:rPr>
        <w:t>secteurs</w:t>
      </w:r>
      <w:r>
        <w:rPr>
          <w:color w:val="231F20"/>
          <w:spacing w:val="-3"/>
        </w:rPr>
        <w:t> </w:t>
      </w:r>
      <w:r>
        <w:rPr>
          <w:color w:val="231F20"/>
        </w:rPr>
        <w:t>de</w:t>
      </w:r>
      <w:r>
        <w:rPr>
          <w:color w:val="231F20"/>
          <w:spacing w:val="-2"/>
        </w:rPr>
        <w:t> </w:t>
      </w:r>
      <w:r>
        <w:rPr>
          <w:color w:val="231F20"/>
        </w:rPr>
        <w:t>l’économie</w:t>
      </w:r>
      <w:r>
        <w:rPr>
          <w:color w:val="231F20"/>
          <w:spacing w:val="-2"/>
        </w:rPr>
        <w:t> </w:t>
      </w:r>
      <w:r>
        <w:rPr>
          <w:color w:val="231F20"/>
        </w:rPr>
        <w:t>nationale.</w:t>
      </w:r>
    </w:p>
    <w:p>
      <w:pPr>
        <w:pStyle w:val="BodyText"/>
        <w:spacing w:before="165"/>
        <w:ind w:left="1133"/>
      </w:pPr>
      <w:r>
        <w:rPr>
          <w:color w:val="231F20"/>
        </w:rPr>
        <w:t>Continuer sans la moindre scrupule </w:t>
      </w:r>
      <w:r>
        <w:rPr>
          <w:color w:val="231F20"/>
        </w:rPr>
        <w:t>de taxer Cuba d’État commanditaire de terrorisme, continuer de permettre aux termes du Titre III de la Loi Helms-Burton la présentation de demandes devant des </w:t>
      </w:r>
      <w:r>
        <w:rPr>
          <w:color w:val="231F20"/>
          <w:spacing w:val="-2"/>
        </w:rPr>
        <w:t>tribunaux</w:t>
      </w:r>
      <w:r>
        <w:rPr>
          <w:color w:val="231F20"/>
          <w:spacing w:val="-9"/>
        </w:rPr>
        <w:t> </w:t>
      </w:r>
      <w:r>
        <w:rPr>
          <w:color w:val="231F20"/>
          <w:spacing w:val="-2"/>
        </w:rPr>
        <w:t>étasuniens,</w:t>
      </w:r>
      <w:r>
        <w:rPr>
          <w:color w:val="231F20"/>
          <w:spacing w:val="-7"/>
        </w:rPr>
        <w:t> </w:t>
      </w:r>
      <w:r>
        <w:rPr>
          <w:color w:val="231F20"/>
          <w:spacing w:val="-2"/>
        </w:rPr>
        <w:t>continuer</w:t>
      </w:r>
      <w:r>
        <w:rPr>
          <w:color w:val="231F20"/>
          <w:spacing w:val="-7"/>
        </w:rPr>
        <w:t> </w:t>
      </w:r>
      <w:r>
        <w:rPr>
          <w:color w:val="231F20"/>
          <w:spacing w:val="-2"/>
        </w:rPr>
        <w:t>de</w:t>
      </w:r>
      <w:r>
        <w:rPr>
          <w:color w:val="231F20"/>
          <w:spacing w:val="-7"/>
        </w:rPr>
        <w:t> </w:t>
      </w:r>
      <w:r>
        <w:rPr>
          <w:color w:val="231F20"/>
          <w:spacing w:val="-2"/>
        </w:rPr>
        <w:t>traquer </w:t>
      </w:r>
      <w:r>
        <w:rPr>
          <w:color w:val="231F20"/>
        </w:rPr>
        <w:t>sans merci les transactions financières de Cuba,</w:t>
      </w:r>
      <w:r>
        <w:rPr>
          <w:color w:val="231F20"/>
          <w:spacing w:val="-17"/>
        </w:rPr>
        <w:t> </w:t>
      </w:r>
      <w:r>
        <w:rPr>
          <w:color w:val="231F20"/>
        </w:rPr>
        <w:t>continuer</w:t>
      </w:r>
      <w:r>
        <w:rPr>
          <w:color w:val="231F20"/>
          <w:spacing w:val="-16"/>
        </w:rPr>
        <w:t> </w:t>
      </w:r>
      <w:r>
        <w:rPr>
          <w:color w:val="231F20"/>
        </w:rPr>
        <w:t>d’élever</w:t>
      </w:r>
      <w:r>
        <w:rPr>
          <w:color w:val="231F20"/>
          <w:spacing w:val="-17"/>
        </w:rPr>
        <w:t> </w:t>
      </w:r>
      <w:r>
        <w:rPr>
          <w:color w:val="231F20"/>
        </w:rPr>
        <w:t>des</w:t>
      </w:r>
      <w:r>
        <w:rPr>
          <w:color w:val="231F20"/>
          <w:spacing w:val="-16"/>
        </w:rPr>
        <w:t> </w:t>
      </w:r>
      <w:r>
        <w:rPr>
          <w:color w:val="231F20"/>
        </w:rPr>
        <w:t>obstacles</w:t>
      </w:r>
      <w:r>
        <w:rPr>
          <w:color w:val="231F20"/>
          <w:spacing w:val="-17"/>
        </w:rPr>
        <w:t> </w:t>
      </w:r>
      <w:r>
        <w:rPr>
          <w:color w:val="231F20"/>
        </w:rPr>
        <w:t>aux importations de combustibles, continuer de dresser des listes unilatérales qui empêchent des transactions financières avec des entités de droit cubain, voilà les mesures les plus sévères.</w:t>
      </w:r>
    </w:p>
    <w:p>
      <w:pPr>
        <w:pStyle w:val="BodyText"/>
        <w:spacing w:before="170"/>
        <w:ind w:left="1133" w:right="2"/>
      </w:pPr>
      <w:r>
        <w:rPr>
          <w:color w:val="231F20"/>
          <w:spacing w:val="-8"/>
        </w:rPr>
        <w:t>Le 16 mai 2002,</w:t>
      </w:r>
      <w:r>
        <w:rPr>
          <w:color w:val="231F20"/>
          <w:spacing w:val="-2"/>
        </w:rPr>
        <w:t> </w:t>
      </w:r>
      <w:r>
        <w:rPr>
          <w:color w:val="231F20"/>
          <w:spacing w:val="-8"/>
        </w:rPr>
        <w:t>l’administration</w:t>
      </w:r>
      <w:r>
        <w:rPr>
          <w:color w:val="231F20"/>
          <w:spacing w:val="-2"/>
        </w:rPr>
        <w:t> </w:t>
      </w:r>
      <w:r>
        <w:rPr>
          <w:color w:val="231F20"/>
          <w:spacing w:val="-8"/>
        </w:rPr>
        <w:t>étasunienne </w:t>
      </w:r>
      <w:r>
        <w:rPr>
          <w:color w:val="231F20"/>
        </w:rPr>
        <w:t>a</w:t>
      </w:r>
      <w:r>
        <w:rPr>
          <w:color w:val="231F20"/>
          <w:spacing w:val="-11"/>
        </w:rPr>
        <w:t> </w:t>
      </w:r>
      <w:r>
        <w:rPr>
          <w:color w:val="231F20"/>
        </w:rPr>
        <w:t>annoncé</w:t>
      </w:r>
      <w:r>
        <w:rPr>
          <w:color w:val="231F20"/>
          <w:spacing w:val="-11"/>
        </w:rPr>
        <w:t> </w:t>
      </w:r>
      <w:r>
        <w:rPr>
          <w:color w:val="231F20"/>
        </w:rPr>
        <w:t>un</w:t>
      </w:r>
      <w:r>
        <w:rPr>
          <w:color w:val="231F20"/>
          <w:spacing w:val="-11"/>
        </w:rPr>
        <w:t> </w:t>
      </w:r>
      <w:r>
        <w:rPr>
          <w:color w:val="231F20"/>
        </w:rPr>
        <w:t>train</w:t>
      </w:r>
      <w:r>
        <w:rPr>
          <w:color w:val="231F20"/>
          <w:spacing w:val="-11"/>
        </w:rPr>
        <w:t> </w:t>
      </w:r>
      <w:r>
        <w:rPr>
          <w:color w:val="231F20"/>
        </w:rPr>
        <w:t>de</w:t>
      </w:r>
      <w:r>
        <w:rPr>
          <w:color w:val="231F20"/>
          <w:spacing w:val="-11"/>
        </w:rPr>
        <w:t> </w:t>
      </w:r>
      <w:r>
        <w:rPr>
          <w:color w:val="231F20"/>
        </w:rPr>
        <w:t>mesures</w:t>
      </w:r>
      <w:r>
        <w:rPr>
          <w:color w:val="231F20"/>
          <w:spacing w:val="-11"/>
        </w:rPr>
        <w:t> </w:t>
      </w:r>
      <w:r>
        <w:rPr>
          <w:color w:val="231F20"/>
        </w:rPr>
        <w:t>en</w:t>
      </w:r>
      <w:r>
        <w:rPr>
          <w:color w:val="231F20"/>
          <w:spacing w:val="-11"/>
        </w:rPr>
        <w:t> </w:t>
      </w:r>
      <w:r>
        <w:rPr>
          <w:color w:val="231F20"/>
        </w:rPr>
        <w:t>matière </w:t>
      </w:r>
      <w:r>
        <w:rPr>
          <w:color w:val="231F20"/>
          <w:spacing w:val="-8"/>
        </w:rPr>
        <w:t>de visas, de migration régulière, de transport </w:t>
      </w:r>
      <w:r>
        <w:rPr>
          <w:color w:val="231F20"/>
        </w:rPr>
        <w:t>aérien et d’envois de fonds familiaux, qui, tout en constituant un pas dans la bonne direction, n’a rien changé aux aspects les </w:t>
      </w:r>
      <w:r>
        <w:rPr>
          <w:color w:val="231F20"/>
          <w:spacing w:val="-2"/>
        </w:rPr>
        <w:t>plus</w:t>
      </w:r>
      <w:r>
        <w:rPr>
          <w:color w:val="231F20"/>
          <w:spacing w:val="-15"/>
        </w:rPr>
        <w:t> </w:t>
      </w:r>
      <w:r>
        <w:rPr>
          <w:color w:val="231F20"/>
          <w:spacing w:val="-2"/>
        </w:rPr>
        <w:t>nocifs</w:t>
      </w:r>
      <w:r>
        <w:rPr>
          <w:color w:val="231F20"/>
          <w:spacing w:val="-14"/>
        </w:rPr>
        <w:t> </w:t>
      </w:r>
      <w:r>
        <w:rPr>
          <w:color w:val="231F20"/>
          <w:spacing w:val="-2"/>
        </w:rPr>
        <w:t>du</w:t>
      </w:r>
      <w:r>
        <w:rPr>
          <w:color w:val="231F20"/>
          <w:spacing w:val="-15"/>
        </w:rPr>
        <w:t> </w:t>
      </w:r>
      <w:r>
        <w:rPr>
          <w:color w:val="231F20"/>
          <w:spacing w:val="-2"/>
        </w:rPr>
        <w:t>blocus</w:t>
      </w:r>
      <w:r>
        <w:rPr>
          <w:color w:val="231F20"/>
          <w:spacing w:val="-14"/>
        </w:rPr>
        <w:t> </w:t>
      </w:r>
      <w:r>
        <w:rPr>
          <w:color w:val="231F20"/>
          <w:spacing w:val="-2"/>
        </w:rPr>
        <w:t>ni</w:t>
      </w:r>
      <w:r>
        <w:rPr>
          <w:color w:val="231F20"/>
          <w:spacing w:val="-15"/>
        </w:rPr>
        <w:t> </w:t>
      </w:r>
      <w:r>
        <w:rPr>
          <w:color w:val="231F20"/>
          <w:spacing w:val="-2"/>
        </w:rPr>
        <w:t>annulé</w:t>
      </w:r>
      <w:r>
        <w:rPr>
          <w:color w:val="231F20"/>
          <w:spacing w:val="-14"/>
        </w:rPr>
        <w:t> </w:t>
      </w:r>
      <w:r>
        <w:rPr>
          <w:color w:val="231F20"/>
          <w:spacing w:val="-2"/>
        </w:rPr>
        <w:t>les</w:t>
      </w:r>
      <w:r>
        <w:rPr>
          <w:color w:val="231F20"/>
          <w:spacing w:val="-15"/>
        </w:rPr>
        <w:t> </w:t>
      </w:r>
      <w:r>
        <w:rPr>
          <w:color w:val="231F20"/>
          <w:spacing w:val="-2"/>
        </w:rPr>
        <w:t>mesures </w:t>
      </w:r>
      <w:r>
        <w:rPr>
          <w:color w:val="231F20"/>
        </w:rPr>
        <w:t>les plus agressives adoptées contre Cuba par l’administration Trump.</w:t>
      </w:r>
    </w:p>
    <w:p>
      <w:pPr>
        <w:pStyle w:val="BodyText"/>
        <w:spacing w:before="167"/>
        <w:ind w:left="1133" w:right="1"/>
      </w:pPr>
      <w:r>
        <w:rPr>
          <w:color w:val="231F20"/>
        </w:rPr>
        <w:t>Durant la période sous </w:t>
      </w:r>
      <w:r>
        <w:rPr>
          <w:color w:val="231F20"/>
        </w:rPr>
        <w:t>examen, </w:t>
      </w:r>
      <w:r>
        <w:rPr>
          <w:color w:val="231F20"/>
          <w:spacing w:val="-2"/>
        </w:rPr>
        <w:t>l’administration</w:t>
      </w:r>
      <w:r>
        <w:rPr>
          <w:color w:val="231F20"/>
          <w:spacing w:val="-12"/>
        </w:rPr>
        <w:t> </w:t>
      </w:r>
      <w:r>
        <w:rPr>
          <w:color w:val="231F20"/>
          <w:spacing w:val="-2"/>
        </w:rPr>
        <w:t>étasunienne</w:t>
      </w:r>
      <w:r>
        <w:rPr>
          <w:color w:val="231F20"/>
          <w:spacing w:val="-12"/>
        </w:rPr>
        <w:t> </w:t>
      </w:r>
      <w:r>
        <w:rPr>
          <w:color w:val="231F20"/>
          <w:spacing w:val="-2"/>
        </w:rPr>
        <w:t>a</w:t>
      </w:r>
      <w:r>
        <w:rPr>
          <w:color w:val="231F20"/>
          <w:spacing w:val="-12"/>
        </w:rPr>
        <w:t> </w:t>
      </w:r>
      <w:r>
        <w:rPr>
          <w:color w:val="231F20"/>
          <w:spacing w:val="-2"/>
        </w:rPr>
        <w:t>au</w:t>
      </w:r>
      <w:r>
        <w:rPr>
          <w:color w:val="231F20"/>
          <w:spacing w:val="-12"/>
        </w:rPr>
        <w:t> </w:t>
      </w:r>
      <w:r>
        <w:rPr>
          <w:color w:val="231F20"/>
          <w:spacing w:val="-2"/>
        </w:rPr>
        <w:t>contraire </w:t>
      </w:r>
      <w:r>
        <w:rPr>
          <w:color w:val="231F20"/>
          <w:spacing w:val="-4"/>
        </w:rPr>
        <w:t>prorogé</w:t>
      </w:r>
      <w:r>
        <w:rPr>
          <w:color w:val="231F20"/>
          <w:spacing w:val="-10"/>
        </w:rPr>
        <w:t> </w:t>
      </w:r>
      <w:r>
        <w:rPr>
          <w:color w:val="231F20"/>
          <w:spacing w:val="-4"/>
        </w:rPr>
        <w:t>des</w:t>
      </w:r>
      <w:r>
        <w:rPr>
          <w:color w:val="231F20"/>
          <w:spacing w:val="-10"/>
        </w:rPr>
        <w:t> </w:t>
      </w:r>
      <w:r>
        <w:rPr>
          <w:color w:val="231F20"/>
          <w:spacing w:val="-4"/>
        </w:rPr>
        <w:t>lois</w:t>
      </w:r>
      <w:r>
        <w:rPr>
          <w:color w:val="231F20"/>
          <w:spacing w:val="-10"/>
        </w:rPr>
        <w:t> </w:t>
      </w:r>
      <w:r>
        <w:rPr>
          <w:color w:val="231F20"/>
          <w:spacing w:val="-4"/>
        </w:rPr>
        <w:t>et</w:t>
      </w:r>
      <w:r>
        <w:rPr>
          <w:color w:val="231F20"/>
          <w:spacing w:val="-10"/>
        </w:rPr>
        <w:t> </w:t>
      </w:r>
      <w:r>
        <w:rPr>
          <w:color w:val="231F20"/>
          <w:spacing w:val="-4"/>
        </w:rPr>
        <w:t>des</w:t>
      </w:r>
      <w:r>
        <w:rPr>
          <w:color w:val="231F20"/>
          <w:spacing w:val="-10"/>
        </w:rPr>
        <w:t> </w:t>
      </w:r>
      <w:r>
        <w:rPr>
          <w:color w:val="231F20"/>
          <w:spacing w:val="-4"/>
        </w:rPr>
        <w:t>dispositions</w:t>
      </w:r>
      <w:r>
        <w:rPr>
          <w:color w:val="231F20"/>
          <w:spacing w:val="-10"/>
        </w:rPr>
        <w:t> </w:t>
      </w:r>
      <w:r>
        <w:rPr>
          <w:color w:val="231F20"/>
          <w:spacing w:val="-4"/>
        </w:rPr>
        <w:t>sévères </w:t>
      </w:r>
      <w:r>
        <w:rPr>
          <w:color w:val="231F20"/>
        </w:rPr>
        <w:t>qui</w:t>
      </w:r>
      <w:r>
        <w:rPr>
          <w:color w:val="231F20"/>
          <w:spacing w:val="-2"/>
        </w:rPr>
        <w:t> </w:t>
      </w:r>
      <w:r>
        <w:rPr>
          <w:color w:val="231F20"/>
        </w:rPr>
        <w:t>renforcent</w:t>
      </w:r>
      <w:r>
        <w:rPr>
          <w:color w:val="231F20"/>
          <w:spacing w:val="-2"/>
        </w:rPr>
        <w:t> </w:t>
      </w:r>
      <w:r>
        <w:rPr>
          <w:color w:val="231F20"/>
        </w:rPr>
        <w:t>les</w:t>
      </w:r>
      <w:r>
        <w:rPr>
          <w:color w:val="231F20"/>
          <w:spacing w:val="-2"/>
        </w:rPr>
        <w:t> </w:t>
      </w:r>
      <w:r>
        <w:rPr>
          <w:color w:val="231F20"/>
        </w:rPr>
        <w:t>conséquences</w:t>
      </w:r>
      <w:r>
        <w:rPr>
          <w:color w:val="231F20"/>
          <w:spacing w:val="-2"/>
        </w:rPr>
        <w:t> </w:t>
      </w:r>
      <w:r>
        <w:rPr>
          <w:color w:val="231F20"/>
        </w:rPr>
        <w:t>nuisibles du blocus. On trouvera ci-dessous les mesures officielles les plus marquantes :</w:t>
      </w:r>
    </w:p>
    <w:p>
      <w:pPr>
        <w:spacing w:line="240" w:lineRule="auto" w:before="0"/>
        <w:rPr>
          <w:sz w:val="24"/>
        </w:rPr>
      </w:pPr>
      <w:r>
        <w:rPr/>
        <w:br w:type="column"/>
      </w:r>
      <w:r>
        <w:rPr>
          <w:sz w:val="24"/>
        </w:rPr>
      </w:r>
    </w:p>
    <w:p>
      <w:pPr>
        <w:pStyle w:val="BodyText"/>
        <w:jc w:val="left"/>
      </w:pPr>
    </w:p>
    <w:p>
      <w:pPr>
        <w:pStyle w:val="BodyText"/>
        <w:spacing w:before="79"/>
        <w:jc w:val="left"/>
      </w:pPr>
    </w:p>
    <w:p>
      <w:pPr>
        <w:pStyle w:val="BodyText"/>
        <w:ind w:left="412" w:right="1733"/>
        <w:rPr>
          <w:rFonts w:ascii="Segoe UI Semibold" w:hAnsi="Segoe UI Semibold"/>
          <w:b/>
        </w:rPr>
      </w:pPr>
      <w:r>
        <w:rPr>
          <w:b/>
          <w:color w:val="FFFFFF"/>
          <w:spacing w:val="-10"/>
        </w:rPr>
        <w:t>11</w:t>
      </w:r>
      <w:r>
        <w:rPr>
          <w:b/>
          <w:color w:val="FFFFFF"/>
          <w:spacing w:val="-3"/>
        </w:rPr>
        <w:t> </w:t>
      </w:r>
      <w:r>
        <w:rPr>
          <w:b/>
          <w:color w:val="FFFFFF"/>
          <w:spacing w:val="-10"/>
        </w:rPr>
        <w:t>mai</w:t>
      </w:r>
      <w:r>
        <w:rPr>
          <w:b/>
          <w:color w:val="FFFFFF"/>
          <w:spacing w:val="-3"/>
        </w:rPr>
        <w:t> </w:t>
      </w:r>
      <w:r>
        <w:rPr>
          <w:b/>
          <w:color w:val="FFFFFF"/>
          <w:spacing w:val="-10"/>
        </w:rPr>
        <w:t>2022.</w:t>
      </w:r>
      <w:r>
        <w:rPr>
          <w:b/>
          <w:color w:val="FFFFFF"/>
          <w:spacing w:val="-3"/>
        </w:rPr>
        <w:t> </w:t>
      </w:r>
      <w:r>
        <w:rPr>
          <w:rFonts w:ascii="Segoe UI Semibold" w:hAnsi="Segoe UI Semibold"/>
          <w:b/>
          <w:color w:val="FFFFFF"/>
          <w:spacing w:val="-10"/>
        </w:rPr>
        <w:t>Le</w:t>
      </w:r>
      <w:r>
        <w:rPr>
          <w:rFonts w:ascii="Segoe UI Semibold" w:hAnsi="Segoe UI Semibold"/>
          <w:b/>
          <w:color w:val="FFFFFF"/>
          <w:spacing w:val="-3"/>
        </w:rPr>
        <w:t> </w:t>
      </w:r>
      <w:r>
        <w:rPr>
          <w:rFonts w:ascii="Segoe UI Semibold" w:hAnsi="Segoe UI Semibold"/>
          <w:b/>
          <w:color w:val="FFFFFF"/>
          <w:spacing w:val="-10"/>
        </w:rPr>
        <w:t>secrétaire</w:t>
      </w:r>
      <w:r>
        <w:rPr>
          <w:rFonts w:ascii="Segoe UI Semibold" w:hAnsi="Segoe UI Semibold"/>
          <w:b/>
          <w:color w:val="FFFFFF"/>
          <w:spacing w:val="-3"/>
        </w:rPr>
        <w:t> </w:t>
      </w:r>
      <w:r>
        <w:rPr>
          <w:rFonts w:ascii="Segoe UI Semibold" w:hAnsi="Segoe UI Semibold"/>
          <w:b/>
          <w:color w:val="FFFFFF"/>
          <w:spacing w:val="-10"/>
        </w:rPr>
        <w:t>d’État</w:t>
      </w:r>
      <w:r>
        <w:rPr>
          <w:rFonts w:ascii="Segoe UI Semibold" w:hAnsi="Segoe UI Semibold"/>
          <w:b/>
          <w:color w:val="FFFFFF"/>
          <w:spacing w:val="-3"/>
        </w:rPr>
        <w:t> </w:t>
      </w:r>
      <w:r>
        <w:rPr>
          <w:rFonts w:ascii="Segoe UI Semibold" w:hAnsi="Segoe UI Semibold"/>
          <w:b/>
          <w:color w:val="FFFFFF"/>
          <w:spacing w:val="-10"/>
        </w:rPr>
        <w:t>informe </w:t>
      </w:r>
      <w:r>
        <w:rPr>
          <w:rFonts w:ascii="Segoe UI Semibold" w:hAnsi="Segoe UI Semibold"/>
          <w:b/>
          <w:color w:val="FFFFFF"/>
        </w:rPr>
        <w:t>le Congrès que Cuba a été certifiée pour la troisième fois </w:t>
      </w:r>
      <w:r>
        <w:rPr>
          <w:rFonts w:ascii="Segoe UI Semibold" w:hAnsi="Segoe UI Semibold"/>
          <w:b/>
          <w:color w:val="FFFFFF"/>
        </w:rPr>
        <w:t>consécutive comme pays qui « ne coopère pas à fond » avec les efforts des États-Unis </w:t>
      </w:r>
      <w:r>
        <w:rPr>
          <w:rFonts w:ascii="Segoe UI Semibold" w:hAnsi="Segoe UI Semibold"/>
          <w:b/>
          <w:color w:val="FFFFFF"/>
          <w:spacing w:val="-4"/>
        </w:rPr>
        <w:t>contre</w:t>
      </w:r>
      <w:r>
        <w:rPr>
          <w:rFonts w:ascii="Segoe UI Semibold" w:hAnsi="Segoe UI Semibold"/>
          <w:b/>
          <w:color w:val="FFFFFF"/>
          <w:spacing w:val="-13"/>
        </w:rPr>
        <w:t> </w:t>
      </w:r>
      <w:r>
        <w:rPr>
          <w:rFonts w:ascii="Segoe UI Semibold" w:hAnsi="Segoe UI Semibold"/>
          <w:b/>
          <w:color w:val="FFFFFF"/>
          <w:spacing w:val="-4"/>
        </w:rPr>
        <w:t>le</w:t>
      </w:r>
      <w:r>
        <w:rPr>
          <w:rFonts w:ascii="Segoe UI Semibold" w:hAnsi="Segoe UI Semibold"/>
          <w:b/>
          <w:color w:val="FFFFFF"/>
          <w:spacing w:val="-12"/>
        </w:rPr>
        <w:t> </w:t>
      </w:r>
      <w:r>
        <w:rPr>
          <w:rFonts w:ascii="Segoe UI Semibold" w:hAnsi="Segoe UI Semibold"/>
          <w:b/>
          <w:color w:val="FFFFFF"/>
          <w:spacing w:val="-4"/>
        </w:rPr>
        <w:t>terrorisme,</w:t>
      </w:r>
      <w:r>
        <w:rPr>
          <w:rFonts w:ascii="Segoe UI Semibold" w:hAnsi="Segoe UI Semibold"/>
          <w:b/>
          <w:color w:val="FFFFFF"/>
          <w:spacing w:val="-13"/>
        </w:rPr>
        <w:t> </w:t>
      </w:r>
      <w:r>
        <w:rPr>
          <w:rFonts w:ascii="Segoe UI Semibold" w:hAnsi="Segoe UI Semibold"/>
          <w:b/>
          <w:color w:val="FFFFFF"/>
          <w:spacing w:val="-4"/>
        </w:rPr>
        <w:t>conformément</w:t>
      </w:r>
      <w:r>
        <w:rPr>
          <w:rFonts w:ascii="Segoe UI Semibold" w:hAnsi="Segoe UI Semibold"/>
          <w:b/>
          <w:color w:val="FFFFFF"/>
          <w:spacing w:val="-12"/>
        </w:rPr>
        <w:t> </w:t>
      </w:r>
      <w:r>
        <w:rPr>
          <w:rFonts w:ascii="Segoe UI Semibold" w:hAnsi="Segoe UI Semibold"/>
          <w:b/>
          <w:color w:val="FFFFFF"/>
          <w:spacing w:val="-4"/>
        </w:rPr>
        <w:t>à</w:t>
      </w:r>
      <w:r>
        <w:rPr>
          <w:rFonts w:ascii="Segoe UI Semibold" w:hAnsi="Segoe UI Semibold"/>
          <w:b/>
          <w:color w:val="FFFFFF"/>
          <w:spacing w:val="-13"/>
        </w:rPr>
        <w:t> </w:t>
      </w:r>
      <w:r>
        <w:rPr>
          <w:rFonts w:ascii="Segoe UI Semibold" w:hAnsi="Segoe UI Semibold"/>
          <w:b/>
          <w:color w:val="FFFFFF"/>
          <w:spacing w:val="-4"/>
        </w:rPr>
        <w:t>la </w:t>
      </w:r>
      <w:r>
        <w:rPr>
          <w:rFonts w:ascii="Segoe UI Semibold" w:hAnsi="Segoe UI Semibold"/>
          <w:b/>
          <w:color w:val="FFFFFF"/>
        </w:rPr>
        <w:t>Section</w:t>
      </w:r>
      <w:r>
        <w:rPr>
          <w:rFonts w:ascii="Segoe UI Semibold" w:hAnsi="Segoe UI Semibold"/>
          <w:b/>
          <w:color w:val="FFFFFF"/>
          <w:spacing w:val="-17"/>
        </w:rPr>
        <w:t> </w:t>
      </w:r>
      <w:r>
        <w:rPr>
          <w:rFonts w:ascii="Segoe UI Semibold" w:hAnsi="Segoe UI Semibold"/>
          <w:b/>
          <w:color w:val="FFFFFF"/>
        </w:rPr>
        <w:t>40A</w:t>
      </w:r>
      <w:r>
        <w:rPr>
          <w:rFonts w:ascii="Segoe UI Semibold" w:hAnsi="Segoe UI Semibold"/>
          <w:b/>
          <w:color w:val="FFFFFF"/>
          <w:spacing w:val="-16"/>
        </w:rPr>
        <w:t> </w:t>
      </w:r>
      <w:r>
        <w:rPr>
          <w:rFonts w:ascii="Segoe UI Semibold" w:hAnsi="Segoe UI Semibold"/>
          <w:b/>
          <w:color w:val="FFFFFF"/>
        </w:rPr>
        <w:t>(a)</w:t>
      </w:r>
      <w:r>
        <w:rPr>
          <w:rFonts w:ascii="Segoe UI Semibold" w:hAnsi="Segoe UI Semibold"/>
          <w:b/>
          <w:color w:val="FFFFFF"/>
          <w:spacing w:val="-17"/>
        </w:rPr>
        <w:t> </w:t>
      </w:r>
      <w:r>
        <w:rPr>
          <w:rFonts w:ascii="Segoe UI Semibold" w:hAnsi="Segoe UI Semibold"/>
          <w:b/>
          <w:color w:val="FFFFFF"/>
        </w:rPr>
        <w:t>de</w:t>
      </w:r>
      <w:r>
        <w:rPr>
          <w:rFonts w:ascii="Segoe UI Semibold" w:hAnsi="Segoe UI Semibold"/>
          <w:b/>
          <w:color w:val="FFFFFF"/>
          <w:spacing w:val="-16"/>
        </w:rPr>
        <w:t> </w:t>
      </w:r>
      <w:r>
        <w:rPr>
          <w:rFonts w:ascii="Segoe UI Semibold" w:hAnsi="Segoe UI Semibold"/>
          <w:b/>
          <w:color w:val="FFFFFF"/>
        </w:rPr>
        <w:t>la</w:t>
      </w:r>
      <w:r>
        <w:rPr>
          <w:rFonts w:ascii="Segoe UI Semibold" w:hAnsi="Segoe UI Semibold"/>
          <w:b/>
          <w:color w:val="FFFFFF"/>
          <w:spacing w:val="-17"/>
        </w:rPr>
        <w:t> </w:t>
      </w:r>
      <w:r>
        <w:rPr>
          <w:rFonts w:ascii="Segoe UI Semibold" w:hAnsi="Segoe UI Semibold"/>
          <w:b/>
          <w:color w:val="FFFFFF"/>
        </w:rPr>
        <w:t>Loi</w:t>
      </w:r>
      <w:r>
        <w:rPr>
          <w:rFonts w:ascii="Segoe UI Semibold" w:hAnsi="Segoe UI Semibold"/>
          <w:b/>
          <w:color w:val="FFFFFF"/>
          <w:spacing w:val="-16"/>
        </w:rPr>
        <w:t> </w:t>
      </w:r>
      <w:r>
        <w:rPr>
          <w:rFonts w:ascii="Segoe UI Semibold" w:hAnsi="Segoe UI Semibold"/>
          <w:b/>
          <w:color w:val="FFFFFF"/>
        </w:rPr>
        <w:t>sur</w:t>
      </w:r>
      <w:r>
        <w:rPr>
          <w:rFonts w:ascii="Segoe UI Semibold" w:hAnsi="Segoe UI Semibold"/>
          <w:b/>
          <w:color w:val="FFFFFF"/>
          <w:spacing w:val="-17"/>
        </w:rPr>
        <w:t> </w:t>
      </w:r>
      <w:r>
        <w:rPr>
          <w:rFonts w:ascii="Segoe UI Semibold" w:hAnsi="Segoe UI Semibold"/>
          <w:b/>
          <w:color w:val="FFFFFF"/>
        </w:rPr>
        <w:t>le</w:t>
      </w:r>
      <w:r>
        <w:rPr>
          <w:rFonts w:ascii="Segoe UI Semibold" w:hAnsi="Segoe UI Semibold"/>
          <w:b/>
          <w:color w:val="FFFFFF"/>
          <w:spacing w:val="-16"/>
        </w:rPr>
        <w:t> </w:t>
      </w:r>
      <w:r>
        <w:rPr>
          <w:rFonts w:ascii="Segoe UI Semibold" w:hAnsi="Segoe UI Semibold"/>
          <w:b/>
          <w:color w:val="FFFFFF"/>
        </w:rPr>
        <w:t>contrôle d’exportations d’armes et au décret exécutif 13637, la mesure entrant en vigueur le 20 mai après sa publication au Registre fédéral.</w:t>
      </w:r>
    </w:p>
    <w:p>
      <w:pPr>
        <w:pStyle w:val="BodyText"/>
        <w:spacing w:before="169"/>
        <w:ind w:left="412" w:right="1732"/>
        <w:rPr>
          <w:rFonts w:ascii="Segoe UI Semibold" w:hAnsi="Segoe UI Semibold"/>
          <w:b/>
        </w:rPr>
      </w:pPr>
      <w:r>
        <w:rPr>
          <w:b/>
          <w:color w:val="FFFFFF"/>
          <w:spacing w:val="-4"/>
        </w:rPr>
        <w:t>2</w:t>
      </w:r>
      <w:r>
        <w:rPr>
          <w:b/>
          <w:color w:val="FFFFFF"/>
          <w:spacing w:val="-12"/>
        </w:rPr>
        <w:t> </w:t>
      </w:r>
      <w:r>
        <w:rPr>
          <w:b/>
          <w:color w:val="FFFFFF"/>
          <w:spacing w:val="-4"/>
        </w:rPr>
        <w:t>septembre</w:t>
      </w:r>
      <w:r>
        <w:rPr>
          <w:b/>
          <w:color w:val="FFFFFF"/>
          <w:spacing w:val="-12"/>
        </w:rPr>
        <w:t> </w:t>
      </w:r>
      <w:r>
        <w:rPr>
          <w:b/>
          <w:color w:val="FFFFFF"/>
          <w:spacing w:val="-4"/>
        </w:rPr>
        <w:t>2022.</w:t>
      </w:r>
      <w:r>
        <w:rPr>
          <w:b/>
          <w:color w:val="FFFFFF"/>
          <w:spacing w:val="-12"/>
        </w:rPr>
        <w:t> </w:t>
      </w:r>
      <w:r>
        <w:rPr>
          <w:rFonts w:ascii="Segoe UI Semibold" w:hAnsi="Segoe UI Semibold"/>
          <w:b/>
          <w:color w:val="FFFFFF"/>
          <w:spacing w:val="-4"/>
        </w:rPr>
        <w:t>Le</w:t>
      </w:r>
      <w:r>
        <w:rPr>
          <w:rFonts w:ascii="Segoe UI Semibold" w:hAnsi="Segoe UI Semibold"/>
          <w:b/>
          <w:color w:val="FFFFFF"/>
          <w:spacing w:val="-12"/>
        </w:rPr>
        <w:t> </w:t>
      </w:r>
      <w:r>
        <w:rPr>
          <w:rFonts w:ascii="Segoe UI Semibold" w:hAnsi="Segoe UI Semibold"/>
          <w:b/>
          <w:color w:val="FFFFFF"/>
          <w:spacing w:val="-4"/>
        </w:rPr>
        <w:t>président</w:t>
      </w:r>
      <w:r>
        <w:rPr>
          <w:rFonts w:ascii="Segoe UI Semibold" w:hAnsi="Segoe UI Semibold"/>
          <w:b/>
          <w:color w:val="FFFFFF"/>
          <w:spacing w:val="-12"/>
        </w:rPr>
        <w:t> </w:t>
      </w:r>
      <w:r>
        <w:rPr>
          <w:rFonts w:ascii="Segoe UI Semibold" w:hAnsi="Segoe UI Semibold"/>
          <w:b/>
          <w:color w:val="FFFFFF"/>
          <w:spacing w:val="-4"/>
        </w:rPr>
        <w:t>Joseph Biden</w:t>
      </w:r>
      <w:r>
        <w:rPr>
          <w:rFonts w:ascii="Segoe UI Semibold" w:hAnsi="Segoe UI Semibold"/>
          <w:b/>
          <w:color w:val="FFFFFF"/>
          <w:spacing w:val="-13"/>
        </w:rPr>
        <w:t> </w:t>
      </w:r>
      <w:r>
        <w:rPr>
          <w:rFonts w:ascii="Segoe UI Semibold" w:hAnsi="Segoe UI Semibold"/>
          <w:b/>
          <w:color w:val="FFFFFF"/>
          <w:spacing w:val="-4"/>
        </w:rPr>
        <w:t>informe</w:t>
      </w:r>
      <w:r>
        <w:rPr>
          <w:rFonts w:ascii="Segoe UI Semibold" w:hAnsi="Segoe UI Semibold"/>
          <w:b/>
          <w:color w:val="FFFFFF"/>
          <w:spacing w:val="-12"/>
        </w:rPr>
        <w:t> </w:t>
      </w:r>
      <w:r>
        <w:rPr>
          <w:rFonts w:ascii="Segoe UI Semibold" w:hAnsi="Segoe UI Semibold"/>
          <w:b/>
          <w:color w:val="FFFFFF"/>
          <w:spacing w:val="-4"/>
        </w:rPr>
        <w:t>dans</w:t>
      </w:r>
      <w:r>
        <w:rPr>
          <w:rFonts w:ascii="Segoe UI Semibold" w:hAnsi="Segoe UI Semibold"/>
          <w:b/>
          <w:color w:val="FFFFFF"/>
          <w:spacing w:val="-13"/>
        </w:rPr>
        <w:t> </w:t>
      </w:r>
      <w:r>
        <w:rPr>
          <w:rFonts w:ascii="Segoe UI Semibold" w:hAnsi="Segoe UI Semibold"/>
          <w:b/>
          <w:color w:val="FFFFFF"/>
          <w:spacing w:val="-4"/>
        </w:rPr>
        <w:t>un</w:t>
      </w:r>
      <w:r>
        <w:rPr>
          <w:rFonts w:ascii="Segoe UI Semibold" w:hAnsi="Segoe UI Semibold"/>
          <w:b/>
          <w:color w:val="FFFFFF"/>
          <w:spacing w:val="-12"/>
        </w:rPr>
        <w:t> </w:t>
      </w:r>
      <w:r>
        <w:rPr>
          <w:rFonts w:ascii="Segoe UI Semibold" w:hAnsi="Segoe UI Semibold"/>
          <w:b/>
          <w:color w:val="FFFFFF"/>
          <w:spacing w:val="-4"/>
        </w:rPr>
        <w:t>communiqué</w:t>
      </w:r>
      <w:r>
        <w:rPr>
          <w:rFonts w:ascii="Segoe UI Semibold" w:hAnsi="Segoe UI Semibold"/>
          <w:b/>
          <w:color w:val="FFFFFF"/>
          <w:spacing w:val="-13"/>
        </w:rPr>
        <w:t> </w:t>
      </w:r>
      <w:r>
        <w:rPr>
          <w:rFonts w:ascii="Segoe UI Semibold" w:hAnsi="Segoe UI Semibold"/>
          <w:b/>
          <w:color w:val="FFFFFF"/>
          <w:spacing w:val="-4"/>
        </w:rPr>
        <w:t>de </w:t>
      </w:r>
      <w:r>
        <w:rPr>
          <w:rFonts w:ascii="Segoe UI Semibold" w:hAnsi="Segoe UI Semibold"/>
          <w:b/>
          <w:color w:val="FFFFFF"/>
          <w:spacing w:val="-2"/>
        </w:rPr>
        <w:t>la</w:t>
      </w:r>
      <w:r>
        <w:rPr>
          <w:rFonts w:ascii="Segoe UI Semibold" w:hAnsi="Segoe UI Semibold"/>
          <w:b/>
          <w:color w:val="FFFFFF"/>
          <w:spacing w:val="-13"/>
        </w:rPr>
        <w:t> </w:t>
      </w:r>
      <w:r>
        <w:rPr>
          <w:rFonts w:ascii="Segoe UI Semibold" w:hAnsi="Segoe UI Semibold"/>
          <w:b/>
          <w:color w:val="FFFFFF"/>
          <w:spacing w:val="-2"/>
        </w:rPr>
        <w:t>Maison-Blanche</w:t>
      </w:r>
      <w:r>
        <w:rPr>
          <w:rFonts w:ascii="Segoe UI Semibold" w:hAnsi="Segoe UI Semibold"/>
          <w:b/>
          <w:color w:val="FFFFFF"/>
          <w:spacing w:val="-13"/>
        </w:rPr>
        <w:t> </w:t>
      </w:r>
      <w:r>
        <w:rPr>
          <w:rFonts w:ascii="Segoe UI Semibold" w:hAnsi="Segoe UI Semibold"/>
          <w:b/>
          <w:color w:val="FFFFFF"/>
          <w:spacing w:val="-2"/>
        </w:rPr>
        <w:t>qu’il</w:t>
      </w:r>
      <w:r>
        <w:rPr>
          <w:rFonts w:ascii="Segoe UI Semibold" w:hAnsi="Segoe UI Semibold"/>
          <w:b/>
          <w:color w:val="FFFFFF"/>
          <w:spacing w:val="-13"/>
        </w:rPr>
        <w:t> </w:t>
      </w:r>
      <w:r>
        <w:rPr>
          <w:rFonts w:ascii="Segoe UI Semibold" w:hAnsi="Segoe UI Semibold"/>
          <w:b/>
          <w:color w:val="FFFFFF"/>
          <w:spacing w:val="-2"/>
        </w:rPr>
        <w:t>a</w:t>
      </w:r>
      <w:r>
        <w:rPr>
          <w:rFonts w:ascii="Segoe UI Semibold" w:hAnsi="Segoe UI Semibold"/>
          <w:b/>
          <w:color w:val="FFFFFF"/>
          <w:spacing w:val="-13"/>
        </w:rPr>
        <w:t> </w:t>
      </w:r>
      <w:r>
        <w:rPr>
          <w:rFonts w:ascii="Segoe UI Semibold" w:hAnsi="Segoe UI Semibold"/>
          <w:b/>
          <w:color w:val="FFFFFF"/>
          <w:spacing w:val="-2"/>
        </w:rPr>
        <w:t>prorogé</w:t>
      </w:r>
      <w:r>
        <w:rPr>
          <w:rFonts w:ascii="Segoe UI Semibold" w:hAnsi="Segoe UI Semibold"/>
          <w:b/>
          <w:color w:val="FFFFFF"/>
          <w:spacing w:val="-13"/>
        </w:rPr>
        <w:t> </w:t>
      </w:r>
      <w:r>
        <w:rPr>
          <w:rFonts w:ascii="Segoe UI Semibold" w:hAnsi="Segoe UI Semibold"/>
          <w:b/>
          <w:color w:val="FFFFFF"/>
          <w:spacing w:val="-2"/>
        </w:rPr>
        <w:t>pour </w:t>
      </w:r>
      <w:r>
        <w:rPr>
          <w:rFonts w:ascii="Segoe UI Semibold" w:hAnsi="Segoe UI Semibold"/>
          <w:b/>
          <w:color w:val="FFFFFF"/>
          <w:spacing w:val="-4"/>
        </w:rPr>
        <w:t>un</w:t>
      </w:r>
      <w:r>
        <w:rPr>
          <w:rFonts w:ascii="Segoe UI Semibold" w:hAnsi="Segoe UI Semibold"/>
          <w:b/>
          <w:color w:val="FFFFFF"/>
          <w:spacing w:val="-13"/>
        </w:rPr>
        <w:t> </w:t>
      </w:r>
      <w:r>
        <w:rPr>
          <w:rFonts w:ascii="Segoe UI Semibold" w:hAnsi="Segoe UI Semibold"/>
          <w:b/>
          <w:color w:val="FFFFFF"/>
          <w:spacing w:val="-4"/>
        </w:rPr>
        <w:t>an</w:t>
      </w:r>
      <w:r>
        <w:rPr>
          <w:rFonts w:ascii="Segoe UI Semibold" w:hAnsi="Segoe UI Semibold"/>
          <w:b/>
          <w:color w:val="FFFFFF"/>
          <w:spacing w:val="-12"/>
        </w:rPr>
        <w:t> </w:t>
      </w:r>
      <w:r>
        <w:rPr>
          <w:rFonts w:ascii="Segoe UI Semibold" w:hAnsi="Segoe UI Semibold"/>
          <w:b/>
          <w:color w:val="FFFFFF"/>
          <w:spacing w:val="-4"/>
        </w:rPr>
        <w:t>le</w:t>
      </w:r>
      <w:r>
        <w:rPr>
          <w:rFonts w:ascii="Segoe UI Semibold" w:hAnsi="Segoe UI Semibold"/>
          <w:b/>
          <w:color w:val="FFFFFF"/>
          <w:spacing w:val="-13"/>
        </w:rPr>
        <w:t> </w:t>
      </w:r>
      <w:r>
        <w:rPr>
          <w:rFonts w:ascii="Segoe UI Semibold" w:hAnsi="Segoe UI Semibold"/>
          <w:b/>
          <w:color w:val="FFFFFF"/>
          <w:spacing w:val="-4"/>
        </w:rPr>
        <w:t>blocus</w:t>
      </w:r>
      <w:r>
        <w:rPr>
          <w:rFonts w:ascii="Segoe UI Semibold" w:hAnsi="Segoe UI Semibold"/>
          <w:b/>
          <w:color w:val="FFFFFF"/>
          <w:spacing w:val="-12"/>
        </w:rPr>
        <w:t> </w:t>
      </w:r>
      <w:r>
        <w:rPr>
          <w:rFonts w:ascii="Segoe UI Semibold" w:hAnsi="Segoe UI Semibold"/>
          <w:b/>
          <w:color w:val="FFFFFF"/>
          <w:spacing w:val="-4"/>
        </w:rPr>
        <w:t>imposé</w:t>
      </w:r>
      <w:r>
        <w:rPr>
          <w:rFonts w:ascii="Segoe UI Semibold" w:hAnsi="Segoe UI Semibold"/>
          <w:b/>
          <w:color w:val="FFFFFF"/>
          <w:spacing w:val="-13"/>
        </w:rPr>
        <w:t> </w:t>
      </w:r>
      <w:r>
        <w:rPr>
          <w:rFonts w:ascii="Segoe UI Semibold" w:hAnsi="Segoe UI Semibold"/>
          <w:b/>
          <w:color w:val="FFFFFF"/>
          <w:spacing w:val="-4"/>
        </w:rPr>
        <w:t>aux</w:t>
      </w:r>
      <w:r>
        <w:rPr>
          <w:rFonts w:ascii="Segoe UI Semibold" w:hAnsi="Segoe UI Semibold"/>
          <w:b/>
          <w:color w:val="FFFFFF"/>
          <w:spacing w:val="-12"/>
        </w:rPr>
        <w:t> </w:t>
      </w:r>
      <w:r>
        <w:rPr>
          <w:rFonts w:ascii="Segoe UI Semibold" w:hAnsi="Segoe UI Semibold"/>
          <w:b/>
          <w:color w:val="FFFFFF"/>
          <w:spacing w:val="-4"/>
        </w:rPr>
        <w:t>termes</w:t>
      </w:r>
      <w:r>
        <w:rPr>
          <w:rFonts w:ascii="Segoe UI Semibold" w:hAnsi="Segoe UI Semibold"/>
          <w:b/>
          <w:color w:val="FFFFFF"/>
          <w:spacing w:val="-13"/>
        </w:rPr>
        <w:t> </w:t>
      </w:r>
      <w:r>
        <w:rPr>
          <w:rFonts w:ascii="Segoe UI Semibold" w:hAnsi="Segoe UI Semibold"/>
          <w:b/>
          <w:color w:val="FFFFFF"/>
          <w:spacing w:val="-4"/>
        </w:rPr>
        <w:t>de</w:t>
      </w:r>
      <w:r>
        <w:rPr>
          <w:rFonts w:ascii="Segoe UI Semibold" w:hAnsi="Segoe UI Semibold"/>
          <w:b/>
          <w:color w:val="FFFFFF"/>
          <w:spacing w:val="-12"/>
        </w:rPr>
        <w:t> </w:t>
      </w:r>
      <w:r>
        <w:rPr>
          <w:rFonts w:ascii="Segoe UI Semibold" w:hAnsi="Segoe UI Semibold"/>
          <w:b/>
          <w:color w:val="FFFFFF"/>
          <w:spacing w:val="-4"/>
        </w:rPr>
        <w:t>la </w:t>
      </w:r>
      <w:r>
        <w:rPr>
          <w:rFonts w:ascii="Segoe UI Semibold" w:hAnsi="Segoe UI Semibold"/>
          <w:b/>
          <w:color w:val="FFFFFF"/>
        </w:rPr>
        <w:t>Loi</w:t>
      </w:r>
      <w:r>
        <w:rPr>
          <w:rFonts w:ascii="Segoe UI Semibold" w:hAnsi="Segoe UI Semibold"/>
          <w:b/>
          <w:color w:val="FFFFFF"/>
          <w:spacing w:val="-4"/>
        </w:rPr>
        <w:t> </w:t>
      </w:r>
      <w:r>
        <w:rPr>
          <w:rFonts w:ascii="Segoe UI Semibold" w:hAnsi="Segoe UI Semibold"/>
          <w:b/>
          <w:color w:val="FFFFFF"/>
        </w:rPr>
        <w:t>de</w:t>
      </w:r>
      <w:r>
        <w:rPr>
          <w:rFonts w:ascii="Segoe UI Semibold" w:hAnsi="Segoe UI Semibold"/>
          <w:b/>
          <w:color w:val="FFFFFF"/>
          <w:spacing w:val="-4"/>
        </w:rPr>
        <w:t> </w:t>
      </w:r>
      <w:r>
        <w:rPr>
          <w:rFonts w:ascii="Segoe UI Semibold" w:hAnsi="Segoe UI Semibold"/>
          <w:b/>
          <w:color w:val="FFFFFF"/>
        </w:rPr>
        <w:t>commerce</w:t>
      </w:r>
      <w:r>
        <w:rPr>
          <w:rFonts w:ascii="Segoe UI Semibold" w:hAnsi="Segoe UI Semibold"/>
          <w:b/>
          <w:color w:val="FFFFFF"/>
          <w:spacing w:val="-4"/>
        </w:rPr>
        <w:t> </w:t>
      </w:r>
      <w:r>
        <w:rPr>
          <w:rFonts w:ascii="Segoe UI Semibold" w:hAnsi="Segoe UI Semibold"/>
          <w:b/>
          <w:color w:val="FFFFFF"/>
        </w:rPr>
        <w:t>avec</w:t>
      </w:r>
      <w:r>
        <w:rPr>
          <w:rFonts w:ascii="Segoe UI Semibold" w:hAnsi="Segoe UI Semibold"/>
          <w:b/>
          <w:color w:val="FFFFFF"/>
          <w:spacing w:val="-4"/>
        </w:rPr>
        <w:t> </w:t>
      </w:r>
      <w:r>
        <w:rPr>
          <w:rFonts w:ascii="Segoe UI Semibold" w:hAnsi="Segoe UI Semibold"/>
          <w:b/>
          <w:color w:val="FFFFFF"/>
        </w:rPr>
        <w:t>l’ennemi.</w:t>
      </w:r>
    </w:p>
    <w:p>
      <w:pPr>
        <w:pStyle w:val="BodyText"/>
        <w:spacing w:before="164"/>
        <w:ind w:left="412" w:right="1733"/>
        <w:rPr>
          <w:rFonts w:ascii="Segoe UI Semibold" w:hAnsi="Segoe UI Semibold"/>
          <w:b/>
        </w:rPr>
      </w:pPr>
      <w:r>
        <w:rPr>
          <w:b/>
          <w:color w:val="FFFFFF"/>
          <w:spacing w:val="-8"/>
        </w:rPr>
        <w:t>14</w:t>
      </w:r>
      <w:r>
        <w:rPr>
          <w:b/>
          <w:color w:val="FFFFFF"/>
          <w:spacing w:val="-9"/>
        </w:rPr>
        <w:t> </w:t>
      </w:r>
      <w:r>
        <w:rPr>
          <w:b/>
          <w:color w:val="FFFFFF"/>
          <w:spacing w:val="-8"/>
        </w:rPr>
        <w:t>octobre</w:t>
      </w:r>
      <w:r>
        <w:rPr>
          <w:b/>
          <w:color w:val="FFFFFF"/>
          <w:spacing w:val="-9"/>
        </w:rPr>
        <w:t> </w:t>
      </w:r>
      <w:r>
        <w:rPr>
          <w:b/>
          <w:color w:val="FFFFFF"/>
          <w:spacing w:val="-8"/>
        </w:rPr>
        <w:t>2022. </w:t>
      </w:r>
      <w:r>
        <w:rPr>
          <w:rFonts w:ascii="Segoe UI Semibold" w:hAnsi="Segoe UI Semibold"/>
          <w:b/>
          <w:color w:val="FFFFFF"/>
          <w:spacing w:val="-8"/>
        </w:rPr>
        <w:t>Par</w:t>
      </w:r>
      <w:r>
        <w:rPr>
          <w:rFonts w:ascii="Segoe UI Semibold" w:hAnsi="Segoe UI Semibold"/>
          <w:b/>
          <w:color w:val="FFFFFF"/>
          <w:spacing w:val="-9"/>
        </w:rPr>
        <w:t> </w:t>
      </w:r>
      <w:r>
        <w:rPr>
          <w:rFonts w:ascii="Segoe UI Semibold" w:hAnsi="Segoe UI Semibold"/>
          <w:b/>
          <w:color w:val="FFFFFF"/>
          <w:spacing w:val="-8"/>
        </w:rPr>
        <w:t>décret présidentiel, </w:t>
      </w:r>
      <w:r>
        <w:rPr>
          <w:rFonts w:ascii="Segoe UI Semibold" w:hAnsi="Segoe UI Semibold"/>
          <w:b/>
          <w:color w:val="FFFFFF"/>
          <w:spacing w:val="-2"/>
        </w:rPr>
        <w:t>Biden</w:t>
      </w:r>
      <w:r>
        <w:rPr>
          <w:rFonts w:ascii="Segoe UI Semibold" w:hAnsi="Segoe UI Semibold"/>
          <w:b/>
          <w:color w:val="FFFFFF"/>
          <w:spacing w:val="-12"/>
        </w:rPr>
        <w:t> </w:t>
      </w:r>
      <w:r>
        <w:rPr>
          <w:rFonts w:ascii="Segoe UI Semibold" w:hAnsi="Segoe UI Semibold"/>
          <w:b/>
          <w:color w:val="FFFFFF"/>
          <w:spacing w:val="-2"/>
        </w:rPr>
        <w:t>proroge</w:t>
      </w:r>
      <w:r>
        <w:rPr>
          <w:rFonts w:ascii="Segoe UI Semibold" w:hAnsi="Segoe UI Semibold"/>
          <w:b/>
          <w:color w:val="FFFFFF"/>
          <w:spacing w:val="-12"/>
        </w:rPr>
        <w:t> </w:t>
      </w:r>
      <w:r>
        <w:rPr>
          <w:rFonts w:ascii="Segoe UI Semibold" w:hAnsi="Segoe UI Semibold"/>
          <w:b/>
          <w:color w:val="FFFFFF"/>
          <w:spacing w:val="-2"/>
        </w:rPr>
        <w:t>pour</w:t>
      </w:r>
      <w:r>
        <w:rPr>
          <w:rFonts w:ascii="Segoe UI Semibold" w:hAnsi="Segoe UI Semibold"/>
          <w:b/>
          <w:color w:val="FFFFFF"/>
          <w:spacing w:val="-12"/>
        </w:rPr>
        <w:t> </w:t>
      </w:r>
      <w:r>
        <w:rPr>
          <w:rFonts w:ascii="Segoe UI Semibold" w:hAnsi="Segoe UI Semibold"/>
          <w:b/>
          <w:color w:val="FFFFFF"/>
          <w:spacing w:val="-2"/>
        </w:rPr>
        <w:t>un</w:t>
      </w:r>
      <w:r>
        <w:rPr>
          <w:rFonts w:ascii="Segoe UI Semibold" w:hAnsi="Segoe UI Semibold"/>
          <w:b/>
          <w:color w:val="FFFFFF"/>
          <w:spacing w:val="-12"/>
        </w:rPr>
        <w:t> </w:t>
      </w:r>
      <w:r>
        <w:rPr>
          <w:rFonts w:ascii="Segoe UI Semibold" w:hAnsi="Segoe UI Semibold"/>
          <w:b/>
          <w:color w:val="FFFFFF"/>
          <w:spacing w:val="-2"/>
        </w:rPr>
        <w:t>an,</w:t>
      </w:r>
      <w:r>
        <w:rPr>
          <w:rFonts w:ascii="Segoe UI Semibold" w:hAnsi="Segoe UI Semibold"/>
          <w:b/>
          <w:color w:val="FFFFFF"/>
          <w:spacing w:val="-12"/>
        </w:rPr>
        <w:t> </w:t>
      </w:r>
      <w:r>
        <w:rPr>
          <w:rFonts w:ascii="Segoe UI Semibold" w:hAnsi="Segoe UI Semibold"/>
          <w:b/>
          <w:color w:val="FFFFFF"/>
          <w:spacing w:val="-2"/>
        </w:rPr>
        <w:t>entre</w:t>
      </w:r>
      <w:r>
        <w:rPr>
          <w:rFonts w:ascii="Segoe UI Semibold" w:hAnsi="Segoe UI Semibold"/>
          <w:b/>
          <w:color w:val="FFFFFF"/>
          <w:spacing w:val="-12"/>
        </w:rPr>
        <w:t> </w:t>
      </w:r>
      <w:r>
        <w:rPr>
          <w:rFonts w:ascii="Segoe UI Semibold" w:hAnsi="Segoe UI Semibold"/>
          <w:b/>
          <w:color w:val="FFFFFF"/>
          <w:spacing w:val="-2"/>
        </w:rPr>
        <w:t>autres </w:t>
      </w:r>
      <w:r>
        <w:rPr>
          <w:rFonts w:ascii="Segoe UI Semibold" w:hAnsi="Segoe UI Semibold"/>
          <w:b/>
          <w:color w:val="FFFFFF"/>
          <w:spacing w:val="-12"/>
        </w:rPr>
        <w:t>mesures,</w:t>
      </w:r>
      <w:r>
        <w:rPr>
          <w:rFonts w:ascii="Segoe UI Semibold" w:hAnsi="Segoe UI Semibold"/>
          <w:b/>
          <w:color w:val="FFFFFF"/>
          <w:spacing w:val="-5"/>
        </w:rPr>
        <w:t> </w:t>
      </w:r>
      <w:r>
        <w:rPr>
          <w:rFonts w:ascii="Segoe UI Semibold" w:hAnsi="Segoe UI Semibold"/>
          <w:b/>
          <w:color w:val="FFFFFF"/>
          <w:spacing w:val="-12"/>
        </w:rPr>
        <w:t>les</w:t>
      </w:r>
      <w:r>
        <w:rPr>
          <w:rFonts w:ascii="Segoe UI Semibold" w:hAnsi="Segoe UI Semibold"/>
          <w:b/>
          <w:color w:val="FFFFFF"/>
          <w:spacing w:val="-4"/>
        </w:rPr>
        <w:t> </w:t>
      </w:r>
      <w:r>
        <w:rPr>
          <w:rFonts w:ascii="Segoe UI Semibold" w:hAnsi="Segoe UI Semibold"/>
          <w:b/>
          <w:color w:val="FFFFFF"/>
          <w:spacing w:val="-12"/>
        </w:rPr>
        <w:t>restrictions</w:t>
      </w:r>
      <w:r>
        <w:rPr>
          <w:rFonts w:ascii="Segoe UI Semibold" w:hAnsi="Segoe UI Semibold"/>
          <w:b/>
          <w:color w:val="FFFFFF"/>
          <w:spacing w:val="-5"/>
        </w:rPr>
        <w:t> </w:t>
      </w:r>
      <w:r>
        <w:rPr>
          <w:rFonts w:ascii="Segoe UI Semibold" w:hAnsi="Segoe UI Semibold"/>
          <w:b/>
          <w:color w:val="FFFFFF"/>
          <w:spacing w:val="-12"/>
        </w:rPr>
        <w:t>à</w:t>
      </w:r>
      <w:r>
        <w:rPr>
          <w:rFonts w:ascii="Segoe UI Semibold" w:hAnsi="Segoe UI Semibold"/>
          <w:b/>
          <w:color w:val="FFFFFF"/>
          <w:spacing w:val="-4"/>
        </w:rPr>
        <w:t> </w:t>
      </w:r>
      <w:r>
        <w:rPr>
          <w:rFonts w:ascii="Segoe UI Semibold" w:hAnsi="Segoe UI Semibold"/>
          <w:b/>
          <w:color w:val="FFFFFF"/>
          <w:spacing w:val="-12"/>
        </w:rPr>
        <w:t>l’octroi</w:t>
      </w:r>
      <w:r>
        <w:rPr>
          <w:rFonts w:ascii="Segoe UI Semibold" w:hAnsi="Segoe UI Semibold"/>
          <w:b/>
          <w:color w:val="FFFFFF"/>
          <w:spacing w:val="-5"/>
        </w:rPr>
        <w:t> </w:t>
      </w:r>
      <w:r>
        <w:rPr>
          <w:rFonts w:ascii="Segoe UI Semibold" w:hAnsi="Segoe UI Semibold"/>
          <w:b/>
          <w:color w:val="FFFFFF"/>
          <w:spacing w:val="-12"/>
        </w:rPr>
        <w:t>de</w:t>
      </w:r>
      <w:r>
        <w:rPr>
          <w:rFonts w:ascii="Segoe UI Semibold" w:hAnsi="Segoe UI Semibold"/>
          <w:b/>
          <w:color w:val="FFFFFF"/>
          <w:spacing w:val="-4"/>
        </w:rPr>
        <w:t> </w:t>
      </w:r>
      <w:r>
        <w:rPr>
          <w:rFonts w:ascii="Segoe UI Semibold" w:hAnsi="Segoe UI Semibold"/>
          <w:b/>
          <w:color w:val="FFFFFF"/>
          <w:spacing w:val="-12"/>
        </w:rPr>
        <w:t>fonds </w:t>
      </w:r>
      <w:r>
        <w:rPr>
          <w:rFonts w:ascii="Segoe UI Semibold" w:hAnsi="Segoe UI Semibold"/>
          <w:b/>
          <w:color w:val="FFFFFF"/>
          <w:spacing w:val="-4"/>
        </w:rPr>
        <w:t>fédéraux</w:t>
      </w:r>
      <w:r>
        <w:rPr>
          <w:rFonts w:ascii="Segoe UI Semibold" w:hAnsi="Segoe UI Semibold"/>
          <w:b/>
          <w:color w:val="FFFFFF"/>
          <w:spacing w:val="-13"/>
        </w:rPr>
        <w:t> </w:t>
      </w:r>
      <w:r>
        <w:rPr>
          <w:rFonts w:ascii="Segoe UI Semibold" w:hAnsi="Segoe UI Semibold"/>
          <w:b/>
          <w:color w:val="FFFFFF"/>
          <w:spacing w:val="-4"/>
        </w:rPr>
        <w:t>pour</w:t>
      </w:r>
      <w:r>
        <w:rPr>
          <w:rFonts w:ascii="Segoe UI Semibold" w:hAnsi="Segoe UI Semibold"/>
          <w:b/>
          <w:color w:val="FFFFFF"/>
          <w:spacing w:val="-12"/>
        </w:rPr>
        <w:t> </w:t>
      </w:r>
      <w:r>
        <w:rPr>
          <w:rFonts w:ascii="Segoe UI Semibold" w:hAnsi="Segoe UI Semibold"/>
          <w:b/>
          <w:color w:val="FFFFFF"/>
          <w:spacing w:val="-4"/>
        </w:rPr>
        <w:t>des</w:t>
      </w:r>
      <w:r>
        <w:rPr>
          <w:rFonts w:ascii="Segoe UI Semibold" w:hAnsi="Segoe UI Semibold"/>
          <w:b/>
          <w:color w:val="FFFFFF"/>
          <w:spacing w:val="-13"/>
        </w:rPr>
        <w:t> </w:t>
      </w:r>
      <w:r>
        <w:rPr>
          <w:rFonts w:ascii="Segoe UI Semibold" w:hAnsi="Segoe UI Semibold"/>
          <w:b/>
          <w:color w:val="FFFFFF"/>
          <w:spacing w:val="-4"/>
        </w:rPr>
        <w:t>échanges</w:t>
      </w:r>
      <w:r>
        <w:rPr>
          <w:rFonts w:ascii="Segoe UI Semibold" w:hAnsi="Segoe UI Semibold"/>
          <w:b/>
          <w:color w:val="FFFFFF"/>
          <w:spacing w:val="-12"/>
        </w:rPr>
        <w:t> </w:t>
      </w:r>
      <w:r>
        <w:rPr>
          <w:rFonts w:ascii="Segoe UI Semibold" w:hAnsi="Segoe UI Semibold"/>
          <w:b/>
          <w:color w:val="FFFFFF"/>
          <w:spacing w:val="-4"/>
        </w:rPr>
        <w:t>culturels</w:t>
      </w:r>
      <w:r>
        <w:rPr>
          <w:rFonts w:ascii="Segoe UI Semibold" w:hAnsi="Segoe UI Semibold"/>
          <w:b/>
          <w:color w:val="FFFFFF"/>
          <w:spacing w:val="-13"/>
        </w:rPr>
        <w:t> </w:t>
      </w:r>
      <w:r>
        <w:rPr>
          <w:rFonts w:ascii="Segoe UI Semibold" w:hAnsi="Segoe UI Semibold"/>
          <w:b/>
          <w:color w:val="FFFFFF"/>
          <w:spacing w:val="-4"/>
        </w:rPr>
        <w:t>et </w:t>
      </w:r>
      <w:r>
        <w:rPr>
          <w:rFonts w:ascii="Segoe UI Semibold" w:hAnsi="Segoe UI Semibold"/>
          <w:b/>
          <w:color w:val="FFFFFF"/>
        </w:rPr>
        <w:t>éducationnels</w:t>
      </w:r>
      <w:r>
        <w:rPr>
          <w:rFonts w:ascii="Segoe UI Semibold" w:hAnsi="Segoe UI Semibold"/>
          <w:b/>
          <w:color w:val="FFFFFF"/>
          <w:spacing w:val="-17"/>
        </w:rPr>
        <w:t> </w:t>
      </w:r>
      <w:r>
        <w:rPr>
          <w:rFonts w:ascii="Segoe UI Semibold" w:hAnsi="Segoe UI Semibold"/>
          <w:b/>
          <w:color w:val="FFFFFF"/>
        </w:rPr>
        <w:t>avec</w:t>
      </w:r>
      <w:r>
        <w:rPr>
          <w:rFonts w:ascii="Segoe UI Semibold" w:hAnsi="Segoe UI Semibold"/>
          <w:b/>
          <w:color w:val="FFFFFF"/>
          <w:spacing w:val="-16"/>
        </w:rPr>
        <w:t> </w:t>
      </w:r>
      <w:r>
        <w:rPr>
          <w:rFonts w:ascii="Segoe UI Semibold" w:hAnsi="Segoe UI Semibold"/>
          <w:b/>
          <w:color w:val="FFFFFF"/>
        </w:rPr>
        <w:t>Cuba,</w:t>
      </w:r>
      <w:r>
        <w:rPr>
          <w:rFonts w:ascii="Segoe UI Semibold" w:hAnsi="Segoe UI Semibold"/>
          <w:b/>
          <w:color w:val="FFFFFF"/>
          <w:spacing w:val="-17"/>
        </w:rPr>
        <w:t> </w:t>
      </w:r>
      <w:r>
        <w:rPr>
          <w:rFonts w:ascii="Segoe UI Semibold" w:hAnsi="Segoe UI Semibold"/>
          <w:b/>
          <w:color w:val="FFFFFF"/>
        </w:rPr>
        <w:t>au</w:t>
      </w:r>
      <w:r>
        <w:rPr>
          <w:rFonts w:ascii="Segoe UI Semibold" w:hAnsi="Segoe UI Semibold"/>
          <w:b/>
          <w:color w:val="FFFFFF"/>
          <w:spacing w:val="-16"/>
        </w:rPr>
        <w:t> </w:t>
      </w:r>
      <w:r>
        <w:rPr>
          <w:rFonts w:ascii="Segoe UI Semibold" w:hAnsi="Segoe UI Semibold"/>
          <w:b/>
          <w:color w:val="FFFFFF"/>
        </w:rPr>
        <w:t>motif</w:t>
      </w:r>
      <w:r>
        <w:rPr>
          <w:rFonts w:ascii="Segoe UI Semibold" w:hAnsi="Segoe UI Semibold"/>
          <w:b/>
          <w:color w:val="FFFFFF"/>
          <w:spacing w:val="-17"/>
        </w:rPr>
        <w:t> </w:t>
      </w:r>
      <w:r>
        <w:rPr>
          <w:rFonts w:ascii="Segoe UI Semibold" w:hAnsi="Segoe UI Semibold"/>
          <w:b/>
          <w:color w:val="FFFFFF"/>
        </w:rPr>
        <w:t>que celle-ci</w:t>
      </w:r>
      <w:r>
        <w:rPr>
          <w:rFonts w:ascii="Segoe UI Semibold" w:hAnsi="Segoe UI Semibold"/>
          <w:b/>
          <w:color w:val="FFFFFF"/>
          <w:spacing w:val="-17"/>
        </w:rPr>
        <w:t> </w:t>
      </w:r>
      <w:r>
        <w:rPr>
          <w:rFonts w:ascii="Segoe UI Semibold" w:hAnsi="Segoe UI Semibold"/>
          <w:b/>
          <w:color w:val="FFFFFF"/>
        </w:rPr>
        <w:t>reste</w:t>
      </w:r>
      <w:r>
        <w:rPr>
          <w:rFonts w:ascii="Segoe UI Semibold" w:hAnsi="Segoe UI Semibold"/>
          <w:b/>
          <w:color w:val="FFFFFF"/>
          <w:spacing w:val="-16"/>
        </w:rPr>
        <w:t> </w:t>
      </w:r>
      <w:r>
        <w:rPr>
          <w:rFonts w:ascii="Segoe UI Semibold" w:hAnsi="Segoe UI Semibold"/>
          <w:b/>
          <w:color w:val="FFFFFF"/>
        </w:rPr>
        <w:t>toujours</w:t>
      </w:r>
      <w:r>
        <w:rPr>
          <w:rFonts w:ascii="Segoe UI Semibold" w:hAnsi="Segoe UI Semibold"/>
          <w:b/>
          <w:color w:val="FFFFFF"/>
          <w:spacing w:val="-17"/>
        </w:rPr>
        <w:t> </w:t>
      </w:r>
      <w:r>
        <w:rPr>
          <w:rFonts w:ascii="Segoe UI Semibold" w:hAnsi="Segoe UI Semibold"/>
          <w:b/>
          <w:color w:val="FFFFFF"/>
        </w:rPr>
        <w:t>située</w:t>
      </w:r>
      <w:r>
        <w:rPr>
          <w:rFonts w:ascii="Segoe UI Semibold" w:hAnsi="Segoe UI Semibold"/>
          <w:b/>
          <w:color w:val="FFFFFF"/>
          <w:spacing w:val="-16"/>
        </w:rPr>
        <w:t> </w:t>
      </w:r>
      <w:r>
        <w:rPr>
          <w:rFonts w:ascii="Segoe UI Semibold" w:hAnsi="Segoe UI Semibold"/>
          <w:b/>
          <w:color w:val="FFFFFF"/>
        </w:rPr>
        <w:t>au</w:t>
      </w:r>
      <w:r>
        <w:rPr>
          <w:rFonts w:ascii="Segoe UI Semibold" w:hAnsi="Segoe UI Semibold"/>
          <w:b/>
          <w:color w:val="FFFFFF"/>
          <w:spacing w:val="-17"/>
        </w:rPr>
        <w:t> </w:t>
      </w:r>
      <w:r>
        <w:rPr>
          <w:rFonts w:ascii="Segoe UI Semibold" w:hAnsi="Segoe UI Semibold"/>
          <w:b/>
          <w:color w:val="FFFFFF"/>
        </w:rPr>
        <w:t>Niveau 3 du Rapport annuel du département </w:t>
      </w:r>
      <w:r>
        <w:rPr>
          <w:rFonts w:ascii="Segoe UI Semibold" w:hAnsi="Segoe UI Semibold"/>
          <w:b/>
          <w:color w:val="FFFFFF"/>
          <w:spacing w:val="-2"/>
        </w:rPr>
        <w:t>d’État</w:t>
      </w:r>
      <w:r>
        <w:rPr>
          <w:rFonts w:ascii="Segoe UI Semibold" w:hAnsi="Segoe UI Semibold"/>
          <w:b/>
          <w:color w:val="FFFFFF"/>
          <w:spacing w:val="-15"/>
        </w:rPr>
        <w:t> </w:t>
      </w:r>
      <w:r>
        <w:rPr>
          <w:rFonts w:ascii="Segoe UI Semibold" w:hAnsi="Segoe UI Semibold"/>
          <w:b/>
          <w:color w:val="FFFFFF"/>
          <w:spacing w:val="-2"/>
        </w:rPr>
        <w:t>sur</w:t>
      </w:r>
      <w:r>
        <w:rPr>
          <w:rFonts w:ascii="Segoe UI Semibold" w:hAnsi="Segoe UI Semibold"/>
          <w:b/>
          <w:color w:val="FFFFFF"/>
          <w:spacing w:val="-15"/>
        </w:rPr>
        <w:t> </w:t>
      </w:r>
      <w:r>
        <w:rPr>
          <w:rFonts w:ascii="Segoe UI Semibold" w:hAnsi="Segoe UI Semibold"/>
          <w:b/>
          <w:color w:val="FFFFFF"/>
          <w:spacing w:val="-2"/>
        </w:rPr>
        <w:t>la</w:t>
      </w:r>
      <w:r>
        <w:rPr>
          <w:rFonts w:ascii="Segoe UI Semibold" w:hAnsi="Segoe UI Semibold"/>
          <w:b/>
          <w:color w:val="FFFFFF"/>
          <w:spacing w:val="-15"/>
        </w:rPr>
        <w:t> </w:t>
      </w:r>
      <w:r>
        <w:rPr>
          <w:rFonts w:ascii="Segoe UI Semibold" w:hAnsi="Segoe UI Semibold"/>
          <w:b/>
          <w:color w:val="FFFFFF"/>
          <w:spacing w:val="-2"/>
        </w:rPr>
        <w:t>traite</w:t>
      </w:r>
      <w:r>
        <w:rPr>
          <w:rFonts w:ascii="Segoe UI Semibold" w:hAnsi="Segoe UI Semibold"/>
          <w:b/>
          <w:color w:val="FFFFFF"/>
          <w:spacing w:val="-15"/>
        </w:rPr>
        <w:t> </w:t>
      </w:r>
      <w:r>
        <w:rPr>
          <w:rFonts w:ascii="Segoe UI Semibold" w:hAnsi="Segoe UI Semibold"/>
          <w:b/>
          <w:color w:val="FFFFFF"/>
          <w:spacing w:val="-2"/>
        </w:rPr>
        <w:t>d’êtres</w:t>
      </w:r>
      <w:r>
        <w:rPr>
          <w:rFonts w:ascii="Segoe UI Semibold" w:hAnsi="Segoe UI Semibold"/>
          <w:b/>
          <w:color w:val="FFFFFF"/>
          <w:spacing w:val="-15"/>
        </w:rPr>
        <w:t> </w:t>
      </w:r>
      <w:r>
        <w:rPr>
          <w:rFonts w:ascii="Segoe UI Semibold" w:hAnsi="Segoe UI Semibold"/>
          <w:b/>
          <w:color w:val="FFFFFF"/>
          <w:spacing w:val="-2"/>
        </w:rPr>
        <w:t>humains.</w:t>
      </w:r>
    </w:p>
    <w:p>
      <w:pPr>
        <w:pStyle w:val="BodyText"/>
        <w:spacing w:before="166"/>
        <w:ind w:left="412" w:right="1733"/>
        <w:rPr>
          <w:rFonts w:ascii="Segoe UI Semibold" w:hAnsi="Segoe UI Semibold"/>
          <w:b/>
        </w:rPr>
      </w:pPr>
      <w:r>
        <w:rPr>
          <w:b/>
          <w:color w:val="FFFFFF"/>
        </w:rPr>
        <w:t>30 novembre 2022. </w:t>
      </w:r>
      <w:r>
        <w:rPr>
          <w:rFonts w:ascii="Segoe UI Semibold" w:hAnsi="Segoe UI Semibold"/>
          <w:b/>
          <w:color w:val="FFFFFF"/>
        </w:rPr>
        <w:t>Le département d’État publie une recommandation que le Comité d’évaluation sur la participation étrangère aux services de</w:t>
      </w:r>
      <w:r>
        <w:rPr>
          <w:rFonts w:ascii="Segoe UI Semibold" w:hAnsi="Segoe UI Semibold"/>
          <w:b/>
          <w:color w:val="FFFFFF"/>
          <w:spacing w:val="-7"/>
        </w:rPr>
        <w:t> </w:t>
      </w:r>
      <w:r>
        <w:rPr>
          <w:rFonts w:ascii="Segoe UI Semibold" w:hAnsi="Segoe UI Semibold"/>
          <w:b/>
          <w:color w:val="FFFFFF"/>
        </w:rPr>
        <w:t>télécommunications</w:t>
      </w:r>
      <w:r>
        <w:rPr>
          <w:rFonts w:ascii="Segoe UI Semibold" w:hAnsi="Segoe UI Semibold"/>
          <w:b/>
          <w:color w:val="FFFFFF"/>
          <w:spacing w:val="-7"/>
        </w:rPr>
        <w:t> </w:t>
      </w:r>
      <w:r>
        <w:rPr>
          <w:rFonts w:ascii="Segoe UI Semibold" w:hAnsi="Segoe UI Semibold"/>
          <w:b/>
          <w:color w:val="FFFFFF"/>
        </w:rPr>
        <w:t>des</w:t>
      </w:r>
      <w:r>
        <w:rPr>
          <w:rFonts w:ascii="Segoe UI Semibold" w:hAnsi="Segoe UI Semibold"/>
          <w:b/>
          <w:color w:val="FFFFFF"/>
          <w:spacing w:val="-7"/>
        </w:rPr>
        <w:t> </w:t>
      </w:r>
      <w:r>
        <w:rPr>
          <w:rFonts w:ascii="Segoe UI Semibold" w:hAnsi="Segoe UI Semibold"/>
          <w:b/>
          <w:color w:val="FFFFFF"/>
        </w:rPr>
        <w:t>États-Unis adresse à la Commission fédérale des </w:t>
      </w:r>
      <w:r>
        <w:rPr>
          <w:rFonts w:ascii="Segoe UI Semibold" w:hAnsi="Segoe UI Semibold"/>
          <w:b/>
          <w:color w:val="FFFFFF"/>
          <w:spacing w:val="-6"/>
        </w:rPr>
        <w:t>communications</w:t>
      </w:r>
      <w:r>
        <w:rPr>
          <w:rFonts w:ascii="Segoe UI Semibold" w:hAnsi="Segoe UI Semibold"/>
          <w:b/>
          <w:color w:val="FFFFFF"/>
          <w:spacing w:val="-11"/>
        </w:rPr>
        <w:t> </w:t>
      </w:r>
      <w:r>
        <w:rPr>
          <w:rFonts w:ascii="Segoe UI Semibold" w:hAnsi="Segoe UI Semibold"/>
          <w:b/>
          <w:color w:val="FFFFFF"/>
          <w:spacing w:val="-6"/>
        </w:rPr>
        <w:t>pour</w:t>
      </w:r>
      <w:r>
        <w:rPr>
          <w:rFonts w:ascii="Segoe UI Semibold" w:hAnsi="Segoe UI Semibold"/>
          <w:b/>
          <w:color w:val="FFFFFF"/>
          <w:spacing w:val="-10"/>
        </w:rPr>
        <w:t> </w:t>
      </w:r>
      <w:r>
        <w:rPr>
          <w:rFonts w:ascii="Segoe UI Semibold" w:hAnsi="Segoe UI Semibold"/>
          <w:b/>
          <w:color w:val="FFFFFF"/>
          <w:spacing w:val="-6"/>
        </w:rPr>
        <w:t>qu’elle</w:t>
      </w:r>
      <w:r>
        <w:rPr>
          <w:rFonts w:ascii="Segoe UI Semibold" w:hAnsi="Segoe UI Semibold"/>
          <w:b/>
          <w:color w:val="FFFFFF"/>
          <w:spacing w:val="-11"/>
        </w:rPr>
        <w:t> </w:t>
      </w:r>
      <w:r>
        <w:rPr>
          <w:rFonts w:ascii="Segoe UI Semibold" w:hAnsi="Segoe UI Semibold"/>
          <w:b/>
          <w:color w:val="FFFFFF"/>
          <w:spacing w:val="-6"/>
        </w:rPr>
        <w:t>refuse</w:t>
      </w:r>
      <w:r>
        <w:rPr>
          <w:rFonts w:ascii="Segoe UI Semibold" w:hAnsi="Segoe UI Semibold"/>
          <w:b/>
          <w:color w:val="FFFFFF"/>
          <w:spacing w:val="-10"/>
        </w:rPr>
        <w:t> </w:t>
      </w:r>
      <w:r>
        <w:rPr>
          <w:rFonts w:ascii="Segoe UI Semibold" w:hAnsi="Segoe UI Semibold"/>
          <w:b/>
          <w:color w:val="FFFFFF"/>
          <w:spacing w:val="-6"/>
        </w:rPr>
        <w:t>une </w:t>
      </w:r>
      <w:r>
        <w:rPr>
          <w:rFonts w:ascii="Segoe UI Semibold" w:hAnsi="Segoe UI Semibold"/>
          <w:b/>
          <w:color w:val="FFFFFF"/>
        </w:rPr>
        <w:t>demande du Système de câble sous- marin</w:t>
      </w:r>
      <w:r>
        <w:rPr>
          <w:rFonts w:ascii="Segoe UI Semibold" w:hAnsi="Segoe UI Semibold"/>
          <w:b/>
          <w:color w:val="FFFFFF"/>
          <w:spacing w:val="-12"/>
        </w:rPr>
        <w:t> </w:t>
      </w:r>
      <w:r>
        <w:rPr>
          <w:rFonts w:ascii="Segoe UI Semibold" w:hAnsi="Segoe UI Semibold"/>
          <w:b/>
          <w:color w:val="FFFFFF"/>
        </w:rPr>
        <w:t>ARCOS-1</w:t>
      </w:r>
      <w:r>
        <w:rPr>
          <w:rFonts w:ascii="Segoe UI Semibold" w:hAnsi="Segoe UI Semibold"/>
          <w:b/>
          <w:color w:val="FFFFFF"/>
          <w:spacing w:val="-12"/>
        </w:rPr>
        <w:t> </w:t>
      </w:r>
      <w:r>
        <w:rPr>
          <w:rFonts w:ascii="Segoe UI Semibold" w:hAnsi="Segoe UI Semibold"/>
          <w:b/>
          <w:color w:val="FFFFFF"/>
        </w:rPr>
        <w:t>d’ajouter</w:t>
      </w:r>
      <w:r>
        <w:rPr>
          <w:rFonts w:ascii="Segoe UI Semibold" w:hAnsi="Segoe UI Semibold"/>
          <w:b/>
          <w:color w:val="FFFFFF"/>
          <w:spacing w:val="-12"/>
        </w:rPr>
        <w:t> </w:t>
      </w:r>
      <w:r>
        <w:rPr>
          <w:rFonts w:ascii="Segoe UI Semibold" w:hAnsi="Segoe UI Semibold"/>
          <w:b/>
          <w:color w:val="FFFFFF"/>
        </w:rPr>
        <w:t>une</w:t>
      </w:r>
      <w:r>
        <w:rPr>
          <w:rFonts w:ascii="Segoe UI Semibold" w:hAnsi="Segoe UI Semibold"/>
          <w:b/>
          <w:color w:val="FFFFFF"/>
          <w:spacing w:val="-12"/>
        </w:rPr>
        <w:t> </w:t>
      </w:r>
      <w:r>
        <w:rPr>
          <w:rFonts w:ascii="Segoe UI Semibold" w:hAnsi="Segoe UI Semibold"/>
          <w:b/>
          <w:color w:val="FFFFFF"/>
        </w:rPr>
        <w:t>station</w:t>
      </w:r>
      <w:r>
        <w:rPr>
          <w:rFonts w:ascii="Segoe UI Semibold" w:hAnsi="Segoe UI Semibold"/>
          <w:b/>
          <w:color w:val="FFFFFF"/>
          <w:spacing w:val="-12"/>
        </w:rPr>
        <w:t> </w:t>
      </w:r>
      <w:r>
        <w:rPr>
          <w:rFonts w:ascii="Segoe UI Semibold" w:hAnsi="Segoe UI Semibold"/>
          <w:b/>
          <w:color w:val="FFFFFF"/>
        </w:rPr>
        <w:t>à Cuba,</w:t>
      </w:r>
      <w:r>
        <w:rPr>
          <w:rFonts w:ascii="Segoe UI Semibold" w:hAnsi="Segoe UI Semibold"/>
          <w:b/>
          <w:color w:val="FFFFFF"/>
          <w:spacing w:val="-3"/>
        </w:rPr>
        <w:t> </w:t>
      </w:r>
      <w:r>
        <w:rPr>
          <w:rFonts w:ascii="Segoe UI Semibold" w:hAnsi="Segoe UI Semibold"/>
          <w:b/>
          <w:color w:val="FFFFFF"/>
        </w:rPr>
        <w:t>au</w:t>
      </w:r>
      <w:r>
        <w:rPr>
          <w:rFonts w:ascii="Segoe UI Semibold" w:hAnsi="Segoe UI Semibold"/>
          <w:b/>
          <w:color w:val="FFFFFF"/>
          <w:spacing w:val="-3"/>
        </w:rPr>
        <w:t> </w:t>
      </w:r>
      <w:r>
        <w:rPr>
          <w:rFonts w:ascii="Segoe UI Semibold" w:hAnsi="Segoe UI Semibold"/>
          <w:b/>
          <w:color w:val="FFFFFF"/>
        </w:rPr>
        <w:t>motif</w:t>
      </w:r>
      <w:r>
        <w:rPr>
          <w:rFonts w:ascii="Segoe UI Semibold" w:hAnsi="Segoe UI Semibold"/>
          <w:b/>
          <w:color w:val="FFFFFF"/>
          <w:spacing w:val="-3"/>
        </w:rPr>
        <w:t> </w:t>
      </w:r>
      <w:r>
        <w:rPr>
          <w:rFonts w:ascii="Segoe UI Semibold" w:hAnsi="Segoe UI Semibold"/>
          <w:b/>
          <w:color w:val="FFFFFF"/>
        </w:rPr>
        <w:t>que</w:t>
      </w:r>
      <w:r>
        <w:rPr>
          <w:rFonts w:ascii="Segoe UI Semibold" w:hAnsi="Segoe UI Semibold"/>
          <w:b/>
          <w:color w:val="FFFFFF"/>
          <w:spacing w:val="-3"/>
        </w:rPr>
        <w:t> </w:t>
      </w:r>
      <w:r>
        <w:rPr>
          <w:rFonts w:ascii="Segoe UI Semibold" w:hAnsi="Segoe UI Semibold"/>
          <w:b/>
          <w:color w:val="FFFFFF"/>
        </w:rPr>
        <w:t>celle-ci</w:t>
      </w:r>
      <w:r>
        <w:rPr>
          <w:rFonts w:ascii="Segoe UI Semibold" w:hAnsi="Segoe UI Semibold"/>
          <w:b/>
          <w:color w:val="FFFFFF"/>
          <w:spacing w:val="-3"/>
        </w:rPr>
        <w:t> </w:t>
      </w:r>
      <w:r>
        <w:rPr>
          <w:rFonts w:ascii="Segoe UI Semibold" w:hAnsi="Segoe UI Semibold"/>
          <w:b/>
          <w:color w:val="FFFFFF"/>
        </w:rPr>
        <w:t>représente </w:t>
      </w:r>
      <w:r>
        <w:rPr>
          <w:rFonts w:ascii="Segoe UI Semibold" w:hAnsi="Segoe UI Semibold"/>
          <w:b/>
          <w:color w:val="FFFFFF"/>
          <w:spacing w:val="-6"/>
        </w:rPr>
        <w:t>une</w:t>
      </w:r>
      <w:r>
        <w:rPr>
          <w:rFonts w:ascii="Segoe UI Semibold" w:hAnsi="Segoe UI Semibold"/>
          <w:b/>
          <w:color w:val="FFFFFF"/>
          <w:spacing w:val="-11"/>
        </w:rPr>
        <w:t> </w:t>
      </w:r>
      <w:r>
        <w:rPr>
          <w:rFonts w:ascii="Segoe UI Semibold" w:hAnsi="Segoe UI Semibold"/>
          <w:b/>
          <w:color w:val="FFFFFF"/>
          <w:spacing w:val="-6"/>
        </w:rPr>
        <w:t>menace</w:t>
      </w:r>
      <w:r>
        <w:rPr>
          <w:rFonts w:ascii="Segoe UI Semibold" w:hAnsi="Segoe UI Semibold"/>
          <w:b/>
          <w:color w:val="FFFFFF"/>
          <w:spacing w:val="-10"/>
        </w:rPr>
        <w:t> </w:t>
      </w:r>
      <w:r>
        <w:rPr>
          <w:rFonts w:ascii="Segoe UI Semibold" w:hAnsi="Segoe UI Semibold"/>
          <w:b/>
          <w:color w:val="FFFFFF"/>
          <w:spacing w:val="-6"/>
        </w:rPr>
        <w:t>de</w:t>
      </w:r>
      <w:r>
        <w:rPr>
          <w:rFonts w:ascii="Segoe UI Semibold" w:hAnsi="Segoe UI Semibold"/>
          <w:b/>
          <w:color w:val="FFFFFF"/>
          <w:spacing w:val="-11"/>
        </w:rPr>
        <w:t> </w:t>
      </w:r>
      <w:r>
        <w:rPr>
          <w:rFonts w:ascii="Segoe UI Semibold" w:hAnsi="Segoe UI Semibold"/>
          <w:b/>
          <w:color w:val="FFFFFF"/>
          <w:spacing w:val="-6"/>
        </w:rPr>
        <w:t>contre-espionnage</w:t>
      </w:r>
      <w:r>
        <w:rPr>
          <w:rFonts w:ascii="Segoe UI Semibold" w:hAnsi="Segoe UI Semibold"/>
          <w:b/>
          <w:color w:val="FFFFFF"/>
          <w:spacing w:val="-10"/>
        </w:rPr>
        <w:t> </w:t>
      </w:r>
      <w:r>
        <w:rPr>
          <w:rFonts w:ascii="Segoe UI Semibold" w:hAnsi="Segoe UI Semibold"/>
          <w:b/>
          <w:color w:val="FFFFFF"/>
          <w:spacing w:val="-6"/>
        </w:rPr>
        <w:t>pour </w:t>
      </w:r>
      <w:r>
        <w:rPr>
          <w:rFonts w:ascii="Segoe UI Semibold" w:hAnsi="Segoe UI Semibold"/>
          <w:b/>
          <w:color w:val="FFFFFF"/>
          <w:spacing w:val="-12"/>
        </w:rPr>
        <w:t>les</w:t>
      </w:r>
      <w:r>
        <w:rPr>
          <w:rFonts w:ascii="Segoe UI Semibold" w:hAnsi="Segoe UI Semibold"/>
          <w:b/>
          <w:color w:val="FFFFFF"/>
          <w:spacing w:val="-5"/>
        </w:rPr>
        <w:t> </w:t>
      </w:r>
      <w:r>
        <w:rPr>
          <w:rFonts w:ascii="Segoe UI Semibold" w:hAnsi="Segoe UI Semibold"/>
          <w:b/>
          <w:color w:val="FFFFFF"/>
          <w:spacing w:val="-12"/>
        </w:rPr>
        <w:t>États-Unis</w:t>
      </w:r>
      <w:r>
        <w:rPr>
          <w:rFonts w:ascii="Segoe UI Semibold" w:hAnsi="Segoe UI Semibold"/>
          <w:b/>
          <w:color w:val="FFFFFF"/>
          <w:spacing w:val="-4"/>
        </w:rPr>
        <w:t> </w:t>
      </w:r>
      <w:r>
        <w:rPr>
          <w:rFonts w:ascii="Segoe UI Semibold" w:hAnsi="Segoe UI Semibold"/>
          <w:b/>
          <w:color w:val="FFFFFF"/>
          <w:spacing w:val="-12"/>
        </w:rPr>
        <w:t>et</w:t>
      </w:r>
      <w:r>
        <w:rPr>
          <w:rFonts w:ascii="Segoe UI Semibold" w:hAnsi="Segoe UI Semibold"/>
          <w:b/>
          <w:color w:val="FFFFFF"/>
          <w:spacing w:val="-5"/>
        </w:rPr>
        <w:t> </w:t>
      </w:r>
      <w:r>
        <w:rPr>
          <w:rFonts w:ascii="Segoe UI Semibold" w:hAnsi="Segoe UI Semibold"/>
          <w:b/>
          <w:color w:val="FFFFFF"/>
          <w:spacing w:val="-12"/>
        </w:rPr>
        <w:t>qu’elle</w:t>
      </w:r>
      <w:r>
        <w:rPr>
          <w:rFonts w:ascii="Segoe UI Semibold" w:hAnsi="Segoe UI Semibold"/>
          <w:b/>
          <w:color w:val="FFFFFF"/>
          <w:spacing w:val="-4"/>
        </w:rPr>
        <w:t> </w:t>
      </w:r>
      <w:r>
        <w:rPr>
          <w:rFonts w:ascii="Segoe UI Semibold" w:hAnsi="Segoe UI Semibold"/>
          <w:b/>
          <w:color w:val="FFFFFF"/>
          <w:spacing w:val="-12"/>
        </w:rPr>
        <w:t>est</w:t>
      </w:r>
      <w:r>
        <w:rPr>
          <w:rFonts w:ascii="Segoe UI Semibold" w:hAnsi="Segoe UI Semibold"/>
          <w:b/>
          <w:color w:val="FFFFFF"/>
          <w:spacing w:val="-5"/>
        </w:rPr>
        <w:t> </w:t>
      </w:r>
      <w:r>
        <w:rPr>
          <w:rFonts w:ascii="Segoe UI Semibold" w:hAnsi="Segoe UI Semibold"/>
          <w:b/>
          <w:color w:val="FFFFFF"/>
          <w:spacing w:val="-12"/>
        </w:rPr>
        <w:t>classée</w:t>
      </w:r>
      <w:r>
        <w:rPr>
          <w:rFonts w:ascii="Segoe UI Semibold" w:hAnsi="Segoe UI Semibold"/>
          <w:b/>
          <w:color w:val="FFFFFF"/>
          <w:spacing w:val="-4"/>
        </w:rPr>
        <w:t> </w:t>
      </w:r>
      <w:r>
        <w:rPr>
          <w:rFonts w:ascii="Segoe UI Semibold" w:hAnsi="Segoe UI Semibold"/>
          <w:b/>
          <w:color w:val="FFFFFF"/>
          <w:spacing w:val="-12"/>
        </w:rPr>
        <w:t>comme </w:t>
      </w:r>
      <w:r>
        <w:rPr>
          <w:rFonts w:ascii="Segoe UI Semibold" w:hAnsi="Segoe UI Semibold"/>
          <w:b/>
          <w:color w:val="FFFFFF"/>
          <w:spacing w:val="-2"/>
        </w:rPr>
        <w:t>État</w:t>
      </w:r>
      <w:r>
        <w:rPr>
          <w:rFonts w:ascii="Segoe UI Semibold" w:hAnsi="Segoe UI Semibold"/>
          <w:b/>
          <w:color w:val="FFFFFF"/>
          <w:spacing w:val="-15"/>
        </w:rPr>
        <w:t> </w:t>
      </w:r>
      <w:r>
        <w:rPr>
          <w:rFonts w:ascii="Segoe UI Semibold" w:hAnsi="Segoe UI Semibold"/>
          <w:b/>
          <w:color w:val="FFFFFF"/>
          <w:spacing w:val="-2"/>
        </w:rPr>
        <w:t>commanditaire</w:t>
      </w:r>
      <w:r>
        <w:rPr>
          <w:rFonts w:ascii="Segoe UI Semibold" w:hAnsi="Segoe UI Semibold"/>
          <w:b/>
          <w:color w:val="FFFFFF"/>
          <w:spacing w:val="-15"/>
        </w:rPr>
        <w:t> </w:t>
      </w:r>
      <w:r>
        <w:rPr>
          <w:rFonts w:ascii="Segoe UI Semibold" w:hAnsi="Segoe UI Semibold"/>
          <w:b/>
          <w:color w:val="FFFFFF"/>
          <w:spacing w:val="-2"/>
        </w:rPr>
        <w:t>de</w:t>
      </w:r>
      <w:r>
        <w:rPr>
          <w:rFonts w:ascii="Segoe UI Semibold" w:hAnsi="Segoe UI Semibold"/>
          <w:b/>
          <w:color w:val="FFFFFF"/>
          <w:spacing w:val="-15"/>
        </w:rPr>
        <w:t> </w:t>
      </w:r>
      <w:r>
        <w:rPr>
          <w:rFonts w:ascii="Segoe UI Semibold" w:hAnsi="Segoe UI Semibold"/>
          <w:b/>
          <w:color w:val="FFFFFF"/>
          <w:spacing w:val="-2"/>
        </w:rPr>
        <w:t>terrorisme.</w:t>
      </w:r>
    </w:p>
    <w:p>
      <w:pPr>
        <w:spacing w:after="0"/>
        <w:rPr>
          <w:rFonts w:ascii="Segoe UI Semibold" w:hAnsi="Segoe UI Semibold"/>
        </w:rPr>
        <w:sectPr>
          <w:pgSz w:w="11910" w:h="16840"/>
          <w:pgMar w:header="0" w:footer="695" w:top="1260" w:bottom="880" w:left="0" w:right="0"/>
          <w:cols w:num="2" w:equalWidth="0">
            <w:col w:w="5558" w:space="40"/>
            <w:col w:w="6312"/>
          </w:cols>
        </w:sectPr>
      </w:pPr>
    </w:p>
    <w:p>
      <w:pPr>
        <w:pStyle w:val="Heading2"/>
        <w:spacing w:line="218" w:lineRule="auto" w:before="106"/>
        <w:ind w:left="1474" w:right="831"/>
      </w:pPr>
      <w:r>
        <w:rPr>
          <w:color w:val="1F4282"/>
          <w:w w:val="115"/>
        </w:rPr>
        <w:t>Application de la Loi </w:t>
      </w:r>
      <w:r>
        <w:rPr>
          <w:color w:val="1F4282"/>
          <w:w w:val="110"/>
        </w:rPr>
        <w:t>Helms-Burton. </w:t>
      </w:r>
      <w:r>
        <w:rPr>
          <w:color w:val="1F4282"/>
          <w:w w:val="110"/>
        </w:rPr>
        <w:t>Demandes </w:t>
      </w:r>
      <w:r>
        <w:rPr>
          <w:color w:val="1F4282"/>
          <w:w w:val="115"/>
        </w:rPr>
        <w:t>légales présentées</w:t>
      </w:r>
    </w:p>
    <w:p>
      <w:pPr>
        <w:pStyle w:val="BodyText"/>
        <w:spacing w:before="266"/>
        <w:ind w:left="1474"/>
      </w:pPr>
      <w:r>
        <w:rPr>
          <w:color w:val="231F20"/>
          <w:spacing w:val="-2"/>
        </w:rPr>
        <w:t>La</w:t>
      </w:r>
      <w:r>
        <w:rPr>
          <w:color w:val="231F20"/>
          <w:spacing w:val="-15"/>
        </w:rPr>
        <w:t> </w:t>
      </w:r>
      <w:r>
        <w:rPr>
          <w:color w:val="231F20"/>
          <w:spacing w:val="-2"/>
        </w:rPr>
        <w:t>Cuban</w:t>
      </w:r>
      <w:r>
        <w:rPr>
          <w:color w:val="231F20"/>
          <w:spacing w:val="-14"/>
        </w:rPr>
        <w:t> </w:t>
      </w:r>
      <w:r>
        <w:rPr>
          <w:color w:val="231F20"/>
          <w:spacing w:val="-2"/>
        </w:rPr>
        <w:t>Liberty</w:t>
      </w:r>
      <w:r>
        <w:rPr>
          <w:color w:val="231F20"/>
          <w:spacing w:val="-15"/>
        </w:rPr>
        <w:t> </w:t>
      </w:r>
      <w:r>
        <w:rPr>
          <w:color w:val="231F20"/>
          <w:spacing w:val="-2"/>
        </w:rPr>
        <w:t>and</w:t>
      </w:r>
      <w:r>
        <w:rPr>
          <w:color w:val="231F20"/>
          <w:spacing w:val="-14"/>
        </w:rPr>
        <w:t> </w:t>
      </w:r>
      <w:r>
        <w:rPr>
          <w:color w:val="231F20"/>
          <w:spacing w:val="-2"/>
        </w:rPr>
        <w:t>Democratic</w:t>
      </w:r>
      <w:r>
        <w:rPr>
          <w:color w:val="231F20"/>
          <w:spacing w:val="-15"/>
        </w:rPr>
        <w:t> </w:t>
      </w:r>
      <w:r>
        <w:rPr>
          <w:color w:val="231F20"/>
          <w:spacing w:val="-2"/>
        </w:rPr>
        <w:t>Solidarity </w:t>
      </w:r>
      <w:r>
        <w:rPr>
          <w:color w:val="231F20"/>
        </w:rPr>
        <w:t>(Libertad)</w:t>
      </w:r>
      <w:r>
        <w:rPr>
          <w:color w:val="231F20"/>
          <w:spacing w:val="-12"/>
        </w:rPr>
        <w:t> </w:t>
      </w:r>
      <w:r>
        <w:rPr>
          <w:color w:val="231F20"/>
        </w:rPr>
        <w:t>Act</w:t>
      </w:r>
      <w:r>
        <w:rPr>
          <w:color w:val="231F20"/>
          <w:spacing w:val="-12"/>
        </w:rPr>
        <w:t> </w:t>
      </w:r>
      <w:r>
        <w:rPr>
          <w:color w:val="231F20"/>
        </w:rPr>
        <w:t>of</w:t>
      </w:r>
      <w:r>
        <w:rPr>
          <w:color w:val="231F20"/>
          <w:spacing w:val="-12"/>
        </w:rPr>
        <w:t> </w:t>
      </w:r>
      <w:r>
        <w:rPr>
          <w:color w:val="231F20"/>
        </w:rPr>
        <w:t>1996</w:t>
      </w:r>
      <w:r>
        <w:rPr>
          <w:color w:val="231F20"/>
          <w:spacing w:val="-12"/>
        </w:rPr>
        <w:t> </w:t>
      </w:r>
      <w:r>
        <w:rPr>
          <w:color w:val="231F20"/>
        </w:rPr>
        <w:t>[«</w:t>
      </w:r>
      <w:r>
        <w:rPr>
          <w:color w:val="231F20"/>
          <w:spacing w:val="-12"/>
        </w:rPr>
        <w:t> </w:t>
      </w:r>
      <w:r>
        <w:rPr>
          <w:color w:val="231F20"/>
        </w:rPr>
        <w:t>Loi</w:t>
      </w:r>
      <w:r>
        <w:rPr>
          <w:color w:val="231F20"/>
          <w:spacing w:val="-12"/>
        </w:rPr>
        <w:t> </w:t>
      </w:r>
      <w:r>
        <w:rPr>
          <w:color w:val="231F20"/>
        </w:rPr>
        <w:t>pour</w:t>
      </w:r>
      <w:r>
        <w:rPr>
          <w:color w:val="231F20"/>
          <w:spacing w:val="-12"/>
        </w:rPr>
        <w:t> </w:t>
      </w:r>
      <w:r>
        <w:rPr>
          <w:color w:val="231F20"/>
        </w:rPr>
        <w:t>la</w:t>
      </w:r>
      <w:r>
        <w:rPr>
          <w:color w:val="231F20"/>
          <w:spacing w:val="-12"/>
        </w:rPr>
        <w:t> </w:t>
      </w:r>
      <w:r>
        <w:rPr>
          <w:color w:val="231F20"/>
        </w:rPr>
        <w:t>liberté et la solidarité démocratique cubaines </w:t>
      </w:r>
      <w:r>
        <w:rPr>
          <w:color w:val="231F20"/>
          <w:spacing w:val="-2"/>
        </w:rPr>
        <w:t>(Libertad)</w:t>
      </w:r>
      <w:r>
        <w:rPr>
          <w:color w:val="231F20"/>
          <w:spacing w:val="-13"/>
        </w:rPr>
        <w:t> </w:t>
      </w:r>
      <w:r>
        <w:rPr>
          <w:color w:val="231F20"/>
          <w:spacing w:val="-2"/>
        </w:rPr>
        <w:t>de</w:t>
      </w:r>
      <w:r>
        <w:rPr>
          <w:color w:val="231F20"/>
          <w:spacing w:val="-13"/>
        </w:rPr>
        <w:t> </w:t>
      </w:r>
      <w:r>
        <w:rPr>
          <w:color w:val="231F20"/>
          <w:spacing w:val="-2"/>
        </w:rPr>
        <w:t>1996</w:t>
      </w:r>
      <w:r>
        <w:rPr>
          <w:color w:val="231F20"/>
          <w:spacing w:val="-13"/>
        </w:rPr>
        <w:t> </w:t>
      </w:r>
      <w:r>
        <w:rPr>
          <w:color w:val="231F20"/>
          <w:spacing w:val="-2"/>
        </w:rPr>
        <w:t>»],</w:t>
      </w:r>
      <w:r>
        <w:rPr>
          <w:color w:val="231F20"/>
          <w:spacing w:val="-13"/>
        </w:rPr>
        <w:t> </w:t>
      </w:r>
      <w:r>
        <w:rPr>
          <w:color w:val="231F20"/>
          <w:spacing w:val="-2"/>
        </w:rPr>
        <w:t>connue</w:t>
      </w:r>
      <w:r>
        <w:rPr>
          <w:color w:val="231F20"/>
          <w:spacing w:val="-13"/>
        </w:rPr>
        <w:t> </w:t>
      </w:r>
      <w:r>
        <w:rPr>
          <w:color w:val="231F20"/>
          <w:spacing w:val="-2"/>
        </w:rPr>
        <w:t>aussi</w:t>
      </w:r>
      <w:r>
        <w:rPr>
          <w:color w:val="231F20"/>
          <w:spacing w:val="-13"/>
        </w:rPr>
        <w:t> </w:t>
      </w:r>
      <w:r>
        <w:rPr>
          <w:color w:val="231F20"/>
          <w:spacing w:val="-2"/>
        </w:rPr>
        <w:t>comme </w:t>
      </w:r>
      <w:r>
        <w:rPr>
          <w:color w:val="231F20"/>
          <w:spacing w:val="-4"/>
        </w:rPr>
        <w:t>Helms-Burton,</w:t>
      </w:r>
      <w:r>
        <w:rPr>
          <w:color w:val="231F20"/>
          <w:spacing w:val="-13"/>
        </w:rPr>
        <w:t> </w:t>
      </w:r>
      <w:r>
        <w:rPr>
          <w:color w:val="231F20"/>
          <w:spacing w:val="-4"/>
        </w:rPr>
        <w:t>entrée</w:t>
      </w:r>
      <w:r>
        <w:rPr>
          <w:color w:val="231F20"/>
          <w:spacing w:val="-12"/>
        </w:rPr>
        <w:t> </w:t>
      </w:r>
      <w:r>
        <w:rPr>
          <w:color w:val="231F20"/>
          <w:spacing w:val="-4"/>
        </w:rPr>
        <w:t>en</w:t>
      </w:r>
      <w:r>
        <w:rPr>
          <w:color w:val="231F20"/>
          <w:spacing w:val="-13"/>
        </w:rPr>
        <w:t> </w:t>
      </w:r>
      <w:r>
        <w:rPr>
          <w:color w:val="231F20"/>
          <w:spacing w:val="-4"/>
        </w:rPr>
        <w:t>vigueur</w:t>
      </w:r>
      <w:r>
        <w:rPr>
          <w:color w:val="231F20"/>
          <w:spacing w:val="-12"/>
        </w:rPr>
        <w:t> </w:t>
      </w:r>
      <w:r>
        <w:rPr>
          <w:color w:val="231F20"/>
          <w:spacing w:val="-4"/>
        </w:rPr>
        <w:t>en</w:t>
      </w:r>
      <w:r>
        <w:rPr>
          <w:color w:val="231F20"/>
          <w:spacing w:val="-13"/>
        </w:rPr>
        <w:t> </w:t>
      </w:r>
      <w:r>
        <w:rPr>
          <w:color w:val="231F20"/>
          <w:spacing w:val="-4"/>
        </w:rPr>
        <w:t>1996,</w:t>
      </w:r>
      <w:r>
        <w:rPr>
          <w:color w:val="231F20"/>
          <w:spacing w:val="-12"/>
        </w:rPr>
        <w:t> </w:t>
      </w:r>
      <w:r>
        <w:rPr>
          <w:color w:val="231F20"/>
          <w:spacing w:val="-4"/>
        </w:rPr>
        <w:t>a </w:t>
      </w:r>
      <w:r>
        <w:rPr>
          <w:color w:val="231F20"/>
          <w:spacing w:val="-2"/>
        </w:rPr>
        <w:t>codifié</w:t>
      </w:r>
      <w:r>
        <w:rPr>
          <w:color w:val="231F20"/>
          <w:spacing w:val="-15"/>
        </w:rPr>
        <w:t> </w:t>
      </w:r>
      <w:r>
        <w:rPr>
          <w:color w:val="231F20"/>
          <w:spacing w:val="-2"/>
        </w:rPr>
        <w:t>le</w:t>
      </w:r>
      <w:r>
        <w:rPr>
          <w:color w:val="231F20"/>
          <w:spacing w:val="-14"/>
        </w:rPr>
        <w:t> </w:t>
      </w:r>
      <w:r>
        <w:rPr>
          <w:color w:val="231F20"/>
          <w:spacing w:val="-2"/>
        </w:rPr>
        <w:t>blocus</w:t>
      </w:r>
      <w:r>
        <w:rPr>
          <w:color w:val="231F20"/>
          <w:spacing w:val="-15"/>
        </w:rPr>
        <w:t> </w:t>
      </w:r>
      <w:r>
        <w:rPr>
          <w:color w:val="231F20"/>
          <w:spacing w:val="-2"/>
        </w:rPr>
        <w:t>contre</w:t>
      </w:r>
      <w:r>
        <w:rPr>
          <w:color w:val="231F20"/>
          <w:spacing w:val="-14"/>
        </w:rPr>
        <w:t> </w:t>
      </w:r>
      <w:r>
        <w:rPr>
          <w:color w:val="231F20"/>
          <w:spacing w:val="-2"/>
        </w:rPr>
        <w:t>Cuba</w:t>
      </w:r>
      <w:r>
        <w:rPr>
          <w:color w:val="231F20"/>
          <w:spacing w:val="-15"/>
        </w:rPr>
        <w:t> </w:t>
      </w:r>
      <w:r>
        <w:rPr>
          <w:color w:val="231F20"/>
          <w:spacing w:val="-2"/>
        </w:rPr>
        <w:t>et</w:t>
      </w:r>
      <w:r>
        <w:rPr>
          <w:color w:val="231F20"/>
          <w:spacing w:val="-14"/>
        </w:rPr>
        <w:t> </w:t>
      </w:r>
      <w:r>
        <w:rPr>
          <w:color w:val="231F20"/>
          <w:spacing w:val="-2"/>
        </w:rPr>
        <w:t>renforcé</w:t>
      </w:r>
      <w:r>
        <w:rPr>
          <w:color w:val="231F20"/>
          <w:spacing w:val="-15"/>
        </w:rPr>
        <w:t> </w:t>
      </w:r>
      <w:r>
        <w:rPr>
          <w:color w:val="231F20"/>
          <w:spacing w:val="-2"/>
        </w:rPr>
        <w:t>sa </w:t>
      </w:r>
      <w:r>
        <w:rPr>
          <w:color w:val="231F20"/>
          <w:spacing w:val="-10"/>
        </w:rPr>
        <w:t>portée</w:t>
      </w:r>
      <w:r>
        <w:rPr>
          <w:color w:val="231F20"/>
          <w:spacing w:val="-7"/>
        </w:rPr>
        <w:t> </w:t>
      </w:r>
      <w:r>
        <w:rPr>
          <w:color w:val="231F20"/>
          <w:spacing w:val="-10"/>
        </w:rPr>
        <w:t>extraterritoriale.</w:t>
      </w:r>
      <w:r>
        <w:rPr>
          <w:color w:val="231F20"/>
          <w:spacing w:val="-6"/>
        </w:rPr>
        <w:t> </w:t>
      </w:r>
      <w:r>
        <w:rPr>
          <w:color w:val="231F20"/>
          <w:spacing w:val="-10"/>
        </w:rPr>
        <w:t>Non</w:t>
      </w:r>
      <w:r>
        <w:rPr>
          <w:color w:val="231F20"/>
          <w:spacing w:val="-7"/>
        </w:rPr>
        <w:t> </w:t>
      </w:r>
      <w:r>
        <w:rPr>
          <w:color w:val="231F20"/>
          <w:spacing w:val="-10"/>
        </w:rPr>
        <w:t>contente</w:t>
      </w:r>
      <w:r>
        <w:rPr>
          <w:color w:val="231F20"/>
          <w:spacing w:val="-6"/>
        </w:rPr>
        <w:t> </w:t>
      </w:r>
      <w:r>
        <w:rPr>
          <w:color w:val="231F20"/>
          <w:spacing w:val="-10"/>
        </w:rPr>
        <w:t>de</w:t>
      </w:r>
      <w:r>
        <w:rPr>
          <w:color w:val="231F20"/>
          <w:spacing w:val="-7"/>
        </w:rPr>
        <w:t> </w:t>
      </w:r>
      <w:r>
        <w:rPr>
          <w:color w:val="231F20"/>
          <w:spacing w:val="-10"/>
        </w:rPr>
        <w:t>viser </w:t>
      </w:r>
      <w:r>
        <w:rPr>
          <w:color w:val="231F20"/>
          <w:spacing w:val="-2"/>
        </w:rPr>
        <w:t>à</w:t>
      </w:r>
      <w:r>
        <w:rPr>
          <w:color w:val="231F20"/>
          <w:spacing w:val="-11"/>
        </w:rPr>
        <w:t> </w:t>
      </w:r>
      <w:r>
        <w:rPr>
          <w:color w:val="231F20"/>
          <w:spacing w:val="-2"/>
        </w:rPr>
        <w:t>l’instauration</w:t>
      </w:r>
      <w:r>
        <w:rPr>
          <w:color w:val="231F20"/>
          <w:spacing w:val="-11"/>
        </w:rPr>
        <w:t> </w:t>
      </w:r>
      <w:r>
        <w:rPr>
          <w:color w:val="231F20"/>
          <w:spacing w:val="-2"/>
        </w:rPr>
        <w:t>à</w:t>
      </w:r>
      <w:r>
        <w:rPr>
          <w:color w:val="231F20"/>
          <w:spacing w:val="-11"/>
        </w:rPr>
        <w:t> </w:t>
      </w:r>
      <w:r>
        <w:rPr>
          <w:color w:val="231F20"/>
          <w:spacing w:val="-2"/>
        </w:rPr>
        <w:t>Cuba</w:t>
      </w:r>
      <w:r>
        <w:rPr>
          <w:color w:val="231F20"/>
          <w:spacing w:val="-11"/>
        </w:rPr>
        <w:t> </w:t>
      </w:r>
      <w:r>
        <w:rPr>
          <w:color w:val="231F20"/>
          <w:spacing w:val="-2"/>
        </w:rPr>
        <w:t>d’un</w:t>
      </w:r>
      <w:r>
        <w:rPr>
          <w:color w:val="231F20"/>
          <w:spacing w:val="-11"/>
        </w:rPr>
        <w:t> </w:t>
      </w:r>
      <w:r>
        <w:rPr>
          <w:color w:val="231F20"/>
          <w:spacing w:val="-2"/>
        </w:rPr>
        <w:t>gouvernement </w:t>
      </w:r>
      <w:r>
        <w:rPr>
          <w:color w:val="231F20"/>
        </w:rPr>
        <w:t>soumis directement aux intérêts de </w:t>
      </w:r>
      <w:r>
        <w:rPr>
          <w:color w:val="231F20"/>
          <w:spacing w:val="-6"/>
        </w:rPr>
        <w:t>Washington,</w:t>
      </w:r>
      <w:r>
        <w:rPr>
          <w:color w:val="231F20"/>
          <w:spacing w:val="-11"/>
        </w:rPr>
        <w:t> </w:t>
      </w:r>
      <w:r>
        <w:rPr>
          <w:color w:val="231F20"/>
          <w:spacing w:val="-6"/>
        </w:rPr>
        <w:t>elle</w:t>
      </w:r>
      <w:r>
        <w:rPr>
          <w:color w:val="231F20"/>
          <w:spacing w:val="-10"/>
        </w:rPr>
        <w:t> </w:t>
      </w:r>
      <w:r>
        <w:rPr>
          <w:color w:val="231F20"/>
          <w:spacing w:val="-6"/>
        </w:rPr>
        <w:t>prétendait</w:t>
      </w:r>
      <w:r>
        <w:rPr>
          <w:color w:val="231F20"/>
          <w:spacing w:val="-11"/>
        </w:rPr>
        <w:t> </w:t>
      </w:r>
      <w:r>
        <w:rPr>
          <w:color w:val="231F20"/>
          <w:spacing w:val="-6"/>
        </w:rPr>
        <w:t>internationaliser </w:t>
      </w:r>
      <w:r>
        <w:rPr>
          <w:color w:val="231F20"/>
        </w:rPr>
        <w:t>le blocus par des mesures coercitives </w:t>
      </w:r>
      <w:r>
        <w:rPr>
          <w:color w:val="231F20"/>
          <w:spacing w:val="-2"/>
        </w:rPr>
        <w:t>contre</w:t>
      </w:r>
      <w:r>
        <w:rPr>
          <w:color w:val="231F20"/>
          <w:spacing w:val="-15"/>
        </w:rPr>
        <w:t> </w:t>
      </w:r>
      <w:r>
        <w:rPr>
          <w:color w:val="231F20"/>
          <w:spacing w:val="-2"/>
        </w:rPr>
        <w:t>des</w:t>
      </w:r>
      <w:r>
        <w:rPr>
          <w:color w:val="231F20"/>
          <w:spacing w:val="-14"/>
        </w:rPr>
        <w:t> </w:t>
      </w:r>
      <w:r>
        <w:rPr>
          <w:color w:val="231F20"/>
          <w:spacing w:val="-2"/>
        </w:rPr>
        <w:t>pays</w:t>
      </w:r>
      <w:r>
        <w:rPr>
          <w:color w:val="231F20"/>
          <w:spacing w:val="-15"/>
        </w:rPr>
        <w:t> </w:t>
      </w:r>
      <w:r>
        <w:rPr>
          <w:color w:val="231F20"/>
          <w:spacing w:val="-2"/>
        </w:rPr>
        <w:t>tiers</w:t>
      </w:r>
      <w:r>
        <w:rPr>
          <w:color w:val="231F20"/>
          <w:spacing w:val="-14"/>
        </w:rPr>
        <w:t> </w:t>
      </w:r>
      <w:r>
        <w:rPr>
          <w:color w:val="231F20"/>
          <w:spacing w:val="-2"/>
        </w:rPr>
        <w:t>pour</w:t>
      </w:r>
      <w:r>
        <w:rPr>
          <w:color w:val="231F20"/>
          <w:spacing w:val="-15"/>
        </w:rPr>
        <w:t> </w:t>
      </w:r>
      <w:r>
        <w:rPr>
          <w:color w:val="231F20"/>
          <w:spacing w:val="-2"/>
        </w:rPr>
        <w:t>les</w:t>
      </w:r>
      <w:r>
        <w:rPr>
          <w:color w:val="231F20"/>
          <w:spacing w:val="-14"/>
        </w:rPr>
        <w:t> </w:t>
      </w:r>
      <w:r>
        <w:rPr>
          <w:color w:val="231F20"/>
          <w:spacing w:val="-2"/>
        </w:rPr>
        <w:t>contraindre</w:t>
      </w:r>
      <w:r>
        <w:rPr>
          <w:color w:val="231F20"/>
          <w:spacing w:val="-15"/>
        </w:rPr>
        <w:t> </w:t>
      </w:r>
      <w:r>
        <w:rPr>
          <w:color w:val="231F20"/>
          <w:spacing w:val="-2"/>
        </w:rPr>
        <w:t>à </w:t>
      </w:r>
      <w:r>
        <w:rPr>
          <w:color w:val="231F20"/>
          <w:spacing w:val="-4"/>
        </w:rPr>
        <w:t>interrompre</w:t>
      </w:r>
      <w:r>
        <w:rPr>
          <w:color w:val="231F20"/>
          <w:spacing w:val="-13"/>
        </w:rPr>
        <w:t> </w:t>
      </w:r>
      <w:r>
        <w:rPr>
          <w:color w:val="231F20"/>
          <w:spacing w:val="-4"/>
        </w:rPr>
        <w:t>leurs</w:t>
      </w:r>
      <w:r>
        <w:rPr>
          <w:color w:val="231F20"/>
          <w:spacing w:val="-12"/>
        </w:rPr>
        <w:t> </w:t>
      </w:r>
      <w:r>
        <w:rPr>
          <w:color w:val="231F20"/>
          <w:spacing w:val="-4"/>
        </w:rPr>
        <w:t>relations</w:t>
      </w:r>
      <w:r>
        <w:rPr>
          <w:color w:val="231F20"/>
          <w:spacing w:val="-13"/>
        </w:rPr>
        <w:t> </w:t>
      </w:r>
      <w:r>
        <w:rPr>
          <w:color w:val="231F20"/>
          <w:spacing w:val="-4"/>
        </w:rPr>
        <w:t>commerciales</w:t>
      </w:r>
      <w:r>
        <w:rPr>
          <w:color w:val="231F20"/>
          <w:spacing w:val="-12"/>
        </w:rPr>
        <w:t> </w:t>
      </w:r>
      <w:r>
        <w:rPr>
          <w:color w:val="231F20"/>
          <w:spacing w:val="-4"/>
        </w:rPr>
        <w:t>et </w:t>
      </w:r>
      <w:r>
        <w:rPr>
          <w:color w:val="231F20"/>
        </w:rPr>
        <w:t>leurs</w:t>
      </w:r>
      <w:r>
        <w:rPr>
          <w:color w:val="231F20"/>
          <w:spacing w:val="-17"/>
        </w:rPr>
        <w:t> </w:t>
      </w:r>
      <w:r>
        <w:rPr>
          <w:color w:val="231F20"/>
        </w:rPr>
        <w:t>investissements</w:t>
      </w:r>
      <w:r>
        <w:rPr>
          <w:color w:val="231F20"/>
          <w:spacing w:val="-16"/>
        </w:rPr>
        <w:t> </w:t>
      </w:r>
      <w:r>
        <w:rPr>
          <w:color w:val="231F20"/>
        </w:rPr>
        <w:t>à</w:t>
      </w:r>
      <w:r>
        <w:rPr>
          <w:color w:val="231F20"/>
          <w:spacing w:val="-17"/>
        </w:rPr>
        <w:t> </w:t>
      </w:r>
      <w:r>
        <w:rPr>
          <w:color w:val="231F20"/>
        </w:rPr>
        <w:t>Cuba.</w:t>
      </w:r>
    </w:p>
    <w:p>
      <w:pPr>
        <w:pStyle w:val="BodyText"/>
        <w:spacing w:before="171"/>
        <w:ind w:left="1474"/>
      </w:pPr>
      <w:r>
        <w:rPr>
          <w:color w:val="231F20"/>
        </w:rPr>
        <w:t>Aux termes de son Titre III, les anciens propriétaires</w:t>
      </w:r>
      <w:r>
        <w:rPr>
          <w:color w:val="231F20"/>
          <w:spacing w:val="-17"/>
        </w:rPr>
        <w:t> </w:t>
      </w:r>
      <w:r>
        <w:rPr>
          <w:color w:val="231F20"/>
        </w:rPr>
        <w:t>de</w:t>
      </w:r>
      <w:r>
        <w:rPr>
          <w:color w:val="231F20"/>
          <w:spacing w:val="-16"/>
        </w:rPr>
        <w:t> </w:t>
      </w:r>
      <w:r>
        <w:rPr>
          <w:color w:val="231F20"/>
        </w:rPr>
        <w:t>biens</w:t>
      </w:r>
      <w:r>
        <w:rPr>
          <w:color w:val="231F20"/>
          <w:spacing w:val="-17"/>
        </w:rPr>
        <w:t> </w:t>
      </w:r>
      <w:r>
        <w:rPr>
          <w:color w:val="231F20"/>
        </w:rPr>
        <w:t>nationalisés</w:t>
      </w:r>
      <w:r>
        <w:rPr>
          <w:color w:val="231F20"/>
          <w:spacing w:val="-16"/>
        </w:rPr>
        <w:t> </w:t>
      </w:r>
      <w:r>
        <w:rPr>
          <w:color w:val="231F20"/>
        </w:rPr>
        <w:t>à</w:t>
      </w:r>
      <w:r>
        <w:rPr>
          <w:color w:val="231F20"/>
          <w:spacing w:val="-17"/>
        </w:rPr>
        <w:t> </w:t>
      </w:r>
      <w:r>
        <w:rPr>
          <w:color w:val="231F20"/>
        </w:rPr>
        <w:t>Cuba, y compris des citoyens cubains ayant acquis ensuite la nationalité étasunienne, peuvent présenter devant des cours étasuniennes des demandes contre ceux </w:t>
      </w:r>
      <w:r>
        <w:rPr>
          <w:color w:val="231F20"/>
          <w:spacing w:val="-2"/>
        </w:rPr>
        <w:t>qui,</w:t>
      </w:r>
      <w:r>
        <w:rPr>
          <w:color w:val="231F20"/>
          <w:spacing w:val="-15"/>
        </w:rPr>
        <w:t> </w:t>
      </w:r>
      <w:r>
        <w:rPr>
          <w:color w:val="231F20"/>
          <w:spacing w:val="-2"/>
        </w:rPr>
        <w:t>d’une</w:t>
      </w:r>
      <w:r>
        <w:rPr>
          <w:color w:val="231F20"/>
          <w:spacing w:val="-14"/>
        </w:rPr>
        <w:t> </w:t>
      </w:r>
      <w:r>
        <w:rPr>
          <w:color w:val="231F20"/>
          <w:spacing w:val="-2"/>
        </w:rPr>
        <w:t>manière</w:t>
      </w:r>
      <w:r>
        <w:rPr>
          <w:color w:val="231F20"/>
          <w:spacing w:val="-15"/>
        </w:rPr>
        <w:t> </w:t>
      </w:r>
      <w:r>
        <w:rPr>
          <w:color w:val="231F20"/>
          <w:spacing w:val="-2"/>
        </w:rPr>
        <w:t>ou</w:t>
      </w:r>
      <w:r>
        <w:rPr>
          <w:color w:val="231F20"/>
          <w:spacing w:val="-14"/>
        </w:rPr>
        <w:t> </w:t>
      </w:r>
      <w:r>
        <w:rPr>
          <w:color w:val="231F20"/>
          <w:spacing w:val="-2"/>
        </w:rPr>
        <w:t>d’une</w:t>
      </w:r>
      <w:r>
        <w:rPr>
          <w:color w:val="231F20"/>
          <w:spacing w:val="-15"/>
        </w:rPr>
        <w:t> </w:t>
      </w:r>
      <w:r>
        <w:rPr>
          <w:color w:val="231F20"/>
          <w:spacing w:val="-2"/>
        </w:rPr>
        <w:t>autre,</w:t>
      </w:r>
      <w:r>
        <w:rPr>
          <w:color w:val="231F20"/>
          <w:spacing w:val="-14"/>
        </w:rPr>
        <w:t> </w:t>
      </w:r>
      <w:r>
        <w:rPr>
          <w:color w:val="231F20"/>
          <w:spacing w:val="-2"/>
        </w:rPr>
        <w:t>auraient </w:t>
      </w:r>
      <w:r>
        <w:rPr>
          <w:color w:val="231F20"/>
        </w:rPr>
        <w:t>des</w:t>
      </w:r>
      <w:r>
        <w:rPr>
          <w:color w:val="231F20"/>
          <w:spacing w:val="-11"/>
        </w:rPr>
        <w:t> </w:t>
      </w:r>
      <w:r>
        <w:rPr>
          <w:color w:val="231F20"/>
        </w:rPr>
        <w:t>relations</w:t>
      </w:r>
      <w:r>
        <w:rPr>
          <w:color w:val="231F20"/>
          <w:spacing w:val="-11"/>
        </w:rPr>
        <w:t> </w:t>
      </w:r>
      <w:r>
        <w:rPr>
          <w:color w:val="231F20"/>
        </w:rPr>
        <w:t>avec</w:t>
      </w:r>
      <w:r>
        <w:rPr>
          <w:color w:val="231F20"/>
          <w:spacing w:val="-11"/>
        </w:rPr>
        <w:t> </w:t>
      </w:r>
      <w:r>
        <w:rPr>
          <w:color w:val="231F20"/>
        </w:rPr>
        <w:t>lesdits</w:t>
      </w:r>
      <w:r>
        <w:rPr>
          <w:color w:val="231F20"/>
          <w:spacing w:val="-11"/>
        </w:rPr>
        <w:t> </w:t>
      </w:r>
      <w:r>
        <w:rPr>
          <w:color w:val="231F20"/>
        </w:rPr>
        <w:t>biens.</w:t>
      </w:r>
      <w:r>
        <w:rPr>
          <w:color w:val="231F20"/>
          <w:spacing w:val="-11"/>
        </w:rPr>
        <w:t> </w:t>
      </w:r>
      <w:r>
        <w:rPr>
          <w:color w:val="231F20"/>
        </w:rPr>
        <w:t>Pour</w:t>
      </w:r>
      <w:r>
        <w:rPr>
          <w:color w:val="231F20"/>
          <w:spacing w:val="-11"/>
        </w:rPr>
        <w:t> </w:t>
      </w:r>
      <w:r>
        <w:rPr>
          <w:color w:val="231F20"/>
        </w:rPr>
        <w:t>cette loi, il s’agit-là d’un traffic (commerce ou trafic) visant quiconque « sciemment et intentionnellement transfert, distribue, répartit un bien confisqué ou en dispose </w:t>
      </w:r>
      <w:r>
        <w:rPr>
          <w:color w:val="231F20"/>
          <w:spacing w:val="-6"/>
        </w:rPr>
        <w:t>autrement</w:t>
      </w:r>
      <w:r>
        <w:rPr>
          <w:color w:val="231F20"/>
          <w:spacing w:val="-11"/>
        </w:rPr>
        <w:t> </w:t>
      </w:r>
      <w:r>
        <w:rPr>
          <w:color w:val="231F20"/>
          <w:spacing w:val="-6"/>
        </w:rPr>
        <w:t>;</w:t>
      </w:r>
      <w:r>
        <w:rPr>
          <w:color w:val="231F20"/>
          <w:spacing w:val="-10"/>
        </w:rPr>
        <w:t> </w:t>
      </w:r>
      <w:r>
        <w:rPr>
          <w:color w:val="231F20"/>
          <w:spacing w:val="-6"/>
        </w:rPr>
        <w:t>achète,</w:t>
      </w:r>
      <w:r>
        <w:rPr>
          <w:color w:val="231F20"/>
          <w:spacing w:val="-11"/>
        </w:rPr>
        <w:t> </w:t>
      </w:r>
      <w:r>
        <w:rPr>
          <w:color w:val="231F20"/>
          <w:spacing w:val="-6"/>
        </w:rPr>
        <w:t>reçoit</w:t>
      </w:r>
      <w:r>
        <w:rPr>
          <w:color w:val="231F20"/>
          <w:spacing w:val="-10"/>
        </w:rPr>
        <w:t> </w:t>
      </w:r>
      <w:r>
        <w:rPr>
          <w:color w:val="231F20"/>
          <w:spacing w:val="-6"/>
        </w:rPr>
        <w:t>un</w:t>
      </w:r>
      <w:r>
        <w:rPr>
          <w:color w:val="231F20"/>
          <w:spacing w:val="-11"/>
        </w:rPr>
        <w:t> </w:t>
      </w:r>
      <w:r>
        <w:rPr>
          <w:color w:val="231F20"/>
          <w:spacing w:val="-6"/>
        </w:rPr>
        <w:t>bien</w:t>
      </w:r>
      <w:r>
        <w:rPr>
          <w:color w:val="231F20"/>
          <w:spacing w:val="-10"/>
        </w:rPr>
        <w:t> </w:t>
      </w:r>
      <w:r>
        <w:rPr>
          <w:color w:val="231F20"/>
          <w:spacing w:val="-6"/>
        </w:rPr>
        <w:t>confisqué, </w:t>
      </w:r>
      <w:r>
        <w:rPr>
          <w:color w:val="231F20"/>
        </w:rPr>
        <w:t>en obtient le contrôle ou l’acquiert autrement</w:t>
      </w:r>
      <w:r>
        <w:rPr>
          <w:color w:val="231F20"/>
          <w:spacing w:val="-17"/>
        </w:rPr>
        <w:t> </w:t>
      </w:r>
      <w:r>
        <w:rPr>
          <w:color w:val="231F20"/>
        </w:rPr>
        <w:t>;</w:t>
      </w:r>
      <w:r>
        <w:rPr>
          <w:color w:val="231F20"/>
          <w:spacing w:val="-16"/>
        </w:rPr>
        <w:t> </w:t>
      </w:r>
      <w:r>
        <w:rPr>
          <w:color w:val="231F20"/>
        </w:rPr>
        <w:t>améliore</w:t>
      </w:r>
      <w:r>
        <w:rPr>
          <w:color w:val="231F20"/>
          <w:spacing w:val="-17"/>
        </w:rPr>
        <w:t> </w:t>
      </w:r>
      <w:r>
        <w:rPr>
          <w:color w:val="231F20"/>
        </w:rPr>
        <w:t>(autrement</w:t>
      </w:r>
      <w:r>
        <w:rPr>
          <w:color w:val="231F20"/>
          <w:spacing w:val="-16"/>
        </w:rPr>
        <w:t> </w:t>
      </w:r>
      <w:r>
        <w:rPr>
          <w:color w:val="231F20"/>
        </w:rPr>
        <w:t>que</w:t>
      </w:r>
      <w:r>
        <w:rPr>
          <w:color w:val="231F20"/>
          <w:spacing w:val="-17"/>
        </w:rPr>
        <w:t> </w:t>
      </w:r>
      <w:r>
        <w:rPr>
          <w:color w:val="231F20"/>
        </w:rPr>
        <w:t>pour une maintenance routinière) des biens </w:t>
      </w:r>
      <w:r>
        <w:rPr>
          <w:color w:val="231F20"/>
          <w:spacing w:val="-4"/>
        </w:rPr>
        <w:t>confisqués,</w:t>
      </w:r>
      <w:r>
        <w:rPr>
          <w:color w:val="231F20"/>
          <w:spacing w:val="-6"/>
        </w:rPr>
        <w:t> </w:t>
      </w:r>
      <w:r>
        <w:rPr>
          <w:color w:val="231F20"/>
          <w:spacing w:val="-4"/>
        </w:rPr>
        <w:t>y</w:t>
      </w:r>
      <w:r>
        <w:rPr>
          <w:color w:val="231F20"/>
          <w:spacing w:val="-6"/>
        </w:rPr>
        <w:t> </w:t>
      </w:r>
      <w:r>
        <w:rPr>
          <w:color w:val="231F20"/>
          <w:spacing w:val="-4"/>
        </w:rPr>
        <w:t>investit</w:t>
      </w:r>
      <w:r>
        <w:rPr>
          <w:color w:val="231F20"/>
          <w:spacing w:val="-6"/>
        </w:rPr>
        <w:t> </w:t>
      </w:r>
      <w:r>
        <w:rPr>
          <w:color w:val="231F20"/>
          <w:spacing w:val="-4"/>
        </w:rPr>
        <w:t>(par</w:t>
      </w:r>
      <w:r>
        <w:rPr>
          <w:color w:val="231F20"/>
          <w:spacing w:val="-6"/>
        </w:rPr>
        <w:t> </w:t>
      </w:r>
      <w:r>
        <w:rPr>
          <w:color w:val="231F20"/>
          <w:spacing w:val="-4"/>
        </w:rPr>
        <w:t>des</w:t>
      </w:r>
      <w:r>
        <w:rPr>
          <w:color w:val="231F20"/>
          <w:spacing w:val="-6"/>
        </w:rPr>
        <w:t> </w:t>
      </w:r>
      <w:r>
        <w:rPr>
          <w:color w:val="231F20"/>
          <w:spacing w:val="-4"/>
        </w:rPr>
        <w:t>contributions </w:t>
      </w:r>
      <w:r>
        <w:rPr>
          <w:color w:val="231F20"/>
          <w:spacing w:val="-8"/>
        </w:rPr>
        <w:t>de fonds ou de toute autre valeur autrement </w:t>
      </w:r>
      <w:r>
        <w:rPr>
          <w:color w:val="231F20"/>
        </w:rPr>
        <w:t>que pour une maintenance routinière) ou commence</w:t>
      </w:r>
      <w:r>
        <w:rPr>
          <w:color w:val="231F20"/>
          <w:spacing w:val="-17"/>
        </w:rPr>
        <w:t> </w:t>
      </w:r>
      <w:r>
        <w:rPr>
          <w:color w:val="231F20"/>
        </w:rPr>
        <w:t>après</w:t>
      </w:r>
      <w:r>
        <w:rPr>
          <w:color w:val="231F20"/>
          <w:spacing w:val="-16"/>
        </w:rPr>
        <w:t> </w:t>
      </w:r>
      <w:r>
        <w:rPr>
          <w:color w:val="231F20"/>
        </w:rPr>
        <w:t>la</w:t>
      </w:r>
      <w:r>
        <w:rPr>
          <w:color w:val="231F20"/>
          <w:spacing w:val="-17"/>
        </w:rPr>
        <w:t> </w:t>
      </w:r>
      <w:r>
        <w:rPr>
          <w:color w:val="231F20"/>
        </w:rPr>
        <w:t>promulgation</w:t>
      </w:r>
      <w:r>
        <w:rPr>
          <w:color w:val="231F20"/>
          <w:spacing w:val="-16"/>
        </w:rPr>
        <w:t> </w:t>
      </w:r>
      <w:r>
        <w:rPr>
          <w:color w:val="231F20"/>
        </w:rPr>
        <w:t>de</w:t>
      </w:r>
      <w:r>
        <w:rPr>
          <w:color w:val="231F20"/>
          <w:spacing w:val="-17"/>
        </w:rPr>
        <w:t> </w:t>
      </w:r>
      <w:r>
        <w:rPr>
          <w:color w:val="231F20"/>
        </w:rPr>
        <w:t>cette </w:t>
      </w:r>
      <w:r>
        <w:rPr>
          <w:color w:val="231F20"/>
          <w:spacing w:val="-2"/>
        </w:rPr>
        <w:t>Loi</w:t>
      </w:r>
      <w:r>
        <w:rPr>
          <w:color w:val="231F20"/>
          <w:spacing w:val="-15"/>
        </w:rPr>
        <w:t> </w:t>
      </w:r>
      <w:r>
        <w:rPr>
          <w:color w:val="231F20"/>
          <w:spacing w:val="-2"/>
        </w:rPr>
        <w:t>à</w:t>
      </w:r>
      <w:r>
        <w:rPr>
          <w:color w:val="231F20"/>
          <w:spacing w:val="-14"/>
        </w:rPr>
        <w:t> </w:t>
      </w:r>
      <w:r>
        <w:rPr>
          <w:color w:val="231F20"/>
          <w:spacing w:val="-2"/>
        </w:rPr>
        <w:t>gérer,</w:t>
      </w:r>
      <w:r>
        <w:rPr>
          <w:color w:val="231F20"/>
          <w:spacing w:val="-15"/>
        </w:rPr>
        <w:t> </w:t>
      </w:r>
      <w:r>
        <w:rPr>
          <w:color w:val="231F20"/>
          <w:spacing w:val="-2"/>
        </w:rPr>
        <w:t>à</w:t>
      </w:r>
      <w:r>
        <w:rPr>
          <w:color w:val="231F20"/>
          <w:spacing w:val="-14"/>
        </w:rPr>
        <w:t> </w:t>
      </w:r>
      <w:r>
        <w:rPr>
          <w:color w:val="231F20"/>
          <w:spacing w:val="-2"/>
        </w:rPr>
        <w:t>louer,</w:t>
      </w:r>
      <w:r>
        <w:rPr>
          <w:color w:val="231F20"/>
          <w:spacing w:val="-15"/>
        </w:rPr>
        <w:t> </w:t>
      </w:r>
      <w:r>
        <w:rPr>
          <w:color w:val="231F20"/>
          <w:spacing w:val="-2"/>
        </w:rPr>
        <w:t>à</w:t>
      </w:r>
      <w:r>
        <w:rPr>
          <w:color w:val="231F20"/>
          <w:spacing w:val="-14"/>
        </w:rPr>
        <w:t> </w:t>
      </w:r>
      <w:r>
        <w:rPr>
          <w:color w:val="231F20"/>
          <w:spacing w:val="-2"/>
        </w:rPr>
        <w:t>posséder,</w:t>
      </w:r>
      <w:r>
        <w:rPr>
          <w:color w:val="231F20"/>
          <w:spacing w:val="-15"/>
        </w:rPr>
        <w:t> </w:t>
      </w:r>
      <w:r>
        <w:rPr>
          <w:color w:val="231F20"/>
          <w:spacing w:val="-2"/>
        </w:rPr>
        <w:t>à</w:t>
      </w:r>
      <w:r>
        <w:rPr>
          <w:color w:val="231F20"/>
          <w:spacing w:val="-14"/>
        </w:rPr>
        <w:t> </w:t>
      </w:r>
      <w:r>
        <w:rPr>
          <w:color w:val="231F20"/>
          <w:spacing w:val="-2"/>
        </w:rPr>
        <w:t>utiliser</w:t>
      </w:r>
      <w:r>
        <w:rPr>
          <w:color w:val="231F20"/>
          <w:spacing w:val="-14"/>
        </w:rPr>
        <w:t> </w:t>
      </w:r>
      <w:r>
        <w:rPr>
          <w:color w:val="231F20"/>
          <w:spacing w:val="-2"/>
        </w:rPr>
        <w:t>ou </w:t>
      </w:r>
      <w:r>
        <w:rPr>
          <w:color w:val="231F20"/>
        </w:rPr>
        <w:t>à</w:t>
      </w:r>
      <w:r>
        <w:rPr>
          <w:color w:val="231F20"/>
          <w:spacing w:val="14"/>
        </w:rPr>
        <w:t> </w:t>
      </w:r>
      <w:r>
        <w:rPr>
          <w:color w:val="231F20"/>
        </w:rPr>
        <w:t>avoir</w:t>
      </w:r>
      <w:r>
        <w:rPr>
          <w:color w:val="231F20"/>
          <w:spacing w:val="14"/>
        </w:rPr>
        <w:t> </w:t>
      </w:r>
      <w:r>
        <w:rPr>
          <w:color w:val="231F20"/>
        </w:rPr>
        <w:t>un</w:t>
      </w:r>
      <w:r>
        <w:rPr>
          <w:color w:val="231F20"/>
          <w:spacing w:val="14"/>
        </w:rPr>
        <w:t> </w:t>
      </w:r>
      <w:r>
        <w:rPr>
          <w:color w:val="231F20"/>
        </w:rPr>
        <w:t>intérêt</w:t>
      </w:r>
      <w:r>
        <w:rPr>
          <w:color w:val="231F20"/>
          <w:spacing w:val="15"/>
        </w:rPr>
        <w:t> </w:t>
      </w:r>
      <w:r>
        <w:rPr>
          <w:color w:val="231F20"/>
        </w:rPr>
        <w:t>dans</w:t>
      </w:r>
      <w:r>
        <w:rPr>
          <w:color w:val="231F20"/>
          <w:spacing w:val="14"/>
        </w:rPr>
        <w:t> </w:t>
      </w:r>
      <w:r>
        <w:rPr>
          <w:color w:val="231F20"/>
        </w:rPr>
        <w:t>un</w:t>
      </w:r>
      <w:r>
        <w:rPr>
          <w:color w:val="231F20"/>
          <w:spacing w:val="14"/>
        </w:rPr>
        <w:t> </w:t>
      </w:r>
      <w:r>
        <w:rPr>
          <w:color w:val="231F20"/>
        </w:rPr>
        <w:t>bien</w:t>
      </w:r>
      <w:r>
        <w:rPr>
          <w:color w:val="231F20"/>
          <w:spacing w:val="15"/>
        </w:rPr>
        <w:t> </w:t>
      </w:r>
      <w:r>
        <w:rPr>
          <w:color w:val="231F20"/>
          <w:spacing w:val="-2"/>
        </w:rPr>
        <w:t>confisqué</w:t>
      </w:r>
    </w:p>
    <w:p>
      <w:pPr>
        <w:pStyle w:val="BodyText"/>
        <w:spacing w:before="17"/>
        <w:ind w:left="1474" w:right="1"/>
      </w:pPr>
      <w:r>
        <w:rPr>
          <w:color w:val="231F20"/>
        </w:rPr>
        <w:t>; entre dans un arrangement commercial en utilisant un bien confisqué ou en en bénéficiant autrement ; ou provoque, dirige</w:t>
      </w:r>
      <w:r>
        <w:rPr>
          <w:color w:val="231F20"/>
          <w:spacing w:val="-14"/>
        </w:rPr>
        <w:t> </w:t>
      </w:r>
      <w:r>
        <w:rPr>
          <w:color w:val="231F20"/>
        </w:rPr>
        <w:t>le</w:t>
      </w:r>
      <w:r>
        <w:rPr>
          <w:color w:val="231F20"/>
          <w:spacing w:val="-14"/>
        </w:rPr>
        <w:t> </w:t>
      </w:r>
      <w:r>
        <w:rPr>
          <w:color w:val="231F20"/>
        </w:rPr>
        <w:t>“commerce”</w:t>
      </w:r>
      <w:r>
        <w:rPr>
          <w:color w:val="231F20"/>
          <w:spacing w:val="-14"/>
        </w:rPr>
        <w:t> </w:t>
      </w:r>
      <w:r>
        <w:rPr>
          <w:color w:val="231F20"/>
        </w:rPr>
        <w:t>décrit</w:t>
      </w:r>
      <w:r>
        <w:rPr>
          <w:color w:val="231F20"/>
          <w:spacing w:val="-14"/>
        </w:rPr>
        <w:t> </w:t>
      </w:r>
      <w:r>
        <w:rPr>
          <w:color w:val="231F20"/>
        </w:rPr>
        <w:t>plus</w:t>
      </w:r>
      <w:r>
        <w:rPr>
          <w:color w:val="231F20"/>
          <w:spacing w:val="-14"/>
        </w:rPr>
        <w:t> </w:t>
      </w:r>
      <w:r>
        <w:rPr>
          <w:color w:val="231F20"/>
        </w:rPr>
        <w:t>haut,</w:t>
      </w:r>
      <w:r>
        <w:rPr>
          <w:color w:val="231F20"/>
          <w:spacing w:val="-14"/>
        </w:rPr>
        <w:t> </w:t>
      </w:r>
      <w:r>
        <w:rPr>
          <w:color w:val="231F20"/>
        </w:rPr>
        <w:t>ou</w:t>
      </w:r>
      <w:r>
        <w:rPr>
          <w:color w:val="231F20"/>
          <w:spacing w:val="-14"/>
        </w:rPr>
        <w:t> </w:t>
      </w:r>
      <w:r>
        <w:rPr>
          <w:color w:val="231F20"/>
          <w:spacing w:val="-10"/>
        </w:rPr>
        <w:t>y</w:t>
      </w:r>
    </w:p>
    <w:p>
      <w:pPr>
        <w:pStyle w:val="BodyText"/>
        <w:spacing w:before="117"/>
        <w:ind w:left="411" w:right="1133"/>
      </w:pPr>
      <w:r>
        <w:rPr/>
        <w:br w:type="column"/>
      </w:r>
      <w:r>
        <w:rPr>
          <w:color w:val="231F20"/>
        </w:rPr>
        <w:t>participe</w:t>
      </w:r>
      <w:r>
        <w:rPr>
          <w:color w:val="231F20"/>
          <w:spacing w:val="-10"/>
        </w:rPr>
        <w:t> </w:t>
      </w:r>
      <w:r>
        <w:rPr>
          <w:color w:val="231F20"/>
        </w:rPr>
        <w:t>ou</w:t>
      </w:r>
      <w:r>
        <w:rPr>
          <w:color w:val="231F20"/>
          <w:spacing w:val="-10"/>
        </w:rPr>
        <w:t> </w:t>
      </w:r>
      <w:r>
        <w:rPr>
          <w:color w:val="231F20"/>
        </w:rPr>
        <w:t>en</w:t>
      </w:r>
      <w:r>
        <w:rPr>
          <w:color w:val="231F20"/>
          <w:spacing w:val="-10"/>
        </w:rPr>
        <w:t> </w:t>
      </w:r>
      <w:r>
        <w:rPr>
          <w:color w:val="231F20"/>
        </w:rPr>
        <w:t>tire</w:t>
      </w:r>
      <w:r>
        <w:rPr>
          <w:color w:val="231F20"/>
          <w:spacing w:val="-10"/>
        </w:rPr>
        <w:t> </w:t>
      </w:r>
      <w:r>
        <w:rPr>
          <w:color w:val="231F20"/>
        </w:rPr>
        <w:t>profit,</w:t>
      </w:r>
      <w:r>
        <w:rPr>
          <w:color w:val="231F20"/>
          <w:spacing w:val="-10"/>
        </w:rPr>
        <w:t> </w:t>
      </w:r>
      <w:r>
        <w:rPr>
          <w:color w:val="231F20"/>
        </w:rPr>
        <w:t>de</w:t>
      </w:r>
      <w:r>
        <w:rPr>
          <w:color w:val="231F20"/>
          <w:spacing w:val="-10"/>
        </w:rPr>
        <w:t> </w:t>
      </w:r>
      <w:r>
        <w:rPr>
          <w:color w:val="231F20"/>
        </w:rPr>
        <w:t>lui-même</w:t>
      </w:r>
      <w:r>
        <w:rPr>
          <w:color w:val="231F20"/>
          <w:spacing w:val="-10"/>
        </w:rPr>
        <w:t> </w:t>
      </w:r>
      <w:r>
        <w:rPr>
          <w:color w:val="231F20"/>
        </w:rPr>
        <w:t>ou </w:t>
      </w:r>
      <w:r>
        <w:rPr>
          <w:color w:val="231F20"/>
          <w:spacing w:val="-4"/>
        </w:rPr>
        <w:t>par</w:t>
      </w:r>
      <w:r>
        <w:rPr>
          <w:color w:val="231F20"/>
          <w:spacing w:val="-13"/>
        </w:rPr>
        <w:t> </w:t>
      </w:r>
      <w:r>
        <w:rPr>
          <w:color w:val="231F20"/>
          <w:spacing w:val="-4"/>
        </w:rPr>
        <w:t>personne</w:t>
      </w:r>
      <w:r>
        <w:rPr>
          <w:color w:val="231F20"/>
          <w:spacing w:val="-12"/>
        </w:rPr>
        <w:t> </w:t>
      </w:r>
      <w:r>
        <w:rPr>
          <w:color w:val="231F20"/>
          <w:spacing w:val="-4"/>
        </w:rPr>
        <w:t>interposée,</w:t>
      </w:r>
      <w:r>
        <w:rPr>
          <w:color w:val="231F20"/>
          <w:spacing w:val="-13"/>
        </w:rPr>
        <w:t> </w:t>
      </w:r>
      <w:r>
        <w:rPr>
          <w:color w:val="231F20"/>
          <w:spacing w:val="-4"/>
        </w:rPr>
        <w:t>sans</w:t>
      </w:r>
      <w:r>
        <w:rPr>
          <w:color w:val="231F20"/>
          <w:spacing w:val="-12"/>
        </w:rPr>
        <w:t> </w:t>
      </w:r>
      <w:r>
        <w:rPr>
          <w:color w:val="231F20"/>
          <w:spacing w:val="-4"/>
        </w:rPr>
        <w:t>l’autorisation </w:t>
      </w:r>
      <w:r>
        <w:rPr>
          <w:color w:val="231F20"/>
        </w:rPr>
        <w:t>de n’importe quel ressortissant des États- Unis réclamant ce bien ».</w:t>
      </w:r>
    </w:p>
    <w:p>
      <w:pPr>
        <w:pStyle w:val="BodyText"/>
        <w:spacing w:before="163"/>
        <w:ind w:left="411" w:right="1133"/>
      </w:pPr>
      <w:r>
        <w:rPr>
          <w:color w:val="231F20"/>
        </w:rPr>
        <w:t>Visant à asphyxier l’économie cubaine et à aggraver les carences de la population, la loi Helms-Burton a été conçue par les administrations étasuniennes comme un </w:t>
      </w:r>
      <w:r>
        <w:rPr>
          <w:color w:val="231F20"/>
          <w:spacing w:val="-6"/>
        </w:rPr>
        <w:t>mécanisme</w:t>
      </w:r>
      <w:r>
        <w:rPr>
          <w:color w:val="231F20"/>
          <w:spacing w:val="-11"/>
        </w:rPr>
        <w:t> </w:t>
      </w:r>
      <w:r>
        <w:rPr>
          <w:color w:val="231F20"/>
          <w:spacing w:val="-6"/>
        </w:rPr>
        <w:t>de</w:t>
      </w:r>
      <w:r>
        <w:rPr>
          <w:color w:val="231F20"/>
          <w:spacing w:val="-10"/>
        </w:rPr>
        <w:t> </w:t>
      </w:r>
      <w:r>
        <w:rPr>
          <w:color w:val="231F20"/>
          <w:spacing w:val="-6"/>
        </w:rPr>
        <w:t>pressions</w:t>
      </w:r>
      <w:r>
        <w:rPr>
          <w:color w:val="231F20"/>
          <w:spacing w:val="-11"/>
        </w:rPr>
        <w:t> </w:t>
      </w:r>
      <w:r>
        <w:rPr>
          <w:color w:val="231F20"/>
          <w:spacing w:val="-6"/>
        </w:rPr>
        <w:t>brutales</w:t>
      </w:r>
      <w:r>
        <w:rPr>
          <w:color w:val="231F20"/>
          <w:spacing w:val="-10"/>
        </w:rPr>
        <w:t> </w:t>
      </w:r>
      <w:r>
        <w:rPr>
          <w:color w:val="231F20"/>
          <w:spacing w:val="-6"/>
        </w:rPr>
        <w:t>et</w:t>
      </w:r>
      <w:r>
        <w:rPr>
          <w:color w:val="231F20"/>
          <w:spacing w:val="-11"/>
        </w:rPr>
        <w:t> </w:t>
      </w:r>
      <w:r>
        <w:rPr>
          <w:color w:val="231F20"/>
          <w:spacing w:val="-6"/>
        </w:rPr>
        <w:t>illégales </w:t>
      </w:r>
      <w:r>
        <w:rPr>
          <w:color w:val="231F20"/>
          <w:spacing w:val="-2"/>
        </w:rPr>
        <w:t>non</w:t>
      </w:r>
      <w:r>
        <w:rPr>
          <w:color w:val="231F20"/>
          <w:spacing w:val="-12"/>
        </w:rPr>
        <w:t> </w:t>
      </w:r>
      <w:r>
        <w:rPr>
          <w:color w:val="231F20"/>
          <w:spacing w:val="-2"/>
        </w:rPr>
        <w:t>seulement</w:t>
      </w:r>
      <w:r>
        <w:rPr>
          <w:color w:val="231F20"/>
          <w:spacing w:val="-12"/>
        </w:rPr>
        <w:t> </w:t>
      </w:r>
      <w:r>
        <w:rPr>
          <w:color w:val="231F20"/>
          <w:spacing w:val="-2"/>
        </w:rPr>
        <w:t>sur</w:t>
      </w:r>
      <w:r>
        <w:rPr>
          <w:color w:val="231F20"/>
          <w:spacing w:val="-12"/>
        </w:rPr>
        <w:t> </w:t>
      </w:r>
      <w:r>
        <w:rPr>
          <w:color w:val="231F20"/>
          <w:spacing w:val="-2"/>
        </w:rPr>
        <w:t>Cuba</w:t>
      </w:r>
      <w:r>
        <w:rPr>
          <w:color w:val="231F20"/>
          <w:spacing w:val="-12"/>
        </w:rPr>
        <w:t> </w:t>
      </w:r>
      <w:r>
        <w:rPr>
          <w:color w:val="231F20"/>
          <w:spacing w:val="-2"/>
        </w:rPr>
        <w:t>mais</w:t>
      </w:r>
      <w:r>
        <w:rPr>
          <w:color w:val="231F20"/>
          <w:spacing w:val="-12"/>
        </w:rPr>
        <w:t> </w:t>
      </w:r>
      <w:r>
        <w:rPr>
          <w:color w:val="231F20"/>
          <w:spacing w:val="-2"/>
        </w:rPr>
        <w:t>aussi</w:t>
      </w:r>
      <w:r>
        <w:rPr>
          <w:color w:val="231F20"/>
          <w:spacing w:val="-12"/>
        </w:rPr>
        <w:t> </w:t>
      </w:r>
      <w:r>
        <w:rPr>
          <w:color w:val="231F20"/>
          <w:spacing w:val="-2"/>
        </w:rPr>
        <w:t>sur</w:t>
      </w:r>
      <w:r>
        <w:rPr>
          <w:color w:val="231F20"/>
          <w:spacing w:val="-12"/>
        </w:rPr>
        <w:t> </w:t>
      </w:r>
      <w:r>
        <w:rPr>
          <w:color w:val="231F20"/>
          <w:spacing w:val="-2"/>
        </w:rPr>
        <w:t>des </w:t>
      </w:r>
      <w:r>
        <w:rPr>
          <w:color w:val="231F20"/>
        </w:rPr>
        <w:t>pays tiers, leurs gouvernements et leurs entreprises. Ce sont des visées illégitimes qui violent la Charte des Nations Unies et le droit international.</w:t>
      </w:r>
    </w:p>
    <w:p>
      <w:pPr>
        <w:pStyle w:val="BodyText"/>
        <w:spacing w:before="168"/>
        <w:ind w:left="411" w:right="1131"/>
      </w:pPr>
      <w:r>
        <w:rPr>
          <w:color w:val="231F20"/>
        </w:rPr>
        <w:t>À cet égard, Mme Alena Douhan, </w:t>
      </w:r>
      <w:r>
        <w:rPr>
          <w:color w:val="231F20"/>
          <w:spacing w:val="-2"/>
        </w:rPr>
        <w:t>Rapporteuse</w:t>
      </w:r>
      <w:r>
        <w:rPr>
          <w:color w:val="231F20"/>
          <w:spacing w:val="-15"/>
        </w:rPr>
        <w:t> </w:t>
      </w:r>
      <w:r>
        <w:rPr>
          <w:color w:val="231F20"/>
          <w:spacing w:val="-2"/>
        </w:rPr>
        <w:t>spéciale</w:t>
      </w:r>
      <w:r>
        <w:rPr>
          <w:color w:val="231F20"/>
          <w:spacing w:val="-14"/>
        </w:rPr>
        <w:t> </w:t>
      </w:r>
      <w:r>
        <w:rPr>
          <w:color w:val="231F20"/>
          <w:spacing w:val="-2"/>
        </w:rPr>
        <w:t>du</w:t>
      </w:r>
      <w:r>
        <w:rPr>
          <w:color w:val="231F20"/>
          <w:spacing w:val="-15"/>
        </w:rPr>
        <w:t> </w:t>
      </w:r>
      <w:r>
        <w:rPr>
          <w:color w:val="231F20"/>
          <w:spacing w:val="-2"/>
        </w:rPr>
        <w:t>Conseil</w:t>
      </w:r>
      <w:r>
        <w:rPr>
          <w:color w:val="231F20"/>
          <w:spacing w:val="-14"/>
        </w:rPr>
        <w:t> </w:t>
      </w:r>
      <w:r>
        <w:rPr>
          <w:color w:val="231F20"/>
          <w:spacing w:val="-2"/>
        </w:rPr>
        <w:t>des</w:t>
      </w:r>
      <w:r>
        <w:rPr>
          <w:color w:val="231F20"/>
          <w:spacing w:val="-14"/>
        </w:rPr>
        <w:t> </w:t>
      </w:r>
      <w:r>
        <w:rPr>
          <w:color w:val="231F20"/>
          <w:spacing w:val="-2"/>
        </w:rPr>
        <w:t>droits </w:t>
      </w:r>
      <w:r>
        <w:rPr>
          <w:color w:val="231F20"/>
          <w:spacing w:val="-4"/>
        </w:rPr>
        <w:t>de</w:t>
      </w:r>
      <w:r>
        <w:rPr>
          <w:color w:val="231F20"/>
          <w:spacing w:val="-13"/>
        </w:rPr>
        <w:t> </w:t>
      </w:r>
      <w:r>
        <w:rPr>
          <w:color w:val="231F20"/>
          <w:spacing w:val="-4"/>
        </w:rPr>
        <w:t>l’homme</w:t>
      </w:r>
      <w:r>
        <w:rPr>
          <w:color w:val="231F20"/>
          <w:spacing w:val="-12"/>
        </w:rPr>
        <w:t> </w:t>
      </w:r>
      <w:r>
        <w:rPr>
          <w:color w:val="231F20"/>
          <w:spacing w:val="-4"/>
        </w:rPr>
        <w:t>des</w:t>
      </w:r>
      <w:r>
        <w:rPr>
          <w:color w:val="231F20"/>
          <w:spacing w:val="-13"/>
        </w:rPr>
        <w:t> </w:t>
      </w:r>
      <w:r>
        <w:rPr>
          <w:color w:val="231F20"/>
          <w:spacing w:val="-4"/>
        </w:rPr>
        <w:t>Nations</w:t>
      </w:r>
      <w:r>
        <w:rPr>
          <w:color w:val="231F20"/>
          <w:spacing w:val="-12"/>
        </w:rPr>
        <w:t> </w:t>
      </w:r>
      <w:r>
        <w:rPr>
          <w:color w:val="231F20"/>
          <w:spacing w:val="-4"/>
        </w:rPr>
        <w:t>Unies</w:t>
      </w:r>
      <w:r>
        <w:rPr>
          <w:color w:val="231F20"/>
          <w:spacing w:val="-13"/>
        </w:rPr>
        <w:t> </w:t>
      </w:r>
      <w:r>
        <w:rPr>
          <w:color w:val="231F20"/>
          <w:spacing w:val="-4"/>
        </w:rPr>
        <w:t>sur</w:t>
      </w:r>
      <w:r>
        <w:rPr>
          <w:color w:val="231F20"/>
          <w:spacing w:val="-12"/>
        </w:rPr>
        <w:t> </w:t>
      </w:r>
      <w:r>
        <w:rPr>
          <w:color w:val="231F20"/>
          <w:spacing w:val="-4"/>
        </w:rPr>
        <w:t>les</w:t>
      </w:r>
      <w:r>
        <w:rPr>
          <w:color w:val="231F20"/>
          <w:spacing w:val="-13"/>
        </w:rPr>
        <w:t> </w:t>
      </w:r>
      <w:r>
        <w:rPr>
          <w:color w:val="231F20"/>
          <w:spacing w:val="-4"/>
        </w:rPr>
        <w:t>effets </w:t>
      </w:r>
      <w:r>
        <w:rPr>
          <w:color w:val="231F20"/>
          <w:spacing w:val="-6"/>
        </w:rPr>
        <w:t>négatifs</w:t>
      </w:r>
      <w:r>
        <w:rPr>
          <w:color w:val="231F20"/>
          <w:spacing w:val="-10"/>
        </w:rPr>
        <w:t> </w:t>
      </w:r>
      <w:r>
        <w:rPr>
          <w:color w:val="231F20"/>
          <w:spacing w:val="-6"/>
        </w:rPr>
        <w:t>des</w:t>
      </w:r>
      <w:r>
        <w:rPr>
          <w:color w:val="231F20"/>
          <w:spacing w:val="-10"/>
        </w:rPr>
        <w:t> </w:t>
      </w:r>
      <w:r>
        <w:rPr>
          <w:color w:val="231F20"/>
          <w:spacing w:val="-6"/>
        </w:rPr>
        <w:t>mesures</w:t>
      </w:r>
      <w:r>
        <w:rPr>
          <w:color w:val="231F20"/>
          <w:spacing w:val="-10"/>
        </w:rPr>
        <w:t> </w:t>
      </w:r>
      <w:r>
        <w:rPr>
          <w:color w:val="231F20"/>
          <w:spacing w:val="-6"/>
        </w:rPr>
        <w:t>coercitives</w:t>
      </w:r>
      <w:r>
        <w:rPr>
          <w:color w:val="231F20"/>
          <w:spacing w:val="-10"/>
        </w:rPr>
        <w:t> </w:t>
      </w:r>
      <w:r>
        <w:rPr>
          <w:color w:val="231F20"/>
          <w:spacing w:val="-6"/>
        </w:rPr>
        <w:t>unilatérales </w:t>
      </w:r>
      <w:r>
        <w:rPr>
          <w:color w:val="231F20"/>
        </w:rPr>
        <w:t>sur l’exercice des droits de l’homme, a </w:t>
      </w:r>
      <w:r>
        <w:rPr>
          <w:color w:val="231F20"/>
          <w:spacing w:val="-4"/>
        </w:rPr>
        <w:t>déclaré</w:t>
      </w:r>
      <w:r>
        <w:rPr>
          <w:color w:val="231F20"/>
          <w:spacing w:val="-13"/>
        </w:rPr>
        <w:t> </w:t>
      </w:r>
      <w:r>
        <w:rPr>
          <w:color w:val="231F20"/>
          <w:spacing w:val="-4"/>
        </w:rPr>
        <w:t>le</w:t>
      </w:r>
      <w:r>
        <w:rPr>
          <w:color w:val="231F20"/>
          <w:spacing w:val="-12"/>
        </w:rPr>
        <w:t> </w:t>
      </w:r>
      <w:r>
        <w:rPr>
          <w:color w:val="231F20"/>
          <w:spacing w:val="-4"/>
        </w:rPr>
        <w:t>4</w:t>
      </w:r>
      <w:r>
        <w:rPr>
          <w:color w:val="231F20"/>
          <w:spacing w:val="-13"/>
        </w:rPr>
        <w:t> </w:t>
      </w:r>
      <w:r>
        <w:rPr>
          <w:color w:val="231F20"/>
          <w:spacing w:val="-4"/>
        </w:rPr>
        <w:t>mai</w:t>
      </w:r>
      <w:r>
        <w:rPr>
          <w:color w:val="231F20"/>
          <w:spacing w:val="-12"/>
        </w:rPr>
        <w:t> </w:t>
      </w:r>
      <w:r>
        <w:rPr>
          <w:color w:val="231F20"/>
          <w:spacing w:val="-4"/>
        </w:rPr>
        <w:t>2023,</w:t>
      </w:r>
      <w:r>
        <w:rPr>
          <w:color w:val="231F20"/>
          <w:spacing w:val="-13"/>
        </w:rPr>
        <w:t> </w:t>
      </w:r>
      <w:r>
        <w:rPr>
          <w:color w:val="231F20"/>
          <w:spacing w:val="-4"/>
        </w:rPr>
        <w:t>lors</w:t>
      </w:r>
      <w:r>
        <w:rPr>
          <w:color w:val="231F20"/>
          <w:spacing w:val="-12"/>
        </w:rPr>
        <w:t> </w:t>
      </w:r>
      <w:r>
        <w:rPr>
          <w:color w:val="231F20"/>
          <w:spacing w:val="-4"/>
        </w:rPr>
        <w:t>d’une</w:t>
      </w:r>
      <w:r>
        <w:rPr>
          <w:color w:val="231F20"/>
          <w:spacing w:val="-13"/>
        </w:rPr>
        <w:t> </w:t>
      </w:r>
      <w:r>
        <w:rPr>
          <w:color w:val="231F20"/>
          <w:spacing w:val="-4"/>
        </w:rPr>
        <w:t>conférence </w:t>
      </w:r>
      <w:r>
        <w:rPr>
          <w:color w:val="231F20"/>
        </w:rPr>
        <w:t>donnée</w:t>
      </w:r>
      <w:r>
        <w:rPr>
          <w:color w:val="231F20"/>
          <w:spacing w:val="-17"/>
        </w:rPr>
        <w:t> </w:t>
      </w:r>
      <w:r>
        <w:rPr>
          <w:color w:val="231F20"/>
        </w:rPr>
        <w:t>à</w:t>
      </w:r>
      <w:r>
        <w:rPr>
          <w:color w:val="231F20"/>
          <w:spacing w:val="-16"/>
        </w:rPr>
        <w:t> </w:t>
      </w:r>
      <w:r>
        <w:rPr>
          <w:color w:val="231F20"/>
        </w:rPr>
        <w:t>l’Université</w:t>
      </w:r>
      <w:r>
        <w:rPr>
          <w:color w:val="231F20"/>
          <w:spacing w:val="-17"/>
        </w:rPr>
        <w:t> </w:t>
      </w:r>
      <w:r>
        <w:rPr>
          <w:color w:val="231F20"/>
        </w:rPr>
        <w:t>de</w:t>
      </w:r>
      <w:r>
        <w:rPr>
          <w:color w:val="231F20"/>
          <w:spacing w:val="-16"/>
        </w:rPr>
        <w:t> </w:t>
      </w:r>
      <w:r>
        <w:rPr>
          <w:color w:val="231F20"/>
        </w:rPr>
        <w:t>La</w:t>
      </w:r>
      <w:r>
        <w:rPr>
          <w:color w:val="231F20"/>
          <w:spacing w:val="-17"/>
        </w:rPr>
        <w:t> </w:t>
      </w:r>
      <w:r>
        <w:rPr>
          <w:color w:val="231F20"/>
        </w:rPr>
        <w:t>Havane</w:t>
      </w:r>
      <w:r>
        <w:rPr>
          <w:color w:val="231F20"/>
          <w:spacing w:val="-16"/>
        </w:rPr>
        <w:t> </w:t>
      </w:r>
      <w:r>
        <w:rPr>
          <w:color w:val="231F20"/>
        </w:rPr>
        <w:t>dans</w:t>
      </w:r>
      <w:r>
        <w:rPr>
          <w:color w:val="231F20"/>
          <w:spacing w:val="-17"/>
        </w:rPr>
        <w:t> </w:t>
      </w:r>
      <w:r>
        <w:rPr>
          <w:color w:val="231F20"/>
        </w:rPr>
        <w:t>le cadre</w:t>
      </w:r>
      <w:r>
        <w:rPr>
          <w:color w:val="231F20"/>
          <w:spacing w:val="-8"/>
        </w:rPr>
        <w:t> </w:t>
      </w:r>
      <w:r>
        <w:rPr>
          <w:color w:val="231F20"/>
        </w:rPr>
        <w:t>de</w:t>
      </w:r>
      <w:r>
        <w:rPr>
          <w:color w:val="231F20"/>
          <w:spacing w:val="-8"/>
        </w:rPr>
        <w:t> </w:t>
      </w:r>
      <w:r>
        <w:rPr>
          <w:color w:val="231F20"/>
        </w:rPr>
        <w:t>sa</w:t>
      </w:r>
      <w:r>
        <w:rPr>
          <w:color w:val="231F20"/>
          <w:spacing w:val="-8"/>
        </w:rPr>
        <w:t> </w:t>
      </w:r>
      <w:r>
        <w:rPr>
          <w:color w:val="231F20"/>
        </w:rPr>
        <w:t>visite</w:t>
      </w:r>
      <w:r>
        <w:rPr>
          <w:color w:val="231F20"/>
          <w:spacing w:val="-8"/>
        </w:rPr>
        <w:t> </w:t>
      </w:r>
      <w:r>
        <w:rPr>
          <w:color w:val="231F20"/>
        </w:rPr>
        <w:t>universitaire</w:t>
      </w:r>
      <w:r>
        <w:rPr>
          <w:color w:val="231F20"/>
          <w:spacing w:val="-8"/>
        </w:rPr>
        <w:t> </w:t>
      </w:r>
      <w:r>
        <w:rPr>
          <w:color w:val="231F20"/>
        </w:rPr>
        <w:t>dans</w:t>
      </w:r>
      <w:r>
        <w:rPr>
          <w:color w:val="231F20"/>
          <w:spacing w:val="-8"/>
        </w:rPr>
        <w:t> </w:t>
      </w:r>
      <w:r>
        <w:rPr>
          <w:color w:val="231F20"/>
        </w:rPr>
        <w:t>l’île</w:t>
      </w:r>
      <w:r>
        <w:rPr>
          <w:color w:val="231F20"/>
          <w:spacing w:val="-8"/>
        </w:rPr>
        <w:t> </w:t>
      </w:r>
      <w:r>
        <w:rPr>
          <w:color w:val="231F20"/>
        </w:rPr>
        <w:t>:</w:t>
      </w:r>
      <w:r>
        <w:rPr>
          <w:color w:val="231F20"/>
          <w:spacing w:val="-8"/>
        </w:rPr>
        <w:t> </w:t>
      </w:r>
      <w:r>
        <w:rPr>
          <w:color w:val="231F20"/>
        </w:rPr>
        <w:t>« </w:t>
      </w:r>
      <w:r>
        <w:rPr>
          <w:color w:val="231F20"/>
          <w:spacing w:val="-4"/>
        </w:rPr>
        <w:t>Toutes</w:t>
      </w:r>
      <w:r>
        <w:rPr>
          <w:color w:val="231F20"/>
          <w:spacing w:val="-10"/>
        </w:rPr>
        <w:t> </w:t>
      </w:r>
      <w:r>
        <w:rPr>
          <w:color w:val="231F20"/>
          <w:spacing w:val="-4"/>
        </w:rPr>
        <w:t>ces</w:t>
      </w:r>
      <w:r>
        <w:rPr>
          <w:color w:val="231F20"/>
          <w:spacing w:val="-10"/>
        </w:rPr>
        <w:t> </w:t>
      </w:r>
      <w:r>
        <w:rPr>
          <w:color w:val="231F20"/>
          <w:spacing w:val="-4"/>
        </w:rPr>
        <w:t>sanctions</w:t>
      </w:r>
      <w:r>
        <w:rPr>
          <w:color w:val="231F20"/>
          <w:spacing w:val="-10"/>
        </w:rPr>
        <w:t> </w:t>
      </w:r>
      <w:r>
        <w:rPr>
          <w:color w:val="231F20"/>
          <w:spacing w:val="-4"/>
        </w:rPr>
        <w:t>sont</w:t>
      </w:r>
      <w:r>
        <w:rPr>
          <w:color w:val="231F20"/>
          <w:spacing w:val="-10"/>
        </w:rPr>
        <w:t> </w:t>
      </w:r>
      <w:r>
        <w:rPr>
          <w:color w:val="231F20"/>
          <w:spacing w:val="-4"/>
        </w:rPr>
        <w:t>si</w:t>
      </w:r>
      <w:r>
        <w:rPr>
          <w:color w:val="231F20"/>
          <w:spacing w:val="-10"/>
        </w:rPr>
        <w:t> </w:t>
      </w:r>
      <w:r>
        <w:rPr>
          <w:color w:val="231F20"/>
          <w:spacing w:val="-4"/>
        </w:rPr>
        <w:t>complexes</w:t>
      </w:r>
      <w:r>
        <w:rPr>
          <w:color w:val="231F20"/>
          <w:spacing w:val="-10"/>
        </w:rPr>
        <w:t> </w:t>
      </w:r>
      <w:r>
        <w:rPr>
          <w:color w:val="231F20"/>
          <w:spacing w:val="-4"/>
        </w:rPr>
        <w:t>et</w:t>
      </w:r>
      <w:r>
        <w:rPr>
          <w:color w:val="231F20"/>
          <w:spacing w:val="-10"/>
        </w:rPr>
        <w:t> </w:t>
      </w:r>
      <w:r>
        <w:rPr>
          <w:color w:val="231F20"/>
          <w:spacing w:val="-4"/>
        </w:rPr>
        <w:t>si </w:t>
      </w:r>
      <w:r>
        <w:rPr>
          <w:color w:val="231F20"/>
        </w:rPr>
        <w:t>globales</w:t>
      </w:r>
      <w:r>
        <w:rPr>
          <w:color w:val="231F20"/>
          <w:spacing w:val="-5"/>
        </w:rPr>
        <w:t> </w:t>
      </w:r>
      <w:r>
        <w:rPr>
          <w:color w:val="231F20"/>
        </w:rPr>
        <w:t>que</w:t>
      </w:r>
      <w:r>
        <w:rPr>
          <w:color w:val="231F20"/>
          <w:spacing w:val="-5"/>
        </w:rPr>
        <w:t> </w:t>
      </w:r>
      <w:r>
        <w:rPr>
          <w:color w:val="231F20"/>
        </w:rPr>
        <w:t>même</w:t>
      </w:r>
      <w:r>
        <w:rPr>
          <w:color w:val="231F20"/>
          <w:spacing w:val="-5"/>
        </w:rPr>
        <w:t> </w:t>
      </w:r>
      <w:r>
        <w:rPr>
          <w:color w:val="231F20"/>
        </w:rPr>
        <w:t>le</w:t>
      </w:r>
      <w:r>
        <w:rPr>
          <w:color w:val="231F20"/>
          <w:spacing w:val="-5"/>
        </w:rPr>
        <w:t> </w:t>
      </w:r>
      <w:r>
        <w:rPr>
          <w:color w:val="231F20"/>
        </w:rPr>
        <w:t>Statut</w:t>
      </w:r>
      <w:r>
        <w:rPr>
          <w:color w:val="231F20"/>
          <w:spacing w:val="-5"/>
        </w:rPr>
        <w:t> </w:t>
      </w:r>
      <w:r>
        <w:rPr>
          <w:color w:val="231F20"/>
        </w:rPr>
        <w:t>sur</w:t>
      </w:r>
      <w:r>
        <w:rPr>
          <w:color w:val="231F20"/>
          <w:spacing w:val="-5"/>
        </w:rPr>
        <w:t> </w:t>
      </w:r>
      <w:r>
        <w:rPr>
          <w:color w:val="231F20"/>
        </w:rPr>
        <w:t>le</w:t>
      </w:r>
      <w:r>
        <w:rPr>
          <w:color w:val="231F20"/>
          <w:spacing w:val="-5"/>
        </w:rPr>
        <w:t> </w:t>
      </w:r>
      <w:r>
        <w:rPr>
          <w:color w:val="231F20"/>
        </w:rPr>
        <w:t>blocus de l’Union européenne ne protège pas suffisamment ses propres entreprises qui </w:t>
      </w:r>
      <w:r>
        <w:rPr>
          <w:color w:val="231F20"/>
          <w:spacing w:val="-6"/>
        </w:rPr>
        <w:t>souhaitent</w:t>
      </w:r>
      <w:r>
        <w:rPr>
          <w:color w:val="231F20"/>
          <w:spacing w:val="-7"/>
        </w:rPr>
        <w:t> </w:t>
      </w:r>
      <w:r>
        <w:rPr>
          <w:color w:val="231F20"/>
          <w:spacing w:val="-6"/>
        </w:rPr>
        <w:t>faire</w:t>
      </w:r>
      <w:r>
        <w:rPr>
          <w:color w:val="231F20"/>
          <w:spacing w:val="-7"/>
        </w:rPr>
        <w:t> </w:t>
      </w:r>
      <w:r>
        <w:rPr>
          <w:color w:val="231F20"/>
          <w:spacing w:val="-6"/>
        </w:rPr>
        <w:t>des</w:t>
      </w:r>
      <w:r>
        <w:rPr>
          <w:color w:val="231F20"/>
          <w:spacing w:val="-7"/>
        </w:rPr>
        <w:t> </w:t>
      </w:r>
      <w:r>
        <w:rPr>
          <w:color w:val="231F20"/>
          <w:spacing w:val="-6"/>
        </w:rPr>
        <w:t>opérations</w:t>
      </w:r>
      <w:r>
        <w:rPr>
          <w:color w:val="231F20"/>
          <w:spacing w:val="-7"/>
        </w:rPr>
        <w:t> </w:t>
      </w:r>
      <w:r>
        <w:rPr>
          <w:color w:val="231F20"/>
          <w:spacing w:val="-6"/>
        </w:rPr>
        <w:t>à</w:t>
      </w:r>
      <w:r>
        <w:rPr>
          <w:color w:val="231F20"/>
          <w:spacing w:val="-7"/>
        </w:rPr>
        <w:t> </w:t>
      </w:r>
      <w:r>
        <w:rPr>
          <w:color w:val="231F20"/>
          <w:spacing w:val="-6"/>
        </w:rPr>
        <w:t>Cuba,</w:t>
      </w:r>
      <w:r>
        <w:rPr>
          <w:color w:val="231F20"/>
          <w:spacing w:val="-7"/>
        </w:rPr>
        <w:t> </w:t>
      </w:r>
      <w:r>
        <w:rPr>
          <w:color w:val="231F20"/>
          <w:spacing w:val="-6"/>
        </w:rPr>
        <w:t>bien que</w:t>
      </w:r>
      <w:r>
        <w:rPr>
          <w:color w:val="231F20"/>
          <w:spacing w:val="-12"/>
        </w:rPr>
        <w:t> </w:t>
      </w:r>
      <w:r>
        <w:rPr>
          <w:color w:val="231F20"/>
          <w:spacing w:val="-6"/>
        </w:rPr>
        <w:t>ces</w:t>
      </w:r>
      <w:r>
        <w:rPr>
          <w:color w:val="231F20"/>
          <w:spacing w:val="-12"/>
        </w:rPr>
        <w:t> </w:t>
      </w:r>
      <w:r>
        <w:rPr>
          <w:color w:val="231F20"/>
          <w:spacing w:val="-6"/>
        </w:rPr>
        <w:t>pays</w:t>
      </w:r>
      <w:r>
        <w:rPr>
          <w:color w:val="231F20"/>
          <w:spacing w:val="-12"/>
        </w:rPr>
        <w:t> </w:t>
      </w:r>
      <w:r>
        <w:rPr>
          <w:color w:val="231F20"/>
          <w:spacing w:val="-6"/>
        </w:rPr>
        <w:t>rejettent</w:t>
      </w:r>
      <w:r>
        <w:rPr>
          <w:color w:val="231F20"/>
          <w:spacing w:val="-11"/>
        </w:rPr>
        <w:t> </w:t>
      </w:r>
      <w:r>
        <w:rPr>
          <w:color w:val="231F20"/>
          <w:spacing w:val="-6"/>
        </w:rPr>
        <w:t>la</w:t>
      </w:r>
      <w:r>
        <w:rPr>
          <w:color w:val="231F20"/>
          <w:spacing w:val="-12"/>
        </w:rPr>
        <w:t> </w:t>
      </w:r>
      <w:r>
        <w:rPr>
          <w:color w:val="231F20"/>
          <w:spacing w:val="-6"/>
        </w:rPr>
        <w:t>Loi</w:t>
      </w:r>
      <w:r>
        <w:rPr>
          <w:color w:val="231F20"/>
          <w:spacing w:val="-12"/>
        </w:rPr>
        <w:t> </w:t>
      </w:r>
      <w:r>
        <w:rPr>
          <w:color w:val="231F20"/>
          <w:spacing w:val="-6"/>
        </w:rPr>
        <w:t>Helms-Burton.</w:t>
      </w:r>
      <w:r>
        <w:rPr>
          <w:color w:val="231F20"/>
          <w:spacing w:val="-11"/>
        </w:rPr>
        <w:t> </w:t>
      </w:r>
      <w:r>
        <w:rPr>
          <w:color w:val="231F20"/>
          <w:spacing w:val="-10"/>
        </w:rPr>
        <w:t>»</w:t>
      </w:r>
    </w:p>
    <w:p>
      <w:pPr>
        <w:pStyle w:val="BodyText"/>
        <w:spacing w:before="171"/>
        <w:ind w:left="411" w:right="1133"/>
      </w:pPr>
      <w:r>
        <w:rPr>
          <w:color w:val="231F20"/>
          <w:spacing w:val="-2"/>
        </w:rPr>
        <w:t>Tous</w:t>
      </w:r>
      <w:r>
        <w:rPr>
          <w:color w:val="231F20"/>
          <w:spacing w:val="-13"/>
        </w:rPr>
        <w:t> </w:t>
      </w:r>
      <w:r>
        <w:rPr>
          <w:color w:val="231F20"/>
          <w:spacing w:val="-2"/>
        </w:rPr>
        <w:t>les</w:t>
      </w:r>
      <w:r>
        <w:rPr>
          <w:color w:val="231F20"/>
          <w:spacing w:val="-13"/>
        </w:rPr>
        <w:t> </w:t>
      </w:r>
      <w:r>
        <w:rPr>
          <w:color w:val="231F20"/>
          <w:spacing w:val="-2"/>
        </w:rPr>
        <w:t>présidents</w:t>
      </w:r>
      <w:r>
        <w:rPr>
          <w:color w:val="231F20"/>
          <w:spacing w:val="-14"/>
        </w:rPr>
        <w:t> </w:t>
      </w:r>
      <w:r>
        <w:rPr>
          <w:color w:val="231F20"/>
          <w:spacing w:val="-2"/>
        </w:rPr>
        <w:t>des</w:t>
      </w:r>
      <w:r>
        <w:rPr>
          <w:color w:val="231F20"/>
          <w:spacing w:val="-13"/>
        </w:rPr>
        <w:t> </w:t>
      </w:r>
      <w:r>
        <w:rPr>
          <w:color w:val="231F20"/>
          <w:spacing w:val="-2"/>
        </w:rPr>
        <w:t>États-Unis,</w:t>
      </w:r>
      <w:r>
        <w:rPr>
          <w:color w:val="231F20"/>
          <w:spacing w:val="-13"/>
        </w:rPr>
        <w:t> </w:t>
      </w:r>
      <w:r>
        <w:rPr>
          <w:color w:val="231F20"/>
          <w:spacing w:val="-2"/>
        </w:rPr>
        <w:t>utilisant </w:t>
      </w:r>
      <w:r>
        <w:rPr>
          <w:color w:val="231F20"/>
        </w:rPr>
        <w:t>une exception incluse dans cette loi qui leur en offre la faculté, avaient, depuis 1996, bloqué tous les six mois cette </w:t>
      </w:r>
      <w:r>
        <w:rPr>
          <w:color w:val="231F20"/>
          <w:spacing w:val="-2"/>
        </w:rPr>
        <w:t>possibilité</w:t>
      </w:r>
      <w:r>
        <w:rPr>
          <w:color w:val="231F20"/>
          <w:spacing w:val="-8"/>
        </w:rPr>
        <w:t> </w:t>
      </w:r>
      <w:r>
        <w:rPr>
          <w:color w:val="231F20"/>
          <w:spacing w:val="-2"/>
        </w:rPr>
        <w:t>d’engager</w:t>
      </w:r>
      <w:r>
        <w:rPr>
          <w:color w:val="231F20"/>
          <w:spacing w:val="-8"/>
        </w:rPr>
        <w:t> </w:t>
      </w:r>
      <w:r>
        <w:rPr>
          <w:color w:val="231F20"/>
          <w:spacing w:val="-2"/>
        </w:rPr>
        <w:t>des</w:t>
      </w:r>
      <w:r>
        <w:rPr>
          <w:color w:val="231F20"/>
          <w:spacing w:val="-8"/>
        </w:rPr>
        <w:t> </w:t>
      </w:r>
      <w:r>
        <w:rPr>
          <w:color w:val="231F20"/>
          <w:spacing w:val="-2"/>
        </w:rPr>
        <w:t>procès</w:t>
      </w:r>
      <w:r>
        <w:rPr>
          <w:color w:val="231F20"/>
          <w:spacing w:val="-8"/>
        </w:rPr>
        <w:t> </w:t>
      </w:r>
      <w:r>
        <w:rPr>
          <w:color w:val="231F20"/>
          <w:spacing w:val="-2"/>
        </w:rPr>
        <w:t>contre</w:t>
      </w:r>
      <w:r>
        <w:rPr>
          <w:color w:val="231F20"/>
          <w:spacing w:val="-8"/>
        </w:rPr>
        <w:t> </w:t>
      </w:r>
      <w:r>
        <w:rPr>
          <w:color w:val="231F20"/>
          <w:spacing w:val="-2"/>
        </w:rPr>
        <w:t>les </w:t>
      </w:r>
      <w:r>
        <w:rPr>
          <w:color w:val="231F20"/>
        </w:rPr>
        <w:t>prétendus</w:t>
      </w:r>
      <w:r>
        <w:rPr>
          <w:color w:val="231F20"/>
          <w:spacing w:val="-8"/>
        </w:rPr>
        <w:t> </w:t>
      </w:r>
      <w:r>
        <w:rPr>
          <w:color w:val="231F20"/>
        </w:rPr>
        <w:t>bénéficiaires</w:t>
      </w:r>
      <w:r>
        <w:rPr>
          <w:color w:val="231F20"/>
          <w:spacing w:val="-7"/>
        </w:rPr>
        <w:t> </w:t>
      </w:r>
      <w:r>
        <w:rPr>
          <w:color w:val="231F20"/>
        </w:rPr>
        <w:t>de</w:t>
      </w:r>
      <w:r>
        <w:rPr>
          <w:color w:val="231F20"/>
          <w:spacing w:val="-7"/>
        </w:rPr>
        <w:t> </w:t>
      </w:r>
      <w:r>
        <w:rPr>
          <w:color w:val="231F20"/>
        </w:rPr>
        <w:t>ce</w:t>
      </w:r>
      <w:r>
        <w:rPr>
          <w:color w:val="231F20"/>
          <w:spacing w:val="-7"/>
        </w:rPr>
        <w:t> </w:t>
      </w:r>
      <w:r>
        <w:rPr>
          <w:color w:val="231F20"/>
        </w:rPr>
        <w:t>«</w:t>
      </w:r>
      <w:r>
        <w:rPr>
          <w:color w:val="231F20"/>
          <w:spacing w:val="-7"/>
        </w:rPr>
        <w:t> </w:t>
      </w:r>
      <w:r>
        <w:rPr>
          <w:color w:val="231F20"/>
          <w:spacing w:val="-2"/>
        </w:rPr>
        <w:t>commerce</w:t>
      </w:r>
    </w:p>
    <w:p>
      <w:pPr>
        <w:pStyle w:val="BodyText"/>
        <w:spacing w:before="4"/>
        <w:ind w:left="411" w:right="1131"/>
      </w:pPr>
      <w:r>
        <w:rPr>
          <w:color w:val="231F20"/>
        </w:rPr>
        <w:t>».</w:t>
      </w:r>
      <w:r>
        <w:rPr>
          <w:color w:val="231F20"/>
          <w:spacing w:val="-7"/>
        </w:rPr>
        <w:t> </w:t>
      </w:r>
      <w:r>
        <w:rPr>
          <w:color w:val="231F20"/>
        </w:rPr>
        <w:t>Or,</w:t>
      </w:r>
      <w:r>
        <w:rPr>
          <w:color w:val="231F20"/>
          <w:spacing w:val="-7"/>
        </w:rPr>
        <w:t> </w:t>
      </w:r>
      <w:r>
        <w:rPr>
          <w:color w:val="231F20"/>
        </w:rPr>
        <w:t>l’administration</w:t>
      </w:r>
      <w:r>
        <w:rPr>
          <w:color w:val="231F20"/>
          <w:spacing w:val="-7"/>
        </w:rPr>
        <w:t> </w:t>
      </w:r>
      <w:r>
        <w:rPr>
          <w:color w:val="231F20"/>
        </w:rPr>
        <w:t>Trump</w:t>
      </w:r>
      <w:r>
        <w:rPr>
          <w:color w:val="231F20"/>
          <w:spacing w:val="-7"/>
        </w:rPr>
        <w:t> </w:t>
      </w:r>
      <w:r>
        <w:rPr>
          <w:color w:val="231F20"/>
        </w:rPr>
        <w:t>a</w:t>
      </w:r>
      <w:r>
        <w:rPr>
          <w:color w:val="231F20"/>
          <w:spacing w:val="-7"/>
        </w:rPr>
        <w:t> </w:t>
      </w:r>
      <w:r>
        <w:rPr>
          <w:color w:val="231F20"/>
        </w:rPr>
        <w:t>annoncé</w:t>
      </w:r>
      <w:r>
        <w:rPr>
          <w:color w:val="231F20"/>
          <w:spacing w:val="-7"/>
        </w:rPr>
        <w:t> </w:t>
      </w:r>
      <w:r>
        <w:rPr>
          <w:color w:val="231F20"/>
        </w:rPr>
        <w:t>le 17</w:t>
      </w:r>
      <w:r>
        <w:rPr>
          <w:color w:val="231F20"/>
          <w:spacing w:val="-4"/>
        </w:rPr>
        <w:t> </w:t>
      </w:r>
      <w:r>
        <w:rPr>
          <w:color w:val="231F20"/>
        </w:rPr>
        <w:t>avril</w:t>
      </w:r>
      <w:r>
        <w:rPr>
          <w:color w:val="231F20"/>
          <w:spacing w:val="-4"/>
        </w:rPr>
        <w:t> </w:t>
      </w:r>
      <w:r>
        <w:rPr>
          <w:color w:val="231F20"/>
        </w:rPr>
        <w:t>2019</w:t>
      </w:r>
      <w:r>
        <w:rPr>
          <w:color w:val="231F20"/>
          <w:spacing w:val="-4"/>
        </w:rPr>
        <w:t> </w:t>
      </w:r>
      <w:r>
        <w:rPr>
          <w:color w:val="231F20"/>
        </w:rPr>
        <w:t>qu’elle</w:t>
      </w:r>
      <w:r>
        <w:rPr>
          <w:color w:val="231F20"/>
          <w:spacing w:val="-4"/>
        </w:rPr>
        <w:t> </w:t>
      </w:r>
      <w:r>
        <w:rPr>
          <w:color w:val="231F20"/>
        </w:rPr>
        <w:t>activerait</w:t>
      </w:r>
      <w:r>
        <w:rPr>
          <w:color w:val="231F20"/>
          <w:spacing w:val="-4"/>
        </w:rPr>
        <w:t> </w:t>
      </w:r>
      <w:r>
        <w:rPr>
          <w:color w:val="231F20"/>
        </w:rPr>
        <w:t>ce</w:t>
      </w:r>
      <w:r>
        <w:rPr>
          <w:color w:val="231F20"/>
          <w:spacing w:val="-4"/>
        </w:rPr>
        <w:t> </w:t>
      </w:r>
      <w:r>
        <w:rPr>
          <w:color w:val="231F20"/>
        </w:rPr>
        <w:t>Titre</w:t>
      </w:r>
      <w:r>
        <w:rPr>
          <w:color w:val="231F20"/>
          <w:spacing w:val="-4"/>
        </w:rPr>
        <w:t> </w:t>
      </w:r>
      <w:r>
        <w:rPr>
          <w:color w:val="231F20"/>
        </w:rPr>
        <w:t>III</w:t>
      </w:r>
      <w:r>
        <w:rPr>
          <w:color w:val="231F20"/>
          <w:spacing w:val="-4"/>
        </w:rPr>
        <w:t> </w:t>
      </w:r>
      <w:r>
        <w:rPr>
          <w:color w:val="231F20"/>
        </w:rPr>
        <w:t>à compter du 2 mai afin de permettre aux cours de recevoir les demandes qui leur seraient présentées.</w:t>
      </w:r>
    </w:p>
    <w:p>
      <w:pPr>
        <w:pStyle w:val="BodyText"/>
        <w:spacing w:before="164"/>
        <w:ind w:left="411" w:right="1133"/>
      </w:pPr>
      <w:r>
        <w:rPr>
          <w:color w:val="231F20"/>
        </w:rPr>
        <w:t>L’administration</w:t>
      </w:r>
      <w:r>
        <w:rPr>
          <w:color w:val="231F20"/>
          <w:spacing w:val="-4"/>
        </w:rPr>
        <w:t> </w:t>
      </w:r>
      <w:r>
        <w:rPr>
          <w:color w:val="231F20"/>
        </w:rPr>
        <w:t>Biden</w:t>
      </w:r>
      <w:r>
        <w:rPr>
          <w:color w:val="231F20"/>
          <w:spacing w:val="-4"/>
        </w:rPr>
        <w:t> </w:t>
      </w:r>
      <w:r>
        <w:rPr>
          <w:color w:val="231F20"/>
        </w:rPr>
        <w:t>n’ayant</w:t>
      </w:r>
      <w:r>
        <w:rPr>
          <w:color w:val="231F20"/>
          <w:spacing w:val="-4"/>
        </w:rPr>
        <w:t> </w:t>
      </w:r>
      <w:r>
        <w:rPr>
          <w:color w:val="231F20"/>
        </w:rPr>
        <w:t>pas</w:t>
      </w:r>
      <w:r>
        <w:rPr>
          <w:color w:val="231F20"/>
          <w:spacing w:val="-5"/>
        </w:rPr>
        <w:t> </w:t>
      </w:r>
      <w:r>
        <w:rPr>
          <w:color w:val="231F20"/>
        </w:rPr>
        <w:t>annulé cette décision, les entreprises des États- </w:t>
      </w:r>
      <w:r>
        <w:rPr>
          <w:color w:val="231F20"/>
          <w:spacing w:val="-4"/>
        </w:rPr>
        <w:t>Unis</w:t>
      </w:r>
      <w:r>
        <w:rPr>
          <w:color w:val="231F20"/>
          <w:spacing w:val="-9"/>
        </w:rPr>
        <w:t> </w:t>
      </w:r>
      <w:r>
        <w:rPr>
          <w:color w:val="231F20"/>
          <w:spacing w:val="-4"/>
        </w:rPr>
        <w:t>et</w:t>
      </w:r>
      <w:r>
        <w:rPr>
          <w:color w:val="231F20"/>
          <w:spacing w:val="-9"/>
        </w:rPr>
        <w:t> </w:t>
      </w:r>
      <w:r>
        <w:rPr>
          <w:color w:val="231F20"/>
          <w:spacing w:val="-4"/>
        </w:rPr>
        <w:t>de</w:t>
      </w:r>
      <w:r>
        <w:rPr>
          <w:color w:val="231F20"/>
          <w:spacing w:val="-9"/>
        </w:rPr>
        <w:t> </w:t>
      </w:r>
      <w:r>
        <w:rPr>
          <w:color w:val="231F20"/>
          <w:spacing w:val="-4"/>
        </w:rPr>
        <w:t>pays</w:t>
      </w:r>
      <w:r>
        <w:rPr>
          <w:color w:val="231F20"/>
          <w:spacing w:val="-8"/>
        </w:rPr>
        <w:t> </w:t>
      </w:r>
      <w:r>
        <w:rPr>
          <w:color w:val="231F20"/>
          <w:spacing w:val="-4"/>
        </w:rPr>
        <w:t>tiers</w:t>
      </w:r>
      <w:r>
        <w:rPr>
          <w:color w:val="231F20"/>
          <w:spacing w:val="-9"/>
        </w:rPr>
        <w:t> </w:t>
      </w:r>
      <w:r>
        <w:rPr>
          <w:color w:val="231F20"/>
          <w:spacing w:val="-4"/>
        </w:rPr>
        <w:t>qui</w:t>
      </w:r>
      <w:r>
        <w:rPr>
          <w:color w:val="231F20"/>
          <w:spacing w:val="-9"/>
        </w:rPr>
        <w:t> </w:t>
      </w:r>
      <w:r>
        <w:rPr>
          <w:color w:val="231F20"/>
          <w:spacing w:val="-4"/>
        </w:rPr>
        <w:t>ont</w:t>
      </w:r>
      <w:r>
        <w:rPr>
          <w:color w:val="231F20"/>
          <w:spacing w:val="-8"/>
        </w:rPr>
        <w:t> </w:t>
      </w:r>
      <w:r>
        <w:rPr>
          <w:color w:val="231F20"/>
          <w:spacing w:val="-4"/>
        </w:rPr>
        <w:t>fait</w:t>
      </w:r>
      <w:r>
        <w:rPr>
          <w:color w:val="231F20"/>
          <w:spacing w:val="-9"/>
        </w:rPr>
        <w:t> </w:t>
      </w:r>
      <w:r>
        <w:rPr>
          <w:color w:val="231F20"/>
          <w:spacing w:val="-4"/>
        </w:rPr>
        <w:t>ou</w:t>
      </w:r>
      <w:r>
        <w:rPr>
          <w:color w:val="231F20"/>
          <w:spacing w:val="-9"/>
        </w:rPr>
        <w:t> </w:t>
      </w:r>
      <w:r>
        <w:rPr>
          <w:color w:val="231F20"/>
          <w:spacing w:val="-4"/>
        </w:rPr>
        <w:t>font</w:t>
      </w:r>
      <w:r>
        <w:rPr>
          <w:color w:val="231F20"/>
          <w:spacing w:val="-8"/>
        </w:rPr>
        <w:t> </w:t>
      </w:r>
      <w:r>
        <w:rPr>
          <w:color w:val="231F20"/>
          <w:spacing w:val="-5"/>
        </w:rPr>
        <w:t>des</w:t>
      </w:r>
    </w:p>
    <w:p>
      <w:pPr>
        <w:spacing w:after="0"/>
        <w:sectPr>
          <w:pgSz w:w="11910" w:h="16840"/>
          <w:pgMar w:header="0" w:footer="695" w:top="1220" w:bottom="880" w:left="0" w:right="0"/>
          <w:cols w:num="2" w:equalWidth="0">
            <w:col w:w="5898" w:space="40"/>
            <w:col w:w="5972"/>
          </w:cols>
        </w:sectPr>
      </w:pPr>
    </w:p>
    <w:p>
      <w:pPr>
        <w:pStyle w:val="BodyText"/>
        <w:spacing w:before="77"/>
        <w:ind w:left="1133"/>
      </w:pPr>
      <w:r>
        <w:rPr>
          <w:color w:val="231F20"/>
          <w:spacing w:val="-4"/>
        </w:rPr>
        <w:t>affaires</w:t>
      </w:r>
      <w:r>
        <w:rPr>
          <w:color w:val="231F20"/>
          <w:spacing w:val="-13"/>
        </w:rPr>
        <w:t> </w:t>
      </w:r>
      <w:r>
        <w:rPr>
          <w:color w:val="231F20"/>
          <w:spacing w:val="-4"/>
        </w:rPr>
        <w:t>avec</w:t>
      </w:r>
      <w:r>
        <w:rPr>
          <w:color w:val="231F20"/>
          <w:spacing w:val="-12"/>
        </w:rPr>
        <w:t> </w:t>
      </w:r>
      <w:r>
        <w:rPr>
          <w:color w:val="231F20"/>
          <w:spacing w:val="-4"/>
        </w:rPr>
        <w:t>Cuba,</w:t>
      </w:r>
      <w:r>
        <w:rPr>
          <w:color w:val="231F20"/>
          <w:spacing w:val="-13"/>
        </w:rPr>
        <w:t> </w:t>
      </w:r>
      <w:r>
        <w:rPr>
          <w:color w:val="231F20"/>
          <w:spacing w:val="-4"/>
        </w:rPr>
        <w:t>ainsi</w:t>
      </w:r>
      <w:r>
        <w:rPr>
          <w:color w:val="231F20"/>
          <w:spacing w:val="-12"/>
        </w:rPr>
        <w:t> </w:t>
      </w:r>
      <w:r>
        <w:rPr>
          <w:color w:val="231F20"/>
          <w:spacing w:val="-4"/>
        </w:rPr>
        <w:t>que</w:t>
      </w:r>
      <w:r>
        <w:rPr>
          <w:color w:val="231F20"/>
          <w:spacing w:val="-13"/>
        </w:rPr>
        <w:t> </w:t>
      </w:r>
      <w:r>
        <w:rPr>
          <w:color w:val="231F20"/>
          <w:spacing w:val="-4"/>
        </w:rPr>
        <w:t>des</w:t>
      </w:r>
      <w:r>
        <w:rPr>
          <w:color w:val="231F20"/>
          <w:spacing w:val="-12"/>
        </w:rPr>
        <w:t> </w:t>
      </w:r>
      <w:r>
        <w:rPr>
          <w:color w:val="231F20"/>
          <w:spacing w:val="-4"/>
        </w:rPr>
        <w:t>entreprises </w:t>
      </w:r>
      <w:r>
        <w:rPr>
          <w:color w:val="231F20"/>
        </w:rPr>
        <w:t>nationales, sont toujours menacées.</w:t>
      </w:r>
    </w:p>
    <w:p>
      <w:pPr>
        <w:pStyle w:val="BodyText"/>
        <w:spacing w:before="161"/>
        <w:ind w:left="1133" w:right="1"/>
      </w:pPr>
      <w:r>
        <w:rPr>
          <w:color w:val="231F20"/>
        </w:rPr>
        <w:t>Au</w:t>
      </w:r>
      <w:r>
        <w:rPr>
          <w:color w:val="231F20"/>
          <w:spacing w:val="-17"/>
        </w:rPr>
        <w:t> </w:t>
      </w:r>
      <w:r>
        <w:rPr>
          <w:color w:val="231F20"/>
        </w:rPr>
        <w:t>31</w:t>
      </w:r>
      <w:r>
        <w:rPr>
          <w:color w:val="231F20"/>
          <w:spacing w:val="-16"/>
        </w:rPr>
        <w:t> </w:t>
      </w:r>
      <w:r>
        <w:rPr>
          <w:color w:val="231F20"/>
        </w:rPr>
        <w:t>mars</w:t>
      </w:r>
      <w:r>
        <w:rPr>
          <w:color w:val="231F20"/>
          <w:spacing w:val="-17"/>
        </w:rPr>
        <w:t> </w:t>
      </w:r>
      <w:r>
        <w:rPr>
          <w:color w:val="231F20"/>
        </w:rPr>
        <w:t>2023,</w:t>
      </w:r>
      <w:r>
        <w:rPr>
          <w:color w:val="231F20"/>
          <w:spacing w:val="-16"/>
        </w:rPr>
        <w:t> </w:t>
      </w:r>
      <w:r>
        <w:rPr>
          <w:color w:val="231F20"/>
        </w:rPr>
        <w:t>un</w:t>
      </w:r>
      <w:r>
        <w:rPr>
          <w:color w:val="231F20"/>
          <w:spacing w:val="-17"/>
        </w:rPr>
        <w:t> </w:t>
      </w:r>
      <w:r>
        <w:rPr>
          <w:color w:val="231F20"/>
        </w:rPr>
        <w:t>total</w:t>
      </w:r>
      <w:r>
        <w:rPr>
          <w:color w:val="231F20"/>
          <w:spacing w:val="-16"/>
        </w:rPr>
        <w:t> </w:t>
      </w:r>
      <w:r>
        <w:rPr>
          <w:color w:val="231F20"/>
        </w:rPr>
        <w:t>de</w:t>
      </w:r>
      <w:r>
        <w:rPr>
          <w:color w:val="231F20"/>
          <w:spacing w:val="-17"/>
        </w:rPr>
        <w:t> </w:t>
      </w:r>
      <w:r>
        <w:rPr>
          <w:color w:val="231F20"/>
        </w:rPr>
        <w:t>42</w:t>
      </w:r>
      <w:r>
        <w:rPr>
          <w:color w:val="231F20"/>
          <w:spacing w:val="-16"/>
        </w:rPr>
        <w:t> </w:t>
      </w:r>
      <w:r>
        <w:rPr>
          <w:color w:val="231F20"/>
        </w:rPr>
        <w:t>demandes a été déposé aux termes du Titre III. Les demandes suivantes l’ont été entre mars 2022 et février 2023 :</w:t>
      </w:r>
    </w:p>
    <w:p>
      <w:pPr>
        <w:pStyle w:val="BodyText"/>
        <w:spacing w:before="163"/>
        <w:ind w:left="1133"/>
      </w:pPr>
      <w:r>
        <w:rPr>
          <w:b/>
          <w:color w:val="231F20"/>
        </w:rPr>
        <w:t>22 mars 2022. </w:t>
      </w:r>
      <w:r>
        <w:rPr>
          <w:color w:val="231F20"/>
        </w:rPr>
        <w:t>Richard Sierra, Veronica Gooch, Roland Sierra, Lucía Lleras de Labrada</w:t>
      </w:r>
      <w:r>
        <w:rPr>
          <w:color w:val="231F20"/>
          <w:spacing w:val="-17"/>
        </w:rPr>
        <w:t> </w:t>
      </w:r>
      <w:r>
        <w:rPr>
          <w:color w:val="231F20"/>
        </w:rPr>
        <w:t>et</w:t>
      </w:r>
      <w:r>
        <w:rPr>
          <w:color w:val="231F20"/>
          <w:spacing w:val="-16"/>
        </w:rPr>
        <w:t> </w:t>
      </w:r>
      <w:r>
        <w:rPr>
          <w:color w:val="231F20"/>
        </w:rPr>
        <w:t>Priscilla</w:t>
      </w:r>
      <w:r>
        <w:rPr>
          <w:color w:val="231F20"/>
          <w:spacing w:val="-17"/>
        </w:rPr>
        <w:t> </w:t>
      </w:r>
      <w:r>
        <w:rPr>
          <w:color w:val="231F20"/>
        </w:rPr>
        <w:t>Lleras-Bush</w:t>
      </w:r>
      <w:r>
        <w:rPr>
          <w:color w:val="231F20"/>
          <w:spacing w:val="-16"/>
        </w:rPr>
        <w:t> </w:t>
      </w:r>
      <w:r>
        <w:rPr>
          <w:color w:val="231F20"/>
        </w:rPr>
        <w:t>présentent une</w:t>
      </w:r>
      <w:r>
        <w:rPr>
          <w:color w:val="231F20"/>
          <w:spacing w:val="-4"/>
        </w:rPr>
        <w:t> </w:t>
      </w:r>
      <w:r>
        <w:rPr>
          <w:color w:val="231F20"/>
        </w:rPr>
        <w:t>réclamation</w:t>
      </w:r>
      <w:r>
        <w:rPr>
          <w:color w:val="231F20"/>
          <w:spacing w:val="-4"/>
        </w:rPr>
        <w:t> </w:t>
      </w:r>
      <w:r>
        <w:rPr>
          <w:color w:val="231F20"/>
        </w:rPr>
        <w:t>devant</w:t>
      </w:r>
      <w:r>
        <w:rPr>
          <w:color w:val="231F20"/>
          <w:spacing w:val="-4"/>
        </w:rPr>
        <w:t> </w:t>
      </w:r>
      <w:r>
        <w:rPr>
          <w:color w:val="231F20"/>
        </w:rPr>
        <w:t>la</w:t>
      </w:r>
      <w:r>
        <w:rPr>
          <w:color w:val="231F20"/>
          <w:spacing w:val="-3"/>
        </w:rPr>
        <w:t> </w:t>
      </w:r>
      <w:r>
        <w:rPr>
          <w:color w:val="231F20"/>
        </w:rPr>
        <w:t>cour</w:t>
      </w:r>
      <w:r>
        <w:rPr>
          <w:color w:val="231F20"/>
          <w:spacing w:val="-3"/>
        </w:rPr>
        <w:t> </w:t>
      </w:r>
      <w:r>
        <w:rPr>
          <w:color w:val="231F20"/>
        </w:rPr>
        <w:t>du</w:t>
      </w:r>
      <w:r>
        <w:rPr>
          <w:color w:val="231F20"/>
          <w:spacing w:val="-4"/>
        </w:rPr>
        <w:t> </w:t>
      </w:r>
      <w:r>
        <w:rPr>
          <w:color w:val="231F20"/>
        </w:rPr>
        <w:t>district de Delaware contre Trafigura Trading</w:t>
      </w:r>
      <w:r>
        <w:rPr>
          <w:color w:val="231F20"/>
          <w:spacing w:val="40"/>
        </w:rPr>
        <w:t> </w:t>
      </w:r>
      <w:r>
        <w:rPr>
          <w:color w:val="231F20"/>
        </w:rPr>
        <w:t>LLC, au motif qu’ils sont actionnaires des compagnies propriétaires des mines de Matahambre, du terminal portuaire de Santa Lucía en Pinar del Río, de quais, d’entrepôts,</w:t>
      </w:r>
      <w:r>
        <w:rPr>
          <w:color w:val="231F20"/>
          <w:spacing w:val="80"/>
        </w:rPr>
        <w:t> </w:t>
      </w:r>
      <w:r>
        <w:rPr>
          <w:color w:val="231F20"/>
        </w:rPr>
        <w:t>de</w:t>
      </w:r>
      <w:r>
        <w:rPr>
          <w:color w:val="231F20"/>
          <w:spacing w:val="80"/>
        </w:rPr>
        <w:t> </w:t>
      </w:r>
      <w:r>
        <w:rPr>
          <w:color w:val="231F20"/>
        </w:rPr>
        <w:t>magasins,</w:t>
      </w:r>
      <w:r>
        <w:rPr>
          <w:color w:val="231F20"/>
          <w:spacing w:val="80"/>
        </w:rPr>
        <w:t> </w:t>
      </w:r>
      <w:r>
        <w:rPr>
          <w:color w:val="231F20"/>
        </w:rPr>
        <w:t>de</w:t>
      </w:r>
      <w:r>
        <w:rPr>
          <w:color w:val="231F20"/>
          <w:spacing w:val="80"/>
        </w:rPr>
        <w:t> </w:t>
      </w:r>
      <w:r>
        <w:rPr>
          <w:color w:val="231F20"/>
        </w:rPr>
        <w:t>fermes, de routes, d’une usine de traitement de minerais, entre autres biens nationalisés après</w:t>
      </w:r>
      <w:r>
        <w:rPr>
          <w:color w:val="231F20"/>
          <w:spacing w:val="-3"/>
        </w:rPr>
        <w:t> </w:t>
      </w:r>
      <w:r>
        <w:rPr>
          <w:color w:val="231F20"/>
        </w:rPr>
        <w:t>la</w:t>
      </w:r>
      <w:r>
        <w:rPr>
          <w:color w:val="231F20"/>
          <w:spacing w:val="-3"/>
        </w:rPr>
        <w:t> </w:t>
      </w:r>
      <w:r>
        <w:rPr>
          <w:color w:val="231F20"/>
        </w:rPr>
        <w:t>victoire</w:t>
      </w:r>
      <w:r>
        <w:rPr>
          <w:color w:val="231F20"/>
          <w:spacing w:val="-3"/>
        </w:rPr>
        <w:t> </w:t>
      </w:r>
      <w:r>
        <w:rPr>
          <w:color w:val="231F20"/>
        </w:rPr>
        <w:t>de</w:t>
      </w:r>
      <w:r>
        <w:rPr>
          <w:color w:val="231F20"/>
          <w:spacing w:val="-3"/>
        </w:rPr>
        <w:t> </w:t>
      </w:r>
      <w:r>
        <w:rPr>
          <w:color w:val="231F20"/>
        </w:rPr>
        <w:t>la</w:t>
      </w:r>
      <w:r>
        <w:rPr>
          <w:color w:val="231F20"/>
          <w:spacing w:val="-3"/>
        </w:rPr>
        <w:t> </w:t>
      </w:r>
      <w:r>
        <w:rPr>
          <w:color w:val="231F20"/>
        </w:rPr>
        <w:t>Révolution</w:t>
      </w:r>
      <w:r>
        <w:rPr>
          <w:color w:val="231F20"/>
          <w:spacing w:val="-3"/>
        </w:rPr>
        <w:t> </w:t>
      </w:r>
      <w:r>
        <w:rPr>
          <w:color w:val="231F20"/>
        </w:rPr>
        <w:t>en</w:t>
      </w:r>
      <w:r>
        <w:rPr>
          <w:color w:val="231F20"/>
          <w:spacing w:val="-3"/>
        </w:rPr>
        <w:t> </w:t>
      </w:r>
      <w:r>
        <w:rPr>
          <w:color w:val="231F20"/>
        </w:rPr>
        <w:t>1959.</w:t>
      </w:r>
    </w:p>
    <w:p>
      <w:pPr>
        <w:pStyle w:val="BodyText"/>
        <w:spacing w:before="171"/>
        <w:ind w:left="1133"/>
      </w:pPr>
      <w:r>
        <w:rPr>
          <w:b/>
          <w:color w:val="231F20"/>
        </w:rPr>
        <w:t>22 mars 2022. </w:t>
      </w:r>
      <w:r>
        <w:rPr>
          <w:color w:val="231F20"/>
        </w:rPr>
        <w:t>La société étasunienne Central Santa Lucía L. C., constituée juste </w:t>
      </w:r>
      <w:r>
        <w:rPr>
          <w:color w:val="231F20"/>
          <w:spacing w:val="-6"/>
        </w:rPr>
        <w:t>avant</w:t>
      </w:r>
      <w:r>
        <w:rPr>
          <w:color w:val="231F20"/>
          <w:spacing w:val="-10"/>
        </w:rPr>
        <w:t> </w:t>
      </w:r>
      <w:r>
        <w:rPr>
          <w:color w:val="231F20"/>
          <w:spacing w:val="-6"/>
        </w:rPr>
        <w:t>le</w:t>
      </w:r>
      <w:r>
        <w:rPr>
          <w:color w:val="231F20"/>
          <w:spacing w:val="-10"/>
        </w:rPr>
        <w:t> </w:t>
      </w:r>
      <w:r>
        <w:rPr>
          <w:color w:val="231F20"/>
          <w:spacing w:val="-6"/>
        </w:rPr>
        <w:t>12</w:t>
      </w:r>
      <w:r>
        <w:rPr>
          <w:color w:val="231F20"/>
          <w:spacing w:val="-10"/>
        </w:rPr>
        <w:t> </w:t>
      </w:r>
      <w:r>
        <w:rPr>
          <w:color w:val="231F20"/>
          <w:spacing w:val="-6"/>
        </w:rPr>
        <w:t>mars</w:t>
      </w:r>
      <w:r>
        <w:rPr>
          <w:color w:val="231F20"/>
          <w:spacing w:val="-10"/>
        </w:rPr>
        <w:t> </w:t>
      </w:r>
      <w:r>
        <w:rPr>
          <w:color w:val="231F20"/>
          <w:spacing w:val="-6"/>
        </w:rPr>
        <w:t>1996</w:t>
      </w:r>
      <w:r>
        <w:rPr>
          <w:color w:val="231F20"/>
          <w:spacing w:val="-10"/>
        </w:rPr>
        <w:t> </w:t>
      </w:r>
      <w:r>
        <w:rPr>
          <w:color w:val="231F20"/>
          <w:spacing w:val="-6"/>
        </w:rPr>
        <w:t>par</w:t>
      </w:r>
      <w:r>
        <w:rPr>
          <w:color w:val="231F20"/>
          <w:spacing w:val="-10"/>
        </w:rPr>
        <w:t> </w:t>
      </w:r>
      <w:r>
        <w:rPr>
          <w:color w:val="231F20"/>
          <w:spacing w:val="-6"/>
        </w:rPr>
        <w:t>la</w:t>
      </w:r>
      <w:r>
        <w:rPr>
          <w:color w:val="231F20"/>
          <w:spacing w:val="-10"/>
        </w:rPr>
        <w:t> </w:t>
      </w:r>
      <w:r>
        <w:rPr>
          <w:color w:val="231F20"/>
          <w:spacing w:val="-6"/>
        </w:rPr>
        <w:t>famille</w:t>
      </w:r>
      <w:r>
        <w:rPr>
          <w:color w:val="231F20"/>
          <w:spacing w:val="-10"/>
        </w:rPr>
        <w:t> </w:t>
      </w:r>
      <w:r>
        <w:rPr>
          <w:color w:val="231F20"/>
          <w:spacing w:val="-6"/>
        </w:rPr>
        <w:t>Sánchez </w:t>
      </w:r>
      <w:r>
        <w:rPr>
          <w:color w:val="231F20"/>
        </w:rPr>
        <w:t>Hill qui se prétend la propriétaire de la société cubaine Central Santa Lucía Co. S. A., présente devant la cour du district de </w:t>
      </w:r>
      <w:r>
        <w:rPr>
          <w:color w:val="231F20"/>
          <w:spacing w:val="-2"/>
        </w:rPr>
        <w:t>Delaware</w:t>
      </w:r>
      <w:r>
        <w:rPr>
          <w:color w:val="231F20"/>
          <w:spacing w:val="-9"/>
        </w:rPr>
        <w:t> </w:t>
      </w:r>
      <w:r>
        <w:rPr>
          <w:color w:val="231F20"/>
          <w:spacing w:val="-2"/>
        </w:rPr>
        <w:t>une</w:t>
      </w:r>
      <w:r>
        <w:rPr>
          <w:color w:val="231F20"/>
          <w:spacing w:val="-9"/>
        </w:rPr>
        <w:t> </w:t>
      </w:r>
      <w:r>
        <w:rPr>
          <w:color w:val="231F20"/>
          <w:spacing w:val="-2"/>
        </w:rPr>
        <w:t>demande</w:t>
      </w:r>
      <w:r>
        <w:rPr>
          <w:color w:val="231F20"/>
          <w:spacing w:val="-9"/>
        </w:rPr>
        <w:t> </w:t>
      </w:r>
      <w:r>
        <w:rPr>
          <w:color w:val="231F20"/>
          <w:spacing w:val="-2"/>
        </w:rPr>
        <w:t>contre</w:t>
      </w:r>
      <w:r>
        <w:rPr>
          <w:color w:val="231F20"/>
          <w:spacing w:val="-9"/>
        </w:rPr>
        <w:t> </w:t>
      </w:r>
      <w:r>
        <w:rPr>
          <w:color w:val="231F20"/>
          <w:spacing w:val="-2"/>
        </w:rPr>
        <w:t>l’entreprise </w:t>
      </w:r>
      <w:r>
        <w:rPr>
          <w:color w:val="231F20"/>
        </w:rPr>
        <w:t>Expedia Group qui aurait organisé des </w:t>
      </w:r>
      <w:r>
        <w:rPr>
          <w:color w:val="231F20"/>
          <w:spacing w:val="-6"/>
        </w:rPr>
        <w:t>séjours</w:t>
      </w:r>
      <w:r>
        <w:rPr>
          <w:color w:val="231F20"/>
          <w:spacing w:val="-7"/>
        </w:rPr>
        <w:t> </w:t>
      </w:r>
      <w:r>
        <w:rPr>
          <w:color w:val="231F20"/>
          <w:spacing w:val="-6"/>
        </w:rPr>
        <w:t>de</w:t>
      </w:r>
      <w:r>
        <w:rPr>
          <w:color w:val="231F20"/>
          <w:spacing w:val="-7"/>
        </w:rPr>
        <w:t> </w:t>
      </w:r>
      <w:r>
        <w:rPr>
          <w:color w:val="231F20"/>
          <w:spacing w:val="-6"/>
        </w:rPr>
        <w:t>vacanciers</w:t>
      </w:r>
      <w:r>
        <w:rPr>
          <w:color w:val="231F20"/>
          <w:spacing w:val="-7"/>
        </w:rPr>
        <w:t> </w:t>
      </w:r>
      <w:r>
        <w:rPr>
          <w:color w:val="231F20"/>
          <w:spacing w:val="-6"/>
        </w:rPr>
        <w:t>à</w:t>
      </w:r>
      <w:r>
        <w:rPr>
          <w:color w:val="231F20"/>
          <w:spacing w:val="-7"/>
        </w:rPr>
        <w:t> </w:t>
      </w:r>
      <w:r>
        <w:rPr>
          <w:color w:val="231F20"/>
          <w:spacing w:val="-6"/>
        </w:rPr>
        <w:t>Holguín</w:t>
      </w:r>
      <w:r>
        <w:rPr>
          <w:color w:val="231F20"/>
          <w:spacing w:val="-7"/>
        </w:rPr>
        <w:t> </w:t>
      </w:r>
      <w:r>
        <w:rPr>
          <w:color w:val="231F20"/>
          <w:spacing w:val="-6"/>
        </w:rPr>
        <w:t>et</w:t>
      </w:r>
      <w:r>
        <w:rPr>
          <w:color w:val="231F20"/>
          <w:spacing w:val="-7"/>
        </w:rPr>
        <w:t> </w:t>
      </w:r>
      <w:r>
        <w:rPr>
          <w:color w:val="231F20"/>
          <w:spacing w:val="-6"/>
        </w:rPr>
        <w:t>alentours </w:t>
      </w:r>
      <w:r>
        <w:rPr>
          <w:color w:val="231F20"/>
          <w:spacing w:val="-2"/>
        </w:rPr>
        <w:t>dans</w:t>
      </w:r>
      <w:r>
        <w:rPr>
          <w:color w:val="231F20"/>
          <w:spacing w:val="-12"/>
        </w:rPr>
        <w:t> </w:t>
      </w:r>
      <w:r>
        <w:rPr>
          <w:color w:val="231F20"/>
          <w:spacing w:val="-2"/>
        </w:rPr>
        <w:t>plusieurs</w:t>
      </w:r>
      <w:r>
        <w:rPr>
          <w:color w:val="231F20"/>
          <w:spacing w:val="-12"/>
        </w:rPr>
        <w:t> </w:t>
      </w:r>
      <w:r>
        <w:rPr>
          <w:color w:val="231F20"/>
          <w:spacing w:val="-2"/>
        </w:rPr>
        <w:t>hôtels</w:t>
      </w:r>
      <w:r>
        <w:rPr>
          <w:color w:val="231F20"/>
          <w:spacing w:val="-12"/>
        </w:rPr>
        <w:t> </w:t>
      </w:r>
      <w:r>
        <w:rPr>
          <w:color w:val="231F20"/>
          <w:spacing w:val="-2"/>
        </w:rPr>
        <w:t>de</w:t>
      </w:r>
      <w:r>
        <w:rPr>
          <w:color w:val="231F20"/>
          <w:spacing w:val="-12"/>
        </w:rPr>
        <w:t> </w:t>
      </w:r>
      <w:r>
        <w:rPr>
          <w:color w:val="231F20"/>
          <w:spacing w:val="-2"/>
        </w:rPr>
        <w:t>luxe</w:t>
      </w:r>
      <w:r>
        <w:rPr>
          <w:color w:val="231F20"/>
          <w:spacing w:val="-12"/>
        </w:rPr>
        <w:t> </w:t>
      </w:r>
      <w:r>
        <w:rPr>
          <w:color w:val="231F20"/>
          <w:spacing w:val="-2"/>
        </w:rPr>
        <w:t>construits</w:t>
      </w:r>
      <w:r>
        <w:rPr>
          <w:color w:val="231F20"/>
          <w:spacing w:val="-12"/>
        </w:rPr>
        <w:t> </w:t>
      </w:r>
      <w:r>
        <w:rPr>
          <w:color w:val="231F20"/>
          <w:spacing w:val="-2"/>
        </w:rPr>
        <w:t>sur </w:t>
      </w:r>
      <w:r>
        <w:rPr>
          <w:color w:val="231F20"/>
        </w:rPr>
        <w:t>des terrains lui appartenant.</w:t>
      </w:r>
    </w:p>
    <w:p>
      <w:pPr>
        <w:pStyle w:val="BodyText"/>
        <w:spacing w:before="37"/>
        <w:jc w:val="left"/>
      </w:pPr>
    </w:p>
    <w:p>
      <w:pPr>
        <w:pStyle w:val="Heading2"/>
        <w:spacing w:line="211" w:lineRule="auto" w:before="1"/>
      </w:pPr>
      <w:r>
        <w:rPr>
          <w:color w:val="1A4796"/>
          <w:w w:val="115"/>
        </w:rPr>
        <w:t>Effets de l’inscription de Cuba sur</w:t>
      </w:r>
      <w:r>
        <w:rPr>
          <w:color w:val="1A4796"/>
          <w:spacing w:val="-22"/>
          <w:w w:val="115"/>
        </w:rPr>
        <w:t> </w:t>
      </w:r>
      <w:r>
        <w:rPr>
          <w:color w:val="1A4796"/>
          <w:w w:val="115"/>
        </w:rPr>
        <w:t>la</w:t>
      </w:r>
      <w:r>
        <w:rPr>
          <w:color w:val="1A4796"/>
          <w:spacing w:val="-21"/>
          <w:w w:val="115"/>
        </w:rPr>
        <w:t> </w:t>
      </w:r>
      <w:r>
        <w:rPr>
          <w:color w:val="1A4796"/>
          <w:w w:val="115"/>
        </w:rPr>
        <w:t>liste</w:t>
      </w:r>
      <w:r>
        <w:rPr>
          <w:color w:val="1A4796"/>
          <w:spacing w:val="-22"/>
          <w:w w:val="115"/>
        </w:rPr>
        <w:t> </w:t>
      </w:r>
      <w:r>
        <w:rPr>
          <w:color w:val="1A4796"/>
          <w:w w:val="115"/>
        </w:rPr>
        <w:t>unilatérale</w:t>
      </w:r>
      <w:r>
        <w:rPr>
          <w:color w:val="1A4796"/>
          <w:spacing w:val="-21"/>
          <w:w w:val="115"/>
        </w:rPr>
        <w:t> </w:t>
      </w:r>
      <w:r>
        <w:rPr>
          <w:color w:val="1A4796"/>
          <w:w w:val="115"/>
        </w:rPr>
        <w:t>des</w:t>
      </w:r>
      <w:r>
        <w:rPr>
          <w:color w:val="1A4796"/>
          <w:spacing w:val="-21"/>
          <w:w w:val="115"/>
        </w:rPr>
        <w:t> </w:t>
      </w:r>
      <w:r>
        <w:rPr>
          <w:color w:val="1A4796"/>
          <w:w w:val="115"/>
        </w:rPr>
        <w:t>États commanditaires de terrorisme</w:t>
      </w:r>
    </w:p>
    <w:p>
      <w:pPr>
        <w:pStyle w:val="BodyText"/>
        <w:spacing w:before="254"/>
        <w:ind w:left="1133" w:right="2"/>
      </w:pPr>
      <w:r>
        <w:rPr>
          <w:color w:val="231F20"/>
        </w:rPr>
        <w:t>Le</w:t>
      </w:r>
      <w:r>
        <w:rPr>
          <w:color w:val="231F20"/>
          <w:spacing w:val="-6"/>
        </w:rPr>
        <w:t> </w:t>
      </w:r>
      <w:r>
        <w:rPr>
          <w:color w:val="231F20"/>
        </w:rPr>
        <w:t>11</w:t>
      </w:r>
      <w:r>
        <w:rPr>
          <w:color w:val="231F20"/>
          <w:spacing w:val="-6"/>
        </w:rPr>
        <w:t> </w:t>
      </w:r>
      <w:r>
        <w:rPr>
          <w:color w:val="231F20"/>
        </w:rPr>
        <w:t>janvier</w:t>
      </w:r>
      <w:r>
        <w:rPr>
          <w:color w:val="231F20"/>
          <w:spacing w:val="-6"/>
        </w:rPr>
        <w:t> </w:t>
      </w:r>
      <w:r>
        <w:rPr>
          <w:color w:val="231F20"/>
        </w:rPr>
        <w:t>2021,</w:t>
      </w:r>
      <w:r>
        <w:rPr>
          <w:color w:val="231F20"/>
          <w:spacing w:val="-6"/>
        </w:rPr>
        <w:t> </w:t>
      </w:r>
      <w:r>
        <w:rPr>
          <w:color w:val="231F20"/>
        </w:rPr>
        <w:t>quelques</w:t>
      </w:r>
      <w:r>
        <w:rPr>
          <w:color w:val="231F20"/>
          <w:spacing w:val="-6"/>
        </w:rPr>
        <w:t> </w:t>
      </w:r>
      <w:r>
        <w:rPr>
          <w:color w:val="231F20"/>
        </w:rPr>
        <w:t>jours</w:t>
      </w:r>
      <w:r>
        <w:rPr>
          <w:color w:val="231F20"/>
          <w:spacing w:val="-6"/>
        </w:rPr>
        <w:t> </w:t>
      </w:r>
      <w:r>
        <w:rPr>
          <w:color w:val="231F20"/>
        </w:rPr>
        <w:t>à</w:t>
      </w:r>
      <w:r>
        <w:rPr>
          <w:color w:val="231F20"/>
          <w:spacing w:val="-6"/>
        </w:rPr>
        <w:t> </w:t>
      </w:r>
      <w:r>
        <w:rPr>
          <w:color w:val="231F20"/>
        </w:rPr>
        <w:t>peine </w:t>
      </w:r>
      <w:r>
        <w:rPr>
          <w:color w:val="231F20"/>
          <w:spacing w:val="-2"/>
          <w:w w:val="90"/>
        </w:rPr>
        <w:t>avant</w:t>
      </w:r>
      <w:r>
        <w:rPr>
          <w:color w:val="231F20"/>
          <w:spacing w:val="-8"/>
          <w:w w:val="90"/>
        </w:rPr>
        <w:t> </w:t>
      </w:r>
      <w:r>
        <w:rPr>
          <w:color w:val="231F20"/>
          <w:spacing w:val="-2"/>
          <w:w w:val="90"/>
        </w:rPr>
        <w:t>le</w:t>
      </w:r>
      <w:r>
        <w:rPr>
          <w:color w:val="231F20"/>
          <w:spacing w:val="-8"/>
          <w:w w:val="90"/>
        </w:rPr>
        <w:t> </w:t>
      </w:r>
      <w:r>
        <w:rPr>
          <w:color w:val="231F20"/>
          <w:spacing w:val="-2"/>
          <w:w w:val="90"/>
        </w:rPr>
        <w:t>départ</w:t>
      </w:r>
      <w:r>
        <w:rPr>
          <w:color w:val="231F20"/>
          <w:spacing w:val="-8"/>
          <w:w w:val="90"/>
        </w:rPr>
        <w:t> </w:t>
      </w:r>
      <w:r>
        <w:rPr>
          <w:color w:val="231F20"/>
          <w:spacing w:val="-2"/>
          <w:w w:val="90"/>
        </w:rPr>
        <w:t>de</w:t>
      </w:r>
      <w:r>
        <w:rPr>
          <w:color w:val="231F20"/>
          <w:spacing w:val="-8"/>
          <w:w w:val="90"/>
        </w:rPr>
        <w:t> </w:t>
      </w:r>
      <w:r>
        <w:rPr>
          <w:color w:val="231F20"/>
          <w:spacing w:val="-2"/>
          <w:w w:val="90"/>
        </w:rPr>
        <w:t>Donald</w:t>
      </w:r>
      <w:r>
        <w:rPr>
          <w:color w:val="231F20"/>
          <w:spacing w:val="-8"/>
          <w:w w:val="90"/>
        </w:rPr>
        <w:t> </w:t>
      </w:r>
      <w:r>
        <w:rPr>
          <w:color w:val="231F20"/>
          <w:spacing w:val="-2"/>
          <w:w w:val="90"/>
        </w:rPr>
        <w:t>Trump</w:t>
      </w:r>
      <w:r>
        <w:rPr>
          <w:color w:val="231F20"/>
          <w:spacing w:val="-8"/>
          <w:w w:val="90"/>
        </w:rPr>
        <w:t> </w:t>
      </w:r>
      <w:r>
        <w:rPr>
          <w:color w:val="231F20"/>
          <w:spacing w:val="-2"/>
          <w:w w:val="90"/>
        </w:rPr>
        <w:t>de</w:t>
      </w:r>
      <w:r>
        <w:rPr>
          <w:color w:val="231F20"/>
          <w:spacing w:val="-8"/>
          <w:w w:val="90"/>
        </w:rPr>
        <w:t> </w:t>
      </w:r>
      <w:r>
        <w:rPr>
          <w:color w:val="231F20"/>
          <w:spacing w:val="-2"/>
          <w:w w:val="90"/>
        </w:rPr>
        <w:t>la</w:t>
      </w:r>
      <w:r>
        <w:rPr>
          <w:color w:val="231F20"/>
          <w:spacing w:val="-7"/>
          <w:w w:val="90"/>
        </w:rPr>
        <w:t> </w:t>
      </w:r>
      <w:r>
        <w:rPr>
          <w:color w:val="231F20"/>
          <w:spacing w:val="-2"/>
          <w:w w:val="90"/>
        </w:rPr>
        <w:t>Maison- </w:t>
      </w:r>
      <w:r>
        <w:rPr>
          <w:color w:val="231F20"/>
          <w:spacing w:val="-4"/>
        </w:rPr>
        <w:t>Blanche,</w:t>
      </w:r>
      <w:r>
        <w:rPr>
          <w:color w:val="231F20"/>
          <w:spacing w:val="-11"/>
        </w:rPr>
        <w:t> </w:t>
      </w:r>
      <w:r>
        <w:rPr>
          <w:color w:val="231F20"/>
          <w:spacing w:val="-4"/>
        </w:rPr>
        <w:t>le</w:t>
      </w:r>
      <w:r>
        <w:rPr>
          <w:color w:val="231F20"/>
          <w:spacing w:val="-11"/>
        </w:rPr>
        <w:t> </w:t>
      </w:r>
      <w:r>
        <w:rPr>
          <w:color w:val="231F20"/>
          <w:spacing w:val="-4"/>
        </w:rPr>
        <w:t>département</w:t>
      </w:r>
      <w:r>
        <w:rPr>
          <w:color w:val="231F20"/>
          <w:spacing w:val="-11"/>
        </w:rPr>
        <w:t> </w:t>
      </w:r>
      <w:r>
        <w:rPr>
          <w:color w:val="231F20"/>
          <w:spacing w:val="-4"/>
        </w:rPr>
        <w:t>d’État</w:t>
      </w:r>
      <w:r>
        <w:rPr>
          <w:color w:val="231F20"/>
          <w:spacing w:val="-11"/>
        </w:rPr>
        <w:t> </w:t>
      </w:r>
      <w:r>
        <w:rPr>
          <w:color w:val="231F20"/>
          <w:spacing w:val="-4"/>
        </w:rPr>
        <w:t>annonçait</w:t>
      </w:r>
      <w:r>
        <w:rPr>
          <w:color w:val="231F20"/>
          <w:spacing w:val="-11"/>
        </w:rPr>
        <w:t> </w:t>
      </w:r>
      <w:r>
        <w:rPr>
          <w:color w:val="231F20"/>
          <w:spacing w:val="-4"/>
        </w:rPr>
        <w:t>la </w:t>
      </w:r>
      <w:r>
        <w:rPr>
          <w:color w:val="231F20"/>
        </w:rPr>
        <w:t>réinscription</w:t>
      </w:r>
      <w:r>
        <w:rPr>
          <w:color w:val="231F20"/>
          <w:spacing w:val="-2"/>
        </w:rPr>
        <w:t> </w:t>
      </w:r>
      <w:r>
        <w:rPr>
          <w:color w:val="231F20"/>
        </w:rPr>
        <w:t>de</w:t>
      </w:r>
      <w:r>
        <w:rPr>
          <w:color w:val="231F20"/>
          <w:spacing w:val="-2"/>
        </w:rPr>
        <w:t> </w:t>
      </w:r>
      <w:r>
        <w:rPr>
          <w:color w:val="231F20"/>
        </w:rPr>
        <w:t>Cuba</w:t>
      </w:r>
      <w:r>
        <w:rPr>
          <w:color w:val="231F20"/>
          <w:spacing w:val="-2"/>
        </w:rPr>
        <w:t> </w:t>
      </w:r>
      <w:r>
        <w:rPr>
          <w:color w:val="231F20"/>
        </w:rPr>
        <w:t>sur</w:t>
      </w:r>
      <w:r>
        <w:rPr>
          <w:color w:val="231F20"/>
          <w:spacing w:val="-2"/>
        </w:rPr>
        <w:t> </w:t>
      </w:r>
      <w:r>
        <w:rPr>
          <w:color w:val="231F20"/>
        </w:rPr>
        <w:t>la</w:t>
      </w:r>
      <w:r>
        <w:rPr>
          <w:color w:val="231F20"/>
          <w:spacing w:val="-2"/>
        </w:rPr>
        <w:t> </w:t>
      </w:r>
      <w:r>
        <w:rPr>
          <w:color w:val="231F20"/>
        </w:rPr>
        <w:t>liste</w:t>
      </w:r>
      <w:r>
        <w:rPr>
          <w:color w:val="231F20"/>
          <w:spacing w:val="-2"/>
        </w:rPr>
        <w:t> </w:t>
      </w:r>
      <w:r>
        <w:rPr>
          <w:color w:val="231F20"/>
        </w:rPr>
        <w:t>des</w:t>
      </w:r>
      <w:r>
        <w:rPr>
          <w:color w:val="231F20"/>
          <w:spacing w:val="-2"/>
        </w:rPr>
        <w:t> </w:t>
      </w:r>
      <w:r>
        <w:rPr>
          <w:color w:val="231F20"/>
        </w:rPr>
        <w:t>États commanditaires</w:t>
      </w:r>
      <w:r>
        <w:rPr>
          <w:color w:val="231F20"/>
          <w:spacing w:val="-5"/>
        </w:rPr>
        <w:t> </w:t>
      </w:r>
      <w:r>
        <w:rPr>
          <w:color w:val="231F20"/>
        </w:rPr>
        <w:t>du</w:t>
      </w:r>
      <w:r>
        <w:rPr>
          <w:color w:val="231F20"/>
          <w:spacing w:val="-5"/>
        </w:rPr>
        <w:t> </w:t>
      </w:r>
      <w:r>
        <w:rPr>
          <w:color w:val="231F20"/>
        </w:rPr>
        <w:t>terrorisme,</w:t>
      </w:r>
      <w:r>
        <w:rPr>
          <w:color w:val="231F20"/>
          <w:spacing w:val="-5"/>
        </w:rPr>
        <w:t> </w:t>
      </w:r>
      <w:r>
        <w:rPr>
          <w:color w:val="231F20"/>
        </w:rPr>
        <w:t>à</w:t>
      </w:r>
      <w:r>
        <w:rPr>
          <w:color w:val="231F20"/>
          <w:spacing w:val="-5"/>
        </w:rPr>
        <w:t> </w:t>
      </w:r>
      <w:r>
        <w:rPr>
          <w:color w:val="231F20"/>
        </w:rPr>
        <w:t>partir</w:t>
      </w:r>
      <w:r>
        <w:rPr>
          <w:color w:val="231F20"/>
          <w:spacing w:val="-5"/>
        </w:rPr>
        <w:t> </w:t>
      </w:r>
      <w:r>
        <w:rPr>
          <w:color w:val="231F20"/>
        </w:rPr>
        <w:t>de </w:t>
      </w:r>
      <w:r>
        <w:rPr>
          <w:color w:val="231F20"/>
          <w:spacing w:val="-8"/>
        </w:rPr>
        <w:t>motifs inconsistants et non fondés. Durant la </w:t>
      </w:r>
      <w:r>
        <w:rPr>
          <w:color w:val="231F20"/>
          <w:spacing w:val="-6"/>
        </w:rPr>
        <w:t>période</w:t>
      </w:r>
      <w:r>
        <w:rPr>
          <w:color w:val="231F20"/>
          <w:spacing w:val="-11"/>
        </w:rPr>
        <w:t> </w:t>
      </w:r>
      <w:r>
        <w:rPr>
          <w:color w:val="231F20"/>
          <w:spacing w:val="-6"/>
        </w:rPr>
        <w:t>sous</w:t>
      </w:r>
      <w:r>
        <w:rPr>
          <w:color w:val="231F20"/>
          <w:spacing w:val="-10"/>
        </w:rPr>
        <w:t> </w:t>
      </w:r>
      <w:r>
        <w:rPr>
          <w:color w:val="231F20"/>
          <w:spacing w:val="-6"/>
        </w:rPr>
        <w:t>examen,</w:t>
      </w:r>
      <w:r>
        <w:rPr>
          <w:color w:val="231F20"/>
          <w:spacing w:val="-11"/>
        </w:rPr>
        <w:t> </w:t>
      </w:r>
      <w:r>
        <w:rPr>
          <w:color w:val="231F20"/>
          <w:spacing w:val="-6"/>
        </w:rPr>
        <w:t>l’administration</w:t>
      </w:r>
      <w:r>
        <w:rPr>
          <w:color w:val="231F20"/>
          <w:spacing w:val="-10"/>
        </w:rPr>
        <w:t> </w:t>
      </w:r>
      <w:r>
        <w:rPr>
          <w:color w:val="231F20"/>
          <w:spacing w:val="-6"/>
        </w:rPr>
        <w:t>Biden </w:t>
      </w:r>
      <w:r>
        <w:rPr>
          <w:color w:val="231F20"/>
          <w:spacing w:val="-8"/>
        </w:rPr>
        <w:t>a</w:t>
      </w:r>
      <w:r>
        <w:rPr>
          <w:color w:val="231F20"/>
          <w:spacing w:val="-19"/>
        </w:rPr>
        <w:t> </w:t>
      </w:r>
      <w:r>
        <w:rPr>
          <w:color w:val="231F20"/>
          <w:spacing w:val="-8"/>
        </w:rPr>
        <w:t>persisté,</w:t>
      </w:r>
      <w:r>
        <w:rPr>
          <w:color w:val="231F20"/>
          <w:spacing w:val="-19"/>
        </w:rPr>
        <w:t> </w:t>
      </w:r>
      <w:r>
        <w:rPr>
          <w:color w:val="231F20"/>
          <w:spacing w:val="-8"/>
        </w:rPr>
        <w:t>tout</w:t>
      </w:r>
      <w:r>
        <w:rPr>
          <w:color w:val="231F20"/>
          <w:spacing w:val="-19"/>
        </w:rPr>
        <w:t> </w:t>
      </w:r>
      <w:r>
        <w:rPr>
          <w:color w:val="231F20"/>
          <w:spacing w:val="-8"/>
        </w:rPr>
        <w:t>en</w:t>
      </w:r>
      <w:r>
        <w:rPr>
          <w:color w:val="231F20"/>
          <w:spacing w:val="-19"/>
        </w:rPr>
        <w:t> </w:t>
      </w:r>
      <w:r>
        <w:rPr>
          <w:color w:val="231F20"/>
          <w:spacing w:val="-8"/>
        </w:rPr>
        <w:t>sachant</w:t>
      </w:r>
      <w:r>
        <w:rPr>
          <w:color w:val="231F20"/>
          <w:spacing w:val="-19"/>
        </w:rPr>
        <w:t> </w:t>
      </w:r>
      <w:r>
        <w:rPr>
          <w:color w:val="231F20"/>
          <w:spacing w:val="-8"/>
        </w:rPr>
        <w:t>pertinemment</w:t>
      </w:r>
      <w:r>
        <w:rPr>
          <w:color w:val="231F20"/>
          <w:spacing w:val="-19"/>
        </w:rPr>
        <w:t> </w:t>
      </w:r>
      <w:r>
        <w:rPr>
          <w:color w:val="231F20"/>
          <w:spacing w:val="-8"/>
        </w:rPr>
        <w:t>que</w:t>
      </w:r>
    </w:p>
    <w:p>
      <w:pPr>
        <w:pStyle w:val="BodyText"/>
        <w:spacing w:before="237"/>
        <w:ind w:left="414"/>
      </w:pPr>
      <w:r>
        <w:rPr/>
        <w:br w:type="column"/>
      </w:r>
      <w:r>
        <w:rPr>
          <w:color w:val="231F20"/>
          <w:spacing w:val="-8"/>
        </w:rPr>
        <w:t>les</w:t>
      </w:r>
      <w:r>
        <w:rPr>
          <w:color w:val="231F20"/>
          <w:spacing w:val="-9"/>
        </w:rPr>
        <w:t> </w:t>
      </w:r>
      <w:r>
        <w:rPr>
          <w:color w:val="231F20"/>
          <w:spacing w:val="-8"/>
        </w:rPr>
        <w:t>prétextes</w:t>
      </w:r>
      <w:r>
        <w:rPr>
          <w:color w:val="231F20"/>
          <w:spacing w:val="-7"/>
        </w:rPr>
        <w:t> </w:t>
      </w:r>
      <w:r>
        <w:rPr>
          <w:color w:val="231F20"/>
          <w:spacing w:val="-8"/>
        </w:rPr>
        <w:t>en</w:t>
      </w:r>
      <w:r>
        <w:rPr>
          <w:color w:val="231F20"/>
          <w:spacing w:val="-7"/>
        </w:rPr>
        <w:t> </w:t>
      </w:r>
      <w:r>
        <w:rPr>
          <w:color w:val="231F20"/>
          <w:spacing w:val="-8"/>
        </w:rPr>
        <w:t>étaient</w:t>
      </w:r>
      <w:r>
        <w:rPr>
          <w:color w:val="231F20"/>
          <w:spacing w:val="-7"/>
        </w:rPr>
        <w:t> </w:t>
      </w:r>
      <w:r>
        <w:rPr>
          <w:color w:val="231F20"/>
          <w:spacing w:val="-8"/>
        </w:rPr>
        <w:t>malhonnêtes.</w:t>
      </w:r>
    </w:p>
    <w:p>
      <w:pPr>
        <w:pStyle w:val="BodyText"/>
        <w:spacing w:before="161"/>
        <w:ind w:left="414" w:right="1475"/>
      </w:pPr>
      <w:r>
        <w:rPr>
          <w:color w:val="231F20"/>
        </w:rPr>
        <w:t>L’inscription sur cette Liste engendre des conséquences sévères pour l’économie </w:t>
      </w:r>
      <w:r>
        <w:rPr>
          <w:color w:val="231F20"/>
          <w:spacing w:val="-4"/>
        </w:rPr>
        <w:t>cubaine,</w:t>
      </w:r>
      <w:r>
        <w:rPr>
          <w:color w:val="231F20"/>
          <w:spacing w:val="-9"/>
        </w:rPr>
        <w:t> </w:t>
      </w:r>
      <w:r>
        <w:rPr>
          <w:color w:val="231F20"/>
          <w:spacing w:val="-4"/>
        </w:rPr>
        <w:t>surtout</w:t>
      </w:r>
      <w:r>
        <w:rPr>
          <w:color w:val="231F20"/>
          <w:spacing w:val="-9"/>
        </w:rPr>
        <w:t> </w:t>
      </w:r>
      <w:r>
        <w:rPr>
          <w:color w:val="231F20"/>
          <w:spacing w:val="-4"/>
        </w:rPr>
        <w:t>dans</w:t>
      </w:r>
      <w:r>
        <w:rPr>
          <w:color w:val="231F20"/>
          <w:spacing w:val="-9"/>
        </w:rPr>
        <w:t> </w:t>
      </w:r>
      <w:r>
        <w:rPr>
          <w:color w:val="231F20"/>
          <w:spacing w:val="-4"/>
        </w:rPr>
        <w:t>le</w:t>
      </w:r>
      <w:r>
        <w:rPr>
          <w:color w:val="231F20"/>
          <w:spacing w:val="-9"/>
        </w:rPr>
        <w:t> </w:t>
      </w:r>
      <w:r>
        <w:rPr>
          <w:color w:val="231F20"/>
          <w:spacing w:val="-4"/>
        </w:rPr>
        <w:t>secteur</w:t>
      </w:r>
      <w:r>
        <w:rPr>
          <w:color w:val="231F20"/>
          <w:spacing w:val="-9"/>
        </w:rPr>
        <w:t> </w:t>
      </w:r>
      <w:r>
        <w:rPr>
          <w:color w:val="231F20"/>
          <w:spacing w:val="-4"/>
        </w:rPr>
        <w:t>bancaire</w:t>
      </w:r>
      <w:r>
        <w:rPr>
          <w:color w:val="231F20"/>
          <w:spacing w:val="-9"/>
        </w:rPr>
        <w:t> </w:t>
      </w:r>
      <w:r>
        <w:rPr>
          <w:color w:val="231F20"/>
          <w:spacing w:val="-4"/>
        </w:rPr>
        <w:t>et </w:t>
      </w:r>
      <w:r>
        <w:rPr>
          <w:color w:val="231F20"/>
          <w:spacing w:val="-6"/>
        </w:rPr>
        <w:t>financier,</w:t>
      </w:r>
      <w:r>
        <w:rPr>
          <w:color w:val="231F20"/>
          <w:spacing w:val="-11"/>
        </w:rPr>
        <w:t> </w:t>
      </w:r>
      <w:r>
        <w:rPr>
          <w:color w:val="231F20"/>
          <w:spacing w:val="-6"/>
        </w:rPr>
        <w:t>et</w:t>
      </w:r>
      <w:r>
        <w:rPr>
          <w:color w:val="231F20"/>
          <w:spacing w:val="-10"/>
        </w:rPr>
        <w:t> </w:t>
      </w:r>
      <w:r>
        <w:rPr>
          <w:color w:val="231F20"/>
          <w:spacing w:val="-6"/>
        </w:rPr>
        <w:t>renforce</w:t>
      </w:r>
      <w:r>
        <w:rPr>
          <w:color w:val="231F20"/>
          <w:spacing w:val="-11"/>
        </w:rPr>
        <w:t> </w:t>
      </w:r>
      <w:r>
        <w:rPr>
          <w:color w:val="231F20"/>
          <w:spacing w:val="-6"/>
        </w:rPr>
        <w:t>ses</w:t>
      </w:r>
      <w:r>
        <w:rPr>
          <w:color w:val="231F20"/>
          <w:spacing w:val="-10"/>
        </w:rPr>
        <w:t> </w:t>
      </w:r>
      <w:r>
        <w:rPr>
          <w:color w:val="231F20"/>
          <w:spacing w:val="-6"/>
        </w:rPr>
        <w:t>effets</w:t>
      </w:r>
      <w:r>
        <w:rPr>
          <w:color w:val="231F20"/>
          <w:spacing w:val="-11"/>
        </w:rPr>
        <w:t> </w:t>
      </w:r>
      <w:r>
        <w:rPr>
          <w:color w:val="231F20"/>
          <w:spacing w:val="-6"/>
        </w:rPr>
        <w:t>de</w:t>
      </w:r>
      <w:r>
        <w:rPr>
          <w:color w:val="231F20"/>
          <w:spacing w:val="-10"/>
        </w:rPr>
        <w:t> </w:t>
      </w:r>
      <w:r>
        <w:rPr>
          <w:color w:val="231F20"/>
          <w:spacing w:val="-6"/>
        </w:rPr>
        <w:t>dissuasion </w:t>
      </w:r>
      <w:r>
        <w:rPr>
          <w:color w:val="231F20"/>
        </w:rPr>
        <w:t>et d’intimidation sur des tiers dans leurs rapports commerciaux avec Cuba. Mais ses</w:t>
      </w:r>
      <w:r>
        <w:rPr>
          <w:color w:val="231F20"/>
          <w:spacing w:val="-17"/>
        </w:rPr>
        <w:t> </w:t>
      </w:r>
      <w:r>
        <w:rPr>
          <w:color w:val="231F20"/>
        </w:rPr>
        <w:t>effets</w:t>
      </w:r>
      <w:r>
        <w:rPr>
          <w:color w:val="231F20"/>
          <w:spacing w:val="-16"/>
        </w:rPr>
        <w:t> </w:t>
      </w:r>
      <w:r>
        <w:rPr>
          <w:color w:val="231F20"/>
        </w:rPr>
        <w:t>très</w:t>
      </w:r>
      <w:r>
        <w:rPr>
          <w:color w:val="231F20"/>
          <w:spacing w:val="-17"/>
        </w:rPr>
        <w:t> </w:t>
      </w:r>
      <w:r>
        <w:rPr>
          <w:color w:val="231F20"/>
        </w:rPr>
        <w:t>préjudiciables</w:t>
      </w:r>
      <w:r>
        <w:rPr>
          <w:color w:val="231F20"/>
          <w:spacing w:val="-16"/>
        </w:rPr>
        <w:t> </w:t>
      </w:r>
      <w:r>
        <w:rPr>
          <w:color w:val="231F20"/>
        </w:rPr>
        <w:t>ne</w:t>
      </w:r>
      <w:r>
        <w:rPr>
          <w:color w:val="231F20"/>
          <w:spacing w:val="-17"/>
        </w:rPr>
        <w:t> </w:t>
      </w:r>
      <w:r>
        <w:rPr>
          <w:color w:val="231F20"/>
        </w:rPr>
        <w:t>se</w:t>
      </w:r>
      <w:r>
        <w:rPr>
          <w:color w:val="231F20"/>
          <w:spacing w:val="-16"/>
        </w:rPr>
        <w:t> </w:t>
      </w:r>
      <w:r>
        <w:rPr>
          <w:color w:val="231F20"/>
        </w:rPr>
        <w:t>bornent pas au commerce : ils touchent aussi les </w:t>
      </w:r>
      <w:r>
        <w:rPr>
          <w:color w:val="231F20"/>
          <w:spacing w:val="-2"/>
        </w:rPr>
        <w:t>possibilités</w:t>
      </w:r>
      <w:r>
        <w:rPr>
          <w:color w:val="231F20"/>
          <w:spacing w:val="-12"/>
        </w:rPr>
        <w:t> </w:t>
      </w:r>
      <w:r>
        <w:rPr>
          <w:color w:val="231F20"/>
          <w:spacing w:val="-2"/>
        </w:rPr>
        <w:t>d’obtenir</w:t>
      </w:r>
      <w:r>
        <w:rPr>
          <w:color w:val="231F20"/>
          <w:spacing w:val="-12"/>
        </w:rPr>
        <w:t> </w:t>
      </w:r>
      <w:r>
        <w:rPr>
          <w:color w:val="231F20"/>
          <w:spacing w:val="-2"/>
        </w:rPr>
        <w:t>des</w:t>
      </w:r>
      <w:r>
        <w:rPr>
          <w:color w:val="231F20"/>
          <w:spacing w:val="-12"/>
        </w:rPr>
        <w:t> </w:t>
      </w:r>
      <w:r>
        <w:rPr>
          <w:color w:val="231F20"/>
          <w:spacing w:val="-2"/>
        </w:rPr>
        <w:t>crédits</w:t>
      </w:r>
      <w:r>
        <w:rPr>
          <w:color w:val="231F20"/>
          <w:spacing w:val="-12"/>
        </w:rPr>
        <w:t> </w:t>
      </w:r>
      <w:r>
        <w:rPr>
          <w:color w:val="231F20"/>
          <w:spacing w:val="-2"/>
        </w:rPr>
        <w:t>et</w:t>
      </w:r>
      <w:r>
        <w:rPr>
          <w:color w:val="231F20"/>
          <w:spacing w:val="-12"/>
        </w:rPr>
        <w:t> </w:t>
      </w:r>
      <w:r>
        <w:rPr>
          <w:color w:val="231F20"/>
          <w:spacing w:val="-2"/>
        </w:rPr>
        <w:t>de</w:t>
      </w:r>
      <w:r>
        <w:rPr>
          <w:color w:val="231F20"/>
          <w:spacing w:val="-12"/>
        </w:rPr>
        <w:t> </w:t>
      </w:r>
      <w:r>
        <w:rPr>
          <w:color w:val="231F20"/>
          <w:spacing w:val="-2"/>
        </w:rPr>
        <w:t>faire </w:t>
      </w:r>
      <w:r>
        <w:rPr>
          <w:color w:val="231F20"/>
          <w:spacing w:val="-6"/>
        </w:rPr>
        <w:t>des</w:t>
      </w:r>
      <w:r>
        <w:rPr>
          <w:color w:val="231F20"/>
          <w:spacing w:val="-9"/>
        </w:rPr>
        <w:t> </w:t>
      </w:r>
      <w:r>
        <w:rPr>
          <w:color w:val="231F20"/>
          <w:spacing w:val="-6"/>
        </w:rPr>
        <w:t>virements</w:t>
      </w:r>
      <w:r>
        <w:rPr>
          <w:color w:val="231F20"/>
          <w:spacing w:val="-9"/>
        </w:rPr>
        <w:t> </w:t>
      </w:r>
      <w:r>
        <w:rPr>
          <w:color w:val="231F20"/>
          <w:spacing w:val="-6"/>
        </w:rPr>
        <w:t>pour</w:t>
      </w:r>
      <w:r>
        <w:rPr>
          <w:color w:val="231F20"/>
          <w:spacing w:val="-9"/>
        </w:rPr>
        <w:t> </w:t>
      </w:r>
      <w:r>
        <w:rPr>
          <w:color w:val="231F20"/>
          <w:spacing w:val="-6"/>
        </w:rPr>
        <w:t>des</w:t>
      </w:r>
      <w:r>
        <w:rPr>
          <w:color w:val="231F20"/>
          <w:spacing w:val="-9"/>
        </w:rPr>
        <w:t> </w:t>
      </w:r>
      <w:r>
        <w:rPr>
          <w:color w:val="231F20"/>
          <w:spacing w:val="-6"/>
        </w:rPr>
        <w:t>biens</w:t>
      </w:r>
      <w:r>
        <w:rPr>
          <w:color w:val="231F20"/>
          <w:spacing w:val="-9"/>
        </w:rPr>
        <w:t> </w:t>
      </w:r>
      <w:r>
        <w:rPr>
          <w:color w:val="231F20"/>
          <w:spacing w:val="-6"/>
        </w:rPr>
        <w:t>et</w:t>
      </w:r>
      <w:r>
        <w:rPr>
          <w:color w:val="231F20"/>
          <w:spacing w:val="-9"/>
        </w:rPr>
        <w:t> </w:t>
      </w:r>
      <w:r>
        <w:rPr>
          <w:color w:val="231F20"/>
          <w:spacing w:val="-6"/>
        </w:rPr>
        <w:t>des</w:t>
      </w:r>
      <w:r>
        <w:rPr>
          <w:color w:val="231F20"/>
          <w:spacing w:val="-9"/>
        </w:rPr>
        <w:t> </w:t>
      </w:r>
      <w:r>
        <w:rPr>
          <w:color w:val="231F20"/>
          <w:spacing w:val="-6"/>
        </w:rPr>
        <w:t>intrants </w:t>
      </w:r>
      <w:r>
        <w:rPr>
          <w:color w:val="231F20"/>
          <w:spacing w:val="-2"/>
        </w:rPr>
        <w:t>indispensables</w:t>
      </w:r>
      <w:r>
        <w:rPr>
          <w:color w:val="231F20"/>
          <w:spacing w:val="-15"/>
        </w:rPr>
        <w:t> </w:t>
      </w:r>
      <w:r>
        <w:rPr>
          <w:color w:val="231F20"/>
          <w:spacing w:val="-2"/>
        </w:rPr>
        <w:t>au</w:t>
      </w:r>
      <w:r>
        <w:rPr>
          <w:color w:val="231F20"/>
          <w:spacing w:val="-14"/>
        </w:rPr>
        <w:t> </w:t>
      </w:r>
      <w:r>
        <w:rPr>
          <w:color w:val="231F20"/>
          <w:spacing w:val="-2"/>
        </w:rPr>
        <w:t>développement</w:t>
      </w:r>
      <w:r>
        <w:rPr>
          <w:color w:val="231F20"/>
          <w:spacing w:val="-15"/>
        </w:rPr>
        <w:t> </w:t>
      </w:r>
      <w:r>
        <w:rPr>
          <w:color w:val="231F20"/>
          <w:spacing w:val="-2"/>
        </w:rPr>
        <w:t>du</w:t>
      </w:r>
      <w:r>
        <w:rPr>
          <w:color w:val="231F20"/>
          <w:spacing w:val="-14"/>
        </w:rPr>
        <w:t> </w:t>
      </w:r>
      <w:r>
        <w:rPr>
          <w:color w:val="231F20"/>
          <w:spacing w:val="-2"/>
        </w:rPr>
        <w:t>pays.</w:t>
      </w:r>
    </w:p>
    <w:p>
      <w:pPr>
        <w:pStyle w:val="BodyText"/>
        <w:spacing w:before="168"/>
        <w:ind w:left="414" w:right="1478"/>
      </w:pPr>
      <w:r>
        <w:rPr>
          <w:color w:val="231F20"/>
        </w:rPr>
        <w:t>Parce que taxée de commanditaire de </w:t>
      </w:r>
      <w:r>
        <w:rPr>
          <w:color w:val="231F20"/>
          <w:spacing w:val="-12"/>
        </w:rPr>
        <w:t>terrorisme,</w:t>
      </w:r>
      <w:r>
        <w:rPr>
          <w:color w:val="231F20"/>
        </w:rPr>
        <w:t> </w:t>
      </w:r>
      <w:r>
        <w:rPr>
          <w:color w:val="231F20"/>
          <w:spacing w:val="-12"/>
        </w:rPr>
        <w:t>des</w:t>
      </w:r>
      <w:r>
        <w:rPr>
          <w:color w:val="231F20"/>
        </w:rPr>
        <w:t> </w:t>
      </w:r>
      <w:r>
        <w:rPr>
          <w:color w:val="231F20"/>
          <w:spacing w:val="-12"/>
        </w:rPr>
        <w:t>compagnies</w:t>
      </w:r>
      <w:r>
        <w:rPr>
          <w:color w:val="231F20"/>
        </w:rPr>
        <w:t> </w:t>
      </w:r>
      <w:r>
        <w:rPr>
          <w:color w:val="231F20"/>
          <w:spacing w:val="-12"/>
        </w:rPr>
        <w:t>et</w:t>
      </w:r>
      <w:r>
        <w:rPr>
          <w:color w:val="231F20"/>
        </w:rPr>
        <w:t> </w:t>
      </w:r>
      <w:r>
        <w:rPr>
          <w:color w:val="231F20"/>
          <w:spacing w:val="-12"/>
        </w:rPr>
        <w:t>des</w:t>
      </w:r>
      <w:r>
        <w:rPr>
          <w:color w:val="231F20"/>
        </w:rPr>
        <w:t> </w:t>
      </w:r>
      <w:r>
        <w:rPr>
          <w:color w:val="231F20"/>
          <w:spacing w:val="-12"/>
        </w:rPr>
        <w:t>institutions </w:t>
      </w:r>
      <w:r>
        <w:rPr>
          <w:color w:val="231F20"/>
        </w:rPr>
        <w:t>financières du monde refusent de faire des opérations avec Cuba par crainte des </w:t>
      </w:r>
      <w:r>
        <w:rPr>
          <w:color w:val="231F20"/>
          <w:spacing w:val="-6"/>
        </w:rPr>
        <w:t>représailles de l’administration étasunienne, </w:t>
      </w:r>
      <w:r>
        <w:rPr>
          <w:color w:val="231F20"/>
          <w:spacing w:val="-4"/>
        </w:rPr>
        <w:t>en</w:t>
      </w:r>
      <w:r>
        <w:rPr>
          <w:color w:val="231F20"/>
          <w:spacing w:val="-8"/>
        </w:rPr>
        <w:t> </w:t>
      </w:r>
      <w:r>
        <w:rPr>
          <w:color w:val="231F20"/>
          <w:spacing w:val="-4"/>
        </w:rPr>
        <w:t>particulier</w:t>
      </w:r>
      <w:r>
        <w:rPr>
          <w:color w:val="231F20"/>
          <w:spacing w:val="-8"/>
        </w:rPr>
        <w:t> </w:t>
      </w:r>
      <w:r>
        <w:rPr>
          <w:color w:val="231F20"/>
          <w:spacing w:val="-4"/>
        </w:rPr>
        <w:t>du</w:t>
      </w:r>
      <w:r>
        <w:rPr>
          <w:color w:val="231F20"/>
          <w:spacing w:val="-8"/>
        </w:rPr>
        <w:t> </w:t>
      </w:r>
      <w:r>
        <w:rPr>
          <w:color w:val="231F20"/>
          <w:spacing w:val="-4"/>
        </w:rPr>
        <w:t>département</w:t>
      </w:r>
      <w:r>
        <w:rPr>
          <w:color w:val="231F20"/>
          <w:spacing w:val="-8"/>
        </w:rPr>
        <w:t> </w:t>
      </w:r>
      <w:r>
        <w:rPr>
          <w:color w:val="231F20"/>
          <w:spacing w:val="-4"/>
        </w:rPr>
        <w:t>du</w:t>
      </w:r>
      <w:r>
        <w:rPr>
          <w:color w:val="231F20"/>
          <w:spacing w:val="-8"/>
        </w:rPr>
        <w:t> </w:t>
      </w:r>
      <w:r>
        <w:rPr>
          <w:color w:val="231F20"/>
          <w:spacing w:val="-4"/>
        </w:rPr>
        <w:t>Trésor.</w:t>
      </w:r>
    </w:p>
    <w:p>
      <w:pPr>
        <w:pStyle w:val="BodyText"/>
        <w:spacing w:before="165"/>
        <w:ind w:left="414" w:right="1475"/>
      </w:pPr>
      <w:r>
        <w:rPr>
          <w:color w:val="231F20"/>
        </w:rPr>
        <w:t>Des dizaines de banques ont interrompu leurs opérations avec notre pays, dont celles de virements concernant l’achat </w:t>
      </w:r>
      <w:r>
        <w:rPr>
          <w:color w:val="231F20"/>
          <w:spacing w:val="-4"/>
        </w:rPr>
        <w:t>d’aliments,</w:t>
      </w:r>
      <w:r>
        <w:rPr>
          <w:color w:val="231F20"/>
          <w:spacing w:val="-9"/>
        </w:rPr>
        <w:t> </w:t>
      </w:r>
      <w:r>
        <w:rPr>
          <w:color w:val="231F20"/>
          <w:spacing w:val="-4"/>
        </w:rPr>
        <w:t>de</w:t>
      </w:r>
      <w:r>
        <w:rPr>
          <w:color w:val="231F20"/>
          <w:spacing w:val="-9"/>
        </w:rPr>
        <w:t> </w:t>
      </w:r>
      <w:r>
        <w:rPr>
          <w:color w:val="231F20"/>
          <w:spacing w:val="-4"/>
        </w:rPr>
        <w:t>médicaments,</w:t>
      </w:r>
      <w:r>
        <w:rPr>
          <w:color w:val="231F20"/>
          <w:spacing w:val="-9"/>
        </w:rPr>
        <w:t> </w:t>
      </w:r>
      <w:r>
        <w:rPr>
          <w:color w:val="231F20"/>
          <w:spacing w:val="-4"/>
        </w:rPr>
        <w:t>de</w:t>
      </w:r>
      <w:r>
        <w:rPr>
          <w:color w:val="231F20"/>
          <w:spacing w:val="-9"/>
        </w:rPr>
        <w:t> </w:t>
      </w:r>
      <w:r>
        <w:rPr>
          <w:color w:val="231F20"/>
          <w:spacing w:val="-4"/>
        </w:rPr>
        <w:t>carburants, </w:t>
      </w:r>
      <w:r>
        <w:rPr>
          <w:color w:val="231F20"/>
        </w:rPr>
        <w:t>de matériaux, de pièces et d’autres biens. Incapable de payer ses fournisseurs et d’accéder</w:t>
      </w:r>
      <w:r>
        <w:rPr>
          <w:color w:val="231F20"/>
          <w:spacing w:val="-13"/>
        </w:rPr>
        <w:t> </w:t>
      </w:r>
      <w:r>
        <w:rPr>
          <w:color w:val="231F20"/>
        </w:rPr>
        <w:t>à</w:t>
      </w:r>
      <w:r>
        <w:rPr>
          <w:color w:val="231F20"/>
          <w:spacing w:val="-13"/>
        </w:rPr>
        <w:t> </w:t>
      </w:r>
      <w:r>
        <w:rPr>
          <w:color w:val="231F20"/>
        </w:rPr>
        <w:t>des</w:t>
      </w:r>
      <w:r>
        <w:rPr>
          <w:color w:val="231F20"/>
          <w:spacing w:val="-13"/>
        </w:rPr>
        <w:t> </w:t>
      </w:r>
      <w:r>
        <w:rPr>
          <w:color w:val="231F20"/>
        </w:rPr>
        <w:t>itinéraires</w:t>
      </w:r>
      <w:r>
        <w:rPr>
          <w:color w:val="231F20"/>
          <w:spacing w:val="-13"/>
        </w:rPr>
        <w:t> </w:t>
      </w:r>
      <w:r>
        <w:rPr>
          <w:color w:val="231F20"/>
        </w:rPr>
        <w:t>logistiques</w:t>
      </w:r>
      <w:r>
        <w:rPr>
          <w:color w:val="231F20"/>
          <w:spacing w:val="-13"/>
        </w:rPr>
        <w:t> </w:t>
      </w:r>
      <w:r>
        <w:rPr>
          <w:color w:val="231F20"/>
        </w:rPr>
        <w:t>plus rapides</w:t>
      </w:r>
      <w:r>
        <w:rPr>
          <w:color w:val="231F20"/>
          <w:spacing w:val="-10"/>
        </w:rPr>
        <w:t> </w:t>
      </w:r>
      <w:r>
        <w:rPr>
          <w:color w:val="231F20"/>
        </w:rPr>
        <w:t>et</w:t>
      </w:r>
      <w:r>
        <w:rPr>
          <w:color w:val="231F20"/>
          <w:spacing w:val="-10"/>
        </w:rPr>
        <w:t> </w:t>
      </w:r>
      <w:r>
        <w:rPr>
          <w:color w:val="231F20"/>
        </w:rPr>
        <w:t>faciles,</w:t>
      </w:r>
      <w:r>
        <w:rPr>
          <w:color w:val="231F20"/>
          <w:spacing w:val="-10"/>
        </w:rPr>
        <w:t> </w:t>
      </w:r>
      <w:r>
        <w:rPr>
          <w:color w:val="231F20"/>
        </w:rPr>
        <w:t>Cuba</w:t>
      </w:r>
      <w:r>
        <w:rPr>
          <w:color w:val="231F20"/>
          <w:spacing w:val="-10"/>
        </w:rPr>
        <w:t> </w:t>
      </w:r>
      <w:r>
        <w:rPr>
          <w:color w:val="231F20"/>
        </w:rPr>
        <w:t>doit</w:t>
      </w:r>
      <w:r>
        <w:rPr>
          <w:color w:val="231F20"/>
          <w:spacing w:val="-10"/>
        </w:rPr>
        <w:t> </w:t>
      </w:r>
      <w:r>
        <w:rPr>
          <w:color w:val="231F20"/>
        </w:rPr>
        <w:t>payer</w:t>
      </w:r>
      <w:r>
        <w:rPr>
          <w:color w:val="231F20"/>
          <w:spacing w:val="-10"/>
        </w:rPr>
        <w:t> </w:t>
      </w:r>
      <w:r>
        <w:rPr>
          <w:color w:val="231F20"/>
        </w:rPr>
        <w:t>de</w:t>
      </w:r>
      <w:r>
        <w:rPr>
          <w:color w:val="231F20"/>
          <w:spacing w:val="-10"/>
        </w:rPr>
        <w:t> </w:t>
      </w:r>
      <w:r>
        <w:rPr>
          <w:color w:val="231F20"/>
        </w:rPr>
        <w:t>forts </w:t>
      </w:r>
      <w:r>
        <w:rPr>
          <w:color w:val="231F20"/>
          <w:spacing w:val="-6"/>
        </w:rPr>
        <w:t>surcoûts</w:t>
      </w:r>
      <w:r>
        <w:rPr>
          <w:color w:val="231F20"/>
          <w:spacing w:val="-15"/>
        </w:rPr>
        <w:t> </w:t>
      </w:r>
      <w:r>
        <w:rPr>
          <w:color w:val="231F20"/>
          <w:spacing w:val="-6"/>
        </w:rPr>
        <w:t>pour</w:t>
      </w:r>
      <w:r>
        <w:rPr>
          <w:color w:val="231F20"/>
          <w:spacing w:val="-12"/>
        </w:rPr>
        <w:t> </w:t>
      </w:r>
      <w:r>
        <w:rPr>
          <w:color w:val="231F20"/>
          <w:spacing w:val="-6"/>
        </w:rPr>
        <w:t>acquérir</w:t>
      </w:r>
      <w:r>
        <w:rPr>
          <w:color w:val="231F20"/>
          <w:spacing w:val="-13"/>
        </w:rPr>
        <w:t> </w:t>
      </w:r>
      <w:r>
        <w:rPr>
          <w:color w:val="231F20"/>
          <w:spacing w:val="-6"/>
        </w:rPr>
        <w:t>des</w:t>
      </w:r>
      <w:r>
        <w:rPr>
          <w:color w:val="231F20"/>
          <w:spacing w:val="-12"/>
        </w:rPr>
        <w:t> </w:t>
      </w:r>
      <w:r>
        <w:rPr>
          <w:color w:val="231F20"/>
          <w:spacing w:val="-6"/>
        </w:rPr>
        <w:t>biens</w:t>
      </w:r>
      <w:r>
        <w:rPr>
          <w:color w:val="231F20"/>
          <w:spacing w:val="-12"/>
        </w:rPr>
        <w:t> </w:t>
      </w:r>
      <w:r>
        <w:rPr>
          <w:color w:val="231F20"/>
          <w:spacing w:val="-6"/>
        </w:rPr>
        <w:t>prioritaires.</w:t>
      </w:r>
    </w:p>
    <w:p>
      <w:pPr>
        <w:pStyle w:val="BodyText"/>
        <w:spacing w:before="167"/>
        <w:ind w:left="414" w:right="1474"/>
      </w:pPr>
      <w:r>
        <w:rPr>
          <w:color w:val="231F20"/>
        </w:rPr>
        <w:t>De même, plus de cinquante missions diplomatiques</w:t>
      </w:r>
      <w:r>
        <w:rPr>
          <w:color w:val="231F20"/>
          <w:spacing w:val="-17"/>
        </w:rPr>
        <w:t> </w:t>
      </w:r>
      <w:r>
        <w:rPr>
          <w:color w:val="231F20"/>
        </w:rPr>
        <w:t>cubaines</w:t>
      </w:r>
      <w:r>
        <w:rPr>
          <w:color w:val="231F20"/>
          <w:spacing w:val="-16"/>
        </w:rPr>
        <w:t> </w:t>
      </w:r>
      <w:r>
        <w:rPr>
          <w:color w:val="231F20"/>
        </w:rPr>
        <w:t>se</w:t>
      </w:r>
      <w:r>
        <w:rPr>
          <w:color w:val="231F20"/>
          <w:spacing w:val="-17"/>
        </w:rPr>
        <w:t> </w:t>
      </w:r>
      <w:r>
        <w:rPr>
          <w:color w:val="231F20"/>
        </w:rPr>
        <w:t>sont</w:t>
      </w:r>
      <w:r>
        <w:rPr>
          <w:color w:val="231F20"/>
          <w:spacing w:val="-16"/>
        </w:rPr>
        <w:t> </w:t>
      </w:r>
      <w:r>
        <w:rPr>
          <w:color w:val="231F20"/>
        </w:rPr>
        <w:t>heurtées</w:t>
      </w:r>
      <w:r>
        <w:rPr>
          <w:color w:val="231F20"/>
          <w:spacing w:val="-17"/>
        </w:rPr>
        <w:t> </w:t>
      </w:r>
      <w:r>
        <w:rPr>
          <w:color w:val="231F20"/>
        </w:rPr>
        <w:t>à </w:t>
      </w:r>
      <w:r>
        <w:rPr>
          <w:color w:val="231F20"/>
          <w:spacing w:val="-6"/>
        </w:rPr>
        <w:t>des difficultés avec les institutions bancaires qui</w:t>
      </w:r>
      <w:r>
        <w:rPr>
          <w:color w:val="231F20"/>
          <w:spacing w:val="-11"/>
        </w:rPr>
        <w:t> </w:t>
      </w:r>
      <w:r>
        <w:rPr>
          <w:color w:val="231F20"/>
          <w:spacing w:val="-6"/>
        </w:rPr>
        <w:t>leur</w:t>
      </w:r>
      <w:r>
        <w:rPr>
          <w:color w:val="231F20"/>
          <w:spacing w:val="-10"/>
        </w:rPr>
        <w:t> </w:t>
      </w:r>
      <w:r>
        <w:rPr>
          <w:color w:val="231F20"/>
          <w:spacing w:val="-6"/>
        </w:rPr>
        <w:t>prêtaient</w:t>
      </w:r>
      <w:r>
        <w:rPr>
          <w:color w:val="231F20"/>
          <w:spacing w:val="-11"/>
        </w:rPr>
        <w:t> </w:t>
      </w:r>
      <w:r>
        <w:rPr>
          <w:color w:val="231F20"/>
          <w:spacing w:val="-6"/>
        </w:rPr>
        <w:t>service</w:t>
      </w:r>
      <w:r>
        <w:rPr>
          <w:color w:val="231F20"/>
          <w:spacing w:val="-10"/>
        </w:rPr>
        <w:t> </w:t>
      </w:r>
      <w:r>
        <w:rPr>
          <w:color w:val="231F20"/>
          <w:spacing w:val="-6"/>
        </w:rPr>
        <w:t>traditionnellement, d’où</w:t>
      </w:r>
      <w:r>
        <w:rPr>
          <w:color w:val="231F20"/>
          <w:spacing w:val="-11"/>
        </w:rPr>
        <w:t> </w:t>
      </w:r>
      <w:r>
        <w:rPr>
          <w:color w:val="231F20"/>
          <w:spacing w:val="-6"/>
        </w:rPr>
        <w:t>des</w:t>
      </w:r>
      <w:r>
        <w:rPr>
          <w:color w:val="231F20"/>
          <w:spacing w:val="-10"/>
        </w:rPr>
        <w:t> </w:t>
      </w:r>
      <w:r>
        <w:rPr>
          <w:color w:val="231F20"/>
          <w:spacing w:val="-6"/>
        </w:rPr>
        <w:t>problèmes</w:t>
      </w:r>
      <w:r>
        <w:rPr>
          <w:color w:val="231F20"/>
          <w:spacing w:val="-11"/>
        </w:rPr>
        <w:t> </w:t>
      </w:r>
      <w:r>
        <w:rPr>
          <w:color w:val="231F20"/>
          <w:spacing w:val="-6"/>
        </w:rPr>
        <w:t>pour</w:t>
      </w:r>
      <w:r>
        <w:rPr>
          <w:color w:val="231F20"/>
          <w:spacing w:val="-10"/>
        </w:rPr>
        <w:t> </w:t>
      </w:r>
      <w:r>
        <w:rPr>
          <w:color w:val="231F20"/>
          <w:spacing w:val="-6"/>
        </w:rPr>
        <w:t>le</w:t>
      </w:r>
      <w:r>
        <w:rPr>
          <w:color w:val="231F20"/>
          <w:spacing w:val="-11"/>
        </w:rPr>
        <w:t> </w:t>
      </w:r>
      <w:r>
        <w:rPr>
          <w:color w:val="231F20"/>
          <w:spacing w:val="-6"/>
        </w:rPr>
        <w:t>fonctionnement </w:t>
      </w:r>
      <w:r>
        <w:rPr>
          <w:color w:val="231F20"/>
          <w:spacing w:val="-12"/>
        </w:rPr>
        <w:t>et</w:t>
      </w:r>
      <w:r>
        <w:rPr>
          <w:color w:val="231F20"/>
          <w:spacing w:val="-5"/>
        </w:rPr>
        <w:t> </w:t>
      </w:r>
      <w:r>
        <w:rPr>
          <w:color w:val="231F20"/>
          <w:spacing w:val="-12"/>
        </w:rPr>
        <w:t>le</w:t>
      </w:r>
      <w:r>
        <w:rPr>
          <w:color w:val="231F20"/>
          <w:spacing w:val="-4"/>
        </w:rPr>
        <w:t> </w:t>
      </w:r>
      <w:r>
        <w:rPr>
          <w:color w:val="231F20"/>
          <w:spacing w:val="-12"/>
        </w:rPr>
        <w:t>maintien</w:t>
      </w:r>
      <w:r>
        <w:rPr>
          <w:color w:val="231F20"/>
          <w:spacing w:val="-5"/>
        </w:rPr>
        <w:t> </w:t>
      </w:r>
      <w:r>
        <w:rPr>
          <w:color w:val="231F20"/>
          <w:spacing w:val="-12"/>
        </w:rPr>
        <w:t>de</w:t>
      </w:r>
      <w:r>
        <w:rPr>
          <w:color w:val="231F20"/>
          <w:spacing w:val="-4"/>
        </w:rPr>
        <w:t> </w:t>
      </w:r>
      <w:r>
        <w:rPr>
          <w:color w:val="231F20"/>
          <w:spacing w:val="-12"/>
        </w:rPr>
        <w:t>ces</w:t>
      </w:r>
      <w:r>
        <w:rPr>
          <w:color w:val="231F20"/>
          <w:spacing w:val="-5"/>
        </w:rPr>
        <w:t> </w:t>
      </w:r>
      <w:r>
        <w:rPr>
          <w:color w:val="231F20"/>
          <w:spacing w:val="-12"/>
        </w:rPr>
        <w:t>ambassades</w:t>
      </w:r>
      <w:r>
        <w:rPr>
          <w:color w:val="231F20"/>
          <w:spacing w:val="-4"/>
        </w:rPr>
        <w:t> </w:t>
      </w:r>
      <w:r>
        <w:rPr>
          <w:color w:val="231F20"/>
          <w:spacing w:val="-12"/>
        </w:rPr>
        <w:t>et</w:t>
      </w:r>
      <w:r>
        <w:rPr>
          <w:color w:val="231F20"/>
          <w:spacing w:val="-5"/>
        </w:rPr>
        <w:t> </w:t>
      </w:r>
      <w:r>
        <w:rPr>
          <w:color w:val="231F20"/>
          <w:spacing w:val="-12"/>
        </w:rPr>
        <w:t>consulats. </w:t>
      </w:r>
      <w:r>
        <w:rPr>
          <w:color w:val="231F20"/>
        </w:rPr>
        <w:t>Parallèlement, cette situation a touché </w:t>
      </w:r>
      <w:r>
        <w:rPr>
          <w:color w:val="231F20"/>
          <w:spacing w:val="-4"/>
        </w:rPr>
        <w:t>sérieusement</w:t>
      </w:r>
      <w:r>
        <w:rPr>
          <w:color w:val="231F20"/>
          <w:spacing w:val="-9"/>
        </w:rPr>
        <w:t> </w:t>
      </w:r>
      <w:r>
        <w:rPr>
          <w:color w:val="231F20"/>
          <w:spacing w:val="-4"/>
        </w:rPr>
        <w:t>le</w:t>
      </w:r>
      <w:r>
        <w:rPr>
          <w:color w:val="231F20"/>
          <w:spacing w:val="-9"/>
        </w:rPr>
        <w:t> </w:t>
      </w:r>
      <w:r>
        <w:rPr>
          <w:color w:val="231F20"/>
          <w:spacing w:val="-4"/>
        </w:rPr>
        <w:t>paiement</w:t>
      </w:r>
      <w:r>
        <w:rPr>
          <w:color w:val="231F20"/>
          <w:spacing w:val="-9"/>
        </w:rPr>
        <w:t> </w:t>
      </w:r>
      <w:r>
        <w:rPr>
          <w:color w:val="231F20"/>
          <w:spacing w:val="-4"/>
        </w:rPr>
        <w:t>des</w:t>
      </w:r>
      <w:r>
        <w:rPr>
          <w:color w:val="231F20"/>
          <w:spacing w:val="-9"/>
        </w:rPr>
        <w:t> </w:t>
      </w:r>
      <w:r>
        <w:rPr>
          <w:color w:val="231F20"/>
          <w:spacing w:val="-4"/>
        </w:rPr>
        <w:t>quotes-parts </w:t>
      </w:r>
      <w:r>
        <w:rPr>
          <w:color w:val="231F20"/>
          <w:spacing w:val="-8"/>
        </w:rPr>
        <w:t>d’inscription</w:t>
      </w:r>
      <w:r>
        <w:rPr>
          <w:color w:val="231F20"/>
          <w:spacing w:val="-9"/>
        </w:rPr>
        <w:t> </w:t>
      </w:r>
      <w:r>
        <w:rPr>
          <w:color w:val="231F20"/>
          <w:spacing w:val="-8"/>
        </w:rPr>
        <w:t>cubaines à</w:t>
      </w:r>
      <w:r>
        <w:rPr>
          <w:color w:val="231F20"/>
          <w:spacing w:val="-9"/>
        </w:rPr>
        <w:t> </w:t>
      </w:r>
      <w:r>
        <w:rPr>
          <w:color w:val="231F20"/>
          <w:spacing w:val="-8"/>
        </w:rPr>
        <w:t>plusieurs organismes </w:t>
      </w:r>
      <w:r>
        <w:rPr>
          <w:color w:val="231F20"/>
        </w:rPr>
        <w:t>internationaux</w:t>
      </w:r>
      <w:r>
        <w:rPr>
          <w:color w:val="231F20"/>
          <w:spacing w:val="-17"/>
        </w:rPr>
        <w:t> </w:t>
      </w:r>
      <w:r>
        <w:rPr>
          <w:color w:val="231F20"/>
        </w:rPr>
        <w:t>et</w:t>
      </w:r>
      <w:r>
        <w:rPr>
          <w:color w:val="231F20"/>
          <w:spacing w:val="-16"/>
        </w:rPr>
        <w:t> </w:t>
      </w:r>
      <w:r>
        <w:rPr>
          <w:color w:val="231F20"/>
        </w:rPr>
        <w:t>régionaux.</w:t>
      </w:r>
    </w:p>
    <w:p>
      <w:pPr>
        <w:pStyle w:val="BodyText"/>
        <w:spacing w:before="168"/>
        <w:ind w:left="414" w:right="1474"/>
      </w:pPr>
      <w:r>
        <w:rPr>
          <w:color w:val="231F20"/>
        </w:rPr>
        <w:t>Cuba ne peut acheter des biens et des technologies fabriquées dans des pays tiers</w:t>
      </w:r>
      <w:r>
        <w:rPr>
          <w:color w:val="231F20"/>
          <w:spacing w:val="-6"/>
        </w:rPr>
        <w:t> </w:t>
      </w:r>
      <w:r>
        <w:rPr>
          <w:color w:val="231F20"/>
        </w:rPr>
        <w:t>s’ils</w:t>
      </w:r>
      <w:r>
        <w:rPr>
          <w:color w:val="231F20"/>
          <w:spacing w:val="-6"/>
        </w:rPr>
        <w:t> </w:t>
      </w:r>
      <w:r>
        <w:rPr>
          <w:color w:val="231F20"/>
        </w:rPr>
        <w:t>contiennent</w:t>
      </w:r>
      <w:r>
        <w:rPr>
          <w:color w:val="231F20"/>
          <w:spacing w:val="-6"/>
        </w:rPr>
        <w:t> </w:t>
      </w:r>
      <w:r>
        <w:rPr>
          <w:color w:val="231F20"/>
        </w:rPr>
        <w:t>plus</w:t>
      </w:r>
      <w:r>
        <w:rPr>
          <w:color w:val="231F20"/>
          <w:spacing w:val="-6"/>
        </w:rPr>
        <w:t> </w:t>
      </w:r>
      <w:r>
        <w:rPr>
          <w:color w:val="231F20"/>
        </w:rPr>
        <w:t>de</w:t>
      </w:r>
      <w:r>
        <w:rPr>
          <w:color w:val="231F20"/>
          <w:spacing w:val="-6"/>
        </w:rPr>
        <w:t> </w:t>
      </w:r>
      <w:r>
        <w:rPr>
          <w:color w:val="231F20"/>
        </w:rPr>
        <w:t>10</w:t>
      </w:r>
      <w:r>
        <w:rPr>
          <w:color w:val="231F20"/>
          <w:spacing w:val="-6"/>
        </w:rPr>
        <w:t> </w:t>
      </w:r>
      <w:r>
        <w:rPr>
          <w:color w:val="231F20"/>
        </w:rPr>
        <w:t>p.</w:t>
      </w:r>
      <w:r>
        <w:rPr>
          <w:color w:val="231F20"/>
          <w:spacing w:val="-6"/>
        </w:rPr>
        <w:t> </w:t>
      </w:r>
      <w:r>
        <w:rPr>
          <w:color w:val="231F20"/>
        </w:rPr>
        <w:t>100</w:t>
      </w:r>
      <w:r>
        <w:rPr>
          <w:color w:val="231F20"/>
          <w:spacing w:val="-6"/>
        </w:rPr>
        <w:t> </w:t>
      </w:r>
      <w:r>
        <w:rPr>
          <w:color w:val="231F20"/>
        </w:rPr>
        <w:t>de </w:t>
      </w:r>
      <w:r>
        <w:rPr>
          <w:color w:val="231F20"/>
          <w:spacing w:val="-4"/>
        </w:rPr>
        <w:t>composants étasuniens,</w:t>
      </w:r>
      <w:r>
        <w:rPr>
          <w:color w:val="231F20"/>
          <w:spacing w:val="-3"/>
        </w:rPr>
        <w:t> </w:t>
      </w:r>
      <w:r>
        <w:rPr>
          <w:color w:val="231F20"/>
          <w:spacing w:val="-4"/>
        </w:rPr>
        <w:t>ce</w:t>
      </w:r>
      <w:r>
        <w:rPr>
          <w:color w:val="231F20"/>
          <w:spacing w:val="-3"/>
        </w:rPr>
        <w:t> </w:t>
      </w:r>
      <w:r>
        <w:rPr>
          <w:color w:val="231F20"/>
          <w:spacing w:val="-4"/>
        </w:rPr>
        <w:t>qui</w:t>
      </w:r>
      <w:r>
        <w:rPr>
          <w:color w:val="231F20"/>
          <w:spacing w:val="-3"/>
        </w:rPr>
        <w:t> </w:t>
      </w:r>
      <w:r>
        <w:rPr>
          <w:color w:val="231F20"/>
          <w:spacing w:val="-4"/>
        </w:rPr>
        <w:t>implique</w:t>
      </w:r>
      <w:r>
        <w:rPr>
          <w:color w:val="231F20"/>
          <w:spacing w:val="-3"/>
        </w:rPr>
        <w:t> </w:t>
      </w:r>
      <w:r>
        <w:rPr>
          <w:color w:val="231F20"/>
          <w:spacing w:val="-5"/>
        </w:rPr>
        <w:t>un</w:t>
      </w:r>
    </w:p>
    <w:p>
      <w:pPr>
        <w:spacing w:after="0"/>
        <w:sectPr>
          <w:pgSz w:w="11910" w:h="16840"/>
          <w:pgMar w:header="0" w:footer="695" w:top="1260" w:bottom="880" w:left="0" w:right="0"/>
          <w:cols w:num="2" w:equalWidth="0">
            <w:col w:w="5555" w:space="40"/>
            <w:col w:w="6315"/>
          </w:cols>
        </w:sectPr>
      </w:pPr>
    </w:p>
    <w:p>
      <w:pPr>
        <w:pStyle w:val="BodyText"/>
        <w:spacing w:before="77"/>
        <w:ind w:left="1474" w:right="1"/>
      </w:pPr>
      <w:r>
        <w:rPr>
          <w:color w:val="231F20"/>
          <w:spacing w:val="-2"/>
        </w:rPr>
        <w:t>obstacle</w:t>
      </w:r>
      <w:r>
        <w:rPr>
          <w:color w:val="231F20"/>
          <w:spacing w:val="-15"/>
        </w:rPr>
        <w:t> </w:t>
      </w:r>
      <w:r>
        <w:rPr>
          <w:color w:val="231F20"/>
          <w:spacing w:val="-2"/>
        </w:rPr>
        <w:t>supplémentaire,</w:t>
      </w:r>
      <w:r>
        <w:rPr>
          <w:color w:val="231F20"/>
          <w:spacing w:val="-14"/>
        </w:rPr>
        <w:t> </w:t>
      </w:r>
      <w:r>
        <w:rPr>
          <w:color w:val="231F20"/>
          <w:spacing w:val="-2"/>
        </w:rPr>
        <w:t>quoique</w:t>
      </w:r>
      <w:r>
        <w:rPr>
          <w:color w:val="231F20"/>
          <w:spacing w:val="-15"/>
        </w:rPr>
        <w:t> </w:t>
      </w:r>
      <w:r>
        <w:rPr>
          <w:color w:val="231F20"/>
          <w:spacing w:val="-2"/>
        </w:rPr>
        <w:t>Cuba</w:t>
      </w:r>
      <w:r>
        <w:rPr>
          <w:color w:val="231F20"/>
          <w:spacing w:val="-14"/>
        </w:rPr>
        <w:t> </w:t>
      </w:r>
      <w:r>
        <w:rPr>
          <w:color w:val="231F20"/>
          <w:spacing w:val="-2"/>
        </w:rPr>
        <w:t>ait </w:t>
      </w:r>
      <w:r>
        <w:rPr>
          <w:color w:val="231F20"/>
        </w:rPr>
        <w:t>été victime de cette restriction bien avant son inscription sur cette Liste.</w:t>
      </w:r>
    </w:p>
    <w:p>
      <w:pPr>
        <w:pStyle w:val="BodyText"/>
        <w:spacing w:before="162"/>
        <w:ind w:left="1474"/>
      </w:pPr>
      <w:r>
        <w:rPr>
          <w:color w:val="231F20"/>
        </w:rPr>
        <w:t>Par suite de cette mesure, les citoyens</w:t>
      </w:r>
      <w:r>
        <w:rPr>
          <w:color w:val="231F20"/>
          <w:spacing w:val="40"/>
        </w:rPr>
        <w:t> </w:t>
      </w:r>
      <w:r>
        <w:rPr>
          <w:color w:val="231F20"/>
        </w:rPr>
        <w:t>des pays bénéficiaires du système ESTA (exemption de visa d’entrée aux USA) doivent</w:t>
      </w:r>
      <w:r>
        <w:rPr>
          <w:color w:val="231F20"/>
          <w:spacing w:val="-15"/>
        </w:rPr>
        <w:t> </w:t>
      </w:r>
      <w:r>
        <w:rPr>
          <w:color w:val="231F20"/>
        </w:rPr>
        <w:t>maintenant</w:t>
      </w:r>
      <w:r>
        <w:rPr>
          <w:color w:val="231F20"/>
          <w:spacing w:val="-15"/>
        </w:rPr>
        <w:t> </w:t>
      </w:r>
      <w:r>
        <w:rPr>
          <w:color w:val="231F20"/>
        </w:rPr>
        <w:t>demander</w:t>
      </w:r>
      <w:r>
        <w:rPr>
          <w:color w:val="231F20"/>
          <w:spacing w:val="-15"/>
        </w:rPr>
        <w:t> </w:t>
      </w:r>
      <w:r>
        <w:rPr>
          <w:color w:val="231F20"/>
        </w:rPr>
        <w:t>un</w:t>
      </w:r>
      <w:r>
        <w:rPr>
          <w:color w:val="231F20"/>
          <w:spacing w:val="-15"/>
        </w:rPr>
        <w:t> </w:t>
      </w:r>
      <w:r>
        <w:rPr>
          <w:color w:val="231F20"/>
        </w:rPr>
        <w:t>visa</w:t>
      </w:r>
      <w:r>
        <w:rPr>
          <w:color w:val="231F20"/>
          <w:spacing w:val="-15"/>
        </w:rPr>
        <w:t> </w:t>
      </w:r>
      <w:r>
        <w:rPr>
          <w:color w:val="231F20"/>
        </w:rPr>
        <w:t>s’ils ont visité Cuba après le 1er mars 2021. Les gouvernements européens ont dû notifier à leurs citoyens cette disposition qui</w:t>
      </w:r>
      <w:r>
        <w:rPr>
          <w:color w:val="231F20"/>
          <w:spacing w:val="-14"/>
        </w:rPr>
        <w:t> </w:t>
      </w:r>
      <w:r>
        <w:rPr>
          <w:color w:val="231F20"/>
        </w:rPr>
        <w:t>vise</w:t>
      </w:r>
      <w:r>
        <w:rPr>
          <w:color w:val="231F20"/>
          <w:spacing w:val="-14"/>
        </w:rPr>
        <w:t> </w:t>
      </w:r>
      <w:r>
        <w:rPr>
          <w:color w:val="231F20"/>
        </w:rPr>
        <w:t>dans</w:t>
      </w:r>
      <w:r>
        <w:rPr>
          <w:color w:val="231F20"/>
          <w:spacing w:val="-14"/>
        </w:rPr>
        <w:t> </w:t>
      </w:r>
      <w:r>
        <w:rPr>
          <w:color w:val="231F20"/>
        </w:rPr>
        <w:t>la</w:t>
      </w:r>
      <w:r>
        <w:rPr>
          <w:color w:val="231F20"/>
          <w:spacing w:val="-14"/>
        </w:rPr>
        <w:t> </w:t>
      </w:r>
      <w:r>
        <w:rPr>
          <w:color w:val="231F20"/>
        </w:rPr>
        <w:t>pratique</w:t>
      </w:r>
      <w:r>
        <w:rPr>
          <w:color w:val="231F20"/>
          <w:spacing w:val="-14"/>
        </w:rPr>
        <w:t> </w:t>
      </w:r>
      <w:r>
        <w:rPr>
          <w:color w:val="231F20"/>
        </w:rPr>
        <w:t>à</w:t>
      </w:r>
      <w:r>
        <w:rPr>
          <w:color w:val="231F20"/>
          <w:spacing w:val="-14"/>
        </w:rPr>
        <w:t> </w:t>
      </w:r>
      <w:r>
        <w:rPr>
          <w:color w:val="231F20"/>
        </w:rPr>
        <w:t>frapper</w:t>
      </w:r>
      <w:r>
        <w:rPr>
          <w:color w:val="231F20"/>
          <w:spacing w:val="-14"/>
        </w:rPr>
        <w:t> </w:t>
      </w:r>
      <w:r>
        <w:rPr>
          <w:color w:val="231F20"/>
        </w:rPr>
        <w:t>une</w:t>
      </w:r>
      <w:r>
        <w:rPr>
          <w:color w:val="231F20"/>
          <w:spacing w:val="-14"/>
        </w:rPr>
        <w:t> </w:t>
      </w:r>
      <w:r>
        <w:rPr>
          <w:color w:val="231F20"/>
        </w:rPr>
        <w:t>des </w:t>
      </w:r>
      <w:r>
        <w:rPr>
          <w:color w:val="231F20"/>
          <w:spacing w:val="-4"/>
        </w:rPr>
        <w:t>principales</w:t>
      </w:r>
      <w:r>
        <w:rPr>
          <w:color w:val="231F20"/>
          <w:spacing w:val="-6"/>
        </w:rPr>
        <w:t> </w:t>
      </w:r>
      <w:r>
        <w:rPr>
          <w:color w:val="231F20"/>
          <w:spacing w:val="-4"/>
        </w:rPr>
        <w:t>industries</w:t>
      </w:r>
      <w:r>
        <w:rPr>
          <w:color w:val="231F20"/>
          <w:spacing w:val="-6"/>
        </w:rPr>
        <w:t> </w:t>
      </w:r>
      <w:r>
        <w:rPr>
          <w:color w:val="231F20"/>
          <w:spacing w:val="-4"/>
        </w:rPr>
        <w:t>cubaines,</w:t>
      </w:r>
      <w:r>
        <w:rPr>
          <w:color w:val="231F20"/>
          <w:spacing w:val="-6"/>
        </w:rPr>
        <w:t> </w:t>
      </w:r>
      <w:r>
        <w:rPr>
          <w:color w:val="231F20"/>
          <w:spacing w:val="-4"/>
        </w:rPr>
        <w:t>le</w:t>
      </w:r>
      <w:r>
        <w:rPr>
          <w:color w:val="231F20"/>
          <w:spacing w:val="-6"/>
        </w:rPr>
        <w:t> </w:t>
      </w:r>
      <w:r>
        <w:rPr>
          <w:color w:val="231F20"/>
          <w:spacing w:val="-4"/>
        </w:rPr>
        <w:t>tourisme.</w:t>
      </w:r>
    </w:p>
    <w:p>
      <w:pPr>
        <w:pStyle w:val="BodyText"/>
        <w:spacing w:before="167"/>
        <w:ind w:left="1474" w:right="1"/>
      </w:pPr>
      <w:r>
        <w:rPr>
          <w:color w:val="231F20"/>
        </w:rPr>
        <w:t>Des dispositions restrictives en rapport avec l’inscription sur la Liste des États </w:t>
      </w:r>
      <w:r>
        <w:rPr>
          <w:color w:val="231F20"/>
          <w:spacing w:val="-4"/>
        </w:rPr>
        <w:t>commanditaires</w:t>
      </w:r>
      <w:r>
        <w:rPr>
          <w:color w:val="231F20"/>
          <w:spacing w:val="-13"/>
        </w:rPr>
        <w:t> </w:t>
      </w:r>
      <w:r>
        <w:rPr>
          <w:color w:val="231F20"/>
          <w:spacing w:val="-4"/>
        </w:rPr>
        <w:t>de</w:t>
      </w:r>
      <w:r>
        <w:rPr>
          <w:color w:val="231F20"/>
          <w:spacing w:val="-12"/>
        </w:rPr>
        <w:t> </w:t>
      </w:r>
      <w:r>
        <w:rPr>
          <w:color w:val="231F20"/>
          <w:spacing w:val="-4"/>
        </w:rPr>
        <w:t>terrorisme</w:t>
      </w:r>
      <w:r>
        <w:rPr>
          <w:color w:val="231F20"/>
          <w:spacing w:val="-13"/>
        </w:rPr>
        <w:t> </w:t>
      </w:r>
      <w:r>
        <w:rPr>
          <w:color w:val="231F20"/>
          <w:spacing w:val="-4"/>
        </w:rPr>
        <w:t>apparaissent </w:t>
      </w:r>
      <w:r>
        <w:rPr>
          <w:color w:val="231F20"/>
        </w:rPr>
        <w:t>dans différentes lois fédérales :</w:t>
      </w:r>
    </w:p>
    <w:p>
      <w:pPr>
        <w:pStyle w:val="BodyText"/>
        <w:spacing w:before="163"/>
        <w:ind w:left="1734" w:hanging="261"/>
      </w:pPr>
      <w:r>
        <w:rPr>
          <w:position w:val="4"/>
        </w:rPr>
        <w:drawing>
          <wp:inline distT="0" distB="0" distL="0" distR="0">
            <wp:extent cx="59207" cy="59207"/>
            <wp:effectExtent l="0" t="0" r="0" b="0"/>
            <wp:docPr id="421" name="Image 421"/>
            <wp:cNvGraphicFramePr>
              <a:graphicFrameLocks/>
            </wp:cNvGraphicFramePr>
            <a:graphic>
              <a:graphicData uri="http://schemas.openxmlformats.org/drawingml/2006/picture">
                <pic:pic>
                  <pic:nvPicPr>
                    <pic:cNvPr id="421" name="Image 421"/>
                    <pic:cNvPicPr/>
                  </pic:nvPicPr>
                  <pic:blipFill>
                    <a:blip r:embed="rId9"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40"/>
          <w:sz w:val="20"/>
        </w:rPr>
        <w:t> </w:t>
      </w:r>
      <w:r>
        <w:rPr>
          <w:rFonts w:ascii="Segoe UI Semibold" w:hAnsi="Segoe UI Semibold"/>
          <w:b/>
          <w:color w:val="1A4796"/>
        </w:rPr>
        <w:t>Export Administration Act of 1979 (Loi relative</w:t>
      </w:r>
      <w:r>
        <w:rPr>
          <w:rFonts w:ascii="Segoe UI Semibold" w:hAnsi="Segoe UI Semibold"/>
          <w:b/>
          <w:color w:val="1A4796"/>
          <w:spacing w:val="-14"/>
        </w:rPr>
        <w:t> </w:t>
      </w:r>
      <w:r>
        <w:rPr>
          <w:rFonts w:ascii="Segoe UI Semibold" w:hAnsi="Segoe UI Semibold"/>
          <w:b/>
          <w:color w:val="1A4796"/>
        </w:rPr>
        <w:t>à</w:t>
      </w:r>
      <w:r>
        <w:rPr>
          <w:rFonts w:ascii="Segoe UI Semibold" w:hAnsi="Segoe UI Semibold"/>
          <w:b/>
          <w:color w:val="1A4796"/>
          <w:spacing w:val="-14"/>
        </w:rPr>
        <w:t> </w:t>
      </w:r>
      <w:r>
        <w:rPr>
          <w:rFonts w:ascii="Segoe UI Semibold" w:hAnsi="Segoe UI Semibold"/>
          <w:b/>
          <w:color w:val="1A4796"/>
        </w:rPr>
        <w:t>la</w:t>
      </w:r>
      <w:r>
        <w:rPr>
          <w:rFonts w:ascii="Segoe UI Semibold" w:hAnsi="Segoe UI Semibold"/>
          <w:b/>
          <w:color w:val="1A4796"/>
          <w:spacing w:val="-14"/>
        </w:rPr>
        <w:t> </w:t>
      </w:r>
      <w:r>
        <w:rPr>
          <w:rFonts w:ascii="Segoe UI Semibold" w:hAnsi="Segoe UI Semibold"/>
          <w:b/>
          <w:color w:val="1A4796"/>
        </w:rPr>
        <w:t>gestion</w:t>
      </w:r>
      <w:r>
        <w:rPr>
          <w:rFonts w:ascii="Segoe UI Semibold" w:hAnsi="Segoe UI Semibold"/>
          <w:b/>
          <w:color w:val="1A4796"/>
          <w:spacing w:val="-14"/>
        </w:rPr>
        <w:t> </w:t>
      </w:r>
      <w:r>
        <w:rPr>
          <w:rFonts w:ascii="Segoe UI Semibold" w:hAnsi="Segoe UI Semibold"/>
          <w:b/>
          <w:color w:val="1A4796"/>
        </w:rPr>
        <w:t>des</w:t>
      </w:r>
      <w:r>
        <w:rPr>
          <w:rFonts w:ascii="Segoe UI Semibold" w:hAnsi="Segoe UI Semibold"/>
          <w:b/>
          <w:color w:val="1A4796"/>
          <w:spacing w:val="-14"/>
        </w:rPr>
        <w:t> </w:t>
      </w:r>
      <w:r>
        <w:rPr>
          <w:rFonts w:ascii="Segoe UI Semibold" w:hAnsi="Segoe UI Semibold"/>
          <w:b/>
          <w:color w:val="1A4796"/>
        </w:rPr>
        <w:t>exportations)</w:t>
      </w:r>
      <w:r>
        <w:rPr>
          <w:rFonts w:ascii="Segoe UI Semibold" w:hAnsi="Segoe UI Semibold"/>
          <w:b/>
          <w:color w:val="1A4796"/>
          <w:spacing w:val="-14"/>
        </w:rPr>
        <w:t> </w:t>
      </w:r>
      <w:r>
        <w:rPr>
          <w:rFonts w:ascii="Segoe UI Semibold" w:hAnsi="Segoe UI Semibold"/>
          <w:b/>
          <w:color w:val="1A4796"/>
        </w:rPr>
        <w:t>: </w:t>
      </w:r>
      <w:r>
        <w:rPr>
          <w:color w:val="231F20"/>
          <w:spacing w:val="-2"/>
        </w:rPr>
        <w:t>Elle</w:t>
      </w:r>
      <w:r>
        <w:rPr>
          <w:color w:val="231F20"/>
          <w:spacing w:val="-14"/>
        </w:rPr>
        <w:t> </w:t>
      </w:r>
      <w:r>
        <w:rPr>
          <w:color w:val="231F20"/>
          <w:spacing w:val="-2"/>
        </w:rPr>
        <w:t>restreint</w:t>
      </w:r>
      <w:r>
        <w:rPr>
          <w:color w:val="231F20"/>
          <w:spacing w:val="-13"/>
        </w:rPr>
        <w:t> </w:t>
      </w:r>
      <w:r>
        <w:rPr>
          <w:color w:val="231F20"/>
          <w:spacing w:val="-2"/>
        </w:rPr>
        <w:t>les</w:t>
      </w:r>
      <w:r>
        <w:rPr>
          <w:color w:val="231F20"/>
          <w:spacing w:val="-14"/>
        </w:rPr>
        <w:t> </w:t>
      </w:r>
      <w:r>
        <w:rPr>
          <w:color w:val="231F20"/>
          <w:spacing w:val="-2"/>
        </w:rPr>
        <w:t>bénéfices</w:t>
      </w:r>
      <w:r>
        <w:rPr>
          <w:color w:val="231F20"/>
          <w:spacing w:val="-14"/>
        </w:rPr>
        <w:t> </w:t>
      </w:r>
      <w:r>
        <w:rPr>
          <w:color w:val="231F20"/>
          <w:spacing w:val="-2"/>
        </w:rPr>
        <w:t>commerciaux, </w:t>
      </w:r>
      <w:r>
        <w:rPr>
          <w:color w:val="231F20"/>
          <w:spacing w:val="-6"/>
        </w:rPr>
        <w:t>l’aide</w:t>
      </w:r>
      <w:r>
        <w:rPr>
          <w:color w:val="231F20"/>
          <w:spacing w:val="-8"/>
        </w:rPr>
        <w:t> </w:t>
      </w:r>
      <w:r>
        <w:rPr>
          <w:color w:val="231F20"/>
          <w:spacing w:val="-6"/>
        </w:rPr>
        <w:t>extérieure</w:t>
      </w:r>
      <w:r>
        <w:rPr>
          <w:color w:val="231F20"/>
          <w:spacing w:val="-8"/>
        </w:rPr>
        <w:t> </w:t>
      </w:r>
      <w:r>
        <w:rPr>
          <w:color w:val="231F20"/>
          <w:spacing w:val="-6"/>
        </w:rPr>
        <w:t>et</w:t>
      </w:r>
      <w:r>
        <w:rPr>
          <w:color w:val="231F20"/>
          <w:spacing w:val="-8"/>
        </w:rPr>
        <w:t> </w:t>
      </w:r>
      <w:r>
        <w:rPr>
          <w:color w:val="231F20"/>
          <w:spacing w:val="-6"/>
        </w:rPr>
        <w:t>l’appui</w:t>
      </w:r>
      <w:r>
        <w:rPr>
          <w:color w:val="231F20"/>
          <w:spacing w:val="-8"/>
        </w:rPr>
        <w:t> </w:t>
      </w:r>
      <w:r>
        <w:rPr>
          <w:color w:val="231F20"/>
          <w:spacing w:val="-6"/>
        </w:rPr>
        <w:t>des</w:t>
      </w:r>
      <w:r>
        <w:rPr>
          <w:color w:val="231F20"/>
          <w:spacing w:val="-8"/>
        </w:rPr>
        <w:t> </w:t>
      </w:r>
      <w:r>
        <w:rPr>
          <w:color w:val="231F20"/>
          <w:spacing w:val="-6"/>
        </w:rPr>
        <w:t>institutions </w:t>
      </w:r>
      <w:r>
        <w:rPr>
          <w:color w:val="231F20"/>
        </w:rPr>
        <w:t>financières internationales aux pays </w:t>
      </w:r>
      <w:r>
        <w:rPr>
          <w:color w:val="231F20"/>
          <w:spacing w:val="-10"/>
        </w:rPr>
        <w:t>inscrits</w:t>
      </w:r>
      <w:r>
        <w:rPr>
          <w:color w:val="231F20"/>
          <w:spacing w:val="-2"/>
        </w:rPr>
        <w:t> </w:t>
      </w:r>
      <w:r>
        <w:rPr>
          <w:color w:val="231F20"/>
          <w:spacing w:val="-10"/>
        </w:rPr>
        <w:t>sur</w:t>
      </w:r>
      <w:r>
        <w:rPr>
          <w:color w:val="231F20"/>
        </w:rPr>
        <w:t> </w:t>
      </w:r>
      <w:r>
        <w:rPr>
          <w:color w:val="231F20"/>
          <w:spacing w:val="-10"/>
        </w:rPr>
        <w:t>cette</w:t>
      </w:r>
      <w:r>
        <w:rPr>
          <w:color w:val="231F20"/>
          <w:spacing w:val="-2"/>
        </w:rPr>
        <w:t> </w:t>
      </w:r>
      <w:r>
        <w:rPr>
          <w:color w:val="231F20"/>
          <w:spacing w:val="-10"/>
        </w:rPr>
        <w:t>Liste,</w:t>
      </w:r>
      <w:r>
        <w:rPr>
          <w:color w:val="231F20"/>
        </w:rPr>
        <w:t> </w:t>
      </w:r>
      <w:r>
        <w:rPr>
          <w:color w:val="231F20"/>
          <w:spacing w:val="-10"/>
        </w:rPr>
        <w:t>qui</w:t>
      </w:r>
      <w:r>
        <w:rPr>
          <w:color w:val="231F20"/>
          <w:spacing w:val="-2"/>
        </w:rPr>
        <w:t> </w:t>
      </w:r>
      <w:r>
        <w:rPr>
          <w:color w:val="231F20"/>
          <w:spacing w:val="-10"/>
        </w:rPr>
        <w:t>doivent</w:t>
      </w:r>
      <w:r>
        <w:rPr>
          <w:color w:val="231F20"/>
          <w:spacing w:val="-2"/>
        </w:rPr>
        <w:t> </w:t>
      </w:r>
      <w:r>
        <w:rPr>
          <w:color w:val="231F20"/>
          <w:spacing w:val="-10"/>
        </w:rPr>
        <w:t>disposer </w:t>
      </w:r>
      <w:r>
        <w:rPr>
          <w:color w:val="231F20"/>
        </w:rPr>
        <w:t>de</w:t>
      </w:r>
      <w:r>
        <w:rPr>
          <w:color w:val="231F20"/>
          <w:spacing w:val="-6"/>
        </w:rPr>
        <w:t> </w:t>
      </w:r>
      <w:r>
        <w:rPr>
          <w:color w:val="231F20"/>
        </w:rPr>
        <w:t>licences</w:t>
      </w:r>
      <w:r>
        <w:rPr>
          <w:color w:val="231F20"/>
          <w:spacing w:val="-6"/>
        </w:rPr>
        <w:t> </w:t>
      </w:r>
      <w:r>
        <w:rPr>
          <w:color w:val="231F20"/>
        </w:rPr>
        <w:t>ou</w:t>
      </w:r>
      <w:r>
        <w:rPr>
          <w:color w:val="231F20"/>
          <w:spacing w:val="-6"/>
        </w:rPr>
        <w:t> </w:t>
      </w:r>
      <w:r>
        <w:rPr>
          <w:color w:val="231F20"/>
        </w:rPr>
        <w:t>de</w:t>
      </w:r>
      <w:r>
        <w:rPr>
          <w:color w:val="231F20"/>
          <w:spacing w:val="-6"/>
        </w:rPr>
        <w:t> </w:t>
      </w:r>
      <w:r>
        <w:rPr>
          <w:color w:val="231F20"/>
        </w:rPr>
        <w:t>permis</w:t>
      </w:r>
      <w:r>
        <w:rPr>
          <w:color w:val="231F20"/>
          <w:spacing w:val="-6"/>
        </w:rPr>
        <w:t> </w:t>
      </w:r>
      <w:r>
        <w:rPr>
          <w:color w:val="231F20"/>
        </w:rPr>
        <w:t>spéciaux</w:t>
      </w:r>
      <w:r>
        <w:rPr>
          <w:color w:val="231F20"/>
          <w:spacing w:val="-6"/>
        </w:rPr>
        <w:t> </w:t>
      </w:r>
      <w:r>
        <w:rPr>
          <w:color w:val="231F20"/>
        </w:rPr>
        <w:t>pour importer depuis les États-Unis.</w:t>
      </w:r>
    </w:p>
    <w:p>
      <w:pPr>
        <w:pStyle w:val="BodyText"/>
        <w:spacing w:before="167"/>
        <w:ind w:left="1734" w:right="1" w:hanging="261"/>
      </w:pPr>
      <w:r>
        <w:rPr>
          <w:position w:val="3"/>
        </w:rPr>
        <w:drawing>
          <wp:inline distT="0" distB="0" distL="0" distR="0">
            <wp:extent cx="59207" cy="59207"/>
            <wp:effectExtent l="0" t="0" r="0" b="0"/>
            <wp:docPr id="422" name="Image 422"/>
            <wp:cNvGraphicFramePr>
              <a:graphicFrameLocks/>
            </wp:cNvGraphicFramePr>
            <a:graphic>
              <a:graphicData uri="http://schemas.openxmlformats.org/drawingml/2006/picture">
                <pic:pic>
                  <pic:nvPicPr>
                    <pic:cNvPr id="422" name="Image 422"/>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z w:val="20"/>
        </w:rPr>
        <w:t> </w:t>
      </w:r>
      <w:r>
        <w:rPr>
          <w:rFonts w:ascii="Segoe UI Semibold" w:hAnsi="Segoe UI Semibold"/>
          <w:b/>
          <w:color w:val="1A4796"/>
        </w:rPr>
        <w:t>Foreign Assistance Act (1961, Loi </w:t>
      </w:r>
      <w:r>
        <w:rPr>
          <w:rFonts w:ascii="Segoe UI Semibold" w:hAnsi="Segoe UI Semibold"/>
          <w:b/>
          <w:color w:val="1A4796"/>
          <w:spacing w:val="-2"/>
        </w:rPr>
        <w:t>relative</w:t>
      </w:r>
      <w:r>
        <w:rPr>
          <w:rFonts w:ascii="Segoe UI Semibold" w:hAnsi="Segoe UI Semibold"/>
          <w:b/>
          <w:color w:val="1A4796"/>
          <w:spacing w:val="-13"/>
        </w:rPr>
        <w:t> </w:t>
      </w:r>
      <w:r>
        <w:rPr>
          <w:rFonts w:ascii="Segoe UI Semibold" w:hAnsi="Segoe UI Semibold"/>
          <w:b/>
          <w:color w:val="1A4796"/>
          <w:spacing w:val="-2"/>
        </w:rPr>
        <w:t>à</w:t>
      </w:r>
      <w:r>
        <w:rPr>
          <w:rFonts w:ascii="Segoe UI Semibold" w:hAnsi="Segoe UI Semibold"/>
          <w:b/>
          <w:color w:val="1A4796"/>
          <w:spacing w:val="-13"/>
        </w:rPr>
        <w:t> </w:t>
      </w:r>
      <w:r>
        <w:rPr>
          <w:rFonts w:ascii="Segoe UI Semibold" w:hAnsi="Segoe UI Semibold"/>
          <w:b/>
          <w:color w:val="1A4796"/>
          <w:spacing w:val="-2"/>
        </w:rPr>
        <w:t>l’aide</w:t>
      </w:r>
      <w:r>
        <w:rPr>
          <w:rFonts w:ascii="Segoe UI Semibold" w:hAnsi="Segoe UI Semibold"/>
          <w:b/>
          <w:color w:val="1A4796"/>
          <w:spacing w:val="-13"/>
        </w:rPr>
        <w:t> </w:t>
      </w:r>
      <w:r>
        <w:rPr>
          <w:rFonts w:ascii="Segoe UI Semibold" w:hAnsi="Segoe UI Semibold"/>
          <w:b/>
          <w:color w:val="1A4796"/>
          <w:spacing w:val="-2"/>
        </w:rPr>
        <w:t>extérieure)</w:t>
      </w:r>
      <w:r>
        <w:rPr>
          <w:rFonts w:ascii="Segoe UI Semibold" w:hAnsi="Segoe UI Semibold"/>
          <w:b/>
          <w:color w:val="1A4796"/>
          <w:spacing w:val="-13"/>
        </w:rPr>
        <w:t> </w:t>
      </w:r>
      <w:r>
        <w:rPr>
          <w:rFonts w:ascii="Segoe UI Semibold" w:hAnsi="Segoe UI Semibold"/>
          <w:b/>
          <w:color w:val="1A4796"/>
          <w:spacing w:val="-2"/>
        </w:rPr>
        <w:t>:</w:t>
      </w:r>
      <w:r>
        <w:rPr>
          <w:rFonts w:ascii="Segoe UI Semibold" w:hAnsi="Segoe UI Semibold"/>
          <w:b/>
          <w:color w:val="1A4796"/>
          <w:spacing w:val="-12"/>
        </w:rPr>
        <w:t> </w:t>
      </w:r>
      <w:r>
        <w:rPr>
          <w:color w:val="231F20"/>
          <w:spacing w:val="-2"/>
        </w:rPr>
        <w:t>Elle</w:t>
      </w:r>
      <w:r>
        <w:rPr>
          <w:color w:val="231F20"/>
          <w:spacing w:val="-13"/>
        </w:rPr>
        <w:t> </w:t>
      </w:r>
      <w:r>
        <w:rPr>
          <w:color w:val="231F20"/>
          <w:spacing w:val="-2"/>
        </w:rPr>
        <w:t>interdit </w:t>
      </w:r>
      <w:r>
        <w:rPr>
          <w:color w:val="231F20"/>
        </w:rPr>
        <w:t>l’octroi de n’importe quelle « aide » au gouvernement d’un pays qui « aurait apporté à maintes reprises une aide à des actes de terrorisme international ».</w:t>
      </w:r>
    </w:p>
    <w:p>
      <w:pPr>
        <w:pStyle w:val="BodyText"/>
        <w:spacing w:before="164"/>
        <w:ind w:left="1734" w:hanging="261"/>
      </w:pPr>
      <w:r>
        <w:rPr>
          <w:position w:val="4"/>
        </w:rPr>
        <w:drawing>
          <wp:inline distT="0" distB="0" distL="0" distR="0">
            <wp:extent cx="59207" cy="59207"/>
            <wp:effectExtent l="0" t="0" r="0" b="0"/>
            <wp:docPr id="423" name="Image 423"/>
            <wp:cNvGraphicFramePr>
              <a:graphicFrameLocks/>
            </wp:cNvGraphicFramePr>
            <a:graphic>
              <a:graphicData uri="http://schemas.openxmlformats.org/drawingml/2006/picture">
                <pic:pic>
                  <pic:nvPicPr>
                    <pic:cNvPr id="423" name="Image 423"/>
                    <pic:cNvPicPr/>
                  </pic:nvPicPr>
                  <pic:blipFill>
                    <a:blip r:embed="rId9"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9"/>
          <w:sz w:val="20"/>
        </w:rPr>
        <w:t> </w:t>
      </w:r>
      <w:r>
        <w:rPr>
          <w:rFonts w:ascii="Segoe UI Semibold" w:hAnsi="Segoe UI Semibold"/>
          <w:b/>
          <w:color w:val="1A4796"/>
          <w:spacing w:val="-2"/>
        </w:rPr>
        <w:t>Loi</w:t>
      </w:r>
      <w:r>
        <w:rPr>
          <w:rFonts w:ascii="Segoe UI Semibold" w:hAnsi="Segoe UI Semibold"/>
          <w:b/>
          <w:color w:val="1A4796"/>
          <w:spacing w:val="-14"/>
        </w:rPr>
        <w:t> </w:t>
      </w:r>
      <w:r>
        <w:rPr>
          <w:rFonts w:ascii="Segoe UI Semibold" w:hAnsi="Segoe UI Semibold"/>
          <w:b/>
          <w:color w:val="1A4796"/>
          <w:spacing w:val="-2"/>
        </w:rPr>
        <w:t>relative</w:t>
      </w:r>
      <w:r>
        <w:rPr>
          <w:rFonts w:ascii="Segoe UI Semibold" w:hAnsi="Segoe UI Semibold"/>
          <w:b/>
          <w:color w:val="1A4796"/>
          <w:spacing w:val="-15"/>
        </w:rPr>
        <w:t> </w:t>
      </w:r>
      <w:r>
        <w:rPr>
          <w:rFonts w:ascii="Segoe UI Semibold" w:hAnsi="Segoe UI Semibold"/>
          <w:b/>
          <w:color w:val="1A4796"/>
          <w:spacing w:val="-2"/>
        </w:rPr>
        <w:t>au</w:t>
      </w:r>
      <w:r>
        <w:rPr>
          <w:rFonts w:ascii="Segoe UI Semibold" w:hAnsi="Segoe UI Semibold"/>
          <w:b/>
          <w:color w:val="1A4796"/>
          <w:spacing w:val="-14"/>
        </w:rPr>
        <w:t> </w:t>
      </w:r>
      <w:r>
        <w:rPr>
          <w:rFonts w:ascii="Segoe UI Semibold" w:hAnsi="Segoe UI Semibold"/>
          <w:b/>
          <w:color w:val="1A4796"/>
          <w:spacing w:val="-2"/>
        </w:rPr>
        <w:t>contrôle</w:t>
      </w:r>
      <w:r>
        <w:rPr>
          <w:rFonts w:ascii="Segoe UI Semibold" w:hAnsi="Segoe UI Semibold"/>
          <w:b/>
          <w:color w:val="1A4796"/>
          <w:spacing w:val="-15"/>
        </w:rPr>
        <w:t> </w:t>
      </w:r>
      <w:r>
        <w:rPr>
          <w:rFonts w:ascii="Segoe UI Semibold" w:hAnsi="Segoe UI Semibold"/>
          <w:b/>
          <w:color w:val="1A4796"/>
          <w:spacing w:val="-2"/>
        </w:rPr>
        <w:t>des</w:t>
      </w:r>
      <w:r>
        <w:rPr>
          <w:rFonts w:ascii="Segoe UI Semibold" w:hAnsi="Segoe UI Semibold"/>
          <w:b/>
          <w:color w:val="1A4796"/>
          <w:spacing w:val="-14"/>
        </w:rPr>
        <w:t> </w:t>
      </w:r>
      <w:r>
        <w:rPr>
          <w:rFonts w:ascii="Segoe UI Semibold" w:hAnsi="Segoe UI Semibold"/>
          <w:b/>
          <w:color w:val="1A4796"/>
          <w:spacing w:val="-2"/>
        </w:rPr>
        <w:t>exportations </w:t>
      </w:r>
      <w:r>
        <w:rPr>
          <w:rFonts w:ascii="Segoe UI Semibold" w:hAnsi="Segoe UI Semibold"/>
          <w:b/>
          <w:color w:val="1A4796"/>
          <w:spacing w:val="-4"/>
        </w:rPr>
        <w:t>d’armes</w:t>
      </w:r>
      <w:r>
        <w:rPr>
          <w:rFonts w:ascii="Segoe UI Semibold" w:hAnsi="Segoe UI Semibold"/>
          <w:b/>
          <w:color w:val="1A4796"/>
          <w:spacing w:val="-13"/>
        </w:rPr>
        <w:t> </w:t>
      </w:r>
      <w:r>
        <w:rPr>
          <w:rFonts w:ascii="Segoe UI Semibold" w:hAnsi="Segoe UI Semibold"/>
          <w:b/>
          <w:color w:val="1A4796"/>
          <w:spacing w:val="-4"/>
        </w:rPr>
        <w:t>(1968)</w:t>
      </w:r>
      <w:r>
        <w:rPr>
          <w:rFonts w:ascii="Segoe UI Semibold" w:hAnsi="Segoe UI Semibold"/>
          <w:b/>
          <w:color w:val="1A4796"/>
          <w:spacing w:val="-12"/>
        </w:rPr>
        <w:t> </w:t>
      </w:r>
      <w:r>
        <w:rPr>
          <w:rFonts w:ascii="Segoe UI Semibold" w:hAnsi="Segoe UI Semibold"/>
          <w:b/>
          <w:color w:val="1A4796"/>
          <w:spacing w:val="-4"/>
        </w:rPr>
        <w:t>:</w:t>
      </w:r>
      <w:r>
        <w:rPr>
          <w:rFonts w:ascii="Segoe UI Semibold" w:hAnsi="Segoe UI Semibold"/>
          <w:b/>
          <w:color w:val="1A4796"/>
          <w:spacing w:val="-13"/>
        </w:rPr>
        <w:t> </w:t>
      </w:r>
      <w:r>
        <w:rPr>
          <w:color w:val="231F20"/>
          <w:spacing w:val="-4"/>
        </w:rPr>
        <w:t>Elle</w:t>
      </w:r>
      <w:r>
        <w:rPr>
          <w:color w:val="231F20"/>
          <w:spacing w:val="-12"/>
        </w:rPr>
        <w:t> </w:t>
      </w:r>
      <w:r>
        <w:rPr>
          <w:color w:val="231F20"/>
          <w:spacing w:val="-4"/>
        </w:rPr>
        <w:t>interdit</w:t>
      </w:r>
      <w:r>
        <w:rPr>
          <w:color w:val="231F20"/>
          <w:spacing w:val="-13"/>
        </w:rPr>
        <w:t> </w:t>
      </w:r>
      <w:r>
        <w:rPr>
          <w:color w:val="231F20"/>
          <w:spacing w:val="-4"/>
        </w:rPr>
        <w:t>l’exportation </w:t>
      </w:r>
      <w:r>
        <w:rPr>
          <w:color w:val="231F20"/>
        </w:rPr>
        <w:t>ou</w:t>
      </w:r>
      <w:r>
        <w:rPr>
          <w:color w:val="231F20"/>
          <w:spacing w:val="40"/>
        </w:rPr>
        <w:t> </w:t>
      </w:r>
      <w:r>
        <w:rPr>
          <w:color w:val="231F20"/>
        </w:rPr>
        <w:t>le</w:t>
      </w:r>
      <w:r>
        <w:rPr>
          <w:color w:val="231F20"/>
          <w:spacing w:val="40"/>
        </w:rPr>
        <w:t> </w:t>
      </w:r>
      <w:r>
        <w:rPr>
          <w:color w:val="231F20"/>
        </w:rPr>
        <w:t>transfert</w:t>
      </w:r>
      <w:r>
        <w:rPr>
          <w:color w:val="231F20"/>
          <w:spacing w:val="40"/>
        </w:rPr>
        <w:t> </w:t>
      </w:r>
      <w:r>
        <w:rPr>
          <w:color w:val="231F20"/>
        </w:rPr>
        <w:t>de</w:t>
      </w:r>
      <w:r>
        <w:rPr>
          <w:color w:val="231F20"/>
          <w:spacing w:val="40"/>
        </w:rPr>
        <w:t> </w:t>
      </w:r>
      <w:r>
        <w:rPr>
          <w:color w:val="231F20"/>
        </w:rPr>
        <w:t>n’importe</w:t>
      </w:r>
      <w:r>
        <w:rPr>
          <w:color w:val="231F20"/>
          <w:spacing w:val="40"/>
        </w:rPr>
        <w:t> </w:t>
      </w:r>
      <w:r>
        <w:rPr>
          <w:color w:val="231F20"/>
        </w:rPr>
        <w:t>quel</w:t>
      </w:r>
      <w:r>
        <w:rPr>
          <w:color w:val="231F20"/>
          <w:spacing w:val="40"/>
        </w:rPr>
        <w:t> </w:t>
      </w:r>
      <w:r>
        <w:rPr>
          <w:color w:val="231F20"/>
        </w:rPr>
        <w:t>type</w:t>
      </w:r>
      <w:r>
        <w:rPr>
          <w:color w:val="231F20"/>
          <w:spacing w:val="80"/>
        </w:rPr>
        <w:t> </w:t>
      </w:r>
      <w:r>
        <w:rPr>
          <w:color w:val="231F20"/>
        </w:rPr>
        <w:t>de</w:t>
      </w:r>
      <w:r>
        <w:rPr>
          <w:color w:val="231F20"/>
          <w:spacing w:val="80"/>
        </w:rPr>
        <w:t> </w:t>
      </w:r>
      <w:r>
        <w:rPr>
          <w:color w:val="231F20"/>
        </w:rPr>
        <w:t>munitions</w:t>
      </w:r>
      <w:r>
        <w:rPr>
          <w:color w:val="231F20"/>
          <w:spacing w:val="80"/>
        </w:rPr>
        <w:t> </w:t>
      </w:r>
      <w:r>
        <w:rPr>
          <w:color w:val="231F20"/>
        </w:rPr>
        <w:t>à</w:t>
      </w:r>
      <w:r>
        <w:rPr>
          <w:color w:val="231F20"/>
          <w:spacing w:val="80"/>
        </w:rPr>
        <w:t> </w:t>
      </w:r>
      <w:r>
        <w:rPr>
          <w:color w:val="231F20"/>
        </w:rPr>
        <w:t>un</w:t>
      </w:r>
      <w:r>
        <w:rPr>
          <w:color w:val="231F20"/>
          <w:spacing w:val="80"/>
        </w:rPr>
        <w:t> </w:t>
      </w:r>
      <w:r>
        <w:rPr>
          <w:color w:val="231F20"/>
        </w:rPr>
        <w:t>pays</w:t>
      </w:r>
      <w:r>
        <w:rPr>
          <w:color w:val="231F20"/>
          <w:spacing w:val="80"/>
        </w:rPr>
        <w:t> </w:t>
      </w:r>
      <w:r>
        <w:rPr>
          <w:color w:val="231F20"/>
        </w:rPr>
        <w:t>dont le gouvernement « aurait apporté à maintes</w:t>
      </w:r>
      <w:r>
        <w:rPr>
          <w:color w:val="231F20"/>
          <w:spacing w:val="-17"/>
        </w:rPr>
        <w:t> </w:t>
      </w:r>
      <w:r>
        <w:rPr>
          <w:color w:val="231F20"/>
        </w:rPr>
        <w:t>reprises</w:t>
      </w:r>
      <w:r>
        <w:rPr>
          <w:color w:val="231F20"/>
          <w:spacing w:val="-16"/>
        </w:rPr>
        <w:t> </w:t>
      </w:r>
      <w:r>
        <w:rPr>
          <w:color w:val="231F20"/>
        </w:rPr>
        <w:t>une</w:t>
      </w:r>
      <w:r>
        <w:rPr>
          <w:color w:val="231F20"/>
          <w:spacing w:val="-17"/>
        </w:rPr>
        <w:t> </w:t>
      </w:r>
      <w:r>
        <w:rPr>
          <w:color w:val="231F20"/>
        </w:rPr>
        <w:t>aide</w:t>
      </w:r>
      <w:r>
        <w:rPr>
          <w:color w:val="231F20"/>
          <w:spacing w:val="-16"/>
        </w:rPr>
        <w:t> </w:t>
      </w:r>
      <w:r>
        <w:rPr>
          <w:color w:val="231F20"/>
        </w:rPr>
        <w:t>à</w:t>
      </w:r>
      <w:r>
        <w:rPr>
          <w:color w:val="231F20"/>
          <w:spacing w:val="-17"/>
        </w:rPr>
        <w:t> </w:t>
      </w:r>
      <w:r>
        <w:rPr>
          <w:color w:val="231F20"/>
        </w:rPr>
        <w:t>des</w:t>
      </w:r>
      <w:r>
        <w:rPr>
          <w:color w:val="231F20"/>
          <w:spacing w:val="-16"/>
        </w:rPr>
        <w:t> </w:t>
      </w:r>
      <w:r>
        <w:rPr>
          <w:color w:val="231F20"/>
        </w:rPr>
        <w:t>actes</w:t>
      </w:r>
      <w:r>
        <w:rPr>
          <w:color w:val="231F20"/>
          <w:spacing w:val="-17"/>
        </w:rPr>
        <w:t> </w:t>
      </w:r>
      <w:r>
        <w:rPr>
          <w:color w:val="231F20"/>
        </w:rPr>
        <w:t>de terrorisme international ».</w:t>
      </w:r>
    </w:p>
    <w:p>
      <w:pPr>
        <w:pStyle w:val="BodyText"/>
        <w:spacing w:before="166"/>
        <w:ind w:left="1734" w:hanging="261"/>
      </w:pPr>
      <w:r>
        <w:rPr>
          <w:position w:val="3"/>
        </w:rPr>
        <w:drawing>
          <wp:inline distT="0" distB="0" distL="0" distR="0">
            <wp:extent cx="59207" cy="59207"/>
            <wp:effectExtent l="0" t="0" r="0" b="0"/>
            <wp:docPr id="424" name="Image 424"/>
            <wp:cNvGraphicFramePr>
              <a:graphicFrameLocks/>
            </wp:cNvGraphicFramePr>
            <a:graphic>
              <a:graphicData uri="http://schemas.openxmlformats.org/drawingml/2006/picture">
                <pic:pic>
                  <pic:nvPicPr>
                    <pic:cNvPr id="424" name="Image 424"/>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rFonts w:ascii="Segoe UI Semibold" w:hAnsi="Segoe UI Semibold"/>
          <w:b/>
          <w:color w:val="1A4796"/>
        </w:rPr>
        <w:t>Export Administration Act of 1979 </w:t>
      </w:r>
      <w:r>
        <w:rPr>
          <w:color w:val="231F20"/>
        </w:rPr>
        <w:t>(Loi relative</w:t>
      </w:r>
      <w:r>
        <w:rPr>
          <w:color w:val="231F20"/>
          <w:spacing w:val="-17"/>
        </w:rPr>
        <w:t> </w:t>
      </w:r>
      <w:r>
        <w:rPr>
          <w:color w:val="231F20"/>
        </w:rPr>
        <w:t>à</w:t>
      </w:r>
      <w:r>
        <w:rPr>
          <w:color w:val="231F20"/>
          <w:spacing w:val="-16"/>
        </w:rPr>
        <w:t> </w:t>
      </w:r>
      <w:r>
        <w:rPr>
          <w:color w:val="231F20"/>
        </w:rPr>
        <w:t>la</w:t>
      </w:r>
      <w:r>
        <w:rPr>
          <w:color w:val="231F20"/>
          <w:spacing w:val="-17"/>
        </w:rPr>
        <w:t> </w:t>
      </w:r>
      <w:r>
        <w:rPr>
          <w:color w:val="231F20"/>
        </w:rPr>
        <w:t>gestion</w:t>
      </w:r>
      <w:r>
        <w:rPr>
          <w:color w:val="231F20"/>
          <w:spacing w:val="-16"/>
        </w:rPr>
        <w:t> </w:t>
      </w:r>
      <w:r>
        <w:rPr>
          <w:color w:val="231F20"/>
        </w:rPr>
        <w:t>des</w:t>
      </w:r>
      <w:r>
        <w:rPr>
          <w:color w:val="231F20"/>
          <w:spacing w:val="-16"/>
        </w:rPr>
        <w:t> </w:t>
      </w:r>
      <w:r>
        <w:rPr>
          <w:color w:val="231F20"/>
        </w:rPr>
        <w:t>exportations)</w:t>
      </w:r>
      <w:r>
        <w:rPr>
          <w:color w:val="231F20"/>
          <w:spacing w:val="-17"/>
        </w:rPr>
        <w:t> </w:t>
      </w:r>
      <w:r>
        <w:rPr>
          <w:color w:val="231F20"/>
        </w:rPr>
        <w:t>et Loi</w:t>
      </w:r>
      <w:r>
        <w:rPr>
          <w:color w:val="231F20"/>
          <w:spacing w:val="-17"/>
        </w:rPr>
        <w:t> </w:t>
      </w:r>
      <w:r>
        <w:rPr>
          <w:color w:val="231F20"/>
        </w:rPr>
        <w:t>relative</w:t>
      </w:r>
      <w:r>
        <w:rPr>
          <w:color w:val="231F20"/>
          <w:spacing w:val="-16"/>
        </w:rPr>
        <w:t> </w:t>
      </w:r>
      <w:r>
        <w:rPr>
          <w:color w:val="231F20"/>
        </w:rPr>
        <w:t>au</w:t>
      </w:r>
      <w:r>
        <w:rPr>
          <w:color w:val="231F20"/>
          <w:spacing w:val="-17"/>
        </w:rPr>
        <w:t> </w:t>
      </w:r>
      <w:r>
        <w:rPr>
          <w:color w:val="231F20"/>
        </w:rPr>
        <w:t>contrôle</w:t>
      </w:r>
      <w:r>
        <w:rPr>
          <w:color w:val="231F20"/>
          <w:spacing w:val="-16"/>
        </w:rPr>
        <w:t> </w:t>
      </w:r>
      <w:r>
        <w:rPr>
          <w:color w:val="231F20"/>
        </w:rPr>
        <w:t>des</w:t>
      </w:r>
      <w:r>
        <w:rPr>
          <w:color w:val="231F20"/>
          <w:spacing w:val="-17"/>
        </w:rPr>
        <w:t> </w:t>
      </w:r>
      <w:r>
        <w:rPr>
          <w:color w:val="231F20"/>
        </w:rPr>
        <w:t>exportations d’armes</w:t>
      </w:r>
      <w:r>
        <w:rPr>
          <w:color w:val="231F20"/>
          <w:spacing w:val="37"/>
        </w:rPr>
        <w:t> </w:t>
      </w:r>
      <w:r>
        <w:rPr>
          <w:color w:val="231F20"/>
        </w:rPr>
        <w:t>:</w:t>
      </w:r>
      <w:r>
        <w:rPr>
          <w:color w:val="231F20"/>
          <w:spacing w:val="38"/>
        </w:rPr>
        <w:t> </w:t>
      </w:r>
      <w:r>
        <w:rPr>
          <w:color w:val="231F20"/>
        </w:rPr>
        <w:t>Elles</w:t>
      </w:r>
      <w:r>
        <w:rPr>
          <w:color w:val="231F20"/>
          <w:spacing w:val="37"/>
        </w:rPr>
        <w:t> </w:t>
      </w:r>
      <w:r>
        <w:rPr>
          <w:color w:val="231F20"/>
        </w:rPr>
        <w:t>interdisent</w:t>
      </w:r>
      <w:r>
        <w:rPr>
          <w:color w:val="231F20"/>
          <w:spacing w:val="38"/>
        </w:rPr>
        <w:t> </w:t>
      </w:r>
      <w:r>
        <w:rPr>
          <w:color w:val="231F20"/>
        </w:rPr>
        <w:t>la</w:t>
      </w:r>
      <w:r>
        <w:rPr>
          <w:color w:val="231F20"/>
          <w:spacing w:val="37"/>
        </w:rPr>
        <w:t> </w:t>
      </w:r>
      <w:r>
        <w:rPr>
          <w:color w:val="231F20"/>
        </w:rPr>
        <w:t>vente</w:t>
      </w:r>
      <w:r>
        <w:rPr>
          <w:color w:val="231F20"/>
          <w:spacing w:val="38"/>
        </w:rPr>
        <w:t> </w:t>
      </w:r>
      <w:r>
        <w:rPr>
          <w:color w:val="231F20"/>
          <w:spacing w:val="-5"/>
        </w:rPr>
        <w:t>ou</w:t>
      </w:r>
    </w:p>
    <w:p>
      <w:pPr>
        <w:pStyle w:val="BodyText"/>
        <w:spacing w:before="77"/>
        <w:ind w:left="673" w:right="1134"/>
      </w:pPr>
      <w:r>
        <w:rPr/>
        <w:br w:type="column"/>
      </w:r>
      <w:r>
        <w:rPr>
          <w:color w:val="231F20"/>
        </w:rPr>
        <w:t>l’exportation d’articles de la défense et de services de défense si le président notifie au Congrès avant le 15 mai de chaque</w:t>
      </w:r>
      <w:r>
        <w:rPr>
          <w:color w:val="231F20"/>
          <w:spacing w:val="-4"/>
        </w:rPr>
        <w:t> </w:t>
      </w:r>
      <w:r>
        <w:rPr>
          <w:color w:val="231F20"/>
        </w:rPr>
        <w:t>année</w:t>
      </w:r>
      <w:r>
        <w:rPr>
          <w:color w:val="231F20"/>
          <w:spacing w:val="-4"/>
        </w:rPr>
        <w:t> </w:t>
      </w:r>
      <w:r>
        <w:rPr>
          <w:color w:val="231F20"/>
        </w:rPr>
        <w:t>qu’un</w:t>
      </w:r>
      <w:r>
        <w:rPr>
          <w:color w:val="231F20"/>
          <w:spacing w:val="-4"/>
        </w:rPr>
        <w:t> </w:t>
      </w:r>
      <w:r>
        <w:rPr>
          <w:color w:val="231F20"/>
        </w:rPr>
        <w:t>pays</w:t>
      </w:r>
      <w:r>
        <w:rPr>
          <w:color w:val="231F20"/>
          <w:spacing w:val="-4"/>
        </w:rPr>
        <w:t> </w:t>
      </w:r>
      <w:r>
        <w:rPr>
          <w:color w:val="231F20"/>
        </w:rPr>
        <w:t>«</w:t>
      </w:r>
      <w:r>
        <w:rPr>
          <w:color w:val="231F20"/>
          <w:spacing w:val="-4"/>
        </w:rPr>
        <w:t> </w:t>
      </w:r>
      <w:r>
        <w:rPr>
          <w:color w:val="231F20"/>
        </w:rPr>
        <w:t>ne</w:t>
      </w:r>
      <w:r>
        <w:rPr>
          <w:color w:val="231F20"/>
          <w:spacing w:val="-4"/>
        </w:rPr>
        <w:t> </w:t>
      </w:r>
      <w:r>
        <w:rPr>
          <w:color w:val="231F20"/>
        </w:rPr>
        <w:t>coopère </w:t>
      </w:r>
      <w:r>
        <w:rPr>
          <w:color w:val="231F20"/>
          <w:spacing w:val="-2"/>
        </w:rPr>
        <w:t>pas</w:t>
      </w:r>
      <w:r>
        <w:rPr>
          <w:color w:val="231F20"/>
          <w:spacing w:val="-15"/>
        </w:rPr>
        <w:t> </w:t>
      </w:r>
      <w:r>
        <w:rPr>
          <w:color w:val="231F20"/>
          <w:spacing w:val="-2"/>
        </w:rPr>
        <w:t>à</w:t>
      </w:r>
      <w:r>
        <w:rPr>
          <w:color w:val="231F20"/>
          <w:spacing w:val="-14"/>
        </w:rPr>
        <w:t> </w:t>
      </w:r>
      <w:r>
        <w:rPr>
          <w:color w:val="231F20"/>
          <w:spacing w:val="-2"/>
        </w:rPr>
        <w:t>fond</w:t>
      </w:r>
      <w:r>
        <w:rPr>
          <w:color w:val="231F20"/>
          <w:spacing w:val="-15"/>
        </w:rPr>
        <w:t> </w:t>
      </w:r>
      <w:r>
        <w:rPr>
          <w:color w:val="231F20"/>
          <w:spacing w:val="-2"/>
        </w:rPr>
        <w:t>avec</w:t>
      </w:r>
      <w:r>
        <w:rPr>
          <w:color w:val="231F20"/>
          <w:spacing w:val="-14"/>
        </w:rPr>
        <w:t> </w:t>
      </w:r>
      <w:r>
        <w:rPr>
          <w:color w:val="231F20"/>
          <w:spacing w:val="-2"/>
        </w:rPr>
        <w:t>les</w:t>
      </w:r>
      <w:r>
        <w:rPr>
          <w:color w:val="231F20"/>
          <w:spacing w:val="-15"/>
        </w:rPr>
        <w:t> </w:t>
      </w:r>
      <w:r>
        <w:rPr>
          <w:color w:val="231F20"/>
          <w:spacing w:val="-2"/>
        </w:rPr>
        <w:t>efforts</w:t>
      </w:r>
      <w:r>
        <w:rPr>
          <w:color w:val="231F20"/>
          <w:spacing w:val="-14"/>
        </w:rPr>
        <w:t> </w:t>
      </w:r>
      <w:r>
        <w:rPr>
          <w:color w:val="231F20"/>
          <w:spacing w:val="-2"/>
        </w:rPr>
        <w:t>des</w:t>
      </w:r>
      <w:r>
        <w:rPr>
          <w:color w:val="231F20"/>
          <w:spacing w:val="-15"/>
        </w:rPr>
        <w:t> </w:t>
      </w:r>
      <w:r>
        <w:rPr>
          <w:color w:val="231F20"/>
          <w:spacing w:val="-2"/>
        </w:rPr>
        <w:t>États-Unis </w:t>
      </w:r>
      <w:r>
        <w:rPr>
          <w:color w:val="231F20"/>
        </w:rPr>
        <w:t>contre le terrorisme ».</w:t>
      </w:r>
    </w:p>
    <w:p>
      <w:pPr>
        <w:pStyle w:val="BodyText"/>
        <w:spacing w:before="164"/>
        <w:ind w:left="673" w:right="1132" w:hanging="261"/>
      </w:pPr>
      <w:r>
        <w:rPr>
          <w:position w:val="3"/>
        </w:rPr>
        <w:drawing>
          <wp:inline distT="0" distB="0" distL="0" distR="0">
            <wp:extent cx="59207" cy="59207"/>
            <wp:effectExtent l="0" t="0" r="0" b="0"/>
            <wp:docPr id="425" name="Image 425"/>
            <wp:cNvGraphicFramePr>
              <a:graphicFrameLocks/>
            </wp:cNvGraphicFramePr>
            <a:graphic>
              <a:graphicData uri="http://schemas.openxmlformats.org/drawingml/2006/picture">
                <pic:pic>
                  <pic:nvPicPr>
                    <pic:cNvPr id="425" name="Image 425"/>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
          <w:sz w:val="20"/>
        </w:rPr>
        <w:t> </w:t>
      </w:r>
      <w:r>
        <w:rPr>
          <w:rFonts w:ascii="Segoe UI Semibold" w:hAnsi="Segoe UI Semibold"/>
          <w:b/>
          <w:color w:val="1A4796"/>
          <w:spacing w:val="-2"/>
        </w:rPr>
        <w:t>Foreign</w:t>
      </w:r>
      <w:r>
        <w:rPr>
          <w:rFonts w:ascii="Segoe UI Semibold" w:hAnsi="Segoe UI Semibold"/>
          <w:b/>
          <w:color w:val="1A4796"/>
          <w:spacing w:val="-15"/>
        </w:rPr>
        <w:t> </w:t>
      </w:r>
      <w:r>
        <w:rPr>
          <w:rFonts w:ascii="Segoe UI Semibold" w:hAnsi="Segoe UI Semibold"/>
          <w:b/>
          <w:color w:val="1A4796"/>
          <w:spacing w:val="-2"/>
        </w:rPr>
        <w:t>Sovereign</w:t>
      </w:r>
      <w:r>
        <w:rPr>
          <w:rFonts w:ascii="Segoe UI Semibold" w:hAnsi="Segoe UI Semibold"/>
          <w:b/>
          <w:color w:val="1A4796"/>
          <w:spacing w:val="-14"/>
        </w:rPr>
        <w:t> </w:t>
      </w:r>
      <w:r>
        <w:rPr>
          <w:rFonts w:ascii="Segoe UI Semibold" w:hAnsi="Segoe UI Semibold"/>
          <w:b/>
          <w:color w:val="1A4796"/>
          <w:spacing w:val="-2"/>
        </w:rPr>
        <w:t>Immunities</w:t>
      </w:r>
      <w:r>
        <w:rPr>
          <w:rFonts w:ascii="Segoe UI Semibold" w:hAnsi="Segoe UI Semibold"/>
          <w:b/>
          <w:color w:val="1A4796"/>
          <w:spacing w:val="-15"/>
        </w:rPr>
        <w:t> </w:t>
      </w:r>
      <w:r>
        <w:rPr>
          <w:rFonts w:ascii="Segoe UI Semibold" w:hAnsi="Segoe UI Semibold"/>
          <w:b/>
          <w:color w:val="1A4796"/>
          <w:spacing w:val="-2"/>
        </w:rPr>
        <w:t>Act</w:t>
      </w:r>
      <w:r>
        <w:rPr>
          <w:rFonts w:ascii="Segoe UI Semibold" w:hAnsi="Segoe UI Semibold"/>
          <w:b/>
          <w:color w:val="1A4796"/>
          <w:spacing w:val="-14"/>
        </w:rPr>
        <w:t> </w:t>
      </w:r>
      <w:r>
        <w:rPr>
          <w:rFonts w:ascii="Segoe UI Semibold" w:hAnsi="Segoe UI Semibold"/>
          <w:b/>
          <w:color w:val="1A4796"/>
          <w:spacing w:val="-2"/>
        </w:rPr>
        <w:t>(FSIA, 1976,</w:t>
      </w:r>
      <w:r>
        <w:rPr>
          <w:rFonts w:ascii="Segoe UI Semibold" w:hAnsi="Segoe UI Semibold"/>
          <w:b/>
          <w:color w:val="1A4796"/>
          <w:spacing w:val="-14"/>
        </w:rPr>
        <w:t> </w:t>
      </w:r>
      <w:r>
        <w:rPr>
          <w:rFonts w:ascii="Segoe UI Semibold" w:hAnsi="Segoe UI Semibold"/>
          <w:b/>
          <w:color w:val="1A4796"/>
          <w:spacing w:val="-2"/>
        </w:rPr>
        <w:t>Loi</w:t>
      </w:r>
      <w:r>
        <w:rPr>
          <w:rFonts w:ascii="Segoe UI Semibold" w:hAnsi="Segoe UI Semibold"/>
          <w:b/>
          <w:color w:val="1A4796"/>
          <w:spacing w:val="-14"/>
        </w:rPr>
        <w:t> </w:t>
      </w:r>
      <w:r>
        <w:rPr>
          <w:rFonts w:ascii="Segoe UI Semibold" w:hAnsi="Segoe UI Semibold"/>
          <w:b/>
          <w:color w:val="1A4796"/>
          <w:spacing w:val="-2"/>
        </w:rPr>
        <w:t>sur</w:t>
      </w:r>
      <w:r>
        <w:rPr>
          <w:rFonts w:ascii="Segoe UI Semibold" w:hAnsi="Segoe UI Semibold"/>
          <w:b/>
          <w:color w:val="1A4796"/>
          <w:spacing w:val="-13"/>
        </w:rPr>
        <w:t> </w:t>
      </w:r>
      <w:r>
        <w:rPr>
          <w:rFonts w:ascii="Segoe UI Semibold" w:hAnsi="Segoe UI Semibold"/>
          <w:b/>
          <w:color w:val="1A4796"/>
          <w:spacing w:val="-2"/>
        </w:rPr>
        <w:t>l’immunité</w:t>
      </w:r>
      <w:r>
        <w:rPr>
          <w:rFonts w:ascii="Segoe UI Semibold" w:hAnsi="Segoe UI Semibold"/>
          <w:b/>
          <w:color w:val="1A4796"/>
          <w:spacing w:val="-14"/>
        </w:rPr>
        <w:t> </w:t>
      </w:r>
      <w:r>
        <w:rPr>
          <w:rFonts w:ascii="Segoe UI Semibold" w:hAnsi="Segoe UI Semibold"/>
          <w:b/>
          <w:color w:val="1A4796"/>
          <w:spacing w:val="-2"/>
        </w:rPr>
        <w:t>souveraine</w:t>
      </w:r>
      <w:r>
        <w:rPr>
          <w:rFonts w:ascii="Segoe UI Semibold" w:hAnsi="Segoe UI Semibold"/>
          <w:b/>
          <w:color w:val="1A4796"/>
          <w:spacing w:val="-14"/>
        </w:rPr>
        <w:t> </w:t>
      </w:r>
      <w:r>
        <w:rPr>
          <w:rFonts w:ascii="Segoe UI Semibold" w:hAnsi="Segoe UI Semibold"/>
          <w:b/>
          <w:color w:val="1A4796"/>
          <w:spacing w:val="-2"/>
        </w:rPr>
        <w:t>des </w:t>
      </w:r>
      <w:r>
        <w:rPr>
          <w:rFonts w:ascii="Segoe UI Semibold" w:hAnsi="Segoe UI Semibold"/>
          <w:b/>
          <w:color w:val="1A4796"/>
          <w:spacing w:val="-6"/>
        </w:rPr>
        <w:t>États</w:t>
      </w:r>
      <w:r>
        <w:rPr>
          <w:rFonts w:ascii="Segoe UI Semibold" w:hAnsi="Segoe UI Semibold"/>
          <w:b/>
          <w:color w:val="1A4796"/>
          <w:spacing w:val="-10"/>
        </w:rPr>
        <w:t> </w:t>
      </w:r>
      <w:r>
        <w:rPr>
          <w:rFonts w:ascii="Segoe UI Semibold" w:hAnsi="Segoe UI Semibold"/>
          <w:b/>
          <w:color w:val="1A4796"/>
          <w:spacing w:val="-6"/>
        </w:rPr>
        <w:t>étrangers)</w:t>
      </w:r>
      <w:r>
        <w:rPr>
          <w:rFonts w:ascii="Segoe UI Semibold" w:hAnsi="Segoe UI Semibold"/>
          <w:b/>
          <w:color w:val="1A4796"/>
          <w:spacing w:val="-9"/>
        </w:rPr>
        <w:t> </w:t>
      </w:r>
      <w:r>
        <w:rPr>
          <w:rFonts w:ascii="Segoe UI Semibold" w:hAnsi="Segoe UI Semibold"/>
          <w:b/>
          <w:color w:val="1A4796"/>
          <w:spacing w:val="-6"/>
        </w:rPr>
        <w:t>:</w:t>
      </w:r>
      <w:r>
        <w:rPr>
          <w:rFonts w:ascii="Segoe UI Semibold" w:hAnsi="Segoe UI Semibold"/>
          <w:b/>
          <w:color w:val="1A4796"/>
          <w:spacing w:val="-11"/>
        </w:rPr>
        <w:t> </w:t>
      </w:r>
      <w:r>
        <w:rPr>
          <w:color w:val="231F20"/>
          <w:spacing w:val="-6"/>
        </w:rPr>
        <w:t>Des</w:t>
      </w:r>
      <w:r>
        <w:rPr>
          <w:color w:val="231F20"/>
          <w:spacing w:val="-10"/>
        </w:rPr>
        <w:t> </w:t>
      </w:r>
      <w:r>
        <w:rPr>
          <w:color w:val="231F20"/>
          <w:spacing w:val="-6"/>
        </w:rPr>
        <w:t>demandes</w:t>
      </w:r>
      <w:r>
        <w:rPr>
          <w:color w:val="231F20"/>
          <w:spacing w:val="-11"/>
        </w:rPr>
        <w:t> </w:t>
      </w:r>
      <w:r>
        <w:rPr>
          <w:color w:val="231F20"/>
          <w:spacing w:val="-6"/>
        </w:rPr>
        <w:t>peuvent </w:t>
      </w:r>
      <w:r>
        <w:rPr>
          <w:color w:val="231F20"/>
          <w:spacing w:val="-2"/>
        </w:rPr>
        <w:t>être</w:t>
      </w:r>
      <w:r>
        <w:rPr>
          <w:color w:val="231F20"/>
          <w:spacing w:val="-14"/>
        </w:rPr>
        <w:t> </w:t>
      </w:r>
      <w:r>
        <w:rPr>
          <w:color w:val="231F20"/>
          <w:spacing w:val="-2"/>
        </w:rPr>
        <w:t>présentées</w:t>
      </w:r>
      <w:r>
        <w:rPr>
          <w:color w:val="231F20"/>
          <w:spacing w:val="-14"/>
        </w:rPr>
        <w:t> </w:t>
      </w:r>
      <w:r>
        <w:rPr>
          <w:color w:val="231F20"/>
          <w:spacing w:val="-2"/>
        </w:rPr>
        <w:t>contre</w:t>
      </w:r>
      <w:r>
        <w:rPr>
          <w:color w:val="231F20"/>
          <w:spacing w:val="-14"/>
        </w:rPr>
        <w:t> </w:t>
      </w:r>
      <w:r>
        <w:rPr>
          <w:color w:val="231F20"/>
          <w:spacing w:val="-2"/>
        </w:rPr>
        <w:t>l’État</w:t>
      </w:r>
      <w:r>
        <w:rPr>
          <w:color w:val="231F20"/>
          <w:spacing w:val="-14"/>
        </w:rPr>
        <w:t> </w:t>
      </w:r>
      <w:r>
        <w:rPr>
          <w:color w:val="231F20"/>
          <w:spacing w:val="-2"/>
        </w:rPr>
        <w:t>inscrit</w:t>
      </w:r>
      <w:r>
        <w:rPr>
          <w:color w:val="231F20"/>
          <w:spacing w:val="-14"/>
        </w:rPr>
        <w:t> </w:t>
      </w:r>
      <w:r>
        <w:rPr>
          <w:color w:val="231F20"/>
          <w:spacing w:val="-2"/>
        </w:rPr>
        <w:t>sur</w:t>
      </w:r>
      <w:r>
        <w:rPr>
          <w:color w:val="231F20"/>
          <w:spacing w:val="-14"/>
        </w:rPr>
        <w:t> </w:t>
      </w:r>
      <w:r>
        <w:rPr>
          <w:color w:val="231F20"/>
          <w:spacing w:val="-2"/>
        </w:rPr>
        <w:t>la </w:t>
      </w:r>
      <w:r>
        <w:rPr>
          <w:color w:val="231F20"/>
        </w:rPr>
        <w:t>Liste ou contre ses fonctionnaires.</w:t>
      </w:r>
    </w:p>
    <w:p>
      <w:pPr>
        <w:pStyle w:val="BodyText"/>
        <w:spacing w:before="164"/>
        <w:ind w:left="412" w:right="1133"/>
      </w:pPr>
      <w:r>
        <w:rPr>
          <w:color w:val="231F20"/>
        </w:rPr>
        <w:t>Certaines de ces restrictions juridiques coïncident</w:t>
      </w:r>
      <w:r>
        <w:rPr>
          <w:color w:val="231F20"/>
          <w:spacing w:val="-6"/>
        </w:rPr>
        <w:t> </w:t>
      </w:r>
      <w:r>
        <w:rPr>
          <w:color w:val="231F20"/>
        </w:rPr>
        <w:t>avec</w:t>
      </w:r>
      <w:r>
        <w:rPr>
          <w:color w:val="231F20"/>
          <w:spacing w:val="-6"/>
        </w:rPr>
        <w:t> </w:t>
      </w:r>
      <w:r>
        <w:rPr>
          <w:color w:val="231F20"/>
        </w:rPr>
        <w:t>celles</w:t>
      </w:r>
      <w:r>
        <w:rPr>
          <w:color w:val="231F20"/>
          <w:spacing w:val="-6"/>
        </w:rPr>
        <w:t> </w:t>
      </w:r>
      <w:r>
        <w:rPr>
          <w:color w:val="231F20"/>
        </w:rPr>
        <w:t>que</w:t>
      </w:r>
      <w:r>
        <w:rPr>
          <w:color w:val="231F20"/>
          <w:spacing w:val="-6"/>
        </w:rPr>
        <w:t> </w:t>
      </w:r>
      <w:r>
        <w:rPr>
          <w:color w:val="231F20"/>
        </w:rPr>
        <w:t>comportent</w:t>
      </w:r>
      <w:r>
        <w:rPr>
          <w:color w:val="231F20"/>
          <w:spacing w:val="-6"/>
        </w:rPr>
        <w:t> </w:t>
      </w:r>
      <w:r>
        <w:rPr>
          <w:color w:val="231F20"/>
        </w:rPr>
        <w:t>les mesures de blocus, en particulier celles émanant de l’OFAC, entrelacs légal de ce </w:t>
      </w:r>
      <w:r>
        <w:rPr>
          <w:color w:val="231F20"/>
          <w:spacing w:val="-4"/>
        </w:rPr>
        <w:t>système</w:t>
      </w:r>
      <w:r>
        <w:rPr>
          <w:color w:val="231F20"/>
          <w:spacing w:val="-25"/>
        </w:rPr>
        <w:t> </w:t>
      </w:r>
      <w:r>
        <w:rPr>
          <w:color w:val="231F20"/>
          <w:spacing w:val="-4"/>
        </w:rPr>
        <w:t>de</w:t>
      </w:r>
      <w:r>
        <w:rPr>
          <w:color w:val="231F20"/>
          <w:spacing w:val="-24"/>
        </w:rPr>
        <w:t> </w:t>
      </w:r>
      <w:r>
        <w:rPr>
          <w:color w:val="231F20"/>
          <w:spacing w:val="-4"/>
        </w:rPr>
        <w:t>mesures</w:t>
      </w:r>
      <w:r>
        <w:rPr>
          <w:color w:val="231F20"/>
          <w:spacing w:val="-24"/>
        </w:rPr>
        <w:t> </w:t>
      </w:r>
      <w:r>
        <w:rPr>
          <w:color w:val="231F20"/>
          <w:spacing w:val="-4"/>
        </w:rPr>
        <w:t>coercitives</w:t>
      </w:r>
      <w:r>
        <w:rPr>
          <w:color w:val="231F20"/>
          <w:spacing w:val="-24"/>
        </w:rPr>
        <w:t> </w:t>
      </w:r>
      <w:r>
        <w:rPr>
          <w:color w:val="231F20"/>
          <w:spacing w:val="-4"/>
        </w:rPr>
        <w:t>unilatérales.</w:t>
      </w:r>
    </w:p>
    <w:p>
      <w:pPr>
        <w:pStyle w:val="BodyText"/>
        <w:spacing w:before="164"/>
        <w:ind w:left="412" w:right="1133"/>
      </w:pPr>
      <w:r>
        <w:rPr>
          <w:color w:val="231F20"/>
          <w:spacing w:val="-2"/>
        </w:rPr>
        <w:t>On</w:t>
      </w:r>
      <w:r>
        <w:rPr>
          <w:color w:val="231F20"/>
          <w:spacing w:val="-12"/>
        </w:rPr>
        <w:t> </w:t>
      </w:r>
      <w:r>
        <w:rPr>
          <w:color w:val="231F20"/>
          <w:spacing w:val="-2"/>
        </w:rPr>
        <w:t>trouvera</w:t>
      </w:r>
      <w:r>
        <w:rPr>
          <w:color w:val="231F20"/>
          <w:spacing w:val="-12"/>
        </w:rPr>
        <w:t> </w:t>
      </w:r>
      <w:r>
        <w:rPr>
          <w:color w:val="231F20"/>
          <w:spacing w:val="-2"/>
        </w:rPr>
        <w:t>passim</w:t>
      </w:r>
      <w:r>
        <w:rPr>
          <w:color w:val="231F20"/>
          <w:spacing w:val="-12"/>
        </w:rPr>
        <w:t> </w:t>
      </w:r>
      <w:r>
        <w:rPr>
          <w:color w:val="231F20"/>
          <w:spacing w:val="-2"/>
        </w:rPr>
        <w:t>des</w:t>
      </w:r>
      <w:r>
        <w:rPr>
          <w:color w:val="231F20"/>
          <w:spacing w:val="-13"/>
        </w:rPr>
        <w:t> </w:t>
      </w:r>
      <w:r>
        <w:rPr>
          <w:color w:val="231F20"/>
          <w:spacing w:val="-2"/>
        </w:rPr>
        <w:t>exemples</w:t>
      </w:r>
      <w:r>
        <w:rPr>
          <w:color w:val="231F20"/>
          <w:spacing w:val="-12"/>
        </w:rPr>
        <w:t> </w:t>
      </w:r>
      <w:r>
        <w:rPr>
          <w:color w:val="231F20"/>
          <w:spacing w:val="-2"/>
        </w:rPr>
        <w:t>concrets </w:t>
      </w:r>
      <w:r>
        <w:rPr>
          <w:color w:val="231F20"/>
        </w:rPr>
        <w:t>de cette mesure appliquée à Cuba et aux ressortissants de pays tiers.</w:t>
      </w:r>
    </w:p>
    <w:p>
      <w:pPr>
        <w:pStyle w:val="BodyText"/>
        <w:spacing w:before="24"/>
        <w:jc w:val="left"/>
      </w:pPr>
    </w:p>
    <w:p>
      <w:pPr>
        <w:pStyle w:val="Heading2"/>
        <w:spacing w:line="196" w:lineRule="auto"/>
        <w:ind w:left="412" w:right="1396"/>
      </w:pPr>
      <w:r>
        <w:rPr>
          <w:color w:val="1A4796"/>
          <w:w w:val="115"/>
        </w:rPr>
        <w:t>Prérogatives du président des</w:t>
      </w:r>
      <w:r>
        <w:rPr>
          <w:color w:val="1A4796"/>
          <w:spacing w:val="-18"/>
          <w:w w:val="115"/>
        </w:rPr>
        <w:t> </w:t>
      </w:r>
      <w:r>
        <w:rPr>
          <w:color w:val="1A4796"/>
          <w:w w:val="115"/>
        </w:rPr>
        <w:t>États-Unis</w:t>
      </w:r>
      <w:r>
        <w:rPr>
          <w:color w:val="1A4796"/>
          <w:spacing w:val="-18"/>
          <w:w w:val="115"/>
        </w:rPr>
        <w:t> </w:t>
      </w:r>
      <w:r>
        <w:rPr>
          <w:color w:val="1A4796"/>
          <w:w w:val="115"/>
        </w:rPr>
        <w:t>pour</w:t>
      </w:r>
      <w:r>
        <w:rPr>
          <w:color w:val="1A4796"/>
          <w:spacing w:val="-18"/>
          <w:w w:val="115"/>
        </w:rPr>
        <w:t> </w:t>
      </w:r>
      <w:r>
        <w:rPr>
          <w:color w:val="1A4796"/>
          <w:w w:val="115"/>
        </w:rPr>
        <w:t>modifier l’application du blocus</w:t>
      </w:r>
    </w:p>
    <w:p>
      <w:pPr>
        <w:pStyle w:val="BodyText"/>
        <w:spacing w:before="160"/>
        <w:ind w:left="412" w:right="1133"/>
      </w:pPr>
      <w:r>
        <w:rPr>
          <w:color w:val="231F20"/>
          <w:spacing w:val="-4"/>
        </w:rPr>
        <w:t>La</w:t>
      </w:r>
      <w:r>
        <w:rPr>
          <w:color w:val="231F20"/>
          <w:spacing w:val="-13"/>
        </w:rPr>
        <w:t> </w:t>
      </w:r>
      <w:r>
        <w:rPr>
          <w:color w:val="231F20"/>
          <w:spacing w:val="-4"/>
        </w:rPr>
        <w:t>Loi</w:t>
      </w:r>
      <w:r>
        <w:rPr>
          <w:color w:val="231F20"/>
          <w:spacing w:val="-12"/>
        </w:rPr>
        <w:t> </w:t>
      </w:r>
      <w:r>
        <w:rPr>
          <w:color w:val="231F20"/>
          <w:spacing w:val="-4"/>
        </w:rPr>
        <w:t>Helms-Burton</w:t>
      </w:r>
      <w:r>
        <w:rPr>
          <w:color w:val="231F20"/>
          <w:spacing w:val="-13"/>
        </w:rPr>
        <w:t> </w:t>
      </w:r>
      <w:r>
        <w:rPr>
          <w:color w:val="231F20"/>
          <w:spacing w:val="-4"/>
        </w:rPr>
        <w:t>signée</w:t>
      </w:r>
      <w:r>
        <w:rPr>
          <w:color w:val="231F20"/>
          <w:spacing w:val="-12"/>
        </w:rPr>
        <w:t> </w:t>
      </w:r>
      <w:r>
        <w:rPr>
          <w:color w:val="231F20"/>
          <w:spacing w:val="-4"/>
        </w:rPr>
        <w:t>par</w:t>
      </w:r>
      <w:r>
        <w:rPr>
          <w:color w:val="231F20"/>
          <w:spacing w:val="-13"/>
        </w:rPr>
        <w:t> </w:t>
      </w:r>
      <w:r>
        <w:rPr>
          <w:color w:val="231F20"/>
          <w:spacing w:val="-4"/>
        </w:rPr>
        <w:t>le</w:t>
      </w:r>
      <w:r>
        <w:rPr>
          <w:color w:val="231F20"/>
          <w:spacing w:val="-12"/>
        </w:rPr>
        <w:t> </w:t>
      </w:r>
      <w:r>
        <w:rPr>
          <w:color w:val="231F20"/>
          <w:spacing w:val="-4"/>
        </w:rPr>
        <w:t>président </w:t>
      </w:r>
      <w:r>
        <w:rPr>
          <w:color w:val="231F20"/>
        </w:rPr>
        <w:t>William Clinton le 12 mars 1996 a codifié l’ensemble des mesures de blocus contre Cuba et l’entrelacs de normes exécutives qui le sous-tendent. Dès lors, le Congrès des</w:t>
      </w:r>
      <w:r>
        <w:rPr>
          <w:color w:val="231F20"/>
          <w:spacing w:val="-17"/>
        </w:rPr>
        <w:t> </w:t>
      </w:r>
      <w:r>
        <w:rPr>
          <w:color w:val="231F20"/>
        </w:rPr>
        <w:t>États-Unis</w:t>
      </w:r>
      <w:r>
        <w:rPr>
          <w:color w:val="231F20"/>
          <w:spacing w:val="-16"/>
        </w:rPr>
        <w:t> </w:t>
      </w:r>
      <w:r>
        <w:rPr>
          <w:color w:val="231F20"/>
        </w:rPr>
        <w:t>est</w:t>
      </w:r>
      <w:r>
        <w:rPr>
          <w:color w:val="231F20"/>
          <w:spacing w:val="-17"/>
        </w:rPr>
        <w:t> </w:t>
      </w:r>
      <w:r>
        <w:rPr>
          <w:color w:val="231F20"/>
        </w:rPr>
        <w:t>devenu</w:t>
      </w:r>
      <w:r>
        <w:rPr>
          <w:color w:val="231F20"/>
          <w:spacing w:val="-16"/>
        </w:rPr>
        <w:t> </w:t>
      </w:r>
      <w:r>
        <w:rPr>
          <w:color w:val="231F20"/>
        </w:rPr>
        <w:t>l’organe</w:t>
      </w:r>
      <w:r>
        <w:rPr>
          <w:color w:val="231F20"/>
          <w:spacing w:val="-17"/>
        </w:rPr>
        <w:t> </w:t>
      </w:r>
      <w:r>
        <w:rPr>
          <w:color w:val="231F20"/>
        </w:rPr>
        <w:t>habilité à</w:t>
      </w:r>
      <w:r>
        <w:rPr>
          <w:color w:val="231F20"/>
          <w:spacing w:val="-8"/>
        </w:rPr>
        <w:t> </w:t>
      </w:r>
      <w:r>
        <w:rPr>
          <w:color w:val="231F20"/>
        </w:rPr>
        <w:t>révoquer</w:t>
      </w:r>
      <w:r>
        <w:rPr>
          <w:color w:val="231F20"/>
          <w:spacing w:val="-8"/>
        </w:rPr>
        <w:t> </w:t>
      </w:r>
      <w:r>
        <w:rPr>
          <w:color w:val="231F20"/>
        </w:rPr>
        <w:t>ces</w:t>
      </w:r>
      <w:r>
        <w:rPr>
          <w:color w:val="231F20"/>
          <w:spacing w:val="-8"/>
        </w:rPr>
        <w:t> </w:t>
      </w:r>
      <w:r>
        <w:rPr>
          <w:color w:val="231F20"/>
        </w:rPr>
        <w:t>législations</w:t>
      </w:r>
      <w:r>
        <w:rPr>
          <w:color w:val="231F20"/>
          <w:spacing w:val="-8"/>
        </w:rPr>
        <w:t> </w:t>
      </w:r>
      <w:r>
        <w:rPr>
          <w:color w:val="231F20"/>
        </w:rPr>
        <w:t>et</w:t>
      </w:r>
      <w:r>
        <w:rPr>
          <w:color w:val="231F20"/>
          <w:spacing w:val="-8"/>
        </w:rPr>
        <w:t> </w:t>
      </w:r>
      <w:r>
        <w:rPr>
          <w:color w:val="231F20"/>
        </w:rPr>
        <w:t>à</w:t>
      </w:r>
      <w:r>
        <w:rPr>
          <w:color w:val="231F20"/>
          <w:spacing w:val="-8"/>
        </w:rPr>
        <w:t> </w:t>
      </w:r>
      <w:r>
        <w:rPr>
          <w:color w:val="231F20"/>
        </w:rPr>
        <w:t>décréter</w:t>
      </w:r>
      <w:r>
        <w:rPr>
          <w:color w:val="231F20"/>
          <w:spacing w:val="-8"/>
        </w:rPr>
        <w:t> </w:t>
      </w:r>
      <w:r>
        <w:rPr>
          <w:color w:val="231F20"/>
        </w:rPr>
        <w:t>la fin du blocus.</w:t>
      </w:r>
    </w:p>
    <w:p>
      <w:pPr>
        <w:pStyle w:val="BodyText"/>
        <w:spacing w:before="166"/>
        <w:ind w:left="412" w:right="1135"/>
      </w:pPr>
      <w:r>
        <w:rPr>
          <w:color w:val="231F20"/>
          <w:spacing w:val="-8"/>
        </w:rPr>
        <w:t>Mais comme cette loi lui a toutefois préservé </w:t>
      </w:r>
      <w:r>
        <w:rPr>
          <w:color w:val="231F20"/>
        </w:rPr>
        <w:t>des prérogatives, le président dispose encore de larges facultés pour démonter </w:t>
      </w:r>
      <w:r>
        <w:rPr>
          <w:color w:val="231F20"/>
          <w:spacing w:val="-10"/>
        </w:rPr>
        <w:t>certaines</w:t>
      </w:r>
      <w:r>
        <w:rPr>
          <w:color w:val="231F20"/>
          <w:spacing w:val="-4"/>
        </w:rPr>
        <w:t> </w:t>
      </w:r>
      <w:r>
        <w:rPr>
          <w:color w:val="231F20"/>
          <w:spacing w:val="-10"/>
        </w:rPr>
        <w:t>restrictions</w:t>
      </w:r>
      <w:r>
        <w:rPr>
          <w:color w:val="231F20"/>
          <w:spacing w:val="-4"/>
        </w:rPr>
        <w:t> </w:t>
      </w:r>
      <w:r>
        <w:rPr>
          <w:color w:val="231F20"/>
          <w:spacing w:val="-10"/>
        </w:rPr>
        <w:t>du</w:t>
      </w:r>
      <w:r>
        <w:rPr>
          <w:color w:val="231F20"/>
          <w:spacing w:val="-2"/>
        </w:rPr>
        <w:t> </w:t>
      </w:r>
      <w:r>
        <w:rPr>
          <w:color w:val="231F20"/>
          <w:spacing w:val="-10"/>
        </w:rPr>
        <w:t>blocus</w:t>
      </w:r>
      <w:r>
        <w:rPr>
          <w:color w:val="231F20"/>
          <w:spacing w:val="-4"/>
        </w:rPr>
        <w:t> </w:t>
      </w:r>
      <w:r>
        <w:rPr>
          <w:color w:val="231F20"/>
          <w:spacing w:val="-10"/>
        </w:rPr>
        <w:t>par</w:t>
      </w:r>
      <w:r>
        <w:rPr>
          <w:color w:val="231F20"/>
          <w:spacing w:val="-2"/>
        </w:rPr>
        <w:t> </w:t>
      </w:r>
      <w:r>
        <w:rPr>
          <w:color w:val="231F20"/>
          <w:spacing w:val="-10"/>
        </w:rPr>
        <w:t>le</w:t>
      </w:r>
      <w:r>
        <w:rPr>
          <w:color w:val="231F20"/>
          <w:spacing w:val="-2"/>
        </w:rPr>
        <w:t> </w:t>
      </w:r>
      <w:r>
        <w:rPr>
          <w:color w:val="231F20"/>
          <w:spacing w:val="-10"/>
        </w:rPr>
        <w:t>biais</w:t>
      </w:r>
      <w:r>
        <w:rPr>
          <w:color w:val="231F20"/>
          <w:spacing w:val="-2"/>
        </w:rPr>
        <w:t> </w:t>
      </w:r>
      <w:r>
        <w:rPr>
          <w:color w:val="231F20"/>
          <w:spacing w:val="-10"/>
        </w:rPr>
        <w:t>de </w:t>
      </w:r>
      <w:r>
        <w:rPr>
          <w:color w:val="231F20"/>
          <w:spacing w:val="-2"/>
        </w:rPr>
        <w:t>permis</w:t>
      </w:r>
      <w:r>
        <w:rPr>
          <w:color w:val="231F20"/>
          <w:spacing w:val="-13"/>
        </w:rPr>
        <w:t> </w:t>
      </w:r>
      <w:r>
        <w:rPr>
          <w:color w:val="231F20"/>
          <w:spacing w:val="-2"/>
        </w:rPr>
        <w:t>et</w:t>
      </w:r>
      <w:r>
        <w:rPr>
          <w:color w:val="231F20"/>
          <w:spacing w:val="-13"/>
        </w:rPr>
        <w:t> </w:t>
      </w:r>
      <w:r>
        <w:rPr>
          <w:color w:val="231F20"/>
          <w:spacing w:val="-2"/>
        </w:rPr>
        <w:t>d’actions</w:t>
      </w:r>
      <w:r>
        <w:rPr>
          <w:color w:val="231F20"/>
          <w:spacing w:val="-13"/>
        </w:rPr>
        <w:t> </w:t>
      </w:r>
      <w:r>
        <w:rPr>
          <w:color w:val="231F20"/>
          <w:spacing w:val="-2"/>
        </w:rPr>
        <w:t>exécutives,</w:t>
      </w:r>
      <w:r>
        <w:rPr>
          <w:color w:val="231F20"/>
          <w:spacing w:val="-13"/>
        </w:rPr>
        <w:t> </w:t>
      </w:r>
      <w:r>
        <w:rPr>
          <w:color w:val="231F20"/>
          <w:spacing w:val="-2"/>
        </w:rPr>
        <w:t>notamment </w:t>
      </w:r>
      <w:r>
        <w:rPr>
          <w:color w:val="231F20"/>
        </w:rPr>
        <w:t>en modifiant des réglementations du département</w:t>
      </w:r>
      <w:r>
        <w:rPr>
          <w:color w:val="231F20"/>
          <w:spacing w:val="-17"/>
        </w:rPr>
        <w:t> </w:t>
      </w:r>
      <w:r>
        <w:rPr>
          <w:color w:val="231F20"/>
        </w:rPr>
        <w:t>du</w:t>
      </w:r>
      <w:r>
        <w:rPr>
          <w:color w:val="231F20"/>
          <w:spacing w:val="-16"/>
        </w:rPr>
        <w:t> </w:t>
      </w:r>
      <w:r>
        <w:rPr>
          <w:color w:val="231F20"/>
        </w:rPr>
        <w:t>Trésor</w:t>
      </w:r>
      <w:r>
        <w:rPr>
          <w:color w:val="231F20"/>
          <w:spacing w:val="-17"/>
        </w:rPr>
        <w:t> </w:t>
      </w:r>
      <w:r>
        <w:rPr>
          <w:color w:val="231F20"/>
        </w:rPr>
        <w:t>et</w:t>
      </w:r>
      <w:r>
        <w:rPr>
          <w:color w:val="231F20"/>
          <w:spacing w:val="-16"/>
        </w:rPr>
        <w:t> </w:t>
      </w:r>
      <w:r>
        <w:rPr>
          <w:color w:val="231F20"/>
        </w:rPr>
        <w:t>du</w:t>
      </w:r>
      <w:r>
        <w:rPr>
          <w:color w:val="231F20"/>
          <w:spacing w:val="-17"/>
        </w:rPr>
        <w:t> </w:t>
      </w:r>
      <w:r>
        <w:rPr>
          <w:color w:val="231F20"/>
        </w:rPr>
        <w:t>département du Commerce. Ainsi il peut :</w:t>
      </w:r>
    </w:p>
    <w:p>
      <w:pPr>
        <w:spacing w:before="166"/>
        <w:ind w:left="673" w:right="1131" w:hanging="261"/>
        <w:jc w:val="both"/>
        <w:rPr>
          <w:i/>
          <w:sz w:val="24"/>
        </w:rPr>
      </w:pPr>
      <w:r>
        <w:rPr/>
        <w:drawing>
          <wp:inline distT="0" distB="0" distL="0" distR="0">
            <wp:extent cx="117165" cy="86804"/>
            <wp:effectExtent l="0" t="0" r="0" b="0"/>
            <wp:docPr id="426" name="Image 426"/>
            <wp:cNvGraphicFramePr>
              <a:graphicFrameLocks/>
            </wp:cNvGraphicFramePr>
            <a:graphic>
              <a:graphicData uri="http://schemas.openxmlformats.org/drawingml/2006/picture">
                <pic:pic>
                  <pic:nvPicPr>
                    <pic:cNvPr id="426" name="Image 426"/>
                    <pic:cNvPicPr/>
                  </pic:nvPicPr>
                  <pic:blipFill>
                    <a:blip r:embed="rId73" cstate="print"/>
                    <a:stretch>
                      <a:fillRect/>
                    </a:stretch>
                  </pic:blipFill>
                  <pic:spPr>
                    <a:xfrm>
                      <a:off x="0" y="0"/>
                      <a:ext cx="117165" cy="86804"/>
                    </a:xfrm>
                    <a:prstGeom prst="rect">
                      <a:avLst/>
                    </a:prstGeom>
                  </pic:spPr>
                </pic:pic>
              </a:graphicData>
            </a:graphic>
          </wp:inline>
        </w:drawing>
      </w:r>
      <w:r>
        <w:rPr/>
      </w:r>
      <w:r>
        <w:rPr>
          <w:rFonts w:ascii="Times New Roman" w:hAnsi="Times New Roman"/>
          <w:spacing w:val="20"/>
          <w:sz w:val="20"/>
        </w:rPr>
        <w:t> </w:t>
      </w:r>
      <w:r>
        <w:rPr>
          <w:i/>
          <w:color w:val="1A4796"/>
          <w:sz w:val="24"/>
        </w:rPr>
        <w:t>Annuler</w:t>
      </w:r>
      <w:r>
        <w:rPr>
          <w:i/>
          <w:color w:val="1A4796"/>
          <w:spacing w:val="-10"/>
          <w:sz w:val="24"/>
        </w:rPr>
        <w:t> </w:t>
      </w:r>
      <w:r>
        <w:rPr>
          <w:i/>
          <w:color w:val="1A4796"/>
          <w:sz w:val="24"/>
        </w:rPr>
        <w:t>la</w:t>
      </w:r>
      <w:r>
        <w:rPr>
          <w:i/>
          <w:color w:val="1A4796"/>
          <w:spacing w:val="-10"/>
          <w:sz w:val="24"/>
        </w:rPr>
        <w:t> </w:t>
      </w:r>
      <w:r>
        <w:rPr>
          <w:i/>
          <w:color w:val="1A4796"/>
          <w:sz w:val="24"/>
        </w:rPr>
        <w:t>politique</w:t>
      </w:r>
      <w:r>
        <w:rPr>
          <w:i/>
          <w:color w:val="1A4796"/>
          <w:spacing w:val="-10"/>
          <w:sz w:val="24"/>
        </w:rPr>
        <w:t> </w:t>
      </w:r>
      <w:r>
        <w:rPr>
          <w:i/>
          <w:color w:val="1A4796"/>
          <w:sz w:val="24"/>
        </w:rPr>
        <w:t>de</w:t>
      </w:r>
      <w:r>
        <w:rPr>
          <w:i/>
          <w:color w:val="1A4796"/>
          <w:spacing w:val="-10"/>
          <w:sz w:val="24"/>
        </w:rPr>
        <w:t> </w:t>
      </w:r>
      <w:r>
        <w:rPr>
          <w:i/>
          <w:color w:val="1A4796"/>
          <w:sz w:val="24"/>
        </w:rPr>
        <w:t>traque</w:t>
      </w:r>
      <w:r>
        <w:rPr>
          <w:i/>
          <w:color w:val="1A4796"/>
          <w:spacing w:val="-10"/>
          <w:sz w:val="24"/>
        </w:rPr>
        <w:t> </w:t>
      </w:r>
      <w:r>
        <w:rPr>
          <w:i/>
          <w:color w:val="1A4796"/>
          <w:sz w:val="24"/>
        </w:rPr>
        <w:t>financière</w:t>
      </w:r>
      <w:r>
        <w:rPr>
          <w:i/>
          <w:color w:val="1A4796"/>
          <w:sz w:val="24"/>
        </w:rPr>
        <w:t> contre Cuba.</w:t>
      </w:r>
    </w:p>
    <w:p>
      <w:pPr>
        <w:spacing w:after="0"/>
        <w:jc w:val="both"/>
        <w:rPr>
          <w:sz w:val="24"/>
        </w:rPr>
        <w:sectPr>
          <w:pgSz w:w="11910" w:h="16840"/>
          <w:pgMar w:header="0" w:footer="695" w:top="1260" w:bottom="880" w:left="0" w:right="0"/>
          <w:cols w:num="2" w:equalWidth="0">
            <w:col w:w="5897" w:space="40"/>
            <w:col w:w="5973"/>
          </w:cols>
        </w:sectPr>
      </w:pPr>
    </w:p>
    <w:p>
      <w:pPr>
        <w:spacing w:before="77"/>
        <w:ind w:left="1394" w:right="1" w:hanging="261"/>
        <w:jc w:val="both"/>
        <w:rPr>
          <w:i/>
          <w:sz w:val="24"/>
        </w:rPr>
      </w:pPr>
      <w:r>
        <w:rPr/>
        <w:drawing>
          <wp:inline distT="0" distB="0" distL="0" distR="0">
            <wp:extent cx="117165" cy="86804"/>
            <wp:effectExtent l="0" t="0" r="0" b="0"/>
            <wp:docPr id="427" name="Image 427"/>
            <wp:cNvGraphicFramePr>
              <a:graphicFrameLocks/>
            </wp:cNvGraphicFramePr>
            <a:graphic>
              <a:graphicData uri="http://schemas.openxmlformats.org/drawingml/2006/picture">
                <pic:pic>
                  <pic:nvPicPr>
                    <pic:cNvPr id="427" name="Image 427"/>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z w:val="20"/>
        </w:rPr>
        <w:t> </w:t>
      </w:r>
      <w:r>
        <w:rPr>
          <w:i/>
          <w:color w:val="1A4796"/>
          <w:sz w:val="24"/>
        </w:rPr>
        <w:t>Permettre à des entités de droit cubain,</w:t>
      </w:r>
      <w:r>
        <w:rPr>
          <w:i/>
          <w:color w:val="1A4796"/>
          <w:sz w:val="24"/>
        </w:rPr>
        <w:t> dont des banques et des entreprises, d’ouvrir des comptes sur des banques correspondantes des États-Unis.</w:t>
      </w:r>
    </w:p>
    <w:p>
      <w:pPr>
        <w:spacing w:before="163"/>
        <w:ind w:left="1394" w:right="1" w:hanging="261"/>
        <w:jc w:val="both"/>
        <w:rPr>
          <w:i/>
          <w:sz w:val="24"/>
        </w:rPr>
      </w:pPr>
      <w:r>
        <w:rPr/>
        <w:drawing>
          <wp:inline distT="0" distB="0" distL="0" distR="0">
            <wp:extent cx="117165" cy="86804"/>
            <wp:effectExtent l="0" t="0" r="0" b="0"/>
            <wp:docPr id="428" name="Image 428"/>
            <wp:cNvGraphicFramePr>
              <a:graphicFrameLocks/>
            </wp:cNvGraphicFramePr>
            <a:graphic>
              <a:graphicData uri="http://schemas.openxmlformats.org/drawingml/2006/picture">
                <pic:pic>
                  <pic:nvPicPr>
                    <pic:cNvPr id="428" name="Image 428"/>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pacing w:val="-13"/>
          <w:sz w:val="20"/>
        </w:rPr>
        <w:t> </w:t>
      </w:r>
      <w:r>
        <w:rPr>
          <w:i/>
          <w:color w:val="1A4796"/>
          <w:spacing w:val="-2"/>
          <w:sz w:val="24"/>
        </w:rPr>
        <w:t>Autoriser</w:t>
      </w:r>
      <w:r>
        <w:rPr>
          <w:i/>
          <w:color w:val="1A4796"/>
          <w:spacing w:val="-14"/>
          <w:sz w:val="24"/>
        </w:rPr>
        <w:t> </w:t>
      </w:r>
      <w:r>
        <w:rPr>
          <w:i/>
          <w:color w:val="1A4796"/>
          <w:spacing w:val="-2"/>
          <w:sz w:val="24"/>
        </w:rPr>
        <w:t>l’exportation</w:t>
      </w:r>
      <w:r>
        <w:rPr>
          <w:i/>
          <w:color w:val="1A4796"/>
          <w:spacing w:val="-15"/>
          <w:sz w:val="24"/>
        </w:rPr>
        <w:t> </w:t>
      </w:r>
      <w:r>
        <w:rPr>
          <w:i/>
          <w:color w:val="1A4796"/>
          <w:spacing w:val="-2"/>
          <w:sz w:val="24"/>
        </w:rPr>
        <w:t>à</w:t>
      </w:r>
      <w:r>
        <w:rPr>
          <w:i/>
          <w:color w:val="1A4796"/>
          <w:spacing w:val="-14"/>
          <w:sz w:val="24"/>
        </w:rPr>
        <w:t> </w:t>
      </w:r>
      <w:r>
        <w:rPr>
          <w:i/>
          <w:color w:val="1A4796"/>
          <w:spacing w:val="-2"/>
          <w:sz w:val="24"/>
        </w:rPr>
        <w:t>Cuba</w:t>
      </w:r>
      <w:r>
        <w:rPr>
          <w:i/>
          <w:color w:val="1A4796"/>
          <w:spacing w:val="-15"/>
          <w:sz w:val="24"/>
        </w:rPr>
        <w:t> </w:t>
      </w:r>
      <w:r>
        <w:rPr>
          <w:i/>
          <w:color w:val="1A4796"/>
          <w:spacing w:val="-2"/>
          <w:sz w:val="24"/>
        </w:rPr>
        <w:t>de</w:t>
      </w:r>
      <w:r>
        <w:rPr>
          <w:i/>
          <w:color w:val="1A4796"/>
          <w:spacing w:val="-14"/>
          <w:sz w:val="24"/>
        </w:rPr>
        <w:t> </w:t>
      </w:r>
      <w:r>
        <w:rPr>
          <w:i/>
          <w:color w:val="1A4796"/>
          <w:spacing w:val="-2"/>
          <w:sz w:val="24"/>
        </w:rPr>
        <w:t>produits</w:t>
      </w:r>
      <w:r>
        <w:rPr>
          <w:i/>
          <w:color w:val="1A4796"/>
          <w:spacing w:val="-2"/>
          <w:sz w:val="24"/>
        </w:rPr>
        <w:t> </w:t>
      </w:r>
      <w:r>
        <w:rPr>
          <w:i/>
          <w:color w:val="1A4796"/>
          <w:sz w:val="24"/>
        </w:rPr>
        <w:t>étasuniens dans des domaines clefs de l’économie,</w:t>
      </w:r>
      <w:r>
        <w:rPr>
          <w:i/>
          <w:color w:val="1A4796"/>
          <w:spacing w:val="-17"/>
          <w:sz w:val="24"/>
        </w:rPr>
        <w:t> </w:t>
      </w:r>
      <w:r>
        <w:rPr>
          <w:i/>
          <w:color w:val="1A4796"/>
          <w:sz w:val="24"/>
        </w:rPr>
        <w:t>dont</w:t>
      </w:r>
      <w:r>
        <w:rPr>
          <w:i/>
          <w:color w:val="1A4796"/>
          <w:spacing w:val="-16"/>
          <w:sz w:val="24"/>
        </w:rPr>
        <w:t> </w:t>
      </w:r>
      <w:r>
        <w:rPr>
          <w:i/>
          <w:color w:val="1A4796"/>
          <w:sz w:val="24"/>
        </w:rPr>
        <w:t>les</w:t>
      </w:r>
      <w:r>
        <w:rPr>
          <w:i/>
          <w:color w:val="1A4796"/>
          <w:spacing w:val="-17"/>
          <w:sz w:val="24"/>
        </w:rPr>
        <w:t> </w:t>
      </w:r>
      <w:r>
        <w:rPr>
          <w:i/>
          <w:color w:val="1A4796"/>
          <w:sz w:val="24"/>
        </w:rPr>
        <w:t>mines,</w:t>
      </w:r>
      <w:r>
        <w:rPr>
          <w:i/>
          <w:color w:val="1A4796"/>
          <w:spacing w:val="-16"/>
          <w:sz w:val="24"/>
        </w:rPr>
        <w:t> </w:t>
      </w:r>
      <w:r>
        <w:rPr>
          <w:i/>
          <w:color w:val="1A4796"/>
          <w:sz w:val="24"/>
        </w:rPr>
        <w:t>le</w:t>
      </w:r>
      <w:r>
        <w:rPr>
          <w:i/>
          <w:color w:val="1A4796"/>
          <w:spacing w:val="-17"/>
          <w:sz w:val="24"/>
        </w:rPr>
        <w:t> </w:t>
      </w:r>
      <w:r>
        <w:rPr>
          <w:i/>
          <w:color w:val="1A4796"/>
          <w:sz w:val="24"/>
        </w:rPr>
        <w:t>tourisme</w:t>
      </w:r>
      <w:r>
        <w:rPr>
          <w:i/>
          <w:color w:val="1A4796"/>
          <w:spacing w:val="-16"/>
          <w:sz w:val="24"/>
        </w:rPr>
        <w:t> </w:t>
      </w:r>
      <w:r>
        <w:rPr>
          <w:i/>
          <w:color w:val="1A4796"/>
          <w:sz w:val="24"/>
        </w:rPr>
        <w:t>et la biotechnologie.</w:t>
      </w:r>
    </w:p>
    <w:p>
      <w:pPr>
        <w:spacing w:before="163"/>
        <w:ind w:left="1394" w:right="1" w:hanging="261"/>
        <w:jc w:val="both"/>
        <w:rPr>
          <w:i/>
          <w:sz w:val="24"/>
        </w:rPr>
      </w:pPr>
      <w:r>
        <w:rPr/>
        <w:drawing>
          <wp:inline distT="0" distB="0" distL="0" distR="0">
            <wp:extent cx="117165" cy="86804"/>
            <wp:effectExtent l="0" t="0" r="0" b="0"/>
            <wp:docPr id="429" name="Image 429"/>
            <wp:cNvGraphicFramePr>
              <a:graphicFrameLocks/>
            </wp:cNvGraphicFramePr>
            <a:graphic>
              <a:graphicData uri="http://schemas.openxmlformats.org/drawingml/2006/picture">
                <pic:pic>
                  <pic:nvPicPr>
                    <pic:cNvPr id="429" name="Image 429"/>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z w:val="20"/>
        </w:rPr>
        <w:t> </w:t>
      </w:r>
      <w:r>
        <w:rPr>
          <w:i/>
          <w:color w:val="1A4796"/>
          <w:sz w:val="24"/>
        </w:rPr>
        <w:t>Autoriser</w:t>
      </w:r>
      <w:r>
        <w:rPr>
          <w:i/>
          <w:color w:val="1A4796"/>
          <w:spacing w:val="-16"/>
          <w:sz w:val="24"/>
        </w:rPr>
        <w:t> </w:t>
      </w:r>
      <w:r>
        <w:rPr>
          <w:i/>
          <w:color w:val="1A4796"/>
          <w:sz w:val="24"/>
        </w:rPr>
        <w:t>l’importation</w:t>
      </w:r>
      <w:r>
        <w:rPr>
          <w:i/>
          <w:color w:val="1A4796"/>
          <w:spacing w:val="-16"/>
          <w:sz w:val="24"/>
        </w:rPr>
        <w:t> </w:t>
      </w:r>
      <w:r>
        <w:rPr>
          <w:i/>
          <w:color w:val="1A4796"/>
          <w:sz w:val="24"/>
        </w:rPr>
        <w:t>aux</w:t>
      </w:r>
      <w:r>
        <w:rPr>
          <w:i/>
          <w:color w:val="1A4796"/>
          <w:spacing w:val="-16"/>
          <w:sz w:val="24"/>
        </w:rPr>
        <w:t> </w:t>
      </w:r>
      <w:r>
        <w:rPr>
          <w:i/>
          <w:color w:val="1A4796"/>
          <w:sz w:val="24"/>
        </w:rPr>
        <w:t>États-Unis</w:t>
      </w:r>
      <w:r>
        <w:rPr>
          <w:i/>
          <w:color w:val="1A4796"/>
          <w:spacing w:val="-16"/>
          <w:sz w:val="24"/>
        </w:rPr>
        <w:t> </w:t>
      </w:r>
      <w:r>
        <w:rPr>
          <w:i/>
          <w:color w:val="1A4796"/>
          <w:sz w:val="24"/>
        </w:rPr>
        <w:t>de</w:t>
      </w:r>
      <w:r>
        <w:rPr>
          <w:i/>
          <w:color w:val="1A4796"/>
          <w:sz w:val="24"/>
        </w:rPr>
        <w:t> n’importe quelle marchandise fabriquée ou découlant de produits cultivés, </w:t>
      </w:r>
      <w:r>
        <w:rPr>
          <w:i/>
          <w:color w:val="1A4796"/>
          <w:spacing w:val="-2"/>
          <w:sz w:val="24"/>
        </w:rPr>
        <w:t>produits</w:t>
      </w:r>
      <w:r>
        <w:rPr>
          <w:i/>
          <w:color w:val="1A4796"/>
          <w:spacing w:val="-15"/>
          <w:sz w:val="24"/>
        </w:rPr>
        <w:t> </w:t>
      </w:r>
      <w:r>
        <w:rPr>
          <w:i/>
          <w:color w:val="1A4796"/>
          <w:spacing w:val="-2"/>
          <w:sz w:val="24"/>
        </w:rPr>
        <w:t>ou</w:t>
      </w:r>
      <w:r>
        <w:rPr>
          <w:i/>
          <w:color w:val="1A4796"/>
          <w:spacing w:val="-14"/>
          <w:sz w:val="24"/>
        </w:rPr>
        <w:t> </w:t>
      </w:r>
      <w:r>
        <w:rPr>
          <w:i/>
          <w:color w:val="1A4796"/>
          <w:spacing w:val="-2"/>
          <w:sz w:val="24"/>
        </w:rPr>
        <w:t>manufacturés</w:t>
      </w:r>
      <w:r>
        <w:rPr>
          <w:i/>
          <w:color w:val="1A4796"/>
          <w:spacing w:val="-15"/>
          <w:sz w:val="24"/>
        </w:rPr>
        <w:t> </w:t>
      </w:r>
      <w:r>
        <w:rPr>
          <w:i/>
          <w:color w:val="1A4796"/>
          <w:spacing w:val="-2"/>
          <w:sz w:val="24"/>
        </w:rPr>
        <w:t>à</w:t>
      </w:r>
      <w:r>
        <w:rPr>
          <w:i/>
          <w:color w:val="1A4796"/>
          <w:spacing w:val="-14"/>
          <w:sz w:val="24"/>
        </w:rPr>
        <w:t> </w:t>
      </w:r>
      <w:r>
        <w:rPr>
          <w:i/>
          <w:color w:val="1A4796"/>
          <w:spacing w:val="-2"/>
          <w:sz w:val="24"/>
        </w:rPr>
        <w:t>Cuba</w:t>
      </w:r>
      <w:r>
        <w:rPr>
          <w:i/>
          <w:color w:val="1A4796"/>
          <w:spacing w:val="-15"/>
          <w:sz w:val="24"/>
        </w:rPr>
        <w:t> </w:t>
      </w:r>
      <w:r>
        <w:rPr>
          <w:i/>
          <w:color w:val="1A4796"/>
          <w:spacing w:val="-2"/>
          <w:sz w:val="24"/>
        </w:rPr>
        <w:t>par</w:t>
      </w:r>
      <w:r>
        <w:rPr>
          <w:i/>
          <w:color w:val="1A4796"/>
          <w:spacing w:val="-14"/>
          <w:sz w:val="24"/>
        </w:rPr>
        <w:t> </w:t>
      </w:r>
      <w:r>
        <w:rPr>
          <w:i/>
          <w:color w:val="1A4796"/>
          <w:spacing w:val="-2"/>
          <w:sz w:val="24"/>
        </w:rPr>
        <w:t>des </w:t>
      </w:r>
      <w:r>
        <w:rPr>
          <w:i/>
          <w:color w:val="1A4796"/>
          <w:spacing w:val="-4"/>
          <w:sz w:val="24"/>
        </w:rPr>
        <w:t>entreprises</w:t>
      </w:r>
      <w:r>
        <w:rPr>
          <w:i/>
          <w:color w:val="1A4796"/>
          <w:spacing w:val="-8"/>
          <w:sz w:val="24"/>
        </w:rPr>
        <w:t> </w:t>
      </w:r>
      <w:r>
        <w:rPr>
          <w:i/>
          <w:color w:val="1A4796"/>
          <w:spacing w:val="-4"/>
          <w:sz w:val="24"/>
        </w:rPr>
        <w:t>publiques</w:t>
      </w:r>
      <w:r>
        <w:rPr>
          <w:i/>
          <w:color w:val="1A4796"/>
          <w:spacing w:val="-8"/>
          <w:sz w:val="24"/>
        </w:rPr>
        <w:t> </w:t>
      </w:r>
      <w:r>
        <w:rPr>
          <w:i/>
          <w:color w:val="1A4796"/>
          <w:spacing w:val="-4"/>
          <w:sz w:val="24"/>
        </w:rPr>
        <w:t>(nickel,</w:t>
      </w:r>
      <w:r>
        <w:rPr>
          <w:i/>
          <w:color w:val="1A4796"/>
          <w:spacing w:val="-8"/>
          <w:sz w:val="24"/>
        </w:rPr>
        <w:t> </w:t>
      </w:r>
      <w:r>
        <w:rPr>
          <w:i/>
          <w:color w:val="1A4796"/>
          <w:spacing w:val="-4"/>
          <w:sz w:val="24"/>
        </w:rPr>
        <w:t>sucre,</w:t>
      </w:r>
      <w:r>
        <w:rPr>
          <w:i/>
          <w:color w:val="1A4796"/>
          <w:spacing w:val="-8"/>
          <w:sz w:val="24"/>
        </w:rPr>
        <w:t> </w:t>
      </w:r>
      <w:r>
        <w:rPr>
          <w:i/>
          <w:color w:val="1A4796"/>
          <w:spacing w:val="-4"/>
          <w:sz w:val="24"/>
        </w:rPr>
        <w:t>tabac, </w:t>
      </w:r>
      <w:r>
        <w:rPr>
          <w:i/>
          <w:color w:val="1A4796"/>
          <w:sz w:val="24"/>
        </w:rPr>
        <w:t>rhum et autres).</w:t>
      </w:r>
    </w:p>
    <w:p>
      <w:pPr>
        <w:spacing w:before="165"/>
        <w:ind w:left="1394" w:right="0" w:hanging="261"/>
        <w:jc w:val="both"/>
        <w:rPr>
          <w:i/>
          <w:sz w:val="24"/>
        </w:rPr>
      </w:pPr>
      <w:r>
        <w:rPr/>
        <w:drawing>
          <wp:inline distT="0" distB="0" distL="0" distR="0">
            <wp:extent cx="117165" cy="86804"/>
            <wp:effectExtent l="0" t="0" r="0" b="0"/>
            <wp:docPr id="430" name="Image 430"/>
            <wp:cNvGraphicFramePr>
              <a:graphicFrameLocks/>
            </wp:cNvGraphicFramePr>
            <a:graphic>
              <a:graphicData uri="http://schemas.openxmlformats.org/drawingml/2006/picture">
                <pic:pic>
                  <pic:nvPicPr>
                    <pic:cNvPr id="430" name="Image 430"/>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pacing w:val="-13"/>
          <w:sz w:val="20"/>
        </w:rPr>
        <w:t> </w:t>
      </w:r>
      <w:r>
        <w:rPr>
          <w:i/>
          <w:color w:val="1A4796"/>
          <w:sz w:val="24"/>
        </w:rPr>
        <w:t>Permettre</w:t>
      </w:r>
      <w:r>
        <w:rPr>
          <w:i/>
          <w:color w:val="1A4796"/>
          <w:spacing w:val="-16"/>
          <w:sz w:val="24"/>
        </w:rPr>
        <w:t> </w:t>
      </w:r>
      <w:r>
        <w:rPr>
          <w:i/>
          <w:color w:val="1A4796"/>
          <w:sz w:val="24"/>
        </w:rPr>
        <w:t>l’exportation</w:t>
      </w:r>
      <w:r>
        <w:rPr>
          <w:i/>
          <w:color w:val="1A4796"/>
          <w:spacing w:val="-17"/>
          <w:sz w:val="24"/>
        </w:rPr>
        <w:t> </w:t>
      </w:r>
      <w:r>
        <w:rPr>
          <w:i/>
          <w:color w:val="1A4796"/>
          <w:sz w:val="24"/>
        </w:rPr>
        <w:t>à</w:t>
      </w:r>
      <w:r>
        <w:rPr>
          <w:i/>
          <w:color w:val="1A4796"/>
          <w:spacing w:val="-16"/>
          <w:sz w:val="24"/>
        </w:rPr>
        <w:t> </w:t>
      </w:r>
      <w:r>
        <w:rPr>
          <w:i/>
          <w:color w:val="1A4796"/>
          <w:sz w:val="24"/>
        </w:rPr>
        <w:t>Cuba</w:t>
      </w:r>
      <w:r>
        <w:rPr>
          <w:i/>
          <w:color w:val="1A4796"/>
          <w:spacing w:val="-17"/>
          <w:sz w:val="24"/>
        </w:rPr>
        <w:t> </w:t>
      </w:r>
      <w:r>
        <w:rPr>
          <w:i/>
          <w:color w:val="1A4796"/>
          <w:sz w:val="24"/>
        </w:rPr>
        <w:t>d’intrants</w:t>
      </w:r>
      <w:r>
        <w:rPr>
          <w:i/>
          <w:color w:val="1A4796"/>
          <w:sz w:val="24"/>
        </w:rPr>
        <w:t> et d’équipements médicaux destinés à </w:t>
      </w:r>
      <w:r>
        <w:rPr>
          <w:i/>
          <w:color w:val="1A4796"/>
          <w:spacing w:val="-8"/>
          <w:sz w:val="24"/>
        </w:rPr>
        <w:t>l’élaboration</w:t>
      </w:r>
      <w:r>
        <w:rPr>
          <w:i/>
          <w:color w:val="1A4796"/>
          <w:spacing w:val="-21"/>
          <w:sz w:val="24"/>
        </w:rPr>
        <w:t> </w:t>
      </w:r>
      <w:r>
        <w:rPr>
          <w:i/>
          <w:color w:val="1A4796"/>
          <w:spacing w:val="-8"/>
          <w:sz w:val="24"/>
        </w:rPr>
        <w:t>de</w:t>
      </w:r>
      <w:r>
        <w:rPr>
          <w:i/>
          <w:color w:val="1A4796"/>
          <w:spacing w:val="-20"/>
          <w:sz w:val="24"/>
        </w:rPr>
        <w:t> </w:t>
      </w:r>
      <w:r>
        <w:rPr>
          <w:i/>
          <w:color w:val="1A4796"/>
          <w:spacing w:val="-8"/>
          <w:sz w:val="24"/>
        </w:rPr>
        <w:t>produits</w:t>
      </w:r>
      <w:r>
        <w:rPr>
          <w:i/>
          <w:color w:val="1A4796"/>
          <w:spacing w:val="-20"/>
          <w:sz w:val="24"/>
        </w:rPr>
        <w:t> </w:t>
      </w:r>
      <w:r>
        <w:rPr>
          <w:i/>
          <w:color w:val="1A4796"/>
          <w:spacing w:val="-8"/>
          <w:sz w:val="24"/>
        </w:rPr>
        <w:t>biotechnologiques.</w:t>
      </w:r>
    </w:p>
    <w:p>
      <w:pPr>
        <w:spacing w:before="162"/>
        <w:ind w:left="1394" w:right="1" w:hanging="261"/>
        <w:jc w:val="both"/>
        <w:rPr>
          <w:i/>
          <w:sz w:val="24"/>
        </w:rPr>
      </w:pPr>
      <w:r>
        <w:rPr/>
        <w:drawing>
          <wp:inline distT="0" distB="0" distL="0" distR="0">
            <wp:extent cx="117165" cy="86804"/>
            <wp:effectExtent l="0" t="0" r="0" b="0"/>
            <wp:docPr id="431" name="Image 431"/>
            <wp:cNvGraphicFramePr>
              <a:graphicFrameLocks/>
            </wp:cNvGraphicFramePr>
            <a:graphic>
              <a:graphicData uri="http://schemas.openxmlformats.org/drawingml/2006/picture">
                <pic:pic>
                  <pic:nvPicPr>
                    <pic:cNvPr id="431" name="Image 431"/>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z w:val="20"/>
        </w:rPr>
        <w:t> </w:t>
      </w:r>
      <w:r>
        <w:rPr>
          <w:i/>
          <w:color w:val="1A4796"/>
          <w:sz w:val="24"/>
        </w:rPr>
        <w:t>Assouplir la politique de délivrance de</w:t>
      </w:r>
      <w:r>
        <w:rPr>
          <w:i/>
          <w:color w:val="1A4796"/>
          <w:sz w:val="24"/>
        </w:rPr>
        <w:t> </w:t>
      </w:r>
      <w:r>
        <w:rPr>
          <w:i/>
          <w:color w:val="1A4796"/>
          <w:spacing w:val="-4"/>
          <w:sz w:val="24"/>
        </w:rPr>
        <w:t>permis</w:t>
      </w:r>
      <w:r>
        <w:rPr>
          <w:i/>
          <w:color w:val="1A4796"/>
          <w:spacing w:val="-9"/>
          <w:sz w:val="24"/>
        </w:rPr>
        <w:t> </w:t>
      </w:r>
      <w:r>
        <w:rPr>
          <w:i/>
          <w:color w:val="1A4796"/>
          <w:spacing w:val="-4"/>
          <w:sz w:val="24"/>
        </w:rPr>
        <w:t>concernant</w:t>
      </w:r>
      <w:r>
        <w:rPr>
          <w:i/>
          <w:color w:val="1A4796"/>
          <w:spacing w:val="-9"/>
          <w:sz w:val="24"/>
        </w:rPr>
        <w:t> </w:t>
      </w:r>
      <w:r>
        <w:rPr>
          <w:i/>
          <w:color w:val="1A4796"/>
          <w:spacing w:val="-4"/>
          <w:sz w:val="24"/>
        </w:rPr>
        <w:t>des</w:t>
      </w:r>
      <w:r>
        <w:rPr>
          <w:i/>
          <w:color w:val="1A4796"/>
          <w:spacing w:val="-9"/>
          <w:sz w:val="24"/>
        </w:rPr>
        <w:t> </w:t>
      </w:r>
      <w:r>
        <w:rPr>
          <w:i/>
          <w:color w:val="1A4796"/>
          <w:spacing w:val="-4"/>
          <w:sz w:val="24"/>
        </w:rPr>
        <w:t>investissements</w:t>
      </w:r>
      <w:r>
        <w:rPr>
          <w:i/>
          <w:color w:val="1A4796"/>
          <w:spacing w:val="-9"/>
          <w:sz w:val="24"/>
        </w:rPr>
        <w:t> </w:t>
      </w:r>
      <w:r>
        <w:rPr>
          <w:i/>
          <w:color w:val="1A4796"/>
          <w:spacing w:val="-4"/>
          <w:sz w:val="24"/>
        </w:rPr>
        <w:t>de </w:t>
      </w:r>
      <w:r>
        <w:rPr>
          <w:i/>
          <w:color w:val="1A4796"/>
          <w:sz w:val="24"/>
        </w:rPr>
        <w:t>compagnies étasuniennes à Cuba.</w:t>
      </w:r>
    </w:p>
    <w:p>
      <w:pPr>
        <w:spacing w:before="162"/>
        <w:ind w:left="1394" w:right="0" w:hanging="261"/>
        <w:jc w:val="both"/>
        <w:rPr>
          <w:i/>
          <w:sz w:val="24"/>
        </w:rPr>
      </w:pPr>
      <w:r>
        <w:rPr/>
        <w:drawing>
          <wp:inline distT="0" distB="0" distL="0" distR="0">
            <wp:extent cx="117165" cy="86804"/>
            <wp:effectExtent l="0" t="0" r="0" b="0"/>
            <wp:docPr id="432" name="Image 432"/>
            <wp:cNvGraphicFramePr>
              <a:graphicFrameLocks/>
            </wp:cNvGraphicFramePr>
            <a:graphic>
              <a:graphicData uri="http://schemas.openxmlformats.org/drawingml/2006/picture">
                <pic:pic>
                  <pic:nvPicPr>
                    <pic:cNvPr id="432" name="Image 432"/>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z w:val="20"/>
        </w:rPr>
        <w:t> </w:t>
      </w:r>
      <w:r>
        <w:rPr>
          <w:i/>
          <w:color w:val="1A4796"/>
          <w:sz w:val="24"/>
        </w:rPr>
        <w:t>Autoriser des citoyens étasuniens à</w:t>
      </w:r>
      <w:r>
        <w:rPr>
          <w:i/>
          <w:color w:val="1A4796"/>
          <w:sz w:val="24"/>
        </w:rPr>
        <w:t> recevoir des traitements médicaux à </w:t>
      </w:r>
      <w:r>
        <w:rPr>
          <w:i/>
          <w:color w:val="1A4796"/>
          <w:spacing w:val="-2"/>
          <w:sz w:val="24"/>
        </w:rPr>
        <w:t>Cuba.</w:t>
      </w:r>
    </w:p>
    <w:p>
      <w:pPr>
        <w:spacing w:before="163"/>
        <w:ind w:left="1394" w:right="1" w:hanging="261"/>
        <w:jc w:val="both"/>
        <w:rPr>
          <w:i/>
          <w:sz w:val="24"/>
        </w:rPr>
      </w:pPr>
      <w:r>
        <w:rPr/>
        <w:drawing>
          <wp:inline distT="0" distB="0" distL="0" distR="0">
            <wp:extent cx="117165" cy="86804"/>
            <wp:effectExtent l="0" t="0" r="0" b="0"/>
            <wp:docPr id="433" name="Image 433"/>
            <wp:cNvGraphicFramePr>
              <a:graphicFrameLocks/>
            </wp:cNvGraphicFramePr>
            <a:graphic>
              <a:graphicData uri="http://schemas.openxmlformats.org/drawingml/2006/picture">
                <pic:pic>
                  <pic:nvPicPr>
                    <pic:cNvPr id="433" name="Image 433"/>
                    <pic:cNvPicPr/>
                  </pic:nvPicPr>
                  <pic:blipFill>
                    <a:blip r:embed="rId8" cstate="print"/>
                    <a:stretch>
                      <a:fillRect/>
                    </a:stretch>
                  </pic:blipFill>
                  <pic:spPr>
                    <a:xfrm>
                      <a:off x="0" y="0"/>
                      <a:ext cx="117165" cy="86804"/>
                    </a:xfrm>
                    <a:prstGeom prst="rect">
                      <a:avLst/>
                    </a:prstGeom>
                  </pic:spPr>
                </pic:pic>
              </a:graphicData>
            </a:graphic>
          </wp:inline>
        </w:drawing>
      </w:r>
      <w:r>
        <w:rPr/>
      </w:r>
      <w:r>
        <w:rPr>
          <w:rFonts w:ascii="Times New Roman" w:hAnsi="Times New Roman"/>
          <w:sz w:val="20"/>
        </w:rPr>
        <w:t> </w:t>
      </w:r>
      <w:r>
        <w:rPr>
          <w:i/>
          <w:color w:val="1A4796"/>
          <w:sz w:val="24"/>
        </w:rPr>
        <w:t>Modifier la limite de 10 p. 100 de</w:t>
      </w:r>
      <w:r>
        <w:rPr>
          <w:i/>
          <w:color w:val="1A4796"/>
          <w:sz w:val="24"/>
        </w:rPr>
        <w:t> composants étasuniens au-delà de laquelle Cuba ne peut importer aucun bien d’aucun pays du monde.</w:t>
      </w:r>
    </w:p>
    <w:p>
      <w:pPr>
        <w:pStyle w:val="BodyText"/>
        <w:spacing w:before="77"/>
        <w:ind w:left="413" w:right="1474"/>
      </w:pPr>
      <w:r>
        <w:rPr/>
        <w:br w:type="column"/>
      </w:r>
      <w:r>
        <w:rPr>
          <w:color w:val="231F20"/>
        </w:rPr>
        <w:t>Sanction</w:t>
      </w:r>
      <w:r>
        <w:rPr>
          <w:color w:val="231F20"/>
          <w:spacing w:val="-17"/>
        </w:rPr>
        <w:t> </w:t>
      </w:r>
      <w:r>
        <w:rPr>
          <w:color w:val="231F20"/>
        </w:rPr>
        <w:t>Reform</w:t>
      </w:r>
      <w:r>
        <w:rPr>
          <w:color w:val="231F20"/>
          <w:spacing w:val="-16"/>
        </w:rPr>
        <w:t> </w:t>
      </w:r>
      <w:r>
        <w:rPr>
          <w:color w:val="231F20"/>
        </w:rPr>
        <w:t>and</w:t>
      </w:r>
      <w:r>
        <w:rPr>
          <w:color w:val="231F20"/>
          <w:spacing w:val="-17"/>
        </w:rPr>
        <w:t> </w:t>
      </w:r>
      <w:r>
        <w:rPr>
          <w:color w:val="231F20"/>
        </w:rPr>
        <w:t>Export</w:t>
      </w:r>
      <w:r>
        <w:rPr>
          <w:color w:val="231F20"/>
          <w:spacing w:val="-16"/>
        </w:rPr>
        <w:t> </w:t>
      </w:r>
      <w:r>
        <w:rPr>
          <w:color w:val="231F20"/>
        </w:rPr>
        <w:t>Enhancement Act, 2000, Loi relative à la réforme des </w:t>
      </w:r>
      <w:r>
        <w:rPr>
          <w:color w:val="231F20"/>
          <w:spacing w:val="-4"/>
        </w:rPr>
        <w:t>sanctions</w:t>
      </w:r>
      <w:r>
        <w:rPr>
          <w:color w:val="231F20"/>
          <w:spacing w:val="-13"/>
        </w:rPr>
        <w:t> </w:t>
      </w:r>
      <w:r>
        <w:rPr>
          <w:color w:val="231F20"/>
          <w:spacing w:val="-4"/>
        </w:rPr>
        <w:t>commerciales</w:t>
      </w:r>
      <w:r>
        <w:rPr>
          <w:color w:val="231F20"/>
          <w:spacing w:val="-12"/>
        </w:rPr>
        <w:t> </w:t>
      </w:r>
      <w:r>
        <w:rPr>
          <w:color w:val="231F20"/>
          <w:spacing w:val="-4"/>
        </w:rPr>
        <w:t>et</w:t>
      </w:r>
      <w:r>
        <w:rPr>
          <w:color w:val="231F20"/>
          <w:spacing w:val="-13"/>
        </w:rPr>
        <w:t> </w:t>
      </w:r>
      <w:r>
        <w:rPr>
          <w:color w:val="231F20"/>
          <w:spacing w:val="-4"/>
        </w:rPr>
        <w:t>à</w:t>
      </w:r>
      <w:r>
        <w:rPr>
          <w:color w:val="231F20"/>
          <w:spacing w:val="-12"/>
        </w:rPr>
        <w:t> </w:t>
      </w:r>
      <w:r>
        <w:rPr>
          <w:color w:val="231F20"/>
          <w:spacing w:val="-4"/>
        </w:rPr>
        <w:t>l’élargissement </w:t>
      </w:r>
      <w:r>
        <w:rPr>
          <w:color w:val="231F20"/>
        </w:rPr>
        <w:t>des exportations).</w:t>
      </w:r>
    </w:p>
    <w:p>
      <w:pPr>
        <w:pStyle w:val="ListParagraph"/>
        <w:numPr>
          <w:ilvl w:val="0"/>
          <w:numId w:val="9"/>
        </w:numPr>
        <w:tabs>
          <w:tab w:pos="667" w:val="left" w:leader="none"/>
        </w:tabs>
        <w:spacing w:line="240" w:lineRule="auto" w:before="163" w:after="0"/>
        <w:ind w:left="413" w:right="1474" w:firstLine="0"/>
        <w:jc w:val="both"/>
        <w:rPr>
          <w:sz w:val="24"/>
        </w:rPr>
      </w:pPr>
      <w:r>
        <w:rPr>
          <w:color w:val="231F20"/>
          <w:spacing w:val="-2"/>
          <w:sz w:val="24"/>
        </w:rPr>
        <w:t>Interdiction</w:t>
      </w:r>
      <w:r>
        <w:rPr>
          <w:color w:val="231F20"/>
          <w:spacing w:val="-15"/>
          <w:sz w:val="24"/>
        </w:rPr>
        <w:t> </w:t>
      </w:r>
      <w:r>
        <w:rPr>
          <w:color w:val="231F20"/>
          <w:spacing w:val="-2"/>
          <w:sz w:val="24"/>
        </w:rPr>
        <w:t>d’octroyer</w:t>
      </w:r>
      <w:r>
        <w:rPr>
          <w:color w:val="231F20"/>
          <w:spacing w:val="-14"/>
          <w:sz w:val="24"/>
        </w:rPr>
        <w:t> </w:t>
      </w:r>
      <w:r>
        <w:rPr>
          <w:color w:val="231F20"/>
          <w:spacing w:val="-2"/>
          <w:sz w:val="24"/>
        </w:rPr>
        <w:t>des</w:t>
      </w:r>
      <w:r>
        <w:rPr>
          <w:color w:val="231F20"/>
          <w:spacing w:val="-15"/>
          <w:sz w:val="24"/>
        </w:rPr>
        <w:t> </w:t>
      </w:r>
      <w:r>
        <w:rPr>
          <w:color w:val="231F20"/>
          <w:spacing w:val="-2"/>
          <w:sz w:val="24"/>
        </w:rPr>
        <w:t>financements </w:t>
      </w:r>
      <w:r>
        <w:rPr>
          <w:color w:val="231F20"/>
          <w:sz w:val="24"/>
        </w:rPr>
        <w:t>destinés à la vente de produits agricoles étasuniens à Cuba (The Trade Sanction Reform and Export Enhancement Act, </w:t>
      </w:r>
      <w:r>
        <w:rPr>
          <w:color w:val="231F20"/>
          <w:spacing w:val="-4"/>
          <w:sz w:val="24"/>
        </w:rPr>
        <w:t>2000,</w:t>
      </w:r>
      <w:r>
        <w:rPr>
          <w:color w:val="231F20"/>
          <w:spacing w:val="-11"/>
          <w:sz w:val="24"/>
        </w:rPr>
        <w:t> </w:t>
      </w:r>
      <w:r>
        <w:rPr>
          <w:color w:val="231F20"/>
          <w:spacing w:val="-4"/>
          <w:sz w:val="24"/>
        </w:rPr>
        <w:t>Loi</w:t>
      </w:r>
      <w:r>
        <w:rPr>
          <w:color w:val="231F20"/>
          <w:spacing w:val="-11"/>
          <w:sz w:val="24"/>
        </w:rPr>
        <w:t> </w:t>
      </w:r>
      <w:r>
        <w:rPr>
          <w:color w:val="231F20"/>
          <w:spacing w:val="-4"/>
          <w:sz w:val="24"/>
        </w:rPr>
        <w:t>relative</w:t>
      </w:r>
      <w:r>
        <w:rPr>
          <w:color w:val="231F20"/>
          <w:spacing w:val="-11"/>
          <w:sz w:val="24"/>
        </w:rPr>
        <w:t> </w:t>
      </w:r>
      <w:r>
        <w:rPr>
          <w:color w:val="231F20"/>
          <w:spacing w:val="-4"/>
          <w:sz w:val="24"/>
        </w:rPr>
        <w:t>à</w:t>
      </w:r>
      <w:r>
        <w:rPr>
          <w:color w:val="231F20"/>
          <w:spacing w:val="-11"/>
          <w:sz w:val="24"/>
        </w:rPr>
        <w:t> </w:t>
      </w:r>
      <w:r>
        <w:rPr>
          <w:color w:val="231F20"/>
          <w:spacing w:val="-4"/>
          <w:sz w:val="24"/>
        </w:rPr>
        <w:t>la</w:t>
      </w:r>
      <w:r>
        <w:rPr>
          <w:color w:val="231F20"/>
          <w:spacing w:val="-11"/>
          <w:sz w:val="24"/>
        </w:rPr>
        <w:t> </w:t>
      </w:r>
      <w:r>
        <w:rPr>
          <w:color w:val="231F20"/>
          <w:spacing w:val="-4"/>
          <w:sz w:val="24"/>
        </w:rPr>
        <w:t>réforme</w:t>
      </w:r>
      <w:r>
        <w:rPr>
          <w:color w:val="231F20"/>
          <w:spacing w:val="-11"/>
          <w:sz w:val="24"/>
        </w:rPr>
        <w:t> </w:t>
      </w:r>
      <w:r>
        <w:rPr>
          <w:color w:val="231F20"/>
          <w:spacing w:val="-4"/>
          <w:sz w:val="24"/>
        </w:rPr>
        <w:t>des</w:t>
      </w:r>
      <w:r>
        <w:rPr>
          <w:color w:val="231F20"/>
          <w:spacing w:val="-11"/>
          <w:sz w:val="24"/>
        </w:rPr>
        <w:t> </w:t>
      </w:r>
      <w:r>
        <w:rPr>
          <w:color w:val="231F20"/>
          <w:spacing w:val="-4"/>
          <w:sz w:val="24"/>
        </w:rPr>
        <w:t>sanctions </w:t>
      </w:r>
      <w:r>
        <w:rPr>
          <w:color w:val="231F20"/>
          <w:sz w:val="24"/>
        </w:rPr>
        <w:t>commerciales et à l’élargissement des </w:t>
      </w:r>
      <w:r>
        <w:rPr>
          <w:color w:val="231F20"/>
          <w:spacing w:val="-2"/>
          <w:sz w:val="24"/>
        </w:rPr>
        <w:t>exportations).</w:t>
      </w:r>
    </w:p>
    <w:p>
      <w:pPr>
        <w:pStyle w:val="BodyText"/>
        <w:spacing w:before="165"/>
        <w:ind w:left="413" w:right="1471"/>
      </w:pPr>
      <w:r>
        <w:rPr>
          <w:color w:val="231F20"/>
        </w:rPr>
        <w:t>Le président des États-Unis, qui se dit </w:t>
      </w:r>
      <w:r>
        <w:rPr>
          <w:color w:val="231F20"/>
          <w:spacing w:val="-2"/>
        </w:rPr>
        <w:t>inquiet</w:t>
      </w:r>
      <w:r>
        <w:rPr>
          <w:color w:val="231F20"/>
          <w:spacing w:val="-15"/>
        </w:rPr>
        <w:t> </w:t>
      </w:r>
      <w:r>
        <w:rPr>
          <w:color w:val="231F20"/>
          <w:spacing w:val="-2"/>
        </w:rPr>
        <w:t>pour</w:t>
      </w:r>
      <w:r>
        <w:rPr>
          <w:color w:val="231F20"/>
          <w:spacing w:val="-14"/>
        </w:rPr>
        <w:t> </w:t>
      </w:r>
      <w:r>
        <w:rPr>
          <w:color w:val="231F20"/>
          <w:spacing w:val="-2"/>
        </w:rPr>
        <w:t>le</w:t>
      </w:r>
      <w:r>
        <w:rPr>
          <w:color w:val="231F20"/>
          <w:spacing w:val="-14"/>
        </w:rPr>
        <w:t> </w:t>
      </w:r>
      <w:r>
        <w:rPr>
          <w:color w:val="231F20"/>
          <w:spacing w:val="-2"/>
        </w:rPr>
        <w:t>bien-être</w:t>
      </w:r>
      <w:r>
        <w:rPr>
          <w:color w:val="231F20"/>
          <w:spacing w:val="-15"/>
        </w:rPr>
        <w:t> </w:t>
      </w:r>
      <w:r>
        <w:rPr>
          <w:color w:val="231F20"/>
          <w:spacing w:val="-2"/>
        </w:rPr>
        <w:t>du</w:t>
      </w:r>
      <w:r>
        <w:rPr>
          <w:color w:val="231F20"/>
          <w:spacing w:val="-13"/>
        </w:rPr>
        <w:t> </w:t>
      </w:r>
      <w:r>
        <w:rPr>
          <w:color w:val="231F20"/>
          <w:spacing w:val="-2"/>
        </w:rPr>
        <w:t>peuple</w:t>
      </w:r>
      <w:r>
        <w:rPr>
          <w:color w:val="231F20"/>
          <w:spacing w:val="-14"/>
        </w:rPr>
        <w:t> </w:t>
      </w:r>
      <w:r>
        <w:rPr>
          <w:color w:val="231F20"/>
          <w:spacing w:val="-2"/>
        </w:rPr>
        <w:t>cubain, </w:t>
      </w:r>
      <w:r>
        <w:rPr>
          <w:color w:val="231F20"/>
        </w:rPr>
        <w:t>pourrait recourir à ses prérogatives s’il souhaitait réduire les préjudices que le blocus cause à celui-ci et surmonter le pire obstacle qui s’oppose aux relations économiques,</w:t>
      </w:r>
      <w:r>
        <w:rPr>
          <w:color w:val="231F20"/>
          <w:spacing w:val="-17"/>
        </w:rPr>
        <w:t> </w:t>
      </w:r>
      <w:r>
        <w:rPr>
          <w:color w:val="231F20"/>
        </w:rPr>
        <w:t>commerciales</w:t>
      </w:r>
      <w:r>
        <w:rPr>
          <w:color w:val="231F20"/>
          <w:spacing w:val="-16"/>
        </w:rPr>
        <w:t> </w:t>
      </w:r>
      <w:r>
        <w:rPr>
          <w:color w:val="231F20"/>
        </w:rPr>
        <w:t>et</w:t>
      </w:r>
      <w:r>
        <w:rPr>
          <w:color w:val="231F20"/>
          <w:spacing w:val="-17"/>
        </w:rPr>
        <w:t> </w:t>
      </w:r>
      <w:r>
        <w:rPr>
          <w:color w:val="231F20"/>
        </w:rPr>
        <w:t>financières de</w:t>
      </w:r>
      <w:r>
        <w:rPr>
          <w:color w:val="231F20"/>
          <w:spacing w:val="-1"/>
        </w:rPr>
        <w:t> </w:t>
      </w:r>
      <w:r>
        <w:rPr>
          <w:color w:val="231F20"/>
        </w:rPr>
        <w:t>Cuba</w:t>
      </w:r>
      <w:r>
        <w:rPr>
          <w:color w:val="231F20"/>
          <w:spacing w:val="-1"/>
        </w:rPr>
        <w:t> </w:t>
      </w:r>
      <w:r>
        <w:rPr>
          <w:color w:val="231F20"/>
        </w:rPr>
        <w:t>avec</w:t>
      </w:r>
      <w:r>
        <w:rPr>
          <w:color w:val="231F20"/>
          <w:spacing w:val="-1"/>
        </w:rPr>
        <w:t> </w:t>
      </w:r>
      <w:r>
        <w:rPr>
          <w:color w:val="231F20"/>
        </w:rPr>
        <w:t>son</w:t>
      </w:r>
      <w:r>
        <w:rPr>
          <w:color w:val="231F20"/>
          <w:spacing w:val="-1"/>
        </w:rPr>
        <w:t> </w:t>
      </w:r>
      <w:r>
        <w:rPr>
          <w:color w:val="231F20"/>
        </w:rPr>
        <w:t>pays</w:t>
      </w:r>
      <w:r>
        <w:rPr>
          <w:color w:val="231F20"/>
          <w:spacing w:val="-1"/>
        </w:rPr>
        <w:t> </w:t>
      </w:r>
      <w:r>
        <w:rPr>
          <w:color w:val="231F20"/>
        </w:rPr>
        <w:t>et</w:t>
      </w:r>
      <w:r>
        <w:rPr>
          <w:color w:val="231F20"/>
          <w:spacing w:val="-1"/>
        </w:rPr>
        <w:t> </w:t>
      </w:r>
      <w:r>
        <w:rPr>
          <w:color w:val="231F20"/>
        </w:rPr>
        <w:t>avec</w:t>
      </w:r>
      <w:r>
        <w:rPr>
          <w:color w:val="231F20"/>
          <w:spacing w:val="-1"/>
        </w:rPr>
        <w:t> </w:t>
      </w:r>
      <w:r>
        <w:rPr>
          <w:color w:val="231F20"/>
        </w:rPr>
        <w:t>le</w:t>
      </w:r>
      <w:r>
        <w:rPr>
          <w:color w:val="231F20"/>
          <w:spacing w:val="-1"/>
        </w:rPr>
        <w:t> </w:t>
      </w:r>
      <w:r>
        <w:rPr>
          <w:color w:val="231F20"/>
        </w:rPr>
        <w:t>reste</w:t>
      </w:r>
      <w:r>
        <w:rPr>
          <w:color w:val="231F20"/>
          <w:spacing w:val="-1"/>
        </w:rPr>
        <w:t> </w:t>
      </w:r>
      <w:r>
        <w:rPr>
          <w:color w:val="231F20"/>
        </w:rPr>
        <w:t>du </w:t>
      </w:r>
      <w:r>
        <w:rPr>
          <w:color w:val="231F20"/>
          <w:spacing w:val="-2"/>
        </w:rPr>
        <w:t>monde.</w:t>
      </w:r>
    </w:p>
    <w:p>
      <w:pPr>
        <w:pStyle w:val="BodyText"/>
        <w:spacing w:before="211"/>
        <w:jc w:val="left"/>
        <w:rPr>
          <w:sz w:val="20"/>
        </w:rPr>
      </w:pPr>
      <w:r>
        <w:rPr/>
        <mc:AlternateContent>
          <mc:Choice Requires="wps">
            <w:drawing>
              <wp:anchor distT="0" distB="0" distL="0" distR="0" allowOverlap="1" layoutInCell="1" locked="0" behindDoc="1" simplePos="0" relativeHeight="487691776">
                <wp:simplePos x="0" y="0"/>
                <wp:positionH relativeFrom="page">
                  <wp:posOffset>5715000</wp:posOffset>
                </wp:positionH>
                <wp:positionV relativeFrom="paragraph">
                  <wp:posOffset>318277</wp:posOffset>
                </wp:positionV>
                <wp:extent cx="909319" cy="26034"/>
                <wp:effectExtent l="0" t="0" r="0" b="0"/>
                <wp:wrapTopAndBottom/>
                <wp:docPr id="434" name="Graphic 434"/>
                <wp:cNvGraphicFramePr>
                  <a:graphicFrameLocks/>
                </wp:cNvGraphicFramePr>
                <a:graphic>
                  <a:graphicData uri="http://schemas.microsoft.com/office/word/2010/wordprocessingShape">
                    <wps:wsp>
                      <wps:cNvPr id="434" name="Graphic 434"/>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450pt;margin-top:25.061251pt;width:71.584pt;height:2.021pt;mso-position-horizontal-relative:page;mso-position-vertical-relative:paragraph;z-index:-15624704;mso-wrap-distance-left:0;mso-wrap-distance-right:0" id="docshape351"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cols w:num="2" w:equalWidth="0">
            <w:col w:w="5556" w:space="40"/>
            <w:col w:w="6314"/>
          </w:cols>
        </w:sectPr>
      </w:pPr>
    </w:p>
    <w:p>
      <w:pPr>
        <w:pStyle w:val="BodyText"/>
        <w:spacing w:before="3"/>
        <w:jc w:val="left"/>
      </w:pPr>
    </w:p>
    <w:p>
      <w:pPr>
        <w:pStyle w:val="BodyText"/>
        <w:spacing w:before="1"/>
        <w:ind w:left="1133" w:right="6349"/>
      </w:pPr>
      <w:r>
        <w:rPr>
          <w:color w:val="231F20"/>
        </w:rPr>
        <w:t>Les domaines strictement réservés au Congrès</w:t>
      </w:r>
      <w:r>
        <w:rPr>
          <w:color w:val="231F20"/>
          <w:spacing w:val="-2"/>
        </w:rPr>
        <w:t> </w:t>
      </w:r>
      <w:r>
        <w:rPr>
          <w:color w:val="231F20"/>
        </w:rPr>
        <w:t>et</w:t>
      </w:r>
      <w:r>
        <w:rPr>
          <w:color w:val="231F20"/>
          <w:spacing w:val="-1"/>
        </w:rPr>
        <w:t> </w:t>
      </w:r>
      <w:r>
        <w:rPr>
          <w:color w:val="231F20"/>
        </w:rPr>
        <w:t>que</w:t>
      </w:r>
      <w:r>
        <w:rPr>
          <w:color w:val="231F20"/>
          <w:spacing w:val="-2"/>
        </w:rPr>
        <w:t> </w:t>
      </w:r>
      <w:r>
        <w:rPr>
          <w:color w:val="231F20"/>
        </w:rPr>
        <w:t>le</w:t>
      </w:r>
      <w:r>
        <w:rPr>
          <w:color w:val="231F20"/>
          <w:spacing w:val="-2"/>
        </w:rPr>
        <w:t> </w:t>
      </w:r>
      <w:r>
        <w:rPr>
          <w:color w:val="231F20"/>
        </w:rPr>
        <w:t>président</w:t>
      </w:r>
      <w:r>
        <w:rPr>
          <w:color w:val="231F20"/>
          <w:spacing w:val="-1"/>
        </w:rPr>
        <w:t> </w:t>
      </w:r>
      <w:r>
        <w:rPr>
          <w:color w:val="231F20"/>
        </w:rPr>
        <w:t>ne</w:t>
      </w:r>
      <w:r>
        <w:rPr>
          <w:color w:val="231F20"/>
          <w:spacing w:val="-2"/>
        </w:rPr>
        <w:t> </w:t>
      </w:r>
      <w:r>
        <w:rPr>
          <w:color w:val="231F20"/>
        </w:rPr>
        <w:t>peut</w:t>
      </w:r>
      <w:r>
        <w:rPr>
          <w:color w:val="231F20"/>
          <w:spacing w:val="-1"/>
        </w:rPr>
        <w:t> </w:t>
      </w:r>
      <w:r>
        <w:rPr>
          <w:color w:val="231F20"/>
        </w:rPr>
        <w:t>donc modifier ou éliminer sont les suivants :</w:t>
      </w:r>
    </w:p>
    <w:p>
      <w:pPr>
        <w:pStyle w:val="ListParagraph"/>
        <w:numPr>
          <w:ilvl w:val="1"/>
          <w:numId w:val="9"/>
        </w:numPr>
        <w:tabs>
          <w:tab w:pos="1499" w:val="left" w:leader="none"/>
        </w:tabs>
        <w:spacing w:line="240" w:lineRule="auto" w:before="162" w:after="0"/>
        <w:ind w:left="1133" w:right="6351" w:firstLine="0"/>
        <w:jc w:val="both"/>
        <w:rPr>
          <w:sz w:val="24"/>
        </w:rPr>
      </w:pPr>
      <w:r>
        <w:rPr>
          <w:color w:val="231F20"/>
          <w:sz w:val="24"/>
        </w:rPr>
        <w:t>Interdiction aux filiales étasuniennes dans des pays tiers de faire du commerce avec Cuba (Loi Torricelli).</w:t>
      </w:r>
    </w:p>
    <w:p>
      <w:pPr>
        <w:pStyle w:val="ListParagraph"/>
        <w:numPr>
          <w:ilvl w:val="1"/>
          <w:numId w:val="9"/>
        </w:numPr>
        <w:tabs>
          <w:tab w:pos="1472" w:val="left" w:leader="none"/>
        </w:tabs>
        <w:spacing w:line="240" w:lineRule="auto" w:before="162" w:after="0"/>
        <w:ind w:left="1133" w:right="6349" w:firstLine="0"/>
        <w:jc w:val="both"/>
        <w:rPr>
          <w:sz w:val="24"/>
        </w:rPr>
      </w:pPr>
      <w:r>
        <w:rPr>
          <w:color w:val="231F20"/>
          <w:sz w:val="24"/>
        </w:rPr>
        <w:t>Interdiction de faire des transactions avec des biens étasuniens nationalisés à Cuba (Loi Helms-Burton).</w:t>
      </w:r>
    </w:p>
    <w:p>
      <w:pPr>
        <w:pStyle w:val="ListParagraph"/>
        <w:numPr>
          <w:ilvl w:val="1"/>
          <w:numId w:val="9"/>
        </w:numPr>
        <w:tabs>
          <w:tab w:pos="1510" w:val="left" w:leader="none"/>
        </w:tabs>
        <w:spacing w:line="240" w:lineRule="auto" w:before="163" w:after="0"/>
        <w:ind w:left="1133" w:right="6349" w:firstLine="0"/>
        <w:jc w:val="both"/>
        <w:rPr>
          <w:sz w:val="24"/>
        </w:rPr>
      </w:pPr>
      <w:r>
        <w:rPr>
          <w:color w:val="231F20"/>
          <w:sz w:val="24"/>
        </w:rPr>
        <w:t>Interdiction aux citoyens étasuniens de</w:t>
      </w:r>
      <w:r>
        <w:rPr>
          <w:color w:val="231F20"/>
          <w:spacing w:val="36"/>
          <w:sz w:val="24"/>
        </w:rPr>
        <w:t> </w:t>
      </w:r>
      <w:r>
        <w:rPr>
          <w:color w:val="231F20"/>
          <w:sz w:val="24"/>
        </w:rPr>
        <w:t>faire</w:t>
      </w:r>
      <w:r>
        <w:rPr>
          <w:color w:val="231F20"/>
          <w:spacing w:val="36"/>
          <w:sz w:val="24"/>
        </w:rPr>
        <w:t> </w:t>
      </w:r>
      <w:r>
        <w:rPr>
          <w:color w:val="231F20"/>
          <w:sz w:val="24"/>
        </w:rPr>
        <w:t>du</w:t>
      </w:r>
      <w:r>
        <w:rPr>
          <w:color w:val="231F20"/>
          <w:spacing w:val="36"/>
          <w:sz w:val="24"/>
        </w:rPr>
        <w:t> </w:t>
      </w:r>
      <w:r>
        <w:rPr>
          <w:color w:val="231F20"/>
          <w:sz w:val="24"/>
        </w:rPr>
        <w:t>tourisme</w:t>
      </w:r>
      <w:r>
        <w:rPr>
          <w:color w:val="231F20"/>
          <w:spacing w:val="36"/>
          <w:sz w:val="24"/>
        </w:rPr>
        <w:t> </w:t>
      </w:r>
      <w:r>
        <w:rPr>
          <w:color w:val="231F20"/>
          <w:sz w:val="24"/>
        </w:rPr>
        <w:t>à</w:t>
      </w:r>
      <w:r>
        <w:rPr>
          <w:color w:val="231F20"/>
          <w:spacing w:val="37"/>
          <w:sz w:val="24"/>
        </w:rPr>
        <w:t> </w:t>
      </w:r>
      <w:r>
        <w:rPr>
          <w:color w:val="231F20"/>
          <w:sz w:val="24"/>
        </w:rPr>
        <w:t>Cuba</w:t>
      </w:r>
      <w:r>
        <w:rPr>
          <w:color w:val="231F20"/>
          <w:spacing w:val="37"/>
          <w:sz w:val="24"/>
        </w:rPr>
        <w:t> </w:t>
      </w:r>
      <w:r>
        <w:rPr>
          <w:color w:val="231F20"/>
          <w:sz w:val="24"/>
        </w:rPr>
        <w:t>(The</w:t>
      </w:r>
      <w:r>
        <w:rPr>
          <w:color w:val="231F20"/>
          <w:spacing w:val="36"/>
          <w:sz w:val="24"/>
        </w:rPr>
        <w:t> </w:t>
      </w:r>
      <w:r>
        <w:rPr>
          <w:color w:val="231F20"/>
          <w:sz w:val="24"/>
        </w:rPr>
        <w:t>Trade</w:t>
      </w:r>
    </w:p>
    <w:p>
      <w:pPr>
        <w:spacing w:after="0" w:line="240" w:lineRule="auto"/>
        <w:jc w:val="both"/>
        <w:rPr>
          <w:sz w:val="24"/>
        </w:rPr>
        <w:sectPr>
          <w:type w:val="continuous"/>
          <w:pgSz w:w="11910" w:h="16840"/>
          <w:pgMar w:header="0" w:footer="695" w:top="1920" w:bottom="280" w:left="0" w:right="0"/>
        </w:sectPr>
      </w:pPr>
    </w:p>
    <w:p>
      <w:pPr>
        <w:pStyle w:val="BodyText"/>
        <w:spacing w:before="568"/>
        <w:jc w:val="left"/>
        <w:rPr>
          <w:sz w:val="56"/>
        </w:rPr>
      </w:pPr>
    </w:p>
    <w:p>
      <w:pPr>
        <w:pStyle w:val="Heading1"/>
        <w:spacing w:line="220" w:lineRule="auto"/>
        <w:ind w:left="1474" w:right="5894"/>
      </w:pPr>
      <w:r>
        <w:rPr/>
        <mc:AlternateContent>
          <mc:Choice Requires="wps">
            <w:drawing>
              <wp:anchor distT="0" distB="0" distL="0" distR="0" allowOverlap="1" layoutInCell="1" locked="0" behindDoc="1" simplePos="0" relativeHeight="485856768">
                <wp:simplePos x="0" y="0"/>
                <wp:positionH relativeFrom="page">
                  <wp:posOffset>840234</wp:posOffset>
                </wp:positionH>
                <wp:positionV relativeFrom="paragraph">
                  <wp:posOffset>-782549</wp:posOffset>
                </wp:positionV>
                <wp:extent cx="1205865" cy="1544955"/>
                <wp:effectExtent l="0" t="0" r="0" b="0"/>
                <wp:wrapNone/>
                <wp:docPr id="435" name="Textbox 435"/>
                <wp:cNvGraphicFramePr>
                  <a:graphicFrameLocks/>
                </wp:cNvGraphicFramePr>
                <a:graphic>
                  <a:graphicData uri="http://schemas.microsoft.com/office/word/2010/wordprocessingShape">
                    <wps:wsp>
                      <wps:cNvPr id="435" name="Textbox 435"/>
                      <wps:cNvSpPr txBox="1"/>
                      <wps:spPr>
                        <a:xfrm>
                          <a:off x="0" y="0"/>
                          <a:ext cx="1205865"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5"/>
                                <w:w w:val="125"/>
                                <w:sz w:val="243"/>
                              </w:rPr>
                              <w:t>0</w:t>
                            </w:r>
                            <w:r>
                              <w:rPr>
                                <w:rFonts w:ascii="Arial"/>
                                <w:color w:val="B3B4CF"/>
                                <w:spacing w:val="-1303"/>
                                <w:w w:val="104"/>
                                <w:sz w:val="243"/>
                              </w:rPr>
                              <w:t>2</w:t>
                            </w:r>
                          </w:p>
                        </w:txbxContent>
                      </wps:txbx>
                      <wps:bodyPr wrap="square" lIns="0" tIns="0" rIns="0" bIns="0" rtlCol="0">
                        <a:noAutofit/>
                      </wps:bodyPr>
                    </wps:wsp>
                  </a:graphicData>
                </a:graphic>
              </wp:anchor>
            </w:drawing>
          </mc:Choice>
          <mc:Fallback>
            <w:pict>
              <v:shape style="position:absolute;margin-left:66.160202pt;margin-top:-61.61808pt;width:94.95pt;height:121.65pt;mso-position-horizontal-relative:page;mso-position-vertical-relative:paragraph;z-index:-17459712" type="#_x0000_t202" id="docshape352" filled="false" stroked="false">
                <v:textbox inset="0,0,0,0">
                  <w:txbxContent>
                    <w:p>
                      <w:pPr>
                        <w:spacing w:line="2432" w:lineRule="exact" w:before="0"/>
                        <w:ind w:left="0" w:right="0" w:firstLine="0"/>
                        <w:jc w:val="left"/>
                        <w:rPr>
                          <w:rFonts w:ascii="Arial"/>
                          <w:sz w:val="243"/>
                        </w:rPr>
                      </w:pPr>
                      <w:r>
                        <w:rPr>
                          <w:rFonts w:ascii="Arial"/>
                          <w:color w:val="B3B4CF"/>
                          <w:spacing w:val="-5"/>
                          <w:w w:val="125"/>
                          <w:sz w:val="243"/>
                        </w:rPr>
                        <w:t>0</w:t>
                      </w:r>
                      <w:r>
                        <w:rPr>
                          <w:rFonts w:ascii="Arial"/>
                          <w:color w:val="B3B4CF"/>
                          <w:spacing w:val="-1303"/>
                          <w:w w:val="104"/>
                          <w:sz w:val="243"/>
                        </w:rPr>
                        <w:t>2</w:t>
                      </w:r>
                    </w:p>
                  </w:txbxContent>
                </v:textbox>
                <w10:wrap type="none"/>
              </v:shape>
            </w:pict>
          </mc:Fallback>
        </mc:AlternateContent>
      </w:r>
      <w:r>
        <w:rPr>
          <w:color w:val="B52628"/>
          <w:w w:val="115"/>
        </w:rPr>
        <w:t>Le</w:t>
      </w:r>
      <w:r>
        <w:rPr>
          <w:color w:val="B52628"/>
          <w:spacing w:val="-28"/>
          <w:w w:val="115"/>
        </w:rPr>
        <w:t> </w:t>
      </w:r>
      <w:r>
        <w:rPr>
          <w:color w:val="B52628"/>
          <w:w w:val="115"/>
        </w:rPr>
        <w:t>blocus</w:t>
      </w:r>
      <w:r>
        <w:rPr>
          <w:color w:val="B52628"/>
          <w:spacing w:val="-28"/>
          <w:w w:val="115"/>
        </w:rPr>
        <w:t> </w:t>
      </w:r>
      <w:r>
        <w:rPr>
          <w:color w:val="B52628"/>
          <w:w w:val="115"/>
        </w:rPr>
        <w:t>viole les droits du peuple cubain</w:t>
      </w:r>
    </w:p>
    <w:p>
      <w:pPr>
        <w:pStyle w:val="BodyText"/>
        <w:spacing w:before="151"/>
        <w:jc w:val="left"/>
        <w:rPr>
          <w:rFonts w:ascii="Trebuchet MS"/>
          <w:sz w:val="20"/>
        </w:rPr>
      </w:pPr>
      <w:r>
        <w:rPr/>
        <mc:AlternateContent>
          <mc:Choice Requires="wps">
            <w:drawing>
              <wp:anchor distT="0" distB="0" distL="0" distR="0" allowOverlap="1" layoutInCell="1" locked="0" behindDoc="1" simplePos="0" relativeHeight="487692288">
                <wp:simplePos x="0" y="0"/>
                <wp:positionH relativeFrom="page">
                  <wp:posOffset>936002</wp:posOffset>
                </wp:positionH>
                <wp:positionV relativeFrom="paragraph">
                  <wp:posOffset>258806</wp:posOffset>
                </wp:positionV>
                <wp:extent cx="909319" cy="26034"/>
                <wp:effectExtent l="0" t="0" r="0" b="0"/>
                <wp:wrapTopAndBottom/>
                <wp:docPr id="436" name="Graphic 436"/>
                <wp:cNvGraphicFramePr>
                  <a:graphicFrameLocks/>
                </wp:cNvGraphicFramePr>
                <a:graphic>
                  <a:graphicData uri="http://schemas.microsoft.com/office/word/2010/wordprocessingShape">
                    <wps:wsp>
                      <wps:cNvPr id="436" name="Graphic 436"/>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73.700996pt;margin-top:20.378469pt;width:71.584pt;height:2.021pt;mso-position-horizontal-relative:page;mso-position-vertical-relative:paragraph;z-index:-15624192;mso-wrap-distance-left:0;mso-wrap-distance-right:0" id="docshape353" filled="true" fillcolor="#1f4282" stroked="false">
                <v:fill type="solid"/>
                <w10:wrap type="topAndBottom"/>
              </v:rect>
            </w:pict>
          </mc:Fallback>
        </mc:AlternateContent>
      </w:r>
    </w:p>
    <w:p>
      <w:pPr>
        <w:pStyle w:val="BodyText"/>
        <w:spacing w:before="6"/>
        <w:jc w:val="left"/>
        <w:rPr>
          <w:rFonts w:ascii="Trebuchet MS"/>
          <w:sz w:val="20"/>
        </w:rPr>
      </w:pPr>
    </w:p>
    <w:p>
      <w:pPr>
        <w:spacing w:after="0"/>
        <w:jc w:val="left"/>
        <w:rPr>
          <w:rFonts w:ascii="Trebuchet MS"/>
          <w:sz w:val="20"/>
        </w:rPr>
        <w:sectPr>
          <w:pgSz w:w="11910" w:h="16840"/>
          <w:pgMar w:header="0" w:footer="695" w:top="800" w:bottom="880" w:left="0" w:right="0"/>
        </w:sectPr>
      </w:pPr>
    </w:p>
    <w:p>
      <w:pPr>
        <w:pStyle w:val="Heading2"/>
        <w:spacing w:line="196" w:lineRule="auto" w:before="146"/>
        <w:ind w:left="1474" w:right="86"/>
        <w:jc w:val="both"/>
      </w:pPr>
      <w:r>
        <w:rPr>
          <w:color w:val="1F4282"/>
          <w:w w:val="110"/>
        </w:rPr>
        <w:t>Préjudices</w:t>
      </w:r>
      <w:r>
        <w:rPr>
          <w:color w:val="1F4282"/>
          <w:spacing w:val="-9"/>
          <w:w w:val="110"/>
        </w:rPr>
        <w:t> </w:t>
      </w:r>
      <w:r>
        <w:rPr>
          <w:color w:val="1F4282"/>
          <w:w w:val="110"/>
        </w:rPr>
        <w:t>causés</w:t>
      </w:r>
      <w:r>
        <w:rPr>
          <w:color w:val="1F4282"/>
          <w:spacing w:val="-9"/>
          <w:w w:val="110"/>
        </w:rPr>
        <w:t> </w:t>
      </w:r>
      <w:r>
        <w:rPr>
          <w:color w:val="1F4282"/>
          <w:w w:val="110"/>
        </w:rPr>
        <w:t>aux</w:t>
      </w:r>
      <w:r>
        <w:rPr>
          <w:color w:val="1F4282"/>
          <w:spacing w:val="-9"/>
          <w:w w:val="110"/>
        </w:rPr>
        <w:t> </w:t>
      </w:r>
      <w:r>
        <w:rPr>
          <w:color w:val="1F4282"/>
          <w:w w:val="110"/>
        </w:rPr>
        <w:t>secteurs à plus forte incidence sociale</w:t>
      </w:r>
    </w:p>
    <w:p>
      <w:pPr>
        <w:pStyle w:val="BodyText"/>
        <w:spacing w:before="236"/>
        <w:ind w:left="1474"/>
      </w:pPr>
      <w:r>
        <w:rPr>
          <w:color w:val="231F20"/>
        </w:rPr>
        <w:t>Le</w:t>
      </w:r>
      <w:r>
        <w:rPr>
          <w:color w:val="231F20"/>
          <w:spacing w:val="-2"/>
        </w:rPr>
        <w:t> </w:t>
      </w:r>
      <w:r>
        <w:rPr>
          <w:color w:val="231F20"/>
        </w:rPr>
        <w:t>gouvernement</w:t>
      </w:r>
      <w:r>
        <w:rPr>
          <w:color w:val="231F20"/>
          <w:spacing w:val="-2"/>
        </w:rPr>
        <w:t> </w:t>
      </w:r>
      <w:r>
        <w:rPr>
          <w:color w:val="231F20"/>
        </w:rPr>
        <w:t>cubain</w:t>
      </w:r>
      <w:r>
        <w:rPr>
          <w:color w:val="231F20"/>
          <w:spacing w:val="-2"/>
        </w:rPr>
        <w:t> </w:t>
      </w:r>
      <w:r>
        <w:rPr>
          <w:color w:val="231F20"/>
        </w:rPr>
        <w:t>a</w:t>
      </w:r>
      <w:r>
        <w:rPr>
          <w:color w:val="231F20"/>
          <w:spacing w:val="-2"/>
        </w:rPr>
        <w:t> </w:t>
      </w:r>
      <w:r>
        <w:rPr>
          <w:color w:val="231F20"/>
        </w:rPr>
        <w:t>consacré</w:t>
      </w:r>
      <w:r>
        <w:rPr>
          <w:color w:val="231F20"/>
          <w:spacing w:val="-2"/>
        </w:rPr>
        <w:t> </w:t>
      </w:r>
      <w:r>
        <w:rPr>
          <w:color w:val="231F20"/>
        </w:rPr>
        <w:t>73</w:t>
      </w:r>
      <w:r>
        <w:rPr>
          <w:color w:val="231F20"/>
          <w:spacing w:val="-2"/>
        </w:rPr>
        <w:t> </w:t>
      </w:r>
      <w:r>
        <w:rPr>
          <w:color w:val="231F20"/>
        </w:rPr>
        <w:t>p. 100</w:t>
      </w:r>
      <w:r>
        <w:rPr>
          <w:color w:val="231F20"/>
          <w:spacing w:val="-11"/>
        </w:rPr>
        <w:t> </w:t>
      </w:r>
      <w:r>
        <w:rPr>
          <w:color w:val="231F20"/>
        </w:rPr>
        <w:t>de</w:t>
      </w:r>
      <w:r>
        <w:rPr>
          <w:color w:val="231F20"/>
          <w:spacing w:val="-11"/>
        </w:rPr>
        <w:t> </w:t>
      </w:r>
      <w:r>
        <w:rPr>
          <w:color w:val="231F20"/>
        </w:rPr>
        <w:t>son</w:t>
      </w:r>
      <w:r>
        <w:rPr>
          <w:color w:val="231F20"/>
          <w:spacing w:val="-11"/>
        </w:rPr>
        <w:t> </w:t>
      </w:r>
      <w:r>
        <w:rPr>
          <w:color w:val="231F20"/>
        </w:rPr>
        <w:t>budget</w:t>
      </w:r>
      <w:r>
        <w:rPr>
          <w:color w:val="231F20"/>
          <w:spacing w:val="-11"/>
        </w:rPr>
        <w:t> </w:t>
      </w:r>
      <w:r>
        <w:rPr>
          <w:color w:val="231F20"/>
        </w:rPr>
        <w:t>de</w:t>
      </w:r>
      <w:r>
        <w:rPr>
          <w:color w:val="231F20"/>
          <w:spacing w:val="-11"/>
        </w:rPr>
        <w:t> </w:t>
      </w:r>
      <w:r>
        <w:rPr>
          <w:color w:val="231F20"/>
        </w:rPr>
        <w:t>2022</w:t>
      </w:r>
      <w:r>
        <w:rPr>
          <w:color w:val="231F20"/>
          <w:spacing w:val="-11"/>
        </w:rPr>
        <w:t> </w:t>
      </w:r>
      <w:r>
        <w:rPr>
          <w:color w:val="231F20"/>
        </w:rPr>
        <w:t>aux</w:t>
      </w:r>
      <w:r>
        <w:rPr>
          <w:color w:val="231F20"/>
          <w:spacing w:val="-11"/>
        </w:rPr>
        <w:t> </w:t>
      </w:r>
      <w:r>
        <w:rPr>
          <w:color w:val="231F20"/>
        </w:rPr>
        <w:t>secteurs</w:t>
      </w:r>
      <w:r>
        <w:rPr>
          <w:color w:val="231F20"/>
          <w:spacing w:val="-11"/>
        </w:rPr>
        <w:t> </w:t>
      </w:r>
      <w:r>
        <w:rPr>
          <w:color w:val="231F20"/>
        </w:rPr>
        <w:t>à </w:t>
      </w:r>
      <w:r>
        <w:rPr>
          <w:color w:val="231F20"/>
          <w:spacing w:val="-2"/>
        </w:rPr>
        <w:t>plus</w:t>
      </w:r>
      <w:r>
        <w:rPr>
          <w:color w:val="231F20"/>
          <w:spacing w:val="-15"/>
        </w:rPr>
        <w:t> </w:t>
      </w:r>
      <w:r>
        <w:rPr>
          <w:color w:val="231F20"/>
          <w:spacing w:val="-2"/>
        </w:rPr>
        <w:t>forte</w:t>
      </w:r>
      <w:r>
        <w:rPr>
          <w:color w:val="231F20"/>
          <w:spacing w:val="-14"/>
        </w:rPr>
        <w:t> </w:t>
      </w:r>
      <w:r>
        <w:rPr>
          <w:color w:val="231F20"/>
          <w:spacing w:val="-2"/>
        </w:rPr>
        <w:t>incidence</w:t>
      </w:r>
      <w:r>
        <w:rPr>
          <w:color w:val="231F20"/>
          <w:spacing w:val="-15"/>
        </w:rPr>
        <w:t> </w:t>
      </w:r>
      <w:r>
        <w:rPr>
          <w:color w:val="231F20"/>
          <w:spacing w:val="-2"/>
        </w:rPr>
        <w:t>sur</w:t>
      </w:r>
      <w:r>
        <w:rPr>
          <w:color w:val="231F20"/>
          <w:spacing w:val="-14"/>
        </w:rPr>
        <w:t> </w:t>
      </w:r>
      <w:r>
        <w:rPr>
          <w:color w:val="231F20"/>
          <w:spacing w:val="-2"/>
        </w:rPr>
        <w:t>la</w:t>
      </w:r>
      <w:r>
        <w:rPr>
          <w:color w:val="231F20"/>
          <w:spacing w:val="-15"/>
        </w:rPr>
        <w:t> </w:t>
      </w:r>
      <w:r>
        <w:rPr>
          <w:color w:val="231F20"/>
          <w:spacing w:val="-2"/>
        </w:rPr>
        <w:t>population,</w:t>
      </w:r>
      <w:r>
        <w:rPr>
          <w:color w:val="231F20"/>
          <w:spacing w:val="-14"/>
        </w:rPr>
        <w:t> </w:t>
      </w:r>
      <w:r>
        <w:rPr>
          <w:color w:val="231F20"/>
          <w:spacing w:val="-2"/>
        </w:rPr>
        <w:t>dont </w:t>
      </w:r>
      <w:r>
        <w:rPr>
          <w:color w:val="231F20"/>
        </w:rPr>
        <w:t>la santé, l’éducation et la sécurité sociale, </w:t>
      </w:r>
      <w:r>
        <w:rPr>
          <w:color w:val="231F20"/>
          <w:spacing w:val="-2"/>
        </w:rPr>
        <w:t>dans</w:t>
      </w:r>
      <w:r>
        <w:rPr>
          <w:color w:val="231F20"/>
          <w:spacing w:val="-12"/>
        </w:rPr>
        <w:t> </w:t>
      </w:r>
      <w:r>
        <w:rPr>
          <w:color w:val="231F20"/>
          <w:spacing w:val="-2"/>
        </w:rPr>
        <w:t>le</w:t>
      </w:r>
      <w:r>
        <w:rPr>
          <w:color w:val="231F20"/>
          <w:spacing w:val="-12"/>
        </w:rPr>
        <w:t> </w:t>
      </w:r>
      <w:r>
        <w:rPr>
          <w:color w:val="231F20"/>
          <w:spacing w:val="-2"/>
        </w:rPr>
        <w:t>cadre</w:t>
      </w:r>
      <w:r>
        <w:rPr>
          <w:color w:val="231F20"/>
          <w:spacing w:val="-12"/>
        </w:rPr>
        <w:t> </w:t>
      </w:r>
      <w:r>
        <w:rPr>
          <w:color w:val="231F20"/>
          <w:spacing w:val="-2"/>
        </w:rPr>
        <w:t>d’une</w:t>
      </w:r>
      <w:r>
        <w:rPr>
          <w:color w:val="231F20"/>
          <w:spacing w:val="-12"/>
        </w:rPr>
        <w:t> </w:t>
      </w:r>
      <w:r>
        <w:rPr>
          <w:color w:val="231F20"/>
          <w:spacing w:val="-2"/>
        </w:rPr>
        <w:t>stratégie</w:t>
      </w:r>
      <w:r>
        <w:rPr>
          <w:color w:val="231F20"/>
          <w:spacing w:val="-12"/>
        </w:rPr>
        <w:t> </w:t>
      </w:r>
      <w:r>
        <w:rPr>
          <w:color w:val="231F20"/>
          <w:spacing w:val="-2"/>
        </w:rPr>
        <w:t>foncièrement </w:t>
      </w:r>
      <w:r>
        <w:rPr>
          <w:color w:val="231F20"/>
          <w:spacing w:val="-4"/>
        </w:rPr>
        <w:t>humaniste,</w:t>
      </w:r>
      <w:r>
        <w:rPr>
          <w:color w:val="231F20"/>
          <w:spacing w:val="-13"/>
        </w:rPr>
        <w:t> </w:t>
      </w:r>
      <w:r>
        <w:rPr>
          <w:color w:val="231F20"/>
          <w:spacing w:val="-4"/>
        </w:rPr>
        <w:t>mais</w:t>
      </w:r>
      <w:r>
        <w:rPr>
          <w:color w:val="231F20"/>
          <w:spacing w:val="-12"/>
        </w:rPr>
        <w:t> </w:t>
      </w:r>
      <w:r>
        <w:rPr>
          <w:color w:val="231F20"/>
          <w:spacing w:val="-4"/>
        </w:rPr>
        <w:t>durement</w:t>
      </w:r>
      <w:r>
        <w:rPr>
          <w:color w:val="231F20"/>
          <w:spacing w:val="-13"/>
        </w:rPr>
        <w:t> </w:t>
      </w:r>
      <w:r>
        <w:rPr>
          <w:color w:val="231F20"/>
          <w:spacing w:val="-4"/>
        </w:rPr>
        <w:t>et</w:t>
      </w:r>
      <w:r>
        <w:rPr>
          <w:color w:val="231F20"/>
          <w:spacing w:val="-12"/>
        </w:rPr>
        <w:t> </w:t>
      </w:r>
      <w:r>
        <w:rPr>
          <w:color w:val="231F20"/>
          <w:spacing w:val="-4"/>
        </w:rPr>
        <w:t>constamment </w:t>
      </w:r>
      <w:r>
        <w:rPr>
          <w:color w:val="231F20"/>
        </w:rPr>
        <w:t>touchée</w:t>
      </w:r>
      <w:r>
        <w:rPr>
          <w:color w:val="231F20"/>
          <w:spacing w:val="-9"/>
        </w:rPr>
        <w:t> </w:t>
      </w:r>
      <w:r>
        <w:rPr>
          <w:color w:val="231F20"/>
        </w:rPr>
        <w:t>par</w:t>
      </w:r>
      <w:r>
        <w:rPr>
          <w:color w:val="231F20"/>
          <w:spacing w:val="-9"/>
        </w:rPr>
        <w:t> </w:t>
      </w:r>
      <w:r>
        <w:rPr>
          <w:color w:val="231F20"/>
        </w:rPr>
        <w:t>le</w:t>
      </w:r>
      <w:r>
        <w:rPr>
          <w:color w:val="231F20"/>
          <w:spacing w:val="-9"/>
        </w:rPr>
        <w:t> </w:t>
      </w:r>
      <w:r>
        <w:rPr>
          <w:color w:val="231F20"/>
        </w:rPr>
        <w:t>blocus</w:t>
      </w:r>
      <w:r>
        <w:rPr>
          <w:color w:val="231F20"/>
          <w:spacing w:val="-9"/>
        </w:rPr>
        <w:t> </w:t>
      </w:r>
      <w:r>
        <w:rPr>
          <w:color w:val="231F20"/>
        </w:rPr>
        <w:t>qui</w:t>
      </w:r>
      <w:r>
        <w:rPr>
          <w:color w:val="231F20"/>
          <w:spacing w:val="-9"/>
        </w:rPr>
        <w:t> </w:t>
      </w:r>
      <w:r>
        <w:rPr>
          <w:color w:val="231F20"/>
        </w:rPr>
        <w:t>vise</w:t>
      </w:r>
      <w:r>
        <w:rPr>
          <w:color w:val="231F20"/>
          <w:spacing w:val="-9"/>
        </w:rPr>
        <w:t> </w:t>
      </w:r>
      <w:r>
        <w:rPr>
          <w:color w:val="231F20"/>
        </w:rPr>
        <w:t>justement</w:t>
      </w:r>
      <w:r>
        <w:rPr>
          <w:color w:val="231F20"/>
          <w:spacing w:val="-9"/>
        </w:rPr>
        <w:t> </w:t>
      </w:r>
      <w:r>
        <w:rPr>
          <w:color w:val="231F20"/>
        </w:rPr>
        <w:t>à </w:t>
      </w:r>
      <w:r>
        <w:rPr>
          <w:color w:val="231F20"/>
          <w:spacing w:val="-2"/>
        </w:rPr>
        <w:t>éliminer</w:t>
      </w:r>
      <w:r>
        <w:rPr>
          <w:color w:val="231F20"/>
          <w:spacing w:val="-15"/>
        </w:rPr>
        <w:t> </w:t>
      </w:r>
      <w:r>
        <w:rPr>
          <w:color w:val="231F20"/>
          <w:spacing w:val="-2"/>
        </w:rPr>
        <w:t>ces</w:t>
      </w:r>
      <w:r>
        <w:rPr>
          <w:color w:val="231F20"/>
          <w:spacing w:val="-14"/>
        </w:rPr>
        <w:t> </w:t>
      </w:r>
      <w:r>
        <w:rPr>
          <w:color w:val="231F20"/>
          <w:spacing w:val="-2"/>
        </w:rPr>
        <w:t>conquêtes</w:t>
      </w:r>
      <w:r>
        <w:rPr>
          <w:color w:val="231F20"/>
          <w:spacing w:val="-15"/>
        </w:rPr>
        <w:t> </w:t>
      </w:r>
      <w:r>
        <w:rPr>
          <w:color w:val="231F20"/>
          <w:spacing w:val="-2"/>
        </w:rPr>
        <w:t>dont</w:t>
      </w:r>
      <w:r>
        <w:rPr>
          <w:color w:val="231F20"/>
          <w:spacing w:val="-14"/>
        </w:rPr>
        <w:t> </w:t>
      </w:r>
      <w:r>
        <w:rPr>
          <w:color w:val="231F20"/>
          <w:spacing w:val="-2"/>
        </w:rPr>
        <w:t>peut</w:t>
      </w:r>
      <w:r>
        <w:rPr>
          <w:color w:val="231F20"/>
          <w:spacing w:val="-15"/>
        </w:rPr>
        <w:t> </w:t>
      </w:r>
      <w:r>
        <w:rPr>
          <w:color w:val="231F20"/>
          <w:spacing w:val="-2"/>
        </w:rPr>
        <w:t>se</w:t>
      </w:r>
      <w:r>
        <w:rPr>
          <w:color w:val="231F20"/>
          <w:spacing w:val="-14"/>
        </w:rPr>
        <w:t> </w:t>
      </w:r>
      <w:r>
        <w:rPr>
          <w:color w:val="231F20"/>
          <w:spacing w:val="-2"/>
        </w:rPr>
        <w:t>vanter </w:t>
      </w:r>
      <w:r>
        <w:rPr>
          <w:color w:val="231F20"/>
        </w:rPr>
        <w:t>la Révolution durant plus de soixante ans en matière de développement humain.</w:t>
      </w:r>
    </w:p>
    <w:p>
      <w:pPr>
        <w:spacing w:before="167"/>
        <w:ind w:left="1474" w:right="0" w:firstLine="0"/>
        <w:jc w:val="both"/>
        <w:rPr>
          <w:sz w:val="24"/>
        </w:rPr>
      </w:pPr>
      <w:r>
        <w:rPr>
          <w:rFonts w:ascii="Segoe UI Semibold" w:hAnsi="Segoe UI Semibold"/>
          <w:b/>
          <w:i/>
          <w:color w:val="231F20"/>
          <w:sz w:val="24"/>
        </w:rPr>
        <w:t>Durant</w:t>
      </w:r>
      <w:r>
        <w:rPr>
          <w:rFonts w:ascii="Segoe UI Semibold" w:hAnsi="Segoe UI Semibold"/>
          <w:b/>
          <w:i/>
          <w:color w:val="231F20"/>
          <w:spacing w:val="-8"/>
          <w:sz w:val="24"/>
        </w:rPr>
        <w:t> </w:t>
      </w:r>
      <w:r>
        <w:rPr>
          <w:rFonts w:ascii="Segoe UI Semibold" w:hAnsi="Segoe UI Semibold"/>
          <w:b/>
          <w:i/>
          <w:color w:val="231F20"/>
          <w:sz w:val="24"/>
        </w:rPr>
        <w:t>la</w:t>
      </w:r>
      <w:r>
        <w:rPr>
          <w:rFonts w:ascii="Segoe UI Semibold" w:hAnsi="Segoe UI Semibold"/>
          <w:b/>
          <w:i/>
          <w:color w:val="231F20"/>
          <w:spacing w:val="-8"/>
          <w:sz w:val="24"/>
        </w:rPr>
        <w:t> </w:t>
      </w:r>
      <w:r>
        <w:rPr>
          <w:rFonts w:ascii="Segoe UI Semibold" w:hAnsi="Segoe UI Semibold"/>
          <w:b/>
          <w:i/>
          <w:color w:val="231F20"/>
          <w:sz w:val="24"/>
        </w:rPr>
        <w:t>période</w:t>
      </w:r>
      <w:r>
        <w:rPr>
          <w:rFonts w:ascii="Segoe UI Semibold" w:hAnsi="Segoe UI Semibold"/>
          <w:b/>
          <w:i/>
          <w:color w:val="231F20"/>
          <w:spacing w:val="-8"/>
          <w:sz w:val="24"/>
        </w:rPr>
        <w:t> </w:t>
      </w:r>
      <w:r>
        <w:rPr>
          <w:rFonts w:ascii="Segoe UI Semibold" w:hAnsi="Segoe UI Semibold"/>
          <w:b/>
          <w:i/>
          <w:color w:val="231F20"/>
          <w:sz w:val="24"/>
        </w:rPr>
        <w:t>que</w:t>
      </w:r>
      <w:r>
        <w:rPr>
          <w:rFonts w:ascii="Segoe UI Semibold" w:hAnsi="Segoe UI Semibold"/>
          <w:b/>
          <w:i/>
          <w:color w:val="231F20"/>
          <w:spacing w:val="-8"/>
          <w:sz w:val="24"/>
        </w:rPr>
        <w:t> </w:t>
      </w:r>
      <w:r>
        <w:rPr>
          <w:rFonts w:ascii="Segoe UI Semibold" w:hAnsi="Segoe UI Semibold"/>
          <w:b/>
          <w:i/>
          <w:color w:val="231F20"/>
          <w:sz w:val="24"/>
        </w:rPr>
        <w:t>couvre</w:t>
      </w:r>
      <w:r>
        <w:rPr>
          <w:rFonts w:ascii="Segoe UI Semibold" w:hAnsi="Segoe UI Semibold"/>
          <w:b/>
          <w:i/>
          <w:color w:val="231F20"/>
          <w:spacing w:val="-8"/>
          <w:sz w:val="24"/>
        </w:rPr>
        <w:t> </w:t>
      </w:r>
      <w:r>
        <w:rPr>
          <w:rFonts w:ascii="Segoe UI Semibold" w:hAnsi="Segoe UI Semibold"/>
          <w:b/>
          <w:i/>
          <w:color w:val="231F20"/>
          <w:sz w:val="24"/>
        </w:rPr>
        <w:t>ce</w:t>
      </w:r>
      <w:r>
        <w:rPr>
          <w:rFonts w:ascii="Segoe UI Semibold" w:hAnsi="Segoe UI Semibold"/>
          <w:b/>
          <w:i/>
          <w:color w:val="231F20"/>
          <w:spacing w:val="-8"/>
          <w:sz w:val="24"/>
        </w:rPr>
        <w:t> </w:t>
      </w:r>
      <w:r>
        <w:rPr>
          <w:rFonts w:ascii="Segoe UI Semibold" w:hAnsi="Segoe UI Semibold"/>
          <w:b/>
          <w:i/>
          <w:color w:val="231F20"/>
          <w:sz w:val="24"/>
        </w:rPr>
        <w:t>Rapport,</w:t>
      </w:r>
      <w:r>
        <w:rPr>
          <w:rFonts w:ascii="Segoe UI Semibold" w:hAnsi="Segoe UI Semibold"/>
          <w:b/>
          <w:i/>
          <w:color w:val="231F20"/>
          <w:sz w:val="24"/>
        </w:rPr>
        <w:t> le</w:t>
      </w:r>
      <w:r>
        <w:rPr>
          <w:rFonts w:ascii="Segoe UI Semibold" w:hAnsi="Segoe UI Semibold"/>
          <w:b/>
          <w:i/>
          <w:color w:val="231F20"/>
          <w:spacing w:val="-10"/>
          <w:sz w:val="24"/>
        </w:rPr>
        <w:t> </w:t>
      </w:r>
      <w:r>
        <w:rPr>
          <w:rFonts w:ascii="Segoe UI Semibold" w:hAnsi="Segoe UI Semibold"/>
          <w:b/>
          <w:i/>
          <w:color w:val="231F20"/>
          <w:sz w:val="24"/>
        </w:rPr>
        <w:t>blocus</w:t>
      </w:r>
      <w:r>
        <w:rPr>
          <w:rFonts w:ascii="Segoe UI Semibold" w:hAnsi="Segoe UI Semibold"/>
          <w:b/>
          <w:i/>
          <w:color w:val="231F20"/>
          <w:spacing w:val="-10"/>
          <w:sz w:val="24"/>
        </w:rPr>
        <w:t> </w:t>
      </w:r>
      <w:r>
        <w:rPr>
          <w:rFonts w:ascii="Segoe UI Semibold" w:hAnsi="Segoe UI Semibold"/>
          <w:b/>
          <w:i/>
          <w:color w:val="231F20"/>
          <w:sz w:val="24"/>
        </w:rPr>
        <w:t>a</w:t>
      </w:r>
      <w:r>
        <w:rPr>
          <w:rFonts w:ascii="Segoe UI Semibold" w:hAnsi="Segoe UI Semibold"/>
          <w:b/>
          <w:i/>
          <w:color w:val="231F20"/>
          <w:spacing w:val="-10"/>
          <w:sz w:val="24"/>
        </w:rPr>
        <w:t> </w:t>
      </w:r>
      <w:r>
        <w:rPr>
          <w:rFonts w:ascii="Segoe UI Semibold" w:hAnsi="Segoe UI Semibold"/>
          <w:b/>
          <w:i/>
          <w:color w:val="231F20"/>
          <w:sz w:val="24"/>
        </w:rPr>
        <w:t>causé</w:t>
      </w:r>
      <w:r>
        <w:rPr>
          <w:rFonts w:ascii="Segoe UI Semibold" w:hAnsi="Segoe UI Semibold"/>
          <w:b/>
          <w:i/>
          <w:color w:val="231F20"/>
          <w:spacing w:val="-10"/>
          <w:sz w:val="24"/>
        </w:rPr>
        <w:t> </w:t>
      </w:r>
      <w:r>
        <w:rPr>
          <w:b/>
          <w:i/>
          <w:color w:val="B52628"/>
          <w:sz w:val="24"/>
        </w:rPr>
        <w:t>à</w:t>
      </w:r>
      <w:r>
        <w:rPr>
          <w:b/>
          <w:i/>
          <w:color w:val="B52628"/>
          <w:spacing w:val="-10"/>
          <w:sz w:val="24"/>
        </w:rPr>
        <w:t> </w:t>
      </w:r>
      <w:r>
        <w:rPr>
          <w:b/>
          <w:i/>
          <w:color w:val="B52628"/>
          <w:sz w:val="24"/>
        </w:rPr>
        <w:t>la</w:t>
      </w:r>
      <w:r>
        <w:rPr>
          <w:b/>
          <w:i/>
          <w:color w:val="B52628"/>
          <w:spacing w:val="-10"/>
          <w:sz w:val="24"/>
        </w:rPr>
        <w:t> </w:t>
      </w:r>
      <w:r>
        <w:rPr>
          <w:b/>
          <w:i/>
          <w:color w:val="B52628"/>
          <w:sz w:val="24"/>
        </w:rPr>
        <w:t>santé</w:t>
      </w:r>
      <w:r>
        <w:rPr>
          <w:b/>
          <w:i/>
          <w:color w:val="B52628"/>
          <w:spacing w:val="-10"/>
          <w:sz w:val="24"/>
        </w:rPr>
        <w:t> </w:t>
      </w:r>
      <w:r>
        <w:rPr>
          <w:b/>
          <w:i/>
          <w:color w:val="B52628"/>
          <w:sz w:val="24"/>
        </w:rPr>
        <w:t>publique</w:t>
      </w:r>
      <w:r>
        <w:rPr>
          <w:b/>
          <w:i/>
          <w:color w:val="B52628"/>
          <w:spacing w:val="-10"/>
          <w:sz w:val="24"/>
        </w:rPr>
        <w:t> </w:t>
      </w:r>
      <w:r>
        <w:rPr>
          <w:rFonts w:ascii="Segoe UI Semibold" w:hAnsi="Segoe UI Semibold"/>
          <w:b/>
          <w:i/>
          <w:color w:val="231F20"/>
          <w:sz w:val="24"/>
        </w:rPr>
        <w:t>des</w:t>
      </w:r>
      <w:r>
        <w:rPr>
          <w:rFonts w:ascii="Segoe UI Semibold" w:hAnsi="Segoe UI Semibold"/>
          <w:b/>
          <w:i/>
          <w:color w:val="231F20"/>
          <w:sz w:val="24"/>
        </w:rPr>
        <w:t> </w:t>
      </w:r>
      <w:r>
        <w:rPr>
          <w:rFonts w:ascii="Segoe UI Semibold" w:hAnsi="Segoe UI Semibold"/>
          <w:b/>
          <w:i/>
          <w:color w:val="231F20"/>
          <w:spacing w:val="-12"/>
          <w:sz w:val="24"/>
        </w:rPr>
        <w:t>préjudices</w:t>
      </w:r>
      <w:r>
        <w:rPr>
          <w:rFonts w:ascii="Segoe UI Semibold" w:hAnsi="Segoe UI Semibold"/>
          <w:b/>
          <w:i/>
          <w:color w:val="231F20"/>
          <w:spacing w:val="-5"/>
          <w:sz w:val="24"/>
        </w:rPr>
        <w:t> </w:t>
      </w:r>
      <w:r>
        <w:rPr>
          <w:rFonts w:ascii="Segoe UI Semibold" w:hAnsi="Segoe UI Semibold"/>
          <w:b/>
          <w:i/>
          <w:color w:val="231F20"/>
          <w:spacing w:val="-12"/>
          <w:sz w:val="24"/>
        </w:rPr>
        <w:t>se</w:t>
      </w:r>
      <w:r>
        <w:rPr>
          <w:rFonts w:ascii="Segoe UI Semibold" w:hAnsi="Segoe UI Semibold"/>
          <w:b/>
          <w:i/>
          <w:color w:val="231F20"/>
          <w:spacing w:val="-4"/>
          <w:sz w:val="24"/>
        </w:rPr>
        <w:t> </w:t>
      </w:r>
      <w:r>
        <w:rPr>
          <w:rFonts w:ascii="Segoe UI Semibold" w:hAnsi="Segoe UI Semibold"/>
          <w:b/>
          <w:i/>
          <w:color w:val="231F20"/>
          <w:spacing w:val="-12"/>
          <w:sz w:val="24"/>
        </w:rPr>
        <w:t>chiffrant</w:t>
      </w:r>
      <w:r>
        <w:rPr>
          <w:rFonts w:ascii="Segoe UI Semibold" w:hAnsi="Segoe UI Semibold"/>
          <w:b/>
          <w:i/>
          <w:color w:val="231F20"/>
          <w:spacing w:val="-5"/>
          <w:sz w:val="24"/>
        </w:rPr>
        <w:t> </w:t>
      </w:r>
      <w:r>
        <w:rPr>
          <w:rFonts w:ascii="Segoe UI Semibold" w:hAnsi="Segoe UI Semibold"/>
          <w:b/>
          <w:i/>
          <w:color w:val="231F20"/>
          <w:spacing w:val="-12"/>
          <w:sz w:val="24"/>
        </w:rPr>
        <w:t>à</w:t>
      </w:r>
      <w:r>
        <w:rPr>
          <w:rFonts w:ascii="Segoe UI Semibold" w:hAnsi="Segoe UI Semibold"/>
          <w:b/>
          <w:i/>
          <w:color w:val="231F20"/>
          <w:spacing w:val="-4"/>
          <w:sz w:val="24"/>
        </w:rPr>
        <w:t> </w:t>
      </w:r>
      <w:r>
        <w:rPr>
          <w:b/>
          <w:i/>
          <w:color w:val="231F20"/>
          <w:spacing w:val="-12"/>
          <w:sz w:val="24"/>
        </w:rPr>
        <w:t>239</w:t>
      </w:r>
      <w:r>
        <w:rPr>
          <w:b/>
          <w:i/>
          <w:color w:val="231F20"/>
          <w:spacing w:val="-5"/>
          <w:sz w:val="24"/>
        </w:rPr>
        <w:t> </w:t>
      </w:r>
      <w:r>
        <w:rPr>
          <w:b/>
          <w:i/>
          <w:color w:val="231F20"/>
          <w:spacing w:val="-12"/>
          <w:sz w:val="24"/>
        </w:rPr>
        <w:t>803</w:t>
      </w:r>
      <w:r>
        <w:rPr>
          <w:b/>
          <w:i/>
          <w:color w:val="231F20"/>
          <w:spacing w:val="-4"/>
          <w:sz w:val="24"/>
        </w:rPr>
        <w:t> </w:t>
      </w:r>
      <w:r>
        <w:rPr>
          <w:b/>
          <w:i/>
          <w:color w:val="231F20"/>
          <w:spacing w:val="-12"/>
          <w:sz w:val="24"/>
        </w:rPr>
        <w:t>690</w:t>
      </w:r>
      <w:r>
        <w:rPr>
          <w:b/>
          <w:i/>
          <w:color w:val="231F20"/>
          <w:spacing w:val="-5"/>
          <w:sz w:val="24"/>
        </w:rPr>
        <w:t> </w:t>
      </w:r>
      <w:r>
        <w:rPr>
          <w:b/>
          <w:i/>
          <w:color w:val="231F20"/>
          <w:spacing w:val="-12"/>
          <w:sz w:val="24"/>
        </w:rPr>
        <w:t>dollars</w:t>
      </w:r>
      <w:r>
        <w:rPr>
          <w:rFonts w:ascii="Segoe UI Semibold" w:hAnsi="Segoe UI Semibold"/>
          <w:b/>
          <w:i/>
          <w:color w:val="231F20"/>
          <w:spacing w:val="-12"/>
          <w:sz w:val="24"/>
        </w:rPr>
        <w:t>,</w:t>
      </w:r>
      <w:r>
        <w:rPr>
          <w:rFonts w:ascii="Segoe UI Semibold" w:hAnsi="Segoe UI Semibold"/>
          <w:b/>
          <w:i/>
          <w:color w:val="231F20"/>
          <w:spacing w:val="-12"/>
          <w:sz w:val="24"/>
        </w:rPr>
        <w:t> </w:t>
      </w:r>
      <w:r>
        <w:rPr>
          <w:rFonts w:ascii="Segoe UI Semibold" w:hAnsi="Segoe UI Semibold"/>
          <w:b/>
          <w:i/>
          <w:color w:val="231F20"/>
          <w:sz w:val="24"/>
        </w:rPr>
        <w:t>soit</w:t>
      </w:r>
      <w:r>
        <w:rPr>
          <w:rFonts w:ascii="Segoe UI Semibold" w:hAnsi="Segoe UI Semibold"/>
          <w:b/>
          <w:i/>
          <w:color w:val="231F20"/>
          <w:spacing w:val="-4"/>
          <w:sz w:val="24"/>
        </w:rPr>
        <w:t> </w:t>
      </w:r>
      <w:r>
        <w:rPr>
          <w:rFonts w:ascii="Segoe UI Semibold" w:hAnsi="Segoe UI Semibold"/>
          <w:b/>
          <w:i/>
          <w:color w:val="231F20"/>
          <w:sz w:val="24"/>
        </w:rPr>
        <w:t>presque</w:t>
      </w:r>
      <w:r>
        <w:rPr>
          <w:rFonts w:ascii="Segoe UI Semibold" w:hAnsi="Segoe UI Semibold"/>
          <w:b/>
          <w:i/>
          <w:color w:val="231F20"/>
          <w:spacing w:val="-4"/>
          <w:sz w:val="24"/>
        </w:rPr>
        <w:t> </w:t>
      </w:r>
      <w:r>
        <w:rPr>
          <w:rFonts w:ascii="Segoe UI Semibold" w:hAnsi="Segoe UI Semibold"/>
          <w:b/>
          <w:i/>
          <w:color w:val="231F20"/>
          <w:sz w:val="24"/>
        </w:rPr>
        <w:t>80</w:t>
      </w:r>
      <w:r>
        <w:rPr>
          <w:rFonts w:ascii="Segoe UI Semibold" w:hAnsi="Segoe UI Semibold"/>
          <w:b/>
          <w:i/>
          <w:color w:val="231F20"/>
          <w:spacing w:val="-4"/>
          <w:sz w:val="24"/>
        </w:rPr>
        <w:t> </w:t>
      </w:r>
      <w:r>
        <w:rPr>
          <w:rFonts w:ascii="Segoe UI Semibold" w:hAnsi="Segoe UI Semibold"/>
          <w:b/>
          <w:i/>
          <w:color w:val="231F20"/>
          <w:sz w:val="24"/>
        </w:rPr>
        <w:t>millions</w:t>
      </w:r>
      <w:r>
        <w:rPr>
          <w:rFonts w:ascii="Segoe UI Semibold" w:hAnsi="Segoe UI Semibold"/>
          <w:b/>
          <w:i/>
          <w:color w:val="231F20"/>
          <w:spacing w:val="-4"/>
          <w:sz w:val="24"/>
        </w:rPr>
        <w:t> </w:t>
      </w:r>
      <w:r>
        <w:rPr>
          <w:rFonts w:ascii="Segoe UI Semibold" w:hAnsi="Segoe UI Semibold"/>
          <w:b/>
          <w:i/>
          <w:color w:val="231F20"/>
          <w:sz w:val="24"/>
        </w:rPr>
        <w:t>de</w:t>
      </w:r>
      <w:r>
        <w:rPr>
          <w:rFonts w:ascii="Segoe UI Semibold" w:hAnsi="Segoe UI Semibold"/>
          <w:b/>
          <w:i/>
          <w:color w:val="231F20"/>
          <w:spacing w:val="-4"/>
          <w:sz w:val="24"/>
        </w:rPr>
        <w:t> </w:t>
      </w:r>
      <w:r>
        <w:rPr>
          <w:rFonts w:ascii="Segoe UI Semibold" w:hAnsi="Segoe UI Semibold"/>
          <w:b/>
          <w:i/>
          <w:color w:val="231F20"/>
          <w:sz w:val="24"/>
        </w:rPr>
        <w:t>plus</w:t>
      </w:r>
      <w:r>
        <w:rPr>
          <w:rFonts w:ascii="Segoe UI Semibold" w:hAnsi="Segoe UI Semibold"/>
          <w:b/>
          <w:i/>
          <w:color w:val="231F20"/>
          <w:spacing w:val="-4"/>
          <w:sz w:val="24"/>
        </w:rPr>
        <w:t> </w:t>
      </w:r>
      <w:r>
        <w:rPr>
          <w:rFonts w:ascii="Segoe UI Semibold" w:hAnsi="Segoe UI Semibold"/>
          <w:b/>
          <w:i/>
          <w:color w:val="231F20"/>
          <w:sz w:val="24"/>
        </w:rPr>
        <w:t>que</w:t>
      </w:r>
      <w:r>
        <w:rPr>
          <w:rFonts w:ascii="Segoe UI Semibold" w:hAnsi="Segoe UI Semibold"/>
          <w:b/>
          <w:i/>
          <w:color w:val="231F20"/>
          <w:spacing w:val="-4"/>
          <w:sz w:val="24"/>
        </w:rPr>
        <w:t> </w:t>
      </w:r>
      <w:r>
        <w:rPr>
          <w:rFonts w:ascii="Segoe UI Semibold" w:hAnsi="Segoe UI Semibold"/>
          <w:b/>
          <w:i/>
          <w:color w:val="231F20"/>
          <w:sz w:val="24"/>
        </w:rPr>
        <w:t>ceux </w:t>
      </w:r>
      <w:r>
        <w:rPr>
          <w:rFonts w:ascii="Segoe UI Semibold" w:hAnsi="Segoe UI Semibold"/>
          <w:b/>
          <w:i/>
          <w:color w:val="231F20"/>
          <w:spacing w:val="-4"/>
          <w:sz w:val="24"/>
        </w:rPr>
        <w:t>enregistrés</w:t>
      </w:r>
      <w:r>
        <w:rPr>
          <w:rFonts w:ascii="Segoe UI Semibold" w:hAnsi="Segoe UI Semibold"/>
          <w:b/>
          <w:i/>
          <w:color w:val="231F20"/>
          <w:spacing w:val="-13"/>
          <w:sz w:val="24"/>
        </w:rPr>
        <w:t> </w:t>
      </w:r>
      <w:r>
        <w:rPr>
          <w:rFonts w:ascii="Segoe UI Semibold" w:hAnsi="Segoe UI Semibold"/>
          <w:b/>
          <w:i/>
          <w:color w:val="231F20"/>
          <w:spacing w:val="-4"/>
          <w:sz w:val="24"/>
        </w:rPr>
        <w:t>avant</w:t>
      </w:r>
      <w:r>
        <w:rPr>
          <w:rFonts w:ascii="Segoe UI Semibold" w:hAnsi="Segoe UI Semibold"/>
          <w:b/>
          <w:i/>
          <w:color w:val="231F20"/>
          <w:spacing w:val="-12"/>
          <w:sz w:val="24"/>
        </w:rPr>
        <w:t> </w:t>
      </w:r>
      <w:r>
        <w:rPr>
          <w:rFonts w:ascii="Segoe UI Semibold" w:hAnsi="Segoe UI Semibold"/>
          <w:b/>
          <w:i/>
          <w:color w:val="231F20"/>
          <w:spacing w:val="-4"/>
          <w:sz w:val="24"/>
        </w:rPr>
        <w:t>la</w:t>
      </w:r>
      <w:r>
        <w:rPr>
          <w:rFonts w:ascii="Segoe UI Semibold" w:hAnsi="Segoe UI Semibold"/>
          <w:b/>
          <w:i/>
          <w:color w:val="231F20"/>
          <w:spacing w:val="-13"/>
          <w:sz w:val="24"/>
        </w:rPr>
        <w:t> </w:t>
      </w:r>
      <w:r>
        <w:rPr>
          <w:rFonts w:ascii="Segoe UI Semibold" w:hAnsi="Segoe UI Semibold"/>
          <w:b/>
          <w:i/>
          <w:color w:val="231F20"/>
          <w:spacing w:val="-4"/>
          <w:sz w:val="24"/>
        </w:rPr>
        <w:t>pandémie</w:t>
      </w:r>
      <w:r>
        <w:rPr>
          <w:rFonts w:ascii="Segoe UI Semibold" w:hAnsi="Segoe UI Semibold"/>
          <w:b/>
          <w:i/>
          <w:color w:val="231F20"/>
          <w:spacing w:val="-12"/>
          <w:sz w:val="24"/>
        </w:rPr>
        <w:t> </w:t>
      </w:r>
      <w:r>
        <w:rPr>
          <w:rFonts w:ascii="Segoe UI Semibold" w:hAnsi="Segoe UI Semibold"/>
          <w:b/>
          <w:i/>
          <w:color w:val="231F20"/>
          <w:spacing w:val="-4"/>
          <w:sz w:val="24"/>
        </w:rPr>
        <w:t>de</w:t>
      </w:r>
      <w:r>
        <w:rPr>
          <w:rFonts w:ascii="Segoe UI Semibold" w:hAnsi="Segoe UI Semibold"/>
          <w:b/>
          <w:i/>
          <w:color w:val="231F20"/>
          <w:spacing w:val="-13"/>
          <w:sz w:val="24"/>
        </w:rPr>
        <w:t> </w:t>
      </w:r>
      <w:r>
        <w:rPr>
          <w:rFonts w:ascii="Segoe UI Semibold" w:hAnsi="Segoe UI Semibold"/>
          <w:b/>
          <w:i/>
          <w:color w:val="231F20"/>
          <w:spacing w:val="-4"/>
          <w:sz w:val="24"/>
        </w:rPr>
        <w:t>Covid-19 </w:t>
      </w:r>
      <w:r>
        <w:rPr>
          <w:rFonts w:ascii="Segoe UI Semibold" w:hAnsi="Segoe UI Semibold"/>
          <w:b/>
          <w:i/>
          <w:color w:val="231F20"/>
          <w:sz w:val="24"/>
        </w:rPr>
        <w:t>(avril 2019-mars 2020). Les préjudices </w:t>
      </w:r>
      <w:r>
        <w:rPr>
          <w:rFonts w:ascii="Segoe UI Semibold" w:hAnsi="Segoe UI Semibold"/>
          <w:b/>
          <w:i/>
          <w:color w:val="231F20"/>
          <w:spacing w:val="-10"/>
          <w:sz w:val="24"/>
        </w:rPr>
        <w:t>accumulés</w:t>
      </w:r>
      <w:r>
        <w:rPr>
          <w:rFonts w:ascii="Segoe UI Semibold" w:hAnsi="Segoe UI Semibold"/>
          <w:b/>
          <w:i/>
          <w:color w:val="231F20"/>
          <w:spacing w:val="-5"/>
          <w:sz w:val="24"/>
        </w:rPr>
        <w:t> </w:t>
      </w:r>
      <w:r>
        <w:rPr>
          <w:rFonts w:ascii="Segoe UI Semibold" w:hAnsi="Segoe UI Semibold"/>
          <w:b/>
          <w:i/>
          <w:color w:val="231F20"/>
          <w:spacing w:val="-10"/>
          <w:sz w:val="24"/>
        </w:rPr>
        <w:t>en</w:t>
      </w:r>
      <w:r>
        <w:rPr>
          <w:rFonts w:ascii="Segoe UI Semibold" w:hAnsi="Segoe UI Semibold"/>
          <w:b/>
          <w:i/>
          <w:color w:val="231F20"/>
          <w:spacing w:val="-5"/>
          <w:sz w:val="24"/>
        </w:rPr>
        <w:t> </w:t>
      </w:r>
      <w:r>
        <w:rPr>
          <w:rFonts w:ascii="Segoe UI Semibold" w:hAnsi="Segoe UI Semibold"/>
          <w:b/>
          <w:i/>
          <w:color w:val="231F20"/>
          <w:spacing w:val="-10"/>
          <w:sz w:val="24"/>
        </w:rPr>
        <w:t>plus</w:t>
      </w:r>
      <w:r>
        <w:rPr>
          <w:rFonts w:ascii="Segoe UI Semibold" w:hAnsi="Segoe UI Semibold"/>
          <w:b/>
          <w:i/>
          <w:color w:val="231F20"/>
          <w:spacing w:val="-5"/>
          <w:sz w:val="24"/>
        </w:rPr>
        <w:t> </w:t>
      </w:r>
      <w:r>
        <w:rPr>
          <w:rFonts w:ascii="Segoe UI Semibold" w:hAnsi="Segoe UI Semibold"/>
          <w:b/>
          <w:i/>
          <w:color w:val="231F20"/>
          <w:spacing w:val="-10"/>
          <w:sz w:val="24"/>
        </w:rPr>
        <w:t>de</w:t>
      </w:r>
      <w:r>
        <w:rPr>
          <w:rFonts w:ascii="Segoe UI Semibold" w:hAnsi="Segoe UI Semibold"/>
          <w:b/>
          <w:i/>
          <w:color w:val="231F20"/>
          <w:spacing w:val="-5"/>
          <w:sz w:val="24"/>
        </w:rPr>
        <w:t> </w:t>
      </w:r>
      <w:r>
        <w:rPr>
          <w:rFonts w:ascii="Segoe UI Semibold" w:hAnsi="Segoe UI Semibold"/>
          <w:b/>
          <w:i/>
          <w:color w:val="231F20"/>
          <w:spacing w:val="-10"/>
          <w:sz w:val="24"/>
        </w:rPr>
        <w:t>soixante</w:t>
      </w:r>
      <w:r>
        <w:rPr>
          <w:rFonts w:ascii="Segoe UI Semibold" w:hAnsi="Segoe UI Semibold"/>
          <w:b/>
          <w:i/>
          <w:color w:val="231F20"/>
          <w:spacing w:val="-5"/>
          <w:sz w:val="24"/>
        </w:rPr>
        <w:t> </w:t>
      </w:r>
      <w:r>
        <w:rPr>
          <w:rFonts w:ascii="Segoe UI Semibold" w:hAnsi="Segoe UI Semibold"/>
          <w:b/>
          <w:i/>
          <w:color w:val="231F20"/>
          <w:spacing w:val="-10"/>
          <w:sz w:val="24"/>
        </w:rPr>
        <w:t>ans</w:t>
      </w:r>
      <w:r>
        <w:rPr>
          <w:rFonts w:ascii="Segoe UI Semibold" w:hAnsi="Segoe UI Semibold"/>
          <w:b/>
          <w:i/>
          <w:color w:val="231F20"/>
          <w:spacing w:val="-5"/>
          <w:sz w:val="24"/>
        </w:rPr>
        <w:t> </w:t>
      </w:r>
      <w:r>
        <w:rPr>
          <w:rFonts w:ascii="Segoe UI Semibold" w:hAnsi="Segoe UI Semibold"/>
          <w:b/>
          <w:i/>
          <w:color w:val="231F20"/>
          <w:spacing w:val="-10"/>
          <w:sz w:val="24"/>
        </w:rPr>
        <w:t>de</w:t>
      </w:r>
      <w:r>
        <w:rPr>
          <w:rFonts w:ascii="Segoe UI Semibold" w:hAnsi="Segoe UI Semibold"/>
          <w:b/>
          <w:i/>
          <w:color w:val="231F20"/>
          <w:spacing w:val="-5"/>
          <w:sz w:val="24"/>
        </w:rPr>
        <w:t> </w:t>
      </w:r>
      <w:r>
        <w:rPr>
          <w:rFonts w:ascii="Segoe UI Semibold" w:hAnsi="Segoe UI Semibold"/>
          <w:b/>
          <w:i/>
          <w:color w:val="231F20"/>
          <w:spacing w:val="-10"/>
          <w:sz w:val="24"/>
        </w:rPr>
        <w:t>blocus </w:t>
      </w:r>
      <w:r>
        <w:rPr>
          <w:rFonts w:ascii="Segoe UI Semibold" w:hAnsi="Segoe UI Semibold"/>
          <w:b/>
          <w:i/>
          <w:color w:val="231F20"/>
          <w:sz w:val="24"/>
        </w:rPr>
        <w:t>se</w:t>
      </w:r>
      <w:r>
        <w:rPr>
          <w:rFonts w:ascii="Segoe UI Semibold" w:hAnsi="Segoe UI Semibold"/>
          <w:b/>
          <w:i/>
          <w:color w:val="231F20"/>
          <w:spacing w:val="-16"/>
          <w:sz w:val="24"/>
        </w:rPr>
        <w:t> </w:t>
      </w:r>
      <w:r>
        <w:rPr>
          <w:rFonts w:ascii="Segoe UI Semibold" w:hAnsi="Segoe UI Semibold"/>
          <w:b/>
          <w:i/>
          <w:color w:val="231F20"/>
          <w:sz w:val="24"/>
        </w:rPr>
        <w:t>montent</w:t>
      </w:r>
      <w:r>
        <w:rPr>
          <w:rFonts w:ascii="Segoe UI Semibold" w:hAnsi="Segoe UI Semibold"/>
          <w:b/>
          <w:i/>
          <w:color w:val="231F20"/>
          <w:spacing w:val="-16"/>
          <w:sz w:val="24"/>
        </w:rPr>
        <w:t> </w:t>
      </w:r>
      <w:r>
        <w:rPr>
          <w:rFonts w:ascii="Segoe UI Semibold" w:hAnsi="Segoe UI Semibold"/>
          <w:b/>
          <w:i/>
          <w:color w:val="231F20"/>
          <w:sz w:val="24"/>
        </w:rPr>
        <w:t>à</w:t>
      </w:r>
      <w:r>
        <w:rPr>
          <w:rFonts w:ascii="Segoe UI Semibold" w:hAnsi="Segoe UI Semibold"/>
          <w:b/>
          <w:i/>
          <w:color w:val="231F20"/>
          <w:spacing w:val="-16"/>
          <w:sz w:val="24"/>
        </w:rPr>
        <w:t> </w:t>
      </w:r>
      <w:r>
        <w:rPr>
          <w:b/>
          <w:i/>
          <w:color w:val="231F20"/>
          <w:sz w:val="24"/>
        </w:rPr>
        <w:t>3</w:t>
      </w:r>
      <w:r>
        <w:rPr>
          <w:b/>
          <w:i/>
          <w:color w:val="231F20"/>
          <w:spacing w:val="-16"/>
          <w:sz w:val="24"/>
        </w:rPr>
        <w:t> </w:t>
      </w:r>
      <w:r>
        <w:rPr>
          <w:b/>
          <w:i/>
          <w:color w:val="231F20"/>
          <w:sz w:val="24"/>
        </w:rPr>
        <w:t>625</w:t>
      </w:r>
      <w:r>
        <w:rPr>
          <w:b/>
          <w:i/>
          <w:color w:val="231F20"/>
          <w:spacing w:val="-16"/>
          <w:sz w:val="24"/>
        </w:rPr>
        <w:t> </w:t>
      </w:r>
      <w:r>
        <w:rPr>
          <w:b/>
          <w:i/>
          <w:color w:val="231F20"/>
          <w:sz w:val="24"/>
        </w:rPr>
        <w:t>840</w:t>
      </w:r>
      <w:r>
        <w:rPr>
          <w:b/>
          <w:i/>
          <w:color w:val="231F20"/>
          <w:spacing w:val="-16"/>
          <w:sz w:val="24"/>
        </w:rPr>
        <w:t> </w:t>
      </w:r>
      <w:r>
        <w:rPr>
          <w:b/>
          <w:i/>
          <w:color w:val="231F20"/>
          <w:sz w:val="24"/>
        </w:rPr>
        <w:t>594</w:t>
      </w:r>
      <w:r>
        <w:rPr>
          <w:b/>
          <w:i/>
          <w:color w:val="231F20"/>
          <w:spacing w:val="-16"/>
          <w:sz w:val="24"/>
        </w:rPr>
        <w:t> </w:t>
      </w:r>
      <w:r>
        <w:rPr>
          <w:b/>
          <w:i/>
          <w:color w:val="231F20"/>
          <w:sz w:val="24"/>
        </w:rPr>
        <w:t>dollars</w:t>
      </w:r>
      <w:r>
        <w:rPr>
          <w:color w:val="231F20"/>
          <w:sz w:val="24"/>
        </w:rPr>
        <w:t>.</w:t>
      </w:r>
    </w:p>
    <w:p>
      <w:pPr>
        <w:pStyle w:val="BodyText"/>
        <w:spacing w:before="159"/>
        <w:ind w:left="1474" w:right="1"/>
      </w:pPr>
      <w:r>
        <w:rPr>
          <w:color w:val="231F20"/>
          <w:spacing w:val="-4"/>
        </w:rPr>
        <w:t>L’annulation</w:t>
      </w:r>
      <w:r>
        <w:rPr>
          <w:color w:val="231F20"/>
          <w:spacing w:val="-7"/>
        </w:rPr>
        <w:t> </w:t>
      </w:r>
      <w:r>
        <w:rPr>
          <w:color w:val="231F20"/>
          <w:spacing w:val="-4"/>
        </w:rPr>
        <w:t>de</w:t>
      </w:r>
      <w:r>
        <w:rPr>
          <w:color w:val="231F20"/>
          <w:spacing w:val="-7"/>
        </w:rPr>
        <w:t> </w:t>
      </w:r>
      <w:r>
        <w:rPr>
          <w:color w:val="231F20"/>
          <w:spacing w:val="-4"/>
        </w:rPr>
        <w:t>contrats,</w:t>
      </w:r>
      <w:r>
        <w:rPr>
          <w:color w:val="231F20"/>
          <w:spacing w:val="-7"/>
        </w:rPr>
        <w:t> </w:t>
      </w:r>
      <w:r>
        <w:rPr>
          <w:color w:val="231F20"/>
          <w:spacing w:val="-4"/>
        </w:rPr>
        <w:t>la</w:t>
      </w:r>
      <w:r>
        <w:rPr>
          <w:color w:val="231F20"/>
          <w:spacing w:val="-7"/>
        </w:rPr>
        <w:t> </w:t>
      </w:r>
      <w:r>
        <w:rPr>
          <w:color w:val="231F20"/>
          <w:spacing w:val="-4"/>
        </w:rPr>
        <w:t>hausse</w:t>
      </w:r>
      <w:r>
        <w:rPr>
          <w:color w:val="231F20"/>
          <w:spacing w:val="-7"/>
        </w:rPr>
        <w:t> </w:t>
      </w:r>
      <w:r>
        <w:rPr>
          <w:color w:val="231F20"/>
          <w:spacing w:val="-4"/>
        </w:rPr>
        <w:t>des</w:t>
      </w:r>
      <w:r>
        <w:rPr>
          <w:color w:val="231F20"/>
          <w:spacing w:val="-8"/>
        </w:rPr>
        <w:t> </w:t>
      </w:r>
      <w:r>
        <w:rPr>
          <w:color w:val="231F20"/>
          <w:spacing w:val="-4"/>
        </w:rPr>
        <w:t>frais </w:t>
      </w:r>
      <w:r>
        <w:rPr>
          <w:color w:val="231F20"/>
        </w:rPr>
        <w:t>de vente et la pression croissante sur les banques de n’importe où dans le monde ont eu des effets négatifs notables sur </w:t>
      </w:r>
      <w:r>
        <w:rPr>
          <w:color w:val="231F20"/>
          <w:spacing w:val="-2"/>
        </w:rPr>
        <w:t>l’achat</w:t>
      </w:r>
      <w:r>
        <w:rPr>
          <w:color w:val="231F20"/>
          <w:spacing w:val="-15"/>
        </w:rPr>
        <w:t> </w:t>
      </w:r>
      <w:r>
        <w:rPr>
          <w:color w:val="231F20"/>
          <w:spacing w:val="-2"/>
        </w:rPr>
        <w:t>d’intrants</w:t>
      </w:r>
      <w:r>
        <w:rPr>
          <w:color w:val="231F20"/>
          <w:spacing w:val="-14"/>
        </w:rPr>
        <w:t> </w:t>
      </w:r>
      <w:r>
        <w:rPr>
          <w:color w:val="231F20"/>
          <w:spacing w:val="-2"/>
        </w:rPr>
        <w:t>et</w:t>
      </w:r>
      <w:r>
        <w:rPr>
          <w:color w:val="231F20"/>
          <w:spacing w:val="-15"/>
        </w:rPr>
        <w:t> </w:t>
      </w:r>
      <w:r>
        <w:rPr>
          <w:color w:val="231F20"/>
          <w:spacing w:val="-2"/>
        </w:rPr>
        <w:t>donc</w:t>
      </w:r>
      <w:r>
        <w:rPr>
          <w:color w:val="231F20"/>
          <w:spacing w:val="-14"/>
        </w:rPr>
        <w:t> </w:t>
      </w:r>
      <w:r>
        <w:rPr>
          <w:color w:val="231F20"/>
          <w:spacing w:val="-2"/>
        </w:rPr>
        <w:t>sur</w:t>
      </w:r>
      <w:r>
        <w:rPr>
          <w:color w:val="231F20"/>
          <w:spacing w:val="-15"/>
        </w:rPr>
        <w:t> </w:t>
      </w:r>
      <w:r>
        <w:rPr>
          <w:color w:val="231F20"/>
          <w:spacing w:val="-2"/>
        </w:rPr>
        <w:t>le</w:t>
      </w:r>
      <w:r>
        <w:rPr>
          <w:color w:val="231F20"/>
          <w:spacing w:val="-14"/>
        </w:rPr>
        <w:t> </w:t>
      </w:r>
      <w:r>
        <w:rPr>
          <w:color w:val="231F20"/>
          <w:spacing w:val="-2"/>
        </w:rPr>
        <w:t>maintien</w:t>
      </w:r>
      <w:r>
        <w:rPr>
          <w:color w:val="231F20"/>
          <w:spacing w:val="-15"/>
        </w:rPr>
        <w:t> </w:t>
      </w:r>
      <w:r>
        <w:rPr>
          <w:color w:val="231F20"/>
          <w:spacing w:val="-2"/>
        </w:rPr>
        <w:t>du système</w:t>
      </w:r>
      <w:r>
        <w:rPr>
          <w:color w:val="231F20"/>
          <w:spacing w:val="-15"/>
        </w:rPr>
        <w:t> </w:t>
      </w:r>
      <w:r>
        <w:rPr>
          <w:color w:val="231F20"/>
          <w:spacing w:val="-2"/>
        </w:rPr>
        <w:t>de</w:t>
      </w:r>
      <w:r>
        <w:rPr>
          <w:color w:val="231F20"/>
          <w:spacing w:val="-14"/>
        </w:rPr>
        <w:t> </w:t>
      </w:r>
      <w:r>
        <w:rPr>
          <w:color w:val="231F20"/>
          <w:spacing w:val="-2"/>
        </w:rPr>
        <w:t>santé</w:t>
      </w:r>
      <w:r>
        <w:rPr>
          <w:color w:val="231F20"/>
          <w:spacing w:val="-15"/>
        </w:rPr>
        <w:t> </w:t>
      </w:r>
      <w:r>
        <w:rPr>
          <w:color w:val="231F20"/>
          <w:spacing w:val="-2"/>
        </w:rPr>
        <w:t>publique,</w:t>
      </w:r>
      <w:r>
        <w:rPr>
          <w:color w:val="231F20"/>
          <w:spacing w:val="-14"/>
        </w:rPr>
        <w:t> </w:t>
      </w:r>
      <w:r>
        <w:rPr>
          <w:color w:val="231F20"/>
          <w:spacing w:val="-2"/>
        </w:rPr>
        <w:t>le</w:t>
      </w:r>
      <w:r>
        <w:rPr>
          <w:color w:val="231F20"/>
          <w:spacing w:val="-15"/>
        </w:rPr>
        <w:t> </w:t>
      </w:r>
      <w:r>
        <w:rPr>
          <w:color w:val="231F20"/>
          <w:spacing w:val="-2"/>
        </w:rPr>
        <w:t>tout</w:t>
      </w:r>
      <w:r>
        <w:rPr>
          <w:color w:val="231F20"/>
          <w:spacing w:val="-14"/>
        </w:rPr>
        <w:t> </w:t>
      </w:r>
      <w:r>
        <w:rPr>
          <w:color w:val="231F20"/>
          <w:spacing w:val="-2"/>
        </w:rPr>
        <w:t>aggravé </w:t>
      </w:r>
      <w:r>
        <w:rPr>
          <w:color w:val="231F20"/>
        </w:rPr>
        <w:t>par les conséquences persistantes de la pandémie de Covid-19.</w:t>
      </w:r>
    </w:p>
    <w:p>
      <w:pPr>
        <w:pStyle w:val="BodyText"/>
        <w:spacing w:before="166"/>
        <w:ind w:left="1474" w:right="5"/>
      </w:pPr>
      <w:r>
        <w:rPr>
          <w:color w:val="231F20"/>
          <w:spacing w:val="-10"/>
        </w:rPr>
        <w:t>Alors</w:t>
      </w:r>
      <w:r>
        <w:rPr>
          <w:color w:val="231F20"/>
          <w:spacing w:val="-7"/>
        </w:rPr>
        <w:t> </w:t>
      </w:r>
      <w:r>
        <w:rPr>
          <w:color w:val="231F20"/>
          <w:spacing w:val="-10"/>
        </w:rPr>
        <w:t>que</w:t>
      </w:r>
      <w:r>
        <w:rPr>
          <w:color w:val="231F20"/>
          <w:spacing w:val="-6"/>
        </w:rPr>
        <w:t> </w:t>
      </w:r>
      <w:r>
        <w:rPr>
          <w:color w:val="231F20"/>
          <w:spacing w:val="-10"/>
        </w:rPr>
        <w:t>le</w:t>
      </w:r>
      <w:r>
        <w:rPr>
          <w:color w:val="231F20"/>
          <w:spacing w:val="-7"/>
        </w:rPr>
        <w:t> </w:t>
      </w:r>
      <w:r>
        <w:rPr>
          <w:color w:val="231F20"/>
          <w:spacing w:val="-10"/>
        </w:rPr>
        <w:t>COVID-19</w:t>
      </w:r>
      <w:r>
        <w:rPr>
          <w:color w:val="231F20"/>
          <w:spacing w:val="-6"/>
        </w:rPr>
        <w:t> </w:t>
      </w:r>
      <w:r>
        <w:rPr>
          <w:color w:val="231F20"/>
          <w:spacing w:val="-10"/>
        </w:rPr>
        <w:t>emportait</w:t>
      </w:r>
      <w:r>
        <w:rPr>
          <w:color w:val="231F20"/>
          <w:spacing w:val="-7"/>
        </w:rPr>
        <w:t> </w:t>
      </w:r>
      <w:r>
        <w:rPr>
          <w:color w:val="231F20"/>
          <w:spacing w:val="-10"/>
        </w:rPr>
        <w:t>des</w:t>
      </w:r>
      <w:r>
        <w:rPr>
          <w:color w:val="231F20"/>
          <w:spacing w:val="-6"/>
        </w:rPr>
        <w:t> </w:t>
      </w:r>
      <w:r>
        <w:rPr>
          <w:color w:val="231F20"/>
          <w:spacing w:val="-10"/>
        </w:rPr>
        <w:t>millions </w:t>
      </w:r>
      <w:r>
        <w:rPr>
          <w:color w:val="231F20"/>
        </w:rPr>
        <w:t>de vie dans le monde et compliquait les conditions</w:t>
      </w:r>
      <w:r>
        <w:rPr>
          <w:color w:val="231F20"/>
          <w:spacing w:val="22"/>
        </w:rPr>
        <w:t> </w:t>
      </w:r>
      <w:r>
        <w:rPr>
          <w:color w:val="231F20"/>
        </w:rPr>
        <w:t>du</w:t>
      </w:r>
      <w:r>
        <w:rPr>
          <w:color w:val="231F20"/>
          <w:spacing w:val="22"/>
        </w:rPr>
        <w:t> </w:t>
      </w:r>
      <w:r>
        <w:rPr>
          <w:color w:val="231F20"/>
        </w:rPr>
        <w:t>système</w:t>
      </w:r>
      <w:r>
        <w:rPr>
          <w:color w:val="231F20"/>
          <w:spacing w:val="23"/>
        </w:rPr>
        <w:t> </w:t>
      </w:r>
      <w:r>
        <w:rPr>
          <w:color w:val="231F20"/>
        </w:rPr>
        <w:t>de</w:t>
      </w:r>
      <w:r>
        <w:rPr>
          <w:color w:val="231F20"/>
          <w:spacing w:val="22"/>
        </w:rPr>
        <w:t> </w:t>
      </w:r>
      <w:r>
        <w:rPr>
          <w:color w:val="231F20"/>
        </w:rPr>
        <w:t>santé</w:t>
      </w:r>
      <w:r>
        <w:rPr>
          <w:color w:val="231F20"/>
          <w:spacing w:val="23"/>
        </w:rPr>
        <w:t> </w:t>
      </w:r>
      <w:r>
        <w:rPr>
          <w:color w:val="231F20"/>
          <w:spacing w:val="-7"/>
        </w:rPr>
        <w:t>publique</w:t>
      </w:r>
    </w:p>
    <w:p>
      <w:pPr>
        <w:pStyle w:val="BodyText"/>
        <w:spacing w:before="102"/>
        <w:ind w:left="413" w:right="1133"/>
      </w:pPr>
      <w:r>
        <w:rPr/>
        <w:br w:type="column"/>
      </w:r>
      <w:r>
        <w:rPr>
          <w:color w:val="231F20"/>
          <w:spacing w:val="-6"/>
        </w:rPr>
        <w:t>cubain,gratuitetouvertàtous,l’administration </w:t>
      </w:r>
      <w:r>
        <w:rPr>
          <w:color w:val="231F20"/>
        </w:rPr>
        <w:t>étasunienne n’a pris aucune mesure pour </w:t>
      </w:r>
      <w:r>
        <w:rPr>
          <w:color w:val="231F20"/>
          <w:spacing w:val="-8"/>
        </w:rPr>
        <w:t>alléger</w:t>
      </w:r>
      <w:r>
        <w:rPr>
          <w:color w:val="231F20"/>
          <w:spacing w:val="-9"/>
        </w:rPr>
        <w:t> </w:t>
      </w:r>
      <w:r>
        <w:rPr>
          <w:color w:val="231F20"/>
          <w:spacing w:val="-8"/>
        </w:rPr>
        <w:t>le blocus</w:t>
      </w:r>
      <w:r>
        <w:rPr>
          <w:color w:val="231F20"/>
          <w:spacing w:val="-9"/>
        </w:rPr>
        <w:t> </w:t>
      </w:r>
      <w:r>
        <w:rPr>
          <w:color w:val="231F20"/>
          <w:spacing w:val="-8"/>
        </w:rPr>
        <w:t>: au</w:t>
      </w:r>
      <w:r>
        <w:rPr>
          <w:color w:val="231F20"/>
          <w:spacing w:val="-9"/>
        </w:rPr>
        <w:t> </w:t>
      </w:r>
      <w:r>
        <w:rPr>
          <w:color w:val="231F20"/>
          <w:spacing w:val="-8"/>
        </w:rPr>
        <w:t>contraire, elle</w:t>
      </w:r>
      <w:r>
        <w:rPr>
          <w:color w:val="231F20"/>
          <w:spacing w:val="-9"/>
        </w:rPr>
        <w:t> </w:t>
      </w:r>
      <w:r>
        <w:rPr>
          <w:color w:val="231F20"/>
          <w:spacing w:val="-8"/>
        </w:rPr>
        <w:t>a renforcé </w:t>
      </w:r>
      <w:r>
        <w:rPr>
          <w:color w:val="231F20"/>
          <w:spacing w:val="-2"/>
        </w:rPr>
        <w:t>cette</w:t>
      </w:r>
      <w:r>
        <w:rPr>
          <w:color w:val="231F20"/>
          <w:spacing w:val="-10"/>
        </w:rPr>
        <w:t> </w:t>
      </w:r>
      <w:r>
        <w:rPr>
          <w:color w:val="231F20"/>
          <w:spacing w:val="-2"/>
        </w:rPr>
        <w:t>politique</w:t>
      </w:r>
      <w:r>
        <w:rPr>
          <w:color w:val="231F20"/>
          <w:spacing w:val="-10"/>
        </w:rPr>
        <w:t> </w:t>
      </w:r>
      <w:r>
        <w:rPr>
          <w:color w:val="231F20"/>
          <w:spacing w:val="-2"/>
        </w:rPr>
        <w:t>inhumaine</w:t>
      </w:r>
      <w:r>
        <w:rPr>
          <w:color w:val="231F20"/>
          <w:spacing w:val="-10"/>
        </w:rPr>
        <w:t> </w:t>
      </w:r>
      <w:r>
        <w:rPr>
          <w:color w:val="231F20"/>
          <w:spacing w:val="-2"/>
        </w:rPr>
        <w:t>et</w:t>
      </w:r>
      <w:r>
        <w:rPr>
          <w:color w:val="231F20"/>
          <w:spacing w:val="-10"/>
        </w:rPr>
        <w:t> </w:t>
      </w:r>
      <w:r>
        <w:rPr>
          <w:color w:val="231F20"/>
          <w:spacing w:val="-2"/>
        </w:rPr>
        <w:t>provoqué</w:t>
      </w:r>
      <w:r>
        <w:rPr>
          <w:color w:val="231F20"/>
          <w:spacing w:val="-10"/>
        </w:rPr>
        <w:t> </w:t>
      </w:r>
      <w:r>
        <w:rPr>
          <w:color w:val="231F20"/>
          <w:spacing w:val="-2"/>
        </w:rPr>
        <w:t>des </w:t>
      </w:r>
      <w:r>
        <w:rPr>
          <w:color w:val="231F20"/>
          <w:spacing w:val="-6"/>
        </w:rPr>
        <w:t>difficultés et des retards à l’arrivée d’intrants </w:t>
      </w:r>
      <w:r>
        <w:rPr>
          <w:color w:val="231F20"/>
          <w:spacing w:val="-4"/>
        </w:rPr>
        <w:t>et</w:t>
      </w:r>
      <w:r>
        <w:rPr>
          <w:color w:val="231F20"/>
          <w:spacing w:val="-13"/>
        </w:rPr>
        <w:t> </w:t>
      </w:r>
      <w:r>
        <w:rPr>
          <w:color w:val="231F20"/>
          <w:spacing w:val="-4"/>
        </w:rPr>
        <w:t>d’équipements</w:t>
      </w:r>
      <w:r>
        <w:rPr>
          <w:color w:val="231F20"/>
          <w:spacing w:val="-12"/>
        </w:rPr>
        <w:t> </w:t>
      </w:r>
      <w:r>
        <w:rPr>
          <w:color w:val="231F20"/>
          <w:spacing w:val="-4"/>
        </w:rPr>
        <w:t>médicaux</w:t>
      </w:r>
      <w:r>
        <w:rPr>
          <w:color w:val="231F20"/>
          <w:spacing w:val="-13"/>
        </w:rPr>
        <w:t> </w:t>
      </w:r>
      <w:r>
        <w:rPr>
          <w:color w:val="231F20"/>
          <w:spacing w:val="-4"/>
        </w:rPr>
        <w:t>indispensables, </w:t>
      </w:r>
      <w:r>
        <w:rPr>
          <w:color w:val="231F20"/>
        </w:rPr>
        <w:t>dont ceux nécessaires à la production de nos</w:t>
      </w:r>
      <w:r>
        <w:rPr>
          <w:color w:val="231F20"/>
          <w:spacing w:val="-1"/>
        </w:rPr>
        <w:t> </w:t>
      </w:r>
      <w:r>
        <w:rPr>
          <w:color w:val="231F20"/>
        </w:rPr>
        <w:t>propres</w:t>
      </w:r>
      <w:r>
        <w:rPr>
          <w:color w:val="231F20"/>
          <w:spacing w:val="-1"/>
        </w:rPr>
        <w:t> </w:t>
      </w:r>
      <w:r>
        <w:rPr>
          <w:color w:val="231F20"/>
        </w:rPr>
        <w:t>vaccins.</w:t>
      </w:r>
      <w:r>
        <w:rPr>
          <w:color w:val="231F20"/>
          <w:spacing w:val="-1"/>
        </w:rPr>
        <w:t> </w:t>
      </w:r>
      <w:r>
        <w:rPr>
          <w:color w:val="231F20"/>
        </w:rPr>
        <w:t>Faisant</w:t>
      </w:r>
      <w:r>
        <w:rPr>
          <w:color w:val="231F20"/>
          <w:spacing w:val="-1"/>
        </w:rPr>
        <w:t> </w:t>
      </w:r>
      <w:r>
        <w:rPr>
          <w:color w:val="231F20"/>
        </w:rPr>
        <w:t>preuve</w:t>
      </w:r>
      <w:r>
        <w:rPr>
          <w:color w:val="231F20"/>
          <w:spacing w:val="-1"/>
        </w:rPr>
        <w:t> </w:t>
      </w:r>
      <w:r>
        <w:rPr>
          <w:color w:val="231F20"/>
        </w:rPr>
        <w:t>d’une bassesse</w:t>
      </w:r>
      <w:r>
        <w:rPr>
          <w:color w:val="231F20"/>
          <w:spacing w:val="-11"/>
        </w:rPr>
        <w:t> </w:t>
      </w:r>
      <w:r>
        <w:rPr>
          <w:color w:val="231F20"/>
        </w:rPr>
        <w:t>foncièrement</w:t>
      </w:r>
      <w:r>
        <w:rPr>
          <w:color w:val="231F20"/>
          <w:spacing w:val="-11"/>
        </w:rPr>
        <w:t> </w:t>
      </w:r>
      <w:r>
        <w:rPr>
          <w:color w:val="231F20"/>
        </w:rPr>
        <w:t>inhumaine,</w:t>
      </w:r>
      <w:r>
        <w:rPr>
          <w:color w:val="231F20"/>
          <w:spacing w:val="-11"/>
        </w:rPr>
        <w:t> </w:t>
      </w:r>
      <w:r>
        <w:rPr>
          <w:color w:val="231F20"/>
        </w:rPr>
        <w:t>elle</w:t>
      </w:r>
      <w:r>
        <w:rPr>
          <w:color w:val="231F20"/>
          <w:spacing w:val="-11"/>
        </w:rPr>
        <w:t> </w:t>
      </w:r>
      <w:r>
        <w:rPr>
          <w:color w:val="231F20"/>
        </w:rPr>
        <w:t>est même allée jusqu’à entraver nos achats </w:t>
      </w:r>
      <w:r>
        <w:rPr>
          <w:color w:val="231F20"/>
          <w:spacing w:val="-6"/>
        </w:rPr>
        <w:t>d’oxygène</w:t>
      </w:r>
      <w:r>
        <w:rPr>
          <w:color w:val="231F20"/>
          <w:spacing w:val="-11"/>
        </w:rPr>
        <w:t> </w:t>
      </w:r>
      <w:r>
        <w:rPr>
          <w:color w:val="231F20"/>
          <w:spacing w:val="-6"/>
        </w:rPr>
        <w:t>médicinal</w:t>
      </w:r>
      <w:r>
        <w:rPr>
          <w:color w:val="231F20"/>
          <w:spacing w:val="-10"/>
        </w:rPr>
        <w:t> </w:t>
      </w:r>
      <w:r>
        <w:rPr>
          <w:color w:val="231F20"/>
          <w:spacing w:val="-6"/>
        </w:rPr>
        <w:t>dans</w:t>
      </w:r>
      <w:r>
        <w:rPr>
          <w:color w:val="231F20"/>
          <w:spacing w:val="-11"/>
        </w:rPr>
        <w:t> </w:t>
      </w:r>
      <w:r>
        <w:rPr>
          <w:color w:val="231F20"/>
          <w:spacing w:val="-6"/>
        </w:rPr>
        <w:t>des</w:t>
      </w:r>
      <w:r>
        <w:rPr>
          <w:color w:val="231F20"/>
          <w:spacing w:val="-10"/>
        </w:rPr>
        <w:t> </w:t>
      </w:r>
      <w:r>
        <w:rPr>
          <w:color w:val="231F20"/>
          <w:spacing w:val="-6"/>
        </w:rPr>
        <w:t>pays</w:t>
      </w:r>
      <w:r>
        <w:rPr>
          <w:color w:val="231F20"/>
          <w:spacing w:val="-11"/>
        </w:rPr>
        <w:t> </w:t>
      </w:r>
      <w:r>
        <w:rPr>
          <w:color w:val="231F20"/>
          <w:spacing w:val="-6"/>
        </w:rPr>
        <w:t>tiers</w:t>
      </w:r>
      <w:r>
        <w:rPr>
          <w:color w:val="231F20"/>
          <w:spacing w:val="-10"/>
        </w:rPr>
        <w:t> </w:t>
      </w:r>
      <w:r>
        <w:rPr>
          <w:color w:val="231F20"/>
          <w:spacing w:val="-6"/>
        </w:rPr>
        <w:t>et</w:t>
      </w:r>
      <w:r>
        <w:rPr>
          <w:color w:val="231F20"/>
          <w:spacing w:val="-11"/>
        </w:rPr>
        <w:t> </w:t>
      </w:r>
      <w:r>
        <w:rPr>
          <w:color w:val="231F20"/>
          <w:spacing w:val="-6"/>
        </w:rPr>
        <w:t>à </w:t>
      </w:r>
      <w:r>
        <w:rPr>
          <w:color w:val="231F20"/>
          <w:spacing w:val="-8"/>
        </w:rPr>
        <w:t>interdire</w:t>
      </w:r>
      <w:r>
        <w:rPr>
          <w:color w:val="231F20"/>
          <w:spacing w:val="-9"/>
        </w:rPr>
        <w:t> </w:t>
      </w:r>
      <w:r>
        <w:rPr>
          <w:color w:val="231F20"/>
          <w:spacing w:val="-8"/>
        </w:rPr>
        <w:t>la vente</w:t>
      </w:r>
      <w:r>
        <w:rPr>
          <w:color w:val="231F20"/>
          <w:spacing w:val="-9"/>
        </w:rPr>
        <w:t> </w:t>
      </w:r>
      <w:r>
        <w:rPr>
          <w:color w:val="231F20"/>
          <w:spacing w:val="-8"/>
        </w:rPr>
        <w:t>de ventilateurs</w:t>
      </w:r>
      <w:r>
        <w:rPr>
          <w:color w:val="231F20"/>
          <w:spacing w:val="-9"/>
        </w:rPr>
        <w:t> </w:t>
      </w:r>
      <w:r>
        <w:rPr>
          <w:color w:val="231F20"/>
          <w:spacing w:val="-8"/>
        </w:rPr>
        <w:t>pulmonaires </w:t>
      </w:r>
      <w:r>
        <w:rPr>
          <w:color w:val="231F20"/>
        </w:rPr>
        <w:t>au</w:t>
      </w:r>
      <w:r>
        <w:rPr>
          <w:color w:val="231F20"/>
          <w:spacing w:val="-4"/>
        </w:rPr>
        <w:t> </w:t>
      </w:r>
      <w:r>
        <w:rPr>
          <w:color w:val="231F20"/>
        </w:rPr>
        <w:t>moment</w:t>
      </w:r>
      <w:r>
        <w:rPr>
          <w:color w:val="231F20"/>
          <w:spacing w:val="-4"/>
        </w:rPr>
        <w:t> </w:t>
      </w:r>
      <w:r>
        <w:rPr>
          <w:color w:val="231F20"/>
        </w:rPr>
        <w:t>où</w:t>
      </w:r>
      <w:r>
        <w:rPr>
          <w:color w:val="231F20"/>
          <w:spacing w:val="-4"/>
        </w:rPr>
        <w:t> </w:t>
      </w:r>
      <w:r>
        <w:rPr>
          <w:color w:val="231F20"/>
        </w:rPr>
        <w:t>notre</w:t>
      </w:r>
      <w:r>
        <w:rPr>
          <w:color w:val="231F20"/>
          <w:spacing w:val="-4"/>
        </w:rPr>
        <w:t> </w:t>
      </w:r>
      <w:r>
        <w:rPr>
          <w:color w:val="231F20"/>
        </w:rPr>
        <w:t>système</w:t>
      </w:r>
      <w:r>
        <w:rPr>
          <w:color w:val="231F20"/>
          <w:spacing w:val="-4"/>
        </w:rPr>
        <w:t> </w:t>
      </w:r>
      <w:r>
        <w:rPr>
          <w:color w:val="231F20"/>
        </w:rPr>
        <w:t>de</w:t>
      </w:r>
      <w:r>
        <w:rPr>
          <w:color w:val="231F20"/>
          <w:spacing w:val="-4"/>
        </w:rPr>
        <w:t> </w:t>
      </w:r>
      <w:r>
        <w:rPr>
          <w:color w:val="231F20"/>
        </w:rPr>
        <w:t>santé</w:t>
      </w:r>
      <w:r>
        <w:rPr>
          <w:color w:val="231F20"/>
          <w:spacing w:val="-4"/>
        </w:rPr>
        <w:t> </w:t>
      </w:r>
      <w:r>
        <w:rPr>
          <w:color w:val="231F20"/>
        </w:rPr>
        <w:t>en avait</w:t>
      </w:r>
      <w:r>
        <w:rPr>
          <w:color w:val="231F20"/>
          <w:spacing w:val="-12"/>
        </w:rPr>
        <w:t> </w:t>
      </w:r>
      <w:r>
        <w:rPr>
          <w:color w:val="231F20"/>
        </w:rPr>
        <w:t>le</w:t>
      </w:r>
      <w:r>
        <w:rPr>
          <w:color w:val="231F20"/>
          <w:spacing w:val="-12"/>
        </w:rPr>
        <w:t> </w:t>
      </w:r>
      <w:r>
        <w:rPr>
          <w:color w:val="231F20"/>
        </w:rPr>
        <w:t>plus</w:t>
      </w:r>
      <w:r>
        <w:rPr>
          <w:color w:val="231F20"/>
          <w:spacing w:val="-13"/>
        </w:rPr>
        <w:t> </w:t>
      </w:r>
      <w:r>
        <w:rPr>
          <w:color w:val="231F20"/>
        </w:rPr>
        <w:t>besoin</w:t>
      </w:r>
      <w:r>
        <w:rPr>
          <w:color w:val="231F20"/>
          <w:spacing w:val="-12"/>
        </w:rPr>
        <w:t> </w:t>
      </w:r>
      <w:r>
        <w:rPr>
          <w:color w:val="231F20"/>
        </w:rPr>
        <w:t>!</w:t>
      </w:r>
      <w:r>
        <w:rPr>
          <w:color w:val="231F20"/>
          <w:spacing w:val="-13"/>
        </w:rPr>
        <w:t> </w:t>
      </w:r>
      <w:r>
        <w:rPr>
          <w:color w:val="231F20"/>
        </w:rPr>
        <w:t>Heureusement,</w:t>
      </w:r>
      <w:r>
        <w:rPr>
          <w:color w:val="231F20"/>
          <w:spacing w:val="-12"/>
        </w:rPr>
        <w:t> </w:t>
      </w:r>
      <w:r>
        <w:rPr>
          <w:color w:val="231F20"/>
        </w:rPr>
        <w:t>notre peuple a su surmonter cette violation du </w:t>
      </w:r>
      <w:r>
        <w:rPr>
          <w:color w:val="231F20"/>
          <w:spacing w:val="-2"/>
        </w:rPr>
        <w:t>droit</w:t>
      </w:r>
      <w:r>
        <w:rPr>
          <w:color w:val="231F20"/>
          <w:spacing w:val="-13"/>
        </w:rPr>
        <w:t> </w:t>
      </w:r>
      <w:r>
        <w:rPr>
          <w:color w:val="231F20"/>
          <w:spacing w:val="-2"/>
        </w:rPr>
        <w:t>à</w:t>
      </w:r>
      <w:r>
        <w:rPr>
          <w:color w:val="231F20"/>
          <w:spacing w:val="-13"/>
        </w:rPr>
        <w:t> </w:t>
      </w:r>
      <w:r>
        <w:rPr>
          <w:color w:val="231F20"/>
          <w:spacing w:val="-2"/>
        </w:rPr>
        <w:t>la</w:t>
      </w:r>
      <w:r>
        <w:rPr>
          <w:color w:val="231F20"/>
          <w:spacing w:val="-13"/>
        </w:rPr>
        <w:t> </w:t>
      </w:r>
      <w:r>
        <w:rPr>
          <w:color w:val="231F20"/>
          <w:spacing w:val="-2"/>
        </w:rPr>
        <w:t>vie</w:t>
      </w:r>
      <w:r>
        <w:rPr>
          <w:color w:val="231F20"/>
          <w:spacing w:val="-13"/>
        </w:rPr>
        <w:t> </w:t>
      </w:r>
      <w:r>
        <w:rPr>
          <w:color w:val="231F20"/>
          <w:spacing w:val="-2"/>
        </w:rPr>
        <w:t>et</w:t>
      </w:r>
      <w:r>
        <w:rPr>
          <w:color w:val="231F20"/>
          <w:spacing w:val="-13"/>
        </w:rPr>
        <w:t> </w:t>
      </w:r>
      <w:r>
        <w:rPr>
          <w:color w:val="231F20"/>
          <w:spacing w:val="-2"/>
        </w:rPr>
        <w:t>mettre</w:t>
      </w:r>
      <w:r>
        <w:rPr>
          <w:color w:val="231F20"/>
          <w:spacing w:val="-13"/>
        </w:rPr>
        <w:t> </w:t>
      </w:r>
      <w:r>
        <w:rPr>
          <w:color w:val="231F20"/>
          <w:spacing w:val="-2"/>
        </w:rPr>
        <w:t>au</w:t>
      </w:r>
      <w:r>
        <w:rPr>
          <w:color w:val="231F20"/>
          <w:spacing w:val="-13"/>
        </w:rPr>
        <w:t> </w:t>
      </w:r>
      <w:r>
        <w:rPr>
          <w:color w:val="231F20"/>
          <w:spacing w:val="-2"/>
        </w:rPr>
        <w:t>point</w:t>
      </w:r>
      <w:r>
        <w:rPr>
          <w:color w:val="231F20"/>
          <w:spacing w:val="-13"/>
        </w:rPr>
        <w:t> </w:t>
      </w:r>
      <w:r>
        <w:rPr>
          <w:color w:val="231F20"/>
          <w:spacing w:val="-2"/>
        </w:rPr>
        <w:t>ses</w:t>
      </w:r>
      <w:r>
        <w:rPr>
          <w:color w:val="231F20"/>
          <w:spacing w:val="-13"/>
        </w:rPr>
        <w:t> </w:t>
      </w:r>
      <w:r>
        <w:rPr>
          <w:color w:val="231F20"/>
          <w:spacing w:val="-2"/>
        </w:rPr>
        <w:t>propres </w:t>
      </w:r>
      <w:r>
        <w:rPr>
          <w:color w:val="231F20"/>
        </w:rPr>
        <w:t>vaccins</w:t>
      </w:r>
      <w:r>
        <w:rPr>
          <w:color w:val="231F20"/>
          <w:spacing w:val="-5"/>
        </w:rPr>
        <w:t> </w:t>
      </w:r>
      <w:r>
        <w:rPr>
          <w:color w:val="231F20"/>
        </w:rPr>
        <w:t>nationaux.</w:t>
      </w:r>
    </w:p>
    <w:p>
      <w:pPr>
        <w:spacing w:before="173"/>
        <w:ind w:left="413" w:right="1140" w:firstLine="0"/>
        <w:jc w:val="both"/>
        <w:rPr>
          <w:rFonts w:ascii="Segoe UI Semibold" w:hAnsi="Segoe UI Semibold"/>
          <w:b/>
          <w:i/>
          <w:sz w:val="24"/>
        </w:rPr>
      </w:pPr>
      <w:r>
        <w:rPr>
          <w:color w:val="231F20"/>
          <w:spacing w:val="-12"/>
          <w:sz w:val="24"/>
        </w:rPr>
        <w:t>Les</w:t>
      </w:r>
      <w:r>
        <w:rPr>
          <w:color w:val="231F20"/>
          <w:sz w:val="24"/>
        </w:rPr>
        <w:t> </w:t>
      </w:r>
      <w:r>
        <w:rPr>
          <w:color w:val="231F20"/>
          <w:spacing w:val="-12"/>
          <w:sz w:val="24"/>
        </w:rPr>
        <w:t>conditions</w:t>
      </w:r>
      <w:r>
        <w:rPr>
          <w:color w:val="231F20"/>
          <w:sz w:val="24"/>
        </w:rPr>
        <w:t> </w:t>
      </w:r>
      <w:r>
        <w:rPr>
          <w:color w:val="231F20"/>
          <w:spacing w:val="-12"/>
          <w:sz w:val="24"/>
        </w:rPr>
        <w:t>exceptionnelles</w:t>
      </w:r>
      <w:r>
        <w:rPr>
          <w:color w:val="231F20"/>
          <w:sz w:val="24"/>
        </w:rPr>
        <w:t> </w:t>
      </w:r>
      <w:r>
        <w:rPr>
          <w:color w:val="231F20"/>
          <w:spacing w:val="-12"/>
          <w:sz w:val="24"/>
        </w:rPr>
        <w:t>dans</w:t>
      </w:r>
      <w:r>
        <w:rPr>
          <w:color w:val="231F20"/>
          <w:sz w:val="24"/>
        </w:rPr>
        <w:t> </w:t>
      </w:r>
      <w:r>
        <w:rPr>
          <w:color w:val="231F20"/>
          <w:spacing w:val="-12"/>
          <w:sz w:val="24"/>
        </w:rPr>
        <w:t>lesquelles </w:t>
      </w:r>
      <w:r>
        <w:rPr>
          <w:color w:val="231F20"/>
          <w:spacing w:val="-8"/>
          <w:sz w:val="24"/>
        </w:rPr>
        <w:t>Cuba</w:t>
      </w:r>
      <w:r>
        <w:rPr>
          <w:color w:val="231F20"/>
          <w:spacing w:val="-9"/>
          <w:sz w:val="24"/>
        </w:rPr>
        <w:t> </w:t>
      </w:r>
      <w:r>
        <w:rPr>
          <w:color w:val="231F20"/>
          <w:spacing w:val="-8"/>
          <w:sz w:val="24"/>
        </w:rPr>
        <w:t>a dû</w:t>
      </w:r>
      <w:r>
        <w:rPr>
          <w:color w:val="231F20"/>
          <w:spacing w:val="-9"/>
          <w:sz w:val="24"/>
        </w:rPr>
        <w:t> </w:t>
      </w:r>
      <w:r>
        <w:rPr>
          <w:color w:val="231F20"/>
          <w:spacing w:val="-8"/>
          <w:sz w:val="24"/>
        </w:rPr>
        <w:t>combattre le</w:t>
      </w:r>
      <w:r>
        <w:rPr>
          <w:color w:val="231F20"/>
          <w:spacing w:val="-9"/>
          <w:sz w:val="24"/>
        </w:rPr>
        <w:t> </w:t>
      </w:r>
      <w:r>
        <w:rPr>
          <w:color w:val="231F20"/>
          <w:spacing w:val="-8"/>
          <w:sz w:val="24"/>
        </w:rPr>
        <w:t>SARS-COV-2 ont</w:t>
      </w:r>
      <w:r>
        <w:rPr>
          <w:color w:val="231F20"/>
          <w:spacing w:val="-9"/>
          <w:sz w:val="24"/>
        </w:rPr>
        <w:t> </w:t>
      </w:r>
      <w:r>
        <w:rPr>
          <w:color w:val="231F20"/>
          <w:spacing w:val="-8"/>
          <w:sz w:val="24"/>
        </w:rPr>
        <w:t>été </w:t>
      </w:r>
      <w:r>
        <w:rPr>
          <w:color w:val="231F20"/>
          <w:sz w:val="24"/>
        </w:rPr>
        <w:t>reconnues</w:t>
      </w:r>
      <w:r>
        <w:rPr>
          <w:color w:val="231F20"/>
          <w:spacing w:val="-7"/>
          <w:sz w:val="24"/>
        </w:rPr>
        <w:t> </w:t>
      </w:r>
      <w:r>
        <w:rPr>
          <w:color w:val="231F20"/>
          <w:sz w:val="24"/>
        </w:rPr>
        <w:t>par</w:t>
      </w:r>
      <w:r>
        <w:rPr>
          <w:color w:val="231F20"/>
          <w:spacing w:val="-7"/>
          <w:sz w:val="24"/>
        </w:rPr>
        <w:t> </w:t>
      </w:r>
      <w:r>
        <w:rPr>
          <w:color w:val="231F20"/>
          <w:sz w:val="24"/>
        </w:rPr>
        <w:t>la</w:t>
      </w:r>
      <w:r>
        <w:rPr>
          <w:color w:val="231F20"/>
          <w:spacing w:val="-7"/>
          <w:sz w:val="24"/>
        </w:rPr>
        <w:t> </w:t>
      </w:r>
      <w:r>
        <w:rPr>
          <w:color w:val="231F20"/>
          <w:sz w:val="24"/>
        </w:rPr>
        <w:t>Rapporteuse</w:t>
      </w:r>
      <w:r>
        <w:rPr>
          <w:color w:val="231F20"/>
          <w:spacing w:val="-7"/>
          <w:sz w:val="24"/>
        </w:rPr>
        <w:t> </w:t>
      </w:r>
      <w:r>
        <w:rPr>
          <w:color w:val="231F20"/>
          <w:sz w:val="24"/>
        </w:rPr>
        <w:t>spéciale</w:t>
      </w:r>
      <w:r>
        <w:rPr>
          <w:color w:val="231F20"/>
          <w:spacing w:val="-7"/>
          <w:sz w:val="24"/>
        </w:rPr>
        <w:t> </w:t>
      </w:r>
      <w:r>
        <w:rPr>
          <w:color w:val="231F20"/>
          <w:sz w:val="24"/>
        </w:rPr>
        <w:t>du </w:t>
      </w:r>
      <w:r>
        <w:rPr>
          <w:color w:val="231F20"/>
          <w:spacing w:val="-2"/>
          <w:sz w:val="24"/>
        </w:rPr>
        <w:t>Conseil</w:t>
      </w:r>
      <w:r>
        <w:rPr>
          <w:color w:val="231F20"/>
          <w:spacing w:val="-12"/>
          <w:sz w:val="24"/>
        </w:rPr>
        <w:t> </w:t>
      </w:r>
      <w:r>
        <w:rPr>
          <w:color w:val="231F20"/>
          <w:spacing w:val="-2"/>
          <w:sz w:val="24"/>
        </w:rPr>
        <w:t>des</w:t>
      </w:r>
      <w:r>
        <w:rPr>
          <w:color w:val="231F20"/>
          <w:spacing w:val="-12"/>
          <w:sz w:val="24"/>
        </w:rPr>
        <w:t> </w:t>
      </w:r>
      <w:r>
        <w:rPr>
          <w:color w:val="231F20"/>
          <w:spacing w:val="-2"/>
          <w:sz w:val="24"/>
        </w:rPr>
        <w:t>droits</w:t>
      </w:r>
      <w:r>
        <w:rPr>
          <w:color w:val="231F20"/>
          <w:spacing w:val="-12"/>
          <w:sz w:val="24"/>
        </w:rPr>
        <w:t> </w:t>
      </w:r>
      <w:r>
        <w:rPr>
          <w:color w:val="231F20"/>
          <w:spacing w:val="-2"/>
          <w:sz w:val="24"/>
        </w:rPr>
        <w:t>de</w:t>
      </w:r>
      <w:r>
        <w:rPr>
          <w:color w:val="231F20"/>
          <w:spacing w:val="-12"/>
          <w:sz w:val="24"/>
        </w:rPr>
        <w:t> </w:t>
      </w:r>
      <w:r>
        <w:rPr>
          <w:color w:val="231F20"/>
          <w:spacing w:val="-2"/>
          <w:sz w:val="24"/>
        </w:rPr>
        <w:t>l’homme</w:t>
      </w:r>
      <w:r>
        <w:rPr>
          <w:color w:val="231F20"/>
          <w:spacing w:val="-12"/>
          <w:sz w:val="24"/>
        </w:rPr>
        <w:t> </w:t>
      </w:r>
      <w:r>
        <w:rPr>
          <w:color w:val="231F20"/>
          <w:spacing w:val="-2"/>
          <w:sz w:val="24"/>
        </w:rPr>
        <w:t>des</w:t>
      </w:r>
      <w:r>
        <w:rPr>
          <w:color w:val="231F20"/>
          <w:spacing w:val="-12"/>
          <w:sz w:val="24"/>
        </w:rPr>
        <w:t> </w:t>
      </w:r>
      <w:r>
        <w:rPr>
          <w:color w:val="231F20"/>
          <w:spacing w:val="-2"/>
          <w:sz w:val="24"/>
        </w:rPr>
        <w:t>Nations </w:t>
      </w:r>
      <w:r>
        <w:rPr>
          <w:color w:val="231F20"/>
          <w:sz w:val="24"/>
        </w:rPr>
        <w:t>Unies sur les effets négatifs des mesures </w:t>
      </w:r>
      <w:r>
        <w:rPr>
          <w:color w:val="231F20"/>
          <w:spacing w:val="-12"/>
          <w:sz w:val="24"/>
        </w:rPr>
        <w:t>coercitives</w:t>
      </w:r>
      <w:r>
        <w:rPr>
          <w:color w:val="231F20"/>
          <w:sz w:val="24"/>
        </w:rPr>
        <w:t> </w:t>
      </w:r>
      <w:r>
        <w:rPr>
          <w:color w:val="231F20"/>
          <w:spacing w:val="-12"/>
          <w:sz w:val="24"/>
        </w:rPr>
        <w:t>unilatérales</w:t>
      </w:r>
      <w:r>
        <w:rPr>
          <w:color w:val="231F20"/>
          <w:sz w:val="24"/>
        </w:rPr>
        <w:t> </w:t>
      </w:r>
      <w:r>
        <w:rPr>
          <w:color w:val="231F20"/>
          <w:spacing w:val="-12"/>
          <w:sz w:val="24"/>
        </w:rPr>
        <w:t>sur</w:t>
      </w:r>
      <w:r>
        <w:rPr>
          <w:color w:val="231F20"/>
          <w:sz w:val="24"/>
        </w:rPr>
        <w:t> </w:t>
      </w:r>
      <w:r>
        <w:rPr>
          <w:color w:val="231F20"/>
          <w:spacing w:val="-12"/>
          <w:sz w:val="24"/>
        </w:rPr>
        <w:t>l’exercice</w:t>
      </w:r>
      <w:r>
        <w:rPr>
          <w:color w:val="231F20"/>
          <w:sz w:val="24"/>
        </w:rPr>
        <w:t> </w:t>
      </w:r>
      <w:r>
        <w:rPr>
          <w:color w:val="231F20"/>
          <w:spacing w:val="-12"/>
          <w:sz w:val="24"/>
        </w:rPr>
        <w:t>des</w:t>
      </w:r>
      <w:r>
        <w:rPr>
          <w:color w:val="231F20"/>
          <w:sz w:val="24"/>
        </w:rPr>
        <w:t> </w:t>
      </w:r>
      <w:r>
        <w:rPr>
          <w:color w:val="231F20"/>
          <w:spacing w:val="-12"/>
          <w:sz w:val="24"/>
        </w:rPr>
        <w:t>droits </w:t>
      </w:r>
      <w:r>
        <w:rPr>
          <w:color w:val="231F20"/>
          <w:spacing w:val="-6"/>
          <w:sz w:val="24"/>
        </w:rPr>
        <w:t>de</w:t>
      </w:r>
      <w:r>
        <w:rPr>
          <w:color w:val="231F20"/>
          <w:spacing w:val="-11"/>
          <w:sz w:val="24"/>
        </w:rPr>
        <w:t> </w:t>
      </w:r>
      <w:r>
        <w:rPr>
          <w:color w:val="231F20"/>
          <w:spacing w:val="-6"/>
          <w:sz w:val="24"/>
        </w:rPr>
        <w:t>l’homme,</w:t>
      </w:r>
      <w:r>
        <w:rPr>
          <w:color w:val="231F20"/>
          <w:spacing w:val="-10"/>
          <w:sz w:val="24"/>
        </w:rPr>
        <w:t> </w:t>
      </w:r>
      <w:r>
        <w:rPr>
          <w:color w:val="231F20"/>
          <w:spacing w:val="-6"/>
          <w:sz w:val="24"/>
        </w:rPr>
        <w:t>qui</w:t>
      </w:r>
      <w:r>
        <w:rPr>
          <w:color w:val="231F20"/>
          <w:spacing w:val="-11"/>
          <w:sz w:val="24"/>
        </w:rPr>
        <w:t> </w:t>
      </w:r>
      <w:r>
        <w:rPr>
          <w:color w:val="231F20"/>
          <w:spacing w:val="-6"/>
          <w:sz w:val="24"/>
        </w:rPr>
        <w:t>a</w:t>
      </w:r>
      <w:r>
        <w:rPr>
          <w:color w:val="231F20"/>
          <w:spacing w:val="-10"/>
          <w:sz w:val="24"/>
        </w:rPr>
        <w:t> </w:t>
      </w:r>
      <w:r>
        <w:rPr>
          <w:color w:val="231F20"/>
          <w:spacing w:val="-6"/>
          <w:sz w:val="24"/>
        </w:rPr>
        <w:t>déclaré</w:t>
      </w:r>
      <w:r>
        <w:rPr>
          <w:color w:val="231F20"/>
          <w:spacing w:val="-11"/>
          <w:sz w:val="24"/>
        </w:rPr>
        <w:t> </w:t>
      </w:r>
      <w:r>
        <w:rPr>
          <w:color w:val="231F20"/>
          <w:spacing w:val="-6"/>
          <w:sz w:val="24"/>
        </w:rPr>
        <w:t>le</w:t>
      </w:r>
      <w:r>
        <w:rPr>
          <w:color w:val="231F20"/>
          <w:spacing w:val="-10"/>
          <w:sz w:val="24"/>
        </w:rPr>
        <w:t> </w:t>
      </w:r>
      <w:r>
        <w:rPr>
          <w:color w:val="231F20"/>
          <w:spacing w:val="-6"/>
          <w:sz w:val="24"/>
        </w:rPr>
        <w:t>4</w:t>
      </w:r>
      <w:r>
        <w:rPr>
          <w:color w:val="231F20"/>
          <w:spacing w:val="-11"/>
          <w:sz w:val="24"/>
        </w:rPr>
        <w:t> </w:t>
      </w:r>
      <w:r>
        <w:rPr>
          <w:color w:val="231F20"/>
          <w:spacing w:val="-6"/>
          <w:sz w:val="24"/>
        </w:rPr>
        <w:t>mai</w:t>
      </w:r>
      <w:r>
        <w:rPr>
          <w:color w:val="231F20"/>
          <w:spacing w:val="-10"/>
          <w:sz w:val="24"/>
        </w:rPr>
        <w:t> </w:t>
      </w:r>
      <w:r>
        <w:rPr>
          <w:color w:val="231F20"/>
          <w:spacing w:val="-6"/>
          <w:sz w:val="24"/>
        </w:rPr>
        <w:t>2023,</w:t>
      </w:r>
      <w:r>
        <w:rPr>
          <w:color w:val="231F20"/>
          <w:spacing w:val="-10"/>
          <w:sz w:val="24"/>
        </w:rPr>
        <w:t> </w:t>
      </w:r>
      <w:r>
        <w:rPr>
          <w:color w:val="231F20"/>
          <w:spacing w:val="-6"/>
          <w:sz w:val="24"/>
        </w:rPr>
        <w:t>lors </w:t>
      </w:r>
      <w:r>
        <w:rPr>
          <w:color w:val="231F20"/>
          <w:spacing w:val="-8"/>
          <w:sz w:val="24"/>
        </w:rPr>
        <w:t>d’une</w:t>
      </w:r>
      <w:r>
        <w:rPr>
          <w:color w:val="231F20"/>
          <w:spacing w:val="-9"/>
          <w:sz w:val="24"/>
        </w:rPr>
        <w:t> </w:t>
      </w:r>
      <w:r>
        <w:rPr>
          <w:color w:val="231F20"/>
          <w:spacing w:val="-8"/>
          <w:sz w:val="24"/>
        </w:rPr>
        <w:t>conférence donnée</w:t>
      </w:r>
      <w:r>
        <w:rPr>
          <w:color w:val="231F20"/>
          <w:spacing w:val="-9"/>
          <w:sz w:val="24"/>
        </w:rPr>
        <w:t> </w:t>
      </w:r>
      <w:r>
        <w:rPr>
          <w:color w:val="231F20"/>
          <w:spacing w:val="-8"/>
          <w:sz w:val="24"/>
        </w:rPr>
        <w:t>à l’Université</w:t>
      </w:r>
      <w:r>
        <w:rPr>
          <w:color w:val="231F20"/>
          <w:spacing w:val="-9"/>
          <w:sz w:val="24"/>
        </w:rPr>
        <w:t> </w:t>
      </w:r>
      <w:r>
        <w:rPr>
          <w:color w:val="231F20"/>
          <w:spacing w:val="-8"/>
          <w:sz w:val="24"/>
        </w:rPr>
        <w:t>de La </w:t>
      </w:r>
      <w:r>
        <w:rPr>
          <w:color w:val="231F20"/>
          <w:spacing w:val="-10"/>
          <w:sz w:val="24"/>
        </w:rPr>
        <w:t>Havane</w:t>
      </w:r>
      <w:r>
        <w:rPr>
          <w:color w:val="231F20"/>
          <w:spacing w:val="-7"/>
          <w:sz w:val="24"/>
        </w:rPr>
        <w:t> </w:t>
      </w:r>
      <w:r>
        <w:rPr>
          <w:color w:val="231F20"/>
          <w:spacing w:val="-10"/>
          <w:sz w:val="24"/>
        </w:rPr>
        <w:t>dans</w:t>
      </w:r>
      <w:r>
        <w:rPr>
          <w:color w:val="231F20"/>
          <w:spacing w:val="-6"/>
          <w:sz w:val="24"/>
        </w:rPr>
        <w:t> </w:t>
      </w:r>
      <w:r>
        <w:rPr>
          <w:color w:val="231F20"/>
          <w:spacing w:val="-10"/>
          <w:sz w:val="24"/>
        </w:rPr>
        <w:t>le</w:t>
      </w:r>
      <w:r>
        <w:rPr>
          <w:color w:val="231F20"/>
          <w:spacing w:val="-7"/>
          <w:sz w:val="24"/>
        </w:rPr>
        <w:t> </w:t>
      </w:r>
      <w:r>
        <w:rPr>
          <w:color w:val="231F20"/>
          <w:spacing w:val="-10"/>
          <w:sz w:val="24"/>
        </w:rPr>
        <w:t>cadre</w:t>
      </w:r>
      <w:r>
        <w:rPr>
          <w:color w:val="231F20"/>
          <w:spacing w:val="-6"/>
          <w:sz w:val="24"/>
        </w:rPr>
        <w:t> </w:t>
      </w:r>
      <w:r>
        <w:rPr>
          <w:color w:val="231F20"/>
          <w:spacing w:val="-10"/>
          <w:sz w:val="24"/>
        </w:rPr>
        <w:t>de</w:t>
      </w:r>
      <w:r>
        <w:rPr>
          <w:color w:val="231F20"/>
          <w:spacing w:val="-7"/>
          <w:sz w:val="24"/>
        </w:rPr>
        <w:t> </w:t>
      </w:r>
      <w:r>
        <w:rPr>
          <w:color w:val="231F20"/>
          <w:spacing w:val="-10"/>
          <w:sz w:val="24"/>
        </w:rPr>
        <w:t>sa</w:t>
      </w:r>
      <w:r>
        <w:rPr>
          <w:color w:val="231F20"/>
          <w:spacing w:val="-6"/>
          <w:sz w:val="24"/>
        </w:rPr>
        <w:t> </w:t>
      </w:r>
      <w:r>
        <w:rPr>
          <w:color w:val="231F20"/>
          <w:spacing w:val="-10"/>
          <w:sz w:val="24"/>
        </w:rPr>
        <w:t>visite</w:t>
      </w:r>
      <w:r>
        <w:rPr>
          <w:color w:val="231F20"/>
          <w:spacing w:val="-7"/>
          <w:sz w:val="24"/>
        </w:rPr>
        <w:t> </w:t>
      </w:r>
      <w:r>
        <w:rPr>
          <w:color w:val="231F20"/>
          <w:spacing w:val="-10"/>
          <w:sz w:val="24"/>
        </w:rPr>
        <w:t>universitaire </w:t>
      </w:r>
      <w:r>
        <w:rPr>
          <w:color w:val="231F20"/>
          <w:spacing w:val="-14"/>
          <w:sz w:val="24"/>
        </w:rPr>
        <w:t>dans</w:t>
      </w:r>
      <w:r>
        <w:rPr>
          <w:color w:val="231F20"/>
          <w:spacing w:val="-3"/>
          <w:sz w:val="24"/>
        </w:rPr>
        <w:t> </w:t>
      </w:r>
      <w:r>
        <w:rPr>
          <w:color w:val="231F20"/>
          <w:spacing w:val="-14"/>
          <w:sz w:val="24"/>
        </w:rPr>
        <w:t>l’île</w:t>
      </w:r>
      <w:r>
        <w:rPr>
          <w:color w:val="231F20"/>
          <w:spacing w:val="-2"/>
          <w:sz w:val="24"/>
        </w:rPr>
        <w:t> </w:t>
      </w:r>
      <w:r>
        <w:rPr>
          <w:color w:val="231F20"/>
          <w:spacing w:val="-14"/>
          <w:sz w:val="24"/>
        </w:rPr>
        <w:t>:</w:t>
      </w:r>
      <w:r>
        <w:rPr>
          <w:color w:val="231F20"/>
          <w:spacing w:val="-3"/>
          <w:sz w:val="24"/>
        </w:rPr>
        <w:t> </w:t>
      </w:r>
      <w:r>
        <w:rPr>
          <w:rFonts w:ascii="Segoe UI Semibold" w:hAnsi="Segoe UI Semibold"/>
          <w:b/>
          <w:i/>
          <w:color w:val="231F20"/>
          <w:spacing w:val="-14"/>
          <w:sz w:val="24"/>
        </w:rPr>
        <w:t>«</w:t>
      </w:r>
      <w:r>
        <w:rPr>
          <w:rFonts w:ascii="Segoe UI Semibold" w:hAnsi="Segoe UI Semibold"/>
          <w:b/>
          <w:i/>
          <w:color w:val="231F20"/>
          <w:spacing w:val="-2"/>
          <w:sz w:val="24"/>
        </w:rPr>
        <w:t> </w:t>
      </w:r>
      <w:r>
        <w:rPr>
          <w:rFonts w:ascii="Segoe UI Semibold" w:hAnsi="Segoe UI Semibold"/>
          <w:b/>
          <w:i/>
          <w:color w:val="231F20"/>
          <w:spacing w:val="-14"/>
          <w:sz w:val="24"/>
        </w:rPr>
        <w:t>Cuba</w:t>
      </w:r>
      <w:r>
        <w:rPr>
          <w:rFonts w:ascii="Segoe UI Semibold" w:hAnsi="Segoe UI Semibold"/>
          <w:b/>
          <w:i/>
          <w:color w:val="231F20"/>
          <w:spacing w:val="-3"/>
          <w:sz w:val="24"/>
        </w:rPr>
        <w:t> </w:t>
      </w:r>
      <w:r>
        <w:rPr>
          <w:rFonts w:ascii="Segoe UI Semibold" w:hAnsi="Segoe UI Semibold"/>
          <w:b/>
          <w:i/>
          <w:color w:val="231F20"/>
          <w:spacing w:val="-14"/>
          <w:sz w:val="24"/>
        </w:rPr>
        <w:t>a</w:t>
      </w:r>
      <w:r>
        <w:rPr>
          <w:rFonts w:ascii="Segoe UI Semibold" w:hAnsi="Segoe UI Semibold"/>
          <w:b/>
          <w:i/>
          <w:color w:val="231F20"/>
          <w:spacing w:val="-2"/>
          <w:sz w:val="24"/>
        </w:rPr>
        <w:t> </w:t>
      </w:r>
      <w:r>
        <w:rPr>
          <w:rFonts w:ascii="Segoe UI Semibold" w:hAnsi="Segoe UI Semibold"/>
          <w:b/>
          <w:i/>
          <w:color w:val="231F20"/>
          <w:spacing w:val="-14"/>
          <w:sz w:val="24"/>
        </w:rPr>
        <w:t>été</w:t>
      </w:r>
      <w:r>
        <w:rPr>
          <w:rFonts w:ascii="Segoe UI Semibold" w:hAnsi="Segoe UI Semibold"/>
          <w:b/>
          <w:i/>
          <w:color w:val="231F20"/>
          <w:spacing w:val="-3"/>
          <w:sz w:val="24"/>
        </w:rPr>
        <w:t> </w:t>
      </w:r>
      <w:r>
        <w:rPr>
          <w:rFonts w:ascii="Segoe UI Semibold" w:hAnsi="Segoe UI Semibold"/>
          <w:b/>
          <w:i/>
          <w:color w:val="231F20"/>
          <w:spacing w:val="-14"/>
          <w:sz w:val="24"/>
        </w:rPr>
        <w:t>le</w:t>
      </w:r>
      <w:r>
        <w:rPr>
          <w:rFonts w:ascii="Segoe UI Semibold" w:hAnsi="Segoe UI Semibold"/>
          <w:b/>
          <w:i/>
          <w:color w:val="231F20"/>
          <w:spacing w:val="-2"/>
          <w:sz w:val="24"/>
        </w:rPr>
        <w:t> </w:t>
      </w:r>
      <w:r>
        <w:rPr>
          <w:rFonts w:ascii="Segoe UI Semibold" w:hAnsi="Segoe UI Semibold"/>
          <w:b/>
          <w:i/>
          <w:color w:val="231F20"/>
          <w:spacing w:val="-14"/>
          <w:sz w:val="24"/>
        </w:rPr>
        <w:t>seul</w:t>
      </w:r>
      <w:r>
        <w:rPr>
          <w:rFonts w:ascii="Segoe UI Semibold" w:hAnsi="Segoe UI Semibold"/>
          <w:b/>
          <w:i/>
          <w:color w:val="231F20"/>
          <w:spacing w:val="-3"/>
          <w:sz w:val="24"/>
        </w:rPr>
        <w:t> </w:t>
      </w:r>
      <w:r>
        <w:rPr>
          <w:rFonts w:ascii="Segoe UI Semibold" w:hAnsi="Segoe UI Semibold"/>
          <w:b/>
          <w:i/>
          <w:color w:val="231F20"/>
          <w:spacing w:val="-14"/>
          <w:sz w:val="24"/>
        </w:rPr>
        <w:t>pays</w:t>
      </w:r>
      <w:r>
        <w:rPr>
          <w:rFonts w:ascii="Segoe UI Semibold" w:hAnsi="Segoe UI Semibold"/>
          <w:b/>
          <w:i/>
          <w:color w:val="231F20"/>
          <w:spacing w:val="-2"/>
          <w:sz w:val="24"/>
        </w:rPr>
        <w:t> </w:t>
      </w:r>
      <w:r>
        <w:rPr>
          <w:rFonts w:ascii="Segoe UI Semibold" w:hAnsi="Segoe UI Semibold"/>
          <w:b/>
          <w:i/>
          <w:color w:val="231F20"/>
          <w:spacing w:val="-14"/>
          <w:sz w:val="24"/>
        </w:rPr>
        <w:t>au</w:t>
      </w:r>
      <w:r>
        <w:rPr>
          <w:rFonts w:ascii="Segoe UI Semibold" w:hAnsi="Segoe UI Semibold"/>
          <w:b/>
          <w:i/>
          <w:color w:val="231F20"/>
          <w:spacing w:val="-3"/>
          <w:sz w:val="24"/>
        </w:rPr>
        <w:t> </w:t>
      </w:r>
      <w:r>
        <w:rPr>
          <w:rFonts w:ascii="Segoe UI Semibold" w:hAnsi="Segoe UI Semibold"/>
          <w:b/>
          <w:i/>
          <w:color w:val="231F20"/>
          <w:spacing w:val="-14"/>
          <w:sz w:val="24"/>
        </w:rPr>
        <w:t>monde</w:t>
      </w:r>
      <w:r>
        <w:rPr>
          <w:rFonts w:ascii="Segoe UI Semibold" w:hAnsi="Segoe UI Semibold"/>
          <w:b/>
          <w:i/>
          <w:color w:val="231F20"/>
          <w:spacing w:val="-14"/>
          <w:sz w:val="24"/>
        </w:rPr>
        <w:t> </w:t>
      </w:r>
      <w:r>
        <w:rPr>
          <w:rFonts w:ascii="Segoe UI Semibold" w:hAnsi="Segoe UI Semibold"/>
          <w:b/>
          <w:i/>
          <w:color w:val="231F20"/>
          <w:sz w:val="24"/>
        </w:rPr>
        <w:t>où AliExpress n’a pu faire parvenir des donations</w:t>
      </w:r>
      <w:r>
        <w:rPr>
          <w:rFonts w:ascii="Segoe UI Semibold" w:hAnsi="Segoe UI Semibold"/>
          <w:b/>
          <w:i/>
          <w:color w:val="231F20"/>
          <w:spacing w:val="-13"/>
          <w:sz w:val="24"/>
        </w:rPr>
        <w:t> </w:t>
      </w:r>
      <w:r>
        <w:rPr>
          <w:rFonts w:ascii="Segoe UI Semibold" w:hAnsi="Segoe UI Semibold"/>
          <w:b/>
          <w:i/>
          <w:color w:val="231F20"/>
          <w:sz w:val="24"/>
        </w:rPr>
        <w:t>à</w:t>
      </w:r>
      <w:r>
        <w:rPr>
          <w:rFonts w:ascii="Segoe UI Semibold" w:hAnsi="Segoe UI Semibold"/>
          <w:b/>
          <w:i/>
          <w:color w:val="231F20"/>
          <w:spacing w:val="-13"/>
          <w:sz w:val="24"/>
        </w:rPr>
        <w:t> </w:t>
      </w:r>
      <w:r>
        <w:rPr>
          <w:rFonts w:ascii="Segoe UI Semibold" w:hAnsi="Segoe UI Semibold"/>
          <w:b/>
          <w:i/>
          <w:color w:val="231F20"/>
          <w:sz w:val="24"/>
        </w:rPr>
        <w:t>cause</w:t>
      </w:r>
      <w:r>
        <w:rPr>
          <w:rFonts w:ascii="Segoe UI Semibold" w:hAnsi="Segoe UI Semibold"/>
          <w:b/>
          <w:i/>
          <w:color w:val="231F20"/>
          <w:spacing w:val="-13"/>
          <w:sz w:val="24"/>
        </w:rPr>
        <w:t> </w:t>
      </w:r>
      <w:r>
        <w:rPr>
          <w:rFonts w:ascii="Segoe UI Semibold" w:hAnsi="Segoe UI Semibold"/>
          <w:b/>
          <w:i/>
          <w:color w:val="231F20"/>
          <w:sz w:val="24"/>
        </w:rPr>
        <w:t>de</w:t>
      </w:r>
      <w:r>
        <w:rPr>
          <w:rFonts w:ascii="Segoe UI Semibold" w:hAnsi="Segoe UI Semibold"/>
          <w:b/>
          <w:i/>
          <w:color w:val="231F20"/>
          <w:spacing w:val="-13"/>
          <w:sz w:val="24"/>
        </w:rPr>
        <w:t> </w:t>
      </w:r>
      <w:r>
        <w:rPr>
          <w:rFonts w:ascii="Segoe UI Semibold" w:hAnsi="Segoe UI Semibold"/>
          <w:b/>
          <w:i/>
          <w:color w:val="231F20"/>
          <w:sz w:val="24"/>
        </w:rPr>
        <w:t>l’effet</w:t>
      </w:r>
      <w:r>
        <w:rPr>
          <w:rFonts w:ascii="Segoe UI Semibold" w:hAnsi="Segoe UI Semibold"/>
          <w:b/>
          <w:i/>
          <w:color w:val="231F20"/>
          <w:spacing w:val="-13"/>
          <w:sz w:val="24"/>
        </w:rPr>
        <w:t> </w:t>
      </w:r>
      <w:r>
        <w:rPr>
          <w:rFonts w:ascii="Segoe UI Semibold" w:hAnsi="Segoe UI Semibold"/>
          <w:b/>
          <w:i/>
          <w:color w:val="231F20"/>
          <w:sz w:val="24"/>
        </w:rPr>
        <w:t>de</w:t>
      </w:r>
      <w:r>
        <w:rPr>
          <w:rFonts w:ascii="Segoe UI Semibold" w:hAnsi="Segoe UI Semibold"/>
          <w:b/>
          <w:i/>
          <w:color w:val="231F20"/>
          <w:spacing w:val="-13"/>
          <w:sz w:val="24"/>
        </w:rPr>
        <w:t> </w:t>
      </w:r>
      <w:r>
        <w:rPr>
          <w:rFonts w:ascii="Segoe UI Semibold" w:hAnsi="Segoe UI Semibold"/>
          <w:b/>
          <w:i/>
          <w:color w:val="231F20"/>
          <w:sz w:val="24"/>
        </w:rPr>
        <w:t>dissuasion qu’exercent</w:t>
      </w:r>
      <w:r>
        <w:rPr>
          <w:rFonts w:ascii="Segoe UI Semibold" w:hAnsi="Segoe UI Semibold"/>
          <w:b/>
          <w:i/>
          <w:color w:val="231F20"/>
          <w:spacing w:val="-14"/>
          <w:sz w:val="24"/>
        </w:rPr>
        <w:t> </w:t>
      </w:r>
      <w:r>
        <w:rPr>
          <w:rFonts w:ascii="Segoe UI Semibold" w:hAnsi="Segoe UI Semibold"/>
          <w:b/>
          <w:i/>
          <w:color w:val="231F20"/>
          <w:sz w:val="24"/>
        </w:rPr>
        <w:t>les</w:t>
      </w:r>
      <w:r>
        <w:rPr>
          <w:rFonts w:ascii="Segoe UI Semibold" w:hAnsi="Segoe UI Semibold"/>
          <w:b/>
          <w:i/>
          <w:color w:val="231F20"/>
          <w:spacing w:val="-14"/>
          <w:sz w:val="24"/>
        </w:rPr>
        <w:t> </w:t>
      </w:r>
      <w:r>
        <w:rPr>
          <w:rFonts w:ascii="Segoe UI Semibold" w:hAnsi="Segoe UI Semibold"/>
          <w:b/>
          <w:i/>
          <w:color w:val="231F20"/>
          <w:sz w:val="24"/>
        </w:rPr>
        <w:t>sanctions</w:t>
      </w:r>
      <w:r>
        <w:rPr>
          <w:rFonts w:ascii="Segoe UI Semibold" w:hAnsi="Segoe UI Semibold"/>
          <w:b/>
          <w:i/>
          <w:color w:val="231F20"/>
          <w:spacing w:val="-14"/>
          <w:sz w:val="24"/>
        </w:rPr>
        <w:t> </w:t>
      </w:r>
      <w:r>
        <w:rPr>
          <w:rFonts w:ascii="Segoe UI Semibold" w:hAnsi="Segoe UI Semibold"/>
          <w:b/>
          <w:i/>
          <w:color w:val="231F20"/>
          <w:sz w:val="24"/>
        </w:rPr>
        <w:t>unilatérales</w:t>
      </w:r>
      <w:r>
        <w:rPr>
          <w:rFonts w:ascii="Segoe UI Semibold" w:hAnsi="Segoe UI Semibold"/>
          <w:b/>
          <w:i/>
          <w:color w:val="231F20"/>
          <w:spacing w:val="-14"/>
          <w:sz w:val="24"/>
        </w:rPr>
        <w:t> </w:t>
      </w:r>
      <w:r>
        <w:rPr>
          <w:rFonts w:ascii="Segoe UI Semibold" w:hAnsi="Segoe UI Semibold"/>
          <w:b/>
          <w:i/>
          <w:color w:val="231F20"/>
          <w:sz w:val="24"/>
        </w:rPr>
        <w:t>des </w:t>
      </w:r>
      <w:r>
        <w:rPr>
          <w:rFonts w:ascii="Segoe UI Semibold" w:hAnsi="Segoe UI Semibold"/>
          <w:b/>
          <w:i/>
          <w:color w:val="231F20"/>
          <w:spacing w:val="-2"/>
          <w:sz w:val="24"/>
        </w:rPr>
        <w:t>États-Unis.</w:t>
      </w:r>
      <w:r>
        <w:rPr>
          <w:rFonts w:ascii="Segoe UI Semibold" w:hAnsi="Segoe UI Semibold"/>
          <w:b/>
          <w:i/>
          <w:color w:val="231F20"/>
          <w:spacing w:val="-20"/>
          <w:sz w:val="24"/>
        </w:rPr>
        <w:t> </w:t>
      </w:r>
      <w:r>
        <w:rPr>
          <w:rFonts w:ascii="Segoe UI Semibold" w:hAnsi="Segoe UI Semibold"/>
          <w:b/>
          <w:i/>
          <w:color w:val="231F20"/>
          <w:spacing w:val="-2"/>
          <w:sz w:val="24"/>
        </w:rPr>
        <w:t>C’est</w:t>
      </w:r>
      <w:r>
        <w:rPr>
          <w:rFonts w:ascii="Segoe UI Semibold" w:hAnsi="Segoe UI Semibold"/>
          <w:b/>
          <w:i/>
          <w:color w:val="231F20"/>
          <w:spacing w:val="-20"/>
          <w:sz w:val="24"/>
        </w:rPr>
        <w:t> </w:t>
      </w:r>
      <w:r>
        <w:rPr>
          <w:rFonts w:ascii="Segoe UI Semibold" w:hAnsi="Segoe UI Semibold"/>
          <w:b/>
          <w:i/>
          <w:color w:val="231F20"/>
          <w:spacing w:val="-2"/>
          <w:sz w:val="24"/>
        </w:rPr>
        <w:t>illégal.</w:t>
      </w:r>
      <w:r>
        <w:rPr>
          <w:rFonts w:ascii="Segoe UI Semibold" w:hAnsi="Segoe UI Semibold"/>
          <w:b/>
          <w:i/>
          <w:color w:val="231F20"/>
          <w:spacing w:val="-20"/>
          <w:sz w:val="24"/>
        </w:rPr>
        <w:t> </w:t>
      </w:r>
      <w:r>
        <w:rPr>
          <w:rFonts w:ascii="Segoe UI Semibold" w:hAnsi="Segoe UI Semibold"/>
          <w:b/>
          <w:i/>
          <w:color w:val="231F20"/>
          <w:spacing w:val="-2"/>
          <w:sz w:val="24"/>
        </w:rPr>
        <w:t>»</w:t>
      </w:r>
    </w:p>
    <w:p>
      <w:pPr>
        <w:pStyle w:val="BodyText"/>
        <w:spacing w:before="166"/>
        <w:ind w:left="413"/>
        <w:jc w:val="left"/>
      </w:pPr>
      <w:r>
        <w:rPr>
          <w:color w:val="231F20"/>
          <w:spacing w:val="-4"/>
        </w:rPr>
        <w:t>Des</w:t>
      </w:r>
      <w:r>
        <w:rPr>
          <w:color w:val="231F20"/>
          <w:spacing w:val="-38"/>
        </w:rPr>
        <w:t> </w:t>
      </w:r>
      <w:r>
        <w:rPr>
          <w:color w:val="231F20"/>
          <w:spacing w:val="-4"/>
        </w:rPr>
        <w:t>dizaines</w:t>
      </w:r>
      <w:r>
        <w:rPr>
          <w:color w:val="231F20"/>
          <w:spacing w:val="-37"/>
        </w:rPr>
        <w:t> </w:t>
      </w:r>
      <w:r>
        <w:rPr>
          <w:color w:val="231F20"/>
          <w:spacing w:val="-4"/>
        </w:rPr>
        <w:t>de</w:t>
      </w:r>
      <w:r>
        <w:rPr>
          <w:color w:val="231F20"/>
          <w:spacing w:val="-38"/>
        </w:rPr>
        <w:t> </w:t>
      </w:r>
      <w:r>
        <w:rPr>
          <w:color w:val="231F20"/>
          <w:spacing w:val="-4"/>
        </w:rPr>
        <w:t>fournisseurs</w:t>
      </w:r>
      <w:r>
        <w:rPr>
          <w:color w:val="231F20"/>
          <w:spacing w:val="-37"/>
        </w:rPr>
        <w:t> </w:t>
      </w:r>
      <w:r>
        <w:rPr>
          <w:color w:val="231F20"/>
          <w:spacing w:val="-4"/>
        </w:rPr>
        <w:t>de</w:t>
      </w:r>
      <w:r>
        <w:rPr>
          <w:color w:val="231F20"/>
          <w:spacing w:val="-38"/>
        </w:rPr>
        <w:t> </w:t>
      </w:r>
      <w:r>
        <w:rPr>
          <w:color w:val="231F20"/>
          <w:spacing w:val="-4"/>
        </w:rPr>
        <w:t>par</w:t>
      </w:r>
      <w:r>
        <w:rPr>
          <w:color w:val="231F20"/>
          <w:spacing w:val="-37"/>
        </w:rPr>
        <w:t> </w:t>
      </w:r>
      <w:r>
        <w:rPr>
          <w:color w:val="231F20"/>
          <w:spacing w:val="-4"/>
        </w:rPr>
        <w:t>le</w:t>
      </w:r>
      <w:r>
        <w:rPr>
          <w:color w:val="231F20"/>
          <w:spacing w:val="-37"/>
        </w:rPr>
        <w:t> </w:t>
      </w:r>
      <w:r>
        <w:rPr>
          <w:color w:val="231F20"/>
          <w:spacing w:val="-4"/>
        </w:rPr>
        <w:t>monde</w:t>
      </w:r>
    </w:p>
    <w:p>
      <w:pPr>
        <w:spacing w:after="0"/>
        <w:jc w:val="left"/>
        <w:sectPr>
          <w:type w:val="continuous"/>
          <w:pgSz w:w="11910" w:h="16840"/>
          <w:pgMar w:header="0" w:footer="695" w:top="1920" w:bottom="280" w:left="0" w:right="0"/>
          <w:cols w:num="2" w:equalWidth="0">
            <w:col w:w="5897" w:space="40"/>
            <w:col w:w="5973"/>
          </w:cols>
        </w:sectPr>
      </w:pPr>
    </w:p>
    <w:p>
      <w:pPr>
        <w:pStyle w:val="BodyText"/>
        <w:spacing w:before="77"/>
        <w:ind w:left="1133" w:right="1"/>
      </w:pPr>
      <w:r>
        <w:rPr>
          <w:color w:val="231F20"/>
        </w:rPr>
        <w:t>ont interrompu leurs relations avec Cuba </w:t>
      </w:r>
      <w:r>
        <w:rPr>
          <w:color w:val="231F20"/>
          <w:spacing w:val="-2"/>
        </w:rPr>
        <w:t>ces</w:t>
      </w:r>
      <w:r>
        <w:rPr>
          <w:color w:val="231F20"/>
          <w:spacing w:val="-15"/>
        </w:rPr>
        <w:t> </w:t>
      </w:r>
      <w:r>
        <w:rPr>
          <w:color w:val="231F20"/>
          <w:spacing w:val="-2"/>
        </w:rPr>
        <w:t>dernières</w:t>
      </w:r>
      <w:r>
        <w:rPr>
          <w:color w:val="231F20"/>
          <w:spacing w:val="-14"/>
        </w:rPr>
        <w:t> </w:t>
      </w:r>
      <w:r>
        <w:rPr>
          <w:color w:val="231F20"/>
          <w:spacing w:val="-2"/>
        </w:rPr>
        <w:t>années,</w:t>
      </w:r>
      <w:r>
        <w:rPr>
          <w:color w:val="231F20"/>
          <w:spacing w:val="-15"/>
        </w:rPr>
        <w:t> </w:t>
      </w:r>
      <w:r>
        <w:rPr>
          <w:color w:val="231F20"/>
          <w:spacing w:val="-2"/>
        </w:rPr>
        <w:t>si</w:t>
      </w:r>
      <w:r>
        <w:rPr>
          <w:color w:val="231F20"/>
          <w:spacing w:val="-14"/>
        </w:rPr>
        <w:t> </w:t>
      </w:r>
      <w:r>
        <w:rPr>
          <w:color w:val="231F20"/>
          <w:spacing w:val="-2"/>
        </w:rPr>
        <w:t>bien</w:t>
      </w:r>
      <w:r>
        <w:rPr>
          <w:color w:val="231F20"/>
          <w:spacing w:val="-15"/>
        </w:rPr>
        <w:t> </w:t>
      </w:r>
      <w:r>
        <w:rPr>
          <w:color w:val="231F20"/>
          <w:spacing w:val="-2"/>
        </w:rPr>
        <w:t>que</w:t>
      </w:r>
      <w:r>
        <w:rPr>
          <w:color w:val="231F20"/>
          <w:spacing w:val="-14"/>
        </w:rPr>
        <w:t> </w:t>
      </w:r>
      <w:r>
        <w:rPr>
          <w:color w:val="231F20"/>
          <w:spacing w:val="-2"/>
        </w:rPr>
        <w:t>l’industrie </w:t>
      </w:r>
      <w:r>
        <w:rPr>
          <w:color w:val="231F20"/>
        </w:rPr>
        <w:t>pharmaceutique</w:t>
      </w:r>
      <w:r>
        <w:rPr>
          <w:color w:val="231F20"/>
          <w:spacing w:val="-14"/>
        </w:rPr>
        <w:t> </w:t>
      </w:r>
      <w:r>
        <w:rPr>
          <w:color w:val="231F20"/>
        </w:rPr>
        <w:t>souffre</w:t>
      </w:r>
      <w:r>
        <w:rPr>
          <w:color w:val="231F20"/>
          <w:spacing w:val="-14"/>
        </w:rPr>
        <w:t> </w:t>
      </w:r>
      <w:r>
        <w:rPr>
          <w:color w:val="231F20"/>
        </w:rPr>
        <w:t>des</w:t>
      </w:r>
      <w:r>
        <w:rPr>
          <w:color w:val="231F20"/>
          <w:spacing w:val="-14"/>
        </w:rPr>
        <w:t> </w:t>
      </w:r>
      <w:r>
        <w:rPr>
          <w:color w:val="231F20"/>
        </w:rPr>
        <w:t>tensions</w:t>
      </w:r>
      <w:r>
        <w:rPr>
          <w:color w:val="231F20"/>
          <w:spacing w:val="-14"/>
        </w:rPr>
        <w:t> </w:t>
      </w:r>
      <w:r>
        <w:rPr>
          <w:color w:val="231F20"/>
        </w:rPr>
        <w:t>sans précédents</w:t>
      </w:r>
      <w:r>
        <w:rPr>
          <w:color w:val="231F20"/>
          <w:spacing w:val="-11"/>
        </w:rPr>
        <w:t> </w:t>
      </w:r>
      <w:r>
        <w:rPr>
          <w:color w:val="231F20"/>
        </w:rPr>
        <w:t>découlant</w:t>
      </w:r>
      <w:r>
        <w:rPr>
          <w:color w:val="231F20"/>
          <w:spacing w:val="-11"/>
        </w:rPr>
        <w:t> </w:t>
      </w:r>
      <w:r>
        <w:rPr>
          <w:color w:val="231F20"/>
        </w:rPr>
        <w:t>de</w:t>
      </w:r>
      <w:r>
        <w:rPr>
          <w:color w:val="231F20"/>
          <w:spacing w:val="-11"/>
        </w:rPr>
        <w:t> </w:t>
      </w:r>
      <w:r>
        <w:rPr>
          <w:color w:val="231F20"/>
        </w:rPr>
        <w:t>la</w:t>
      </w:r>
      <w:r>
        <w:rPr>
          <w:color w:val="231F20"/>
          <w:spacing w:val="-11"/>
        </w:rPr>
        <w:t> </w:t>
      </w:r>
      <w:r>
        <w:rPr>
          <w:color w:val="231F20"/>
        </w:rPr>
        <w:t>rupture</w:t>
      </w:r>
      <w:r>
        <w:rPr>
          <w:color w:val="231F20"/>
          <w:spacing w:val="-11"/>
        </w:rPr>
        <w:t> </w:t>
      </w:r>
      <w:r>
        <w:rPr>
          <w:color w:val="231F20"/>
        </w:rPr>
        <w:t>de</w:t>
      </w:r>
      <w:r>
        <w:rPr>
          <w:color w:val="231F20"/>
          <w:spacing w:val="-11"/>
        </w:rPr>
        <w:t> </w:t>
      </w:r>
      <w:r>
        <w:rPr>
          <w:color w:val="231F20"/>
        </w:rPr>
        <w:t>ses canaux d’approvisionnement. Par ailleurs, du fait des limitations de son pouvoir d’achat</w:t>
      </w:r>
      <w:r>
        <w:rPr>
          <w:color w:val="231F20"/>
          <w:spacing w:val="-15"/>
        </w:rPr>
        <w:t> </w:t>
      </w:r>
      <w:r>
        <w:rPr>
          <w:color w:val="231F20"/>
        </w:rPr>
        <w:t>causées</w:t>
      </w:r>
      <w:r>
        <w:rPr>
          <w:color w:val="231F20"/>
          <w:spacing w:val="-15"/>
        </w:rPr>
        <w:t> </w:t>
      </w:r>
      <w:r>
        <w:rPr>
          <w:color w:val="231F20"/>
        </w:rPr>
        <w:t>par</w:t>
      </w:r>
      <w:r>
        <w:rPr>
          <w:color w:val="231F20"/>
          <w:spacing w:val="-15"/>
        </w:rPr>
        <w:t> </w:t>
      </w:r>
      <w:r>
        <w:rPr>
          <w:color w:val="231F20"/>
        </w:rPr>
        <w:t>le</w:t>
      </w:r>
      <w:r>
        <w:rPr>
          <w:color w:val="231F20"/>
          <w:spacing w:val="-15"/>
        </w:rPr>
        <w:t> </w:t>
      </w:r>
      <w:r>
        <w:rPr>
          <w:color w:val="231F20"/>
        </w:rPr>
        <w:t>blocus,</w:t>
      </w:r>
      <w:r>
        <w:rPr>
          <w:color w:val="231F20"/>
          <w:spacing w:val="-15"/>
        </w:rPr>
        <w:t> </w:t>
      </w:r>
      <w:r>
        <w:rPr>
          <w:color w:val="231F20"/>
        </w:rPr>
        <w:t>le</w:t>
      </w:r>
      <w:r>
        <w:rPr>
          <w:color w:val="231F20"/>
          <w:spacing w:val="-15"/>
        </w:rPr>
        <w:t> </w:t>
      </w:r>
      <w:r>
        <w:rPr>
          <w:color w:val="231F20"/>
        </w:rPr>
        <w:t>pays</w:t>
      </w:r>
      <w:r>
        <w:rPr>
          <w:color w:val="231F20"/>
          <w:spacing w:val="-15"/>
        </w:rPr>
        <w:t> </w:t>
      </w:r>
      <w:r>
        <w:rPr>
          <w:color w:val="231F20"/>
        </w:rPr>
        <w:t>n’est pas</w:t>
      </w:r>
      <w:r>
        <w:rPr>
          <w:color w:val="231F20"/>
          <w:spacing w:val="-3"/>
        </w:rPr>
        <w:t> </w:t>
      </w:r>
      <w:r>
        <w:rPr>
          <w:color w:val="231F20"/>
        </w:rPr>
        <w:t>en</w:t>
      </w:r>
      <w:r>
        <w:rPr>
          <w:color w:val="231F20"/>
          <w:spacing w:val="-3"/>
        </w:rPr>
        <w:t> </w:t>
      </w:r>
      <w:r>
        <w:rPr>
          <w:color w:val="231F20"/>
        </w:rPr>
        <w:t>mesure</w:t>
      </w:r>
      <w:r>
        <w:rPr>
          <w:color w:val="231F20"/>
          <w:spacing w:val="-3"/>
        </w:rPr>
        <w:t> </w:t>
      </w:r>
      <w:r>
        <w:rPr>
          <w:color w:val="231F20"/>
        </w:rPr>
        <w:t>de</w:t>
      </w:r>
      <w:r>
        <w:rPr>
          <w:color w:val="231F20"/>
          <w:spacing w:val="-3"/>
        </w:rPr>
        <w:t> </w:t>
      </w:r>
      <w:r>
        <w:rPr>
          <w:color w:val="231F20"/>
        </w:rPr>
        <w:t>destiner</w:t>
      </w:r>
      <w:r>
        <w:rPr>
          <w:color w:val="231F20"/>
          <w:spacing w:val="-3"/>
        </w:rPr>
        <w:t> </w:t>
      </w:r>
      <w:r>
        <w:rPr>
          <w:color w:val="231F20"/>
        </w:rPr>
        <w:t>des</w:t>
      </w:r>
      <w:r>
        <w:rPr>
          <w:color w:val="231F20"/>
          <w:spacing w:val="-3"/>
        </w:rPr>
        <w:t> </w:t>
      </w:r>
      <w:r>
        <w:rPr>
          <w:color w:val="231F20"/>
        </w:rPr>
        <w:t>ressources financières supplémentaires pour acheter </w:t>
      </w:r>
      <w:r>
        <w:rPr>
          <w:color w:val="231F20"/>
          <w:spacing w:val="-4"/>
        </w:rPr>
        <w:t>sur</w:t>
      </w:r>
      <w:r>
        <w:rPr>
          <w:color w:val="231F20"/>
          <w:spacing w:val="-11"/>
        </w:rPr>
        <w:t> </w:t>
      </w:r>
      <w:r>
        <w:rPr>
          <w:color w:val="231F20"/>
          <w:spacing w:val="-4"/>
        </w:rPr>
        <w:t>des</w:t>
      </w:r>
      <w:r>
        <w:rPr>
          <w:color w:val="231F20"/>
          <w:spacing w:val="-11"/>
        </w:rPr>
        <w:t> </w:t>
      </w:r>
      <w:r>
        <w:rPr>
          <w:color w:val="231F20"/>
          <w:spacing w:val="-4"/>
        </w:rPr>
        <w:t>marchés</w:t>
      </w:r>
      <w:r>
        <w:rPr>
          <w:color w:val="231F20"/>
          <w:spacing w:val="-11"/>
        </w:rPr>
        <w:t> </w:t>
      </w:r>
      <w:r>
        <w:rPr>
          <w:color w:val="231F20"/>
          <w:spacing w:val="-4"/>
        </w:rPr>
        <w:t>lointains</w:t>
      </w:r>
      <w:r>
        <w:rPr>
          <w:color w:val="231F20"/>
          <w:spacing w:val="-11"/>
        </w:rPr>
        <w:t> </w:t>
      </w:r>
      <w:r>
        <w:rPr>
          <w:color w:val="231F20"/>
          <w:spacing w:val="-4"/>
        </w:rPr>
        <w:t>des</w:t>
      </w:r>
      <w:r>
        <w:rPr>
          <w:color w:val="231F20"/>
          <w:spacing w:val="-11"/>
        </w:rPr>
        <w:t> </w:t>
      </w:r>
      <w:r>
        <w:rPr>
          <w:color w:val="231F20"/>
          <w:spacing w:val="-4"/>
        </w:rPr>
        <w:t>médicaments </w:t>
      </w:r>
      <w:r>
        <w:rPr>
          <w:color w:val="231F20"/>
        </w:rPr>
        <w:t>qui lui coûteraient trois ou quatre fois moins cher aux États-Unis.</w:t>
      </w:r>
    </w:p>
    <w:p>
      <w:pPr>
        <w:pStyle w:val="BodyText"/>
        <w:spacing w:before="169"/>
        <w:ind w:left="1133"/>
      </w:pPr>
      <w:r>
        <w:rPr>
          <w:color w:val="231F20"/>
        </w:rPr>
        <w:t>Ces graves limitations portent atteinte à la</w:t>
      </w:r>
      <w:r>
        <w:rPr>
          <w:color w:val="231F20"/>
          <w:spacing w:val="40"/>
        </w:rPr>
        <w:t> </w:t>
      </w:r>
      <w:r>
        <w:rPr>
          <w:color w:val="231F20"/>
        </w:rPr>
        <w:t>qualité</w:t>
      </w:r>
      <w:r>
        <w:rPr>
          <w:color w:val="231F20"/>
          <w:spacing w:val="40"/>
        </w:rPr>
        <w:t> </w:t>
      </w:r>
      <w:r>
        <w:rPr>
          <w:color w:val="231F20"/>
        </w:rPr>
        <w:t>des</w:t>
      </w:r>
      <w:r>
        <w:rPr>
          <w:color w:val="231F20"/>
          <w:spacing w:val="40"/>
        </w:rPr>
        <w:t> </w:t>
      </w:r>
      <w:r>
        <w:rPr>
          <w:color w:val="231F20"/>
        </w:rPr>
        <w:t>services</w:t>
      </w:r>
      <w:r>
        <w:rPr>
          <w:color w:val="231F20"/>
          <w:spacing w:val="40"/>
        </w:rPr>
        <w:t> </w:t>
      </w:r>
      <w:r>
        <w:rPr>
          <w:color w:val="231F20"/>
        </w:rPr>
        <w:t>médicaux</w:t>
      </w:r>
      <w:r>
        <w:rPr>
          <w:color w:val="231F20"/>
          <w:spacing w:val="40"/>
        </w:rPr>
        <w:t> </w:t>
      </w:r>
      <w:r>
        <w:rPr>
          <w:color w:val="231F20"/>
        </w:rPr>
        <w:t>prêtés à la population, engendrant des retards, des listes d’attente relatives à des soins spécialisés, des séjours hospitaliers plus longs et d’autres effets négatifs, tout ceci ayant des conséquences directes sur les indicateurs de santé nationaux.</w:t>
      </w:r>
    </w:p>
    <w:p>
      <w:pPr>
        <w:pStyle w:val="BodyText"/>
        <w:spacing w:before="166"/>
        <w:ind w:left="1133" w:right="4"/>
      </w:pPr>
      <w:r>
        <w:rPr>
          <w:color w:val="231F20"/>
        </w:rPr>
        <w:t>Ainsi,</w:t>
      </w:r>
      <w:r>
        <w:rPr>
          <w:color w:val="231F20"/>
          <w:spacing w:val="-7"/>
        </w:rPr>
        <w:t> </w:t>
      </w:r>
      <w:r>
        <w:rPr>
          <w:color w:val="231F20"/>
        </w:rPr>
        <w:t>pour</w:t>
      </w:r>
      <w:r>
        <w:rPr>
          <w:color w:val="231F20"/>
          <w:spacing w:val="-7"/>
        </w:rPr>
        <w:t> </w:t>
      </w:r>
      <w:r>
        <w:rPr>
          <w:color w:val="231F20"/>
        </w:rPr>
        <w:t>ne</w:t>
      </w:r>
      <w:r>
        <w:rPr>
          <w:color w:val="231F20"/>
          <w:spacing w:val="-7"/>
        </w:rPr>
        <w:t> </w:t>
      </w:r>
      <w:r>
        <w:rPr>
          <w:color w:val="231F20"/>
        </w:rPr>
        <w:t>citer</w:t>
      </w:r>
      <w:r>
        <w:rPr>
          <w:color w:val="231F20"/>
          <w:spacing w:val="-7"/>
        </w:rPr>
        <w:t> </w:t>
      </w:r>
      <w:r>
        <w:rPr>
          <w:color w:val="231F20"/>
        </w:rPr>
        <w:t>qu’un</w:t>
      </w:r>
      <w:r>
        <w:rPr>
          <w:color w:val="231F20"/>
          <w:spacing w:val="-7"/>
        </w:rPr>
        <w:t> </w:t>
      </w:r>
      <w:r>
        <w:rPr>
          <w:color w:val="231F20"/>
        </w:rPr>
        <w:t>exemple,</w:t>
      </w:r>
      <w:r>
        <w:rPr>
          <w:color w:val="231F20"/>
          <w:spacing w:val="-7"/>
        </w:rPr>
        <w:t> </w:t>
      </w:r>
      <w:r>
        <w:rPr>
          <w:color w:val="231F20"/>
        </w:rPr>
        <w:t>le</w:t>
      </w:r>
      <w:r>
        <w:rPr>
          <w:color w:val="231F20"/>
          <w:spacing w:val="-7"/>
        </w:rPr>
        <w:t> </w:t>
      </w:r>
      <w:r>
        <w:rPr>
          <w:color w:val="231F20"/>
        </w:rPr>
        <w:t>taux de</w:t>
      </w:r>
      <w:r>
        <w:rPr>
          <w:color w:val="231F20"/>
          <w:spacing w:val="-5"/>
        </w:rPr>
        <w:t> </w:t>
      </w:r>
      <w:r>
        <w:rPr>
          <w:color w:val="231F20"/>
        </w:rPr>
        <w:t>mortalité</w:t>
      </w:r>
      <w:r>
        <w:rPr>
          <w:color w:val="231F20"/>
          <w:spacing w:val="-5"/>
        </w:rPr>
        <w:t> </w:t>
      </w:r>
      <w:r>
        <w:rPr>
          <w:color w:val="231F20"/>
        </w:rPr>
        <w:t>infantile</w:t>
      </w:r>
      <w:r>
        <w:rPr>
          <w:color w:val="231F20"/>
          <w:spacing w:val="-5"/>
        </w:rPr>
        <w:t> </w:t>
      </w:r>
      <w:r>
        <w:rPr>
          <w:color w:val="231F20"/>
        </w:rPr>
        <w:t>de</w:t>
      </w:r>
      <w:r>
        <w:rPr>
          <w:color w:val="231F20"/>
          <w:spacing w:val="-5"/>
        </w:rPr>
        <w:t> </w:t>
      </w:r>
      <w:r>
        <w:rPr>
          <w:color w:val="231F20"/>
        </w:rPr>
        <w:t>2022</w:t>
      </w:r>
      <w:r>
        <w:rPr>
          <w:color w:val="231F20"/>
          <w:spacing w:val="-5"/>
        </w:rPr>
        <w:t> </w:t>
      </w:r>
      <w:r>
        <w:rPr>
          <w:color w:val="231F20"/>
        </w:rPr>
        <w:t>a</w:t>
      </w:r>
      <w:r>
        <w:rPr>
          <w:color w:val="231F20"/>
          <w:spacing w:val="-5"/>
        </w:rPr>
        <w:t> </w:t>
      </w:r>
      <w:r>
        <w:rPr>
          <w:color w:val="231F20"/>
        </w:rPr>
        <w:t>été</w:t>
      </w:r>
      <w:r>
        <w:rPr>
          <w:color w:val="231F20"/>
          <w:spacing w:val="-5"/>
        </w:rPr>
        <w:t> </w:t>
      </w:r>
      <w:r>
        <w:rPr>
          <w:color w:val="231F20"/>
        </w:rPr>
        <w:t>de</w:t>
      </w:r>
      <w:r>
        <w:rPr>
          <w:color w:val="231F20"/>
          <w:spacing w:val="-5"/>
        </w:rPr>
        <w:t> </w:t>
      </w:r>
      <w:r>
        <w:rPr>
          <w:color w:val="231F20"/>
        </w:rPr>
        <w:t>7,5 décès</w:t>
      </w:r>
      <w:r>
        <w:rPr>
          <w:color w:val="231F20"/>
          <w:spacing w:val="-17"/>
        </w:rPr>
        <w:t> </w:t>
      </w:r>
      <w:r>
        <w:rPr>
          <w:color w:val="231F20"/>
        </w:rPr>
        <w:t>pour</w:t>
      </w:r>
      <w:r>
        <w:rPr>
          <w:color w:val="231F20"/>
          <w:spacing w:val="-16"/>
        </w:rPr>
        <w:t> </w:t>
      </w:r>
      <w:r>
        <w:rPr>
          <w:color w:val="231F20"/>
        </w:rPr>
        <w:t>mille</w:t>
      </w:r>
      <w:r>
        <w:rPr>
          <w:color w:val="231F20"/>
          <w:spacing w:val="-17"/>
        </w:rPr>
        <w:t> </w:t>
      </w:r>
      <w:r>
        <w:rPr>
          <w:color w:val="231F20"/>
        </w:rPr>
        <w:t>naissances</w:t>
      </w:r>
      <w:r>
        <w:rPr>
          <w:color w:val="231F20"/>
          <w:spacing w:val="-16"/>
        </w:rPr>
        <w:t> </w:t>
      </w:r>
      <w:r>
        <w:rPr>
          <w:color w:val="231F20"/>
        </w:rPr>
        <w:t>vivantes,</w:t>
      </w:r>
      <w:r>
        <w:rPr>
          <w:color w:val="231F20"/>
          <w:spacing w:val="-17"/>
        </w:rPr>
        <w:t> </w:t>
      </w:r>
      <w:r>
        <w:rPr>
          <w:color w:val="231F20"/>
        </w:rPr>
        <w:t>alors qu’il s’était maintenu avant 2019 à 5 ou </w:t>
      </w:r>
      <w:r>
        <w:rPr>
          <w:color w:val="231F20"/>
          <w:spacing w:val="-8"/>
        </w:rPr>
        <w:t>moins.</w:t>
      </w:r>
      <w:r>
        <w:rPr>
          <w:color w:val="231F20"/>
          <w:spacing w:val="-6"/>
        </w:rPr>
        <w:t> </w:t>
      </w:r>
      <w:r>
        <w:rPr>
          <w:color w:val="231F20"/>
          <w:spacing w:val="-8"/>
        </w:rPr>
        <w:t>Les limitations financières croissantes, </w:t>
      </w:r>
      <w:r>
        <w:rPr>
          <w:color w:val="231F20"/>
        </w:rPr>
        <w:t>l’impossibilité d’acquérir des intrants indispensables</w:t>
      </w:r>
      <w:r>
        <w:rPr>
          <w:color w:val="231F20"/>
          <w:spacing w:val="-14"/>
        </w:rPr>
        <w:t> </w:t>
      </w:r>
      <w:r>
        <w:rPr>
          <w:color w:val="231F20"/>
        </w:rPr>
        <w:t>au</w:t>
      </w:r>
      <w:r>
        <w:rPr>
          <w:color w:val="231F20"/>
          <w:spacing w:val="-14"/>
        </w:rPr>
        <w:t> </w:t>
      </w:r>
      <w:r>
        <w:rPr>
          <w:color w:val="231F20"/>
        </w:rPr>
        <w:t>Programme</w:t>
      </w:r>
      <w:r>
        <w:rPr>
          <w:color w:val="231F20"/>
          <w:spacing w:val="-14"/>
        </w:rPr>
        <w:t> </w:t>
      </w:r>
      <w:r>
        <w:rPr>
          <w:color w:val="231F20"/>
        </w:rPr>
        <w:t>national</w:t>
      </w:r>
      <w:r>
        <w:rPr>
          <w:color w:val="231F20"/>
          <w:spacing w:val="-14"/>
        </w:rPr>
        <w:t> </w:t>
      </w:r>
      <w:r>
        <w:rPr>
          <w:color w:val="231F20"/>
        </w:rPr>
        <w:t>de </w:t>
      </w:r>
      <w:r>
        <w:rPr>
          <w:color w:val="231F20"/>
          <w:spacing w:val="-6"/>
        </w:rPr>
        <w:t>soins</w:t>
      </w:r>
      <w:r>
        <w:rPr>
          <w:color w:val="231F20"/>
          <w:spacing w:val="-8"/>
        </w:rPr>
        <w:t> </w:t>
      </w:r>
      <w:r>
        <w:rPr>
          <w:color w:val="231F20"/>
          <w:spacing w:val="-6"/>
        </w:rPr>
        <w:t>pour</w:t>
      </w:r>
      <w:r>
        <w:rPr>
          <w:color w:val="231F20"/>
          <w:spacing w:val="-7"/>
        </w:rPr>
        <w:t> </w:t>
      </w:r>
      <w:r>
        <w:rPr>
          <w:color w:val="231F20"/>
          <w:spacing w:val="-6"/>
        </w:rPr>
        <w:t>la</w:t>
      </w:r>
      <w:r>
        <w:rPr>
          <w:color w:val="231F20"/>
          <w:spacing w:val="-7"/>
        </w:rPr>
        <w:t> </w:t>
      </w:r>
      <w:r>
        <w:rPr>
          <w:color w:val="231F20"/>
          <w:spacing w:val="-6"/>
        </w:rPr>
        <w:t>mère</w:t>
      </w:r>
      <w:r>
        <w:rPr>
          <w:color w:val="231F20"/>
          <w:spacing w:val="-7"/>
        </w:rPr>
        <w:t> </w:t>
      </w:r>
      <w:r>
        <w:rPr>
          <w:color w:val="231F20"/>
          <w:spacing w:val="-6"/>
        </w:rPr>
        <w:t>et</w:t>
      </w:r>
      <w:r>
        <w:rPr>
          <w:color w:val="231F20"/>
          <w:spacing w:val="-7"/>
        </w:rPr>
        <w:t> </w:t>
      </w:r>
      <w:r>
        <w:rPr>
          <w:color w:val="231F20"/>
          <w:spacing w:val="-6"/>
        </w:rPr>
        <w:t>l’enfant,</w:t>
      </w:r>
      <w:r>
        <w:rPr>
          <w:color w:val="231F20"/>
          <w:spacing w:val="-7"/>
        </w:rPr>
        <w:t> </w:t>
      </w:r>
      <w:r>
        <w:rPr>
          <w:color w:val="231F20"/>
          <w:spacing w:val="-6"/>
        </w:rPr>
        <w:t>les</w:t>
      </w:r>
      <w:r>
        <w:rPr>
          <w:color w:val="231F20"/>
          <w:spacing w:val="-8"/>
        </w:rPr>
        <w:t> </w:t>
      </w:r>
      <w:r>
        <w:rPr>
          <w:color w:val="231F20"/>
          <w:spacing w:val="-6"/>
        </w:rPr>
        <w:t>poursuites </w:t>
      </w:r>
      <w:r>
        <w:rPr>
          <w:color w:val="231F20"/>
        </w:rPr>
        <w:t>contre</w:t>
      </w:r>
      <w:r>
        <w:rPr>
          <w:color w:val="231F20"/>
          <w:spacing w:val="80"/>
        </w:rPr>
        <w:t> </w:t>
      </w:r>
      <w:r>
        <w:rPr>
          <w:color w:val="231F20"/>
        </w:rPr>
        <w:t>des</w:t>
      </w:r>
      <w:r>
        <w:rPr>
          <w:color w:val="231F20"/>
          <w:spacing w:val="80"/>
        </w:rPr>
        <w:t> </w:t>
      </w:r>
      <w:r>
        <w:rPr>
          <w:color w:val="231F20"/>
        </w:rPr>
        <w:t>fournisseurs</w:t>
      </w:r>
      <w:r>
        <w:rPr>
          <w:color w:val="231F20"/>
          <w:spacing w:val="80"/>
        </w:rPr>
        <w:t> </w:t>
      </w:r>
      <w:r>
        <w:rPr>
          <w:color w:val="231F20"/>
        </w:rPr>
        <w:t>traditionnels</w:t>
      </w:r>
      <w:r>
        <w:rPr>
          <w:color w:val="231F20"/>
          <w:spacing w:val="80"/>
        </w:rPr>
        <w:t> </w:t>
      </w:r>
      <w:r>
        <w:rPr>
          <w:color w:val="231F20"/>
        </w:rPr>
        <w:t>de médicaments, d’équipements et de </w:t>
      </w:r>
      <w:r>
        <w:rPr>
          <w:color w:val="231F20"/>
          <w:spacing w:val="-12"/>
        </w:rPr>
        <w:t>technologies,</w:t>
      </w:r>
      <w:r>
        <w:rPr>
          <w:color w:val="231F20"/>
        </w:rPr>
        <w:t> </w:t>
      </w:r>
      <w:r>
        <w:rPr>
          <w:color w:val="231F20"/>
          <w:spacing w:val="-12"/>
        </w:rPr>
        <w:t>entre</w:t>
      </w:r>
      <w:r>
        <w:rPr>
          <w:color w:val="231F20"/>
        </w:rPr>
        <w:t> </w:t>
      </w:r>
      <w:r>
        <w:rPr>
          <w:color w:val="231F20"/>
          <w:spacing w:val="-12"/>
        </w:rPr>
        <w:t>autres,</w:t>
      </w:r>
      <w:r>
        <w:rPr>
          <w:color w:val="231F20"/>
        </w:rPr>
        <w:t> </w:t>
      </w:r>
      <w:r>
        <w:rPr>
          <w:color w:val="231F20"/>
          <w:spacing w:val="-12"/>
        </w:rPr>
        <w:t>ont</w:t>
      </w:r>
      <w:r>
        <w:rPr>
          <w:color w:val="231F20"/>
        </w:rPr>
        <w:t> </w:t>
      </w:r>
      <w:r>
        <w:rPr>
          <w:color w:val="231F20"/>
          <w:spacing w:val="-12"/>
        </w:rPr>
        <w:t>des</w:t>
      </w:r>
      <w:r>
        <w:rPr>
          <w:color w:val="231F20"/>
        </w:rPr>
        <w:t> </w:t>
      </w:r>
      <w:r>
        <w:rPr>
          <w:color w:val="231F20"/>
          <w:spacing w:val="-12"/>
        </w:rPr>
        <w:t>retombées </w:t>
      </w:r>
      <w:r>
        <w:rPr>
          <w:color w:val="231F20"/>
          <w:spacing w:val="-10"/>
        </w:rPr>
        <w:t>directes</w:t>
      </w:r>
      <w:r>
        <w:rPr>
          <w:color w:val="231F20"/>
          <w:spacing w:val="-3"/>
        </w:rPr>
        <w:t> </w:t>
      </w:r>
      <w:r>
        <w:rPr>
          <w:color w:val="231F20"/>
          <w:spacing w:val="-10"/>
        </w:rPr>
        <w:t>sur</w:t>
      </w:r>
      <w:r>
        <w:rPr>
          <w:color w:val="231F20"/>
          <w:spacing w:val="-3"/>
        </w:rPr>
        <w:t> </w:t>
      </w:r>
      <w:r>
        <w:rPr>
          <w:color w:val="231F20"/>
          <w:spacing w:val="-10"/>
        </w:rPr>
        <w:t>l’exercice</w:t>
      </w:r>
      <w:r>
        <w:rPr>
          <w:color w:val="231F20"/>
          <w:spacing w:val="-3"/>
        </w:rPr>
        <w:t> </w:t>
      </w:r>
      <w:r>
        <w:rPr>
          <w:color w:val="231F20"/>
          <w:spacing w:val="-10"/>
        </w:rPr>
        <w:t>par</w:t>
      </w:r>
      <w:r>
        <w:rPr>
          <w:color w:val="231F20"/>
          <w:spacing w:val="-3"/>
        </w:rPr>
        <w:t> </w:t>
      </w:r>
      <w:r>
        <w:rPr>
          <w:color w:val="231F20"/>
          <w:spacing w:val="-10"/>
        </w:rPr>
        <w:t>le</w:t>
      </w:r>
      <w:r>
        <w:rPr>
          <w:color w:val="231F20"/>
          <w:spacing w:val="-3"/>
        </w:rPr>
        <w:t> </w:t>
      </w:r>
      <w:r>
        <w:rPr>
          <w:color w:val="231F20"/>
          <w:spacing w:val="-10"/>
        </w:rPr>
        <w:t>peuple</w:t>
      </w:r>
      <w:r>
        <w:rPr>
          <w:color w:val="231F20"/>
          <w:spacing w:val="-3"/>
        </w:rPr>
        <w:t> </w:t>
      </w:r>
      <w:r>
        <w:rPr>
          <w:color w:val="231F20"/>
          <w:spacing w:val="-10"/>
        </w:rPr>
        <w:t>cubain</w:t>
      </w:r>
      <w:r>
        <w:rPr>
          <w:color w:val="231F20"/>
          <w:spacing w:val="-3"/>
        </w:rPr>
        <w:t> </w:t>
      </w:r>
      <w:r>
        <w:rPr>
          <w:color w:val="231F20"/>
          <w:spacing w:val="-10"/>
        </w:rPr>
        <w:t>de </w:t>
      </w:r>
      <w:r>
        <w:rPr>
          <w:color w:val="231F20"/>
        </w:rPr>
        <w:t>son</w:t>
      </w:r>
      <w:r>
        <w:rPr>
          <w:color w:val="231F20"/>
          <w:spacing w:val="-7"/>
        </w:rPr>
        <w:t> </w:t>
      </w:r>
      <w:r>
        <w:rPr>
          <w:color w:val="231F20"/>
        </w:rPr>
        <w:t>droit</w:t>
      </w:r>
      <w:r>
        <w:rPr>
          <w:color w:val="231F20"/>
          <w:spacing w:val="-6"/>
        </w:rPr>
        <w:t> </w:t>
      </w:r>
      <w:r>
        <w:rPr>
          <w:color w:val="231F20"/>
        </w:rPr>
        <w:t>à</w:t>
      </w:r>
      <w:r>
        <w:rPr>
          <w:color w:val="231F20"/>
          <w:spacing w:val="-6"/>
        </w:rPr>
        <w:t> </w:t>
      </w:r>
      <w:r>
        <w:rPr>
          <w:color w:val="231F20"/>
        </w:rPr>
        <w:t>la</w:t>
      </w:r>
      <w:r>
        <w:rPr>
          <w:color w:val="231F20"/>
          <w:spacing w:val="-6"/>
        </w:rPr>
        <w:t> </w:t>
      </w:r>
      <w:r>
        <w:rPr>
          <w:color w:val="231F20"/>
        </w:rPr>
        <w:t>santé.</w:t>
      </w:r>
      <w:r>
        <w:rPr>
          <w:color w:val="231F20"/>
          <w:spacing w:val="-6"/>
        </w:rPr>
        <w:t> </w:t>
      </w:r>
      <w:r>
        <w:rPr>
          <w:color w:val="231F20"/>
        </w:rPr>
        <w:t>Aucun</w:t>
      </w:r>
      <w:r>
        <w:rPr>
          <w:color w:val="231F20"/>
          <w:spacing w:val="-6"/>
        </w:rPr>
        <w:t> </w:t>
      </w:r>
      <w:r>
        <w:rPr>
          <w:color w:val="231F20"/>
        </w:rPr>
        <w:t>pays</w:t>
      </w:r>
      <w:r>
        <w:rPr>
          <w:color w:val="231F20"/>
          <w:spacing w:val="-7"/>
        </w:rPr>
        <w:t> </w:t>
      </w:r>
      <w:r>
        <w:rPr>
          <w:color w:val="231F20"/>
        </w:rPr>
        <w:t>ne</w:t>
      </w:r>
      <w:r>
        <w:rPr>
          <w:color w:val="231F20"/>
          <w:spacing w:val="-7"/>
        </w:rPr>
        <w:t> </w:t>
      </w:r>
      <w:r>
        <w:rPr>
          <w:color w:val="231F20"/>
        </w:rPr>
        <w:t>mérite d’être en butte à de telles conditions de harcèlement</w:t>
      </w:r>
      <w:r>
        <w:rPr>
          <w:color w:val="231F20"/>
          <w:spacing w:val="-16"/>
        </w:rPr>
        <w:t> </w:t>
      </w:r>
      <w:r>
        <w:rPr>
          <w:color w:val="231F20"/>
        </w:rPr>
        <w:t>et</w:t>
      </w:r>
      <w:r>
        <w:rPr>
          <w:color w:val="231F20"/>
          <w:spacing w:val="-16"/>
        </w:rPr>
        <w:t> </w:t>
      </w:r>
      <w:r>
        <w:rPr>
          <w:color w:val="231F20"/>
        </w:rPr>
        <w:t>de</w:t>
      </w:r>
      <w:r>
        <w:rPr>
          <w:color w:val="231F20"/>
          <w:spacing w:val="-16"/>
        </w:rPr>
        <w:t> </w:t>
      </w:r>
      <w:r>
        <w:rPr>
          <w:color w:val="231F20"/>
        </w:rPr>
        <w:t>cruauté.</w:t>
      </w:r>
    </w:p>
    <w:p>
      <w:pPr>
        <w:pStyle w:val="BodyText"/>
        <w:spacing w:before="172"/>
        <w:ind w:left="1133"/>
      </w:pPr>
      <w:r>
        <w:rPr>
          <w:color w:val="231F20"/>
        </w:rPr>
        <w:t>Ces</w:t>
      </w:r>
      <w:r>
        <w:rPr>
          <w:color w:val="231F20"/>
          <w:spacing w:val="40"/>
        </w:rPr>
        <w:t> </w:t>
      </w:r>
      <w:r>
        <w:rPr>
          <w:color w:val="231F20"/>
        </w:rPr>
        <w:t>circonstances</w:t>
      </w:r>
      <w:r>
        <w:rPr>
          <w:color w:val="231F20"/>
          <w:spacing w:val="40"/>
        </w:rPr>
        <w:t> </w:t>
      </w:r>
      <w:r>
        <w:rPr>
          <w:color w:val="231F20"/>
        </w:rPr>
        <w:t>ont</w:t>
      </w:r>
      <w:r>
        <w:rPr>
          <w:color w:val="231F20"/>
          <w:spacing w:val="40"/>
        </w:rPr>
        <w:t> </w:t>
      </w:r>
      <w:r>
        <w:rPr>
          <w:color w:val="231F20"/>
        </w:rPr>
        <w:t>fait</w:t>
      </w:r>
      <w:r>
        <w:rPr>
          <w:color w:val="231F20"/>
          <w:spacing w:val="40"/>
        </w:rPr>
        <w:t> </w:t>
      </w:r>
      <w:r>
        <w:rPr>
          <w:color w:val="231F20"/>
        </w:rPr>
        <w:t>naître</w:t>
      </w:r>
      <w:r>
        <w:rPr>
          <w:color w:val="231F20"/>
          <w:spacing w:val="40"/>
        </w:rPr>
        <w:t> </w:t>
      </w:r>
      <w:r>
        <w:rPr>
          <w:color w:val="231F20"/>
        </w:rPr>
        <w:t>dans les communautés cubaines des projets solidaires qui cherchent à contribuer aux efforts</w:t>
      </w:r>
      <w:r>
        <w:rPr>
          <w:color w:val="231F20"/>
          <w:spacing w:val="-7"/>
        </w:rPr>
        <w:t> </w:t>
      </w:r>
      <w:r>
        <w:rPr>
          <w:color w:val="231F20"/>
        </w:rPr>
        <w:t>du</w:t>
      </w:r>
      <w:r>
        <w:rPr>
          <w:color w:val="231F20"/>
          <w:spacing w:val="-7"/>
        </w:rPr>
        <w:t> </w:t>
      </w:r>
      <w:r>
        <w:rPr>
          <w:color w:val="231F20"/>
        </w:rPr>
        <w:t>gouvernement</w:t>
      </w:r>
      <w:r>
        <w:rPr>
          <w:color w:val="231F20"/>
          <w:spacing w:val="-7"/>
        </w:rPr>
        <w:t> </w:t>
      </w:r>
      <w:r>
        <w:rPr>
          <w:color w:val="231F20"/>
        </w:rPr>
        <w:t>pour</w:t>
      </w:r>
      <w:r>
        <w:rPr>
          <w:color w:val="231F20"/>
          <w:spacing w:val="-7"/>
        </w:rPr>
        <w:t> </w:t>
      </w:r>
      <w:r>
        <w:rPr>
          <w:color w:val="231F20"/>
        </w:rPr>
        <w:t>remédier</w:t>
      </w:r>
      <w:r>
        <w:rPr>
          <w:color w:val="231F20"/>
          <w:spacing w:val="-7"/>
        </w:rPr>
        <w:t> </w:t>
      </w:r>
      <w:r>
        <w:rPr>
          <w:color w:val="231F20"/>
        </w:rPr>
        <w:t>à la difficile situation actuelle.</w:t>
      </w:r>
    </w:p>
    <w:p>
      <w:pPr>
        <w:pStyle w:val="BodyText"/>
        <w:spacing w:before="164"/>
        <w:ind w:left="1133" w:right="1"/>
      </w:pPr>
      <w:r>
        <w:rPr>
          <w:color w:val="231F20"/>
        </w:rPr>
        <w:t>C’est le cas du réseau </w:t>
      </w:r>
      <w:r>
        <w:rPr>
          <w:b/>
          <w:color w:val="231F20"/>
        </w:rPr>
        <w:t>De Corazón </w:t>
      </w:r>
      <w:r>
        <w:rPr>
          <w:color w:val="231F20"/>
        </w:rPr>
        <w:t>(« De tout</w:t>
      </w:r>
      <w:r>
        <w:rPr>
          <w:color w:val="231F20"/>
          <w:spacing w:val="19"/>
        </w:rPr>
        <w:t> </w:t>
      </w:r>
      <w:r>
        <w:rPr>
          <w:color w:val="231F20"/>
        </w:rPr>
        <w:t>cœur</w:t>
      </w:r>
      <w:r>
        <w:rPr>
          <w:color w:val="231F20"/>
          <w:spacing w:val="19"/>
        </w:rPr>
        <w:t> </w:t>
      </w:r>
      <w:r>
        <w:rPr>
          <w:color w:val="231F20"/>
        </w:rPr>
        <w:t>»),</w:t>
      </w:r>
      <w:r>
        <w:rPr>
          <w:color w:val="231F20"/>
          <w:spacing w:val="19"/>
        </w:rPr>
        <w:t> </w:t>
      </w:r>
      <w:r>
        <w:rPr>
          <w:color w:val="231F20"/>
        </w:rPr>
        <w:t>une</w:t>
      </w:r>
      <w:r>
        <w:rPr>
          <w:color w:val="231F20"/>
          <w:spacing w:val="20"/>
        </w:rPr>
        <w:t> </w:t>
      </w:r>
      <w:r>
        <w:rPr>
          <w:color w:val="231F20"/>
        </w:rPr>
        <w:t>initiative</w:t>
      </w:r>
      <w:r>
        <w:rPr>
          <w:color w:val="231F20"/>
          <w:spacing w:val="19"/>
        </w:rPr>
        <w:t> </w:t>
      </w:r>
      <w:r>
        <w:rPr>
          <w:color w:val="231F20"/>
        </w:rPr>
        <w:t>de</w:t>
      </w:r>
      <w:r>
        <w:rPr>
          <w:color w:val="231F20"/>
          <w:spacing w:val="19"/>
        </w:rPr>
        <w:t> </w:t>
      </w:r>
      <w:r>
        <w:rPr>
          <w:color w:val="231F20"/>
        </w:rPr>
        <w:t>jeunes</w:t>
      </w:r>
      <w:r>
        <w:rPr>
          <w:color w:val="231F20"/>
          <w:spacing w:val="20"/>
        </w:rPr>
        <w:t> </w:t>
      </w:r>
      <w:r>
        <w:rPr>
          <w:color w:val="231F20"/>
          <w:spacing w:val="-5"/>
        </w:rPr>
        <w:t>qui</w:t>
      </w:r>
    </w:p>
    <w:p>
      <w:pPr>
        <w:pStyle w:val="BodyText"/>
        <w:spacing w:before="77"/>
        <w:ind w:left="412" w:right="1473"/>
      </w:pPr>
      <w:r>
        <w:rPr/>
        <w:br w:type="column"/>
      </w:r>
      <w:r>
        <w:rPr>
          <w:color w:val="231F20"/>
        </w:rPr>
        <w:t>a créé une plateforme pour collecter des </w:t>
      </w:r>
      <w:r>
        <w:rPr>
          <w:color w:val="231F20"/>
          <w:spacing w:val="-4"/>
        </w:rPr>
        <w:t>médicaments</w:t>
      </w:r>
      <w:r>
        <w:rPr>
          <w:color w:val="231F20"/>
          <w:spacing w:val="-13"/>
        </w:rPr>
        <w:t> </w:t>
      </w:r>
      <w:r>
        <w:rPr>
          <w:color w:val="231F20"/>
          <w:spacing w:val="-4"/>
        </w:rPr>
        <w:t>et</w:t>
      </w:r>
      <w:r>
        <w:rPr>
          <w:color w:val="231F20"/>
          <w:spacing w:val="-12"/>
        </w:rPr>
        <w:t> </w:t>
      </w:r>
      <w:r>
        <w:rPr>
          <w:color w:val="231F20"/>
          <w:spacing w:val="-4"/>
        </w:rPr>
        <w:t>en</w:t>
      </w:r>
      <w:r>
        <w:rPr>
          <w:color w:val="231F20"/>
          <w:spacing w:val="-13"/>
        </w:rPr>
        <w:t> </w:t>
      </w:r>
      <w:r>
        <w:rPr>
          <w:color w:val="231F20"/>
          <w:spacing w:val="-4"/>
        </w:rPr>
        <w:t>faire</w:t>
      </w:r>
      <w:r>
        <w:rPr>
          <w:color w:val="231F20"/>
          <w:spacing w:val="-12"/>
        </w:rPr>
        <w:t> </w:t>
      </w:r>
      <w:r>
        <w:rPr>
          <w:color w:val="231F20"/>
          <w:spacing w:val="-4"/>
        </w:rPr>
        <w:t>don</w:t>
      </w:r>
      <w:r>
        <w:rPr>
          <w:color w:val="231F20"/>
          <w:spacing w:val="-13"/>
        </w:rPr>
        <w:t> </w:t>
      </w:r>
      <w:r>
        <w:rPr>
          <w:color w:val="231F20"/>
          <w:spacing w:val="-4"/>
        </w:rPr>
        <w:t>aux</w:t>
      </w:r>
      <w:r>
        <w:rPr>
          <w:color w:val="231F20"/>
          <w:spacing w:val="-12"/>
        </w:rPr>
        <w:t> </w:t>
      </w:r>
      <w:r>
        <w:rPr>
          <w:color w:val="231F20"/>
          <w:spacing w:val="-4"/>
        </w:rPr>
        <w:t>personnes </w:t>
      </w:r>
      <w:r>
        <w:rPr>
          <w:color w:val="231F20"/>
          <w:spacing w:val="-6"/>
        </w:rPr>
        <w:t>les</w:t>
      </w:r>
      <w:r>
        <w:rPr>
          <w:color w:val="231F20"/>
          <w:spacing w:val="-9"/>
        </w:rPr>
        <w:t> </w:t>
      </w:r>
      <w:r>
        <w:rPr>
          <w:color w:val="231F20"/>
          <w:spacing w:val="-6"/>
        </w:rPr>
        <w:t>plus</w:t>
      </w:r>
      <w:r>
        <w:rPr>
          <w:color w:val="231F20"/>
          <w:spacing w:val="-9"/>
        </w:rPr>
        <w:t> </w:t>
      </w:r>
      <w:r>
        <w:rPr>
          <w:color w:val="231F20"/>
          <w:spacing w:val="-6"/>
        </w:rPr>
        <w:t>vulnérables,</w:t>
      </w:r>
      <w:r>
        <w:rPr>
          <w:color w:val="231F20"/>
          <w:spacing w:val="-9"/>
        </w:rPr>
        <w:t> </w:t>
      </w:r>
      <w:r>
        <w:rPr>
          <w:color w:val="231F20"/>
          <w:spacing w:val="-6"/>
        </w:rPr>
        <w:t>et</w:t>
      </w:r>
      <w:r>
        <w:rPr>
          <w:color w:val="231F20"/>
          <w:spacing w:val="-7"/>
        </w:rPr>
        <w:t> </w:t>
      </w:r>
      <w:r>
        <w:rPr>
          <w:color w:val="231F20"/>
          <w:spacing w:val="-6"/>
        </w:rPr>
        <w:t>auquel</w:t>
      </w:r>
      <w:r>
        <w:rPr>
          <w:color w:val="231F20"/>
          <w:spacing w:val="-9"/>
        </w:rPr>
        <w:t> </w:t>
      </w:r>
      <w:r>
        <w:rPr>
          <w:color w:val="231F20"/>
          <w:spacing w:val="-6"/>
        </w:rPr>
        <w:t>ont</w:t>
      </w:r>
      <w:r>
        <w:rPr>
          <w:color w:val="231F20"/>
          <w:spacing w:val="-7"/>
        </w:rPr>
        <w:t> </w:t>
      </w:r>
      <w:r>
        <w:rPr>
          <w:color w:val="231F20"/>
          <w:spacing w:val="-6"/>
        </w:rPr>
        <w:t>contribué </w:t>
      </w:r>
      <w:r>
        <w:rPr>
          <w:color w:val="231F20"/>
        </w:rPr>
        <w:t>des organisations et mouvements de solidarité aux États-Unis comme Pont d’amour, le Syndicat de locataire de Los Angeles</w:t>
      </w:r>
      <w:r>
        <w:rPr>
          <w:color w:val="231F20"/>
          <w:spacing w:val="-2"/>
        </w:rPr>
        <w:t> </w:t>
      </w:r>
      <w:r>
        <w:rPr>
          <w:color w:val="231F20"/>
        </w:rPr>
        <w:t>(SILA),</w:t>
      </w:r>
      <w:r>
        <w:rPr>
          <w:color w:val="231F20"/>
          <w:spacing w:val="-2"/>
        </w:rPr>
        <w:t> </w:t>
      </w:r>
      <w:r>
        <w:rPr>
          <w:color w:val="231F20"/>
        </w:rPr>
        <w:t>Put</w:t>
      </w:r>
      <w:r>
        <w:rPr>
          <w:color w:val="231F20"/>
          <w:spacing w:val="-2"/>
        </w:rPr>
        <w:t> </w:t>
      </w:r>
      <w:r>
        <w:rPr>
          <w:color w:val="231F20"/>
        </w:rPr>
        <w:t>People</w:t>
      </w:r>
      <w:r>
        <w:rPr>
          <w:color w:val="231F20"/>
          <w:spacing w:val="-2"/>
        </w:rPr>
        <w:t> </w:t>
      </w:r>
      <w:r>
        <w:rPr>
          <w:color w:val="231F20"/>
        </w:rPr>
        <w:t>First</w:t>
      </w:r>
      <w:r>
        <w:rPr>
          <w:color w:val="231F20"/>
          <w:spacing w:val="-2"/>
        </w:rPr>
        <w:t> </w:t>
      </w:r>
      <w:r>
        <w:rPr>
          <w:color w:val="231F20"/>
        </w:rPr>
        <w:t>!</w:t>
      </w:r>
      <w:r>
        <w:rPr>
          <w:color w:val="231F20"/>
          <w:spacing w:val="-2"/>
        </w:rPr>
        <w:t> </w:t>
      </w:r>
      <w:r>
        <w:rPr>
          <w:color w:val="231F20"/>
        </w:rPr>
        <w:t>PA</w:t>
      </w:r>
      <w:r>
        <w:rPr>
          <w:color w:val="231F20"/>
          <w:spacing w:val="-2"/>
        </w:rPr>
        <w:t> </w:t>
      </w:r>
      <w:r>
        <w:rPr>
          <w:color w:val="231F20"/>
        </w:rPr>
        <w:t>et</w:t>
      </w:r>
      <w:r>
        <w:rPr>
          <w:color w:val="231F20"/>
          <w:spacing w:val="-2"/>
        </w:rPr>
        <w:t> </w:t>
      </w:r>
      <w:r>
        <w:rPr>
          <w:color w:val="231F20"/>
        </w:rPr>
        <w:t>US Hands Off Cuba, malgré les nombreux </w:t>
      </w:r>
      <w:r>
        <w:rPr>
          <w:color w:val="231F20"/>
          <w:spacing w:val="-2"/>
        </w:rPr>
        <w:t>obstacles</w:t>
      </w:r>
      <w:r>
        <w:rPr>
          <w:color w:val="231F20"/>
          <w:spacing w:val="-15"/>
        </w:rPr>
        <w:t> </w:t>
      </w:r>
      <w:r>
        <w:rPr>
          <w:color w:val="231F20"/>
          <w:spacing w:val="-2"/>
        </w:rPr>
        <w:t>qu’ils</w:t>
      </w:r>
      <w:r>
        <w:rPr>
          <w:color w:val="231F20"/>
          <w:spacing w:val="-14"/>
        </w:rPr>
        <w:t> </w:t>
      </w:r>
      <w:r>
        <w:rPr>
          <w:color w:val="231F20"/>
          <w:spacing w:val="-2"/>
        </w:rPr>
        <w:t>doivent</w:t>
      </w:r>
      <w:r>
        <w:rPr>
          <w:color w:val="231F20"/>
          <w:spacing w:val="-15"/>
        </w:rPr>
        <w:t> </w:t>
      </w:r>
      <w:r>
        <w:rPr>
          <w:color w:val="231F20"/>
          <w:spacing w:val="-2"/>
        </w:rPr>
        <w:t>surmonter</w:t>
      </w:r>
      <w:r>
        <w:rPr>
          <w:color w:val="231F20"/>
          <w:spacing w:val="-14"/>
        </w:rPr>
        <w:t> </w:t>
      </w:r>
      <w:r>
        <w:rPr>
          <w:color w:val="231F20"/>
          <w:spacing w:val="-2"/>
        </w:rPr>
        <w:t>pour</w:t>
      </w:r>
      <w:r>
        <w:rPr>
          <w:color w:val="231F20"/>
          <w:spacing w:val="-15"/>
        </w:rPr>
        <w:t> </w:t>
      </w:r>
      <w:r>
        <w:rPr>
          <w:color w:val="231F20"/>
          <w:spacing w:val="-2"/>
        </w:rPr>
        <w:t>les </w:t>
      </w:r>
      <w:r>
        <w:rPr>
          <w:color w:val="231F20"/>
        </w:rPr>
        <w:t>faire parvenir dans notre pays.</w:t>
      </w:r>
    </w:p>
    <w:p>
      <w:pPr>
        <w:pStyle w:val="BodyText"/>
        <w:spacing w:before="168"/>
        <w:ind w:left="412" w:right="1473"/>
      </w:pPr>
      <w:r>
        <w:rPr>
          <w:color w:val="231F20"/>
        </w:rPr>
        <w:t>Contrairement aux souhaits du peuple </w:t>
      </w:r>
      <w:r>
        <w:rPr>
          <w:color w:val="231F20"/>
          <w:spacing w:val="-4"/>
        </w:rPr>
        <w:t>étasunien</w:t>
      </w:r>
      <w:r>
        <w:rPr>
          <w:color w:val="231F20"/>
          <w:spacing w:val="-13"/>
        </w:rPr>
        <w:t> </w:t>
      </w:r>
      <w:r>
        <w:rPr>
          <w:color w:val="231F20"/>
          <w:spacing w:val="-4"/>
        </w:rPr>
        <w:t>et</w:t>
      </w:r>
      <w:r>
        <w:rPr>
          <w:color w:val="231F20"/>
          <w:spacing w:val="-12"/>
        </w:rPr>
        <w:t> </w:t>
      </w:r>
      <w:r>
        <w:rPr>
          <w:color w:val="231F20"/>
          <w:spacing w:val="-4"/>
        </w:rPr>
        <w:t>de</w:t>
      </w:r>
      <w:r>
        <w:rPr>
          <w:color w:val="231F20"/>
          <w:spacing w:val="-13"/>
        </w:rPr>
        <w:t> </w:t>
      </w:r>
      <w:r>
        <w:rPr>
          <w:color w:val="231F20"/>
          <w:spacing w:val="-4"/>
        </w:rPr>
        <w:t>la</w:t>
      </w:r>
      <w:r>
        <w:rPr>
          <w:color w:val="231F20"/>
          <w:spacing w:val="-12"/>
        </w:rPr>
        <w:t> </w:t>
      </w:r>
      <w:r>
        <w:rPr>
          <w:color w:val="231F20"/>
          <w:spacing w:val="-4"/>
        </w:rPr>
        <w:t>communauté</w:t>
      </w:r>
      <w:r>
        <w:rPr>
          <w:color w:val="231F20"/>
          <w:spacing w:val="-13"/>
        </w:rPr>
        <w:t> </w:t>
      </w:r>
      <w:r>
        <w:rPr>
          <w:color w:val="231F20"/>
          <w:spacing w:val="-4"/>
        </w:rPr>
        <w:t>scientifique </w:t>
      </w:r>
      <w:r>
        <w:rPr>
          <w:color w:val="231F20"/>
          <w:spacing w:val="-6"/>
        </w:rPr>
        <w:t>de</w:t>
      </w:r>
      <w:r>
        <w:rPr>
          <w:color w:val="231F20"/>
          <w:spacing w:val="-10"/>
        </w:rPr>
        <w:t> </w:t>
      </w:r>
      <w:r>
        <w:rPr>
          <w:color w:val="231F20"/>
          <w:spacing w:val="-6"/>
        </w:rPr>
        <w:t>ce</w:t>
      </w:r>
      <w:r>
        <w:rPr>
          <w:color w:val="231F20"/>
          <w:spacing w:val="-10"/>
        </w:rPr>
        <w:t> </w:t>
      </w:r>
      <w:r>
        <w:rPr>
          <w:color w:val="231F20"/>
          <w:spacing w:val="-6"/>
        </w:rPr>
        <w:t>pays,</w:t>
      </w:r>
      <w:r>
        <w:rPr>
          <w:color w:val="231F20"/>
          <w:spacing w:val="-10"/>
        </w:rPr>
        <w:t> </w:t>
      </w:r>
      <w:r>
        <w:rPr>
          <w:color w:val="231F20"/>
          <w:spacing w:val="-6"/>
        </w:rPr>
        <w:t>Washington</w:t>
      </w:r>
      <w:r>
        <w:rPr>
          <w:color w:val="231F20"/>
          <w:spacing w:val="-10"/>
        </w:rPr>
        <w:t> </w:t>
      </w:r>
      <w:r>
        <w:rPr>
          <w:color w:val="231F20"/>
          <w:spacing w:val="-6"/>
        </w:rPr>
        <w:t>continue</w:t>
      </w:r>
      <w:r>
        <w:rPr>
          <w:color w:val="231F20"/>
          <w:spacing w:val="-10"/>
        </w:rPr>
        <w:t> </w:t>
      </w:r>
      <w:r>
        <w:rPr>
          <w:color w:val="231F20"/>
          <w:spacing w:val="-6"/>
        </w:rPr>
        <w:t>de</w:t>
      </w:r>
      <w:r>
        <w:rPr>
          <w:color w:val="231F20"/>
          <w:spacing w:val="-10"/>
        </w:rPr>
        <w:t> </w:t>
      </w:r>
      <w:r>
        <w:rPr>
          <w:color w:val="231F20"/>
          <w:spacing w:val="-6"/>
        </w:rPr>
        <w:t>dresser </w:t>
      </w:r>
      <w:r>
        <w:rPr>
          <w:color w:val="231F20"/>
        </w:rPr>
        <w:t>des</w:t>
      </w:r>
      <w:r>
        <w:rPr>
          <w:color w:val="231F20"/>
          <w:spacing w:val="-14"/>
        </w:rPr>
        <w:t> </w:t>
      </w:r>
      <w:r>
        <w:rPr>
          <w:color w:val="231F20"/>
        </w:rPr>
        <w:t>obstacles</w:t>
      </w:r>
      <w:r>
        <w:rPr>
          <w:color w:val="231F20"/>
          <w:spacing w:val="-14"/>
        </w:rPr>
        <w:t> </w:t>
      </w:r>
      <w:r>
        <w:rPr>
          <w:color w:val="231F20"/>
        </w:rPr>
        <w:t>à</w:t>
      </w:r>
      <w:r>
        <w:rPr>
          <w:color w:val="231F20"/>
          <w:spacing w:val="-14"/>
        </w:rPr>
        <w:t> </w:t>
      </w:r>
      <w:r>
        <w:rPr>
          <w:color w:val="231F20"/>
        </w:rPr>
        <w:t>une</w:t>
      </w:r>
      <w:r>
        <w:rPr>
          <w:color w:val="231F20"/>
          <w:spacing w:val="-14"/>
        </w:rPr>
        <w:t> </w:t>
      </w:r>
      <w:r>
        <w:rPr>
          <w:color w:val="231F20"/>
        </w:rPr>
        <w:t>coopération</w:t>
      </w:r>
      <w:r>
        <w:rPr>
          <w:color w:val="231F20"/>
          <w:spacing w:val="-14"/>
        </w:rPr>
        <w:t> </w:t>
      </w:r>
      <w:r>
        <w:rPr>
          <w:color w:val="231F20"/>
        </w:rPr>
        <w:t>bilatérale </w:t>
      </w:r>
      <w:r>
        <w:rPr>
          <w:color w:val="231F20"/>
          <w:spacing w:val="-4"/>
        </w:rPr>
        <w:t>plus</w:t>
      </w:r>
      <w:r>
        <w:rPr>
          <w:color w:val="231F20"/>
          <w:spacing w:val="-19"/>
        </w:rPr>
        <w:t> </w:t>
      </w:r>
      <w:r>
        <w:rPr>
          <w:color w:val="231F20"/>
          <w:spacing w:val="-4"/>
        </w:rPr>
        <w:t>ample</w:t>
      </w:r>
      <w:r>
        <w:rPr>
          <w:color w:val="231F20"/>
          <w:spacing w:val="-16"/>
        </w:rPr>
        <w:t> </w:t>
      </w:r>
      <w:r>
        <w:rPr>
          <w:color w:val="231F20"/>
          <w:spacing w:val="-4"/>
        </w:rPr>
        <w:t>et</w:t>
      </w:r>
      <w:r>
        <w:rPr>
          <w:color w:val="231F20"/>
          <w:spacing w:val="-16"/>
        </w:rPr>
        <w:t> </w:t>
      </w:r>
      <w:r>
        <w:rPr>
          <w:color w:val="231F20"/>
          <w:spacing w:val="-4"/>
        </w:rPr>
        <w:t>plus</w:t>
      </w:r>
      <w:r>
        <w:rPr>
          <w:color w:val="231F20"/>
          <w:spacing w:val="-16"/>
        </w:rPr>
        <w:t> </w:t>
      </w:r>
      <w:r>
        <w:rPr>
          <w:color w:val="231F20"/>
          <w:spacing w:val="-4"/>
        </w:rPr>
        <w:t>utile</w:t>
      </w:r>
      <w:r>
        <w:rPr>
          <w:color w:val="231F20"/>
          <w:spacing w:val="-16"/>
        </w:rPr>
        <w:t> </w:t>
      </w:r>
      <w:r>
        <w:rPr>
          <w:color w:val="231F20"/>
          <w:spacing w:val="-4"/>
        </w:rPr>
        <w:t>en</w:t>
      </w:r>
      <w:r>
        <w:rPr>
          <w:color w:val="231F20"/>
          <w:spacing w:val="-16"/>
        </w:rPr>
        <w:t> </w:t>
      </w:r>
      <w:r>
        <w:rPr>
          <w:color w:val="231F20"/>
          <w:spacing w:val="-4"/>
        </w:rPr>
        <w:t>matière</w:t>
      </w:r>
      <w:r>
        <w:rPr>
          <w:color w:val="231F20"/>
          <w:spacing w:val="-16"/>
        </w:rPr>
        <w:t> </w:t>
      </w:r>
      <w:r>
        <w:rPr>
          <w:color w:val="231F20"/>
          <w:spacing w:val="-4"/>
        </w:rPr>
        <w:t>de</w:t>
      </w:r>
      <w:r>
        <w:rPr>
          <w:color w:val="231F20"/>
          <w:spacing w:val="-16"/>
        </w:rPr>
        <w:t> </w:t>
      </w:r>
      <w:r>
        <w:rPr>
          <w:color w:val="231F20"/>
          <w:spacing w:val="-4"/>
        </w:rPr>
        <w:t>santé.</w:t>
      </w:r>
    </w:p>
    <w:p>
      <w:pPr>
        <w:spacing w:before="163"/>
        <w:ind w:left="412" w:right="1474" w:firstLine="0"/>
        <w:jc w:val="both"/>
        <w:rPr>
          <w:rFonts w:ascii="Segoe UI Semibold" w:hAnsi="Segoe UI Semibold"/>
          <w:b/>
          <w:i/>
          <w:sz w:val="24"/>
        </w:rPr>
      </w:pPr>
      <w:r>
        <w:rPr>
          <w:color w:val="231F20"/>
          <w:sz w:val="24"/>
        </w:rPr>
        <w:t>À cet égard, Grettel Gómez González, </w:t>
      </w:r>
      <w:r>
        <w:rPr>
          <w:color w:val="231F20"/>
          <w:spacing w:val="-2"/>
          <w:sz w:val="24"/>
        </w:rPr>
        <w:t>étudiante</w:t>
      </w:r>
      <w:r>
        <w:rPr>
          <w:color w:val="231F20"/>
          <w:spacing w:val="-15"/>
          <w:sz w:val="24"/>
        </w:rPr>
        <w:t> </w:t>
      </w:r>
      <w:r>
        <w:rPr>
          <w:color w:val="231F20"/>
          <w:spacing w:val="-2"/>
          <w:sz w:val="24"/>
        </w:rPr>
        <w:t>cubaine,</w:t>
      </w:r>
      <w:r>
        <w:rPr>
          <w:color w:val="231F20"/>
          <w:spacing w:val="-14"/>
          <w:sz w:val="24"/>
        </w:rPr>
        <w:t> </w:t>
      </w:r>
      <w:r>
        <w:rPr>
          <w:color w:val="231F20"/>
          <w:spacing w:val="-2"/>
          <w:sz w:val="24"/>
        </w:rPr>
        <w:t>fondatrice</w:t>
      </w:r>
      <w:r>
        <w:rPr>
          <w:color w:val="231F20"/>
          <w:spacing w:val="-15"/>
          <w:sz w:val="24"/>
        </w:rPr>
        <w:t> </w:t>
      </w:r>
      <w:r>
        <w:rPr>
          <w:color w:val="231F20"/>
          <w:spacing w:val="-2"/>
          <w:sz w:val="24"/>
        </w:rPr>
        <w:t>de</w:t>
      </w:r>
      <w:r>
        <w:rPr>
          <w:color w:val="231F20"/>
          <w:spacing w:val="-14"/>
          <w:sz w:val="24"/>
        </w:rPr>
        <w:t> </w:t>
      </w:r>
      <w:r>
        <w:rPr>
          <w:color w:val="231F20"/>
          <w:spacing w:val="-2"/>
          <w:sz w:val="24"/>
        </w:rPr>
        <w:t>ce</w:t>
      </w:r>
      <w:r>
        <w:rPr>
          <w:color w:val="231F20"/>
          <w:spacing w:val="-15"/>
          <w:sz w:val="24"/>
        </w:rPr>
        <w:t> </w:t>
      </w:r>
      <w:r>
        <w:rPr>
          <w:color w:val="231F20"/>
          <w:spacing w:val="-2"/>
          <w:sz w:val="24"/>
        </w:rPr>
        <w:t>réseau, </w:t>
      </w:r>
      <w:r>
        <w:rPr>
          <w:color w:val="231F20"/>
          <w:sz w:val="24"/>
        </w:rPr>
        <w:t>affirme</w:t>
      </w:r>
      <w:r>
        <w:rPr>
          <w:color w:val="231F20"/>
          <w:spacing w:val="-11"/>
          <w:sz w:val="24"/>
        </w:rPr>
        <w:t> </w:t>
      </w:r>
      <w:r>
        <w:rPr>
          <w:color w:val="231F20"/>
          <w:sz w:val="24"/>
        </w:rPr>
        <w:t>:</w:t>
      </w:r>
      <w:r>
        <w:rPr>
          <w:color w:val="231F20"/>
          <w:spacing w:val="-11"/>
          <w:sz w:val="24"/>
        </w:rPr>
        <w:t> </w:t>
      </w:r>
      <w:r>
        <w:rPr>
          <w:rFonts w:ascii="Segoe UI Semibold" w:hAnsi="Segoe UI Semibold"/>
          <w:b/>
          <w:i/>
          <w:color w:val="231F20"/>
          <w:sz w:val="24"/>
        </w:rPr>
        <w:t>«</w:t>
      </w:r>
      <w:r>
        <w:rPr>
          <w:rFonts w:ascii="Segoe UI Semibold" w:hAnsi="Segoe UI Semibold"/>
          <w:b/>
          <w:i/>
          <w:color w:val="231F20"/>
          <w:spacing w:val="-11"/>
          <w:sz w:val="24"/>
        </w:rPr>
        <w:t> </w:t>
      </w:r>
      <w:r>
        <w:rPr>
          <w:rFonts w:ascii="Segoe UI Semibold" w:hAnsi="Segoe UI Semibold"/>
          <w:b/>
          <w:i/>
          <w:color w:val="231F20"/>
          <w:sz w:val="24"/>
        </w:rPr>
        <w:t>Si,</w:t>
      </w:r>
      <w:r>
        <w:rPr>
          <w:rFonts w:ascii="Segoe UI Semibold" w:hAnsi="Segoe UI Semibold"/>
          <w:b/>
          <w:i/>
          <w:color w:val="231F20"/>
          <w:spacing w:val="-11"/>
          <w:sz w:val="24"/>
        </w:rPr>
        <w:t> </w:t>
      </w:r>
      <w:r>
        <w:rPr>
          <w:rFonts w:ascii="Segoe UI Semibold" w:hAnsi="Segoe UI Semibold"/>
          <w:b/>
          <w:i/>
          <w:color w:val="231F20"/>
          <w:sz w:val="24"/>
        </w:rPr>
        <w:t>de</w:t>
      </w:r>
      <w:r>
        <w:rPr>
          <w:rFonts w:ascii="Segoe UI Semibold" w:hAnsi="Segoe UI Semibold"/>
          <w:b/>
          <w:i/>
          <w:color w:val="231F20"/>
          <w:spacing w:val="-11"/>
          <w:sz w:val="24"/>
        </w:rPr>
        <w:t> </w:t>
      </w:r>
      <w:r>
        <w:rPr>
          <w:rFonts w:ascii="Segoe UI Semibold" w:hAnsi="Segoe UI Semibold"/>
          <w:b/>
          <w:i/>
          <w:color w:val="231F20"/>
          <w:sz w:val="24"/>
        </w:rPr>
        <w:t>leur</w:t>
      </w:r>
      <w:r>
        <w:rPr>
          <w:rFonts w:ascii="Segoe UI Semibold" w:hAnsi="Segoe UI Semibold"/>
          <w:b/>
          <w:i/>
          <w:color w:val="231F20"/>
          <w:spacing w:val="-11"/>
          <w:sz w:val="24"/>
        </w:rPr>
        <w:t> </w:t>
      </w:r>
      <w:r>
        <w:rPr>
          <w:rFonts w:ascii="Segoe UI Semibold" w:hAnsi="Segoe UI Semibold"/>
          <w:b/>
          <w:i/>
          <w:color w:val="231F20"/>
          <w:sz w:val="24"/>
        </w:rPr>
        <w:t>propre</w:t>
      </w:r>
      <w:r>
        <w:rPr>
          <w:rFonts w:ascii="Segoe UI Semibold" w:hAnsi="Segoe UI Semibold"/>
          <w:b/>
          <w:i/>
          <w:color w:val="231F20"/>
          <w:spacing w:val="-11"/>
          <w:sz w:val="24"/>
        </w:rPr>
        <w:t> </w:t>
      </w:r>
      <w:r>
        <w:rPr>
          <w:rFonts w:ascii="Segoe UI Semibold" w:hAnsi="Segoe UI Semibold"/>
          <w:b/>
          <w:i/>
          <w:color w:val="231F20"/>
          <w:sz w:val="24"/>
        </w:rPr>
        <w:t>initiative,</w:t>
      </w:r>
      <w:r>
        <w:rPr>
          <w:rFonts w:ascii="Segoe UI Semibold" w:hAnsi="Segoe UI Semibold"/>
          <w:b/>
          <w:i/>
          <w:color w:val="231F20"/>
          <w:spacing w:val="-11"/>
          <w:sz w:val="24"/>
        </w:rPr>
        <w:t> </w:t>
      </w:r>
      <w:r>
        <w:rPr>
          <w:rFonts w:ascii="Segoe UI Semibold" w:hAnsi="Segoe UI Semibold"/>
          <w:b/>
          <w:i/>
          <w:color w:val="231F20"/>
          <w:sz w:val="24"/>
        </w:rPr>
        <w:t>des</w:t>
      </w:r>
      <w:r>
        <w:rPr>
          <w:rFonts w:ascii="Segoe UI Semibold" w:hAnsi="Segoe UI Semibold"/>
          <w:b/>
          <w:i/>
          <w:color w:val="231F20"/>
          <w:sz w:val="24"/>
        </w:rPr>
        <w:t> </w:t>
      </w:r>
      <w:r>
        <w:rPr>
          <w:rFonts w:ascii="Segoe UI Semibold" w:hAnsi="Segoe UI Semibold"/>
          <w:b/>
          <w:i/>
          <w:color w:val="231F20"/>
          <w:spacing w:val="-6"/>
          <w:sz w:val="24"/>
        </w:rPr>
        <w:t>personnes</w:t>
      </w:r>
      <w:r>
        <w:rPr>
          <w:rFonts w:ascii="Segoe UI Semibold" w:hAnsi="Segoe UI Semibold"/>
          <w:b/>
          <w:i/>
          <w:color w:val="231F20"/>
          <w:spacing w:val="-11"/>
          <w:sz w:val="24"/>
        </w:rPr>
        <w:t> </w:t>
      </w:r>
      <w:r>
        <w:rPr>
          <w:rFonts w:ascii="Segoe UI Semibold" w:hAnsi="Segoe UI Semibold"/>
          <w:b/>
          <w:i/>
          <w:color w:val="231F20"/>
          <w:spacing w:val="-6"/>
          <w:sz w:val="24"/>
        </w:rPr>
        <w:t>ou</w:t>
      </w:r>
      <w:r>
        <w:rPr>
          <w:rFonts w:ascii="Segoe UI Semibold" w:hAnsi="Segoe UI Semibold"/>
          <w:b/>
          <w:i/>
          <w:color w:val="231F20"/>
          <w:spacing w:val="-10"/>
          <w:sz w:val="24"/>
        </w:rPr>
        <w:t> </w:t>
      </w:r>
      <w:r>
        <w:rPr>
          <w:rFonts w:ascii="Segoe UI Semibold" w:hAnsi="Segoe UI Semibold"/>
          <w:b/>
          <w:i/>
          <w:color w:val="231F20"/>
          <w:spacing w:val="-6"/>
          <w:sz w:val="24"/>
        </w:rPr>
        <w:t>de</w:t>
      </w:r>
      <w:r>
        <w:rPr>
          <w:rFonts w:ascii="Segoe UI Semibold" w:hAnsi="Segoe UI Semibold"/>
          <w:b/>
          <w:i/>
          <w:color w:val="231F20"/>
          <w:spacing w:val="-11"/>
          <w:sz w:val="24"/>
        </w:rPr>
        <w:t> </w:t>
      </w:r>
      <w:r>
        <w:rPr>
          <w:rFonts w:ascii="Segoe UI Semibold" w:hAnsi="Segoe UI Semibold"/>
          <w:b/>
          <w:i/>
          <w:color w:val="231F20"/>
          <w:spacing w:val="-6"/>
          <w:sz w:val="24"/>
        </w:rPr>
        <w:t>petits</w:t>
      </w:r>
      <w:r>
        <w:rPr>
          <w:rFonts w:ascii="Segoe UI Semibold" w:hAnsi="Segoe UI Semibold"/>
          <w:b/>
          <w:i/>
          <w:color w:val="231F20"/>
          <w:spacing w:val="-10"/>
          <w:sz w:val="24"/>
        </w:rPr>
        <w:t> </w:t>
      </w:r>
      <w:r>
        <w:rPr>
          <w:rFonts w:ascii="Segoe UI Semibold" w:hAnsi="Segoe UI Semibold"/>
          <w:b/>
          <w:i/>
          <w:color w:val="231F20"/>
          <w:spacing w:val="-6"/>
          <w:sz w:val="24"/>
        </w:rPr>
        <w:t>groupes</w:t>
      </w:r>
      <w:r>
        <w:rPr>
          <w:rFonts w:ascii="Segoe UI Semibold" w:hAnsi="Segoe UI Semibold"/>
          <w:b/>
          <w:i/>
          <w:color w:val="231F20"/>
          <w:spacing w:val="-11"/>
          <w:sz w:val="24"/>
        </w:rPr>
        <w:t> </w:t>
      </w:r>
      <w:r>
        <w:rPr>
          <w:rFonts w:ascii="Segoe UI Semibold" w:hAnsi="Segoe UI Semibold"/>
          <w:b/>
          <w:i/>
          <w:color w:val="231F20"/>
          <w:spacing w:val="-6"/>
          <w:sz w:val="24"/>
        </w:rPr>
        <w:t>parviennent à</w:t>
      </w:r>
      <w:r>
        <w:rPr>
          <w:rFonts w:ascii="Segoe UI Semibold" w:hAnsi="Segoe UI Semibold"/>
          <w:b/>
          <w:i/>
          <w:color w:val="231F20"/>
          <w:spacing w:val="-11"/>
          <w:sz w:val="24"/>
        </w:rPr>
        <w:t> </w:t>
      </w:r>
      <w:r>
        <w:rPr>
          <w:rFonts w:ascii="Segoe UI Semibold" w:hAnsi="Segoe UI Semibold"/>
          <w:b/>
          <w:i/>
          <w:color w:val="231F20"/>
          <w:spacing w:val="-6"/>
          <w:sz w:val="24"/>
        </w:rPr>
        <w:t>mobiliser</w:t>
      </w:r>
      <w:r>
        <w:rPr>
          <w:rFonts w:ascii="Segoe UI Semibold" w:hAnsi="Segoe UI Semibold"/>
          <w:b/>
          <w:i/>
          <w:color w:val="231F20"/>
          <w:spacing w:val="-10"/>
          <w:sz w:val="24"/>
        </w:rPr>
        <w:t> </w:t>
      </w:r>
      <w:r>
        <w:rPr>
          <w:rFonts w:ascii="Segoe UI Semibold" w:hAnsi="Segoe UI Semibold"/>
          <w:b/>
          <w:i/>
          <w:color w:val="231F20"/>
          <w:spacing w:val="-6"/>
          <w:sz w:val="24"/>
        </w:rPr>
        <w:t>des</w:t>
      </w:r>
      <w:r>
        <w:rPr>
          <w:rFonts w:ascii="Segoe UI Semibold" w:hAnsi="Segoe UI Semibold"/>
          <w:b/>
          <w:i/>
          <w:color w:val="231F20"/>
          <w:spacing w:val="-11"/>
          <w:sz w:val="24"/>
        </w:rPr>
        <w:t> </w:t>
      </w:r>
      <w:r>
        <w:rPr>
          <w:rFonts w:ascii="Segoe UI Semibold" w:hAnsi="Segoe UI Semibold"/>
          <w:b/>
          <w:i/>
          <w:color w:val="231F20"/>
          <w:spacing w:val="-6"/>
          <w:sz w:val="24"/>
        </w:rPr>
        <w:t>volontés</w:t>
      </w:r>
      <w:r>
        <w:rPr>
          <w:rFonts w:ascii="Segoe UI Semibold" w:hAnsi="Segoe UI Semibold"/>
          <w:b/>
          <w:i/>
          <w:color w:val="231F20"/>
          <w:spacing w:val="-10"/>
          <w:sz w:val="24"/>
        </w:rPr>
        <w:t> </w:t>
      </w:r>
      <w:r>
        <w:rPr>
          <w:rFonts w:ascii="Segoe UI Semibold" w:hAnsi="Segoe UI Semibold"/>
          <w:b/>
          <w:i/>
          <w:color w:val="231F20"/>
          <w:spacing w:val="-6"/>
          <w:sz w:val="24"/>
        </w:rPr>
        <w:t>pour</w:t>
      </w:r>
      <w:r>
        <w:rPr>
          <w:rFonts w:ascii="Segoe UI Semibold" w:hAnsi="Segoe UI Semibold"/>
          <w:b/>
          <w:i/>
          <w:color w:val="231F20"/>
          <w:spacing w:val="-11"/>
          <w:sz w:val="24"/>
        </w:rPr>
        <w:t> </w:t>
      </w:r>
      <w:r>
        <w:rPr>
          <w:rFonts w:ascii="Segoe UI Semibold" w:hAnsi="Segoe UI Semibold"/>
          <w:b/>
          <w:i/>
          <w:color w:val="231F20"/>
          <w:spacing w:val="-6"/>
          <w:sz w:val="24"/>
        </w:rPr>
        <w:t>faire</w:t>
      </w:r>
      <w:r>
        <w:rPr>
          <w:rFonts w:ascii="Segoe UI Semibold" w:hAnsi="Segoe UI Semibold"/>
          <w:b/>
          <w:i/>
          <w:color w:val="231F20"/>
          <w:spacing w:val="-10"/>
          <w:sz w:val="24"/>
        </w:rPr>
        <w:t> </w:t>
      </w:r>
      <w:r>
        <w:rPr>
          <w:rFonts w:ascii="Segoe UI Semibold" w:hAnsi="Segoe UI Semibold"/>
          <w:b/>
          <w:i/>
          <w:color w:val="231F20"/>
          <w:spacing w:val="-6"/>
          <w:sz w:val="24"/>
        </w:rPr>
        <w:t>parvenir </w:t>
      </w:r>
      <w:r>
        <w:rPr>
          <w:rFonts w:ascii="Segoe UI Semibold" w:hAnsi="Segoe UI Semibold"/>
          <w:b/>
          <w:i/>
          <w:color w:val="231F20"/>
          <w:sz w:val="24"/>
        </w:rPr>
        <w:t>des</w:t>
      </w:r>
      <w:r>
        <w:rPr>
          <w:rFonts w:ascii="Segoe UI Semibold" w:hAnsi="Segoe UI Semibold"/>
          <w:b/>
          <w:i/>
          <w:color w:val="231F20"/>
          <w:spacing w:val="-12"/>
          <w:sz w:val="24"/>
        </w:rPr>
        <w:t> </w:t>
      </w:r>
      <w:r>
        <w:rPr>
          <w:rFonts w:ascii="Segoe UI Semibold" w:hAnsi="Segoe UI Semibold"/>
          <w:b/>
          <w:i/>
          <w:color w:val="231F20"/>
          <w:sz w:val="24"/>
        </w:rPr>
        <w:t>médicaments</w:t>
      </w:r>
      <w:r>
        <w:rPr>
          <w:rFonts w:ascii="Segoe UI Semibold" w:hAnsi="Segoe UI Semibold"/>
          <w:b/>
          <w:i/>
          <w:color w:val="231F20"/>
          <w:spacing w:val="-12"/>
          <w:sz w:val="24"/>
        </w:rPr>
        <w:t> </w:t>
      </w:r>
      <w:r>
        <w:rPr>
          <w:rFonts w:ascii="Segoe UI Semibold" w:hAnsi="Segoe UI Semibold"/>
          <w:b/>
          <w:i/>
          <w:color w:val="231F20"/>
          <w:sz w:val="24"/>
        </w:rPr>
        <w:t>à</w:t>
      </w:r>
      <w:r>
        <w:rPr>
          <w:rFonts w:ascii="Segoe UI Semibold" w:hAnsi="Segoe UI Semibold"/>
          <w:b/>
          <w:i/>
          <w:color w:val="231F20"/>
          <w:spacing w:val="-12"/>
          <w:sz w:val="24"/>
        </w:rPr>
        <w:t> </w:t>
      </w:r>
      <w:r>
        <w:rPr>
          <w:rFonts w:ascii="Segoe UI Semibold" w:hAnsi="Segoe UI Semibold"/>
          <w:b/>
          <w:i/>
          <w:color w:val="231F20"/>
          <w:sz w:val="24"/>
        </w:rPr>
        <w:t>Cuba,</w:t>
      </w:r>
      <w:r>
        <w:rPr>
          <w:rFonts w:ascii="Segoe UI Semibold" w:hAnsi="Segoe UI Semibold"/>
          <w:b/>
          <w:i/>
          <w:color w:val="231F20"/>
          <w:spacing w:val="-12"/>
          <w:sz w:val="24"/>
        </w:rPr>
        <w:t> </w:t>
      </w:r>
      <w:r>
        <w:rPr>
          <w:rFonts w:ascii="Segoe UI Semibold" w:hAnsi="Segoe UI Semibold"/>
          <w:b/>
          <w:i/>
          <w:color w:val="231F20"/>
          <w:sz w:val="24"/>
        </w:rPr>
        <w:t>quels</w:t>
      </w:r>
      <w:r>
        <w:rPr>
          <w:rFonts w:ascii="Segoe UI Semibold" w:hAnsi="Segoe UI Semibold"/>
          <w:b/>
          <w:i/>
          <w:color w:val="231F20"/>
          <w:spacing w:val="-12"/>
          <w:sz w:val="24"/>
        </w:rPr>
        <w:t> </w:t>
      </w:r>
      <w:r>
        <w:rPr>
          <w:rFonts w:ascii="Segoe UI Semibold" w:hAnsi="Segoe UI Semibold"/>
          <w:b/>
          <w:i/>
          <w:color w:val="231F20"/>
          <w:sz w:val="24"/>
        </w:rPr>
        <w:t>bénéfices </w:t>
      </w:r>
      <w:r>
        <w:rPr>
          <w:rFonts w:ascii="Segoe UI Semibold" w:hAnsi="Segoe UI Semibold"/>
          <w:b/>
          <w:i/>
          <w:color w:val="231F20"/>
          <w:spacing w:val="-10"/>
          <w:sz w:val="24"/>
        </w:rPr>
        <w:t>ne</w:t>
      </w:r>
      <w:r>
        <w:rPr>
          <w:rFonts w:ascii="Segoe UI Semibold" w:hAnsi="Segoe UI Semibold"/>
          <w:b/>
          <w:i/>
          <w:color w:val="231F20"/>
          <w:spacing w:val="-2"/>
          <w:sz w:val="24"/>
        </w:rPr>
        <w:t> </w:t>
      </w:r>
      <w:r>
        <w:rPr>
          <w:rFonts w:ascii="Segoe UI Semibold" w:hAnsi="Segoe UI Semibold"/>
          <w:b/>
          <w:i/>
          <w:color w:val="231F20"/>
          <w:spacing w:val="-10"/>
          <w:sz w:val="24"/>
        </w:rPr>
        <w:t>pourrait</w:t>
      </w:r>
      <w:r>
        <w:rPr>
          <w:rFonts w:ascii="Segoe UI Semibold" w:hAnsi="Segoe UI Semibold"/>
          <w:b/>
          <w:i/>
          <w:color w:val="231F20"/>
          <w:spacing w:val="-2"/>
          <w:sz w:val="24"/>
        </w:rPr>
        <w:t> </w:t>
      </w:r>
      <w:r>
        <w:rPr>
          <w:rFonts w:ascii="Segoe UI Semibold" w:hAnsi="Segoe UI Semibold"/>
          <w:b/>
          <w:i/>
          <w:color w:val="231F20"/>
          <w:spacing w:val="-10"/>
          <w:sz w:val="24"/>
        </w:rPr>
        <w:t>apporter</w:t>
      </w:r>
      <w:r>
        <w:rPr>
          <w:rFonts w:ascii="Segoe UI Semibold" w:hAnsi="Segoe UI Semibold"/>
          <w:b/>
          <w:i/>
          <w:color w:val="231F20"/>
          <w:spacing w:val="-2"/>
          <w:sz w:val="24"/>
        </w:rPr>
        <w:t> </w:t>
      </w:r>
      <w:r>
        <w:rPr>
          <w:rFonts w:ascii="Segoe UI Semibold" w:hAnsi="Segoe UI Semibold"/>
          <w:b/>
          <w:i/>
          <w:color w:val="231F20"/>
          <w:spacing w:val="-10"/>
          <w:sz w:val="24"/>
        </w:rPr>
        <w:t>la</w:t>
      </w:r>
      <w:r>
        <w:rPr>
          <w:rFonts w:ascii="Segoe UI Semibold" w:hAnsi="Segoe UI Semibold"/>
          <w:b/>
          <w:i/>
          <w:color w:val="231F20"/>
          <w:spacing w:val="-2"/>
          <w:sz w:val="24"/>
        </w:rPr>
        <w:t> </w:t>
      </w:r>
      <w:r>
        <w:rPr>
          <w:rFonts w:ascii="Segoe UI Semibold" w:hAnsi="Segoe UI Semibold"/>
          <w:b/>
          <w:i/>
          <w:color w:val="231F20"/>
          <w:spacing w:val="-10"/>
          <w:sz w:val="24"/>
        </w:rPr>
        <w:t>relation</w:t>
      </w:r>
      <w:r>
        <w:rPr>
          <w:rFonts w:ascii="Segoe UI Semibold" w:hAnsi="Segoe UI Semibold"/>
          <w:b/>
          <w:i/>
          <w:color w:val="231F20"/>
          <w:spacing w:val="-2"/>
          <w:sz w:val="24"/>
        </w:rPr>
        <w:t> </w:t>
      </w:r>
      <w:r>
        <w:rPr>
          <w:rFonts w:ascii="Segoe UI Semibold" w:hAnsi="Segoe UI Semibold"/>
          <w:b/>
          <w:i/>
          <w:color w:val="231F20"/>
          <w:spacing w:val="-10"/>
          <w:sz w:val="24"/>
        </w:rPr>
        <w:t>directe</w:t>
      </w:r>
      <w:r>
        <w:rPr>
          <w:rFonts w:ascii="Segoe UI Semibold" w:hAnsi="Segoe UI Semibold"/>
          <w:b/>
          <w:i/>
          <w:color w:val="231F20"/>
          <w:spacing w:val="-2"/>
          <w:sz w:val="24"/>
        </w:rPr>
        <w:t> </w:t>
      </w:r>
      <w:r>
        <w:rPr>
          <w:rFonts w:ascii="Segoe UI Semibold" w:hAnsi="Segoe UI Semibold"/>
          <w:b/>
          <w:i/>
          <w:color w:val="231F20"/>
          <w:spacing w:val="-10"/>
          <w:sz w:val="24"/>
        </w:rPr>
        <w:t>entre </w:t>
      </w:r>
      <w:r>
        <w:rPr>
          <w:rFonts w:ascii="Segoe UI Semibold" w:hAnsi="Segoe UI Semibold"/>
          <w:b/>
          <w:i/>
          <w:color w:val="231F20"/>
          <w:spacing w:val="-8"/>
          <w:sz w:val="24"/>
        </w:rPr>
        <w:t>les</w:t>
      </w:r>
      <w:r>
        <w:rPr>
          <w:rFonts w:ascii="Segoe UI Semibold" w:hAnsi="Segoe UI Semibold"/>
          <w:b/>
          <w:i/>
          <w:color w:val="231F20"/>
          <w:spacing w:val="-9"/>
          <w:sz w:val="24"/>
        </w:rPr>
        <w:t> </w:t>
      </w:r>
      <w:r>
        <w:rPr>
          <w:rFonts w:ascii="Segoe UI Semibold" w:hAnsi="Segoe UI Semibold"/>
          <w:b/>
          <w:i/>
          <w:color w:val="231F20"/>
          <w:spacing w:val="-8"/>
          <w:sz w:val="24"/>
        </w:rPr>
        <w:t>laboratoires pharmaceutiques</w:t>
      </w:r>
      <w:r>
        <w:rPr>
          <w:rFonts w:ascii="Segoe UI Semibold" w:hAnsi="Segoe UI Semibold"/>
          <w:b/>
          <w:i/>
          <w:color w:val="231F20"/>
          <w:spacing w:val="-9"/>
          <w:sz w:val="24"/>
        </w:rPr>
        <w:t> </w:t>
      </w:r>
      <w:r>
        <w:rPr>
          <w:rFonts w:ascii="Segoe UI Semibold" w:hAnsi="Segoe UI Semibold"/>
          <w:b/>
          <w:i/>
          <w:color w:val="231F20"/>
          <w:spacing w:val="-8"/>
          <w:sz w:val="24"/>
        </w:rPr>
        <w:t>cubains et </w:t>
      </w:r>
      <w:r>
        <w:rPr>
          <w:rFonts w:ascii="Segoe UI Semibold" w:hAnsi="Segoe UI Semibold"/>
          <w:b/>
          <w:i/>
          <w:color w:val="231F20"/>
          <w:sz w:val="24"/>
        </w:rPr>
        <w:t>leurs</w:t>
      </w:r>
      <w:r>
        <w:rPr>
          <w:rFonts w:ascii="Segoe UI Semibold" w:hAnsi="Segoe UI Semibold"/>
          <w:b/>
          <w:i/>
          <w:color w:val="231F20"/>
          <w:spacing w:val="-17"/>
          <w:sz w:val="24"/>
        </w:rPr>
        <w:t> </w:t>
      </w:r>
      <w:r>
        <w:rPr>
          <w:rFonts w:ascii="Segoe UI Semibold" w:hAnsi="Segoe UI Semibold"/>
          <w:b/>
          <w:i/>
          <w:color w:val="231F20"/>
          <w:sz w:val="24"/>
        </w:rPr>
        <w:t>homologues</w:t>
      </w:r>
      <w:r>
        <w:rPr>
          <w:rFonts w:ascii="Segoe UI Semibold" w:hAnsi="Segoe UI Semibold"/>
          <w:b/>
          <w:i/>
          <w:color w:val="231F20"/>
          <w:spacing w:val="-16"/>
          <w:sz w:val="24"/>
        </w:rPr>
        <w:t> </w:t>
      </w:r>
      <w:r>
        <w:rPr>
          <w:rFonts w:ascii="Segoe UI Semibold" w:hAnsi="Segoe UI Semibold"/>
          <w:b/>
          <w:i/>
          <w:color w:val="231F20"/>
          <w:sz w:val="24"/>
        </w:rPr>
        <w:t>des</w:t>
      </w:r>
      <w:r>
        <w:rPr>
          <w:rFonts w:ascii="Segoe UI Semibold" w:hAnsi="Segoe UI Semibold"/>
          <w:b/>
          <w:i/>
          <w:color w:val="231F20"/>
          <w:spacing w:val="-17"/>
          <w:sz w:val="24"/>
        </w:rPr>
        <w:t> </w:t>
      </w:r>
      <w:r>
        <w:rPr>
          <w:rFonts w:ascii="Segoe UI Semibold" w:hAnsi="Segoe UI Semibold"/>
          <w:b/>
          <w:i/>
          <w:color w:val="231F20"/>
          <w:sz w:val="24"/>
        </w:rPr>
        <w:t>États-Unis</w:t>
      </w:r>
      <w:r>
        <w:rPr>
          <w:rFonts w:ascii="Segoe UI Semibold" w:hAnsi="Segoe UI Semibold"/>
          <w:b/>
          <w:i/>
          <w:color w:val="231F20"/>
          <w:spacing w:val="-16"/>
          <w:sz w:val="24"/>
        </w:rPr>
        <w:t> </w:t>
      </w:r>
      <w:r>
        <w:rPr>
          <w:rFonts w:ascii="Segoe UI Semibold" w:hAnsi="Segoe UI Semibold"/>
          <w:b/>
          <w:i/>
          <w:color w:val="231F20"/>
          <w:sz w:val="24"/>
        </w:rPr>
        <w:t>!</w:t>
      </w:r>
      <w:r>
        <w:rPr>
          <w:rFonts w:ascii="Segoe UI Semibold" w:hAnsi="Segoe UI Semibold"/>
          <w:b/>
          <w:i/>
          <w:color w:val="231F20"/>
          <w:spacing w:val="-17"/>
          <w:sz w:val="24"/>
        </w:rPr>
        <w:t> </w:t>
      </w:r>
      <w:r>
        <w:rPr>
          <w:rFonts w:ascii="Segoe UI Semibold" w:hAnsi="Segoe UI Semibold"/>
          <w:b/>
          <w:i/>
          <w:color w:val="231F20"/>
          <w:sz w:val="24"/>
        </w:rPr>
        <w:t>»</w:t>
      </w:r>
    </w:p>
    <w:p>
      <w:pPr>
        <w:pStyle w:val="BodyText"/>
        <w:spacing w:before="160"/>
        <w:ind w:left="412" w:right="1475"/>
      </w:pPr>
      <w:r>
        <w:rPr>
          <w:color w:val="231F20"/>
        </w:rPr>
        <w:t>Durant la période analysée, la société MediCuba a passé à des compagnies </w:t>
      </w:r>
      <w:r>
        <w:rPr>
          <w:color w:val="231F20"/>
          <w:spacing w:val="-4"/>
        </w:rPr>
        <w:t>étasuniennes</w:t>
      </w:r>
      <w:r>
        <w:rPr>
          <w:color w:val="231F20"/>
          <w:spacing w:val="-13"/>
        </w:rPr>
        <w:t> </w:t>
      </w:r>
      <w:r>
        <w:rPr>
          <w:color w:val="231F20"/>
          <w:spacing w:val="-4"/>
        </w:rPr>
        <w:t>69</w:t>
      </w:r>
      <w:r>
        <w:rPr>
          <w:color w:val="231F20"/>
          <w:spacing w:val="-12"/>
        </w:rPr>
        <w:t> </w:t>
      </w:r>
      <w:r>
        <w:rPr>
          <w:color w:val="231F20"/>
          <w:spacing w:val="-4"/>
        </w:rPr>
        <w:t>commandes</w:t>
      </w:r>
      <w:r>
        <w:rPr>
          <w:color w:val="231F20"/>
          <w:spacing w:val="-13"/>
        </w:rPr>
        <w:t> </w:t>
      </w:r>
      <w:r>
        <w:rPr>
          <w:color w:val="231F20"/>
          <w:spacing w:val="-4"/>
        </w:rPr>
        <w:t>de</w:t>
      </w:r>
      <w:r>
        <w:rPr>
          <w:color w:val="231F20"/>
          <w:spacing w:val="-12"/>
        </w:rPr>
        <w:t> </w:t>
      </w:r>
      <w:r>
        <w:rPr>
          <w:color w:val="231F20"/>
          <w:spacing w:val="-4"/>
        </w:rPr>
        <w:t>ressources </w:t>
      </w:r>
      <w:r>
        <w:rPr>
          <w:color w:val="231F20"/>
        </w:rPr>
        <w:t>et</w:t>
      </w:r>
      <w:r>
        <w:rPr>
          <w:color w:val="231F20"/>
          <w:spacing w:val="-17"/>
        </w:rPr>
        <w:t> </w:t>
      </w:r>
      <w:r>
        <w:rPr>
          <w:color w:val="231F20"/>
        </w:rPr>
        <w:t>d’autres</w:t>
      </w:r>
      <w:r>
        <w:rPr>
          <w:color w:val="231F20"/>
          <w:spacing w:val="-16"/>
        </w:rPr>
        <w:t> </w:t>
      </w:r>
      <w:r>
        <w:rPr>
          <w:color w:val="231F20"/>
        </w:rPr>
        <w:t>intrants</w:t>
      </w:r>
      <w:r>
        <w:rPr>
          <w:color w:val="231F20"/>
          <w:spacing w:val="-17"/>
        </w:rPr>
        <w:t> </w:t>
      </w:r>
      <w:r>
        <w:rPr>
          <w:color w:val="231F20"/>
        </w:rPr>
        <w:t>nécessaires</w:t>
      </w:r>
      <w:r>
        <w:rPr>
          <w:color w:val="231F20"/>
          <w:spacing w:val="-16"/>
        </w:rPr>
        <w:t> </w:t>
      </w:r>
      <w:r>
        <w:rPr>
          <w:color w:val="231F20"/>
        </w:rPr>
        <w:t>au</w:t>
      </w:r>
      <w:r>
        <w:rPr>
          <w:color w:val="231F20"/>
          <w:spacing w:val="-17"/>
        </w:rPr>
        <w:t> </w:t>
      </w:r>
      <w:r>
        <w:rPr>
          <w:color w:val="231F20"/>
        </w:rPr>
        <w:t>système </w:t>
      </w:r>
      <w:r>
        <w:rPr>
          <w:color w:val="231F20"/>
          <w:spacing w:val="-4"/>
        </w:rPr>
        <w:t>de</w:t>
      </w:r>
      <w:r>
        <w:rPr>
          <w:color w:val="231F20"/>
          <w:spacing w:val="-13"/>
        </w:rPr>
        <w:t> </w:t>
      </w:r>
      <w:r>
        <w:rPr>
          <w:color w:val="231F20"/>
          <w:spacing w:val="-4"/>
        </w:rPr>
        <w:t>santé</w:t>
      </w:r>
      <w:r>
        <w:rPr>
          <w:color w:val="231F20"/>
          <w:spacing w:val="-12"/>
        </w:rPr>
        <w:t> </w:t>
      </w:r>
      <w:r>
        <w:rPr>
          <w:color w:val="231F20"/>
          <w:spacing w:val="-4"/>
        </w:rPr>
        <w:t>national,</w:t>
      </w:r>
      <w:r>
        <w:rPr>
          <w:color w:val="231F20"/>
          <w:spacing w:val="-13"/>
        </w:rPr>
        <w:t> </w:t>
      </w:r>
      <w:r>
        <w:rPr>
          <w:color w:val="231F20"/>
          <w:spacing w:val="-4"/>
        </w:rPr>
        <w:t>notamment</w:t>
      </w:r>
      <w:r>
        <w:rPr>
          <w:color w:val="231F20"/>
          <w:spacing w:val="-12"/>
        </w:rPr>
        <w:t> </w:t>
      </w:r>
      <w:r>
        <w:rPr>
          <w:color w:val="231F20"/>
          <w:spacing w:val="-4"/>
        </w:rPr>
        <w:t>à</w:t>
      </w:r>
      <w:r>
        <w:rPr>
          <w:color w:val="231F20"/>
          <w:spacing w:val="-13"/>
        </w:rPr>
        <w:t> </w:t>
      </w:r>
      <w:r>
        <w:rPr>
          <w:color w:val="231F20"/>
          <w:spacing w:val="-4"/>
        </w:rPr>
        <w:t>l’Institut</w:t>
      </w:r>
      <w:r>
        <w:rPr>
          <w:color w:val="231F20"/>
          <w:spacing w:val="-12"/>
        </w:rPr>
        <w:t> </w:t>
      </w:r>
      <w:r>
        <w:rPr>
          <w:color w:val="231F20"/>
          <w:spacing w:val="-4"/>
        </w:rPr>
        <w:t>de </w:t>
      </w:r>
      <w:r>
        <w:rPr>
          <w:color w:val="231F20"/>
          <w:spacing w:val="-8"/>
        </w:rPr>
        <w:t>neurologie et de neurochirurgie et à l’Institut </w:t>
      </w:r>
      <w:r>
        <w:rPr>
          <w:color w:val="231F20"/>
        </w:rPr>
        <w:t>de</w:t>
      </w:r>
      <w:r>
        <w:rPr>
          <w:color w:val="231F20"/>
          <w:spacing w:val="-5"/>
        </w:rPr>
        <w:t> </w:t>
      </w:r>
      <w:r>
        <w:rPr>
          <w:color w:val="231F20"/>
        </w:rPr>
        <w:t>cancérologie</w:t>
      </w:r>
      <w:r>
        <w:rPr>
          <w:color w:val="231F20"/>
          <w:spacing w:val="-5"/>
        </w:rPr>
        <w:t> </w:t>
      </w:r>
      <w:r>
        <w:rPr>
          <w:color w:val="231F20"/>
        </w:rPr>
        <w:t>et</w:t>
      </w:r>
      <w:r>
        <w:rPr>
          <w:color w:val="231F20"/>
          <w:spacing w:val="-5"/>
        </w:rPr>
        <w:t> </w:t>
      </w:r>
      <w:r>
        <w:rPr>
          <w:color w:val="231F20"/>
        </w:rPr>
        <w:t>de</w:t>
      </w:r>
      <w:r>
        <w:rPr>
          <w:color w:val="231F20"/>
          <w:spacing w:val="-5"/>
        </w:rPr>
        <w:t> </w:t>
      </w:r>
      <w:r>
        <w:rPr>
          <w:color w:val="231F20"/>
        </w:rPr>
        <w:t>radiobiologie</w:t>
      </w:r>
      <w:r>
        <w:rPr>
          <w:color w:val="231F20"/>
          <w:spacing w:val="-5"/>
        </w:rPr>
        <w:t> </w:t>
      </w:r>
      <w:r>
        <w:rPr>
          <w:color w:val="231F20"/>
        </w:rPr>
        <w:t>:</w:t>
      </w:r>
      <w:r>
        <w:rPr>
          <w:color w:val="231F20"/>
          <w:spacing w:val="-5"/>
        </w:rPr>
        <w:t> </w:t>
      </w:r>
      <w:r>
        <w:rPr>
          <w:color w:val="231F20"/>
        </w:rPr>
        <w:t>trois – Thermo Fisher Scientific, New England </w:t>
      </w:r>
      <w:r>
        <w:rPr>
          <w:color w:val="231F20"/>
          <w:spacing w:val="-8"/>
        </w:rPr>
        <w:t>Biolabs, Agilent Technologies – ont répondu, </w:t>
      </w:r>
      <w:r>
        <w:rPr>
          <w:color w:val="231F20"/>
        </w:rPr>
        <w:t>mais pour dire non ; 64 n’ont même pas daigné répondre.</w:t>
      </w:r>
    </w:p>
    <w:p>
      <w:pPr>
        <w:pStyle w:val="Heading3"/>
        <w:spacing w:line="220" w:lineRule="auto" w:before="169"/>
        <w:ind w:left="412" w:right="1473"/>
        <w:jc w:val="both"/>
        <w:rPr>
          <w:b/>
        </w:rPr>
      </w:pPr>
      <w:r>
        <w:rPr>
          <w:b/>
          <w:i/>
          <w:color w:val="1A4796"/>
        </w:rPr>
        <w:t>On</w:t>
      </w:r>
      <w:r>
        <w:rPr>
          <w:b/>
          <w:i/>
          <w:color w:val="1A4796"/>
          <w:spacing w:val="-18"/>
        </w:rPr>
        <w:t> </w:t>
      </w:r>
      <w:r>
        <w:rPr>
          <w:b/>
          <w:i/>
          <w:color w:val="1A4796"/>
        </w:rPr>
        <w:t>diagnostique</w:t>
      </w:r>
      <w:r>
        <w:rPr>
          <w:b/>
          <w:i/>
          <w:color w:val="1A4796"/>
          <w:spacing w:val="-18"/>
        </w:rPr>
        <w:t> </w:t>
      </w:r>
      <w:r>
        <w:rPr>
          <w:b/>
          <w:i/>
          <w:color w:val="1A4796"/>
        </w:rPr>
        <w:t>à</w:t>
      </w:r>
      <w:r>
        <w:rPr>
          <w:b/>
          <w:i/>
          <w:color w:val="1A4796"/>
          <w:spacing w:val="-18"/>
        </w:rPr>
        <w:t> </w:t>
      </w:r>
      <w:r>
        <w:rPr>
          <w:b/>
          <w:i/>
          <w:color w:val="1A4796"/>
        </w:rPr>
        <w:t>Cuba</w:t>
      </w:r>
      <w:r>
        <w:rPr>
          <w:b/>
          <w:i/>
          <w:color w:val="1A4796"/>
          <w:spacing w:val="-18"/>
        </w:rPr>
        <w:t> </w:t>
      </w:r>
      <w:r>
        <w:rPr>
          <w:b/>
          <w:i/>
          <w:color w:val="1A4796"/>
        </w:rPr>
        <w:t>une</w:t>
      </w:r>
      <w:r>
        <w:rPr>
          <w:b/>
          <w:i/>
          <w:color w:val="1A4796"/>
          <w:spacing w:val="-18"/>
        </w:rPr>
        <w:t> </w:t>
      </w:r>
      <w:r>
        <w:rPr>
          <w:b/>
          <w:i/>
          <w:color w:val="1A4796"/>
        </w:rPr>
        <w:t>moyenne</w:t>
      </w:r>
      <w:r>
        <w:rPr>
          <w:b/>
          <w:color w:val="1A4796"/>
        </w:rPr>
        <w:t> </w:t>
      </w:r>
      <w:r>
        <w:rPr>
          <w:b/>
          <w:color w:val="1A4796"/>
          <w:spacing w:val="-8"/>
        </w:rPr>
        <w:t>annuelle de 450 nouveaux cas de cancer </w:t>
      </w:r>
      <w:r>
        <w:rPr>
          <w:b/>
          <w:color w:val="1A4796"/>
        </w:rPr>
        <w:t>chez l’enfant. Une fillette de six ans a dû</w:t>
      </w:r>
      <w:r>
        <w:rPr>
          <w:b/>
          <w:color w:val="1A4796"/>
          <w:spacing w:val="-2"/>
        </w:rPr>
        <w:t> </w:t>
      </w:r>
      <w:r>
        <w:rPr>
          <w:b/>
          <w:color w:val="1A4796"/>
        </w:rPr>
        <w:t>subir</w:t>
      </w:r>
      <w:r>
        <w:rPr>
          <w:b/>
          <w:color w:val="1A4796"/>
          <w:spacing w:val="-2"/>
        </w:rPr>
        <w:t> </w:t>
      </w:r>
      <w:r>
        <w:rPr>
          <w:b/>
          <w:color w:val="1A4796"/>
        </w:rPr>
        <w:t>une</w:t>
      </w:r>
      <w:r>
        <w:rPr>
          <w:b/>
          <w:color w:val="1A4796"/>
          <w:spacing w:val="-3"/>
        </w:rPr>
        <w:t> </w:t>
      </w:r>
      <w:r>
        <w:rPr>
          <w:b/>
          <w:color w:val="1A4796"/>
        </w:rPr>
        <w:t>intervention</w:t>
      </w:r>
      <w:r>
        <w:rPr>
          <w:b/>
          <w:color w:val="1A4796"/>
          <w:spacing w:val="-2"/>
        </w:rPr>
        <w:t> </w:t>
      </w:r>
      <w:r>
        <w:rPr>
          <w:b/>
          <w:color w:val="1A4796"/>
        </w:rPr>
        <w:t>chirurgicale pour extraire en partie une tumeur intracrânienne de grade 4 qui touche le</w:t>
      </w:r>
      <w:r>
        <w:rPr>
          <w:b/>
          <w:color w:val="1A4796"/>
          <w:spacing w:val="-17"/>
        </w:rPr>
        <w:t> </w:t>
      </w:r>
      <w:r>
        <w:rPr>
          <w:b/>
          <w:color w:val="1A4796"/>
        </w:rPr>
        <w:t>système</w:t>
      </w:r>
      <w:r>
        <w:rPr>
          <w:b/>
          <w:color w:val="1A4796"/>
          <w:spacing w:val="-16"/>
        </w:rPr>
        <w:t> </w:t>
      </w:r>
      <w:r>
        <w:rPr>
          <w:b/>
          <w:color w:val="1A4796"/>
        </w:rPr>
        <w:t>nerveux</w:t>
      </w:r>
      <w:r>
        <w:rPr>
          <w:b/>
          <w:color w:val="1A4796"/>
          <w:spacing w:val="-16"/>
        </w:rPr>
        <w:t> </w:t>
      </w:r>
      <w:r>
        <w:rPr>
          <w:b/>
          <w:color w:val="1A4796"/>
        </w:rPr>
        <w:t>central.</w:t>
      </w:r>
      <w:r>
        <w:rPr>
          <w:b/>
          <w:color w:val="1A4796"/>
          <w:spacing w:val="-17"/>
        </w:rPr>
        <w:t> </w:t>
      </w:r>
      <w:r>
        <w:rPr>
          <w:b/>
          <w:color w:val="1A4796"/>
        </w:rPr>
        <w:t>On</w:t>
      </w:r>
      <w:r>
        <w:rPr>
          <w:b/>
          <w:color w:val="1A4796"/>
          <w:spacing w:val="-16"/>
        </w:rPr>
        <w:t> </w:t>
      </w:r>
      <w:r>
        <w:rPr>
          <w:b/>
          <w:color w:val="1A4796"/>
        </w:rPr>
        <w:t>a</w:t>
      </w:r>
      <w:r>
        <w:rPr>
          <w:b/>
          <w:color w:val="1A4796"/>
          <w:spacing w:val="-16"/>
        </w:rPr>
        <w:t> </w:t>
      </w:r>
      <w:r>
        <w:rPr>
          <w:b/>
          <w:color w:val="1A4796"/>
        </w:rPr>
        <w:t>pu</w:t>
      </w:r>
      <w:r>
        <w:rPr>
          <w:b/>
          <w:color w:val="1A4796"/>
          <w:spacing w:val="-16"/>
        </w:rPr>
        <w:t> </w:t>
      </w:r>
      <w:r>
        <w:rPr>
          <w:b/>
          <w:color w:val="1A4796"/>
          <w:spacing w:val="-5"/>
        </w:rPr>
        <w:t>lui</w:t>
      </w:r>
    </w:p>
    <w:p>
      <w:pPr>
        <w:spacing w:after="0" w:line="220" w:lineRule="auto"/>
        <w:jc w:val="both"/>
        <w:sectPr>
          <w:pgSz w:w="11910" w:h="16840"/>
          <w:pgMar w:header="0" w:footer="695" w:top="1260" w:bottom="880" w:left="0" w:right="0"/>
          <w:cols w:num="2" w:equalWidth="0">
            <w:col w:w="5557" w:space="40"/>
            <w:col w:w="6313"/>
          </w:cols>
        </w:sectPr>
      </w:pPr>
    </w:p>
    <w:p>
      <w:pPr>
        <w:spacing w:line="220" w:lineRule="auto" w:before="97"/>
        <w:ind w:left="1474" w:right="0" w:firstLine="0"/>
        <w:jc w:val="both"/>
        <w:rPr>
          <w:rFonts w:ascii="Segoe UI Semibold" w:hAnsi="Segoe UI Semibold"/>
          <w:b/>
          <w:i/>
          <w:sz w:val="26"/>
        </w:rPr>
      </w:pPr>
      <w:r>
        <w:rPr>
          <w:rFonts w:ascii="Segoe UI Semibold" w:hAnsi="Segoe UI Semibold"/>
          <w:b/>
          <w:i/>
          <w:color w:val="1A4796"/>
          <w:spacing w:val="-8"/>
          <w:sz w:val="26"/>
        </w:rPr>
        <w:t>garantir le traitement chimiothérapique</w:t>
      </w:r>
      <w:r>
        <w:rPr>
          <w:rFonts w:ascii="Segoe UI Semibold" w:hAnsi="Segoe UI Semibold"/>
          <w:b/>
          <w:i/>
          <w:color w:val="1A4796"/>
          <w:spacing w:val="-8"/>
          <w:sz w:val="26"/>
        </w:rPr>
        <w:t> </w:t>
      </w:r>
      <w:r>
        <w:rPr>
          <w:rFonts w:ascii="Segoe UI Semibold" w:hAnsi="Segoe UI Semibold"/>
          <w:b/>
          <w:i/>
          <w:color w:val="1A4796"/>
          <w:sz w:val="26"/>
        </w:rPr>
        <w:t>pour combattre la tumeur, mais il a été impossible, à cause du blocus, de lui administrer de la lomustine, un </w:t>
      </w:r>
      <w:r>
        <w:rPr>
          <w:rFonts w:ascii="Segoe UI Semibold" w:hAnsi="Segoe UI Semibold"/>
          <w:b/>
          <w:i/>
          <w:color w:val="1A4796"/>
          <w:spacing w:val="-6"/>
          <w:sz w:val="26"/>
        </w:rPr>
        <w:t>médicament</w:t>
      </w:r>
      <w:r>
        <w:rPr>
          <w:rFonts w:ascii="Segoe UI Semibold" w:hAnsi="Segoe UI Semibold"/>
          <w:b/>
          <w:i/>
          <w:color w:val="1A4796"/>
          <w:spacing w:val="-9"/>
          <w:sz w:val="26"/>
        </w:rPr>
        <w:t> </w:t>
      </w:r>
      <w:r>
        <w:rPr>
          <w:rFonts w:ascii="Segoe UI Semibold" w:hAnsi="Segoe UI Semibold"/>
          <w:b/>
          <w:i/>
          <w:color w:val="1A4796"/>
          <w:spacing w:val="-6"/>
          <w:sz w:val="26"/>
        </w:rPr>
        <w:t>de</w:t>
      </w:r>
      <w:r>
        <w:rPr>
          <w:rFonts w:ascii="Segoe UI Semibold" w:hAnsi="Segoe UI Semibold"/>
          <w:b/>
          <w:i/>
          <w:color w:val="1A4796"/>
          <w:spacing w:val="-9"/>
          <w:sz w:val="26"/>
        </w:rPr>
        <w:t> </w:t>
      </w:r>
      <w:r>
        <w:rPr>
          <w:rFonts w:ascii="Segoe UI Semibold" w:hAnsi="Segoe UI Semibold"/>
          <w:b/>
          <w:i/>
          <w:color w:val="1A4796"/>
          <w:spacing w:val="-6"/>
          <w:sz w:val="26"/>
        </w:rPr>
        <w:t>première</w:t>
      </w:r>
      <w:r>
        <w:rPr>
          <w:rFonts w:ascii="Segoe UI Semibold" w:hAnsi="Segoe UI Semibold"/>
          <w:b/>
          <w:i/>
          <w:color w:val="1A4796"/>
          <w:spacing w:val="-9"/>
          <w:sz w:val="26"/>
        </w:rPr>
        <w:t> </w:t>
      </w:r>
      <w:r>
        <w:rPr>
          <w:rFonts w:ascii="Segoe UI Semibold" w:hAnsi="Segoe UI Semibold"/>
          <w:b/>
          <w:i/>
          <w:color w:val="1A4796"/>
          <w:spacing w:val="-6"/>
          <w:sz w:val="26"/>
        </w:rPr>
        <w:t>ligne</w:t>
      </w:r>
      <w:r>
        <w:rPr>
          <w:rFonts w:ascii="Segoe UI Semibold" w:hAnsi="Segoe UI Semibold"/>
          <w:b/>
          <w:i/>
          <w:color w:val="1A4796"/>
          <w:spacing w:val="-9"/>
          <w:sz w:val="26"/>
        </w:rPr>
        <w:t> </w:t>
      </w:r>
      <w:r>
        <w:rPr>
          <w:rFonts w:ascii="Segoe UI Semibold" w:hAnsi="Segoe UI Semibold"/>
          <w:b/>
          <w:i/>
          <w:color w:val="1A4796"/>
          <w:spacing w:val="-6"/>
          <w:sz w:val="26"/>
        </w:rPr>
        <w:t>dans</w:t>
      </w:r>
      <w:r>
        <w:rPr>
          <w:rFonts w:ascii="Segoe UI Semibold" w:hAnsi="Segoe UI Semibold"/>
          <w:b/>
          <w:i/>
          <w:color w:val="1A4796"/>
          <w:spacing w:val="-9"/>
          <w:sz w:val="26"/>
        </w:rPr>
        <w:t> </w:t>
      </w:r>
      <w:r>
        <w:rPr>
          <w:rFonts w:ascii="Segoe UI Semibold" w:hAnsi="Segoe UI Semibold"/>
          <w:b/>
          <w:i/>
          <w:color w:val="1A4796"/>
          <w:spacing w:val="-6"/>
          <w:sz w:val="26"/>
        </w:rPr>
        <w:t>ces </w:t>
      </w:r>
      <w:r>
        <w:rPr>
          <w:rFonts w:ascii="Segoe UI Semibold" w:hAnsi="Segoe UI Semibold"/>
          <w:b/>
          <w:i/>
          <w:color w:val="1A4796"/>
          <w:spacing w:val="-8"/>
          <w:sz w:val="26"/>
        </w:rPr>
        <w:t>cas.</w:t>
      </w:r>
      <w:r>
        <w:rPr>
          <w:rFonts w:ascii="Segoe UI Semibold" w:hAnsi="Segoe UI Semibold"/>
          <w:b/>
          <w:i/>
          <w:color w:val="1A4796"/>
          <w:spacing w:val="-10"/>
          <w:sz w:val="26"/>
        </w:rPr>
        <w:t> </w:t>
      </w:r>
      <w:r>
        <w:rPr>
          <w:rFonts w:ascii="Segoe UI Semibold" w:hAnsi="Segoe UI Semibold"/>
          <w:b/>
          <w:i/>
          <w:color w:val="1A4796"/>
          <w:spacing w:val="-8"/>
          <w:sz w:val="26"/>
        </w:rPr>
        <w:t>La</w:t>
      </w:r>
      <w:r>
        <w:rPr>
          <w:rFonts w:ascii="Segoe UI Semibold" w:hAnsi="Segoe UI Semibold"/>
          <w:b/>
          <w:i/>
          <w:color w:val="1A4796"/>
          <w:spacing w:val="-10"/>
          <w:sz w:val="26"/>
        </w:rPr>
        <w:t> </w:t>
      </w:r>
      <w:r>
        <w:rPr>
          <w:rFonts w:ascii="Segoe UI Semibold" w:hAnsi="Segoe UI Semibold"/>
          <w:b/>
          <w:i/>
          <w:color w:val="1A4796"/>
          <w:spacing w:val="-8"/>
          <w:sz w:val="26"/>
        </w:rPr>
        <w:t>fillette</w:t>
      </w:r>
      <w:r>
        <w:rPr>
          <w:rFonts w:ascii="Segoe UI Semibold" w:hAnsi="Segoe UI Semibold"/>
          <w:b/>
          <w:i/>
          <w:color w:val="1A4796"/>
          <w:spacing w:val="-10"/>
          <w:sz w:val="26"/>
        </w:rPr>
        <w:t> </w:t>
      </w:r>
      <w:r>
        <w:rPr>
          <w:rFonts w:ascii="Segoe UI Semibold" w:hAnsi="Segoe UI Semibold"/>
          <w:b/>
          <w:i/>
          <w:color w:val="1A4796"/>
          <w:spacing w:val="-8"/>
          <w:sz w:val="26"/>
        </w:rPr>
        <w:t>a</w:t>
      </w:r>
      <w:r>
        <w:rPr>
          <w:rFonts w:ascii="Segoe UI Semibold" w:hAnsi="Segoe UI Semibold"/>
          <w:b/>
          <w:i/>
          <w:color w:val="1A4796"/>
          <w:spacing w:val="-10"/>
          <w:sz w:val="26"/>
        </w:rPr>
        <w:t> </w:t>
      </w:r>
      <w:r>
        <w:rPr>
          <w:rFonts w:ascii="Segoe UI Semibold" w:hAnsi="Segoe UI Semibold"/>
          <w:b/>
          <w:i/>
          <w:color w:val="1A4796"/>
          <w:spacing w:val="-8"/>
          <w:sz w:val="26"/>
        </w:rPr>
        <w:t>fait</w:t>
      </w:r>
      <w:r>
        <w:rPr>
          <w:rFonts w:ascii="Segoe UI Semibold" w:hAnsi="Segoe UI Semibold"/>
          <w:b/>
          <w:i/>
          <w:color w:val="1A4796"/>
          <w:spacing w:val="-10"/>
          <w:sz w:val="26"/>
        </w:rPr>
        <w:t> </w:t>
      </w:r>
      <w:r>
        <w:rPr>
          <w:rFonts w:ascii="Segoe UI Semibold" w:hAnsi="Segoe UI Semibold"/>
          <w:b/>
          <w:i/>
          <w:color w:val="1A4796"/>
          <w:spacing w:val="-8"/>
          <w:sz w:val="26"/>
        </w:rPr>
        <w:t>une</w:t>
      </w:r>
      <w:r>
        <w:rPr>
          <w:rFonts w:ascii="Segoe UI Semibold" w:hAnsi="Segoe UI Semibold"/>
          <w:b/>
          <w:i/>
          <w:color w:val="1A4796"/>
          <w:spacing w:val="-10"/>
          <w:sz w:val="26"/>
        </w:rPr>
        <w:t> </w:t>
      </w:r>
      <w:r>
        <w:rPr>
          <w:rFonts w:ascii="Segoe UI Semibold" w:hAnsi="Segoe UI Semibold"/>
          <w:b/>
          <w:i/>
          <w:color w:val="1A4796"/>
          <w:spacing w:val="-8"/>
          <w:sz w:val="26"/>
        </w:rPr>
        <w:t>rechute</w:t>
      </w:r>
      <w:r>
        <w:rPr>
          <w:rFonts w:ascii="Segoe UI Semibold" w:hAnsi="Segoe UI Semibold"/>
          <w:b/>
          <w:i/>
          <w:color w:val="1A4796"/>
          <w:spacing w:val="-10"/>
          <w:sz w:val="26"/>
        </w:rPr>
        <w:t> </w:t>
      </w:r>
      <w:r>
        <w:rPr>
          <w:rFonts w:ascii="Segoe UI Semibold" w:hAnsi="Segoe UI Semibold"/>
          <w:b/>
          <w:i/>
          <w:color w:val="1A4796"/>
          <w:spacing w:val="-8"/>
          <w:sz w:val="26"/>
        </w:rPr>
        <w:t>et</w:t>
      </w:r>
      <w:r>
        <w:rPr>
          <w:rFonts w:ascii="Segoe UI Semibold" w:hAnsi="Segoe UI Semibold"/>
          <w:b/>
          <w:i/>
          <w:color w:val="1A4796"/>
          <w:spacing w:val="-9"/>
          <w:sz w:val="26"/>
        </w:rPr>
        <w:t> </w:t>
      </w:r>
      <w:r>
        <w:rPr>
          <w:rFonts w:ascii="Segoe UI Semibold" w:hAnsi="Segoe UI Semibold"/>
          <w:b/>
          <w:i/>
          <w:color w:val="1A4796"/>
          <w:spacing w:val="-8"/>
          <w:sz w:val="26"/>
        </w:rPr>
        <w:t>reçoit </w:t>
      </w:r>
      <w:r>
        <w:rPr>
          <w:rFonts w:ascii="Segoe UI Semibold" w:hAnsi="Segoe UI Semibold"/>
          <w:b/>
          <w:i/>
          <w:color w:val="1A4796"/>
          <w:spacing w:val="-4"/>
          <w:sz w:val="26"/>
        </w:rPr>
        <w:t>un</w:t>
      </w:r>
      <w:r>
        <w:rPr>
          <w:rFonts w:ascii="Segoe UI Semibold" w:hAnsi="Segoe UI Semibold"/>
          <w:b/>
          <w:i/>
          <w:color w:val="1A4796"/>
          <w:spacing w:val="-14"/>
          <w:sz w:val="26"/>
        </w:rPr>
        <w:t> </w:t>
      </w:r>
      <w:r>
        <w:rPr>
          <w:rFonts w:ascii="Segoe UI Semibold" w:hAnsi="Segoe UI Semibold"/>
          <w:b/>
          <w:i/>
          <w:color w:val="1A4796"/>
          <w:spacing w:val="-4"/>
          <w:sz w:val="26"/>
        </w:rPr>
        <w:t>traitement</w:t>
      </w:r>
      <w:r>
        <w:rPr>
          <w:rFonts w:ascii="Segoe UI Semibold" w:hAnsi="Segoe UI Semibold"/>
          <w:b/>
          <w:i/>
          <w:color w:val="1A4796"/>
          <w:spacing w:val="-14"/>
          <w:sz w:val="26"/>
        </w:rPr>
        <w:t> </w:t>
      </w:r>
      <w:r>
        <w:rPr>
          <w:rFonts w:ascii="Segoe UI Semibold" w:hAnsi="Segoe UI Semibold"/>
          <w:b/>
          <w:i/>
          <w:color w:val="1A4796"/>
          <w:spacing w:val="-4"/>
          <w:sz w:val="26"/>
        </w:rPr>
        <w:t>de</w:t>
      </w:r>
      <w:r>
        <w:rPr>
          <w:rFonts w:ascii="Segoe UI Semibold" w:hAnsi="Segoe UI Semibold"/>
          <w:b/>
          <w:i/>
          <w:color w:val="1A4796"/>
          <w:spacing w:val="-14"/>
          <w:sz w:val="26"/>
        </w:rPr>
        <w:t> </w:t>
      </w:r>
      <w:r>
        <w:rPr>
          <w:rFonts w:ascii="Segoe UI Semibold" w:hAnsi="Segoe UI Semibold"/>
          <w:b/>
          <w:i/>
          <w:color w:val="1A4796"/>
          <w:spacing w:val="-4"/>
          <w:sz w:val="26"/>
        </w:rPr>
        <w:t>sauvegarde.</w:t>
      </w:r>
      <w:r>
        <w:rPr>
          <w:rFonts w:ascii="Segoe UI Semibold" w:hAnsi="Segoe UI Semibold"/>
          <w:b/>
          <w:i/>
          <w:color w:val="1A4796"/>
          <w:spacing w:val="-14"/>
          <w:sz w:val="26"/>
        </w:rPr>
        <w:t> </w:t>
      </w:r>
      <w:r>
        <w:rPr>
          <w:rFonts w:ascii="Segoe UI Semibold" w:hAnsi="Segoe UI Semibold"/>
          <w:b/>
          <w:i/>
          <w:color w:val="1A4796"/>
          <w:spacing w:val="-4"/>
          <w:sz w:val="26"/>
        </w:rPr>
        <w:t>Pour</w:t>
      </w:r>
      <w:r>
        <w:rPr>
          <w:rFonts w:ascii="Segoe UI Semibold" w:hAnsi="Segoe UI Semibold"/>
          <w:b/>
          <w:i/>
          <w:color w:val="1A4796"/>
          <w:spacing w:val="-14"/>
          <w:sz w:val="26"/>
        </w:rPr>
        <w:t> </w:t>
      </w:r>
      <w:r>
        <w:rPr>
          <w:rFonts w:ascii="Segoe UI Semibold" w:hAnsi="Segoe UI Semibold"/>
          <w:b/>
          <w:i/>
          <w:color w:val="1A4796"/>
          <w:spacing w:val="-4"/>
          <w:sz w:val="26"/>
        </w:rPr>
        <w:t>elle, </w:t>
      </w:r>
      <w:r>
        <w:rPr>
          <w:rFonts w:ascii="Segoe UI Semibold" w:hAnsi="Segoe UI Semibold"/>
          <w:b/>
          <w:i/>
          <w:color w:val="1A4796"/>
          <w:sz w:val="26"/>
        </w:rPr>
        <w:t>comme</w:t>
      </w:r>
      <w:r>
        <w:rPr>
          <w:rFonts w:ascii="Segoe UI Semibold" w:hAnsi="Segoe UI Semibold"/>
          <w:b/>
          <w:i/>
          <w:color w:val="1A4796"/>
          <w:spacing w:val="-15"/>
          <w:sz w:val="26"/>
        </w:rPr>
        <w:t> </w:t>
      </w:r>
      <w:r>
        <w:rPr>
          <w:rFonts w:ascii="Segoe UI Semibold" w:hAnsi="Segoe UI Semibold"/>
          <w:b/>
          <w:i/>
          <w:color w:val="1A4796"/>
          <w:sz w:val="26"/>
        </w:rPr>
        <w:t>pour</w:t>
      </w:r>
      <w:r>
        <w:rPr>
          <w:rFonts w:ascii="Segoe UI Semibold" w:hAnsi="Segoe UI Semibold"/>
          <w:b/>
          <w:i/>
          <w:color w:val="1A4796"/>
          <w:spacing w:val="-15"/>
          <w:sz w:val="26"/>
        </w:rPr>
        <w:t> </w:t>
      </w:r>
      <w:r>
        <w:rPr>
          <w:rFonts w:ascii="Segoe UI Semibold" w:hAnsi="Segoe UI Semibold"/>
          <w:b/>
          <w:i/>
          <w:color w:val="1A4796"/>
          <w:sz w:val="26"/>
        </w:rPr>
        <w:t>d’autres</w:t>
      </w:r>
      <w:r>
        <w:rPr>
          <w:rFonts w:ascii="Segoe UI Semibold" w:hAnsi="Segoe UI Semibold"/>
          <w:b/>
          <w:i/>
          <w:color w:val="1A4796"/>
          <w:spacing w:val="-15"/>
          <w:sz w:val="26"/>
        </w:rPr>
        <w:t> </w:t>
      </w:r>
      <w:r>
        <w:rPr>
          <w:rFonts w:ascii="Segoe UI Semibold" w:hAnsi="Segoe UI Semibold"/>
          <w:b/>
          <w:i/>
          <w:color w:val="1A4796"/>
          <w:sz w:val="26"/>
        </w:rPr>
        <w:t>enfants</w:t>
      </w:r>
      <w:r>
        <w:rPr>
          <w:rFonts w:ascii="Segoe UI Semibold" w:hAnsi="Segoe UI Semibold"/>
          <w:b/>
          <w:i/>
          <w:color w:val="1A4796"/>
          <w:spacing w:val="-15"/>
          <w:sz w:val="26"/>
        </w:rPr>
        <w:t> </w:t>
      </w:r>
      <w:r>
        <w:rPr>
          <w:rFonts w:ascii="Segoe UI Semibold" w:hAnsi="Segoe UI Semibold"/>
          <w:b/>
          <w:i/>
          <w:color w:val="1A4796"/>
          <w:sz w:val="26"/>
        </w:rPr>
        <w:t>cubains, le</w:t>
      </w:r>
      <w:r>
        <w:rPr>
          <w:rFonts w:ascii="Segoe UI Semibold" w:hAnsi="Segoe UI Semibold"/>
          <w:b/>
          <w:i/>
          <w:color w:val="1A4796"/>
          <w:spacing w:val="-5"/>
          <w:sz w:val="26"/>
        </w:rPr>
        <w:t> </w:t>
      </w:r>
      <w:r>
        <w:rPr>
          <w:rFonts w:ascii="Segoe UI Semibold" w:hAnsi="Segoe UI Semibold"/>
          <w:b/>
          <w:i/>
          <w:color w:val="1A4796"/>
          <w:sz w:val="26"/>
        </w:rPr>
        <w:t>blocus</w:t>
      </w:r>
      <w:r>
        <w:rPr>
          <w:rFonts w:ascii="Segoe UI Semibold" w:hAnsi="Segoe UI Semibold"/>
          <w:b/>
          <w:i/>
          <w:color w:val="1A4796"/>
          <w:spacing w:val="-4"/>
          <w:sz w:val="26"/>
        </w:rPr>
        <w:t> </w:t>
      </w:r>
      <w:r>
        <w:rPr>
          <w:rFonts w:ascii="Segoe UI Semibold" w:hAnsi="Segoe UI Semibold"/>
          <w:b/>
          <w:i/>
          <w:color w:val="1A4796"/>
          <w:sz w:val="26"/>
        </w:rPr>
        <w:t>marque</w:t>
      </w:r>
      <w:r>
        <w:rPr>
          <w:rFonts w:ascii="Segoe UI Semibold" w:hAnsi="Segoe UI Semibold"/>
          <w:b/>
          <w:i/>
          <w:color w:val="1A4796"/>
          <w:spacing w:val="-5"/>
          <w:sz w:val="26"/>
        </w:rPr>
        <w:t> </w:t>
      </w:r>
      <w:r>
        <w:rPr>
          <w:rFonts w:ascii="Segoe UI Semibold" w:hAnsi="Segoe UI Semibold"/>
          <w:b/>
          <w:i/>
          <w:color w:val="1A4796"/>
          <w:sz w:val="26"/>
        </w:rPr>
        <w:t>la</w:t>
      </w:r>
      <w:r>
        <w:rPr>
          <w:rFonts w:ascii="Segoe UI Semibold" w:hAnsi="Segoe UI Semibold"/>
          <w:b/>
          <w:i/>
          <w:color w:val="1A4796"/>
          <w:spacing w:val="-5"/>
          <w:sz w:val="26"/>
        </w:rPr>
        <w:t> </w:t>
      </w:r>
      <w:r>
        <w:rPr>
          <w:rFonts w:ascii="Segoe UI Semibold" w:hAnsi="Segoe UI Semibold"/>
          <w:b/>
          <w:i/>
          <w:color w:val="1A4796"/>
          <w:sz w:val="26"/>
        </w:rPr>
        <w:t>limite</w:t>
      </w:r>
      <w:r>
        <w:rPr>
          <w:rFonts w:ascii="Segoe UI Semibold" w:hAnsi="Segoe UI Semibold"/>
          <w:b/>
          <w:i/>
          <w:color w:val="1A4796"/>
          <w:spacing w:val="-5"/>
          <w:sz w:val="26"/>
        </w:rPr>
        <w:t> </w:t>
      </w:r>
      <w:r>
        <w:rPr>
          <w:rFonts w:ascii="Segoe UI Semibold" w:hAnsi="Segoe UI Semibold"/>
          <w:b/>
          <w:i/>
          <w:color w:val="1A4796"/>
          <w:sz w:val="26"/>
        </w:rPr>
        <w:t>entre</w:t>
      </w:r>
      <w:r>
        <w:rPr>
          <w:rFonts w:ascii="Segoe UI Semibold" w:hAnsi="Segoe UI Semibold"/>
          <w:b/>
          <w:i/>
          <w:color w:val="1A4796"/>
          <w:spacing w:val="-5"/>
          <w:sz w:val="26"/>
        </w:rPr>
        <w:t> </w:t>
      </w:r>
      <w:r>
        <w:rPr>
          <w:rFonts w:ascii="Segoe UI Semibold" w:hAnsi="Segoe UI Semibold"/>
          <w:b/>
          <w:i/>
          <w:color w:val="1A4796"/>
          <w:sz w:val="26"/>
        </w:rPr>
        <w:t>la</w:t>
      </w:r>
      <w:r>
        <w:rPr>
          <w:rFonts w:ascii="Segoe UI Semibold" w:hAnsi="Segoe UI Semibold"/>
          <w:b/>
          <w:i/>
          <w:color w:val="1A4796"/>
          <w:spacing w:val="-5"/>
          <w:sz w:val="26"/>
        </w:rPr>
        <w:t> </w:t>
      </w:r>
      <w:r>
        <w:rPr>
          <w:rFonts w:ascii="Segoe UI Semibold" w:hAnsi="Segoe UI Semibold"/>
          <w:b/>
          <w:i/>
          <w:color w:val="1A4796"/>
          <w:sz w:val="26"/>
        </w:rPr>
        <w:t>vie et la mort.</w:t>
      </w:r>
    </w:p>
    <w:p>
      <w:pPr>
        <w:pStyle w:val="BodyText"/>
        <w:spacing w:before="168"/>
        <w:ind w:left="1474"/>
      </w:pPr>
      <w:r>
        <w:rPr>
          <w:color w:val="231F20"/>
        </w:rPr>
        <w:t>Plus</w:t>
      </w:r>
      <w:r>
        <w:rPr>
          <w:color w:val="231F20"/>
          <w:spacing w:val="-17"/>
        </w:rPr>
        <w:t> </w:t>
      </w:r>
      <w:r>
        <w:rPr>
          <w:color w:val="231F20"/>
        </w:rPr>
        <w:t>de</w:t>
      </w:r>
      <w:r>
        <w:rPr>
          <w:color w:val="231F20"/>
          <w:spacing w:val="-16"/>
        </w:rPr>
        <w:t> </w:t>
      </w:r>
      <w:r>
        <w:rPr>
          <w:color w:val="231F20"/>
        </w:rPr>
        <w:t>20</w:t>
      </w:r>
      <w:r>
        <w:rPr>
          <w:color w:val="231F20"/>
          <w:spacing w:val="-17"/>
        </w:rPr>
        <w:t> </w:t>
      </w:r>
      <w:r>
        <w:rPr>
          <w:color w:val="231F20"/>
        </w:rPr>
        <w:t>000</w:t>
      </w:r>
      <w:r>
        <w:rPr>
          <w:color w:val="231F20"/>
          <w:spacing w:val="-16"/>
        </w:rPr>
        <w:t> </w:t>
      </w:r>
      <w:r>
        <w:rPr>
          <w:color w:val="231F20"/>
        </w:rPr>
        <w:t>familles</w:t>
      </w:r>
      <w:r>
        <w:rPr>
          <w:color w:val="231F20"/>
          <w:spacing w:val="-17"/>
        </w:rPr>
        <w:t> </w:t>
      </w:r>
      <w:r>
        <w:rPr>
          <w:color w:val="231F20"/>
        </w:rPr>
        <w:t>cubaines</w:t>
      </w:r>
      <w:r>
        <w:rPr>
          <w:color w:val="231F20"/>
          <w:spacing w:val="-16"/>
        </w:rPr>
        <w:t> </w:t>
      </w:r>
      <w:r>
        <w:rPr>
          <w:color w:val="231F20"/>
        </w:rPr>
        <w:t>attendent toujours des diagnostics concernant des maladies génétiques qu’il est impossible de traiter dûment faute de la technologie </w:t>
      </w:r>
      <w:r>
        <w:rPr>
          <w:color w:val="231F20"/>
          <w:spacing w:val="-2"/>
        </w:rPr>
        <w:t>requise,</w:t>
      </w:r>
      <w:r>
        <w:rPr>
          <w:color w:val="231F20"/>
          <w:spacing w:val="-11"/>
        </w:rPr>
        <w:t> </w:t>
      </w:r>
      <w:r>
        <w:rPr>
          <w:color w:val="231F20"/>
          <w:spacing w:val="-2"/>
        </w:rPr>
        <w:t>parce</w:t>
      </w:r>
      <w:r>
        <w:rPr>
          <w:color w:val="231F20"/>
          <w:spacing w:val="-11"/>
        </w:rPr>
        <w:t> </w:t>
      </w:r>
      <w:r>
        <w:rPr>
          <w:color w:val="231F20"/>
          <w:spacing w:val="-2"/>
        </w:rPr>
        <w:t>que</w:t>
      </w:r>
      <w:r>
        <w:rPr>
          <w:color w:val="231F20"/>
          <w:spacing w:val="-11"/>
        </w:rPr>
        <w:t> </w:t>
      </w:r>
      <w:r>
        <w:rPr>
          <w:color w:val="231F20"/>
          <w:spacing w:val="-2"/>
        </w:rPr>
        <w:t>celle-ci</w:t>
      </w:r>
      <w:r>
        <w:rPr>
          <w:color w:val="231F20"/>
          <w:spacing w:val="-11"/>
        </w:rPr>
        <w:t> </w:t>
      </w:r>
      <w:r>
        <w:rPr>
          <w:color w:val="231F20"/>
          <w:spacing w:val="-2"/>
        </w:rPr>
        <w:t>contient</w:t>
      </w:r>
      <w:r>
        <w:rPr>
          <w:color w:val="231F20"/>
          <w:spacing w:val="-11"/>
        </w:rPr>
        <w:t> </w:t>
      </w:r>
      <w:r>
        <w:rPr>
          <w:color w:val="231F20"/>
          <w:spacing w:val="-2"/>
        </w:rPr>
        <w:t>plus</w:t>
      </w:r>
      <w:r>
        <w:rPr>
          <w:color w:val="231F20"/>
          <w:spacing w:val="-11"/>
        </w:rPr>
        <w:t> </w:t>
      </w:r>
      <w:r>
        <w:rPr>
          <w:color w:val="231F20"/>
          <w:spacing w:val="-2"/>
        </w:rPr>
        <w:t>de </w:t>
      </w:r>
      <w:r>
        <w:rPr>
          <w:color w:val="231F20"/>
          <w:spacing w:val="-8"/>
        </w:rPr>
        <w:t>10</w:t>
      </w:r>
      <w:r>
        <w:rPr>
          <w:color w:val="231F20"/>
          <w:spacing w:val="-9"/>
        </w:rPr>
        <w:t> </w:t>
      </w:r>
      <w:r>
        <w:rPr>
          <w:color w:val="231F20"/>
          <w:spacing w:val="-8"/>
        </w:rPr>
        <w:t>p. 100</w:t>
      </w:r>
      <w:r>
        <w:rPr>
          <w:color w:val="231F20"/>
          <w:spacing w:val="-9"/>
        </w:rPr>
        <w:t> </w:t>
      </w:r>
      <w:r>
        <w:rPr>
          <w:color w:val="231F20"/>
          <w:spacing w:val="-8"/>
        </w:rPr>
        <w:t>de composants</w:t>
      </w:r>
      <w:r>
        <w:rPr>
          <w:color w:val="231F20"/>
          <w:spacing w:val="-9"/>
        </w:rPr>
        <w:t> </w:t>
      </w:r>
      <w:r>
        <w:rPr>
          <w:color w:val="231F20"/>
          <w:spacing w:val="-8"/>
        </w:rPr>
        <w:t>étasuniens. Un</w:t>
      </w:r>
      <w:r>
        <w:rPr>
          <w:color w:val="231F20"/>
          <w:spacing w:val="-9"/>
        </w:rPr>
        <w:t> </w:t>
      </w:r>
      <w:r>
        <w:rPr>
          <w:color w:val="231F20"/>
          <w:spacing w:val="-8"/>
        </w:rPr>
        <w:t>seul </w:t>
      </w:r>
      <w:r>
        <w:rPr>
          <w:color w:val="231F20"/>
        </w:rPr>
        <w:t>exemple</w:t>
      </w:r>
      <w:r>
        <w:rPr>
          <w:color w:val="231F20"/>
          <w:spacing w:val="-17"/>
        </w:rPr>
        <w:t> </w:t>
      </w:r>
      <w:r>
        <w:rPr>
          <w:color w:val="231F20"/>
        </w:rPr>
        <w:t>:</w:t>
      </w:r>
      <w:r>
        <w:rPr>
          <w:color w:val="231F20"/>
          <w:spacing w:val="-16"/>
        </w:rPr>
        <w:t> </w:t>
      </w:r>
      <w:r>
        <w:rPr>
          <w:color w:val="231F20"/>
        </w:rPr>
        <w:t>la</w:t>
      </w:r>
      <w:r>
        <w:rPr>
          <w:color w:val="231F20"/>
          <w:spacing w:val="-17"/>
        </w:rPr>
        <w:t> </w:t>
      </w:r>
      <w:r>
        <w:rPr>
          <w:color w:val="231F20"/>
        </w:rPr>
        <w:t>société</w:t>
      </w:r>
      <w:r>
        <w:rPr>
          <w:color w:val="231F20"/>
          <w:spacing w:val="-16"/>
        </w:rPr>
        <w:t> </w:t>
      </w:r>
      <w:r>
        <w:rPr>
          <w:color w:val="231F20"/>
        </w:rPr>
        <w:t>étasunienne</w:t>
      </w:r>
      <w:r>
        <w:rPr>
          <w:color w:val="231F20"/>
          <w:spacing w:val="-17"/>
        </w:rPr>
        <w:t> </w:t>
      </w:r>
      <w:r>
        <w:rPr>
          <w:color w:val="231F20"/>
        </w:rPr>
        <w:t>Chroma</w:t>
      </w:r>
      <w:r>
        <w:rPr>
          <w:color w:val="231F20"/>
          <w:spacing w:val="-16"/>
        </w:rPr>
        <w:t> </w:t>
      </w:r>
      <w:r>
        <w:rPr>
          <w:color w:val="231F20"/>
        </w:rPr>
        <w:t>a </w:t>
      </w:r>
      <w:r>
        <w:rPr>
          <w:color w:val="231F20"/>
          <w:spacing w:val="-2"/>
        </w:rPr>
        <w:t>interdit</w:t>
      </w:r>
      <w:r>
        <w:rPr>
          <w:color w:val="231F20"/>
          <w:spacing w:val="-15"/>
        </w:rPr>
        <w:t> </w:t>
      </w:r>
      <w:r>
        <w:rPr>
          <w:color w:val="231F20"/>
          <w:spacing w:val="-2"/>
        </w:rPr>
        <w:t>de</w:t>
      </w:r>
      <w:r>
        <w:rPr>
          <w:color w:val="231F20"/>
          <w:spacing w:val="-14"/>
        </w:rPr>
        <w:t> </w:t>
      </w:r>
      <w:r>
        <w:rPr>
          <w:color w:val="231F20"/>
          <w:spacing w:val="-2"/>
        </w:rPr>
        <w:t>vendre</w:t>
      </w:r>
      <w:r>
        <w:rPr>
          <w:color w:val="231F20"/>
          <w:spacing w:val="-15"/>
        </w:rPr>
        <w:t> </w:t>
      </w:r>
      <w:r>
        <w:rPr>
          <w:color w:val="231F20"/>
          <w:spacing w:val="-2"/>
        </w:rPr>
        <w:t>à</w:t>
      </w:r>
      <w:r>
        <w:rPr>
          <w:color w:val="231F20"/>
          <w:spacing w:val="-14"/>
        </w:rPr>
        <w:t> </w:t>
      </w:r>
      <w:r>
        <w:rPr>
          <w:color w:val="231F20"/>
          <w:spacing w:val="-2"/>
        </w:rPr>
        <w:t>notre</w:t>
      </w:r>
      <w:r>
        <w:rPr>
          <w:color w:val="231F20"/>
          <w:spacing w:val="-15"/>
        </w:rPr>
        <w:t> </w:t>
      </w:r>
      <w:r>
        <w:rPr>
          <w:color w:val="231F20"/>
          <w:spacing w:val="-2"/>
        </w:rPr>
        <w:t>pays</w:t>
      </w:r>
      <w:r>
        <w:rPr>
          <w:color w:val="231F20"/>
          <w:spacing w:val="-14"/>
        </w:rPr>
        <w:t> </w:t>
      </w:r>
      <w:r>
        <w:rPr>
          <w:color w:val="231F20"/>
          <w:spacing w:val="-2"/>
        </w:rPr>
        <w:t>des</w:t>
      </w:r>
      <w:r>
        <w:rPr>
          <w:color w:val="231F20"/>
          <w:spacing w:val="-14"/>
        </w:rPr>
        <w:t> </w:t>
      </w:r>
      <w:r>
        <w:rPr>
          <w:color w:val="231F20"/>
          <w:spacing w:val="-2"/>
        </w:rPr>
        <w:t>intrants </w:t>
      </w:r>
      <w:r>
        <w:rPr>
          <w:color w:val="231F20"/>
        </w:rPr>
        <w:t>nécessaires aux systèmes de Cytovision installés dans les centres nationaux de </w:t>
      </w:r>
      <w:r>
        <w:rPr>
          <w:color w:val="231F20"/>
          <w:spacing w:val="-2"/>
        </w:rPr>
        <w:t>génétique</w:t>
      </w:r>
      <w:r>
        <w:rPr>
          <w:color w:val="231F20"/>
          <w:spacing w:val="-15"/>
        </w:rPr>
        <w:t> </w:t>
      </w:r>
      <w:r>
        <w:rPr>
          <w:color w:val="231F20"/>
          <w:spacing w:val="-2"/>
        </w:rPr>
        <w:t>médicale,</w:t>
      </w:r>
      <w:r>
        <w:rPr>
          <w:color w:val="231F20"/>
          <w:spacing w:val="-14"/>
        </w:rPr>
        <w:t> </w:t>
      </w:r>
      <w:r>
        <w:rPr>
          <w:color w:val="231F20"/>
          <w:spacing w:val="-2"/>
        </w:rPr>
        <w:t>dont</w:t>
      </w:r>
      <w:r>
        <w:rPr>
          <w:color w:val="231F20"/>
          <w:spacing w:val="-15"/>
        </w:rPr>
        <w:t> </w:t>
      </w:r>
      <w:r>
        <w:rPr>
          <w:color w:val="231F20"/>
          <w:spacing w:val="-2"/>
        </w:rPr>
        <w:t>des</w:t>
      </w:r>
      <w:r>
        <w:rPr>
          <w:color w:val="231F20"/>
          <w:spacing w:val="-14"/>
        </w:rPr>
        <w:t> </w:t>
      </w:r>
      <w:r>
        <w:rPr>
          <w:color w:val="231F20"/>
          <w:spacing w:val="-2"/>
        </w:rPr>
        <w:t>microscopes </w:t>
      </w:r>
      <w:r>
        <w:rPr>
          <w:color w:val="231F20"/>
        </w:rPr>
        <w:t>à immunofluorescence.</w:t>
      </w:r>
    </w:p>
    <w:p>
      <w:pPr>
        <w:pStyle w:val="BodyText"/>
        <w:spacing w:before="169"/>
        <w:ind w:left="1474" w:right="2"/>
      </w:pPr>
      <w:r>
        <w:rPr>
          <w:color w:val="231F20"/>
          <w:spacing w:val="-6"/>
        </w:rPr>
        <w:t>La</w:t>
      </w:r>
      <w:r>
        <w:rPr>
          <w:color w:val="231F20"/>
          <w:spacing w:val="-10"/>
        </w:rPr>
        <w:t> </w:t>
      </w:r>
      <w:r>
        <w:rPr>
          <w:color w:val="231F20"/>
          <w:spacing w:val="-6"/>
        </w:rPr>
        <w:t>société</w:t>
      </w:r>
      <w:r>
        <w:rPr>
          <w:color w:val="231F20"/>
          <w:spacing w:val="-10"/>
        </w:rPr>
        <w:t> </w:t>
      </w:r>
      <w:r>
        <w:rPr>
          <w:color w:val="231F20"/>
          <w:spacing w:val="-6"/>
        </w:rPr>
        <w:t>japonaise</w:t>
      </w:r>
      <w:r>
        <w:rPr>
          <w:color w:val="231F20"/>
          <w:spacing w:val="-11"/>
        </w:rPr>
        <w:t> </w:t>
      </w:r>
      <w:r>
        <w:rPr>
          <w:color w:val="231F20"/>
          <w:spacing w:val="-6"/>
        </w:rPr>
        <w:t>JASCO</w:t>
      </w:r>
      <w:r>
        <w:rPr>
          <w:color w:val="231F20"/>
          <w:spacing w:val="-10"/>
        </w:rPr>
        <w:t> </w:t>
      </w:r>
      <w:r>
        <w:rPr>
          <w:color w:val="231F20"/>
          <w:spacing w:val="-6"/>
        </w:rPr>
        <w:t>qui</w:t>
      </w:r>
      <w:r>
        <w:rPr>
          <w:color w:val="231F20"/>
          <w:spacing w:val="-10"/>
        </w:rPr>
        <w:t> </w:t>
      </w:r>
      <w:r>
        <w:rPr>
          <w:color w:val="231F20"/>
          <w:spacing w:val="-6"/>
        </w:rPr>
        <w:t>fabrique</w:t>
      </w:r>
      <w:r>
        <w:rPr>
          <w:color w:val="231F20"/>
          <w:spacing w:val="-11"/>
        </w:rPr>
        <w:t> </w:t>
      </w:r>
      <w:r>
        <w:rPr>
          <w:color w:val="231F20"/>
          <w:spacing w:val="-6"/>
        </w:rPr>
        <w:t>des </w:t>
      </w:r>
      <w:r>
        <w:rPr>
          <w:color w:val="231F20"/>
        </w:rPr>
        <w:t>pièces détachées pour des équipements de laboratoire refuse toute vente à Cuba, au</w:t>
      </w:r>
      <w:r>
        <w:rPr>
          <w:color w:val="231F20"/>
          <w:spacing w:val="-13"/>
        </w:rPr>
        <w:t> </w:t>
      </w:r>
      <w:r>
        <w:rPr>
          <w:color w:val="231F20"/>
        </w:rPr>
        <w:t>motif</w:t>
      </w:r>
      <w:r>
        <w:rPr>
          <w:color w:val="231F20"/>
          <w:spacing w:val="-13"/>
        </w:rPr>
        <w:t> </w:t>
      </w:r>
      <w:r>
        <w:rPr>
          <w:color w:val="231F20"/>
        </w:rPr>
        <w:t>que</w:t>
      </w:r>
      <w:r>
        <w:rPr>
          <w:color w:val="231F20"/>
          <w:spacing w:val="-13"/>
        </w:rPr>
        <w:t> </w:t>
      </w:r>
      <w:r>
        <w:rPr>
          <w:color w:val="231F20"/>
        </w:rPr>
        <w:t>celle-ci</w:t>
      </w:r>
      <w:r>
        <w:rPr>
          <w:color w:val="231F20"/>
          <w:spacing w:val="-13"/>
        </w:rPr>
        <w:t> </w:t>
      </w:r>
      <w:r>
        <w:rPr>
          <w:color w:val="231F20"/>
        </w:rPr>
        <w:t>est</w:t>
      </w:r>
      <w:r>
        <w:rPr>
          <w:color w:val="231F20"/>
          <w:spacing w:val="-13"/>
        </w:rPr>
        <w:t> </w:t>
      </w:r>
      <w:r>
        <w:rPr>
          <w:color w:val="231F20"/>
        </w:rPr>
        <w:t>inscrite</w:t>
      </w:r>
      <w:r>
        <w:rPr>
          <w:color w:val="231F20"/>
          <w:spacing w:val="-13"/>
        </w:rPr>
        <w:t> </w:t>
      </w:r>
      <w:r>
        <w:rPr>
          <w:color w:val="231F20"/>
        </w:rPr>
        <w:t>sur</w:t>
      </w:r>
      <w:r>
        <w:rPr>
          <w:color w:val="231F20"/>
          <w:spacing w:val="-13"/>
        </w:rPr>
        <w:t> </w:t>
      </w:r>
      <w:r>
        <w:rPr>
          <w:color w:val="231F20"/>
        </w:rPr>
        <w:t>la</w:t>
      </w:r>
      <w:r>
        <w:rPr>
          <w:color w:val="231F20"/>
          <w:spacing w:val="-13"/>
        </w:rPr>
        <w:t> </w:t>
      </w:r>
      <w:r>
        <w:rPr>
          <w:color w:val="231F20"/>
        </w:rPr>
        <w:t>liste des pays censément commanditaires de </w:t>
      </w:r>
      <w:r>
        <w:rPr>
          <w:color w:val="231F20"/>
          <w:spacing w:val="-2"/>
        </w:rPr>
        <w:t>terrorisme</w:t>
      </w:r>
      <w:r>
        <w:rPr>
          <w:color w:val="231F20"/>
          <w:spacing w:val="-11"/>
        </w:rPr>
        <w:t> </w:t>
      </w:r>
      <w:r>
        <w:rPr>
          <w:color w:val="231F20"/>
          <w:spacing w:val="-2"/>
        </w:rPr>
        <w:t>international,</w:t>
      </w:r>
      <w:r>
        <w:rPr>
          <w:color w:val="231F20"/>
          <w:spacing w:val="-11"/>
        </w:rPr>
        <w:t> </w:t>
      </w:r>
      <w:r>
        <w:rPr>
          <w:color w:val="231F20"/>
          <w:spacing w:val="-2"/>
        </w:rPr>
        <w:t>ce</w:t>
      </w:r>
      <w:r>
        <w:rPr>
          <w:color w:val="231F20"/>
          <w:spacing w:val="-11"/>
        </w:rPr>
        <w:t> </w:t>
      </w:r>
      <w:r>
        <w:rPr>
          <w:color w:val="231F20"/>
          <w:spacing w:val="-2"/>
        </w:rPr>
        <w:t>qui</w:t>
      </w:r>
      <w:r>
        <w:rPr>
          <w:color w:val="231F20"/>
          <w:spacing w:val="-11"/>
        </w:rPr>
        <w:t> </w:t>
      </w:r>
      <w:r>
        <w:rPr>
          <w:color w:val="231F20"/>
          <w:spacing w:val="-2"/>
        </w:rPr>
        <w:t>a</w:t>
      </w:r>
      <w:r>
        <w:rPr>
          <w:color w:val="231F20"/>
          <w:spacing w:val="-11"/>
        </w:rPr>
        <w:t> </w:t>
      </w:r>
      <w:r>
        <w:rPr>
          <w:color w:val="231F20"/>
          <w:spacing w:val="-2"/>
        </w:rPr>
        <w:t>des</w:t>
      </w:r>
      <w:r>
        <w:rPr>
          <w:color w:val="231F20"/>
          <w:spacing w:val="-11"/>
        </w:rPr>
        <w:t> </w:t>
      </w:r>
      <w:r>
        <w:rPr>
          <w:color w:val="231F20"/>
          <w:spacing w:val="-2"/>
        </w:rPr>
        <w:t>effets </w:t>
      </w:r>
      <w:r>
        <w:rPr>
          <w:color w:val="231F20"/>
        </w:rPr>
        <w:t>sur</w:t>
      </w:r>
      <w:r>
        <w:rPr>
          <w:color w:val="231F20"/>
          <w:spacing w:val="-8"/>
        </w:rPr>
        <w:t> </w:t>
      </w:r>
      <w:r>
        <w:rPr>
          <w:color w:val="231F20"/>
        </w:rPr>
        <w:t>les</w:t>
      </w:r>
      <w:r>
        <w:rPr>
          <w:color w:val="231F20"/>
          <w:spacing w:val="-8"/>
        </w:rPr>
        <w:t> </w:t>
      </w:r>
      <w:r>
        <w:rPr>
          <w:color w:val="231F20"/>
        </w:rPr>
        <w:t>personnes</w:t>
      </w:r>
      <w:r>
        <w:rPr>
          <w:color w:val="231F20"/>
          <w:spacing w:val="-8"/>
        </w:rPr>
        <w:t> </w:t>
      </w:r>
      <w:r>
        <w:rPr>
          <w:color w:val="231F20"/>
        </w:rPr>
        <w:t>les</w:t>
      </w:r>
      <w:r>
        <w:rPr>
          <w:color w:val="231F20"/>
          <w:spacing w:val="-8"/>
        </w:rPr>
        <w:t> </w:t>
      </w:r>
      <w:r>
        <w:rPr>
          <w:color w:val="231F20"/>
        </w:rPr>
        <w:t>plus</w:t>
      </w:r>
      <w:r>
        <w:rPr>
          <w:color w:val="231F20"/>
          <w:spacing w:val="-8"/>
        </w:rPr>
        <w:t> </w:t>
      </w:r>
      <w:r>
        <w:rPr>
          <w:color w:val="231F20"/>
        </w:rPr>
        <w:t>vulnérables.</w:t>
      </w:r>
    </w:p>
    <w:p>
      <w:pPr>
        <w:spacing w:before="165"/>
        <w:ind w:left="1474" w:right="0" w:firstLine="0"/>
        <w:jc w:val="both"/>
        <w:rPr>
          <w:sz w:val="24"/>
        </w:rPr>
      </w:pPr>
      <w:r>
        <w:rPr>
          <w:rFonts w:ascii="Segoe UI Semibold" w:hAnsi="Segoe UI Semibold"/>
          <w:b/>
          <w:i/>
          <w:color w:val="231F20"/>
          <w:spacing w:val="-2"/>
          <w:sz w:val="24"/>
        </w:rPr>
        <w:t>Une</w:t>
      </w:r>
      <w:r>
        <w:rPr>
          <w:rFonts w:ascii="Segoe UI Semibold" w:hAnsi="Segoe UI Semibold"/>
          <w:b/>
          <w:i/>
          <w:color w:val="231F20"/>
          <w:spacing w:val="-15"/>
          <w:sz w:val="24"/>
        </w:rPr>
        <w:t> </w:t>
      </w:r>
      <w:r>
        <w:rPr>
          <w:rFonts w:ascii="Segoe UI Semibold" w:hAnsi="Segoe UI Semibold"/>
          <w:b/>
          <w:i/>
          <w:color w:val="231F20"/>
          <w:spacing w:val="-2"/>
          <w:sz w:val="24"/>
        </w:rPr>
        <w:t>fillette,</w:t>
      </w:r>
      <w:r>
        <w:rPr>
          <w:rFonts w:ascii="Segoe UI Semibold" w:hAnsi="Segoe UI Semibold"/>
          <w:b/>
          <w:i/>
          <w:color w:val="231F20"/>
          <w:spacing w:val="-14"/>
          <w:sz w:val="24"/>
        </w:rPr>
        <w:t> </w:t>
      </w:r>
      <w:r>
        <w:rPr>
          <w:rFonts w:ascii="Segoe UI Semibold" w:hAnsi="Segoe UI Semibold"/>
          <w:b/>
          <w:i/>
          <w:color w:val="231F20"/>
          <w:spacing w:val="-2"/>
          <w:sz w:val="24"/>
        </w:rPr>
        <w:t>âgée</w:t>
      </w:r>
      <w:r>
        <w:rPr>
          <w:rFonts w:ascii="Segoe UI Semibold" w:hAnsi="Segoe UI Semibold"/>
          <w:b/>
          <w:i/>
          <w:color w:val="231F20"/>
          <w:spacing w:val="-15"/>
          <w:sz w:val="24"/>
        </w:rPr>
        <w:t> </w:t>
      </w:r>
      <w:r>
        <w:rPr>
          <w:rFonts w:ascii="Segoe UI Semibold" w:hAnsi="Segoe UI Semibold"/>
          <w:b/>
          <w:i/>
          <w:color w:val="231F20"/>
          <w:spacing w:val="-2"/>
          <w:sz w:val="24"/>
        </w:rPr>
        <w:t>aujourd’hui</w:t>
      </w:r>
      <w:r>
        <w:rPr>
          <w:rFonts w:ascii="Segoe UI Semibold" w:hAnsi="Segoe UI Semibold"/>
          <w:b/>
          <w:i/>
          <w:color w:val="231F20"/>
          <w:spacing w:val="-14"/>
          <w:sz w:val="24"/>
        </w:rPr>
        <w:t> </w:t>
      </w:r>
      <w:r>
        <w:rPr>
          <w:rFonts w:ascii="Segoe UI Semibold" w:hAnsi="Segoe UI Semibold"/>
          <w:b/>
          <w:i/>
          <w:color w:val="231F20"/>
          <w:spacing w:val="-2"/>
          <w:sz w:val="24"/>
        </w:rPr>
        <w:t>de</w:t>
      </w:r>
      <w:r>
        <w:rPr>
          <w:rFonts w:ascii="Segoe UI Semibold" w:hAnsi="Segoe UI Semibold"/>
          <w:b/>
          <w:i/>
          <w:color w:val="231F20"/>
          <w:spacing w:val="-15"/>
          <w:sz w:val="24"/>
        </w:rPr>
        <w:t> </w:t>
      </w:r>
      <w:r>
        <w:rPr>
          <w:rFonts w:ascii="Segoe UI Semibold" w:hAnsi="Segoe UI Semibold"/>
          <w:b/>
          <w:i/>
          <w:color w:val="231F20"/>
          <w:spacing w:val="-2"/>
          <w:sz w:val="24"/>
        </w:rPr>
        <w:t>deux</w:t>
      </w:r>
      <w:r>
        <w:rPr>
          <w:rFonts w:ascii="Segoe UI Semibold" w:hAnsi="Segoe UI Semibold"/>
          <w:b/>
          <w:i/>
          <w:color w:val="231F20"/>
          <w:spacing w:val="-14"/>
          <w:sz w:val="24"/>
        </w:rPr>
        <w:t> </w:t>
      </w:r>
      <w:r>
        <w:rPr>
          <w:rFonts w:ascii="Segoe UI Semibold" w:hAnsi="Segoe UI Semibold"/>
          <w:b/>
          <w:i/>
          <w:color w:val="231F20"/>
          <w:spacing w:val="-2"/>
          <w:sz w:val="24"/>
        </w:rPr>
        <w:t>ans,</w:t>
      </w:r>
      <w:r>
        <w:rPr>
          <w:rFonts w:ascii="Segoe UI Semibold" w:hAnsi="Segoe UI Semibold"/>
          <w:b/>
          <w:i/>
          <w:color w:val="231F20"/>
          <w:spacing w:val="-2"/>
          <w:sz w:val="24"/>
        </w:rPr>
        <w:t> a</w:t>
      </w:r>
      <w:r>
        <w:rPr>
          <w:rFonts w:ascii="Segoe UI Semibold" w:hAnsi="Segoe UI Semibold"/>
          <w:b/>
          <w:i/>
          <w:color w:val="231F20"/>
          <w:spacing w:val="-15"/>
          <w:sz w:val="24"/>
        </w:rPr>
        <w:t> </w:t>
      </w:r>
      <w:r>
        <w:rPr>
          <w:rFonts w:ascii="Segoe UI Semibold" w:hAnsi="Segoe UI Semibold"/>
          <w:b/>
          <w:i/>
          <w:color w:val="231F20"/>
          <w:spacing w:val="-2"/>
          <w:sz w:val="24"/>
        </w:rPr>
        <w:t>été</w:t>
      </w:r>
      <w:r>
        <w:rPr>
          <w:rFonts w:ascii="Segoe UI Semibold" w:hAnsi="Segoe UI Semibold"/>
          <w:b/>
          <w:i/>
          <w:color w:val="231F20"/>
          <w:spacing w:val="-14"/>
          <w:sz w:val="24"/>
        </w:rPr>
        <w:t> </w:t>
      </w:r>
      <w:r>
        <w:rPr>
          <w:rFonts w:ascii="Segoe UI Semibold" w:hAnsi="Segoe UI Semibold"/>
          <w:b/>
          <w:i/>
          <w:color w:val="231F20"/>
          <w:spacing w:val="-2"/>
          <w:sz w:val="24"/>
        </w:rPr>
        <w:t>présentée</w:t>
      </w:r>
      <w:r>
        <w:rPr>
          <w:rFonts w:ascii="Segoe UI Semibold" w:hAnsi="Segoe UI Semibold"/>
          <w:b/>
          <w:i/>
          <w:color w:val="231F20"/>
          <w:spacing w:val="-15"/>
          <w:sz w:val="24"/>
        </w:rPr>
        <w:t> </w:t>
      </w:r>
      <w:r>
        <w:rPr>
          <w:rFonts w:ascii="Segoe UI Semibold" w:hAnsi="Segoe UI Semibold"/>
          <w:b/>
          <w:i/>
          <w:color w:val="231F20"/>
          <w:spacing w:val="-2"/>
          <w:sz w:val="24"/>
        </w:rPr>
        <w:t>dans</w:t>
      </w:r>
      <w:r>
        <w:rPr>
          <w:rFonts w:ascii="Segoe UI Semibold" w:hAnsi="Segoe UI Semibold"/>
          <w:b/>
          <w:i/>
          <w:color w:val="231F20"/>
          <w:spacing w:val="-14"/>
          <w:sz w:val="24"/>
        </w:rPr>
        <w:t> </w:t>
      </w:r>
      <w:r>
        <w:rPr>
          <w:rFonts w:ascii="Segoe UI Semibold" w:hAnsi="Segoe UI Semibold"/>
          <w:b/>
          <w:i/>
          <w:color w:val="231F20"/>
          <w:spacing w:val="-2"/>
          <w:sz w:val="24"/>
        </w:rPr>
        <w:t>sa</w:t>
      </w:r>
      <w:r>
        <w:rPr>
          <w:rFonts w:ascii="Segoe UI Semibold" w:hAnsi="Segoe UI Semibold"/>
          <w:b/>
          <w:i/>
          <w:color w:val="231F20"/>
          <w:spacing w:val="-15"/>
          <w:sz w:val="24"/>
        </w:rPr>
        <w:t> </w:t>
      </w:r>
      <w:r>
        <w:rPr>
          <w:rFonts w:ascii="Segoe UI Semibold" w:hAnsi="Segoe UI Semibold"/>
          <w:b/>
          <w:i/>
          <w:color w:val="231F20"/>
          <w:spacing w:val="-2"/>
          <w:sz w:val="24"/>
        </w:rPr>
        <w:t>première</w:t>
      </w:r>
      <w:r>
        <w:rPr>
          <w:rFonts w:ascii="Segoe UI Semibold" w:hAnsi="Segoe UI Semibold"/>
          <w:b/>
          <w:i/>
          <w:color w:val="231F20"/>
          <w:spacing w:val="-14"/>
          <w:sz w:val="24"/>
        </w:rPr>
        <w:t> </w:t>
      </w:r>
      <w:r>
        <w:rPr>
          <w:rFonts w:ascii="Segoe UI Semibold" w:hAnsi="Segoe UI Semibold"/>
          <w:b/>
          <w:i/>
          <w:color w:val="231F20"/>
          <w:spacing w:val="-2"/>
          <w:sz w:val="24"/>
        </w:rPr>
        <w:t>année</w:t>
      </w:r>
      <w:r>
        <w:rPr>
          <w:rFonts w:ascii="Segoe UI Semibold" w:hAnsi="Segoe UI Semibold"/>
          <w:b/>
          <w:i/>
          <w:color w:val="231F20"/>
          <w:spacing w:val="-15"/>
          <w:sz w:val="24"/>
        </w:rPr>
        <w:t> </w:t>
      </w:r>
      <w:r>
        <w:rPr>
          <w:rFonts w:ascii="Segoe UI Semibold" w:hAnsi="Segoe UI Semibold"/>
          <w:b/>
          <w:i/>
          <w:color w:val="231F20"/>
          <w:spacing w:val="-2"/>
          <w:sz w:val="24"/>
        </w:rPr>
        <w:t>de </w:t>
      </w:r>
      <w:r>
        <w:rPr>
          <w:rFonts w:ascii="Segoe UI Semibold" w:hAnsi="Segoe UI Semibold"/>
          <w:b/>
          <w:i/>
          <w:color w:val="231F20"/>
          <w:sz w:val="24"/>
        </w:rPr>
        <w:t>vie</w:t>
      </w:r>
      <w:r>
        <w:rPr>
          <w:rFonts w:ascii="Segoe UI Semibold" w:hAnsi="Segoe UI Semibold"/>
          <w:b/>
          <w:i/>
          <w:color w:val="231F20"/>
          <w:spacing w:val="-17"/>
          <w:sz w:val="24"/>
        </w:rPr>
        <w:t> </w:t>
      </w:r>
      <w:r>
        <w:rPr>
          <w:rFonts w:ascii="Segoe UI Semibold" w:hAnsi="Segoe UI Semibold"/>
          <w:b/>
          <w:i/>
          <w:color w:val="231F20"/>
          <w:sz w:val="24"/>
        </w:rPr>
        <w:t>à</w:t>
      </w:r>
      <w:r>
        <w:rPr>
          <w:rFonts w:ascii="Segoe UI Semibold" w:hAnsi="Segoe UI Semibold"/>
          <w:b/>
          <w:i/>
          <w:color w:val="231F20"/>
          <w:spacing w:val="-16"/>
          <w:sz w:val="24"/>
        </w:rPr>
        <w:t> </w:t>
      </w:r>
      <w:r>
        <w:rPr>
          <w:rFonts w:ascii="Segoe UI Semibold" w:hAnsi="Segoe UI Semibold"/>
          <w:b/>
          <w:i/>
          <w:color w:val="231F20"/>
          <w:sz w:val="24"/>
        </w:rPr>
        <w:t>une</w:t>
      </w:r>
      <w:r>
        <w:rPr>
          <w:rFonts w:ascii="Segoe UI Semibold" w:hAnsi="Segoe UI Semibold"/>
          <w:b/>
          <w:i/>
          <w:color w:val="231F20"/>
          <w:spacing w:val="-17"/>
          <w:sz w:val="24"/>
        </w:rPr>
        <w:t> </w:t>
      </w:r>
      <w:r>
        <w:rPr>
          <w:rFonts w:ascii="Segoe UI Semibold" w:hAnsi="Segoe UI Semibold"/>
          <w:b/>
          <w:i/>
          <w:color w:val="231F20"/>
          <w:sz w:val="24"/>
        </w:rPr>
        <w:t>consultation</w:t>
      </w:r>
      <w:r>
        <w:rPr>
          <w:rFonts w:ascii="Segoe UI Semibold" w:hAnsi="Segoe UI Semibold"/>
          <w:b/>
          <w:i/>
          <w:color w:val="231F20"/>
          <w:spacing w:val="-16"/>
          <w:sz w:val="24"/>
        </w:rPr>
        <w:t> </w:t>
      </w:r>
      <w:r>
        <w:rPr>
          <w:rFonts w:ascii="Segoe UI Semibold" w:hAnsi="Segoe UI Semibold"/>
          <w:b/>
          <w:i/>
          <w:color w:val="231F20"/>
          <w:sz w:val="24"/>
        </w:rPr>
        <w:t>de</w:t>
      </w:r>
      <w:r>
        <w:rPr>
          <w:rFonts w:ascii="Segoe UI Semibold" w:hAnsi="Segoe UI Semibold"/>
          <w:b/>
          <w:i/>
          <w:color w:val="231F20"/>
          <w:spacing w:val="-17"/>
          <w:sz w:val="24"/>
        </w:rPr>
        <w:t> </w:t>
      </w:r>
      <w:r>
        <w:rPr>
          <w:rFonts w:ascii="Segoe UI Semibold" w:hAnsi="Segoe UI Semibold"/>
          <w:b/>
          <w:i/>
          <w:color w:val="231F20"/>
          <w:sz w:val="24"/>
        </w:rPr>
        <w:t>génétique</w:t>
      </w:r>
      <w:r>
        <w:rPr>
          <w:rFonts w:ascii="Segoe UI Semibold" w:hAnsi="Segoe UI Semibold"/>
          <w:b/>
          <w:i/>
          <w:color w:val="231F20"/>
          <w:spacing w:val="-16"/>
          <w:sz w:val="24"/>
        </w:rPr>
        <w:t> </w:t>
      </w:r>
      <w:r>
        <w:rPr>
          <w:rFonts w:ascii="Segoe UI Semibold" w:hAnsi="Segoe UI Semibold"/>
          <w:b/>
          <w:i/>
          <w:color w:val="231F20"/>
          <w:sz w:val="24"/>
        </w:rPr>
        <w:t>parce que sa famille avait constaté une forte déviation de la colonne vertébrale et un bombement du thorax et de la colonne dorsale. </w:t>
      </w:r>
      <w:r>
        <w:rPr>
          <w:color w:val="231F20"/>
          <w:sz w:val="24"/>
        </w:rPr>
        <w:t>Les généticiens ont soupçonné un cas de Syndrome de Kozlowski, une dysplasie osseuse sévère qui touche la </w:t>
      </w:r>
      <w:r>
        <w:rPr>
          <w:color w:val="231F20"/>
          <w:spacing w:val="-4"/>
          <w:sz w:val="24"/>
        </w:rPr>
        <w:t>colonne</w:t>
      </w:r>
      <w:r>
        <w:rPr>
          <w:color w:val="231F20"/>
          <w:spacing w:val="-8"/>
          <w:sz w:val="24"/>
        </w:rPr>
        <w:t> </w:t>
      </w:r>
      <w:r>
        <w:rPr>
          <w:color w:val="231F20"/>
          <w:spacing w:val="-4"/>
          <w:sz w:val="24"/>
        </w:rPr>
        <w:t>vertébrale</w:t>
      </w:r>
      <w:r>
        <w:rPr>
          <w:color w:val="231F20"/>
          <w:spacing w:val="-8"/>
          <w:sz w:val="24"/>
        </w:rPr>
        <w:t> </w:t>
      </w:r>
      <w:r>
        <w:rPr>
          <w:color w:val="231F20"/>
          <w:spacing w:val="-4"/>
          <w:sz w:val="24"/>
        </w:rPr>
        <w:t>et</w:t>
      </w:r>
      <w:r>
        <w:rPr>
          <w:color w:val="231F20"/>
          <w:spacing w:val="-8"/>
          <w:sz w:val="24"/>
        </w:rPr>
        <w:t> </w:t>
      </w:r>
      <w:r>
        <w:rPr>
          <w:color w:val="231F20"/>
          <w:spacing w:val="-4"/>
          <w:sz w:val="24"/>
        </w:rPr>
        <w:t>la</w:t>
      </w:r>
      <w:r>
        <w:rPr>
          <w:color w:val="231F20"/>
          <w:spacing w:val="-8"/>
          <w:sz w:val="24"/>
        </w:rPr>
        <w:t> </w:t>
      </w:r>
      <w:r>
        <w:rPr>
          <w:color w:val="231F20"/>
          <w:spacing w:val="-4"/>
          <w:sz w:val="24"/>
        </w:rPr>
        <w:t>métaphyse</w:t>
      </w:r>
      <w:r>
        <w:rPr>
          <w:color w:val="231F20"/>
          <w:spacing w:val="-8"/>
          <w:sz w:val="24"/>
        </w:rPr>
        <w:t> </w:t>
      </w:r>
      <w:r>
        <w:rPr>
          <w:color w:val="231F20"/>
          <w:spacing w:val="-4"/>
          <w:sz w:val="24"/>
        </w:rPr>
        <w:t>de</w:t>
      </w:r>
      <w:r>
        <w:rPr>
          <w:color w:val="231F20"/>
          <w:spacing w:val="-8"/>
          <w:sz w:val="24"/>
        </w:rPr>
        <w:t> </w:t>
      </w:r>
      <w:r>
        <w:rPr>
          <w:color w:val="231F20"/>
          <w:spacing w:val="-4"/>
          <w:sz w:val="24"/>
        </w:rPr>
        <w:t>tous </w:t>
      </w:r>
      <w:r>
        <w:rPr>
          <w:color w:val="231F20"/>
          <w:sz w:val="24"/>
        </w:rPr>
        <w:t>les os longs. On en connaît environ mille </w:t>
      </w:r>
      <w:r>
        <w:rPr>
          <w:color w:val="231F20"/>
          <w:spacing w:val="-4"/>
          <w:sz w:val="24"/>
        </w:rPr>
        <w:t>cas</w:t>
      </w:r>
      <w:r>
        <w:rPr>
          <w:color w:val="231F20"/>
          <w:spacing w:val="-10"/>
          <w:sz w:val="24"/>
        </w:rPr>
        <w:t> </w:t>
      </w:r>
      <w:r>
        <w:rPr>
          <w:color w:val="231F20"/>
          <w:spacing w:val="-4"/>
          <w:sz w:val="24"/>
        </w:rPr>
        <w:t>dans</w:t>
      </w:r>
      <w:r>
        <w:rPr>
          <w:color w:val="231F20"/>
          <w:spacing w:val="-10"/>
          <w:sz w:val="24"/>
        </w:rPr>
        <w:t> </w:t>
      </w:r>
      <w:r>
        <w:rPr>
          <w:color w:val="231F20"/>
          <w:spacing w:val="-4"/>
          <w:sz w:val="24"/>
        </w:rPr>
        <w:t>le</w:t>
      </w:r>
      <w:r>
        <w:rPr>
          <w:color w:val="231F20"/>
          <w:spacing w:val="-10"/>
          <w:sz w:val="24"/>
        </w:rPr>
        <w:t> </w:t>
      </w:r>
      <w:r>
        <w:rPr>
          <w:color w:val="231F20"/>
          <w:spacing w:val="-4"/>
          <w:sz w:val="24"/>
        </w:rPr>
        <w:t>monde.</w:t>
      </w:r>
      <w:r>
        <w:rPr>
          <w:color w:val="231F20"/>
          <w:spacing w:val="-10"/>
          <w:sz w:val="24"/>
        </w:rPr>
        <w:t> </w:t>
      </w:r>
      <w:r>
        <w:rPr>
          <w:color w:val="231F20"/>
          <w:spacing w:val="-4"/>
          <w:sz w:val="24"/>
        </w:rPr>
        <w:t>Mais</w:t>
      </w:r>
      <w:r>
        <w:rPr>
          <w:color w:val="231F20"/>
          <w:spacing w:val="-10"/>
          <w:sz w:val="24"/>
        </w:rPr>
        <w:t> </w:t>
      </w:r>
      <w:r>
        <w:rPr>
          <w:color w:val="231F20"/>
          <w:spacing w:val="-4"/>
          <w:sz w:val="24"/>
        </w:rPr>
        <w:t>il</w:t>
      </w:r>
      <w:r>
        <w:rPr>
          <w:color w:val="231F20"/>
          <w:spacing w:val="-10"/>
          <w:sz w:val="24"/>
        </w:rPr>
        <w:t> </w:t>
      </w:r>
      <w:r>
        <w:rPr>
          <w:color w:val="231F20"/>
          <w:spacing w:val="-4"/>
          <w:sz w:val="24"/>
        </w:rPr>
        <w:t>a</w:t>
      </w:r>
      <w:r>
        <w:rPr>
          <w:color w:val="231F20"/>
          <w:spacing w:val="-10"/>
          <w:sz w:val="24"/>
        </w:rPr>
        <w:t> </w:t>
      </w:r>
      <w:r>
        <w:rPr>
          <w:color w:val="231F20"/>
          <w:spacing w:val="-4"/>
          <w:sz w:val="24"/>
        </w:rPr>
        <w:t>été</w:t>
      </w:r>
      <w:r>
        <w:rPr>
          <w:color w:val="231F20"/>
          <w:spacing w:val="-10"/>
          <w:sz w:val="24"/>
        </w:rPr>
        <w:t> </w:t>
      </w:r>
      <w:r>
        <w:rPr>
          <w:color w:val="231F20"/>
          <w:spacing w:val="-4"/>
          <w:sz w:val="24"/>
        </w:rPr>
        <w:t>impossible, </w:t>
      </w:r>
      <w:r>
        <w:rPr>
          <w:color w:val="231F20"/>
          <w:spacing w:val="-6"/>
          <w:sz w:val="24"/>
        </w:rPr>
        <w:t>faute</w:t>
      </w:r>
      <w:r>
        <w:rPr>
          <w:color w:val="231F20"/>
          <w:spacing w:val="-5"/>
          <w:sz w:val="24"/>
        </w:rPr>
        <w:t> </w:t>
      </w:r>
      <w:r>
        <w:rPr>
          <w:color w:val="231F20"/>
          <w:spacing w:val="-6"/>
          <w:sz w:val="24"/>
        </w:rPr>
        <w:t>de</w:t>
      </w:r>
      <w:r>
        <w:rPr>
          <w:color w:val="231F20"/>
          <w:spacing w:val="-2"/>
          <w:sz w:val="24"/>
        </w:rPr>
        <w:t> </w:t>
      </w:r>
      <w:r>
        <w:rPr>
          <w:color w:val="231F20"/>
          <w:spacing w:val="-6"/>
          <w:sz w:val="24"/>
        </w:rPr>
        <w:t>la</w:t>
      </w:r>
      <w:r>
        <w:rPr>
          <w:color w:val="231F20"/>
          <w:spacing w:val="-3"/>
          <w:sz w:val="24"/>
        </w:rPr>
        <w:t> </w:t>
      </w:r>
      <w:r>
        <w:rPr>
          <w:color w:val="231F20"/>
          <w:spacing w:val="-6"/>
          <w:sz w:val="24"/>
        </w:rPr>
        <w:t>technologie</w:t>
      </w:r>
      <w:r>
        <w:rPr>
          <w:color w:val="231F20"/>
          <w:spacing w:val="-2"/>
          <w:sz w:val="24"/>
        </w:rPr>
        <w:t> </w:t>
      </w:r>
      <w:r>
        <w:rPr>
          <w:color w:val="231F20"/>
          <w:spacing w:val="-6"/>
          <w:sz w:val="24"/>
        </w:rPr>
        <w:t>qu’interdit</w:t>
      </w:r>
      <w:r>
        <w:rPr>
          <w:color w:val="231F20"/>
          <w:spacing w:val="-3"/>
          <w:sz w:val="24"/>
        </w:rPr>
        <w:t> </w:t>
      </w:r>
      <w:r>
        <w:rPr>
          <w:color w:val="231F20"/>
          <w:spacing w:val="-6"/>
          <w:sz w:val="24"/>
        </w:rPr>
        <w:t>le</w:t>
      </w:r>
      <w:r>
        <w:rPr>
          <w:color w:val="231F20"/>
          <w:spacing w:val="-2"/>
          <w:sz w:val="24"/>
        </w:rPr>
        <w:t> </w:t>
      </w:r>
      <w:r>
        <w:rPr>
          <w:color w:val="231F20"/>
          <w:spacing w:val="-6"/>
          <w:sz w:val="24"/>
        </w:rPr>
        <w:t>blocus,</w:t>
      </w:r>
    </w:p>
    <w:p>
      <w:pPr>
        <w:pStyle w:val="BodyText"/>
        <w:spacing w:before="97"/>
        <w:ind w:left="412" w:right="1134"/>
      </w:pPr>
      <w:r>
        <w:rPr/>
        <w:br w:type="column"/>
      </w:r>
      <w:r>
        <w:rPr>
          <w:color w:val="231F20"/>
          <w:spacing w:val="-4"/>
        </w:rPr>
        <w:t>de</w:t>
      </w:r>
      <w:r>
        <w:rPr>
          <w:color w:val="231F20"/>
          <w:spacing w:val="-12"/>
        </w:rPr>
        <w:t> </w:t>
      </w:r>
      <w:r>
        <w:rPr>
          <w:color w:val="231F20"/>
          <w:spacing w:val="-4"/>
        </w:rPr>
        <w:t>confirmer</w:t>
      </w:r>
      <w:r>
        <w:rPr>
          <w:color w:val="231F20"/>
          <w:spacing w:val="-12"/>
        </w:rPr>
        <w:t> </w:t>
      </w:r>
      <w:r>
        <w:rPr>
          <w:color w:val="231F20"/>
          <w:spacing w:val="-4"/>
        </w:rPr>
        <w:t>ce</w:t>
      </w:r>
      <w:r>
        <w:rPr>
          <w:color w:val="231F20"/>
          <w:spacing w:val="-12"/>
        </w:rPr>
        <w:t> </w:t>
      </w:r>
      <w:r>
        <w:rPr>
          <w:color w:val="231F20"/>
          <w:spacing w:val="-4"/>
        </w:rPr>
        <w:t>diagnostic</w:t>
      </w:r>
      <w:r>
        <w:rPr>
          <w:color w:val="231F20"/>
          <w:spacing w:val="-12"/>
        </w:rPr>
        <w:t> </w:t>
      </w:r>
      <w:r>
        <w:rPr>
          <w:color w:val="231F20"/>
          <w:spacing w:val="-4"/>
        </w:rPr>
        <w:t>dans</w:t>
      </w:r>
      <w:r>
        <w:rPr>
          <w:color w:val="231F20"/>
          <w:spacing w:val="-12"/>
        </w:rPr>
        <w:t> </w:t>
      </w:r>
      <w:r>
        <w:rPr>
          <w:color w:val="231F20"/>
          <w:spacing w:val="-4"/>
        </w:rPr>
        <w:t>le</w:t>
      </w:r>
      <w:r>
        <w:rPr>
          <w:color w:val="231F20"/>
          <w:spacing w:val="-12"/>
        </w:rPr>
        <w:t> </w:t>
      </w:r>
      <w:r>
        <w:rPr>
          <w:color w:val="231F20"/>
          <w:spacing w:val="-4"/>
        </w:rPr>
        <w:t>pays</w:t>
      </w:r>
      <w:r>
        <w:rPr>
          <w:color w:val="231F20"/>
          <w:spacing w:val="-12"/>
        </w:rPr>
        <w:t> </w:t>
      </w:r>
      <w:r>
        <w:rPr>
          <w:color w:val="231F20"/>
          <w:spacing w:val="-4"/>
        </w:rPr>
        <w:t>et</w:t>
      </w:r>
      <w:r>
        <w:rPr>
          <w:color w:val="231F20"/>
          <w:spacing w:val="-12"/>
        </w:rPr>
        <w:t> </w:t>
      </w:r>
      <w:r>
        <w:rPr>
          <w:color w:val="231F20"/>
          <w:spacing w:val="-4"/>
        </w:rPr>
        <w:t>il </w:t>
      </w:r>
      <w:r>
        <w:rPr>
          <w:color w:val="231F20"/>
          <w:spacing w:val="-8"/>
        </w:rPr>
        <w:t>a</w:t>
      </w:r>
      <w:r>
        <w:rPr>
          <w:color w:val="231F20"/>
          <w:spacing w:val="-9"/>
        </w:rPr>
        <w:t> </w:t>
      </w:r>
      <w:r>
        <w:rPr>
          <w:color w:val="231F20"/>
          <w:spacing w:val="-8"/>
        </w:rPr>
        <w:t>fallu pour</w:t>
      </w:r>
      <w:r>
        <w:rPr>
          <w:color w:val="231F20"/>
          <w:spacing w:val="-9"/>
        </w:rPr>
        <w:t> </w:t>
      </w:r>
      <w:r>
        <w:rPr>
          <w:color w:val="231F20"/>
          <w:spacing w:val="-8"/>
        </w:rPr>
        <w:t>l’obtenir recourir</w:t>
      </w:r>
      <w:r>
        <w:rPr>
          <w:color w:val="231F20"/>
          <w:spacing w:val="-9"/>
        </w:rPr>
        <w:t> </w:t>
      </w:r>
      <w:r>
        <w:rPr>
          <w:color w:val="231F20"/>
          <w:spacing w:val="-8"/>
        </w:rPr>
        <w:t>à un</w:t>
      </w:r>
      <w:r>
        <w:rPr>
          <w:color w:val="231F20"/>
          <w:spacing w:val="-9"/>
        </w:rPr>
        <w:t> </w:t>
      </w:r>
      <w:r>
        <w:rPr>
          <w:color w:val="231F20"/>
          <w:spacing w:val="-8"/>
        </w:rPr>
        <w:t>laboratoire </w:t>
      </w:r>
      <w:r>
        <w:rPr>
          <w:color w:val="231F20"/>
          <w:spacing w:val="-2"/>
        </w:rPr>
        <w:t>international</w:t>
      </w:r>
      <w:r>
        <w:rPr>
          <w:color w:val="231F20"/>
          <w:spacing w:val="-8"/>
        </w:rPr>
        <w:t> </w:t>
      </w:r>
      <w:r>
        <w:rPr>
          <w:color w:val="231F20"/>
          <w:spacing w:val="-2"/>
        </w:rPr>
        <w:t>avec</w:t>
      </w:r>
      <w:r>
        <w:rPr>
          <w:color w:val="231F20"/>
          <w:spacing w:val="-8"/>
        </w:rPr>
        <w:t> </w:t>
      </w:r>
      <w:r>
        <w:rPr>
          <w:color w:val="231F20"/>
          <w:spacing w:val="-2"/>
        </w:rPr>
        <w:t>les</w:t>
      </w:r>
      <w:r>
        <w:rPr>
          <w:color w:val="231F20"/>
          <w:spacing w:val="-8"/>
        </w:rPr>
        <w:t> </w:t>
      </w:r>
      <w:r>
        <w:rPr>
          <w:color w:val="231F20"/>
          <w:spacing w:val="-2"/>
        </w:rPr>
        <w:t>frais</w:t>
      </w:r>
      <w:r>
        <w:rPr>
          <w:color w:val="231F20"/>
          <w:spacing w:val="-8"/>
        </w:rPr>
        <w:t> </w:t>
      </w:r>
      <w:r>
        <w:rPr>
          <w:color w:val="231F20"/>
          <w:spacing w:val="-2"/>
        </w:rPr>
        <w:t>correspondants.</w:t>
      </w:r>
    </w:p>
    <w:p>
      <w:pPr>
        <w:spacing w:before="161"/>
        <w:ind w:left="412" w:right="1132" w:firstLine="0"/>
        <w:jc w:val="both"/>
        <w:rPr>
          <w:sz w:val="24"/>
        </w:rPr>
      </w:pPr>
      <w:r>
        <w:rPr>
          <w:rFonts w:ascii="Segoe UI Semibold" w:hAnsi="Segoe UI Semibold"/>
          <w:b/>
          <w:i/>
          <w:color w:val="231F20"/>
          <w:spacing w:val="-4"/>
          <w:sz w:val="24"/>
        </w:rPr>
        <w:t>Un</w:t>
      </w:r>
      <w:r>
        <w:rPr>
          <w:rFonts w:ascii="Segoe UI Semibold" w:hAnsi="Segoe UI Semibold"/>
          <w:b/>
          <w:i/>
          <w:color w:val="231F20"/>
          <w:spacing w:val="-13"/>
          <w:sz w:val="24"/>
        </w:rPr>
        <w:t> </w:t>
      </w:r>
      <w:r>
        <w:rPr>
          <w:rFonts w:ascii="Segoe UI Semibold" w:hAnsi="Segoe UI Semibold"/>
          <w:b/>
          <w:i/>
          <w:color w:val="231F20"/>
          <w:spacing w:val="-4"/>
          <w:sz w:val="24"/>
        </w:rPr>
        <w:t>enfant</w:t>
      </w:r>
      <w:r>
        <w:rPr>
          <w:rFonts w:ascii="Segoe UI Semibold" w:hAnsi="Segoe UI Semibold"/>
          <w:b/>
          <w:i/>
          <w:color w:val="231F20"/>
          <w:spacing w:val="-12"/>
          <w:sz w:val="24"/>
        </w:rPr>
        <w:t> </w:t>
      </w:r>
      <w:r>
        <w:rPr>
          <w:rFonts w:ascii="Segoe UI Semibold" w:hAnsi="Segoe UI Semibold"/>
          <w:b/>
          <w:i/>
          <w:color w:val="231F20"/>
          <w:spacing w:val="-4"/>
          <w:sz w:val="24"/>
        </w:rPr>
        <w:t>de</w:t>
      </w:r>
      <w:r>
        <w:rPr>
          <w:rFonts w:ascii="Segoe UI Semibold" w:hAnsi="Segoe UI Semibold"/>
          <w:b/>
          <w:i/>
          <w:color w:val="231F20"/>
          <w:spacing w:val="-13"/>
          <w:sz w:val="24"/>
        </w:rPr>
        <w:t> </w:t>
      </w:r>
      <w:r>
        <w:rPr>
          <w:rFonts w:ascii="Segoe UI Semibold" w:hAnsi="Segoe UI Semibold"/>
          <w:b/>
          <w:i/>
          <w:color w:val="231F20"/>
          <w:spacing w:val="-4"/>
          <w:sz w:val="24"/>
        </w:rPr>
        <w:t>l’Est</w:t>
      </w:r>
      <w:r>
        <w:rPr>
          <w:rFonts w:ascii="Segoe UI Semibold" w:hAnsi="Segoe UI Semibold"/>
          <w:b/>
          <w:i/>
          <w:color w:val="231F20"/>
          <w:spacing w:val="-12"/>
          <w:sz w:val="24"/>
        </w:rPr>
        <w:t> </w:t>
      </w:r>
      <w:r>
        <w:rPr>
          <w:rFonts w:ascii="Segoe UI Semibold" w:hAnsi="Segoe UI Semibold"/>
          <w:b/>
          <w:i/>
          <w:color w:val="231F20"/>
          <w:spacing w:val="-4"/>
          <w:sz w:val="24"/>
        </w:rPr>
        <w:t>du</w:t>
      </w:r>
      <w:r>
        <w:rPr>
          <w:rFonts w:ascii="Segoe UI Semibold" w:hAnsi="Segoe UI Semibold"/>
          <w:b/>
          <w:i/>
          <w:color w:val="231F20"/>
          <w:spacing w:val="-13"/>
          <w:sz w:val="24"/>
        </w:rPr>
        <w:t> </w:t>
      </w:r>
      <w:r>
        <w:rPr>
          <w:rFonts w:ascii="Segoe UI Semibold" w:hAnsi="Segoe UI Semibold"/>
          <w:b/>
          <w:i/>
          <w:color w:val="231F20"/>
          <w:spacing w:val="-4"/>
          <w:sz w:val="24"/>
        </w:rPr>
        <w:t>pays,</w:t>
      </w:r>
      <w:r>
        <w:rPr>
          <w:rFonts w:ascii="Segoe UI Semibold" w:hAnsi="Segoe UI Semibold"/>
          <w:b/>
          <w:i/>
          <w:color w:val="231F20"/>
          <w:spacing w:val="-12"/>
          <w:sz w:val="24"/>
        </w:rPr>
        <w:t> </w:t>
      </w:r>
      <w:r>
        <w:rPr>
          <w:rFonts w:ascii="Segoe UI Semibold" w:hAnsi="Segoe UI Semibold"/>
          <w:b/>
          <w:i/>
          <w:color w:val="231F20"/>
          <w:spacing w:val="-4"/>
          <w:sz w:val="24"/>
        </w:rPr>
        <w:t>âgé</w:t>
      </w:r>
      <w:r>
        <w:rPr>
          <w:rFonts w:ascii="Segoe UI Semibold" w:hAnsi="Segoe UI Semibold"/>
          <w:b/>
          <w:i/>
          <w:color w:val="231F20"/>
          <w:spacing w:val="-13"/>
          <w:sz w:val="24"/>
        </w:rPr>
        <w:t> </w:t>
      </w:r>
      <w:r>
        <w:rPr>
          <w:rFonts w:ascii="Segoe UI Semibold" w:hAnsi="Segoe UI Semibold"/>
          <w:b/>
          <w:i/>
          <w:color w:val="231F20"/>
          <w:spacing w:val="-4"/>
          <w:sz w:val="24"/>
        </w:rPr>
        <w:t>maintenant</w:t>
      </w:r>
      <w:r>
        <w:rPr>
          <w:rFonts w:ascii="Segoe UI Semibold" w:hAnsi="Segoe UI Semibold"/>
          <w:b/>
          <w:i/>
          <w:color w:val="231F20"/>
          <w:spacing w:val="-4"/>
          <w:sz w:val="24"/>
        </w:rPr>
        <w:t> </w:t>
      </w:r>
      <w:r>
        <w:rPr>
          <w:rFonts w:ascii="Segoe UI Semibold" w:hAnsi="Segoe UI Semibold"/>
          <w:b/>
          <w:i/>
          <w:color w:val="231F20"/>
          <w:spacing w:val="-2"/>
          <w:sz w:val="24"/>
        </w:rPr>
        <w:t>de</w:t>
      </w:r>
      <w:r>
        <w:rPr>
          <w:rFonts w:ascii="Segoe UI Semibold" w:hAnsi="Segoe UI Semibold"/>
          <w:b/>
          <w:i/>
          <w:color w:val="231F20"/>
          <w:spacing w:val="-15"/>
          <w:sz w:val="24"/>
        </w:rPr>
        <w:t> </w:t>
      </w:r>
      <w:r>
        <w:rPr>
          <w:rFonts w:ascii="Segoe UI Semibold" w:hAnsi="Segoe UI Semibold"/>
          <w:b/>
          <w:i/>
          <w:color w:val="231F20"/>
          <w:spacing w:val="-2"/>
          <w:sz w:val="24"/>
        </w:rPr>
        <w:t>huit</w:t>
      </w:r>
      <w:r>
        <w:rPr>
          <w:rFonts w:ascii="Segoe UI Semibold" w:hAnsi="Segoe UI Semibold"/>
          <w:b/>
          <w:i/>
          <w:color w:val="231F20"/>
          <w:spacing w:val="-14"/>
          <w:sz w:val="24"/>
        </w:rPr>
        <w:t> </w:t>
      </w:r>
      <w:r>
        <w:rPr>
          <w:rFonts w:ascii="Segoe UI Semibold" w:hAnsi="Segoe UI Semibold"/>
          <w:b/>
          <w:i/>
          <w:color w:val="231F20"/>
          <w:spacing w:val="-2"/>
          <w:sz w:val="24"/>
        </w:rPr>
        <w:t>ans,</w:t>
      </w:r>
      <w:r>
        <w:rPr>
          <w:rFonts w:ascii="Segoe UI Semibold" w:hAnsi="Segoe UI Semibold"/>
          <w:b/>
          <w:i/>
          <w:color w:val="231F20"/>
          <w:spacing w:val="-15"/>
          <w:sz w:val="24"/>
        </w:rPr>
        <w:t> </w:t>
      </w:r>
      <w:r>
        <w:rPr>
          <w:rFonts w:ascii="Segoe UI Semibold" w:hAnsi="Segoe UI Semibold"/>
          <w:b/>
          <w:i/>
          <w:color w:val="231F20"/>
          <w:spacing w:val="-2"/>
          <w:sz w:val="24"/>
        </w:rPr>
        <w:t>a</w:t>
      </w:r>
      <w:r>
        <w:rPr>
          <w:rFonts w:ascii="Segoe UI Semibold" w:hAnsi="Segoe UI Semibold"/>
          <w:b/>
          <w:i/>
          <w:color w:val="231F20"/>
          <w:spacing w:val="-14"/>
          <w:sz w:val="24"/>
        </w:rPr>
        <w:t> </w:t>
      </w:r>
      <w:r>
        <w:rPr>
          <w:rFonts w:ascii="Segoe UI Semibold" w:hAnsi="Segoe UI Semibold"/>
          <w:b/>
          <w:i/>
          <w:color w:val="231F20"/>
          <w:spacing w:val="-2"/>
          <w:sz w:val="24"/>
        </w:rPr>
        <w:t>été</w:t>
      </w:r>
      <w:r>
        <w:rPr>
          <w:rFonts w:ascii="Segoe UI Semibold" w:hAnsi="Segoe UI Semibold"/>
          <w:b/>
          <w:i/>
          <w:color w:val="231F20"/>
          <w:spacing w:val="-15"/>
          <w:sz w:val="24"/>
        </w:rPr>
        <w:t> </w:t>
      </w:r>
      <w:r>
        <w:rPr>
          <w:rFonts w:ascii="Segoe UI Semibold" w:hAnsi="Segoe UI Semibold"/>
          <w:b/>
          <w:i/>
          <w:color w:val="231F20"/>
          <w:spacing w:val="-2"/>
          <w:sz w:val="24"/>
        </w:rPr>
        <w:t>présenté</w:t>
      </w:r>
      <w:r>
        <w:rPr>
          <w:rFonts w:ascii="Segoe UI Semibold" w:hAnsi="Segoe UI Semibold"/>
          <w:b/>
          <w:i/>
          <w:color w:val="231F20"/>
          <w:spacing w:val="-14"/>
          <w:sz w:val="24"/>
        </w:rPr>
        <w:t> </w:t>
      </w:r>
      <w:r>
        <w:rPr>
          <w:rFonts w:ascii="Segoe UI Semibold" w:hAnsi="Segoe UI Semibold"/>
          <w:b/>
          <w:i/>
          <w:color w:val="231F20"/>
          <w:spacing w:val="-2"/>
          <w:sz w:val="24"/>
        </w:rPr>
        <w:t>en</w:t>
      </w:r>
      <w:r>
        <w:rPr>
          <w:rFonts w:ascii="Segoe UI Semibold" w:hAnsi="Segoe UI Semibold"/>
          <w:b/>
          <w:i/>
          <w:color w:val="231F20"/>
          <w:spacing w:val="-15"/>
          <w:sz w:val="24"/>
        </w:rPr>
        <w:t> </w:t>
      </w:r>
      <w:r>
        <w:rPr>
          <w:rFonts w:ascii="Segoe UI Semibold" w:hAnsi="Segoe UI Semibold"/>
          <w:b/>
          <w:i/>
          <w:color w:val="231F20"/>
          <w:spacing w:val="-2"/>
          <w:sz w:val="24"/>
        </w:rPr>
        <w:t>2018</w:t>
      </w:r>
      <w:r>
        <w:rPr>
          <w:rFonts w:ascii="Segoe UI Semibold" w:hAnsi="Segoe UI Semibold"/>
          <w:b/>
          <w:i/>
          <w:color w:val="231F20"/>
          <w:spacing w:val="-14"/>
          <w:sz w:val="24"/>
        </w:rPr>
        <w:t> </w:t>
      </w:r>
      <w:r>
        <w:rPr>
          <w:rFonts w:ascii="Segoe UI Semibold" w:hAnsi="Segoe UI Semibold"/>
          <w:b/>
          <w:i/>
          <w:color w:val="231F20"/>
          <w:spacing w:val="-2"/>
          <w:sz w:val="24"/>
        </w:rPr>
        <w:t>(il</w:t>
      </w:r>
      <w:r>
        <w:rPr>
          <w:rFonts w:ascii="Segoe UI Semibold" w:hAnsi="Segoe UI Semibold"/>
          <w:b/>
          <w:i/>
          <w:color w:val="231F20"/>
          <w:spacing w:val="-15"/>
          <w:sz w:val="24"/>
        </w:rPr>
        <w:t> </w:t>
      </w:r>
      <w:r>
        <w:rPr>
          <w:rFonts w:ascii="Segoe UI Semibold" w:hAnsi="Segoe UI Semibold"/>
          <w:b/>
          <w:i/>
          <w:color w:val="231F20"/>
          <w:spacing w:val="-2"/>
          <w:sz w:val="24"/>
        </w:rPr>
        <w:t>avait trois</w:t>
      </w:r>
      <w:r>
        <w:rPr>
          <w:rFonts w:ascii="Segoe UI Semibold" w:hAnsi="Segoe UI Semibold"/>
          <w:b/>
          <w:i/>
          <w:color w:val="231F20"/>
          <w:spacing w:val="-10"/>
          <w:sz w:val="24"/>
        </w:rPr>
        <w:t> </w:t>
      </w:r>
      <w:r>
        <w:rPr>
          <w:rFonts w:ascii="Segoe UI Semibold" w:hAnsi="Segoe UI Semibold"/>
          <w:b/>
          <w:i/>
          <w:color w:val="231F20"/>
          <w:spacing w:val="-2"/>
          <w:sz w:val="24"/>
        </w:rPr>
        <w:t>ans)</w:t>
      </w:r>
      <w:r>
        <w:rPr>
          <w:rFonts w:ascii="Segoe UI Semibold" w:hAnsi="Segoe UI Semibold"/>
          <w:b/>
          <w:i/>
          <w:color w:val="231F20"/>
          <w:spacing w:val="-10"/>
          <w:sz w:val="24"/>
        </w:rPr>
        <w:t> </w:t>
      </w:r>
      <w:r>
        <w:rPr>
          <w:rFonts w:ascii="Segoe UI Semibold" w:hAnsi="Segoe UI Semibold"/>
          <w:b/>
          <w:i/>
          <w:color w:val="231F20"/>
          <w:spacing w:val="-2"/>
          <w:sz w:val="24"/>
        </w:rPr>
        <w:t>à</w:t>
      </w:r>
      <w:r>
        <w:rPr>
          <w:rFonts w:ascii="Segoe UI Semibold" w:hAnsi="Segoe UI Semibold"/>
          <w:b/>
          <w:i/>
          <w:color w:val="231F20"/>
          <w:spacing w:val="-10"/>
          <w:sz w:val="24"/>
        </w:rPr>
        <w:t> </w:t>
      </w:r>
      <w:r>
        <w:rPr>
          <w:rFonts w:ascii="Segoe UI Semibold" w:hAnsi="Segoe UI Semibold"/>
          <w:b/>
          <w:i/>
          <w:color w:val="231F20"/>
          <w:spacing w:val="-2"/>
          <w:sz w:val="24"/>
        </w:rPr>
        <w:t>une</w:t>
      </w:r>
      <w:r>
        <w:rPr>
          <w:rFonts w:ascii="Segoe UI Semibold" w:hAnsi="Segoe UI Semibold"/>
          <w:b/>
          <w:i/>
          <w:color w:val="231F20"/>
          <w:spacing w:val="-10"/>
          <w:sz w:val="24"/>
        </w:rPr>
        <w:t> </w:t>
      </w:r>
      <w:r>
        <w:rPr>
          <w:rFonts w:ascii="Segoe UI Semibold" w:hAnsi="Segoe UI Semibold"/>
          <w:b/>
          <w:i/>
          <w:color w:val="231F20"/>
          <w:spacing w:val="-2"/>
          <w:sz w:val="24"/>
        </w:rPr>
        <w:t>consultation</w:t>
      </w:r>
      <w:r>
        <w:rPr>
          <w:rFonts w:ascii="Segoe UI Semibold" w:hAnsi="Segoe UI Semibold"/>
          <w:b/>
          <w:i/>
          <w:color w:val="231F20"/>
          <w:spacing w:val="-10"/>
          <w:sz w:val="24"/>
        </w:rPr>
        <w:t> </w:t>
      </w:r>
      <w:r>
        <w:rPr>
          <w:rFonts w:ascii="Segoe UI Semibold" w:hAnsi="Segoe UI Semibold"/>
          <w:b/>
          <w:i/>
          <w:color w:val="231F20"/>
          <w:spacing w:val="-2"/>
          <w:sz w:val="24"/>
        </w:rPr>
        <w:t>de</w:t>
      </w:r>
      <w:r>
        <w:rPr>
          <w:rFonts w:ascii="Segoe UI Semibold" w:hAnsi="Segoe UI Semibold"/>
          <w:b/>
          <w:i/>
          <w:color w:val="231F20"/>
          <w:spacing w:val="-10"/>
          <w:sz w:val="24"/>
        </w:rPr>
        <w:t> </w:t>
      </w:r>
      <w:r>
        <w:rPr>
          <w:rFonts w:ascii="Segoe UI Semibold" w:hAnsi="Segoe UI Semibold"/>
          <w:b/>
          <w:i/>
          <w:color w:val="231F20"/>
          <w:spacing w:val="-2"/>
          <w:sz w:val="24"/>
        </w:rPr>
        <w:t>génétique </w:t>
      </w:r>
      <w:r>
        <w:rPr>
          <w:rFonts w:ascii="Segoe UI Semibold" w:hAnsi="Segoe UI Semibold"/>
          <w:b/>
          <w:i/>
          <w:color w:val="231F20"/>
          <w:spacing w:val="-6"/>
          <w:sz w:val="24"/>
        </w:rPr>
        <w:t>clinique,</w:t>
      </w:r>
      <w:r>
        <w:rPr>
          <w:rFonts w:ascii="Segoe UI Semibold" w:hAnsi="Segoe UI Semibold"/>
          <w:b/>
          <w:i/>
          <w:color w:val="231F20"/>
          <w:spacing w:val="-11"/>
          <w:sz w:val="24"/>
        </w:rPr>
        <w:t> </w:t>
      </w:r>
      <w:r>
        <w:rPr>
          <w:rFonts w:ascii="Segoe UI Semibold" w:hAnsi="Segoe UI Semibold"/>
          <w:b/>
          <w:i/>
          <w:color w:val="231F20"/>
          <w:spacing w:val="-6"/>
          <w:sz w:val="24"/>
        </w:rPr>
        <w:t>parce</w:t>
      </w:r>
      <w:r>
        <w:rPr>
          <w:rFonts w:ascii="Segoe UI Semibold" w:hAnsi="Segoe UI Semibold"/>
          <w:b/>
          <w:i/>
          <w:color w:val="231F20"/>
          <w:spacing w:val="-10"/>
          <w:sz w:val="24"/>
        </w:rPr>
        <w:t> </w:t>
      </w:r>
      <w:r>
        <w:rPr>
          <w:rFonts w:ascii="Segoe UI Semibold" w:hAnsi="Segoe UI Semibold"/>
          <w:b/>
          <w:i/>
          <w:color w:val="231F20"/>
          <w:spacing w:val="-6"/>
          <w:sz w:val="24"/>
        </w:rPr>
        <w:t>qu’il</w:t>
      </w:r>
      <w:r>
        <w:rPr>
          <w:rFonts w:ascii="Segoe UI Semibold" w:hAnsi="Segoe UI Semibold"/>
          <w:b/>
          <w:i/>
          <w:color w:val="231F20"/>
          <w:spacing w:val="-11"/>
          <w:sz w:val="24"/>
        </w:rPr>
        <w:t> </w:t>
      </w:r>
      <w:r>
        <w:rPr>
          <w:rFonts w:ascii="Segoe UI Semibold" w:hAnsi="Segoe UI Semibold"/>
          <w:b/>
          <w:i/>
          <w:color w:val="231F20"/>
          <w:spacing w:val="-6"/>
          <w:sz w:val="24"/>
        </w:rPr>
        <w:t>présentait</w:t>
      </w:r>
      <w:r>
        <w:rPr>
          <w:rFonts w:ascii="Segoe UI Semibold" w:hAnsi="Segoe UI Semibold"/>
          <w:b/>
          <w:i/>
          <w:color w:val="231F20"/>
          <w:spacing w:val="-10"/>
          <w:sz w:val="24"/>
        </w:rPr>
        <w:t> </w:t>
      </w:r>
      <w:r>
        <w:rPr>
          <w:rFonts w:ascii="Segoe UI Semibold" w:hAnsi="Segoe UI Semibold"/>
          <w:b/>
          <w:i/>
          <w:color w:val="231F20"/>
          <w:spacing w:val="-6"/>
          <w:sz w:val="24"/>
        </w:rPr>
        <w:t>une</w:t>
      </w:r>
      <w:r>
        <w:rPr>
          <w:rFonts w:ascii="Segoe UI Semibold" w:hAnsi="Segoe UI Semibold"/>
          <w:b/>
          <w:i/>
          <w:color w:val="231F20"/>
          <w:spacing w:val="-11"/>
          <w:sz w:val="24"/>
        </w:rPr>
        <w:t> </w:t>
      </w:r>
      <w:r>
        <w:rPr>
          <w:rFonts w:ascii="Segoe UI Semibold" w:hAnsi="Segoe UI Semibold"/>
          <w:b/>
          <w:i/>
          <w:color w:val="231F20"/>
          <w:spacing w:val="-6"/>
          <w:sz w:val="24"/>
        </w:rPr>
        <w:t>faiblesse </w:t>
      </w:r>
      <w:r>
        <w:rPr>
          <w:rFonts w:ascii="Segoe UI Semibold" w:hAnsi="Segoe UI Semibold"/>
          <w:b/>
          <w:i/>
          <w:color w:val="231F20"/>
          <w:sz w:val="24"/>
        </w:rPr>
        <w:t>musculaire</w:t>
      </w:r>
      <w:r>
        <w:rPr>
          <w:rFonts w:ascii="Segoe UI Semibold" w:hAnsi="Segoe UI Semibold"/>
          <w:b/>
          <w:i/>
          <w:color w:val="231F20"/>
          <w:spacing w:val="-9"/>
          <w:sz w:val="24"/>
        </w:rPr>
        <w:t> </w:t>
      </w:r>
      <w:r>
        <w:rPr>
          <w:rFonts w:ascii="Segoe UI Semibold" w:hAnsi="Segoe UI Semibold"/>
          <w:b/>
          <w:i/>
          <w:color w:val="231F20"/>
          <w:sz w:val="24"/>
        </w:rPr>
        <w:t>généralisée.</w:t>
      </w:r>
      <w:r>
        <w:rPr>
          <w:rFonts w:ascii="Segoe UI Semibold" w:hAnsi="Segoe UI Semibold"/>
          <w:b/>
          <w:i/>
          <w:color w:val="231F20"/>
          <w:spacing w:val="-8"/>
          <w:sz w:val="24"/>
        </w:rPr>
        <w:t> </w:t>
      </w:r>
      <w:r>
        <w:rPr>
          <w:color w:val="231F20"/>
          <w:sz w:val="24"/>
        </w:rPr>
        <w:t>On</w:t>
      </w:r>
      <w:r>
        <w:rPr>
          <w:color w:val="231F20"/>
          <w:spacing w:val="-9"/>
          <w:sz w:val="24"/>
        </w:rPr>
        <w:t> </w:t>
      </w:r>
      <w:r>
        <w:rPr>
          <w:color w:val="231F20"/>
          <w:sz w:val="24"/>
        </w:rPr>
        <w:t>a</w:t>
      </w:r>
      <w:r>
        <w:rPr>
          <w:color w:val="231F20"/>
          <w:spacing w:val="-9"/>
          <w:sz w:val="24"/>
        </w:rPr>
        <w:t> </w:t>
      </w:r>
      <w:r>
        <w:rPr>
          <w:color w:val="231F20"/>
          <w:sz w:val="24"/>
        </w:rPr>
        <w:t>suspecté</w:t>
      </w:r>
      <w:r>
        <w:rPr>
          <w:color w:val="231F20"/>
          <w:spacing w:val="-9"/>
          <w:sz w:val="24"/>
        </w:rPr>
        <w:t> </w:t>
      </w:r>
      <w:r>
        <w:rPr>
          <w:color w:val="231F20"/>
          <w:sz w:val="24"/>
        </w:rPr>
        <w:t>un </w:t>
      </w:r>
      <w:r>
        <w:rPr>
          <w:color w:val="231F20"/>
          <w:spacing w:val="-6"/>
          <w:sz w:val="24"/>
        </w:rPr>
        <w:t>cas de myopathie congénitale de cause non </w:t>
      </w:r>
      <w:r>
        <w:rPr>
          <w:color w:val="231F20"/>
          <w:spacing w:val="-10"/>
          <w:sz w:val="24"/>
        </w:rPr>
        <w:t>précisée,</w:t>
      </w:r>
      <w:r>
        <w:rPr>
          <w:color w:val="231F20"/>
          <w:spacing w:val="-7"/>
          <w:sz w:val="24"/>
        </w:rPr>
        <w:t> </w:t>
      </w:r>
      <w:r>
        <w:rPr>
          <w:color w:val="231F20"/>
          <w:spacing w:val="-10"/>
          <w:sz w:val="24"/>
        </w:rPr>
        <w:t>mais</w:t>
      </w:r>
      <w:r>
        <w:rPr>
          <w:color w:val="231F20"/>
          <w:spacing w:val="-6"/>
          <w:sz w:val="24"/>
        </w:rPr>
        <w:t> </w:t>
      </w:r>
      <w:r>
        <w:rPr>
          <w:color w:val="231F20"/>
          <w:spacing w:val="-10"/>
          <w:sz w:val="24"/>
        </w:rPr>
        <w:t>il</w:t>
      </w:r>
      <w:r>
        <w:rPr>
          <w:color w:val="231F20"/>
          <w:spacing w:val="-7"/>
          <w:sz w:val="24"/>
        </w:rPr>
        <w:t> </w:t>
      </w:r>
      <w:r>
        <w:rPr>
          <w:color w:val="231F20"/>
          <w:spacing w:val="-10"/>
          <w:sz w:val="24"/>
        </w:rPr>
        <w:t>a</w:t>
      </w:r>
      <w:r>
        <w:rPr>
          <w:color w:val="231F20"/>
          <w:spacing w:val="-6"/>
          <w:sz w:val="24"/>
        </w:rPr>
        <w:t> </w:t>
      </w:r>
      <w:r>
        <w:rPr>
          <w:color w:val="231F20"/>
          <w:spacing w:val="-10"/>
          <w:sz w:val="24"/>
        </w:rPr>
        <w:t>été</w:t>
      </w:r>
      <w:r>
        <w:rPr>
          <w:color w:val="231F20"/>
          <w:spacing w:val="-7"/>
          <w:sz w:val="24"/>
        </w:rPr>
        <w:t> </w:t>
      </w:r>
      <w:r>
        <w:rPr>
          <w:color w:val="231F20"/>
          <w:spacing w:val="-10"/>
          <w:sz w:val="24"/>
        </w:rPr>
        <w:t>impossible</w:t>
      </w:r>
      <w:r>
        <w:rPr>
          <w:color w:val="231F20"/>
          <w:spacing w:val="-6"/>
          <w:sz w:val="24"/>
        </w:rPr>
        <w:t> </w:t>
      </w:r>
      <w:r>
        <w:rPr>
          <w:color w:val="231F20"/>
          <w:spacing w:val="-10"/>
          <w:sz w:val="24"/>
        </w:rPr>
        <w:t>de</w:t>
      </w:r>
      <w:r>
        <w:rPr>
          <w:color w:val="231F20"/>
          <w:spacing w:val="-7"/>
          <w:sz w:val="24"/>
        </w:rPr>
        <w:t> </w:t>
      </w:r>
      <w:r>
        <w:rPr>
          <w:color w:val="231F20"/>
          <w:spacing w:val="-10"/>
          <w:sz w:val="24"/>
        </w:rPr>
        <w:t>confirmer </w:t>
      </w:r>
      <w:r>
        <w:rPr>
          <w:color w:val="231F20"/>
          <w:sz w:val="24"/>
        </w:rPr>
        <w:t>le diagnostic, faute de la technologie de </w:t>
      </w:r>
      <w:r>
        <w:rPr>
          <w:color w:val="231F20"/>
          <w:spacing w:val="-4"/>
          <w:sz w:val="24"/>
        </w:rPr>
        <w:t>laboratoire</w:t>
      </w:r>
      <w:r>
        <w:rPr>
          <w:color w:val="231F20"/>
          <w:spacing w:val="-10"/>
          <w:sz w:val="24"/>
        </w:rPr>
        <w:t> </w:t>
      </w:r>
      <w:r>
        <w:rPr>
          <w:color w:val="231F20"/>
          <w:spacing w:val="-4"/>
          <w:sz w:val="24"/>
        </w:rPr>
        <w:t>requise.</w:t>
      </w:r>
      <w:r>
        <w:rPr>
          <w:color w:val="231F20"/>
          <w:spacing w:val="-10"/>
          <w:sz w:val="24"/>
        </w:rPr>
        <w:t> </w:t>
      </w:r>
      <w:r>
        <w:rPr>
          <w:color w:val="231F20"/>
          <w:spacing w:val="-4"/>
          <w:sz w:val="24"/>
        </w:rPr>
        <w:t>Il</w:t>
      </w:r>
      <w:r>
        <w:rPr>
          <w:color w:val="231F20"/>
          <w:spacing w:val="-10"/>
          <w:sz w:val="24"/>
        </w:rPr>
        <w:t> </w:t>
      </w:r>
      <w:r>
        <w:rPr>
          <w:color w:val="231F20"/>
          <w:spacing w:val="-4"/>
          <w:sz w:val="24"/>
        </w:rPr>
        <w:t>a</w:t>
      </w:r>
      <w:r>
        <w:rPr>
          <w:color w:val="231F20"/>
          <w:spacing w:val="-10"/>
          <w:sz w:val="24"/>
        </w:rPr>
        <w:t> </w:t>
      </w:r>
      <w:r>
        <w:rPr>
          <w:color w:val="231F20"/>
          <w:spacing w:val="-4"/>
          <w:sz w:val="24"/>
        </w:rPr>
        <w:t>fallu</w:t>
      </w:r>
      <w:r>
        <w:rPr>
          <w:color w:val="231F20"/>
          <w:spacing w:val="-10"/>
          <w:sz w:val="24"/>
        </w:rPr>
        <w:t> </w:t>
      </w:r>
      <w:r>
        <w:rPr>
          <w:color w:val="231F20"/>
          <w:spacing w:val="-4"/>
          <w:sz w:val="24"/>
        </w:rPr>
        <w:t>trois</w:t>
      </w:r>
      <w:r>
        <w:rPr>
          <w:color w:val="231F20"/>
          <w:spacing w:val="-10"/>
          <w:sz w:val="24"/>
        </w:rPr>
        <w:t> </w:t>
      </w:r>
      <w:r>
        <w:rPr>
          <w:color w:val="231F20"/>
          <w:spacing w:val="-4"/>
          <w:sz w:val="24"/>
        </w:rPr>
        <w:t>années</w:t>
      </w:r>
      <w:r>
        <w:rPr>
          <w:color w:val="231F20"/>
          <w:spacing w:val="-10"/>
          <w:sz w:val="24"/>
        </w:rPr>
        <w:t> </w:t>
      </w:r>
      <w:r>
        <w:rPr>
          <w:color w:val="231F20"/>
          <w:spacing w:val="-4"/>
          <w:sz w:val="24"/>
        </w:rPr>
        <w:t>de </w:t>
      </w:r>
      <w:r>
        <w:rPr>
          <w:color w:val="231F20"/>
          <w:sz w:val="24"/>
        </w:rPr>
        <w:t>gros efforts et de recherches coûteuses à </w:t>
      </w:r>
      <w:r>
        <w:rPr>
          <w:color w:val="231F20"/>
          <w:spacing w:val="-8"/>
          <w:sz w:val="24"/>
        </w:rPr>
        <w:t>l’étranger pour confirmer en décembre 2021 </w:t>
      </w:r>
      <w:r>
        <w:rPr>
          <w:color w:val="231F20"/>
          <w:spacing w:val="-14"/>
          <w:sz w:val="24"/>
        </w:rPr>
        <w:t>(l’enfant</w:t>
      </w:r>
      <w:r>
        <w:rPr>
          <w:color w:val="231F20"/>
          <w:sz w:val="24"/>
        </w:rPr>
        <w:t> </w:t>
      </w:r>
      <w:r>
        <w:rPr>
          <w:color w:val="231F20"/>
          <w:spacing w:val="-14"/>
          <w:sz w:val="24"/>
        </w:rPr>
        <w:t>avait</w:t>
      </w:r>
      <w:r>
        <w:rPr>
          <w:color w:val="231F20"/>
          <w:sz w:val="24"/>
        </w:rPr>
        <w:t> </w:t>
      </w:r>
      <w:r>
        <w:rPr>
          <w:color w:val="231F20"/>
          <w:spacing w:val="-14"/>
          <w:sz w:val="24"/>
        </w:rPr>
        <w:t>six</w:t>
      </w:r>
      <w:r>
        <w:rPr>
          <w:color w:val="231F20"/>
          <w:sz w:val="24"/>
        </w:rPr>
        <w:t> </w:t>
      </w:r>
      <w:r>
        <w:rPr>
          <w:color w:val="231F20"/>
          <w:spacing w:val="-14"/>
          <w:sz w:val="24"/>
        </w:rPr>
        <w:t>ans)</w:t>
      </w:r>
      <w:r>
        <w:rPr>
          <w:color w:val="231F20"/>
          <w:sz w:val="24"/>
        </w:rPr>
        <w:t> </w:t>
      </w:r>
      <w:r>
        <w:rPr>
          <w:color w:val="231F20"/>
          <w:spacing w:val="-14"/>
          <w:sz w:val="24"/>
        </w:rPr>
        <w:t>le</w:t>
      </w:r>
      <w:r>
        <w:rPr>
          <w:color w:val="231F20"/>
          <w:sz w:val="24"/>
        </w:rPr>
        <w:t> </w:t>
      </w:r>
      <w:r>
        <w:rPr>
          <w:color w:val="231F20"/>
          <w:spacing w:val="-14"/>
          <w:sz w:val="24"/>
        </w:rPr>
        <w:t>diagnostic</w:t>
      </w:r>
      <w:r>
        <w:rPr>
          <w:color w:val="231F20"/>
          <w:sz w:val="24"/>
        </w:rPr>
        <w:t> </w:t>
      </w:r>
      <w:r>
        <w:rPr>
          <w:color w:val="231F20"/>
          <w:spacing w:val="-14"/>
          <w:sz w:val="24"/>
        </w:rPr>
        <w:t>:</w:t>
      </w:r>
      <w:r>
        <w:rPr>
          <w:color w:val="231F20"/>
          <w:sz w:val="24"/>
        </w:rPr>
        <w:t> </w:t>
      </w:r>
      <w:r>
        <w:rPr>
          <w:color w:val="231F20"/>
          <w:spacing w:val="-14"/>
          <w:sz w:val="24"/>
        </w:rPr>
        <w:t>l’enfant</w:t>
      </w:r>
      <w:r>
        <w:rPr>
          <w:color w:val="231F20"/>
          <w:sz w:val="24"/>
        </w:rPr>
        <w:t> </w:t>
      </w:r>
      <w:r>
        <w:rPr>
          <w:color w:val="231F20"/>
          <w:spacing w:val="-14"/>
          <w:sz w:val="24"/>
        </w:rPr>
        <w:t>est atteint</w:t>
      </w:r>
      <w:r>
        <w:rPr>
          <w:color w:val="231F20"/>
          <w:sz w:val="24"/>
        </w:rPr>
        <w:t> </w:t>
      </w:r>
      <w:r>
        <w:rPr>
          <w:color w:val="231F20"/>
          <w:spacing w:val="-14"/>
          <w:sz w:val="24"/>
        </w:rPr>
        <w:t>du</w:t>
      </w:r>
      <w:r>
        <w:rPr>
          <w:color w:val="231F20"/>
          <w:sz w:val="24"/>
        </w:rPr>
        <w:t> </w:t>
      </w:r>
      <w:r>
        <w:rPr>
          <w:color w:val="231F20"/>
          <w:spacing w:val="-14"/>
          <w:sz w:val="24"/>
        </w:rPr>
        <w:t>syndrome</w:t>
      </w:r>
      <w:r>
        <w:rPr>
          <w:color w:val="231F20"/>
          <w:sz w:val="24"/>
        </w:rPr>
        <w:t> </w:t>
      </w:r>
      <w:r>
        <w:rPr>
          <w:color w:val="231F20"/>
          <w:spacing w:val="-14"/>
          <w:sz w:val="24"/>
        </w:rPr>
        <w:t>de</w:t>
      </w:r>
      <w:r>
        <w:rPr>
          <w:color w:val="231F20"/>
          <w:sz w:val="24"/>
        </w:rPr>
        <w:t> </w:t>
      </w:r>
      <w:r>
        <w:rPr>
          <w:color w:val="231F20"/>
          <w:spacing w:val="-14"/>
          <w:sz w:val="24"/>
        </w:rPr>
        <w:t>Pelizaeus–Merzbacher, </w:t>
      </w:r>
      <w:r>
        <w:rPr>
          <w:color w:val="231F20"/>
          <w:spacing w:val="-10"/>
          <w:sz w:val="24"/>
        </w:rPr>
        <w:t>une</w:t>
      </w:r>
      <w:r>
        <w:rPr>
          <w:color w:val="231F20"/>
          <w:spacing w:val="-3"/>
          <w:sz w:val="24"/>
        </w:rPr>
        <w:t> </w:t>
      </w:r>
      <w:r>
        <w:rPr>
          <w:color w:val="231F20"/>
          <w:spacing w:val="-10"/>
          <w:sz w:val="24"/>
        </w:rPr>
        <w:t>variante</w:t>
      </w:r>
      <w:r>
        <w:rPr>
          <w:color w:val="231F20"/>
          <w:spacing w:val="-3"/>
          <w:sz w:val="24"/>
        </w:rPr>
        <w:t> </w:t>
      </w:r>
      <w:r>
        <w:rPr>
          <w:color w:val="231F20"/>
          <w:spacing w:val="-10"/>
          <w:sz w:val="24"/>
        </w:rPr>
        <w:t>de</w:t>
      </w:r>
      <w:r>
        <w:rPr>
          <w:color w:val="231F20"/>
          <w:spacing w:val="-3"/>
          <w:sz w:val="24"/>
        </w:rPr>
        <w:t> </w:t>
      </w:r>
      <w:r>
        <w:rPr>
          <w:color w:val="231F20"/>
          <w:spacing w:val="-10"/>
          <w:sz w:val="24"/>
        </w:rPr>
        <w:t>leucodystrophie</w:t>
      </w:r>
      <w:r>
        <w:rPr>
          <w:color w:val="231F20"/>
          <w:spacing w:val="-3"/>
          <w:sz w:val="24"/>
        </w:rPr>
        <w:t> </w:t>
      </w:r>
      <w:r>
        <w:rPr>
          <w:color w:val="231F20"/>
          <w:spacing w:val="-10"/>
          <w:sz w:val="24"/>
        </w:rPr>
        <w:t>qui</w:t>
      </w:r>
      <w:r>
        <w:rPr>
          <w:color w:val="231F20"/>
          <w:spacing w:val="-3"/>
          <w:sz w:val="24"/>
        </w:rPr>
        <w:t> </w:t>
      </w:r>
      <w:r>
        <w:rPr>
          <w:color w:val="231F20"/>
          <w:spacing w:val="-10"/>
          <w:sz w:val="24"/>
        </w:rPr>
        <w:t>implique </w:t>
      </w:r>
      <w:r>
        <w:rPr>
          <w:color w:val="231F20"/>
          <w:spacing w:val="-2"/>
          <w:sz w:val="24"/>
        </w:rPr>
        <w:t>un</w:t>
      </w:r>
      <w:r>
        <w:rPr>
          <w:color w:val="231F20"/>
          <w:spacing w:val="-15"/>
          <w:sz w:val="24"/>
        </w:rPr>
        <w:t> </w:t>
      </w:r>
      <w:r>
        <w:rPr>
          <w:color w:val="231F20"/>
          <w:spacing w:val="-2"/>
          <w:sz w:val="24"/>
        </w:rPr>
        <w:t>défaut</w:t>
      </w:r>
      <w:r>
        <w:rPr>
          <w:color w:val="231F20"/>
          <w:spacing w:val="-14"/>
          <w:sz w:val="24"/>
        </w:rPr>
        <w:t> </w:t>
      </w:r>
      <w:r>
        <w:rPr>
          <w:color w:val="231F20"/>
          <w:spacing w:val="-2"/>
          <w:sz w:val="24"/>
        </w:rPr>
        <w:t>de</w:t>
      </w:r>
      <w:r>
        <w:rPr>
          <w:color w:val="231F20"/>
          <w:spacing w:val="-15"/>
          <w:sz w:val="24"/>
        </w:rPr>
        <w:t> </w:t>
      </w:r>
      <w:r>
        <w:rPr>
          <w:color w:val="231F20"/>
          <w:spacing w:val="-2"/>
          <w:sz w:val="24"/>
        </w:rPr>
        <w:t>la</w:t>
      </w:r>
      <w:r>
        <w:rPr>
          <w:color w:val="231F20"/>
          <w:spacing w:val="-14"/>
          <w:sz w:val="24"/>
        </w:rPr>
        <w:t> </w:t>
      </w:r>
      <w:r>
        <w:rPr>
          <w:color w:val="231F20"/>
          <w:spacing w:val="-2"/>
          <w:sz w:val="24"/>
        </w:rPr>
        <w:t>matière</w:t>
      </w:r>
      <w:r>
        <w:rPr>
          <w:color w:val="231F20"/>
          <w:spacing w:val="-15"/>
          <w:sz w:val="24"/>
        </w:rPr>
        <w:t> </w:t>
      </w:r>
      <w:r>
        <w:rPr>
          <w:color w:val="231F20"/>
          <w:spacing w:val="-2"/>
          <w:sz w:val="24"/>
        </w:rPr>
        <w:t>blanche</w:t>
      </w:r>
      <w:r>
        <w:rPr>
          <w:color w:val="231F20"/>
          <w:spacing w:val="-14"/>
          <w:sz w:val="24"/>
        </w:rPr>
        <w:t> </w:t>
      </w:r>
      <w:r>
        <w:rPr>
          <w:color w:val="231F20"/>
          <w:spacing w:val="-2"/>
          <w:sz w:val="24"/>
        </w:rPr>
        <w:t>recouvrant </w:t>
      </w:r>
      <w:r>
        <w:rPr>
          <w:color w:val="231F20"/>
          <w:spacing w:val="-4"/>
          <w:sz w:val="24"/>
        </w:rPr>
        <w:t>les</w:t>
      </w:r>
      <w:r>
        <w:rPr>
          <w:color w:val="231F20"/>
          <w:spacing w:val="-13"/>
          <w:sz w:val="24"/>
        </w:rPr>
        <w:t> </w:t>
      </w:r>
      <w:r>
        <w:rPr>
          <w:color w:val="231F20"/>
          <w:spacing w:val="-4"/>
          <w:sz w:val="24"/>
        </w:rPr>
        <w:t>fibres</w:t>
      </w:r>
      <w:r>
        <w:rPr>
          <w:color w:val="231F20"/>
          <w:spacing w:val="-12"/>
          <w:sz w:val="24"/>
        </w:rPr>
        <w:t> </w:t>
      </w:r>
      <w:r>
        <w:rPr>
          <w:color w:val="231F20"/>
          <w:spacing w:val="-4"/>
          <w:sz w:val="24"/>
        </w:rPr>
        <w:t>nerveuses</w:t>
      </w:r>
      <w:r>
        <w:rPr>
          <w:color w:val="231F20"/>
          <w:spacing w:val="-13"/>
          <w:sz w:val="24"/>
        </w:rPr>
        <w:t> </w:t>
      </w:r>
      <w:r>
        <w:rPr>
          <w:color w:val="231F20"/>
          <w:spacing w:val="-4"/>
          <w:sz w:val="24"/>
        </w:rPr>
        <w:t>et</w:t>
      </w:r>
      <w:r>
        <w:rPr>
          <w:color w:val="231F20"/>
          <w:spacing w:val="-12"/>
          <w:sz w:val="24"/>
        </w:rPr>
        <w:t> </w:t>
      </w:r>
      <w:r>
        <w:rPr>
          <w:color w:val="231F20"/>
          <w:spacing w:val="-4"/>
          <w:sz w:val="24"/>
        </w:rPr>
        <w:t>qui</w:t>
      </w:r>
      <w:r>
        <w:rPr>
          <w:color w:val="231F20"/>
          <w:spacing w:val="-13"/>
          <w:sz w:val="24"/>
        </w:rPr>
        <w:t> </w:t>
      </w:r>
      <w:r>
        <w:rPr>
          <w:color w:val="231F20"/>
          <w:spacing w:val="-4"/>
          <w:sz w:val="24"/>
        </w:rPr>
        <w:t>ne</w:t>
      </w:r>
      <w:r>
        <w:rPr>
          <w:color w:val="231F20"/>
          <w:spacing w:val="-12"/>
          <w:sz w:val="24"/>
        </w:rPr>
        <w:t> </w:t>
      </w:r>
      <w:r>
        <w:rPr>
          <w:color w:val="231F20"/>
          <w:spacing w:val="-4"/>
          <w:sz w:val="24"/>
        </w:rPr>
        <w:t>touche</w:t>
      </w:r>
      <w:r>
        <w:rPr>
          <w:color w:val="231F20"/>
          <w:spacing w:val="-13"/>
          <w:sz w:val="24"/>
        </w:rPr>
        <w:t> </w:t>
      </w:r>
      <w:r>
        <w:rPr>
          <w:color w:val="231F20"/>
          <w:spacing w:val="-4"/>
          <w:sz w:val="24"/>
        </w:rPr>
        <w:t>qu’une </w:t>
      </w:r>
      <w:r>
        <w:rPr>
          <w:color w:val="231F20"/>
          <w:spacing w:val="-2"/>
          <w:sz w:val="24"/>
        </w:rPr>
        <w:t>personne</w:t>
      </w:r>
      <w:r>
        <w:rPr>
          <w:color w:val="231F20"/>
          <w:spacing w:val="-20"/>
          <w:sz w:val="24"/>
        </w:rPr>
        <w:t> </w:t>
      </w:r>
      <w:r>
        <w:rPr>
          <w:color w:val="231F20"/>
          <w:spacing w:val="-2"/>
          <w:sz w:val="24"/>
        </w:rPr>
        <w:t>sur</w:t>
      </w:r>
      <w:r>
        <w:rPr>
          <w:color w:val="231F20"/>
          <w:spacing w:val="-20"/>
          <w:sz w:val="24"/>
        </w:rPr>
        <w:t> </w:t>
      </w:r>
      <w:r>
        <w:rPr>
          <w:color w:val="231F20"/>
          <w:spacing w:val="-2"/>
          <w:sz w:val="24"/>
        </w:rPr>
        <w:t>400</w:t>
      </w:r>
      <w:r>
        <w:rPr>
          <w:color w:val="231F20"/>
          <w:spacing w:val="-20"/>
          <w:sz w:val="24"/>
        </w:rPr>
        <w:t> </w:t>
      </w:r>
      <w:r>
        <w:rPr>
          <w:color w:val="231F20"/>
          <w:spacing w:val="-2"/>
          <w:sz w:val="24"/>
        </w:rPr>
        <w:t>000</w:t>
      </w:r>
      <w:r>
        <w:rPr>
          <w:color w:val="231F20"/>
          <w:spacing w:val="-20"/>
          <w:sz w:val="24"/>
        </w:rPr>
        <w:t> </w:t>
      </w:r>
      <w:r>
        <w:rPr>
          <w:color w:val="231F20"/>
          <w:spacing w:val="-2"/>
          <w:sz w:val="24"/>
        </w:rPr>
        <w:t>dans</w:t>
      </w:r>
      <w:r>
        <w:rPr>
          <w:color w:val="231F20"/>
          <w:spacing w:val="-20"/>
          <w:sz w:val="24"/>
        </w:rPr>
        <w:t> </w:t>
      </w:r>
      <w:r>
        <w:rPr>
          <w:color w:val="231F20"/>
          <w:spacing w:val="-2"/>
          <w:sz w:val="24"/>
        </w:rPr>
        <w:t>le</w:t>
      </w:r>
      <w:r>
        <w:rPr>
          <w:color w:val="231F20"/>
          <w:spacing w:val="-20"/>
          <w:sz w:val="24"/>
        </w:rPr>
        <w:t> </w:t>
      </w:r>
      <w:r>
        <w:rPr>
          <w:color w:val="231F20"/>
          <w:spacing w:val="-2"/>
          <w:sz w:val="24"/>
        </w:rPr>
        <w:t>monde.</w:t>
      </w:r>
    </w:p>
    <w:p>
      <w:pPr>
        <w:pStyle w:val="BodyText"/>
        <w:spacing w:before="169"/>
        <w:ind w:left="412" w:right="1130"/>
      </w:pPr>
      <w:r>
        <w:rPr>
          <w:color w:val="231F20"/>
        </w:rPr>
        <w:t>Cuba ne peut acheter à des sociétés étasuniennes un chélateur du phosphate, spécifiquement du Sévélamer, qui sert à </w:t>
      </w:r>
      <w:r>
        <w:rPr>
          <w:color w:val="231F20"/>
          <w:spacing w:val="-8"/>
        </w:rPr>
        <w:t>traiter</w:t>
      </w:r>
      <w:r>
        <w:rPr>
          <w:color w:val="231F20"/>
          <w:spacing w:val="-9"/>
        </w:rPr>
        <w:t> </w:t>
      </w:r>
      <w:r>
        <w:rPr>
          <w:color w:val="231F20"/>
          <w:spacing w:val="-8"/>
        </w:rPr>
        <w:t>les patients</w:t>
      </w:r>
      <w:r>
        <w:rPr>
          <w:color w:val="231F20"/>
          <w:spacing w:val="-9"/>
        </w:rPr>
        <w:t> </w:t>
      </w:r>
      <w:r>
        <w:rPr>
          <w:color w:val="231F20"/>
          <w:spacing w:val="-8"/>
        </w:rPr>
        <w:t>pédiatriques à</w:t>
      </w:r>
      <w:r>
        <w:rPr>
          <w:color w:val="231F20"/>
          <w:spacing w:val="-9"/>
        </w:rPr>
        <w:t> </w:t>
      </w:r>
      <w:r>
        <w:rPr>
          <w:color w:val="231F20"/>
          <w:spacing w:val="-8"/>
        </w:rPr>
        <w:t>pathologies </w:t>
      </w:r>
      <w:r>
        <w:rPr>
          <w:color w:val="231F20"/>
          <w:spacing w:val="-6"/>
        </w:rPr>
        <w:t>rénales,</w:t>
      </w:r>
      <w:r>
        <w:rPr>
          <w:color w:val="231F20"/>
          <w:spacing w:val="-8"/>
        </w:rPr>
        <w:t> </w:t>
      </w:r>
      <w:r>
        <w:rPr>
          <w:color w:val="231F20"/>
          <w:spacing w:val="-6"/>
        </w:rPr>
        <w:t>si</w:t>
      </w:r>
      <w:r>
        <w:rPr>
          <w:color w:val="231F20"/>
          <w:spacing w:val="-8"/>
        </w:rPr>
        <w:t> </w:t>
      </w:r>
      <w:r>
        <w:rPr>
          <w:color w:val="231F20"/>
          <w:spacing w:val="-6"/>
        </w:rPr>
        <w:t>bien</w:t>
      </w:r>
      <w:r>
        <w:rPr>
          <w:color w:val="231F20"/>
          <w:spacing w:val="-8"/>
        </w:rPr>
        <w:t> </w:t>
      </w:r>
      <w:r>
        <w:rPr>
          <w:color w:val="231F20"/>
          <w:spacing w:val="-6"/>
        </w:rPr>
        <w:t>que</w:t>
      </w:r>
      <w:r>
        <w:rPr>
          <w:color w:val="231F20"/>
          <w:spacing w:val="-8"/>
        </w:rPr>
        <w:t> </w:t>
      </w:r>
      <w:r>
        <w:rPr>
          <w:color w:val="231F20"/>
          <w:spacing w:val="-6"/>
        </w:rPr>
        <w:t>ceux-ci</w:t>
      </w:r>
      <w:r>
        <w:rPr>
          <w:color w:val="231F20"/>
          <w:spacing w:val="-8"/>
        </w:rPr>
        <w:t> </w:t>
      </w:r>
      <w:r>
        <w:rPr>
          <w:color w:val="231F20"/>
          <w:spacing w:val="-6"/>
        </w:rPr>
        <w:t>courent</w:t>
      </w:r>
      <w:r>
        <w:rPr>
          <w:color w:val="231F20"/>
          <w:spacing w:val="-8"/>
        </w:rPr>
        <w:t> </w:t>
      </w:r>
      <w:r>
        <w:rPr>
          <w:color w:val="231F20"/>
          <w:spacing w:val="-6"/>
        </w:rPr>
        <w:t>le</w:t>
      </w:r>
      <w:r>
        <w:rPr>
          <w:color w:val="231F20"/>
          <w:spacing w:val="-8"/>
        </w:rPr>
        <w:t> </w:t>
      </w:r>
      <w:r>
        <w:rPr>
          <w:color w:val="231F20"/>
          <w:spacing w:val="-6"/>
        </w:rPr>
        <w:t>risque </w:t>
      </w:r>
      <w:r>
        <w:rPr>
          <w:color w:val="231F20"/>
          <w:spacing w:val="-2"/>
        </w:rPr>
        <w:t>de</w:t>
      </w:r>
      <w:r>
        <w:rPr>
          <w:color w:val="231F20"/>
          <w:spacing w:val="-7"/>
        </w:rPr>
        <w:t> </w:t>
      </w:r>
      <w:r>
        <w:rPr>
          <w:color w:val="231F20"/>
          <w:spacing w:val="-2"/>
        </w:rPr>
        <w:t>développer</w:t>
      </w:r>
      <w:r>
        <w:rPr>
          <w:color w:val="231F20"/>
          <w:spacing w:val="-7"/>
        </w:rPr>
        <w:t> </w:t>
      </w:r>
      <w:r>
        <w:rPr>
          <w:color w:val="231F20"/>
          <w:spacing w:val="-2"/>
        </w:rPr>
        <w:t>une</w:t>
      </w:r>
      <w:r>
        <w:rPr>
          <w:color w:val="231F20"/>
          <w:spacing w:val="-7"/>
        </w:rPr>
        <w:t> </w:t>
      </w:r>
      <w:r>
        <w:rPr>
          <w:color w:val="231F20"/>
          <w:spacing w:val="-2"/>
        </w:rPr>
        <w:t>ostéodystrophie</w:t>
      </w:r>
      <w:r>
        <w:rPr>
          <w:color w:val="231F20"/>
          <w:spacing w:val="-7"/>
        </w:rPr>
        <w:t> </w:t>
      </w:r>
      <w:r>
        <w:rPr>
          <w:color w:val="231F20"/>
          <w:spacing w:val="-2"/>
        </w:rPr>
        <w:t>rénale </w:t>
      </w:r>
      <w:r>
        <w:rPr>
          <w:color w:val="231F20"/>
          <w:spacing w:val="-6"/>
        </w:rPr>
        <w:t>qui</w:t>
      </w:r>
      <w:r>
        <w:rPr>
          <w:color w:val="231F20"/>
          <w:spacing w:val="-11"/>
        </w:rPr>
        <w:t> </w:t>
      </w:r>
      <w:r>
        <w:rPr>
          <w:color w:val="231F20"/>
          <w:spacing w:val="-6"/>
        </w:rPr>
        <w:t>cause</w:t>
      </w:r>
      <w:r>
        <w:rPr>
          <w:color w:val="231F20"/>
          <w:spacing w:val="-10"/>
        </w:rPr>
        <w:t> </w:t>
      </w:r>
      <w:r>
        <w:rPr>
          <w:color w:val="231F20"/>
          <w:spacing w:val="-6"/>
        </w:rPr>
        <w:t>de</w:t>
      </w:r>
      <w:r>
        <w:rPr>
          <w:color w:val="231F20"/>
          <w:spacing w:val="-11"/>
        </w:rPr>
        <w:t> </w:t>
      </w:r>
      <w:r>
        <w:rPr>
          <w:color w:val="231F20"/>
          <w:spacing w:val="-6"/>
        </w:rPr>
        <w:t>graves</w:t>
      </w:r>
      <w:r>
        <w:rPr>
          <w:color w:val="231F20"/>
          <w:spacing w:val="-10"/>
        </w:rPr>
        <w:t> </w:t>
      </w:r>
      <w:r>
        <w:rPr>
          <w:color w:val="231F20"/>
          <w:spacing w:val="-6"/>
        </w:rPr>
        <w:t>malformations</w:t>
      </w:r>
      <w:r>
        <w:rPr>
          <w:color w:val="231F20"/>
          <w:spacing w:val="-11"/>
        </w:rPr>
        <w:t> </w:t>
      </w:r>
      <w:r>
        <w:rPr>
          <w:color w:val="231F20"/>
          <w:spacing w:val="-6"/>
        </w:rPr>
        <w:t>osseuses </w:t>
      </w:r>
      <w:r>
        <w:rPr>
          <w:color w:val="231F20"/>
        </w:rPr>
        <w:t>aboutissant à l’invalidité.</w:t>
      </w:r>
    </w:p>
    <w:p>
      <w:pPr>
        <w:pStyle w:val="BodyText"/>
        <w:spacing w:before="166"/>
        <w:ind w:left="412" w:right="1139"/>
      </w:pPr>
      <w:r>
        <w:rPr>
          <w:color w:val="231F20"/>
          <w:spacing w:val="-6"/>
        </w:rPr>
        <w:t>Il</w:t>
      </w:r>
      <w:r>
        <w:rPr>
          <w:color w:val="231F20"/>
          <w:spacing w:val="-7"/>
        </w:rPr>
        <w:t> </w:t>
      </w:r>
      <w:r>
        <w:rPr>
          <w:color w:val="231F20"/>
          <w:spacing w:val="-6"/>
        </w:rPr>
        <w:t>est</w:t>
      </w:r>
      <w:r>
        <w:rPr>
          <w:color w:val="231F20"/>
          <w:spacing w:val="-7"/>
        </w:rPr>
        <w:t> </w:t>
      </w:r>
      <w:r>
        <w:rPr>
          <w:color w:val="231F20"/>
          <w:spacing w:val="-6"/>
        </w:rPr>
        <w:t>difficile</w:t>
      </w:r>
      <w:r>
        <w:rPr>
          <w:color w:val="231F20"/>
          <w:spacing w:val="-7"/>
        </w:rPr>
        <w:t> </w:t>
      </w:r>
      <w:r>
        <w:rPr>
          <w:color w:val="231F20"/>
          <w:spacing w:val="-6"/>
        </w:rPr>
        <w:t>de</w:t>
      </w:r>
      <w:r>
        <w:rPr>
          <w:color w:val="231F20"/>
          <w:spacing w:val="-7"/>
        </w:rPr>
        <w:t> </w:t>
      </w:r>
      <w:r>
        <w:rPr>
          <w:color w:val="231F20"/>
          <w:spacing w:val="-6"/>
        </w:rPr>
        <w:t>faire</w:t>
      </w:r>
      <w:r>
        <w:rPr>
          <w:color w:val="231F20"/>
          <w:spacing w:val="-7"/>
        </w:rPr>
        <w:t> </w:t>
      </w:r>
      <w:r>
        <w:rPr>
          <w:color w:val="231F20"/>
          <w:spacing w:val="-6"/>
        </w:rPr>
        <w:t>les</w:t>
      </w:r>
      <w:r>
        <w:rPr>
          <w:color w:val="231F20"/>
          <w:spacing w:val="-7"/>
        </w:rPr>
        <w:t> </w:t>
      </w:r>
      <w:r>
        <w:rPr>
          <w:color w:val="231F20"/>
          <w:spacing w:val="-6"/>
        </w:rPr>
        <w:t>dialyses</w:t>
      </w:r>
      <w:r>
        <w:rPr>
          <w:color w:val="231F20"/>
          <w:spacing w:val="-7"/>
        </w:rPr>
        <w:t> </w:t>
      </w:r>
      <w:r>
        <w:rPr>
          <w:color w:val="231F20"/>
          <w:spacing w:val="-6"/>
        </w:rPr>
        <w:t>nécessaires </w:t>
      </w:r>
      <w:r>
        <w:rPr>
          <w:color w:val="231F20"/>
          <w:spacing w:val="-4"/>
        </w:rPr>
        <w:t>aux</w:t>
      </w:r>
      <w:r>
        <w:rPr>
          <w:color w:val="231F20"/>
          <w:spacing w:val="-9"/>
        </w:rPr>
        <w:t> </w:t>
      </w:r>
      <w:r>
        <w:rPr>
          <w:color w:val="231F20"/>
          <w:spacing w:val="-4"/>
        </w:rPr>
        <w:t>nouveau-nés</w:t>
      </w:r>
      <w:r>
        <w:rPr>
          <w:color w:val="231F20"/>
          <w:spacing w:val="-9"/>
        </w:rPr>
        <w:t> </w:t>
      </w:r>
      <w:r>
        <w:rPr>
          <w:color w:val="231F20"/>
          <w:spacing w:val="-4"/>
        </w:rPr>
        <w:t>à</w:t>
      </w:r>
      <w:r>
        <w:rPr>
          <w:color w:val="231F20"/>
          <w:spacing w:val="-9"/>
        </w:rPr>
        <w:t> </w:t>
      </w:r>
      <w:r>
        <w:rPr>
          <w:color w:val="231F20"/>
          <w:spacing w:val="-4"/>
        </w:rPr>
        <w:t>carence</w:t>
      </w:r>
      <w:r>
        <w:rPr>
          <w:color w:val="231F20"/>
          <w:spacing w:val="-9"/>
        </w:rPr>
        <w:t> </w:t>
      </w:r>
      <w:r>
        <w:rPr>
          <w:color w:val="231F20"/>
          <w:spacing w:val="-4"/>
        </w:rPr>
        <w:t>rénale,</w:t>
      </w:r>
      <w:r>
        <w:rPr>
          <w:color w:val="231F20"/>
          <w:spacing w:val="-9"/>
        </w:rPr>
        <w:t> </w:t>
      </w:r>
      <w:r>
        <w:rPr>
          <w:color w:val="231F20"/>
          <w:spacing w:val="-4"/>
        </w:rPr>
        <w:t>faute</w:t>
      </w:r>
      <w:r>
        <w:rPr>
          <w:color w:val="231F20"/>
          <w:spacing w:val="-9"/>
        </w:rPr>
        <w:t> </w:t>
      </w:r>
      <w:r>
        <w:rPr>
          <w:color w:val="231F20"/>
          <w:spacing w:val="-4"/>
        </w:rPr>
        <w:t>de </w:t>
      </w:r>
      <w:r>
        <w:rPr>
          <w:color w:val="231F20"/>
          <w:spacing w:val="-10"/>
        </w:rPr>
        <w:t>cathéters</w:t>
      </w:r>
      <w:r>
        <w:rPr>
          <w:color w:val="231F20"/>
        </w:rPr>
        <w:t> </w:t>
      </w:r>
      <w:r>
        <w:rPr>
          <w:color w:val="231F20"/>
          <w:spacing w:val="-10"/>
        </w:rPr>
        <w:t>aux</w:t>
      </w:r>
      <w:r>
        <w:rPr>
          <w:color w:val="231F20"/>
        </w:rPr>
        <w:t> </w:t>
      </w:r>
      <w:r>
        <w:rPr>
          <w:color w:val="231F20"/>
          <w:spacing w:val="-10"/>
        </w:rPr>
        <w:t>calibres</w:t>
      </w:r>
      <w:r>
        <w:rPr>
          <w:color w:val="231F20"/>
        </w:rPr>
        <w:t> </w:t>
      </w:r>
      <w:r>
        <w:rPr>
          <w:color w:val="231F20"/>
          <w:spacing w:val="-10"/>
        </w:rPr>
        <w:t>recommandés</w:t>
      </w:r>
      <w:r>
        <w:rPr>
          <w:color w:val="231F20"/>
        </w:rPr>
        <w:t> </w:t>
      </w:r>
      <w:r>
        <w:rPr>
          <w:color w:val="231F20"/>
          <w:spacing w:val="-10"/>
        </w:rPr>
        <w:t>qui</w:t>
      </w:r>
      <w:r>
        <w:rPr>
          <w:color w:val="231F20"/>
        </w:rPr>
        <w:t> </w:t>
      </w:r>
      <w:r>
        <w:rPr>
          <w:color w:val="231F20"/>
          <w:spacing w:val="-10"/>
        </w:rPr>
        <w:t>sont </w:t>
      </w:r>
      <w:r>
        <w:rPr>
          <w:color w:val="231F20"/>
          <w:spacing w:val="-8"/>
        </w:rPr>
        <w:t>fabriqués par</w:t>
      </w:r>
      <w:r>
        <w:rPr>
          <w:color w:val="231F20"/>
        </w:rPr>
        <w:t> </w:t>
      </w:r>
      <w:r>
        <w:rPr>
          <w:color w:val="231F20"/>
          <w:spacing w:val="-8"/>
        </w:rPr>
        <w:t>des compagnies étasuniennes, </w:t>
      </w:r>
      <w:r>
        <w:rPr>
          <w:color w:val="231F20"/>
        </w:rPr>
        <w:t>si bien qu’il faut adapter des cathéters de </w:t>
      </w:r>
      <w:r>
        <w:rPr>
          <w:color w:val="231F20"/>
          <w:spacing w:val="-2"/>
        </w:rPr>
        <w:t>calibre</w:t>
      </w:r>
      <w:r>
        <w:rPr>
          <w:color w:val="231F20"/>
          <w:spacing w:val="-15"/>
        </w:rPr>
        <w:t> </w:t>
      </w:r>
      <w:r>
        <w:rPr>
          <w:color w:val="231F20"/>
          <w:spacing w:val="-2"/>
        </w:rPr>
        <w:t>différents</w:t>
      </w:r>
      <w:r>
        <w:rPr>
          <w:color w:val="231F20"/>
          <w:spacing w:val="-15"/>
        </w:rPr>
        <w:t> </w:t>
      </w:r>
      <w:r>
        <w:rPr>
          <w:color w:val="231F20"/>
          <w:spacing w:val="-2"/>
        </w:rPr>
        <w:t>pour</w:t>
      </w:r>
      <w:r>
        <w:rPr>
          <w:color w:val="231F20"/>
          <w:spacing w:val="-15"/>
        </w:rPr>
        <w:t> </w:t>
      </w:r>
      <w:r>
        <w:rPr>
          <w:color w:val="231F20"/>
          <w:spacing w:val="-2"/>
        </w:rPr>
        <w:t>sauver</w:t>
      </w:r>
      <w:r>
        <w:rPr>
          <w:color w:val="231F20"/>
          <w:spacing w:val="-15"/>
        </w:rPr>
        <w:t> </w:t>
      </w:r>
      <w:r>
        <w:rPr>
          <w:color w:val="231F20"/>
          <w:spacing w:val="-2"/>
        </w:rPr>
        <w:t>ces</w:t>
      </w:r>
      <w:r>
        <w:rPr>
          <w:color w:val="231F20"/>
          <w:spacing w:val="-15"/>
        </w:rPr>
        <w:t> </w:t>
      </w:r>
      <w:r>
        <w:rPr>
          <w:color w:val="231F20"/>
          <w:spacing w:val="-2"/>
        </w:rPr>
        <w:t>vies.</w:t>
      </w:r>
    </w:p>
    <w:p>
      <w:pPr>
        <w:pStyle w:val="BodyText"/>
        <w:spacing w:before="165"/>
        <w:ind w:left="412" w:right="1131"/>
      </w:pPr>
      <w:r>
        <w:rPr>
          <w:color w:val="231F20"/>
        </w:rPr>
        <w:t>Nutricia, une multinationale des Pays- Bas, refuse – sous prétexte du Titre III de la</w:t>
      </w:r>
      <w:r>
        <w:rPr>
          <w:color w:val="231F20"/>
          <w:spacing w:val="-8"/>
        </w:rPr>
        <w:t> </w:t>
      </w:r>
      <w:r>
        <w:rPr>
          <w:color w:val="231F20"/>
        </w:rPr>
        <w:t>Loi</w:t>
      </w:r>
      <w:r>
        <w:rPr>
          <w:color w:val="231F20"/>
          <w:spacing w:val="-8"/>
        </w:rPr>
        <w:t> </w:t>
      </w:r>
      <w:r>
        <w:rPr>
          <w:color w:val="231F20"/>
        </w:rPr>
        <w:t>Helms-Burton</w:t>
      </w:r>
      <w:r>
        <w:rPr>
          <w:color w:val="231F20"/>
          <w:spacing w:val="-8"/>
        </w:rPr>
        <w:t> </w:t>
      </w:r>
      <w:r>
        <w:rPr>
          <w:color w:val="231F20"/>
        </w:rPr>
        <w:t>–</w:t>
      </w:r>
      <w:r>
        <w:rPr>
          <w:color w:val="231F20"/>
          <w:spacing w:val="-8"/>
        </w:rPr>
        <w:t> </w:t>
      </w:r>
      <w:r>
        <w:rPr>
          <w:color w:val="231F20"/>
        </w:rPr>
        <w:t>de</w:t>
      </w:r>
      <w:r>
        <w:rPr>
          <w:color w:val="231F20"/>
          <w:spacing w:val="-8"/>
        </w:rPr>
        <w:t> </w:t>
      </w:r>
      <w:r>
        <w:rPr>
          <w:color w:val="231F20"/>
        </w:rPr>
        <w:t>vendre</w:t>
      </w:r>
      <w:r>
        <w:rPr>
          <w:color w:val="231F20"/>
          <w:spacing w:val="-8"/>
        </w:rPr>
        <w:t> </w:t>
      </w:r>
      <w:r>
        <w:rPr>
          <w:color w:val="231F20"/>
        </w:rPr>
        <w:t>à</w:t>
      </w:r>
      <w:r>
        <w:rPr>
          <w:color w:val="231F20"/>
          <w:spacing w:val="-8"/>
        </w:rPr>
        <w:t> </w:t>
      </w:r>
      <w:r>
        <w:rPr>
          <w:color w:val="231F20"/>
        </w:rPr>
        <w:t>Cuba,</w:t>
      </w:r>
      <w:r>
        <w:rPr>
          <w:color w:val="231F20"/>
          <w:spacing w:val="-8"/>
        </w:rPr>
        <w:t> </w:t>
      </w:r>
      <w:r>
        <w:rPr>
          <w:color w:val="231F20"/>
        </w:rPr>
        <w:t>à </w:t>
      </w:r>
      <w:r>
        <w:rPr>
          <w:color w:val="231F20"/>
          <w:spacing w:val="-6"/>
        </w:rPr>
        <w:t>destination</w:t>
      </w:r>
      <w:r>
        <w:rPr>
          <w:color w:val="231F20"/>
          <w:spacing w:val="-11"/>
        </w:rPr>
        <w:t> </w:t>
      </w:r>
      <w:r>
        <w:rPr>
          <w:color w:val="231F20"/>
          <w:spacing w:val="-6"/>
        </w:rPr>
        <w:t>du</w:t>
      </w:r>
      <w:r>
        <w:rPr>
          <w:color w:val="231F20"/>
          <w:spacing w:val="-10"/>
        </w:rPr>
        <w:t> </w:t>
      </w:r>
      <w:r>
        <w:rPr>
          <w:color w:val="231F20"/>
          <w:spacing w:val="-6"/>
        </w:rPr>
        <w:t>Programme</w:t>
      </w:r>
      <w:r>
        <w:rPr>
          <w:color w:val="231F20"/>
          <w:spacing w:val="-11"/>
        </w:rPr>
        <w:t> </w:t>
      </w:r>
      <w:r>
        <w:rPr>
          <w:color w:val="231F20"/>
          <w:spacing w:val="-6"/>
        </w:rPr>
        <w:t>national</w:t>
      </w:r>
      <w:r>
        <w:rPr>
          <w:color w:val="231F20"/>
          <w:spacing w:val="-10"/>
        </w:rPr>
        <w:t> </w:t>
      </w:r>
      <w:r>
        <w:rPr>
          <w:color w:val="231F20"/>
          <w:spacing w:val="-6"/>
        </w:rPr>
        <w:t>de</w:t>
      </w:r>
      <w:r>
        <w:rPr>
          <w:color w:val="231F20"/>
          <w:spacing w:val="-11"/>
        </w:rPr>
        <w:t> </w:t>
      </w:r>
      <w:r>
        <w:rPr>
          <w:color w:val="231F20"/>
          <w:spacing w:val="-6"/>
        </w:rPr>
        <w:t>soins </w:t>
      </w:r>
      <w:r>
        <w:rPr>
          <w:color w:val="231F20"/>
        </w:rPr>
        <w:t>de</w:t>
      </w:r>
      <w:r>
        <w:rPr>
          <w:color w:val="231F20"/>
          <w:spacing w:val="-14"/>
        </w:rPr>
        <w:t> </w:t>
      </w:r>
      <w:r>
        <w:rPr>
          <w:color w:val="231F20"/>
        </w:rPr>
        <w:t>la</w:t>
      </w:r>
      <w:r>
        <w:rPr>
          <w:color w:val="231F20"/>
          <w:spacing w:val="-14"/>
        </w:rPr>
        <w:t> </w:t>
      </w:r>
      <w:r>
        <w:rPr>
          <w:color w:val="231F20"/>
        </w:rPr>
        <w:t>mère</w:t>
      </w:r>
      <w:r>
        <w:rPr>
          <w:color w:val="231F20"/>
          <w:spacing w:val="-14"/>
        </w:rPr>
        <w:t> </w:t>
      </w:r>
      <w:r>
        <w:rPr>
          <w:color w:val="231F20"/>
        </w:rPr>
        <w:t>et</w:t>
      </w:r>
      <w:r>
        <w:rPr>
          <w:color w:val="231F20"/>
          <w:spacing w:val="-14"/>
        </w:rPr>
        <w:t> </w:t>
      </w:r>
      <w:r>
        <w:rPr>
          <w:color w:val="231F20"/>
        </w:rPr>
        <w:t>de</w:t>
      </w:r>
      <w:r>
        <w:rPr>
          <w:color w:val="231F20"/>
          <w:spacing w:val="-14"/>
        </w:rPr>
        <w:t> </w:t>
      </w:r>
      <w:r>
        <w:rPr>
          <w:color w:val="231F20"/>
        </w:rPr>
        <w:t>l’enfant,</w:t>
      </w:r>
      <w:r>
        <w:rPr>
          <w:color w:val="231F20"/>
          <w:spacing w:val="-14"/>
        </w:rPr>
        <w:t> </w:t>
      </w:r>
      <w:r>
        <w:rPr>
          <w:color w:val="231F20"/>
        </w:rPr>
        <w:t>des</w:t>
      </w:r>
      <w:r>
        <w:rPr>
          <w:color w:val="231F20"/>
          <w:spacing w:val="-14"/>
        </w:rPr>
        <w:t> </w:t>
      </w:r>
      <w:r>
        <w:rPr>
          <w:color w:val="231F20"/>
        </w:rPr>
        <w:t>suppléments </w:t>
      </w:r>
      <w:r>
        <w:rPr>
          <w:color w:val="231F20"/>
          <w:spacing w:val="-10"/>
        </w:rPr>
        <w:t>nutritionnelsàfins</w:t>
      </w:r>
      <w:r>
        <w:rPr>
          <w:color w:val="231F20"/>
        </w:rPr>
        <w:t> </w:t>
      </w:r>
      <w:r>
        <w:rPr>
          <w:color w:val="231F20"/>
          <w:spacing w:val="-10"/>
        </w:rPr>
        <w:t>médicales</w:t>
      </w:r>
      <w:r>
        <w:rPr>
          <w:color w:val="231F20"/>
        </w:rPr>
        <w:t> </w:t>
      </w:r>
      <w:r>
        <w:rPr>
          <w:color w:val="231F20"/>
          <w:spacing w:val="-10"/>
        </w:rPr>
        <w:t>qu’on</w:t>
      </w:r>
      <w:r>
        <w:rPr>
          <w:color w:val="231F20"/>
        </w:rPr>
        <w:t> </w:t>
      </w:r>
      <w:r>
        <w:rPr>
          <w:color w:val="231F20"/>
          <w:spacing w:val="-10"/>
        </w:rPr>
        <w:t>administre </w:t>
      </w:r>
      <w:r>
        <w:rPr>
          <w:color w:val="231F20"/>
          <w:spacing w:val="-4"/>
        </w:rPr>
        <w:t>à</w:t>
      </w:r>
      <w:r>
        <w:rPr>
          <w:color w:val="231F20"/>
          <w:spacing w:val="-13"/>
        </w:rPr>
        <w:t> </w:t>
      </w:r>
      <w:r>
        <w:rPr>
          <w:color w:val="231F20"/>
          <w:spacing w:val="-4"/>
        </w:rPr>
        <w:t>des</w:t>
      </w:r>
      <w:r>
        <w:rPr>
          <w:color w:val="231F20"/>
          <w:spacing w:val="-12"/>
        </w:rPr>
        <w:t> </w:t>
      </w:r>
      <w:r>
        <w:rPr>
          <w:color w:val="231F20"/>
          <w:spacing w:val="-4"/>
        </w:rPr>
        <w:t>enfants</w:t>
      </w:r>
      <w:r>
        <w:rPr>
          <w:color w:val="231F20"/>
          <w:spacing w:val="-13"/>
        </w:rPr>
        <w:t> </w:t>
      </w:r>
      <w:r>
        <w:rPr>
          <w:color w:val="231F20"/>
          <w:spacing w:val="-4"/>
        </w:rPr>
        <w:t>atteints</w:t>
      </w:r>
      <w:r>
        <w:rPr>
          <w:color w:val="231F20"/>
          <w:spacing w:val="-12"/>
        </w:rPr>
        <w:t> </w:t>
      </w:r>
      <w:r>
        <w:rPr>
          <w:color w:val="231F20"/>
          <w:spacing w:val="-4"/>
        </w:rPr>
        <w:t>de</w:t>
      </w:r>
      <w:r>
        <w:rPr>
          <w:color w:val="231F20"/>
          <w:spacing w:val="-13"/>
        </w:rPr>
        <w:t> </w:t>
      </w:r>
      <w:r>
        <w:rPr>
          <w:color w:val="231F20"/>
          <w:spacing w:val="-4"/>
        </w:rPr>
        <w:t>maladies</w:t>
      </w:r>
      <w:r>
        <w:rPr>
          <w:color w:val="231F20"/>
          <w:spacing w:val="-12"/>
        </w:rPr>
        <w:t> </w:t>
      </w:r>
      <w:r>
        <w:rPr>
          <w:color w:val="231F20"/>
          <w:spacing w:val="-4"/>
        </w:rPr>
        <w:t>associées </w:t>
      </w:r>
      <w:r>
        <w:rPr>
          <w:color w:val="231F20"/>
          <w:spacing w:val="-2"/>
        </w:rPr>
        <w:t>à</w:t>
      </w:r>
      <w:r>
        <w:rPr>
          <w:color w:val="231F20"/>
          <w:spacing w:val="-3"/>
        </w:rPr>
        <w:t> </w:t>
      </w:r>
      <w:r>
        <w:rPr>
          <w:color w:val="231F20"/>
          <w:spacing w:val="-2"/>
        </w:rPr>
        <w:t>des</w:t>
      </w:r>
      <w:r>
        <w:rPr>
          <w:color w:val="231F20"/>
          <w:spacing w:val="-3"/>
        </w:rPr>
        <w:t> </w:t>
      </w:r>
      <w:r>
        <w:rPr>
          <w:color w:val="231F20"/>
          <w:spacing w:val="-2"/>
        </w:rPr>
        <w:t>erreurs</w:t>
      </w:r>
      <w:r>
        <w:rPr>
          <w:color w:val="231F20"/>
          <w:spacing w:val="-3"/>
        </w:rPr>
        <w:t> </w:t>
      </w:r>
      <w:r>
        <w:rPr>
          <w:color w:val="231F20"/>
          <w:spacing w:val="-2"/>
        </w:rPr>
        <w:t>innées</w:t>
      </w:r>
      <w:r>
        <w:rPr>
          <w:color w:val="231F20"/>
          <w:spacing w:val="-3"/>
        </w:rPr>
        <w:t> </w:t>
      </w:r>
      <w:r>
        <w:rPr>
          <w:color w:val="231F20"/>
          <w:spacing w:val="-2"/>
        </w:rPr>
        <w:t>du</w:t>
      </w:r>
      <w:r>
        <w:rPr>
          <w:color w:val="231F20"/>
          <w:spacing w:val="-3"/>
        </w:rPr>
        <w:t> </w:t>
      </w:r>
      <w:r>
        <w:rPr>
          <w:color w:val="231F20"/>
          <w:spacing w:val="-2"/>
        </w:rPr>
        <w:t>métabolisme,</w:t>
      </w:r>
      <w:r>
        <w:rPr>
          <w:color w:val="231F20"/>
          <w:spacing w:val="-3"/>
        </w:rPr>
        <w:t> </w:t>
      </w:r>
      <w:r>
        <w:rPr>
          <w:color w:val="231F20"/>
          <w:spacing w:val="-2"/>
        </w:rPr>
        <w:t>ainsi</w:t>
      </w:r>
    </w:p>
    <w:p>
      <w:pPr>
        <w:spacing w:after="0"/>
        <w:sectPr>
          <w:pgSz w:w="11910" w:h="16840"/>
          <w:pgMar w:header="0" w:footer="695" w:top="1240" w:bottom="880" w:left="0" w:right="0"/>
          <w:cols w:num="2" w:equalWidth="0">
            <w:col w:w="5897" w:space="40"/>
            <w:col w:w="5973"/>
          </w:cols>
        </w:sectPr>
      </w:pPr>
    </w:p>
    <w:p>
      <w:pPr>
        <w:pStyle w:val="BodyText"/>
        <w:spacing w:before="77"/>
        <w:ind w:left="1133" w:right="6"/>
      </w:pPr>
      <w:r>
        <w:rPr>
          <w:color w:val="231F20"/>
        </w:rPr>
        <w:t>que d’autres aliments parentéraux pour nourrissons à faible poids de naissance, </w:t>
      </w:r>
      <w:r>
        <w:rPr>
          <w:color w:val="231F20"/>
          <w:spacing w:val="-10"/>
        </w:rPr>
        <w:t>allergiques</w:t>
      </w:r>
      <w:r>
        <w:rPr>
          <w:color w:val="231F20"/>
          <w:spacing w:val="-2"/>
        </w:rPr>
        <w:t> </w:t>
      </w:r>
      <w:r>
        <w:rPr>
          <w:color w:val="231F20"/>
          <w:spacing w:val="-10"/>
        </w:rPr>
        <w:t>aux</w:t>
      </w:r>
      <w:r>
        <w:rPr>
          <w:color w:val="231F20"/>
          <w:spacing w:val="-2"/>
        </w:rPr>
        <w:t> </w:t>
      </w:r>
      <w:r>
        <w:rPr>
          <w:color w:val="231F20"/>
          <w:spacing w:val="-10"/>
        </w:rPr>
        <w:t>protéines</w:t>
      </w:r>
      <w:r>
        <w:rPr>
          <w:color w:val="231F20"/>
          <w:spacing w:val="-2"/>
        </w:rPr>
        <w:t> </w:t>
      </w:r>
      <w:r>
        <w:rPr>
          <w:color w:val="231F20"/>
          <w:spacing w:val="-10"/>
        </w:rPr>
        <w:t>ou</w:t>
      </w:r>
      <w:r>
        <w:rPr>
          <w:color w:val="231F20"/>
          <w:spacing w:val="-2"/>
        </w:rPr>
        <w:t> </w:t>
      </w:r>
      <w:r>
        <w:rPr>
          <w:color w:val="231F20"/>
          <w:spacing w:val="-10"/>
        </w:rPr>
        <w:t>à</w:t>
      </w:r>
      <w:r>
        <w:rPr>
          <w:color w:val="231F20"/>
          <w:spacing w:val="-2"/>
        </w:rPr>
        <w:t> </w:t>
      </w:r>
      <w:r>
        <w:rPr>
          <w:color w:val="231F20"/>
          <w:spacing w:val="-10"/>
        </w:rPr>
        <w:t>malabsorption </w:t>
      </w:r>
      <w:r>
        <w:rPr>
          <w:color w:val="231F20"/>
          <w:spacing w:val="-4"/>
        </w:rPr>
        <w:t>de</w:t>
      </w:r>
      <w:r>
        <w:rPr>
          <w:color w:val="231F20"/>
          <w:spacing w:val="-8"/>
        </w:rPr>
        <w:t> </w:t>
      </w:r>
      <w:r>
        <w:rPr>
          <w:color w:val="231F20"/>
          <w:spacing w:val="-4"/>
        </w:rPr>
        <w:t>nutriments,</w:t>
      </w:r>
      <w:r>
        <w:rPr>
          <w:color w:val="231F20"/>
          <w:spacing w:val="-8"/>
        </w:rPr>
        <w:t> </w:t>
      </w:r>
      <w:r>
        <w:rPr>
          <w:color w:val="231F20"/>
          <w:spacing w:val="-4"/>
        </w:rPr>
        <w:t>dont</w:t>
      </w:r>
      <w:r>
        <w:rPr>
          <w:color w:val="231F20"/>
          <w:spacing w:val="-8"/>
        </w:rPr>
        <w:t> </w:t>
      </w:r>
      <w:r>
        <w:rPr>
          <w:color w:val="231F20"/>
          <w:spacing w:val="-4"/>
        </w:rPr>
        <w:t>Anamix</w:t>
      </w:r>
      <w:r>
        <w:rPr>
          <w:color w:val="231F20"/>
          <w:spacing w:val="-8"/>
        </w:rPr>
        <w:t> </w:t>
      </w:r>
      <w:r>
        <w:rPr>
          <w:color w:val="231F20"/>
          <w:spacing w:val="-4"/>
        </w:rPr>
        <w:t>Junior,</w:t>
      </w:r>
      <w:r>
        <w:rPr>
          <w:color w:val="231F20"/>
          <w:spacing w:val="-8"/>
        </w:rPr>
        <w:t> </w:t>
      </w:r>
      <w:r>
        <w:rPr>
          <w:color w:val="231F20"/>
          <w:spacing w:val="-4"/>
        </w:rPr>
        <w:t>Anamix </w:t>
      </w:r>
      <w:r>
        <w:rPr>
          <w:color w:val="231F20"/>
        </w:rPr>
        <w:t>Infant,</w:t>
      </w:r>
      <w:r>
        <w:rPr>
          <w:color w:val="231F20"/>
          <w:spacing w:val="-17"/>
        </w:rPr>
        <w:t> </w:t>
      </w:r>
      <w:r>
        <w:rPr>
          <w:color w:val="231F20"/>
        </w:rPr>
        <w:t>XP</w:t>
      </w:r>
      <w:r>
        <w:rPr>
          <w:color w:val="231F20"/>
          <w:spacing w:val="-16"/>
        </w:rPr>
        <w:t> </w:t>
      </w:r>
      <w:r>
        <w:rPr>
          <w:color w:val="231F20"/>
        </w:rPr>
        <w:t>Maxamun</w:t>
      </w:r>
      <w:r>
        <w:rPr>
          <w:color w:val="231F20"/>
          <w:spacing w:val="-17"/>
        </w:rPr>
        <w:t> </w:t>
      </w:r>
      <w:r>
        <w:rPr>
          <w:color w:val="231F20"/>
        </w:rPr>
        <w:t>et</w:t>
      </w:r>
      <w:r>
        <w:rPr>
          <w:color w:val="231F20"/>
          <w:spacing w:val="-16"/>
        </w:rPr>
        <w:t> </w:t>
      </w:r>
      <w:r>
        <w:rPr>
          <w:color w:val="231F20"/>
        </w:rPr>
        <w:t>Neocate.</w:t>
      </w:r>
    </w:p>
    <w:p>
      <w:pPr>
        <w:pStyle w:val="BodyText"/>
        <w:spacing w:before="164"/>
        <w:ind w:left="1133"/>
      </w:pPr>
      <w:r>
        <w:rPr>
          <w:color w:val="231F20"/>
          <w:spacing w:val="-8"/>
        </w:rPr>
        <w:t>Cuba ne peut pas accéder non plus aux tests </w:t>
      </w:r>
      <w:r>
        <w:rPr>
          <w:color w:val="231F20"/>
        </w:rPr>
        <w:t>de diagnostic moléculaire qui permettent </w:t>
      </w:r>
      <w:r>
        <w:rPr>
          <w:color w:val="231F20"/>
          <w:spacing w:val="-4"/>
        </w:rPr>
        <w:t>de</w:t>
      </w:r>
      <w:r>
        <w:rPr>
          <w:color w:val="231F20"/>
          <w:spacing w:val="-10"/>
        </w:rPr>
        <w:t> </w:t>
      </w:r>
      <w:r>
        <w:rPr>
          <w:color w:val="231F20"/>
          <w:spacing w:val="-4"/>
        </w:rPr>
        <w:t>personnaliser</w:t>
      </w:r>
      <w:r>
        <w:rPr>
          <w:color w:val="231F20"/>
          <w:spacing w:val="-10"/>
        </w:rPr>
        <w:t> </w:t>
      </w:r>
      <w:r>
        <w:rPr>
          <w:color w:val="231F20"/>
          <w:spacing w:val="-4"/>
        </w:rPr>
        <w:t>le</w:t>
      </w:r>
      <w:r>
        <w:rPr>
          <w:color w:val="231F20"/>
          <w:spacing w:val="-10"/>
        </w:rPr>
        <w:t> </w:t>
      </w:r>
      <w:r>
        <w:rPr>
          <w:color w:val="231F20"/>
          <w:spacing w:val="-4"/>
        </w:rPr>
        <w:t>traitement</w:t>
      </w:r>
      <w:r>
        <w:rPr>
          <w:color w:val="231F20"/>
          <w:spacing w:val="-10"/>
        </w:rPr>
        <w:t> </w:t>
      </w:r>
      <w:r>
        <w:rPr>
          <w:color w:val="231F20"/>
          <w:spacing w:val="-4"/>
        </w:rPr>
        <w:t>de</w:t>
      </w:r>
      <w:r>
        <w:rPr>
          <w:color w:val="231F20"/>
          <w:spacing w:val="-10"/>
        </w:rPr>
        <w:t> </w:t>
      </w:r>
      <w:r>
        <w:rPr>
          <w:color w:val="231F20"/>
          <w:spacing w:val="-4"/>
        </w:rPr>
        <w:t>patients</w:t>
      </w:r>
      <w:r>
        <w:rPr>
          <w:color w:val="231F20"/>
          <w:spacing w:val="-10"/>
        </w:rPr>
        <w:t> </w:t>
      </w:r>
      <w:r>
        <w:rPr>
          <w:color w:val="231F20"/>
          <w:spacing w:val="-4"/>
        </w:rPr>
        <w:t>à </w:t>
      </w:r>
      <w:r>
        <w:rPr>
          <w:color w:val="231F20"/>
        </w:rPr>
        <w:t>cancer du sein ou du côlon, et de prédire le risque de rechutes, si bien que la liste </w:t>
      </w:r>
      <w:r>
        <w:rPr>
          <w:color w:val="231F20"/>
          <w:spacing w:val="-6"/>
        </w:rPr>
        <w:t>d’attente</w:t>
      </w:r>
      <w:r>
        <w:rPr>
          <w:color w:val="231F20"/>
          <w:spacing w:val="-7"/>
        </w:rPr>
        <w:t> </w:t>
      </w:r>
      <w:r>
        <w:rPr>
          <w:color w:val="231F20"/>
          <w:spacing w:val="-6"/>
        </w:rPr>
        <w:t>concernant</w:t>
      </w:r>
      <w:r>
        <w:rPr>
          <w:color w:val="231F20"/>
          <w:spacing w:val="-7"/>
        </w:rPr>
        <w:t> </w:t>
      </w:r>
      <w:r>
        <w:rPr>
          <w:color w:val="231F20"/>
          <w:spacing w:val="-6"/>
        </w:rPr>
        <w:t>le</w:t>
      </w:r>
      <w:r>
        <w:rPr>
          <w:color w:val="231F20"/>
          <w:spacing w:val="-7"/>
        </w:rPr>
        <w:t> </w:t>
      </w:r>
      <w:r>
        <w:rPr>
          <w:color w:val="231F20"/>
          <w:spacing w:val="-6"/>
        </w:rPr>
        <w:t>diagnostic</w:t>
      </w:r>
      <w:r>
        <w:rPr>
          <w:color w:val="231F20"/>
          <w:spacing w:val="-7"/>
        </w:rPr>
        <w:t> </w:t>
      </w:r>
      <w:r>
        <w:rPr>
          <w:color w:val="231F20"/>
          <w:spacing w:val="-6"/>
        </w:rPr>
        <w:t>et</w:t>
      </w:r>
      <w:r>
        <w:rPr>
          <w:color w:val="231F20"/>
          <w:spacing w:val="-7"/>
        </w:rPr>
        <w:t> </w:t>
      </w:r>
      <w:r>
        <w:rPr>
          <w:color w:val="231F20"/>
          <w:spacing w:val="-6"/>
        </w:rPr>
        <w:t>le</w:t>
      </w:r>
      <w:r>
        <w:rPr>
          <w:color w:val="231F20"/>
          <w:spacing w:val="-7"/>
        </w:rPr>
        <w:t> </w:t>
      </w:r>
      <w:r>
        <w:rPr>
          <w:color w:val="231F20"/>
          <w:spacing w:val="-6"/>
        </w:rPr>
        <w:t>suivi </w:t>
      </w:r>
      <w:r>
        <w:rPr>
          <w:color w:val="231F20"/>
        </w:rPr>
        <w:t>des</w:t>
      </w:r>
      <w:r>
        <w:rPr>
          <w:color w:val="231F20"/>
          <w:spacing w:val="-10"/>
        </w:rPr>
        <w:t> </w:t>
      </w:r>
      <w:r>
        <w:rPr>
          <w:color w:val="231F20"/>
        </w:rPr>
        <w:t>cancéreux</w:t>
      </w:r>
      <w:r>
        <w:rPr>
          <w:color w:val="231F20"/>
          <w:spacing w:val="-10"/>
        </w:rPr>
        <w:t> </w:t>
      </w:r>
      <w:r>
        <w:rPr>
          <w:color w:val="231F20"/>
        </w:rPr>
        <w:t>s’étire</w:t>
      </w:r>
      <w:r>
        <w:rPr>
          <w:color w:val="231F20"/>
          <w:spacing w:val="-10"/>
        </w:rPr>
        <w:t> </w:t>
      </w:r>
      <w:r>
        <w:rPr>
          <w:color w:val="231F20"/>
        </w:rPr>
        <w:t>jusqu’à</w:t>
      </w:r>
      <w:r>
        <w:rPr>
          <w:color w:val="231F20"/>
          <w:spacing w:val="-10"/>
        </w:rPr>
        <w:t> </w:t>
      </w:r>
      <w:r>
        <w:rPr>
          <w:color w:val="231F20"/>
        </w:rPr>
        <w:t>trois</w:t>
      </w:r>
      <w:r>
        <w:rPr>
          <w:color w:val="231F20"/>
          <w:spacing w:val="-10"/>
        </w:rPr>
        <w:t> </w:t>
      </w:r>
      <w:r>
        <w:rPr>
          <w:color w:val="231F20"/>
        </w:rPr>
        <w:t>mois.</w:t>
      </w:r>
    </w:p>
    <w:p>
      <w:pPr>
        <w:pStyle w:val="BodyText"/>
        <w:spacing w:before="165"/>
        <w:ind w:left="1133" w:right="1"/>
      </w:pPr>
      <w:r>
        <w:rPr>
          <w:color w:val="231F20"/>
        </w:rPr>
        <w:t>Cuba ne peut disposer de médicaments novateurs contre le cancer produits par des</w:t>
      </w:r>
      <w:r>
        <w:rPr>
          <w:color w:val="231F20"/>
          <w:spacing w:val="-16"/>
        </w:rPr>
        <w:t> </w:t>
      </w:r>
      <w:r>
        <w:rPr>
          <w:color w:val="231F20"/>
        </w:rPr>
        <w:t>laboratoires</w:t>
      </w:r>
      <w:r>
        <w:rPr>
          <w:color w:val="231F20"/>
          <w:spacing w:val="-16"/>
        </w:rPr>
        <w:t> </w:t>
      </w:r>
      <w:r>
        <w:rPr>
          <w:color w:val="231F20"/>
        </w:rPr>
        <w:t>étasuniens,</w:t>
      </w:r>
      <w:r>
        <w:rPr>
          <w:color w:val="231F20"/>
          <w:spacing w:val="-16"/>
        </w:rPr>
        <w:t> </w:t>
      </w:r>
      <w:r>
        <w:rPr>
          <w:color w:val="231F20"/>
        </w:rPr>
        <w:t>dont</w:t>
      </w:r>
      <w:r>
        <w:rPr>
          <w:color w:val="231F20"/>
          <w:spacing w:val="-16"/>
        </w:rPr>
        <w:t> </w:t>
      </w:r>
      <w:r>
        <w:rPr>
          <w:color w:val="231F20"/>
        </w:rPr>
        <w:t>l’acétate </w:t>
      </w:r>
      <w:r>
        <w:rPr>
          <w:color w:val="231F20"/>
          <w:spacing w:val="-2"/>
        </w:rPr>
        <w:t>d’abiratérone</w:t>
      </w:r>
      <w:r>
        <w:rPr>
          <w:color w:val="231F20"/>
          <w:spacing w:val="-8"/>
        </w:rPr>
        <w:t> </w:t>
      </w:r>
      <w:r>
        <w:rPr>
          <w:color w:val="231F20"/>
          <w:spacing w:val="-2"/>
        </w:rPr>
        <w:t>pour</w:t>
      </w:r>
      <w:r>
        <w:rPr>
          <w:color w:val="231F20"/>
          <w:spacing w:val="-8"/>
        </w:rPr>
        <w:t> </w:t>
      </w:r>
      <w:r>
        <w:rPr>
          <w:color w:val="231F20"/>
          <w:spacing w:val="-2"/>
        </w:rPr>
        <w:t>le</w:t>
      </w:r>
      <w:r>
        <w:rPr>
          <w:color w:val="231F20"/>
          <w:spacing w:val="-8"/>
        </w:rPr>
        <w:t> </w:t>
      </w:r>
      <w:r>
        <w:rPr>
          <w:color w:val="231F20"/>
          <w:spacing w:val="-2"/>
        </w:rPr>
        <w:t>traitement</w:t>
      </w:r>
      <w:r>
        <w:rPr>
          <w:color w:val="231F20"/>
          <w:spacing w:val="-8"/>
        </w:rPr>
        <w:t> </w:t>
      </w:r>
      <w:r>
        <w:rPr>
          <w:color w:val="231F20"/>
          <w:spacing w:val="-2"/>
        </w:rPr>
        <w:t>du</w:t>
      </w:r>
      <w:r>
        <w:rPr>
          <w:color w:val="231F20"/>
          <w:spacing w:val="-8"/>
        </w:rPr>
        <w:t> </w:t>
      </w:r>
      <w:r>
        <w:rPr>
          <w:color w:val="231F20"/>
          <w:spacing w:val="-2"/>
        </w:rPr>
        <w:t>cancer </w:t>
      </w:r>
      <w:r>
        <w:rPr>
          <w:color w:val="231F20"/>
        </w:rPr>
        <w:t>métastatique de la prostate résistant à la castration, fabriqué par Janssen, filiale de Johnson</w:t>
      </w:r>
      <w:r>
        <w:rPr>
          <w:color w:val="231F20"/>
          <w:spacing w:val="-2"/>
        </w:rPr>
        <w:t> </w:t>
      </w:r>
      <w:r>
        <w:rPr>
          <w:color w:val="231F20"/>
        </w:rPr>
        <w:t>&amp;</w:t>
      </w:r>
      <w:r>
        <w:rPr>
          <w:color w:val="231F20"/>
          <w:spacing w:val="-2"/>
        </w:rPr>
        <w:t> </w:t>
      </w:r>
      <w:r>
        <w:rPr>
          <w:color w:val="231F20"/>
        </w:rPr>
        <w:t>Johnson</w:t>
      </w:r>
      <w:r>
        <w:rPr>
          <w:color w:val="231F20"/>
          <w:spacing w:val="-2"/>
        </w:rPr>
        <w:t> </w:t>
      </w:r>
      <w:r>
        <w:rPr>
          <w:color w:val="231F20"/>
        </w:rPr>
        <w:t>;</w:t>
      </w:r>
      <w:r>
        <w:rPr>
          <w:color w:val="231F20"/>
          <w:spacing w:val="-2"/>
        </w:rPr>
        <w:t> </w:t>
      </w:r>
      <w:r>
        <w:rPr>
          <w:color w:val="231F20"/>
        </w:rPr>
        <w:t>le</w:t>
      </w:r>
      <w:r>
        <w:rPr>
          <w:color w:val="231F20"/>
          <w:spacing w:val="-2"/>
        </w:rPr>
        <w:t> </w:t>
      </w:r>
      <w:r>
        <w:rPr>
          <w:color w:val="231F20"/>
        </w:rPr>
        <w:t>pémétrexed,</w:t>
      </w:r>
      <w:r>
        <w:rPr>
          <w:color w:val="231F20"/>
          <w:spacing w:val="-2"/>
        </w:rPr>
        <w:t> </w:t>
      </w:r>
      <w:r>
        <w:rPr>
          <w:color w:val="231F20"/>
        </w:rPr>
        <w:t>pour </w:t>
      </w:r>
      <w:r>
        <w:rPr>
          <w:color w:val="231F20"/>
          <w:spacing w:val="-6"/>
        </w:rPr>
        <w:t>l’adénocarcinome</w:t>
      </w:r>
      <w:r>
        <w:rPr>
          <w:color w:val="231F20"/>
          <w:spacing w:val="-11"/>
        </w:rPr>
        <w:t> </w:t>
      </w:r>
      <w:r>
        <w:rPr>
          <w:color w:val="231F20"/>
          <w:spacing w:val="-6"/>
        </w:rPr>
        <w:t>du</w:t>
      </w:r>
      <w:r>
        <w:rPr>
          <w:color w:val="231F20"/>
          <w:spacing w:val="-10"/>
        </w:rPr>
        <w:t> </w:t>
      </w:r>
      <w:r>
        <w:rPr>
          <w:color w:val="231F20"/>
          <w:spacing w:val="-6"/>
        </w:rPr>
        <w:t>poumon,</w:t>
      </w:r>
      <w:r>
        <w:rPr>
          <w:color w:val="231F20"/>
          <w:spacing w:val="-11"/>
        </w:rPr>
        <w:t> </w:t>
      </w:r>
      <w:r>
        <w:rPr>
          <w:color w:val="231F20"/>
          <w:spacing w:val="-6"/>
        </w:rPr>
        <w:t>vendu</w:t>
      </w:r>
      <w:r>
        <w:rPr>
          <w:color w:val="231F20"/>
          <w:spacing w:val="-10"/>
        </w:rPr>
        <w:t> </w:t>
      </w:r>
      <w:r>
        <w:rPr>
          <w:color w:val="231F20"/>
          <w:spacing w:val="-6"/>
        </w:rPr>
        <w:t>par</w:t>
      </w:r>
      <w:r>
        <w:rPr>
          <w:color w:val="231F20"/>
          <w:spacing w:val="-11"/>
        </w:rPr>
        <w:t> </w:t>
      </w:r>
      <w:r>
        <w:rPr>
          <w:color w:val="231F20"/>
          <w:spacing w:val="-6"/>
        </w:rPr>
        <w:t>Eli </w:t>
      </w:r>
      <w:r>
        <w:rPr>
          <w:color w:val="231F20"/>
          <w:spacing w:val="-4"/>
        </w:rPr>
        <w:t>Lilly</w:t>
      </w:r>
      <w:r>
        <w:rPr>
          <w:color w:val="231F20"/>
          <w:spacing w:val="-10"/>
        </w:rPr>
        <w:t> </w:t>
      </w:r>
      <w:r>
        <w:rPr>
          <w:color w:val="231F20"/>
          <w:spacing w:val="-4"/>
        </w:rPr>
        <w:t>et</w:t>
      </w:r>
      <w:r>
        <w:rPr>
          <w:color w:val="231F20"/>
          <w:spacing w:val="-10"/>
        </w:rPr>
        <w:t> </w:t>
      </w:r>
      <w:r>
        <w:rPr>
          <w:color w:val="231F20"/>
          <w:spacing w:val="-4"/>
        </w:rPr>
        <w:t>Pfizer</w:t>
      </w:r>
      <w:r>
        <w:rPr>
          <w:color w:val="231F20"/>
          <w:spacing w:val="-10"/>
        </w:rPr>
        <w:t> </w:t>
      </w:r>
      <w:r>
        <w:rPr>
          <w:color w:val="231F20"/>
          <w:spacing w:val="-4"/>
        </w:rPr>
        <w:t>;</w:t>
      </w:r>
      <w:r>
        <w:rPr>
          <w:color w:val="231F20"/>
          <w:spacing w:val="-10"/>
        </w:rPr>
        <w:t> </w:t>
      </w:r>
      <w:r>
        <w:rPr>
          <w:color w:val="231F20"/>
          <w:spacing w:val="-4"/>
        </w:rPr>
        <w:t>le</w:t>
      </w:r>
      <w:r>
        <w:rPr>
          <w:color w:val="231F20"/>
          <w:spacing w:val="-10"/>
        </w:rPr>
        <w:t> </w:t>
      </w:r>
      <w:r>
        <w:rPr>
          <w:color w:val="231F20"/>
          <w:spacing w:val="-4"/>
        </w:rPr>
        <w:t>sunitinib,</w:t>
      </w:r>
      <w:r>
        <w:rPr>
          <w:color w:val="231F20"/>
          <w:spacing w:val="-10"/>
        </w:rPr>
        <w:t> </w:t>
      </w:r>
      <w:r>
        <w:rPr>
          <w:color w:val="231F20"/>
          <w:spacing w:val="-4"/>
        </w:rPr>
        <w:t>pour</w:t>
      </w:r>
      <w:r>
        <w:rPr>
          <w:color w:val="231F20"/>
          <w:spacing w:val="-10"/>
        </w:rPr>
        <w:t> </w:t>
      </w:r>
      <w:r>
        <w:rPr>
          <w:color w:val="231F20"/>
          <w:spacing w:val="-4"/>
        </w:rPr>
        <w:t>le</w:t>
      </w:r>
      <w:r>
        <w:rPr>
          <w:color w:val="231F20"/>
          <w:spacing w:val="-10"/>
        </w:rPr>
        <w:t> </w:t>
      </w:r>
      <w:r>
        <w:rPr>
          <w:color w:val="231F20"/>
          <w:spacing w:val="-4"/>
        </w:rPr>
        <w:t>cancer</w:t>
      </w:r>
      <w:r>
        <w:rPr>
          <w:color w:val="231F20"/>
          <w:spacing w:val="-10"/>
        </w:rPr>
        <w:t> </w:t>
      </w:r>
      <w:r>
        <w:rPr>
          <w:color w:val="231F20"/>
          <w:spacing w:val="-4"/>
        </w:rPr>
        <w:t>du </w:t>
      </w:r>
      <w:r>
        <w:rPr>
          <w:color w:val="231F20"/>
        </w:rPr>
        <w:t>rein</w:t>
      </w:r>
      <w:r>
        <w:rPr>
          <w:color w:val="231F20"/>
          <w:spacing w:val="-10"/>
        </w:rPr>
        <w:t> </w:t>
      </w:r>
      <w:r>
        <w:rPr>
          <w:color w:val="231F20"/>
        </w:rPr>
        <w:t>métastatique,</w:t>
      </w:r>
      <w:r>
        <w:rPr>
          <w:color w:val="231F20"/>
          <w:spacing w:val="-10"/>
        </w:rPr>
        <w:t> </w:t>
      </w:r>
      <w:r>
        <w:rPr>
          <w:color w:val="231F20"/>
        </w:rPr>
        <w:t>de</w:t>
      </w:r>
      <w:r>
        <w:rPr>
          <w:color w:val="231F20"/>
          <w:spacing w:val="-10"/>
        </w:rPr>
        <w:t> </w:t>
      </w:r>
      <w:r>
        <w:rPr>
          <w:color w:val="231F20"/>
        </w:rPr>
        <w:t>cette</w:t>
      </w:r>
      <w:r>
        <w:rPr>
          <w:color w:val="231F20"/>
          <w:spacing w:val="-10"/>
        </w:rPr>
        <w:t> </w:t>
      </w:r>
      <w:r>
        <w:rPr>
          <w:color w:val="231F20"/>
        </w:rPr>
        <w:t>même</w:t>
      </w:r>
      <w:r>
        <w:rPr>
          <w:color w:val="231F20"/>
          <w:spacing w:val="-10"/>
        </w:rPr>
        <w:t> </w:t>
      </w:r>
      <w:r>
        <w:rPr>
          <w:color w:val="231F20"/>
        </w:rPr>
        <w:t>société.</w:t>
      </w:r>
    </w:p>
    <w:p>
      <w:pPr>
        <w:pStyle w:val="BodyText"/>
        <w:spacing w:before="168"/>
        <w:ind w:left="1133" w:right="4"/>
      </w:pPr>
      <w:r>
        <w:rPr>
          <w:color w:val="231F20"/>
        </w:rPr>
        <w:t>Cuba n’a pas accès aux médicaments </w:t>
      </w:r>
      <w:r>
        <w:rPr>
          <w:color w:val="231F20"/>
          <w:spacing w:val="-10"/>
        </w:rPr>
        <w:t>d’origine</w:t>
      </w:r>
      <w:r>
        <w:rPr>
          <w:color w:val="231F20"/>
          <w:spacing w:val="-1"/>
        </w:rPr>
        <w:t> </w:t>
      </w:r>
      <w:r>
        <w:rPr>
          <w:color w:val="231F20"/>
          <w:spacing w:val="-10"/>
        </w:rPr>
        <w:t>étasunienne,</w:t>
      </w:r>
      <w:r>
        <w:rPr>
          <w:color w:val="231F20"/>
          <w:spacing w:val="-1"/>
        </w:rPr>
        <w:t> </w:t>
      </w:r>
      <w:r>
        <w:rPr>
          <w:color w:val="231F20"/>
          <w:spacing w:val="-10"/>
        </w:rPr>
        <w:t>comme</w:t>
      </w:r>
      <w:r>
        <w:rPr>
          <w:color w:val="231F20"/>
          <w:spacing w:val="-1"/>
        </w:rPr>
        <w:t> </w:t>
      </w:r>
      <w:r>
        <w:rPr>
          <w:color w:val="231F20"/>
          <w:spacing w:val="-10"/>
        </w:rPr>
        <w:t>le</w:t>
      </w:r>
      <w:r>
        <w:rPr>
          <w:color w:val="231F20"/>
          <w:spacing w:val="-1"/>
        </w:rPr>
        <w:t> </w:t>
      </w:r>
      <w:r>
        <w:rPr>
          <w:color w:val="231F20"/>
          <w:spacing w:val="-10"/>
        </w:rPr>
        <w:t>mémantine, </w:t>
      </w:r>
      <w:r>
        <w:rPr>
          <w:color w:val="231F20"/>
        </w:rPr>
        <w:t>le donépézil et la rivastigmine pour le </w:t>
      </w:r>
      <w:r>
        <w:rPr>
          <w:color w:val="231F20"/>
          <w:spacing w:val="-4"/>
        </w:rPr>
        <w:t>traitement</w:t>
      </w:r>
      <w:r>
        <w:rPr>
          <w:color w:val="231F20"/>
          <w:spacing w:val="-10"/>
        </w:rPr>
        <w:t> </w:t>
      </w:r>
      <w:r>
        <w:rPr>
          <w:color w:val="231F20"/>
          <w:spacing w:val="-4"/>
        </w:rPr>
        <w:t>des</w:t>
      </w:r>
      <w:r>
        <w:rPr>
          <w:color w:val="231F20"/>
          <w:spacing w:val="-10"/>
        </w:rPr>
        <w:t> </w:t>
      </w:r>
      <w:r>
        <w:rPr>
          <w:color w:val="231F20"/>
          <w:spacing w:val="-4"/>
        </w:rPr>
        <w:t>démences,</w:t>
      </w:r>
      <w:r>
        <w:rPr>
          <w:color w:val="231F20"/>
          <w:spacing w:val="-10"/>
        </w:rPr>
        <w:t> </w:t>
      </w:r>
      <w:r>
        <w:rPr>
          <w:color w:val="231F20"/>
          <w:spacing w:val="-4"/>
        </w:rPr>
        <w:t>ni</w:t>
      </w:r>
      <w:r>
        <w:rPr>
          <w:color w:val="231F20"/>
          <w:spacing w:val="-10"/>
        </w:rPr>
        <w:t> </w:t>
      </w:r>
      <w:r>
        <w:rPr>
          <w:color w:val="231F20"/>
          <w:spacing w:val="-4"/>
        </w:rPr>
        <w:t>aux</w:t>
      </w:r>
      <w:r>
        <w:rPr>
          <w:color w:val="231F20"/>
          <w:spacing w:val="-10"/>
        </w:rPr>
        <w:t> </w:t>
      </w:r>
      <w:r>
        <w:rPr>
          <w:color w:val="231F20"/>
          <w:spacing w:val="-4"/>
        </w:rPr>
        <w:t>analogues </w:t>
      </w:r>
      <w:r>
        <w:rPr>
          <w:color w:val="231F20"/>
        </w:rPr>
        <w:t>de l’insuline pour le diabète sucré de la personne</w:t>
      </w:r>
      <w:r>
        <w:rPr>
          <w:color w:val="231F20"/>
          <w:spacing w:val="-5"/>
        </w:rPr>
        <w:t> </w:t>
      </w:r>
      <w:r>
        <w:rPr>
          <w:color w:val="231F20"/>
        </w:rPr>
        <w:t>âgée.</w:t>
      </w:r>
    </w:p>
    <w:p>
      <w:pPr>
        <w:pStyle w:val="BodyText"/>
        <w:spacing w:before="165"/>
        <w:ind w:left="1133" w:right="2"/>
      </w:pPr>
      <w:r>
        <w:rPr>
          <w:color w:val="231F20"/>
          <w:spacing w:val="-10"/>
        </w:rPr>
        <w:t>Le</w:t>
      </w:r>
      <w:r>
        <w:rPr>
          <w:color w:val="231F20"/>
          <w:spacing w:val="-2"/>
        </w:rPr>
        <w:t> </w:t>
      </w:r>
      <w:r>
        <w:rPr>
          <w:color w:val="231F20"/>
          <w:spacing w:val="-10"/>
        </w:rPr>
        <w:t>nusinersen</w:t>
      </w:r>
      <w:r>
        <w:rPr>
          <w:color w:val="231F20"/>
          <w:spacing w:val="-2"/>
        </w:rPr>
        <w:t> </w:t>
      </w:r>
      <w:r>
        <w:rPr>
          <w:color w:val="231F20"/>
          <w:spacing w:val="-10"/>
        </w:rPr>
        <w:t>sert</w:t>
      </w:r>
      <w:r>
        <w:rPr>
          <w:color w:val="231F20"/>
          <w:spacing w:val="-2"/>
        </w:rPr>
        <w:t> </w:t>
      </w:r>
      <w:r>
        <w:rPr>
          <w:color w:val="231F20"/>
          <w:spacing w:val="-10"/>
        </w:rPr>
        <w:t>à</w:t>
      </w:r>
      <w:r>
        <w:rPr>
          <w:color w:val="231F20"/>
          <w:spacing w:val="-2"/>
        </w:rPr>
        <w:t> </w:t>
      </w:r>
      <w:r>
        <w:rPr>
          <w:color w:val="231F20"/>
          <w:spacing w:val="-10"/>
        </w:rPr>
        <w:t>combattre</w:t>
      </w:r>
      <w:r>
        <w:rPr>
          <w:color w:val="231F20"/>
          <w:spacing w:val="-2"/>
        </w:rPr>
        <w:t> </w:t>
      </w:r>
      <w:r>
        <w:rPr>
          <w:color w:val="231F20"/>
          <w:spacing w:val="-10"/>
        </w:rPr>
        <w:t>l’amyotrophie </w:t>
      </w:r>
      <w:r>
        <w:rPr>
          <w:color w:val="231F20"/>
        </w:rPr>
        <w:t>spinale infantile. Quoiqu’il coûte très cher (environ 250 000 dollars par année de traitement), il permet de maintenir en vie plus de la moitié des enfants atteints de </w:t>
      </w:r>
      <w:r>
        <w:rPr>
          <w:color w:val="231F20"/>
          <w:spacing w:val="-2"/>
        </w:rPr>
        <w:t>cette</w:t>
      </w:r>
      <w:r>
        <w:rPr>
          <w:color w:val="231F20"/>
          <w:spacing w:val="-15"/>
        </w:rPr>
        <w:t> </w:t>
      </w:r>
      <w:r>
        <w:rPr>
          <w:color w:val="231F20"/>
          <w:spacing w:val="-2"/>
        </w:rPr>
        <w:t>maladie</w:t>
      </w:r>
      <w:r>
        <w:rPr>
          <w:color w:val="231F20"/>
          <w:spacing w:val="-14"/>
        </w:rPr>
        <w:t> </w:t>
      </w:r>
      <w:r>
        <w:rPr>
          <w:color w:val="231F20"/>
          <w:spacing w:val="-2"/>
        </w:rPr>
        <w:t>mortelle.</w:t>
      </w:r>
      <w:r>
        <w:rPr>
          <w:color w:val="231F20"/>
          <w:spacing w:val="-14"/>
        </w:rPr>
        <w:t> </w:t>
      </w:r>
      <w:r>
        <w:rPr>
          <w:color w:val="231F20"/>
          <w:spacing w:val="-2"/>
        </w:rPr>
        <w:t>Mais,</w:t>
      </w:r>
      <w:r>
        <w:rPr>
          <w:color w:val="231F20"/>
          <w:spacing w:val="-15"/>
        </w:rPr>
        <w:t> </w:t>
      </w:r>
      <w:r>
        <w:rPr>
          <w:color w:val="231F20"/>
          <w:spacing w:val="-2"/>
        </w:rPr>
        <w:t>monopole</w:t>
      </w:r>
      <w:r>
        <w:rPr>
          <w:color w:val="231F20"/>
          <w:spacing w:val="-14"/>
        </w:rPr>
        <w:t> </w:t>
      </w:r>
      <w:r>
        <w:rPr>
          <w:color w:val="231F20"/>
          <w:spacing w:val="-2"/>
        </w:rPr>
        <w:t>de la</w:t>
      </w:r>
      <w:r>
        <w:rPr>
          <w:color w:val="231F20"/>
          <w:spacing w:val="-14"/>
        </w:rPr>
        <w:t> </w:t>
      </w:r>
      <w:r>
        <w:rPr>
          <w:color w:val="231F20"/>
          <w:spacing w:val="-2"/>
        </w:rPr>
        <w:t>multinationale</w:t>
      </w:r>
      <w:r>
        <w:rPr>
          <w:color w:val="231F20"/>
          <w:spacing w:val="-14"/>
        </w:rPr>
        <w:t> </w:t>
      </w:r>
      <w:r>
        <w:rPr>
          <w:color w:val="231F20"/>
          <w:spacing w:val="-2"/>
        </w:rPr>
        <w:t>étasunienne</w:t>
      </w:r>
      <w:r>
        <w:rPr>
          <w:color w:val="231F20"/>
          <w:spacing w:val="-14"/>
        </w:rPr>
        <w:t> </w:t>
      </w:r>
      <w:r>
        <w:rPr>
          <w:color w:val="231F20"/>
          <w:spacing w:val="-2"/>
        </w:rPr>
        <w:t>Biogen,</w:t>
      </w:r>
      <w:r>
        <w:rPr>
          <w:color w:val="231F20"/>
          <w:spacing w:val="-14"/>
        </w:rPr>
        <w:t> </w:t>
      </w:r>
      <w:r>
        <w:rPr>
          <w:color w:val="231F20"/>
          <w:spacing w:val="-2"/>
        </w:rPr>
        <w:t>il</w:t>
      </w:r>
      <w:r>
        <w:rPr>
          <w:color w:val="231F20"/>
          <w:spacing w:val="-14"/>
        </w:rPr>
        <w:t> </w:t>
      </w:r>
      <w:r>
        <w:rPr>
          <w:color w:val="231F20"/>
          <w:spacing w:val="-2"/>
        </w:rPr>
        <w:t>est </w:t>
      </w:r>
      <w:r>
        <w:rPr>
          <w:color w:val="231F20"/>
        </w:rPr>
        <w:t>interdit aux petits Cubains.</w:t>
      </w:r>
    </w:p>
    <w:p>
      <w:pPr>
        <w:pStyle w:val="BodyText"/>
        <w:spacing w:before="166"/>
        <w:ind w:left="1133"/>
      </w:pPr>
      <w:r>
        <w:rPr>
          <w:color w:val="231F20"/>
        </w:rPr>
        <w:t>Les</w:t>
      </w:r>
      <w:r>
        <w:rPr>
          <w:color w:val="231F20"/>
          <w:spacing w:val="-1"/>
        </w:rPr>
        <w:t> </w:t>
      </w:r>
      <w:r>
        <w:rPr>
          <w:color w:val="231F20"/>
        </w:rPr>
        <w:t>équipements</w:t>
      </w:r>
      <w:r>
        <w:rPr>
          <w:color w:val="231F20"/>
          <w:spacing w:val="-1"/>
        </w:rPr>
        <w:t> </w:t>
      </w:r>
      <w:r>
        <w:rPr>
          <w:color w:val="231F20"/>
        </w:rPr>
        <w:t>permettant</w:t>
      </w:r>
      <w:r>
        <w:rPr>
          <w:color w:val="231F20"/>
          <w:spacing w:val="-1"/>
        </w:rPr>
        <w:t> </w:t>
      </w:r>
      <w:r>
        <w:rPr>
          <w:color w:val="231F20"/>
        </w:rPr>
        <w:t>de</w:t>
      </w:r>
      <w:r>
        <w:rPr>
          <w:color w:val="231F20"/>
          <w:spacing w:val="-1"/>
        </w:rPr>
        <w:t> </w:t>
      </w:r>
      <w:r>
        <w:rPr>
          <w:color w:val="231F20"/>
        </w:rPr>
        <w:t>procéder à une stimulation</w:t>
      </w:r>
      <w:r>
        <w:rPr>
          <w:color w:val="231F20"/>
          <w:spacing w:val="-1"/>
        </w:rPr>
        <w:t> </w:t>
      </w:r>
      <w:r>
        <w:rPr>
          <w:color w:val="231F20"/>
        </w:rPr>
        <w:t>cérébrale profonde et </w:t>
      </w:r>
      <w:r>
        <w:rPr>
          <w:color w:val="231F20"/>
        </w:rPr>
        <w:t>à </w:t>
      </w:r>
      <w:r>
        <w:rPr>
          <w:color w:val="231F20"/>
          <w:spacing w:val="-4"/>
        </w:rPr>
        <w:t>une</w:t>
      </w:r>
      <w:r>
        <w:rPr>
          <w:color w:val="231F20"/>
          <w:spacing w:val="-13"/>
        </w:rPr>
        <w:t> </w:t>
      </w:r>
      <w:r>
        <w:rPr>
          <w:color w:val="231F20"/>
          <w:spacing w:val="-4"/>
        </w:rPr>
        <w:t>stimulation</w:t>
      </w:r>
      <w:r>
        <w:rPr>
          <w:color w:val="231F20"/>
          <w:spacing w:val="-12"/>
        </w:rPr>
        <w:t> </w:t>
      </w:r>
      <w:r>
        <w:rPr>
          <w:color w:val="231F20"/>
          <w:spacing w:val="-4"/>
        </w:rPr>
        <w:t>invasive</w:t>
      </w:r>
      <w:r>
        <w:rPr>
          <w:color w:val="231F20"/>
          <w:spacing w:val="-13"/>
        </w:rPr>
        <w:t> </w:t>
      </w:r>
      <w:r>
        <w:rPr>
          <w:color w:val="231F20"/>
          <w:spacing w:val="-4"/>
        </w:rPr>
        <w:t>du</w:t>
      </w:r>
      <w:r>
        <w:rPr>
          <w:color w:val="231F20"/>
          <w:spacing w:val="-12"/>
        </w:rPr>
        <w:t> </w:t>
      </w:r>
      <w:r>
        <w:rPr>
          <w:color w:val="231F20"/>
          <w:spacing w:val="-4"/>
        </w:rPr>
        <w:t>nerf</w:t>
      </w:r>
      <w:r>
        <w:rPr>
          <w:color w:val="231F20"/>
          <w:spacing w:val="-13"/>
        </w:rPr>
        <w:t> </w:t>
      </w:r>
      <w:r>
        <w:rPr>
          <w:color w:val="231F20"/>
          <w:spacing w:val="-4"/>
        </w:rPr>
        <w:t>vague</w:t>
      </w:r>
      <w:r>
        <w:rPr>
          <w:color w:val="231F20"/>
          <w:spacing w:val="-12"/>
        </w:rPr>
        <w:t> </w:t>
      </w:r>
      <w:r>
        <w:rPr>
          <w:color w:val="231F20"/>
          <w:spacing w:val="-4"/>
        </w:rPr>
        <w:t>chez </w:t>
      </w:r>
      <w:r>
        <w:rPr>
          <w:color w:val="231F20"/>
          <w:spacing w:val="-2"/>
        </w:rPr>
        <w:t>certains</w:t>
      </w:r>
      <w:r>
        <w:rPr>
          <w:color w:val="231F20"/>
          <w:spacing w:val="-15"/>
        </w:rPr>
        <w:t> </w:t>
      </w:r>
      <w:r>
        <w:rPr>
          <w:color w:val="231F20"/>
          <w:spacing w:val="-2"/>
        </w:rPr>
        <w:t>patients</w:t>
      </w:r>
      <w:r>
        <w:rPr>
          <w:color w:val="231F20"/>
          <w:spacing w:val="-14"/>
        </w:rPr>
        <w:t> </w:t>
      </w:r>
      <w:r>
        <w:rPr>
          <w:color w:val="231F20"/>
          <w:spacing w:val="-2"/>
        </w:rPr>
        <w:t>à</w:t>
      </w:r>
      <w:r>
        <w:rPr>
          <w:color w:val="231F20"/>
          <w:spacing w:val="-15"/>
        </w:rPr>
        <w:t> </w:t>
      </w:r>
      <w:r>
        <w:rPr>
          <w:color w:val="231F20"/>
          <w:spacing w:val="-2"/>
        </w:rPr>
        <w:t>troubles</w:t>
      </w:r>
      <w:r>
        <w:rPr>
          <w:color w:val="231F20"/>
          <w:spacing w:val="-14"/>
        </w:rPr>
        <w:t> </w:t>
      </w:r>
      <w:r>
        <w:rPr>
          <w:color w:val="231F20"/>
          <w:spacing w:val="-2"/>
        </w:rPr>
        <w:t>du</w:t>
      </w:r>
      <w:r>
        <w:rPr>
          <w:color w:val="231F20"/>
          <w:spacing w:val="-15"/>
        </w:rPr>
        <w:t> </w:t>
      </w:r>
      <w:r>
        <w:rPr>
          <w:color w:val="231F20"/>
          <w:spacing w:val="-2"/>
        </w:rPr>
        <w:t>mouvement </w:t>
      </w:r>
      <w:r>
        <w:rPr>
          <w:color w:val="231F20"/>
          <w:spacing w:val="-4"/>
        </w:rPr>
        <w:t>et</w:t>
      </w:r>
      <w:r>
        <w:rPr>
          <w:color w:val="231F20"/>
          <w:spacing w:val="6"/>
        </w:rPr>
        <w:t> </w:t>
      </w:r>
      <w:r>
        <w:rPr>
          <w:color w:val="231F20"/>
          <w:spacing w:val="-4"/>
        </w:rPr>
        <w:t>à</w:t>
      </w:r>
      <w:r>
        <w:rPr>
          <w:color w:val="231F20"/>
          <w:spacing w:val="6"/>
        </w:rPr>
        <w:t> </w:t>
      </w:r>
      <w:r>
        <w:rPr>
          <w:color w:val="231F20"/>
          <w:spacing w:val="-4"/>
        </w:rPr>
        <w:t>épilepsie</w:t>
      </w:r>
      <w:r>
        <w:rPr>
          <w:color w:val="231F20"/>
          <w:spacing w:val="6"/>
        </w:rPr>
        <w:t> </w:t>
      </w:r>
      <w:r>
        <w:rPr>
          <w:color w:val="231F20"/>
          <w:spacing w:val="-4"/>
        </w:rPr>
        <w:t>ont</w:t>
      </w:r>
      <w:r>
        <w:rPr>
          <w:color w:val="231F20"/>
          <w:spacing w:val="6"/>
        </w:rPr>
        <w:t> </w:t>
      </w:r>
      <w:r>
        <w:rPr>
          <w:color w:val="231F20"/>
          <w:spacing w:val="-4"/>
        </w:rPr>
        <w:t>prouvé</w:t>
      </w:r>
      <w:r>
        <w:rPr>
          <w:color w:val="231F20"/>
          <w:spacing w:val="6"/>
        </w:rPr>
        <w:t> </w:t>
      </w:r>
      <w:r>
        <w:rPr>
          <w:color w:val="231F20"/>
          <w:spacing w:val="-4"/>
        </w:rPr>
        <w:t>leur</w:t>
      </w:r>
      <w:r>
        <w:rPr>
          <w:color w:val="231F20"/>
          <w:spacing w:val="6"/>
        </w:rPr>
        <w:t> </w:t>
      </w:r>
      <w:r>
        <w:rPr>
          <w:color w:val="231F20"/>
          <w:spacing w:val="-4"/>
        </w:rPr>
        <w:t>efficacité</w:t>
      </w:r>
      <w:r>
        <w:rPr>
          <w:color w:val="231F20"/>
          <w:spacing w:val="6"/>
        </w:rPr>
        <w:t> </w:t>
      </w:r>
      <w:r>
        <w:rPr>
          <w:color w:val="231F20"/>
          <w:spacing w:val="-12"/>
        </w:rPr>
        <w:t>lors</w:t>
      </w:r>
    </w:p>
    <w:p>
      <w:pPr>
        <w:pStyle w:val="BodyText"/>
        <w:spacing w:before="77"/>
        <w:ind w:left="412" w:right="1473"/>
      </w:pPr>
      <w:r>
        <w:rPr/>
        <w:br w:type="column"/>
      </w:r>
      <w:r>
        <w:rPr>
          <w:color w:val="231F20"/>
          <w:spacing w:val="-4"/>
        </w:rPr>
        <w:t>de</w:t>
      </w:r>
      <w:r>
        <w:rPr>
          <w:color w:val="231F20"/>
          <w:spacing w:val="-10"/>
        </w:rPr>
        <w:t> </w:t>
      </w:r>
      <w:r>
        <w:rPr>
          <w:color w:val="231F20"/>
          <w:spacing w:val="-4"/>
        </w:rPr>
        <w:t>différents</w:t>
      </w:r>
      <w:r>
        <w:rPr>
          <w:color w:val="231F20"/>
          <w:spacing w:val="-11"/>
        </w:rPr>
        <w:t> </w:t>
      </w:r>
      <w:r>
        <w:rPr>
          <w:color w:val="231F20"/>
          <w:spacing w:val="-4"/>
        </w:rPr>
        <w:t>tests</w:t>
      </w:r>
      <w:r>
        <w:rPr>
          <w:color w:val="231F20"/>
          <w:spacing w:val="-11"/>
        </w:rPr>
        <w:t> </w:t>
      </w:r>
      <w:r>
        <w:rPr>
          <w:color w:val="231F20"/>
          <w:spacing w:val="-4"/>
        </w:rPr>
        <w:t>cliniques.</w:t>
      </w:r>
      <w:r>
        <w:rPr>
          <w:color w:val="231F20"/>
          <w:spacing w:val="-10"/>
        </w:rPr>
        <w:t> </w:t>
      </w:r>
      <w:r>
        <w:rPr>
          <w:color w:val="231F20"/>
          <w:spacing w:val="-4"/>
        </w:rPr>
        <w:t>Mais,</w:t>
      </w:r>
      <w:r>
        <w:rPr>
          <w:color w:val="231F20"/>
          <w:spacing w:val="-10"/>
        </w:rPr>
        <w:t> </w:t>
      </w:r>
      <w:r>
        <w:rPr>
          <w:color w:val="231F20"/>
          <w:spacing w:val="-4"/>
        </w:rPr>
        <w:t>fabriqués </w:t>
      </w:r>
      <w:r>
        <w:rPr>
          <w:color w:val="231F20"/>
          <w:spacing w:val="-8"/>
        </w:rPr>
        <w:t>uniquement par trois sociétés étasuniennes : </w:t>
      </w:r>
      <w:r>
        <w:rPr>
          <w:color w:val="231F20"/>
          <w:spacing w:val="-16"/>
        </w:rPr>
        <w:t>Medtronic,</w:t>
      </w:r>
      <w:r>
        <w:rPr>
          <w:color w:val="231F20"/>
        </w:rPr>
        <w:t> </w:t>
      </w:r>
      <w:r>
        <w:rPr>
          <w:color w:val="231F20"/>
          <w:spacing w:val="-16"/>
        </w:rPr>
        <w:t>Boston</w:t>
      </w:r>
      <w:r>
        <w:rPr>
          <w:color w:val="231F20"/>
        </w:rPr>
        <w:t> </w:t>
      </w:r>
      <w:r>
        <w:rPr>
          <w:color w:val="231F20"/>
          <w:spacing w:val="-16"/>
        </w:rPr>
        <w:t>Scientific</w:t>
      </w:r>
      <w:r>
        <w:rPr>
          <w:color w:val="231F20"/>
        </w:rPr>
        <w:t> </w:t>
      </w:r>
      <w:r>
        <w:rPr>
          <w:color w:val="231F20"/>
          <w:spacing w:val="-16"/>
        </w:rPr>
        <w:t>et</w:t>
      </w:r>
      <w:r>
        <w:rPr>
          <w:color w:val="231F20"/>
        </w:rPr>
        <w:t> </w:t>
      </w:r>
      <w:r>
        <w:rPr>
          <w:color w:val="231F20"/>
          <w:spacing w:val="-16"/>
        </w:rPr>
        <w:t>St.</w:t>
      </w:r>
      <w:r>
        <w:rPr>
          <w:color w:val="231F20"/>
        </w:rPr>
        <w:t> </w:t>
      </w:r>
      <w:r>
        <w:rPr>
          <w:color w:val="231F20"/>
          <w:spacing w:val="-16"/>
        </w:rPr>
        <w:t>Jude</w:t>
      </w:r>
      <w:r>
        <w:rPr>
          <w:color w:val="231F20"/>
        </w:rPr>
        <w:t> </w:t>
      </w:r>
      <w:r>
        <w:rPr>
          <w:color w:val="231F20"/>
          <w:spacing w:val="-16"/>
        </w:rPr>
        <w:t>Medical, </w:t>
      </w:r>
      <w:r>
        <w:rPr>
          <w:color w:val="231F20"/>
          <w:spacing w:val="-6"/>
        </w:rPr>
        <w:t>Inc.,</w:t>
      </w:r>
      <w:r>
        <w:rPr>
          <w:color w:val="231F20"/>
          <w:spacing w:val="-20"/>
        </w:rPr>
        <w:t> </w:t>
      </w:r>
      <w:r>
        <w:rPr>
          <w:color w:val="231F20"/>
          <w:spacing w:val="-6"/>
        </w:rPr>
        <w:t>ils</w:t>
      </w:r>
      <w:r>
        <w:rPr>
          <w:color w:val="231F20"/>
          <w:spacing w:val="-21"/>
        </w:rPr>
        <w:t> </w:t>
      </w:r>
      <w:r>
        <w:rPr>
          <w:color w:val="231F20"/>
          <w:spacing w:val="-6"/>
        </w:rPr>
        <w:t>sont</w:t>
      </w:r>
      <w:r>
        <w:rPr>
          <w:color w:val="231F20"/>
          <w:spacing w:val="-20"/>
        </w:rPr>
        <w:t> </w:t>
      </w:r>
      <w:r>
        <w:rPr>
          <w:color w:val="231F20"/>
          <w:spacing w:val="-6"/>
        </w:rPr>
        <w:t>interdits</w:t>
      </w:r>
      <w:r>
        <w:rPr>
          <w:color w:val="231F20"/>
          <w:spacing w:val="-21"/>
        </w:rPr>
        <w:t> </w:t>
      </w:r>
      <w:r>
        <w:rPr>
          <w:color w:val="231F20"/>
          <w:spacing w:val="-6"/>
        </w:rPr>
        <w:t>de</w:t>
      </w:r>
      <w:r>
        <w:rPr>
          <w:color w:val="231F20"/>
          <w:spacing w:val="-20"/>
        </w:rPr>
        <w:t> </w:t>
      </w:r>
      <w:r>
        <w:rPr>
          <w:color w:val="231F20"/>
          <w:spacing w:val="-6"/>
        </w:rPr>
        <w:t>vente</w:t>
      </w:r>
      <w:r>
        <w:rPr>
          <w:color w:val="231F20"/>
          <w:spacing w:val="-20"/>
        </w:rPr>
        <w:t> </w:t>
      </w:r>
      <w:r>
        <w:rPr>
          <w:color w:val="231F20"/>
          <w:spacing w:val="-6"/>
        </w:rPr>
        <w:t>à</w:t>
      </w:r>
      <w:r>
        <w:rPr>
          <w:color w:val="231F20"/>
          <w:spacing w:val="-20"/>
        </w:rPr>
        <w:t> </w:t>
      </w:r>
      <w:r>
        <w:rPr>
          <w:color w:val="231F20"/>
          <w:spacing w:val="-6"/>
        </w:rPr>
        <w:t>Cuba.</w:t>
      </w:r>
    </w:p>
    <w:p>
      <w:pPr>
        <w:pStyle w:val="BodyText"/>
        <w:spacing w:before="163"/>
        <w:ind w:left="412" w:right="1476"/>
      </w:pPr>
      <w:r>
        <w:rPr>
          <w:color w:val="231F20"/>
          <w:spacing w:val="-2"/>
        </w:rPr>
        <w:t>Tout</w:t>
      </w:r>
      <w:r>
        <w:rPr>
          <w:color w:val="231F20"/>
          <w:spacing w:val="-15"/>
        </w:rPr>
        <w:t> </w:t>
      </w:r>
      <w:r>
        <w:rPr>
          <w:color w:val="231F20"/>
          <w:spacing w:val="-2"/>
        </w:rPr>
        <w:t>comme</w:t>
      </w:r>
      <w:r>
        <w:rPr>
          <w:color w:val="231F20"/>
          <w:spacing w:val="-14"/>
        </w:rPr>
        <w:t> </w:t>
      </w:r>
      <w:r>
        <w:rPr>
          <w:color w:val="231F20"/>
          <w:spacing w:val="-2"/>
        </w:rPr>
        <w:t>nous</w:t>
      </w:r>
      <w:r>
        <w:rPr>
          <w:color w:val="231F20"/>
          <w:spacing w:val="-15"/>
        </w:rPr>
        <w:t> </w:t>
      </w:r>
      <w:r>
        <w:rPr>
          <w:color w:val="231F20"/>
          <w:spacing w:val="-2"/>
        </w:rPr>
        <w:t>est</w:t>
      </w:r>
      <w:r>
        <w:rPr>
          <w:color w:val="231F20"/>
          <w:spacing w:val="-14"/>
        </w:rPr>
        <w:t> </w:t>
      </w:r>
      <w:r>
        <w:rPr>
          <w:color w:val="231F20"/>
          <w:spacing w:val="-2"/>
        </w:rPr>
        <w:t>interdit</w:t>
      </w:r>
      <w:r>
        <w:rPr>
          <w:color w:val="231F20"/>
          <w:spacing w:val="-15"/>
        </w:rPr>
        <w:t> </w:t>
      </w:r>
      <w:r>
        <w:rPr>
          <w:color w:val="231F20"/>
          <w:spacing w:val="-2"/>
        </w:rPr>
        <w:t>le</w:t>
      </w:r>
      <w:r>
        <w:rPr>
          <w:color w:val="231F20"/>
          <w:spacing w:val="-14"/>
        </w:rPr>
        <w:t> </w:t>
      </w:r>
      <w:r>
        <w:rPr>
          <w:color w:val="231F20"/>
          <w:spacing w:val="-2"/>
        </w:rPr>
        <w:t>Da</w:t>
      </w:r>
      <w:r>
        <w:rPr>
          <w:color w:val="231F20"/>
          <w:spacing w:val="-15"/>
        </w:rPr>
        <w:t> </w:t>
      </w:r>
      <w:r>
        <w:rPr>
          <w:color w:val="231F20"/>
          <w:spacing w:val="-2"/>
        </w:rPr>
        <w:t>Vinci</w:t>
      </w:r>
      <w:r>
        <w:rPr>
          <w:color w:val="231F20"/>
          <w:spacing w:val="-14"/>
        </w:rPr>
        <w:t> </w:t>
      </w:r>
      <w:r>
        <w:rPr>
          <w:color w:val="231F20"/>
          <w:spacing w:val="-2"/>
        </w:rPr>
        <w:t>Xi </w:t>
      </w:r>
      <w:r>
        <w:rPr>
          <w:color w:val="231F20"/>
        </w:rPr>
        <w:t>Surgical</w:t>
      </w:r>
      <w:r>
        <w:rPr>
          <w:color w:val="231F20"/>
          <w:spacing w:val="-12"/>
        </w:rPr>
        <w:t> </w:t>
      </w:r>
      <w:r>
        <w:rPr>
          <w:color w:val="231F20"/>
        </w:rPr>
        <w:t>System</w:t>
      </w:r>
      <w:r>
        <w:rPr>
          <w:color w:val="231F20"/>
          <w:spacing w:val="-12"/>
        </w:rPr>
        <w:t> </w:t>
      </w:r>
      <w:r>
        <w:rPr>
          <w:color w:val="231F20"/>
        </w:rPr>
        <w:t>Model</w:t>
      </w:r>
      <w:r>
        <w:rPr>
          <w:color w:val="231F20"/>
          <w:spacing w:val="-12"/>
        </w:rPr>
        <w:t> </w:t>
      </w:r>
      <w:r>
        <w:rPr>
          <w:color w:val="231F20"/>
        </w:rPr>
        <w:t>IS4000,</w:t>
      </w:r>
      <w:r>
        <w:rPr>
          <w:color w:val="231F20"/>
          <w:spacing w:val="-12"/>
        </w:rPr>
        <w:t> </w:t>
      </w:r>
      <w:r>
        <w:rPr>
          <w:color w:val="231F20"/>
        </w:rPr>
        <w:t>si</w:t>
      </w:r>
      <w:r>
        <w:rPr>
          <w:color w:val="231F20"/>
          <w:spacing w:val="-12"/>
        </w:rPr>
        <w:t> </w:t>
      </w:r>
      <w:r>
        <w:rPr>
          <w:color w:val="231F20"/>
        </w:rPr>
        <w:t>bien</w:t>
      </w:r>
      <w:r>
        <w:rPr>
          <w:color w:val="231F20"/>
          <w:spacing w:val="-12"/>
        </w:rPr>
        <w:t> </w:t>
      </w:r>
      <w:r>
        <w:rPr>
          <w:color w:val="231F20"/>
        </w:rPr>
        <w:t>que nos patients sont privés des possibilités qu’offre</w:t>
      </w:r>
      <w:r>
        <w:rPr>
          <w:color w:val="231F20"/>
          <w:spacing w:val="-11"/>
        </w:rPr>
        <w:t> </w:t>
      </w:r>
      <w:r>
        <w:rPr>
          <w:color w:val="231F20"/>
        </w:rPr>
        <w:t>la</w:t>
      </w:r>
      <w:r>
        <w:rPr>
          <w:color w:val="231F20"/>
          <w:spacing w:val="-11"/>
        </w:rPr>
        <w:t> </w:t>
      </w:r>
      <w:r>
        <w:rPr>
          <w:color w:val="231F20"/>
        </w:rPr>
        <w:t>chirurgie</w:t>
      </w:r>
      <w:r>
        <w:rPr>
          <w:color w:val="231F20"/>
          <w:spacing w:val="-11"/>
        </w:rPr>
        <w:t> </w:t>
      </w:r>
      <w:r>
        <w:rPr>
          <w:color w:val="231F20"/>
        </w:rPr>
        <w:t>robotique</w:t>
      </w:r>
      <w:r>
        <w:rPr>
          <w:color w:val="231F20"/>
          <w:spacing w:val="-11"/>
        </w:rPr>
        <w:t> </w:t>
      </w:r>
      <w:r>
        <w:rPr>
          <w:color w:val="231F20"/>
        </w:rPr>
        <w:t>la</w:t>
      </w:r>
      <w:r>
        <w:rPr>
          <w:color w:val="231F20"/>
          <w:spacing w:val="-11"/>
        </w:rPr>
        <w:t> </w:t>
      </w:r>
      <w:r>
        <w:rPr>
          <w:color w:val="231F20"/>
        </w:rPr>
        <w:t>plus</w:t>
      </w:r>
      <w:r>
        <w:rPr>
          <w:color w:val="231F20"/>
          <w:spacing w:val="-11"/>
        </w:rPr>
        <w:t> </w:t>
      </w:r>
      <w:r>
        <w:rPr>
          <w:color w:val="231F20"/>
        </w:rPr>
        <w:t>sûre et la plus précise.</w:t>
      </w:r>
    </w:p>
    <w:p>
      <w:pPr>
        <w:pStyle w:val="BodyText"/>
        <w:spacing w:before="164"/>
        <w:ind w:left="412" w:right="1475"/>
      </w:pPr>
      <w:r>
        <w:rPr>
          <w:color w:val="231F20"/>
        </w:rPr>
        <w:t>Renouveler la technologie relative au traitement thérapeutique intégral des patients brûlés est extrêmement coûteux, si bien que nous ne disposons pas de baignoires,</w:t>
      </w:r>
      <w:r>
        <w:rPr>
          <w:color w:val="231F20"/>
          <w:spacing w:val="-17"/>
        </w:rPr>
        <w:t> </w:t>
      </w:r>
      <w:r>
        <w:rPr>
          <w:color w:val="231F20"/>
        </w:rPr>
        <w:t>de</w:t>
      </w:r>
      <w:r>
        <w:rPr>
          <w:color w:val="231F20"/>
          <w:spacing w:val="-16"/>
        </w:rPr>
        <w:t> </w:t>
      </w:r>
      <w:r>
        <w:rPr>
          <w:color w:val="231F20"/>
        </w:rPr>
        <w:t>dermatomes,</w:t>
      </w:r>
      <w:r>
        <w:rPr>
          <w:color w:val="231F20"/>
          <w:spacing w:val="-17"/>
        </w:rPr>
        <w:t> </w:t>
      </w:r>
      <w:r>
        <w:rPr>
          <w:color w:val="231F20"/>
        </w:rPr>
        <w:t>d’instruments de chirurgie endoscopique, de substituts </w:t>
      </w:r>
      <w:r>
        <w:rPr>
          <w:color w:val="231F20"/>
          <w:spacing w:val="-2"/>
        </w:rPr>
        <w:t>de</w:t>
      </w:r>
      <w:r>
        <w:rPr>
          <w:color w:val="231F20"/>
          <w:spacing w:val="-12"/>
        </w:rPr>
        <w:t> </w:t>
      </w:r>
      <w:r>
        <w:rPr>
          <w:color w:val="231F20"/>
          <w:spacing w:val="-2"/>
        </w:rPr>
        <w:t>la</w:t>
      </w:r>
      <w:r>
        <w:rPr>
          <w:color w:val="231F20"/>
          <w:spacing w:val="-12"/>
        </w:rPr>
        <w:t> </w:t>
      </w:r>
      <w:r>
        <w:rPr>
          <w:color w:val="231F20"/>
          <w:spacing w:val="-2"/>
        </w:rPr>
        <w:t>peau,</w:t>
      </w:r>
      <w:r>
        <w:rPr>
          <w:color w:val="231F20"/>
          <w:spacing w:val="-12"/>
        </w:rPr>
        <w:t> </w:t>
      </w:r>
      <w:r>
        <w:rPr>
          <w:color w:val="231F20"/>
          <w:spacing w:val="-2"/>
        </w:rPr>
        <w:t>de</w:t>
      </w:r>
      <w:r>
        <w:rPr>
          <w:color w:val="231F20"/>
          <w:spacing w:val="-12"/>
        </w:rPr>
        <w:t> </w:t>
      </w:r>
      <w:r>
        <w:rPr>
          <w:color w:val="231F20"/>
          <w:spacing w:val="-2"/>
        </w:rPr>
        <w:t>pansements</w:t>
      </w:r>
      <w:r>
        <w:rPr>
          <w:color w:val="231F20"/>
          <w:spacing w:val="-12"/>
        </w:rPr>
        <w:t> </w:t>
      </w:r>
      <w:r>
        <w:rPr>
          <w:color w:val="231F20"/>
          <w:spacing w:val="-2"/>
        </w:rPr>
        <w:t>biologiques,</w:t>
      </w:r>
      <w:r>
        <w:rPr>
          <w:color w:val="231F20"/>
          <w:spacing w:val="-12"/>
        </w:rPr>
        <w:t> </w:t>
      </w:r>
      <w:r>
        <w:rPr>
          <w:color w:val="231F20"/>
          <w:spacing w:val="-2"/>
        </w:rPr>
        <w:t>de </w:t>
      </w:r>
      <w:r>
        <w:rPr>
          <w:color w:val="231F20"/>
        </w:rPr>
        <w:t>solutions antiseptiques de première ligne pour le brûlé critique.</w:t>
      </w:r>
    </w:p>
    <w:p>
      <w:pPr>
        <w:pStyle w:val="BodyText"/>
        <w:spacing w:before="167"/>
        <w:ind w:left="412" w:right="1478"/>
      </w:pPr>
      <w:r>
        <w:rPr>
          <w:color w:val="231F20"/>
          <w:spacing w:val="-8"/>
        </w:rPr>
        <w:t>L’UBS, la Banque Cler et la Banque cantonale </w:t>
      </w:r>
      <w:r>
        <w:rPr>
          <w:color w:val="231F20"/>
        </w:rPr>
        <w:t>de Bâle, trois banques suisses, ont refusé de procéder à des virements concernant des donations faites par les organisations de solidarité suisse : MediCuba-Suisse et </w:t>
      </w:r>
      <w:r>
        <w:rPr>
          <w:color w:val="231F20"/>
          <w:spacing w:val="-4"/>
        </w:rPr>
        <w:t>Association</w:t>
      </w:r>
      <w:r>
        <w:rPr>
          <w:color w:val="231F20"/>
          <w:spacing w:val="-13"/>
        </w:rPr>
        <w:t> </w:t>
      </w:r>
      <w:r>
        <w:rPr>
          <w:color w:val="231F20"/>
          <w:spacing w:val="-4"/>
        </w:rPr>
        <w:t>Suisse-Cuba,</w:t>
      </w:r>
      <w:r>
        <w:rPr>
          <w:color w:val="231F20"/>
          <w:spacing w:val="-12"/>
        </w:rPr>
        <w:t> </w:t>
      </w:r>
      <w:r>
        <w:rPr>
          <w:color w:val="231F20"/>
          <w:spacing w:val="-4"/>
        </w:rPr>
        <w:t>destinées</w:t>
      </w:r>
      <w:r>
        <w:rPr>
          <w:color w:val="231F20"/>
          <w:spacing w:val="-13"/>
        </w:rPr>
        <w:t> </w:t>
      </w:r>
      <w:r>
        <w:rPr>
          <w:color w:val="231F20"/>
          <w:spacing w:val="-4"/>
        </w:rPr>
        <w:t>à</w:t>
      </w:r>
      <w:r>
        <w:rPr>
          <w:color w:val="231F20"/>
          <w:spacing w:val="-12"/>
        </w:rPr>
        <w:t> </w:t>
      </w:r>
      <w:r>
        <w:rPr>
          <w:color w:val="231F20"/>
          <w:spacing w:val="-4"/>
        </w:rPr>
        <w:t>l’achat </w:t>
      </w:r>
      <w:r>
        <w:rPr>
          <w:color w:val="231F20"/>
        </w:rPr>
        <w:t>d’instruments</w:t>
      </w:r>
      <w:r>
        <w:rPr>
          <w:color w:val="231F20"/>
          <w:spacing w:val="-7"/>
        </w:rPr>
        <w:t> </w:t>
      </w:r>
      <w:r>
        <w:rPr>
          <w:color w:val="231F20"/>
        </w:rPr>
        <w:t>chirurgicaux</w:t>
      </w:r>
      <w:r>
        <w:rPr>
          <w:color w:val="231F20"/>
          <w:spacing w:val="-7"/>
        </w:rPr>
        <w:t> </w:t>
      </w:r>
      <w:r>
        <w:rPr>
          <w:color w:val="231F20"/>
        </w:rPr>
        <w:t>pour</w:t>
      </w:r>
      <w:r>
        <w:rPr>
          <w:color w:val="231F20"/>
          <w:spacing w:val="-7"/>
        </w:rPr>
        <w:t> </w:t>
      </w:r>
      <w:r>
        <w:rPr>
          <w:color w:val="231F20"/>
        </w:rPr>
        <w:t>l’unité</w:t>
      </w:r>
      <w:r>
        <w:rPr>
          <w:color w:val="231F20"/>
          <w:spacing w:val="-7"/>
        </w:rPr>
        <w:t> </w:t>
      </w:r>
      <w:r>
        <w:rPr>
          <w:color w:val="231F20"/>
        </w:rPr>
        <w:t>de brûlés et de chirurgie reconstructive de </w:t>
      </w:r>
      <w:r>
        <w:rPr>
          <w:color w:val="231F20"/>
          <w:spacing w:val="-8"/>
        </w:rPr>
        <w:t>l’hôpital</w:t>
      </w:r>
      <w:r>
        <w:rPr>
          <w:color w:val="231F20"/>
          <w:spacing w:val="-14"/>
        </w:rPr>
        <w:t> </w:t>
      </w:r>
      <w:r>
        <w:rPr>
          <w:color w:val="231F20"/>
          <w:spacing w:val="-8"/>
        </w:rPr>
        <w:t>Hermanos</w:t>
      </w:r>
      <w:r>
        <w:rPr>
          <w:color w:val="231F20"/>
          <w:spacing w:val="-12"/>
        </w:rPr>
        <w:t> </w:t>
      </w:r>
      <w:r>
        <w:rPr>
          <w:color w:val="231F20"/>
          <w:spacing w:val="-8"/>
        </w:rPr>
        <w:t>Ameijeiras,</w:t>
      </w:r>
      <w:r>
        <w:rPr>
          <w:color w:val="231F20"/>
          <w:spacing w:val="-12"/>
        </w:rPr>
        <w:t> </w:t>
      </w:r>
      <w:r>
        <w:rPr>
          <w:color w:val="231F20"/>
          <w:spacing w:val="-8"/>
        </w:rPr>
        <w:t>de</w:t>
      </w:r>
      <w:r>
        <w:rPr>
          <w:color w:val="231F20"/>
          <w:spacing w:val="-12"/>
        </w:rPr>
        <w:t> </w:t>
      </w:r>
      <w:r>
        <w:rPr>
          <w:color w:val="231F20"/>
          <w:spacing w:val="-8"/>
        </w:rPr>
        <w:t>La</w:t>
      </w:r>
      <w:r>
        <w:rPr>
          <w:color w:val="231F20"/>
          <w:spacing w:val="-12"/>
        </w:rPr>
        <w:t> </w:t>
      </w:r>
      <w:r>
        <w:rPr>
          <w:color w:val="231F20"/>
          <w:spacing w:val="-8"/>
        </w:rPr>
        <w:t>Havane.</w:t>
      </w:r>
    </w:p>
    <w:p>
      <w:pPr>
        <w:pStyle w:val="BodyText"/>
        <w:spacing w:before="167"/>
        <w:ind w:left="412" w:right="1471"/>
      </w:pPr>
      <w:r>
        <w:rPr>
          <w:color w:val="231F20"/>
        </w:rPr>
        <w:t>La société allemande Westfalen A. G. a annulé</w:t>
      </w:r>
      <w:r>
        <w:rPr>
          <w:color w:val="231F20"/>
          <w:spacing w:val="-10"/>
        </w:rPr>
        <w:t> </w:t>
      </w:r>
      <w:r>
        <w:rPr>
          <w:color w:val="231F20"/>
        </w:rPr>
        <w:t>un</w:t>
      </w:r>
      <w:r>
        <w:rPr>
          <w:color w:val="231F20"/>
          <w:spacing w:val="-10"/>
        </w:rPr>
        <w:t> </w:t>
      </w:r>
      <w:r>
        <w:rPr>
          <w:color w:val="231F20"/>
        </w:rPr>
        <w:t>contrat</w:t>
      </w:r>
      <w:r>
        <w:rPr>
          <w:color w:val="231F20"/>
          <w:spacing w:val="-10"/>
        </w:rPr>
        <w:t> </w:t>
      </w:r>
      <w:r>
        <w:rPr>
          <w:color w:val="231F20"/>
        </w:rPr>
        <w:t>de</w:t>
      </w:r>
      <w:r>
        <w:rPr>
          <w:color w:val="231F20"/>
          <w:spacing w:val="-10"/>
        </w:rPr>
        <w:t> </w:t>
      </w:r>
      <w:r>
        <w:rPr>
          <w:color w:val="231F20"/>
        </w:rPr>
        <w:t>gaz</w:t>
      </w:r>
      <w:r>
        <w:rPr>
          <w:color w:val="231F20"/>
          <w:spacing w:val="-10"/>
        </w:rPr>
        <w:t> </w:t>
      </w:r>
      <w:r>
        <w:rPr>
          <w:color w:val="231F20"/>
        </w:rPr>
        <w:t>destiné</w:t>
      </w:r>
      <w:r>
        <w:rPr>
          <w:color w:val="231F20"/>
          <w:spacing w:val="-10"/>
        </w:rPr>
        <w:t> </w:t>
      </w:r>
      <w:r>
        <w:rPr>
          <w:color w:val="231F20"/>
        </w:rPr>
        <w:t>à</w:t>
      </w:r>
      <w:r>
        <w:rPr>
          <w:color w:val="231F20"/>
          <w:spacing w:val="-10"/>
        </w:rPr>
        <w:t> </w:t>
      </w:r>
      <w:r>
        <w:rPr>
          <w:color w:val="231F20"/>
        </w:rPr>
        <w:t>la</w:t>
      </w:r>
      <w:r>
        <w:rPr>
          <w:color w:val="231F20"/>
          <w:spacing w:val="-10"/>
        </w:rPr>
        <w:t> </w:t>
      </w:r>
      <w:r>
        <w:rPr>
          <w:color w:val="231F20"/>
        </w:rPr>
        <w:t>mise en</w:t>
      </w:r>
      <w:r>
        <w:rPr>
          <w:color w:val="231F20"/>
          <w:spacing w:val="-4"/>
        </w:rPr>
        <w:t> </w:t>
      </w:r>
      <w:r>
        <w:rPr>
          <w:color w:val="231F20"/>
        </w:rPr>
        <w:t>marche</w:t>
      </w:r>
      <w:r>
        <w:rPr>
          <w:color w:val="231F20"/>
          <w:spacing w:val="-4"/>
        </w:rPr>
        <w:t> </w:t>
      </w:r>
      <w:r>
        <w:rPr>
          <w:color w:val="231F20"/>
        </w:rPr>
        <w:t>d’un</w:t>
      </w:r>
      <w:r>
        <w:rPr>
          <w:color w:val="231F20"/>
          <w:spacing w:val="-4"/>
        </w:rPr>
        <w:t> </w:t>
      </w:r>
      <w:r>
        <w:rPr>
          <w:color w:val="231F20"/>
        </w:rPr>
        <w:t>capnographe,</w:t>
      </w:r>
      <w:r>
        <w:rPr>
          <w:color w:val="231F20"/>
          <w:spacing w:val="-4"/>
        </w:rPr>
        <w:t> </w:t>
      </w:r>
      <w:r>
        <w:rPr>
          <w:color w:val="231F20"/>
        </w:rPr>
        <w:t>qui</w:t>
      </w:r>
      <w:r>
        <w:rPr>
          <w:color w:val="231F20"/>
          <w:spacing w:val="-4"/>
        </w:rPr>
        <w:t> </w:t>
      </w:r>
      <w:r>
        <w:rPr>
          <w:color w:val="231F20"/>
        </w:rPr>
        <w:t>mesure la</w:t>
      </w:r>
      <w:r>
        <w:rPr>
          <w:color w:val="231F20"/>
          <w:spacing w:val="-17"/>
        </w:rPr>
        <w:t> </w:t>
      </w:r>
      <w:r>
        <w:rPr>
          <w:color w:val="231F20"/>
        </w:rPr>
        <w:t>quantité</w:t>
      </w:r>
      <w:r>
        <w:rPr>
          <w:color w:val="231F20"/>
          <w:spacing w:val="-16"/>
        </w:rPr>
        <w:t> </w:t>
      </w:r>
      <w:r>
        <w:rPr>
          <w:color w:val="231F20"/>
        </w:rPr>
        <w:t>de</w:t>
      </w:r>
      <w:r>
        <w:rPr>
          <w:color w:val="231F20"/>
          <w:spacing w:val="-17"/>
        </w:rPr>
        <w:t> </w:t>
      </w:r>
      <w:r>
        <w:rPr>
          <w:color w:val="231F20"/>
        </w:rPr>
        <w:t>dioxyde</w:t>
      </w:r>
      <w:r>
        <w:rPr>
          <w:color w:val="231F20"/>
          <w:spacing w:val="-16"/>
        </w:rPr>
        <w:t> </w:t>
      </w:r>
      <w:r>
        <w:rPr>
          <w:color w:val="231F20"/>
        </w:rPr>
        <w:t>de</w:t>
      </w:r>
      <w:r>
        <w:rPr>
          <w:color w:val="231F20"/>
          <w:spacing w:val="-17"/>
        </w:rPr>
        <w:t> </w:t>
      </w:r>
      <w:r>
        <w:rPr>
          <w:color w:val="231F20"/>
        </w:rPr>
        <w:t>carbone</w:t>
      </w:r>
      <w:r>
        <w:rPr>
          <w:color w:val="231F20"/>
          <w:spacing w:val="-16"/>
        </w:rPr>
        <w:t> </w:t>
      </w:r>
      <w:r>
        <w:rPr>
          <w:color w:val="231F20"/>
        </w:rPr>
        <w:t>inspirée et expirée par un patient, au motif qu’elle </w:t>
      </w:r>
      <w:r>
        <w:rPr>
          <w:color w:val="231F20"/>
          <w:spacing w:val="-6"/>
        </w:rPr>
        <w:t>risquait,</w:t>
      </w:r>
      <w:r>
        <w:rPr>
          <w:color w:val="231F20"/>
          <w:spacing w:val="-11"/>
        </w:rPr>
        <w:t> </w:t>
      </w:r>
      <w:r>
        <w:rPr>
          <w:color w:val="231F20"/>
          <w:spacing w:val="-6"/>
        </w:rPr>
        <w:t>à</w:t>
      </w:r>
      <w:r>
        <w:rPr>
          <w:color w:val="231F20"/>
          <w:spacing w:val="-10"/>
        </w:rPr>
        <w:t> </w:t>
      </w:r>
      <w:r>
        <w:rPr>
          <w:color w:val="231F20"/>
          <w:spacing w:val="-6"/>
        </w:rPr>
        <w:t>cause</w:t>
      </w:r>
      <w:r>
        <w:rPr>
          <w:color w:val="231F20"/>
          <w:spacing w:val="-11"/>
        </w:rPr>
        <w:t> </w:t>
      </w:r>
      <w:r>
        <w:rPr>
          <w:color w:val="231F20"/>
          <w:spacing w:val="-6"/>
        </w:rPr>
        <w:t>du</w:t>
      </w:r>
      <w:r>
        <w:rPr>
          <w:color w:val="231F20"/>
          <w:spacing w:val="-10"/>
        </w:rPr>
        <w:t> </w:t>
      </w:r>
      <w:r>
        <w:rPr>
          <w:color w:val="231F20"/>
          <w:spacing w:val="-6"/>
        </w:rPr>
        <w:t>blocus,</w:t>
      </w:r>
      <w:r>
        <w:rPr>
          <w:color w:val="231F20"/>
          <w:spacing w:val="-11"/>
        </w:rPr>
        <w:t> </w:t>
      </w:r>
      <w:r>
        <w:rPr>
          <w:color w:val="231F20"/>
          <w:spacing w:val="-6"/>
        </w:rPr>
        <w:t>d’être</w:t>
      </w:r>
      <w:r>
        <w:rPr>
          <w:color w:val="231F20"/>
          <w:spacing w:val="-10"/>
        </w:rPr>
        <w:t> </w:t>
      </w:r>
      <w:r>
        <w:rPr>
          <w:color w:val="231F20"/>
          <w:spacing w:val="-6"/>
        </w:rPr>
        <w:t>inscrite</w:t>
      </w:r>
      <w:r>
        <w:rPr>
          <w:color w:val="231F20"/>
          <w:spacing w:val="-11"/>
        </w:rPr>
        <w:t> </w:t>
      </w:r>
      <w:r>
        <w:rPr>
          <w:color w:val="231F20"/>
          <w:spacing w:val="-6"/>
        </w:rPr>
        <w:t>sur </w:t>
      </w:r>
      <w:r>
        <w:rPr>
          <w:color w:val="231F20"/>
          <w:spacing w:val="-2"/>
        </w:rPr>
        <w:t>une</w:t>
      </w:r>
      <w:r>
        <w:rPr>
          <w:color w:val="231F20"/>
          <w:spacing w:val="-12"/>
        </w:rPr>
        <w:t> </w:t>
      </w:r>
      <w:r>
        <w:rPr>
          <w:color w:val="231F20"/>
          <w:spacing w:val="-2"/>
        </w:rPr>
        <w:t>liste</w:t>
      </w:r>
      <w:r>
        <w:rPr>
          <w:color w:val="231F20"/>
          <w:spacing w:val="-12"/>
        </w:rPr>
        <w:t> </w:t>
      </w:r>
      <w:r>
        <w:rPr>
          <w:color w:val="231F20"/>
          <w:spacing w:val="-2"/>
        </w:rPr>
        <w:t>noire</w:t>
      </w:r>
      <w:r>
        <w:rPr>
          <w:color w:val="231F20"/>
          <w:spacing w:val="-12"/>
        </w:rPr>
        <w:t> </w:t>
      </w:r>
      <w:r>
        <w:rPr>
          <w:color w:val="231F20"/>
          <w:spacing w:val="-2"/>
        </w:rPr>
        <w:t>qui</w:t>
      </w:r>
      <w:r>
        <w:rPr>
          <w:color w:val="231F20"/>
          <w:spacing w:val="-12"/>
        </w:rPr>
        <w:t> </w:t>
      </w:r>
      <w:r>
        <w:rPr>
          <w:color w:val="231F20"/>
          <w:spacing w:val="-2"/>
        </w:rPr>
        <w:t>lui</w:t>
      </w:r>
      <w:r>
        <w:rPr>
          <w:color w:val="231F20"/>
          <w:spacing w:val="-12"/>
        </w:rPr>
        <w:t> </w:t>
      </w:r>
      <w:r>
        <w:rPr>
          <w:color w:val="231F20"/>
          <w:spacing w:val="-2"/>
        </w:rPr>
        <w:t>interdirait</w:t>
      </w:r>
      <w:r>
        <w:rPr>
          <w:color w:val="231F20"/>
          <w:spacing w:val="-12"/>
        </w:rPr>
        <w:t> </w:t>
      </w:r>
      <w:r>
        <w:rPr>
          <w:color w:val="231F20"/>
          <w:spacing w:val="-2"/>
        </w:rPr>
        <w:t>de</w:t>
      </w:r>
      <w:r>
        <w:rPr>
          <w:color w:val="231F20"/>
          <w:spacing w:val="-12"/>
        </w:rPr>
        <w:t> </w:t>
      </w:r>
      <w:r>
        <w:rPr>
          <w:color w:val="231F20"/>
          <w:spacing w:val="-2"/>
        </w:rPr>
        <w:t>recevoir </w:t>
      </w:r>
      <w:r>
        <w:rPr>
          <w:color w:val="231F20"/>
        </w:rPr>
        <w:t>des livraisons d’aucune compagnie des </w:t>
      </w:r>
      <w:r>
        <w:rPr>
          <w:color w:val="231F20"/>
          <w:spacing w:val="-2"/>
        </w:rPr>
        <w:t>États-Unis.</w:t>
      </w:r>
    </w:p>
    <w:p>
      <w:pPr>
        <w:pStyle w:val="BodyText"/>
        <w:spacing w:before="167"/>
        <w:ind w:left="412" w:right="1470"/>
      </w:pPr>
      <w:r>
        <w:rPr>
          <w:color w:val="231F20"/>
        </w:rPr>
        <w:t>L’Entreprise cubaine de </w:t>
      </w:r>
      <w:r>
        <w:rPr>
          <w:color w:val="231F20"/>
        </w:rPr>
        <w:t>technologie médicale numérique, Combiomed, a eu du</w:t>
      </w:r>
      <w:r>
        <w:rPr>
          <w:color w:val="231F20"/>
          <w:spacing w:val="-17"/>
        </w:rPr>
        <w:t> </w:t>
      </w:r>
      <w:r>
        <w:rPr>
          <w:color w:val="231F20"/>
        </w:rPr>
        <w:t>mal</w:t>
      </w:r>
      <w:r>
        <w:rPr>
          <w:color w:val="231F20"/>
          <w:spacing w:val="-16"/>
        </w:rPr>
        <w:t> </w:t>
      </w:r>
      <w:r>
        <w:rPr>
          <w:color w:val="231F20"/>
        </w:rPr>
        <w:t>à</w:t>
      </w:r>
      <w:r>
        <w:rPr>
          <w:color w:val="231F20"/>
          <w:spacing w:val="-17"/>
        </w:rPr>
        <w:t> </w:t>
      </w:r>
      <w:r>
        <w:rPr>
          <w:color w:val="231F20"/>
        </w:rPr>
        <w:t>acquérir</w:t>
      </w:r>
      <w:r>
        <w:rPr>
          <w:color w:val="231F20"/>
          <w:spacing w:val="-16"/>
        </w:rPr>
        <w:t> </w:t>
      </w:r>
      <w:r>
        <w:rPr>
          <w:color w:val="231F20"/>
        </w:rPr>
        <w:t>les</w:t>
      </w:r>
      <w:r>
        <w:rPr>
          <w:color w:val="231F20"/>
          <w:spacing w:val="-17"/>
        </w:rPr>
        <w:t> </w:t>
      </w:r>
      <w:r>
        <w:rPr>
          <w:color w:val="231F20"/>
        </w:rPr>
        <w:t>parties</w:t>
      </w:r>
      <w:r>
        <w:rPr>
          <w:color w:val="231F20"/>
          <w:spacing w:val="-16"/>
        </w:rPr>
        <w:t> </w:t>
      </w:r>
      <w:r>
        <w:rPr>
          <w:color w:val="231F20"/>
        </w:rPr>
        <w:t>et</w:t>
      </w:r>
      <w:r>
        <w:rPr>
          <w:color w:val="231F20"/>
          <w:spacing w:val="-17"/>
        </w:rPr>
        <w:t> </w:t>
      </w:r>
      <w:r>
        <w:rPr>
          <w:color w:val="231F20"/>
        </w:rPr>
        <w:t>pièces</w:t>
      </w:r>
      <w:r>
        <w:rPr>
          <w:color w:val="231F20"/>
          <w:spacing w:val="-16"/>
        </w:rPr>
        <w:t> </w:t>
      </w:r>
      <w:r>
        <w:rPr>
          <w:color w:val="231F20"/>
        </w:rPr>
        <w:t>pour appareils d’automesure de la pression artérielle</w:t>
      </w:r>
      <w:r>
        <w:rPr>
          <w:color w:val="231F20"/>
          <w:spacing w:val="58"/>
        </w:rPr>
        <w:t> </w:t>
      </w:r>
      <w:r>
        <w:rPr>
          <w:color w:val="231F20"/>
        </w:rPr>
        <w:t>Hypermax</w:t>
      </w:r>
      <w:r>
        <w:rPr>
          <w:color w:val="231F20"/>
          <w:spacing w:val="60"/>
        </w:rPr>
        <w:t> </w:t>
      </w:r>
      <w:r>
        <w:rPr>
          <w:color w:val="231F20"/>
        </w:rPr>
        <w:t>BF,</w:t>
      </w:r>
      <w:r>
        <w:rPr>
          <w:color w:val="231F20"/>
          <w:spacing w:val="59"/>
        </w:rPr>
        <w:t> </w:t>
      </w:r>
      <w:r>
        <w:rPr>
          <w:color w:val="231F20"/>
        </w:rPr>
        <w:t>et</w:t>
      </w:r>
      <w:r>
        <w:rPr>
          <w:color w:val="231F20"/>
          <w:spacing w:val="60"/>
        </w:rPr>
        <w:t> </w:t>
      </w:r>
      <w:r>
        <w:rPr>
          <w:color w:val="231F20"/>
        </w:rPr>
        <w:t>des</w:t>
      </w:r>
      <w:r>
        <w:rPr>
          <w:color w:val="231F20"/>
          <w:spacing w:val="60"/>
        </w:rPr>
        <w:t> </w:t>
      </w:r>
      <w:r>
        <w:rPr>
          <w:color w:val="231F20"/>
          <w:spacing w:val="-2"/>
        </w:rPr>
        <w:t>modules</w:t>
      </w:r>
    </w:p>
    <w:p>
      <w:pPr>
        <w:spacing w:after="0"/>
        <w:sectPr>
          <w:pgSz w:w="11910" w:h="16840"/>
          <w:pgMar w:header="0" w:footer="695" w:top="1260" w:bottom="880" w:left="0" w:right="0"/>
          <w:cols w:num="2" w:equalWidth="0">
            <w:col w:w="5557" w:space="40"/>
            <w:col w:w="6313"/>
          </w:cols>
        </w:sectPr>
      </w:pPr>
    </w:p>
    <w:p>
      <w:pPr>
        <w:pStyle w:val="BodyText"/>
        <w:spacing w:before="77"/>
        <w:ind w:left="1474"/>
      </w:pPr>
      <w:r>
        <w:rPr>
          <w:color w:val="231F20"/>
        </w:rPr>
        <w:t>d’oxymétrie pour fabriquer le </w:t>
      </w:r>
      <w:r>
        <w:rPr>
          <w:color w:val="231F20"/>
        </w:rPr>
        <w:t>détecteur lumineux de paramètres physiologiques </w:t>
      </w:r>
      <w:r>
        <w:rPr>
          <w:color w:val="231F20"/>
          <w:spacing w:val="-2"/>
        </w:rPr>
        <w:t>des</w:t>
      </w:r>
      <w:r>
        <w:rPr>
          <w:color w:val="231F20"/>
          <w:spacing w:val="-10"/>
        </w:rPr>
        <w:t> </w:t>
      </w:r>
      <w:r>
        <w:rPr>
          <w:color w:val="231F20"/>
          <w:spacing w:val="-2"/>
        </w:rPr>
        <w:t>patients,</w:t>
      </w:r>
      <w:r>
        <w:rPr>
          <w:color w:val="231F20"/>
          <w:spacing w:val="-10"/>
        </w:rPr>
        <w:t> </w:t>
      </w:r>
      <w:r>
        <w:rPr>
          <w:color w:val="231F20"/>
          <w:spacing w:val="-2"/>
        </w:rPr>
        <w:t>le</w:t>
      </w:r>
      <w:r>
        <w:rPr>
          <w:color w:val="231F20"/>
          <w:spacing w:val="-10"/>
        </w:rPr>
        <w:t> </w:t>
      </w:r>
      <w:r>
        <w:rPr>
          <w:color w:val="231F20"/>
          <w:spacing w:val="-2"/>
        </w:rPr>
        <w:t>Doctus</w:t>
      </w:r>
      <w:r>
        <w:rPr>
          <w:color w:val="231F20"/>
          <w:spacing w:val="-10"/>
        </w:rPr>
        <w:t> </w:t>
      </w:r>
      <w:r>
        <w:rPr>
          <w:color w:val="231F20"/>
          <w:spacing w:val="-2"/>
        </w:rPr>
        <w:t>VIII</w:t>
      </w:r>
      <w:r>
        <w:rPr>
          <w:color w:val="231F20"/>
          <w:spacing w:val="-10"/>
        </w:rPr>
        <w:t> </w:t>
      </w:r>
      <w:r>
        <w:rPr>
          <w:color w:val="231F20"/>
          <w:spacing w:val="-2"/>
        </w:rPr>
        <w:t>nécessaire</w:t>
      </w:r>
      <w:r>
        <w:rPr>
          <w:color w:val="231F20"/>
          <w:spacing w:val="-10"/>
        </w:rPr>
        <w:t> </w:t>
      </w:r>
      <w:r>
        <w:rPr>
          <w:color w:val="231F20"/>
          <w:spacing w:val="-2"/>
        </w:rPr>
        <w:t>dans </w:t>
      </w:r>
      <w:r>
        <w:rPr>
          <w:color w:val="231F20"/>
        </w:rPr>
        <w:t>les salles de soins intensifs, parce que le transporteur</w:t>
      </w:r>
      <w:r>
        <w:rPr>
          <w:color w:val="231F20"/>
          <w:spacing w:val="-9"/>
        </w:rPr>
        <w:t> </w:t>
      </w:r>
      <w:r>
        <w:rPr>
          <w:color w:val="231F20"/>
        </w:rPr>
        <w:t>allègue</w:t>
      </w:r>
      <w:r>
        <w:rPr>
          <w:color w:val="231F20"/>
          <w:spacing w:val="-9"/>
        </w:rPr>
        <w:t> </w:t>
      </w:r>
      <w:r>
        <w:rPr>
          <w:color w:val="231F20"/>
        </w:rPr>
        <w:t>qu’elle</w:t>
      </w:r>
      <w:r>
        <w:rPr>
          <w:color w:val="231F20"/>
          <w:spacing w:val="-9"/>
        </w:rPr>
        <w:t> </w:t>
      </w:r>
      <w:r>
        <w:rPr>
          <w:color w:val="231F20"/>
        </w:rPr>
        <w:t>fait</w:t>
      </w:r>
      <w:r>
        <w:rPr>
          <w:color w:val="231F20"/>
          <w:spacing w:val="-9"/>
        </w:rPr>
        <w:t> </w:t>
      </w:r>
      <w:r>
        <w:rPr>
          <w:color w:val="231F20"/>
        </w:rPr>
        <w:t>partie</w:t>
      </w:r>
      <w:r>
        <w:rPr>
          <w:color w:val="231F20"/>
          <w:spacing w:val="-9"/>
        </w:rPr>
        <w:t> </w:t>
      </w:r>
      <w:r>
        <w:rPr>
          <w:color w:val="231F20"/>
        </w:rPr>
        <w:t>des entités sanctionnées par les États-Unis.</w:t>
      </w:r>
    </w:p>
    <w:p>
      <w:pPr>
        <w:pStyle w:val="BodyText"/>
        <w:spacing w:before="164"/>
        <w:ind w:left="1474" w:right="3"/>
      </w:pPr>
      <w:r>
        <w:rPr>
          <w:color w:val="231F20"/>
        </w:rPr>
        <w:t>Dans le domaine des soins dentaires, les préjudices</w:t>
      </w:r>
      <w:r>
        <w:rPr>
          <w:color w:val="231F20"/>
          <w:spacing w:val="-14"/>
        </w:rPr>
        <w:t> </w:t>
      </w:r>
      <w:r>
        <w:rPr>
          <w:color w:val="231F20"/>
        </w:rPr>
        <w:t>ont</w:t>
      </w:r>
      <w:r>
        <w:rPr>
          <w:color w:val="231F20"/>
          <w:spacing w:val="-14"/>
        </w:rPr>
        <w:t> </w:t>
      </w:r>
      <w:r>
        <w:rPr>
          <w:color w:val="231F20"/>
        </w:rPr>
        <w:t>été</w:t>
      </w:r>
      <w:r>
        <w:rPr>
          <w:color w:val="231F20"/>
          <w:spacing w:val="-14"/>
        </w:rPr>
        <w:t> </w:t>
      </w:r>
      <w:r>
        <w:rPr>
          <w:color w:val="231F20"/>
        </w:rPr>
        <w:t>lourds.</w:t>
      </w:r>
      <w:r>
        <w:rPr>
          <w:color w:val="231F20"/>
          <w:spacing w:val="-14"/>
        </w:rPr>
        <w:t> </w:t>
      </w:r>
      <w:r>
        <w:rPr>
          <w:color w:val="231F20"/>
        </w:rPr>
        <w:t>Les</w:t>
      </w:r>
      <w:r>
        <w:rPr>
          <w:color w:val="231F20"/>
          <w:spacing w:val="-14"/>
        </w:rPr>
        <w:t> </w:t>
      </w:r>
      <w:r>
        <w:rPr>
          <w:color w:val="231F20"/>
        </w:rPr>
        <w:t>livraisons</w:t>
      </w:r>
      <w:r>
        <w:rPr>
          <w:color w:val="231F20"/>
          <w:spacing w:val="-14"/>
        </w:rPr>
        <w:t> </w:t>
      </w:r>
      <w:r>
        <w:rPr>
          <w:color w:val="231F20"/>
        </w:rPr>
        <w:t>de </w:t>
      </w:r>
      <w:r>
        <w:rPr>
          <w:color w:val="231F20"/>
          <w:spacing w:val="-4"/>
        </w:rPr>
        <w:t>gants</w:t>
      </w:r>
      <w:r>
        <w:rPr>
          <w:color w:val="231F20"/>
          <w:spacing w:val="-13"/>
        </w:rPr>
        <w:t> </w:t>
      </w:r>
      <w:r>
        <w:rPr>
          <w:color w:val="231F20"/>
          <w:spacing w:val="-4"/>
        </w:rPr>
        <w:t>chirurgicaux</w:t>
      </w:r>
      <w:r>
        <w:rPr>
          <w:color w:val="231F20"/>
          <w:spacing w:val="-12"/>
        </w:rPr>
        <w:t> </w:t>
      </w:r>
      <w:r>
        <w:rPr>
          <w:color w:val="231F20"/>
          <w:spacing w:val="-4"/>
        </w:rPr>
        <w:t>et</w:t>
      </w:r>
      <w:r>
        <w:rPr>
          <w:color w:val="231F20"/>
          <w:spacing w:val="-13"/>
        </w:rPr>
        <w:t> </w:t>
      </w:r>
      <w:r>
        <w:rPr>
          <w:color w:val="231F20"/>
          <w:spacing w:val="-4"/>
        </w:rPr>
        <w:t>d’examen,</w:t>
      </w:r>
      <w:r>
        <w:rPr>
          <w:color w:val="231F20"/>
          <w:spacing w:val="-12"/>
        </w:rPr>
        <w:t> </w:t>
      </w:r>
      <w:r>
        <w:rPr>
          <w:color w:val="231F20"/>
          <w:spacing w:val="-4"/>
        </w:rPr>
        <w:t>d’alginates, </w:t>
      </w:r>
      <w:r>
        <w:rPr>
          <w:color w:val="231F20"/>
          <w:spacing w:val="-10"/>
        </w:rPr>
        <w:t>de</w:t>
      </w:r>
      <w:r>
        <w:rPr>
          <w:color w:val="231F20"/>
          <w:spacing w:val="-5"/>
        </w:rPr>
        <w:t> </w:t>
      </w:r>
      <w:r>
        <w:rPr>
          <w:color w:val="231F20"/>
          <w:spacing w:val="-10"/>
        </w:rPr>
        <w:t>plâtre</w:t>
      </w:r>
      <w:r>
        <w:rPr>
          <w:color w:val="231F20"/>
          <w:spacing w:val="-5"/>
        </w:rPr>
        <w:t> </w:t>
      </w:r>
      <w:r>
        <w:rPr>
          <w:color w:val="231F20"/>
          <w:spacing w:val="-10"/>
        </w:rPr>
        <w:t>et</w:t>
      </w:r>
      <w:r>
        <w:rPr>
          <w:color w:val="231F20"/>
          <w:spacing w:val="-5"/>
        </w:rPr>
        <w:t> </w:t>
      </w:r>
      <w:r>
        <w:rPr>
          <w:color w:val="231F20"/>
          <w:spacing w:val="-10"/>
        </w:rPr>
        <w:t>de</w:t>
      </w:r>
      <w:r>
        <w:rPr>
          <w:color w:val="231F20"/>
          <w:spacing w:val="-5"/>
        </w:rPr>
        <w:t> </w:t>
      </w:r>
      <w:r>
        <w:rPr>
          <w:color w:val="231F20"/>
          <w:spacing w:val="-10"/>
        </w:rPr>
        <w:t>ciment</w:t>
      </w:r>
      <w:r>
        <w:rPr>
          <w:color w:val="231F20"/>
          <w:spacing w:val="-5"/>
        </w:rPr>
        <w:t> </w:t>
      </w:r>
      <w:r>
        <w:rPr>
          <w:color w:val="231F20"/>
          <w:spacing w:val="-10"/>
        </w:rPr>
        <w:t>dentaires,</w:t>
      </w:r>
      <w:r>
        <w:rPr>
          <w:color w:val="231F20"/>
          <w:spacing w:val="-5"/>
        </w:rPr>
        <w:t> </w:t>
      </w:r>
      <w:r>
        <w:rPr>
          <w:color w:val="231F20"/>
          <w:spacing w:val="-10"/>
        </w:rPr>
        <w:t>entre</w:t>
      </w:r>
      <w:r>
        <w:rPr>
          <w:color w:val="231F20"/>
          <w:spacing w:val="-5"/>
        </w:rPr>
        <w:t> </w:t>
      </w:r>
      <w:r>
        <w:rPr>
          <w:color w:val="231F20"/>
          <w:spacing w:val="-10"/>
        </w:rPr>
        <w:t>autres, </w:t>
      </w:r>
      <w:r>
        <w:rPr>
          <w:color w:val="231F20"/>
        </w:rPr>
        <w:t>ont été très instables. Il a été impossible de produire plus de trois cents prothèses </w:t>
      </w:r>
      <w:r>
        <w:rPr>
          <w:color w:val="231F20"/>
          <w:spacing w:val="-2"/>
        </w:rPr>
        <w:t>dentaires.</w:t>
      </w:r>
    </w:p>
    <w:p>
      <w:pPr>
        <w:pStyle w:val="BodyText"/>
        <w:spacing w:before="166"/>
        <w:ind w:left="1474"/>
      </w:pPr>
      <w:r>
        <w:rPr>
          <w:color w:val="231F20"/>
        </w:rPr>
        <w:t>Par</w:t>
      </w:r>
      <w:r>
        <w:rPr>
          <w:color w:val="231F20"/>
          <w:spacing w:val="-15"/>
        </w:rPr>
        <w:t> </w:t>
      </w:r>
      <w:r>
        <w:rPr>
          <w:color w:val="231F20"/>
        </w:rPr>
        <w:t>ailleurs,</w:t>
      </w:r>
      <w:r>
        <w:rPr>
          <w:color w:val="231F20"/>
          <w:spacing w:val="-15"/>
        </w:rPr>
        <w:t> </w:t>
      </w:r>
      <w:r>
        <w:rPr>
          <w:color w:val="231F20"/>
        </w:rPr>
        <w:t>l’administration</w:t>
      </w:r>
      <w:r>
        <w:rPr>
          <w:color w:val="231F20"/>
          <w:spacing w:val="-15"/>
        </w:rPr>
        <w:t> </w:t>
      </w:r>
      <w:r>
        <w:rPr>
          <w:color w:val="231F20"/>
        </w:rPr>
        <w:t>étasunienne</w:t>
      </w:r>
      <w:r>
        <w:rPr>
          <w:color w:val="231F20"/>
          <w:spacing w:val="-15"/>
        </w:rPr>
        <w:t> </w:t>
      </w:r>
      <w:r>
        <w:rPr>
          <w:color w:val="231F20"/>
        </w:rPr>
        <w:t>a poursuivi</w:t>
      </w:r>
      <w:r>
        <w:rPr>
          <w:color w:val="231F20"/>
          <w:spacing w:val="-12"/>
        </w:rPr>
        <w:t> </w:t>
      </w:r>
      <w:r>
        <w:rPr>
          <w:color w:val="231F20"/>
        </w:rPr>
        <w:t>sa</w:t>
      </w:r>
      <w:r>
        <w:rPr>
          <w:color w:val="231F20"/>
          <w:spacing w:val="-11"/>
        </w:rPr>
        <w:t> </w:t>
      </w:r>
      <w:r>
        <w:rPr>
          <w:color w:val="231F20"/>
        </w:rPr>
        <w:t>campagne</w:t>
      </w:r>
      <w:r>
        <w:rPr>
          <w:color w:val="231F20"/>
          <w:spacing w:val="-11"/>
        </w:rPr>
        <w:t> </w:t>
      </w:r>
      <w:r>
        <w:rPr>
          <w:color w:val="231F20"/>
        </w:rPr>
        <w:t>de</w:t>
      </w:r>
      <w:r>
        <w:rPr>
          <w:color w:val="231F20"/>
          <w:spacing w:val="-11"/>
        </w:rPr>
        <w:t> </w:t>
      </w:r>
      <w:r>
        <w:rPr>
          <w:color w:val="231F20"/>
        </w:rPr>
        <w:t>haine</w:t>
      </w:r>
      <w:r>
        <w:rPr>
          <w:color w:val="231F20"/>
          <w:spacing w:val="-11"/>
        </w:rPr>
        <w:t> </w:t>
      </w:r>
      <w:r>
        <w:rPr>
          <w:color w:val="231F20"/>
        </w:rPr>
        <w:t>qui</w:t>
      </w:r>
      <w:r>
        <w:rPr>
          <w:color w:val="231F20"/>
          <w:spacing w:val="-12"/>
        </w:rPr>
        <w:t> </w:t>
      </w:r>
      <w:r>
        <w:rPr>
          <w:color w:val="231F20"/>
        </w:rPr>
        <w:t>vise</w:t>
      </w:r>
      <w:r>
        <w:rPr>
          <w:color w:val="231F20"/>
          <w:spacing w:val="-11"/>
        </w:rPr>
        <w:t> </w:t>
      </w:r>
      <w:r>
        <w:rPr>
          <w:color w:val="231F20"/>
        </w:rPr>
        <w:t>à </w:t>
      </w:r>
      <w:r>
        <w:rPr>
          <w:color w:val="231F20"/>
          <w:spacing w:val="-8"/>
        </w:rPr>
        <w:t>discréditeretàentraverlacoopérationmédicale </w:t>
      </w:r>
      <w:r>
        <w:rPr>
          <w:color w:val="231F20"/>
          <w:spacing w:val="-6"/>
        </w:rPr>
        <w:t>que</w:t>
      </w:r>
      <w:r>
        <w:rPr>
          <w:color w:val="231F20"/>
          <w:spacing w:val="-7"/>
        </w:rPr>
        <w:t> </w:t>
      </w:r>
      <w:r>
        <w:rPr>
          <w:color w:val="231F20"/>
          <w:spacing w:val="-6"/>
        </w:rPr>
        <w:t>Cuba</w:t>
      </w:r>
      <w:r>
        <w:rPr>
          <w:color w:val="231F20"/>
          <w:spacing w:val="-7"/>
        </w:rPr>
        <w:t> </w:t>
      </w:r>
      <w:r>
        <w:rPr>
          <w:color w:val="231F20"/>
          <w:spacing w:val="-6"/>
        </w:rPr>
        <w:t>offre</w:t>
      </w:r>
      <w:r>
        <w:rPr>
          <w:color w:val="231F20"/>
          <w:spacing w:val="-7"/>
        </w:rPr>
        <w:t> </w:t>
      </w:r>
      <w:r>
        <w:rPr>
          <w:color w:val="231F20"/>
          <w:spacing w:val="-6"/>
        </w:rPr>
        <w:t>au</w:t>
      </w:r>
      <w:r>
        <w:rPr>
          <w:color w:val="231F20"/>
          <w:spacing w:val="-7"/>
        </w:rPr>
        <w:t> </w:t>
      </w:r>
      <w:r>
        <w:rPr>
          <w:color w:val="231F20"/>
          <w:spacing w:val="-6"/>
        </w:rPr>
        <w:t>monde</w:t>
      </w:r>
      <w:r>
        <w:rPr>
          <w:color w:val="231F20"/>
          <w:spacing w:val="-7"/>
        </w:rPr>
        <w:t> </w:t>
      </w:r>
      <w:r>
        <w:rPr>
          <w:color w:val="231F20"/>
          <w:spacing w:val="-6"/>
        </w:rPr>
        <w:t>entier,</w:t>
      </w:r>
      <w:r>
        <w:rPr>
          <w:color w:val="231F20"/>
          <w:spacing w:val="-7"/>
        </w:rPr>
        <w:t> </w:t>
      </w:r>
      <w:r>
        <w:rPr>
          <w:color w:val="231F20"/>
          <w:spacing w:val="-6"/>
        </w:rPr>
        <w:t>divulguant </w:t>
      </w:r>
      <w:r>
        <w:rPr>
          <w:color w:val="231F20"/>
          <w:spacing w:val="-12"/>
        </w:rPr>
        <w:t>des</w:t>
      </w:r>
      <w:r>
        <w:rPr>
          <w:color w:val="231F20"/>
          <w:spacing w:val="-5"/>
        </w:rPr>
        <w:t> </w:t>
      </w:r>
      <w:r>
        <w:rPr>
          <w:color w:val="231F20"/>
          <w:spacing w:val="-12"/>
        </w:rPr>
        <w:t>calomnies</w:t>
      </w:r>
      <w:r>
        <w:rPr>
          <w:color w:val="231F20"/>
          <w:spacing w:val="-4"/>
        </w:rPr>
        <w:t> </w:t>
      </w:r>
      <w:r>
        <w:rPr>
          <w:color w:val="231F20"/>
          <w:spacing w:val="-12"/>
        </w:rPr>
        <w:t>et</w:t>
      </w:r>
      <w:r>
        <w:rPr>
          <w:color w:val="231F20"/>
          <w:spacing w:val="-5"/>
        </w:rPr>
        <w:t> </w:t>
      </w:r>
      <w:r>
        <w:rPr>
          <w:color w:val="231F20"/>
          <w:spacing w:val="-12"/>
        </w:rPr>
        <w:t>dissuadant</w:t>
      </w:r>
      <w:r>
        <w:rPr>
          <w:color w:val="231F20"/>
          <w:spacing w:val="-4"/>
        </w:rPr>
        <w:t> </w:t>
      </w:r>
      <w:r>
        <w:rPr>
          <w:color w:val="231F20"/>
          <w:spacing w:val="-12"/>
        </w:rPr>
        <w:t>d’autres</w:t>
      </w:r>
      <w:r>
        <w:rPr>
          <w:color w:val="231F20"/>
          <w:spacing w:val="-5"/>
        </w:rPr>
        <w:t> </w:t>
      </w:r>
      <w:r>
        <w:rPr>
          <w:color w:val="231F20"/>
          <w:spacing w:val="-12"/>
        </w:rPr>
        <w:t>États</w:t>
      </w:r>
      <w:r>
        <w:rPr>
          <w:color w:val="231F20"/>
          <w:spacing w:val="-4"/>
        </w:rPr>
        <w:t> </w:t>
      </w:r>
      <w:r>
        <w:rPr>
          <w:color w:val="231F20"/>
          <w:spacing w:val="-12"/>
        </w:rPr>
        <w:t>à</w:t>
      </w:r>
      <w:r>
        <w:rPr>
          <w:color w:val="231F20"/>
          <w:spacing w:val="-4"/>
        </w:rPr>
        <w:t> </w:t>
      </w:r>
      <w:r>
        <w:rPr>
          <w:color w:val="231F20"/>
          <w:spacing w:val="-12"/>
        </w:rPr>
        <w:t>la </w:t>
      </w:r>
      <w:r>
        <w:rPr>
          <w:color w:val="231F20"/>
          <w:spacing w:val="-6"/>
        </w:rPr>
        <w:t>demander.</w:t>
      </w:r>
      <w:r>
        <w:rPr>
          <w:color w:val="231F20"/>
          <w:spacing w:val="-11"/>
        </w:rPr>
        <w:t> </w:t>
      </w:r>
      <w:r>
        <w:rPr>
          <w:color w:val="231F20"/>
          <w:spacing w:val="-6"/>
        </w:rPr>
        <w:t>Cette</w:t>
      </w:r>
      <w:r>
        <w:rPr>
          <w:color w:val="231F20"/>
          <w:spacing w:val="-10"/>
        </w:rPr>
        <w:t> </w:t>
      </w:r>
      <w:r>
        <w:rPr>
          <w:color w:val="231F20"/>
          <w:spacing w:val="-6"/>
        </w:rPr>
        <w:t>campagne</w:t>
      </w:r>
      <w:r>
        <w:rPr>
          <w:color w:val="231F20"/>
          <w:spacing w:val="-11"/>
        </w:rPr>
        <w:t> </w:t>
      </w:r>
      <w:r>
        <w:rPr>
          <w:color w:val="231F20"/>
          <w:spacing w:val="-6"/>
        </w:rPr>
        <w:t>fait</w:t>
      </w:r>
      <w:r>
        <w:rPr>
          <w:color w:val="231F20"/>
          <w:spacing w:val="-10"/>
        </w:rPr>
        <w:t> </w:t>
      </w:r>
      <w:r>
        <w:rPr>
          <w:color w:val="231F20"/>
          <w:spacing w:val="-6"/>
        </w:rPr>
        <w:t>partie</w:t>
      </w:r>
      <w:r>
        <w:rPr>
          <w:color w:val="231F20"/>
          <w:spacing w:val="-11"/>
        </w:rPr>
        <w:t> </w:t>
      </w:r>
      <w:r>
        <w:rPr>
          <w:color w:val="231F20"/>
          <w:spacing w:val="-6"/>
        </w:rPr>
        <w:t>d’une </w:t>
      </w:r>
      <w:r>
        <w:rPr>
          <w:color w:val="231F20"/>
          <w:spacing w:val="-12"/>
        </w:rPr>
        <w:t>politique</w:t>
      </w:r>
      <w:r>
        <w:rPr>
          <w:color w:val="231F20"/>
        </w:rPr>
        <w:t> </w:t>
      </w:r>
      <w:r>
        <w:rPr>
          <w:color w:val="231F20"/>
          <w:spacing w:val="-12"/>
        </w:rPr>
        <w:t>conçue</w:t>
      </w:r>
      <w:r>
        <w:rPr>
          <w:color w:val="231F20"/>
        </w:rPr>
        <w:t> </w:t>
      </w:r>
      <w:r>
        <w:rPr>
          <w:color w:val="231F20"/>
          <w:spacing w:val="-12"/>
        </w:rPr>
        <w:t>pour</w:t>
      </w:r>
      <w:r>
        <w:rPr>
          <w:color w:val="231F20"/>
        </w:rPr>
        <w:t> </w:t>
      </w:r>
      <w:r>
        <w:rPr>
          <w:color w:val="231F20"/>
          <w:spacing w:val="-12"/>
        </w:rPr>
        <w:t>priver</w:t>
      </w:r>
      <w:r>
        <w:rPr>
          <w:color w:val="231F20"/>
        </w:rPr>
        <w:t> </w:t>
      </w:r>
      <w:r>
        <w:rPr>
          <w:color w:val="231F20"/>
          <w:spacing w:val="-12"/>
        </w:rPr>
        <w:t>Cuba</w:t>
      </w:r>
      <w:r>
        <w:rPr>
          <w:color w:val="231F20"/>
        </w:rPr>
        <w:t> </w:t>
      </w:r>
      <w:r>
        <w:rPr>
          <w:color w:val="231F20"/>
          <w:spacing w:val="-12"/>
        </w:rPr>
        <w:t>de</w:t>
      </w:r>
      <w:r>
        <w:rPr>
          <w:color w:val="231F20"/>
        </w:rPr>
        <w:t> </w:t>
      </w:r>
      <w:r>
        <w:rPr>
          <w:color w:val="231F20"/>
          <w:spacing w:val="-12"/>
        </w:rPr>
        <w:t>revenus </w:t>
      </w:r>
      <w:r>
        <w:rPr>
          <w:color w:val="231F20"/>
          <w:spacing w:val="-8"/>
        </w:rPr>
        <w:t>justes,</w:t>
      </w:r>
      <w:r>
        <w:rPr>
          <w:color w:val="231F20"/>
          <w:spacing w:val="-9"/>
        </w:rPr>
        <w:t> </w:t>
      </w:r>
      <w:r>
        <w:rPr>
          <w:color w:val="231F20"/>
          <w:spacing w:val="-8"/>
        </w:rPr>
        <w:t>honnêtes et</w:t>
      </w:r>
      <w:r>
        <w:rPr>
          <w:color w:val="231F20"/>
          <w:spacing w:val="-9"/>
        </w:rPr>
        <w:t> </w:t>
      </w:r>
      <w:r>
        <w:rPr>
          <w:color w:val="231F20"/>
          <w:spacing w:val="-8"/>
        </w:rPr>
        <w:t>légitimes, que</w:t>
      </w:r>
      <w:r>
        <w:rPr>
          <w:color w:val="231F20"/>
          <w:spacing w:val="-9"/>
        </w:rPr>
        <w:t> </w:t>
      </w:r>
      <w:r>
        <w:rPr>
          <w:color w:val="231F20"/>
          <w:spacing w:val="-8"/>
        </w:rPr>
        <w:t>des milliers </w:t>
      </w:r>
      <w:r>
        <w:rPr>
          <w:color w:val="231F20"/>
          <w:spacing w:val="-4"/>
        </w:rPr>
        <w:t>de</w:t>
      </w:r>
      <w:r>
        <w:rPr>
          <w:color w:val="231F20"/>
          <w:spacing w:val="-5"/>
        </w:rPr>
        <w:t> </w:t>
      </w:r>
      <w:r>
        <w:rPr>
          <w:color w:val="231F20"/>
          <w:spacing w:val="-4"/>
        </w:rPr>
        <w:t>spécialistes</w:t>
      </w:r>
      <w:r>
        <w:rPr>
          <w:color w:val="231F20"/>
          <w:spacing w:val="-5"/>
        </w:rPr>
        <w:t> </w:t>
      </w:r>
      <w:r>
        <w:rPr>
          <w:color w:val="231F20"/>
          <w:spacing w:val="-4"/>
        </w:rPr>
        <w:t>formés</w:t>
      </w:r>
      <w:r>
        <w:rPr>
          <w:color w:val="231F20"/>
          <w:spacing w:val="-5"/>
        </w:rPr>
        <w:t> </w:t>
      </w:r>
      <w:r>
        <w:rPr>
          <w:color w:val="231F20"/>
          <w:spacing w:val="-4"/>
        </w:rPr>
        <w:t>techniquement</w:t>
      </w:r>
      <w:r>
        <w:rPr>
          <w:color w:val="231F20"/>
          <w:spacing w:val="-5"/>
        </w:rPr>
        <w:t> </w:t>
      </w:r>
      <w:r>
        <w:rPr>
          <w:color w:val="231F20"/>
          <w:spacing w:val="-4"/>
        </w:rPr>
        <w:t>dans </w:t>
      </w:r>
      <w:r>
        <w:rPr>
          <w:color w:val="231F20"/>
          <w:spacing w:val="-12"/>
        </w:rPr>
        <w:t>notre</w:t>
      </w:r>
      <w:r>
        <w:rPr>
          <w:color w:val="231F20"/>
          <w:spacing w:val="-5"/>
        </w:rPr>
        <w:t> </w:t>
      </w:r>
      <w:r>
        <w:rPr>
          <w:color w:val="231F20"/>
          <w:spacing w:val="-12"/>
        </w:rPr>
        <w:t>pays</w:t>
      </w:r>
      <w:r>
        <w:rPr>
          <w:color w:val="231F20"/>
          <w:spacing w:val="-4"/>
        </w:rPr>
        <w:t> </w:t>
      </w:r>
      <w:r>
        <w:rPr>
          <w:color w:val="231F20"/>
          <w:spacing w:val="-12"/>
        </w:rPr>
        <w:t>à</w:t>
      </w:r>
      <w:r>
        <w:rPr>
          <w:color w:val="231F20"/>
          <w:spacing w:val="-5"/>
        </w:rPr>
        <w:t> </w:t>
      </w:r>
      <w:r>
        <w:rPr>
          <w:color w:val="231F20"/>
          <w:spacing w:val="-12"/>
        </w:rPr>
        <w:t>partir</w:t>
      </w:r>
      <w:r>
        <w:rPr>
          <w:color w:val="231F20"/>
          <w:spacing w:val="-4"/>
        </w:rPr>
        <w:t> </w:t>
      </w:r>
      <w:r>
        <w:rPr>
          <w:color w:val="231F20"/>
          <w:spacing w:val="-12"/>
        </w:rPr>
        <w:t>de</w:t>
      </w:r>
      <w:r>
        <w:rPr>
          <w:color w:val="231F20"/>
          <w:spacing w:val="-5"/>
        </w:rPr>
        <w:t> </w:t>
      </w:r>
      <w:r>
        <w:rPr>
          <w:color w:val="231F20"/>
          <w:spacing w:val="-12"/>
        </w:rPr>
        <w:t>conceptions</w:t>
      </w:r>
      <w:r>
        <w:rPr>
          <w:color w:val="231F20"/>
          <w:spacing w:val="-4"/>
        </w:rPr>
        <w:t> </w:t>
      </w:r>
      <w:r>
        <w:rPr>
          <w:color w:val="231F20"/>
          <w:spacing w:val="-12"/>
        </w:rPr>
        <w:t>humanistes </w:t>
      </w:r>
      <w:r>
        <w:rPr>
          <w:color w:val="231F20"/>
          <w:spacing w:val="-4"/>
        </w:rPr>
        <w:t>et</w:t>
      </w:r>
      <w:r>
        <w:rPr>
          <w:color w:val="231F20"/>
          <w:spacing w:val="-20"/>
        </w:rPr>
        <w:t> </w:t>
      </w:r>
      <w:r>
        <w:rPr>
          <w:color w:val="231F20"/>
          <w:spacing w:val="-4"/>
        </w:rPr>
        <w:t>éthiques</w:t>
      </w:r>
      <w:r>
        <w:rPr>
          <w:color w:val="231F20"/>
          <w:spacing w:val="-20"/>
        </w:rPr>
        <w:t> </w:t>
      </w:r>
      <w:r>
        <w:rPr>
          <w:color w:val="231F20"/>
          <w:spacing w:val="-4"/>
        </w:rPr>
        <w:t>garantissent</w:t>
      </w:r>
      <w:r>
        <w:rPr>
          <w:color w:val="231F20"/>
          <w:spacing w:val="-20"/>
        </w:rPr>
        <w:t> </w:t>
      </w:r>
      <w:r>
        <w:rPr>
          <w:color w:val="231F20"/>
          <w:spacing w:val="-4"/>
        </w:rPr>
        <w:t>par</w:t>
      </w:r>
      <w:r>
        <w:rPr>
          <w:color w:val="231F20"/>
          <w:spacing w:val="-20"/>
        </w:rPr>
        <w:t> </w:t>
      </w:r>
      <w:r>
        <w:rPr>
          <w:color w:val="231F20"/>
          <w:spacing w:val="-4"/>
        </w:rPr>
        <w:t>leurs</w:t>
      </w:r>
      <w:r>
        <w:rPr>
          <w:color w:val="231F20"/>
          <w:spacing w:val="-20"/>
        </w:rPr>
        <w:t> </w:t>
      </w:r>
      <w:r>
        <w:rPr>
          <w:color w:val="231F20"/>
          <w:spacing w:val="-4"/>
        </w:rPr>
        <w:t>efforts.</w:t>
      </w:r>
    </w:p>
    <w:p>
      <w:pPr>
        <w:pStyle w:val="BodyText"/>
        <w:spacing w:before="169"/>
        <w:ind w:left="1474"/>
      </w:pPr>
      <w:r>
        <w:rPr>
          <w:color w:val="231F20"/>
          <w:spacing w:val="-2"/>
        </w:rPr>
        <w:t>La</w:t>
      </w:r>
      <w:r>
        <w:rPr>
          <w:color w:val="231F20"/>
          <w:spacing w:val="-15"/>
        </w:rPr>
        <w:t> </w:t>
      </w:r>
      <w:r>
        <w:rPr>
          <w:color w:val="231F20"/>
          <w:spacing w:val="-2"/>
        </w:rPr>
        <w:t>communauté</w:t>
      </w:r>
      <w:r>
        <w:rPr>
          <w:color w:val="231F20"/>
          <w:spacing w:val="-14"/>
        </w:rPr>
        <w:t> </w:t>
      </w:r>
      <w:r>
        <w:rPr>
          <w:color w:val="231F20"/>
          <w:spacing w:val="-2"/>
        </w:rPr>
        <w:t>internationale</w:t>
      </w:r>
      <w:r>
        <w:rPr>
          <w:color w:val="231F20"/>
          <w:spacing w:val="-15"/>
        </w:rPr>
        <w:t> </w:t>
      </w:r>
      <w:r>
        <w:rPr>
          <w:color w:val="231F20"/>
          <w:spacing w:val="-2"/>
        </w:rPr>
        <w:t>a</w:t>
      </w:r>
      <w:r>
        <w:rPr>
          <w:color w:val="231F20"/>
          <w:spacing w:val="-14"/>
        </w:rPr>
        <w:t> </w:t>
      </w:r>
      <w:r>
        <w:rPr>
          <w:color w:val="231F20"/>
          <w:spacing w:val="-2"/>
        </w:rPr>
        <w:t>reconnu</w:t>
      </w:r>
      <w:r>
        <w:rPr>
          <w:color w:val="231F20"/>
          <w:spacing w:val="-15"/>
        </w:rPr>
        <w:t> </w:t>
      </w:r>
      <w:r>
        <w:rPr>
          <w:color w:val="231F20"/>
          <w:spacing w:val="-2"/>
        </w:rPr>
        <w:t>à </w:t>
      </w:r>
      <w:r>
        <w:rPr>
          <w:color w:val="231F20"/>
          <w:spacing w:val="-6"/>
        </w:rPr>
        <w:t>maintes</w:t>
      </w:r>
      <w:r>
        <w:rPr>
          <w:color w:val="231F20"/>
          <w:spacing w:val="-11"/>
        </w:rPr>
        <w:t> </w:t>
      </w:r>
      <w:r>
        <w:rPr>
          <w:color w:val="231F20"/>
          <w:spacing w:val="-6"/>
        </w:rPr>
        <w:t>reprises</w:t>
      </w:r>
      <w:r>
        <w:rPr>
          <w:color w:val="231F20"/>
          <w:spacing w:val="-10"/>
        </w:rPr>
        <w:t> </w:t>
      </w:r>
      <w:r>
        <w:rPr>
          <w:color w:val="231F20"/>
          <w:spacing w:val="-6"/>
        </w:rPr>
        <w:t>la</w:t>
      </w:r>
      <w:r>
        <w:rPr>
          <w:color w:val="231F20"/>
          <w:spacing w:val="-11"/>
        </w:rPr>
        <w:t> </w:t>
      </w:r>
      <w:r>
        <w:rPr>
          <w:color w:val="231F20"/>
          <w:spacing w:val="-6"/>
        </w:rPr>
        <w:t>qualité</w:t>
      </w:r>
      <w:r>
        <w:rPr>
          <w:color w:val="231F20"/>
          <w:spacing w:val="-10"/>
        </w:rPr>
        <w:t> </w:t>
      </w:r>
      <w:r>
        <w:rPr>
          <w:color w:val="231F20"/>
          <w:spacing w:val="-6"/>
        </w:rPr>
        <w:t>professionnelle</w:t>
      </w:r>
      <w:r>
        <w:rPr>
          <w:color w:val="231F20"/>
          <w:spacing w:val="-11"/>
        </w:rPr>
        <w:t> </w:t>
      </w:r>
      <w:r>
        <w:rPr>
          <w:color w:val="231F20"/>
          <w:spacing w:val="-6"/>
        </w:rPr>
        <w:t>et </w:t>
      </w:r>
      <w:r>
        <w:rPr>
          <w:color w:val="231F20"/>
        </w:rPr>
        <w:t>l’altruisme</w:t>
      </w:r>
      <w:r>
        <w:rPr>
          <w:color w:val="231F20"/>
          <w:spacing w:val="-17"/>
        </w:rPr>
        <w:t> </w:t>
      </w:r>
      <w:r>
        <w:rPr>
          <w:color w:val="231F20"/>
        </w:rPr>
        <w:t>des</w:t>
      </w:r>
      <w:r>
        <w:rPr>
          <w:color w:val="231F20"/>
          <w:spacing w:val="-16"/>
        </w:rPr>
        <w:t> </w:t>
      </w:r>
      <w:r>
        <w:rPr>
          <w:color w:val="231F20"/>
        </w:rPr>
        <w:t>plus</w:t>
      </w:r>
      <w:r>
        <w:rPr>
          <w:color w:val="231F20"/>
          <w:spacing w:val="-17"/>
        </w:rPr>
        <w:t> </w:t>
      </w:r>
      <w:r>
        <w:rPr>
          <w:color w:val="231F20"/>
        </w:rPr>
        <w:t>de</w:t>
      </w:r>
      <w:r>
        <w:rPr>
          <w:color w:val="231F20"/>
          <w:spacing w:val="-16"/>
        </w:rPr>
        <w:t> </w:t>
      </w:r>
      <w:r>
        <w:rPr>
          <w:color w:val="231F20"/>
        </w:rPr>
        <w:t>605</w:t>
      </w:r>
      <w:r>
        <w:rPr>
          <w:color w:val="231F20"/>
          <w:spacing w:val="-17"/>
        </w:rPr>
        <w:t> </w:t>
      </w:r>
      <w:r>
        <w:rPr>
          <w:color w:val="231F20"/>
        </w:rPr>
        <w:t>000</w:t>
      </w:r>
      <w:r>
        <w:rPr>
          <w:color w:val="231F20"/>
          <w:spacing w:val="-16"/>
        </w:rPr>
        <w:t> </w:t>
      </w:r>
      <w:r>
        <w:rPr>
          <w:color w:val="231F20"/>
        </w:rPr>
        <w:t>coopérants </w:t>
      </w:r>
      <w:r>
        <w:rPr>
          <w:color w:val="231F20"/>
          <w:spacing w:val="-4"/>
        </w:rPr>
        <w:t>cubains</w:t>
      </w:r>
      <w:r>
        <w:rPr>
          <w:color w:val="231F20"/>
          <w:spacing w:val="-13"/>
        </w:rPr>
        <w:t> </w:t>
      </w:r>
      <w:r>
        <w:rPr>
          <w:color w:val="231F20"/>
          <w:spacing w:val="-4"/>
        </w:rPr>
        <w:t>de</w:t>
      </w:r>
      <w:r>
        <w:rPr>
          <w:color w:val="231F20"/>
          <w:spacing w:val="-12"/>
        </w:rPr>
        <w:t> </w:t>
      </w:r>
      <w:r>
        <w:rPr>
          <w:color w:val="231F20"/>
          <w:spacing w:val="-4"/>
        </w:rPr>
        <w:t>santé</w:t>
      </w:r>
      <w:r>
        <w:rPr>
          <w:color w:val="231F20"/>
          <w:spacing w:val="-13"/>
        </w:rPr>
        <w:t> </w:t>
      </w:r>
      <w:r>
        <w:rPr>
          <w:color w:val="231F20"/>
          <w:spacing w:val="-4"/>
        </w:rPr>
        <w:t>qui,</w:t>
      </w:r>
      <w:r>
        <w:rPr>
          <w:color w:val="231F20"/>
          <w:spacing w:val="-12"/>
        </w:rPr>
        <w:t> </w:t>
      </w:r>
      <w:r>
        <w:rPr>
          <w:color w:val="231F20"/>
          <w:spacing w:val="-4"/>
        </w:rPr>
        <w:t>ces</w:t>
      </w:r>
      <w:r>
        <w:rPr>
          <w:color w:val="231F20"/>
          <w:spacing w:val="-13"/>
        </w:rPr>
        <w:t> </w:t>
      </w:r>
      <w:r>
        <w:rPr>
          <w:color w:val="231F20"/>
          <w:spacing w:val="-4"/>
        </w:rPr>
        <w:t>soixante</w:t>
      </w:r>
      <w:r>
        <w:rPr>
          <w:color w:val="231F20"/>
          <w:spacing w:val="-12"/>
        </w:rPr>
        <w:t> </w:t>
      </w:r>
      <w:r>
        <w:rPr>
          <w:color w:val="231F20"/>
          <w:spacing w:val="-4"/>
        </w:rPr>
        <w:t>dernières </w:t>
      </w:r>
      <w:r>
        <w:rPr>
          <w:color w:val="231F20"/>
        </w:rPr>
        <w:t>années,</w:t>
      </w:r>
      <w:r>
        <w:rPr>
          <w:color w:val="231F20"/>
          <w:spacing w:val="-1"/>
        </w:rPr>
        <w:t> </w:t>
      </w:r>
      <w:r>
        <w:rPr>
          <w:color w:val="231F20"/>
        </w:rPr>
        <w:t>ont</w:t>
      </w:r>
      <w:r>
        <w:rPr>
          <w:color w:val="231F20"/>
          <w:spacing w:val="-1"/>
        </w:rPr>
        <w:t> </w:t>
      </w:r>
      <w:r>
        <w:rPr>
          <w:color w:val="231F20"/>
        </w:rPr>
        <w:t>rempli</w:t>
      </w:r>
      <w:r>
        <w:rPr>
          <w:color w:val="231F20"/>
          <w:spacing w:val="-1"/>
        </w:rPr>
        <w:t> </w:t>
      </w:r>
      <w:r>
        <w:rPr>
          <w:color w:val="231F20"/>
        </w:rPr>
        <w:t>des</w:t>
      </w:r>
      <w:r>
        <w:rPr>
          <w:color w:val="231F20"/>
          <w:spacing w:val="-1"/>
        </w:rPr>
        <w:t> </w:t>
      </w:r>
      <w:r>
        <w:rPr>
          <w:color w:val="231F20"/>
        </w:rPr>
        <w:t>missions</w:t>
      </w:r>
      <w:r>
        <w:rPr>
          <w:color w:val="231F20"/>
          <w:spacing w:val="-1"/>
        </w:rPr>
        <w:t> </w:t>
      </w:r>
      <w:r>
        <w:rPr>
          <w:color w:val="231F20"/>
        </w:rPr>
        <w:t>dans</w:t>
      </w:r>
      <w:r>
        <w:rPr>
          <w:color w:val="231F20"/>
          <w:spacing w:val="-1"/>
        </w:rPr>
        <w:t> </w:t>
      </w:r>
      <w:r>
        <w:rPr>
          <w:color w:val="231F20"/>
        </w:rPr>
        <w:t>165 </w:t>
      </w:r>
      <w:r>
        <w:rPr>
          <w:color w:val="231F20"/>
          <w:spacing w:val="-2"/>
        </w:rPr>
        <w:t>nations.</w:t>
      </w:r>
    </w:p>
    <w:p>
      <w:pPr>
        <w:pStyle w:val="BodyText"/>
        <w:spacing w:before="164"/>
        <w:ind w:left="1474" w:right="2"/>
      </w:pPr>
      <w:r>
        <w:rPr>
          <w:color w:val="231F20"/>
        </w:rPr>
        <w:t>Grâce</w:t>
      </w:r>
      <w:r>
        <w:rPr>
          <w:color w:val="231F20"/>
          <w:spacing w:val="-9"/>
        </w:rPr>
        <w:t> </w:t>
      </w:r>
      <w:r>
        <w:rPr>
          <w:color w:val="231F20"/>
        </w:rPr>
        <w:t>à</w:t>
      </w:r>
      <w:r>
        <w:rPr>
          <w:color w:val="231F20"/>
          <w:spacing w:val="-9"/>
        </w:rPr>
        <w:t> </w:t>
      </w:r>
      <w:r>
        <w:rPr>
          <w:color w:val="231F20"/>
        </w:rPr>
        <w:t>cette</w:t>
      </w:r>
      <w:r>
        <w:rPr>
          <w:color w:val="231F20"/>
          <w:spacing w:val="-9"/>
        </w:rPr>
        <w:t> </w:t>
      </w:r>
      <w:r>
        <w:rPr>
          <w:color w:val="231F20"/>
        </w:rPr>
        <w:t>coopération,</w:t>
      </w:r>
      <w:r>
        <w:rPr>
          <w:color w:val="231F20"/>
          <w:spacing w:val="-9"/>
        </w:rPr>
        <w:t> </w:t>
      </w:r>
      <w:r>
        <w:rPr>
          <w:color w:val="231F20"/>
        </w:rPr>
        <w:t>jusqu’à</w:t>
      </w:r>
      <w:r>
        <w:rPr>
          <w:color w:val="231F20"/>
          <w:spacing w:val="-9"/>
        </w:rPr>
        <w:t> </w:t>
      </w:r>
      <w:r>
        <w:rPr>
          <w:color w:val="231F20"/>
        </w:rPr>
        <w:t>fin</w:t>
      </w:r>
      <w:r>
        <w:rPr>
          <w:color w:val="231F20"/>
          <w:spacing w:val="-9"/>
        </w:rPr>
        <w:t> </w:t>
      </w:r>
      <w:r>
        <w:rPr>
          <w:color w:val="231F20"/>
        </w:rPr>
        <w:t>avril 2023,</w:t>
      </w:r>
      <w:r>
        <w:rPr>
          <w:color w:val="231F20"/>
          <w:spacing w:val="-3"/>
        </w:rPr>
        <w:t> </w:t>
      </w:r>
      <w:r>
        <w:rPr>
          <w:color w:val="231F20"/>
        </w:rPr>
        <w:t>les</w:t>
      </w:r>
      <w:r>
        <w:rPr>
          <w:color w:val="231F20"/>
          <w:spacing w:val="-3"/>
        </w:rPr>
        <w:t> </w:t>
      </w:r>
      <w:r>
        <w:rPr>
          <w:color w:val="231F20"/>
        </w:rPr>
        <w:t>personnels</w:t>
      </w:r>
      <w:r>
        <w:rPr>
          <w:color w:val="231F20"/>
          <w:spacing w:val="-3"/>
        </w:rPr>
        <w:t> </w:t>
      </w:r>
      <w:r>
        <w:rPr>
          <w:color w:val="231F20"/>
        </w:rPr>
        <w:t>de</w:t>
      </w:r>
      <w:r>
        <w:rPr>
          <w:color w:val="231F20"/>
          <w:spacing w:val="-3"/>
        </w:rPr>
        <w:t> </w:t>
      </w:r>
      <w:r>
        <w:rPr>
          <w:color w:val="231F20"/>
        </w:rPr>
        <w:t>santé</w:t>
      </w:r>
      <w:r>
        <w:rPr>
          <w:color w:val="231F20"/>
          <w:spacing w:val="-3"/>
        </w:rPr>
        <w:t> </w:t>
      </w:r>
      <w:r>
        <w:rPr>
          <w:color w:val="231F20"/>
        </w:rPr>
        <w:t>cubains</w:t>
      </w:r>
      <w:r>
        <w:rPr>
          <w:color w:val="231F20"/>
          <w:spacing w:val="-3"/>
        </w:rPr>
        <w:t> </w:t>
      </w:r>
      <w:r>
        <w:rPr>
          <w:color w:val="231F20"/>
        </w:rPr>
        <w:t>ont reçu en consultation plus de 2 198 000 000</w:t>
      </w:r>
      <w:r>
        <w:rPr>
          <w:color w:val="231F20"/>
          <w:spacing w:val="-3"/>
        </w:rPr>
        <w:t> </w:t>
      </w:r>
      <w:r>
        <w:rPr>
          <w:color w:val="231F20"/>
        </w:rPr>
        <w:t>personnes</w:t>
      </w:r>
      <w:r>
        <w:rPr>
          <w:color w:val="231F20"/>
          <w:spacing w:val="-3"/>
        </w:rPr>
        <w:t> </w:t>
      </w:r>
      <w:r>
        <w:rPr>
          <w:color w:val="231F20"/>
        </w:rPr>
        <w:t>dans</w:t>
      </w:r>
      <w:r>
        <w:rPr>
          <w:color w:val="231F20"/>
          <w:spacing w:val="-3"/>
        </w:rPr>
        <w:t> </w:t>
      </w:r>
      <w:r>
        <w:rPr>
          <w:color w:val="231F20"/>
        </w:rPr>
        <w:t>le</w:t>
      </w:r>
      <w:r>
        <w:rPr>
          <w:color w:val="231F20"/>
          <w:spacing w:val="-3"/>
        </w:rPr>
        <w:t> </w:t>
      </w:r>
      <w:r>
        <w:rPr>
          <w:color w:val="231F20"/>
        </w:rPr>
        <w:t>monde,</w:t>
      </w:r>
      <w:r>
        <w:rPr>
          <w:color w:val="231F20"/>
          <w:spacing w:val="-3"/>
        </w:rPr>
        <w:t> </w:t>
      </w:r>
      <w:r>
        <w:rPr>
          <w:color w:val="231F20"/>
        </w:rPr>
        <w:t>sauvé</w:t>
      </w:r>
      <w:r>
        <w:rPr>
          <w:color w:val="231F20"/>
          <w:spacing w:val="-3"/>
        </w:rPr>
        <w:t> </w:t>
      </w:r>
      <w:r>
        <w:rPr>
          <w:color w:val="231F20"/>
        </w:rPr>
        <w:t>plus 10 035 000 vies, réalisé plus de 5 112 000 accouchements et fait plus de 16 millions d’interventions chirurgicales. De plus, 57 brigades médicales, comptant 22 632 coopérants, ont offert leur contribution solidaire dans le monde.</w:t>
      </w:r>
    </w:p>
    <w:p>
      <w:pPr>
        <w:pStyle w:val="BodyText"/>
        <w:spacing w:before="168"/>
        <w:ind w:left="1474"/>
      </w:pPr>
      <w:r>
        <w:rPr>
          <w:color w:val="231F20"/>
          <w:spacing w:val="-6"/>
        </w:rPr>
        <w:t>Cette</w:t>
      </w:r>
      <w:r>
        <w:rPr>
          <w:color w:val="231F20"/>
          <w:spacing w:val="-5"/>
        </w:rPr>
        <w:t> </w:t>
      </w:r>
      <w:r>
        <w:rPr>
          <w:color w:val="231F20"/>
          <w:spacing w:val="-6"/>
        </w:rPr>
        <w:t>campagne</w:t>
      </w:r>
      <w:r>
        <w:rPr>
          <w:color w:val="231F20"/>
          <w:spacing w:val="-3"/>
        </w:rPr>
        <w:t> </w:t>
      </w:r>
      <w:r>
        <w:rPr>
          <w:color w:val="231F20"/>
          <w:spacing w:val="-6"/>
        </w:rPr>
        <w:t>de</w:t>
      </w:r>
      <w:r>
        <w:rPr>
          <w:color w:val="231F20"/>
          <w:spacing w:val="-2"/>
        </w:rPr>
        <w:t> </w:t>
      </w:r>
      <w:r>
        <w:rPr>
          <w:color w:val="231F20"/>
          <w:spacing w:val="-6"/>
        </w:rPr>
        <w:t>discrédit</w:t>
      </w:r>
      <w:r>
        <w:rPr>
          <w:color w:val="231F20"/>
          <w:spacing w:val="-3"/>
        </w:rPr>
        <w:t> </w:t>
      </w:r>
      <w:r>
        <w:rPr>
          <w:color w:val="231F20"/>
          <w:spacing w:val="-6"/>
        </w:rPr>
        <w:t>orchestrée</w:t>
      </w:r>
      <w:r>
        <w:rPr>
          <w:color w:val="231F20"/>
          <w:spacing w:val="-2"/>
        </w:rPr>
        <w:t> </w:t>
      </w:r>
      <w:r>
        <w:rPr>
          <w:color w:val="231F20"/>
          <w:spacing w:val="-6"/>
        </w:rPr>
        <w:t>par</w:t>
      </w:r>
    </w:p>
    <w:p>
      <w:pPr>
        <w:pStyle w:val="BodyText"/>
        <w:spacing w:before="77"/>
        <w:ind w:left="412" w:right="1137"/>
      </w:pPr>
      <w:r>
        <w:rPr/>
        <w:br w:type="column"/>
      </w:r>
      <w:r>
        <w:rPr>
          <w:color w:val="231F20"/>
        </w:rPr>
        <w:t>l’administration</w:t>
      </w:r>
      <w:r>
        <w:rPr>
          <w:color w:val="231F20"/>
          <w:spacing w:val="-16"/>
        </w:rPr>
        <w:t> </w:t>
      </w:r>
      <w:r>
        <w:rPr>
          <w:color w:val="231F20"/>
        </w:rPr>
        <w:t>étasunienne</w:t>
      </w:r>
      <w:r>
        <w:rPr>
          <w:color w:val="231F20"/>
          <w:spacing w:val="-16"/>
        </w:rPr>
        <w:t> </w:t>
      </w:r>
      <w:r>
        <w:rPr>
          <w:color w:val="231F20"/>
        </w:rPr>
        <w:t>est</w:t>
      </w:r>
      <w:r>
        <w:rPr>
          <w:color w:val="231F20"/>
          <w:spacing w:val="-16"/>
        </w:rPr>
        <w:t> </w:t>
      </w:r>
      <w:r>
        <w:rPr>
          <w:color w:val="231F20"/>
        </w:rPr>
        <w:t>immorale en toutes circonstances, et particulière </w:t>
      </w:r>
      <w:r>
        <w:rPr>
          <w:color w:val="231F20"/>
          <w:spacing w:val="-10"/>
        </w:rPr>
        <w:t>impudente</w:t>
      </w:r>
      <w:r>
        <w:rPr>
          <w:color w:val="231F20"/>
          <w:spacing w:val="-5"/>
        </w:rPr>
        <w:t> </w:t>
      </w:r>
      <w:r>
        <w:rPr>
          <w:color w:val="231F20"/>
          <w:spacing w:val="-10"/>
        </w:rPr>
        <w:t>dans</w:t>
      </w:r>
      <w:r>
        <w:rPr>
          <w:color w:val="231F20"/>
          <w:spacing w:val="-5"/>
        </w:rPr>
        <w:t> </w:t>
      </w:r>
      <w:r>
        <w:rPr>
          <w:color w:val="231F20"/>
          <w:spacing w:val="-10"/>
        </w:rPr>
        <w:t>un</w:t>
      </w:r>
      <w:r>
        <w:rPr>
          <w:color w:val="231F20"/>
          <w:spacing w:val="-5"/>
        </w:rPr>
        <w:t> </w:t>
      </w:r>
      <w:r>
        <w:rPr>
          <w:color w:val="231F20"/>
          <w:spacing w:val="-10"/>
        </w:rPr>
        <w:t>contexte</w:t>
      </w:r>
      <w:r>
        <w:rPr>
          <w:color w:val="231F20"/>
          <w:spacing w:val="-5"/>
        </w:rPr>
        <w:t> </w:t>
      </w:r>
      <w:r>
        <w:rPr>
          <w:color w:val="231F20"/>
          <w:spacing w:val="-10"/>
        </w:rPr>
        <w:t>de</w:t>
      </w:r>
      <w:r>
        <w:rPr>
          <w:color w:val="231F20"/>
          <w:spacing w:val="-5"/>
        </w:rPr>
        <w:t> </w:t>
      </w:r>
      <w:r>
        <w:rPr>
          <w:color w:val="231F20"/>
          <w:spacing w:val="-10"/>
        </w:rPr>
        <w:t>récupération </w:t>
      </w:r>
      <w:r>
        <w:rPr>
          <w:color w:val="231F20"/>
          <w:spacing w:val="-8"/>
        </w:rPr>
        <w:t>d’après-pandémie.</w:t>
      </w:r>
      <w:r>
        <w:rPr>
          <w:color w:val="231F20"/>
          <w:spacing w:val="-9"/>
        </w:rPr>
        <w:t> </w:t>
      </w:r>
      <w:r>
        <w:rPr>
          <w:color w:val="231F20"/>
          <w:spacing w:val="-8"/>
        </w:rPr>
        <w:t>Cuba a</w:t>
      </w:r>
      <w:r>
        <w:rPr>
          <w:color w:val="231F20"/>
          <w:spacing w:val="-9"/>
        </w:rPr>
        <w:t> </w:t>
      </w:r>
      <w:r>
        <w:rPr>
          <w:color w:val="231F20"/>
          <w:spacing w:val="-8"/>
        </w:rPr>
        <w:t>appuyé le</w:t>
      </w:r>
      <w:r>
        <w:rPr>
          <w:color w:val="231F20"/>
          <w:spacing w:val="-9"/>
        </w:rPr>
        <w:t> </w:t>
      </w:r>
      <w:r>
        <w:rPr>
          <w:color w:val="231F20"/>
          <w:spacing w:val="-8"/>
        </w:rPr>
        <w:t>combat contre la Covid-19 dans 42 pays et territoires </w:t>
      </w:r>
      <w:r>
        <w:rPr>
          <w:color w:val="231F20"/>
          <w:spacing w:val="-2"/>
        </w:rPr>
        <w:t>où</w:t>
      </w:r>
      <w:r>
        <w:rPr>
          <w:color w:val="231F20"/>
          <w:spacing w:val="-15"/>
        </w:rPr>
        <w:t> </w:t>
      </w:r>
      <w:r>
        <w:rPr>
          <w:color w:val="231F20"/>
          <w:spacing w:val="-2"/>
        </w:rPr>
        <w:t>sont</w:t>
      </w:r>
      <w:r>
        <w:rPr>
          <w:color w:val="231F20"/>
          <w:spacing w:val="-14"/>
        </w:rPr>
        <w:t> </w:t>
      </w:r>
      <w:r>
        <w:rPr>
          <w:color w:val="231F20"/>
          <w:spacing w:val="-2"/>
        </w:rPr>
        <w:t>arrivées</w:t>
      </w:r>
      <w:r>
        <w:rPr>
          <w:color w:val="231F20"/>
          <w:spacing w:val="-15"/>
        </w:rPr>
        <w:t> </w:t>
      </w:r>
      <w:r>
        <w:rPr>
          <w:color w:val="231F20"/>
          <w:spacing w:val="-2"/>
        </w:rPr>
        <w:t>58</w:t>
      </w:r>
      <w:r>
        <w:rPr>
          <w:color w:val="231F20"/>
          <w:spacing w:val="-14"/>
        </w:rPr>
        <w:t> </w:t>
      </w:r>
      <w:r>
        <w:rPr>
          <w:color w:val="231F20"/>
          <w:spacing w:val="-2"/>
        </w:rPr>
        <w:t>brigades</w:t>
      </w:r>
      <w:r>
        <w:rPr>
          <w:color w:val="231F20"/>
          <w:spacing w:val="-15"/>
        </w:rPr>
        <w:t> </w:t>
      </w:r>
      <w:r>
        <w:rPr>
          <w:color w:val="231F20"/>
          <w:spacing w:val="-2"/>
        </w:rPr>
        <w:t>médicales,</w:t>
      </w:r>
      <w:r>
        <w:rPr>
          <w:color w:val="231F20"/>
          <w:spacing w:val="-14"/>
        </w:rPr>
        <w:t> </w:t>
      </w:r>
      <w:r>
        <w:rPr>
          <w:color w:val="231F20"/>
          <w:spacing w:val="-2"/>
        </w:rPr>
        <w:t>qui </w:t>
      </w:r>
      <w:r>
        <w:rPr>
          <w:color w:val="231F20"/>
        </w:rPr>
        <w:t>sont venues s’ajouter aux plus de 27 000 </w:t>
      </w:r>
      <w:r>
        <w:rPr>
          <w:color w:val="231F20"/>
          <w:spacing w:val="-6"/>
        </w:rPr>
        <w:t>personnels</w:t>
      </w:r>
      <w:r>
        <w:rPr>
          <w:color w:val="231F20"/>
          <w:spacing w:val="-11"/>
        </w:rPr>
        <w:t> </w:t>
      </w:r>
      <w:r>
        <w:rPr>
          <w:color w:val="231F20"/>
          <w:spacing w:val="-6"/>
        </w:rPr>
        <w:t>de</w:t>
      </w:r>
      <w:r>
        <w:rPr>
          <w:color w:val="231F20"/>
          <w:spacing w:val="-10"/>
        </w:rPr>
        <w:t> </w:t>
      </w:r>
      <w:r>
        <w:rPr>
          <w:color w:val="231F20"/>
          <w:spacing w:val="-6"/>
        </w:rPr>
        <w:t>santé</w:t>
      </w:r>
      <w:r>
        <w:rPr>
          <w:color w:val="231F20"/>
          <w:spacing w:val="-11"/>
        </w:rPr>
        <w:t> </w:t>
      </w:r>
      <w:r>
        <w:rPr>
          <w:color w:val="231F20"/>
          <w:spacing w:val="-6"/>
        </w:rPr>
        <w:t>cubains</w:t>
      </w:r>
      <w:r>
        <w:rPr>
          <w:color w:val="231F20"/>
          <w:spacing w:val="-10"/>
        </w:rPr>
        <w:t> </w:t>
      </w:r>
      <w:r>
        <w:rPr>
          <w:color w:val="231F20"/>
          <w:spacing w:val="-6"/>
        </w:rPr>
        <w:t>qui</w:t>
      </w:r>
      <w:r>
        <w:rPr>
          <w:color w:val="231F20"/>
          <w:spacing w:val="-10"/>
        </w:rPr>
        <w:t> </w:t>
      </w:r>
      <w:r>
        <w:rPr>
          <w:color w:val="231F20"/>
          <w:spacing w:val="-6"/>
        </w:rPr>
        <w:t>travaillaient déjà</w:t>
      </w:r>
      <w:r>
        <w:rPr>
          <w:color w:val="231F20"/>
          <w:spacing w:val="-9"/>
        </w:rPr>
        <w:t> </w:t>
      </w:r>
      <w:r>
        <w:rPr>
          <w:color w:val="231F20"/>
          <w:spacing w:val="-6"/>
        </w:rPr>
        <w:t>dans</w:t>
      </w:r>
      <w:r>
        <w:rPr>
          <w:color w:val="231F20"/>
          <w:spacing w:val="-9"/>
        </w:rPr>
        <w:t> </w:t>
      </w:r>
      <w:r>
        <w:rPr>
          <w:color w:val="231F20"/>
          <w:spacing w:val="-6"/>
        </w:rPr>
        <w:t>59</w:t>
      </w:r>
      <w:r>
        <w:rPr>
          <w:color w:val="231F20"/>
          <w:spacing w:val="-9"/>
        </w:rPr>
        <w:t> </w:t>
      </w:r>
      <w:r>
        <w:rPr>
          <w:color w:val="231F20"/>
          <w:spacing w:val="-6"/>
        </w:rPr>
        <w:t>pays,</w:t>
      </w:r>
      <w:r>
        <w:rPr>
          <w:color w:val="231F20"/>
          <w:spacing w:val="-9"/>
        </w:rPr>
        <w:t> </w:t>
      </w:r>
      <w:r>
        <w:rPr>
          <w:color w:val="231F20"/>
          <w:spacing w:val="-6"/>
        </w:rPr>
        <w:t>traitant</w:t>
      </w:r>
      <w:r>
        <w:rPr>
          <w:color w:val="231F20"/>
          <w:spacing w:val="-9"/>
        </w:rPr>
        <w:t> </w:t>
      </w:r>
      <w:r>
        <w:rPr>
          <w:color w:val="231F20"/>
          <w:spacing w:val="-6"/>
        </w:rPr>
        <w:t>plus</w:t>
      </w:r>
      <w:r>
        <w:rPr>
          <w:color w:val="231F20"/>
          <w:spacing w:val="-9"/>
        </w:rPr>
        <w:t> </w:t>
      </w:r>
      <w:r>
        <w:rPr>
          <w:color w:val="231F20"/>
          <w:spacing w:val="-6"/>
        </w:rPr>
        <w:t>de</w:t>
      </w:r>
      <w:r>
        <w:rPr>
          <w:color w:val="231F20"/>
          <w:spacing w:val="-9"/>
        </w:rPr>
        <w:t> </w:t>
      </w:r>
      <w:r>
        <w:rPr>
          <w:color w:val="231F20"/>
          <w:spacing w:val="-6"/>
        </w:rPr>
        <w:t>4</w:t>
      </w:r>
      <w:r>
        <w:rPr>
          <w:color w:val="231F20"/>
          <w:spacing w:val="-9"/>
        </w:rPr>
        <w:t> </w:t>
      </w:r>
      <w:r>
        <w:rPr>
          <w:color w:val="231F20"/>
          <w:spacing w:val="-6"/>
        </w:rPr>
        <w:t>millions </w:t>
      </w:r>
      <w:r>
        <w:rPr>
          <w:color w:val="231F20"/>
        </w:rPr>
        <w:t>de</w:t>
      </w:r>
      <w:r>
        <w:rPr>
          <w:color w:val="231F20"/>
          <w:spacing w:val="-11"/>
        </w:rPr>
        <w:t> </w:t>
      </w:r>
      <w:r>
        <w:rPr>
          <w:color w:val="231F20"/>
        </w:rPr>
        <w:t>patients</w:t>
      </w:r>
      <w:r>
        <w:rPr>
          <w:color w:val="231F20"/>
          <w:spacing w:val="-11"/>
        </w:rPr>
        <w:t> </w:t>
      </w:r>
      <w:r>
        <w:rPr>
          <w:color w:val="231F20"/>
        </w:rPr>
        <w:t>et</w:t>
      </w:r>
      <w:r>
        <w:rPr>
          <w:color w:val="231F20"/>
          <w:spacing w:val="-11"/>
        </w:rPr>
        <w:t> </w:t>
      </w:r>
      <w:r>
        <w:rPr>
          <w:color w:val="231F20"/>
        </w:rPr>
        <w:t>sauvant</w:t>
      </w:r>
      <w:r>
        <w:rPr>
          <w:color w:val="231F20"/>
          <w:spacing w:val="-11"/>
        </w:rPr>
        <w:t> </w:t>
      </w:r>
      <w:r>
        <w:rPr>
          <w:color w:val="231F20"/>
        </w:rPr>
        <w:t>plus</w:t>
      </w:r>
      <w:r>
        <w:rPr>
          <w:color w:val="231F20"/>
          <w:spacing w:val="-11"/>
        </w:rPr>
        <w:t> </w:t>
      </w:r>
      <w:r>
        <w:rPr>
          <w:color w:val="231F20"/>
        </w:rPr>
        <w:t>de</w:t>
      </w:r>
      <w:r>
        <w:rPr>
          <w:color w:val="231F20"/>
          <w:spacing w:val="-11"/>
        </w:rPr>
        <w:t> </w:t>
      </w:r>
      <w:r>
        <w:rPr>
          <w:color w:val="231F20"/>
        </w:rPr>
        <w:t>80</w:t>
      </w:r>
      <w:r>
        <w:rPr>
          <w:color w:val="231F20"/>
          <w:spacing w:val="-11"/>
        </w:rPr>
        <w:t> </w:t>
      </w:r>
      <w:r>
        <w:rPr>
          <w:color w:val="231F20"/>
        </w:rPr>
        <w:t>000</w:t>
      </w:r>
      <w:r>
        <w:rPr>
          <w:color w:val="231F20"/>
          <w:spacing w:val="-11"/>
        </w:rPr>
        <w:t> </w:t>
      </w:r>
      <w:r>
        <w:rPr>
          <w:color w:val="231F20"/>
        </w:rPr>
        <w:t>vies. </w:t>
      </w:r>
      <w:r>
        <w:rPr>
          <w:color w:val="231F20"/>
          <w:spacing w:val="-2"/>
        </w:rPr>
        <w:t>Tout</w:t>
      </w:r>
      <w:r>
        <w:rPr>
          <w:color w:val="231F20"/>
          <w:spacing w:val="-15"/>
        </w:rPr>
        <w:t> </w:t>
      </w:r>
      <w:r>
        <w:rPr>
          <w:color w:val="231F20"/>
          <w:spacing w:val="-2"/>
        </w:rPr>
        <w:t>cet</w:t>
      </w:r>
      <w:r>
        <w:rPr>
          <w:color w:val="231F20"/>
          <w:spacing w:val="-14"/>
        </w:rPr>
        <w:t> </w:t>
      </w:r>
      <w:r>
        <w:rPr>
          <w:color w:val="231F20"/>
          <w:spacing w:val="-2"/>
        </w:rPr>
        <w:t>immense</w:t>
      </w:r>
      <w:r>
        <w:rPr>
          <w:color w:val="231F20"/>
          <w:spacing w:val="-15"/>
        </w:rPr>
        <w:t> </w:t>
      </w:r>
      <w:r>
        <w:rPr>
          <w:color w:val="231F20"/>
          <w:spacing w:val="-2"/>
        </w:rPr>
        <w:t>effort</w:t>
      </w:r>
      <w:r>
        <w:rPr>
          <w:color w:val="231F20"/>
          <w:spacing w:val="-14"/>
        </w:rPr>
        <w:t> </w:t>
      </w:r>
      <w:r>
        <w:rPr>
          <w:color w:val="231F20"/>
          <w:spacing w:val="-2"/>
        </w:rPr>
        <w:t>s’est</w:t>
      </w:r>
      <w:r>
        <w:rPr>
          <w:color w:val="231F20"/>
          <w:spacing w:val="-15"/>
        </w:rPr>
        <w:t> </w:t>
      </w:r>
      <w:r>
        <w:rPr>
          <w:color w:val="231F20"/>
          <w:spacing w:val="-2"/>
        </w:rPr>
        <w:t>inscrit</w:t>
      </w:r>
      <w:r>
        <w:rPr>
          <w:color w:val="231F20"/>
          <w:spacing w:val="-14"/>
        </w:rPr>
        <w:t> </w:t>
      </w:r>
      <w:r>
        <w:rPr>
          <w:color w:val="231F20"/>
          <w:spacing w:val="-2"/>
        </w:rPr>
        <w:t>dans</w:t>
      </w:r>
      <w:r>
        <w:rPr>
          <w:color w:val="231F20"/>
          <w:spacing w:val="-15"/>
        </w:rPr>
        <w:t> </w:t>
      </w:r>
      <w:r>
        <w:rPr>
          <w:color w:val="231F20"/>
          <w:spacing w:val="-2"/>
        </w:rPr>
        <w:t>le </w:t>
      </w:r>
      <w:r>
        <w:rPr>
          <w:color w:val="231F20"/>
          <w:spacing w:val="-8"/>
        </w:rPr>
        <w:t>droit fil des principes éthiques et humanistes </w:t>
      </w:r>
      <w:r>
        <w:rPr>
          <w:color w:val="231F20"/>
          <w:spacing w:val="-2"/>
        </w:rPr>
        <w:t>sur</w:t>
      </w:r>
      <w:r>
        <w:rPr>
          <w:color w:val="231F20"/>
          <w:spacing w:val="-15"/>
        </w:rPr>
        <w:t> </w:t>
      </w:r>
      <w:r>
        <w:rPr>
          <w:color w:val="231F20"/>
          <w:spacing w:val="-2"/>
        </w:rPr>
        <w:t>lesquels</w:t>
      </w:r>
      <w:r>
        <w:rPr>
          <w:color w:val="231F20"/>
          <w:spacing w:val="-15"/>
        </w:rPr>
        <w:t> </w:t>
      </w:r>
      <w:r>
        <w:rPr>
          <w:color w:val="231F20"/>
          <w:spacing w:val="-2"/>
        </w:rPr>
        <w:t>s’édifie</w:t>
      </w:r>
      <w:r>
        <w:rPr>
          <w:color w:val="231F20"/>
          <w:spacing w:val="-15"/>
        </w:rPr>
        <w:t> </w:t>
      </w:r>
      <w:r>
        <w:rPr>
          <w:color w:val="231F20"/>
          <w:spacing w:val="-2"/>
        </w:rPr>
        <w:t>la</w:t>
      </w:r>
      <w:r>
        <w:rPr>
          <w:color w:val="231F20"/>
          <w:spacing w:val="-15"/>
        </w:rPr>
        <w:t> </w:t>
      </w:r>
      <w:r>
        <w:rPr>
          <w:color w:val="231F20"/>
          <w:spacing w:val="-2"/>
        </w:rPr>
        <w:t>société</w:t>
      </w:r>
      <w:r>
        <w:rPr>
          <w:color w:val="231F20"/>
          <w:spacing w:val="-15"/>
        </w:rPr>
        <w:t> </w:t>
      </w:r>
      <w:r>
        <w:rPr>
          <w:color w:val="231F20"/>
          <w:spacing w:val="-2"/>
        </w:rPr>
        <w:t>cubaine.</w:t>
      </w:r>
    </w:p>
    <w:p>
      <w:pPr>
        <w:spacing w:before="169"/>
        <w:ind w:left="412" w:right="1133" w:firstLine="0"/>
        <w:jc w:val="both"/>
        <w:rPr>
          <w:rFonts w:ascii="Segoe UI Semibold" w:hAnsi="Segoe UI Semibold"/>
          <w:b/>
          <w:i/>
          <w:sz w:val="24"/>
        </w:rPr>
      </w:pPr>
      <w:r>
        <w:rPr>
          <w:b/>
          <w:i/>
          <w:color w:val="B52628"/>
          <w:spacing w:val="-6"/>
          <w:sz w:val="24"/>
        </w:rPr>
        <w:t>L’alimentation</w:t>
      </w:r>
      <w:r>
        <w:rPr>
          <w:b/>
          <w:i/>
          <w:color w:val="B52628"/>
          <w:spacing w:val="-10"/>
          <w:sz w:val="24"/>
        </w:rPr>
        <w:t> </w:t>
      </w:r>
      <w:r>
        <w:rPr>
          <w:b/>
          <w:i/>
          <w:color w:val="B52628"/>
          <w:spacing w:val="-6"/>
          <w:sz w:val="24"/>
        </w:rPr>
        <w:t>et</w:t>
      </w:r>
      <w:r>
        <w:rPr>
          <w:b/>
          <w:i/>
          <w:color w:val="B52628"/>
          <w:spacing w:val="-10"/>
          <w:sz w:val="24"/>
        </w:rPr>
        <w:t> </w:t>
      </w:r>
      <w:r>
        <w:rPr>
          <w:b/>
          <w:i/>
          <w:color w:val="B52628"/>
          <w:spacing w:val="-6"/>
          <w:sz w:val="24"/>
        </w:rPr>
        <w:t>l’agriculture</w:t>
      </w:r>
      <w:r>
        <w:rPr>
          <w:b/>
          <w:i/>
          <w:color w:val="B52628"/>
          <w:spacing w:val="-10"/>
          <w:sz w:val="24"/>
        </w:rPr>
        <w:t> </w:t>
      </w:r>
      <w:r>
        <w:rPr>
          <w:rFonts w:ascii="Segoe UI Semibold" w:hAnsi="Segoe UI Semibold"/>
          <w:b/>
          <w:i/>
          <w:color w:val="231F20"/>
          <w:spacing w:val="-6"/>
          <w:sz w:val="24"/>
        </w:rPr>
        <w:t>constituent</w:t>
      </w:r>
      <w:r>
        <w:rPr>
          <w:rFonts w:ascii="Segoe UI Semibold" w:hAnsi="Segoe UI Semibold"/>
          <w:b/>
          <w:i/>
          <w:color w:val="231F20"/>
          <w:spacing w:val="-6"/>
          <w:sz w:val="24"/>
        </w:rPr>
        <w:t> </w:t>
      </w:r>
      <w:r>
        <w:rPr>
          <w:rFonts w:ascii="Segoe UI Semibold" w:hAnsi="Segoe UI Semibold"/>
          <w:b/>
          <w:i/>
          <w:color w:val="231F20"/>
          <w:sz w:val="24"/>
        </w:rPr>
        <w:t>la base qui doit permettre d’attendre la sécurité et la souveraineté alimentaires, deux</w:t>
      </w:r>
      <w:r>
        <w:rPr>
          <w:rFonts w:ascii="Segoe UI Semibold" w:hAnsi="Segoe UI Semibold"/>
          <w:b/>
          <w:i/>
          <w:color w:val="231F20"/>
          <w:spacing w:val="-15"/>
          <w:sz w:val="24"/>
        </w:rPr>
        <w:t> </w:t>
      </w:r>
      <w:r>
        <w:rPr>
          <w:rFonts w:ascii="Segoe UI Semibold" w:hAnsi="Segoe UI Semibold"/>
          <w:b/>
          <w:i/>
          <w:color w:val="231F20"/>
          <w:sz w:val="24"/>
        </w:rPr>
        <w:t>objectifs</w:t>
      </w:r>
      <w:r>
        <w:rPr>
          <w:rFonts w:ascii="Segoe UI Semibold" w:hAnsi="Segoe UI Semibold"/>
          <w:b/>
          <w:i/>
          <w:color w:val="231F20"/>
          <w:spacing w:val="-15"/>
          <w:sz w:val="24"/>
        </w:rPr>
        <w:t> </w:t>
      </w:r>
      <w:r>
        <w:rPr>
          <w:rFonts w:ascii="Segoe UI Semibold" w:hAnsi="Segoe UI Semibold"/>
          <w:b/>
          <w:i/>
          <w:color w:val="231F20"/>
          <w:sz w:val="24"/>
        </w:rPr>
        <w:t>qui</w:t>
      </w:r>
      <w:r>
        <w:rPr>
          <w:rFonts w:ascii="Segoe UI Semibold" w:hAnsi="Segoe UI Semibold"/>
          <w:b/>
          <w:i/>
          <w:color w:val="231F20"/>
          <w:spacing w:val="-15"/>
          <w:sz w:val="24"/>
        </w:rPr>
        <w:t> </w:t>
      </w:r>
      <w:r>
        <w:rPr>
          <w:rFonts w:ascii="Segoe UI Semibold" w:hAnsi="Segoe UI Semibold"/>
          <w:b/>
          <w:i/>
          <w:color w:val="231F20"/>
          <w:sz w:val="24"/>
        </w:rPr>
        <w:t>font</w:t>
      </w:r>
      <w:r>
        <w:rPr>
          <w:rFonts w:ascii="Segoe UI Semibold" w:hAnsi="Segoe UI Semibold"/>
          <w:b/>
          <w:i/>
          <w:color w:val="231F20"/>
          <w:spacing w:val="-15"/>
          <w:sz w:val="24"/>
        </w:rPr>
        <w:t> </w:t>
      </w:r>
      <w:r>
        <w:rPr>
          <w:rFonts w:ascii="Segoe UI Semibold" w:hAnsi="Segoe UI Semibold"/>
          <w:b/>
          <w:i/>
          <w:color w:val="231F20"/>
          <w:sz w:val="24"/>
        </w:rPr>
        <w:t>partie</w:t>
      </w:r>
      <w:r>
        <w:rPr>
          <w:rFonts w:ascii="Segoe UI Semibold" w:hAnsi="Segoe UI Semibold"/>
          <w:b/>
          <w:i/>
          <w:color w:val="231F20"/>
          <w:spacing w:val="-15"/>
          <w:sz w:val="24"/>
        </w:rPr>
        <w:t> </w:t>
      </w:r>
      <w:r>
        <w:rPr>
          <w:rFonts w:ascii="Segoe UI Semibold" w:hAnsi="Segoe UI Semibold"/>
          <w:b/>
          <w:i/>
          <w:color w:val="231F20"/>
          <w:sz w:val="24"/>
        </w:rPr>
        <w:t>des</w:t>
      </w:r>
      <w:r>
        <w:rPr>
          <w:rFonts w:ascii="Segoe UI Semibold" w:hAnsi="Segoe UI Semibold"/>
          <w:b/>
          <w:i/>
          <w:color w:val="231F20"/>
          <w:spacing w:val="-15"/>
          <w:sz w:val="24"/>
        </w:rPr>
        <w:t> </w:t>
      </w:r>
      <w:r>
        <w:rPr>
          <w:rFonts w:ascii="Segoe UI Semibold" w:hAnsi="Segoe UI Semibold"/>
          <w:b/>
          <w:i/>
          <w:color w:val="231F20"/>
          <w:sz w:val="24"/>
        </w:rPr>
        <w:t>priorités du gouvernement cubain et qui sont directement liés à la mise en œuvre du </w:t>
      </w:r>
      <w:r>
        <w:rPr>
          <w:rFonts w:ascii="Segoe UI Semibold" w:hAnsi="Segoe UI Semibold"/>
          <w:b/>
          <w:i/>
          <w:color w:val="231F20"/>
          <w:spacing w:val="-2"/>
          <w:sz w:val="24"/>
        </w:rPr>
        <w:t>Plan</w:t>
      </w:r>
      <w:r>
        <w:rPr>
          <w:rFonts w:ascii="Segoe UI Semibold" w:hAnsi="Segoe UI Semibold"/>
          <w:b/>
          <w:i/>
          <w:color w:val="231F20"/>
          <w:spacing w:val="-15"/>
          <w:sz w:val="24"/>
        </w:rPr>
        <w:t> </w:t>
      </w:r>
      <w:r>
        <w:rPr>
          <w:rFonts w:ascii="Segoe UI Semibold" w:hAnsi="Segoe UI Semibold"/>
          <w:b/>
          <w:i/>
          <w:color w:val="231F20"/>
          <w:spacing w:val="-2"/>
          <w:sz w:val="24"/>
        </w:rPr>
        <w:t>national</w:t>
      </w:r>
      <w:r>
        <w:rPr>
          <w:rFonts w:ascii="Segoe UI Semibold" w:hAnsi="Segoe UI Semibold"/>
          <w:b/>
          <w:i/>
          <w:color w:val="231F20"/>
          <w:spacing w:val="-14"/>
          <w:sz w:val="24"/>
        </w:rPr>
        <w:t> </w:t>
      </w:r>
      <w:r>
        <w:rPr>
          <w:rFonts w:ascii="Segoe UI Semibold" w:hAnsi="Segoe UI Semibold"/>
          <w:b/>
          <w:i/>
          <w:color w:val="231F20"/>
          <w:spacing w:val="-2"/>
          <w:sz w:val="24"/>
        </w:rPr>
        <w:t>de</w:t>
      </w:r>
      <w:r>
        <w:rPr>
          <w:rFonts w:ascii="Segoe UI Semibold" w:hAnsi="Segoe UI Semibold"/>
          <w:b/>
          <w:i/>
          <w:color w:val="231F20"/>
          <w:spacing w:val="-15"/>
          <w:sz w:val="24"/>
        </w:rPr>
        <w:t> </w:t>
      </w:r>
      <w:r>
        <w:rPr>
          <w:rFonts w:ascii="Segoe UI Semibold" w:hAnsi="Segoe UI Semibold"/>
          <w:b/>
          <w:i/>
          <w:color w:val="231F20"/>
          <w:spacing w:val="-2"/>
          <w:sz w:val="24"/>
        </w:rPr>
        <w:t>souveraineté</w:t>
      </w:r>
      <w:r>
        <w:rPr>
          <w:rFonts w:ascii="Segoe UI Semibold" w:hAnsi="Segoe UI Semibold"/>
          <w:b/>
          <w:i/>
          <w:color w:val="231F20"/>
          <w:spacing w:val="-14"/>
          <w:sz w:val="24"/>
        </w:rPr>
        <w:t> </w:t>
      </w:r>
      <w:r>
        <w:rPr>
          <w:rFonts w:ascii="Segoe UI Semibold" w:hAnsi="Segoe UI Semibold"/>
          <w:b/>
          <w:i/>
          <w:color w:val="231F20"/>
          <w:spacing w:val="-2"/>
          <w:sz w:val="24"/>
        </w:rPr>
        <w:t>alimentaire </w:t>
      </w:r>
      <w:r>
        <w:rPr>
          <w:rFonts w:ascii="Segoe UI Semibold" w:hAnsi="Segoe UI Semibold"/>
          <w:b/>
          <w:i/>
          <w:color w:val="231F20"/>
          <w:sz w:val="24"/>
        </w:rPr>
        <w:t>et d’éducation nutritionnelle (Plan SAN) et à la réalisation du Programme des Nations Unies à l’horizon 2030 et de ses Objectifs de développement durable.</w:t>
      </w:r>
    </w:p>
    <w:p>
      <w:pPr>
        <w:pStyle w:val="BodyText"/>
        <w:spacing w:before="158"/>
        <w:ind w:left="412" w:right="1130"/>
      </w:pPr>
      <w:r>
        <w:rPr>
          <w:color w:val="231F20"/>
        </w:rPr>
        <w:t>La Loi de souveraineté alimentaire et de sécurité alimentaire et </w:t>
      </w:r>
      <w:r>
        <w:rPr>
          <w:color w:val="231F20"/>
        </w:rPr>
        <w:t>nutritionnelle, adoptée en mai 2022, prend sa source dans la Constitution de la République de Cuba qui reconnaît expressément le droit des</w:t>
      </w:r>
      <w:r>
        <w:rPr>
          <w:color w:val="231F20"/>
          <w:spacing w:val="-10"/>
        </w:rPr>
        <w:t> </w:t>
      </w:r>
      <w:r>
        <w:rPr>
          <w:color w:val="231F20"/>
        </w:rPr>
        <w:t>personnes</w:t>
      </w:r>
      <w:r>
        <w:rPr>
          <w:color w:val="231F20"/>
          <w:spacing w:val="-11"/>
        </w:rPr>
        <w:t> </w:t>
      </w:r>
      <w:r>
        <w:rPr>
          <w:color w:val="231F20"/>
        </w:rPr>
        <w:t>à</w:t>
      </w:r>
      <w:r>
        <w:rPr>
          <w:color w:val="231F20"/>
          <w:spacing w:val="-10"/>
        </w:rPr>
        <w:t> </w:t>
      </w:r>
      <w:r>
        <w:rPr>
          <w:color w:val="231F20"/>
        </w:rPr>
        <w:t>une</w:t>
      </w:r>
      <w:r>
        <w:rPr>
          <w:color w:val="231F20"/>
          <w:spacing w:val="-11"/>
        </w:rPr>
        <w:t> </w:t>
      </w:r>
      <w:r>
        <w:rPr>
          <w:color w:val="231F20"/>
        </w:rPr>
        <w:t>alimentation</w:t>
      </w:r>
      <w:r>
        <w:rPr>
          <w:color w:val="231F20"/>
          <w:spacing w:val="-10"/>
        </w:rPr>
        <w:t> </w:t>
      </w:r>
      <w:r>
        <w:rPr>
          <w:color w:val="231F20"/>
        </w:rPr>
        <w:t>saine</w:t>
      </w:r>
      <w:r>
        <w:rPr>
          <w:color w:val="231F20"/>
          <w:spacing w:val="-11"/>
        </w:rPr>
        <w:t> </w:t>
      </w:r>
      <w:r>
        <w:rPr>
          <w:color w:val="231F20"/>
        </w:rPr>
        <w:t>et </w:t>
      </w:r>
      <w:r>
        <w:rPr>
          <w:color w:val="231F20"/>
          <w:spacing w:val="-2"/>
        </w:rPr>
        <w:t>adéquate,</w:t>
      </w:r>
      <w:r>
        <w:rPr>
          <w:color w:val="231F20"/>
          <w:spacing w:val="-15"/>
        </w:rPr>
        <w:t> </w:t>
      </w:r>
      <w:r>
        <w:rPr>
          <w:color w:val="231F20"/>
          <w:spacing w:val="-2"/>
        </w:rPr>
        <w:t>et</w:t>
      </w:r>
      <w:r>
        <w:rPr>
          <w:color w:val="231F20"/>
          <w:spacing w:val="-14"/>
        </w:rPr>
        <w:t> </w:t>
      </w:r>
      <w:r>
        <w:rPr>
          <w:color w:val="231F20"/>
          <w:spacing w:val="-2"/>
        </w:rPr>
        <w:t>elle</w:t>
      </w:r>
      <w:r>
        <w:rPr>
          <w:color w:val="231F20"/>
          <w:spacing w:val="-15"/>
        </w:rPr>
        <w:t> </w:t>
      </w:r>
      <w:r>
        <w:rPr>
          <w:color w:val="231F20"/>
          <w:spacing w:val="-2"/>
        </w:rPr>
        <w:t>réglemente</w:t>
      </w:r>
      <w:r>
        <w:rPr>
          <w:color w:val="231F20"/>
          <w:spacing w:val="-14"/>
        </w:rPr>
        <w:t> </w:t>
      </w:r>
      <w:r>
        <w:rPr>
          <w:color w:val="231F20"/>
          <w:spacing w:val="-2"/>
        </w:rPr>
        <w:t>l’organisation </w:t>
      </w:r>
      <w:r>
        <w:rPr>
          <w:color w:val="231F20"/>
        </w:rPr>
        <w:t>des systèmes alimentaires locaux qui articulent</w:t>
      </w:r>
      <w:r>
        <w:rPr>
          <w:color w:val="231F20"/>
          <w:spacing w:val="80"/>
        </w:rPr>
        <w:t> </w:t>
      </w:r>
      <w:r>
        <w:rPr>
          <w:color w:val="231F20"/>
        </w:rPr>
        <w:t>de</w:t>
      </w:r>
      <w:r>
        <w:rPr>
          <w:color w:val="231F20"/>
          <w:spacing w:val="80"/>
        </w:rPr>
        <w:t> </w:t>
      </w:r>
      <w:r>
        <w:rPr>
          <w:color w:val="231F20"/>
        </w:rPr>
        <w:t>manière</w:t>
      </w:r>
      <w:r>
        <w:rPr>
          <w:color w:val="231F20"/>
          <w:spacing w:val="80"/>
        </w:rPr>
        <w:t> </w:t>
      </w:r>
      <w:r>
        <w:rPr>
          <w:color w:val="231F20"/>
        </w:rPr>
        <w:t>intersectorielle</w:t>
      </w:r>
      <w:r>
        <w:rPr>
          <w:color w:val="231F20"/>
          <w:spacing w:val="80"/>
          <w:w w:val="150"/>
        </w:rPr>
        <w:t> </w:t>
      </w:r>
      <w:r>
        <w:rPr>
          <w:color w:val="231F20"/>
        </w:rPr>
        <w:t>et interinstitutionnelle la production, la transformation, la commercialisation et la consommation d’aliments.</w:t>
      </w:r>
    </w:p>
    <w:p>
      <w:pPr>
        <w:spacing w:before="168"/>
        <w:ind w:left="412" w:right="1132" w:firstLine="0"/>
        <w:jc w:val="both"/>
        <w:rPr>
          <w:rFonts w:ascii="Segoe UI Semibold" w:hAnsi="Segoe UI Semibold"/>
          <w:b/>
          <w:i/>
          <w:sz w:val="24"/>
        </w:rPr>
      </w:pPr>
      <w:r>
        <w:rPr>
          <w:rFonts w:ascii="Segoe UI Semibold" w:hAnsi="Segoe UI Semibold"/>
          <w:b/>
          <w:i/>
          <w:color w:val="231F20"/>
          <w:spacing w:val="-2"/>
          <w:sz w:val="24"/>
        </w:rPr>
        <w:t>Bien</w:t>
      </w:r>
      <w:r>
        <w:rPr>
          <w:rFonts w:ascii="Segoe UI Semibold" w:hAnsi="Segoe UI Semibold"/>
          <w:b/>
          <w:i/>
          <w:color w:val="231F20"/>
          <w:spacing w:val="-11"/>
          <w:sz w:val="24"/>
        </w:rPr>
        <w:t> </w:t>
      </w:r>
      <w:r>
        <w:rPr>
          <w:rFonts w:ascii="Segoe UI Semibold" w:hAnsi="Segoe UI Semibold"/>
          <w:b/>
          <w:i/>
          <w:color w:val="231F20"/>
          <w:spacing w:val="-2"/>
          <w:sz w:val="24"/>
        </w:rPr>
        <w:t>que</w:t>
      </w:r>
      <w:r>
        <w:rPr>
          <w:rFonts w:ascii="Segoe UI Semibold" w:hAnsi="Segoe UI Semibold"/>
          <w:b/>
          <w:i/>
          <w:color w:val="231F20"/>
          <w:spacing w:val="-11"/>
          <w:sz w:val="24"/>
        </w:rPr>
        <w:t> </w:t>
      </w:r>
      <w:r>
        <w:rPr>
          <w:rFonts w:ascii="Segoe UI Semibold" w:hAnsi="Segoe UI Semibold"/>
          <w:b/>
          <w:i/>
          <w:color w:val="231F20"/>
          <w:spacing w:val="-2"/>
          <w:sz w:val="24"/>
        </w:rPr>
        <w:t>l’État</w:t>
      </w:r>
      <w:r>
        <w:rPr>
          <w:rFonts w:ascii="Segoe UI Semibold" w:hAnsi="Segoe UI Semibold"/>
          <w:b/>
          <w:i/>
          <w:color w:val="231F20"/>
          <w:spacing w:val="-11"/>
          <w:sz w:val="24"/>
        </w:rPr>
        <w:t> </w:t>
      </w:r>
      <w:r>
        <w:rPr>
          <w:rFonts w:ascii="Segoe UI Semibold" w:hAnsi="Segoe UI Semibold"/>
          <w:b/>
          <w:i/>
          <w:color w:val="231F20"/>
          <w:spacing w:val="-2"/>
          <w:sz w:val="24"/>
        </w:rPr>
        <w:t>cubain</w:t>
      </w:r>
      <w:r>
        <w:rPr>
          <w:rFonts w:ascii="Segoe UI Semibold" w:hAnsi="Segoe UI Semibold"/>
          <w:b/>
          <w:i/>
          <w:color w:val="231F20"/>
          <w:spacing w:val="-11"/>
          <w:sz w:val="24"/>
        </w:rPr>
        <w:t> </w:t>
      </w:r>
      <w:r>
        <w:rPr>
          <w:rFonts w:ascii="Segoe UI Semibold" w:hAnsi="Segoe UI Semibold"/>
          <w:b/>
          <w:i/>
          <w:color w:val="231F20"/>
          <w:spacing w:val="-2"/>
          <w:sz w:val="24"/>
        </w:rPr>
        <w:t>consacre</w:t>
      </w:r>
      <w:r>
        <w:rPr>
          <w:rFonts w:ascii="Segoe UI Semibold" w:hAnsi="Segoe UI Semibold"/>
          <w:b/>
          <w:i/>
          <w:color w:val="231F20"/>
          <w:spacing w:val="-11"/>
          <w:sz w:val="24"/>
        </w:rPr>
        <w:t> </w:t>
      </w:r>
      <w:r>
        <w:rPr>
          <w:rFonts w:ascii="Segoe UI Semibold" w:hAnsi="Segoe UI Semibold"/>
          <w:b/>
          <w:i/>
          <w:color w:val="231F20"/>
          <w:spacing w:val="-2"/>
          <w:sz w:val="24"/>
        </w:rPr>
        <w:t>de</w:t>
      </w:r>
      <w:r>
        <w:rPr>
          <w:rFonts w:ascii="Segoe UI Semibold" w:hAnsi="Segoe UI Semibold"/>
          <w:b/>
          <w:i/>
          <w:color w:val="231F20"/>
          <w:spacing w:val="-11"/>
          <w:sz w:val="24"/>
        </w:rPr>
        <w:t> </w:t>
      </w:r>
      <w:r>
        <w:rPr>
          <w:rFonts w:ascii="Segoe UI Semibold" w:hAnsi="Segoe UI Semibold"/>
          <w:b/>
          <w:i/>
          <w:color w:val="231F20"/>
          <w:spacing w:val="-2"/>
          <w:sz w:val="24"/>
        </w:rPr>
        <w:t>grosses</w:t>
      </w:r>
      <w:r>
        <w:rPr>
          <w:rFonts w:ascii="Segoe UI Semibold" w:hAnsi="Segoe UI Semibold"/>
          <w:b/>
          <w:i/>
          <w:color w:val="231F20"/>
          <w:spacing w:val="-2"/>
          <w:sz w:val="24"/>
        </w:rPr>
        <w:t> </w:t>
      </w:r>
      <w:r>
        <w:rPr>
          <w:rFonts w:ascii="Segoe UI Semibold" w:hAnsi="Segoe UI Semibold"/>
          <w:b/>
          <w:i/>
          <w:color w:val="231F20"/>
          <w:sz w:val="24"/>
        </w:rPr>
        <w:t>ressources et consente de gros efforts au </w:t>
      </w:r>
      <w:r>
        <w:rPr>
          <w:rFonts w:ascii="Segoe UI Semibold" w:hAnsi="Segoe UI Semibold"/>
          <w:b/>
          <w:i/>
          <w:color w:val="231F20"/>
          <w:spacing w:val="-10"/>
          <w:sz w:val="24"/>
        </w:rPr>
        <w:t>développement</w:t>
      </w:r>
      <w:r>
        <w:rPr>
          <w:rFonts w:ascii="Segoe UI Semibold" w:hAnsi="Segoe UI Semibold"/>
          <w:b/>
          <w:i/>
          <w:color w:val="231F20"/>
          <w:spacing w:val="-7"/>
          <w:sz w:val="24"/>
        </w:rPr>
        <w:t> </w:t>
      </w:r>
      <w:r>
        <w:rPr>
          <w:rFonts w:ascii="Segoe UI Semibold" w:hAnsi="Segoe UI Semibold"/>
          <w:b/>
          <w:i/>
          <w:color w:val="231F20"/>
          <w:spacing w:val="-10"/>
          <w:sz w:val="24"/>
        </w:rPr>
        <w:t>du</w:t>
      </w:r>
      <w:r>
        <w:rPr>
          <w:rFonts w:ascii="Segoe UI Semibold" w:hAnsi="Segoe UI Semibold"/>
          <w:b/>
          <w:i/>
          <w:color w:val="231F20"/>
          <w:spacing w:val="-6"/>
          <w:sz w:val="24"/>
        </w:rPr>
        <w:t> </w:t>
      </w:r>
      <w:r>
        <w:rPr>
          <w:rFonts w:ascii="Segoe UI Semibold" w:hAnsi="Segoe UI Semibold"/>
          <w:b/>
          <w:i/>
          <w:color w:val="231F20"/>
          <w:spacing w:val="-10"/>
          <w:sz w:val="24"/>
        </w:rPr>
        <w:t>secteur</w:t>
      </w:r>
      <w:r>
        <w:rPr>
          <w:rFonts w:ascii="Segoe UI Semibold" w:hAnsi="Segoe UI Semibold"/>
          <w:b/>
          <w:i/>
          <w:color w:val="231F20"/>
          <w:spacing w:val="-7"/>
          <w:sz w:val="24"/>
        </w:rPr>
        <w:t> </w:t>
      </w:r>
      <w:r>
        <w:rPr>
          <w:rFonts w:ascii="Segoe UI Semibold" w:hAnsi="Segoe UI Semibold"/>
          <w:b/>
          <w:i/>
          <w:color w:val="231F20"/>
          <w:spacing w:val="-10"/>
          <w:sz w:val="24"/>
        </w:rPr>
        <w:t>agricole,</w:t>
      </w:r>
      <w:r>
        <w:rPr>
          <w:rFonts w:ascii="Segoe UI Semibold" w:hAnsi="Segoe UI Semibold"/>
          <w:b/>
          <w:i/>
          <w:color w:val="231F20"/>
          <w:spacing w:val="-6"/>
          <w:sz w:val="24"/>
        </w:rPr>
        <w:t> </w:t>
      </w:r>
      <w:r>
        <w:rPr>
          <w:rFonts w:ascii="Segoe UI Semibold" w:hAnsi="Segoe UI Semibold"/>
          <w:b/>
          <w:i/>
          <w:color w:val="231F20"/>
          <w:spacing w:val="-10"/>
          <w:sz w:val="24"/>
        </w:rPr>
        <w:t>le</w:t>
      </w:r>
      <w:r>
        <w:rPr>
          <w:rFonts w:ascii="Segoe UI Semibold" w:hAnsi="Segoe UI Semibold"/>
          <w:b/>
          <w:i/>
          <w:color w:val="231F20"/>
          <w:spacing w:val="-7"/>
          <w:sz w:val="24"/>
        </w:rPr>
        <w:t> </w:t>
      </w:r>
      <w:r>
        <w:rPr>
          <w:rFonts w:ascii="Segoe UI Semibold" w:hAnsi="Segoe UI Semibold"/>
          <w:b/>
          <w:i/>
          <w:color w:val="231F20"/>
          <w:spacing w:val="-10"/>
          <w:sz w:val="24"/>
        </w:rPr>
        <w:t>blocus </w:t>
      </w:r>
      <w:r>
        <w:rPr>
          <w:rFonts w:ascii="Segoe UI Semibold" w:hAnsi="Segoe UI Semibold"/>
          <w:b/>
          <w:i/>
          <w:color w:val="231F20"/>
          <w:sz w:val="24"/>
        </w:rPr>
        <w:t>a</w:t>
      </w:r>
      <w:r>
        <w:rPr>
          <w:rFonts w:ascii="Segoe UI Semibold" w:hAnsi="Segoe UI Semibold"/>
          <w:b/>
          <w:i/>
          <w:color w:val="231F20"/>
          <w:spacing w:val="-17"/>
          <w:sz w:val="24"/>
        </w:rPr>
        <w:t>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lourdes</w:t>
      </w:r>
      <w:r>
        <w:rPr>
          <w:rFonts w:ascii="Segoe UI Semibold" w:hAnsi="Segoe UI Semibold"/>
          <w:b/>
          <w:i/>
          <w:color w:val="231F20"/>
          <w:spacing w:val="-17"/>
          <w:sz w:val="24"/>
        </w:rPr>
        <w:t> </w:t>
      </w:r>
      <w:r>
        <w:rPr>
          <w:rFonts w:ascii="Segoe UI Semibold" w:hAnsi="Segoe UI Semibold"/>
          <w:b/>
          <w:i/>
          <w:color w:val="231F20"/>
          <w:sz w:val="24"/>
        </w:rPr>
        <w:t>retombées</w:t>
      </w:r>
      <w:r>
        <w:rPr>
          <w:rFonts w:ascii="Segoe UI Semibold" w:hAnsi="Segoe UI Semibold"/>
          <w:b/>
          <w:i/>
          <w:color w:val="231F20"/>
          <w:spacing w:val="-16"/>
          <w:sz w:val="24"/>
        </w:rPr>
        <w:t> </w:t>
      </w:r>
      <w:r>
        <w:rPr>
          <w:rFonts w:ascii="Segoe UI Semibold" w:hAnsi="Segoe UI Semibold"/>
          <w:b/>
          <w:i/>
          <w:color w:val="231F20"/>
          <w:sz w:val="24"/>
        </w:rPr>
        <w:t>dans</w:t>
      </w:r>
      <w:r>
        <w:rPr>
          <w:rFonts w:ascii="Segoe UI Semibold" w:hAnsi="Segoe UI Semibold"/>
          <w:b/>
          <w:i/>
          <w:color w:val="231F20"/>
          <w:spacing w:val="-17"/>
          <w:sz w:val="24"/>
        </w:rPr>
        <w:t> </w:t>
      </w:r>
      <w:r>
        <w:rPr>
          <w:rFonts w:ascii="Segoe UI Semibold" w:hAnsi="Segoe UI Semibold"/>
          <w:b/>
          <w:i/>
          <w:color w:val="231F20"/>
          <w:sz w:val="24"/>
        </w:rPr>
        <w:t>ce</w:t>
      </w:r>
      <w:r>
        <w:rPr>
          <w:rFonts w:ascii="Segoe UI Semibold" w:hAnsi="Segoe UI Semibold"/>
          <w:b/>
          <w:i/>
          <w:color w:val="231F20"/>
          <w:spacing w:val="-16"/>
          <w:sz w:val="24"/>
        </w:rPr>
        <w:t> </w:t>
      </w:r>
      <w:r>
        <w:rPr>
          <w:rFonts w:ascii="Segoe UI Semibold" w:hAnsi="Segoe UI Semibold"/>
          <w:b/>
          <w:i/>
          <w:color w:val="231F20"/>
          <w:sz w:val="24"/>
        </w:rPr>
        <w:t>domaine</w:t>
      </w:r>
      <w:r>
        <w:rPr>
          <w:rFonts w:ascii="Segoe UI Semibold" w:hAnsi="Segoe UI Semibold"/>
          <w:b/>
          <w:i/>
          <w:color w:val="231F20"/>
          <w:spacing w:val="-17"/>
          <w:sz w:val="24"/>
        </w:rPr>
        <w:t> </w:t>
      </w:r>
      <w:r>
        <w:rPr>
          <w:rFonts w:ascii="Segoe UI Semibold" w:hAnsi="Segoe UI Semibold"/>
          <w:b/>
          <w:i/>
          <w:color w:val="231F20"/>
          <w:sz w:val="24"/>
        </w:rPr>
        <w:t>: </w:t>
      </w:r>
      <w:r>
        <w:rPr>
          <w:rFonts w:ascii="Segoe UI Semibold" w:hAnsi="Segoe UI Semibold"/>
          <w:b/>
          <w:i/>
          <w:color w:val="231F20"/>
          <w:spacing w:val="-10"/>
          <w:sz w:val="24"/>
        </w:rPr>
        <w:t>de</w:t>
      </w:r>
      <w:r>
        <w:rPr>
          <w:rFonts w:ascii="Segoe UI Semibold" w:hAnsi="Segoe UI Semibold"/>
          <w:b/>
          <w:i/>
          <w:color w:val="231F20"/>
          <w:spacing w:val="-6"/>
          <w:sz w:val="24"/>
        </w:rPr>
        <w:t> </w:t>
      </w:r>
      <w:r>
        <w:rPr>
          <w:rFonts w:ascii="Segoe UI Semibold" w:hAnsi="Segoe UI Semibold"/>
          <w:b/>
          <w:i/>
          <w:color w:val="231F20"/>
          <w:spacing w:val="-10"/>
          <w:sz w:val="24"/>
        </w:rPr>
        <w:t>mars</w:t>
      </w:r>
      <w:r>
        <w:rPr>
          <w:rFonts w:ascii="Segoe UI Semibold" w:hAnsi="Segoe UI Semibold"/>
          <w:b/>
          <w:i/>
          <w:color w:val="231F20"/>
          <w:spacing w:val="-4"/>
          <w:sz w:val="24"/>
        </w:rPr>
        <w:t> </w:t>
      </w:r>
      <w:r>
        <w:rPr>
          <w:rFonts w:ascii="Segoe UI Semibold" w:hAnsi="Segoe UI Semibold"/>
          <w:b/>
          <w:i/>
          <w:color w:val="231F20"/>
          <w:spacing w:val="-10"/>
          <w:sz w:val="24"/>
        </w:rPr>
        <w:t>2022</w:t>
      </w:r>
      <w:r>
        <w:rPr>
          <w:rFonts w:ascii="Segoe UI Semibold" w:hAnsi="Segoe UI Semibold"/>
          <w:b/>
          <w:i/>
          <w:color w:val="231F20"/>
          <w:spacing w:val="-4"/>
          <w:sz w:val="24"/>
        </w:rPr>
        <w:t> </w:t>
      </w:r>
      <w:r>
        <w:rPr>
          <w:rFonts w:ascii="Segoe UI Semibold" w:hAnsi="Segoe UI Semibold"/>
          <w:b/>
          <w:i/>
          <w:color w:val="231F20"/>
          <w:spacing w:val="-10"/>
          <w:sz w:val="24"/>
        </w:rPr>
        <w:t>à</w:t>
      </w:r>
      <w:r>
        <w:rPr>
          <w:rFonts w:ascii="Segoe UI Semibold" w:hAnsi="Segoe UI Semibold"/>
          <w:b/>
          <w:i/>
          <w:color w:val="231F20"/>
          <w:spacing w:val="-6"/>
          <w:sz w:val="24"/>
        </w:rPr>
        <w:t> </w:t>
      </w:r>
      <w:r>
        <w:rPr>
          <w:rFonts w:ascii="Segoe UI Semibold" w:hAnsi="Segoe UI Semibold"/>
          <w:b/>
          <w:i/>
          <w:color w:val="231F20"/>
          <w:spacing w:val="-10"/>
          <w:sz w:val="24"/>
        </w:rPr>
        <w:t>février</w:t>
      </w:r>
      <w:r>
        <w:rPr>
          <w:rFonts w:ascii="Segoe UI Semibold" w:hAnsi="Segoe UI Semibold"/>
          <w:b/>
          <w:i/>
          <w:color w:val="231F20"/>
          <w:spacing w:val="-6"/>
          <w:sz w:val="24"/>
        </w:rPr>
        <w:t> </w:t>
      </w:r>
      <w:r>
        <w:rPr>
          <w:rFonts w:ascii="Segoe UI Semibold" w:hAnsi="Segoe UI Semibold"/>
          <w:b/>
          <w:i/>
          <w:color w:val="231F20"/>
          <w:spacing w:val="-10"/>
          <w:sz w:val="24"/>
        </w:rPr>
        <w:t>2023,</w:t>
      </w:r>
      <w:r>
        <w:rPr>
          <w:rFonts w:ascii="Segoe UI Semibold" w:hAnsi="Segoe UI Semibold"/>
          <w:b/>
          <w:i/>
          <w:color w:val="231F20"/>
          <w:spacing w:val="-4"/>
          <w:sz w:val="24"/>
        </w:rPr>
        <w:t> </w:t>
      </w:r>
      <w:r>
        <w:rPr>
          <w:rFonts w:ascii="Segoe UI Semibold" w:hAnsi="Segoe UI Semibold"/>
          <w:b/>
          <w:i/>
          <w:color w:val="231F20"/>
          <w:spacing w:val="-10"/>
          <w:sz w:val="24"/>
        </w:rPr>
        <w:t>les</w:t>
      </w:r>
      <w:r>
        <w:rPr>
          <w:rFonts w:ascii="Segoe UI Semibold" w:hAnsi="Segoe UI Semibold"/>
          <w:b/>
          <w:i/>
          <w:color w:val="231F20"/>
          <w:spacing w:val="-4"/>
          <w:sz w:val="24"/>
        </w:rPr>
        <w:t> </w:t>
      </w:r>
      <w:r>
        <w:rPr>
          <w:rFonts w:ascii="Segoe UI Semibold" w:hAnsi="Segoe UI Semibold"/>
          <w:b/>
          <w:i/>
          <w:color w:val="231F20"/>
          <w:spacing w:val="-10"/>
          <w:sz w:val="24"/>
        </w:rPr>
        <w:t>préjudices</w:t>
      </w:r>
      <w:r>
        <w:rPr>
          <w:rFonts w:ascii="Segoe UI Semibold" w:hAnsi="Segoe UI Semibold"/>
          <w:b/>
          <w:i/>
          <w:color w:val="231F20"/>
          <w:spacing w:val="-4"/>
          <w:sz w:val="24"/>
        </w:rPr>
        <w:t> </w:t>
      </w:r>
      <w:r>
        <w:rPr>
          <w:rFonts w:ascii="Segoe UI Semibold" w:hAnsi="Segoe UI Semibold"/>
          <w:b/>
          <w:i/>
          <w:color w:val="231F20"/>
          <w:spacing w:val="-10"/>
          <w:sz w:val="24"/>
        </w:rPr>
        <w:t>se </w:t>
      </w:r>
      <w:r>
        <w:rPr>
          <w:rFonts w:ascii="Segoe UI Semibold" w:hAnsi="Segoe UI Semibold"/>
          <w:b/>
          <w:i/>
          <w:color w:val="231F20"/>
          <w:sz w:val="24"/>
        </w:rPr>
        <w:t>sont</w:t>
      </w:r>
      <w:r>
        <w:rPr>
          <w:rFonts w:ascii="Segoe UI Semibold" w:hAnsi="Segoe UI Semibold"/>
          <w:b/>
          <w:i/>
          <w:color w:val="231F20"/>
          <w:spacing w:val="-17"/>
          <w:sz w:val="24"/>
        </w:rPr>
        <w:t> </w:t>
      </w:r>
      <w:r>
        <w:rPr>
          <w:rFonts w:ascii="Segoe UI Semibold" w:hAnsi="Segoe UI Semibold"/>
          <w:b/>
          <w:i/>
          <w:color w:val="231F20"/>
          <w:sz w:val="24"/>
        </w:rPr>
        <w:t>chiffrés</w:t>
      </w:r>
      <w:r>
        <w:rPr>
          <w:rFonts w:ascii="Segoe UI Semibold" w:hAnsi="Segoe UI Semibold"/>
          <w:b/>
          <w:i/>
          <w:color w:val="231F20"/>
          <w:spacing w:val="-16"/>
          <w:sz w:val="24"/>
        </w:rPr>
        <w:t> </w:t>
      </w:r>
      <w:r>
        <w:rPr>
          <w:rFonts w:ascii="Segoe UI Semibold" w:hAnsi="Segoe UI Semibold"/>
          <w:b/>
          <w:i/>
          <w:color w:val="231F20"/>
          <w:sz w:val="24"/>
        </w:rPr>
        <w:t>à</w:t>
      </w:r>
      <w:r>
        <w:rPr>
          <w:rFonts w:ascii="Segoe UI Semibold" w:hAnsi="Segoe UI Semibold"/>
          <w:b/>
          <w:i/>
          <w:color w:val="231F20"/>
          <w:spacing w:val="-17"/>
          <w:sz w:val="24"/>
        </w:rPr>
        <w:t> </w:t>
      </w:r>
      <w:r>
        <w:rPr>
          <w:b/>
          <w:i/>
          <w:color w:val="231F20"/>
          <w:sz w:val="24"/>
        </w:rPr>
        <w:t>273</w:t>
      </w:r>
      <w:r>
        <w:rPr>
          <w:b/>
          <w:i/>
          <w:color w:val="231F20"/>
          <w:spacing w:val="-16"/>
          <w:sz w:val="24"/>
        </w:rPr>
        <w:t> </w:t>
      </w:r>
      <w:r>
        <w:rPr>
          <w:b/>
          <w:i/>
          <w:color w:val="231F20"/>
          <w:sz w:val="24"/>
        </w:rPr>
        <w:t>390</w:t>
      </w:r>
      <w:r>
        <w:rPr>
          <w:b/>
          <w:i/>
          <w:color w:val="231F20"/>
          <w:spacing w:val="-17"/>
          <w:sz w:val="24"/>
        </w:rPr>
        <w:t> </w:t>
      </w:r>
      <w:r>
        <w:rPr>
          <w:b/>
          <w:i/>
          <w:color w:val="231F20"/>
          <w:sz w:val="24"/>
        </w:rPr>
        <w:t>800</w:t>
      </w:r>
      <w:r>
        <w:rPr>
          <w:b/>
          <w:i/>
          <w:color w:val="231F20"/>
          <w:spacing w:val="-16"/>
          <w:sz w:val="24"/>
        </w:rPr>
        <w:t> </w:t>
      </w:r>
      <w:r>
        <w:rPr>
          <w:b/>
          <w:i/>
          <w:color w:val="231F20"/>
          <w:sz w:val="24"/>
        </w:rPr>
        <w:t>dollars</w:t>
      </w:r>
      <w:r>
        <w:rPr>
          <w:rFonts w:ascii="Segoe UI Semibold" w:hAnsi="Segoe UI Semibold"/>
          <w:b/>
          <w:i/>
          <w:color w:val="231F20"/>
          <w:sz w:val="24"/>
        </w:rPr>
        <w:t>.</w:t>
      </w:r>
    </w:p>
    <w:p>
      <w:pPr>
        <w:spacing w:after="0"/>
        <w:jc w:val="both"/>
        <w:rPr>
          <w:rFonts w:ascii="Segoe UI Semibold" w:hAnsi="Segoe UI Semibold"/>
          <w:sz w:val="24"/>
        </w:rPr>
        <w:sectPr>
          <w:pgSz w:w="11910" w:h="16840"/>
          <w:pgMar w:header="0" w:footer="695" w:top="1260" w:bottom="880" w:left="0" w:right="0"/>
          <w:cols w:num="2" w:equalWidth="0">
            <w:col w:w="5898" w:space="40"/>
            <w:col w:w="5972"/>
          </w:cols>
        </w:sectPr>
      </w:pPr>
    </w:p>
    <w:p>
      <w:pPr>
        <w:pStyle w:val="BodyText"/>
        <w:spacing w:before="77"/>
        <w:ind w:left="1133" w:right="2"/>
      </w:pPr>
      <w:r>
        <w:rPr>
          <w:color w:val="231F20"/>
          <w:spacing w:val="-2"/>
        </w:rPr>
        <w:t>L’encerclement</w:t>
      </w:r>
      <w:r>
        <w:rPr>
          <w:color w:val="231F20"/>
          <w:spacing w:val="-15"/>
        </w:rPr>
        <w:t> </w:t>
      </w:r>
      <w:r>
        <w:rPr>
          <w:color w:val="231F20"/>
          <w:spacing w:val="-2"/>
        </w:rPr>
        <w:t>économique</w:t>
      </w:r>
      <w:r>
        <w:rPr>
          <w:color w:val="231F20"/>
          <w:spacing w:val="-14"/>
        </w:rPr>
        <w:t> </w:t>
      </w:r>
      <w:r>
        <w:rPr>
          <w:color w:val="231F20"/>
          <w:spacing w:val="-2"/>
        </w:rPr>
        <w:t>à</w:t>
      </w:r>
      <w:r>
        <w:rPr>
          <w:color w:val="231F20"/>
          <w:spacing w:val="-15"/>
        </w:rPr>
        <w:t> </w:t>
      </w:r>
      <w:r>
        <w:rPr>
          <w:color w:val="231F20"/>
          <w:spacing w:val="-2"/>
        </w:rPr>
        <w:t>l’accès</w:t>
      </w:r>
      <w:r>
        <w:rPr>
          <w:color w:val="231F20"/>
          <w:spacing w:val="-14"/>
        </w:rPr>
        <w:t> </w:t>
      </w:r>
      <w:r>
        <w:rPr>
          <w:color w:val="231F20"/>
          <w:spacing w:val="-2"/>
        </w:rPr>
        <w:t>à</w:t>
      </w:r>
      <w:r>
        <w:rPr>
          <w:color w:val="231F20"/>
          <w:spacing w:val="-15"/>
        </w:rPr>
        <w:t> </w:t>
      </w:r>
      <w:r>
        <w:rPr>
          <w:color w:val="231F20"/>
          <w:spacing w:val="-2"/>
        </w:rPr>
        <w:t>des </w:t>
      </w:r>
      <w:r>
        <w:rPr>
          <w:color w:val="231F20"/>
        </w:rPr>
        <w:t>intrants, à des matières premières, à des produits chimiques et à des technologies destinés à la production a causé une diminution considérable de la production nationale. Un seul exemple :</w:t>
      </w:r>
      <w:r>
        <w:rPr>
          <w:color w:val="231F20"/>
          <w:spacing w:val="40"/>
        </w:rPr>
        <w:t> </w:t>
      </w:r>
      <w:r>
        <w:rPr>
          <w:color w:val="231F20"/>
        </w:rPr>
        <w:t>durant la </w:t>
      </w:r>
      <w:r>
        <w:rPr>
          <w:color w:val="231F20"/>
          <w:spacing w:val="-2"/>
        </w:rPr>
        <w:t>période</w:t>
      </w:r>
      <w:r>
        <w:rPr>
          <w:color w:val="231F20"/>
          <w:spacing w:val="-15"/>
        </w:rPr>
        <w:t> </w:t>
      </w:r>
      <w:r>
        <w:rPr>
          <w:color w:val="231F20"/>
          <w:spacing w:val="-2"/>
        </w:rPr>
        <w:t>analysée,</w:t>
      </w:r>
      <w:r>
        <w:rPr>
          <w:color w:val="231F20"/>
          <w:spacing w:val="-14"/>
        </w:rPr>
        <w:t> </w:t>
      </w:r>
      <w:r>
        <w:rPr>
          <w:color w:val="231F20"/>
          <w:spacing w:val="-2"/>
        </w:rPr>
        <w:t>la</w:t>
      </w:r>
      <w:r>
        <w:rPr>
          <w:color w:val="231F20"/>
          <w:spacing w:val="-15"/>
        </w:rPr>
        <w:t> </w:t>
      </w:r>
      <w:r>
        <w:rPr>
          <w:color w:val="231F20"/>
          <w:spacing w:val="-2"/>
        </w:rPr>
        <w:t>société</w:t>
      </w:r>
      <w:r>
        <w:rPr>
          <w:color w:val="231F20"/>
          <w:spacing w:val="-14"/>
        </w:rPr>
        <w:t> </w:t>
      </w:r>
      <w:r>
        <w:rPr>
          <w:color w:val="231F20"/>
          <w:spacing w:val="-2"/>
        </w:rPr>
        <w:t>mixte</w:t>
      </w:r>
      <w:r>
        <w:rPr>
          <w:color w:val="231F20"/>
          <w:spacing w:val="-15"/>
        </w:rPr>
        <w:t> </w:t>
      </w:r>
      <w:r>
        <w:rPr>
          <w:color w:val="231F20"/>
          <w:spacing w:val="-2"/>
        </w:rPr>
        <w:t>hispano- </w:t>
      </w:r>
      <w:r>
        <w:rPr>
          <w:color w:val="231F20"/>
        </w:rPr>
        <w:t>cubaine de charcuterie Bravo S. A. aurait pu</w:t>
      </w:r>
      <w:r>
        <w:rPr>
          <w:color w:val="231F20"/>
          <w:spacing w:val="-4"/>
        </w:rPr>
        <w:t> </w:t>
      </w:r>
      <w:r>
        <w:rPr>
          <w:color w:val="231F20"/>
        </w:rPr>
        <w:t>acheter</w:t>
      </w:r>
      <w:r>
        <w:rPr>
          <w:color w:val="231F20"/>
          <w:spacing w:val="-4"/>
        </w:rPr>
        <w:t> </w:t>
      </w:r>
      <w:r>
        <w:rPr>
          <w:color w:val="231F20"/>
        </w:rPr>
        <w:t>384</w:t>
      </w:r>
      <w:r>
        <w:rPr>
          <w:color w:val="231F20"/>
          <w:spacing w:val="-4"/>
        </w:rPr>
        <w:t> </w:t>
      </w:r>
      <w:r>
        <w:rPr>
          <w:color w:val="231F20"/>
        </w:rPr>
        <w:t>tonnes</w:t>
      </w:r>
      <w:r>
        <w:rPr>
          <w:color w:val="231F20"/>
          <w:spacing w:val="-4"/>
        </w:rPr>
        <w:t> </w:t>
      </w:r>
      <w:r>
        <w:rPr>
          <w:color w:val="231F20"/>
        </w:rPr>
        <w:t>de</w:t>
      </w:r>
      <w:r>
        <w:rPr>
          <w:color w:val="231F20"/>
          <w:spacing w:val="-4"/>
        </w:rPr>
        <w:t> </w:t>
      </w:r>
      <w:r>
        <w:rPr>
          <w:color w:val="231F20"/>
        </w:rPr>
        <w:t>plus</w:t>
      </w:r>
      <w:r>
        <w:rPr>
          <w:color w:val="231F20"/>
          <w:spacing w:val="-4"/>
        </w:rPr>
        <w:t> </w:t>
      </w:r>
      <w:r>
        <w:rPr>
          <w:color w:val="231F20"/>
        </w:rPr>
        <w:t>de</w:t>
      </w:r>
      <w:r>
        <w:rPr>
          <w:color w:val="231F20"/>
          <w:spacing w:val="-4"/>
        </w:rPr>
        <w:t> </w:t>
      </w:r>
      <w:r>
        <w:rPr>
          <w:color w:val="231F20"/>
        </w:rPr>
        <w:t>matière première</w:t>
      </w:r>
      <w:r>
        <w:rPr>
          <w:color w:val="231F20"/>
          <w:spacing w:val="-12"/>
        </w:rPr>
        <w:t> </w:t>
      </w:r>
      <w:r>
        <w:rPr>
          <w:color w:val="231F20"/>
        </w:rPr>
        <w:t>et</w:t>
      </w:r>
      <w:r>
        <w:rPr>
          <w:color w:val="231F20"/>
          <w:spacing w:val="-12"/>
        </w:rPr>
        <w:t> </w:t>
      </w:r>
      <w:r>
        <w:rPr>
          <w:color w:val="231F20"/>
        </w:rPr>
        <w:t>produire</w:t>
      </w:r>
      <w:r>
        <w:rPr>
          <w:color w:val="231F20"/>
          <w:spacing w:val="-12"/>
        </w:rPr>
        <w:t> </w:t>
      </w:r>
      <w:r>
        <w:rPr>
          <w:color w:val="231F20"/>
        </w:rPr>
        <w:t>626,2</w:t>
      </w:r>
      <w:r>
        <w:rPr>
          <w:color w:val="231F20"/>
          <w:spacing w:val="-12"/>
        </w:rPr>
        <w:t> </w:t>
      </w:r>
      <w:r>
        <w:rPr>
          <w:color w:val="231F20"/>
        </w:rPr>
        <w:t>tonnes</w:t>
      </w:r>
      <w:r>
        <w:rPr>
          <w:color w:val="231F20"/>
          <w:spacing w:val="-13"/>
        </w:rPr>
        <w:t> </w:t>
      </w:r>
      <w:r>
        <w:rPr>
          <w:color w:val="231F20"/>
        </w:rPr>
        <w:t>de</w:t>
      </w:r>
      <w:r>
        <w:rPr>
          <w:color w:val="231F20"/>
          <w:spacing w:val="-12"/>
        </w:rPr>
        <w:t> </w:t>
      </w:r>
      <w:r>
        <w:rPr>
          <w:color w:val="231F20"/>
        </w:rPr>
        <w:t>plus de produits finis si elle avait pu se fournir directement</w:t>
      </w:r>
      <w:r>
        <w:rPr>
          <w:color w:val="231F20"/>
          <w:spacing w:val="-6"/>
        </w:rPr>
        <w:t> </w:t>
      </w:r>
      <w:r>
        <w:rPr>
          <w:color w:val="231F20"/>
        </w:rPr>
        <w:t>sur</w:t>
      </w:r>
      <w:r>
        <w:rPr>
          <w:color w:val="231F20"/>
          <w:spacing w:val="-6"/>
        </w:rPr>
        <w:t> </w:t>
      </w:r>
      <w:r>
        <w:rPr>
          <w:color w:val="231F20"/>
        </w:rPr>
        <w:t>le</w:t>
      </w:r>
      <w:r>
        <w:rPr>
          <w:color w:val="231F20"/>
          <w:spacing w:val="-6"/>
        </w:rPr>
        <w:t> </w:t>
      </w:r>
      <w:r>
        <w:rPr>
          <w:color w:val="231F20"/>
        </w:rPr>
        <w:t>marché</w:t>
      </w:r>
      <w:r>
        <w:rPr>
          <w:color w:val="231F20"/>
          <w:spacing w:val="-6"/>
        </w:rPr>
        <w:t> </w:t>
      </w:r>
      <w:r>
        <w:rPr>
          <w:color w:val="231F20"/>
        </w:rPr>
        <w:t>étasunien.</w:t>
      </w:r>
    </w:p>
    <w:p>
      <w:pPr>
        <w:pStyle w:val="BodyText"/>
        <w:spacing w:before="169"/>
        <w:ind w:left="1133" w:right="6"/>
      </w:pPr>
      <w:r>
        <w:rPr>
          <w:color w:val="231F20"/>
        </w:rPr>
        <w:t>L’insuffisance d’engins agricoles et </w:t>
      </w:r>
      <w:r>
        <w:rPr>
          <w:color w:val="231F20"/>
          <w:spacing w:val="-12"/>
        </w:rPr>
        <w:t>d’alimentation</w:t>
      </w:r>
      <w:r>
        <w:rPr>
          <w:color w:val="231F20"/>
          <w:spacing w:val="-3"/>
        </w:rPr>
        <w:t> </w:t>
      </w:r>
      <w:r>
        <w:rPr>
          <w:color w:val="231F20"/>
          <w:spacing w:val="-12"/>
        </w:rPr>
        <w:t>animale,</w:t>
      </w:r>
      <w:r>
        <w:rPr>
          <w:color w:val="231F20"/>
          <w:spacing w:val="-3"/>
        </w:rPr>
        <w:t> </w:t>
      </w:r>
      <w:r>
        <w:rPr>
          <w:color w:val="231F20"/>
          <w:spacing w:val="-12"/>
        </w:rPr>
        <w:t>l’absence</w:t>
      </w:r>
      <w:r>
        <w:rPr>
          <w:color w:val="231F20"/>
          <w:spacing w:val="-3"/>
        </w:rPr>
        <w:t> </w:t>
      </w:r>
      <w:r>
        <w:rPr>
          <w:color w:val="231F20"/>
          <w:spacing w:val="-12"/>
        </w:rPr>
        <w:t>de</w:t>
      </w:r>
      <w:r>
        <w:rPr>
          <w:color w:val="231F20"/>
          <w:spacing w:val="-3"/>
        </w:rPr>
        <w:t> </w:t>
      </w:r>
      <w:r>
        <w:rPr>
          <w:color w:val="231F20"/>
          <w:spacing w:val="-12"/>
        </w:rPr>
        <w:t>parties</w:t>
      </w:r>
      <w:r>
        <w:rPr>
          <w:color w:val="231F20"/>
          <w:spacing w:val="-3"/>
        </w:rPr>
        <w:t> </w:t>
      </w:r>
      <w:r>
        <w:rPr>
          <w:color w:val="231F20"/>
          <w:spacing w:val="-12"/>
        </w:rPr>
        <w:t>et </w:t>
      </w:r>
      <w:r>
        <w:rPr>
          <w:color w:val="231F20"/>
          <w:spacing w:val="-8"/>
        </w:rPr>
        <w:t>de</w:t>
      </w:r>
      <w:r>
        <w:rPr>
          <w:color w:val="231F20"/>
          <w:spacing w:val="-9"/>
        </w:rPr>
        <w:t> </w:t>
      </w:r>
      <w:r>
        <w:rPr>
          <w:color w:val="231F20"/>
          <w:spacing w:val="-8"/>
        </w:rPr>
        <w:t>pièces de</w:t>
      </w:r>
      <w:r>
        <w:rPr>
          <w:color w:val="231F20"/>
          <w:spacing w:val="-9"/>
        </w:rPr>
        <w:t> </w:t>
      </w:r>
      <w:r>
        <w:rPr>
          <w:color w:val="231F20"/>
          <w:spacing w:val="-8"/>
        </w:rPr>
        <w:t>rechange pour</w:t>
      </w:r>
      <w:r>
        <w:rPr>
          <w:color w:val="231F20"/>
          <w:spacing w:val="-9"/>
        </w:rPr>
        <w:t> </w:t>
      </w:r>
      <w:r>
        <w:rPr>
          <w:color w:val="231F20"/>
          <w:spacing w:val="-8"/>
        </w:rPr>
        <w:t>les équipements </w:t>
      </w:r>
      <w:r>
        <w:rPr>
          <w:color w:val="231F20"/>
        </w:rPr>
        <w:t>et l’industrie, de pair avec la pénurie de carburants, ont empêché le système de l’agriculture nationale de se pourvoir </w:t>
      </w:r>
      <w:r>
        <w:rPr>
          <w:color w:val="231F20"/>
          <w:spacing w:val="-8"/>
        </w:rPr>
        <w:t>complètement et de répondre à la demande </w:t>
      </w:r>
      <w:r>
        <w:rPr>
          <w:color w:val="231F20"/>
        </w:rPr>
        <w:t>aussi bien au niveau national que pour </w:t>
      </w:r>
      <w:r>
        <w:rPr>
          <w:color w:val="231F20"/>
          <w:spacing w:val="-10"/>
        </w:rPr>
        <w:t>l’exportation.</w:t>
      </w:r>
      <w:r>
        <w:rPr>
          <w:color w:val="231F20"/>
          <w:spacing w:val="-2"/>
        </w:rPr>
        <w:t> </w:t>
      </w:r>
      <w:r>
        <w:rPr>
          <w:color w:val="231F20"/>
          <w:spacing w:val="-10"/>
        </w:rPr>
        <w:t>De</w:t>
      </w:r>
      <w:r>
        <w:rPr>
          <w:color w:val="231F20"/>
          <w:spacing w:val="-2"/>
        </w:rPr>
        <w:t> </w:t>
      </w:r>
      <w:r>
        <w:rPr>
          <w:color w:val="231F20"/>
          <w:spacing w:val="-10"/>
        </w:rPr>
        <w:t>plus,</w:t>
      </w:r>
      <w:r>
        <w:rPr>
          <w:color w:val="231F20"/>
          <w:spacing w:val="-2"/>
        </w:rPr>
        <w:t> </w:t>
      </w:r>
      <w:r>
        <w:rPr>
          <w:color w:val="231F20"/>
          <w:spacing w:val="-10"/>
        </w:rPr>
        <w:t>l’impossibilité</w:t>
      </w:r>
      <w:r>
        <w:rPr>
          <w:color w:val="231F20"/>
          <w:spacing w:val="-2"/>
        </w:rPr>
        <w:t> </w:t>
      </w:r>
      <w:r>
        <w:rPr>
          <w:color w:val="231F20"/>
          <w:spacing w:val="-10"/>
        </w:rPr>
        <w:t>d’affréter </w:t>
      </w:r>
      <w:r>
        <w:rPr>
          <w:color w:val="231F20"/>
        </w:rPr>
        <w:t>une</w:t>
      </w:r>
      <w:r>
        <w:rPr>
          <w:color w:val="231F20"/>
          <w:spacing w:val="-15"/>
        </w:rPr>
        <w:t> </w:t>
      </w:r>
      <w:r>
        <w:rPr>
          <w:color w:val="231F20"/>
        </w:rPr>
        <w:t>quantité</w:t>
      </w:r>
      <w:r>
        <w:rPr>
          <w:color w:val="231F20"/>
          <w:spacing w:val="-15"/>
        </w:rPr>
        <w:t> </w:t>
      </w:r>
      <w:r>
        <w:rPr>
          <w:color w:val="231F20"/>
        </w:rPr>
        <w:t>considérable</w:t>
      </w:r>
      <w:r>
        <w:rPr>
          <w:color w:val="231F20"/>
          <w:spacing w:val="-15"/>
        </w:rPr>
        <w:t> </w:t>
      </w:r>
      <w:r>
        <w:rPr>
          <w:color w:val="231F20"/>
        </w:rPr>
        <w:t>de</w:t>
      </w:r>
      <w:r>
        <w:rPr>
          <w:color w:val="231F20"/>
          <w:spacing w:val="-15"/>
        </w:rPr>
        <w:t> </w:t>
      </w:r>
      <w:r>
        <w:rPr>
          <w:color w:val="231F20"/>
        </w:rPr>
        <w:t>compagnies </w:t>
      </w:r>
      <w:r>
        <w:rPr>
          <w:color w:val="231F20"/>
          <w:spacing w:val="-8"/>
        </w:rPr>
        <w:t>maritimes</w:t>
      </w:r>
      <w:r>
        <w:rPr>
          <w:color w:val="231F20"/>
          <w:spacing w:val="-9"/>
        </w:rPr>
        <w:t> </w:t>
      </w:r>
      <w:r>
        <w:rPr>
          <w:color w:val="231F20"/>
          <w:spacing w:val="-8"/>
        </w:rPr>
        <w:t>a interrompu</w:t>
      </w:r>
      <w:r>
        <w:rPr>
          <w:color w:val="231F20"/>
          <w:spacing w:val="-9"/>
        </w:rPr>
        <w:t> </w:t>
      </w:r>
      <w:r>
        <w:rPr>
          <w:color w:val="231F20"/>
          <w:spacing w:val="-8"/>
        </w:rPr>
        <w:t>l’arrivée dans</w:t>
      </w:r>
      <w:r>
        <w:rPr>
          <w:color w:val="231F20"/>
          <w:spacing w:val="-9"/>
        </w:rPr>
        <w:t> </w:t>
      </w:r>
      <w:r>
        <w:rPr>
          <w:color w:val="231F20"/>
          <w:spacing w:val="-8"/>
        </w:rPr>
        <w:t>le pays </w:t>
      </w:r>
      <w:r>
        <w:rPr>
          <w:color w:val="231F20"/>
          <w:spacing w:val="-4"/>
        </w:rPr>
        <w:t>d’approvisionnements</w:t>
      </w:r>
      <w:r>
        <w:rPr>
          <w:color w:val="231F20"/>
          <w:spacing w:val="-20"/>
        </w:rPr>
        <w:t> </w:t>
      </w:r>
      <w:r>
        <w:rPr>
          <w:color w:val="231F20"/>
          <w:spacing w:val="-4"/>
        </w:rPr>
        <w:t>déjà</w:t>
      </w:r>
      <w:r>
        <w:rPr>
          <w:color w:val="231F20"/>
          <w:spacing w:val="-20"/>
        </w:rPr>
        <w:t> </w:t>
      </w:r>
      <w:r>
        <w:rPr>
          <w:color w:val="231F20"/>
          <w:spacing w:val="-4"/>
        </w:rPr>
        <w:t>payés.</w:t>
      </w:r>
    </w:p>
    <w:p>
      <w:pPr>
        <w:pStyle w:val="BodyText"/>
        <w:spacing w:before="170"/>
        <w:ind w:left="1133" w:right="2"/>
      </w:pPr>
      <w:r>
        <w:rPr>
          <w:color w:val="231F20"/>
        </w:rPr>
        <w:t>Par ailleurs, depuis sa fusion avec un </w:t>
      </w:r>
      <w:r>
        <w:rPr>
          <w:color w:val="231F20"/>
          <w:spacing w:val="-4"/>
        </w:rPr>
        <w:t>consortium</w:t>
      </w:r>
      <w:r>
        <w:rPr>
          <w:color w:val="231F20"/>
          <w:spacing w:val="-5"/>
        </w:rPr>
        <w:t> </w:t>
      </w:r>
      <w:r>
        <w:rPr>
          <w:color w:val="231F20"/>
          <w:spacing w:val="-4"/>
        </w:rPr>
        <w:t>étasunien,</w:t>
      </w:r>
      <w:r>
        <w:rPr>
          <w:color w:val="231F20"/>
          <w:spacing w:val="-5"/>
        </w:rPr>
        <w:t> </w:t>
      </w:r>
      <w:r>
        <w:rPr>
          <w:color w:val="231F20"/>
          <w:spacing w:val="-4"/>
        </w:rPr>
        <w:t>la</w:t>
      </w:r>
      <w:r>
        <w:rPr>
          <w:color w:val="231F20"/>
          <w:spacing w:val="-5"/>
        </w:rPr>
        <w:t> </w:t>
      </w:r>
      <w:r>
        <w:rPr>
          <w:color w:val="231F20"/>
          <w:spacing w:val="-4"/>
        </w:rPr>
        <w:t>société</w:t>
      </w:r>
      <w:r>
        <w:rPr>
          <w:color w:val="231F20"/>
          <w:spacing w:val="-5"/>
        </w:rPr>
        <w:t> </w:t>
      </w:r>
      <w:r>
        <w:rPr>
          <w:color w:val="231F20"/>
          <w:spacing w:val="-4"/>
        </w:rPr>
        <w:t>allemande </w:t>
      </w:r>
      <w:r>
        <w:rPr>
          <w:color w:val="231F20"/>
          <w:spacing w:val="-2"/>
        </w:rPr>
        <w:t>Bayer</w:t>
      </w:r>
      <w:r>
        <w:rPr>
          <w:color w:val="231F20"/>
          <w:spacing w:val="-13"/>
        </w:rPr>
        <w:t> </w:t>
      </w:r>
      <w:r>
        <w:rPr>
          <w:color w:val="231F20"/>
          <w:spacing w:val="-2"/>
        </w:rPr>
        <w:t>a</w:t>
      </w:r>
      <w:r>
        <w:rPr>
          <w:color w:val="231F20"/>
          <w:spacing w:val="-14"/>
        </w:rPr>
        <w:t> </w:t>
      </w:r>
      <w:r>
        <w:rPr>
          <w:color w:val="231F20"/>
          <w:spacing w:val="-2"/>
        </w:rPr>
        <w:t>cessé</w:t>
      </w:r>
      <w:r>
        <w:rPr>
          <w:color w:val="231F20"/>
          <w:spacing w:val="-14"/>
        </w:rPr>
        <w:t> </w:t>
      </w:r>
      <w:r>
        <w:rPr>
          <w:color w:val="231F20"/>
          <w:spacing w:val="-2"/>
        </w:rPr>
        <w:t>ses</w:t>
      </w:r>
      <w:r>
        <w:rPr>
          <w:color w:val="231F20"/>
          <w:spacing w:val="-14"/>
        </w:rPr>
        <w:t> </w:t>
      </w:r>
      <w:r>
        <w:rPr>
          <w:color w:val="231F20"/>
          <w:spacing w:val="-2"/>
        </w:rPr>
        <w:t>relations</w:t>
      </w:r>
      <w:r>
        <w:rPr>
          <w:color w:val="231F20"/>
          <w:spacing w:val="-14"/>
        </w:rPr>
        <w:t> </w:t>
      </w:r>
      <w:r>
        <w:rPr>
          <w:color w:val="231F20"/>
          <w:spacing w:val="-2"/>
        </w:rPr>
        <w:t>avec</w:t>
      </w:r>
      <w:r>
        <w:rPr>
          <w:color w:val="231F20"/>
          <w:spacing w:val="-14"/>
        </w:rPr>
        <w:t> </w:t>
      </w:r>
      <w:r>
        <w:rPr>
          <w:color w:val="231F20"/>
          <w:spacing w:val="-2"/>
        </w:rPr>
        <w:t>Cuba,</w:t>
      </w:r>
      <w:r>
        <w:rPr>
          <w:color w:val="231F20"/>
          <w:spacing w:val="-14"/>
        </w:rPr>
        <w:t> </w:t>
      </w:r>
      <w:r>
        <w:rPr>
          <w:color w:val="231F20"/>
          <w:spacing w:val="-2"/>
        </w:rPr>
        <w:t>alors </w:t>
      </w:r>
      <w:r>
        <w:rPr>
          <w:color w:val="231F20"/>
        </w:rPr>
        <w:t>que c’était elle qui fournissait le gros des médicaments destinés au bétail.</w:t>
      </w:r>
    </w:p>
    <w:p>
      <w:pPr>
        <w:pStyle w:val="BodyText"/>
        <w:spacing w:before="163"/>
        <w:ind w:left="1133"/>
      </w:pPr>
      <w:r>
        <w:rPr>
          <w:color w:val="231F20"/>
          <w:spacing w:val="-2"/>
        </w:rPr>
        <w:t>L’entreprise</w:t>
      </w:r>
      <w:r>
        <w:rPr>
          <w:color w:val="231F20"/>
          <w:spacing w:val="-9"/>
        </w:rPr>
        <w:t> </w:t>
      </w:r>
      <w:r>
        <w:rPr>
          <w:color w:val="231F20"/>
          <w:spacing w:val="-2"/>
        </w:rPr>
        <w:t>cubaine</w:t>
      </w:r>
      <w:r>
        <w:rPr>
          <w:color w:val="231F20"/>
          <w:spacing w:val="-9"/>
        </w:rPr>
        <w:t> </w:t>
      </w:r>
      <w:r>
        <w:rPr>
          <w:color w:val="231F20"/>
          <w:spacing w:val="-2"/>
        </w:rPr>
        <w:t>Alimport</w:t>
      </w:r>
      <w:r>
        <w:rPr>
          <w:color w:val="231F20"/>
          <w:spacing w:val="-9"/>
        </w:rPr>
        <w:t> </w:t>
      </w:r>
      <w:r>
        <w:rPr>
          <w:color w:val="231F20"/>
          <w:spacing w:val="-2"/>
        </w:rPr>
        <w:t>a</w:t>
      </w:r>
      <w:r>
        <w:rPr>
          <w:color w:val="231F20"/>
          <w:spacing w:val="-9"/>
        </w:rPr>
        <w:t> </w:t>
      </w:r>
      <w:r>
        <w:rPr>
          <w:color w:val="231F20"/>
          <w:spacing w:val="-2"/>
        </w:rPr>
        <w:t>fait</w:t>
      </w:r>
      <w:r>
        <w:rPr>
          <w:color w:val="231F20"/>
          <w:spacing w:val="-9"/>
        </w:rPr>
        <w:t> </w:t>
      </w:r>
      <w:r>
        <w:rPr>
          <w:color w:val="231F20"/>
          <w:spacing w:val="-2"/>
        </w:rPr>
        <w:t>état</w:t>
      </w:r>
      <w:r>
        <w:rPr>
          <w:color w:val="231F20"/>
          <w:spacing w:val="-9"/>
        </w:rPr>
        <w:t> </w:t>
      </w:r>
      <w:r>
        <w:rPr>
          <w:color w:val="231F20"/>
          <w:spacing w:val="-2"/>
        </w:rPr>
        <w:t>de </w:t>
      </w:r>
      <w:r>
        <w:rPr>
          <w:color w:val="231F20"/>
        </w:rPr>
        <w:t>préjudices</w:t>
      </w:r>
      <w:r>
        <w:rPr>
          <w:color w:val="231F20"/>
          <w:spacing w:val="-4"/>
        </w:rPr>
        <w:t> </w:t>
      </w:r>
      <w:r>
        <w:rPr>
          <w:color w:val="231F20"/>
        </w:rPr>
        <w:t>pour</w:t>
      </w:r>
      <w:r>
        <w:rPr>
          <w:color w:val="231F20"/>
          <w:spacing w:val="-4"/>
        </w:rPr>
        <w:t> </w:t>
      </w:r>
      <w:r>
        <w:rPr>
          <w:color w:val="231F20"/>
        </w:rPr>
        <w:t>35</w:t>
      </w:r>
      <w:r>
        <w:rPr>
          <w:color w:val="231F20"/>
          <w:spacing w:val="-4"/>
        </w:rPr>
        <w:t> </w:t>
      </w:r>
      <w:r>
        <w:rPr>
          <w:color w:val="231F20"/>
        </w:rPr>
        <w:t>200</w:t>
      </w:r>
      <w:r>
        <w:rPr>
          <w:color w:val="231F20"/>
          <w:spacing w:val="-4"/>
        </w:rPr>
        <w:t> </w:t>
      </w:r>
      <w:r>
        <w:rPr>
          <w:color w:val="231F20"/>
        </w:rPr>
        <w:t>000</w:t>
      </w:r>
      <w:r>
        <w:rPr>
          <w:color w:val="231F20"/>
          <w:spacing w:val="-4"/>
        </w:rPr>
        <w:t> </w:t>
      </w:r>
      <w:r>
        <w:rPr>
          <w:color w:val="231F20"/>
        </w:rPr>
        <w:t>dollars,</w:t>
      </w:r>
      <w:r>
        <w:rPr>
          <w:color w:val="231F20"/>
          <w:spacing w:val="-4"/>
        </w:rPr>
        <w:t> </w:t>
      </w:r>
      <w:r>
        <w:rPr>
          <w:color w:val="231F20"/>
        </w:rPr>
        <w:t>ce</w:t>
      </w:r>
      <w:r>
        <w:rPr>
          <w:color w:val="231F20"/>
          <w:spacing w:val="-4"/>
        </w:rPr>
        <w:t> </w:t>
      </w:r>
      <w:r>
        <w:rPr>
          <w:color w:val="231F20"/>
        </w:rPr>
        <w:t>qui représente</w:t>
      </w:r>
      <w:r>
        <w:rPr>
          <w:color w:val="231F20"/>
          <w:spacing w:val="-1"/>
        </w:rPr>
        <w:t> </w:t>
      </w:r>
      <w:r>
        <w:rPr>
          <w:color w:val="231F20"/>
        </w:rPr>
        <w:t>90 p. 100 des pertes</w:t>
      </w:r>
      <w:r>
        <w:rPr>
          <w:color w:val="231F20"/>
          <w:spacing w:val="-1"/>
        </w:rPr>
        <w:t> </w:t>
      </w:r>
      <w:r>
        <w:rPr>
          <w:color w:val="231F20"/>
        </w:rPr>
        <w:t>déclarées par les sociétés d’importation du Groupe d’entreprises du commerce extérieur (GECOMEX), et dues dans une bonne mesure</w:t>
      </w:r>
      <w:r>
        <w:rPr>
          <w:color w:val="231F20"/>
          <w:spacing w:val="-14"/>
        </w:rPr>
        <w:t> </w:t>
      </w:r>
      <w:r>
        <w:rPr>
          <w:color w:val="231F20"/>
        </w:rPr>
        <w:t>au</w:t>
      </w:r>
      <w:r>
        <w:rPr>
          <w:color w:val="231F20"/>
          <w:spacing w:val="-14"/>
        </w:rPr>
        <w:t> </w:t>
      </w:r>
      <w:r>
        <w:rPr>
          <w:color w:val="231F20"/>
        </w:rPr>
        <w:t>refus</w:t>
      </w:r>
      <w:r>
        <w:rPr>
          <w:color w:val="231F20"/>
          <w:spacing w:val="-14"/>
        </w:rPr>
        <w:t> </w:t>
      </w:r>
      <w:r>
        <w:rPr>
          <w:color w:val="231F20"/>
        </w:rPr>
        <w:t>d’une</w:t>
      </w:r>
      <w:r>
        <w:rPr>
          <w:color w:val="231F20"/>
          <w:spacing w:val="-14"/>
        </w:rPr>
        <w:t> </w:t>
      </w:r>
      <w:r>
        <w:rPr>
          <w:color w:val="231F20"/>
        </w:rPr>
        <w:t>dizaine</w:t>
      </w:r>
      <w:r>
        <w:rPr>
          <w:color w:val="231F20"/>
          <w:spacing w:val="-14"/>
        </w:rPr>
        <w:t> </w:t>
      </w:r>
      <w:r>
        <w:rPr>
          <w:color w:val="231F20"/>
        </w:rPr>
        <w:t>de</w:t>
      </w:r>
      <w:r>
        <w:rPr>
          <w:color w:val="231F20"/>
          <w:spacing w:val="-14"/>
        </w:rPr>
        <w:t> </w:t>
      </w:r>
      <w:r>
        <w:rPr>
          <w:color w:val="231F20"/>
        </w:rPr>
        <w:t>banques à prendre en charge les paiements à des fournisseurs</w:t>
      </w:r>
      <w:r>
        <w:rPr>
          <w:color w:val="231F20"/>
          <w:spacing w:val="-17"/>
        </w:rPr>
        <w:t> </w:t>
      </w:r>
      <w:r>
        <w:rPr>
          <w:color w:val="231F20"/>
        </w:rPr>
        <w:t>traditionnels</w:t>
      </w:r>
      <w:r>
        <w:rPr>
          <w:color w:val="231F20"/>
          <w:spacing w:val="-16"/>
        </w:rPr>
        <w:t> </w:t>
      </w:r>
      <w:r>
        <w:rPr>
          <w:color w:val="231F20"/>
        </w:rPr>
        <w:t>d’aliments,</w:t>
      </w:r>
      <w:r>
        <w:rPr>
          <w:color w:val="231F20"/>
          <w:spacing w:val="-17"/>
        </w:rPr>
        <w:t> </w:t>
      </w:r>
      <w:r>
        <w:rPr>
          <w:color w:val="231F20"/>
        </w:rPr>
        <w:t>dont l’avoine, des grains, des graines de cacao, des aliments pour porcs.</w:t>
      </w:r>
    </w:p>
    <w:p>
      <w:pPr>
        <w:pStyle w:val="BodyText"/>
        <w:spacing w:before="169"/>
        <w:ind w:left="1133" w:right="2"/>
      </w:pPr>
      <w:r>
        <w:rPr>
          <w:color w:val="231F20"/>
        </w:rPr>
        <w:t>La société canadienne Cypress View Land a</w:t>
      </w:r>
      <w:r>
        <w:rPr>
          <w:color w:val="231F20"/>
          <w:spacing w:val="17"/>
        </w:rPr>
        <w:t> </w:t>
      </w:r>
      <w:r>
        <w:rPr>
          <w:color w:val="231F20"/>
        </w:rPr>
        <w:t>interrompu</w:t>
      </w:r>
      <w:r>
        <w:rPr>
          <w:color w:val="231F20"/>
          <w:spacing w:val="17"/>
        </w:rPr>
        <w:t> </w:t>
      </w:r>
      <w:r>
        <w:rPr>
          <w:color w:val="231F20"/>
        </w:rPr>
        <w:t>un</w:t>
      </w:r>
      <w:r>
        <w:rPr>
          <w:color w:val="231F20"/>
          <w:spacing w:val="17"/>
        </w:rPr>
        <w:t> </w:t>
      </w:r>
      <w:r>
        <w:rPr>
          <w:color w:val="231F20"/>
        </w:rPr>
        <w:t>projet</w:t>
      </w:r>
      <w:r>
        <w:rPr>
          <w:color w:val="231F20"/>
          <w:spacing w:val="17"/>
        </w:rPr>
        <w:t> </w:t>
      </w:r>
      <w:r>
        <w:rPr>
          <w:color w:val="231F20"/>
        </w:rPr>
        <w:t>de</w:t>
      </w:r>
      <w:r>
        <w:rPr>
          <w:color w:val="231F20"/>
          <w:spacing w:val="17"/>
        </w:rPr>
        <w:t> </w:t>
      </w:r>
      <w:r>
        <w:rPr>
          <w:color w:val="231F20"/>
        </w:rPr>
        <w:t>production</w:t>
      </w:r>
      <w:r>
        <w:rPr>
          <w:color w:val="231F20"/>
          <w:spacing w:val="18"/>
        </w:rPr>
        <w:t> </w:t>
      </w:r>
      <w:r>
        <w:rPr>
          <w:color w:val="231F20"/>
          <w:spacing w:val="-5"/>
        </w:rPr>
        <w:t>de</w:t>
      </w:r>
    </w:p>
    <w:p>
      <w:pPr>
        <w:pStyle w:val="BodyText"/>
        <w:spacing w:before="77"/>
        <w:ind w:left="413" w:right="1475"/>
      </w:pPr>
      <w:r>
        <w:rPr/>
        <w:br w:type="column"/>
      </w:r>
      <w:r>
        <w:rPr>
          <w:color w:val="231F20"/>
          <w:spacing w:val="-6"/>
        </w:rPr>
        <w:t>grains avec le Centre d’ingénierie génétique </w:t>
      </w:r>
      <w:r>
        <w:rPr>
          <w:color w:val="231F20"/>
        </w:rPr>
        <w:t>et de biotechnologie (CIGB) à cause de la </w:t>
      </w:r>
      <w:r>
        <w:rPr>
          <w:color w:val="231F20"/>
          <w:spacing w:val="-2"/>
        </w:rPr>
        <w:t>mise</w:t>
      </w:r>
      <w:r>
        <w:rPr>
          <w:color w:val="231F20"/>
          <w:spacing w:val="-15"/>
        </w:rPr>
        <w:t> </w:t>
      </w:r>
      <w:r>
        <w:rPr>
          <w:color w:val="231F20"/>
          <w:spacing w:val="-2"/>
        </w:rPr>
        <w:t>en</w:t>
      </w:r>
      <w:r>
        <w:rPr>
          <w:color w:val="231F20"/>
          <w:spacing w:val="-14"/>
        </w:rPr>
        <w:t> </w:t>
      </w:r>
      <w:r>
        <w:rPr>
          <w:color w:val="231F20"/>
          <w:spacing w:val="-2"/>
        </w:rPr>
        <w:t>vigueur</w:t>
      </w:r>
      <w:r>
        <w:rPr>
          <w:color w:val="231F20"/>
          <w:spacing w:val="-15"/>
        </w:rPr>
        <w:t> </w:t>
      </w:r>
      <w:r>
        <w:rPr>
          <w:color w:val="231F20"/>
          <w:spacing w:val="-2"/>
        </w:rPr>
        <w:t>du</w:t>
      </w:r>
      <w:r>
        <w:rPr>
          <w:color w:val="231F20"/>
          <w:spacing w:val="-14"/>
        </w:rPr>
        <w:t> </w:t>
      </w:r>
      <w:r>
        <w:rPr>
          <w:color w:val="231F20"/>
          <w:spacing w:val="-2"/>
        </w:rPr>
        <w:t>Titre</w:t>
      </w:r>
      <w:r>
        <w:rPr>
          <w:color w:val="231F20"/>
          <w:spacing w:val="-15"/>
        </w:rPr>
        <w:t> </w:t>
      </w:r>
      <w:r>
        <w:rPr>
          <w:color w:val="231F20"/>
          <w:spacing w:val="-2"/>
        </w:rPr>
        <w:t>III</w:t>
      </w:r>
      <w:r>
        <w:rPr>
          <w:color w:val="231F20"/>
          <w:spacing w:val="-14"/>
        </w:rPr>
        <w:t> </w:t>
      </w:r>
      <w:r>
        <w:rPr>
          <w:color w:val="231F20"/>
          <w:spacing w:val="-2"/>
        </w:rPr>
        <w:t>de</w:t>
      </w:r>
      <w:r>
        <w:rPr>
          <w:color w:val="231F20"/>
          <w:spacing w:val="-15"/>
        </w:rPr>
        <w:t> </w:t>
      </w:r>
      <w:r>
        <w:rPr>
          <w:color w:val="231F20"/>
          <w:spacing w:val="-2"/>
        </w:rPr>
        <w:t>la</w:t>
      </w:r>
      <w:r>
        <w:rPr>
          <w:color w:val="231F20"/>
          <w:spacing w:val="-14"/>
        </w:rPr>
        <w:t> </w:t>
      </w:r>
      <w:r>
        <w:rPr>
          <w:color w:val="231F20"/>
          <w:spacing w:val="-2"/>
        </w:rPr>
        <w:t>Loi</w:t>
      </w:r>
      <w:r>
        <w:rPr>
          <w:color w:val="231F20"/>
          <w:spacing w:val="-14"/>
        </w:rPr>
        <w:t> </w:t>
      </w:r>
      <w:r>
        <w:rPr>
          <w:color w:val="231F20"/>
          <w:spacing w:val="-2"/>
        </w:rPr>
        <w:t>Helms- </w:t>
      </w:r>
      <w:r>
        <w:rPr>
          <w:color w:val="231F20"/>
        </w:rPr>
        <w:t>Burton</w:t>
      </w:r>
      <w:r>
        <w:rPr>
          <w:color w:val="231F20"/>
          <w:spacing w:val="-16"/>
        </w:rPr>
        <w:t> </w:t>
      </w:r>
      <w:r>
        <w:rPr>
          <w:color w:val="231F20"/>
        </w:rPr>
        <w:t>:</w:t>
      </w:r>
      <w:r>
        <w:rPr>
          <w:color w:val="231F20"/>
          <w:spacing w:val="-16"/>
        </w:rPr>
        <w:t> </w:t>
      </w:r>
      <w:r>
        <w:rPr>
          <w:color w:val="231F20"/>
        </w:rPr>
        <w:t>le</w:t>
      </w:r>
      <w:r>
        <w:rPr>
          <w:color w:val="231F20"/>
          <w:spacing w:val="-16"/>
        </w:rPr>
        <w:t> </w:t>
      </w:r>
      <w:r>
        <w:rPr>
          <w:color w:val="231F20"/>
        </w:rPr>
        <w:t>centre</w:t>
      </w:r>
      <w:r>
        <w:rPr>
          <w:color w:val="231F20"/>
          <w:spacing w:val="-16"/>
        </w:rPr>
        <w:t> </w:t>
      </w:r>
      <w:r>
        <w:rPr>
          <w:color w:val="231F20"/>
        </w:rPr>
        <w:t>cubain</w:t>
      </w:r>
      <w:r>
        <w:rPr>
          <w:color w:val="231F20"/>
          <w:spacing w:val="-16"/>
        </w:rPr>
        <w:t> </w:t>
      </w:r>
      <w:r>
        <w:rPr>
          <w:color w:val="231F20"/>
        </w:rPr>
        <w:t>et</w:t>
      </w:r>
      <w:r>
        <w:rPr>
          <w:color w:val="231F20"/>
          <w:spacing w:val="-16"/>
        </w:rPr>
        <w:t> </w:t>
      </w:r>
      <w:r>
        <w:rPr>
          <w:color w:val="231F20"/>
        </w:rPr>
        <w:t>ses</w:t>
      </w:r>
      <w:r>
        <w:rPr>
          <w:color w:val="231F20"/>
          <w:spacing w:val="-16"/>
        </w:rPr>
        <w:t> </w:t>
      </w:r>
      <w:r>
        <w:rPr>
          <w:color w:val="231F20"/>
        </w:rPr>
        <w:t>partenaires réalisent des opérations agricoles sur des </w:t>
      </w:r>
      <w:r>
        <w:rPr>
          <w:color w:val="231F20"/>
          <w:spacing w:val="-4"/>
        </w:rPr>
        <w:t>terrains</w:t>
      </w:r>
      <w:r>
        <w:rPr>
          <w:color w:val="231F20"/>
          <w:spacing w:val="-11"/>
        </w:rPr>
        <w:t> </w:t>
      </w:r>
      <w:r>
        <w:rPr>
          <w:color w:val="231F20"/>
          <w:spacing w:val="-4"/>
        </w:rPr>
        <w:t>qui</w:t>
      </w:r>
      <w:r>
        <w:rPr>
          <w:color w:val="231F20"/>
          <w:spacing w:val="-11"/>
        </w:rPr>
        <w:t> </w:t>
      </w:r>
      <w:r>
        <w:rPr>
          <w:color w:val="231F20"/>
          <w:spacing w:val="-4"/>
        </w:rPr>
        <w:t>appartiennent</w:t>
      </w:r>
      <w:r>
        <w:rPr>
          <w:color w:val="231F20"/>
          <w:spacing w:val="-11"/>
        </w:rPr>
        <w:t> </w:t>
      </w:r>
      <w:r>
        <w:rPr>
          <w:color w:val="231F20"/>
          <w:spacing w:val="-4"/>
        </w:rPr>
        <w:t>censément</w:t>
      </w:r>
      <w:r>
        <w:rPr>
          <w:color w:val="231F20"/>
          <w:spacing w:val="-11"/>
        </w:rPr>
        <w:t> </w:t>
      </w:r>
      <w:r>
        <w:rPr>
          <w:color w:val="231F20"/>
          <w:spacing w:val="-4"/>
        </w:rPr>
        <w:t>à</w:t>
      </w:r>
      <w:r>
        <w:rPr>
          <w:color w:val="231F20"/>
          <w:spacing w:val="-11"/>
        </w:rPr>
        <w:t> </w:t>
      </w:r>
      <w:r>
        <w:rPr>
          <w:color w:val="231F20"/>
          <w:spacing w:val="-4"/>
        </w:rPr>
        <w:t>des </w:t>
      </w:r>
      <w:r>
        <w:rPr>
          <w:color w:val="231F20"/>
        </w:rPr>
        <w:t>Étasuniens</w:t>
      </w:r>
      <w:r>
        <w:rPr>
          <w:color w:val="231F20"/>
          <w:spacing w:val="-17"/>
        </w:rPr>
        <w:t> </w:t>
      </w:r>
      <w:r>
        <w:rPr>
          <w:color w:val="231F20"/>
        </w:rPr>
        <w:t>et</w:t>
      </w:r>
      <w:r>
        <w:rPr>
          <w:color w:val="231F20"/>
          <w:spacing w:val="-16"/>
        </w:rPr>
        <w:t> </w:t>
      </w:r>
      <w:r>
        <w:rPr>
          <w:color w:val="231F20"/>
        </w:rPr>
        <w:t>peuvent</w:t>
      </w:r>
      <w:r>
        <w:rPr>
          <w:color w:val="231F20"/>
          <w:spacing w:val="-17"/>
        </w:rPr>
        <w:t> </w:t>
      </w:r>
      <w:r>
        <w:rPr>
          <w:color w:val="231F20"/>
        </w:rPr>
        <w:t>donc</w:t>
      </w:r>
      <w:r>
        <w:rPr>
          <w:color w:val="231F20"/>
          <w:spacing w:val="-16"/>
        </w:rPr>
        <w:t> </w:t>
      </w:r>
      <w:r>
        <w:rPr>
          <w:color w:val="231F20"/>
        </w:rPr>
        <w:t>faire</w:t>
      </w:r>
      <w:r>
        <w:rPr>
          <w:color w:val="231F20"/>
          <w:spacing w:val="-17"/>
        </w:rPr>
        <w:t> </w:t>
      </w:r>
      <w:r>
        <w:rPr>
          <w:color w:val="231F20"/>
        </w:rPr>
        <w:t>l’objet</w:t>
      </w:r>
      <w:r>
        <w:rPr>
          <w:color w:val="231F20"/>
          <w:spacing w:val="-16"/>
        </w:rPr>
        <w:t> </w:t>
      </w:r>
      <w:r>
        <w:rPr>
          <w:color w:val="231F20"/>
        </w:rPr>
        <w:t>de </w:t>
      </w:r>
      <w:r>
        <w:rPr>
          <w:color w:val="231F20"/>
          <w:spacing w:val="-8"/>
        </w:rPr>
        <w:t>demandes légales ; de leur côté, les hommes </w:t>
      </w:r>
      <w:r>
        <w:rPr>
          <w:color w:val="231F20"/>
          <w:spacing w:val="-4"/>
        </w:rPr>
        <w:t>d’affaires</w:t>
      </w:r>
      <w:r>
        <w:rPr>
          <w:color w:val="231F20"/>
          <w:spacing w:val="-13"/>
        </w:rPr>
        <w:t> </w:t>
      </w:r>
      <w:r>
        <w:rPr>
          <w:color w:val="231F20"/>
          <w:spacing w:val="-4"/>
        </w:rPr>
        <w:t>canadiens</w:t>
      </w:r>
      <w:r>
        <w:rPr>
          <w:color w:val="231F20"/>
          <w:spacing w:val="-12"/>
        </w:rPr>
        <w:t> </w:t>
      </w:r>
      <w:r>
        <w:rPr>
          <w:color w:val="231F20"/>
          <w:spacing w:val="-4"/>
        </w:rPr>
        <w:t>risquent</w:t>
      </w:r>
      <w:r>
        <w:rPr>
          <w:color w:val="231F20"/>
          <w:spacing w:val="-13"/>
        </w:rPr>
        <w:t> </w:t>
      </w:r>
      <w:r>
        <w:rPr>
          <w:color w:val="231F20"/>
          <w:spacing w:val="-4"/>
        </w:rPr>
        <w:t>d’être</w:t>
      </w:r>
      <w:r>
        <w:rPr>
          <w:color w:val="231F20"/>
          <w:spacing w:val="-12"/>
        </w:rPr>
        <w:t> </w:t>
      </w:r>
      <w:r>
        <w:rPr>
          <w:color w:val="231F20"/>
          <w:spacing w:val="-4"/>
        </w:rPr>
        <w:t>interdits </w:t>
      </w:r>
      <w:r>
        <w:rPr>
          <w:color w:val="231F20"/>
        </w:rPr>
        <w:t>d’entrée aux États-Unis.</w:t>
      </w:r>
    </w:p>
    <w:p>
      <w:pPr>
        <w:pStyle w:val="BodyText"/>
        <w:spacing w:before="168"/>
        <w:ind w:left="413" w:right="1475"/>
      </w:pPr>
      <w:r>
        <w:rPr>
          <w:color w:val="231F20"/>
          <w:spacing w:val="-12"/>
        </w:rPr>
        <w:t>Dans</w:t>
      </w:r>
      <w:r>
        <w:rPr>
          <w:color w:val="231F20"/>
        </w:rPr>
        <w:t> </w:t>
      </w:r>
      <w:r>
        <w:rPr>
          <w:color w:val="231F20"/>
          <w:spacing w:val="-12"/>
        </w:rPr>
        <w:t>ce</w:t>
      </w:r>
      <w:r>
        <w:rPr>
          <w:color w:val="231F20"/>
        </w:rPr>
        <w:t> </w:t>
      </w:r>
      <w:r>
        <w:rPr>
          <w:color w:val="231F20"/>
          <w:spacing w:val="-12"/>
        </w:rPr>
        <w:t>secteur</w:t>
      </w:r>
      <w:r>
        <w:rPr>
          <w:color w:val="231F20"/>
        </w:rPr>
        <w:t> </w:t>
      </w:r>
      <w:r>
        <w:rPr>
          <w:color w:val="231F20"/>
          <w:spacing w:val="-12"/>
        </w:rPr>
        <w:t>agricole,</w:t>
      </w:r>
      <w:r>
        <w:rPr>
          <w:color w:val="231F20"/>
        </w:rPr>
        <w:t> </w:t>
      </w:r>
      <w:r>
        <w:rPr>
          <w:color w:val="231F20"/>
          <w:spacing w:val="-12"/>
        </w:rPr>
        <w:t>le</w:t>
      </w:r>
      <w:r>
        <w:rPr>
          <w:color w:val="231F20"/>
        </w:rPr>
        <w:t> </w:t>
      </w:r>
      <w:r>
        <w:rPr>
          <w:color w:val="231F20"/>
          <w:spacing w:val="-12"/>
        </w:rPr>
        <w:t>principal</w:t>
      </w:r>
      <w:r>
        <w:rPr>
          <w:color w:val="231F20"/>
        </w:rPr>
        <w:t> </w:t>
      </w:r>
      <w:r>
        <w:rPr>
          <w:color w:val="231F20"/>
          <w:spacing w:val="-12"/>
        </w:rPr>
        <w:t>préjudice </w:t>
      </w:r>
      <w:r>
        <w:rPr>
          <w:color w:val="231F20"/>
          <w:spacing w:val="-6"/>
        </w:rPr>
        <w:t>aux exportations cubaines est l’impossibilité </w:t>
      </w:r>
      <w:r>
        <w:rPr>
          <w:color w:val="231F20"/>
        </w:rPr>
        <w:t>d’écouler</w:t>
      </w:r>
      <w:r>
        <w:rPr>
          <w:color w:val="231F20"/>
          <w:spacing w:val="-17"/>
        </w:rPr>
        <w:t> </w:t>
      </w:r>
      <w:r>
        <w:rPr>
          <w:color w:val="231F20"/>
        </w:rPr>
        <w:t>le</w:t>
      </w:r>
      <w:r>
        <w:rPr>
          <w:color w:val="231F20"/>
          <w:spacing w:val="-16"/>
        </w:rPr>
        <w:t> </w:t>
      </w:r>
      <w:r>
        <w:rPr>
          <w:color w:val="231F20"/>
        </w:rPr>
        <w:t>tabac</w:t>
      </w:r>
      <w:r>
        <w:rPr>
          <w:color w:val="231F20"/>
          <w:spacing w:val="-17"/>
        </w:rPr>
        <w:t> </w:t>
      </w:r>
      <w:r>
        <w:rPr>
          <w:color w:val="231F20"/>
        </w:rPr>
        <w:t>sur</w:t>
      </w:r>
      <w:r>
        <w:rPr>
          <w:color w:val="231F20"/>
          <w:spacing w:val="-16"/>
        </w:rPr>
        <w:t> </w:t>
      </w:r>
      <w:r>
        <w:rPr>
          <w:color w:val="231F20"/>
        </w:rPr>
        <w:t>le</w:t>
      </w:r>
      <w:r>
        <w:rPr>
          <w:color w:val="231F20"/>
          <w:spacing w:val="-17"/>
        </w:rPr>
        <w:t> </w:t>
      </w:r>
      <w:r>
        <w:rPr>
          <w:color w:val="231F20"/>
        </w:rPr>
        <w:t>marché</w:t>
      </w:r>
      <w:r>
        <w:rPr>
          <w:color w:val="231F20"/>
          <w:spacing w:val="-16"/>
        </w:rPr>
        <w:t> </w:t>
      </w:r>
      <w:r>
        <w:rPr>
          <w:color w:val="231F20"/>
        </w:rPr>
        <w:t>étasunien, d’où</w:t>
      </w:r>
      <w:r>
        <w:rPr>
          <w:color w:val="231F20"/>
          <w:spacing w:val="-7"/>
        </w:rPr>
        <w:t> </w:t>
      </w:r>
      <w:r>
        <w:rPr>
          <w:color w:val="231F20"/>
        </w:rPr>
        <w:t>un</w:t>
      </w:r>
      <w:r>
        <w:rPr>
          <w:color w:val="231F20"/>
          <w:spacing w:val="-7"/>
        </w:rPr>
        <w:t> </w:t>
      </w:r>
      <w:r>
        <w:rPr>
          <w:color w:val="231F20"/>
        </w:rPr>
        <w:t>manque</w:t>
      </w:r>
      <w:r>
        <w:rPr>
          <w:color w:val="231F20"/>
          <w:spacing w:val="-7"/>
        </w:rPr>
        <w:t> </w:t>
      </w:r>
      <w:r>
        <w:rPr>
          <w:color w:val="231F20"/>
        </w:rPr>
        <w:t>à</w:t>
      </w:r>
      <w:r>
        <w:rPr>
          <w:color w:val="231F20"/>
          <w:spacing w:val="-7"/>
        </w:rPr>
        <w:t> </w:t>
      </w:r>
      <w:r>
        <w:rPr>
          <w:color w:val="231F20"/>
        </w:rPr>
        <w:t>gagner</w:t>
      </w:r>
      <w:r>
        <w:rPr>
          <w:color w:val="231F20"/>
          <w:spacing w:val="-7"/>
        </w:rPr>
        <w:t> </w:t>
      </w:r>
      <w:r>
        <w:rPr>
          <w:color w:val="231F20"/>
        </w:rPr>
        <w:t>de</w:t>
      </w:r>
      <w:r>
        <w:rPr>
          <w:color w:val="231F20"/>
          <w:spacing w:val="-8"/>
        </w:rPr>
        <w:t> </w:t>
      </w:r>
      <w:r>
        <w:rPr>
          <w:rFonts w:ascii="Segoe UI Semibold" w:hAnsi="Segoe UI Semibold"/>
          <w:b/>
          <w:i/>
          <w:color w:val="231F20"/>
        </w:rPr>
        <w:t>237</w:t>
      </w:r>
      <w:r>
        <w:rPr>
          <w:rFonts w:ascii="Segoe UI Semibold" w:hAnsi="Segoe UI Semibold"/>
          <w:b/>
          <w:i/>
          <w:color w:val="231F20"/>
          <w:spacing w:val="-7"/>
        </w:rPr>
        <w:t> </w:t>
      </w:r>
      <w:r>
        <w:rPr>
          <w:rFonts w:ascii="Segoe UI Semibold" w:hAnsi="Segoe UI Semibold"/>
          <w:b/>
          <w:i/>
          <w:color w:val="231F20"/>
        </w:rPr>
        <w:t>500</w:t>
      </w:r>
      <w:r>
        <w:rPr>
          <w:rFonts w:ascii="Segoe UI Semibold" w:hAnsi="Segoe UI Semibold"/>
          <w:b/>
          <w:i/>
          <w:color w:val="231F20"/>
          <w:spacing w:val="-7"/>
        </w:rPr>
        <w:t> </w:t>
      </w:r>
      <w:r>
        <w:rPr>
          <w:rFonts w:ascii="Segoe UI Semibold" w:hAnsi="Segoe UI Semibold"/>
          <w:b/>
          <w:i/>
          <w:color w:val="231F20"/>
        </w:rPr>
        <w:t>000</w:t>
      </w:r>
      <w:r>
        <w:rPr>
          <w:rFonts w:ascii="Segoe UI Semibold" w:hAnsi="Segoe UI Semibold"/>
          <w:b/>
          <w:i/>
          <w:color w:val="231F20"/>
        </w:rPr>
        <w:t> </w:t>
      </w:r>
      <w:r>
        <w:rPr>
          <w:rFonts w:ascii="Segoe UI Semibold" w:hAnsi="Segoe UI Semibold"/>
          <w:b/>
          <w:i/>
          <w:color w:val="231F20"/>
          <w:spacing w:val="-2"/>
        </w:rPr>
        <w:t>dollars</w:t>
      </w:r>
      <w:r>
        <w:rPr>
          <w:color w:val="231F20"/>
          <w:spacing w:val="-2"/>
        </w:rPr>
        <w:t>.</w:t>
      </w:r>
    </w:p>
    <w:p>
      <w:pPr>
        <w:pStyle w:val="BodyText"/>
        <w:spacing w:before="161"/>
        <w:ind w:left="413" w:right="1473"/>
      </w:pPr>
      <w:r>
        <w:rPr>
          <w:color w:val="231F20"/>
        </w:rPr>
        <w:t>Les limitations financières qu’implique le </w:t>
      </w:r>
      <w:r>
        <w:rPr>
          <w:color w:val="231F20"/>
          <w:spacing w:val="-2"/>
        </w:rPr>
        <w:t>blocus,</w:t>
      </w:r>
      <w:r>
        <w:rPr>
          <w:color w:val="231F20"/>
          <w:spacing w:val="-14"/>
        </w:rPr>
        <w:t> </w:t>
      </w:r>
      <w:r>
        <w:rPr>
          <w:color w:val="231F20"/>
          <w:spacing w:val="-2"/>
        </w:rPr>
        <w:t>la</w:t>
      </w:r>
      <w:r>
        <w:rPr>
          <w:color w:val="231F20"/>
          <w:spacing w:val="-14"/>
        </w:rPr>
        <w:t> </w:t>
      </w:r>
      <w:r>
        <w:rPr>
          <w:color w:val="231F20"/>
          <w:spacing w:val="-2"/>
        </w:rPr>
        <w:t>hausse</w:t>
      </w:r>
      <w:r>
        <w:rPr>
          <w:color w:val="231F20"/>
          <w:spacing w:val="-14"/>
        </w:rPr>
        <w:t> </w:t>
      </w:r>
      <w:r>
        <w:rPr>
          <w:color w:val="231F20"/>
          <w:spacing w:val="-2"/>
        </w:rPr>
        <w:t>des</w:t>
      </w:r>
      <w:r>
        <w:rPr>
          <w:color w:val="231F20"/>
          <w:spacing w:val="-14"/>
        </w:rPr>
        <w:t> </w:t>
      </w:r>
      <w:r>
        <w:rPr>
          <w:color w:val="231F20"/>
          <w:spacing w:val="-2"/>
        </w:rPr>
        <w:t>cours</w:t>
      </w:r>
      <w:r>
        <w:rPr>
          <w:color w:val="231F20"/>
          <w:spacing w:val="-14"/>
        </w:rPr>
        <w:t> </w:t>
      </w:r>
      <w:r>
        <w:rPr>
          <w:color w:val="231F20"/>
          <w:spacing w:val="-2"/>
        </w:rPr>
        <w:t>et</w:t>
      </w:r>
      <w:r>
        <w:rPr>
          <w:color w:val="231F20"/>
          <w:spacing w:val="-14"/>
        </w:rPr>
        <w:t> </w:t>
      </w:r>
      <w:r>
        <w:rPr>
          <w:color w:val="231F20"/>
          <w:spacing w:val="-2"/>
        </w:rPr>
        <w:t>les</w:t>
      </w:r>
      <w:r>
        <w:rPr>
          <w:color w:val="231F20"/>
          <w:spacing w:val="-14"/>
        </w:rPr>
        <w:t> </w:t>
      </w:r>
      <w:r>
        <w:rPr>
          <w:color w:val="231F20"/>
          <w:spacing w:val="-2"/>
        </w:rPr>
        <w:t>difficultés </w:t>
      </w:r>
      <w:r>
        <w:rPr>
          <w:color w:val="231F20"/>
          <w:spacing w:val="-10"/>
        </w:rPr>
        <w:t>d’accès</w:t>
      </w:r>
      <w:r>
        <w:rPr>
          <w:color w:val="231F20"/>
          <w:spacing w:val="-7"/>
        </w:rPr>
        <w:t> </w:t>
      </w:r>
      <w:r>
        <w:rPr>
          <w:color w:val="231F20"/>
          <w:spacing w:val="-10"/>
        </w:rPr>
        <w:t>à</w:t>
      </w:r>
      <w:r>
        <w:rPr>
          <w:color w:val="231F20"/>
          <w:spacing w:val="-6"/>
        </w:rPr>
        <w:t> </w:t>
      </w:r>
      <w:r>
        <w:rPr>
          <w:color w:val="231F20"/>
          <w:spacing w:val="-10"/>
        </w:rPr>
        <w:t>des</w:t>
      </w:r>
      <w:r>
        <w:rPr>
          <w:color w:val="231F20"/>
          <w:spacing w:val="-7"/>
        </w:rPr>
        <w:t> </w:t>
      </w:r>
      <w:r>
        <w:rPr>
          <w:color w:val="231F20"/>
          <w:spacing w:val="-10"/>
        </w:rPr>
        <w:t>matières</w:t>
      </w:r>
      <w:r>
        <w:rPr>
          <w:color w:val="231F20"/>
          <w:spacing w:val="-6"/>
        </w:rPr>
        <w:t> </w:t>
      </w:r>
      <w:r>
        <w:rPr>
          <w:color w:val="231F20"/>
          <w:spacing w:val="-10"/>
        </w:rPr>
        <w:t>premières</w:t>
      </w:r>
      <w:r>
        <w:rPr>
          <w:color w:val="231F20"/>
          <w:spacing w:val="-7"/>
        </w:rPr>
        <w:t> </w:t>
      </w:r>
      <w:r>
        <w:rPr>
          <w:color w:val="231F20"/>
          <w:spacing w:val="-10"/>
        </w:rPr>
        <w:t>de</w:t>
      </w:r>
      <w:r>
        <w:rPr>
          <w:color w:val="231F20"/>
          <w:spacing w:val="-6"/>
        </w:rPr>
        <w:t> </w:t>
      </w:r>
      <w:r>
        <w:rPr>
          <w:color w:val="231F20"/>
          <w:spacing w:val="-10"/>
        </w:rPr>
        <w:t>viande,</w:t>
      </w:r>
      <w:r>
        <w:rPr>
          <w:color w:val="231F20"/>
          <w:spacing w:val="-7"/>
        </w:rPr>
        <w:t> </w:t>
      </w:r>
      <w:r>
        <w:rPr>
          <w:color w:val="231F20"/>
          <w:spacing w:val="-10"/>
        </w:rPr>
        <w:t>à </w:t>
      </w:r>
      <w:r>
        <w:rPr>
          <w:color w:val="231F20"/>
          <w:spacing w:val="-6"/>
        </w:rPr>
        <w:t>du</w:t>
      </w:r>
      <w:r>
        <w:rPr>
          <w:color w:val="231F20"/>
          <w:spacing w:val="-7"/>
        </w:rPr>
        <w:t> </w:t>
      </w:r>
      <w:r>
        <w:rPr>
          <w:color w:val="231F20"/>
          <w:spacing w:val="-6"/>
        </w:rPr>
        <w:t>tripolyphosphate</w:t>
      </w:r>
      <w:r>
        <w:rPr>
          <w:color w:val="231F20"/>
          <w:spacing w:val="-7"/>
        </w:rPr>
        <w:t> </w:t>
      </w:r>
      <w:r>
        <w:rPr>
          <w:color w:val="231F20"/>
          <w:spacing w:val="-6"/>
        </w:rPr>
        <w:t>de</w:t>
      </w:r>
      <w:r>
        <w:rPr>
          <w:color w:val="231F20"/>
          <w:spacing w:val="-7"/>
        </w:rPr>
        <w:t> </w:t>
      </w:r>
      <w:r>
        <w:rPr>
          <w:color w:val="231F20"/>
          <w:spacing w:val="-6"/>
        </w:rPr>
        <w:t>sodium,</w:t>
      </w:r>
      <w:r>
        <w:rPr>
          <w:color w:val="231F20"/>
          <w:spacing w:val="-7"/>
        </w:rPr>
        <w:t> </w:t>
      </w:r>
      <w:r>
        <w:rPr>
          <w:color w:val="231F20"/>
          <w:spacing w:val="-6"/>
        </w:rPr>
        <w:t>à</w:t>
      </w:r>
      <w:r>
        <w:rPr>
          <w:color w:val="231F20"/>
          <w:spacing w:val="-7"/>
        </w:rPr>
        <w:t> </w:t>
      </w:r>
      <w:r>
        <w:rPr>
          <w:color w:val="231F20"/>
          <w:spacing w:val="-6"/>
        </w:rPr>
        <w:t>du</w:t>
      </w:r>
      <w:r>
        <w:rPr>
          <w:color w:val="231F20"/>
          <w:spacing w:val="-7"/>
        </w:rPr>
        <w:t> </w:t>
      </w:r>
      <w:r>
        <w:rPr>
          <w:color w:val="231F20"/>
          <w:spacing w:val="-6"/>
        </w:rPr>
        <w:t>nitrite, </w:t>
      </w:r>
      <w:r>
        <w:rPr>
          <w:color w:val="231F20"/>
          <w:spacing w:val="-4"/>
        </w:rPr>
        <w:t>entre</w:t>
      </w:r>
      <w:r>
        <w:rPr>
          <w:color w:val="231F20"/>
          <w:spacing w:val="-8"/>
        </w:rPr>
        <w:t> </w:t>
      </w:r>
      <w:r>
        <w:rPr>
          <w:color w:val="231F20"/>
          <w:spacing w:val="-4"/>
        </w:rPr>
        <w:t>autres,</w:t>
      </w:r>
      <w:r>
        <w:rPr>
          <w:color w:val="231F20"/>
          <w:spacing w:val="-8"/>
        </w:rPr>
        <w:t> </w:t>
      </w:r>
      <w:r>
        <w:rPr>
          <w:color w:val="231F20"/>
          <w:spacing w:val="-4"/>
        </w:rPr>
        <w:t>touchent</w:t>
      </w:r>
      <w:r>
        <w:rPr>
          <w:color w:val="231F20"/>
          <w:spacing w:val="-8"/>
        </w:rPr>
        <w:t> </w:t>
      </w:r>
      <w:r>
        <w:rPr>
          <w:color w:val="231F20"/>
          <w:spacing w:val="-4"/>
        </w:rPr>
        <w:t>aussi</w:t>
      </w:r>
      <w:r>
        <w:rPr>
          <w:color w:val="231F20"/>
          <w:spacing w:val="-8"/>
        </w:rPr>
        <w:t> </w:t>
      </w:r>
      <w:r>
        <w:rPr>
          <w:color w:val="231F20"/>
          <w:spacing w:val="-4"/>
        </w:rPr>
        <w:t>à</w:t>
      </w:r>
      <w:r>
        <w:rPr>
          <w:color w:val="231F20"/>
          <w:spacing w:val="-8"/>
        </w:rPr>
        <w:t> </w:t>
      </w:r>
      <w:r>
        <w:rPr>
          <w:color w:val="231F20"/>
          <w:spacing w:val="-4"/>
        </w:rPr>
        <w:t>la</w:t>
      </w:r>
      <w:r>
        <w:rPr>
          <w:color w:val="231F20"/>
          <w:spacing w:val="-8"/>
        </w:rPr>
        <w:t> </w:t>
      </w:r>
      <w:r>
        <w:rPr>
          <w:color w:val="231F20"/>
          <w:spacing w:val="-4"/>
        </w:rPr>
        <w:t>production </w:t>
      </w:r>
      <w:r>
        <w:rPr>
          <w:color w:val="231F20"/>
        </w:rPr>
        <w:t>nationale d’aliments, d’où une rupture de stocks</w:t>
      </w:r>
      <w:r>
        <w:rPr>
          <w:color w:val="231F20"/>
          <w:spacing w:val="-11"/>
        </w:rPr>
        <w:t> </w:t>
      </w:r>
      <w:r>
        <w:rPr>
          <w:color w:val="231F20"/>
        </w:rPr>
        <w:t>généralisée</w:t>
      </w:r>
      <w:r>
        <w:rPr>
          <w:color w:val="231F20"/>
          <w:spacing w:val="-11"/>
        </w:rPr>
        <w:t> </w:t>
      </w:r>
      <w:r>
        <w:rPr>
          <w:color w:val="231F20"/>
        </w:rPr>
        <w:t>sur</w:t>
      </w:r>
      <w:r>
        <w:rPr>
          <w:color w:val="231F20"/>
          <w:spacing w:val="-11"/>
        </w:rPr>
        <w:t> </w:t>
      </w:r>
      <w:r>
        <w:rPr>
          <w:color w:val="231F20"/>
        </w:rPr>
        <w:t>le</w:t>
      </w:r>
      <w:r>
        <w:rPr>
          <w:color w:val="231F20"/>
          <w:spacing w:val="-11"/>
        </w:rPr>
        <w:t> </w:t>
      </w:r>
      <w:r>
        <w:rPr>
          <w:color w:val="231F20"/>
        </w:rPr>
        <w:t>marché</w:t>
      </w:r>
      <w:r>
        <w:rPr>
          <w:color w:val="231F20"/>
          <w:spacing w:val="-11"/>
        </w:rPr>
        <w:t> </w:t>
      </w:r>
      <w:r>
        <w:rPr>
          <w:color w:val="231F20"/>
        </w:rPr>
        <w:t>de</w:t>
      </w:r>
      <w:r>
        <w:rPr>
          <w:color w:val="231F20"/>
          <w:spacing w:val="-11"/>
        </w:rPr>
        <w:t> </w:t>
      </w:r>
      <w:r>
        <w:rPr>
          <w:color w:val="231F20"/>
        </w:rPr>
        <w:t>détail, </w:t>
      </w:r>
      <w:r>
        <w:rPr>
          <w:color w:val="231F20"/>
          <w:spacing w:val="-2"/>
        </w:rPr>
        <w:t>qui</w:t>
      </w:r>
      <w:r>
        <w:rPr>
          <w:color w:val="231F20"/>
          <w:spacing w:val="-12"/>
        </w:rPr>
        <w:t> </w:t>
      </w:r>
      <w:r>
        <w:rPr>
          <w:color w:val="231F20"/>
          <w:spacing w:val="-2"/>
        </w:rPr>
        <w:t>frappe</w:t>
      </w:r>
      <w:r>
        <w:rPr>
          <w:color w:val="231F20"/>
          <w:spacing w:val="-12"/>
        </w:rPr>
        <w:t> </w:t>
      </w:r>
      <w:r>
        <w:rPr>
          <w:color w:val="231F20"/>
          <w:spacing w:val="-2"/>
        </w:rPr>
        <w:t>en</w:t>
      </w:r>
      <w:r>
        <w:rPr>
          <w:color w:val="231F20"/>
          <w:spacing w:val="-12"/>
        </w:rPr>
        <w:t> </w:t>
      </w:r>
      <w:r>
        <w:rPr>
          <w:color w:val="231F20"/>
          <w:spacing w:val="-2"/>
        </w:rPr>
        <w:t>premier</w:t>
      </w:r>
      <w:r>
        <w:rPr>
          <w:color w:val="231F20"/>
          <w:spacing w:val="-12"/>
        </w:rPr>
        <w:t> </w:t>
      </w:r>
      <w:r>
        <w:rPr>
          <w:color w:val="231F20"/>
          <w:spacing w:val="-2"/>
        </w:rPr>
        <w:t>lieu</w:t>
      </w:r>
      <w:r>
        <w:rPr>
          <w:color w:val="231F20"/>
          <w:spacing w:val="-12"/>
        </w:rPr>
        <w:t> </w:t>
      </w:r>
      <w:r>
        <w:rPr>
          <w:color w:val="231F20"/>
          <w:spacing w:val="-2"/>
        </w:rPr>
        <w:t>la</w:t>
      </w:r>
      <w:r>
        <w:rPr>
          <w:color w:val="231F20"/>
          <w:spacing w:val="-12"/>
        </w:rPr>
        <w:t> </w:t>
      </w:r>
      <w:r>
        <w:rPr>
          <w:color w:val="231F20"/>
          <w:spacing w:val="-2"/>
        </w:rPr>
        <w:t>population,</w:t>
      </w:r>
      <w:r>
        <w:rPr>
          <w:color w:val="231F20"/>
          <w:spacing w:val="-12"/>
        </w:rPr>
        <w:t> </w:t>
      </w:r>
      <w:r>
        <w:rPr>
          <w:color w:val="231F20"/>
          <w:spacing w:val="-2"/>
        </w:rPr>
        <w:t>et chez</w:t>
      </w:r>
      <w:r>
        <w:rPr>
          <w:color w:val="231F20"/>
          <w:spacing w:val="-15"/>
        </w:rPr>
        <w:t> </w:t>
      </w:r>
      <w:r>
        <w:rPr>
          <w:color w:val="231F20"/>
          <w:spacing w:val="-2"/>
        </w:rPr>
        <w:t>les</w:t>
      </w:r>
      <w:r>
        <w:rPr>
          <w:color w:val="231F20"/>
          <w:spacing w:val="-14"/>
        </w:rPr>
        <w:t> </w:t>
      </w:r>
      <w:r>
        <w:rPr>
          <w:color w:val="231F20"/>
          <w:spacing w:val="-2"/>
        </w:rPr>
        <w:t>producteurs</w:t>
      </w:r>
      <w:r>
        <w:rPr>
          <w:color w:val="231F20"/>
          <w:spacing w:val="-15"/>
        </w:rPr>
        <w:t> </w:t>
      </w:r>
      <w:r>
        <w:rPr>
          <w:color w:val="231F20"/>
          <w:spacing w:val="-2"/>
        </w:rPr>
        <w:t>privés.</w:t>
      </w:r>
      <w:r>
        <w:rPr>
          <w:color w:val="231F20"/>
          <w:spacing w:val="-14"/>
        </w:rPr>
        <w:t> </w:t>
      </w:r>
      <w:r>
        <w:rPr>
          <w:color w:val="231F20"/>
          <w:spacing w:val="-2"/>
        </w:rPr>
        <w:t>À</w:t>
      </w:r>
      <w:r>
        <w:rPr>
          <w:color w:val="231F20"/>
          <w:spacing w:val="-15"/>
        </w:rPr>
        <w:t> </w:t>
      </w:r>
      <w:r>
        <w:rPr>
          <w:color w:val="231F20"/>
          <w:spacing w:val="-2"/>
        </w:rPr>
        <w:t>quoi</w:t>
      </w:r>
      <w:r>
        <w:rPr>
          <w:color w:val="231F20"/>
          <w:spacing w:val="-14"/>
        </w:rPr>
        <w:t> </w:t>
      </w:r>
      <w:r>
        <w:rPr>
          <w:color w:val="231F20"/>
          <w:spacing w:val="-2"/>
        </w:rPr>
        <w:t>s’ajoute </w:t>
      </w:r>
      <w:r>
        <w:rPr>
          <w:color w:val="231F20"/>
          <w:spacing w:val="-6"/>
        </w:rPr>
        <w:t>la</w:t>
      </w:r>
      <w:r>
        <w:rPr>
          <w:color w:val="231F20"/>
          <w:spacing w:val="-10"/>
        </w:rPr>
        <w:t> </w:t>
      </w:r>
      <w:r>
        <w:rPr>
          <w:color w:val="231F20"/>
          <w:spacing w:val="-6"/>
        </w:rPr>
        <w:t>dégradation</w:t>
      </w:r>
      <w:r>
        <w:rPr>
          <w:color w:val="231F20"/>
          <w:spacing w:val="-10"/>
        </w:rPr>
        <w:t> </w:t>
      </w:r>
      <w:r>
        <w:rPr>
          <w:color w:val="231F20"/>
          <w:spacing w:val="-6"/>
        </w:rPr>
        <w:t>de</w:t>
      </w:r>
      <w:r>
        <w:rPr>
          <w:color w:val="231F20"/>
          <w:spacing w:val="-10"/>
        </w:rPr>
        <w:t> </w:t>
      </w:r>
      <w:r>
        <w:rPr>
          <w:color w:val="231F20"/>
          <w:spacing w:val="-6"/>
        </w:rPr>
        <w:t>l’infrastructure</w:t>
      </w:r>
      <w:r>
        <w:rPr>
          <w:color w:val="231F20"/>
          <w:spacing w:val="-10"/>
        </w:rPr>
        <w:t> </w:t>
      </w:r>
      <w:r>
        <w:rPr>
          <w:color w:val="231F20"/>
          <w:spacing w:val="-6"/>
        </w:rPr>
        <w:t>:</w:t>
      </w:r>
      <w:r>
        <w:rPr>
          <w:color w:val="231F20"/>
          <w:spacing w:val="-10"/>
        </w:rPr>
        <w:t> </w:t>
      </w:r>
      <w:r>
        <w:rPr>
          <w:color w:val="231F20"/>
          <w:spacing w:val="-6"/>
        </w:rPr>
        <w:t>chambres </w:t>
      </w:r>
      <w:r>
        <w:rPr>
          <w:color w:val="231F20"/>
          <w:spacing w:val="-8"/>
        </w:rPr>
        <w:t>froides et entrepôts classiques, équipements </w:t>
      </w:r>
      <w:r>
        <w:rPr>
          <w:color w:val="231F20"/>
        </w:rPr>
        <w:t>technologiques et transport.</w:t>
      </w:r>
    </w:p>
    <w:p>
      <w:pPr>
        <w:pStyle w:val="BodyText"/>
        <w:spacing w:before="170"/>
        <w:ind w:left="413" w:right="1477"/>
      </w:pPr>
      <w:r>
        <w:rPr>
          <w:color w:val="231F20"/>
        </w:rPr>
        <w:t>Le blocus prive aussi l’industrie nationale de financements qui devraient </w:t>
      </w:r>
      <w:r>
        <w:rPr>
          <w:color w:val="231F20"/>
        </w:rPr>
        <w:t>permettre d’importer les intrants nécessaires à la production d’aliments.</w:t>
      </w:r>
    </w:p>
    <w:p>
      <w:pPr>
        <w:pStyle w:val="BodyText"/>
        <w:spacing w:before="163"/>
        <w:ind w:left="413" w:right="1471"/>
      </w:pPr>
      <w:r>
        <w:rPr>
          <w:color w:val="231F20"/>
          <w:spacing w:val="-4"/>
        </w:rPr>
        <w:t>Cuba</w:t>
      </w:r>
      <w:r>
        <w:rPr>
          <w:color w:val="231F20"/>
          <w:spacing w:val="-13"/>
        </w:rPr>
        <w:t> </w:t>
      </w:r>
      <w:r>
        <w:rPr>
          <w:color w:val="231F20"/>
          <w:spacing w:val="-4"/>
        </w:rPr>
        <w:t>peut</w:t>
      </w:r>
      <w:r>
        <w:rPr>
          <w:color w:val="231F20"/>
          <w:spacing w:val="-12"/>
        </w:rPr>
        <w:t> </w:t>
      </w:r>
      <w:r>
        <w:rPr>
          <w:color w:val="231F20"/>
          <w:spacing w:val="-4"/>
        </w:rPr>
        <w:t>acheter</w:t>
      </w:r>
      <w:r>
        <w:rPr>
          <w:color w:val="231F20"/>
          <w:spacing w:val="-13"/>
        </w:rPr>
        <w:t> </w:t>
      </w:r>
      <w:r>
        <w:rPr>
          <w:color w:val="231F20"/>
          <w:spacing w:val="-4"/>
        </w:rPr>
        <w:t>aux</w:t>
      </w:r>
      <w:r>
        <w:rPr>
          <w:color w:val="231F20"/>
          <w:spacing w:val="-12"/>
        </w:rPr>
        <w:t> </w:t>
      </w:r>
      <w:r>
        <w:rPr>
          <w:color w:val="231F20"/>
          <w:spacing w:val="-4"/>
        </w:rPr>
        <w:t>États-Unis</w:t>
      </w:r>
      <w:r>
        <w:rPr>
          <w:color w:val="231F20"/>
          <w:spacing w:val="-13"/>
        </w:rPr>
        <w:t> </w:t>
      </w:r>
      <w:r>
        <w:rPr>
          <w:color w:val="231F20"/>
          <w:spacing w:val="-4"/>
        </w:rPr>
        <w:t>un</w:t>
      </w:r>
      <w:r>
        <w:rPr>
          <w:color w:val="231F20"/>
          <w:spacing w:val="-12"/>
        </w:rPr>
        <w:t> </w:t>
      </w:r>
      <w:r>
        <w:rPr>
          <w:color w:val="231F20"/>
          <w:spacing w:val="-4"/>
        </w:rPr>
        <w:t>certain </w:t>
      </w:r>
      <w:r>
        <w:rPr>
          <w:color w:val="231F20"/>
          <w:spacing w:val="-8"/>
        </w:rPr>
        <w:t>nombre de produits agricoles, mais dans des </w:t>
      </w:r>
      <w:r>
        <w:rPr>
          <w:color w:val="231F20"/>
          <w:spacing w:val="-6"/>
        </w:rPr>
        <w:t>conditions</w:t>
      </w:r>
      <w:r>
        <w:rPr>
          <w:color w:val="231F20"/>
          <w:spacing w:val="-11"/>
        </w:rPr>
        <w:t> </w:t>
      </w:r>
      <w:r>
        <w:rPr>
          <w:color w:val="231F20"/>
          <w:spacing w:val="-6"/>
        </w:rPr>
        <w:t>légales</w:t>
      </w:r>
      <w:r>
        <w:rPr>
          <w:color w:val="231F20"/>
          <w:spacing w:val="-10"/>
        </w:rPr>
        <w:t> </w:t>
      </w:r>
      <w:r>
        <w:rPr>
          <w:color w:val="231F20"/>
          <w:spacing w:val="-6"/>
        </w:rPr>
        <w:t>tout</w:t>
      </w:r>
      <w:r>
        <w:rPr>
          <w:color w:val="231F20"/>
          <w:spacing w:val="-11"/>
        </w:rPr>
        <w:t> </w:t>
      </w:r>
      <w:r>
        <w:rPr>
          <w:color w:val="231F20"/>
          <w:spacing w:val="-6"/>
        </w:rPr>
        <w:t>à</w:t>
      </w:r>
      <w:r>
        <w:rPr>
          <w:color w:val="231F20"/>
          <w:spacing w:val="-10"/>
        </w:rPr>
        <w:t> </w:t>
      </w:r>
      <w:r>
        <w:rPr>
          <w:color w:val="231F20"/>
          <w:spacing w:val="-6"/>
        </w:rPr>
        <w:t>fait</w:t>
      </w:r>
      <w:r>
        <w:rPr>
          <w:color w:val="231F20"/>
          <w:spacing w:val="-11"/>
        </w:rPr>
        <w:t> </w:t>
      </w:r>
      <w:r>
        <w:rPr>
          <w:color w:val="231F20"/>
          <w:spacing w:val="-6"/>
        </w:rPr>
        <w:t>restrictives</w:t>
      </w:r>
      <w:r>
        <w:rPr>
          <w:color w:val="231F20"/>
          <w:spacing w:val="-10"/>
        </w:rPr>
        <w:t> </w:t>
      </w:r>
      <w:r>
        <w:rPr>
          <w:color w:val="231F20"/>
          <w:spacing w:val="-6"/>
        </w:rPr>
        <w:t>:</w:t>
      </w:r>
      <w:r>
        <w:rPr>
          <w:color w:val="231F20"/>
          <w:spacing w:val="-11"/>
        </w:rPr>
        <w:t> </w:t>
      </w:r>
      <w:r>
        <w:rPr>
          <w:color w:val="231F20"/>
          <w:spacing w:val="-6"/>
        </w:rPr>
        <w:t>elle </w:t>
      </w:r>
      <w:r>
        <w:rPr>
          <w:color w:val="231F20"/>
          <w:spacing w:val="-4"/>
        </w:rPr>
        <w:t>doit</w:t>
      </w:r>
      <w:r>
        <w:rPr>
          <w:color w:val="231F20"/>
          <w:spacing w:val="-12"/>
        </w:rPr>
        <w:t> </w:t>
      </w:r>
      <w:r>
        <w:rPr>
          <w:color w:val="231F20"/>
          <w:spacing w:val="-4"/>
        </w:rPr>
        <w:t>payer</w:t>
      </w:r>
      <w:r>
        <w:rPr>
          <w:color w:val="231F20"/>
          <w:spacing w:val="-12"/>
        </w:rPr>
        <w:t> </w:t>
      </w:r>
      <w:r>
        <w:rPr>
          <w:color w:val="231F20"/>
          <w:spacing w:val="-4"/>
        </w:rPr>
        <w:t>d’avance</w:t>
      </w:r>
      <w:r>
        <w:rPr>
          <w:color w:val="231F20"/>
          <w:spacing w:val="-12"/>
        </w:rPr>
        <w:t> </w:t>
      </w:r>
      <w:r>
        <w:rPr>
          <w:color w:val="231F20"/>
          <w:spacing w:val="-4"/>
        </w:rPr>
        <w:t>et</w:t>
      </w:r>
      <w:r>
        <w:rPr>
          <w:color w:val="231F20"/>
          <w:spacing w:val="-12"/>
        </w:rPr>
        <w:t> </w:t>
      </w:r>
      <w:r>
        <w:rPr>
          <w:color w:val="231F20"/>
          <w:spacing w:val="-4"/>
        </w:rPr>
        <w:t>ne</w:t>
      </w:r>
      <w:r>
        <w:rPr>
          <w:color w:val="231F20"/>
          <w:spacing w:val="-12"/>
        </w:rPr>
        <w:t> </w:t>
      </w:r>
      <w:r>
        <w:rPr>
          <w:color w:val="231F20"/>
          <w:spacing w:val="-4"/>
        </w:rPr>
        <w:t>peut</w:t>
      </w:r>
      <w:r>
        <w:rPr>
          <w:color w:val="231F20"/>
          <w:spacing w:val="-12"/>
        </w:rPr>
        <w:t> </w:t>
      </w:r>
      <w:r>
        <w:rPr>
          <w:color w:val="231F20"/>
          <w:spacing w:val="-4"/>
        </w:rPr>
        <w:t>avoir</w:t>
      </w:r>
      <w:r>
        <w:rPr>
          <w:color w:val="231F20"/>
          <w:spacing w:val="-12"/>
        </w:rPr>
        <w:t> </w:t>
      </w:r>
      <w:r>
        <w:rPr>
          <w:color w:val="231F20"/>
          <w:spacing w:val="-4"/>
        </w:rPr>
        <w:t>accès</w:t>
      </w:r>
      <w:r>
        <w:rPr>
          <w:color w:val="231F20"/>
          <w:spacing w:val="-12"/>
        </w:rPr>
        <w:t> </w:t>
      </w:r>
      <w:r>
        <w:rPr>
          <w:color w:val="231F20"/>
          <w:spacing w:val="-4"/>
        </w:rPr>
        <w:t>à </w:t>
      </w:r>
      <w:r>
        <w:rPr>
          <w:color w:val="231F20"/>
          <w:spacing w:val="-2"/>
        </w:rPr>
        <w:t>des</w:t>
      </w:r>
      <w:r>
        <w:rPr>
          <w:color w:val="231F20"/>
          <w:spacing w:val="-15"/>
        </w:rPr>
        <w:t> </w:t>
      </w:r>
      <w:r>
        <w:rPr>
          <w:color w:val="231F20"/>
          <w:spacing w:val="-2"/>
        </w:rPr>
        <w:t>crédits,</w:t>
      </w:r>
      <w:r>
        <w:rPr>
          <w:color w:val="231F20"/>
          <w:spacing w:val="-14"/>
        </w:rPr>
        <w:t> </w:t>
      </w:r>
      <w:r>
        <w:rPr>
          <w:color w:val="231F20"/>
          <w:spacing w:val="-2"/>
        </w:rPr>
        <w:t>ce</w:t>
      </w:r>
      <w:r>
        <w:rPr>
          <w:color w:val="231F20"/>
          <w:spacing w:val="-15"/>
        </w:rPr>
        <w:t> </w:t>
      </w:r>
      <w:r>
        <w:rPr>
          <w:color w:val="231F20"/>
          <w:spacing w:val="-2"/>
        </w:rPr>
        <w:t>qui</w:t>
      </w:r>
      <w:r>
        <w:rPr>
          <w:color w:val="231F20"/>
          <w:spacing w:val="-14"/>
        </w:rPr>
        <w:t> </w:t>
      </w:r>
      <w:r>
        <w:rPr>
          <w:color w:val="231F20"/>
          <w:spacing w:val="-2"/>
        </w:rPr>
        <w:t>est</w:t>
      </w:r>
      <w:r>
        <w:rPr>
          <w:color w:val="231F20"/>
          <w:spacing w:val="-15"/>
        </w:rPr>
        <w:t> </w:t>
      </w:r>
      <w:r>
        <w:rPr>
          <w:color w:val="231F20"/>
          <w:spacing w:val="-2"/>
        </w:rPr>
        <w:t>extrêmement</w:t>
      </w:r>
      <w:r>
        <w:rPr>
          <w:color w:val="231F20"/>
          <w:spacing w:val="-14"/>
        </w:rPr>
        <w:t> </w:t>
      </w:r>
      <w:r>
        <w:rPr>
          <w:color w:val="231F20"/>
          <w:spacing w:val="-2"/>
        </w:rPr>
        <w:t>difficile </w:t>
      </w:r>
      <w:r>
        <w:rPr>
          <w:color w:val="231F20"/>
          <w:spacing w:val="-8"/>
        </w:rPr>
        <w:t>quand,</w:t>
      </w:r>
      <w:r>
        <w:rPr>
          <w:color w:val="231F20"/>
          <w:spacing w:val="-9"/>
        </w:rPr>
        <w:t> </w:t>
      </w:r>
      <w:r>
        <w:rPr>
          <w:color w:val="231F20"/>
          <w:spacing w:val="-8"/>
        </w:rPr>
        <w:t>par ailleurs,</w:t>
      </w:r>
      <w:r>
        <w:rPr>
          <w:color w:val="231F20"/>
          <w:spacing w:val="-9"/>
        </w:rPr>
        <w:t> </w:t>
      </w:r>
      <w:r>
        <w:rPr>
          <w:color w:val="231F20"/>
          <w:spacing w:val="-8"/>
        </w:rPr>
        <w:t>on lui</w:t>
      </w:r>
      <w:r>
        <w:rPr>
          <w:color w:val="231F20"/>
          <w:spacing w:val="-9"/>
        </w:rPr>
        <w:t> </w:t>
      </w:r>
      <w:r>
        <w:rPr>
          <w:color w:val="231F20"/>
          <w:spacing w:val="-8"/>
        </w:rPr>
        <w:t>entrave ses</w:t>
      </w:r>
      <w:r>
        <w:rPr>
          <w:color w:val="231F20"/>
          <w:spacing w:val="-9"/>
        </w:rPr>
        <w:t> </w:t>
      </w:r>
      <w:r>
        <w:rPr>
          <w:color w:val="231F20"/>
          <w:spacing w:val="-8"/>
        </w:rPr>
        <w:t>sources </w:t>
      </w:r>
      <w:r>
        <w:rPr>
          <w:color w:val="231F20"/>
        </w:rPr>
        <w:t>de revenus et qu’on se livre à une traque </w:t>
      </w:r>
      <w:r>
        <w:rPr>
          <w:color w:val="231F20"/>
          <w:spacing w:val="-4"/>
        </w:rPr>
        <w:t>permanente</w:t>
      </w:r>
      <w:r>
        <w:rPr>
          <w:color w:val="231F20"/>
          <w:spacing w:val="-15"/>
        </w:rPr>
        <w:t> </w:t>
      </w:r>
      <w:r>
        <w:rPr>
          <w:color w:val="231F20"/>
          <w:spacing w:val="-4"/>
        </w:rPr>
        <w:t>de</w:t>
      </w:r>
      <w:r>
        <w:rPr>
          <w:color w:val="231F20"/>
          <w:spacing w:val="-15"/>
        </w:rPr>
        <w:t> </w:t>
      </w:r>
      <w:r>
        <w:rPr>
          <w:color w:val="231F20"/>
          <w:spacing w:val="-4"/>
        </w:rPr>
        <w:t>ses</w:t>
      </w:r>
      <w:r>
        <w:rPr>
          <w:color w:val="231F20"/>
          <w:spacing w:val="-15"/>
        </w:rPr>
        <w:t> </w:t>
      </w:r>
      <w:r>
        <w:rPr>
          <w:color w:val="231F20"/>
          <w:spacing w:val="-4"/>
        </w:rPr>
        <w:t>transactions</w:t>
      </w:r>
      <w:r>
        <w:rPr>
          <w:color w:val="231F20"/>
          <w:spacing w:val="-15"/>
        </w:rPr>
        <w:t> </w:t>
      </w:r>
      <w:r>
        <w:rPr>
          <w:color w:val="231F20"/>
          <w:spacing w:val="-4"/>
        </w:rPr>
        <w:t>financières.</w:t>
      </w:r>
    </w:p>
    <w:p>
      <w:pPr>
        <w:pStyle w:val="BodyText"/>
        <w:spacing w:before="166"/>
        <w:ind w:left="413" w:right="1476"/>
      </w:pPr>
      <w:r>
        <w:rPr>
          <w:color w:val="231F20"/>
          <w:spacing w:val="-4"/>
        </w:rPr>
        <w:t>Iln’estpasdifficiledecomprendrelesénormes </w:t>
      </w:r>
      <w:r>
        <w:rPr>
          <w:color w:val="231F20"/>
        </w:rPr>
        <w:t>efforts</w:t>
      </w:r>
      <w:r>
        <w:rPr>
          <w:color w:val="231F20"/>
          <w:spacing w:val="36"/>
        </w:rPr>
        <w:t>  </w:t>
      </w:r>
      <w:r>
        <w:rPr>
          <w:color w:val="231F20"/>
        </w:rPr>
        <w:t>que</w:t>
      </w:r>
      <w:r>
        <w:rPr>
          <w:color w:val="231F20"/>
          <w:spacing w:val="36"/>
        </w:rPr>
        <w:t>  </w:t>
      </w:r>
      <w:r>
        <w:rPr>
          <w:color w:val="231F20"/>
        </w:rPr>
        <w:t>consent</w:t>
      </w:r>
      <w:r>
        <w:rPr>
          <w:color w:val="231F20"/>
          <w:spacing w:val="36"/>
        </w:rPr>
        <w:t>  </w:t>
      </w:r>
      <w:r>
        <w:rPr>
          <w:color w:val="231F20"/>
        </w:rPr>
        <w:t>le</w:t>
      </w:r>
      <w:r>
        <w:rPr>
          <w:color w:val="231F20"/>
          <w:spacing w:val="36"/>
        </w:rPr>
        <w:t>  </w:t>
      </w:r>
      <w:r>
        <w:rPr>
          <w:color w:val="231F20"/>
          <w:spacing w:val="-6"/>
        </w:rPr>
        <w:t>gouvernement</w:t>
      </w:r>
    </w:p>
    <w:p>
      <w:pPr>
        <w:spacing w:after="0"/>
        <w:sectPr>
          <w:pgSz w:w="11910" w:h="16840"/>
          <w:pgMar w:header="0" w:footer="695" w:top="1260" w:bottom="880" w:left="0" w:right="0"/>
          <w:cols w:num="2" w:equalWidth="0">
            <w:col w:w="5557" w:space="40"/>
            <w:col w:w="6313"/>
          </w:cols>
        </w:sectPr>
      </w:pPr>
    </w:p>
    <w:p>
      <w:pPr>
        <w:pStyle w:val="BodyText"/>
        <w:spacing w:before="77"/>
        <w:ind w:left="1474"/>
      </w:pPr>
      <w:r>
        <w:rPr>
          <w:color w:val="231F20"/>
          <w:spacing w:val="-6"/>
        </w:rPr>
        <w:t>cubain pour assurer les produits constituant </w:t>
      </w:r>
      <w:r>
        <w:rPr>
          <w:color w:val="231F20"/>
        </w:rPr>
        <w:t>le</w:t>
      </w:r>
      <w:r>
        <w:rPr>
          <w:color w:val="231F20"/>
          <w:spacing w:val="-9"/>
        </w:rPr>
        <w:t> </w:t>
      </w:r>
      <w:r>
        <w:rPr>
          <w:color w:val="231F20"/>
        </w:rPr>
        <w:t>panier</w:t>
      </w:r>
      <w:r>
        <w:rPr>
          <w:color w:val="231F20"/>
          <w:spacing w:val="-9"/>
        </w:rPr>
        <w:t> </w:t>
      </w:r>
      <w:r>
        <w:rPr>
          <w:color w:val="231F20"/>
        </w:rPr>
        <w:t>de</w:t>
      </w:r>
      <w:r>
        <w:rPr>
          <w:color w:val="231F20"/>
          <w:spacing w:val="-9"/>
        </w:rPr>
        <w:t> </w:t>
      </w:r>
      <w:r>
        <w:rPr>
          <w:color w:val="231F20"/>
        </w:rPr>
        <w:t>la</w:t>
      </w:r>
      <w:r>
        <w:rPr>
          <w:color w:val="231F20"/>
          <w:spacing w:val="-9"/>
        </w:rPr>
        <w:t> </w:t>
      </w:r>
      <w:r>
        <w:rPr>
          <w:color w:val="231F20"/>
        </w:rPr>
        <w:t>ménagère,</w:t>
      </w:r>
      <w:r>
        <w:rPr>
          <w:color w:val="231F20"/>
          <w:spacing w:val="-9"/>
        </w:rPr>
        <w:t> </w:t>
      </w:r>
      <w:r>
        <w:rPr>
          <w:color w:val="231F20"/>
        </w:rPr>
        <w:t>celui</w:t>
      </w:r>
      <w:r>
        <w:rPr>
          <w:color w:val="231F20"/>
          <w:spacing w:val="-9"/>
        </w:rPr>
        <w:t> </w:t>
      </w:r>
      <w:r>
        <w:rPr>
          <w:color w:val="231F20"/>
        </w:rPr>
        <w:t>auquel</w:t>
      </w:r>
      <w:r>
        <w:rPr>
          <w:color w:val="231F20"/>
          <w:spacing w:val="-9"/>
        </w:rPr>
        <w:t> </w:t>
      </w:r>
      <w:r>
        <w:rPr>
          <w:color w:val="231F20"/>
        </w:rPr>
        <w:t>ont droit, mois après mois, tous les Cubains, </w:t>
      </w:r>
      <w:r>
        <w:rPr>
          <w:color w:val="231F20"/>
          <w:spacing w:val="-2"/>
        </w:rPr>
        <w:t>quels</w:t>
      </w:r>
      <w:r>
        <w:rPr>
          <w:color w:val="231F20"/>
          <w:spacing w:val="-10"/>
        </w:rPr>
        <w:t> </w:t>
      </w:r>
      <w:r>
        <w:rPr>
          <w:color w:val="231F20"/>
          <w:spacing w:val="-2"/>
        </w:rPr>
        <w:t>qu’ils</w:t>
      </w:r>
      <w:r>
        <w:rPr>
          <w:color w:val="231F20"/>
          <w:spacing w:val="-10"/>
        </w:rPr>
        <w:t> </w:t>
      </w:r>
      <w:r>
        <w:rPr>
          <w:color w:val="231F20"/>
          <w:spacing w:val="-2"/>
        </w:rPr>
        <w:t>soient</w:t>
      </w:r>
      <w:r>
        <w:rPr>
          <w:color w:val="231F20"/>
          <w:spacing w:val="-10"/>
        </w:rPr>
        <w:t> </w:t>
      </w:r>
      <w:r>
        <w:rPr>
          <w:color w:val="231F20"/>
          <w:spacing w:val="-2"/>
        </w:rPr>
        <w:t>:</w:t>
      </w:r>
      <w:r>
        <w:rPr>
          <w:color w:val="231F20"/>
          <w:spacing w:val="-10"/>
        </w:rPr>
        <w:t> </w:t>
      </w:r>
      <w:r>
        <w:rPr>
          <w:color w:val="231F20"/>
          <w:spacing w:val="-2"/>
        </w:rPr>
        <w:t>il</w:t>
      </w:r>
      <w:r>
        <w:rPr>
          <w:color w:val="231F20"/>
          <w:spacing w:val="-10"/>
        </w:rPr>
        <w:t> </w:t>
      </w:r>
      <w:r>
        <w:rPr>
          <w:color w:val="231F20"/>
          <w:spacing w:val="-2"/>
        </w:rPr>
        <w:t>s’agit</w:t>
      </w:r>
      <w:r>
        <w:rPr>
          <w:color w:val="231F20"/>
          <w:spacing w:val="-10"/>
        </w:rPr>
        <w:t> </w:t>
      </w:r>
      <w:r>
        <w:rPr>
          <w:color w:val="231F20"/>
          <w:spacing w:val="-2"/>
        </w:rPr>
        <w:t>de</w:t>
      </w:r>
      <w:r>
        <w:rPr>
          <w:color w:val="231F20"/>
          <w:spacing w:val="-10"/>
        </w:rPr>
        <w:t> </w:t>
      </w:r>
      <w:r>
        <w:rPr>
          <w:color w:val="231F20"/>
          <w:spacing w:val="-2"/>
        </w:rPr>
        <w:t>vingt-quatre </w:t>
      </w:r>
      <w:r>
        <w:rPr>
          <w:color w:val="231F20"/>
        </w:rPr>
        <w:t>produits largement subventionnés. Par ailleurs, l’État subventionne des produits </w:t>
      </w:r>
      <w:r>
        <w:rPr>
          <w:color w:val="231F20"/>
          <w:spacing w:val="-4"/>
        </w:rPr>
        <w:t>spécifiques</w:t>
      </w:r>
      <w:r>
        <w:rPr>
          <w:color w:val="231F20"/>
          <w:spacing w:val="-13"/>
        </w:rPr>
        <w:t> </w:t>
      </w:r>
      <w:r>
        <w:rPr>
          <w:color w:val="231F20"/>
          <w:spacing w:val="-4"/>
        </w:rPr>
        <w:t>destinés</w:t>
      </w:r>
      <w:r>
        <w:rPr>
          <w:color w:val="231F20"/>
          <w:spacing w:val="-12"/>
        </w:rPr>
        <w:t> </w:t>
      </w:r>
      <w:r>
        <w:rPr>
          <w:color w:val="231F20"/>
          <w:spacing w:val="-4"/>
        </w:rPr>
        <w:t>à</w:t>
      </w:r>
      <w:r>
        <w:rPr>
          <w:color w:val="231F20"/>
          <w:spacing w:val="-13"/>
        </w:rPr>
        <w:t> </w:t>
      </w:r>
      <w:r>
        <w:rPr>
          <w:color w:val="231F20"/>
          <w:spacing w:val="-4"/>
        </w:rPr>
        <w:t>1</w:t>
      </w:r>
      <w:r>
        <w:rPr>
          <w:color w:val="231F20"/>
          <w:spacing w:val="-12"/>
        </w:rPr>
        <w:t> </w:t>
      </w:r>
      <w:r>
        <w:rPr>
          <w:color w:val="231F20"/>
          <w:spacing w:val="-4"/>
        </w:rPr>
        <w:t>218</w:t>
      </w:r>
      <w:r>
        <w:rPr>
          <w:color w:val="231F20"/>
          <w:spacing w:val="-13"/>
        </w:rPr>
        <w:t> </w:t>
      </w:r>
      <w:r>
        <w:rPr>
          <w:color w:val="231F20"/>
          <w:spacing w:val="-4"/>
        </w:rPr>
        <w:t>000</w:t>
      </w:r>
      <w:r>
        <w:rPr>
          <w:color w:val="231F20"/>
          <w:spacing w:val="-12"/>
        </w:rPr>
        <w:t> </w:t>
      </w:r>
      <w:r>
        <w:rPr>
          <w:color w:val="231F20"/>
          <w:spacing w:val="-4"/>
        </w:rPr>
        <w:t>personnes, </w:t>
      </w:r>
      <w:r>
        <w:rPr>
          <w:color w:val="231F20"/>
          <w:spacing w:val="-6"/>
        </w:rPr>
        <w:t>dont</w:t>
      </w:r>
      <w:r>
        <w:rPr>
          <w:color w:val="231F20"/>
          <w:spacing w:val="-11"/>
        </w:rPr>
        <w:t> </w:t>
      </w:r>
      <w:r>
        <w:rPr>
          <w:color w:val="231F20"/>
          <w:spacing w:val="-6"/>
        </w:rPr>
        <w:t>le</w:t>
      </w:r>
      <w:r>
        <w:rPr>
          <w:color w:val="231F20"/>
          <w:spacing w:val="-10"/>
        </w:rPr>
        <w:t> </w:t>
      </w:r>
      <w:r>
        <w:rPr>
          <w:color w:val="231F20"/>
          <w:spacing w:val="-6"/>
        </w:rPr>
        <w:t>lait,</w:t>
      </w:r>
      <w:r>
        <w:rPr>
          <w:color w:val="231F20"/>
          <w:spacing w:val="-11"/>
        </w:rPr>
        <w:t> </w:t>
      </w:r>
      <w:r>
        <w:rPr>
          <w:color w:val="231F20"/>
          <w:spacing w:val="-6"/>
        </w:rPr>
        <w:t>les</w:t>
      </w:r>
      <w:r>
        <w:rPr>
          <w:color w:val="231F20"/>
          <w:spacing w:val="-10"/>
        </w:rPr>
        <w:t> </w:t>
      </w:r>
      <w:r>
        <w:rPr>
          <w:color w:val="231F20"/>
          <w:spacing w:val="-6"/>
        </w:rPr>
        <w:t>compotes,</w:t>
      </w:r>
      <w:r>
        <w:rPr>
          <w:color w:val="231F20"/>
          <w:spacing w:val="-11"/>
        </w:rPr>
        <w:t> </w:t>
      </w:r>
      <w:r>
        <w:rPr>
          <w:color w:val="231F20"/>
          <w:spacing w:val="-6"/>
        </w:rPr>
        <w:t>la</w:t>
      </w:r>
      <w:r>
        <w:rPr>
          <w:color w:val="231F20"/>
          <w:spacing w:val="-10"/>
        </w:rPr>
        <w:t> </w:t>
      </w:r>
      <w:r>
        <w:rPr>
          <w:color w:val="231F20"/>
          <w:spacing w:val="-6"/>
        </w:rPr>
        <w:t>viande</w:t>
      </w:r>
      <w:r>
        <w:rPr>
          <w:color w:val="231F20"/>
          <w:spacing w:val="-11"/>
        </w:rPr>
        <w:t> </w:t>
      </w:r>
      <w:r>
        <w:rPr>
          <w:color w:val="231F20"/>
          <w:spacing w:val="-6"/>
        </w:rPr>
        <w:t>de</w:t>
      </w:r>
      <w:r>
        <w:rPr>
          <w:color w:val="231F20"/>
          <w:spacing w:val="-10"/>
        </w:rPr>
        <w:t> </w:t>
      </w:r>
      <w:r>
        <w:rPr>
          <w:color w:val="231F20"/>
          <w:spacing w:val="-6"/>
        </w:rPr>
        <w:t>bœuf </w:t>
      </w:r>
      <w:r>
        <w:rPr>
          <w:color w:val="231F20"/>
        </w:rPr>
        <w:t>et de poulet pour les enfants, les femmes enceintes et les sidéens.</w:t>
      </w:r>
    </w:p>
    <w:p>
      <w:pPr>
        <w:pStyle w:val="BodyText"/>
        <w:spacing w:before="168"/>
        <w:ind w:left="1474" w:right="1"/>
      </w:pPr>
      <w:r>
        <w:rPr>
          <w:color w:val="231F20"/>
        </w:rPr>
        <w:t>Il consent autant d’efforts pour maintenir </w:t>
      </w:r>
      <w:r>
        <w:rPr>
          <w:color w:val="231F20"/>
          <w:spacing w:val="-2"/>
        </w:rPr>
        <w:t>un</w:t>
      </w:r>
      <w:r>
        <w:rPr>
          <w:color w:val="231F20"/>
          <w:spacing w:val="-15"/>
        </w:rPr>
        <w:t> </w:t>
      </w:r>
      <w:r>
        <w:rPr>
          <w:color w:val="231F20"/>
          <w:spacing w:val="-2"/>
        </w:rPr>
        <w:t>système</w:t>
      </w:r>
      <w:r>
        <w:rPr>
          <w:color w:val="231F20"/>
          <w:spacing w:val="-14"/>
        </w:rPr>
        <w:t> </w:t>
      </w:r>
      <w:r>
        <w:rPr>
          <w:color w:val="231F20"/>
          <w:spacing w:val="-2"/>
        </w:rPr>
        <w:t>d’alimentation</w:t>
      </w:r>
      <w:r>
        <w:rPr>
          <w:color w:val="231F20"/>
          <w:spacing w:val="-15"/>
        </w:rPr>
        <w:t> </w:t>
      </w:r>
      <w:r>
        <w:rPr>
          <w:color w:val="231F20"/>
          <w:spacing w:val="-2"/>
        </w:rPr>
        <w:t>qui</w:t>
      </w:r>
      <w:r>
        <w:rPr>
          <w:color w:val="231F20"/>
          <w:spacing w:val="-14"/>
        </w:rPr>
        <w:t> </w:t>
      </w:r>
      <w:r>
        <w:rPr>
          <w:color w:val="231F20"/>
          <w:spacing w:val="-2"/>
        </w:rPr>
        <w:t>concerne</w:t>
      </w:r>
      <w:r>
        <w:rPr>
          <w:color w:val="231F20"/>
          <w:spacing w:val="-15"/>
        </w:rPr>
        <w:t> </w:t>
      </w:r>
      <w:r>
        <w:rPr>
          <w:color w:val="231F20"/>
          <w:spacing w:val="-2"/>
        </w:rPr>
        <w:t>58 </w:t>
      </w:r>
      <w:r>
        <w:rPr>
          <w:color w:val="231F20"/>
        </w:rPr>
        <w:t>457</w:t>
      </w:r>
      <w:r>
        <w:rPr>
          <w:color w:val="231F20"/>
          <w:spacing w:val="-17"/>
        </w:rPr>
        <w:t> </w:t>
      </w:r>
      <w:r>
        <w:rPr>
          <w:color w:val="231F20"/>
        </w:rPr>
        <w:t>personnes,</w:t>
      </w:r>
      <w:r>
        <w:rPr>
          <w:color w:val="231F20"/>
          <w:spacing w:val="-16"/>
        </w:rPr>
        <w:t> </w:t>
      </w:r>
      <w:r>
        <w:rPr>
          <w:color w:val="231F20"/>
        </w:rPr>
        <w:t>dont</w:t>
      </w:r>
      <w:r>
        <w:rPr>
          <w:color w:val="231F20"/>
          <w:spacing w:val="-17"/>
        </w:rPr>
        <w:t> </w:t>
      </w:r>
      <w:r>
        <w:rPr>
          <w:color w:val="231F20"/>
        </w:rPr>
        <w:t>des</w:t>
      </w:r>
      <w:r>
        <w:rPr>
          <w:color w:val="231F20"/>
          <w:spacing w:val="-16"/>
        </w:rPr>
        <w:t> </w:t>
      </w:r>
      <w:r>
        <w:rPr>
          <w:color w:val="231F20"/>
        </w:rPr>
        <w:t>personnes</w:t>
      </w:r>
      <w:r>
        <w:rPr>
          <w:color w:val="231F20"/>
          <w:spacing w:val="-17"/>
        </w:rPr>
        <w:t> </w:t>
      </w:r>
      <w:r>
        <w:rPr>
          <w:color w:val="231F20"/>
        </w:rPr>
        <w:t>âgées, des handicapés et d’autres personnes vulnérables parce que leurs revenus sont </w:t>
      </w:r>
      <w:r>
        <w:rPr>
          <w:color w:val="231F20"/>
          <w:spacing w:val="-6"/>
        </w:rPr>
        <w:t>insuffisants ou faute d’un entourage familial </w:t>
      </w:r>
      <w:r>
        <w:rPr>
          <w:color w:val="231F20"/>
        </w:rPr>
        <w:t>capable</w:t>
      </w:r>
      <w:r>
        <w:rPr>
          <w:color w:val="231F20"/>
          <w:spacing w:val="-3"/>
        </w:rPr>
        <w:t> </w:t>
      </w:r>
      <w:r>
        <w:rPr>
          <w:color w:val="231F20"/>
        </w:rPr>
        <w:t>de</w:t>
      </w:r>
      <w:r>
        <w:rPr>
          <w:color w:val="231F20"/>
          <w:spacing w:val="-3"/>
        </w:rPr>
        <w:t> </w:t>
      </w:r>
      <w:r>
        <w:rPr>
          <w:color w:val="231F20"/>
        </w:rPr>
        <w:t>les</w:t>
      </w:r>
      <w:r>
        <w:rPr>
          <w:color w:val="231F20"/>
          <w:spacing w:val="-4"/>
        </w:rPr>
        <w:t> </w:t>
      </w:r>
      <w:r>
        <w:rPr>
          <w:color w:val="231F20"/>
        </w:rPr>
        <w:t>aider,</w:t>
      </w:r>
      <w:r>
        <w:rPr>
          <w:color w:val="231F20"/>
          <w:spacing w:val="-3"/>
        </w:rPr>
        <w:t> </w:t>
      </w:r>
      <w:r>
        <w:rPr>
          <w:color w:val="231F20"/>
        </w:rPr>
        <w:t>et</w:t>
      </w:r>
      <w:r>
        <w:rPr>
          <w:color w:val="231F20"/>
          <w:spacing w:val="-3"/>
        </w:rPr>
        <w:t> </w:t>
      </w:r>
      <w:r>
        <w:rPr>
          <w:color w:val="231F20"/>
        </w:rPr>
        <w:t>d’autres,</w:t>
      </w:r>
      <w:r>
        <w:rPr>
          <w:color w:val="231F20"/>
          <w:spacing w:val="-3"/>
        </w:rPr>
        <w:t> </w:t>
      </w:r>
      <w:r>
        <w:rPr>
          <w:color w:val="231F20"/>
        </w:rPr>
        <w:t>ainsi</w:t>
      </w:r>
      <w:r>
        <w:rPr>
          <w:color w:val="231F20"/>
          <w:spacing w:val="-3"/>
        </w:rPr>
        <w:t> </w:t>
      </w:r>
      <w:r>
        <w:rPr>
          <w:color w:val="231F20"/>
        </w:rPr>
        <w:t>que pour assurer le goûter gratuit à 124 664 élèves dans 764 écoles.</w:t>
      </w:r>
    </w:p>
    <w:p>
      <w:pPr>
        <w:pStyle w:val="BodyText"/>
        <w:spacing w:before="167"/>
        <w:ind w:left="1474"/>
      </w:pPr>
      <w:r>
        <w:rPr>
          <w:color w:val="231F20"/>
        </w:rPr>
        <w:t>Tous</w:t>
      </w:r>
      <w:r>
        <w:rPr>
          <w:color w:val="231F20"/>
          <w:spacing w:val="-3"/>
        </w:rPr>
        <w:t> </w:t>
      </w:r>
      <w:r>
        <w:rPr>
          <w:color w:val="231F20"/>
        </w:rPr>
        <w:t>les</w:t>
      </w:r>
      <w:r>
        <w:rPr>
          <w:color w:val="231F20"/>
          <w:spacing w:val="-3"/>
        </w:rPr>
        <w:t> </w:t>
      </w:r>
      <w:r>
        <w:rPr>
          <w:color w:val="231F20"/>
        </w:rPr>
        <w:t>facteurs</w:t>
      </w:r>
      <w:r>
        <w:rPr>
          <w:color w:val="231F20"/>
          <w:spacing w:val="-3"/>
        </w:rPr>
        <w:t> </w:t>
      </w:r>
      <w:r>
        <w:rPr>
          <w:color w:val="231F20"/>
        </w:rPr>
        <w:t>adverses</w:t>
      </w:r>
      <w:r>
        <w:rPr>
          <w:color w:val="231F20"/>
          <w:spacing w:val="-3"/>
        </w:rPr>
        <w:t> </w:t>
      </w:r>
      <w:r>
        <w:rPr>
          <w:color w:val="231F20"/>
        </w:rPr>
        <w:t>susmentionnés </w:t>
      </w:r>
      <w:r>
        <w:rPr>
          <w:color w:val="231F20"/>
          <w:spacing w:val="-8"/>
        </w:rPr>
        <w:t>expliquent</w:t>
      </w:r>
      <w:r>
        <w:rPr>
          <w:color w:val="231F20"/>
          <w:spacing w:val="-9"/>
        </w:rPr>
        <w:t> </w:t>
      </w:r>
      <w:r>
        <w:rPr>
          <w:color w:val="231F20"/>
          <w:spacing w:val="-8"/>
        </w:rPr>
        <w:t>pourquoi les</w:t>
      </w:r>
      <w:r>
        <w:rPr>
          <w:color w:val="231F20"/>
          <w:spacing w:val="-9"/>
        </w:rPr>
        <w:t> </w:t>
      </w:r>
      <w:r>
        <w:rPr>
          <w:color w:val="231F20"/>
          <w:spacing w:val="-8"/>
        </w:rPr>
        <w:t>approvisionnements </w:t>
      </w:r>
      <w:r>
        <w:rPr>
          <w:color w:val="231F20"/>
        </w:rPr>
        <w:t>essentiels sont instables et pourquoi la distribution du panier de la ménagère souffre d’irrégularités.</w:t>
      </w:r>
    </w:p>
    <w:p>
      <w:pPr>
        <w:pStyle w:val="BodyText"/>
        <w:spacing w:before="164"/>
        <w:ind w:left="1474"/>
      </w:pPr>
      <w:r>
        <w:rPr>
          <w:color w:val="231F20"/>
        </w:rPr>
        <w:t>L’État</w:t>
      </w:r>
      <w:r>
        <w:rPr>
          <w:color w:val="231F20"/>
          <w:spacing w:val="-3"/>
        </w:rPr>
        <w:t> </w:t>
      </w:r>
      <w:r>
        <w:rPr>
          <w:color w:val="231F20"/>
        </w:rPr>
        <w:t>a</w:t>
      </w:r>
      <w:r>
        <w:rPr>
          <w:color w:val="231F20"/>
          <w:spacing w:val="-3"/>
        </w:rPr>
        <w:t> </w:t>
      </w:r>
      <w:r>
        <w:rPr>
          <w:color w:val="231F20"/>
        </w:rPr>
        <w:t>planifié</w:t>
      </w:r>
      <w:r>
        <w:rPr>
          <w:color w:val="231F20"/>
          <w:spacing w:val="-3"/>
        </w:rPr>
        <w:t> </w:t>
      </w:r>
      <w:r>
        <w:rPr>
          <w:color w:val="231F20"/>
        </w:rPr>
        <w:t>pour</w:t>
      </w:r>
      <w:r>
        <w:rPr>
          <w:color w:val="231F20"/>
          <w:spacing w:val="-3"/>
        </w:rPr>
        <w:t> </w:t>
      </w:r>
      <w:r>
        <w:rPr>
          <w:color w:val="231F20"/>
        </w:rPr>
        <w:t>2023</w:t>
      </w:r>
      <w:r>
        <w:rPr>
          <w:color w:val="231F20"/>
          <w:spacing w:val="-3"/>
        </w:rPr>
        <w:t> </w:t>
      </w:r>
      <w:r>
        <w:rPr>
          <w:color w:val="231F20"/>
        </w:rPr>
        <w:t>un</w:t>
      </w:r>
      <w:r>
        <w:rPr>
          <w:color w:val="231F20"/>
          <w:spacing w:val="-3"/>
        </w:rPr>
        <w:t> </w:t>
      </w:r>
      <w:r>
        <w:rPr>
          <w:color w:val="231F20"/>
        </w:rPr>
        <w:t>panier</w:t>
      </w:r>
      <w:r>
        <w:rPr>
          <w:color w:val="231F20"/>
          <w:spacing w:val="-3"/>
        </w:rPr>
        <w:t> </w:t>
      </w:r>
      <w:r>
        <w:rPr>
          <w:color w:val="231F20"/>
        </w:rPr>
        <w:t>de</w:t>
      </w:r>
      <w:r>
        <w:rPr>
          <w:color w:val="231F20"/>
          <w:spacing w:val="-3"/>
        </w:rPr>
        <w:t> </w:t>
      </w:r>
      <w:r>
        <w:rPr>
          <w:color w:val="231F20"/>
        </w:rPr>
        <w:t>la ménagère à hauteur de 1 648 000 000 </w:t>
      </w:r>
      <w:r>
        <w:rPr>
          <w:color w:val="231F20"/>
        </w:rPr>
        <w:t>de </w:t>
      </w:r>
      <w:r>
        <w:rPr>
          <w:color w:val="231F20"/>
          <w:spacing w:val="-6"/>
        </w:rPr>
        <w:t>dollars,</w:t>
      </w:r>
      <w:r>
        <w:rPr>
          <w:color w:val="231F20"/>
          <w:spacing w:val="-11"/>
        </w:rPr>
        <w:t> </w:t>
      </w:r>
      <w:r>
        <w:rPr>
          <w:color w:val="231F20"/>
          <w:spacing w:val="-6"/>
        </w:rPr>
        <w:t>une</w:t>
      </w:r>
      <w:r>
        <w:rPr>
          <w:color w:val="231F20"/>
          <w:spacing w:val="-10"/>
        </w:rPr>
        <w:t> </w:t>
      </w:r>
      <w:r>
        <w:rPr>
          <w:color w:val="231F20"/>
          <w:spacing w:val="-6"/>
        </w:rPr>
        <w:t>somme</w:t>
      </w:r>
      <w:r>
        <w:rPr>
          <w:color w:val="231F20"/>
          <w:spacing w:val="-11"/>
        </w:rPr>
        <w:t> </w:t>
      </w:r>
      <w:r>
        <w:rPr>
          <w:color w:val="231F20"/>
          <w:spacing w:val="-6"/>
        </w:rPr>
        <w:t>dont</w:t>
      </w:r>
      <w:r>
        <w:rPr>
          <w:color w:val="231F20"/>
          <w:spacing w:val="-10"/>
        </w:rPr>
        <w:t> </w:t>
      </w:r>
      <w:r>
        <w:rPr>
          <w:color w:val="231F20"/>
          <w:spacing w:val="-6"/>
        </w:rPr>
        <w:t>il</w:t>
      </w:r>
      <w:r>
        <w:rPr>
          <w:color w:val="231F20"/>
          <w:spacing w:val="-11"/>
        </w:rPr>
        <w:t> </w:t>
      </w:r>
      <w:r>
        <w:rPr>
          <w:color w:val="231F20"/>
          <w:spacing w:val="-6"/>
        </w:rPr>
        <w:t>pourrait</w:t>
      </w:r>
      <w:r>
        <w:rPr>
          <w:color w:val="231F20"/>
          <w:spacing w:val="-10"/>
        </w:rPr>
        <w:t> </w:t>
      </w:r>
      <w:r>
        <w:rPr>
          <w:color w:val="231F20"/>
          <w:spacing w:val="-6"/>
        </w:rPr>
        <w:t>disposer </w:t>
      </w:r>
      <w:r>
        <w:rPr>
          <w:color w:val="231F20"/>
        </w:rPr>
        <w:t>normalement rien qu’avec le tiers des préjudices</w:t>
      </w:r>
      <w:r>
        <w:rPr>
          <w:color w:val="231F20"/>
          <w:spacing w:val="-13"/>
        </w:rPr>
        <w:t> </w:t>
      </w:r>
      <w:r>
        <w:rPr>
          <w:color w:val="231F20"/>
        </w:rPr>
        <w:t>causés</w:t>
      </w:r>
      <w:r>
        <w:rPr>
          <w:color w:val="231F20"/>
          <w:spacing w:val="-13"/>
        </w:rPr>
        <w:t> </w:t>
      </w:r>
      <w:r>
        <w:rPr>
          <w:color w:val="231F20"/>
        </w:rPr>
        <w:t>par</w:t>
      </w:r>
      <w:r>
        <w:rPr>
          <w:color w:val="231F20"/>
          <w:spacing w:val="-13"/>
        </w:rPr>
        <w:t> </w:t>
      </w:r>
      <w:r>
        <w:rPr>
          <w:color w:val="231F20"/>
        </w:rPr>
        <w:t>le</w:t>
      </w:r>
      <w:r>
        <w:rPr>
          <w:color w:val="231F20"/>
          <w:spacing w:val="-13"/>
        </w:rPr>
        <w:t> </w:t>
      </w:r>
      <w:r>
        <w:rPr>
          <w:color w:val="231F20"/>
        </w:rPr>
        <w:t>blocus</w:t>
      </w:r>
      <w:r>
        <w:rPr>
          <w:color w:val="231F20"/>
          <w:spacing w:val="-13"/>
        </w:rPr>
        <w:t> </w:t>
      </w:r>
      <w:r>
        <w:rPr>
          <w:color w:val="231F20"/>
        </w:rPr>
        <w:t>entre</w:t>
      </w:r>
      <w:r>
        <w:rPr>
          <w:color w:val="231F20"/>
          <w:spacing w:val="-13"/>
        </w:rPr>
        <w:t> </w:t>
      </w:r>
      <w:r>
        <w:rPr>
          <w:color w:val="231F20"/>
        </w:rPr>
        <w:t>mars 2002 et février 2023.</w:t>
      </w:r>
    </w:p>
    <w:p>
      <w:pPr>
        <w:spacing w:before="163"/>
        <w:ind w:left="1474" w:right="0" w:firstLine="0"/>
        <w:jc w:val="both"/>
        <w:rPr>
          <w:rFonts w:ascii="Segoe UI Semibold" w:hAnsi="Segoe UI Semibold"/>
          <w:b/>
          <w:i/>
          <w:sz w:val="24"/>
        </w:rPr>
      </w:pPr>
      <w:r>
        <w:rPr>
          <w:b/>
          <w:i/>
          <w:color w:val="B52628"/>
          <w:spacing w:val="-14"/>
          <w:sz w:val="24"/>
        </w:rPr>
        <w:t>L’éducation,</w:t>
      </w:r>
      <w:r>
        <w:rPr>
          <w:b/>
          <w:i/>
          <w:color w:val="B52628"/>
          <w:sz w:val="24"/>
        </w:rPr>
        <w:t> </w:t>
      </w:r>
      <w:r>
        <w:rPr>
          <w:b/>
          <w:i/>
          <w:color w:val="B52628"/>
          <w:spacing w:val="-14"/>
          <w:sz w:val="24"/>
        </w:rPr>
        <w:t>le</w:t>
      </w:r>
      <w:r>
        <w:rPr>
          <w:b/>
          <w:i/>
          <w:color w:val="B52628"/>
          <w:sz w:val="24"/>
        </w:rPr>
        <w:t> </w:t>
      </w:r>
      <w:r>
        <w:rPr>
          <w:b/>
          <w:i/>
          <w:color w:val="B52628"/>
          <w:spacing w:val="-14"/>
          <w:sz w:val="24"/>
        </w:rPr>
        <w:t>sport</w:t>
      </w:r>
      <w:r>
        <w:rPr>
          <w:b/>
          <w:i/>
          <w:color w:val="B52628"/>
          <w:sz w:val="24"/>
        </w:rPr>
        <w:t> </w:t>
      </w:r>
      <w:r>
        <w:rPr>
          <w:b/>
          <w:i/>
          <w:color w:val="B52628"/>
          <w:spacing w:val="-14"/>
          <w:sz w:val="24"/>
        </w:rPr>
        <w:t>et</w:t>
      </w:r>
      <w:r>
        <w:rPr>
          <w:b/>
          <w:i/>
          <w:color w:val="B52628"/>
          <w:sz w:val="24"/>
        </w:rPr>
        <w:t> </w:t>
      </w:r>
      <w:r>
        <w:rPr>
          <w:b/>
          <w:i/>
          <w:color w:val="B52628"/>
          <w:spacing w:val="-14"/>
          <w:sz w:val="24"/>
        </w:rPr>
        <w:t>la</w:t>
      </w:r>
      <w:r>
        <w:rPr>
          <w:b/>
          <w:i/>
          <w:color w:val="B52628"/>
          <w:sz w:val="24"/>
        </w:rPr>
        <w:t> </w:t>
      </w:r>
      <w:r>
        <w:rPr>
          <w:b/>
          <w:i/>
          <w:color w:val="B52628"/>
          <w:spacing w:val="-14"/>
          <w:sz w:val="24"/>
        </w:rPr>
        <w:t>culture</w:t>
      </w:r>
      <w:r>
        <w:rPr>
          <w:b/>
          <w:i/>
          <w:color w:val="B52628"/>
          <w:spacing w:val="-2"/>
          <w:sz w:val="24"/>
        </w:rPr>
        <w:t> </w:t>
      </w:r>
      <w:r>
        <w:rPr>
          <w:rFonts w:ascii="Segoe UI Semibold" w:hAnsi="Segoe UI Semibold"/>
          <w:b/>
          <w:i/>
          <w:color w:val="231F20"/>
          <w:spacing w:val="-14"/>
          <w:sz w:val="24"/>
        </w:rPr>
        <w:t>constituent</w:t>
      </w:r>
      <w:r>
        <w:rPr>
          <w:rFonts w:ascii="Segoe UI Semibold" w:hAnsi="Segoe UI Semibold"/>
          <w:b/>
          <w:i/>
          <w:color w:val="231F20"/>
          <w:spacing w:val="-14"/>
          <w:sz w:val="24"/>
        </w:rPr>
        <w:t> </w:t>
      </w:r>
      <w:r>
        <w:rPr>
          <w:rFonts w:ascii="Segoe UI Semibold" w:hAnsi="Segoe UI Semibold"/>
          <w:b/>
          <w:i/>
          <w:color w:val="231F20"/>
          <w:sz w:val="24"/>
        </w:rPr>
        <w:t>aussi des priorités de l’État dans le cadre </w:t>
      </w:r>
      <w:r>
        <w:rPr>
          <w:rFonts w:ascii="Segoe UI Semibold" w:hAnsi="Segoe UI Semibold"/>
          <w:b/>
          <w:i/>
          <w:color w:val="231F20"/>
          <w:spacing w:val="-4"/>
          <w:sz w:val="24"/>
        </w:rPr>
        <w:t>de</w:t>
      </w:r>
      <w:r>
        <w:rPr>
          <w:rFonts w:ascii="Segoe UI Semibold" w:hAnsi="Segoe UI Semibold"/>
          <w:b/>
          <w:i/>
          <w:color w:val="231F20"/>
          <w:spacing w:val="-11"/>
          <w:sz w:val="24"/>
        </w:rPr>
        <w:t> </w:t>
      </w:r>
      <w:r>
        <w:rPr>
          <w:rFonts w:ascii="Segoe UI Semibold" w:hAnsi="Segoe UI Semibold"/>
          <w:b/>
          <w:i/>
          <w:color w:val="231F20"/>
          <w:spacing w:val="-4"/>
          <w:sz w:val="24"/>
        </w:rPr>
        <w:t>sa</w:t>
      </w:r>
      <w:r>
        <w:rPr>
          <w:rFonts w:ascii="Segoe UI Semibold" w:hAnsi="Segoe UI Semibold"/>
          <w:b/>
          <w:i/>
          <w:color w:val="231F20"/>
          <w:spacing w:val="-11"/>
          <w:sz w:val="24"/>
        </w:rPr>
        <w:t> </w:t>
      </w:r>
      <w:r>
        <w:rPr>
          <w:rFonts w:ascii="Segoe UI Semibold" w:hAnsi="Segoe UI Semibold"/>
          <w:b/>
          <w:i/>
          <w:color w:val="231F20"/>
          <w:spacing w:val="-4"/>
          <w:sz w:val="24"/>
        </w:rPr>
        <w:t>politique</w:t>
      </w:r>
      <w:r>
        <w:rPr>
          <w:rFonts w:ascii="Segoe UI Semibold" w:hAnsi="Segoe UI Semibold"/>
          <w:b/>
          <w:i/>
          <w:color w:val="231F20"/>
          <w:spacing w:val="-11"/>
          <w:sz w:val="24"/>
        </w:rPr>
        <w:t> </w:t>
      </w:r>
      <w:r>
        <w:rPr>
          <w:rFonts w:ascii="Segoe UI Semibold" w:hAnsi="Segoe UI Semibold"/>
          <w:b/>
          <w:i/>
          <w:color w:val="231F20"/>
          <w:spacing w:val="-4"/>
          <w:sz w:val="24"/>
        </w:rPr>
        <w:t>de</w:t>
      </w:r>
      <w:r>
        <w:rPr>
          <w:rFonts w:ascii="Segoe UI Semibold" w:hAnsi="Segoe UI Semibold"/>
          <w:b/>
          <w:i/>
          <w:color w:val="231F20"/>
          <w:spacing w:val="-11"/>
          <w:sz w:val="24"/>
        </w:rPr>
        <w:t> </w:t>
      </w:r>
      <w:r>
        <w:rPr>
          <w:rFonts w:ascii="Segoe UI Semibold" w:hAnsi="Segoe UI Semibold"/>
          <w:b/>
          <w:i/>
          <w:color w:val="231F20"/>
          <w:spacing w:val="-4"/>
          <w:sz w:val="24"/>
        </w:rPr>
        <w:t>prise</w:t>
      </w:r>
      <w:r>
        <w:rPr>
          <w:rFonts w:ascii="Segoe UI Semibold" w:hAnsi="Segoe UI Semibold"/>
          <w:b/>
          <w:i/>
          <w:color w:val="231F20"/>
          <w:spacing w:val="-11"/>
          <w:sz w:val="24"/>
        </w:rPr>
        <w:t> </w:t>
      </w:r>
      <w:r>
        <w:rPr>
          <w:rFonts w:ascii="Segoe UI Semibold" w:hAnsi="Segoe UI Semibold"/>
          <w:b/>
          <w:i/>
          <w:color w:val="231F20"/>
          <w:spacing w:val="-4"/>
          <w:sz w:val="24"/>
        </w:rPr>
        <w:t>en</w:t>
      </w:r>
      <w:r>
        <w:rPr>
          <w:rFonts w:ascii="Segoe UI Semibold" w:hAnsi="Segoe UI Semibold"/>
          <w:b/>
          <w:i/>
          <w:color w:val="231F20"/>
          <w:spacing w:val="-11"/>
          <w:sz w:val="24"/>
        </w:rPr>
        <w:t> </w:t>
      </w:r>
      <w:r>
        <w:rPr>
          <w:rFonts w:ascii="Segoe UI Semibold" w:hAnsi="Segoe UI Semibold"/>
          <w:b/>
          <w:i/>
          <w:color w:val="231F20"/>
          <w:spacing w:val="-4"/>
          <w:sz w:val="24"/>
        </w:rPr>
        <w:t>compte</w:t>
      </w:r>
      <w:r>
        <w:rPr>
          <w:rFonts w:ascii="Segoe UI Semibold" w:hAnsi="Segoe UI Semibold"/>
          <w:b/>
          <w:i/>
          <w:color w:val="231F20"/>
          <w:spacing w:val="-11"/>
          <w:sz w:val="24"/>
        </w:rPr>
        <w:t> </w:t>
      </w:r>
      <w:r>
        <w:rPr>
          <w:rFonts w:ascii="Segoe UI Semibold" w:hAnsi="Segoe UI Semibold"/>
          <w:b/>
          <w:i/>
          <w:color w:val="231F20"/>
          <w:spacing w:val="-4"/>
          <w:sz w:val="24"/>
        </w:rPr>
        <w:t>de</w:t>
      </w:r>
      <w:r>
        <w:rPr>
          <w:rFonts w:ascii="Segoe UI Semibold" w:hAnsi="Segoe UI Semibold"/>
          <w:b/>
          <w:i/>
          <w:color w:val="231F20"/>
          <w:spacing w:val="-11"/>
          <w:sz w:val="24"/>
        </w:rPr>
        <w:t> </w:t>
      </w:r>
      <w:r>
        <w:rPr>
          <w:rFonts w:ascii="Segoe UI Semibold" w:hAnsi="Segoe UI Semibold"/>
          <w:b/>
          <w:i/>
          <w:color w:val="231F20"/>
          <w:spacing w:val="-4"/>
          <w:sz w:val="24"/>
        </w:rPr>
        <w:t>l’être </w:t>
      </w:r>
      <w:r>
        <w:rPr>
          <w:rFonts w:ascii="Segoe UI Semibold" w:hAnsi="Segoe UI Semibold"/>
          <w:b/>
          <w:i/>
          <w:color w:val="231F20"/>
          <w:spacing w:val="-6"/>
          <w:sz w:val="24"/>
        </w:rPr>
        <w:t>humain.</w:t>
      </w:r>
      <w:r>
        <w:rPr>
          <w:rFonts w:ascii="Segoe UI Semibold" w:hAnsi="Segoe UI Semibold"/>
          <w:b/>
          <w:i/>
          <w:color w:val="231F20"/>
          <w:spacing w:val="-11"/>
          <w:sz w:val="24"/>
        </w:rPr>
        <w:t> </w:t>
      </w:r>
      <w:r>
        <w:rPr>
          <w:rFonts w:ascii="Segoe UI Semibold" w:hAnsi="Segoe UI Semibold"/>
          <w:b/>
          <w:i/>
          <w:color w:val="231F20"/>
          <w:spacing w:val="-6"/>
          <w:sz w:val="24"/>
        </w:rPr>
        <w:t>Là</w:t>
      </w:r>
      <w:r>
        <w:rPr>
          <w:rFonts w:ascii="Segoe UI Semibold" w:hAnsi="Segoe UI Semibold"/>
          <w:b/>
          <w:i/>
          <w:color w:val="231F20"/>
          <w:spacing w:val="-10"/>
          <w:sz w:val="24"/>
        </w:rPr>
        <w:t> </w:t>
      </w:r>
      <w:r>
        <w:rPr>
          <w:rFonts w:ascii="Segoe UI Semibold" w:hAnsi="Segoe UI Semibold"/>
          <w:b/>
          <w:i/>
          <w:color w:val="231F20"/>
          <w:spacing w:val="-6"/>
          <w:sz w:val="24"/>
        </w:rPr>
        <w:t>aussi,</w:t>
      </w:r>
      <w:r>
        <w:rPr>
          <w:rFonts w:ascii="Segoe UI Semibold" w:hAnsi="Segoe UI Semibold"/>
          <w:b/>
          <w:i/>
          <w:color w:val="231F20"/>
          <w:spacing w:val="-11"/>
          <w:sz w:val="24"/>
        </w:rPr>
        <w:t> </w:t>
      </w:r>
      <w:r>
        <w:rPr>
          <w:rFonts w:ascii="Segoe UI Semibold" w:hAnsi="Segoe UI Semibold"/>
          <w:b/>
          <w:i/>
          <w:color w:val="231F20"/>
          <w:spacing w:val="-6"/>
          <w:sz w:val="24"/>
        </w:rPr>
        <w:t>le</w:t>
      </w:r>
      <w:r>
        <w:rPr>
          <w:rFonts w:ascii="Segoe UI Semibold" w:hAnsi="Segoe UI Semibold"/>
          <w:b/>
          <w:i/>
          <w:color w:val="231F20"/>
          <w:spacing w:val="-10"/>
          <w:sz w:val="24"/>
        </w:rPr>
        <w:t> </w:t>
      </w:r>
      <w:r>
        <w:rPr>
          <w:rFonts w:ascii="Segoe UI Semibold" w:hAnsi="Segoe UI Semibold"/>
          <w:b/>
          <w:i/>
          <w:color w:val="231F20"/>
          <w:spacing w:val="-6"/>
          <w:sz w:val="24"/>
        </w:rPr>
        <w:t>blocus</w:t>
      </w:r>
      <w:r>
        <w:rPr>
          <w:rFonts w:ascii="Segoe UI Semibold" w:hAnsi="Segoe UI Semibold"/>
          <w:b/>
          <w:i/>
          <w:color w:val="231F20"/>
          <w:spacing w:val="-11"/>
          <w:sz w:val="24"/>
        </w:rPr>
        <w:t> </w:t>
      </w:r>
      <w:r>
        <w:rPr>
          <w:rFonts w:ascii="Segoe UI Semibold" w:hAnsi="Segoe UI Semibold"/>
          <w:b/>
          <w:i/>
          <w:color w:val="231F20"/>
          <w:spacing w:val="-6"/>
          <w:sz w:val="24"/>
        </w:rPr>
        <w:t>cause</w:t>
      </w:r>
      <w:r>
        <w:rPr>
          <w:rFonts w:ascii="Segoe UI Semibold" w:hAnsi="Segoe UI Semibold"/>
          <w:b/>
          <w:i/>
          <w:color w:val="231F20"/>
          <w:spacing w:val="-10"/>
          <w:sz w:val="24"/>
        </w:rPr>
        <w:t> </w:t>
      </w:r>
      <w:r>
        <w:rPr>
          <w:rFonts w:ascii="Segoe UI Semibold" w:hAnsi="Segoe UI Semibold"/>
          <w:b/>
          <w:i/>
          <w:color w:val="231F20"/>
          <w:spacing w:val="-6"/>
          <w:sz w:val="24"/>
        </w:rPr>
        <w:t>des</w:t>
      </w:r>
      <w:r>
        <w:rPr>
          <w:rFonts w:ascii="Segoe UI Semibold" w:hAnsi="Segoe UI Semibold"/>
          <w:b/>
          <w:i/>
          <w:color w:val="231F20"/>
          <w:spacing w:val="-11"/>
          <w:sz w:val="24"/>
        </w:rPr>
        <w:t> </w:t>
      </w:r>
      <w:r>
        <w:rPr>
          <w:rFonts w:ascii="Segoe UI Semibold" w:hAnsi="Segoe UI Semibold"/>
          <w:b/>
          <w:i/>
          <w:color w:val="231F20"/>
          <w:spacing w:val="-6"/>
          <w:sz w:val="24"/>
        </w:rPr>
        <w:t>pertes sévères,</w:t>
      </w:r>
      <w:r>
        <w:rPr>
          <w:rFonts w:ascii="Segoe UI Semibold" w:hAnsi="Segoe UI Semibold"/>
          <w:b/>
          <w:i/>
          <w:color w:val="231F20"/>
          <w:spacing w:val="-11"/>
          <w:sz w:val="24"/>
        </w:rPr>
        <w:t> </w:t>
      </w:r>
      <w:r>
        <w:rPr>
          <w:rFonts w:ascii="Segoe UI Semibold" w:hAnsi="Segoe UI Semibold"/>
          <w:b/>
          <w:i/>
          <w:color w:val="231F20"/>
          <w:spacing w:val="-6"/>
          <w:sz w:val="24"/>
        </w:rPr>
        <w:t>que</w:t>
      </w:r>
      <w:r>
        <w:rPr>
          <w:rFonts w:ascii="Segoe UI Semibold" w:hAnsi="Segoe UI Semibold"/>
          <w:b/>
          <w:i/>
          <w:color w:val="231F20"/>
          <w:spacing w:val="-10"/>
          <w:sz w:val="24"/>
        </w:rPr>
        <w:t> </w:t>
      </w:r>
      <w:r>
        <w:rPr>
          <w:rFonts w:ascii="Segoe UI Semibold" w:hAnsi="Segoe UI Semibold"/>
          <w:b/>
          <w:i/>
          <w:color w:val="231F20"/>
          <w:spacing w:val="-6"/>
          <w:sz w:val="24"/>
        </w:rPr>
        <w:t>ce</w:t>
      </w:r>
      <w:r>
        <w:rPr>
          <w:rFonts w:ascii="Segoe UI Semibold" w:hAnsi="Segoe UI Semibold"/>
          <w:b/>
          <w:i/>
          <w:color w:val="231F20"/>
          <w:spacing w:val="-10"/>
          <w:sz w:val="24"/>
        </w:rPr>
        <w:t> </w:t>
      </w:r>
      <w:r>
        <w:rPr>
          <w:rFonts w:ascii="Segoe UI Semibold" w:hAnsi="Segoe UI Semibold"/>
          <w:b/>
          <w:i/>
          <w:color w:val="231F20"/>
          <w:spacing w:val="-6"/>
          <w:sz w:val="24"/>
        </w:rPr>
        <w:t>soit</w:t>
      </w:r>
      <w:r>
        <w:rPr>
          <w:rFonts w:ascii="Segoe UI Semibold" w:hAnsi="Segoe UI Semibold"/>
          <w:b/>
          <w:i/>
          <w:color w:val="231F20"/>
          <w:spacing w:val="-11"/>
          <w:sz w:val="24"/>
        </w:rPr>
        <w:t> </w:t>
      </w:r>
      <w:r>
        <w:rPr>
          <w:rFonts w:ascii="Segoe UI Semibold" w:hAnsi="Segoe UI Semibold"/>
          <w:b/>
          <w:i/>
          <w:color w:val="231F20"/>
          <w:spacing w:val="-6"/>
          <w:sz w:val="24"/>
        </w:rPr>
        <w:t>pour</w:t>
      </w:r>
      <w:r>
        <w:rPr>
          <w:rFonts w:ascii="Segoe UI Semibold" w:hAnsi="Segoe UI Semibold"/>
          <w:b/>
          <w:i/>
          <w:color w:val="231F20"/>
          <w:spacing w:val="-10"/>
          <w:sz w:val="24"/>
        </w:rPr>
        <w:t> </w:t>
      </w:r>
      <w:r>
        <w:rPr>
          <w:rFonts w:ascii="Segoe UI Semibold" w:hAnsi="Segoe UI Semibold"/>
          <w:b/>
          <w:i/>
          <w:color w:val="231F20"/>
          <w:spacing w:val="-6"/>
          <w:sz w:val="24"/>
        </w:rPr>
        <w:t>l’accès</w:t>
      </w:r>
      <w:r>
        <w:rPr>
          <w:rFonts w:ascii="Segoe UI Semibold" w:hAnsi="Segoe UI Semibold"/>
          <w:b/>
          <w:i/>
          <w:color w:val="231F20"/>
          <w:spacing w:val="-10"/>
          <w:sz w:val="24"/>
        </w:rPr>
        <w:t> </w:t>
      </w:r>
      <w:r>
        <w:rPr>
          <w:rFonts w:ascii="Segoe UI Semibold" w:hAnsi="Segoe UI Semibold"/>
          <w:b/>
          <w:i/>
          <w:color w:val="231F20"/>
          <w:spacing w:val="-6"/>
          <w:sz w:val="24"/>
        </w:rPr>
        <w:t>limité</w:t>
      </w:r>
      <w:r>
        <w:rPr>
          <w:rFonts w:ascii="Segoe UI Semibold" w:hAnsi="Segoe UI Semibold"/>
          <w:b/>
          <w:i/>
          <w:color w:val="231F20"/>
          <w:spacing w:val="-11"/>
          <w:sz w:val="24"/>
        </w:rPr>
        <w:t> </w:t>
      </w:r>
      <w:r>
        <w:rPr>
          <w:rFonts w:ascii="Segoe UI Semibold" w:hAnsi="Segoe UI Semibold"/>
          <w:b/>
          <w:i/>
          <w:color w:val="231F20"/>
          <w:spacing w:val="-6"/>
          <w:sz w:val="24"/>
        </w:rPr>
        <w:t>à</w:t>
      </w:r>
      <w:r>
        <w:rPr>
          <w:rFonts w:ascii="Segoe UI Semibold" w:hAnsi="Segoe UI Semibold"/>
          <w:b/>
          <w:i/>
          <w:color w:val="231F20"/>
          <w:spacing w:val="-10"/>
          <w:sz w:val="24"/>
        </w:rPr>
        <w:t> </w:t>
      </w:r>
      <w:r>
        <w:rPr>
          <w:rFonts w:ascii="Segoe UI Semibold" w:hAnsi="Segoe UI Semibold"/>
          <w:b/>
          <w:i/>
          <w:color w:val="231F20"/>
          <w:spacing w:val="-6"/>
          <w:sz w:val="24"/>
        </w:rPr>
        <w:t>des </w:t>
      </w:r>
      <w:r>
        <w:rPr>
          <w:rFonts w:ascii="Segoe UI Semibold" w:hAnsi="Segoe UI Semibold"/>
          <w:b/>
          <w:i/>
          <w:color w:val="231F20"/>
          <w:sz w:val="24"/>
        </w:rPr>
        <w:t>sources</w:t>
      </w:r>
      <w:r>
        <w:rPr>
          <w:rFonts w:ascii="Segoe UI Semibold" w:hAnsi="Segoe UI Semibold"/>
          <w:b/>
          <w:i/>
          <w:color w:val="231F20"/>
          <w:spacing w:val="-17"/>
          <w:sz w:val="24"/>
        </w:rPr>
        <w:t>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financement,</w:t>
      </w:r>
      <w:r>
        <w:rPr>
          <w:rFonts w:ascii="Segoe UI Semibold" w:hAnsi="Segoe UI Semibold"/>
          <w:b/>
          <w:i/>
          <w:color w:val="231F20"/>
          <w:spacing w:val="-17"/>
          <w:sz w:val="24"/>
        </w:rPr>
        <w:t> </w:t>
      </w:r>
      <w:r>
        <w:rPr>
          <w:rFonts w:ascii="Segoe UI Semibold" w:hAnsi="Segoe UI Semibold"/>
          <w:b/>
          <w:i/>
          <w:color w:val="231F20"/>
          <w:sz w:val="24"/>
        </w:rPr>
        <w:t>pour</w:t>
      </w:r>
      <w:r>
        <w:rPr>
          <w:rFonts w:ascii="Segoe UI Semibold" w:hAnsi="Segoe UI Semibold"/>
          <w:b/>
          <w:i/>
          <w:color w:val="231F20"/>
          <w:spacing w:val="-16"/>
          <w:sz w:val="24"/>
        </w:rPr>
        <w:t> </w:t>
      </w:r>
      <w:r>
        <w:rPr>
          <w:rFonts w:ascii="Segoe UI Semibold" w:hAnsi="Segoe UI Semibold"/>
          <w:b/>
          <w:i/>
          <w:color w:val="231F20"/>
          <w:sz w:val="24"/>
        </w:rPr>
        <w:t>les</w:t>
      </w:r>
      <w:r>
        <w:rPr>
          <w:rFonts w:ascii="Segoe UI Semibold" w:hAnsi="Segoe UI Semibold"/>
          <w:b/>
          <w:i/>
          <w:color w:val="231F20"/>
          <w:spacing w:val="-17"/>
          <w:sz w:val="24"/>
        </w:rPr>
        <w:t> </w:t>
      </w:r>
      <w:r>
        <w:rPr>
          <w:rFonts w:ascii="Segoe UI Semibold" w:hAnsi="Segoe UI Semibold"/>
          <w:b/>
          <w:i/>
          <w:color w:val="231F20"/>
          <w:sz w:val="24"/>
        </w:rPr>
        <w:t>pénuries </w:t>
      </w:r>
      <w:r>
        <w:rPr>
          <w:rFonts w:ascii="Segoe UI Semibold" w:hAnsi="Segoe UI Semibold"/>
          <w:b/>
          <w:i/>
          <w:color w:val="231F20"/>
          <w:spacing w:val="-2"/>
          <w:sz w:val="24"/>
        </w:rPr>
        <w:t>de</w:t>
      </w:r>
      <w:r>
        <w:rPr>
          <w:rFonts w:ascii="Segoe UI Semibold" w:hAnsi="Segoe UI Semibold"/>
          <w:b/>
          <w:i/>
          <w:color w:val="231F20"/>
          <w:spacing w:val="-15"/>
          <w:sz w:val="24"/>
        </w:rPr>
        <w:t> </w:t>
      </w:r>
      <w:r>
        <w:rPr>
          <w:rFonts w:ascii="Segoe UI Semibold" w:hAnsi="Segoe UI Semibold"/>
          <w:b/>
          <w:i/>
          <w:color w:val="231F20"/>
          <w:spacing w:val="-2"/>
          <w:sz w:val="24"/>
        </w:rPr>
        <w:t>carburants,</w:t>
      </w:r>
      <w:r>
        <w:rPr>
          <w:rFonts w:ascii="Segoe UI Semibold" w:hAnsi="Segoe UI Semibold"/>
          <w:b/>
          <w:i/>
          <w:color w:val="231F20"/>
          <w:spacing w:val="-14"/>
          <w:sz w:val="24"/>
        </w:rPr>
        <w:t> </w:t>
      </w:r>
      <w:r>
        <w:rPr>
          <w:rFonts w:ascii="Segoe UI Semibold" w:hAnsi="Segoe UI Semibold"/>
          <w:b/>
          <w:i/>
          <w:color w:val="231F20"/>
          <w:spacing w:val="-2"/>
          <w:sz w:val="24"/>
        </w:rPr>
        <w:t>pour</w:t>
      </w:r>
      <w:r>
        <w:rPr>
          <w:rFonts w:ascii="Segoe UI Semibold" w:hAnsi="Segoe UI Semibold"/>
          <w:b/>
          <w:i/>
          <w:color w:val="231F20"/>
          <w:spacing w:val="-15"/>
          <w:sz w:val="24"/>
        </w:rPr>
        <w:t> </w:t>
      </w:r>
      <w:r>
        <w:rPr>
          <w:rFonts w:ascii="Segoe UI Semibold" w:hAnsi="Segoe UI Semibold"/>
          <w:b/>
          <w:i/>
          <w:color w:val="231F20"/>
          <w:spacing w:val="-2"/>
          <w:sz w:val="24"/>
        </w:rPr>
        <w:t>les</w:t>
      </w:r>
      <w:r>
        <w:rPr>
          <w:rFonts w:ascii="Segoe UI Semibold" w:hAnsi="Segoe UI Semibold"/>
          <w:b/>
          <w:i/>
          <w:color w:val="231F20"/>
          <w:spacing w:val="-14"/>
          <w:sz w:val="24"/>
        </w:rPr>
        <w:t> </w:t>
      </w:r>
      <w:r>
        <w:rPr>
          <w:rFonts w:ascii="Segoe UI Semibold" w:hAnsi="Segoe UI Semibold"/>
          <w:b/>
          <w:i/>
          <w:color w:val="231F20"/>
          <w:spacing w:val="-2"/>
          <w:sz w:val="24"/>
        </w:rPr>
        <w:t>surcoûts</w:t>
      </w:r>
      <w:r>
        <w:rPr>
          <w:rFonts w:ascii="Segoe UI Semibold" w:hAnsi="Segoe UI Semibold"/>
          <w:b/>
          <w:i/>
          <w:color w:val="231F20"/>
          <w:spacing w:val="-15"/>
          <w:sz w:val="24"/>
        </w:rPr>
        <w:t> </w:t>
      </w:r>
      <w:r>
        <w:rPr>
          <w:rFonts w:ascii="Segoe UI Semibold" w:hAnsi="Segoe UI Semibold"/>
          <w:b/>
          <w:i/>
          <w:color w:val="231F20"/>
          <w:spacing w:val="-2"/>
          <w:sz w:val="24"/>
        </w:rPr>
        <w:t>découlant </w:t>
      </w:r>
      <w:r>
        <w:rPr>
          <w:rFonts w:ascii="Segoe UI Semibold" w:hAnsi="Segoe UI Semibold"/>
          <w:b/>
          <w:i/>
          <w:color w:val="231F20"/>
          <w:spacing w:val="-10"/>
          <w:sz w:val="24"/>
        </w:rPr>
        <w:t>de</w:t>
      </w:r>
      <w:r>
        <w:rPr>
          <w:rFonts w:ascii="Segoe UI Semibold" w:hAnsi="Segoe UI Semibold"/>
          <w:b/>
          <w:i/>
          <w:color w:val="231F20"/>
          <w:spacing w:val="-7"/>
          <w:sz w:val="24"/>
        </w:rPr>
        <w:t> </w:t>
      </w:r>
      <w:r>
        <w:rPr>
          <w:rFonts w:ascii="Segoe UI Semibold" w:hAnsi="Segoe UI Semibold"/>
          <w:b/>
          <w:i/>
          <w:color w:val="231F20"/>
          <w:spacing w:val="-10"/>
          <w:sz w:val="24"/>
        </w:rPr>
        <w:t>l’achat</w:t>
      </w:r>
      <w:r>
        <w:rPr>
          <w:rFonts w:ascii="Segoe UI Semibold" w:hAnsi="Segoe UI Semibold"/>
          <w:b/>
          <w:i/>
          <w:color w:val="231F20"/>
          <w:spacing w:val="-6"/>
          <w:sz w:val="24"/>
        </w:rPr>
        <w:t> </w:t>
      </w:r>
      <w:r>
        <w:rPr>
          <w:rFonts w:ascii="Segoe UI Semibold" w:hAnsi="Segoe UI Semibold"/>
          <w:b/>
          <w:i/>
          <w:color w:val="231F20"/>
          <w:spacing w:val="-10"/>
          <w:sz w:val="24"/>
        </w:rPr>
        <w:t>d’articles</w:t>
      </w:r>
      <w:r>
        <w:rPr>
          <w:rFonts w:ascii="Segoe UI Semibold" w:hAnsi="Segoe UI Semibold"/>
          <w:b/>
          <w:i/>
          <w:color w:val="231F20"/>
          <w:spacing w:val="-7"/>
          <w:sz w:val="24"/>
        </w:rPr>
        <w:t> </w:t>
      </w:r>
      <w:r>
        <w:rPr>
          <w:rFonts w:ascii="Segoe UI Semibold" w:hAnsi="Segoe UI Semibold"/>
          <w:b/>
          <w:i/>
          <w:color w:val="231F20"/>
          <w:spacing w:val="-10"/>
          <w:sz w:val="24"/>
        </w:rPr>
        <w:t>sur</w:t>
      </w:r>
      <w:r>
        <w:rPr>
          <w:rFonts w:ascii="Segoe UI Semibold" w:hAnsi="Segoe UI Semibold"/>
          <w:b/>
          <w:i/>
          <w:color w:val="231F20"/>
          <w:spacing w:val="-6"/>
          <w:sz w:val="24"/>
        </w:rPr>
        <w:t> </w:t>
      </w:r>
      <w:r>
        <w:rPr>
          <w:rFonts w:ascii="Segoe UI Semibold" w:hAnsi="Segoe UI Semibold"/>
          <w:b/>
          <w:i/>
          <w:color w:val="231F20"/>
          <w:spacing w:val="-10"/>
          <w:sz w:val="24"/>
        </w:rPr>
        <w:t>des</w:t>
      </w:r>
      <w:r>
        <w:rPr>
          <w:rFonts w:ascii="Segoe UI Semibold" w:hAnsi="Segoe UI Semibold"/>
          <w:b/>
          <w:i/>
          <w:color w:val="231F20"/>
          <w:spacing w:val="-7"/>
          <w:sz w:val="24"/>
        </w:rPr>
        <w:t> </w:t>
      </w:r>
      <w:r>
        <w:rPr>
          <w:rFonts w:ascii="Segoe UI Semibold" w:hAnsi="Segoe UI Semibold"/>
          <w:b/>
          <w:i/>
          <w:color w:val="231F20"/>
          <w:spacing w:val="-10"/>
          <w:sz w:val="24"/>
        </w:rPr>
        <w:t>marchés</w:t>
      </w:r>
      <w:r>
        <w:rPr>
          <w:rFonts w:ascii="Segoe UI Semibold" w:hAnsi="Segoe UI Semibold"/>
          <w:b/>
          <w:i/>
          <w:color w:val="231F20"/>
          <w:spacing w:val="-6"/>
          <w:sz w:val="24"/>
        </w:rPr>
        <w:t> </w:t>
      </w:r>
      <w:r>
        <w:rPr>
          <w:rFonts w:ascii="Segoe UI Semibold" w:hAnsi="Segoe UI Semibold"/>
          <w:b/>
          <w:i/>
          <w:color w:val="231F20"/>
          <w:spacing w:val="-10"/>
          <w:sz w:val="24"/>
        </w:rPr>
        <w:t>éloignés </w:t>
      </w:r>
      <w:r>
        <w:rPr>
          <w:rFonts w:ascii="Segoe UI Semibold" w:hAnsi="Segoe UI Semibold"/>
          <w:b/>
          <w:i/>
          <w:color w:val="231F20"/>
          <w:sz w:val="24"/>
        </w:rPr>
        <w:t>et</w:t>
      </w:r>
      <w:r>
        <w:rPr>
          <w:rFonts w:ascii="Segoe UI Semibold" w:hAnsi="Segoe UI Semibold"/>
          <w:b/>
          <w:i/>
          <w:color w:val="231F20"/>
          <w:spacing w:val="-17"/>
          <w:sz w:val="24"/>
        </w:rPr>
        <w:t>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leur</w:t>
      </w:r>
      <w:r>
        <w:rPr>
          <w:rFonts w:ascii="Segoe UI Semibold" w:hAnsi="Segoe UI Semibold"/>
          <w:b/>
          <w:i/>
          <w:color w:val="231F20"/>
          <w:spacing w:val="-17"/>
          <w:sz w:val="24"/>
        </w:rPr>
        <w:t> </w:t>
      </w:r>
      <w:r>
        <w:rPr>
          <w:rFonts w:ascii="Segoe UI Semibold" w:hAnsi="Segoe UI Semibold"/>
          <w:b/>
          <w:i/>
          <w:color w:val="231F20"/>
          <w:sz w:val="24"/>
        </w:rPr>
        <w:t>transport,</w:t>
      </w:r>
      <w:r>
        <w:rPr>
          <w:rFonts w:ascii="Segoe UI Semibold" w:hAnsi="Segoe UI Semibold"/>
          <w:b/>
          <w:i/>
          <w:color w:val="231F20"/>
          <w:spacing w:val="-16"/>
          <w:sz w:val="24"/>
        </w:rPr>
        <w:t> </w:t>
      </w:r>
      <w:r>
        <w:rPr>
          <w:rFonts w:ascii="Segoe UI Semibold" w:hAnsi="Segoe UI Semibold"/>
          <w:b/>
          <w:i/>
          <w:color w:val="231F20"/>
          <w:sz w:val="24"/>
        </w:rPr>
        <w:t>ou</w:t>
      </w:r>
      <w:r>
        <w:rPr>
          <w:rFonts w:ascii="Segoe UI Semibold" w:hAnsi="Segoe UI Semibold"/>
          <w:b/>
          <w:i/>
          <w:color w:val="231F20"/>
          <w:spacing w:val="-17"/>
          <w:sz w:val="24"/>
        </w:rPr>
        <w:t> </w:t>
      </w:r>
      <w:r>
        <w:rPr>
          <w:rFonts w:ascii="Segoe UI Semibold" w:hAnsi="Segoe UI Semibold"/>
          <w:b/>
          <w:i/>
          <w:color w:val="231F20"/>
          <w:sz w:val="24"/>
        </w:rPr>
        <w:t>que</w:t>
      </w:r>
      <w:r>
        <w:rPr>
          <w:rFonts w:ascii="Segoe UI Semibold" w:hAnsi="Segoe UI Semibold"/>
          <w:b/>
          <w:i/>
          <w:color w:val="231F20"/>
          <w:spacing w:val="-16"/>
          <w:sz w:val="24"/>
        </w:rPr>
        <w:t> </w:t>
      </w:r>
      <w:r>
        <w:rPr>
          <w:rFonts w:ascii="Segoe UI Semibold" w:hAnsi="Segoe UI Semibold"/>
          <w:b/>
          <w:i/>
          <w:color w:val="231F20"/>
          <w:sz w:val="24"/>
        </w:rPr>
        <w:t>ce</w:t>
      </w:r>
      <w:r>
        <w:rPr>
          <w:rFonts w:ascii="Segoe UI Semibold" w:hAnsi="Segoe UI Semibold"/>
          <w:b/>
          <w:i/>
          <w:color w:val="231F20"/>
          <w:spacing w:val="-17"/>
          <w:sz w:val="24"/>
        </w:rPr>
        <w:t> </w:t>
      </w:r>
      <w:r>
        <w:rPr>
          <w:rFonts w:ascii="Segoe UI Semibold" w:hAnsi="Segoe UI Semibold"/>
          <w:b/>
          <w:i/>
          <w:color w:val="231F20"/>
          <w:sz w:val="24"/>
        </w:rPr>
        <w:t>soit</w:t>
      </w:r>
      <w:r>
        <w:rPr>
          <w:rFonts w:ascii="Segoe UI Semibold" w:hAnsi="Segoe UI Semibold"/>
          <w:b/>
          <w:i/>
          <w:color w:val="231F20"/>
          <w:spacing w:val="-16"/>
          <w:sz w:val="24"/>
        </w:rPr>
        <w:t> </w:t>
      </w:r>
      <w:r>
        <w:rPr>
          <w:rFonts w:ascii="Segoe UI Semibold" w:hAnsi="Segoe UI Semibold"/>
          <w:b/>
          <w:i/>
          <w:color w:val="231F20"/>
          <w:sz w:val="24"/>
        </w:rPr>
        <w:t>à</w:t>
      </w:r>
      <w:r>
        <w:rPr>
          <w:rFonts w:ascii="Segoe UI Semibold" w:hAnsi="Segoe UI Semibold"/>
          <w:b/>
          <w:i/>
          <w:color w:val="231F20"/>
          <w:spacing w:val="-17"/>
          <w:sz w:val="24"/>
        </w:rPr>
        <w:t> </w:t>
      </w:r>
      <w:r>
        <w:rPr>
          <w:rFonts w:ascii="Segoe UI Semibold" w:hAnsi="Segoe UI Semibold"/>
          <w:b/>
          <w:i/>
          <w:color w:val="231F20"/>
          <w:sz w:val="24"/>
        </w:rPr>
        <w:t>cause des obstacles financiers et bancaires à </w:t>
      </w:r>
      <w:r>
        <w:rPr>
          <w:rFonts w:ascii="Segoe UI Semibold" w:hAnsi="Segoe UI Semibold"/>
          <w:b/>
          <w:i/>
          <w:color w:val="231F20"/>
          <w:spacing w:val="-2"/>
          <w:sz w:val="24"/>
        </w:rPr>
        <w:t>l’encaissement</w:t>
      </w:r>
      <w:r>
        <w:rPr>
          <w:rFonts w:ascii="Segoe UI Semibold" w:hAnsi="Segoe UI Semibold"/>
          <w:b/>
          <w:i/>
          <w:color w:val="231F20"/>
          <w:spacing w:val="-13"/>
          <w:sz w:val="24"/>
        </w:rPr>
        <w:t> </w:t>
      </w:r>
      <w:r>
        <w:rPr>
          <w:rFonts w:ascii="Segoe UI Semibold" w:hAnsi="Segoe UI Semibold"/>
          <w:b/>
          <w:i/>
          <w:color w:val="231F20"/>
          <w:spacing w:val="-2"/>
          <w:sz w:val="24"/>
        </w:rPr>
        <w:t>des</w:t>
      </w:r>
      <w:r>
        <w:rPr>
          <w:rFonts w:ascii="Segoe UI Semibold" w:hAnsi="Segoe UI Semibold"/>
          <w:b/>
          <w:i/>
          <w:color w:val="231F20"/>
          <w:spacing w:val="-13"/>
          <w:sz w:val="24"/>
        </w:rPr>
        <w:t> </w:t>
      </w:r>
      <w:r>
        <w:rPr>
          <w:rFonts w:ascii="Segoe UI Semibold" w:hAnsi="Segoe UI Semibold"/>
          <w:b/>
          <w:i/>
          <w:color w:val="231F20"/>
          <w:spacing w:val="-2"/>
          <w:sz w:val="24"/>
        </w:rPr>
        <w:t>services</w:t>
      </w:r>
      <w:r>
        <w:rPr>
          <w:rFonts w:ascii="Segoe UI Semibold" w:hAnsi="Segoe UI Semibold"/>
          <w:b/>
          <w:i/>
          <w:color w:val="231F20"/>
          <w:spacing w:val="-13"/>
          <w:sz w:val="24"/>
        </w:rPr>
        <w:t> </w:t>
      </w:r>
      <w:r>
        <w:rPr>
          <w:rFonts w:ascii="Segoe UI Semibold" w:hAnsi="Segoe UI Semibold"/>
          <w:b/>
          <w:i/>
          <w:color w:val="231F20"/>
          <w:spacing w:val="-2"/>
          <w:sz w:val="24"/>
        </w:rPr>
        <w:t>professionnels </w:t>
      </w:r>
      <w:r>
        <w:rPr>
          <w:rFonts w:ascii="Segoe UI Semibold" w:hAnsi="Segoe UI Semibold"/>
          <w:b/>
          <w:i/>
          <w:color w:val="231F20"/>
          <w:sz w:val="24"/>
        </w:rPr>
        <w:t>prêtés</w:t>
      </w:r>
      <w:r>
        <w:rPr>
          <w:rFonts w:ascii="Segoe UI Semibold" w:hAnsi="Segoe UI Semibold"/>
          <w:b/>
          <w:i/>
          <w:color w:val="231F20"/>
          <w:spacing w:val="-20"/>
          <w:sz w:val="24"/>
        </w:rPr>
        <w:t> </w:t>
      </w:r>
      <w:r>
        <w:rPr>
          <w:rFonts w:ascii="Segoe UI Semibold" w:hAnsi="Segoe UI Semibold"/>
          <w:b/>
          <w:i/>
          <w:color w:val="231F20"/>
          <w:sz w:val="24"/>
        </w:rPr>
        <w:t>à</w:t>
      </w:r>
      <w:r>
        <w:rPr>
          <w:rFonts w:ascii="Segoe UI Semibold" w:hAnsi="Segoe UI Semibold"/>
          <w:b/>
          <w:i/>
          <w:color w:val="231F20"/>
          <w:spacing w:val="-20"/>
          <w:sz w:val="24"/>
        </w:rPr>
        <w:t> </w:t>
      </w:r>
      <w:r>
        <w:rPr>
          <w:rFonts w:ascii="Segoe UI Semibold" w:hAnsi="Segoe UI Semibold"/>
          <w:b/>
          <w:i/>
          <w:color w:val="231F20"/>
          <w:sz w:val="24"/>
        </w:rPr>
        <w:t>l’étranger.</w:t>
      </w:r>
    </w:p>
    <w:p>
      <w:pPr>
        <w:pStyle w:val="BodyText"/>
        <w:spacing w:before="77"/>
        <w:ind w:left="414" w:right="1133"/>
      </w:pPr>
      <w:r>
        <w:rPr/>
        <w:br w:type="column"/>
      </w:r>
      <w:r>
        <w:rPr>
          <w:color w:val="231F20"/>
        </w:rPr>
        <w:t>De</w:t>
      </w:r>
      <w:r>
        <w:rPr>
          <w:color w:val="231F20"/>
          <w:spacing w:val="-17"/>
        </w:rPr>
        <w:t> </w:t>
      </w:r>
      <w:r>
        <w:rPr>
          <w:color w:val="231F20"/>
        </w:rPr>
        <w:t>mars</w:t>
      </w:r>
      <w:r>
        <w:rPr>
          <w:color w:val="231F20"/>
          <w:spacing w:val="-16"/>
        </w:rPr>
        <w:t> </w:t>
      </w:r>
      <w:r>
        <w:rPr>
          <w:color w:val="231F20"/>
        </w:rPr>
        <w:t>2022</w:t>
      </w:r>
      <w:r>
        <w:rPr>
          <w:color w:val="231F20"/>
          <w:spacing w:val="-17"/>
        </w:rPr>
        <w:t> </w:t>
      </w:r>
      <w:r>
        <w:rPr>
          <w:color w:val="231F20"/>
        </w:rPr>
        <w:t>à</w:t>
      </w:r>
      <w:r>
        <w:rPr>
          <w:color w:val="231F20"/>
          <w:spacing w:val="-16"/>
        </w:rPr>
        <w:t> </w:t>
      </w:r>
      <w:r>
        <w:rPr>
          <w:color w:val="231F20"/>
        </w:rPr>
        <w:t>février</w:t>
      </w:r>
      <w:r>
        <w:rPr>
          <w:color w:val="231F20"/>
          <w:spacing w:val="-17"/>
        </w:rPr>
        <w:t> </w:t>
      </w:r>
      <w:r>
        <w:rPr>
          <w:color w:val="231F20"/>
        </w:rPr>
        <w:t>2023,</w:t>
      </w:r>
      <w:r>
        <w:rPr>
          <w:color w:val="231F20"/>
          <w:spacing w:val="-16"/>
        </w:rPr>
        <w:t> </w:t>
      </w:r>
      <w:r>
        <w:rPr>
          <w:color w:val="231F20"/>
        </w:rPr>
        <w:t>les</w:t>
      </w:r>
      <w:r>
        <w:rPr>
          <w:color w:val="231F20"/>
          <w:spacing w:val="-17"/>
        </w:rPr>
        <w:t> </w:t>
      </w:r>
      <w:r>
        <w:rPr>
          <w:color w:val="231F20"/>
        </w:rPr>
        <w:t>préjudices causés au secteur de l’éducation se sont chiffrés à </w:t>
      </w:r>
      <w:r>
        <w:rPr>
          <w:rFonts w:ascii="Segoe UI Semibold" w:hAnsi="Segoe UI Semibold"/>
          <w:b/>
          <w:i/>
          <w:color w:val="231F20"/>
        </w:rPr>
        <w:t>75 551 799 dollars</w:t>
      </w:r>
      <w:r>
        <w:rPr>
          <w:color w:val="231F20"/>
        </w:rPr>
        <w:t>. En voici les principaux :</w:t>
      </w:r>
    </w:p>
    <w:p>
      <w:pPr>
        <w:spacing w:before="162"/>
        <w:ind w:left="675" w:right="1131" w:hanging="261"/>
        <w:jc w:val="both"/>
        <w:rPr>
          <w:i/>
          <w:sz w:val="24"/>
        </w:rPr>
      </w:pPr>
      <w:r>
        <w:rPr>
          <w:position w:val="3"/>
        </w:rPr>
        <w:drawing>
          <wp:inline distT="0" distB="0" distL="0" distR="0">
            <wp:extent cx="59207" cy="59207"/>
            <wp:effectExtent l="0" t="0" r="0" b="0"/>
            <wp:docPr id="437" name="Image 437"/>
            <wp:cNvGraphicFramePr>
              <a:graphicFrameLocks/>
            </wp:cNvGraphicFramePr>
            <a:graphic>
              <a:graphicData uri="http://schemas.openxmlformats.org/drawingml/2006/picture">
                <pic:pic>
                  <pic:nvPicPr>
                    <pic:cNvPr id="437" name="Image 437"/>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z w:val="20"/>
        </w:rPr>
        <w:t> </w:t>
      </w:r>
      <w:r>
        <w:rPr>
          <w:color w:val="231F20"/>
          <w:sz w:val="24"/>
        </w:rPr>
        <w:t>Les difficultés à acquérir les intrants destinés à l’impression de livres, de </w:t>
      </w:r>
      <w:r>
        <w:rPr>
          <w:color w:val="231F20"/>
          <w:spacing w:val="-2"/>
          <w:sz w:val="24"/>
        </w:rPr>
        <w:t>brochuresetd’autresproduitsdidactiques </w:t>
      </w:r>
      <w:r>
        <w:rPr>
          <w:color w:val="231F20"/>
          <w:sz w:val="24"/>
        </w:rPr>
        <w:t>ont empêché de disposer des textes associés</w:t>
      </w:r>
      <w:r>
        <w:rPr>
          <w:color w:val="231F20"/>
          <w:spacing w:val="-17"/>
          <w:sz w:val="24"/>
        </w:rPr>
        <w:t> </w:t>
      </w:r>
      <w:r>
        <w:rPr>
          <w:color w:val="231F20"/>
          <w:sz w:val="24"/>
        </w:rPr>
        <w:t>au</w:t>
      </w:r>
      <w:r>
        <w:rPr>
          <w:color w:val="231F20"/>
          <w:spacing w:val="-16"/>
          <w:sz w:val="24"/>
        </w:rPr>
        <w:t> </w:t>
      </w:r>
      <w:r>
        <w:rPr>
          <w:color w:val="231F20"/>
          <w:sz w:val="24"/>
        </w:rPr>
        <w:t>troisième</w:t>
      </w:r>
      <w:r>
        <w:rPr>
          <w:color w:val="231F20"/>
          <w:spacing w:val="-17"/>
          <w:sz w:val="24"/>
        </w:rPr>
        <w:t> </w:t>
      </w:r>
      <w:r>
        <w:rPr>
          <w:color w:val="231F20"/>
          <w:sz w:val="24"/>
        </w:rPr>
        <w:t>perfectionnement du système d’enseignement national : </w:t>
      </w:r>
      <w:r>
        <w:rPr>
          <w:i/>
          <w:color w:val="231F20"/>
          <w:sz w:val="24"/>
        </w:rPr>
        <w:t>plus</w:t>
      </w:r>
      <w:r>
        <w:rPr>
          <w:i/>
          <w:color w:val="231F20"/>
          <w:spacing w:val="-12"/>
          <w:sz w:val="24"/>
        </w:rPr>
        <w:t> </w:t>
      </w:r>
      <w:r>
        <w:rPr>
          <w:i/>
          <w:color w:val="231F20"/>
          <w:sz w:val="24"/>
        </w:rPr>
        <w:t>de</w:t>
      </w:r>
      <w:r>
        <w:rPr>
          <w:i/>
          <w:color w:val="231F20"/>
          <w:spacing w:val="-12"/>
          <w:sz w:val="24"/>
        </w:rPr>
        <w:t> </w:t>
      </w:r>
      <w:r>
        <w:rPr>
          <w:i/>
          <w:color w:val="231F20"/>
          <w:sz w:val="24"/>
        </w:rPr>
        <w:t>118</w:t>
      </w:r>
      <w:r>
        <w:rPr>
          <w:i/>
          <w:color w:val="231F20"/>
          <w:spacing w:val="-12"/>
          <w:sz w:val="24"/>
        </w:rPr>
        <w:t> </w:t>
      </w:r>
      <w:r>
        <w:rPr>
          <w:i/>
          <w:color w:val="231F20"/>
          <w:sz w:val="24"/>
        </w:rPr>
        <w:t>600</w:t>
      </w:r>
      <w:r>
        <w:rPr>
          <w:i/>
          <w:color w:val="231F20"/>
          <w:spacing w:val="-12"/>
          <w:sz w:val="24"/>
        </w:rPr>
        <w:t> </w:t>
      </w:r>
      <w:r>
        <w:rPr>
          <w:i/>
          <w:color w:val="231F20"/>
          <w:sz w:val="24"/>
        </w:rPr>
        <w:t>écoliers,</w:t>
      </w:r>
      <w:r>
        <w:rPr>
          <w:i/>
          <w:color w:val="231F20"/>
          <w:spacing w:val="-12"/>
          <w:sz w:val="24"/>
        </w:rPr>
        <w:t> </w:t>
      </w:r>
      <w:r>
        <w:rPr>
          <w:i/>
          <w:color w:val="231F20"/>
          <w:sz w:val="24"/>
        </w:rPr>
        <w:t>essentiellement</w:t>
      </w:r>
      <w:r>
        <w:rPr>
          <w:i/>
          <w:color w:val="231F20"/>
          <w:sz w:val="24"/>
        </w:rPr>
        <w:t> </w:t>
      </w:r>
      <w:r>
        <w:rPr>
          <w:i/>
          <w:color w:val="231F20"/>
          <w:spacing w:val="-2"/>
          <w:sz w:val="24"/>
        </w:rPr>
        <w:t>de</w:t>
      </w:r>
      <w:r>
        <w:rPr>
          <w:i/>
          <w:color w:val="231F20"/>
          <w:spacing w:val="-13"/>
          <w:sz w:val="24"/>
        </w:rPr>
        <w:t> </w:t>
      </w:r>
      <w:r>
        <w:rPr>
          <w:i/>
          <w:color w:val="231F20"/>
          <w:spacing w:val="-2"/>
          <w:sz w:val="24"/>
        </w:rPr>
        <w:t>la</w:t>
      </w:r>
      <w:r>
        <w:rPr>
          <w:i/>
          <w:color w:val="231F20"/>
          <w:spacing w:val="-13"/>
          <w:sz w:val="24"/>
        </w:rPr>
        <w:t> </w:t>
      </w:r>
      <w:r>
        <w:rPr>
          <w:i/>
          <w:color w:val="231F20"/>
          <w:spacing w:val="-2"/>
          <w:sz w:val="24"/>
        </w:rPr>
        <w:t>maternelle</w:t>
      </w:r>
      <w:r>
        <w:rPr>
          <w:i/>
          <w:color w:val="231F20"/>
          <w:spacing w:val="-13"/>
          <w:sz w:val="24"/>
        </w:rPr>
        <w:t> </w:t>
      </w:r>
      <w:r>
        <w:rPr>
          <w:i/>
          <w:color w:val="231F20"/>
          <w:spacing w:val="-2"/>
          <w:sz w:val="24"/>
        </w:rPr>
        <w:t>et</w:t>
      </w:r>
      <w:r>
        <w:rPr>
          <w:i/>
          <w:color w:val="231F20"/>
          <w:spacing w:val="-13"/>
          <w:sz w:val="24"/>
        </w:rPr>
        <w:t> </w:t>
      </w:r>
      <w:r>
        <w:rPr>
          <w:i/>
          <w:color w:val="231F20"/>
          <w:spacing w:val="-2"/>
          <w:sz w:val="24"/>
        </w:rPr>
        <w:t>du</w:t>
      </w:r>
      <w:r>
        <w:rPr>
          <w:i/>
          <w:color w:val="231F20"/>
          <w:spacing w:val="-13"/>
          <w:sz w:val="24"/>
        </w:rPr>
        <w:t> </w:t>
      </w:r>
      <w:r>
        <w:rPr>
          <w:i/>
          <w:color w:val="231F20"/>
          <w:spacing w:val="-2"/>
          <w:sz w:val="24"/>
        </w:rPr>
        <w:t>cours</w:t>
      </w:r>
      <w:r>
        <w:rPr>
          <w:i/>
          <w:color w:val="231F20"/>
          <w:spacing w:val="-13"/>
          <w:sz w:val="24"/>
        </w:rPr>
        <w:t> </w:t>
      </w:r>
      <w:r>
        <w:rPr>
          <w:i/>
          <w:color w:val="231F20"/>
          <w:spacing w:val="-2"/>
          <w:sz w:val="24"/>
        </w:rPr>
        <w:t>préparatoire, </w:t>
      </w:r>
      <w:r>
        <w:rPr>
          <w:i/>
          <w:color w:val="231F20"/>
          <w:sz w:val="24"/>
        </w:rPr>
        <w:t>n’ont pu disposer de tous les cahiers d’apprentissage en lecture, écriture et </w:t>
      </w:r>
      <w:r>
        <w:rPr>
          <w:i/>
          <w:color w:val="231F20"/>
          <w:spacing w:val="-2"/>
          <w:sz w:val="24"/>
        </w:rPr>
        <w:t>mathématique.</w:t>
      </w:r>
    </w:p>
    <w:p>
      <w:pPr>
        <w:spacing w:before="168"/>
        <w:ind w:left="675" w:right="1133" w:hanging="261"/>
        <w:jc w:val="both"/>
        <w:rPr>
          <w:sz w:val="24"/>
        </w:rPr>
      </w:pPr>
      <w:r>
        <w:rPr>
          <w:position w:val="2"/>
        </w:rPr>
        <w:drawing>
          <wp:inline distT="0" distB="0" distL="0" distR="0">
            <wp:extent cx="59207" cy="59207"/>
            <wp:effectExtent l="0" t="0" r="0" b="0"/>
            <wp:docPr id="438" name="Image 438"/>
            <wp:cNvGraphicFramePr>
              <a:graphicFrameLocks/>
            </wp:cNvGraphicFramePr>
            <a:graphic>
              <a:graphicData uri="http://schemas.openxmlformats.org/drawingml/2006/picture">
                <pic:pic>
                  <pic:nvPicPr>
                    <pic:cNvPr id="438" name="Image 438"/>
                    <pic:cNvPicPr/>
                  </pic:nvPicPr>
                  <pic:blipFill>
                    <a:blip r:embed="rId11" cstate="print"/>
                    <a:stretch>
                      <a:fillRect/>
                    </a:stretch>
                  </pic:blipFill>
                  <pic:spPr>
                    <a:xfrm>
                      <a:off x="0" y="0"/>
                      <a:ext cx="59207" cy="59207"/>
                    </a:xfrm>
                    <a:prstGeom prst="rect">
                      <a:avLst/>
                    </a:prstGeom>
                  </pic:spPr>
                </pic:pic>
              </a:graphicData>
            </a:graphic>
          </wp:inline>
        </w:drawing>
      </w:r>
      <w:r>
        <w:rPr>
          <w:position w:val="2"/>
        </w:rPr>
      </w:r>
      <w:r>
        <w:rPr>
          <w:rFonts w:ascii="Times New Roman" w:hAnsi="Times New Roman"/>
          <w:spacing w:val="40"/>
          <w:sz w:val="20"/>
        </w:rPr>
        <w:t> </w:t>
      </w:r>
      <w:r>
        <w:rPr>
          <w:i/>
          <w:color w:val="231F20"/>
          <w:sz w:val="24"/>
        </w:rPr>
        <w:t>Les entreprises de journaux et d’éditions</w:t>
      </w:r>
      <w:r>
        <w:rPr>
          <w:i/>
          <w:color w:val="231F20"/>
          <w:sz w:val="24"/>
        </w:rPr>
        <w:t> Caribe n’ont pu produire 76 900 000 brochures,</w:t>
      </w:r>
      <w:r>
        <w:rPr>
          <w:i/>
          <w:color w:val="231F20"/>
          <w:spacing w:val="-9"/>
          <w:sz w:val="24"/>
        </w:rPr>
        <w:t> </w:t>
      </w:r>
      <w:r>
        <w:rPr>
          <w:i/>
          <w:color w:val="231F20"/>
          <w:sz w:val="24"/>
        </w:rPr>
        <w:t>livres,</w:t>
      </w:r>
      <w:r>
        <w:rPr>
          <w:i/>
          <w:color w:val="231F20"/>
          <w:spacing w:val="-9"/>
          <w:sz w:val="24"/>
        </w:rPr>
        <w:t> </w:t>
      </w:r>
      <w:r>
        <w:rPr>
          <w:i/>
          <w:color w:val="231F20"/>
          <w:sz w:val="24"/>
        </w:rPr>
        <w:t>cahiers</w:t>
      </w:r>
      <w:r>
        <w:rPr>
          <w:i/>
          <w:color w:val="231F20"/>
          <w:spacing w:val="-9"/>
          <w:sz w:val="24"/>
        </w:rPr>
        <w:t> </w:t>
      </w:r>
      <w:r>
        <w:rPr>
          <w:i/>
          <w:color w:val="231F20"/>
          <w:sz w:val="24"/>
        </w:rPr>
        <w:t>et</w:t>
      </w:r>
      <w:r>
        <w:rPr>
          <w:i/>
          <w:color w:val="231F20"/>
          <w:spacing w:val="-9"/>
          <w:sz w:val="24"/>
        </w:rPr>
        <w:t> </w:t>
      </w:r>
      <w:r>
        <w:rPr>
          <w:i/>
          <w:color w:val="231F20"/>
          <w:sz w:val="24"/>
        </w:rPr>
        <w:t>ordonnances médicales et 97 400 000 exemplaires de </w:t>
      </w:r>
      <w:r>
        <w:rPr>
          <w:i/>
          <w:color w:val="231F20"/>
          <w:spacing w:val="-2"/>
          <w:sz w:val="24"/>
        </w:rPr>
        <w:t>presse</w:t>
      </w:r>
      <w:r>
        <w:rPr>
          <w:color w:val="231F20"/>
          <w:spacing w:val="-2"/>
          <w:sz w:val="24"/>
        </w:rPr>
        <w:t>.</w:t>
      </w:r>
      <w:r>
        <w:rPr>
          <w:color w:val="231F20"/>
          <w:spacing w:val="-11"/>
          <w:sz w:val="24"/>
        </w:rPr>
        <w:t> </w:t>
      </w:r>
      <w:r>
        <w:rPr>
          <w:color w:val="231F20"/>
          <w:spacing w:val="-2"/>
          <w:sz w:val="24"/>
        </w:rPr>
        <w:t>Motif</w:t>
      </w:r>
      <w:r>
        <w:rPr>
          <w:color w:val="231F20"/>
          <w:spacing w:val="-11"/>
          <w:sz w:val="24"/>
        </w:rPr>
        <w:t> </w:t>
      </w:r>
      <w:r>
        <w:rPr>
          <w:color w:val="231F20"/>
          <w:spacing w:val="-2"/>
          <w:sz w:val="24"/>
        </w:rPr>
        <w:t>partiel</w:t>
      </w:r>
      <w:r>
        <w:rPr>
          <w:color w:val="231F20"/>
          <w:spacing w:val="-11"/>
          <w:sz w:val="24"/>
        </w:rPr>
        <w:t> </w:t>
      </w:r>
      <w:r>
        <w:rPr>
          <w:color w:val="231F20"/>
          <w:spacing w:val="-2"/>
          <w:sz w:val="24"/>
        </w:rPr>
        <w:t>?</w:t>
      </w:r>
      <w:r>
        <w:rPr>
          <w:color w:val="231F20"/>
          <w:spacing w:val="-11"/>
          <w:sz w:val="24"/>
        </w:rPr>
        <w:t> </w:t>
      </w:r>
      <w:r>
        <w:rPr>
          <w:color w:val="231F20"/>
          <w:spacing w:val="-2"/>
          <w:sz w:val="24"/>
        </w:rPr>
        <w:t>L’annulation</w:t>
      </w:r>
      <w:r>
        <w:rPr>
          <w:color w:val="231F20"/>
          <w:spacing w:val="-11"/>
          <w:sz w:val="24"/>
        </w:rPr>
        <w:t> </w:t>
      </w:r>
      <w:r>
        <w:rPr>
          <w:color w:val="231F20"/>
          <w:spacing w:val="-2"/>
          <w:sz w:val="24"/>
        </w:rPr>
        <w:t>d’une </w:t>
      </w:r>
      <w:r>
        <w:rPr>
          <w:color w:val="231F20"/>
          <w:sz w:val="24"/>
        </w:rPr>
        <w:t>ligne de crédit associée à la décision d’un propriétaire de moulin à papier </w:t>
      </w:r>
      <w:r>
        <w:rPr>
          <w:color w:val="231F20"/>
          <w:spacing w:val="-2"/>
          <w:sz w:val="24"/>
        </w:rPr>
        <w:t>canadien</w:t>
      </w:r>
      <w:r>
        <w:rPr>
          <w:color w:val="231F20"/>
          <w:spacing w:val="-13"/>
          <w:sz w:val="24"/>
        </w:rPr>
        <w:t> </w:t>
      </w:r>
      <w:r>
        <w:rPr>
          <w:color w:val="231F20"/>
          <w:spacing w:val="-2"/>
          <w:sz w:val="24"/>
        </w:rPr>
        <w:t>de</w:t>
      </w:r>
      <w:r>
        <w:rPr>
          <w:color w:val="231F20"/>
          <w:spacing w:val="-13"/>
          <w:sz w:val="24"/>
        </w:rPr>
        <w:t> </w:t>
      </w:r>
      <w:r>
        <w:rPr>
          <w:color w:val="231F20"/>
          <w:spacing w:val="-2"/>
          <w:sz w:val="24"/>
        </w:rPr>
        <w:t>ne</w:t>
      </w:r>
      <w:r>
        <w:rPr>
          <w:color w:val="231F20"/>
          <w:spacing w:val="-13"/>
          <w:sz w:val="24"/>
        </w:rPr>
        <w:t> </w:t>
      </w:r>
      <w:r>
        <w:rPr>
          <w:color w:val="231F20"/>
          <w:spacing w:val="-2"/>
          <w:sz w:val="24"/>
        </w:rPr>
        <w:t>plus</w:t>
      </w:r>
      <w:r>
        <w:rPr>
          <w:color w:val="231F20"/>
          <w:spacing w:val="-14"/>
          <w:sz w:val="24"/>
        </w:rPr>
        <w:t> </w:t>
      </w:r>
      <w:r>
        <w:rPr>
          <w:color w:val="231F20"/>
          <w:spacing w:val="-2"/>
          <w:sz w:val="24"/>
        </w:rPr>
        <w:t>produire</w:t>
      </w:r>
      <w:r>
        <w:rPr>
          <w:color w:val="231F20"/>
          <w:spacing w:val="-13"/>
          <w:sz w:val="24"/>
        </w:rPr>
        <w:t> </w:t>
      </w:r>
      <w:r>
        <w:rPr>
          <w:color w:val="231F20"/>
          <w:spacing w:val="-2"/>
          <w:sz w:val="24"/>
        </w:rPr>
        <w:t>pour</w:t>
      </w:r>
      <w:r>
        <w:rPr>
          <w:color w:val="231F20"/>
          <w:spacing w:val="-13"/>
          <w:sz w:val="24"/>
        </w:rPr>
        <w:t> </w:t>
      </w:r>
      <w:r>
        <w:rPr>
          <w:color w:val="231F20"/>
          <w:spacing w:val="-2"/>
          <w:sz w:val="24"/>
        </w:rPr>
        <w:t>Cuba </w:t>
      </w:r>
      <w:r>
        <w:rPr>
          <w:color w:val="231F20"/>
          <w:sz w:val="24"/>
        </w:rPr>
        <w:t>à cause du blocus.</w:t>
      </w:r>
    </w:p>
    <w:p>
      <w:pPr>
        <w:spacing w:before="167"/>
        <w:ind w:left="675" w:right="1131" w:hanging="261"/>
        <w:jc w:val="both"/>
        <w:rPr>
          <w:i/>
          <w:sz w:val="24"/>
        </w:rPr>
      </w:pPr>
      <w:r>
        <w:rPr>
          <w:position w:val="3"/>
        </w:rPr>
        <w:drawing>
          <wp:inline distT="0" distB="0" distL="0" distR="0">
            <wp:extent cx="59207" cy="59207"/>
            <wp:effectExtent l="0" t="0" r="0" b="0"/>
            <wp:docPr id="439" name="Image 439"/>
            <wp:cNvGraphicFramePr>
              <a:graphicFrameLocks/>
            </wp:cNvGraphicFramePr>
            <a:graphic>
              <a:graphicData uri="http://schemas.openxmlformats.org/drawingml/2006/picture">
                <pic:pic>
                  <pic:nvPicPr>
                    <pic:cNvPr id="439" name="Image 439"/>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30"/>
          <w:sz w:val="20"/>
        </w:rPr>
        <w:t> </w:t>
      </w:r>
      <w:r>
        <w:rPr>
          <w:i/>
          <w:color w:val="231F20"/>
          <w:sz w:val="24"/>
        </w:rPr>
        <w:t>1</w:t>
      </w:r>
      <w:r>
        <w:rPr>
          <w:i/>
          <w:color w:val="231F20"/>
          <w:spacing w:val="-17"/>
          <w:sz w:val="24"/>
        </w:rPr>
        <w:t> </w:t>
      </w:r>
      <w:r>
        <w:rPr>
          <w:i/>
          <w:color w:val="231F20"/>
          <w:sz w:val="24"/>
        </w:rPr>
        <w:t>315</w:t>
      </w:r>
      <w:r>
        <w:rPr>
          <w:i/>
          <w:color w:val="231F20"/>
          <w:spacing w:val="-16"/>
          <w:sz w:val="24"/>
        </w:rPr>
        <w:t> </w:t>
      </w:r>
      <w:r>
        <w:rPr>
          <w:i/>
          <w:color w:val="231F20"/>
          <w:sz w:val="24"/>
        </w:rPr>
        <w:t>institutions</w:t>
      </w:r>
      <w:r>
        <w:rPr>
          <w:i/>
          <w:color w:val="231F20"/>
          <w:spacing w:val="-17"/>
          <w:sz w:val="24"/>
        </w:rPr>
        <w:t> </w:t>
      </w:r>
      <w:r>
        <w:rPr>
          <w:i/>
          <w:color w:val="231F20"/>
          <w:sz w:val="24"/>
        </w:rPr>
        <w:t>du</w:t>
      </w:r>
      <w:r>
        <w:rPr>
          <w:i/>
          <w:color w:val="231F20"/>
          <w:spacing w:val="-16"/>
          <w:sz w:val="24"/>
        </w:rPr>
        <w:t> </w:t>
      </w:r>
      <w:r>
        <w:rPr>
          <w:i/>
          <w:color w:val="231F20"/>
          <w:sz w:val="24"/>
        </w:rPr>
        <w:t>Système</w:t>
      </w:r>
      <w:r>
        <w:rPr>
          <w:i/>
          <w:color w:val="231F20"/>
          <w:spacing w:val="-17"/>
          <w:sz w:val="24"/>
        </w:rPr>
        <w:t> </w:t>
      </w:r>
      <w:r>
        <w:rPr>
          <w:i/>
          <w:color w:val="231F20"/>
          <w:sz w:val="24"/>
        </w:rPr>
        <w:t>d’éducation</w:t>
      </w:r>
      <w:r>
        <w:rPr>
          <w:i/>
          <w:color w:val="231F20"/>
          <w:sz w:val="24"/>
        </w:rPr>
        <w:t> national ont besoin de réparations à hauteur de 6,5 millions de dollars, soit</w:t>
      </w:r>
      <w:r>
        <w:rPr>
          <w:i/>
          <w:color w:val="231F20"/>
          <w:spacing w:val="80"/>
          <w:w w:val="150"/>
          <w:sz w:val="24"/>
        </w:rPr>
        <w:t> </w:t>
      </w:r>
      <w:r>
        <w:rPr>
          <w:i/>
          <w:color w:val="231F20"/>
          <w:sz w:val="24"/>
        </w:rPr>
        <w:t>à peine les préjudices causés par douze heures de blocus.</w:t>
      </w:r>
    </w:p>
    <w:p>
      <w:pPr>
        <w:spacing w:before="164"/>
        <w:ind w:left="675" w:right="1131" w:hanging="261"/>
        <w:jc w:val="both"/>
        <w:rPr>
          <w:sz w:val="24"/>
        </w:rPr>
      </w:pPr>
      <w:r>
        <w:rPr>
          <w:position w:val="3"/>
        </w:rPr>
        <w:drawing>
          <wp:inline distT="0" distB="0" distL="0" distR="0">
            <wp:extent cx="59207" cy="59207"/>
            <wp:effectExtent l="0" t="0" r="0" b="0"/>
            <wp:docPr id="440" name="Image 440"/>
            <wp:cNvGraphicFramePr>
              <a:graphicFrameLocks/>
            </wp:cNvGraphicFramePr>
            <a:graphic>
              <a:graphicData uri="http://schemas.openxmlformats.org/drawingml/2006/picture">
                <pic:pic>
                  <pic:nvPicPr>
                    <pic:cNvPr id="440" name="Image 440"/>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14"/>
          <w:sz w:val="20"/>
        </w:rPr>
        <w:t> </w:t>
      </w:r>
      <w:r>
        <w:rPr>
          <w:color w:val="231F20"/>
          <w:spacing w:val="-2"/>
          <w:sz w:val="24"/>
        </w:rPr>
        <w:t>Les</w:t>
      </w:r>
      <w:r>
        <w:rPr>
          <w:color w:val="231F20"/>
          <w:spacing w:val="-15"/>
          <w:sz w:val="24"/>
        </w:rPr>
        <w:t> </w:t>
      </w:r>
      <w:r>
        <w:rPr>
          <w:color w:val="231F20"/>
          <w:spacing w:val="-2"/>
          <w:sz w:val="24"/>
        </w:rPr>
        <w:t>batteries</w:t>
      </w:r>
      <w:r>
        <w:rPr>
          <w:color w:val="231F20"/>
          <w:spacing w:val="-14"/>
          <w:sz w:val="24"/>
        </w:rPr>
        <w:t> </w:t>
      </w:r>
      <w:r>
        <w:rPr>
          <w:color w:val="231F20"/>
          <w:spacing w:val="-2"/>
          <w:sz w:val="24"/>
        </w:rPr>
        <w:t>de</w:t>
      </w:r>
      <w:r>
        <w:rPr>
          <w:color w:val="231F20"/>
          <w:spacing w:val="-14"/>
          <w:sz w:val="24"/>
        </w:rPr>
        <w:t> </w:t>
      </w:r>
      <w:r>
        <w:rPr>
          <w:color w:val="231F20"/>
          <w:spacing w:val="-2"/>
          <w:sz w:val="24"/>
        </w:rPr>
        <w:t>prothèses</w:t>
      </w:r>
      <w:r>
        <w:rPr>
          <w:color w:val="231F20"/>
          <w:spacing w:val="-15"/>
          <w:sz w:val="24"/>
        </w:rPr>
        <w:t> </w:t>
      </w:r>
      <w:r>
        <w:rPr>
          <w:color w:val="231F20"/>
          <w:spacing w:val="-2"/>
          <w:sz w:val="24"/>
        </w:rPr>
        <w:t>auditives</w:t>
      </w:r>
      <w:r>
        <w:rPr>
          <w:color w:val="231F20"/>
          <w:spacing w:val="-14"/>
          <w:sz w:val="24"/>
        </w:rPr>
        <w:t> </w:t>
      </w:r>
      <w:r>
        <w:rPr>
          <w:color w:val="231F20"/>
          <w:spacing w:val="-2"/>
          <w:sz w:val="24"/>
        </w:rPr>
        <w:t>étant </w:t>
      </w:r>
      <w:r>
        <w:rPr>
          <w:color w:val="231F20"/>
          <w:spacing w:val="-8"/>
          <w:sz w:val="24"/>
        </w:rPr>
        <w:t>pour</w:t>
      </w:r>
      <w:r>
        <w:rPr>
          <w:color w:val="231F20"/>
          <w:spacing w:val="-9"/>
          <w:sz w:val="24"/>
        </w:rPr>
        <w:t> </w:t>
      </w:r>
      <w:r>
        <w:rPr>
          <w:color w:val="231F20"/>
          <w:spacing w:val="-8"/>
          <w:sz w:val="24"/>
        </w:rPr>
        <w:t>la plupart</w:t>
      </w:r>
      <w:r>
        <w:rPr>
          <w:color w:val="231F20"/>
          <w:spacing w:val="-9"/>
          <w:sz w:val="24"/>
        </w:rPr>
        <w:t> </w:t>
      </w:r>
      <w:r>
        <w:rPr>
          <w:color w:val="231F20"/>
          <w:spacing w:val="-8"/>
          <w:sz w:val="24"/>
        </w:rPr>
        <w:t>de fabrication</w:t>
      </w:r>
      <w:r>
        <w:rPr>
          <w:color w:val="231F20"/>
          <w:spacing w:val="-9"/>
          <w:sz w:val="24"/>
        </w:rPr>
        <w:t> </w:t>
      </w:r>
      <w:r>
        <w:rPr>
          <w:color w:val="231F20"/>
          <w:spacing w:val="-8"/>
          <w:sz w:val="24"/>
        </w:rPr>
        <w:t>étasunienne, </w:t>
      </w:r>
      <w:r>
        <w:rPr>
          <w:color w:val="231F20"/>
          <w:sz w:val="24"/>
        </w:rPr>
        <w:t>il</w:t>
      </w:r>
      <w:r>
        <w:rPr>
          <w:color w:val="231F20"/>
          <w:spacing w:val="-5"/>
          <w:sz w:val="24"/>
        </w:rPr>
        <w:t> </w:t>
      </w:r>
      <w:r>
        <w:rPr>
          <w:color w:val="231F20"/>
          <w:sz w:val="24"/>
        </w:rPr>
        <w:t>est</w:t>
      </w:r>
      <w:r>
        <w:rPr>
          <w:color w:val="231F20"/>
          <w:spacing w:val="-5"/>
          <w:sz w:val="24"/>
        </w:rPr>
        <w:t> </w:t>
      </w:r>
      <w:r>
        <w:rPr>
          <w:color w:val="231F20"/>
          <w:sz w:val="24"/>
        </w:rPr>
        <w:t>difficile</w:t>
      </w:r>
      <w:r>
        <w:rPr>
          <w:color w:val="231F20"/>
          <w:spacing w:val="-5"/>
          <w:sz w:val="24"/>
        </w:rPr>
        <w:t> </w:t>
      </w:r>
      <w:r>
        <w:rPr>
          <w:color w:val="231F20"/>
          <w:sz w:val="24"/>
        </w:rPr>
        <w:t>pour</w:t>
      </w:r>
      <w:r>
        <w:rPr>
          <w:color w:val="231F20"/>
          <w:spacing w:val="-5"/>
          <w:sz w:val="24"/>
        </w:rPr>
        <w:t> </w:t>
      </w:r>
      <w:r>
        <w:rPr>
          <w:color w:val="231F20"/>
          <w:sz w:val="24"/>
        </w:rPr>
        <w:t>Cuba</w:t>
      </w:r>
      <w:r>
        <w:rPr>
          <w:color w:val="231F20"/>
          <w:spacing w:val="-5"/>
          <w:sz w:val="24"/>
        </w:rPr>
        <w:t> </w:t>
      </w:r>
      <w:r>
        <w:rPr>
          <w:color w:val="231F20"/>
          <w:sz w:val="24"/>
        </w:rPr>
        <w:t>de</w:t>
      </w:r>
      <w:r>
        <w:rPr>
          <w:color w:val="231F20"/>
          <w:spacing w:val="-5"/>
          <w:sz w:val="24"/>
        </w:rPr>
        <w:t> </w:t>
      </w:r>
      <w:r>
        <w:rPr>
          <w:color w:val="231F20"/>
          <w:sz w:val="24"/>
        </w:rPr>
        <w:t>les</w:t>
      </w:r>
      <w:r>
        <w:rPr>
          <w:color w:val="231F20"/>
          <w:spacing w:val="-5"/>
          <w:sz w:val="24"/>
        </w:rPr>
        <w:t> </w:t>
      </w:r>
      <w:r>
        <w:rPr>
          <w:color w:val="231F20"/>
          <w:sz w:val="24"/>
        </w:rPr>
        <w:t>acquérir, si</w:t>
      </w:r>
      <w:r>
        <w:rPr>
          <w:color w:val="231F20"/>
          <w:spacing w:val="-1"/>
          <w:sz w:val="24"/>
        </w:rPr>
        <w:t> </w:t>
      </w:r>
      <w:r>
        <w:rPr>
          <w:color w:val="231F20"/>
          <w:sz w:val="24"/>
        </w:rPr>
        <w:t>bien</w:t>
      </w:r>
      <w:r>
        <w:rPr>
          <w:color w:val="231F20"/>
          <w:spacing w:val="-1"/>
          <w:sz w:val="24"/>
        </w:rPr>
        <w:t> </w:t>
      </w:r>
      <w:r>
        <w:rPr>
          <w:color w:val="231F20"/>
          <w:sz w:val="24"/>
        </w:rPr>
        <w:t>que</w:t>
      </w:r>
      <w:r>
        <w:rPr>
          <w:color w:val="231F20"/>
          <w:spacing w:val="-1"/>
          <w:sz w:val="24"/>
        </w:rPr>
        <w:t> </w:t>
      </w:r>
      <w:r>
        <w:rPr>
          <w:color w:val="231F20"/>
          <w:sz w:val="24"/>
        </w:rPr>
        <w:t>219</w:t>
      </w:r>
      <w:r>
        <w:rPr>
          <w:color w:val="231F20"/>
          <w:spacing w:val="-1"/>
          <w:sz w:val="24"/>
        </w:rPr>
        <w:t> </w:t>
      </w:r>
      <w:r>
        <w:rPr>
          <w:color w:val="231F20"/>
          <w:sz w:val="24"/>
        </w:rPr>
        <w:t>élèves</w:t>
      </w:r>
      <w:r>
        <w:rPr>
          <w:color w:val="231F20"/>
          <w:spacing w:val="-1"/>
          <w:sz w:val="24"/>
        </w:rPr>
        <w:t> </w:t>
      </w:r>
      <w:r>
        <w:rPr>
          <w:color w:val="231F20"/>
          <w:sz w:val="24"/>
        </w:rPr>
        <w:t>sur</w:t>
      </w:r>
      <w:r>
        <w:rPr>
          <w:color w:val="231F20"/>
          <w:spacing w:val="-1"/>
          <w:sz w:val="24"/>
        </w:rPr>
        <w:t> </w:t>
      </w:r>
      <w:r>
        <w:rPr>
          <w:color w:val="231F20"/>
          <w:sz w:val="24"/>
        </w:rPr>
        <w:t>920</w:t>
      </w:r>
      <w:r>
        <w:rPr>
          <w:color w:val="231F20"/>
          <w:spacing w:val="-1"/>
          <w:sz w:val="24"/>
        </w:rPr>
        <w:t> </w:t>
      </w:r>
      <w:r>
        <w:rPr>
          <w:color w:val="231F20"/>
          <w:sz w:val="24"/>
        </w:rPr>
        <w:t>en</w:t>
      </w:r>
      <w:r>
        <w:rPr>
          <w:color w:val="231F20"/>
          <w:spacing w:val="-1"/>
          <w:sz w:val="24"/>
        </w:rPr>
        <w:t> </w:t>
      </w:r>
      <w:r>
        <w:rPr>
          <w:color w:val="231F20"/>
          <w:sz w:val="24"/>
        </w:rPr>
        <w:t>ayant besoin </w:t>
      </w:r>
      <w:r>
        <w:rPr>
          <w:i/>
          <w:color w:val="231F20"/>
          <w:sz w:val="24"/>
        </w:rPr>
        <w:t>(sur un total de 1 152 élèves à</w:t>
      </w:r>
      <w:r>
        <w:rPr>
          <w:i/>
          <w:color w:val="231F20"/>
          <w:sz w:val="24"/>
        </w:rPr>
        <w:t> problèmes de surdité) ne peuvent plus </w:t>
      </w:r>
      <w:r>
        <w:rPr>
          <w:i/>
          <w:color w:val="231F20"/>
          <w:spacing w:val="-2"/>
          <w:sz w:val="24"/>
        </w:rPr>
        <w:t>utiliser</w:t>
      </w:r>
      <w:r>
        <w:rPr>
          <w:i/>
          <w:color w:val="231F20"/>
          <w:spacing w:val="-15"/>
          <w:sz w:val="24"/>
        </w:rPr>
        <w:t> </w:t>
      </w:r>
      <w:r>
        <w:rPr>
          <w:i/>
          <w:color w:val="231F20"/>
          <w:spacing w:val="-2"/>
          <w:sz w:val="24"/>
        </w:rPr>
        <w:t>leurs</w:t>
      </w:r>
      <w:r>
        <w:rPr>
          <w:i/>
          <w:color w:val="231F20"/>
          <w:spacing w:val="-15"/>
          <w:sz w:val="24"/>
        </w:rPr>
        <w:t> </w:t>
      </w:r>
      <w:r>
        <w:rPr>
          <w:i/>
          <w:color w:val="231F20"/>
          <w:spacing w:val="-2"/>
          <w:sz w:val="24"/>
        </w:rPr>
        <w:t>prothèses</w:t>
      </w:r>
      <w:r>
        <w:rPr>
          <w:i/>
          <w:color w:val="231F20"/>
          <w:spacing w:val="-15"/>
          <w:sz w:val="24"/>
        </w:rPr>
        <w:t> </w:t>
      </w:r>
      <w:r>
        <w:rPr>
          <w:i/>
          <w:color w:val="231F20"/>
          <w:spacing w:val="-2"/>
          <w:sz w:val="24"/>
        </w:rPr>
        <w:t>pour</w:t>
      </w:r>
      <w:r>
        <w:rPr>
          <w:i/>
          <w:color w:val="231F20"/>
          <w:spacing w:val="-15"/>
          <w:sz w:val="24"/>
        </w:rPr>
        <w:t> </w:t>
      </w:r>
      <w:r>
        <w:rPr>
          <w:i/>
          <w:color w:val="231F20"/>
          <w:spacing w:val="-2"/>
          <w:sz w:val="24"/>
        </w:rPr>
        <w:t>le</w:t>
      </w:r>
      <w:r>
        <w:rPr>
          <w:i/>
          <w:color w:val="231F20"/>
          <w:spacing w:val="-15"/>
          <w:sz w:val="24"/>
        </w:rPr>
        <w:t> </w:t>
      </w:r>
      <w:r>
        <w:rPr>
          <w:i/>
          <w:color w:val="231F20"/>
          <w:spacing w:val="-2"/>
          <w:sz w:val="24"/>
        </w:rPr>
        <w:t>moment</w:t>
      </w:r>
      <w:r>
        <w:rPr>
          <w:color w:val="231F20"/>
          <w:spacing w:val="-2"/>
          <w:sz w:val="24"/>
        </w:rPr>
        <w:t>.</w:t>
      </w:r>
    </w:p>
    <w:p>
      <w:pPr>
        <w:pStyle w:val="BodyText"/>
        <w:spacing w:before="166"/>
        <w:ind w:left="675" w:right="1131" w:hanging="261"/>
      </w:pPr>
      <w:r>
        <w:rPr>
          <w:position w:val="3"/>
        </w:rPr>
        <w:drawing>
          <wp:inline distT="0" distB="0" distL="0" distR="0">
            <wp:extent cx="59207" cy="59207"/>
            <wp:effectExtent l="0" t="0" r="0" b="0"/>
            <wp:docPr id="441" name="Image 441"/>
            <wp:cNvGraphicFramePr>
              <a:graphicFrameLocks/>
            </wp:cNvGraphicFramePr>
            <a:graphic>
              <a:graphicData uri="http://schemas.openxmlformats.org/drawingml/2006/picture">
                <pic:pic>
                  <pic:nvPicPr>
                    <pic:cNvPr id="441" name="Image 441"/>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L’État</w:t>
      </w:r>
      <w:r>
        <w:rPr>
          <w:color w:val="231F20"/>
          <w:spacing w:val="40"/>
        </w:rPr>
        <w:t> </w:t>
      </w:r>
      <w:r>
        <w:rPr>
          <w:color w:val="231F20"/>
        </w:rPr>
        <w:t>cubain</w:t>
      </w:r>
      <w:r>
        <w:rPr>
          <w:color w:val="231F20"/>
          <w:spacing w:val="40"/>
        </w:rPr>
        <w:t> </w:t>
      </w:r>
      <w:r>
        <w:rPr>
          <w:color w:val="231F20"/>
        </w:rPr>
        <w:t>subventionne</w:t>
      </w:r>
      <w:r>
        <w:rPr>
          <w:color w:val="231F20"/>
          <w:spacing w:val="40"/>
        </w:rPr>
        <w:t> </w:t>
      </w:r>
      <w:r>
        <w:rPr>
          <w:color w:val="231F20"/>
        </w:rPr>
        <w:t>la</w:t>
      </w:r>
      <w:r>
        <w:rPr>
          <w:color w:val="231F20"/>
          <w:spacing w:val="40"/>
        </w:rPr>
        <w:t> </w:t>
      </w:r>
      <w:r>
        <w:rPr>
          <w:color w:val="231F20"/>
        </w:rPr>
        <w:t>moitié du coût de l’uniforme scolaire. Mais les effets</w:t>
      </w:r>
      <w:r>
        <w:rPr>
          <w:color w:val="231F20"/>
          <w:spacing w:val="-8"/>
        </w:rPr>
        <w:t> </w:t>
      </w:r>
      <w:r>
        <w:rPr>
          <w:color w:val="231F20"/>
        </w:rPr>
        <w:t>du</w:t>
      </w:r>
      <w:r>
        <w:rPr>
          <w:color w:val="231F20"/>
          <w:spacing w:val="-8"/>
        </w:rPr>
        <w:t> </w:t>
      </w:r>
      <w:r>
        <w:rPr>
          <w:color w:val="231F20"/>
        </w:rPr>
        <w:t>blocus</w:t>
      </w:r>
      <w:r>
        <w:rPr>
          <w:color w:val="231F20"/>
          <w:spacing w:val="-8"/>
        </w:rPr>
        <w:t> </w:t>
      </w:r>
      <w:r>
        <w:rPr>
          <w:color w:val="231F20"/>
        </w:rPr>
        <w:t>entraînent</w:t>
      </w:r>
      <w:r>
        <w:rPr>
          <w:color w:val="231F20"/>
          <w:spacing w:val="-8"/>
        </w:rPr>
        <w:t> </w:t>
      </w:r>
      <w:r>
        <w:rPr>
          <w:color w:val="231F20"/>
        </w:rPr>
        <w:t>une</w:t>
      </w:r>
      <w:r>
        <w:rPr>
          <w:color w:val="231F20"/>
          <w:spacing w:val="-8"/>
        </w:rPr>
        <w:t> </w:t>
      </w:r>
      <w:r>
        <w:rPr>
          <w:color w:val="231F20"/>
        </w:rPr>
        <w:t>pénurie des matières premières qui permettent de</w:t>
      </w:r>
      <w:r>
        <w:rPr>
          <w:color w:val="231F20"/>
          <w:spacing w:val="20"/>
        </w:rPr>
        <w:t> </w:t>
      </w:r>
      <w:r>
        <w:rPr>
          <w:color w:val="231F20"/>
        </w:rPr>
        <w:t>le</w:t>
      </w:r>
      <w:r>
        <w:rPr>
          <w:color w:val="231F20"/>
          <w:spacing w:val="21"/>
        </w:rPr>
        <w:t> </w:t>
      </w:r>
      <w:r>
        <w:rPr>
          <w:color w:val="231F20"/>
        </w:rPr>
        <w:t>confectionner</w:t>
      </w:r>
      <w:r>
        <w:rPr>
          <w:color w:val="231F20"/>
          <w:spacing w:val="21"/>
        </w:rPr>
        <w:t> </w:t>
      </w:r>
      <w:r>
        <w:rPr>
          <w:color w:val="231F20"/>
        </w:rPr>
        <w:t>et</w:t>
      </w:r>
      <w:r>
        <w:rPr>
          <w:color w:val="231F20"/>
          <w:spacing w:val="20"/>
        </w:rPr>
        <w:t> </w:t>
      </w:r>
      <w:r>
        <w:rPr>
          <w:color w:val="231F20"/>
        </w:rPr>
        <w:t>des</w:t>
      </w:r>
      <w:r>
        <w:rPr>
          <w:color w:val="231F20"/>
          <w:spacing w:val="21"/>
        </w:rPr>
        <w:t> </w:t>
      </w:r>
      <w:r>
        <w:rPr>
          <w:color w:val="231F20"/>
        </w:rPr>
        <w:t>difficultés</w:t>
      </w:r>
      <w:r>
        <w:rPr>
          <w:color w:val="231F20"/>
          <w:spacing w:val="21"/>
        </w:rPr>
        <w:t> </w:t>
      </w:r>
      <w:r>
        <w:rPr>
          <w:color w:val="231F20"/>
          <w:spacing w:val="-10"/>
        </w:rPr>
        <w:t>à</w:t>
      </w:r>
    </w:p>
    <w:p>
      <w:pPr>
        <w:spacing w:after="0"/>
        <w:sectPr>
          <w:pgSz w:w="11910" w:h="16840"/>
          <w:pgMar w:header="0" w:footer="695" w:top="1260" w:bottom="880" w:left="0" w:right="0"/>
          <w:cols w:num="2" w:equalWidth="0">
            <w:col w:w="5895" w:space="40"/>
            <w:col w:w="5975"/>
          </w:cols>
        </w:sectPr>
      </w:pPr>
    </w:p>
    <w:p>
      <w:pPr>
        <w:pStyle w:val="BodyText"/>
        <w:spacing w:before="77"/>
        <w:ind w:left="1394"/>
      </w:pPr>
      <w:r>
        <w:rPr>
          <w:color w:val="231F20"/>
        </w:rPr>
        <w:t>améliorer le mobilier scolaire, dans la mesure</w:t>
      </w:r>
      <w:r>
        <w:rPr>
          <w:color w:val="231F20"/>
          <w:spacing w:val="-14"/>
        </w:rPr>
        <w:t> </w:t>
      </w:r>
      <w:r>
        <w:rPr>
          <w:color w:val="231F20"/>
        </w:rPr>
        <w:t>où</w:t>
      </w:r>
      <w:r>
        <w:rPr>
          <w:color w:val="231F20"/>
          <w:spacing w:val="-14"/>
        </w:rPr>
        <w:t> </w:t>
      </w:r>
      <w:r>
        <w:rPr>
          <w:color w:val="231F20"/>
        </w:rPr>
        <w:t>le</w:t>
      </w:r>
      <w:r>
        <w:rPr>
          <w:color w:val="231F20"/>
          <w:spacing w:val="-14"/>
        </w:rPr>
        <w:t> </w:t>
      </w:r>
      <w:r>
        <w:rPr>
          <w:color w:val="231F20"/>
        </w:rPr>
        <w:t>pays</w:t>
      </w:r>
      <w:r>
        <w:rPr>
          <w:color w:val="231F20"/>
          <w:spacing w:val="-14"/>
        </w:rPr>
        <w:t> </w:t>
      </w:r>
      <w:r>
        <w:rPr>
          <w:color w:val="231F20"/>
        </w:rPr>
        <w:t>doit</w:t>
      </w:r>
      <w:r>
        <w:rPr>
          <w:color w:val="231F20"/>
          <w:spacing w:val="-14"/>
        </w:rPr>
        <w:t> </w:t>
      </w:r>
      <w:r>
        <w:rPr>
          <w:color w:val="231F20"/>
        </w:rPr>
        <w:t>dépenser</w:t>
      </w:r>
      <w:r>
        <w:rPr>
          <w:color w:val="231F20"/>
          <w:spacing w:val="-14"/>
        </w:rPr>
        <w:t> </w:t>
      </w:r>
      <w:r>
        <w:rPr>
          <w:color w:val="231F20"/>
        </w:rPr>
        <w:t>quatre </w:t>
      </w:r>
      <w:r>
        <w:rPr>
          <w:color w:val="231F20"/>
          <w:spacing w:val="-4"/>
        </w:rPr>
        <w:t>ou</w:t>
      </w:r>
      <w:r>
        <w:rPr>
          <w:color w:val="231F20"/>
          <w:spacing w:val="-30"/>
        </w:rPr>
        <w:t> </w:t>
      </w:r>
      <w:r>
        <w:rPr>
          <w:color w:val="231F20"/>
          <w:spacing w:val="-4"/>
        </w:rPr>
        <w:t>cinq</w:t>
      </w:r>
      <w:r>
        <w:rPr>
          <w:color w:val="231F20"/>
          <w:spacing w:val="-30"/>
        </w:rPr>
        <w:t> </w:t>
      </w:r>
      <w:r>
        <w:rPr>
          <w:color w:val="231F20"/>
          <w:spacing w:val="-4"/>
        </w:rPr>
        <w:t>fois</w:t>
      </w:r>
      <w:r>
        <w:rPr>
          <w:color w:val="231F20"/>
          <w:spacing w:val="-30"/>
        </w:rPr>
        <w:t> </w:t>
      </w:r>
      <w:r>
        <w:rPr>
          <w:color w:val="231F20"/>
          <w:spacing w:val="-4"/>
        </w:rPr>
        <w:t>plus</w:t>
      </w:r>
      <w:r>
        <w:rPr>
          <w:color w:val="231F20"/>
          <w:spacing w:val="-30"/>
        </w:rPr>
        <w:t> </w:t>
      </w:r>
      <w:r>
        <w:rPr>
          <w:color w:val="231F20"/>
          <w:spacing w:val="-4"/>
        </w:rPr>
        <w:t>sur</w:t>
      </w:r>
      <w:r>
        <w:rPr>
          <w:color w:val="231F20"/>
          <w:spacing w:val="-30"/>
        </w:rPr>
        <w:t> </w:t>
      </w:r>
      <w:r>
        <w:rPr>
          <w:color w:val="231F20"/>
          <w:spacing w:val="-4"/>
        </w:rPr>
        <w:t>des</w:t>
      </w:r>
      <w:r>
        <w:rPr>
          <w:color w:val="231F20"/>
          <w:spacing w:val="-30"/>
        </w:rPr>
        <w:t> </w:t>
      </w:r>
      <w:r>
        <w:rPr>
          <w:color w:val="231F20"/>
          <w:spacing w:val="-4"/>
        </w:rPr>
        <w:t>marchés</w:t>
      </w:r>
      <w:r>
        <w:rPr>
          <w:color w:val="231F20"/>
          <w:spacing w:val="-29"/>
        </w:rPr>
        <w:t> </w:t>
      </w:r>
      <w:r>
        <w:rPr>
          <w:color w:val="231F20"/>
          <w:spacing w:val="-6"/>
        </w:rPr>
        <w:t>éloignés.</w:t>
      </w:r>
    </w:p>
    <w:p>
      <w:pPr>
        <w:pStyle w:val="BodyText"/>
        <w:spacing w:before="162"/>
        <w:ind w:left="1394" w:hanging="262"/>
      </w:pPr>
      <w:r>
        <w:rPr>
          <w:position w:val="3"/>
        </w:rPr>
        <w:drawing>
          <wp:inline distT="0" distB="0" distL="0" distR="0">
            <wp:extent cx="59207" cy="59207"/>
            <wp:effectExtent l="0" t="0" r="0" b="0"/>
            <wp:docPr id="442" name="Image 442"/>
            <wp:cNvGraphicFramePr>
              <a:graphicFrameLocks/>
            </wp:cNvGraphicFramePr>
            <a:graphic>
              <a:graphicData uri="http://schemas.openxmlformats.org/drawingml/2006/picture">
                <pic:pic>
                  <pic:nvPicPr>
                    <pic:cNvPr id="442" name="Image 442"/>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Parce que destiné à une entité de droit cubaine, l’University College London n’a</w:t>
      </w:r>
      <w:r>
        <w:rPr>
          <w:color w:val="231F20"/>
          <w:spacing w:val="-2"/>
        </w:rPr>
        <w:t> </w:t>
      </w:r>
      <w:r>
        <w:rPr>
          <w:color w:val="231F20"/>
        </w:rPr>
        <w:t>pu</w:t>
      </w:r>
      <w:r>
        <w:rPr>
          <w:color w:val="231F20"/>
          <w:spacing w:val="-2"/>
        </w:rPr>
        <w:t> </w:t>
      </w:r>
      <w:r>
        <w:rPr>
          <w:color w:val="231F20"/>
        </w:rPr>
        <w:t>acheter</w:t>
      </w:r>
      <w:r>
        <w:rPr>
          <w:color w:val="231F20"/>
          <w:spacing w:val="-2"/>
        </w:rPr>
        <w:t> </w:t>
      </w:r>
      <w:r>
        <w:rPr>
          <w:color w:val="231F20"/>
        </w:rPr>
        <w:t>ni</w:t>
      </w:r>
      <w:r>
        <w:rPr>
          <w:color w:val="231F20"/>
          <w:spacing w:val="-2"/>
        </w:rPr>
        <w:t> </w:t>
      </w:r>
      <w:r>
        <w:rPr>
          <w:color w:val="231F20"/>
        </w:rPr>
        <w:t>envoyer</w:t>
      </w:r>
      <w:r>
        <w:rPr>
          <w:color w:val="231F20"/>
          <w:spacing w:val="-2"/>
        </w:rPr>
        <w:t> </w:t>
      </w:r>
      <w:r>
        <w:rPr>
          <w:color w:val="231F20"/>
        </w:rPr>
        <w:t>l’équipement informatique prévu dans le cadre d’un projet mixte avec l’Institut universitaire de</w:t>
      </w:r>
      <w:r>
        <w:rPr>
          <w:color w:val="231F20"/>
          <w:spacing w:val="-11"/>
        </w:rPr>
        <w:t> </w:t>
      </w:r>
      <w:r>
        <w:rPr>
          <w:color w:val="231F20"/>
        </w:rPr>
        <w:t>technologie</w:t>
      </w:r>
      <w:r>
        <w:rPr>
          <w:color w:val="231F20"/>
          <w:spacing w:val="-11"/>
        </w:rPr>
        <w:t> </w:t>
      </w:r>
      <w:r>
        <w:rPr>
          <w:color w:val="231F20"/>
        </w:rPr>
        <w:t>José</w:t>
      </w:r>
      <w:r>
        <w:rPr>
          <w:color w:val="231F20"/>
          <w:spacing w:val="-11"/>
        </w:rPr>
        <w:t> </w:t>
      </w:r>
      <w:r>
        <w:rPr>
          <w:color w:val="231F20"/>
        </w:rPr>
        <w:t>Antonio</w:t>
      </w:r>
      <w:r>
        <w:rPr>
          <w:color w:val="231F20"/>
          <w:spacing w:val="-11"/>
        </w:rPr>
        <w:t> </w:t>
      </w:r>
      <w:r>
        <w:rPr>
          <w:color w:val="231F20"/>
        </w:rPr>
        <w:t>Echeverría (CUJAE), de La Havane.</w:t>
      </w:r>
    </w:p>
    <w:p>
      <w:pPr>
        <w:pStyle w:val="BodyText"/>
        <w:spacing w:before="166"/>
        <w:ind w:left="1394" w:right="3" w:hanging="261"/>
      </w:pPr>
      <w:r>
        <w:rPr>
          <w:position w:val="3"/>
        </w:rPr>
        <w:drawing>
          <wp:inline distT="0" distB="0" distL="0" distR="0">
            <wp:extent cx="59207" cy="59207"/>
            <wp:effectExtent l="0" t="0" r="0" b="0"/>
            <wp:docPr id="443" name="Image 443"/>
            <wp:cNvGraphicFramePr>
              <a:graphicFrameLocks/>
            </wp:cNvGraphicFramePr>
            <a:graphic>
              <a:graphicData uri="http://schemas.openxmlformats.org/drawingml/2006/picture">
                <pic:pic>
                  <pic:nvPicPr>
                    <pic:cNvPr id="443" name="Image 443"/>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Les</w:t>
      </w:r>
      <w:r>
        <w:rPr>
          <w:color w:val="231F20"/>
          <w:spacing w:val="-17"/>
        </w:rPr>
        <w:t> </w:t>
      </w:r>
      <w:r>
        <w:rPr>
          <w:color w:val="231F20"/>
        </w:rPr>
        <w:t>adresses</w:t>
      </w:r>
      <w:r>
        <w:rPr>
          <w:color w:val="231F20"/>
          <w:spacing w:val="-16"/>
        </w:rPr>
        <w:t> </w:t>
      </w:r>
      <w:r>
        <w:rPr>
          <w:color w:val="231F20"/>
        </w:rPr>
        <w:t>cubaines</w:t>
      </w:r>
      <w:r>
        <w:rPr>
          <w:color w:val="231F20"/>
          <w:spacing w:val="-17"/>
        </w:rPr>
        <w:t> </w:t>
      </w:r>
      <w:r>
        <w:rPr>
          <w:color w:val="231F20"/>
        </w:rPr>
        <w:t>IP</w:t>
      </w:r>
      <w:r>
        <w:rPr>
          <w:color w:val="231F20"/>
          <w:spacing w:val="-16"/>
        </w:rPr>
        <w:t> </w:t>
      </w:r>
      <w:r>
        <w:rPr>
          <w:color w:val="231F20"/>
        </w:rPr>
        <w:t>étant</w:t>
      </w:r>
      <w:r>
        <w:rPr>
          <w:color w:val="231F20"/>
          <w:spacing w:val="-16"/>
        </w:rPr>
        <w:t> </w:t>
      </w:r>
      <w:r>
        <w:rPr>
          <w:color w:val="231F20"/>
        </w:rPr>
        <w:t>bloquées, </w:t>
      </w:r>
      <w:r>
        <w:rPr>
          <w:color w:val="231F20"/>
          <w:spacing w:val="-2"/>
        </w:rPr>
        <w:t>les</w:t>
      </w:r>
      <w:r>
        <w:rPr>
          <w:color w:val="231F20"/>
          <w:spacing w:val="-15"/>
        </w:rPr>
        <w:t> </w:t>
      </w:r>
      <w:r>
        <w:rPr>
          <w:color w:val="231F20"/>
          <w:spacing w:val="-2"/>
        </w:rPr>
        <w:t>étudiants</w:t>
      </w:r>
      <w:r>
        <w:rPr>
          <w:color w:val="231F20"/>
          <w:spacing w:val="-14"/>
        </w:rPr>
        <w:t> </w:t>
      </w:r>
      <w:r>
        <w:rPr>
          <w:color w:val="231F20"/>
          <w:spacing w:val="-2"/>
        </w:rPr>
        <w:t>de</w:t>
      </w:r>
      <w:r>
        <w:rPr>
          <w:color w:val="231F20"/>
          <w:spacing w:val="-15"/>
        </w:rPr>
        <w:t> </w:t>
      </w:r>
      <w:r>
        <w:rPr>
          <w:color w:val="231F20"/>
          <w:spacing w:val="-2"/>
        </w:rPr>
        <w:t>l’Université</w:t>
      </w:r>
      <w:r>
        <w:rPr>
          <w:color w:val="231F20"/>
          <w:spacing w:val="-14"/>
        </w:rPr>
        <w:t> </w:t>
      </w:r>
      <w:r>
        <w:rPr>
          <w:color w:val="231F20"/>
          <w:spacing w:val="-2"/>
        </w:rPr>
        <w:t>des</w:t>
      </w:r>
      <w:r>
        <w:rPr>
          <w:color w:val="231F20"/>
          <w:spacing w:val="-15"/>
        </w:rPr>
        <w:t> </w:t>
      </w:r>
      <w:r>
        <w:rPr>
          <w:color w:val="231F20"/>
          <w:spacing w:val="-2"/>
        </w:rPr>
        <w:t>sciences </w:t>
      </w:r>
      <w:r>
        <w:rPr>
          <w:color w:val="231F20"/>
          <w:spacing w:val="-4"/>
        </w:rPr>
        <w:t>informatiques,</w:t>
      </w:r>
      <w:r>
        <w:rPr>
          <w:color w:val="231F20"/>
          <w:spacing w:val="-12"/>
        </w:rPr>
        <w:t> </w:t>
      </w:r>
      <w:r>
        <w:rPr>
          <w:color w:val="231F20"/>
          <w:spacing w:val="-4"/>
        </w:rPr>
        <w:t>de</w:t>
      </w:r>
      <w:r>
        <w:rPr>
          <w:color w:val="231F20"/>
          <w:spacing w:val="-12"/>
        </w:rPr>
        <w:t> </w:t>
      </w:r>
      <w:r>
        <w:rPr>
          <w:color w:val="231F20"/>
          <w:spacing w:val="-4"/>
        </w:rPr>
        <w:t>La</w:t>
      </w:r>
      <w:r>
        <w:rPr>
          <w:color w:val="231F20"/>
          <w:spacing w:val="-12"/>
        </w:rPr>
        <w:t> </w:t>
      </w:r>
      <w:r>
        <w:rPr>
          <w:color w:val="231F20"/>
          <w:spacing w:val="-4"/>
        </w:rPr>
        <w:t>Havane,</w:t>
      </w:r>
      <w:r>
        <w:rPr>
          <w:color w:val="231F20"/>
          <w:spacing w:val="-12"/>
        </w:rPr>
        <w:t> </w:t>
      </w:r>
      <w:r>
        <w:rPr>
          <w:color w:val="231F20"/>
          <w:spacing w:val="-4"/>
        </w:rPr>
        <w:t>ne</w:t>
      </w:r>
      <w:r>
        <w:rPr>
          <w:color w:val="231F20"/>
          <w:spacing w:val="-12"/>
        </w:rPr>
        <w:t> </w:t>
      </w:r>
      <w:r>
        <w:rPr>
          <w:color w:val="231F20"/>
          <w:spacing w:val="-4"/>
        </w:rPr>
        <w:t>peuvent </w:t>
      </w:r>
      <w:r>
        <w:rPr>
          <w:color w:val="231F20"/>
          <w:spacing w:val="-12"/>
        </w:rPr>
        <w:t>accéder</w:t>
      </w:r>
      <w:r>
        <w:rPr>
          <w:color w:val="231F20"/>
          <w:spacing w:val="-5"/>
        </w:rPr>
        <w:t> </w:t>
      </w:r>
      <w:r>
        <w:rPr>
          <w:color w:val="231F20"/>
          <w:spacing w:val="-12"/>
        </w:rPr>
        <w:t>à</w:t>
      </w:r>
      <w:r>
        <w:rPr>
          <w:color w:val="231F20"/>
          <w:spacing w:val="-4"/>
        </w:rPr>
        <w:t> </w:t>
      </w:r>
      <w:r>
        <w:rPr>
          <w:color w:val="231F20"/>
          <w:spacing w:val="-12"/>
        </w:rPr>
        <w:t>plus</w:t>
      </w:r>
      <w:r>
        <w:rPr>
          <w:color w:val="231F20"/>
          <w:spacing w:val="-5"/>
        </w:rPr>
        <w:t> </w:t>
      </w:r>
      <w:r>
        <w:rPr>
          <w:color w:val="231F20"/>
          <w:spacing w:val="-12"/>
        </w:rPr>
        <w:t>de</w:t>
      </w:r>
      <w:r>
        <w:rPr>
          <w:color w:val="231F20"/>
          <w:spacing w:val="-4"/>
        </w:rPr>
        <w:t> </w:t>
      </w:r>
      <w:r>
        <w:rPr>
          <w:color w:val="231F20"/>
          <w:spacing w:val="-12"/>
        </w:rPr>
        <w:t>trois</w:t>
      </w:r>
      <w:r>
        <w:rPr>
          <w:color w:val="231F20"/>
          <w:spacing w:val="-5"/>
        </w:rPr>
        <w:t> </w:t>
      </w:r>
      <w:r>
        <w:rPr>
          <w:color w:val="231F20"/>
          <w:spacing w:val="-12"/>
        </w:rPr>
        <w:t>cents</w:t>
      </w:r>
      <w:r>
        <w:rPr>
          <w:color w:val="231F20"/>
          <w:spacing w:val="-4"/>
        </w:rPr>
        <w:t> </w:t>
      </w:r>
      <w:r>
        <w:rPr>
          <w:color w:val="231F20"/>
          <w:spacing w:val="-12"/>
        </w:rPr>
        <w:t>sites</w:t>
      </w:r>
      <w:r>
        <w:rPr>
          <w:color w:val="231F20"/>
          <w:spacing w:val="-5"/>
        </w:rPr>
        <w:t> </w:t>
      </w:r>
      <w:r>
        <w:rPr>
          <w:color w:val="231F20"/>
          <w:spacing w:val="-12"/>
        </w:rPr>
        <w:t>d’Internet </w:t>
      </w:r>
      <w:r>
        <w:rPr>
          <w:color w:val="231F20"/>
        </w:rPr>
        <w:t>dédiés aux informaticiens, et donc </w:t>
      </w:r>
      <w:r>
        <w:rPr>
          <w:color w:val="231F20"/>
          <w:spacing w:val="-2"/>
        </w:rPr>
        <w:t>télécharger</w:t>
      </w:r>
      <w:r>
        <w:rPr>
          <w:color w:val="231F20"/>
          <w:spacing w:val="-15"/>
        </w:rPr>
        <w:t> </w:t>
      </w:r>
      <w:r>
        <w:rPr>
          <w:color w:val="231F20"/>
          <w:spacing w:val="-2"/>
        </w:rPr>
        <w:t>des</w:t>
      </w:r>
      <w:r>
        <w:rPr>
          <w:color w:val="231F20"/>
          <w:spacing w:val="-14"/>
        </w:rPr>
        <w:t> </w:t>
      </w:r>
      <w:r>
        <w:rPr>
          <w:color w:val="231F20"/>
          <w:spacing w:val="-2"/>
        </w:rPr>
        <w:t>ressources</w:t>
      </w:r>
      <w:r>
        <w:rPr>
          <w:color w:val="231F20"/>
          <w:spacing w:val="-15"/>
        </w:rPr>
        <w:t> </w:t>
      </w:r>
      <w:r>
        <w:rPr>
          <w:color w:val="231F20"/>
          <w:spacing w:val="-2"/>
        </w:rPr>
        <w:t>pour</w:t>
      </w:r>
      <w:r>
        <w:rPr>
          <w:color w:val="231F20"/>
          <w:spacing w:val="-14"/>
        </w:rPr>
        <w:t> </w:t>
      </w:r>
      <w:r>
        <w:rPr>
          <w:color w:val="231F20"/>
          <w:spacing w:val="-2"/>
        </w:rPr>
        <w:t>installer </w:t>
      </w:r>
      <w:r>
        <w:rPr>
          <w:color w:val="231F20"/>
          <w:spacing w:val="-6"/>
        </w:rPr>
        <w:t>ou</w:t>
      </w:r>
      <w:r>
        <w:rPr>
          <w:color w:val="231F20"/>
          <w:spacing w:val="-8"/>
        </w:rPr>
        <w:t> </w:t>
      </w:r>
      <w:r>
        <w:rPr>
          <w:color w:val="231F20"/>
          <w:spacing w:val="-6"/>
        </w:rPr>
        <w:t>mettre</w:t>
      </w:r>
      <w:r>
        <w:rPr>
          <w:color w:val="231F20"/>
          <w:spacing w:val="-8"/>
        </w:rPr>
        <w:t> </w:t>
      </w:r>
      <w:r>
        <w:rPr>
          <w:color w:val="231F20"/>
          <w:spacing w:val="-6"/>
        </w:rPr>
        <w:t>à</w:t>
      </w:r>
      <w:r>
        <w:rPr>
          <w:color w:val="231F20"/>
          <w:spacing w:val="-8"/>
        </w:rPr>
        <w:t> </w:t>
      </w:r>
      <w:r>
        <w:rPr>
          <w:color w:val="231F20"/>
          <w:spacing w:val="-6"/>
        </w:rPr>
        <w:t>jour</w:t>
      </w:r>
      <w:r>
        <w:rPr>
          <w:color w:val="231F20"/>
          <w:spacing w:val="-8"/>
        </w:rPr>
        <w:t> </w:t>
      </w:r>
      <w:r>
        <w:rPr>
          <w:color w:val="231F20"/>
          <w:spacing w:val="-6"/>
        </w:rPr>
        <w:t>des</w:t>
      </w:r>
      <w:r>
        <w:rPr>
          <w:color w:val="231F20"/>
          <w:spacing w:val="-8"/>
        </w:rPr>
        <w:t> </w:t>
      </w:r>
      <w:r>
        <w:rPr>
          <w:color w:val="231F20"/>
          <w:spacing w:val="-6"/>
        </w:rPr>
        <w:t>technologies,</w:t>
      </w:r>
      <w:r>
        <w:rPr>
          <w:color w:val="231F20"/>
          <w:spacing w:val="-8"/>
        </w:rPr>
        <w:t> </w:t>
      </w:r>
      <w:r>
        <w:rPr>
          <w:color w:val="231F20"/>
          <w:spacing w:val="-6"/>
        </w:rPr>
        <w:t>ce</w:t>
      </w:r>
      <w:r>
        <w:rPr>
          <w:color w:val="231F20"/>
          <w:spacing w:val="-8"/>
        </w:rPr>
        <w:t> </w:t>
      </w:r>
      <w:r>
        <w:rPr>
          <w:color w:val="231F20"/>
          <w:spacing w:val="-6"/>
        </w:rPr>
        <w:t>qui, </w:t>
      </w:r>
      <w:r>
        <w:rPr>
          <w:color w:val="231F20"/>
          <w:spacing w:val="-4"/>
        </w:rPr>
        <w:t>parallèlement,</w:t>
      </w:r>
      <w:r>
        <w:rPr>
          <w:color w:val="231F20"/>
          <w:spacing w:val="-13"/>
        </w:rPr>
        <w:t> </w:t>
      </w:r>
      <w:r>
        <w:rPr>
          <w:color w:val="231F20"/>
          <w:spacing w:val="-4"/>
        </w:rPr>
        <w:t>entrave</w:t>
      </w:r>
      <w:r>
        <w:rPr>
          <w:color w:val="231F20"/>
          <w:spacing w:val="-12"/>
        </w:rPr>
        <w:t> </w:t>
      </w:r>
      <w:r>
        <w:rPr>
          <w:color w:val="231F20"/>
          <w:spacing w:val="-4"/>
        </w:rPr>
        <w:t>le</w:t>
      </w:r>
      <w:r>
        <w:rPr>
          <w:color w:val="231F20"/>
          <w:spacing w:val="-13"/>
        </w:rPr>
        <w:t> </w:t>
      </w:r>
      <w:r>
        <w:rPr>
          <w:color w:val="231F20"/>
          <w:spacing w:val="-4"/>
        </w:rPr>
        <w:t>développement </w:t>
      </w:r>
      <w:r>
        <w:rPr>
          <w:color w:val="231F20"/>
          <w:spacing w:val="-10"/>
        </w:rPr>
        <w:t>de</w:t>
      </w:r>
      <w:r>
        <w:rPr>
          <w:color w:val="231F20"/>
          <w:spacing w:val="-2"/>
        </w:rPr>
        <w:t> </w:t>
      </w:r>
      <w:r>
        <w:rPr>
          <w:color w:val="231F20"/>
          <w:spacing w:val="-10"/>
        </w:rPr>
        <w:t>l’Université</w:t>
      </w:r>
      <w:r>
        <w:rPr>
          <w:color w:val="231F20"/>
          <w:spacing w:val="-2"/>
        </w:rPr>
        <w:t> </w:t>
      </w:r>
      <w:r>
        <w:rPr>
          <w:color w:val="231F20"/>
          <w:spacing w:val="-10"/>
        </w:rPr>
        <w:t>en</w:t>
      </w:r>
      <w:r>
        <w:rPr>
          <w:color w:val="231F20"/>
          <w:spacing w:val="-2"/>
        </w:rPr>
        <w:t> </w:t>
      </w:r>
      <w:r>
        <w:rPr>
          <w:color w:val="231F20"/>
          <w:spacing w:val="-10"/>
        </w:rPr>
        <w:t>matière</w:t>
      </w:r>
      <w:r>
        <w:rPr>
          <w:color w:val="231F20"/>
          <w:spacing w:val="-2"/>
        </w:rPr>
        <w:t> </w:t>
      </w:r>
      <w:r>
        <w:rPr>
          <w:color w:val="231F20"/>
          <w:spacing w:val="-10"/>
        </w:rPr>
        <w:t>d’enseignement, </w:t>
      </w:r>
      <w:r>
        <w:rPr>
          <w:color w:val="231F20"/>
        </w:rPr>
        <w:t>de</w:t>
      </w:r>
      <w:r>
        <w:rPr>
          <w:color w:val="231F20"/>
          <w:spacing w:val="-17"/>
        </w:rPr>
        <w:t> </w:t>
      </w:r>
      <w:r>
        <w:rPr>
          <w:color w:val="231F20"/>
        </w:rPr>
        <w:t>recherche</w:t>
      </w:r>
      <w:r>
        <w:rPr>
          <w:color w:val="231F20"/>
          <w:spacing w:val="-16"/>
        </w:rPr>
        <w:t> </w:t>
      </w:r>
      <w:r>
        <w:rPr>
          <w:color w:val="231F20"/>
        </w:rPr>
        <w:t>et</w:t>
      </w:r>
      <w:r>
        <w:rPr>
          <w:color w:val="231F20"/>
          <w:spacing w:val="-17"/>
        </w:rPr>
        <w:t> </w:t>
      </w:r>
      <w:r>
        <w:rPr>
          <w:color w:val="231F20"/>
        </w:rPr>
        <w:t>de</w:t>
      </w:r>
      <w:r>
        <w:rPr>
          <w:color w:val="231F20"/>
          <w:spacing w:val="-16"/>
        </w:rPr>
        <w:t> </w:t>
      </w:r>
      <w:r>
        <w:rPr>
          <w:color w:val="231F20"/>
        </w:rPr>
        <w:t>production.</w:t>
      </w:r>
    </w:p>
    <w:p>
      <w:pPr>
        <w:pStyle w:val="BodyText"/>
        <w:spacing w:before="167"/>
        <w:ind w:left="1394" w:right="8" w:hanging="261"/>
      </w:pPr>
      <w:r>
        <w:rPr>
          <w:position w:val="3"/>
        </w:rPr>
        <w:drawing>
          <wp:inline distT="0" distB="0" distL="0" distR="0">
            <wp:extent cx="59207" cy="59207"/>
            <wp:effectExtent l="0" t="0" r="0" b="0"/>
            <wp:docPr id="444" name="Image 444"/>
            <wp:cNvGraphicFramePr>
              <a:graphicFrameLocks/>
            </wp:cNvGraphicFramePr>
            <a:graphic>
              <a:graphicData uri="http://schemas.openxmlformats.org/drawingml/2006/picture">
                <pic:pic>
                  <pic:nvPicPr>
                    <pic:cNvPr id="444" name="Image 444"/>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z w:val="20"/>
        </w:rPr>
        <w:t> </w:t>
      </w:r>
      <w:r>
        <w:rPr>
          <w:color w:val="231F20"/>
        </w:rPr>
        <w:t>Un étudiant cubain en ingénierie </w:t>
      </w:r>
      <w:r>
        <w:rPr>
          <w:color w:val="231F20"/>
        </w:rPr>
        <w:t>des </w:t>
      </w:r>
      <w:r>
        <w:rPr>
          <w:color w:val="231F20"/>
          <w:spacing w:val="-10"/>
        </w:rPr>
        <w:t>sciences</w:t>
      </w:r>
      <w:r>
        <w:rPr>
          <w:color w:val="231F20"/>
          <w:spacing w:val="-5"/>
        </w:rPr>
        <w:t> </w:t>
      </w:r>
      <w:r>
        <w:rPr>
          <w:color w:val="231F20"/>
          <w:spacing w:val="-10"/>
        </w:rPr>
        <w:t>informatiques</w:t>
      </w:r>
      <w:r>
        <w:rPr>
          <w:color w:val="231F20"/>
          <w:spacing w:val="-5"/>
        </w:rPr>
        <w:t> </w:t>
      </w:r>
      <w:r>
        <w:rPr>
          <w:color w:val="231F20"/>
          <w:spacing w:val="-10"/>
        </w:rPr>
        <w:t>n’a</w:t>
      </w:r>
      <w:r>
        <w:rPr>
          <w:color w:val="231F20"/>
          <w:spacing w:val="-5"/>
        </w:rPr>
        <w:t> </w:t>
      </w:r>
      <w:r>
        <w:rPr>
          <w:color w:val="231F20"/>
          <w:spacing w:val="-10"/>
        </w:rPr>
        <w:t>pu</w:t>
      </w:r>
      <w:r>
        <w:rPr>
          <w:color w:val="231F20"/>
          <w:spacing w:val="-5"/>
        </w:rPr>
        <w:t> </w:t>
      </w:r>
      <w:r>
        <w:rPr>
          <w:color w:val="231F20"/>
          <w:spacing w:val="-10"/>
        </w:rPr>
        <w:t>participer</w:t>
      </w:r>
      <w:r>
        <w:rPr>
          <w:color w:val="231F20"/>
          <w:spacing w:val="-5"/>
        </w:rPr>
        <w:t> </w:t>
      </w:r>
      <w:r>
        <w:rPr>
          <w:color w:val="231F20"/>
          <w:spacing w:val="-10"/>
        </w:rPr>
        <w:t>au </w:t>
      </w:r>
      <w:r>
        <w:rPr>
          <w:color w:val="231F20"/>
          <w:spacing w:val="-16"/>
        </w:rPr>
        <w:t>World</w:t>
      </w:r>
      <w:r>
        <w:rPr>
          <w:color w:val="231F20"/>
          <w:spacing w:val="-1"/>
        </w:rPr>
        <w:t> </w:t>
      </w:r>
      <w:r>
        <w:rPr>
          <w:color w:val="231F20"/>
          <w:spacing w:val="-16"/>
        </w:rPr>
        <w:t>Congress</w:t>
      </w:r>
      <w:r>
        <w:rPr>
          <w:color w:val="231F20"/>
        </w:rPr>
        <w:t> </w:t>
      </w:r>
      <w:r>
        <w:rPr>
          <w:color w:val="231F20"/>
          <w:spacing w:val="-16"/>
        </w:rPr>
        <w:t>on</w:t>
      </w:r>
      <w:r>
        <w:rPr>
          <w:color w:val="231F20"/>
          <w:spacing w:val="-1"/>
        </w:rPr>
        <w:t> </w:t>
      </w:r>
      <w:r>
        <w:rPr>
          <w:color w:val="231F20"/>
          <w:spacing w:val="-16"/>
        </w:rPr>
        <w:t>Undergraduate</w:t>
      </w:r>
      <w:r>
        <w:rPr>
          <w:color w:val="231F20"/>
        </w:rPr>
        <w:t> </w:t>
      </w:r>
      <w:r>
        <w:rPr>
          <w:color w:val="231F20"/>
          <w:spacing w:val="-16"/>
        </w:rPr>
        <w:t>Research </w:t>
      </w:r>
      <w:r>
        <w:rPr>
          <w:color w:val="231F20"/>
          <w:spacing w:val="-4"/>
        </w:rPr>
        <w:t>(WorldCUR),</w:t>
      </w:r>
      <w:r>
        <w:rPr>
          <w:color w:val="231F20"/>
          <w:spacing w:val="-11"/>
        </w:rPr>
        <w:t> </w:t>
      </w:r>
      <w:r>
        <w:rPr>
          <w:color w:val="231F20"/>
          <w:spacing w:val="-4"/>
        </w:rPr>
        <w:t>qui</w:t>
      </w:r>
      <w:r>
        <w:rPr>
          <w:color w:val="231F20"/>
          <w:spacing w:val="-11"/>
        </w:rPr>
        <w:t> </w:t>
      </w:r>
      <w:r>
        <w:rPr>
          <w:color w:val="231F20"/>
          <w:spacing w:val="-4"/>
        </w:rPr>
        <w:t>s’est</w:t>
      </w:r>
      <w:r>
        <w:rPr>
          <w:color w:val="231F20"/>
          <w:spacing w:val="-11"/>
        </w:rPr>
        <w:t> </w:t>
      </w:r>
      <w:r>
        <w:rPr>
          <w:color w:val="231F20"/>
          <w:spacing w:val="-4"/>
        </w:rPr>
        <w:t>tenu</w:t>
      </w:r>
      <w:r>
        <w:rPr>
          <w:color w:val="231F20"/>
          <w:spacing w:val="-11"/>
        </w:rPr>
        <w:t> </w:t>
      </w:r>
      <w:r>
        <w:rPr>
          <w:color w:val="231F20"/>
          <w:spacing w:val="-4"/>
        </w:rPr>
        <w:t>du</w:t>
      </w:r>
      <w:r>
        <w:rPr>
          <w:color w:val="231F20"/>
          <w:spacing w:val="-11"/>
        </w:rPr>
        <w:t> </w:t>
      </w:r>
      <w:r>
        <w:rPr>
          <w:color w:val="231F20"/>
          <w:spacing w:val="-4"/>
        </w:rPr>
        <w:t>4</w:t>
      </w:r>
      <w:r>
        <w:rPr>
          <w:color w:val="231F20"/>
          <w:spacing w:val="-11"/>
        </w:rPr>
        <w:t> </w:t>
      </w:r>
      <w:r>
        <w:rPr>
          <w:color w:val="231F20"/>
          <w:spacing w:val="-4"/>
        </w:rPr>
        <w:t>au</w:t>
      </w:r>
      <w:r>
        <w:rPr>
          <w:color w:val="231F20"/>
          <w:spacing w:val="-11"/>
        </w:rPr>
        <w:t> </w:t>
      </w:r>
      <w:r>
        <w:rPr>
          <w:color w:val="231F20"/>
          <w:spacing w:val="-4"/>
        </w:rPr>
        <w:t>6</w:t>
      </w:r>
      <w:r>
        <w:rPr>
          <w:color w:val="231F20"/>
          <w:spacing w:val="-11"/>
        </w:rPr>
        <w:t> </w:t>
      </w:r>
      <w:r>
        <w:rPr>
          <w:color w:val="231F20"/>
          <w:spacing w:val="-4"/>
        </w:rPr>
        <w:t>avril </w:t>
      </w:r>
      <w:r>
        <w:rPr>
          <w:color w:val="231F20"/>
          <w:spacing w:val="-8"/>
        </w:rPr>
        <w:t>2023</w:t>
      </w:r>
      <w:r>
        <w:rPr>
          <w:color w:val="231F20"/>
          <w:spacing w:val="-9"/>
        </w:rPr>
        <w:t> </w:t>
      </w:r>
      <w:r>
        <w:rPr>
          <w:color w:val="231F20"/>
          <w:spacing w:val="-8"/>
        </w:rPr>
        <w:t>à l’Université</w:t>
      </w:r>
      <w:r>
        <w:rPr>
          <w:color w:val="231F20"/>
          <w:spacing w:val="-9"/>
        </w:rPr>
        <w:t> </w:t>
      </w:r>
      <w:r>
        <w:rPr>
          <w:color w:val="231F20"/>
          <w:spacing w:val="-8"/>
        </w:rPr>
        <w:t>de Warwick</w:t>
      </w:r>
      <w:r>
        <w:rPr>
          <w:color w:val="231F20"/>
          <w:spacing w:val="-9"/>
        </w:rPr>
        <w:t> </w:t>
      </w:r>
      <w:r>
        <w:rPr>
          <w:color w:val="231F20"/>
          <w:spacing w:val="-8"/>
        </w:rPr>
        <w:t>(Royaume- </w:t>
      </w:r>
      <w:r>
        <w:rPr>
          <w:color w:val="231F20"/>
          <w:spacing w:val="-10"/>
        </w:rPr>
        <w:t>Uni).</w:t>
      </w:r>
      <w:r>
        <w:rPr>
          <w:color w:val="231F20"/>
          <w:spacing w:val="-7"/>
        </w:rPr>
        <w:t> </w:t>
      </w:r>
      <w:r>
        <w:rPr>
          <w:color w:val="231F20"/>
          <w:spacing w:val="-10"/>
        </w:rPr>
        <w:t>Motif</w:t>
      </w:r>
      <w:r>
        <w:rPr>
          <w:color w:val="231F20"/>
          <w:spacing w:val="-6"/>
        </w:rPr>
        <w:t> </w:t>
      </w:r>
      <w:r>
        <w:rPr>
          <w:color w:val="231F20"/>
          <w:spacing w:val="-10"/>
        </w:rPr>
        <w:t>?</w:t>
      </w:r>
      <w:r>
        <w:rPr>
          <w:color w:val="231F20"/>
          <w:spacing w:val="-7"/>
        </w:rPr>
        <w:t> </w:t>
      </w:r>
      <w:r>
        <w:rPr>
          <w:color w:val="231F20"/>
          <w:spacing w:val="-10"/>
        </w:rPr>
        <w:t>Les</w:t>
      </w:r>
      <w:r>
        <w:rPr>
          <w:color w:val="231F20"/>
          <w:spacing w:val="-6"/>
        </w:rPr>
        <w:t> </w:t>
      </w:r>
      <w:r>
        <w:rPr>
          <w:color w:val="231F20"/>
          <w:spacing w:val="-10"/>
        </w:rPr>
        <w:t>organisateurs</w:t>
      </w:r>
      <w:r>
        <w:rPr>
          <w:color w:val="231F20"/>
          <w:spacing w:val="-7"/>
        </w:rPr>
        <w:t> </w:t>
      </w:r>
      <w:r>
        <w:rPr>
          <w:color w:val="231F20"/>
          <w:spacing w:val="-10"/>
        </w:rPr>
        <w:t>lui</w:t>
      </w:r>
      <w:r>
        <w:rPr>
          <w:color w:val="231F20"/>
          <w:spacing w:val="-6"/>
        </w:rPr>
        <w:t> </w:t>
      </w:r>
      <w:r>
        <w:rPr>
          <w:color w:val="231F20"/>
          <w:spacing w:val="-10"/>
        </w:rPr>
        <w:t>ont</w:t>
      </w:r>
      <w:r>
        <w:rPr>
          <w:color w:val="231F20"/>
          <w:spacing w:val="-7"/>
        </w:rPr>
        <w:t> </w:t>
      </w:r>
      <w:r>
        <w:rPr>
          <w:color w:val="231F20"/>
          <w:spacing w:val="-10"/>
        </w:rPr>
        <w:t>retiré </w:t>
      </w:r>
      <w:r>
        <w:rPr>
          <w:color w:val="231F20"/>
          <w:spacing w:val="-14"/>
        </w:rPr>
        <w:t>le</w:t>
      </w:r>
      <w:r>
        <w:rPr>
          <w:color w:val="231F20"/>
          <w:spacing w:val="-1"/>
        </w:rPr>
        <w:t> </w:t>
      </w:r>
      <w:r>
        <w:rPr>
          <w:color w:val="231F20"/>
          <w:spacing w:val="-14"/>
        </w:rPr>
        <w:t>financement</w:t>
      </w:r>
      <w:r>
        <w:rPr>
          <w:color w:val="231F20"/>
          <w:spacing w:val="-1"/>
        </w:rPr>
        <w:t> </w:t>
      </w:r>
      <w:r>
        <w:rPr>
          <w:color w:val="231F20"/>
          <w:spacing w:val="-14"/>
        </w:rPr>
        <w:t>prévu</w:t>
      </w:r>
      <w:r>
        <w:rPr>
          <w:color w:val="231F20"/>
          <w:spacing w:val="-1"/>
        </w:rPr>
        <w:t> </w:t>
      </w:r>
      <w:r>
        <w:rPr>
          <w:color w:val="231F20"/>
          <w:spacing w:val="-14"/>
        </w:rPr>
        <w:t>parce</w:t>
      </w:r>
      <w:r>
        <w:rPr>
          <w:color w:val="231F20"/>
          <w:spacing w:val="-1"/>
        </w:rPr>
        <w:t> </w:t>
      </w:r>
      <w:r>
        <w:rPr>
          <w:color w:val="231F20"/>
          <w:spacing w:val="-14"/>
        </w:rPr>
        <w:t>que,</w:t>
      </w:r>
      <w:r>
        <w:rPr>
          <w:color w:val="231F20"/>
          <w:spacing w:val="-1"/>
        </w:rPr>
        <w:t> </w:t>
      </w:r>
      <w:r>
        <w:rPr>
          <w:color w:val="231F20"/>
          <w:spacing w:val="-14"/>
        </w:rPr>
        <w:t>Cuba</w:t>
      </w:r>
      <w:r>
        <w:rPr>
          <w:color w:val="231F20"/>
          <w:spacing w:val="-1"/>
        </w:rPr>
        <w:t> </w:t>
      </w:r>
      <w:r>
        <w:rPr>
          <w:color w:val="231F20"/>
          <w:spacing w:val="-14"/>
        </w:rPr>
        <w:t>étant </w:t>
      </w:r>
      <w:r>
        <w:rPr>
          <w:color w:val="231F20"/>
          <w:spacing w:val="-10"/>
        </w:rPr>
        <w:t>inscrite</w:t>
      </w:r>
      <w:r>
        <w:rPr>
          <w:color w:val="231F20"/>
          <w:spacing w:val="-7"/>
        </w:rPr>
        <w:t> </w:t>
      </w:r>
      <w:r>
        <w:rPr>
          <w:color w:val="231F20"/>
          <w:spacing w:val="-10"/>
        </w:rPr>
        <w:t>sur</w:t>
      </w:r>
      <w:r>
        <w:rPr>
          <w:color w:val="231F20"/>
          <w:spacing w:val="-6"/>
        </w:rPr>
        <w:t> </w:t>
      </w:r>
      <w:r>
        <w:rPr>
          <w:color w:val="231F20"/>
          <w:spacing w:val="-10"/>
        </w:rPr>
        <w:t>la</w:t>
      </w:r>
      <w:r>
        <w:rPr>
          <w:color w:val="231F20"/>
          <w:spacing w:val="-7"/>
        </w:rPr>
        <w:t> </w:t>
      </w:r>
      <w:r>
        <w:rPr>
          <w:color w:val="231F20"/>
          <w:spacing w:val="-10"/>
        </w:rPr>
        <w:t>liste</w:t>
      </w:r>
      <w:r>
        <w:rPr>
          <w:color w:val="231F20"/>
          <w:spacing w:val="-6"/>
        </w:rPr>
        <w:t> </w:t>
      </w:r>
      <w:r>
        <w:rPr>
          <w:color w:val="231F20"/>
          <w:spacing w:val="-10"/>
        </w:rPr>
        <w:t>des</w:t>
      </w:r>
      <w:r>
        <w:rPr>
          <w:color w:val="231F20"/>
          <w:spacing w:val="-7"/>
        </w:rPr>
        <w:t> </w:t>
      </w:r>
      <w:r>
        <w:rPr>
          <w:color w:val="231F20"/>
          <w:spacing w:val="-10"/>
        </w:rPr>
        <w:t>pays</w:t>
      </w:r>
      <w:r>
        <w:rPr>
          <w:color w:val="231F20"/>
          <w:spacing w:val="-6"/>
        </w:rPr>
        <w:t> </w:t>
      </w:r>
      <w:r>
        <w:rPr>
          <w:color w:val="231F20"/>
          <w:spacing w:val="-10"/>
        </w:rPr>
        <w:t>sanctionnés,</w:t>
      </w:r>
      <w:r>
        <w:rPr>
          <w:color w:val="231F20"/>
          <w:spacing w:val="-7"/>
        </w:rPr>
        <w:t> </w:t>
      </w:r>
      <w:r>
        <w:rPr>
          <w:color w:val="231F20"/>
          <w:spacing w:val="-10"/>
        </w:rPr>
        <w:t>les </w:t>
      </w:r>
      <w:r>
        <w:rPr>
          <w:color w:val="231F20"/>
          <w:spacing w:val="-6"/>
        </w:rPr>
        <w:t>départements</w:t>
      </w:r>
      <w:r>
        <w:rPr>
          <w:color w:val="231F20"/>
          <w:spacing w:val="-6"/>
        </w:rPr>
        <w:t> institutionnels</w:t>
      </w:r>
      <w:r>
        <w:rPr>
          <w:color w:val="231F20"/>
          <w:spacing w:val="-6"/>
        </w:rPr>
        <w:t> d’assurance </w:t>
      </w:r>
      <w:r>
        <w:rPr>
          <w:color w:val="231F20"/>
        </w:rPr>
        <w:t>et de respect financier n’étaient pas en </w:t>
      </w:r>
      <w:r>
        <w:rPr>
          <w:color w:val="231F20"/>
          <w:spacing w:val="-2"/>
        </w:rPr>
        <w:t>condition</w:t>
      </w:r>
      <w:r>
        <w:rPr>
          <w:color w:val="231F20"/>
          <w:spacing w:val="-23"/>
        </w:rPr>
        <w:t> </w:t>
      </w:r>
      <w:r>
        <w:rPr>
          <w:color w:val="231F20"/>
          <w:spacing w:val="-2"/>
        </w:rPr>
        <w:t>de</w:t>
      </w:r>
      <w:r>
        <w:rPr>
          <w:color w:val="231F20"/>
          <w:spacing w:val="-23"/>
        </w:rPr>
        <w:t> </w:t>
      </w:r>
      <w:r>
        <w:rPr>
          <w:color w:val="231F20"/>
          <w:spacing w:val="-2"/>
        </w:rPr>
        <w:t>le</w:t>
      </w:r>
      <w:r>
        <w:rPr>
          <w:color w:val="231F20"/>
          <w:spacing w:val="-23"/>
        </w:rPr>
        <w:t> </w:t>
      </w:r>
      <w:r>
        <w:rPr>
          <w:color w:val="231F20"/>
          <w:spacing w:val="-2"/>
        </w:rPr>
        <w:t>faire.</w:t>
      </w:r>
    </w:p>
    <w:p>
      <w:pPr>
        <w:spacing w:before="168"/>
        <w:ind w:left="1133" w:right="5" w:firstLine="0"/>
        <w:jc w:val="both"/>
        <w:rPr>
          <w:rFonts w:ascii="Segoe UI Semibold" w:hAnsi="Segoe UI Semibold"/>
          <w:b/>
          <w:i/>
          <w:sz w:val="24"/>
        </w:rPr>
      </w:pPr>
      <w:r>
        <w:rPr>
          <w:b/>
          <w:i/>
          <w:color w:val="B52628"/>
          <w:sz w:val="24"/>
        </w:rPr>
        <w:t>En sport</w:t>
      </w:r>
      <w:r>
        <w:rPr>
          <w:rFonts w:ascii="Segoe UI Semibold" w:hAnsi="Segoe UI Semibold"/>
          <w:b/>
          <w:i/>
          <w:color w:val="231F20"/>
          <w:sz w:val="24"/>
        </w:rPr>
        <w:t>, le vol de talents favorisé et</w:t>
      </w:r>
      <w:r>
        <w:rPr>
          <w:rFonts w:ascii="Segoe UI Semibold" w:hAnsi="Segoe UI Semibold"/>
          <w:b/>
          <w:i/>
          <w:color w:val="231F20"/>
          <w:sz w:val="24"/>
        </w:rPr>
        <w:t> </w:t>
      </w:r>
      <w:r>
        <w:rPr>
          <w:rFonts w:ascii="Segoe UI Semibold" w:hAnsi="Segoe UI Semibold"/>
          <w:b/>
          <w:i/>
          <w:color w:val="231F20"/>
          <w:spacing w:val="-4"/>
          <w:sz w:val="24"/>
        </w:rPr>
        <w:t>fomenté</w:t>
      </w:r>
      <w:r>
        <w:rPr>
          <w:rFonts w:ascii="Segoe UI Semibold" w:hAnsi="Segoe UI Semibold"/>
          <w:b/>
          <w:i/>
          <w:color w:val="231F20"/>
          <w:spacing w:val="-13"/>
          <w:sz w:val="24"/>
        </w:rPr>
        <w:t> </w:t>
      </w:r>
      <w:r>
        <w:rPr>
          <w:rFonts w:ascii="Segoe UI Semibold" w:hAnsi="Segoe UI Semibold"/>
          <w:b/>
          <w:i/>
          <w:color w:val="231F20"/>
          <w:spacing w:val="-4"/>
          <w:sz w:val="24"/>
        </w:rPr>
        <w:t>par</w:t>
      </w:r>
      <w:r>
        <w:rPr>
          <w:rFonts w:ascii="Segoe UI Semibold" w:hAnsi="Segoe UI Semibold"/>
          <w:b/>
          <w:i/>
          <w:color w:val="231F20"/>
          <w:spacing w:val="-12"/>
          <w:sz w:val="24"/>
        </w:rPr>
        <w:t> </w:t>
      </w:r>
      <w:r>
        <w:rPr>
          <w:rFonts w:ascii="Segoe UI Semibold" w:hAnsi="Segoe UI Semibold"/>
          <w:b/>
          <w:i/>
          <w:color w:val="231F20"/>
          <w:spacing w:val="-4"/>
          <w:sz w:val="24"/>
        </w:rPr>
        <w:t>les</w:t>
      </w:r>
      <w:r>
        <w:rPr>
          <w:rFonts w:ascii="Segoe UI Semibold" w:hAnsi="Segoe UI Semibold"/>
          <w:b/>
          <w:i/>
          <w:color w:val="231F20"/>
          <w:spacing w:val="-13"/>
          <w:sz w:val="24"/>
        </w:rPr>
        <w:t> </w:t>
      </w:r>
      <w:r>
        <w:rPr>
          <w:rFonts w:ascii="Segoe UI Semibold" w:hAnsi="Segoe UI Semibold"/>
          <w:b/>
          <w:i/>
          <w:color w:val="231F20"/>
          <w:spacing w:val="-4"/>
          <w:sz w:val="24"/>
        </w:rPr>
        <w:t>politiques</w:t>
      </w:r>
      <w:r>
        <w:rPr>
          <w:rFonts w:ascii="Segoe UI Semibold" w:hAnsi="Segoe UI Semibold"/>
          <w:b/>
          <w:i/>
          <w:color w:val="231F20"/>
          <w:spacing w:val="-12"/>
          <w:sz w:val="24"/>
        </w:rPr>
        <w:t> </w:t>
      </w:r>
      <w:r>
        <w:rPr>
          <w:rFonts w:ascii="Segoe UI Semibold" w:hAnsi="Segoe UI Semibold"/>
          <w:b/>
          <w:i/>
          <w:color w:val="231F20"/>
          <w:spacing w:val="-4"/>
          <w:sz w:val="24"/>
        </w:rPr>
        <w:t>discriminatoires </w:t>
      </w:r>
      <w:r>
        <w:rPr>
          <w:rFonts w:ascii="Segoe UI Semibold" w:hAnsi="Segoe UI Semibold"/>
          <w:b/>
          <w:i/>
          <w:color w:val="231F20"/>
          <w:sz w:val="24"/>
        </w:rPr>
        <w:t>et sélectives des États-Unis, ne cesse pas. </w:t>
      </w:r>
      <w:r>
        <w:rPr>
          <w:rFonts w:ascii="Segoe UI Semibold" w:hAnsi="Segoe UI Semibold"/>
          <w:b/>
          <w:i/>
          <w:color w:val="231F20"/>
          <w:spacing w:val="-4"/>
          <w:sz w:val="24"/>
        </w:rPr>
        <w:t>Ainsi,</w:t>
      </w:r>
      <w:r>
        <w:rPr>
          <w:rFonts w:ascii="Segoe UI Semibold" w:hAnsi="Segoe UI Semibold"/>
          <w:b/>
          <w:i/>
          <w:color w:val="231F20"/>
          <w:spacing w:val="-12"/>
          <w:sz w:val="24"/>
        </w:rPr>
        <w:t> </w:t>
      </w:r>
      <w:r>
        <w:rPr>
          <w:rFonts w:ascii="Segoe UI Semibold" w:hAnsi="Segoe UI Semibold"/>
          <w:b/>
          <w:i/>
          <w:color w:val="231F20"/>
          <w:spacing w:val="-4"/>
          <w:sz w:val="24"/>
        </w:rPr>
        <w:t>malgré</w:t>
      </w:r>
      <w:r>
        <w:rPr>
          <w:rFonts w:ascii="Segoe UI Semibold" w:hAnsi="Segoe UI Semibold"/>
          <w:b/>
          <w:i/>
          <w:color w:val="231F20"/>
          <w:spacing w:val="-12"/>
          <w:sz w:val="24"/>
        </w:rPr>
        <w:t> </w:t>
      </w:r>
      <w:r>
        <w:rPr>
          <w:rFonts w:ascii="Segoe UI Semibold" w:hAnsi="Segoe UI Semibold"/>
          <w:b/>
          <w:i/>
          <w:color w:val="231F20"/>
          <w:spacing w:val="-4"/>
          <w:sz w:val="24"/>
        </w:rPr>
        <w:t>l’intérêt</w:t>
      </w:r>
      <w:r>
        <w:rPr>
          <w:rFonts w:ascii="Segoe UI Semibold" w:hAnsi="Segoe UI Semibold"/>
          <w:b/>
          <w:i/>
          <w:color w:val="231F20"/>
          <w:spacing w:val="-12"/>
          <w:sz w:val="24"/>
        </w:rPr>
        <w:t> </w:t>
      </w:r>
      <w:r>
        <w:rPr>
          <w:rFonts w:ascii="Segoe UI Semibold" w:hAnsi="Segoe UI Semibold"/>
          <w:b/>
          <w:i/>
          <w:color w:val="231F20"/>
          <w:spacing w:val="-4"/>
          <w:sz w:val="24"/>
        </w:rPr>
        <w:t>de</w:t>
      </w:r>
      <w:r>
        <w:rPr>
          <w:rFonts w:ascii="Segoe UI Semibold" w:hAnsi="Segoe UI Semibold"/>
          <w:b/>
          <w:i/>
          <w:color w:val="231F20"/>
          <w:spacing w:val="-12"/>
          <w:sz w:val="24"/>
        </w:rPr>
        <w:t> </w:t>
      </w:r>
      <w:r>
        <w:rPr>
          <w:rFonts w:ascii="Segoe UI Semibold" w:hAnsi="Segoe UI Semibold"/>
          <w:b/>
          <w:i/>
          <w:color w:val="231F20"/>
          <w:spacing w:val="-4"/>
          <w:sz w:val="24"/>
        </w:rPr>
        <w:t>la</w:t>
      </w:r>
      <w:r>
        <w:rPr>
          <w:rFonts w:ascii="Segoe UI Semibold" w:hAnsi="Segoe UI Semibold"/>
          <w:b/>
          <w:i/>
          <w:color w:val="231F20"/>
          <w:spacing w:val="-12"/>
          <w:sz w:val="24"/>
        </w:rPr>
        <w:t> </w:t>
      </w:r>
      <w:r>
        <w:rPr>
          <w:rFonts w:ascii="Segoe UI Semibold" w:hAnsi="Segoe UI Semibold"/>
          <w:b/>
          <w:i/>
          <w:color w:val="231F20"/>
          <w:spacing w:val="-4"/>
          <w:sz w:val="24"/>
        </w:rPr>
        <w:t>partie</w:t>
      </w:r>
      <w:r>
        <w:rPr>
          <w:rFonts w:ascii="Segoe UI Semibold" w:hAnsi="Segoe UI Semibold"/>
          <w:b/>
          <w:i/>
          <w:color w:val="231F20"/>
          <w:spacing w:val="-12"/>
          <w:sz w:val="24"/>
        </w:rPr>
        <w:t> </w:t>
      </w:r>
      <w:r>
        <w:rPr>
          <w:rFonts w:ascii="Segoe UI Semibold" w:hAnsi="Segoe UI Semibold"/>
          <w:b/>
          <w:i/>
          <w:color w:val="231F20"/>
          <w:spacing w:val="-4"/>
          <w:sz w:val="24"/>
        </w:rPr>
        <w:t>cubaine, </w:t>
      </w:r>
      <w:r>
        <w:rPr>
          <w:rFonts w:ascii="Segoe UI Semibold" w:hAnsi="Segoe UI Semibold"/>
          <w:b/>
          <w:i/>
          <w:color w:val="231F20"/>
          <w:sz w:val="24"/>
        </w:rPr>
        <w:t>la</w:t>
      </w:r>
      <w:r>
        <w:rPr>
          <w:rFonts w:ascii="Segoe UI Semibold" w:hAnsi="Segoe UI Semibold"/>
          <w:b/>
          <w:i/>
          <w:color w:val="231F20"/>
          <w:spacing w:val="-16"/>
          <w:sz w:val="24"/>
        </w:rPr>
        <w:t> </w:t>
      </w:r>
      <w:r>
        <w:rPr>
          <w:rFonts w:ascii="Segoe UI Semibold" w:hAnsi="Segoe UI Semibold"/>
          <w:b/>
          <w:i/>
          <w:color w:val="231F20"/>
          <w:sz w:val="24"/>
        </w:rPr>
        <w:t>Fédération</w:t>
      </w:r>
      <w:r>
        <w:rPr>
          <w:rFonts w:ascii="Segoe UI Semibold" w:hAnsi="Segoe UI Semibold"/>
          <w:b/>
          <w:i/>
          <w:color w:val="231F20"/>
          <w:spacing w:val="-16"/>
          <w:sz w:val="24"/>
        </w:rPr>
        <w:t> </w:t>
      </w:r>
      <w:r>
        <w:rPr>
          <w:rFonts w:ascii="Segoe UI Semibold" w:hAnsi="Segoe UI Semibold"/>
          <w:b/>
          <w:i/>
          <w:color w:val="231F20"/>
          <w:sz w:val="24"/>
        </w:rPr>
        <w:t>cubaine</w:t>
      </w:r>
      <w:r>
        <w:rPr>
          <w:rFonts w:ascii="Segoe UI Semibold" w:hAnsi="Segoe UI Semibold"/>
          <w:b/>
          <w:i/>
          <w:color w:val="231F20"/>
          <w:spacing w:val="-16"/>
          <w:sz w:val="24"/>
        </w:rPr>
        <w:t>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base-ball</w:t>
      </w:r>
      <w:r>
        <w:rPr>
          <w:rFonts w:ascii="Segoe UI Semibold" w:hAnsi="Segoe UI Semibold"/>
          <w:b/>
          <w:i/>
          <w:color w:val="231F20"/>
          <w:spacing w:val="-16"/>
          <w:sz w:val="24"/>
        </w:rPr>
        <w:t> </w:t>
      </w:r>
      <w:r>
        <w:rPr>
          <w:rFonts w:ascii="Segoe UI Semibold" w:hAnsi="Segoe UI Semibold"/>
          <w:b/>
          <w:i/>
          <w:color w:val="231F20"/>
          <w:sz w:val="24"/>
        </w:rPr>
        <w:t>n’a</w:t>
      </w:r>
      <w:r>
        <w:rPr>
          <w:rFonts w:ascii="Segoe UI Semibold" w:hAnsi="Segoe UI Semibold"/>
          <w:b/>
          <w:i/>
          <w:color w:val="231F20"/>
          <w:spacing w:val="-16"/>
          <w:sz w:val="24"/>
        </w:rPr>
        <w:t> </w:t>
      </w:r>
      <w:r>
        <w:rPr>
          <w:rFonts w:ascii="Segoe UI Semibold" w:hAnsi="Segoe UI Semibold"/>
          <w:b/>
          <w:i/>
          <w:color w:val="231F20"/>
          <w:sz w:val="24"/>
        </w:rPr>
        <w:t>pu </w:t>
      </w:r>
      <w:r>
        <w:rPr>
          <w:rFonts w:ascii="Segoe UI Semibold" w:hAnsi="Segoe UI Semibold"/>
          <w:b/>
          <w:i/>
          <w:color w:val="231F20"/>
          <w:spacing w:val="-2"/>
          <w:sz w:val="24"/>
        </w:rPr>
        <w:t>parvenir</w:t>
      </w:r>
      <w:r>
        <w:rPr>
          <w:rFonts w:ascii="Segoe UI Semibold" w:hAnsi="Segoe UI Semibold"/>
          <w:b/>
          <w:i/>
          <w:color w:val="231F20"/>
          <w:spacing w:val="-15"/>
          <w:sz w:val="24"/>
        </w:rPr>
        <w:t> </w:t>
      </w:r>
      <w:r>
        <w:rPr>
          <w:rFonts w:ascii="Segoe UI Semibold" w:hAnsi="Segoe UI Semibold"/>
          <w:b/>
          <w:i/>
          <w:color w:val="231F20"/>
          <w:spacing w:val="-2"/>
          <w:sz w:val="24"/>
        </w:rPr>
        <w:t>à</w:t>
      </w:r>
      <w:r>
        <w:rPr>
          <w:rFonts w:ascii="Segoe UI Semibold" w:hAnsi="Segoe UI Semibold"/>
          <w:b/>
          <w:i/>
          <w:color w:val="231F20"/>
          <w:spacing w:val="-14"/>
          <w:sz w:val="24"/>
        </w:rPr>
        <w:t> </w:t>
      </w:r>
      <w:r>
        <w:rPr>
          <w:rFonts w:ascii="Segoe UI Semibold" w:hAnsi="Segoe UI Semibold"/>
          <w:b/>
          <w:i/>
          <w:color w:val="231F20"/>
          <w:spacing w:val="-2"/>
          <w:sz w:val="24"/>
        </w:rPr>
        <w:t>un</w:t>
      </w:r>
      <w:r>
        <w:rPr>
          <w:rFonts w:ascii="Segoe UI Semibold" w:hAnsi="Segoe UI Semibold"/>
          <w:b/>
          <w:i/>
          <w:color w:val="231F20"/>
          <w:spacing w:val="-15"/>
          <w:sz w:val="24"/>
        </w:rPr>
        <w:t> </w:t>
      </w:r>
      <w:r>
        <w:rPr>
          <w:rFonts w:ascii="Segoe UI Semibold" w:hAnsi="Segoe UI Semibold"/>
          <w:b/>
          <w:i/>
          <w:color w:val="231F20"/>
          <w:spacing w:val="-2"/>
          <w:sz w:val="24"/>
        </w:rPr>
        <w:t>accord</w:t>
      </w:r>
      <w:r>
        <w:rPr>
          <w:rFonts w:ascii="Segoe UI Semibold" w:hAnsi="Segoe UI Semibold"/>
          <w:b/>
          <w:i/>
          <w:color w:val="231F20"/>
          <w:spacing w:val="-14"/>
          <w:sz w:val="24"/>
        </w:rPr>
        <w:t> </w:t>
      </w:r>
      <w:r>
        <w:rPr>
          <w:rFonts w:ascii="Segoe UI Semibold" w:hAnsi="Segoe UI Semibold"/>
          <w:b/>
          <w:i/>
          <w:color w:val="231F20"/>
          <w:spacing w:val="-2"/>
          <w:sz w:val="24"/>
        </w:rPr>
        <w:t>avec</w:t>
      </w:r>
      <w:r>
        <w:rPr>
          <w:rFonts w:ascii="Segoe UI Semibold" w:hAnsi="Segoe UI Semibold"/>
          <w:b/>
          <w:i/>
          <w:color w:val="231F20"/>
          <w:spacing w:val="-15"/>
          <w:sz w:val="24"/>
        </w:rPr>
        <w:t> </w:t>
      </w:r>
      <w:r>
        <w:rPr>
          <w:rFonts w:ascii="Segoe UI Semibold" w:hAnsi="Segoe UI Semibold"/>
          <w:b/>
          <w:i/>
          <w:color w:val="231F20"/>
          <w:spacing w:val="-2"/>
          <w:sz w:val="24"/>
        </w:rPr>
        <w:t>la</w:t>
      </w:r>
      <w:r>
        <w:rPr>
          <w:rFonts w:ascii="Segoe UI Semibold" w:hAnsi="Segoe UI Semibold"/>
          <w:b/>
          <w:i/>
          <w:color w:val="231F20"/>
          <w:spacing w:val="-14"/>
          <w:sz w:val="24"/>
        </w:rPr>
        <w:t> </w:t>
      </w:r>
      <w:r>
        <w:rPr>
          <w:rFonts w:ascii="Segoe UI Semibold" w:hAnsi="Segoe UI Semibold"/>
          <w:b/>
          <w:i/>
          <w:color w:val="231F20"/>
          <w:spacing w:val="-2"/>
          <w:sz w:val="24"/>
        </w:rPr>
        <w:t>Major</w:t>
      </w:r>
      <w:r>
        <w:rPr>
          <w:rFonts w:ascii="Segoe UI Semibold" w:hAnsi="Segoe UI Semibold"/>
          <w:b/>
          <w:i/>
          <w:color w:val="231F20"/>
          <w:spacing w:val="-15"/>
          <w:sz w:val="24"/>
        </w:rPr>
        <w:t> </w:t>
      </w:r>
      <w:r>
        <w:rPr>
          <w:rFonts w:ascii="Segoe UI Semibold" w:hAnsi="Segoe UI Semibold"/>
          <w:b/>
          <w:i/>
          <w:color w:val="231F20"/>
          <w:spacing w:val="-2"/>
          <w:sz w:val="24"/>
        </w:rPr>
        <w:t>League </w:t>
      </w:r>
      <w:r>
        <w:rPr>
          <w:rFonts w:ascii="Segoe UI Semibold" w:hAnsi="Segoe UI Semibold"/>
          <w:b/>
          <w:i/>
          <w:color w:val="231F20"/>
          <w:spacing w:val="-8"/>
          <w:sz w:val="24"/>
        </w:rPr>
        <w:t>Baseball</w:t>
      </w:r>
      <w:r>
        <w:rPr>
          <w:rFonts w:ascii="Segoe UI Semibold" w:hAnsi="Segoe UI Semibold"/>
          <w:b/>
          <w:i/>
          <w:color w:val="231F20"/>
          <w:spacing w:val="-9"/>
          <w:sz w:val="24"/>
        </w:rPr>
        <w:t> </w:t>
      </w:r>
      <w:r>
        <w:rPr>
          <w:rFonts w:ascii="Segoe UI Semibold" w:hAnsi="Segoe UI Semibold"/>
          <w:b/>
          <w:i/>
          <w:color w:val="231F20"/>
          <w:spacing w:val="-8"/>
          <w:sz w:val="24"/>
        </w:rPr>
        <w:t>(MLB) pour</w:t>
      </w:r>
      <w:r>
        <w:rPr>
          <w:rFonts w:ascii="Segoe UI Semibold" w:hAnsi="Segoe UI Semibold"/>
          <w:b/>
          <w:i/>
          <w:color w:val="231F20"/>
          <w:spacing w:val="-9"/>
          <w:sz w:val="24"/>
        </w:rPr>
        <w:t> </w:t>
      </w:r>
      <w:r>
        <w:rPr>
          <w:rFonts w:ascii="Segoe UI Semibold" w:hAnsi="Segoe UI Semibold"/>
          <w:b/>
          <w:i/>
          <w:color w:val="231F20"/>
          <w:spacing w:val="-8"/>
          <w:sz w:val="24"/>
        </w:rPr>
        <w:t>que les</w:t>
      </w:r>
      <w:r>
        <w:rPr>
          <w:rFonts w:ascii="Segoe UI Semibold" w:hAnsi="Segoe UI Semibold"/>
          <w:b/>
          <w:i/>
          <w:color w:val="231F20"/>
          <w:spacing w:val="-9"/>
          <w:sz w:val="24"/>
        </w:rPr>
        <w:t> </w:t>
      </w:r>
      <w:r>
        <w:rPr>
          <w:rFonts w:ascii="Segoe UI Semibold" w:hAnsi="Segoe UI Semibold"/>
          <w:b/>
          <w:i/>
          <w:color w:val="231F20"/>
          <w:spacing w:val="-8"/>
          <w:sz w:val="24"/>
        </w:rPr>
        <w:t>joueurs cubains </w:t>
      </w:r>
      <w:r>
        <w:rPr>
          <w:rFonts w:ascii="Segoe UI Semibold" w:hAnsi="Segoe UI Semibold"/>
          <w:b/>
          <w:i/>
          <w:color w:val="231F20"/>
          <w:spacing w:val="-12"/>
          <w:sz w:val="24"/>
        </w:rPr>
        <w:t>puissent</w:t>
      </w:r>
      <w:r>
        <w:rPr>
          <w:rFonts w:ascii="Segoe UI Semibold" w:hAnsi="Segoe UI Semibold"/>
          <w:b/>
          <w:i/>
          <w:color w:val="231F20"/>
          <w:sz w:val="24"/>
        </w:rPr>
        <w:t> </w:t>
      </w:r>
      <w:r>
        <w:rPr>
          <w:rFonts w:ascii="Segoe UI Semibold" w:hAnsi="Segoe UI Semibold"/>
          <w:b/>
          <w:i/>
          <w:color w:val="231F20"/>
          <w:spacing w:val="-12"/>
          <w:sz w:val="24"/>
        </w:rPr>
        <w:t>y</w:t>
      </w:r>
      <w:r>
        <w:rPr>
          <w:rFonts w:ascii="Segoe UI Semibold" w:hAnsi="Segoe UI Semibold"/>
          <w:b/>
          <w:i/>
          <w:color w:val="231F20"/>
          <w:sz w:val="24"/>
        </w:rPr>
        <w:t> </w:t>
      </w:r>
      <w:r>
        <w:rPr>
          <w:rFonts w:ascii="Segoe UI Semibold" w:hAnsi="Segoe UI Semibold"/>
          <w:b/>
          <w:i/>
          <w:color w:val="231F20"/>
          <w:spacing w:val="-12"/>
          <w:sz w:val="24"/>
        </w:rPr>
        <w:t>participer</w:t>
      </w:r>
      <w:r>
        <w:rPr>
          <w:rFonts w:ascii="Segoe UI Semibold" w:hAnsi="Segoe UI Semibold"/>
          <w:b/>
          <w:i/>
          <w:color w:val="231F20"/>
          <w:sz w:val="24"/>
        </w:rPr>
        <w:t> </w:t>
      </w:r>
      <w:r>
        <w:rPr>
          <w:rFonts w:ascii="Segoe UI Semibold" w:hAnsi="Segoe UI Semibold"/>
          <w:b/>
          <w:i/>
          <w:color w:val="231F20"/>
          <w:spacing w:val="-12"/>
          <w:sz w:val="24"/>
        </w:rPr>
        <w:t>sans</w:t>
      </w:r>
      <w:r>
        <w:rPr>
          <w:rFonts w:ascii="Segoe UI Semibold" w:hAnsi="Segoe UI Semibold"/>
          <w:b/>
          <w:i/>
          <w:color w:val="231F20"/>
          <w:sz w:val="24"/>
        </w:rPr>
        <w:t> </w:t>
      </w:r>
      <w:r>
        <w:rPr>
          <w:rFonts w:ascii="Segoe UI Semibold" w:hAnsi="Segoe UI Semibold"/>
          <w:b/>
          <w:i/>
          <w:color w:val="231F20"/>
          <w:spacing w:val="-12"/>
          <w:sz w:val="24"/>
        </w:rPr>
        <w:t>devoir</w:t>
      </w:r>
      <w:r>
        <w:rPr>
          <w:rFonts w:ascii="Segoe UI Semibold" w:hAnsi="Segoe UI Semibold"/>
          <w:b/>
          <w:i/>
          <w:color w:val="231F20"/>
          <w:sz w:val="24"/>
        </w:rPr>
        <w:t> </w:t>
      </w:r>
      <w:r>
        <w:rPr>
          <w:rFonts w:ascii="Segoe UI Semibold" w:hAnsi="Segoe UI Semibold"/>
          <w:b/>
          <w:i/>
          <w:color w:val="231F20"/>
          <w:spacing w:val="-12"/>
          <w:sz w:val="24"/>
        </w:rPr>
        <w:t>abandonner </w:t>
      </w:r>
      <w:r>
        <w:rPr>
          <w:rFonts w:ascii="Segoe UI Semibold" w:hAnsi="Segoe UI Semibold"/>
          <w:b/>
          <w:i/>
          <w:color w:val="231F20"/>
          <w:spacing w:val="-2"/>
          <w:sz w:val="24"/>
        </w:rPr>
        <w:t>leur</w:t>
      </w:r>
      <w:r>
        <w:rPr>
          <w:rFonts w:ascii="Segoe UI Semibold" w:hAnsi="Segoe UI Semibold"/>
          <w:b/>
          <w:i/>
          <w:color w:val="231F20"/>
          <w:spacing w:val="-15"/>
          <w:sz w:val="24"/>
        </w:rPr>
        <w:t> </w:t>
      </w:r>
      <w:r>
        <w:rPr>
          <w:rFonts w:ascii="Segoe UI Semibold" w:hAnsi="Segoe UI Semibold"/>
          <w:b/>
          <w:i/>
          <w:color w:val="231F20"/>
          <w:spacing w:val="-2"/>
          <w:sz w:val="24"/>
        </w:rPr>
        <w:t>pays</w:t>
      </w:r>
      <w:r>
        <w:rPr>
          <w:rFonts w:ascii="Segoe UI Semibold" w:hAnsi="Segoe UI Semibold"/>
          <w:b/>
          <w:i/>
          <w:color w:val="231F20"/>
          <w:spacing w:val="-15"/>
          <w:sz w:val="24"/>
        </w:rPr>
        <w:t> </w:t>
      </w:r>
      <w:r>
        <w:rPr>
          <w:rFonts w:ascii="Segoe UI Semibold" w:hAnsi="Segoe UI Semibold"/>
          <w:b/>
          <w:i/>
          <w:color w:val="231F20"/>
          <w:spacing w:val="-2"/>
          <w:sz w:val="24"/>
        </w:rPr>
        <w:t>et</w:t>
      </w:r>
      <w:r>
        <w:rPr>
          <w:rFonts w:ascii="Segoe UI Semibold" w:hAnsi="Segoe UI Semibold"/>
          <w:b/>
          <w:i/>
          <w:color w:val="231F20"/>
          <w:spacing w:val="-15"/>
          <w:sz w:val="24"/>
        </w:rPr>
        <w:t> </w:t>
      </w:r>
      <w:r>
        <w:rPr>
          <w:rFonts w:ascii="Segoe UI Semibold" w:hAnsi="Segoe UI Semibold"/>
          <w:b/>
          <w:i/>
          <w:color w:val="231F20"/>
          <w:spacing w:val="-2"/>
          <w:sz w:val="24"/>
        </w:rPr>
        <w:t>renoncer</w:t>
      </w:r>
      <w:r>
        <w:rPr>
          <w:rFonts w:ascii="Segoe UI Semibold" w:hAnsi="Segoe UI Semibold"/>
          <w:b/>
          <w:i/>
          <w:color w:val="231F20"/>
          <w:spacing w:val="-15"/>
          <w:sz w:val="24"/>
        </w:rPr>
        <w:t> </w:t>
      </w:r>
      <w:r>
        <w:rPr>
          <w:rFonts w:ascii="Segoe UI Semibold" w:hAnsi="Segoe UI Semibold"/>
          <w:b/>
          <w:i/>
          <w:color w:val="231F20"/>
          <w:spacing w:val="-2"/>
          <w:sz w:val="24"/>
        </w:rPr>
        <w:t>à</w:t>
      </w:r>
      <w:r>
        <w:rPr>
          <w:rFonts w:ascii="Segoe UI Semibold" w:hAnsi="Segoe UI Semibold"/>
          <w:b/>
          <w:i/>
          <w:color w:val="231F20"/>
          <w:spacing w:val="-15"/>
          <w:sz w:val="24"/>
        </w:rPr>
        <w:t> </w:t>
      </w:r>
      <w:r>
        <w:rPr>
          <w:rFonts w:ascii="Segoe UI Semibold" w:hAnsi="Segoe UI Semibold"/>
          <w:b/>
          <w:i/>
          <w:color w:val="231F20"/>
          <w:spacing w:val="-2"/>
          <w:sz w:val="24"/>
        </w:rPr>
        <w:t>leur</w:t>
      </w:r>
      <w:r>
        <w:rPr>
          <w:rFonts w:ascii="Segoe UI Semibold" w:hAnsi="Segoe UI Semibold"/>
          <w:b/>
          <w:i/>
          <w:color w:val="231F20"/>
          <w:spacing w:val="-15"/>
          <w:sz w:val="24"/>
        </w:rPr>
        <w:t> </w:t>
      </w:r>
      <w:r>
        <w:rPr>
          <w:rFonts w:ascii="Segoe UI Semibold" w:hAnsi="Segoe UI Semibold"/>
          <w:b/>
          <w:i/>
          <w:color w:val="231F20"/>
          <w:spacing w:val="-2"/>
          <w:sz w:val="24"/>
        </w:rPr>
        <w:t>nationalité.</w:t>
      </w:r>
    </w:p>
    <w:p>
      <w:pPr>
        <w:pStyle w:val="BodyText"/>
        <w:spacing w:before="159"/>
        <w:ind w:left="1133"/>
      </w:pPr>
      <w:r>
        <w:rPr>
          <w:color w:val="231F20"/>
        </w:rPr>
        <w:t>Le</w:t>
      </w:r>
      <w:r>
        <w:rPr>
          <w:color w:val="231F20"/>
          <w:spacing w:val="28"/>
        </w:rPr>
        <w:t> </w:t>
      </w:r>
      <w:r>
        <w:rPr>
          <w:color w:val="231F20"/>
        </w:rPr>
        <w:t>discours</w:t>
      </w:r>
      <w:r>
        <w:rPr>
          <w:color w:val="231F20"/>
          <w:spacing w:val="30"/>
        </w:rPr>
        <w:t> </w:t>
      </w:r>
      <w:r>
        <w:rPr>
          <w:color w:val="231F20"/>
        </w:rPr>
        <w:t>d’incitation</w:t>
      </w:r>
      <w:r>
        <w:rPr>
          <w:color w:val="231F20"/>
          <w:spacing w:val="30"/>
        </w:rPr>
        <w:t> </w:t>
      </w:r>
      <w:r>
        <w:rPr>
          <w:color w:val="231F20"/>
        </w:rPr>
        <w:t>à</w:t>
      </w:r>
      <w:r>
        <w:rPr>
          <w:color w:val="231F20"/>
          <w:spacing w:val="30"/>
        </w:rPr>
        <w:t> </w:t>
      </w:r>
      <w:r>
        <w:rPr>
          <w:color w:val="231F20"/>
        </w:rPr>
        <w:t>la</w:t>
      </w:r>
      <w:r>
        <w:rPr>
          <w:color w:val="231F20"/>
          <w:spacing w:val="30"/>
        </w:rPr>
        <w:t> </w:t>
      </w:r>
      <w:r>
        <w:rPr>
          <w:color w:val="231F20"/>
        </w:rPr>
        <w:t>haine</w:t>
      </w:r>
      <w:r>
        <w:rPr>
          <w:color w:val="231F20"/>
          <w:spacing w:val="30"/>
        </w:rPr>
        <w:t> </w:t>
      </w:r>
      <w:r>
        <w:rPr>
          <w:color w:val="231F20"/>
          <w:spacing w:val="-5"/>
        </w:rPr>
        <w:t>envers</w:t>
      </w:r>
    </w:p>
    <w:p>
      <w:pPr>
        <w:pStyle w:val="BodyText"/>
        <w:spacing w:before="77"/>
        <w:ind w:left="414" w:right="1478"/>
      </w:pPr>
      <w:r>
        <w:rPr/>
        <w:br w:type="column"/>
      </w:r>
      <w:r>
        <w:rPr>
          <w:color w:val="231F20"/>
        </w:rPr>
        <w:t>Cuba</w:t>
      </w:r>
      <w:r>
        <w:rPr>
          <w:color w:val="231F20"/>
          <w:spacing w:val="-17"/>
        </w:rPr>
        <w:t> </w:t>
      </w:r>
      <w:r>
        <w:rPr>
          <w:color w:val="231F20"/>
        </w:rPr>
        <w:t>a</w:t>
      </w:r>
      <w:r>
        <w:rPr>
          <w:color w:val="231F20"/>
          <w:spacing w:val="-16"/>
        </w:rPr>
        <w:t> </w:t>
      </w:r>
      <w:r>
        <w:rPr>
          <w:color w:val="231F20"/>
        </w:rPr>
        <w:t>porté</w:t>
      </w:r>
      <w:r>
        <w:rPr>
          <w:color w:val="231F20"/>
          <w:spacing w:val="-17"/>
        </w:rPr>
        <w:t> </w:t>
      </w:r>
      <w:r>
        <w:rPr>
          <w:color w:val="231F20"/>
        </w:rPr>
        <w:t>ses</w:t>
      </w:r>
      <w:r>
        <w:rPr>
          <w:color w:val="231F20"/>
          <w:spacing w:val="-16"/>
        </w:rPr>
        <w:t> </w:t>
      </w:r>
      <w:r>
        <w:rPr>
          <w:color w:val="231F20"/>
        </w:rPr>
        <w:t>fruits</w:t>
      </w:r>
      <w:r>
        <w:rPr>
          <w:color w:val="231F20"/>
          <w:spacing w:val="-17"/>
        </w:rPr>
        <w:t> </w:t>
      </w:r>
      <w:r>
        <w:rPr>
          <w:color w:val="231F20"/>
        </w:rPr>
        <w:t>le</w:t>
      </w:r>
      <w:r>
        <w:rPr>
          <w:color w:val="231F20"/>
          <w:spacing w:val="-16"/>
        </w:rPr>
        <w:t> </w:t>
      </w:r>
      <w:r>
        <w:rPr>
          <w:color w:val="231F20"/>
        </w:rPr>
        <w:t>19</w:t>
      </w:r>
      <w:r>
        <w:rPr>
          <w:color w:val="231F20"/>
          <w:spacing w:val="-17"/>
        </w:rPr>
        <w:t> </w:t>
      </w:r>
      <w:r>
        <w:rPr>
          <w:color w:val="231F20"/>
        </w:rPr>
        <w:t>mars</w:t>
      </w:r>
      <w:r>
        <w:rPr>
          <w:color w:val="231F20"/>
          <w:spacing w:val="-16"/>
        </w:rPr>
        <w:t> </w:t>
      </w:r>
      <w:r>
        <w:rPr>
          <w:color w:val="231F20"/>
        </w:rPr>
        <w:t>2023</w:t>
      </w:r>
      <w:r>
        <w:rPr>
          <w:color w:val="231F20"/>
          <w:spacing w:val="-16"/>
        </w:rPr>
        <w:t> </w:t>
      </w:r>
      <w:r>
        <w:rPr>
          <w:color w:val="231F20"/>
        </w:rPr>
        <w:t>lors du match de demi-finale du Cinquième </w:t>
      </w:r>
      <w:r>
        <w:rPr>
          <w:color w:val="231F20"/>
          <w:spacing w:val="-2"/>
        </w:rPr>
        <w:t>Classique</w:t>
      </w:r>
      <w:r>
        <w:rPr>
          <w:color w:val="231F20"/>
          <w:spacing w:val="-13"/>
        </w:rPr>
        <w:t> </w:t>
      </w:r>
      <w:r>
        <w:rPr>
          <w:color w:val="231F20"/>
          <w:spacing w:val="-2"/>
        </w:rPr>
        <w:t>mondial</w:t>
      </w:r>
      <w:r>
        <w:rPr>
          <w:color w:val="231F20"/>
          <w:spacing w:val="-13"/>
        </w:rPr>
        <w:t> </w:t>
      </w:r>
      <w:r>
        <w:rPr>
          <w:color w:val="231F20"/>
          <w:spacing w:val="-2"/>
        </w:rPr>
        <w:t>de</w:t>
      </w:r>
      <w:r>
        <w:rPr>
          <w:color w:val="231F20"/>
          <w:spacing w:val="-13"/>
        </w:rPr>
        <w:t> </w:t>
      </w:r>
      <w:r>
        <w:rPr>
          <w:color w:val="231F20"/>
          <w:spacing w:val="-2"/>
        </w:rPr>
        <w:t>base-ball</w:t>
      </w:r>
      <w:r>
        <w:rPr>
          <w:color w:val="231F20"/>
          <w:spacing w:val="-13"/>
        </w:rPr>
        <w:t> </w:t>
      </w:r>
      <w:r>
        <w:rPr>
          <w:color w:val="231F20"/>
          <w:spacing w:val="-2"/>
        </w:rPr>
        <w:t>entre</w:t>
      </w:r>
      <w:r>
        <w:rPr>
          <w:color w:val="231F20"/>
          <w:spacing w:val="-13"/>
        </w:rPr>
        <w:t> </w:t>
      </w:r>
      <w:r>
        <w:rPr>
          <w:color w:val="231F20"/>
          <w:spacing w:val="-2"/>
        </w:rPr>
        <w:t>Cuba </w:t>
      </w:r>
      <w:r>
        <w:rPr>
          <w:color w:val="231F20"/>
        </w:rPr>
        <w:t>et</w:t>
      </w:r>
      <w:r>
        <w:rPr>
          <w:color w:val="231F20"/>
          <w:spacing w:val="-10"/>
        </w:rPr>
        <w:t> </w:t>
      </w:r>
      <w:r>
        <w:rPr>
          <w:color w:val="231F20"/>
        </w:rPr>
        <w:t>les</w:t>
      </w:r>
      <w:r>
        <w:rPr>
          <w:color w:val="231F20"/>
          <w:spacing w:val="-10"/>
        </w:rPr>
        <w:t> </w:t>
      </w:r>
      <w:r>
        <w:rPr>
          <w:color w:val="231F20"/>
        </w:rPr>
        <w:t>États-Unis,</w:t>
      </w:r>
      <w:r>
        <w:rPr>
          <w:color w:val="231F20"/>
          <w:spacing w:val="-10"/>
        </w:rPr>
        <w:t> </w:t>
      </w:r>
      <w:r>
        <w:rPr>
          <w:color w:val="231F20"/>
        </w:rPr>
        <w:t>qui</w:t>
      </w:r>
      <w:r>
        <w:rPr>
          <w:color w:val="231F20"/>
          <w:spacing w:val="-10"/>
        </w:rPr>
        <w:t> </w:t>
      </w:r>
      <w:r>
        <w:rPr>
          <w:color w:val="231F20"/>
        </w:rPr>
        <w:t>s’est</w:t>
      </w:r>
      <w:r>
        <w:rPr>
          <w:color w:val="231F20"/>
          <w:spacing w:val="-10"/>
        </w:rPr>
        <w:t> </w:t>
      </w:r>
      <w:r>
        <w:rPr>
          <w:color w:val="231F20"/>
        </w:rPr>
        <w:t>déroulé</w:t>
      </w:r>
      <w:r>
        <w:rPr>
          <w:color w:val="231F20"/>
          <w:spacing w:val="-10"/>
        </w:rPr>
        <w:t> </w:t>
      </w:r>
      <w:r>
        <w:rPr>
          <w:color w:val="231F20"/>
        </w:rPr>
        <w:t>au</w:t>
      </w:r>
      <w:r>
        <w:rPr>
          <w:color w:val="231F20"/>
          <w:spacing w:val="-10"/>
        </w:rPr>
        <w:t> </w:t>
      </w:r>
      <w:r>
        <w:rPr>
          <w:color w:val="231F20"/>
        </w:rPr>
        <w:t>Loan </w:t>
      </w:r>
      <w:r>
        <w:rPr>
          <w:color w:val="231F20"/>
          <w:spacing w:val="-4"/>
        </w:rPr>
        <w:t>Depot</w:t>
      </w:r>
      <w:r>
        <w:rPr>
          <w:color w:val="231F20"/>
          <w:spacing w:val="-13"/>
        </w:rPr>
        <w:t> </w:t>
      </w:r>
      <w:r>
        <w:rPr>
          <w:color w:val="231F20"/>
          <w:spacing w:val="-4"/>
        </w:rPr>
        <w:t>Park</w:t>
      </w:r>
      <w:r>
        <w:rPr>
          <w:color w:val="231F20"/>
          <w:spacing w:val="-12"/>
        </w:rPr>
        <w:t> </w:t>
      </w:r>
      <w:r>
        <w:rPr>
          <w:color w:val="231F20"/>
          <w:spacing w:val="-4"/>
        </w:rPr>
        <w:t>de</w:t>
      </w:r>
      <w:r>
        <w:rPr>
          <w:color w:val="231F20"/>
          <w:spacing w:val="-13"/>
        </w:rPr>
        <w:t> </w:t>
      </w:r>
      <w:r>
        <w:rPr>
          <w:color w:val="231F20"/>
          <w:spacing w:val="-4"/>
        </w:rPr>
        <w:t>Miami</w:t>
      </w:r>
      <w:r>
        <w:rPr>
          <w:color w:val="231F20"/>
          <w:spacing w:val="-12"/>
        </w:rPr>
        <w:t> </w:t>
      </w:r>
      <w:r>
        <w:rPr>
          <w:color w:val="231F20"/>
          <w:spacing w:val="-4"/>
        </w:rPr>
        <w:t>(Floride)</w:t>
      </w:r>
      <w:r>
        <w:rPr>
          <w:color w:val="231F20"/>
          <w:spacing w:val="-13"/>
        </w:rPr>
        <w:t> </w:t>
      </w:r>
      <w:r>
        <w:rPr>
          <w:color w:val="231F20"/>
          <w:spacing w:val="-4"/>
        </w:rPr>
        <w:t>:</w:t>
      </w:r>
      <w:r>
        <w:rPr>
          <w:color w:val="231F20"/>
          <w:spacing w:val="-12"/>
        </w:rPr>
        <w:t> </w:t>
      </w:r>
      <w:r>
        <w:rPr>
          <w:color w:val="231F20"/>
          <w:spacing w:val="-4"/>
        </w:rPr>
        <w:t>nos</w:t>
      </w:r>
      <w:r>
        <w:rPr>
          <w:color w:val="231F20"/>
          <w:spacing w:val="-13"/>
        </w:rPr>
        <w:t> </w:t>
      </w:r>
      <w:r>
        <w:rPr>
          <w:color w:val="231F20"/>
          <w:spacing w:val="-4"/>
        </w:rPr>
        <w:t>joueurs, notre</w:t>
      </w:r>
      <w:r>
        <w:rPr>
          <w:color w:val="231F20"/>
          <w:spacing w:val="-13"/>
        </w:rPr>
        <w:t> </w:t>
      </w:r>
      <w:r>
        <w:rPr>
          <w:color w:val="231F20"/>
          <w:spacing w:val="-4"/>
        </w:rPr>
        <w:t>délégation</w:t>
      </w:r>
      <w:r>
        <w:rPr>
          <w:color w:val="231F20"/>
          <w:spacing w:val="-12"/>
        </w:rPr>
        <w:t> </w:t>
      </w:r>
      <w:r>
        <w:rPr>
          <w:color w:val="231F20"/>
          <w:spacing w:val="-4"/>
        </w:rPr>
        <w:t>et</w:t>
      </w:r>
      <w:r>
        <w:rPr>
          <w:color w:val="231F20"/>
          <w:spacing w:val="-13"/>
        </w:rPr>
        <w:t> </w:t>
      </w:r>
      <w:r>
        <w:rPr>
          <w:color w:val="231F20"/>
          <w:spacing w:val="-4"/>
        </w:rPr>
        <w:t>les</w:t>
      </w:r>
      <w:r>
        <w:rPr>
          <w:color w:val="231F20"/>
          <w:spacing w:val="-12"/>
        </w:rPr>
        <w:t> </w:t>
      </w:r>
      <w:r>
        <w:rPr>
          <w:color w:val="231F20"/>
          <w:spacing w:val="-4"/>
        </w:rPr>
        <w:t>fans</w:t>
      </w:r>
      <w:r>
        <w:rPr>
          <w:color w:val="231F20"/>
          <w:spacing w:val="-13"/>
        </w:rPr>
        <w:t> </w:t>
      </w:r>
      <w:r>
        <w:rPr>
          <w:color w:val="231F20"/>
          <w:spacing w:val="-4"/>
        </w:rPr>
        <w:t>de</w:t>
      </w:r>
      <w:r>
        <w:rPr>
          <w:color w:val="231F20"/>
          <w:spacing w:val="-12"/>
        </w:rPr>
        <w:t> </w:t>
      </w:r>
      <w:r>
        <w:rPr>
          <w:color w:val="231F20"/>
          <w:spacing w:val="-4"/>
        </w:rPr>
        <w:t>notre</w:t>
      </w:r>
      <w:r>
        <w:rPr>
          <w:color w:val="231F20"/>
          <w:spacing w:val="-13"/>
        </w:rPr>
        <w:t> </w:t>
      </w:r>
      <w:r>
        <w:rPr>
          <w:color w:val="231F20"/>
          <w:spacing w:val="-4"/>
        </w:rPr>
        <w:t>équipe </w:t>
      </w:r>
      <w:r>
        <w:rPr>
          <w:color w:val="231F20"/>
          <w:spacing w:val="-6"/>
        </w:rPr>
        <w:t>ont</w:t>
      </w:r>
      <w:r>
        <w:rPr>
          <w:color w:val="231F20"/>
          <w:spacing w:val="-11"/>
        </w:rPr>
        <w:t> </w:t>
      </w:r>
      <w:r>
        <w:rPr>
          <w:color w:val="231F20"/>
          <w:spacing w:val="-6"/>
        </w:rPr>
        <w:t>été</w:t>
      </w:r>
      <w:r>
        <w:rPr>
          <w:color w:val="231F20"/>
          <w:spacing w:val="-10"/>
        </w:rPr>
        <w:t> </w:t>
      </w:r>
      <w:r>
        <w:rPr>
          <w:color w:val="231F20"/>
          <w:spacing w:val="-6"/>
        </w:rPr>
        <w:t>victimes</w:t>
      </w:r>
      <w:r>
        <w:rPr>
          <w:color w:val="231F20"/>
          <w:spacing w:val="-11"/>
        </w:rPr>
        <w:t> </w:t>
      </w:r>
      <w:r>
        <w:rPr>
          <w:color w:val="231F20"/>
          <w:spacing w:val="-6"/>
        </w:rPr>
        <w:t>d’agressions</w:t>
      </w:r>
      <w:r>
        <w:rPr>
          <w:color w:val="231F20"/>
          <w:spacing w:val="-10"/>
        </w:rPr>
        <w:t> </w:t>
      </w:r>
      <w:r>
        <w:rPr>
          <w:color w:val="231F20"/>
          <w:spacing w:val="-6"/>
        </w:rPr>
        <w:t>directes,</w:t>
      </w:r>
      <w:r>
        <w:rPr>
          <w:color w:val="231F20"/>
          <w:spacing w:val="-11"/>
        </w:rPr>
        <w:t> </w:t>
      </w:r>
      <w:r>
        <w:rPr>
          <w:color w:val="231F20"/>
          <w:spacing w:val="-6"/>
        </w:rPr>
        <w:t>et,</w:t>
      </w:r>
      <w:r>
        <w:rPr>
          <w:color w:val="231F20"/>
          <w:spacing w:val="-10"/>
        </w:rPr>
        <w:t> </w:t>
      </w:r>
      <w:r>
        <w:rPr>
          <w:color w:val="231F20"/>
          <w:spacing w:val="-6"/>
        </w:rPr>
        <w:t>sur </w:t>
      </w:r>
      <w:r>
        <w:rPr>
          <w:color w:val="231F20"/>
          <w:spacing w:val="-8"/>
        </w:rPr>
        <w:t>le</w:t>
      </w:r>
      <w:r>
        <w:rPr>
          <w:color w:val="231F20"/>
          <w:spacing w:val="-9"/>
        </w:rPr>
        <w:t> </w:t>
      </w:r>
      <w:r>
        <w:rPr>
          <w:color w:val="231F20"/>
          <w:spacing w:val="-8"/>
        </w:rPr>
        <w:t>terrain, nos</w:t>
      </w:r>
      <w:r>
        <w:rPr>
          <w:color w:val="231F20"/>
          <w:spacing w:val="-9"/>
        </w:rPr>
        <w:t> </w:t>
      </w:r>
      <w:r>
        <w:rPr>
          <w:color w:val="231F20"/>
          <w:spacing w:val="-8"/>
        </w:rPr>
        <w:t>joueurs ont</w:t>
      </w:r>
      <w:r>
        <w:rPr>
          <w:color w:val="231F20"/>
          <w:spacing w:val="-9"/>
        </w:rPr>
        <w:t> </w:t>
      </w:r>
      <w:r>
        <w:rPr>
          <w:color w:val="231F20"/>
          <w:spacing w:val="-8"/>
        </w:rPr>
        <w:t>été victimes</w:t>
      </w:r>
      <w:r>
        <w:rPr>
          <w:color w:val="231F20"/>
          <w:spacing w:val="-9"/>
        </w:rPr>
        <w:t> </w:t>
      </w:r>
      <w:r>
        <w:rPr>
          <w:color w:val="231F20"/>
          <w:spacing w:val="-8"/>
        </w:rPr>
        <w:t>de jets </w:t>
      </w:r>
      <w:r>
        <w:rPr>
          <w:color w:val="231F20"/>
          <w:spacing w:val="-2"/>
        </w:rPr>
        <w:t>d’objets,</w:t>
      </w:r>
      <w:r>
        <w:rPr>
          <w:color w:val="231F20"/>
          <w:spacing w:val="-14"/>
        </w:rPr>
        <w:t> </w:t>
      </w:r>
      <w:r>
        <w:rPr>
          <w:color w:val="231F20"/>
          <w:spacing w:val="-2"/>
        </w:rPr>
        <w:t>d’insultes</w:t>
      </w:r>
      <w:r>
        <w:rPr>
          <w:color w:val="231F20"/>
          <w:spacing w:val="-14"/>
        </w:rPr>
        <w:t> </w:t>
      </w:r>
      <w:r>
        <w:rPr>
          <w:color w:val="231F20"/>
          <w:spacing w:val="-2"/>
        </w:rPr>
        <w:t>grossières,</w:t>
      </w:r>
      <w:r>
        <w:rPr>
          <w:color w:val="231F20"/>
          <w:spacing w:val="-14"/>
        </w:rPr>
        <w:t> </w:t>
      </w:r>
      <w:r>
        <w:rPr>
          <w:color w:val="231F20"/>
          <w:spacing w:val="-2"/>
        </w:rPr>
        <w:t>de</w:t>
      </w:r>
      <w:r>
        <w:rPr>
          <w:color w:val="231F20"/>
          <w:spacing w:val="-14"/>
        </w:rPr>
        <w:t> </w:t>
      </w:r>
      <w:r>
        <w:rPr>
          <w:color w:val="231F20"/>
          <w:spacing w:val="-2"/>
        </w:rPr>
        <w:t>menaces, </w:t>
      </w:r>
      <w:r>
        <w:rPr>
          <w:color w:val="231F20"/>
          <w:spacing w:val="-10"/>
        </w:rPr>
        <w:t>tandis</w:t>
      </w:r>
      <w:r>
        <w:rPr>
          <w:color w:val="231F20"/>
          <w:spacing w:val="-5"/>
        </w:rPr>
        <w:t> </w:t>
      </w:r>
      <w:r>
        <w:rPr>
          <w:color w:val="231F20"/>
          <w:spacing w:val="-10"/>
        </w:rPr>
        <w:t>que</w:t>
      </w:r>
      <w:r>
        <w:rPr>
          <w:color w:val="231F20"/>
          <w:spacing w:val="-4"/>
        </w:rPr>
        <w:t> </w:t>
      </w:r>
      <w:r>
        <w:rPr>
          <w:color w:val="231F20"/>
          <w:spacing w:val="-10"/>
        </w:rPr>
        <w:t>des</w:t>
      </w:r>
      <w:r>
        <w:rPr>
          <w:color w:val="231F20"/>
          <w:spacing w:val="-5"/>
        </w:rPr>
        <w:t> </w:t>
      </w:r>
      <w:r>
        <w:rPr>
          <w:color w:val="231F20"/>
          <w:spacing w:val="-10"/>
        </w:rPr>
        <w:t>pancartes</w:t>
      </w:r>
      <w:r>
        <w:rPr>
          <w:color w:val="231F20"/>
          <w:spacing w:val="-5"/>
        </w:rPr>
        <w:t> </w:t>
      </w:r>
      <w:r>
        <w:rPr>
          <w:color w:val="231F20"/>
          <w:spacing w:val="-10"/>
        </w:rPr>
        <w:t>à</w:t>
      </w:r>
      <w:r>
        <w:rPr>
          <w:color w:val="231F20"/>
          <w:spacing w:val="-4"/>
        </w:rPr>
        <w:t> </w:t>
      </w:r>
      <w:r>
        <w:rPr>
          <w:color w:val="231F20"/>
          <w:spacing w:val="-10"/>
        </w:rPr>
        <w:t>slogans</w:t>
      </w:r>
      <w:r>
        <w:rPr>
          <w:color w:val="231F20"/>
          <w:spacing w:val="-5"/>
        </w:rPr>
        <w:t> </w:t>
      </w:r>
      <w:r>
        <w:rPr>
          <w:color w:val="231F20"/>
          <w:spacing w:val="-10"/>
        </w:rPr>
        <w:t>politiques </w:t>
      </w:r>
      <w:r>
        <w:rPr>
          <w:color w:val="231F20"/>
        </w:rPr>
        <w:t>étaient déployées dans les tribunes pour saper</w:t>
      </w:r>
      <w:r>
        <w:rPr>
          <w:color w:val="231F20"/>
          <w:spacing w:val="-17"/>
        </w:rPr>
        <w:t> </w:t>
      </w:r>
      <w:r>
        <w:rPr>
          <w:color w:val="231F20"/>
        </w:rPr>
        <w:t>le</w:t>
      </w:r>
      <w:r>
        <w:rPr>
          <w:color w:val="231F20"/>
          <w:spacing w:val="-16"/>
        </w:rPr>
        <w:t> </w:t>
      </w:r>
      <w:r>
        <w:rPr>
          <w:color w:val="231F20"/>
        </w:rPr>
        <w:t>moral</w:t>
      </w:r>
      <w:r>
        <w:rPr>
          <w:color w:val="231F20"/>
          <w:spacing w:val="-17"/>
        </w:rPr>
        <w:t> </w:t>
      </w:r>
      <w:r>
        <w:rPr>
          <w:color w:val="231F20"/>
        </w:rPr>
        <w:t>de</w:t>
      </w:r>
      <w:r>
        <w:rPr>
          <w:color w:val="231F20"/>
          <w:spacing w:val="-16"/>
        </w:rPr>
        <w:t> </w:t>
      </w:r>
      <w:r>
        <w:rPr>
          <w:color w:val="231F20"/>
        </w:rPr>
        <w:t>notre</w:t>
      </w:r>
      <w:r>
        <w:rPr>
          <w:color w:val="231F20"/>
          <w:spacing w:val="-17"/>
        </w:rPr>
        <w:t> </w:t>
      </w:r>
      <w:r>
        <w:rPr>
          <w:color w:val="231F20"/>
        </w:rPr>
        <w:t>équipe.</w:t>
      </w:r>
    </w:p>
    <w:p>
      <w:pPr>
        <w:pStyle w:val="BodyText"/>
        <w:spacing w:before="5"/>
        <w:jc w:val="left"/>
        <w:rPr>
          <w:sz w:val="18"/>
        </w:rPr>
      </w:pPr>
      <w:r>
        <w:rPr/>
        <mc:AlternateContent>
          <mc:Choice Requires="wps">
            <w:drawing>
              <wp:anchor distT="0" distB="0" distL="0" distR="0" allowOverlap="1" layoutInCell="1" locked="0" behindDoc="1" simplePos="0" relativeHeight="487693312">
                <wp:simplePos x="0" y="0"/>
                <wp:positionH relativeFrom="page">
                  <wp:posOffset>3672001</wp:posOffset>
                </wp:positionH>
                <wp:positionV relativeFrom="paragraph">
                  <wp:posOffset>170456</wp:posOffset>
                </wp:positionV>
                <wp:extent cx="3888104" cy="3149600"/>
                <wp:effectExtent l="0" t="0" r="0" b="0"/>
                <wp:wrapTopAndBottom/>
                <wp:docPr id="445" name="Textbox 445"/>
                <wp:cNvGraphicFramePr>
                  <a:graphicFrameLocks/>
                </wp:cNvGraphicFramePr>
                <a:graphic>
                  <a:graphicData uri="http://schemas.microsoft.com/office/word/2010/wordprocessingShape">
                    <wps:wsp>
                      <wps:cNvPr id="445" name="Textbox 445"/>
                      <wps:cNvSpPr txBox="1"/>
                      <wps:spPr>
                        <a:xfrm>
                          <a:off x="0" y="0"/>
                          <a:ext cx="3888104" cy="3149600"/>
                        </a:xfrm>
                        <a:prstGeom prst="rect">
                          <a:avLst/>
                        </a:prstGeom>
                        <a:solidFill>
                          <a:srgbClr val="E0E2E2"/>
                        </a:solidFill>
                      </wps:spPr>
                      <wps:txbx>
                        <w:txbxContent>
                          <w:p>
                            <w:pPr>
                              <w:pStyle w:val="BodyText"/>
                              <w:spacing w:before="195"/>
                              <w:jc w:val="left"/>
                              <w:rPr>
                                <w:color w:val="000000"/>
                                <w:sz w:val="26"/>
                              </w:rPr>
                            </w:pPr>
                          </w:p>
                          <w:p>
                            <w:pPr>
                              <w:spacing w:line="220" w:lineRule="auto" w:before="0"/>
                              <w:ind w:left="1009" w:right="1472" w:hanging="606"/>
                              <w:jc w:val="right"/>
                              <w:rPr>
                                <w:rFonts w:ascii="Segoe UI Semibold" w:hAnsi="Segoe UI Semibold"/>
                                <w:b/>
                                <w:i/>
                                <w:color w:val="000000"/>
                                <w:sz w:val="26"/>
                              </w:rPr>
                            </w:pPr>
                            <w:r>
                              <w:rPr>
                                <w:rFonts w:ascii="Segoe UI Semibold" w:hAnsi="Segoe UI Semibold"/>
                                <w:b/>
                                <w:i/>
                                <w:color w:val="1A4796"/>
                                <w:spacing w:val="-2"/>
                                <w:sz w:val="26"/>
                              </w:rPr>
                              <w:t>Cuba</w:t>
                            </w:r>
                            <w:r>
                              <w:rPr>
                                <w:rFonts w:ascii="Segoe UI Semibold" w:hAnsi="Segoe UI Semibold"/>
                                <w:b/>
                                <w:i/>
                                <w:color w:val="1A4796"/>
                                <w:spacing w:val="-16"/>
                                <w:sz w:val="26"/>
                              </w:rPr>
                              <w:t> </w:t>
                            </w:r>
                            <w:r>
                              <w:rPr>
                                <w:rFonts w:ascii="Segoe UI Semibold" w:hAnsi="Segoe UI Semibold"/>
                                <w:b/>
                                <w:i/>
                                <w:color w:val="1A4796"/>
                                <w:spacing w:val="-2"/>
                                <w:sz w:val="26"/>
                              </w:rPr>
                              <w:t>a</w:t>
                            </w:r>
                            <w:r>
                              <w:rPr>
                                <w:rFonts w:ascii="Segoe UI Semibold" w:hAnsi="Segoe UI Semibold"/>
                                <w:b/>
                                <w:i/>
                                <w:color w:val="1A4796"/>
                                <w:spacing w:val="-16"/>
                                <w:sz w:val="26"/>
                              </w:rPr>
                              <w:t> </w:t>
                            </w:r>
                            <w:r>
                              <w:rPr>
                                <w:rFonts w:ascii="Segoe UI Semibold" w:hAnsi="Segoe UI Semibold"/>
                                <w:b/>
                                <w:i/>
                                <w:color w:val="1A4796"/>
                                <w:spacing w:val="-2"/>
                                <w:sz w:val="26"/>
                              </w:rPr>
                              <w:t>dénoncé</w:t>
                            </w:r>
                            <w:r>
                              <w:rPr>
                                <w:rFonts w:ascii="Segoe UI Semibold" w:hAnsi="Segoe UI Semibold"/>
                                <w:b/>
                                <w:i/>
                                <w:color w:val="1A4796"/>
                                <w:spacing w:val="-16"/>
                                <w:sz w:val="26"/>
                              </w:rPr>
                              <w:t> </w:t>
                            </w:r>
                            <w:r>
                              <w:rPr>
                                <w:rFonts w:ascii="Segoe UI Semibold" w:hAnsi="Segoe UI Semibold"/>
                                <w:b/>
                                <w:i/>
                                <w:color w:val="1A4796"/>
                                <w:spacing w:val="-2"/>
                                <w:sz w:val="26"/>
                              </w:rPr>
                              <w:t>énergiquement</w:t>
                            </w:r>
                            <w:r>
                              <w:rPr>
                                <w:rFonts w:ascii="Segoe UI Semibold" w:hAnsi="Segoe UI Semibold"/>
                                <w:b/>
                                <w:i/>
                                <w:color w:val="1A4796"/>
                                <w:spacing w:val="-16"/>
                                <w:sz w:val="26"/>
                              </w:rPr>
                              <w:t> </w:t>
                            </w:r>
                            <w:r>
                              <w:rPr>
                                <w:rFonts w:ascii="Segoe UI Semibold" w:hAnsi="Segoe UI Semibold"/>
                                <w:b/>
                                <w:i/>
                                <w:color w:val="1A4796"/>
                                <w:spacing w:val="-2"/>
                                <w:sz w:val="26"/>
                              </w:rPr>
                              <w:t>cette</w:t>
                            </w:r>
                            <w:r>
                              <w:rPr>
                                <w:rFonts w:ascii="Segoe UI Semibold" w:hAnsi="Segoe UI Semibold"/>
                                <w:b/>
                                <w:i/>
                                <w:color w:val="1A4796"/>
                                <w:spacing w:val="-2"/>
                                <w:sz w:val="26"/>
                              </w:rPr>
                              <w:t> instigation</w:t>
                            </w:r>
                            <w:r>
                              <w:rPr>
                                <w:rFonts w:ascii="Segoe UI Semibold" w:hAnsi="Segoe UI Semibold"/>
                                <w:b/>
                                <w:i/>
                                <w:color w:val="1A4796"/>
                                <w:spacing w:val="-16"/>
                                <w:sz w:val="26"/>
                              </w:rPr>
                              <w:t> </w:t>
                            </w:r>
                            <w:r>
                              <w:rPr>
                                <w:rFonts w:ascii="Segoe UI Semibold" w:hAnsi="Segoe UI Semibold"/>
                                <w:b/>
                                <w:i/>
                                <w:color w:val="1A4796"/>
                                <w:spacing w:val="-2"/>
                                <w:sz w:val="26"/>
                              </w:rPr>
                              <w:t>au</w:t>
                            </w:r>
                            <w:r>
                              <w:rPr>
                                <w:rFonts w:ascii="Segoe UI Semibold" w:hAnsi="Segoe UI Semibold"/>
                                <w:b/>
                                <w:i/>
                                <w:color w:val="1A4796"/>
                                <w:spacing w:val="-16"/>
                                <w:sz w:val="26"/>
                              </w:rPr>
                              <w:t> </w:t>
                            </w:r>
                            <w:r>
                              <w:rPr>
                                <w:rFonts w:ascii="Segoe UI Semibold" w:hAnsi="Segoe UI Semibold"/>
                                <w:b/>
                                <w:i/>
                                <w:color w:val="1A4796"/>
                                <w:spacing w:val="-2"/>
                                <w:sz w:val="26"/>
                              </w:rPr>
                              <w:t>harcèlement,</w:t>
                            </w:r>
                            <w:r>
                              <w:rPr>
                                <w:rFonts w:ascii="Segoe UI Semibold" w:hAnsi="Segoe UI Semibold"/>
                                <w:b/>
                                <w:i/>
                                <w:color w:val="1A4796"/>
                                <w:spacing w:val="-16"/>
                                <w:sz w:val="26"/>
                              </w:rPr>
                              <w:t> </w:t>
                            </w:r>
                            <w:r>
                              <w:rPr>
                                <w:rFonts w:ascii="Segoe UI Semibold" w:hAnsi="Segoe UI Semibold"/>
                                <w:b/>
                                <w:i/>
                                <w:color w:val="1A4796"/>
                                <w:spacing w:val="-2"/>
                                <w:sz w:val="26"/>
                              </w:rPr>
                              <w:t>à</w:t>
                            </w:r>
                            <w:r>
                              <w:rPr>
                                <w:rFonts w:ascii="Segoe UI Semibold" w:hAnsi="Segoe UI Semibold"/>
                                <w:b/>
                                <w:i/>
                                <w:color w:val="1A4796"/>
                                <w:spacing w:val="-16"/>
                                <w:sz w:val="26"/>
                              </w:rPr>
                              <w:t> </w:t>
                            </w:r>
                            <w:r>
                              <w:rPr>
                                <w:rFonts w:ascii="Segoe UI Semibold" w:hAnsi="Segoe UI Semibold"/>
                                <w:b/>
                                <w:i/>
                                <w:color w:val="1A4796"/>
                                <w:spacing w:val="-2"/>
                                <w:sz w:val="26"/>
                              </w:rPr>
                              <w:t>la </w:t>
                            </w:r>
                            <w:r>
                              <w:rPr>
                                <w:rFonts w:ascii="Segoe UI Semibold" w:hAnsi="Segoe UI Semibold"/>
                                <w:b/>
                                <w:i/>
                                <w:color w:val="1A4796"/>
                                <w:sz w:val="26"/>
                              </w:rPr>
                              <w:t>violence et à la haine contre</w:t>
                            </w:r>
                          </w:p>
                          <w:p>
                            <w:pPr>
                              <w:spacing w:line="220" w:lineRule="auto" w:before="2"/>
                              <w:ind w:left="731" w:right="1475" w:hanging="86"/>
                              <w:jc w:val="right"/>
                              <w:rPr>
                                <w:rFonts w:ascii="Segoe UI Semibold" w:hAnsi="Segoe UI Semibold"/>
                                <w:b/>
                                <w:i/>
                                <w:color w:val="000000"/>
                                <w:sz w:val="26"/>
                              </w:rPr>
                            </w:pPr>
                            <w:r>
                              <w:rPr>
                                <w:rFonts w:ascii="Segoe UI Semibold" w:hAnsi="Segoe UI Semibold"/>
                                <w:b/>
                                <w:i/>
                                <w:color w:val="1A4796"/>
                                <w:sz w:val="26"/>
                              </w:rPr>
                              <w:t>ses</w:t>
                            </w:r>
                            <w:r>
                              <w:rPr>
                                <w:rFonts w:ascii="Segoe UI Semibold" w:hAnsi="Segoe UI Semibold"/>
                                <w:b/>
                                <w:i/>
                                <w:color w:val="1A4796"/>
                                <w:spacing w:val="-18"/>
                                <w:sz w:val="26"/>
                              </w:rPr>
                              <w:t> </w:t>
                            </w:r>
                            <w:r>
                              <w:rPr>
                                <w:rFonts w:ascii="Segoe UI Semibold" w:hAnsi="Segoe UI Semibold"/>
                                <w:b/>
                                <w:i/>
                                <w:color w:val="1A4796"/>
                                <w:sz w:val="26"/>
                              </w:rPr>
                              <w:t>sportifs</w:t>
                            </w:r>
                            <w:r>
                              <w:rPr>
                                <w:rFonts w:ascii="Segoe UI Semibold" w:hAnsi="Segoe UI Semibold"/>
                                <w:b/>
                                <w:i/>
                                <w:color w:val="1A4796"/>
                                <w:spacing w:val="-18"/>
                                <w:sz w:val="26"/>
                              </w:rPr>
                              <w:t> </w:t>
                            </w:r>
                            <w:r>
                              <w:rPr>
                                <w:rFonts w:ascii="Segoe UI Semibold" w:hAnsi="Segoe UI Semibold"/>
                                <w:b/>
                                <w:i/>
                                <w:color w:val="1A4796"/>
                                <w:sz w:val="26"/>
                              </w:rPr>
                              <w:t>de</w:t>
                            </w:r>
                            <w:r>
                              <w:rPr>
                                <w:rFonts w:ascii="Segoe UI Semibold" w:hAnsi="Segoe UI Semibold"/>
                                <w:b/>
                                <w:i/>
                                <w:color w:val="1A4796"/>
                                <w:spacing w:val="-18"/>
                                <w:sz w:val="26"/>
                              </w:rPr>
                              <w:t> </w:t>
                            </w:r>
                            <w:r>
                              <w:rPr>
                                <w:rFonts w:ascii="Segoe UI Semibold" w:hAnsi="Segoe UI Semibold"/>
                                <w:b/>
                                <w:i/>
                                <w:color w:val="1A4796"/>
                                <w:sz w:val="26"/>
                              </w:rPr>
                              <w:t>la</w:t>
                            </w:r>
                            <w:r>
                              <w:rPr>
                                <w:rFonts w:ascii="Segoe UI Semibold" w:hAnsi="Segoe UI Semibold"/>
                                <w:b/>
                                <w:i/>
                                <w:color w:val="1A4796"/>
                                <w:spacing w:val="-18"/>
                                <w:sz w:val="26"/>
                              </w:rPr>
                              <w:t> </w:t>
                            </w:r>
                            <w:r>
                              <w:rPr>
                                <w:rFonts w:ascii="Segoe UI Semibold" w:hAnsi="Segoe UI Semibold"/>
                                <w:b/>
                                <w:i/>
                                <w:color w:val="1A4796"/>
                                <w:sz w:val="26"/>
                              </w:rPr>
                              <w:t>part</w:t>
                            </w:r>
                            <w:r>
                              <w:rPr>
                                <w:rFonts w:ascii="Segoe UI Semibold" w:hAnsi="Segoe UI Semibold"/>
                                <w:b/>
                                <w:i/>
                                <w:color w:val="1A4796"/>
                                <w:spacing w:val="-18"/>
                                <w:sz w:val="26"/>
                              </w:rPr>
                              <w:t> </w:t>
                            </w:r>
                            <w:r>
                              <w:rPr>
                                <w:rFonts w:ascii="Segoe UI Semibold" w:hAnsi="Segoe UI Semibold"/>
                                <w:b/>
                                <w:i/>
                                <w:color w:val="1A4796"/>
                                <w:sz w:val="26"/>
                              </w:rPr>
                              <w:t>de</w:t>
                            </w:r>
                            <w:r>
                              <w:rPr>
                                <w:rFonts w:ascii="Segoe UI Semibold" w:hAnsi="Segoe UI Semibold"/>
                                <w:b/>
                                <w:i/>
                                <w:color w:val="1A4796"/>
                                <w:spacing w:val="-18"/>
                                <w:sz w:val="26"/>
                              </w:rPr>
                              <w:t> </w:t>
                            </w:r>
                            <w:r>
                              <w:rPr>
                                <w:rFonts w:ascii="Segoe UI Semibold" w:hAnsi="Segoe UI Semibold"/>
                                <w:b/>
                                <w:i/>
                                <w:color w:val="1A4796"/>
                                <w:sz w:val="26"/>
                              </w:rPr>
                              <w:t>politiciens</w:t>
                            </w:r>
                            <w:r>
                              <w:rPr>
                                <w:rFonts w:ascii="Segoe UI Semibold" w:hAnsi="Segoe UI Semibold"/>
                                <w:b/>
                                <w:i/>
                                <w:color w:val="1A4796"/>
                                <w:sz w:val="26"/>
                              </w:rPr>
                              <w:t> locaux</w:t>
                            </w:r>
                            <w:r>
                              <w:rPr>
                                <w:rFonts w:ascii="Segoe UI Semibold" w:hAnsi="Segoe UI Semibold"/>
                                <w:b/>
                                <w:i/>
                                <w:color w:val="1A4796"/>
                                <w:spacing w:val="-6"/>
                                <w:sz w:val="26"/>
                              </w:rPr>
                              <w:t> </w:t>
                            </w:r>
                            <w:r>
                              <w:rPr>
                                <w:rFonts w:ascii="Segoe UI Semibold" w:hAnsi="Segoe UI Semibold"/>
                                <w:b/>
                                <w:i/>
                                <w:color w:val="1A4796"/>
                                <w:sz w:val="26"/>
                              </w:rPr>
                              <w:t>et</w:t>
                            </w:r>
                            <w:r>
                              <w:rPr>
                                <w:rFonts w:ascii="Segoe UI Semibold" w:hAnsi="Segoe UI Semibold"/>
                                <w:b/>
                                <w:i/>
                                <w:color w:val="1A4796"/>
                                <w:spacing w:val="-6"/>
                                <w:sz w:val="26"/>
                              </w:rPr>
                              <w:t> </w:t>
                            </w:r>
                            <w:r>
                              <w:rPr>
                                <w:rFonts w:ascii="Segoe UI Semibold" w:hAnsi="Segoe UI Semibold"/>
                                <w:b/>
                                <w:i/>
                                <w:color w:val="1A4796"/>
                                <w:sz w:val="26"/>
                              </w:rPr>
                              <w:t>de</w:t>
                            </w:r>
                            <w:r>
                              <w:rPr>
                                <w:rFonts w:ascii="Segoe UI Semibold" w:hAnsi="Segoe UI Semibold"/>
                                <w:b/>
                                <w:i/>
                                <w:color w:val="1A4796"/>
                                <w:spacing w:val="-6"/>
                                <w:sz w:val="26"/>
                              </w:rPr>
                              <w:t> </w:t>
                            </w:r>
                            <w:r>
                              <w:rPr>
                                <w:rFonts w:ascii="Segoe UI Semibold" w:hAnsi="Segoe UI Semibold"/>
                                <w:b/>
                                <w:i/>
                                <w:color w:val="1A4796"/>
                                <w:sz w:val="26"/>
                              </w:rPr>
                              <w:t>personnages</w:t>
                            </w:r>
                            <w:r>
                              <w:rPr>
                                <w:rFonts w:ascii="Segoe UI Semibold" w:hAnsi="Segoe UI Semibold"/>
                                <w:b/>
                                <w:i/>
                                <w:color w:val="1A4796"/>
                                <w:spacing w:val="-6"/>
                                <w:sz w:val="26"/>
                              </w:rPr>
                              <w:t> </w:t>
                            </w:r>
                            <w:r>
                              <w:rPr>
                                <w:rFonts w:ascii="Segoe UI Semibold" w:hAnsi="Segoe UI Semibold"/>
                                <w:b/>
                                <w:i/>
                                <w:color w:val="1A4796"/>
                                <w:sz w:val="26"/>
                              </w:rPr>
                              <w:t>publics, </w:t>
                            </w:r>
                            <w:r>
                              <w:rPr>
                                <w:rFonts w:ascii="Segoe UI Semibold" w:hAnsi="Segoe UI Semibold"/>
                                <w:b/>
                                <w:i/>
                                <w:color w:val="1A4796"/>
                                <w:spacing w:val="-2"/>
                                <w:sz w:val="26"/>
                              </w:rPr>
                              <w:t>ces</w:t>
                            </w:r>
                            <w:r>
                              <w:rPr>
                                <w:rFonts w:ascii="Segoe UI Semibold" w:hAnsi="Segoe UI Semibold"/>
                                <w:b/>
                                <w:i/>
                                <w:color w:val="1A4796"/>
                                <w:spacing w:val="-15"/>
                                <w:sz w:val="26"/>
                              </w:rPr>
                              <w:t> </w:t>
                            </w:r>
                            <w:r>
                              <w:rPr>
                                <w:rFonts w:ascii="Segoe UI Semibold" w:hAnsi="Segoe UI Semibold"/>
                                <w:b/>
                                <w:i/>
                                <w:color w:val="1A4796"/>
                                <w:spacing w:val="-2"/>
                                <w:sz w:val="26"/>
                              </w:rPr>
                              <w:t>mêmes</w:t>
                            </w:r>
                            <w:r>
                              <w:rPr>
                                <w:rFonts w:ascii="Segoe UI Semibold" w:hAnsi="Segoe UI Semibold"/>
                                <w:b/>
                                <w:i/>
                                <w:color w:val="1A4796"/>
                                <w:spacing w:val="-15"/>
                                <w:sz w:val="26"/>
                              </w:rPr>
                              <w:t> </w:t>
                            </w:r>
                            <w:r>
                              <w:rPr>
                                <w:rFonts w:ascii="Segoe UI Semibold" w:hAnsi="Segoe UI Semibold"/>
                                <w:b/>
                                <w:i/>
                                <w:color w:val="1A4796"/>
                                <w:spacing w:val="-2"/>
                                <w:sz w:val="26"/>
                              </w:rPr>
                              <w:t>secteurs</w:t>
                            </w:r>
                            <w:r>
                              <w:rPr>
                                <w:rFonts w:ascii="Segoe UI Semibold" w:hAnsi="Segoe UI Semibold"/>
                                <w:b/>
                                <w:i/>
                                <w:color w:val="1A4796"/>
                                <w:spacing w:val="-15"/>
                                <w:sz w:val="26"/>
                              </w:rPr>
                              <w:t> </w:t>
                            </w:r>
                            <w:r>
                              <w:rPr>
                                <w:rFonts w:ascii="Segoe UI Semibold" w:hAnsi="Segoe UI Semibold"/>
                                <w:b/>
                                <w:i/>
                                <w:color w:val="1A4796"/>
                                <w:spacing w:val="-2"/>
                                <w:sz w:val="26"/>
                              </w:rPr>
                              <w:t>qui</w:t>
                            </w:r>
                            <w:r>
                              <w:rPr>
                                <w:rFonts w:ascii="Segoe UI Semibold" w:hAnsi="Segoe UI Semibold"/>
                                <w:b/>
                                <w:i/>
                                <w:color w:val="1A4796"/>
                                <w:spacing w:val="-15"/>
                                <w:sz w:val="26"/>
                              </w:rPr>
                              <w:t> </w:t>
                            </w:r>
                            <w:r>
                              <w:rPr>
                                <w:rFonts w:ascii="Segoe UI Semibold" w:hAnsi="Segoe UI Semibold"/>
                                <w:b/>
                                <w:i/>
                                <w:color w:val="1A4796"/>
                                <w:spacing w:val="-2"/>
                                <w:sz w:val="26"/>
                              </w:rPr>
                              <w:t>ont</w:t>
                            </w:r>
                            <w:r>
                              <w:rPr>
                                <w:rFonts w:ascii="Segoe UI Semibold" w:hAnsi="Segoe UI Semibold"/>
                                <w:b/>
                                <w:i/>
                                <w:color w:val="1A4796"/>
                                <w:spacing w:val="-15"/>
                                <w:sz w:val="26"/>
                              </w:rPr>
                              <w:t> </w:t>
                            </w:r>
                            <w:r>
                              <w:rPr>
                                <w:rFonts w:ascii="Segoe UI Semibold" w:hAnsi="Segoe UI Semibold"/>
                                <w:b/>
                                <w:i/>
                                <w:color w:val="1A4796"/>
                                <w:spacing w:val="-2"/>
                                <w:sz w:val="26"/>
                              </w:rPr>
                              <w:t>saboté </w:t>
                            </w:r>
                            <w:r>
                              <w:rPr>
                                <w:rFonts w:ascii="Segoe UI Semibold" w:hAnsi="Segoe UI Semibold"/>
                                <w:b/>
                                <w:i/>
                                <w:color w:val="1A4796"/>
                                <w:sz w:val="26"/>
                              </w:rPr>
                              <w:t>en 2018 l’accord souscrit entre la</w:t>
                            </w:r>
                          </w:p>
                          <w:p>
                            <w:pPr>
                              <w:spacing w:line="220" w:lineRule="auto" w:before="3"/>
                              <w:ind w:left="566" w:right="1473" w:hanging="145"/>
                              <w:jc w:val="right"/>
                              <w:rPr>
                                <w:rFonts w:ascii="Segoe UI Semibold" w:hAnsi="Segoe UI Semibold"/>
                                <w:b/>
                                <w:i/>
                                <w:color w:val="000000"/>
                                <w:sz w:val="26"/>
                              </w:rPr>
                            </w:pPr>
                            <w:r>
                              <w:rPr>
                                <w:rFonts w:ascii="Segoe UI Semibold" w:hAnsi="Segoe UI Semibold"/>
                                <w:b/>
                                <w:i/>
                                <w:color w:val="1A4796"/>
                                <w:spacing w:val="-2"/>
                                <w:sz w:val="26"/>
                              </w:rPr>
                              <w:t>Fédération</w:t>
                            </w:r>
                            <w:r>
                              <w:rPr>
                                <w:rFonts w:ascii="Segoe UI Semibold" w:hAnsi="Segoe UI Semibold"/>
                                <w:b/>
                                <w:i/>
                                <w:color w:val="1A4796"/>
                                <w:spacing w:val="-16"/>
                                <w:sz w:val="26"/>
                              </w:rPr>
                              <w:t> </w:t>
                            </w:r>
                            <w:r>
                              <w:rPr>
                                <w:rFonts w:ascii="Segoe UI Semibold" w:hAnsi="Segoe UI Semibold"/>
                                <w:b/>
                                <w:i/>
                                <w:color w:val="1A4796"/>
                                <w:spacing w:val="-2"/>
                                <w:sz w:val="26"/>
                              </w:rPr>
                              <w:t>cubaine</w:t>
                            </w:r>
                            <w:r>
                              <w:rPr>
                                <w:rFonts w:ascii="Segoe UI Semibold" w:hAnsi="Segoe UI Semibold"/>
                                <w:b/>
                                <w:i/>
                                <w:color w:val="1A4796"/>
                                <w:spacing w:val="-16"/>
                                <w:sz w:val="26"/>
                              </w:rPr>
                              <w:t> </w:t>
                            </w:r>
                            <w:r>
                              <w:rPr>
                                <w:rFonts w:ascii="Segoe UI Semibold" w:hAnsi="Segoe UI Semibold"/>
                                <w:b/>
                                <w:i/>
                                <w:color w:val="1A4796"/>
                                <w:spacing w:val="-2"/>
                                <w:sz w:val="26"/>
                              </w:rPr>
                              <w:t>de</w:t>
                            </w:r>
                            <w:r>
                              <w:rPr>
                                <w:rFonts w:ascii="Segoe UI Semibold" w:hAnsi="Segoe UI Semibold"/>
                                <w:b/>
                                <w:i/>
                                <w:color w:val="1A4796"/>
                                <w:spacing w:val="-16"/>
                                <w:sz w:val="26"/>
                              </w:rPr>
                              <w:t> </w:t>
                            </w:r>
                            <w:r>
                              <w:rPr>
                                <w:rFonts w:ascii="Segoe UI Semibold" w:hAnsi="Segoe UI Semibold"/>
                                <w:b/>
                                <w:i/>
                                <w:color w:val="1A4796"/>
                                <w:spacing w:val="-2"/>
                                <w:sz w:val="26"/>
                              </w:rPr>
                              <w:t>base-ball</w:t>
                            </w:r>
                            <w:r>
                              <w:rPr>
                                <w:rFonts w:ascii="Segoe UI Semibold" w:hAnsi="Segoe UI Semibold"/>
                                <w:b/>
                                <w:i/>
                                <w:color w:val="1A4796"/>
                                <w:spacing w:val="-15"/>
                                <w:sz w:val="26"/>
                              </w:rPr>
                              <w:t> </w:t>
                            </w:r>
                            <w:r>
                              <w:rPr>
                                <w:rFonts w:ascii="Segoe UI Semibold" w:hAnsi="Segoe UI Semibold"/>
                                <w:b/>
                                <w:i/>
                                <w:color w:val="1A4796"/>
                                <w:spacing w:val="-2"/>
                                <w:sz w:val="26"/>
                              </w:rPr>
                              <w:t>et</w:t>
                            </w:r>
                            <w:r>
                              <w:rPr>
                                <w:rFonts w:ascii="Segoe UI Semibold" w:hAnsi="Segoe UI Semibold"/>
                                <w:b/>
                                <w:i/>
                                <w:color w:val="1A4796"/>
                                <w:spacing w:val="-16"/>
                                <w:sz w:val="26"/>
                              </w:rPr>
                              <w:t> </w:t>
                            </w:r>
                            <w:r>
                              <w:rPr>
                                <w:rFonts w:ascii="Segoe UI Semibold" w:hAnsi="Segoe UI Semibold"/>
                                <w:b/>
                                <w:i/>
                                <w:color w:val="1A4796"/>
                                <w:spacing w:val="-2"/>
                                <w:sz w:val="26"/>
                              </w:rPr>
                              <w:t>la</w:t>
                            </w:r>
                            <w:r>
                              <w:rPr>
                                <w:rFonts w:ascii="Segoe UI Semibold" w:hAnsi="Segoe UI Semibold"/>
                                <w:b/>
                                <w:i/>
                                <w:color w:val="1A4796"/>
                                <w:spacing w:val="-2"/>
                                <w:sz w:val="26"/>
                              </w:rPr>
                              <w:t> </w:t>
                            </w:r>
                            <w:r>
                              <w:rPr>
                                <w:rFonts w:ascii="Segoe UI Semibold" w:hAnsi="Segoe UI Semibold"/>
                                <w:b/>
                                <w:i/>
                                <w:color w:val="1A4796"/>
                                <w:sz w:val="26"/>
                              </w:rPr>
                              <w:t>MLB qui aurait été bénéfique aux deux</w:t>
                            </w:r>
                            <w:r>
                              <w:rPr>
                                <w:rFonts w:ascii="Segoe UI Semibold" w:hAnsi="Segoe UI Semibold"/>
                                <w:b/>
                                <w:i/>
                                <w:color w:val="1A4796"/>
                                <w:spacing w:val="-18"/>
                                <w:sz w:val="26"/>
                              </w:rPr>
                              <w:t> </w:t>
                            </w:r>
                            <w:r>
                              <w:rPr>
                                <w:rFonts w:ascii="Segoe UI Semibold" w:hAnsi="Segoe UI Semibold"/>
                                <w:b/>
                                <w:i/>
                                <w:color w:val="1A4796"/>
                                <w:sz w:val="26"/>
                              </w:rPr>
                              <w:t>parties</w:t>
                            </w:r>
                            <w:r>
                              <w:rPr>
                                <w:rFonts w:ascii="Segoe UI Semibold" w:hAnsi="Segoe UI Semibold"/>
                                <w:b/>
                                <w:i/>
                                <w:color w:val="1A4796"/>
                                <w:spacing w:val="-18"/>
                                <w:sz w:val="26"/>
                              </w:rPr>
                              <w:t> </w:t>
                            </w:r>
                            <w:r>
                              <w:rPr>
                                <w:rFonts w:ascii="Segoe UI Semibold" w:hAnsi="Segoe UI Semibold"/>
                                <w:b/>
                                <w:i/>
                                <w:color w:val="1A4796"/>
                                <w:sz w:val="26"/>
                              </w:rPr>
                              <w:t>et</w:t>
                            </w:r>
                            <w:r>
                              <w:rPr>
                                <w:rFonts w:ascii="Segoe UI Semibold" w:hAnsi="Segoe UI Semibold"/>
                                <w:b/>
                                <w:i/>
                                <w:color w:val="1A4796"/>
                                <w:spacing w:val="-18"/>
                                <w:sz w:val="26"/>
                              </w:rPr>
                              <w:t> </w:t>
                            </w:r>
                            <w:r>
                              <w:rPr>
                                <w:rFonts w:ascii="Segoe UI Semibold" w:hAnsi="Segoe UI Semibold"/>
                                <w:b/>
                                <w:i/>
                                <w:color w:val="1A4796"/>
                                <w:sz w:val="26"/>
                              </w:rPr>
                              <w:t>contribué</w:t>
                            </w:r>
                            <w:r>
                              <w:rPr>
                                <w:rFonts w:ascii="Segoe UI Semibold" w:hAnsi="Segoe UI Semibold"/>
                                <w:b/>
                                <w:i/>
                                <w:color w:val="1A4796"/>
                                <w:spacing w:val="-18"/>
                                <w:sz w:val="26"/>
                              </w:rPr>
                              <w:t> </w:t>
                            </w:r>
                            <w:r>
                              <w:rPr>
                                <w:rFonts w:ascii="Segoe UI Semibold" w:hAnsi="Segoe UI Semibold"/>
                                <w:b/>
                                <w:i/>
                                <w:color w:val="1A4796"/>
                                <w:sz w:val="26"/>
                              </w:rPr>
                              <w:t>à</w:t>
                            </w:r>
                            <w:r>
                              <w:rPr>
                                <w:rFonts w:ascii="Segoe UI Semibold" w:hAnsi="Segoe UI Semibold"/>
                                <w:b/>
                                <w:i/>
                                <w:color w:val="1A4796"/>
                                <w:spacing w:val="-18"/>
                                <w:sz w:val="26"/>
                              </w:rPr>
                              <w:t> </w:t>
                            </w:r>
                            <w:r>
                              <w:rPr>
                                <w:rFonts w:ascii="Segoe UI Semibold" w:hAnsi="Segoe UI Semibold"/>
                                <w:b/>
                                <w:i/>
                                <w:color w:val="1A4796"/>
                                <w:sz w:val="26"/>
                              </w:rPr>
                              <w:t>éliminer </w:t>
                            </w:r>
                            <w:r>
                              <w:rPr>
                                <w:rFonts w:ascii="Segoe UI Semibold" w:hAnsi="Segoe UI Semibold"/>
                                <w:b/>
                                <w:i/>
                                <w:color w:val="1A4796"/>
                                <w:spacing w:val="-2"/>
                                <w:sz w:val="26"/>
                              </w:rPr>
                              <w:t>le</w:t>
                            </w:r>
                            <w:r>
                              <w:rPr>
                                <w:rFonts w:ascii="Segoe UI Semibold" w:hAnsi="Segoe UI Semibold"/>
                                <w:b/>
                                <w:i/>
                                <w:color w:val="1A4796"/>
                                <w:spacing w:val="-14"/>
                                <w:sz w:val="26"/>
                              </w:rPr>
                              <w:t> </w:t>
                            </w:r>
                            <w:r>
                              <w:rPr>
                                <w:rFonts w:ascii="Segoe UI Semibold" w:hAnsi="Segoe UI Semibold"/>
                                <w:b/>
                                <w:i/>
                                <w:color w:val="1A4796"/>
                                <w:spacing w:val="-2"/>
                                <w:sz w:val="26"/>
                              </w:rPr>
                              <w:t>traitement</w:t>
                            </w:r>
                            <w:r>
                              <w:rPr>
                                <w:rFonts w:ascii="Segoe UI Semibold" w:hAnsi="Segoe UI Semibold"/>
                                <w:b/>
                                <w:i/>
                                <w:color w:val="1A4796"/>
                                <w:spacing w:val="-14"/>
                                <w:sz w:val="26"/>
                              </w:rPr>
                              <w:t> </w:t>
                            </w:r>
                            <w:r>
                              <w:rPr>
                                <w:rFonts w:ascii="Segoe UI Semibold" w:hAnsi="Segoe UI Semibold"/>
                                <w:b/>
                                <w:i/>
                                <w:color w:val="1A4796"/>
                                <w:spacing w:val="-2"/>
                                <w:sz w:val="26"/>
                              </w:rPr>
                              <w:t>discriminateur</w:t>
                            </w:r>
                            <w:r>
                              <w:rPr>
                                <w:rFonts w:ascii="Segoe UI Semibold" w:hAnsi="Segoe UI Semibold"/>
                                <w:b/>
                                <w:i/>
                                <w:color w:val="1A4796"/>
                                <w:spacing w:val="-14"/>
                                <w:sz w:val="26"/>
                              </w:rPr>
                              <w:t> </w:t>
                            </w:r>
                            <w:r>
                              <w:rPr>
                                <w:rFonts w:ascii="Segoe UI Semibold" w:hAnsi="Segoe UI Semibold"/>
                                <w:b/>
                                <w:i/>
                                <w:color w:val="1A4796"/>
                                <w:spacing w:val="-2"/>
                                <w:sz w:val="26"/>
                              </w:rPr>
                              <w:t>réservé</w:t>
                            </w:r>
                          </w:p>
                          <w:p>
                            <w:pPr>
                              <w:spacing w:line="328" w:lineRule="exact" w:before="0"/>
                              <w:ind w:left="0" w:right="1475" w:firstLine="0"/>
                              <w:jc w:val="right"/>
                              <w:rPr>
                                <w:rFonts w:ascii="Segoe UI Semibold" w:hAnsi="Segoe UI Semibold"/>
                                <w:b/>
                                <w:i/>
                                <w:color w:val="000000"/>
                                <w:sz w:val="26"/>
                              </w:rPr>
                            </w:pPr>
                            <w:r>
                              <w:rPr>
                                <w:rFonts w:ascii="Segoe UI Semibold" w:hAnsi="Segoe UI Semibold"/>
                                <w:b/>
                                <w:i/>
                                <w:color w:val="1A4796"/>
                                <w:sz w:val="26"/>
                              </w:rPr>
                              <w:t>à</w:t>
                            </w:r>
                            <w:r>
                              <w:rPr>
                                <w:rFonts w:ascii="Segoe UI Semibold" w:hAnsi="Segoe UI Semibold"/>
                                <w:b/>
                                <w:i/>
                                <w:color w:val="1A4796"/>
                                <w:spacing w:val="-9"/>
                                <w:sz w:val="26"/>
                              </w:rPr>
                              <w:t> </w:t>
                            </w:r>
                            <w:r>
                              <w:rPr>
                                <w:rFonts w:ascii="Segoe UI Semibold" w:hAnsi="Segoe UI Semibold"/>
                                <w:b/>
                                <w:i/>
                                <w:color w:val="1A4796"/>
                                <w:sz w:val="26"/>
                              </w:rPr>
                              <w:t>nos</w:t>
                            </w:r>
                            <w:r>
                              <w:rPr>
                                <w:rFonts w:ascii="Segoe UI Semibold" w:hAnsi="Segoe UI Semibold"/>
                                <w:b/>
                                <w:i/>
                                <w:color w:val="1A4796"/>
                                <w:spacing w:val="-9"/>
                                <w:sz w:val="26"/>
                              </w:rPr>
                              <w:t> </w:t>
                            </w:r>
                            <w:r>
                              <w:rPr>
                                <w:rFonts w:ascii="Segoe UI Semibold" w:hAnsi="Segoe UI Semibold"/>
                                <w:b/>
                                <w:i/>
                                <w:color w:val="1A4796"/>
                                <w:spacing w:val="-2"/>
                                <w:sz w:val="26"/>
                              </w:rPr>
                              <w:t>joueurs.</w:t>
                            </w:r>
                          </w:p>
                        </w:txbxContent>
                      </wps:txbx>
                      <wps:bodyPr wrap="square" lIns="0" tIns="0" rIns="0" bIns="0" rtlCol="0">
                        <a:noAutofit/>
                      </wps:bodyPr>
                    </wps:wsp>
                  </a:graphicData>
                </a:graphic>
              </wp:anchor>
            </w:drawing>
          </mc:Choice>
          <mc:Fallback>
            <w:pict>
              <v:shape style="position:absolute;margin-left:289.134003pt;margin-top:13.42175pt;width:306.150pt;height:248pt;mso-position-horizontal-relative:page;mso-position-vertical-relative:paragraph;z-index:-15623168;mso-wrap-distance-left:0;mso-wrap-distance-right:0" type="#_x0000_t202" id="docshape354" filled="true" fillcolor="#e0e2e2" stroked="false">
                <v:textbox inset="0,0,0,0">
                  <w:txbxContent>
                    <w:p>
                      <w:pPr>
                        <w:pStyle w:val="BodyText"/>
                        <w:spacing w:before="195"/>
                        <w:jc w:val="left"/>
                        <w:rPr>
                          <w:color w:val="000000"/>
                          <w:sz w:val="26"/>
                        </w:rPr>
                      </w:pPr>
                    </w:p>
                    <w:p>
                      <w:pPr>
                        <w:spacing w:line="220" w:lineRule="auto" w:before="0"/>
                        <w:ind w:left="1009" w:right="1472" w:hanging="606"/>
                        <w:jc w:val="right"/>
                        <w:rPr>
                          <w:rFonts w:ascii="Segoe UI Semibold" w:hAnsi="Segoe UI Semibold"/>
                          <w:b/>
                          <w:i/>
                          <w:color w:val="000000"/>
                          <w:sz w:val="26"/>
                        </w:rPr>
                      </w:pPr>
                      <w:r>
                        <w:rPr>
                          <w:rFonts w:ascii="Segoe UI Semibold" w:hAnsi="Segoe UI Semibold"/>
                          <w:b/>
                          <w:i/>
                          <w:color w:val="1A4796"/>
                          <w:spacing w:val="-2"/>
                          <w:sz w:val="26"/>
                        </w:rPr>
                        <w:t>Cuba</w:t>
                      </w:r>
                      <w:r>
                        <w:rPr>
                          <w:rFonts w:ascii="Segoe UI Semibold" w:hAnsi="Segoe UI Semibold"/>
                          <w:b/>
                          <w:i/>
                          <w:color w:val="1A4796"/>
                          <w:spacing w:val="-16"/>
                          <w:sz w:val="26"/>
                        </w:rPr>
                        <w:t> </w:t>
                      </w:r>
                      <w:r>
                        <w:rPr>
                          <w:rFonts w:ascii="Segoe UI Semibold" w:hAnsi="Segoe UI Semibold"/>
                          <w:b/>
                          <w:i/>
                          <w:color w:val="1A4796"/>
                          <w:spacing w:val="-2"/>
                          <w:sz w:val="26"/>
                        </w:rPr>
                        <w:t>a</w:t>
                      </w:r>
                      <w:r>
                        <w:rPr>
                          <w:rFonts w:ascii="Segoe UI Semibold" w:hAnsi="Segoe UI Semibold"/>
                          <w:b/>
                          <w:i/>
                          <w:color w:val="1A4796"/>
                          <w:spacing w:val="-16"/>
                          <w:sz w:val="26"/>
                        </w:rPr>
                        <w:t> </w:t>
                      </w:r>
                      <w:r>
                        <w:rPr>
                          <w:rFonts w:ascii="Segoe UI Semibold" w:hAnsi="Segoe UI Semibold"/>
                          <w:b/>
                          <w:i/>
                          <w:color w:val="1A4796"/>
                          <w:spacing w:val="-2"/>
                          <w:sz w:val="26"/>
                        </w:rPr>
                        <w:t>dénoncé</w:t>
                      </w:r>
                      <w:r>
                        <w:rPr>
                          <w:rFonts w:ascii="Segoe UI Semibold" w:hAnsi="Segoe UI Semibold"/>
                          <w:b/>
                          <w:i/>
                          <w:color w:val="1A4796"/>
                          <w:spacing w:val="-16"/>
                          <w:sz w:val="26"/>
                        </w:rPr>
                        <w:t> </w:t>
                      </w:r>
                      <w:r>
                        <w:rPr>
                          <w:rFonts w:ascii="Segoe UI Semibold" w:hAnsi="Segoe UI Semibold"/>
                          <w:b/>
                          <w:i/>
                          <w:color w:val="1A4796"/>
                          <w:spacing w:val="-2"/>
                          <w:sz w:val="26"/>
                        </w:rPr>
                        <w:t>énergiquement</w:t>
                      </w:r>
                      <w:r>
                        <w:rPr>
                          <w:rFonts w:ascii="Segoe UI Semibold" w:hAnsi="Segoe UI Semibold"/>
                          <w:b/>
                          <w:i/>
                          <w:color w:val="1A4796"/>
                          <w:spacing w:val="-16"/>
                          <w:sz w:val="26"/>
                        </w:rPr>
                        <w:t> </w:t>
                      </w:r>
                      <w:r>
                        <w:rPr>
                          <w:rFonts w:ascii="Segoe UI Semibold" w:hAnsi="Segoe UI Semibold"/>
                          <w:b/>
                          <w:i/>
                          <w:color w:val="1A4796"/>
                          <w:spacing w:val="-2"/>
                          <w:sz w:val="26"/>
                        </w:rPr>
                        <w:t>cette</w:t>
                      </w:r>
                      <w:r>
                        <w:rPr>
                          <w:rFonts w:ascii="Segoe UI Semibold" w:hAnsi="Segoe UI Semibold"/>
                          <w:b/>
                          <w:i/>
                          <w:color w:val="1A4796"/>
                          <w:spacing w:val="-2"/>
                          <w:sz w:val="26"/>
                        </w:rPr>
                        <w:t> instigation</w:t>
                      </w:r>
                      <w:r>
                        <w:rPr>
                          <w:rFonts w:ascii="Segoe UI Semibold" w:hAnsi="Segoe UI Semibold"/>
                          <w:b/>
                          <w:i/>
                          <w:color w:val="1A4796"/>
                          <w:spacing w:val="-16"/>
                          <w:sz w:val="26"/>
                        </w:rPr>
                        <w:t> </w:t>
                      </w:r>
                      <w:r>
                        <w:rPr>
                          <w:rFonts w:ascii="Segoe UI Semibold" w:hAnsi="Segoe UI Semibold"/>
                          <w:b/>
                          <w:i/>
                          <w:color w:val="1A4796"/>
                          <w:spacing w:val="-2"/>
                          <w:sz w:val="26"/>
                        </w:rPr>
                        <w:t>au</w:t>
                      </w:r>
                      <w:r>
                        <w:rPr>
                          <w:rFonts w:ascii="Segoe UI Semibold" w:hAnsi="Segoe UI Semibold"/>
                          <w:b/>
                          <w:i/>
                          <w:color w:val="1A4796"/>
                          <w:spacing w:val="-16"/>
                          <w:sz w:val="26"/>
                        </w:rPr>
                        <w:t> </w:t>
                      </w:r>
                      <w:r>
                        <w:rPr>
                          <w:rFonts w:ascii="Segoe UI Semibold" w:hAnsi="Segoe UI Semibold"/>
                          <w:b/>
                          <w:i/>
                          <w:color w:val="1A4796"/>
                          <w:spacing w:val="-2"/>
                          <w:sz w:val="26"/>
                        </w:rPr>
                        <w:t>harcèlement,</w:t>
                      </w:r>
                      <w:r>
                        <w:rPr>
                          <w:rFonts w:ascii="Segoe UI Semibold" w:hAnsi="Segoe UI Semibold"/>
                          <w:b/>
                          <w:i/>
                          <w:color w:val="1A4796"/>
                          <w:spacing w:val="-16"/>
                          <w:sz w:val="26"/>
                        </w:rPr>
                        <w:t> </w:t>
                      </w:r>
                      <w:r>
                        <w:rPr>
                          <w:rFonts w:ascii="Segoe UI Semibold" w:hAnsi="Segoe UI Semibold"/>
                          <w:b/>
                          <w:i/>
                          <w:color w:val="1A4796"/>
                          <w:spacing w:val="-2"/>
                          <w:sz w:val="26"/>
                        </w:rPr>
                        <w:t>à</w:t>
                      </w:r>
                      <w:r>
                        <w:rPr>
                          <w:rFonts w:ascii="Segoe UI Semibold" w:hAnsi="Segoe UI Semibold"/>
                          <w:b/>
                          <w:i/>
                          <w:color w:val="1A4796"/>
                          <w:spacing w:val="-16"/>
                          <w:sz w:val="26"/>
                        </w:rPr>
                        <w:t> </w:t>
                      </w:r>
                      <w:r>
                        <w:rPr>
                          <w:rFonts w:ascii="Segoe UI Semibold" w:hAnsi="Segoe UI Semibold"/>
                          <w:b/>
                          <w:i/>
                          <w:color w:val="1A4796"/>
                          <w:spacing w:val="-2"/>
                          <w:sz w:val="26"/>
                        </w:rPr>
                        <w:t>la </w:t>
                      </w:r>
                      <w:r>
                        <w:rPr>
                          <w:rFonts w:ascii="Segoe UI Semibold" w:hAnsi="Segoe UI Semibold"/>
                          <w:b/>
                          <w:i/>
                          <w:color w:val="1A4796"/>
                          <w:sz w:val="26"/>
                        </w:rPr>
                        <w:t>violence et à la haine contre</w:t>
                      </w:r>
                    </w:p>
                    <w:p>
                      <w:pPr>
                        <w:spacing w:line="220" w:lineRule="auto" w:before="2"/>
                        <w:ind w:left="731" w:right="1475" w:hanging="86"/>
                        <w:jc w:val="right"/>
                        <w:rPr>
                          <w:rFonts w:ascii="Segoe UI Semibold" w:hAnsi="Segoe UI Semibold"/>
                          <w:b/>
                          <w:i/>
                          <w:color w:val="000000"/>
                          <w:sz w:val="26"/>
                        </w:rPr>
                      </w:pPr>
                      <w:r>
                        <w:rPr>
                          <w:rFonts w:ascii="Segoe UI Semibold" w:hAnsi="Segoe UI Semibold"/>
                          <w:b/>
                          <w:i/>
                          <w:color w:val="1A4796"/>
                          <w:sz w:val="26"/>
                        </w:rPr>
                        <w:t>ses</w:t>
                      </w:r>
                      <w:r>
                        <w:rPr>
                          <w:rFonts w:ascii="Segoe UI Semibold" w:hAnsi="Segoe UI Semibold"/>
                          <w:b/>
                          <w:i/>
                          <w:color w:val="1A4796"/>
                          <w:spacing w:val="-18"/>
                          <w:sz w:val="26"/>
                        </w:rPr>
                        <w:t> </w:t>
                      </w:r>
                      <w:r>
                        <w:rPr>
                          <w:rFonts w:ascii="Segoe UI Semibold" w:hAnsi="Segoe UI Semibold"/>
                          <w:b/>
                          <w:i/>
                          <w:color w:val="1A4796"/>
                          <w:sz w:val="26"/>
                        </w:rPr>
                        <w:t>sportifs</w:t>
                      </w:r>
                      <w:r>
                        <w:rPr>
                          <w:rFonts w:ascii="Segoe UI Semibold" w:hAnsi="Segoe UI Semibold"/>
                          <w:b/>
                          <w:i/>
                          <w:color w:val="1A4796"/>
                          <w:spacing w:val="-18"/>
                          <w:sz w:val="26"/>
                        </w:rPr>
                        <w:t> </w:t>
                      </w:r>
                      <w:r>
                        <w:rPr>
                          <w:rFonts w:ascii="Segoe UI Semibold" w:hAnsi="Segoe UI Semibold"/>
                          <w:b/>
                          <w:i/>
                          <w:color w:val="1A4796"/>
                          <w:sz w:val="26"/>
                        </w:rPr>
                        <w:t>de</w:t>
                      </w:r>
                      <w:r>
                        <w:rPr>
                          <w:rFonts w:ascii="Segoe UI Semibold" w:hAnsi="Segoe UI Semibold"/>
                          <w:b/>
                          <w:i/>
                          <w:color w:val="1A4796"/>
                          <w:spacing w:val="-18"/>
                          <w:sz w:val="26"/>
                        </w:rPr>
                        <w:t> </w:t>
                      </w:r>
                      <w:r>
                        <w:rPr>
                          <w:rFonts w:ascii="Segoe UI Semibold" w:hAnsi="Segoe UI Semibold"/>
                          <w:b/>
                          <w:i/>
                          <w:color w:val="1A4796"/>
                          <w:sz w:val="26"/>
                        </w:rPr>
                        <w:t>la</w:t>
                      </w:r>
                      <w:r>
                        <w:rPr>
                          <w:rFonts w:ascii="Segoe UI Semibold" w:hAnsi="Segoe UI Semibold"/>
                          <w:b/>
                          <w:i/>
                          <w:color w:val="1A4796"/>
                          <w:spacing w:val="-18"/>
                          <w:sz w:val="26"/>
                        </w:rPr>
                        <w:t> </w:t>
                      </w:r>
                      <w:r>
                        <w:rPr>
                          <w:rFonts w:ascii="Segoe UI Semibold" w:hAnsi="Segoe UI Semibold"/>
                          <w:b/>
                          <w:i/>
                          <w:color w:val="1A4796"/>
                          <w:sz w:val="26"/>
                        </w:rPr>
                        <w:t>part</w:t>
                      </w:r>
                      <w:r>
                        <w:rPr>
                          <w:rFonts w:ascii="Segoe UI Semibold" w:hAnsi="Segoe UI Semibold"/>
                          <w:b/>
                          <w:i/>
                          <w:color w:val="1A4796"/>
                          <w:spacing w:val="-18"/>
                          <w:sz w:val="26"/>
                        </w:rPr>
                        <w:t> </w:t>
                      </w:r>
                      <w:r>
                        <w:rPr>
                          <w:rFonts w:ascii="Segoe UI Semibold" w:hAnsi="Segoe UI Semibold"/>
                          <w:b/>
                          <w:i/>
                          <w:color w:val="1A4796"/>
                          <w:sz w:val="26"/>
                        </w:rPr>
                        <w:t>de</w:t>
                      </w:r>
                      <w:r>
                        <w:rPr>
                          <w:rFonts w:ascii="Segoe UI Semibold" w:hAnsi="Segoe UI Semibold"/>
                          <w:b/>
                          <w:i/>
                          <w:color w:val="1A4796"/>
                          <w:spacing w:val="-18"/>
                          <w:sz w:val="26"/>
                        </w:rPr>
                        <w:t> </w:t>
                      </w:r>
                      <w:r>
                        <w:rPr>
                          <w:rFonts w:ascii="Segoe UI Semibold" w:hAnsi="Segoe UI Semibold"/>
                          <w:b/>
                          <w:i/>
                          <w:color w:val="1A4796"/>
                          <w:sz w:val="26"/>
                        </w:rPr>
                        <w:t>politiciens</w:t>
                      </w:r>
                      <w:r>
                        <w:rPr>
                          <w:rFonts w:ascii="Segoe UI Semibold" w:hAnsi="Segoe UI Semibold"/>
                          <w:b/>
                          <w:i/>
                          <w:color w:val="1A4796"/>
                          <w:sz w:val="26"/>
                        </w:rPr>
                        <w:t> locaux</w:t>
                      </w:r>
                      <w:r>
                        <w:rPr>
                          <w:rFonts w:ascii="Segoe UI Semibold" w:hAnsi="Segoe UI Semibold"/>
                          <w:b/>
                          <w:i/>
                          <w:color w:val="1A4796"/>
                          <w:spacing w:val="-6"/>
                          <w:sz w:val="26"/>
                        </w:rPr>
                        <w:t> </w:t>
                      </w:r>
                      <w:r>
                        <w:rPr>
                          <w:rFonts w:ascii="Segoe UI Semibold" w:hAnsi="Segoe UI Semibold"/>
                          <w:b/>
                          <w:i/>
                          <w:color w:val="1A4796"/>
                          <w:sz w:val="26"/>
                        </w:rPr>
                        <w:t>et</w:t>
                      </w:r>
                      <w:r>
                        <w:rPr>
                          <w:rFonts w:ascii="Segoe UI Semibold" w:hAnsi="Segoe UI Semibold"/>
                          <w:b/>
                          <w:i/>
                          <w:color w:val="1A4796"/>
                          <w:spacing w:val="-6"/>
                          <w:sz w:val="26"/>
                        </w:rPr>
                        <w:t> </w:t>
                      </w:r>
                      <w:r>
                        <w:rPr>
                          <w:rFonts w:ascii="Segoe UI Semibold" w:hAnsi="Segoe UI Semibold"/>
                          <w:b/>
                          <w:i/>
                          <w:color w:val="1A4796"/>
                          <w:sz w:val="26"/>
                        </w:rPr>
                        <w:t>de</w:t>
                      </w:r>
                      <w:r>
                        <w:rPr>
                          <w:rFonts w:ascii="Segoe UI Semibold" w:hAnsi="Segoe UI Semibold"/>
                          <w:b/>
                          <w:i/>
                          <w:color w:val="1A4796"/>
                          <w:spacing w:val="-6"/>
                          <w:sz w:val="26"/>
                        </w:rPr>
                        <w:t> </w:t>
                      </w:r>
                      <w:r>
                        <w:rPr>
                          <w:rFonts w:ascii="Segoe UI Semibold" w:hAnsi="Segoe UI Semibold"/>
                          <w:b/>
                          <w:i/>
                          <w:color w:val="1A4796"/>
                          <w:sz w:val="26"/>
                        </w:rPr>
                        <w:t>personnages</w:t>
                      </w:r>
                      <w:r>
                        <w:rPr>
                          <w:rFonts w:ascii="Segoe UI Semibold" w:hAnsi="Segoe UI Semibold"/>
                          <w:b/>
                          <w:i/>
                          <w:color w:val="1A4796"/>
                          <w:spacing w:val="-6"/>
                          <w:sz w:val="26"/>
                        </w:rPr>
                        <w:t> </w:t>
                      </w:r>
                      <w:r>
                        <w:rPr>
                          <w:rFonts w:ascii="Segoe UI Semibold" w:hAnsi="Segoe UI Semibold"/>
                          <w:b/>
                          <w:i/>
                          <w:color w:val="1A4796"/>
                          <w:sz w:val="26"/>
                        </w:rPr>
                        <w:t>publics, </w:t>
                      </w:r>
                      <w:r>
                        <w:rPr>
                          <w:rFonts w:ascii="Segoe UI Semibold" w:hAnsi="Segoe UI Semibold"/>
                          <w:b/>
                          <w:i/>
                          <w:color w:val="1A4796"/>
                          <w:spacing w:val="-2"/>
                          <w:sz w:val="26"/>
                        </w:rPr>
                        <w:t>ces</w:t>
                      </w:r>
                      <w:r>
                        <w:rPr>
                          <w:rFonts w:ascii="Segoe UI Semibold" w:hAnsi="Segoe UI Semibold"/>
                          <w:b/>
                          <w:i/>
                          <w:color w:val="1A4796"/>
                          <w:spacing w:val="-15"/>
                          <w:sz w:val="26"/>
                        </w:rPr>
                        <w:t> </w:t>
                      </w:r>
                      <w:r>
                        <w:rPr>
                          <w:rFonts w:ascii="Segoe UI Semibold" w:hAnsi="Segoe UI Semibold"/>
                          <w:b/>
                          <w:i/>
                          <w:color w:val="1A4796"/>
                          <w:spacing w:val="-2"/>
                          <w:sz w:val="26"/>
                        </w:rPr>
                        <w:t>mêmes</w:t>
                      </w:r>
                      <w:r>
                        <w:rPr>
                          <w:rFonts w:ascii="Segoe UI Semibold" w:hAnsi="Segoe UI Semibold"/>
                          <w:b/>
                          <w:i/>
                          <w:color w:val="1A4796"/>
                          <w:spacing w:val="-15"/>
                          <w:sz w:val="26"/>
                        </w:rPr>
                        <w:t> </w:t>
                      </w:r>
                      <w:r>
                        <w:rPr>
                          <w:rFonts w:ascii="Segoe UI Semibold" w:hAnsi="Segoe UI Semibold"/>
                          <w:b/>
                          <w:i/>
                          <w:color w:val="1A4796"/>
                          <w:spacing w:val="-2"/>
                          <w:sz w:val="26"/>
                        </w:rPr>
                        <w:t>secteurs</w:t>
                      </w:r>
                      <w:r>
                        <w:rPr>
                          <w:rFonts w:ascii="Segoe UI Semibold" w:hAnsi="Segoe UI Semibold"/>
                          <w:b/>
                          <w:i/>
                          <w:color w:val="1A4796"/>
                          <w:spacing w:val="-15"/>
                          <w:sz w:val="26"/>
                        </w:rPr>
                        <w:t> </w:t>
                      </w:r>
                      <w:r>
                        <w:rPr>
                          <w:rFonts w:ascii="Segoe UI Semibold" w:hAnsi="Segoe UI Semibold"/>
                          <w:b/>
                          <w:i/>
                          <w:color w:val="1A4796"/>
                          <w:spacing w:val="-2"/>
                          <w:sz w:val="26"/>
                        </w:rPr>
                        <w:t>qui</w:t>
                      </w:r>
                      <w:r>
                        <w:rPr>
                          <w:rFonts w:ascii="Segoe UI Semibold" w:hAnsi="Segoe UI Semibold"/>
                          <w:b/>
                          <w:i/>
                          <w:color w:val="1A4796"/>
                          <w:spacing w:val="-15"/>
                          <w:sz w:val="26"/>
                        </w:rPr>
                        <w:t> </w:t>
                      </w:r>
                      <w:r>
                        <w:rPr>
                          <w:rFonts w:ascii="Segoe UI Semibold" w:hAnsi="Segoe UI Semibold"/>
                          <w:b/>
                          <w:i/>
                          <w:color w:val="1A4796"/>
                          <w:spacing w:val="-2"/>
                          <w:sz w:val="26"/>
                        </w:rPr>
                        <w:t>ont</w:t>
                      </w:r>
                      <w:r>
                        <w:rPr>
                          <w:rFonts w:ascii="Segoe UI Semibold" w:hAnsi="Segoe UI Semibold"/>
                          <w:b/>
                          <w:i/>
                          <w:color w:val="1A4796"/>
                          <w:spacing w:val="-15"/>
                          <w:sz w:val="26"/>
                        </w:rPr>
                        <w:t> </w:t>
                      </w:r>
                      <w:r>
                        <w:rPr>
                          <w:rFonts w:ascii="Segoe UI Semibold" w:hAnsi="Segoe UI Semibold"/>
                          <w:b/>
                          <w:i/>
                          <w:color w:val="1A4796"/>
                          <w:spacing w:val="-2"/>
                          <w:sz w:val="26"/>
                        </w:rPr>
                        <w:t>saboté </w:t>
                      </w:r>
                      <w:r>
                        <w:rPr>
                          <w:rFonts w:ascii="Segoe UI Semibold" w:hAnsi="Segoe UI Semibold"/>
                          <w:b/>
                          <w:i/>
                          <w:color w:val="1A4796"/>
                          <w:sz w:val="26"/>
                        </w:rPr>
                        <w:t>en 2018 l’accord souscrit entre la</w:t>
                      </w:r>
                    </w:p>
                    <w:p>
                      <w:pPr>
                        <w:spacing w:line="220" w:lineRule="auto" w:before="3"/>
                        <w:ind w:left="566" w:right="1473" w:hanging="145"/>
                        <w:jc w:val="right"/>
                        <w:rPr>
                          <w:rFonts w:ascii="Segoe UI Semibold" w:hAnsi="Segoe UI Semibold"/>
                          <w:b/>
                          <w:i/>
                          <w:color w:val="000000"/>
                          <w:sz w:val="26"/>
                        </w:rPr>
                      </w:pPr>
                      <w:r>
                        <w:rPr>
                          <w:rFonts w:ascii="Segoe UI Semibold" w:hAnsi="Segoe UI Semibold"/>
                          <w:b/>
                          <w:i/>
                          <w:color w:val="1A4796"/>
                          <w:spacing w:val="-2"/>
                          <w:sz w:val="26"/>
                        </w:rPr>
                        <w:t>Fédération</w:t>
                      </w:r>
                      <w:r>
                        <w:rPr>
                          <w:rFonts w:ascii="Segoe UI Semibold" w:hAnsi="Segoe UI Semibold"/>
                          <w:b/>
                          <w:i/>
                          <w:color w:val="1A4796"/>
                          <w:spacing w:val="-16"/>
                          <w:sz w:val="26"/>
                        </w:rPr>
                        <w:t> </w:t>
                      </w:r>
                      <w:r>
                        <w:rPr>
                          <w:rFonts w:ascii="Segoe UI Semibold" w:hAnsi="Segoe UI Semibold"/>
                          <w:b/>
                          <w:i/>
                          <w:color w:val="1A4796"/>
                          <w:spacing w:val="-2"/>
                          <w:sz w:val="26"/>
                        </w:rPr>
                        <w:t>cubaine</w:t>
                      </w:r>
                      <w:r>
                        <w:rPr>
                          <w:rFonts w:ascii="Segoe UI Semibold" w:hAnsi="Segoe UI Semibold"/>
                          <w:b/>
                          <w:i/>
                          <w:color w:val="1A4796"/>
                          <w:spacing w:val="-16"/>
                          <w:sz w:val="26"/>
                        </w:rPr>
                        <w:t> </w:t>
                      </w:r>
                      <w:r>
                        <w:rPr>
                          <w:rFonts w:ascii="Segoe UI Semibold" w:hAnsi="Segoe UI Semibold"/>
                          <w:b/>
                          <w:i/>
                          <w:color w:val="1A4796"/>
                          <w:spacing w:val="-2"/>
                          <w:sz w:val="26"/>
                        </w:rPr>
                        <w:t>de</w:t>
                      </w:r>
                      <w:r>
                        <w:rPr>
                          <w:rFonts w:ascii="Segoe UI Semibold" w:hAnsi="Segoe UI Semibold"/>
                          <w:b/>
                          <w:i/>
                          <w:color w:val="1A4796"/>
                          <w:spacing w:val="-16"/>
                          <w:sz w:val="26"/>
                        </w:rPr>
                        <w:t> </w:t>
                      </w:r>
                      <w:r>
                        <w:rPr>
                          <w:rFonts w:ascii="Segoe UI Semibold" w:hAnsi="Segoe UI Semibold"/>
                          <w:b/>
                          <w:i/>
                          <w:color w:val="1A4796"/>
                          <w:spacing w:val="-2"/>
                          <w:sz w:val="26"/>
                        </w:rPr>
                        <w:t>base-ball</w:t>
                      </w:r>
                      <w:r>
                        <w:rPr>
                          <w:rFonts w:ascii="Segoe UI Semibold" w:hAnsi="Segoe UI Semibold"/>
                          <w:b/>
                          <w:i/>
                          <w:color w:val="1A4796"/>
                          <w:spacing w:val="-15"/>
                          <w:sz w:val="26"/>
                        </w:rPr>
                        <w:t> </w:t>
                      </w:r>
                      <w:r>
                        <w:rPr>
                          <w:rFonts w:ascii="Segoe UI Semibold" w:hAnsi="Segoe UI Semibold"/>
                          <w:b/>
                          <w:i/>
                          <w:color w:val="1A4796"/>
                          <w:spacing w:val="-2"/>
                          <w:sz w:val="26"/>
                        </w:rPr>
                        <w:t>et</w:t>
                      </w:r>
                      <w:r>
                        <w:rPr>
                          <w:rFonts w:ascii="Segoe UI Semibold" w:hAnsi="Segoe UI Semibold"/>
                          <w:b/>
                          <w:i/>
                          <w:color w:val="1A4796"/>
                          <w:spacing w:val="-16"/>
                          <w:sz w:val="26"/>
                        </w:rPr>
                        <w:t> </w:t>
                      </w:r>
                      <w:r>
                        <w:rPr>
                          <w:rFonts w:ascii="Segoe UI Semibold" w:hAnsi="Segoe UI Semibold"/>
                          <w:b/>
                          <w:i/>
                          <w:color w:val="1A4796"/>
                          <w:spacing w:val="-2"/>
                          <w:sz w:val="26"/>
                        </w:rPr>
                        <w:t>la</w:t>
                      </w:r>
                      <w:r>
                        <w:rPr>
                          <w:rFonts w:ascii="Segoe UI Semibold" w:hAnsi="Segoe UI Semibold"/>
                          <w:b/>
                          <w:i/>
                          <w:color w:val="1A4796"/>
                          <w:spacing w:val="-2"/>
                          <w:sz w:val="26"/>
                        </w:rPr>
                        <w:t> </w:t>
                      </w:r>
                      <w:r>
                        <w:rPr>
                          <w:rFonts w:ascii="Segoe UI Semibold" w:hAnsi="Segoe UI Semibold"/>
                          <w:b/>
                          <w:i/>
                          <w:color w:val="1A4796"/>
                          <w:sz w:val="26"/>
                        </w:rPr>
                        <w:t>MLB qui aurait été bénéfique aux deux</w:t>
                      </w:r>
                      <w:r>
                        <w:rPr>
                          <w:rFonts w:ascii="Segoe UI Semibold" w:hAnsi="Segoe UI Semibold"/>
                          <w:b/>
                          <w:i/>
                          <w:color w:val="1A4796"/>
                          <w:spacing w:val="-18"/>
                          <w:sz w:val="26"/>
                        </w:rPr>
                        <w:t> </w:t>
                      </w:r>
                      <w:r>
                        <w:rPr>
                          <w:rFonts w:ascii="Segoe UI Semibold" w:hAnsi="Segoe UI Semibold"/>
                          <w:b/>
                          <w:i/>
                          <w:color w:val="1A4796"/>
                          <w:sz w:val="26"/>
                        </w:rPr>
                        <w:t>parties</w:t>
                      </w:r>
                      <w:r>
                        <w:rPr>
                          <w:rFonts w:ascii="Segoe UI Semibold" w:hAnsi="Segoe UI Semibold"/>
                          <w:b/>
                          <w:i/>
                          <w:color w:val="1A4796"/>
                          <w:spacing w:val="-18"/>
                          <w:sz w:val="26"/>
                        </w:rPr>
                        <w:t> </w:t>
                      </w:r>
                      <w:r>
                        <w:rPr>
                          <w:rFonts w:ascii="Segoe UI Semibold" w:hAnsi="Segoe UI Semibold"/>
                          <w:b/>
                          <w:i/>
                          <w:color w:val="1A4796"/>
                          <w:sz w:val="26"/>
                        </w:rPr>
                        <w:t>et</w:t>
                      </w:r>
                      <w:r>
                        <w:rPr>
                          <w:rFonts w:ascii="Segoe UI Semibold" w:hAnsi="Segoe UI Semibold"/>
                          <w:b/>
                          <w:i/>
                          <w:color w:val="1A4796"/>
                          <w:spacing w:val="-18"/>
                          <w:sz w:val="26"/>
                        </w:rPr>
                        <w:t> </w:t>
                      </w:r>
                      <w:r>
                        <w:rPr>
                          <w:rFonts w:ascii="Segoe UI Semibold" w:hAnsi="Segoe UI Semibold"/>
                          <w:b/>
                          <w:i/>
                          <w:color w:val="1A4796"/>
                          <w:sz w:val="26"/>
                        </w:rPr>
                        <w:t>contribué</w:t>
                      </w:r>
                      <w:r>
                        <w:rPr>
                          <w:rFonts w:ascii="Segoe UI Semibold" w:hAnsi="Segoe UI Semibold"/>
                          <w:b/>
                          <w:i/>
                          <w:color w:val="1A4796"/>
                          <w:spacing w:val="-18"/>
                          <w:sz w:val="26"/>
                        </w:rPr>
                        <w:t> </w:t>
                      </w:r>
                      <w:r>
                        <w:rPr>
                          <w:rFonts w:ascii="Segoe UI Semibold" w:hAnsi="Segoe UI Semibold"/>
                          <w:b/>
                          <w:i/>
                          <w:color w:val="1A4796"/>
                          <w:sz w:val="26"/>
                        </w:rPr>
                        <w:t>à</w:t>
                      </w:r>
                      <w:r>
                        <w:rPr>
                          <w:rFonts w:ascii="Segoe UI Semibold" w:hAnsi="Segoe UI Semibold"/>
                          <w:b/>
                          <w:i/>
                          <w:color w:val="1A4796"/>
                          <w:spacing w:val="-18"/>
                          <w:sz w:val="26"/>
                        </w:rPr>
                        <w:t> </w:t>
                      </w:r>
                      <w:r>
                        <w:rPr>
                          <w:rFonts w:ascii="Segoe UI Semibold" w:hAnsi="Segoe UI Semibold"/>
                          <w:b/>
                          <w:i/>
                          <w:color w:val="1A4796"/>
                          <w:sz w:val="26"/>
                        </w:rPr>
                        <w:t>éliminer </w:t>
                      </w:r>
                      <w:r>
                        <w:rPr>
                          <w:rFonts w:ascii="Segoe UI Semibold" w:hAnsi="Segoe UI Semibold"/>
                          <w:b/>
                          <w:i/>
                          <w:color w:val="1A4796"/>
                          <w:spacing w:val="-2"/>
                          <w:sz w:val="26"/>
                        </w:rPr>
                        <w:t>le</w:t>
                      </w:r>
                      <w:r>
                        <w:rPr>
                          <w:rFonts w:ascii="Segoe UI Semibold" w:hAnsi="Segoe UI Semibold"/>
                          <w:b/>
                          <w:i/>
                          <w:color w:val="1A4796"/>
                          <w:spacing w:val="-14"/>
                          <w:sz w:val="26"/>
                        </w:rPr>
                        <w:t> </w:t>
                      </w:r>
                      <w:r>
                        <w:rPr>
                          <w:rFonts w:ascii="Segoe UI Semibold" w:hAnsi="Segoe UI Semibold"/>
                          <w:b/>
                          <w:i/>
                          <w:color w:val="1A4796"/>
                          <w:spacing w:val="-2"/>
                          <w:sz w:val="26"/>
                        </w:rPr>
                        <w:t>traitement</w:t>
                      </w:r>
                      <w:r>
                        <w:rPr>
                          <w:rFonts w:ascii="Segoe UI Semibold" w:hAnsi="Segoe UI Semibold"/>
                          <w:b/>
                          <w:i/>
                          <w:color w:val="1A4796"/>
                          <w:spacing w:val="-14"/>
                          <w:sz w:val="26"/>
                        </w:rPr>
                        <w:t> </w:t>
                      </w:r>
                      <w:r>
                        <w:rPr>
                          <w:rFonts w:ascii="Segoe UI Semibold" w:hAnsi="Segoe UI Semibold"/>
                          <w:b/>
                          <w:i/>
                          <w:color w:val="1A4796"/>
                          <w:spacing w:val="-2"/>
                          <w:sz w:val="26"/>
                        </w:rPr>
                        <w:t>discriminateur</w:t>
                      </w:r>
                      <w:r>
                        <w:rPr>
                          <w:rFonts w:ascii="Segoe UI Semibold" w:hAnsi="Segoe UI Semibold"/>
                          <w:b/>
                          <w:i/>
                          <w:color w:val="1A4796"/>
                          <w:spacing w:val="-14"/>
                          <w:sz w:val="26"/>
                        </w:rPr>
                        <w:t> </w:t>
                      </w:r>
                      <w:r>
                        <w:rPr>
                          <w:rFonts w:ascii="Segoe UI Semibold" w:hAnsi="Segoe UI Semibold"/>
                          <w:b/>
                          <w:i/>
                          <w:color w:val="1A4796"/>
                          <w:spacing w:val="-2"/>
                          <w:sz w:val="26"/>
                        </w:rPr>
                        <w:t>réservé</w:t>
                      </w:r>
                    </w:p>
                    <w:p>
                      <w:pPr>
                        <w:spacing w:line="328" w:lineRule="exact" w:before="0"/>
                        <w:ind w:left="0" w:right="1475" w:firstLine="0"/>
                        <w:jc w:val="right"/>
                        <w:rPr>
                          <w:rFonts w:ascii="Segoe UI Semibold" w:hAnsi="Segoe UI Semibold"/>
                          <w:b/>
                          <w:i/>
                          <w:color w:val="000000"/>
                          <w:sz w:val="26"/>
                        </w:rPr>
                      </w:pPr>
                      <w:r>
                        <w:rPr>
                          <w:rFonts w:ascii="Segoe UI Semibold" w:hAnsi="Segoe UI Semibold"/>
                          <w:b/>
                          <w:i/>
                          <w:color w:val="1A4796"/>
                          <w:sz w:val="26"/>
                        </w:rPr>
                        <w:t>à</w:t>
                      </w:r>
                      <w:r>
                        <w:rPr>
                          <w:rFonts w:ascii="Segoe UI Semibold" w:hAnsi="Segoe UI Semibold"/>
                          <w:b/>
                          <w:i/>
                          <w:color w:val="1A4796"/>
                          <w:spacing w:val="-9"/>
                          <w:sz w:val="26"/>
                        </w:rPr>
                        <w:t> </w:t>
                      </w:r>
                      <w:r>
                        <w:rPr>
                          <w:rFonts w:ascii="Segoe UI Semibold" w:hAnsi="Segoe UI Semibold"/>
                          <w:b/>
                          <w:i/>
                          <w:color w:val="1A4796"/>
                          <w:sz w:val="26"/>
                        </w:rPr>
                        <w:t>nos</w:t>
                      </w:r>
                      <w:r>
                        <w:rPr>
                          <w:rFonts w:ascii="Segoe UI Semibold" w:hAnsi="Segoe UI Semibold"/>
                          <w:b/>
                          <w:i/>
                          <w:color w:val="1A4796"/>
                          <w:spacing w:val="-9"/>
                          <w:sz w:val="26"/>
                        </w:rPr>
                        <w:t> </w:t>
                      </w:r>
                      <w:r>
                        <w:rPr>
                          <w:rFonts w:ascii="Segoe UI Semibold" w:hAnsi="Segoe UI Semibold"/>
                          <w:b/>
                          <w:i/>
                          <w:color w:val="1A4796"/>
                          <w:spacing w:val="-2"/>
                          <w:sz w:val="26"/>
                        </w:rPr>
                        <w:t>joueurs.</w:t>
                      </w:r>
                    </w:p>
                  </w:txbxContent>
                </v:textbox>
                <v:fill type="solid"/>
                <w10:wrap type="topAndBottom"/>
              </v:shape>
            </w:pict>
          </mc:Fallback>
        </mc:AlternateContent>
      </w:r>
    </w:p>
    <w:p>
      <w:pPr>
        <w:pStyle w:val="BodyText"/>
        <w:spacing w:before="221"/>
        <w:ind w:left="414" w:right="1473"/>
      </w:pPr>
      <w:r>
        <w:rPr>
          <w:color w:val="231F20"/>
        </w:rPr>
        <w:t>Bien avant le début de ce Classique, l’équipe cubaine a été discriminée : ainsi, la MLB a dû demander à l’OFAC, rattaché au département du Trésor, et recevoir avec beaucoup de retard un permis de participation spécial pour l’ensemble de l’équipe, puis un permis spécifique pour les joueurs intégrés à la Mayor League et enfin, encore plus tard, un autre permis pour qu’ils puissent rejoindre avant la sélection nationale ; de toute façon, ces </w:t>
      </w:r>
      <w:r>
        <w:rPr>
          <w:color w:val="231F20"/>
          <w:spacing w:val="-4"/>
        </w:rPr>
        <w:t>permis</w:t>
      </w:r>
      <w:r>
        <w:rPr>
          <w:color w:val="231F20"/>
          <w:spacing w:val="-13"/>
        </w:rPr>
        <w:t> </w:t>
      </w:r>
      <w:r>
        <w:rPr>
          <w:color w:val="231F20"/>
          <w:spacing w:val="-4"/>
        </w:rPr>
        <w:t>ont</w:t>
      </w:r>
      <w:r>
        <w:rPr>
          <w:color w:val="231F20"/>
          <w:spacing w:val="-12"/>
        </w:rPr>
        <w:t> </w:t>
      </w:r>
      <w:r>
        <w:rPr>
          <w:color w:val="231F20"/>
          <w:spacing w:val="-4"/>
        </w:rPr>
        <w:t>interdit</w:t>
      </w:r>
      <w:r>
        <w:rPr>
          <w:color w:val="231F20"/>
          <w:spacing w:val="-13"/>
        </w:rPr>
        <w:t> </w:t>
      </w:r>
      <w:r>
        <w:rPr>
          <w:color w:val="231F20"/>
          <w:spacing w:val="-4"/>
        </w:rPr>
        <w:t>nommément</w:t>
      </w:r>
      <w:r>
        <w:rPr>
          <w:color w:val="231F20"/>
          <w:spacing w:val="-12"/>
        </w:rPr>
        <w:t> </w:t>
      </w:r>
      <w:r>
        <w:rPr>
          <w:color w:val="231F20"/>
          <w:spacing w:val="-4"/>
        </w:rPr>
        <w:t>à</w:t>
      </w:r>
      <w:r>
        <w:rPr>
          <w:color w:val="231F20"/>
          <w:spacing w:val="-13"/>
        </w:rPr>
        <w:t> </w:t>
      </w:r>
      <w:r>
        <w:rPr>
          <w:color w:val="231F20"/>
          <w:spacing w:val="-4"/>
        </w:rPr>
        <w:t>plusieurs </w:t>
      </w:r>
      <w:r>
        <w:rPr>
          <w:color w:val="231F20"/>
          <w:spacing w:val="-2"/>
        </w:rPr>
        <w:t>joueurs</w:t>
      </w:r>
      <w:r>
        <w:rPr>
          <w:color w:val="231F20"/>
          <w:spacing w:val="-15"/>
        </w:rPr>
        <w:t> </w:t>
      </w:r>
      <w:r>
        <w:rPr>
          <w:color w:val="231F20"/>
          <w:spacing w:val="-2"/>
        </w:rPr>
        <w:t>de</w:t>
      </w:r>
      <w:r>
        <w:rPr>
          <w:color w:val="231F20"/>
          <w:spacing w:val="-14"/>
        </w:rPr>
        <w:t> </w:t>
      </w:r>
      <w:r>
        <w:rPr>
          <w:color w:val="231F20"/>
          <w:spacing w:val="-2"/>
        </w:rPr>
        <w:t>participer</w:t>
      </w:r>
      <w:r>
        <w:rPr>
          <w:color w:val="231F20"/>
          <w:spacing w:val="-15"/>
        </w:rPr>
        <w:t> </w:t>
      </w:r>
      <w:r>
        <w:rPr>
          <w:color w:val="231F20"/>
          <w:spacing w:val="-2"/>
        </w:rPr>
        <w:t>aux</w:t>
      </w:r>
      <w:r>
        <w:rPr>
          <w:color w:val="231F20"/>
          <w:spacing w:val="-14"/>
        </w:rPr>
        <w:t> </w:t>
      </w:r>
      <w:r>
        <w:rPr>
          <w:color w:val="231F20"/>
          <w:spacing w:val="-2"/>
        </w:rPr>
        <w:t>entraînements</w:t>
      </w:r>
      <w:r>
        <w:rPr>
          <w:color w:val="231F20"/>
          <w:spacing w:val="-15"/>
        </w:rPr>
        <w:t> </w:t>
      </w:r>
      <w:r>
        <w:rPr>
          <w:color w:val="231F20"/>
          <w:spacing w:val="-2"/>
        </w:rPr>
        <w:t>de </w:t>
      </w:r>
      <w:r>
        <w:rPr>
          <w:color w:val="231F20"/>
        </w:rPr>
        <w:t>la</w:t>
      </w:r>
      <w:r>
        <w:rPr>
          <w:color w:val="231F20"/>
          <w:spacing w:val="-12"/>
        </w:rPr>
        <w:t> </w:t>
      </w:r>
      <w:r>
        <w:rPr>
          <w:color w:val="231F20"/>
        </w:rPr>
        <w:t>sélection</w:t>
      </w:r>
      <w:r>
        <w:rPr>
          <w:color w:val="231F20"/>
          <w:spacing w:val="-12"/>
        </w:rPr>
        <w:t> </w:t>
      </w:r>
      <w:r>
        <w:rPr>
          <w:color w:val="231F20"/>
        </w:rPr>
        <w:t>nationale</w:t>
      </w:r>
      <w:r>
        <w:rPr>
          <w:color w:val="231F20"/>
          <w:spacing w:val="-12"/>
        </w:rPr>
        <w:t> </w:t>
      </w:r>
      <w:r>
        <w:rPr>
          <w:color w:val="231F20"/>
        </w:rPr>
        <w:t>à</w:t>
      </w:r>
      <w:r>
        <w:rPr>
          <w:color w:val="231F20"/>
          <w:spacing w:val="-12"/>
        </w:rPr>
        <w:t> </w:t>
      </w:r>
      <w:r>
        <w:rPr>
          <w:color w:val="231F20"/>
        </w:rPr>
        <w:t>Cuba</w:t>
      </w:r>
      <w:r>
        <w:rPr>
          <w:color w:val="231F20"/>
          <w:spacing w:val="-12"/>
        </w:rPr>
        <w:t> </w:t>
      </w:r>
      <w:r>
        <w:rPr>
          <w:color w:val="231F20"/>
        </w:rPr>
        <w:t>et</w:t>
      </w:r>
      <w:r>
        <w:rPr>
          <w:color w:val="231F20"/>
          <w:spacing w:val="-12"/>
        </w:rPr>
        <w:t> </w:t>
      </w:r>
      <w:r>
        <w:rPr>
          <w:color w:val="231F20"/>
        </w:rPr>
        <w:t>d’y</w:t>
      </w:r>
      <w:r>
        <w:rPr>
          <w:color w:val="231F20"/>
          <w:spacing w:val="-12"/>
        </w:rPr>
        <w:t> </w:t>
      </w:r>
      <w:r>
        <w:rPr>
          <w:color w:val="231F20"/>
        </w:rPr>
        <w:t>rentrer avec</w:t>
      </w:r>
      <w:r>
        <w:rPr>
          <w:color w:val="231F20"/>
          <w:spacing w:val="-10"/>
        </w:rPr>
        <w:t> </w:t>
      </w:r>
      <w:r>
        <w:rPr>
          <w:color w:val="231F20"/>
        </w:rPr>
        <w:t>leurs</w:t>
      </w:r>
      <w:r>
        <w:rPr>
          <w:color w:val="231F20"/>
          <w:spacing w:val="-11"/>
        </w:rPr>
        <w:t> </w:t>
      </w:r>
      <w:r>
        <w:rPr>
          <w:color w:val="231F20"/>
        </w:rPr>
        <w:t>compagnons</w:t>
      </w:r>
      <w:r>
        <w:rPr>
          <w:color w:val="231F20"/>
          <w:spacing w:val="-11"/>
        </w:rPr>
        <w:t> </w:t>
      </w:r>
      <w:r>
        <w:rPr>
          <w:color w:val="231F20"/>
        </w:rPr>
        <w:t>à</w:t>
      </w:r>
      <w:r>
        <w:rPr>
          <w:color w:val="231F20"/>
          <w:spacing w:val="-10"/>
        </w:rPr>
        <w:t> </w:t>
      </w:r>
      <w:r>
        <w:rPr>
          <w:color w:val="231F20"/>
        </w:rPr>
        <w:t>la</w:t>
      </w:r>
      <w:r>
        <w:rPr>
          <w:color w:val="231F20"/>
          <w:spacing w:val="-10"/>
        </w:rPr>
        <w:t> </w:t>
      </w:r>
      <w:r>
        <w:rPr>
          <w:color w:val="231F20"/>
        </w:rPr>
        <w:t>fin</w:t>
      </w:r>
      <w:r>
        <w:rPr>
          <w:color w:val="231F20"/>
          <w:spacing w:val="-10"/>
        </w:rPr>
        <w:t> </w:t>
      </w:r>
      <w:r>
        <w:rPr>
          <w:color w:val="231F20"/>
        </w:rPr>
        <w:t>du</w:t>
      </w:r>
      <w:r>
        <w:rPr>
          <w:color w:val="231F20"/>
          <w:spacing w:val="-10"/>
        </w:rPr>
        <w:t> </w:t>
      </w:r>
      <w:r>
        <w:rPr>
          <w:color w:val="231F20"/>
          <w:spacing w:val="-2"/>
        </w:rPr>
        <w:t>tournoi,</w:t>
      </w:r>
    </w:p>
    <w:p>
      <w:pPr>
        <w:spacing w:after="0"/>
        <w:sectPr>
          <w:pgSz w:w="11910" w:h="16840"/>
          <w:pgMar w:header="0" w:footer="695" w:top="1260" w:bottom="880" w:left="0" w:right="0"/>
          <w:cols w:num="2" w:equalWidth="0">
            <w:col w:w="5556" w:space="40"/>
            <w:col w:w="6314"/>
          </w:cols>
        </w:sectPr>
      </w:pPr>
    </w:p>
    <w:p>
      <w:pPr>
        <w:pStyle w:val="BodyText"/>
        <w:spacing w:before="77"/>
        <w:ind w:left="1474" w:right="1"/>
      </w:pPr>
      <w:r>
        <w:rPr>
          <w:color w:val="231F20"/>
        </w:rPr>
        <w:t>tous ces obstacles ayant mis en danger</w:t>
      </w:r>
      <w:r>
        <w:rPr>
          <w:color w:val="231F20"/>
          <w:spacing w:val="80"/>
          <w:w w:val="150"/>
        </w:rPr>
        <w:t> </w:t>
      </w:r>
      <w:r>
        <w:rPr>
          <w:color w:val="231F20"/>
        </w:rPr>
        <w:t>la participation de Cuba à ce Classique et entraîné des désavantages évidents.</w:t>
      </w:r>
    </w:p>
    <w:p>
      <w:pPr>
        <w:pStyle w:val="BodyText"/>
        <w:spacing w:before="162"/>
        <w:ind w:left="1474"/>
      </w:pPr>
      <w:r>
        <w:rPr>
          <w:color w:val="231F20"/>
        </w:rPr>
        <w:t>Par ailleurs, compte tenu de l’inscription arbitraire de Cuba sur la liste des pays censément</w:t>
      </w:r>
      <w:r>
        <w:rPr>
          <w:color w:val="231F20"/>
          <w:spacing w:val="-6"/>
        </w:rPr>
        <w:t> </w:t>
      </w:r>
      <w:r>
        <w:rPr>
          <w:color w:val="231F20"/>
        </w:rPr>
        <w:t>commanditaires</w:t>
      </w:r>
      <w:r>
        <w:rPr>
          <w:color w:val="231F20"/>
          <w:spacing w:val="-6"/>
        </w:rPr>
        <w:t> </w:t>
      </w:r>
      <w:r>
        <w:rPr>
          <w:color w:val="231F20"/>
        </w:rPr>
        <w:t>de</w:t>
      </w:r>
      <w:r>
        <w:rPr>
          <w:color w:val="231F20"/>
          <w:spacing w:val="-6"/>
        </w:rPr>
        <w:t> </w:t>
      </w:r>
      <w:r>
        <w:rPr>
          <w:color w:val="231F20"/>
        </w:rPr>
        <w:t>terrorisme international, nos délégations sportives sont</w:t>
      </w:r>
      <w:r>
        <w:rPr>
          <w:color w:val="231F20"/>
          <w:spacing w:val="-17"/>
        </w:rPr>
        <w:t> </w:t>
      </w:r>
      <w:r>
        <w:rPr>
          <w:color w:val="231F20"/>
        </w:rPr>
        <w:t>en</w:t>
      </w:r>
      <w:r>
        <w:rPr>
          <w:color w:val="231F20"/>
          <w:spacing w:val="-16"/>
        </w:rPr>
        <w:t> </w:t>
      </w:r>
      <w:r>
        <w:rPr>
          <w:color w:val="231F20"/>
        </w:rPr>
        <w:t>butte</w:t>
      </w:r>
      <w:r>
        <w:rPr>
          <w:color w:val="231F20"/>
          <w:spacing w:val="-17"/>
        </w:rPr>
        <w:t> </w:t>
      </w:r>
      <w:r>
        <w:rPr>
          <w:color w:val="231F20"/>
        </w:rPr>
        <w:t>dans</w:t>
      </w:r>
      <w:r>
        <w:rPr>
          <w:color w:val="231F20"/>
          <w:spacing w:val="-16"/>
        </w:rPr>
        <w:t> </w:t>
      </w:r>
      <w:r>
        <w:rPr>
          <w:color w:val="231F20"/>
        </w:rPr>
        <w:t>les</w:t>
      </w:r>
      <w:r>
        <w:rPr>
          <w:color w:val="231F20"/>
          <w:spacing w:val="-17"/>
        </w:rPr>
        <w:t> </w:t>
      </w:r>
      <w:r>
        <w:rPr>
          <w:color w:val="231F20"/>
        </w:rPr>
        <w:t>aéroports</w:t>
      </w:r>
      <w:r>
        <w:rPr>
          <w:color w:val="231F20"/>
          <w:spacing w:val="-16"/>
        </w:rPr>
        <w:t> </w:t>
      </w:r>
      <w:r>
        <w:rPr>
          <w:color w:val="231F20"/>
        </w:rPr>
        <w:t>étrangers à des contrôles de police et de douane tâtillons et xénophobes.</w:t>
      </w:r>
    </w:p>
    <w:p>
      <w:pPr>
        <w:pStyle w:val="BodyText"/>
        <w:spacing w:before="166"/>
        <w:ind w:left="1474" w:right="1"/>
      </w:pPr>
      <w:r>
        <w:rPr/>
        <mc:AlternateContent>
          <mc:Choice Requires="wps">
            <w:drawing>
              <wp:anchor distT="0" distB="0" distL="0" distR="0" allowOverlap="1" layoutInCell="1" locked="0" behindDoc="0" simplePos="0" relativeHeight="15834624">
                <wp:simplePos x="0" y="0"/>
                <wp:positionH relativeFrom="page">
                  <wp:posOffset>0</wp:posOffset>
                </wp:positionH>
                <wp:positionV relativeFrom="paragraph">
                  <wp:posOffset>472995</wp:posOffset>
                </wp:positionV>
                <wp:extent cx="1270" cy="3149600"/>
                <wp:effectExtent l="0" t="0" r="0" b="0"/>
                <wp:wrapNone/>
                <wp:docPr id="446" name="Graphic 446"/>
                <wp:cNvGraphicFramePr>
                  <a:graphicFrameLocks/>
                </wp:cNvGraphicFramePr>
                <a:graphic>
                  <a:graphicData uri="http://schemas.microsoft.com/office/word/2010/wordprocessingShape">
                    <wps:wsp>
                      <wps:cNvPr id="446" name="Graphic 446"/>
                      <wps:cNvSpPr/>
                      <wps:spPr>
                        <a:xfrm>
                          <a:off x="0" y="0"/>
                          <a:ext cx="1270" cy="3149600"/>
                        </a:xfrm>
                        <a:custGeom>
                          <a:avLst/>
                          <a:gdLst/>
                          <a:ahLst/>
                          <a:cxnLst/>
                          <a:rect l="l" t="t" r="r" b="b"/>
                          <a:pathLst>
                            <a:path w="0" h="3149600">
                              <a:moveTo>
                                <a:pt x="0" y="0"/>
                              </a:moveTo>
                              <a:lnTo>
                                <a:pt x="0" y="3149600"/>
                              </a:lnTo>
                            </a:path>
                          </a:pathLst>
                        </a:custGeom>
                        <a:solidFill>
                          <a:srgbClr val="E0E2E2"/>
                        </a:solidFill>
                      </wps:spPr>
                      <wps:bodyPr wrap="square" lIns="0" tIns="0" rIns="0" bIns="0" rtlCol="0">
                        <a:prstTxWarp prst="textNoShape">
                          <a:avLst/>
                        </a:prstTxWarp>
                        <a:noAutofit/>
                      </wps:bodyPr>
                    </wps:wsp>
                  </a:graphicData>
                </a:graphic>
              </wp:anchor>
            </w:drawing>
          </mc:Choice>
          <mc:Fallback>
            <w:pict>
              <v:shape style="position:absolute;margin-left:0pt;margin-top:37.243725pt;width:.1pt;height:248pt;mso-position-horizontal-relative:page;mso-position-vertical-relative:paragraph;z-index:15834624" id="docshape355" coordorigin="0,745" coordsize="0,4960" path="m0,745l0,5705e" filled="true" fillcolor="#e0e2e2" stroked="false">
                <v:path arrowok="t"/>
                <v:fill type="solid"/>
                <w10:wrap type="none"/>
              </v:shape>
            </w:pict>
          </mc:Fallback>
        </mc:AlternateContent>
      </w:r>
      <w:r>
        <w:rPr>
          <w:color w:val="231F20"/>
          <w:spacing w:val="-4"/>
        </w:rPr>
        <w:t>Malgré</w:t>
      </w:r>
      <w:r>
        <w:rPr>
          <w:color w:val="231F20"/>
          <w:spacing w:val="-12"/>
        </w:rPr>
        <w:t> </w:t>
      </w:r>
      <w:r>
        <w:rPr>
          <w:color w:val="231F20"/>
          <w:spacing w:val="-4"/>
        </w:rPr>
        <w:t>les</w:t>
      </w:r>
      <w:r>
        <w:rPr>
          <w:color w:val="231F20"/>
          <w:spacing w:val="-12"/>
        </w:rPr>
        <w:t> </w:t>
      </w:r>
      <w:r>
        <w:rPr>
          <w:color w:val="231F20"/>
          <w:spacing w:val="-4"/>
        </w:rPr>
        <w:t>limitations</w:t>
      </w:r>
      <w:r>
        <w:rPr>
          <w:color w:val="231F20"/>
          <w:spacing w:val="-12"/>
        </w:rPr>
        <w:t> </w:t>
      </w:r>
      <w:r>
        <w:rPr>
          <w:color w:val="231F20"/>
          <w:spacing w:val="-4"/>
        </w:rPr>
        <w:t>financières</w:t>
      </w:r>
      <w:r>
        <w:rPr>
          <w:color w:val="231F20"/>
          <w:spacing w:val="-12"/>
        </w:rPr>
        <w:t> </w:t>
      </w:r>
      <w:r>
        <w:rPr>
          <w:color w:val="231F20"/>
          <w:spacing w:val="-4"/>
        </w:rPr>
        <w:t>que</w:t>
      </w:r>
      <w:r>
        <w:rPr>
          <w:color w:val="231F20"/>
          <w:spacing w:val="-12"/>
        </w:rPr>
        <w:t> </w:t>
      </w:r>
      <w:r>
        <w:rPr>
          <w:color w:val="231F20"/>
          <w:spacing w:val="-4"/>
        </w:rPr>
        <w:t>cause </w:t>
      </w:r>
      <w:r>
        <w:rPr>
          <w:color w:val="231F20"/>
          <w:spacing w:val="-2"/>
        </w:rPr>
        <w:t>le</w:t>
      </w:r>
      <w:r>
        <w:rPr>
          <w:color w:val="231F20"/>
          <w:spacing w:val="-15"/>
        </w:rPr>
        <w:t> </w:t>
      </w:r>
      <w:r>
        <w:rPr>
          <w:color w:val="231F20"/>
          <w:spacing w:val="-2"/>
        </w:rPr>
        <w:t>blocus,</w:t>
      </w:r>
      <w:r>
        <w:rPr>
          <w:color w:val="231F20"/>
          <w:spacing w:val="-14"/>
        </w:rPr>
        <w:t> </w:t>
      </w:r>
      <w:r>
        <w:rPr>
          <w:color w:val="231F20"/>
          <w:spacing w:val="-2"/>
        </w:rPr>
        <w:t>Cuba</w:t>
      </w:r>
      <w:r>
        <w:rPr>
          <w:color w:val="231F20"/>
          <w:spacing w:val="-15"/>
        </w:rPr>
        <w:t> </w:t>
      </w:r>
      <w:r>
        <w:rPr>
          <w:color w:val="231F20"/>
          <w:spacing w:val="-2"/>
        </w:rPr>
        <w:t>ne</w:t>
      </w:r>
      <w:r>
        <w:rPr>
          <w:color w:val="231F20"/>
          <w:spacing w:val="-14"/>
        </w:rPr>
        <w:t> </w:t>
      </w:r>
      <w:r>
        <w:rPr>
          <w:color w:val="231F20"/>
          <w:spacing w:val="-2"/>
        </w:rPr>
        <w:t>peut</w:t>
      </w:r>
      <w:r>
        <w:rPr>
          <w:color w:val="231F20"/>
          <w:spacing w:val="-15"/>
        </w:rPr>
        <w:t> </w:t>
      </w:r>
      <w:r>
        <w:rPr>
          <w:color w:val="231F20"/>
          <w:spacing w:val="-2"/>
        </w:rPr>
        <w:t>acheter</w:t>
      </w:r>
      <w:r>
        <w:rPr>
          <w:color w:val="231F20"/>
          <w:spacing w:val="-14"/>
        </w:rPr>
        <w:t> </w:t>
      </w:r>
      <w:r>
        <w:rPr>
          <w:color w:val="231F20"/>
          <w:spacing w:val="-2"/>
        </w:rPr>
        <w:t>des</w:t>
      </w:r>
      <w:r>
        <w:rPr>
          <w:color w:val="231F20"/>
          <w:spacing w:val="-15"/>
        </w:rPr>
        <w:t> </w:t>
      </w:r>
      <w:r>
        <w:rPr>
          <w:color w:val="231F20"/>
          <w:spacing w:val="-2"/>
        </w:rPr>
        <w:t>articles </w:t>
      </w:r>
      <w:r>
        <w:rPr>
          <w:color w:val="231F20"/>
        </w:rPr>
        <w:t>de sport, des tissus, des chaussures, des moyens</w:t>
      </w:r>
      <w:r>
        <w:rPr>
          <w:color w:val="231F20"/>
          <w:spacing w:val="-2"/>
        </w:rPr>
        <w:t> </w:t>
      </w:r>
      <w:r>
        <w:rPr>
          <w:color w:val="231F20"/>
        </w:rPr>
        <w:t>techniques</w:t>
      </w:r>
      <w:r>
        <w:rPr>
          <w:color w:val="231F20"/>
          <w:spacing w:val="-2"/>
        </w:rPr>
        <w:t> </w:t>
      </w:r>
      <w:r>
        <w:rPr>
          <w:color w:val="231F20"/>
        </w:rPr>
        <w:t>et</w:t>
      </w:r>
      <w:r>
        <w:rPr>
          <w:color w:val="231F20"/>
          <w:spacing w:val="-2"/>
        </w:rPr>
        <w:t> </w:t>
      </w:r>
      <w:r>
        <w:rPr>
          <w:color w:val="231F20"/>
        </w:rPr>
        <w:t>pédagogiques,</w:t>
      </w:r>
      <w:r>
        <w:rPr>
          <w:color w:val="231F20"/>
          <w:spacing w:val="-2"/>
        </w:rPr>
        <w:t> </w:t>
      </w:r>
      <w:r>
        <w:rPr>
          <w:color w:val="231F20"/>
        </w:rPr>
        <w:t>des supports technologiques dont les États- Unis</w:t>
      </w:r>
      <w:r>
        <w:rPr>
          <w:color w:val="231F20"/>
          <w:spacing w:val="-3"/>
        </w:rPr>
        <w:t> </w:t>
      </w:r>
      <w:r>
        <w:rPr>
          <w:color w:val="231F20"/>
        </w:rPr>
        <w:t>sont</w:t>
      </w:r>
      <w:r>
        <w:rPr>
          <w:color w:val="231F20"/>
          <w:spacing w:val="-3"/>
        </w:rPr>
        <w:t> </w:t>
      </w:r>
      <w:r>
        <w:rPr>
          <w:color w:val="231F20"/>
        </w:rPr>
        <w:t>le</w:t>
      </w:r>
      <w:r>
        <w:rPr>
          <w:color w:val="231F20"/>
          <w:spacing w:val="-3"/>
        </w:rPr>
        <w:t> </w:t>
      </w:r>
      <w:r>
        <w:rPr>
          <w:color w:val="231F20"/>
        </w:rPr>
        <w:t>principal</w:t>
      </w:r>
      <w:r>
        <w:rPr>
          <w:color w:val="231F20"/>
          <w:spacing w:val="-3"/>
        </w:rPr>
        <w:t> </w:t>
      </w:r>
      <w:r>
        <w:rPr>
          <w:color w:val="231F20"/>
        </w:rPr>
        <w:t>fabricant</w:t>
      </w:r>
      <w:r>
        <w:rPr>
          <w:color w:val="231F20"/>
          <w:spacing w:val="-3"/>
        </w:rPr>
        <w:t> </w:t>
      </w:r>
      <w:r>
        <w:rPr>
          <w:color w:val="231F20"/>
        </w:rPr>
        <w:t>et</w:t>
      </w:r>
      <w:r>
        <w:rPr>
          <w:color w:val="231F20"/>
          <w:spacing w:val="-3"/>
        </w:rPr>
        <w:t> </w:t>
      </w:r>
      <w:r>
        <w:rPr>
          <w:color w:val="231F20"/>
        </w:rPr>
        <w:t>elle</w:t>
      </w:r>
      <w:r>
        <w:rPr>
          <w:color w:val="231F20"/>
          <w:spacing w:val="-3"/>
        </w:rPr>
        <w:t> </w:t>
      </w:r>
      <w:r>
        <w:rPr>
          <w:color w:val="231F20"/>
        </w:rPr>
        <w:t>doit se</w:t>
      </w:r>
      <w:r>
        <w:rPr>
          <w:color w:val="231F20"/>
          <w:spacing w:val="-16"/>
        </w:rPr>
        <w:t> </w:t>
      </w:r>
      <w:r>
        <w:rPr>
          <w:color w:val="231F20"/>
        </w:rPr>
        <w:t>fournir</w:t>
      </w:r>
      <w:r>
        <w:rPr>
          <w:color w:val="231F20"/>
          <w:spacing w:val="-16"/>
        </w:rPr>
        <w:t> </w:t>
      </w:r>
      <w:r>
        <w:rPr>
          <w:color w:val="231F20"/>
        </w:rPr>
        <w:t>dans</w:t>
      </w:r>
      <w:r>
        <w:rPr>
          <w:color w:val="231F20"/>
          <w:spacing w:val="-16"/>
        </w:rPr>
        <w:t> </w:t>
      </w:r>
      <w:r>
        <w:rPr>
          <w:color w:val="231F20"/>
        </w:rPr>
        <w:t>des</w:t>
      </w:r>
      <w:r>
        <w:rPr>
          <w:color w:val="231F20"/>
          <w:spacing w:val="-16"/>
        </w:rPr>
        <w:t> </w:t>
      </w:r>
      <w:r>
        <w:rPr>
          <w:color w:val="231F20"/>
        </w:rPr>
        <w:t>pays</w:t>
      </w:r>
      <w:r>
        <w:rPr>
          <w:color w:val="231F20"/>
          <w:spacing w:val="-16"/>
        </w:rPr>
        <w:t> </w:t>
      </w:r>
      <w:r>
        <w:rPr>
          <w:color w:val="231F20"/>
        </w:rPr>
        <w:t>tiers,</w:t>
      </w:r>
      <w:r>
        <w:rPr>
          <w:color w:val="231F20"/>
          <w:spacing w:val="-16"/>
        </w:rPr>
        <w:t> </w:t>
      </w:r>
      <w:r>
        <w:rPr>
          <w:color w:val="231F20"/>
        </w:rPr>
        <w:t>à</w:t>
      </w:r>
      <w:r>
        <w:rPr>
          <w:color w:val="231F20"/>
          <w:spacing w:val="-16"/>
        </w:rPr>
        <w:t> </w:t>
      </w:r>
      <w:r>
        <w:rPr>
          <w:color w:val="231F20"/>
        </w:rPr>
        <w:t>un</w:t>
      </w:r>
      <w:r>
        <w:rPr>
          <w:color w:val="231F20"/>
          <w:spacing w:val="-16"/>
        </w:rPr>
        <w:t> </w:t>
      </w:r>
      <w:r>
        <w:rPr>
          <w:color w:val="231F20"/>
        </w:rPr>
        <w:t>surcoût de 50 p. 100.</w:t>
      </w:r>
    </w:p>
    <w:p>
      <w:pPr>
        <w:pStyle w:val="BodyText"/>
        <w:spacing w:before="166"/>
        <w:ind w:left="1474" w:right="3"/>
      </w:pPr>
      <w:r>
        <w:rPr>
          <w:color w:val="231F20"/>
        </w:rPr>
        <w:t>Finalement,</w:t>
      </w:r>
      <w:r>
        <w:rPr>
          <w:color w:val="231F20"/>
          <w:spacing w:val="-7"/>
        </w:rPr>
        <w:t> </w:t>
      </w:r>
      <w:r>
        <w:rPr>
          <w:color w:val="231F20"/>
        </w:rPr>
        <w:t>nos</w:t>
      </w:r>
      <w:r>
        <w:rPr>
          <w:color w:val="231F20"/>
          <w:spacing w:val="-7"/>
        </w:rPr>
        <w:t> </w:t>
      </w:r>
      <w:r>
        <w:rPr>
          <w:color w:val="231F20"/>
        </w:rPr>
        <w:t>sportifs</w:t>
      </w:r>
      <w:r>
        <w:rPr>
          <w:color w:val="231F20"/>
          <w:spacing w:val="-7"/>
        </w:rPr>
        <w:t> </w:t>
      </w:r>
      <w:r>
        <w:rPr>
          <w:color w:val="231F20"/>
        </w:rPr>
        <w:t>et</w:t>
      </w:r>
      <w:r>
        <w:rPr>
          <w:color w:val="231F20"/>
          <w:spacing w:val="-7"/>
        </w:rPr>
        <w:t> </w:t>
      </w:r>
      <w:r>
        <w:rPr>
          <w:color w:val="231F20"/>
        </w:rPr>
        <w:t>nos</w:t>
      </w:r>
      <w:r>
        <w:rPr>
          <w:color w:val="231F20"/>
          <w:spacing w:val="-7"/>
        </w:rPr>
        <w:t> </w:t>
      </w:r>
      <w:r>
        <w:rPr>
          <w:color w:val="231F20"/>
        </w:rPr>
        <w:t>arbitres</w:t>
      </w:r>
      <w:r>
        <w:rPr>
          <w:color w:val="231F20"/>
          <w:spacing w:val="-7"/>
        </w:rPr>
        <w:t> </w:t>
      </w:r>
      <w:r>
        <w:rPr>
          <w:color w:val="231F20"/>
        </w:rPr>
        <w:t>ne </w:t>
      </w:r>
      <w:r>
        <w:rPr>
          <w:color w:val="231F20"/>
          <w:spacing w:val="-8"/>
        </w:rPr>
        <w:t>peuvent</w:t>
      </w:r>
      <w:r>
        <w:rPr>
          <w:color w:val="231F20"/>
          <w:spacing w:val="-9"/>
        </w:rPr>
        <w:t> </w:t>
      </w:r>
      <w:r>
        <w:rPr>
          <w:color w:val="231F20"/>
          <w:spacing w:val="-8"/>
        </w:rPr>
        <w:t>toucher l’argent</w:t>
      </w:r>
      <w:r>
        <w:rPr>
          <w:color w:val="231F20"/>
          <w:spacing w:val="-9"/>
        </w:rPr>
        <w:t> </w:t>
      </w:r>
      <w:r>
        <w:rPr>
          <w:color w:val="231F20"/>
          <w:spacing w:val="-8"/>
        </w:rPr>
        <w:t>qu’ils gagnent</w:t>
      </w:r>
      <w:r>
        <w:rPr>
          <w:color w:val="231F20"/>
          <w:spacing w:val="-9"/>
        </w:rPr>
        <w:t> </w:t>
      </w:r>
      <w:r>
        <w:rPr>
          <w:color w:val="231F20"/>
          <w:spacing w:val="-8"/>
        </w:rPr>
        <w:t>dans </w:t>
      </w:r>
      <w:r>
        <w:rPr>
          <w:color w:val="231F20"/>
          <w:spacing w:val="-4"/>
        </w:rPr>
        <w:t>des</w:t>
      </w:r>
      <w:r>
        <w:rPr>
          <w:color w:val="231F20"/>
          <w:spacing w:val="-9"/>
        </w:rPr>
        <w:t> </w:t>
      </w:r>
      <w:r>
        <w:rPr>
          <w:color w:val="231F20"/>
          <w:spacing w:val="-4"/>
        </w:rPr>
        <w:t>compétitions</w:t>
      </w:r>
      <w:r>
        <w:rPr>
          <w:color w:val="231F20"/>
          <w:spacing w:val="-9"/>
        </w:rPr>
        <w:t> </w:t>
      </w:r>
      <w:r>
        <w:rPr>
          <w:color w:val="231F20"/>
          <w:spacing w:val="-4"/>
        </w:rPr>
        <w:t>internationales</w:t>
      </w:r>
      <w:r>
        <w:rPr>
          <w:color w:val="231F20"/>
          <w:spacing w:val="-9"/>
        </w:rPr>
        <w:t> </w:t>
      </w:r>
      <w:r>
        <w:rPr>
          <w:color w:val="231F20"/>
          <w:spacing w:val="-4"/>
        </w:rPr>
        <w:t>parce</w:t>
      </w:r>
      <w:r>
        <w:rPr>
          <w:color w:val="231F20"/>
          <w:spacing w:val="-9"/>
        </w:rPr>
        <w:t> </w:t>
      </w:r>
      <w:r>
        <w:rPr>
          <w:color w:val="231F20"/>
          <w:spacing w:val="-4"/>
        </w:rPr>
        <w:t>que </w:t>
      </w:r>
      <w:r>
        <w:rPr>
          <w:color w:val="231F20"/>
          <w:spacing w:val="-12"/>
        </w:rPr>
        <w:t>les</w:t>
      </w:r>
      <w:r>
        <w:rPr>
          <w:color w:val="231F20"/>
          <w:spacing w:val="-4"/>
        </w:rPr>
        <w:t> </w:t>
      </w:r>
      <w:r>
        <w:rPr>
          <w:color w:val="231F20"/>
          <w:spacing w:val="-12"/>
        </w:rPr>
        <w:t>banques</w:t>
      </w:r>
      <w:r>
        <w:rPr>
          <w:color w:val="231F20"/>
          <w:spacing w:val="-4"/>
        </w:rPr>
        <w:t> </w:t>
      </w:r>
      <w:r>
        <w:rPr>
          <w:color w:val="231F20"/>
          <w:spacing w:val="-12"/>
        </w:rPr>
        <w:t>étrangères</w:t>
      </w:r>
      <w:r>
        <w:rPr>
          <w:color w:val="231F20"/>
          <w:spacing w:val="-4"/>
        </w:rPr>
        <w:t> </w:t>
      </w:r>
      <w:r>
        <w:rPr>
          <w:color w:val="231F20"/>
          <w:spacing w:val="-12"/>
        </w:rPr>
        <w:t>refusent</w:t>
      </w:r>
      <w:r>
        <w:rPr>
          <w:color w:val="231F20"/>
          <w:spacing w:val="-4"/>
        </w:rPr>
        <w:t> </w:t>
      </w:r>
      <w:r>
        <w:rPr>
          <w:color w:val="231F20"/>
          <w:spacing w:val="-12"/>
        </w:rPr>
        <w:t>de</w:t>
      </w:r>
      <w:r>
        <w:rPr>
          <w:color w:val="231F20"/>
          <w:spacing w:val="-4"/>
        </w:rPr>
        <w:t> </w:t>
      </w:r>
      <w:r>
        <w:rPr>
          <w:color w:val="231F20"/>
          <w:spacing w:val="-12"/>
        </w:rPr>
        <w:t>se</w:t>
      </w:r>
      <w:r>
        <w:rPr>
          <w:color w:val="231F20"/>
          <w:spacing w:val="-4"/>
        </w:rPr>
        <w:t> </w:t>
      </w:r>
      <w:r>
        <w:rPr>
          <w:color w:val="231F20"/>
          <w:spacing w:val="-12"/>
        </w:rPr>
        <w:t>charger </w:t>
      </w:r>
      <w:r>
        <w:rPr>
          <w:color w:val="231F20"/>
          <w:spacing w:val="-2"/>
        </w:rPr>
        <w:t>des</w:t>
      </w:r>
      <w:r>
        <w:rPr>
          <w:color w:val="231F20"/>
          <w:spacing w:val="-12"/>
        </w:rPr>
        <w:t> </w:t>
      </w:r>
      <w:r>
        <w:rPr>
          <w:color w:val="231F20"/>
          <w:spacing w:val="-2"/>
        </w:rPr>
        <w:t>virements</w:t>
      </w:r>
      <w:r>
        <w:rPr>
          <w:color w:val="231F20"/>
          <w:spacing w:val="-12"/>
        </w:rPr>
        <w:t> </w:t>
      </w:r>
      <w:r>
        <w:rPr>
          <w:color w:val="231F20"/>
          <w:spacing w:val="-2"/>
        </w:rPr>
        <w:t>correspondants.</w:t>
      </w:r>
      <w:r>
        <w:rPr>
          <w:color w:val="231F20"/>
          <w:spacing w:val="-12"/>
        </w:rPr>
        <w:t> </w:t>
      </w:r>
      <w:r>
        <w:rPr>
          <w:color w:val="231F20"/>
          <w:spacing w:val="-2"/>
        </w:rPr>
        <w:t>C’est</w:t>
      </w:r>
      <w:r>
        <w:rPr>
          <w:color w:val="231F20"/>
          <w:spacing w:val="-12"/>
        </w:rPr>
        <w:t> </w:t>
      </w:r>
      <w:r>
        <w:rPr>
          <w:color w:val="231F20"/>
          <w:spacing w:val="-2"/>
        </w:rPr>
        <w:t>le</w:t>
      </w:r>
      <w:r>
        <w:rPr>
          <w:color w:val="231F20"/>
          <w:spacing w:val="-12"/>
        </w:rPr>
        <w:t> </w:t>
      </w:r>
      <w:r>
        <w:rPr>
          <w:color w:val="231F20"/>
          <w:spacing w:val="-2"/>
        </w:rPr>
        <w:t>cas, </w:t>
      </w:r>
      <w:r>
        <w:rPr>
          <w:color w:val="231F20"/>
        </w:rPr>
        <w:t>pour ne prendre qu’un exemple, de Leila Consuelo Martínez Ortega et de Lidianny Echevarría</w:t>
      </w:r>
      <w:r>
        <w:rPr>
          <w:color w:val="231F20"/>
          <w:spacing w:val="-12"/>
        </w:rPr>
        <w:t> </w:t>
      </w:r>
      <w:r>
        <w:rPr>
          <w:color w:val="231F20"/>
        </w:rPr>
        <w:t>Benítez,</w:t>
      </w:r>
      <w:r>
        <w:rPr>
          <w:color w:val="231F20"/>
          <w:spacing w:val="-12"/>
        </w:rPr>
        <w:t> </w:t>
      </w:r>
      <w:r>
        <w:rPr>
          <w:color w:val="231F20"/>
        </w:rPr>
        <w:t>de</w:t>
      </w:r>
      <w:r>
        <w:rPr>
          <w:color w:val="231F20"/>
          <w:spacing w:val="-12"/>
        </w:rPr>
        <w:t> </w:t>
      </w:r>
      <w:r>
        <w:rPr>
          <w:color w:val="231F20"/>
        </w:rPr>
        <w:t>l’équipe</w:t>
      </w:r>
      <w:r>
        <w:rPr>
          <w:color w:val="231F20"/>
          <w:spacing w:val="-12"/>
        </w:rPr>
        <w:t> </w:t>
      </w:r>
      <w:r>
        <w:rPr>
          <w:color w:val="231F20"/>
        </w:rPr>
        <w:t>cubaine</w:t>
      </w:r>
      <w:r>
        <w:rPr>
          <w:color w:val="231F20"/>
          <w:spacing w:val="-12"/>
        </w:rPr>
        <w:t> </w:t>
      </w:r>
      <w:r>
        <w:rPr>
          <w:color w:val="231F20"/>
        </w:rPr>
        <w:t>de </w:t>
      </w:r>
      <w:r>
        <w:rPr>
          <w:color w:val="231F20"/>
          <w:spacing w:val="-6"/>
        </w:rPr>
        <w:t>volleyball</w:t>
      </w:r>
      <w:r>
        <w:rPr>
          <w:color w:val="231F20"/>
          <w:spacing w:val="-7"/>
        </w:rPr>
        <w:t> </w:t>
      </w:r>
      <w:r>
        <w:rPr>
          <w:color w:val="231F20"/>
          <w:spacing w:val="-6"/>
        </w:rPr>
        <w:t>de</w:t>
      </w:r>
      <w:r>
        <w:rPr>
          <w:color w:val="231F20"/>
          <w:spacing w:val="-7"/>
        </w:rPr>
        <w:t> </w:t>
      </w:r>
      <w:r>
        <w:rPr>
          <w:color w:val="231F20"/>
          <w:spacing w:val="-6"/>
        </w:rPr>
        <w:t>plage,</w:t>
      </w:r>
      <w:r>
        <w:rPr>
          <w:color w:val="231F20"/>
          <w:spacing w:val="-7"/>
        </w:rPr>
        <w:t> </w:t>
      </w:r>
      <w:r>
        <w:rPr>
          <w:color w:val="231F20"/>
          <w:spacing w:val="-6"/>
        </w:rPr>
        <w:t>qui</w:t>
      </w:r>
      <w:r>
        <w:rPr>
          <w:color w:val="231F20"/>
          <w:spacing w:val="-7"/>
        </w:rPr>
        <w:t> </w:t>
      </w:r>
      <w:r>
        <w:rPr>
          <w:color w:val="231F20"/>
          <w:spacing w:val="-6"/>
        </w:rPr>
        <w:t>participent</w:t>
      </w:r>
      <w:r>
        <w:rPr>
          <w:color w:val="231F20"/>
          <w:spacing w:val="-7"/>
        </w:rPr>
        <w:t> </w:t>
      </w:r>
      <w:r>
        <w:rPr>
          <w:color w:val="231F20"/>
          <w:spacing w:val="-6"/>
        </w:rPr>
        <w:t>au</w:t>
      </w:r>
      <w:r>
        <w:rPr>
          <w:color w:val="231F20"/>
          <w:spacing w:val="-7"/>
        </w:rPr>
        <w:t> </w:t>
      </w:r>
      <w:r>
        <w:rPr>
          <w:color w:val="231F20"/>
          <w:spacing w:val="-6"/>
        </w:rPr>
        <w:t>circuit </w:t>
      </w:r>
      <w:r>
        <w:rPr>
          <w:color w:val="231F20"/>
          <w:spacing w:val="-2"/>
        </w:rPr>
        <w:t>international</w:t>
      </w:r>
      <w:r>
        <w:rPr>
          <w:color w:val="231F20"/>
          <w:spacing w:val="-10"/>
        </w:rPr>
        <w:t> </w:t>
      </w:r>
      <w:r>
        <w:rPr>
          <w:color w:val="231F20"/>
          <w:spacing w:val="-2"/>
        </w:rPr>
        <w:t>correspondant.</w:t>
      </w:r>
    </w:p>
    <w:p>
      <w:pPr>
        <w:spacing w:before="167"/>
        <w:ind w:left="1474" w:right="0" w:firstLine="0"/>
        <w:jc w:val="both"/>
        <w:rPr>
          <w:rFonts w:ascii="Segoe UI Semibold" w:hAnsi="Segoe UI Semibold"/>
          <w:b/>
          <w:i/>
          <w:sz w:val="24"/>
        </w:rPr>
      </w:pPr>
      <w:r>
        <w:rPr>
          <w:rFonts w:ascii="Segoe UI Semibold" w:hAnsi="Segoe UI Semibold"/>
          <w:b/>
          <w:i/>
          <w:color w:val="231F20"/>
          <w:sz w:val="24"/>
        </w:rPr>
        <w:t>Dans le domaine de </w:t>
      </w:r>
      <w:r>
        <w:rPr>
          <w:b/>
          <w:i/>
          <w:color w:val="B52628"/>
          <w:sz w:val="24"/>
        </w:rPr>
        <w:t>la culture</w:t>
      </w:r>
      <w:r>
        <w:rPr>
          <w:rFonts w:ascii="Segoe UI Semibold" w:hAnsi="Segoe UI Semibold"/>
          <w:b/>
          <w:i/>
          <w:color w:val="231F20"/>
          <w:sz w:val="24"/>
        </w:rPr>
        <w:t>, le blocus</w:t>
      </w:r>
      <w:r>
        <w:rPr>
          <w:rFonts w:ascii="Segoe UI Semibold" w:hAnsi="Segoe UI Semibold"/>
          <w:b/>
          <w:i/>
          <w:color w:val="231F20"/>
          <w:sz w:val="24"/>
        </w:rPr>
        <w:t> complique la recherche de créneaux de </w:t>
      </w:r>
      <w:r>
        <w:rPr>
          <w:rFonts w:ascii="Segoe UI Semibold" w:hAnsi="Segoe UI Semibold"/>
          <w:b/>
          <w:i/>
          <w:color w:val="231F20"/>
          <w:spacing w:val="-2"/>
          <w:sz w:val="24"/>
        </w:rPr>
        <w:t>marché</w:t>
      </w:r>
      <w:r>
        <w:rPr>
          <w:rFonts w:ascii="Segoe UI Semibold" w:hAnsi="Segoe UI Semibold"/>
          <w:b/>
          <w:i/>
          <w:color w:val="231F20"/>
          <w:spacing w:val="-15"/>
          <w:sz w:val="24"/>
        </w:rPr>
        <w:t> </w:t>
      </w:r>
      <w:r>
        <w:rPr>
          <w:rFonts w:ascii="Segoe UI Semibold" w:hAnsi="Segoe UI Semibold"/>
          <w:b/>
          <w:i/>
          <w:color w:val="231F20"/>
          <w:spacing w:val="-2"/>
          <w:sz w:val="24"/>
        </w:rPr>
        <w:t>et</w:t>
      </w:r>
      <w:r>
        <w:rPr>
          <w:rFonts w:ascii="Segoe UI Semibold" w:hAnsi="Segoe UI Semibold"/>
          <w:b/>
          <w:i/>
          <w:color w:val="231F20"/>
          <w:spacing w:val="-14"/>
          <w:sz w:val="24"/>
        </w:rPr>
        <w:t> </w:t>
      </w:r>
      <w:r>
        <w:rPr>
          <w:rFonts w:ascii="Segoe UI Semibold" w:hAnsi="Segoe UI Semibold"/>
          <w:b/>
          <w:i/>
          <w:color w:val="231F20"/>
          <w:spacing w:val="-2"/>
          <w:sz w:val="24"/>
        </w:rPr>
        <w:t>d’occasions</w:t>
      </w:r>
      <w:r>
        <w:rPr>
          <w:rFonts w:ascii="Segoe UI Semibold" w:hAnsi="Segoe UI Semibold"/>
          <w:b/>
          <w:i/>
          <w:color w:val="231F20"/>
          <w:spacing w:val="-15"/>
          <w:sz w:val="24"/>
        </w:rPr>
        <w:t> </w:t>
      </w:r>
      <w:r>
        <w:rPr>
          <w:rFonts w:ascii="Segoe UI Semibold" w:hAnsi="Segoe UI Semibold"/>
          <w:b/>
          <w:i/>
          <w:color w:val="231F20"/>
          <w:spacing w:val="-2"/>
          <w:sz w:val="24"/>
        </w:rPr>
        <w:t>d’affaires,</w:t>
      </w:r>
      <w:r>
        <w:rPr>
          <w:rFonts w:ascii="Segoe UI Semibold" w:hAnsi="Segoe UI Semibold"/>
          <w:b/>
          <w:i/>
          <w:color w:val="231F20"/>
          <w:spacing w:val="-14"/>
          <w:sz w:val="24"/>
        </w:rPr>
        <w:t> </w:t>
      </w:r>
      <w:r>
        <w:rPr>
          <w:rFonts w:ascii="Segoe UI Semibold" w:hAnsi="Segoe UI Semibold"/>
          <w:b/>
          <w:i/>
          <w:color w:val="231F20"/>
          <w:spacing w:val="-2"/>
          <w:sz w:val="24"/>
        </w:rPr>
        <w:t>empêche </w:t>
      </w:r>
      <w:r>
        <w:rPr>
          <w:rFonts w:ascii="Segoe UI Semibold" w:hAnsi="Segoe UI Semibold"/>
          <w:b/>
          <w:i/>
          <w:color w:val="231F20"/>
          <w:spacing w:val="-6"/>
          <w:sz w:val="24"/>
        </w:rPr>
        <w:t>la</w:t>
      </w:r>
      <w:r>
        <w:rPr>
          <w:rFonts w:ascii="Segoe UI Semibold" w:hAnsi="Segoe UI Semibold"/>
          <w:b/>
          <w:i/>
          <w:color w:val="231F20"/>
          <w:spacing w:val="-11"/>
          <w:sz w:val="24"/>
        </w:rPr>
        <w:t> </w:t>
      </w:r>
      <w:r>
        <w:rPr>
          <w:rFonts w:ascii="Segoe UI Semibold" w:hAnsi="Segoe UI Semibold"/>
          <w:b/>
          <w:i/>
          <w:color w:val="231F20"/>
          <w:spacing w:val="-6"/>
          <w:sz w:val="24"/>
        </w:rPr>
        <w:t>promotion,</w:t>
      </w:r>
      <w:r>
        <w:rPr>
          <w:rFonts w:ascii="Segoe UI Semibold" w:hAnsi="Segoe UI Semibold"/>
          <w:b/>
          <w:i/>
          <w:color w:val="231F20"/>
          <w:spacing w:val="-10"/>
          <w:sz w:val="24"/>
        </w:rPr>
        <w:t> </w:t>
      </w:r>
      <w:r>
        <w:rPr>
          <w:rFonts w:ascii="Segoe UI Semibold" w:hAnsi="Segoe UI Semibold"/>
          <w:b/>
          <w:i/>
          <w:color w:val="231F20"/>
          <w:spacing w:val="-6"/>
          <w:sz w:val="24"/>
        </w:rPr>
        <w:t>la</w:t>
      </w:r>
      <w:r>
        <w:rPr>
          <w:rFonts w:ascii="Segoe UI Semibold" w:hAnsi="Segoe UI Semibold"/>
          <w:b/>
          <w:i/>
          <w:color w:val="231F20"/>
          <w:spacing w:val="-11"/>
          <w:sz w:val="24"/>
        </w:rPr>
        <w:t> </w:t>
      </w:r>
      <w:r>
        <w:rPr>
          <w:rFonts w:ascii="Segoe UI Semibold" w:hAnsi="Segoe UI Semibold"/>
          <w:b/>
          <w:i/>
          <w:color w:val="231F20"/>
          <w:spacing w:val="-6"/>
          <w:sz w:val="24"/>
        </w:rPr>
        <w:t>diffusion</w:t>
      </w:r>
      <w:r>
        <w:rPr>
          <w:rFonts w:ascii="Segoe UI Semibold" w:hAnsi="Segoe UI Semibold"/>
          <w:b/>
          <w:i/>
          <w:color w:val="231F20"/>
          <w:spacing w:val="-10"/>
          <w:sz w:val="24"/>
        </w:rPr>
        <w:t> </w:t>
      </w:r>
      <w:r>
        <w:rPr>
          <w:rFonts w:ascii="Segoe UI Semibold" w:hAnsi="Segoe UI Semibold"/>
          <w:b/>
          <w:i/>
          <w:color w:val="231F20"/>
          <w:spacing w:val="-6"/>
          <w:sz w:val="24"/>
        </w:rPr>
        <w:t>et</w:t>
      </w:r>
      <w:r>
        <w:rPr>
          <w:rFonts w:ascii="Segoe UI Semibold" w:hAnsi="Segoe UI Semibold"/>
          <w:b/>
          <w:i/>
          <w:color w:val="231F20"/>
          <w:spacing w:val="-11"/>
          <w:sz w:val="24"/>
        </w:rPr>
        <w:t> </w:t>
      </w:r>
      <w:r>
        <w:rPr>
          <w:rFonts w:ascii="Segoe UI Semibold" w:hAnsi="Segoe UI Semibold"/>
          <w:b/>
          <w:i/>
          <w:color w:val="231F20"/>
          <w:spacing w:val="-6"/>
          <w:sz w:val="24"/>
        </w:rPr>
        <w:t>la</w:t>
      </w:r>
      <w:r>
        <w:rPr>
          <w:rFonts w:ascii="Segoe UI Semibold" w:hAnsi="Segoe UI Semibold"/>
          <w:b/>
          <w:i/>
          <w:color w:val="231F20"/>
          <w:spacing w:val="-10"/>
          <w:sz w:val="24"/>
        </w:rPr>
        <w:t> </w:t>
      </w:r>
      <w:r>
        <w:rPr>
          <w:rFonts w:ascii="Segoe UI Semibold" w:hAnsi="Segoe UI Semibold"/>
          <w:b/>
          <w:i/>
          <w:color w:val="231F20"/>
          <w:spacing w:val="-6"/>
          <w:sz w:val="24"/>
        </w:rPr>
        <w:t>vente</w:t>
      </w:r>
      <w:r>
        <w:rPr>
          <w:rFonts w:ascii="Segoe UI Semibold" w:hAnsi="Segoe UI Semibold"/>
          <w:b/>
          <w:i/>
          <w:color w:val="231F20"/>
          <w:spacing w:val="-11"/>
          <w:sz w:val="24"/>
        </w:rPr>
        <w:t> </w:t>
      </w:r>
      <w:r>
        <w:rPr>
          <w:rFonts w:ascii="Segoe UI Semibold" w:hAnsi="Segoe UI Semibold"/>
          <w:b/>
          <w:i/>
          <w:color w:val="231F20"/>
          <w:spacing w:val="-6"/>
          <w:sz w:val="24"/>
        </w:rPr>
        <w:t>de</w:t>
      </w:r>
      <w:r>
        <w:rPr>
          <w:rFonts w:ascii="Segoe UI Semibold" w:hAnsi="Segoe UI Semibold"/>
          <w:b/>
          <w:i/>
          <w:color w:val="231F20"/>
          <w:spacing w:val="-10"/>
          <w:sz w:val="24"/>
        </w:rPr>
        <w:t> </w:t>
      </w:r>
      <w:r>
        <w:rPr>
          <w:rFonts w:ascii="Segoe UI Semibold" w:hAnsi="Segoe UI Semibold"/>
          <w:b/>
          <w:i/>
          <w:color w:val="231F20"/>
          <w:spacing w:val="-6"/>
          <w:sz w:val="24"/>
        </w:rPr>
        <w:t>nos </w:t>
      </w:r>
      <w:r>
        <w:rPr>
          <w:rFonts w:ascii="Segoe UI Semibold" w:hAnsi="Segoe UI Semibold"/>
          <w:b/>
          <w:i/>
          <w:color w:val="231F20"/>
          <w:spacing w:val="-2"/>
          <w:sz w:val="24"/>
        </w:rPr>
        <w:t>talents</w:t>
      </w:r>
      <w:r>
        <w:rPr>
          <w:rFonts w:ascii="Segoe UI Semibold" w:hAnsi="Segoe UI Semibold"/>
          <w:b/>
          <w:i/>
          <w:color w:val="231F20"/>
          <w:spacing w:val="-15"/>
          <w:sz w:val="24"/>
        </w:rPr>
        <w:t> </w:t>
      </w:r>
      <w:r>
        <w:rPr>
          <w:rFonts w:ascii="Segoe UI Semibold" w:hAnsi="Segoe UI Semibold"/>
          <w:b/>
          <w:i/>
          <w:color w:val="231F20"/>
          <w:spacing w:val="-2"/>
          <w:sz w:val="24"/>
        </w:rPr>
        <w:t>culturels,</w:t>
      </w:r>
      <w:r>
        <w:rPr>
          <w:rFonts w:ascii="Segoe UI Semibold" w:hAnsi="Segoe UI Semibold"/>
          <w:b/>
          <w:i/>
          <w:color w:val="231F20"/>
          <w:spacing w:val="-14"/>
          <w:sz w:val="24"/>
        </w:rPr>
        <w:t> </w:t>
      </w:r>
      <w:r>
        <w:rPr>
          <w:rFonts w:ascii="Segoe UI Semibold" w:hAnsi="Segoe UI Semibold"/>
          <w:b/>
          <w:i/>
          <w:color w:val="231F20"/>
          <w:spacing w:val="-2"/>
          <w:sz w:val="24"/>
        </w:rPr>
        <w:t>déprime</w:t>
      </w:r>
      <w:r>
        <w:rPr>
          <w:rFonts w:ascii="Segoe UI Semibold" w:hAnsi="Segoe UI Semibold"/>
          <w:b/>
          <w:i/>
          <w:color w:val="231F20"/>
          <w:spacing w:val="-15"/>
          <w:sz w:val="24"/>
        </w:rPr>
        <w:t> </w:t>
      </w:r>
      <w:r>
        <w:rPr>
          <w:rFonts w:ascii="Segoe UI Semibold" w:hAnsi="Segoe UI Semibold"/>
          <w:b/>
          <w:i/>
          <w:color w:val="231F20"/>
          <w:spacing w:val="-2"/>
          <w:sz w:val="24"/>
        </w:rPr>
        <w:t>au</w:t>
      </w:r>
      <w:r>
        <w:rPr>
          <w:rFonts w:ascii="Segoe UI Semibold" w:hAnsi="Segoe UI Semibold"/>
          <w:b/>
          <w:i/>
          <w:color w:val="231F20"/>
          <w:spacing w:val="-14"/>
          <w:sz w:val="24"/>
        </w:rPr>
        <w:t> </w:t>
      </w:r>
      <w:r>
        <w:rPr>
          <w:rFonts w:ascii="Segoe UI Semibold" w:hAnsi="Segoe UI Semibold"/>
          <w:b/>
          <w:i/>
          <w:color w:val="231F20"/>
          <w:spacing w:val="-2"/>
          <w:sz w:val="24"/>
        </w:rPr>
        <w:t>minimum</w:t>
      </w:r>
      <w:r>
        <w:rPr>
          <w:rFonts w:ascii="Segoe UI Semibold" w:hAnsi="Segoe UI Semibold"/>
          <w:b/>
          <w:i/>
          <w:color w:val="231F20"/>
          <w:spacing w:val="-15"/>
          <w:sz w:val="24"/>
        </w:rPr>
        <w:t> </w:t>
      </w:r>
      <w:r>
        <w:rPr>
          <w:rFonts w:ascii="Segoe UI Semibold" w:hAnsi="Segoe UI Semibold"/>
          <w:b/>
          <w:i/>
          <w:color w:val="231F20"/>
          <w:spacing w:val="-2"/>
          <w:sz w:val="24"/>
        </w:rPr>
        <w:t>les prix</w:t>
      </w:r>
      <w:r>
        <w:rPr>
          <w:rFonts w:ascii="Segoe UI Semibold" w:hAnsi="Segoe UI Semibold"/>
          <w:b/>
          <w:i/>
          <w:color w:val="231F20"/>
          <w:spacing w:val="-15"/>
          <w:sz w:val="24"/>
        </w:rPr>
        <w:t> </w:t>
      </w:r>
      <w:r>
        <w:rPr>
          <w:rFonts w:ascii="Segoe UI Semibold" w:hAnsi="Segoe UI Semibold"/>
          <w:b/>
          <w:i/>
          <w:color w:val="231F20"/>
          <w:spacing w:val="-2"/>
          <w:sz w:val="24"/>
        </w:rPr>
        <w:t>de</w:t>
      </w:r>
      <w:r>
        <w:rPr>
          <w:rFonts w:ascii="Segoe UI Semibold" w:hAnsi="Segoe UI Semibold"/>
          <w:b/>
          <w:i/>
          <w:color w:val="231F20"/>
          <w:spacing w:val="-14"/>
          <w:sz w:val="24"/>
        </w:rPr>
        <w:t> </w:t>
      </w:r>
      <w:r>
        <w:rPr>
          <w:rFonts w:ascii="Segoe UI Semibold" w:hAnsi="Segoe UI Semibold"/>
          <w:b/>
          <w:i/>
          <w:color w:val="231F20"/>
          <w:spacing w:val="-2"/>
          <w:sz w:val="24"/>
        </w:rPr>
        <w:t>vente</w:t>
      </w:r>
      <w:r>
        <w:rPr>
          <w:rFonts w:ascii="Segoe UI Semibold" w:hAnsi="Segoe UI Semibold"/>
          <w:b/>
          <w:i/>
          <w:color w:val="231F20"/>
          <w:spacing w:val="-15"/>
          <w:sz w:val="24"/>
        </w:rPr>
        <w:t> </w:t>
      </w:r>
      <w:r>
        <w:rPr>
          <w:rFonts w:ascii="Segoe UI Semibold" w:hAnsi="Segoe UI Semibold"/>
          <w:b/>
          <w:i/>
          <w:color w:val="231F20"/>
          <w:spacing w:val="-2"/>
          <w:sz w:val="24"/>
        </w:rPr>
        <w:t>et</w:t>
      </w:r>
      <w:r>
        <w:rPr>
          <w:rFonts w:ascii="Segoe UI Semibold" w:hAnsi="Segoe UI Semibold"/>
          <w:b/>
          <w:i/>
          <w:color w:val="231F20"/>
          <w:spacing w:val="-14"/>
          <w:sz w:val="24"/>
        </w:rPr>
        <w:t> </w:t>
      </w:r>
      <w:r>
        <w:rPr>
          <w:rFonts w:ascii="Segoe UI Semibold" w:hAnsi="Segoe UI Semibold"/>
          <w:b/>
          <w:i/>
          <w:color w:val="231F20"/>
          <w:spacing w:val="-2"/>
          <w:sz w:val="24"/>
        </w:rPr>
        <w:t>limite</w:t>
      </w:r>
      <w:r>
        <w:rPr>
          <w:rFonts w:ascii="Segoe UI Semibold" w:hAnsi="Segoe UI Semibold"/>
          <w:b/>
          <w:i/>
          <w:color w:val="231F20"/>
          <w:spacing w:val="-15"/>
          <w:sz w:val="24"/>
        </w:rPr>
        <w:t> </w:t>
      </w:r>
      <w:r>
        <w:rPr>
          <w:rFonts w:ascii="Segoe UI Semibold" w:hAnsi="Segoe UI Semibold"/>
          <w:b/>
          <w:i/>
          <w:color w:val="231F20"/>
          <w:spacing w:val="-2"/>
          <w:sz w:val="24"/>
        </w:rPr>
        <w:t>énormément</w:t>
      </w:r>
      <w:r>
        <w:rPr>
          <w:rFonts w:ascii="Segoe UI Semibold" w:hAnsi="Segoe UI Semibold"/>
          <w:b/>
          <w:i/>
          <w:color w:val="231F20"/>
          <w:spacing w:val="-14"/>
          <w:sz w:val="24"/>
        </w:rPr>
        <w:t> </w:t>
      </w:r>
      <w:r>
        <w:rPr>
          <w:rFonts w:ascii="Segoe UI Semibold" w:hAnsi="Segoe UI Semibold"/>
          <w:b/>
          <w:i/>
          <w:color w:val="231F20"/>
          <w:spacing w:val="-2"/>
          <w:sz w:val="24"/>
        </w:rPr>
        <w:t>l’accès </w:t>
      </w:r>
      <w:r>
        <w:rPr>
          <w:rFonts w:ascii="Segoe UI Semibold" w:hAnsi="Segoe UI Semibold"/>
          <w:b/>
          <w:i/>
          <w:color w:val="231F20"/>
          <w:sz w:val="24"/>
        </w:rPr>
        <w:t>à</w:t>
      </w:r>
      <w:r>
        <w:rPr>
          <w:rFonts w:ascii="Segoe UI Semibold" w:hAnsi="Segoe UI Semibold"/>
          <w:b/>
          <w:i/>
          <w:color w:val="231F20"/>
          <w:spacing w:val="-14"/>
          <w:sz w:val="24"/>
        </w:rPr>
        <w:t> </w:t>
      </w:r>
      <w:r>
        <w:rPr>
          <w:rFonts w:ascii="Segoe UI Semibold" w:hAnsi="Segoe UI Semibold"/>
          <w:b/>
          <w:i/>
          <w:color w:val="231F20"/>
          <w:sz w:val="24"/>
        </w:rPr>
        <w:t>de</w:t>
      </w:r>
      <w:r>
        <w:rPr>
          <w:rFonts w:ascii="Segoe UI Semibold" w:hAnsi="Segoe UI Semibold"/>
          <w:b/>
          <w:i/>
          <w:color w:val="231F20"/>
          <w:spacing w:val="-14"/>
          <w:sz w:val="24"/>
        </w:rPr>
        <w:t> </w:t>
      </w:r>
      <w:r>
        <w:rPr>
          <w:rFonts w:ascii="Segoe UI Semibold" w:hAnsi="Segoe UI Semibold"/>
          <w:b/>
          <w:i/>
          <w:color w:val="231F20"/>
          <w:sz w:val="24"/>
        </w:rPr>
        <w:t>vastes</w:t>
      </w:r>
      <w:r>
        <w:rPr>
          <w:rFonts w:ascii="Segoe UI Semibold" w:hAnsi="Segoe UI Semibold"/>
          <w:b/>
          <w:i/>
          <w:color w:val="231F20"/>
          <w:spacing w:val="-13"/>
          <w:sz w:val="24"/>
        </w:rPr>
        <w:t> </w:t>
      </w:r>
      <w:r>
        <w:rPr>
          <w:rFonts w:ascii="Segoe UI Semibold" w:hAnsi="Segoe UI Semibold"/>
          <w:b/>
          <w:i/>
          <w:color w:val="231F20"/>
          <w:sz w:val="24"/>
        </w:rPr>
        <w:t>publics</w:t>
      </w:r>
      <w:r>
        <w:rPr>
          <w:rFonts w:ascii="Segoe UI Semibold" w:hAnsi="Segoe UI Semibold"/>
          <w:b/>
          <w:i/>
          <w:color w:val="231F20"/>
          <w:spacing w:val="-14"/>
          <w:sz w:val="24"/>
        </w:rPr>
        <w:t> </w:t>
      </w:r>
      <w:r>
        <w:rPr>
          <w:rFonts w:ascii="Segoe UI Semibold" w:hAnsi="Segoe UI Semibold"/>
          <w:b/>
          <w:i/>
          <w:color w:val="231F20"/>
          <w:sz w:val="24"/>
        </w:rPr>
        <w:t>sur</w:t>
      </w:r>
      <w:r>
        <w:rPr>
          <w:rFonts w:ascii="Segoe UI Semibold" w:hAnsi="Segoe UI Semibold"/>
          <w:b/>
          <w:i/>
          <w:color w:val="231F20"/>
          <w:spacing w:val="-13"/>
          <w:sz w:val="24"/>
        </w:rPr>
        <w:t> </w:t>
      </w:r>
      <w:r>
        <w:rPr>
          <w:rFonts w:ascii="Segoe UI Semibold" w:hAnsi="Segoe UI Semibold"/>
          <w:b/>
          <w:i/>
          <w:color w:val="231F20"/>
          <w:sz w:val="24"/>
        </w:rPr>
        <w:t>tous</w:t>
      </w:r>
      <w:r>
        <w:rPr>
          <w:rFonts w:ascii="Segoe UI Semibold" w:hAnsi="Segoe UI Semibold"/>
          <w:b/>
          <w:i/>
          <w:color w:val="231F20"/>
          <w:spacing w:val="-14"/>
          <w:sz w:val="24"/>
        </w:rPr>
        <w:t> </w:t>
      </w:r>
      <w:r>
        <w:rPr>
          <w:rFonts w:ascii="Segoe UI Semibold" w:hAnsi="Segoe UI Semibold"/>
          <w:b/>
          <w:i/>
          <w:color w:val="231F20"/>
          <w:sz w:val="24"/>
        </w:rPr>
        <w:t>les</w:t>
      </w:r>
      <w:r>
        <w:rPr>
          <w:rFonts w:ascii="Segoe UI Semibold" w:hAnsi="Segoe UI Semibold"/>
          <w:b/>
          <w:i/>
          <w:color w:val="231F20"/>
          <w:spacing w:val="-13"/>
          <w:sz w:val="24"/>
        </w:rPr>
        <w:t> </w:t>
      </w:r>
      <w:r>
        <w:rPr>
          <w:rFonts w:ascii="Segoe UI Semibold" w:hAnsi="Segoe UI Semibold"/>
          <w:b/>
          <w:i/>
          <w:color w:val="231F20"/>
          <w:spacing w:val="-2"/>
          <w:sz w:val="24"/>
        </w:rPr>
        <w:t>continents.</w:t>
      </w:r>
    </w:p>
    <w:p>
      <w:pPr>
        <w:pStyle w:val="BodyText"/>
        <w:spacing w:before="159"/>
        <w:ind w:left="1474"/>
      </w:pPr>
      <w:r>
        <w:rPr>
          <w:color w:val="231F20"/>
          <w:spacing w:val="-6"/>
        </w:rPr>
        <w:t>La</w:t>
      </w:r>
      <w:r>
        <w:rPr>
          <w:color w:val="231F20"/>
          <w:spacing w:val="-11"/>
        </w:rPr>
        <w:t> </w:t>
      </w:r>
      <w:r>
        <w:rPr>
          <w:color w:val="231F20"/>
          <w:spacing w:val="-6"/>
        </w:rPr>
        <w:t>culture</w:t>
      </w:r>
      <w:r>
        <w:rPr>
          <w:color w:val="231F20"/>
          <w:spacing w:val="-10"/>
        </w:rPr>
        <w:t> </w:t>
      </w:r>
      <w:r>
        <w:rPr>
          <w:color w:val="231F20"/>
          <w:spacing w:val="-6"/>
        </w:rPr>
        <w:t>cubaine</w:t>
      </w:r>
      <w:r>
        <w:rPr>
          <w:color w:val="231F20"/>
          <w:spacing w:val="-11"/>
        </w:rPr>
        <w:t> </w:t>
      </w:r>
      <w:r>
        <w:rPr>
          <w:color w:val="231F20"/>
          <w:spacing w:val="-6"/>
        </w:rPr>
        <w:t>a</w:t>
      </w:r>
      <w:r>
        <w:rPr>
          <w:color w:val="231F20"/>
          <w:spacing w:val="-10"/>
        </w:rPr>
        <w:t> </w:t>
      </w:r>
      <w:r>
        <w:rPr>
          <w:color w:val="231F20"/>
          <w:spacing w:val="-6"/>
        </w:rPr>
        <w:t>constitué</w:t>
      </w:r>
      <w:r>
        <w:rPr>
          <w:color w:val="231F20"/>
          <w:spacing w:val="-11"/>
        </w:rPr>
        <w:t> </w:t>
      </w:r>
      <w:r>
        <w:rPr>
          <w:color w:val="231F20"/>
          <w:spacing w:val="-6"/>
        </w:rPr>
        <w:t>une</w:t>
      </w:r>
      <w:r>
        <w:rPr>
          <w:color w:val="231F20"/>
          <w:spacing w:val="-10"/>
        </w:rPr>
        <w:t> </w:t>
      </w:r>
      <w:r>
        <w:rPr>
          <w:color w:val="231F20"/>
          <w:spacing w:val="-6"/>
        </w:rPr>
        <w:t>des</w:t>
      </w:r>
      <w:r>
        <w:rPr>
          <w:color w:val="231F20"/>
          <w:spacing w:val="-11"/>
        </w:rPr>
        <w:t> </w:t>
      </w:r>
      <w:r>
        <w:rPr>
          <w:color w:val="231F20"/>
          <w:spacing w:val="-6"/>
        </w:rPr>
        <w:t>cibles </w:t>
      </w:r>
      <w:r>
        <w:rPr>
          <w:color w:val="231F20"/>
        </w:rPr>
        <w:t>de</w:t>
      </w:r>
      <w:r>
        <w:rPr>
          <w:color w:val="231F20"/>
          <w:spacing w:val="-16"/>
        </w:rPr>
        <w:t> </w:t>
      </w:r>
      <w:r>
        <w:rPr>
          <w:color w:val="231F20"/>
        </w:rPr>
        <w:t>la</w:t>
      </w:r>
      <w:r>
        <w:rPr>
          <w:color w:val="231F20"/>
          <w:spacing w:val="-16"/>
        </w:rPr>
        <w:t> </w:t>
      </w:r>
      <w:r>
        <w:rPr>
          <w:color w:val="231F20"/>
        </w:rPr>
        <w:t>politique</w:t>
      </w:r>
      <w:r>
        <w:rPr>
          <w:color w:val="231F20"/>
          <w:spacing w:val="-16"/>
        </w:rPr>
        <w:t> </w:t>
      </w:r>
      <w:r>
        <w:rPr>
          <w:color w:val="231F20"/>
        </w:rPr>
        <w:t>de</w:t>
      </w:r>
      <w:r>
        <w:rPr>
          <w:color w:val="231F20"/>
          <w:spacing w:val="-16"/>
        </w:rPr>
        <w:t> </w:t>
      </w:r>
      <w:r>
        <w:rPr>
          <w:color w:val="231F20"/>
        </w:rPr>
        <w:t>subversion</w:t>
      </w:r>
      <w:r>
        <w:rPr>
          <w:color w:val="231F20"/>
          <w:spacing w:val="-16"/>
        </w:rPr>
        <w:t> </w:t>
      </w:r>
      <w:r>
        <w:rPr>
          <w:color w:val="231F20"/>
        </w:rPr>
        <w:t>étasunienne, laquelle fait l’impossible pour stimuler le mécontentement</w:t>
      </w:r>
      <w:r>
        <w:rPr>
          <w:color w:val="231F20"/>
          <w:spacing w:val="-7"/>
        </w:rPr>
        <w:t> </w:t>
      </w:r>
      <w:r>
        <w:rPr>
          <w:color w:val="231F20"/>
        </w:rPr>
        <w:t>des</w:t>
      </w:r>
      <w:r>
        <w:rPr>
          <w:color w:val="231F20"/>
          <w:spacing w:val="-7"/>
        </w:rPr>
        <w:t> </w:t>
      </w:r>
      <w:r>
        <w:rPr>
          <w:color w:val="231F20"/>
        </w:rPr>
        <w:t>artistes</w:t>
      </w:r>
      <w:r>
        <w:rPr>
          <w:color w:val="231F20"/>
          <w:spacing w:val="-7"/>
        </w:rPr>
        <w:t> </w:t>
      </w:r>
      <w:r>
        <w:rPr>
          <w:color w:val="231F20"/>
        </w:rPr>
        <w:t>et</w:t>
      </w:r>
      <w:r>
        <w:rPr>
          <w:color w:val="231F20"/>
          <w:spacing w:val="-7"/>
        </w:rPr>
        <w:t> </w:t>
      </w:r>
      <w:r>
        <w:rPr>
          <w:color w:val="231F20"/>
        </w:rPr>
        <w:t>les</w:t>
      </w:r>
      <w:r>
        <w:rPr>
          <w:color w:val="231F20"/>
          <w:spacing w:val="-7"/>
        </w:rPr>
        <w:t> </w:t>
      </w:r>
      <w:r>
        <w:rPr>
          <w:color w:val="231F20"/>
        </w:rPr>
        <w:t>inciter à abandonner le pays, orchestrer une campagne</w:t>
      </w:r>
      <w:r>
        <w:rPr>
          <w:color w:val="231F20"/>
          <w:spacing w:val="54"/>
        </w:rPr>
        <w:t> </w:t>
      </w:r>
      <w:r>
        <w:rPr>
          <w:color w:val="231F20"/>
        </w:rPr>
        <w:t>médiatique</w:t>
      </w:r>
      <w:r>
        <w:rPr>
          <w:color w:val="231F20"/>
          <w:spacing w:val="55"/>
        </w:rPr>
        <w:t> </w:t>
      </w:r>
      <w:r>
        <w:rPr>
          <w:color w:val="231F20"/>
        </w:rPr>
        <w:t>féroce</w:t>
      </w:r>
      <w:r>
        <w:rPr>
          <w:color w:val="231F20"/>
          <w:spacing w:val="54"/>
        </w:rPr>
        <w:t> </w:t>
      </w:r>
      <w:r>
        <w:rPr>
          <w:color w:val="231F20"/>
        </w:rPr>
        <w:t>contre</w:t>
      </w:r>
      <w:r>
        <w:rPr>
          <w:color w:val="231F20"/>
          <w:spacing w:val="55"/>
        </w:rPr>
        <w:t> </w:t>
      </w:r>
      <w:r>
        <w:rPr>
          <w:color w:val="231F20"/>
          <w:spacing w:val="-5"/>
        </w:rPr>
        <w:t>les</w:t>
      </w:r>
    </w:p>
    <w:p>
      <w:pPr>
        <w:pStyle w:val="BodyText"/>
        <w:spacing w:before="77"/>
        <w:ind w:left="413" w:right="1132"/>
      </w:pPr>
      <w:r>
        <w:rPr/>
        <w:br w:type="column"/>
      </w:r>
      <w:r>
        <w:rPr>
          <w:color w:val="231F20"/>
          <w:spacing w:val="-2"/>
        </w:rPr>
        <w:t>créateurs</w:t>
      </w:r>
      <w:r>
        <w:rPr>
          <w:color w:val="231F20"/>
          <w:spacing w:val="-15"/>
        </w:rPr>
        <w:t> </w:t>
      </w:r>
      <w:r>
        <w:rPr>
          <w:color w:val="231F20"/>
          <w:spacing w:val="-2"/>
        </w:rPr>
        <w:t>et</w:t>
      </w:r>
      <w:r>
        <w:rPr>
          <w:color w:val="231F20"/>
          <w:spacing w:val="-14"/>
        </w:rPr>
        <w:t> </w:t>
      </w:r>
      <w:r>
        <w:rPr>
          <w:color w:val="231F20"/>
          <w:spacing w:val="-2"/>
        </w:rPr>
        <w:t>artistes</w:t>
      </w:r>
      <w:r>
        <w:rPr>
          <w:color w:val="231F20"/>
          <w:spacing w:val="-15"/>
        </w:rPr>
        <w:t> </w:t>
      </w:r>
      <w:r>
        <w:rPr>
          <w:color w:val="231F20"/>
          <w:spacing w:val="-2"/>
        </w:rPr>
        <w:t>cubains</w:t>
      </w:r>
      <w:r>
        <w:rPr>
          <w:color w:val="231F20"/>
          <w:spacing w:val="-14"/>
        </w:rPr>
        <w:t> </w:t>
      </w:r>
      <w:r>
        <w:rPr>
          <w:color w:val="231F20"/>
          <w:spacing w:val="-2"/>
        </w:rPr>
        <w:t>qui</w:t>
      </w:r>
      <w:r>
        <w:rPr>
          <w:color w:val="231F20"/>
          <w:spacing w:val="-15"/>
        </w:rPr>
        <w:t> </w:t>
      </w:r>
      <w:r>
        <w:rPr>
          <w:color w:val="231F20"/>
          <w:spacing w:val="-2"/>
        </w:rPr>
        <w:t>continuent de</w:t>
      </w:r>
      <w:r>
        <w:rPr>
          <w:color w:val="231F20"/>
          <w:spacing w:val="-15"/>
        </w:rPr>
        <w:t> </w:t>
      </w:r>
      <w:r>
        <w:rPr>
          <w:color w:val="231F20"/>
          <w:spacing w:val="-2"/>
        </w:rPr>
        <w:t>travailler</w:t>
      </w:r>
      <w:r>
        <w:rPr>
          <w:color w:val="231F20"/>
          <w:spacing w:val="-14"/>
        </w:rPr>
        <w:t> </w:t>
      </w:r>
      <w:r>
        <w:rPr>
          <w:color w:val="231F20"/>
          <w:spacing w:val="-2"/>
        </w:rPr>
        <w:t>dans</w:t>
      </w:r>
      <w:r>
        <w:rPr>
          <w:color w:val="231F20"/>
          <w:spacing w:val="-15"/>
        </w:rPr>
        <w:t> </w:t>
      </w:r>
      <w:r>
        <w:rPr>
          <w:color w:val="231F20"/>
          <w:spacing w:val="-2"/>
        </w:rPr>
        <w:t>leur</w:t>
      </w:r>
      <w:r>
        <w:rPr>
          <w:color w:val="231F20"/>
          <w:spacing w:val="-14"/>
        </w:rPr>
        <w:t> </w:t>
      </w:r>
      <w:r>
        <w:rPr>
          <w:color w:val="231F20"/>
          <w:spacing w:val="-2"/>
        </w:rPr>
        <w:t>pays,</w:t>
      </w:r>
      <w:r>
        <w:rPr>
          <w:color w:val="231F20"/>
          <w:spacing w:val="-15"/>
        </w:rPr>
        <w:t> </w:t>
      </w:r>
      <w:r>
        <w:rPr>
          <w:color w:val="231F20"/>
          <w:spacing w:val="-2"/>
        </w:rPr>
        <w:t>empêcher</w:t>
      </w:r>
      <w:r>
        <w:rPr>
          <w:color w:val="231F20"/>
          <w:spacing w:val="-14"/>
        </w:rPr>
        <w:t> </w:t>
      </w:r>
      <w:r>
        <w:rPr>
          <w:color w:val="231F20"/>
          <w:spacing w:val="-2"/>
        </w:rPr>
        <w:t>leurs </w:t>
      </w:r>
      <w:r>
        <w:rPr>
          <w:color w:val="231F20"/>
        </w:rPr>
        <w:t>prestations à l’étranger, y compris par le harcèlement et la violence physique, et fomenter la rupture avec les institutions culturelles d’autres pays.</w:t>
      </w:r>
    </w:p>
    <w:p>
      <w:pPr>
        <w:pStyle w:val="BodyText"/>
        <w:spacing w:before="164"/>
        <w:ind w:left="413" w:right="1134"/>
      </w:pPr>
      <w:r>
        <w:rPr>
          <w:color w:val="231F20"/>
        </w:rPr>
        <w:t>En</w:t>
      </w:r>
      <w:r>
        <w:rPr>
          <w:color w:val="231F20"/>
          <w:spacing w:val="40"/>
        </w:rPr>
        <w:t> </w:t>
      </w:r>
      <w:r>
        <w:rPr>
          <w:color w:val="231F20"/>
        </w:rPr>
        <w:t>mai</w:t>
      </w:r>
      <w:r>
        <w:rPr>
          <w:color w:val="231F20"/>
          <w:spacing w:val="40"/>
        </w:rPr>
        <w:t> </w:t>
      </w:r>
      <w:r>
        <w:rPr>
          <w:color w:val="231F20"/>
        </w:rPr>
        <w:t>2023,</w:t>
      </w:r>
      <w:r>
        <w:rPr>
          <w:color w:val="231F20"/>
          <w:spacing w:val="40"/>
        </w:rPr>
        <w:t> </w:t>
      </w:r>
      <w:r>
        <w:rPr>
          <w:color w:val="231F20"/>
        </w:rPr>
        <w:t>le</w:t>
      </w:r>
      <w:r>
        <w:rPr>
          <w:color w:val="231F20"/>
          <w:spacing w:val="40"/>
        </w:rPr>
        <w:t> </w:t>
      </w:r>
      <w:r>
        <w:rPr>
          <w:color w:val="231F20"/>
        </w:rPr>
        <w:t>duo</w:t>
      </w:r>
      <w:r>
        <w:rPr>
          <w:color w:val="231F20"/>
          <w:spacing w:val="40"/>
        </w:rPr>
        <w:t> </w:t>
      </w:r>
      <w:r>
        <w:rPr>
          <w:color w:val="231F20"/>
        </w:rPr>
        <w:t>de</w:t>
      </w:r>
      <w:r>
        <w:rPr>
          <w:color w:val="231F20"/>
          <w:spacing w:val="40"/>
        </w:rPr>
        <w:t> </w:t>
      </w:r>
      <w:r>
        <w:rPr>
          <w:color w:val="231F20"/>
        </w:rPr>
        <w:t>chanteurs Buena Fe a été victime de cette brutale campagne.</w:t>
      </w:r>
      <w:r>
        <w:rPr>
          <w:color w:val="231F20"/>
          <w:spacing w:val="40"/>
        </w:rPr>
        <w:t> </w:t>
      </w:r>
      <w:r>
        <w:rPr>
          <w:color w:val="231F20"/>
        </w:rPr>
        <w:t>En tournée en Europe, leur présentation dans la salle Galileo Galilei, de</w:t>
      </w:r>
      <w:r>
        <w:rPr>
          <w:color w:val="231F20"/>
          <w:spacing w:val="-2"/>
        </w:rPr>
        <w:t> </w:t>
      </w:r>
      <w:r>
        <w:rPr>
          <w:color w:val="231F20"/>
        </w:rPr>
        <w:t>Madrid,</w:t>
      </w:r>
      <w:r>
        <w:rPr>
          <w:color w:val="231F20"/>
          <w:spacing w:val="-2"/>
        </w:rPr>
        <w:t> </w:t>
      </w:r>
      <w:r>
        <w:rPr>
          <w:color w:val="231F20"/>
        </w:rPr>
        <w:t>a</w:t>
      </w:r>
      <w:r>
        <w:rPr>
          <w:color w:val="231F20"/>
          <w:spacing w:val="-2"/>
        </w:rPr>
        <w:t> </w:t>
      </w:r>
      <w:r>
        <w:rPr>
          <w:color w:val="231F20"/>
        </w:rPr>
        <w:t>été</w:t>
      </w:r>
      <w:r>
        <w:rPr>
          <w:color w:val="231F20"/>
          <w:spacing w:val="-2"/>
        </w:rPr>
        <w:t> </w:t>
      </w:r>
      <w:r>
        <w:rPr>
          <w:color w:val="231F20"/>
        </w:rPr>
        <w:t>interrompue</w:t>
      </w:r>
      <w:r>
        <w:rPr>
          <w:color w:val="231F20"/>
          <w:spacing w:val="-2"/>
        </w:rPr>
        <w:t> </w:t>
      </w:r>
      <w:r>
        <w:rPr>
          <w:color w:val="231F20"/>
        </w:rPr>
        <w:t>par</w:t>
      </w:r>
      <w:r>
        <w:rPr>
          <w:color w:val="231F20"/>
          <w:spacing w:val="-2"/>
        </w:rPr>
        <w:t> </w:t>
      </w:r>
      <w:r>
        <w:rPr>
          <w:color w:val="231F20"/>
        </w:rPr>
        <w:t>des</w:t>
      </w:r>
      <w:r>
        <w:rPr>
          <w:color w:val="231F20"/>
          <w:spacing w:val="-2"/>
        </w:rPr>
        <w:t> </w:t>
      </w:r>
      <w:r>
        <w:rPr>
          <w:color w:val="231F20"/>
        </w:rPr>
        <w:t>jets d’objets,</w:t>
      </w:r>
      <w:r>
        <w:rPr>
          <w:color w:val="231F20"/>
          <w:spacing w:val="-14"/>
        </w:rPr>
        <w:t> </w:t>
      </w:r>
      <w:r>
        <w:rPr>
          <w:color w:val="231F20"/>
        </w:rPr>
        <w:t>des</w:t>
      </w:r>
      <w:r>
        <w:rPr>
          <w:color w:val="231F20"/>
          <w:spacing w:val="-14"/>
        </w:rPr>
        <w:t> </w:t>
      </w:r>
      <w:r>
        <w:rPr>
          <w:color w:val="231F20"/>
        </w:rPr>
        <w:t>offenses</w:t>
      </w:r>
      <w:r>
        <w:rPr>
          <w:color w:val="231F20"/>
          <w:spacing w:val="-14"/>
        </w:rPr>
        <w:t> </w:t>
      </w:r>
      <w:r>
        <w:rPr>
          <w:color w:val="231F20"/>
        </w:rPr>
        <w:t>verbales</w:t>
      </w:r>
      <w:r>
        <w:rPr>
          <w:color w:val="231F20"/>
          <w:spacing w:val="-14"/>
        </w:rPr>
        <w:t> </w:t>
      </w:r>
      <w:r>
        <w:rPr>
          <w:color w:val="231F20"/>
        </w:rPr>
        <w:t>;</w:t>
      </w:r>
      <w:r>
        <w:rPr>
          <w:color w:val="231F20"/>
          <w:spacing w:val="-14"/>
        </w:rPr>
        <w:t> </w:t>
      </w:r>
      <w:r>
        <w:rPr>
          <w:color w:val="231F20"/>
        </w:rPr>
        <w:t>soumis</w:t>
      </w:r>
      <w:r>
        <w:rPr>
          <w:color w:val="231F20"/>
          <w:spacing w:val="-14"/>
        </w:rPr>
        <w:t> </w:t>
      </w:r>
      <w:r>
        <w:rPr>
          <w:color w:val="231F20"/>
        </w:rPr>
        <w:t>au harcèlement médiatique, des promoteurs et propriétaires de salles ont annulé ses prestations à Salamanque et à Zamora.</w:t>
      </w:r>
    </w:p>
    <w:p>
      <w:pPr>
        <w:pStyle w:val="BodyText"/>
        <w:spacing w:before="167"/>
        <w:ind w:left="413" w:right="1133"/>
      </w:pPr>
      <w:r>
        <w:rPr>
          <w:color w:val="231F20"/>
        </w:rPr>
        <w:t>L’intellectuelle cubaine Nancy Morejón, Prix national de littérature, a été aussi ciblée par cette guerre culturelle et communicationnelle</w:t>
      </w:r>
      <w:r>
        <w:rPr>
          <w:color w:val="231F20"/>
          <w:spacing w:val="-5"/>
        </w:rPr>
        <w:t> </w:t>
      </w:r>
      <w:r>
        <w:rPr>
          <w:color w:val="231F20"/>
        </w:rPr>
        <w:t>contre</w:t>
      </w:r>
      <w:r>
        <w:rPr>
          <w:color w:val="231F20"/>
          <w:spacing w:val="-5"/>
        </w:rPr>
        <w:t> </w:t>
      </w:r>
      <w:r>
        <w:rPr>
          <w:color w:val="231F20"/>
        </w:rPr>
        <w:t>Cuba</w:t>
      </w:r>
      <w:r>
        <w:rPr>
          <w:color w:val="231F20"/>
          <w:spacing w:val="-5"/>
        </w:rPr>
        <w:t> </w:t>
      </w:r>
      <w:r>
        <w:rPr>
          <w:color w:val="231F20"/>
        </w:rPr>
        <w:t>:</w:t>
      </w:r>
      <w:r>
        <w:rPr>
          <w:color w:val="231F20"/>
          <w:spacing w:val="-5"/>
        </w:rPr>
        <w:t> </w:t>
      </w:r>
      <w:r>
        <w:rPr>
          <w:color w:val="231F20"/>
        </w:rPr>
        <w:t>fin</w:t>
      </w:r>
      <w:r>
        <w:rPr>
          <w:color w:val="231F20"/>
          <w:spacing w:val="-5"/>
        </w:rPr>
        <w:t> </w:t>
      </w:r>
      <w:r>
        <w:rPr>
          <w:color w:val="231F20"/>
        </w:rPr>
        <w:t>mai 2023, les organisateurs du Marché de poésie de Paris (7-12 juin) lui ont retiré la condition qu’ils lui avaient décernée de présidente d’honneur, suite aux pressions </w:t>
      </w:r>
      <w:r>
        <w:rPr>
          <w:color w:val="231F20"/>
          <w:spacing w:val="-2"/>
        </w:rPr>
        <w:t>de</w:t>
      </w:r>
      <w:r>
        <w:rPr>
          <w:color w:val="231F20"/>
          <w:spacing w:val="-14"/>
        </w:rPr>
        <w:t> </w:t>
      </w:r>
      <w:r>
        <w:rPr>
          <w:color w:val="231F20"/>
          <w:spacing w:val="-2"/>
        </w:rPr>
        <w:t>ceux</w:t>
      </w:r>
      <w:r>
        <w:rPr>
          <w:color w:val="231F20"/>
          <w:spacing w:val="-14"/>
        </w:rPr>
        <w:t> </w:t>
      </w:r>
      <w:r>
        <w:rPr>
          <w:color w:val="231F20"/>
          <w:spacing w:val="-2"/>
        </w:rPr>
        <w:t>qui</w:t>
      </w:r>
      <w:r>
        <w:rPr>
          <w:color w:val="231F20"/>
          <w:spacing w:val="-14"/>
        </w:rPr>
        <w:t> </w:t>
      </w:r>
      <w:r>
        <w:rPr>
          <w:color w:val="231F20"/>
          <w:spacing w:val="-2"/>
        </w:rPr>
        <w:t>fomentent</w:t>
      </w:r>
      <w:r>
        <w:rPr>
          <w:color w:val="231F20"/>
          <w:spacing w:val="-14"/>
        </w:rPr>
        <w:t> </w:t>
      </w:r>
      <w:r>
        <w:rPr>
          <w:color w:val="231F20"/>
          <w:spacing w:val="-2"/>
        </w:rPr>
        <w:t>le</w:t>
      </w:r>
      <w:r>
        <w:rPr>
          <w:color w:val="231F20"/>
          <w:spacing w:val="-14"/>
        </w:rPr>
        <w:t> </w:t>
      </w:r>
      <w:r>
        <w:rPr>
          <w:color w:val="231F20"/>
          <w:spacing w:val="-2"/>
        </w:rPr>
        <w:t>discours</w:t>
      </w:r>
      <w:r>
        <w:rPr>
          <w:color w:val="231F20"/>
          <w:spacing w:val="-14"/>
        </w:rPr>
        <w:t> </w:t>
      </w:r>
      <w:r>
        <w:rPr>
          <w:color w:val="231F20"/>
          <w:spacing w:val="-2"/>
        </w:rPr>
        <w:t>de</w:t>
      </w:r>
      <w:r>
        <w:rPr>
          <w:color w:val="231F20"/>
          <w:spacing w:val="-14"/>
        </w:rPr>
        <w:t> </w:t>
      </w:r>
      <w:r>
        <w:rPr>
          <w:color w:val="231F20"/>
          <w:spacing w:val="-2"/>
        </w:rPr>
        <w:t>haine </w:t>
      </w:r>
      <w:r>
        <w:rPr>
          <w:color w:val="231F20"/>
          <w:spacing w:val="-4"/>
        </w:rPr>
        <w:t>et</w:t>
      </w:r>
      <w:r>
        <w:rPr>
          <w:color w:val="231F20"/>
          <w:spacing w:val="-9"/>
        </w:rPr>
        <w:t> </w:t>
      </w:r>
      <w:r>
        <w:rPr>
          <w:color w:val="231F20"/>
          <w:spacing w:val="-4"/>
        </w:rPr>
        <w:t>la</w:t>
      </w:r>
      <w:r>
        <w:rPr>
          <w:color w:val="231F20"/>
          <w:spacing w:val="-9"/>
        </w:rPr>
        <w:t> </w:t>
      </w:r>
      <w:r>
        <w:rPr>
          <w:color w:val="231F20"/>
          <w:spacing w:val="-4"/>
        </w:rPr>
        <w:t>persécution</w:t>
      </w:r>
      <w:r>
        <w:rPr>
          <w:color w:val="231F20"/>
          <w:spacing w:val="-8"/>
        </w:rPr>
        <w:t> </w:t>
      </w:r>
      <w:r>
        <w:rPr>
          <w:color w:val="231F20"/>
          <w:spacing w:val="-4"/>
        </w:rPr>
        <w:t>contre</w:t>
      </w:r>
      <w:r>
        <w:rPr>
          <w:color w:val="231F20"/>
          <w:spacing w:val="-9"/>
        </w:rPr>
        <w:t> </w:t>
      </w:r>
      <w:r>
        <w:rPr>
          <w:color w:val="231F20"/>
          <w:spacing w:val="-4"/>
        </w:rPr>
        <w:t>les</w:t>
      </w:r>
      <w:r>
        <w:rPr>
          <w:color w:val="231F20"/>
          <w:spacing w:val="-9"/>
        </w:rPr>
        <w:t> </w:t>
      </w:r>
      <w:r>
        <w:rPr>
          <w:color w:val="231F20"/>
          <w:spacing w:val="-4"/>
        </w:rPr>
        <w:t>artistes</w:t>
      </w:r>
      <w:r>
        <w:rPr>
          <w:color w:val="231F20"/>
          <w:spacing w:val="-8"/>
        </w:rPr>
        <w:t> </w:t>
      </w:r>
      <w:r>
        <w:rPr>
          <w:color w:val="231F20"/>
          <w:spacing w:val="-4"/>
        </w:rPr>
        <w:t>cubains.</w:t>
      </w:r>
    </w:p>
    <w:p>
      <w:pPr>
        <w:pStyle w:val="BodyText"/>
        <w:spacing w:before="168"/>
        <w:ind w:left="413" w:right="1132"/>
      </w:pPr>
      <w:r>
        <w:rPr>
          <w:color w:val="231F20"/>
        </w:rPr>
        <w:t>D’autres artistes vivant à Cuba ont aussi été</w:t>
      </w:r>
      <w:r>
        <w:rPr>
          <w:color w:val="231F20"/>
          <w:spacing w:val="-8"/>
        </w:rPr>
        <w:t> </w:t>
      </w:r>
      <w:r>
        <w:rPr>
          <w:color w:val="231F20"/>
        </w:rPr>
        <w:t>attaqués</w:t>
      </w:r>
      <w:r>
        <w:rPr>
          <w:color w:val="231F20"/>
          <w:spacing w:val="-8"/>
        </w:rPr>
        <w:t> </w:t>
      </w:r>
      <w:r>
        <w:rPr>
          <w:color w:val="231F20"/>
        </w:rPr>
        <w:t>et</w:t>
      </w:r>
      <w:r>
        <w:rPr>
          <w:color w:val="231F20"/>
          <w:spacing w:val="-8"/>
        </w:rPr>
        <w:t> </w:t>
      </w:r>
      <w:r>
        <w:rPr>
          <w:color w:val="231F20"/>
        </w:rPr>
        <w:t>vilipendés</w:t>
      </w:r>
      <w:r>
        <w:rPr>
          <w:color w:val="231F20"/>
          <w:spacing w:val="-8"/>
        </w:rPr>
        <w:t> </w:t>
      </w:r>
      <w:r>
        <w:rPr>
          <w:color w:val="231F20"/>
        </w:rPr>
        <w:t>à</w:t>
      </w:r>
      <w:r>
        <w:rPr>
          <w:color w:val="231F20"/>
          <w:spacing w:val="-8"/>
        </w:rPr>
        <w:t> </w:t>
      </w:r>
      <w:r>
        <w:rPr>
          <w:color w:val="231F20"/>
        </w:rPr>
        <w:t>Miami</w:t>
      </w:r>
      <w:r>
        <w:rPr>
          <w:color w:val="231F20"/>
          <w:spacing w:val="-8"/>
        </w:rPr>
        <w:t> </w:t>
      </w:r>
      <w:r>
        <w:rPr>
          <w:color w:val="231F20"/>
        </w:rPr>
        <w:t>par</w:t>
      </w:r>
      <w:r>
        <w:rPr>
          <w:color w:val="231F20"/>
          <w:spacing w:val="-8"/>
        </w:rPr>
        <w:t> </w:t>
      </w:r>
      <w:r>
        <w:rPr>
          <w:color w:val="231F20"/>
        </w:rPr>
        <w:t>ces </w:t>
      </w:r>
      <w:r>
        <w:rPr>
          <w:color w:val="231F20"/>
          <w:spacing w:val="-2"/>
        </w:rPr>
        <w:t>appels</w:t>
      </w:r>
      <w:r>
        <w:rPr>
          <w:color w:val="231F20"/>
          <w:spacing w:val="-12"/>
        </w:rPr>
        <w:t> </w:t>
      </w:r>
      <w:r>
        <w:rPr>
          <w:color w:val="231F20"/>
          <w:spacing w:val="-2"/>
        </w:rPr>
        <w:t>au</w:t>
      </w:r>
      <w:r>
        <w:rPr>
          <w:color w:val="231F20"/>
          <w:spacing w:val="-12"/>
        </w:rPr>
        <w:t> </w:t>
      </w:r>
      <w:r>
        <w:rPr>
          <w:color w:val="231F20"/>
          <w:spacing w:val="-2"/>
        </w:rPr>
        <w:t>boycott</w:t>
      </w:r>
      <w:r>
        <w:rPr>
          <w:color w:val="231F20"/>
          <w:spacing w:val="-12"/>
        </w:rPr>
        <w:t> </w:t>
      </w:r>
      <w:r>
        <w:rPr>
          <w:color w:val="231F20"/>
          <w:spacing w:val="-2"/>
        </w:rPr>
        <w:t>et</w:t>
      </w:r>
      <w:r>
        <w:rPr>
          <w:color w:val="231F20"/>
          <w:spacing w:val="-12"/>
        </w:rPr>
        <w:t> </w:t>
      </w:r>
      <w:r>
        <w:rPr>
          <w:color w:val="231F20"/>
          <w:spacing w:val="-2"/>
        </w:rPr>
        <w:t>au</w:t>
      </w:r>
      <w:r>
        <w:rPr>
          <w:color w:val="231F20"/>
          <w:spacing w:val="-12"/>
        </w:rPr>
        <w:t> </w:t>
      </w:r>
      <w:r>
        <w:rPr>
          <w:color w:val="231F20"/>
          <w:spacing w:val="-2"/>
        </w:rPr>
        <w:t>lynchage,</w:t>
      </w:r>
      <w:r>
        <w:rPr>
          <w:color w:val="231F20"/>
          <w:spacing w:val="-12"/>
        </w:rPr>
        <w:t> </w:t>
      </w:r>
      <w:r>
        <w:rPr>
          <w:color w:val="231F20"/>
          <w:spacing w:val="-2"/>
        </w:rPr>
        <w:t>dont</w:t>
      </w:r>
      <w:r>
        <w:rPr>
          <w:color w:val="231F20"/>
          <w:spacing w:val="-12"/>
        </w:rPr>
        <w:t> </w:t>
      </w:r>
      <w:r>
        <w:rPr>
          <w:color w:val="231F20"/>
          <w:spacing w:val="-2"/>
        </w:rPr>
        <w:t>Los </w:t>
      </w:r>
      <w:r>
        <w:rPr>
          <w:color w:val="231F20"/>
        </w:rPr>
        <w:t>Van</w:t>
      </w:r>
      <w:r>
        <w:rPr>
          <w:color w:val="231F20"/>
          <w:spacing w:val="-6"/>
        </w:rPr>
        <w:t> </w:t>
      </w:r>
      <w:r>
        <w:rPr>
          <w:color w:val="231F20"/>
        </w:rPr>
        <w:t>Van,</w:t>
      </w:r>
      <w:r>
        <w:rPr>
          <w:color w:val="231F20"/>
          <w:spacing w:val="-5"/>
        </w:rPr>
        <w:t> </w:t>
      </w:r>
      <w:r>
        <w:rPr>
          <w:color w:val="231F20"/>
        </w:rPr>
        <w:t>Haila</w:t>
      </w:r>
      <w:r>
        <w:rPr>
          <w:color w:val="231F20"/>
          <w:spacing w:val="-6"/>
        </w:rPr>
        <w:t> </w:t>
      </w:r>
      <w:r>
        <w:rPr>
          <w:color w:val="231F20"/>
        </w:rPr>
        <w:t>Mompié,</w:t>
      </w:r>
      <w:r>
        <w:rPr>
          <w:color w:val="231F20"/>
          <w:spacing w:val="-5"/>
        </w:rPr>
        <w:t> </w:t>
      </w:r>
      <w:r>
        <w:rPr>
          <w:color w:val="231F20"/>
        </w:rPr>
        <w:t>Alexander</w:t>
      </w:r>
      <w:r>
        <w:rPr>
          <w:color w:val="231F20"/>
          <w:spacing w:val="-5"/>
        </w:rPr>
        <w:t> </w:t>
      </w:r>
      <w:r>
        <w:rPr>
          <w:color w:val="231F20"/>
        </w:rPr>
        <w:t>Abreu, Pedrito Calvo et Paulito FG.</w:t>
      </w:r>
    </w:p>
    <w:p>
      <w:pPr>
        <w:pStyle w:val="BodyText"/>
        <w:spacing w:before="164"/>
        <w:ind w:left="413" w:right="1136"/>
      </w:pPr>
      <w:r>
        <w:rPr>
          <w:color w:val="231F20"/>
        </w:rPr>
        <w:t>Dans ce domaine culturel, plusieurs entrepreneurs privés ont eux aussi des difficultés à importer ou acquérir des intrants,</w:t>
      </w:r>
      <w:r>
        <w:rPr>
          <w:color w:val="231F20"/>
          <w:spacing w:val="-17"/>
        </w:rPr>
        <w:t> </w:t>
      </w:r>
      <w:r>
        <w:rPr>
          <w:color w:val="231F20"/>
        </w:rPr>
        <w:t>à</w:t>
      </w:r>
      <w:r>
        <w:rPr>
          <w:color w:val="231F20"/>
          <w:spacing w:val="-16"/>
        </w:rPr>
        <w:t> </w:t>
      </w:r>
      <w:r>
        <w:rPr>
          <w:color w:val="231F20"/>
        </w:rPr>
        <w:t>cause</w:t>
      </w:r>
      <w:r>
        <w:rPr>
          <w:color w:val="231F20"/>
          <w:spacing w:val="-17"/>
        </w:rPr>
        <w:t> </w:t>
      </w:r>
      <w:r>
        <w:rPr>
          <w:color w:val="231F20"/>
        </w:rPr>
        <w:t>des</w:t>
      </w:r>
      <w:r>
        <w:rPr>
          <w:color w:val="231F20"/>
          <w:spacing w:val="-16"/>
        </w:rPr>
        <w:t> </w:t>
      </w:r>
      <w:r>
        <w:rPr>
          <w:color w:val="231F20"/>
        </w:rPr>
        <w:t>restrictions</w:t>
      </w:r>
      <w:r>
        <w:rPr>
          <w:color w:val="231F20"/>
          <w:spacing w:val="-17"/>
        </w:rPr>
        <w:t> </w:t>
      </w:r>
      <w:r>
        <w:rPr>
          <w:color w:val="231F20"/>
        </w:rPr>
        <w:t>du</w:t>
      </w:r>
      <w:r>
        <w:rPr>
          <w:color w:val="231F20"/>
          <w:spacing w:val="-16"/>
        </w:rPr>
        <w:t> </w:t>
      </w:r>
      <w:r>
        <w:rPr>
          <w:color w:val="231F20"/>
        </w:rPr>
        <w:t>blocus. </w:t>
      </w:r>
      <w:r>
        <w:rPr>
          <w:color w:val="231F20"/>
          <w:spacing w:val="-8"/>
        </w:rPr>
        <w:t>C’est</w:t>
      </w:r>
      <w:r>
        <w:rPr>
          <w:color w:val="231F20"/>
          <w:spacing w:val="-9"/>
        </w:rPr>
        <w:t> </w:t>
      </w:r>
      <w:r>
        <w:rPr>
          <w:color w:val="231F20"/>
          <w:spacing w:val="-8"/>
        </w:rPr>
        <w:t>le cas</w:t>
      </w:r>
      <w:r>
        <w:rPr>
          <w:color w:val="231F20"/>
          <w:spacing w:val="-9"/>
        </w:rPr>
        <w:t> </w:t>
      </w:r>
      <w:r>
        <w:rPr>
          <w:color w:val="231F20"/>
          <w:spacing w:val="-8"/>
        </w:rPr>
        <w:t>de créateurs</w:t>
      </w:r>
      <w:r>
        <w:rPr>
          <w:color w:val="231F20"/>
          <w:spacing w:val="-9"/>
        </w:rPr>
        <w:t> </w:t>
      </w:r>
      <w:r>
        <w:rPr>
          <w:color w:val="231F20"/>
          <w:spacing w:val="-8"/>
        </w:rPr>
        <w:t>cubains dans</w:t>
      </w:r>
      <w:r>
        <w:rPr>
          <w:color w:val="231F20"/>
          <w:spacing w:val="-9"/>
        </w:rPr>
        <w:t> </w:t>
      </w:r>
      <w:r>
        <w:rPr>
          <w:color w:val="231F20"/>
          <w:spacing w:val="-8"/>
        </w:rPr>
        <w:t>les arts plastiques</w:t>
      </w:r>
      <w:r>
        <w:rPr>
          <w:color w:val="231F20"/>
          <w:spacing w:val="-9"/>
        </w:rPr>
        <w:t> </w:t>
      </w:r>
      <w:r>
        <w:rPr>
          <w:color w:val="231F20"/>
          <w:spacing w:val="-8"/>
        </w:rPr>
        <w:t>et appliqués,</w:t>
      </w:r>
      <w:r>
        <w:rPr>
          <w:color w:val="231F20"/>
          <w:spacing w:val="-9"/>
        </w:rPr>
        <w:t> </w:t>
      </w:r>
      <w:r>
        <w:rPr>
          <w:color w:val="231F20"/>
          <w:spacing w:val="-8"/>
        </w:rPr>
        <w:t>dont les</w:t>
      </w:r>
      <w:r>
        <w:rPr>
          <w:color w:val="231F20"/>
          <w:spacing w:val="-9"/>
        </w:rPr>
        <w:t> </w:t>
      </w:r>
      <w:r>
        <w:rPr>
          <w:color w:val="231F20"/>
          <w:spacing w:val="-8"/>
        </w:rPr>
        <w:t>commandes </w:t>
      </w:r>
      <w:r>
        <w:rPr>
          <w:color w:val="231F20"/>
          <w:spacing w:val="-2"/>
        </w:rPr>
        <w:t>de</w:t>
      </w:r>
      <w:r>
        <w:rPr>
          <w:color w:val="231F20"/>
          <w:spacing w:val="-11"/>
        </w:rPr>
        <w:t> </w:t>
      </w:r>
      <w:r>
        <w:rPr>
          <w:color w:val="231F20"/>
          <w:spacing w:val="-2"/>
        </w:rPr>
        <w:t>marchandises</w:t>
      </w:r>
      <w:r>
        <w:rPr>
          <w:color w:val="231F20"/>
          <w:spacing w:val="-11"/>
        </w:rPr>
        <w:t> </w:t>
      </w:r>
      <w:r>
        <w:rPr>
          <w:color w:val="231F20"/>
          <w:spacing w:val="-2"/>
        </w:rPr>
        <w:t>sont</w:t>
      </w:r>
      <w:r>
        <w:rPr>
          <w:color w:val="231F20"/>
          <w:spacing w:val="-11"/>
        </w:rPr>
        <w:t> </w:t>
      </w:r>
      <w:r>
        <w:rPr>
          <w:color w:val="231F20"/>
          <w:spacing w:val="-2"/>
        </w:rPr>
        <w:t>arrivées</w:t>
      </w:r>
      <w:r>
        <w:rPr>
          <w:color w:val="231F20"/>
          <w:spacing w:val="-11"/>
        </w:rPr>
        <w:t> </w:t>
      </w:r>
      <w:r>
        <w:rPr>
          <w:color w:val="231F20"/>
          <w:spacing w:val="-2"/>
        </w:rPr>
        <w:t>parfois</w:t>
      </w:r>
      <w:r>
        <w:rPr>
          <w:color w:val="231F20"/>
          <w:spacing w:val="-11"/>
        </w:rPr>
        <w:t> </w:t>
      </w:r>
      <w:r>
        <w:rPr>
          <w:color w:val="231F20"/>
          <w:spacing w:val="-2"/>
        </w:rPr>
        <w:t>avec </w:t>
      </w:r>
      <w:r>
        <w:rPr>
          <w:color w:val="231F20"/>
        </w:rPr>
        <w:t>deux mois et demi de retard à cause de contrôles</w:t>
      </w:r>
      <w:r>
        <w:rPr>
          <w:color w:val="231F20"/>
          <w:spacing w:val="-17"/>
        </w:rPr>
        <w:t> </w:t>
      </w:r>
      <w:r>
        <w:rPr>
          <w:color w:val="231F20"/>
        </w:rPr>
        <w:t>discriminatoires</w:t>
      </w:r>
      <w:r>
        <w:rPr>
          <w:color w:val="231F20"/>
          <w:spacing w:val="-16"/>
        </w:rPr>
        <w:t> </w:t>
      </w:r>
      <w:r>
        <w:rPr>
          <w:color w:val="231F20"/>
        </w:rPr>
        <w:t>à</w:t>
      </w:r>
      <w:r>
        <w:rPr>
          <w:color w:val="231F20"/>
          <w:spacing w:val="-17"/>
        </w:rPr>
        <w:t> </w:t>
      </w:r>
      <w:r>
        <w:rPr>
          <w:color w:val="231F20"/>
        </w:rPr>
        <w:t>l’étranger,</w:t>
      </w:r>
      <w:r>
        <w:rPr>
          <w:color w:val="231F20"/>
          <w:spacing w:val="-16"/>
        </w:rPr>
        <w:t> </w:t>
      </w:r>
      <w:r>
        <w:rPr>
          <w:color w:val="231F20"/>
        </w:rPr>
        <w:t>des </w:t>
      </w:r>
      <w:r>
        <w:rPr>
          <w:color w:val="231F20"/>
          <w:spacing w:val="-8"/>
        </w:rPr>
        <w:t>opérations de transbordement, de difficultés </w:t>
      </w:r>
      <w:r>
        <w:rPr>
          <w:color w:val="231F20"/>
          <w:spacing w:val="-4"/>
        </w:rPr>
        <w:t>dans</w:t>
      </w:r>
      <w:r>
        <w:rPr>
          <w:color w:val="231F20"/>
          <w:spacing w:val="-13"/>
        </w:rPr>
        <w:t> </w:t>
      </w:r>
      <w:r>
        <w:rPr>
          <w:color w:val="231F20"/>
          <w:spacing w:val="-4"/>
        </w:rPr>
        <w:t>les</w:t>
      </w:r>
      <w:r>
        <w:rPr>
          <w:color w:val="231F20"/>
          <w:spacing w:val="-12"/>
        </w:rPr>
        <w:t> </w:t>
      </w:r>
      <w:r>
        <w:rPr>
          <w:color w:val="231F20"/>
          <w:spacing w:val="-4"/>
        </w:rPr>
        <w:t>ports</w:t>
      </w:r>
      <w:r>
        <w:rPr>
          <w:color w:val="231F20"/>
          <w:spacing w:val="-13"/>
        </w:rPr>
        <w:t> </w:t>
      </w:r>
      <w:r>
        <w:rPr>
          <w:color w:val="231F20"/>
          <w:spacing w:val="-4"/>
        </w:rPr>
        <w:t>d’embarquement,</w:t>
      </w:r>
      <w:r>
        <w:rPr>
          <w:color w:val="231F20"/>
          <w:spacing w:val="-12"/>
        </w:rPr>
        <w:t> </w:t>
      </w:r>
      <w:r>
        <w:rPr>
          <w:color w:val="231F20"/>
          <w:spacing w:val="-4"/>
        </w:rPr>
        <w:t>sans</w:t>
      </w:r>
      <w:r>
        <w:rPr>
          <w:color w:val="231F20"/>
          <w:spacing w:val="-13"/>
        </w:rPr>
        <w:t> </w:t>
      </w:r>
      <w:r>
        <w:rPr>
          <w:color w:val="231F20"/>
          <w:spacing w:val="-4"/>
        </w:rPr>
        <w:t>parler </w:t>
      </w:r>
      <w:r>
        <w:rPr>
          <w:color w:val="231F20"/>
        </w:rPr>
        <w:t>du</w:t>
      </w:r>
      <w:r>
        <w:rPr>
          <w:color w:val="231F20"/>
          <w:spacing w:val="11"/>
        </w:rPr>
        <w:t> </w:t>
      </w:r>
      <w:r>
        <w:rPr>
          <w:color w:val="231F20"/>
        </w:rPr>
        <w:t>fait</w:t>
      </w:r>
      <w:r>
        <w:rPr>
          <w:color w:val="231F20"/>
          <w:spacing w:val="13"/>
        </w:rPr>
        <w:t> </w:t>
      </w:r>
      <w:r>
        <w:rPr>
          <w:color w:val="231F20"/>
        </w:rPr>
        <w:t>qu’ils</w:t>
      </w:r>
      <w:r>
        <w:rPr>
          <w:color w:val="231F20"/>
          <w:spacing w:val="13"/>
        </w:rPr>
        <w:t> </w:t>
      </w:r>
      <w:r>
        <w:rPr>
          <w:color w:val="231F20"/>
        </w:rPr>
        <w:t>doivent</w:t>
      </w:r>
      <w:r>
        <w:rPr>
          <w:color w:val="231F20"/>
          <w:spacing w:val="13"/>
        </w:rPr>
        <w:t> </w:t>
      </w:r>
      <w:r>
        <w:rPr>
          <w:color w:val="231F20"/>
        </w:rPr>
        <w:t>parfois</w:t>
      </w:r>
      <w:r>
        <w:rPr>
          <w:color w:val="231F20"/>
          <w:spacing w:val="13"/>
        </w:rPr>
        <w:t> </w:t>
      </w:r>
      <w:r>
        <w:rPr>
          <w:color w:val="231F20"/>
        </w:rPr>
        <w:t>payer</w:t>
      </w:r>
      <w:r>
        <w:rPr>
          <w:color w:val="231F20"/>
          <w:spacing w:val="14"/>
        </w:rPr>
        <w:t> </w:t>
      </w:r>
      <w:r>
        <w:rPr>
          <w:color w:val="231F20"/>
          <w:spacing w:val="-5"/>
        </w:rPr>
        <w:t>quatre</w:t>
      </w:r>
    </w:p>
    <w:p>
      <w:pPr>
        <w:spacing w:after="0"/>
        <w:sectPr>
          <w:pgSz w:w="11910" w:h="16840"/>
          <w:pgMar w:header="0" w:footer="695" w:top="1260" w:bottom="880" w:left="0" w:right="0"/>
          <w:cols w:num="2" w:equalWidth="0">
            <w:col w:w="5896" w:space="40"/>
            <w:col w:w="5974"/>
          </w:cols>
        </w:sectPr>
      </w:pPr>
    </w:p>
    <w:p>
      <w:pPr>
        <w:pStyle w:val="BodyText"/>
        <w:spacing w:before="77"/>
        <w:ind w:left="1133"/>
      </w:pPr>
      <w:r>
        <w:rPr>
          <w:color w:val="231F20"/>
          <w:spacing w:val="-4"/>
        </w:rPr>
        <w:t>fois</w:t>
      </w:r>
      <w:r>
        <w:rPr>
          <w:color w:val="231F20"/>
          <w:spacing w:val="-10"/>
        </w:rPr>
        <w:t> </w:t>
      </w:r>
      <w:r>
        <w:rPr>
          <w:color w:val="231F20"/>
          <w:spacing w:val="-4"/>
        </w:rPr>
        <w:t>plus</w:t>
      </w:r>
      <w:r>
        <w:rPr>
          <w:color w:val="231F20"/>
          <w:spacing w:val="-9"/>
        </w:rPr>
        <w:t> </w:t>
      </w:r>
      <w:r>
        <w:rPr>
          <w:color w:val="231F20"/>
          <w:spacing w:val="-4"/>
        </w:rPr>
        <w:t>cher</w:t>
      </w:r>
      <w:r>
        <w:rPr>
          <w:color w:val="231F20"/>
          <w:spacing w:val="-9"/>
        </w:rPr>
        <w:t> </w:t>
      </w:r>
      <w:r>
        <w:rPr>
          <w:color w:val="231F20"/>
          <w:spacing w:val="-4"/>
        </w:rPr>
        <w:t>sur</w:t>
      </w:r>
      <w:r>
        <w:rPr>
          <w:color w:val="231F20"/>
          <w:spacing w:val="-9"/>
        </w:rPr>
        <w:t> </w:t>
      </w:r>
      <w:r>
        <w:rPr>
          <w:color w:val="231F20"/>
          <w:spacing w:val="-4"/>
        </w:rPr>
        <w:t>des</w:t>
      </w:r>
      <w:r>
        <w:rPr>
          <w:color w:val="231F20"/>
          <w:spacing w:val="-9"/>
        </w:rPr>
        <w:t> </w:t>
      </w:r>
      <w:r>
        <w:rPr>
          <w:color w:val="231F20"/>
          <w:spacing w:val="-4"/>
        </w:rPr>
        <w:t>marchés</w:t>
      </w:r>
      <w:r>
        <w:rPr>
          <w:color w:val="231F20"/>
          <w:spacing w:val="-9"/>
        </w:rPr>
        <w:t> </w:t>
      </w:r>
      <w:r>
        <w:rPr>
          <w:color w:val="231F20"/>
          <w:spacing w:val="-4"/>
        </w:rPr>
        <w:t>lointains.</w:t>
      </w:r>
    </w:p>
    <w:p>
      <w:pPr>
        <w:pStyle w:val="BodyText"/>
        <w:spacing w:before="161"/>
        <w:ind w:left="1133" w:right="1"/>
      </w:pPr>
      <w:r>
        <w:rPr>
          <w:color w:val="231F20"/>
          <w:spacing w:val="-4"/>
        </w:rPr>
        <w:t>Le</w:t>
      </w:r>
      <w:r>
        <w:rPr>
          <w:color w:val="231F20"/>
          <w:spacing w:val="-12"/>
        </w:rPr>
        <w:t> </w:t>
      </w:r>
      <w:r>
        <w:rPr>
          <w:color w:val="231F20"/>
          <w:spacing w:val="-4"/>
        </w:rPr>
        <w:t>blocage</w:t>
      </w:r>
      <w:r>
        <w:rPr>
          <w:color w:val="231F20"/>
          <w:spacing w:val="-12"/>
        </w:rPr>
        <w:t> </w:t>
      </w:r>
      <w:r>
        <w:rPr>
          <w:color w:val="231F20"/>
          <w:spacing w:val="-4"/>
        </w:rPr>
        <w:t>injustifié</w:t>
      </w:r>
      <w:r>
        <w:rPr>
          <w:color w:val="231F20"/>
          <w:spacing w:val="-12"/>
        </w:rPr>
        <w:t> </w:t>
      </w:r>
      <w:r>
        <w:rPr>
          <w:color w:val="231F20"/>
          <w:spacing w:val="-4"/>
        </w:rPr>
        <w:t>de</w:t>
      </w:r>
      <w:r>
        <w:rPr>
          <w:color w:val="231F20"/>
          <w:spacing w:val="-12"/>
        </w:rPr>
        <w:t> </w:t>
      </w:r>
      <w:r>
        <w:rPr>
          <w:color w:val="231F20"/>
          <w:spacing w:val="-4"/>
        </w:rPr>
        <w:t>comptes</w:t>
      </w:r>
      <w:r>
        <w:rPr>
          <w:color w:val="231F20"/>
          <w:spacing w:val="-12"/>
        </w:rPr>
        <w:t> </w:t>
      </w:r>
      <w:r>
        <w:rPr>
          <w:color w:val="231F20"/>
          <w:spacing w:val="-4"/>
        </w:rPr>
        <w:t>en</w:t>
      </w:r>
      <w:r>
        <w:rPr>
          <w:color w:val="231F20"/>
          <w:spacing w:val="-12"/>
        </w:rPr>
        <w:t> </w:t>
      </w:r>
      <w:r>
        <w:rPr>
          <w:color w:val="231F20"/>
          <w:spacing w:val="-4"/>
        </w:rPr>
        <w:t>banque </w:t>
      </w:r>
      <w:r>
        <w:rPr>
          <w:color w:val="231F20"/>
        </w:rPr>
        <w:t>de personnes naturelles et juridiques associées à la culture se maintient, tout </w:t>
      </w:r>
      <w:r>
        <w:rPr>
          <w:color w:val="231F20"/>
          <w:spacing w:val="-2"/>
        </w:rPr>
        <w:t>autant</w:t>
      </w:r>
      <w:r>
        <w:rPr>
          <w:color w:val="231F20"/>
          <w:spacing w:val="-15"/>
        </w:rPr>
        <w:t> </w:t>
      </w:r>
      <w:r>
        <w:rPr>
          <w:color w:val="231F20"/>
          <w:spacing w:val="-2"/>
        </w:rPr>
        <w:t>que</w:t>
      </w:r>
      <w:r>
        <w:rPr>
          <w:color w:val="231F20"/>
          <w:spacing w:val="-14"/>
        </w:rPr>
        <w:t> </w:t>
      </w:r>
      <w:r>
        <w:rPr>
          <w:color w:val="231F20"/>
          <w:spacing w:val="-2"/>
        </w:rPr>
        <w:t>la</w:t>
      </w:r>
      <w:r>
        <w:rPr>
          <w:color w:val="231F20"/>
          <w:spacing w:val="-15"/>
        </w:rPr>
        <w:t> </w:t>
      </w:r>
      <w:r>
        <w:rPr>
          <w:color w:val="231F20"/>
          <w:spacing w:val="-2"/>
        </w:rPr>
        <w:t>propagande</w:t>
      </w:r>
      <w:r>
        <w:rPr>
          <w:color w:val="231F20"/>
          <w:spacing w:val="-14"/>
        </w:rPr>
        <w:t> </w:t>
      </w:r>
      <w:r>
        <w:rPr>
          <w:color w:val="231F20"/>
          <w:spacing w:val="-2"/>
        </w:rPr>
        <w:t>dans</w:t>
      </w:r>
      <w:r>
        <w:rPr>
          <w:color w:val="231F20"/>
          <w:spacing w:val="-15"/>
        </w:rPr>
        <w:t> </w:t>
      </w:r>
      <w:r>
        <w:rPr>
          <w:color w:val="231F20"/>
          <w:spacing w:val="-2"/>
        </w:rPr>
        <w:t>les</w:t>
      </w:r>
      <w:r>
        <w:rPr>
          <w:color w:val="231F20"/>
          <w:spacing w:val="-14"/>
        </w:rPr>
        <w:t> </w:t>
      </w:r>
      <w:r>
        <w:rPr>
          <w:color w:val="231F20"/>
          <w:spacing w:val="-2"/>
        </w:rPr>
        <w:t>réseaux numériques</w:t>
      </w:r>
      <w:r>
        <w:rPr>
          <w:color w:val="231F20"/>
          <w:spacing w:val="-15"/>
        </w:rPr>
        <w:t> </w:t>
      </w:r>
      <w:r>
        <w:rPr>
          <w:color w:val="231F20"/>
          <w:spacing w:val="-2"/>
        </w:rPr>
        <w:t>qui</w:t>
      </w:r>
      <w:r>
        <w:rPr>
          <w:color w:val="231F20"/>
          <w:spacing w:val="-14"/>
        </w:rPr>
        <w:t> </w:t>
      </w:r>
      <w:r>
        <w:rPr>
          <w:color w:val="231F20"/>
          <w:spacing w:val="-2"/>
        </w:rPr>
        <w:t>vise</w:t>
      </w:r>
      <w:r>
        <w:rPr>
          <w:color w:val="231F20"/>
          <w:spacing w:val="-15"/>
        </w:rPr>
        <w:t> </w:t>
      </w:r>
      <w:r>
        <w:rPr>
          <w:color w:val="231F20"/>
          <w:spacing w:val="-2"/>
        </w:rPr>
        <w:t>à</w:t>
      </w:r>
      <w:r>
        <w:rPr>
          <w:color w:val="231F20"/>
          <w:spacing w:val="-14"/>
        </w:rPr>
        <w:t> </w:t>
      </w:r>
      <w:r>
        <w:rPr>
          <w:color w:val="231F20"/>
          <w:spacing w:val="-2"/>
        </w:rPr>
        <w:t>discréditer</w:t>
      </w:r>
      <w:r>
        <w:rPr>
          <w:color w:val="231F20"/>
          <w:spacing w:val="-15"/>
        </w:rPr>
        <w:t> </w:t>
      </w:r>
      <w:r>
        <w:rPr>
          <w:color w:val="231F20"/>
          <w:spacing w:val="-2"/>
        </w:rPr>
        <w:t>les</w:t>
      </w:r>
      <w:r>
        <w:rPr>
          <w:color w:val="231F20"/>
          <w:spacing w:val="-14"/>
        </w:rPr>
        <w:t> </w:t>
      </w:r>
      <w:r>
        <w:rPr>
          <w:color w:val="231F20"/>
          <w:spacing w:val="-2"/>
        </w:rPr>
        <w:t>acquis </w:t>
      </w:r>
      <w:r>
        <w:rPr>
          <w:color w:val="231F20"/>
        </w:rPr>
        <w:t>et les valeurs de notre société.</w:t>
      </w:r>
    </w:p>
    <w:p>
      <w:pPr>
        <w:pStyle w:val="BodyText"/>
        <w:spacing w:before="60"/>
        <w:jc w:val="left"/>
      </w:pPr>
    </w:p>
    <w:p>
      <w:pPr>
        <w:pStyle w:val="Heading2"/>
        <w:spacing w:line="211" w:lineRule="auto"/>
      </w:pPr>
      <w:r>
        <w:rPr>
          <w:color w:val="1F4282"/>
          <w:w w:val="115"/>
        </w:rPr>
        <w:t>Préjudices causés au développement</w:t>
      </w:r>
      <w:r>
        <w:rPr>
          <w:color w:val="1F4282"/>
          <w:spacing w:val="-22"/>
          <w:w w:val="115"/>
        </w:rPr>
        <w:t> </w:t>
      </w:r>
      <w:r>
        <w:rPr>
          <w:color w:val="1F4282"/>
          <w:w w:val="115"/>
        </w:rPr>
        <w:t>économique</w:t>
      </w:r>
    </w:p>
    <w:p>
      <w:pPr>
        <w:pStyle w:val="BodyText"/>
        <w:spacing w:before="187"/>
        <w:ind w:left="1133" w:right="2"/>
      </w:pPr>
      <w:r>
        <w:rPr>
          <w:color w:val="231F20"/>
        </w:rPr>
        <w:t>En 2022, l’économie cubaine a enregistré </w:t>
      </w:r>
      <w:r>
        <w:rPr>
          <w:color w:val="231F20"/>
          <w:spacing w:val="-6"/>
        </w:rPr>
        <w:t>une</w:t>
      </w:r>
      <w:r>
        <w:rPr>
          <w:color w:val="231F20"/>
          <w:spacing w:val="-8"/>
        </w:rPr>
        <w:t> </w:t>
      </w:r>
      <w:r>
        <w:rPr>
          <w:color w:val="231F20"/>
          <w:spacing w:val="-6"/>
        </w:rPr>
        <w:t>croissance</w:t>
      </w:r>
      <w:r>
        <w:rPr>
          <w:color w:val="231F20"/>
          <w:spacing w:val="-8"/>
        </w:rPr>
        <w:t> </w:t>
      </w:r>
      <w:r>
        <w:rPr>
          <w:color w:val="231F20"/>
          <w:spacing w:val="-6"/>
        </w:rPr>
        <w:t>de</w:t>
      </w:r>
      <w:r>
        <w:rPr>
          <w:color w:val="231F20"/>
          <w:spacing w:val="-8"/>
        </w:rPr>
        <w:t> </w:t>
      </w:r>
      <w:r>
        <w:rPr>
          <w:color w:val="231F20"/>
          <w:spacing w:val="-6"/>
        </w:rPr>
        <w:t>seulement</w:t>
      </w:r>
      <w:r>
        <w:rPr>
          <w:color w:val="231F20"/>
          <w:spacing w:val="-8"/>
        </w:rPr>
        <w:t> </w:t>
      </w:r>
      <w:r>
        <w:rPr>
          <w:color w:val="231F20"/>
          <w:spacing w:val="-6"/>
        </w:rPr>
        <w:t>2</w:t>
      </w:r>
      <w:r>
        <w:rPr>
          <w:color w:val="231F20"/>
          <w:spacing w:val="-8"/>
        </w:rPr>
        <w:t> </w:t>
      </w:r>
      <w:r>
        <w:rPr>
          <w:color w:val="231F20"/>
          <w:spacing w:val="-6"/>
        </w:rPr>
        <w:t>p.</w:t>
      </w:r>
      <w:r>
        <w:rPr>
          <w:color w:val="231F20"/>
          <w:spacing w:val="-8"/>
        </w:rPr>
        <w:t> </w:t>
      </w:r>
      <w:r>
        <w:rPr>
          <w:color w:val="231F20"/>
          <w:spacing w:val="-6"/>
        </w:rPr>
        <w:t>100,</w:t>
      </w:r>
      <w:r>
        <w:rPr>
          <w:color w:val="231F20"/>
          <w:spacing w:val="-8"/>
        </w:rPr>
        <w:t> </w:t>
      </w:r>
      <w:r>
        <w:rPr>
          <w:color w:val="231F20"/>
          <w:spacing w:val="-6"/>
        </w:rPr>
        <w:t>après </w:t>
      </w:r>
      <w:r>
        <w:rPr>
          <w:color w:val="231F20"/>
        </w:rPr>
        <w:t>avoir perdu, de janvier 2020 à septembre </w:t>
      </w:r>
      <w:r>
        <w:rPr>
          <w:color w:val="231F20"/>
          <w:spacing w:val="-6"/>
        </w:rPr>
        <w:t>2021,</w:t>
      </w:r>
      <w:r>
        <w:rPr>
          <w:color w:val="231F20"/>
          <w:spacing w:val="-11"/>
        </w:rPr>
        <w:t> </w:t>
      </w:r>
      <w:r>
        <w:rPr>
          <w:color w:val="231F20"/>
          <w:spacing w:val="-6"/>
        </w:rPr>
        <w:t>13</w:t>
      </w:r>
      <w:r>
        <w:rPr>
          <w:color w:val="231F20"/>
          <w:spacing w:val="-10"/>
        </w:rPr>
        <w:t> </w:t>
      </w:r>
      <w:r>
        <w:rPr>
          <w:color w:val="231F20"/>
          <w:spacing w:val="-6"/>
        </w:rPr>
        <w:t>p.</w:t>
      </w:r>
      <w:r>
        <w:rPr>
          <w:color w:val="231F20"/>
          <w:spacing w:val="-11"/>
        </w:rPr>
        <w:t> </w:t>
      </w:r>
      <w:r>
        <w:rPr>
          <w:color w:val="231F20"/>
          <w:spacing w:val="-6"/>
        </w:rPr>
        <w:t>100</w:t>
      </w:r>
      <w:r>
        <w:rPr>
          <w:color w:val="231F20"/>
          <w:spacing w:val="-10"/>
        </w:rPr>
        <w:t> </w:t>
      </w:r>
      <w:r>
        <w:rPr>
          <w:color w:val="231F20"/>
          <w:spacing w:val="-6"/>
        </w:rPr>
        <w:t>de</w:t>
      </w:r>
      <w:r>
        <w:rPr>
          <w:color w:val="231F20"/>
          <w:spacing w:val="-10"/>
        </w:rPr>
        <w:t> </w:t>
      </w:r>
      <w:r>
        <w:rPr>
          <w:color w:val="231F20"/>
          <w:spacing w:val="-6"/>
        </w:rPr>
        <w:t>son</w:t>
      </w:r>
      <w:r>
        <w:rPr>
          <w:color w:val="231F20"/>
          <w:spacing w:val="-10"/>
        </w:rPr>
        <w:t> </w:t>
      </w:r>
      <w:r>
        <w:rPr>
          <w:color w:val="231F20"/>
          <w:spacing w:val="-6"/>
        </w:rPr>
        <w:t>Produit</w:t>
      </w:r>
      <w:r>
        <w:rPr>
          <w:color w:val="231F20"/>
          <w:spacing w:val="-10"/>
        </w:rPr>
        <w:t> </w:t>
      </w:r>
      <w:r>
        <w:rPr>
          <w:color w:val="231F20"/>
          <w:spacing w:val="-6"/>
        </w:rPr>
        <w:t>intérieur</w:t>
      </w:r>
      <w:r>
        <w:rPr>
          <w:color w:val="231F20"/>
          <w:spacing w:val="-10"/>
        </w:rPr>
        <w:t> </w:t>
      </w:r>
      <w:r>
        <w:rPr>
          <w:color w:val="231F20"/>
          <w:spacing w:val="-6"/>
        </w:rPr>
        <w:t>brut </w:t>
      </w:r>
      <w:r>
        <w:rPr>
          <w:color w:val="231F20"/>
          <w:spacing w:val="-4"/>
        </w:rPr>
        <w:t>sous</w:t>
      </w:r>
      <w:r>
        <w:rPr>
          <w:color w:val="231F20"/>
          <w:spacing w:val="-12"/>
        </w:rPr>
        <w:t> </w:t>
      </w:r>
      <w:r>
        <w:rPr>
          <w:color w:val="231F20"/>
          <w:spacing w:val="-4"/>
        </w:rPr>
        <w:t>les</w:t>
      </w:r>
      <w:r>
        <w:rPr>
          <w:color w:val="231F20"/>
          <w:spacing w:val="-12"/>
        </w:rPr>
        <w:t> </w:t>
      </w:r>
      <w:r>
        <w:rPr>
          <w:color w:val="231F20"/>
          <w:spacing w:val="-4"/>
        </w:rPr>
        <w:t>effets</w:t>
      </w:r>
      <w:r>
        <w:rPr>
          <w:color w:val="231F20"/>
          <w:spacing w:val="-12"/>
        </w:rPr>
        <w:t> </w:t>
      </w:r>
      <w:r>
        <w:rPr>
          <w:color w:val="231F20"/>
          <w:spacing w:val="-4"/>
        </w:rPr>
        <w:t>combinés</w:t>
      </w:r>
      <w:r>
        <w:rPr>
          <w:color w:val="231F20"/>
          <w:spacing w:val="-12"/>
        </w:rPr>
        <w:t> </w:t>
      </w:r>
      <w:r>
        <w:rPr>
          <w:color w:val="231F20"/>
          <w:spacing w:val="-4"/>
        </w:rPr>
        <w:t>de</w:t>
      </w:r>
      <w:r>
        <w:rPr>
          <w:color w:val="231F20"/>
          <w:spacing w:val="-12"/>
        </w:rPr>
        <w:t> </w:t>
      </w:r>
      <w:r>
        <w:rPr>
          <w:color w:val="231F20"/>
          <w:spacing w:val="-4"/>
        </w:rPr>
        <w:t>la</w:t>
      </w:r>
      <w:r>
        <w:rPr>
          <w:color w:val="231F20"/>
          <w:spacing w:val="-12"/>
        </w:rPr>
        <w:t> </w:t>
      </w:r>
      <w:r>
        <w:rPr>
          <w:color w:val="231F20"/>
          <w:spacing w:val="-4"/>
        </w:rPr>
        <w:t>pandémie</w:t>
      </w:r>
      <w:r>
        <w:rPr>
          <w:color w:val="231F20"/>
          <w:spacing w:val="-12"/>
        </w:rPr>
        <w:t> </w:t>
      </w:r>
      <w:r>
        <w:rPr>
          <w:color w:val="231F20"/>
          <w:spacing w:val="-4"/>
        </w:rPr>
        <w:t>de Covid-19,</w:t>
      </w:r>
      <w:r>
        <w:rPr>
          <w:color w:val="231F20"/>
          <w:spacing w:val="-10"/>
        </w:rPr>
        <w:t> </w:t>
      </w:r>
      <w:r>
        <w:rPr>
          <w:color w:val="231F20"/>
          <w:spacing w:val="-4"/>
        </w:rPr>
        <w:t>de</w:t>
      </w:r>
      <w:r>
        <w:rPr>
          <w:color w:val="231F20"/>
          <w:spacing w:val="-10"/>
        </w:rPr>
        <w:t> </w:t>
      </w:r>
      <w:r>
        <w:rPr>
          <w:color w:val="231F20"/>
          <w:spacing w:val="-4"/>
        </w:rPr>
        <w:t>la</w:t>
      </w:r>
      <w:r>
        <w:rPr>
          <w:color w:val="231F20"/>
          <w:spacing w:val="-10"/>
        </w:rPr>
        <w:t> </w:t>
      </w:r>
      <w:r>
        <w:rPr>
          <w:color w:val="231F20"/>
          <w:spacing w:val="-4"/>
        </w:rPr>
        <w:t>crise</w:t>
      </w:r>
      <w:r>
        <w:rPr>
          <w:color w:val="231F20"/>
          <w:spacing w:val="-10"/>
        </w:rPr>
        <w:t> </w:t>
      </w:r>
      <w:r>
        <w:rPr>
          <w:color w:val="231F20"/>
          <w:spacing w:val="-4"/>
        </w:rPr>
        <w:t>économique</w:t>
      </w:r>
      <w:r>
        <w:rPr>
          <w:color w:val="231F20"/>
          <w:spacing w:val="-10"/>
        </w:rPr>
        <w:t> </w:t>
      </w:r>
      <w:r>
        <w:rPr>
          <w:color w:val="231F20"/>
          <w:spacing w:val="-4"/>
        </w:rPr>
        <w:t>mondiale </w:t>
      </w:r>
      <w:r>
        <w:rPr>
          <w:color w:val="231F20"/>
        </w:rPr>
        <w:t>et du durcissement sans précédent du </w:t>
      </w:r>
      <w:r>
        <w:rPr>
          <w:color w:val="231F20"/>
          <w:spacing w:val="-6"/>
        </w:rPr>
        <w:t>blocus</w:t>
      </w:r>
      <w:r>
        <w:rPr>
          <w:color w:val="231F20"/>
          <w:spacing w:val="-11"/>
        </w:rPr>
        <w:t> </w:t>
      </w:r>
      <w:r>
        <w:rPr>
          <w:color w:val="231F20"/>
          <w:spacing w:val="-6"/>
        </w:rPr>
        <w:t>économique,</w:t>
      </w:r>
      <w:r>
        <w:rPr>
          <w:color w:val="231F20"/>
          <w:spacing w:val="-10"/>
        </w:rPr>
        <w:t> </w:t>
      </w:r>
      <w:r>
        <w:rPr>
          <w:color w:val="231F20"/>
          <w:spacing w:val="-6"/>
        </w:rPr>
        <w:t>commercial</w:t>
      </w:r>
      <w:r>
        <w:rPr>
          <w:color w:val="231F20"/>
          <w:spacing w:val="-11"/>
        </w:rPr>
        <w:t> </w:t>
      </w:r>
      <w:r>
        <w:rPr>
          <w:color w:val="231F20"/>
          <w:spacing w:val="-6"/>
        </w:rPr>
        <w:t>et</w:t>
      </w:r>
      <w:r>
        <w:rPr>
          <w:color w:val="231F20"/>
          <w:spacing w:val="-10"/>
        </w:rPr>
        <w:t> </w:t>
      </w:r>
      <w:r>
        <w:rPr>
          <w:color w:val="231F20"/>
          <w:spacing w:val="-6"/>
        </w:rPr>
        <w:t>financier </w:t>
      </w:r>
      <w:r>
        <w:rPr>
          <w:color w:val="231F20"/>
        </w:rPr>
        <w:t>par les États-Unis.</w:t>
      </w:r>
    </w:p>
    <w:p>
      <w:pPr>
        <w:pStyle w:val="BodyText"/>
        <w:spacing w:before="167"/>
        <w:ind w:left="1133"/>
      </w:pPr>
      <w:r>
        <w:rPr>
          <w:color w:val="231F20"/>
        </w:rPr>
        <w:t>L’inflation</w:t>
      </w:r>
      <w:r>
        <w:rPr>
          <w:color w:val="231F20"/>
          <w:spacing w:val="-16"/>
        </w:rPr>
        <w:t> </w:t>
      </w:r>
      <w:r>
        <w:rPr>
          <w:color w:val="231F20"/>
        </w:rPr>
        <w:t>enregistrée</w:t>
      </w:r>
      <w:r>
        <w:rPr>
          <w:color w:val="231F20"/>
          <w:spacing w:val="-16"/>
        </w:rPr>
        <w:t> </w:t>
      </w:r>
      <w:r>
        <w:rPr>
          <w:color w:val="231F20"/>
        </w:rPr>
        <w:t>de</w:t>
      </w:r>
      <w:r>
        <w:rPr>
          <w:color w:val="231F20"/>
          <w:spacing w:val="-16"/>
        </w:rPr>
        <w:t> </w:t>
      </w:r>
      <w:r>
        <w:rPr>
          <w:color w:val="231F20"/>
        </w:rPr>
        <w:t>janvier</w:t>
      </w:r>
      <w:r>
        <w:rPr>
          <w:color w:val="231F20"/>
          <w:spacing w:val="-16"/>
        </w:rPr>
        <w:t> </w:t>
      </w:r>
      <w:r>
        <w:rPr>
          <w:color w:val="231F20"/>
        </w:rPr>
        <w:t>à</w:t>
      </w:r>
      <w:r>
        <w:rPr>
          <w:color w:val="231F20"/>
          <w:spacing w:val="-16"/>
        </w:rPr>
        <w:t> </w:t>
      </w:r>
      <w:r>
        <w:rPr>
          <w:color w:val="231F20"/>
        </w:rPr>
        <w:t>octobre 2022</w:t>
      </w:r>
      <w:r>
        <w:rPr>
          <w:color w:val="231F20"/>
          <w:spacing w:val="-16"/>
        </w:rPr>
        <w:t> </w:t>
      </w:r>
      <w:r>
        <w:rPr>
          <w:color w:val="231F20"/>
        </w:rPr>
        <w:t>a</w:t>
      </w:r>
      <w:r>
        <w:rPr>
          <w:color w:val="231F20"/>
          <w:spacing w:val="-16"/>
        </w:rPr>
        <w:t> </w:t>
      </w:r>
      <w:r>
        <w:rPr>
          <w:color w:val="231F20"/>
        </w:rPr>
        <w:t>fait</w:t>
      </w:r>
      <w:r>
        <w:rPr>
          <w:color w:val="231F20"/>
          <w:spacing w:val="-16"/>
        </w:rPr>
        <w:t> </w:t>
      </w:r>
      <w:r>
        <w:rPr>
          <w:color w:val="231F20"/>
        </w:rPr>
        <w:t>flamber</w:t>
      </w:r>
      <w:r>
        <w:rPr>
          <w:color w:val="231F20"/>
          <w:spacing w:val="-16"/>
        </w:rPr>
        <w:t> </w:t>
      </w:r>
      <w:r>
        <w:rPr>
          <w:color w:val="231F20"/>
        </w:rPr>
        <w:t>de</w:t>
      </w:r>
      <w:r>
        <w:rPr>
          <w:color w:val="231F20"/>
          <w:spacing w:val="-16"/>
        </w:rPr>
        <w:t> </w:t>
      </w:r>
      <w:r>
        <w:rPr>
          <w:color w:val="231F20"/>
        </w:rPr>
        <w:t>presque</w:t>
      </w:r>
      <w:r>
        <w:rPr>
          <w:color w:val="231F20"/>
          <w:spacing w:val="-16"/>
        </w:rPr>
        <w:t> </w:t>
      </w:r>
      <w:r>
        <w:rPr>
          <w:color w:val="231F20"/>
        </w:rPr>
        <w:t>29</w:t>
      </w:r>
      <w:r>
        <w:rPr>
          <w:color w:val="231F20"/>
          <w:spacing w:val="-16"/>
        </w:rPr>
        <w:t> </w:t>
      </w:r>
      <w:r>
        <w:rPr>
          <w:color w:val="231F20"/>
        </w:rPr>
        <w:t>p.</w:t>
      </w:r>
      <w:r>
        <w:rPr>
          <w:color w:val="231F20"/>
          <w:spacing w:val="-16"/>
        </w:rPr>
        <w:t> </w:t>
      </w:r>
      <w:r>
        <w:rPr>
          <w:color w:val="231F20"/>
        </w:rPr>
        <w:t>100</w:t>
      </w:r>
      <w:r>
        <w:rPr>
          <w:color w:val="231F20"/>
          <w:spacing w:val="-16"/>
        </w:rPr>
        <w:t> </w:t>
      </w:r>
      <w:r>
        <w:rPr>
          <w:color w:val="231F20"/>
        </w:rPr>
        <w:t>le panier</w:t>
      </w:r>
      <w:r>
        <w:rPr>
          <w:color w:val="231F20"/>
          <w:spacing w:val="-7"/>
        </w:rPr>
        <w:t> </w:t>
      </w:r>
      <w:r>
        <w:rPr>
          <w:color w:val="231F20"/>
        </w:rPr>
        <w:t>de</w:t>
      </w:r>
      <w:r>
        <w:rPr>
          <w:color w:val="231F20"/>
          <w:spacing w:val="-7"/>
        </w:rPr>
        <w:t> </w:t>
      </w:r>
      <w:r>
        <w:rPr>
          <w:color w:val="231F20"/>
        </w:rPr>
        <w:t>la</w:t>
      </w:r>
      <w:r>
        <w:rPr>
          <w:color w:val="231F20"/>
          <w:spacing w:val="-7"/>
        </w:rPr>
        <w:t> </w:t>
      </w:r>
      <w:r>
        <w:rPr>
          <w:color w:val="231F20"/>
        </w:rPr>
        <w:t>ménagère</w:t>
      </w:r>
      <w:r>
        <w:rPr>
          <w:color w:val="231F20"/>
          <w:spacing w:val="-7"/>
        </w:rPr>
        <w:t> </w:t>
      </w:r>
      <w:r>
        <w:rPr>
          <w:color w:val="231F20"/>
        </w:rPr>
        <w:t>(biens</w:t>
      </w:r>
      <w:r>
        <w:rPr>
          <w:color w:val="231F20"/>
          <w:spacing w:val="-7"/>
        </w:rPr>
        <w:t> </w:t>
      </w:r>
      <w:r>
        <w:rPr>
          <w:color w:val="231F20"/>
        </w:rPr>
        <w:t>et</w:t>
      </w:r>
      <w:r>
        <w:rPr>
          <w:color w:val="231F20"/>
          <w:spacing w:val="-7"/>
        </w:rPr>
        <w:t> </w:t>
      </w:r>
      <w:r>
        <w:rPr>
          <w:color w:val="231F20"/>
        </w:rPr>
        <w:t>services)</w:t>
      </w:r>
      <w:r>
        <w:rPr>
          <w:color w:val="231F20"/>
          <w:spacing w:val="-7"/>
        </w:rPr>
        <w:t> </w:t>
      </w:r>
      <w:r>
        <w:rPr>
          <w:color w:val="231F20"/>
        </w:rPr>
        <w:t>; d’octobre 2021 a octobre 2022, elle a été pratiquement</w:t>
      </w:r>
      <w:r>
        <w:rPr>
          <w:color w:val="231F20"/>
          <w:spacing w:val="-5"/>
        </w:rPr>
        <w:t> </w:t>
      </w:r>
      <w:r>
        <w:rPr>
          <w:color w:val="231F20"/>
        </w:rPr>
        <w:t>de</w:t>
      </w:r>
      <w:r>
        <w:rPr>
          <w:color w:val="231F20"/>
          <w:spacing w:val="-5"/>
        </w:rPr>
        <w:t> </w:t>
      </w:r>
      <w:r>
        <w:rPr>
          <w:color w:val="231F20"/>
        </w:rPr>
        <w:t>40</w:t>
      </w:r>
      <w:r>
        <w:rPr>
          <w:color w:val="231F20"/>
          <w:spacing w:val="-5"/>
        </w:rPr>
        <w:t> </w:t>
      </w:r>
      <w:r>
        <w:rPr>
          <w:color w:val="231F20"/>
        </w:rPr>
        <w:t>p.</w:t>
      </w:r>
      <w:r>
        <w:rPr>
          <w:color w:val="231F20"/>
          <w:spacing w:val="-5"/>
        </w:rPr>
        <w:t> </w:t>
      </w:r>
      <w:r>
        <w:rPr>
          <w:color w:val="231F20"/>
        </w:rPr>
        <w:t>100.</w:t>
      </w:r>
      <w:r>
        <w:rPr>
          <w:color w:val="231F20"/>
          <w:spacing w:val="-5"/>
        </w:rPr>
        <w:t> </w:t>
      </w:r>
      <w:r>
        <w:rPr>
          <w:color w:val="231F20"/>
        </w:rPr>
        <w:t>Cette</w:t>
      </w:r>
      <w:r>
        <w:rPr>
          <w:color w:val="231F20"/>
          <w:spacing w:val="-5"/>
        </w:rPr>
        <w:t> </w:t>
      </w:r>
      <w:r>
        <w:rPr>
          <w:color w:val="231F20"/>
        </w:rPr>
        <w:t>flambée s’explique non seulement par les cours des</w:t>
      </w:r>
      <w:r>
        <w:rPr>
          <w:color w:val="231F20"/>
          <w:spacing w:val="-17"/>
        </w:rPr>
        <w:t> </w:t>
      </w:r>
      <w:r>
        <w:rPr>
          <w:color w:val="231F20"/>
        </w:rPr>
        <w:t>produits</w:t>
      </w:r>
      <w:r>
        <w:rPr>
          <w:color w:val="231F20"/>
          <w:spacing w:val="-16"/>
        </w:rPr>
        <w:t> </w:t>
      </w:r>
      <w:r>
        <w:rPr>
          <w:color w:val="231F20"/>
        </w:rPr>
        <w:t>importés</w:t>
      </w:r>
      <w:r>
        <w:rPr>
          <w:color w:val="231F20"/>
          <w:spacing w:val="-17"/>
        </w:rPr>
        <w:t> </w:t>
      </w:r>
      <w:r>
        <w:rPr>
          <w:color w:val="231F20"/>
        </w:rPr>
        <w:t>du</w:t>
      </w:r>
      <w:r>
        <w:rPr>
          <w:color w:val="231F20"/>
          <w:spacing w:val="-16"/>
        </w:rPr>
        <w:t> </w:t>
      </w:r>
      <w:r>
        <w:rPr>
          <w:color w:val="231F20"/>
        </w:rPr>
        <w:t>marché</w:t>
      </w:r>
      <w:r>
        <w:rPr>
          <w:color w:val="231F20"/>
          <w:spacing w:val="-17"/>
        </w:rPr>
        <w:t> </w:t>
      </w:r>
      <w:r>
        <w:rPr>
          <w:color w:val="231F20"/>
        </w:rPr>
        <w:t>mondial, mais aussi, et essentiellement, par notre pénurie de devises, laquelle découle d’un blocus</w:t>
      </w:r>
      <w:r>
        <w:rPr>
          <w:color w:val="231F20"/>
          <w:spacing w:val="-12"/>
        </w:rPr>
        <w:t> </w:t>
      </w:r>
      <w:r>
        <w:rPr>
          <w:color w:val="231F20"/>
        </w:rPr>
        <w:t>durci</w:t>
      </w:r>
      <w:r>
        <w:rPr>
          <w:color w:val="231F20"/>
          <w:spacing w:val="-12"/>
        </w:rPr>
        <w:t> </w:t>
      </w:r>
      <w:r>
        <w:rPr>
          <w:color w:val="231F20"/>
        </w:rPr>
        <w:t>et</w:t>
      </w:r>
      <w:r>
        <w:rPr>
          <w:color w:val="231F20"/>
          <w:spacing w:val="-12"/>
        </w:rPr>
        <w:t> </w:t>
      </w:r>
      <w:r>
        <w:rPr>
          <w:color w:val="231F20"/>
        </w:rPr>
        <w:t>de</w:t>
      </w:r>
      <w:r>
        <w:rPr>
          <w:color w:val="231F20"/>
          <w:spacing w:val="-12"/>
        </w:rPr>
        <w:t> </w:t>
      </w:r>
      <w:r>
        <w:rPr>
          <w:color w:val="231F20"/>
        </w:rPr>
        <w:t>la</w:t>
      </w:r>
      <w:r>
        <w:rPr>
          <w:color w:val="231F20"/>
          <w:spacing w:val="-12"/>
        </w:rPr>
        <w:t> </w:t>
      </w:r>
      <w:r>
        <w:rPr>
          <w:color w:val="231F20"/>
        </w:rPr>
        <w:t>traque</w:t>
      </w:r>
      <w:r>
        <w:rPr>
          <w:color w:val="231F20"/>
          <w:spacing w:val="-12"/>
        </w:rPr>
        <w:t> </w:t>
      </w:r>
      <w:r>
        <w:rPr>
          <w:color w:val="231F20"/>
        </w:rPr>
        <w:t>incessante</w:t>
      </w:r>
      <w:r>
        <w:rPr>
          <w:color w:val="231F20"/>
          <w:spacing w:val="-12"/>
        </w:rPr>
        <w:t> </w:t>
      </w:r>
      <w:r>
        <w:rPr>
          <w:color w:val="231F20"/>
        </w:rPr>
        <w:t>par l’administration</w:t>
      </w:r>
      <w:r>
        <w:rPr>
          <w:color w:val="231F20"/>
          <w:spacing w:val="-11"/>
        </w:rPr>
        <w:t> </w:t>
      </w:r>
      <w:r>
        <w:rPr>
          <w:color w:val="231F20"/>
        </w:rPr>
        <w:t>étasunienne</w:t>
      </w:r>
      <w:r>
        <w:rPr>
          <w:color w:val="231F20"/>
          <w:spacing w:val="-11"/>
        </w:rPr>
        <w:t> </w:t>
      </w:r>
      <w:r>
        <w:rPr>
          <w:color w:val="231F20"/>
        </w:rPr>
        <w:t>de</w:t>
      </w:r>
      <w:r>
        <w:rPr>
          <w:color w:val="231F20"/>
          <w:spacing w:val="-11"/>
        </w:rPr>
        <w:t> </w:t>
      </w:r>
      <w:r>
        <w:rPr>
          <w:color w:val="231F20"/>
        </w:rPr>
        <w:t>n’importe quelle source de revenus de notre pays.</w:t>
      </w:r>
    </w:p>
    <w:p>
      <w:pPr>
        <w:pStyle w:val="BodyText"/>
        <w:spacing w:before="170"/>
        <w:ind w:left="1133"/>
      </w:pPr>
      <w:r>
        <w:rPr>
          <w:color w:val="231F20"/>
        </w:rPr>
        <w:t>Aussi le pouvoir d’achat des salaires a-t-</w:t>
      </w:r>
      <w:r>
        <w:rPr>
          <w:color w:val="231F20"/>
          <w:spacing w:val="40"/>
        </w:rPr>
        <w:t> </w:t>
      </w:r>
      <w:r>
        <w:rPr>
          <w:color w:val="231F20"/>
        </w:rPr>
        <w:t>il diminué substantiellement, ce qui a eu des effets destructeurs dans toutes les </w:t>
      </w:r>
      <w:r>
        <w:rPr>
          <w:color w:val="231F20"/>
          <w:spacing w:val="-2"/>
        </w:rPr>
        <w:t>branches</w:t>
      </w:r>
      <w:r>
        <w:rPr>
          <w:color w:val="231F20"/>
          <w:spacing w:val="-12"/>
        </w:rPr>
        <w:t> </w:t>
      </w:r>
      <w:r>
        <w:rPr>
          <w:color w:val="231F20"/>
          <w:spacing w:val="-2"/>
        </w:rPr>
        <w:t>de</w:t>
      </w:r>
      <w:r>
        <w:rPr>
          <w:color w:val="231F20"/>
          <w:spacing w:val="-12"/>
        </w:rPr>
        <w:t> </w:t>
      </w:r>
      <w:r>
        <w:rPr>
          <w:color w:val="231F20"/>
          <w:spacing w:val="-2"/>
        </w:rPr>
        <w:t>l’économie</w:t>
      </w:r>
      <w:r>
        <w:rPr>
          <w:color w:val="231F20"/>
          <w:spacing w:val="-12"/>
        </w:rPr>
        <w:t> </w:t>
      </w:r>
      <w:r>
        <w:rPr>
          <w:color w:val="231F20"/>
          <w:spacing w:val="-2"/>
        </w:rPr>
        <w:t>et</w:t>
      </w:r>
      <w:r>
        <w:rPr>
          <w:color w:val="231F20"/>
          <w:spacing w:val="-12"/>
        </w:rPr>
        <w:t> </w:t>
      </w:r>
      <w:r>
        <w:rPr>
          <w:color w:val="231F20"/>
          <w:spacing w:val="-2"/>
        </w:rPr>
        <w:t>directement</w:t>
      </w:r>
      <w:r>
        <w:rPr>
          <w:color w:val="231F20"/>
          <w:spacing w:val="-12"/>
        </w:rPr>
        <w:t> </w:t>
      </w:r>
      <w:r>
        <w:rPr>
          <w:color w:val="231F20"/>
          <w:spacing w:val="-2"/>
        </w:rPr>
        <w:t>sur </w:t>
      </w:r>
      <w:r>
        <w:rPr>
          <w:color w:val="231F20"/>
          <w:spacing w:val="-4"/>
        </w:rPr>
        <w:t>la</w:t>
      </w:r>
      <w:r>
        <w:rPr>
          <w:color w:val="231F20"/>
          <w:spacing w:val="-13"/>
        </w:rPr>
        <w:t> </w:t>
      </w:r>
      <w:r>
        <w:rPr>
          <w:color w:val="231F20"/>
          <w:spacing w:val="-4"/>
        </w:rPr>
        <w:t>population,</w:t>
      </w:r>
      <w:r>
        <w:rPr>
          <w:color w:val="231F20"/>
          <w:spacing w:val="-12"/>
        </w:rPr>
        <w:t> </w:t>
      </w:r>
      <w:r>
        <w:rPr>
          <w:color w:val="231F20"/>
          <w:spacing w:val="-4"/>
        </w:rPr>
        <w:t>ainsi</w:t>
      </w:r>
      <w:r>
        <w:rPr>
          <w:color w:val="231F20"/>
          <w:spacing w:val="-13"/>
        </w:rPr>
        <w:t> </w:t>
      </w:r>
      <w:r>
        <w:rPr>
          <w:color w:val="231F20"/>
          <w:spacing w:val="-4"/>
        </w:rPr>
        <w:t>que</w:t>
      </w:r>
      <w:r>
        <w:rPr>
          <w:color w:val="231F20"/>
          <w:spacing w:val="-12"/>
        </w:rPr>
        <w:t> </w:t>
      </w:r>
      <w:r>
        <w:rPr>
          <w:color w:val="231F20"/>
          <w:spacing w:val="-4"/>
        </w:rPr>
        <w:t>dans</w:t>
      </w:r>
      <w:r>
        <w:rPr>
          <w:color w:val="231F20"/>
          <w:spacing w:val="-13"/>
        </w:rPr>
        <w:t> </w:t>
      </w:r>
      <w:r>
        <w:rPr>
          <w:color w:val="231F20"/>
          <w:spacing w:val="-4"/>
        </w:rPr>
        <w:t>toute</w:t>
      </w:r>
      <w:r>
        <w:rPr>
          <w:color w:val="231F20"/>
          <w:spacing w:val="-12"/>
        </w:rPr>
        <w:t> </w:t>
      </w:r>
      <w:r>
        <w:rPr>
          <w:color w:val="231F20"/>
          <w:spacing w:val="-4"/>
        </w:rPr>
        <w:t>initiative </w:t>
      </w:r>
      <w:r>
        <w:rPr>
          <w:color w:val="231F20"/>
        </w:rPr>
        <w:t>qu’entreprend</w:t>
      </w:r>
      <w:r>
        <w:rPr>
          <w:color w:val="231F20"/>
          <w:spacing w:val="-17"/>
        </w:rPr>
        <w:t> </w:t>
      </w:r>
      <w:r>
        <w:rPr>
          <w:color w:val="231F20"/>
        </w:rPr>
        <w:t>le</w:t>
      </w:r>
      <w:r>
        <w:rPr>
          <w:color w:val="231F20"/>
          <w:spacing w:val="-16"/>
        </w:rPr>
        <w:t> </w:t>
      </w:r>
      <w:r>
        <w:rPr>
          <w:color w:val="231F20"/>
        </w:rPr>
        <w:t>pays</w:t>
      </w:r>
      <w:r>
        <w:rPr>
          <w:color w:val="231F20"/>
          <w:spacing w:val="-17"/>
        </w:rPr>
        <w:t> </w:t>
      </w:r>
      <w:r>
        <w:rPr>
          <w:color w:val="231F20"/>
        </w:rPr>
        <w:t>pour</w:t>
      </w:r>
      <w:r>
        <w:rPr>
          <w:color w:val="231F20"/>
          <w:spacing w:val="-16"/>
        </w:rPr>
        <w:t> </w:t>
      </w:r>
      <w:r>
        <w:rPr>
          <w:color w:val="231F20"/>
        </w:rPr>
        <w:t>répondre</w:t>
      </w:r>
      <w:r>
        <w:rPr>
          <w:color w:val="231F20"/>
          <w:spacing w:val="-17"/>
        </w:rPr>
        <w:t> </w:t>
      </w:r>
      <w:r>
        <w:rPr>
          <w:color w:val="231F20"/>
        </w:rPr>
        <w:t>à</w:t>
      </w:r>
      <w:r>
        <w:rPr>
          <w:color w:val="231F20"/>
          <w:spacing w:val="-16"/>
        </w:rPr>
        <w:t> </w:t>
      </w:r>
      <w:r>
        <w:rPr>
          <w:color w:val="231F20"/>
        </w:rPr>
        <w:t>ses besoins accumulés.</w:t>
      </w:r>
    </w:p>
    <w:p>
      <w:pPr>
        <w:pStyle w:val="BodyText"/>
        <w:spacing w:before="165"/>
        <w:ind w:left="1133" w:right="2"/>
      </w:pPr>
      <w:r>
        <w:rPr>
          <w:color w:val="231F20"/>
        </w:rPr>
        <w:t>Le</w:t>
      </w:r>
      <w:r>
        <w:rPr>
          <w:color w:val="231F20"/>
          <w:spacing w:val="-17"/>
        </w:rPr>
        <w:t> </w:t>
      </w:r>
      <w:r>
        <w:rPr>
          <w:color w:val="231F20"/>
        </w:rPr>
        <w:t>pays</w:t>
      </w:r>
      <w:r>
        <w:rPr>
          <w:color w:val="231F20"/>
          <w:spacing w:val="-16"/>
        </w:rPr>
        <w:t> </w:t>
      </w:r>
      <w:r>
        <w:rPr>
          <w:color w:val="231F20"/>
        </w:rPr>
        <w:t>s’attache</w:t>
      </w:r>
      <w:r>
        <w:rPr>
          <w:color w:val="231F20"/>
          <w:spacing w:val="-17"/>
        </w:rPr>
        <w:t> </w:t>
      </w:r>
      <w:r>
        <w:rPr>
          <w:color w:val="231F20"/>
        </w:rPr>
        <w:t>actuellement</w:t>
      </w:r>
      <w:r>
        <w:rPr>
          <w:color w:val="231F20"/>
          <w:spacing w:val="-16"/>
        </w:rPr>
        <w:t> </w:t>
      </w:r>
      <w:r>
        <w:rPr>
          <w:color w:val="231F20"/>
        </w:rPr>
        <w:t>à</w:t>
      </w:r>
      <w:r>
        <w:rPr>
          <w:color w:val="231F20"/>
          <w:spacing w:val="-17"/>
        </w:rPr>
        <w:t> </w:t>
      </w:r>
      <w:r>
        <w:rPr>
          <w:color w:val="231F20"/>
        </w:rPr>
        <w:t>récupérer les</w:t>
      </w:r>
      <w:r>
        <w:rPr>
          <w:color w:val="231F20"/>
          <w:spacing w:val="-17"/>
        </w:rPr>
        <w:t> </w:t>
      </w:r>
      <w:r>
        <w:rPr>
          <w:color w:val="231F20"/>
        </w:rPr>
        <w:t>niveaux</w:t>
      </w:r>
      <w:r>
        <w:rPr>
          <w:color w:val="231F20"/>
          <w:spacing w:val="-16"/>
        </w:rPr>
        <w:t> </w:t>
      </w:r>
      <w:r>
        <w:rPr>
          <w:color w:val="231F20"/>
        </w:rPr>
        <w:t>d’activité</w:t>
      </w:r>
      <w:r>
        <w:rPr>
          <w:color w:val="231F20"/>
          <w:spacing w:val="-17"/>
        </w:rPr>
        <w:t> </w:t>
      </w:r>
      <w:r>
        <w:rPr>
          <w:color w:val="231F20"/>
        </w:rPr>
        <w:t>économique</w:t>
      </w:r>
      <w:r>
        <w:rPr>
          <w:color w:val="231F20"/>
          <w:spacing w:val="-16"/>
        </w:rPr>
        <w:t> </w:t>
      </w:r>
      <w:r>
        <w:rPr>
          <w:color w:val="231F20"/>
        </w:rPr>
        <w:t>perdues </w:t>
      </w:r>
      <w:r>
        <w:rPr>
          <w:color w:val="231F20"/>
          <w:spacing w:val="-4"/>
        </w:rPr>
        <w:t>ces</w:t>
      </w:r>
      <w:r>
        <w:rPr>
          <w:color w:val="231F20"/>
          <w:spacing w:val="-39"/>
        </w:rPr>
        <w:t> </w:t>
      </w:r>
      <w:r>
        <w:rPr>
          <w:color w:val="231F20"/>
          <w:spacing w:val="-4"/>
        </w:rPr>
        <w:t>trois</w:t>
      </w:r>
      <w:r>
        <w:rPr>
          <w:color w:val="231F20"/>
          <w:spacing w:val="-39"/>
        </w:rPr>
        <w:t> </w:t>
      </w:r>
      <w:r>
        <w:rPr>
          <w:color w:val="231F20"/>
          <w:spacing w:val="-4"/>
        </w:rPr>
        <w:t>dernières</w:t>
      </w:r>
      <w:r>
        <w:rPr>
          <w:color w:val="231F20"/>
          <w:spacing w:val="-39"/>
        </w:rPr>
        <w:t> </w:t>
      </w:r>
      <w:r>
        <w:rPr>
          <w:color w:val="231F20"/>
          <w:spacing w:val="-4"/>
        </w:rPr>
        <w:t>années</w:t>
      </w:r>
      <w:r>
        <w:rPr>
          <w:color w:val="231F20"/>
          <w:spacing w:val="-39"/>
        </w:rPr>
        <w:t> </w:t>
      </w:r>
      <w:r>
        <w:rPr>
          <w:color w:val="231F20"/>
          <w:spacing w:val="-4"/>
        </w:rPr>
        <w:t>et</w:t>
      </w:r>
      <w:r>
        <w:rPr>
          <w:color w:val="231F20"/>
          <w:spacing w:val="-39"/>
        </w:rPr>
        <w:t> </w:t>
      </w:r>
      <w:r>
        <w:rPr>
          <w:color w:val="231F20"/>
          <w:spacing w:val="-4"/>
        </w:rPr>
        <w:t>à</w:t>
      </w:r>
      <w:r>
        <w:rPr>
          <w:color w:val="231F20"/>
          <w:spacing w:val="-39"/>
        </w:rPr>
        <w:t> </w:t>
      </w:r>
      <w:r>
        <w:rPr>
          <w:color w:val="231F20"/>
          <w:spacing w:val="-4"/>
        </w:rPr>
        <w:t>accroître</w:t>
      </w:r>
      <w:r>
        <w:rPr>
          <w:color w:val="231F20"/>
          <w:spacing w:val="-39"/>
        </w:rPr>
        <w:t> </w:t>
      </w:r>
      <w:r>
        <w:rPr>
          <w:color w:val="231F20"/>
          <w:spacing w:val="-5"/>
        </w:rPr>
        <w:t>l’offre</w:t>
      </w:r>
    </w:p>
    <w:p>
      <w:pPr>
        <w:spacing w:before="77"/>
        <w:ind w:left="412" w:right="1475" w:firstLine="0"/>
        <w:jc w:val="both"/>
        <w:rPr>
          <w:rFonts w:ascii="Segoe UI Semibold" w:hAnsi="Segoe UI Semibold"/>
          <w:b/>
          <w:i/>
          <w:sz w:val="24"/>
        </w:rPr>
      </w:pPr>
      <w:r>
        <w:rPr/>
        <w:br w:type="column"/>
      </w:r>
      <w:r>
        <w:rPr>
          <w:color w:val="231F20"/>
          <w:spacing w:val="-2"/>
          <w:sz w:val="24"/>
        </w:rPr>
        <w:t>à</w:t>
      </w:r>
      <w:r>
        <w:rPr>
          <w:color w:val="231F20"/>
          <w:spacing w:val="-13"/>
          <w:sz w:val="24"/>
        </w:rPr>
        <w:t> </w:t>
      </w:r>
      <w:r>
        <w:rPr>
          <w:color w:val="231F20"/>
          <w:spacing w:val="-2"/>
          <w:sz w:val="24"/>
        </w:rPr>
        <w:t>la</w:t>
      </w:r>
      <w:r>
        <w:rPr>
          <w:color w:val="231F20"/>
          <w:spacing w:val="-13"/>
          <w:sz w:val="24"/>
        </w:rPr>
        <w:t> </w:t>
      </w:r>
      <w:r>
        <w:rPr>
          <w:color w:val="231F20"/>
          <w:spacing w:val="-2"/>
          <w:sz w:val="24"/>
        </w:rPr>
        <w:t>population.</w:t>
      </w:r>
      <w:r>
        <w:rPr>
          <w:color w:val="231F20"/>
          <w:spacing w:val="-13"/>
          <w:sz w:val="24"/>
        </w:rPr>
        <w:t> </w:t>
      </w:r>
      <w:r>
        <w:rPr>
          <w:color w:val="231F20"/>
          <w:spacing w:val="-2"/>
          <w:sz w:val="24"/>
        </w:rPr>
        <w:t>Le</w:t>
      </w:r>
      <w:r>
        <w:rPr>
          <w:color w:val="231F20"/>
          <w:spacing w:val="-13"/>
          <w:sz w:val="24"/>
        </w:rPr>
        <w:t> </w:t>
      </w:r>
      <w:r>
        <w:rPr>
          <w:color w:val="231F20"/>
          <w:spacing w:val="-2"/>
          <w:sz w:val="24"/>
        </w:rPr>
        <w:t>gouvernement</w:t>
      </w:r>
      <w:r>
        <w:rPr>
          <w:color w:val="231F20"/>
          <w:spacing w:val="-13"/>
          <w:sz w:val="24"/>
        </w:rPr>
        <w:t> </w:t>
      </w:r>
      <w:r>
        <w:rPr>
          <w:color w:val="231F20"/>
          <w:spacing w:val="-2"/>
          <w:sz w:val="24"/>
        </w:rPr>
        <w:t>s’efforce </w:t>
      </w:r>
      <w:r>
        <w:rPr>
          <w:color w:val="231F20"/>
          <w:sz w:val="24"/>
        </w:rPr>
        <w:t>–</w:t>
      </w:r>
      <w:r>
        <w:rPr>
          <w:color w:val="231F20"/>
          <w:spacing w:val="-2"/>
          <w:sz w:val="24"/>
        </w:rPr>
        <w:t> </w:t>
      </w:r>
      <w:r>
        <w:rPr>
          <w:color w:val="231F20"/>
          <w:sz w:val="24"/>
        </w:rPr>
        <w:t>en</w:t>
      </w:r>
      <w:r>
        <w:rPr>
          <w:color w:val="231F20"/>
          <w:spacing w:val="-2"/>
          <w:sz w:val="24"/>
        </w:rPr>
        <w:t> </w:t>
      </w:r>
      <w:r>
        <w:rPr>
          <w:color w:val="231F20"/>
          <w:sz w:val="24"/>
        </w:rPr>
        <w:t>œuvrant</w:t>
      </w:r>
      <w:r>
        <w:rPr>
          <w:color w:val="231F20"/>
          <w:spacing w:val="-2"/>
          <w:sz w:val="24"/>
        </w:rPr>
        <w:t> </w:t>
      </w:r>
      <w:r>
        <w:rPr>
          <w:color w:val="231F20"/>
          <w:sz w:val="24"/>
        </w:rPr>
        <w:t>dans</w:t>
      </w:r>
      <w:r>
        <w:rPr>
          <w:color w:val="231F20"/>
          <w:spacing w:val="-2"/>
          <w:sz w:val="24"/>
        </w:rPr>
        <w:t> </w:t>
      </w:r>
      <w:r>
        <w:rPr>
          <w:color w:val="231F20"/>
          <w:sz w:val="24"/>
        </w:rPr>
        <w:t>ce</w:t>
      </w:r>
      <w:r>
        <w:rPr>
          <w:color w:val="231F20"/>
          <w:spacing w:val="-2"/>
          <w:sz w:val="24"/>
        </w:rPr>
        <w:t> </w:t>
      </w:r>
      <w:r>
        <w:rPr>
          <w:color w:val="231F20"/>
          <w:sz w:val="24"/>
        </w:rPr>
        <w:t>sens</w:t>
      </w:r>
      <w:r>
        <w:rPr>
          <w:color w:val="231F20"/>
          <w:spacing w:val="-2"/>
          <w:sz w:val="24"/>
        </w:rPr>
        <w:t> </w:t>
      </w:r>
      <w:r>
        <w:rPr>
          <w:color w:val="231F20"/>
          <w:sz w:val="24"/>
        </w:rPr>
        <w:t>-</w:t>
      </w:r>
      <w:r>
        <w:rPr>
          <w:color w:val="231F20"/>
          <w:spacing w:val="-2"/>
          <w:sz w:val="24"/>
        </w:rPr>
        <w:t> </w:t>
      </w:r>
      <w:r>
        <w:rPr>
          <w:color w:val="231F20"/>
          <w:sz w:val="24"/>
        </w:rPr>
        <w:t>de</w:t>
      </w:r>
      <w:r>
        <w:rPr>
          <w:color w:val="231F20"/>
          <w:spacing w:val="-2"/>
          <w:sz w:val="24"/>
        </w:rPr>
        <w:t> </w:t>
      </w:r>
      <w:r>
        <w:rPr>
          <w:color w:val="231F20"/>
          <w:sz w:val="24"/>
        </w:rPr>
        <w:t>diversifier la structure productive, de consolider la </w:t>
      </w:r>
      <w:r>
        <w:rPr>
          <w:color w:val="231F20"/>
          <w:spacing w:val="-4"/>
          <w:sz w:val="24"/>
        </w:rPr>
        <w:t>participation</w:t>
      </w:r>
      <w:r>
        <w:rPr>
          <w:color w:val="231F20"/>
          <w:spacing w:val="-13"/>
          <w:sz w:val="24"/>
        </w:rPr>
        <w:t> </w:t>
      </w:r>
      <w:r>
        <w:rPr>
          <w:color w:val="231F20"/>
          <w:spacing w:val="-4"/>
          <w:sz w:val="24"/>
        </w:rPr>
        <w:t>des</w:t>
      </w:r>
      <w:r>
        <w:rPr>
          <w:color w:val="231F20"/>
          <w:spacing w:val="-12"/>
          <w:sz w:val="24"/>
        </w:rPr>
        <w:t> </w:t>
      </w:r>
      <w:r>
        <w:rPr>
          <w:color w:val="231F20"/>
          <w:spacing w:val="-4"/>
          <w:sz w:val="24"/>
        </w:rPr>
        <w:t>acteurs</w:t>
      </w:r>
      <w:r>
        <w:rPr>
          <w:color w:val="231F20"/>
          <w:spacing w:val="-13"/>
          <w:sz w:val="24"/>
        </w:rPr>
        <w:t> </w:t>
      </w:r>
      <w:r>
        <w:rPr>
          <w:color w:val="231F20"/>
          <w:spacing w:val="-4"/>
          <w:sz w:val="24"/>
        </w:rPr>
        <w:t>publics</w:t>
      </w:r>
      <w:r>
        <w:rPr>
          <w:color w:val="231F20"/>
          <w:spacing w:val="-12"/>
          <w:sz w:val="24"/>
        </w:rPr>
        <w:t> </w:t>
      </w:r>
      <w:r>
        <w:rPr>
          <w:color w:val="231F20"/>
          <w:spacing w:val="-4"/>
          <w:sz w:val="24"/>
        </w:rPr>
        <w:t>et</w:t>
      </w:r>
      <w:r>
        <w:rPr>
          <w:color w:val="231F20"/>
          <w:spacing w:val="-13"/>
          <w:sz w:val="24"/>
        </w:rPr>
        <w:t> </w:t>
      </w:r>
      <w:r>
        <w:rPr>
          <w:color w:val="231F20"/>
          <w:spacing w:val="-4"/>
          <w:sz w:val="24"/>
        </w:rPr>
        <w:t>privés</w:t>
      </w:r>
      <w:r>
        <w:rPr>
          <w:color w:val="231F20"/>
          <w:spacing w:val="-12"/>
          <w:sz w:val="24"/>
        </w:rPr>
        <w:t> </w:t>
      </w:r>
      <w:r>
        <w:rPr>
          <w:color w:val="231F20"/>
          <w:spacing w:val="-4"/>
          <w:sz w:val="24"/>
        </w:rPr>
        <w:t>et </w:t>
      </w:r>
      <w:r>
        <w:rPr>
          <w:color w:val="231F20"/>
          <w:spacing w:val="-2"/>
          <w:sz w:val="24"/>
        </w:rPr>
        <w:t>d’élever</w:t>
      </w:r>
      <w:r>
        <w:rPr>
          <w:color w:val="231F20"/>
          <w:spacing w:val="-15"/>
          <w:sz w:val="24"/>
        </w:rPr>
        <w:t> </w:t>
      </w:r>
      <w:r>
        <w:rPr>
          <w:color w:val="231F20"/>
          <w:spacing w:val="-2"/>
          <w:sz w:val="24"/>
        </w:rPr>
        <w:t>l’investissement</w:t>
      </w:r>
      <w:r>
        <w:rPr>
          <w:color w:val="231F20"/>
          <w:spacing w:val="-14"/>
          <w:sz w:val="24"/>
        </w:rPr>
        <w:t> </w:t>
      </w:r>
      <w:r>
        <w:rPr>
          <w:color w:val="231F20"/>
          <w:spacing w:val="-2"/>
          <w:sz w:val="24"/>
        </w:rPr>
        <w:t>étranger.</w:t>
      </w:r>
      <w:r>
        <w:rPr>
          <w:color w:val="231F20"/>
          <w:spacing w:val="-15"/>
          <w:sz w:val="24"/>
        </w:rPr>
        <w:t> </w:t>
      </w:r>
      <w:r>
        <w:rPr>
          <w:rFonts w:ascii="Segoe UI Semibold" w:hAnsi="Segoe UI Semibold"/>
          <w:b/>
          <w:i/>
          <w:color w:val="1A4796"/>
          <w:spacing w:val="-2"/>
          <w:sz w:val="24"/>
        </w:rPr>
        <w:t>Fin</w:t>
      </w:r>
      <w:r>
        <w:rPr>
          <w:rFonts w:ascii="Segoe UI Semibold" w:hAnsi="Segoe UI Semibold"/>
          <w:b/>
          <w:i/>
          <w:color w:val="1A4796"/>
          <w:spacing w:val="-14"/>
          <w:sz w:val="24"/>
        </w:rPr>
        <w:t> </w:t>
      </w:r>
      <w:r>
        <w:rPr>
          <w:rFonts w:ascii="Segoe UI Semibold" w:hAnsi="Segoe UI Semibold"/>
          <w:b/>
          <w:i/>
          <w:color w:val="1A4796"/>
          <w:spacing w:val="-2"/>
          <w:sz w:val="24"/>
        </w:rPr>
        <w:t>avril</w:t>
      </w:r>
      <w:r>
        <w:rPr>
          <w:rFonts w:ascii="Segoe UI Semibold" w:hAnsi="Segoe UI Semibold"/>
          <w:b/>
          <w:i/>
          <w:color w:val="1A4796"/>
          <w:spacing w:val="-2"/>
          <w:sz w:val="24"/>
        </w:rPr>
        <w:t> </w:t>
      </w:r>
      <w:r>
        <w:rPr>
          <w:rFonts w:ascii="Segoe UI Semibold" w:hAnsi="Segoe UI Semibold"/>
          <w:b/>
          <w:i/>
          <w:color w:val="1A4796"/>
          <w:sz w:val="24"/>
        </w:rPr>
        <w:t>2023, le pays comptait 7 947 très petites, petites et moyennes entreprises et 65 </w:t>
      </w:r>
      <w:r>
        <w:rPr>
          <w:rFonts w:ascii="Segoe UI Semibold" w:hAnsi="Segoe UI Semibold"/>
          <w:b/>
          <w:i/>
          <w:color w:val="1A4796"/>
          <w:spacing w:val="-6"/>
          <w:sz w:val="24"/>
        </w:rPr>
        <w:t>coopératives</w:t>
      </w:r>
      <w:r>
        <w:rPr>
          <w:rFonts w:ascii="Segoe UI Semibold" w:hAnsi="Segoe UI Semibold"/>
          <w:b/>
          <w:i/>
          <w:color w:val="1A4796"/>
          <w:spacing w:val="-11"/>
          <w:sz w:val="24"/>
        </w:rPr>
        <w:t> </w:t>
      </w:r>
      <w:r>
        <w:rPr>
          <w:rFonts w:ascii="Segoe UI Semibold" w:hAnsi="Segoe UI Semibold"/>
          <w:b/>
          <w:i/>
          <w:color w:val="1A4796"/>
          <w:spacing w:val="-6"/>
          <w:sz w:val="24"/>
        </w:rPr>
        <w:t>non</w:t>
      </w:r>
      <w:r>
        <w:rPr>
          <w:rFonts w:ascii="Segoe UI Semibold" w:hAnsi="Segoe UI Semibold"/>
          <w:b/>
          <w:i/>
          <w:color w:val="1A4796"/>
          <w:spacing w:val="-10"/>
          <w:sz w:val="24"/>
        </w:rPr>
        <w:t> </w:t>
      </w:r>
      <w:r>
        <w:rPr>
          <w:rFonts w:ascii="Segoe UI Semibold" w:hAnsi="Segoe UI Semibold"/>
          <w:b/>
          <w:i/>
          <w:color w:val="1A4796"/>
          <w:spacing w:val="-6"/>
          <w:sz w:val="24"/>
        </w:rPr>
        <w:t>agricoles</w:t>
      </w:r>
      <w:r>
        <w:rPr>
          <w:rFonts w:ascii="Segoe UI Semibold" w:hAnsi="Segoe UI Semibold"/>
          <w:b/>
          <w:i/>
          <w:color w:val="1A4796"/>
          <w:spacing w:val="-11"/>
          <w:sz w:val="24"/>
        </w:rPr>
        <w:t> </w:t>
      </w:r>
      <w:r>
        <w:rPr>
          <w:rFonts w:ascii="Segoe UI Semibold" w:hAnsi="Segoe UI Semibold"/>
          <w:b/>
          <w:i/>
          <w:color w:val="1A4796"/>
          <w:spacing w:val="-6"/>
          <w:sz w:val="24"/>
        </w:rPr>
        <w:t>qui</w:t>
      </w:r>
      <w:r>
        <w:rPr>
          <w:rFonts w:ascii="Segoe UI Semibold" w:hAnsi="Segoe UI Semibold"/>
          <w:b/>
          <w:i/>
          <w:color w:val="1A4796"/>
          <w:spacing w:val="-10"/>
          <w:sz w:val="24"/>
        </w:rPr>
        <w:t> </w:t>
      </w:r>
      <w:r>
        <w:rPr>
          <w:rFonts w:ascii="Segoe UI Semibold" w:hAnsi="Segoe UI Semibold"/>
          <w:b/>
          <w:i/>
          <w:color w:val="1A4796"/>
          <w:spacing w:val="-6"/>
          <w:sz w:val="24"/>
        </w:rPr>
        <w:t>employaient </w:t>
      </w:r>
      <w:r>
        <w:rPr>
          <w:rFonts w:ascii="Segoe UI Semibold" w:hAnsi="Segoe UI Semibold"/>
          <w:b/>
          <w:i/>
          <w:color w:val="1A4796"/>
          <w:sz w:val="24"/>
        </w:rPr>
        <w:t>212 479 travailleurs.</w:t>
      </w:r>
    </w:p>
    <w:p>
      <w:pPr>
        <w:spacing w:before="160"/>
        <w:ind w:left="412" w:right="1471" w:firstLine="0"/>
        <w:jc w:val="both"/>
        <w:rPr>
          <w:rFonts w:ascii="Segoe UI Semibold" w:hAnsi="Segoe UI Semibold"/>
          <w:b/>
          <w:i/>
          <w:sz w:val="24"/>
        </w:rPr>
      </w:pPr>
      <w:r>
        <w:rPr>
          <w:rFonts w:ascii="Segoe UI Semibold" w:hAnsi="Segoe UI Semibold"/>
          <w:b/>
          <w:i/>
          <w:color w:val="1A4796"/>
          <w:sz w:val="24"/>
        </w:rPr>
        <w:t>Le principal facteur qui a empêché</w:t>
      </w:r>
      <w:r>
        <w:rPr>
          <w:rFonts w:ascii="Segoe UI Semibold" w:hAnsi="Segoe UI Semibold"/>
          <w:b/>
          <w:i/>
          <w:color w:val="1A4796"/>
          <w:sz w:val="24"/>
        </w:rPr>
        <w:t> l’économie d’avancer d’une manière</w:t>
      </w:r>
      <w:r>
        <w:rPr>
          <w:rFonts w:ascii="Segoe UI Semibold" w:hAnsi="Segoe UI Semibold"/>
          <w:b/>
          <w:i/>
          <w:color w:val="1A4796"/>
          <w:spacing w:val="80"/>
          <w:sz w:val="24"/>
        </w:rPr>
        <w:t> </w:t>
      </w:r>
      <w:r>
        <w:rPr>
          <w:rFonts w:ascii="Segoe UI Semibold" w:hAnsi="Segoe UI Semibold"/>
          <w:b/>
          <w:i/>
          <w:color w:val="1A4796"/>
          <w:sz w:val="24"/>
        </w:rPr>
        <w:t>plus rapide et plus dynamique, c’est l’impossibilité d’atteindre les revenus d’exportation escomptés. À cet égard, le manque à gagner causé par le blocus se chiffre à 1 808 000 000 dollars, soit 37 p. 100 du total des préjudices.</w:t>
      </w:r>
    </w:p>
    <w:p>
      <w:pPr>
        <w:spacing w:before="159"/>
        <w:ind w:left="412" w:right="1471" w:firstLine="0"/>
        <w:jc w:val="both"/>
        <w:rPr>
          <w:sz w:val="24"/>
        </w:rPr>
      </w:pPr>
      <w:r>
        <w:rPr>
          <w:i/>
          <w:color w:val="231F20"/>
          <w:sz w:val="24"/>
        </w:rPr>
        <w:t>Par</w:t>
      </w:r>
      <w:r>
        <w:rPr>
          <w:i/>
          <w:color w:val="231F20"/>
          <w:spacing w:val="-16"/>
          <w:sz w:val="24"/>
        </w:rPr>
        <w:t> </w:t>
      </w:r>
      <w:r>
        <w:rPr>
          <w:i/>
          <w:color w:val="231F20"/>
          <w:sz w:val="24"/>
        </w:rPr>
        <w:t>exemple,</w:t>
      </w:r>
      <w:r>
        <w:rPr>
          <w:i/>
          <w:color w:val="231F20"/>
          <w:spacing w:val="-16"/>
          <w:sz w:val="24"/>
        </w:rPr>
        <w:t> </w:t>
      </w:r>
      <w:r>
        <w:rPr>
          <w:i/>
          <w:color w:val="231F20"/>
          <w:sz w:val="24"/>
        </w:rPr>
        <w:t>un</w:t>
      </w:r>
      <w:r>
        <w:rPr>
          <w:i/>
          <w:color w:val="231F20"/>
          <w:spacing w:val="-16"/>
          <w:sz w:val="24"/>
        </w:rPr>
        <w:t> </w:t>
      </w:r>
      <w:r>
        <w:rPr>
          <w:i/>
          <w:color w:val="231F20"/>
          <w:sz w:val="24"/>
        </w:rPr>
        <w:t>des</w:t>
      </w:r>
      <w:r>
        <w:rPr>
          <w:i/>
          <w:color w:val="231F20"/>
          <w:spacing w:val="-16"/>
          <w:sz w:val="24"/>
        </w:rPr>
        <w:t> </w:t>
      </w:r>
      <w:r>
        <w:rPr>
          <w:i/>
          <w:color w:val="231F20"/>
          <w:sz w:val="24"/>
        </w:rPr>
        <w:t>facteurs</w:t>
      </w:r>
      <w:r>
        <w:rPr>
          <w:i/>
          <w:color w:val="231F20"/>
          <w:spacing w:val="-16"/>
          <w:sz w:val="24"/>
        </w:rPr>
        <w:t> </w:t>
      </w:r>
      <w:r>
        <w:rPr>
          <w:i/>
          <w:color w:val="231F20"/>
          <w:sz w:val="24"/>
        </w:rPr>
        <w:t>qui</w:t>
      </w:r>
      <w:r>
        <w:rPr>
          <w:i/>
          <w:color w:val="231F20"/>
          <w:spacing w:val="-16"/>
          <w:sz w:val="24"/>
        </w:rPr>
        <w:t> </w:t>
      </w:r>
      <w:r>
        <w:rPr>
          <w:i/>
          <w:color w:val="231F20"/>
          <w:sz w:val="24"/>
        </w:rPr>
        <w:t>expliquent</w:t>
      </w:r>
      <w:r>
        <w:rPr>
          <w:i/>
          <w:color w:val="231F20"/>
          <w:sz w:val="24"/>
        </w:rPr>
        <w:t> </w:t>
      </w:r>
      <w:r>
        <w:rPr>
          <w:i/>
          <w:color w:val="231F20"/>
          <w:spacing w:val="-4"/>
          <w:sz w:val="24"/>
        </w:rPr>
        <w:t>la</w:t>
      </w:r>
      <w:r>
        <w:rPr>
          <w:i/>
          <w:color w:val="231F20"/>
          <w:spacing w:val="-13"/>
          <w:sz w:val="24"/>
        </w:rPr>
        <w:t> </w:t>
      </w:r>
      <w:r>
        <w:rPr>
          <w:i/>
          <w:color w:val="231F20"/>
          <w:spacing w:val="-4"/>
          <w:sz w:val="24"/>
        </w:rPr>
        <w:t>pénurie</w:t>
      </w:r>
      <w:r>
        <w:rPr>
          <w:i/>
          <w:color w:val="231F20"/>
          <w:spacing w:val="-12"/>
          <w:sz w:val="24"/>
        </w:rPr>
        <w:t> </w:t>
      </w:r>
      <w:r>
        <w:rPr>
          <w:i/>
          <w:color w:val="231F20"/>
          <w:spacing w:val="-4"/>
          <w:sz w:val="24"/>
        </w:rPr>
        <w:t>de</w:t>
      </w:r>
      <w:r>
        <w:rPr>
          <w:i/>
          <w:color w:val="231F20"/>
          <w:spacing w:val="-13"/>
          <w:sz w:val="24"/>
        </w:rPr>
        <w:t> </w:t>
      </w:r>
      <w:r>
        <w:rPr>
          <w:i/>
          <w:color w:val="231F20"/>
          <w:spacing w:val="-4"/>
          <w:sz w:val="24"/>
        </w:rPr>
        <w:t>devises,</w:t>
      </w:r>
      <w:r>
        <w:rPr>
          <w:i/>
          <w:color w:val="231F20"/>
          <w:spacing w:val="-12"/>
          <w:sz w:val="24"/>
        </w:rPr>
        <w:t> </w:t>
      </w:r>
      <w:r>
        <w:rPr>
          <w:i/>
          <w:color w:val="231F20"/>
          <w:spacing w:val="-4"/>
          <w:sz w:val="24"/>
        </w:rPr>
        <w:t>c’est</w:t>
      </w:r>
      <w:r>
        <w:rPr>
          <w:i/>
          <w:color w:val="231F20"/>
          <w:spacing w:val="-13"/>
          <w:sz w:val="24"/>
        </w:rPr>
        <w:t> </w:t>
      </w:r>
      <w:r>
        <w:rPr>
          <w:i/>
          <w:color w:val="231F20"/>
          <w:spacing w:val="-4"/>
          <w:sz w:val="24"/>
        </w:rPr>
        <w:t>que</w:t>
      </w:r>
      <w:r>
        <w:rPr>
          <w:i/>
          <w:color w:val="231F20"/>
          <w:spacing w:val="-12"/>
          <w:sz w:val="24"/>
        </w:rPr>
        <w:t> </w:t>
      </w:r>
      <w:r>
        <w:rPr>
          <w:i/>
          <w:color w:val="231F20"/>
          <w:spacing w:val="-4"/>
          <w:sz w:val="24"/>
        </w:rPr>
        <w:t>la</w:t>
      </w:r>
      <w:r>
        <w:rPr>
          <w:i/>
          <w:color w:val="231F20"/>
          <w:spacing w:val="-13"/>
          <w:sz w:val="24"/>
        </w:rPr>
        <w:t> </w:t>
      </w:r>
      <w:r>
        <w:rPr>
          <w:i/>
          <w:color w:val="231F20"/>
          <w:spacing w:val="-4"/>
          <w:sz w:val="24"/>
        </w:rPr>
        <w:t>quantité</w:t>
      </w:r>
      <w:r>
        <w:rPr>
          <w:i/>
          <w:color w:val="231F20"/>
          <w:spacing w:val="-12"/>
          <w:sz w:val="24"/>
        </w:rPr>
        <w:t> </w:t>
      </w:r>
      <w:r>
        <w:rPr>
          <w:i/>
          <w:color w:val="231F20"/>
          <w:spacing w:val="-4"/>
          <w:sz w:val="24"/>
        </w:rPr>
        <w:t>de </w:t>
      </w:r>
      <w:r>
        <w:rPr>
          <w:i/>
          <w:color w:val="231F20"/>
          <w:sz w:val="24"/>
        </w:rPr>
        <w:t>touristes</w:t>
      </w:r>
      <w:r>
        <w:rPr>
          <w:i/>
          <w:color w:val="231F20"/>
          <w:spacing w:val="-17"/>
          <w:sz w:val="24"/>
        </w:rPr>
        <w:t> </w:t>
      </w:r>
      <w:r>
        <w:rPr>
          <w:i/>
          <w:color w:val="231F20"/>
          <w:sz w:val="24"/>
        </w:rPr>
        <w:t>étrangers</w:t>
      </w:r>
      <w:r>
        <w:rPr>
          <w:i/>
          <w:color w:val="231F20"/>
          <w:spacing w:val="-16"/>
          <w:sz w:val="24"/>
        </w:rPr>
        <w:t> </w:t>
      </w:r>
      <w:r>
        <w:rPr>
          <w:i/>
          <w:color w:val="231F20"/>
          <w:sz w:val="24"/>
        </w:rPr>
        <w:t>escomptée</w:t>
      </w:r>
      <w:r>
        <w:rPr>
          <w:i/>
          <w:color w:val="231F20"/>
          <w:spacing w:val="-17"/>
          <w:sz w:val="24"/>
        </w:rPr>
        <w:t> </w:t>
      </w:r>
      <w:r>
        <w:rPr>
          <w:i/>
          <w:color w:val="231F20"/>
          <w:sz w:val="24"/>
        </w:rPr>
        <w:t>(2,5</w:t>
      </w:r>
      <w:r>
        <w:rPr>
          <w:i/>
          <w:color w:val="231F20"/>
          <w:spacing w:val="-16"/>
          <w:sz w:val="24"/>
        </w:rPr>
        <w:t> </w:t>
      </w:r>
      <w:r>
        <w:rPr>
          <w:i/>
          <w:color w:val="231F20"/>
          <w:sz w:val="24"/>
        </w:rPr>
        <w:t>millions) en 2022 n’a pas été atteinte : seulement 1 614</w:t>
      </w:r>
      <w:r>
        <w:rPr>
          <w:i/>
          <w:color w:val="231F20"/>
          <w:spacing w:val="-12"/>
          <w:sz w:val="24"/>
        </w:rPr>
        <w:t> </w:t>
      </w:r>
      <w:r>
        <w:rPr>
          <w:i/>
          <w:color w:val="231F20"/>
          <w:sz w:val="24"/>
        </w:rPr>
        <w:t>087</w:t>
      </w:r>
      <w:r>
        <w:rPr>
          <w:i/>
          <w:color w:val="231F20"/>
          <w:spacing w:val="-12"/>
          <w:sz w:val="24"/>
        </w:rPr>
        <w:t> </w:t>
      </w:r>
      <w:r>
        <w:rPr>
          <w:i/>
          <w:color w:val="231F20"/>
          <w:sz w:val="24"/>
        </w:rPr>
        <w:t>visiteurs,</w:t>
      </w:r>
      <w:r>
        <w:rPr>
          <w:i/>
          <w:color w:val="231F20"/>
          <w:spacing w:val="-12"/>
          <w:sz w:val="24"/>
        </w:rPr>
        <w:t> </w:t>
      </w:r>
      <w:r>
        <w:rPr>
          <w:i/>
          <w:color w:val="231F20"/>
          <w:sz w:val="24"/>
        </w:rPr>
        <w:t>soit</w:t>
      </w:r>
      <w:r>
        <w:rPr>
          <w:i/>
          <w:color w:val="231F20"/>
          <w:spacing w:val="-12"/>
          <w:sz w:val="24"/>
        </w:rPr>
        <w:t> </w:t>
      </w:r>
      <w:r>
        <w:rPr>
          <w:i/>
          <w:color w:val="231F20"/>
          <w:sz w:val="24"/>
        </w:rPr>
        <w:t>64,6</w:t>
      </w:r>
      <w:r>
        <w:rPr>
          <w:i/>
          <w:color w:val="231F20"/>
          <w:spacing w:val="-12"/>
          <w:sz w:val="24"/>
        </w:rPr>
        <w:t> </w:t>
      </w:r>
      <w:r>
        <w:rPr>
          <w:i/>
          <w:color w:val="231F20"/>
          <w:sz w:val="24"/>
        </w:rPr>
        <w:t>p.</w:t>
      </w:r>
      <w:r>
        <w:rPr>
          <w:i/>
          <w:color w:val="231F20"/>
          <w:spacing w:val="-12"/>
          <w:sz w:val="24"/>
        </w:rPr>
        <w:t> </w:t>
      </w:r>
      <w:r>
        <w:rPr>
          <w:i/>
          <w:color w:val="231F20"/>
          <w:sz w:val="24"/>
        </w:rPr>
        <w:t>100</w:t>
      </w:r>
      <w:r>
        <w:rPr>
          <w:i/>
          <w:color w:val="231F20"/>
          <w:spacing w:val="-12"/>
          <w:sz w:val="24"/>
        </w:rPr>
        <w:t> </w:t>
      </w:r>
      <w:r>
        <w:rPr>
          <w:i/>
          <w:color w:val="231F20"/>
          <w:sz w:val="24"/>
        </w:rPr>
        <w:t>du</w:t>
      </w:r>
      <w:r>
        <w:rPr>
          <w:i/>
          <w:color w:val="231F20"/>
          <w:spacing w:val="-12"/>
          <w:sz w:val="24"/>
        </w:rPr>
        <w:t> </w:t>
      </w:r>
      <w:r>
        <w:rPr>
          <w:i/>
          <w:color w:val="231F20"/>
          <w:sz w:val="24"/>
        </w:rPr>
        <w:t>chiffre </w:t>
      </w:r>
      <w:r>
        <w:rPr>
          <w:i/>
          <w:color w:val="231F20"/>
          <w:spacing w:val="-2"/>
          <w:sz w:val="24"/>
        </w:rPr>
        <w:t>prévu,</w:t>
      </w:r>
      <w:r>
        <w:rPr>
          <w:i/>
          <w:color w:val="231F20"/>
          <w:spacing w:val="-15"/>
          <w:sz w:val="24"/>
        </w:rPr>
        <w:t> </w:t>
      </w:r>
      <w:r>
        <w:rPr>
          <w:i/>
          <w:color w:val="231F20"/>
          <w:spacing w:val="-2"/>
          <w:sz w:val="24"/>
        </w:rPr>
        <w:t>et</w:t>
      </w:r>
      <w:r>
        <w:rPr>
          <w:i/>
          <w:color w:val="231F20"/>
          <w:spacing w:val="-14"/>
          <w:sz w:val="24"/>
        </w:rPr>
        <w:t> </w:t>
      </w:r>
      <w:r>
        <w:rPr>
          <w:i/>
          <w:color w:val="231F20"/>
          <w:spacing w:val="-2"/>
          <w:sz w:val="24"/>
        </w:rPr>
        <w:t>seulement</w:t>
      </w:r>
      <w:r>
        <w:rPr>
          <w:i/>
          <w:color w:val="231F20"/>
          <w:spacing w:val="-15"/>
          <w:sz w:val="24"/>
        </w:rPr>
        <w:t> </w:t>
      </w:r>
      <w:r>
        <w:rPr>
          <w:i/>
          <w:color w:val="231F20"/>
          <w:spacing w:val="-2"/>
          <w:sz w:val="24"/>
        </w:rPr>
        <w:t>37,8</w:t>
      </w:r>
      <w:r>
        <w:rPr>
          <w:i/>
          <w:color w:val="231F20"/>
          <w:spacing w:val="-14"/>
          <w:sz w:val="24"/>
        </w:rPr>
        <w:t> </w:t>
      </w:r>
      <w:r>
        <w:rPr>
          <w:i/>
          <w:color w:val="231F20"/>
          <w:spacing w:val="-2"/>
          <w:sz w:val="24"/>
        </w:rPr>
        <w:t>p.</w:t>
      </w:r>
      <w:r>
        <w:rPr>
          <w:i/>
          <w:color w:val="231F20"/>
          <w:spacing w:val="-15"/>
          <w:sz w:val="24"/>
        </w:rPr>
        <w:t> </w:t>
      </w:r>
      <w:r>
        <w:rPr>
          <w:i/>
          <w:color w:val="231F20"/>
          <w:spacing w:val="-2"/>
          <w:sz w:val="24"/>
        </w:rPr>
        <w:t>100</w:t>
      </w:r>
      <w:r>
        <w:rPr>
          <w:i/>
          <w:color w:val="231F20"/>
          <w:spacing w:val="-14"/>
          <w:sz w:val="24"/>
        </w:rPr>
        <w:t> </w:t>
      </w:r>
      <w:r>
        <w:rPr>
          <w:i/>
          <w:color w:val="231F20"/>
          <w:spacing w:val="-2"/>
          <w:sz w:val="24"/>
        </w:rPr>
        <w:t>du</w:t>
      </w:r>
      <w:r>
        <w:rPr>
          <w:i/>
          <w:color w:val="231F20"/>
          <w:spacing w:val="-15"/>
          <w:sz w:val="24"/>
        </w:rPr>
        <w:t> </w:t>
      </w:r>
      <w:r>
        <w:rPr>
          <w:i/>
          <w:color w:val="231F20"/>
          <w:spacing w:val="-2"/>
          <w:sz w:val="24"/>
        </w:rPr>
        <w:t>chiffre</w:t>
      </w:r>
      <w:r>
        <w:rPr>
          <w:i/>
          <w:color w:val="231F20"/>
          <w:spacing w:val="-14"/>
          <w:sz w:val="24"/>
        </w:rPr>
        <w:t> </w:t>
      </w:r>
      <w:r>
        <w:rPr>
          <w:i/>
          <w:color w:val="231F20"/>
          <w:spacing w:val="-2"/>
          <w:sz w:val="24"/>
        </w:rPr>
        <w:t>de </w:t>
      </w:r>
      <w:r>
        <w:rPr>
          <w:i/>
          <w:color w:val="231F20"/>
          <w:sz w:val="24"/>
        </w:rPr>
        <w:t>2019.</w:t>
      </w:r>
      <w:r>
        <w:rPr>
          <w:i/>
          <w:color w:val="231F20"/>
          <w:spacing w:val="-17"/>
          <w:sz w:val="24"/>
        </w:rPr>
        <w:t> </w:t>
      </w:r>
      <w:r>
        <w:rPr>
          <w:color w:val="231F20"/>
          <w:sz w:val="24"/>
        </w:rPr>
        <w:t>Cet</w:t>
      </w:r>
      <w:r>
        <w:rPr>
          <w:color w:val="231F20"/>
          <w:spacing w:val="-16"/>
          <w:sz w:val="24"/>
        </w:rPr>
        <w:t> </w:t>
      </w:r>
      <w:r>
        <w:rPr>
          <w:color w:val="231F20"/>
          <w:sz w:val="24"/>
        </w:rPr>
        <w:t>échec</w:t>
      </w:r>
      <w:r>
        <w:rPr>
          <w:color w:val="231F20"/>
          <w:spacing w:val="-17"/>
          <w:sz w:val="24"/>
        </w:rPr>
        <w:t> </w:t>
      </w:r>
      <w:r>
        <w:rPr>
          <w:color w:val="231F20"/>
          <w:sz w:val="24"/>
        </w:rPr>
        <w:t>s’explique</w:t>
      </w:r>
      <w:r>
        <w:rPr>
          <w:color w:val="231F20"/>
          <w:spacing w:val="-16"/>
          <w:sz w:val="24"/>
        </w:rPr>
        <w:t> </w:t>
      </w:r>
      <w:r>
        <w:rPr>
          <w:color w:val="231F20"/>
          <w:sz w:val="24"/>
        </w:rPr>
        <w:t>une</w:t>
      </w:r>
      <w:r>
        <w:rPr>
          <w:color w:val="231F20"/>
          <w:spacing w:val="-17"/>
          <w:sz w:val="24"/>
        </w:rPr>
        <w:t> </w:t>
      </w:r>
      <w:r>
        <w:rPr>
          <w:color w:val="231F20"/>
          <w:sz w:val="24"/>
        </w:rPr>
        <w:t>fois</w:t>
      </w:r>
      <w:r>
        <w:rPr>
          <w:color w:val="231F20"/>
          <w:spacing w:val="-16"/>
          <w:sz w:val="24"/>
        </w:rPr>
        <w:t> </w:t>
      </w:r>
      <w:r>
        <w:rPr>
          <w:color w:val="231F20"/>
          <w:sz w:val="24"/>
        </w:rPr>
        <w:t>de</w:t>
      </w:r>
      <w:r>
        <w:rPr>
          <w:color w:val="231F20"/>
          <w:spacing w:val="-17"/>
          <w:sz w:val="24"/>
        </w:rPr>
        <w:t> </w:t>
      </w:r>
      <w:r>
        <w:rPr>
          <w:color w:val="231F20"/>
          <w:sz w:val="24"/>
        </w:rPr>
        <w:t>plus </w:t>
      </w:r>
      <w:r>
        <w:rPr>
          <w:color w:val="231F20"/>
          <w:spacing w:val="-8"/>
          <w:sz w:val="24"/>
        </w:rPr>
        <w:t>par la politique de blocus de l’administration </w:t>
      </w:r>
      <w:r>
        <w:rPr>
          <w:color w:val="231F20"/>
          <w:sz w:val="24"/>
        </w:rPr>
        <w:t>étasunienne qui vise en particulier </w:t>
      </w:r>
      <w:r>
        <w:rPr>
          <w:color w:val="231F20"/>
          <w:sz w:val="24"/>
        </w:rPr>
        <w:t>à empêcher la relance de notre tourisme, </w:t>
      </w:r>
      <w:r>
        <w:rPr>
          <w:color w:val="231F20"/>
          <w:spacing w:val="-4"/>
          <w:sz w:val="24"/>
        </w:rPr>
        <w:t>principale</w:t>
      </w:r>
      <w:r>
        <w:rPr>
          <w:color w:val="231F20"/>
          <w:spacing w:val="-8"/>
          <w:sz w:val="24"/>
        </w:rPr>
        <w:t> </w:t>
      </w:r>
      <w:r>
        <w:rPr>
          <w:color w:val="231F20"/>
          <w:spacing w:val="-4"/>
          <w:sz w:val="24"/>
        </w:rPr>
        <w:t>source</w:t>
      </w:r>
      <w:r>
        <w:rPr>
          <w:color w:val="231F20"/>
          <w:spacing w:val="-8"/>
          <w:sz w:val="24"/>
        </w:rPr>
        <w:t> </w:t>
      </w:r>
      <w:r>
        <w:rPr>
          <w:color w:val="231F20"/>
          <w:spacing w:val="-4"/>
          <w:sz w:val="24"/>
        </w:rPr>
        <w:t>de</w:t>
      </w:r>
      <w:r>
        <w:rPr>
          <w:color w:val="231F20"/>
          <w:spacing w:val="-8"/>
          <w:sz w:val="24"/>
        </w:rPr>
        <w:t> </w:t>
      </w:r>
      <w:r>
        <w:rPr>
          <w:color w:val="231F20"/>
          <w:spacing w:val="-4"/>
          <w:sz w:val="24"/>
        </w:rPr>
        <w:t>revenus</w:t>
      </w:r>
      <w:r>
        <w:rPr>
          <w:color w:val="231F20"/>
          <w:spacing w:val="-8"/>
          <w:sz w:val="24"/>
        </w:rPr>
        <w:t> </w:t>
      </w:r>
      <w:r>
        <w:rPr>
          <w:color w:val="231F20"/>
          <w:spacing w:val="-4"/>
          <w:sz w:val="24"/>
        </w:rPr>
        <w:t>de</w:t>
      </w:r>
      <w:r>
        <w:rPr>
          <w:color w:val="231F20"/>
          <w:spacing w:val="-8"/>
          <w:sz w:val="24"/>
        </w:rPr>
        <w:t> </w:t>
      </w:r>
      <w:r>
        <w:rPr>
          <w:color w:val="231F20"/>
          <w:spacing w:val="-4"/>
          <w:sz w:val="24"/>
        </w:rPr>
        <w:t>notre</w:t>
      </w:r>
      <w:r>
        <w:rPr>
          <w:color w:val="231F20"/>
          <w:spacing w:val="-8"/>
          <w:sz w:val="24"/>
        </w:rPr>
        <w:t> </w:t>
      </w:r>
      <w:r>
        <w:rPr>
          <w:color w:val="231F20"/>
          <w:spacing w:val="-4"/>
          <w:sz w:val="24"/>
        </w:rPr>
        <w:t>pays, </w:t>
      </w:r>
      <w:r>
        <w:rPr>
          <w:color w:val="231F20"/>
          <w:sz w:val="24"/>
        </w:rPr>
        <w:t>jouant pour cela sur l’accumulation de plusieurs</w:t>
      </w:r>
      <w:r>
        <w:rPr>
          <w:color w:val="231F20"/>
          <w:spacing w:val="43"/>
          <w:sz w:val="24"/>
        </w:rPr>
        <w:t> </w:t>
      </w:r>
      <w:r>
        <w:rPr>
          <w:color w:val="231F20"/>
          <w:sz w:val="24"/>
        </w:rPr>
        <w:t>mesures</w:t>
      </w:r>
      <w:r>
        <w:rPr>
          <w:color w:val="231F20"/>
          <w:spacing w:val="43"/>
          <w:sz w:val="24"/>
        </w:rPr>
        <w:t> </w:t>
      </w:r>
      <w:r>
        <w:rPr>
          <w:color w:val="231F20"/>
          <w:sz w:val="24"/>
        </w:rPr>
        <w:t>coercitives</w:t>
      </w:r>
      <w:r>
        <w:rPr>
          <w:color w:val="231F20"/>
          <w:spacing w:val="43"/>
          <w:sz w:val="24"/>
        </w:rPr>
        <w:t> </w:t>
      </w:r>
      <w:r>
        <w:rPr>
          <w:color w:val="231F20"/>
          <w:spacing w:val="-5"/>
          <w:sz w:val="24"/>
        </w:rPr>
        <w:t>unilatérales</w:t>
      </w:r>
    </w:p>
    <w:p>
      <w:pPr>
        <w:pStyle w:val="BodyText"/>
        <w:spacing w:before="11"/>
        <w:ind w:left="412" w:right="1476"/>
      </w:pPr>
      <w:r>
        <w:rPr>
          <w:color w:val="231F20"/>
        </w:rPr>
        <w:t>:</w:t>
      </w:r>
      <w:r>
        <w:rPr>
          <w:color w:val="231F20"/>
          <w:spacing w:val="-4"/>
        </w:rPr>
        <w:t> </w:t>
      </w:r>
      <w:r>
        <w:rPr>
          <w:color w:val="231F20"/>
        </w:rPr>
        <w:t>l’inscription</w:t>
      </w:r>
      <w:r>
        <w:rPr>
          <w:color w:val="231F20"/>
          <w:spacing w:val="-4"/>
        </w:rPr>
        <w:t> </w:t>
      </w:r>
      <w:r>
        <w:rPr>
          <w:color w:val="231F20"/>
        </w:rPr>
        <w:t>de</w:t>
      </w:r>
      <w:r>
        <w:rPr>
          <w:color w:val="231F20"/>
          <w:spacing w:val="-4"/>
        </w:rPr>
        <w:t> </w:t>
      </w:r>
      <w:r>
        <w:rPr>
          <w:color w:val="231F20"/>
        </w:rPr>
        <w:t>Cuba</w:t>
      </w:r>
      <w:r>
        <w:rPr>
          <w:color w:val="231F20"/>
          <w:spacing w:val="-4"/>
        </w:rPr>
        <w:t> </w:t>
      </w:r>
      <w:r>
        <w:rPr>
          <w:color w:val="231F20"/>
        </w:rPr>
        <w:t>sur</w:t>
      </w:r>
      <w:r>
        <w:rPr>
          <w:color w:val="231F20"/>
          <w:spacing w:val="-4"/>
        </w:rPr>
        <w:t> </w:t>
      </w:r>
      <w:r>
        <w:rPr>
          <w:color w:val="231F20"/>
        </w:rPr>
        <w:t>la</w:t>
      </w:r>
      <w:r>
        <w:rPr>
          <w:color w:val="231F20"/>
          <w:spacing w:val="-4"/>
        </w:rPr>
        <w:t> </w:t>
      </w:r>
      <w:r>
        <w:rPr>
          <w:color w:val="231F20"/>
        </w:rPr>
        <w:t>liste</w:t>
      </w:r>
      <w:r>
        <w:rPr>
          <w:color w:val="231F20"/>
          <w:spacing w:val="-4"/>
        </w:rPr>
        <w:t> </w:t>
      </w:r>
      <w:r>
        <w:rPr>
          <w:color w:val="231F20"/>
        </w:rPr>
        <w:t>des</w:t>
      </w:r>
      <w:r>
        <w:rPr>
          <w:color w:val="231F20"/>
          <w:spacing w:val="-4"/>
        </w:rPr>
        <w:t> </w:t>
      </w:r>
      <w:r>
        <w:rPr>
          <w:color w:val="231F20"/>
        </w:rPr>
        <w:t>États </w:t>
      </w:r>
      <w:r>
        <w:rPr>
          <w:color w:val="231F20"/>
          <w:spacing w:val="-6"/>
        </w:rPr>
        <w:t>censément</w:t>
      </w:r>
      <w:r>
        <w:rPr>
          <w:color w:val="231F20"/>
          <w:spacing w:val="-11"/>
        </w:rPr>
        <w:t> </w:t>
      </w:r>
      <w:r>
        <w:rPr>
          <w:color w:val="231F20"/>
          <w:spacing w:val="-6"/>
        </w:rPr>
        <w:t>commanditaires</w:t>
      </w:r>
      <w:r>
        <w:rPr>
          <w:color w:val="231F20"/>
          <w:spacing w:val="-10"/>
        </w:rPr>
        <w:t> </w:t>
      </w:r>
      <w:r>
        <w:rPr>
          <w:color w:val="231F20"/>
          <w:spacing w:val="-6"/>
        </w:rPr>
        <w:t>de</w:t>
      </w:r>
      <w:r>
        <w:rPr>
          <w:color w:val="231F20"/>
          <w:spacing w:val="-11"/>
        </w:rPr>
        <w:t> </w:t>
      </w:r>
      <w:r>
        <w:rPr>
          <w:color w:val="231F20"/>
          <w:spacing w:val="-6"/>
        </w:rPr>
        <w:t>terrorisme</w:t>
      </w:r>
      <w:r>
        <w:rPr>
          <w:color w:val="231F20"/>
          <w:spacing w:val="-10"/>
        </w:rPr>
        <w:t> </w:t>
      </w:r>
      <w:r>
        <w:rPr>
          <w:color w:val="231F20"/>
          <w:spacing w:val="-6"/>
        </w:rPr>
        <w:t>et </w:t>
      </w:r>
      <w:r>
        <w:rPr>
          <w:color w:val="231F20"/>
          <w:spacing w:val="-8"/>
        </w:rPr>
        <w:t>le maintien sur la Liste des « entités cubaines </w:t>
      </w:r>
      <w:r>
        <w:rPr>
          <w:color w:val="231F20"/>
          <w:spacing w:val="-4"/>
        </w:rPr>
        <w:t>frappées</w:t>
      </w:r>
      <w:r>
        <w:rPr>
          <w:color w:val="231F20"/>
          <w:spacing w:val="-11"/>
        </w:rPr>
        <w:t> </w:t>
      </w:r>
      <w:r>
        <w:rPr>
          <w:color w:val="231F20"/>
          <w:spacing w:val="-4"/>
        </w:rPr>
        <w:t>de</w:t>
      </w:r>
      <w:r>
        <w:rPr>
          <w:color w:val="231F20"/>
          <w:spacing w:val="-11"/>
        </w:rPr>
        <w:t> </w:t>
      </w:r>
      <w:r>
        <w:rPr>
          <w:color w:val="231F20"/>
          <w:spacing w:val="-4"/>
        </w:rPr>
        <w:t>restriction</w:t>
      </w:r>
      <w:r>
        <w:rPr>
          <w:color w:val="231F20"/>
          <w:spacing w:val="-11"/>
        </w:rPr>
        <w:t> </w:t>
      </w:r>
      <w:r>
        <w:rPr>
          <w:color w:val="231F20"/>
          <w:spacing w:val="-4"/>
        </w:rPr>
        <w:t>»</w:t>
      </w:r>
      <w:r>
        <w:rPr>
          <w:color w:val="231F20"/>
          <w:spacing w:val="-11"/>
        </w:rPr>
        <w:t> </w:t>
      </w:r>
      <w:r>
        <w:rPr>
          <w:color w:val="231F20"/>
          <w:spacing w:val="-4"/>
        </w:rPr>
        <w:t>de</w:t>
      </w:r>
      <w:r>
        <w:rPr>
          <w:color w:val="231F20"/>
          <w:spacing w:val="-11"/>
        </w:rPr>
        <w:t> </w:t>
      </w:r>
      <w:r>
        <w:rPr>
          <w:color w:val="231F20"/>
          <w:spacing w:val="-4"/>
        </w:rPr>
        <w:t>la</w:t>
      </w:r>
      <w:r>
        <w:rPr>
          <w:color w:val="231F20"/>
          <w:spacing w:val="-11"/>
        </w:rPr>
        <w:t> </w:t>
      </w:r>
      <w:r>
        <w:rPr>
          <w:color w:val="231F20"/>
          <w:spacing w:val="-4"/>
        </w:rPr>
        <w:t>quasi-totalité </w:t>
      </w:r>
      <w:r>
        <w:rPr>
          <w:color w:val="231F20"/>
        </w:rPr>
        <w:t>des installations hôtelières cubaines, ce qui explique la diminution du nombre de touristes étrangers.</w:t>
      </w:r>
    </w:p>
    <w:p>
      <w:pPr>
        <w:spacing w:before="165"/>
        <w:ind w:left="412" w:right="1476" w:firstLine="0"/>
        <w:jc w:val="both"/>
        <w:rPr>
          <w:sz w:val="24"/>
        </w:rPr>
      </w:pPr>
      <w:r>
        <w:rPr>
          <w:color w:val="231F20"/>
          <w:spacing w:val="-2"/>
          <w:sz w:val="24"/>
        </w:rPr>
        <w:t>Le</w:t>
      </w:r>
      <w:r>
        <w:rPr>
          <w:color w:val="231F20"/>
          <w:spacing w:val="-15"/>
          <w:sz w:val="24"/>
        </w:rPr>
        <w:t> </w:t>
      </w:r>
      <w:r>
        <w:rPr>
          <w:color w:val="231F20"/>
          <w:spacing w:val="-2"/>
          <w:sz w:val="24"/>
        </w:rPr>
        <w:t>manque</w:t>
      </w:r>
      <w:r>
        <w:rPr>
          <w:color w:val="231F20"/>
          <w:spacing w:val="-14"/>
          <w:sz w:val="24"/>
        </w:rPr>
        <w:t> </w:t>
      </w:r>
      <w:r>
        <w:rPr>
          <w:color w:val="231F20"/>
          <w:spacing w:val="-2"/>
          <w:sz w:val="24"/>
        </w:rPr>
        <w:t>à</w:t>
      </w:r>
      <w:r>
        <w:rPr>
          <w:color w:val="231F20"/>
          <w:spacing w:val="-15"/>
          <w:sz w:val="24"/>
        </w:rPr>
        <w:t> </w:t>
      </w:r>
      <w:r>
        <w:rPr>
          <w:color w:val="231F20"/>
          <w:spacing w:val="-2"/>
          <w:sz w:val="24"/>
        </w:rPr>
        <w:t>gagner</w:t>
      </w:r>
      <w:r>
        <w:rPr>
          <w:color w:val="231F20"/>
          <w:spacing w:val="-14"/>
          <w:sz w:val="24"/>
        </w:rPr>
        <w:t> </w:t>
      </w:r>
      <w:r>
        <w:rPr>
          <w:color w:val="231F20"/>
          <w:spacing w:val="-2"/>
          <w:sz w:val="24"/>
        </w:rPr>
        <w:t>causé</w:t>
      </w:r>
      <w:r>
        <w:rPr>
          <w:color w:val="231F20"/>
          <w:spacing w:val="-15"/>
          <w:sz w:val="24"/>
        </w:rPr>
        <w:t> </w:t>
      </w:r>
      <w:r>
        <w:rPr>
          <w:color w:val="231F20"/>
          <w:spacing w:val="-2"/>
          <w:sz w:val="24"/>
        </w:rPr>
        <w:t>par</w:t>
      </w:r>
      <w:r>
        <w:rPr>
          <w:color w:val="231F20"/>
          <w:spacing w:val="-14"/>
          <w:sz w:val="24"/>
        </w:rPr>
        <w:t> </w:t>
      </w:r>
      <w:r>
        <w:rPr>
          <w:color w:val="231F20"/>
          <w:spacing w:val="-2"/>
          <w:sz w:val="24"/>
        </w:rPr>
        <w:t>le</w:t>
      </w:r>
      <w:r>
        <w:rPr>
          <w:color w:val="231F20"/>
          <w:spacing w:val="-15"/>
          <w:sz w:val="24"/>
        </w:rPr>
        <w:t> </w:t>
      </w:r>
      <w:r>
        <w:rPr>
          <w:color w:val="231F20"/>
          <w:spacing w:val="-2"/>
          <w:sz w:val="24"/>
        </w:rPr>
        <w:t>blocus</w:t>
      </w:r>
      <w:r>
        <w:rPr>
          <w:color w:val="231F20"/>
          <w:spacing w:val="-14"/>
          <w:sz w:val="24"/>
        </w:rPr>
        <w:t> </w:t>
      </w:r>
      <w:r>
        <w:rPr>
          <w:color w:val="231F20"/>
          <w:spacing w:val="-2"/>
          <w:sz w:val="24"/>
        </w:rPr>
        <w:t>au </w:t>
      </w:r>
      <w:r>
        <w:rPr>
          <w:color w:val="231F20"/>
          <w:sz w:val="24"/>
        </w:rPr>
        <w:t>tourisme</w:t>
      </w:r>
      <w:r>
        <w:rPr>
          <w:color w:val="231F20"/>
          <w:spacing w:val="-17"/>
          <w:sz w:val="24"/>
        </w:rPr>
        <w:t> </w:t>
      </w:r>
      <w:r>
        <w:rPr>
          <w:color w:val="231F20"/>
          <w:sz w:val="24"/>
        </w:rPr>
        <w:t>se</w:t>
      </w:r>
      <w:r>
        <w:rPr>
          <w:color w:val="231F20"/>
          <w:spacing w:val="-16"/>
          <w:sz w:val="24"/>
        </w:rPr>
        <w:t> </w:t>
      </w:r>
      <w:r>
        <w:rPr>
          <w:color w:val="231F20"/>
          <w:sz w:val="24"/>
        </w:rPr>
        <w:t>chiffre</w:t>
      </w:r>
      <w:r>
        <w:rPr>
          <w:color w:val="231F20"/>
          <w:spacing w:val="-17"/>
          <w:sz w:val="24"/>
        </w:rPr>
        <w:t> </w:t>
      </w:r>
      <w:r>
        <w:rPr>
          <w:color w:val="231F20"/>
          <w:sz w:val="24"/>
        </w:rPr>
        <w:t>à</w:t>
      </w:r>
      <w:r>
        <w:rPr>
          <w:color w:val="231F20"/>
          <w:spacing w:val="-16"/>
          <w:sz w:val="24"/>
        </w:rPr>
        <w:t> </w:t>
      </w:r>
      <w:r>
        <w:rPr>
          <w:rFonts w:ascii="Segoe UI Semibold" w:hAnsi="Segoe UI Semibold"/>
          <w:b/>
          <w:i/>
          <w:color w:val="231F20"/>
          <w:sz w:val="24"/>
        </w:rPr>
        <w:t>1</w:t>
      </w:r>
      <w:r>
        <w:rPr>
          <w:rFonts w:ascii="Segoe UI Semibold" w:hAnsi="Segoe UI Semibold"/>
          <w:b/>
          <w:i/>
          <w:color w:val="231F20"/>
          <w:spacing w:val="-17"/>
          <w:sz w:val="24"/>
        </w:rPr>
        <w:t> </w:t>
      </w:r>
      <w:r>
        <w:rPr>
          <w:rFonts w:ascii="Segoe UI Semibold" w:hAnsi="Segoe UI Semibold"/>
          <w:b/>
          <w:i/>
          <w:color w:val="231F20"/>
          <w:sz w:val="24"/>
        </w:rPr>
        <w:t>089</w:t>
      </w:r>
      <w:r>
        <w:rPr>
          <w:rFonts w:ascii="Segoe UI Semibold" w:hAnsi="Segoe UI Semibold"/>
          <w:b/>
          <w:i/>
          <w:color w:val="231F20"/>
          <w:spacing w:val="-16"/>
          <w:sz w:val="24"/>
        </w:rPr>
        <w:t> </w:t>
      </w:r>
      <w:r>
        <w:rPr>
          <w:rFonts w:ascii="Segoe UI Semibold" w:hAnsi="Segoe UI Semibold"/>
          <w:b/>
          <w:i/>
          <w:color w:val="231F20"/>
          <w:sz w:val="24"/>
        </w:rPr>
        <w:t>470</w:t>
      </w:r>
      <w:r>
        <w:rPr>
          <w:rFonts w:ascii="Segoe UI Semibold" w:hAnsi="Segoe UI Semibold"/>
          <w:b/>
          <w:i/>
          <w:color w:val="231F20"/>
          <w:spacing w:val="-17"/>
          <w:sz w:val="24"/>
        </w:rPr>
        <w:t> </w:t>
      </w:r>
      <w:r>
        <w:rPr>
          <w:rFonts w:ascii="Segoe UI Semibold" w:hAnsi="Segoe UI Semibold"/>
          <w:b/>
          <w:i/>
          <w:color w:val="231F20"/>
          <w:sz w:val="24"/>
        </w:rPr>
        <w:t>572</w:t>
      </w:r>
      <w:r>
        <w:rPr>
          <w:rFonts w:ascii="Segoe UI Semibold" w:hAnsi="Segoe UI Semibold"/>
          <w:b/>
          <w:i/>
          <w:color w:val="231F20"/>
          <w:spacing w:val="-16"/>
          <w:sz w:val="24"/>
        </w:rPr>
        <w:t> </w:t>
      </w:r>
      <w:r>
        <w:rPr>
          <w:rFonts w:ascii="Segoe UI Semibold" w:hAnsi="Segoe UI Semibold"/>
          <w:b/>
          <w:i/>
          <w:color w:val="231F20"/>
          <w:sz w:val="24"/>
        </w:rPr>
        <w:t>dollars</w:t>
      </w:r>
      <w:r>
        <w:rPr>
          <w:color w:val="231F20"/>
          <w:sz w:val="24"/>
        </w:rPr>
        <w:t>.</w:t>
      </w:r>
    </w:p>
    <w:p>
      <w:pPr>
        <w:spacing w:line="220" w:lineRule="auto" w:before="160"/>
        <w:ind w:left="412" w:right="1473" w:firstLine="0"/>
        <w:jc w:val="both"/>
        <w:rPr>
          <w:rFonts w:ascii="Segoe UI Semibold" w:hAnsi="Segoe UI Semibold"/>
          <w:b/>
          <w:i/>
          <w:sz w:val="26"/>
        </w:rPr>
      </w:pPr>
      <w:r>
        <w:rPr>
          <w:rFonts w:ascii="Segoe UI Semibold" w:hAnsi="Segoe UI Semibold"/>
          <w:b/>
          <w:i/>
          <w:color w:val="1A4796"/>
          <w:spacing w:val="-8"/>
          <w:sz w:val="26"/>
        </w:rPr>
        <w:t>A</w:t>
      </w:r>
      <w:r>
        <w:rPr>
          <w:rFonts w:ascii="Segoe UI Semibold" w:hAnsi="Segoe UI Semibold"/>
          <w:b/>
          <w:i/>
          <w:color w:val="1A4796"/>
          <w:spacing w:val="-9"/>
          <w:sz w:val="26"/>
        </w:rPr>
        <w:t> </w:t>
      </w:r>
      <w:r>
        <w:rPr>
          <w:rFonts w:ascii="Segoe UI Semibold" w:hAnsi="Segoe UI Semibold"/>
          <w:b/>
          <w:i/>
          <w:color w:val="1A4796"/>
          <w:spacing w:val="-8"/>
          <w:sz w:val="26"/>
        </w:rPr>
        <w:t>quoi il faut ajouter</w:t>
      </w:r>
      <w:r>
        <w:rPr>
          <w:rFonts w:ascii="Segoe UI Semibold" w:hAnsi="Segoe UI Semibold"/>
          <w:b/>
          <w:i/>
          <w:color w:val="1A4796"/>
          <w:spacing w:val="-9"/>
          <w:sz w:val="26"/>
        </w:rPr>
        <w:t> </w:t>
      </w:r>
      <w:r>
        <w:rPr>
          <w:rFonts w:ascii="Segoe UI Semibold" w:hAnsi="Segoe UI Semibold"/>
          <w:b/>
          <w:i/>
          <w:color w:val="1A4796"/>
          <w:spacing w:val="-8"/>
          <w:sz w:val="26"/>
        </w:rPr>
        <w:t>que</w:t>
      </w:r>
      <w:r>
        <w:rPr>
          <w:rFonts w:ascii="Segoe UI Semibold" w:hAnsi="Segoe UI Semibold"/>
          <w:b/>
          <w:i/>
          <w:color w:val="1A4796"/>
          <w:spacing w:val="-9"/>
          <w:sz w:val="26"/>
        </w:rPr>
        <w:t> </w:t>
      </w:r>
      <w:r>
        <w:rPr>
          <w:rFonts w:ascii="Segoe UI Semibold" w:hAnsi="Segoe UI Semibold"/>
          <w:b/>
          <w:i/>
          <w:color w:val="1A4796"/>
          <w:spacing w:val="-8"/>
          <w:sz w:val="26"/>
        </w:rPr>
        <w:t>les Étatsuniens</w:t>
      </w:r>
      <w:r>
        <w:rPr>
          <w:rFonts w:ascii="Segoe UI Semibold" w:hAnsi="Segoe UI Semibold"/>
          <w:b/>
          <w:i/>
          <w:color w:val="1A4796"/>
          <w:spacing w:val="-8"/>
          <w:sz w:val="26"/>
        </w:rPr>
        <w:t> </w:t>
      </w:r>
      <w:r>
        <w:rPr>
          <w:rFonts w:ascii="Segoe UI Semibold" w:hAnsi="Segoe UI Semibold"/>
          <w:b/>
          <w:i/>
          <w:color w:val="1A4796"/>
          <w:spacing w:val="-4"/>
          <w:sz w:val="26"/>
        </w:rPr>
        <w:t>n’ont</w:t>
      </w:r>
      <w:r>
        <w:rPr>
          <w:rFonts w:ascii="Segoe UI Semibold" w:hAnsi="Segoe UI Semibold"/>
          <w:b/>
          <w:i/>
          <w:color w:val="1A4796"/>
          <w:spacing w:val="-14"/>
          <w:sz w:val="26"/>
        </w:rPr>
        <w:t> </w:t>
      </w:r>
      <w:r>
        <w:rPr>
          <w:rFonts w:ascii="Segoe UI Semibold" w:hAnsi="Segoe UI Semibold"/>
          <w:b/>
          <w:i/>
          <w:color w:val="1A4796"/>
          <w:spacing w:val="-4"/>
          <w:sz w:val="26"/>
        </w:rPr>
        <w:t>pas</w:t>
      </w:r>
      <w:r>
        <w:rPr>
          <w:rFonts w:ascii="Segoe UI Semibold" w:hAnsi="Segoe UI Semibold"/>
          <w:b/>
          <w:i/>
          <w:color w:val="1A4796"/>
          <w:spacing w:val="-14"/>
          <w:sz w:val="26"/>
        </w:rPr>
        <w:t> </w:t>
      </w:r>
      <w:r>
        <w:rPr>
          <w:rFonts w:ascii="Segoe UI Semibold" w:hAnsi="Segoe UI Semibold"/>
          <w:b/>
          <w:i/>
          <w:color w:val="1A4796"/>
          <w:spacing w:val="-4"/>
          <w:sz w:val="26"/>
        </w:rPr>
        <w:t>le</w:t>
      </w:r>
      <w:r>
        <w:rPr>
          <w:rFonts w:ascii="Segoe UI Semibold" w:hAnsi="Segoe UI Semibold"/>
          <w:b/>
          <w:i/>
          <w:color w:val="1A4796"/>
          <w:spacing w:val="-14"/>
          <w:sz w:val="26"/>
        </w:rPr>
        <w:t> </w:t>
      </w:r>
      <w:r>
        <w:rPr>
          <w:rFonts w:ascii="Segoe UI Semibold" w:hAnsi="Segoe UI Semibold"/>
          <w:b/>
          <w:i/>
          <w:color w:val="1A4796"/>
          <w:spacing w:val="-4"/>
          <w:sz w:val="26"/>
        </w:rPr>
        <w:t>droit</w:t>
      </w:r>
      <w:r>
        <w:rPr>
          <w:rFonts w:ascii="Segoe UI Semibold" w:hAnsi="Segoe UI Semibold"/>
          <w:b/>
          <w:i/>
          <w:color w:val="1A4796"/>
          <w:spacing w:val="-14"/>
          <w:sz w:val="26"/>
        </w:rPr>
        <w:t> </w:t>
      </w:r>
      <w:r>
        <w:rPr>
          <w:rFonts w:ascii="Segoe UI Semibold" w:hAnsi="Segoe UI Semibold"/>
          <w:b/>
          <w:i/>
          <w:color w:val="1A4796"/>
          <w:spacing w:val="-4"/>
          <w:sz w:val="26"/>
        </w:rPr>
        <w:t>de</w:t>
      </w:r>
      <w:r>
        <w:rPr>
          <w:rFonts w:ascii="Segoe UI Semibold" w:hAnsi="Segoe UI Semibold"/>
          <w:b/>
          <w:i/>
          <w:color w:val="1A4796"/>
          <w:spacing w:val="-14"/>
          <w:sz w:val="26"/>
        </w:rPr>
        <w:t> </w:t>
      </w:r>
      <w:r>
        <w:rPr>
          <w:rFonts w:ascii="Segoe UI Semibold" w:hAnsi="Segoe UI Semibold"/>
          <w:b/>
          <w:i/>
          <w:color w:val="1A4796"/>
          <w:spacing w:val="-4"/>
          <w:sz w:val="26"/>
        </w:rPr>
        <w:t>faire</w:t>
      </w:r>
      <w:r>
        <w:rPr>
          <w:rFonts w:ascii="Segoe UI Semibold" w:hAnsi="Segoe UI Semibold"/>
          <w:b/>
          <w:i/>
          <w:color w:val="1A4796"/>
          <w:spacing w:val="-13"/>
          <w:sz w:val="26"/>
        </w:rPr>
        <w:t> </w:t>
      </w:r>
      <w:r>
        <w:rPr>
          <w:rFonts w:ascii="Segoe UI Semibold" w:hAnsi="Segoe UI Semibold"/>
          <w:b/>
          <w:i/>
          <w:color w:val="1A4796"/>
          <w:spacing w:val="-4"/>
          <w:sz w:val="26"/>
        </w:rPr>
        <w:t>du</w:t>
      </w:r>
      <w:r>
        <w:rPr>
          <w:rFonts w:ascii="Segoe UI Semibold" w:hAnsi="Segoe UI Semibold"/>
          <w:b/>
          <w:i/>
          <w:color w:val="1A4796"/>
          <w:spacing w:val="-14"/>
          <w:sz w:val="26"/>
        </w:rPr>
        <w:t> </w:t>
      </w:r>
      <w:r>
        <w:rPr>
          <w:rFonts w:ascii="Segoe UI Semibold" w:hAnsi="Segoe UI Semibold"/>
          <w:b/>
          <w:i/>
          <w:color w:val="1A4796"/>
          <w:spacing w:val="-4"/>
          <w:sz w:val="26"/>
        </w:rPr>
        <w:t>tourisme</w:t>
      </w:r>
      <w:r>
        <w:rPr>
          <w:rFonts w:ascii="Segoe UI Semibold" w:hAnsi="Segoe UI Semibold"/>
          <w:b/>
          <w:i/>
          <w:color w:val="1A4796"/>
          <w:spacing w:val="-14"/>
          <w:sz w:val="26"/>
        </w:rPr>
        <w:t> </w:t>
      </w:r>
      <w:r>
        <w:rPr>
          <w:rFonts w:ascii="Segoe UI Semibold" w:hAnsi="Segoe UI Semibold"/>
          <w:b/>
          <w:i/>
          <w:color w:val="1A4796"/>
          <w:spacing w:val="-4"/>
          <w:sz w:val="26"/>
        </w:rPr>
        <w:t>à </w:t>
      </w:r>
      <w:r>
        <w:rPr>
          <w:rFonts w:ascii="Segoe UI Semibold" w:hAnsi="Segoe UI Semibold"/>
          <w:b/>
          <w:i/>
          <w:color w:val="1A4796"/>
          <w:sz w:val="26"/>
        </w:rPr>
        <w:t>Cuba,</w:t>
      </w:r>
      <w:r>
        <w:rPr>
          <w:rFonts w:ascii="Segoe UI Semibold" w:hAnsi="Segoe UI Semibold"/>
          <w:b/>
          <w:i/>
          <w:color w:val="1A4796"/>
          <w:spacing w:val="1"/>
          <w:sz w:val="26"/>
        </w:rPr>
        <w:t> </w:t>
      </w:r>
      <w:r>
        <w:rPr>
          <w:rFonts w:ascii="Segoe UI Semibold" w:hAnsi="Segoe UI Semibold"/>
          <w:b/>
          <w:i/>
          <w:color w:val="1A4796"/>
          <w:sz w:val="26"/>
        </w:rPr>
        <w:t>alors</w:t>
      </w:r>
      <w:r>
        <w:rPr>
          <w:rFonts w:ascii="Segoe UI Semibold" w:hAnsi="Segoe UI Semibold"/>
          <w:b/>
          <w:i/>
          <w:color w:val="1A4796"/>
          <w:spacing w:val="1"/>
          <w:sz w:val="26"/>
        </w:rPr>
        <w:t> </w:t>
      </w:r>
      <w:r>
        <w:rPr>
          <w:rFonts w:ascii="Segoe UI Semibold" w:hAnsi="Segoe UI Semibold"/>
          <w:b/>
          <w:i/>
          <w:color w:val="1A4796"/>
          <w:sz w:val="26"/>
        </w:rPr>
        <w:t>que,</w:t>
      </w:r>
      <w:r>
        <w:rPr>
          <w:rFonts w:ascii="Segoe UI Semibold" w:hAnsi="Segoe UI Semibold"/>
          <w:b/>
          <w:i/>
          <w:color w:val="1A4796"/>
          <w:spacing w:val="1"/>
          <w:sz w:val="26"/>
        </w:rPr>
        <w:t> </w:t>
      </w:r>
      <w:r>
        <w:rPr>
          <w:rFonts w:ascii="Segoe UI Semibold" w:hAnsi="Segoe UI Semibold"/>
          <w:b/>
          <w:i/>
          <w:color w:val="1A4796"/>
          <w:sz w:val="26"/>
        </w:rPr>
        <w:t>selon</w:t>
      </w:r>
      <w:r>
        <w:rPr>
          <w:rFonts w:ascii="Segoe UI Semibold" w:hAnsi="Segoe UI Semibold"/>
          <w:b/>
          <w:i/>
          <w:color w:val="1A4796"/>
          <w:spacing w:val="1"/>
          <w:sz w:val="26"/>
        </w:rPr>
        <w:t> </w:t>
      </w:r>
      <w:r>
        <w:rPr>
          <w:rFonts w:ascii="Segoe UI Semibold" w:hAnsi="Segoe UI Semibold"/>
          <w:b/>
          <w:i/>
          <w:color w:val="1A4796"/>
          <w:sz w:val="26"/>
        </w:rPr>
        <w:t>les</w:t>
      </w:r>
      <w:r>
        <w:rPr>
          <w:rFonts w:ascii="Segoe UI Semibold" w:hAnsi="Segoe UI Semibold"/>
          <w:b/>
          <w:i/>
          <w:color w:val="1A4796"/>
          <w:spacing w:val="2"/>
          <w:sz w:val="26"/>
        </w:rPr>
        <w:t> </w:t>
      </w:r>
      <w:r>
        <w:rPr>
          <w:rFonts w:ascii="Segoe UI Semibold" w:hAnsi="Segoe UI Semibold"/>
          <w:b/>
          <w:i/>
          <w:color w:val="1A4796"/>
          <w:spacing w:val="-2"/>
          <w:sz w:val="26"/>
        </w:rPr>
        <w:t>estimations,</w:t>
      </w:r>
    </w:p>
    <w:p>
      <w:pPr>
        <w:spacing w:after="0" w:line="220" w:lineRule="auto"/>
        <w:jc w:val="both"/>
        <w:rPr>
          <w:rFonts w:ascii="Segoe UI Semibold" w:hAnsi="Segoe UI Semibold"/>
          <w:sz w:val="26"/>
        </w:rPr>
        <w:sectPr>
          <w:pgSz w:w="11910" w:h="16840"/>
          <w:pgMar w:header="0" w:footer="695" w:top="1260" w:bottom="880" w:left="0" w:right="0"/>
          <w:cols w:num="2" w:equalWidth="0">
            <w:col w:w="5557" w:space="40"/>
            <w:col w:w="6313"/>
          </w:cols>
        </w:sectPr>
      </w:pPr>
    </w:p>
    <w:p>
      <w:pPr>
        <w:spacing w:line="220" w:lineRule="auto" w:before="97"/>
        <w:ind w:left="1474" w:right="1" w:firstLine="0"/>
        <w:jc w:val="both"/>
        <w:rPr>
          <w:rFonts w:ascii="Segoe UI Semibold" w:hAnsi="Segoe UI Semibold"/>
          <w:b/>
          <w:i/>
          <w:sz w:val="26"/>
        </w:rPr>
      </w:pPr>
      <w:r>
        <w:rPr>
          <w:rFonts w:ascii="Segoe UI Semibold" w:hAnsi="Segoe UI Semibold"/>
          <w:b/>
          <w:i/>
          <w:color w:val="1A4796"/>
          <w:sz w:val="26"/>
        </w:rPr>
        <w:t>au moins 1,2 million y iraient tous les</w:t>
      </w:r>
      <w:r>
        <w:rPr>
          <w:rFonts w:ascii="Segoe UI Semibold" w:hAnsi="Segoe UI Semibold"/>
          <w:b/>
          <w:i/>
          <w:color w:val="1A4796"/>
          <w:sz w:val="26"/>
        </w:rPr>
        <w:t> ans, ce qui ferait des USA notre plus gros</w:t>
      </w:r>
      <w:r>
        <w:rPr>
          <w:rFonts w:ascii="Segoe UI Semibold" w:hAnsi="Segoe UI Semibold"/>
          <w:b/>
          <w:i/>
          <w:color w:val="1A4796"/>
          <w:spacing w:val="-5"/>
          <w:sz w:val="26"/>
        </w:rPr>
        <w:t> </w:t>
      </w:r>
      <w:r>
        <w:rPr>
          <w:rFonts w:ascii="Segoe UI Semibold" w:hAnsi="Segoe UI Semibold"/>
          <w:b/>
          <w:i/>
          <w:color w:val="1A4796"/>
          <w:sz w:val="26"/>
        </w:rPr>
        <w:t>marché</w:t>
      </w:r>
      <w:r>
        <w:rPr>
          <w:rFonts w:ascii="Segoe UI Semibold" w:hAnsi="Segoe UI Semibold"/>
          <w:b/>
          <w:i/>
          <w:color w:val="1A4796"/>
          <w:spacing w:val="-5"/>
          <w:sz w:val="26"/>
        </w:rPr>
        <w:t> </w:t>
      </w:r>
      <w:r>
        <w:rPr>
          <w:rFonts w:ascii="Segoe UI Semibold" w:hAnsi="Segoe UI Semibold"/>
          <w:b/>
          <w:i/>
          <w:color w:val="1A4796"/>
          <w:sz w:val="26"/>
        </w:rPr>
        <w:t>touristique.</w:t>
      </w:r>
      <w:r>
        <w:rPr>
          <w:rFonts w:ascii="Segoe UI Semibold" w:hAnsi="Segoe UI Semibold"/>
          <w:b/>
          <w:i/>
          <w:color w:val="1A4796"/>
          <w:spacing w:val="-5"/>
          <w:sz w:val="26"/>
        </w:rPr>
        <w:t> </w:t>
      </w:r>
      <w:r>
        <w:rPr>
          <w:rFonts w:ascii="Segoe UI Semibold" w:hAnsi="Segoe UI Semibold"/>
          <w:b/>
          <w:i/>
          <w:color w:val="1A4796"/>
          <w:sz w:val="26"/>
        </w:rPr>
        <w:t>Seuls</w:t>
      </w:r>
      <w:r>
        <w:rPr>
          <w:rFonts w:ascii="Segoe UI Semibold" w:hAnsi="Segoe UI Semibold"/>
          <w:b/>
          <w:i/>
          <w:color w:val="1A4796"/>
          <w:spacing w:val="-5"/>
          <w:sz w:val="26"/>
        </w:rPr>
        <w:t> </w:t>
      </w:r>
      <w:r>
        <w:rPr>
          <w:rFonts w:ascii="Segoe UI Semibold" w:hAnsi="Segoe UI Semibold"/>
          <w:b/>
          <w:i/>
          <w:color w:val="1A4796"/>
          <w:sz w:val="26"/>
        </w:rPr>
        <w:t>117</w:t>
      </w:r>
      <w:r>
        <w:rPr>
          <w:rFonts w:ascii="Segoe UI Semibold" w:hAnsi="Segoe UI Semibold"/>
          <w:b/>
          <w:i/>
          <w:color w:val="1A4796"/>
          <w:spacing w:val="-5"/>
          <w:sz w:val="26"/>
        </w:rPr>
        <w:t> </w:t>
      </w:r>
      <w:r>
        <w:rPr>
          <w:rFonts w:ascii="Segoe UI Semibold" w:hAnsi="Segoe UI Semibold"/>
          <w:b/>
          <w:i/>
          <w:color w:val="1A4796"/>
          <w:sz w:val="26"/>
        </w:rPr>
        <w:t>825 y</w:t>
      </w:r>
      <w:r>
        <w:rPr>
          <w:rFonts w:ascii="Segoe UI Semibold" w:hAnsi="Segoe UI Semibold"/>
          <w:b/>
          <w:i/>
          <w:color w:val="1A4796"/>
          <w:spacing w:val="-6"/>
          <w:sz w:val="26"/>
        </w:rPr>
        <w:t> </w:t>
      </w:r>
      <w:r>
        <w:rPr>
          <w:rFonts w:ascii="Segoe UI Semibold" w:hAnsi="Segoe UI Semibold"/>
          <w:b/>
          <w:i/>
          <w:color w:val="1A4796"/>
          <w:sz w:val="26"/>
        </w:rPr>
        <w:t>étant</w:t>
      </w:r>
      <w:r>
        <w:rPr>
          <w:rFonts w:ascii="Segoe UI Semibold" w:hAnsi="Segoe UI Semibold"/>
          <w:b/>
          <w:i/>
          <w:color w:val="1A4796"/>
          <w:spacing w:val="-6"/>
          <w:sz w:val="26"/>
        </w:rPr>
        <w:t> </w:t>
      </w:r>
      <w:r>
        <w:rPr>
          <w:rFonts w:ascii="Segoe UI Semibold" w:hAnsi="Segoe UI Semibold"/>
          <w:b/>
          <w:i/>
          <w:color w:val="1A4796"/>
          <w:sz w:val="26"/>
        </w:rPr>
        <w:t>allés</w:t>
      </w:r>
      <w:r>
        <w:rPr>
          <w:rFonts w:ascii="Segoe UI Semibold" w:hAnsi="Segoe UI Semibold"/>
          <w:b/>
          <w:i/>
          <w:color w:val="1A4796"/>
          <w:spacing w:val="-6"/>
          <w:sz w:val="26"/>
        </w:rPr>
        <w:t> </w:t>
      </w:r>
      <w:r>
        <w:rPr>
          <w:rFonts w:ascii="Segoe UI Semibold" w:hAnsi="Segoe UI Semibold"/>
          <w:b/>
          <w:i/>
          <w:color w:val="1A4796"/>
          <w:sz w:val="26"/>
        </w:rPr>
        <w:t>à</w:t>
      </w:r>
      <w:r>
        <w:rPr>
          <w:rFonts w:ascii="Segoe UI Semibold" w:hAnsi="Segoe UI Semibold"/>
          <w:b/>
          <w:i/>
          <w:color w:val="1A4796"/>
          <w:spacing w:val="-6"/>
          <w:sz w:val="26"/>
        </w:rPr>
        <w:t> </w:t>
      </w:r>
      <w:r>
        <w:rPr>
          <w:rFonts w:ascii="Segoe UI Semibold" w:hAnsi="Segoe UI Semibold"/>
          <w:b/>
          <w:i/>
          <w:color w:val="1A4796"/>
          <w:sz w:val="26"/>
        </w:rPr>
        <w:t>Cuba</w:t>
      </w:r>
      <w:r>
        <w:rPr>
          <w:rFonts w:ascii="Segoe UI Semibold" w:hAnsi="Segoe UI Semibold"/>
          <w:b/>
          <w:i/>
          <w:color w:val="1A4796"/>
          <w:spacing w:val="-6"/>
          <w:sz w:val="26"/>
        </w:rPr>
        <w:t> </w:t>
      </w:r>
      <w:r>
        <w:rPr>
          <w:rFonts w:ascii="Segoe UI Semibold" w:hAnsi="Segoe UI Semibold"/>
          <w:b/>
          <w:i/>
          <w:color w:val="1A4796"/>
          <w:sz w:val="26"/>
        </w:rPr>
        <w:t>durant</w:t>
      </w:r>
      <w:r>
        <w:rPr>
          <w:rFonts w:ascii="Segoe UI Semibold" w:hAnsi="Segoe UI Semibold"/>
          <w:b/>
          <w:i/>
          <w:color w:val="1A4796"/>
          <w:spacing w:val="-6"/>
          <w:sz w:val="26"/>
        </w:rPr>
        <w:t> </w:t>
      </w:r>
      <w:r>
        <w:rPr>
          <w:rFonts w:ascii="Segoe UI Semibold" w:hAnsi="Segoe UI Semibold"/>
          <w:b/>
          <w:i/>
          <w:color w:val="1A4796"/>
          <w:sz w:val="26"/>
        </w:rPr>
        <w:t>la</w:t>
      </w:r>
      <w:r>
        <w:rPr>
          <w:rFonts w:ascii="Segoe UI Semibold" w:hAnsi="Segoe UI Semibold"/>
          <w:b/>
          <w:i/>
          <w:color w:val="1A4796"/>
          <w:spacing w:val="-6"/>
          <w:sz w:val="26"/>
        </w:rPr>
        <w:t> </w:t>
      </w:r>
      <w:r>
        <w:rPr>
          <w:rFonts w:ascii="Segoe UI Semibold" w:hAnsi="Segoe UI Semibold"/>
          <w:b/>
          <w:i/>
          <w:color w:val="1A4796"/>
          <w:sz w:val="26"/>
        </w:rPr>
        <w:t>période analysée, cela représente un déficit d’environ</w:t>
      </w:r>
      <w:r>
        <w:rPr>
          <w:rFonts w:ascii="Segoe UI Semibold" w:hAnsi="Segoe UI Semibold"/>
          <w:b/>
          <w:i/>
          <w:color w:val="1A4796"/>
          <w:spacing w:val="37"/>
          <w:sz w:val="26"/>
        </w:rPr>
        <w:t> </w:t>
      </w:r>
      <w:r>
        <w:rPr>
          <w:rFonts w:ascii="Segoe UI Semibold" w:hAnsi="Segoe UI Semibold"/>
          <w:b/>
          <w:i/>
          <w:color w:val="1A4796"/>
          <w:sz w:val="26"/>
        </w:rPr>
        <w:t>1</w:t>
      </w:r>
      <w:r>
        <w:rPr>
          <w:rFonts w:ascii="Segoe UI Semibold" w:hAnsi="Segoe UI Semibold"/>
          <w:b/>
          <w:i/>
          <w:color w:val="1A4796"/>
          <w:spacing w:val="40"/>
          <w:sz w:val="26"/>
        </w:rPr>
        <w:t> </w:t>
      </w:r>
      <w:r>
        <w:rPr>
          <w:rFonts w:ascii="Segoe UI Semibold" w:hAnsi="Segoe UI Semibold"/>
          <w:b/>
          <w:i/>
          <w:color w:val="1A4796"/>
          <w:sz w:val="26"/>
        </w:rPr>
        <w:t>082</w:t>
      </w:r>
      <w:r>
        <w:rPr>
          <w:rFonts w:ascii="Segoe UI Semibold" w:hAnsi="Segoe UI Semibold"/>
          <w:b/>
          <w:i/>
          <w:color w:val="1A4796"/>
          <w:spacing w:val="40"/>
          <w:sz w:val="26"/>
        </w:rPr>
        <w:t> </w:t>
      </w:r>
      <w:r>
        <w:rPr>
          <w:rFonts w:ascii="Segoe UI Semibold" w:hAnsi="Segoe UI Semibold"/>
          <w:b/>
          <w:i/>
          <w:color w:val="1A4796"/>
          <w:sz w:val="26"/>
        </w:rPr>
        <w:t>175</w:t>
      </w:r>
      <w:r>
        <w:rPr>
          <w:rFonts w:ascii="Segoe UI Semibold" w:hAnsi="Segoe UI Semibold"/>
          <w:b/>
          <w:i/>
          <w:color w:val="1A4796"/>
          <w:spacing w:val="40"/>
          <w:sz w:val="26"/>
        </w:rPr>
        <w:t> </w:t>
      </w:r>
      <w:r>
        <w:rPr>
          <w:rFonts w:ascii="Segoe UI Semibold" w:hAnsi="Segoe UI Semibold"/>
          <w:b/>
          <w:i/>
          <w:color w:val="1A4796"/>
          <w:sz w:val="26"/>
        </w:rPr>
        <w:t>visiteurs,</w:t>
      </w:r>
      <w:r>
        <w:rPr>
          <w:rFonts w:ascii="Segoe UI Semibold" w:hAnsi="Segoe UI Semibold"/>
          <w:b/>
          <w:i/>
          <w:color w:val="1A4796"/>
          <w:spacing w:val="40"/>
          <w:sz w:val="26"/>
        </w:rPr>
        <w:t> </w:t>
      </w:r>
      <w:r>
        <w:rPr>
          <w:rFonts w:ascii="Segoe UI Semibold" w:hAnsi="Segoe UI Semibold"/>
          <w:b/>
          <w:i/>
          <w:color w:val="1A4796"/>
          <w:sz w:val="26"/>
        </w:rPr>
        <w:t>soit</w:t>
      </w:r>
      <w:r>
        <w:rPr>
          <w:rFonts w:ascii="Segoe UI Semibold" w:hAnsi="Segoe UI Semibold"/>
          <w:b/>
          <w:i/>
          <w:color w:val="1A4796"/>
          <w:spacing w:val="40"/>
          <w:sz w:val="26"/>
        </w:rPr>
        <w:t> </w:t>
      </w:r>
      <w:r>
        <w:rPr>
          <w:rFonts w:ascii="Segoe UI Semibold" w:hAnsi="Segoe UI Semibold"/>
          <w:b/>
          <w:i/>
          <w:color w:val="1A4796"/>
          <w:spacing w:val="-5"/>
          <w:sz w:val="26"/>
        </w:rPr>
        <w:t>un</w:t>
      </w:r>
    </w:p>
    <w:p>
      <w:pPr>
        <w:spacing w:line="220" w:lineRule="auto" w:before="4"/>
        <w:ind w:left="1474" w:right="0" w:firstLine="0"/>
        <w:jc w:val="both"/>
        <w:rPr>
          <w:rFonts w:ascii="Segoe UI Semibold" w:hAnsi="Segoe UI Semibold"/>
          <w:b/>
          <w:i/>
          <w:sz w:val="26"/>
        </w:rPr>
      </w:pPr>
      <w:r>
        <w:rPr>
          <w:rFonts w:ascii="Segoe UI Semibold" w:hAnsi="Segoe UI Semibold"/>
          <w:b/>
          <w:i/>
          <w:color w:val="1A4796"/>
          <w:sz w:val="26"/>
        </w:rPr>
        <w:t>manque à gagner de 1 001 011 875</w:t>
      </w:r>
      <w:r>
        <w:rPr>
          <w:rFonts w:ascii="Segoe UI Semibold" w:hAnsi="Segoe UI Semibold"/>
          <w:b/>
          <w:i/>
          <w:color w:val="1A4796"/>
          <w:sz w:val="26"/>
        </w:rPr>
        <w:t> </w:t>
      </w:r>
      <w:r>
        <w:rPr>
          <w:rFonts w:ascii="Segoe UI Semibold" w:hAnsi="Segoe UI Semibold"/>
          <w:b/>
          <w:i/>
          <w:color w:val="1A4796"/>
          <w:spacing w:val="-2"/>
          <w:sz w:val="26"/>
        </w:rPr>
        <w:t>dollars.</w:t>
      </w:r>
    </w:p>
    <w:p>
      <w:pPr>
        <w:pStyle w:val="BodyText"/>
        <w:spacing w:before="162"/>
        <w:ind w:left="1474"/>
      </w:pPr>
      <w:r>
        <w:rPr>
          <w:color w:val="231F20"/>
        </w:rPr>
        <w:t>Mais ce n’est pas tout. L’administration étasunienne a interdit aux compagnies</w:t>
      </w:r>
      <w:r>
        <w:rPr>
          <w:color w:val="231F20"/>
          <w:spacing w:val="80"/>
        </w:rPr>
        <w:t> </w:t>
      </w:r>
      <w:r>
        <w:rPr>
          <w:color w:val="231F20"/>
        </w:rPr>
        <w:t>de croisière de toucher les ports cubains, des amendes ayant été infligées et des demandes légales ayant été introduites </w:t>
      </w:r>
      <w:r>
        <w:rPr>
          <w:color w:val="231F20"/>
          <w:spacing w:val="-8"/>
        </w:rPr>
        <w:t>contre celles qui l’ont fait, d’où l’impossibilité </w:t>
      </w:r>
      <w:r>
        <w:rPr>
          <w:color w:val="231F20"/>
        </w:rPr>
        <w:t>d’avancer dans ce secteur.</w:t>
      </w:r>
    </w:p>
    <w:p>
      <w:pPr>
        <w:pStyle w:val="BodyText"/>
        <w:spacing w:before="166"/>
        <w:ind w:left="1474" w:right="4"/>
      </w:pPr>
      <w:r>
        <w:rPr>
          <w:color w:val="231F20"/>
        </w:rPr>
        <w:t>Un seul exemple : une juge du sud de la Floride,</w:t>
      </w:r>
      <w:r>
        <w:rPr>
          <w:color w:val="231F20"/>
          <w:spacing w:val="37"/>
        </w:rPr>
        <w:t> </w:t>
      </w:r>
      <w:r>
        <w:rPr>
          <w:color w:val="231F20"/>
        </w:rPr>
        <w:t>agissant</w:t>
      </w:r>
      <w:r>
        <w:rPr>
          <w:color w:val="231F20"/>
          <w:spacing w:val="37"/>
        </w:rPr>
        <w:t> </w:t>
      </w:r>
      <w:r>
        <w:rPr>
          <w:color w:val="231F20"/>
        </w:rPr>
        <w:t>en</w:t>
      </w:r>
      <w:r>
        <w:rPr>
          <w:color w:val="231F20"/>
          <w:spacing w:val="37"/>
        </w:rPr>
        <w:t> </w:t>
      </w:r>
      <w:r>
        <w:rPr>
          <w:color w:val="231F20"/>
        </w:rPr>
        <w:t>vertu</w:t>
      </w:r>
      <w:r>
        <w:rPr>
          <w:color w:val="231F20"/>
          <w:spacing w:val="37"/>
        </w:rPr>
        <w:t> </w:t>
      </w:r>
      <w:r>
        <w:rPr>
          <w:color w:val="231F20"/>
        </w:rPr>
        <w:t>du</w:t>
      </w:r>
      <w:r>
        <w:rPr>
          <w:color w:val="231F20"/>
          <w:spacing w:val="37"/>
        </w:rPr>
        <w:t> </w:t>
      </w:r>
      <w:r>
        <w:rPr>
          <w:color w:val="231F20"/>
        </w:rPr>
        <w:t>Titre</w:t>
      </w:r>
      <w:r>
        <w:rPr>
          <w:color w:val="231F20"/>
          <w:spacing w:val="37"/>
        </w:rPr>
        <w:t> </w:t>
      </w:r>
      <w:r>
        <w:rPr>
          <w:color w:val="231F20"/>
        </w:rPr>
        <w:t>III</w:t>
      </w:r>
      <w:r>
        <w:rPr>
          <w:color w:val="231F20"/>
          <w:spacing w:val="37"/>
        </w:rPr>
        <w:t> </w:t>
      </w:r>
      <w:r>
        <w:rPr>
          <w:color w:val="231F20"/>
        </w:rPr>
        <w:t>de la Loi Helms-Burton, a condamné quatre </w:t>
      </w:r>
      <w:r>
        <w:rPr>
          <w:color w:val="231F20"/>
          <w:spacing w:val="-2"/>
        </w:rPr>
        <w:t>compagnies</w:t>
      </w:r>
      <w:r>
        <w:rPr>
          <w:color w:val="231F20"/>
          <w:spacing w:val="-9"/>
        </w:rPr>
        <w:t> </w:t>
      </w:r>
      <w:r>
        <w:rPr>
          <w:color w:val="231F20"/>
          <w:spacing w:val="-2"/>
        </w:rPr>
        <w:t>de</w:t>
      </w:r>
      <w:r>
        <w:rPr>
          <w:color w:val="231F20"/>
          <w:spacing w:val="-9"/>
        </w:rPr>
        <w:t> </w:t>
      </w:r>
      <w:r>
        <w:rPr>
          <w:color w:val="231F20"/>
          <w:spacing w:val="-2"/>
        </w:rPr>
        <w:t>croisière</w:t>
      </w:r>
      <w:r>
        <w:rPr>
          <w:color w:val="231F20"/>
          <w:spacing w:val="-9"/>
        </w:rPr>
        <w:t> </w:t>
      </w:r>
      <w:r>
        <w:rPr>
          <w:color w:val="231F20"/>
          <w:spacing w:val="-2"/>
        </w:rPr>
        <w:t>ayant</w:t>
      </w:r>
      <w:r>
        <w:rPr>
          <w:color w:val="231F20"/>
          <w:spacing w:val="-9"/>
        </w:rPr>
        <w:t> </w:t>
      </w:r>
      <w:r>
        <w:rPr>
          <w:color w:val="231F20"/>
          <w:spacing w:val="-2"/>
        </w:rPr>
        <w:t>inclus</w:t>
      </w:r>
      <w:r>
        <w:rPr>
          <w:color w:val="231F20"/>
          <w:spacing w:val="-9"/>
        </w:rPr>
        <w:t> </w:t>
      </w:r>
      <w:r>
        <w:rPr>
          <w:color w:val="231F20"/>
          <w:spacing w:val="-2"/>
        </w:rPr>
        <w:t>Cuba </w:t>
      </w:r>
      <w:r>
        <w:rPr>
          <w:color w:val="231F20"/>
          <w:spacing w:val="-4"/>
        </w:rPr>
        <w:t>dans</w:t>
      </w:r>
      <w:r>
        <w:rPr>
          <w:color w:val="231F20"/>
          <w:spacing w:val="-13"/>
        </w:rPr>
        <w:t> </w:t>
      </w:r>
      <w:r>
        <w:rPr>
          <w:color w:val="231F20"/>
          <w:spacing w:val="-4"/>
        </w:rPr>
        <w:t>leur</w:t>
      </w:r>
      <w:r>
        <w:rPr>
          <w:color w:val="231F20"/>
          <w:spacing w:val="-12"/>
        </w:rPr>
        <w:t> </w:t>
      </w:r>
      <w:r>
        <w:rPr>
          <w:color w:val="231F20"/>
          <w:spacing w:val="-4"/>
        </w:rPr>
        <w:t>itinéraire</w:t>
      </w:r>
      <w:r>
        <w:rPr>
          <w:color w:val="231F20"/>
          <w:spacing w:val="-12"/>
        </w:rPr>
        <w:t> </w:t>
      </w:r>
      <w:r>
        <w:rPr>
          <w:color w:val="231F20"/>
          <w:spacing w:val="-4"/>
        </w:rPr>
        <w:t>(Carnival,</w:t>
      </w:r>
      <w:r>
        <w:rPr>
          <w:color w:val="231F20"/>
          <w:spacing w:val="-12"/>
        </w:rPr>
        <w:t> </w:t>
      </w:r>
      <w:r>
        <w:rPr>
          <w:color w:val="231F20"/>
          <w:spacing w:val="-4"/>
        </w:rPr>
        <w:t>MSC</w:t>
      </w:r>
      <w:r>
        <w:rPr>
          <w:color w:val="231F20"/>
          <w:spacing w:val="-12"/>
        </w:rPr>
        <w:t> </w:t>
      </w:r>
      <w:r>
        <w:rPr>
          <w:color w:val="231F20"/>
          <w:spacing w:val="-4"/>
        </w:rPr>
        <w:t>SA,</w:t>
      </w:r>
      <w:r>
        <w:rPr>
          <w:color w:val="231F20"/>
          <w:spacing w:val="-12"/>
        </w:rPr>
        <w:t> </w:t>
      </w:r>
      <w:r>
        <w:rPr>
          <w:color w:val="231F20"/>
          <w:spacing w:val="-4"/>
        </w:rPr>
        <w:t>Royal Caribbean</w:t>
      </w:r>
      <w:r>
        <w:rPr>
          <w:color w:val="231F20"/>
          <w:spacing w:val="-12"/>
        </w:rPr>
        <w:t> </w:t>
      </w:r>
      <w:r>
        <w:rPr>
          <w:color w:val="231F20"/>
          <w:spacing w:val="-4"/>
        </w:rPr>
        <w:t>et</w:t>
      </w:r>
      <w:r>
        <w:rPr>
          <w:color w:val="231F20"/>
          <w:spacing w:val="-12"/>
        </w:rPr>
        <w:t> </w:t>
      </w:r>
      <w:r>
        <w:rPr>
          <w:color w:val="231F20"/>
          <w:spacing w:val="-4"/>
        </w:rPr>
        <w:t>Norwegian)</w:t>
      </w:r>
      <w:r>
        <w:rPr>
          <w:color w:val="231F20"/>
          <w:spacing w:val="-12"/>
        </w:rPr>
        <w:t> </w:t>
      </w:r>
      <w:r>
        <w:rPr>
          <w:color w:val="231F20"/>
          <w:spacing w:val="-4"/>
        </w:rPr>
        <w:t>à</w:t>
      </w:r>
      <w:r>
        <w:rPr>
          <w:color w:val="231F20"/>
          <w:spacing w:val="-12"/>
        </w:rPr>
        <w:t> </w:t>
      </w:r>
      <w:r>
        <w:rPr>
          <w:color w:val="231F20"/>
          <w:spacing w:val="-4"/>
        </w:rPr>
        <w:t>payer</w:t>
      </w:r>
      <w:r>
        <w:rPr>
          <w:color w:val="231F20"/>
          <w:spacing w:val="-12"/>
        </w:rPr>
        <w:t> </w:t>
      </w:r>
      <w:r>
        <w:rPr>
          <w:color w:val="231F20"/>
          <w:spacing w:val="-4"/>
        </w:rPr>
        <w:t>ensemble </w:t>
      </w:r>
      <w:r>
        <w:rPr>
          <w:color w:val="231F20"/>
          <w:spacing w:val="-6"/>
        </w:rPr>
        <w:t>plus</w:t>
      </w:r>
      <w:r>
        <w:rPr>
          <w:color w:val="231F20"/>
          <w:spacing w:val="-8"/>
        </w:rPr>
        <w:t> </w:t>
      </w:r>
      <w:r>
        <w:rPr>
          <w:color w:val="231F20"/>
          <w:spacing w:val="-6"/>
        </w:rPr>
        <w:t>de</w:t>
      </w:r>
      <w:r>
        <w:rPr>
          <w:color w:val="231F20"/>
          <w:spacing w:val="-8"/>
        </w:rPr>
        <w:t> </w:t>
      </w:r>
      <w:r>
        <w:rPr>
          <w:color w:val="231F20"/>
          <w:spacing w:val="-6"/>
        </w:rPr>
        <w:t>439</w:t>
      </w:r>
      <w:r>
        <w:rPr>
          <w:color w:val="231F20"/>
          <w:spacing w:val="-8"/>
        </w:rPr>
        <w:t> </w:t>
      </w:r>
      <w:r>
        <w:rPr>
          <w:color w:val="231F20"/>
          <w:spacing w:val="-6"/>
        </w:rPr>
        <w:t>millions</w:t>
      </w:r>
      <w:r>
        <w:rPr>
          <w:color w:val="231F20"/>
          <w:spacing w:val="-8"/>
        </w:rPr>
        <w:t> </w:t>
      </w:r>
      <w:r>
        <w:rPr>
          <w:color w:val="231F20"/>
          <w:spacing w:val="-6"/>
        </w:rPr>
        <w:t>de</w:t>
      </w:r>
      <w:r>
        <w:rPr>
          <w:color w:val="231F20"/>
          <w:spacing w:val="-8"/>
        </w:rPr>
        <w:t> </w:t>
      </w:r>
      <w:r>
        <w:rPr>
          <w:color w:val="231F20"/>
          <w:spacing w:val="-6"/>
        </w:rPr>
        <w:t>dollars</w:t>
      </w:r>
      <w:r>
        <w:rPr>
          <w:color w:val="231F20"/>
          <w:spacing w:val="-8"/>
        </w:rPr>
        <w:t> </w:t>
      </w:r>
      <w:r>
        <w:rPr>
          <w:color w:val="231F20"/>
          <w:spacing w:val="-6"/>
        </w:rPr>
        <w:t>et</w:t>
      </w:r>
      <w:r>
        <w:rPr>
          <w:color w:val="231F20"/>
          <w:spacing w:val="-7"/>
        </w:rPr>
        <w:t> </w:t>
      </w:r>
      <w:r>
        <w:rPr>
          <w:color w:val="231F20"/>
          <w:spacing w:val="-6"/>
        </w:rPr>
        <w:t>les</w:t>
      </w:r>
      <w:r>
        <w:rPr>
          <w:color w:val="231F20"/>
          <w:spacing w:val="-8"/>
        </w:rPr>
        <w:t> </w:t>
      </w:r>
      <w:r>
        <w:rPr>
          <w:color w:val="231F20"/>
          <w:spacing w:val="-6"/>
        </w:rPr>
        <w:t>frais</w:t>
      </w:r>
      <w:r>
        <w:rPr>
          <w:color w:val="231F20"/>
          <w:spacing w:val="-8"/>
        </w:rPr>
        <w:t> </w:t>
      </w:r>
      <w:r>
        <w:rPr>
          <w:color w:val="231F20"/>
          <w:spacing w:val="-6"/>
        </w:rPr>
        <w:t>de </w:t>
      </w:r>
      <w:r>
        <w:rPr>
          <w:color w:val="231F20"/>
          <w:spacing w:val="-10"/>
        </w:rPr>
        <w:t>justice</w:t>
      </w:r>
      <w:r>
        <w:rPr>
          <w:color w:val="231F20"/>
          <w:spacing w:val="-13"/>
        </w:rPr>
        <w:t> </w:t>
      </w:r>
      <w:r>
        <w:rPr>
          <w:color w:val="231F20"/>
          <w:spacing w:val="-10"/>
        </w:rPr>
        <w:t>à</w:t>
      </w:r>
      <w:r>
        <w:rPr>
          <w:color w:val="231F20"/>
          <w:spacing w:val="-13"/>
        </w:rPr>
        <w:t> </w:t>
      </w:r>
      <w:r>
        <w:rPr>
          <w:color w:val="231F20"/>
          <w:spacing w:val="-10"/>
        </w:rPr>
        <w:t>l’entité</w:t>
      </w:r>
      <w:r>
        <w:rPr>
          <w:color w:val="231F20"/>
          <w:spacing w:val="-13"/>
        </w:rPr>
        <w:t> </w:t>
      </w:r>
      <w:r>
        <w:rPr>
          <w:color w:val="231F20"/>
          <w:spacing w:val="-10"/>
        </w:rPr>
        <w:t>demanderesse</w:t>
      </w:r>
      <w:r>
        <w:rPr>
          <w:color w:val="231F20"/>
          <w:spacing w:val="-13"/>
        </w:rPr>
        <w:t> </w:t>
      </w:r>
      <w:r>
        <w:rPr>
          <w:color w:val="231F20"/>
          <w:spacing w:val="-10"/>
        </w:rPr>
        <w:t>Havana</w:t>
      </w:r>
      <w:r>
        <w:rPr>
          <w:color w:val="231F20"/>
          <w:spacing w:val="-13"/>
        </w:rPr>
        <w:t> </w:t>
      </w:r>
      <w:r>
        <w:rPr>
          <w:color w:val="231F20"/>
          <w:spacing w:val="-10"/>
        </w:rPr>
        <w:t>Docks.</w:t>
      </w:r>
    </w:p>
    <w:p>
      <w:pPr>
        <w:pStyle w:val="BodyText"/>
        <w:spacing w:before="166"/>
        <w:ind w:left="1474"/>
      </w:pPr>
      <w:r>
        <w:rPr>
          <w:color w:val="231F20"/>
          <w:spacing w:val="-2"/>
        </w:rPr>
        <w:t>Le</w:t>
      </w:r>
      <w:r>
        <w:rPr>
          <w:color w:val="231F20"/>
          <w:spacing w:val="-11"/>
        </w:rPr>
        <w:t> </w:t>
      </w:r>
      <w:r>
        <w:rPr>
          <w:color w:val="231F20"/>
          <w:spacing w:val="-2"/>
        </w:rPr>
        <w:t>tourisme</w:t>
      </w:r>
      <w:r>
        <w:rPr>
          <w:color w:val="231F20"/>
          <w:spacing w:val="-11"/>
        </w:rPr>
        <w:t> </w:t>
      </w:r>
      <w:r>
        <w:rPr>
          <w:color w:val="231F20"/>
          <w:spacing w:val="-2"/>
        </w:rPr>
        <w:t>de</w:t>
      </w:r>
      <w:r>
        <w:rPr>
          <w:color w:val="231F20"/>
          <w:spacing w:val="-11"/>
        </w:rPr>
        <w:t> </w:t>
      </w:r>
      <w:r>
        <w:rPr>
          <w:color w:val="231F20"/>
          <w:spacing w:val="-2"/>
        </w:rPr>
        <w:t>croisière</w:t>
      </w:r>
      <w:r>
        <w:rPr>
          <w:color w:val="231F20"/>
          <w:spacing w:val="-11"/>
        </w:rPr>
        <w:t> </w:t>
      </w:r>
      <w:r>
        <w:rPr>
          <w:color w:val="231F20"/>
          <w:spacing w:val="-2"/>
        </w:rPr>
        <w:t>aurait</w:t>
      </w:r>
      <w:r>
        <w:rPr>
          <w:color w:val="231F20"/>
          <w:spacing w:val="-11"/>
        </w:rPr>
        <w:t> </w:t>
      </w:r>
      <w:r>
        <w:rPr>
          <w:color w:val="231F20"/>
          <w:spacing w:val="-2"/>
        </w:rPr>
        <w:t>pu</w:t>
      </w:r>
      <w:r>
        <w:rPr>
          <w:color w:val="231F20"/>
          <w:spacing w:val="-11"/>
        </w:rPr>
        <w:t> </w:t>
      </w:r>
      <w:r>
        <w:rPr>
          <w:color w:val="231F20"/>
          <w:spacing w:val="-2"/>
        </w:rPr>
        <w:t>apporter </w:t>
      </w:r>
      <w:r>
        <w:rPr>
          <w:color w:val="231F20"/>
        </w:rPr>
        <w:t>à Cuba environ 56 millions de dollars.</w:t>
      </w:r>
    </w:p>
    <w:p>
      <w:pPr>
        <w:pStyle w:val="BodyText"/>
        <w:spacing w:before="161"/>
        <w:ind w:left="1474"/>
      </w:pPr>
      <w:r>
        <w:rPr>
          <w:color w:val="231F20"/>
        </w:rPr>
        <w:t>Mais les actions contre le tourisme ne s’arrêtent pas là. Alléguant que Cuba est un État commanditaire de terrorisme, l’administration étasunienne exige </w:t>
      </w:r>
      <w:r>
        <w:rPr>
          <w:color w:val="231F20"/>
          <w:spacing w:val="-2"/>
        </w:rPr>
        <w:t>maintenant</w:t>
      </w:r>
      <w:r>
        <w:rPr>
          <w:color w:val="231F20"/>
          <w:spacing w:val="-11"/>
        </w:rPr>
        <w:t> </w:t>
      </w:r>
      <w:r>
        <w:rPr>
          <w:color w:val="231F20"/>
          <w:spacing w:val="-2"/>
        </w:rPr>
        <w:t>un</w:t>
      </w:r>
      <w:r>
        <w:rPr>
          <w:color w:val="231F20"/>
          <w:spacing w:val="-11"/>
        </w:rPr>
        <w:t> </w:t>
      </w:r>
      <w:r>
        <w:rPr>
          <w:color w:val="231F20"/>
          <w:spacing w:val="-2"/>
        </w:rPr>
        <w:t>visa</w:t>
      </w:r>
      <w:r>
        <w:rPr>
          <w:color w:val="231F20"/>
          <w:spacing w:val="-11"/>
        </w:rPr>
        <w:t> </w:t>
      </w:r>
      <w:r>
        <w:rPr>
          <w:color w:val="231F20"/>
          <w:spacing w:val="-2"/>
        </w:rPr>
        <w:t>d’entrée</w:t>
      </w:r>
      <w:r>
        <w:rPr>
          <w:color w:val="231F20"/>
          <w:spacing w:val="-11"/>
        </w:rPr>
        <w:t> </w:t>
      </w:r>
      <w:r>
        <w:rPr>
          <w:color w:val="231F20"/>
          <w:spacing w:val="-2"/>
        </w:rPr>
        <w:t>aux</w:t>
      </w:r>
      <w:r>
        <w:rPr>
          <w:color w:val="231F20"/>
          <w:spacing w:val="-11"/>
        </w:rPr>
        <w:t> </w:t>
      </w:r>
      <w:r>
        <w:rPr>
          <w:color w:val="231F20"/>
          <w:spacing w:val="-2"/>
        </w:rPr>
        <w:t>États-Unis </w:t>
      </w:r>
      <w:r>
        <w:rPr>
          <w:color w:val="231F20"/>
          <w:spacing w:val="-6"/>
        </w:rPr>
        <w:t>à</w:t>
      </w:r>
      <w:r>
        <w:rPr>
          <w:color w:val="231F20"/>
          <w:spacing w:val="-9"/>
        </w:rPr>
        <w:t> </w:t>
      </w:r>
      <w:r>
        <w:rPr>
          <w:color w:val="231F20"/>
          <w:spacing w:val="-6"/>
        </w:rPr>
        <w:t>toute</w:t>
      </w:r>
      <w:r>
        <w:rPr>
          <w:color w:val="231F20"/>
          <w:spacing w:val="-9"/>
        </w:rPr>
        <w:t> </w:t>
      </w:r>
      <w:r>
        <w:rPr>
          <w:color w:val="231F20"/>
          <w:spacing w:val="-6"/>
        </w:rPr>
        <w:t>personne</w:t>
      </w:r>
      <w:r>
        <w:rPr>
          <w:color w:val="231F20"/>
          <w:spacing w:val="-9"/>
        </w:rPr>
        <w:t> </w:t>
      </w:r>
      <w:r>
        <w:rPr>
          <w:color w:val="231F20"/>
          <w:spacing w:val="-6"/>
        </w:rPr>
        <w:t>qui</w:t>
      </w:r>
      <w:r>
        <w:rPr>
          <w:color w:val="231F20"/>
          <w:spacing w:val="-9"/>
        </w:rPr>
        <w:t> </w:t>
      </w:r>
      <w:r>
        <w:rPr>
          <w:color w:val="231F20"/>
          <w:spacing w:val="-6"/>
        </w:rPr>
        <w:t>a</w:t>
      </w:r>
      <w:r>
        <w:rPr>
          <w:color w:val="231F20"/>
          <w:spacing w:val="-9"/>
        </w:rPr>
        <w:t> </w:t>
      </w:r>
      <w:r>
        <w:rPr>
          <w:color w:val="231F20"/>
          <w:spacing w:val="-6"/>
        </w:rPr>
        <w:t>visité</w:t>
      </w:r>
      <w:r>
        <w:rPr>
          <w:color w:val="231F20"/>
          <w:spacing w:val="-9"/>
        </w:rPr>
        <w:t> </w:t>
      </w:r>
      <w:r>
        <w:rPr>
          <w:color w:val="231F20"/>
          <w:spacing w:val="-6"/>
        </w:rPr>
        <w:t>l’île</w:t>
      </w:r>
      <w:r>
        <w:rPr>
          <w:color w:val="231F20"/>
          <w:spacing w:val="-9"/>
        </w:rPr>
        <w:t> </w:t>
      </w:r>
      <w:r>
        <w:rPr>
          <w:color w:val="231F20"/>
          <w:spacing w:val="-6"/>
        </w:rPr>
        <w:t>ou</w:t>
      </w:r>
      <w:r>
        <w:rPr>
          <w:color w:val="231F20"/>
          <w:spacing w:val="-9"/>
        </w:rPr>
        <w:t> </w:t>
      </w:r>
      <w:r>
        <w:rPr>
          <w:color w:val="231F20"/>
          <w:spacing w:val="-6"/>
        </w:rPr>
        <w:t>qui</w:t>
      </w:r>
      <w:r>
        <w:rPr>
          <w:color w:val="231F20"/>
          <w:spacing w:val="-9"/>
        </w:rPr>
        <w:t> </w:t>
      </w:r>
      <w:r>
        <w:rPr>
          <w:color w:val="231F20"/>
          <w:spacing w:val="-6"/>
        </w:rPr>
        <w:t>veut </w:t>
      </w:r>
      <w:r>
        <w:rPr>
          <w:color w:val="231F20"/>
          <w:spacing w:val="-2"/>
        </w:rPr>
        <w:t>entrer</w:t>
      </w:r>
      <w:r>
        <w:rPr>
          <w:color w:val="231F20"/>
          <w:spacing w:val="-13"/>
        </w:rPr>
        <w:t> </w:t>
      </w:r>
      <w:r>
        <w:rPr>
          <w:color w:val="231F20"/>
          <w:spacing w:val="-2"/>
        </w:rPr>
        <w:t>aux</w:t>
      </w:r>
      <w:r>
        <w:rPr>
          <w:color w:val="231F20"/>
          <w:spacing w:val="-13"/>
        </w:rPr>
        <w:t> </w:t>
      </w:r>
      <w:r>
        <w:rPr>
          <w:color w:val="231F20"/>
          <w:spacing w:val="-2"/>
        </w:rPr>
        <w:t>USA</w:t>
      </w:r>
      <w:r>
        <w:rPr>
          <w:color w:val="231F20"/>
          <w:spacing w:val="-13"/>
        </w:rPr>
        <w:t> </w:t>
      </w:r>
      <w:r>
        <w:rPr>
          <w:color w:val="231F20"/>
          <w:spacing w:val="-2"/>
        </w:rPr>
        <w:t>depuis</w:t>
      </w:r>
      <w:r>
        <w:rPr>
          <w:color w:val="231F20"/>
          <w:spacing w:val="-13"/>
        </w:rPr>
        <w:t> </w:t>
      </w:r>
      <w:r>
        <w:rPr>
          <w:color w:val="231F20"/>
          <w:spacing w:val="-2"/>
        </w:rPr>
        <w:t>notre</w:t>
      </w:r>
      <w:r>
        <w:rPr>
          <w:color w:val="231F20"/>
          <w:spacing w:val="-13"/>
        </w:rPr>
        <w:t> </w:t>
      </w:r>
      <w:r>
        <w:rPr>
          <w:color w:val="231F20"/>
          <w:spacing w:val="-2"/>
        </w:rPr>
        <w:t>pays,</w:t>
      </w:r>
      <w:r>
        <w:rPr>
          <w:color w:val="231F20"/>
          <w:spacing w:val="-13"/>
        </w:rPr>
        <w:t> </w:t>
      </w:r>
      <w:r>
        <w:rPr>
          <w:color w:val="231F20"/>
          <w:spacing w:val="-2"/>
        </w:rPr>
        <w:t>même</w:t>
      </w:r>
      <w:r>
        <w:rPr>
          <w:color w:val="231F20"/>
          <w:spacing w:val="-13"/>
        </w:rPr>
        <w:t> </w:t>
      </w:r>
      <w:r>
        <w:rPr>
          <w:color w:val="231F20"/>
          <w:spacing w:val="-2"/>
        </w:rPr>
        <w:t>si </w:t>
      </w:r>
      <w:r>
        <w:rPr>
          <w:color w:val="231F20"/>
          <w:spacing w:val="-4"/>
        </w:rPr>
        <w:t>elle</w:t>
      </w:r>
      <w:r>
        <w:rPr>
          <w:color w:val="231F20"/>
          <w:spacing w:val="-13"/>
        </w:rPr>
        <w:t> </w:t>
      </w:r>
      <w:r>
        <w:rPr>
          <w:color w:val="231F20"/>
          <w:spacing w:val="-4"/>
        </w:rPr>
        <w:t>est</w:t>
      </w:r>
      <w:r>
        <w:rPr>
          <w:color w:val="231F20"/>
          <w:spacing w:val="-12"/>
        </w:rPr>
        <w:t> </w:t>
      </w:r>
      <w:r>
        <w:rPr>
          <w:color w:val="231F20"/>
          <w:spacing w:val="-4"/>
        </w:rPr>
        <w:t>ressortissante</w:t>
      </w:r>
      <w:r>
        <w:rPr>
          <w:color w:val="231F20"/>
          <w:spacing w:val="-13"/>
        </w:rPr>
        <w:t> </w:t>
      </w:r>
      <w:r>
        <w:rPr>
          <w:color w:val="231F20"/>
          <w:spacing w:val="-4"/>
        </w:rPr>
        <w:t>d’un</w:t>
      </w:r>
      <w:r>
        <w:rPr>
          <w:color w:val="231F20"/>
          <w:spacing w:val="-12"/>
        </w:rPr>
        <w:t> </w:t>
      </w:r>
      <w:r>
        <w:rPr>
          <w:color w:val="231F20"/>
          <w:spacing w:val="-4"/>
        </w:rPr>
        <w:t>pays</w:t>
      </w:r>
      <w:r>
        <w:rPr>
          <w:color w:val="231F20"/>
          <w:spacing w:val="-13"/>
        </w:rPr>
        <w:t> </w:t>
      </w:r>
      <w:r>
        <w:rPr>
          <w:color w:val="231F20"/>
          <w:spacing w:val="-4"/>
        </w:rPr>
        <w:t>bénéficiaire </w:t>
      </w:r>
      <w:r>
        <w:rPr>
          <w:color w:val="231F20"/>
        </w:rPr>
        <w:t>du</w:t>
      </w:r>
      <w:r>
        <w:rPr>
          <w:color w:val="231F20"/>
          <w:spacing w:val="-17"/>
        </w:rPr>
        <w:t> </w:t>
      </w:r>
      <w:r>
        <w:rPr>
          <w:color w:val="231F20"/>
        </w:rPr>
        <w:t>système</w:t>
      </w:r>
      <w:r>
        <w:rPr>
          <w:color w:val="231F20"/>
          <w:spacing w:val="-16"/>
        </w:rPr>
        <w:t> </w:t>
      </w:r>
      <w:r>
        <w:rPr>
          <w:color w:val="231F20"/>
        </w:rPr>
        <w:t>ESTA</w:t>
      </w:r>
      <w:r>
        <w:rPr>
          <w:color w:val="231F20"/>
          <w:spacing w:val="-17"/>
        </w:rPr>
        <w:t> </w:t>
      </w:r>
      <w:r>
        <w:rPr>
          <w:color w:val="231F20"/>
        </w:rPr>
        <w:t>(exemption</w:t>
      </w:r>
      <w:r>
        <w:rPr>
          <w:color w:val="231F20"/>
          <w:spacing w:val="-16"/>
        </w:rPr>
        <w:t> </w:t>
      </w:r>
      <w:r>
        <w:rPr>
          <w:color w:val="231F20"/>
        </w:rPr>
        <w:t>de</w:t>
      </w:r>
      <w:r>
        <w:rPr>
          <w:color w:val="231F20"/>
          <w:spacing w:val="-17"/>
        </w:rPr>
        <w:t> </w:t>
      </w:r>
      <w:r>
        <w:rPr>
          <w:color w:val="231F20"/>
        </w:rPr>
        <w:t>visa).</w:t>
      </w:r>
      <w:r>
        <w:rPr>
          <w:color w:val="231F20"/>
          <w:spacing w:val="-16"/>
        </w:rPr>
        <w:t> </w:t>
      </w:r>
      <w:r>
        <w:rPr>
          <w:color w:val="231F20"/>
        </w:rPr>
        <w:t>Bien </w:t>
      </w:r>
      <w:r>
        <w:rPr>
          <w:color w:val="231F20"/>
          <w:spacing w:val="-2"/>
        </w:rPr>
        <w:t>entendu,</w:t>
      </w:r>
      <w:r>
        <w:rPr>
          <w:color w:val="231F20"/>
          <w:spacing w:val="-15"/>
        </w:rPr>
        <w:t> </w:t>
      </w:r>
      <w:r>
        <w:rPr>
          <w:color w:val="231F20"/>
          <w:spacing w:val="-2"/>
        </w:rPr>
        <w:t>cette</w:t>
      </w:r>
      <w:r>
        <w:rPr>
          <w:color w:val="231F20"/>
          <w:spacing w:val="-14"/>
        </w:rPr>
        <w:t> </w:t>
      </w:r>
      <w:r>
        <w:rPr>
          <w:color w:val="231F20"/>
          <w:spacing w:val="-2"/>
        </w:rPr>
        <w:t>mesure</w:t>
      </w:r>
      <w:r>
        <w:rPr>
          <w:color w:val="231F20"/>
          <w:spacing w:val="-15"/>
        </w:rPr>
        <w:t> </w:t>
      </w:r>
      <w:r>
        <w:rPr>
          <w:color w:val="231F20"/>
          <w:spacing w:val="-2"/>
        </w:rPr>
        <w:t>a</w:t>
      </w:r>
      <w:r>
        <w:rPr>
          <w:color w:val="231F20"/>
          <w:spacing w:val="-14"/>
        </w:rPr>
        <w:t> </w:t>
      </w:r>
      <w:r>
        <w:rPr>
          <w:color w:val="231F20"/>
          <w:spacing w:val="-2"/>
        </w:rPr>
        <w:t>eu</w:t>
      </w:r>
      <w:r>
        <w:rPr>
          <w:color w:val="231F20"/>
          <w:spacing w:val="-15"/>
        </w:rPr>
        <w:t> </w:t>
      </w:r>
      <w:r>
        <w:rPr>
          <w:color w:val="231F20"/>
          <w:spacing w:val="-2"/>
        </w:rPr>
        <w:t>un</w:t>
      </w:r>
      <w:r>
        <w:rPr>
          <w:color w:val="231F20"/>
          <w:spacing w:val="-14"/>
        </w:rPr>
        <w:t> </w:t>
      </w:r>
      <w:r>
        <w:rPr>
          <w:color w:val="231F20"/>
          <w:spacing w:val="-2"/>
        </w:rPr>
        <w:t>effet</w:t>
      </w:r>
      <w:r>
        <w:rPr>
          <w:color w:val="231F20"/>
          <w:spacing w:val="-15"/>
        </w:rPr>
        <w:t> </w:t>
      </w:r>
      <w:r>
        <w:rPr>
          <w:color w:val="231F20"/>
          <w:spacing w:val="-2"/>
        </w:rPr>
        <w:t>négatif </w:t>
      </w:r>
      <w:r>
        <w:rPr>
          <w:color w:val="231F20"/>
        </w:rPr>
        <w:t>sur</w:t>
      </w:r>
      <w:r>
        <w:rPr>
          <w:color w:val="231F20"/>
          <w:spacing w:val="-5"/>
        </w:rPr>
        <w:t> </w:t>
      </w:r>
      <w:r>
        <w:rPr>
          <w:color w:val="231F20"/>
        </w:rPr>
        <w:t>l’arrivée</w:t>
      </w:r>
      <w:r>
        <w:rPr>
          <w:color w:val="231F20"/>
          <w:spacing w:val="-6"/>
        </w:rPr>
        <w:t> </w:t>
      </w:r>
      <w:r>
        <w:rPr>
          <w:color w:val="231F20"/>
        </w:rPr>
        <w:t>de</w:t>
      </w:r>
      <w:r>
        <w:rPr>
          <w:color w:val="231F20"/>
          <w:spacing w:val="-6"/>
        </w:rPr>
        <w:t> </w:t>
      </w:r>
      <w:r>
        <w:rPr>
          <w:color w:val="231F20"/>
        </w:rPr>
        <w:t>Cubains</w:t>
      </w:r>
      <w:r>
        <w:rPr>
          <w:color w:val="231F20"/>
          <w:spacing w:val="-6"/>
        </w:rPr>
        <w:t> </w:t>
      </w:r>
      <w:r>
        <w:rPr>
          <w:color w:val="231F20"/>
        </w:rPr>
        <w:t>vivant</w:t>
      </w:r>
      <w:r>
        <w:rPr>
          <w:color w:val="231F20"/>
          <w:spacing w:val="-6"/>
        </w:rPr>
        <w:t> </w:t>
      </w:r>
      <w:r>
        <w:rPr>
          <w:color w:val="231F20"/>
        </w:rPr>
        <w:t>à</w:t>
      </w:r>
      <w:r>
        <w:rPr>
          <w:color w:val="231F20"/>
          <w:spacing w:val="-6"/>
        </w:rPr>
        <w:t> </w:t>
      </w:r>
      <w:r>
        <w:rPr>
          <w:color w:val="231F20"/>
        </w:rPr>
        <w:t>l’étranger et</w:t>
      </w:r>
      <w:r>
        <w:rPr>
          <w:color w:val="231F20"/>
          <w:spacing w:val="-17"/>
        </w:rPr>
        <w:t> </w:t>
      </w:r>
      <w:r>
        <w:rPr>
          <w:color w:val="231F20"/>
        </w:rPr>
        <w:t>sur</w:t>
      </w:r>
      <w:r>
        <w:rPr>
          <w:color w:val="231F20"/>
          <w:spacing w:val="-16"/>
        </w:rPr>
        <w:t> </w:t>
      </w:r>
      <w:r>
        <w:rPr>
          <w:color w:val="231F20"/>
        </w:rPr>
        <w:t>celle</w:t>
      </w:r>
      <w:r>
        <w:rPr>
          <w:color w:val="231F20"/>
          <w:spacing w:val="-17"/>
        </w:rPr>
        <w:t> </w:t>
      </w:r>
      <w:r>
        <w:rPr>
          <w:color w:val="231F20"/>
        </w:rPr>
        <w:t>de</w:t>
      </w:r>
      <w:r>
        <w:rPr>
          <w:color w:val="231F20"/>
          <w:spacing w:val="-16"/>
        </w:rPr>
        <w:t> </w:t>
      </w:r>
      <w:r>
        <w:rPr>
          <w:color w:val="231F20"/>
        </w:rPr>
        <w:t>visiteurs</w:t>
      </w:r>
      <w:r>
        <w:rPr>
          <w:color w:val="231F20"/>
          <w:spacing w:val="-17"/>
        </w:rPr>
        <w:t> </w:t>
      </w:r>
      <w:r>
        <w:rPr>
          <w:color w:val="231F20"/>
        </w:rPr>
        <w:t>des</w:t>
      </w:r>
      <w:r>
        <w:rPr>
          <w:color w:val="231F20"/>
          <w:spacing w:val="-16"/>
        </w:rPr>
        <w:t> </w:t>
      </w:r>
      <w:r>
        <w:rPr>
          <w:color w:val="231F20"/>
        </w:rPr>
        <w:t>plus</w:t>
      </w:r>
      <w:r>
        <w:rPr>
          <w:color w:val="231F20"/>
          <w:spacing w:val="-17"/>
        </w:rPr>
        <w:t> </w:t>
      </w:r>
      <w:r>
        <w:rPr>
          <w:color w:val="231F20"/>
        </w:rPr>
        <w:t>de</w:t>
      </w:r>
      <w:r>
        <w:rPr>
          <w:color w:val="231F20"/>
          <w:spacing w:val="-16"/>
        </w:rPr>
        <w:t> </w:t>
      </w:r>
      <w:r>
        <w:rPr>
          <w:color w:val="231F20"/>
        </w:rPr>
        <w:t>50</w:t>
      </w:r>
      <w:r>
        <w:rPr>
          <w:color w:val="231F20"/>
          <w:spacing w:val="-16"/>
        </w:rPr>
        <w:t> </w:t>
      </w:r>
      <w:r>
        <w:rPr>
          <w:color w:val="231F20"/>
        </w:rPr>
        <w:t>pays étrangers exemptés de visas d’entrée aux États-Unis.</w:t>
      </w:r>
      <w:r>
        <w:rPr>
          <w:color w:val="231F20"/>
          <w:spacing w:val="37"/>
        </w:rPr>
        <w:t> </w:t>
      </w:r>
      <w:r>
        <w:rPr>
          <w:color w:val="231F20"/>
        </w:rPr>
        <w:t>Elle</w:t>
      </w:r>
      <w:r>
        <w:rPr>
          <w:color w:val="231F20"/>
          <w:spacing w:val="-15"/>
        </w:rPr>
        <w:t> </w:t>
      </w:r>
      <w:r>
        <w:rPr>
          <w:color w:val="231F20"/>
        </w:rPr>
        <w:t>a</w:t>
      </w:r>
      <w:r>
        <w:rPr>
          <w:color w:val="231F20"/>
          <w:spacing w:val="-15"/>
        </w:rPr>
        <w:t> </w:t>
      </w:r>
      <w:r>
        <w:rPr>
          <w:color w:val="231F20"/>
        </w:rPr>
        <w:t>aussi</w:t>
      </w:r>
      <w:r>
        <w:rPr>
          <w:color w:val="231F20"/>
          <w:spacing w:val="-16"/>
        </w:rPr>
        <w:t> </w:t>
      </w:r>
      <w:r>
        <w:rPr>
          <w:color w:val="231F20"/>
        </w:rPr>
        <w:t>découragé</w:t>
      </w:r>
      <w:r>
        <w:rPr>
          <w:color w:val="231F20"/>
          <w:spacing w:val="-15"/>
        </w:rPr>
        <w:t> </w:t>
      </w:r>
      <w:r>
        <w:rPr>
          <w:color w:val="231F20"/>
        </w:rPr>
        <w:t>l’arrivée d’Étasuniens, même dans le cadre des douze catégories de voyageurs permises par Washington.</w:t>
      </w:r>
    </w:p>
    <w:p>
      <w:pPr>
        <w:pStyle w:val="BodyText"/>
        <w:spacing w:before="97"/>
        <w:ind w:left="414" w:right="1133"/>
      </w:pPr>
      <w:r>
        <w:rPr/>
        <w:br w:type="column"/>
      </w:r>
      <w:r>
        <w:rPr>
          <w:color w:val="231F20"/>
        </w:rPr>
        <w:t>Suite</w:t>
      </w:r>
      <w:r>
        <w:rPr>
          <w:color w:val="231F20"/>
          <w:spacing w:val="-10"/>
        </w:rPr>
        <w:t> </w:t>
      </w:r>
      <w:r>
        <w:rPr>
          <w:color w:val="231F20"/>
        </w:rPr>
        <w:t>à</w:t>
      </w:r>
      <w:r>
        <w:rPr>
          <w:color w:val="231F20"/>
          <w:spacing w:val="-10"/>
        </w:rPr>
        <w:t> </w:t>
      </w:r>
      <w:r>
        <w:rPr>
          <w:color w:val="231F20"/>
        </w:rPr>
        <w:t>la</w:t>
      </w:r>
      <w:r>
        <w:rPr>
          <w:color w:val="231F20"/>
          <w:spacing w:val="-10"/>
        </w:rPr>
        <w:t> </w:t>
      </w:r>
      <w:r>
        <w:rPr>
          <w:color w:val="231F20"/>
        </w:rPr>
        <w:t>persécution</w:t>
      </w:r>
      <w:r>
        <w:rPr>
          <w:color w:val="231F20"/>
          <w:spacing w:val="-10"/>
        </w:rPr>
        <w:t> </w:t>
      </w:r>
      <w:r>
        <w:rPr>
          <w:color w:val="231F20"/>
        </w:rPr>
        <w:t>financière</w:t>
      </w:r>
      <w:r>
        <w:rPr>
          <w:color w:val="231F20"/>
          <w:spacing w:val="-10"/>
        </w:rPr>
        <w:t> </w:t>
      </w:r>
      <w:r>
        <w:rPr>
          <w:color w:val="231F20"/>
        </w:rPr>
        <w:t>à</w:t>
      </w:r>
      <w:r>
        <w:rPr>
          <w:color w:val="231F20"/>
          <w:spacing w:val="-10"/>
        </w:rPr>
        <w:t> </w:t>
      </w:r>
      <w:r>
        <w:rPr>
          <w:color w:val="231F20"/>
        </w:rPr>
        <w:t>laquelle se livre l’administration étasunienne, des </w:t>
      </w:r>
      <w:r>
        <w:rPr>
          <w:color w:val="231F20"/>
          <w:spacing w:val="-2"/>
        </w:rPr>
        <w:t>banques</w:t>
      </w:r>
      <w:r>
        <w:rPr>
          <w:color w:val="231F20"/>
          <w:spacing w:val="-15"/>
        </w:rPr>
        <w:t> </w:t>
      </w:r>
      <w:r>
        <w:rPr>
          <w:color w:val="231F20"/>
          <w:spacing w:val="-2"/>
        </w:rPr>
        <w:t>étrangères</w:t>
      </w:r>
      <w:r>
        <w:rPr>
          <w:color w:val="231F20"/>
          <w:spacing w:val="-14"/>
        </w:rPr>
        <w:t> </w:t>
      </w:r>
      <w:r>
        <w:rPr>
          <w:color w:val="231F20"/>
          <w:spacing w:val="-2"/>
        </w:rPr>
        <w:t>ont</w:t>
      </w:r>
      <w:r>
        <w:rPr>
          <w:color w:val="231F20"/>
          <w:spacing w:val="-15"/>
        </w:rPr>
        <w:t> </w:t>
      </w:r>
      <w:r>
        <w:rPr>
          <w:color w:val="231F20"/>
          <w:spacing w:val="-2"/>
        </w:rPr>
        <w:t>refusé</w:t>
      </w:r>
      <w:r>
        <w:rPr>
          <w:color w:val="231F20"/>
          <w:spacing w:val="-14"/>
        </w:rPr>
        <w:t> </w:t>
      </w:r>
      <w:r>
        <w:rPr>
          <w:color w:val="231F20"/>
          <w:spacing w:val="-2"/>
        </w:rPr>
        <w:t>de</w:t>
      </w:r>
      <w:r>
        <w:rPr>
          <w:color w:val="231F20"/>
          <w:spacing w:val="-15"/>
        </w:rPr>
        <w:t> </w:t>
      </w:r>
      <w:r>
        <w:rPr>
          <w:color w:val="231F20"/>
          <w:spacing w:val="-2"/>
        </w:rPr>
        <w:t>travailler </w:t>
      </w:r>
      <w:r>
        <w:rPr>
          <w:color w:val="231F20"/>
        </w:rPr>
        <w:t>avec Cuba, d’où une réduction drastique des</w:t>
      </w:r>
      <w:r>
        <w:rPr>
          <w:color w:val="231F20"/>
          <w:spacing w:val="80"/>
        </w:rPr>
        <w:t> </w:t>
      </w:r>
      <w:r>
        <w:rPr>
          <w:color w:val="231F20"/>
        </w:rPr>
        <w:t>opérations</w:t>
      </w:r>
      <w:r>
        <w:rPr>
          <w:color w:val="231F20"/>
          <w:spacing w:val="80"/>
        </w:rPr>
        <w:t> </w:t>
      </w:r>
      <w:r>
        <w:rPr>
          <w:color w:val="231F20"/>
        </w:rPr>
        <w:t>commerciales,</w:t>
      </w:r>
      <w:r>
        <w:rPr>
          <w:color w:val="231F20"/>
          <w:spacing w:val="80"/>
        </w:rPr>
        <w:t> </w:t>
      </w:r>
      <w:r>
        <w:rPr>
          <w:color w:val="231F20"/>
        </w:rPr>
        <w:t>ainsi</w:t>
      </w:r>
      <w:r>
        <w:rPr>
          <w:color w:val="231F20"/>
          <w:spacing w:val="80"/>
          <w:w w:val="150"/>
        </w:rPr>
        <w:t> </w:t>
      </w:r>
      <w:r>
        <w:rPr>
          <w:color w:val="231F20"/>
        </w:rPr>
        <w:t>que de la vente des offres touristiques. Havanatour, Groupe international de voyagistes</w:t>
      </w:r>
      <w:r>
        <w:rPr>
          <w:color w:val="231F20"/>
          <w:spacing w:val="-10"/>
        </w:rPr>
        <w:t> </w:t>
      </w:r>
      <w:r>
        <w:rPr>
          <w:color w:val="231F20"/>
        </w:rPr>
        <w:t>et</w:t>
      </w:r>
      <w:r>
        <w:rPr>
          <w:color w:val="231F20"/>
          <w:spacing w:val="-9"/>
        </w:rPr>
        <w:t> </w:t>
      </w:r>
      <w:r>
        <w:rPr>
          <w:color w:val="231F20"/>
        </w:rPr>
        <w:t>d’agences</w:t>
      </w:r>
      <w:r>
        <w:rPr>
          <w:color w:val="231F20"/>
          <w:spacing w:val="-10"/>
        </w:rPr>
        <w:t> </w:t>
      </w:r>
      <w:r>
        <w:rPr>
          <w:color w:val="231F20"/>
        </w:rPr>
        <w:t>de</w:t>
      </w:r>
      <w:r>
        <w:rPr>
          <w:color w:val="231F20"/>
          <w:spacing w:val="-9"/>
        </w:rPr>
        <w:t> </w:t>
      </w:r>
      <w:r>
        <w:rPr>
          <w:color w:val="231F20"/>
        </w:rPr>
        <w:t>voyage,</w:t>
      </w:r>
      <w:r>
        <w:rPr>
          <w:color w:val="231F20"/>
          <w:spacing w:val="-9"/>
        </w:rPr>
        <w:t> </w:t>
      </w:r>
      <w:r>
        <w:rPr>
          <w:color w:val="231F20"/>
        </w:rPr>
        <w:t>leader dans</w:t>
      </w:r>
      <w:r>
        <w:rPr>
          <w:color w:val="231F20"/>
          <w:spacing w:val="-12"/>
        </w:rPr>
        <w:t> </w:t>
      </w:r>
      <w:r>
        <w:rPr>
          <w:color w:val="231F20"/>
        </w:rPr>
        <w:t>la</w:t>
      </w:r>
      <w:r>
        <w:rPr>
          <w:color w:val="231F20"/>
          <w:spacing w:val="-12"/>
        </w:rPr>
        <w:t> </w:t>
      </w:r>
      <w:r>
        <w:rPr>
          <w:color w:val="231F20"/>
        </w:rPr>
        <w:t>promotion</w:t>
      </w:r>
      <w:r>
        <w:rPr>
          <w:color w:val="231F20"/>
          <w:spacing w:val="-12"/>
        </w:rPr>
        <w:t> </w:t>
      </w:r>
      <w:r>
        <w:rPr>
          <w:color w:val="231F20"/>
        </w:rPr>
        <w:t>et</w:t>
      </w:r>
      <w:r>
        <w:rPr>
          <w:color w:val="231F20"/>
          <w:spacing w:val="-12"/>
        </w:rPr>
        <w:t> </w:t>
      </w:r>
      <w:r>
        <w:rPr>
          <w:color w:val="231F20"/>
        </w:rPr>
        <w:t>la</w:t>
      </w:r>
      <w:r>
        <w:rPr>
          <w:color w:val="231F20"/>
          <w:spacing w:val="-12"/>
        </w:rPr>
        <w:t> </w:t>
      </w:r>
      <w:r>
        <w:rPr>
          <w:color w:val="231F20"/>
        </w:rPr>
        <w:t>commercialisation des produits touristiques cubains, a dû fermer ses comptes à l’étranger.</w:t>
      </w:r>
    </w:p>
    <w:p>
      <w:pPr>
        <w:pStyle w:val="BodyText"/>
        <w:spacing w:before="168"/>
        <w:ind w:left="414" w:right="1134"/>
      </w:pPr>
      <w:r>
        <w:rPr>
          <w:color w:val="231F20"/>
          <w:spacing w:val="-6"/>
        </w:rPr>
        <w:t>Qui</w:t>
      </w:r>
      <w:r>
        <w:rPr>
          <w:color w:val="231F20"/>
          <w:spacing w:val="-8"/>
        </w:rPr>
        <w:t> </w:t>
      </w:r>
      <w:r>
        <w:rPr>
          <w:color w:val="231F20"/>
          <w:spacing w:val="-6"/>
        </w:rPr>
        <w:t>plus</w:t>
      </w:r>
      <w:r>
        <w:rPr>
          <w:color w:val="231F20"/>
          <w:spacing w:val="-8"/>
        </w:rPr>
        <w:t> </w:t>
      </w:r>
      <w:r>
        <w:rPr>
          <w:color w:val="231F20"/>
          <w:spacing w:val="-6"/>
        </w:rPr>
        <w:t>est,</w:t>
      </w:r>
      <w:r>
        <w:rPr>
          <w:color w:val="231F20"/>
          <w:spacing w:val="-8"/>
        </w:rPr>
        <w:t> </w:t>
      </w:r>
      <w:r>
        <w:rPr>
          <w:color w:val="231F20"/>
          <w:spacing w:val="-6"/>
        </w:rPr>
        <w:t>le</w:t>
      </w:r>
      <w:r>
        <w:rPr>
          <w:color w:val="231F20"/>
          <w:spacing w:val="-8"/>
        </w:rPr>
        <w:t> </w:t>
      </w:r>
      <w:r>
        <w:rPr>
          <w:color w:val="231F20"/>
          <w:spacing w:val="-6"/>
        </w:rPr>
        <w:t>retard</w:t>
      </w:r>
      <w:r>
        <w:rPr>
          <w:color w:val="231F20"/>
          <w:spacing w:val="-8"/>
        </w:rPr>
        <w:t> </w:t>
      </w:r>
      <w:r>
        <w:rPr>
          <w:color w:val="231F20"/>
          <w:spacing w:val="-6"/>
        </w:rPr>
        <w:t>dans</w:t>
      </w:r>
      <w:r>
        <w:rPr>
          <w:color w:val="231F20"/>
          <w:spacing w:val="-8"/>
        </w:rPr>
        <w:t> </w:t>
      </w:r>
      <w:r>
        <w:rPr>
          <w:color w:val="231F20"/>
          <w:spacing w:val="-6"/>
        </w:rPr>
        <w:t>les</w:t>
      </w:r>
      <w:r>
        <w:rPr>
          <w:color w:val="231F20"/>
          <w:spacing w:val="-8"/>
        </w:rPr>
        <w:t> </w:t>
      </w:r>
      <w:r>
        <w:rPr>
          <w:color w:val="231F20"/>
          <w:spacing w:val="-6"/>
        </w:rPr>
        <w:t>paiements</w:t>
      </w:r>
      <w:r>
        <w:rPr>
          <w:color w:val="231F20"/>
          <w:spacing w:val="-8"/>
        </w:rPr>
        <w:t> </w:t>
      </w:r>
      <w:r>
        <w:rPr>
          <w:color w:val="231F20"/>
          <w:spacing w:val="-6"/>
        </w:rPr>
        <w:t>de </w:t>
      </w:r>
      <w:r>
        <w:rPr>
          <w:color w:val="231F20"/>
        </w:rPr>
        <w:t>la</w:t>
      </w:r>
      <w:r>
        <w:rPr>
          <w:color w:val="231F20"/>
          <w:spacing w:val="-17"/>
        </w:rPr>
        <w:t> </w:t>
      </w:r>
      <w:r>
        <w:rPr>
          <w:color w:val="231F20"/>
        </w:rPr>
        <w:t>part</w:t>
      </w:r>
      <w:r>
        <w:rPr>
          <w:color w:val="231F20"/>
          <w:spacing w:val="-16"/>
        </w:rPr>
        <w:t> </w:t>
      </w:r>
      <w:r>
        <w:rPr>
          <w:color w:val="231F20"/>
        </w:rPr>
        <w:t>des</w:t>
      </w:r>
      <w:r>
        <w:rPr>
          <w:color w:val="231F20"/>
          <w:spacing w:val="-17"/>
        </w:rPr>
        <w:t> </w:t>
      </w:r>
      <w:r>
        <w:rPr>
          <w:color w:val="231F20"/>
        </w:rPr>
        <w:t>banques</w:t>
      </w:r>
      <w:r>
        <w:rPr>
          <w:color w:val="231F20"/>
          <w:spacing w:val="-16"/>
        </w:rPr>
        <w:t> </w:t>
      </w:r>
      <w:r>
        <w:rPr>
          <w:color w:val="231F20"/>
        </w:rPr>
        <w:t>qui</w:t>
      </w:r>
      <w:r>
        <w:rPr>
          <w:color w:val="231F20"/>
          <w:spacing w:val="-17"/>
        </w:rPr>
        <w:t> </w:t>
      </w:r>
      <w:r>
        <w:rPr>
          <w:color w:val="231F20"/>
        </w:rPr>
        <w:t>opèrent</w:t>
      </w:r>
      <w:r>
        <w:rPr>
          <w:color w:val="231F20"/>
          <w:spacing w:val="-16"/>
        </w:rPr>
        <w:t> </w:t>
      </w:r>
      <w:r>
        <w:rPr>
          <w:color w:val="231F20"/>
        </w:rPr>
        <w:t>avec</w:t>
      </w:r>
      <w:r>
        <w:rPr>
          <w:color w:val="231F20"/>
          <w:spacing w:val="-17"/>
        </w:rPr>
        <w:t> </w:t>
      </w:r>
      <w:r>
        <w:rPr>
          <w:color w:val="231F20"/>
        </w:rPr>
        <w:t>Cuba a causé de gros dommages au secteur </w:t>
      </w:r>
      <w:r>
        <w:rPr>
          <w:color w:val="231F20"/>
          <w:spacing w:val="-4"/>
        </w:rPr>
        <w:t>touristique</w:t>
      </w:r>
      <w:r>
        <w:rPr>
          <w:color w:val="231F20"/>
          <w:spacing w:val="-7"/>
        </w:rPr>
        <w:t> </w:t>
      </w:r>
      <w:r>
        <w:rPr>
          <w:color w:val="231F20"/>
          <w:spacing w:val="-4"/>
        </w:rPr>
        <w:t>:</w:t>
      </w:r>
      <w:r>
        <w:rPr>
          <w:color w:val="231F20"/>
          <w:spacing w:val="-7"/>
        </w:rPr>
        <w:t> </w:t>
      </w:r>
      <w:r>
        <w:rPr>
          <w:color w:val="231F20"/>
          <w:spacing w:val="-4"/>
        </w:rPr>
        <w:t>n’étant</w:t>
      </w:r>
      <w:r>
        <w:rPr>
          <w:color w:val="231F20"/>
          <w:spacing w:val="-7"/>
        </w:rPr>
        <w:t> </w:t>
      </w:r>
      <w:r>
        <w:rPr>
          <w:color w:val="231F20"/>
          <w:spacing w:val="-4"/>
        </w:rPr>
        <w:t>pas</w:t>
      </w:r>
      <w:r>
        <w:rPr>
          <w:color w:val="231F20"/>
          <w:spacing w:val="-7"/>
        </w:rPr>
        <w:t> </w:t>
      </w:r>
      <w:r>
        <w:rPr>
          <w:color w:val="231F20"/>
          <w:spacing w:val="-4"/>
        </w:rPr>
        <w:t>autorisées</w:t>
      </w:r>
      <w:r>
        <w:rPr>
          <w:color w:val="231F20"/>
          <w:spacing w:val="-7"/>
        </w:rPr>
        <w:t> </w:t>
      </w:r>
      <w:r>
        <w:rPr>
          <w:color w:val="231F20"/>
          <w:spacing w:val="-4"/>
        </w:rPr>
        <w:t>à</w:t>
      </w:r>
      <w:r>
        <w:rPr>
          <w:color w:val="231F20"/>
          <w:spacing w:val="-7"/>
        </w:rPr>
        <w:t> </w:t>
      </w:r>
      <w:r>
        <w:rPr>
          <w:color w:val="231F20"/>
          <w:spacing w:val="-4"/>
        </w:rPr>
        <w:t>utiliser </w:t>
      </w:r>
      <w:r>
        <w:rPr>
          <w:color w:val="231F20"/>
        </w:rPr>
        <w:t>la monnaie étasunienne, les agences de voyage sont obligées de chercher des modalités d’envoi de fonds extrêmement risquées et coûteuses, qui entraînent parfois plus de trois changes de monnaie et causent par conséquent des pertes monétaires et financières considérables.</w:t>
      </w:r>
    </w:p>
    <w:p>
      <w:pPr>
        <w:pStyle w:val="BodyText"/>
        <w:spacing w:before="169"/>
        <w:ind w:left="414" w:right="1133"/>
      </w:pPr>
      <w:r>
        <w:rPr>
          <w:color w:val="231F20"/>
        </w:rPr>
        <w:t>Les obstacles imposés aux transactions commerciales</w:t>
      </w:r>
      <w:r>
        <w:rPr>
          <w:color w:val="231F20"/>
          <w:spacing w:val="-17"/>
        </w:rPr>
        <w:t> </w:t>
      </w:r>
      <w:r>
        <w:rPr>
          <w:color w:val="231F20"/>
        </w:rPr>
        <w:t>avec</w:t>
      </w:r>
      <w:r>
        <w:rPr>
          <w:color w:val="231F20"/>
          <w:spacing w:val="-16"/>
        </w:rPr>
        <w:t> </w:t>
      </w:r>
      <w:r>
        <w:rPr>
          <w:color w:val="231F20"/>
        </w:rPr>
        <w:t>Cuba</w:t>
      </w:r>
      <w:r>
        <w:rPr>
          <w:color w:val="231F20"/>
          <w:spacing w:val="-17"/>
        </w:rPr>
        <w:t> </w:t>
      </w:r>
      <w:r>
        <w:rPr>
          <w:color w:val="231F20"/>
        </w:rPr>
        <w:t>dans</w:t>
      </w:r>
      <w:r>
        <w:rPr>
          <w:color w:val="231F20"/>
          <w:spacing w:val="-16"/>
        </w:rPr>
        <w:t> </w:t>
      </w:r>
      <w:r>
        <w:rPr>
          <w:color w:val="231F20"/>
        </w:rPr>
        <w:t>un</w:t>
      </w:r>
      <w:r>
        <w:rPr>
          <w:color w:val="231F20"/>
          <w:spacing w:val="-17"/>
        </w:rPr>
        <w:t> </w:t>
      </w:r>
      <w:r>
        <w:rPr>
          <w:color w:val="231F20"/>
        </w:rPr>
        <w:t>contexte de crise économique internationale ont entraîné une diminution des investisseurs potentiels dans ce secteur et entravé, par exemple, le développement des affaires de la société cubaine Palmares et de ses quatre projets inscrits dans le Portefeuille de projets d’investissements étrangers.</w:t>
      </w:r>
    </w:p>
    <w:p>
      <w:pPr>
        <w:pStyle w:val="BodyText"/>
        <w:spacing w:before="167"/>
        <w:ind w:left="414" w:right="1138"/>
      </w:pPr>
      <w:r>
        <w:rPr>
          <w:color w:val="231F20"/>
        </w:rPr>
        <w:t>Le</w:t>
      </w:r>
      <w:r>
        <w:rPr>
          <w:color w:val="231F20"/>
          <w:spacing w:val="-9"/>
        </w:rPr>
        <w:t> </w:t>
      </w:r>
      <w:r>
        <w:rPr>
          <w:color w:val="231F20"/>
        </w:rPr>
        <w:t>projet</w:t>
      </w:r>
      <w:r>
        <w:rPr>
          <w:color w:val="231F20"/>
          <w:spacing w:val="-9"/>
        </w:rPr>
        <w:t> </w:t>
      </w:r>
      <w:r>
        <w:rPr>
          <w:color w:val="231F20"/>
        </w:rPr>
        <w:t>de</w:t>
      </w:r>
      <w:r>
        <w:rPr>
          <w:color w:val="231F20"/>
          <w:spacing w:val="-9"/>
        </w:rPr>
        <w:t> </w:t>
      </w:r>
      <w:r>
        <w:rPr>
          <w:color w:val="231F20"/>
        </w:rPr>
        <w:t>parc</w:t>
      </w:r>
      <w:r>
        <w:rPr>
          <w:color w:val="231F20"/>
          <w:spacing w:val="-9"/>
        </w:rPr>
        <w:t> </w:t>
      </w:r>
      <w:r>
        <w:rPr>
          <w:color w:val="231F20"/>
        </w:rPr>
        <w:t>aquatique</w:t>
      </w:r>
      <w:r>
        <w:rPr>
          <w:color w:val="231F20"/>
          <w:spacing w:val="-9"/>
        </w:rPr>
        <w:t> </w:t>
      </w:r>
      <w:r>
        <w:rPr>
          <w:color w:val="231F20"/>
        </w:rPr>
        <w:t>à</w:t>
      </w:r>
      <w:r>
        <w:rPr>
          <w:color w:val="231F20"/>
          <w:spacing w:val="-9"/>
        </w:rPr>
        <w:t> </w:t>
      </w:r>
      <w:r>
        <w:rPr>
          <w:color w:val="231F20"/>
        </w:rPr>
        <w:t>Varadero,</w:t>
      </w:r>
      <w:r>
        <w:rPr>
          <w:color w:val="231F20"/>
          <w:spacing w:val="-9"/>
        </w:rPr>
        <w:t> </w:t>
      </w:r>
      <w:r>
        <w:rPr>
          <w:color w:val="231F20"/>
        </w:rPr>
        <w:t>le </w:t>
      </w:r>
      <w:r>
        <w:rPr>
          <w:color w:val="231F20"/>
          <w:spacing w:val="-10"/>
        </w:rPr>
        <w:t>principal</w:t>
      </w:r>
      <w:r>
        <w:rPr>
          <w:color w:val="231F20"/>
          <w:spacing w:val="-4"/>
        </w:rPr>
        <w:t> </w:t>
      </w:r>
      <w:r>
        <w:rPr>
          <w:color w:val="231F20"/>
          <w:spacing w:val="-10"/>
        </w:rPr>
        <w:t>pôle</w:t>
      </w:r>
      <w:r>
        <w:rPr>
          <w:color w:val="231F20"/>
          <w:spacing w:val="-4"/>
        </w:rPr>
        <w:t> </w:t>
      </w:r>
      <w:r>
        <w:rPr>
          <w:color w:val="231F20"/>
          <w:spacing w:val="-10"/>
        </w:rPr>
        <w:t>touristique</w:t>
      </w:r>
      <w:r>
        <w:rPr>
          <w:color w:val="231F20"/>
          <w:spacing w:val="-4"/>
        </w:rPr>
        <w:t> </w:t>
      </w:r>
      <w:r>
        <w:rPr>
          <w:color w:val="231F20"/>
          <w:spacing w:val="-10"/>
        </w:rPr>
        <w:t>du</w:t>
      </w:r>
      <w:r>
        <w:rPr>
          <w:color w:val="231F20"/>
          <w:spacing w:val="-4"/>
        </w:rPr>
        <w:t> </w:t>
      </w:r>
      <w:r>
        <w:rPr>
          <w:color w:val="231F20"/>
          <w:spacing w:val="-10"/>
        </w:rPr>
        <w:t>pays,</w:t>
      </w:r>
      <w:r>
        <w:rPr>
          <w:color w:val="231F20"/>
          <w:spacing w:val="-4"/>
        </w:rPr>
        <w:t> </w:t>
      </w:r>
      <w:r>
        <w:rPr>
          <w:color w:val="231F20"/>
          <w:spacing w:val="-10"/>
        </w:rPr>
        <w:t>prévu</w:t>
      </w:r>
      <w:r>
        <w:rPr>
          <w:color w:val="231F20"/>
          <w:spacing w:val="-4"/>
        </w:rPr>
        <w:t> </w:t>
      </w:r>
      <w:r>
        <w:rPr>
          <w:color w:val="231F20"/>
          <w:spacing w:val="-10"/>
        </w:rPr>
        <w:t>sous </w:t>
      </w:r>
      <w:r>
        <w:rPr>
          <w:color w:val="231F20"/>
        </w:rPr>
        <w:t>forme</w:t>
      </w:r>
      <w:r>
        <w:rPr>
          <w:color w:val="231F20"/>
          <w:spacing w:val="-14"/>
        </w:rPr>
        <w:t> </w:t>
      </w:r>
      <w:r>
        <w:rPr>
          <w:color w:val="231F20"/>
        </w:rPr>
        <w:t>de</w:t>
      </w:r>
      <w:r>
        <w:rPr>
          <w:color w:val="231F20"/>
          <w:spacing w:val="-14"/>
        </w:rPr>
        <w:t> </w:t>
      </w:r>
      <w:r>
        <w:rPr>
          <w:color w:val="231F20"/>
        </w:rPr>
        <w:t>société</w:t>
      </w:r>
      <w:r>
        <w:rPr>
          <w:color w:val="231F20"/>
          <w:spacing w:val="-14"/>
        </w:rPr>
        <w:t> </w:t>
      </w:r>
      <w:r>
        <w:rPr>
          <w:color w:val="231F20"/>
        </w:rPr>
        <w:t>mixte,</w:t>
      </w:r>
      <w:r>
        <w:rPr>
          <w:color w:val="231F20"/>
          <w:spacing w:val="-14"/>
        </w:rPr>
        <w:t> </w:t>
      </w:r>
      <w:r>
        <w:rPr>
          <w:color w:val="231F20"/>
        </w:rPr>
        <w:t>n’a</w:t>
      </w:r>
      <w:r>
        <w:rPr>
          <w:color w:val="231F20"/>
          <w:spacing w:val="-14"/>
        </w:rPr>
        <w:t> </w:t>
      </w:r>
      <w:r>
        <w:rPr>
          <w:color w:val="231F20"/>
        </w:rPr>
        <w:t>suscité</w:t>
      </w:r>
      <w:r>
        <w:rPr>
          <w:color w:val="231F20"/>
          <w:spacing w:val="-14"/>
        </w:rPr>
        <w:t> </w:t>
      </w:r>
      <w:r>
        <w:rPr>
          <w:color w:val="231F20"/>
        </w:rPr>
        <w:t>aucune réponse de la part d’environ vingt-cinq </w:t>
      </w:r>
      <w:r>
        <w:rPr>
          <w:color w:val="231F20"/>
          <w:spacing w:val="-8"/>
        </w:rPr>
        <w:t>compagnies invitées à faire des propositions.</w:t>
      </w:r>
    </w:p>
    <w:p>
      <w:pPr>
        <w:pStyle w:val="BodyText"/>
        <w:spacing w:before="164"/>
        <w:ind w:left="414" w:right="1138"/>
      </w:pPr>
      <w:r>
        <w:rPr>
          <w:color w:val="231F20"/>
        </w:rPr>
        <w:t>Par</w:t>
      </w:r>
      <w:r>
        <w:rPr>
          <w:color w:val="231F20"/>
          <w:spacing w:val="-16"/>
        </w:rPr>
        <w:t> </w:t>
      </w:r>
      <w:r>
        <w:rPr>
          <w:color w:val="231F20"/>
        </w:rPr>
        <w:t>ailleurs,</w:t>
      </w:r>
      <w:r>
        <w:rPr>
          <w:color w:val="231F20"/>
          <w:spacing w:val="-16"/>
        </w:rPr>
        <w:t> </w:t>
      </w:r>
      <w:r>
        <w:rPr>
          <w:color w:val="231F20"/>
        </w:rPr>
        <w:t>le</w:t>
      </w:r>
      <w:r>
        <w:rPr>
          <w:color w:val="231F20"/>
          <w:spacing w:val="-16"/>
        </w:rPr>
        <w:t> </w:t>
      </w:r>
      <w:r>
        <w:rPr>
          <w:color w:val="231F20"/>
        </w:rPr>
        <w:t>déploiement</w:t>
      </w:r>
      <w:r>
        <w:rPr>
          <w:color w:val="231F20"/>
          <w:spacing w:val="-16"/>
        </w:rPr>
        <w:t> </w:t>
      </w:r>
      <w:r>
        <w:rPr>
          <w:color w:val="231F20"/>
        </w:rPr>
        <w:t>de</w:t>
      </w:r>
      <w:r>
        <w:rPr>
          <w:color w:val="231F20"/>
          <w:spacing w:val="-16"/>
        </w:rPr>
        <w:t> </w:t>
      </w:r>
      <w:r>
        <w:rPr>
          <w:color w:val="231F20"/>
        </w:rPr>
        <w:t>campagnes </w:t>
      </w:r>
      <w:r>
        <w:rPr>
          <w:color w:val="231F20"/>
          <w:spacing w:val="-10"/>
        </w:rPr>
        <w:t>politiques</w:t>
      </w:r>
      <w:r>
        <w:rPr>
          <w:color w:val="231F20"/>
        </w:rPr>
        <w:t> </w:t>
      </w:r>
      <w:r>
        <w:rPr>
          <w:color w:val="231F20"/>
          <w:spacing w:val="-10"/>
        </w:rPr>
        <w:t>et</w:t>
      </w:r>
      <w:r>
        <w:rPr>
          <w:color w:val="231F20"/>
        </w:rPr>
        <w:t> </w:t>
      </w:r>
      <w:r>
        <w:rPr>
          <w:color w:val="231F20"/>
          <w:spacing w:val="-10"/>
        </w:rPr>
        <w:t>communicationnelles</w:t>
      </w:r>
      <w:r>
        <w:rPr>
          <w:color w:val="231F20"/>
        </w:rPr>
        <w:t> </w:t>
      </w:r>
      <w:r>
        <w:rPr>
          <w:color w:val="231F20"/>
          <w:spacing w:val="-10"/>
        </w:rPr>
        <w:t>agressives </w:t>
      </w:r>
      <w:r>
        <w:rPr>
          <w:color w:val="231F20"/>
          <w:spacing w:val="-4"/>
        </w:rPr>
        <w:t>sur</w:t>
      </w:r>
      <w:r>
        <w:rPr>
          <w:color w:val="231F20"/>
          <w:spacing w:val="-11"/>
        </w:rPr>
        <w:t> </w:t>
      </w:r>
      <w:r>
        <w:rPr>
          <w:color w:val="231F20"/>
          <w:spacing w:val="-4"/>
        </w:rPr>
        <w:t>les</w:t>
      </w:r>
      <w:r>
        <w:rPr>
          <w:color w:val="231F20"/>
          <w:spacing w:val="-11"/>
        </w:rPr>
        <w:t> </w:t>
      </w:r>
      <w:r>
        <w:rPr>
          <w:color w:val="231F20"/>
          <w:spacing w:val="-4"/>
        </w:rPr>
        <w:t>plateformes</w:t>
      </w:r>
      <w:r>
        <w:rPr>
          <w:color w:val="231F20"/>
          <w:spacing w:val="-11"/>
        </w:rPr>
        <w:t> </w:t>
      </w:r>
      <w:r>
        <w:rPr>
          <w:color w:val="231F20"/>
          <w:spacing w:val="-4"/>
        </w:rPr>
        <w:t>numériques,</w:t>
      </w:r>
      <w:r>
        <w:rPr>
          <w:color w:val="231F20"/>
          <w:spacing w:val="-11"/>
        </w:rPr>
        <w:t> </w:t>
      </w:r>
      <w:r>
        <w:rPr>
          <w:color w:val="231F20"/>
          <w:spacing w:val="-4"/>
        </w:rPr>
        <w:t>les</w:t>
      </w:r>
      <w:r>
        <w:rPr>
          <w:color w:val="231F20"/>
          <w:spacing w:val="-11"/>
        </w:rPr>
        <w:t> </w:t>
      </w:r>
      <w:r>
        <w:rPr>
          <w:color w:val="231F20"/>
          <w:spacing w:val="-4"/>
        </w:rPr>
        <w:t>réseaux </w:t>
      </w:r>
      <w:r>
        <w:rPr>
          <w:color w:val="231F20"/>
          <w:spacing w:val="-6"/>
        </w:rPr>
        <w:t>sociaux</w:t>
      </w:r>
      <w:r>
        <w:rPr>
          <w:color w:val="231F20"/>
          <w:spacing w:val="-9"/>
        </w:rPr>
        <w:t> </w:t>
      </w:r>
      <w:r>
        <w:rPr>
          <w:color w:val="231F20"/>
          <w:spacing w:val="-6"/>
        </w:rPr>
        <w:t>et</w:t>
      </w:r>
      <w:r>
        <w:rPr>
          <w:color w:val="231F20"/>
          <w:spacing w:val="-9"/>
        </w:rPr>
        <w:t> </w:t>
      </w:r>
      <w:r>
        <w:rPr>
          <w:color w:val="231F20"/>
          <w:spacing w:val="-6"/>
        </w:rPr>
        <w:t>d’autres</w:t>
      </w:r>
      <w:r>
        <w:rPr>
          <w:color w:val="231F20"/>
          <w:spacing w:val="-9"/>
        </w:rPr>
        <w:t> </w:t>
      </w:r>
      <w:r>
        <w:rPr>
          <w:color w:val="231F20"/>
          <w:spacing w:val="-6"/>
        </w:rPr>
        <w:t>médias</w:t>
      </w:r>
      <w:r>
        <w:rPr>
          <w:color w:val="231F20"/>
          <w:spacing w:val="-9"/>
        </w:rPr>
        <w:t> </w:t>
      </w:r>
      <w:r>
        <w:rPr>
          <w:color w:val="231F20"/>
          <w:spacing w:val="-6"/>
        </w:rPr>
        <w:t>en</w:t>
      </w:r>
      <w:r>
        <w:rPr>
          <w:color w:val="231F20"/>
          <w:spacing w:val="-9"/>
        </w:rPr>
        <w:t> </w:t>
      </w:r>
      <w:r>
        <w:rPr>
          <w:color w:val="231F20"/>
          <w:spacing w:val="-6"/>
        </w:rPr>
        <w:t>vue</w:t>
      </w:r>
      <w:r>
        <w:rPr>
          <w:color w:val="231F20"/>
          <w:spacing w:val="-9"/>
        </w:rPr>
        <w:t> </w:t>
      </w:r>
      <w:r>
        <w:rPr>
          <w:color w:val="231F20"/>
          <w:spacing w:val="-6"/>
        </w:rPr>
        <w:t>de</w:t>
      </w:r>
      <w:r>
        <w:rPr>
          <w:color w:val="231F20"/>
          <w:spacing w:val="-9"/>
        </w:rPr>
        <w:t> </w:t>
      </w:r>
      <w:r>
        <w:rPr>
          <w:color w:val="231F20"/>
          <w:spacing w:val="-6"/>
        </w:rPr>
        <w:t>jeter</w:t>
      </w:r>
      <w:r>
        <w:rPr>
          <w:color w:val="231F20"/>
          <w:spacing w:val="-9"/>
        </w:rPr>
        <w:t> </w:t>
      </w:r>
      <w:r>
        <w:rPr>
          <w:color w:val="231F20"/>
          <w:spacing w:val="-6"/>
        </w:rPr>
        <w:t>le </w:t>
      </w:r>
      <w:r>
        <w:rPr>
          <w:color w:val="231F20"/>
          <w:spacing w:val="-12"/>
        </w:rPr>
        <w:t>discrédit</w:t>
      </w:r>
      <w:r>
        <w:rPr>
          <w:color w:val="231F20"/>
          <w:spacing w:val="-5"/>
        </w:rPr>
        <w:t> </w:t>
      </w:r>
      <w:r>
        <w:rPr>
          <w:color w:val="231F20"/>
          <w:spacing w:val="-12"/>
        </w:rPr>
        <w:t>sur</w:t>
      </w:r>
      <w:r>
        <w:rPr>
          <w:color w:val="231F20"/>
          <w:spacing w:val="-4"/>
        </w:rPr>
        <w:t> </w:t>
      </w:r>
      <w:r>
        <w:rPr>
          <w:color w:val="231F20"/>
          <w:spacing w:val="-12"/>
        </w:rPr>
        <w:t>la</w:t>
      </w:r>
      <w:r>
        <w:rPr>
          <w:color w:val="231F20"/>
          <w:spacing w:val="-5"/>
        </w:rPr>
        <w:t> </w:t>
      </w:r>
      <w:r>
        <w:rPr>
          <w:color w:val="231F20"/>
          <w:spacing w:val="-12"/>
        </w:rPr>
        <w:t>qualité</w:t>
      </w:r>
      <w:r>
        <w:rPr>
          <w:color w:val="231F20"/>
          <w:spacing w:val="-4"/>
        </w:rPr>
        <w:t> </w:t>
      </w:r>
      <w:r>
        <w:rPr>
          <w:color w:val="231F20"/>
          <w:spacing w:val="-12"/>
        </w:rPr>
        <w:t>des</w:t>
      </w:r>
      <w:r>
        <w:rPr>
          <w:color w:val="231F20"/>
          <w:spacing w:val="-5"/>
        </w:rPr>
        <w:t> </w:t>
      </w:r>
      <w:r>
        <w:rPr>
          <w:color w:val="231F20"/>
          <w:spacing w:val="-12"/>
        </w:rPr>
        <w:t>services</w:t>
      </w:r>
      <w:r>
        <w:rPr>
          <w:color w:val="231F20"/>
          <w:spacing w:val="-4"/>
        </w:rPr>
        <w:t> </w:t>
      </w:r>
      <w:r>
        <w:rPr>
          <w:color w:val="231F20"/>
          <w:spacing w:val="-12"/>
        </w:rPr>
        <w:t>touristiques </w:t>
      </w:r>
      <w:r>
        <w:rPr>
          <w:color w:val="231F20"/>
          <w:spacing w:val="-2"/>
        </w:rPr>
        <w:t>cubains</w:t>
      </w:r>
      <w:r>
        <w:rPr>
          <w:color w:val="231F20"/>
          <w:spacing w:val="-15"/>
        </w:rPr>
        <w:t> </w:t>
      </w:r>
      <w:r>
        <w:rPr>
          <w:color w:val="231F20"/>
          <w:spacing w:val="-2"/>
        </w:rPr>
        <w:t>freine</w:t>
      </w:r>
      <w:r>
        <w:rPr>
          <w:color w:val="231F20"/>
          <w:spacing w:val="-15"/>
        </w:rPr>
        <w:t> </w:t>
      </w:r>
      <w:r>
        <w:rPr>
          <w:color w:val="231F20"/>
          <w:spacing w:val="-2"/>
        </w:rPr>
        <w:t>l’arrivée</w:t>
      </w:r>
      <w:r>
        <w:rPr>
          <w:color w:val="231F20"/>
          <w:spacing w:val="-15"/>
        </w:rPr>
        <w:t> </w:t>
      </w:r>
      <w:r>
        <w:rPr>
          <w:color w:val="231F20"/>
          <w:spacing w:val="-2"/>
        </w:rPr>
        <w:t>de</w:t>
      </w:r>
      <w:r>
        <w:rPr>
          <w:color w:val="231F20"/>
          <w:spacing w:val="-15"/>
        </w:rPr>
        <w:t> </w:t>
      </w:r>
      <w:r>
        <w:rPr>
          <w:color w:val="231F20"/>
          <w:spacing w:val="-2"/>
        </w:rPr>
        <w:t>visiteurs.</w:t>
      </w:r>
    </w:p>
    <w:p>
      <w:pPr>
        <w:spacing w:after="0"/>
        <w:sectPr>
          <w:pgSz w:w="11910" w:h="16840"/>
          <w:pgMar w:header="0" w:footer="695" w:top="1240" w:bottom="880" w:left="0" w:right="0"/>
          <w:cols w:num="2" w:equalWidth="0">
            <w:col w:w="5895" w:space="40"/>
            <w:col w:w="5975"/>
          </w:cols>
        </w:sectPr>
      </w:pPr>
    </w:p>
    <w:p>
      <w:pPr>
        <w:spacing w:before="77"/>
        <w:ind w:left="1133" w:right="0" w:firstLine="0"/>
        <w:jc w:val="both"/>
        <w:rPr>
          <w:rFonts w:ascii="Segoe UI Semibold" w:hAnsi="Segoe UI Semibold"/>
          <w:b/>
          <w:i/>
          <w:sz w:val="24"/>
        </w:rPr>
      </w:pPr>
      <w:r>
        <w:rPr>
          <w:b/>
          <w:i/>
          <w:color w:val="B52628"/>
          <w:sz w:val="24"/>
        </w:rPr>
        <w:t>La biotechnologie et l’industrie</w:t>
      </w:r>
      <w:r>
        <w:rPr>
          <w:b/>
          <w:i/>
          <w:color w:val="B52628"/>
          <w:sz w:val="24"/>
        </w:rPr>
        <w:t> pharmaceutique </w:t>
      </w:r>
      <w:r>
        <w:rPr>
          <w:rFonts w:ascii="Segoe UI Semibold" w:hAnsi="Segoe UI Semibold"/>
          <w:b/>
          <w:i/>
          <w:color w:val="231F20"/>
          <w:sz w:val="24"/>
        </w:rPr>
        <w:t>sont deux autres</w:t>
      </w:r>
      <w:r>
        <w:rPr>
          <w:rFonts w:ascii="Segoe UI Semibold" w:hAnsi="Segoe UI Semibold"/>
          <w:b/>
          <w:i/>
          <w:color w:val="231F20"/>
          <w:sz w:val="24"/>
        </w:rPr>
        <w:t> secteurs particulièrement touchés par le blocus, la recherche-développement, la production et la vente de leurs produits souffrant chaque année un manque à gagner significatif.</w:t>
      </w:r>
    </w:p>
    <w:p>
      <w:pPr>
        <w:pStyle w:val="BodyText"/>
        <w:spacing w:before="159"/>
        <w:ind w:left="1133" w:right="1"/>
      </w:pPr>
      <w:r>
        <w:rPr>
          <w:color w:val="231F20"/>
        </w:rPr>
        <w:t>Ce</w:t>
      </w:r>
      <w:r>
        <w:rPr>
          <w:color w:val="231F20"/>
          <w:spacing w:val="-17"/>
        </w:rPr>
        <w:t> </w:t>
      </w:r>
      <w:r>
        <w:rPr>
          <w:color w:val="231F20"/>
        </w:rPr>
        <w:t>secteur</w:t>
      </w:r>
      <w:r>
        <w:rPr>
          <w:color w:val="231F20"/>
          <w:spacing w:val="-16"/>
        </w:rPr>
        <w:t> </w:t>
      </w:r>
      <w:r>
        <w:rPr>
          <w:color w:val="231F20"/>
        </w:rPr>
        <w:t>s’est</w:t>
      </w:r>
      <w:r>
        <w:rPr>
          <w:color w:val="231F20"/>
          <w:spacing w:val="-17"/>
        </w:rPr>
        <w:t> </w:t>
      </w:r>
      <w:r>
        <w:rPr>
          <w:color w:val="231F20"/>
        </w:rPr>
        <w:t>avéré</w:t>
      </w:r>
      <w:r>
        <w:rPr>
          <w:color w:val="231F20"/>
          <w:spacing w:val="-16"/>
        </w:rPr>
        <w:t> </w:t>
      </w:r>
      <w:r>
        <w:rPr>
          <w:color w:val="231F20"/>
        </w:rPr>
        <w:t>un</w:t>
      </w:r>
      <w:r>
        <w:rPr>
          <w:color w:val="231F20"/>
          <w:spacing w:val="-17"/>
        </w:rPr>
        <w:t> </w:t>
      </w:r>
      <w:r>
        <w:rPr>
          <w:color w:val="231F20"/>
        </w:rPr>
        <w:t>pilier</w:t>
      </w:r>
      <w:r>
        <w:rPr>
          <w:color w:val="231F20"/>
          <w:spacing w:val="-16"/>
        </w:rPr>
        <w:t> </w:t>
      </w:r>
      <w:r>
        <w:rPr>
          <w:color w:val="231F20"/>
        </w:rPr>
        <w:t>essentiel</w:t>
      </w:r>
      <w:r>
        <w:rPr>
          <w:color w:val="231F20"/>
          <w:spacing w:val="-17"/>
        </w:rPr>
        <w:t> </w:t>
      </w:r>
      <w:r>
        <w:rPr>
          <w:color w:val="231F20"/>
        </w:rPr>
        <w:t>de </w:t>
      </w:r>
      <w:r>
        <w:rPr>
          <w:color w:val="231F20"/>
          <w:spacing w:val="-2"/>
        </w:rPr>
        <w:t>la</w:t>
      </w:r>
      <w:r>
        <w:rPr>
          <w:color w:val="231F20"/>
          <w:spacing w:val="-14"/>
        </w:rPr>
        <w:t> </w:t>
      </w:r>
      <w:r>
        <w:rPr>
          <w:color w:val="231F20"/>
          <w:spacing w:val="-2"/>
        </w:rPr>
        <w:t>souveraineté</w:t>
      </w:r>
      <w:r>
        <w:rPr>
          <w:color w:val="231F20"/>
          <w:spacing w:val="-14"/>
        </w:rPr>
        <w:t> </w:t>
      </w:r>
      <w:r>
        <w:rPr>
          <w:color w:val="231F20"/>
          <w:spacing w:val="-2"/>
        </w:rPr>
        <w:t>nationale</w:t>
      </w:r>
      <w:r>
        <w:rPr>
          <w:color w:val="231F20"/>
          <w:spacing w:val="-14"/>
        </w:rPr>
        <w:t> </w:t>
      </w:r>
      <w:r>
        <w:rPr>
          <w:color w:val="231F20"/>
          <w:spacing w:val="-2"/>
        </w:rPr>
        <w:t>durant</w:t>
      </w:r>
      <w:r>
        <w:rPr>
          <w:color w:val="231F20"/>
          <w:spacing w:val="-14"/>
        </w:rPr>
        <w:t> </w:t>
      </w:r>
      <w:r>
        <w:rPr>
          <w:color w:val="231F20"/>
          <w:spacing w:val="-2"/>
        </w:rPr>
        <w:t>le</w:t>
      </w:r>
      <w:r>
        <w:rPr>
          <w:color w:val="231F20"/>
          <w:spacing w:val="-14"/>
        </w:rPr>
        <w:t> </w:t>
      </w:r>
      <w:r>
        <w:rPr>
          <w:color w:val="231F20"/>
          <w:spacing w:val="-2"/>
        </w:rPr>
        <w:t>combat </w:t>
      </w:r>
      <w:r>
        <w:rPr>
          <w:color w:val="231F20"/>
        </w:rPr>
        <w:t>contre la pandémie de Covid-19, son développement</w:t>
      </w:r>
      <w:r>
        <w:rPr>
          <w:color w:val="231F20"/>
          <w:spacing w:val="-3"/>
        </w:rPr>
        <w:t> </w:t>
      </w:r>
      <w:r>
        <w:rPr>
          <w:color w:val="231F20"/>
        </w:rPr>
        <w:t>ayant</w:t>
      </w:r>
      <w:r>
        <w:rPr>
          <w:color w:val="231F20"/>
          <w:spacing w:val="-3"/>
        </w:rPr>
        <w:t> </w:t>
      </w:r>
      <w:r>
        <w:rPr>
          <w:color w:val="231F20"/>
        </w:rPr>
        <w:t>permis</w:t>
      </w:r>
      <w:r>
        <w:rPr>
          <w:color w:val="231F20"/>
          <w:spacing w:val="-3"/>
        </w:rPr>
        <w:t> </w:t>
      </w:r>
      <w:r>
        <w:rPr>
          <w:color w:val="231F20"/>
        </w:rPr>
        <w:t>de</w:t>
      </w:r>
      <w:r>
        <w:rPr>
          <w:color w:val="231F20"/>
          <w:spacing w:val="-3"/>
        </w:rPr>
        <w:t> </w:t>
      </w:r>
      <w:r>
        <w:rPr>
          <w:color w:val="231F20"/>
        </w:rPr>
        <w:t>produire cinq candidats vaccinaux, dont trois vaccins grâce auxquels il a été possible</w:t>
      </w:r>
      <w:r>
        <w:rPr>
          <w:color w:val="231F20"/>
          <w:spacing w:val="40"/>
        </w:rPr>
        <w:t> </w:t>
      </w:r>
      <w:r>
        <w:rPr>
          <w:color w:val="231F20"/>
        </w:rPr>
        <w:t>de neutraliser cette maladie et de sauver des milliers de vie. Néanmoins, notre réponse</w:t>
      </w:r>
      <w:r>
        <w:rPr>
          <w:color w:val="231F20"/>
          <w:spacing w:val="-17"/>
        </w:rPr>
        <w:t> </w:t>
      </w:r>
      <w:r>
        <w:rPr>
          <w:color w:val="231F20"/>
        </w:rPr>
        <w:t>aurait</w:t>
      </w:r>
      <w:r>
        <w:rPr>
          <w:color w:val="231F20"/>
          <w:spacing w:val="-16"/>
        </w:rPr>
        <w:t> </w:t>
      </w:r>
      <w:r>
        <w:rPr>
          <w:color w:val="231F20"/>
        </w:rPr>
        <w:t>pu</w:t>
      </w:r>
      <w:r>
        <w:rPr>
          <w:color w:val="231F20"/>
          <w:spacing w:val="-17"/>
        </w:rPr>
        <w:t> </w:t>
      </w:r>
      <w:r>
        <w:rPr>
          <w:color w:val="231F20"/>
        </w:rPr>
        <w:t>être</w:t>
      </w:r>
      <w:r>
        <w:rPr>
          <w:color w:val="231F20"/>
          <w:spacing w:val="-16"/>
        </w:rPr>
        <w:t> </w:t>
      </w:r>
      <w:r>
        <w:rPr>
          <w:color w:val="231F20"/>
        </w:rPr>
        <w:t>plus</w:t>
      </w:r>
      <w:r>
        <w:rPr>
          <w:color w:val="231F20"/>
          <w:spacing w:val="-17"/>
        </w:rPr>
        <w:t> </w:t>
      </w:r>
      <w:r>
        <w:rPr>
          <w:color w:val="231F20"/>
        </w:rPr>
        <w:t>précoce</w:t>
      </w:r>
      <w:r>
        <w:rPr>
          <w:color w:val="231F20"/>
          <w:spacing w:val="-16"/>
        </w:rPr>
        <w:t> </w:t>
      </w:r>
      <w:r>
        <w:rPr>
          <w:color w:val="231F20"/>
        </w:rPr>
        <w:t>et</w:t>
      </w:r>
      <w:r>
        <w:rPr>
          <w:color w:val="231F20"/>
          <w:spacing w:val="-17"/>
        </w:rPr>
        <w:t> </w:t>
      </w:r>
      <w:r>
        <w:rPr>
          <w:color w:val="231F20"/>
        </w:rPr>
        <w:t>plus rapide si le blocus n’avait pas entravé la recherche-développement, la production et l’industrialisation de nos médicaments.</w:t>
      </w:r>
    </w:p>
    <w:p>
      <w:pPr>
        <w:spacing w:before="169"/>
        <w:ind w:left="1133" w:right="1" w:firstLine="0"/>
        <w:jc w:val="both"/>
        <w:rPr>
          <w:i/>
          <w:sz w:val="24"/>
        </w:rPr>
      </w:pPr>
      <w:r>
        <w:rPr>
          <w:i/>
          <w:color w:val="231F20"/>
          <w:sz w:val="24"/>
        </w:rPr>
        <w:t>Durant la période analysée, les préjudices</w:t>
      </w:r>
      <w:r>
        <w:rPr>
          <w:i/>
          <w:color w:val="231F20"/>
          <w:sz w:val="24"/>
        </w:rPr>
        <w:t> </w:t>
      </w:r>
      <w:r>
        <w:rPr>
          <w:i/>
          <w:color w:val="231F20"/>
          <w:spacing w:val="-8"/>
          <w:sz w:val="24"/>
        </w:rPr>
        <w:t>infligés à ce secteur se chiffrent à </w:t>
      </w:r>
      <w:r>
        <w:rPr>
          <w:rFonts w:ascii="Segoe UI Semibold" w:hAnsi="Segoe UI Semibold"/>
          <w:b/>
          <w:i/>
          <w:color w:val="231F20"/>
          <w:spacing w:val="-8"/>
          <w:sz w:val="24"/>
        </w:rPr>
        <w:t>142 896 200</w:t>
      </w:r>
      <w:r>
        <w:rPr>
          <w:rFonts w:ascii="Segoe UI Semibold" w:hAnsi="Segoe UI Semibold"/>
          <w:b/>
          <w:i/>
          <w:color w:val="231F20"/>
          <w:spacing w:val="-8"/>
          <w:sz w:val="24"/>
        </w:rPr>
        <w:t> </w:t>
      </w:r>
      <w:r>
        <w:rPr>
          <w:rFonts w:ascii="Segoe UI Semibold" w:hAnsi="Segoe UI Semibold"/>
          <w:b/>
          <w:i/>
          <w:color w:val="231F20"/>
          <w:spacing w:val="-10"/>
          <w:sz w:val="24"/>
        </w:rPr>
        <w:t>dollars</w:t>
      </w:r>
      <w:r>
        <w:rPr>
          <w:i/>
          <w:color w:val="231F20"/>
          <w:spacing w:val="-10"/>
          <w:sz w:val="24"/>
        </w:rPr>
        <w:t>,</w:t>
      </w:r>
      <w:r>
        <w:rPr>
          <w:i/>
          <w:color w:val="231F20"/>
          <w:spacing w:val="-5"/>
          <w:sz w:val="24"/>
        </w:rPr>
        <w:t> </w:t>
      </w:r>
      <w:r>
        <w:rPr>
          <w:i/>
          <w:color w:val="231F20"/>
          <w:spacing w:val="-10"/>
          <w:sz w:val="24"/>
        </w:rPr>
        <w:t>essentiellement</w:t>
      </w:r>
      <w:r>
        <w:rPr>
          <w:i/>
          <w:color w:val="231F20"/>
          <w:spacing w:val="-5"/>
          <w:sz w:val="24"/>
        </w:rPr>
        <w:t> </w:t>
      </w:r>
      <w:r>
        <w:rPr>
          <w:i/>
          <w:color w:val="231F20"/>
          <w:spacing w:val="-10"/>
          <w:sz w:val="24"/>
        </w:rPr>
        <w:t>du</w:t>
      </w:r>
      <w:r>
        <w:rPr>
          <w:i/>
          <w:color w:val="231F20"/>
          <w:spacing w:val="-5"/>
          <w:sz w:val="24"/>
        </w:rPr>
        <w:t> </w:t>
      </w:r>
      <w:r>
        <w:rPr>
          <w:i/>
          <w:color w:val="231F20"/>
          <w:spacing w:val="-10"/>
          <w:sz w:val="24"/>
        </w:rPr>
        <w:t>fait</w:t>
      </w:r>
      <w:r>
        <w:rPr>
          <w:i/>
          <w:color w:val="231F20"/>
          <w:spacing w:val="-5"/>
          <w:sz w:val="24"/>
        </w:rPr>
        <w:t> </w:t>
      </w:r>
      <w:r>
        <w:rPr>
          <w:i/>
          <w:color w:val="231F20"/>
          <w:spacing w:val="-10"/>
          <w:sz w:val="24"/>
        </w:rPr>
        <w:t>d’un</w:t>
      </w:r>
      <w:r>
        <w:rPr>
          <w:i/>
          <w:color w:val="231F20"/>
          <w:spacing w:val="-5"/>
          <w:sz w:val="24"/>
        </w:rPr>
        <w:t> </w:t>
      </w:r>
      <w:r>
        <w:rPr>
          <w:i/>
          <w:color w:val="231F20"/>
          <w:spacing w:val="-10"/>
          <w:sz w:val="24"/>
        </w:rPr>
        <w:t>manque</w:t>
      </w:r>
      <w:r>
        <w:rPr>
          <w:i/>
          <w:color w:val="231F20"/>
          <w:spacing w:val="-5"/>
          <w:sz w:val="24"/>
        </w:rPr>
        <w:t> </w:t>
      </w:r>
      <w:r>
        <w:rPr>
          <w:i/>
          <w:color w:val="231F20"/>
          <w:spacing w:val="-10"/>
          <w:sz w:val="24"/>
        </w:rPr>
        <w:t>à</w:t>
      </w:r>
      <w:r>
        <w:rPr>
          <w:i/>
          <w:color w:val="231F20"/>
          <w:spacing w:val="-10"/>
          <w:sz w:val="24"/>
        </w:rPr>
        <w:t> </w:t>
      </w:r>
      <w:r>
        <w:rPr>
          <w:i/>
          <w:color w:val="231F20"/>
          <w:spacing w:val="-8"/>
          <w:sz w:val="24"/>
        </w:rPr>
        <w:t>gagner en matière d’exportations, de surcoûts </w:t>
      </w:r>
      <w:r>
        <w:rPr>
          <w:i/>
          <w:color w:val="231F20"/>
          <w:sz w:val="24"/>
        </w:rPr>
        <w:t>pour repositionnement géographique de </w:t>
      </w:r>
      <w:r>
        <w:rPr>
          <w:i/>
          <w:color w:val="231F20"/>
          <w:spacing w:val="-6"/>
          <w:sz w:val="24"/>
        </w:rPr>
        <w:t>notre</w:t>
      </w:r>
      <w:r>
        <w:rPr>
          <w:i/>
          <w:color w:val="231F20"/>
          <w:spacing w:val="-7"/>
          <w:sz w:val="24"/>
        </w:rPr>
        <w:t> </w:t>
      </w:r>
      <w:r>
        <w:rPr>
          <w:i/>
          <w:color w:val="231F20"/>
          <w:spacing w:val="-6"/>
          <w:sz w:val="24"/>
        </w:rPr>
        <w:t>commerce</w:t>
      </w:r>
      <w:r>
        <w:rPr>
          <w:i/>
          <w:color w:val="231F20"/>
          <w:spacing w:val="-4"/>
          <w:sz w:val="24"/>
        </w:rPr>
        <w:t> </w:t>
      </w:r>
      <w:r>
        <w:rPr>
          <w:i/>
          <w:color w:val="231F20"/>
          <w:spacing w:val="-6"/>
          <w:sz w:val="24"/>
        </w:rPr>
        <w:t>et</w:t>
      </w:r>
      <w:r>
        <w:rPr>
          <w:i/>
          <w:color w:val="231F20"/>
          <w:spacing w:val="-5"/>
          <w:sz w:val="24"/>
        </w:rPr>
        <w:t> </w:t>
      </w:r>
      <w:r>
        <w:rPr>
          <w:i/>
          <w:color w:val="231F20"/>
          <w:spacing w:val="-6"/>
          <w:sz w:val="24"/>
        </w:rPr>
        <w:t>des</w:t>
      </w:r>
      <w:r>
        <w:rPr>
          <w:i/>
          <w:color w:val="231F20"/>
          <w:spacing w:val="-4"/>
          <w:sz w:val="24"/>
        </w:rPr>
        <w:t> </w:t>
      </w:r>
      <w:r>
        <w:rPr>
          <w:i/>
          <w:color w:val="231F20"/>
          <w:spacing w:val="-6"/>
          <w:sz w:val="24"/>
        </w:rPr>
        <w:t>sanctions</w:t>
      </w:r>
      <w:r>
        <w:rPr>
          <w:i/>
          <w:color w:val="231F20"/>
          <w:spacing w:val="-4"/>
          <w:sz w:val="24"/>
        </w:rPr>
        <w:t> </w:t>
      </w:r>
      <w:r>
        <w:rPr>
          <w:i/>
          <w:color w:val="231F20"/>
          <w:spacing w:val="-6"/>
          <w:sz w:val="24"/>
        </w:rPr>
        <w:t>monétaires.</w:t>
      </w:r>
    </w:p>
    <w:p>
      <w:pPr>
        <w:pStyle w:val="BodyText"/>
        <w:spacing w:before="163"/>
        <w:ind w:left="1133" w:right="2"/>
      </w:pPr>
      <w:r>
        <w:rPr>
          <w:color w:val="231F20"/>
          <w:spacing w:val="-10"/>
        </w:rPr>
        <w:t>L’Institut</w:t>
      </w:r>
      <w:r>
        <w:rPr>
          <w:color w:val="231F20"/>
          <w:spacing w:val="-7"/>
        </w:rPr>
        <w:t> </w:t>
      </w:r>
      <w:r>
        <w:rPr>
          <w:color w:val="231F20"/>
          <w:spacing w:val="-10"/>
        </w:rPr>
        <w:t>Finlay</w:t>
      </w:r>
      <w:r>
        <w:rPr>
          <w:color w:val="231F20"/>
          <w:spacing w:val="-6"/>
        </w:rPr>
        <w:t> </w:t>
      </w:r>
      <w:r>
        <w:rPr>
          <w:color w:val="231F20"/>
          <w:spacing w:val="-10"/>
        </w:rPr>
        <w:t>de</w:t>
      </w:r>
      <w:r>
        <w:rPr>
          <w:color w:val="231F20"/>
          <w:spacing w:val="-7"/>
        </w:rPr>
        <w:t> </w:t>
      </w:r>
      <w:r>
        <w:rPr>
          <w:color w:val="231F20"/>
          <w:spacing w:val="-10"/>
        </w:rPr>
        <w:t>vaccins</w:t>
      </w:r>
      <w:r>
        <w:rPr>
          <w:color w:val="231F20"/>
          <w:spacing w:val="-6"/>
        </w:rPr>
        <w:t> </w:t>
      </w:r>
      <w:r>
        <w:rPr>
          <w:color w:val="231F20"/>
          <w:spacing w:val="-10"/>
        </w:rPr>
        <w:t>(IFV),</w:t>
      </w:r>
      <w:r>
        <w:rPr>
          <w:color w:val="231F20"/>
          <w:spacing w:val="-7"/>
        </w:rPr>
        <w:t> </w:t>
      </w:r>
      <w:r>
        <w:rPr>
          <w:color w:val="231F20"/>
          <w:spacing w:val="-10"/>
        </w:rPr>
        <w:t>qui</w:t>
      </w:r>
      <w:r>
        <w:rPr>
          <w:color w:val="231F20"/>
          <w:spacing w:val="-6"/>
        </w:rPr>
        <w:t> </w:t>
      </w:r>
      <w:r>
        <w:rPr>
          <w:color w:val="231F20"/>
          <w:spacing w:val="-10"/>
        </w:rPr>
        <w:t>a</w:t>
      </w:r>
      <w:r>
        <w:rPr>
          <w:color w:val="231F20"/>
          <w:spacing w:val="-7"/>
        </w:rPr>
        <w:t> </w:t>
      </w:r>
      <w:r>
        <w:rPr>
          <w:color w:val="231F20"/>
          <w:spacing w:val="-10"/>
        </w:rPr>
        <w:t>fabriqué </w:t>
      </w:r>
      <w:r>
        <w:rPr>
          <w:color w:val="231F20"/>
          <w:spacing w:val="-8"/>
        </w:rPr>
        <w:t>les vaccins cubains Soberana 02 et Soberana </w:t>
      </w:r>
      <w:r>
        <w:rPr>
          <w:color w:val="231F20"/>
          <w:spacing w:val="-18"/>
        </w:rPr>
        <w:t>Plus</w:t>
      </w:r>
      <w:r>
        <w:rPr>
          <w:color w:val="231F20"/>
          <w:spacing w:val="1"/>
        </w:rPr>
        <w:t> </w:t>
      </w:r>
      <w:r>
        <w:rPr>
          <w:color w:val="231F20"/>
          <w:spacing w:val="-18"/>
        </w:rPr>
        <w:t>contre</w:t>
      </w:r>
      <w:r>
        <w:rPr>
          <w:color w:val="231F20"/>
          <w:spacing w:val="2"/>
        </w:rPr>
        <w:t> </w:t>
      </w:r>
      <w:r>
        <w:rPr>
          <w:color w:val="231F20"/>
          <w:spacing w:val="-18"/>
        </w:rPr>
        <w:t>le</w:t>
      </w:r>
      <w:r>
        <w:rPr>
          <w:color w:val="231F20"/>
          <w:spacing w:val="1"/>
        </w:rPr>
        <w:t> </w:t>
      </w:r>
      <w:r>
        <w:rPr>
          <w:color w:val="231F20"/>
          <w:spacing w:val="-18"/>
        </w:rPr>
        <w:t>Covid,</w:t>
      </w:r>
      <w:r>
        <w:rPr>
          <w:color w:val="231F20"/>
          <w:spacing w:val="2"/>
        </w:rPr>
        <w:t> </w:t>
      </w:r>
      <w:r>
        <w:rPr>
          <w:color w:val="231F20"/>
          <w:spacing w:val="-18"/>
        </w:rPr>
        <w:t>a</w:t>
      </w:r>
      <w:r>
        <w:rPr>
          <w:color w:val="231F20"/>
          <w:spacing w:val="1"/>
        </w:rPr>
        <w:t> </w:t>
      </w:r>
      <w:r>
        <w:rPr>
          <w:color w:val="231F20"/>
          <w:spacing w:val="-18"/>
        </w:rPr>
        <w:t>connu,</w:t>
      </w:r>
      <w:r>
        <w:rPr>
          <w:color w:val="231F20"/>
          <w:spacing w:val="2"/>
        </w:rPr>
        <w:t> </w:t>
      </w:r>
      <w:r>
        <w:rPr>
          <w:color w:val="231F20"/>
          <w:spacing w:val="-18"/>
        </w:rPr>
        <w:t>à</w:t>
      </w:r>
      <w:r>
        <w:rPr>
          <w:color w:val="231F20"/>
          <w:spacing w:val="1"/>
        </w:rPr>
        <w:t> </w:t>
      </w:r>
      <w:r>
        <w:rPr>
          <w:color w:val="231F20"/>
          <w:spacing w:val="-18"/>
        </w:rPr>
        <w:t>cause</w:t>
      </w:r>
      <w:r>
        <w:rPr>
          <w:color w:val="231F20"/>
          <w:spacing w:val="2"/>
        </w:rPr>
        <w:t> </w:t>
      </w:r>
      <w:r>
        <w:rPr>
          <w:color w:val="231F20"/>
          <w:spacing w:val="-18"/>
        </w:rPr>
        <w:t>du</w:t>
      </w:r>
      <w:r>
        <w:rPr>
          <w:color w:val="231F20"/>
          <w:spacing w:val="2"/>
        </w:rPr>
        <w:t> </w:t>
      </w:r>
      <w:r>
        <w:rPr>
          <w:color w:val="231F20"/>
          <w:spacing w:val="-18"/>
        </w:rPr>
        <w:t>blocus, </w:t>
      </w:r>
      <w:r>
        <w:rPr>
          <w:color w:val="231F20"/>
          <w:spacing w:val="-6"/>
        </w:rPr>
        <w:t>des</w:t>
      </w:r>
      <w:r>
        <w:rPr>
          <w:color w:val="231F20"/>
          <w:spacing w:val="-11"/>
        </w:rPr>
        <w:t> </w:t>
      </w:r>
      <w:r>
        <w:rPr>
          <w:color w:val="231F20"/>
          <w:spacing w:val="-6"/>
        </w:rPr>
        <w:t>difficultés</w:t>
      </w:r>
      <w:r>
        <w:rPr>
          <w:color w:val="231F20"/>
          <w:spacing w:val="-10"/>
        </w:rPr>
        <w:t> </w:t>
      </w:r>
      <w:r>
        <w:rPr>
          <w:color w:val="231F20"/>
          <w:spacing w:val="-6"/>
        </w:rPr>
        <w:t>sur</w:t>
      </w:r>
      <w:r>
        <w:rPr>
          <w:color w:val="231F20"/>
          <w:spacing w:val="-10"/>
        </w:rPr>
        <w:t> </w:t>
      </w:r>
      <w:r>
        <w:rPr>
          <w:color w:val="231F20"/>
          <w:spacing w:val="-6"/>
        </w:rPr>
        <w:t>un</w:t>
      </w:r>
      <w:r>
        <w:rPr>
          <w:color w:val="231F20"/>
          <w:spacing w:val="-10"/>
        </w:rPr>
        <w:t> </w:t>
      </w:r>
      <w:r>
        <w:rPr>
          <w:color w:val="231F20"/>
          <w:spacing w:val="-6"/>
        </w:rPr>
        <w:t>total</w:t>
      </w:r>
      <w:r>
        <w:rPr>
          <w:color w:val="231F20"/>
          <w:spacing w:val="-11"/>
        </w:rPr>
        <w:t> </w:t>
      </w:r>
      <w:r>
        <w:rPr>
          <w:color w:val="231F20"/>
          <w:spacing w:val="-6"/>
        </w:rPr>
        <w:t>de</w:t>
      </w:r>
      <w:r>
        <w:rPr>
          <w:color w:val="231F20"/>
          <w:spacing w:val="-10"/>
        </w:rPr>
        <w:t> </w:t>
      </w:r>
      <w:r>
        <w:rPr>
          <w:color w:val="231F20"/>
          <w:spacing w:val="-6"/>
        </w:rPr>
        <w:t>14</w:t>
      </w:r>
      <w:r>
        <w:rPr>
          <w:color w:val="231F20"/>
          <w:spacing w:val="-10"/>
        </w:rPr>
        <w:t> </w:t>
      </w:r>
      <w:r>
        <w:rPr>
          <w:color w:val="231F20"/>
          <w:spacing w:val="-6"/>
        </w:rPr>
        <w:t>opérations</w:t>
      </w:r>
      <w:r>
        <w:rPr>
          <w:color w:val="231F20"/>
          <w:spacing w:val="-10"/>
        </w:rPr>
        <w:t> :</w:t>
      </w:r>
    </w:p>
    <w:p>
      <w:pPr>
        <w:pStyle w:val="BodyText"/>
        <w:spacing w:before="3"/>
        <w:ind w:left="1133" w:right="11"/>
      </w:pPr>
      <w:r>
        <w:rPr>
          <w:color w:val="231F20"/>
        </w:rPr>
        <w:t>7</w:t>
      </w:r>
      <w:r>
        <w:rPr>
          <w:color w:val="231F20"/>
          <w:spacing w:val="-9"/>
        </w:rPr>
        <w:t> </w:t>
      </w:r>
      <w:r>
        <w:rPr>
          <w:color w:val="231F20"/>
        </w:rPr>
        <w:t>correspondant</w:t>
      </w:r>
      <w:r>
        <w:rPr>
          <w:color w:val="231F20"/>
          <w:spacing w:val="-9"/>
        </w:rPr>
        <w:t> </w:t>
      </w:r>
      <w:r>
        <w:rPr>
          <w:color w:val="231F20"/>
        </w:rPr>
        <w:t>à</w:t>
      </w:r>
      <w:r>
        <w:rPr>
          <w:color w:val="231F20"/>
          <w:spacing w:val="-9"/>
        </w:rPr>
        <w:t> </w:t>
      </w:r>
      <w:r>
        <w:rPr>
          <w:color w:val="231F20"/>
        </w:rPr>
        <w:t>des</w:t>
      </w:r>
      <w:r>
        <w:rPr>
          <w:color w:val="231F20"/>
          <w:spacing w:val="-9"/>
        </w:rPr>
        <w:t> </w:t>
      </w:r>
      <w:r>
        <w:rPr>
          <w:color w:val="231F20"/>
        </w:rPr>
        <w:t>réactifs</w:t>
      </w:r>
      <w:r>
        <w:rPr>
          <w:color w:val="231F20"/>
          <w:spacing w:val="-9"/>
        </w:rPr>
        <w:t> </w:t>
      </w:r>
      <w:r>
        <w:rPr>
          <w:color w:val="231F20"/>
        </w:rPr>
        <w:t>et</w:t>
      </w:r>
      <w:r>
        <w:rPr>
          <w:color w:val="231F20"/>
          <w:spacing w:val="-9"/>
        </w:rPr>
        <w:t> </w:t>
      </w:r>
      <w:r>
        <w:rPr>
          <w:color w:val="231F20"/>
        </w:rPr>
        <w:t>matières </w:t>
      </w:r>
      <w:r>
        <w:rPr>
          <w:color w:val="231F20"/>
          <w:spacing w:val="-14"/>
        </w:rPr>
        <w:t>premières,</w:t>
      </w:r>
      <w:r>
        <w:rPr>
          <w:color w:val="231F20"/>
          <w:spacing w:val="-2"/>
        </w:rPr>
        <w:t> </w:t>
      </w:r>
      <w:r>
        <w:rPr>
          <w:color w:val="231F20"/>
          <w:spacing w:val="-14"/>
        </w:rPr>
        <w:t>4</w:t>
      </w:r>
      <w:r>
        <w:rPr>
          <w:color w:val="231F20"/>
          <w:spacing w:val="-2"/>
        </w:rPr>
        <w:t> </w:t>
      </w:r>
      <w:r>
        <w:rPr>
          <w:color w:val="231F20"/>
          <w:spacing w:val="-14"/>
        </w:rPr>
        <w:t>à</w:t>
      </w:r>
      <w:r>
        <w:rPr>
          <w:color w:val="231F20"/>
          <w:spacing w:val="-2"/>
        </w:rPr>
        <w:t> </w:t>
      </w:r>
      <w:r>
        <w:rPr>
          <w:color w:val="231F20"/>
          <w:spacing w:val="-14"/>
        </w:rPr>
        <w:t>des</w:t>
      </w:r>
      <w:r>
        <w:rPr>
          <w:color w:val="231F20"/>
          <w:spacing w:val="-2"/>
        </w:rPr>
        <w:t> </w:t>
      </w:r>
      <w:r>
        <w:rPr>
          <w:color w:val="231F20"/>
          <w:spacing w:val="-14"/>
        </w:rPr>
        <w:t>intrants,</w:t>
      </w:r>
      <w:r>
        <w:rPr>
          <w:color w:val="231F20"/>
          <w:spacing w:val="-2"/>
        </w:rPr>
        <w:t> </w:t>
      </w:r>
      <w:r>
        <w:rPr>
          <w:color w:val="231F20"/>
          <w:spacing w:val="-14"/>
        </w:rPr>
        <w:t>et</w:t>
      </w:r>
      <w:r>
        <w:rPr>
          <w:color w:val="231F20"/>
          <w:spacing w:val="-2"/>
        </w:rPr>
        <w:t> </w:t>
      </w:r>
      <w:r>
        <w:rPr>
          <w:color w:val="231F20"/>
          <w:spacing w:val="-14"/>
        </w:rPr>
        <w:t>3</w:t>
      </w:r>
      <w:r>
        <w:rPr>
          <w:color w:val="231F20"/>
          <w:spacing w:val="-2"/>
        </w:rPr>
        <w:t> </w:t>
      </w:r>
      <w:r>
        <w:rPr>
          <w:color w:val="231F20"/>
          <w:spacing w:val="-14"/>
        </w:rPr>
        <w:t>à</w:t>
      </w:r>
      <w:r>
        <w:rPr>
          <w:color w:val="231F20"/>
          <w:spacing w:val="-2"/>
        </w:rPr>
        <w:t> </w:t>
      </w:r>
      <w:r>
        <w:rPr>
          <w:color w:val="231F20"/>
          <w:spacing w:val="-14"/>
        </w:rPr>
        <w:t>des</w:t>
      </w:r>
      <w:r>
        <w:rPr>
          <w:color w:val="231F20"/>
          <w:spacing w:val="-2"/>
        </w:rPr>
        <w:t> </w:t>
      </w:r>
      <w:r>
        <w:rPr>
          <w:color w:val="231F20"/>
          <w:spacing w:val="-14"/>
        </w:rPr>
        <w:t>appareils </w:t>
      </w:r>
      <w:r>
        <w:rPr>
          <w:color w:val="231F20"/>
          <w:spacing w:val="-12"/>
        </w:rPr>
        <w:t>d’origine</w:t>
      </w:r>
      <w:r>
        <w:rPr>
          <w:color w:val="231F20"/>
          <w:spacing w:val="-2"/>
        </w:rPr>
        <w:t> </w:t>
      </w:r>
      <w:r>
        <w:rPr>
          <w:color w:val="231F20"/>
          <w:spacing w:val="-12"/>
        </w:rPr>
        <w:t>étasunienne,</w:t>
      </w:r>
      <w:r>
        <w:rPr>
          <w:color w:val="231F20"/>
          <w:spacing w:val="-2"/>
        </w:rPr>
        <w:t> </w:t>
      </w:r>
      <w:r>
        <w:rPr>
          <w:color w:val="231F20"/>
          <w:spacing w:val="-12"/>
        </w:rPr>
        <w:t>qu’il</w:t>
      </w:r>
      <w:r>
        <w:rPr>
          <w:color w:val="231F20"/>
          <w:spacing w:val="-3"/>
        </w:rPr>
        <w:t> </w:t>
      </w:r>
      <w:r>
        <w:rPr>
          <w:color w:val="231F20"/>
          <w:spacing w:val="-12"/>
        </w:rPr>
        <w:t>a</w:t>
      </w:r>
      <w:r>
        <w:rPr>
          <w:color w:val="231F20"/>
          <w:spacing w:val="-2"/>
        </w:rPr>
        <w:t> </w:t>
      </w:r>
      <w:r>
        <w:rPr>
          <w:color w:val="231F20"/>
          <w:spacing w:val="-12"/>
        </w:rPr>
        <w:t>dû</w:t>
      </w:r>
      <w:r>
        <w:rPr>
          <w:color w:val="231F20"/>
          <w:spacing w:val="-2"/>
        </w:rPr>
        <w:t> </w:t>
      </w:r>
      <w:r>
        <w:rPr>
          <w:color w:val="231F20"/>
          <w:spacing w:val="-12"/>
        </w:rPr>
        <w:t>acquérir</w:t>
      </w:r>
      <w:r>
        <w:rPr>
          <w:color w:val="231F20"/>
          <w:spacing w:val="-2"/>
        </w:rPr>
        <w:t> </w:t>
      </w:r>
      <w:r>
        <w:rPr>
          <w:color w:val="231F20"/>
          <w:spacing w:val="-12"/>
        </w:rPr>
        <w:t>pour </w:t>
      </w:r>
      <w:r>
        <w:rPr>
          <w:color w:val="231F20"/>
          <w:spacing w:val="-4"/>
        </w:rPr>
        <w:t>la</w:t>
      </w:r>
      <w:r>
        <w:rPr>
          <w:color w:val="231F20"/>
          <w:spacing w:val="-11"/>
        </w:rPr>
        <w:t> </w:t>
      </w:r>
      <w:r>
        <w:rPr>
          <w:color w:val="231F20"/>
          <w:spacing w:val="-4"/>
        </w:rPr>
        <w:t>plupart</w:t>
      </w:r>
      <w:r>
        <w:rPr>
          <w:color w:val="231F20"/>
          <w:spacing w:val="-11"/>
        </w:rPr>
        <w:t> </w:t>
      </w:r>
      <w:r>
        <w:rPr>
          <w:color w:val="231F20"/>
          <w:spacing w:val="-4"/>
        </w:rPr>
        <w:t>à</w:t>
      </w:r>
      <w:r>
        <w:rPr>
          <w:color w:val="231F20"/>
          <w:spacing w:val="-11"/>
        </w:rPr>
        <w:t> </w:t>
      </w:r>
      <w:r>
        <w:rPr>
          <w:color w:val="231F20"/>
          <w:spacing w:val="-4"/>
        </w:rPr>
        <w:t>travers</w:t>
      </w:r>
      <w:r>
        <w:rPr>
          <w:color w:val="231F20"/>
          <w:spacing w:val="-11"/>
        </w:rPr>
        <w:t> </w:t>
      </w:r>
      <w:r>
        <w:rPr>
          <w:color w:val="231F20"/>
          <w:spacing w:val="-4"/>
        </w:rPr>
        <w:t>de</w:t>
      </w:r>
      <w:r>
        <w:rPr>
          <w:color w:val="231F20"/>
          <w:spacing w:val="-11"/>
        </w:rPr>
        <w:t> </w:t>
      </w:r>
      <w:r>
        <w:rPr>
          <w:color w:val="231F20"/>
          <w:spacing w:val="-4"/>
        </w:rPr>
        <w:t>tiers,</w:t>
      </w:r>
      <w:r>
        <w:rPr>
          <w:color w:val="231F20"/>
          <w:spacing w:val="-11"/>
        </w:rPr>
        <w:t> </w:t>
      </w:r>
      <w:r>
        <w:rPr>
          <w:color w:val="231F20"/>
          <w:spacing w:val="-4"/>
        </w:rPr>
        <w:t>d’où</w:t>
      </w:r>
      <w:r>
        <w:rPr>
          <w:color w:val="231F20"/>
          <w:spacing w:val="-11"/>
        </w:rPr>
        <w:t> </w:t>
      </w:r>
      <w:r>
        <w:rPr>
          <w:color w:val="231F20"/>
          <w:spacing w:val="-4"/>
        </w:rPr>
        <w:t>un</w:t>
      </w:r>
      <w:r>
        <w:rPr>
          <w:color w:val="231F20"/>
          <w:spacing w:val="-11"/>
        </w:rPr>
        <w:t> </w:t>
      </w:r>
      <w:r>
        <w:rPr>
          <w:color w:val="231F20"/>
          <w:spacing w:val="-4"/>
        </w:rPr>
        <w:t>surcoût important</w:t>
      </w:r>
      <w:r>
        <w:rPr>
          <w:color w:val="231F20"/>
          <w:spacing w:val="-24"/>
        </w:rPr>
        <w:t> </w:t>
      </w:r>
      <w:r>
        <w:rPr>
          <w:color w:val="231F20"/>
          <w:spacing w:val="-4"/>
        </w:rPr>
        <w:t>en</w:t>
      </w:r>
      <w:r>
        <w:rPr>
          <w:color w:val="231F20"/>
          <w:spacing w:val="-24"/>
        </w:rPr>
        <w:t> </w:t>
      </w:r>
      <w:r>
        <w:rPr>
          <w:color w:val="231F20"/>
          <w:spacing w:val="-4"/>
        </w:rPr>
        <w:t>prix</w:t>
      </w:r>
      <w:r>
        <w:rPr>
          <w:color w:val="231F20"/>
          <w:spacing w:val="-24"/>
        </w:rPr>
        <w:t> </w:t>
      </w:r>
      <w:r>
        <w:rPr>
          <w:color w:val="231F20"/>
          <w:spacing w:val="-4"/>
        </w:rPr>
        <w:t>à</w:t>
      </w:r>
      <w:r>
        <w:rPr>
          <w:color w:val="231F20"/>
          <w:spacing w:val="-24"/>
        </w:rPr>
        <w:t> </w:t>
      </w:r>
      <w:r>
        <w:rPr>
          <w:color w:val="231F20"/>
          <w:spacing w:val="-4"/>
        </w:rPr>
        <w:t>l’unité</w:t>
      </w:r>
      <w:r>
        <w:rPr>
          <w:color w:val="231F20"/>
          <w:spacing w:val="-24"/>
        </w:rPr>
        <w:t> </w:t>
      </w:r>
      <w:r>
        <w:rPr>
          <w:color w:val="231F20"/>
          <w:spacing w:val="-4"/>
        </w:rPr>
        <w:t>et</w:t>
      </w:r>
      <w:r>
        <w:rPr>
          <w:color w:val="231F20"/>
          <w:spacing w:val="-24"/>
        </w:rPr>
        <w:t> </w:t>
      </w:r>
      <w:r>
        <w:rPr>
          <w:color w:val="231F20"/>
          <w:spacing w:val="-4"/>
        </w:rPr>
        <w:t>en</w:t>
      </w:r>
      <w:r>
        <w:rPr>
          <w:color w:val="231F20"/>
          <w:spacing w:val="-24"/>
        </w:rPr>
        <w:t> </w:t>
      </w:r>
      <w:r>
        <w:rPr>
          <w:color w:val="231F20"/>
          <w:spacing w:val="-4"/>
        </w:rPr>
        <w:t>fret.</w:t>
      </w:r>
    </w:p>
    <w:p>
      <w:pPr>
        <w:pStyle w:val="BodyText"/>
        <w:spacing w:before="164"/>
        <w:ind w:left="1133" w:right="1"/>
      </w:pPr>
      <w:r>
        <w:rPr>
          <w:color w:val="231F20"/>
        </w:rPr>
        <w:t>La Deutsche Bank et la Royal Bank of Canada</w:t>
      </w:r>
      <w:r>
        <w:rPr>
          <w:color w:val="231F20"/>
          <w:spacing w:val="-1"/>
        </w:rPr>
        <w:t> </w:t>
      </w:r>
      <w:r>
        <w:rPr>
          <w:color w:val="231F20"/>
        </w:rPr>
        <w:t>ont</w:t>
      </w:r>
      <w:r>
        <w:rPr>
          <w:color w:val="231F20"/>
          <w:spacing w:val="-1"/>
        </w:rPr>
        <w:t> </w:t>
      </w:r>
      <w:r>
        <w:rPr>
          <w:color w:val="231F20"/>
        </w:rPr>
        <w:t>refusé</w:t>
      </w:r>
      <w:r>
        <w:rPr>
          <w:color w:val="231F20"/>
          <w:spacing w:val="-1"/>
        </w:rPr>
        <w:t> </w:t>
      </w:r>
      <w:r>
        <w:rPr>
          <w:color w:val="231F20"/>
        </w:rPr>
        <w:t>de</w:t>
      </w:r>
      <w:r>
        <w:rPr>
          <w:color w:val="231F20"/>
          <w:spacing w:val="-1"/>
        </w:rPr>
        <w:t> </w:t>
      </w:r>
      <w:r>
        <w:rPr>
          <w:color w:val="231F20"/>
        </w:rPr>
        <w:t>manière</w:t>
      </w:r>
      <w:r>
        <w:rPr>
          <w:color w:val="231F20"/>
          <w:spacing w:val="-1"/>
        </w:rPr>
        <w:t> </w:t>
      </w:r>
      <w:r>
        <w:rPr>
          <w:color w:val="231F20"/>
        </w:rPr>
        <w:t>réitérée</w:t>
      </w:r>
      <w:r>
        <w:rPr>
          <w:color w:val="231F20"/>
          <w:spacing w:val="-1"/>
        </w:rPr>
        <w:t> </w:t>
      </w:r>
      <w:r>
        <w:rPr>
          <w:color w:val="231F20"/>
        </w:rPr>
        <w:t>de virer</w:t>
      </w:r>
      <w:r>
        <w:rPr>
          <w:color w:val="231F20"/>
          <w:spacing w:val="-3"/>
        </w:rPr>
        <w:t> </w:t>
      </w:r>
      <w:r>
        <w:rPr>
          <w:color w:val="231F20"/>
        </w:rPr>
        <w:t>les</w:t>
      </w:r>
      <w:r>
        <w:rPr>
          <w:color w:val="231F20"/>
          <w:spacing w:val="-3"/>
        </w:rPr>
        <w:t> </w:t>
      </w:r>
      <w:r>
        <w:rPr>
          <w:color w:val="231F20"/>
        </w:rPr>
        <w:t>paiements</w:t>
      </w:r>
      <w:r>
        <w:rPr>
          <w:color w:val="231F20"/>
          <w:spacing w:val="-3"/>
        </w:rPr>
        <w:t> </w:t>
      </w:r>
      <w:r>
        <w:rPr>
          <w:color w:val="231F20"/>
        </w:rPr>
        <w:t>du</w:t>
      </w:r>
      <w:r>
        <w:rPr>
          <w:color w:val="231F20"/>
          <w:spacing w:val="-3"/>
        </w:rPr>
        <w:t> </w:t>
      </w:r>
      <w:r>
        <w:rPr>
          <w:color w:val="231F20"/>
        </w:rPr>
        <w:t>Centre</w:t>
      </w:r>
      <w:r>
        <w:rPr>
          <w:color w:val="231F20"/>
          <w:spacing w:val="-3"/>
        </w:rPr>
        <w:t> </w:t>
      </w:r>
      <w:r>
        <w:rPr>
          <w:color w:val="231F20"/>
        </w:rPr>
        <w:t>d’ingénierie </w:t>
      </w:r>
      <w:r>
        <w:rPr>
          <w:color w:val="231F20"/>
          <w:spacing w:val="-6"/>
        </w:rPr>
        <w:t>génétique</w:t>
      </w:r>
      <w:r>
        <w:rPr>
          <w:color w:val="231F20"/>
          <w:spacing w:val="-11"/>
        </w:rPr>
        <w:t> </w:t>
      </w:r>
      <w:r>
        <w:rPr>
          <w:color w:val="231F20"/>
          <w:spacing w:val="-6"/>
        </w:rPr>
        <w:t>et</w:t>
      </w:r>
      <w:r>
        <w:rPr>
          <w:color w:val="231F20"/>
          <w:spacing w:val="-10"/>
        </w:rPr>
        <w:t> </w:t>
      </w:r>
      <w:r>
        <w:rPr>
          <w:color w:val="231F20"/>
          <w:spacing w:val="-6"/>
        </w:rPr>
        <w:t>de</w:t>
      </w:r>
      <w:r>
        <w:rPr>
          <w:color w:val="231F20"/>
          <w:spacing w:val="-11"/>
        </w:rPr>
        <w:t> </w:t>
      </w:r>
      <w:r>
        <w:rPr>
          <w:color w:val="231F20"/>
          <w:spacing w:val="-6"/>
        </w:rPr>
        <w:t>biotechnologie</w:t>
      </w:r>
      <w:r>
        <w:rPr>
          <w:color w:val="231F20"/>
          <w:spacing w:val="-10"/>
        </w:rPr>
        <w:t> </w:t>
      </w:r>
      <w:r>
        <w:rPr>
          <w:color w:val="231F20"/>
          <w:spacing w:val="-6"/>
        </w:rPr>
        <w:t>(CIGB)</w:t>
      </w:r>
      <w:r>
        <w:rPr>
          <w:color w:val="231F20"/>
          <w:spacing w:val="-11"/>
        </w:rPr>
        <w:t> </w:t>
      </w:r>
      <w:r>
        <w:rPr>
          <w:color w:val="231F20"/>
          <w:spacing w:val="-6"/>
        </w:rPr>
        <w:t>à</w:t>
      </w:r>
      <w:r>
        <w:rPr>
          <w:color w:val="231F20"/>
          <w:spacing w:val="-10"/>
        </w:rPr>
        <w:t> </w:t>
      </w:r>
      <w:r>
        <w:rPr>
          <w:color w:val="231F20"/>
          <w:spacing w:val="-6"/>
        </w:rPr>
        <w:t>des </w:t>
      </w:r>
      <w:r>
        <w:rPr>
          <w:color w:val="231F20"/>
        </w:rPr>
        <w:t>cabinets</w:t>
      </w:r>
      <w:r>
        <w:rPr>
          <w:color w:val="231F20"/>
          <w:spacing w:val="-12"/>
        </w:rPr>
        <w:t> </w:t>
      </w:r>
      <w:r>
        <w:rPr>
          <w:color w:val="231F20"/>
        </w:rPr>
        <w:t>de</w:t>
      </w:r>
      <w:r>
        <w:rPr>
          <w:color w:val="231F20"/>
          <w:spacing w:val="-12"/>
        </w:rPr>
        <w:t> </w:t>
      </w:r>
      <w:r>
        <w:rPr>
          <w:color w:val="231F20"/>
        </w:rPr>
        <w:t>brevets</w:t>
      </w:r>
      <w:r>
        <w:rPr>
          <w:color w:val="231F20"/>
          <w:spacing w:val="-12"/>
        </w:rPr>
        <w:t> </w:t>
      </w:r>
      <w:r>
        <w:rPr>
          <w:color w:val="231F20"/>
        </w:rPr>
        <w:t>qui</w:t>
      </w:r>
      <w:r>
        <w:rPr>
          <w:color w:val="231F20"/>
          <w:spacing w:val="-12"/>
        </w:rPr>
        <w:t> </w:t>
      </w:r>
      <w:r>
        <w:rPr>
          <w:color w:val="231F20"/>
        </w:rPr>
        <w:t>nous</w:t>
      </w:r>
      <w:r>
        <w:rPr>
          <w:color w:val="231F20"/>
          <w:spacing w:val="-12"/>
        </w:rPr>
        <w:t> </w:t>
      </w:r>
      <w:r>
        <w:rPr>
          <w:color w:val="231F20"/>
        </w:rPr>
        <w:t>représentent </w:t>
      </w:r>
      <w:r>
        <w:rPr>
          <w:color w:val="231F20"/>
          <w:spacing w:val="-2"/>
        </w:rPr>
        <w:t>dans</w:t>
      </w:r>
      <w:r>
        <w:rPr>
          <w:color w:val="231F20"/>
          <w:spacing w:val="-15"/>
        </w:rPr>
        <w:t> </w:t>
      </w:r>
      <w:r>
        <w:rPr>
          <w:color w:val="231F20"/>
          <w:spacing w:val="-2"/>
        </w:rPr>
        <w:t>différents</w:t>
      </w:r>
      <w:r>
        <w:rPr>
          <w:color w:val="231F20"/>
          <w:spacing w:val="-14"/>
        </w:rPr>
        <w:t> </w:t>
      </w:r>
      <w:r>
        <w:rPr>
          <w:color w:val="231F20"/>
          <w:spacing w:val="-2"/>
        </w:rPr>
        <w:t>pays,</w:t>
      </w:r>
      <w:r>
        <w:rPr>
          <w:color w:val="231F20"/>
          <w:spacing w:val="-15"/>
        </w:rPr>
        <w:t> </w:t>
      </w:r>
      <w:r>
        <w:rPr>
          <w:color w:val="231F20"/>
          <w:spacing w:val="-2"/>
        </w:rPr>
        <w:t>ce</w:t>
      </w:r>
      <w:r>
        <w:rPr>
          <w:color w:val="231F20"/>
          <w:spacing w:val="-14"/>
        </w:rPr>
        <w:t> </w:t>
      </w:r>
      <w:r>
        <w:rPr>
          <w:color w:val="231F20"/>
          <w:spacing w:val="-2"/>
        </w:rPr>
        <w:t>qui</w:t>
      </w:r>
      <w:r>
        <w:rPr>
          <w:color w:val="231F20"/>
          <w:spacing w:val="-15"/>
        </w:rPr>
        <w:t> </w:t>
      </w:r>
      <w:r>
        <w:rPr>
          <w:color w:val="231F20"/>
          <w:spacing w:val="-2"/>
        </w:rPr>
        <w:t>porte</w:t>
      </w:r>
      <w:r>
        <w:rPr>
          <w:color w:val="231F20"/>
          <w:spacing w:val="-14"/>
        </w:rPr>
        <w:t> </w:t>
      </w:r>
      <w:r>
        <w:rPr>
          <w:color w:val="231F20"/>
          <w:spacing w:val="-2"/>
        </w:rPr>
        <w:t>préjudice à</w:t>
      </w:r>
      <w:r>
        <w:rPr>
          <w:color w:val="231F20"/>
          <w:spacing w:val="-14"/>
        </w:rPr>
        <w:t> </w:t>
      </w:r>
      <w:r>
        <w:rPr>
          <w:color w:val="231F20"/>
          <w:spacing w:val="-2"/>
        </w:rPr>
        <w:t>n’importe</w:t>
      </w:r>
      <w:r>
        <w:rPr>
          <w:color w:val="231F20"/>
          <w:spacing w:val="-14"/>
        </w:rPr>
        <w:t> </w:t>
      </w:r>
      <w:r>
        <w:rPr>
          <w:color w:val="231F20"/>
          <w:spacing w:val="-2"/>
        </w:rPr>
        <w:t>quelle</w:t>
      </w:r>
      <w:r>
        <w:rPr>
          <w:color w:val="231F20"/>
          <w:spacing w:val="-14"/>
        </w:rPr>
        <w:t> </w:t>
      </w:r>
      <w:r>
        <w:rPr>
          <w:color w:val="231F20"/>
          <w:spacing w:val="-2"/>
        </w:rPr>
        <w:t>action</w:t>
      </w:r>
      <w:r>
        <w:rPr>
          <w:color w:val="231F20"/>
          <w:spacing w:val="-14"/>
        </w:rPr>
        <w:t> </w:t>
      </w:r>
      <w:r>
        <w:rPr>
          <w:color w:val="231F20"/>
          <w:spacing w:val="-2"/>
        </w:rPr>
        <w:t>future</w:t>
      </w:r>
      <w:r>
        <w:rPr>
          <w:color w:val="231F20"/>
          <w:spacing w:val="-14"/>
        </w:rPr>
        <w:t> </w:t>
      </w:r>
      <w:r>
        <w:rPr>
          <w:color w:val="231F20"/>
          <w:spacing w:val="-2"/>
        </w:rPr>
        <w:t>en</w:t>
      </w:r>
      <w:r>
        <w:rPr>
          <w:color w:val="231F20"/>
          <w:spacing w:val="-14"/>
        </w:rPr>
        <w:t> </w:t>
      </w:r>
      <w:r>
        <w:rPr>
          <w:color w:val="231F20"/>
          <w:spacing w:val="-2"/>
        </w:rPr>
        <w:t>matière </w:t>
      </w:r>
      <w:r>
        <w:rPr>
          <w:color w:val="231F20"/>
        </w:rPr>
        <w:t>de</w:t>
      </w:r>
      <w:r>
        <w:rPr>
          <w:color w:val="231F20"/>
          <w:spacing w:val="55"/>
        </w:rPr>
        <w:t> </w:t>
      </w:r>
      <w:r>
        <w:rPr>
          <w:color w:val="231F20"/>
        </w:rPr>
        <w:t>négociation,</w:t>
      </w:r>
      <w:r>
        <w:rPr>
          <w:color w:val="231F20"/>
          <w:spacing w:val="55"/>
        </w:rPr>
        <w:t> </w:t>
      </w:r>
      <w:r>
        <w:rPr>
          <w:color w:val="231F20"/>
        </w:rPr>
        <w:t>d’enregistrement</w:t>
      </w:r>
      <w:r>
        <w:rPr>
          <w:color w:val="231F20"/>
          <w:spacing w:val="55"/>
        </w:rPr>
        <w:t> </w:t>
      </w:r>
      <w:r>
        <w:rPr>
          <w:color w:val="231F20"/>
        </w:rPr>
        <w:t>ou</w:t>
      </w:r>
      <w:r>
        <w:rPr>
          <w:color w:val="231F20"/>
          <w:spacing w:val="55"/>
        </w:rPr>
        <w:t> </w:t>
      </w:r>
      <w:r>
        <w:rPr>
          <w:color w:val="231F20"/>
          <w:spacing w:val="-5"/>
        </w:rPr>
        <w:t>de</w:t>
      </w:r>
    </w:p>
    <w:p>
      <w:pPr>
        <w:pStyle w:val="BodyText"/>
        <w:spacing w:before="77"/>
        <w:ind w:left="410"/>
      </w:pPr>
      <w:r>
        <w:rPr/>
        <w:br w:type="column"/>
      </w:r>
      <w:r>
        <w:rPr>
          <w:color w:val="231F20"/>
        </w:rPr>
        <w:t>vente</w:t>
      </w:r>
      <w:r>
        <w:rPr>
          <w:color w:val="231F20"/>
          <w:spacing w:val="-14"/>
        </w:rPr>
        <w:t> </w:t>
      </w:r>
      <w:r>
        <w:rPr>
          <w:color w:val="231F20"/>
        </w:rPr>
        <w:t>de</w:t>
      </w:r>
      <w:r>
        <w:rPr>
          <w:color w:val="231F20"/>
          <w:spacing w:val="-13"/>
        </w:rPr>
        <w:t> </w:t>
      </w:r>
      <w:r>
        <w:rPr>
          <w:color w:val="231F20"/>
        </w:rPr>
        <w:t>nos</w:t>
      </w:r>
      <w:r>
        <w:rPr>
          <w:color w:val="231F20"/>
          <w:spacing w:val="-14"/>
        </w:rPr>
        <w:t> </w:t>
      </w:r>
      <w:r>
        <w:rPr>
          <w:color w:val="231F20"/>
        </w:rPr>
        <w:t>produits</w:t>
      </w:r>
      <w:r>
        <w:rPr>
          <w:color w:val="231F20"/>
          <w:spacing w:val="-13"/>
        </w:rPr>
        <w:t> </w:t>
      </w:r>
      <w:r>
        <w:rPr>
          <w:color w:val="231F20"/>
        </w:rPr>
        <w:t>à</w:t>
      </w:r>
      <w:r>
        <w:rPr>
          <w:color w:val="231F20"/>
          <w:spacing w:val="-13"/>
        </w:rPr>
        <w:t> </w:t>
      </w:r>
      <w:r>
        <w:rPr>
          <w:color w:val="231F20"/>
          <w:spacing w:val="-2"/>
        </w:rPr>
        <w:t>l’étranger.</w:t>
      </w:r>
    </w:p>
    <w:p>
      <w:pPr>
        <w:pStyle w:val="BodyText"/>
        <w:spacing w:before="161"/>
        <w:ind w:left="410" w:right="1482"/>
      </w:pPr>
      <w:r>
        <w:rPr>
          <w:color w:val="231F20"/>
          <w:spacing w:val="-8"/>
        </w:rPr>
        <w:t>Depuis</w:t>
      </w:r>
      <w:r>
        <w:rPr>
          <w:color w:val="231F20"/>
          <w:spacing w:val="-9"/>
        </w:rPr>
        <w:t> </w:t>
      </w:r>
      <w:r>
        <w:rPr>
          <w:color w:val="231F20"/>
          <w:spacing w:val="-8"/>
        </w:rPr>
        <w:t>2021, trois</w:t>
      </w:r>
      <w:r>
        <w:rPr>
          <w:color w:val="231F20"/>
          <w:spacing w:val="-9"/>
        </w:rPr>
        <w:t> </w:t>
      </w:r>
      <w:r>
        <w:rPr>
          <w:color w:val="231F20"/>
          <w:spacing w:val="-8"/>
        </w:rPr>
        <w:t>banques européennes</w:t>
      </w:r>
      <w:r>
        <w:rPr>
          <w:color w:val="231F20"/>
          <w:spacing w:val="-9"/>
        </w:rPr>
        <w:t> </w:t>
      </w:r>
      <w:r>
        <w:rPr>
          <w:color w:val="231F20"/>
          <w:spacing w:val="-8"/>
        </w:rPr>
        <w:t>ont </w:t>
      </w:r>
      <w:r>
        <w:rPr>
          <w:color w:val="231F20"/>
          <w:spacing w:val="-4"/>
        </w:rPr>
        <w:t>refusé</w:t>
      </w:r>
      <w:r>
        <w:rPr>
          <w:color w:val="231F20"/>
          <w:spacing w:val="-13"/>
        </w:rPr>
        <w:t> </w:t>
      </w:r>
      <w:r>
        <w:rPr>
          <w:color w:val="231F20"/>
          <w:spacing w:val="-4"/>
        </w:rPr>
        <w:t>de</w:t>
      </w:r>
      <w:r>
        <w:rPr>
          <w:color w:val="231F20"/>
          <w:spacing w:val="-12"/>
        </w:rPr>
        <w:t> </w:t>
      </w:r>
      <w:r>
        <w:rPr>
          <w:color w:val="231F20"/>
          <w:spacing w:val="-4"/>
        </w:rPr>
        <w:t>faire</w:t>
      </w:r>
      <w:r>
        <w:rPr>
          <w:color w:val="231F20"/>
          <w:spacing w:val="-13"/>
        </w:rPr>
        <w:t> </w:t>
      </w:r>
      <w:r>
        <w:rPr>
          <w:color w:val="231F20"/>
          <w:spacing w:val="-4"/>
        </w:rPr>
        <w:t>des</w:t>
      </w:r>
      <w:r>
        <w:rPr>
          <w:color w:val="231F20"/>
          <w:spacing w:val="-12"/>
        </w:rPr>
        <w:t> </w:t>
      </w:r>
      <w:r>
        <w:rPr>
          <w:color w:val="231F20"/>
          <w:spacing w:val="-4"/>
        </w:rPr>
        <w:t>opérations</w:t>
      </w:r>
      <w:r>
        <w:rPr>
          <w:color w:val="231F20"/>
          <w:spacing w:val="-13"/>
        </w:rPr>
        <w:t> </w:t>
      </w:r>
      <w:r>
        <w:rPr>
          <w:color w:val="231F20"/>
          <w:spacing w:val="-4"/>
        </w:rPr>
        <w:t>avec</w:t>
      </w:r>
      <w:r>
        <w:rPr>
          <w:color w:val="231F20"/>
          <w:spacing w:val="-12"/>
        </w:rPr>
        <w:t> </w:t>
      </w:r>
      <w:r>
        <w:rPr>
          <w:color w:val="231F20"/>
          <w:spacing w:val="-4"/>
        </w:rPr>
        <w:t>la</w:t>
      </w:r>
      <w:r>
        <w:rPr>
          <w:color w:val="231F20"/>
          <w:spacing w:val="-13"/>
        </w:rPr>
        <w:t> </w:t>
      </w:r>
      <w:r>
        <w:rPr>
          <w:color w:val="231F20"/>
          <w:spacing w:val="-4"/>
        </w:rPr>
        <w:t>Banco </w:t>
      </w:r>
      <w:r>
        <w:rPr>
          <w:color w:val="231F20"/>
        </w:rPr>
        <w:t>Financiero Internacional (BFI) et la Banco </w:t>
      </w:r>
      <w:r>
        <w:rPr>
          <w:color w:val="231F20"/>
          <w:spacing w:val="-12"/>
        </w:rPr>
        <w:t>Internacional</w:t>
      </w:r>
      <w:r>
        <w:rPr>
          <w:color w:val="231F20"/>
          <w:spacing w:val="-3"/>
        </w:rPr>
        <w:t> </w:t>
      </w:r>
      <w:r>
        <w:rPr>
          <w:color w:val="231F20"/>
          <w:spacing w:val="-12"/>
        </w:rPr>
        <w:t>de</w:t>
      </w:r>
      <w:r>
        <w:rPr>
          <w:color w:val="231F20"/>
          <w:spacing w:val="-3"/>
        </w:rPr>
        <w:t> </w:t>
      </w:r>
      <w:r>
        <w:rPr>
          <w:color w:val="231F20"/>
          <w:spacing w:val="-12"/>
        </w:rPr>
        <w:t>Comercio</w:t>
      </w:r>
      <w:r>
        <w:rPr>
          <w:color w:val="231F20"/>
          <w:spacing w:val="-3"/>
        </w:rPr>
        <w:t> </w:t>
      </w:r>
      <w:r>
        <w:rPr>
          <w:color w:val="231F20"/>
          <w:spacing w:val="-12"/>
        </w:rPr>
        <w:t>S.A.</w:t>
      </w:r>
      <w:r>
        <w:rPr>
          <w:color w:val="231F20"/>
          <w:spacing w:val="-3"/>
        </w:rPr>
        <w:t> </w:t>
      </w:r>
      <w:r>
        <w:rPr>
          <w:color w:val="231F20"/>
          <w:spacing w:val="-12"/>
        </w:rPr>
        <w:t>(BICSA),</w:t>
      </w:r>
      <w:r>
        <w:rPr>
          <w:color w:val="231F20"/>
          <w:spacing w:val="-3"/>
        </w:rPr>
        <w:t> </w:t>
      </w:r>
      <w:r>
        <w:rPr>
          <w:color w:val="231F20"/>
          <w:spacing w:val="-12"/>
        </w:rPr>
        <w:t>si</w:t>
      </w:r>
      <w:r>
        <w:rPr>
          <w:color w:val="231F20"/>
          <w:spacing w:val="-3"/>
        </w:rPr>
        <w:t> </w:t>
      </w:r>
      <w:r>
        <w:rPr>
          <w:color w:val="231F20"/>
          <w:spacing w:val="-12"/>
        </w:rPr>
        <w:t>bien </w:t>
      </w:r>
      <w:r>
        <w:rPr>
          <w:color w:val="231F20"/>
          <w:spacing w:val="-2"/>
        </w:rPr>
        <w:t>qu’un</w:t>
      </w:r>
      <w:r>
        <w:rPr>
          <w:color w:val="231F20"/>
          <w:spacing w:val="-15"/>
        </w:rPr>
        <w:t> </w:t>
      </w:r>
      <w:r>
        <w:rPr>
          <w:color w:val="231F20"/>
          <w:spacing w:val="-2"/>
        </w:rPr>
        <w:t>fournisseur</w:t>
      </w:r>
      <w:r>
        <w:rPr>
          <w:color w:val="231F20"/>
          <w:spacing w:val="-14"/>
        </w:rPr>
        <w:t> </w:t>
      </w:r>
      <w:r>
        <w:rPr>
          <w:color w:val="231F20"/>
          <w:spacing w:val="-2"/>
        </w:rPr>
        <w:t>a</w:t>
      </w:r>
      <w:r>
        <w:rPr>
          <w:color w:val="231F20"/>
          <w:spacing w:val="-15"/>
        </w:rPr>
        <w:t> </w:t>
      </w:r>
      <w:r>
        <w:rPr>
          <w:color w:val="231F20"/>
          <w:spacing w:val="-2"/>
        </w:rPr>
        <w:t>annulé</w:t>
      </w:r>
      <w:r>
        <w:rPr>
          <w:color w:val="231F20"/>
          <w:spacing w:val="-14"/>
        </w:rPr>
        <w:t> </w:t>
      </w:r>
      <w:r>
        <w:rPr>
          <w:color w:val="231F20"/>
          <w:spacing w:val="-2"/>
        </w:rPr>
        <w:t>les</w:t>
      </w:r>
      <w:r>
        <w:rPr>
          <w:color w:val="231F20"/>
          <w:spacing w:val="-15"/>
        </w:rPr>
        <w:t> </w:t>
      </w:r>
      <w:r>
        <w:rPr>
          <w:color w:val="231F20"/>
          <w:spacing w:val="-2"/>
        </w:rPr>
        <w:t>services</w:t>
      </w:r>
      <w:r>
        <w:rPr>
          <w:color w:val="231F20"/>
          <w:spacing w:val="-14"/>
        </w:rPr>
        <w:t> </w:t>
      </w:r>
      <w:r>
        <w:rPr>
          <w:color w:val="231F20"/>
          <w:spacing w:val="-2"/>
        </w:rPr>
        <w:t>qu’il </w:t>
      </w:r>
      <w:r>
        <w:rPr>
          <w:color w:val="231F20"/>
          <w:spacing w:val="-6"/>
        </w:rPr>
        <w:t>devait</w:t>
      </w:r>
      <w:r>
        <w:rPr>
          <w:color w:val="231F20"/>
          <w:spacing w:val="-11"/>
        </w:rPr>
        <w:t> </w:t>
      </w:r>
      <w:r>
        <w:rPr>
          <w:color w:val="231F20"/>
          <w:spacing w:val="-6"/>
        </w:rPr>
        <w:t>prêter</w:t>
      </w:r>
      <w:r>
        <w:rPr>
          <w:color w:val="231F20"/>
          <w:spacing w:val="-10"/>
        </w:rPr>
        <w:t> </w:t>
      </w:r>
      <w:r>
        <w:rPr>
          <w:color w:val="231F20"/>
          <w:spacing w:val="-6"/>
        </w:rPr>
        <w:t>à</w:t>
      </w:r>
      <w:r>
        <w:rPr>
          <w:color w:val="231F20"/>
          <w:spacing w:val="-11"/>
        </w:rPr>
        <w:t> </w:t>
      </w:r>
      <w:r>
        <w:rPr>
          <w:color w:val="231F20"/>
          <w:spacing w:val="-6"/>
        </w:rPr>
        <w:t>l’usine</w:t>
      </w:r>
      <w:r>
        <w:rPr>
          <w:color w:val="231F20"/>
          <w:spacing w:val="-10"/>
        </w:rPr>
        <w:t> </w:t>
      </w:r>
      <w:r>
        <w:rPr>
          <w:color w:val="231F20"/>
          <w:spacing w:val="-6"/>
        </w:rPr>
        <w:t>du</w:t>
      </w:r>
      <w:r>
        <w:rPr>
          <w:color w:val="231F20"/>
          <w:spacing w:val="-11"/>
        </w:rPr>
        <w:t> </w:t>
      </w:r>
      <w:r>
        <w:rPr>
          <w:color w:val="231F20"/>
          <w:spacing w:val="-6"/>
        </w:rPr>
        <w:t>CIGB</w:t>
      </w:r>
      <w:r>
        <w:rPr>
          <w:color w:val="231F20"/>
          <w:spacing w:val="-10"/>
        </w:rPr>
        <w:t> </w:t>
      </w:r>
      <w:r>
        <w:rPr>
          <w:color w:val="231F20"/>
          <w:spacing w:val="-6"/>
        </w:rPr>
        <w:t>installée</w:t>
      </w:r>
      <w:r>
        <w:rPr>
          <w:color w:val="231F20"/>
          <w:spacing w:val="-11"/>
        </w:rPr>
        <w:t> </w:t>
      </w:r>
      <w:r>
        <w:rPr>
          <w:color w:val="231F20"/>
          <w:spacing w:val="-6"/>
        </w:rPr>
        <w:t>dans </w:t>
      </w:r>
      <w:r>
        <w:rPr>
          <w:color w:val="231F20"/>
          <w:spacing w:val="-12"/>
        </w:rPr>
        <w:t>la</w:t>
      </w:r>
      <w:r>
        <w:rPr>
          <w:color w:val="231F20"/>
          <w:spacing w:val="-5"/>
        </w:rPr>
        <w:t> </w:t>
      </w:r>
      <w:r>
        <w:rPr>
          <w:color w:val="231F20"/>
          <w:spacing w:val="-12"/>
        </w:rPr>
        <w:t>Zone</w:t>
      </w:r>
      <w:r>
        <w:rPr>
          <w:color w:val="231F20"/>
          <w:spacing w:val="-4"/>
        </w:rPr>
        <w:t> </w:t>
      </w:r>
      <w:r>
        <w:rPr>
          <w:color w:val="231F20"/>
          <w:spacing w:val="-12"/>
        </w:rPr>
        <w:t>de</w:t>
      </w:r>
      <w:r>
        <w:rPr>
          <w:color w:val="231F20"/>
          <w:spacing w:val="-5"/>
        </w:rPr>
        <w:t> </w:t>
      </w:r>
      <w:r>
        <w:rPr>
          <w:color w:val="231F20"/>
          <w:spacing w:val="-12"/>
        </w:rPr>
        <w:t>développement</w:t>
      </w:r>
      <w:r>
        <w:rPr>
          <w:color w:val="231F20"/>
          <w:spacing w:val="-4"/>
        </w:rPr>
        <w:t> </w:t>
      </w:r>
      <w:r>
        <w:rPr>
          <w:color w:val="231F20"/>
          <w:spacing w:val="-12"/>
        </w:rPr>
        <w:t>spéciale</w:t>
      </w:r>
      <w:r>
        <w:rPr>
          <w:color w:val="231F20"/>
          <w:spacing w:val="-5"/>
        </w:rPr>
        <w:t> </w:t>
      </w:r>
      <w:r>
        <w:rPr>
          <w:color w:val="231F20"/>
          <w:spacing w:val="-12"/>
        </w:rPr>
        <w:t>de</w:t>
      </w:r>
      <w:r>
        <w:rPr>
          <w:color w:val="231F20"/>
          <w:spacing w:val="-4"/>
        </w:rPr>
        <w:t> </w:t>
      </w:r>
      <w:r>
        <w:rPr>
          <w:color w:val="231F20"/>
          <w:spacing w:val="-12"/>
        </w:rPr>
        <w:t>Mariel, </w:t>
      </w:r>
      <w:r>
        <w:rPr>
          <w:color w:val="231F20"/>
          <w:spacing w:val="-10"/>
        </w:rPr>
        <w:t>qui</w:t>
      </w:r>
      <w:r>
        <w:rPr>
          <w:color w:val="231F20"/>
          <w:spacing w:val="-30"/>
        </w:rPr>
        <w:t> </w:t>
      </w:r>
      <w:r>
        <w:rPr>
          <w:color w:val="231F20"/>
          <w:spacing w:val="-10"/>
        </w:rPr>
        <w:t>produit</w:t>
      </w:r>
      <w:r>
        <w:rPr>
          <w:color w:val="231F20"/>
          <w:spacing w:val="-29"/>
        </w:rPr>
        <w:t> </w:t>
      </w:r>
      <w:r>
        <w:rPr>
          <w:color w:val="231F20"/>
          <w:spacing w:val="-10"/>
        </w:rPr>
        <w:t>le</w:t>
      </w:r>
      <w:r>
        <w:rPr>
          <w:color w:val="231F20"/>
          <w:spacing w:val="-29"/>
        </w:rPr>
        <w:t> </w:t>
      </w:r>
      <w:r>
        <w:rPr>
          <w:color w:val="231F20"/>
          <w:spacing w:val="-10"/>
        </w:rPr>
        <w:t>vaccin</w:t>
      </w:r>
      <w:r>
        <w:rPr>
          <w:color w:val="231F20"/>
          <w:spacing w:val="-29"/>
        </w:rPr>
        <w:t> </w:t>
      </w:r>
      <w:r>
        <w:rPr>
          <w:color w:val="231F20"/>
          <w:spacing w:val="-10"/>
        </w:rPr>
        <w:t>Abdala</w:t>
      </w:r>
      <w:r>
        <w:rPr>
          <w:color w:val="231F20"/>
          <w:spacing w:val="-29"/>
        </w:rPr>
        <w:t> </w:t>
      </w:r>
      <w:r>
        <w:rPr>
          <w:color w:val="231F20"/>
          <w:spacing w:val="-10"/>
        </w:rPr>
        <w:t>contre</w:t>
      </w:r>
      <w:r>
        <w:rPr>
          <w:color w:val="231F20"/>
          <w:spacing w:val="-29"/>
        </w:rPr>
        <w:t> </w:t>
      </w:r>
      <w:r>
        <w:rPr>
          <w:color w:val="231F20"/>
          <w:spacing w:val="-10"/>
        </w:rPr>
        <w:t>le</w:t>
      </w:r>
      <w:r>
        <w:rPr>
          <w:color w:val="231F20"/>
          <w:spacing w:val="-29"/>
        </w:rPr>
        <w:t> </w:t>
      </w:r>
      <w:r>
        <w:rPr>
          <w:color w:val="231F20"/>
          <w:spacing w:val="-10"/>
        </w:rPr>
        <w:t>Covid-</w:t>
      </w:r>
      <w:r>
        <w:rPr>
          <w:color w:val="231F20"/>
          <w:spacing w:val="-12"/>
        </w:rPr>
        <w:t>19.</w:t>
      </w:r>
    </w:p>
    <w:p>
      <w:pPr>
        <w:pStyle w:val="BodyText"/>
        <w:spacing w:before="166"/>
        <w:ind w:left="410" w:right="1473"/>
      </w:pPr>
      <w:r>
        <w:rPr>
          <w:color w:val="231F20"/>
        </w:rPr>
        <w:t>Par</w:t>
      </w:r>
      <w:r>
        <w:rPr>
          <w:color w:val="231F20"/>
          <w:spacing w:val="-10"/>
        </w:rPr>
        <w:t> </w:t>
      </w:r>
      <w:r>
        <w:rPr>
          <w:color w:val="231F20"/>
        </w:rPr>
        <w:t>ailleurs,</w:t>
      </w:r>
      <w:r>
        <w:rPr>
          <w:color w:val="231F20"/>
          <w:spacing w:val="-10"/>
        </w:rPr>
        <w:t> </w:t>
      </w:r>
      <w:r>
        <w:rPr>
          <w:color w:val="231F20"/>
        </w:rPr>
        <w:t>compte</w:t>
      </w:r>
      <w:r>
        <w:rPr>
          <w:color w:val="231F20"/>
          <w:spacing w:val="-10"/>
        </w:rPr>
        <w:t> </w:t>
      </w:r>
      <w:r>
        <w:rPr>
          <w:color w:val="231F20"/>
        </w:rPr>
        <w:t>tenu</w:t>
      </w:r>
      <w:r>
        <w:rPr>
          <w:color w:val="231F20"/>
          <w:spacing w:val="-10"/>
        </w:rPr>
        <w:t> </w:t>
      </w:r>
      <w:r>
        <w:rPr>
          <w:color w:val="231F20"/>
        </w:rPr>
        <w:t>du</w:t>
      </w:r>
      <w:r>
        <w:rPr>
          <w:color w:val="231F20"/>
          <w:spacing w:val="-10"/>
        </w:rPr>
        <w:t> </w:t>
      </w:r>
      <w:r>
        <w:rPr>
          <w:color w:val="231F20"/>
        </w:rPr>
        <w:t>durcissement du blocus, les compagnies étasuniennes intéressées à des négociations et à une future commercialisation du médicament </w:t>
      </w:r>
      <w:r>
        <w:rPr>
          <w:color w:val="231F20"/>
          <w:spacing w:val="-4"/>
        </w:rPr>
        <w:t>cubain</w:t>
      </w:r>
      <w:r>
        <w:rPr>
          <w:color w:val="231F20"/>
          <w:spacing w:val="-13"/>
        </w:rPr>
        <w:t> </w:t>
      </w:r>
      <w:r>
        <w:rPr>
          <w:color w:val="231F20"/>
          <w:spacing w:val="-4"/>
        </w:rPr>
        <w:t>Heberprot-P,</w:t>
      </w:r>
      <w:r>
        <w:rPr>
          <w:color w:val="231F20"/>
          <w:spacing w:val="-12"/>
        </w:rPr>
        <w:t> </w:t>
      </w:r>
      <w:r>
        <w:rPr>
          <w:color w:val="231F20"/>
          <w:spacing w:val="-4"/>
        </w:rPr>
        <w:t>le</w:t>
      </w:r>
      <w:r>
        <w:rPr>
          <w:color w:val="231F20"/>
          <w:spacing w:val="-13"/>
        </w:rPr>
        <w:t> </w:t>
      </w:r>
      <w:r>
        <w:rPr>
          <w:color w:val="231F20"/>
          <w:spacing w:val="-4"/>
        </w:rPr>
        <w:t>seul</w:t>
      </w:r>
      <w:r>
        <w:rPr>
          <w:color w:val="231F20"/>
          <w:spacing w:val="-12"/>
        </w:rPr>
        <w:t> </w:t>
      </w:r>
      <w:r>
        <w:rPr>
          <w:color w:val="231F20"/>
          <w:spacing w:val="-4"/>
        </w:rPr>
        <w:t>produit</w:t>
      </w:r>
      <w:r>
        <w:rPr>
          <w:color w:val="231F20"/>
          <w:spacing w:val="-13"/>
        </w:rPr>
        <w:t> </w:t>
      </w:r>
      <w:r>
        <w:rPr>
          <w:color w:val="231F20"/>
          <w:spacing w:val="-4"/>
        </w:rPr>
        <w:t>existant </w:t>
      </w:r>
      <w:r>
        <w:rPr>
          <w:color w:val="231F20"/>
        </w:rPr>
        <w:t>au monde pour traiter l’ulcère du pied diabétique</w:t>
      </w:r>
      <w:r>
        <w:rPr>
          <w:color w:val="231F20"/>
          <w:spacing w:val="40"/>
        </w:rPr>
        <w:t> </w:t>
      </w:r>
      <w:r>
        <w:rPr>
          <w:color w:val="231F20"/>
        </w:rPr>
        <w:t>et</w:t>
      </w:r>
      <w:r>
        <w:rPr>
          <w:color w:val="231F20"/>
          <w:spacing w:val="40"/>
        </w:rPr>
        <w:t> </w:t>
      </w:r>
      <w:r>
        <w:rPr>
          <w:color w:val="231F20"/>
        </w:rPr>
        <w:t>réduire</w:t>
      </w:r>
      <w:r>
        <w:rPr>
          <w:color w:val="231F20"/>
          <w:spacing w:val="40"/>
        </w:rPr>
        <w:t> </w:t>
      </w:r>
      <w:r>
        <w:rPr>
          <w:color w:val="231F20"/>
        </w:rPr>
        <w:t>significativement</w:t>
      </w:r>
      <w:r>
        <w:rPr>
          <w:color w:val="231F20"/>
          <w:spacing w:val="40"/>
        </w:rPr>
        <w:t> </w:t>
      </w:r>
      <w:r>
        <w:rPr>
          <w:color w:val="231F20"/>
        </w:rPr>
        <w:t>la quantité d’amputation qui en découle, hésitent</w:t>
      </w:r>
      <w:r>
        <w:rPr>
          <w:color w:val="231F20"/>
          <w:spacing w:val="80"/>
          <w:w w:val="150"/>
        </w:rPr>
        <w:t> </w:t>
      </w:r>
      <w:r>
        <w:rPr>
          <w:color w:val="231F20"/>
        </w:rPr>
        <w:t>parce</w:t>
      </w:r>
      <w:r>
        <w:rPr>
          <w:color w:val="231F20"/>
          <w:spacing w:val="80"/>
          <w:w w:val="150"/>
        </w:rPr>
        <w:t> </w:t>
      </w:r>
      <w:r>
        <w:rPr>
          <w:color w:val="231F20"/>
        </w:rPr>
        <w:t>qu’elles</w:t>
      </w:r>
      <w:r>
        <w:rPr>
          <w:color w:val="231F20"/>
          <w:spacing w:val="80"/>
          <w:w w:val="150"/>
        </w:rPr>
        <w:t> </w:t>
      </w:r>
      <w:r>
        <w:rPr>
          <w:color w:val="231F20"/>
        </w:rPr>
        <w:t>comprennent</w:t>
      </w:r>
      <w:r>
        <w:rPr>
          <w:color w:val="231F20"/>
          <w:spacing w:val="40"/>
        </w:rPr>
        <w:t> </w:t>
      </w:r>
      <w:r>
        <w:rPr>
          <w:color w:val="231F20"/>
        </w:rPr>
        <w:t>le risque que cela entraîne pour elles. </w:t>
      </w:r>
      <w:r>
        <w:rPr>
          <w:color w:val="231F20"/>
          <w:spacing w:val="-8"/>
        </w:rPr>
        <w:t>L’exportation de l’Heberprot-P sur le marché </w:t>
      </w:r>
      <w:r>
        <w:rPr>
          <w:color w:val="231F20"/>
          <w:spacing w:val="-2"/>
        </w:rPr>
        <w:t>étasunien</w:t>
      </w:r>
      <w:r>
        <w:rPr>
          <w:color w:val="231F20"/>
          <w:spacing w:val="-15"/>
        </w:rPr>
        <w:t> </w:t>
      </w:r>
      <w:r>
        <w:rPr>
          <w:color w:val="231F20"/>
          <w:spacing w:val="-2"/>
        </w:rPr>
        <w:t>durant</w:t>
      </w:r>
      <w:r>
        <w:rPr>
          <w:color w:val="231F20"/>
          <w:spacing w:val="-14"/>
        </w:rPr>
        <w:t> </w:t>
      </w:r>
      <w:r>
        <w:rPr>
          <w:color w:val="231F20"/>
          <w:spacing w:val="-2"/>
        </w:rPr>
        <w:t>la</w:t>
      </w:r>
      <w:r>
        <w:rPr>
          <w:color w:val="231F20"/>
          <w:spacing w:val="-15"/>
        </w:rPr>
        <w:t> </w:t>
      </w:r>
      <w:r>
        <w:rPr>
          <w:color w:val="231F20"/>
          <w:spacing w:val="-2"/>
        </w:rPr>
        <w:t>période</w:t>
      </w:r>
      <w:r>
        <w:rPr>
          <w:color w:val="231F20"/>
          <w:spacing w:val="-14"/>
        </w:rPr>
        <w:t> </w:t>
      </w:r>
      <w:r>
        <w:rPr>
          <w:color w:val="231F20"/>
          <w:spacing w:val="-2"/>
        </w:rPr>
        <w:t>analysée</w:t>
      </w:r>
      <w:r>
        <w:rPr>
          <w:color w:val="231F20"/>
          <w:spacing w:val="-15"/>
        </w:rPr>
        <w:t> </w:t>
      </w:r>
      <w:r>
        <w:rPr>
          <w:color w:val="231F20"/>
          <w:spacing w:val="-2"/>
        </w:rPr>
        <w:t>aurait </w:t>
      </w:r>
      <w:r>
        <w:rPr>
          <w:color w:val="231F20"/>
        </w:rPr>
        <w:t>rapporté environ 105 millions de dollars.</w:t>
      </w:r>
    </w:p>
    <w:p>
      <w:pPr>
        <w:pStyle w:val="BodyText"/>
        <w:spacing w:before="170"/>
        <w:ind w:left="410" w:right="1471"/>
      </w:pPr>
      <w:r>
        <w:rPr>
          <w:color w:val="231F20"/>
        </w:rPr>
        <w:t>Les dommages et les préjudices causés par le blocus aux communications et à </w:t>
      </w:r>
      <w:r>
        <w:rPr>
          <w:color w:val="231F20"/>
          <w:spacing w:val="-2"/>
        </w:rPr>
        <w:t>l’informatique,dontlestélécommunications, </w:t>
      </w:r>
      <w:r>
        <w:rPr>
          <w:color w:val="231F20"/>
          <w:spacing w:val="-8"/>
        </w:rPr>
        <w:t>ont été estimés à 41 270 050 dollars de mars </w:t>
      </w:r>
      <w:r>
        <w:rPr>
          <w:color w:val="231F20"/>
        </w:rPr>
        <w:t>2022 à février 2023. L’entreprise cubaine ETECSA continue d’être la plus touchée, à hauteur</w:t>
      </w:r>
      <w:r>
        <w:rPr>
          <w:color w:val="231F20"/>
          <w:spacing w:val="-2"/>
        </w:rPr>
        <w:t> </w:t>
      </w:r>
      <w:r>
        <w:rPr>
          <w:color w:val="231F20"/>
        </w:rPr>
        <w:t>de</w:t>
      </w:r>
      <w:r>
        <w:rPr>
          <w:color w:val="231F20"/>
          <w:spacing w:val="-1"/>
        </w:rPr>
        <w:t> </w:t>
      </w:r>
      <w:r>
        <w:rPr>
          <w:color w:val="231F20"/>
        </w:rPr>
        <w:t>40</w:t>
      </w:r>
      <w:r>
        <w:rPr>
          <w:color w:val="231F20"/>
          <w:spacing w:val="-2"/>
        </w:rPr>
        <w:t> </w:t>
      </w:r>
      <w:r>
        <w:rPr>
          <w:color w:val="231F20"/>
        </w:rPr>
        <w:t>901</w:t>
      </w:r>
      <w:r>
        <w:rPr>
          <w:color w:val="231F20"/>
          <w:spacing w:val="-2"/>
        </w:rPr>
        <w:t> </w:t>
      </w:r>
      <w:r>
        <w:rPr>
          <w:color w:val="231F20"/>
        </w:rPr>
        <w:t>400</w:t>
      </w:r>
      <w:r>
        <w:rPr>
          <w:color w:val="231F20"/>
          <w:spacing w:val="-1"/>
        </w:rPr>
        <w:t> </w:t>
      </w:r>
      <w:r>
        <w:rPr>
          <w:color w:val="231F20"/>
        </w:rPr>
        <w:t>dollars,</w:t>
      </w:r>
      <w:r>
        <w:rPr>
          <w:color w:val="231F20"/>
          <w:spacing w:val="-2"/>
        </w:rPr>
        <w:t> </w:t>
      </w:r>
      <w:r>
        <w:rPr>
          <w:color w:val="231F20"/>
        </w:rPr>
        <w:t>soit</w:t>
      </w:r>
      <w:r>
        <w:rPr>
          <w:color w:val="231F20"/>
          <w:spacing w:val="-1"/>
        </w:rPr>
        <w:t> </w:t>
      </w:r>
      <w:r>
        <w:rPr>
          <w:color w:val="231F20"/>
        </w:rPr>
        <w:t>99,1</w:t>
      </w:r>
      <w:r>
        <w:rPr>
          <w:color w:val="231F20"/>
          <w:spacing w:val="-1"/>
        </w:rPr>
        <w:t> </w:t>
      </w:r>
      <w:r>
        <w:rPr>
          <w:color w:val="231F20"/>
          <w:spacing w:val="-5"/>
        </w:rPr>
        <w:t>p.</w:t>
      </w:r>
    </w:p>
    <w:p>
      <w:pPr>
        <w:pStyle w:val="BodyText"/>
        <w:spacing w:before="5"/>
        <w:ind w:left="410"/>
      </w:pPr>
      <w:r>
        <w:rPr>
          <w:color w:val="231F20"/>
        </w:rPr>
        <w:t>100</w:t>
      </w:r>
      <w:r>
        <w:rPr>
          <w:color w:val="231F20"/>
          <w:spacing w:val="-10"/>
        </w:rPr>
        <w:t> </w:t>
      </w:r>
      <w:r>
        <w:rPr>
          <w:color w:val="231F20"/>
        </w:rPr>
        <w:t>du</w:t>
      </w:r>
      <w:r>
        <w:rPr>
          <w:color w:val="231F20"/>
          <w:spacing w:val="-9"/>
        </w:rPr>
        <w:t> </w:t>
      </w:r>
      <w:r>
        <w:rPr>
          <w:color w:val="231F20"/>
          <w:spacing w:val="-2"/>
        </w:rPr>
        <w:t>total.</w:t>
      </w:r>
    </w:p>
    <w:p>
      <w:pPr>
        <w:pStyle w:val="BodyText"/>
        <w:spacing w:before="161"/>
        <w:ind w:left="410" w:right="1470"/>
      </w:pPr>
      <w:r>
        <w:rPr>
          <w:color w:val="231F20"/>
        </w:rPr>
        <w:t>L’administration étasunienne continue de </w:t>
      </w:r>
      <w:r>
        <w:rPr>
          <w:color w:val="231F20"/>
          <w:spacing w:val="-8"/>
        </w:rPr>
        <w:t>harceler</w:t>
      </w:r>
      <w:r>
        <w:rPr>
          <w:color w:val="231F20"/>
          <w:spacing w:val="-9"/>
        </w:rPr>
        <w:t> </w:t>
      </w:r>
      <w:r>
        <w:rPr>
          <w:color w:val="231F20"/>
          <w:spacing w:val="-8"/>
        </w:rPr>
        <w:t>les compagnies</w:t>
      </w:r>
      <w:r>
        <w:rPr>
          <w:color w:val="231F20"/>
          <w:spacing w:val="-9"/>
        </w:rPr>
        <w:t> </w:t>
      </w:r>
      <w:r>
        <w:rPr>
          <w:color w:val="231F20"/>
          <w:spacing w:val="-8"/>
        </w:rPr>
        <w:t>qui ont</w:t>
      </w:r>
      <w:r>
        <w:rPr>
          <w:color w:val="231F20"/>
          <w:spacing w:val="-9"/>
        </w:rPr>
        <w:t> </w:t>
      </w:r>
      <w:r>
        <w:rPr>
          <w:color w:val="231F20"/>
          <w:spacing w:val="-8"/>
        </w:rPr>
        <w:t>des relations </w:t>
      </w:r>
      <w:r>
        <w:rPr>
          <w:color w:val="231F20"/>
        </w:rPr>
        <w:t>commerciales avec Cuba et d’autres qui sont intéressées par nos entreprises de </w:t>
      </w:r>
      <w:r>
        <w:rPr>
          <w:color w:val="231F20"/>
          <w:spacing w:val="-14"/>
        </w:rPr>
        <w:t>communications,</w:t>
      </w:r>
      <w:r>
        <w:rPr>
          <w:color w:val="231F20"/>
          <w:spacing w:val="-2"/>
        </w:rPr>
        <w:t> </w:t>
      </w:r>
      <w:r>
        <w:rPr>
          <w:color w:val="231F20"/>
          <w:spacing w:val="-14"/>
        </w:rPr>
        <w:t>et</w:t>
      </w:r>
      <w:r>
        <w:rPr>
          <w:color w:val="231F20"/>
          <w:spacing w:val="-2"/>
        </w:rPr>
        <w:t> </w:t>
      </w:r>
      <w:r>
        <w:rPr>
          <w:color w:val="231F20"/>
          <w:spacing w:val="-14"/>
        </w:rPr>
        <w:t>d’exercer</w:t>
      </w:r>
      <w:r>
        <w:rPr>
          <w:color w:val="231F20"/>
          <w:spacing w:val="-2"/>
        </w:rPr>
        <w:t> </w:t>
      </w:r>
      <w:r>
        <w:rPr>
          <w:color w:val="231F20"/>
          <w:spacing w:val="-14"/>
        </w:rPr>
        <w:t>des</w:t>
      </w:r>
      <w:r>
        <w:rPr>
          <w:color w:val="231F20"/>
          <w:spacing w:val="-2"/>
        </w:rPr>
        <w:t> </w:t>
      </w:r>
      <w:r>
        <w:rPr>
          <w:color w:val="231F20"/>
          <w:spacing w:val="-14"/>
        </w:rPr>
        <w:t>pressions</w:t>
      </w:r>
      <w:r>
        <w:rPr>
          <w:color w:val="231F20"/>
          <w:spacing w:val="-2"/>
        </w:rPr>
        <w:t> </w:t>
      </w:r>
      <w:r>
        <w:rPr>
          <w:color w:val="231F20"/>
          <w:spacing w:val="-14"/>
        </w:rPr>
        <w:t>sur </w:t>
      </w:r>
      <w:r>
        <w:rPr>
          <w:color w:val="231F20"/>
          <w:spacing w:val="-16"/>
        </w:rPr>
        <w:t>elles,</w:t>
      </w:r>
      <w:r>
        <w:rPr>
          <w:color w:val="231F20"/>
        </w:rPr>
        <w:t> </w:t>
      </w:r>
      <w:r>
        <w:rPr>
          <w:color w:val="231F20"/>
          <w:spacing w:val="-16"/>
        </w:rPr>
        <w:t>ce</w:t>
      </w:r>
      <w:r>
        <w:rPr>
          <w:color w:val="231F20"/>
        </w:rPr>
        <w:t> </w:t>
      </w:r>
      <w:r>
        <w:rPr>
          <w:color w:val="231F20"/>
          <w:spacing w:val="-16"/>
        </w:rPr>
        <w:t>qui</w:t>
      </w:r>
      <w:r>
        <w:rPr>
          <w:color w:val="231F20"/>
        </w:rPr>
        <w:t> </w:t>
      </w:r>
      <w:r>
        <w:rPr>
          <w:color w:val="231F20"/>
          <w:spacing w:val="-16"/>
        </w:rPr>
        <w:t>a</w:t>
      </w:r>
      <w:r>
        <w:rPr>
          <w:color w:val="231F20"/>
        </w:rPr>
        <w:t> </w:t>
      </w:r>
      <w:r>
        <w:rPr>
          <w:color w:val="231F20"/>
          <w:spacing w:val="-16"/>
        </w:rPr>
        <w:t>un</w:t>
      </w:r>
      <w:r>
        <w:rPr>
          <w:color w:val="231F20"/>
        </w:rPr>
        <w:t> </w:t>
      </w:r>
      <w:r>
        <w:rPr>
          <w:color w:val="231F20"/>
          <w:spacing w:val="-16"/>
        </w:rPr>
        <w:t>effet</w:t>
      </w:r>
      <w:r>
        <w:rPr>
          <w:color w:val="231F20"/>
        </w:rPr>
        <w:t> </w:t>
      </w:r>
      <w:r>
        <w:rPr>
          <w:color w:val="231F20"/>
          <w:spacing w:val="-16"/>
        </w:rPr>
        <w:t>nuisible</w:t>
      </w:r>
      <w:r>
        <w:rPr>
          <w:color w:val="231F20"/>
        </w:rPr>
        <w:t> </w:t>
      </w:r>
      <w:r>
        <w:rPr>
          <w:color w:val="231F20"/>
          <w:spacing w:val="-16"/>
        </w:rPr>
        <w:t>sur</w:t>
      </w:r>
      <w:r>
        <w:rPr>
          <w:color w:val="231F20"/>
        </w:rPr>
        <w:t> </w:t>
      </w:r>
      <w:r>
        <w:rPr>
          <w:color w:val="231F20"/>
          <w:spacing w:val="-16"/>
        </w:rPr>
        <w:t>l’amélioration </w:t>
      </w:r>
      <w:r>
        <w:rPr>
          <w:color w:val="231F20"/>
        </w:rPr>
        <w:t>de l’infrastructure, sur un meilleur accès à </w:t>
      </w:r>
      <w:r>
        <w:rPr>
          <w:color w:val="231F20"/>
          <w:spacing w:val="-6"/>
        </w:rPr>
        <w:t>Internet</w:t>
      </w:r>
      <w:r>
        <w:rPr>
          <w:color w:val="231F20"/>
          <w:spacing w:val="-11"/>
        </w:rPr>
        <w:t> </w:t>
      </w:r>
      <w:r>
        <w:rPr>
          <w:color w:val="231F20"/>
          <w:spacing w:val="-6"/>
        </w:rPr>
        <w:t>et</w:t>
      </w:r>
      <w:r>
        <w:rPr>
          <w:color w:val="231F20"/>
          <w:spacing w:val="-10"/>
        </w:rPr>
        <w:t> </w:t>
      </w:r>
      <w:r>
        <w:rPr>
          <w:color w:val="231F20"/>
          <w:spacing w:val="-6"/>
        </w:rPr>
        <w:t>sur</w:t>
      </w:r>
      <w:r>
        <w:rPr>
          <w:color w:val="231F20"/>
          <w:spacing w:val="-11"/>
        </w:rPr>
        <w:t> </w:t>
      </w:r>
      <w:r>
        <w:rPr>
          <w:color w:val="231F20"/>
          <w:spacing w:val="-6"/>
        </w:rPr>
        <w:t>l’informatisation</w:t>
      </w:r>
      <w:r>
        <w:rPr>
          <w:color w:val="231F20"/>
          <w:spacing w:val="-10"/>
        </w:rPr>
        <w:t> </w:t>
      </w:r>
      <w:r>
        <w:rPr>
          <w:color w:val="231F20"/>
          <w:spacing w:val="-6"/>
        </w:rPr>
        <w:t>de</w:t>
      </w:r>
      <w:r>
        <w:rPr>
          <w:color w:val="231F20"/>
          <w:spacing w:val="-11"/>
        </w:rPr>
        <w:t> </w:t>
      </w:r>
      <w:r>
        <w:rPr>
          <w:color w:val="231F20"/>
          <w:spacing w:val="-6"/>
        </w:rPr>
        <w:t>la</w:t>
      </w:r>
      <w:r>
        <w:rPr>
          <w:color w:val="231F20"/>
          <w:spacing w:val="-10"/>
        </w:rPr>
        <w:t> </w:t>
      </w:r>
      <w:r>
        <w:rPr>
          <w:color w:val="231F20"/>
          <w:spacing w:val="-6"/>
        </w:rPr>
        <w:t>société. </w:t>
      </w:r>
      <w:r>
        <w:rPr>
          <w:color w:val="231F20"/>
          <w:spacing w:val="-16"/>
        </w:rPr>
        <w:t>Aucun</w:t>
      </w:r>
      <w:r>
        <w:rPr>
          <w:color w:val="231F20"/>
        </w:rPr>
        <w:t> </w:t>
      </w:r>
      <w:r>
        <w:rPr>
          <w:color w:val="231F20"/>
          <w:spacing w:val="-16"/>
        </w:rPr>
        <w:t>pays</w:t>
      </w:r>
      <w:r>
        <w:rPr>
          <w:color w:val="231F20"/>
        </w:rPr>
        <w:t> </w:t>
      </w:r>
      <w:r>
        <w:rPr>
          <w:color w:val="231F20"/>
          <w:spacing w:val="-16"/>
        </w:rPr>
        <w:t>ne</w:t>
      </w:r>
      <w:r>
        <w:rPr>
          <w:color w:val="231F20"/>
        </w:rPr>
        <w:t> </w:t>
      </w:r>
      <w:r>
        <w:rPr>
          <w:color w:val="231F20"/>
          <w:spacing w:val="-16"/>
        </w:rPr>
        <w:t>s’engage</w:t>
      </w:r>
      <w:r>
        <w:rPr>
          <w:color w:val="231F20"/>
        </w:rPr>
        <w:t> </w:t>
      </w:r>
      <w:r>
        <w:rPr>
          <w:color w:val="231F20"/>
          <w:spacing w:val="-16"/>
        </w:rPr>
        <w:t>dans</w:t>
      </w:r>
      <w:r>
        <w:rPr>
          <w:color w:val="231F20"/>
        </w:rPr>
        <w:t> </w:t>
      </w:r>
      <w:r>
        <w:rPr>
          <w:color w:val="231F20"/>
          <w:spacing w:val="-16"/>
        </w:rPr>
        <w:t>la</w:t>
      </w:r>
      <w:r>
        <w:rPr>
          <w:color w:val="231F20"/>
        </w:rPr>
        <w:t> </w:t>
      </w:r>
      <w:r>
        <w:rPr>
          <w:color w:val="231F20"/>
          <w:spacing w:val="-16"/>
        </w:rPr>
        <w:t>modernisation </w:t>
      </w:r>
      <w:r>
        <w:rPr>
          <w:color w:val="231F20"/>
          <w:spacing w:val="-6"/>
        </w:rPr>
        <w:t>technologique</w:t>
      </w:r>
      <w:r>
        <w:rPr>
          <w:color w:val="231F20"/>
          <w:spacing w:val="-24"/>
        </w:rPr>
        <w:t> </w:t>
      </w:r>
      <w:r>
        <w:rPr>
          <w:color w:val="231F20"/>
          <w:spacing w:val="-6"/>
        </w:rPr>
        <w:t>dans</w:t>
      </w:r>
      <w:r>
        <w:rPr>
          <w:color w:val="231F20"/>
          <w:spacing w:val="-25"/>
        </w:rPr>
        <w:t> </w:t>
      </w:r>
      <w:r>
        <w:rPr>
          <w:color w:val="231F20"/>
          <w:spacing w:val="-6"/>
        </w:rPr>
        <w:t>de</w:t>
      </w:r>
      <w:r>
        <w:rPr>
          <w:color w:val="231F20"/>
          <w:spacing w:val="-24"/>
        </w:rPr>
        <w:t> </w:t>
      </w:r>
      <w:r>
        <w:rPr>
          <w:color w:val="231F20"/>
          <w:spacing w:val="-6"/>
        </w:rPr>
        <w:t>telles</w:t>
      </w:r>
      <w:r>
        <w:rPr>
          <w:color w:val="231F20"/>
          <w:spacing w:val="-25"/>
        </w:rPr>
        <w:t> </w:t>
      </w:r>
      <w:r>
        <w:rPr>
          <w:color w:val="231F20"/>
          <w:spacing w:val="-6"/>
        </w:rPr>
        <w:t>conditions.</w:t>
      </w:r>
    </w:p>
    <w:p>
      <w:pPr>
        <w:pStyle w:val="BodyText"/>
        <w:spacing w:before="168"/>
        <w:ind w:left="410"/>
      </w:pPr>
      <w:r>
        <w:rPr>
          <w:color w:val="231F20"/>
        </w:rPr>
        <w:t>Plusieurs</w:t>
      </w:r>
      <w:r>
        <w:rPr>
          <w:color w:val="231F20"/>
          <w:spacing w:val="44"/>
        </w:rPr>
        <w:t> </w:t>
      </w:r>
      <w:r>
        <w:rPr>
          <w:color w:val="231F20"/>
        </w:rPr>
        <w:t>fournisseurs</w:t>
      </w:r>
      <w:r>
        <w:rPr>
          <w:color w:val="231F20"/>
          <w:spacing w:val="44"/>
        </w:rPr>
        <w:t> </w:t>
      </w:r>
      <w:r>
        <w:rPr>
          <w:color w:val="231F20"/>
        </w:rPr>
        <w:t>internationaux</w:t>
      </w:r>
      <w:r>
        <w:rPr>
          <w:color w:val="231F20"/>
          <w:spacing w:val="44"/>
        </w:rPr>
        <w:t> </w:t>
      </w:r>
      <w:r>
        <w:rPr>
          <w:color w:val="231F20"/>
          <w:spacing w:val="-5"/>
        </w:rPr>
        <w:t>qui</w:t>
      </w:r>
    </w:p>
    <w:p>
      <w:pPr>
        <w:spacing w:after="0"/>
        <w:sectPr>
          <w:pgSz w:w="11910" w:h="16840"/>
          <w:pgMar w:header="0" w:footer="695" w:top="1260" w:bottom="880" w:left="0" w:right="0"/>
          <w:cols w:num="2" w:equalWidth="0">
            <w:col w:w="5559" w:space="40"/>
            <w:col w:w="6311"/>
          </w:cols>
        </w:sectPr>
      </w:pPr>
    </w:p>
    <w:p>
      <w:pPr>
        <w:pStyle w:val="BodyText"/>
        <w:spacing w:before="77"/>
        <w:ind w:left="1474"/>
      </w:pPr>
      <w:r>
        <w:rPr>
          <w:color w:val="231F20"/>
        </w:rPr>
        <w:t>prêtaient des services de réparation à la technologie installées dans le pays ont cessé</w:t>
      </w:r>
      <w:r>
        <w:rPr>
          <w:color w:val="231F20"/>
          <w:spacing w:val="-10"/>
        </w:rPr>
        <w:t> </w:t>
      </w:r>
      <w:r>
        <w:rPr>
          <w:color w:val="231F20"/>
        </w:rPr>
        <w:t>de</w:t>
      </w:r>
      <w:r>
        <w:rPr>
          <w:color w:val="231F20"/>
          <w:spacing w:val="-10"/>
        </w:rPr>
        <w:t> </w:t>
      </w:r>
      <w:r>
        <w:rPr>
          <w:color w:val="231F20"/>
        </w:rPr>
        <w:t>le</w:t>
      </w:r>
      <w:r>
        <w:rPr>
          <w:color w:val="231F20"/>
          <w:spacing w:val="-10"/>
        </w:rPr>
        <w:t> </w:t>
      </w:r>
      <w:r>
        <w:rPr>
          <w:color w:val="231F20"/>
        </w:rPr>
        <w:t>faire,</w:t>
      </w:r>
      <w:r>
        <w:rPr>
          <w:color w:val="231F20"/>
          <w:spacing w:val="-10"/>
        </w:rPr>
        <w:t> </w:t>
      </w:r>
      <w:r>
        <w:rPr>
          <w:color w:val="231F20"/>
        </w:rPr>
        <w:t>même</w:t>
      </w:r>
      <w:r>
        <w:rPr>
          <w:color w:val="231F20"/>
          <w:spacing w:val="-10"/>
        </w:rPr>
        <w:t> </w:t>
      </w:r>
      <w:r>
        <w:rPr>
          <w:color w:val="231F20"/>
        </w:rPr>
        <w:t>ceux</w:t>
      </w:r>
      <w:r>
        <w:rPr>
          <w:color w:val="231F20"/>
          <w:spacing w:val="-10"/>
        </w:rPr>
        <w:t> </w:t>
      </w:r>
      <w:r>
        <w:rPr>
          <w:color w:val="231F20"/>
        </w:rPr>
        <w:t>dont</w:t>
      </w:r>
      <w:r>
        <w:rPr>
          <w:color w:val="231F20"/>
          <w:spacing w:val="-10"/>
        </w:rPr>
        <w:t> </w:t>
      </w:r>
      <w:r>
        <w:rPr>
          <w:color w:val="231F20"/>
        </w:rPr>
        <w:t>dépend </w:t>
      </w:r>
      <w:r>
        <w:rPr>
          <w:color w:val="231F20"/>
          <w:spacing w:val="-2"/>
        </w:rPr>
        <w:t>plus</w:t>
      </w:r>
      <w:r>
        <w:rPr>
          <w:color w:val="231F20"/>
          <w:spacing w:val="-12"/>
        </w:rPr>
        <w:t> </w:t>
      </w:r>
      <w:r>
        <w:rPr>
          <w:color w:val="231F20"/>
          <w:spacing w:val="-2"/>
        </w:rPr>
        <w:t>de</w:t>
      </w:r>
      <w:r>
        <w:rPr>
          <w:color w:val="231F20"/>
          <w:spacing w:val="-9"/>
        </w:rPr>
        <w:t> </w:t>
      </w:r>
      <w:r>
        <w:rPr>
          <w:color w:val="231F20"/>
          <w:spacing w:val="-2"/>
        </w:rPr>
        <w:t>la</w:t>
      </w:r>
      <w:r>
        <w:rPr>
          <w:color w:val="231F20"/>
          <w:spacing w:val="-9"/>
        </w:rPr>
        <w:t> </w:t>
      </w:r>
      <w:r>
        <w:rPr>
          <w:color w:val="231F20"/>
          <w:spacing w:val="-2"/>
        </w:rPr>
        <w:t>moitié</w:t>
      </w:r>
      <w:r>
        <w:rPr>
          <w:color w:val="231F20"/>
          <w:spacing w:val="-10"/>
        </w:rPr>
        <w:t> </w:t>
      </w:r>
      <w:r>
        <w:rPr>
          <w:color w:val="231F20"/>
          <w:spacing w:val="-2"/>
        </w:rPr>
        <w:t>de</w:t>
      </w:r>
      <w:r>
        <w:rPr>
          <w:color w:val="231F20"/>
          <w:spacing w:val="-9"/>
        </w:rPr>
        <w:t> </w:t>
      </w:r>
      <w:r>
        <w:rPr>
          <w:color w:val="231F20"/>
          <w:spacing w:val="-2"/>
        </w:rPr>
        <w:t>l’équipement</w:t>
      </w:r>
      <w:r>
        <w:rPr>
          <w:color w:val="231F20"/>
          <w:spacing w:val="-9"/>
        </w:rPr>
        <w:t> </w:t>
      </w:r>
      <w:r>
        <w:rPr>
          <w:color w:val="231F20"/>
          <w:spacing w:val="-2"/>
        </w:rPr>
        <w:t>en</w:t>
      </w:r>
      <w:r>
        <w:rPr>
          <w:color w:val="231F20"/>
          <w:spacing w:val="-9"/>
        </w:rPr>
        <w:t> </w:t>
      </w:r>
      <w:r>
        <w:rPr>
          <w:color w:val="231F20"/>
          <w:spacing w:val="-2"/>
        </w:rPr>
        <w:t>place.</w:t>
      </w:r>
    </w:p>
    <w:p>
      <w:pPr>
        <w:pStyle w:val="BodyText"/>
        <w:spacing w:before="163"/>
        <w:ind w:left="1474" w:right="3"/>
      </w:pPr>
      <w:r>
        <w:rPr>
          <w:color w:val="231F20"/>
        </w:rPr>
        <w:t>Las</w:t>
      </w:r>
      <w:r>
        <w:rPr>
          <w:color w:val="231F20"/>
          <w:spacing w:val="-17"/>
        </w:rPr>
        <w:t> </w:t>
      </w:r>
      <w:r>
        <w:rPr>
          <w:color w:val="231F20"/>
        </w:rPr>
        <w:t>limitations</w:t>
      </w:r>
      <w:r>
        <w:rPr>
          <w:color w:val="231F20"/>
          <w:spacing w:val="-16"/>
        </w:rPr>
        <w:t> </w:t>
      </w:r>
      <w:r>
        <w:rPr>
          <w:color w:val="231F20"/>
        </w:rPr>
        <w:t>en</w:t>
      </w:r>
      <w:r>
        <w:rPr>
          <w:color w:val="231F20"/>
          <w:spacing w:val="-17"/>
        </w:rPr>
        <w:t> </w:t>
      </w:r>
      <w:r>
        <w:rPr>
          <w:color w:val="231F20"/>
        </w:rPr>
        <w:t>ressources</w:t>
      </w:r>
      <w:r>
        <w:rPr>
          <w:color w:val="231F20"/>
          <w:spacing w:val="-16"/>
        </w:rPr>
        <w:t> </w:t>
      </w:r>
      <w:r>
        <w:rPr>
          <w:color w:val="231F20"/>
        </w:rPr>
        <w:t>énergétiques et</w:t>
      </w:r>
      <w:r>
        <w:rPr>
          <w:color w:val="231F20"/>
          <w:spacing w:val="-5"/>
        </w:rPr>
        <w:t> </w:t>
      </w:r>
      <w:r>
        <w:rPr>
          <w:color w:val="231F20"/>
        </w:rPr>
        <w:t>la</w:t>
      </w:r>
      <w:r>
        <w:rPr>
          <w:color w:val="231F20"/>
          <w:spacing w:val="-5"/>
        </w:rPr>
        <w:t> </w:t>
      </w:r>
      <w:r>
        <w:rPr>
          <w:color w:val="231F20"/>
        </w:rPr>
        <w:t>pénurie</w:t>
      </w:r>
      <w:r>
        <w:rPr>
          <w:color w:val="231F20"/>
          <w:spacing w:val="-5"/>
        </w:rPr>
        <w:t> </w:t>
      </w:r>
      <w:r>
        <w:rPr>
          <w:color w:val="231F20"/>
        </w:rPr>
        <w:t>de</w:t>
      </w:r>
      <w:r>
        <w:rPr>
          <w:color w:val="231F20"/>
          <w:spacing w:val="-5"/>
        </w:rPr>
        <w:t> </w:t>
      </w:r>
      <w:r>
        <w:rPr>
          <w:color w:val="231F20"/>
        </w:rPr>
        <w:t>combustibles</w:t>
      </w:r>
      <w:r>
        <w:rPr>
          <w:color w:val="231F20"/>
          <w:spacing w:val="-5"/>
        </w:rPr>
        <w:t> </w:t>
      </w:r>
      <w:r>
        <w:rPr>
          <w:color w:val="231F20"/>
        </w:rPr>
        <w:t>à</w:t>
      </w:r>
      <w:r>
        <w:rPr>
          <w:color w:val="231F20"/>
          <w:spacing w:val="-5"/>
        </w:rPr>
        <w:t> </w:t>
      </w:r>
      <w:r>
        <w:rPr>
          <w:color w:val="231F20"/>
        </w:rPr>
        <w:t>cause</w:t>
      </w:r>
      <w:r>
        <w:rPr>
          <w:color w:val="231F20"/>
          <w:spacing w:val="-5"/>
        </w:rPr>
        <w:t> </w:t>
      </w:r>
      <w:r>
        <w:rPr>
          <w:color w:val="231F20"/>
        </w:rPr>
        <w:t>des </w:t>
      </w:r>
      <w:r>
        <w:rPr>
          <w:color w:val="231F20"/>
          <w:spacing w:val="-2"/>
        </w:rPr>
        <w:t>pressions</w:t>
      </w:r>
      <w:r>
        <w:rPr>
          <w:color w:val="231F20"/>
          <w:spacing w:val="-15"/>
        </w:rPr>
        <w:t> </w:t>
      </w:r>
      <w:r>
        <w:rPr>
          <w:color w:val="231F20"/>
          <w:spacing w:val="-2"/>
        </w:rPr>
        <w:t>que</w:t>
      </w:r>
      <w:r>
        <w:rPr>
          <w:color w:val="231F20"/>
          <w:spacing w:val="-14"/>
        </w:rPr>
        <w:t> </w:t>
      </w:r>
      <w:r>
        <w:rPr>
          <w:color w:val="231F20"/>
          <w:spacing w:val="-2"/>
        </w:rPr>
        <w:t>l’administration</w:t>
      </w:r>
      <w:r>
        <w:rPr>
          <w:color w:val="231F20"/>
          <w:spacing w:val="-15"/>
        </w:rPr>
        <w:t> </w:t>
      </w:r>
      <w:r>
        <w:rPr>
          <w:color w:val="231F20"/>
          <w:spacing w:val="-2"/>
        </w:rPr>
        <w:t>étasunienne </w:t>
      </w:r>
      <w:r>
        <w:rPr>
          <w:color w:val="231F20"/>
          <w:spacing w:val="-8"/>
        </w:rPr>
        <w:t>exerce sur les fournisseurs et les compagnies </w:t>
      </w:r>
      <w:r>
        <w:rPr>
          <w:color w:val="231F20"/>
        </w:rPr>
        <w:t>maritimes</w:t>
      </w:r>
      <w:r>
        <w:rPr>
          <w:color w:val="231F20"/>
          <w:spacing w:val="-12"/>
        </w:rPr>
        <w:t> </w:t>
      </w:r>
      <w:r>
        <w:rPr>
          <w:color w:val="231F20"/>
        </w:rPr>
        <w:t>pour</w:t>
      </w:r>
      <w:r>
        <w:rPr>
          <w:color w:val="231F20"/>
          <w:spacing w:val="-13"/>
        </w:rPr>
        <w:t> </w:t>
      </w:r>
      <w:r>
        <w:rPr>
          <w:color w:val="231F20"/>
        </w:rPr>
        <w:t>les</w:t>
      </w:r>
      <w:r>
        <w:rPr>
          <w:color w:val="231F20"/>
          <w:spacing w:val="-12"/>
        </w:rPr>
        <w:t> </w:t>
      </w:r>
      <w:r>
        <w:rPr>
          <w:color w:val="231F20"/>
        </w:rPr>
        <w:t>détourner</w:t>
      </w:r>
      <w:r>
        <w:rPr>
          <w:color w:val="231F20"/>
          <w:spacing w:val="-13"/>
        </w:rPr>
        <w:t> </w:t>
      </w:r>
      <w:r>
        <w:rPr>
          <w:color w:val="231F20"/>
        </w:rPr>
        <w:t>de</w:t>
      </w:r>
      <w:r>
        <w:rPr>
          <w:color w:val="231F20"/>
          <w:spacing w:val="-12"/>
        </w:rPr>
        <w:t> </w:t>
      </w:r>
      <w:r>
        <w:rPr>
          <w:color w:val="231F20"/>
        </w:rPr>
        <w:t>Cuba</w:t>
      </w:r>
      <w:r>
        <w:rPr>
          <w:color w:val="231F20"/>
          <w:spacing w:val="-13"/>
        </w:rPr>
        <w:t> </w:t>
      </w:r>
      <w:r>
        <w:rPr>
          <w:color w:val="231F20"/>
        </w:rPr>
        <w:t>ont </w:t>
      </w:r>
      <w:r>
        <w:rPr>
          <w:color w:val="231F20"/>
          <w:spacing w:val="-2"/>
        </w:rPr>
        <w:t>porté</w:t>
      </w:r>
      <w:r>
        <w:rPr>
          <w:color w:val="231F20"/>
          <w:spacing w:val="-11"/>
        </w:rPr>
        <w:t> </w:t>
      </w:r>
      <w:r>
        <w:rPr>
          <w:color w:val="231F20"/>
          <w:spacing w:val="-2"/>
        </w:rPr>
        <w:t>préjudice</w:t>
      </w:r>
      <w:r>
        <w:rPr>
          <w:color w:val="231F20"/>
          <w:spacing w:val="-11"/>
        </w:rPr>
        <w:t> </w:t>
      </w:r>
      <w:r>
        <w:rPr>
          <w:color w:val="231F20"/>
          <w:spacing w:val="-2"/>
        </w:rPr>
        <w:t>à</w:t>
      </w:r>
      <w:r>
        <w:rPr>
          <w:color w:val="231F20"/>
          <w:spacing w:val="-11"/>
        </w:rPr>
        <w:t> </w:t>
      </w:r>
      <w:r>
        <w:rPr>
          <w:color w:val="231F20"/>
          <w:spacing w:val="-2"/>
        </w:rPr>
        <w:t>l’autonomie</w:t>
      </w:r>
      <w:r>
        <w:rPr>
          <w:color w:val="231F20"/>
          <w:spacing w:val="-11"/>
        </w:rPr>
        <w:t> </w:t>
      </w:r>
      <w:r>
        <w:rPr>
          <w:color w:val="231F20"/>
          <w:spacing w:val="-2"/>
        </w:rPr>
        <w:t>des</w:t>
      </w:r>
      <w:r>
        <w:rPr>
          <w:color w:val="231F20"/>
          <w:spacing w:val="-11"/>
        </w:rPr>
        <w:t> </w:t>
      </w:r>
      <w:r>
        <w:rPr>
          <w:color w:val="231F20"/>
          <w:spacing w:val="-2"/>
        </w:rPr>
        <w:t>groupes </w:t>
      </w:r>
      <w:r>
        <w:rPr>
          <w:color w:val="231F20"/>
          <w:spacing w:val="-8"/>
        </w:rPr>
        <w:t>électrogènes</w:t>
      </w:r>
      <w:r>
        <w:rPr>
          <w:color w:val="231F20"/>
          <w:spacing w:val="-36"/>
        </w:rPr>
        <w:t> </w:t>
      </w:r>
      <w:r>
        <w:rPr>
          <w:color w:val="231F20"/>
          <w:spacing w:val="-8"/>
        </w:rPr>
        <w:t>dans</w:t>
      </w:r>
      <w:r>
        <w:rPr>
          <w:color w:val="231F20"/>
          <w:spacing w:val="-36"/>
        </w:rPr>
        <w:t> </w:t>
      </w:r>
      <w:r>
        <w:rPr>
          <w:color w:val="231F20"/>
          <w:spacing w:val="-8"/>
        </w:rPr>
        <w:t>les</w:t>
      </w:r>
      <w:r>
        <w:rPr>
          <w:color w:val="231F20"/>
          <w:spacing w:val="-36"/>
        </w:rPr>
        <w:t> </w:t>
      </w:r>
      <w:r>
        <w:rPr>
          <w:color w:val="231F20"/>
          <w:spacing w:val="-8"/>
        </w:rPr>
        <w:t>centres</w:t>
      </w:r>
      <w:r>
        <w:rPr>
          <w:color w:val="231F20"/>
          <w:spacing w:val="-36"/>
        </w:rPr>
        <w:t> </w:t>
      </w:r>
      <w:r>
        <w:rPr>
          <w:color w:val="231F20"/>
          <w:spacing w:val="-8"/>
        </w:rPr>
        <w:t>technologiques.</w:t>
      </w:r>
    </w:p>
    <w:p>
      <w:pPr>
        <w:pStyle w:val="BodyText"/>
        <w:spacing w:before="165"/>
        <w:ind w:left="1474" w:right="1"/>
      </w:pPr>
      <w:r>
        <w:rPr>
          <w:color w:val="231F20"/>
        </w:rPr>
        <w:t>Le blocus a aussi empêché des sociétés </w:t>
      </w:r>
      <w:r>
        <w:rPr>
          <w:color w:val="231F20"/>
          <w:spacing w:val="-6"/>
        </w:rPr>
        <w:t>cubaines</w:t>
      </w:r>
      <w:r>
        <w:rPr>
          <w:color w:val="231F20"/>
          <w:spacing w:val="-8"/>
        </w:rPr>
        <w:t> </w:t>
      </w:r>
      <w:r>
        <w:rPr>
          <w:color w:val="231F20"/>
          <w:spacing w:val="-6"/>
        </w:rPr>
        <w:t>et</w:t>
      </w:r>
      <w:r>
        <w:rPr>
          <w:color w:val="231F20"/>
          <w:spacing w:val="-8"/>
        </w:rPr>
        <w:t> </w:t>
      </w:r>
      <w:r>
        <w:rPr>
          <w:color w:val="231F20"/>
          <w:spacing w:val="-6"/>
        </w:rPr>
        <w:t>étasuniennes</w:t>
      </w:r>
      <w:r>
        <w:rPr>
          <w:color w:val="231F20"/>
          <w:spacing w:val="-8"/>
        </w:rPr>
        <w:t> </w:t>
      </w:r>
      <w:r>
        <w:rPr>
          <w:color w:val="231F20"/>
          <w:spacing w:val="-6"/>
        </w:rPr>
        <w:t>de</w:t>
      </w:r>
      <w:r>
        <w:rPr>
          <w:color w:val="231F20"/>
          <w:spacing w:val="-8"/>
        </w:rPr>
        <w:t> </w:t>
      </w:r>
      <w:r>
        <w:rPr>
          <w:color w:val="231F20"/>
          <w:spacing w:val="-6"/>
        </w:rPr>
        <w:t>concrétiser</w:t>
      </w:r>
      <w:r>
        <w:rPr>
          <w:color w:val="231F20"/>
          <w:spacing w:val="-8"/>
        </w:rPr>
        <w:t> </w:t>
      </w:r>
      <w:r>
        <w:rPr>
          <w:color w:val="231F20"/>
          <w:spacing w:val="-6"/>
        </w:rPr>
        <w:t>des </w:t>
      </w:r>
      <w:r>
        <w:rPr>
          <w:color w:val="231F20"/>
        </w:rPr>
        <w:t>accords</w:t>
      </w:r>
      <w:r>
        <w:rPr>
          <w:color w:val="231F20"/>
          <w:spacing w:val="-17"/>
        </w:rPr>
        <w:t> </w:t>
      </w:r>
      <w:r>
        <w:rPr>
          <w:color w:val="231F20"/>
        </w:rPr>
        <w:t>mutuellement</w:t>
      </w:r>
      <w:r>
        <w:rPr>
          <w:color w:val="231F20"/>
          <w:spacing w:val="-16"/>
        </w:rPr>
        <w:t> </w:t>
      </w:r>
      <w:r>
        <w:rPr>
          <w:color w:val="231F20"/>
        </w:rPr>
        <w:t>avantageux</w:t>
      </w:r>
      <w:r>
        <w:rPr>
          <w:color w:val="231F20"/>
          <w:spacing w:val="-17"/>
        </w:rPr>
        <w:t> </w:t>
      </w:r>
      <w:r>
        <w:rPr>
          <w:color w:val="231F20"/>
        </w:rPr>
        <w:t>dans</w:t>
      </w:r>
      <w:r>
        <w:rPr>
          <w:color w:val="231F20"/>
          <w:spacing w:val="-16"/>
        </w:rPr>
        <w:t> </w:t>
      </w:r>
      <w:r>
        <w:rPr>
          <w:color w:val="231F20"/>
        </w:rPr>
        <w:t>le secteur des télécommunications.</w:t>
      </w:r>
    </w:p>
    <w:p>
      <w:pPr>
        <w:pStyle w:val="BodyText"/>
        <w:spacing w:before="163"/>
        <w:ind w:left="1474" w:right="6"/>
      </w:pPr>
      <w:r>
        <w:rPr>
          <w:color w:val="231F20"/>
        </w:rPr>
        <w:t>La</w:t>
      </w:r>
      <w:r>
        <w:rPr>
          <w:color w:val="231F20"/>
          <w:spacing w:val="-4"/>
        </w:rPr>
        <w:t> </w:t>
      </w:r>
      <w:r>
        <w:rPr>
          <w:color w:val="231F20"/>
        </w:rPr>
        <w:t>signature</w:t>
      </w:r>
      <w:r>
        <w:rPr>
          <w:color w:val="231F20"/>
          <w:spacing w:val="-4"/>
        </w:rPr>
        <w:t> </w:t>
      </w:r>
      <w:r>
        <w:rPr>
          <w:color w:val="231F20"/>
        </w:rPr>
        <w:t>d’un</w:t>
      </w:r>
      <w:r>
        <w:rPr>
          <w:color w:val="231F20"/>
          <w:spacing w:val="-4"/>
        </w:rPr>
        <w:t> </w:t>
      </w:r>
      <w:r>
        <w:rPr>
          <w:color w:val="231F20"/>
        </w:rPr>
        <w:t>contrat</w:t>
      </w:r>
      <w:r>
        <w:rPr>
          <w:color w:val="231F20"/>
          <w:spacing w:val="-4"/>
        </w:rPr>
        <w:t> </w:t>
      </w:r>
      <w:r>
        <w:rPr>
          <w:color w:val="231F20"/>
        </w:rPr>
        <w:t>entre</w:t>
      </w:r>
      <w:r>
        <w:rPr>
          <w:color w:val="231F20"/>
          <w:spacing w:val="-4"/>
        </w:rPr>
        <w:t> </w:t>
      </w:r>
      <w:r>
        <w:rPr>
          <w:color w:val="231F20"/>
        </w:rPr>
        <w:t>ETECSA</w:t>
      </w:r>
      <w:r>
        <w:rPr>
          <w:color w:val="231F20"/>
          <w:spacing w:val="-4"/>
        </w:rPr>
        <w:t> </w:t>
      </w:r>
      <w:r>
        <w:rPr>
          <w:color w:val="231F20"/>
        </w:rPr>
        <w:t>et la</w:t>
      </w:r>
      <w:r>
        <w:rPr>
          <w:color w:val="231F20"/>
          <w:spacing w:val="-17"/>
        </w:rPr>
        <w:t> </w:t>
      </w:r>
      <w:r>
        <w:rPr>
          <w:color w:val="231F20"/>
        </w:rPr>
        <w:t>Colombus</w:t>
      </w:r>
      <w:r>
        <w:rPr>
          <w:color w:val="231F20"/>
          <w:spacing w:val="-16"/>
        </w:rPr>
        <w:t> </w:t>
      </w:r>
      <w:r>
        <w:rPr>
          <w:color w:val="231F20"/>
        </w:rPr>
        <w:t>Network</w:t>
      </w:r>
      <w:r>
        <w:rPr>
          <w:color w:val="231F20"/>
          <w:spacing w:val="-17"/>
        </w:rPr>
        <w:t> </w:t>
      </w:r>
      <w:r>
        <w:rPr>
          <w:color w:val="231F20"/>
        </w:rPr>
        <w:t>Limited</w:t>
      </w:r>
      <w:r>
        <w:rPr>
          <w:color w:val="231F20"/>
          <w:spacing w:val="-16"/>
        </w:rPr>
        <w:t> </w:t>
      </w:r>
      <w:r>
        <w:rPr>
          <w:color w:val="231F20"/>
        </w:rPr>
        <w:t>(CNL),</w:t>
      </w:r>
      <w:r>
        <w:rPr>
          <w:color w:val="231F20"/>
          <w:spacing w:val="-17"/>
        </w:rPr>
        <w:t> </w:t>
      </w:r>
      <w:r>
        <w:rPr>
          <w:color w:val="231F20"/>
        </w:rPr>
        <w:t>filiale de</w:t>
      </w:r>
      <w:r>
        <w:rPr>
          <w:color w:val="231F20"/>
          <w:spacing w:val="-14"/>
        </w:rPr>
        <w:t> </w:t>
      </w:r>
      <w:r>
        <w:rPr>
          <w:color w:val="231F20"/>
        </w:rPr>
        <w:t>Liberty</w:t>
      </w:r>
      <w:r>
        <w:rPr>
          <w:color w:val="231F20"/>
          <w:spacing w:val="-14"/>
        </w:rPr>
        <w:t> </w:t>
      </w:r>
      <w:r>
        <w:rPr>
          <w:color w:val="231F20"/>
        </w:rPr>
        <w:t>Latin</w:t>
      </w:r>
      <w:r>
        <w:rPr>
          <w:color w:val="231F20"/>
          <w:spacing w:val="-14"/>
        </w:rPr>
        <w:t> </w:t>
      </w:r>
      <w:r>
        <w:rPr>
          <w:color w:val="231F20"/>
        </w:rPr>
        <w:t>America,</w:t>
      </w:r>
      <w:r>
        <w:rPr>
          <w:color w:val="231F20"/>
          <w:spacing w:val="-14"/>
        </w:rPr>
        <w:t> </w:t>
      </w:r>
      <w:r>
        <w:rPr>
          <w:color w:val="231F20"/>
        </w:rPr>
        <w:t>qui</w:t>
      </w:r>
      <w:r>
        <w:rPr>
          <w:color w:val="231F20"/>
          <w:spacing w:val="-14"/>
        </w:rPr>
        <w:t> </w:t>
      </w:r>
      <w:r>
        <w:rPr>
          <w:color w:val="231F20"/>
        </w:rPr>
        <w:t>aurait</w:t>
      </w:r>
      <w:r>
        <w:rPr>
          <w:color w:val="231F20"/>
          <w:spacing w:val="-14"/>
        </w:rPr>
        <w:t> </w:t>
      </w:r>
      <w:r>
        <w:rPr>
          <w:color w:val="231F20"/>
        </w:rPr>
        <w:t>permis </w:t>
      </w:r>
      <w:r>
        <w:rPr>
          <w:color w:val="231F20"/>
          <w:spacing w:val="-6"/>
        </w:rPr>
        <w:t>une</w:t>
      </w:r>
      <w:r>
        <w:rPr>
          <w:color w:val="231F20"/>
          <w:spacing w:val="-11"/>
        </w:rPr>
        <w:t> </w:t>
      </w:r>
      <w:r>
        <w:rPr>
          <w:color w:val="231F20"/>
          <w:spacing w:val="-6"/>
        </w:rPr>
        <w:t>connexion</w:t>
      </w:r>
      <w:r>
        <w:rPr>
          <w:color w:val="231F20"/>
          <w:spacing w:val="-10"/>
        </w:rPr>
        <w:t> </w:t>
      </w:r>
      <w:r>
        <w:rPr>
          <w:color w:val="231F20"/>
          <w:spacing w:val="-6"/>
        </w:rPr>
        <w:t>au</w:t>
      </w:r>
      <w:r>
        <w:rPr>
          <w:color w:val="231F20"/>
          <w:spacing w:val="-10"/>
        </w:rPr>
        <w:t> </w:t>
      </w:r>
      <w:r>
        <w:rPr>
          <w:color w:val="231F20"/>
          <w:spacing w:val="-6"/>
        </w:rPr>
        <w:t>premier</w:t>
      </w:r>
      <w:r>
        <w:rPr>
          <w:color w:val="231F20"/>
          <w:spacing w:val="-11"/>
        </w:rPr>
        <w:t> </w:t>
      </w:r>
      <w:r>
        <w:rPr>
          <w:color w:val="231F20"/>
          <w:spacing w:val="-6"/>
        </w:rPr>
        <w:t>câble</w:t>
      </w:r>
      <w:r>
        <w:rPr>
          <w:color w:val="231F20"/>
          <w:spacing w:val="-10"/>
        </w:rPr>
        <w:t> </w:t>
      </w:r>
      <w:r>
        <w:rPr>
          <w:color w:val="231F20"/>
          <w:spacing w:val="-6"/>
        </w:rPr>
        <w:t>sous-marin </w:t>
      </w:r>
      <w:r>
        <w:rPr>
          <w:color w:val="231F20"/>
          <w:spacing w:val="-16"/>
        </w:rPr>
        <w:t>ARCOS-1</w:t>
      </w:r>
      <w:r>
        <w:rPr>
          <w:color w:val="231F20"/>
          <w:spacing w:val="-1"/>
        </w:rPr>
        <w:t> </w:t>
      </w:r>
      <w:r>
        <w:rPr>
          <w:color w:val="231F20"/>
          <w:spacing w:val="-16"/>
        </w:rPr>
        <w:t>entre</w:t>
      </w:r>
      <w:r>
        <w:rPr>
          <w:color w:val="231F20"/>
        </w:rPr>
        <w:t> </w:t>
      </w:r>
      <w:r>
        <w:rPr>
          <w:color w:val="231F20"/>
          <w:spacing w:val="-16"/>
        </w:rPr>
        <w:t>les</w:t>
      </w:r>
      <w:r>
        <w:rPr>
          <w:color w:val="231F20"/>
          <w:spacing w:val="-1"/>
        </w:rPr>
        <w:t> </w:t>
      </w:r>
      <w:r>
        <w:rPr>
          <w:color w:val="231F20"/>
          <w:spacing w:val="-16"/>
        </w:rPr>
        <w:t>USA</w:t>
      </w:r>
      <w:r>
        <w:rPr>
          <w:color w:val="231F20"/>
        </w:rPr>
        <w:t> </w:t>
      </w:r>
      <w:r>
        <w:rPr>
          <w:color w:val="231F20"/>
          <w:spacing w:val="-16"/>
        </w:rPr>
        <w:t>et</w:t>
      </w:r>
      <w:r>
        <w:rPr>
          <w:color w:val="231F20"/>
          <w:spacing w:val="-1"/>
        </w:rPr>
        <w:t> </w:t>
      </w:r>
      <w:r>
        <w:rPr>
          <w:color w:val="231F20"/>
          <w:spacing w:val="-16"/>
        </w:rPr>
        <w:t>Cuba,</w:t>
      </w:r>
      <w:r>
        <w:rPr>
          <w:color w:val="231F20"/>
        </w:rPr>
        <w:t> </w:t>
      </w:r>
      <w:r>
        <w:rPr>
          <w:color w:val="231F20"/>
          <w:spacing w:val="-16"/>
        </w:rPr>
        <w:t>a</w:t>
      </w:r>
      <w:r>
        <w:rPr>
          <w:color w:val="231F20"/>
          <w:spacing w:val="-1"/>
        </w:rPr>
        <w:t> </w:t>
      </w:r>
      <w:r>
        <w:rPr>
          <w:color w:val="231F20"/>
          <w:spacing w:val="-16"/>
        </w:rPr>
        <w:t>attendu</w:t>
      </w:r>
      <w:r>
        <w:rPr>
          <w:color w:val="231F20"/>
        </w:rPr>
        <w:t> </w:t>
      </w:r>
      <w:r>
        <w:rPr>
          <w:color w:val="231F20"/>
          <w:spacing w:val="-16"/>
        </w:rPr>
        <w:t>plus </w:t>
      </w:r>
      <w:r>
        <w:rPr>
          <w:color w:val="231F20"/>
          <w:spacing w:val="-10"/>
        </w:rPr>
        <w:t>de</w:t>
      </w:r>
      <w:r>
        <w:rPr>
          <w:color w:val="231F20"/>
          <w:spacing w:val="-7"/>
        </w:rPr>
        <w:t> </w:t>
      </w:r>
      <w:r>
        <w:rPr>
          <w:color w:val="231F20"/>
          <w:spacing w:val="-10"/>
        </w:rPr>
        <w:t>quatre</w:t>
      </w:r>
      <w:r>
        <w:rPr>
          <w:color w:val="231F20"/>
          <w:spacing w:val="-6"/>
        </w:rPr>
        <w:t> </w:t>
      </w:r>
      <w:r>
        <w:rPr>
          <w:color w:val="231F20"/>
          <w:spacing w:val="-10"/>
        </w:rPr>
        <w:t>ans</w:t>
      </w:r>
      <w:r>
        <w:rPr>
          <w:color w:val="231F20"/>
          <w:spacing w:val="-7"/>
        </w:rPr>
        <w:t> </w:t>
      </w:r>
      <w:r>
        <w:rPr>
          <w:color w:val="231F20"/>
          <w:spacing w:val="-10"/>
        </w:rPr>
        <w:t>une</w:t>
      </w:r>
      <w:r>
        <w:rPr>
          <w:color w:val="231F20"/>
          <w:spacing w:val="-6"/>
        </w:rPr>
        <w:t> </w:t>
      </w:r>
      <w:r>
        <w:rPr>
          <w:color w:val="231F20"/>
          <w:spacing w:val="-10"/>
        </w:rPr>
        <w:t>réponse</w:t>
      </w:r>
      <w:r>
        <w:rPr>
          <w:color w:val="231F20"/>
          <w:spacing w:val="-7"/>
        </w:rPr>
        <w:t> </w:t>
      </w:r>
      <w:r>
        <w:rPr>
          <w:color w:val="231F20"/>
          <w:spacing w:val="-10"/>
        </w:rPr>
        <w:t>de</w:t>
      </w:r>
      <w:r>
        <w:rPr>
          <w:color w:val="231F20"/>
          <w:spacing w:val="-6"/>
        </w:rPr>
        <w:t> </w:t>
      </w:r>
      <w:r>
        <w:rPr>
          <w:color w:val="231F20"/>
          <w:spacing w:val="-10"/>
        </w:rPr>
        <w:t>la</w:t>
      </w:r>
      <w:r>
        <w:rPr>
          <w:color w:val="231F20"/>
          <w:spacing w:val="-7"/>
        </w:rPr>
        <w:t> </w:t>
      </w:r>
      <w:r>
        <w:rPr>
          <w:color w:val="231F20"/>
          <w:spacing w:val="-10"/>
        </w:rPr>
        <w:t>Commission fédéraledescommunications(FFC)àlademande </w:t>
      </w:r>
      <w:r>
        <w:rPr>
          <w:color w:val="231F20"/>
          <w:spacing w:val="-6"/>
        </w:rPr>
        <w:t>d’évaluation</w:t>
      </w:r>
      <w:r>
        <w:rPr>
          <w:color w:val="231F20"/>
          <w:spacing w:val="-11"/>
        </w:rPr>
        <w:t> </w:t>
      </w:r>
      <w:r>
        <w:rPr>
          <w:color w:val="231F20"/>
          <w:spacing w:val="-6"/>
        </w:rPr>
        <w:t>correspondante.</w:t>
      </w:r>
      <w:r>
        <w:rPr>
          <w:color w:val="231F20"/>
          <w:spacing w:val="28"/>
        </w:rPr>
        <w:t> </w:t>
      </w:r>
      <w:r>
        <w:rPr>
          <w:color w:val="231F20"/>
          <w:spacing w:val="-6"/>
        </w:rPr>
        <w:t>Finalement,</w:t>
      </w:r>
      <w:r>
        <w:rPr>
          <w:color w:val="231F20"/>
          <w:spacing w:val="-11"/>
        </w:rPr>
        <w:t> </w:t>
      </w:r>
      <w:r>
        <w:rPr>
          <w:color w:val="231F20"/>
          <w:spacing w:val="-6"/>
        </w:rPr>
        <w:t>la Commission</w:t>
      </w:r>
      <w:r>
        <w:rPr>
          <w:color w:val="231F20"/>
          <w:spacing w:val="-7"/>
        </w:rPr>
        <w:t> </w:t>
      </w:r>
      <w:r>
        <w:rPr>
          <w:color w:val="231F20"/>
          <w:spacing w:val="-6"/>
        </w:rPr>
        <w:t>d’évaluation</w:t>
      </w:r>
      <w:r>
        <w:rPr>
          <w:color w:val="231F20"/>
          <w:spacing w:val="-7"/>
        </w:rPr>
        <w:t> </w:t>
      </w:r>
      <w:r>
        <w:rPr>
          <w:color w:val="231F20"/>
          <w:spacing w:val="-6"/>
        </w:rPr>
        <w:t>de</w:t>
      </w:r>
      <w:r>
        <w:rPr>
          <w:color w:val="231F20"/>
          <w:spacing w:val="-7"/>
        </w:rPr>
        <w:t> </w:t>
      </w:r>
      <w:r>
        <w:rPr>
          <w:color w:val="231F20"/>
          <w:spacing w:val="-6"/>
        </w:rPr>
        <w:t>la</w:t>
      </w:r>
      <w:r>
        <w:rPr>
          <w:color w:val="231F20"/>
          <w:spacing w:val="-7"/>
        </w:rPr>
        <w:t> </w:t>
      </w:r>
      <w:r>
        <w:rPr>
          <w:color w:val="231F20"/>
          <w:spacing w:val="-6"/>
        </w:rPr>
        <w:t>participation </w:t>
      </w:r>
      <w:r>
        <w:rPr>
          <w:color w:val="231F20"/>
          <w:spacing w:val="-12"/>
        </w:rPr>
        <w:t>étrangère</w:t>
      </w:r>
      <w:r>
        <w:rPr>
          <w:color w:val="231F20"/>
          <w:spacing w:val="-5"/>
        </w:rPr>
        <w:t> </w:t>
      </w:r>
      <w:r>
        <w:rPr>
          <w:color w:val="231F20"/>
          <w:spacing w:val="-12"/>
        </w:rPr>
        <w:t>aux</w:t>
      </w:r>
      <w:r>
        <w:rPr>
          <w:color w:val="231F20"/>
          <w:spacing w:val="-4"/>
        </w:rPr>
        <w:t> </w:t>
      </w:r>
      <w:r>
        <w:rPr>
          <w:color w:val="231F20"/>
          <w:spacing w:val="-12"/>
        </w:rPr>
        <w:t>services</w:t>
      </w:r>
      <w:r>
        <w:rPr>
          <w:color w:val="231F20"/>
          <w:spacing w:val="-5"/>
        </w:rPr>
        <w:t> </w:t>
      </w:r>
      <w:r>
        <w:rPr>
          <w:color w:val="231F20"/>
          <w:spacing w:val="-12"/>
        </w:rPr>
        <w:t>de</w:t>
      </w:r>
      <w:r>
        <w:rPr>
          <w:color w:val="231F20"/>
          <w:spacing w:val="-4"/>
        </w:rPr>
        <w:t> </w:t>
      </w:r>
      <w:r>
        <w:rPr>
          <w:color w:val="231F20"/>
          <w:spacing w:val="-12"/>
        </w:rPr>
        <w:t>télécommunications </w:t>
      </w:r>
      <w:r>
        <w:rPr>
          <w:color w:val="231F20"/>
        </w:rPr>
        <w:t>des</w:t>
      </w:r>
      <w:r>
        <w:rPr>
          <w:color w:val="231F20"/>
          <w:spacing w:val="-4"/>
        </w:rPr>
        <w:t> </w:t>
      </w:r>
      <w:r>
        <w:rPr>
          <w:color w:val="231F20"/>
        </w:rPr>
        <w:t>États-Unis</w:t>
      </w:r>
      <w:r>
        <w:rPr>
          <w:color w:val="231F20"/>
          <w:spacing w:val="-4"/>
        </w:rPr>
        <w:t> </w:t>
      </w:r>
      <w:r>
        <w:rPr>
          <w:color w:val="231F20"/>
        </w:rPr>
        <w:t>a</w:t>
      </w:r>
      <w:r>
        <w:rPr>
          <w:color w:val="231F20"/>
          <w:spacing w:val="-4"/>
        </w:rPr>
        <w:t> </w:t>
      </w:r>
      <w:r>
        <w:rPr>
          <w:color w:val="231F20"/>
        </w:rPr>
        <w:t>recommandé</w:t>
      </w:r>
      <w:r>
        <w:rPr>
          <w:color w:val="231F20"/>
          <w:spacing w:val="-4"/>
        </w:rPr>
        <w:t> </w:t>
      </w:r>
      <w:r>
        <w:rPr>
          <w:color w:val="231F20"/>
        </w:rPr>
        <w:t>à</w:t>
      </w:r>
      <w:r>
        <w:rPr>
          <w:color w:val="231F20"/>
          <w:spacing w:val="-4"/>
        </w:rPr>
        <w:t> </w:t>
      </w:r>
      <w:r>
        <w:rPr>
          <w:color w:val="231F20"/>
        </w:rPr>
        <w:t>la</w:t>
      </w:r>
      <w:r>
        <w:rPr>
          <w:color w:val="231F20"/>
          <w:spacing w:val="-4"/>
        </w:rPr>
        <w:t> </w:t>
      </w:r>
      <w:r>
        <w:rPr>
          <w:color w:val="231F20"/>
        </w:rPr>
        <w:t>FCC</w:t>
      </w:r>
      <w:r>
        <w:rPr>
          <w:color w:val="231F20"/>
          <w:spacing w:val="-4"/>
        </w:rPr>
        <w:t> </w:t>
      </w:r>
      <w:r>
        <w:rPr>
          <w:color w:val="231F20"/>
        </w:rPr>
        <w:t>de refuser l’autorisation, au motif que Cuba </w:t>
      </w:r>
      <w:r>
        <w:rPr>
          <w:color w:val="231F20"/>
          <w:spacing w:val="-16"/>
        </w:rPr>
        <w:t>représentait</w:t>
      </w:r>
      <w:r>
        <w:rPr>
          <w:color w:val="231F20"/>
        </w:rPr>
        <w:t> </w:t>
      </w:r>
      <w:r>
        <w:rPr>
          <w:color w:val="231F20"/>
          <w:spacing w:val="-16"/>
        </w:rPr>
        <w:t>une</w:t>
      </w:r>
      <w:r>
        <w:rPr>
          <w:color w:val="231F20"/>
        </w:rPr>
        <w:t> </w:t>
      </w:r>
      <w:r>
        <w:rPr>
          <w:color w:val="231F20"/>
          <w:spacing w:val="-16"/>
        </w:rPr>
        <w:t>menace</w:t>
      </w:r>
      <w:r>
        <w:rPr>
          <w:color w:val="231F20"/>
        </w:rPr>
        <w:t> </w:t>
      </w:r>
      <w:r>
        <w:rPr>
          <w:color w:val="231F20"/>
          <w:spacing w:val="-16"/>
        </w:rPr>
        <w:t>pour</w:t>
      </w:r>
      <w:r>
        <w:rPr>
          <w:color w:val="231F20"/>
        </w:rPr>
        <w:t> </w:t>
      </w:r>
      <w:r>
        <w:rPr>
          <w:color w:val="231F20"/>
          <w:spacing w:val="-16"/>
        </w:rPr>
        <w:t>les</w:t>
      </w:r>
      <w:r>
        <w:rPr>
          <w:color w:val="231F20"/>
        </w:rPr>
        <w:t> </w:t>
      </w:r>
      <w:r>
        <w:rPr>
          <w:color w:val="231F20"/>
          <w:spacing w:val="-16"/>
        </w:rPr>
        <w:t>États-Unis</w:t>
      </w:r>
      <w:r>
        <w:rPr>
          <w:color w:val="231F20"/>
        </w:rPr>
        <w:t> </w:t>
      </w:r>
      <w:r>
        <w:rPr>
          <w:color w:val="231F20"/>
          <w:spacing w:val="-16"/>
        </w:rPr>
        <w:t>en </w:t>
      </w:r>
      <w:r>
        <w:rPr>
          <w:color w:val="231F20"/>
          <w:spacing w:val="-12"/>
        </w:rPr>
        <w:t>matière</w:t>
      </w:r>
      <w:r>
        <w:rPr>
          <w:color w:val="231F20"/>
          <w:spacing w:val="-5"/>
        </w:rPr>
        <w:t> </w:t>
      </w:r>
      <w:r>
        <w:rPr>
          <w:color w:val="231F20"/>
          <w:spacing w:val="-12"/>
        </w:rPr>
        <w:t>de</w:t>
      </w:r>
      <w:r>
        <w:rPr>
          <w:color w:val="231F20"/>
          <w:spacing w:val="-4"/>
        </w:rPr>
        <w:t> </w:t>
      </w:r>
      <w:r>
        <w:rPr>
          <w:color w:val="231F20"/>
          <w:spacing w:val="-12"/>
        </w:rPr>
        <w:t>contre-espionnage</w:t>
      </w:r>
      <w:r>
        <w:rPr>
          <w:color w:val="231F20"/>
          <w:spacing w:val="-5"/>
        </w:rPr>
        <w:t> </w:t>
      </w:r>
      <w:r>
        <w:rPr>
          <w:color w:val="231F20"/>
          <w:spacing w:val="-12"/>
        </w:rPr>
        <w:t>et</w:t>
      </w:r>
      <w:r>
        <w:rPr>
          <w:color w:val="231F20"/>
          <w:spacing w:val="-4"/>
        </w:rPr>
        <w:t> </w:t>
      </w:r>
      <w:r>
        <w:rPr>
          <w:color w:val="231F20"/>
          <w:spacing w:val="-12"/>
        </w:rPr>
        <w:t>qu’elle</w:t>
      </w:r>
      <w:r>
        <w:rPr>
          <w:color w:val="231F20"/>
          <w:spacing w:val="-5"/>
        </w:rPr>
        <w:t> </w:t>
      </w:r>
      <w:r>
        <w:rPr>
          <w:color w:val="231F20"/>
          <w:spacing w:val="-12"/>
        </w:rPr>
        <w:t>faisait partie</w:t>
      </w:r>
      <w:r>
        <w:rPr>
          <w:color w:val="231F20"/>
          <w:spacing w:val="-3"/>
        </w:rPr>
        <w:t> </w:t>
      </w:r>
      <w:r>
        <w:rPr>
          <w:color w:val="231F20"/>
          <w:spacing w:val="-12"/>
        </w:rPr>
        <w:t>des</w:t>
      </w:r>
      <w:r>
        <w:rPr>
          <w:color w:val="231F20"/>
          <w:spacing w:val="-3"/>
        </w:rPr>
        <w:t> </w:t>
      </w:r>
      <w:r>
        <w:rPr>
          <w:color w:val="231F20"/>
          <w:spacing w:val="-12"/>
        </w:rPr>
        <w:t>États</w:t>
      </w:r>
      <w:r>
        <w:rPr>
          <w:color w:val="231F20"/>
          <w:spacing w:val="-3"/>
        </w:rPr>
        <w:t> </w:t>
      </w:r>
      <w:r>
        <w:rPr>
          <w:color w:val="231F20"/>
          <w:spacing w:val="-12"/>
        </w:rPr>
        <w:t>commanditaires</w:t>
      </w:r>
      <w:r>
        <w:rPr>
          <w:color w:val="231F20"/>
          <w:spacing w:val="-3"/>
        </w:rPr>
        <w:t> </w:t>
      </w:r>
      <w:r>
        <w:rPr>
          <w:color w:val="231F20"/>
          <w:spacing w:val="-12"/>
        </w:rPr>
        <w:t>de</w:t>
      </w:r>
      <w:r>
        <w:rPr>
          <w:color w:val="231F20"/>
          <w:spacing w:val="-3"/>
        </w:rPr>
        <w:t> </w:t>
      </w:r>
      <w:r>
        <w:rPr>
          <w:color w:val="231F20"/>
          <w:spacing w:val="-12"/>
        </w:rPr>
        <w:t>terrorisme </w:t>
      </w:r>
      <w:r>
        <w:rPr>
          <w:color w:val="231F20"/>
        </w:rPr>
        <w:t>international,</w:t>
      </w:r>
      <w:r>
        <w:rPr>
          <w:color w:val="231F20"/>
          <w:spacing w:val="-9"/>
        </w:rPr>
        <w:t> </w:t>
      </w:r>
      <w:r>
        <w:rPr>
          <w:color w:val="231F20"/>
        </w:rPr>
        <w:t>le</w:t>
      </w:r>
      <w:r>
        <w:rPr>
          <w:color w:val="231F20"/>
          <w:spacing w:val="-9"/>
        </w:rPr>
        <w:t> </w:t>
      </w:r>
      <w:r>
        <w:rPr>
          <w:color w:val="231F20"/>
        </w:rPr>
        <w:t>département</w:t>
      </w:r>
      <w:r>
        <w:rPr>
          <w:color w:val="231F20"/>
          <w:spacing w:val="-9"/>
        </w:rPr>
        <w:t> </w:t>
      </w:r>
      <w:r>
        <w:rPr>
          <w:color w:val="231F20"/>
        </w:rPr>
        <w:t>de</w:t>
      </w:r>
      <w:r>
        <w:rPr>
          <w:color w:val="231F20"/>
          <w:spacing w:val="-9"/>
        </w:rPr>
        <w:t> </w:t>
      </w:r>
      <w:r>
        <w:rPr>
          <w:color w:val="231F20"/>
        </w:rPr>
        <w:t>la</w:t>
      </w:r>
      <w:r>
        <w:rPr>
          <w:color w:val="231F20"/>
          <w:spacing w:val="-9"/>
        </w:rPr>
        <w:t> </w:t>
      </w:r>
      <w:r>
        <w:rPr>
          <w:color w:val="231F20"/>
        </w:rPr>
        <w:t>Justice </w:t>
      </w:r>
      <w:r>
        <w:rPr>
          <w:color w:val="231F20"/>
          <w:spacing w:val="-4"/>
        </w:rPr>
        <w:t>ayant</w:t>
      </w:r>
      <w:r>
        <w:rPr>
          <w:color w:val="231F20"/>
          <w:spacing w:val="-8"/>
        </w:rPr>
        <w:t> </w:t>
      </w:r>
      <w:r>
        <w:rPr>
          <w:color w:val="231F20"/>
          <w:spacing w:val="-4"/>
        </w:rPr>
        <w:t>fait</w:t>
      </w:r>
      <w:r>
        <w:rPr>
          <w:color w:val="231F20"/>
          <w:spacing w:val="-8"/>
        </w:rPr>
        <w:t> </w:t>
      </w:r>
      <w:r>
        <w:rPr>
          <w:color w:val="231F20"/>
          <w:spacing w:val="-4"/>
        </w:rPr>
        <w:t>connaître</w:t>
      </w:r>
      <w:r>
        <w:rPr>
          <w:color w:val="231F20"/>
          <w:spacing w:val="-8"/>
        </w:rPr>
        <w:t> </w:t>
      </w:r>
      <w:r>
        <w:rPr>
          <w:color w:val="231F20"/>
          <w:spacing w:val="-4"/>
        </w:rPr>
        <w:t>cette</w:t>
      </w:r>
      <w:r>
        <w:rPr>
          <w:color w:val="231F20"/>
          <w:spacing w:val="-8"/>
        </w:rPr>
        <w:t> </w:t>
      </w:r>
      <w:r>
        <w:rPr>
          <w:color w:val="231F20"/>
          <w:spacing w:val="-4"/>
        </w:rPr>
        <w:t>recommandation, </w:t>
      </w:r>
      <w:r>
        <w:rPr>
          <w:color w:val="231F20"/>
        </w:rPr>
        <w:t>le 30 novembre 2022. Le 13 décembre, le </w:t>
      </w:r>
      <w:r>
        <w:rPr>
          <w:color w:val="231F20"/>
          <w:spacing w:val="-12"/>
        </w:rPr>
        <w:t>sénateur</w:t>
      </w:r>
      <w:r>
        <w:rPr>
          <w:color w:val="231F20"/>
          <w:spacing w:val="-3"/>
        </w:rPr>
        <w:t> </w:t>
      </w:r>
      <w:r>
        <w:rPr>
          <w:color w:val="231F20"/>
          <w:spacing w:val="-12"/>
        </w:rPr>
        <w:t>de</w:t>
      </w:r>
      <w:r>
        <w:rPr>
          <w:color w:val="231F20"/>
          <w:spacing w:val="-3"/>
        </w:rPr>
        <w:t> </w:t>
      </w:r>
      <w:r>
        <w:rPr>
          <w:color w:val="231F20"/>
          <w:spacing w:val="-12"/>
        </w:rPr>
        <w:t>la</w:t>
      </w:r>
      <w:r>
        <w:rPr>
          <w:color w:val="231F20"/>
          <w:spacing w:val="-3"/>
        </w:rPr>
        <w:t> </w:t>
      </w:r>
      <w:r>
        <w:rPr>
          <w:color w:val="231F20"/>
          <w:spacing w:val="-12"/>
        </w:rPr>
        <w:t>Floride,</w:t>
      </w:r>
      <w:r>
        <w:rPr>
          <w:color w:val="231F20"/>
          <w:spacing w:val="-3"/>
        </w:rPr>
        <w:t> </w:t>
      </w:r>
      <w:r>
        <w:rPr>
          <w:color w:val="231F20"/>
          <w:spacing w:val="-12"/>
        </w:rPr>
        <w:t>Marco</w:t>
      </w:r>
      <w:r>
        <w:rPr>
          <w:color w:val="231F20"/>
          <w:spacing w:val="-3"/>
        </w:rPr>
        <w:t> </w:t>
      </w:r>
      <w:r>
        <w:rPr>
          <w:color w:val="231F20"/>
          <w:spacing w:val="-12"/>
        </w:rPr>
        <w:t>Rubio,</w:t>
      </w:r>
      <w:r>
        <w:rPr>
          <w:color w:val="231F20"/>
          <w:spacing w:val="-3"/>
        </w:rPr>
        <w:t> </w:t>
      </w:r>
      <w:r>
        <w:rPr>
          <w:color w:val="231F20"/>
          <w:spacing w:val="-12"/>
        </w:rPr>
        <w:t>a</w:t>
      </w:r>
      <w:r>
        <w:rPr>
          <w:color w:val="231F20"/>
          <w:spacing w:val="-3"/>
        </w:rPr>
        <w:t> </w:t>
      </w:r>
      <w:r>
        <w:rPr>
          <w:color w:val="231F20"/>
          <w:spacing w:val="-12"/>
        </w:rPr>
        <w:t>adressé </w:t>
      </w:r>
      <w:r>
        <w:rPr>
          <w:color w:val="231F20"/>
          <w:spacing w:val="-14"/>
        </w:rPr>
        <w:t>une</w:t>
      </w:r>
      <w:r>
        <w:rPr>
          <w:color w:val="231F20"/>
          <w:spacing w:val="-3"/>
        </w:rPr>
        <w:t> </w:t>
      </w:r>
      <w:r>
        <w:rPr>
          <w:color w:val="231F20"/>
          <w:spacing w:val="-14"/>
        </w:rPr>
        <w:t>lettre</w:t>
      </w:r>
      <w:r>
        <w:rPr>
          <w:color w:val="231F20"/>
          <w:spacing w:val="-2"/>
        </w:rPr>
        <w:t> </w:t>
      </w:r>
      <w:r>
        <w:rPr>
          <w:color w:val="231F20"/>
          <w:spacing w:val="-14"/>
        </w:rPr>
        <w:t>à</w:t>
      </w:r>
      <w:r>
        <w:rPr>
          <w:color w:val="231F20"/>
          <w:spacing w:val="-3"/>
        </w:rPr>
        <w:t> </w:t>
      </w:r>
      <w:r>
        <w:rPr>
          <w:color w:val="231F20"/>
          <w:spacing w:val="-14"/>
        </w:rPr>
        <w:t>la</w:t>
      </w:r>
      <w:r>
        <w:rPr>
          <w:color w:val="231F20"/>
          <w:spacing w:val="-2"/>
        </w:rPr>
        <w:t> </w:t>
      </w:r>
      <w:r>
        <w:rPr>
          <w:color w:val="231F20"/>
          <w:spacing w:val="-14"/>
        </w:rPr>
        <w:t>présidente</w:t>
      </w:r>
      <w:r>
        <w:rPr>
          <w:color w:val="231F20"/>
          <w:spacing w:val="-3"/>
        </w:rPr>
        <w:t> </w:t>
      </w:r>
      <w:r>
        <w:rPr>
          <w:color w:val="231F20"/>
          <w:spacing w:val="-14"/>
        </w:rPr>
        <w:t>de</w:t>
      </w:r>
      <w:r>
        <w:rPr>
          <w:color w:val="231F20"/>
          <w:spacing w:val="-2"/>
        </w:rPr>
        <w:t> </w:t>
      </w:r>
      <w:r>
        <w:rPr>
          <w:color w:val="231F20"/>
          <w:spacing w:val="-14"/>
        </w:rPr>
        <w:t>la</w:t>
      </w:r>
      <w:r>
        <w:rPr>
          <w:color w:val="231F20"/>
          <w:spacing w:val="-3"/>
        </w:rPr>
        <w:t> </w:t>
      </w:r>
      <w:r>
        <w:rPr>
          <w:color w:val="231F20"/>
          <w:spacing w:val="-14"/>
        </w:rPr>
        <w:t>FCC</w:t>
      </w:r>
      <w:r>
        <w:rPr>
          <w:color w:val="231F20"/>
          <w:spacing w:val="-2"/>
        </w:rPr>
        <w:t> </w:t>
      </w:r>
      <w:r>
        <w:rPr>
          <w:color w:val="231F20"/>
          <w:spacing w:val="-14"/>
        </w:rPr>
        <w:t>pour</w:t>
      </w:r>
      <w:r>
        <w:rPr>
          <w:color w:val="231F20"/>
          <w:spacing w:val="-2"/>
        </w:rPr>
        <w:t> </w:t>
      </w:r>
      <w:r>
        <w:rPr>
          <w:color w:val="231F20"/>
          <w:spacing w:val="-14"/>
        </w:rPr>
        <w:t>exiger </w:t>
      </w:r>
      <w:r>
        <w:rPr>
          <w:color w:val="231F20"/>
          <w:spacing w:val="-10"/>
        </w:rPr>
        <w:t>le</w:t>
      </w:r>
      <w:r>
        <w:rPr>
          <w:color w:val="231F20"/>
          <w:spacing w:val="-7"/>
        </w:rPr>
        <w:t> </w:t>
      </w:r>
      <w:r>
        <w:rPr>
          <w:color w:val="231F20"/>
          <w:spacing w:val="-10"/>
        </w:rPr>
        <w:t>rejet</w:t>
      </w:r>
      <w:r>
        <w:rPr>
          <w:color w:val="231F20"/>
          <w:spacing w:val="-6"/>
        </w:rPr>
        <w:t> </w:t>
      </w:r>
      <w:r>
        <w:rPr>
          <w:color w:val="231F20"/>
          <w:spacing w:val="-10"/>
        </w:rPr>
        <w:t>immédiat</w:t>
      </w:r>
      <w:r>
        <w:rPr>
          <w:color w:val="231F20"/>
          <w:spacing w:val="-7"/>
        </w:rPr>
        <w:t> </w:t>
      </w:r>
      <w:r>
        <w:rPr>
          <w:color w:val="231F20"/>
          <w:spacing w:val="-10"/>
        </w:rPr>
        <w:t>de</w:t>
      </w:r>
      <w:r>
        <w:rPr>
          <w:color w:val="231F20"/>
          <w:spacing w:val="-6"/>
        </w:rPr>
        <w:t> </w:t>
      </w:r>
      <w:r>
        <w:rPr>
          <w:color w:val="231F20"/>
          <w:spacing w:val="-10"/>
        </w:rPr>
        <w:t>l’autorisation.</w:t>
      </w:r>
      <w:r>
        <w:rPr>
          <w:color w:val="231F20"/>
          <w:spacing w:val="-7"/>
        </w:rPr>
        <w:t> </w:t>
      </w:r>
      <w:r>
        <w:rPr>
          <w:color w:val="231F20"/>
          <w:spacing w:val="-10"/>
        </w:rPr>
        <w:t>Devant</w:t>
      </w:r>
      <w:r>
        <w:rPr>
          <w:color w:val="231F20"/>
          <w:spacing w:val="-6"/>
        </w:rPr>
        <w:t> </w:t>
      </w:r>
      <w:r>
        <w:rPr>
          <w:color w:val="231F20"/>
          <w:spacing w:val="-10"/>
        </w:rPr>
        <w:t>ces </w:t>
      </w:r>
      <w:r>
        <w:rPr>
          <w:color w:val="231F20"/>
          <w:spacing w:val="-12"/>
        </w:rPr>
        <w:t>pressions,</w:t>
      </w:r>
      <w:r>
        <w:rPr>
          <w:color w:val="231F20"/>
          <w:spacing w:val="-5"/>
        </w:rPr>
        <w:t> </w:t>
      </w:r>
      <w:r>
        <w:rPr>
          <w:color w:val="231F20"/>
          <w:spacing w:val="-12"/>
        </w:rPr>
        <w:t>la</w:t>
      </w:r>
      <w:r>
        <w:rPr>
          <w:color w:val="231F20"/>
          <w:spacing w:val="-3"/>
        </w:rPr>
        <w:t> </w:t>
      </w:r>
      <w:r>
        <w:rPr>
          <w:color w:val="231F20"/>
          <w:spacing w:val="-12"/>
        </w:rPr>
        <w:t>compagnie</w:t>
      </w:r>
      <w:r>
        <w:rPr>
          <w:color w:val="231F20"/>
          <w:spacing w:val="-4"/>
        </w:rPr>
        <w:t> </w:t>
      </w:r>
      <w:r>
        <w:rPr>
          <w:color w:val="231F20"/>
          <w:spacing w:val="-12"/>
        </w:rPr>
        <w:t>étasunienne</w:t>
      </w:r>
      <w:r>
        <w:rPr>
          <w:color w:val="231F20"/>
          <w:spacing w:val="-4"/>
        </w:rPr>
        <w:t> </w:t>
      </w:r>
      <w:r>
        <w:rPr>
          <w:color w:val="231F20"/>
          <w:spacing w:val="-12"/>
        </w:rPr>
        <w:t>a</w:t>
      </w:r>
      <w:r>
        <w:rPr>
          <w:color w:val="231F20"/>
          <w:spacing w:val="-4"/>
        </w:rPr>
        <w:t> </w:t>
      </w:r>
      <w:r>
        <w:rPr>
          <w:color w:val="231F20"/>
          <w:spacing w:val="-12"/>
        </w:rPr>
        <w:t>fini</w:t>
      </w:r>
      <w:r>
        <w:rPr>
          <w:color w:val="231F20"/>
          <w:spacing w:val="-5"/>
        </w:rPr>
        <w:t> </w:t>
      </w:r>
      <w:r>
        <w:rPr>
          <w:color w:val="231F20"/>
          <w:spacing w:val="-12"/>
        </w:rPr>
        <w:t>par </w:t>
      </w:r>
      <w:r>
        <w:rPr>
          <w:color w:val="231F20"/>
          <w:spacing w:val="-2"/>
        </w:rPr>
        <w:t>renoncer</w:t>
      </w:r>
      <w:r>
        <w:rPr>
          <w:color w:val="231F20"/>
          <w:spacing w:val="-23"/>
        </w:rPr>
        <w:t> </w:t>
      </w:r>
      <w:r>
        <w:rPr>
          <w:color w:val="231F20"/>
          <w:spacing w:val="-2"/>
        </w:rPr>
        <w:t>à</w:t>
      </w:r>
      <w:r>
        <w:rPr>
          <w:color w:val="231F20"/>
          <w:spacing w:val="-23"/>
        </w:rPr>
        <w:t> </w:t>
      </w:r>
      <w:r>
        <w:rPr>
          <w:color w:val="231F20"/>
          <w:spacing w:val="-2"/>
        </w:rPr>
        <w:t>son</w:t>
      </w:r>
      <w:r>
        <w:rPr>
          <w:color w:val="231F20"/>
          <w:spacing w:val="-23"/>
        </w:rPr>
        <w:t> </w:t>
      </w:r>
      <w:r>
        <w:rPr>
          <w:color w:val="231F20"/>
          <w:spacing w:val="-2"/>
        </w:rPr>
        <w:t>projet.</w:t>
      </w:r>
    </w:p>
    <w:p>
      <w:pPr>
        <w:pStyle w:val="BodyText"/>
        <w:spacing w:before="178"/>
        <w:ind w:left="1474"/>
      </w:pPr>
      <w:r>
        <w:rPr>
          <w:color w:val="231F20"/>
          <w:spacing w:val="-6"/>
        </w:rPr>
        <w:t>La</w:t>
      </w:r>
      <w:r>
        <w:rPr>
          <w:color w:val="231F20"/>
          <w:spacing w:val="-10"/>
        </w:rPr>
        <w:t> </w:t>
      </w:r>
      <w:r>
        <w:rPr>
          <w:color w:val="231F20"/>
          <w:spacing w:val="-6"/>
        </w:rPr>
        <w:t>réinscription</w:t>
      </w:r>
      <w:r>
        <w:rPr>
          <w:color w:val="231F20"/>
          <w:spacing w:val="-10"/>
        </w:rPr>
        <w:t> </w:t>
      </w:r>
      <w:r>
        <w:rPr>
          <w:color w:val="231F20"/>
          <w:spacing w:val="-6"/>
        </w:rPr>
        <w:t>de</w:t>
      </w:r>
      <w:r>
        <w:rPr>
          <w:color w:val="231F20"/>
          <w:spacing w:val="-10"/>
        </w:rPr>
        <w:t> </w:t>
      </w:r>
      <w:r>
        <w:rPr>
          <w:color w:val="231F20"/>
          <w:spacing w:val="-6"/>
        </w:rPr>
        <w:t>Cuba</w:t>
      </w:r>
      <w:r>
        <w:rPr>
          <w:color w:val="231F20"/>
          <w:spacing w:val="-10"/>
        </w:rPr>
        <w:t> </w:t>
      </w:r>
      <w:r>
        <w:rPr>
          <w:color w:val="231F20"/>
          <w:spacing w:val="-6"/>
        </w:rPr>
        <w:t>sur</w:t>
      </w:r>
      <w:r>
        <w:rPr>
          <w:color w:val="231F20"/>
          <w:spacing w:val="-10"/>
        </w:rPr>
        <w:t> </w:t>
      </w:r>
      <w:r>
        <w:rPr>
          <w:color w:val="231F20"/>
          <w:spacing w:val="-6"/>
        </w:rPr>
        <w:t>la</w:t>
      </w:r>
      <w:r>
        <w:rPr>
          <w:color w:val="231F20"/>
          <w:spacing w:val="-10"/>
        </w:rPr>
        <w:t> </w:t>
      </w:r>
      <w:r>
        <w:rPr>
          <w:color w:val="231F20"/>
          <w:spacing w:val="-6"/>
        </w:rPr>
        <w:t>liste</w:t>
      </w:r>
      <w:r>
        <w:rPr>
          <w:color w:val="231F20"/>
          <w:spacing w:val="-10"/>
        </w:rPr>
        <w:t> </w:t>
      </w:r>
      <w:r>
        <w:rPr>
          <w:color w:val="231F20"/>
          <w:spacing w:val="-6"/>
        </w:rPr>
        <w:t>des</w:t>
      </w:r>
      <w:r>
        <w:rPr>
          <w:color w:val="231F20"/>
          <w:spacing w:val="-10"/>
        </w:rPr>
        <w:t> </w:t>
      </w:r>
      <w:r>
        <w:rPr>
          <w:color w:val="231F20"/>
          <w:spacing w:val="-6"/>
        </w:rPr>
        <w:t>États </w:t>
      </w:r>
      <w:r>
        <w:rPr>
          <w:color w:val="231F20"/>
        </w:rPr>
        <w:t>censément</w:t>
      </w:r>
      <w:r>
        <w:rPr>
          <w:color w:val="231F20"/>
          <w:spacing w:val="20"/>
        </w:rPr>
        <w:t> </w:t>
      </w:r>
      <w:r>
        <w:rPr>
          <w:color w:val="231F20"/>
        </w:rPr>
        <w:t>commanditaires</w:t>
      </w:r>
      <w:r>
        <w:rPr>
          <w:color w:val="231F20"/>
          <w:spacing w:val="19"/>
        </w:rPr>
        <w:t> </w:t>
      </w:r>
      <w:r>
        <w:rPr>
          <w:color w:val="231F20"/>
        </w:rPr>
        <w:t>de</w:t>
      </w:r>
      <w:r>
        <w:rPr>
          <w:color w:val="231F20"/>
          <w:spacing w:val="21"/>
        </w:rPr>
        <w:t> </w:t>
      </w:r>
      <w:r>
        <w:rPr>
          <w:color w:val="231F20"/>
          <w:spacing w:val="-6"/>
        </w:rPr>
        <w:t>terrorisme</w:t>
      </w:r>
    </w:p>
    <w:p>
      <w:pPr>
        <w:pStyle w:val="BodyText"/>
        <w:spacing w:before="77"/>
        <w:ind w:left="415" w:right="1136"/>
      </w:pPr>
      <w:r>
        <w:rPr/>
        <w:br w:type="column"/>
      </w:r>
      <w:r>
        <w:rPr>
          <w:color w:val="231F20"/>
        </w:rPr>
        <w:t>international a eu pour effet d’annuler les </w:t>
      </w:r>
      <w:r>
        <w:rPr>
          <w:color w:val="231F20"/>
          <w:spacing w:val="-8"/>
        </w:rPr>
        <w:t>envois</w:t>
      </w:r>
      <w:r>
        <w:rPr>
          <w:color w:val="231F20"/>
          <w:spacing w:val="-9"/>
        </w:rPr>
        <w:t> </w:t>
      </w:r>
      <w:r>
        <w:rPr>
          <w:color w:val="231F20"/>
          <w:spacing w:val="-8"/>
        </w:rPr>
        <w:t>de colis</w:t>
      </w:r>
      <w:r>
        <w:rPr>
          <w:color w:val="231F20"/>
          <w:spacing w:val="-9"/>
        </w:rPr>
        <w:t> </w:t>
      </w:r>
      <w:r>
        <w:rPr>
          <w:color w:val="231F20"/>
          <w:spacing w:val="-8"/>
        </w:rPr>
        <w:t>par messagerie</w:t>
      </w:r>
      <w:r>
        <w:rPr>
          <w:color w:val="231F20"/>
          <w:spacing w:val="-9"/>
        </w:rPr>
        <w:t> </w:t>
      </w:r>
      <w:r>
        <w:rPr>
          <w:color w:val="231F20"/>
          <w:spacing w:val="-8"/>
        </w:rPr>
        <w:t>à Cuba,</w:t>
      </w:r>
      <w:r>
        <w:rPr>
          <w:color w:val="231F20"/>
          <w:spacing w:val="-9"/>
        </w:rPr>
        <w:t> </w:t>
      </w:r>
      <w:r>
        <w:rPr>
          <w:color w:val="231F20"/>
          <w:spacing w:val="-8"/>
        </w:rPr>
        <w:t>ce </w:t>
      </w:r>
      <w:r>
        <w:rPr>
          <w:color w:val="231F20"/>
          <w:spacing w:val="-8"/>
        </w:rPr>
        <w:t>qui </w:t>
      </w:r>
      <w:r>
        <w:rPr>
          <w:color w:val="231F20"/>
          <w:spacing w:val="-6"/>
        </w:rPr>
        <w:t>a</w:t>
      </w:r>
      <w:r>
        <w:rPr>
          <w:color w:val="231F20"/>
          <w:spacing w:val="-11"/>
        </w:rPr>
        <w:t> </w:t>
      </w:r>
      <w:r>
        <w:rPr>
          <w:color w:val="231F20"/>
          <w:spacing w:val="-6"/>
        </w:rPr>
        <w:t>aussi</w:t>
      </w:r>
      <w:r>
        <w:rPr>
          <w:color w:val="231F20"/>
          <w:spacing w:val="-10"/>
        </w:rPr>
        <w:t> </w:t>
      </w:r>
      <w:r>
        <w:rPr>
          <w:color w:val="231F20"/>
          <w:spacing w:val="-6"/>
        </w:rPr>
        <w:t>touché</w:t>
      </w:r>
      <w:r>
        <w:rPr>
          <w:color w:val="231F20"/>
          <w:spacing w:val="-11"/>
        </w:rPr>
        <w:t> </w:t>
      </w:r>
      <w:r>
        <w:rPr>
          <w:color w:val="231F20"/>
          <w:spacing w:val="-6"/>
        </w:rPr>
        <w:t>le</w:t>
      </w:r>
      <w:r>
        <w:rPr>
          <w:color w:val="231F20"/>
          <w:spacing w:val="-10"/>
        </w:rPr>
        <w:t> </w:t>
      </w:r>
      <w:r>
        <w:rPr>
          <w:color w:val="231F20"/>
          <w:spacing w:val="-6"/>
        </w:rPr>
        <w:t>service</w:t>
      </w:r>
      <w:r>
        <w:rPr>
          <w:color w:val="231F20"/>
          <w:spacing w:val="-11"/>
        </w:rPr>
        <w:t> </w:t>
      </w:r>
      <w:r>
        <w:rPr>
          <w:color w:val="231F20"/>
          <w:spacing w:val="-6"/>
        </w:rPr>
        <w:t>Express</w:t>
      </w:r>
      <w:r>
        <w:rPr>
          <w:color w:val="231F20"/>
          <w:spacing w:val="-10"/>
        </w:rPr>
        <w:t> </w:t>
      </w:r>
      <w:r>
        <w:rPr>
          <w:color w:val="231F20"/>
          <w:spacing w:val="-6"/>
        </w:rPr>
        <w:t>Mail</w:t>
      </w:r>
      <w:r>
        <w:rPr>
          <w:color w:val="231F20"/>
          <w:spacing w:val="-11"/>
        </w:rPr>
        <w:t> </w:t>
      </w:r>
      <w:r>
        <w:rPr>
          <w:color w:val="231F20"/>
          <w:spacing w:val="-6"/>
        </w:rPr>
        <w:t>Service </w:t>
      </w:r>
      <w:r>
        <w:rPr>
          <w:color w:val="231F20"/>
        </w:rPr>
        <w:t>(EMS)</w:t>
      </w:r>
      <w:r>
        <w:rPr>
          <w:color w:val="231F20"/>
          <w:position w:val="8"/>
          <w:sz w:val="14"/>
        </w:rPr>
        <w:t>1</w:t>
      </w:r>
      <w:r>
        <w:rPr>
          <w:color w:val="231F20"/>
          <w:spacing w:val="21"/>
          <w:position w:val="8"/>
          <w:sz w:val="14"/>
        </w:rPr>
        <w:t> </w:t>
      </w:r>
      <w:r>
        <w:rPr>
          <w:color w:val="231F20"/>
        </w:rPr>
        <w:t>de</w:t>
      </w:r>
      <w:r>
        <w:rPr>
          <w:color w:val="231F20"/>
          <w:spacing w:val="-8"/>
        </w:rPr>
        <w:t> </w:t>
      </w:r>
      <w:r>
        <w:rPr>
          <w:color w:val="231F20"/>
        </w:rPr>
        <w:t>l’Union</w:t>
      </w:r>
      <w:r>
        <w:rPr>
          <w:color w:val="231F20"/>
          <w:spacing w:val="-8"/>
        </w:rPr>
        <w:t> </w:t>
      </w:r>
      <w:r>
        <w:rPr>
          <w:color w:val="231F20"/>
        </w:rPr>
        <w:t>postale</w:t>
      </w:r>
      <w:r>
        <w:rPr>
          <w:color w:val="231F20"/>
          <w:spacing w:val="-8"/>
        </w:rPr>
        <w:t> </w:t>
      </w:r>
      <w:r>
        <w:rPr>
          <w:color w:val="231F20"/>
        </w:rPr>
        <w:t>universelle.</w:t>
      </w:r>
    </w:p>
    <w:p>
      <w:pPr>
        <w:pStyle w:val="BodyText"/>
        <w:spacing w:before="163"/>
        <w:ind w:left="415" w:right="1131"/>
      </w:pPr>
      <w:r>
        <w:rPr>
          <w:color w:val="231F20"/>
          <w:spacing w:val="-6"/>
        </w:rPr>
        <w:t>Cuba continue d’être limitée dans son accès </w:t>
      </w:r>
      <w:r>
        <w:rPr>
          <w:color w:val="231F20"/>
          <w:spacing w:val="-2"/>
        </w:rPr>
        <w:t>à</w:t>
      </w:r>
      <w:r>
        <w:rPr>
          <w:color w:val="231F20"/>
          <w:spacing w:val="-15"/>
        </w:rPr>
        <w:t> </w:t>
      </w:r>
      <w:r>
        <w:rPr>
          <w:color w:val="231F20"/>
          <w:spacing w:val="-2"/>
        </w:rPr>
        <w:t>la</w:t>
      </w:r>
      <w:r>
        <w:rPr>
          <w:color w:val="231F20"/>
          <w:spacing w:val="-14"/>
        </w:rPr>
        <w:t> </w:t>
      </w:r>
      <w:r>
        <w:rPr>
          <w:color w:val="231F20"/>
          <w:spacing w:val="-2"/>
        </w:rPr>
        <w:t>bande</w:t>
      </w:r>
      <w:r>
        <w:rPr>
          <w:color w:val="231F20"/>
          <w:spacing w:val="-15"/>
        </w:rPr>
        <w:t> </w:t>
      </w:r>
      <w:r>
        <w:rPr>
          <w:color w:val="231F20"/>
          <w:spacing w:val="-2"/>
        </w:rPr>
        <w:t>large</w:t>
      </w:r>
      <w:r>
        <w:rPr>
          <w:color w:val="231F20"/>
          <w:spacing w:val="-14"/>
        </w:rPr>
        <w:t> </w:t>
      </w:r>
      <w:r>
        <w:rPr>
          <w:color w:val="231F20"/>
          <w:spacing w:val="-2"/>
        </w:rPr>
        <w:t>d’Internet,</w:t>
      </w:r>
      <w:r>
        <w:rPr>
          <w:color w:val="231F20"/>
          <w:spacing w:val="-15"/>
        </w:rPr>
        <w:t> </w:t>
      </w:r>
      <w:r>
        <w:rPr>
          <w:color w:val="231F20"/>
          <w:spacing w:val="-2"/>
        </w:rPr>
        <w:t>ce</w:t>
      </w:r>
      <w:r>
        <w:rPr>
          <w:color w:val="231F20"/>
          <w:spacing w:val="-14"/>
        </w:rPr>
        <w:t> </w:t>
      </w:r>
      <w:r>
        <w:rPr>
          <w:color w:val="231F20"/>
          <w:spacing w:val="-2"/>
        </w:rPr>
        <w:t>qui</w:t>
      </w:r>
      <w:r>
        <w:rPr>
          <w:color w:val="231F20"/>
          <w:spacing w:val="-15"/>
        </w:rPr>
        <w:t> </w:t>
      </w:r>
      <w:r>
        <w:rPr>
          <w:color w:val="231F20"/>
          <w:spacing w:val="-2"/>
        </w:rPr>
        <w:t>influe</w:t>
      </w:r>
      <w:r>
        <w:rPr>
          <w:color w:val="231F20"/>
          <w:spacing w:val="-14"/>
        </w:rPr>
        <w:t> </w:t>
      </w:r>
      <w:r>
        <w:rPr>
          <w:color w:val="231F20"/>
          <w:spacing w:val="-2"/>
        </w:rPr>
        <w:t>sur la</w:t>
      </w:r>
      <w:r>
        <w:rPr>
          <w:color w:val="231F20"/>
          <w:spacing w:val="-11"/>
        </w:rPr>
        <w:t> </w:t>
      </w:r>
      <w:r>
        <w:rPr>
          <w:color w:val="231F20"/>
          <w:spacing w:val="-2"/>
        </w:rPr>
        <w:t>vitesse</w:t>
      </w:r>
      <w:r>
        <w:rPr>
          <w:color w:val="231F20"/>
          <w:spacing w:val="-11"/>
        </w:rPr>
        <w:t> </w:t>
      </w:r>
      <w:r>
        <w:rPr>
          <w:color w:val="231F20"/>
          <w:spacing w:val="-2"/>
        </w:rPr>
        <w:t>des</w:t>
      </w:r>
      <w:r>
        <w:rPr>
          <w:color w:val="231F20"/>
          <w:spacing w:val="-11"/>
        </w:rPr>
        <w:t> </w:t>
      </w:r>
      <w:r>
        <w:rPr>
          <w:color w:val="231F20"/>
          <w:spacing w:val="-2"/>
        </w:rPr>
        <w:t>téléchargements</w:t>
      </w:r>
      <w:r>
        <w:rPr>
          <w:color w:val="231F20"/>
          <w:spacing w:val="-11"/>
        </w:rPr>
        <w:t> </w:t>
      </w:r>
      <w:r>
        <w:rPr>
          <w:color w:val="231F20"/>
          <w:spacing w:val="-2"/>
        </w:rPr>
        <w:t>de</w:t>
      </w:r>
      <w:r>
        <w:rPr>
          <w:color w:val="231F20"/>
          <w:spacing w:val="-11"/>
        </w:rPr>
        <w:t> </w:t>
      </w:r>
      <w:r>
        <w:rPr>
          <w:color w:val="231F20"/>
          <w:spacing w:val="-2"/>
        </w:rPr>
        <w:t>logiciels, </w:t>
      </w:r>
      <w:r>
        <w:rPr>
          <w:color w:val="231F20"/>
        </w:rPr>
        <w:t>de musique, de programmes de radio et de télévision transmis en temps réel, et à des</w:t>
      </w:r>
      <w:r>
        <w:rPr>
          <w:color w:val="231F20"/>
          <w:spacing w:val="-14"/>
        </w:rPr>
        <w:t> </w:t>
      </w:r>
      <w:r>
        <w:rPr>
          <w:color w:val="231F20"/>
        </w:rPr>
        <w:t>sites,</w:t>
      </w:r>
      <w:r>
        <w:rPr>
          <w:color w:val="231F20"/>
          <w:spacing w:val="-14"/>
        </w:rPr>
        <w:t> </w:t>
      </w:r>
      <w:r>
        <w:rPr>
          <w:color w:val="231F20"/>
        </w:rPr>
        <w:t>bien</w:t>
      </w:r>
      <w:r>
        <w:rPr>
          <w:color w:val="231F20"/>
          <w:spacing w:val="-14"/>
        </w:rPr>
        <w:t> </w:t>
      </w:r>
      <w:r>
        <w:rPr>
          <w:color w:val="231F20"/>
        </w:rPr>
        <w:t>souvent</w:t>
      </w:r>
      <w:r>
        <w:rPr>
          <w:color w:val="231F20"/>
          <w:spacing w:val="-14"/>
        </w:rPr>
        <w:t> </w:t>
      </w:r>
      <w:r>
        <w:rPr>
          <w:color w:val="231F20"/>
        </w:rPr>
        <w:t>gratuits,</w:t>
      </w:r>
      <w:r>
        <w:rPr>
          <w:color w:val="231F20"/>
          <w:spacing w:val="-14"/>
        </w:rPr>
        <w:t> </w:t>
      </w:r>
      <w:r>
        <w:rPr>
          <w:color w:val="231F20"/>
        </w:rPr>
        <w:t>de</w:t>
      </w:r>
      <w:r>
        <w:rPr>
          <w:color w:val="231F20"/>
          <w:spacing w:val="-14"/>
        </w:rPr>
        <w:t> </w:t>
      </w:r>
      <w:r>
        <w:rPr>
          <w:color w:val="231F20"/>
        </w:rPr>
        <w:t>mises</w:t>
      </w:r>
      <w:r>
        <w:rPr>
          <w:color w:val="231F20"/>
          <w:spacing w:val="-14"/>
        </w:rPr>
        <w:t> </w:t>
      </w:r>
      <w:r>
        <w:rPr>
          <w:color w:val="231F20"/>
        </w:rPr>
        <w:t>à </w:t>
      </w:r>
      <w:r>
        <w:rPr>
          <w:color w:val="231F20"/>
          <w:spacing w:val="-4"/>
        </w:rPr>
        <w:t>jour</w:t>
      </w:r>
      <w:r>
        <w:rPr>
          <w:color w:val="231F20"/>
          <w:spacing w:val="-9"/>
        </w:rPr>
        <w:t> </w:t>
      </w:r>
      <w:r>
        <w:rPr>
          <w:color w:val="231F20"/>
          <w:spacing w:val="-4"/>
        </w:rPr>
        <w:t>de</w:t>
      </w:r>
      <w:r>
        <w:rPr>
          <w:color w:val="231F20"/>
          <w:spacing w:val="-9"/>
        </w:rPr>
        <w:t> </w:t>
      </w:r>
      <w:r>
        <w:rPr>
          <w:color w:val="231F20"/>
          <w:spacing w:val="-4"/>
        </w:rPr>
        <w:t>programmes</w:t>
      </w:r>
      <w:r>
        <w:rPr>
          <w:color w:val="231F20"/>
          <w:spacing w:val="-9"/>
        </w:rPr>
        <w:t> </w:t>
      </w:r>
      <w:r>
        <w:rPr>
          <w:color w:val="231F20"/>
          <w:spacing w:val="-4"/>
        </w:rPr>
        <w:t>comptant</w:t>
      </w:r>
      <w:r>
        <w:rPr>
          <w:color w:val="231F20"/>
          <w:spacing w:val="-9"/>
        </w:rPr>
        <w:t> </w:t>
      </w:r>
      <w:r>
        <w:rPr>
          <w:color w:val="231F20"/>
          <w:spacing w:val="-4"/>
        </w:rPr>
        <w:t>des</w:t>
      </w:r>
      <w:r>
        <w:rPr>
          <w:color w:val="231F20"/>
          <w:spacing w:val="-9"/>
        </w:rPr>
        <w:t> </w:t>
      </w:r>
      <w:r>
        <w:rPr>
          <w:color w:val="231F20"/>
          <w:spacing w:val="-4"/>
        </w:rPr>
        <w:t>millions </w:t>
      </w:r>
      <w:r>
        <w:rPr>
          <w:color w:val="231F20"/>
        </w:rPr>
        <w:t>d’usagers dans le monde.</w:t>
      </w:r>
    </w:p>
    <w:p>
      <w:pPr>
        <w:pStyle w:val="BodyText"/>
        <w:spacing w:before="166"/>
        <w:ind w:left="415" w:right="1133"/>
      </w:pPr>
      <w:r>
        <w:rPr>
          <w:color w:val="231F20"/>
          <w:spacing w:val="-4"/>
        </w:rPr>
        <w:t>Ces</w:t>
      </w:r>
      <w:r>
        <w:rPr>
          <w:color w:val="231F20"/>
          <w:spacing w:val="-13"/>
        </w:rPr>
        <w:t> </w:t>
      </w:r>
      <w:r>
        <w:rPr>
          <w:color w:val="231F20"/>
          <w:spacing w:val="-4"/>
        </w:rPr>
        <w:t>obstacles</w:t>
      </w:r>
      <w:r>
        <w:rPr>
          <w:color w:val="231F20"/>
          <w:spacing w:val="-12"/>
        </w:rPr>
        <w:t> </w:t>
      </w:r>
      <w:r>
        <w:rPr>
          <w:color w:val="231F20"/>
          <w:spacing w:val="-4"/>
        </w:rPr>
        <w:t>freinent</w:t>
      </w:r>
      <w:r>
        <w:rPr>
          <w:color w:val="231F20"/>
          <w:spacing w:val="-12"/>
        </w:rPr>
        <w:t> </w:t>
      </w:r>
      <w:r>
        <w:rPr>
          <w:color w:val="231F20"/>
          <w:spacing w:val="-4"/>
        </w:rPr>
        <w:t>le</w:t>
      </w:r>
      <w:r>
        <w:rPr>
          <w:color w:val="231F20"/>
          <w:spacing w:val="-13"/>
        </w:rPr>
        <w:t> </w:t>
      </w:r>
      <w:r>
        <w:rPr>
          <w:color w:val="231F20"/>
          <w:spacing w:val="-4"/>
        </w:rPr>
        <w:t>flux</w:t>
      </w:r>
      <w:r>
        <w:rPr>
          <w:color w:val="231F20"/>
          <w:spacing w:val="-12"/>
        </w:rPr>
        <w:t> </w:t>
      </w:r>
      <w:r>
        <w:rPr>
          <w:color w:val="231F20"/>
          <w:spacing w:val="-4"/>
        </w:rPr>
        <w:t>d’informations </w:t>
      </w:r>
      <w:r>
        <w:rPr>
          <w:color w:val="231F20"/>
        </w:rPr>
        <w:t>et la massification de l’accès à Internet, </w:t>
      </w:r>
      <w:r>
        <w:rPr>
          <w:color w:val="231F20"/>
          <w:spacing w:val="-2"/>
        </w:rPr>
        <w:t>entravent</w:t>
      </w:r>
      <w:r>
        <w:rPr>
          <w:color w:val="231F20"/>
          <w:spacing w:val="-13"/>
        </w:rPr>
        <w:t> </w:t>
      </w:r>
      <w:r>
        <w:rPr>
          <w:color w:val="231F20"/>
          <w:spacing w:val="-2"/>
        </w:rPr>
        <w:t>et</w:t>
      </w:r>
      <w:r>
        <w:rPr>
          <w:color w:val="231F20"/>
          <w:spacing w:val="-13"/>
        </w:rPr>
        <w:t> </w:t>
      </w:r>
      <w:r>
        <w:rPr>
          <w:color w:val="231F20"/>
          <w:spacing w:val="-2"/>
        </w:rPr>
        <w:t>enchérissent</w:t>
      </w:r>
      <w:r>
        <w:rPr>
          <w:color w:val="231F20"/>
          <w:spacing w:val="-13"/>
        </w:rPr>
        <w:t> </w:t>
      </w:r>
      <w:r>
        <w:rPr>
          <w:color w:val="231F20"/>
          <w:spacing w:val="-2"/>
        </w:rPr>
        <w:t>la</w:t>
      </w:r>
      <w:r>
        <w:rPr>
          <w:color w:val="231F20"/>
          <w:spacing w:val="-13"/>
        </w:rPr>
        <w:t> </w:t>
      </w:r>
      <w:r>
        <w:rPr>
          <w:color w:val="231F20"/>
          <w:spacing w:val="-2"/>
        </w:rPr>
        <w:t>connectivité</w:t>
      </w:r>
      <w:r>
        <w:rPr>
          <w:color w:val="231F20"/>
          <w:spacing w:val="-13"/>
        </w:rPr>
        <w:t> </w:t>
      </w:r>
      <w:r>
        <w:rPr>
          <w:color w:val="231F20"/>
          <w:spacing w:val="-2"/>
        </w:rPr>
        <w:t>et conditionnent</w:t>
      </w:r>
      <w:r>
        <w:rPr>
          <w:color w:val="231F20"/>
          <w:spacing w:val="-15"/>
        </w:rPr>
        <w:t> </w:t>
      </w:r>
      <w:r>
        <w:rPr>
          <w:color w:val="231F20"/>
          <w:spacing w:val="-2"/>
        </w:rPr>
        <w:t>l’entrée</w:t>
      </w:r>
      <w:r>
        <w:rPr>
          <w:color w:val="231F20"/>
          <w:spacing w:val="-14"/>
        </w:rPr>
        <w:t> </w:t>
      </w:r>
      <w:r>
        <w:rPr>
          <w:color w:val="231F20"/>
          <w:spacing w:val="-2"/>
        </w:rPr>
        <w:t>des</w:t>
      </w:r>
      <w:r>
        <w:rPr>
          <w:color w:val="231F20"/>
          <w:spacing w:val="-15"/>
        </w:rPr>
        <w:t> </w:t>
      </w:r>
      <w:r>
        <w:rPr>
          <w:color w:val="231F20"/>
          <w:spacing w:val="-2"/>
        </w:rPr>
        <w:t>usagers</w:t>
      </w:r>
      <w:r>
        <w:rPr>
          <w:color w:val="231F20"/>
          <w:spacing w:val="-14"/>
        </w:rPr>
        <w:t> </w:t>
      </w:r>
      <w:r>
        <w:rPr>
          <w:color w:val="231F20"/>
          <w:spacing w:val="-2"/>
        </w:rPr>
        <w:t>cubains </w:t>
      </w:r>
      <w:r>
        <w:rPr>
          <w:color w:val="231F20"/>
        </w:rPr>
        <w:t>à différentes plateformes virtuelles.</w:t>
      </w:r>
    </w:p>
    <w:p>
      <w:pPr>
        <w:pStyle w:val="BodyText"/>
        <w:spacing w:before="164"/>
        <w:ind w:left="415" w:right="1132"/>
      </w:pPr>
      <w:r>
        <w:rPr>
          <w:color w:val="231F20"/>
          <w:spacing w:val="-2"/>
        </w:rPr>
        <w:t>Ainsi,</w:t>
      </w:r>
      <w:r>
        <w:rPr>
          <w:color w:val="231F20"/>
          <w:spacing w:val="-11"/>
        </w:rPr>
        <w:t> </w:t>
      </w:r>
      <w:r>
        <w:rPr>
          <w:color w:val="231F20"/>
          <w:spacing w:val="-2"/>
        </w:rPr>
        <w:t>pour</w:t>
      </w:r>
      <w:r>
        <w:rPr>
          <w:color w:val="231F20"/>
          <w:spacing w:val="-11"/>
        </w:rPr>
        <w:t> </w:t>
      </w:r>
      <w:r>
        <w:rPr>
          <w:color w:val="231F20"/>
          <w:spacing w:val="-2"/>
        </w:rPr>
        <w:t>ne</w:t>
      </w:r>
      <w:r>
        <w:rPr>
          <w:color w:val="231F20"/>
          <w:spacing w:val="-11"/>
        </w:rPr>
        <w:t> </w:t>
      </w:r>
      <w:r>
        <w:rPr>
          <w:color w:val="231F20"/>
          <w:spacing w:val="-2"/>
        </w:rPr>
        <w:t>prendre</w:t>
      </w:r>
      <w:r>
        <w:rPr>
          <w:color w:val="231F20"/>
          <w:spacing w:val="-11"/>
        </w:rPr>
        <w:t> </w:t>
      </w:r>
      <w:r>
        <w:rPr>
          <w:color w:val="231F20"/>
          <w:spacing w:val="-2"/>
        </w:rPr>
        <w:t>qu’un</w:t>
      </w:r>
      <w:r>
        <w:rPr>
          <w:color w:val="231F20"/>
          <w:spacing w:val="-11"/>
        </w:rPr>
        <w:t> </w:t>
      </w:r>
      <w:r>
        <w:rPr>
          <w:color w:val="231F20"/>
          <w:spacing w:val="-2"/>
        </w:rPr>
        <w:t>seul</w:t>
      </w:r>
      <w:r>
        <w:rPr>
          <w:color w:val="231F20"/>
          <w:spacing w:val="-11"/>
        </w:rPr>
        <w:t> </w:t>
      </w:r>
      <w:r>
        <w:rPr>
          <w:color w:val="231F20"/>
          <w:spacing w:val="-2"/>
        </w:rPr>
        <w:t>exemple, </w:t>
      </w:r>
      <w:r>
        <w:rPr>
          <w:color w:val="231F20"/>
        </w:rPr>
        <w:t>le</w:t>
      </w:r>
      <w:r>
        <w:rPr>
          <w:color w:val="231F20"/>
          <w:spacing w:val="40"/>
        </w:rPr>
        <w:t> </w:t>
      </w:r>
      <w:r>
        <w:rPr>
          <w:color w:val="231F20"/>
        </w:rPr>
        <w:t>site</w:t>
      </w:r>
      <w:r>
        <w:rPr>
          <w:color w:val="231F20"/>
          <w:spacing w:val="40"/>
        </w:rPr>
        <w:t> </w:t>
      </w:r>
      <w:r>
        <w:rPr>
          <w:color w:val="231F20"/>
        </w:rPr>
        <w:t>d’Adobe</w:t>
      </w:r>
      <w:r>
        <w:rPr>
          <w:color w:val="231F20"/>
          <w:spacing w:val="40"/>
        </w:rPr>
        <w:t> </w:t>
      </w:r>
      <w:r>
        <w:rPr>
          <w:color w:val="231F20"/>
        </w:rPr>
        <w:t>est</w:t>
      </w:r>
      <w:r>
        <w:rPr>
          <w:color w:val="231F20"/>
          <w:spacing w:val="40"/>
        </w:rPr>
        <w:t> </w:t>
      </w:r>
      <w:r>
        <w:rPr>
          <w:color w:val="231F20"/>
        </w:rPr>
        <w:t>bloqué</w:t>
      </w:r>
      <w:r>
        <w:rPr>
          <w:color w:val="231F20"/>
          <w:spacing w:val="40"/>
        </w:rPr>
        <w:t> </w:t>
      </w:r>
      <w:r>
        <w:rPr>
          <w:color w:val="231F20"/>
        </w:rPr>
        <w:t>pour</w:t>
      </w:r>
      <w:r>
        <w:rPr>
          <w:color w:val="231F20"/>
          <w:spacing w:val="40"/>
        </w:rPr>
        <w:t> </w:t>
      </w:r>
      <w:r>
        <w:rPr>
          <w:color w:val="231F20"/>
        </w:rPr>
        <w:t>Cuba, ce qui interdit d’accéder à l’aide de </w:t>
      </w:r>
      <w:r>
        <w:rPr>
          <w:color w:val="231F20"/>
          <w:spacing w:val="-2"/>
        </w:rPr>
        <w:t>programmes</w:t>
      </w:r>
      <w:r>
        <w:rPr>
          <w:color w:val="231F20"/>
          <w:spacing w:val="-15"/>
        </w:rPr>
        <w:t> </w:t>
      </w:r>
      <w:r>
        <w:rPr>
          <w:color w:val="231F20"/>
          <w:spacing w:val="-2"/>
        </w:rPr>
        <w:t>en</w:t>
      </w:r>
      <w:r>
        <w:rPr>
          <w:color w:val="231F20"/>
          <w:spacing w:val="-14"/>
        </w:rPr>
        <w:t> </w:t>
      </w:r>
      <w:r>
        <w:rPr>
          <w:color w:val="231F20"/>
          <w:spacing w:val="-2"/>
        </w:rPr>
        <w:t>ligne</w:t>
      </w:r>
      <w:r>
        <w:rPr>
          <w:color w:val="231F20"/>
          <w:spacing w:val="-15"/>
        </w:rPr>
        <w:t> </w:t>
      </w:r>
      <w:r>
        <w:rPr>
          <w:color w:val="231F20"/>
          <w:spacing w:val="-2"/>
        </w:rPr>
        <w:t>et</w:t>
      </w:r>
      <w:r>
        <w:rPr>
          <w:color w:val="231F20"/>
          <w:spacing w:val="-14"/>
        </w:rPr>
        <w:t> </w:t>
      </w:r>
      <w:r>
        <w:rPr>
          <w:color w:val="231F20"/>
          <w:spacing w:val="-2"/>
        </w:rPr>
        <w:t>indisponibles</w:t>
      </w:r>
      <w:r>
        <w:rPr>
          <w:color w:val="231F20"/>
          <w:spacing w:val="-15"/>
        </w:rPr>
        <w:t> </w:t>
      </w:r>
      <w:r>
        <w:rPr>
          <w:color w:val="231F20"/>
          <w:spacing w:val="-2"/>
        </w:rPr>
        <w:t>sous </w:t>
      </w:r>
      <w:r>
        <w:rPr>
          <w:color w:val="231F20"/>
        </w:rPr>
        <w:t>un</w:t>
      </w:r>
      <w:r>
        <w:rPr>
          <w:color w:val="231F20"/>
          <w:spacing w:val="-11"/>
        </w:rPr>
        <w:t> </w:t>
      </w:r>
      <w:r>
        <w:rPr>
          <w:color w:val="231F20"/>
        </w:rPr>
        <w:t>autre</w:t>
      </w:r>
      <w:r>
        <w:rPr>
          <w:color w:val="231F20"/>
          <w:spacing w:val="-11"/>
        </w:rPr>
        <w:t> </w:t>
      </w:r>
      <w:r>
        <w:rPr>
          <w:color w:val="231F20"/>
        </w:rPr>
        <w:t>format,</w:t>
      </w:r>
      <w:r>
        <w:rPr>
          <w:color w:val="231F20"/>
          <w:spacing w:val="-11"/>
        </w:rPr>
        <w:t> </w:t>
      </w:r>
      <w:r>
        <w:rPr>
          <w:color w:val="231F20"/>
        </w:rPr>
        <w:t>telles</w:t>
      </w:r>
      <w:r>
        <w:rPr>
          <w:color w:val="231F20"/>
          <w:spacing w:val="-11"/>
        </w:rPr>
        <w:t> </w:t>
      </w:r>
      <w:r>
        <w:rPr>
          <w:color w:val="231F20"/>
        </w:rPr>
        <w:t>les</w:t>
      </w:r>
      <w:r>
        <w:rPr>
          <w:color w:val="231F20"/>
          <w:spacing w:val="-11"/>
        </w:rPr>
        <w:t> </w:t>
      </w:r>
      <w:r>
        <w:rPr>
          <w:color w:val="231F20"/>
        </w:rPr>
        <w:t>versions</w:t>
      </w:r>
      <w:r>
        <w:rPr>
          <w:color w:val="231F20"/>
          <w:spacing w:val="-11"/>
        </w:rPr>
        <w:t> </w:t>
      </w:r>
      <w:r>
        <w:rPr>
          <w:color w:val="231F20"/>
        </w:rPr>
        <w:t>les</w:t>
      </w:r>
      <w:r>
        <w:rPr>
          <w:color w:val="231F20"/>
          <w:spacing w:val="-11"/>
        </w:rPr>
        <w:t> </w:t>
      </w:r>
      <w:r>
        <w:rPr>
          <w:color w:val="231F20"/>
        </w:rPr>
        <w:t>plus modernes</w:t>
      </w:r>
      <w:r>
        <w:rPr>
          <w:color w:val="231F20"/>
          <w:spacing w:val="-6"/>
        </w:rPr>
        <w:t> </w:t>
      </w:r>
      <w:r>
        <w:rPr>
          <w:color w:val="231F20"/>
        </w:rPr>
        <w:t>de</w:t>
      </w:r>
      <w:r>
        <w:rPr>
          <w:color w:val="231F20"/>
          <w:spacing w:val="-6"/>
        </w:rPr>
        <w:t> </w:t>
      </w:r>
      <w:r>
        <w:rPr>
          <w:color w:val="231F20"/>
        </w:rPr>
        <w:t>l’éditeur</w:t>
      </w:r>
      <w:r>
        <w:rPr>
          <w:color w:val="231F20"/>
          <w:spacing w:val="-6"/>
        </w:rPr>
        <w:t> </w:t>
      </w:r>
      <w:r>
        <w:rPr>
          <w:color w:val="231F20"/>
        </w:rPr>
        <w:t>multipiste</w:t>
      </w:r>
      <w:r>
        <w:rPr>
          <w:color w:val="231F20"/>
          <w:spacing w:val="-6"/>
        </w:rPr>
        <w:t> </w:t>
      </w:r>
      <w:r>
        <w:rPr>
          <w:color w:val="231F20"/>
        </w:rPr>
        <w:t>Audition </w:t>
      </w:r>
      <w:r>
        <w:rPr>
          <w:color w:val="231F20"/>
          <w:spacing w:val="-2"/>
        </w:rPr>
        <w:t>CS6.</w:t>
      </w:r>
      <w:r>
        <w:rPr>
          <w:color w:val="231F20"/>
          <w:spacing w:val="-15"/>
        </w:rPr>
        <w:t> </w:t>
      </w:r>
      <w:r>
        <w:rPr>
          <w:color w:val="231F20"/>
          <w:spacing w:val="-2"/>
        </w:rPr>
        <w:t>Par</w:t>
      </w:r>
      <w:r>
        <w:rPr>
          <w:color w:val="231F20"/>
          <w:spacing w:val="-14"/>
        </w:rPr>
        <w:t> </w:t>
      </w:r>
      <w:r>
        <w:rPr>
          <w:color w:val="231F20"/>
          <w:spacing w:val="-2"/>
        </w:rPr>
        <w:t>ailleurs,</w:t>
      </w:r>
      <w:r>
        <w:rPr>
          <w:color w:val="231F20"/>
          <w:spacing w:val="-15"/>
        </w:rPr>
        <w:t> </w:t>
      </w:r>
      <w:r>
        <w:rPr>
          <w:color w:val="231F20"/>
          <w:spacing w:val="-2"/>
        </w:rPr>
        <w:t>des</w:t>
      </w:r>
      <w:r>
        <w:rPr>
          <w:color w:val="231F20"/>
          <w:spacing w:val="-14"/>
        </w:rPr>
        <w:t> </w:t>
      </w:r>
      <w:r>
        <w:rPr>
          <w:color w:val="231F20"/>
          <w:spacing w:val="-2"/>
        </w:rPr>
        <w:t>sites</w:t>
      </w:r>
      <w:r>
        <w:rPr>
          <w:color w:val="231F20"/>
          <w:spacing w:val="-15"/>
        </w:rPr>
        <w:t> </w:t>
      </w:r>
      <w:r>
        <w:rPr>
          <w:color w:val="231F20"/>
          <w:spacing w:val="-2"/>
        </w:rPr>
        <w:t>jusqu’ici</w:t>
      </w:r>
      <w:r>
        <w:rPr>
          <w:color w:val="231F20"/>
          <w:spacing w:val="-14"/>
        </w:rPr>
        <w:t> </w:t>
      </w:r>
      <w:r>
        <w:rPr>
          <w:color w:val="231F20"/>
          <w:spacing w:val="-2"/>
        </w:rPr>
        <w:t>en</w:t>
      </w:r>
      <w:r>
        <w:rPr>
          <w:color w:val="231F20"/>
          <w:spacing w:val="-15"/>
        </w:rPr>
        <w:t> </w:t>
      </w:r>
      <w:r>
        <w:rPr>
          <w:color w:val="231F20"/>
          <w:spacing w:val="-2"/>
        </w:rPr>
        <w:t>accès libre,</w:t>
      </w:r>
      <w:r>
        <w:rPr>
          <w:color w:val="231F20"/>
          <w:spacing w:val="-8"/>
        </w:rPr>
        <w:t> </w:t>
      </w:r>
      <w:r>
        <w:rPr>
          <w:color w:val="231F20"/>
          <w:spacing w:val="-2"/>
        </w:rPr>
        <w:t>dont</w:t>
      </w:r>
      <w:r>
        <w:rPr>
          <w:color w:val="231F20"/>
          <w:spacing w:val="-8"/>
        </w:rPr>
        <w:t> </w:t>
      </w:r>
      <w:r>
        <w:rPr>
          <w:color w:val="231F20"/>
          <w:spacing w:val="-2"/>
        </w:rPr>
        <w:t>Source</w:t>
      </w:r>
      <w:r>
        <w:rPr>
          <w:color w:val="231F20"/>
          <w:spacing w:val="-8"/>
        </w:rPr>
        <w:t> </w:t>
      </w:r>
      <w:r>
        <w:rPr>
          <w:color w:val="231F20"/>
          <w:spacing w:val="-2"/>
        </w:rPr>
        <w:t>Forge,</w:t>
      </w:r>
      <w:r>
        <w:rPr>
          <w:color w:val="231F20"/>
          <w:spacing w:val="-8"/>
        </w:rPr>
        <w:t> </w:t>
      </w:r>
      <w:r>
        <w:rPr>
          <w:color w:val="231F20"/>
          <w:spacing w:val="-2"/>
        </w:rPr>
        <w:t>WeTransfer,</w:t>
      </w:r>
      <w:r>
        <w:rPr>
          <w:color w:val="231F20"/>
          <w:spacing w:val="-8"/>
        </w:rPr>
        <w:t> </w:t>
      </w:r>
      <w:r>
        <w:rPr>
          <w:color w:val="231F20"/>
          <w:spacing w:val="-2"/>
        </w:rPr>
        <w:t>DELL </w:t>
      </w:r>
      <w:r>
        <w:rPr>
          <w:color w:val="231F20"/>
        </w:rPr>
        <w:t>et INTEL, ne le sont plus.</w:t>
      </w:r>
    </w:p>
    <w:p>
      <w:pPr>
        <w:pStyle w:val="BodyText"/>
        <w:spacing w:before="167"/>
        <w:ind w:left="415" w:right="1133"/>
      </w:pPr>
      <w:r>
        <w:rPr>
          <w:color w:val="231F20"/>
        </w:rPr>
        <w:t>Les</w:t>
      </w:r>
      <w:r>
        <w:rPr>
          <w:color w:val="231F20"/>
          <w:spacing w:val="80"/>
        </w:rPr>
        <w:t> </w:t>
      </w:r>
      <w:r>
        <w:rPr>
          <w:color w:val="231F20"/>
        </w:rPr>
        <w:t>représentants</w:t>
      </w:r>
      <w:r>
        <w:rPr>
          <w:color w:val="231F20"/>
          <w:spacing w:val="80"/>
        </w:rPr>
        <w:t> </w:t>
      </w:r>
      <w:r>
        <w:rPr>
          <w:color w:val="231F20"/>
        </w:rPr>
        <w:t>cubains</w:t>
      </w:r>
      <w:r>
        <w:rPr>
          <w:color w:val="231F20"/>
          <w:spacing w:val="80"/>
        </w:rPr>
        <w:t> </w:t>
      </w:r>
      <w:r>
        <w:rPr>
          <w:color w:val="231F20"/>
        </w:rPr>
        <w:t>ont</w:t>
      </w:r>
      <w:r>
        <w:rPr>
          <w:color w:val="231F20"/>
          <w:spacing w:val="80"/>
        </w:rPr>
        <w:t> </w:t>
      </w:r>
      <w:r>
        <w:rPr>
          <w:color w:val="231F20"/>
        </w:rPr>
        <w:t>du</w:t>
      </w:r>
      <w:r>
        <w:rPr>
          <w:color w:val="231F20"/>
          <w:spacing w:val="80"/>
        </w:rPr>
        <w:t> </w:t>
      </w:r>
      <w:r>
        <w:rPr>
          <w:color w:val="231F20"/>
        </w:rPr>
        <w:t>mal à participer à des réunions et autres événements virtuels organisés par l’ONU, car Cuba ne peut accéder à plusieurs plateformes numériques utilisées dans ce but, comme Zoom.</w:t>
      </w:r>
    </w:p>
    <w:p>
      <w:pPr>
        <w:pStyle w:val="BodyText"/>
        <w:spacing w:before="165"/>
        <w:ind w:left="415" w:right="1131"/>
      </w:pPr>
      <w:r>
        <w:rPr>
          <w:color w:val="231F20"/>
        </w:rPr>
        <w:t>De même, plusieurs plateformes sur les sites</w:t>
      </w:r>
      <w:r>
        <w:rPr>
          <w:color w:val="231F20"/>
          <w:spacing w:val="-17"/>
        </w:rPr>
        <w:t> </w:t>
      </w:r>
      <w:r>
        <w:rPr>
          <w:color w:val="231F20"/>
        </w:rPr>
        <w:t>officiels</w:t>
      </w:r>
      <w:r>
        <w:rPr>
          <w:color w:val="231F20"/>
          <w:spacing w:val="-16"/>
        </w:rPr>
        <w:t> </w:t>
      </w:r>
      <w:r>
        <w:rPr>
          <w:color w:val="231F20"/>
        </w:rPr>
        <w:t>d’organismes</w:t>
      </w:r>
      <w:r>
        <w:rPr>
          <w:color w:val="231F20"/>
          <w:spacing w:val="-17"/>
        </w:rPr>
        <w:t> </w:t>
      </w:r>
      <w:r>
        <w:rPr>
          <w:color w:val="231F20"/>
        </w:rPr>
        <w:t>internationaux, dont celui de l’Organisation </w:t>
      </w:r>
      <w:r>
        <w:rPr>
          <w:color w:val="231F20"/>
        </w:rPr>
        <w:t>pour l’interdiction</w:t>
      </w:r>
      <w:r>
        <w:rPr>
          <w:color w:val="231F20"/>
          <w:spacing w:val="-7"/>
        </w:rPr>
        <w:t> </w:t>
      </w:r>
      <w:r>
        <w:rPr>
          <w:color w:val="231F20"/>
        </w:rPr>
        <w:t>des</w:t>
      </w:r>
      <w:r>
        <w:rPr>
          <w:color w:val="231F20"/>
          <w:spacing w:val="-7"/>
        </w:rPr>
        <w:t> </w:t>
      </w:r>
      <w:r>
        <w:rPr>
          <w:color w:val="231F20"/>
        </w:rPr>
        <w:t>armes</w:t>
      </w:r>
      <w:r>
        <w:rPr>
          <w:color w:val="231F20"/>
          <w:spacing w:val="-7"/>
        </w:rPr>
        <w:t> </w:t>
      </w:r>
      <w:r>
        <w:rPr>
          <w:color w:val="231F20"/>
        </w:rPr>
        <w:t>chimiques</w:t>
      </w:r>
      <w:r>
        <w:rPr>
          <w:color w:val="231F20"/>
          <w:spacing w:val="-7"/>
        </w:rPr>
        <w:t> </w:t>
      </w:r>
      <w:r>
        <w:rPr>
          <w:color w:val="231F20"/>
        </w:rPr>
        <w:t>(OIAC), </w:t>
      </w:r>
      <w:r>
        <w:rPr>
          <w:color w:val="231F20"/>
          <w:spacing w:val="-2"/>
        </w:rPr>
        <w:t>ont</w:t>
      </w:r>
      <w:r>
        <w:rPr>
          <w:color w:val="231F20"/>
          <w:spacing w:val="-15"/>
        </w:rPr>
        <w:t> </w:t>
      </w:r>
      <w:r>
        <w:rPr>
          <w:color w:val="231F20"/>
          <w:spacing w:val="-2"/>
        </w:rPr>
        <w:t>dû</w:t>
      </w:r>
      <w:r>
        <w:rPr>
          <w:color w:val="231F20"/>
          <w:spacing w:val="-14"/>
        </w:rPr>
        <w:t> </w:t>
      </w:r>
      <w:r>
        <w:rPr>
          <w:color w:val="231F20"/>
          <w:spacing w:val="-2"/>
        </w:rPr>
        <w:t>chercher</w:t>
      </w:r>
      <w:r>
        <w:rPr>
          <w:color w:val="231F20"/>
          <w:spacing w:val="-15"/>
        </w:rPr>
        <w:t> </w:t>
      </w:r>
      <w:r>
        <w:rPr>
          <w:color w:val="231F20"/>
          <w:spacing w:val="-2"/>
        </w:rPr>
        <w:t>d’autres</w:t>
      </w:r>
      <w:r>
        <w:rPr>
          <w:color w:val="231F20"/>
          <w:spacing w:val="-14"/>
        </w:rPr>
        <w:t> </w:t>
      </w:r>
      <w:r>
        <w:rPr>
          <w:color w:val="231F20"/>
          <w:spacing w:val="-2"/>
        </w:rPr>
        <w:t>solutions,</w:t>
      </w:r>
      <w:r>
        <w:rPr>
          <w:color w:val="231F20"/>
          <w:spacing w:val="-15"/>
        </w:rPr>
        <w:t> </w:t>
      </w:r>
      <w:r>
        <w:rPr>
          <w:color w:val="231F20"/>
          <w:spacing w:val="-2"/>
        </w:rPr>
        <w:t>car</w:t>
      </w:r>
      <w:r>
        <w:rPr>
          <w:color w:val="231F20"/>
          <w:spacing w:val="-14"/>
        </w:rPr>
        <w:t> </w:t>
      </w:r>
      <w:r>
        <w:rPr>
          <w:color w:val="231F20"/>
          <w:spacing w:val="-2"/>
        </w:rPr>
        <w:t>elles </w:t>
      </w:r>
      <w:r>
        <w:rPr>
          <w:color w:val="231F20"/>
        </w:rPr>
        <w:t>apparaissent</w:t>
      </w:r>
      <w:r>
        <w:rPr>
          <w:color w:val="231F20"/>
          <w:spacing w:val="-1"/>
        </w:rPr>
        <w:t> </w:t>
      </w:r>
      <w:r>
        <w:rPr>
          <w:color w:val="231F20"/>
        </w:rPr>
        <w:t>comme restreintes</w:t>
      </w:r>
      <w:r>
        <w:rPr>
          <w:color w:val="231F20"/>
          <w:spacing w:val="-1"/>
        </w:rPr>
        <w:t> </w:t>
      </w:r>
      <w:r>
        <w:rPr>
          <w:color w:val="231F20"/>
        </w:rPr>
        <w:t>aux</w:t>
      </w:r>
      <w:r>
        <w:rPr>
          <w:color w:val="231F20"/>
          <w:spacing w:val="-1"/>
        </w:rPr>
        <w:t> </w:t>
      </w:r>
      <w:r>
        <w:rPr>
          <w:color w:val="231F20"/>
        </w:rPr>
        <w:t>IP</w:t>
      </w:r>
      <w:r>
        <w:rPr>
          <w:color w:val="231F20"/>
          <w:spacing w:val="-1"/>
        </w:rPr>
        <w:t> </w:t>
      </w:r>
      <w:r>
        <w:rPr>
          <w:color w:val="231F20"/>
        </w:rPr>
        <w:t>de </w:t>
      </w:r>
      <w:r>
        <w:rPr>
          <w:color w:val="231F20"/>
          <w:spacing w:val="-2"/>
        </w:rPr>
        <w:t>Cuba</w:t>
      </w:r>
      <w:r>
        <w:rPr>
          <w:color w:val="231F20"/>
          <w:spacing w:val="-11"/>
        </w:rPr>
        <w:t> </w:t>
      </w:r>
      <w:r>
        <w:rPr>
          <w:color w:val="231F20"/>
          <w:spacing w:val="-2"/>
        </w:rPr>
        <w:t>à</w:t>
      </w:r>
      <w:r>
        <w:rPr>
          <w:color w:val="231F20"/>
          <w:spacing w:val="-11"/>
        </w:rPr>
        <w:t> </w:t>
      </w:r>
      <w:r>
        <w:rPr>
          <w:color w:val="231F20"/>
          <w:spacing w:val="-2"/>
        </w:rPr>
        <w:t>cause</w:t>
      </w:r>
      <w:r>
        <w:rPr>
          <w:color w:val="231F20"/>
          <w:spacing w:val="-11"/>
        </w:rPr>
        <w:t> </w:t>
      </w:r>
      <w:r>
        <w:rPr>
          <w:color w:val="231F20"/>
          <w:spacing w:val="-2"/>
        </w:rPr>
        <w:t>des</w:t>
      </w:r>
      <w:r>
        <w:rPr>
          <w:color w:val="231F20"/>
          <w:spacing w:val="-11"/>
        </w:rPr>
        <w:t> </w:t>
      </w:r>
      <w:r>
        <w:rPr>
          <w:color w:val="231F20"/>
          <w:spacing w:val="-2"/>
        </w:rPr>
        <w:t>mesures</w:t>
      </w:r>
      <w:r>
        <w:rPr>
          <w:color w:val="231F20"/>
          <w:spacing w:val="-11"/>
        </w:rPr>
        <w:t> </w:t>
      </w:r>
      <w:r>
        <w:rPr>
          <w:color w:val="231F20"/>
          <w:spacing w:val="-2"/>
        </w:rPr>
        <w:t>discriminatoires </w:t>
      </w:r>
      <w:r>
        <w:rPr>
          <w:color w:val="231F20"/>
        </w:rPr>
        <w:t>et illégales prises par l’OFAC.</w:t>
      </w:r>
    </w:p>
    <w:p>
      <w:pPr>
        <w:spacing w:after="0"/>
        <w:sectPr>
          <w:pgSz w:w="11910" w:h="16840"/>
          <w:pgMar w:header="0" w:footer="695" w:top="1260" w:bottom="880" w:left="0" w:right="0"/>
          <w:cols w:num="2" w:equalWidth="0">
            <w:col w:w="5895" w:space="40"/>
            <w:col w:w="5975"/>
          </w:cols>
        </w:sectPr>
      </w:pPr>
    </w:p>
    <w:p>
      <w:pPr>
        <w:pStyle w:val="BodyText"/>
        <w:spacing w:before="54"/>
        <w:jc w:val="left"/>
        <w:rPr>
          <w:sz w:val="18"/>
        </w:rPr>
      </w:pPr>
    </w:p>
    <w:p>
      <w:pPr>
        <w:spacing w:line="216" w:lineRule="auto" w:before="0"/>
        <w:ind w:left="1474" w:right="1044" w:firstLine="0"/>
        <w:jc w:val="left"/>
        <w:rPr>
          <w:i/>
          <w:sz w:val="18"/>
        </w:rPr>
      </w:pPr>
      <w:r>
        <w:rPr>
          <w:i/>
          <w:color w:val="231F20"/>
          <w:position w:val="6"/>
          <w:sz w:val="10"/>
        </w:rPr>
        <w:t>1</w:t>
      </w:r>
      <w:r>
        <w:rPr>
          <w:i/>
          <w:color w:val="231F20"/>
          <w:spacing w:val="25"/>
          <w:position w:val="6"/>
          <w:sz w:val="10"/>
        </w:rPr>
        <w:t> </w:t>
      </w:r>
      <w:r>
        <w:rPr>
          <w:i/>
          <w:color w:val="231F20"/>
          <w:sz w:val="18"/>
        </w:rPr>
        <w:t>L’EMS est un service postal international urgent pour documents et marchandises offert par des opérateurs postaux de</w:t>
      </w:r>
      <w:r>
        <w:rPr>
          <w:i/>
          <w:color w:val="231F20"/>
          <w:sz w:val="18"/>
        </w:rPr>
        <w:t> l’Union postale universelle (UPU) reliant plus de 180 pays et territoires du monde.</w:t>
      </w:r>
    </w:p>
    <w:p>
      <w:pPr>
        <w:spacing w:after="0" w:line="216" w:lineRule="auto"/>
        <w:jc w:val="left"/>
        <w:rPr>
          <w:sz w:val="18"/>
        </w:rPr>
        <w:sectPr>
          <w:type w:val="continuous"/>
          <w:pgSz w:w="11910" w:h="16840"/>
          <w:pgMar w:header="0" w:footer="695" w:top="1920" w:bottom="280" w:left="0" w:right="0"/>
        </w:sectPr>
      </w:pPr>
    </w:p>
    <w:p>
      <w:pPr>
        <w:spacing w:before="76"/>
        <w:ind w:left="1133" w:right="1" w:firstLine="0"/>
        <w:jc w:val="both"/>
        <w:rPr>
          <w:rFonts w:ascii="Segoe UI Semibold" w:hAnsi="Segoe UI Semibold"/>
          <w:b/>
          <w:i/>
          <w:sz w:val="24"/>
        </w:rPr>
      </w:pPr>
      <w:r>
        <w:rPr>
          <w:rFonts w:ascii="Segoe UI Semibold" w:hAnsi="Segoe UI Semibold"/>
          <w:b/>
          <w:i/>
          <w:color w:val="231F20"/>
          <w:sz w:val="24"/>
        </w:rPr>
        <w:t>Les</w:t>
      </w:r>
      <w:r>
        <w:rPr>
          <w:rFonts w:ascii="Segoe UI Semibold" w:hAnsi="Segoe UI Semibold"/>
          <w:b/>
          <w:i/>
          <w:color w:val="231F20"/>
          <w:spacing w:val="40"/>
          <w:sz w:val="24"/>
        </w:rPr>
        <w:t> </w:t>
      </w:r>
      <w:r>
        <w:rPr>
          <w:rFonts w:ascii="Segoe UI Semibold" w:hAnsi="Segoe UI Semibold"/>
          <w:b/>
          <w:i/>
          <w:color w:val="231F20"/>
          <w:sz w:val="24"/>
        </w:rPr>
        <w:t>préjudices</w:t>
      </w:r>
      <w:r>
        <w:rPr>
          <w:rFonts w:ascii="Segoe UI Semibold" w:hAnsi="Segoe UI Semibold"/>
          <w:b/>
          <w:i/>
          <w:color w:val="231F20"/>
          <w:spacing w:val="40"/>
          <w:sz w:val="24"/>
        </w:rPr>
        <w:t> </w:t>
      </w:r>
      <w:r>
        <w:rPr>
          <w:rFonts w:ascii="Segoe UI Semibold" w:hAnsi="Segoe UI Semibold"/>
          <w:b/>
          <w:i/>
          <w:color w:val="231F20"/>
          <w:sz w:val="24"/>
        </w:rPr>
        <w:t>causés</w:t>
      </w:r>
      <w:r>
        <w:rPr>
          <w:rFonts w:ascii="Segoe UI Semibold" w:hAnsi="Segoe UI Semibold"/>
          <w:b/>
          <w:i/>
          <w:color w:val="231F20"/>
          <w:spacing w:val="40"/>
          <w:sz w:val="24"/>
        </w:rPr>
        <w:t> </w:t>
      </w:r>
      <w:r>
        <w:rPr>
          <w:rFonts w:ascii="Segoe UI Semibold" w:hAnsi="Segoe UI Semibold"/>
          <w:b/>
          <w:i/>
          <w:color w:val="231F20"/>
          <w:sz w:val="24"/>
        </w:rPr>
        <w:t>à</w:t>
      </w:r>
      <w:r>
        <w:rPr>
          <w:rFonts w:ascii="Segoe UI Semibold" w:hAnsi="Segoe UI Semibold"/>
          <w:b/>
          <w:i/>
          <w:color w:val="231F20"/>
          <w:spacing w:val="40"/>
          <w:sz w:val="24"/>
        </w:rPr>
        <w:t> </w:t>
      </w:r>
      <w:r>
        <w:rPr>
          <w:rFonts w:ascii="Segoe UI Semibold" w:hAnsi="Segoe UI Semibold"/>
          <w:b/>
          <w:i/>
          <w:color w:val="231F20"/>
          <w:sz w:val="24"/>
        </w:rPr>
        <w:t>l</w:t>
      </w:r>
      <w:r>
        <w:rPr>
          <w:b/>
          <w:i/>
          <w:color w:val="231F20"/>
          <w:sz w:val="24"/>
        </w:rPr>
        <w:t>’</w:t>
      </w:r>
      <w:r>
        <w:rPr>
          <w:b/>
          <w:i/>
          <w:color w:val="B52628"/>
          <w:sz w:val="24"/>
        </w:rPr>
        <w:t>industrie</w:t>
      </w:r>
      <w:r>
        <w:rPr>
          <w:b/>
          <w:i/>
          <w:color w:val="B52628"/>
          <w:spacing w:val="40"/>
          <w:sz w:val="24"/>
        </w:rPr>
        <w:t> </w:t>
      </w:r>
      <w:r>
        <w:rPr>
          <w:b/>
          <w:i/>
          <w:color w:val="B52628"/>
          <w:sz w:val="24"/>
        </w:rPr>
        <w:t>et</w:t>
      </w:r>
      <w:r>
        <w:rPr>
          <w:b/>
          <w:i/>
          <w:color w:val="B52628"/>
          <w:sz w:val="24"/>
        </w:rPr>
        <w:t> au système d’entreprises </w:t>
      </w:r>
      <w:r>
        <w:rPr>
          <w:rFonts w:ascii="Segoe UI Semibold" w:hAnsi="Segoe UI Semibold"/>
          <w:b/>
          <w:i/>
          <w:color w:val="231F20"/>
          <w:sz w:val="24"/>
        </w:rPr>
        <w:t>durant la</w:t>
      </w:r>
      <w:r>
        <w:rPr>
          <w:rFonts w:ascii="Segoe UI Semibold" w:hAnsi="Segoe UI Semibold"/>
          <w:b/>
          <w:i/>
          <w:color w:val="231F20"/>
          <w:sz w:val="24"/>
        </w:rPr>
        <w:t> période</w:t>
      </w:r>
      <w:r>
        <w:rPr>
          <w:rFonts w:ascii="Segoe UI Semibold" w:hAnsi="Segoe UI Semibold"/>
          <w:b/>
          <w:i/>
          <w:color w:val="231F20"/>
          <w:spacing w:val="40"/>
          <w:sz w:val="24"/>
        </w:rPr>
        <w:t> </w:t>
      </w:r>
      <w:r>
        <w:rPr>
          <w:rFonts w:ascii="Segoe UI Semibold" w:hAnsi="Segoe UI Semibold"/>
          <w:b/>
          <w:i/>
          <w:color w:val="231F20"/>
          <w:sz w:val="24"/>
        </w:rPr>
        <w:t>examinée</w:t>
      </w:r>
      <w:r>
        <w:rPr>
          <w:rFonts w:ascii="Segoe UI Semibold" w:hAnsi="Segoe UI Semibold"/>
          <w:b/>
          <w:i/>
          <w:color w:val="231F20"/>
          <w:spacing w:val="40"/>
          <w:sz w:val="24"/>
        </w:rPr>
        <w:t> </w:t>
      </w:r>
      <w:r>
        <w:rPr>
          <w:rFonts w:ascii="Segoe UI Semibold" w:hAnsi="Segoe UI Semibold"/>
          <w:b/>
          <w:i/>
          <w:color w:val="231F20"/>
          <w:sz w:val="24"/>
        </w:rPr>
        <w:t>se</w:t>
      </w:r>
      <w:r>
        <w:rPr>
          <w:rFonts w:ascii="Segoe UI Semibold" w:hAnsi="Segoe UI Semibold"/>
          <w:b/>
          <w:i/>
          <w:color w:val="231F20"/>
          <w:spacing w:val="40"/>
          <w:sz w:val="24"/>
        </w:rPr>
        <w:t> </w:t>
      </w:r>
      <w:r>
        <w:rPr>
          <w:rFonts w:ascii="Segoe UI Semibold" w:hAnsi="Segoe UI Semibold"/>
          <w:b/>
          <w:i/>
          <w:color w:val="231F20"/>
          <w:sz w:val="24"/>
        </w:rPr>
        <w:t>chiffrent</w:t>
      </w:r>
      <w:r>
        <w:rPr>
          <w:rFonts w:ascii="Segoe UI Semibold" w:hAnsi="Segoe UI Semibold"/>
          <w:b/>
          <w:i/>
          <w:color w:val="231F20"/>
          <w:spacing w:val="40"/>
          <w:sz w:val="24"/>
        </w:rPr>
        <w:t> </w:t>
      </w:r>
      <w:r>
        <w:rPr>
          <w:rFonts w:ascii="Segoe UI Semibold" w:hAnsi="Segoe UI Semibold"/>
          <w:b/>
          <w:i/>
          <w:color w:val="231F20"/>
          <w:sz w:val="24"/>
        </w:rPr>
        <w:t>à</w:t>
      </w:r>
      <w:r>
        <w:rPr>
          <w:rFonts w:ascii="Segoe UI Semibold" w:hAnsi="Segoe UI Semibold"/>
          <w:b/>
          <w:i/>
          <w:color w:val="231F20"/>
          <w:spacing w:val="40"/>
          <w:sz w:val="24"/>
        </w:rPr>
        <w:t> </w:t>
      </w:r>
      <w:r>
        <w:rPr>
          <w:b/>
          <w:i/>
          <w:color w:val="231F20"/>
          <w:sz w:val="24"/>
        </w:rPr>
        <w:t>467</w:t>
      </w:r>
      <w:r>
        <w:rPr>
          <w:b/>
          <w:i/>
          <w:color w:val="231F20"/>
          <w:sz w:val="24"/>
        </w:rPr>
        <w:t> 750</w:t>
      </w:r>
      <w:r>
        <w:rPr>
          <w:b/>
          <w:i/>
          <w:color w:val="231F20"/>
          <w:spacing w:val="40"/>
          <w:sz w:val="24"/>
        </w:rPr>
        <w:t> </w:t>
      </w:r>
      <w:r>
        <w:rPr>
          <w:b/>
          <w:i/>
          <w:color w:val="231F20"/>
          <w:sz w:val="24"/>
        </w:rPr>
        <w:t>990</w:t>
      </w:r>
      <w:r>
        <w:rPr>
          <w:b/>
          <w:i/>
          <w:color w:val="231F20"/>
          <w:spacing w:val="40"/>
          <w:sz w:val="24"/>
        </w:rPr>
        <w:t> </w:t>
      </w:r>
      <w:r>
        <w:rPr>
          <w:b/>
          <w:i/>
          <w:color w:val="231F20"/>
          <w:sz w:val="24"/>
        </w:rPr>
        <w:t>dollars</w:t>
      </w:r>
      <w:r>
        <w:rPr>
          <w:rFonts w:ascii="Segoe UI Semibold" w:hAnsi="Segoe UI Semibold"/>
          <w:b/>
          <w:i/>
          <w:color w:val="231F20"/>
          <w:sz w:val="24"/>
        </w:rPr>
        <w:t>,</w:t>
      </w:r>
      <w:r>
        <w:rPr>
          <w:rFonts w:ascii="Segoe UI Semibold" w:hAnsi="Segoe UI Semibold"/>
          <w:b/>
          <w:i/>
          <w:color w:val="231F20"/>
          <w:spacing w:val="40"/>
          <w:sz w:val="24"/>
        </w:rPr>
        <w:t> </w:t>
      </w:r>
      <w:r>
        <w:rPr>
          <w:rFonts w:ascii="Segoe UI Semibold" w:hAnsi="Segoe UI Semibold"/>
          <w:b/>
          <w:i/>
          <w:color w:val="231F20"/>
          <w:sz w:val="24"/>
        </w:rPr>
        <w:t>surtout</w:t>
      </w:r>
      <w:r>
        <w:rPr>
          <w:rFonts w:ascii="Segoe UI Semibold" w:hAnsi="Segoe UI Semibold"/>
          <w:b/>
          <w:i/>
          <w:color w:val="231F20"/>
          <w:spacing w:val="40"/>
          <w:sz w:val="24"/>
        </w:rPr>
        <w:t> </w:t>
      </w:r>
      <w:r>
        <w:rPr>
          <w:rFonts w:ascii="Segoe UI Semibold" w:hAnsi="Segoe UI Semibold"/>
          <w:b/>
          <w:i/>
          <w:color w:val="231F20"/>
          <w:sz w:val="24"/>
        </w:rPr>
        <w:t>pour</w:t>
      </w:r>
      <w:r>
        <w:rPr>
          <w:rFonts w:ascii="Segoe UI Semibold" w:hAnsi="Segoe UI Semibold"/>
          <w:b/>
          <w:i/>
          <w:color w:val="231F20"/>
          <w:spacing w:val="40"/>
          <w:sz w:val="24"/>
        </w:rPr>
        <w:t> </w:t>
      </w:r>
      <w:r>
        <w:rPr>
          <w:rFonts w:ascii="Segoe UI Semibold" w:hAnsi="Segoe UI Semibold"/>
          <w:b/>
          <w:i/>
          <w:color w:val="231F20"/>
          <w:sz w:val="24"/>
        </w:rPr>
        <w:t>manque</w:t>
      </w:r>
      <w:r>
        <w:rPr>
          <w:rFonts w:ascii="Segoe UI Semibold" w:hAnsi="Segoe UI Semibold"/>
          <w:b/>
          <w:i/>
          <w:color w:val="231F20"/>
          <w:sz w:val="24"/>
        </w:rPr>
        <w:t> à gagner en exportations de biens et services,</w:t>
      </w:r>
      <w:r>
        <w:rPr>
          <w:rFonts w:ascii="Segoe UI Semibold" w:hAnsi="Segoe UI Semibold"/>
          <w:b/>
          <w:i/>
          <w:color w:val="231F20"/>
          <w:spacing w:val="-12"/>
          <w:sz w:val="24"/>
        </w:rPr>
        <w:t> </w:t>
      </w:r>
      <w:r>
        <w:rPr>
          <w:rFonts w:ascii="Segoe UI Semibold" w:hAnsi="Segoe UI Semibold"/>
          <w:b/>
          <w:i/>
          <w:color w:val="231F20"/>
          <w:sz w:val="24"/>
        </w:rPr>
        <w:t>repositionnement</w:t>
      </w:r>
      <w:r>
        <w:rPr>
          <w:rFonts w:ascii="Segoe UI Semibold" w:hAnsi="Segoe UI Semibold"/>
          <w:b/>
          <w:i/>
          <w:color w:val="231F20"/>
          <w:spacing w:val="-12"/>
          <w:sz w:val="24"/>
        </w:rPr>
        <w:t> </w:t>
      </w:r>
      <w:r>
        <w:rPr>
          <w:rFonts w:ascii="Segoe UI Semibold" w:hAnsi="Segoe UI Semibold"/>
          <w:b/>
          <w:i/>
          <w:color w:val="231F20"/>
          <w:sz w:val="24"/>
        </w:rPr>
        <w:t>géographique du</w:t>
      </w:r>
      <w:r>
        <w:rPr>
          <w:rFonts w:ascii="Segoe UI Semibold" w:hAnsi="Segoe UI Semibold"/>
          <w:b/>
          <w:i/>
          <w:color w:val="231F20"/>
          <w:spacing w:val="80"/>
          <w:sz w:val="24"/>
        </w:rPr>
        <w:t> </w:t>
      </w:r>
      <w:r>
        <w:rPr>
          <w:rFonts w:ascii="Segoe UI Semibold" w:hAnsi="Segoe UI Semibold"/>
          <w:b/>
          <w:i/>
          <w:color w:val="231F20"/>
          <w:sz w:val="24"/>
        </w:rPr>
        <w:t>commerce,</w:t>
      </w:r>
      <w:r>
        <w:rPr>
          <w:rFonts w:ascii="Segoe UI Semibold" w:hAnsi="Segoe UI Semibold"/>
          <w:b/>
          <w:i/>
          <w:color w:val="231F20"/>
          <w:spacing w:val="80"/>
          <w:sz w:val="24"/>
        </w:rPr>
        <w:t> </w:t>
      </w:r>
      <w:r>
        <w:rPr>
          <w:rFonts w:ascii="Segoe UI Semibold" w:hAnsi="Segoe UI Semibold"/>
          <w:b/>
          <w:i/>
          <w:color w:val="231F20"/>
          <w:sz w:val="24"/>
        </w:rPr>
        <w:t>fluctuations</w:t>
      </w:r>
      <w:r>
        <w:rPr>
          <w:rFonts w:ascii="Segoe UI Semibold" w:hAnsi="Segoe UI Semibold"/>
          <w:b/>
          <w:i/>
          <w:color w:val="231F20"/>
          <w:spacing w:val="80"/>
          <w:sz w:val="24"/>
        </w:rPr>
        <w:t> </w:t>
      </w:r>
      <w:r>
        <w:rPr>
          <w:rFonts w:ascii="Segoe UI Semibold" w:hAnsi="Segoe UI Semibold"/>
          <w:b/>
          <w:i/>
          <w:color w:val="231F20"/>
          <w:sz w:val="24"/>
        </w:rPr>
        <w:t>des</w:t>
      </w:r>
      <w:r>
        <w:rPr>
          <w:rFonts w:ascii="Segoe UI Semibold" w:hAnsi="Segoe UI Semibold"/>
          <w:b/>
          <w:i/>
          <w:color w:val="231F20"/>
          <w:spacing w:val="80"/>
          <w:sz w:val="24"/>
        </w:rPr>
        <w:t> </w:t>
      </w:r>
      <w:r>
        <w:rPr>
          <w:rFonts w:ascii="Segoe UI Semibold" w:hAnsi="Segoe UI Semibold"/>
          <w:b/>
          <w:i/>
          <w:color w:val="231F20"/>
          <w:sz w:val="24"/>
        </w:rPr>
        <w:t>taux</w:t>
      </w:r>
      <w:r>
        <w:rPr>
          <w:rFonts w:ascii="Segoe UI Semibold" w:hAnsi="Segoe UI Semibold"/>
          <w:b/>
          <w:i/>
          <w:color w:val="231F20"/>
          <w:spacing w:val="40"/>
          <w:sz w:val="24"/>
        </w:rPr>
        <w:t> </w:t>
      </w:r>
      <w:r>
        <w:rPr>
          <w:rFonts w:ascii="Segoe UI Semibold" w:hAnsi="Segoe UI Semibold"/>
          <w:b/>
          <w:i/>
          <w:color w:val="231F20"/>
          <w:sz w:val="24"/>
        </w:rPr>
        <w:t>de change, entraves technologiques et pénurie de combustibles. On en trouvera ci-après les plus significatifs :</w:t>
      </w:r>
    </w:p>
    <w:p>
      <w:pPr>
        <w:pStyle w:val="BodyText"/>
        <w:spacing w:before="158"/>
        <w:ind w:left="1394" w:right="1" w:hanging="261"/>
      </w:pPr>
      <w:r>
        <w:rPr>
          <w:position w:val="3"/>
        </w:rPr>
        <w:drawing>
          <wp:inline distT="0" distB="0" distL="0" distR="0">
            <wp:extent cx="59207" cy="59207"/>
            <wp:effectExtent l="0" t="0" r="0" b="0"/>
            <wp:docPr id="447" name="Image 447"/>
            <wp:cNvGraphicFramePr>
              <a:graphicFrameLocks/>
            </wp:cNvGraphicFramePr>
            <a:graphic>
              <a:graphicData uri="http://schemas.openxmlformats.org/drawingml/2006/picture">
                <pic:pic>
                  <pic:nvPicPr>
                    <pic:cNvPr id="447" name="Image 447"/>
                    <pic:cNvPicPr/>
                  </pic:nvPicPr>
                  <pic:blipFill>
                    <a:blip r:embed="rId7"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L’entreprise</w:t>
      </w:r>
      <w:r>
        <w:rPr>
          <w:color w:val="231F20"/>
          <w:spacing w:val="-15"/>
        </w:rPr>
        <w:t> </w:t>
      </w:r>
      <w:r>
        <w:rPr>
          <w:color w:val="231F20"/>
        </w:rPr>
        <w:t>textile</w:t>
      </w:r>
      <w:r>
        <w:rPr>
          <w:color w:val="231F20"/>
          <w:spacing w:val="-15"/>
        </w:rPr>
        <w:t> </w:t>
      </w:r>
      <w:r>
        <w:rPr>
          <w:color w:val="231F20"/>
        </w:rPr>
        <w:t>Inejiro</w:t>
      </w:r>
      <w:r>
        <w:rPr>
          <w:color w:val="231F20"/>
          <w:spacing w:val="-15"/>
        </w:rPr>
        <w:t> </w:t>
      </w:r>
      <w:r>
        <w:rPr>
          <w:color w:val="231F20"/>
        </w:rPr>
        <w:t>Asanuma</w:t>
      </w:r>
      <w:r>
        <w:rPr>
          <w:color w:val="231F20"/>
          <w:spacing w:val="-15"/>
        </w:rPr>
        <w:t> </w:t>
      </w:r>
      <w:r>
        <w:rPr>
          <w:color w:val="231F20"/>
        </w:rPr>
        <w:t>s’est heurtée au refus de l’entreprise suisse RIETER, productrice de la technologie installée, de lui fournir des pièces de </w:t>
      </w:r>
      <w:r>
        <w:rPr>
          <w:color w:val="231F20"/>
          <w:spacing w:val="-2"/>
        </w:rPr>
        <w:t>rechange.</w:t>
      </w:r>
    </w:p>
    <w:p>
      <w:pPr>
        <w:pStyle w:val="BodyText"/>
        <w:spacing w:before="164"/>
        <w:ind w:left="1394" w:right="1" w:hanging="261"/>
      </w:pPr>
      <w:r>
        <w:rPr>
          <w:position w:val="4"/>
        </w:rPr>
        <w:drawing>
          <wp:inline distT="0" distB="0" distL="0" distR="0">
            <wp:extent cx="59207" cy="59207"/>
            <wp:effectExtent l="0" t="0" r="0" b="0"/>
            <wp:docPr id="448" name="Image 448"/>
            <wp:cNvGraphicFramePr>
              <a:graphicFrameLocks/>
            </wp:cNvGraphicFramePr>
            <a:graphic>
              <a:graphicData uri="http://schemas.openxmlformats.org/drawingml/2006/picture">
                <pic:pic>
                  <pic:nvPicPr>
                    <pic:cNvPr id="448" name="Image 448"/>
                    <pic:cNvPicPr/>
                  </pic:nvPicPr>
                  <pic:blipFill>
                    <a:blip r:embed="rId7"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40"/>
          <w:sz w:val="20"/>
        </w:rPr>
        <w:t> </w:t>
      </w:r>
      <w:r>
        <w:rPr>
          <w:color w:val="231F20"/>
        </w:rPr>
        <w:t>La société mixte Suchel Camacho S.A. </w:t>
      </w:r>
      <w:r>
        <w:rPr>
          <w:color w:val="231F20"/>
          <w:spacing w:val="-2"/>
        </w:rPr>
        <w:t>n’a</w:t>
      </w:r>
      <w:r>
        <w:rPr>
          <w:color w:val="231F20"/>
          <w:spacing w:val="-13"/>
        </w:rPr>
        <w:t> </w:t>
      </w:r>
      <w:r>
        <w:rPr>
          <w:color w:val="231F20"/>
          <w:spacing w:val="-2"/>
        </w:rPr>
        <w:t>pu</w:t>
      </w:r>
      <w:r>
        <w:rPr>
          <w:color w:val="231F20"/>
          <w:spacing w:val="-13"/>
        </w:rPr>
        <w:t> </w:t>
      </w:r>
      <w:r>
        <w:rPr>
          <w:color w:val="231F20"/>
          <w:spacing w:val="-2"/>
        </w:rPr>
        <w:t>atteindre</w:t>
      </w:r>
      <w:r>
        <w:rPr>
          <w:color w:val="231F20"/>
          <w:spacing w:val="-13"/>
        </w:rPr>
        <w:t> </w:t>
      </w:r>
      <w:r>
        <w:rPr>
          <w:color w:val="231F20"/>
          <w:spacing w:val="-2"/>
        </w:rPr>
        <w:t>ses</w:t>
      </w:r>
      <w:r>
        <w:rPr>
          <w:color w:val="231F20"/>
          <w:spacing w:val="-13"/>
        </w:rPr>
        <w:t> </w:t>
      </w:r>
      <w:r>
        <w:rPr>
          <w:color w:val="231F20"/>
          <w:spacing w:val="-2"/>
        </w:rPr>
        <w:t>plans</w:t>
      </w:r>
      <w:r>
        <w:rPr>
          <w:color w:val="231F20"/>
          <w:spacing w:val="-13"/>
        </w:rPr>
        <w:t> </w:t>
      </w:r>
      <w:r>
        <w:rPr>
          <w:color w:val="231F20"/>
          <w:spacing w:val="-2"/>
        </w:rPr>
        <w:t>de</w:t>
      </w:r>
      <w:r>
        <w:rPr>
          <w:color w:val="231F20"/>
          <w:spacing w:val="-13"/>
        </w:rPr>
        <w:t> </w:t>
      </w:r>
      <w:r>
        <w:rPr>
          <w:color w:val="231F20"/>
          <w:spacing w:val="-2"/>
        </w:rPr>
        <w:t>production </w:t>
      </w:r>
      <w:r>
        <w:rPr>
          <w:color w:val="231F20"/>
        </w:rPr>
        <w:t>à cause de retard dans les livraisons </w:t>
      </w:r>
      <w:r>
        <w:rPr>
          <w:color w:val="231F20"/>
          <w:spacing w:val="-6"/>
        </w:rPr>
        <w:t>contractuelles</w:t>
      </w:r>
      <w:r>
        <w:rPr>
          <w:color w:val="231F20"/>
          <w:spacing w:val="-11"/>
        </w:rPr>
        <w:t> </w:t>
      </w:r>
      <w:r>
        <w:rPr>
          <w:color w:val="231F20"/>
          <w:spacing w:val="-6"/>
        </w:rPr>
        <w:t>:</w:t>
      </w:r>
      <w:r>
        <w:rPr>
          <w:color w:val="231F20"/>
          <w:spacing w:val="-10"/>
        </w:rPr>
        <w:t> </w:t>
      </w:r>
      <w:r>
        <w:rPr>
          <w:color w:val="231F20"/>
          <w:spacing w:val="-6"/>
        </w:rPr>
        <w:t>c’est</w:t>
      </w:r>
      <w:r>
        <w:rPr>
          <w:color w:val="231F20"/>
          <w:spacing w:val="-11"/>
        </w:rPr>
        <w:t> </w:t>
      </w:r>
      <w:r>
        <w:rPr>
          <w:color w:val="231F20"/>
          <w:spacing w:val="-6"/>
        </w:rPr>
        <w:t>le</w:t>
      </w:r>
      <w:r>
        <w:rPr>
          <w:color w:val="231F20"/>
          <w:spacing w:val="-10"/>
        </w:rPr>
        <w:t> </w:t>
      </w:r>
      <w:r>
        <w:rPr>
          <w:color w:val="231F20"/>
          <w:spacing w:val="-6"/>
        </w:rPr>
        <w:t>cas</w:t>
      </w:r>
      <w:r>
        <w:rPr>
          <w:color w:val="231F20"/>
          <w:spacing w:val="-11"/>
        </w:rPr>
        <w:t> </w:t>
      </w:r>
      <w:r>
        <w:rPr>
          <w:color w:val="231F20"/>
          <w:spacing w:val="-6"/>
        </w:rPr>
        <w:t>du</w:t>
      </w:r>
      <w:r>
        <w:rPr>
          <w:color w:val="231F20"/>
          <w:spacing w:val="-10"/>
        </w:rPr>
        <w:t> </w:t>
      </w:r>
      <w:r>
        <w:rPr>
          <w:color w:val="231F20"/>
          <w:spacing w:val="-6"/>
        </w:rPr>
        <w:t>savon,</w:t>
      </w:r>
      <w:r>
        <w:rPr>
          <w:color w:val="231F20"/>
          <w:spacing w:val="-11"/>
        </w:rPr>
        <w:t> </w:t>
      </w:r>
      <w:r>
        <w:rPr>
          <w:color w:val="231F20"/>
          <w:spacing w:val="-6"/>
        </w:rPr>
        <w:t>pour </w:t>
      </w:r>
      <w:r>
        <w:rPr>
          <w:color w:val="231F20"/>
        </w:rPr>
        <w:t>pénurie de matières premières, dans la mesure</w:t>
      </w:r>
      <w:r>
        <w:rPr>
          <w:color w:val="231F20"/>
          <w:spacing w:val="-12"/>
        </w:rPr>
        <w:t> </w:t>
      </w:r>
      <w:r>
        <w:rPr>
          <w:color w:val="231F20"/>
        </w:rPr>
        <w:t>où</w:t>
      </w:r>
      <w:r>
        <w:rPr>
          <w:color w:val="231F20"/>
          <w:spacing w:val="-12"/>
        </w:rPr>
        <w:t> </w:t>
      </w:r>
      <w:r>
        <w:rPr>
          <w:color w:val="231F20"/>
        </w:rPr>
        <w:t>les</w:t>
      </w:r>
      <w:r>
        <w:rPr>
          <w:color w:val="231F20"/>
          <w:spacing w:val="-12"/>
        </w:rPr>
        <w:t> </w:t>
      </w:r>
      <w:r>
        <w:rPr>
          <w:color w:val="231F20"/>
        </w:rPr>
        <w:t>cargos</w:t>
      </w:r>
      <w:r>
        <w:rPr>
          <w:color w:val="231F20"/>
          <w:spacing w:val="-12"/>
        </w:rPr>
        <w:t> </w:t>
      </w:r>
      <w:r>
        <w:rPr>
          <w:color w:val="231F20"/>
        </w:rPr>
        <w:t>ne</w:t>
      </w:r>
      <w:r>
        <w:rPr>
          <w:color w:val="231F20"/>
          <w:spacing w:val="-12"/>
        </w:rPr>
        <w:t> </w:t>
      </w:r>
      <w:r>
        <w:rPr>
          <w:color w:val="231F20"/>
        </w:rPr>
        <w:t>peuvent</w:t>
      </w:r>
      <w:r>
        <w:rPr>
          <w:color w:val="231F20"/>
          <w:spacing w:val="-12"/>
        </w:rPr>
        <w:t> </w:t>
      </w:r>
      <w:r>
        <w:rPr>
          <w:color w:val="231F20"/>
        </w:rPr>
        <w:t>entrer en ports cubains sans faire l’objet de </w:t>
      </w:r>
      <w:r>
        <w:rPr>
          <w:color w:val="231F20"/>
          <w:spacing w:val="-6"/>
        </w:rPr>
        <w:t>sanctions</w:t>
      </w:r>
      <w:r>
        <w:rPr>
          <w:color w:val="231F20"/>
          <w:spacing w:val="-7"/>
        </w:rPr>
        <w:t> </w:t>
      </w:r>
      <w:r>
        <w:rPr>
          <w:color w:val="231F20"/>
          <w:spacing w:val="-6"/>
        </w:rPr>
        <w:t>et où les</w:t>
      </w:r>
      <w:r>
        <w:rPr>
          <w:color w:val="231F20"/>
          <w:spacing w:val="-7"/>
        </w:rPr>
        <w:t> </w:t>
      </w:r>
      <w:r>
        <w:rPr>
          <w:color w:val="231F20"/>
          <w:spacing w:val="-6"/>
        </w:rPr>
        <w:t>compagnes</w:t>
      </w:r>
      <w:r>
        <w:rPr>
          <w:color w:val="231F20"/>
          <w:spacing w:val="-7"/>
        </w:rPr>
        <w:t> </w:t>
      </w:r>
      <w:r>
        <w:rPr>
          <w:color w:val="231F20"/>
          <w:spacing w:val="-6"/>
        </w:rPr>
        <w:t>maritimes les</w:t>
      </w:r>
      <w:r>
        <w:rPr>
          <w:color w:val="231F20"/>
          <w:spacing w:val="-11"/>
        </w:rPr>
        <w:t> </w:t>
      </w:r>
      <w:r>
        <w:rPr>
          <w:color w:val="231F20"/>
          <w:spacing w:val="-6"/>
        </w:rPr>
        <w:t>plus</w:t>
      </w:r>
      <w:r>
        <w:rPr>
          <w:color w:val="231F20"/>
          <w:spacing w:val="-10"/>
        </w:rPr>
        <w:t> </w:t>
      </w:r>
      <w:r>
        <w:rPr>
          <w:color w:val="231F20"/>
          <w:spacing w:val="-6"/>
        </w:rPr>
        <w:t>importantes</w:t>
      </w:r>
      <w:r>
        <w:rPr>
          <w:color w:val="231F20"/>
          <w:spacing w:val="-11"/>
        </w:rPr>
        <w:t> </w:t>
      </w:r>
      <w:r>
        <w:rPr>
          <w:color w:val="231F20"/>
          <w:spacing w:val="-6"/>
        </w:rPr>
        <w:t>ont</w:t>
      </w:r>
      <w:r>
        <w:rPr>
          <w:color w:val="231F20"/>
          <w:spacing w:val="-10"/>
        </w:rPr>
        <w:t> </w:t>
      </w:r>
      <w:r>
        <w:rPr>
          <w:color w:val="231F20"/>
          <w:spacing w:val="-6"/>
        </w:rPr>
        <w:t>diminué,</w:t>
      </w:r>
      <w:r>
        <w:rPr>
          <w:color w:val="231F20"/>
          <w:spacing w:val="-11"/>
        </w:rPr>
        <w:t> </w:t>
      </w:r>
      <w:r>
        <w:rPr>
          <w:color w:val="231F20"/>
          <w:spacing w:val="-6"/>
        </w:rPr>
        <w:t>à</w:t>
      </w:r>
      <w:r>
        <w:rPr>
          <w:color w:val="231F20"/>
          <w:spacing w:val="-10"/>
        </w:rPr>
        <w:t> </w:t>
      </w:r>
      <w:r>
        <w:rPr>
          <w:color w:val="231F20"/>
          <w:spacing w:val="-6"/>
        </w:rPr>
        <w:t>savoir </w:t>
      </w:r>
      <w:r>
        <w:rPr>
          <w:color w:val="231F20"/>
        </w:rPr>
        <w:t>Hamburg Süd, MSC, Maersk, COSCO, </w:t>
      </w:r>
      <w:r>
        <w:rPr>
          <w:color w:val="231F20"/>
          <w:spacing w:val="-6"/>
        </w:rPr>
        <w:t>CMA</w:t>
      </w:r>
      <w:r>
        <w:rPr>
          <w:color w:val="231F20"/>
          <w:spacing w:val="-7"/>
        </w:rPr>
        <w:t> </w:t>
      </w:r>
      <w:r>
        <w:rPr>
          <w:color w:val="231F20"/>
          <w:spacing w:val="-6"/>
        </w:rPr>
        <w:t>CGM,</w:t>
      </w:r>
      <w:r>
        <w:rPr>
          <w:color w:val="231F20"/>
          <w:spacing w:val="-5"/>
        </w:rPr>
        <w:t> </w:t>
      </w:r>
      <w:r>
        <w:rPr>
          <w:color w:val="231F20"/>
          <w:spacing w:val="-6"/>
        </w:rPr>
        <w:t>Hapag</w:t>
      </w:r>
      <w:r>
        <w:rPr>
          <w:color w:val="231F20"/>
          <w:spacing w:val="-5"/>
        </w:rPr>
        <w:t> </w:t>
      </w:r>
      <w:r>
        <w:rPr>
          <w:color w:val="231F20"/>
          <w:spacing w:val="-6"/>
        </w:rPr>
        <w:t>Lloyd,</w:t>
      </w:r>
      <w:r>
        <w:rPr>
          <w:color w:val="231F20"/>
          <w:spacing w:val="-5"/>
        </w:rPr>
        <w:t> </w:t>
      </w:r>
      <w:r>
        <w:rPr>
          <w:color w:val="231F20"/>
          <w:spacing w:val="-6"/>
        </w:rPr>
        <w:t>NIRINT</w:t>
      </w:r>
      <w:r>
        <w:rPr>
          <w:color w:val="231F20"/>
          <w:spacing w:val="-5"/>
        </w:rPr>
        <w:t> </w:t>
      </w:r>
      <w:r>
        <w:rPr>
          <w:color w:val="231F20"/>
          <w:spacing w:val="-6"/>
        </w:rPr>
        <w:t>et</w:t>
      </w:r>
      <w:r>
        <w:rPr>
          <w:color w:val="231F20"/>
          <w:spacing w:val="-4"/>
        </w:rPr>
        <w:t> </w:t>
      </w:r>
      <w:r>
        <w:rPr>
          <w:color w:val="231F20"/>
          <w:spacing w:val="-6"/>
        </w:rPr>
        <w:t>Melfi.</w:t>
      </w:r>
    </w:p>
    <w:p>
      <w:pPr>
        <w:pStyle w:val="BodyText"/>
        <w:spacing w:before="169"/>
        <w:ind w:left="1394" w:right="1" w:hanging="261"/>
      </w:pPr>
      <w:r>
        <w:rPr>
          <w:position w:val="3"/>
        </w:rPr>
        <w:drawing>
          <wp:inline distT="0" distB="0" distL="0" distR="0">
            <wp:extent cx="59207" cy="59207"/>
            <wp:effectExtent l="0" t="0" r="0" b="0"/>
            <wp:docPr id="449" name="Image 449"/>
            <wp:cNvGraphicFramePr>
              <a:graphicFrameLocks/>
            </wp:cNvGraphicFramePr>
            <a:graphic>
              <a:graphicData uri="http://schemas.openxmlformats.org/drawingml/2006/picture">
                <pic:pic>
                  <pic:nvPicPr>
                    <pic:cNvPr id="449" name="Image 449"/>
                    <pic:cNvPicPr/>
                  </pic:nvPicPr>
                  <pic:blipFill>
                    <a:blip r:embed="rId7"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z w:val="20"/>
        </w:rPr>
        <w:t> </w:t>
      </w:r>
      <w:r>
        <w:rPr>
          <w:color w:val="231F20"/>
        </w:rPr>
        <w:t>La société de télécommunications </w:t>
      </w:r>
      <w:r>
        <w:rPr>
          <w:color w:val="231F20"/>
          <w:spacing w:val="-10"/>
        </w:rPr>
        <w:t>COPEXTEL</w:t>
      </w:r>
      <w:r>
        <w:rPr>
          <w:color w:val="231F20"/>
          <w:spacing w:val="-5"/>
        </w:rPr>
        <w:t> </w:t>
      </w:r>
      <w:r>
        <w:rPr>
          <w:color w:val="231F20"/>
          <w:spacing w:val="-10"/>
        </w:rPr>
        <w:t>S.</w:t>
      </w:r>
      <w:r>
        <w:rPr>
          <w:color w:val="231F20"/>
          <w:spacing w:val="-5"/>
        </w:rPr>
        <w:t> </w:t>
      </w:r>
      <w:r>
        <w:rPr>
          <w:color w:val="231F20"/>
          <w:spacing w:val="-10"/>
        </w:rPr>
        <w:t>A.</w:t>
      </w:r>
      <w:r>
        <w:rPr>
          <w:color w:val="231F20"/>
          <w:spacing w:val="-5"/>
        </w:rPr>
        <w:t> </w:t>
      </w:r>
      <w:r>
        <w:rPr>
          <w:color w:val="231F20"/>
          <w:spacing w:val="-10"/>
        </w:rPr>
        <w:t>n’a</w:t>
      </w:r>
      <w:r>
        <w:rPr>
          <w:color w:val="231F20"/>
          <w:spacing w:val="-5"/>
        </w:rPr>
        <w:t> </w:t>
      </w:r>
      <w:r>
        <w:rPr>
          <w:color w:val="231F20"/>
          <w:spacing w:val="-10"/>
        </w:rPr>
        <w:t>pu</w:t>
      </w:r>
      <w:r>
        <w:rPr>
          <w:color w:val="231F20"/>
          <w:spacing w:val="-5"/>
        </w:rPr>
        <w:t> </w:t>
      </w:r>
      <w:r>
        <w:rPr>
          <w:color w:val="231F20"/>
          <w:spacing w:val="-10"/>
        </w:rPr>
        <w:t>se</w:t>
      </w:r>
      <w:r>
        <w:rPr>
          <w:color w:val="231F20"/>
          <w:spacing w:val="-5"/>
        </w:rPr>
        <w:t> </w:t>
      </w:r>
      <w:r>
        <w:rPr>
          <w:color w:val="231F20"/>
          <w:spacing w:val="-10"/>
        </w:rPr>
        <w:t>fournir</w:t>
      </w:r>
      <w:r>
        <w:rPr>
          <w:color w:val="231F20"/>
          <w:spacing w:val="-5"/>
        </w:rPr>
        <w:t> </w:t>
      </w:r>
      <w:r>
        <w:rPr>
          <w:color w:val="231F20"/>
          <w:spacing w:val="-10"/>
        </w:rPr>
        <w:t>qu’auprès </w:t>
      </w:r>
      <w:r>
        <w:rPr>
          <w:color w:val="231F20"/>
        </w:rPr>
        <w:t>de</w:t>
      </w:r>
      <w:r>
        <w:rPr>
          <w:color w:val="231F20"/>
          <w:spacing w:val="-4"/>
        </w:rPr>
        <w:t> </w:t>
      </w:r>
      <w:r>
        <w:rPr>
          <w:color w:val="231F20"/>
        </w:rPr>
        <w:t>68</w:t>
      </w:r>
      <w:r>
        <w:rPr>
          <w:color w:val="231F20"/>
          <w:spacing w:val="-4"/>
        </w:rPr>
        <w:t> </w:t>
      </w:r>
      <w:r>
        <w:rPr>
          <w:color w:val="231F20"/>
        </w:rPr>
        <w:t>fournisseurs</w:t>
      </w:r>
      <w:r>
        <w:rPr>
          <w:color w:val="231F20"/>
          <w:spacing w:val="-4"/>
        </w:rPr>
        <w:t> </w:t>
      </w:r>
      <w:r>
        <w:rPr>
          <w:color w:val="231F20"/>
        </w:rPr>
        <w:t>sur</w:t>
      </w:r>
      <w:r>
        <w:rPr>
          <w:color w:val="231F20"/>
          <w:spacing w:val="-4"/>
        </w:rPr>
        <w:t> </w:t>
      </w:r>
      <w:r>
        <w:rPr>
          <w:color w:val="231F20"/>
        </w:rPr>
        <w:t>un</w:t>
      </w:r>
      <w:r>
        <w:rPr>
          <w:color w:val="231F20"/>
          <w:spacing w:val="-4"/>
        </w:rPr>
        <w:t> </w:t>
      </w:r>
      <w:r>
        <w:rPr>
          <w:color w:val="231F20"/>
        </w:rPr>
        <w:t>total</w:t>
      </w:r>
      <w:r>
        <w:rPr>
          <w:color w:val="231F20"/>
          <w:spacing w:val="-4"/>
        </w:rPr>
        <w:t> </w:t>
      </w:r>
      <w:r>
        <w:rPr>
          <w:color w:val="231F20"/>
        </w:rPr>
        <w:t>possible de 573, ce qui l’oblige à travailler dans des conditions difficiles.</w:t>
      </w:r>
    </w:p>
    <w:p>
      <w:pPr>
        <w:pStyle w:val="BodyText"/>
        <w:spacing w:before="163"/>
        <w:ind w:left="1394" w:right="1" w:hanging="261"/>
      </w:pPr>
      <w:r>
        <w:rPr>
          <w:position w:val="4"/>
        </w:rPr>
        <w:drawing>
          <wp:inline distT="0" distB="0" distL="0" distR="0">
            <wp:extent cx="59207" cy="59207"/>
            <wp:effectExtent l="0" t="0" r="0" b="0"/>
            <wp:docPr id="450" name="Image 450"/>
            <wp:cNvGraphicFramePr>
              <a:graphicFrameLocks/>
            </wp:cNvGraphicFramePr>
            <a:graphic>
              <a:graphicData uri="http://schemas.openxmlformats.org/drawingml/2006/picture">
                <pic:pic>
                  <pic:nvPicPr>
                    <pic:cNvPr id="450" name="Image 450"/>
                    <pic:cNvPicPr/>
                  </pic:nvPicPr>
                  <pic:blipFill>
                    <a:blip r:embed="rId10"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40"/>
          <w:sz w:val="20"/>
        </w:rPr>
        <w:t> </w:t>
      </w:r>
      <w:r>
        <w:rPr>
          <w:color w:val="231F20"/>
        </w:rPr>
        <w:t>La société CIMEX, qui importe, exporte et vend des biens et services, a subi</w:t>
      </w:r>
      <w:r>
        <w:rPr>
          <w:color w:val="231F20"/>
          <w:spacing w:val="40"/>
        </w:rPr>
        <w:t> </w:t>
      </w:r>
      <w:r>
        <w:rPr>
          <w:color w:val="231F20"/>
        </w:rPr>
        <w:t>des</w:t>
      </w:r>
      <w:r>
        <w:rPr>
          <w:color w:val="231F20"/>
          <w:spacing w:val="51"/>
        </w:rPr>
        <w:t> </w:t>
      </w:r>
      <w:r>
        <w:rPr>
          <w:color w:val="231F20"/>
        </w:rPr>
        <w:t>préjudices</w:t>
      </w:r>
      <w:r>
        <w:rPr>
          <w:color w:val="231F20"/>
          <w:spacing w:val="51"/>
        </w:rPr>
        <w:t> </w:t>
      </w:r>
      <w:r>
        <w:rPr>
          <w:color w:val="231F20"/>
        </w:rPr>
        <w:t>se</w:t>
      </w:r>
      <w:r>
        <w:rPr>
          <w:color w:val="231F20"/>
          <w:spacing w:val="52"/>
        </w:rPr>
        <w:t> </w:t>
      </w:r>
      <w:r>
        <w:rPr>
          <w:color w:val="231F20"/>
        </w:rPr>
        <w:t>chiffrant</w:t>
      </w:r>
      <w:r>
        <w:rPr>
          <w:color w:val="231F20"/>
          <w:spacing w:val="52"/>
        </w:rPr>
        <w:t> </w:t>
      </w:r>
      <w:r>
        <w:rPr>
          <w:color w:val="231F20"/>
        </w:rPr>
        <w:t>à</w:t>
      </w:r>
      <w:r>
        <w:rPr>
          <w:color w:val="231F20"/>
          <w:spacing w:val="52"/>
        </w:rPr>
        <w:t> </w:t>
      </w:r>
      <w:r>
        <w:rPr>
          <w:color w:val="231F20"/>
        </w:rPr>
        <w:t>101</w:t>
      </w:r>
      <w:r>
        <w:rPr>
          <w:color w:val="231F20"/>
          <w:spacing w:val="51"/>
        </w:rPr>
        <w:t> </w:t>
      </w:r>
      <w:r>
        <w:rPr>
          <w:color w:val="231F20"/>
          <w:spacing w:val="-5"/>
        </w:rPr>
        <w:t>921</w:t>
      </w:r>
    </w:p>
    <w:p>
      <w:pPr>
        <w:pStyle w:val="BodyText"/>
        <w:spacing w:before="3"/>
        <w:ind w:left="1394" w:right="1"/>
      </w:pPr>
      <w:r>
        <w:rPr>
          <w:color w:val="231F20"/>
        </w:rPr>
        <w:t>200 dollars. Si elle avait pu se fournir </w:t>
      </w:r>
      <w:r>
        <w:rPr>
          <w:color w:val="231F20"/>
          <w:spacing w:val="-4"/>
        </w:rPr>
        <w:t>directement</w:t>
      </w:r>
      <w:r>
        <w:rPr>
          <w:color w:val="231F20"/>
          <w:spacing w:val="-13"/>
        </w:rPr>
        <w:t> </w:t>
      </w:r>
      <w:r>
        <w:rPr>
          <w:color w:val="231F20"/>
          <w:spacing w:val="-4"/>
        </w:rPr>
        <w:t>aux</w:t>
      </w:r>
      <w:r>
        <w:rPr>
          <w:color w:val="231F20"/>
          <w:spacing w:val="-12"/>
        </w:rPr>
        <w:t> </w:t>
      </w:r>
      <w:r>
        <w:rPr>
          <w:color w:val="231F20"/>
          <w:spacing w:val="-4"/>
        </w:rPr>
        <w:t>USA,</w:t>
      </w:r>
      <w:r>
        <w:rPr>
          <w:color w:val="231F20"/>
          <w:spacing w:val="-13"/>
        </w:rPr>
        <w:t> </w:t>
      </w:r>
      <w:r>
        <w:rPr>
          <w:color w:val="231F20"/>
          <w:spacing w:val="-4"/>
        </w:rPr>
        <w:t>ses</w:t>
      </w:r>
      <w:r>
        <w:rPr>
          <w:color w:val="231F20"/>
          <w:spacing w:val="-12"/>
        </w:rPr>
        <w:t> </w:t>
      </w:r>
      <w:r>
        <w:rPr>
          <w:color w:val="231F20"/>
          <w:spacing w:val="-4"/>
        </w:rPr>
        <w:t>achats</w:t>
      </w:r>
      <w:r>
        <w:rPr>
          <w:color w:val="231F20"/>
          <w:spacing w:val="-13"/>
        </w:rPr>
        <w:t> </w:t>
      </w:r>
      <w:r>
        <w:rPr>
          <w:color w:val="231F20"/>
          <w:spacing w:val="-4"/>
        </w:rPr>
        <w:t>auraient </w:t>
      </w:r>
      <w:r>
        <w:rPr>
          <w:color w:val="231F20"/>
        </w:rPr>
        <w:t>diminué de 20 p. 100.</w:t>
      </w:r>
    </w:p>
    <w:p>
      <w:pPr>
        <w:pStyle w:val="BodyText"/>
        <w:spacing w:before="162"/>
        <w:ind w:left="1394" w:hanging="261"/>
      </w:pPr>
      <w:r>
        <w:rPr>
          <w:position w:val="3"/>
        </w:rPr>
        <w:drawing>
          <wp:inline distT="0" distB="0" distL="0" distR="0">
            <wp:extent cx="59207" cy="59207"/>
            <wp:effectExtent l="0" t="0" r="0" b="0"/>
            <wp:docPr id="451" name="Image 451"/>
            <wp:cNvGraphicFramePr>
              <a:graphicFrameLocks/>
            </wp:cNvGraphicFramePr>
            <a:graphic>
              <a:graphicData uri="http://schemas.openxmlformats.org/drawingml/2006/picture">
                <pic:pic>
                  <pic:nvPicPr>
                    <pic:cNvPr id="451" name="Image 451"/>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La chaîne de magasins Caribe a reçu 1 </w:t>
      </w:r>
      <w:r>
        <w:rPr>
          <w:color w:val="231F20"/>
          <w:spacing w:val="-4"/>
        </w:rPr>
        <w:t>256</w:t>
      </w:r>
      <w:r>
        <w:rPr>
          <w:color w:val="231F20"/>
          <w:spacing w:val="-11"/>
        </w:rPr>
        <w:t> </w:t>
      </w:r>
      <w:r>
        <w:rPr>
          <w:color w:val="231F20"/>
          <w:spacing w:val="-4"/>
        </w:rPr>
        <w:t>conteneurs</w:t>
      </w:r>
      <w:r>
        <w:rPr>
          <w:color w:val="231F20"/>
          <w:spacing w:val="-11"/>
        </w:rPr>
        <w:t> </w:t>
      </w:r>
      <w:r>
        <w:rPr>
          <w:color w:val="231F20"/>
          <w:spacing w:val="-4"/>
        </w:rPr>
        <w:t>de</w:t>
      </w:r>
      <w:r>
        <w:rPr>
          <w:color w:val="231F20"/>
          <w:spacing w:val="-11"/>
        </w:rPr>
        <w:t> </w:t>
      </w:r>
      <w:r>
        <w:rPr>
          <w:color w:val="231F20"/>
          <w:spacing w:val="-4"/>
        </w:rPr>
        <w:t>produits</w:t>
      </w:r>
      <w:r>
        <w:rPr>
          <w:color w:val="231F20"/>
          <w:spacing w:val="-11"/>
        </w:rPr>
        <w:t> </w:t>
      </w:r>
      <w:r>
        <w:rPr>
          <w:color w:val="231F20"/>
          <w:spacing w:val="-4"/>
        </w:rPr>
        <w:t>alimentaires, dont</w:t>
      </w:r>
      <w:r>
        <w:rPr>
          <w:color w:val="231F20"/>
          <w:spacing w:val="-13"/>
        </w:rPr>
        <w:t> </w:t>
      </w:r>
      <w:r>
        <w:rPr>
          <w:color w:val="231F20"/>
          <w:spacing w:val="-4"/>
        </w:rPr>
        <w:t>502</w:t>
      </w:r>
      <w:r>
        <w:rPr>
          <w:color w:val="231F20"/>
          <w:spacing w:val="-12"/>
        </w:rPr>
        <w:t> </w:t>
      </w:r>
      <w:r>
        <w:rPr>
          <w:color w:val="231F20"/>
          <w:spacing w:val="-4"/>
        </w:rPr>
        <w:t>(40</w:t>
      </w:r>
      <w:r>
        <w:rPr>
          <w:color w:val="231F20"/>
          <w:spacing w:val="-13"/>
        </w:rPr>
        <w:t> </w:t>
      </w:r>
      <w:r>
        <w:rPr>
          <w:color w:val="231F20"/>
          <w:spacing w:val="-4"/>
        </w:rPr>
        <w:t>p.</w:t>
      </w:r>
      <w:r>
        <w:rPr>
          <w:color w:val="231F20"/>
          <w:spacing w:val="-12"/>
        </w:rPr>
        <w:t> </w:t>
      </w:r>
      <w:r>
        <w:rPr>
          <w:color w:val="231F20"/>
          <w:spacing w:val="-4"/>
        </w:rPr>
        <w:t>100)</w:t>
      </w:r>
      <w:r>
        <w:rPr>
          <w:color w:val="231F20"/>
          <w:spacing w:val="-13"/>
        </w:rPr>
        <w:t> </w:t>
      </w:r>
      <w:r>
        <w:rPr>
          <w:color w:val="231F20"/>
          <w:spacing w:val="-4"/>
        </w:rPr>
        <w:t>auraient</w:t>
      </w:r>
      <w:r>
        <w:rPr>
          <w:color w:val="231F20"/>
          <w:spacing w:val="-12"/>
        </w:rPr>
        <w:t> </w:t>
      </w:r>
      <w:r>
        <w:rPr>
          <w:color w:val="231F20"/>
          <w:spacing w:val="-4"/>
        </w:rPr>
        <w:t>pu</w:t>
      </w:r>
      <w:r>
        <w:rPr>
          <w:color w:val="231F20"/>
          <w:spacing w:val="-13"/>
        </w:rPr>
        <w:t> </w:t>
      </w:r>
      <w:r>
        <w:rPr>
          <w:color w:val="231F20"/>
          <w:spacing w:val="-4"/>
        </w:rPr>
        <w:t>provenir directement</w:t>
      </w:r>
      <w:r>
        <w:rPr>
          <w:color w:val="231F20"/>
          <w:spacing w:val="-26"/>
        </w:rPr>
        <w:t> </w:t>
      </w:r>
      <w:r>
        <w:rPr>
          <w:color w:val="231F20"/>
          <w:spacing w:val="-4"/>
        </w:rPr>
        <w:t>des</w:t>
      </w:r>
      <w:r>
        <w:rPr>
          <w:color w:val="231F20"/>
          <w:spacing w:val="-24"/>
        </w:rPr>
        <w:t> </w:t>
      </w:r>
      <w:r>
        <w:rPr>
          <w:color w:val="231F20"/>
          <w:spacing w:val="-4"/>
        </w:rPr>
        <w:t>USA,</w:t>
      </w:r>
      <w:r>
        <w:rPr>
          <w:color w:val="231F20"/>
          <w:spacing w:val="-24"/>
        </w:rPr>
        <w:t> </w:t>
      </w:r>
      <w:r>
        <w:rPr>
          <w:color w:val="231F20"/>
          <w:spacing w:val="-4"/>
        </w:rPr>
        <w:t>et</w:t>
      </w:r>
      <w:r>
        <w:rPr>
          <w:color w:val="231F20"/>
          <w:spacing w:val="-24"/>
        </w:rPr>
        <w:t> </w:t>
      </w:r>
      <w:r>
        <w:rPr>
          <w:color w:val="231F20"/>
          <w:spacing w:val="-4"/>
        </w:rPr>
        <w:t>1</w:t>
      </w:r>
      <w:r>
        <w:rPr>
          <w:color w:val="231F20"/>
          <w:spacing w:val="-24"/>
        </w:rPr>
        <w:t> </w:t>
      </w:r>
      <w:r>
        <w:rPr>
          <w:color w:val="231F20"/>
          <w:spacing w:val="-4"/>
        </w:rPr>
        <w:t>151</w:t>
      </w:r>
      <w:r>
        <w:rPr>
          <w:color w:val="231F20"/>
          <w:spacing w:val="-24"/>
        </w:rPr>
        <w:t> </w:t>
      </w:r>
      <w:r>
        <w:rPr>
          <w:color w:val="231F20"/>
          <w:spacing w:val="-6"/>
        </w:rPr>
        <w:t>conteneurs</w:t>
      </w:r>
    </w:p>
    <w:p>
      <w:pPr>
        <w:pStyle w:val="BodyText"/>
        <w:spacing w:before="77"/>
        <w:ind w:left="674" w:right="1475"/>
      </w:pPr>
      <w:r>
        <w:rPr/>
        <w:br w:type="column"/>
      </w:r>
      <w:r>
        <w:rPr>
          <w:color w:val="231F20"/>
        </w:rPr>
        <w:t>de</w:t>
      </w:r>
      <w:r>
        <w:rPr>
          <w:color w:val="231F20"/>
          <w:spacing w:val="-2"/>
        </w:rPr>
        <w:t> </w:t>
      </w:r>
      <w:r>
        <w:rPr>
          <w:color w:val="231F20"/>
        </w:rPr>
        <w:t>parfumerie</w:t>
      </w:r>
      <w:r>
        <w:rPr>
          <w:color w:val="231F20"/>
          <w:spacing w:val="-2"/>
        </w:rPr>
        <w:t> </w:t>
      </w:r>
      <w:r>
        <w:rPr>
          <w:color w:val="231F20"/>
        </w:rPr>
        <w:t>et</w:t>
      </w:r>
      <w:r>
        <w:rPr>
          <w:color w:val="231F20"/>
          <w:spacing w:val="-2"/>
        </w:rPr>
        <w:t> </w:t>
      </w:r>
      <w:r>
        <w:rPr>
          <w:color w:val="231F20"/>
        </w:rPr>
        <w:t>hygiène,</w:t>
      </w:r>
      <w:r>
        <w:rPr>
          <w:color w:val="231F20"/>
          <w:spacing w:val="-2"/>
        </w:rPr>
        <w:t> </w:t>
      </w:r>
      <w:r>
        <w:rPr>
          <w:color w:val="231F20"/>
        </w:rPr>
        <w:t>dont</w:t>
      </w:r>
      <w:r>
        <w:rPr>
          <w:color w:val="231F20"/>
          <w:spacing w:val="-2"/>
        </w:rPr>
        <w:t> </w:t>
      </w:r>
      <w:r>
        <w:rPr>
          <w:color w:val="231F20"/>
        </w:rPr>
        <w:t>656</w:t>
      </w:r>
      <w:r>
        <w:rPr>
          <w:color w:val="231F20"/>
          <w:spacing w:val="-2"/>
        </w:rPr>
        <w:t> </w:t>
      </w:r>
      <w:r>
        <w:rPr>
          <w:color w:val="231F20"/>
        </w:rPr>
        <w:t>(57 </w:t>
      </w:r>
      <w:r>
        <w:rPr>
          <w:color w:val="231F20"/>
          <w:spacing w:val="-2"/>
        </w:rPr>
        <w:t>p.</w:t>
      </w:r>
      <w:r>
        <w:rPr>
          <w:color w:val="231F20"/>
          <w:spacing w:val="-15"/>
        </w:rPr>
        <w:t> </w:t>
      </w:r>
      <w:r>
        <w:rPr>
          <w:color w:val="231F20"/>
          <w:spacing w:val="-2"/>
        </w:rPr>
        <w:t>100)</w:t>
      </w:r>
      <w:r>
        <w:rPr>
          <w:color w:val="231F20"/>
          <w:spacing w:val="-14"/>
        </w:rPr>
        <w:t> </w:t>
      </w:r>
      <w:r>
        <w:rPr>
          <w:color w:val="231F20"/>
          <w:spacing w:val="-2"/>
        </w:rPr>
        <w:t>auraient</w:t>
      </w:r>
      <w:r>
        <w:rPr>
          <w:color w:val="231F20"/>
          <w:spacing w:val="-15"/>
        </w:rPr>
        <w:t> </w:t>
      </w:r>
      <w:r>
        <w:rPr>
          <w:color w:val="231F20"/>
          <w:spacing w:val="-2"/>
        </w:rPr>
        <w:t>pu</w:t>
      </w:r>
      <w:r>
        <w:rPr>
          <w:color w:val="231F20"/>
          <w:spacing w:val="-14"/>
        </w:rPr>
        <w:t> </w:t>
      </w:r>
      <w:r>
        <w:rPr>
          <w:color w:val="231F20"/>
          <w:spacing w:val="-2"/>
        </w:rPr>
        <w:t>provenir</w:t>
      </w:r>
      <w:r>
        <w:rPr>
          <w:color w:val="231F20"/>
          <w:spacing w:val="-15"/>
        </w:rPr>
        <w:t> </w:t>
      </w:r>
      <w:r>
        <w:rPr>
          <w:color w:val="231F20"/>
          <w:spacing w:val="-2"/>
        </w:rPr>
        <w:t>directement </w:t>
      </w:r>
      <w:r>
        <w:rPr>
          <w:color w:val="231F20"/>
        </w:rPr>
        <w:t>des USA, soit un surcoût de 3 680 900 dollars. Les retards à l’embarquement ont provoqué des retards de livraison aux</w:t>
      </w:r>
      <w:r>
        <w:rPr>
          <w:color w:val="231F20"/>
          <w:spacing w:val="-9"/>
        </w:rPr>
        <w:t> </w:t>
      </w:r>
      <w:r>
        <w:rPr>
          <w:color w:val="231F20"/>
        </w:rPr>
        <w:t>magasins</w:t>
      </w:r>
      <w:r>
        <w:rPr>
          <w:color w:val="231F20"/>
          <w:spacing w:val="-9"/>
        </w:rPr>
        <w:t> </w:t>
      </w:r>
      <w:r>
        <w:rPr>
          <w:color w:val="231F20"/>
        </w:rPr>
        <w:t>correspondants,</w:t>
      </w:r>
      <w:r>
        <w:rPr>
          <w:color w:val="231F20"/>
          <w:spacing w:val="-9"/>
        </w:rPr>
        <w:t> </w:t>
      </w:r>
      <w:r>
        <w:rPr>
          <w:color w:val="231F20"/>
        </w:rPr>
        <w:t>d’où</w:t>
      </w:r>
      <w:r>
        <w:rPr>
          <w:color w:val="231F20"/>
          <w:spacing w:val="-9"/>
        </w:rPr>
        <w:t> </w:t>
      </w:r>
      <w:r>
        <w:rPr>
          <w:color w:val="231F20"/>
        </w:rPr>
        <w:t>des ruptures</w:t>
      </w:r>
      <w:r>
        <w:rPr>
          <w:color w:val="231F20"/>
          <w:spacing w:val="-17"/>
        </w:rPr>
        <w:t> </w:t>
      </w:r>
      <w:r>
        <w:rPr>
          <w:color w:val="231F20"/>
        </w:rPr>
        <w:t>de</w:t>
      </w:r>
      <w:r>
        <w:rPr>
          <w:color w:val="231F20"/>
          <w:spacing w:val="-16"/>
        </w:rPr>
        <w:t> </w:t>
      </w:r>
      <w:r>
        <w:rPr>
          <w:color w:val="231F20"/>
        </w:rPr>
        <w:t>stocks.</w:t>
      </w:r>
      <w:r>
        <w:rPr>
          <w:color w:val="231F20"/>
          <w:spacing w:val="-17"/>
        </w:rPr>
        <w:t> </w:t>
      </w:r>
      <w:r>
        <w:rPr>
          <w:color w:val="231F20"/>
        </w:rPr>
        <w:t>Par</w:t>
      </w:r>
      <w:r>
        <w:rPr>
          <w:color w:val="231F20"/>
          <w:spacing w:val="-16"/>
        </w:rPr>
        <w:t> </w:t>
      </w:r>
      <w:r>
        <w:rPr>
          <w:color w:val="231F20"/>
        </w:rPr>
        <w:t>ailleurs,</w:t>
      </w:r>
      <w:r>
        <w:rPr>
          <w:color w:val="231F20"/>
          <w:spacing w:val="-17"/>
        </w:rPr>
        <w:t> </w:t>
      </w:r>
      <w:r>
        <w:rPr>
          <w:color w:val="231F20"/>
        </w:rPr>
        <w:t>faute,</w:t>
      </w:r>
      <w:r>
        <w:rPr>
          <w:color w:val="231F20"/>
          <w:spacing w:val="-16"/>
        </w:rPr>
        <w:t> </w:t>
      </w:r>
      <w:r>
        <w:rPr>
          <w:color w:val="231F20"/>
        </w:rPr>
        <w:t>en </w:t>
      </w:r>
      <w:r>
        <w:rPr>
          <w:color w:val="231F20"/>
          <w:spacing w:val="-2"/>
        </w:rPr>
        <w:t>partie,</w:t>
      </w:r>
      <w:r>
        <w:rPr>
          <w:color w:val="231F20"/>
          <w:spacing w:val="-15"/>
        </w:rPr>
        <w:t> </w:t>
      </w:r>
      <w:r>
        <w:rPr>
          <w:color w:val="231F20"/>
          <w:spacing w:val="-2"/>
        </w:rPr>
        <w:t>de</w:t>
      </w:r>
      <w:r>
        <w:rPr>
          <w:color w:val="231F20"/>
          <w:spacing w:val="-14"/>
        </w:rPr>
        <w:t> </w:t>
      </w:r>
      <w:r>
        <w:rPr>
          <w:color w:val="231F20"/>
          <w:spacing w:val="-2"/>
        </w:rPr>
        <w:t>pouvoir</w:t>
      </w:r>
      <w:r>
        <w:rPr>
          <w:color w:val="231F20"/>
          <w:spacing w:val="-15"/>
        </w:rPr>
        <w:t> </w:t>
      </w:r>
      <w:r>
        <w:rPr>
          <w:color w:val="231F20"/>
          <w:spacing w:val="-2"/>
        </w:rPr>
        <w:t>acheter</w:t>
      </w:r>
      <w:r>
        <w:rPr>
          <w:color w:val="231F20"/>
          <w:spacing w:val="-14"/>
        </w:rPr>
        <w:t> </w:t>
      </w:r>
      <w:r>
        <w:rPr>
          <w:color w:val="231F20"/>
          <w:spacing w:val="-2"/>
        </w:rPr>
        <w:t>aux</w:t>
      </w:r>
      <w:r>
        <w:rPr>
          <w:color w:val="231F20"/>
          <w:spacing w:val="-15"/>
        </w:rPr>
        <w:t> </w:t>
      </w:r>
      <w:r>
        <w:rPr>
          <w:color w:val="231F20"/>
          <w:spacing w:val="-2"/>
        </w:rPr>
        <w:t>États-Unis des</w:t>
      </w:r>
      <w:r>
        <w:rPr>
          <w:color w:val="231F20"/>
          <w:spacing w:val="-15"/>
        </w:rPr>
        <w:t> </w:t>
      </w:r>
      <w:r>
        <w:rPr>
          <w:color w:val="231F20"/>
          <w:spacing w:val="-2"/>
        </w:rPr>
        <w:t>pièces</w:t>
      </w:r>
      <w:r>
        <w:rPr>
          <w:color w:val="231F20"/>
          <w:spacing w:val="-14"/>
        </w:rPr>
        <w:t> </w:t>
      </w:r>
      <w:r>
        <w:rPr>
          <w:color w:val="231F20"/>
          <w:spacing w:val="-2"/>
        </w:rPr>
        <w:t>de</w:t>
      </w:r>
      <w:r>
        <w:rPr>
          <w:color w:val="231F20"/>
          <w:spacing w:val="-15"/>
        </w:rPr>
        <w:t> </w:t>
      </w:r>
      <w:r>
        <w:rPr>
          <w:color w:val="231F20"/>
          <w:spacing w:val="-2"/>
        </w:rPr>
        <w:t>rechange,</w:t>
      </w:r>
      <w:r>
        <w:rPr>
          <w:color w:val="231F20"/>
          <w:spacing w:val="-14"/>
        </w:rPr>
        <w:t> </w:t>
      </w:r>
      <w:r>
        <w:rPr>
          <w:color w:val="231F20"/>
          <w:spacing w:val="-2"/>
        </w:rPr>
        <w:t>dont</w:t>
      </w:r>
      <w:r>
        <w:rPr>
          <w:color w:val="231F20"/>
          <w:spacing w:val="-15"/>
        </w:rPr>
        <w:t> </w:t>
      </w:r>
      <w:r>
        <w:rPr>
          <w:color w:val="231F20"/>
          <w:spacing w:val="-2"/>
        </w:rPr>
        <w:t>des</w:t>
      </w:r>
      <w:r>
        <w:rPr>
          <w:color w:val="231F20"/>
          <w:spacing w:val="-14"/>
        </w:rPr>
        <w:t> </w:t>
      </w:r>
      <w:r>
        <w:rPr>
          <w:color w:val="231F20"/>
          <w:spacing w:val="-2"/>
        </w:rPr>
        <w:t>pneus, </w:t>
      </w:r>
      <w:r>
        <w:rPr>
          <w:color w:val="231F20"/>
        </w:rPr>
        <w:t>une moyenne de 100 élévateurs et de 174</w:t>
      </w:r>
      <w:r>
        <w:rPr>
          <w:color w:val="231F20"/>
          <w:spacing w:val="-4"/>
        </w:rPr>
        <w:t> </w:t>
      </w:r>
      <w:r>
        <w:rPr>
          <w:color w:val="231F20"/>
        </w:rPr>
        <w:t>véhicules</w:t>
      </w:r>
      <w:r>
        <w:rPr>
          <w:color w:val="231F20"/>
          <w:spacing w:val="-4"/>
        </w:rPr>
        <w:t> </w:t>
      </w:r>
      <w:r>
        <w:rPr>
          <w:color w:val="231F20"/>
        </w:rPr>
        <w:t>de</w:t>
      </w:r>
      <w:r>
        <w:rPr>
          <w:color w:val="231F20"/>
          <w:spacing w:val="-4"/>
        </w:rPr>
        <w:t> </w:t>
      </w:r>
      <w:r>
        <w:rPr>
          <w:color w:val="231F20"/>
        </w:rPr>
        <w:t>Caribe</w:t>
      </w:r>
      <w:r>
        <w:rPr>
          <w:color w:val="231F20"/>
          <w:spacing w:val="-4"/>
        </w:rPr>
        <w:t> </w:t>
      </w:r>
      <w:r>
        <w:rPr>
          <w:color w:val="231F20"/>
        </w:rPr>
        <w:t>a</w:t>
      </w:r>
      <w:r>
        <w:rPr>
          <w:color w:val="231F20"/>
          <w:spacing w:val="-4"/>
        </w:rPr>
        <w:t> </w:t>
      </w:r>
      <w:r>
        <w:rPr>
          <w:color w:val="231F20"/>
        </w:rPr>
        <w:t>été</w:t>
      </w:r>
      <w:r>
        <w:rPr>
          <w:color w:val="231F20"/>
          <w:spacing w:val="-4"/>
        </w:rPr>
        <w:t> </w:t>
      </w:r>
      <w:r>
        <w:rPr>
          <w:color w:val="231F20"/>
        </w:rPr>
        <w:t>paralysée durant cette période.</w:t>
      </w:r>
    </w:p>
    <w:p>
      <w:pPr>
        <w:spacing w:before="168"/>
        <w:ind w:left="413" w:right="1473" w:firstLine="0"/>
        <w:jc w:val="both"/>
        <w:rPr>
          <w:rFonts w:ascii="Segoe UI Semibold" w:hAnsi="Segoe UI Semibold"/>
          <w:b/>
          <w:i/>
          <w:sz w:val="24"/>
        </w:rPr>
      </w:pPr>
      <w:r>
        <w:rPr>
          <w:b/>
          <w:i/>
          <w:color w:val="B52628"/>
          <w:sz w:val="24"/>
        </w:rPr>
        <w:t>La construction </w:t>
      </w:r>
      <w:r>
        <w:rPr>
          <w:rFonts w:ascii="Segoe UI Semibold" w:hAnsi="Segoe UI Semibold"/>
          <w:b/>
          <w:i/>
          <w:color w:val="231F20"/>
          <w:sz w:val="24"/>
        </w:rPr>
        <w:t>continue, à cause du</w:t>
      </w:r>
      <w:r>
        <w:rPr>
          <w:rFonts w:ascii="Segoe UI Semibold" w:hAnsi="Segoe UI Semibold"/>
          <w:b/>
          <w:i/>
          <w:color w:val="231F20"/>
          <w:sz w:val="24"/>
        </w:rPr>
        <w:t> </w:t>
      </w:r>
      <w:r>
        <w:rPr>
          <w:rFonts w:ascii="Segoe UI Semibold" w:hAnsi="Segoe UI Semibold"/>
          <w:b/>
          <w:i/>
          <w:color w:val="231F20"/>
          <w:spacing w:val="-2"/>
          <w:sz w:val="24"/>
        </w:rPr>
        <w:t>blocus,</w:t>
      </w:r>
      <w:r>
        <w:rPr>
          <w:rFonts w:ascii="Segoe UI Semibold" w:hAnsi="Segoe UI Semibold"/>
          <w:b/>
          <w:i/>
          <w:color w:val="231F20"/>
          <w:spacing w:val="-15"/>
          <w:sz w:val="24"/>
        </w:rPr>
        <w:t> </w:t>
      </w:r>
      <w:r>
        <w:rPr>
          <w:rFonts w:ascii="Segoe UI Semibold" w:hAnsi="Segoe UI Semibold"/>
          <w:b/>
          <w:i/>
          <w:color w:val="231F20"/>
          <w:spacing w:val="-2"/>
          <w:sz w:val="24"/>
        </w:rPr>
        <w:t>d’avoir</w:t>
      </w:r>
      <w:r>
        <w:rPr>
          <w:rFonts w:ascii="Segoe UI Semibold" w:hAnsi="Segoe UI Semibold"/>
          <w:b/>
          <w:i/>
          <w:color w:val="231F20"/>
          <w:spacing w:val="-14"/>
          <w:sz w:val="24"/>
        </w:rPr>
        <w:t> </w:t>
      </w:r>
      <w:r>
        <w:rPr>
          <w:rFonts w:ascii="Segoe UI Semibold" w:hAnsi="Segoe UI Semibold"/>
          <w:b/>
          <w:i/>
          <w:color w:val="231F20"/>
          <w:spacing w:val="-2"/>
          <w:sz w:val="24"/>
        </w:rPr>
        <w:t>beaucoup</w:t>
      </w:r>
      <w:r>
        <w:rPr>
          <w:rFonts w:ascii="Segoe UI Semibold" w:hAnsi="Segoe UI Semibold"/>
          <w:b/>
          <w:i/>
          <w:color w:val="231F20"/>
          <w:spacing w:val="-15"/>
          <w:sz w:val="24"/>
        </w:rPr>
        <w:t> </w:t>
      </w:r>
      <w:r>
        <w:rPr>
          <w:rFonts w:ascii="Segoe UI Semibold" w:hAnsi="Segoe UI Semibold"/>
          <w:b/>
          <w:i/>
          <w:color w:val="231F20"/>
          <w:spacing w:val="-2"/>
          <w:sz w:val="24"/>
        </w:rPr>
        <w:t>de</w:t>
      </w:r>
      <w:r>
        <w:rPr>
          <w:rFonts w:ascii="Segoe UI Semibold" w:hAnsi="Segoe UI Semibold"/>
          <w:b/>
          <w:i/>
          <w:color w:val="231F20"/>
          <w:spacing w:val="-14"/>
          <w:sz w:val="24"/>
        </w:rPr>
        <w:t> </w:t>
      </w:r>
      <w:r>
        <w:rPr>
          <w:rFonts w:ascii="Segoe UI Semibold" w:hAnsi="Segoe UI Semibold"/>
          <w:b/>
          <w:i/>
          <w:color w:val="231F20"/>
          <w:spacing w:val="-2"/>
          <w:sz w:val="24"/>
        </w:rPr>
        <w:t>mal</w:t>
      </w:r>
      <w:r>
        <w:rPr>
          <w:rFonts w:ascii="Segoe UI Semibold" w:hAnsi="Segoe UI Semibold"/>
          <w:b/>
          <w:i/>
          <w:color w:val="231F20"/>
          <w:spacing w:val="-15"/>
          <w:sz w:val="24"/>
        </w:rPr>
        <w:t> </w:t>
      </w:r>
      <w:r>
        <w:rPr>
          <w:rFonts w:ascii="Segoe UI Semibold" w:hAnsi="Segoe UI Semibold"/>
          <w:b/>
          <w:i/>
          <w:color w:val="231F20"/>
          <w:spacing w:val="-2"/>
          <w:sz w:val="24"/>
        </w:rPr>
        <w:t>à</w:t>
      </w:r>
      <w:r>
        <w:rPr>
          <w:rFonts w:ascii="Segoe UI Semibold" w:hAnsi="Segoe UI Semibold"/>
          <w:b/>
          <w:i/>
          <w:color w:val="231F20"/>
          <w:spacing w:val="-14"/>
          <w:sz w:val="24"/>
        </w:rPr>
        <w:t> </w:t>
      </w:r>
      <w:r>
        <w:rPr>
          <w:rFonts w:ascii="Segoe UI Semibold" w:hAnsi="Segoe UI Semibold"/>
          <w:b/>
          <w:i/>
          <w:color w:val="231F20"/>
          <w:spacing w:val="-2"/>
          <w:sz w:val="24"/>
        </w:rPr>
        <w:t>accéder </w:t>
      </w:r>
      <w:r>
        <w:rPr>
          <w:rFonts w:ascii="Segoe UI Semibold" w:hAnsi="Segoe UI Semibold"/>
          <w:b/>
          <w:i/>
          <w:color w:val="231F20"/>
          <w:sz w:val="24"/>
        </w:rPr>
        <w:t>à</w:t>
      </w:r>
      <w:r>
        <w:rPr>
          <w:rFonts w:ascii="Segoe UI Semibold" w:hAnsi="Segoe UI Semibold"/>
          <w:b/>
          <w:i/>
          <w:color w:val="231F20"/>
          <w:spacing w:val="-7"/>
          <w:sz w:val="24"/>
        </w:rPr>
        <w:t> </w:t>
      </w:r>
      <w:r>
        <w:rPr>
          <w:rFonts w:ascii="Segoe UI Semibold" w:hAnsi="Segoe UI Semibold"/>
          <w:b/>
          <w:i/>
          <w:color w:val="231F20"/>
          <w:sz w:val="24"/>
        </w:rPr>
        <w:t>des</w:t>
      </w:r>
      <w:r>
        <w:rPr>
          <w:rFonts w:ascii="Segoe UI Semibold" w:hAnsi="Segoe UI Semibold"/>
          <w:b/>
          <w:i/>
          <w:color w:val="231F20"/>
          <w:spacing w:val="-7"/>
          <w:sz w:val="24"/>
        </w:rPr>
        <w:t> </w:t>
      </w:r>
      <w:r>
        <w:rPr>
          <w:rFonts w:ascii="Segoe UI Semibold" w:hAnsi="Segoe UI Semibold"/>
          <w:b/>
          <w:i/>
          <w:color w:val="231F20"/>
          <w:sz w:val="24"/>
        </w:rPr>
        <w:t>technologies</w:t>
      </w:r>
      <w:r>
        <w:rPr>
          <w:rFonts w:ascii="Segoe UI Semibold" w:hAnsi="Segoe UI Semibold"/>
          <w:b/>
          <w:i/>
          <w:color w:val="231F20"/>
          <w:spacing w:val="-7"/>
          <w:sz w:val="24"/>
        </w:rPr>
        <w:t> </w:t>
      </w:r>
      <w:r>
        <w:rPr>
          <w:rFonts w:ascii="Segoe UI Semibold" w:hAnsi="Segoe UI Semibold"/>
          <w:b/>
          <w:i/>
          <w:color w:val="231F20"/>
          <w:sz w:val="24"/>
        </w:rPr>
        <w:t>plus</w:t>
      </w:r>
      <w:r>
        <w:rPr>
          <w:rFonts w:ascii="Segoe UI Semibold" w:hAnsi="Segoe UI Semibold"/>
          <w:b/>
          <w:i/>
          <w:color w:val="231F20"/>
          <w:spacing w:val="-7"/>
          <w:sz w:val="24"/>
        </w:rPr>
        <w:t> </w:t>
      </w:r>
      <w:r>
        <w:rPr>
          <w:rFonts w:ascii="Segoe UI Semibold" w:hAnsi="Segoe UI Semibold"/>
          <w:b/>
          <w:i/>
          <w:color w:val="231F20"/>
          <w:sz w:val="24"/>
        </w:rPr>
        <w:t>efficaces,</w:t>
      </w:r>
      <w:r>
        <w:rPr>
          <w:rFonts w:ascii="Segoe UI Semibold" w:hAnsi="Segoe UI Semibold"/>
          <w:b/>
          <w:i/>
          <w:color w:val="231F20"/>
          <w:spacing w:val="-7"/>
          <w:sz w:val="24"/>
        </w:rPr>
        <w:t> </w:t>
      </w:r>
      <w:r>
        <w:rPr>
          <w:rFonts w:ascii="Segoe UI Semibold" w:hAnsi="Segoe UI Semibold"/>
          <w:b/>
          <w:i/>
          <w:color w:val="231F20"/>
          <w:sz w:val="24"/>
        </w:rPr>
        <w:t>légères, consommant</w:t>
      </w:r>
      <w:r>
        <w:rPr>
          <w:rFonts w:ascii="Segoe UI Semibold" w:hAnsi="Segoe UI Semibold"/>
          <w:b/>
          <w:i/>
          <w:color w:val="231F20"/>
          <w:spacing w:val="-17"/>
          <w:sz w:val="24"/>
        </w:rPr>
        <w:t> </w:t>
      </w:r>
      <w:r>
        <w:rPr>
          <w:rFonts w:ascii="Segoe UI Semibold" w:hAnsi="Segoe UI Semibold"/>
          <w:b/>
          <w:i/>
          <w:color w:val="231F20"/>
          <w:sz w:val="24"/>
        </w:rPr>
        <w:t>moins</w:t>
      </w:r>
      <w:r>
        <w:rPr>
          <w:rFonts w:ascii="Segoe UI Semibold" w:hAnsi="Segoe UI Semibold"/>
          <w:b/>
          <w:i/>
          <w:color w:val="231F20"/>
          <w:spacing w:val="-16"/>
          <w:sz w:val="24"/>
        </w:rPr>
        <w:t> </w:t>
      </w:r>
      <w:r>
        <w:rPr>
          <w:rFonts w:ascii="Segoe UI Semibold" w:hAnsi="Segoe UI Semibold"/>
          <w:b/>
          <w:i/>
          <w:color w:val="231F20"/>
          <w:sz w:val="24"/>
        </w:rPr>
        <w:t>de</w:t>
      </w:r>
      <w:r>
        <w:rPr>
          <w:rFonts w:ascii="Segoe UI Semibold" w:hAnsi="Segoe UI Semibold"/>
          <w:b/>
          <w:i/>
          <w:color w:val="231F20"/>
          <w:spacing w:val="-17"/>
          <w:sz w:val="24"/>
        </w:rPr>
        <w:t> </w:t>
      </w:r>
      <w:r>
        <w:rPr>
          <w:rFonts w:ascii="Segoe UI Semibold" w:hAnsi="Segoe UI Semibold"/>
          <w:b/>
          <w:i/>
          <w:color w:val="231F20"/>
          <w:sz w:val="24"/>
        </w:rPr>
        <w:t>matériaux</w:t>
      </w:r>
      <w:r>
        <w:rPr>
          <w:rFonts w:ascii="Segoe UI Semibold" w:hAnsi="Segoe UI Semibold"/>
          <w:b/>
          <w:i/>
          <w:color w:val="231F20"/>
          <w:spacing w:val="-16"/>
          <w:sz w:val="24"/>
        </w:rPr>
        <w:t> </w:t>
      </w:r>
      <w:r>
        <w:rPr>
          <w:rFonts w:ascii="Segoe UI Semibold" w:hAnsi="Segoe UI Semibold"/>
          <w:b/>
          <w:i/>
          <w:color w:val="231F20"/>
          <w:sz w:val="24"/>
        </w:rPr>
        <w:t>de</w:t>
      </w:r>
      <w:r>
        <w:rPr>
          <w:rFonts w:ascii="Segoe UI Semibold" w:hAnsi="Segoe UI Semibold"/>
          <w:b/>
          <w:i/>
          <w:color w:val="231F20"/>
          <w:spacing w:val="-17"/>
          <w:sz w:val="24"/>
        </w:rPr>
        <w:t> </w:t>
      </w:r>
      <w:r>
        <w:rPr>
          <w:rFonts w:ascii="Segoe UI Semibold" w:hAnsi="Segoe UI Semibold"/>
          <w:b/>
          <w:i/>
          <w:color w:val="231F20"/>
          <w:sz w:val="24"/>
        </w:rPr>
        <w:t>base et de composants énergétiques : de mars 2022</w:t>
      </w:r>
      <w:r>
        <w:rPr>
          <w:rFonts w:ascii="Segoe UI Semibold" w:hAnsi="Segoe UI Semibold"/>
          <w:b/>
          <w:i/>
          <w:color w:val="231F20"/>
          <w:spacing w:val="-2"/>
          <w:sz w:val="24"/>
        </w:rPr>
        <w:t> </w:t>
      </w:r>
      <w:r>
        <w:rPr>
          <w:rFonts w:ascii="Segoe UI Semibold" w:hAnsi="Segoe UI Semibold"/>
          <w:b/>
          <w:i/>
          <w:color w:val="231F20"/>
          <w:sz w:val="24"/>
        </w:rPr>
        <w:t>à</w:t>
      </w:r>
      <w:r>
        <w:rPr>
          <w:rFonts w:ascii="Segoe UI Semibold" w:hAnsi="Segoe UI Semibold"/>
          <w:b/>
          <w:i/>
          <w:color w:val="231F20"/>
          <w:spacing w:val="-2"/>
          <w:sz w:val="24"/>
        </w:rPr>
        <w:t> </w:t>
      </w:r>
      <w:r>
        <w:rPr>
          <w:rFonts w:ascii="Segoe UI Semibold" w:hAnsi="Segoe UI Semibold"/>
          <w:b/>
          <w:i/>
          <w:color w:val="231F20"/>
          <w:sz w:val="24"/>
        </w:rPr>
        <w:t>février</w:t>
      </w:r>
      <w:r>
        <w:rPr>
          <w:rFonts w:ascii="Segoe UI Semibold" w:hAnsi="Segoe UI Semibold"/>
          <w:b/>
          <w:i/>
          <w:color w:val="231F20"/>
          <w:spacing w:val="-2"/>
          <w:sz w:val="24"/>
        </w:rPr>
        <w:t> </w:t>
      </w:r>
      <w:r>
        <w:rPr>
          <w:rFonts w:ascii="Segoe UI Semibold" w:hAnsi="Segoe UI Semibold"/>
          <w:b/>
          <w:i/>
          <w:color w:val="231F20"/>
          <w:sz w:val="24"/>
        </w:rPr>
        <w:t>2023,</w:t>
      </w:r>
      <w:r>
        <w:rPr>
          <w:rFonts w:ascii="Segoe UI Semibold" w:hAnsi="Segoe UI Semibold"/>
          <w:b/>
          <w:i/>
          <w:color w:val="231F20"/>
          <w:spacing w:val="-2"/>
          <w:sz w:val="24"/>
        </w:rPr>
        <w:t> </w:t>
      </w:r>
      <w:r>
        <w:rPr>
          <w:rFonts w:ascii="Segoe UI Semibold" w:hAnsi="Segoe UI Semibold"/>
          <w:b/>
          <w:i/>
          <w:color w:val="231F20"/>
          <w:sz w:val="24"/>
        </w:rPr>
        <w:t>les</w:t>
      </w:r>
      <w:r>
        <w:rPr>
          <w:rFonts w:ascii="Segoe UI Semibold" w:hAnsi="Segoe UI Semibold"/>
          <w:b/>
          <w:i/>
          <w:color w:val="231F20"/>
          <w:spacing w:val="-2"/>
          <w:sz w:val="24"/>
        </w:rPr>
        <w:t> </w:t>
      </w:r>
      <w:r>
        <w:rPr>
          <w:rFonts w:ascii="Segoe UI Semibold" w:hAnsi="Segoe UI Semibold"/>
          <w:b/>
          <w:i/>
          <w:color w:val="231F20"/>
          <w:sz w:val="24"/>
        </w:rPr>
        <w:t>préjudices</w:t>
      </w:r>
      <w:r>
        <w:rPr>
          <w:rFonts w:ascii="Segoe UI Semibold" w:hAnsi="Segoe UI Semibold"/>
          <w:b/>
          <w:i/>
          <w:color w:val="231F20"/>
          <w:spacing w:val="-2"/>
          <w:sz w:val="24"/>
        </w:rPr>
        <w:t> </w:t>
      </w:r>
      <w:r>
        <w:rPr>
          <w:rFonts w:ascii="Segoe UI Semibold" w:hAnsi="Segoe UI Semibold"/>
          <w:b/>
          <w:i/>
          <w:color w:val="231F20"/>
          <w:sz w:val="24"/>
        </w:rPr>
        <w:t>se</w:t>
      </w:r>
      <w:r>
        <w:rPr>
          <w:rFonts w:ascii="Segoe UI Semibold" w:hAnsi="Segoe UI Semibold"/>
          <w:b/>
          <w:i/>
          <w:color w:val="231F20"/>
          <w:spacing w:val="-2"/>
          <w:sz w:val="24"/>
        </w:rPr>
        <w:t> </w:t>
      </w:r>
      <w:r>
        <w:rPr>
          <w:rFonts w:ascii="Segoe UI Semibold" w:hAnsi="Segoe UI Semibold"/>
          <w:b/>
          <w:i/>
          <w:color w:val="231F20"/>
          <w:sz w:val="24"/>
        </w:rPr>
        <w:t>sont chiffrés</w:t>
      </w:r>
      <w:r>
        <w:rPr>
          <w:rFonts w:ascii="Segoe UI Semibold" w:hAnsi="Segoe UI Semibold"/>
          <w:b/>
          <w:i/>
          <w:color w:val="231F20"/>
          <w:spacing w:val="-17"/>
          <w:sz w:val="24"/>
        </w:rPr>
        <w:t> </w:t>
      </w:r>
      <w:r>
        <w:rPr>
          <w:rFonts w:ascii="Segoe UI Semibold" w:hAnsi="Segoe UI Semibold"/>
          <w:b/>
          <w:i/>
          <w:color w:val="231F20"/>
          <w:sz w:val="24"/>
        </w:rPr>
        <w:t>à</w:t>
      </w:r>
      <w:r>
        <w:rPr>
          <w:rFonts w:ascii="Segoe UI Semibold" w:hAnsi="Segoe UI Semibold"/>
          <w:b/>
          <w:i/>
          <w:color w:val="231F20"/>
          <w:spacing w:val="-16"/>
          <w:sz w:val="24"/>
        </w:rPr>
        <w:t> </w:t>
      </w:r>
      <w:r>
        <w:rPr>
          <w:b/>
          <w:i/>
          <w:color w:val="231F20"/>
          <w:sz w:val="24"/>
        </w:rPr>
        <w:t>89</w:t>
      </w:r>
      <w:r>
        <w:rPr>
          <w:b/>
          <w:i/>
          <w:color w:val="231F20"/>
          <w:spacing w:val="-17"/>
          <w:sz w:val="24"/>
        </w:rPr>
        <w:t> </w:t>
      </w:r>
      <w:r>
        <w:rPr>
          <w:b/>
          <w:i/>
          <w:color w:val="231F20"/>
          <w:sz w:val="24"/>
        </w:rPr>
        <w:t>134</w:t>
      </w:r>
      <w:r>
        <w:rPr>
          <w:b/>
          <w:i/>
          <w:color w:val="231F20"/>
          <w:spacing w:val="-16"/>
          <w:sz w:val="24"/>
        </w:rPr>
        <w:t> </w:t>
      </w:r>
      <w:r>
        <w:rPr>
          <w:b/>
          <w:i/>
          <w:color w:val="231F20"/>
          <w:sz w:val="24"/>
        </w:rPr>
        <w:t>500</w:t>
      </w:r>
      <w:r>
        <w:rPr>
          <w:b/>
          <w:i/>
          <w:color w:val="231F20"/>
          <w:spacing w:val="-17"/>
          <w:sz w:val="24"/>
        </w:rPr>
        <w:t> </w:t>
      </w:r>
      <w:r>
        <w:rPr>
          <w:b/>
          <w:i/>
          <w:color w:val="231F20"/>
          <w:sz w:val="24"/>
        </w:rPr>
        <w:t>dollars</w:t>
      </w:r>
      <w:r>
        <w:rPr>
          <w:rFonts w:ascii="Segoe UI Semibold" w:hAnsi="Segoe UI Semibold"/>
          <w:b/>
          <w:i/>
          <w:color w:val="231F20"/>
          <w:sz w:val="24"/>
        </w:rPr>
        <w:t>,</w:t>
      </w:r>
      <w:r>
        <w:rPr>
          <w:rFonts w:ascii="Segoe UI Semibold" w:hAnsi="Segoe UI Semibold"/>
          <w:b/>
          <w:i/>
          <w:color w:val="231F20"/>
          <w:spacing w:val="-16"/>
          <w:sz w:val="24"/>
        </w:rPr>
        <w:t> </w:t>
      </w:r>
      <w:r>
        <w:rPr>
          <w:rFonts w:ascii="Segoe UI Semibold" w:hAnsi="Segoe UI Semibold"/>
          <w:b/>
          <w:i/>
          <w:color w:val="231F20"/>
          <w:sz w:val="24"/>
        </w:rPr>
        <w:t>la</w:t>
      </w:r>
      <w:r>
        <w:rPr>
          <w:rFonts w:ascii="Segoe UI Semibold" w:hAnsi="Segoe UI Semibold"/>
          <w:b/>
          <w:i/>
          <w:color w:val="231F20"/>
          <w:spacing w:val="-17"/>
          <w:sz w:val="24"/>
        </w:rPr>
        <w:t> </w:t>
      </w:r>
      <w:r>
        <w:rPr>
          <w:rFonts w:ascii="Segoe UI Semibold" w:hAnsi="Segoe UI Semibold"/>
          <w:b/>
          <w:i/>
          <w:color w:val="231F20"/>
          <w:sz w:val="24"/>
        </w:rPr>
        <w:t>Direction</w:t>
      </w:r>
      <w:r>
        <w:rPr>
          <w:rFonts w:ascii="Segoe UI Semibold" w:hAnsi="Segoe UI Semibold"/>
          <w:b/>
          <w:i/>
          <w:color w:val="231F20"/>
          <w:sz w:val="24"/>
        </w:rPr>
        <w:t> générale du logement en concentrant le plus gros : </w:t>
      </w:r>
      <w:r>
        <w:rPr>
          <w:b/>
          <w:i/>
          <w:color w:val="231F20"/>
          <w:sz w:val="24"/>
        </w:rPr>
        <w:t>83 425 400 dollars</w:t>
      </w:r>
      <w:r>
        <w:rPr>
          <w:rFonts w:ascii="Segoe UI Semibold" w:hAnsi="Segoe UI Semibold"/>
          <w:b/>
          <w:i/>
          <w:color w:val="231F20"/>
          <w:sz w:val="24"/>
        </w:rPr>
        <w:t>.</w:t>
      </w:r>
    </w:p>
    <w:p>
      <w:pPr>
        <w:pStyle w:val="BodyText"/>
        <w:spacing w:before="159"/>
        <w:ind w:left="413" w:right="1473"/>
      </w:pPr>
      <w:r>
        <w:rPr>
          <w:color w:val="231F20"/>
        </w:rPr>
        <w:t>Les principaux préjudices sont l’accès à des biens et technologies essentiels dans l’industrie des matériaux de construction, tels</w:t>
      </w:r>
      <w:r>
        <w:rPr>
          <w:color w:val="231F20"/>
          <w:spacing w:val="-17"/>
        </w:rPr>
        <w:t> </w:t>
      </w:r>
      <w:r>
        <w:rPr>
          <w:color w:val="231F20"/>
        </w:rPr>
        <w:t>que</w:t>
      </w:r>
      <w:r>
        <w:rPr>
          <w:color w:val="231F20"/>
          <w:spacing w:val="-16"/>
        </w:rPr>
        <w:t> </w:t>
      </w:r>
      <w:r>
        <w:rPr>
          <w:color w:val="231F20"/>
        </w:rPr>
        <w:t>le</w:t>
      </w:r>
      <w:r>
        <w:rPr>
          <w:color w:val="231F20"/>
          <w:spacing w:val="-17"/>
        </w:rPr>
        <w:t> </w:t>
      </w:r>
      <w:r>
        <w:rPr>
          <w:color w:val="231F20"/>
        </w:rPr>
        <w:t>ciment,</w:t>
      </w:r>
      <w:r>
        <w:rPr>
          <w:color w:val="231F20"/>
          <w:spacing w:val="-16"/>
        </w:rPr>
        <w:t> </w:t>
      </w:r>
      <w:r>
        <w:rPr>
          <w:color w:val="231F20"/>
        </w:rPr>
        <w:t>le</w:t>
      </w:r>
      <w:r>
        <w:rPr>
          <w:color w:val="231F20"/>
          <w:spacing w:val="-17"/>
        </w:rPr>
        <w:t> </w:t>
      </w:r>
      <w:r>
        <w:rPr>
          <w:color w:val="231F20"/>
        </w:rPr>
        <w:t>gravier,</w:t>
      </w:r>
      <w:r>
        <w:rPr>
          <w:color w:val="231F20"/>
          <w:spacing w:val="-16"/>
        </w:rPr>
        <w:t> </w:t>
      </w:r>
      <w:r>
        <w:rPr>
          <w:color w:val="231F20"/>
        </w:rPr>
        <w:t>les</w:t>
      </w:r>
      <w:r>
        <w:rPr>
          <w:color w:val="231F20"/>
          <w:spacing w:val="-17"/>
        </w:rPr>
        <w:t> </w:t>
      </w:r>
      <w:r>
        <w:rPr>
          <w:color w:val="231F20"/>
        </w:rPr>
        <w:t>parpaings, les tuiles de fibrociment, les couvertures d’asphalte et la menuiserie, à quoi </w:t>
      </w:r>
      <w:r>
        <w:rPr>
          <w:color w:val="231F20"/>
          <w:spacing w:val="-4"/>
        </w:rPr>
        <w:t>s’ajouter</w:t>
      </w:r>
      <w:r>
        <w:rPr>
          <w:color w:val="231F20"/>
          <w:spacing w:val="-5"/>
        </w:rPr>
        <w:t> </w:t>
      </w:r>
      <w:r>
        <w:rPr>
          <w:color w:val="231F20"/>
          <w:spacing w:val="-4"/>
        </w:rPr>
        <w:t>l’interruption</w:t>
      </w:r>
      <w:r>
        <w:rPr>
          <w:color w:val="231F20"/>
          <w:spacing w:val="-5"/>
        </w:rPr>
        <w:t> </w:t>
      </w:r>
      <w:r>
        <w:rPr>
          <w:color w:val="231F20"/>
          <w:spacing w:val="-4"/>
        </w:rPr>
        <w:t>de</w:t>
      </w:r>
      <w:r>
        <w:rPr>
          <w:color w:val="231F20"/>
          <w:spacing w:val="-5"/>
        </w:rPr>
        <w:t> </w:t>
      </w:r>
      <w:r>
        <w:rPr>
          <w:color w:val="231F20"/>
          <w:spacing w:val="-4"/>
        </w:rPr>
        <w:t>contrats</w:t>
      </w:r>
      <w:r>
        <w:rPr>
          <w:color w:val="231F20"/>
          <w:spacing w:val="-5"/>
        </w:rPr>
        <w:t> </w:t>
      </w:r>
      <w:r>
        <w:rPr>
          <w:color w:val="231F20"/>
          <w:spacing w:val="-4"/>
        </w:rPr>
        <w:t>avec</w:t>
      </w:r>
      <w:r>
        <w:rPr>
          <w:color w:val="231F20"/>
          <w:spacing w:val="-5"/>
        </w:rPr>
        <w:t> </w:t>
      </w:r>
      <w:r>
        <w:rPr>
          <w:color w:val="231F20"/>
          <w:spacing w:val="-4"/>
        </w:rPr>
        <w:t>des </w:t>
      </w:r>
      <w:r>
        <w:rPr>
          <w:color w:val="231F20"/>
        </w:rPr>
        <w:t>fournisseurs</w:t>
      </w:r>
      <w:r>
        <w:rPr>
          <w:color w:val="231F20"/>
          <w:spacing w:val="-1"/>
        </w:rPr>
        <w:t> </w:t>
      </w:r>
      <w:r>
        <w:rPr>
          <w:color w:val="231F20"/>
        </w:rPr>
        <w:t>étrangers</w:t>
      </w:r>
      <w:r>
        <w:rPr>
          <w:color w:val="231F20"/>
          <w:spacing w:val="-1"/>
        </w:rPr>
        <w:t> </w:t>
      </w:r>
      <w:r>
        <w:rPr>
          <w:color w:val="231F20"/>
        </w:rPr>
        <w:t>et</w:t>
      </w:r>
      <w:r>
        <w:rPr>
          <w:color w:val="231F20"/>
          <w:spacing w:val="-1"/>
        </w:rPr>
        <w:t> </w:t>
      </w:r>
      <w:r>
        <w:rPr>
          <w:color w:val="231F20"/>
        </w:rPr>
        <w:t>les</w:t>
      </w:r>
      <w:r>
        <w:rPr>
          <w:color w:val="231F20"/>
          <w:spacing w:val="-1"/>
        </w:rPr>
        <w:t> </w:t>
      </w:r>
      <w:r>
        <w:rPr>
          <w:color w:val="231F20"/>
        </w:rPr>
        <w:t>difficultés</w:t>
      </w:r>
      <w:r>
        <w:rPr>
          <w:color w:val="231F20"/>
          <w:spacing w:val="-1"/>
        </w:rPr>
        <w:t> </w:t>
      </w:r>
      <w:r>
        <w:rPr>
          <w:color w:val="231F20"/>
        </w:rPr>
        <w:t>de transport pour pénurie de carburant.</w:t>
      </w:r>
    </w:p>
    <w:p>
      <w:pPr>
        <w:pStyle w:val="BodyText"/>
        <w:spacing w:before="167"/>
        <w:ind w:left="413" w:right="1473"/>
      </w:pPr>
      <w:r>
        <w:rPr>
          <w:color w:val="231F20"/>
          <w:spacing w:val="-8"/>
        </w:rPr>
        <w:t>Un</w:t>
      </w:r>
      <w:r>
        <w:rPr>
          <w:color w:val="231F20"/>
          <w:spacing w:val="-9"/>
        </w:rPr>
        <w:t> </w:t>
      </w:r>
      <w:r>
        <w:rPr>
          <w:color w:val="231F20"/>
          <w:spacing w:val="-8"/>
        </w:rPr>
        <w:t>seul exemple</w:t>
      </w:r>
      <w:r>
        <w:rPr>
          <w:color w:val="231F20"/>
          <w:spacing w:val="-9"/>
        </w:rPr>
        <w:t> </w:t>
      </w:r>
      <w:r>
        <w:rPr>
          <w:color w:val="231F20"/>
          <w:spacing w:val="-8"/>
        </w:rPr>
        <w:t>: début</w:t>
      </w:r>
      <w:r>
        <w:rPr>
          <w:color w:val="231F20"/>
          <w:spacing w:val="-9"/>
        </w:rPr>
        <w:t> </w:t>
      </w:r>
      <w:r>
        <w:rPr>
          <w:color w:val="231F20"/>
          <w:spacing w:val="-8"/>
        </w:rPr>
        <w:t>2022, un</w:t>
      </w:r>
      <w:r>
        <w:rPr>
          <w:color w:val="231F20"/>
          <w:spacing w:val="-9"/>
        </w:rPr>
        <w:t> </w:t>
      </w:r>
      <w:r>
        <w:rPr>
          <w:color w:val="231F20"/>
          <w:spacing w:val="-8"/>
        </w:rPr>
        <w:t>fournisseur </w:t>
      </w:r>
      <w:r>
        <w:rPr>
          <w:color w:val="231F20"/>
        </w:rPr>
        <w:t>centraméricain</w:t>
      </w:r>
      <w:r>
        <w:rPr>
          <w:color w:val="231F20"/>
          <w:spacing w:val="-6"/>
        </w:rPr>
        <w:t> </w:t>
      </w:r>
      <w:r>
        <w:rPr>
          <w:color w:val="231F20"/>
        </w:rPr>
        <w:t>qui</w:t>
      </w:r>
      <w:r>
        <w:rPr>
          <w:color w:val="231F20"/>
          <w:spacing w:val="-6"/>
        </w:rPr>
        <w:t> </w:t>
      </w:r>
      <w:r>
        <w:rPr>
          <w:color w:val="231F20"/>
        </w:rPr>
        <w:t>s’était</w:t>
      </w:r>
      <w:r>
        <w:rPr>
          <w:color w:val="231F20"/>
          <w:spacing w:val="-6"/>
        </w:rPr>
        <w:t> </w:t>
      </w:r>
      <w:r>
        <w:rPr>
          <w:color w:val="231F20"/>
        </w:rPr>
        <w:t>engagé</w:t>
      </w:r>
      <w:r>
        <w:rPr>
          <w:color w:val="231F20"/>
          <w:spacing w:val="-6"/>
        </w:rPr>
        <w:t> </w:t>
      </w:r>
      <w:r>
        <w:rPr>
          <w:color w:val="231F20"/>
        </w:rPr>
        <w:t>pour</w:t>
      </w:r>
      <w:r>
        <w:rPr>
          <w:color w:val="231F20"/>
          <w:spacing w:val="-6"/>
        </w:rPr>
        <w:t> </w:t>
      </w:r>
      <w:r>
        <w:rPr>
          <w:color w:val="231F20"/>
        </w:rPr>
        <w:t>un contrat</w:t>
      </w:r>
      <w:r>
        <w:rPr>
          <w:color w:val="231F20"/>
          <w:spacing w:val="-12"/>
        </w:rPr>
        <w:t> </w:t>
      </w:r>
      <w:r>
        <w:rPr>
          <w:color w:val="231F20"/>
        </w:rPr>
        <w:t>de</w:t>
      </w:r>
      <w:r>
        <w:rPr>
          <w:color w:val="231F20"/>
          <w:spacing w:val="-12"/>
        </w:rPr>
        <w:t> </w:t>
      </w:r>
      <w:r>
        <w:rPr>
          <w:color w:val="231F20"/>
        </w:rPr>
        <w:t>3</w:t>
      </w:r>
      <w:r>
        <w:rPr>
          <w:color w:val="231F20"/>
          <w:spacing w:val="-12"/>
        </w:rPr>
        <w:t> </w:t>
      </w:r>
      <w:r>
        <w:rPr>
          <w:color w:val="231F20"/>
        </w:rPr>
        <w:t>millions</w:t>
      </w:r>
      <w:r>
        <w:rPr>
          <w:color w:val="231F20"/>
          <w:spacing w:val="-12"/>
        </w:rPr>
        <w:t> </w:t>
      </w:r>
      <w:r>
        <w:rPr>
          <w:color w:val="231F20"/>
        </w:rPr>
        <w:t>de</w:t>
      </w:r>
      <w:r>
        <w:rPr>
          <w:color w:val="231F20"/>
          <w:spacing w:val="-12"/>
        </w:rPr>
        <w:t> </w:t>
      </w:r>
      <w:r>
        <w:rPr>
          <w:color w:val="231F20"/>
        </w:rPr>
        <w:t>dollars</w:t>
      </w:r>
      <w:r>
        <w:rPr>
          <w:color w:val="231F20"/>
          <w:spacing w:val="-12"/>
        </w:rPr>
        <w:t> </w:t>
      </w:r>
      <w:r>
        <w:rPr>
          <w:color w:val="231F20"/>
        </w:rPr>
        <w:t>à</w:t>
      </w:r>
      <w:r>
        <w:rPr>
          <w:color w:val="231F20"/>
          <w:spacing w:val="-12"/>
        </w:rPr>
        <w:t> </w:t>
      </w:r>
      <w:r>
        <w:rPr>
          <w:color w:val="231F20"/>
        </w:rPr>
        <w:t>livrer</w:t>
      </w:r>
      <w:r>
        <w:rPr>
          <w:color w:val="231F20"/>
          <w:spacing w:val="-12"/>
        </w:rPr>
        <w:t> </w:t>
      </w:r>
      <w:r>
        <w:rPr>
          <w:color w:val="231F20"/>
        </w:rPr>
        <w:t>des </w:t>
      </w:r>
      <w:r>
        <w:rPr>
          <w:color w:val="231F20"/>
          <w:spacing w:val="-4"/>
        </w:rPr>
        <w:t>tubes</w:t>
      </w:r>
      <w:r>
        <w:rPr>
          <w:color w:val="231F20"/>
          <w:spacing w:val="-10"/>
        </w:rPr>
        <w:t> </w:t>
      </w:r>
      <w:r>
        <w:rPr>
          <w:color w:val="231F20"/>
          <w:spacing w:val="-4"/>
        </w:rPr>
        <w:t>de</w:t>
      </w:r>
      <w:r>
        <w:rPr>
          <w:color w:val="231F20"/>
          <w:spacing w:val="-10"/>
        </w:rPr>
        <w:t> </w:t>
      </w:r>
      <w:r>
        <w:rPr>
          <w:color w:val="231F20"/>
          <w:spacing w:val="-4"/>
        </w:rPr>
        <w:t>PVC</w:t>
      </w:r>
      <w:r>
        <w:rPr>
          <w:color w:val="231F20"/>
          <w:spacing w:val="-10"/>
        </w:rPr>
        <w:t> </w:t>
      </w:r>
      <w:r>
        <w:rPr>
          <w:color w:val="231F20"/>
          <w:spacing w:val="-4"/>
        </w:rPr>
        <w:t>sanitaire</w:t>
      </w:r>
      <w:r>
        <w:rPr>
          <w:color w:val="231F20"/>
          <w:spacing w:val="-10"/>
        </w:rPr>
        <w:t> </w:t>
      </w:r>
      <w:r>
        <w:rPr>
          <w:color w:val="231F20"/>
          <w:spacing w:val="-4"/>
        </w:rPr>
        <w:t>et</w:t>
      </w:r>
      <w:r>
        <w:rPr>
          <w:color w:val="231F20"/>
          <w:spacing w:val="-10"/>
        </w:rPr>
        <w:t> </w:t>
      </w:r>
      <w:r>
        <w:rPr>
          <w:color w:val="231F20"/>
          <w:spacing w:val="-4"/>
        </w:rPr>
        <w:t>hydraulique,</w:t>
      </w:r>
      <w:r>
        <w:rPr>
          <w:color w:val="231F20"/>
          <w:spacing w:val="-10"/>
        </w:rPr>
        <w:t> </w:t>
      </w:r>
      <w:r>
        <w:rPr>
          <w:color w:val="231F20"/>
          <w:spacing w:val="-4"/>
        </w:rPr>
        <w:t>a</w:t>
      </w:r>
      <w:r>
        <w:rPr>
          <w:color w:val="231F20"/>
          <w:spacing w:val="-10"/>
        </w:rPr>
        <w:t> </w:t>
      </w:r>
      <w:r>
        <w:rPr>
          <w:color w:val="231F20"/>
          <w:spacing w:val="-4"/>
        </w:rPr>
        <w:t>fait </w:t>
      </w:r>
      <w:r>
        <w:rPr>
          <w:color w:val="231F20"/>
        </w:rPr>
        <w:t>savoir</w:t>
      </w:r>
      <w:r>
        <w:rPr>
          <w:color w:val="231F20"/>
          <w:spacing w:val="-14"/>
        </w:rPr>
        <w:t> </w:t>
      </w:r>
      <w:r>
        <w:rPr>
          <w:color w:val="231F20"/>
        </w:rPr>
        <w:t>qu’il</w:t>
      </w:r>
      <w:r>
        <w:rPr>
          <w:color w:val="231F20"/>
          <w:spacing w:val="-14"/>
        </w:rPr>
        <w:t> </w:t>
      </w:r>
      <w:r>
        <w:rPr>
          <w:color w:val="231F20"/>
        </w:rPr>
        <w:t>ne</w:t>
      </w:r>
      <w:r>
        <w:rPr>
          <w:color w:val="231F20"/>
          <w:spacing w:val="-14"/>
        </w:rPr>
        <w:t> </w:t>
      </w:r>
      <w:r>
        <w:rPr>
          <w:color w:val="231F20"/>
        </w:rPr>
        <w:t>pouvait</w:t>
      </w:r>
      <w:r>
        <w:rPr>
          <w:color w:val="231F20"/>
          <w:spacing w:val="-14"/>
        </w:rPr>
        <w:t> </w:t>
      </w:r>
      <w:r>
        <w:rPr>
          <w:color w:val="231F20"/>
        </w:rPr>
        <w:t>plus</w:t>
      </w:r>
      <w:r>
        <w:rPr>
          <w:color w:val="231F20"/>
          <w:spacing w:val="-14"/>
        </w:rPr>
        <w:t> </w:t>
      </w:r>
      <w:r>
        <w:rPr>
          <w:color w:val="231F20"/>
        </w:rPr>
        <w:t>continuer</w:t>
      </w:r>
      <w:r>
        <w:rPr>
          <w:color w:val="231F20"/>
          <w:spacing w:val="-14"/>
        </w:rPr>
        <w:t> </w:t>
      </w:r>
      <w:r>
        <w:rPr>
          <w:color w:val="231F20"/>
        </w:rPr>
        <w:t>de</w:t>
      </w:r>
      <w:r>
        <w:rPr>
          <w:color w:val="231F20"/>
          <w:spacing w:val="-14"/>
        </w:rPr>
        <w:t> </w:t>
      </w:r>
      <w:r>
        <w:rPr>
          <w:color w:val="231F20"/>
        </w:rPr>
        <w:t>le </w:t>
      </w:r>
      <w:r>
        <w:rPr>
          <w:color w:val="231F20"/>
          <w:spacing w:val="-2"/>
        </w:rPr>
        <w:t>faire,</w:t>
      </w:r>
      <w:r>
        <w:rPr>
          <w:color w:val="231F20"/>
          <w:spacing w:val="-15"/>
        </w:rPr>
        <w:t> </w:t>
      </w:r>
      <w:r>
        <w:rPr>
          <w:color w:val="231F20"/>
          <w:spacing w:val="-2"/>
        </w:rPr>
        <w:t>laissant</w:t>
      </w:r>
      <w:r>
        <w:rPr>
          <w:color w:val="231F20"/>
          <w:spacing w:val="-14"/>
        </w:rPr>
        <w:t> </w:t>
      </w:r>
      <w:r>
        <w:rPr>
          <w:color w:val="231F20"/>
          <w:spacing w:val="-2"/>
        </w:rPr>
        <w:t>sans</w:t>
      </w:r>
      <w:r>
        <w:rPr>
          <w:color w:val="231F20"/>
          <w:spacing w:val="-15"/>
        </w:rPr>
        <w:t> </w:t>
      </w:r>
      <w:r>
        <w:rPr>
          <w:color w:val="231F20"/>
          <w:spacing w:val="-2"/>
        </w:rPr>
        <w:t>réponse</w:t>
      </w:r>
      <w:r>
        <w:rPr>
          <w:color w:val="231F20"/>
          <w:spacing w:val="-14"/>
        </w:rPr>
        <w:t> </w:t>
      </w:r>
      <w:r>
        <w:rPr>
          <w:color w:val="231F20"/>
          <w:spacing w:val="-2"/>
        </w:rPr>
        <w:t>26</w:t>
      </w:r>
      <w:r>
        <w:rPr>
          <w:color w:val="231F20"/>
          <w:spacing w:val="-15"/>
        </w:rPr>
        <w:t> </w:t>
      </w:r>
      <w:r>
        <w:rPr>
          <w:color w:val="231F20"/>
          <w:spacing w:val="-2"/>
        </w:rPr>
        <w:t>commandes, </w:t>
      </w:r>
      <w:r>
        <w:rPr>
          <w:color w:val="231F20"/>
        </w:rPr>
        <w:t>si bien qu’il a fallu s’adresser à d’autres fournisseurs avec les complications et les surcoûts correspondants.</w:t>
      </w:r>
    </w:p>
    <w:p>
      <w:pPr>
        <w:pStyle w:val="BodyText"/>
        <w:spacing w:before="167"/>
        <w:ind w:left="413" w:right="1479"/>
      </w:pPr>
      <w:r>
        <w:rPr>
          <w:color w:val="231F20"/>
          <w:spacing w:val="-4"/>
        </w:rPr>
        <w:t>L’industrie</w:t>
      </w:r>
      <w:r>
        <w:rPr>
          <w:color w:val="231F20"/>
          <w:spacing w:val="-9"/>
        </w:rPr>
        <w:t> </w:t>
      </w:r>
      <w:r>
        <w:rPr>
          <w:color w:val="231F20"/>
          <w:spacing w:val="-4"/>
        </w:rPr>
        <w:t>sidérurgique</w:t>
      </w:r>
      <w:r>
        <w:rPr>
          <w:color w:val="231F20"/>
          <w:spacing w:val="-9"/>
        </w:rPr>
        <w:t> </w:t>
      </w:r>
      <w:r>
        <w:rPr>
          <w:color w:val="231F20"/>
          <w:spacing w:val="-4"/>
        </w:rPr>
        <w:t>et</w:t>
      </w:r>
      <w:r>
        <w:rPr>
          <w:color w:val="231F20"/>
          <w:spacing w:val="-9"/>
        </w:rPr>
        <w:t> </w:t>
      </w:r>
      <w:r>
        <w:rPr>
          <w:color w:val="231F20"/>
          <w:spacing w:val="-4"/>
        </w:rPr>
        <w:t>de</w:t>
      </w:r>
      <w:r>
        <w:rPr>
          <w:color w:val="231F20"/>
          <w:spacing w:val="-9"/>
        </w:rPr>
        <w:t> </w:t>
      </w:r>
      <w:r>
        <w:rPr>
          <w:color w:val="231F20"/>
          <w:spacing w:val="-4"/>
        </w:rPr>
        <w:t>constructions </w:t>
      </w:r>
      <w:r>
        <w:rPr>
          <w:color w:val="231F20"/>
          <w:spacing w:val="-10"/>
        </w:rPr>
        <w:t>mécaniques</w:t>
      </w:r>
      <w:r>
        <w:rPr>
          <w:color w:val="231F20"/>
          <w:spacing w:val="-3"/>
        </w:rPr>
        <w:t> </w:t>
      </w:r>
      <w:r>
        <w:rPr>
          <w:color w:val="231F20"/>
          <w:spacing w:val="-10"/>
        </w:rPr>
        <w:t>a</w:t>
      </w:r>
      <w:r>
        <w:rPr>
          <w:color w:val="231F20"/>
          <w:spacing w:val="-3"/>
        </w:rPr>
        <w:t> </w:t>
      </w:r>
      <w:r>
        <w:rPr>
          <w:color w:val="231F20"/>
          <w:spacing w:val="-10"/>
        </w:rPr>
        <w:t>fait</w:t>
      </w:r>
      <w:r>
        <w:rPr>
          <w:color w:val="231F20"/>
          <w:spacing w:val="-3"/>
        </w:rPr>
        <w:t> </w:t>
      </w:r>
      <w:r>
        <w:rPr>
          <w:color w:val="231F20"/>
          <w:spacing w:val="-10"/>
        </w:rPr>
        <w:t>état</w:t>
      </w:r>
      <w:r>
        <w:rPr>
          <w:color w:val="231F20"/>
          <w:spacing w:val="-3"/>
        </w:rPr>
        <w:t> </w:t>
      </w:r>
      <w:r>
        <w:rPr>
          <w:color w:val="231F20"/>
          <w:spacing w:val="-10"/>
        </w:rPr>
        <w:t>de</w:t>
      </w:r>
      <w:r>
        <w:rPr>
          <w:color w:val="231F20"/>
          <w:spacing w:val="-3"/>
        </w:rPr>
        <w:t> </w:t>
      </w:r>
      <w:r>
        <w:rPr>
          <w:color w:val="231F20"/>
          <w:spacing w:val="-10"/>
        </w:rPr>
        <w:t>préjudices</w:t>
      </w:r>
      <w:r>
        <w:rPr>
          <w:color w:val="231F20"/>
          <w:spacing w:val="-3"/>
        </w:rPr>
        <w:t> </w:t>
      </w:r>
      <w:r>
        <w:rPr>
          <w:color w:val="231F20"/>
          <w:spacing w:val="-10"/>
        </w:rPr>
        <w:t>s’élevant </w:t>
      </w:r>
      <w:r>
        <w:rPr>
          <w:color w:val="231F20"/>
        </w:rPr>
        <w:t>à</w:t>
      </w:r>
      <w:r>
        <w:rPr>
          <w:color w:val="231F20"/>
          <w:spacing w:val="25"/>
        </w:rPr>
        <w:t> </w:t>
      </w:r>
      <w:r>
        <w:rPr>
          <w:rFonts w:ascii="Segoe UI Semibold" w:hAnsi="Segoe UI Semibold"/>
          <w:b/>
          <w:i/>
          <w:color w:val="231F20"/>
        </w:rPr>
        <w:t>9</w:t>
      </w:r>
      <w:r>
        <w:rPr>
          <w:rFonts w:ascii="Segoe UI Semibold" w:hAnsi="Segoe UI Semibold"/>
          <w:b/>
          <w:i/>
          <w:color w:val="231F20"/>
          <w:spacing w:val="25"/>
        </w:rPr>
        <w:t> </w:t>
      </w:r>
      <w:r>
        <w:rPr>
          <w:rFonts w:ascii="Segoe UI Semibold" w:hAnsi="Segoe UI Semibold"/>
          <w:b/>
          <w:i/>
          <w:color w:val="231F20"/>
        </w:rPr>
        <w:t>172</w:t>
      </w:r>
      <w:r>
        <w:rPr>
          <w:rFonts w:ascii="Segoe UI Semibold" w:hAnsi="Segoe UI Semibold"/>
          <w:b/>
          <w:i/>
          <w:color w:val="231F20"/>
          <w:spacing w:val="25"/>
        </w:rPr>
        <w:t> </w:t>
      </w:r>
      <w:r>
        <w:rPr>
          <w:rFonts w:ascii="Segoe UI Semibold" w:hAnsi="Segoe UI Semibold"/>
          <w:b/>
          <w:i/>
          <w:color w:val="231F20"/>
        </w:rPr>
        <w:t>568</w:t>
      </w:r>
      <w:r>
        <w:rPr>
          <w:rFonts w:ascii="Segoe UI Semibold" w:hAnsi="Segoe UI Semibold"/>
          <w:b/>
          <w:i/>
          <w:color w:val="231F20"/>
          <w:spacing w:val="26"/>
        </w:rPr>
        <w:t> </w:t>
      </w:r>
      <w:r>
        <w:rPr>
          <w:rFonts w:ascii="Segoe UI Semibold" w:hAnsi="Segoe UI Semibold"/>
          <w:b/>
          <w:i/>
          <w:color w:val="231F20"/>
        </w:rPr>
        <w:t>dollars</w:t>
      </w:r>
      <w:r>
        <w:rPr>
          <w:rFonts w:ascii="Segoe UI Semibold" w:hAnsi="Segoe UI Semibold"/>
          <w:b/>
          <w:i/>
          <w:color w:val="231F20"/>
          <w:spacing w:val="26"/>
        </w:rPr>
        <w:t> </w:t>
      </w:r>
      <w:r>
        <w:rPr>
          <w:color w:val="231F20"/>
        </w:rPr>
        <w:t>à</w:t>
      </w:r>
      <w:r>
        <w:rPr>
          <w:color w:val="231F20"/>
          <w:spacing w:val="26"/>
        </w:rPr>
        <w:t> </w:t>
      </w:r>
      <w:r>
        <w:rPr>
          <w:color w:val="231F20"/>
        </w:rPr>
        <w:t>cause</w:t>
      </w:r>
      <w:r>
        <w:rPr>
          <w:color w:val="231F20"/>
          <w:spacing w:val="25"/>
        </w:rPr>
        <w:t> </w:t>
      </w:r>
      <w:r>
        <w:rPr>
          <w:color w:val="231F20"/>
        </w:rPr>
        <w:t>de</w:t>
      </w:r>
      <w:r>
        <w:rPr>
          <w:color w:val="231F20"/>
          <w:spacing w:val="26"/>
        </w:rPr>
        <w:t> </w:t>
      </w:r>
      <w:r>
        <w:rPr>
          <w:color w:val="231F20"/>
          <w:spacing w:val="-5"/>
        </w:rPr>
        <w:t>difficultés</w:t>
      </w:r>
    </w:p>
    <w:p>
      <w:pPr>
        <w:spacing w:after="0"/>
        <w:sectPr>
          <w:pgSz w:w="11910" w:h="16840"/>
          <w:pgMar w:header="0" w:footer="695" w:top="1260" w:bottom="880" w:left="0" w:right="0"/>
          <w:cols w:num="2" w:equalWidth="0">
            <w:col w:w="5556" w:space="40"/>
            <w:col w:w="6314"/>
          </w:cols>
        </w:sectPr>
      </w:pPr>
    </w:p>
    <w:p>
      <w:pPr>
        <w:pStyle w:val="BodyText"/>
        <w:spacing w:before="77"/>
        <w:ind w:left="1474" w:right="3"/>
      </w:pPr>
      <w:r>
        <w:rPr>
          <w:color w:val="231F20"/>
          <w:spacing w:val="-10"/>
        </w:rPr>
        <w:t>associées</w:t>
      </w:r>
      <w:r>
        <w:rPr>
          <w:color w:val="231F20"/>
          <w:spacing w:val="-7"/>
        </w:rPr>
        <w:t> </w:t>
      </w:r>
      <w:r>
        <w:rPr>
          <w:color w:val="231F20"/>
          <w:spacing w:val="-10"/>
        </w:rPr>
        <w:t>à</w:t>
      </w:r>
      <w:r>
        <w:rPr>
          <w:color w:val="231F20"/>
          <w:spacing w:val="-6"/>
        </w:rPr>
        <w:t> </w:t>
      </w:r>
      <w:r>
        <w:rPr>
          <w:color w:val="231F20"/>
          <w:spacing w:val="-10"/>
        </w:rPr>
        <w:t>l’accès</w:t>
      </w:r>
      <w:r>
        <w:rPr>
          <w:color w:val="231F20"/>
          <w:spacing w:val="-7"/>
        </w:rPr>
        <w:t> </w:t>
      </w:r>
      <w:r>
        <w:rPr>
          <w:color w:val="231F20"/>
          <w:spacing w:val="-10"/>
        </w:rPr>
        <w:t>aux</w:t>
      </w:r>
      <w:r>
        <w:rPr>
          <w:color w:val="231F20"/>
          <w:spacing w:val="-6"/>
        </w:rPr>
        <w:t> </w:t>
      </w:r>
      <w:r>
        <w:rPr>
          <w:color w:val="231F20"/>
          <w:spacing w:val="-10"/>
        </w:rPr>
        <w:t>intrants</w:t>
      </w:r>
      <w:r>
        <w:rPr>
          <w:color w:val="231F20"/>
          <w:spacing w:val="-7"/>
        </w:rPr>
        <w:t> </w:t>
      </w:r>
      <w:r>
        <w:rPr>
          <w:color w:val="231F20"/>
          <w:spacing w:val="-10"/>
        </w:rPr>
        <w:t>requis</w:t>
      </w:r>
      <w:r>
        <w:rPr>
          <w:color w:val="231F20"/>
          <w:spacing w:val="-6"/>
        </w:rPr>
        <w:t> </w:t>
      </w:r>
      <w:r>
        <w:rPr>
          <w:color w:val="231F20"/>
          <w:spacing w:val="-10"/>
        </w:rPr>
        <w:t>et</w:t>
      </w:r>
      <w:r>
        <w:rPr>
          <w:color w:val="231F20"/>
          <w:spacing w:val="-7"/>
        </w:rPr>
        <w:t> </w:t>
      </w:r>
      <w:r>
        <w:rPr>
          <w:color w:val="231F20"/>
          <w:spacing w:val="-10"/>
        </w:rPr>
        <w:t>à</w:t>
      </w:r>
      <w:r>
        <w:rPr>
          <w:color w:val="231F20"/>
          <w:spacing w:val="-6"/>
        </w:rPr>
        <w:t> </w:t>
      </w:r>
      <w:r>
        <w:rPr>
          <w:color w:val="231F20"/>
          <w:spacing w:val="-10"/>
        </w:rPr>
        <w:t>des </w:t>
      </w:r>
      <w:r>
        <w:rPr>
          <w:color w:val="231F20"/>
        </w:rPr>
        <w:t>importations,</w:t>
      </w:r>
      <w:r>
        <w:rPr>
          <w:color w:val="231F20"/>
          <w:spacing w:val="-15"/>
        </w:rPr>
        <w:t> </w:t>
      </w:r>
      <w:r>
        <w:rPr>
          <w:color w:val="231F20"/>
        </w:rPr>
        <w:t>les</w:t>
      </w:r>
      <w:r>
        <w:rPr>
          <w:color w:val="231F20"/>
          <w:spacing w:val="-15"/>
        </w:rPr>
        <w:t> </w:t>
      </w:r>
      <w:r>
        <w:rPr>
          <w:color w:val="231F20"/>
        </w:rPr>
        <w:t>biens</w:t>
      </w:r>
      <w:r>
        <w:rPr>
          <w:color w:val="231F20"/>
          <w:spacing w:val="-15"/>
        </w:rPr>
        <w:t> </w:t>
      </w:r>
      <w:r>
        <w:rPr>
          <w:color w:val="231F20"/>
        </w:rPr>
        <w:t>non</w:t>
      </w:r>
      <w:r>
        <w:rPr>
          <w:color w:val="231F20"/>
          <w:spacing w:val="-15"/>
        </w:rPr>
        <w:t> </w:t>
      </w:r>
      <w:r>
        <w:rPr>
          <w:color w:val="231F20"/>
        </w:rPr>
        <w:t>produits</w:t>
      </w:r>
      <w:r>
        <w:rPr>
          <w:color w:val="231F20"/>
          <w:spacing w:val="-15"/>
        </w:rPr>
        <w:t> </w:t>
      </w:r>
      <w:r>
        <w:rPr>
          <w:color w:val="231F20"/>
        </w:rPr>
        <w:t>ayant </w:t>
      </w:r>
      <w:r>
        <w:rPr>
          <w:color w:val="231F20"/>
          <w:spacing w:val="-10"/>
        </w:rPr>
        <w:t>influé</w:t>
      </w:r>
      <w:r>
        <w:rPr>
          <w:color w:val="231F20"/>
          <w:spacing w:val="-7"/>
        </w:rPr>
        <w:t> </w:t>
      </w:r>
      <w:r>
        <w:rPr>
          <w:color w:val="231F20"/>
          <w:spacing w:val="-10"/>
        </w:rPr>
        <w:t>non</w:t>
      </w:r>
      <w:r>
        <w:rPr>
          <w:color w:val="231F20"/>
          <w:spacing w:val="-6"/>
        </w:rPr>
        <w:t> </w:t>
      </w:r>
      <w:r>
        <w:rPr>
          <w:color w:val="231F20"/>
          <w:spacing w:val="-10"/>
        </w:rPr>
        <w:t>seulement</w:t>
      </w:r>
      <w:r>
        <w:rPr>
          <w:color w:val="231F20"/>
          <w:spacing w:val="-7"/>
        </w:rPr>
        <w:t> </w:t>
      </w:r>
      <w:r>
        <w:rPr>
          <w:color w:val="231F20"/>
          <w:spacing w:val="-10"/>
        </w:rPr>
        <w:t>sur</w:t>
      </w:r>
      <w:r>
        <w:rPr>
          <w:color w:val="231F20"/>
          <w:spacing w:val="-6"/>
        </w:rPr>
        <w:t> </w:t>
      </w:r>
      <w:r>
        <w:rPr>
          <w:color w:val="231F20"/>
          <w:spacing w:val="-10"/>
        </w:rPr>
        <w:t>les</w:t>
      </w:r>
      <w:r>
        <w:rPr>
          <w:color w:val="231F20"/>
          <w:spacing w:val="-7"/>
        </w:rPr>
        <w:t> </w:t>
      </w:r>
      <w:r>
        <w:rPr>
          <w:color w:val="231F20"/>
          <w:spacing w:val="-10"/>
        </w:rPr>
        <w:t>entreprises</w:t>
      </w:r>
      <w:r>
        <w:rPr>
          <w:color w:val="231F20"/>
          <w:spacing w:val="-6"/>
        </w:rPr>
        <w:t> </w:t>
      </w:r>
      <w:r>
        <w:rPr>
          <w:color w:val="231F20"/>
          <w:spacing w:val="-10"/>
        </w:rPr>
        <w:t>elles- </w:t>
      </w:r>
      <w:r>
        <w:rPr>
          <w:color w:val="231F20"/>
          <w:spacing w:val="-6"/>
        </w:rPr>
        <w:t>mêmes, mais sur l’exécution du Programme </w:t>
      </w:r>
      <w:r>
        <w:rPr>
          <w:color w:val="231F20"/>
        </w:rPr>
        <w:t>national de construction de logements, pour</w:t>
      </w:r>
      <w:r>
        <w:rPr>
          <w:color w:val="231F20"/>
          <w:spacing w:val="-17"/>
        </w:rPr>
        <w:t> </w:t>
      </w:r>
      <w:r>
        <w:rPr>
          <w:color w:val="231F20"/>
        </w:rPr>
        <w:t>pénurie</w:t>
      </w:r>
      <w:r>
        <w:rPr>
          <w:color w:val="231F20"/>
          <w:spacing w:val="-16"/>
        </w:rPr>
        <w:t> </w:t>
      </w:r>
      <w:r>
        <w:rPr>
          <w:color w:val="231F20"/>
        </w:rPr>
        <w:t>de</w:t>
      </w:r>
      <w:r>
        <w:rPr>
          <w:color w:val="231F20"/>
          <w:spacing w:val="-17"/>
        </w:rPr>
        <w:t> </w:t>
      </w:r>
      <w:r>
        <w:rPr>
          <w:color w:val="231F20"/>
        </w:rPr>
        <w:t>menuiserie</w:t>
      </w:r>
      <w:r>
        <w:rPr>
          <w:color w:val="231F20"/>
          <w:spacing w:val="-16"/>
        </w:rPr>
        <w:t> </w:t>
      </w:r>
      <w:r>
        <w:rPr>
          <w:color w:val="231F20"/>
        </w:rPr>
        <w:t>métallique,</w:t>
      </w:r>
      <w:r>
        <w:rPr>
          <w:color w:val="231F20"/>
          <w:spacing w:val="-17"/>
        </w:rPr>
        <w:t> </w:t>
      </w:r>
      <w:r>
        <w:rPr>
          <w:color w:val="231F20"/>
        </w:rPr>
        <w:t>de robinetterie, de couvertures métalliques </w:t>
      </w:r>
      <w:r>
        <w:rPr>
          <w:color w:val="231F20"/>
          <w:spacing w:val="-4"/>
        </w:rPr>
        <w:t>légères,</w:t>
      </w:r>
      <w:r>
        <w:rPr>
          <w:color w:val="231F20"/>
          <w:spacing w:val="-7"/>
        </w:rPr>
        <w:t> </w:t>
      </w:r>
      <w:r>
        <w:rPr>
          <w:color w:val="231F20"/>
          <w:spacing w:val="-4"/>
        </w:rPr>
        <w:t>de</w:t>
      </w:r>
      <w:r>
        <w:rPr>
          <w:color w:val="231F20"/>
          <w:spacing w:val="-7"/>
        </w:rPr>
        <w:t> </w:t>
      </w:r>
      <w:r>
        <w:rPr>
          <w:color w:val="231F20"/>
          <w:spacing w:val="-4"/>
        </w:rPr>
        <w:t>poutres,</w:t>
      </w:r>
      <w:r>
        <w:rPr>
          <w:color w:val="231F20"/>
          <w:spacing w:val="-7"/>
        </w:rPr>
        <w:t> </w:t>
      </w:r>
      <w:r>
        <w:rPr>
          <w:color w:val="231F20"/>
          <w:spacing w:val="-4"/>
        </w:rPr>
        <w:t>entre</w:t>
      </w:r>
      <w:r>
        <w:rPr>
          <w:color w:val="231F20"/>
          <w:spacing w:val="-7"/>
        </w:rPr>
        <w:t> </w:t>
      </w:r>
      <w:r>
        <w:rPr>
          <w:color w:val="231F20"/>
          <w:spacing w:val="-4"/>
        </w:rPr>
        <w:t>autres</w:t>
      </w:r>
      <w:r>
        <w:rPr>
          <w:color w:val="231F20"/>
          <w:spacing w:val="-7"/>
        </w:rPr>
        <w:t> </w:t>
      </w:r>
      <w:r>
        <w:rPr>
          <w:color w:val="231F20"/>
          <w:spacing w:val="-4"/>
        </w:rPr>
        <w:t>matériaux.</w:t>
      </w:r>
    </w:p>
    <w:p>
      <w:pPr>
        <w:spacing w:before="165"/>
        <w:ind w:left="1474" w:right="0" w:firstLine="0"/>
        <w:jc w:val="both"/>
        <w:rPr>
          <w:rFonts w:ascii="Segoe UI Semibold" w:hAnsi="Segoe UI Semibold"/>
          <w:b/>
          <w:i/>
          <w:sz w:val="24"/>
        </w:rPr>
      </w:pPr>
      <w:r>
        <w:rPr>
          <w:rFonts w:ascii="Segoe UI Semibold" w:hAnsi="Segoe UI Semibold"/>
          <w:b/>
          <w:i/>
          <w:color w:val="231F20"/>
          <w:sz w:val="24"/>
        </w:rPr>
        <w:t>Dans </w:t>
      </w:r>
      <w:r>
        <w:rPr>
          <w:b/>
          <w:i/>
          <w:color w:val="B52628"/>
          <w:sz w:val="24"/>
        </w:rPr>
        <w:t>le transport</w:t>
      </w:r>
      <w:r>
        <w:rPr>
          <w:rFonts w:ascii="Segoe UI Semibold" w:hAnsi="Segoe UI Semibold"/>
          <w:b/>
          <w:i/>
          <w:color w:val="231F20"/>
          <w:sz w:val="24"/>
        </w:rPr>
        <w:t>, les préjudices se sont</w:t>
      </w:r>
      <w:r>
        <w:rPr>
          <w:rFonts w:ascii="Segoe UI Semibold" w:hAnsi="Segoe UI Semibold"/>
          <w:b/>
          <w:i/>
          <w:color w:val="231F20"/>
          <w:sz w:val="24"/>
        </w:rPr>
        <w:t> montés à </w:t>
      </w:r>
      <w:r>
        <w:rPr>
          <w:b/>
          <w:i/>
          <w:color w:val="231F20"/>
          <w:sz w:val="24"/>
        </w:rPr>
        <w:t>202 420 140 dollars</w:t>
      </w:r>
      <w:r>
        <w:rPr>
          <w:rFonts w:ascii="Segoe UI Semibold" w:hAnsi="Segoe UI Semibold"/>
          <w:b/>
          <w:i/>
          <w:color w:val="231F20"/>
          <w:sz w:val="24"/>
        </w:rPr>
        <w:t>.</w:t>
      </w:r>
    </w:p>
    <w:p>
      <w:pPr>
        <w:pStyle w:val="BodyText"/>
        <w:spacing w:before="160"/>
        <w:ind w:left="1474"/>
      </w:pPr>
      <w:r>
        <w:rPr>
          <w:color w:val="231F20"/>
        </w:rPr>
        <w:t>Cuba a dû faire face, ces trois dernières années, à une dégradation progressive</w:t>
      </w:r>
      <w:r>
        <w:rPr>
          <w:color w:val="231F20"/>
          <w:spacing w:val="40"/>
        </w:rPr>
        <w:t> </w:t>
      </w:r>
      <w:r>
        <w:rPr>
          <w:color w:val="231F20"/>
        </w:rPr>
        <w:t>de toutes ses capacités de transport de </w:t>
      </w:r>
      <w:r>
        <w:rPr>
          <w:color w:val="231F20"/>
          <w:spacing w:val="-2"/>
        </w:rPr>
        <w:t>passagers</w:t>
      </w:r>
      <w:r>
        <w:rPr>
          <w:color w:val="231F20"/>
          <w:spacing w:val="-12"/>
        </w:rPr>
        <w:t> </w:t>
      </w:r>
      <w:r>
        <w:rPr>
          <w:color w:val="231F20"/>
          <w:spacing w:val="-2"/>
        </w:rPr>
        <w:t>et</w:t>
      </w:r>
      <w:r>
        <w:rPr>
          <w:color w:val="231F20"/>
          <w:spacing w:val="-12"/>
        </w:rPr>
        <w:t> </w:t>
      </w:r>
      <w:r>
        <w:rPr>
          <w:color w:val="231F20"/>
          <w:spacing w:val="-2"/>
        </w:rPr>
        <w:t>de</w:t>
      </w:r>
      <w:r>
        <w:rPr>
          <w:color w:val="231F20"/>
          <w:spacing w:val="-12"/>
        </w:rPr>
        <w:t> </w:t>
      </w:r>
      <w:r>
        <w:rPr>
          <w:color w:val="231F20"/>
          <w:spacing w:val="-2"/>
        </w:rPr>
        <w:t>ses</w:t>
      </w:r>
      <w:r>
        <w:rPr>
          <w:color w:val="231F20"/>
          <w:spacing w:val="-12"/>
        </w:rPr>
        <w:t> </w:t>
      </w:r>
      <w:r>
        <w:rPr>
          <w:color w:val="231F20"/>
          <w:spacing w:val="-2"/>
        </w:rPr>
        <w:t>infrastructures,</w:t>
      </w:r>
      <w:r>
        <w:rPr>
          <w:color w:val="231F20"/>
          <w:spacing w:val="-12"/>
        </w:rPr>
        <w:t> </w:t>
      </w:r>
      <w:r>
        <w:rPr>
          <w:color w:val="231F20"/>
          <w:spacing w:val="-2"/>
        </w:rPr>
        <w:t>à</w:t>
      </w:r>
      <w:r>
        <w:rPr>
          <w:color w:val="231F20"/>
          <w:spacing w:val="-12"/>
        </w:rPr>
        <w:t> </w:t>
      </w:r>
      <w:r>
        <w:rPr>
          <w:color w:val="231F20"/>
          <w:spacing w:val="-2"/>
        </w:rPr>
        <w:t>cause </w:t>
      </w:r>
      <w:r>
        <w:rPr>
          <w:color w:val="231F20"/>
        </w:rPr>
        <w:t>de</w:t>
      </w:r>
      <w:r>
        <w:rPr>
          <w:color w:val="231F20"/>
          <w:spacing w:val="-15"/>
        </w:rPr>
        <w:t> </w:t>
      </w:r>
      <w:r>
        <w:rPr>
          <w:color w:val="231F20"/>
        </w:rPr>
        <w:t>la</w:t>
      </w:r>
      <w:r>
        <w:rPr>
          <w:color w:val="231F20"/>
          <w:spacing w:val="-15"/>
        </w:rPr>
        <w:t> </w:t>
      </w:r>
      <w:r>
        <w:rPr>
          <w:color w:val="231F20"/>
        </w:rPr>
        <w:t>diminution</w:t>
      </w:r>
      <w:r>
        <w:rPr>
          <w:color w:val="231F20"/>
          <w:spacing w:val="-15"/>
        </w:rPr>
        <w:t> </w:t>
      </w:r>
      <w:r>
        <w:rPr>
          <w:color w:val="231F20"/>
        </w:rPr>
        <w:t>des</w:t>
      </w:r>
      <w:r>
        <w:rPr>
          <w:color w:val="231F20"/>
          <w:spacing w:val="-15"/>
        </w:rPr>
        <w:t> </w:t>
      </w:r>
      <w:r>
        <w:rPr>
          <w:color w:val="231F20"/>
        </w:rPr>
        <w:t>véhicules</w:t>
      </w:r>
      <w:r>
        <w:rPr>
          <w:color w:val="231F20"/>
          <w:spacing w:val="-15"/>
        </w:rPr>
        <w:t> </w:t>
      </w:r>
      <w:r>
        <w:rPr>
          <w:color w:val="231F20"/>
        </w:rPr>
        <w:t>en</w:t>
      </w:r>
      <w:r>
        <w:rPr>
          <w:color w:val="231F20"/>
          <w:spacing w:val="-15"/>
        </w:rPr>
        <w:t> </w:t>
      </w:r>
      <w:r>
        <w:rPr>
          <w:color w:val="231F20"/>
        </w:rPr>
        <w:t>bon</w:t>
      </w:r>
      <w:r>
        <w:rPr>
          <w:color w:val="231F20"/>
          <w:spacing w:val="-15"/>
        </w:rPr>
        <w:t> </w:t>
      </w:r>
      <w:r>
        <w:rPr>
          <w:color w:val="231F20"/>
        </w:rPr>
        <w:t>état </w:t>
      </w:r>
      <w:r>
        <w:rPr>
          <w:color w:val="231F20"/>
          <w:spacing w:val="-6"/>
        </w:rPr>
        <w:t>technique, de l’impossibilité d’accéder à des </w:t>
      </w:r>
      <w:r>
        <w:rPr>
          <w:color w:val="231F20"/>
          <w:spacing w:val="-4"/>
        </w:rPr>
        <w:t>pièces</w:t>
      </w:r>
      <w:r>
        <w:rPr>
          <w:color w:val="231F20"/>
          <w:spacing w:val="-12"/>
        </w:rPr>
        <w:t> </w:t>
      </w:r>
      <w:r>
        <w:rPr>
          <w:color w:val="231F20"/>
          <w:spacing w:val="-4"/>
        </w:rPr>
        <w:t>détachées</w:t>
      </w:r>
      <w:r>
        <w:rPr>
          <w:color w:val="231F20"/>
          <w:spacing w:val="-12"/>
        </w:rPr>
        <w:t> </w:t>
      </w:r>
      <w:r>
        <w:rPr>
          <w:color w:val="231F20"/>
          <w:spacing w:val="-4"/>
        </w:rPr>
        <w:t>aussi</w:t>
      </w:r>
      <w:r>
        <w:rPr>
          <w:color w:val="231F20"/>
          <w:spacing w:val="-12"/>
        </w:rPr>
        <w:t> </w:t>
      </w:r>
      <w:r>
        <w:rPr>
          <w:color w:val="231F20"/>
          <w:spacing w:val="-4"/>
        </w:rPr>
        <w:t>bien</w:t>
      </w:r>
      <w:r>
        <w:rPr>
          <w:color w:val="231F20"/>
          <w:spacing w:val="-12"/>
        </w:rPr>
        <w:t> </w:t>
      </w:r>
      <w:r>
        <w:rPr>
          <w:color w:val="231F20"/>
          <w:spacing w:val="-4"/>
        </w:rPr>
        <w:t>par</w:t>
      </w:r>
      <w:r>
        <w:rPr>
          <w:color w:val="231F20"/>
          <w:spacing w:val="-12"/>
        </w:rPr>
        <w:t> </w:t>
      </w:r>
      <w:r>
        <w:rPr>
          <w:color w:val="231F20"/>
          <w:spacing w:val="-4"/>
        </w:rPr>
        <w:t>manque</w:t>
      </w:r>
      <w:r>
        <w:rPr>
          <w:color w:val="231F20"/>
          <w:spacing w:val="-12"/>
        </w:rPr>
        <w:t> </w:t>
      </w:r>
      <w:r>
        <w:rPr>
          <w:color w:val="231F20"/>
          <w:spacing w:val="-4"/>
        </w:rPr>
        <w:t>de </w:t>
      </w:r>
      <w:r>
        <w:rPr>
          <w:color w:val="231F20"/>
        </w:rPr>
        <w:t>liquidités que pour refus de fournisseurs, et à cause des mesures adoptés depuis </w:t>
      </w:r>
      <w:r>
        <w:rPr>
          <w:color w:val="231F20"/>
          <w:spacing w:val="-4"/>
        </w:rPr>
        <w:t>2019</w:t>
      </w:r>
      <w:r>
        <w:rPr>
          <w:color w:val="231F20"/>
          <w:spacing w:val="-5"/>
        </w:rPr>
        <w:t> </w:t>
      </w:r>
      <w:r>
        <w:rPr>
          <w:color w:val="231F20"/>
          <w:spacing w:val="-4"/>
        </w:rPr>
        <w:t>par</w:t>
      </w:r>
      <w:r>
        <w:rPr>
          <w:color w:val="231F20"/>
          <w:spacing w:val="-5"/>
        </w:rPr>
        <w:t> </w:t>
      </w:r>
      <w:r>
        <w:rPr>
          <w:color w:val="231F20"/>
          <w:spacing w:val="-4"/>
        </w:rPr>
        <w:t>l’administration</w:t>
      </w:r>
      <w:r>
        <w:rPr>
          <w:color w:val="231F20"/>
          <w:spacing w:val="-5"/>
        </w:rPr>
        <w:t> </w:t>
      </w:r>
      <w:r>
        <w:rPr>
          <w:color w:val="231F20"/>
          <w:spacing w:val="-4"/>
        </w:rPr>
        <w:t>étasunienne</w:t>
      </w:r>
      <w:r>
        <w:rPr>
          <w:color w:val="231F20"/>
          <w:spacing w:val="-5"/>
        </w:rPr>
        <w:t> </w:t>
      </w:r>
      <w:r>
        <w:rPr>
          <w:color w:val="231F20"/>
          <w:spacing w:val="-4"/>
        </w:rPr>
        <w:t>pour </w:t>
      </w:r>
      <w:r>
        <w:rPr>
          <w:color w:val="231F20"/>
        </w:rPr>
        <w:t>empêcher l’arrivée de carburants à Cuba, ce qui a eu un effet dévastateur dans ce secteur, entraînant une forte diminution des services offerts à la population.</w:t>
      </w:r>
    </w:p>
    <w:p>
      <w:pPr>
        <w:pStyle w:val="BodyText"/>
        <w:spacing w:before="171"/>
        <w:ind w:left="1474" w:right="1"/>
      </w:pPr>
      <w:r>
        <w:rPr>
          <w:color w:val="231F20"/>
        </w:rPr>
        <w:t>Le transport en commun public exige tous</w:t>
      </w:r>
      <w:r>
        <w:rPr>
          <w:color w:val="231F20"/>
          <w:spacing w:val="-1"/>
        </w:rPr>
        <w:t> </w:t>
      </w:r>
      <w:r>
        <w:rPr>
          <w:color w:val="231F20"/>
        </w:rPr>
        <w:t>les</w:t>
      </w:r>
      <w:r>
        <w:rPr>
          <w:color w:val="231F20"/>
          <w:spacing w:val="-1"/>
        </w:rPr>
        <w:t> </w:t>
      </w:r>
      <w:r>
        <w:rPr>
          <w:color w:val="231F20"/>
        </w:rPr>
        <w:t>ans</w:t>
      </w:r>
      <w:r>
        <w:rPr>
          <w:color w:val="231F20"/>
          <w:spacing w:val="-1"/>
        </w:rPr>
        <w:t> </w:t>
      </w:r>
      <w:r>
        <w:rPr>
          <w:color w:val="231F20"/>
        </w:rPr>
        <w:t>plus</w:t>
      </w:r>
      <w:r>
        <w:rPr>
          <w:color w:val="231F20"/>
          <w:spacing w:val="-1"/>
        </w:rPr>
        <w:t> </w:t>
      </w:r>
      <w:r>
        <w:rPr>
          <w:color w:val="231F20"/>
        </w:rPr>
        <w:t>de</w:t>
      </w:r>
      <w:r>
        <w:rPr>
          <w:color w:val="231F20"/>
          <w:spacing w:val="-1"/>
        </w:rPr>
        <w:t> </w:t>
      </w:r>
      <w:r>
        <w:rPr>
          <w:color w:val="231F20"/>
        </w:rPr>
        <w:t>40</w:t>
      </w:r>
      <w:r>
        <w:rPr>
          <w:color w:val="231F20"/>
          <w:spacing w:val="-1"/>
        </w:rPr>
        <w:t> </w:t>
      </w:r>
      <w:r>
        <w:rPr>
          <w:color w:val="231F20"/>
        </w:rPr>
        <w:t>millions</w:t>
      </w:r>
      <w:r>
        <w:rPr>
          <w:color w:val="231F20"/>
          <w:spacing w:val="-1"/>
        </w:rPr>
        <w:t> </w:t>
      </w:r>
      <w:r>
        <w:rPr>
          <w:color w:val="231F20"/>
        </w:rPr>
        <w:t>de</w:t>
      </w:r>
      <w:r>
        <w:rPr>
          <w:color w:val="231F20"/>
          <w:spacing w:val="-1"/>
        </w:rPr>
        <w:t> </w:t>
      </w:r>
      <w:r>
        <w:rPr>
          <w:color w:val="231F20"/>
        </w:rPr>
        <w:t>dollars rien qu’en maintenance, sans parler des </w:t>
      </w:r>
      <w:r>
        <w:rPr>
          <w:color w:val="231F20"/>
          <w:spacing w:val="-6"/>
        </w:rPr>
        <w:t>investissements</w:t>
      </w:r>
      <w:r>
        <w:rPr>
          <w:color w:val="231F20"/>
          <w:spacing w:val="-11"/>
        </w:rPr>
        <w:t> </w:t>
      </w:r>
      <w:r>
        <w:rPr>
          <w:color w:val="231F20"/>
          <w:spacing w:val="-6"/>
        </w:rPr>
        <w:t>nécessaires</w:t>
      </w:r>
      <w:r>
        <w:rPr>
          <w:color w:val="231F20"/>
          <w:spacing w:val="-10"/>
        </w:rPr>
        <w:t> </w:t>
      </w:r>
      <w:r>
        <w:rPr>
          <w:color w:val="231F20"/>
          <w:spacing w:val="-6"/>
        </w:rPr>
        <w:t>dans</w:t>
      </w:r>
      <w:r>
        <w:rPr>
          <w:color w:val="231F20"/>
          <w:spacing w:val="-11"/>
        </w:rPr>
        <w:t> </w:t>
      </w:r>
      <w:r>
        <w:rPr>
          <w:color w:val="231F20"/>
          <w:spacing w:val="-6"/>
        </w:rPr>
        <w:t>ce</w:t>
      </w:r>
      <w:r>
        <w:rPr>
          <w:color w:val="231F20"/>
          <w:spacing w:val="-10"/>
        </w:rPr>
        <w:t> </w:t>
      </w:r>
      <w:r>
        <w:rPr>
          <w:color w:val="231F20"/>
          <w:spacing w:val="-6"/>
        </w:rPr>
        <w:t>secteur, </w:t>
      </w:r>
      <w:r>
        <w:rPr>
          <w:color w:val="231F20"/>
        </w:rPr>
        <w:t>mais l’interdiction à l’arrivée des navires de</w:t>
      </w:r>
      <w:r>
        <w:rPr>
          <w:color w:val="231F20"/>
          <w:spacing w:val="-10"/>
        </w:rPr>
        <w:t> </w:t>
      </w:r>
      <w:r>
        <w:rPr>
          <w:color w:val="231F20"/>
        </w:rPr>
        <w:t>croisière</w:t>
      </w:r>
      <w:r>
        <w:rPr>
          <w:color w:val="231F20"/>
          <w:spacing w:val="-10"/>
        </w:rPr>
        <w:t> </w:t>
      </w:r>
      <w:r>
        <w:rPr>
          <w:color w:val="231F20"/>
        </w:rPr>
        <w:t>a</w:t>
      </w:r>
      <w:r>
        <w:rPr>
          <w:color w:val="231F20"/>
          <w:spacing w:val="-10"/>
        </w:rPr>
        <w:t> </w:t>
      </w:r>
      <w:r>
        <w:rPr>
          <w:color w:val="231F20"/>
        </w:rPr>
        <w:t>supprimé</w:t>
      </w:r>
      <w:r>
        <w:rPr>
          <w:color w:val="231F20"/>
          <w:spacing w:val="-10"/>
        </w:rPr>
        <w:t> </w:t>
      </w:r>
      <w:r>
        <w:rPr>
          <w:color w:val="231F20"/>
        </w:rPr>
        <w:t>un</w:t>
      </w:r>
      <w:r>
        <w:rPr>
          <w:color w:val="231F20"/>
          <w:spacing w:val="-10"/>
        </w:rPr>
        <w:t> </w:t>
      </w:r>
      <w:r>
        <w:rPr>
          <w:color w:val="231F20"/>
        </w:rPr>
        <w:t>des</w:t>
      </w:r>
      <w:r>
        <w:rPr>
          <w:color w:val="231F20"/>
          <w:spacing w:val="-11"/>
        </w:rPr>
        <w:t> </w:t>
      </w:r>
      <w:r>
        <w:rPr>
          <w:color w:val="231F20"/>
        </w:rPr>
        <w:t>principales </w:t>
      </w:r>
      <w:r>
        <w:rPr>
          <w:color w:val="231F20"/>
          <w:spacing w:val="-10"/>
        </w:rPr>
        <w:t>sources</w:t>
      </w:r>
      <w:r>
        <w:rPr>
          <w:color w:val="231F20"/>
          <w:spacing w:val="-7"/>
        </w:rPr>
        <w:t> </w:t>
      </w:r>
      <w:r>
        <w:rPr>
          <w:color w:val="231F20"/>
          <w:spacing w:val="-10"/>
        </w:rPr>
        <w:t>de</w:t>
      </w:r>
      <w:r>
        <w:rPr>
          <w:color w:val="231F20"/>
          <w:spacing w:val="-3"/>
        </w:rPr>
        <w:t> </w:t>
      </w:r>
      <w:r>
        <w:rPr>
          <w:color w:val="231F20"/>
          <w:spacing w:val="-10"/>
        </w:rPr>
        <w:t>revenus</w:t>
      </w:r>
      <w:r>
        <w:rPr>
          <w:color w:val="231F20"/>
          <w:spacing w:val="-7"/>
        </w:rPr>
        <w:t> </w:t>
      </w:r>
      <w:r>
        <w:rPr>
          <w:color w:val="231F20"/>
          <w:spacing w:val="-10"/>
        </w:rPr>
        <w:t>destinées</w:t>
      </w:r>
      <w:r>
        <w:rPr>
          <w:color w:val="231F20"/>
          <w:spacing w:val="-6"/>
        </w:rPr>
        <w:t> </w:t>
      </w:r>
      <w:r>
        <w:rPr>
          <w:color w:val="231F20"/>
          <w:spacing w:val="-10"/>
        </w:rPr>
        <w:t>au</w:t>
      </w:r>
      <w:r>
        <w:rPr>
          <w:color w:val="231F20"/>
          <w:spacing w:val="-4"/>
        </w:rPr>
        <w:t> </w:t>
      </w:r>
      <w:r>
        <w:rPr>
          <w:color w:val="231F20"/>
          <w:spacing w:val="-10"/>
        </w:rPr>
        <w:t>financement </w:t>
      </w:r>
      <w:r>
        <w:rPr>
          <w:color w:val="231F20"/>
        </w:rPr>
        <w:t>de</w:t>
      </w:r>
      <w:r>
        <w:rPr>
          <w:color w:val="231F20"/>
          <w:spacing w:val="-6"/>
        </w:rPr>
        <w:t> </w:t>
      </w:r>
      <w:r>
        <w:rPr>
          <w:color w:val="231F20"/>
        </w:rPr>
        <w:t>l’infrastructure</w:t>
      </w:r>
      <w:r>
        <w:rPr>
          <w:color w:val="231F20"/>
          <w:spacing w:val="-6"/>
        </w:rPr>
        <w:t> </w:t>
      </w:r>
      <w:r>
        <w:rPr>
          <w:color w:val="231F20"/>
        </w:rPr>
        <w:t>des</w:t>
      </w:r>
      <w:r>
        <w:rPr>
          <w:color w:val="231F20"/>
          <w:spacing w:val="-6"/>
        </w:rPr>
        <w:t> </w:t>
      </w:r>
      <w:r>
        <w:rPr>
          <w:color w:val="231F20"/>
        </w:rPr>
        <w:t>transports.</w:t>
      </w:r>
    </w:p>
    <w:p>
      <w:pPr>
        <w:pStyle w:val="BodyText"/>
        <w:spacing w:before="167"/>
        <w:ind w:left="1474"/>
      </w:pPr>
      <w:r>
        <w:rPr>
          <w:color w:val="231F20"/>
        </w:rPr>
        <w:t>Un</w:t>
      </w:r>
      <w:r>
        <w:rPr>
          <w:color w:val="231F20"/>
          <w:spacing w:val="-2"/>
        </w:rPr>
        <w:t> </w:t>
      </w:r>
      <w:r>
        <w:rPr>
          <w:color w:val="231F20"/>
        </w:rPr>
        <w:t>bus</w:t>
      </w:r>
      <w:r>
        <w:rPr>
          <w:color w:val="231F20"/>
          <w:spacing w:val="-2"/>
        </w:rPr>
        <w:t> </w:t>
      </w:r>
      <w:r>
        <w:rPr>
          <w:color w:val="231F20"/>
        </w:rPr>
        <w:t>pour</w:t>
      </w:r>
      <w:r>
        <w:rPr>
          <w:color w:val="231F20"/>
          <w:spacing w:val="-2"/>
        </w:rPr>
        <w:t> </w:t>
      </w:r>
      <w:r>
        <w:rPr>
          <w:color w:val="231F20"/>
        </w:rPr>
        <w:t>la</w:t>
      </w:r>
      <w:r>
        <w:rPr>
          <w:color w:val="231F20"/>
          <w:spacing w:val="-2"/>
        </w:rPr>
        <w:t> </w:t>
      </w:r>
      <w:r>
        <w:rPr>
          <w:color w:val="231F20"/>
        </w:rPr>
        <w:t>capitale</w:t>
      </w:r>
      <w:r>
        <w:rPr>
          <w:color w:val="231F20"/>
          <w:spacing w:val="-2"/>
        </w:rPr>
        <w:t> </w:t>
      </w:r>
      <w:r>
        <w:rPr>
          <w:color w:val="231F20"/>
        </w:rPr>
        <w:t>coûte</w:t>
      </w:r>
      <w:r>
        <w:rPr>
          <w:color w:val="231F20"/>
          <w:spacing w:val="-2"/>
        </w:rPr>
        <w:t> </w:t>
      </w:r>
      <w:r>
        <w:rPr>
          <w:color w:val="231F20"/>
        </w:rPr>
        <w:t>plus</w:t>
      </w:r>
      <w:r>
        <w:rPr>
          <w:color w:val="231F20"/>
          <w:spacing w:val="-2"/>
        </w:rPr>
        <w:t> </w:t>
      </w:r>
      <w:r>
        <w:rPr>
          <w:color w:val="231F20"/>
        </w:rPr>
        <w:t>de</w:t>
      </w:r>
      <w:r>
        <w:rPr>
          <w:color w:val="231F20"/>
          <w:spacing w:val="-2"/>
        </w:rPr>
        <w:t> </w:t>
      </w:r>
      <w:r>
        <w:rPr>
          <w:color w:val="231F20"/>
        </w:rPr>
        <w:t>200 000 dollars ; une locomotive, près de 2 </w:t>
      </w:r>
      <w:r>
        <w:rPr>
          <w:color w:val="231F20"/>
          <w:spacing w:val="-4"/>
        </w:rPr>
        <w:t>millions</w:t>
      </w:r>
      <w:r>
        <w:rPr>
          <w:color w:val="231F20"/>
          <w:spacing w:val="-10"/>
        </w:rPr>
        <w:t> </w:t>
      </w:r>
      <w:r>
        <w:rPr>
          <w:color w:val="231F20"/>
          <w:spacing w:val="-4"/>
        </w:rPr>
        <w:t>;</w:t>
      </w:r>
      <w:r>
        <w:rPr>
          <w:color w:val="231F20"/>
          <w:spacing w:val="-10"/>
        </w:rPr>
        <w:t> </w:t>
      </w:r>
      <w:r>
        <w:rPr>
          <w:color w:val="231F20"/>
          <w:spacing w:val="-4"/>
        </w:rPr>
        <w:t>un</w:t>
      </w:r>
      <w:r>
        <w:rPr>
          <w:color w:val="231F20"/>
          <w:spacing w:val="-10"/>
        </w:rPr>
        <w:t> </w:t>
      </w:r>
      <w:r>
        <w:rPr>
          <w:color w:val="231F20"/>
          <w:spacing w:val="-4"/>
        </w:rPr>
        <w:t>petit</w:t>
      </w:r>
      <w:r>
        <w:rPr>
          <w:color w:val="231F20"/>
          <w:spacing w:val="-10"/>
        </w:rPr>
        <w:t> </w:t>
      </w:r>
      <w:r>
        <w:rPr>
          <w:color w:val="231F20"/>
          <w:spacing w:val="-4"/>
        </w:rPr>
        <w:t>avion,</w:t>
      </w:r>
      <w:r>
        <w:rPr>
          <w:color w:val="231F20"/>
          <w:spacing w:val="-10"/>
        </w:rPr>
        <w:t> </w:t>
      </w:r>
      <w:r>
        <w:rPr>
          <w:color w:val="231F20"/>
          <w:spacing w:val="-4"/>
        </w:rPr>
        <w:t>plus</w:t>
      </w:r>
      <w:r>
        <w:rPr>
          <w:color w:val="231F20"/>
          <w:spacing w:val="-10"/>
        </w:rPr>
        <w:t> </w:t>
      </w:r>
      <w:r>
        <w:rPr>
          <w:color w:val="231F20"/>
          <w:spacing w:val="-4"/>
        </w:rPr>
        <w:t>de</w:t>
      </w:r>
      <w:r>
        <w:rPr>
          <w:color w:val="231F20"/>
          <w:spacing w:val="-10"/>
        </w:rPr>
        <w:t> </w:t>
      </w:r>
      <w:r>
        <w:rPr>
          <w:color w:val="231F20"/>
          <w:spacing w:val="-4"/>
        </w:rPr>
        <w:t>30</w:t>
      </w:r>
      <w:r>
        <w:rPr>
          <w:color w:val="231F20"/>
          <w:spacing w:val="-10"/>
        </w:rPr>
        <w:t> </w:t>
      </w:r>
      <w:r>
        <w:rPr>
          <w:color w:val="231F20"/>
          <w:spacing w:val="-4"/>
        </w:rPr>
        <w:t>millions, </w:t>
      </w:r>
      <w:r>
        <w:rPr>
          <w:color w:val="231F20"/>
          <w:spacing w:val="-6"/>
        </w:rPr>
        <w:t>et</w:t>
      </w:r>
      <w:r>
        <w:rPr>
          <w:color w:val="231F20"/>
          <w:spacing w:val="-9"/>
        </w:rPr>
        <w:t> </w:t>
      </w:r>
      <w:r>
        <w:rPr>
          <w:color w:val="231F20"/>
          <w:spacing w:val="-6"/>
        </w:rPr>
        <w:t>un</w:t>
      </w:r>
      <w:r>
        <w:rPr>
          <w:color w:val="231F20"/>
          <w:spacing w:val="-9"/>
        </w:rPr>
        <w:t> </w:t>
      </w:r>
      <w:r>
        <w:rPr>
          <w:color w:val="231F20"/>
          <w:spacing w:val="-6"/>
        </w:rPr>
        <w:t>ferry,</w:t>
      </w:r>
      <w:r>
        <w:rPr>
          <w:color w:val="231F20"/>
          <w:spacing w:val="-9"/>
        </w:rPr>
        <w:t> </w:t>
      </w:r>
      <w:r>
        <w:rPr>
          <w:color w:val="231F20"/>
          <w:spacing w:val="-6"/>
        </w:rPr>
        <w:t>plus</w:t>
      </w:r>
      <w:r>
        <w:rPr>
          <w:color w:val="231F20"/>
          <w:spacing w:val="-9"/>
        </w:rPr>
        <w:t> </w:t>
      </w:r>
      <w:r>
        <w:rPr>
          <w:color w:val="231F20"/>
          <w:spacing w:val="-6"/>
        </w:rPr>
        <w:t>de</w:t>
      </w:r>
      <w:r>
        <w:rPr>
          <w:color w:val="231F20"/>
          <w:spacing w:val="-9"/>
        </w:rPr>
        <w:t> </w:t>
      </w:r>
      <w:r>
        <w:rPr>
          <w:color w:val="231F20"/>
          <w:spacing w:val="-6"/>
        </w:rPr>
        <w:t>10</w:t>
      </w:r>
      <w:r>
        <w:rPr>
          <w:color w:val="231F20"/>
          <w:spacing w:val="-9"/>
        </w:rPr>
        <w:t> </w:t>
      </w:r>
      <w:r>
        <w:rPr>
          <w:color w:val="231F20"/>
          <w:spacing w:val="-6"/>
        </w:rPr>
        <w:t>millions.</w:t>
      </w:r>
      <w:r>
        <w:rPr>
          <w:color w:val="231F20"/>
          <w:spacing w:val="-9"/>
        </w:rPr>
        <w:t> </w:t>
      </w:r>
      <w:r>
        <w:rPr>
          <w:color w:val="231F20"/>
          <w:spacing w:val="-6"/>
        </w:rPr>
        <w:t>Une</w:t>
      </w:r>
      <w:r>
        <w:rPr>
          <w:color w:val="231F20"/>
          <w:spacing w:val="-9"/>
        </w:rPr>
        <w:t> </w:t>
      </w:r>
      <w:r>
        <w:rPr>
          <w:color w:val="231F20"/>
          <w:spacing w:val="-6"/>
        </w:rPr>
        <w:t>semaine </w:t>
      </w:r>
      <w:r>
        <w:rPr>
          <w:color w:val="231F20"/>
        </w:rPr>
        <w:t>sans</w:t>
      </w:r>
      <w:r>
        <w:rPr>
          <w:color w:val="231F20"/>
          <w:spacing w:val="-17"/>
        </w:rPr>
        <w:t> </w:t>
      </w:r>
      <w:r>
        <w:rPr>
          <w:color w:val="231F20"/>
        </w:rPr>
        <w:t>blocus</w:t>
      </w:r>
      <w:r>
        <w:rPr>
          <w:color w:val="231F20"/>
          <w:spacing w:val="-16"/>
        </w:rPr>
        <w:t> </w:t>
      </w:r>
      <w:r>
        <w:rPr>
          <w:color w:val="231F20"/>
        </w:rPr>
        <w:t>permettrait</w:t>
      </w:r>
      <w:r>
        <w:rPr>
          <w:color w:val="231F20"/>
          <w:spacing w:val="-17"/>
        </w:rPr>
        <w:t> </w:t>
      </w:r>
      <w:r>
        <w:rPr>
          <w:color w:val="231F20"/>
        </w:rPr>
        <w:t>d’acheter</w:t>
      </w:r>
      <w:r>
        <w:rPr>
          <w:color w:val="231F20"/>
          <w:spacing w:val="-16"/>
        </w:rPr>
        <w:t> </w:t>
      </w:r>
      <w:r>
        <w:rPr>
          <w:color w:val="231F20"/>
        </w:rPr>
        <w:t>206</w:t>
      </w:r>
      <w:r>
        <w:rPr>
          <w:color w:val="231F20"/>
          <w:spacing w:val="-17"/>
        </w:rPr>
        <w:t> </w:t>
      </w:r>
      <w:r>
        <w:rPr>
          <w:color w:val="231F20"/>
        </w:rPr>
        <w:t>bus, 6 locomotives, 1 avion et 1 ferry.</w:t>
      </w:r>
    </w:p>
    <w:p>
      <w:pPr>
        <w:pStyle w:val="BodyText"/>
        <w:spacing w:before="164"/>
        <w:ind w:left="1474" w:right="1"/>
      </w:pPr>
      <w:r>
        <w:rPr>
          <w:color w:val="231F20"/>
        </w:rPr>
        <w:t>Le transport en commun dans la capitale exige normalement plus de 80 000 litres de</w:t>
      </w:r>
      <w:r>
        <w:rPr>
          <w:color w:val="231F20"/>
          <w:spacing w:val="-11"/>
        </w:rPr>
        <w:t> </w:t>
      </w:r>
      <w:r>
        <w:rPr>
          <w:color w:val="231F20"/>
        </w:rPr>
        <w:t>diesel</w:t>
      </w:r>
      <w:r>
        <w:rPr>
          <w:color w:val="231F20"/>
          <w:spacing w:val="-11"/>
        </w:rPr>
        <w:t> </w:t>
      </w:r>
      <w:r>
        <w:rPr>
          <w:color w:val="231F20"/>
        </w:rPr>
        <w:t>par</w:t>
      </w:r>
      <w:r>
        <w:rPr>
          <w:color w:val="231F20"/>
          <w:spacing w:val="-10"/>
        </w:rPr>
        <w:t> </w:t>
      </w:r>
      <w:r>
        <w:rPr>
          <w:color w:val="231F20"/>
        </w:rPr>
        <w:t>jour,</w:t>
      </w:r>
      <w:r>
        <w:rPr>
          <w:color w:val="231F20"/>
          <w:spacing w:val="-11"/>
        </w:rPr>
        <w:t> </w:t>
      </w:r>
      <w:r>
        <w:rPr>
          <w:color w:val="231F20"/>
        </w:rPr>
        <w:t>une</w:t>
      </w:r>
      <w:r>
        <w:rPr>
          <w:color w:val="231F20"/>
          <w:spacing w:val="-10"/>
        </w:rPr>
        <w:t> </w:t>
      </w:r>
      <w:r>
        <w:rPr>
          <w:color w:val="231F20"/>
        </w:rPr>
        <w:t>demande</w:t>
      </w:r>
      <w:r>
        <w:rPr>
          <w:color w:val="231F20"/>
          <w:spacing w:val="-11"/>
        </w:rPr>
        <w:t> </w:t>
      </w:r>
      <w:r>
        <w:rPr>
          <w:color w:val="231F20"/>
        </w:rPr>
        <w:t>à</w:t>
      </w:r>
      <w:r>
        <w:rPr>
          <w:color w:val="231F20"/>
          <w:spacing w:val="-10"/>
        </w:rPr>
        <w:t> </w:t>
      </w:r>
      <w:r>
        <w:rPr>
          <w:color w:val="231F20"/>
          <w:spacing w:val="-2"/>
        </w:rPr>
        <w:t>laquelle</w:t>
      </w:r>
    </w:p>
    <w:p>
      <w:pPr>
        <w:pStyle w:val="BodyText"/>
        <w:spacing w:before="77"/>
        <w:ind w:left="413" w:right="1133"/>
      </w:pPr>
      <w:r>
        <w:rPr/>
        <w:br w:type="column"/>
      </w:r>
      <w:r>
        <w:rPr>
          <w:color w:val="231F20"/>
        </w:rPr>
        <w:t>il n’est plus possible de satisfaire dans la </w:t>
      </w:r>
      <w:r>
        <w:rPr>
          <w:color w:val="231F20"/>
          <w:spacing w:val="-2"/>
        </w:rPr>
        <w:t>mesure</w:t>
      </w:r>
      <w:r>
        <w:rPr>
          <w:color w:val="231F20"/>
          <w:spacing w:val="-8"/>
        </w:rPr>
        <w:t> </w:t>
      </w:r>
      <w:r>
        <w:rPr>
          <w:color w:val="231F20"/>
          <w:spacing w:val="-2"/>
        </w:rPr>
        <w:t>où,</w:t>
      </w:r>
      <w:r>
        <w:rPr>
          <w:color w:val="231F20"/>
          <w:spacing w:val="-8"/>
        </w:rPr>
        <w:t> </w:t>
      </w:r>
      <w:r>
        <w:rPr>
          <w:color w:val="231F20"/>
          <w:spacing w:val="-2"/>
        </w:rPr>
        <w:t>outre</w:t>
      </w:r>
      <w:r>
        <w:rPr>
          <w:color w:val="231F20"/>
          <w:spacing w:val="-8"/>
        </w:rPr>
        <w:t> </w:t>
      </w:r>
      <w:r>
        <w:rPr>
          <w:color w:val="231F20"/>
          <w:spacing w:val="-2"/>
        </w:rPr>
        <w:t>les</w:t>
      </w:r>
      <w:r>
        <w:rPr>
          <w:color w:val="231F20"/>
          <w:spacing w:val="-8"/>
        </w:rPr>
        <w:t> </w:t>
      </w:r>
      <w:r>
        <w:rPr>
          <w:color w:val="231F20"/>
          <w:spacing w:val="-2"/>
        </w:rPr>
        <w:t>difficultés</w:t>
      </w:r>
      <w:r>
        <w:rPr>
          <w:color w:val="231F20"/>
          <w:spacing w:val="-8"/>
        </w:rPr>
        <w:t> </w:t>
      </w:r>
      <w:r>
        <w:rPr>
          <w:color w:val="231F20"/>
          <w:spacing w:val="-2"/>
        </w:rPr>
        <w:t>habituelles, </w:t>
      </w:r>
      <w:r>
        <w:rPr>
          <w:color w:val="231F20"/>
        </w:rPr>
        <w:t>les coûts du transport maritime ont triplé durant la période analysée à cause de la hausse des cours des carburants.</w:t>
      </w:r>
    </w:p>
    <w:p>
      <w:pPr>
        <w:pStyle w:val="BodyText"/>
        <w:spacing w:before="164"/>
        <w:ind w:left="413" w:right="1138"/>
      </w:pPr>
      <w:r>
        <w:rPr>
          <w:color w:val="231F20"/>
          <w:spacing w:val="-2"/>
        </w:rPr>
        <w:t>L’administration</w:t>
      </w:r>
      <w:r>
        <w:rPr>
          <w:color w:val="231F20"/>
          <w:spacing w:val="-15"/>
        </w:rPr>
        <w:t> </w:t>
      </w:r>
      <w:r>
        <w:rPr>
          <w:color w:val="231F20"/>
          <w:spacing w:val="-2"/>
        </w:rPr>
        <w:t>étasunienne</w:t>
      </w:r>
      <w:r>
        <w:rPr>
          <w:color w:val="231F20"/>
          <w:spacing w:val="-14"/>
        </w:rPr>
        <w:t> </w:t>
      </w:r>
      <w:r>
        <w:rPr>
          <w:color w:val="231F20"/>
          <w:spacing w:val="-2"/>
        </w:rPr>
        <w:t>maintient</w:t>
      </w:r>
      <w:r>
        <w:rPr>
          <w:color w:val="231F20"/>
          <w:spacing w:val="-15"/>
        </w:rPr>
        <w:t> </w:t>
      </w:r>
      <w:r>
        <w:rPr>
          <w:color w:val="231F20"/>
          <w:spacing w:val="-2"/>
        </w:rPr>
        <w:t>ses </w:t>
      </w:r>
      <w:r>
        <w:rPr>
          <w:color w:val="231F20"/>
          <w:spacing w:val="-8"/>
        </w:rPr>
        <w:t>obstacles</w:t>
      </w:r>
      <w:r>
        <w:rPr>
          <w:color w:val="231F20"/>
          <w:spacing w:val="-9"/>
        </w:rPr>
        <w:t> </w:t>
      </w:r>
      <w:r>
        <w:rPr>
          <w:color w:val="231F20"/>
          <w:spacing w:val="-8"/>
        </w:rPr>
        <w:t>à l’entrée</w:t>
      </w:r>
      <w:r>
        <w:rPr>
          <w:color w:val="231F20"/>
          <w:spacing w:val="-9"/>
        </w:rPr>
        <w:t> </w:t>
      </w:r>
      <w:r>
        <w:rPr>
          <w:color w:val="231F20"/>
          <w:spacing w:val="-8"/>
        </w:rPr>
        <w:t>aux États-Unis</w:t>
      </w:r>
      <w:r>
        <w:rPr>
          <w:color w:val="231F20"/>
          <w:spacing w:val="-9"/>
        </w:rPr>
        <w:t> </w:t>
      </w:r>
      <w:r>
        <w:rPr>
          <w:color w:val="231F20"/>
          <w:spacing w:val="-8"/>
        </w:rPr>
        <w:t>de navires, </w:t>
      </w:r>
      <w:r>
        <w:rPr>
          <w:color w:val="231F20"/>
          <w:spacing w:val="-6"/>
        </w:rPr>
        <w:t>en</w:t>
      </w:r>
      <w:r>
        <w:rPr>
          <w:color w:val="231F20"/>
          <w:spacing w:val="-8"/>
        </w:rPr>
        <w:t> </w:t>
      </w:r>
      <w:r>
        <w:rPr>
          <w:color w:val="231F20"/>
          <w:spacing w:val="-6"/>
        </w:rPr>
        <w:t>accord</w:t>
      </w:r>
      <w:r>
        <w:rPr>
          <w:color w:val="231F20"/>
          <w:spacing w:val="-8"/>
        </w:rPr>
        <w:t> </w:t>
      </w:r>
      <w:r>
        <w:rPr>
          <w:color w:val="231F20"/>
          <w:spacing w:val="-6"/>
        </w:rPr>
        <w:t>avec</w:t>
      </w:r>
      <w:r>
        <w:rPr>
          <w:color w:val="231F20"/>
          <w:spacing w:val="-8"/>
        </w:rPr>
        <w:t> </w:t>
      </w:r>
      <w:r>
        <w:rPr>
          <w:color w:val="231F20"/>
          <w:spacing w:val="-6"/>
        </w:rPr>
        <w:t>la</w:t>
      </w:r>
      <w:r>
        <w:rPr>
          <w:color w:val="231F20"/>
          <w:spacing w:val="-8"/>
        </w:rPr>
        <w:t> </w:t>
      </w:r>
      <w:r>
        <w:rPr>
          <w:color w:val="231F20"/>
          <w:spacing w:val="-6"/>
        </w:rPr>
        <w:t>Loi</w:t>
      </w:r>
      <w:r>
        <w:rPr>
          <w:color w:val="231F20"/>
          <w:spacing w:val="-8"/>
        </w:rPr>
        <w:t> </w:t>
      </w:r>
      <w:r>
        <w:rPr>
          <w:color w:val="231F20"/>
          <w:spacing w:val="-6"/>
        </w:rPr>
        <w:t>Torricelli</w:t>
      </w:r>
      <w:r>
        <w:rPr>
          <w:color w:val="231F20"/>
          <w:spacing w:val="-8"/>
        </w:rPr>
        <w:t> </w:t>
      </w:r>
      <w:r>
        <w:rPr>
          <w:color w:val="231F20"/>
          <w:spacing w:val="-6"/>
        </w:rPr>
        <w:t>de</w:t>
      </w:r>
      <w:r>
        <w:rPr>
          <w:color w:val="231F20"/>
          <w:spacing w:val="-8"/>
        </w:rPr>
        <w:t> </w:t>
      </w:r>
      <w:r>
        <w:rPr>
          <w:color w:val="231F20"/>
          <w:spacing w:val="-6"/>
        </w:rPr>
        <w:t>1992,</w:t>
      </w:r>
      <w:r>
        <w:rPr>
          <w:color w:val="231F20"/>
          <w:spacing w:val="-8"/>
        </w:rPr>
        <w:t> </w:t>
      </w:r>
      <w:r>
        <w:rPr>
          <w:color w:val="231F20"/>
          <w:spacing w:val="-6"/>
        </w:rPr>
        <w:t>ainsi </w:t>
      </w:r>
      <w:r>
        <w:rPr>
          <w:color w:val="231F20"/>
          <w:spacing w:val="-8"/>
        </w:rPr>
        <w:t>que</w:t>
      </w:r>
      <w:r>
        <w:rPr>
          <w:color w:val="231F20"/>
          <w:spacing w:val="-9"/>
        </w:rPr>
        <w:t> </w:t>
      </w:r>
      <w:r>
        <w:rPr>
          <w:color w:val="231F20"/>
          <w:spacing w:val="-8"/>
        </w:rPr>
        <w:t>ses restrictions</w:t>
      </w:r>
      <w:r>
        <w:rPr>
          <w:color w:val="231F20"/>
          <w:spacing w:val="-9"/>
        </w:rPr>
        <w:t> </w:t>
      </w:r>
      <w:r>
        <w:rPr>
          <w:color w:val="231F20"/>
          <w:spacing w:val="-8"/>
        </w:rPr>
        <w:t>concernant les</w:t>
      </w:r>
      <w:r>
        <w:rPr>
          <w:color w:val="231F20"/>
          <w:spacing w:val="-9"/>
        </w:rPr>
        <w:t> </w:t>
      </w:r>
      <w:r>
        <w:rPr>
          <w:color w:val="231F20"/>
          <w:spacing w:val="-8"/>
        </w:rPr>
        <w:t>armateurs </w:t>
      </w:r>
      <w:r>
        <w:rPr>
          <w:color w:val="231F20"/>
        </w:rPr>
        <w:t>étrangers dont les navires engagent des membres d’équipage cubains : dans ce </w:t>
      </w:r>
      <w:r>
        <w:rPr>
          <w:color w:val="231F20"/>
          <w:spacing w:val="-6"/>
        </w:rPr>
        <w:t>dernier cas, les autorités d’immigration, non </w:t>
      </w:r>
      <w:r>
        <w:rPr>
          <w:color w:val="231F20"/>
        </w:rPr>
        <w:t>seulement retiennent ce navire plusieurs heures</w:t>
      </w:r>
      <w:r>
        <w:rPr>
          <w:color w:val="231F20"/>
          <w:spacing w:val="-10"/>
        </w:rPr>
        <w:t> </w:t>
      </w:r>
      <w:r>
        <w:rPr>
          <w:color w:val="231F20"/>
        </w:rPr>
        <w:t>à</w:t>
      </w:r>
      <w:r>
        <w:rPr>
          <w:color w:val="231F20"/>
          <w:spacing w:val="-10"/>
        </w:rPr>
        <w:t> </w:t>
      </w:r>
      <w:r>
        <w:rPr>
          <w:color w:val="231F20"/>
        </w:rPr>
        <w:t>l’extérieur</w:t>
      </w:r>
      <w:r>
        <w:rPr>
          <w:color w:val="231F20"/>
          <w:spacing w:val="-10"/>
        </w:rPr>
        <w:t> </w:t>
      </w:r>
      <w:r>
        <w:rPr>
          <w:color w:val="231F20"/>
        </w:rPr>
        <w:t>du</w:t>
      </w:r>
      <w:r>
        <w:rPr>
          <w:color w:val="231F20"/>
          <w:spacing w:val="-10"/>
        </w:rPr>
        <w:t> </w:t>
      </w:r>
      <w:r>
        <w:rPr>
          <w:color w:val="231F20"/>
        </w:rPr>
        <w:t>port,</w:t>
      </w:r>
      <w:r>
        <w:rPr>
          <w:color w:val="231F20"/>
          <w:spacing w:val="-10"/>
        </w:rPr>
        <w:t> </w:t>
      </w:r>
      <w:r>
        <w:rPr>
          <w:color w:val="231F20"/>
        </w:rPr>
        <w:t>mais</w:t>
      </w:r>
      <w:r>
        <w:rPr>
          <w:color w:val="231F20"/>
          <w:spacing w:val="-10"/>
        </w:rPr>
        <w:t> </w:t>
      </w:r>
      <w:r>
        <w:rPr>
          <w:color w:val="231F20"/>
        </w:rPr>
        <w:t>montent même la garde autour, l’amende en </w:t>
      </w:r>
      <w:r>
        <w:rPr>
          <w:color w:val="231F20"/>
          <w:spacing w:val="-2"/>
        </w:rPr>
        <w:t>l’occurrence</w:t>
      </w:r>
      <w:r>
        <w:rPr>
          <w:color w:val="231F20"/>
          <w:spacing w:val="-15"/>
        </w:rPr>
        <w:t> </w:t>
      </w:r>
      <w:r>
        <w:rPr>
          <w:color w:val="231F20"/>
          <w:spacing w:val="-2"/>
        </w:rPr>
        <w:t>étant</w:t>
      </w:r>
      <w:r>
        <w:rPr>
          <w:color w:val="231F20"/>
          <w:spacing w:val="-14"/>
        </w:rPr>
        <w:t> </w:t>
      </w:r>
      <w:r>
        <w:rPr>
          <w:color w:val="231F20"/>
          <w:spacing w:val="-2"/>
        </w:rPr>
        <w:t>de</w:t>
      </w:r>
      <w:r>
        <w:rPr>
          <w:color w:val="231F20"/>
          <w:spacing w:val="-15"/>
        </w:rPr>
        <w:t> </w:t>
      </w:r>
      <w:r>
        <w:rPr>
          <w:color w:val="231F20"/>
          <w:spacing w:val="-2"/>
        </w:rPr>
        <w:t>1</w:t>
      </w:r>
      <w:r>
        <w:rPr>
          <w:color w:val="231F20"/>
          <w:spacing w:val="-14"/>
        </w:rPr>
        <w:t> </w:t>
      </w:r>
      <w:r>
        <w:rPr>
          <w:color w:val="231F20"/>
          <w:spacing w:val="-2"/>
        </w:rPr>
        <w:t>500</w:t>
      </w:r>
      <w:r>
        <w:rPr>
          <w:color w:val="231F20"/>
          <w:spacing w:val="-15"/>
        </w:rPr>
        <w:t> </w:t>
      </w:r>
      <w:r>
        <w:rPr>
          <w:color w:val="231F20"/>
          <w:spacing w:val="-2"/>
        </w:rPr>
        <w:t>dollars</w:t>
      </w:r>
      <w:r>
        <w:rPr>
          <w:color w:val="231F20"/>
          <w:spacing w:val="-14"/>
        </w:rPr>
        <w:t> </w:t>
      </w:r>
      <w:r>
        <w:rPr>
          <w:color w:val="231F20"/>
          <w:spacing w:val="-2"/>
        </w:rPr>
        <w:t>par</w:t>
      </w:r>
      <w:r>
        <w:rPr>
          <w:color w:val="231F20"/>
          <w:spacing w:val="-15"/>
        </w:rPr>
        <w:t> </w:t>
      </w:r>
      <w:r>
        <w:rPr>
          <w:color w:val="231F20"/>
          <w:spacing w:val="-2"/>
        </w:rPr>
        <w:t>jour, </w:t>
      </w:r>
      <w:r>
        <w:rPr>
          <w:color w:val="231F20"/>
        </w:rPr>
        <w:t>tandis</w:t>
      </w:r>
      <w:r>
        <w:rPr>
          <w:color w:val="231F20"/>
          <w:spacing w:val="-3"/>
        </w:rPr>
        <w:t> </w:t>
      </w:r>
      <w:r>
        <w:rPr>
          <w:color w:val="231F20"/>
        </w:rPr>
        <w:t>que</w:t>
      </w:r>
      <w:r>
        <w:rPr>
          <w:color w:val="231F20"/>
          <w:spacing w:val="-3"/>
        </w:rPr>
        <w:t> </w:t>
      </w:r>
      <w:r>
        <w:rPr>
          <w:color w:val="231F20"/>
        </w:rPr>
        <w:t>les</w:t>
      </w:r>
      <w:r>
        <w:rPr>
          <w:color w:val="231F20"/>
          <w:spacing w:val="-3"/>
        </w:rPr>
        <w:t> </w:t>
      </w:r>
      <w:r>
        <w:rPr>
          <w:color w:val="231F20"/>
        </w:rPr>
        <w:t>marins</w:t>
      </w:r>
      <w:r>
        <w:rPr>
          <w:color w:val="231F20"/>
          <w:spacing w:val="-3"/>
        </w:rPr>
        <w:t> </w:t>
      </w:r>
      <w:r>
        <w:rPr>
          <w:color w:val="231F20"/>
        </w:rPr>
        <w:t>cubains</w:t>
      </w:r>
      <w:r>
        <w:rPr>
          <w:color w:val="231F20"/>
          <w:spacing w:val="-3"/>
        </w:rPr>
        <w:t> </w:t>
      </w:r>
      <w:r>
        <w:rPr>
          <w:color w:val="231F20"/>
        </w:rPr>
        <w:t>n’ont</w:t>
      </w:r>
      <w:r>
        <w:rPr>
          <w:color w:val="231F20"/>
          <w:spacing w:val="-3"/>
        </w:rPr>
        <w:t> </w:t>
      </w:r>
      <w:r>
        <w:rPr>
          <w:color w:val="231F20"/>
        </w:rPr>
        <w:t>pas</w:t>
      </w:r>
      <w:r>
        <w:rPr>
          <w:color w:val="231F20"/>
          <w:spacing w:val="-3"/>
        </w:rPr>
        <w:t> </w:t>
      </w:r>
      <w:r>
        <w:rPr>
          <w:color w:val="231F20"/>
        </w:rPr>
        <w:t>le droit</w:t>
      </w:r>
      <w:r>
        <w:rPr>
          <w:color w:val="231F20"/>
          <w:spacing w:val="-14"/>
        </w:rPr>
        <w:t> </w:t>
      </w:r>
      <w:r>
        <w:rPr>
          <w:color w:val="231F20"/>
        </w:rPr>
        <w:t>de</w:t>
      </w:r>
      <w:r>
        <w:rPr>
          <w:color w:val="231F20"/>
          <w:spacing w:val="-14"/>
        </w:rPr>
        <w:t> </w:t>
      </w:r>
      <w:r>
        <w:rPr>
          <w:color w:val="231F20"/>
        </w:rPr>
        <w:t>descendre</w:t>
      </w:r>
      <w:r>
        <w:rPr>
          <w:color w:val="231F20"/>
          <w:spacing w:val="-14"/>
        </w:rPr>
        <w:t> </w:t>
      </w:r>
      <w:r>
        <w:rPr>
          <w:color w:val="231F20"/>
        </w:rPr>
        <w:t>à</w:t>
      </w:r>
      <w:r>
        <w:rPr>
          <w:color w:val="231F20"/>
          <w:spacing w:val="-14"/>
        </w:rPr>
        <w:t> </w:t>
      </w:r>
      <w:r>
        <w:rPr>
          <w:color w:val="231F20"/>
        </w:rPr>
        <w:t>terre.</w:t>
      </w:r>
    </w:p>
    <w:p>
      <w:pPr>
        <w:pStyle w:val="BodyText"/>
        <w:spacing w:before="170"/>
        <w:ind w:left="413" w:right="1133"/>
      </w:pPr>
      <w:r>
        <w:rPr>
          <w:color w:val="231F20"/>
          <w:spacing w:val="-6"/>
        </w:rPr>
        <w:t>L’administration</w:t>
      </w:r>
      <w:r>
        <w:rPr>
          <w:color w:val="231F20"/>
          <w:spacing w:val="-7"/>
        </w:rPr>
        <w:t> </w:t>
      </w:r>
      <w:r>
        <w:rPr>
          <w:color w:val="231F20"/>
          <w:spacing w:val="-6"/>
        </w:rPr>
        <w:t>étasunienne</w:t>
      </w:r>
      <w:r>
        <w:rPr>
          <w:color w:val="231F20"/>
          <w:spacing w:val="-7"/>
        </w:rPr>
        <w:t> </w:t>
      </w:r>
      <w:r>
        <w:rPr>
          <w:color w:val="231F20"/>
          <w:spacing w:val="-6"/>
        </w:rPr>
        <w:t>a</w:t>
      </w:r>
      <w:r>
        <w:rPr>
          <w:color w:val="231F20"/>
          <w:spacing w:val="-7"/>
        </w:rPr>
        <w:t> </w:t>
      </w:r>
      <w:r>
        <w:rPr>
          <w:color w:val="231F20"/>
          <w:spacing w:val="-6"/>
        </w:rPr>
        <w:t>retiré</w:t>
      </w:r>
      <w:r>
        <w:rPr>
          <w:color w:val="231F20"/>
          <w:spacing w:val="-7"/>
        </w:rPr>
        <w:t> </w:t>
      </w:r>
      <w:r>
        <w:rPr>
          <w:color w:val="231F20"/>
          <w:spacing w:val="-6"/>
        </w:rPr>
        <w:t>à</w:t>
      </w:r>
      <w:r>
        <w:rPr>
          <w:color w:val="231F20"/>
          <w:spacing w:val="-7"/>
        </w:rPr>
        <w:t> </w:t>
      </w:r>
      <w:r>
        <w:rPr>
          <w:color w:val="231F20"/>
          <w:spacing w:val="-6"/>
        </w:rPr>
        <w:t>Cuba </w:t>
      </w:r>
      <w:r>
        <w:rPr>
          <w:color w:val="231F20"/>
        </w:rPr>
        <w:t>les permis d’affrètement d’avions, si bien que</w:t>
      </w:r>
      <w:r>
        <w:rPr>
          <w:color w:val="231F20"/>
          <w:spacing w:val="-1"/>
        </w:rPr>
        <w:t> </w:t>
      </w:r>
      <w:r>
        <w:rPr>
          <w:color w:val="231F20"/>
        </w:rPr>
        <w:t>la</w:t>
      </w:r>
      <w:r>
        <w:rPr>
          <w:color w:val="231F20"/>
          <w:spacing w:val="-1"/>
        </w:rPr>
        <w:t> </w:t>
      </w:r>
      <w:r>
        <w:rPr>
          <w:color w:val="231F20"/>
        </w:rPr>
        <w:t>compagnie</w:t>
      </w:r>
      <w:r>
        <w:rPr>
          <w:color w:val="231F20"/>
          <w:spacing w:val="-1"/>
        </w:rPr>
        <w:t> </w:t>
      </w:r>
      <w:r>
        <w:rPr>
          <w:color w:val="231F20"/>
        </w:rPr>
        <w:t>Cubana</w:t>
      </w:r>
      <w:r>
        <w:rPr>
          <w:color w:val="231F20"/>
          <w:spacing w:val="-1"/>
        </w:rPr>
        <w:t> </w:t>
      </w:r>
      <w:r>
        <w:rPr>
          <w:color w:val="231F20"/>
        </w:rPr>
        <w:t>de</w:t>
      </w:r>
      <w:r>
        <w:rPr>
          <w:color w:val="231F20"/>
          <w:spacing w:val="-1"/>
        </w:rPr>
        <w:t> </w:t>
      </w:r>
      <w:r>
        <w:rPr>
          <w:color w:val="231F20"/>
        </w:rPr>
        <w:t>Aviación</w:t>
      </w:r>
      <w:r>
        <w:rPr>
          <w:color w:val="231F20"/>
          <w:spacing w:val="-1"/>
        </w:rPr>
        <w:t> </w:t>
      </w:r>
      <w:r>
        <w:rPr>
          <w:color w:val="231F20"/>
        </w:rPr>
        <w:t>ne peut cotiser pour des vols internationaux. Compte tenu des 7 854 opérations avec des</w:t>
      </w:r>
      <w:r>
        <w:rPr>
          <w:color w:val="231F20"/>
          <w:spacing w:val="-7"/>
        </w:rPr>
        <w:t> </w:t>
      </w:r>
      <w:r>
        <w:rPr>
          <w:color w:val="231F20"/>
        </w:rPr>
        <w:t>moyens</w:t>
      </w:r>
      <w:r>
        <w:rPr>
          <w:color w:val="231F20"/>
          <w:spacing w:val="-7"/>
        </w:rPr>
        <w:t> </w:t>
      </w:r>
      <w:r>
        <w:rPr>
          <w:color w:val="231F20"/>
        </w:rPr>
        <w:t>courriers</w:t>
      </w:r>
      <w:r>
        <w:rPr>
          <w:color w:val="231F20"/>
          <w:spacing w:val="-7"/>
        </w:rPr>
        <w:t> </w:t>
      </w:r>
      <w:r>
        <w:rPr>
          <w:color w:val="231F20"/>
        </w:rPr>
        <w:t>que</w:t>
      </w:r>
      <w:r>
        <w:rPr>
          <w:color w:val="231F20"/>
          <w:spacing w:val="-6"/>
        </w:rPr>
        <w:t> </w:t>
      </w:r>
      <w:r>
        <w:rPr>
          <w:color w:val="231F20"/>
        </w:rPr>
        <w:t>les</w:t>
      </w:r>
      <w:r>
        <w:rPr>
          <w:color w:val="231F20"/>
          <w:spacing w:val="-7"/>
        </w:rPr>
        <w:t> </w:t>
      </w:r>
      <w:r>
        <w:rPr>
          <w:color w:val="231F20"/>
        </w:rPr>
        <w:t>compagnies </w:t>
      </w:r>
      <w:r>
        <w:rPr>
          <w:color w:val="231F20"/>
          <w:spacing w:val="-2"/>
        </w:rPr>
        <w:t>aériennes</w:t>
      </w:r>
      <w:r>
        <w:rPr>
          <w:color w:val="231F20"/>
          <w:spacing w:val="-13"/>
        </w:rPr>
        <w:t> </w:t>
      </w:r>
      <w:r>
        <w:rPr>
          <w:color w:val="231F20"/>
          <w:spacing w:val="-2"/>
        </w:rPr>
        <w:t>opérant</w:t>
      </w:r>
      <w:r>
        <w:rPr>
          <w:color w:val="231F20"/>
          <w:spacing w:val="-13"/>
        </w:rPr>
        <w:t> </w:t>
      </w:r>
      <w:r>
        <w:rPr>
          <w:color w:val="231F20"/>
          <w:spacing w:val="-2"/>
        </w:rPr>
        <w:t>avec</w:t>
      </w:r>
      <w:r>
        <w:rPr>
          <w:color w:val="231F20"/>
          <w:spacing w:val="-13"/>
        </w:rPr>
        <w:t> </w:t>
      </w:r>
      <w:r>
        <w:rPr>
          <w:color w:val="231F20"/>
          <w:spacing w:val="-2"/>
        </w:rPr>
        <w:t>Cuba</w:t>
      </w:r>
      <w:r>
        <w:rPr>
          <w:color w:val="231F20"/>
          <w:spacing w:val="-13"/>
        </w:rPr>
        <w:t> </w:t>
      </w:r>
      <w:r>
        <w:rPr>
          <w:color w:val="231F20"/>
          <w:spacing w:val="-2"/>
        </w:rPr>
        <w:t>et</w:t>
      </w:r>
      <w:r>
        <w:rPr>
          <w:color w:val="231F20"/>
          <w:spacing w:val="-13"/>
        </w:rPr>
        <w:t> </w:t>
      </w:r>
      <w:r>
        <w:rPr>
          <w:color w:val="231F20"/>
          <w:spacing w:val="-2"/>
        </w:rPr>
        <w:t>du</w:t>
      </w:r>
      <w:r>
        <w:rPr>
          <w:color w:val="231F20"/>
          <w:spacing w:val="-13"/>
        </w:rPr>
        <w:t> </w:t>
      </w:r>
      <w:r>
        <w:rPr>
          <w:color w:val="231F20"/>
          <w:spacing w:val="-2"/>
        </w:rPr>
        <w:t>fait</w:t>
      </w:r>
      <w:r>
        <w:rPr>
          <w:color w:val="231F20"/>
          <w:spacing w:val="-13"/>
        </w:rPr>
        <w:t> </w:t>
      </w:r>
      <w:r>
        <w:rPr>
          <w:color w:val="231F20"/>
          <w:spacing w:val="-2"/>
        </w:rPr>
        <w:t>que </w:t>
      </w:r>
      <w:r>
        <w:rPr>
          <w:color w:val="231F20"/>
        </w:rPr>
        <w:t>ceux-ci consomment en moyenne 3,13 tonnes (4 000 litres) de carburant sur la </w:t>
      </w:r>
      <w:r>
        <w:rPr>
          <w:color w:val="231F20"/>
          <w:spacing w:val="-2"/>
        </w:rPr>
        <w:t>route</w:t>
      </w:r>
      <w:r>
        <w:rPr>
          <w:color w:val="231F20"/>
          <w:spacing w:val="-15"/>
        </w:rPr>
        <w:t> </w:t>
      </w:r>
      <w:r>
        <w:rPr>
          <w:color w:val="231F20"/>
          <w:spacing w:val="-2"/>
        </w:rPr>
        <w:t>la</w:t>
      </w:r>
      <w:r>
        <w:rPr>
          <w:color w:val="231F20"/>
          <w:spacing w:val="-14"/>
        </w:rPr>
        <w:t> </w:t>
      </w:r>
      <w:r>
        <w:rPr>
          <w:color w:val="231F20"/>
          <w:spacing w:val="-2"/>
        </w:rPr>
        <w:t>plus</w:t>
      </w:r>
      <w:r>
        <w:rPr>
          <w:color w:val="231F20"/>
          <w:spacing w:val="-15"/>
        </w:rPr>
        <w:t> </w:t>
      </w:r>
      <w:r>
        <w:rPr>
          <w:color w:val="231F20"/>
          <w:spacing w:val="-2"/>
        </w:rPr>
        <w:t>utilisée</w:t>
      </w:r>
      <w:r>
        <w:rPr>
          <w:color w:val="231F20"/>
          <w:spacing w:val="-14"/>
        </w:rPr>
        <w:t> </w:t>
      </w:r>
      <w:r>
        <w:rPr>
          <w:color w:val="231F20"/>
          <w:spacing w:val="-2"/>
        </w:rPr>
        <w:t>en</w:t>
      </w:r>
      <w:r>
        <w:rPr>
          <w:color w:val="231F20"/>
          <w:spacing w:val="-15"/>
        </w:rPr>
        <w:t> </w:t>
      </w:r>
      <w:r>
        <w:rPr>
          <w:color w:val="231F20"/>
          <w:spacing w:val="-2"/>
        </w:rPr>
        <w:t>direction</w:t>
      </w:r>
      <w:r>
        <w:rPr>
          <w:color w:val="231F20"/>
          <w:spacing w:val="-14"/>
        </w:rPr>
        <w:t> </w:t>
      </w:r>
      <w:r>
        <w:rPr>
          <w:color w:val="231F20"/>
          <w:spacing w:val="-2"/>
        </w:rPr>
        <w:t>de</w:t>
      </w:r>
      <w:r>
        <w:rPr>
          <w:color w:val="231F20"/>
          <w:spacing w:val="-14"/>
        </w:rPr>
        <w:t> </w:t>
      </w:r>
      <w:r>
        <w:rPr>
          <w:color w:val="231F20"/>
          <w:spacing w:val="-2"/>
        </w:rPr>
        <w:t>Miami, </w:t>
      </w:r>
      <w:r>
        <w:rPr>
          <w:color w:val="231F20"/>
        </w:rPr>
        <w:t>les</w:t>
      </w:r>
      <w:r>
        <w:rPr>
          <w:color w:val="231F20"/>
          <w:spacing w:val="-12"/>
        </w:rPr>
        <w:t> </w:t>
      </w:r>
      <w:r>
        <w:rPr>
          <w:color w:val="231F20"/>
        </w:rPr>
        <w:t>préjudices</w:t>
      </w:r>
      <w:r>
        <w:rPr>
          <w:color w:val="231F20"/>
          <w:spacing w:val="-12"/>
        </w:rPr>
        <w:t> </w:t>
      </w:r>
      <w:r>
        <w:rPr>
          <w:color w:val="231F20"/>
        </w:rPr>
        <w:t>se</w:t>
      </w:r>
      <w:r>
        <w:rPr>
          <w:color w:val="231F20"/>
          <w:spacing w:val="-11"/>
        </w:rPr>
        <w:t> </w:t>
      </w:r>
      <w:r>
        <w:rPr>
          <w:color w:val="231F20"/>
        </w:rPr>
        <w:t>calculent</w:t>
      </w:r>
      <w:r>
        <w:rPr>
          <w:color w:val="231F20"/>
          <w:spacing w:val="-11"/>
        </w:rPr>
        <w:t> </w:t>
      </w:r>
      <w:r>
        <w:rPr>
          <w:color w:val="231F20"/>
        </w:rPr>
        <w:t>à</w:t>
      </w:r>
      <w:r>
        <w:rPr>
          <w:color w:val="231F20"/>
          <w:spacing w:val="-11"/>
        </w:rPr>
        <w:t> </w:t>
      </w:r>
      <w:r>
        <w:rPr>
          <w:color w:val="231F20"/>
        </w:rPr>
        <w:t>37</w:t>
      </w:r>
      <w:r>
        <w:rPr>
          <w:color w:val="231F20"/>
          <w:spacing w:val="-11"/>
        </w:rPr>
        <w:t> </w:t>
      </w:r>
      <w:r>
        <w:rPr>
          <w:color w:val="231F20"/>
        </w:rPr>
        <w:t>572</w:t>
      </w:r>
      <w:r>
        <w:rPr>
          <w:color w:val="231F20"/>
          <w:spacing w:val="-11"/>
        </w:rPr>
        <w:t> </w:t>
      </w:r>
      <w:r>
        <w:rPr>
          <w:color w:val="231F20"/>
        </w:rPr>
        <w:t>455,96 dollars entre mars 2022 et février 2023.</w:t>
      </w:r>
    </w:p>
    <w:p>
      <w:pPr>
        <w:pStyle w:val="BodyText"/>
        <w:spacing w:before="169"/>
        <w:ind w:left="413" w:right="1132"/>
      </w:pPr>
      <w:r>
        <w:rPr>
          <w:color w:val="231F20"/>
        </w:rPr>
        <w:t>De même, l’administration étasunienne continue d’interdire des accords entre compagnies concernant le transport de marchandises, lesquelles ne peut être vendues par conséquent en fonction de guide</w:t>
      </w:r>
      <w:r>
        <w:rPr>
          <w:color w:val="231F20"/>
          <w:spacing w:val="40"/>
        </w:rPr>
        <w:t> </w:t>
      </w:r>
      <w:r>
        <w:rPr>
          <w:color w:val="231F20"/>
        </w:rPr>
        <w:t>aériens</w:t>
      </w:r>
      <w:r>
        <w:rPr>
          <w:color w:val="231F20"/>
          <w:spacing w:val="40"/>
        </w:rPr>
        <w:t> </w:t>
      </w:r>
      <w:r>
        <w:rPr>
          <w:color w:val="231F20"/>
        </w:rPr>
        <w:t>de</w:t>
      </w:r>
      <w:r>
        <w:rPr>
          <w:color w:val="231F20"/>
          <w:spacing w:val="40"/>
        </w:rPr>
        <w:t> </w:t>
      </w:r>
      <w:r>
        <w:rPr>
          <w:color w:val="231F20"/>
        </w:rPr>
        <w:t>Cubana</w:t>
      </w:r>
      <w:r>
        <w:rPr>
          <w:color w:val="231F20"/>
          <w:spacing w:val="40"/>
        </w:rPr>
        <w:t> </w:t>
      </w:r>
      <w:r>
        <w:rPr>
          <w:color w:val="231F20"/>
        </w:rPr>
        <w:t>de</w:t>
      </w:r>
      <w:r>
        <w:rPr>
          <w:color w:val="231F20"/>
          <w:spacing w:val="40"/>
        </w:rPr>
        <w:t> </w:t>
      </w:r>
      <w:r>
        <w:rPr>
          <w:color w:val="231F20"/>
        </w:rPr>
        <w:t>Aviación</w:t>
      </w:r>
      <w:r>
        <w:rPr>
          <w:color w:val="231F20"/>
          <w:spacing w:val="80"/>
        </w:rPr>
        <w:t> </w:t>
      </w:r>
      <w:r>
        <w:rPr>
          <w:color w:val="231F20"/>
        </w:rPr>
        <w:t>et doivent l’être toujours plus selon des </w:t>
      </w:r>
      <w:r>
        <w:rPr>
          <w:color w:val="231F20"/>
          <w:spacing w:val="-2"/>
        </w:rPr>
        <w:t>ventes</w:t>
      </w:r>
      <w:r>
        <w:rPr>
          <w:color w:val="231F20"/>
          <w:spacing w:val="-15"/>
        </w:rPr>
        <w:t> </w:t>
      </w:r>
      <w:r>
        <w:rPr>
          <w:color w:val="231F20"/>
          <w:spacing w:val="-2"/>
        </w:rPr>
        <w:t>à</w:t>
      </w:r>
      <w:r>
        <w:rPr>
          <w:color w:val="231F20"/>
          <w:spacing w:val="-14"/>
        </w:rPr>
        <w:t> </w:t>
      </w:r>
      <w:r>
        <w:rPr>
          <w:color w:val="231F20"/>
          <w:spacing w:val="-2"/>
        </w:rPr>
        <w:t>destinations</w:t>
      </w:r>
      <w:r>
        <w:rPr>
          <w:color w:val="231F20"/>
          <w:spacing w:val="-15"/>
        </w:rPr>
        <w:t> </w:t>
      </w:r>
      <w:r>
        <w:rPr>
          <w:color w:val="231F20"/>
          <w:spacing w:val="-2"/>
        </w:rPr>
        <w:t>multiples</w:t>
      </w:r>
      <w:r>
        <w:rPr>
          <w:color w:val="231F20"/>
          <w:spacing w:val="-14"/>
        </w:rPr>
        <w:t> </w:t>
      </w:r>
      <w:r>
        <w:rPr>
          <w:color w:val="231F20"/>
          <w:spacing w:val="-2"/>
        </w:rPr>
        <w:t>en</w:t>
      </w:r>
      <w:r>
        <w:rPr>
          <w:color w:val="231F20"/>
          <w:spacing w:val="-15"/>
        </w:rPr>
        <w:t> </w:t>
      </w:r>
      <w:r>
        <w:rPr>
          <w:color w:val="231F20"/>
          <w:spacing w:val="-2"/>
        </w:rPr>
        <w:t>alliances </w:t>
      </w:r>
      <w:r>
        <w:rPr>
          <w:color w:val="231F20"/>
        </w:rPr>
        <w:t>commerciales avec Avianca, DHL, Air </w:t>
      </w:r>
      <w:r>
        <w:rPr>
          <w:color w:val="231F20"/>
          <w:spacing w:val="-2"/>
        </w:rPr>
        <w:t>France,</w:t>
      </w:r>
      <w:r>
        <w:rPr>
          <w:color w:val="231F20"/>
          <w:spacing w:val="-15"/>
        </w:rPr>
        <w:t> </w:t>
      </w:r>
      <w:r>
        <w:rPr>
          <w:color w:val="231F20"/>
          <w:spacing w:val="-2"/>
        </w:rPr>
        <w:t>Air</w:t>
      </w:r>
      <w:r>
        <w:rPr>
          <w:color w:val="231F20"/>
          <w:spacing w:val="-14"/>
        </w:rPr>
        <w:t> </w:t>
      </w:r>
      <w:r>
        <w:rPr>
          <w:color w:val="231F20"/>
          <w:spacing w:val="-2"/>
        </w:rPr>
        <w:t>Caraïbes,</w:t>
      </w:r>
      <w:r>
        <w:rPr>
          <w:color w:val="231F20"/>
          <w:spacing w:val="-15"/>
        </w:rPr>
        <w:t> </w:t>
      </w:r>
      <w:r>
        <w:rPr>
          <w:color w:val="231F20"/>
          <w:spacing w:val="-2"/>
        </w:rPr>
        <w:t>Cathay</w:t>
      </w:r>
      <w:r>
        <w:rPr>
          <w:color w:val="231F20"/>
          <w:spacing w:val="-14"/>
        </w:rPr>
        <w:t> </w:t>
      </w:r>
      <w:r>
        <w:rPr>
          <w:color w:val="231F20"/>
          <w:spacing w:val="-2"/>
        </w:rPr>
        <w:t>Pacific,</w:t>
      </w:r>
      <w:r>
        <w:rPr>
          <w:color w:val="231F20"/>
          <w:spacing w:val="-15"/>
        </w:rPr>
        <w:t> </w:t>
      </w:r>
      <w:r>
        <w:rPr>
          <w:color w:val="231F20"/>
          <w:spacing w:val="-2"/>
        </w:rPr>
        <w:t>LATAM </w:t>
      </w:r>
      <w:r>
        <w:rPr>
          <w:color w:val="231F20"/>
        </w:rPr>
        <w:t>et Lot Polish. L’annulation de ces accords </w:t>
      </w:r>
      <w:r>
        <w:rPr>
          <w:color w:val="231F20"/>
          <w:spacing w:val="-2"/>
        </w:rPr>
        <w:t>porte</w:t>
      </w:r>
      <w:r>
        <w:rPr>
          <w:color w:val="231F20"/>
          <w:spacing w:val="-11"/>
        </w:rPr>
        <w:t> </w:t>
      </w:r>
      <w:r>
        <w:rPr>
          <w:color w:val="231F20"/>
          <w:spacing w:val="-2"/>
        </w:rPr>
        <w:t>atteinte</w:t>
      </w:r>
      <w:r>
        <w:rPr>
          <w:color w:val="231F20"/>
          <w:spacing w:val="-10"/>
        </w:rPr>
        <w:t> </w:t>
      </w:r>
      <w:r>
        <w:rPr>
          <w:color w:val="231F20"/>
          <w:spacing w:val="-2"/>
        </w:rPr>
        <w:t>aux</w:t>
      </w:r>
      <w:r>
        <w:rPr>
          <w:color w:val="231F20"/>
          <w:spacing w:val="-10"/>
        </w:rPr>
        <w:t> </w:t>
      </w:r>
      <w:r>
        <w:rPr>
          <w:color w:val="231F20"/>
          <w:spacing w:val="-2"/>
        </w:rPr>
        <w:t>services</w:t>
      </w:r>
      <w:r>
        <w:rPr>
          <w:color w:val="231F20"/>
          <w:spacing w:val="-10"/>
        </w:rPr>
        <w:t> </w:t>
      </w:r>
      <w:r>
        <w:rPr>
          <w:color w:val="231F20"/>
          <w:spacing w:val="-2"/>
        </w:rPr>
        <w:t>d’import-export</w:t>
      </w:r>
    </w:p>
    <w:p>
      <w:pPr>
        <w:spacing w:after="0"/>
        <w:sectPr>
          <w:pgSz w:w="11910" w:h="16840"/>
          <w:pgMar w:header="0" w:footer="695" w:top="1260" w:bottom="880" w:left="0" w:right="0"/>
          <w:cols w:num="2" w:equalWidth="0">
            <w:col w:w="5896" w:space="40"/>
            <w:col w:w="5974"/>
          </w:cols>
        </w:sectPr>
      </w:pPr>
    </w:p>
    <w:p>
      <w:pPr>
        <w:pStyle w:val="BodyText"/>
        <w:spacing w:before="77"/>
        <w:ind w:left="1133" w:right="1"/>
      </w:pPr>
      <w:r>
        <w:rPr>
          <w:color w:val="231F20"/>
        </w:rPr>
        <w:t>qui</w:t>
      </w:r>
      <w:r>
        <w:rPr>
          <w:color w:val="231F20"/>
          <w:spacing w:val="-8"/>
        </w:rPr>
        <w:t> </w:t>
      </w:r>
      <w:r>
        <w:rPr>
          <w:color w:val="231F20"/>
        </w:rPr>
        <w:t>pourraient</w:t>
      </w:r>
      <w:r>
        <w:rPr>
          <w:color w:val="231F20"/>
          <w:spacing w:val="-8"/>
        </w:rPr>
        <w:t> </w:t>
      </w:r>
      <w:r>
        <w:rPr>
          <w:color w:val="231F20"/>
        </w:rPr>
        <w:t>être</w:t>
      </w:r>
      <w:r>
        <w:rPr>
          <w:color w:val="231F20"/>
          <w:spacing w:val="-8"/>
        </w:rPr>
        <w:t> </w:t>
      </w:r>
      <w:r>
        <w:rPr>
          <w:color w:val="231F20"/>
        </w:rPr>
        <w:t>offert</w:t>
      </w:r>
      <w:r>
        <w:rPr>
          <w:color w:val="231F20"/>
          <w:spacing w:val="-8"/>
        </w:rPr>
        <w:t> </w:t>
      </w:r>
      <w:r>
        <w:rPr>
          <w:color w:val="231F20"/>
        </w:rPr>
        <w:t>aux</w:t>
      </w:r>
      <w:r>
        <w:rPr>
          <w:color w:val="231F20"/>
          <w:spacing w:val="-8"/>
        </w:rPr>
        <w:t> </w:t>
      </w:r>
      <w:r>
        <w:rPr>
          <w:color w:val="231F20"/>
        </w:rPr>
        <w:t>compagnies cubaines publiques et au secteur privé, puisqu’il faut utiliser d’autres itinéraires plus coûteux.</w:t>
      </w:r>
    </w:p>
    <w:p>
      <w:pPr>
        <w:pStyle w:val="BodyText"/>
        <w:spacing w:before="163"/>
        <w:ind w:left="1133" w:right="2"/>
      </w:pPr>
      <w:r>
        <w:rPr>
          <w:color w:val="231F20"/>
          <w:spacing w:val="-12"/>
        </w:rPr>
        <w:t>Le</w:t>
      </w:r>
      <w:r>
        <w:rPr>
          <w:color w:val="231F20"/>
          <w:spacing w:val="-5"/>
        </w:rPr>
        <w:t> </w:t>
      </w:r>
      <w:r>
        <w:rPr>
          <w:color w:val="231F20"/>
          <w:spacing w:val="-12"/>
        </w:rPr>
        <w:t>17</w:t>
      </w:r>
      <w:r>
        <w:rPr>
          <w:color w:val="231F20"/>
          <w:spacing w:val="-4"/>
        </w:rPr>
        <w:t> </w:t>
      </w:r>
      <w:r>
        <w:rPr>
          <w:color w:val="231F20"/>
          <w:spacing w:val="-12"/>
        </w:rPr>
        <w:t>mai</w:t>
      </w:r>
      <w:r>
        <w:rPr>
          <w:color w:val="231F20"/>
          <w:spacing w:val="-5"/>
        </w:rPr>
        <w:t> </w:t>
      </w:r>
      <w:r>
        <w:rPr>
          <w:color w:val="231F20"/>
          <w:spacing w:val="-12"/>
        </w:rPr>
        <w:t>2022,</w:t>
      </w:r>
      <w:r>
        <w:rPr>
          <w:color w:val="231F20"/>
          <w:spacing w:val="-4"/>
        </w:rPr>
        <w:t> </w:t>
      </w:r>
      <w:r>
        <w:rPr>
          <w:color w:val="231F20"/>
          <w:spacing w:val="-12"/>
        </w:rPr>
        <w:t>JTM,</w:t>
      </w:r>
      <w:r>
        <w:rPr>
          <w:color w:val="231F20"/>
          <w:spacing w:val="-5"/>
        </w:rPr>
        <w:t> </w:t>
      </w:r>
      <w:r>
        <w:rPr>
          <w:color w:val="231F20"/>
          <w:spacing w:val="-12"/>
        </w:rPr>
        <w:t>correspondant</w:t>
      </w:r>
      <w:r>
        <w:rPr>
          <w:color w:val="231F20"/>
          <w:spacing w:val="-4"/>
        </w:rPr>
        <w:t> </w:t>
      </w:r>
      <w:r>
        <w:rPr>
          <w:color w:val="231F20"/>
          <w:spacing w:val="-12"/>
        </w:rPr>
        <w:t>portugais </w:t>
      </w:r>
      <w:r>
        <w:rPr>
          <w:color w:val="231F20"/>
        </w:rPr>
        <w:t>prestataire de services logistiques et de transport</w:t>
      </w:r>
      <w:r>
        <w:rPr>
          <w:color w:val="231F20"/>
          <w:spacing w:val="-11"/>
        </w:rPr>
        <w:t> </w:t>
      </w:r>
      <w:r>
        <w:rPr>
          <w:color w:val="231F20"/>
        </w:rPr>
        <w:t>internationaux</w:t>
      </w:r>
      <w:r>
        <w:rPr>
          <w:color w:val="231F20"/>
          <w:spacing w:val="-12"/>
        </w:rPr>
        <w:t> </w:t>
      </w:r>
      <w:r>
        <w:rPr>
          <w:color w:val="231F20"/>
        </w:rPr>
        <w:t>avec</w:t>
      </w:r>
      <w:r>
        <w:rPr>
          <w:color w:val="231F20"/>
          <w:spacing w:val="-12"/>
        </w:rPr>
        <w:t> </w:t>
      </w:r>
      <w:r>
        <w:rPr>
          <w:color w:val="231F20"/>
        </w:rPr>
        <w:t>lequel</w:t>
      </w:r>
      <w:r>
        <w:rPr>
          <w:color w:val="231F20"/>
          <w:spacing w:val="-12"/>
        </w:rPr>
        <w:t> </w:t>
      </w:r>
      <w:r>
        <w:rPr>
          <w:color w:val="231F20"/>
        </w:rPr>
        <w:t>Cuba </w:t>
      </w:r>
      <w:r>
        <w:rPr>
          <w:color w:val="231F20"/>
          <w:spacing w:val="-8"/>
        </w:rPr>
        <w:t>maintient des relations commerciales depuis </w:t>
      </w:r>
      <w:r>
        <w:rPr>
          <w:color w:val="231F20"/>
        </w:rPr>
        <w:t>2019,</w:t>
      </w:r>
      <w:r>
        <w:rPr>
          <w:color w:val="231F20"/>
          <w:spacing w:val="-1"/>
        </w:rPr>
        <w:t> </w:t>
      </w:r>
      <w:r>
        <w:rPr>
          <w:color w:val="231F20"/>
        </w:rPr>
        <w:t>a</w:t>
      </w:r>
      <w:r>
        <w:rPr>
          <w:color w:val="231F20"/>
          <w:spacing w:val="-1"/>
        </w:rPr>
        <w:t> </w:t>
      </w:r>
      <w:r>
        <w:rPr>
          <w:color w:val="231F20"/>
        </w:rPr>
        <w:t>voulu</w:t>
      </w:r>
      <w:r>
        <w:rPr>
          <w:color w:val="231F20"/>
          <w:spacing w:val="-1"/>
        </w:rPr>
        <w:t> </w:t>
      </w:r>
      <w:r>
        <w:rPr>
          <w:color w:val="231F20"/>
        </w:rPr>
        <w:t>effectuer</w:t>
      </w:r>
      <w:r>
        <w:rPr>
          <w:color w:val="231F20"/>
          <w:spacing w:val="-1"/>
        </w:rPr>
        <w:t> </w:t>
      </w:r>
      <w:r>
        <w:rPr>
          <w:color w:val="231F20"/>
        </w:rPr>
        <w:t>un</w:t>
      </w:r>
      <w:r>
        <w:rPr>
          <w:color w:val="231F20"/>
          <w:spacing w:val="-1"/>
        </w:rPr>
        <w:t> </w:t>
      </w:r>
      <w:r>
        <w:rPr>
          <w:color w:val="231F20"/>
        </w:rPr>
        <w:t>virement</w:t>
      </w:r>
      <w:r>
        <w:rPr>
          <w:color w:val="231F20"/>
          <w:spacing w:val="-1"/>
        </w:rPr>
        <w:t> </w:t>
      </w:r>
      <w:r>
        <w:rPr>
          <w:color w:val="231F20"/>
        </w:rPr>
        <w:t>sur</w:t>
      </w:r>
      <w:r>
        <w:rPr>
          <w:color w:val="231F20"/>
          <w:spacing w:val="-1"/>
        </w:rPr>
        <w:t> </w:t>
      </w:r>
      <w:r>
        <w:rPr>
          <w:color w:val="231F20"/>
        </w:rPr>
        <w:t>le compte de l’entreprise cubaine Servicios </w:t>
      </w:r>
      <w:r>
        <w:rPr>
          <w:color w:val="231F20"/>
          <w:spacing w:val="-4"/>
        </w:rPr>
        <w:t>Aduanales</w:t>
      </w:r>
      <w:r>
        <w:rPr>
          <w:color w:val="231F20"/>
          <w:spacing w:val="-12"/>
        </w:rPr>
        <w:t> </w:t>
      </w:r>
      <w:r>
        <w:rPr>
          <w:color w:val="231F20"/>
          <w:spacing w:val="-4"/>
        </w:rPr>
        <w:t>y</w:t>
      </w:r>
      <w:r>
        <w:rPr>
          <w:color w:val="231F20"/>
          <w:spacing w:val="-12"/>
        </w:rPr>
        <w:t> </w:t>
      </w:r>
      <w:r>
        <w:rPr>
          <w:color w:val="231F20"/>
          <w:spacing w:val="-4"/>
        </w:rPr>
        <w:t>Transitorios</w:t>
      </w:r>
      <w:r>
        <w:rPr>
          <w:color w:val="231F20"/>
          <w:spacing w:val="-12"/>
        </w:rPr>
        <w:t> </w:t>
      </w:r>
      <w:r>
        <w:rPr>
          <w:color w:val="231F20"/>
          <w:spacing w:val="-4"/>
        </w:rPr>
        <w:t>S.</w:t>
      </w:r>
      <w:r>
        <w:rPr>
          <w:color w:val="231F20"/>
          <w:spacing w:val="-12"/>
        </w:rPr>
        <w:t> </w:t>
      </w:r>
      <w:r>
        <w:rPr>
          <w:color w:val="231F20"/>
          <w:spacing w:val="-4"/>
        </w:rPr>
        <w:t>A.</w:t>
      </w:r>
      <w:r>
        <w:rPr>
          <w:color w:val="231F20"/>
          <w:spacing w:val="-12"/>
        </w:rPr>
        <w:t> </w:t>
      </w:r>
      <w:r>
        <w:rPr>
          <w:color w:val="231F20"/>
          <w:spacing w:val="-4"/>
        </w:rPr>
        <w:t>(SATSA),</w:t>
      </w:r>
      <w:r>
        <w:rPr>
          <w:color w:val="231F20"/>
          <w:spacing w:val="-12"/>
        </w:rPr>
        <w:t> </w:t>
      </w:r>
      <w:r>
        <w:rPr>
          <w:color w:val="231F20"/>
          <w:spacing w:val="-4"/>
        </w:rPr>
        <w:t>mais </w:t>
      </w:r>
      <w:r>
        <w:rPr>
          <w:color w:val="231F20"/>
          <w:spacing w:val="-6"/>
        </w:rPr>
        <w:t>l’opération</w:t>
      </w:r>
      <w:r>
        <w:rPr>
          <w:color w:val="231F20"/>
          <w:spacing w:val="-11"/>
        </w:rPr>
        <w:t> </w:t>
      </w:r>
      <w:r>
        <w:rPr>
          <w:color w:val="231F20"/>
          <w:spacing w:val="-6"/>
        </w:rPr>
        <w:t>a</w:t>
      </w:r>
      <w:r>
        <w:rPr>
          <w:color w:val="231F20"/>
          <w:spacing w:val="-10"/>
        </w:rPr>
        <w:t> </w:t>
      </w:r>
      <w:r>
        <w:rPr>
          <w:color w:val="231F20"/>
          <w:spacing w:val="-6"/>
        </w:rPr>
        <w:t>été</w:t>
      </w:r>
      <w:r>
        <w:rPr>
          <w:color w:val="231F20"/>
          <w:spacing w:val="-10"/>
        </w:rPr>
        <w:t> </w:t>
      </w:r>
      <w:r>
        <w:rPr>
          <w:color w:val="231F20"/>
          <w:spacing w:val="-6"/>
        </w:rPr>
        <w:t>annulée</w:t>
      </w:r>
      <w:r>
        <w:rPr>
          <w:color w:val="231F20"/>
          <w:spacing w:val="-11"/>
        </w:rPr>
        <w:t> </w:t>
      </w:r>
      <w:r>
        <w:rPr>
          <w:color w:val="231F20"/>
          <w:spacing w:val="-6"/>
        </w:rPr>
        <w:t>parce</w:t>
      </w:r>
      <w:r>
        <w:rPr>
          <w:color w:val="231F20"/>
          <w:spacing w:val="-10"/>
        </w:rPr>
        <w:t> </w:t>
      </w:r>
      <w:r>
        <w:rPr>
          <w:color w:val="231F20"/>
          <w:spacing w:val="-6"/>
        </w:rPr>
        <w:t>que,</w:t>
      </w:r>
      <w:r>
        <w:rPr>
          <w:color w:val="231F20"/>
          <w:spacing w:val="-10"/>
        </w:rPr>
        <w:t> </w:t>
      </w:r>
      <w:r>
        <w:rPr>
          <w:color w:val="231F20"/>
          <w:spacing w:val="-6"/>
        </w:rPr>
        <w:t>comme </w:t>
      </w:r>
      <w:r>
        <w:rPr>
          <w:color w:val="231F20"/>
        </w:rPr>
        <w:t>on l’a vérifié ensuite, Cuba est censément commanditaire</w:t>
      </w:r>
      <w:r>
        <w:rPr>
          <w:color w:val="231F20"/>
          <w:spacing w:val="-17"/>
        </w:rPr>
        <w:t> </w:t>
      </w:r>
      <w:r>
        <w:rPr>
          <w:color w:val="231F20"/>
        </w:rPr>
        <w:t>de</w:t>
      </w:r>
      <w:r>
        <w:rPr>
          <w:color w:val="231F20"/>
          <w:spacing w:val="-16"/>
        </w:rPr>
        <w:t> </w:t>
      </w:r>
      <w:r>
        <w:rPr>
          <w:color w:val="231F20"/>
        </w:rPr>
        <w:t>terrorisme.</w:t>
      </w:r>
    </w:p>
    <w:p>
      <w:pPr>
        <w:pStyle w:val="BodyText"/>
        <w:spacing w:before="168"/>
        <w:ind w:left="1133"/>
      </w:pPr>
      <w:r>
        <w:rPr>
          <w:color w:val="231F20"/>
        </w:rPr>
        <w:t>Dans le secteur de l’énergie et des mines, les</w:t>
      </w:r>
      <w:r>
        <w:rPr>
          <w:color w:val="231F20"/>
          <w:spacing w:val="-17"/>
        </w:rPr>
        <w:t> </w:t>
      </w:r>
      <w:r>
        <w:rPr>
          <w:color w:val="231F20"/>
        </w:rPr>
        <w:t>préjudices</w:t>
      </w:r>
      <w:r>
        <w:rPr>
          <w:color w:val="231F20"/>
          <w:spacing w:val="-16"/>
        </w:rPr>
        <w:t> </w:t>
      </w:r>
      <w:r>
        <w:rPr>
          <w:color w:val="231F20"/>
        </w:rPr>
        <w:t>se</w:t>
      </w:r>
      <w:r>
        <w:rPr>
          <w:color w:val="231F20"/>
          <w:spacing w:val="-17"/>
        </w:rPr>
        <w:t> </w:t>
      </w:r>
      <w:r>
        <w:rPr>
          <w:color w:val="231F20"/>
        </w:rPr>
        <w:t>sont</w:t>
      </w:r>
      <w:r>
        <w:rPr>
          <w:color w:val="231F20"/>
          <w:spacing w:val="-16"/>
        </w:rPr>
        <w:t> </w:t>
      </w:r>
      <w:r>
        <w:rPr>
          <w:color w:val="231F20"/>
        </w:rPr>
        <w:t>élevés</w:t>
      </w:r>
      <w:r>
        <w:rPr>
          <w:color w:val="231F20"/>
          <w:spacing w:val="-17"/>
        </w:rPr>
        <w:t> </w:t>
      </w:r>
      <w:r>
        <w:rPr>
          <w:color w:val="231F20"/>
        </w:rPr>
        <w:t>à</w:t>
      </w:r>
      <w:r>
        <w:rPr>
          <w:color w:val="231F20"/>
          <w:spacing w:val="-16"/>
        </w:rPr>
        <w:t> </w:t>
      </w:r>
      <w:r>
        <w:rPr>
          <w:color w:val="231F20"/>
        </w:rPr>
        <w:t>491</w:t>
      </w:r>
      <w:r>
        <w:rPr>
          <w:color w:val="231F20"/>
          <w:spacing w:val="-17"/>
        </w:rPr>
        <w:t> </w:t>
      </w:r>
      <w:r>
        <w:rPr>
          <w:color w:val="231F20"/>
        </w:rPr>
        <w:t>156</w:t>
      </w:r>
      <w:r>
        <w:rPr>
          <w:color w:val="231F20"/>
          <w:spacing w:val="-16"/>
        </w:rPr>
        <w:t> </w:t>
      </w:r>
      <w:r>
        <w:rPr>
          <w:color w:val="231F20"/>
        </w:rPr>
        <w:t>960 dollars, l’entreprise la plus touchée ayant été</w:t>
      </w:r>
      <w:r>
        <w:rPr>
          <w:color w:val="231F20"/>
          <w:spacing w:val="-17"/>
        </w:rPr>
        <w:t> </w:t>
      </w:r>
      <w:r>
        <w:rPr>
          <w:color w:val="231F20"/>
        </w:rPr>
        <w:t>l’Unión</w:t>
      </w:r>
      <w:r>
        <w:rPr>
          <w:color w:val="231F20"/>
          <w:spacing w:val="-16"/>
        </w:rPr>
        <w:t> </w:t>
      </w:r>
      <w:r>
        <w:rPr>
          <w:color w:val="231F20"/>
        </w:rPr>
        <w:t>Nacional</w:t>
      </w:r>
      <w:r>
        <w:rPr>
          <w:color w:val="231F20"/>
          <w:spacing w:val="-10"/>
        </w:rPr>
        <w:t> </w:t>
      </w:r>
      <w:r>
        <w:rPr>
          <w:color w:val="231F20"/>
        </w:rPr>
        <w:t>à</w:t>
      </w:r>
      <w:r>
        <w:rPr>
          <w:color w:val="231F20"/>
          <w:spacing w:val="-17"/>
        </w:rPr>
        <w:t> </w:t>
      </w:r>
      <w:r>
        <w:rPr>
          <w:color w:val="231F20"/>
        </w:rPr>
        <w:t>hauteur</w:t>
      </w:r>
      <w:r>
        <w:rPr>
          <w:color w:val="231F20"/>
          <w:spacing w:val="22"/>
        </w:rPr>
        <w:t> </w:t>
      </w:r>
      <w:r>
        <w:rPr>
          <w:color w:val="231F20"/>
        </w:rPr>
        <w:t>de</w:t>
      </w:r>
      <w:r>
        <w:rPr>
          <w:color w:val="231F20"/>
          <w:spacing w:val="-17"/>
        </w:rPr>
        <w:t> </w:t>
      </w:r>
      <w:r>
        <w:rPr>
          <w:color w:val="231F20"/>
        </w:rPr>
        <w:t>239</w:t>
      </w:r>
      <w:r>
        <w:rPr>
          <w:color w:val="231F20"/>
          <w:spacing w:val="-16"/>
        </w:rPr>
        <w:t> </w:t>
      </w:r>
      <w:r>
        <w:rPr>
          <w:color w:val="231F20"/>
        </w:rPr>
        <w:t>276 300 dollars.</w:t>
      </w:r>
    </w:p>
    <w:p>
      <w:pPr>
        <w:pStyle w:val="BodyText"/>
        <w:spacing w:before="164"/>
        <w:ind w:left="1133"/>
      </w:pPr>
      <w:r>
        <w:rPr>
          <w:color w:val="231F20"/>
          <w:spacing w:val="-2"/>
        </w:rPr>
        <w:t>Cuba</w:t>
      </w:r>
      <w:r>
        <w:rPr>
          <w:color w:val="231F20"/>
          <w:spacing w:val="-15"/>
        </w:rPr>
        <w:t> </w:t>
      </w:r>
      <w:r>
        <w:rPr>
          <w:color w:val="231F20"/>
          <w:spacing w:val="-2"/>
        </w:rPr>
        <w:t>a</w:t>
      </w:r>
      <w:r>
        <w:rPr>
          <w:color w:val="231F20"/>
          <w:spacing w:val="-14"/>
        </w:rPr>
        <w:t> </w:t>
      </w:r>
      <w:r>
        <w:rPr>
          <w:color w:val="231F20"/>
          <w:spacing w:val="-2"/>
        </w:rPr>
        <w:t>dû</w:t>
      </w:r>
      <w:r>
        <w:rPr>
          <w:color w:val="231F20"/>
          <w:spacing w:val="-15"/>
        </w:rPr>
        <w:t> </w:t>
      </w:r>
      <w:r>
        <w:rPr>
          <w:color w:val="231F20"/>
          <w:spacing w:val="-2"/>
        </w:rPr>
        <w:t>faire</w:t>
      </w:r>
      <w:r>
        <w:rPr>
          <w:color w:val="231F20"/>
          <w:spacing w:val="-14"/>
        </w:rPr>
        <w:t> </w:t>
      </w:r>
      <w:r>
        <w:rPr>
          <w:color w:val="231F20"/>
          <w:spacing w:val="-2"/>
        </w:rPr>
        <w:t>face</w:t>
      </w:r>
      <w:r>
        <w:rPr>
          <w:color w:val="231F20"/>
          <w:spacing w:val="-15"/>
        </w:rPr>
        <w:t> </w:t>
      </w:r>
      <w:r>
        <w:rPr>
          <w:color w:val="231F20"/>
          <w:spacing w:val="-2"/>
        </w:rPr>
        <w:t>à</w:t>
      </w:r>
      <w:r>
        <w:rPr>
          <w:color w:val="231F20"/>
          <w:spacing w:val="-14"/>
        </w:rPr>
        <w:t> </w:t>
      </w:r>
      <w:r>
        <w:rPr>
          <w:color w:val="231F20"/>
          <w:spacing w:val="-2"/>
        </w:rPr>
        <w:t>d’énormes</w:t>
      </w:r>
      <w:r>
        <w:rPr>
          <w:color w:val="231F20"/>
          <w:spacing w:val="-15"/>
        </w:rPr>
        <w:t> </w:t>
      </w:r>
      <w:r>
        <w:rPr>
          <w:color w:val="231F20"/>
          <w:spacing w:val="-2"/>
        </w:rPr>
        <w:t>difficultés </w:t>
      </w:r>
      <w:r>
        <w:rPr>
          <w:color w:val="231F20"/>
        </w:rPr>
        <w:t>durant</w:t>
      </w:r>
      <w:r>
        <w:rPr>
          <w:color w:val="231F20"/>
          <w:spacing w:val="-12"/>
        </w:rPr>
        <w:t> </w:t>
      </w:r>
      <w:r>
        <w:rPr>
          <w:color w:val="231F20"/>
        </w:rPr>
        <w:t>la</w:t>
      </w:r>
      <w:r>
        <w:rPr>
          <w:color w:val="231F20"/>
          <w:spacing w:val="-12"/>
        </w:rPr>
        <w:t> </w:t>
      </w:r>
      <w:r>
        <w:rPr>
          <w:color w:val="231F20"/>
        </w:rPr>
        <w:t>période</w:t>
      </w:r>
      <w:r>
        <w:rPr>
          <w:color w:val="231F20"/>
          <w:spacing w:val="-12"/>
        </w:rPr>
        <w:t> </w:t>
      </w:r>
      <w:r>
        <w:rPr>
          <w:color w:val="231F20"/>
        </w:rPr>
        <w:t>analysée</w:t>
      </w:r>
      <w:r>
        <w:rPr>
          <w:color w:val="231F20"/>
          <w:spacing w:val="-12"/>
        </w:rPr>
        <w:t> </w:t>
      </w:r>
      <w:r>
        <w:rPr>
          <w:color w:val="231F20"/>
        </w:rPr>
        <w:t>pour</w:t>
      </w:r>
      <w:r>
        <w:rPr>
          <w:color w:val="231F20"/>
          <w:spacing w:val="-12"/>
        </w:rPr>
        <w:t> </w:t>
      </w:r>
      <w:r>
        <w:rPr>
          <w:color w:val="231F20"/>
        </w:rPr>
        <w:t>maintenir sa production d’électricité et garantir un </w:t>
      </w:r>
      <w:r>
        <w:rPr>
          <w:color w:val="231F20"/>
          <w:spacing w:val="-6"/>
        </w:rPr>
        <w:t>service</w:t>
      </w:r>
      <w:r>
        <w:rPr>
          <w:color w:val="231F20"/>
          <w:spacing w:val="-11"/>
        </w:rPr>
        <w:t> </w:t>
      </w:r>
      <w:r>
        <w:rPr>
          <w:color w:val="231F20"/>
          <w:spacing w:val="-6"/>
        </w:rPr>
        <w:t>stable</w:t>
      </w:r>
      <w:r>
        <w:rPr>
          <w:color w:val="231F20"/>
          <w:spacing w:val="-10"/>
        </w:rPr>
        <w:t> </w:t>
      </w:r>
      <w:r>
        <w:rPr>
          <w:color w:val="231F20"/>
          <w:spacing w:val="-6"/>
        </w:rPr>
        <w:t>à</w:t>
      </w:r>
      <w:r>
        <w:rPr>
          <w:color w:val="231F20"/>
          <w:spacing w:val="-11"/>
        </w:rPr>
        <w:t> </w:t>
      </w:r>
      <w:r>
        <w:rPr>
          <w:color w:val="231F20"/>
          <w:spacing w:val="-6"/>
        </w:rPr>
        <w:t>la</w:t>
      </w:r>
      <w:r>
        <w:rPr>
          <w:color w:val="231F20"/>
          <w:spacing w:val="-10"/>
        </w:rPr>
        <w:t> </w:t>
      </w:r>
      <w:r>
        <w:rPr>
          <w:color w:val="231F20"/>
          <w:spacing w:val="-6"/>
        </w:rPr>
        <w:t>population</w:t>
      </w:r>
      <w:r>
        <w:rPr>
          <w:color w:val="231F20"/>
          <w:spacing w:val="-11"/>
        </w:rPr>
        <w:t> </w:t>
      </w:r>
      <w:r>
        <w:rPr>
          <w:color w:val="231F20"/>
          <w:spacing w:val="-6"/>
        </w:rPr>
        <w:t>et</w:t>
      </w:r>
      <w:r>
        <w:rPr>
          <w:color w:val="231F20"/>
          <w:spacing w:val="-10"/>
        </w:rPr>
        <w:t> </w:t>
      </w:r>
      <w:r>
        <w:rPr>
          <w:color w:val="231F20"/>
          <w:spacing w:val="-6"/>
        </w:rPr>
        <w:t>aux</w:t>
      </w:r>
      <w:r>
        <w:rPr>
          <w:color w:val="231F20"/>
          <w:spacing w:val="-11"/>
        </w:rPr>
        <w:t> </w:t>
      </w:r>
      <w:r>
        <w:rPr>
          <w:color w:val="231F20"/>
          <w:spacing w:val="-6"/>
        </w:rPr>
        <w:t>secteurs </w:t>
      </w:r>
      <w:r>
        <w:rPr>
          <w:color w:val="231F20"/>
        </w:rPr>
        <w:t>stratégiques</w:t>
      </w:r>
      <w:r>
        <w:rPr>
          <w:color w:val="231F20"/>
          <w:spacing w:val="-17"/>
        </w:rPr>
        <w:t> </w:t>
      </w:r>
      <w:r>
        <w:rPr>
          <w:color w:val="231F20"/>
        </w:rPr>
        <w:t>de</w:t>
      </w:r>
      <w:r>
        <w:rPr>
          <w:color w:val="231F20"/>
          <w:spacing w:val="-16"/>
        </w:rPr>
        <w:t> </w:t>
      </w:r>
      <w:r>
        <w:rPr>
          <w:color w:val="231F20"/>
        </w:rPr>
        <w:t>l’économie</w:t>
      </w:r>
      <w:r>
        <w:rPr>
          <w:color w:val="231F20"/>
          <w:spacing w:val="-17"/>
        </w:rPr>
        <w:t> </w:t>
      </w:r>
      <w:r>
        <w:rPr>
          <w:color w:val="231F20"/>
        </w:rPr>
        <w:t>nationale</w:t>
      </w:r>
      <w:r>
        <w:rPr>
          <w:color w:val="231F20"/>
          <w:spacing w:val="-16"/>
        </w:rPr>
        <w:t> </w:t>
      </w:r>
      <w:r>
        <w:rPr>
          <w:color w:val="231F20"/>
        </w:rPr>
        <w:t>dans la mesure où le durcissement du blocus</w:t>
      </w:r>
      <w:r>
        <w:rPr>
          <w:color w:val="231F20"/>
          <w:spacing w:val="80"/>
          <w:w w:val="150"/>
        </w:rPr>
        <w:t> </w:t>
      </w:r>
      <w:r>
        <w:rPr>
          <w:color w:val="231F20"/>
        </w:rPr>
        <w:t>a aggravé nos limitations financières et notre</w:t>
      </w:r>
      <w:r>
        <w:rPr>
          <w:color w:val="231F20"/>
          <w:spacing w:val="40"/>
        </w:rPr>
        <w:t> </w:t>
      </w:r>
      <w:r>
        <w:rPr>
          <w:color w:val="231F20"/>
        </w:rPr>
        <w:t>accès</w:t>
      </w:r>
      <w:r>
        <w:rPr>
          <w:color w:val="231F20"/>
          <w:spacing w:val="40"/>
        </w:rPr>
        <w:t> </w:t>
      </w:r>
      <w:r>
        <w:rPr>
          <w:color w:val="231F20"/>
        </w:rPr>
        <w:t>à</w:t>
      </w:r>
      <w:r>
        <w:rPr>
          <w:color w:val="231F20"/>
          <w:spacing w:val="40"/>
        </w:rPr>
        <w:t> </w:t>
      </w:r>
      <w:r>
        <w:rPr>
          <w:color w:val="231F20"/>
        </w:rPr>
        <w:t>des</w:t>
      </w:r>
      <w:r>
        <w:rPr>
          <w:color w:val="231F20"/>
          <w:spacing w:val="40"/>
        </w:rPr>
        <w:t> </w:t>
      </w:r>
      <w:r>
        <w:rPr>
          <w:color w:val="231F20"/>
        </w:rPr>
        <w:t>crédits</w:t>
      </w:r>
      <w:r>
        <w:rPr>
          <w:color w:val="231F20"/>
          <w:spacing w:val="40"/>
        </w:rPr>
        <w:t> </w:t>
      </w:r>
      <w:r>
        <w:rPr>
          <w:color w:val="231F20"/>
        </w:rPr>
        <w:t>nécessaires</w:t>
      </w:r>
      <w:r>
        <w:rPr>
          <w:color w:val="231F20"/>
          <w:spacing w:val="40"/>
        </w:rPr>
        <w:t> </w:t>
      </w:r>
      <w:r>
        <w:rPr>
          <w:color w:val="231F20"/>
        </w:rPr>
        <w:t>à la maintenance et à la réparation des </w:t>
      </w:r>
      <w:r>
        <w:rPr>
          <w:color w:val="231F20"/>
          <w:spacing w:val="-2"/>
        </w:rPr>
        <w:t>centrales</w:t>
      </w:r>
      <w:r>
        <w:rPr>
          <w:color w:val="231F20"/>
          <w:spacing w:val="-9"/>
        </w:rPr>
        <w:t> </w:t>
      </w:r>
      <w:r>
        <w:rPr>
          <w:color w:val="231F20"/>
          <w:spacing w:val="-2"/>
        </w:rPr>
        <w:t>thermiques,</w:t>
      </w:r>
      <w:r>
        <w:rPr>
          <w:color w:val="231F20"/>
          <w:spacing w:val="-9"/>
        </w:rPr>
        <w:t> </w:t>
      </w:r>
      <w:r>
        <w:rPr>
          <w:color w:val="231F20"/>
          <w:spacing w:val="-2"/>
        </w:rPr>
        <w:t>ainsi</w:t>
      </w:r>
      <w:r>
        <w:rPr>
          <w:color w:val="231F20"/>
          <w:spacing w:val="-9"/>
        </w:rPr>
        <w:t> </w:t>
      </w:r>
      <w:r>
        <w:rPr>
          <w:color w:val="231F20"/>
          <w:spacing w:val="-2"/>
        </w:rPr>
        <w:t>qu’à</w:t>
      </w:r>
      <w:r>
        <w:rPr>
          <w:color w:val="231F20"/>
          <w:spacing w:val="-9"/>
        </w:rPr>
        <w:t> </w:t>
      </w:r>
      <w:r>
        <w:rPr>
          <w:color w:val="231F20"/>
          <w:spacing w:val="-2"/>
        </w:rPr>
        <w:t>l’achat</w:t>
      </w:r>
      <w:r>
        <w:rPr>
          <w:color w:val="231F20"/>
          <w:spacing w:val="-9"/>
        </w:rPr>
        <w:t> </w:t>
      </w:r>
      <w:r>
        <w:rPr>
          <w:color w:val="231F20"/>
          <w:spacing w:val="-2"/>
        </w:rPr>
        <w:t>des </w:t>
      </w:r>
      <w:r>
        <w:rPr>
          <w:color w:val="231F20"/>
        </w:rPr>
        <w:t>technologies et du carburant.</w:t>
      </w:r>
    </w:p>
    <w:p>
      <w:pPr>
        <w:pStyle w:val="BodyText"/>
        <w:spacing w:before="168"/>
        <w:ind w:left="1133"/>
      </w:pPr>
      <w:r>
        <w:rPr>
          <w:color w:val="231F20"/>
        </w:rPr>
        <w:t>Devoir se fournir sur des marchés plus éloignés pour garantir les maintenances requises</w:t>
      </w:r>
      <w:r>
        <w:rPr>
          <w:color w:val="231F20"/>
          <w:spacing w:val="-10"/>
        </w:rPr>
        <w:t> </w:t>
      </w:r>
      <w:r>
        <w:rPr>
          <w:color w:val="231F20"/>
        </w:rPr>
        <w:t>entraîne</w:t>
      </w:r>
      <w:r>
        <w:rPr>
          <w:color w:val="231F20"/>
          <w:spacing w:val="-10"/>
        </w:rPr>
        <w:t> </w:t>
      </w:r>
      <w:r>
        <w:rPr>
          <w:color w:val="231F20"/>
        </w:rPr>
        <w:t>un</w:t>
      </w:r>
      <w:r>
        <w:rPr>
          <w:color w:val="231F20"/>
          <w:spacing w:val="-10"/>
        </w:rPr>
        <w:t> </w:t>
      </w:r>
      <w:r>
        <w:rPr>
          <w:color w:val="231F20"/>
        </w:rPr>
        <w:t>surcoût</w:t>
      </w:r>
      <w:r>
        <w:rPr>
          <w:color w:val="231F20"/>
          <w:spacing w:val="-10"/>
        </w:rPr>
        <w:t> </w:t>
      </w:r>
      <w:r>
        <w:rPr>
          <w:color w:val="231F20"/>
        </w:rPr>
        <w:t>qui,</w:t>
      </w:r>
      <w:r>
        <w:rPr>
          <w:color w:val="231F20"/>
          <w:spacing w:val="-10"/>
        </w:rPr>
        <w:t> </w:t>
      </w:r>
      <w:r>
        <w:rPr>
          <w:color w:val="231F20"/>
        </w:rPr>
        <w:t>rien</w:t>
      </w:r>
      <w:r>
        <w:rPr>
          <w:color w:val="231F20"/>
          <w:spacing w:val="-10"/>
        </w:rPr>
        <w:t> </w:t>
      </w:r>
      <w:r>
        <w:rPr>
          <w:color w:val="231F20"/>
        </w:rPr>
        <w:t>qu’à titre</w:t>
      </w:r>
      <w:r>
        <w:rPr>
          <w:color w:val="231F20"/>
          <w:spacing w:val="-2"/>
        </w:rPr>
        <w:t> </w:t>
      </w:r>
      <w:r>
        <w:rPr>
          <w:color w:val="231F20"/>
        </w:rPr>
        <w:t>de</w:t>
      </w:r>
      <w:r>
        <w:rPr>
          <w:color w:val="231F20"/>
          <w:spacing w:val="-2"/>
        </w:rPr>
        <w:t> </w:t>
      </w:r>
      <w:r>
        <w:rPr>
          <w:color w:val="231F20"/>
        </w:rPr>
        <w:t>fret</w:t>
      </w:r>
      <w:r>
        <w:rPr>
          <w:color w:val="231F20"/>
          <w:spacing w:val="-2"/>
        </w:rPr>
        <w:t> </w:t>
      </w:r>
      <w:r>
        <w:rPr>
          <w:color w:val="231F20"/>
        </w:rPr>
        <w:t>et</w:t>
      </w:r>
      <w:r>
        <w:rPr>
          <w:color w:val="231F20"/>
          <w:spacing w:val="-2"/>
        </w:rPr>
        <w:t> </w:t>
      </w:r>
      <w:r>
        <w:rPr>
          <w:color w:val="231F20"/>
        </w:rPr>
        <w:t>assurance,</w:t>
      </w:r>
      <w:r>
        <w:rPr>
          <w:color w:val="231F20"/>
          <w:spacing w:val="-2"/>
        </w:rPr>
        <w:t> </w:t>
      </w:r>
      <w:r>
        <w:rPr>
          <w:color w:val="231F20"/>
        </w:rPr>
        <w:t>s’est</w:t>
      </w:r>
      <w:r>
        <w:rPr>
          <w:color w:val="231F20"/>
          <w:spacing w:val="-2"/>
        </w:rPr>
        <w:t> </w:t>
      </w:r>
      <w:r>
        <w:rPr>
          <w:color w:val="231F20"/>
        </w:rPr>
        <w:t>chiffré</w:t>
      </w:r>
      <w:r>
        <w:rPr>
          <w:color w:val="231F20"/>
          <w:spacing w:val="-2"/>
        </w:rPr>
        <w:t> </w:t>
      </w:r>
      <w:r>
        <w:rPr>
          <w:color w:val="231F20"/>
        </w:rPr>
        <w:t>à</w:t>
      </w:r>
      <w:r>
        <w:rPr>
          <w:color w:val="231F20"/>
          <w:spacing w:val="-2"/>
        </w:rPr>
        <w:t> </w:t>
      </w:r>
      <w:r>
        <w:rPr>
          <w:color w:val="231F20"/>
        </w:rPr>
        <w:t>92 784 868 dollars.</w:t>
      </w:r>
    </w:p>
    <w:p>
      <w:pPr>
        <w:pStyle w:val="BodyText"/>
        <w:spacing w:before="164"/>
        <w:ind w:left="1133" w:right="1"/>
      </w:pPr>
      <w:r>
        <w:rPr>
          <w:color w:val="231F20"/>
        </w:rPr>
        <w:t>Compte tenu de la politique de traque et </w:t>
      </w:r>
      <w:r>
        <w:rPr>
          <w:color w:val="231F20"/>
          <w:spacing w:val="-8"/>
        </w:rPr>
        <w:t>d’intimidation,</w:t>
      </w:r>
      <w:r>
        <w:rPr>
          <w:color w:val="231F20"/>
          <w:spacing w:val="-9"/>
        </w:rPr>
        <w:t> </w:t>
      </w:r>
      <w:r>
        <w:rPr>
          <w:color w:val="231F20"/>
          <w:spacing w:val="-8"/>
        </w:rPr>
        <w:t>ainsi que</w:t>
      </w:r>
      <w:r>
        <w:rPr>
          <w:color w:val="231F20"/>
          <w:spacing w:val="-9"/>
        </w:rPr>
        <w:t> </w:t>
      </w:r>
      <w:r>
        <w:rPr>
          <w:color w:val="231F20"/>
          <w:spacing w:val="-8"/>
        </w:rPr>
        <w:t>des réglementations </w:t>
      </w:r>
      <w:r>
        <w:rPr>
          <w:color w:val="231F20"/>
        </w:rPr>
        <w:t>et</w:t>
      </w:r>
      <w:r>
        <w:rPr>
          <w:color w:val="231F20"/>
          <w:spacing w:val="-14"/>
        </w:rPr>
        <w:t> </w:t>
      </w:r>
      <w:r>
        <w:rPr>
          <w:color w:val="231F20"/>
        </w:rPr>
        <w:t>dispositions</w:t>
      </w:r>
      <w:r>
        <w:rPr>
          <w:color w:val="231F20"/>
          <w:spacing w:val="-14"/>
        </w:rPr>
        <w:t> </w:t>
      </w:r>
      <w:r>
        <w:rPr>
          <w:color w:val="231F20"/>
        </w:rPr>
        <w:t>émises</w:t>
      </w:r>
      <w:r>
        <w:rPr>
          <w:color w:val="231F20"/>
          <w:spacing w:val="-14"/>
        </w:rPr>
        <w:t> </w:t>
      </w:r>
      <w:r>
        <w:rPr>
          <w:color w:val="231F20"/>
        </w:rPr>
        <w:t>par</w:t>
      </w:r>
      <w:r>
        <w:rPr>
          <w:color w:val="231F20"/>
          <w:spacing w:val="-14"/>
        </w:rPr>
        <w:t> </w:t>
      </w:r>
      <w:r>
        <w:rPr>
          <w:color w:val="231F20"/>
        </w:rPr>
        <w:t>l’administration étasunienne contre les armateurs et les compagnies maritimes qui fournissent des</w:t>
      </w:r>
      <w:r>
        <w:rPr>
          <w:color w:val="231F20"/>
          <w:spacing w:val="47"/>
          <w:w w:val="150"/>
        </w:rPr>
        <w:t> </w:t>
      </w:r>
      <w:r>
        <w:rPr>
          <w:color w:val="231F20"/>
        </w:rPr>
        <w:t>carburants</w:t>
      </w:r>
      <w:r>
        <w:rPr>
          <w:color w:val="231F20"/>
          <w:spacing w:val="48"/>
          <w:w w:val="150"/>
        </w:rPr>
        <w:t> </w:t>
      </w:r>
      <w:r>
        <w:rPr>
          <w:color w:val="231F20"/>
        </w:rPr>
        <w:t>à</w:t>
      </w:r>
      <w:r>
        <w:rPr>
          <w:color w:val="231F20"/>
          <w:spacing w:val="48"/>
          <w:w w:val="150"/>
        </w:rPr>
        <w:t> </w:t>
      </w:r>
      <w:r>
        <w:rPr>
          <w:color w:val="231F20"/>
        </w:rPr>
        <w:t>Cuba,</w:t>
      </w:r>
      <w:r>
        <w:rPr>
          <w:color w:val="231F20"/>
          <w:spacing w:val="48"/>
          <w:w w:val="150"/>
        </w:rPr>
        <w:t> </w:t>
      </w:r>
      <w:r>
        <w:rPr>
          <w:color w:val="231F20"/>
        </w:rPr>
        <w:t>la</w:t>
      </w:r>
      <w:r>
        <w:rPr>
          <w:color w:val="231F20"/>
          <w:spacing w:val="48"/>
          <w:w w:val="150"/>
        </w:rPr>
        <w:t> </w:t>
      </w:r>
      <w:r>
        <w:rPr>
          <w:color w:val="231F20"/>
        </w:rPr>
        <w:t>quantité</w:t>
      </w:r>
      <w:r>
        <w:rPr>
          <w:color w:val="231F20"/>
          <w:spacing w:val="48"/>
          <w:w w:val="150"/>
        </w:rPr>
        <w:t> </w:t>
      </w:r>
      <w:r>
        <w:rPr>
          <w:color w:val="231F20"/>
          <w:spacing w:val="-5"/>
        </w:rPr>
        <w:t>de</w:t>
      </w:r>
    </w:p>
    <w:p>
      <w:pPr>
        <w:pStyle w:val="BodyText"/>
        <w:spacing w:before="77"/>
        <w:ind w:left="414" w:right="1473"/>
      </w:pPr>
      <w:r>
        <w:rPr/>
        <w:br w:type="column"/>
      </w:r>
      <w:r>
        <w:rPr>
          <w:color w:val="231F20"/>
        </w:rPr>
        <w:t>fournisseurs étrangers prêts à le faire </w:t>
      </w:r>
      <w:r>
        <w:rPr>
          <w:color w:val="231F20"/>
        </w:rPr>
        <w:t>a </w:t>
      </w:r>
      <w:r>
        <w:rPr>
          <w:color w:val="231F20"/>
          <w:spacing w:val="-4"/>
        </w:rPr>
        <w:t>diminué</w:t>
      </w:r>
      <w:r>
        <w:rPr>
          <w:color w:val="231F20"/>
          <w:spacing w:val="-13"/>
        </w:rPr>
        <w:t> </w:t>
      </w:r>
      <w:r>
        <w:rPr>
          <w:color w:val="231F20"/>
          <w:spacing w:val="-4"/>
        </w:rPr>
        <w:t>et</w:t>
      </w:r>
      <w:r>
        <w:rPr>
          <w:color w:val="231F20"/>
          <w:spacing w:val="-12"/>
        </w:rPr>
        <w:t> </w:t>
      </w:r>
      <w:r>
        <w:rPr>
          <w:color w:val="231F20"/>
          <w:spacing w:val="-4"/>
        </w:rPr>
        <w:t>ceux</w:t>
      </w:r>
      <w:r>
        <w:rPr>
          <w:color w:val="231F20"/>
          <w:spacing w:val="-13"/>
        </w:rPr>
        <w:t> </w:t>
      </w:r>
      <w:r>
        <w:rPr>
          <w:color w:val="231F20"/>
          <w:spacing w:val="-4"/>
        </w:rPr>
        <w:t>qui</w:t>
      </w:r>
      <w:r>
        <w:rPr>
          <w:color w:val="231F20"/>
          <w:spacing w:val="-12"/>
        </w:rPr>
        <w:t> </w:t>
      </w:r>
      <w:r>
        <w:rPr>
          <w:color w:val="231F20"/>
          <w:spacing w:val="-4"/>
        </w:rPr>
        <w:t>continuent</w:t>
      </w:r>
      <w:r>
        <w:rPr>
          <w:color w:val="231F20"/>
          <w:spacing w:val="-13"/>
        </w:rPr>
        <w:t> </w:t>
      </w:r>
      <w:r>
        <w:rPr>
          <w:color w:val="231F20"/>
          <w:spacing w:val="-4"/>
        </w:rPr>
        <w:t>de</w:t>
      </w:r>
      <w:r>
        <w:rPr>
          <w:color w:val="231F20"/>
          <w:spacing w:val="-12"/>
        </w:rPr>
        <w:t> </w:t>
      </w:r>
      <w:r>
        <w:rPr>
          <w:color w:val="231F20"/>
          <w:spacing w:val="-4"/>
        </w:rPr>
        <w:t>livrer</w:t>
      </w:r>
      <w:r>
        <w:rPr>
          <w:color w:val="231F20"/>
          <w:spacing w:val="-13"/>
        </w:rPr>
        <w:t> </w:t>
      </w:r>
      <w:r>
        <w:rPr>
          <w:color w:val="231F20"/>
          <w:spacing w:val="-4"/>
        </w:rPr>
        <w:t>ont </w:t>
      </w:r>
      <w:r>
        <w:rPr>
          <w:color w:val="231F20"/>
          <w:spacing w:val="-2"/>
        </w:rPr>
        <w:t>élevé</w:t>
      </w:r>
      <w:r>
        <w:rPr>
          <w:color w:val="231F20"/>
          <w:spacing w:val="-11"/>
        </w:rPr>
        <w:t> </w:t>
      </w:r>
      <w:r>
        <w:rPr>
          <w:color w:val="231F20"/>
          <w:spacing w:val="-2"/>
        </w:rPr>
        <w:t>considérablement</w:t>
      </w:r>
      <w:r>
        <w:rPr>
          <w:color w:val="231F20"/>
          <w:spacing w:val="-11"/>
        </w:rPr>
        <w:t> </w:t>
      </w:r>
      <w:r>
        <w:rPr>
          <w:color w:val="231F20"/>
          <w:spacing w:val="-2"/>
        </w:rPr>
        <w:t>leurs</w:t>
      </w:r>
      <w:r>
        <w:rPr>
          <w:color w:val="231F20"/>
          <w:spacing w:val="-11"/>
        </w:rPr>
        <w:t> </w:t>
      </w:r>
      <w:r>
        <w:rPr>
          <w:color w:val="231F20"/>
          <w:spacing w:val="-2"/>
        </w:rPr>
        <w:t>tarifs</w:t>
      </w:r>
      <w:r>
        <w:rPr>
          <w:color w:val="231F20"/>
          <w:spacing w:val="-11"/>
        </w:rPr>
        <w:t> </w:t>
      </w:r>
      <w:r>
        <w:rPr>
          <w:color w:val="231F20"/>
          <w:spacing w:val="-2"/>
        </w:rPr>
        <w:t>à</w:t>
      </w:r>
      <w:r>
        <w:rPr>
          <w:color w:val="231F20"/>
          <w:spacing w:val="-11"/>
        </w:rPr>
        <w:t> </w:t>
      </w:r>
      <w:r>
        <w:rPr>
          <w:color w:val="231F20"/>
          <w:spacing w:val="-2"/>
        </w:rPr>
        <w:t>cause </w:t>
      </w:r>
      <w:r>
        <w:rPr>
          <w:color w:val="231F20"/>
          <w:spacing w:val="-4"/>
        </w:rPr>
        <w:t>du</w:t>
      </w:r>
      <w:r>
        <w:rPr>
          <w:color w:val="231F20"/>
          <w:spacing w:val="-6"/>
        </w:rPr>
        <w:t> </w:t>
      </w:r>
      <w:r>
        <w:rPr>
          <w:color w:val="231F20"/>
          <w:spacing w:val="-4"/>
        </w:rPr>
        <w:t>risque-pays,</w:t>
      </w:r>
      <w:r>
        <w:rPr>
          <w:color w:val="231F20"/>
          <w:spacing w:val="-6"/>
        </w:rPr>
        <w:t> </w:t>
      </w:r>
      <w:r>
        <w:rPr>
          <w:color w:val="231F20"/>
          <w:spacing w:val="-4"/>
        </w:rPr>
        <w:t>cette</w:t>
      </w:r>
      <w:r>
        <w:rPr>
          <w:color w:val="231F20"/>
          <w:spacing w:val="-6"/>
        </w:rPr>
        <w:t> </w:t>
      </w:r>
      <w:r>
        <w:rPr>
          <w:color w:val="231F20"/>
          <w:spacing w:val="-4"/>
        </w:rPr>
        <w:t>politique</w:t>
      </w:r>
      <w:r>
        <w:rPr>
          <w:color w:val="231F20"/>
          <w:spacing w:val="-6"/>
        </w:rPr>
        <w:t> </w:t>
      </w:r>
      <w:r>
        <w:rPr>
          <w:color w:val="231F20"/>
          <w:spacing w:val="-4"/>
        </w:rPr>
        <w:t>étasunienne </w:t>
      </w:r>
      <w:r>
        <w:rPr>
          <w:color w:val="231F20"/>
        </w:rPr>
        <w:t>entraînant aussi de nombreux retards de </w:t>
      </w:r>
      <w:r>
        <w:rPr>
          <w:color w:val="231F20"/>
          <w:spacing w:val="-6"/>
        </w:rPr>
        <w:t>livraison malgré les contrats</w:t>
      </w:r>
      <w:r>
        <w:rPr>
          <w:color w:val="231F20"/>
          <w:spacing w:val="-7"/>
        </w:rPr>
        <w:t> </w:t>
      </w:r>
      <w:r>
        <w:rPr>
          <w:color w:val="231F20"/>
          <w:spacing w:val="-6"/>
        </w:rPr>
        <w:t>souscrits et, par </w:t>
      </w:r>
      <w:r>
        <w:rPr>
          <w:color w:val="231F20"/>
        </w:rPr>
        <w:t>conséquent,</w:t>
      </w:r>
      <w:r>
        <w:rPr>
          <w:color w:val="231F20"/>
          <w:spacing w:val="-4"/>
        </w:rPr>
        <w:t> </w:t>
      </w:r>
      <w:r>
        <w:rPr>
          <w:color w:val="231F20"/>
        </w:rPr>
        <w:t>des</w:t>
      </w:r>
      <w:r>
        <w:rPr>
          <w:color w:val="231F20"/>
          <w:spacing w:val="-4"/>
        </w:rPr>
        <w:t> </w:t>
      </w:r>
      <w:r>
        <w:rPr>
          <w:color w:val="231F20"/>
        </w:rPr>
        <w:t>ruptures</w:t>
      </w:r>
      <w:r>
        <w:rPr>
          <w:color w:val="231F20"/>
          <w:spacing w:val="-4"/>
        </w:rPr>
        <w:t> </w:t>
      </w:r>
      <w:r>
        <w:rPr>
          <w:color w:val="231F20"/>
        </w:rPr>
        <w:t>de</w:t>
      </w:r>
      <w:r>
        <w:rPr>
          <w:color w:val="231F20"/>
          <w:spacing w:val="-4"/>
        </w:rPr>
        <w:t> </w:t>
      </w:r>
      <w:r>
        <w:rPr>
          <w:color w:val="231F20"/>
        </w:rPr>
        <w:t>stocks.</w:t>
      </w:r>
    </w:p>
    <w:p>
      <w:pPr>
        <w:pStyle w:val="BodyText"/>
        <w:spacing w:before="165"/>
        <w:ind w:left="414" w:right="1473"/>
      </w:pPr>
      <w:r>
        <w:rPr>
          <w:color w:val="231F20"/>
        </w:rPr>
        <w:t>Mais ces données ne traduisent pas dans leur froideur les véritables effets de ces préjudices sur la vie quotidienne des </w:t>
      </w:r>
      <w:r>
        <w:rPr>
          <w:color w:val="231F20"/>
          <w:spacing w:val="-4"/>
        </w:rPr>
        <w:t>Cubains</w:t>
      </w:r>
      <w:r>
        <w:rPr>
          <w:color w:val="231F20"/>
          <w:spacing w:val="-13"/>
        </w:rPr>
        <w:t> </w:t>
      </w:r>
      <w:r>
        <w:rPr>
          <w:color w:val="231F20"/>
          <w:spacing w:val="-4"/>
        </w:rPr>
        <w:t>ni</w:t>
      </w:r>
      <w:r>
        <w:rPr>
          <w:color w:val="231F20"/>
          <w:spacing w:val="-12"/>
        </w:rPr>
        <w:t> </w:t>
      </w:r>
      <w:r>
        <w:rPr>
          <w:color w:val="231F20"/>
          <w:spacing w:val="-4"/>
        </w:rPr>
        <w:t>le</w:t>
      </w:r>
      <w:r>
        <w:rPr>
          <w:color w:val="231F20"/>
          <w:spacing w:val="-13"/>
        </w:rPr>
        <w:t> </w:t>
      </w:r>
      <w:r>
        <w:rPr>
          <w:color w:val="231F20"/>
          <w:spacing w:val="-4"/>
        </w:rPr>
        <w:t>stress</w:t>
      </w:r>
      <w:r>
        <w:rPr>
          <w:color w:val="231F20"/>
          <w:spacing w:val="-12"/>
        </w:rPr>
        <w:t> </w:t>
      </w:r>
      <w:r>
        <w:rPr>
          <w:color w:val="231F20"/>
          <w:spacing w:val="-4"/>
        </w:rPr>
        <w:t>constant</w:t>
      </w:r>
      <w:r>
        <w:rPr>
          <w:color w:val="231F20"/>
          <w:spacing w:val="-13"/>
        </w:rPr>
        <w:t> </w:t>
      </w:r>
      <w:r>
        <w:rPr>
          <w:color w:val="231F20"/>
          <w:spacing w:val="-4"/>
        </w:rPr>
        <w:t>qu’engendrent </w:t>
      </w:r>
      <w:r>
        <w:rPr>
          <w:color w:val="231F20"/>
        </w:rPr>
        <w:t>les</w:t>
      </w:r>
      <w:r>
        <w:rPr>
          <w:color w:val="231F20"/>
          <w:spacing w:val="-17"/>
        </w:rPr>
        <w:t> </w:t>
      </w:r>
      <w:r>
        <w:rPr>
          <w:color w:val="231F20"/>
        </w:rPr>
        <w:t>coupures</w:t>
      </w:r>
      <w:r>
        <w:rPr>
          <w:color w:val="231F20"/>
          <w:spacing w:val="-16"/>
        </w:rPr>
        <w:t> </w:t>
      </w:r>
      <w:r>
        <w:rPr>
          <w:color w:val="231F20"/>
        </w:rPr>
        <w:t>de</w:t>
      </w:r>
      <w:r>
        <w:rPr>
          <w:color w:val="231F20"/>
          <w:spacing w:val="-17"/>
        </w:rPr>
        <w:t> </w:t>
      </w:r>
      <w:r>
        <w:rPr>
          <w:color w:val="231F20"/>
        </w:rPr>
        <w:t>courant,</w:t>
      </w:r>
      <w:r>
        <w:rPr>
          <w:color w:val="231F20"/>
          <w:spacing w:val="-16"/>
        </w:rPr>
        <w:t> </w:t>
      </w:r>
      <w:r>
        <w:rPr>
          <w:color w:val="231F20"/>
        </w:rPr>
        <w:t>malgré</w:t>
      </w:r>
      <w:r>
        <w:rPr>
          <w:color w:val="231F20"/>
          <w:spacing w:val="-17"/>
        </w:rPr>
        <w:t> </w:t>
      </w:r>
      <w:r>
        <w:rPr>
          <w:color w:val="231F20"/>
        </w:rPr>
        <w:t>les</w:t>
      </w:r>
      <w:r>
        <w:rPr>
          <w:color w:val="231F20"/>
          <w:spacing w:val="-16"/>
        </w:rPr>
        <w:t> </w:t>
      </w:r>
      <w:r>
        <w:rPr>
          <w:color w:val="231F20"/>
        </w:rPr>
        <w:t>efforts </w:t>
      </w:r>
      <w:r>
        <w:rPr>
          <w:color w:val="231F20"/>
          <w:spacing w:val="-2"/>
        </w:rPr>
        <w:t>que</w:t>
      </w:r>
      <w:r>
        <w:rPr>
          <w:color w:val="231F20"/>
          <w:spacing w:val="-10"/>
        </w:rPr>
        <w:t> </w:t>
      </w:r>
      <w:r>
        <w:rPr>
          <w:color w:val="231F20"/>
          <w:spacing w:val="-2"/>
        </w:rPr>
        <w:t>consent</w:t>
      </w:r>
      <w:r>
        <w:rPr>
          <w:color w:val="231F20"/>
          <w:spacing w:val="-10"/>
        </w:rPr>
        <w:t> </w:t>
      </w:r>
      <w:r>
        <w:rPr>
          <w:color w:val="231F20"/>
          <w:spacing w:val="-2"/>
        </w:rPr>
        <w:t>le</w:t>
      </w:r>
      <w:r>
        <w:rPr>
          <w:color w:val="231F20"/>
          <w:spacing w:val="-10"/>
        </w:rPr>
        <w:t> </w:t>
      </w:r>
      <w:r>
        <w:rPr>
          <w:color w:val="231F20"/>
          <w:spacing w:val="-2"/>
        </w:rPr>
        <w:t>gouvernement</w:t>
      </w:r>
      <w:r>
        <w:rPr>
          <w:color w:val="231F20"/>
          <w:spacing w:val="-10"/>
        </w:rPr>
        <w:t> </w:t>
      </w:r>
      <w:r>
        <w:rPr>
          <w:color w:val="231F20"/>
          <w:spacing w:val="-2"/>
        </w:rPr>
        <w:t>cubain</w:t>
      </w:r>
      <w:r>
        <w:rPr>
          <w:color w:val="231F20"/>
          <w:spacing w:val="-10"/>
        </w:rPr>
        <w:t> </w:t>
      </w:r>
      <w:r>
        <w:rPr>
          <w:color w:val="231F20"/>
          <w:spacing w:val="-2"/>
        </w:rPr>
        <w:t>pour </w:t>
      </w:r>
      <w:r>
        <w:rPr>
          <w:color w:val="231F20"/>
        </w:rPr>
        <w:t>régler ce problème vite et efficacement.</w:t>
      </w:r>
    </w:p>
    <w:p>
      <w:pPr>
        <w:pStyle w:val="BodyText"/>
        <w:spacing w:before="166"/>
        <w:ind w:left="414" w:right="1472"/>
      </w:pPr>
      <w:r>
        <w:rPr>
          <w:color w:val="231F20"/>
        </w:rPr>
        <w:t>Ainsi, la société allemande Brüel &amp; Kjær Vibro</w:t>
      </w:r>
      <w:r>
        <w:rPr>
          <w:color w:val="231F20"/>
          <w:spacing w:val="-17"/>
        </w:rPr>
        <w:t> </w:t>
      </w:r>
      <w:r>
        <w:rPr>
          <w:color w:val="231F20"/>
        </w:rPr>
        <w:t>GmbH,</w:t>
      </w:r>
      <w:r>
        <w:rPr>
          <w:color w:val="231F20"/>
          <w:spacing w:val="-16"/>
        </w:rPr>
        <w:t> </w:t>
      </w:r>
      <w:r>
        <w:rPr>
          <w:color w:val="231F20"/>
        </w:rPr>
        <w:t>qui</w:t>
      </w:r>
      <w:r>
        <w:rPr>
          <w:color w:val="231F20"/>
          <w:spacing w:val="-17"/>
        </w:rPr>
        <w:t> </w:t>
      </w:r>
      <w:r>
        <w:rPr>
          <w:color w:val="231F20"/>
        </w:rPr>
        <w:t>fournissait</w:t>
      </w:r>
      <w:r>
        <w:rPr>
          <w:color w:val="231F20"/>
          <w:spacing w:val="-16"/>
        </w:rPr>
        <w:t> </w:t>
      </w:r>
      <w:r>
        <w:rPr>
          <w:color w:val="231F20"/>
        </w:rPr>
        <w:t>la</w:t>
      </w:r>
      <w:r>
        <w:rPr>
          <w:color w:val="231F20"/>
          <w:spacing w:val="-17"/>
        </w:rPr>
        <w:t> </w:t>
      </w:r>
      <w:r>
        <w:rPr>
          <w:color w:val="231F20"/>
        </w:rPr>
        <w:t>technologie </w:t>
      </w:r>
      <w:r>
        <w:rPr>
          <w:color w:val="231F20"/>
          <w:spacing w:val="-4"/>
        </w:rPr>
        <w:t>des</w:t>
      </w:r>
      <w:r>
        <w:rPr>
          <w:color w:val="231F20"/>
          <w:spacing w:val="-7"/>
        </w:rPr>
        <w:t> </w:t>
      </w:r>
      <w:r>
        <w:rPr>
          <w:color w:val="231F20"/>
          <w:spacing w:val="-4"/>
        </w:rPr>
        <w:t>systèmes</w:t>
      </w:r>
      <w:r>
        <w:rPr>
          <w:color w:val="231F20"/>
          <w:spacing w:val="-7"/>
        </w:rPr>
        <w:t> </w:t>
      </w:r>
      <w:r>
        <w:rPr>
          <w:color w:val="231F20"/>
          <w:spacing w:val="-4"/>
        </w:rPr>
        <w:t>de</w:t>
      </w:r>
      <w:r>
        <w:rPr>
          <w:color w:val="231F20"/>
          <w:spacing w:val="-7"/>
        </w:rPr>
        <w:t> </w:t>
      </w:r>
      <w:r>
        <w:rPr>
          <w:color w:val="231F20"/>
          <w:spacing w:val="-4"/>
        </w:rPr>
        <w:t>monitorage</w:t>
      </w:r>
      <w:r>
        <w:rPr>
          <w:color w:val="231F20"/>
          <w:spacing w:val="-7"/>
        </w:rPr>
        <w:t> </w:t>
      </w:r>
      <w:r>
        <w:rPr>
          <w:color w:val="231F20"/>
          <w:spacing w:val="-4"/>
        </w:rPr>
        <w:t>des</w:t>
      </w:r>
      <w:r>
        <w:rPr>
          <w:color w:val="231F20"/>
          <w:spacing w:val="-7"/>
        </w:rPr>
        <w:t> </w:t>
      </w:r>
      <w:r>
        <w:rPr>
          <w:color w:val="231F20"/>
          <w:spacing w:val="-4"/>
        </w:rPr>
        <w:t>vibrations </w:t>
      </w:r>
      <w:r>
        <w:rPr>
          <w:color w:val="231F20"/>
        </w:rPr>
        <w:t>des turbines thermiques de l’Unión </w:t>
      </w:r>
      <w:r>
        <w:rPr>
          <w:color w:val="231F20"/>
          <w:spacing w:val="-2"/>
        </w:rPr>
        <w:t>Nacional</w:t>
      </w:r>
      <w:r>
        <w:rPr>
          <w:color w:val="231F20"/>
          <w:spacing w:val="-14"/>
        </w:rPr>
        <w:t> </w:t>
      </w:r>
      <w:r>
        <w:rPr>
          <w:color w:val="231F20"/>
          <w:spacing w:val="-2"/>
        </w:rPr>
        <w:t>Eléctrica</w:t>
      </w:r>
      <w:r>
        <w:rPr>
          <w:color w:val="231F20"/>
          <w:spacing w:val="-14"/>
        </w:rPr>
        <w:t> </w:t>
      </w:r>
      <w:r>
        <w:rPr>
          <w:color w:val="231F20"/>
          <w:spacing w:val="-2"/>
        </w:rPr>
        <w:t>(UNE)</w:t>
      </w:r>
      <w:r>
        <w:rPr>
          <w:color w:val="231F20"/>
          <w:spacing w:val="-14"/>
        </w:rPr>
        <w:t> </w:t>
      </w:r>
      <w:r>
        <w:rPr>
          <w:color w:val="231F20"/>
          <w:spacing w:val="-2"/>
        </w:rPr>
        <w:t>refuse</w:t>
      </w:r>
      <w:r>
        <w:rPr>
          <w:color w:val="231F20"/>
          <w:spacing w:val="-14"/>
        </w:rPr>
        <w:t> </w:t>
      </w:r>
      <w:r>
        <w:rPr>
          <w:color w:val="231F20"/>
          <w:spacing w:val="-2"/>
        </w:rPr>
        <w:t>toujours</w:t>
      </w:r>
      <w:r>
        <w:rPr>
          <w:color w:val="231F20"/>
          <w:spacing w:val="-14"/>
        </w:rPr>
        <w:t> </w:t>
      </w:r>
      <w:r>
        <w:rPr>
          <w:color w:val="231F20"/>
          <w:spacing w:val="-2"/>
        </w:rPr>
        <w:t>de </w:t>
      </w:r>
      <w:r>
        <w:rPr>
          <w:color w:val="231F20"/>
        </w:rPr>
        <w:t>travailler avec Cuba sur recommandation de</w:t>
      </w:r>
      <w:r>
        <w:rPr>
          <w:color w:val="231F20"/>
          <w:spacing w:val="-17"/>
        </w:rPr>
        <w:t> </w:t>
      </w:r>
      <w:r>
        <w:rPr>
          <w:color w:val="231F20"/>
        </w:rPr>
        <w:t>sa</w:t>
      </w:r>
      <w:r>
        <w:rPr>
          <w:color w:val="231F20"/>
          <w:spacing w:val="-16"/>
        </w:rPr>
        <w:t> </w:t>
      </w:r>
      <w:r>
        <w:rPr>
          <w:color w:val="231F20"/>
        </w:rPr>
        <w:t>banque</w:t>
      </w:r>
      <w:r>
        <w:rPr>
          <w:color w:val="231F20"/>
          <w:spacing w:val="-17"/>
        </w:rPr>
        <w:t> </w:t>
      </w:r>
      <w:r>
        <w:rPr>
          <w:color w:val="231F20"/>
        </w:rPr>
        <w:t>en</w:t>
      </w:r>
      <w:r>
        <w:rPr>
          <w:color w:val="231F20"/>
          <w:spacing w:val="-16"/>
        </w:rPr>
        <w:t> </w:t>
      </w:r>
      <w:r>
        <w:rPr>
          <w:color w:val="231F20"/>
        </w:rPr>
        <w:t>raison</w:t>
      </w:r>
      <w:r>
        <w:rPr>
          <w:color w:val="231F20"/>
          <w:spacing w:val="-17"/>
        </w:rPr>
        <w:t> </w:t>
      </w:r>
      <w:r>
        <w:rPr>
          <w:color w:val="231F20"/>
        </w:rPr>
        <w:t>du</w:t>
      </w:r>
      <w:r>
        <w:rPr>
          <w:color w:val="231F20"/>
          <w:spacing w:val="-16"/>
        </w:rPr>
        <w:t> </w:t>
      </w:r>
      <w:r>
        <w:rPr>
          <w:color w:val="231F20"/>
        </w:rPr>
        <w:t>Titre</w:t>
      </w:r>
      <w:r>
        <w:rPr>
          <w:color w:val="231F20"/>
          <w:spacing w:val="-17"/>
        </w:rPr>
        <w:t> </w:t>
      </w:r>
      <w:r>
        <w:rPr>
          <w:color w:val="231F20"/>
        </w:rPr>
        <w:t>III</w:t>
      </w:r>
      <w:r>
        <w:rPr>
          <w:color w:val="231F20"/>
          <w:spacing w:val="-16"/>
        </w:rPr>
        <w:t> </w:t>
      </w:r>
      <w:r>
        <w:rPr>
          <w:color w:val="231F20"/>
        </w:rPr>
        <w:t>de</w:t>
      </w:r>
      <w:r>
        <w:rPr>
          <w:color w:val="231F20"/>
          <w:spacing w:val="-16"/>
        </w:rPr>
        <w:t> </w:t>
      </w:r>
      <w:r>
        <w:rPr>
          <w:color w:val="231F20"/>
        </w:rPr>
        <w:t>la</w:t>
      </w:r>
      <w:r>
        <w:rPr>
          <w:color w:val="231F20"/>
          <w:spacing w:val="-17"/>
        </w:rPr>
        <w:t> </w:t>
      </w:r>
      <w:r>
        <w:rPr>
          <w:color w:val="231F20"/>
        </w:rPr>
        <w:t>Loi </w:t>
      </w:r>
      <w:r>
        <w:rPr>
          <w:color w:val="231F20"/>
          <w:spacing w:val="-2"/>
        </w:rPr>
        <w:t>Helms-Burton.</w:t>
      </w:r>
    </w:p>
    <w:p>
      <w:pPr>
        <w:pStyle w:val="BodyText"/>
        <w:spacing w:before="166"/>
        <w:ind w:left="414" w:right="1473"/>
      </w:pPr>
      <w:r>
        <w:rPr>
          <w:color w:val="231F20"/>
        </w:rPr>
        <w:t>La société Accelleron, héritière d’ABB Turbocharging qui fournissait la </w:t>
      </w:r>
      <w:r>
        <w:rPr>
          <w:color w:val="231F20"/>
          <w:spacing w:val="-4"/>
        </w:rPr>
        <w:t>technologie</w:t>
      </w:r>
      <w:r>
        <w:rPr>
          <w:color w:val="231F20"/>
          <w:spacing w:val="-13"/>
        </w:rPr>
        <w:t> </w:t>
      </w:r>
      <w:r>
        <w:rPr>
          <w:color w:val="231F20"/>
          <w:spacing w:val="-4"/>
        </w:rPr>
        <w:t>des</w:t>
      </w:r>
      <w:r>
        <w:rPr>
          <w:color w:val="231F20"/>
          <w:spacing w:val="-12"/>
        </w:rPr>
        <w:t> </w:t>
      </w:r>
      <w:r>
        <w:rPr>
          <w:color w:val="231F20"/>
          <w:spacing w:val="-4"/>
        </w:rPr>
        <w:t>turbocompresseurs</w:t>
      </w:r>
      <w:r>
        <w:rPr>
          <w:color w:val="231F20"/>
          <w:spacing w:val="-13"/>
        </w:rPr>
        <w:t> </w:t>
      </w:r>
      <w:r>
        <w:rPr>
          <w:color w:val="231F20"/>
          <w:spacing w:val="-4"/>
        </w:rPr>
        <w:t>utilisés </w:t>
      </w:r>
      <w:r>
        <w:rPr>
          <w:color w:val="231F20"/>
        </w:rPr>
        <w:t>par l’UNE, a décidé de ne plus travailler directement avec Cuba à cause des sanctions qu’implique l’inscription sur la Liste</w:t>
      </w:r>
      <w:r>
        <w:rPr>
          <w:color w:val="231F20"/>
          <w:spacing w:val="-17"/>
        </w:rPr>
        <w:t> </w:t>
      </w:r>
      <w:r>
        <w:rPr>
          <w:color w:val="231F20"/>
        </w:rPr>
        <w:t>des</w:t>
      </w:r>
      <w:r>
        <w:rPr>
          <w:color w:val="231F20"/>
          <w:spacing w:val="-16"/>
        </w:rPr>
        <w:t> </w:t>
      </w:r>
      <w:r>
        <w:rPr>
          <w:color w:val="231F20"/>
        </w:rPr>
        <w:t>États</w:t>
      </w:r>
      <w:r>
        <w:rPr>
          <w:color w:val="231F20"/>
          <w:spacing w:val="-17"/>
        </w:rPr>
        <w:t> </w:t>
      </w:r>
      <w:r>
        <w:rPr>
          <w:color w:val="231F20"/>
        </w:rPr>
        <w:t>censément</w:t>
      </w:r>
      <w:r>
        <w:rPr>
          <w:color w:val="231F20"/>
          <w:spacing w:val="-16"/>
        </w:rPr>
        <w:t> </w:t>
      </w:r>
      <w:r>
        <w:rPr>
          <w:color w:val="231F20"/>
        </w:rPr>
        <w:t>commanditaires de terrorisme, si bien que le surcoût s’est élevé à 30 p. 300 par rapport à l’époque des relations directes.</w:t>
      </w:r>
    </w:p>
    <w:p>
      <w:pPr>
        <w:pStyle w:val="BodyText"/>
        <w:spacing w:before="168"/>
        <w:ind w:left="414" w:right="1473"/>
      </w:pPr>
      <w:r>
        <w:rPr>
          <w:color w:val="231F20"/>
          <w:spacing w:val="-6"/>
        </w:rPr>
        <w:t>La</w:t>
      </w:r>
      <w:r>
        <w:rPr>
          <w:color w:val="231F20"/>
          <w:spacing w:val="-7"/>
        </w:rPr>
        <w:t> </w:t>
      </w:r>
      <w:r>
        <w:rPr>
          <w:color w:val="231F20"/>
          <w:spacing w:val="-6"/>
        </w:rPr>
        <w:t>société</w:t>
      </w:r>
      <w:r>
        <w:rPr>
          <w:color w:val="231F20"/>
          <w:spacing w:val="-7"/>
        </w:rPr>
        <w:t> </w:t>
      </w:r>
      <w:r>
        <w:rPr>
          <w:color w:val="231F20"/>
          <w:spacing w:val="-6"/>
        </w:rPr>
        <w:t>canadienne</w:t>
      </w:r>
      <w:r>
        <w:rPr>
          <w:color w:val="231F20"/>
          <w:spacing w:val="-7"/>
        </w:rPr>
        <w:t> </w:t>
      </w:r>
      <w:r>
        <w:rPr>
          <w:color w:val="231F20"/>
          <w:spacing w:val="-6"/>
        </w:rPr>
        <w:t>Diesel</w:t>
      </w:r>
      <w:r>
        <w:rPr>
          <w:color w:val="231F20"/>
          <w:spacing w:val="-7"/>
        </w:rPr>
        <w:t> </w:t>
      </w:r>
      <w:r>
        <w:rPr>
          <w:color w:val="231F20"/>
          <w:spacing w:val="-6"/>
        </w:rPr>
        <w:t>Expert</w:t>
      </w:r>
      <w:r>
        <w:rPr>
          <w:color w:val="231F20"/>
          <w:spacing w:val="-7"/>
        </w:rPr>
        <w:t> </w:t>
      </w:r>
      <w:r>
        <w:rPr>
          <w:color w:val="231F20"/>
          <w:spacing w:val="-6"/>
        </w:rPr>
        <w:t>Quebec </w:t>
      </w:r>
      <w:r>
        <w:rPr>
          <w:color w:val="231F20"/>
        </w:rPr>
        <w:t>exporte des parties et pièces de turbines de gaz, dont l’une a été récemment saisie par la douane de ce pays au motif qu’elle contient</w:t>
      </w:r>
      <w:r>
        <w:rPr>
          <w:color w:val="231F20"/>
          <w:spacing w:val="-6"/>
        </w:rPr>
        <w:t> </w:t>
      </w:r>
      <w:r>
        <w:rPr>
          <w:color w:val="231F20"/>
        </w:rPr>
        <w:t>plus</w:t>
      </w:r>
      <w:r>
        <w:rPr>
          <w:color w:val="231F20"/>
          <w:spacing w:val="-6"/>
        </w:rPr>
        <w:t> </w:t>
      </w:r>
      <w:r>
        <w:rPr>
          <w:color w:val="231F20"/>
        </w:rPr>
        <w:t>de</w:t>
      </w:r>
      <w:r>
        <w:rPr>
          <w:color w:val="231F20"/>
          <w:spacing w:val="-6"/>
        </w:rPr>
        <w:t> </w:t>
      </w:r>
      <w:r>
        <w:rPr>
          <w:color w:val="231F20"/>
        </w:rPr>
        <w:t>10</w:t>
      </w:r>
      <w:r>
        <w:rPr>
          <w:color w:val="231F20"/>
          <w:spacing w:val="-6"/>
        </w:rPr>
        <w:t> </w:t>
      </w:r>
      <w:r>
        <w:rPr>
          <w:color w:val="231F20"/>
        </w:rPr>
        <w:t>p.</w:t>
      </w:r>
      <w:r>
        <w:rPr>
          <w:color w:val="231F20"/>
          <w:spacing w:val="-6"/>
        </w:rPr>
        <w:t> </w:t>
      </w:r>
      <w:r>
        <w:rPr>
          <w:color w:val="231F20"/>
        </w:rPr>
        <w:t>100</w:t>
      </w:r>
      <w:r>
        <w:rPr>
          <w:color w:val="231F20"/>
          <w:spacing w:val="-6"/>
        </w:rPr>
        <w:t> </w:t>
      </w:r>
      <w:r>
        <w:rPr>
          <w:color w:val="231F20"/>
        </w:rPr>
        <w:t>de</w:t>
      </w:r>
      <w:r>
        <w:rPr>
          <w:color w:val="231F20"/>
          <w:spacing w:val="-6"/>
        </w:rPr>
        <w:t> </w:t>
      </w:r>
      <w:r>
        <w:rPr>
          <w:color w:val="231F20"/>
        </w:rPr>
        <w:t>composants étasuniens, si bien qu’elle a dû engager des démarches auprès du gouvernement canadien pour obtenir l’autorisation d’exportation correspondante : chaque </w:t>
      </w:r>
      <w:r>
        <w:rPr>
          <w:color w:val="231F20"/>
          <w:spacing w:val="-4"/>
        </w:rPr>
        <w:t>turbine</w:t>
      </w:r>
      <w:r>
        <w:rPr>
          <w:color w:val="231F20"/>
          <w:spacing w:val="-29"/>
        </w:rPr>
        <w:t> </w:t>
      </w:r>
      <w:r>
        <w:rPr>
          <w:color w:val="231F20"/>
          <w:spacing w:val="-4"/>
        </w:rPr>
        <w:t>endommagée</w:t>
      </w:r>
      <w:r>
        <w:rPr>
          <w:color w:val="231F20"/>
          <w:spacing w:val="-28"/>
        </w:rPr>
        <w:t> </w:t>
      </w:r>
      <w:r>
        <w:rPr>
          <w:color w:val="231F20"/>
          <w:spacing w:val="-4"/>
        </w:rPr>
        <w:t>empêche</w:t>
      </w:r>
      <w:r>
        <w:rPr>
          <w:color w:val="231F20"/>
          <w:spacing w:val="-29"/>
        </w:rPr>
        <w:t> </w:t>
      </w:r>
      <w:r>
        <w:rPr>
          <w:color w:val="231F20"/>
          <w:spacing w:val="-4"/>
        </w:rPr>
        <w:t>de</w:t>
      </w:r>
      <w:r>
        <w:rPr>
          <w:color w:val="231F20"/>
          <w:spacing w:val="-28"/>
        </w:rPr>
        <w:t> </w:t>
      </w:r>
      <w:r>
        <w:rPr>
          <w:color w:val="231F20"/>
          <w:spacing w:val="-4"/>
        </w:rPr>
        <w:t>produire</w:t>
      </w:r>
    </w:p>
    <w:p>
      <w:pPr>
        <w:spacing w:after="0"/>
        <w:sectPr>
          <w:pgSz w:w="11910" w:h="16840"/>
          <w:pgMar w:header="0" w:footer="695" w:top="1260" w:bottom="880" w:left="0" w:right="0"/>
          <w:cols w:num="2" w:equalWidth="0">
            <w:col w:w="5556" w:space="40"/>
            <w:col w:w="6314"/>
          </w:cols>
        </w:sectPr>
      </w:pPr>
    </w:p>
    <w:p>
      <w:pPr>
        <w:pStyle w:val="BodyText"/>
        <w:spacing w:before="77"/>
        <w:ind w:left="1474"/>
      </w:pPr>
      <w:r>
        <w:rPr>
          <w:color w:val="231F20"/>
        </w:rPr>
        <w:t>20</w:t>
      </w:r>
      <w:r>
        <w:rPr>
          <w:color w:val="231F20"/>
          <w:spacing w:val="-15"/>
        </w:rPr>
        <w:t> </w:t>
      </w:r>
      <w:r>
        <w:rPr>
          <w:color w:val="231F20"/>
        </w:rPr>
        <w:t>MW</w:t>
      </w:r>
      <w:r>
        <w:rPr>
          <w:color w:val="231F20"/>
          <w:spacing w:val="-15"/>
        </w:rPr>
        <w:t> </w:t>
      </w:r>
      <w:r>
        <w:rPr>
          <w:color w:val="231F20"/>
        </w:rPr>
        <w:t>et</w:t>
      </w:r>
      <w:r>
        <w:rPr>
          <w:color w:val="231F20"/>
          <w:spacing w:val="-15"/>
        </w:rPr>
        <w:t> </w:t>
      </w:r>
      <w:r>
        <w:rPr>
          <w:color w:val="231F20"/>
        </w:rPr>
        <w:t>donc</w:t>
      </w:r>
      <w:r>
        <w:rPr>
          <w:color w:val="231F20"/>
          <w:spacing w:val="-15"/>
        </w:rPr>
        <w:t> </w:t>
      </w:r>
      <w:r>
        <w:rPr>
          <w:color w:val="231F20"/>
        </w:rPr>
        <w:t>de</w:t>
      </w:r>
      <w:r>
        <w:rPr>
          <w:color w:val="231F20"/>
          <w:spacing w:val="-15"/>
        </w:rPr>
        <w:t> </w:t>
      </w:r>
      <w:r>
        <w:rPr>
          <w:color w:val="231F20"/>
        </w:rPr>
        <w:t>couvrir</w:t>
      </w:r>
      <w:r>
        <w:rPr>
          <w:color w:val="231F20"/>
          <w:spacing w:val="-15"/>
        </w:rPr>
        <w:t> </w:t>
      </w:r>
      <w:r>
        <w:rPr>
          <w:color w:val="231F20"/>
        </w:rPr>
        <w:t>la</w:t>
      </w:r>
      <w:r>
        <w:rPr>
          <w:color w:val="231F20"/>
          <w:spacing w:val="-15"/>
        </w:rPr>
        <w:t> </w:t>
      </w:r>
      <w:r>
        <w:rPr>
          <w:color w:val="231F20"/>
        </w:rPr>
        <w:t>demande</w:t>
      </w:r>
      <w:r>
        <w:rPr>
          <w:color w:val="231F20"/>
          <w:spacing w:val="-15"/>
        </w:rPr>
        <w:t> </w:t>
      </w:r>
      <w:r>
        <w:rPr>
          <w:color w:val="231F20"/>
        </w:rPr>
        <w:t>aux heures de consommation maximale.</w:t>
      </w:r>
    </w:p>
    <w:p>
      <w:pPr>
        <w:pStyle w:val="BodyText"/>
        <w:spacing w:before="161"/>
        <w:ind w:left="1474" w:right="1"/>
      </w:pPr>
      <w:r>
        <w:rPr>
          <w:color w:val="231F20"/>
          <w:spacing w:val="-10"/>
        </w:rPr>
        <w:t>Cuba</w:t>
      </w:r>
      <w:r>
        <w:rPr>
          <w:color w:val="231F20"/>
          <w:spacing w:val="-7"/>
        </w:rPr>
        <w:t> </w:t>
      </w:r>
      <w:r>
        <w:rPr>
          <w:color w:val="231F20"/>
          <w:spacing w:val="-10"/>
        </w:rPr>
        <w:t>n’a</w:t>
      </w:r>
      <w:r>
        <w:rPr>
          <w:color w:val="231F20"/>
          <w:spacing w:val="-6"/>
        </w:rPr>
        <w:t> </w:t>
      </w:r>
      <w:r>
        <w:rPr>
          <w:color w:val="231F20"/>
          <w:spacing w:val="-10"/>
        </w:rPr>
        <w:t>pas</w:t>
      </w:r>
      <w:r>
        <w:rPr>
          <w:color w:val="231F20"/>
          <w:spacing w:val="-7"/>
        </w:rPr>
        <w:t> </w:t>
      </w:r>
      <w:r>
        <w:rPr>
          <w:color w:val="231F20"/>
          <w:spacing w:val="-10"/>
        </w:rPr>
        <w:t>droit</w:t>
      </w:r>
      <w:r>
        <w:rPr>
          <w:color w:val="231F20"/>
          <w:spacing w:val="-6"/>
        </w:rPr>
        <w:t> </w:t>
      </w:r>
      <w:r>
        <w:rPr>
          <w:color w:val="231F20"/>
          <w:spacing w:val="-10"/>
        </w:rPr>
        <w:t>d’accéder</w:t>
      </w:r>
      <w:r>
        <w:rPr>
          <w:color w:val="231F20"/>
          <w:spacing w:val="-7"/>
        </w:rPr>
        <w:t> </w:t>
      </w:r>
      <w:r>
        <w:rPr>
          <w:color w:val="231F20"/>
          <w:spacing w:val="-10"/>
        </w:rPr>
        <w:t>aux</w:t>
      </w:r>
      <w:r>
        <w:rPr>
          <w:color w:val="231F20"/>
          <w:spacing w:val="-6"/>
        </w:rPr>
        <w:t> </w:t>
      </w:r>
      <w:r>
        <w:rPr>
          <w:color w:val="231F20"/>
          <w:spacing w:val="-10"/>
        </w:rPr>
        <w:t>systèmes</w:t>
      </w:r>
      <w:r>
        <w:rPr>
          <w:color w:val="231F20"/>
          <w:spacing w:val="-7"/>
        </w:rPr>
        <w:t> </w:t>
      </w:r>
      <w:r>
        <w:rPr>
          <w:color w:val="231F20"/>
          <w:spacing w:val="-10"/>
        </w:rPr>
        <w:t>de </w:t>
      </w:r>
      <w:r>
        <w:rPr>
          <w:color w:val="231F20"/>
        </w:rPr>
        <w:t>pointe</w:t>
      </w:r>
      <w:r>
        <w:rPr>
          <w:color w:val="231F20"/>
          <w:spacing w:val="-17"/>
        </w:rPr>
        <w:t> </w:t>
      </w:r>
      <w:r>
        <w:rPr>
          <w:color w:val="231F20"/>
        </w:rPr>
        <w:t>en</w:t>
      </w:r>
      <w:r>
        <w:rPr>
          <w:color w:val="231F20"/>
          <w:spacing w:val="-16"/>
        </w:rPr>
        <w:t> </w:t>
      </w:r>
      <w:r>
        <w:rPr>
          <w:color w:val="231F20"/>
        </w:rPr>
        <w:t>matière</w:t>
      </w:r>
      <w:r>
        <w:rPr>
          <w:color w:val="231F20"/>
          <w:spacing w:val="-17"/>
        </w:rPr>
        <w:t> </w:t>
      </w:r>
      <w:r>
        <w:rPr>
          <w:color w:val="231F20"/>
        </w:rPr>
        <w:t>de</w:t>
      </w:r>
      <w:r>
        <w:rPr>
          <w:color w:val="231F20"/>
          <w:spacing w:val="-16"/>
        </w:rPr>
        <w:t> </w:t>
      </w:r>
      <w:r>
        <w:rPr>
          <w:color w:val="231F20"/>
        </w:rPr>
        <w:t>gestion</w:t>
      </w:r>
      <w:r>
        <w:rPr>
          <w:color w:val="231F20"/>
          <w:spacing w:val="-17"/>
        </w:rPr>
        <w:t> </w:t>
      </w:r>
      <w:r>
        <w:rPr>
          <w:color w:val="231F20"/>
        </w:rPr>
        <w:t>de</w:t>
      </w:r>
      <w:r>
        <w:rPr>
          <w:color w:val="231F20"/>
          <w:spacing w:val="-16"/>
        </w:rPr>
        <w:t> </w:t>
      </w:r>
      <w:r>
        <w:rPr>
          <w:color w:val="231F20"/>
        </w:rPr>
        <w:t>l’industrie </w:t>
      </w:r>
      <w:r>
        <w:rPr>
          <w:color w:val="231F20"/>
          <w:spacing w:val="-2"/>
        </w:rPr>
        <w:t>pétrolière,</w:t>
      </w:r>
      <w:r>
        <w:rPr>
          <w:color w:val="231F20"/>
          <w:spacing w:val="-14"/>
        </w:rPr>
        <w:t> </w:t>
      </w:r>
      <w:r>
        <w:rPr>
          <w:color w:val="231F20"/>
          <w:spacing w:val="-2"/>
        </w:rPr>
        <w:t>et</w:t>
      </w:r>
      <w:r>
        <w:rPr>
          <w:color w:val="231F20"/>
          <w:spacing w:val="-14"/>
        </w:rPr>
        <w:t> </w:t>
      </w:r>
      <w:r>
        <w:rPr>
          <w:color w:val="231F20"/>
          <w:spacing w:val="-2"/>
        </w:rPr>
        <w:t>plusieurs</w:t>
      </w:r>
      <w:r>
        <w:rPr>
          <w:color w:val="231F20"/>
          <w:spacing w:val="-14"/>
        </w:rPr>
        <w:t> </w:t>
      </w:r>
      <w:r>
        <w:rPr>
          <w:color w:val="231F20"/>
          <w:spacing w:val="-2"/>
        </w:rPr>
        <w:t>compagnies</w:t>
      </w:r>
      <w:r>
        <w:rPr>
          <w:color w:val="231F20"/>
          <w:spacing w:val="-14"/>
        </w:rPr>
        <w:t> </w:t>
      </w:r>
      <w:r>
        <w:rPr>
          <w:color w:val="231F20"/>
          <w:spacing w:val="-2"/>
        </w:rPr>
        <w:t>se</w:t>
      </w:r>
      <w:r>
        <w:rPr>
          <w:color w:val="231F20"/>
          <w:spacing w:val="-14"/>
        </w:rPr>
        <w:t> </w:t>
      </w:r>
      <w:r>
        <w:rPr>
          <w:color w:val="231F20"/>
          <w:spacing w:val="-2"/>
        </w:rPr>
        <w:t>sont </w:t>
      </w:r>
      <w:r>
        <w:rPr>
          <w:color w:val="231F20"/>
        </w:rPr>
        <w:t>refusé</w:t>
      </w:r>
      <w:r>
        <w:rPr>
          <w:color w:val="231F20"/>
          <w:spacing w:val="-8"/>
        </w:rPr>
        <w:t> </w:t>
      </w:r>
      <w:r>
        <w:rPr>
          <w:color w:val="231F20"/>
        </w:rPr>
        <w:t>à</w:t>
      </w:r>
      <w:r>
        <w:rPr>
          <w:color w:val="231F20"/>
          <w:spacing w:val="-8"/>
        </w:rPr>
        <w:t> </w:t>
      </w:r>
      <w:r>
        <w:rPr>
          <w:color w:val="231F20"/>
        </w:rPr>
        <w:t>les</w:t>
      </w:r>
      <w:r>
        <w:rPr>
          <w:color w:val="231F20"/>
          <w:spacing w:val="-8"/>
        </w:rPr>
        <w:t> </w:t>
      </w:r>
      <w:r>
        <w:rPr>
          <w:color w:val="231F20"/>
        </w:rPr>
        <w:t>pourvoir.</w:t>
      </w:r>
      <w:r>
        <w:rPr>
          <w:color w:val="231F20"/>
          <w:spacing w:val="-8"/>
        </w:rPr>
        <w:t> </w:t>
      </w:r>
      <w:r>
        <w:rPr>
          <w:color w:val="231F20"/>
        </w:rPr>
        <w:t>Ainsi,</w:t>
      </w:r>
      <w:r>
        <w:rPr>
          <w:color w:val="231F20"/>
          <w:spacing w:val="-8"/>
        </w:rPr>
        <w:t> </w:t>
      </w:r>
      <w:r>
        <w:rPr>
          <w:color w:val="231F20"/>
        </w:rPr>
        <w:t>les</w:t>
      </w:r>
      <w:r>
        <w:rPr>
          <w:color w:val="231F20"/>
          <w:spacing w:val="-8"/>
        </w:rPr>
        <w:t> </w:t>
      </w:r>
      <w:r>
        <w:rPr>
          <w:color w:val="231F20"/>
        </w:rPr>
        <w:t>pompes</w:t>
      </w:r>
      <w:r>
        <w:rPr>
          <w:color w:val="231F20"/>
          <w:spacing w:val="-8"/>
        </w:rPr>
        <w:t> </w:t>
      </w:r>
      <w:r>
        <w:rPr>
          <w:color w:val="231F20"/>
        </w:rPr>
        <w:t>de </w:t>
      </w:r>
      <w:r>
        <w:rPr>
          <w:color w:val="231F20"/>
          <w:spacing w:val="-4"/>
        </w:rPr>
        <w:t>profondeur</w:t>
      </w:r>
      <w:r>
        <w:rPr>
          <w:color w:val="231F20"/>
          <w:spacing w:val="-13"/>
        </w:rPr>
        <w:t> </w:t>
      </w:r>
      <w:r>
        <w:rPr>
          <w:color w:val="231F20"/>
          <w:spacing w:val="-4"/>
        </w:rPr>
        <w:t>du</w:t>
      </w:r>
      <w:r>
        <w:rPr>
          <w:color w:val="231F20"/>
          <w:spacing w:val="-12"/>
        </w:rPr>
        <w:t> </w:t>
      </w:r>
      <w:r>
        <w:rPr>
          <w:color w:val="231F20"/>
          <w:spacing w:val="-4"/>
        </w:rPr>
        <w:t>fabricant</w:t>
      </w:r>
      <w:r>
        <w:rPr>
          <w:color w:val="231F20"/>
          <w:spacing w:val="-13"/>
        </w:rPr>
        <w:t> </w:t>
      </w:r>
      <w:r>
        <w:rPr>
          <w:color w:val="231F20"/>
          <w:spacing w:val="-4"/>
        </w:rPr>
        <w:t>suisse</w:t>
      </w:r>
      <w:r>
        <w:rPr>
          <w:color w:val="231F20"/>
          <w:spacing w:val="-12"/>
        </w:rPr>
        <w:t> </w:t>
      </w:r>
      <w:r>
        <w:rPr>
          <w:color w:val="231F20"/>
          <w:spacing w:val="-4"/>
        </w:rPr>
        <w:t>Kudu</w:t>
      </w:r>
      <w:r>
        <w:rPr>
          <w:color w:val="231F20"/>
          <w:spacing w:val="-13"/>
        </w:rPr>
        <w:t> </w:t>
      </w:r>
      <w:r>
        <w:rPr>
          <w:color w:val="231F20"/>
          <w:spacing w:val="-4"/>
        </w:rPr>
        <w:t>en</w:t>
      </w:r>
      <w:r>
        <w:rPr>
          <w:color w:val="231F20"/>
          <w:spacing w:val="-12"/>
        </w:rPr>
        <w:t> </w:t>
      </w:r>
      <w:r>
        <w:rPr>
          <w:color w:val="231F20"/>
          <w:spacing w:val="-4"/>
        </w:rPr>
        <w:t>vue </w:t>
      </w:r>
      <w:r>
        <w:rPr>
          <w:color w:val="231F20"/>
        </w:rPr>
        <w:t>de l’extraction de pétrole et de gaz sont </w:t>
      </w:r>
      <w:r>
        <w:rPr>
          <w:color w:val="231F20"/>
          <w:spacing w:val="-4"/>
        </w:rPr>
        <w:t>difficilement</w:t>
      </w:r>
      <w:r>
        <w:rPr>
          <w:color w:val="231F20"/>
          <w:spacing w:val="-6"/>
        </w:rPr>
        <w:t> </w:t>
      </w:r>
      <w:r>
        <w:rPr>
          <w:color w:val="231F20"/>
          <w:spacing w:val="-4"/>
        </w:rPr>
        <w:t>accessibles</w:t>
      </w:r>
      <w:r>
        <w:rPr>
          <w:color w:val="231F20"/>
          <w:spacing w:val="-6"/>
        </w:rPr>
        <w:t> </w:t>
      </w:r>
      <w:r>
        <w:rPr>
          <w:color w:val="231F20"/>
          <w:spacing w:val="-4"/>
        </w:rPr>
        <w:t>à</w:t>
      </w:r>
      <w:r>
        <w:rPr>
          <w:color w:val="231F20"/>
          <w:spacing w:val="-6"/>
        </w:rPr>
        <w:t> </w:t>
      </w:r>
      <w:r>
        <w:rPr>
          <w:color w:val="231F20"/>
          <w:spacing w:val="-4"/>
        </w:rPr>
        <w:t>Cuba,</w:t>
      </w:r>
      <w:r>
        <w:rPr>
          <w:color w:val="231F20"/>
          <w:spacing w:val="-6"/>
        </w:rPr>
        <w:t> </w:t>
      </w:r>
      <w:r>
        <w:rPr>
          <w:color w:val="231F20"/>
          <w:spacing w:val="-4"/>
        </w:rPr>
        <w:t>tandis</w:t>
      </w:r>
      <w:r>
        <w:rPr>
          <w:color w:val="231F20"/>
          <w:spacing w:val="-6"/>
        </w:rPr>
        <w:t> </w:t>
      </w:r>
      <w:r>
        <w:rPr>
          <w:color w:val="231F20"/>
          <w:spacing w:val="-4"/>
        </w:rPr>
        <w:t>que </w:t>
      </w:r>
      <w:r>
        <w:rPr>
          <w:color w:val="231F20"/>
        </w:rPr>
        <w:t>la</w:t>
      </w:r>
      <w:r>
        <w:rPr>
          <w:color w:val="231F20"/>
          <w:spacing w:val="-9"/>
        </w:rPr>
        <w:t> </w:t>
      </w:r>
      <w:r>
        <w:rPr>
          <w:color w:val="231F20"/>
        </w:rPr>
        <w:t>compagnie</w:t>
      </w:r>
      <w:r>
        <w:rPr>
          <w:color w:val="231F20"/>
          <w:spacing w:val="-9"/>
        </w:rPr>
        <w:t> </w:t>
      </w:r>
      <w:r>
        <w:rPr>
          <w:color w:val="231F20"/>
        </w:rPr>
        <w:t>Schlumberger</w:t>
      </w:r>
      <w:r>
        <w:rPr>
          <w:color w:val="231F20"/>
          <w:spacing w:val="-9"/>
        </w:rPr>
        <w:t> </w:t>
      </w:r>
      <w:r>
        <w:rPr>
          <w:color w:val="231F20"/>
        </w:rPr>
        <w:t>a</w:t>
      </w:r>
      <w:r>
        <w:rPr>
          <w:color w:val="231F20"/>
          <w:spacing w:val="-9"/>
        </w:rPr>
        <w:t> </w:t>
      </w:r>
      <w:r>
        <w:rPr>
          <w:color w:val="231F20"/>
        </w:rPr>
        <w:t>interrompu ses livraisons de ces pompes et de leurs pièces, d’où un préjudice direct à toute l’industrie qui les emploie.</w:t>
      </w:r>
    </w:p>
    <w:p>
      <w:pPr>
        <w:spacing w:before="168"/>
        <w:ind w:left="1474" w:right="0" w:firstLine="0"/>
        <w:jc w:val="both"/>
        <w:rPr>
          <w:rFonts w:ascii="Segoe UI Semibold" w:hAnsi="Segoe UI Semibold"/>
          <w:b/>
          <w:i/>
          <w:sz w:val="24"/>
        </w:rPr>
      </w:pPr>
      <w:r>
        <w:rPr>
          <w:rFonts w:ascii="Segoe UI Semibold" w:hAnsi="Segoe UI Semibold"/>
          <w:b/>
          <w:i/>
          <w:color w:val="231F20"/>
          <w:spacing w:val="-2"/>
          <w:sz w:val="24"/>
        </w:rPr>
        <w:t>La</w:t>
      </w:r>
      <w:r>
        <w:rPr>
          <w:rFonts w:ascii="Segoe UI Semibold" w:hAnsi="Segoe UI Semibold"/>
          <w:b/>
          <w:i/>
          <w:color w:val="231F20"/>
          <w:spacing w:val="-15"/>
          <w:sz w:val="24"/>
        </w:rPr>
        <w:t> </w:t>
      </w:r>
      <w:r>
        <w:rPr>
          <w:rFonts w:ascii="Segoe UI Semibold" w:hAnsi="Segoe UI Semibold"/>
          <w:b/>
          <w:i/>
          <w:color w:val="231F20"/>
          <w:spacing w:val="-2"/>
          <w:sz w:val="24"/>
        </w:rPr>
        <w:t>guerre</w:t>
      </w:r>
      <w:r>
        <w:rPr>
          <w:rFonts w:ascii="Segoe UI Semibold" w:hAnsi="Segoe UI Semibold"/>
          <w:b/>
          <w:i/>
          <w:color w:val="231F20"/>
          <w:spacing w:val="-14"/>
          <w:sz w:val="24"/>
        </w:rPr>
        <w:t> </w:t>
      </w:r>
      <w:r>
        <w:rPr>
          <w:rFonts w:ascii="Segoe UI Semibold" w:hAnsi="Segoe UI Semibold"/>
          <w:b/>
          <w:i/>
          <w:color w:val="231F20"/>
          <w:spacing w:val="-2"/>
          <w:sz w:val="24"/>
        </w:rPr>
        <w:t>économique</w:t>
      </w:r>
      <w:r>
        <w:rPr>
          <w:rFonts w:ascii="Segoe UI Semibold" w:hAnsi="Segoe UI Semibold"/>
          <w:b/>
          <w:i/>
          <w:color w:val="231F20"/>
          <w:spacing w:val="-15"/>
          <w:sz w:val="24"/>
        </w:rPr>
        <w:t> </w:t>
      </w:r>
      <w:r>
        <w:rPr>
          <w:rFonts w:ascii="Segoe UI Semibold" w:hAnsi="Segoe UI Semibold"/>
          <w:b/>
          <w:i/>
          <w:color w:val="231F20"/>
          <w:spacing w:val="-2"/>
          <w:sz w:val="24"/>
        </w:rPr>
        <w:t>de</w:t>
      </w:r>
      <w:r>
        <w:rPr>
          <w:rFonts w:ascii="Segoe UI Semibold" w:hAnsi="Segoe UI Semibold"/>
          <w:b/>
          <w:i/>
          <w:color w:val="231F20"/>
          <w:spacing w:val="-14"/>
          <w:sz w:val="24"/>
        </w:rPr>
        <w:t> </w:t>
      </w:r>
      <w:r>
        <w:rPr>
          <w:rFonts w:ascii="Segoe UI Semibold" w:hAnsi="Segoe UI Semibold"/>
          <w:b/>
          <w:i/>
          <w:color w:val="231F20"/>
          <w:spacing w:val="-2"/>
          <w:sz w:val="24"/>
        </w:rPr>
        <w:t>l’administration</w:t>
      </w:r>
      <w:r>
        <w:rPr>
          <w:rFonts w:ascii="Segoe UI Semibold" w:hAnsi="Segoe UI Semibold"/>
          <w:b/>
          <w:i/>
          <w:color w:val="231F20"/>
          <w:spacing w:val="-2"/>
          <w:sz w:val="24"/>
        </w:rPr>
        <w:t> </w:t>
      </w:r>
      <w:r>
        <w:rPr>
          <w:rFonts w:ascii="Segoe UI Semibold" w:hAnsi="Segoe UI Semibold"/>
          <w:b/>
          <w:i/>
          <w:color w:val="231F20"/>
          <w:sz w:val="24"/>
        </w:rPr>
        <w:t>étasunienne</w:t>
      </w:r>
      <w:r>
        <w:rPr>
          <w:rFonts w:ascii="Segoe UI Semibold" w:hAnsi="Segoe UI Semibold"/>
          <w:b/>
          <w:i/>
          <w:color w:val="231F20"/>
          <w:spacing w:val="-17"/>
          <w:sz w:val="24"/>
        </w:rPr>
        <w:t> </w:t>
      </w:r>
      <w:r>
        <w:rPr>
          <w:rFonts w:ascii="Segoe UI Semibold" w:hAnsi="Segoe UI Semibold"/>
          <w:b/>
          <w:i/>
          <w:color w:val="231F20"/>
          <w:sz w:val="24"/>
        </w:rPr>
        <w:t>touche</w:t>
      </w:r>
      <w:r>
        <w:rPr>
          <w:rFonts w:ascii="Segoe UI Semibold" w:hAnsi="Segoe UI Semibold"/>
          <w:b/>
          <w:i/>
          <w:color w:val="231F20"/>
          <w:spacing w:val="-16"/>
          <w:sz w:val="24"/>
        </w:rPr>
        <w:t> </w:t>
      </w:r>
      <w:r>
        <w:rPr>
          <w:rFonts w:ascii="Segoe UI Semibold" w:hAnsi="Segoe UI Semibold"/>
          <w:b/>
          <w:i/>
          <w:color w:val="231F20"/>
          <w:sz w:val="24"/>
        </w:rPr>
        <w:t>aussi</w:t>
      </w:r>
      <w:r>
        <w:rPr>
          <w:rFonts w:ascii="Segoe UI Semibold" w:hAnsi="Segoe UI Semibold"/>
          <w:b/>
          <w:i/>
          <w:color w:val="231F20"/>
          <w:spacing w:val="-17"/>
          <w:sz w:val="24"/>
        </w:rPr>
        <w:t> </w:t>
      </w:r>
      <w:r>
        <w:rPr>
          <w:rFonts w:ascii="Segoe UI Semibold" w:hAnsi="Segoe UI Semibold"/>
          <w:b/>
          <w:i/>
          <w:color w:val="231F20"/>
          <w:sz w:val="24"/>
        </w:rPr>
        <w:t>sérieusement</w:t>
      </w:r>
      <w:r>
        <w:rPr>
          <w:rFonts w:ascii="Segoe UI Semibold" w:hAnsi="Segoe UI Semibold"/>
          <w:b/>
          <w:i/>
          <w:color w:val="231F20"/>
          <w:spacing w:val="-16"/>
          <w:sz w:val="24"/>
        </w:rPr>
        <w:t> </w:t>
      </w:r>
      <w:r>
        <w:rPr>
          <w:rFonts w:ascii="Segoe UI Semibold" w:hAnsi="Segoe UI Semibold"/>
          <w:b/>
          <w:i/>
          <w:color w:val="231F20"/>
          <w:sz w:val="24"/>
        </w:rPr>
        <w:t>le </w:t>
      </w:r>
      <w:r>
        <w:rPr>
          <w:b/>
          <w:i/>
          <w:color w:val="B52628"/>
          <w:sz w:val="24"/>
        </w:rPr>
        <w:t>secteur privé</w:t>
      </w:r>
      <w:r>
        <w:rPr>
          <w:rFonts w:ascii="Segoe UI Semibold" w:hAnsi="Segoe UI Semibold"/>
          <w:b/>
          <w:i/>
          <w:color w:val="231F20"/>
          <w:sz w:val="24"/>
        </w:rPr>
        <w:t>, limitant significativement</w:t>
      </w:r>
      <w:r>
        <w:rPr>
          <w:rFonts w:ascii="Segoe UI Semibold" w:hAnsi="Segoe UI Semibold"/>
          <w:b/>
          <w:i/>
          <w:color w:val="231F20"/>
          <w:sz w:val="24"/>
        </w:rPr>
        <w:t> l’activité</w:t>
      </w:r>
      <w:r>
        <w:rPr>
          <w:rFonts w:ascii="Segoe UI Semibold" w:hAnsi="Segoe UI Semibold"/>
          <w:b/>
          <w:i/>
          <w:color w:val="231F20"/>
          <w:spacing w:val="-17"/>
          <w:sz w:val="24"/>
        </w:rPr>
        <w:t>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nombreux</w:t>
      </w:r>
      <w:r>
        <w:rPr>
          <w:rFonts w:ascii="Segoe UI Semibold" w:hAnsi="Segoe UI Semibold"/>
          <w:b/>
          <w:i/>
          <w:color w:val="231F20"/>
          <w:spacing w:val="-17"/>
          <w:sz w:val="24"/>
        </w:rPr>
        <w:t> </w:t>
      </w:r>
      <w:r>
        <w:rPr>
          <w:rFonts w:ascii="Segoe UI Semibold" w:hAnsi="Segoe UI Semibold"/>
          <w:b/>
          <w:i/>
          <w:color w:val="231F20"/>
          <w:sz w:val="24"/>
        </w:rPr>
        <w:t>hommes</w:t>
      </w:r>
      <w:r>
        <w:rPr>
          <w:rFonts w:ascii="Segoe UI Semibold" w:hAnsi="Segoe UI Semibold"/>
          <w:b/>
          <w:i/>
          <w:color w:val="231F20"/>
          <w:spacing w:val="-16"/>
          <w:sz w:val="24"/>
        </w:rPr>
        <w:t> </w:t>
      </w:r>
      <w:r>
        <w:rPr>
          <w:rFonts w:ascii="Segoe UI Semibold" w:hAnsi="Segoe UI Semibold"/>
          <w:b/>
          <w:i/>
          <w:color w:val="231F20"/>
          <w:sz w:val="24"/>
        </w:rPr>
        <w:t>d’affaires privés, de patrons d’entreprises et de coopératives cubaines. Ainsi, à titre d’exemple,</w:t>
      </w:r>
      <w:r>
        <w:rPr>
          <w:rFonts w:ascii="Segoe UI Semibold" w:hAnsi="Segoe UI Semibold"/>
          <w:b/>
          <w:i/>
          <w:color w:val="231F20"/>
          <w:spacing w:val="40"/>
          <w:sz w:val="24"/>
        </w:rPr>
        <w:t> </w:t>
      </w:r>
      <w:r>
        <w:rPr>
          <w:rFonts w:ascii="Segoe UI Semibold" w:hAnsi="Segoe UI Semibold"/>
          <w:b/>
          <w:i/>
          <w:color w:val="231F20"/>
          <w:sz w:val="24"/>
        </w:rPr>
        <w:t>les</w:t>
      </w:r>
      <w:r>
        <w:rPr>
          <w:rFonts w:ascii="Segoe UI Semibold" w:hAnsi="Segoe UI Semibold"/>
          <w:b/>
          <w:i/>
          <w:color w:val="231F20"/>
          <w:spacing w:val="40"/>
          <w:sz w:val="24"/>
        </w:rPr>
        <w:t> </w:t>
      </w:r>
      <w:r>
        <w:rPr>
          <w:rFonts w:ascii="Segoe UI Semibold" w:hAnsi="Segoe UI Semibold"/>
          <w:b/>
          <w:i/>
          <w:color w:val="231F20"/>
          <w:sz w:val="24"/>
        </w:rPr>
        <w:t>restrictions</w:t>
      </w:r>
      <w:r>
        <w:rPr>
          <w:rFonts w:ascii="Segoe UI Semibold" w:hAnsi="Segoe UI Semibold"/>
          <w:b/>
          <w:i/>
          <w:color w:val="231F20"/>
          <w:spacing w:val="40"/>
          <w:sz w:val="24"/>
        </w:rPr>
        <w:t> </w:t>
      </w:r>
      <w:r>
        <w:rPr>
          <w:rFonts w:ascii="Segoe UI Semibold" w:hAnsi="Segoe UI Semibold"/>
          <w:b/>
          <w:i/>
          <w:color w:val="231F20"/>
          <w:sz w:val="24"/>
        </w:rPr>
        <w:t>imposées</w:t>
      </w:r>
      <w:r>
        <w:rPr>
          <w:rFonts w:ascii="Segoe UI Semibold" w:hAnsi="Segoe UI Semibold"/>
          <w:b/>
          <w:i/>
          <w:color w:val="231F20"/>
          <w:spacing w:val="80"/>
          <w:sz w:val="24"/>
        </w:rPr>
        <w:t> </w:t>
      </w:r>
      <w:r>
        <w:rPr>
          <w:rFonts w:ascii="Segoe UI Semibold" w:hAnsi="Segoe UI Semibold"/>
          <w:b/>
          <w:i/>
          <w:color w:val="231F20"/>
          <w:sz w:val="24"/>
        </w:rPr>
        <w:t>aux voyages d’Étasuniens ont réduit </w:t>
      </w:r>
      <w:r>
        <w:rPr>
          <w:rFonts w:ascii="Segoe UI Semibold" w:hAnsi="Segoe UI Semibold"/>
          <w:b/>
          <w:i/>
          <w:color w:val="231F20"/>
          <w:spacing w:val="-8"/>
          <w:sz w:val="24"/>
        </w:rPr>
        <w:t>sensiblement,</w:t>
      </w:r>
      <w:r>
        <w:rPr>
          <w:rFonts w:ascii="Segoe UI Semibold" w:hAnsi="Segoe UI Semibold"/>
          <w:b/>
          <w:i/>
          <w:color w:val="231F20"/>
          <w:spacing w:val="-9"/>
          <w:sz w:val="24"/>
        </w:rPr>
        <w:t> </w:t>
      </w:r>
      <w:r>
        <w:rPr>
          <w:rFonts w:ascii="Segoe UI Semibold" w:hAnsi="Segoe UI Semibold"/>
          <w:b/>
          <w:i/>
          <w:color w:val="231F20"/>
          <w:spacing w:val="-8"/>
          <w:sz w:val="24"/>
        </w:rPr>
        <w:t>ces dernières</w:t>
      </w:r>
      <w:r>
        <w:rPr>
          <w:rFonts w:ascii="Segoe UI Semibold" w:hAnsi="Segoe UI Semibold"/>
          <w:b/>
          <w:i/>
          <w:color w:val="231F20"/>
          <w:spacing w:val="-9"/>
          <w:sz w:val="24"/>
        </w:rPr>
        <w:t> </w:t>
      </w:r>
      <w:r>
        <w:rPr>
          <w:rFonts w:ascii="Segoe UI Semibold" w:hAnsi="Segoe UI Semibold"/>
          <w:b/>
          <w:i/>
          <w:color w:val="231F20"/>
          <w:spacing w:val="-8"/>
          <w:sz w:val="24"/>
        </w:rPr>
        <w:t>années, l’arrivée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ceux-ci</w:t>
      </w:r>
      <w:r>
        <w:rPr>
          <w:rFonts w:ascii="Segoe UI Semibold" w:hAnsi="Segoe UI Semibold"/>
          <w:b/>
          <w:i/>
          <w:color w:val="231F20"/>
          <w:spacing w:val="-15"/>
          <w:sz w:val="24"/>
        </w:rPr>
        <w:t> </w:t>
      </w:r>
      <w:r>
        <w:rPr>
          <w:rFonts w:ascii="Segoe UI Semibold" w:hAnsi="Segoe UI Semibold"/>
          <w:b/>
          <w:i/>
          <w:color w:val="231F20"/>
          <w:sz w:val="24"/>
        </w:rPr>
        <w:t>et</w:t>
      </w:r>
      <w:r>
        <w:rPr>
          <w:rFonts w:ascii="Segoe UI Semibold" w:hAnsi="Segoe UI Semibold"/>
          <w:b/>
          <w:i/>
          <w:color w:val="231F20"/>
          <w:spacing w:val="-15"/>
          <w:sz w:val="24"/>
        </w:rPr>
        <w:t> </w:t>
      </w:r>
      <w:r>
        <w:rPr>
          <w:rFonts w:ascii="Segoe UI Semibold" w:hAnsi="Segoe UI Semibold"/>
          <w:b/>
          <w:i/>
          <w:color w:val="231F20"/>
          <w:sz w:val="24"/>
        </w:rPr>
        <w:t>donc</w:t>
      </w:r>
      <w:r>
        <w:rPr>
          <w:rFonts w:ascii="Segoe UI Semibold" w:hAnsi="Segoe UI Semibold"/>
          <w:b/>
          <w:i/>
          <w:color w:val="231F20"/>
          <w:spacing w:val="-15"/>
          <w:sz w:val="24"/>
        </w:rPr>
        <w:t> </w:t>
      </w:r>
      <w:r>
        <w:rPr>
          <w:rFonts w:ascii="Segoe UI Semibold" w:hAnsi="Segoe UI Semibold"/>
          <w:b/>
          <w:i/>
          <w:color w:val="231F20"/>
          <w:sz w:val="24"/>
        </w:rPr>
        <w:t>la</w:t>
      </w:r>
      <w:r>
        <w:rPr>
          <w:rFonts w:ascii="Segoe UI Semibold" w:hAnsi="Segoe UI Semibold"/>
          <w:b/>
          <w:i/>
          <w:color w:val="231F20"/>
          <w:spacing w:val="-16"/>
          <w:sz w:val="24"/>
        </w:rPr>
        <w:t> </w:t>
      </w:r>
      <w:r>
        <w:rPr>
          <w:rFonts w:ascii="Segoe UI Semibold" w:hAnsi="Segoe UI Semibold"/>
          <w:b/>
          <w:i/>
          <w:color w:val="231F20"/>
          <w:sz w:val="24"/>
        </w:rPr>
        <w:t>demande</w:t>
      </w:r>
      <w:r>
        <w:rPr>
          <w:rFonts w:ascii="Segoe UI Semibold" w:hAnsi="Segoe UI Semibold"/>
          <w:b/>
          <w:i/>
          <w:color w:val="231F20"/>
          <w:spacing w:val="-16"/>
          <w:sz w:val="24"/>
        </w:rPr>
        <w:t> </w:t>
      </w:r>
      <w:r>
        <w:rPr>
          <w:rFonts w:ascii="Segoe UI Semibold" w:hAnsi="Segoe UI Semibold"/>
          <w:b/>
          <w:i/>
          <w:color w:val="231F20"/>
          <w:sz w:val="24"/>
        </w:rPr>
        <w:t>de</w:t>
      </w:r>
      <w:r>
        <w:rPr>
          <w:rFonts w:ascii="Segoe UI Semibold" w:hAnsi="Segoe UI Semibold"/>
          <w:b/>
          <w:i/>
          <w:color w:val="231F20"/>
          <w:spacing w:val="-16"/>
          <w:sz w:val="24"/>
        </w:rPr>
        <w:t> </w:t>
      </w:r>
      <w:r>
        <w:rPr>
          <w:rFonts w:ascii="Segoe UI Semibold" w:hAnsi="Segoe UI Semibold"/>
          <w:b/>
          <w:i/>
          <w:color w:val="231F20"/>
          <w:sz w:val="24"/>
        </w:rPr>
        <w:t>biens</w:t>
      </w:r>
      <w:r>
        <w:rPr>
          <w:rFonts w:ascii="Segoe UI Semibold" w:hAnsi="Segoe UI Semibold"/>
          <w:b/>
          <w:i/>
          <w:color w:val="231F20"/>
          <w:spacing w:val="-15"/>
          <w:sz w:val="24"/>
        </w:rPr>
        <w:t> </w:t>
      </w:r>
      <w:r>
        <w:rPr>
          <w:rFonts w:ascii="Segoe UI Semibold" w:hAnsi="Segoe UI Semibold"/>
          <w:b/>
          <w:i/>
          <w:color w:val="231F20"/>
          <w:sz w:val="24"/>
        </w:rPr>
        <w:t>et </w:t>
      </w:r>
      <w:r>
        <w:rPr>
          <w:rFonts w:ascii="Segoe UI Semibold" w:hAnsi="Segoe UI Semibold"/>
          <w:b/>
          <w:i/>
          <w:color w:val="231F20"/>
          <w:spacing w:val="-2"/>
          <w:sz w:val="24"/>
        </w:rPr>
        <w:t>services</w:t>
      </w:r>
      <w:r>
        <w:rPr>
          <w:rFonts w:ascii="Segoe UI Semibold" w:hAnsi="Segoe UI Semibold"/>
          <w:b/>
          <w:i/>
          <w:color w:val="231F20"/>
          <w:spacing w:val="-15"/>
          <w:sz w:val="24"/>
        </w:rPr>
        <w:t> </w:t>
      </w:r>
      <w:r>
        <w:rPr>
          <w:rFonts w:ascii="Segoe UI Semibold" w:hAnsi="Segoe UI Semibold"/>
          <w:b/>
          <w:i/>
          <w:color w:val="231F20"/>
          <w:spacing w:val="-2"/>
          <w:sz w:val="24"/>
        </w:rPr>
        <w:t>fournis</w:t>
      </w:r>
      <w:r>
        <w:rPr>
          <w:rFonts w:ascii="Segoe UI Semibold" w:hAnsi="Segoe UI Semibold"/>
          <w:b/>
          <w:i/>
          <w:color w:val="231F20"/>
          <w:spacing w:val="-15"/>
          <w:sz w:val="24"/>
        </w:rPr>
        <w:t> </w:t>
      </w:r>
      <w:r>
        <w:rPr>
          <w:rFonts w:ascii="Segoe UI Semibold" w:hAnsi="Segoe UI Semibold"/>
          <w:b/>
          <w:i/>
          <w:color w:val="231F20"/>
          <w:spacing w:val="-2"/>
          <w:sz w:val="24"/>
        </w:rPr>
        <w:t>par</w:t>
      </w:r>
      <w:r>
        <w:rPr>
          <w:rFonts w:ascii="Segoe UI Semibold" w:hAnsi="Segoe UI Semibold"/>
          <w:b/>
          <w:i/>
          <w:color w:val="231F20"/>
          <w:spacing w:val="-15"/>
          <w:sz w:val="24"/>
        </w:rPr>
        <w:t> </w:t>
      </w:r>
      <w:r>
        <w:rPr>
          <w:rFonts w:ascii="Segoe UI Semibold" w:hAnsi="Segoe UI Semibold"/>
          <w:b/>
          <w:i/>
          <w:color w:val="231F20"/>
          <w:spacing w:val="-2"/>
          <w:sz w:val="24"/>
        </w:rPr>
        <w:t>ce</w:t>
      </w:r>
      <w:r>
        <w:rPr>
          <w:rFonts w:ascii="Segoe UI Semibold" w:hAnsi="Segoe UI Semibold"/>
          <w:b/>
          <w:i/>
          <w:color w:val="231F20"/>
          <w:spacing w:val="-15"/>
          <w:sz w:val="24"/>
        </w:rPr>
        <w:t> </w:t>
      </w:r>
      <w:r>
        <w:rPr>
          <w:rFonts w:ascii="Segoe UI Semibold" w:hAnsi="Segoe UI Semibold"/>
          <w:b/>
          <w:i/>
          <w:color w:val="231F20"/>
          <w:spacing w:val="-2"/>
          <w:sz w:val="24"/>
        </w:rPr>
        <w:t>secteur</w:t>
      </w:r>
      <w:r>
        <w:rPr>
          <w:rFonts w:ascii="Segoe UI Semibold" w:hAnsi="Segoe UI Semibold"/>
          <w:b/>
          <w:i/>
          <w:color w:val="231F20"/>
          <w:spacing w:val="-15"/>
          <w:sz w:val="24"/>
        </w:rPr>
        <w:t> </w:t>
      </w:r>
      <w:r>
        <w:rPr>
          <w:rFonts w:ascii="Segoe UI Semibold" w:hAnsi="Segoe UI Semibold"/>
          <w:b/>
          <w:i/>
          <w:color w:val="231F20"/>
          <w:spacing w:val="-2"/>
          <w:sz w:val="24"/>
        </w:rPr>
        <w:t>privé.</w:t>
      </w:r>
    </w:p>
    <w:p>
      <w:pPr>
        <w:pStyle w:val="BodyText"/>
        <w:spacing w:before="158"/>
        <w:ind w:left="1474"/>
      </w:pPr>
      <w:r>
        <w:rPr>
          <w:color w:val="231F20"/>
        </w:rPr>
        <w:t>Par ailleurs, l’administration étasunienne ayant cessé de délivrer à La Havane des </w:t>
      </w:r>
      <w:r>
        <w:rPr>
          <w:color w:val="231F20"/>
          <w:spacing w:val="-2"/>
        </w:rPr>
        <w:t>visas</w:t>
      </w:r>
      <w:r>
        <w:rPr>
          <w:color w:val="231F20"/>
          <w:spacing w:val="-13"/>
        </w:rPr>
        <w:t> </w:t>
      </w:r>
      <w:r>
        <w:rPr>
          <w:color w:val="231F20"/>
          <w:spacing w:val="-2"/>
        </w:rPr>
        <w:t>de</w:t>
      </w:r>
      <w:r>
        <w:rPr>
          <w:color w:val="231F20"/>
          <w:spacing w:val="-13"/>
        </w:rPr>
        <w:t> </w:t>
      </w:r>
      <w:r>
        <w:rPr>
          <w:color w:val="231F20"/>
          <w:spacing w:val="-2"/>
        </w:rPr>
        <w:t>non-immigrants,</w:t>
      </w:r>
      <w:r>
        <w:rPr>
          <w:color w:val="231F20"/>
          <w:spacing w:val="-13"/>
        </w:rPr>
        <w:t> </w:t>
      </w:r>
      <w:r>
        <w:rPr>
          <w:color w:val="231F20"/>
          <w:spacing w:val="-2"/>
        </w:rPr>
        <w:t>les</w:t>
      </w:r>
      <w:r>
        <w:rPr>
          <w:color w:val="231F20"/>
          <w:spacing w:val="-13"/>
        </w:rPr>
        <w:t> </w:t>
      </w:r>
      <w:r>
        <w:rPr>
          <w:color w:val="231F20"/>
          <w:spacing w:val="-2"/>
        </w:rPr>
        <w:t>acteurs</w:t>
      </w:r>
      <w:r>
        <w:rPr>
          <w:color w:val="231F20"/>
          <w:spacing w:val="-13"/>
        </w:rPr>
        <w:t> </w:t>
      </w:r>
      <w:r>
        <w:rPr>
          <w:color w:val="231F20"/>
          <w:spacing w:val="-2"/>
        </w:rPr>
        <w:t>privés </w:t>
      </w:r>
      <w:r>
        <w:rPr>
          <w:color w:val="231F20"/>
        </w:rPr>
        <w:t>voient se restreindre leur possibilité de</w:t>
      </w:r>
      <w:r>
        <w:rPr>
          <w:color w:val="231F20"/>
          <w:spacing w:val="80"/>
        </w:rPr>
        <w:t> </w:t>
      </w:r>
      <w:r>
        <w:rPr>
          <w:color w:val="231F20"/>
        </w:rPr>
        <w:t>se rendre aux États-Unis pour y acheter directement</w:t>
      </w:r>
      <w:r>
        <w:rPr>
          <w:color w:val="231F20"/>
          <w:spacing w:val="-9"/>
        </w:rPr>
        <w:t> </w:t>
      </w:r>
      <w:r>
        <w:rPr>
          <w:color w:val="231F20"/>
        </w:rPr>
        <w:t>les</w:t>
      </w:r>
      <w:r>
        <w:rPr>
          <w:color w:val="231F20"/>
          <w:spacing w:val="-9"/>
        </w:rPr>
        <w:t> </w:t>
      </w:r>
      <w:r>
        <w:rPr>
          <w:color w:val="231F20"/>
        </w:rPr>
        <w:t>approvisionnements</w:t>
      </w:r>
      <w:r>
        <w:rPr>
          <w:color w:val="231F20"/>
          <w:spacing w:val="-9"/>
        </w:rPr>
        <w:t> </w:t>
      </w:r>
      <w:r>
        <w:rPr>
          <w:color w:val="231F20"/>
        </w:rPr>
        <w:t>dont ils ont besoin.</w:t>
      </w:r>
    </w:p>
    <w:p>
      <w:pPr>
        <w:pStyle w:val="BodyText"/>
        <w:spacing w:before="165"/>
        <w:ind w:left="1474"/>
      </w:pPr>
      <w:r>
        <w:rPr>
          <w:color w:val="231F20"/>
        </w:rPr>
        <w:t>L’interdiction</w:t>
      </w:r>
      <w:r>
        <w:rPr>
          <w:color w:val="231F20"/>
          <w:spacing w:val="-11"/>
        </w:rPr>
        <w:t> </w:t>
      </w:r>
      <w:r>
        <w:rPr>
          <w:color w:val="231F20"/>
        </w:rPr>
        <w:t>faite</w:t>
      </w:r>
      <w:r>
        <w:rPr>
          <w:color w:val="231F20"/>
          <w:spacing w:val="-11"/>
        </w:rPr>
        <w:t> </w:t>
      </w:r>
      <w:r>
        <w:rPr>
          <w:color w:val="231F20"/>
        </w:rPr>
        <w:t>aux</w:t>
      </w:r>
      <w:r>
        <w:rPr>
          <w:color w:val="231F20"/>
          <w:spacing w:val="-11"/>
        </w:rPr>
        <w:t> </w:t>
      </w:r>
      <w:r>
        <w:rPr>
          <w:color w:val="231F20"/>
        </w:rPr>
        <w:t>navires</w:t>
      </w:r>
      <w:r>
        <w:rPr>
          <w:color w:val="231F20"/>
          <w:spacing w:val="-12"/>
        </w:rPr>
        <w:t> </w:t>
      </w:r>
      <w:r>
        <w:rPr>
          <w:color w:val="231F20"/>
        </w:rPr>
        <w:t>de</w:t>
      </w:r>
      <w:r>
        <w:rPr>
          <w:color w:val="231F20"/>
          <w:spacing w:val="-11"/>
        </w:rPr>
        <w:t> </w:t>
      </w:r>
      <w:r>
        <w:rPr>
          <w:color w:val="231F20"/>
        </w:rPr>
        <w:t>croisière étasuniens</w:t>
      </w:r>
      <w:r>
        <w:rPr>
          <w:color w:val="231F20"/>
          <w:spacing w:val="40"/>
        </w:rPr>
        <w:t> </w:t>
      </w:r>
      <w:r>
        <w:rPr>
          <w:color w:val="231F20"/>
        </w:rPr>
        <w:t>d’accoster</w:t>
      </w:r>
      <w:r>
        <w:rPr>
          <w:color w:val="231F20"/>
          <w:spacing w:val="40"/>
        </w:rPr>
        <w:t> </w:t>
      </w:r>
      <w:r>
        <w:rPr>
          <w:color w:val="231F20"/>
        </w:rPr>
        <w:t>les</w:t>
      </w:r>
      <w:r>
        <w:rPr>
          <w:color w:val="231F20"/>
          <w:spacing w:val="40"/>
        </w:rPr>
        <w:t> </w:t>
      </w:r>
      <w:r>
        <w:rPr>
          <w:color w:val="231F20"/>
        </w:rPr>
        <w:t>ports</w:t>
      </w:r>
      <w:r>
        <w:rPr>
          <w:color w:val="231F20"/>
          <w:spacing w:val="40"/>
        </w:rPr>
        <w:t> </w:t>
      </w:r>
      <w:r>
        <w:rPr>
          <w:color w:val="231F20"/>
        </w:rPr>
        <w:t>cubains</w:t>
      </w:r>
      <w:r>
        <w:rPr>
          <w:color w:val="231F20"/>
          <w:spacing w:val="40"/>
        </w:rPr>
        <w:t> </w:t>
      </w:r>
      <w:r>
        <w:rPr>
          <w:color w:val="231F20"/>
        </w:rPr>
        <w:t>a frappé directement une série d’affaires privées (restaurants, locaux pour vente d’artisanat,</w:t>
      </w:r>
      <w:r>
        <w:rPr>
          <w:color w:val="231F20"/>
          <w:spacing w:val="-15"/>
        </w:rPr>
        <w:t> </w:t>
      </w:r>
      <w:r>
        <w:rPr>
          <w:color w:val="231F20"/>
        </w:rPr>
        <w:t>stands</w:t>
      </w:r>
      <w:r>
        <w:rPr>
          <w:color w:val="231F20"/>
          <w:spacing w:val="-15"/>
        </w:rPr>
        <w:t> </w:t>
      </w:r>
      <w:r>
        <w:rPr>
          <w:color w:val="231F20"/>
        </w:rPr>
        <w:t>de</w:t>
      </w:r>
      <w:r>
        <w:rPr>
          <w:color w:val="231F20"/>
          <w:spacing w:val="-15"/>
        </w:rPr>
        <w:t> </w:t>
      </w:r>
      <w:r>
        <w:rPr>
          <w:color w:val="231F20"/>
        </w:rPr>
        <w:t>littérature</w:t>
      </w:r>
      <w:r>
        <w:rPr>
          <w:color w:val="231F20"/>
          <w:spacing w:val="-15"/>
        </w:rPr>
        <w:t> </w:t>
      </w:r>
      <w:r>
        <w:rPr>
          <w:color w:val="231F20"/>
        </w:rPr>
        <w:t>nationale, services</w:t>
      </w:r>
      <w:r>
        <w:rPr>
          <w:color w:val="231F20"/>
          <w:spacing w:val="-17"/>
        </w:rPr>
        <w:t> </w:t>
      </w:r>
      <w:r>
        <w:rPr>
          <w:color w:val="231F20"/>
        </w:rPr>
        <w:t>de</w:t>
      </w:r>
      <w:r>
        <w:rPr>
          <w:color w:val="231F20"/>
          <w:spacing w:val="-16"/>
        </w:rPr>
        <w:t> </w:t>
      </w:r>
      <w:r>
        <w:rPr>
          <w:color w:val="231F20"/>
        </w:rPr>
        <w:t>location</w:t>
      </w:r>
      <w:r>
        <w:rPr>
          <w:color w:val="231F20"/>
          <w:spacing w:val="-17"/>
        </w:rPr>
        <w:t> </w:t>
      </w:r>
      <w:r>
        <w:rPr>
          <w:color w:val="231F20"/>
        </w:rPr>
        <w:t>de</w:t>
      </w:r>
      <w:r>
        <w:rPr>
          <w:color w:val="231F20"/>
          <w:spacing w:val="-16"/>
        </w:rPr>
        <w:t> </w:t>
      </w:r>
      <w:r>
        <w:rPr>
          <w:color w:val="231F20"/>
        </w:rPr>
        <w:t>voitures</w:t>
      </w:r>
      <w:r>
        <w:rPr>
          <w:color w:val="231F20"/>
          <w:spacing w:val="-17"/>
        </w:rPr>
        <w:t> </w:t>
      </w:r>
      <w:r>
        <w:rPr>
          <w:color w:val="231F20"/>
        </w:rPr>
        <w:t>et</w:t>
      </w:r>
      <w:r>
        <w:rPr>
          <w:color w:val="231F20"/>
          <w:spacing w:val="-16"/>
        </w:rPr>
        <w:t> </w:t>
      </w:r>
      <w:r>
        <w:rPr>
          <w:color w:val="231F20"/>
        </w:rPr>
        <w:t>de</w:t>
      </w:r>
      <w:r>
        <w:rPr>
          <w:color w:val="231F20"/>
          <w:spacing w:val="-17"/>
        </w:rPr>
        <w:t> </w:t>
      </w:r>
      <w:r>
        <w:rPr>
          <w:color w:val="231F20"/>
        </w:rPr>
        <w:t>taxis) </w:t>
      </w:r>
      <w:r>
        <w:rPr>
          <w:color w:val="231F20"/>
          <w:spacing w:val="-4"/>
        </w:rPr>
        <w:t>situées</w:t>
      </w:r>
      <w:r>
        <w:rPr>
          <w:color w:val="231F20"/>
          <w:spacing w:val="-12"/>
        </w:rPr>
        <w:t> </w:t>
      </w:r>
      <w:r>
        <w:rPr>
          <w:color w:val="231F20"/>
          <w:spacing w:val="-4"/>
        </w:rPr>
        <w:t>surtout</w:t>
      </w:r>
      <w:r>
        <w:rPr>
          <w:color w:val="231F20"/>
          <w:spacing w:val="-11"/>
        </w:rPr>
        <w:t> </w:t>
      </w:r>
      <w:r>
        <w:rPr>
          <w:color w:val="231F20"/>
          <w:spacing w:val="-4"/>
        </w:rPr>
        <w:t>dans</w:t>
      </w:r>
      <w:r>
        <w:rPr>
          <w:color w:val="231F20"/>
          <w:spacing w:val="-12"/>
        </w:rPr>
        <w:t> </w:t>
      </w:r>
      <w:r>
        <w:rPr>
          <w:color w:val="231F20"/>
          <w:spacing w:val="-4"/>
        </w:rPr>
        <w:t>le</w:t>
      </w:r>
      <w:r>
        <w:rPr>
          <w:color w:val="231F20"/>
          <w:spacing w:val="-11"/>
        </w:rPr>
        <w:t> </w:t>
      </w:r>
      <w:r>
        <w:rPr>
          <w:color w:val="231F20"/>
          <w:spacing w:val="-4"/>
        </w:rPr>
        <w:t>Centre</w:t>
      </w:r>
      <w:r>
        <w:rPr>
          <w:color w:val="231F20"/>
          <w:spacing w:val="-11"/>
        </w:rPr>
        <w:t> </w:t>
      </w:r>
      <w:r>
        <w:rPr>
          <w:color w:val="231F20"/>
          <w:spacing w:val="-4"/>
        </w:rPr>
        <w:t>historique</w:t>
      </w:r>
      <w:r>
        <w:rPr>
          <w:color w:val="231F20"/>
          <w:spacing w:val="-11"/>
        </w:rPr>
        <w:t> </w:t>
      </w:r>
      <w:r>
        <w:rPr>
          <w:color w:val="231F20"/>
          <w:spacing w:val="-4"/>
        </w:rPr>
        <w:t>de </w:t>
      </w:r>
      <w:r>
        <w:rPr>
          <w:color w:val="231F20"/>
        </w:rPr>
        <w:t>La Havane.</w:t>
      </w:r>
    </w:p>
    <w:p>
      <w:pPr>
        <w:pStyle w:val="BodyText"/>
        <w:spacing w:before="167"/>
        <w:ind w:left="1474" w:right="1"/>
      </w:pPr>
      <w:r>
        <w:rPr>
          <w:color w:val="231F20"/>
        </w:rPr>
        <w:t>Des hommes d’affaires cubains ont aussi souffert</w:t>
      </w:r>
      <w:r>
        <w:rPr>
          <w:color w:val="231F20"/>
          <w:spacing w:val="71"/>
        </w:rPr>
        <w:t> </w:t>
      </w:r>
      <w:r>
        <w:rPr>
          <w:color w:val="231F20"/>
        </w:rPr>
        <w:t>la</w:t>
      </w:r>
      <w:r>
        <w:rPr>
          <w:color w:val="231F20"/>
          <w:spacing w:val="72"/>
        </w:rPr>
        <w:t> </w:t>
      </w:r>
      <w:r>
        <w:rPr>
          <w:color w:val="231F20"/>
        </w:rPr>
        <w:t>fermeture</w:t>
      </w:r>
      <w:r>
        <w:rPr>
          <w:color w:val="231F20"/>
          <w:spacing w:val="72"/>
        </w:rPr>
        <w:t> </w:t>
      </w:r>
      <w:r>
        <w:rPr>
          <w:color w:val="231F20"/>
        </w:rPr>
        <w:t>de</w:t>
      </w:r>
      <w:r>
        <w:rPr>
          <w:color w:val="231F20"/>
          <w:spacing w:val="72"/>
        </w:rPr>
        <w:t> </w:t>
      </w:r>
      <w:r>
        <w:rPr>
          <w:color w:val="231F20"/>
        </w:rPr>
        <w:t>leurs</w:t>
      </w:r>
      <w:r>
        <w:rPr>
          <w:color w:val="231F20"/>
          <w:spacing w:val="71"/>
        </w:rPr>
        <w:t> </w:t>
      </w:r>
      <w:r>
        <w:rPr>
          <w:color w:val="231F20"/>
          <w:spacing w:val="-2"/>
        </w:rPr>
        <w:t>comptes</w:t>
      </w:r>
    </w:p>
    <w:p>
      <w:pPr>
        <w:pStyle w:val="BodyText"/>
        <w:spacing w:before="77"/>
        <w:ind w:left="414" w:right="1133"/>
      </w:pPr>
      <w:r>
        <w:rPr/>
        <w:br w:type="column"/>
      </w:r>
      <w:r>
        <w:rPr>
          <w:color w:val="231F20"/>
        </w:rPr>
        <w:t>en</w:t>
      </w:r>
      <w:r>
        <w:rPr>
          <w:color w:val="231F20"/>
          <w:spacing w:val="40"/>
        </w:rPr>
        <w:t> </w:t>
      </w:r>
      <w:r>
        <w:rPr>
          <w:color w:val="231F20"/>
        </w:rPr>
        <w:t>banque</w:t>
      </w:r>
      <w:r>
        <w:rPr>
          <w:color w:val="231F20"/>
          <w:spacing w:val="40"/>
        </w:rPr>
        <w:t> </w:t>
      </w:r>
      <w:r>
        <w:rPr>
          <w:color w:val="231F20"/>
        </w:rPr>
        <w:t>aux</w:t>
      </w:r>
      <w:r>
        <w:rPr>
          <w:color w:val="231F20"/>
          <w:spacing w:val="40"/>
        </w:rPr>
        <w:t> </w:t>
      </w:r>
      <w:r>
        <w:rPr>
          <w:color w:val="231F20"/>
        </w:rPr>
        <w:t>États-Unis,</w:t>
      </w:r>
      <w:r>
        <w:rPr>
          <w:color w:val="231F20"/>
          <w:spacing w:val="40"/>
        </w:rPr>
        <w:t> </w:t>
      </w:r>
      <w:r>
        <w:rPr>
          <w:color w:val="231F20"/>
        </w:rPr>
        <w:t>ce</w:t>
      </w:r>
      <w:r>
        <w:rPr>
          <w:color w:val="231F20"/>
          <w:spacing w:val="40"/>
        </w:rPr>
        <w:t> </w:t>
      </w:r>
      <w:r>
        <w:rPr>
          <w:color w:val="231F20"/>
        </w:rPr>
        <w:t>qui</w:t>
      </w:r>
      <w:r>
        <w:rPr>
          <w:color w:val="231F20"/>
          <w:spacing w:val="40"/>
        </w:rPr>
        <w:t> </w:t>
      </w:r>
      <w:r>
        <w:rPr>
          <w:color w:val="231F20"/>
        </w:rPr>
        <w:t>gêne et enchérit leurs transactions financières, tandis plusieurs plateformes de paiement et commerce électroniques, tels PayPal</w:t>
      </w:r>
      <w:r>
        <w:rPr>
          <w:color w:val="231F20"/>
          <w:spacing w:val="80"/>
          <w:w w:val="150"/>
        </w:rPr>
        <w:t> </w:t>
      </w:r>
      <w:r>
        <w:rPr>
          <w:color w:val="231F20"/>
        </w:rPr>
        <w:t>et Airbnb, ont refusé de leur prêter ces services à cause des mesures coercitives visant</w:t>
      </w:r>
      <w:r>
        <w:rPr>
          <w:color w:val="231F20"/>
          <w:spacing w:val="-16"/>
        </w:rPr>
        <w:t> </w:t>
      </w:r>
      <w:r>
        <w:rPr>
          <w:color w:val="231F20"/>
        </w:rPr>
        <w:t>les</w:t>
      </w:r>
      <w:r>
        <w:rPr>
          <w:color w:val="231F20"/>
          <w:spacing w:val="-16"/>
        </w:rPr>
        <w:t> </w:t>
      </w:r>
      <w:r>
        <w:rPr>
          <w:color w:val="231F20"/>
        </w:rPr>
        <w:t>institutions</w:t>
      </w:r>
      <w:r>
        <w:rPr>
          <w:color w:val="231F20"/>
          <w:spacing w:val="-16"/>
        </w:rPr>
        <w:t> </w:t>
      </w:r>
      <w:r>
        <w:rPr>
          <w:color w:val="231F20"/>
        </w:rPr>
        <w:t>financières</w:t>
      </w:r>
      <w:r>
        <w:rPr>
          <w:color w:val="231F20"/>
          <w:spacing w:val="-16"/>
        </w:rPr>
        <w:t> </w:t>
      </w:r>
      <w:r>
        <w:rPr>
          <w:color w:val="231F20"/>
        </w:rPr>
        <w:t>cubaines.</w:t>
      </w:r>
    </w:p>
    <w:p>
      <w:pPr>
        <w:pStyle w:val="BodyText"/>
        <w:spacing w:before="8"/>
        <w:jc w:val="left"/>
      </w:pPr>
    </w:p>
    <w:p>
      <w:pPr>
        <w:pStyle w:val="Heading2"/>
        <w:spacing w:before="1"/>
        <w:ind w:left="414" w:right="2386"/>
      </w:pPr>
      <w:r>
        <w:rPr>
          <w:color w:val="1F4282"/>
          <w:w w:val="110"/>
        </w:rPr>
        <w:t>Préjudices</w:t>
      </w:r>
      <w:r>
        <w:rPr>
          <w:color w:val="1F4282"/>
          <w:spacing w:val="-9"/>
          <w:w w:val="110"/>
        </w:rPr>
        <w:t> </w:t>
      </w:r>
      <w:r>
        <w:rPr>
          <w:color w:val="1F4282"/>
          <w:w w:val="110"/>
        </w:rPr>
        <w:t>humains non quantifiables</w:t>
      </w:r>
    </w:p>
    <w:p>
      <w:pPr>
        <w:pStyle w:val="BodyText"/>
        <w:spacing w:before="163"/>
        <w:ind w:left="414" w:right="1135"/>
      </w:pPr>
      <w:r>
        <w:rPr>
          <w:color w:val="231F20"/>
          <w:spacing w:val="-2"/>
        </w:rPr>
        <w:t>Les</w:t>
      </w:r>
      <w:r>
        <w:rPr>
          <w:color w:val="231F20"/>
          <w:spacing w:val="-15"/>
        </w:rPr>
        <w:t> </w:t>
      </w:r>
      <w:r>
        <w:rPr>
          <w:color w:val="231F20"/>
          <w:spacing w:val="-2"/>
        </w:rPr>
        <w:t>graves</w:t>
      </w:r>
      <w:r>
        <w:rPr>
          <w:color w:val="231F20"/>
          <w:spacing w:val="-14"/>
        </w:rPr>
        <w:t> </w:t>
      </w:r>
      <w:r>
        <w:rPr>
          <w:color w:val="231F20"/>
          <w:spacing w:val="-2"/>
        </w:rPr>
        <w:t>dommages</w:t>
      </w:r>
      <w:r>
        <w:rPr>
          <w:color w:val="231F20"/>
          <w:spacing w:val="-15"/>
        </w:rPr>
        <w:t> </w:t>
      </w:r>
      <w:r>
        <w:rPr>
          <w:color w:val="231F20"/>
          <w:spacing w:val="-2"/>
        </w:rPr>
        <w:t>et</w:t>
      </w:r>
      <w:r>
        <w:rPr>
          <w:color w:val="231F20"/>
          <w:spacing w:val="-14"/>
        </w:rPr>
        <w:t> </w:t>
      </w:r>
      <w:r>
        <w:rPr>
          <w:color w:val="231F20"/>
          <w:spacing w:val="-2"/>
        </w:rPr>
        <w:t>préjudices</w:t>
      </w:r>
      <w:r>
        <w:rPr>
          <w:color w:val="231F20"/>
          <w:spacing w:val="-15"/>
        </w:rPr>
        <w:t> </w:t>
      </w:r>
      <w:r>
        <w:rPr>
          <w:color w:val="231F20"/>
          <w:spacing w:val="-2"/>
        </w:rPr>
        <w:t>causés </w:t>
      </w:r>
      <w:r>
        <w:rPr>
          <w:color w:val="231F20"/>
        </w:rPr>
        <w:t>par</w:t>
      </w:r>
      <w:r>
        <w:rPr>
          <w:color w:val="231F20"/>
          <w:spacing w:val="-16"/>
        </w:rPr>
        <w:t> </w:t>
      </w:r>
      <w:r>
        <w:rPr>
          <w:color w:val="231F20"/>
        </w:rPr>
        <w:t>le</w:t>
      </w:r>
      <w:r>
        <w:rPr>
          <w:color w:val="231F20"/>
          <w:spacing w:val="-16"/>
        </w:rPr>
        <w:t> </w:t>
      </w:r>
      <w:r>
        <w:rPr>
          <w:color w:val="231F20"/>
        </w:rPr>
        <w:t>blocus</w:t>
      </w:r>
      <w:r>
        <w:rPr>
          <w:color w:val="231F20"/>
          <w:spacing w:val="-17"/>
        </w:rPr>
        <w:t> </w:t>
      </w:r>
      <w:r>
        <w:rPr>
          <w:color w:val="231F20"/>
        </w:rPr>
        <w:t>ont</w:t>
      </w:r>
      <w:r>
        <w:rPr>
          <w:color w:val="231F20"/>
          <w:spacing w:val="-16"/>
        </w:rPr>
        <w:t> </w:t>
      </w:r>
      <w:r>
        <w:rPr>
          <w:color w:val="231F20"/>
        </w:rPr>
        <w:t>un</w:t>
      </w:r>
      <w:r>
        <w:rPr>
          <w:color w:val="231F20"/>
          <w:spacing w:val="-16"/>
        </w:rPr>
        <w:t> </w:t>
      </w:r>
      <w:r>
        <w:rPr>
          <w:color w:val="231F20"/>
        </w:rPr>
        <w:t>«</w:t>
      </w:r>
      <w:r>
        <w:rPr>
          <w:color w:val="231F20"/>
          <w:spacing w:val="-16"/>
        </w:rPr>
        <w:t> </w:t>
      </w:r>
      <w:r>
        <w:rPr>
          <w:color w:val="231F20"/>
        </w:rPr>
        <w:t>visage</w:t>
      </w:r>
      <w:r>
        <w:rPr>
          <w:color w:val="231F20"/>
          <w:spacing w:val="-16"/>
        </w:rPr>
        <w:t> </w:t>
      </w:r>
      <w:r>
        <w:rPr>
          <w:color w:val="231F20"/>
        </w:rPr>
        <w:t>humain</w:t>
      </w:r>
      <w:r>
        <w:rPr>
          <w:color w:val="231F20"/>
          <w:spacing w:val="-16"/>
        </w:rPr>
        <w:t> </w:t>
      </w:r>
      <w:r>
        <w:rPr>
          <w:color w:val="231F20"/>
        </w:rPr>
        <w:t>»</w:t>
      </w:r>
      <w:r>
        <w:rPr>
          <w:color w:val="231F20"/>
          <w:spacing w:val="-16"/>
        </w:rPr>
        <w:t> </w:t>
      </w:r>
      <w:r>
        <w:rPr>
          <w:color w:val="231F20"/>
        </w:rPr>
        <w:t>qui, </w:t>
      </w:r>
      <w:r>
        <w:rPr>
          <w:color w:val="231F20"/>
          <w:spacing w:val="-10"/>
        </w:rPr>
        <w:t>bien</w:t>
      </w:r>
      <w:r>
        <w:rPr>
          <w:color w:val="231F20"/>
          <w:spacing w:val="-7"/>
        </w:rPr>
        <w:t> </w:t>
      </w:r>
      <w:r>
        <w:rPr>
          <w:color w:val="231F20"/>
          <w:spacing w:val="-10"/>
        </w:rPr>
        <w:t>que</w:t>
      </w:r>
      <w:r>
        <w:rPr>
          <w:color w:val="231F20"/>
          <w:spacing w:val="-6"/>
        </w:rPr>
        <w:t> </w:t>
      </w:r>
      <w:r>
        <w:rPr>
          <w:color w:val="231F20"/>
          <w:spacing w:val="-10"/>
        </w:rPr>
        <w:t>non</w:t>
      </w:r>
      <w:r>
        <w:rPr>
          <w:color w:val="231F20"/>
          <w:spacing w:val="-7"/>
        </w:rPr>
        <w:t> </w:t>
      </w:r>
      <w:r>
        <w:rPr>
          <w:color w:val="231F20"/>
          <w:spacing w:val="-10"/>
        </w:rPr>
        <w:t>quantifiable,</w:t>
      </w:r>
      <w:r>
        <w:rPr>
          <w:color w:val="231F20"/>
          <w:spacing w:val="-6"/>
        </w:rPr>
        <w:t> </w:t>
      </w:r>
      <w:r>
        <w:rPr>
          <w:color w:val="231F20"/>
          <w:spacing w:val="-10"/>
        </w:rPr>
        <w:t>n’en</w:t>
      </w:r>
      <w:r>
        <w:rPr>
          <w:color w:val="231F20"/>
          <w:spacing w:val="-7"/>
        </w:rPr>
        <w:t> </w:t>
      </w:r>
      <w:r>
        <w:rPr>
          <w:color w:val="231F20"/>
          <w:spacing w:val="-10"/>
        </w:rPr>
        <w:t>est</w:t>
      </w:r>
      <w:r>
        <w:rPr>
          <w:color w:val="231F20"/>
          <w:spacing w:val="-6"/>
        </w:rPr>
        <w:t> </w:t>
      </w:r>
      <w:r>
        <w:rPr>
          <w:color w:val="231F20"/>
          <w:spacing w:val="-10"/>
        </w:rPr>
        <w:t>pas</w:t>
      </w:r>
      <w:r>
        <w:rPr>
          <w:color w:val="231F20"/>
          <w:spacing w:val="-7"/>
        </w:rPr>
        <w:t> </w:t>
      </w:r>
      <w:r>
        <w:rPr>
          <w:color w:val="231F20"/>
          <w:spacing w:val="-10"/>
        </w:rPr>
        <w:t>moins </w:t>
      </w:r>
      <w:r>
        <w:rPr>
          <w:color w:val="231F20"/>
          <w:spacing w:val="-2"/>
        </w:rPr>
        <w:t>réel</w:t>
      </w:r>
      <w:r>
        <w:rPr>
          <w:color w:val="231F20"/>
          <w:spacing w:val="-15"/>
        </w:rPr>
        <w:t> </w:t>
      </w:r>
      <w:r>
        <w:rPr>
          <w:color w:val="231F20"/>
          <w:spacing w:val="-2"/>
        </w:rPr>
        <w:t>et</w:t>
      </w:r>
      <w:r>
        <w:rPr>
          <w:color w:val="231F20"/>
          <w:spacing w:val="-14"/>
        </w:rPr>
        <w:t> </w:t>
      </w:r>
      <w:r>
        <w:rPr>
          <w:color w:val="231F20"/>
          <w:spacing w:val="-2"/>
        </w:rPr>
        <w:t>significatif,</w:t>
      </w:r>
      <w:r>
        <w:rPr>
          <w:color w:val="231F20"/>
          <w:spacing w:val="-15"/>
        </w:rPr>
        <w:t> </w:t>
      </w:r>
      <w:r>
        <w:rPr>
          <w:color w:val="231F20"/>
          <w:spacing w:val="-2"/>
        </w:rPr>
        <w:t>cette</w:t>
      </w:r>
      <w:r>
        <w:rPr>
          <w:color w:val="231F20"/>
          <w:spacing w:val="-14"/>
        </w:rPr>
        <w:t> </w:t>
      </w:r>
      <w:r>
        <w:rPr>
          <w:color w:val="231F20"/>
          <w:spacing w:val="-2"/>
        </w:rPr>
        <w:t>politique</w:t>
      </w:r>
      <w:r>
        <w:rPr>
          <w:color w:val="231F20"/>
          <w:spacing w:val="-15"/>
        </w:rPr>
        <w:t> </w:t>
      </w:r>
      <w:r>
        <w:rPr>
          <w:color w:val="231F20"/>
          <w:spacing w:val="-2"/>
        </w:rPr>
        <w:t>ayant</w:t>
      </w:r>
      <w:r>
        <w:rPr>
          <w:color w:val="231F20"/>
          <w:spacing w:val="-14"/>
        </w:rPr>
        <w:t> </w:t>
      </w:r>
      <w:r>
        <w:rPr>
          <w:color w:val="231F20"/>
          <w:spacing w:val="-2"/>
        </w:rPr>
        <w:t>visé </w:t>
      </w:r>
      <w:r>
        <w:rPr>
          <w:color w:val="231F20"/>
        </w:rPr>
        <w:t>d’emblée,</w:t>
      </w:r>
      <w:r>
        <w:rPr>
          <w:color w:val="231F20"/>
          <w:spacing w:val="-1"/>
        </w:rPr>
        <w:t> </w:t>
      </w:r>
      <w:r>
        <w:rPr>
          <w:color w:val="231F20"/>
        </w:rPr>
        <w:t>précisément,</w:t>
      </w:r>
      <w:r>
        <w:rPr>
          <w:color w:val="231F20"/>
          <w:spacing w:val="-1"/>
        </w:rPr>
        <w:t> </w:t>
      </w:r>
      <w:r>
        <w:rPr>
          <w:color w:val="231F20"/>
        </w:rPr>
        <w:t>à</w:t>
      </w:r>
      <w:r>
        <w:rPr>
          <w:color w:val="231F20"/>
          <w:spacing w:val="-1"/>
        </w:rPr>
        <w:t> </w:t>
      </w:r>
      <w:r>
        <w:rPr>
          <w:color w:val="231F20"/>
        </w:rPr>
        <w:t>toucher</w:t>
      </w:r>
      <w:r>
        <w:rPr>
          <w:color w:val="231F20"/>
          <w:spacing w:val="-1"/>
        </w:rPr>
        <w:t> </w:t>
      </w:r>
      <w:r>
        <w:rPr>
          <w:color w:val="231F20"/>
        </w:rPr>
        <w:t>tous</w:t>
      </w:r>
      <w:r>
        <w:rPr>
          <w:color w:val="231F20"/>
          <w:spacing w:val="-1"/>
        </w:rPr>
        <w:t> </w:t>
      </w:r>
      <w:r>
        <w:rPr>
          <w:color w:val="231F20"/>
        </w:rPr>
        <w:t>les domaines de la vie socio-économique et politique du peuple cubain.</w:t>
      </w:r>
    </w:p>
    <w:p>
      <w:pPr>
        <w:pStyle w:val="BodyText"/>
        <w:spacing w:before="166"/>
        <w:ind w:left="414" w:right="1138"/>
      </w:pPr>
      <w:r>
        <w:rPr/>
        <mc:AlternateContent>
          <mc:Choice Requires="wps">
            <w:drawing>
              <wp:anchor distT="0" distB="0" distL="0" distR="0" allowOverlap="1" layoutInCell="1" locked="0" behindDoc="0" simplePos="0" relativeHeight="15835136">
                <wp:simplePos x="0" y="0"/>
                <wp:positionH relativeFrom="page">
                  <wp:posOffset>4031996</wp:posOffset>
                </wp:positionH>
                <wp:positionV relativeFrom="paragraph">
                  <wp:posOffset>1082643</wp:posOffset>
                </wp:positionV>
                <wp:extent cx="2808605" cy="4267200"/>
                <wp:effectExtent l="0" t="0" r="0" b="0"/>
                <wp:wrapNone/>
                <wp:docPr id="452" name="Textbox 452"/>
                <wp:cNvGraphicFramePr>
                  <a:graphicFrameLocks/>
                </wp:cNvGraphicFramePr>
                <a:graphic>
                  <a:graphicData uri="http://schemas.microsoft.com/office/word/2010/wordprocessingShape">
                    <wps:wsp>
                      <wps:cNvPr id="452" name="Textbox 452"/>
                      <wps:cNvSpPr txBox="1"/>
                      <wps:spPr>
                        <a:xfrm>
                          <a:off x="0" y="0"/>
                          <a:ext cx="2808605" cy="4267200"/>
                        </a:xfrm>
                        <a:prstGeom prst="rect">
                          <a:avLst/>
                        </a:prstGeom>
                        <a:solidFill>
                          <a:srgbClr val="1A4796"/>
                        </a:solidFill>
                      </wps:spPr>
                      <wps:txbx>
                        <w:txbxContent>
                          <w:p>
                            <w:pPr>
                              <w:pStyle w:val="BodyText"/>
                              <w:jc w:val="left"/>
                              <w:rPr>
                                <w:color w:val="000000"/>
                              </w:rPr>
                            </w:pPr>
                          </w:p>
                          <w:p>
                            <w:pPr>
                              <w:pStyle w:val="BodyText"/>
                              <w:spacing w:before="61"/>
                              <w:jc w:val="left"/>
                              <w:rPr>
                                <w:color w:val="000000"/>
                              </w:rPr>
                            </w:pPr>
                          </w:p>
                          <w:p>
                            <w:pPr>
                              <w:spacing w:before="0"/>
                              <w:ind w:left="255" w:right="259" w:firstLine="0"/>
                              <w:jc w:val="both"/>
                              <w:rPr>
                                <w:rFonts w:ascii="Segoe UI Semibold" w:hAnsi="Segoe UI Semibold"/>
                                <w:b/>
                                <w:i/>
                                <w:color w:val="000000"/>
                                <w:sz w:val="24"/>
                              </w:rPr>
                            </w:pPr>
                            <w:r>
                              <w:rPr>
                                <w:rFonts w:ascii="Segoe UI Semibold" w:hAnsi="Segoe UI Semibold"/>
                                <w:b/>
                                <w:i/>
                                <w:color w:val="FFFFFF"/>
                                <w:sz w:val="24"/>
                              </w:rPr>
                              <w:t>« La majorité des Cubains appuie</w:t>
                            </w:r>
                            <w:r>
                              <w:rPr>
                                <w:rFonts w:ascii="Segoe UI Semibold" w:hAnsi="Segoe UI Semibold"/>
                                <w:b/>
                                <w:i/>
                                <w:color w:val="FFFFFF"/>
                                <w:sz w:val="24"/>
                              </w:rPr>
                              <w:t> Castro… Le seul moyen prévisible d’aliéner cet appui interne, c’est à travers le désenchantement et la </w:t>
                            </w:r>
                            <w:r>
                              <w:rPr>
                                <w:rFonts w:ascii="Segoe UI Semibold" w:hAnsi="Segoe UI Semibold"/>
                                <w:b/>
                                <w:i/>
                                <w:color w:val="FFFFFF"/>
                                <w:spacing w:val="-2"/>
                                <w:sz w:val="24"/>
                              </w:rPr>
                              <w:t>désaffection</w:t>
                            </w:r>
                            <w:r>
                              <w:rPr>
                                <w:rFonts w:ascii="Segoe UI Semibold" w:hAnsi="Segoe UI Semibold"/>
                                <w:b/>
                                <w:i/>
                                <w:color w:val="FFFFFF"/>
                                <w:spacing w:val="-15"/>
                                <w:sz w:val="24"/>
                              </w:rPr>
                              <w:t> </w:t>
                            </w:r>
                            <w:r>
                              <w:rPr>
                                <w:rFonts w:ascii="Segoe UI Semibold" w:hAnsi="Segoe UI Semibold"/>
                                <w:b/>
                                <w:i/>
                                <w:color w:val="FFFFFF"/>
                                <w:spacing w:val="-2"/>
                                <w:sz w:val="24"/>
                              </w:rPr>
                              <w:t>basés</w:t>
                            </w:r>
                            <w:r>
                              <w:rPr>
                                <w:rFonts w:ascii="Segoe UI Semibold" w:hAnsi="Segoe UI Semibold"/>
                                <w:b/>
                                <w:i/>
                                <w:color w:val="FFFFFF"/>
                                <w:spacing w:val="-14"/>
                                <w:sz w:val="24"/>
                              </w:rPr>
                              <w:t> </w:t>
                            </w:r>
                            <w:r>
                              <w:rPr>
                                <w:rFonts w:ascii="Segoe UI Semibold" w:hAnsi="Segoe UI Semibold"/>
                                <w:b/>
                                <w:i/>
                                <w:color w:val="FFFFFF"/>
                                <w:spacing w:val="-2"/>
                                <w:sz w:val="24"/>
                              </w:rPr>
                              <w:t>sur</w:t>
                            </w:r>
                            <w:r>
                              <w:rPr>
                                <w:rFonts w:ascii="Segoe UI Semibold" w:hAnsi="Segoe UI Semibold"/>
                                <w:b/>
                                <w:i/>
                                <w:color w:val="FFFFFF"/>
                                <w:spacing w:val="-15"/>
                                <w:sz w:val="24"/>
                              </w:rPr>
                              <w:t> </w:t>
                            </w:r>
                            <w:r>
                              <w:rPr>
                                <w:rFonts w:ascii="Segoe UI Semibold" w:hAnsi="Segoe UI Semibold"/>
                                <w:b/>
                                <w:i/>
                                <w:color w:val="FFFFFF"/>
                                <w:spacing w:val="-2"/>
                                <w:sz w:val="24"/>
                              </w:rPr>
                              <w:t>l’insatisfaction </w:t>
                            </w:r>
                            <w:r>
                              <w:rPr>
                                <w:rFonts w:ascii="Segoe UI Semibold" w:hAnsi="Segoe UI Semibold"/>
                                <w:b/>
                                <w:i/>
                                <w:color w:val="FFFFFF"/>
                                <w:sz w:val="24"/>
                              </w:rPr>
                              <w:t>et les difficultés économiques … il faut mettre en œuvre au plus vite </w:t>
                            </w:r>
                            <w:r>
                              <w:rPr>
                                <w:rFonts w:ascii="Segoe UI Semibold" w:hAnsi="Segoe UI Semibold"/>
                                <w:b/>
                                <w:i/>
                                <w:color w:val="FFFFFF"/>
                                <w:spacing w:val="-2"/>
                                <w:sz w:val="24"/>
                              </w:rPr>
                              <w:t>tous</w:t>
                            </w:r>
                            <w:r>
                              <w:rPr>
                                <w:rFonts w:ascii="Segoe UI Semibold" w:hAnsi="Segoe UI Semibold"/>
                                <w:b/>
                                <w:i/>
                                <w:color w:val="FFFFFF"/>
                                <w:spacing w:val="-14"/>
                                <w:sz w:val="24"/>
                              </w:rPr>
                              <w:t> </w:t>
                            </w:r>
                            <w:r>
                              <w:rPr>
                                <w:rFonts w:ascii="Segoe UI Semibold" w:hAnsi="Segoe UI Semibold"/>
                                <w:b/>
                                <w:i/>
                                <w:color w:val="FFFFFF"/>
                                <w:spacing w:val="-2"/>
                                <w:sz w:val="24"/>
                              </w:rPr>
                              <w:t>les</w:t>
                            </w:r>
                            <w:r>
                              <w:rPr>
                                <w:rFonts w:ascii="Segoe UI Semibold" w:hAnsi="Segoe UI Semibold"/>
                                <w:b/>
                                <w:i/>
                                <w:color w:val="FFFFFF"/>
                                <w:spacing w:val="-14"/>
                                <w:sz w:val="24"/>
                              </w:rPr>
                              <w:t> </w:t>
                            </w:r>
                            <w:r>
                              <w:rPr>
                                <w:rFonts w:ascii="Segoe UI Semibold" w:hAnsi="Segoe UI Semibold"/>
                                <w:b/>
                                <w:i/>
                                <w:color w:val="FFFFFF"/>
                                <w:spacing w:val="-2"/>
                                <w:sz w:val="24"/>
                              </w:rPr>
                              <w:t>moyens</w:t>
                            </w:r>
                            <w:r>
                              <w:rPr>
                                <w:rFonts w:ascii="Segoe UI Semibold" w:hAnsi="Segoe UI Semibold"/>
                                <w:b/>
                                <w:i/>
                                <w:color w:val="FFFFFF"/>
                                <w:spacing w:val="-14"/>
                                <w:sz w:val="24"/>
                              </w:rPr>
                              <w:t> </w:t>
                            </w:r>
                            <w:r>
                              <w:rPr>
                                <w:rFonts w:ascii="Segoe UI Semibold" w:hAnsi="Segoe UI Semibold"/>
                                <w:b/>
                                <w:i/>
                                <w:color w:val="FFFFFF"/>
                                <w:spacing w:val="-2"/>
                                <w:sz w:val="24"/>
                              </w:rPr>
                              <w:t>possibles</w:t>
                            </w:r>
                            <w:r>
                              <w:rPr>
                                <w:rFonts w:ascii="Segoe UI Semibold" w:hAnsi="Segoe UI Semibold"/>
                                <w:b/>
                                <w:i/>
                                <w:color w:val="FFFFFF"/>
                                <w:spacing w:val="-14"/>
                                <w:sz w:val="24"/>
                              </w:rPr>
                              <w:t> </w:t>
                            </w:r>
                            <w:r>
                              <w:rPr>
                                <w:rFonts w:ascii="Segoe UI Semibold" w:hAnsi="Segoe UI Semibold"/>
                                <w:b/>
                                <w:i/>
                                <w:color w:val="FFFFFF"/>
                                <w:spacing w:val="-2"/>
                                <w:sz w:val="24"/>
                              </w:rPr>
                              <w:t>pour</w:t>
                            </w:r>
                            <w:r>
                              <w:rPr>
                                <w:rFonts w:ascii="Segoe UI Semibold" w:hAnsi="Segoe UI Semibold"/>
                                <w:b/>
                                <w:i/>
                                <w:color w:val="FFFFFF"/>
                                <w:spacing w:val="-15"/>
                                <w:sz w:val="24"/>
                              </w:rPr>
                              <w:t> </w:t>
                            </w:r>
                            <w:r>
                              <w:rPr>
                                <w:rFonts w:ascii="Segoe UI Semibold" w:hAnsi="Segoe UI Semibold"/>
                                <w:b/>
                                <w:i/>
                                <w:color w:val="FFFFFF"/>
                                <w:spacing w:val="-2"/>
                                <w:sz w:val="24"/>
                              </w:rPr>
                              <w:t>miner la</w:t>
                            </w:r>
                            <w:r>
                              <w:rPr>
                                <w:rFonts w:ascii="Segoe UI Semibold" w:hAnsi="Segoe UI Semibold"/>
                                <w:b/>
                                <w:i/>
                                <w:color w:val="FFFFFF"/>
                                <w:spacing w:val="-13"/>
                                <w:sz w:val="24"/>
                              </w:rPr>
                              <w:t> </w:t>
                            </w:r>
                            <w:r>
                              <w:rPr>
                                <w:rFonts w:ascii="Segoe UI Semibold" w:hAnsi="Segoe UI Semibold"/>
                                <w:b/>
                                <w:i/>
                                <w:color w:val="FFFFFF"/>
                                <w:spacing w:val="-2"/>
                                <w:sz w:val="24"/>
                              </w:rPr>
                              <w:t>vie</w:t>
                            </w:r>
                            <w:r>
                              <w:rPr>
                                <w:rFonts w:ascii="Segoe UI Semibold" w:hAnsi="Segoe UI Semibold"/>
                                <w:b/>
                                <w:i/>
                                <w:color w:val="FFFFFF"/>
                                <w:spacing w:val="-13"/>
                                <w:sz w:val="24"/>
                              </w:rPr>
                              <w:t> </w:t>
                            </w:r>
                            <w:r>
                              <w:rPr>
                                <w:rFonts w:ascii="Segoe UI Semibold" w:hAnsi="Segoe UI Semibold"/>
                                <w:b/>
                                <w:i/>
                                <w:color w:val="FFFFFF"/>
                                <w:spacing w:val="-2"/>
                                <w:sz w:val="24"/>
                              </w:rPr>
                              <w:t>économique</w:t>
                            </w:r>
                            <w:r>
                              <w:rPr>
                                <w:rFonts w:ascii="Segoe UI Semibold" w:hAnsi="Segoe UI Semibold"/>
                                <w:b/>
                                <w:i/>
                                <w:color w:val="FFFFFF"/>
                                <w:spacing w:val="-13"/>
                                <w:sz w:val="24"/>
                              </w:rPr>
                              <w:t> </w:t>
                            </w:r>
                            <w:r>
                              <w:rPr>
                                <w:rFonts w:ascii="Segoe UI Semibold" w:hAnsi="Segoe UI Semibold"/>
                                <w:b/>
                                <w:i/>
                                <w:color w:val="FFFFFF"/>
                                <w:spacing w:val="-2"/>
                                <w:sz w:val="24"/>
                              </w:rPr>
                              <w:t>de</w:t>
                            </w:r>
                            <w:r>
                              <w:rPr>
                                <w:rFonts w:ascii="Segoe UI Semibold" w:hAnsi="Segoe UI Semibold"/>
                                <w:b/>
                                <w:i/>
                                <w:color w:val="FFFFFF"/>
                                <w:spacing w:val="-13"/>
                                <w:sz w:val="24"/>
                              </w:rPr>
                              <w:t> </w:t>
                            </w:r>
                            <w:r>
                              <w:rPr>
                                <w:rFonts w:ascii="Segoe UI Semibold" w:hAnsi="Segoe UI Semibold"/>
                                <w:b/>
                                <w:i/>
                                <w:color w:val="FFFFFF"/>
                                <w:spacing w:val="-2"/>
                                <w:sz w:val="24"/>
                              </w:rPr>
                              <w:t>Cuba…</w:t>
                            </w:r>
                            <w:r>
                              <w:rPr>
                                <w:rFonts w:ascii="Segoe UI Semibold" w:hAnsi="Segoe UI Semibold"/>
                                <w:b/>
                                <w:i/>
                                <w:color w:val="FFFFFF"/>
                                <w:spacing w:val="-13"/>
                                <w:sz w:val="24"/>
                              </w:rPr>
                              <w:t> </w:t>
                            </w:r>
                            <w:r>
                              <w:rPr>
                                <w:rFonts w:ascii="Segoe UI Semibold" w:hAnsi="Segoe UI Semibold"/>
                                <w:b/>
                                <w:i/>
                                <w:color w:val="FFFFFF"/>
                                <w:spacing w:val="-2"/>
                                <w:sz w:val="24"/>
                              </w:rPr>
                              <w:t>un</w:t>
                            </w:r>
                            <w:r>
                              <w:rPr>
                                <w:rFonts w:ascii="Segoe UI Semibold" w:hAnsi="Segoe UI Semibold"/>
                                <w:b/>
                                <w:i/>
                                <w:color w:val="FFFFFF"/>
                                <w:spacing w:val="-13"/>
                                <w:sz w:val="24"/>
                              </w:rPr>
                              <w:t> </w:t>
                            </w:r>
                            <w:r>
                              <w:rPr>
                                <w:rFonts w:ascii="Segoe UI Semibold" w:hAnsi="Segoe UI Semibold"/>
                                <w:b/>
                                <w:i/>
                                <w:color w:val="FFFFFF"/>
                                <w:spacing w:val="-2"/>
                                <w:sz w:val="24"/>
                              </w:rPr>
                              <w:t>plan </w:t>
                            </w:r>
                            <w:r>
                              <w:rPr>
                                <w:rFonts w:ascii="Segoe UI Semibold" w:hAnsi="Segoe UI Semibold"/>
                                <w:b/>
                                <w:i/>
                                <w:color w:val="FFFFFF"/>
                                <w:sz w:val="24"/>
                              </w:rPr>
                              <w:t>d’action qui, d’une manière aussi </w:t>
                            </w:r>
                            <w:r>
                              <w:rPr>
                                <w:rFonts w:ascii="Segoe UI Semibold" w:hAnsi="Segoe UI Semibold"/>
                                <w:b/>
                                <w:i/>
                                <w:color w:val="FFFFFF"/>
                                <w:spacing w:val="-2"/>
                                <w:sz w:val="24"/>
                              </w:rPr>
                              <w:t>adroite</w:t>
                            </w:r>
                            <w:r>
                              <w:rPr>
                                <w:rFonts w:ascii="Segoe UI Semibold" w:hAnsi="Segoe UI Semibold"/>
                                <w:b/>
                                <w:i/>
                                <w:color w:val="FFFFFF"/>
                                <w:spacing w:val="-15"/>
                                <w:sz w:val="24"/>
                              </w:rPr>
                              <w:t> </w:t>
                            </w:r>
                            <w:r>
                              <w:rPr>
                                <w:rFonts w:ascii="Segoe UI Semibold" w:hAnsi="Segoe UI Semibold"/>
                                <w:b/>
                                <w:i/>
                                <w:color w:val="FFFFFF"/>
                                <w:spacing w:val="-2"/>
                                <w:sz w:val="24"/>
                              </w:rPr>
                              <w:t>et</w:t>
                            </w:r>
                            <w:r>
                              <w:rPr>
                                <w:rFonts w:ascii="Segoe UI Semibold" w:hAnsi="Segoe UI Semibold"/>
                                <w:b/>
                                <w:i/>
                                <w:color w:val="FFFFFF"/>
                                <w:spacing w:val="-14"/>
                                <w:sz w:val="24"/>
                              </w:rPr>
                              <w:t> </w:t>
                            </w:r>
                            <w:r>
                              <w:rPr>
                                <w:rFonts w:ascii="Segoe UI Semibold" w:hAnsi="Segoe UI Semibold"/>
                                <w:b/>
                                <w:i/>
                                <w:color w:val="FFFFFF"/>
                                <w:spacing w:val="-2"/>
                                <w:sz w:val="24"/>
                              </w:rPr>
                              <w:t>discrète</w:t>
                            </w:r>
                            <w:r>
                              <w:rPr>
                                <w:rFonts w:ascii="Segoe UI Semibold" w:hAnsi="Segoe UI Semibold"/>
                                <w:b/>
                                <w:i/>
                                <w:color w:val="FFFFFF"/>
                                <w:spacing w:val="-15"/>
                                <w:sz w:val="24"/>
                              </w:rPr>
                              <w:t> </w:t>
                            </w:r>
                            <w:r>
                              <w:rPr>
                                <w:rFonts w:ascii="Segoe UI Semibold" w:hAnsi="Segoe UI Semibold"/>
                                <w:b/>
                                <w:i/>
                                <w:color w:val="FFFFFF"/>
                                <w:spacing w:val="-2"/>
                                <w:sz w:val="24"/>
                              </w:rPr>
                              <w:t>que</w:t>
                            </w:r>
                            <w:r>
                              <w:rPr>
                                <w:rFonts w:ascii="Segoe UI Semibold" w:hAnsi="Segoe UI Semibold"/>
                                <w:b/>
                                <w:i/>
                                <w:color w:val="FFFFFF"/>
                                <w:spacing w:val="-14"/>
                                <w:sz w:val="24"/>
                              </w:rPr>
                              <w:t> </w:t>
                            </w:r>
                            <w:r>
                              <w:rPr>
                                <w:rFonts w:ascii="Segoe UI Semibold" w:hAnsi="Segoe UI Semibold"/>
                                <w:b/>
                                <w:i/>
                                <w:color w:val="FFFFFF"/>
                                <w:spacing w:val="-2"/>
                                <w:sz w:val="24"/>
                              </w:rPr>
                              <w:t>possible,</w:t>
                            </w:r>
                            <w:r>
                              <w:rPr>
                                <w:rFonts w:ascii="Segoe UI Semibold" w:hAnsi="Segoe UI Semibold"/>
                                <w:b/>
                                <w:i/>
                                <w:color w:val="FFFFFF"/>
                                <w:spacing w:val="-15"/>
                                <w:sz w:val="24"/>
                              </w:rPr>
                              <w:t> </w:t>
                            </w:r>
                            <w:r>
                              <w:rPr>
                                <w:rFonts w:ascii="Segoe UI Semibold" w:hAnsi="Segoe UI Semibold"/>
                                <w:b/>
                                <w:i/>
                                <w:color w:val="FFFFFF"/>
                                <w:spacing w:val="-2"/>
                                <w:sz w:val="24"/>
                              </w:rPr>
                              <w:t>ferait </w:t>
                            </w:r>
                            <w:r>
                              <w:rPr>
                                <w:rFonts w:ascii="Segoe UI Semibold" w:hAnsi="Segoe UI Semibold"/>
                                <w:b/>
                                <w:i/>
                                <w:color w:val="FFFFFF"/>
                                <w:spacing w:val="-4"/>
                                <w:sz w:val="24"/>
                              </w:rPr>
                              <w:t>les</w:t>
                            </w:r>
                            <w:r>
                              <w:rPr>
                                <w:rFonts w:ascii="Segoe UI Semibold" w:hAnsi="Segoe UI Semibold"/>
                                <w:b/>
                                <w:i/>
                                <w:color w:val="FFFFFF"/>
                                <w:spacing w:val="-13"/>
                                <w:sz w:val="24"/>
                              </w:rPr>
                              <w:t> </w:t>
                            </w:r>
                            <w:r>
                              <w:rPr>
                                <w:rFonts w:ascii="Segoe UI Semibold" w:hAnsi="Segoe UI Semibold"/>
                                <w:b/>
                                <w:i/>
                                <w:color w:val="FFFFFF"/>
                                <w:spacing w:val="-4"/>
                                <w:sz w:val="24"/>
                              </w:rPr>
                              <w:t>plus</w:t>
                            </w:r>
                            <w:r>
                              <w:rPr>
                                <w:rFonts w:ascii="Segoe UI Semibold" w:hAnsi="Segoe UI Semibold"/>
                                <w:b/>
                                <w:i/>
                                <w:color w:val="FFFFFF"/>
                                <w:spacing w:val="-12"/>
                                <w:sz w:val="24"/>
                              </w:rPr>
                              <w:t> </w:t>
                            </w:r>
                            <w:r>
                              <w:rPr>
                                <w:rFonts w:ascii="Segoe UI Semibold" w:hAnsi="Segoe UI Semibold"/>
                                <w:b/>
                                <w:i/>
                                <w:color w:val="FFFFFF"/>
                                <w:spacing w:val="-4"/>
                                <w:sz w:val="24"/>
                              </w:rPr>
                              <w:t>grandes</w:t>
                            </w:r>
                            <w:r>
                              <w:rPr>
                                <w:rFonts w:ascii="Segoe UI Semibold" w:hAnsi="Segoe UI Semibold"/>
                                <w:b/>
                                <w:i/>
                                <w:color w:val="FFFFFF"/>
                                <w:spacing w:val="-13"/>
                                <w:sz w:val="24"/>
                              </w:rPr>
                              <w:t> </w:t>
                            </w:r>
                            <w:r>
                              <w:rPr>
                                <w:rFonts w:ascii="Segoe UI Semibold" w:hAnsi="Segoe UI Semibold"/>
                                <w:b/>
                                <w:i/>
                                <w:color w:val="FFFFFF"/>
                                <w:spacing w:val="-4"/>
                                <w:sz w:val="24"/>
                              </w:rPr>
                              <w:t>percées</w:t>
                            </w:r>
                            <w:r>
                              <w:rPr>
                                <w:rFonts w:ascii="Segoe UI Semibold" w:hAnsi="Segoe UI Semibold"/>
                                <w:b/>
                                <w:i/>
                                <w:color w:val="FFFFFF"/>
                                <w:spacing w:val="-12"/>
                                <w:sz w:val="24"/>
                              </w:rPr>
                              <w:t> </w:t>
                            </w:r>
                            <w:r>
                              <w:rPr>
                                <w:rFonts w:ascii="Segoe UI Semibold" w:hAnsi="Segoe UI Semibold"/>
                                <w:b/>
                                <w:i/>
                                <w:color w:val="FFFFFF"/>
                                <w:spacing w:val="-4"/>
                                <w:sz w:val="24"/>
                              </w:rPr>
                              <w:t>en</w:t>
                            </w:r>
                            <w:r>
                              <w:rPr>
                                <w:rFonts w:ascii="Segoe UI Semibold" w:hAnsi="Segoe UI Semibold"/>
                                <w:b/>
                                <w:i/>
                                <w:color w:val="FFFFFF"/>
                                <w:spacing w:val="-13"/>
                                <w:sz w:val="24"/>
                              </w:rPr>
                              <w:t> </w:t>
                            </w:r>
                            <w:r>
                              <w:rPr>
                                <w:rFonts w:ascii="Segoe UI Semibold" w:hAnsi="Segoe UI Semibold"/>
                                <w:b/>
                                <w:i/>
                                <w:color w:val="FFFFFF"/>
                                <w:spacing w:val="-4"/>
                                <w:sz w:val="24"/>
                              </w:rPr>
                              <w:t>refusant</w:t>
                            </w:r>
                            <w:r>
                              <w:rPr>
                                <w:rFonts w:ascii="Segoe UI Semibold" w:hAnsi="Segoe UI Semibold"/>
                                <w:b/>
                                <w:i/>
                                <w:color w:val="FFFFFF"/>
                                <w:spacing w:val="-12"/>
                                <w:sz w:val="24"/>
                              </w:rPr>
                              <w:t> </w:t>
                            </w:r>
                            <w:r>
                              <w:rPr>
                                <w:rFonts w:ascii="Segoe UI Semibold" w:hAnsi="Segoe UI Semibold"/>
                                <w:b/>
                                <w:i/>
                                <w:color w:val="FFFFFF"/>
                                <w:spacing w:val="-4"/>
                                <w:sz w:val="24"/>
                              </w:rPr>
                              <w:t>à </w:t>
                            </w:r>
                            <w:r>
                              <w:rPr>
                                <w:rFonts w:ascii="Segoe UI Semibold" w:hAnsi="Segoe UI Semibold"/>
                                <w:b/>
                                <w:i/>
                                <w:color w:val="FFFFFF"/>
                                <w:sz w:val="24"/>
                              </w:rPr>
                              <w:t>Cuba argent et approvisionnements afin</w:t>
                            </w:r>
                            <w:r>
                              <w:rPr>
                                <w:rFonts w:ascii="Segoe UI Semibold" w:hAnsi="Segoe UI Semibold"/>
                                <w:b/>
                                <w:i/>
                                <w:color w:val="FFFFFF"/>
                                <w:spacing w:val="-17"/>
                                <w:sz w:val="24"/>
                              </w:rPr>
                              <w:t> </w:t>
                            </w:r>
                            <w:r>
                              <w:rPr>
                                <w:rFonts w:ascii="Segoe UI Semibold" w:hAnsi="Segoe UI Semibold"/>
                                <w:b/>
                                <w:i/>
                                <w:color w:val="FFFFFF"/>
                                <w:sz w:val="24"/>
                              </w:rPr>
                              <w:t>de</w:t>
                            </w:r>
                            <w:r>
                              <w:rPr>
                                <w:rFonts w:ascii="Segoe UI Semibold" w:hAnsi="Segoe UI Semibold"/>
                                <w:b/>
                                <w:i/>
                                <w:color w:val="FFFFFF"/>
                                <w:spacing w:val="-16"/>
                                <w:sz w:val="24"/>
                              </w:rPr>
                              <w:t> </w:t>
                            </w:r>
                            <w:r>
                              <w:rPr>
                                <w:rFonts w:ascii="Segoe UI Semibold" w:hAnsi="Segoe UI Semibold"/>
                                <w:b/>
                                <w:i/>
                                <w:color w:val="FFFFFF"/>
                                <w:sz w:val="24"/>
                              </w:rPr>
                              <w:t>réduire</w:t>
                            </w:r>
                            <w:r>
                              <w:rPr>
                                <w:rFonts w:ascii="Segoe UI Semibold" w:hAnsi="Segoe UI Semibold"/>
                                <w:b/>
                                <w:i/>
                                <w:color w:val="FFFFFF"/>
                                <w:spacing w:val="-17"/>
                                <w:sz w:val="24"/>
                              </w:rPr>
                              <w:t> </w:t>
                            </w:r>
                            <w:r>
                              <w:rPr>
                                <w:rFonts w:ascii="Segoe UI Semibold" w:hAnsi="Segoe UI Semibold"/>
                                <w:b/>
                                <w:i/>
                                <w:color w:val="FFFFFF"/>
                                <w:sz w:val="24"/>
                              </w:rPr>
                              <w:t>les</w:t>
                            </w:r>
                            <w:r>
                              <w:rPr>
                                <w:rFonts w:ascii="Segoe UI Semibold" w:hAnsi="Segoe UI Semibold"/>
                                <w:b/>
                                <w:i/>
                                <w:color w:val="FFFFFF"/>
                                <w:spacing w:val="-16"/>
                                <w:sz w:val="24"/>
                              </w:rPr>
                              <w:t> </w:t>
                            </w:r>
                            <w:r>
                              <w:rPr>
                                <w:rFonts w:ascii="Segoe UI Semibold" w:hAnsi="Segoe UI Semibold"/>
                                <w:b/>
                                <w:i/>
                                <w:color w:val="FFFFFF"/>
                                <w:sz w:val="24"/>
                              </w:rPr>
                              <w:t>salaires</w:t>
                            </w:r>
                            <w:r>
                              <w:rPr>
                                <w:rFonts w:ascii="Segoe UI Semibold" w:hAnsi="Segoe UI Semibold"/>
                                <w:b/>
                                <w:i/>
                                <w:color w:val="FFFFFF"/>
                                <w:spacing w:val="-17"/>
                                <w:sz w:val="24"/>
                              </w:rPr>
                              <w:t> </w:t>
                            </w:r>
                            <w:r>
                              <w:rPr>
                                <w:rFonts w:ascii="Segoe UI Semibold" w:hAnsi="Segoe UI Semibold"/>
                                <w:b/>
                                <w:i/>
                                <w:color w:val="FFFFFF"/>
                                <w:sz w:val="24"/>
                              </w:rPr>
                              <w:t>nominaux et réels, de provoquer de la faim,</w:t>
                            </w:r>
                            <w:r>
                              <w:rPr>
                                <w:rFonts w:ascii="Segoe UI Semibold" w:hAnsi="Segoe UI Semibold"/>
                                <w:b/>
                                <w:i/>
                                <w:color w:val="FFFFFF"/>
                                <w:spacing w:val="80"/>
                                <w:sz w:val="24"/>
                              </w:rPr>
                              <w:t> </w:t>
                            </w:r>
                            <w:r>
                              <w:rPr>
                                <w:rFonts w:ascii="Segoe UI Semibold" w:hAnsi="Segoe UI Semibold"/>
                                <w:b/>
                                <w:i/>
                                <w:color w:val="FFFFFF"/>
                                <w:sz w:val="24"/>
                              </w:rPr>
                              <w:t>du désespoir et le renversement du gouvernement. »</w:t>
                            </w:r>
                          </w:p>
                        </w:txbxContent>
                      </wps:txbx>
                      <wps:bodyPr wrap="square" lIns="0" tIns="0" rIns="0" bIns="0" rtlCol="0">
                        <a:noAutofit/>
                      </wps:bodyPr>
                    </wps:wsp>
                  </a:graphicData>
                </a:graphic>
              </wp:anchor>
            </w:drawing>
          </mc:Choice>
          <mc:Fallback>
            <w:pict>
              <v:shape style="position:absolute;margin-left:317.480011pt;margin-top:85.247528pt;width:221.15pt;height:336pt;mso-position-horizontal-relative:page;mso-position-vertical-relative:paragraph;z-index:15835136" type="#_x0000_t202" id="docshape356" filled="true" fillcolor="#1a4796" stroked="false">
                <v:textbox inset="0,0,0,0">
                  <w:txbxContent>
                    <w:p>
                      <w:pPr>
                        <w:pStyle w:val="BodyText"/>
                        <w:jc w:val="left"/>
                        <w:rPr>
                          <w:color w:val="000000"/>
                        </w:rPr>
                      </w:pPr>
                    </w:p>
                    <w:p>
                      <w:pPr>
                        <w:pStyle w:val="BodyText"/>
                        <w:spacing w:before="61"/>
                        <w:jc w:val="left"/>
                        <w:rPr>
                          <w:color w:val="000000"/>
                        </w:rPr>
                      </w:pPr>
                    </w:p>
                    <w:p>
                      <w:pPr>
                        <w:spacing w:before="0"/>
                        <w:ind w:left="255" w:right="259" w:firstLine="0"/>
                        <w:jc w:val="both"/>
                        <w:rPr>
                          <w:rFonts w:ascii="Segoe UI Semibold" w:hAnsi="Segoe UI Semibold"/>
                          <w:b/>
                          <w:i/>
                          <w:color w:val="000000"/>
                          <w:sz w:val="24"/>
                        </w:rPr>
                      </w:pPr>
                      <w:r>
                        <w:rPr>
                          <w:rFonts w:ascii="Segoe UI Semibold" w:hAnsi="Segoe UI Semibold"/>
                          <w:b/>
                          <w:i/>
                          <w:color w:val="FFFFFF"/>
                          <w:sz w:val="24"/>
                        </w:rPr>
                        <w:t>« La majorité des Cubains appuie</w:t>
                      </w:r>
                      <w:r>
                        <w:rPr>
                          <w:rFonts w:ascii="Segoe UI Semibold" w:hAnsi="Segoe UI Semibold"/>
                          <w:b/>
                          <w:i/>
                          <w:color w:val="FFFFFF"/>
                          <w:sz w:val="24"/>
                        </w:rPr>
                        <w:t> Castro… Le seul moyen prévisible d’aliéner cet appui interne, c’est à travers le désenchantement et la </w:t>
                      </w:r>
                      <w:r>
                        <w:rPr>
                          <w:rFonts w:ascii="Segoe UI Semibold" w:hAnsi="Segoe UI Semibold"/>
                          <w:b/>
                          <w:i/>
                          <w:color w:val="FFFFFF"/>
                          <w:spacing w:val="-2"/>
                          <w:sz w:val="24"/>
                        </w:rPr>
                        <w:t>désaffection</w:t>
                      </w:r>
                      <w:r>
                        <w:rPr>
                          <w:rFonts w:ascii="Segoe UI Semibold" w:hAnsi="Segoe UI Semibold"/>
                          <w:b/>
                          <w:i/>
                          <w:color w:val="FFFFFF"/>
                          <w:spacing w:val="-15"/>
                          <w:sz w:val="24"/>
                        </w:rPr>
                        <w:t> </w:t>
                      </w:r>
                      <w:r>
                        <w:rPr>
                          <w:rFonts w:ascii="Segoe UI Semibold" w:hAnsi="Segoe UI Semibold"/>
                          <w:b/>
                          <w:i/>
                          <w:color w:val="FFFFFF"/>
                          <w:spacing w:val="-2"/>
                          <w:sz w:val="24"/>
                        </w:rPr>
                        <w:t>basés</w:t>
                      </w:r>
                      <w:r>
                        <w:rPr>
                          <w:rFonts w:ascii="Segoe UI Semibold" w:hAnsi="Segoe UI Semibold"/>
                          <w:b/>
                          <w:i/>
                          <w:color w:val="FFFFFF"/>
                          <w:spacing w:val="-14"/>
                          <w:sz w:val="24"/>
                        </w:rPr>
                        <w:t> </w:t>
                      </w:r>
                      <w:r>
                        <w:rPr>
                          <w:rFonts w:ascii="Segoe UI Semibold" w:hAnsi="Segoe UI Semibold"/>
                          <w:b/>
                          <w:i/>
                          <w:color w:val="FFFFFF"/>
                          <w:spacing w:val="-2"/>
                          <w:sz w:val="24"/>
                        </w:rPr>
                        <w:t>sur</w:t>
                      </w:r>
                      <w:r>
                        <w:rPr>
                          <w:rFonts w:ascii="Segoe UI Semibold" w:hAnsi="Segoe UI Semibold"/>
                          <w:b/>
                          <w:i/>
                          <w:color w:val="FFFFFF"/>
                          <w:spacing w:val="-15"/>
                          <w:sz w:val="24"/>
                        </w:rPr>
                        <w:t> </w:t>
                      </w:r>
                      <w:r>
                        <w:rPr>
                          <w:rFonts w:ascii="Segoe UI Semibold" w:hAnsi="Segoe UI Semibold"/>
                          <w:b/>
                          <w:i/>
                          <w:color w:val="FFFFFF"/>
                          <w:spacing w:val="-2"/>
                          <w:sz w:val="24"/>
                        </w:rPr>
                        <w:t>l’insatisfaction </w:t>
                      </w:r>
                      <w:r>
                        <w:rPr>
                          <w:rFonts w:ascii="Segoe UI Semibold" w:hAnsi="Segoe UI Semibold"/>
                          <w:b/>
                          <w:i/>
                          <w:color w:val="FFFFFF"/>
                          <w:sz w:val="24"/>
                        </w:rPr>
                        <w:t>et les difficultés économiques … il faut mettre en œuvre au plus vite </w:t>
                      </w:r>
                      <w:r>
                        <w:rPr>
                          <w:rFonts w:ascii="Segoe UI Semibold" w:hAnsi="Segoe UI Semibold"/>
                          <w:b/>
                          <w:i/>
                          <w:color w:val="FFFFFF"/>
                          <w:spacing w:val="-2"/>
                          <w:sz w:val="24"/>
                        </w:rPr>
                        <w:t>tous</w:t>
                      </w:r>
                      <w:r>
                        <w:rPr>
                          <w:rFonts w:ascii="Segoe UI Semibold" w:hAnsi="Segoe UI Semibold"/>
                          <w:b/>
                          <w:i/>
                          <w:color w:val="FFFFFF"/>
                          <w:spacing w:val="-14"/>
                          <w:sz w:val="24"/>
                        </w:rPr>
                        <w:t> </w:t>
                      </w:r>
                      <w:r>
                        <w:rPr>
                          <w:rFonts w:ascii="Segoe UI Semibold" w:hAnsi="Segoe UI Semibold"/>
                          <w:b/>
                          <w:i/>
                          <w:color w:val="FFFFFF"/>
                          <w:spacing w:val="-2"/>
                          <w:sz w:val="24"/>
                        </w:rPr>
                        <w:t>les</w:t>
                      </w:r>
                      <w:r>
                        <w:rPr>
                          <w:rFonts w:ascii="Segoe UI Semibold" w:hAnsi="Segoe UI Semibold"/>
                          <w:b/>
                          <w:i/>
                          <w:color w:val="FFFFFF"/>
                          <w:spacing w:val="-14"/>
                          <w:sz w:val="24"/>
                        </w:rPr>
                        <w:t> </w:t>
                      </w:r>
                      <w:r>
                        <w:rPr>
                          <w:rFonts w:ascii="Segoe UI Semibold" w:hAnsi="Segoe UI Semibold"/>
                          <w:b/>
                          <w:i/>
                          <w:color w:val="FFFFFF"/>
                          <w:spacing w:val="-2"/>
                          <w:sz w:val="24"/>
                        </w:rPr>
                        <w:t>moyens</w:t>
                      </w:r>
                      <w:r>
                        <w:rPr>
                          <w:rFonts w:ascii="Segoe UI Semibold" w:hAnsi="Segoe UI Semibold"/>
                          <w:b/>
                          <w:i/>
                          <w:color w:val="FFFFFF"/>
                          <w:spacing w:val="-14"/>
                          <w:sz w:val="24"/>
                        </w:rPr>
                        <w:t> </w:t>
                      </w:r>
                      <w:r>
                        <w:rPr>
                          <w:rFonts w:ascii="Segoe UI Semibold" w:hAnsi="Segoe UI Semibold"/>
                          <w:b/>
                          <w:i/>
                          <w:color w:val="FFFFFF"/>
                          <w:spacing w:val="-2"/>
                          <w:sz w:val="24"/>
                        </w:rPr>
                        <w:t>possibles</w:t>
                      </w:r>
                      <w:r>
                        <w:rPr>
                          <w:rFonts w:ascii="Segoe UI Semibold" w:hAnsi="Segoe UI Semibold"/>
                          <w:b/>
                          <w:i/>
                          <w:color w:val="FFFFFF"/>
                          <w:spacing w:val="-14"/>
                          <w:sz w:val="24"/>
                        </w:rPr>
                        <w:t> </w:t>
                      </w:r>
                      <w:r>
                        <w:rPr>
                          <w:rFonts w:ascii="Segoe UI Semibold" w:hAnsi="Segoe UI Semibold"/>
                          <w:b/>
                          <w:i/>
                          <w:color w:val="FFFFFF"/>
                          <w:spacing w:val="-2"/>
                          <w:sz w:val="24"/>
                        </w:rPr>
                        <w:t>pour</w:t>
                      </w:r>
                      <w:r>
                        <w:rPr>
                          <w:rFonts w:ascii="Segoe UI Semibold" w:hAnsi="Segoe UI Semibold"/>
                          <w:b/>
                          <w:i/>
                          <w:color w:val="FFFFFF"/>
                          <w:spacing w:val="-15"/>
                          <w:sz w:val="24"/>
                        </w:rPr>
                        <w:t> </w:t>
                      </w:r>
                      <w:r>
                        <w:rPr>
                          <w:rFonts w:ascii="Segoe UI Semibold" w:hAnsi="Segoe UI Semibold"/>
                          <w:b/>
                          <w:i/>
                          <w:color w:val="FFFFFF"/>
                          <w:spacing w:val="-2"/>
                          <w:sz w:val="24"/>
                        </w:rPr>
                        <w:t>miner la</w:t>
                      </w:r>
                      <w:r>
                        <w:rPr>
                          <w:rFonts w:ascii="Segoe UI Semibold" w:hAnsi="Segoe UI Semibold"/>
                          <w:b/>
                          <w:i/>
                          <w:color w:val="FFFFFF"/>
                          <w:spacing w:val="-13"/>
                          <w:sz w:val="24"/>
                        </w:rPr>
                        <w:t> </w:t>
                      </w:r>
                      <w:r>
                        <w:rPr>
                          <w:rFonts w:ascii="Segoe UI Semibold" w:hAnsi="Segoe UI Semibold"/>
                          <w:b/>
                          <w:i/>
                          <w:color w:val="FFFFFF"/>
                          <w:spacing w:val="-2"/>
                          <w:sz w:val="24"/>
                        </w:rPr>
                        <w:t>vie</w:t>
                      </w:r>
                      <w:r>
                        <w:rPr>
                          <w:rFonts w:ascii="Segoe UI Semibold" w:hAnsi="Segoe UI Semibold"/>
                          <w:b/>
                          <w:i/>
                          <w:color w:val="FFFFFF"/>
                          <w:spacing w:val="-13"/>
                          <w:sz w:val="24"/>
                        </w:rPr>
                        <w:t> </w:t>
                      </w:r>
                      <w:r>
                        <w:rPr>
                          <w:rFonts w:ascii="Segoe UI Semibold" w:hAnsi="Segoe UI Semibold"/>
                          <w:b/>
                          <w:i/>
                          <w:color w:val="FFFFFF"/>
                          <w:spacing w:val="-2"/>
                          <w:sz w:val="24"/>
                        </w:rPr>
                        <w:t>économique</w:t>
                      </w:r>
                      <w:r>
                        <w:rPr>
                          <w:rFonts w:ascii="Segoe UI Semibold" w:hAnsi="Segoe UI Semibold"/>
                          <w:b/>
                          <w:i/>
                          <w:color w:val="FFFFFF"/>
                          <w:spacing w:val="-13"/>
                          <w:sz w:val="24"/>
                        </w:rPr>
                        <w:t> </w:t>
                      </w:r>
                      <w:r>
                        <w:rPr>
                          <w:rFonts w:ascii="Segoe UI Semibold" w:hAnsi="Segoe UI Semibold"/>
                          <w:b/>
                          <w:i/>
                          <w:color w:val="FFFFFF"/>
                          <w:spacing w:val="-2"/>
                          <w:sz w:val="24"/>
                        </w:rPr>
                        <w:t>de</w:t>
                      </w:r>
                      <w:r>
                        <w:rPr>
                          <w:rFonts w:ascii="Segoe UI Semibold" w:hAnsi="Segoe UI Semibold"/>
                          <w:b/>
                          <w:i/>
                          <w:color w:val="FFFFFF"/>
                          <w:spacing w:val="-13"/>
                          <w:sz w:val="24"/>
                        </w:rPr>
                        <w:t> </w:t>
                      </w:r>
                      <w:r>
                        <w:rPr>
                          <w:rFonts w:ascii="Segoe UI Semibold" w:hAnsi="Segoe UI Semibold"/>
                          <w:b/>
                          <w:i/>
                          <w:color w:val="FFFFFF"/>
                          <w:spacing w:val="-2"/>
                          <w:sz w:val="24"/>
                        </w:rPr>
                        <w:t>Cuba…</w:t>
                      </w:r>
                      <w:r>
                        <w:rPr>
                          <w:rFonts w:ascii="Segoe UI Semibold" w:hAnsi="Segoe UI Semibold"/>
                          <w:b/>
                          <w:i/>
                          <w:color w:val="FFFFFF"/>
                          <w:spacing w:val="-13"/>
                          <w:sz w:val="24"/>
                        </w:rPr>
                        <w:t> </w:t>
                      </w:r>
                      <w:r>
                        <w:rPr>
                          <w:rFonts w:ascii="Segoe UI Semibold" w:hAnsi="Segoe UI Semibold"/>
                          <w:b/>
                          <w:i/>
                          <w:color w:val="FFFFFF"/>
                          <w:spacing w:val="-2"/>
                          <w:sz w:val="24"/>
                        </w:rPr>
                        <w:t>un</w:t>
                      </w:r>
                      <w:r>
                        <w:rPr>
                          <w:rFonts w:ascii="Segoe UI Semibold" w:hAnsi="Segoe UI Semibold"/>
                          <w:b/>
                          <w:i/>
                          <w:color w:val="FFFFFF"/>
                          <w:spacing w:val="-13"/>
                          <w:sz w:val="24"/>
                        </w:rPr>
                        <w:t> </w:t>
                      </w:r>
                      <w:r>
                        <w:rPr>
                          <w:rFonts w:ascii="Segoe UI Semibold" w:hAnsi="Segoe UI Semibold"/>
                          <w:b/>
                          <w:i/>
                          <w:color w:val="FFFFFF"/>
                          <w:spacing w:val="-2"/>
                          <w:sz w:val="24"/>
                        </w:rPr>
                        <w:t>plan </w:t>
                      </w:r>
                      <w:r>
                        <w:rPr>
                          <w:rFonts w:ascii="Segoe UI Semibold" w:hAnsi="Segoe UI Semibold"/>
                          <w:b/>
                          <w:i/>
                          <w:color w:val="FFFFFF"/>
                          <w:sz w:val="24"/>
                        </w:rPr>
                        <w:t>d’action qui, d’une manière aussi </w:t>
                      </w:r>
                      <w:r>
                        <w:rPr>
                          <w:rFonts w:ascii="Segoe UI Semibold" w:hAnsi="Segoe UI Semibold"/>
                          <w:b/>
                          <w:i/>
                          <w:color w:val="FFFFFF"/>
                          <w:spacing w:val="-2"/>
                          <w:sz w:val="24"/>
                        </w:rPr>
                        <w:t>adroite</w:t>
                      </w:r>
                      <w:r>
                        <w:rPr>
                          <w:rFonts w:ascii="Segoe UI Semibold" w:hAnsi="Segoe UI Semibold"/>
                          <w:b/>
                          <w:i/>
                          <w:color w:val="FFFFFF"/>
                          <w:spacing w:val="-15"/>
                          <w:sz w:val="24"/>
                        </w:rPr>
                        <w:t> </w:t>
                      </w:r>
                      <w:r>
                        <w:rPr>
                          <w:rFonts w:ascii="Segoe UI Semibold" w:hAnsi="Segoe UI Semibold"/>
                          <w:b/>
                          <w:i/>
                          <w:color w:val="FFFFFF"/>
                          <w:spacing w:val="-2"/>
                          <w:sz w:val="24"/>
                        </w:rPr>
                        <w:t>et</w:t>
                      </w:r>
                      <w:r>
                        <w:rPr>
                          <w:rFonts w:ascii="Segoe UI Semibold" w:hAnsi="Segoe UI Semibold"/>
                          <w:b/>
                          <w:i/>
                          <w:color w:val="FFFFFF"/>
                          <w:spacing w:val="-14"/>
                          <w:sz w:val="24"/>
                        </w:rPr>
                        <w:t> </w:t>
                      </w:r>
                      <w:r>
                        <w:rPr>
                          <w:rFonts w:ascii="Segoe UI Semibold" w:hAnsi="Segoe UI Semibold"/>
                          <w:b/>
                          <w:i/>
                          <w:color w:val="FFFFFF"/>
                          <w:spacing w:val="-2"/>
                          <w:sz w:val="24"/>
                        </w:rPr>
                        <w:t>discrète</w:t>
                      </w:r>
                      <w:r>
                        <w:rPr>
                          <w:rFonts w:ascii="Segoe UI Semibold" w:hAnsi="Segoe UI Semibold"/>
                          <w:b/>
                          <w:i/>
                          <w:color w:val="FFFFFF"/>
                          <w:spacing w:val="-15"/>
                          <w:sz w:val="24"/>
                        </w:rPr>
                        <w:t> </w:t>
                      </w:r>
                      <w:r>
                        <w:rPr>
                          <w:rFonts w:ascii="Segoe UI Semibold" w:hAnsi="Segoe UI Semibold"/>
                          <w:b/>
                          <w:i/>
                          <w:color w:val="FFFFFF"/>
                          <w:spacing w:val="-2"/>
                          <w:sz w:val="24"/>
                        </w:rPr>
                        <w:t>que</w:t>
                      </w:r>
                      <w:r>
                        <w:rPr>
                          <w:rFonts w:ascii="Segoe UI Semibold" w:hAnsi="Segoe UI Semibold"/>
                          <w:b/>
                          <w:i/>
                          <w:color w:val="FFFFFF"/>
                          <w:spacing w:val="-14"/>
                          <w:sz w:val="24"/>
                        </w:rPr>
                        <w:t> </w:t>
                      </w:r>
                      <w:r>
                        <w:rPr>
                          <w:rFonts w:ascii="Segoe UI Semibold" w:hAnsi="Segoe UI Semibold"/>
                          <w:b/>
                          <w:i/>
                          <w:color w:val="FFFFFF"/>
                          <w:spacing w:val="-2"/>
                          <w:sz w:val="24"/>
                        </w:rPr>
                        <w:t>possible,</w:t>
                      </w:r>
                      <w:r>
                        <w:rPr>
                          <w:rFonts w:ascii="Segoe UI Semibold" w:hAnsi="Segoe UI Semibold"/>
                          <w:b/>
                          <w:i/>
                          <w:color w:val="FFFFFF"/>
                          <w:spacing w:val="-15"/>
                          <w:sz w:val="24"/>
                        </w:rPr>
                        <w:t> </w:t>
                      </w:r>
                      <w:r>
                        <w:rPr>
                          <w:rFonts w:ascii="Segoe UI Semibold" w:hAnsi="Segoe UI Semibold"/>
                          <w:b/>
                          <w:i/>
                          <w:color w:val="FFFFFF"/>
                          <w:spacing w:val="-2"/>
                          <w:sz w:val="24"/>
                        </w:rPr>
                        <w:t>ferait </w:t>
                      </w:r>
                      <w:r>
                        <w:rPr>
                          <w:rFonts w:ascii="Segoe UI Semibold" w:hAnsi="Segoe UI Semibold"/>
                          <w:b/>
                          <w:i/>
                          <w:color w:val="FFFFFF"/>
                          <w:spacing w:val="-4"/>
                          <w:sz w:val="24"/>
                        </w:rPr>
                        <w:t>les</w:t>
                      </w:r>
                      <w:r>
                        <w:rPr>
                          <w:rFonts w:ascii="Segoe UI Semibold" w:hAnsi="Segoe UI Semibold"/>
                          <w:b/>
                          <w:i/>
                          <w:color w:val="FFFFFF"/>
                          <w:spacing w:val="-13"/>
                          <w:sz w:val="24"/>
                        </w:rPr>
                        <w:t> </w:t>
                      </w:r>
                      <w:r>
                        <w:rPr>
                          <w:rFonts w:ascii="Segoe UI Semibold" w:hAnsi="Segoe UI Semibold"/>
                          <w:b/>
                          <w:i/>
                          <w:color w:val="FFFFFF"/>
                          <w:spacing w:val="-4"/>
                          <w:sz w:val="24"/>
                        </w:rPr>
                        <w:t>plus</w:t>
                      </w:r>
                      <w:r>
                        <w:rPr>
                          <w:rFonts w:ascii="Segoe UI Semibold" w:hAnsi="Segoe UI Semibold"/>
                          <w:b/>
                          <w:i/>
                          <w:color w:val="FFFFFF"/>
                          <w:spacing w:val="-12"/>
                          <w:sz w:val="24"/>
                        </w:rPr>
                        <w:t> </w:t>
                      </w:r>
                      <w:r>
                        <w:rPr>
                          <w:rFonts w:ascii="Segoe UI Semibold" w:hAnsi="Segoe UI Semibold"/>
                          <w:b/>
                          <w:i/>
                          <w:color w:val="FFFFFF"/>
                          <w:spacing w:val="-4"/>
                          <w:sz w:val="24"/>
                        </w:rPr>
                        <w:t>grandes</w:t>
                      </w:r>
                      <w:r>
                        <w:rPr>
                          <w:rFonts w:ascii="Segoe UI Semibold" w:hAnsi="Segoe UI Semibold"/>
                          <w:b/>
                          <w:i/>
                          <w:color w:val="FFFFFF"/>
                          <w:spacing w:val="-13"/>
                          <w:sz w:val="24"/>
                        </w:rPr>
                        <w:t> </w:t>
                      </w:r>
                      <w:r>
                        <w:rPr>
                          <w:rFonts w:ascii="Segoe UI Semibold" w:hAnsi="Segoe UI Semibold"/>
                          <w:b/>
                          <w:i/>
                          <w:color w:val="FFFFFF"/>
                          <w:spacing w:val="-4"/>
                          <w:sz w:val="24"/>
                        </w:rPr>
                        <w:t>percées</w:t>
                      </w:r>
                      <w:r>
                        <w:rPr>
                          <w:rFonts w:ascii="Segoe UI Semibold" w:hAnsi="Segoe UI Semibold"/>
                          <w:b/>
                          <w:i/>
                          <w:color w:val="FFFFFF"/>
                          <w:spacing w:val="-12"/>
                          <w:sz w:val="24"/>
                        </w:rPr>
                        <w:t> </w:t>
                      </w:r>
                      <w:r>
                        <w:rPr>
                          <w:rFonts w:ascii="Segoe UI Semibold" w:hAnsi="Segoe UI Semibold"/>
                          <w:b/>
                          <w:i/>
                          <w:color w:val="FFFFFF"/>
                          <w:spacing w:val="-4"/>
                          <w:sz w:val="24"/>
                        </w:rPr>
                        <w:t>en</w:t>
                      </w:r>
                      <w:r>
                        <w:rPr>
                          <w:rFonts w:ascii="Segoe UI Semibold" w:hAnsi="Segoe UI Semibold"/>
                          <w:b/>
                          <w:i/>
                          <w:color w:val="FFFFFF"/>
                          <w:spacing w:val="-13"/>
                          <w:sz w:val="24"/>
                        </w:rPr>
                        <w:t> </w:t>
                      </w:r>
                      <w:r>
                        <w:rPr>
                          <w:rFonts w:ascii="Segoe UI Semibold" w:hAnsi="Segoe UI Semibold"/>
                          <w:b/>
                          <w:i/>
                          <w:color w:val="FFFFFF"/>
                          <w:spacing w:val="-4"/>
                          <w:sz w:val="24"/>
                        </w:rPr>
                        <w:t>refusant</w:t>
                      </w:r>
                      <w:r>
                        <w:rPr>
                          <w:rFonts w:ascii="Segoe UI Semibold" w:hAnsi="Segoe UI Semibold"/>
                          <w:b/>
                          <w:i/>
                          <w:color w:val="FFFFFF"/>
                          <w:spacing w:val="-12"/>
                          <w:sz w:val="24"/>
                        </w:rPr>
                        <w:t> </w:t>
                      </w:r>
                      <w:r>
                        <w:rPr>
                          <w:rFonts w:ascii="Segoe UI Semibold" w:hAnsi="Segoe UI Semibold"/>
                          <w:b/>
                          <w:i/>
                          <w:color w:val="FFFFFF"/>
                          <w:spacing w:val="-4"/>
                          <w:sz w:val="24"/>
                        </w:rPr>
                        <w:t>à </w:t>
                      </w:r>
                      <w:r>
                        <w:rPr>
                          <w:rFonts w:ascii="Segoe UI Semibold" w:hAnsi="Segoe UI Semibold"/>
                          <w:b/>
                          <w:i/>
                          <w:color w:val="FFFFFF"/>
                          <w:sz w:val="24"/>
                        </w:rPr>
                        <w:t>Cuba argent et approvisionnements afin</w:t>
                      </w:r>
                      <w:r>
                        <w:rPr>
                          <w:rFonts w:ascii="Segoe UI Semibold" w:hAnsi="Segoe UI Semibold"/>
                          <w:b/>
                          <w:i/>
                          <w:color w:val="FFFFFF"/>
                          <w:spacing w:val="-17"/>
                          <w:sz w:val="24"/>
                        </w:rPr>
                        <w:t> </w:t>
                      </w:r>
                      <w:r>
                        <w:rPr>
                          <w:rFonts w:ascii="Segoe UI Semibold" w:hAnsi="Segoe UI Semibold"/>
                          <w:b/>
                          <w:i/>
                          <w:color w:val="FFFFFF"/>
                          <w:sz w:val="24"/>
                        </w:rPr>
                        <w:t>de</w:t>
                      </w:r>
                      <w:r>
                        <w:rPr>
                          <w:rFonts w:ascii="Segoe UI Semibold" w:hAnsi="Segoe UI Semibold"/>
                          <w:b/>
                          <w:i/>
                          <w:color w:val="FFFFFF"/>
                          <w:spacing w:val="-16"/>
                          <w:sz w:val="24"/>
                        </w:rPr>
                        <w:t> </w:t>
                      </w:r>
                      <w:r>
                        <w:rPr>
                          <w:rFonts w:ascii="Segoe UI Semibold" w:hAnsi="Segoe UI Semibold"/>
                          <w:b/>
                          <w:i/>
                          <w:color w:val="FFFFFF"/>
                          <w:sz w:val="24"/>
                        </w:rPr>
                        <w:t>réduire</w:t>
                      </w:r>
                      <w:r>
                        <w:rPr>
                          <w:rFonts w:ascii="Segoe UI Semibold" w:hAnsi="Segoe UI Semibold"/>
                          <w:b/>
                          <w:i/>
                          <w:color w:val="FFFFFF"/>
                          <w:spacing w:val="-17"/>
                          <w:sz w:val="24"/>
                        </w:rPr>
                        <w:t> </w:t>
                      </w:r>
                      <w:r>
                        <w:rPr>
                          <w:rFonts w:ascii="Segoe UI Semibold" w:hAnsi="Segoe UI Semibold"/>
                          <w:b/>
                          <w:i/>
                          <w:color w:val="FFFFFF"/>
                          <w:sz w:val="24"/>
                        </w:rPr>
                        <w:t>les</w:t>
                      </w:r>
                      <w:r>
                        <w:rPr>
                          <w:rFonts w:ascii="Segoe UI Semibold" w:hAnsi="Segoe UI Semibold"/>
                          <w:b/>
                          <w:i/>
                          <w:color w:val="FFFFFF"/>
                          <w:spacing w:val="-16"/>
                          <w:sz w:val="24"/>
                        </w:rPr>
                        <w:t> </w:t>
                      </w:r>
                      <w:r>
                        <w:rPr>
                          <w:rFonts w:ascii="Segoe UI Semibold" w:hAnsi="Segoe UI Semibold"/>
                          <w:b/>
                          <w:i/>
                          <w:color w:val="FFFFFF"/>
                          <w:sz w:val="24"/>
                        </w:rPr>
                        <w:t>salaires</w:t>
                      </w:r>
                      <w:r>
                        <w:rPr>
                          <w:rFonts w:ascii="Segoe UI Semibold" w:hAnsi="Segoe UI Semibold"/>
                          <w:b/>
                          <w:i/>
                          <w:color w:val="FFFFFF"/>
                          <w:spacing w:val="-17"/>
                          <w:sz w:val="24"/>
                        </w:rPr>
                        <w:t> </w:t>
                      </w:r>
                      <w:r>
                        <w:rPr>
                          <w:rFonts w:ascii="Segoe UI Semibold" w:hAnsi="Segoe UI Semibold"/>
                          <w:b/>
                          <w:i/>
                          <w:color w:val="FFFFFF"/>
                          <w:sz w:val="24"/>
                        </w:rPr>
                        <w:t>nominaux et réels, de provoquer de la faim,</w:t>
                      </w:r>
                      <w:r>
                        <w:rPr>
                          <w:rFonts w:ascii="Segoe UI Semibold" w:hAnsi="Segoe UI Semibold"/>
                          <w:b/>
                          <w:i/>
                          <w:color w:val="FFFFFF"/>
                          <w:spacing w:val="80"/>
                          <w:sz w:val="24"/>
                        </w:rPr>
                        <w:t> </w:t>
                      </w:r>
                      <w:r>
                        <w:rPr>
                          <w:rFonts w:ascii="Segoe UI Semibold" w:hAnsi="Segoe UI Semibold"/>
                          <w:b/>
                          <w:i/>
                          <w:color w:val="FFFFFF"/>
                          <w:sz w:val="24"/>
                        </w:rPr>
                        <w:t>du désespoir et le renversement du gouvernement. »</w:t>
                      </w:r>
                    </w:p>
                  </w:txbxContent>
                </v:textbox>
                <v:fill type="solid"/>
                <w10:wrap type="none"/>
              </v:shape>
            </w:pict>
          </mc:Fallback>
        </mc:AlternateContent>
      </w:r>
      <w:r>
        <w:rPr>
          <w:color w:val="231F20"/>
          <w:spacing w:val="-6"/>
        </w:rPr>
        <w:t>Tel</w:t>
      </w:r>
      <w:r>
        <w:rPr>
          <w:color w:val="231F20"/>
          <w:spacing w:val="-11"/>
        </w:rPr>
        <w:t> </w:t>
      </w:r>
      <w:r>
        <w:rPr>
          <w:color w:val="231F20"/>
          <w:spacing w:val="-6"/>
        </w:rPr>
        <w:t>était</w:t>
      </w:r>
      <w:r>
        <w:rPr>
          <w:color w:val="231F20"/>
          <w:spacing w:val="-10"/>
        </w:rPr>
        <w:t> </w:t>
      </w:r>
      <w:r>
        <w:rPr>
          <w:color w:val="231F20"/>
          <w:spacing w:val="-6"/>
        </w:rPr>
        <w:t>bien,</w:t>
      </w:r>
      <w:r>
        <w:rPr>
          <w:color w:val="231F20"/>
          <w:spacing w:val="-11"/>
        </w:rPr>
        <w:t> </w:t>
      </w:r>
      <w:r>
        <w:rPr>
          <w:color w:val="231F20"/>
          <w:spacing w:val="-6"/>
        </w:rPr>
        <w:t>d’ailleurs,</w:t>
      </w:r>
      <w:r>
        <w:rPr>
          <w:color w:val="231F20"/>
          <w:spacing w:val="-10"/>
        </w:rPr>
        <w:t> </w:t>
      </w:r>
      <w:r>
        <w:rPr>
          <w:color w:val="231F20"/>
          <w:spacing w:val="-6"/>
        </w:rPr>
        <w:t>l’objectif</w:t>
      </w:r>
      <w:r>
        <w:rPr>
          <w:color w:val="231F20"/>
          <w:spacing w:val="-11"/>
        </w:rPr>
        <w:t> </w:t>
      </w:r>
      <w:r>
        <w:rPr>
          <w:color w:val="231F20"/>
          <w:spacing w:val="-6"/>
        </w:rPr>
        <w:t>infâme</w:t>
      </w:r>
      <w:r>
        <w:rPr>
          <w:color w:val="231F20"/>
          <w:spacing w:val="-10"/>
        </w:rPr>
        <w:t> </w:t>
      </w:r>
      <w:r>
        <w:rPr>
          <w:color w:val="231F20"/>
          <w:spacing w:val="-6"/>
        </w:rPr>
        <w:t>que </w:t>
      </w:r>
      <w:r>
        <w:rPr>
          <w:color w:val="231F20"/>
          <w:spacing w:val="-10"/>
        </w:rPr>
        <w:t>proposait</w:t>
      </w:r>
      <w:r>
        <w:rPr>
          <w:color w:val="231F20"/>
          <w:spacing w:val="-7"/>
        </w:rPr>
        <w:t> </w:t>
      </w:r>
      <w:r>
        <w:rPr>
          <w:color w:val="231F20"/>
          <w:spacing w:val="-10"/>
        </w:rPr>
        <w:t>Lester</w:t>
      </w:r>
      <w:r>
        <w:rPr>
          <w:color w:val="231F20"/>
          <w:spacing w:val="-6"/>
        </w:rPr>
        <w:t> </w:t>
      </w:r>
      <w:r>
        <w:rPr>
          <w:color w:val="231F20"/>
          <w:spacing w:val="-10"/>
        </w:rPr>
        <w:t>Mallory,</w:t>
      </w:r>
      <w:r>
        <w:rPr>
          <w:color w:val="231F20"/>
          <w:spacing w:val="-7"/>
        </w:rPr>
        <w:t> </w:t>
      </w:r>
      <w:r>
        <w:rPr>
          <w:color w:val="231F20"/>
          <w:spacing w:val="-10"/>
        </w:rPr>
        <w:t>alors</w:t>
      </w:r>
      <w:r>
        <w:rPr>
          <w:color w:val="231F20"/>
          <w:spacing w:val="-6"/>
        </w:rPr>
        <w:t> </w:t>
      </w:r>
      <w:r>
        <w:rPr>
          <w:color w:val="231F20"/>
          <w:spacing w:val="-10"/>
        </w:rPr>
        <w:t>sous-secrétaire </w:t>
      </w:r>
      <w:r>
        <w:rPr>
          <w:color w:val="231F20"/>
          <w:spacing w:val="-2"/>
        </w:rPr>
        <w:t>d’État</w:t>
      </w:r>
      <w:r>
        <w:rPr>
          <w:color w:val="231F20"/>
          <w:spacing w:val="-14"/>
        </w:rPr>
        <w:t> </w:t>
      </w:r>
      <w:r>
        <w:rPr>
          <w:color w:val="231F20"/>
          <w:spacing w:val="-2"/>
        </w:rPr>
        <w:t>adjoint</w:t>
      </w:r>
      <w:r>
        <w:rPr>
          <w:color w:val="231F20"/>
          <w:spacing w:val="-14"/>
        </w:rPr>
        <w:t> </w:t>
      </w:r>
      <w:r>
        <w:rPr>
          <w:color w:val="231F20"/>
          <w:spacing w:val="-2"/>
        </w:rPr>
        <w:t>aux</w:t>
      </w:r>
      <w:r>
        <w:rPr>
          <w:color w:val="231F20"/>
          <w:spacing w:val="-14"/>
        </w:rPr>
        <w:t> </w:t>
      </w:r>
      <w:r>
        <w:rPr>
          <w:color w:val="231F20"/>
          <w:spacing w:val="-2"/>
        </w:rPr>
        <w:t>affaires</w:t>
      </w:r>
      <w:r>
        <w:rPr>
          <w:color w:val="231F20"/>
          <w:spacing w:val="-14"/>
        </w:rPr>
        <w:t> </w:t>
      </w:r>
      <w:r>
        <w:rPr>
          <w:color w:val="231F20"/>
          <w:spacing w:val="-2"/>
        </w:rPr>
        <w:t>interaméricaines, </w:t>
      </w:r>
      <w:r>
        <w:rPr>
          <w:color w:val="231F20"/>
          <w:spacing w:val="-6"/>
        </w:rPr>
        <w:t>dans</w:t>
      </w:r>
      <w:r>
        <w:rPr>
          <w:color w:val="231F20"/>
          <w:spacing w:val="-14"/>
        </w:rPr>
        <w:t> </w:t>
      </w:r>
      <w:r>
        <w:rPr>
          <w:color w:val="231F20"/>
          <w:spacing w:val="-6"/>
        </w:rPr>
        <w:t>un</w:t>
      </w:r>
      <w:r>
        <w:rPr>
          <w:color w:val="231F20"/>
          <w:spacing w:val="-14"/>
        </w:rPr>
        <w:t> </w:t>
      </w:r>
      <w:r>
        <w:rPr>
          <w:color w:val="231F20"/>
          <w:spacing w:val="-6"/>
        </w:rPr>
        <w:t>mémorandum</w:t>
      </w:r>
      <w:r>
        <w:rPr>
          <w:color w:val="231F20"/>
          <w:spacing w:val="-14"/>
        </w:rPr>
        <w:t> </w:t>
      </w:r>
      <w:r>
        <w:rPr>
          <w:color w:val="231F20"/>
          <w:spacing w:val="-6"/>
        </w:rPr>
        <w:t>daté</w:t>
      </w:r>
      <w:r>
        <w:rPr>
          <w:color w:val="231F20"/>
          <w:spacing w:val="-14"/>
        </w:rPr>
        <w:t> </w:t>
      </w:r>
      <w:r>
        <w:rPr>
          <w:color w:val="231F20"/>
          <w:spacing w:val="-6"/>
        </w:rPr>
        <w:t>du</w:t>
      </w:r>
      <w:r>
        <w:rPr>
          <w:color w:val="231F20"/>
          <w:spacing w:val="-14"/>
        </w:rPr>
        <w:t> </w:t>
      </w:r>
      <w:r>
        <w:rPr>
          <w:color w:val="231F20"/>
          <w:spacing w:val="-6"/>
        </w:rPr>
        <w:t>6</w:t>
      </w:r>
      <w:r>
        <w:rPr>
          <w:color w:val="231F20"/>
          <w:spacing w:val="-14"/>
        </w:rPr>
        <w:t> </w:t>
      </w:r>
      <w:r>
        <w:rPr>
          <w:color w:val="231F20"/>
          <w:spacing w:val="-6"/>
        </w:rPr>
        <w:t>avril</w:t>
      </w:r>
      <w:r>
        <w:rPr>
          <w:color w:val="231F20"/>
          <w:spacing w:val="-14"/>
        </w:rPr>
        <w:t> </w:t>
      </w:r>
      <w:r>
        <w:rPr>
          <w:color w:val="231F20"/>
          <w:spacing w:val="-6"/>
        </w:rPr>
        <w:t>1960</w:t>
      </w:r>
      <w:r>
        <w:rPr>
          <w:color w:val="231F20"/>
          <w:spacing w:val="-14"/>
        </w:rPr>
        <w:t> </w:t>
      </w:r>
      <w:r>
        <w:rPr>
          <w:color w:val="231F20"/>
          <w:spacing w:val="-6"/>
        </w:rPr>
        <w:t>:</w:t>
      </w:r>
    </w:p>
    <w:p>
      <w:pPr>
        <w:spacing w:after="0"/>
        <w:sectPr>
          <w:pgSz w:w="11910" w:h="16840"/>
          <w:pgMar w:header="0" w:footer="695" w:top="1260" w:bottom="880" w:left="0" w:right="0"/>
          <w:cols w:num="2" w:equalWidth="0">
            <w:col w:w="5895" w:space="40"/>
            <w:col w:w="5975"/>
          </w:cols>
        </w:sectPr>
      </w:pPr>
    </w:p>
    <w:p>
      <w:pPr>
        <w:pStyle w:val="BodyText"/>
        <w:spacing w:before="77"/>
        <w:ind w:left="1133" w:right="2"/>
      </w:pPr>
      <w:r>
        <w:rPr>
          <w:color w:val="231F20"/>
        </w:rPr>
        <w:t>Parmi les retombées non quantifiables en chiffres du blocus, les plus dures sont les suivantes :</w:t>
      </w:r>
    </w:p>
    <w:p>
      <w:pPr>
        <w:pStyle w:val="BodyText"/>
        <w:spacing w:before="162"/>
        <w:ind w:left="1394" w:hanging="261"/>
      </w:pPr>
      <w:r>
        <w:rPr>
          <w:position w:val="3"/>
        </w:rPr>
        <w:drawing>
          <wp:inline distT="0" distB="0" distL="0" distR="0">
            <wp:extent cx="59207" cy="59207"/>
            <wp:effectExtent l="0" t="0" r="0" b="0"/>
            <wp:docPr id="453" name="Image 453"/>
            <wp:cNvGraphicFramePr>
              <a:graphicFrameLocks/>
            </wp:cNvGraphicFramePr>
            <a:graphic>
              <a:graphicData uri="http://schemas.openxmlformats.org/drawingml/2006/picture">
                <pic:pic>
                  <pic:nvPicPr>
                    <pic:cNvPr id="453" name="Image 453"/>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Le temps consacré à la recherche </w:t>
      </w:r>
      <w:r>
        <w:rPr>
          <w:color w:val="231F20"/>
        </w:rPr>
        <w:t>de solutions et palliatifs aux problèmes quotidiens qu’il cause.</w:t>
      </w:r>
    </w:p>
    <w:p>
      <w:pPr>
        <w:pStyle w:val="BodyText"/>
        <w:spacing w:before="162"/>
        <w:ind w:left="1394" w:hanging="261"/>
      </w:pPr>
      <w:r>
        <w:rPr>
          <w:position w:val="4"/>
        </w:rPr>
        <w:drawing>
          <wp:inline distT="0" distB="0" distL="0" distR="0">
            <wp:extent cx="59207" cy="59207"/>
            <wp:effectExtent l="0" t="0" r="0" b="0"/>
            <wp:docPr id="454" name="Image 454"/>
            <wp:cNvGraphicFramePr>
              <a:graphicFrameLocks/>
            </wp:cNvGraphicFramePr>
            <a:graphic>
              <a:graphicData uri="http://schemas.openxmlformats.org/drawingml/2006/picture">
                <pic:pic>
                  <pic:nvPicPr>
                    <pic:cNvPr id="454" name="Image 454"/>
                    <pic:cNvPicPr/>
                  </pic:nvPicPr>
                  <pic:blipFill>
                    <a:blip r:embed="rId10"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40"/>
          <w:sz w:val="20"/>
        </w:rPr>
        <w:t> </w:t>
      </w:r>
      <w:r>
        <w:rPr>
          <w:color w:val="231F20"/>
        </w:rPr>
        <w:t>L’effet accumulé de plus de </w:t>
      </w:r>
      <w:r>
        <w:rPr>
          <w:color w:val="231F20"/>
        </w:rPr>
        <w:t>soixante</w:t>
      </w:r>
      <w:r>
        <w:rPr>
          <w:color w:val="231F20"/>
          <w:spacing w:val="40"/>
        </w:rPr>
        <w:t> </w:t>
      </w:r>
      <w:r>
        <w:rPr>
          <w:color w:val="231F20"/>
        </w:rPr>
        <w:t>ans</w:t>
      </w:r>
      <w:r>
        <w:rPr>
          <w:color w:val="231F20"/>
          <w:spacing w:val="-2"/>
        </w:rPr>
        <w:t> </w:t>
      </w:r>
      <w:r>
        <w:rPr>
          <w:color w:val="231F20"/>
        </w:rPr>
        <w:t>de</w:t>
      </w:r>
      <w:r>
        <w:rPr>
          <w:color w:val="231F20"/>
          <w:spacing w:val="-2"/>
        </w:rPr>
        <w:t> </w:t>
      </w:r>
      <w:r>
        <w:rPr>
          <w:color w:val="231F20"/>
        </w:rPr>
        <w:t>cette</w:t>
      </w:r>
      <w:r>
        <w:rPr>
          <w:color w:val="231F20"/>
          <w:spacing w:val="-2"/>
        </w:rPr>
        <w:t> </w:t>
      </w:r>
      <w:r>
        <w:rPr>
          <w:color w:val="231F20"/>
        </w:rPr>
        <w:t>politique</w:t>
      </w:r>
      <w:r>
        <w:rPr>
          <w:color w:val="231F20"/>
          <w:spacing w:val="-2"/>
        </w:rPr>
        <w:t> </w:t>
      </w:r>
      <w:r>
        <w:rPr>
          <w:color w:val="231F20"/>
        </w:rPr>
        <w:t>sur</w:t>
      </w:r>
      <w:r>
        <w:rPr>
          <w:color w:val="231F20"/>
          <w:spacing w:val="-2"/>
        </w:rPr>
        <w:t> </w:t>
      </w:r>
      <w:r>
        <w:rPr>
          <w:color w:val="231F20"/>
        </w:rPr>
        <w:t>la</w:t>
      </w:r>
      <w:r>
        <w:rPr>
          <w:color w:val="231F20"/>
          <w:spacing w:val="-2"/>
        </w:rPr>
        <w:t> </w:t>
      </w:r>
      <w:r>
        <w:rPr>
          <w:color w:val="231F20"/>
        </w:rPr>
        <w:t>perception du projet de société cubaine et sur l’érosion de ses potentialités.</w:t>
      </w:r>
    </w:p>
    <w:p>
      <w:pPr>
        <w:pStyle w:val="BodyText"/>
        <w:spacing w:before="164"/>
        <w:ind w:left="1394" w:hanging="261"/>
      </w:pPr>
      <w:r>
        <w:rPr>
          <w:position w:val="3"/>
        </w:rPr>
        <w:drawing>
          <wp:inline distT="0" distB="0" distL="0" distR="0">
            <wp:extent cx="59207" cy="59207"/>
            <wp:effectExtent l="0" t="0" r="0" b="0"/>
            <wp:docPr id="455" name="Image 455"/>
            <wp:cNvGraphicFramePr>
              <a:graphicFrameLocks/>
            </wp:cNvGraphicFramePr>
            <a:graphic>
              <a:graphicData uri="http://schemas.openxmlformats.org/drawingml/2006/picture">
                <pic:pic>
                  <pic:nvPicPr>
                    <pic:cNvPr id="455" name="Image 455"/>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80"/>
          <w:sz w:val="20"/>
        </w:rPr>
        <w:t> </w:t>
      </w:r>
      <w:r>
        <w:rPr>
          <w:color w:val="231F20"/>
        </w:rPr>
        <w:t>Les</w:t>
      </w:r>
      <w:r>
        <w:rPr>
          <w:color w:val="231F20"/>
          <w:spacing w:val="80"/>
          <w:w w:val="150"/>
        </w:rPr>
        <w:t> </w:t>
      </w:r>
      <w:r>
        <w:rPr>
          <w:color w:val="231F20"/>
        </w:rPr>
        <w:t>niveaux</w:t>
      </w:r>
      <w:r>
        <w:rPr>
          <w:color w:val="231F20"/>
          <w:spacing w:val="80"/>
          <w:w w:val="150"/>
        </w:rPr>
        <w:t> </w:t>
      </w:r>
      <w:r>
        <w:rPr>
          <w:color w:val="231F20"/>
        </w:rPr>
        <w:t>de</w:t>
      </w:r>
      <w:r>
        <w:rPr>
          <w:color w:val="231F20"/>
          <w:spacing w:val="80"/>
          <w:w w:val="150"/>
        </w:rPr>
        <w:t> </w:t>
      </w:r>
      <w:r>
        <w:rPr>
          <w:color w:val="231F20"/>
        </w:rPr>
        <w:t>désenchantement,</w:t>
      </w:r>
      <w:r>
        <w:rPr>
          <w:color w:val="231F20"/>
          <w:spacing w:val="40"/>
        </w:rPr>
        <w:t> </w:t>
      </w:r>
      <w:r>
        <w:rPr>
          <w:color w:val="231F20"/>
        </w:rPr>
        <w:t>de désespoir et d’insatisfaction de la population à cause de l’instabilité des biens et services de première nécessité et des difficultés matérielles.</w:t>
      </w:r>
    </w:p>
    <w:p>
      <w:pPr>
        <w:pStyle w:val="BodyText"/>
        <w:spacing w:before="163"/>
        <w:ind w:left="1394" w:right="1" w:hanging="261"/>
      </w:pPr>
      <w:r>
        <w:rPr>
          <w:position w:val="4"/>
        </w:rPr>
        <w:drawing>
          <wp:inline distT="0" distB="0" distL="0" distR="0">
            <wp:extent cx="59207" cy="59207"/>
            <wp:effectExtent l="0" t="0" r="0" b="0"/>
            <wp:docPr id="456" name="Image 456"/>
            <wp:cNvGraphicFramePr>
              <a:graphicFrameLocks/>
            </wp:cNvGraphicFramePr>
            <a:graphic>
              <a:graphicData uri="http://schemas.openxmlformats.org/drawingml/2006/picture">
                <pic:pic>
                  <pic:nvPicPr>
                    <pic:cNvPr id="456" name="Image 456"/>
                    <pic:cNvPicPr/>
                  </pic:nvPicPr>
                  <pic:blipFill>
                    <a:blip r:embed="rId10"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z w:val="20"/>
        </w:rPr>
        <w:t> </w:t>
      </w:r>
      <w:r>
        <w:rPr>
          <w:color w:val="231F20"/>
        </w:rPr>
        <w:t>Les dommages psychologiques qu’engendrent les projets de vie tronqués</w:t>
      </w:r>
      <w:r>
        <w:rPr>
          <w:color w:val="231F20"/>
          <w:spacing w:val="-10"/>
        </w:rPr>
        <w:t> </w:t>
      </w:r>
      <w:r>
        <w:rPr>
          <w:color w:val="231F20"/>
        </w:rPr>
        <w:t>et</w:t>
      </w:r>
      <w:r>
        <w:rPr>
          <w:color w:val="231F20"/>
          <w:spacing w:val="-9"/>
        </w:rPr>
        <w:t> </w:t>
      </w:r>
      <w:r>
        <w:rPr>
          <w:color w:val="231F20"/>
        </w:rPr>
        <w:t>la</w:t>
      </w:r>
      <w:r>
        <w:rPr>
          <w:color w:val="231F20"/>
          <w:spacing w:val="-9"/>
        </w:rPr>
        <w:t> </w:t>
      </w:r>
      <w:r>
        <w:rPr>
          <w:color w:val="231F20"/>
        </w:rPr>
        <w:t>séparation</w:t>
      </w:r>
      <w:r>
        <w:rPr>
          <w:color w:val="231F20"/>
          <w:spacing w:val="-10"/>
        </w:rPr>
        <w:t> </w:t>
      </w:r>
      <w:r>
        <w:rPr>
          <w:color w:val="231F20"/>
        </w:rPr>
        <w:t>de</w:t>
      </w:r>
      <w:r>
        <w:rPr>
          <w:color w:val="231F20"/>
          <w:spacing w:val="-9"/>
        </w:rPr>
        <w:t> </w:t>
      </w:r>
      <w:r>
        <w:rPr>
          <w:color w:val="231F20"/>
        </w:rPr>
        <w:t>familles</w:t>
      </w:r>
      <w:r>
        <w:rPr>
          <w:color w:val="231F20"/>
          <w:spacing w:val="-9"/>
        </w:rPr>
        <w:t> </w:t>
      </w:r>
      <w:r>
        <w:rPr>
          <w:color w:val="231F20"/>
        </w:rPr>
        <w:t>en quête de leurs aspirations légitimes au </w:t>
      </w:r>
      <w:r>
        <w:rPr>
          <w:color w:val="231F20"/>
          <w:spacing w:val="-2"/>
        </w:rPr>
        <w:t>développement.</w:t>
      </w:r>
    </w:p>
    <w:p>
      <w:pPr>
        <w:pStyle w:val="BodyText"/>
        <w:spacing w:before="164"/>
        <w:ind w:left="1133"/>
      </w:pPr>
      <w:r>
        <w:rPr>
          <w:position w:val="4"/>
        </w:rPr>
        <w:drawing>
          <wp:inline distT="0" distB="0" distL="0" distR="0">
            <wp:extent cx="59207" cy="59207"/>
            <wp:effectExtent l="0" t="0" r="0" b="0"/>
            <wp:docPr id="457" name="Image 457"/>
            <wp:cNvGraphicFramePr>
              <a:graphicFrameLocks/>
            </wp:cNvGraphicFramePr>
            <a:graphic>
              <a:graphicData uri="http://schemas.openxmlformats.org/drawingml/2006/picture">
                <pic:pic>
                  <pic:nvPicPr>
                    <pic:cNvPr id="457" name="Image 457"/>
                    <pic:cNvPicPr/>
                  </pic:nvPicPr>
                  <pic:blipFill>
                    <a:blip r:embed="rId10"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80"/>
          <w:w w:val="150"/>
          <w:sz w:val="20"/>
        </w:rPr>
        <w:t> </w:t>
      </w:r>
      <w:r>
        <w:rPr>
          <w:color w:val="231F20"/>
        </w:rPr>
        <w:t>L’effet sur le droit à la vie.</w:t>
      </w:r>
    </w:p>
    <w:p>
      <w:pPr>
        <w:pStyle w:val="BodyText"/>
        <w:spacing w:before="161"/>
        <w:ind w:left="1394" w:hanging="261"/>
      </w:pPr>
      <w:r>
        <w:rPr>
          <w:position w:val="3"/>
        </w:rPr>
        <w:drawing>
          <wp:inline distT="0" distB="0" distL="0" distR="0">
            <wp:extent cx="59207" cy="59207"/>
            <wp:effectExtent l="0" t="0" r="0" b="0"/>
            <wp:docPr id="458" name="Image 458"/>
            <wp:cNvGraphicFramePr>
              <a:graphicFrameLocks/>
            </wp:cNvGraphicFramePr>
            <a:graphic>
              <a:graphicData uri="http://schemas.openxmlformats.org/drawingml/2006/picture">
                <pic:pic>
                  <pic:nvPicPr>
                    <pic:cNvPr id="458" name="Image 458"/>
                    <pic:cNvPicPr/>
                  </pic:nvPicPr>
                  <pic:blipFill>
                    <a:blip r:embed="rId7"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z w:val="20"/>
        </w:rPr>
        <w:t> </w:t>
      </w:r>
      <w:r>
        <w:rPr>
          <w:color w:val="231F20"/>
        </w:rPr>
        <w:t>Les pertes de vies humaines pour migration irrégulière entre Cuba et </w:t>
      </w:r>
      <w:r>
        <w:rPr>
          <w:color w:val="231F20"/>
        </w:rPr>
        <w:t>les </w:t>
      </w:r>
      <w:r>
        <w:rPr>
          <w:color w:val="231F20"/>
          <w:spacing w:val="-2"/>
        </w:rPr>
        <w:t>États-Unis.</w:t>
      </w:r>
    </w:p>
    <w:p>
      <w:pPr>
        <w:pStyle w:val="BodyText"/>
        <w:spacing w:before="163"/>
        <w:ind w:left="1394" w:hanging="261"/>
      </w:pPr>
      <w:r>
        <w:rPr>
          <w:position w:val="3"/>
        </w:rPr>
        <w:drawing>
          <wp:inline distT="0" distB="0" distL="0" distR="0">
            <wp:extent cx="59207" cy="59207"/>
            <wp:effectExtent l="0" t="0" r="0" b="0"/>
            <wp:docPr id="459" name="Image 459"/>
            <wp:cNvGraphicFramePr>
              <a:graphicFrameLocks/>
            </wp:cNvGraphicFramePr>
            <a:graphic>
              <a:graphicData uri="http://schemas.openxmlformats.org/drawingml/2006/picture">
                <pic:pic>
                  <pic:nvPicPr>
                    <pic:cNvPr id="459" name="Image 459"/>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z w:val="20"/>
        </w:rPr>
        <w:t> </w:t>
      </w:r>
      <w:r>
        <w:rPr>
          <w:color w:val="231F20"/>
        </w:rPr>
        <w:t>Les pertes de vies humaines pour impossibilité d’accéder à des médicaments et à des traitements de première ligne face à des malades progressives et graves.</w:t>
      </w:r>
    </w:p>
    <w:p>
      <w:pPr>
        <w:pStyle w:val="BodyText"/>
        <w:spacing w:before="163"/>
        <w:ind w:left="1133" w:right="4"/>
      </w:pPr>
      <w:r>
        <w:rPr>
          <w:color w:val="231F20"/>
          <w:spacing w:val="-10"/>
        </w:rPr>
        <w:t>Un</w:t>
      </w:r>
      <w:r>
        <w:rPr>
          <w:color w:val="231F20"/>
          <w:spacing w:val="-7"/>
        </w:rPr>
        <w:t> </w:t>
      </w:r>
      <w:r>
        <w:rPr>
          <w:color w:val="231F20"/>
          <w:spacing w:val="-10"/>
        </w:rPr>
        <w:t>nouvel</w:t>
      </w:r>
      <w:r>
        <w:rPr>
          <w:color w:val="231F20"/>
          <w:spacing w:val="-6"/>
        </w:rPr>
        <w:t> </w:t>
      </w:r>
      <w:r>
        <w:rPr>
          <w:color w:val="231F20"/>
          <w:spacing w:val="-10"/>
        </w:rPr>
        <w:t>exemple</w:t>
      </w:r>
      <w:r>
        <w:rPr>
          <w:color w:val="231F20"/>
          <w:spacing w:val="-7"/>
        </w:rPr>
        <w:t> </w:t>
      </w:r>
      <w:r>
        <w:rPr>
          <w:color w:val="231F20"/>
          <w:spacing w:val="-10"/>
        </w:rPr>
        <w:t>permet</w:t>
      </w:r>
      <w:r>
        <w:rPr>
          <w:color w:val="231F20"/>
          <w:spacing w:val="-6"/>
        </w:rPr>
        <w:t> </w:t>
      </w:r>
      <w:r>
        <w:rPr>
          <w:color w:val="231F20"/>
          <w:spacing w:val="-10"/>
        </w:rPr>
        <w:t>de</w:t>
      </w:r>
      <w:r>
        <w:rPr>
          <w:color w:val="231F20"/>
          <w:spacing w:val="-7"/>
        </w:rPr>
        <w:t> </w:t>
      </w:r>
      <w:r>
        <w:rPr>
          <w:color w:val="231F20"/>
          <w:spacing w:val="-10"/>
        </w:rPr>
        <w:t>caractériser</w:t>
      </w:r>
      <w:r>
        <w:rPr>
          <w:color w:val="231F20"/>
          <w:spacing w:val="-6"/>
        </w:rPr>
        <w:t> </w:t>
      </w:r>
      <w:r>
        <w:rPr>
          <w:color w:val="231F20"/>
          <w:spacing w:val="-10"/>
        </w:rPr>
        <w:t>un autre</w:t>
      </w:r>
      <w:r>
        <w:rPr>
          <w:color w:val="231F20"/>
          <w:spacing w:val="-7"/>
        </w:rPr>
        <w:t> </w:t>
      </w:r>
      <w:r>
        <w:rPr>
          <w:color w:val="231F20"/>
          <w:spacing w:val="-10"/>
        </w:rPr>
        <w:t>des</w:t>
      </w:r>
      <w:r>
        <w:rPr>
          <w:color w:val="231F20"/>
          <w:spacing w:val="-6"/>
        </w:rPr>
        <w:t> </w:t>
      </w:r>
      <w:r>
        <w:rPr>
          <w:color w:val="231F20"/>
          <w:spacing w:val="-10"/>
        </w:rPr>
        <w:t>dommages</w:t>
      </w:r>
      <w:r>
        <w:rPr>
          <w:color w:val="231F20"/>
          <w:spacing w:val="-7"/>
        </w:rPr>
        <w:t> </w:t>
      </w:r>
      <w:r>
        <w:rPr>
          <w:color w:val="231F20"/>
          <w:spacing w:val="-10"/>
        </w:rPr>
        <w:t>malaisés</w:t>
      </w:r>
      <w:r>
        <w:rPr>
          <w:color w:val="231F20"/>
          <w:spacing w:val="-6"/>
        </w:rPr>
        <w:t> </w:t>
      </w:r>
      <w:r>
        <w:rPr>
          <w:color w:val="231F20"/>
          <w:spacing w:val="-10"/>
        </w:rPr>
        <w:t>à</w:t>
      </w:r>
      <w:r>
        <w:rPr>
          <w:color w:val="231F20"/>
          <w:spacing w:val="-7"/>
        </w:rPr>
        <w:t> </w:t>
      </w:r>
      <w:r>
        <w:rPr>
          <w:color w:val="231F20"/>
          <w:spacing w:val="-10"/>
        </w:rPr>
        <w:t>quantifier</w:t>
      </w:r>
      <w:r>
        <w:rPr>
          <w:color w:val="231F20"/>
          <w:spacing w:val="-6"/>
        </w:rPr>
        <w:t> </w:t>
      </w:r>
      <w:r>
        <w:rPr>
          <w:color w:val="231F20"/>
          <w:spacing w:val="-10"/>
        </w:rPr>
        <w:t>de </w:t>
      </w:r>
      <w:r>
        <w:rPr>
          <w:color w:val="231F20"/>
          <w:spacing w:val="-4"/>
        </w:rPr>
        <w:t>la</w:t>
      </w:r>
      <w:r>
        <w:rPr>
          <w:color w:val="231F20"/>
          <w:spacing w:val="4"/>
        </w:rPr>
        <w:t> </w:t>
      </w:r>
      <w:r>
        <w:rPr>
          <w:color w:val="231F20"/>
          <w:spacing w:val="-4"/>
        </w:rPr>
        <w:t>politique</w:t>
      </w:r>
      <w:r>
        <w:rPr>
          <w:color w:val="231F20"/>
          <w:spacing w:val="4"/>
        </w:rPr>
        <w:t> </w:t>
      </w:r>
      <w:r>
        <w:rPr>
          <w:color w:val="231F20"/>
          <w:spacing w:val="-4"/>
        </w:rPr>
        <w:t>de</w:t>
      </w:r>
      <w:r>
        <w:rPr>
          <w:color w:val="231F20"/>
          <w:spacing w:val="4"/>
        </w:rPr>
        <w:t> </w:t>
      </w:r>
      <w:r>
        <w:rPr>
          <w:color w:val="231F20"/>
          <w:spacing w:val="-4"/>
        </w:rPr>
        <w:t>l’administration</w:t>
      </w:r>
      <w:r>
        <w:rPr>
          <w:color w:val="231F20"/>
          <w:spacing w:val="4"/>
        </w:rPr>
        <w:t> </w:t>
      </w:r>
      <w:r>
        <w:rPr>
          <w:color w:val="231F20"/>
          <w:spacing w:val="-7"/>
        </w:rPr>
        <w:t>étasunienne</w:t>
      </w:r>
    </w:p>
    <w:p>
      <w:pPr>
        <w:pStyle w:val="BodyText"/>
        <w:spacing w:before="3"/>
        <w:ind w:left="1133" w:right="4"/>
      </w:pPr>
      <w:r>
        <w:rPr>
          <w:color w:val="231F20"/>
        </w:rPr>
        <w:t>:</w:t>
      </w:r>
      <w:r>
        <w:rPr>
          <w:color w:val="231F20"/>
          <w:spacing w:val="-17"/>
        </w:rPr>
        <w:t> </w:t>
      </w:r>
      <w:r>
        <w:rPr>
          <w:color w:val="231F20"/>
        </w:rPr>
        <w:t>la</w:t>
      </w:r>
      <w:r>
        <w:rPr>
          <w:color w:val="231F20"/>
          <w:spacing w:val="-16"/>
        </w:rPr>
        <w:t> </w:t>
      </w:r>
      <w:r>
        <w:rPr>
          <w:color w:val="231F20"/>
        </w:rPr>
        <w:t>restriction</w:t>
      </w:r>
      <w:r>
        <w:rPr>
          <w:color w:val="231F20"/>
          <w:spacing w:val="-17"/>
        </w:rPr>
        <w:t> </w:t>
      </w:r>
      <w:r>
        <w:rPr>
          <w:color w:val="231F20"/>
        </w:rPr>
        <w:t>de</w:t>
      </w:r>
      <w:r>
        <w:rPr>
          <w:color w:val="231F20"/>
          <w:spacing w:val="-16"/>
        </w:rPr>
        <w:t> </w:t>
      </w:r>
      <w:r>
        <w:rPr>
          <w:color w:val="231F20"/>
        </w:rPr>
        <w:t>déplacement</w:t>
      </w:r>
      <w:r>
        <w:rPr>
          <w:color w:val="231F20"/>
          <w:spacing w:val="-17"/>
        </w:rPr>
        <w:t> </w:t>
      </w:r>
      <w:r>
        <w:rPr>
          <w:color w:val="231F20"/>
        </w:rPr>
        <w:t>arbitraire</w:t>
      </w:r>
      <w:r>
        <w:rPr>
          <w:color w:val="231F20"/>
          <w:spacing w:val="-16"/>
        </w:rPr>
        <w:t> </w:t>
      </w:r>
      <w:r>
        <w:rPr>
          <w:color w:val="231F20"/>
        </w:rPr>
        <w:t>et discriminatoire imposée aux diplomates </w:t>
      </w:r>
      <w:r>
        <w:rPr>
          <w:color w:val="231F20"/>
          <w:spacing w:val="-6"/>
        </w:rPr>
        <w:t>cubains</w:t>
      </w:r>
      <w:r>
        <w:rPr>
          <w:color w:val="231F20"/>
          <w:spacing w:val="-11"/>
        </w:rPr>
        <w:t> </w:t>
      </w:r>
      <w:r>
        <w:rPr>
          <w:color w:val="231F20"/>
          <w:spacing w:val="-6"/>
        </w:rPr>
        <w:t>accrédités</w:t>
      </w:r>
      <w:r>
        <w:rPr>
          <w:color w:val="231F20"/>
          <w:spacing w:val="-10"/>
        </w:rPr>
        <w:t> </w:t>
      </w:r>
      <w:r>
        <w:rPr>
          <w:color w:val="231F20"/>
          <w:spacing w:val="-6"/>
        </w:rPr>
        <w:t>auprès</w:t>
      </w:r>
      <w:r>
        <w:rPr>
          <w:color w:val="231F20"/>
          <w:spacing w:val="-11"/>
        </w:rPr>
        <w:t> </w:t>
      </w:r>
      <w:r>
        <w:rPr>
          <w:color w:val="231F20"/>
          <w:spacing w:val="-6"/>
        </w:rPr>
        <w:t>des</w:t>
      </w:r>
      <w:r>
        <w:rPr>
          <w:color w:val="231F20"/>
          <w:spacing w:val="-10"/>
        </w:rPr>
        <w:t> </w:t>
      </w:r>
      <w:r>
        <w:rPr>
          <w:color w:val="231F20"/>
          <w:spacing w:val="-6"/>
        </w:rPr>
        <w:t>Nations</w:t>
      </w:r>
      <w:r>
        <w:rPr>
          <w:color w:val="231F20"/>
          <w:spacing w:val="-11"/>
        </w:rPr>
        <w:t> </w:t>
      </w:r>
      <w:r>
        <w:rPr>
          <w:color w:val="231F20"/>
          <w:spacing w:val="-6"/>
        </w:rPr>
        <w:t>Unies </w:t>
      </w:r>
      <w:r>
        <w:rPr>
          <w:color w:val="231F20"/>
          <w:spacing w:val="-8"/>
        </w:rPr>
        <w:t>à New York, en violation des obligations que </w:t>
      </w:r>
      <w:r>
        <w:rPr>
          <w:color w:val="231F20"/>
          <w:spacing w:val="-14"/>
        </w:rPr>
        <w:t>leur</w:t>
      </w:r>
      <w:r>
        <w:rPr>
          <w:color w:val="231F20"/>
        </w:rPr>
        <w:t> </w:t>
      </w:r>
      <w:r>
        <w:rPr>
          <w:color w:val="231F20"/>
          <w:spacing w:val="-14"/>
        </w:rPr>
        <w:t>condition</w:t>
      </w:r>
      <w:r>
        <w:rPr>
          <w:color w:val="231F20"/>
        </w:rPr>
        <w:t> </w:t>
      </w:r>
      <w:r>
        <w:rPr>
          <w:color w:val="231F20"/>
          <w:spacing w:val="-14"/>
        </w:rPr>
        <w:t>de</w:t>
      </w:r>
      <w:r>
        <w:rPr>
          <w:color w:val="231F20"/>
        </w:rPr>
        <w:t> </w:t>
      </w:r>
      <w:r>
        <w:rPr>
          <w:color w:val="231F20"/>
          <w:spacing w:val="-14"/>
        </w:rPr>
        <w:t>pays</w:t>
      </w:r>
      <w:r>
        <w:rPr>
          <w:color w:val="231F20"/>
        </w:rPr>
        <w:t> </w:t>
      </w:r>
      <w:r>
        <w:rPr>
          <w:color w:val="231F20"/>
          <w:spacing w:val="-14"/>
        </w:rPr>
        <w:t>siège</w:t>
      </w:r>
      <w:r>
        <w:rPr>
          <w:color w:val="231F20"/>
        </w:rPr>
        <w:t> </w:t>
      </w:r>
      <w:r>
        <w:rPr>
          <w:color w:val="231F20"/>
          <w:spacing w:val="-14"/>
        </w:rPr>
        <w:t>impose</w:t>
      </w:r>
      <w:r>
        <w:rPr>
          <w:color w:val="231F20"/>
        </w:rPr>
        <w:t> </w:t>
      </w:r>
      <w:r>
        <w:rPr>
          <w:color w:val="231F20"/>
          <w:spacing w:val="-14"/>
        </w:rPr>
        <w:t>aux</w:t>
      </w:r>
      <w:r>
        <w:rPr>
          <w:color w:val="231F20"/>
        </w:rPr>
        <w:t> </w:t>
      </w:r>
      <w:r>
        <w:rPr>
          <w:color w:val="231F20"/>
          <w:spacing w:val="-14"/>
        </w:rPr>
        <w:t>États- </w:t>
      </w:r>
      <w:r>
        <w:rPr>
          <w:color w:val="231F20"/>
        </w:rPr>
        <w:t>Unis. En septembre 2019, l’administration </w:t>
      </w:r>
      <w:r>
        <w:rPr>
          <w:color w:val="231F20"/>
          <w:spacing w:val="-8"/>
        </w:rPr>
        <w:t>étasunienne</w:t>
      </w:r>
      <w:r>
        <w:rPr>
          <w:color w:val="231F20"/>
          <w:spacing w:val="-9"/>
        </w:rPr>
        <w:t> </w:t>
      </w:r>
      <w:r>
        <w:rPr>
          <w:color w:val="231F20"/>
          <w:spacing w:val="-8"/>
        </w:rPr>
        <w:t>a</w:t>
      </w:r>
      <w:r>
        <w:rPr>
          <w:color w:val="231F20"/>
          <w:spacing w:val="-9"/>
        </w:rPr>
        <w:t> </w:t>
      </w:r>
      <w:r>
        <w:rPr>
          <w:color w:val="231F20"/>
          <w:spacing w:val="-8"/>
        </w:rPr>
        <w:t>ajouté</w:t>
      </w:r>
      <w:r>
        <w:rPr>
          <w:color w:val="231F20"/>
          <w:spacing w:val="-9"/>
        </w:rPr>
        <w:t> </w:t>
      </w:r>
      <w:r>
        <w:rPr>
          <w:color w:val="231F20"/>
          <w:spacing w:val="-8"/>
        </w:rPr>
        <w:t>une</w:t>
      </w:r>
      <w:r>
        <w:rPr>
          <w:color w:val="231F20"/>
          <w:spacing w:val="-9"/>
        </w:rPr>
        <w:t> </w:t>
      </w:r>
      <w:r>
        <w:rPr>
          <w:color w:val="231F20"/>
          <w:spacing w:val="-8"/>
        </w:rPr>
        <w:t>nouvelle</w:t>
      </w:r>
      <w:r>
        <w:rPr>
          <w:color w:val="231F20"/>
          <w:spacing w:val="-9"/>
        </w:rPr>
        <w:t> </w:t>
      </w:r>
      <w:r>
        <w:rPr>
          <w:color w:val="231F20"/>
          <w:spacing w:val="-8"/>
        </w:rPr>
        <w:t>restriction</w:t>
      </w:r>
    </w:p>
    <w:p>
      <w:pPr>
        <w:pStyle w:val="BodyText"/>
        <w:spacing w:before="5"/>
        <w:ind w:left="1133"/>
      </w:pPr>
      <w:r>
        <w:rPr>
          <w:color w:val="231F20"/>
        </w:rPr>
        <w:t>:</w:t>
      </w:r>
      <w:r>
        <w:rPr>
          <w:color w:val="231F20"/>
          <w:spacing w:val="8"/>
        </w:rPr>
        <w:t> </w:t>
      </w:r>
      <w:r>
        <w:rPr>
          <w:color w:val="231F20"/>
        </w:rPr>
        <w:t>les</w:t>
      </w:r>
      <w:r>
        <w:rPr>
          <w:color w:val="231F20"/>
          <w:spacing w:val="8"/>
        </w:rPr>
        <w:t> </w:t>
      </w:r>
      <w:r>
        <w:rPr>
          <w:color w:val="231F20"/>
        </w:rPr>
        <w:t>diplomates</w:t>
      </w:r>
      <w:r>
        <w:rPr>
          <w:color w:val="231F20"/>
          <w:spacing w:val="8"/>
        </w:rPr>
        <w:t> </w:t>
      </w:r>
      <w:r>
        <w:rPr>
          <w:color w:val="231F20"/>
        </w:rPr>
        <w:t>cubains</w:t>
      </w:r>
      <w:r>
        <w:rPr>
          <w:color w:val="231F20"/>
          <w:spacing w:val="8"/>
        </w:rPr>
        <w:t> </w:t>
      </w:r>
      <w:r>
        <w:rPr>
          <w:color w:val="231F20"/>
        </w:rPr>
        <w:t>ne</w:t>
      </w:r>
      <w:r>
        <w:rPr>
          <w:color w:val="231F20"/>
          <w:spacing w:val="8"/>
        </w:rPr>
        <w:t> </w:t>
      </w:r>
      <w:r>
        <w:rPr>
          <w:color w:val="231F20"/>
        </w:rPr>
        <w:t>peuvent</w:t>
      </w:r>
      <w:r>
        <w:rPr>
          <w:color w:val="231F20"/>
          <w:spacing w:val="8"/>
        </w:rPr>
        <w:t> </w:t>
      </w:r>
      <w:r>
        <w:rPr>
          <w:color w:val="231F20"/>
          <w:spacing w:val="-5"/>
        </w:rPr>
        <w:t>sortir</w:t>
      </w:r>
    </w:p>
    <w:p>
      <w:pPr>
        <w:pStyle w:val="BodyText"/>
        <w:spacing w:before="77"/>
        <w:ind w:left="413" w:right="1477"/>
      </w:pPr>
      <w:r>
        <w:rPr/>
        <w:br w:type="column"/>
      </w:r>
      <w:r>
        <w:rPr>
          <w:color w:val="231F20"/>
          <w:spacing w:val="-6"/>
        </w:rPr>
        <w:t>de</w:t>
      </w:r>
      <w:r>
        <w:rPr>
          <w:color w:val="231F20"/>
          <w:spacing w:val="-9"/>
        </w:rPr>
        <w:t> </w:t>
      </w:r>
      <w:r>
        <w:rPr>
          <w:color w:val="231F20"/>
          <w:spacing w:val="-6"/>
        </w:rPr>
        <w:t>l’île</w:t>
      </w:r>
      <w:r>
        <w:rPr>
          <w:color w:val="231F20"/>
          <w:spacing w:val="-9"/>
        </w:rPr>
        <w:t> </w:t>
      </w:r>
      <w:r>
        <w:rPr>
          <w:color w:val="231F20"/>
          <w:spacing w:val="-6"/>
        </w:rPr>
        <w:t>de</w:t>
      </w:r>
      <w:r>
        <w:rPr>
          <w:color w:val="231F20"/>
          <w:spacing w:val="-9"/>
        </w:rPr>
        <w:t> </w:t>
      </w:r>
      <w:r>
        <w:rPr>
          <w:color w:val="231F20"/>
          <w:spacing w:val="-6"/>
        </w:rPr>
        <w:t>Manhattan</w:t>
      </w:r>
      <w:r>
        <w:rPr>
          <w:color w:val="231F20"/>
          <w:spacing w:val="-9"/>
        </w:rPr>
        <w:t> </w:t>
      </w:r>
      <w:r>
        <w:rPr>
          <w:color w:val="231F20"/>
          <w:spacing w:val="-6"/>
        </w:rPr>
        <w:t>(soit</w:t>
      </w:r>
      <w:r>
        <w:rPr>
          <w:color w:val="231F20"/>
          <w:spacing w:val="-9"/>
        </w:rPr>
        <w:t> </w:t>
      </w:r>
      <w:r>
        <w:rPr>
          <w:color w:val="231F20"/>
          <w:spacing w:val="-6"/>
        </w:rPr>
        <w:t>environ</w:t>
      </w:r>
      <w:r>
        <w:rPr>
          <w:color w:val="231F20"/>
          <w:spacing w:val="-9"/>
        </w:rPr>
        <w:t> </w:t>
      </w:r>
      <w:r>
        <w:rPr>
          <w:color w:val="231F20"/>
          <w:spacing w:val="-6"/>
        </w:rPr>
        <w:t>3,7</w:t>
      </w:r>
      <w:r>
        <w:rPr>
          <w:color w:val="231F20"/>
          <w:spacing w:val="-9"/>
        </w:rPr>
        <w:t> </w:t>
      </w:r>
      <w:r>
        <w:rPr>
          <w:color w:val="231F20"/>
          <w:spacing w:val="-6"/>
        </w:rPr>
        <w:t>x</w:t>
      </w:r>
      <w:r>
        <w:rPr>
          <w:color w:val="231F20"/>
          <w:spacing w:val="-9"/>
        </w:rPr>
        <w:t> </w:t>
      </w:r>
      <w:r>
        <w:rPr>
          <w:color w:val="231F20"/>
          <w:spacing w:val="-6"/>
        </w:rPr>
        <w:t>17,7 </w:t>
      </w:r>
      <w:r>
        <w:rPr>
          <w:color w:val="231F20"/>
          <w:spacing w:val="-8"/>
        </w:rPr>
        <w:t>km),</w:t>
      </w:r>
      <w:r>
        <w:rPr>
          <w:color w:val="231F20"/>
          <w:spacing w:val="-9"/>
        </w:rPr>
        <w:t> </w:t>
      </w:r>
      <w:r>
        <w:rPr>
          <w:color w:val="231F20"/>
          <w:spacing w:val="-8"/>
        </w:rPr>
        <w:t>aucun de</w:t>
      </w:r>
      <w:r>
        <w:rPr>
          <w:color w:val="231F20"/>
          <w:spacing w:val="-9"/>
        </w:rPr>
        <w:t> </w:t>
      </w:r>
      <w:r>
        <w:rPr>
          <w:color w:val="231F20"/>
          <w:spacing w:val="-8"/>
        </w:rPr>
        <w:t>leurs collègues</w:t>
      </w:r>
      <w:r>
        <w:rPr>
          <w:color w:val="231F20"/>
          <w:spacing w:val="-9"/>
        </w:rPr>
        <w:t> </w:t>
      </w:r>
      <w:r>
        <w:rPr>
          <w:color w:val="231F20"/>
          <w:spacing w:val="-8"/>
        </w:rPr>
        <w:t>n’étant soumis </w:t>
      </w:r>
      <w:r>
        <w:rPr>
          <w:color w:val="231F20"/>
        </w:rPr>
        <w:t>à</w:t>
      </w:r>
      <w:r>
        <w:rPr>
          <w:color w:val="231F20"/>
          <w:spacing w:val="-10"/>
        </w:rPr>
        <w:t> </w:t>
      </w:r>
      <w:r>
        <w:rPr>
          <w:color w:val="231F20"/>
        </w:rPr>
        <w:t>ce</w:t>
      </w:r>
      <w:r>
        <w:rPr>
          <w:color w:val="231F20"/>
          <w:spacing w:val="-10"/>
        </w:rPr>
        <w:t> </w:t>
      </w:r>
      <w:r>
        <w:rPr>
          <w:color w:val="231F20"/>
        </w:rPr>
        <w:t>traitement</w:t>
      </w:r>
      <w:r>
        <w:rPr>
          <w:color w:val="231F20"/>
          <w:spacing w:val="-10"/>
        </w:rPr>
        <w:t> </w:t>
      </w:r>
      <w:r>
        <w:rPr>
          <w:color w:val="231F20"/>
        </w:rPr>
        <w:t>illégal</w:t>
      </w:r>
      <w:r>
        <w:rPr>
          <w:color w:val="231F20"/>
          <w:spacing w:val="-10"/>
        </w:rPr>
        <w:t> </w:t>
      </w:r>
      <w:r>
        <w:rPr>
          <w:color w:val="231F20"/>
        </w:rPr>
        <w:t>et</w:t>
      </w:r>
      <w:r>
        <w:rPr>
          <w:color w:val="231F20"/>
          <w:spacing w:val="-10"/>
        </w:rPr>
        <w:t> </w:t>
      </w:r>
      <w:r>
        <w:rPr>
          <w:color w:val="231F20"/>
        </w:rPr>
        <w:t>contraire</w:t>
      </w:r>
      <w:r>
        <w:rPr>
          <w:color w:val="231F20"/>
          <w:spacing w:val="-10"/>
        </w:rPr>
        <w:t> </w:t>
      </w:r>
      <w:r>
        <w:rPr>
          <w:color w:val="231F20"/>
        </w:rPr>
        <w:t>au</w:t>
      </w:r>
      <w:r>
        <w:rPr>
          <w:color w:val="231F20"/>
          <w:spacing w:val="-10"/>
        </w:rPr>
        <w:t> </w:t>
      </w:r>
      <w:r>
        <w:rPr>
          <w:color w:val="231F20"/>
        </w:rPr>
        <w:t>droit </w:t>
      </w:r>
      <w:r>
        <w:rPr>
          <w:color w:val="231F20"/>
          <w:spacing w:val="-10"/>
        </w:rPr>
        <w:t>international,</w:t>
      </w:r>
      <w:r>
        <w:rPr>
          <w:color w:val="231F20"/>
        </w:rPr>
        <w:t> </w:t>
      </w:r>
      <w:r>
        <w:rPr>
          <w:color w:val="231F20"/>
          <w:spacing w:val="-10"/>
        </w:rPr>
        <w:t>et</w:t>
      </w:r>
      <w:r>
        <w:rPr>
          <w:color w:val="231F20"/>
        </w:rPr>
        <w:t> </w:t>
      </w:r>
      <w:r>
        <w:rPr>
          <w:color w:val="231F20"/>
          <w:spacing w:val="-10"/>
        </w:rPr>
        <w:t>absolument</w:t>
      </w:r>
      <w:r>
        <w:rPr>
          <w:color w:val="231F20"/>
        </w:rPr>
        <w:t> </w:t>
      </w:r>
      <w:r>
        <w:rPr>
          <w:color w:val="231F20"/>
          <w:spacing w:val="-10"/>
        </w:rPr>
        <w:t>ridicule,</w:t>
      </w:r>
      <w:r>
        <w:rPr>
          <w:color w:val="231F20"/>
        </w:rPr>
        <w:t> </w:t>
      </w:r>
      <w:r>
        <w:rPr>
          <w:color w:val="231F20"/>
          <w:spacing w:val="-10"/>
        </w:rPr>
        <w:t>de</w:t>
      </w:r>
      <w:r>
        <w:rPr>
          <w:color w:val="231F20"/>
        </w:rPr>
        <w:t> </w:t>
      </w:r>
      <w:r>
        <w:rPr>
          <w:color w:val="231F20"/>
          <w:spacing w:val="-10"/>
        </w:rPr>
        <w:t>sorte </w:t>
      </w:r>
      <w:r>
        <w:rPr>
          <w:color w:val="231F20"/>
        </w:rPr>
        <w:t>que leurs enfants ne peuvent même pas </w:t>
      </w:r>
      <w:r>
        <w:rPr>
          <w:color w:val="231F20"/>
          <w:spacing w:val="-2"/>
        </w:rPr>
        <w:t>visiter</w:t>
      </w:r>
      <w:r>
        <w:rPr>
          <w:color w:val="231F20"/>
          <w:spacing w:val="-15"/>
        </w:rPr>
        <w:t> </w:t>
      </w:r>
      <w:r>
        <w:rPr>
          <w:color w:val="231F20"/>
          <w:spacing w:val="-2"/>
        </w:rPr>
        <w:t>leurs</w:t>
      </w:r>
      <w:r>
        <w:rPr>
          <w:color w:val="231F20"/>
          <w:spacing w:val="-14"/>
        </w:rPr>
        <w:t> </w:t>
      </w:r>
      <w:r>
        <w:rPr>
          <w:color w:val="231F20"/>
          <w:spacing w:val="-2"/>
        </w:rPr>
        <w:t>camarades</w:t>
      </w:r>
      <w:r>
        <w:rPr>
          <w:color w:val="231F20"/>
          <w:spacing w:val="-15"/>
        </w:rPr>
        <w:t> </w:t>
      </w:r>
      <w:r>
        <w:rPr>
          <w:color w:val="231F20"/>
          <w:spacing w:val="-2"/>
        </w:rPr>
        <w:t>de</w:t>
      </w:r>
      <w:r>
        <w:rPr>
          <w:color w:val="231F20"/>
          <w:spacing w:val="-14"/>
        </w:rPr>
        <w:t> </w:t>
      </w:r>
      <w:r>
        <w:rPr>
          <w:color w:val="231F20"/>
          <w:spacing w:val="-2"/>
        </w:rPr>
        <w:t>classe</w:t>
      </w:r>
      <w:r>
        <w:rPr>
          <w:color w:val="231F20"/>
          <w:spacing w:val="-15"/>
        </w:rPr>
        <w:t> </w:t>
      </w:r>
      <w:r>
        <w:rPr>
          <w:color w:val="231F20"/>
          <w:spacing w:val="-2"/>
        </w:rPr>
        <w:t>n’habitant pas</w:t>
      </w:r>
      <w:r>
        <w:rPr>
          <w:color w:val="231F20"/>
          <w:spacing w:val="-14"/>
        </w:rPr>
        <w:t> </w:t>
      </w:r>
      <w:r>
        <w:rPr>
          <w:color w:val="231F20"/>
          <w:spacing w:val="-2"/>
        </w:rPr>
        <w:t>Manhattan</w:t>
      </w:r>
      <w:r>
        <w:rPr>
          <w:color w:val="231F20"/>
          <w:spacing w:val="-14"/>
        </w:rPr>
        <w:t> </w:t>
      </w:r>
      <w:r>
        <w:rPr>
          <w:color w:val="231F20"/>
          <w:spacing w:val="-2"/>
        </w:rPr>
        <w:t>ou</w:t>
      </w:r>
      <w:r>
        <w:rPr>
          <w:color w:val="231F20"/>
          <w:spacing w:val="-14"/>
        </w:rPr>
        <w:t> </w:t>
      </w:r>
      <w:r>
        <w:rPr>
          <w:color w:val="231F20"/>
          <w:spacing w:val="-2"/>
        </w:rPr>
        <w:t>participer</w:t>
      </w:r>
      <w:r>
        <w:rPr>
          <w:color w:val="231F20"/>
          <w:spacing w:val="-14"/>
        </w:rPr>
        <w:t> </w:t>
      </w:r>
      <w:r>
        <w:rPr>
          <w:color w:val="231F20"/>
          <w:spacing w:val="-2"/>
        </w:rPr>
        <w:t>à</w:t>
      </w:r>
      <w:r>
        <w:rPr>
          <w:color w:val="231F20"/>
          <w:spacing w:val="-14"/>
        </w:rPr>
        <w:t> </w:t>
      </w:r>
      <w:r>
        <w:rPr>
          <w:color w:val="231F20"/>
          <w:spacing w:val="-2"/>
        </w:rPr>
        <w:t>des</w:t>
      </w:r>
      <w:r>
        <w:rPr>
          <w:color w:val="231F20"/>
          <w:spacing w:val="-14"/>
        </w:rPr>
        <w:t> </w:t>
      </w:r>
      <w:r>
        <w:rPr>
          <w:color w:val="231F20"/>
          <w:spacing w:val="-2"/>
        </w:rPr>
        <w:t>activités d’extension</w:t>
      </w:r>
      <w:r>
        <w:rPr>
          <w:color w:val="231F20"/>
          <w:spacing w:val="-15"/>
        </w:rPr>
        <w:t> </w:t>
      </w:r>
      <w:r>
        <w:rPr>
          <w:color w:val="231F20"/>
          <w:spacing w:val="-2"/>
        </w:rPr>
        <w:t>scolaire</w:t>
      </w:r>
      <w:r>
        <w:rPr>
          <w:color w:val="231F20"/>
          <w:spacing w:val="-15"/>
        </w:rPr>
        <w:t> </w:t>
      </w:r>
      <w:r>
        <w:rPr>
          <w:color w:val="231F20"/>
          <w:spacing w:val="-2"/>
        </w:rPr>
        <w:t>hors</w:t>
      </w:r>
      <w:r>
        <w:rPr>
          <w:color w:val="231F20"/>
          <w:spacing w:val="-15"/>
        </w:rPr>
        <w:t> </w:t>
      </w:r>
      <w:r>
        <w:rPr>
          <w:color w:val="231F20"/>
          <w:spacing w:val="-2"/>
        </w:rPr>
        <w:t>de</w:t>
      </w:r>
      <w:r>
        <w:rPr>
          <w:color w:val="231F20"/>
          <w:spacing w:val="-15"/>
        </w:rPr>
        <w:t> </w:t>
      </w:r>
      <w:r>
        <w:rPr>
          <w:color w:val="231F20"/>
          <w:spacing w:val="-2"/>
        </w:rPr>
        <w:t>ce</w:t>
      </w:r>
      <w:r>
        <w:rPr>
          <w:color w:val="231F20"/>
          <w:spacing w:val="-15"/>
        </w:rPr>
        <w:t> </w:t>
      </w:r>
      <w:r>
        <w:rPr>
          <w:color w:val="231F20"/>
          <w:spacing w:val="-2"/>
        </w:rPr>
        <w:t>périmètre</w:t>
      </w:r>
      <w:r>
        <w:rPr>
          <w:color w:val="231F20"/>
          <w:spacing w:val="-15"/>
        </w:rPr>
        <w:t> </w:t>
      </w:r>
      <w:r>
        <w:rPr>
          <w:color w:val="231F20"/>
          <w:spacing w:val="-2"/>
        </w:rPr>
        <w:t>!</w:t>
      </w:r>
    </w:p>
    <w:p>
      <w:pPr>
        <w:pStyle w:val="BodyText"/>
        <w:spacing w:before="166"/>
        <w:ind w:left="413" w:right="1471"/>
      </w:pPr>
      <w:r>
        <w:rPr>
          <w:color w:val="231F20"/>
        </w:rPr>
        <w:t>À cet égard, Mme Alena Douhan, </w:t>
      </w:r>
      <w:r>
        <w:rPr>
          <w:color w:val="231F20"/>
          <w:spacing w:val="-2"/>
        </w:rPr>
        <w:t>Rapporteuse</w:t>
      </w:r>
      <w:r>
        <w:rPr>
          <w:color w:val="231F20"/>
          <w:spacing w:val="-15"/>
        </w:rPr>
        <w:t> </w:t>
      </w:r>
      <w:r>
        <w:rPr>
          <w:color w:val="231F20"/>
          <w:spacing w:val="-2"/>
        </w:rPr>
        <w:t>spéciale</w:t>
      </w:r>
      <w:r>
        <w:rPr>
          <w:color w:val="231F20"/>
          <w:spacing w:val="-14"/>
        </w:rPr>
        <w:t> </w:t>
      </w:r>
      <w:r>
        <w:rPr>
          <w:color w:val="231F20"/>
          <w:spacing w:val="-2"/>
        </w:rPr>
        <w:t>du</w:t>
      </w:r>
      <w:r>
        <w:rPr>
          <w:color w:val="231F20"/>
          <w:spacing w:val="-15"/>
        </w:rPr>
        <w:t> </w:t>
      </w:r>
      <w:r>
        <w:rPr>
          <w:color w:val="231F20"/>
          <w:spacing w:val="-2"/>
        </w:rPr>
        <w:t>Conseil</w:t>
      </w:r>
      <w:r>
        <w:rPr>
          <w:color w:val="231F20"/>
          <w:spacing w:val="-14"/>
        </w:rPr>
        <w:t> </w:t>
      </w:r>
      <w:r>
        <w:rPr>
          <w:color w:val="231F20"/>
          <w:spacing w:val="-2"/>
        </w:rPr>
        <w:t>des</w:t>
      </w:r>
      <w:r>
        <w:rPr>
          <w:color w:val="231F20"/>
          <w:spacing w:val="-15"/>
        </w:rPr>
        <w:t> </w:t>
      </w:r>
      <w:r>
        <w:rPr>
          <w:color w:val="231F20"/>
          <w:spacing w:val="-2"/>
        </w:rPr>
        <w:t>droits </w:t>
      </w:r>
      <w:r>
        <w:rPr>
          <w:color w:val="231F20"/>
          <w:spacing w:val="-4"/>
        </w:rPr>
        <w:t>de</w:t>
      </w:r>
      <w:r>
        <w:rPr>
          <w:color w:val="231F20"/>
          <w:spacing w:val="-13"/>
        </w:rPr>
        <w:t> </w:t>
      </w:r>
      <w:r>
        <w:rPr>
          <w:color w:val="231F20"/>
          <w:spacing w:val="-4"/>
        </w:rPr>
        <w:t>l’homme</w:t>
      </w:r>
      <w:r>
        <w:rPr>
          <w:color w:val="231F20"/>
          <w:spacing w:val="-12"/>
        </w:rPr>
        <w:t> </w:t>
      </w:r>
      <w:r>
        <w:rPr>
          <w:color w:val="231F20"/>
          <w:spacing w:val="-4"/>
        </w:rPr>
        <w:t>des</w:t>
      </w:r>
      <w:r>
        <w:rPr>
          <w:color w:val="231F20"/>
          <w:spacing w:val="-13"/>
        </w:rPr>
        <w:t> </w:t>
      </w:r>
      <w:r>
        <w:rPr>
          <w:color w:val="231F20"/>
          <w:spacing w:val="-4"/>
        </w:rPr>
        <w:t>Nations</w:t>
      </w:r>
      <w:r>
        <w:rPr>
          <w:color w:val="231F20"/>
          <w:spacing w:val="-12"/>
        </w:rPr>
        <w:t> </w:t>
      </w:r>
      <w:r>
        <w:rPr>
          <w:color w:val="231F20"/>
          <w:spacing w:val="-4"/>
        </w:rPr>
        <w:t>Unies</w:t>
      </w:r>
      <w:r>
        <w:rPr>
          <w:color w:val="231F20"/>
          <w:spacing w:val="-13"/>
        </w:rPr>
        <w:t> </w:t>
      </w:r>
      <w:r>
        <w:rPr>
          <w:color w:val="231F20"/>
          <w:spacing w:val="-4"/>
        </w:rPr>
        <w:t>sur</w:t>
      </w:r>
      <w:r>
        <w:rPr>
          <w:color w:val="231F20"/>
          <w:spacing w:val="-12"/>
        </w:rPr>
        <w:t> </w:t>
      </w:r>
      <w:r>
        <w:rPr>
          <w:color w:val="231F20"/>
          <w:spacing w:val="-4"/>
        </w:rPr>
        <w:t>les</w:t>
      </w:r>
      <w:r>
        <w:rPr>
          <w:color w:val="231F20"/>
          <w:spacing w:val="-13"/>
        </w:rPr>
        <w:t> </w:t>
      </w:r>
      <w:r>
        <w:rPr>
          <w:color w:val="231F20"/>
          <w:spacing w:val="-4"/>
        </w:rPr>
        <w:t>effets </w:t>
      </w:r>
      <w:r>
        <w:rPr>
          <w:color w:val="231F20"/>
          <w:spacing w:val="-6"/>
        </w:rPr>
        <w:t>négatifs</w:t>
      </w:r>
      <w:r>
        <w:rPr>
          <w:color w:val="231F20"/>
          <w:spacing w:val="-10"/>
        </w:rPr>
        <w:t> </w:t>
      </w:r>
      <w:r>
        <w:rPr>
          <w:color w:val="231F20"/>
          <w:spacing w:val="-6"/>
        </w:rPr>
        <w:t>des</w:t>
      </w:r>
      <w:r>
        <w:rPr>
          <w:color w:val="231F20"/>
          <w:spacing w:val="-10"/>
        </w:rPr>
        <w:t> </w:t>
      </w:r>
      <w:r>
        <w:rPr>
          <w:color w:val="231F20"/>
          <w:spacing w:val="-6"/>
        </w:rPr>
        <w:t>mesures</w:t>
      </w:r>
      <w:r>
        <w:rPr>
          <w:color w:val="231F20"/>
          <w:spacing w:val="-10"/>
        </w:rPr>
        <w:t> </w:t>
      </w:r>
      <w:r>
        <w:rPr>
          <w:color w:val="231F20"/>
          <w:spacing w:val="-6"/>
        </w:rPr>
        <w:t>coercitives</w:t>
      </w:r>
      <w:r>
        <w:rPr>
          <w:color w:val="231F20"/>
          <w:spacing w:val="-10"/>
        </w:rPr>
        <w:t> </w:t>
      </w:r>
      <w:r>
        <w:rPr>
          <w:color w:val="231F20"/>
          <w:spacing w:val="-6"/>
        </w:rPr>
        <w:t>unilatérales </w:t>
      </w:r>
      <w:r>
        <w:rPr>
          <w:color w:val="231F20"/>
        </w:rPr>
        <w:t>sur l’exercice des droits de l’homme, a </w:t>
      </w:r>
      <w:r>
        <w:rPr>
          <w:color w:val="231F20"/>
          <w:spacing w:val="-4"/>
        </w:rPr>
        <w:t>déclaré</w:t>
      </w:r>
      <w:r>
        <w:rPr>
          <w:color w:val="231F20"/>
          <w:spacing w:val="-13"/>
        </w:rPr>
        <w:t> </w:t>
      </w:r>
      <w:r>
        <w:rPr>
          <w:color w:val="231F20"/>
          <w:spacing w:val="-4"/>
        </w:rPr>
        <w:t>le</w:t>
      </w:r>
      <w:r>
        <w:rPr>
          <w:color w:val="231F20"/>
          <w:spacing w:val="-12"/>
        </w:rPr>
        <w:t> </w:t>
      </w:r>
      <w:r>
        <w:rPr>
          <w:color w:val="231F20"/>
          <w:spacing w:val="-4"/>
        </w:rPr>
        <w:t>4</w:t>
      </w:r>
      <w:r>
        <w:rPr>
          <w:color w:val="231F20"/>
          <w:spacing w:val="-13"/>
        </w:rPr>
        <w:t> </w:t>
      </w:r>
      <w:r>
        <w:rPr>
          <w:color w:val="231F20"/>
          <w:spacing w:val="-4"/>
        </w:rPr>
        <w:t>mai</w:t>
      </w:r>
      <w:r>
        <w:rPr>
          <w:color w:val="231F20"/>
          <w:spacing w:val="-12"/>
        </w:rPr>
        <w:t> </w:t>
      </w:r>
      <w:r>
        <w:rPr>
          <w:color w:val="231F20"/>
          <w:spacing w:val="-4"/>
        </w:rPr>
        <w:t>2023,</w:t>
      </w:r>
      <w:r>
        <w:rPr>
          <w:color w:val="231F20"/>
          <w:spacing w:val="-13"/>
        </w:rPr>
        <w:t> </w:t>
      </w:r>
      <w:r>
        <w:rPr>
          <w:color w:val="231F20"/>
          <w:spacing w:val="-4"/>
        </w:rPr>
        <w:t>lors</w:t>
      </w:r>
      <w:r>
        <w:rPr>
          <w:color w:val="231F20"/>
          <w:spacing w:val="-12"/>
        </w:rPr>
        <w:t> </w:t>
      </w:r>
      <w:r>
        <w:rPr>
          <w:color w:val="231F20"/>
          <w:spacing w:val="-4"/>
        </w:rPr>
        <w:t>d’une</w:t>
      </w:r>
      <w:r>
        <w:rPr>
          <w:color w:val="231F20"/>
          <w:spacing w:val="-13"/>
        </w:rPr>
        <w:t> </w:t>
      </w:r>
      <w:r>
        <w:rPr>
          <w:color w:val="231F20"/>
          <w:spacing w:val="-4"/>
        </w:rPr>
        <w:t>conférence </w:t>
      </w:r>
      <w:r>
        <w:rPr>
          <w:color w:val="231F20"/>
        </w:rPr>
        <w:t>donnée</w:t>
      </w:r>
      <w:r>
        <w:rPr>
          <w:color w:val="231F20"/>
          <w:spacing w:val="-17"/>
        </w:rPr>
        <w:t> </w:t>
      </w:r>
      <w:r>
        <w:rPr>
          <w:color w:val="231F20"/>
        </w:rPr>
        <w:t>à</w:t>
      </w:r>
      <w:r>
        <w:rPr>
          <w:color w:val="231F20"/>
          <w:spacing w:val="-16"/>
        </w:rPr>
        <w:t> </w:t>
      </w:r>
      <w:r>
        <w:rPr>
          <w:color w:val="231F20"/>
        </w:rPr>
        <w:t>l’Université</w:t>
      </w:r>
      <w:r>
        <w:rPr>
          <w:color w:val="231F20"/>
          <w:spacing w:val="-17"/>
        </w:rPr>
        <w:t> </w:t>
      </w:r>
      <w:r>
        <w:rPr>
          <w:color w:val="231F20"/>
        </w:rPr>
        <w:t>de</w:t>
      </w:r>
      <w:r>
        <w:rPr>
          <w:color w:val="231F20"/>
          <w:spacing w:val="-16"/>
        </w:rPr>
        <w:t> </w:t>
      </w:r>
      <w:r>
        <w:rPr>
          <w:color w:val="231F20"/>
        </w:rPr>
        <w:t>La</w:t>
      </w:r>
      <w:r>
        <w:rPr>
          <w:color w:val="231F20"/>
          <w:spacing w:val="-17"/>
        </w:rPr>
        <w:t> </w:t>
      </w:r>
      <w:r>
        <w:rPr>
          <w:color w:val="231F20"/>
        </w:rPr>
        <w:t>Havane</w:t>
      </w:r>
      <w:r>
        <w:rPr>
          <w:color w:val="231F20"/>
          <w:spacing w:val="-16"/>
        </w:rPr>
        <w:t> </w:t>
      </w:r>
      <w:r>
        <w:rPr>
          <w:color w:val="231F20"/>
        </w:rPr>
        <w:t>dans</w:t>
      </w:r>
      <w:r>
        <w:rPr>
          <w:color w:val="231F20"/>
          <w:spacing w:val="-17"/>
        </w:rPr>
        <w:t> </w:t>
      </w:r>
      <w:r>
        <w:rPr>
          <w:color w:val="231F20"/>
        </w:rPr>
        <w:t>le </w:t>
      </w:r>
      <w:r>
        <w:rPr>
          <w:color w:val="231F20"/>
          <w:spacing w:val="-4"/>
        </w:rPr>
        <w:t>cadre</w:t>
      </w:r>
      <w:r>
        <w:rPr>
          <w:color w:val="231F20"/>
          <w:spacing w:val="-13"/>
        </w:rPr>
        <w:t> </w:t>
      </w:r>
      <w:r>
        <w:rPr>
          <w:color w:val="231F20"/>
          <w:spacing w:val="-4"/>
        </w:rPr>
        <w:t>de</w:t>
      </w:r>
      <w:r>
        <w:rPr>
          <w:color w:val="231F20"/>
          <w:spacing w:val="-12"/>
        </w:rPr>
        <w:t> </w:t>
      </w:r>
      <w:r>
        <w:rPr>
          <w:color w:val="231F20"/>
          <w:spacing w:val="-4"/>
        </w:rPr>
        <w:t>sa</w:t>
      </w:r>
      <w:r>
        <w:rPr>
          <w:color w:val="231F20"/>
          <w:spacing w:val="-13"/>
        </w:rPr>
        <w:t> </w:t>
      </w:r>
      <w:r>
        <w:rPr>
          <w:color w:val="231F20"/>
          <w:spacing w:val="-4"/>
        </w:rPr>
        <w:t>visite</w:t>
      </w:r>
      <w:r>
        <w:rPr>
          <w:color w:val="231F20"/>
          <w:spacing w:val="-12"/>
        </w:rPr>
        <w:t> </w:t>
      </w:r>
      <w:r>
        <w:rPr>
          <w:color w:val="231F20"/>
          <w:spacing w:val="-4"/>
        </w:rPr>
        <w:t>universitaire</w:t>
      </w:r>
      <w:r>
        <w:rPr>
          <w:color w:val="231F20"/>
          <w:spacing w:val="-13"/>
        </w:rPr>
        <w:t> </w:t>
      </w:r>
      <w:r>
        <w:rPr>
          <w:color w:val="231F20"/>
          <w:spacing w:val="-4"/>
        </w:rPr>
        <w:t>dans</w:t>
      </w:r>
      <w:r>
        <w:rPr>
          <w:color w:val="231F20"/>
          <w:spacing w:val="-12"/>
        </w:rPr>
        <w:t> </w:t>
      </w:r>
      <w:r>
        <w:rPr>
          <w:color w:val="231F20"/>
          <w:spacing w:val="-4"/>
        </w:rPr>
        <w:t>l’île,</w:t>
      </w:r>
      <w:r>
        <w:rPr>
          <w:color w:val="231F20"/>
          <w:spacing w:val="-13"/>
        </w:rPr>
        <w:t> </w:t>
      </w:r>
      <w:r>
        <w:rPr>
          <w:color w:val="231F20"/>
          <w:spacing w:val="-4"/>
        </w:rPr>
        <w:t>que </w:t>
      </w:r>
      <w:r>
        <w:rPr>
          <w:color w:val="231F20"/>
        </w:rPr>
        <w:t>les actions portant atteinte à la liberté de </w:t>
      </w:r>
      <w:r>
        <w:rPr>
          <w:color w:val="231F20"/>
          <w:spacing w:val="-2"/>
        </w:rPr>
        <w:t>déplacement</w:t>
      </w:r>
      <w:r>
        <w:rPr>
          <w:color w:val="231F20"/>
          <w:spacing w:val="-8"/>
        </w:rPr>
        <w:t> </w:t>
      </w:r>
      <w:r>
        <w:rPr>
          <w:color w:val="231F20"/>
          <w:spacing w:val="-2"/>
        </w:rPr>
        <w:t>des</w:t>
      </w:r>
      <w:r>
        <w:rPr>
          <w:color w:val="231F20"/>
          <w:spacing w:val="-8"/>
        </w:rPr>
        <w:t> </w:t>
      </w:r>
      <w:r>
        <w:rPr>
          <w:color w:val="231F20"/>
          <w:spacing w:val="-2"/>
        </w:rPr>
        <w:t>diplomates</w:t>
      </w:r>
      <w:r>
        <w:rPr>
          <w:color w:val="231F20"/>
          <w:spacing w:val="-8"/>
        </w:rPr>
        <w:t> </w:t>
      </w:r>
      <w:r>
        <w:rPr>
          <w:color w:val="231F20"/>
          <w:spacing w:val="-2"/>
        </w:rPr>
        <w:t>constituaient </w:t>
      </w:r>
      <w:r>
        <w:rPr>
          <w:color w:val="231F20"/>
        </w:rPr>
        <w:t>une</w:t>
      </w:r>
      <w:r>
        <w:rPr>
          <w:color w:val="231F20"/>
          <w:spacing w:val="-13"/>
        </w:rPr>
        <w:t> </w:t>
      </w:r>
      <w:r>
        <w:rPr>
          <w:color w:val="231F20"/>
        </w:rPr>
        <w:t>mesure</w:t>
      </w:r>
      <w:r>
        <w:rPr>
          <w:color w:val="231F20"/>
          <w:spacing w:val="-13"/>
        </w:rPr>
        <w:t> </w:t>
      </w:r>
      <w:r>
        <w:rPr>
          <w:color w:val="231F20"/>
        </w:rPr>
        <w:t>coercitive</w:t>
      </w:r>
      <w:r>
        <w:rPr>
          <w:color w:val="231F20"/>
          <w:spacing w:val="-13"/>
        </w:rPr>
        <w:t> </w:t>
      </w:r>
      <w:r>
        <w:rPr>
          <w:color w:val="231F20"/>
        </w:rPr>
        <w:t>unilatérale</w:t>
      </w:r>
      <w:r>
        <w:rPr>
          <w:color w:val="231F20"/>
          <w:spacing w:val="-13"/>
        </w:rPr>
        <w:t> </w:t>
      </w:r>
      <w:r>
        <w:rPr>
          <w:color w:val="231F20"/>
        </w:rPr>
        <w:t>qui</w:t>
      </w:r>
      <w:r>
        <w:rPr>
          <w:color w:val="231F20"/>
          <w:spacing w:val="-13"/>
        </w:rPr>
        <w:t> </w:t>
      </w:r>
      <w:r>
        <w:rPr>
          <w:color w:val="231F20"/>
        </w:rPr>
        <w:t>viole le droit international.</w:t>
      </w:r>
    </w:p>
    <w:p>
      <w:pPr>
        <w:pStyle w:val="BodyText"/>
        <w:spacing w:before="213"/>
        <w:jc w:val="left"/>
        <w:rPr>
          <w:sz w:val="20"/>
        </w:rPr>
      </w:pPr>
      <w:r>
        <w:rPr/>
        <mc:AlternateContent>
          <mc:Choice Requires="wps">
            <w:drawing>
              <wp:anchor distT="0" distB="0" distL="0" distR="0" allowOverlap="1" layoutInCell="1" locked="0" behindDoc="1" simplePos="0" relativeHeight="487694848">
                <wp:simplePos x="0" y="0"/>
                <wp:positionH relativeFrom="page">
                  <wp:posOffset>5714746</wp:posOffset>
                </wp:positionH>
                <wp:positionV relativeFrom="paragraph">
                  <wp:posOffset>319789</wp:posOffset>
                </wp:positionV>
                <wp:extent cx="909319" cy="26034"/>
                <wp:effectExtent l="0" t="0" r="0" b="0"/>
                <wp:wrapTopAndBottom/>
                <wp:docPr id="460" name="Graphic 460"/>
                <wp:cNvGraphicFramePr>
                  <a:graphicFrameLocks/>
                </wp:cNvGraphicFramePr>
                <a:graphic>
                  <a:graphicData uri="http://schemas.microsoft.com/office/word/2010/wordprocessingShape">
                    <wps:wsp>
                      <wps:cNvPr id="460" name="Graphic 460"/>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449.980011pt;margin-top:25.18025pt;width:71.584pt;height:2.021pt;mso-position-horizontal-relative:page;mso-position-vertical-relative:paragraph;z-index:-15621632;mso-wrap-distance-left:0;mso-wrap-distance-right:0" id="docshape357"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cols w:num="2" w:equalWidth="0">
            <w:col w:w="5557" w:space="40"/>
            <w:col w:w="6313"/>
          </w:cols>
        </w:sectPr>
      </w:pPr>
    </w:p>
    <w:p>
      <w:pPr>
        <w:pStyle w:val="BodyText"/>
        <w:spacing w:before="568"/>
        <w:jc w:val="left"/>
        <w:rPr>
          <w:sz w:val="56"/>
        </w:rPr>
      </w:pPr>
    </w:p>
    <w:p>
      <w:pPr>
        <w:pStyle w:val="Heading1"/>
        <w:spacing w:line="220" w:lineRule="auto"/>
        <w:ind w:left="1474" w:right="5511"/>
      </w:pPr>
      <w:r>
        <w:rPr/>
        <mc:AlternateContent>
          <mc:Choice Requires="wps">
            <w:drawing>
              <wp:anchor distT="0" distB="0" distL="0" distR="0" allowOverlap="1" layoutInCell="1" locked="0" behindDoc="1" simplePos="0" relativeHeight="485859840">
                <wp:simplePos x="0" y="0"/>
                <wp:positionH relativeFrom="page">
                  <wp:posOffset>840244</wp:posOffset>
                </wp:positionH>
                <wp:positionV relativeFrom="paragraph">
                  <wp:posOffset>-782548</wp:posOffset>
                </wp:positionV>
                <wp:extent cx="1275715" cy="1544955"/>
                <wp:effectExtent l="0" t="0" r="0" b="0"/>
                <wp:wrapNone/>
                <wp:docPr id="461" name="Textbox 461"/>
                <wp:cNvGraphicFramePr>
                  <a:graphicFrameLocks/>
                </wp:cNvGraphicFramePr>
                <a:graphic>
                  <a:graphicData uri="http://schemas.microsoft.com/office/word/2010/wordprocessingShape">
                    <wps:wsp>
                      <wps:cNvPr id="461" name="Textbox 461"/>
                      <wps:cNvSpPr txBox="1"/>
                      <wps:spPr>
                        <a:xfrm>
                          <a:off x="0" y="0"/>
                          <a:ext cx="1275715"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5"/>
                                <w:w w:val="124"/>
                                <w:sz w:val="243"/>
                              </w:rPr>
                              <w:t>0</w:t>
                            </w:r>
                            <w:r>
                              <w:rPr>
                                <w:rFonts w:ascii="Arial"/>
                                <w:color w:val="B3B4CF"/>
                                <w:spacing w:val="-1226"/>
                                <w:w w:val="106"/>
                                <w:sz w:val="243"/>
                              </w:rPr>
                              <w:t>3</w:t>
                            </w:r>
                          </w:p>
                        </w:txbxContent>
                      </wps:txbx>
                      <wps:bodyPr wrap="square" lIns="0" tIns="0" rIns="0" bIns="0" rtlCol="0">
                        <a:noAutofit/>
                      </wps:bodyPr>
                    </wps:wsp>
                  </a:graphicData>
                </a:graphic>
              </wp:anchor>
            </w:drawing>
          </mc:Choice>
          <mc:Fallback>
            <w:pict>
              <v:shape style="position:absolute;margin-left:66.161003pt;margin-top:-61.617977pt;width:100.45pt;height:121.65pt;mso-position-horizontal-relative:page;mso-position-vertical-relative:paragraph;z-index:-17456640" type="#_x0000_t202" id="docshape358" filled="false" stroked="false">
                <v:textbox inset="0,0,0,0">
                  <w:txbxContent>
                    <w:p>
                      <w:pPr>
                        <w:spacing w:line="2432" w:lineRule="exact" w:before="0"/>
                        <w:ind w:left="0" w:right="0" w:firstLine="0"/>
                        <w:jc w:val="left"/>
                        <w:rPr>
                          <w:rFonts w:ascii="Arial"/>
                          <w:sz w:val="243"/>
                        </w:rPr>
                      </w:pPr>
                      <w:r>
                        <w:rPr>
                          <w:rFonts w:ascii="Arial"/>
                          <w:color w:val="B3B4CF"/>
                          <w:spacing w:val="-5"/>
                          <w:w w:val="124"/>
                          <w:sz w:val="243"/>
                        </w:rPr>
                        <w:t>0</w:t>
                      </w:r>
                      <w:r>
                        <w:rPr>
                          <w:rFonts w:ascii="Arial"/>
                          <w:color w:val="B3B4CF"/>
                          <w:spacing w:val="-1226"/>
                          <w:w w:val="106"/>
                          <w:sz w:val="243"/>
                        </w:rPr>
                        <w:t>3</w:t>
                      </w:r>
                    </w:p>
                  </w:txbxContent>
                </v:textbox>
                <w10:wrap type="none"/>
              </v:shape>
            </w:pict>
          </mc:Fallback>
        </mc:AlternateContent>
      </w:r>
      <w:r>
        <w:rPr>
          <w:color w:val="B52628"/>
          <w:spacing w:val="-2"/>
          <w:w w:val="115"/>
        </w:rPr>
        <w:t>Préjudices </w:t>
      </w:r>
      <w:r>
        <w:rPr>
          <w:color w:val="B52628"/>
          <w:spacing w:val="-6"/>
          <w:w w:val="115"/>
        </w:rPr>
        <w:t>causés</w:t>
      </w:r>
      <w:r>
        <w:rPr>
          <w:color w:val="B52628"/>
          <w:spacing w:val="-51"/>
          <w:w w:val="115"/>
        </w:rPr>
        <w:t> </w:t>
      </w:r>
      <w:r>
        <w:rPr>
          <w:color w:val="B52628"/>
          <w:spacing w:val="-6"/>
          <w:w w:val="115"/>
        </w:rPr>
        <w:t>au</w:t>
      </w:r>
      <w:r>
        <w:rPr>
          <w:color w:val="B52628"/>
          <w:spacing w:val="-45"/>
          <w:w w:val="115"/>
        </w:rPr>
        <w:t> </w:t>
      </w:r>
      <w:r>
        <w:rPr>
          <w:color w:val="B52628"/>
          <w:spacing w:val="-6"/>
          <w:w w:val="115"/>
        </w:rPr>
        <w:t>secteur </w:t>
      </w:r>
      <w:r>
        <w:rPr>
          <w:color w:val="B52628"/>
          <w:w w:val="115"/>
        </w:rPr>
        <w:t>extérieur de </w:t>
      </w:r>
      <w:r>
        <w:rPr>
          <w:color w:val="B52628"/>
          <w:spacing w:val="-2"/>
          <w:w w:val="115"/>
        </w:rPr>
        <w:t>l’économie cubaine</w:t>
      </w:r>
    </w:p>
    <w:p>
      <w:pPr>
        <w:pStyle w:val="BodyText"/>
        <w:spacing w:before="4"/>
        <w:jc w:val="left"/>
        <w:rPr>
          <w:rFonts w:ascii="Trebuchet MS"/>
          <w:sz w:val="11"/>
        </w:rPr>
      </w:pPr>
    </w:p>
    <w:p>
      <w:pPr>
        <w:spacing w:after="0"/>
        <w:jc w:val="left"/>
        <w:rPr>
          <w:rFonts w:ascii="Trebuchet MS"/>
          <w:sz w:val="11"/>
        </w:rPr>
        <w:sectPr>
          <w:pgSz w:w="11910" w:h="16840"/>
          <w:pgMar w:header="0" w:footer="695" w:top="800" w:bottom="880" w:left="0" w:right="0"/>
        </w:sectPr>
      </w:pPr>
    </w:p>
    <w:p>
      <w:pPr>
        <w:pStyle w:val="BodyText"/>
        <w:spacing w:before="125"/>
        <w:jc w:val="left"/>
        <w:rPr>
          <w:rFonts w:ascii="Trebuchet MS"/>
          <w:sz w:val="20"/>
        </w:rPr>
      </w:pPr>
    </w:p>
    <w:p>
      <w:pPr>
        <w:pStyle w:val="BodyText"/>
        <w:spacing w:line="40" w:lineRule="exact"/>
        <w:ind w:left="1474"/>
        <w:jc w:val="left"/>
        <w:rPr>
          <w:rFonts w:ascii="Trebuchet MS"/>
          <w:sz w:val="4"/>
        </w:rPr>
      </w:pPr>
      <w:r>
        <w:rPr>
          <w:rFonts w:ascii="Trebuchet MS"/>
          <w:position w:val="0"/>
          <w:sz w:val="4"/>
        </w:rPr>
        <mc:AlternateContent>
          <mc:Choice Requires="wps">
            <w:drawing>
              <wp:inline distT="0" distB="0" distL="0" distR="0">
                <wp:extent cx="909319" cy="26034"/>
                <wp:effectExtent l="0" t="0" r="0" b="0"/>
                <wp:docPr id="462" name="Group 462"/>
                <wp:cNvGraphicFramePr>
                  <a:graphicFrameLocks/>
                </wp:cNvGraphicFramePr>
                <a:graphic>
                  <a:graphicData uri="http://schemas.microsoft.com/office/word/2010/wordprocessingGroup">
                    <wpg:wgp>
                      <wpg:cNvPr id="462" name="Group 462"/>
                      <wpg:cNvGrpSpPr/>
                      <wpg:grpSpPr>
                        <a:xfrm>
                          <a:off x="0" y="0"/>
                          <a:ext cx="909319" cy="26034"/>
                          <a:chExt cx="909319" cy="26034"/>
                        </a:xfrm>
                      </wpg:grpSpPr>
                      <wps:wsp>
                        <wps:cNvPr id="463" name="Graphic 463"/>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wpg:wgp>
                  </a:graphicData>
                </a:graphic>
              </wp:inline>
            </w:drawing>
          </mc:Choice>
          <mc:Fallback>
            <w:pict>
              <v:group style="width:71.6pt;height:2.050pt;mso-position-horizontal-relative:char;mso-position-vertical-relative:line" id="docshapegroup359" coordorigin="0,0" coordsize="1432,41">
                <v:rect style="position:absolute;left:0;top:0;width:1432;height:41" id="docshape360" filled="true" fillcolor="#1f4282" stroked="false">
                  <v:fill type="solid"/>
                </v:rect>
              </v:group>
            </w:pict>
          </mc:Fallback>
        </mc:AlternateContent>
      </w:r>
      <w:r>
        <w:rPr>
          <w:rFonts w:ascii="Trebuchet MS"/>
          <w:position w:val="0"/>
          <w:sz w:val="4"/>
        </w:rPr>
      </w:r>
    </w:p>
    <w:p>
      <w:pPr>
        <w:pStyle w:val="BodyText"/>
        <w:spacing w:before="118"/>
        <w:jc w:val="left"/>
        <w:rPr>
          <w:rFonts w:ascii="Trebuchet MS"/>
          <w:sz w:val="28"/>
        </w:rPr>
      </w:pPr>
    </w:p>
    <w:p>
      <w:pPr>
        <w:pStyle w:val="Heading2"/>
        <w:spacing w:line="196" w:lineRule="auto"/>
        <w:ind w:left="1474" w:right="1508"/>
      </w:pPr>
      <w:r>
        <w:rPr>
          <w:color w:val="1F4282"/>
          <w:w w:val="110"/>
        </w:rPr>
        <w:t>Préjudices</w:t>
      </w:r>
      <w:r>
        <w:rPr>
          <w:color w:val="1F4282"/>
          <w:spacing w:val="-21"/>
          <w:w w:val="110"/>
        </w:rPr>
        <w:t> </w:t>
      </w:r>
      <w:r>
        <w:rPr>
          <w:color w:val="1F4282"/>
          <w:w w:val="110"/>
        </w:rPr>
        <w:t>causés</w:t>
      </w:r>
      <w:r>
        <w:rPr>
          <w:color w:val="1F4282"/>
          <w:spacing w:val="-20"/>
          <w:w w:val="110"/>
        </w:rPr>
        <w:t> </w:t>
      </w:r>
      <w:r>
        <w:rPr>
          <w:color w:val="1F4282"/>
          <w:w w:val="110"/>
        </w:rPr>
        <w:t>au commerce extérieur</w:t>
      </w:r>
    </w:p>
    <w:p>
      <w:pPr>
        <w:pStyle w:val="BodyText"/>
        <w:spacing w:before="23"/>
        <w:jc w:val="left"/>
        <w:rPr>
          <w:rFonts w:ascii="Microsoft Sans Serif"/>
          <w:sz w:val="28"/>
        </w:rPr>
      </w:pPr>
    </w:p>
    <w:p>
      <w:pPr>
        <w:spacing w:before="0"/>
        <w:ind w:left="1474" w:right="2" w:firstLine="0"/>
        <w:jc w:val="both"/>
        <w:rPr>
          <w:i/>
          <w:sz w:val="24"/>
        </w:rPr>
      </w:pPr>
      <w:r>
        <w:rPr>
          <w:i/>
          <w:color w:val="231F20"/>
          <w:sz w:val="24"/>
        </w:rPr>
        <w:t>Les préjudices causés par le blocus </w:t>
      </w:r>
      <w:r>
        <w:rPr>
          <w:i/>
          <w:color w:val="231F20"/>
          <w:sz w:val="24"/>
        </w:rPr>
        <w:t>au</w:t>
      </w:r>
      <w:r>
        <w:rPr>
          <w:i/>
          <w:color w:val="231F20"/>
          <w:sz w:val="24"/>
        </w:rPr>
        <w:t> commerce extérieur cubain, de mars 2022 à</w:t>
      </w:r>
      <w:r>
        <w:rPr>
          <w:i/>
          <w:color w:val="231F20"/>
          <w:spacing w:val="-6"/>
          <w:sz w:val="24"/>
        </w:rPr>
        <w:t> </w:t>
      </w:r>
      <w:r>
        <w:rPr>
          <w:i/>
          <w:color w:val="231F20"/>
          <w:sz w:val="24"/>
        </w:rPr>
        <w:t>février</w:t>
      </w:r>
      <w:r>
        <w:rPr>
          <w:i/>
          <w:color w:val="231F20"/>
          <w:spacing w:val="-6"/>
          <w:sz w:val="24"/>
        </w:rPr>
        <w:t> </w:t>
      </w:r>
      <w:r>
        <w:rPr>
          <w:i/>
          <w:color w:val="231F20"/>
          <w:sz w:val="24"/>
        </w:rPr>
        <w:t>2023,</w:t>
      </w:r>
      <w:r>
        <w:rPr>
          <w:i/>
          <w:color w:val="231F20"/>
          <w:spacing w:val="-6"/>
          <w:sz w:val="24"/>
        </w:rPr>
        <w:t> </w:t>
      </w:r>
      <w:r>
        <w:rPr>
          <w:i/>
          <w:color w:val="231F20"/>
          <w:sz w:val="24"/>
        </w:rPr>
        <w:t>se</w:t>
      </w:r>
      <w:r>
        <w:rPr>
          <w:i/>
          <w:color w:val="231F20"/>
          <w:spacing w:val="-6"/>
          <w:sz w:val="24"/>
        </w:rPr>
        <w:t> </w:t>
      </w:r>
      <w:r>
        <w:rPr>
          <w:i/>
          <w:color w:val="231F20"/>
          <w:sz w:val="24"/>
        </w:rPr>
        <w:t>chiffrent</w:t>
      </w:r>
      <w:r>
        <w:rPr>
          <w:i/>
          <w:color w:val="231F20"/>
          <w:spacing w:val="-6"/>
          <w:sz w:val="24"/>
        </w:rPr>
        <w:t> </w:t>
      </w:r>
      <w:r>
        <w:rPr>
          <w:i/>
          <w:color w:val="231F20"/>
          <w:sz w:val="24"/>
        </w:rPr>
        <w:t>à</w:t>
      </w:r>
      <w:r>
        <w:rPr>
          <w:i/>
          <w:color w:val="231F20"/>
          <w:spacing w:val="-6"/>
          <w:sz w:val="24"/>
        </w:rPr>
        <w:t> </w:t>
      </w:r>
      <w:r>
        <w:rPr>
          <w:rFonts w:ascii="Segoe UI Semibold" w:hAnsi="Segoe UI Semibold"/>
          <w:b/>
          <w:i/>
          <w:color w:val="231F20"/>
          <w:sz w:val="24"/>
        </w:rPr>
        <w:t>3</w:t>
      </w:r>
      <w:r>
        <w:rPr>
          <w:rFonts w:ascii="Segoe UI Semibold" w:hAnsi="Segoe UI Semibold"/>
          <w:b/>
          <w:i/>
          <w:color w:val="231F20"/>
          <w:spacing w:val="-6"/>
          <w:sz w:val="24"/>
        </w:rPr>
        <w:t> </w:t>
      </w:r>
      <w:r>
        <w:rPr>
          <w:rFonts w:ascii="Segoe UI Semibold" w:hAnsi="Segoe UI Semibold"/>
          <w:b/>
          <w:i/>
          <w:color w:val="231F20"/>
          <w:sz w:val="24"/>
        </w:rPr>
        <w:t>081</w:t>
      </w:r>
      <w:r>
        <w:rPr>
          <w:rFonts w:ascii="Segoe UI Semibold" w:hAnsi="Segoe UI Semibold"/>
          <w:b/>
          <w:i/>
          <w:color w:val="231F20"/>
          <w:spacing w:val="-6"/>
          <w:sz w:val="24"/>
        </w:rPr>
        <w:t> </w:t>
      </w:r>
      <w:r>
        <w:rPr>
          <w:rFonts w:ascii="Segoe UI Semibold" w:hAnsi="Segoe UI Semibold"/>
          <w:b/>
          <w:i/>
          <w:color w:val="231F20"/>
          <w:sz w:val="24"/>
        </w:rPr>
        <w:t>300</w:t>
      </w:r>
      <w:r>
        <w:rPr>
          <w:rFonts w:ascii="Segoe UI Semibold" w:hAnsi="Segoe UI Semibold"/>
          <w:b/>
          <w:i/>
          <w:color w:val="231F20"/>
          <w:spacing w:val="-6"/>
          <w:sz w:val="24"/>
        </w:rPr>
        <w:t> </w:t>
      </w:r>
      <w:r>
        <w:rPr>
          <w:rFonts w:ascii="Segoe UI Semibold" w:hAnsi="Segoe UI Semibold"/>
          <w:b/>
          <w:i/>
          <w:color w:val="231F20"/>
          <w:sz w:val="24"/>
        </w:rPr>
        <w:t>000</w:t>
      </w:r>
      <w:r>
        <w:rPr>
          <w:rFonts w:ascii="Segoe UI Semibold" w:hAnsi="Segoe UI Semibold"/>
          <w:b/>
          <w:i/>
          <w:color w:val="231F20"/>
          <w:sz w:val="24"/>
        </w:rPr>
        <w:t> </w:t>
      </w:r>
      <w:r>
        <w:rPr>
          <w:rFonts w:ascii="Segoe UI Semibold" w:hAnsi="Segoe UI Semibold"/>
          <w:b/>
          <w:i/>
          <w:color w:val="231F20"/>
          <w:spacing w:val="-2"/>
          <w:sz w:val="24"/>
        </w:rPr>
        <w:t>dollars</w:t>
      </w:r>
      <w:r>
        <w:rPr>
          <w:i/>
          <w:color w:val="231F20"/>
          <w:spacing w:val="-2"/>
          <w:sz w:val="24"/>
        </w:rPr>
        <w:t>.</w:t>
      </w:r>
    </w:p>
    <w:p>
      <w:pPr>
        <w:pStyle w:val="BodyText"/>
        <w:spacing w:before="161"/>
        <w:ind w:left="1474"/>
      </w:pPr>
      <w:r>
        <w:rPr>
          <w:color w:val="231F20"/>
          <w:spacing w:val="-4"/>
        </w:rPr>
        <w:t>Dans</w:t>
      </w:r>
      <w:r>
        <w:rPr>
          <w:color w:val="231F20"/>
          <w:spacing w:val="-13"/>
        </w:rPr>
        <w:t> </w:t>
      </w:r>
      <w:r>
        <w:rPr>
          <w:color w:val="231F20"/>
          <w:spacing w:val="-4"/>
        </w:rPr>
        <w:t>une</w:t>
      </w:r>
      <w:r>
        <w:rPr>
          <w:color w:val="231F20"/>
          <w:spacing w:val="-12"/>
        </w:rPr>
        <w:t> </w:t>
      </w:r>
      <w:r>
        <w:rPr>
          <w:color w:val="231F20"/>
          <w:spacing w:val="-4"/>
        </w:rPr>
        <w:t>économie</w:t>
      </w:r>
      <w:r>
        <w:rPr>
          <w:color w:val="231F20"/>
          <w:spacing w:val="-13"/>
        </w:rPr>
        <w:t> </w:t>
      </w:r>
      <w:r>
        <w:rPr>
          <w:color w:val="231F20"/>
          <w:spacing w:val="-4"/>
        </w:rPr>
        <w:t>mondiale</w:t>
      </w:r>
      <w:r>
        <w:rPr>
          <w:color w:val="231F20"/>
          <w:spacing w:val="-12"/>
        </w:rPr>
        <w:t> </w:t>
      </w:r>
      <w:r>
        <w:rPr>
          <w:color w:val="231F20"/>
          <w:spacing w:val="-4"/>
        </w:rPr>
        <w:t>toujours</w:t>
      </w:r>
      <w:r>
        <w:rPr>
          <w:color w:val="231F20"/>
          <w:spacing w:val="-13"/>
        </w:rPr>
        <w:t> </w:t>
      </w:r>
      <w:r>
        <w:rPr>
          <w:color w:val="231F20"/>
          <w:spacing w:val="-4"/>
        </w:rPr>
        <w:t>plus </w:t>
      </w:r>
      <w:r>
        <w:rPr>
          <w:color w:val="231F20"/>
        </w:rPr>
        <w:t>globalisée, Cuba a toujours plus de mal à </w:t>
      </w:r>
      <w:r>
        <w:rPr>
          <w:color w:val="231F20"/>
          <w:spacing w:val="-10"/>
        </w:rPr>
        <w:t>acquérir</w:t>
      </w:r>
      <w:r>
        <w:rPr>
          <w:color w:val="231F20"/>
          <w:spacing w:val="-6"/>
        </w:rPr>
        <w:t> </w:t>
      </w:r>
      <w:r>
        <w:rPr>
          <w:color w:val="231F20"/>
          <w:spacing w:val="-10"/>
        </w:rPr>
        <w:t>les</w:t>
      </w:r>
      <w:r>
        <w:rPr>
          <w:color w:val="231F20"/>
          <w:spacing w:val="-6"/>
        </w:rPr>
        <w:t> </w:t>
      </w:r>
      <w:r>
        <w:rPr>
          <w:color w:val="231F20"/>
          <w:spacing w:val="-10"/>
        </w:rPr>
        <w:t>biens</w:t>
      </w:r>
      <w:r>
        <w:rPr>
          <w:color w:val="231F20"/>
          <w:spacing w:val="-6"/>
        </w:rPr>
        <w:t> </w:t>
      </w:r>
      <w:r>
        <w:rPr>
          <w:color w:val="231F20"/>
          <w:spacing w:val="-10"/>
        </w:rPr>
        <w:t>dont</w:t>
      </w:r>
      <w:r>
        <w:rPr>
          <w:color w:val="231F20"/>
          <w:spacing w:val="-6"/>
        </w:rPr>
        <w:t> </w:t>
      </w:r>
      <w:r>
        <w:rPr>
          <w:color w:val="231F20"/>
          <w:spacing w:val="-10"/>
        </w:rPr>
        <w:t>elle</w:t>
      </w:r>
      <w:r>
        <w:rPr>
          <w:color w:val="231F20"/>
          <w:spacing w:val="-6"/>
        </w:rPr>
        <w:t> </w:t>
      </w:r>
      <w:r>
        <w:rPr>
          <w:color w:val="231F20"/>
          <w:spacing w:val="-10"/>
        </w:rPr>
        <w:t>a</w:t>
      </w:r>
      <w:r>
        <w:rPr>
          <w:color w:val="231F20"/>
          <w:spacing w:val="-6"/>
        </w:rPr>
        <w:t> </w:t>
      </w:r>
      <w:r>
        <w:rPr>
          <w:color w:val="231F20"/>
          <w:spacing w:val="-10"/>
        </w:rPr>
        <w:t>besoin</w:t>
      </w:r>
      <w:r>
        <w:rPr>
          <w:color w:val="231F20"/>
          <w:spacing w:val="-6"/>
        </w:rPr>
        <w:t> </w:t>
      </w:r>
      <w:r>
        <w:rPr>
          <w:color w:val="231F20"/>
          <w:spacing w:val="-10"/>
        </w:rPr>
        <w:t>pour</w:t>
      </w:r>
      <w:r>
        <w:rPr>
          <w:color w:val="231F20"/>
          <w:spacing w:val="-6"/>
        </w:rPr>
        <w:t> </w:t>
      </w:r>
      <w:r>
        <w:rPr>
          <w:color w:val="231F20"/>
          <w:spacing w:val="-10"/>
        </w:rPr>
        <w:t>son </w:t>
      </w:r>
      <w:r>
        <w:rPr>
          <w:color w:val="231F20"/>
        </w:rPr>
        <w:t>industrie,</w:t>
      </w:r>
      <w:r>
        <w:rPr>
          <w:color w:val="231F20"/>
          <w:spacing w:val="-8"/>
        </w:rPr>
        <w:t> </w:t>
      </w:r>
      <w:r>
        <w:rPr>
          <w:color w:val="231F20"/>
        </w:rPr>
        <w:t>ses</w:t>
      </w:r>
      <w:r>
        <w:rPr>
          <w:color w:val="231F20"/>
          <w:spacing w:val="-8"/>
        </w:rPr>
        <w:t> </w:t>
      </w:r>
      <w:r>
        <w:rPr>
          <w:color w:val="231F20"/>
        </w:rPr>
        <w:t>services</w:t>
      </w:r>
      <w:r>
        <w:rPr>
          <w:color w:val="231F20"/>
          <w:spacing w:val="-8"/>
        </w:rPr>
        <w:t> </w:t>
      </w:r>
      <w:r>
        <w:rPr>
          <w:color w:val="231F20"/>
        </w:rPr>
        <w:t>et</w:t>
      </w:r>
      <w:r>
        <w:rPr>
          <w:color w:val="231F20"/>
          <w:spacing w:val="-8"/>
        </w:rPr>
        <w:t> </w:t>
      </w:r>
      <w:r>
        <w:rPr>
          <w:color w:val="231F20"/>
        </w:rPr>
        <w:t>la</w:t>
      </w:r>
      <w:r>
        <w:rPr>
          <w:color w:val="231F20"/>
          <w:spacing w:val="-8"/>
        </w:rPr>
        <w:t> </w:t>
      </w:r>
      <w:r>
        <w:rPr>
          <w:color w:val="231F20"/>
        </w:rPr>
        <w:t>consommation de la population, indépendamment des </w:t>
      </w:r>
      <w:r>
        <w:rPr>
          <w:color w:val="231F20"/>
          <w:spacing w:val="-4"/>
        </w:rPr>
        <w:t>rapports</w:t>
      </w:r>
      <w:r>
        <w:rPr>
          <w:color w:val="231F20"/>
          <w:spacing w:val="-13"/>
        </w:rPr>
        <w:t> </w:t>
      </w:r>
      <w:r>
        <w:rPr>
          <w:color w:val="231F20"/>
          <w:spacing w:val="-4"/>
        </w:rPr>
        <w:t>politiques</w:t>
      </w:r>
      <w:r>
        <w:rPr>
          <w:color w:val="231F20"/>
          <w:spacing w:val="-12"/>
        </w:rPr>
        <w:t> </w:t>
      </w:r>
      <w:r>
        <w:rPr>
          <w:color w:val="231F20"/>
          <w:spacing w:val="-4"/>
        </w:rPr>
        <w:t>ou</w:t>
      </w:r>
      <w:r>
        <w:rPr>
          <w:color w:val="231F20"/>
          <w:spacing w:val="-13"/>
        </w:rPr>
        <w:t> </w:t>
      </w:r>
      <w:r>
        <w:rPr>
          <w:color w:val="231F20"/>
          <w:spacing w:val="-4"/>
        </w:rPr>
        <w:t>commerciaux</w:t>
      </w:r>
      <w:r>
        <w:rPr>
          <w:color w:val="231F20"/>
          <w:spacing w:val="-12"/>
        </w:rPr>
        <w:t> </w:t>
      </w:r>
      <w:r>
        <w:rPr>
          <w:color w:val="231F20"/>
          <w:spacing w:val="-4"/>
        </w:rPr>
        <w:t>qu’elle </w:t>
      </w:r>
      <w:r>
        <w:rPr>
          <w:color w:val="231F20"/>
        </w:rPr>
        <w:t>a</w:t>
      </w:r>
      <w:r>
        <w:rPr>
          <w:color w:val="231F20"/>
          <w:spacing w:val="-3"/>
        </w:rPr>
        <w:t> </w:t>
      </w:r>
      <w:r>
        <w:rPr>
          <w:color w:val="231F20"/>
        </w:rPr>
        <w:t>avec</w:t>
      </w:r>
      <w:r>
        <w:rPr>
          <w:color w:val="231F20"/>
          <w:spacing w:val="-3"/>
        </w:rPr>
        <w:t> </w:t>
      </w:r>
      <w:r>
        <w:rPr>
          <w:color w:val="231F20"/>
        </w:rPr>
        <w:t>le</w:t>
      </w:r>
      <w:r>
        <w:rPr>
          <w:color w:val="231F20"/>
          <w:spacing w:val="-3"/>
        </w:rPr>
        <w:t> </w:t>
      </w:r>
      <w:r>
        <w:rPr>
          <w:color w:val="231F20"/>
        </w:rPr>
        <w:t>marché</w:t>
      </w:r>
      <w:r>
        <w:rPr>
          <w:color w:val="231F20"/>
          <w:spacing w:val="-3"/>
        </w:rPr>
        <w:t> </w:t>
      </w:r>
      <w:r>
        <w:rPr>
          <w:color w:val="231F20"/>
        </w:rPr>
        <w:t>d’où</w:t>
      </w:r>
      <w:r>
        <w:rPr>
          <w:color w:val="231F20"/>
          <w:spacing w:val="-3"/>
        </w:rPr>
        <w:t> </w:t>
      </w:r>
      <w:r>
        <w:rPr>
          <w:color w:val="231F20"/>
        </w:rPr>
        <w:t>elle</w:t>
      </w:r>
      <w:r>
        <w:rPr>
          <w:color w:val="231F20"/>
          <w:spacing w:val="-3"/>
        </w:rPr>
        <w:t> </w:t>
      </w:r>
      <w:r>
        <w:rPr>
          <w:color w:val="231F20"/>
        </w:rPr>
        <w:t>importe.</w:t>
      </w:r>
    </w:p>
    <w:p>
      <w:pPr>
        <w:pStyle w:val="BodyText"/>
        <w:spacing w:before="165"/>
        <w:ind w:left="1474"/>
      </w:pPr>
      <w:r>
        <w:rPr>
          <w:color w:val="231F20"/>
        </w:rPr>
        <w:t>Notre commerce extérieur, en particulier nos</w:t>
      </w:r>
      <w:r>
        <w:rPr>
          <w:color w:val="231F20"/>
          <w:spacing w:val="-17"/>
        </w:rPr>
        <w:t> </w:t>
      </w:r>
      <w:r>
        <w:rPr>
          <w:color w:val="231F20"/>
        </w:rPr>
        <w:t>importations,</w:t>
      </w:r>
      <w:r>
        <w:rPr>
          <w:color w:val="231F20"/>
          <w:spacing w:val="-16"/>
        </w:rPr>
        <w:t> </w:t>
      </w:r>
      <w:r>
        <w:rPr>
          <w:color w:val="231F20"/>
        </w:rPr>
        <w:t>a</w:t>
      </w:r>
      <w:r>
        <w:rPr>
          <w:color w:val="231F20"/>
          <w:spacing w:val="-17"/>
        </w:rPr>
        <w:t> </w:t>
      </w:r>
      <w:r>
        <w:rPr>
          <w:color w:val="231F20"/>
        </w:rPr>
        <w:t>sensiblement</w:t>
      </w:r>
      <w:r>
        <w:rPr>
          <w:color w:val="231F20"/>
          <w:spacing w:val="-16"/>
        </w:rPr>
        <w:t> </w:t>
      </w:r>
      <w:r>
        <w:rPr>
          <w:color w:val="231F20"/>
        </w:rPr>
        <w:t>diminué, tandis</w:t>
      </w:r>
      <w:r>
        <w:rPr>
          <w:color w:val="231F20"/>
          <w:spacing w:val="-15"/>
        </w:rPr>
        <w:t> </w:t>
      </w:r>
      <w:r>
        <w:rPr>
          <w:color w:val="231F20"/>
        </w:rPr>
        <w:t>que</w:t>
      </w:r>
      <w:r>
        <w:rPr>
          <w:color w:val="231F20"/>
          <w:spacing w:val="-15"/>
        </w:rPr>
        <w:t> </w:t>
      </w:r>
      <w:r>
        <w:rPr>
          <w:color w:val="231F20"/>
        </w:rPr>
        <w:t>la</w:t>
      </w:r>
      <w:r>
        <w:rPr>
          <w:color w:val="231F20"/>
          <w:spacing w:val="-15"/>
        </w:rPr>
        <w:t> </w:t>
      </w:r>
      <w:r>
        <w:rPr>
          <w:color w:val="231F20"/>
        </w:rPr>
        <w:t>hausse</w:t>
      </w:r>
      <w:r>
        <w:rPr>
          <w:color w:val="231F20"/>
          <w:spacing w:val="-15"/>
        </w:rPr>
        <w:t> </w:t>
      </w:r>
      <w:r>
        <w:rPr>
          <w:color w:val="231F20"/>
        </w:rPr>
        <w:t>des</w:t>
      </w:r>
      <w:r>
        <w:rPr>
          <w:color w:val="231F20"/>
          <w:spacing w:val="-15"/>
        </w:rPr>
        <w:t> </w:t>
      </w:r>
      <w:r>
        <w:rPr>
          <w:color w:val="231F20"/>
        </w:rPr>
        <w:t>coûts</w:t>
      </w:r>
      <w:r>
        <w:rPr>
          <w:color w:val="231F20"/>
          <w:spacing w:val="-15"/>
        </w:rPr>
        <w:t> </w:t>
      </w:r>
      <w:r>
        <w:rPr>
          <w:color w:val="231F20"/>
        </w:rPr>
        <w:t>d’achat</w:t>
      </w:r>
      <w:r>
        <w:rPr>
          <w:color w:val="231F20"/>
          <w:spacing w:val="-15"/>
        </w:rPr>
        <w:t> </w:t>
      </w:r>
      <w:r>
        <w:rPr>
          <w:color w:val="231F20"/>
        </w:rPr>
        <w:t>des marchandises</w:t>
      </w:r>
      <w:r>
        <w:rPr>
          <w:color w:val="231F20"/>
          <w:spacing w:val="-12"/>
        </w:rPr>
        <w:t> </w:t>
      </w:r>
      <w:r>
        <w:rPr>
          <w:color w:val="231F20"/>
        </w:rPr>
        <w:t>a</w:t>
      </w:r>
      <w:r>
        <w:rPr>
          <w:color w:val="231F20"/>
          <w:spacing w:val="-12"/>
        </w:rPr>
        <w:t> </w:t>
      </w:r>
      <w:r>
        <w:rPr>
          <w:color w:val="231F20"/>
        </w:rPr>
        <w:t>entraîné</w:t>
      </w:r>
      <w:r>
        <w:rPr>
          <w:color w:val="231F20"/>
          <w:spacing w:val="-12"/>
        </w:rPr>
        <w:t> </w:t>
      </w:r>
      <w:r>
        <w:rPr>
          <w:color w:val="231F20"/>
        </w:rPr>
        <w:t>une</w:t>
      </w:r>
      <w:r>
        <w:rPr>
          <w:color w:val="231F20"/>
          <w:spacing w:val="-12"/>
        </w:rPr>
        <w:t> </w:t>
      </w:r>
      <w:r>
        <w:rPr>
          <w:color w:val="231F20"/>
        </w:rPr>
        <w:t>réduction</w:t>
      </w:r>
      <w:r>
        <w:rPr>
          <w:color w:val="231F20"/>
          <w:spacing w:val="-12"/>
        </w:rPr>
        <w:t> </w:t>
      </w:r>
      <w:r>
        <w:rPr>
          <w:color w:val="231F20"/>
        </w:rPr>
        <w:t>de financement</w:t>
      </w:r>
      <w:r>
        <w:rPr>
          <w:color w:val="231F20"/>
          <w:spacing w:val="-5"/>
        </w:rPr>
        <w:t> </w:t>
      </w:r>
      <w:r>
        <w:rPr>
          <w:color w:val="231F20"/>
        </w:rPr>
        <w:t>aux</w:t>
      </w:r>
      <w:r>
        <w:rPr>
          <w:color w:val="231F20"/>
          <w:spacing w:val="-5"/>
        </w:rPr>
        <w:t> </w:t>
      </w:r>
      <w:r>
        <w:rPr>
          <w:color w:val="231F20"/>
        </w:rPr>
        <w:t>plans</w:t>
      </w:r>
      <w:r>
        <w:rPr>
          <w:color w:val="231F20"/>
          <w:spacing w:val="-5"/>
        </w:rPr>
        <w:t> </w:t>
      </w:r>
      <w:r>
        <w:rPr>
          <w:color w:val="231F20"/>
        </w:rPr>
        <w:t>de</w:t>
      </w:r>
      <w:r>
        <w:rPr>
          <w:color w:val="231F20"/>
          <w:spacing w:val="-5"/>
        </w:rPr>
        <w:t> </w:t>
      </w:r>
      <w:r>
        <w:rPr>
          <w:color w:val="231F20"/>
        </w:rPr>
        <w:t>l’économie.</w:t>
      </w:r>
    </w:p>
    <w:p>
      <w:pPr>
        <w:pStyle w:val="BodyText"/>
        <w:spacing w:before="164"/>
        <w:ind w:left="1474" w:right="1"/>
      </w:pPr>
      <w:r>
        <w:rPr>
          <w:color w:val="231F20"/>
        </w:rPr>
        <w:t>L’inscription de Cuba sur la liste des États censément</w:t>
      </w:r>
      <w:r>
        <w:rPr>
          <w:color w:val="231F20"/>
          <w:spacing w:val="-6"/>
        </w:rPr>
        <w:t> </w:t>
      </w:r>
      <w:r>
        <w:rPr>
          <w:color w:val="231F20"/>
        </w:rPr>
        <w:t>commanditaires</w:t>
      </w:r>
      <w:r>
        <w:rPr>
          <w:color w:val="231F20"/>
          <w:spacing w:val="-6"/>
        </w:rPr>
        <w:t> </w:t>
      </w:r>
      <w:r>
        <w:rPr>
          <w:color w:val="231F20"/>
        </w:rPr>
        <w:t>de</w:t>
      </w:r>
      <w:r>
        <w:rPr>
          <w:color w:val="231F20"/>
          <w:spacing w:val="-6"/>
        </w:rPr>
        <w:t> </w:t>
      </w:r>
      <w:r>
        <w:rPr>
          <w:color w:val="231F20"/>
        </w:rPr>
        <w:t>terrorisme </w:t>
      </w:r>
      <w:r>
        <w:rPr>
          <w:color w:val="231F20"/>
          <w:spacing w:val="-4"/>
        </w:rPr>
        <w:t>a</w:t>
      </w:r>
      <w:r>
        <w:rPr>
          <w:color w:val="231F20"/>
          <w:spacing w:val="-13"/>
        </w:rPr>
        <w:t> </w:t>
      </w:r>
      <w:r>
        <w:rPr>
          <w:color w:val="231F20"/>
          <w:spacing w:val="-4"/>
        </w:rPr>
        <w:t>provoqué</w:t>
      </w:r>
      <w:r>
        <w:rPr>
          <w:color w:val="231F20"/>
          <w:spacing w:val="-12"/>
        </w:rPr>
        <w:t> </w:t>
      </w:r>
      <w:r>
        <w:rPr>
          <w:color w:val="231F20"/>
          <w:spacing w:val="-4"/>
        </w:rPr>
        <w:t>une</w:t>
      </w:r>
      <w:r>
        <w:rPr>
          <w:color w:val="231F20"/>
          <w:spacing w:val="-13"/>
        </w:rPr>
        <w:t> </w:t>
      </w:r>
      <w:r>
        <w:rPr>
          <w:color w:val="231F20"/>
          <w:spacing w:val="-4"/>
        </w:rPr>
        <w:t>hausse</w:t>
      </w:r>
      <w:r>
        <w:rPr>
          <w:color w:val="231F20"/>
          <w:spacing w:val="-12"/>
        </w:rPr>
        <w:t> </w:t>
      </w:r>
      <w:r>
        <w:rPr>
          <w:color w:val="231F20"/>
          <w:spacing w:val="-4"/>
        </w:rPr>
        <w:t>des</w:t>
      </w:r>
      <w:r>
        <w:rPr>
          <w:color w:val="231F20"/>
          <w:spacing w:val="-13"/>
        </w:rPr>
        <w:t> </w:t>
      </w:r>
      <w:r>
        <w:rPr>
          <w:color w:val="231F20"/>
          <w:spacing w:val="-4"/>
        </w:rPr>
        <w:t>prix</w:t>
      </w:r>
      <w:r>
        <w:rPr>
          <w:color w:val="231F20"/>
          <w:spacing w:val="-12"/>
        </w:rPr>
        <w:t> </w:t>
      </w:r>
      <w:r>
        <w:rPr>
          <w:color w:val="231F20"/>
          <w:spacing w:val="-4"/>
        </w:rPr>
        <w:t>des</w:t>
      </w:r>
      <w:r>
        <w:rPr>
          <w:color w:val="231F20"/>
          <w:spacing w:val="-13"/>
        </w:rPr>
        <w:t> </w:t>
      </w:r>
      <w:r>
        <w:rPr>
          <w:color w:val="231F20"/>
          <w:spacing w:val="-4"/>
        </w:rPr>
        <w:t>affaires </w:t>
      </w:r>
      <w:r>
        <w:rPr>
          <w:color w:val="231F20"/>
        </w:rPr>
        <w:t>à investissement étranger, l’annulation d’opérations commerciales, d’actions de </w:t>
      </w:r>
      <w:r>
        <w:rPr>
          <w:color w:val="231F20"/>
          <w:spacing w:val="-4"/>
        </w:rPr>
        <w:t>coopération</w:t>
      </w:r>
      <w:r>
        <w:rPr>
          <w:color w:val="231F20"/>
          <w:spacing w:val="-13"/>
        </w:rPr>
        <w:t> </w:t>
      </w:r>
      <w:r>
        <w:rPr>
          <w:color w:val="231F20"/>
          <w:spacing w:val="-4"/>
        </w:rPr>
        <w:t>et</w:t>
      </w:r>
      <w:r>
        <w:rPr>
          <w:color w:val="231F20"/>
          <w:spacing w:val="-12"/>
        </w:rPr>
        <w:t> </w:t>
      </w:r>
      <w:r>
        <w:rPr>
          <w:color w:val="231F20"/>
          <w:spacing w:val="-4"/>
        </w:rPr>
        <w:t>de</w:t>
      </w:r>
      <w:r>
        <w:rPr>
          <w:color w:val="231F20"/>
          <w:spacing w:val="-13"/>
        </w:rPr>
        <w:t> </w:t>
      </w:r>
      <w:r>
        <w:rPr>
          <w:color w:val="231F20"/>
          <w:spacing w:val="-4"/>
        </w:rPr>
        <w:t>projets</w:t>
      </w:r>
      <w:r>
        <w:rPr>
          <w:color w:val="231F20"/>
          <w:spacing w:val="-12"/>
        </w:rPr>
        <w:t> </w:t>
      </w:r>
      <w:r>
        <w:rPr>
          <w:color w:val="231F20"/>
          <w:spacing w:val="-4"/>
        </w:rPr>
        <w:t>d’investissements </w:t>
      </w:r>
      <w:r>
        <w:rPr>
          <w:color w:val="231F20"/>
        </w:rPr>
        <w:t>à différents niveaux de développement,</w:t>
      </w:r>
      <w:r>
        <w:rPr>
          <w:color w:val="231F20"/>
          <w:spacing w:val="40"/>
        </w:rPr>
        <w:t> </w:t>
      </w:r>
      <w:r>
        <w:rPr>
          <w:color w:val="231F20"/>
        </w:rPr>
        <w:t>et incité des institutions bancaires et financières</w:t>
      </w:r>
      <w:r>
        <w:rPr>
          <w:color w:val="231F20"/>
          <w:spacing w:val="1"/>
        </w:rPr>
        <w:t> </w:t>
      </w:r>
      <w:r>
        <w:rPr>
          <w:color w:val="231F20"/>
        </w:rPr>
        <w:t>à</w:t>
      </w:r>
      <w:r>
        <w:rPr>
          <w:color w:val="231F20"/>
          <w:spacing w:val="2"/>
        </w:rPr>
        <w:t> </w:t>
      </w:r>
      <w:r>
        <w:rPr>
          <w:color w:val="231F20"/>
        </w:rPr>
        <w:t>refuser</w:t>
      </w:r>
      <w:r>
        <w:rPr>
          <w:color w:val="231F20"/>
          <w:spacing w:val="1"/>
        </w:rPr>
        <w:t> </w:t>
      </w:r>
      <w:r>
        <w:rPr>
          <w:color w:val="231F20"/>
        </w:rPr>
        <w:t>de</w:t>
      </w:r>
      <w:r>
        <w:rPr>
          <w:color w:val="231F20"/>
          <w:spacing w:val="2"/>
        </w:rPr>
        <w:t> </w:t>
      </w:r>
      <w:r>
        <w:rPr>
          <w:color w:val="231F20"/>
        </w:rPr>
        <w:t>travailler</w:t>
      </w:r>
      <w:r>
        <w:rPr>
          <w:color w:val="231F20"/>
          <w:spacing w:val="2"/>
        </w:rPr>
        <w:t> </w:t>
      </w:r>
      <w:r>
        <w:rPr>
          <w:color w:val="231F20"/>
        </w:rPr>
        <w:t>avec</w:t>
      </w:r>
      <w:r>
        <w:rPr>
          <w:color w:val="231F20"/>
          <w:spacing w:val="1"/>
        </w:rPr>
        <w:t> </w:t>
      </w:r>
      <w:r>
        <w:rPr>
          <w:color w:val="231F20"/>
          <w:spacing w:val="-5"/>
        </w:rPr>
        <w:t>des</w:t>
      </w:r>
    </w:p>
    <w:p>
      <w:pPr>
        <w:pStyle w:val="BodyText"/>
        <w:spacing w:before="100"/>
        <w:ind w:left="413" w:right="1135"/>
      </w:pPr>
      <w:r>
        <w:rPr/>
        <w:br w:type="column"/>
      </w:r>
      <w:r>
        <w:rPr>
          <w:color w:val="231F20"/>
        </w:rPr>
        <w:t>entités cubaines par peur des représailles de l’administration étasunienne.</w:t>
      </w:r>
    </w:p>
    <w:p>
      <w:pPr>
        <w:pStyle w:val="BodyText"/>
        <w:spacing w:before="162"/>
        <w:ind w:left="413" w:right="1135"/>
      </w:pPr>
      <w:r>
        <w:rPr>
          <w:color w:val="231F20"/>
        </w:rPr>
        <w:t>À</w:t>
      </w:r>
      <w:r>
        <w:rPr>
          <w:color w:val="231F20"/>
          <w:spacing w:val="-8"/>
        </w:rPr>
        <w:t> </w:t>
      </w:r>
      <w:r>
        <w:rPr>
          <w:color w:val="231F20"/>
        </w:rPr>
        <w:t>l’instar</w:t>
      </w:r>
      <w:r>
        <w:rPr>
          <w:color w:val="231F20"/>
          <w:spacing w:val="-8"/>
        </w:rPr>
        <w:t> </w:t>
      </w:r>
      <w:r>
        <w:rPr>
          <w:color w:val="231F20"/>
        </w:rPr>
        <w:t>des</w:t>
      </w:r>
      <w:r>
        <w:rPr>
          <w:color w:val="231F20"/>
          <w:spacing w:val="-8"/>
        </w:rPr>
        <w:t> </w:t>
      </w:r>
      <w:r>
        <w:rPr>
          <w:color w:val="231F20"/>
        </w:rPr>
        <w:t>années</w:t>
      </w:r>
      <w:r>
        <w:rPr>
          <w:color w:val="231F20"/>
          <w:spacing w:val="-8"/>
        </w:rPr>
        <w:t> </w:t>
      </w:r>
      <w:r>
        <w:rPr>
          <w:color w:val="231F20"/>
        </w:rPr>
        <w:t>précédentes,</w:t>
      </w:r>
      <w:r>
        <w:rPr>
          <w:color w:val="231F20"/>
          <w:spacing w:val="-8"/>
        </w:rPr>
        <w:t> </w:t>
      </w:r>
      <w:r>
        <w:rPr>
          <w:color w:val="231F20"/>
        </w:rPr>
        <w:t>les</w:t>
      </w:r>
      <w:r>
        <w:rPr>
          <w:color w:val="231F20"/>
          <w:spacing w:val="-8"/>
        </w:rPr>
        <w:t> </w:t>
      </w:r>
      <w:r>
        <w:rPr>
          <w:color w:val="231F20"/>
        </w:rPr>
        <w:t>plus gros préjudices sont le manque à gagner </w:t>
      </w:r>
      <w:r>
        <w:rPr>
          <w:color w:val="231F20"/>
          <w:spacing w:val="-8"/>
        </w:rPr>
        <w:t>pour des exportations non réalisées de biens </w:t>
      </w:r>
      <w:r>
        <w:rPr>
          <w:color w:val="231F20"/>
        </w:rPr>
        <w:t>et</w:t>
      </w:r>
      <w:r>
        <w:rPr>
          <w:color w:val="231F20"/>
          <w:spacing w:val="-7"/>
        </w:rPr>
        <w:t> </w:t>
      </w:r>
      <w:r>
        <w:rPr>
          <w:color w:val="231F20"/>
        </w:rPr>
        <w:t>services,</w:t>
      </w:r>
      <w:r>
        <w:rPr>
          <w:color w:val="231F20"/>
          <w:spacing w:val="-7"/>
        </w:rPr>
        <w:t> </w:t>
      </w:r>
      <w:r>
        <w:rPr>
          <w:color w:val="231F20"/>
        </w:rPr>
        <w:t>à</w:t>
      </w:r>
      <w:r>
        <w:rPr>
          <w:color w:val="231F20"/>
          <w:spacing w:val="-7"/>
        </w:rPr>
        <w:t> </w:t>
      </w:r>
      <w:r>
        <w:rPr>
          <w:color w:val="231F20"/>
        </w:rPr>
        <w:t>hauteur</w:t>
      </w:r>
      <w:r>
        <w:rPr>
          <w:color w:val="231F20"/>
          <w:spacing w:val="-7"/>
        </w:rPr>
        <w:t> </w:t>
      </w:r>
      <w:r>
        <w:rPr>
          <w:color w:val="231F20"/>
        </w:rPr>
        <w:t>de</w:t>
      </w:r>
      <w:r>
        <w:rPr>
          <w:color w:val="231F20"/>
          <w:spacing w:val="-7"/>
        </w:rPr>
        <w:t> </w:t>
      </w:r>
      <w:r>
        <w:rPr>
          <w:color w:val="231F20"/>
        </w:rPr>
        <w:t>1</w:t>
      </w:r>
      <w:r>
        <w:rPr>
          <w:color w:val="231F20"/>
          <w:spacing w:val="-7"/>
        </w:rPr>
        <w:t> </w:t>
      </w:r>
      <w:r>
        <w:rPr>
          <w:color w:val="231F20"/>
        </w:rPr>
        <w:t>808</w:t>
      </w:r>
      <w:r>
        <w:rPr>
          <w:color w:val="231F20"/>
          <w:spacing w:val="-7"/>
        </w:rPr>
        <w:t> </w:t>
      </w:r>
      <w:r>
        <w:rPr>
          <w:color w:val="231F20"/>
        </w:rPr>
        <w:t>000</w:t>
      </w:r>
      <w:r>
        <w:rPr>
          <w:color w:val="231F20"/>
          <w:spacing w:val="-7"/>
        </w:rPr>
        <w:t> </w:t>
      </w:r>
      <w:r>
        <w:rPr>
          <w:color w:val="231F20"/>
        </w:rPr>
        <w:t>000</w:t>
      </w:r>
      <w:r>
        <w:rPr>
          <w:color w:val="231F20"/>
          <w:spacing w:val="-7"/>
        </w:rPr>
        <w:t> </w:t>
      </w:r>
      <w:r>
        <w:rPr>
          <w:color w:val="231F20"/>
        </w:rPr>
        <w:t>de </w:t>
      </w:r>
      <w:r>
        <w:rPr>
          <w:color w:val="231F20"/>
          <w:spacing w:val="-4"/>
        </w:rPr>
        <w:t>dollars,</w:t>
      </w:r>
      <w:r>
        <w:rPr>
          <w:color w:val="231F20"/>
          <w:spacing w:val="-13"/>
        </w:rPr>
        <w:t> </w:t>
      </w:r>
      <w:r>
        <w:rPr>
          <w:color w:val="231F20"/>
          <w:spacing w:val="-4"/>
        </w:rPr>
        <w:t>le</w:t>
      </w:r>
      <w:r>
        <w:rPr>
          <w:color w:val="231F20"/>
          <w:spacing w:val="-12"/>
        </w:rPr>
        <w:t> </w:t>
      </w:r>
      <w:r>
        <w:rPr>
          <w:color w:val="231F20"/>
          <w:spacing w:val="-4"/>
        </w:rPr>
        <w:t>tourisme</w:t>
      </w:r>
      <w:r>
        <w:rPr>
          <w:color w:val="231F20"/>
          <w:spacing w:val="-13"/>
        </w:rPr>
        <w:t> </w:t>
      </w:r>
      <w:r>
        <w:rPr>
          <w:color w:val="231F20"/>
          <w:spacing w:val="-4"/>
        </w:rPr>
        <w:t>continuant</w:t>
      </w:r>
      <w:r>
        <w:rPr>
          <w:color w:val="231F20"/>
          <w:spacing w:val="-12"/>
        </w:rPr>
        <w:t> </w:t>
      </w:r>
      <w:r>
        <w:rPr>
          <w:color w:val="231F20"/>
          <w:spacing w:val="-4"/>
        </w:rPr>
        <w:t>d’être</w:t>
      </w:r>
      <w:r>
        <w:rPr>
          <w:color w:val="231F20"/>
          <w:spacing w:val="-13"/>
        </w:rPr>
        <w:t> </w:t>
      </w:r>
      <w:r>
        <w:rPr>
          <w:color w:val="231F20"/>
          <w:spacing w:val="-4"/>
        </w:rPr>
        <w:t>le</w:t>
      </w:r>
      <w:r>
        <w:rPr>
          <w:color w:val="231F20"/>
          <w:spacing w:val="-12"/>
        </w:rPr>
        <w:t> </w:t>
      </w:r>
      <w:r>
        <w:rPr>
          <w:color w:val="231F20"/>
          <w:spacing w:val="-4"/>
        </w:rPr>
        <w:t>plus </w:t>
      </w:r>
      <w:r>
        <w:rPr>
          <w:color w:val="231F20"/>
        </w:rPr>
        <w:t>touché,</w:t>
      </w:r>
      <w:r>
        <w:rPr>
          <w:color w:val="231F20"/>
          <w:spacing w:val="-17"/>
        </w:rPr>
        <w:t> </w:t>
      </w:r>
      <w:r>
        <w:rPr>
          <w:color w:val="231F20"/>
        </w:rPr>
        <w:t>soit</w:t>
      </w:r>
      <w:r>
        <w:rPr>
          <w:color w:val="231F20"/>
          <w:spacing w:val="-16"/>
        </w:rPr>
        <w:t> </w:t>
      </w:r>
      <w:r>
        <w:rPr>
          <w:color w:val="231F20"/>
        </w:rPr>
        <w:t>environ</w:t>
      </w:r>
      <w:r>
        <w:rPr>
          <w:color w:val="231F20"/>
          <w:spacing w:val="-17"/>
        </w:rPr>
        <w:t> </w:t>
      </w:r>
      <w:r>
        <w:rPr>
          <w:color w:val="231F20"/>
        </w:rPr>
        <w:t>58,5</w:t>
      </w:r>
      <w:r>
        <w:rPr>
          <w:color w:val="231F20"/>
          <w:spacing w:val="-16"/>
        </w:rPr>
        <w:t> </w:t>
      </w:r>
      <w:r>
        <w:rPr>
          <w:color w:val="231F20"/>
        </w:rPr>
        <w:t>p.</w:t>
      </w:r>
      <w:r>
        <w:rPr>
          <w:color w:val="231F20"/>
          <w:spacing w:val="-17"/>
        </w:rPr>
        <w:t> </w:t>
      </w:r>
      <w:r>
        <w:rPr>
          <w:color w:val="231F20"/>
        </w:rPr>
        <w:t>100</w:t>
      </w:r>
      <w:r>
        <w:rPr>
          <w:color w:val="231F20"/>
          <w:spacing w:val="-16"/>
        </w:rPr>
        <w:t> </w:t>
      </w:r>
      <w:r>
        <w:rPr>
          <w:color w:val="231F20"/>
        </w:rPr>
        <w:t>de</w:t>
      </w:r>
      <w:r>
        <w:rPr>
          <w:color w:val="231F20"/>
          <w:spacing w:val="-17"/>
        </w:rPr>
        <w:t> </w:t>
      </w:r>
      <w:r>
        <w:rPr>
          <w:color w:val="231F20"/>
        </w:rPr>
        <w:t>ce</w:t>
      </w:r>
      <w:r>
        <w:rPr>
          <w:color w:val="231F20"/>
          <w:spacing w:val="-16"/>
        </w:rPr>
        <w:t> </w:t>
      </w:r>
      <w:r>
        <w:rPr>
          <w:color w:val="231F20"/>
        </w:rPr>
        <w:t>total.</w:t>
      </w:r>
    </w:p>
    <w:p>
      <w:pPr>
        <w:pStyle w:val="BodyText"/>
        <w:spacing w:before="164"/>
        <w:ind w:left="413" w:right="1131"/>
      </w:pPr>
      <w:r>
        <w:rPr>
          <w:color w:val="231F20"/>
          <w:spacing w:val="-6"/>
        </w:rPr>
        <w:t>Faute</w:t>
      </w:r>
      <w:r>
        <w:rPr>
          <w:color w:val="231F20"/>
          <w:spacing w:val="-8"/>
        </w:rPr>
        <w:t> </w:t>
      </w:r>
      <w:r>
        <w:rPr>
          <w:color w:val="231F20"/>
          <w:spacing w:val="-6"/>
        </w:rPr>
        <w:t>de</w:t>
      </w:r>
      <w:r>
        <w:rPr>
          <w:color w:val="231F20"/>
          <w:spacing w:val="-8"/>
        </w:rPr>
        <w:t> </w:t>
      </w:r>
      <w:r>
        <w:rPr>
          <w:color w:val="231F20"/>
          <w:spacing w:val="-6"/>
        </w:rPr>
        <w:t>pouvoir</w:t>
      </w:r>
      <w:r>
        <w:rPr>
          <w:color w:val="231F20"/>
          <w:spacing w:val="-8"/>
        </w:rPr>
        <w:t> </w:t>
      </w:r>
      <w:r>
        <w:rPr>
          <w:color w:val="231F20"/>
          <w:spacing w:val="-6"/>
        </w:rPr>
        <w:t>exporter</w:t>
      </w:r>
      <w:r>
        <w:rPr>
          <w:color w:val="231F20"/>
          <w:spacing w:val="-8"/>
        </w:rPr>
        <w:t> </w:t>
      </w:r>
      <w:r>
        <w:rPr>
          <w:color w:val="231F20"/>
          <w:spacing w:val="-6"/>
        </w:rPr>
        <w:t>aux</w:t>
      </w:r>
      <w:r>
        <w:rPr>
          <w:color w:val="231F20"/>
          <w:spacing w:val="-8"/>
        </w:rPr>
        <w:t> </w:t>
      </w:r>
      <w:r>
        <w:rPr>
          <w:color w:val="231F20"/>
          <w:spacing w:val="-6"/>
        </w:rPr>
        <w:t>États-Unis</w:t>
      </w:r>
      <w:r>
        <w:rPr>
          <w:color w:val="231F20"/>
          <w:spacing w:val="-8"/>
        </w:rPr>
        <w:t> </w:t>
      </w:r>
      <w:r>
        <w:rPr>
          <w:color w:val="231F20"/>
          <w:spacing w:val="-6"/>
        </w:rPr>
        <w:t>du </w:t>
      </w:r>
      <w:r>
        <w:rPr>
          <w:color w:val="231F20"/>
          <w:spacing w:val="-4"/>
        </w:rPr>
        <w:t>tabac,</w:t>
      </w:r>
      <w:r>
        <w:rPr>
          <w:color w:val="231F20"/>
          <w:spacing w:val="-13"/>
        </w:rPr>
        <w:t> </w:t>
      </w:r>
      <w:r>
        <w:rPr>
          <w:color w:val="231F20"/>
          <w:spacing w:val="-4"/>
        </w:rPr>
        <w:t>du</w:t>
      </w:r>
      <w:r>
        <w:rPr>
          <w:color w:val="231F20"/>
          <w:spacing w:val="-12"/>
        </w:rPr>
        <w:t> </w:t>
      </w:r>
      <w:r>
        <w:rPr>
          <w:color w:val="231F20"/>
          <w:spacing w:val="-4"/>
        </w:rPr>
        <w:t>charbon</w:t>
      </w:r>
      <w:r>
        <w:rPr>
          <w:color w:val="231F20"/>
          <w:spacing w:val="-13"/>
        </w:rPr>
        <w:t> </w:t>
      </w:r>
      <w:r>
        <w:rPr>
          <w:color w:val="231F20"/>
          <w:spacing w:val="-4"/>
        </w:rPr>
        <w:t>végétal,</w:t>
      </w:r>
      <w:r>
        <w:rPr>
          <w:color w:val="231F20"/>
          <w:spacing w:val="-12"/>
        </w:rPr>
        <w:t> </w:t>
      </w:r>
      <w:r>
        <w:rPr>
          <w:color w:val="231F20"/>
          <w:spacing w:val="-4"/>
        </w:rPr>
        <w:t>des</w:t>
      </w:r>
      <w:r>
        <w:rPr>
          <w:color w:val="231F20"/>
          <w:spacing w:val="-13"/>
        </w:rPr>
        <w:t> </w:t>
      </w:r>
      <w:r>
        <w:rPr>
          <w:color w:val="231F20"/>
          <w:spacing w:val="-4"/>
        </w:rPr>
        <w:t>fruits</w:t>
      </w:r>
      <w:r>
        <w:rPr>
          <w:color w:val="231F20"/>
          <w:spacing w:val="-12"/>
        </w:rPr>
        <w:t> </w:t>
      </w:r>
      <w:r>
        <w:rPr>
          <w:color w:val="231F20"/>
          <w:spacing w:val="-4"/>
        </w:rPr>
        <w:t>sélects, </w:t>
      </w:r>
      <w:r>
        <w:rPr>
          <w:color w:val="231F20"/>
          <w:spacing w:val="-6"/>
        </w:rPr>
        <w:t>du</w:t>
      </w:r>
      <w:r>
        <w:rPr>
          <w:color w:val="231F20"/>
          <w:spacing w:val="-11"/>
        </w:rPr>
        <w:t> </w:t>
      </w:r>
      <w:r>
        <w:rPr>
          <w:color w:val="231F20"/>
          <w:spacing w:val="-6"/>
        </w:rPr>
        <w:t>miel,</w:t>
      </w:r>
      <w:r>
        <w:rPr>
          <w:color w:val="231F20"/>
          <w:spacing w:val="-10"/>
        </w:rPr>
        <w:t> </w:t>
      </w:r>
      <w:r>
        <w:rPr>
          <w:color w:val="231F20"/>
          <w:spacing w:val="-6"/>
        </w:rPr>
        <w:t>des</w:t>
      </w:r>
      <w:r>
        <w:rPr>
          <w:color w:val="231F20"/>
          <w:spacing w:val="-11"/>
        </w:rPr>
        <w:t> </w:t>
      </w:r>
      <w:r>
        <w:rPr>
          <w:color w:val="231F20"/>
          <w:spacing w:val="-6"/>
        </w:rPr>
        <w:t>piments,</w:t>
      </w:r>
      <w:r>
        <w:rPr>
          <w:color w:val="231F20"/>
          <w:spacing w:val="-10"/>
        </w:rPr>
        <w:t> </w:t>
      </w:r>
      <w:r>
        <w:rPr>
          <w:color w:val="231F20"/>
          <w:spacing w:val="-6"/>
        </w:rPr>
        <w:t>entre</w:t>
      </w:r>
      <w:r>
        <w:rPr>
          <w:color w:val="231F20"/>
          <w:spacing w:val="-11"/>
        </w:rPr>
        <w:t> </w:t>
      </w:r>
      <w:r>
        <w:rPr>
          <w:color w:val="231F20"/>
          <w:spacing w:val="-6"/>
        </w:rPr>
        <w:t>autres,</w:t>
      </w:r>
      <w:r>
        <w:rPr>
          <w:color w:val="231F20"/>
          <w:spacing w:val="-10"/>
        </w:rPr>
        <w:t> </w:t>
      </w:r>
      <w:r>
        <w:rPr>
          <w:color w:val="231F20"/>
          <w:spacing w:val="-6"/>
        </w:rPr>
        <w:t>le</w:t>
      </w:r>
      <w:r>
        <w:rPr>
          <w:color w:val="231F20"/>
          <w:spacing w:val="-11"/>
        </w:rPr>
        <w:t> </w:t>
      </w:r>
      <w:r>
        <w:rPr>
          <w:color w:val="231F20"/>
          <w:spacing w:val="-6"/>
        </w:rPr>
        <w:t>secteur </w:t>
      </w:r>
      <w:r>
        <w:rPr>
          <w:color w:val="231F20"/>
        </w:rPr>
        <w:t>agricole cubain enregistre un manque à </w:t>
      </w:r>
      <w:r>
        <w:rPr>
          <w:color w:val="231F20"/>
          <w:spacing w:val="-4"/>
        </w:rPr>
        <w:t>gagner</w:t>
      </w:r>
      <w:r>
        <w:rPr>
          <w:color w:val="231F20"/>
          <w:spacing w:val="-11"/>
        </w:rPr>
        <w:t> </w:t>
      </w:r>
      <w:r>
        <w:rPr>
          <w:color w:val="231F20"/>
          <w:spacing w:val="-4"/>
        </w:rPr>
        <w:t>de</w:t>
      </w:r>
      <w:r>
        <w:rPr>
          <w:color w:val="231F20"/>
          <w:spacing w:val="-11"/>
        </w:rPr>
        <w:t> </w:t>
      </w:r>
      <w:r>
        <w:rPr>
          <w:color w:val="231F20"/>
          <w:spacing w:val="-4"/>
        </w:rPr>
        <w:t>248</w:t>
      </w:r>
      <w:r>
        <w:rPr>
          <w:color w:val="231F20"/>
          <w:spacing w:val="-11"/>
        </w:rPr>
        <w:t> </w:t>
      </w:r>
      <w:r>
        <w:rPr>
          <w:color w:val="231F20"/>
          <w:spacing w:val="-4"/>
        </w:rPr>
        <w:t>900</w:t>
      </w:r>
      <w:r>
        <w:rPr>
          <w:color w:val="231F20"/>
          <w:spacing w:val="-11"/>
        </w:rPr>
        <w:t> </w:t>
      </w:r>
      <w:r>
        <w:rPr>
          <w:color w:val="231F20"/>
          <w:spacing w:val="-4"/>
        </w:rPr>
        <w:t>000</w:t>
      </w:r>
      <w:r>
        <w:rPr>
          <w:color w:val="231F20"/>
          <w:spacing w:val="-11"/>
        </w:rPr>
        <w:t> </w:t>
      </w:r>
      <w:r>
        <w:rPr>
          <w:color w:val="231F20"/>
          <w:spacing w:val="-4"/>
        </w:rPr>
        <w:t>dollars,</w:t>
      </w:r>
      <w:r>
        <w:rPr>
          <w:color w:val="231F20"/>
          <w:spacing w:val="-11"/>
        </w:rPr>
        <w:t> </w:t>
      </w:r>
      <w:r>
        <w:rPr>
          <w:color w:val="231F20"/>
          <w:spacing w:val="-4"/>
        </w:rPr>
        <w:t>soit</w:t>
      </w:r>
      <w:r>
        <w:rPr>
          <w:color w:val="231F20"/>
          <w:spacing w:val="-11"/>
        </w:rPr>
        <w:t> </w:t>
      </w:r>
      <w:r>
        <w:rPr>
          <w:color w:val="231F20"/>
          <w:spacing w:val="-4"/>
        </w:rPr>
        <w:t>8</w:t>
      </w:r>
      <w:r>
        <w:rPr>
          <w:color w:val="231F20"/>
          <w:spacing w:val="-11"/>
        </w:rPr>
        <w:t> </w:t>
      </w:r>
      <w:r>
        <w:rPr>
          <w:color w:val="231F20"/>
          <w:spacing w:val="-4"/>
        </w:rPr>
        <w:t>p.</w:t>
      </w:r>
      <w:r>
        <w:rPr>
          <w:color w:val="231F20"/>
          <w:spacing w:val="-11"/>
        </w:rPr>
        <w:t> </w:t>
      </w:r>
      <w:r>
        <w:rPr>
          <w:color w:val="231F20"/>
          <w:spacing w:val="-4"/>
        </w:rPr>
        <w:t>100 de</w:t>
      </w:r>
      <w:r>
        <w:rPr>
          <w:color w:val="231F20"/>
          <w:spacing w:val="-9"/>
        </w:rPr>
        <w:t> </w:t>
      </w:r>
      <w:r>
        <w:rPr>
          <w:color w:val="231F20"/>
          <w:spacing w:val="-4"/>
        </w:rPr>
        <w:t>plus</w:t>
      </w:r>
      <w:r>
        <w:rPr>
          <w:color w:val="231F20"/>
          <w:spacing w:val="-8"/>
        </w:rPr>
        <w:t> </w:t>
      </w:r>
      <w:r>
        <w:rPr>
          <w:color w:val="231F20"/>
          <w:spacing w:val="-4"/>
        </w:rPr>
        <w:t>que</w:t>
      </w:r>
      <w:r>
        <w:rPr>
          <w:color w:val="231F20"/>
          <w:spacing w:val="-9"/>
        </w:rPr>
        <w:t> </w:t>
      </w:r>
      <w:r>
        <w:rPr>
          <w:color w:val="231F20"/>
          <w:spacing w:val="-4"/>
        </w:rPr>
        <w:t>le</w:t>
      </w:r>
      <w:r>
        <w:rPr>
          <w:color w:val="231F20"/>
          <w:spacing w:val="-8"/>
        </w:rPr>
        <w:t> </w:t>
      </w:r>
      <w:r>
        <w:rPr>
          <w:color w:val="231F20"/>
          <w:spacing w:val="-4"/>
        </w:rPr>
        <w:t>chiffre</w:t>
      </w:r>
      <w:r>
        <w:rPr>
          <w:color w:val="231F20"/>
          <w:spacing w:val="-9"/>
        </w:rPr>
        <w:t> </w:t>
      </w:r>
      <w:r>
        <w:rPr>
          <w:color w:val="231F20"/>
          <w:spacing w:val="-4"/>
        </w:rPr>
        <w:t>du</w:t>
      </w:r>
      <w:r>
        <w:rPr>
          <w:color w:val="231F20"/>
          <w:spacing w:val="-8"/>
        </w:rPr>
        <w:t> </w:t>
      </w:r>
      <w:r>
        <w:rPr>
          <w:color w:val="231F20"/>
          <w:spacing w:val="-4"/>
        </w:rPr>
        <w:t>rapport</w:t>
      </w:r>
      <w:r>
        <w:rPr>
          <w:color w:val="231F20"/>
          <w:spacing w:val="-9"/>
        </w:rPr>
        <w:t> </w:t>
      </w:r>
      <w:r>
        <w:rPr>
          <w:color w:val="231F20"/>
          <w:spacing w:val="-4"/>
        </w:rPr>
        <w:t>précédent.</w:t>
      </w:r>
    </w:p>
    <w:p>
      <w:pPr>
        <w:pStyle w:val="BodyText"/>
        <w:spacing w:before="165"/>
        <w:ind w:left="413" w:right="1137"/>
      </w:pPr>
      <w:r>
        <w:rPr>
          <w:color w:val="231F20"/>
        </w:rPr>
        <w:t>Le marché étasunien de café moulu et en </w:t>
      </w:r>
      <w:r>
        <w:rPr>
          <w:color w:val="231F20"/>
          <w:spacing w:val="-8"/>
        </w:rPr>
        <w:t>grains fait partie des cinq les plus importants </w:t>
      </w:r>
      <w:r>
        <w:rPr>
          <w:color w:val="231F20"/>
        </w:rPr>
        <w:t>au</w:t>
      </w:r>
      <w:r>
        <w:rPr>
          <w:color w:val="231F20"/>
          <w:spacing w:val="-16"/>
        </w:rPr>
        <w:t> </w:t>
      </w:r>
      <w:r>
        <w:rPr>
          <w:color w:val="231F20"/>
        </w:rPr>
        <w:t>monde,</w:t>
      </w:r>
      <w:r>
        <w:rPr>
          <w:color w:val="231F20"/>
          <w:spacing w:val="-16"/>
        </w:rPr>
        <w:t> </w:t>
      </w:r>
      <w:r>
        <w:rPr>
          <w:color w:val="231F20"/>
        </w:rPr>
        <w:t>et</w:t>
      </w:r>
      <w:r>
        <w:rPr>
          <w:color w:val="231F20"/>
          <w:spacing w:val="-16"/>
        </w:rPr>
        <w:t> </w:t>
      </w:r>
      <w:r>
        <w:rPr>
          <w:color w:val="231F20"/>
        </w:rPr>
        <w:t>le</w:t>
      </w:r>
      <w:r>
        <w:rPr>
          <w:color w:val="231F20"/>
          <w:spacing w:val="-16"/>
        </w:rPr>
        <w:t> </w:t>
      </w:r>
      <w:r>
        <w:rPr>
          <w:color w:val="231F20"/>
        </w:rPr>
        <w:t>café</w:t>
      </w:r>
      <w:r>
        <w:rPr>
          <w:color w:val="231F20"/>
          <w:spacing w:val="-16"/>
        </w:rPr>
        <w:t> </w:t>
      </w:r>
      <w:r>
        <w:rPr>
          <w:color w:val="231F20"/>
        </w:rPr>
        <w:t>cubain,</w:t>
      </w:r>
      <w:r>
        <w:rPr>
          <w:color w:val="231F20"/>
          <w:spacing w:val="-16"/>
        </w:rPr>
        <w:t> </w:t>
      </w:r>
      <w:r>
        <w:rPr>
          <w:color w:val="231F20"/>
        </w:rPr>
        <w:t>par</w:t>
      </w:r>
      <w:r>
        <w:rPr>
          <w:color w:val="231F20"/>
          <w:spacing w:val="-16"/>
        </w:rPr>
        <w:t> </w:t>
      </w:r>
      <w:r>
        <w:rPr>
          <w:color w:val="231F20"/>
        </w:rPr>
        <w:t>sa</w:t>
      </w:r>
      <w:r>
        <w:rPr>
          <w:color w:val="231F20"/>
          <w:spacing w:val="-16"/>
        </w:rPr>
        <w:t> </w:t>
      </w:r>
      <w:r>
        <w:rPr>
          <w:color w:val="231F20"/>
        </w:rPr>
        <w:t>qualité, pourrait couvrir une partie de cette </w:t>
      </w:r>
      <w:r>
        <w:rPr>
          <w:color w:val="231F20"/>
          <w:spacing w:val="-2"/>
        </w:rPr>
        <w:t>demande,</w:t>
      </w:r>
      <w:r>
        <w:rPr>
          <w:color w:val="231F20"/>
          <w:spacing w:val="-15"/>
        </w:rPr>
        <w:t> </w:t>
      </w:r>
      <w:r>
        <w:rPr>
          <w:color w:val="231F20"/>
          <w:spacing w:val="-2"/>
        </w:rPr>
        <w:t>mais</w:t>
      </w:r>
      <w:r>
        <w:rPr>
          <w:color w:val="231F20"/>
          <w:spacing w:val="-14"/>
        </w:rPr>
        <w:t> </w:t>
      </w:r>
      <w:r>
        <w:rPr>
          <w:color w:val="231F20"/>
          <w:spacing w:val="-2"/>
        </w:rPr>
        <w:t>l’OFAC</w:t>
      </w:r>
      <w:r>
        <w:rPr>
          <w:color w:val="231F20"/>
          <w:spacing w:val="-15"/>
        </w:rPr>
        <w:t> </w:t>
      </w:r>
      <w:r>
        <w:rPr>
          <w:color w:val="231F20"/>
          <w:spacing w:val="-2"/>
        </w:rPr>
        <w:t>refuse</w:t>
      </w:r>
      <w:r>
        <w:rPr>
          <w:color w:val="231F20"/>
          <w:spacing w:val="-14"/>
        </w:rPr>
        <w:t> </w:t>
      </w:r>
      <w:r>
        <w:rPr>
          <w:color w:val="231F20"/>
          <w:spacing w:val="-2"/>
        </w:rPr>
        <w:t>l’autorisation </w:t>
      </w:r>
      <w:r>
        <w:rPr>
          <w:color w:val="231F20"/>
          <w:spacing w:val="-4"/>
        </w:rPr>
        <w:t>d’importation</w:t>
      </w:r>
      <w:r>
        <w:rPr>
          <w:color w:val="231F20"/>
          <w:spacing w:val="-7"/>
        </w:rPr>
        <w:t> </w:t>
      </w:r>
      <w:r>
        <w:rPr>
          <w:color w:val="231F20"/>
          <w:spacing w:val="-4"/>
        </w:rPr>
        <w:t>aux</w:t>
      </w:r>
      <w:r>
        <w:rPr>
          <w:color w:val="231F20"/>
          <w:spacing w:val="-7"/>
        </w:rPr>
        <w:t> </w:t>
      </w:r>
      <w:r>
        <w:rPr>
          <w:color w:val="231F20"/>
          <w:spacing w:val="-4"/>
        </w:rPr>
        <w:t>entreprises</w:t>
      </w:r>
      <w:r>
        <w:rPr>
          <w:color w:val="231F20"/>
          <w:spacing w:val="-7"/>
        </w:rPr>
        <w:t> </w:t>
      </w:r>
      <w:r>
        <w:rPr>
          <w:color w:val="231F20"/>
          <w:spacing w:val="-4"/>
        </w:rPr>
        <w:t>étasuniennes </w:t>
      </w:r>
      <w:r>
        <w:rPr>
          <w:color w:val="231F20"/>
          <w:spacing w:val="-6"/>
        </w:rPr>
        <w:t>intéressées,</w:t>
      </w:r>
      <w:r>
        <w:rPr>
          <w:color w:val="231F20"/>
          <w:spacing w:val="-30"/>
        </w:rPr>
        <w:t> </w:t>
      </w:r>
      <w:r>
        <w:rPr>
          <w:color w:val="231F20"/>
          <w:spacing w:val="-6"/>
        </w:rPr>
        <w:t>ce</w:t>
      </w:r>
      <w:r>
        <w:rPr>
          <w:color w:val="231F20"/>
          <w:spacing w:val="-30"/>
        </w:rPr>
        <w:t> </w:t>
      </w:r>
      <w:r>
        <w:rPr>
          <w:color w:val="231F20"/>
          <w:spacing w:val="-6"/>
        </w:rPr>
        <w:t>qui</w:t>
      </w:r>
      <w:r>
        <w:rPr>
          <w:color w:val="231F20"/>
          <w:spacing w:val="-30"/>
        </w:rPr>
        <w:t> </w:t>
      </w:r>
      <w:r>
        <w:rPr>
          <w:color w:val="231F20"/>
          <w:spacing w:val="-6"/>
        </w:rPr>
        <w:t>est</w:t>
      </w:r>
      <w:r>
        <w:rPr>
          <w:color w:val="231F20"/>
          <w:spacing w:val="-30"/>
        </w:rPr>
        <w:t> </w:t>
      </w:r>
      <w:r>
        <w:rPr>
          <w:color w:val="231F20"/>
          <w:spacing w:val="-6"/>
        </w:rPr>
        <w:t>aussi</w:t>
      </w:r>
      <w:r>
        <w:rPr>
          <w:color w:val="231F20"/>
          <w:spacing w:val="-30"/>
        </w:rPr>
        <w:t> </w:t>
      </w:r>
      <w:r>
        <w:rPr>
          <w:color w:val="231F20"/>
          <w:spacing w:val="-6"/>
        </w:rPr>
        <w:t>le</w:t>
      </w:r>
      <w:r>
        <w:rPr>
          <w:color w:val="231F20"/>
          <w:spacing w:val="-30"/>
        </w:rPr>
        <w:t> </w:t>
      </w:r>
      <w:r>
        <w:rPr>
          <w:color w:val="231F20"/>
          <w:spacing w:val="-6"/>
        </w:rPr>
        <w:t>cas</w:t>
      </w:r>
      <w:r>
        <w:rPr>
          <w:color w:val="231F20"/>
          <w:spacing w:val="-30"/>
        </w:rPr>
        <w:t> </w:t>
      </w:r>
      <w:r>
        <w:rPr>
          <w:color w:val="231F20"/>
          <w:spacing w:val="-6"/>
        </w:rPr>
        <w:t>pour</w:t>
      </w:r>
      <w:r>
        <w:rPr>
          <w:color w:val="231F20"/>
          <w:spacing w:val="-30"/>
        </w:rPr>
        <w:t> </w:t>
      </w:r>
      <w:r>
        <w:rPr>
          <w:color w:val="231F20"/>
          <w:spacing w:val="-6"/>
        </w:rPr>
        <w:t>le</w:t>
      </w:r>
      <w:r>
        <w:rPr>
          <w:color w:val="231F20"/>
          <w:spacing w:val="-30"/>
        </w:rPr>
        <w:t> </w:t>
      </w:r>
      <w:r>
        <w:rPr>
          <w:color w:val="231F20"/>
          <w:spacing w:val="-6"/>
        </w:rPr>
        <w:t>miel.</w:t>
      </w:r>
    </w:p>
    <w:p>
      <w:pPr>
        <w:pStyle w:val="BodyText"/>
        <w:spacing w:before="166"/>
        <w:ind w:left="413" w:right="1135"/>
      </w:pPr>
      <w:r>
        <w:rPr>
          <w:color w:val="231F20"/>
          <w:spacing w:val="-2"/>
        </w:rPr>
        <w:t>Cuba</w:t>
      </w:r>
      <w:r>
        <w:rPr>
          <w:color w:val="231F20"/>
          <w:spacing w:val="-15"/>
        </w:rPr>
        <w:t> </w:t>
      </w:r>
      <w:r>
        <w:rPr>
          <w:color w:val="231F20"/>
          <w:spacing w:val="-2"/>
        </w:rPr>
        <w:t>aurait</w:t>
      </w:r>
      <w:r>
        <w:rPr>
          <w:color w:val="231F20"/>
          <w:spacing w:val="-14"/>
        </w:rPr>
        <w:t> </w:t>
      </w:r>
      <w:r>
        <w:rPr>
          <w:color w:val="231F20"/>
          <w:spacing w:val="-2"/>
        </w:rPr>
        <w:t>pu</w:t>
      </w:r>
      <w:r>
        <w:rPr>
          <w:color w:val="231F20"/>
          <w:spacing w:val="-15"/>
        </w:rPr>
        <w:t> </w:t>
      </w:r>
      <w:r>
        <w:rPr>
          <w:color w:val="231F20"/>
          <w:spacing w:val="-2"/>
        </w:rPr>
        <w:t>exporter</w:t>
      </w:r>
      <w:r>
        <w:rPr>
          <w:color w:val="231F20"/>
          <w:spacing w:val="-14"/>
        </w:rPr>
        <w:t> </w:t>
      </w:r>
      <w:r>
        <w:rPr>
          <w:color w:val="231F20"/>
          <w:spacing w:val="-2"/>
        </w:rPr>
        <w:t>du</w:t>
      </w:r>
      <w:r>
        <w:rPr>
          <w:color w:val="231F20"/>
          <w:spacing w:val="-15"/>
        </w:rPr>
        <w:t> </w:t>
      </w:r>
      <w:r>
        <w:rPr>
          <w:color w:val="231F20"/>
          <w:spacing w:val="-2"/>
        </w:rPr>
        <w:t>sucre</w:t>
      </w:r>
      <w:r>
        <w:rPr>
          <w:color w:val="231F20"/>
          <w:spacing w:val="-14"/>
        </w:rPr>
        <w:t> </w:t>
      </w:r>
      <w:r>
        <w:rPr>
          <w:color w:val="231F20"/>
          <w:spacing w:val="-2"/>
        </w:rPr>
        <w:t>aux</w:t>
      </w:r>
      <w:r>
        <w:rPr>
          <w:color w:val="231F20"/>
          <w:spacing w:val="-15"/>
        </w:rPr>
        <w:t> </w:t>
      </w:r>
      <w:r>
        <w:rPr>
          <w:color w:val="231F20"/>
          <w:spacing w:val="-2"/>
        </w:rPr>
        <w:t>États- </w:t>
      </w:r>
      <w:r>
        <w:rPr>
          <w:color w:val="231F20"/>
          <w:spacing w:val="-10"/>
        </w:rPr>
        <w:t>Unis</w:t>
      </w:r>
      <w:r>
        <w:rPr>
          <w:color w:val="231F20"/>
          <w:spacing w:val="-7"/>
        </w:rPr>
        <w:t> </w:t>
      </w:r>
      <w:r>
        <w:rPr>
          <w:color w:val="231F20"/>
          <w:spacing w:val="-10"/>
        </w:rPr>
        <w:t>à</w:t>
      </w:r>
      <w:r>
        <w:rPr>
          <w:color w:val="231F20"/>
          <w:spacing w:val="-6"/>
        </w:rPr>
        <w:t> </w:t>
      </w:r>
      <w:r>
        <w:rPr>
          <w:color w:val="231F20"/>
          <w:spacing w:val="-10"/>
        </w:rPr>
        <w:t>hauteur</w:t>
      </w:r>
      <w:r>
        <w:rPr>
          <w:color w:val="231F20"/>
          <w:spacing w:val="-6"/>
        </w:rPr>
        <w:t> </w:t>
      </w:r>
      <w:r>
        <w:rPr>
          <w:color w:val="231F20"/>
          <w:spacing w:val="-10"/>
        </w:rPr>
        <w:t>de</w:t>
      </w:r>
      <w:r>
        <w:rPr>
          <w:color w:val="231F20"/>
          <w:spacing w:val="-7"/>
        </w:rPr>
        <w:t> </w:t>
      </w:r>
      <w:r>
        <w:rPr>
          <w:color w:val="231F20"/>
          <w:spacing w:val="-10"/>
        </w:rPr>
        <w:t>20</w:t>
      </w:r>
      <w:r>
        <w:rPr>
          <w:color w:val="231F20"/>
          <w:spacing w:val="-6"/>
        </w:rPr>
        <w:t> </w:t>
      </w:r>
      <w:r>
        <w:rPr>
          <w:color w:val="231F20"/>
          <w:spacing w:val="-10"/>
        </w:rPr>
        <w:t>820</w:t>
      </w:r>
      <w:r>
        <w:rPr>
          <w:color w:val="231F20"/>
          <w:spacing w:val="-6"/>
        </w:rPr>
        <w:t> </w:t>
      </w:r>
      <w:r>
        <w:rPr>
          <w:color w:val="231F20"/>
          <w:spacing w:val="-10"/>
        </w:rPr>
        <w:t>600</w:t>
      </w:r>
      <w:r>
        <w:rPr>
          <w:color w:val="231F20"/>
          <w:spacing w:val="-7"/>
        </w:rPr>
        <w:t> </w:t>
      </w:r>
      <w:r>
        <w:rPr>
          <w:color w:val="231F20"/>
          <w:spacing w:val="-10"/>
        </w:rPr>
        <w:t>dollars,</w:t>
      </w:r>
      <w:r>
        <w:rPr>
          <w:color w:val="231F20"/>
          <w:spacing w:val="-6"/>
        </w:rPr>
        <w:t> </w:t>
      </w:r>
      <w:r>
        <w:rPr>
          <w:color w:val="231F20"/>
          <w:spacing w:val="-10"/>
        </w:rPr>
        <w:t>compte </w:t>
      </w:r>
      <w:r>
        <w:rPr>
          <w:color w:val="231F20"/>
        </w:rPr>
        <w:t>tenu</w:t>
      </w:r>
      <w:r>
        <w:rPr>
          <w:color w:val="231F20"/>
          <w:spacing w:val="-5"/>
        </w:rPr>
        <w:t> </w:t>
      </w:r>
      <w:r>
        <w:rPr>
          <w:color w:val="231F20"/>
        </w:rPr>
        <w:t>des</w:t>
      </w:r>
      <w:r>
        <w:rPr>
          <w:color w:val="231F20"/>
          <w:spacing w:val="-6"/>
        </w:rPr>
        <w:t> </w:t>
      </w:r>
      <w:r>
        <w:rPr>
          <w:color w:val="231F20"/>
        </w:rPr>
        <w:t>60</w:t>
      </w:r>
      <w:r>
        <w:rPr>
          <w:color w:val="231F20"/>
          <w:spacing w:val="-5"/>
        </w:rPr>
        <w:t> </w:t>
      </w:r>
      <w:r>
        <w:rPr>
          <w:color w:val="231F20"/>
        </w:rPr>
        <w:t>000</w:t>
      </w:r>
      <w:r>
        <w:rPr>
          <w:color w:val="231F20"/>
          <w:spacing w:val="-5"/>
        </w:rPr>
        <w:t> </w:t>
      </w:r>
      <w:r>
        <w:rPr>
          <w:color w:val="231F20"/>
        </w:rPr>
        <w:t>tonnes</w:t>
      </w:r>
      <w:r>
        <w:rPr>
          <w:color w:val="231F20"/>
          <w:spacing w:val="-6"/>
        </w:rPr>
        <w:t> </w:t>
      </w:r>
      <w:r>
        <w:rPr>
          <w:color w:val="231F20"/>
        </w:rPr>
        <w:t>qu’elle</w:t>
      </w:r>
      <w:r>
        <w:rPr>
          <w:color w:val="231F20"/>
          <w:spacing w:val="-5"/>
        </w:rPr>
        <w:t> </w:t>
      </w:r>
      <w:r>
        <w:rPr>
          <w:color w:val="231F20"/>
        </w:rPr>
        <w:t>a</w:t>
      </w:r>
      <w:r>
        <w:rPr>
          <w:color w:val="231F20"/>
          <w:spacing w:val="-5"/>
        </w:rPr>
        <w:t> </w:t>
      </w:r>
      <w:r>
        <w:rPr>
          <w:color w:val="231F20"/>
        </w:rPr>
        <w:t>écoulées sur le marché mondial.</w:t>
      </w:r>
    </w:p>
    <w:p>
      <w:pPr>
        <w:pStyle w:val="BodyText"/>
        <w:spacing w:before="163"/>
        <w:ind w:left="413" w:right="1141"/>
      </w:pPr>
      <w:r>
        <w:rPr>
          <w:color w:val="231F20"/>
          <w:spacing w:val="-6"/>
        </w:rPr>
        <w:t>Ne</w:t>
      </w:r>
      <w:r>
        <w:rPr>
          <w:color w:val="231F20"/>
          <w:spacing w:val="-11"/>
        </w:rPr>
        <w:t> </w:t>
      </w:r>
      <w:r>
        <w:rPr>
          <w:color w:val="231F20"/>
          <w:spacing w:val="-6"/>
        </w:rPr>
        <w:t>pouvant</w:t>
      </w:r>
      <w:r>
        <w:rPr>
          <w:color w:val="231F20"/>
          <w:spacing w:val="-10"/>
        </w:rPr>
        <w:t> </w:t>
      </w:r>
      <w:r>
        <w:rPr>
          <w:color w:val="231F20"/>
          <w:spacing w:val="-6"/>
        </w:rPr>
        <w:t>exporter</w:t>
      </w:r>
      <w:r>
        <w:rPr>
          <w:color w:val="231F20"/>
          <w:spacing w:val="-11"/>
        </w:rPr>
        <w:t> </w:t>
      </w:r>
      <w:r>
        <w:rPr>
          <w:color w:val="231F20"/>
          <w:spacing w:val="-6"/>
        </w:rPr>
        <w:t>aux</w:t>
      </w:r>
      <w:r>
        <w:rPr>
          <w:color w:val="231F20"/>
          <w:spacing w:val="-10"/>
        </w:rPr>
        <w:t> </w:t>
      </w:r>
      <w:r>
        <w:rPr>
          <w:color w:val="231F20"/>
          <w:spacing w:val="-6"/>
        </w:rPr>
        <w:t>États-Unis</w:t>
      </w:r>
      <w:r>
        <w:rPr>
          <w:color w:val="231F20"/>
          <w:spacing w:val="-11"/>
        </w:rPr>
        <w:t> </w:t>
      </w:r>
      <w:r>
        <w:rPr>
          <w:color w:val="231F20"/>
          <w:spacing w:val="-6"/>
        </w:rPr>
        <w:t>d’autres </w:t>
      </w:r>
      <w:r>
        <w:rPr>
          <w:color w:val="231F20"/>
        </w:rPr>
        <w:t>produits comme le rhum et le charbon </w:t>
      </w:r>
      <w:r>
        <w:rPr>
          <w:color w:val="231F20"/>
          <w:spacing w:val="-2"/>
        </w:rPr>
        <w:t>végétal,</w:t>
      </w:r>
      <w:r>
        <w:rPr>
          <w:color w:val="231F20"/>
          <w:spacing w:val="-11"/>
        </w:rPr>
        <w:t> </w:t>
      </w:r>
      <w:r>
        <w:rPr>
          <w:color w:val="231F20"/>
          <w:spacing w:val="-2"/>
        </w:rPr>
        <w:t>les</w:t>
      </w:r>
      <w:r>
        <w:rPr>
          <w:color w:val="231F20"/>
          <w:spacing w:val="-11"/>
        </w:rPr>
        <w:t> </w:t>
      </w:r>
      <w:r>
        <w:rPr>
          <w:color w:val="231F20"/>
          <w:spacing w:val="-2"/>
        </w:rPr>
        <w:t>entreprises</w:t>
      </w:r>
      <w:r>
        <w:rPr>
          <w:color w:val="231F20"/>
          <w:spacing w:val="-11"/>
        </w:rPr>
        <w:t> </w:t>
      </w:r>
      <w:r>
        <w:rPr>
          <w:color w:val="231F20"/>
          <w:spacing w:val="-2"/>
        </w:rPr>
        <w:t>cubaines</w:t>
      </w:r>
      <w:r>
        <w:rPr>
          <w:color w:val="231F20"/>
          <w:spacing w:val="-11"/>
        </w:rPr>
        <w:t> </w:t>
      </w:r>
      <w:r>
        <w:rPr>
          <w:color w:val="231F20"/>
          <w:spacing w:val="-2"/>
        </w:rPr>
        <w:t>doivent</w:t>
      </w:r>
      <w:r>
        <w:rPr>
          <w:color w:val="231F20"/>
          <w:spacing w:val="-11"/>
        </w:rPr>
        <w:t> </w:t>
      </w:r>
      <w:r>
        <w:rPr>
          <w:color w:val="231F20"/>
          <w:spacing w:val="-2"/>
        </w:rPr>
        <w:t>le </w:t>
      </w:r>
      <w:r>
        <w:rPr>
          <w:color w:val="231F20"/>
        </w:rPr>
        <w:t>faire</w:t>
      </w:r>
      <w:r>
        <w:rPr>
          <w:color w:val="231F20"/>
          <w:spacing w:val="33"/>
        </w:rPr>
        <w:t> </w:t>
      </w:r>
      <w:r>
        <w:rPr>
          <w:color w:val="231F20"/>
        </w:rPr>
        <w:t>sur</w:t>
      </w:r>
      <w:r>
        <w:rPr>
          <w:color w:val="231F20"/>
          <w:spacing w:val="36"/>
        </w:rPr>
        <w:t> </w:t>
      </w:r>
      <w:r>
        <w:rPr>
          <w:color w:val="231F20"/>
        </w:rPr>
        <w:t>des</w:t>
      </w:r>
      <w:r>
        <w:rPr>
          <w:color w:val="231F20"/>
          <w:spacing w:val="36"/>
        </w:rPr>
        <w:t> </w:t>
      </w:r>
      <w:r>
        <w:rPr>
          <w:color w:val="231F20"/>
        </w:rPr>
        <w:t>marchés</w:t>
      </w:r>
      <w:r>
        <w:rPr>
          <w:color w:val="231F20"/>
          <w:spacing w:val="35"/>
        </w:rPr>
        <w:t> </w:t>
      </w:r>
      <w:r>
        <w:rPr>
          <w:color w:val="231F20"/>
        </w:rPr>
        <w:t>bien</w:t>
      </w:r>
      <w:r>
        <w:rPr>
          <w:color w:val="231F20"/>
          <w:spacing w:val="36"/>
        </w:rPr>
        <w:t> </w:t>
      </w:r>
      <w:r>
        <w:rPr>
          <w:color w:val="231F20"/>
        </w:rPr>
        <w:t>plus</w:t>
      </w:r>
      <w:r>
        <w:rPr>
          <w:color w:val="231F20"/>
          <w:spacing w:val="36"/>
        </w:rPr>
        <w:t> </w:t>
      </w:r>
      <w:r>
        <w:rPr>
          <w:color w:val="231F20"/>
          <w:spacing w:val="-10"/>
        </w:rPr>
        <w:t>éloignés,</w:t>
      </w:r>
    </w:p>
    <w:p>
      <w:pPr>
        <w:spacing w:after="0"/>
        <w:sectPr>
          <w:type w:val="continuous"/>
          <w:pgSz w:w="11910" w:h="16840"/>
          <w:pgMar w:header="0" w:footer="695" w:top="1920" w:bottom="280" w:left="0" w:right="0"/>
          <w:cols w:num="2" w:equalWidth="0">
            <w:col w:w="5896" w:space="40"/>
            <w:col w:w="5974"/>
          </w:cols>
        </w:sectPr>
      </w:pPr>
    </w:p>
    <w:p>
      <w:pPr>
        <w:pStyle w:val="BodyText"/>
        <w:spacing w:before="77"/>
        <w:ind w:left="1133" w:right="1"/>
      </w:pPr>
      <w:r>
        <w:rPr>
          <w:color w:val="231F20"/>
          <w:spacing w:val="-2"/>
        </w:rPr>
        <w:t>l’Europe</w:t>
      </w:r>
      <w:r>
        <w:rPr>
          <w:color w:val="231F20"/>
          <w:spacing w:val="-15"/>
        </w:rPr>
        <w:t> </w:t>
      </w:r>
      <w:r>
        <w:rPr>
          <w:color w:val="231F20"/>
          <w:spacing w:val="-2"/>
        </w:rPr>
        <w:t>par</w:t>
      </w:r>
      <w:r>
        <w:rPr>
          <w:color w:val="231F20"/>
          <w:spacing w:val="-14"/>
        </w:rPr>
        <w:t> </w:t>
      </w:r>
      <w:r>
        <w:rPr>
          <w:color w:val="231F20"/>
          <w:spacing w:val="-2"/>
        </w:rPr>
        <w:t>exemple,</w:t>
      </w:r>
      <w:r>
        <w:rPr>
          <w:color w:val="231F20"/>
          <w:spacing w:val="-15"/>
        </w:rPr>
        <w:t> </w:t>
      </w:r>
      <w:r>
        <w:rPr>
          <w:color w:val="231F20"/>
          <w:spacing w:val="-2"/>
        </w:rPr>
        <w:t>d’où</w:t>
      </w:r>
      <w:r>
        <w:rPr>
          <w:color w:val="231F20"/>
          <w:spacing w:val="-14"/>
        </w:rPr>
        <w:t> </w:t>
      </w:r>
      <w:r>
        <w:rPr>
          <w:color w:val="231F20"/>
          <w:spacing w:val="-2"/>
        </w:rPr>
        <w:t>des</w:t>
      </w:r>
      <w:r>
        <w:rPr>
          <w:color w:val="231F20"/>
          <w:spacing w:val="-15"/>
        </w:rPr>
        <w:t> </w:t>
      </w:r>
      <w:r>
        <w:rPr>
          <w:color w:val="231F20"/>
          <w:spacing w:val="-2"/>
        </w:rPr>
        <w:t>surcoûts</w:t>
      </w:r>
      <w:r>
        <w:rPr>
          <w:color w:val="231F20"/>
          <w:spacing w:val="-14"/>
        </w:rPr>
        <w:t> </w:t>
      </w:r>
      <w:r>
        <w:rPr>
          <w:color w:val="231F20"/>
          <w:spacing w:val="-2"/>
        </w:rPr>
        <w:t>de commercialisation</w:t>
      </w:r>
      <w:r>
        <w:rPr>
          <w:color w:val="231F20"/>
          <w:spacing w:val="-20"/>
        </w:rPr>
        <w:t> </w:t>
      </w:r>
      <w:r>
        <w:rPr>
          <w:color w:val="231F20"/>
          <w:spacing w:val="-2"/>
        </w:rPr>
        <w:t>totale.</w:t>
      </w:r>
    </w:p>
    <w:p>
      <w:pPr>
        <w:pStyle w:val="BodyText"/>
        <w:spacing w:before="161"/>
        <w:ind w:left="1133" w:right="2"/>
      </w:pPr>
      <w:r>
        <w:rPr>
          <w:color w:val="231F20"/>
          <w:spacing w:val="-14"/>
        </w:rPr>
        <w:t>Les</w:t>
      </w:r>
      <w:r>
        <w:rPr>
          <w:color w:val="231F20"/>
          <w:spacing w:val="-2"/>
        </w:rPr>
        <w:t> </w:t>
      </w:r>
      <w:r>
        <w:rPr>
          <w:color w:val="231F20"/>
          <w:spacing w:val="-14"/>
        </w:rPr>
        <w:t>importations</w:t>
      </w:r>
      <w:r>
        <w:rPr>
          <w:color w:val="231F20"/>
          <w:spacing w:val="-2"/>
        </w:rPr>
        <w:t> </w:t>
      </w:r>
      <w:r>
        <w:rPr>
          <w:color w:val="231F20"/>
          <w:spacing w:val="-14"/>
        </w:rPr>
        <w:t>de</w:t>
      </w:r>
      <w:r>
        <w:rPr>
          <w:color w:val="231F20"/>
          <w:spacing w:val="-2"/>
        </w:rPr>
        <w:t> </w:t>
      </w:r>
      <w:r>
        <w:rPr>
          <w:color w:val="231F20"/>
          <w:spacing w:val="-14"/>
        </w:rPr>
        <w:t>produits</w:t>
      </w:r>
      <w:r>
        <w:rPr>
          <w:color w:val="231F20"/>
          <w:spacing w:val="-2"/>
        </w:rPr>
        <w:t> </w:t>
      </w:r>
      <w:r>
        <w:rPr>
          <w:color w:val="231F20"/>
          <w:spacing w:val="-14"/>
        </w:rPr>
        <w:t>agro-alimentaires </w:t>
      </w:r>
      <w:r>
        <w:rPr>
          <w:color w:val="231F20"/>
        </w:rPr>
        <w:t>depuis les États-Unis continuent d’être </w:t>
      </w:r>
      <w:r>
        <w:rPr>
          <w:color w:val="231F20"/>
          <w:spacing w:val="-12"/>
        </w:rPr>
        <w:t>frappées</w:t>
      </w:r>
      <w:r>
        <w:rPr>
          <w:color w:val="231F20"/>
          <w:spacing w:val="-5"/>
        </w:rPr>
        <w:t> </w:t>
      </w:r>
      <w:r>
        <w:rPr>
          <w:color w:val="231F20"/>
          <w:spacing w:val="-12"/>
        </w:rPr>
        <w:t>de</w:t>
      </w:r>
      <w:r>
        <w:rPr>
          <w:color w:val="231F20"/>
          <w:spacing w:val="-4"/>
        </w:rPr>
        <w:t> </w:t>
      </w:r>
      <w:r>
        <w:rPr>
          <w:color w:val="231F20"/>
          <w:spacing w:val="-12"/>
        </w:rPr>
        <w:t>restriction</w:t>
      </w:r>
      <w:r>
        <w:rPr>
          <w:color w:val="231F20"/>
          <w:spacing w:val="-5"/>
        </w:rPr>
        <w:t> </w:t>
      </w:r>
      <w:r>
        <w:rPr>
          <w:color w:val="231F20"/>
          <w:spacing w:val="-12"/>
        </w:rPr>
        <w:t>:</w:t>
      </w:r>
      <w:r>
        <w:rPr>
          <w:color w:val="231F20"/>
          <w:spacing w:val="-4"/>
        </w:rPr>
        <w:t> </w:t>
      </w:r>
      <w:r>
        <w:rPr>
          <w:color w:val="231F20"/>
          <w:spacing w:val="-12"/>
        </w:rPr>
        <w:t>pour</w:t>
      </w:r>
      <w:r>
        <w:rPr>
          <w:color w:val="231F20"/>
          <w:spacing w:val="-5"/>
        </w:rPr>
        <w:t> </w:t>
      </w:r>
      <w:r>
        <w:rPr>
          <w:color w:val="231F20"/>
          <w:spacing w:val="-12"/>
        </w:rPr>
        <w:t>le</w:t>
      </w:r>
      <w:r>
        <w:rPr>
          <w:color w:val="231F20"/>
          <w:spacing w:val="-4"/>
        </w:rPr>
        <w:t> </w:t>
      </w:r>
      <w:r>
        <w:rPr>
          <w:color w:val="231F20"/>
          <w:spacing w:val="-12"/>
        </w:rPr>
        <w:t>faire,</w:t>
      </w:r>
      <w:r>
        <w:rPr>
          <w:color w:val="231F20"/>
          <w:spacing w:val="-5"/>
        </w:rPr>
        <w:t> </w:t>
      </w:r>
      <w:r>
        <w:rPr>
          <w:color w:val="231F20"/>
          <w:spacing w:val="-12"/>
        </w:rPr>
        <w:t>la</w:t>
      </w:r>
      <w:r>
        <w:rPr>
          <w:color w:val="231F20"/>
          <w:spacing w:val="-4"/>
        </w:rPr>
        <w:t> </w:t>
      </w:r>
      <w:r>
        <w:rPr>
          <w:color w:val="231F20"/>
          <w:spacing w:val="-12"/>
        </w:rPr>
        <w:t>société </w:t>
      </w:r>
      <w:r>
        <w:rPr>
          <w:color w:val="231F20"/>
        </w:rPr>
        <w:t>cubaine Alimport doit se soumettre à </w:t>
      </w:r>
      <w:r>
        <w:rPr>
          <w:color w:val="231F20"/>
        </w:rPr>
        <w:t>des </w:t>
      </w:r>
      <w:r>
        <w:rPr>
          <w:color w:val="231F20"/>
          <w:spacing w:val="-10"/>
        </w:rPr>
        <w:t>conditions</w:t>
      </w:r>
      <w:r>
        <w:rPr>
          <w:color w:val="231F20"/>
          <w:spacing w:val="-7"/>
        </w:rPr>
        <w:t> </w:t>
      </w:r>
      <w:r>
        <w:rPr>
          <w:color w:val="231F20"/>
          <w:spacing w:val="-10"/>
        </w:rPr>
        <w:t>tout</w:t>
      </w:r>
      <w:r>
        <w:rPr>
          <w:color w:val="231F20"/>
          <w:spacing w:val="-6"/>
        </w:rPr>
        <w:t> </w:t>
      </w:r>
      <w:r>
        <w:rPr>
          <w:color w:val="231F20"/>
          <w:spacing w:val="-10"/>
        </w:rPr>
        <w:t>à</w:t>
      </w:r>
      <w:r>
        <w:rPr>
          <w:color w:val="231F20"/>
          <w:spacing w:val="-7"/>
        </w:rPr>
        <w:t> </w:t>
      </w:r>
      <w:r>
        <w:rPr>
          <w:color w:val="231F20"/>
          <w:spacing w:val="-10"/>
        </w:rPr>
        <w:t>fait</w:t>
      </w:r>
      <w:r>
        <w:rPr>
          <w:color w:val="231F20"/>
          <w:spacing w:val="-6"/>
        </w:rPr>
        <w:t> </w:t>
      </w:r>
      <w:r>
        <w:rPr>
          <w:color w:val="231F20"/>
          <w:spacing w:val="-10"/>
        </w:rPr>
        <w:t>anormales</w:t>
      </w:r>
      <w:r>
        <w:rPr>
          <w:color w:val="231F20"/>
          <w:spacing w:val="-7"/>
        </w:rPr>
        <w:t> </w:t>
      </w:r>
      <w:r>
        <w:rPr>
          <w:color w:val="231F20"/>
          <w:spacing w:val="-10"/>
        </w:rPr>
        <w:t>dans</w:t>
      </w:r>
      <w:r>
        <w:rPr>
          <w:color w:val="231F20"/>
          <w:spacing w:val="-6"/>
        </w:rPr>
        <w:t> </w:t>
      </w:r>
      <w:r>
        <w:rPr>
          <w:color w:val="231F20"/>
          <w:spacing w:val="-10"/>
        </w:rPr>
        <w:t>le</w:t>
      </w:r>
      <w:r>
        <w:rPr>
          <w:color w:val="231F20"/>
          <w:spacing w:val="-7"/>
        </w:rPr>
        <w:t> </w:t>
      </w:r>
      <w:r>
        <w:rPr>
          <w:color w:val="231F20"/>
          <w:spacing w:val="-10"/>
        </w:rPr>
        <w:t>cadre </w:t>
      </w:r>
      <w:r>
        <w:rPr>
          <w:color w:val="231F20"/>
          <w:spacing w:val="-8"/>
        </w:rPr>
        <w:t>d’un</w:t>
      </w:r>
      <w:r>
        <w:rPr>
          <w:color w:val="231F20"/>
          <w:spacing w:val="-9"/>
        </w:rPr>
        <w:t> </w:t>
      </w:r>
      <w:r>
        <w:rPr>
          <w:color w:val="231F20"/>
          <w:spacing w:val="-8"/>
        </w:rPr>
        <w:t>commerce à</w:t>
      </w:r>
      <w:r>
        <w:rPr>
          <w:color w:val="231F20"/>
          <w:spacing w:val="-9"/>
        </w:rPr>
        <w:t> </w:t>
      </w:r>
      <w:r>
        <w:rPr>
          <w:color w:val="231F20"/>
          <w:spacing w:val="-8"/>
        </w:rPr>
        <w:t>sens unique</w:t>
      </w:r>
      <w:r>
        <w:rPr>
          <w:color w:val="231F20"/>
          <w:spacing w:val="-9"/>
        </w:rPr>
        <w:t> </w:t>
      </w:r>
      <w:r>
        <w:rPr>
          <w:color w:val="231F20"/>
          <w:spacing w:val="-8"/>
        </w:rPr>
        <w:t>puisqu’elle n’a </w:t>
      </w:r>
      <w:r>
        <w:rPr>
          <w:color w:val="231F20"/>
          <w:spacing w:val="-2"/>
        </w:rPr>
        <w:t>que</w:t>
      </w:r>
      <w:r>
        <w:rPr>
          <w:color w:val="231F20"/>
          <w:spacing w:val="-12"/>
        </w:rPr>
        <w:t> </w:t>
      </w:r>
      <w:r>
        <w:rPr>
          <w:color w:val="231F20"/>
          <w:spacing w:val="-2"/>
        </w:rPr>
        <w:t>le</w:t>
      </w:r>
      <w:r>
        <w:rPr>
          <w:color w:val="231F20"/>
          <w:spacing w:val="-12"/>
        </w:rPr>
        <w:t> </w:t>
      </w:r>
      <w:r>
        <w:rPr>
          <w:color w:val="231F20"/>
          <w:spacing w:val="-2"/>
        </w:rPr>
        <w:t>droit</w:t>
      </w:r>
      <w:r>
        <w:rPr>
          <w:color w:val="231F20"/>
          <w:spacing w:val="-12"/>
        </w:rPr>
        <w:t> </w:t>
      </w:r>
      <w:r>
        <w:rPr>
          <w:color w:val="231F20"/>
          <w:spacing w:val="-2"/>
        </w:rPr>
        <w:t>d’acheter,</w:t>
      </w:r>
      <w:r>
        <w:rPr>
          <w:color w:val="231F20"/>
          <w:spacing w:val="-12"/>
        </w:rPr>
        <w:t> </w:t>
      </w:r>
      <w:r>
        <w:rPr>
          <w:color w:val="231F20"/>
          <w:spacing w:val="-2"/>
        </w:rPr>
        <w:t>mais</w:t>
      </w:r>
      <w:r>
        <w:rPr>
          <w:color w:val="231F20"/>
          <w:spacing w:val="-12"/>
        </w:rPr>
        <w:t> </w:t>
      </w:r>
      <w:r>
        <w:rPr>
          <w:color w:val="231F20"/>
          <w:spacing w:val="-2"/>
        </w:rPr>
        <w:t>non</w:t>
      </w:r>
      <w:r>
        <w:rPr>
          <w:color w:val="231F20"/>
          <w:spacing w:val="-12"/>
        </w:rPr>
        <w:t> </w:t>
      </w:r>
      <w:r>
        <w:rPr>
          <w:color w:val="231F20"/>
          <w:spacing w:val="-2"/>
        </w:rPr>
        <w:t>de</w:t>
      </w:r>
      <w:r>
        <w:rPr>
          <w:color w:val="231F20"/>
          <w:spacing w:val="-12"/>
        </w:rPr>
        <w:t> </w:t>
      </w:r>
      <w:r>
        <w:rPr>
          <w:color w:val="231F20"/>
          <w:spacing w:val="-2"/>
        </w:rPr>
        <w:t>vendre, </w:t>
      </w:r>
      <w:r>
        <w:rPr>
          <w:color w:val="231F20"/>
        </w:rPr>
        <w:t>qu’elle ne peut accéder à des crédits des </w:t>
      </w:r>
      <w:r>
        <w:rPr>
          <w:color w:val="231F20"/>
          <w:spacing w:val="-16"/>
        </w:rPr>
        <w:t>banques</w:t>
      </w:r>
      <w:r>
        <w:rPr>
          <w:color w:val="231F20"/>
        </w:rPr>
        <w:t> </w:t>
      </w:r>
      <w:r>
        <w:rPr>
          <w:color w:val="231F20"/>
          <w:spacing w:val="-16"/>
        </w:rPr>
        <w:t>étasuniennes</w:t>
      </w:r>
      <w:r>
        <w:rPr>
          <w:color w:val="231F20"/>
        </w:rPr>
        <w:t> </w:t>
      </w:r>
      <w:r>
        <w:rPr>
          <w:color w:val="231F20"/>
          <w:spacing w:val="-16"/>
        </w:rPr>
        <w:t>ni</w:t>
      </w:r>
      <w:r>
        <w:rPr>
          <w:color w:val="231F20"/>
        </w:rPr>
        <w:t> </w:t>
      </w:r>
      <w:r>
        <w:rPr>
          <w:color w:val="231F20"/>
          <w:spacing w:val="-16"/>
        </w:rPr>
        <w:t>à</w:t>
      </w:r>
      <w:r>
        <w:rPr>
          <w:color w:val="231F20"/>
        </w:rPr>
        <w:t> </w:t>
      </w:r>
      <w:r>
        <w:rPr>
          <w:color w:val="231F20"/>
          <w:spacing w:val="-16"/>
        </w:rPr>
        <w:t>ceux</w:t>
      </w:r>
      <w:r>
        <w:rPr>
          <w:color w:val="231F20"/>
        </w:rPr>
        <w:t> </w:t>
      </w:r>
      <w:r>
        <w:rPr>
          <w:color w:val="231F20"/>
          <w:spacing w:val="-16"/>
        </w:rPr>
        <w:t>des</w:t>
      </w:r>
      <w:r>
        <w:rPr>
          <w:color w:val="231F20"/>
        </w:rPr>
        <w:t> </w:t>
      </w:r>
      <w:r>
        <w:rPr>
          <w:color w:val="231F20"/>
          <w:spacing w:val="-16"/>
        </w:rPr>
        <w:t>institutions </w:t>
      </w:r>
      <w:r>
        <w:rPr>
          <w:color w:val="231F20"/>
        </w:rPr>
        <w:t>financières internationales pour ce type </w:t>
      </w:r>
      <w:r>
        <w:rPr>
          <w:color w:val="231F20"/>
          <w:spacing w:val="-6"/>
        </w:rPr>
        <w:t>d’opérations,</w:t>
      </w:r>
      <w:r>
        <w:rPr>
          <w:color w:val="231F20"/>
          <w:spacing w:val="-22"/>
        </w:rPr>
        <w:t> </w:t>
      </w:r>
      <w:r>
        <w:rPr>
          <w:color w:val="231F20"/>
          <w:spacing w:val="-6"/>
        </w:rPr>
        <w:t>à</w:t>
      </w:r>
      <w:r>
        <w:rPr>
          <w:color w:val="231F20"/>
          <w:spacing w:val="-22"/>
        </w:rPr>
        <w:t> </w:t>
      </w:r>
      <w:r>
        <w:rPr>
          <w:color w:val="231F20"/>
          <w:spacing w:val="-6"/>
        </w:rPr>
        <w:t>cause</w:t>
      </w:r>
      <w:r>
        <w:rPr>
          <w:color w:val="231F20"/>
          <w:spacing w:val="-22"/>
        </w:rPr>
        <w:t> </w:t>
      </w:r>
      <w:r>
        <w:rPr>
          <w:color w:val="231F20"/>
          <w:spacing w:val="-6"/>
        </w:rPr>
        <w:t>du</w:t>
      </w:r>
      <w:r>
        <w:rPr>
          <w:color w:val="231F20"/>
          <w:spacing w:val="-22"/>
        </w:rPr>
        <w:t> </w:t>
      </w:r>
      <w:r>
        <w:rPr>
          <w:color w:val="231F20"/>
          <w:spacing w:val="-6"/>
        </w:rPr>
        <w:t>risque-pays.</w:t>
      </w:r>
    </w:p>
    <w:p>
      <w:pPr>
        <w:pStyle w:val="BodyText"/>
        <w:spacing w:before="169"/>
        <w:ind w:left="1133" w:right="5"/>
      </w:pPr>
      <w:r>
        <w:rPr>
          <w:color w:val="231F20"/>
          <w:spacing w:val="-6"/>
        </w:rPr>
        <w:t>Elle</w:t>
      </w:r>
      <w:r>
        <w:rPr>
          <w:color w:val="231F20"/>
          <w:spacing w:val="-6"/>
        </w:rPr>
        <w:t> doit</w:t>
      </w:r>
      <w:r>
        <w:rPr>
          <w:color w:val="231F20"/>
          <w:spacing w:val="-6"/>
        </w:rPr>
        <w:t> donc</w:t>
      </w:r>
      <w:r>
        <w:rPr>
          <w:color w:val="231F20"/>
          <w:spacing w:val="-6"/>
        </w:rPr>
        <w:t> passer</w:t>
      </w:r>
      <w:r>
        <w:rPr>
          <w:color w:val="231F20"/>
          <w:spacing w:val="-6"/>
        </w:rPr>
        <w:t> par</w:t>
      </w:r>
      <w:r>
        <w:rPr>
          <w:color w:val="231F20"/>
          <w:spacing w:val="-6"/>
        </w:rPr>
        <w:t> d’autres</w:t>
      </w:r>
      <w:r>
        <w:rPr>
          <w:color w:val="231F20"/>
          <w:spacing w:val="-6"/>
        </w:rPr>
        <w:t> créanciers </w:t>
      </w:r>
      <w:r>
        <w:rPr>
          <w:color w:val="231F20"/>
          <w:spacing w:val="-2"/>
        </w:rPr>
        <w:t>à</w:t>
      </w:r>
      <w:r>
        <w:rPr>
          <w:color w:val="231F20"/>
          <w:spacing w:val="-14"/>
        </w:rPr>
        <w:t> </w:t>
      </w:r>
      <w:r>
        <w:rPr>
          <w:color w:val="231F20"/>
          <w:spacing w:val="-2"/>
        </w:rPr>
        <w:t>un</w:t>
      </w:r>
      <w:r>
        <w:rPr>
          <w:color w:val="231F20"/>
          <w:spacing w:val="-14"/>
        </w:rPr>
        <w:t> </w:t>
      </w:r>
      <w:r>
        <w:rPr>
          <w:color w:val="231F20"/>
          <w:spacing w:val="-2"/>
        </w:rPr>
        <w:t>surcoût</w:t>
      </w:r>
      <w:r>
        <w:rPr>
          <w:color w:val="231F20"/>
          <w:spacing w:val="-14"/>
        </w:rPr>
        <w:t> </w:t>
      </w:r>
      <w:r>
        <w:rPr>
          <w:color w:val="231F20"/>
          <w:spacing w:val="-2"/>
        </w:rPr>
        <w:t>d’environ</w:t>
      </w:r>
      <w:r>
        <w:rPr>
          <w:color w:val="231F20"/>
          <w:spacing w:val="-14"/>
        </w:rPr>
        <w:t> </w:t>
      </w:r>
      <w:r>
        <w:rPr>
          <w:color w:val="231F20"/>
          <w:spacing w:val="-2"/>
        </w:rPr>
        <w:t>5</w:t>
      </w:r>
      <w:r>
        <w:rPr>
          <w:color w:val="231F20"/>
          <w:spacing w:val="-14"/>
        </w:rPr>
        <w:t> </w:t>
      </w:r>
      <w:r>
        <w:rPr>
          <w:color w:val="231F20"/>
          <w:spacing w:val="-2"/>
        </w:rPr>
        <w:t>p.</w:t>
      </w:r>
      <w:r>
        <w:rPr>
          <w:color w:val="231F20"/>
          <w:spacing w:val="-14"/>
        </w:rPr>
        <w:t> </w:t>
      </w:r>
      <w:r>
        <w:rPr>
          <w:color w:val="231F20"/>
          <w:spacing w:val="-2"/>
        </w:rPr>
        <w:t>100</w:t>
      </w:r>
      <w:r>
        <w:rPr>
          <w:color w:val="231F20"/>
          <w:spacing w:val="-14"/>
        </w:rPr>
        <w:t> </w:t>
      </w:r>
      <w:r>
        <w:rPr>
          <w:color w:val="231F20"/>
          <w:spacing w:val="-2"/>
        </w:rPr>
        <w:t>par</w:t>
      </w:r>
      <w:r>
        <w:rPr>
          <w:color w:val="231F20"/>
          <w:spacing w:val="-14"/>
        </w:rPr>
        <w:t> </w:t>
      </w:r>
      <w:r>
        <w:rPr>
          <w:color w:val="231F20"/>
          <w:spacing w:val="-2"/>
        </w:rPr>
        <w:t>rapport </w:t>
      </w:r>
      <w:r>
        <w:rPr>
          <w:color w:val="231F20"/>
          <w:spacing w:val="-12"/>
        </w:rPr>
        <w:t>aux</w:t>
      </w:r>
      <w:r>
        <w:rPr>
          <w:color w:val="231F20"/>
          <w:spacing w:val="-5"/>
        </w:rPr>
        <w:t> </w:t>
      </w:r>
      <w:r>
        <w:rPr>
          <w:color w:val="231F20"/>
          <w:spacing w:val="-12"/>
        </w:rPr>
        <w:t>normes</w:t>
      </w:r>
      <w:r>
        <w:rPr>
          <w:color w:val="231F20"/>
          <w:spacing w:val="-4"/>
        </w:rPr>
        <w:t> </w:t>
      </w:r>
      <w:r>
        <w:rPr>
          <w:color w:val="231F20"/>
          <w:spacing w:val="-12"/>
        </w:rPr>
        <w:t>habituelles,</w:t>
      </w:r>
      <w:r>
        <w:rPr>
          <w:color w:val="231F20"/>
          <w:spacing w:val="-5"/>
        </w:rPr>
        <w:t> </w:t>
      </w:r>
      <w:r>
        <w:rPr>
          <w:color w:val="231F20"/>
          <w:spacing w:val="-12"/>
        </w:rPr>
        <w:t>ne</w:t>
      </w:r>
      <w:r>
        <w:rPr>
          <w:color w:val="231F20"/>
          <w:spacing w:val="-4"/>
        </w:rPr>
        <w:t> </w:t>
      </w:r>
      <w:r>
        <w:rPr>
          <w:color w:val="231F20"/>
          <w:spacing w:val="-12"/>
        </w:rPr>
        <w:t>peut</w:t>
      </w:r>
      <w:r>
        <w:rPr>
          <w:color w:val="231F20"/>
          <w:spacing w:val="-5"/>
        </w:rPr>
        <w:t> </w:t>
      </w:r>
      <w:r>
        <w:rPr>
          <w:color w:val="231F20"/>
          <w:spacing w:val="-12"/>
        </w:rPr>
        <w:t>payer</w:t>
      </w:r>
      <w:r>
        <w:rPr>
          <w:color w:val="231F20"/>
          <w:spacing w:val="-4"/>
        </w:rPr>
        <w:t> </w:t>
      </w:r>
      <w:r>
        <w:rPr>
          <w:color w:val="231F20"/>
          <w:spacing w:val="-12"/>
        </w:rPr>
        <w:t>les</w:t>
      </w:r>
      <w:r>
        <w:rPr>
          <w:color w:val="231F20"/>
          <w:spacing w:val="-5"/>
        </w:rPr>
        <w:t> </w:t>
      </w:r>
      <w:r>
        <w:rPr>
          <w:color w:val="231F20"/>
          <w:spacing w:val="-12"/>
        </w:rPr>
        <w:t>tiers </w:t>
      </w:r>
      <w:r>
        <w:rPr>
          <w:color w:val="231F20"/>
          <w:spacing w:val="-6"/>
        </w:rPr>
        <w:t>en dollars des États-Unis, si bien qu’elle doit recourir</w:t>
      </w:r>
      <w:r>
        <w:rPr>
          <w:color w:val="231F20"/>
          <w:spacing w:val="-9"/>
        </w:rPr>
        <w:t> </w:t>
      </w:r>
      <w:r>
        <w:rPr>
          <w:color w:val="231F20"/>
          <w:spacing w:val="-6"/>
        </w:rPr>
        <w:t>à</w:t>
      </w:r>
      <w:r>
        <w:rPr>
          <w:color w:val="231F20"/>
          <w:spacing w:val="-9"/>
        </w:rPr>
        <w:t> </w:t>
      </w:r>
      <w:r>
        <w:rPr>
          <w:color w:val="231F20"/>
          <w:spacing w:val="-6"/>
        </w:rPr>
        <w:t>l’achat</w:t>
      </w:r>
      <w:r>
        <w:rPr>
          <w:color w:val="231F20"/>
          <w:spacing w:val="-9"/>
        </w:rPr>
        <w:t> </w:t>
      </w:r>
      <w:r>
        <w:rPr>
          <w:color w:val="231F20"/>
          <w:spacing w:val="-6"/>
        </w:rPr>
        <w:t>d’autres</w:t>
      </w:r>
      <w:r>
        <w:rPr>
          <w:color w:val="231F20"/>
          <w:spacing w:val="-9"/>
        </w:rPr>
        <w:t> </w:t>
      </w:r>
      <w:r>
        <w:rPr>
          <w:color w:val="231F20"/>
          <w:spacing w:val="-6"/>
        </w:rPr>
        <w:t>monnaies</w:t>
      </w:r>
      <w:r>
        <w:rPr>
          <w:color w:val="231F20"/>
          <w:spacing w:val="-9"/>
        </w:rPr>
        <w:t> </w:t>
      </w:r>
      <w:r>
        <w:rPr>
          <w:color w:val="231F20"/>
          <w:spacing w:val="-6"/>
        </w:rPr>
        <w:t>avec</w:t>
      </w:r>
      <w:r>
        <w:rPr>
          <w:color w:val="231F20"/>
          <w:spacing w:val="-9"/>
        </w:rPr>
        <w:t> </w:t>
      </w:r>
      <w:r>
        <w:rPr>
          <w:color w:val="231F20"/>
          <w:spacing w:val="-6"/>
        </w:rPr>
        <w:t>les </w:t>
      </w:r>
      <w:r>
        <w:rPr>
          <w:color w:val="231F20"/>
          <w:spacing w:val="-12"/>
        </w:rPr>
        <w:t>pertes</w:t>
      </w:r>
      <w:r>
        <w:rPr>
          <w:color w:val="231F20"/>
          <w:spacing w:val="-4"/>
        </w:rPr>
        <w:t> </w:t>
      </w:r>
      <w:r>
        <w:rPr>
          <w:color w:val="231F20"/>
          <w:spacing w:val="-12"/>
        </w:rPr>
        <w:t>qu’induisent</w:t>
      </w:r>
      <w:r>
        <w:rPr>
          <w:color w:val="231F20"/>
          <w:spacing w:val="-4"/>
        </w:rPr>
        <w:t> </w:t>
      </w:r>
      <w:r>
        <w:rPr>
          <w:color w:val="231F20"/>
          <w:spacing w:val="-12"/>
        </w:rPr>
        <w:t>les</w:t>
      </w:r>
      <w:r>
        <w:rPr>
          <w:color w:val="231F20"/>
          <w:spacing w:val="-4"/>
        </w:rPr>
        <w:t> </w:t>
      </w:r>
      <w:r>
        <w:rPr>
          <w:color w:val="231F20"/>
          <w:spacing w:val="-12"/>
        </w:rPr>
        <w:t>taux</w:t>
      </w:r>
      <w:r>
        <w:rPr>
          <w:color w:val="231F20"/>
          <w:spacing w:val="-4"/>
        </w:rPr>
        <w:t> </w:t>
      </w:r>
      <w:r>
        <w:rPr>
          <w:color w:val="231F20"/>
          <w:spacing w:val="-12"/>
        </w:rPr>
        <w:t>de</w:t>
      </w:r>
      <w:r>
        <w:rPr>
          <w:color w:val="231F20"/>
          <w:spacing w:val="-4"/>
        </w:rPr>
        <w:t> </w:t>
      </w:r>
      <w:r>
        <w:rPr>
          <w:color w:val="231F20"/>
          <w:spacing w:val="-12"/>
        </w:rPr>
        <w:t>change,</w:t>
      </w:r>
      <w:r>
        <w:rPr>
          <w:color w:val="231F20"/>
          <w:spacing w:val="-4"/>
        </w:rPr>
        <w:t> </w:t>
      </w:r>
      <w:r>
        <w:rPr>
          <w:color w:val="231F20"/>
          <w:spacing w:val="-12"/>
        </w:rPr>
        <w:t>et</w:t>
      </w:r>
      <w:r>
        <w:rPr>
          <w:color w:val="231F20"/>
          <w:spacing w:val="-4"/>
        </w:rPr>
        <w:t> </w:t>
      </w:r>
      <w:r>
        <w:rPr>
          <w:color w:val="231F20"/>
          <w:spacing w:val="-12"/>
        </w:rPr>
        <w:t>doit </w:t>
      </w:r>
      <w:r>
        <w:rPr>
          <w:color w:val="231F20"/>
        </w:rPr>
        <w:t>finalement</w:t>
      </w:r>
      <w:r>
        <w:rPr>
          <w:color w:val="231F20"/>
          <w:spacing w:val="-17"/>
        </w:rPr>
        <w:t> </w:t>
      </w:r>
      <w:r>
        <w:rPr>
          <w:color w:val="231F20"/>
        </w:rPr>
        <w:t>passer</w:t>
      </w:r>
      <w:r>
        <w:rPr>
          <w:color w:val="231F20"/>
          <w:spacing w:val="-16"/>
        </w:rPr>
        <w:t> </w:t>
      </w:r>
      <w:r>
        <w:rPr>
          <w:color w:val="231F20"/>
        </w:rPr>
        <w:t>par</w:t>
      </w:r>
      <w:r>
        <w:rPr>
          <w:color w:val="231F20"/>
          <w:spacing w:val="-17"/>
        </w:rPr>
        <w:t> </w:t>
      </w:r>
      <w:r>
        <w:rPr>
          <w:color w:val="231F20"/>
        </w:rPr>
        <w:t>différentes</w:t>
      </w:r>
      <w:r>
        <w:rPr>
          <w:color w:val="231F20"/>
          <w:spacing w:val="-16"/>
        </w:rPr>
        <w:t> </w:t>
      </w:r>
      <w:r>
        <w:rPr>
          <w:color w:val="231F20"/>
        </w:rPr>
        <w:t>banques </w:t>
      </w:r>
      <w:r>
        <w:rPr>
          <w:color w:val="231F20"/>
          <w:spacing w:val="-8"/>
        </w:rPr>
        <w:t>internationales</w:t>
      </w:r>
      <w:r>
        <w:rPr>
          <w:color w:val="231F20"/>
          <w:spacing w:val="-8"/>
        </w:rPr>
        <w:t> qui,</w:t>
      </w:r>
      <w:r>
        <w:rPr>
          <w:color w:val="231F20"/>
          <w:spacing w:val="-8"/>
        </w:rPr>
        <w:t> bien</w:t>
      </w:r>
      <w:r>
        <w:rPr>
          <w:color w:val="231F20"/>
          <w:spacing w:val="-8"/>
        </w:rPr>
        <w:t> entendu,</w:t>
      </w:r>
      <w:r>
        <w:rPr>
          <w:color w:val="231F20"/>
          <w:spacing w:val="-8"/>
        </w:rPr>
        <w:t> encaissent </w:t>
      </w:r>
      <w:r>
        <w:rPr>
          <w:color w:val="231F20"/>
          <w:spacing w:val="-20"/>
        </w:rPr>
        <w:t>chaque</w:t>
      </w:r>
      <w:r>
        <w:rPr>
          <w:color w:val="231F20"/>
          <w:spacing w:val="6"/>
        </w:rPr>
        <w:t> </w:t>
      </w:r>
      <w:r>
        <w:rPr>
          <w:color w:val="231F20"/>
          <w:spacing w:val="-20"/>
        </w:rPr>
        <w:t>fois</w:t>
      </w:r>
      <w:r>
        <w:rPr>
          <w:color w:val="231F20"/>
          <w:spacing w:val="3"/>
        </w:rPr>
        <w:t> </w:t>
      </w:r>
      <w:r>
        <w:rPr>
          <w:color w:val="231F20"/>
          <w:spacing w:val="-20"/>
        </w:rPr>
        <w:t>des</w:t>
      </w:r>
      <w:r>
        <w:rPr>
          <w:color w:val="231F20"/>
          <w:spacing w:val="4"/>
        </w:rPr>
        <w:t> </w:t>
      </w:r>
      <w:r>
        <w:rPr>
          <w:color w:val="231F20"/>
          <w:spacing w:val="-20"/>
        </w:rPr>
        <w:t>commissions,</w:t>
      </w:r>
      <w:r>
        <w:rPr>
          <w:color w:val="231F20"/>
          <w:spacing w:val="6"/>
        </w:rPr>
        <w:t> </w:t>
      </w:r>
      <w:r>
        <w:rPr>
          <w:color w:val="231F20"/>
          <w:spacing w:val="-20"/>
        </w:rPr>
        <w:t>d’où</w:t>
      </w:r>
      <w:r>
        <w:rPr>
          <w:color w:val="231F20"/>
          <w:spacing w:val="6"/>
        </w:rPr>
        <w:t> </w:t>
      </w:r>
      <w:r>
        <w:rPr>
          <w:color w:val="231F20"/>
          <w:spacing w:val="-20"/>
        </w:rPr>
        <w:t>une</w:t>
      </w:r>
      <w:r>
        <w:rPr>
          <w:color w:val="231F20"/>
          <w:spacing w:val="6"/>
        </w:rPr>
        <w:t> </w:t>
      </w:r>
      <w:r>
        <w:rPr>
          <w:color w:val="231F20"/>
          <w:spacing w:val="-20"/>
        </w:rPr>
        <w:t>élévation </w:t>
      </w:r>
      <w:r>
        <w:rPr>
          <w:color w:val="231F20"/>
          <w:spacing w:val="-8"/>
        </w:rPr>
        <w:t>des</w:t>
      </w:r>
      <w:r>
        <w:rPr>
          <w:color w:val="231F20"/>
          <w:spacing w:val="-29"/>
        </w:rPr>
        <w:t> </w:t>
      </w:r>
      <w:r>
        <w:rPr>
          <w:color w:val="231F20"/>
          <w:spacing w:val="-8"/>
        </w:rPr>
        <w:t>coûts</w:t>
      </w:r>
      <w:r>
        <w:rPr>
          <w:color w:val="231F20"/>
          <w:spacing w:val="-29"/>
        </w:rPr>
        <w:t> </w:t>
      </w:r>
      <w:r>
        <w:rPr>
          <w:color w:val="231F20"/>
          <w:spacing w:val="-8"/>
        </w:rPr>
        <w:t>financiers</w:t>
      </w:r>
      <w:r>
        <w:rPr>
          <w:color w:val="231F20"/>
          <w:spacing w:val="-29"/>
        </w:rPr>
        <w:t> </w:t>
      </w:r>
      <w:r>
        <w:rPr>
          <w:color w:val="231F20"/>
          <w:spacing w:val="-8"/>
        </w:rPr>
        <w:t>que</w:t>
      </w:r>
      <w:r>
        <w:rPr>
          <w:color w:val="231F20"/>
          <w:spacing w:val="-29"/>
        </w:rPr>
        <w:t> </w:t>
      </w:r>
      <w:r>
        <w:rPr>
          <w:color w:val="231F20"/>
          <w:spacing w:val="-8"/>
        </w:rPr>
        <w:t>doit</w:t>
      </w:r>
      <w:r>
        <w:rPr>
          <w:color w:val="231F20"/>
          <w:spacing w:val="-29"/>
        </w:rPr>
        <w:t> </w:t>
      </w:r>
      <w:r>
        <w:rPr>
          <w:color w:val="231F20"/>
          <w:spacing w:val="-8"/>
        </w:rPr>
        <w:t>couvrir</w:t>
      </w:r>
      <w:r>
        <w:rPr>
          <w:color w:val="231F20"/>
          <w:spacing w:val="-29"/>
        </w:rPr>
        <w:t> </w:t>
      </w:r>
      <w:r>
        <w:rPr>
          <w:color w:val="231F20"/>
          <w:spacing w:val="-8"/>
        </w:rPr>
        <w:t>Alimport.</w:t>
      </w:r>
    </w:p>
    <w:p>
      <w:pPr>
        <w:pStyle w:val="BodyText"/>
        <w:spacing w:before="168"/>
        <w:ind w:left="1133"/>
      </w:pPr>
      <w:r>
        <w:rPr>
          <w:color w:val="231F20"/>
        </w:rPr>
        <w:t>Les préjudices enregistrés à titre de fret, </w:t>
      </w:r>
      <w:r>
        <w:rPr>
          <w:color w:val="231F20"/>
          <w:spacing w:val="-10"/>
        </w:rPr>
        <w:t>d’assurance</w:t>
      </w:r>
      <w:r>
        <w:rPr>
          <w:color w:val="231F20"/>
        </w:rPr>
        <w:t> </w:t>
      </w:r>
      <w:r>
        <w:rPr>
          <w:color w:val="231F20"/>
          <w:spacing w:val="-10"/>
        </w:rPr>
        <w:t>et</w:t>
      </w:r>
      <w:r>
        <w:rPr>
          <w:color w:val="231F20"/>
        </w:rPr>
        <w:t> </w:t>
      </w:r>
      <w:r>
        <w:rPr>
          <w:color w:val="231F20"/>
          <w:spacing w:val="-10"/>
        </w:rPr>
        <w:t>d’intermédiaires</w:t>
      </w:r>
      <w:r>
        <w:rPr>
          <w:color w:val="231F20"/>
        </w:rPr>
        <w:t> </w:t>
      </w:r>
      <w:r>
        <w:rPr>
          <w:color w:val="231F20"/>
          <w:spacing w:val="-10"/>
        </w:rPr>
        <w:t>commerciaux –</w:t>
      </w:r>
      <w:r>
        <w:rPr>
          <w:color w:val="231F20"/>
          <w:spacing w:val="-7"/>
        </w:rPr>
        <w:t> </w:t>
      </w:r>
      <w:r>
        <w:rPr>
          <w:color w:val="231F20"/>
          <w:spacing w:val="-10"/>
        </w:rPr>
        <w:t>d’où</w:t>
      </w:r>
      <w:r>
        <w:rPr>
          <w:color w:val="231F20"/>
          <w:spacing w:val="-6"/>
        </w:rPr>
        <w:t> </w:t>
      </w:r>
      <w:r>
        <w:rPr>
          <w:color w:val="231F20"/>
          <w:spacing w:val="-10"/>
        </w:rPr>
        <w:t>un</w:t>
      </w:r>
      <w:r>
        <w:rPr>
          <w:color w:val="231F20"/>
          <w:spacing w:val="-7"/>
        </w:rPr>
        <w:t> </w:t>
      </w:r>
      <w:r>
        <w:rPr>
          <w:color w:val="231F20"/>
          <w:spacing w:val="-10"/>
        </w:rPr>
        <w:t>surcoût</w:t>
      </w:r>
      <w:r>
        <w:rPr>
          <w:color w:val="231F20"/>
          <w:spacing w:val="-6"/>
        </w:rPr>
        <w:t> </w:t>
      </w:r>
      <w:r>
        <w:rPr>
          <w:color w:val="231F20"/>
          <w:spacing w:val="-10"/>
        </w:rPr>
        <w:t>des</w:t>
      </w:r>
      <w:r>
        <w:rPr>
          <w:color w:val="231F20"/>
          <w:spacing w:val="-7"/>
        </w:rPr>
        <w:t> </w:t>
      </w:r>
      <w:r>
        <w:rPr>
          <w:color w:val="231F20"/>
          <w:spacing w:val="-10"/>
        </w:rPr>
        <w:t>marchandises</w:t>
      </w:r>
      <w:r>
        <w:rPr>
          <w:color w:val="231F20"/>
          <w:spacing w:val="-6"/>
        </w:rPr>
        <w:t> </w:t>
      </w:r>
      <w:r>
        <w:rPr>
          <w:color w:val="231F20"/>
          <w:spacing w:val="-10"/>
        </w:rPr>
        <w:t>–</w:t>
      </w:r>
      <w:r>
        <w:rPr>
          <w:color w:val="231F20"/>
          <w:spacing w:val="-7"/>
        </w:rPr>
        <w:t> </w:t>
      </w:r>
      <w:r>
        <w:rPr>
          <w:color w:val="231F20"/>
          <w:spacing w:val="-10"/>
        </w:rPr>
        <w:t>se</w:t>
      </w:r>
      <w:r>
        <w:rPr>
          <w:color w:val="231F20"/>
          <w:spacing w:val="-6"/>
        </w:rPr>
        <w:t> </w:t>
      </w:r>
      <w:r>
        <w:rPr>
          <w:color w:val="231F20"/>
          <w:spacing w:val="-10"/>
        </w:rPr>
        <w:t>sont </w:t>
      </w:r>
      <w:r>
        <w:rPr>
          <w:color w:val="231F20"/>
          <w:spacing w:val="-6"/>
        </w:rPr>
        <w:t>chiffrés</w:t>
      </w:r>
      <w:r>
        <w:rPr>
          <w:color w:val="231F20"/>
          <w:spacing w:val="-11"/>
        </w:rPr>
        <w:t> </w:t>
      </w:r>
      <w:r>
        <w:rPr>
          <w:color w:val="231F20"/>
          <w:spacing w:val="-6"/>
        </w:rPr>
        <w:t>à</w:t>
      </w:r>
      <w:r>
        <w:rPr>
          <w:color w:val="231F20"/>
          <w:spacing w:val="-9"/>
        </w:rPr>
        <w:t> </w:t>
      </w:r>
      <w:r>
        <w:rPr>
          <w:rFonts w:ascii="Segoe UI Semibold" w:hAnsi="Segoe UI Semibold"/>
          <w:b/>
          <w:color w:val="231F20"/>
          <w:spacing w:val="-6"/>
        </w:rPr>
        <w:t>490</w:t>
      </w:r>
      <w:r>
        <w:rPr>
          <w:rFonts w:ascii="Segoe UI Semibold" w:hAnsi="Segoe UI Semibold"/>
          <w:b/>
          <w:color w:val="231F20"/>
          <w:spacing w:val="-11"/>
        </w:rPr>
        <w:t> </w:t>
      </w:r>
      <w:r>
        <w:rPr>
          <w:rFonts w:ascii="Segoe UI Semibold" w:hAnsi="Segoe UI Semibold"/>
          <w:b/>
          <w:color w:val="231F20"/>
          <w:spacing w:val="-6"/>
        </w:rPr>
        <w:t>900</w:t>
      </w:r>
      <w:r>
        <w:rPr>
          <w:rFonts w:ascii="Segoe UI Semibold" w:hAnsi="Segoe UI Semibold"/>
          <w:b/>
          <w:color w:val="231F20"/>
          <w:spacing w:val="-10"/>
        </w:rPr>
        <w:t> </w:t>
      </w:r>
      <w:r>
        <w:rPr>
          <w:rFonts w:ascii="Segoe UI Semibold" w:hAnsi="Segoe UI Semibold"/>
          <w:b/>
          <w:color w:val="231F20"/>
          <w:spacing w:val="-6"/>
        </w:rPr>
        <w:t>000</w:t>
      </w:r>
      <w:r>
        <w:rPr>
          <w:rFonts w:ascii="Segoe UI Semibold" w:hAnsi="Segoe UI Semibold"/>
          <w:b/>
          <w:color w:val="231F20"/>
          <w:spacing w:val="-11"/>
        </w:rPr>
        <w:t> </w:t>
      </w:r>
      <w:r>
        <w:rPr>
          <w:rFonts w:ascii="Segoe UI Semibold" w:hAnsi="Segoe UI Semibold"/>
          <w:b/>
          <w:color w:val="231F20"/>
          <w:spacing w:val="-6"/>
        </w:rPr>
        <w:t>dollars</w:t>
      </w:r>
      <w:r>
        <w:rPr>
          <w:color w:val="231F20"/>
          <w:spacing w:val="-6"/>
        </w:rPr>
        <w:t>,</w:t>
      </w:r>
      <w:r>
        <w:rPr>
          <w:color w:val="231F20"/>
          <w:spacing w:val="-10"/>
        </w:rPr>
        <w:t> </w:t>
      </w:r>
      <w:r>
        <w:rPr>
          <w:color w:val="231F20"/>
          <w:spacing w:val="-6"/>
        </w:rPr>
        <w:t>soit</w:t>
      </w:r>
      <w:r>
        <w:rPr>
          <w:color w:val="231F20"/>
          <w:spacing w:val="-11"/>
        </w:rPr>
        <w:t> </w:t>
      </w:r>
      <w:r>
        <w:rPr>
          <w:color w:val="231F20"/>
          <w:spacing w:val="-6"/>
        </w:rPr>
        <w:t>31</w:t>
      </w:r>
      <w:r>
        <w:rPr>
          <w:color w:val="231F20"/>
          <w:spacing w:val="-10"/>
        </w:rPr>
        <w:t> </w:t>
      </w:r>
      <w:r>
        <w:rPr>
          <w:color w:val="231F20"/>
          <w:spacing w:val="-6"/>
        </w:rPr>
        <w:t>p.</w:t>
      </w:r>
      <w:r>
        <w:rPr>
          <w:color w:val="231F20"/>
          <w:spacing w:val="-11"/>
        </w:rPr>
        <w:t> </w:t>
      </w:r>
      <w:r>
        <w:rPr>
          <w:color w:val="231F20"/>
          <w:spacing w:val="-6"/>
        </w:rPr>
        <w:t>100 </w:t>
      </w:r>
      <w:r>
        <w:rPr>
          <w:color w:val="231F20"/>
          <w:spacing w:val="-2"/>
        </w:rPr>
        <w:t>de</w:t>
      </w:r>
      <w:r>
        <w:rPr>
          <w:color w:val="231F20"/>
          <w:spacing w:val="-13"/>
        </w:rPr>
        <w:t> </w:t>
      </w:r>
      <w:r>
        <w:rPr>
          <w:color w:val="231F20"/>
          <w:spacing w:val="-2"/>
        </w:rPr>
        <w:t>plus</w:t>
      </w:r>
      <w:r>
        <w:rPr>
          <w:color w:val="231F20"/>
          <w:spacing w:val="-13"/>
        </w:rPr>
        <w:t> </w:t>
      </w:r>
      <w:r>
        <w:rPr>
          <w:color w:val="231F20"/>
          <w:spacing w:val="-2"/>
        </w:rPr>
        <w:t>que</w:t>
      </w:r>
      <w:r>
        <w:rPr>
          <w:color w:val="231F20"/>
          <w:spacing w:val="-13"/>
        </w:rPr>
        <w:t> </w:t>
      </w:r>
      <w:r>
        <w:rPr>
          <w:color w:val="231F20"/>
          <w:spacing w:val="-2"/>
        </w:rPr>
        <w:t>ceux</w:t>
      </w:r>
      <w:r>
        <w:rPr>
          <w:color w:val="231F20"/>
          <w:spacing w:val="-13"/>
        </w:rPr>
        <w:t> </w:t>
      </w:r>
      <w:r>
        <w:rPr>
          <w:color w:val="231F20"/>
          <w:spacing w:val="-2"/>
        </w:rPr>
        <w:t>du</w:t>
      </w:r>
      <w:r>
        <w:rPr>
          <w:color w:val="231F20"/>
          <w:spacing w:val="-13"/>
        </w:rPr>
        <w:t> </w:t>
      </w:r>
      <w:r>
        <w:rPr>
          <w:color w:val="231F20"/>
          <w:spacing w:val="-2"/>
        </w:rPr>
        <w:t>rapport</w:t>
      </w:r>
      <w:r>
        <w:rPr>
          <w:color w:val="231F20"/>
          <w:spacing w:val="-13"/>
        </w:rPr>
        <w:t> </w:t>
      </w:r>
      <w:r>
        <w:rPr>
          <w:color w:val="231F20"/>
          <w:spacing w:val="-2"/>
        </w:rPr>
        <w:t>antérieur.</w:t>
      </w:r>
    </w:p>
    <w:p>
      <w:pPr>
        <w:pStyle w:val="BodyText"/>
        <w:spacing w:before="164"/>
        <w:ind w:left="1133"/>
        <w:rPr>
          <w:rFonts w:ascii="Segoe UI Semibold" w:hAnsi="Segoe UI Semibold"/>
          <w:b/>
        </w:rPr>
      </w:pPr>
      <w:r>
        <w:rPr>
          <w:rFonts w:ascii="Segoe UI Semibold" w:hAnsi="Segoe UI Semibold"/>
          <w:b/>
          <w:color w:val="231F20"/>
        </w:rPr>
        <w:t>Préjudices</w:t>
      </w:r>
      <w:r>
        <w:rPr>
          <w:rFonts w:ascii="Segoe UI Semibold" w:hAnsi="Segoe UI Semibold"/>
          <w:b/>
          <w:color w:val="231F20"/>
          <w:spacing w:val="-17"/>
        </w:rPr>
        <w:t> </w:t>
      </w:r>
      <w:r>
        <w:rPr>
          <w:rFonts w:ascii="Segoe UI Semibold" w:hAnsi="Segoe UI Semibold"/>
          <w:b/>
          <w:color w:val="231F20"/>
        </w:rPr>
        <w:t>causés</w:t>
      </w:r>
      <w:r>
        <w:rPr>
          <w:rFonts w:ascii="Segoe UI Semibold" w:hAnsi="Segoe UI Semibold"/>
          <w:b/>
          <w:color w:val="231F20"/>
          <w:spacing w:val="-16"/>
        </w:rPr>
        <w:t> </w:t>
      </w:r>
      <w:r>
        <w:rPr>
          <w:rFonts w:ascii="Segoe UI Semibold" w:hAnsi="Segoe UI Semibold"/>
          <w:b/>
          <w:color w:val="231F20"/>
        </w:rPr>
        <w:t>au</w:t>
      </w:r>
      <w:r>
        <w:rPr>
          <w:rFonts w:ascii="Segoe UI Semibold" w:hAnsi="Segoe UI Semibold"/>
          <w:b/>
          <w:color w:val="231F20"/>
          <w:spacing w:val="-17"/>
        </w:rPr>
        <w:t> </w:t>
      </w:r>
      <w:r>
        <w:rPr>
          <w:rFonts w:ascii="Segoe UI Semibold" w:hAnsi="Segoe UI Semibold"/>
          <w:b/>
          <w:color w:val="231F20"/>
        </w:rPr>
        <w:t>commerce</w:t>
      </w:r>
      <w:r>
        <w:rPr>
          <w:rFonts w:ascii="Segoe UI Semibold" w:hAnsi="Segoe UI Semibold"/>
          <w:b/>
          <w:color w:val="231F20"/>
          <w:spacing w:val="-16"/>
        </w:rPr>
        <w:t> </w:t>
      </w:r>
      <w:r>
        <w:rPr>
          <w:rFonts w:ascii="Segoe UI Semibold" w:hAnsi="Segoe UI Semibold"/>
          <w:b/>
          <w:color w:val="231F20"/>
        </w:rPr>
        <w:t>extérieur (mars 2022-février 2023)</w:t>
      </w:r>
    </w:p>
    <w:p>
      <w:pPr>
        <w:pStyle w:val="Heading2"/>
        <w:spacing w:before="83"/>
        <w:ind w:left="419" w:right="1967"/>
      </w:pPr>
      <w:r>
        <w:rPr/>
        <w:br w:type="column"/>
      </w:r>
      <w:r>
        <w:rPr>
          <w:color w:val="1F4282"/>
          <w:w w:val="110"/>
        </w:rPr>
        <w:t>Préjudices causés au</w:t>
      </w:r>
      <w:r>
        <w:rPr>
          <w:color w:val="1F4282"/>
          <w:spacing w:val="40"/>
          <w:w w:val="110"/>
        </w:rPr>
        <w:t> </w:t>
      </w:r>
      <w:r>
        <w:rPr>
          <w:color w:val="1F4282"/>
          <w:w w:val="110"/>
        </w:rPr>
        <w:t>secteur bancaire et </w:t>
      </w:r>
      <w:r>
        <w:rPr>
          <w:color w:val="1F4282"/>
          <w:w w:val="110"/>
        </w:rPr>
        <w:t>financier</w:t>
      </w:r>
    </w:p>
    <w:p>
      <w:pPr>
        <w:pStyle w:val="BodyText"/>
        <w:spacing w:before="160"/>
        <w:ind w:left="419" w:right="1476"/>
      </w:pPr>
      <w:r>
        <w:rPr>
          <w:color w:val="231F20"/>
        </w:rPr>
        <w:t>De mars 2022 à février 2023, le système bancaire et financier est resté une des </w:t>
      </w:r>
      <w:r>
        <w:rPr>
          <w:color w:val="231F20"/>
          <w:spacing w:val="-8"/>
        </w:rPr>
        <w:t>principales cibles de l’agression étasunienne, </w:t>
      </w:r>
      <w:r>
        <w:rPr>
          <w:color w:val="231F20"/>
        </w:rPr>
        <w:t>les</w:t>
      </w:r>
      <w:r>
        <w:rPr>
          <w:color w:val="231F20"/>
          <w:spacing w:val="-17"/>
        </w:rPr>
        <w:t> </w:t>
      </w:r>
      <w:r>
        <w:rPr>
          <w:color w:val="231F20"/>
        </w:rPr>
        <w:t>préjudices</w:t>
      </w:r>
      <w:r>
        <w:rPr>
          <w:color w:val="231F20"/>
          <w:spacing w:val="-16"/>
        </w:rPr>
        <w:t> </w:t>
      </w:r>
      <w:r>
        <w:rPr>
          <w:color w:val="231F20"/>
        </w:rPr>
        <w:t>s’étant</w:t>
      </w:r>
      <w:r>
        <w:rPr>
          <w:color w:val="231F20"/>
          <w:spacing w:val="-17"/>
        </w:rPr>
        <w:t> </w:t>
      </w:r>
      <w:r>
        <w:rPr>
          <w:color w:val="231F20"/>
        </w:rPr>
        <w:t>chiffrés</w:t>
      </w:r>
      <w:r>
        <w:rPr>
          <w:color w:val="231F20"/>
          <w:spacing w:val="-16"/>
        </w:rPr>
        <w:t> </w:t>
      </w:r>
      <w:r>
        <w:rPr>
          <w:color w:val="231F20"/>
        </w:rPr>
        <w:t>à</w:t>
      </w:r>
      <w:r>
        <w:rPr>
          <w:color w:val="231F20"/>
          <w:spacing w:val="-17"/>
        </w:rPr>
        <w:t> </w:t>
      </w:r>
      <w:r>
        <w:rPr>
          <w:color w:val="231F20"/>
        </w:rPr>
        <w:t>plus</w:t>
      </w:r>
      <w:r>
        <w:rPr>
          <w:color w:val="231F20"/>
          <w:spacing w:val="-16"/>
        </w:rPr>
        <w:t> </w:t>
      </w:r>
      <w:r>
        <w:rPr>
          <w:color w:val="231F20"/>
        </w:rPr>
        <w:t>de</w:t>
      </w:r>
      <w:r>
        <w:rPr>
          <w:color w:val="231F20"/>
          <w:spacing w:val="-17"/>
        </w:rPr>
        <w:t> </w:t>
      </w:r>
      <w:r>
        <w:rPr>
          <w:color w:val="231F20"/>
        </w:rPr>
        <w:t>280 200 000 dollars.</w:t>
      </w:r>
    </w:p>
    <w:p>
      <w:pPr>
        <w:pStyle w:val="BodyText"/>
        <w:spacing w:before="164"/>
        <w:ind w:left="419" w:right="1475"/>
      </w:pPr>
      <w:r>
        <w:rPr>
          <w:color w:val="231F20"/>
          <w:spacing w:val="-6"/>
        </w:rPr>
        <w:t>Durant</w:t>
      </w:r>
      <w:r>
        <w:rPr>
          <w:color w:val="231F20"/>
          <w:spacing w:val="-11"/>
        </w:rPr>
        <w:t> </w:t>
      </w:r>
      <w:r>
        <w:rPr>
          <w:color w:val="231F20"/>
          <w:spacing w:val="-6"/>
        </w:rPr>
        <w:t>cette</w:t>
      </w:r>
      <w:r>
        <w:rPr>
          <w:color w:val="231F20"/>
          <w:spacing w:val="-10"/>
        </w:rPr>
        <w:t> </w:t>
      </w:r>
      <w:r>
        <w:rPr>
          <w:color w:val="231F20"/>
          <w:spacing w:val="-6"/>
        </w:rPr>
        <w:t>étape,</w:t>
      </w:r>
      <w:r>
        <w:rPr>
          <w:color w:val="231F20"/>
          <w:spacing w:val="-11"/>
        </w:rPr>
        <w:t> </w:t>
      </w:r>
      <w:r>
        <w:rPr>
          <w:color w:val="231F20"/>
          <w:spacing w:val="-6"/>
        </w:rPr>
        <w:t>les</w:t>
      </w:r>
      <w:r>
        <w:rPr>
          <w:color w:val="231F20"/>
          <w:spacing w:val="-10"/>
        </w:rPr>
        <w:t> </w:t>
      </w:r>
      <w:r>
        <w:rPr>
          <w:color w:val="231F20"/>
          <w:spacing w:val="-6"/>
        </w:rPr>
        <w:t>institutions</w:t>
      </w:r>
      <w:r>
        <w:rPr>
          <w:color w:val="231F20"/>
          <w:spacing w:val="-11"/>
        </w:rPr>
        <w:t> </w:t>
      </w:r>
      <w:r>
        <w:rPr>
          <w:color w:val="231F20"/>
          <w:spacing w:val="-6"/>
        </w:rPr>
        <w:t>bancaires </w:t>
      </w:r>
      <w:r>
        <w:rPr>
          <w:color w:val="231F20"/>
        </w:rPr>
        <w:t>et financières étrangères ont continué de refuser d’opérer avec des banques et des </w:t>
      </w:r>
      <w:r>
        <w:rPr>
          <w:color w:val="231F20"/>
          <w:spacing w:val="-8"/>
        </w:rPr>
        <w:t>entreprises cubaines, de fermer des comptes </w:t>
      </w:r>
      <w:r>
        <w:rPr>
          <w:color w:val="231F20"/>
        </w:rPr>
        <w:t>et de résilier des contrats, de refuser des transactions bancaires et d’annuler des </w:t>
      </w:r>
      <w:r>
        <w:rPr>
          <w:color w:val="231F20"/>
          <w:spacing w:val="-4"/>
        </w:rPr>
        <w:t>clefs</w:t>
      </w:r>
      <w:r>
        <w:rPr>
          <w:color w:val="231F20"/>
          <w:spacing w:val="-10"/>
        </w:rPr>
        <w:t> </w:t>
      </w:r>
      <w:r>
        <w:rPr>
          <w:color w:val="231F20"/>
          <w:spacing w:val="-4"/>
        </w:rPr>
        <w:t>de</w:t>
      </w:r>
      <w:r>
        <w:rPr>
          <w:color w:val="231F20"/>
          <w:spacing w:val="-10"/>
        </w:rPr>
        <w:t> </w:t>
      </w:r>
      <w:r>
        <w:rPr>
          <w:color w:val="231F20"/>
          <w:spacing w:val="-4"/>
        </w:rPr>
        <w:t>messagerie</w:t>
      </w:r>
      <w:r>
        <w:rPr>
          <w:color w:val="231F20"/>
          <w:spacing w:val="-10"/>
        </w:rPr>
        <w:t> </w:t>
      </w:r>
      <w:r>
        <w:rPr>
          <w:color w:val="231F20"/>
          <w:spacing w:val="-4"/>
        </w:rPr>
        <w:t>nécessaires</w:t>
      </w:r>
      <w:r>
        <w:rPr>
          <w:color w:val="231F20"/>
          <w:spacing w:val="-10"/>
        </w:rPr>
        <w:t> </w:t>
      </w:r>
      <w:r>
        <w:rPr>
          <w:color w:val="231F20"/>
          <w:spacing w:val="-4"/>
        </w:rPr>
        <w:t>à</w:t>
      </w:r>
      <w:r>
        <w:rPr>
          <w:color w:val="231F20"/>
          <w:spacing w:val="-10"/>
        </w:rPr>
        <w:t> </w:t>
      </w:r>
      <w:r>
        <w:rPr>
          <w:color w:val="231F20"/>
          <w:spacing w:val="-4"/>
        </w:rPr>
        <w:t>l’échange </w:t>
      </w:r>
      <w:r>
        <w:rPr>
          <w:color w:val="231F20"/>
        </w:rPr>
        <w:t>d’information financière que délivre la Society</w:t>
      </w:r>
      <w:r>
        <w:rPr>
          <w:color w:val="231F20"/>
          <w:spacing w:val="-3"/>
        </w:rPr>
        <w:t> </w:t>
      </w:r>
      <w:r>
        <w:rPr>
          <w:color w:val="231F20"/>
        </w:rPr>
        <w:t>for</w:t>
      </w:r>
      <w:r>
        <w:rPr>
          <w:color w:val="231F20"/>
          <w:spacing w:val="-3"/>
        </w:rPr>
        <w:t> </w:t>
      </w:r>
      <w:r>
        <w:rPr>
          <w:color w:val="231F20"/>
        </w:rPr>
        <w:t>Worldwide</w:t>
      </w:r>
      <w:r>
        <w:rPr>
          <w:color w:val="231F20"/>
          <w:spacing w:val="-3"/>
        </w:rPr>
        <w:t> </w:t>
      </w:r>
      <w:r>
        <w:rPr>
          <w:color w:val="231F20"/>
        </w:rPr>
        <w:t>Interbank</w:t>
      </w:r>
      <w:r>
        <w:rPr>
          <w:color w:val="231F20"/>
          <w:spacing w:val="-3"/>
        </w:rPr>
        <w:t> </w:t>
      </w:r>
      <w:r>
        <w:rPr>
          <w:color w:val="231F20"/>
        </w:rPr>
        <w:t>Financial Telecommunication (SWIFT).</w:t>
      </w:r>
    </w:p>
    <w:p>
      <w:pPr>
        <w:pStyle w:val="BodyText"/>
        <w:spacing w:before="168"/>
        <w:ind w:left="419" w:right="1473"/>
      </w:pPr>
      <w:r>
        <w:rPr>
          <w:color w:val="231F20"/>
        </w:rPr>
        <w:t>Se</w:t>
      </w:r>
      <w:r>
        <w:rPr>
          <w:color w:val="231F20"/>
          <w:spacing w:val="-17"/>
        </w:rPr>
        <w:t> </w:t>
      </w:r>
      <w:r>
        <w:rPr>
          <w:color w:val="231F20"/>
        </w:rPr>
        <w:t>maintiennent</w:t>
      </w:r>
      <w:r>
        <w:rPr>
          <w:color w:val="231F20"/>
          <w:spacing w:val="-16"/>
        </w:rPr>
        <w:t> </w:t>
      </w:r>
      <w:r>
        <w:rPr>
          <w:color w:val="231F20"/>
        </w:rPr>
        <w:t>les</w:t>
      </w:r>
      <w:r>
        <w:rPr>
          <w:color w:val="231F20"/>
          <w:spacing w:val="-17"/>
        </w:rPr>
        <w:t> </w:t>
      </w:r>
      <w:r>
        <w:rPr>
          <w:color w:val="231F20"/>
        </w:rPr>
        <w:t>préjudices</w:t>
      </w:r>
      <w:r>
        <w:rPr>
          <w:color w:val="231F20"/>
          <w:spacing w:val="-16"/>
        </w:rPr>
        <w:t> </w:t>
      </w:r>
      <w:r>
        <w:rPr>
          <w:color w:val="231F20"/>
        </w:rPr>
        <w:t>associés</w:t>
      </w:r>
      <w:r>
        <w:rPr>
          <w:color w:val="231F20"/>
          <w:spacing w:val="-17"/>
        </w:rPr>
        <w:t> </w:t>
      </w:r>
      <w:r>
        <w:rPr>
          <w:color w:val="231F20"/>
        </w:rPr>
        <w:t>au fait que Cuba n’a pas le droit d’utiliser le </w:t>
      </w:r>
      <w:r>
        <w:rPr>
          <w:color w:val="231F20"/>
          <w:spacing w:val="-6"/>
        </w:rPr>
        <w:t>dollar</w:t>
      </w:r>
      <w:r>
        <w:rPr>
          <w:color w:val="231F20"/>
          <w:spacing w:val="-11"/>
        </w:rPr>
        <w:t> </w:t>
      </w:r>
      <w:r>
        <w:rPr>
          <w:color w:val="231F20"/>
          <w:spacing w:val="-6"/>
        </w:rPr>
        <w:t>dans</w:t>
      </w:r>
      <w:r>
        <w:rPr>
          <w:color w:val="231F20"/>
          <w:spacing w:val="-10"/>
        </w:rPr>
        <w:t> </w:t>
      </w:r>
      <w:r>
        <w:rPr>
          <w:color w:val="231F20"/>
          <w:spacing w:val="-6"/>
        </w:rPr>
        <w:t>ses</w:t>
      </w:r>
      <w:r>
        <w:rPr>
          <w:color w:val="231F20"/>
          <w:spacing w:val="-11"/>
        </w:rPr>
        <w:t> </w:t>
      </w:r>
      <w:r>
        <w:rPr>
          <w:color w:val="231F20"/>
          <w:spacing w:val="-6"/>
        </w:rPr>
        <w:t>transactions</w:t>
      </w:r>
      <w:r>
        <w:rPr>
          <w:color w:val="231F20"/>
          <w:spacing w:val="-10"/>
        </w:rPr>
        <w:t> </w:t>
      </w:r>
      <w:r>
        <w:rPr>
          <w:color w:val="231F20"/>
          <w:spacing w:val="-6"/>
        </w:rPr>
        <w:t>commerciales</w:t>
      </w:r>
      <w:r>
        <w:rPr>
          <w:color w:val="231F20"/>
          <w:spacing w:val="-11"/>
        </w:rPr>
        <w:t> </w:t>
      </w:r>
      <w:r>
        <w:rPr>
          <w:color w:val="231F20"/>
          <w:spacing w:val="-6"/>
        </w:rPr>
        <w:t>et </w:t>
      </w:r>
      <w:r>
        <w:rPr>
          <w:color w:val="231F20"/>
          <w:spacing w:val="-2"/>
        </w:rPr>
        <w:t>financières</w:t>
      </w:r>
      <w:r>
        <w:rPr>
          <w:color w:val="231F20"/>
          <w:spacing w:val="-15"/>
        </w:rPr>
        <w:t> </w:t>
      </w:r>
      <w:r>
        <w:rPr>
          <w:color w:val="231F20"/>
          <w:spacing w:val="-2"/>
        </w:rPr>
        <w:t>avec</w:t>
      </w:r>
      <w:r>
        <w:rPr>
          <w:color w:val="231F20"/>
          <w:spacing w:val="-14"/>
        </w:rPr>
        <w:t> </w:t>
      </w:r>
      <w:r>
        <w:rPr>
          <w:color w:val="231F20"/>
          <w:spacing w:val="-2"/>
        </w:rPr>
        <w:t>l’étranger</w:t>
      </w:r>
      <w:r>
        <w:rPr>
          <w:color w:val="231F20"/>
          <w:spacing w:val="-15"/>
        </w:rPr>
        <w:t> </w:t>
      </w:r>
      <w:r>
        <w:rPr>
          <w:color w:val="231F20"/>
          <w:spacing w:val="-2"/>
        </w:rPr>
        <w:t>ni</w:t>
      </w:r>
      <w:r>
        <w:rPr>
          <w:color w:val="231F20"/>
          <w:spacing w:val="-14"/>
        </w:rPr>
        <w:t> </w:t>
      </w:r>
      <w:r>
        <w:rPr>
          <w:color w:val="231F20"/>
          <w:spacing w:val="-2"/>
        </w:rPr>
        <w:t>de</w:t>
      </w:r>
      <w:r>
        <w:rPr>
          <w:color w:val="231F20"/>
          <w:spacing w:val="-15"/>
        </w:rPr>
        <w:t> </w:t>
      </w:r>
      <w:r>
        <w:rPr>
          <w:color w:val="231F20"/>
          <w:spacing w:val="-2"/>
        </w:rPr>
        <w:t>recourir</w:t>
      </w:r>
      <w:r>
        <w:rPr>
          <w:color w:val="231F20"/>
          <w:spacing w:val="-14"/>
        </w:rPr>
        <w:t> </w:t>
      </w:r>
      <w:r>
        <w:rPr>
          <w:color w:val="231F20"/>
          <w:spacing w:val="-2"/>
        </w:rPr>
        <w:t>au </w:t>
      </w:r>
      <w:r>
        <w:rPr>
          <w:color w:val="231F20"/>
          <w:spacing w:val="-4"/>
        </w:rPr>
        <w:t>système</w:t>
      </w:r>
      <w:r>
        <w:rPr>
          <w:color w:val="231F20"/>
          <w:spacing w:val="-10"/>
        </w:rPr>
        <w:t> </w:t>
      </w:r>
      <w:r>
        <w:rPr>
          <w:color w:val="231F20"/>
          <w:spacing w:val="-4"/>
        </w:rPr>
        <w:t>financier</w:t>
      </w:r>
      <w:r>
        <w:rPr>
          <w:color w:val="231F20"/>
          <w:spacing w:val="-10"/>
        </w:rPr>
        <w:t> </w:t>
      </w:r>
      <w:r>
        <w:rPr>
          <w:color w:val="231F20"/>
          <w:spacing w:val="-4"/>
        </w:rPr>
        <w:t>étasunien</w:t>
      </w:r>
      <w:r>
        <w:rPr>
          <w:color w:val="231F20"/>
          <w:spacing w:val="-10"/>
        </w:rPr>
        <w:t> </w:t>
      </w:r>
      <w:r>
        <w:rPr>
          <w:color w:val="231F20"/>
          <w:spacing w:val="-4"/>
        </w:rPr>
        <w:t>quand</w:t>
      </w:r>
      <w:r>
        <w:rPr>
          <w:color w:val="231F20"/>
          <w:spacing w:val="-10"/>
        </w:rPr>
        <w:t> </w:t>
      </w:r>
      <w:r>
        <w:rPr>
          <w:color w:val="231F20"/>
          <w:spacing w:val="-4"/>
        </w:rPr>
        <w:t>l’origine </w:t>
      </w:r>
      <w:r>
        <w:rPr>
          <w:color w:val="231F20"/>
          <w:spacing w:val="-6"/>
        </w:rPr>
        <w:t>et</w:t>
      </w:r>
      <w:r>
        <w:rPr>
          <w:color w:val="231F20"/>
          <w:spacing w:val="-11"/>
        </w:rPr>
        <w:t> </w:t>
      </w:r>
      <w:r>
        <w:rPr>
          <w:color w:val="231F20"/>
          <w:spacing w:val="-6"/>
        </w:rPr>
        <w:t>la</w:t>
      </w:r>
      <w:r>
        <w:rPr>
          <w:color w:val="231F20"/>
          <w:spacing w:val="-10"/>
        </w:rPr>
        <w:t> </w:t>
      </w:r>
      <w:r>
        <w:rPr>
          <w:color w:val="231F20"/>
          <w:spacing w:val="-6"/>
        </w:rPr>
        <w:t>destination</w:t>
      </w:r>
      <w:r>
        <w:rPr>
          <w:color w:val="231F20"/>
          <w:spacing w:val="-11"/>
        </w:rPr>
        <w:t> </w:t>
      </w:r>
      <w:r>
        <w:rPr>
          <w:color w:val="231F20"/>
          <w:spacing w:val="-6"/>
        </w:rPr>
        <w:t>des</w:t>
      </w:r>
      <w:r>
        <w:rPr>
          <w:color w:val="231F20"/>
          <w:spacing w:val="-10"/>
        </w:rPr>
        <w:t> </w:t>
      </w:r>
      <w:r>
        <w:rPr>
          <w:color w:val="231F20"/>
          <w:spacing w:val="-6"/>
        </w:rPr>
        <w:t>transferts</w:t>
      </w:r>
      <w:r>
        <w:rPr>
          <w:color w:val="231F20"/>
          <w:spacing w:val="-11"/>
        </w:rPr>
        <w:t> </w:t>
      </w:r>
      <w:r>
        <w:rPr>
          <w:color w:val="231F20"/>
          <w:spacing w:val="-6"/>
        </w:rPr>
        <w:t>est</w:t>
      </w:r>
      <w:r>
        <w:rPr>
          <w:color w:val="231F20"/>
          <w:spacing w:val="-10"/>
        </w:rPr>
        <w:t> </w:t>
      </w:r>
      <w:r>
        <w:rPr>
          <w:color w:val="231F20"/>
          <w:spacing w:val="-6"/>
        </w:rPr>
        <w:t>une</w:t>
      </w:r>
      <w:r>
        <w:rPr>
          <w:color w:val="231F20"/>
          <w:spacing w:val="-11"/>
        </w:rPr>
        <w:t> </w:t>
      </w:r>
      <w:r>
        <w:rPr>
          <w:color w:val="231F20"/>
          <w:spacing w:val="-6"/>
        </w:rPr>
        <w:t>entité </w:t>
      </w:r>
      <w:r>
        <w:rPr>
          <w:color w:val="231F20"/>
        </w:rPr>
        <w:t>cubaine et une entité de pays tiers, cette situation s’étant aggravée ces dernières années</w:t>
      </w:r>
      <w:r>
        <w:rPr>
          <w:color w:val="231F20"/>
          <w:spacing w:val="-12"/>
        </w:rPr>
        <w:t> </w:t>
      </w:r>
      <w:r>
        <w:rPr>
          <w:color w:val="231F20"/>
        </w:rPr>
        <w:t>par</w:t>
      </w:r>
      <w:r>
        <w:rPr>
          <w:color w:val="231F20"/>
          <w:spacing w:val="-12"/>
        </w:rPr>
        <w:t> </w:t>
      </w:r>
      <w:r>
        <w:rPr>
          <w:color w:val="231F20"/>
        </w:rPr>
        <w:t>les</w:t>
      </w:r>
      <w:r>
        <w:rPr>
          <w:color w:val="231F20"/>
          <w:spacing w:val="-12"/>
        </w:rPr>
        <w:t> </w:t>
      </w:r>
      <w:r>
        <w:rPr>
          <w:color w:val="231F20"/>
        </w:rPr>
        <w:t>fortes</w:t>
      </w:r>
      <w:r>
        <w:rPr>
          <w:color w:val="231F20"/>
          <w:spacing w:val="-12"/>
        </w:rPr>
        <w:t> </w:t>
      </w:r>
      <w:r>
        <w:rPr>
          <w:color w:val="231F20"/>
        </w:rPr>
        <w:t>amendes</w:t>
      </w:r>
      <w:r>
        <w:rPr>
          <w:color w:val="231F20"/>
          <w:spacing w:val="-12"/>
        </w:rPr>
        <w:t> </w:t>
      </w:r>
      <w:r>
        <w:rPr>
          <w:color w:val="231F20"/>
        </w:rPr>
        <w:t>que</w:t>
      </w:r>
      <w:r>
        <w:rPr>
          <w:color w:val="231F20"/>
          <w:spacing w:val="-12"/>
        </w:rPr>
        <w:t> </w:t>
      </w:r>
      <w:r>
        <w:rPr>
          <w:color w:val="231F20"/>
        </w:rPr>
        <w:t>l’OFAC </w:t>
      </w:r>
      <w:r>
        <w:rPr>
          <w:color w:val="231F20"/>
          <w:spacing w:val="-8"/>
        </w:rPr>
        <w:t>inflige</w:t>
      </w:r>
      <w:r>
        <w:rPr>
          <w:color w:val="231F20"/>
          <w:spacing w:val="-9"/>
        </w:rPr>
        <w:t> </w:t>
      </w:r>
      <w:r>
        <w:rPr>
          <w:color w:val="231F20"/>
          <w:spacing w:val="-8"/>
        </w:rPr>
        <w:t>à des</w:t>
      </w:r>
      <w:r>
        <w:rPr>
          <w:color w:val="231F20"/>
          <w:spacing w:val="-9"/>
        </w:rPr>
        <w:t> </w:t>
      </w:r>
      <w:r>
        <w:rPr>
          <w:color w:val="231F20"/>
          <w:spacing w:val="-8"/>
        </w:rPr>
        <w:t>entités des</w:t>
      </w:r>
      <w:r>
        <w:rPr>
          <w:color w:val="231F20"/>
          <w:spacing w:val="-9"/>
        </w:rPr>
        <w:t> </w:t>
      </w:r>
      <w:r>
        <w:rPr>
          <w:color w:val="231F20"/>
          <w:spacing w:val="-8"/>
        </w:rPr>
        <w:t>États-Unis et de</w:t>
      </w:r>
      <w:r>
        <w:rPr>
          <w:color w:val="231F20"/>
          <w:spacing w:val="-9"/>
        </w:rPr>
        <w:t> </w:t>
      </w:r>
      <w:r>
        <w:rPr>
          <w:color w:val="231F20"/>
          <w:spacing w:val="-8"/>
        </w:rPr>
        <w:t>pays </w:t>
      </w:r>
      <w:r>
        <w:rPr>
          <w:color w:val="231F20"/>
          <w:spacing w:val="-2"/>
        </w:rPr>
        <w:t>tiers</w:t>
      </w:r>
      <w:r>
        <w:rPr>
          <w:color w:val="231F20"/>
          <w:spacing w:val="-9"/>
        </w:rPr>
        <w:t> </w:t>
      </w:r>
      <w:r>
        <w:rPr>
          <w:color w:val="231F20"/>
          <w:spacing w:val="-2"/>
        </w:rPr>
        <w:t>pour</w:t>
      </w:r>
      <w:r>
        <w:rPr>
          <w:color w:val="231F20"/>
          <w:spacing w:val="-9"/>
        </w:rPr>
        <w:t> </w:t>
      </w:r>
      <w:r>
        <w:rPr>
          <w:color w:val="231F20"/>
          <w:spacing w:val="-2"/>
        </w:rPr>
        <w:t>prétendues</w:t>
      </w:r>
      <w:r>
        <w:rPr>
          <w:color w:val="231F20"/>
          <w:spacing w:val="-9"/>
        </w:rPr>
        <w:t> </w:t>
      </w:r>
      <w:r>
        <w:rPr>
          <w:color w:val="231F20"/>
          <w:spacing w:val="-2"/>
        </w:rPr>
        <w:t>violations</w:t>
      </w:r>
      <w:r>
        <w:rPr>
          <w:color w:val="231F20"/>
          <w:spacing w:val="-9"/>
        </w:rPr>
        <w:t> </w:t>
      </w:r>
      <w:r>
        <w:rPr>
          <w:color w:val="231F20"/>
          <w:spacing w:val="-2"/>
        </w:rPr>
        <w:t>du</w:t>
      </w:r>
      <w:r>
        <w:rPr>
          <w:color w:val="231F20"/>
          <w:spacing w:val="-9"/>
        </w:rPr>
        <w:t> </w:t>
      </w:r>
      <w:r>
        <w:rPr>
          <w:color w:val="231F20"/>
          <w:spacing w:val="-2"/>
        </w:rPr>
        <w:t>blocus.</w:t>
      </w:r>
    </w:p>
    <w:p>
      <w:pPr>
        <w:pStyle w:val="BodyText"/>
        <w:spacing w:before="168"/>
        <w:ind w:left="419" w:right="1477"/>
      </w:pPr>
      <w:r>
        <w:rPr>
          <w:color w:val="231F20"/>
          <w:spacing w:val="-6"/>
        </w:rPr>
        <w:t>Tout</w:t>
      </w:r>
      <w:r>
        <w:rPr>
          <w:color w:val="231F20"/>
          <w:spacing w:val="-11"/>
        </w:rPr>
        <w:t> </w:t>
      </w:r>
      <w:r>
        <w:rPr>
          <w:color w:val="231F20"/>
          <w:spacing w:val="-6"/>
        </w:rPr>
        <w:t>ceci</w:t>
      </w:r>
      <w:r>
        <w:rPr>
          <w:color w:val="231F20"/>
          <w:spacing w:val="-10"/>
        </w:rPr>
        <w:t> </w:t>
      </w:r>
      <w:r>
        <w:rPr>
          <w:color w:val="231F20"/>
          <w:spacing w:val="-6"/>
        </w:rPr>
        <w:t>cause</w:t>
      </w:r>
      <w:r>
        <w:rPr>
          <w:color w:val="231F20"/>
          <w:spacing w:val="-11"/>
        </w:rPr>
        <w:t> </w:t>
      </w:r>
      <w:r>
        <w:rPr>
          <w:color w:val="231F20"/>
          <w:spacing w:val="-6"/>
        </w:rPr>
        <w:t>de</w:t>
      </w:r>
      <w:r>
        <w:rPr>
          <w:color w:val="231F20"/>
          <w:spacing w:val="-10"/>
        </w:rPr>
        <w:t> </w:t>
      </w:r>
      <w:r>
        <w:rPr>
          <w:color w:val="231F20"/>
          <w:spacing w:val="-6"/>
        </w:rPr>
        <w:t>lourdes</w:t>
      </w:r>
      <w:r>
        <w:rPr>
          <w:color w:val="231F20"/>
          <w:spacing w:val="-11"/>
        </w:rPr>
        <w:t> </w:t>
      </w:r>
      <w:r>
        <w:rPr>
          <w:color w:val="231F20"/>
          <w:spacing w:val="-6"/>
        </w:rPr>
        <w:t>pertes</w:t>
      </w:r>
      <w:r>
        <w:rPr>
          <w:color w:val="231F20"/>
          <w:spacing w:val="-10"/>
        </w:rPr>
        <w:t> </w:t>
      </w:r>
      <w:r>
        <w:rPr>
          <w:color w:val="231F20"/>
          <w:spacing w:val="-6"/>
        </w:rPr>
        <w:t>à</w:t>
      </w:r>
      <w:r>
        <w:rPr>
          <w:color w:val="231F20"/>
          <w:spacing w:val="-11"/>
        </w:rPr>
        <w:t> </w:t>
      </w:r>
      <w:r>
        <w:rPr>
          <w:color w:val="231F20"/>
          <w:spacing w:val="-6"/>
        </w:rPr>
        <w:t>cause</w:t>
      </w:r>
      <w:r>
        <w:rPr>
          <w:color w:val="231F20"/>
          <w:spacing w:val="-10"/>
        </w:rPr>
        <w:t> </w:t>
      </w:r>
      <w:r>
        <w:rPr>
          <w:color w:val="231F20"/>
          <w:spacing w:val="-6"/>
        </w:rPr>
        <w:t>de </w:t>
      </w:r>
      <w:r>
        <w:rPr>
          <w:color w:val="231F20"/>
        </w:rPr>
        <w:t>la</w:t>
      </w:r>
      <w:r>
        <w:rPr>
          <w:color w:val="231F20"/>
          <w:spacing w:val="-8"/>
        </w:rPr>
        <w:t> </w:t>
      </w:r>
      <w:r>
        <w:rPr>
          <w:color w:val="231F20"/>
        </w:rPr>
        <w:t>fluctuation</w:t>
      </w:r>
      <w:r>
        <w:rPr>
          <w:color w:val="231F20"/>
          <w:spacing w:val="-8"/>
        </w:rPr>
        <w:t> </w:t>
      </w:r>
      <w:r>
        <w:rPr>
          <w:color w:val="231F20"/>
        </w:rPr>
        <w:t>des</w:t>
      </w:r>
      <w:r>
        <w:rPr>
          <w:color w:val="231F20"/>
          <w:spacing w:val="-8"/>
        </w:rPr>
        <w:t> </w:t>
      </w:r>
      <w:r>
        <w:rPr>
          <w:color w:val="231F20"/>
        </w:rPr>
        <w:t>taux</w:t>
      </w:r>
      <w:r>
        <w:rPr>
          <w:color w:val="231F20"/>
          <w:spacing w:val="-8"/>
        </w:rPr>
        <w:t> </w:t>
      </w:r>
      <w:r>
        <w:rPr>
          <w:color w:val="231F20"/>
        </w:rPr>
        <w:t>de</w:t>
      </w:r>
      <w:r>
        <w:rPr>
          <w:color w:val="231F20"/>
          <w:spacing w:val="-8"/>
        </w:rPr>
        <w:t> </w:t>
      </w:r>
      <w:r>
        <w:rPr>
          <w:color w:val="231F20"/>
        </w:rPr>
        <w:t>changes</w:t>
      </w:r>
      <w:r>
        <w:rPr>
          <w:color w:val="231F20"/>
          <w:spacing w:val="-8"/>
        </w:rPr>
        <w:t> </w:t>
      </w:r>
      <w:r>
        <w:rPr>
          <w:color w:val="231F20"/>
        </w:rPr>
        <w:t>entre</w:t>
      </w:r>
      <w:r>
        <w:rPr>
          <w:color w:val="231F20"/>
          <w:spacing w:val="-8"/>
        </w:rPr>
        <w:t> </w:t>
      </w:r>
      <w:r>
        <w:rPr>
          <w:color w:val="231F20"/>
          <w:spacing w:val="-5"/>
        </w:rPr>
        <w:t>le</w:t>
      </w:r>
    </w:p>
    <w:p>
      <w:pPr>
        <w:pStyle w:val="BodyText"/>
        <w:spacing w:before="2"/>
        <w:ind w:left="2630" w:right="1477" w:firstLine="43"/>
      </w:pPr>
      <w:r>
        <w:rPr/>
        <mc:AlternateContent>
          <mc:Choice Requires="wps">
            <w:drawing>
              <wp:anchor distT="0" distB="0" distL="0" distR="0" allowOverlap="1" layoutInCell="1" locked="0" behindDoc="0" simplePos="0" relativeHeight="15837184">
                <wp:simplePos x="0" y="0"/>
                <wp:positionH relativeFrom="page">
                  <wp:posOffset>720001</wp:posOffset>
                </wp:positionH>
                <wp:positionV relativeFrom="paragraph">
                  <wp:posOffset>159998</wp:posOffset>
                </wp:positionV>
                <wp:extent cx="4334510" cy="2241550"/>
                <wp:effectExtent l="0" t="0" r="0" b="0"/>
                <wp:wrapNone/>
                <wp:docPr id="464" name="Group 464"/>
                <wp:cNvGraphicFramePr>
                  <a:graphicFrameLocks/>
                </wp:cNvGraphicFramePr>
                <a:graphic>
                  <a:graphicData uri="http://schemas.microsoft.com/office/word/2010/wordprocessingGroup">
                    <wpg:wgp>
                      <wpg:cNvPr id="464" name="Group 464"/>
                      <wpg:cNvGrpSpPr/>
                      <wpg:grpSpPr>
                        <a:xfrm>
                          <a:off x="0" y="0"/>
                          <a:ext cx="4334510" cy="2241550"/>
                          <a:chExt cx="4334510" cy="2241550"/>
                        </a:xfrm>
                      </wpg:grpSpPr>
                      <wps:wsp>
                        <wps:cNvPr id="465" name="Graphic 465"/>
                        <wps:cNvSpPr/>
                        <wps:spPr>
                          <a:xfrm>
                            <a:off x="0" y="0"/>
                            <a:ext cx="4334510" cy="2241550"/>
                          </a:xfrm>
                          <a:custGeom>
                            <a:avLst/>
                            <a:gdLst/>
                            <a:ahLst/>
                            <a:cxnLst/>
                            <a:rect l="l" t="t" r="r" b="b"/>
                            <a:pathLst>
                              <a:path w="4334510" h="2241550">
                                <a:moveTo>
                                  <a:pt x="4334192" y="0"/>
                                </a:moveTo>
                                <a:lnTo>
                                  <a:pt x="0" y="0"/>
                                </a:lnTo>
                                <a:lnTo>
                                  <a:pt x="0" y="2241003"/>
                                </a:lnTo>
                                <a:lnTo>
                                  <a:pt x="4334192" y="2241003"/>
                                </a:lnTo>
                                <a:lnTo>
                                  <a:pt x="4334192" y="0"/>
                                </a:lnTo>
                                <a:close/>
                              </a:path>
                            </a:pathLst>
                          </a:custGeom>
                          <a:solidFill>
                            <a:srgbClr val="E0E2E2"/>
                          </a:solidFill>
                        </wps:spPr>
                        <wps:bodyPr wrap="square" lIns="0" tIns="0" rIns="0" bIns="0" rtlCol="0">
                          <a:prstTxWarp prst="textNoShape">
                            <a:avLst/>
                          </a:prstTxWarp>
                          <a:noAutofit/>
                        </wps:bodyPr>
                      </wps:wsp>
                      <wps:wsp>
                        <wps:cNvPr id="466" name="Graphic 466"/>
                        <wps:cNvSpPr/>
                        <wps:spPr>
                          <a:xfrm>
                            <a:off x="224104" y="367169"/>
                            <a:ext cx="4107815" cy="1579245"/>
                          </a:xfrm>
                          <a:custGeom>
                            <a:avLst/>
                            <a:gdLst/>
                            <a:ahLst/>
                            <a:cxnLst/>
                            <a:rect l="l" t="t" r="r" b="b"/>
                            <a:pathLst>
                              <a:path w="4107815" h="1579245">
                                <a:moveTo>
                                  <a:pt x="4107192" y="1296593"/>
                                </a:moveTo>
                                <a:lnTo>
                                  <a:pt x="0" y="1296593"/>
                                </a:lnTo>
                                <a:lnTo>
                                  <a:pt x="0" y="1579067"/>
                                </a:lnTo>
                                <a:lnTo>
                                  <a:pt x="4107192" y="1579067"/>
                                </a:lnTo>
                                <a:lnTo>
                                  <a:pt x="4107192" y="1296593"/>
                                </a:lnTo>
                                <a:close/>
                              </a:path>
                              <a:path w="4107815" h="1579245">
                                <a:moveTo>
                                  <a:pt x="4107192" y="746429"/>
                                </a:moveTo>
                                <a:lnTo>
                                  <a:pt x="0" y="746429"/>
                                </a:lnTo>
                                <a:lnTo>
                                  <a:pt x="0" y="1028915"/>
                                </a:lnTo>
                                <a:lnTo>
                                  <a:pt x="4107192" y="1028915"/>
                                </a:lnTo>
                                <a:lnTo>
                                  <a:pt x="4107192" y="746429"/>
                                </a:lnTo>
                                <a:close/>
                              </a:path>
                              <a:path w="4107815" h="1579245">
                                <a:moveTo>
                                  <a:pt x="4107192" y="0"/>
                                </a:moveTo>
                                <a:lnTo>
                                  <a:pt x="0" y="0"/>
                                </a:lnTo>
                                <a:lnTo>
                                  <a:pt x="0" y="282486"/>
                                </a:lnTo>
                                <a:lnTo>
                                  <a:pt x="4107192" y="282486"/>
                                </a:lnTo>
                                <a:lnTo>
                                  <a:pt x="4107192" y="0"/>
                                </a:lnTo>
                                <a:close/>
                              </a:path>
                            </a:pathLst>
                          </a:custGeom>
                          <a:solidFill>
                            <a:srgbClr val="FFFFFF"/>
                          </a:solidFill>
                        </wps:spPr>
                        <wps:bodyPr wrap="square" lIns="0" tIns="0" rIns="0" bIns="0" rtlCol="0">
                          <a:prstTxWarp prst="textNoShape">
                            <a:avLst/>
                          </a:prstTxWarp>
                          <a:noAutofit/>
                        </wps:bodyPr>
                      </wps:wsp>
                      <pic:pic>
                        <pic:nvPicPr>
                          <pic:cNvPr id="467" name="Image 467"/>
                          <pic:cNvPicPr/>
                        </pic:nvPicPr>
                        <pic:blipFill>
                          <a:blip r:embed="rId133" cstate="print"/>
                          <a:stretch>
                            <a:fillRect/>
                          </a:stretch>
                        </pic:blipFill>
                        <pic:spPr>
                          <a:xfrm>
                            <a:off x="3199469" y="120943"/>
                            <a:ext cx="245785" cy="94957"/>
                          </a:xfrm>
                          <a:prstGeom prst="rect">
                            <a:avLst/>
                          </a:prstGeom>
                        </pic:spPr>
                      </pic:pic>
                      <pic:pic>
                        <pic:nvPicPr>
                          <pic:cNvPr id="468" name="Image 468"/>
                          <pic:cNvPicPr/>
                        </pic:nvPicPr>
                        <pic:blipFill>
                          <a:blip r:embed="rId134" cstate="print"/>
                          <a:stretch>
                            <a:fillRect/>
                          </a:stretch>
                        </pic:blipFill>
                        <pic:spPr>
                          <a:xfrm>
                            <a:off x="3497534" y="117034"/>
                            <a:ext cx="182401" cy="118215"/>
                          </a:xfrm>
                          <a:prstGeom prst="rect">
                            <a:avLst/>
                          </a:prstGeom>
                        </pic:spPr>
                      </pic:pic>
                      <wps:wsp>
                        <wps:cNvPr id="469" name="Graphic 469"/>
                        <wps:cNvSpPr/>
                        <wps:spPr>
                          <a:xfrm>
                            <a:off x="3699090" y="117233"/>
                            <a:ext cx="15240" cy="97155"/>
                          </a:xfrm>
                          <a:custGeom>
                            <a:avLst/>
                            <a:gdLst/>
                            <a:ahLst/>
                            <a:cxnLst/>
                            <a:rect l="l" t="t" r="r" b="b"/>
                            <a:pathLst>
                              <a:path w="15240" h="97155">
                                <a:moveTo>
                                  <a:pt x="15239" y="0"/>
                                </a:moveTo>
                                <a:lnTo>
                                  <a:pt x="0" y="0"/>
                                </a:lnTo>
                                <a:lnTo>
                                  <a:pt x="0" y="97129"/>
                                </a:lnTo>
                                <a:lnTo>
                                  <a:pt x="15239" y="97129"/>
                                </a:lnTo>
                                <a:lnTo>
                                  <a:pt x="15239" y="0"/>
                                </a:lnTo>
                                <a:close/>
                              </a:path>
                            </a:pathLst>
                          </a:custGeom>
                          <a:solidFill>
                            <a:srgbClr val="231F20"/>
                          </a:solidFill>
                        </wps:spPr>
                        <wps:bodyPr wrap="square" lIns="0" tIns="0" rIns="0" bIns="0" rtlCol="0">
                          <a:prstTxWarp prst="textNoShape">
                            <a:avLst/>
                          </a:prstTxWarp>
                          <a:noAutofit/>
                        </wps:bodyPr>
                      </wps:wsp>
                      <pic:pic>
                        <pic:nvPicPr>
                          <pic:cNvPr id="470" name="Image 470"/>
                          <pic:cNvPicPr/>
                        </pic:nvPicPr>
                        <pic:blipFill>
                          <a:blip r:embed="rId135" cstate="print"/>
                          <a:stretch>
                            <a:fillRect/>
                          </a:stretch>
                        </pic:blipFill>
                        <pic:spPr>
                          <a:xfrm>
                            <a:off x="3734841" y="117034"/>
                            <a:ext cx="316627" cy="118215"/>
                          </a:xfrm>
                          <a:prstGeom prst="rect">
                            <a:avLst/>
                          </a:prstGeom>
                        </pic:spPr>
                      </pic:pic>
                      <pic:pic>
                        <pic:nvPicPr>
                          <pic:cNvPr id="471" name="Image 471"/>
                          <pic:cNvPicPr/>
                        </pic:nvPicPr>
                        <pic:blipFill>
                          <a:blip r:embed="rId136" cstate="print"/>
                          <a:stretch>
                            <a:fillRect/>
                          </a:stretch>
                        </pic:blipFill>
                        <pic:spPr>
                          <a:xfrm>
                            <a:off x="3202296" y="461098"/>
                            <a:ext cx="302416" cy="110332"/>
                          </a:xfrm>
                          <a:prstGeom prst="rect">
                            <a:avLst/>
                          </a:prstGeom>
                        </pic:spPr>
                      </pic:pic>
                      <pic:pic>
                        <pic:nvPicPr>
                          <pic:cNvPr id="472" name="Image 472"/>
                          <pic:cNvPicPr/>
                        </pic:nvPicPr>
                        <pic:blipFill>
                          <a:blip r:embed="rId137" cstate="print"/>
                          <a:stretch>
                            <a:fillRect/>
                          </a:stretch>
                        </pic:blipFill>
                        <pic:spPr>
                          <a:xfrm>
                            <a:off x="354736" y="455472"/>
                            <a:ext cx="2468231" cy="129237"/>
                          </a:xfrm>
                          <a:prstGeom prst="rect">
                            <a:avLst/>
                          </a:prstGeom>
                        </pic:spPr>
                      </pic:pic>
                      <pic:pic>
                        <pic:nvPicPr>
                          <pic:cNvPr id="473" name="Image 473"/>
                          <pic:cNvPicPr/>
                        </pic:nvPicPr>
                        <pic:blipFill>
                          <a:blip r:embed="rId138" cstate="print"/>
                          <a:stretch>
                            <a:fillRect/>
                          </a:stretch>
                        </pic:blipFill>
                        <pic:spPr>
                          <a:xfrm>
                            <a:off x="3202296" y="820785"/>
                            <a:ext cx="302031" cy="110332"/>
                          </a:xfrm>
                          <a:prstGeom prst="rect">
                            <a:avLst/>
                          </a:prstGeom>
                        </pic:spPr>
                      </pic:pic>
                      <pic:pic>
                        <pic:nvPicPr>
                          <pic:cNvPr id="474" name="Image 474"/>
                          <pic:cNvPicPr/>
                        </pic:nvPicPr>
                        <pic:blipFill>
                          <a:blip r:embed="rId139" cstate="print"/>
                          <a:stretch>
                            <a:fillRect/>
                          </a:stretch>
                        </pic:blipFill>
                        <pic:spPr>
                          <a:xfrm>
                            <a:off x="346796" y="735300"/>
                            <a:ext cx="1659855" cy="258306"/>
                          </a:xfrm>
                          <a:prstGeom prst="rect">
                            <a:avLst/>
                          </a:prstGeom>
                        </pic:spPr>
                      </pic:pic>
                      <wps:wsp>
                        <wps:cNvPr id="475" name="Graphic 475"/>
                        <wps:cNvSpPr/>
                        <wps:spPr>
                          <a:xfrm>
                            <a:off x="3200314" y="1205061"/>
                            <a:ext cx="33020" cy="93980"/>
                          </a:xfrm>
                          <a:custGeom>
                            <a:avLst/>
                            <a:gdLst/>
                            <a:ahLst/>
                            <a:cxnLst/>
                            <a:rect l="l" t="t" r="r" b="b"/>
                            <a:pathLst>
                              <a:path w="33020" h="93980">
                                <a:moveTo>
                                  <a:pt x="32677" y="0"/>
                                </a:moveTo>
                                <a:lnTo>
                                  <a:pt x="28714" y="0"/>
                                </a:lnTo>
                                <a:lnTo>
                                  <a:pt x="25539" y="2997"/>
                                </a:lnTo>
                                <a:lnTo>
                                  <a:pt x="21196" y="5943"/>
                                </a:lnTo>
                                <a:lnTo>
                                  <a:pt x="10134" y="11747"/>
                                </a:lnTo>
                                <a:lnTo>
                                  <a:pt x="4914" y="13842"/>
                                </a:lnTo>
                                <a:lnTo>
                                  <a:pt x="0" y="15125"/>
                                </a:lnTo>
                                <a:lnTo>
                                  <a:pt x="3009" y="24358"/>
                                </a:lnTo>
                                <a:lnTo>
                                  <a:pt x="22174" y="15252"/>
                                </a:lnTo>
                                <a:lnTo>
                                  <a:pt x="22174" y="93929"/>
                                </a:lnTo>
                                <a:lnTo>
                                  <a:pt x="32677" y="93929"/>
                                </a:lnTo>
                                <a:lnTo>
                                  <a:pt x="32677" y="0"/>
                                </a:lnTo>
                                <a:close/>
                              </a:path>
                            </a:pathLst>
                          </a:custGeom>
                          <a:solidFill>
                            <a:srgbClr val="231F20"/>
                          </a:solidFill>
                        </wps:spPr>
                        <wps:bodyPr wrap="square" lIns="0" tIns="0" rIns="0" bIns="0" rtlCol="0">
                          <a:prstTxWarp prst="textNoShape">
                            <a:avLst/>
                          </a:prstTxWarp>
                          <a:noAutofit/>
                        </wps:bodyPr>
                      </wps:wsp>
                      <pic:pic>
                        <pic:nvPicPr>
                          <pic:cNvPr id="476" name="Image 476"/>
                          <pic:cNvPicPr/>
                        </pic:nvPicPr>
                        <pic:blipFill>
                          <a:blip r:embed="rId140" cstate="print"/>
                          <a:stretch>
                            <a:fillRect/>
                          </a:stretch>
                        </pic:blipFill>
                        <pic:spPr>
                          <a:xfrm>
                            <a:off x="3290138" y="1205570"/>
                            <a:ext cx="300357" cy="110333"/>
                          </a:xfrm>
                          <a:prstGeom prst="rect">
                            <a:avLst/>
                          </a:prstGeom>
                        </pic:spPr>
                      </pic:pic>
                      <pic:pic>
                        <pic:nvPicPr>
                          <pic:cNvPr id="477" name="Image 477"/>
                          <pic:cNvPicPr/>
                        </pic:nvPicPr>
                        <pic:blipFill>
                          <a:blip r:embed="rId141" cstate="print"/>
                          <a:stretch>
                            <a:fillRect/>
                          </a:stretch>
                        </pic:blipFill>
                        <pic:spPr>
                          <a:xfrm>
                            <a:off x="354736" y="1199943"/>
                            <a:ext cx="1577400" cy="129928"/>
                          </a:xfrm>
                          <a:prstGeom prst="rect">
                            <a:avLst/>
                          </a:prstGeom>
                        </pic:spPr>
                      </pic:pic>
                      <wps:wsp>
                        <wps:cNvPr id="478" name="Graphic 478"/>
                        <wps:cNvSpPr/>
                        <wps:spPr>
                          <a:xfrm>
                            <a:off x="1950529" y="1202829"/>
                            <a:ext cx="1282700" cy="396240"/>
                          </a:xfrm>
                          <a:custGeom>
                            <a:avLst/>
                            <a:gdLst/>
                            <a:ahLst/>
                            <a:cxnLst/>
                            <a:rect l="l" t="t" r="r" b="b"/>
                            <a:pathLst>
                              <a:path w="1282700" h="396240">
                                <a:moveTo>
                                  <a:pt x="34988" y="55473"/>
                                </a:moveTo>
                                <a:lnTo>
                                  <a:pt x="0" y="55473"/>
                                </a:lnTo>
                                <a:lnTo>
                                  <a:pt x="0" y="63728"/>
                                </a:lnTo>
                                <a:lnTo>
                                  <a:pt x="34988" y="63728"/>
                                </a:lnTo>
                                <a:lnTo>
                                  <a:pt x="34988" y="55473"/>
                                </a:lnTo>
                                <a:close/>
                              </a:path>
                              <a:path w="1282700" h="396240">
                                <a:moveTo>
                                  <a:pt x="106603" y="50673"/>
                                </a:moveTo>
                                <a:lnTo>
                                  <a:pt x="104241" y="42951"/>
                                </a:lnTo>
                                <a:lnTo>
                                  <a:pt x="99936" y="37858"/>
                                </a:lnTo>
                                <a:lnTo>
                                  <a:pt x="95834" y="33032"/>
                                </a:lnTo>
                                <a:lnTo>
                                  <a:pt x="95834" y="57150"/>
                                </a:lnTo>
                                <a:lnTo>
                                  <a:pt x="60337" y="57150"/>
                                </a:lnTo>
                                <a:lnTo>
                                  <a:pt x="61112" y="51257"/>
                                </a:lnTo>
                                <a:lnTo>
                                  <a:pt x="63233" y="46570"/>
                                </a:lnTo>
                                <a:lnTo>
                                  <a:pt x="70205" y="39611"/>
                                </a:lnTo>
                                <a:lnTo>
                                  <a:pt x="74434" y="37858"/>
                                </a:lnTo>
                                <a:lnTo>
                                  <a:pt x="84518" y="37858"/>
                                </a:lnTo>
                                <a:lnTo>
                                  <a:pt x="88506" y="39560"/>
                                </a:lnTo>
                                <a:lnTo>
                                  <a:pt x="94322" y="46355"/>
                                </a:lnTo>
                                <a:lnTo>
                                  <a:pt x="95796" y="51079"/>
                                </a:lnTo>
                                <a:lnTo>
                                  <a:pt x="95834" y="57150"/>
                                </a:lnTo>
                                <a:lnTo>
                                  <a:pt x="95834" y="33032"/>
                                </a:lnTo>
                                <a:lnTo>
                                  <a:pt x="94805" y="31813"/>
                                </a:lnTo>
                                <a:lnTo>
                                  <a:pt x="88176" y="29019"/>
                                </a:lnTo>
                                <a:lnTo>
                                  <a:pt x="70662" y="29019"/>
                                </a:lnTo>
                                <a:lnTo>
                                  <a:pt x="49390" y="64198"/>
                                </a:lnTo>
                                <a:lnTo>
                                  <a:pt x="49936" y="71678"/>
                                </a:lnTo>
                                <a:lnTo>
                                  <a:pt x="71069" y="97713"/>
                                </a:lnTo>
                                <a:lnTo>
                                  <a:pt x="85420" y="97713"/>
                                </a:lnTo>
                                <a:lnTo>
                                  <a:pt x="89496" y="97155"/>
                                </a:lnTo>
                                <a:lnTo>
                                  <a:pt x="96926" y="94932"/>
                                </a:lnTo>
                                <a:lnTo>
                                  <a:pt x="100647" y="93179"/>
                                </a:lnTo>
                                <a:lnTo>
                                  <a:pt x="104355" y="90779"/>
                                </a:lnTo>
                                <a:lnTo>
                                  <a:pt x="103073" y="88798"/>
                                </a:lnTo>
                                <a:lnTo>
                                  <a:pt x="99491" y="83286"/>
                                </a:lnTo>
                                <a:lnTo>
                                  <a:pt x="96583" y="85217"/>
                                </a:lnTo>
                                <a:lnTo>
                                  <a:pt x="93649" y="86614"/>
                                </a:lnTo>
                                <a:lnTo>
                                  <a:pt x="87706" y="88366"/>
                                </a:lnTo>
                                <a:lnTo>
                                  <a:pt x="84759" y="88798"/>
                                </a:lnTo>
                                <a:lnTo>
                                  <a:pt x="75057" y="88798"/>
                                </a:lnTo>
                                <a:lnTo>
                                  <a:pt x="69811" y="86804"/>
                                </a:lnTo>
                                <a:lnTo>
                                  <a:pt x="62344" y="78816"/>
                                </a:lnTo>
                                <a:lnTo>
                                  <a:pt x="60388" y="73126"/>
                                </a:lnTo>
                                <a:lnTo>
                                  <a:pt x="60210" y="65735"/>
                                </a:lnTo>
                                <a:lnTo>
                                  <a:pt x="106603" y="65735"/>
                                </a:lnTo>
                                <a:lnTo>
                                  <a:pt x="106603" y="57150"/>
                                </a:lnTo>
                                <a:lnTo>
                                  <a:pt x="106603" y="50673"/>
                                </a:lnTo>
                                <a:close/>
                              </a:path>
                              <a:path w="1282700" h="396240">
                                <a:moveTo>
                                  <a:pt x="170421" y="30556"/>
                                </a:moveTo>
                                <a:lnTo>
                                  <a:pt x="158826" y="30556"/>
                                </a:lnTo>
                                <a:lnTo>
                                  <a:pt x="142417" y="58102"/>
                                </a:lnTo>
                                <a:lnTo>
                                  <a:pt x="142163" y="58102"/>
                                </a:lnTo>
                                <a:lnTo>
                                  <a:pt x="126720" y="30556"/>
                                </a:lnTo>
                                <a:lnTo>
                                  <a:pt x="114490" y="30556"/>
                                </a:lnTo>
                                <a:lnTo>
                                  <a:pt x="135890" y="63995"/>
                                </a:lnTo>
                                <a:lnTo>
                                  <a:pt x="113525" y="96164"/>
                                </a:lnTo>
                                <a:lnTo>
                                  <a:pt x="125641" y="96164"/>
                                </a:lnTo>
                                <a:lnTo>
                                  <a:pt x="141782" y="69900"/>
                                </a:lnTo>
                                <a:lnTo>
                                  <a:pt x="142036" y="69900"/>
                                </a:lnTo>
                                <a:lnTo>
                                  <a:pt x="157797" y="96164"/>
                                </a:lnTo>
                                <a:lnTo>
                                  <a:pt x="170027" y="96164"/>
                                </a:lnTo>
                                <a:lnTo>
                                  <a:pt x="148374" y="63741"/>
                                </a:lnTo>
                                <a:lnTo>
                                  <a:pt x="170421" y="30556"/>
                                </a:lnTo>
                                <a:close/>
                              </a:path>
                              <a:path w="1282700" h="396240">
                                <a:moveTo>
                                  <a:pt x="243078" y="51574"/>
                                </a:moveTo>
                                <a:lnTo>
                                  <a:pt x="240703" y="43700"/>
                                </a:lnTo>
                                <a:lnTo>
                                  <a:pt x="235978" y="37858"/>
                                </a:lnTo>
                                <a:lnTo>
                                  <a:pt x="232308" y="33324"/>
                                </a:lnTo>
                                <a:lnTo>
                                  <a:pt x="232308" y="69913"/>
                                </a:lnTo>
                                <a:lnTo>
                                  <a:pt x="230505" y="76682"/>
                                </a:lnTo>
                                <a:lnTo>
                                  <a:pt x="223291" y="86436"/>
                                </a:lnTo>
                                <a:lnTo>
                                  <a:pt x="218300" y="88861"/>
                                </a:lnTo>
                                <a:lnTo>
                                  <a:pt x="206514" y="88861"/>
                                </a:lnTo>
                                <a:lnTo>
                                  <a:pt x="202044" y="86969"/>
                                </a:lnTo>
                                <a:lnTo>
                                  <a:pt x="201777" y="86690"/>
                                </a:lnTo>
                                <a:lnTo>
                                  <a:pt x="194995" y="79413"/>
                                </a:lnTo>
                                <a:lnTo>
                                  <a:pt x="193230" y="74815"/>
                                </a:lnTo>
                                <a:lnTo>
                                  <a:pt x="193230" y="53822"/>
                                </a:lnTo>
                                <a:lnTo>
                                  <a:pt x="195084" y="48488"/>
                                </a:lnTo>
                                <a:lnTo>
                                  <a:pt x="200672" y="42100"/>
                                </a:lnTo>
                                <a:lnTo>
                                  <a:pt x="202514" y="39992"/>
                                </a:lnTo>
                                <a:lnTo>
                                  <a:pt x="207429" y="37858"/>
                                </a:lnTo>
                                <a:lnTo>
                                  <a:pt x="219303" y="37858"/>
                                </a:lnTo>
                                <a:lnTo>
                                  <a:pt x="223875" y="39941"/>
                                </a:lnTo>
                                <a:lnTo>
                                  <a:pt x="230632" y="48221"/>
                                </a:lnTo>
                                <a:lnTo>
                                  <a:pt x="232270" y="53822"/>
                                </a:lnTo>
                                <a:lnTo>
                                  <a:pt x="232308" y="69913"/>
                                </a:lnTo>
                                <a:lnTo>
                                  <a:pt x="232308" y="33324"/>
                                </a:lnTo>
                                <a:lnTo>
                                  <a:pt x="231216" y="31965"/>
                                </a:lnTo>
                                <a:lnTo>
                                  <a:pt x="224624" y="29019"/>
                                </a:lnTo>
                                <a:lnTo>
                                  <a:pt x="211213" y="29019"/>
                                </a:lnTo>
                                <a:lnTo>
                                  <a:pt x="206844" y="30111"/>
                                </a:lnTo>
                                <a:lnTo>
                                  <a:pt x="199288" y="34467"/>
                                </a:lnTo>
                                <a:lnTo>
                                  <a:pt x="196088" y="37744"/>
                                </a:lnTo>
                                <a:lnTo>
                                  <a:pt x="193484" y="42100"/>
                                </a:lnTo>
                                <a:lnTo>
                                  <a:pt x="193230" y="42100"/>
                                </a:lnTo>
                                <a:lnTo>
                                  <a:pt x="193230" y="30568"/>
                                </a:lnTo>
                                <a:lnTo>
                                  <a:pt x="182727" y="30568"/>
                                </a:lnTo>
                                <a:lnTo>
                                  <a:pt x="182727" y="126352"/>
                                </a:lnTo>
                                <a:lnTo>
                                  <a:pt x="193230" y="126352"/>
                                </a:lnTo>
                                <a:lnTo>
                                  <a:pt x="193230" y="86690"/>
                                </a:lnTo>
                                <a:lnTo>
                                  <a:pt x="193484" y="86690"/>
                                </a:lnTo>
                                <a:lnTo>
                                  <a:pt x="195795" y="90360"/>
                                </a:lnTo>
                                <a:lnTo>
                                  <a:pt x="198589" y="93116"/>
                                </a:lnTo>
                                <a:lnTo>
                                  <a:pt x="205168" y="96786"/>
                                </a:lnTo>
                                <a:lnTo>
                                  <a:pt x="208927" y="97713"/>
                                </a:lnTo>
                                <a:lnTo>
                                  <a:pt x="222427" y="97713"/>
                                </a:lnTo>
                                <a:lnTo>
                                  <a:pt x="243078" y="61442"/>
                                </a:lnTo>
                                <a:lnTo>
                                  <a:pt x="243078" y="51574"/>
                                </a:lnTo>
                                <a:close/>
                              </a:path>
                              <a:path w="1282700" h="396240">
                                <a:moveTo>
                                  <a:pt x="319963" y="63106"/>
                                </a:moveTo>
                                <a:lnTo>
                                  <a:pt x="311556" y="37858"/>
                                </a:lnTo>
                                <a:lnTo>
                                  <a:pt x="309194" y="35255"/>
                                </a:lnTo>
                                <a:lnTo>
                                  <a:pt x="309194" y="55245"/>
                                </a:lnTo>
                                <a:lnTo>
                                  <a:pt x="309194" y="71564"/>
                                </a:lnTo>
                                <a:lnTo>
                                  <a:pt x="307378" y="77812"/>
                                </a:lnTo>
                                <a:lnTo>
                                  <a:pt x="300062" y="86652"/>
                                </a:lnTo>
                                <a:lnTo>
                                  <a:pt x="294843" y="88849"/>
                                </a:lnTo>
                                <a:lnTo>
                                  <a:pt x="281393" y="88849"/>
                                </a:lnTo>
                                <a:lnTo>
                                  <a:pt x="276072" y="86614"/>
                                </a:lnTo>
                                <a:lnTo>
                                  <a:pt x="268135" y="77635"/>
                                </a:lnTo>
                                <a:lnTo>
                                  <a:pt x="266153" y="71564"/>
                                </a:lnTo>
                                <a:lnTo>
                                  <a:pt x="266192" y="55562"/>
                                </a:lnTo>
                                <a:lnTo>
                                  <a:pt x="268109" y="49390"/>
                                </a:lnTo>
                                <a:lnTo>
                                  <a:pt x="275971" y="40157"/>
                                </a:lnTo>
                                <a:lnTo>
                                  <a:pt x="281305" y="37858"/>
                                </a:lnTo>
                                <a:lnTo>
                                  <a:pt x="294805" y="37858"/>
                                </a:lnTo>
                                <a:lnTo>
                                  <a:pt x="300012" y="40068"/>
                                </a:lnTo>
                                <a:lnTo>
                                  <a:pt x="307365" y="48907"/>
                                </a:lnTo>
                                <a:lnTo>
                                  <a:pt x="309194" y="55245"/>
                                </a:lnTo>
                                <a:lnTo>
                                  <a:pt x="309194" y="35255"/>
                                </a:lnTo>
                                <a:lnTo>
                                  <a:pt x="306235" y="31991"/>
                                </a:lnTo>
                                <a:lnTo>
                                  <a:pt x="298602" y="28968"/>
                                </a:lnTo>
                                <a:lnTo>
                                  <a:pt x="288823" y="29019"/>
                                </a:lnTo>
                                <a:lnTo>
                                  <a:pt x="255943" y="56349"/>
                                </a:lnTo>
                                <a:lnTo>
                                  <a:pt x="255384" y="64122"/>
                                </a:lnTo>
                                <a:lnTo>
                                  <a:pt x="255866" y="70599"/>
                                </a:lnTo>
                                <a:lnTo>
                                  <a:pt x="277596" y="97701"/>
                                </a:lnTo>
                                <a:lnTo>
                                  <a:pt x="287286" y="97701"/>
                                </a:lnTo>
                                <a:lnTo>
                                  <a:pt x="294373" y="97116"/>
                                </a:lnTo>
                                <a:lnTo>
                                  <a:pt x="300697" y="95351"/>
                                </a:lnTo>
                                <a:lnTo>
                                  <a:pt x="306273" y="92405"/>
                                </a:lnTo>
                                <a:lnTo>
                                  <a:pt x="310413" y="88849"/>
                                </a:lnTo>
                                <a:lnTo>
                                  <a:pt x="311086" y="88277"/>
                                </a:lnTo>
                                <a:lnTo>
                                  <a:pt x="314972" y="83185"/>
                                </a:lnTo>
                                <a:lnTo>
                                  <a:pt x="317741" y="77279"/>
                                </a:lnTo>
                                <a:lnTo>
                                  <a:pt x="319405" y="70599"/>
                                </a:lnTo>
                                <a:lnTo>
                                  <a:pt x="319963" y="63106"/>
                                </a:lnTo>
                                <a:close/>
                              </a:path>
                              <a:path w="1282700" h="396240">
                                <a:moveTo>
                                  <a:pt x="370827" y="30175"/>
                                </a:moveTo>
                                <a:lnTo>
                                  <a:pt x="370103" y="29921"/>
                                </a:lnTo>
                                <a:lnTo>
                                  <a:pt x="367449" y="29464"/>
                                </a:lnTo>
                                <a:lnTo>
                                  <a:pt x="360984" y="29400"/>
                                </a:lnTo>
                                <a:lnTo>
                                  <a:pt x="357441" y="30607"/>
                                </a:lnTo>
                                <a:lnTo>
                                  <a:pt x="351294" y="35433"/>
                                </a:lnTo>
                                <a:lnTo>
                                  <a:pt x="349008" y="38950"/>
                                </a:lnTo>
                                <a:lnTo>
                                  <a:pt x="347510" y="43561"/>
                                </a:lnTo>
                                <a:lnTo>
                                  <a:pt x="347256" y="43561"/>
                                </a:lnTo>
                                <a:lnTo>
                                  <a:pt x="347256" y="30556"/>
                                </a:lnTo>
                                <a:lnTo>
                                  <a:pt x="336740" y="30556"/>
                                </a:lnTo>
                                <a:lnTo>
                                  <a:pt x="336740" y="96164"/>
                                </a:lnTo>
                                <a:lnTo>
                                  <a:pt x="347256" y="96164"/>
                                </a:lnTo>
                                <a:lnTo>
                                  <a:pt x="347256" y="55892"/>
                                </a:lnTo>
                                <a:lnTo>
                                  <a:pt x="348792" y="50190"/>
                                </a:lnTo>
                                <a:lnTo>
                                  <a:pt x="354939" y="41097"/>
                                </a:lnTo>
                                <a:lnTo>
                                  <a:pt x="359156" y="38823"/>
                                </a:lnTo>
                                <a:lnTo>
                                  <a:pt x="366280" y="38874"/>
                                </a:lnTo>
                                <a:lnTo>
                                  <a:pt x="369100" y="39522"/>
                                </a:lnTo>
                                <a:lnTo>
                                  <a:pt x="370827" y="30175"/>
                                </a:lnTo>
                                <a:close/>
                              </a:path>
                              <a:path w="1282700" h="396240">
                                <a:moveTo>
                                  <a:pt x="413626" y="95402"/>
                                </a:moveTo>
                                <a:lnTo>
                                  <a:pt x="411060" y="87401"/>
                                </a:lnTo>
                                <a:lnTo>
                                  <a:pt x="409244" y="88125"/>
                                </a:lnTo>
                                <a:lnTo>
                                  <a:pt x="405625" y="88861"/>
                                </a:lnTo>
                                <a:lnTo>
                                  <a:pt x="401650" y="88861"/>
                                </a:lnTo>
                                <a:lnTo>
                                  <a:pt x="399630" y="88036"/>
                                </a:lnTo>
                                <a:lnTo>
                                  <a:pt x="396938" y="84709"/>
                                </a:lnTo>
                                <a:lnTo>
                                  <a:pt x="396265" y="81991"/>
                                </a:lnTo>
                                <a:lnTo>
                                  <a:pt x="396265" y="39535"/>
                                </a:lnTo>
                                <a:lnTo>
                                  <a:pt x="412800" y="39535"/>
                                </a:lnTo>
                                <a:lnTo>
                                  <a:pt x="412800" y="30568"/>
                                </a:lnTo>
                                <a:lnTo>
                                  <a:pt x="396265" y="30568"/>
                                </a:lnTo>
                                <a:lnTo>
                                  <a:pt x="396265" y="11150"/>
                                </a:lnTo>
                                <a:lnTo>
                                  <a:pt x="385762" y="14554"/>
                                </a:lnTo>
                                <a:lnTo>
                                  <a:pt x="385762" y="30568"/>
                                </a:lnTo>
                                <a:lnTo>
                                  <a:pt x="374484" y="30568"/>
                                </a:lnTo>
                                <a:lnTo>
                                  <a:pt x="374484" y="39535"/>
                                </a:lnTo>
                                <a:lnTo>
                                  <a:pt x="385762" y="39535"/>
                                </a:lnTo>
                                <a:lnTo>
                                  <a:pt x="385762" y="85432"/>
                                </a:lnTo>
                                <a:lnTo>
                                  <a:pt x="387235" y="89954"/>
                                </a:lnTo>
                                <a:lnTo>
                                  <a:pt x="393179" y="96062"/>
                                </a:lnTo>
                                <a:lnTo>
                                  <a:pt x="397268" y="97574"/>
                                </a:lnTo>
                                <a:lnTo>
                                  <a:pt x="404660" y="97574"/>
                                </a:lnTo>
                                <a:lnTo>
                                  <a:pt x="406615" y="97396"/>
                                </a:lnTo>
                                <a:lnTo>
                                  <a:pt x="410070" y="96672"/>
                                </a:lnTo>
                                <a:lnTo>
                                  <a:pt x="413626" y="95402"/>
                                </a:lnTo>
                                <a:close/>
                              </a:path>
                              <a:path w="1282700" h="396240">
                                <a:moveTo>
                                  <a:pt x="473278" y="45339"/>
                                </a:moveTo>
                                <a:lnTo>
                                  <a:pt x="471271" y="39217"/>
                                </a:lnTo>
                                <a:lnTo>
                                  <a:pt x="469925" y="37858"/>
                                </a:lnTo>
                                <a:lnTo>
                                  <a:pt x="463245" y="31064"/>
                                </a:lnTo>
                                <a:lnTo>
                                  <a:pt x="457263" y="29019"/>
                                </a:lnTo>
                                <a:lnTo>
                                  <a:pt x="444233" y="29019"/>
                                </a:lnTo>
                                <a:lnTo>
                                  <a:pt x="439623" y="29857"/>
                                </a:lnTo>
                                <a:lnTo>
                                  <a:pt x="431342" y="33185"/>
                                </a:lnTo>
                                <a:lnTo>
                                  <a:pt x="427431" y="35788"/>
                                </a:lnTo>
                                <a:lnTo>
                                  <a:pt x="423760" y="39331"/>
                                </a:lnTo>
                                <a:lnTo>
                                  <a:pt x="429907" y="45681"/>
                                </a:lnTo>
                                <a:lnTo>
                                  <a:pt x="432676" y="43027"/>
                                </a:lnTo>
                                <a:lnTo>
                                  <a:pt x="435648" y="41059"/>
                                </a:lnTo>
                                <a:lnTo>
                                  <a:pt x="441972" y="38506"/>
                                </a:lnTo>
                                <a:lnTo>
                                  <a:pt x="445262" y="37858"/>
                                </a:lnTo>
                                <a:lnTo>
                                  <a:pt x="452945" y="37858"/>
                                </a:lnTo>
                                <a:lnTo>
                                  <a:pt x="456361" y="39027"/>
                                </a:lnTo>
                                <a:lnTo>
                                  <a:pt x="461492" y="43688"/>
                                </a:lnTo>
                                <a:lnTo>
                                  <a:pt x="462775" y="47599"/>
                                </a:lnTo>
                                <a:lnTo>
                                  <a:pt x="462775" y="54584"/>
                                </a:lnTo>
                                <a:lnTo>
                                  <a:pt x="462775" y="62979"/>
                                </a:lnTo>
                                <a:lnTo>
                                  <a:pt x="462775" y="75196"/>
                                </a:lnTo>
                                <a:lnTo>
                                  <a:pt x="461098" y="79895"/>
                                </a:lnTo>
                                <a:lnTo>
                                  <a:pt x="454393" y="87325"/>
                                </a:lnTo>
                                <a:lnTo>
                                  <a:pt x="449872" y="89179"/>
                                </a:lnTo>
                                <a:lnTo>
                                  <a:pt x="440905" y="89179"/>
                                </a:lnTo>
                                <a:lnTo>
                                  <a:pt x="438111" y="88138"/>
                                </a:lnTo>
                                <a:lnTo>
                                  <a:pt x="433527" y="83972"/>
                                </a:lnTo>
                                <a:lnTo>
                                  <a:pt x="432409" y="81000"/>
                                </a:lnTo>
                                <a:lnTo>
                                  <a:pt x="432409" y="73317"/>
                                </a:lnTo>
                                <a:lnTo>
                                  <a:pt x="433616" y="70561"/>
                                </a:lnTo>
                                <a:lnTo>
                                  <a:pt x="438492" y="67056"/>
                                </a:lnTo>
                                <a:lnTo>
                                  <a:pt x="442125" y="65836"/>
                                </a:lnTo>
                                <a:lnTo>
                                  <a:pt x="462775" y="62979"/>
                                </a:lnTo>
                                <a:lnTo>
                                  <a:pt x="462775" y="54584"/>
                                </a:lnTo>
                                <a:lnTo>
                                  <a:pt x="423887" y="67805"/>
                                </a:lnTo>
                                <a:lnTo>
                                  <a:pt x="421957" y="72440"/>
                                </a:lnTo>
                                <a:lnTo>
                                  <a:pt x="421957" y="83997"/>
                                </a:lnTo>
                                <a:lnTo>
                                  <a:pt x="423862" y="88734"/>
                                </a:lnTo>
                                <a:lnTo>
                                  <a:pt x="431469" y="95910"/>
                                </a:lnTo>
                                <a:lnTo>
                                  <a:pt x="436435" y="97701"/>
                                </a:lnTo>
                                <a:lnTo>
                                  <a:pt x="446989" y="97701"/>
                                </a:lnTo>
                                <a:lnTo>
                                  <a:pt x="450850" y="96723"/>
                                </a:lnTo>
                                <a:lnTo>
                                  <a:pt x="457466" y="92798"/>
                                </a:lnTo>
                                <a:lnTo>
                                  <a:pt x="460248" y="89839"/>
                                </a:lnTo>
                                <a:lnTo>
                                  <a:pt x="460629" y="89179"/>
                                </a:lnTo>
                                <a:lnTo>
                                  <a:pt x="462521" y="85915"/>
                                </a:lnTo>
                                <a:lnTo>
                                  <a:pt x="462775" y="85915"/>
                                </a:lnTo>
                                <a:lnTo>
                                  <a:pt x="462775" y="96164"/>
                                </a:lnTo>
                                <a:lnTo>
                                  <a:pt x="473278" y="96164"/>
                                </a:lnTo>
                                <a:lnTo>
                                  <a:pt x="473278" y="85915"/>
                                </a:lnTo>
                                <a:lnTo>
                                  <a:pt x="473278" y="62979"/>
                                </a:lnTo>
                                <a:lnTo>
                                  <a:pt x="473278" y="45339"/>
                                </a:lnTo>
                                <a:close/>
                              </a:path>
                              <a:path w="1282700" h="396240">
                                <a:moveTo>
                                  <a:pt x="524852" y="95402"/>
                                </a:moveTo>
                                <a:lnTo>
                                  <a:pt x="522287" y="87401"/>
                                </a:lnTo>
                                <a:lnTo>
                                  <a:pt x="520471" y="88125"/>
                                </a:lnTo>
                                <a:lnTo>
                                  <a:pt x="516839" y="88861"/>
                                </a:lnTo>
                                <a:lnTo>
                                  <a:pt x="512864" y="88861"/>
                                </a:lnTo>
                                <a:lnTo>
                                  <a:pt x="510857" y="88036"/>
                                </a:lnTo>
                                <a:lnTo>
                                  <a:pt x="508165" y="84709"/>
                                </a:lnTo>
                                <a:lnTo>
                                  <a:pt x="507492" y="81991"/>
                                </a:lnTo>
                                <a:lnTo>
                                  <a:pt x="507492" y="39535"/>
                                </a:lnTo>
                                <a:lnTo>
                                  <a:pt x="524014" y="39535"/>
                                </a:lnTo>
                                <a:lnTo>
                                  <a:pt x="524014" y="30568"/>
                                </a:lnTo>
                                <a:lnTo>
                                  <a:pt x="507492" y="30568"/>
                                </a:lnTo>
                                <a:lnTo>
                                  <a:pt x="507492" y="11150"/>
                                </a:lnTo>
                                <a:lnTo>
                                  <a:pt x="496976" y="14554"/>
                                </a:lnTo>
                                <a:lnTo>
                                  <a:pt x="496976" y="30568"/>
                                </a:lnTo>
                                <a:lnTo>
                                  <a:pt x="485698" y="30568"/>
                                </a:lnTo>
                                <a:lnTo>
                                  <a:pt x="485698" y="39535"/>
                                </a:lnTo>
                                <a:lnTo>
                                  <a:pt x="496976" y="39535"/>
                                </a:lnTo>
                                <a:lnTo>
                                  <a:pt x="496976" y="85432"/>
                                </a:lnTo>
                                <a:lnTo>
                                  <a:pt x="498462" y="89954"/>
                                </a:lnTo>
                                <a:lnTo>
                                  <a:pt x="504405" y="96062"/>
                                </a:lnTo>
                                <a:lnTo>
                                  <a:pt x="508495" y="97574"/>
                                </a:lnTo>
                                <a:lnTo>
                                  <a:pt x="515886" y="97574"/>
                                </a:lnTo>
                                <a:lnTo>
                                  <a:pt x="517842" y="97396"/>
                                </a:lnTo>
                                <a:lnTo>
                                  <a:pt x="521296" y="96672"/>
                                </a:lnTo>
                                <a:lnTo>
                                  <a:pt x="524852" y="95402"/>
                                </a:lnTo>
                                <a:close/>
                              </a:path>
                              <a:path w="1282700" h="396240">
                                <a:moveTo>
                                  <a:pt x="548563" y="30556"/>
                                </a:moveTo>
                                <a:lnTo>
                                  <a:pt x="538060" y="30556"/>
                                </a:lnTo>
                                <a:lnTo>
                                  <a:pt x="538060" y="96164"/>
                                </a:lnTo>
                                <a:lnTo>
                                  <a:pt x="548563" y="96164"/>
                                </a:lnTo>
                                <a:lnTo>
                                  <a:pt x="548563" y="30556"/>
                                </a:lnTo>
                                <a:close/>
                              </a:path>
                              <a:path w="1282700" h="396240">
                                <a:moveTo>
                                  <a:pt x="550989" y="5334"/>
                                </a:moveTo>
                                <a:lnTo>
                                  <a:pt x="550265" y="3581"/>
                                </a:lnTo>
                                <a:lnTo>
                                  <a:pt x="547370" y="711"/>
                                </a:lnTo>
                                <a:lnTo>
                                  <a:pt x="545566" y="0"/>
                                </a:lnTo>
                                <a:lnTo>
                                  <a:pt x="541299" y="0"/>
                                </a:lnTo>
                                <a:lnTo>
                                  <a:pt x="539508" y="711"/>
                                </a:lnTo>
                                <a:lnTo>
                                  <a:pt x="536600" y="3581"/>
                                </a:lnTo>
                                <a:lnTo>
                                  <a:pt x="535876" y="5334"/>
                                </a:lnTo>
                                <a:lnTo>
                                  <a:pt x="535876" y="9525"/>
                                </a:lnTo>
                                <a:lnTo>
                                  <a:pt x="536600" y="11290"/>
                                </a:lnTo>
                                <a:lnTo>
                                  <a:pt x="539508" y="14147"/>
                                </a:lnTo>
                                <a:lnTo>
                                  <a:pt x="541299" y="14859"/>
                                </a:lnTo>
                                <a:lnTo>
                                  <a:pt x="545566" y="14859"/>
                                </a:lnTo>
                                <a:lnTo>
                                  <a:pt x="547370" y="14147"/>
                                </a:lnTo>
                                <a:lnTo>
                                  <a:pt x="550265" y="11290"/>
                                </a:lnTo>
                                <a:lnTo>
                                  <a:pt x="550989" y="9525"/>
                                </a:lnTo>
                                <a:lnTo>
                                  <a:pt x="550989" y="5334"/>
                                </a:lnTo>
                                <a:close/>
                              </a:path>
                              <a:path w="1282700" h="396240">
                                <a:moveTo>
                                  <a:pt x="629932" y="63106"/>
                                </a:moveTo>
                                <a:lnTo>
                                  <a:pt x="621525" y="37858"/>
                                </a:lnTo>
                                <a:lnTo>
                                  <a:pt x="619163" y="35255"/>
                                </a:lnTo>
                                <a:lnTo>
                                  <a:pt x="619163" y="55245"/>
                                </a:lnTo>
                                <a:lnTo>
                                  <a:pt x="619163" y="71564"/>
                                </a:lnTo>
                                <a:lnTo>
                                  <a:pt x="617347" y="77812"/>
                                </a:lnTo>
                                <a:lnTo>
                                  <a:pt x="610031" y="86652"/>
                                </a:lnTo>
                                <a:lnTo>
                                  <a:pt x="604812" y="88849"/>
                                </a:lnTo>
                                <a:lnTo>
                                  <a:pt x="591362" y="88849"/>
                                </a:lnTo>
                                <a:lnTo>
                                  <a:pt x="586041" y="86614"/>
                                </a:lnTo>
                                <a:lnTo>
                                  <a:pt x="578104" y="77635"/>
                                </a:lnTo>
                                <a:lnTo>
                                  <a:pt x="576122" y="71564"/>
                                </a:lnTo>
                                <a:lnTo>
                                  <a:pt x="576160" y="55562"/>
                                </a:lnTo>
                                <a:lnTo>
                                  <a:pt x="578078" y="49390"/>
                                </a:lnTo>
                                <a:lnTo>
                                  <a:pt x="585939" y="40157"/>
                                </a:lnTo>
                                <a:lnTo>
                                  <a:pt x="591273" y="37858"/>
                                </a:lnTo>
                                <a:lnTo>
                                  <a:pt x="604774" y="37858"/>
                                </a:lnTo>
                                <a:lnTo>
                                  <a:pt x="609981" y="40068"/>
                                </a:lnTo>
                                <a:lnTo>
                                  <a:pt x="617334" y="48907"/>
                                </a:lnTo>
                                <a:lnTo>
                                  <a:pt x="619163" y="55245"/>
                                </a:lnTo>
                                <a:lnTo>
                                  <a:pt x="619163" y="35255"/>
                                </a:lnTo>
                                <a:lnTo>
                                  <a:pt x="616204" y="31991"/>
                                </a:lnTo>
                                <a:lnTo>
                                  <a:pt x="608571" y="28968"/>
                                </a:lnTo>
                                <a:lnTo>
                                  <a:pt x="598792" y="29019"/>
                                </a:lnTo>
                                <a:lnTo>
                                  <a:pt x="565912" y="56349"/>
                                </a:lnTo>
                                <a:lnTo>
                                  <a:pt x="565353" y="64122"/>
                                </a:lnTo>
                                <a:lnTo>
                                  <a:pt x="565835" y="70599"/>
                                </a:lnTo>
                                <a:lnTo>
                                  <a:pt x="587565" y="97701"/>
                                </a:lnTo>
                                <a:lnTo>
                                  <a:pt x="597255" y="97701"/>
                                </a:lnTo>
                                <a:lnTo>
                                  <a:pt x="604342" y="97116"/>
                                </a:lnTo>
                                <a:lnTo>
                                  <a:pt x="610666" y="95351"/>
                                </a:lnTo>
                                <a:lnTo>
                                  <a:pt x="616242" y="92405"/>
                                </a:lnTo>
                                <a:lnTo>
                                  <a:pt x="620382" y="88849"/>
                                </a:lnTo>
                                <a:lnTo>
                                  <a:pt x="621055" y="88277"/>
                                </a:lnTo>
                                <a:lnTo>
                                  <a:pt x="624941" y="83185"/>
                                </a:lnTo>
                                <a:lnTo>
                                  <a:pt x="627710" y="77279"/>
                                </a:lnTo>
                                <a:lnTo>
                                  <a:pt x="629373" y="70599"/>
                                </a:lnTo>
                                <a:lnTo>
                                  <a:pt x="629932" y="63106"/>
                                </a:lnTo>
                                <a:close/>
                              </a:path>
                              <a:path w="1282700" h="396240">
                                <a:moveTo>
                                  <a:pt x="701179" y="47307"/>
                                </a:moveTo>
                                <a:lnTo>
                                  <a:pt x="699287" y="40601"/>
                                </a:lnTo>
                                <a:lnTo>
                                  <a:pt x="691667" y="31343"/>
                                </a:lnTo>
                                <a:lnTo>
                                  <a:pt x="686193" y="29019"/>
                                </a:lnTo>
                                <a:lnTo>
                                  <a:pt x="674319" y="29019"/>
                                </a:lnTo>
                                <a:lnTo>
                                  <a:pt x="670166" y="30048"/>
                                </a:lnTo>
                                <a:lnTo>
                                  <a:pt x="662990" y="34201"/>
                                </a:lnTo>
                                <a:lnTo>
                                  <a:pt x="659955" y="37312"/>
                                </a:lnTo>
                                <a:lnTo>
                                  <a:pt x="657479" y="41440"/>
                                </a:lnTo>
                                <a:lnTo>
                                  <a:pt x="657225" y="41440"/>
                                </a:lnTo>
                                <a:lnTo>
                                  <a:pt x="657225" y="30556"/>
                                </a:lnTo>
                                <a:lnTo>
                                  <a:pt x="646722" y="30556"/>
                                </a:lnTo>
                                <a:lnTo>
                                  <a:pt x="646722" y="96164"/>
                                </a:lnTo>
                                <a:lnTo>
                                  <a:pt x="657225" y="96164"/>
                                </a:lnTo>
                                <a:lnTo>
                                  <a:pt x="657225" y="52717"/>
                                </a:lnTo>
                                <a:lnTo>
                                  <a:pt x="658952" y="47739"/>
                                </a:lnTo>
                                <a:lnTo>
                                  <a:pt x="665822" y="39839"/>
                                </a:lnTo>
                                <a:lnTo>
                                  <a:pt x="670166" y="37858"/>
                                </a:lnTo>
                                <a:lnTo>
                                  <a:pt x="680504" y="37858"/>
                                </a:lnTo>
                                <a:lnTo>
                                  <a:pt x="684314" y="39611"/>
                                </a:lnTo>
                                <a:lnTo>
                                  <a:pt x="689406" y="46570"/>
                                </a:lnTo>
                                <a:lnTo>
                                  <a:pt x="690676" y="51790"/>
                                </a:lnTo>
                                <a:lnTo>
                                  <a:pt x="690676" y="96164"/>
                                </a:lnTo>
                                <a:lnTo>
                                  <a:pt x="701179" y="96164"/>
                                </a:lnTo>
                                <a:lnTo>
                                  <a:pt x="701179" y="47307"/>
                                </a:lnTo>
                                <a:close/>
                              </a:path>
                              <a:path w="1282700" h="396240">
                                <a:moveTo>
                                  <a:pt x="760755" y="72821"/>
                                </a:moveTo>
                                <a:lnTo>
                                  <a:pt x="759104" y="68605"/>
                                </a:lnTo>
                                <a:lnTo>
                                  <a:pt x="752475" y="62153"/>
                                </a:lnTo>
                                <a:lnTo>
                                  <a:pt x="747496" y="59639"/>
                                </a:lnTo>
                                <a:lnTo>
                                  <a:pt x="735749" y="56527"/>
                                </a:lnTo>
                                <a:lnTo>
                                  <a:pt x="732066" y="55118"/>
                                </a:lnTo>
                                <a:lnTo>
                                  <a:pt x="727494" y="52133"/>
                                </a:lnTo>
                                <a:lnTo>
                                  <a:pt x="726351" y="49911"/>
                                </a:lnTo>
                                <a:lnTo>
                                  <a:pt x="726351" y="44018"/>
                                </a:lnTo>
                                <a:lnTo>
                                  <a:pt x="727456" y="41757"/>
                                </a:lnTo>
                                <a:lnTo>
                                  <a:pt x="731901" y="38646"/>
                                </a:lnTo>
                                <a:lnTo>
                                  <a:pt x="735126" y="37858"/>
                                </a:lnTo>
                                <a:lnTo>
                                  <a:pt x="741794" y="37858"/>
                                </a:lnTo>
                                <a:lnTo>
                                  <a:pt x="744194" y="38239"/>
                                </a:lnTo>
                                <a:lnTo>
                                  <a:pt x="748944" y="39738"/>
                                </a:lnTo>
                                <a:lnTo>
                                  <a:pt x="751611" y="41046"/>
                                </a:lnTo>
                                <a:lnTo>
                                  <a:pt x="754608" y="42926"/>
                                </a:lnTo>
                                <a:lnTo>
                                  <a:pt x="759282" y="34975"/>
                                </a:lnTo>
                                <a:lnTo>
                                  <a:pt x="755992" y="32804"/>
                                </a:lnTo>
                                <a:lnTo>
                                  <a:pt x="752767" y="31267"/>
                                </a:lnTo>
                                <a:lnTo>
                                  <a:pt x="746442" y="29464"/>
                                </a:lnTo>
                                <a:lnTo>
                                  <a:pt x="743115" y="29019"/>
                                </a:lnTo>
                                <a:lnTo>
                                  <a:pt x="732358" y="29019"/>
                                </a:lnTo>
                                <a:lnTo>
                                  <a:pt x="726694" y="30822"/>
                                </a:lnTo>
                                <a:lnTo>
                                  <a:pt x="718578" y="38049"/>
                                </a:lnTo>
                                <a:lnTo>
                                  <a:pt x="716546" y="42545"/>
                                </a:lnTo>
                                <a:lnTo>
                                  <a:pt x="716546" y="52578"/>
                                </a:lnTo>
                                <a:lnTo>
                                  <a:pt x="718070" y="56489"/>
                                </a:lnTo>
                                <a:lnTo>
                                  <a:pt x="724128" y="62852"/>
                                </a:lnTo>
                                <a:lnTo>
                                  <a:pt x="729754" y="65506"/>
                                </a:lnTo>
                                <a:lnTo>
                                  <a:pt x="742340" y="68694"/>
                                </a:lnTo>
                                <a:lnTo>
                                  <a:pt x="745578" y="70180"/>
                                </a:lnTo>
                                <a:lnTo>
                                  <a:pt x="749731" y="73901"/>
                                </a:lnTo>
                                <a:lnTo>
                                  <a:pt x="750760" y="76174"/>
                                </a:lnTo>
                                <a:lnTo>
                                  <a:pt x="750760" y="82194"/>
                                </a:lnTo>
                                <a:lnTo>
                                  <a:pt x="749592" y="84696"/>
                                </a:lnTo>
                                <a:lnTo>
                                  <a:pt x="744943" y="88036"/>
                                </a:lnTo>
                                <a:lnTo>
                                  <a:pt x="741540" y="88861"/>
                                </a:lnTo>
                                <a:lnTo>
                                  <a:pt x="733894" y="88861"/>
                                </a:lnTo>
                                <a:lnTo>
                                  <a:pt x="730935" y="88392"/>
                                </a:lnTo>
                                <a:lnTo>
                                  <a:pt x="725474" y="86461"/>
                                </a:lnTo>
                                <a:lnTo>
                                  <a:pt x="722680" y="85039"/>
                                </a:lnTo>
                                <a:lnTo>
                                  <a:pt x="719823" y="83159"/>
                                </a:lnTo>
                                <a:lnTo>
                                  <a:pt x="714819" y="91236"/>
                                </a:lnTo>
                                <a:lnTo>
                                  <a:pt x="717981" y="93332"/>
                                </a:lnTo>
                                <a:lnTo>
                                  <a:pt x="721410" y="94932"/>
                                </a:lnTo>
                                <a:lnTo>
                                  <a:pt x="728789" y="97155"/>
                                </a:lnTo>
                                <a:lnTo>
                                  <a:pt x="732650" y="97713"/>
                                </a:lnTo>
                                <a:lnTo>
                                  <a:pt x="744143" y="97713"/>
                                </a:lnTo>
                                <a:lnTo>
                                  <a:pt x="750023" y="95948"/>
                                </a:lnTo>
                                <a:lnTo>
                                  <a:pt x="758609" y="88887"/>
                                </a:lnTo>
                                <a:lnTo>
                                  <a:pt x="760755" y="84099"/>
                                </a:lnTo>
                                <a:lnTo>
                                  <a:pt x="760755" y="72821"/>
                                </a:lnTo>
                                <a:close/>
                              </a:path>
                              <a:path w="1282700" h="396240">
                                <a:moveTo>
                                  <a:pt x="1282458" y="302209"/>
                                </a:moveTo>
                                <a:lnTo>
                                  <a:pt x="1278496" y="302209"/>
                                </a:lnTo>
                                <a:lnTo>
                                  <a:pt x="1275321" y="305206"/>
                                </a:lnTo>
                                <a:lnTo>
                                  <a:pt x="1270977" y="308152"/>
                                </a:lnTo>
                                <a:lnTo>
                                  <a:pt x="1259916" y="313956"/>
                                </a:lnTo>
                                <a:lnTo>
                                  <a:pt x="1254696" y="316052"/>
                                </a:lnTo>
                                <a:lnTo>
                                  <a:pt x="1249781" y="317334"/>
                                </a:lnTo>
                                <a:lnTo>
                                  <a:pt x="1252791" y="326567"/>
                                </a:lnTo>
                                <a:lnTo>
                                  <a:pt x="1271955" y="317461"/>
                                </a:lnTo>
                                <a:lnTo>
                                  <a:pt x="1271955" y="396138"/>
                                </a:lnTo>
                                <a:lnTo>
                                  <a:pt x="1282458" y="396138"/>
                                </a:lnTo>
                                <a:lnTo>
                                  <a:pt x="1282458" y="302209"/>
                                </a:lnTo>
                                <a:close/>
                              </a:path>
                            </a:pathLst>
                          </a:custGeom>
                          <a:solidFill>
                            <a:srgbClr val="231F20"/>
                          </a:solidFill>
                        </wps:spPr>
                        <wps:bodyPr wrap="square" lIns="0" tIns="0" rIns="0" bIns="0" rtlCol="0">
                          <a:prstTxWarp prst="textNoShape">
                            <a:avLst/>
                          </a:prstTxWarp>
                          <a:noAutofit/>
                        </wps:bodyPr>
                      </wps:wsp>
                      <pic:pic>
                        <pic:nvPicPr>
                          <pic:cNvPr id="479" name="Image 479"/>
                          <pic:cNvPicPr/>
                        </pic:nvPicPr>
                        <pic:blipFill>
                          <a:blip r:embed="rId142" cstate="print"/>
                          <a:stretch>
                            <a:fillRect/>
                          </a:stretch>
                        </pic:blipFill>
                        <pic:spPr>
                          <a:xfrm>
                            <a:off x="3255545" y="1505557"/>
                            <a:ext cx="159600" cy="110326"/>
                          </a:xfrm>
                          <a:prstGeom prst="rect">
                            <a:avLst/>
                          </a:prstGeom>
                        </pic:spPr>
                      </pic:pic>
                      <pic:pic>
                        <pic:nvPicPr>
                          <pic:cNvPr id="480" name="Image 480"/>
                          <pic:cNvPicPr/>
                        </pic:nvPicPr>
                        <pic:blipFill>
                          <a:blip r:embed="rId143" cstate="print"/>
                          <a:stretch>
                            <a:fillRect/>
                          </a:stretch>
                        </pic:blipFill>
                        <pic:spPr>
                          <a:xfrm>
                            <a:off x="354736" y="1499666"/>
                            <a:ext cx="2088874" cy="130178"/>
                          </a:xfrm>
                          <a:prstGeom prst="rect">
                            <a:avLst/>
                          </a:prstGeom>
                        </pic:spPr>
                      </pic:pic>
                      <pic:pic>
                        <pic:nvPicPr>
                          <pic:cNvPr id="481" name="Image 481"/>
                          <pic:cNvPicPr/>
                        </pic:nvPicPr>
                        <pic:blipFill>
                          <a:blip r:embed="rId144" cstate="print"/>
                          <a:stretch>
                            <a:fillRect/>
                          </a:stretch>
                        </pic:blipFill>
                        <pic:spPr>
                          <a:xfrm>
                            <a:off x="3204932" y="1765419"/>
                            <a:ext cx="299266" cy="110332"/>
                          </a:xfrm>
                          <a:prstGeom prst="rect">
                            <a:avLst/>
                          </a:prstGeom>
                        </pic:spPr>
                      </pic:pic>
                      <pic:pic>
                        <pic:nvPicPr>
                          <pic:cNvPr id="482" name="Image 482"/>
                          <pic:cNvPicPr/>
                        </pic:nvPicPr>
                        <pic:blipFill>
                          <a:blip r:embed="rId145" cstate="print"/>
                          <a:stretch>
                            <a:fillRect/>
                          </a:stretch>
                        </pic:blipFill>
                        <pic:spPr>
                          <a:xfrm>
                            <a:off x="354737" y="1761708"/>
                            <a:ext cx="1152616" cy="98676"/>
                          </a:xfrm>
                          <a:prstGeom prst="rect">
                            <a:avLst/>
                          </a:prstGeom>
                        </pic:spPr>
                      </pic:pic>
                      <wps:wsp>
                        <wps:cNvPr id="483" name="Graphic 483"/>
                        <wps:cNvSpPr/>
                        <wps:spPr>
                          <a:xfrm>
                            <a:off x="1554835" y="1761718"/>
                            <a:ext cx="85090" cy="99060"/>
                          </a:xfrm>
                          <a:custGeom>
                            <a:avLst/>
                            <a:gdLst/>
                            <a:ahLst/>
                            <a:cxnLst/>
                            <a:rect l="l" t="t" r="r" b="b"/>
                            <a:pathLst>
                              <a:path w="85090" h="99060">
                                <a:moveTo>
                                  <a:pt x="10502" y="0"/>
                                </a:moveTo>
                                <a:lnTo>
                                  <a:pt x="0" y="0"/>
                                </a:lnTo>
                                <a:lnTo>
                                  <a:pt x="0" y="97129"/>
                                </a:lnTo>
                                <a:lnTo>
                                  <a:pt x="10502" y="97129"/>
                                </a:lnTo>
                                <a:lnTo>
                                  <a:pt x="10502" y="0"/>
                                </a:lnTo>
                                <a:close/>
                              </a:path>
                              <a:path w="85090" h="99060">
                                <a:moveTo>
                                  <a:pt x="84505" y="51625"/>
                                </a:moveTo>
                                <a:lnTo>
                                  <a:pt x="82143" y="43903"/>
                                </a:lnTo>
                                <a:lnTo>
                                  <a:pt x="77825" y="38811"/>
                                </a:lnTo>
                                <a:lnTo>
                                  <a:pt x="73748" y="33997"/>
                                </a:lnTo>
                                <a:lnTo>
                                  <a:pt x="73748" y="58102"/>
                                </a:lnTo>
                                <a:lnTo>
                                  <a:pt x="38239" y="58102"/>
                                </a:lnTo>
                                <a:lnTo>
                                  <a:pt x="73748" y="58102"/>
                                </a:lnTo>
                                <a:lnTo>
                                  <a:pt x="73748" y="33997"/>
                                </a:lnTo>
                                <a:lnTo>
                                  <a:pt x="72707" y="32766"/>
                                </a:lnTo>
                                <a:lnTo>
                                  <a:pt x="66078" y="29972"/>
                                </a:lnTo>
                                <a:lnTo>
                                  <a:pt x="48564" y="29972"/>
                                </a:lnTo>
                                <a:lnTo>
                                  <a:pt x="27292" y="65138"/>
                                </a:lnTo>
                                <a:lnTo>
                                  <a:pt x="27838" y="72631"/>
                                </a:lnTo>
                                <a:lnTo>
                                  <a:pt x="48971" y="98666"/>
                                </a:lnTo>
                                <a:lnTo>
                                  <a:pt x="63322" y="98666"/>
                                </a:lnTo>
                                <a:lnTo>
                                  <a:pt x="67398" y="98107"/>
                                </a:lnTo>
                                <a:lnTo>
                                  <a:pt x="74828" y="95885"/>
                                </a:lnTo>
                                <a:lnTo>
                                  <a:pt x="78549" y="94132"/>
                                </a:lnTo>
                                <a:lnTo>
                                  <a:pt x="82257" y="91732"/>
                                </a:lnTo>
                                <a:lnTo>
                                  <a:pt x="80962" y="89750"/>
                                </a:lnTo>
                                <a:lnTo>
                                  <a:pt x="77393" y="84239"/>
                                </a:lnTo>
                                <a:lnTo>
                                  <a:pt x="74485" y="86169"/>
                                </a:lnTo>
                                <a:lnTo>
                                  <a:pt x="71551" y="87566"/>
                                </a:lnTo>
                                <a:lnTo>
                                  <a:pt x="65608" y="89319"/>
                                </a:lnTo>
                                <a:lnTo>
                                  <a:pt x="62661" y="89750"/>
                                </a:lnTo>
                                <a:lnTo>
                                  <a:pt x="52959" y="89750"/>
                                </a:lnTo>
                                <a:lnTo>
                                  <a:pt x="47713" y="87757"/>
                                </a:lnTo>
                                <a:lnTo>
                                  <a:pt x="40246" y="79768"/>
                                </a:lnTo>
                                <a:lnTo>
                                  <a:pt x="38290" y="74079"/>
                                </a:lnTo>
                                <a:lnTo>
                                  <a:pt x="38112" y="66687"/>
                                </a:lnTo>
                                <a:lnTo>
                                  <a:pt x="84505" y="66687"/>
                                </a:lnTo>
                                <a:lnTo>
                                  <a:pt x="84505" y="58102"/>
                                </a:lnTo>
                                <a:lnTo>
                                  <a:pt x="84505" y="51625"/>
                                </a:lnTo>
                                <a:close/>
                              </a:path>
                            </a:pathLst>
                          </a:custGeom>
                          <a:solidFill>
                            <a:srgbClr val="231F20"/>
                          </a:solidFill>
                        </wps:spPr>
                        <wps:bodyPr wrap="square" lIns="0" tIns="0" rIns="0" bIns="0" rtlCol="0">
                          <a:prstTxWarp prst="textNoShape">
                            <a:avLst/>
                          </a:prstTxWarp>
                          <a:noAutofit/>
                        </wps:bodyPr>
                      </wps:wsp>
                      <pic:pic>
                        <pic:nvPicPr>
                          <pic:cNvPr id="484" name="Image 484"/>
                          <pic:cNvPicPr/>
                        </pic:nvPicPr>
                        <pic:blipFill>
                          <a:blip r:embed="rId146" cstate="print"/>
                          <a:stretch>
                            <a:fillRect/>
                          </a:stretch>
                        </pic:blipFill>
                        <pic:spPr>
                          <a:xfrm>
                            <a:off x="1686683" y="1761714"/>
                            <a:ext cx="169142" cy="98666"/>
                          </a:xfrm>
                          <a:prstGeom prst="rect">
                            <a:avLst/>
                          </a:prstGeom>
                        </pic:spPr>
                      </pic:pic>
                      <wps:wsp>
                        <wps:cNvPr id="485" name="Graphic 485"/>
                        <wps:cNvSpPr/>
                        <wps:spPr>
                          <a:xfrm>
                            <a:off x="1877098" y="1761718"/>
                            <a:ext cx="132715" cy="99060"/>
                          </a:xfrm>
                          <a:custGeom>
                            <a:avLst/>
                            <a:gdLst/>
                            <a:ahLst/>
                            <a:cxnLst/>
                            <a:rect l="l" t="t" r="r" b="b"/>
                            <a:pathLst>
                              <a:path w="132715" h="99060">
                                <a:moveTo>
                                  <a:pt x="10502" y="0"/>
                                </a:moveTo>
                                <a:lnTo>
                                  <a:pt x="0" y="0"/>
                                </a:lnTo>
                                <a:lnTo>
                                  <a:pt x="0" y="97129"/>
                                </a:lnTo>
                                <a:lnTo>
                                  <a:pt x="10502" y="97129"/>
                                </a:lnTo>
                                <a:lnTo>
                                  <a:pt x="10502" y="0"/>
                                </a:lnTo>
                                <a:close/>
                              </a:path>
                              <a:path w="132715" h="99060">
                                <a:moveTo>
                                  <a:pt x="78232" y="46304"/>
                                </a:moveTo>
                                <a:lnTo>
                                  <a:pt x="76225" y="40182"/>
                                </a:lnTo>
                                <a:lnTo>
                                  <a:pt x="74879" y="38823"/>
                                </a:lnTo>
                                <a:lnTo>
                                  <a:pt x="68199" y="32029"/>
                                </a:lnTo>
                                <a:lnTo>
                                  <a:pt x="62217" y="29984"/>
                                </a:lnTo>
                                <a:lnTo>
                                  <a:pt x="49187" y="29984"/>
                                </a:lnTo>
                                <a:lnTo>
                                  <a:pt x="44577" y="30822"/>
                                </a:lnTo>
                                <a:lnTo>
                                  <a:pt x="36296" y="34150"/>
                                </a:lnTo>
                                <a:lnTo>
                                  <a:pt x="32385" y="36753"/>
                                </a:lnTo>
                                <a:lnTo>
                                  <a:pt x="28714" y="40297"/>
                                </a:lnTo>
                                <a:lnTo>
                                  <a:pt x="34861" y="46647"/>
                                </a:lnTo>
                                <a:lnTo>
                                  <a:pt x="37630" y="43992"/>
                                </a:lnTo>
                                <a:lnTo>
                                  <a:pt x="40601" y="42024"/>
                                </a:lnTo>
                                <a:lnTo>
                                  <a:pt x="46926" y="39471"/>
                                </a:lnTo>
                                <a:lnTo>
                                  <a:pt x="50215" y="38823"/>
                                </a:lnTo>
                                <a:lnTo>
                                  <a:pt x="57899" y="38823"/>
                                </a:lnTo>
                                <a:lnTo>
                                  <a:pt x="61315" y="39992"/>
                                </a:lnTo>
                                <a:lnTo>
                                  <a:pt x="66446" y="44640"/>
                                </a:lnTo>
                                <a:lnTo>
                                  <a:pt x="67729" y="48564"/>
                                </a:lnTo>
                                <a:lnTo>
                                  <a:pt x="67729" y="55549"/>
                                </a:lnTo>
                                <a:lnTo>
                                  <a:pt x="67729" y="63944"/>
                                </a:lnTo>
                                <a:lnTo>
                                  <a:pt x="67729" y="76161"/>
                                </a:lnTo>
                                <a:lnTo>
                                  <a:pt x="66052" y="80860"/>
                                </a:lnTo>
                                <a:lnTo>
                                  <a:pt x="59347" y="88290"/>
                                </a:lnTo>
                                <a:lnTo>
                                  <a:pt x="54825" y="90144"/>
                                </a:lnTo>
                                <a:lnTo>
                                  <a:pt x="45859" y="90144"/>
                                </a:lnTo>
                                <a:lnTo>
                                  <a:pt x="43065" y="89103"/>
                                </a:lnTo>
                                <a:lnTo>
                                  <a:pt x="38481" y="84937"/>
                                </a:lnTo>
                                <a:lnTo>
                                  <a:pt x="37363" y="81965"/>
                                </a:lnTo>
                                <a:lnTo>
                                  <a:pt x="37363" y="74282"/>
                                </a:lnTo>
                                <a:lnTo>
                                  <a:pt x="38569" y="71526"/>
                                </a:lnTo>
                                <a:lnTo>
                                  <a:pt x="43446" y="68021"/>
                                </a:lnTo>
                                <a:lnTo>
                                  <a:pt x="47078" y="66802"/>
                                </a:lnTo>
                                <a:lnTo>
                                  <a:pt x="67729" y="63944"/>
                                </a:lnTo>
                                <a:lnTo>
                                  <a:pt x="67729" y="55549"/>
                                </a:lnTo>
                                <a:lnTo>
                                  <a:pt x="28841" y="68770"/>
                                </a:lnTo>
                                <a:lnTo>
                                  <a:pt x="26911" y="73393"/>
                                </a:lnTo>
                                <a:lnTo>
                                  <a:pt x="26911" y="84963"/>
                                </a:lnTo>
                                <a:lnTo>
                                  <a:pt x="28816" y="89700"/>
                                </a:lnTo>
                                <a:lnTo>
                                  <a:pt x="36423" y="96875"/>
                                </a:lnTo>
                                <a:lnTo>
                                  <a:pt x="41389" y="98666"/>
                                </a:lnTo>
                                <a:lnTo>
                                  <a:pt x="51943" y="98666"/>
                                </a:lnTo>
                                <a:lnTo>
                                  <a:pt x="55803" y="97688"/>
                                </a:lnTo>
                                <a:lnTo>
                                  <a:pt x="62420" y="93751"/>
                                </a:lnTo>
                                <a:lnTo>
                                  <a:pt x="65201" y="90805"/>
                                </a:lnTo>
                                <a:lnTo>
                                  <a:pt x="65582" y="90144"/>
                                </a:lnTo>
                                <a:lnTo>
                                  <a:pt x="67475" y="86880"/>
                                </a:lnTo>
                                <a:lnTo>
                                  <a:pt x="67729" y="86880"/>
                                </a:lnTo>
                                <a:lnTo>
                                  <a:pt x="67729" y="97129"/>
                                </a:lnTo>
                                <a:lnTo>
                                  <a:pt x="78232" y="97129"/>
                                </a:lnTo>
                                <a:lnTo>
                                  <a:pt x="78232" y="86880"/>
                                </a:lnTo>
                                <a:lnTo>
                                  <a:pt x="78232" y="63944"/>
                                </a:lnTo>
                                <a:lnTo>
                                  <a:pt x="78232" y="46304"/>
                                </a:lnTo>
                                <a:close/>
                              </a:path>
                              <a:path w="132715" h="99060">
                                <a:moveTo>
                                  <a:pt x="132626" y="31140"/>
                                </a:moveTo>
                                <a:lnTo>
                                  <a:pt x="131902" y="30886"/>
                                </a:lnTo>
                                <a:lnTo>
                                  <a:pt x="129235" y="30429"/>
                                </a:lnTo>
                                <a:lnTo>
                                  <a:pt x="122783" y="30365"/>
                                </a:lnTo>
                                <a:lnTo>
                                  <a:pt x="119240" y="31572"/>
                                </a:lnTo>
                                <a:lnTo>
                                  <a:pt x="113093" y="36398"/>
                                </a:lnTo>
                                <a:lnTo>
                                  <a:pt x="110794" y="39916"/>
                                </a:lnTo>
                                <a:lnTo>
                                  <a:pt x="109308" y="44526"/>
                                </a:lnTo>
                                <a:lnTo>
                                  <a:pt x="109054" y="44526"/>
                                </a:lnTo>
                                <a:lnTo>
                                  <a:pt x="109054" y="31521"/>
                                </a:lnTo>
                                <a:lnTo>
                                  <a:pt x="98539" y="31521"/>
                                </a:lnTo>
                                <a:lnTo>
                                  <a:pt x="98539" y="97129"/>
                                </a:lnTo>
                                <a:lnTo>
                                  <a:pt x="109054" y="97129"/>
                                </a:lnTo>
                                <a:lnTo>
                                  <a:pt x="109054" y="56857"/>
                                </a:lnTo>
                                <a:lnTo>
                                  <a:pt x="110591" y="51155"/>
                                </a:lnTo>
                                <a:lnTo>
                                  <a:pt x="116738" y="42062"/>
                                </a:lnTo>
                                <a:lnTo>
                                  <a:pt x="120942" y="39789"/>
                                </a:lnTo>
                                <a:lnTo>
                                  <a:pt x="128079" y="39839"/>
                                </a:lnTo>
                                <a:lnTo>
                                  <a:pt x="130898" y="40487"/>
                                </a:lnTo>
                                <a:lnTo>
                                  <a:pt x="132626" y="31140"/>
                                </a:lnTo>
                                <a:close/>
                              </a:path>
                            </a:pathLst>
                          </a:custGeom>
                          <a:solidFill>
                            <a:srgbClr val="231F20"/>
                          </a:solidFill>
                        </wps:spPr>
                        <wps:bodyPr wrap="square" lIns="0" tIns="0" rIns="0" bIns="0" rtlCol="0">
                          <a:prstTxWarp prst="textNoShape">
                            <a:avLst/>
                          </a:prstTxWarp>
                          <a:noAutofit/>
                        </wps:bodyPr>
                      </wps:wsp>
                      <pic:pic>
                        <pic:nvPicPr>
                          <pic:cNvPr id="486" name="Image 486"/>
                          <pic:cNvPicPr/>
                        </pic:nvPicPr>
                        <pic:blipFill>
                          <a:blip r:embed="rId147" cstate="print"/>
                          <a:stretch>
                            <a:fillRect/>
                          </a:stretch>
                        </pic:blipFill>
                        <pic:spPr>
                          <a:xfrm>
                            <a:off x="2052717" y="1761714"/>
                            <a:ext cx="190158" cy="98670"/>
                          </a:xfrm>
                          <a:prstGeom prst="rect">
                            <a:avLst/>
                          </a:prstGeom>
                        </pic:spPr>
                      </pic:pic>
                      <pic:pic>
                        <pic:nvPicPr>
                          <pic:cNvPr id="487" name="Image 487"/>
                          <pic:cNvPicPr/>
                        </pic:nvPicPr>
                        <pic:blipFill>
                          <a:blip r:embed="rId148" cstate="print"/>
                          <a:stretch>
                            <a:fillRect/>
                          </a:stretch>
                        </pic:blipFill>
                        <pic:spPr>
                          <a:xfrm>
                            <a:off x="2296121" y="1737489"/>
                            <a:ext cx="309905" cy="122895"/>
                          </a:xfrm>
                          <a:prstGeom prst="rect">
                            <a:avLst/>
                          </a:prstGeom>
                        </pic:spPr>
                      </pic:pic>
                      <pic:pic>
                        <pic:nvPicPr>
                          <pic:cNvPr id="488" name="Image 488"/>
                          <pic:cNvPicPr/>
                        </pic:nvPicPr>
                        <pic:blipFill>
                          <a:blip r:embed="rId149" cstate="print"/>
                          <a:stretch>
                            <a:fillRect/>
                          </a:stretch>
                        </pic:blipFill>
                        <pic:spPr>
                          <a:xfrm>
                            <a:off x="2625183" y="1766961"/>
                            <a:ext cx="68364" cy="93421"/>
                          </a:xfrm>
                          <a:prstGeom prst="rect">
                            <a:avLst/>
                          </a:prstGeom>
                        </pic:spPr>
                      </pic:pic>
                      <pic:pic>
                        <pic:nvPicPr>
                          <pic:cNvPr id="489" name="Image 489"/>
                          <pic:cNvPicPr/>
                        </pic:nvPicPr>
                        <pic:blipFill>
                          <a:blip r:embed="rId150" cstate="print"/>
                          <a:stretch>
                            <a:fillRect/>
                          </a:stretch>
                        </pic:blipFill>
                        <pic:spPr>
                          <a:xfrm>
                            <a:off x="2715074" y="1762668"/>
                            <a:ext cx="145820" cy="97716"/>
                          </a:xfrm>
                          <a:prstGeom prst="rect">
                            <a:avLst/>
                          </a:prstGeom>
                        </pic:spPr>
                      </pic:pic>
                      <wps:wsp>
                        <wps:cNvPr id="490" name="Graphic 490"/>
                        <wps:cNvSpPr/>
                        <wps:spPr>
                          <a:xfrm>
                            <a:off x="3206144" y="2031568"/>
                            <a:ext cx="62230" cy="95250"/>
                          </a:xfrm>
                          <a:custGeom>
                            <a:avLst/>
                            <a:gdLst/>
                            <a:ahLst/>
                            <a:cxnLst/>
                            <a:rect l="l" t="t" r="r" b="b"/>
                            <a:pathLst>
                              <a:path w="62230" h="95250">
                                <a:moveTo>
                                  <a:pt x="39319" y="0"/>
                                </a:moveTo>
                                <a:lnTo>
                                  <a:pt x="25476" y="0"/>
                                </a:lnTo>
                                <a:lnTo>
                                  <a:pt x="20485" y="660"/>
                                </a:lnTo>
                                <a:lnTo>
                                  <a:pt x="11430" y="3263"/>
                                </a:lnTo>
                                <a:lnTo>
                                  <a:pt x="6858" y="5321"/>
                                </a:lnTo>
                                <a:lnTo>
                                  <a:pt x="2247" y="8140"/>
                                </a:lnTo>
                                <a:lnTo>
                                  <a:pt x="9740" y="20954"/>
                                </a:lnTo>
                                <a:lnTo>
                                  <a:pt x="13119" y="18948"/>
                                </a:lnTo>
                                <a:lnTo>
                                  <a:pt x="16319" y="17462"/>
                                </a:lnTo>
                                <a:lnTo>
                                  <a:pt x="22377" y="15544"/>
                                </a:lnTo>
                                <a:lnTo>
                                  <a:pt x="25222" y="15062"/>
                                </a:lnTo>
                                <a:lnTo>
                                  <a:pt x="31457" y="15062"/>
                                </a:lnTo>
                                <a:lnTo>
                                  <a:pt x="34251" y="15925"/>
                                </a:lnTo>
                                <a:lnTo>
                                  <a:pt x="38214" y="19380"/>
                                </a:lnTo>
                                <a:lnTo>
                                  <a:pt x="39204" y="21996"/>
                                </a:lnTo>
                                <a:lnTo>
                                  <a:pt x="39204" y="30289"/>
                                </a:lnTo>
                                <a:lnTo>
                                  <a:pt x="37693" y="33693"/>
                                </a:lnTo>
                                <a:lnTo>
                                  <a:pt x="31623" y="37757"/>
                                </a:lnTo>
                                <a:lnTo>
                                  <a:pt x="27063" y="38760"/>
                                </a:lnTo>
                                <a:lnTo>
                                  <a:pt x="14097" y="38760"/>
                                </a:lnTo>
                                <a:lnTo>
                                  <a:pt x="14097" y="53759"/>
                                </a:lnTo>
                                <a:lnTo>
                                  <a:pt x="27952" y="53759"/>
                                </a:lnTo>
                                <a:lnTo>
                                  <a:pt x="32956" y="54914"/>
                                </a:lnTo>
                                <a:lnTo>
                                  <a:pt x="40208" y="59524"/>
                                </a:lnTo>
                                <a:lnTo>
                                  <a:pt x="42037" y="62941"/>
                                </a:lnTo>
                                <a:lnTo>
                                  <a:pt x="42037" y="70802"/>
                                </a:lnTo>
                                <a:lnTo>
                                  <a:pt x="40779" y="73710"/>
                                </a:lnTo>
                                <a:lnTo>
                                  <a:pt x="35788" y="78663"/>
                                </a:lnTo>
                                <a:lnTo>
                                  <a:pt x="31927" y="79895"/>
                                </a:lnTo>
                                <a:lnTo>
                                  <a:pt x="22923" y="79895"/>
                                </a:lnTo>
                                <a:lnTo>
                                  <a:pt x="19646" y="79438"/>
                                </a:lnTo>
                                <a:lnTo>
                                  <a:pt x="14173" y="77596"/>
                                </a:lnTo>
                                <a:lnTo>
                                  <a:pt x="11176" y="76111"/>
                                </a:lnTo>
                                <a:lnTo>
                                  <a:pt x="7886" y="74066"/>
                                </a:lnTo>
                                <a:lnTo>
                                  <a:pt x="0" y="87071"/>
                                </a:lnTo>
                                <a:lnTo>
                                  <a:pt x="4572" y="89801"/>
                                </a:lnTo>
                                <a:lnTo>
                                  <a:pt x="9131" y="91820"/>
                                </a:lnTo>
                                <a:lnTo>
                                  <a:pt x="18237" y="94373"/>
                                </a:lnTo>
                                <a:lnTo>
                                  <a:pt x="23241" y="95021"/>
                                </a:lnTo>
                                <a:lnTo>
                                  <a:pt x="28701" y="95021"/>
                                </a:lnTo>
                                <a:lnTo>
                                  <a:pt x="61950" y="75336"/>
                                </a:lnTo>
                                <a:lnTo>
                                  <a:pt x="61950" y="61696"/>
                                </a:lnTo>
                                <a:lnTo>
                                  <a:pt x="60274" y="56997"/>
                                </a:lnTo>
                                <a:lnTo>
                                  <a:pt x="53517" y="49187"/>
                                </a:lnTo>
                                <a:lnTo>
                                  <a:pt x="48996" y="46710"/>
                                </a:lnTo>
                                <a:lnTo>
                                  <a:pt x="43307" y="45681"/>
                                </a:lnTo>
                                <a:lnTo>
                                  <a:pt x="43307" y="45364"/>
                                </a:lnTo>
                                <a:lnTo>
                                  <a:pt x="48602" y="43484"/>
                                </a:lnTo>
                                <a:lnTo>
                                  <a:pt x="52577" y="40652"/>
                                </a:lnTo>
                                <a:lnTo>
                                  <a:pt x="57823" y="33096"/>
                                </a:lnTo>
                                <a:lnTo>
                                  <a:pt x="59131" y="28409"/>
                                </a:lnTo>
                                <a:lnTo>
                                  <a:pt x="59131" y="16065"/>
                                </a:lnTo>
                                <a:lnTo>
                                  <a:pt x="56540" y="10579"/>
                                </a:lnTo>
                                <a:lnTo>
                                  <a:pt x="46113" y="2120"/>
                                </a:lnTo>
                                <a:lnTo>
                                  <a:pt x="39319" y="0"/>
                                </a:lnTo>
                                <a:close/>
                              </a:path>
                            </a:pathLst>
                          </a:custGeom>
                          <a:solidFill>
                            <a:srgbClr val="231F20"/>
                          </a:solidFill>
                        </wps:spPr>
                        <wps:bodyPr wrap="square" lIns="0" tIns="0" rIns="0" bIns="0" rtlCol="0">
                          <a:prstTxWarp prst="textNoShape">
                            <a:avLst/>
                          </a:prstTxWarp>
                          <a:noAutofit/>
                        </wps:bodyPr>
                      </wps:wsp>
                      <pic:pic>
                        <pic:nvPicPr>
                          <pic:cNvPr id="491" name="Image 491"/>
                          <pic:cNvPicPr/>
                        </pic:nvPicPr>
                        <pic:blipFill>
                          <a:blip r:embed="rId151" cstate="print"/>
                          <a:stretch>
                            <a:fillRect/>
                          </a:stretch>
                        </pic:blipFill>
                        <pic:spPr>
                          <a:xfrm>
                            <a:off x="3317820" y="2031056"/>
                            <a:ext cx="310161" cy="110197"/>
                          </a:xfrm>
                          <a:prstGeom prst="rect">
                            <a:avLst/>
                          </a:prstGeom>
                        </pic:spPr>
                      </pic:pic>
                      <pic:pic>
                        <pic:nvPicPr>
                          <pic:cNvPr id="492" name="Image 492"/>
                          <pic:cNvPicPr/>
                        </pic:nvPicPr>
                        <pic:blipFill>
                          <a:blip r:embed="rId152" cstate="print"/>
                          <a:stretch>
                            <a:fillRect/>
                          </a:stretch>
                        </pic:blipFill>
                        <pic:spPr>
                          <a:xfrm>
                            <a:off x="345264" y="2031577"/>
                            <a:ext cx="390884" cy="95008"/>
                          </a:xfrm>
                          <a:prstGeom prst="rect">
                            <a:avLst/>
                          </a:prstGeom>
                        </pic:spPr>
                      </pic:pic>
                      <pic:pic>
                        <pic:nvPicPr>
                          <pic:cNvPr id="493" name="Image 493"/>
                          <pic:cNvPicPr/>
                        </pic:nvPicPr>
                        <pic:blipFill>
                          <a:blip r:embed="rId153" cstate="print"/>
                          <a:stretch>
                            <a:fillRect/>
                          </a:stretch>
                        </pic:blipFill>
                        <pic:spPr>
                          <a:xfrm>
                            <a:off x="332569" y="93140"/>
                            <a:ext cx="86106" cy="121221"/>
                          </a:xfrm>
                          <a:prstGeom prst="rect">
                            <a:avLst/>
                          </a:prstGeom>
                        </pic:spPr>
                      </pic:pic>
                      <pic:pic>
                        <pic:nvPicPr>
                          <pic:cNvPr id="494" name="Image 494"/>
                          <pic:cNvPicPr/>
                        </pic:nvPicPr>
                        <pic:blipFill>
                          <a:blip r:embed="rId154" cstate="print"/>
                          <a:stretch>
                            <a:fillRect/>
                          </a:stretch>
                        </pic:blipFill>
                        <pic:spPr>
                          <a:xfrm>
                            <a:off x="460011" y="117034"/>
                            <a:ext cx="250954" cy="98919"/>
                          </a:xfrm>
                          <a:prstGeom prst="rect">
                            <a:avLst/>
                          </a:prstGeom>
                        </pic:spPr>
                      </pic:pic>
                      <pic:pic>
                        <pic:nvPicPr>
                          <pic:cNvPr id="495" name="Image 495"/>
                          <pic:cNvPicPr/>
                        </pic:nvPicPr>
                        <pic:blipFill>
                          <a:blip r:embed="rId155" cstate="print"/>
                          <a:stretch>
                            <a:fillRect/>
                          </a:stretch>
                        </pic:blipFill>
                        <pic:spPr>
                          <a:xfrm>
                            <a:off x="758184" y="117231"/>
                            <a:ext cx="142942" cy="98729"/>
                          </a:xfrm>
                          <a:prstGeom prst="rect">
                            <a:avLst/>
                          </a:prstGeom>
                        </pic:spPr>
                      </pic:pic>
                    </wpg:wgp>
                  </a:graphicData>
                </a:graphic>
              </wp:anchor>
            </w:drawing>
          </mc:Choice>
          <mc:Fallback>
            <w:pict>
              <v:group style="position:absolute;margin-left:56.693001pt;margin-top:12.598344pt;width:341.3pt;height:176.5pt;mso-position-horizontal-relative:page;mso-position-vertical-relative:paragraph;z-index:15837184" id="docshapegroup361" coordorigin="1134,252" coordsize="6826,3530">
                <v:rect style="position:absolute;left:1133;top:251;width:6826;height:3530" id="docshape362" filled="true" fillcolor="#e0e2e2" stroked="false">
                  <v:fill type="solid"/>
                </v:rect>
                <v:shape style="position:absolute;left:1486;top:830;width:6469;height:2487" id="docshape363" coordorigin="1487,830" coordsize="6469,2487" path="m7955,2872l1487,2872,1487,3317,7955,3317,7955,2872xm7955,2006l1487,2006,1487,2451,7955,2451,7955,2006xm7955,830l1487,830,1487,1275,7955,1275,7955,830xe" filled="true" fillcolor="#ffffff" stroked="false">
                  <v:path arrowok="t"/>
                  <v:fill type="solid"/>
                </v:shape>
                <v:shape style="position:absolute;left:6172;top:442;width:388;height:150" type="#_x0000_t75" id="docshape364" stroked="false">
                  <v:imagedata r:id="rId133" o:title=""/>
                </v:shape>
                <v:shape style="position:absolute;left:6641;top:436;width:288;height:187" type="#_x0000_t75" id="docshape365" stroked="false">
                  <v:imagedata r:id="rId134" o:title=""/>
                </v:shape>
                <v:rect style="position:absolute;left:6959;top:436;width:24;height:153" id="docshape366" filled="true" fillcolor="#231f20" stroked="false">
                  <v:fill type="solid"/>
                </v:rect>
                <v:shape style="position:absolute;left:7015;top:436;width:499;height:187" type="#_x0000_t75" id="docshape367" stroked="false">
                  <v:imagedata r:id="rId135" o:title=""/>
                </v:shape>
                <v:shape style="position:absolute;left:6176;top:978;width:477;height:174" type="#_x0000_t75" id="docshape368" stroked="false">
                  <v:imagedata r:id="rId136" o:title=""/>
                </v:shape>
                <v:shape style="position:absolute;left:1692;top:969;width:3887;height:204" type="#_x0000_t75" id="docshape369" stroked="false">
                  <v:imagedata r:id="rId137" o:title=""/>
                </v:shape>
                <v:shape style="position:absolute;left:6176;top:1544;width:476;height:174" type="#_x0000_t75" id="docshape370" stroked="false">
                  <v:imagedata r:id="rId138" o:title=""/>
                </v:shape>
                <v:shape style="position:absolute;left:1680;top:1409;width:2614;height:407" type="#_x0000_t75" id="docshape371" stroked="false">
                  <v:imagedata r:id="rId139" o:title=""/>
                </v:shape>
                <v:shape style="position:absolute;left:6173;top:2149;width:52;height:148" id="docshape372" coordorigin="6174,2150" coordsize="52,148" path="m6225,2150l6219,2150,6214,2154,6207,2159,6190,2168,6181,2172,6174,2174,6178,2188,6209,2174,6209,2298,6225,2298,6225,2150xe" filled="true" fillcolor="#231f20" stroked="false">
                  <v:path arrowok="t"/>
                  <v:fill type="solid"/>
                </v:shape>
                <v:shape style="position:absolute;left:6315;top:2150;width:473;height:174" type="#_x0000_t75" id="docshape373" stroked="false">
                  <v:imagedata r:id="rId140" o:title=""/>
                </v:shape>
                <v:shape style="position:absolute;left:1692;top:2141;width:2485;height:205" type="#_x0000_t75" id="docshape374" stroked="false">
                  <v:imagedata r:id="rId141" o:title=""/>
                </v:shape>
                <v:shape style="position:absolute;left:4205;top:2146;width:2020;height:624" id="docshape375" coordorigin="4206,2146" coordsize="2020,624" path="m4261,2234l4206,2234,4206,2247,4261,2247,4261,2234xm4373,2226l4370,2214,4363,2206,4356,2198,4356,2236,4301,2236,4302,2227,4305,2220,4316,2209,4323,2206,4339,2206,4345,2208,4354,2219,4356,2227,4356,2236,4356,2198,4355,2196,4344,2192,4317,2192,4305,2197,4297,2207,4291,2215,4287,2225,4284,2235,4283,2247,4284,2259,4287,2269,4291,2278,4297,2286,4305,2295,4317,2300,4340,2300,4347,2299,4358,2296,4364,2293,4370,2289,4368,2286,4362,2277,4358,2280,4353,2283,4344,2285,4339,2286,4324,2286,4316,2283,4304,2270,4301,2261,4300,2250,4373,2250,4373,2236,4373,2226xm4474,2194l4456,2194,4430,2238,4429,2238,4405,2194,4386,2194,4420,2247,4384,2298,4403,2298,4429,2256,4429,2256,4454,2298,4473,2298,4439,2247,4474,2194xm4588,2227l4585,2215,4577,2206,4571,2199,4571,2256,4569,2267,4557,2282,4549,2286,4531,2286,4524,2283,4523,2283,4513,2271,4510,2264,4510,2231,4513,2223,4522,2212,4524,2209,4532,2206,4551,2206,4558,2209,4569,2222,4571,2231,4571,2256,4571,2199,4570,2197,4559,2192,4538,2192,4531,2194,4519,2200,4514,2206,4510,2212,4510,2212,4510,2194,4493,2194,4493,2345,4510,2345,4510,2283,4510,2283,4514,2288,4518,2293,4529,2299,4535,2300,4556,2300,4567,2295,4574,2286,4576,2284,4581,2276,4585,2266,4588,2255,4588,2243,4588,2227xm4709,2246l4709,2235,4709,2233,4706,2223,4702,2214,4696,2206,4696,2206,4692,2202,4692,2233,4692,2259,4690,2269,4678,2283,4670,2286,4649,2286,4640,2283,4628,2268,4625,2259,4625,2234,4628,2224,4640,2209,4649,2206,4670,2206,4678,2209,4690,2223,4692,2233,4692,2202,4688,2197,4676,2192,4660,2192,4649,2193,4639,2196,4630,2200,4622,2207,4616,2215,4611,2224,4609,2235,4608,2247,4609,2257,4609,2259,4611,2269,4615,2278,4621,2286,4631,2295,4643,2300,4658,2300,4669,2299,4679,2296,4688,2292,4694,2286,4695,2285,4702,2277,4706,2268,4709,2257,4709,2246xm4790,2194l4788,2193,4784,2193,4774,2192,4768,2194,4759,2202,4755,2208,4753,2215,4752,2215,4752,2194,4736,2194,4736,2298,4752,2298,4752,2234,4755,2225,4765,2211,4771,2207,4782,2207,4787,2208,4790,2194xm4857,2296l4853,2284,4850,2285,4844,2286,4838,2286,4835,2285,4831,2280,4830,2275,4830,2208,4856,2208,4856,2194,4830,2194,4830,2164,4813,2169,4813,2194,4795,2194,4795,2208,4813,2208,4813,2281,4815,2288,4825,2297,4831,2300,4843,2300,4846,2300,4851,2298,4857,2296xm4951,2218l4948,2208,4946,2206,4935,2195,4926,2192,4905,2192,4898,2193,4885,2198,4879,2203,4873,2208,4883,2218,4887,2214,4892,2211,4902,2207,4907,2206,4919,2206,4924,2208,4932,2215,4934,2221,4934,2232,4934,2245,4934,2265,4932,2272,4921,2284,4914,2287,4900,2287,4896,2285,4888,2278,4887,2274,4887,2262,4888,2257,4896,2252,4902,2250,4934,2245,4934,2232,4905,2236,4894,2238,4885,2241,4873,2253,4870,2260,4870,2278,4873,2286,4885,2297,4893,2300,4909,2300,4916,2299,4926,2292,4930,2288,4931,2287,4934,2281,4934,2281,4934,2298,4951,2298,4951,2281,4951,2245,4951,2218xm5032,2296l5028,2284,5025,2285,5019,2286,5013,2286,5010,2285,5006,2280,5005,2275,5005,2208,5031,2208,5031,2194,5005,2194,5005,2164,4988,2169,4988,2194,4970,2194,4970,2208,4988,2208,4988,2281,4991,2288,5000,2297,5006,2300,5018,2300,5021,2300,5027,2298,5032,2296xm5069,2194l5053,2194,5053,2298,5069,2298,5069,2194xm5073,2155l5072,2152,5068,2147,5065,2146,5058,2146,5055,2147,5051,2152,5049,2155,5049,2161,5051,2164,5055,2168,5058,2170,5065,2170,5068,2168,5072,2164,5073,2161,5073,2155xm5198,2246l5197,2235,5197,2233,5194,2223,5190,2214,5185,2206,5184,2206,5181,2202,5181,2233,5181,2259,5178,2269,5166,2283,5158,2286,5137,2286,5128,2283,5116,2268,5113,2259,5113,2234,5116,2224,5128,2209,5137,2206,5158,2206,5166,2209,5178,2223,5181,2233,5181,2202,5176,2197,5164,2192,5149,2192,5137,2193,5127,2196,5118,2200,5110,2207,5104,2215,5099,2224,5097,2235,5096,2247,5097,2257,5097,2259,5099,2269,5104,2278,5110,2286,5119,2295,5131,2300,5146,2300,5157,2299,5167,2296,5176,2292,5183,2286,5184,2285,5190,2277,5194,2268,5197,2257,5198,2246xm5310,2221l5307,2210,5295,2196,5286,2192,5267,2192,5261,2194,5250,2200,5245,2205,5241,2211,5241,2211,5241,2194,5224,2194,5224,2298,5241,2298,5241,2229,5243,2221,5254,2209,5261,2206,5277,2206,5283,2209,5291,2220,5293,2228,5293,2298,5310,2298,5310,2221xm5404,2261l5401,2254,5391,2244,5383,2240,5364,2235,5358,2233,5351,2228,5349,2225,5349,2216,5351,2212,5358,2207,5363,2206,5374,2206,5378,2206,5385,2209,5389,2211,5394,2214,5401,2201,5396,2198,5391,2195,5381,2193,5376,2192,5359,2192,5350,2195,5337,2206,5334,2213,5334,2229,5336,2235,5346,2245,5355,2249,5375,2254,5380,2257,5386,2263,5388,2266,5388,2276,5386,2280,5379,2285,5373,2286,5361,2286,5357,2285,5348,2282,5344,2280,5339,2277,5331,2290,5336,2293,5342,2296,5353,2299,5359,2300,5377,2300,5387,2297,5400,2286,5404,2279,5404,2261xm6225,2622l6219,2622,6214,2627,6207,2631,6190,2641,6181,2644,6174,2646,6178,2660,6183,2659,6189,2657,6202,2651,6206,2648,6209,2646,6209,2770,6225,2770,6225,2622xe" filled="true" fillcolor="#231f20" stroked="false">
                  <v:path arrowok="t"/>
                  <v:fill type="solid"/>
                </v:shape>
                <v:shape style="position:absolute;left:6260;top:2622;width:252;height:174" type="#_x0000_t75" id="docshape376" stroked="false">
                  <v:imagedata r:id="rId142" o:title=""/>
                </v:shape>
                <v:shape style="position:absolute;left:1692;top:2613;width:3290;height:205" type="#_x0000_t75" id="docshape377" stroked="false">
                  <v:imagedata r:id="rId143" o:title=""/>
                </v:shape>
                <v:shape style="position:absolute;left:6181;top:3032;width:472;height:174" type="#_x0000_t75" id="docshape378" stroked="false">
                  <v:imagedata r:id="rId144" o:title=""/>
                </v:shape>
                <v:shape style="position:absolute;left:1692;top:3026;width:1816;height:156" type="#_x0000_t75" id="docshape379" stroked="false">
                  <v:imagedata r:id="rId145" o:title=""/>
                </v:shape>
                <v:shape style="position:absolute;left:3582;top:3026;width:134;height:156" id="docshape380" coordorigin="3582,3026" coordsize="134,156" path="m3599,3026l3582,3026,3582,3179,3599,3179,3599,3026xm3716,3108l3712,3095,3705,3087,3699,3080,3699,3118,3643,3118,3644,3109,3647,3101,3658,3090,3665,3087,3681,3087,3687,3090,3696,3101,3698,3108,3699,3118,3699,3080,3697,3078,3686,3074,3659,3074,3647,3079,3639,3089,3633,3097,3629,3106,3626,3117,3625,3129,3626,3141,3629,3151,3633,3160,3639,3168,3647,3177,3660,3182,3682,3182,3689,3181,3700,3177,3706,3175,3712,3171,3710,3168,3704,3159,3700,3162,3695,3164,3686,3167,3681,3168,3666,3168,3658,3165,3646,3152,3643,3143,3642,3131,3716,3131,3716,3118,3716,3108xe" filled="true" fillcolor="#231f20" stroked="false">
                  <v:path arrowok="t"/>
                  <v:fill type="solid"/>
                </v:shape>
                <v:shape style="position:absolute;left:3790;top:3026;width:267;height:156" type="#_x0000_t75" id="docshape381" stroked="false">
                  <v:imagedata r:id="rId146" o:title=""/>
                </v:shape>
                <v:shape style="position:absolute;left:4089;top:3026;width:209;height:156" id="docshape382" coordorigin="4090,3026" coordsize="209,156" path="m4106,3026l4090,3026,4090,3179,4106,3179,4106,3026xm4213,3099l4210,3090,4208,3087,4197,3077,4188,3074,4167,3074,4160,3075,4147,3080,4141,3084,4135,3090,4145,3100,4149,3096,4154,3093,4164,3088,4169,3087,4181,3087,4186,3089,4195,3097,4197,3103,4197,3114,4197,3127,4197,3146,4194,3154,4183,3165,4176,3168,4162,3168,4158,3167,4151,3160,4149,3155,4149,3143,4151,3139,4158,3133,4164,3132,4197,3127,4197,3114,4167,3118,4156,3119,4147,3123,4135,3135,4132,3142,4132,3160,4135,3168,4147,3179,4155,3182,4172,3182,4178,3180,4188,3174,4193,3169,4193,3168,4196,3163,4197,3163,4197,3179,4213,3179,4213,3163,4213,3127,4213,3099xm4299,3075l4298,3075,4293,3074,4283,3074,4278,3076,4268,3084,4264,3089,4262,3096,4262,3096,4262,3076,4245,3076,4245,3179,4262,3179,4262,3116,4264,3107,4274,3093,4280,3089,4292,3089,4296,3090,4299,3075xe" filled="true" fillcolor="#231f20" stroked="false">
                  <v:path arrowok="t"/>
                  <v:fill type="solid"/>
                </v:shape>
                <v:shape style="position:absolute;left:4366;top:3026;width:300;height:156" type="#_x0000_t75" id="docshape383" stroked="false">
                  <v:imagedata r:id="rId147" o:title=""/>
                </v:shape>
                <v:shape style="position:absolute;left:4749;top:2988;width:489;height:194" type="#_x0000_t75" id="docshape384" stroked="false">
                  <v:imagedata r:id="rId148" o:title=""/>
                </v:shape>
                <v:shape style="position:absolute;left:5268;top:3034;width:108;height:148" type="#_x0000_t75" id="docshape385" stroked="false">
                  <v:imagedata r:id="rId149" o:title=""/>
                </v:shape>
                <v:shape style="position:absolute;left:5409;top:3027;width:230;height:154" type="#_x0000_t75" id="docshape386" stroked="false">
                  <v:imagedata r:id="rId150" o:title=""/>
                </v:shape>
                <v:shape style="position:absolute;left:6182;top:3451;width:98;height:150" id="docshape387" coordorigin="6183,3451" coordsize="98,150" path="m6245,3451l6223,3451,6215,3452,6201,3456,6194,3460,6186,3464,6198,3484,6204,3481,6209,3479,6218,3476,6223,3475,6232,3475,6237,3476,6243,3482,6245,3486,6245,3499,6242,3504,6233,3511,6226,3512,6205,3512,6205,3536,6227,3536,6235,3538,6246,3545,6249,3550,6249,3563,6247,3567,6239,3575,6233,3577,6219,3577,6214,3576,6205,3573,6201,3571,6195,3568,6183,3588,6190,3593,6197,3596,6212,3600,6220,3601,6228,3601,6280,3570,6280,3548,6278,3541,6267,3529,6260,3525,6251,3523,6251,3523,6259,3520,6266,3515,6274,3503,6276,3496,6276,3477,6272,3468,6256,3455,6245,3451xe" filled="true" fillcolor="#231f20" stroked="false">
                  <v:path arrowok="t"/>
                  <v:fill type="solid"/>
                </v:shape>
                <v:shape style="position:absolute;left:6358;top:3450;width:489;height:174" type="#_x0000_t75" id="docshape388" stroked="false">
                  <v:imagedata r:id="rId151" o:title=""/>
                </v:shape>
                <v:shape style="position:absolute;left:1677;top:3451;width:616;height:150" type="#_x0000_t75" id="docshape389" stroked="false">
                  <v:imagedata r:id="rId152" o:title=""/>
                </v:shape>
                <v:shape style="position:absolute;left:1657;top:398;width:136;height:191" type="#_x0000_t75" id="docshape390" stroked="false">
                  <v:imagedata r:id="rId153" o:title=""/>
                </v:shape>
                <v:shape style="position:absolute;left:1858;top:436;width:396;height:156" type="#_x0000_t75" id="docshape391" stroked="false">
                  <v:imagedata r:id="rId154" o:title=""/>
                </v:shape>
                <v:shape style="position:absolute;left:2327;top:436;width:226;height:156" type="#_x0000_t75" id="docshape392" stroked="false">
                  <v:imagedata r:id="rId155" o:title=""/>
                </v:shape>
                <w10:wrap type="none"/>
              </v:group>
            </w:pict>
          </mc:Fallback>
        </mc:AlternateContent>
      </w:r>
      <w:r>
        <w:rPr>
          <w:color w:val="231F20"/>
          <w:spacing w:val="-8"/>
        </w:rPr>
        <w:t>dollar</w:t>
      </w:r>
      <w:r>
        <w:rPr>
          <w:color w:val="231F20"/>
          <w:spacing w:val="-9"/>
        </w:rPr>
        <w:t> </w:t>
      </w:r>
      <w:r>
        <w:rPr>
          <w:color w:val="231F20"/>
          <w:spacing w:val="-8"/>
        </w:rPr>
        <w:t>et les</w:t>
      </w:r>
      <w:r>
        <w:rPr>
          <w:color w:val="231F20"/>
          <w:spacing w:val="-9"/>
        </w:rPr>
        <w:t> </w:t>
      </w:r>
      <w:r>
        <w:rPr>
          <w:color w:val="231F20"/>
          <w:spacing w:val="-8"/>
        </w:rPr>
        <w:t>monnaies </w:t>
      </w:r>
      <w:r>
        <w:rPr>
          <w:color w:val="231F20"/>
        </w:rPr>
        <w:t>de pays tiers et entraîne des coûts </w:t>
      </w:r>
      <w:r>
        <w:rPr>
          <w:color w:val="231F20"/>
          <w:spacing w:val="-2"/>
        </w:rPr>
        <w:t>supplémentaires.</w:t>
      </w:r>
    </w:p>
    <w:p>
      <w:pPr>
        <w:pStyle w:val="BodyText"/>
        <w:spacing w:before="163"/>
        <w:ind w:left="2630" w:right="1470"/>
      </w:pPr>
      <w:r>
        <w:rPr>
          <w:color w:val="231F20"/>
        </w:rPr>
        <w:t>Le</w:t>
      </w:r>
      <w:r>
        <w:rPr>
          <w:color w:val="231F20"/>
          <w:spacing w:val="40"/>
        </w:rPr>
        <w:t> </w:t>
      </w:r>
      <w:r>
        <w:rPr>
          <w:color w:val="231F20"/>
        </w:rPr>
        <w:t>fait</w:t>
      </w:r>
      <w:r>
        <w:rPr>
          <w:color w:val="231F20"/>
          <w:spacing w:val="40"/>
        </w:rPr>
        <w:t> </w:t>
      </w:r>
      <w:r>
        <w:rPr>
          <w:color w:val="231F20"/>
        </w:rPr>
        <w:t>que</w:t>
      </w:r>
      <w:r>
        <w:rPr>
          <w:color w:val="231F20"/>
          <w:spacing w:val="40"/>
        </w:rPr>
        <w:t> </w:t>
      </w:r>
      <w:r>
        <w:rPr>
          <w:color w:val="231F20"/>
        </w:rPr>
        <w:t>Cuba</w:t>
      </w:r>
      <w:r>
        <w:rPr>
          <w:color w:val="231F20"/>
          <w:spacing w:val="80"/>
          <w:w w:val="150"/>
        </w:rPr>
        <w:t> </w:t>
      </w:r>
      <w:r>
        <w:rPr>
          <w:color w:val="231F20"/>
        </w:rPr>
        <w:t>ait été déclaré État commanditaire de terrorisme a eu un effet dévastateur sur le secteur bancaire</w:t>
      </w:r>
      <w:r>
        <w:rPr>
          <w:color w:val="231F20"/>
          <w:spacing w:val="40"/>
        </w:rPr>
        <w:t> </w:t>
      </w:r>
      <w:r>
        <w:rPr>
          <w:color w:val="231F20"/>
        </w:rPr>
        <w:t>et financier.</w:t>
      </w:r>
    </w:p>
    <w:p>
      <w:pPr>
        <w:spacing w:after="0"/>
        <w:sectPr>
          <w:pgSz w:w="11910" w:h="16840"/>
          <w:pgMar w:header="0" w:footer="695" w:top="1260" w:bottom="880" w:left="0" w:right="0"/>
          <w:cols w:num="2" w:equalWidth="0">
            <w:col w:w="5550" w:space="40"/>
            <w:col w:w="6320"/>
          </w:cols>
        </w:sectPr>
      </w:pPr>
    </w:p>
    <w:p>
      <w:pPr>
        <w:pStyle w:val="BodyText"/>
        <w:spacing w:before="77"/>
        <w:ind w:left="1474" w:right="7"/>
      </w:pPr>
      <w:r>
        <w:rPr>
          <w:color w:val="231F20"/>
        </w:rPr>
        <w:t>Compte</w:t>
      </w:r>
      <w:r>
        <w:rPr>
          <w:color w:val="231F20"/>
          <w:spacing w:val="-7"/>
        </w:rPr>
        <w:t> </w:t>
      </w:r>
      <w:r>
        <w:rPr>
          <w:color w:val="231F20"/>
        </w:rPr>
        <w:t>tenu</w:t>
      </w:r>
      <w:r>
        <w:rPr>
          <w:color w:val="231F20"/>
          <w:spacing w:val="-7"/>
        </w:rPr>
        <w:t> </w:t>
      </w:r>
      <w:r>
        <w:rPr>
          <w:color w:val="231F20"/>
        </w:rPr>
        <w:t>de</w:t>
      </w:r>
      <w:r>
        <w:rPr>
          <w:color w:val="231F20"/>
          <w:spacing w:val="-7"/>
        </w:rPr>
        <w:t> </w:t>
      </w:r>
      <w:r>
        <w:rPr>
          <w:color w:val="231F20"/>
        </w:rPr>
        <w:t>la</w:t>
      </w:r>
      <w:r>
        <w:rPr>
          <w:color w:val="231F20"/>
          <w:spacing w:val="-7"/>
        </w:rPr>
        <w:t> </w:t>
      </w:r>
      <w:r>
        <w:rPr>
          <w:color w:val="231F20"/>
        </w:rPr>
        <w:t>politique</w:t>
      </w:r>
      <w:r>
        <w:rPr>
          <w:color w:val="231F20"/>
          <w:spacing w:val="-7"/>
        </w:rPr>
        <w:t> </w:t>
      </w:r>
      <w:r>
        <w:rPr>
          <w:color w:val="231F20"/>
        </w:rPr>
        <w:t>de</w:t>
      </w:r>
      <w:r>
        <w:rPr>
          <w:color w:val="231F20"/>
          <w:spacing w:val="-7"/>
        </w:rPr>
        <w:t> </w:t>
      </w:r>
      <w:r>
        <w:rPr>
          <w:color w:val="231F20"/>
        </w:rPr>
        <w:t>pressions, </w:t>
      </w:r>
      <w:r>
        <w:rPr>
          <w:color w:val="231F20"/>
          <w:spacing w:val="-6"/>
        </w:rPr>
        <w:t>d’intimidation</w:t>
      </w:r>
      <w:r>
        <w:rPr>
          <w:color w:val="231F20"/>
          <w:spacing w:val="-11"/>
        </w:rPr>
        <w:t> </w:t>
      </w:r>
      <w:r>
        <w:rPr>
          <w:color w:val="231F20"/>
          <w:spacing w:val="-6"/>
        </w:rPr>
        <w:t>et</w:t>
      </w:r>
      <w:r>
        <w:rPr>
          <w:color w:val="231F20"/>
          <w:spacing w:val="-10"/>
        </w:rPr>
        <w:t> </w:t>
      </w:r>
      <w:r>
        <w:rPr>
          <w:color w:val="231F20"/>
          <w:spacing w:val="-6"/>
        </w:rPr>
        <w:t>de</w:t>
      </w:r>
      <w:r>
        <w:rPr>
          <w:color w:val="231F20"/>
          <w:spacing w:val="-11"/>
        </w:rPr>
        <w:t> </w:t>
      </w:r>
      <w:r>
        <w:rPr>
          <w:color w:val="231F20"/>
          <w:spacing w:val="-6"/>
        </w:rPr>
        <w:t>dissuasion</w:t>
      </w:r>
      <w:r>
        <w:rPr>
          <w:color w:val="231F20"/>
          <w:spacing w:val="-10"/>
        </w:rPr>
        <w:t> </w:t>
      </w:r>
      <w:r>
        <w:rPr>
          <w:color w:val="231F20"/>
          <w:spacing w:val="-6"/>
        </w:rPr>
        <w:t>que</w:t>
      </w:r>
      <w:r>
        <w:rPr>
          <w:color w:val="231F20"/>
          <w:spacing w:val="-11"/>
        </w:rPr>
        <w:t> </w:t>
      </w:r>
      <w:r>
        <w:rPr>
          <w:color w:val="231F20"/>
          <w:spacing w:val="-6"/>
        </w:rPr>
        <w:t>pratique </w:t>
      </w:r>
      <w:r>
        <w:rPr>
          <w:color w:val="231F20"/>
          <w:spacing w:val="-12"/>
        </w:rPr>
        <w:t>l’administration</w:t>
      </w:r>
      <w:r>
        <w:rPr>
          <w:color w:val="231F20"/>
          <w:spacing w:val="-5"/>
        </w:rPr>
        <w:t> </w:t>
      </w:r>
      <w:r>
        <w:rPr>
          <w:color w:val="231F20"/>
          <w:spacing w:val="-12"/>
        </w:rPr>
        <w:t>étasunienne</w:t>
      </w:r>
      <w:r>
        <w:rPr>
          <w:color w:val="231F20"/>
          <w:spacing w:val="-4"/>
        </w:rPr>
        <w:t> </w:t>
      </w:r>
      <w:r>
        <w:rPr>
          <w:color w:val="231F20"/>
          <w:spacing w:val="-12"/>
        </w:rPr>
        <w:t>sur</w:t>
      </w:r>
      <w:r>
        <w:rPr>
          <w:color w:val="231F20"/>
          <w:spacing w:val="-5"/>
        </w:rPr>
        <w:t> </w:t>
      </w:r>
      <w:r>
        <w:rPr>
          <w:color w:val="231F20"/>
          <w:spacing w:val="-12"/>
        </w:rPr>
        <w:t>les</w:t>
      </w:r>
      <w:r>
        <w:rPr>
          <w:color w:val="231F20"/>
          <w:spacing w:val="-4"/>
        </w:rPr>
        <w:t> </w:t>
      </w:r>
      <w:r>
        <w:rPr>
          <w:color w:val="231F20"/>
          <w:spacing w:val="-12"/>
        </w:rPr>
        <w:t>institutions financières</w:t>
      </w:r>
      <w:r>
        <w:rPr>
          <w:color w:val="231F20"/>
          <w:spacing w:val="-2"/>
        </w:rPr>
        <w:t> </w:t>
      </w:r>
      <w:r>
        <w:rPr>
          <w:color w:val="231F20"/>
          <w:spacing w:val="-12"/>
        </w:rPr>
        <w:t>internationales,</w:t>
      </w:r>
      <w:r>
        <w:rPr>
          <w:color w:val="231F20"/>
          <w:spacing w:val="-2"/>
        </w:rPr>
        <w:t> </w:t>
      </w:r>
      <w:r>
        <w:rPr>
          <w:color w:val="231F20"/>
          <w:spacing w:val="-12"/>
        </w:rPr>
        <w:t>celles-ci</w:t>
      </w:r>
      <w:r>
        <w:rPr>
          <w:color w:val="231F20"/>
          <w:spacing w:val="-2"/>
        </w:rPr>
        <w:t> </w:t>
      </w:r>
      <w:r>
        <w:rPr>
          <w:color w:val="231F20"/>
          <w:spacing w:val="-12"/>
        </w:rPr>
        <w:t>appliquent </w:t>
      </w:r>
      <w:r>
        <w:rPr>
          <w:color w:val="231F20"/>
        </w:rPr>
        <w:t>de nouvelles méthodes pour entraver les opérations</w:t>
      </w:r>
      <w:r>
        <w:rPr>
          <w:color w:val="231F20"/>
          <w:spacing w:val="-8"/>
        </w:rPr>
        <w:t> </w:t>
      </w:r>
      <w:r>
        <w:rPr>
          <w:color w:val="231F20"/>
        </w:rPr>
        <w:t>bancaires</w:t>
      </w:r>
      <w:r>
        <w:rPr>
          <w:color w:val="231F20"/>
          <w:spacing w:val="-8"/>
        </w:rPr>
        <w:t> </w:t>
      </w:r>
      <w:r>
        <w:rPr>
          <w:color w:val="231F20"/>
        </w:rPr>
        <w:t>de</w:t>
      </w:r>
      <w:r>
        <w:rPr>
          <w:color w:val="231F20"/>
          <w:spacing w:val="-9"/>
        </w:rPr>
        <w:t> </w:t>
      </w:r>
      <w:r>
        <w:rPr>
          <w:color w:val="231F20"/>
        </w:rPr>
        <w:t>Cuba,</w:t>
      </w:r>
      <w:r>
        <w:rPr>
          <w:color w:val="231F20"/>
          <w:spacing w:val="-8"/>
        </w:rPr>
        <w:t> </w:t>
      </w:r>
      <w:r>
        <w:rPr>
          <w:color w:val="231F20"/>
        </w:rPr>
        <w:t>telle</w:t>
      </w:r>
      <w:r>
        <w:rPr>
          <w:color w:val="231F20"/>
          <w:spacing w:val="-8"/>
        </w:rPr>
        <w:t> </w:t>
      </w:r>
      <w:r>
        <w:rPr>
          <w:color w:val="231F20"/>
        </w:rPr>
        <w:t>que</w:t>
      </w:r>
      <w:r>
        <w:rPr>
          <w:color w:val="231F20"/>
          <w:spacing w:val="-9"/>
        </w:rPr>
        <w:t> </w:t>
      </w:r>
      <w:r>
        <w:rPr>
          <w:color w:val="231F20"/>
        </w:rPr>
        <w:t>la demande</w:t>
      </w:r>
      <w:r>
        <w:rPr>
          <w:color w:val="231F20"/>
          <w:spacing w:val="-17"/>
        </w:rPr>
        <w:t> </w:t>
      </w:r>
      <w:r>
        <w:rPr>
          <w:color w:val="231F20"/>
        </w:rPr>
        <w:t>de</w:t>
      </w:r>
      <w:r>
        <w:rPr>
          <w:color w:val="231F20"/>
          <w:spacing w:val="-16"/>
        </w:rPr>
        <w:t> </w:t>
      </w:r>
      <w:r>
        <w:rPr>
          <w:color w:val="231F20"/>
        </w:rPr>
        <w:t>documents</w:t>
      </w:r>
      <w:r>
        <w:rPr>
          <w:color w:val="231F20"/>
          <w:spacing w:val="-17"/>
        </w:rPr>
        <w:t> </w:t>
      </w:r>
      <w:r>
        <w:rPr>
          <w:color w:val="231F20"/>
        </w:rPr>
        <w:t>supplémentaires, ce qui entraîne des retards et entrave les </w:t>
      </w:r>
      <w:r>
        <w:rPr>
          <w:color w:val="231F20"/>
          <w:spacing w:val="-10"/>
        </w:rPr>
        <w:t>paiements</w:t>
      </w:r>
      <w:r>
        <w:rPr>
          <w:color w:val="231F20"/>
          <w:spacing w:val="-7"/>
        </w:rPr>
        <w:t> </w:t>
      </w:r>
      <w:r>
        <w:rPr>
          <w:color w:val="231F20"/>
          <w:spacing w:val="-10"/>
        </w:rPr>
        <w:t>aux</w:t>
      </w:r>
      <w:r>
        <w:rPr>
          <w:color w:val="231F20"/>
          <w:spacing w:val="-6"/>
        </w:rPr>
        <w:t> </w:t>
      </w:r>
      <w:r>
        <w:rPr>
          <w:color w:val="231F20"/>
          <w:spacing w:val="-10"/>
        </w:rPr>
        <w:t>fournisseurs</w:t>
      </w:r>
      <w:r>
        <w:rPr>
          <w:color w:val="231F20"/>
          <w:spacing w:val="-7"/>
        </w:rPr>
        <w:t> </w:t>
      </w:r>
      <w:r>
        <w:rPr>
          <w:color w:val="231F20"/>
          <w:spacing w:val="-10"/>
        </w:rPr>
        <w:t>ou</w:t>
      </w:r>
      <w:r>
        <w:rPr>
          <w:color w:val="231F20"/>
          <w:spacing w:val="-6"/>
        </w:rPr>
        <w:t> </w:t>
      </w:r>
      <w:r>
        <w:rPr>
          <w:color w:val="231F20"/>
          <w:spacing w:val="-10"/>
        </w:rPr>
        <w:t>l’encaissement </w:t>
      </w:r>
      <w:r>
        <w:rPr>
          <w:color w:val="231F20"/>
          <w:spacing w:val="-4"/>
        </w:rPr>
        <w:t>de</w:t>
      </w:r>
      <w:r>
        <w:rPr>
          <w:color w:val="231F20"/>
          <w:spacing w:val="-17"/>
        </w:rPr>
        <w:t> </w:t>
      </w:r>
      <w:r>
        <w:rPr>
          <w:color w:val="231F20"/>
          <w:spacing w:val="-4"/>
        </w:rPr>
        <w:t>revenus</w:t>
      </w:r>
      <w:r>
        <w:rPr>
          <w:color w:val="231F20"/>
          <w:spacing w:val="-17"/>
        </w:rPr>
        <w:t> </w:t>
      </w:r>
      <w:r>
        <w:rPr>
          <w:color w:val="231F20"/>
          <w:spacing w:val="-4"/>
        </w:rPr>
        <w:t>provenant</w:t>
      </w:r>
      <w:r>
        <w:rPr>
          <w:color w:val="231F20"/>
          <w:spacing w:val="-17"/>
        </w:rPr>
        <w:t> </w:t>
      </w:r>
      <w:r>
        <w:rPr>
          <w:color w:val="231F20"/>
          <w:spacing w:val="-4"/>
        </w:rPr>
        <w:t>de</w:t>
      </w:r>
      <w:r>
        <w:rPr>
          <w:color w:val="231F20"/>
          <w:spacing w:val="-17"/>
        </w:rPr>
        <w:t> </w:t>
      </w:r>
      <w:r>
        <w:rPr>
          <w:color w:val="231F20"/>
          <w:spacing w:val="-4"/>
        </w:rPr>
        <w:t>l’étranger.</w:t>
      </w:r>
    </w:p>
    <w:p>
      <w:pPr>
        <w:pStyle w:val="BodyText"/>
        <w:spacing w:before="168"/>
        <w:ind w:left="1474" w:right="3"/>
      </w:pPr>
      <w:r>
        <w:rPr>
          <w:color w:val="231F20"/>
          <w:spacing w:val="-10"/>
        </w:rPr>
        <w:t>Les</w:t>
      </w:r>
      <w:r>
        <w:rPr>
          <w:color w:val="231F20"/>
          <w:spacing w:val="-4"/>
        </w:rPr>
        <w:t> </w:t>
      </w:r>
      <w:r>
        <w:rPr>
          <w:color w:val="231F20"/>
          <w:spacing w:val="-10"/>
        </w:rPr>
        <w:t>exigences</w:t>
      </w:r>
      <w:r>
        <w:rPr>
          <w:color w:val="231F20"/>
          <w:spacing w:val="-4"/>
        </w:rPr>
        <w:t> </w:t>
      </w:r>
      <w:r>
        <w:rPr>
          <w:color w:val="231F20"/>
          <w:spacing w:val="-10"/>
        </w:rPr>
        <w:t>accrues</w:t>
      </w:r>
      <w:r>
        <w:rPr>
          <w:color w:val="231F20"/>
          <w:spacing w:val="-4"/>
        </w:rPr>
        <w:t> </w:t>
      </w:r>
      <w:r>
        <w:rPr>
          <w:color w:val="231F20"/>
          <w:spacing w:val="-10"/>
        </w:rPr>
        <w:t>imposées</w:t>
      </w:r>
      <w:r>
        <w:rPr>
          <w:color w:val="231F20"/>
          <w:spacing w:val="-4"/>
        </w:rPr>
        <w:t> </w:t>
      </w:r>
      <w:r>
        <w:rPr>
          <w:color w:val="231F20"/>
          <w:spacing w:val="-10"/>
        </w:rPr>
        <w:t>aux</w:t>
      </w:r>
      <w:r>
        <w:rPr>
          <w:color w:val="231F20"/>
          <w:spacing w:val="-4"/>
        </w:rPr>
        <w:t> </w:t>
      </w:r>
      <w:r>
        <w:rPr>
          <w:color w:val="231F20"/>
          <w:spacing w:val="-10"/>
        </w:rPr>
        <w:t>banques </w:t>
      </w:r>
      <w:r>
        <w:rPr>
          <w:color w:val="231F20"/>
        </w:rPr>
        <w:t>correspondantes à des fins d’opérations bancaires</w:t>
      </w:r>
      <w:r>
        <w:rPr>
          <w:color w:val="231F20"/>
          <w:spacing w:val="-7"/>
        </w:rPr>
        <w:t> </w:t>
      </w:r>
      <w:r>
        <w:rPr>
          <w:color w:val="231F20"/>
        </w:rPr>
        <w:t>les</w:t>
      </w:r>
      <w:r>
        <w:rPr>
          <w:color w:val="231F20"/>
          <w:spacing w:val="-7"/>
        </w:rPr>
        <w:t> </w:t>
      </w:r>
      <w:r>
        <w:rPr>
          <w:color w:val="231F20"/>
        </w:rPr>
        <w:t>obligent</w:t>
      </w:r>
      <w:r>
        <w:rPr>
          <w:color w:val="231F20"/>
          <w:spacing w:val="-7"/>
        </w:rPr>
        <w:t> </w:t>
      </w:r>
      <w:r>
        <w:rPr>
          <w:color w:val="231F20"/>
        </w:rPr>
        <w:t>à</w:t>
      </w:r>
      <w:r>
        <w:rPr>
          <w:color w:val="231F20"/>
          <w:spacing w:val="-7"/>
        </w:rPr>
        <w:t> </w:t>
      </w:r>
      <w:r>
        <w:rPr>
          <w:color w:val="231F20"/>
        </w:rPr>
        <w:t>réclamer</w:t>
      </w:r>
      <w:r>
        <w:rPr>
          <w:color w:val="231F20"/>
          <w:spacing w:val="-7"/>
        </w:rPr>
        <w:t> </w:t>
      </w:r>
      <w:r>
        <w:rPr>
          <w:color w:val="231F20"/>
        </w:rPr>
        <w:t>toujours plus</w:t>
      </w:r>
      <w:r>
        <w:rPr>
          <w:color w:val="231F20"/>
          <w:spacing w:val="-15"/>
        </w:rPr>
        <w:t> </w:t>
      </w:r>
      <w:r>
        <w:rPr>
          <w:color w:val="231F20"/>
        </w:rPr>
        <w:t>d’informations</w:t>
      </w:r>
      <w:r>
        <w:rPr>
          <w:color w:val="231F20"/>
          <w:spacing w:val="-15"/>
        </w:rPr>
        <w:t> </w:t>
      </w:r>
      <w:r>
        <w:rPr>
          <w:color w:val="231F20"/>
        </w:rPr>
        <w:t>sur</w:t>
      </w:r>
      <w:r>
        <w:rPr>
          <w:color w:val="231F20"/>
          <w:spacing w:val="-14"/>
        </w:rPr>
        <w:t> </w:t>
      </w:r>
      <w:r>
        <w:rPr>
          <w:color w:val="231F20"/>
        </w:rPr>
        <w:t>les</w:t>
      </w:r>
      <w:r>
        <w:rPr>
          <w:color w:val="231F20"/>
          <w:spacing w:val="-15"/>
        </w:rPr>
        <w:t> </w:t>
      </w:r>
      <w:r>
        <w:rPr>
          <w:color w:val="231F20"/>
        </w:rPr>
        <w:t>opérations</w:t>
      </w:r>
      <w:r>
        <w:rPr>
          <w:color w:val="231F20"/>
          <w:spacing w:val="-15"/>
        </w:rPr>
        <w:t> </w:t>
      </w:r>
      <w:r>
        <w:rPr>
          <w:color w:val="231F20"/>
        </w:rPr>
        <w:t>non seulement de leurs propres clients, </w:t>
      </w:r>
      <w:r>
        <w:rPr>
          <w:color w:val="231F20"/>
        </w:rPr>
        <w:t>mais </w:t>
      </w:r>
      <w:r>
        <w:rPr>
          <w:color w:val="231F20"/>
          <w:spacing w:val="-8"/>
        </w:rPr>
        <w:t>aussi des banques intermédiaires qu’utilisent </w:t>
      </w:r>
      <w:r>
        <w:rPr>
          <w:color w:val="231F20"/>
        </w:rPr>
        <w:t>ceux-ci</w:t>
      </w:r>
      <w:r>
        <w:rPr>
          <w:color w:val="231F20"/>
          <w:spacing w:val="-6"/>
        </w:rPr>
        <w:t> </w:t>
      </w:r>
      <w:r>
        <w:rPr>
          <w:color w:val="231F20"/>
        </w:rPr>
        <w:t>et</w:t>
      </w:r>
      <w:r>
        <w:rPr>
          <w:color w:val="231F20"/>
          <w:spacing w:val="-6"/>
        </w:rPr>
        <w:t> </w:t>
      </w:r>
      <w:r>
        <w:rPr>
          <w:color w:val="231F20"/>
        </w:rPr>
        <w:t>des</w:t>
      </w:r>
      <w:r>
        <w:rPr>
          <w:color w:val="231F20"/>
          <w:spacing w:val="-6"/>
        </w:rPr>
        <w:t> </w:t>
      </w:r>
      <w:r>
        <w:rPr>
          <w:color w:val="231F20"/>
        </w:rPr>
        <w:t>banques</w:t>
      </w:r>
      <w:r>
        <w:rPr>
          <w:color w:val="231F20"/>
          <w:spacing w:val="-6"/>
        </w:rPr>
        <w:t> </w:t>
      </w:r>
      <w:r>
        <w:rPr>
          <w:color w:val="231F20"/>
        </w:rPr>
        <w:t>bénéficiaires.</w:t>
      </w:r>
    </w:p>
    <w:p>
      <w:pPr>
        <w:pStyle w:val="BodyText"/>
        <w:spacing w:before="165"/>
        <w:ind w:left="1474" w:right="2"/>
      </w:pPr>
      <w:r>
        <w:rPr>
          <w:color w:val="231F20"/>
        </w:rPr>
        <w:t>L’application extraterritoriale sans cesse </w:t>
      </w:r>
      <w:r>
        <w:rPr>
          <w:color w:val="231F20"/>
          <w:spacing w:val="-2"/>
        </w:rPr>
        <w:t>durcie</w:t>
      </w:r>
      <w:r>
        <w:rPr>
          <w:color w:val="231F20"/>
          <w:spacing w:val="-14"/>
        </w:rPr>
        <w:t> </w:t>
      </w:r>
      <w:r>
        <w:rPr>
          <w:color w:val="231F20"/>
          <w:spacing w:val="-2"/>
        </w:rPr>
        <w:t>du</w:t>
      </w:r>
      <w:r>
        <w:rPr>
          <w:color w:val="231F20"/>
          <w:spacing w:val="-14"/>
        </w:rPr>
        <w:t> </w:t>
      </w:r>
      <w:r>
        <w:rPr>
          <w:color w:val="231F20"/>
          <w:spacing w:val="-2"/>
        </w:rPr>
        <w:t>blocus</w:t>
      </w:r>
      <w:r>
        <w:rPr>
          <w:color w:val="231F20"/>
          <w:spacing w:val="-14"/>
        </w:rPr>
        <w:t> </w:t>
      </w:r>
      <w:r>
        <w:rPr>
          <w:color w:val="231F20"/>
          <w:spacing w:val="-2"/>
        </w:rPr>
        <w:t>dans</w:t>
      </w:r>
      <w:r>
        <w:rPr>
          <w:color w:val="231F20"/>
          <w:spacing w:val="-14"/>
        </w:rPr>
        <w:t> </w:t>
      </w:r>
      <w:r>
        <w:rPr>
          <w:color w:val="231F20"/>
          <w:spacing w:val="-2"/>
        </w:rPr>
        <w:t>le</w:t>
      </w:r>
      <w:r>
        <w:rPr>
          <w:color w:val="231F20"/>
          <w:spacing w:val="-14"/>
        </w:rPr>
        <w:t> </w:t>
      </w:r>
      <w:r>
        <w:rPr>
          <w:color w:val="231F20"/>
          <w:spacing w:val="-2"/>
        </w:rPr>
        <w:t>domaine</w:t>
      </w:r>
      <w:r>
        <w:rPr>
          <w:color w:val="231F20"/>
          <w:spacing w:val="-14"/>
        </w:rPr>
        <w:t> </w:t>
      </w:r>
      <w:r>
        <w:rPr>
          <w:color w:val="231F20"/>
          <w:spacing w:val="-2"/>
        </w:rPr>
        <w:t>financier touche</w:t>
      </w:r>
      <w:r>
        <w:rPr>
          <w:color w:val="231F20"/>
          <w:spacing w:val="-15"/>
        </w:rPr>
        <w:t> </w:t>
      </w:r>
      <w:r>
        <w:rPr>
          <w:color w:val="231F20"/>
          <w:spacing w:val="-2"/>
        </w:rPr>
        <w:t>même</w:t>
      </w:r>
      <w:r>
        <w:rPr>
          <w:color w:val="231F20"/>
          <w:spacing w:val="-14"/>
        </w:rPr>
        <w:t> </w:t>
      </w:r>
      <w:r>
        <w:rPr>
          <w:color w:val="231F20"/>
          <w:spacing w:val="-2"/>
        </w:rPr>
        <w:t>des</w:t>
      </w:r>
      <w:r>
        <w:rPr>
          <w:color w:val="231F20"/>
          <w:spacing w:val="-14"/>
        </w:rPr>
        <w:t> </w:t>
      </w:r>
      <w:r>
        <w:rPr>
          <w:color w:val="231F20"/>
          <w:spacing w:val="-2"/>
        </w:rPr>
        <w:t>personnes</w:t>
      </w:r>
      <w:r>
        <w:rPr>
          <w:color w:val="231F20"/>
          <w:spacing w:val="-15"/>
        </w:rPr>
        <w:t> </w:t>
      </w:r>
      <w:r>
        <w:rPr>
          <w:color w:val="231F20"/>
          <w:spacing w:val="-2"/>
        </w:rPr>
        <w:t>naturelles,</w:t>
      </w:r>
      <w:r>
        <w:rPr>
          <w:color w:val="231F20"/>
          <w:spacing w:val="-14"/>
        </w:rPr>
        <w:t> </w:t>
      </w:r>
      <w:r>
        <w:rPr>
          <w:color w:val="231F20"/>
          <w:spacing w:val="-2"/>
        </w:rPr>
        <w:t>au </w:t>
      </w:r>
      <w:r>
        <w:rPr>
          <w:color w:val="231F20"/>
        </w:rPr>
        <w:t>point</w:t>
      </w:r>
      <w:r>
        <w:rPr>
          <w:color w:val="231F20"/>
          <w:spacing w:val="-4"/>
        </w:rPr>
        <w:t> </w:t>
      </w:r>
      <w:r>
        <w:rPr>
          <w:color w:val="231F20"/>
        </w:rPr>
        <w:t>que</w:t>
      </w:r>
      <w:r>
        <w:rPr>
          <w:color w:val="231F20"/>
          <w:spacing w:val="-4"/>
        </w:rPr>
        <w:t> </w:t>
      </w:r>
      <w:r>
        <w:rPr>
          <w:color w:val="231F20"/>
        </w:rPr>
        <w:t>toujours</w:t>
      </w:r>
      <w:r>
        <w:rPr>
          <w:color w:val="231F20"/>
          <w:spacing w:val="-5"/>
        </w:rPr>
        <w:t> </w:t>
      </w:r>
      <w:r>
        <w:rPr>
          <w:color w:val="231F20"/>
        </w:rPr>
        <w:t>plus</w:t>
      </w:r>
      <w:r>
        <w:rPr>
          <w:color w:val="231F20"/>
          <w:spacing w:val="-5"/>
        </w:rPr>
        <w:t> </w:t>
      </w:r>
      <w:r>
        <w:rPr>
          <w:color w:val="231F20"/>
        </w:rPr>
        <w:t>de</w:t>
      </w:r>
      <w:r>
        <w:rPr>
          <w:color w:val="231F20"/>
          <w:spacing w:val="-4"/>
        </w:rPr>
        <w:t> </w:t>
      </w:r>
      <w:r>
        <w:rPr>
          <w:color w:val="231F20"/>
        </w:rPr>
        <w:t>Cubains</w:t>
      </w:r>
      <w:r>
        <w:rPr>
          <w:color w:val="231F20"/>
          <w:spacing w:val="-5"/>
        </w:rPr>
        <w:t> </w:t>
      </w:r>
      <w:r>
        <w:rPr>
          <w:color w:val="231F20"/>
        </w:rPr>
        <w:t>vivant à l’étranger signalent que leurs banques refusent d’opérer des transactions ou des virements associés à Cuba.</w:t>
      </w:r>
    </w:p>
    <w:p>
      <w:pPr>
        <w:pStyle w:val="BodyText"/>
        <w:spacing w:before="166"/>
        <w:ind w:left="1474" w:right="2"/>
      </w:pPr>
      <w:r>
        <w:rPr>
          <w:color w:val="231F20"/>
          <w:spacing w:val="-2"/>
        </w:rPr>
        <w:t>Durant</w:t>
      </w:r>
      <w:r>
        <w:rPr>
          <w:color w:val="231F20"/>
          <w:spacing w:val="-14"/>
        </w:rPr>
        <w:t> </w:t>
      </w:r>
      <w:r>
        <w:rPr>
          <w:color w:val="231F20"/>
          <w:spacing w:val="-2"/>
        </w:rPr>
        <w:t>la</w:t>
      </w:r>
      <w:r>
        <w:rPr>
          <w:color w:val="231F20"/>
          <w:spacing w:val="-14"/>
        </w:rPr>
        <w:t> </w:t>
      </w:r>
      <w:r>
        <w:rPr>
          <w:color w:val="231F20"/>
          <w:spacing w:val="-2"/>
        </w:rPr>
        <w:t>période,</w:t>
      </w:r>
      <w:r>
        <w:rPr>
          <w:color w:val="231F20"/>
          <w:spacing w:val="-14"/>
        </w:rPr>
        <w:t> </w:t>
      </w:r>
      <w:r>
        <w:rPr>
          <w:color w:val="231F20"/>
          <w:spacing w:val="-2"/>
        </w:rPr>
        <w:t>130</w:t>
      </w:r>
      <w:r>
        <w:rPr>
          <w:color w:val="231F20"/>
          <w:spacing w:val="-14"/>
        </w:rPr>
        <w:t> </w:t>
      </w:r>
      <w:r>
        <w:rPr>
          <w:color w:val="231F20"/>
          <w:spacing w:val="-2"/>
        </w:rPr>
        <w:t>banques</w:t>
      </w:r>
      <w:r>
        <w:rPr>
          <w:color w:val="231F20"/>
          <w:spacing w:val="-15"/>
        </w:rPr>
        <w:t> </w:t>
      </w:r>
      <w:r>
        <w:rPr>
          <w:color w:val="231F20"/>
          <w:spacing w:val="-2"/>
        </w:rPr>
        <w:t>étrangères (75</w:t>
      </w:r>
      <w:r>
        <w:rPr>
          <w:color w:val="231F20"/>
          <w:spacing w:val="-12"/>
        </w:rPr>
        <w:t> </w:t>
      </w:r>
      <w:r>
        <w:rPr>
          <w:color w:val="231F20"/>
          <w:spacing w:val="-2"/>
        </w:rPr>
        <w:t>d’Europe,</w:t>
      </w:r>
      <w:r>
        <w:rPr>
          <w:color w:val="231F20"/>
          <w:spacing w:val="-12"/>
        </w:rPr>
        <w:t> </w:t>
      </w:r>
      <w:r>
        <w:rPr>
          <w:color w:val="231F20"/>
          <w:spacing w:val="-2"/>
        </w:rPr>
        <w:t>21</w:t>
      </w:r>
      <w:r>
        <w:rPr>
          <w:color w:val="231F20"/>
          <w:spacing w:val="-12"/>
        </w:rPr>
        <w:t> </w:t>
      </w:r>
      <w:r>
        <w:rPr>
          <w:color w:val="231F20"/>
          <w:spacing w:val="-2"/>
        </w:rPr>
        <w:t>d’Amérique</w:t>
      </w:r>
      <w:r>
        <w:rPr>
          <w:color w:val="231F20"/>
          <w:spacing w:val="-12"/>
        </w:rPr>
        <w:t> </w:t>
      </w:r>
      <w:r>
        <w:rPr>
          <w:color w:val="231F20"/>
          <w:spacing w:val="-2"/>
        </w:rPr>
        <w:t>et</w:t>
      </w:r>
      <w:r>
        <w:rPr>
          <w:color w:val="231F20"/>
          <w:spacing w:val="-12"/>
        </w:rPr>
        <w:t> </w:t>
      </w:r>
      <w:r>
        <w:rPr>
          <w:color w:val="231F20"/>
          <w:spacing w:val="-2"/>
        </w:rPr>
        <w:t>34</w:t>
      </w:r>
      <w:r>
        <w:rPr>
          <w:color w:val="231F20"/>
          <w:spacing w:val="-12"/>
        </w:rPr>
        <w:t> </w:t>
      </w:r>
      <w:r>
        <w:rPr>
          <w:color w:val="231F20"/>
          <w:spacing w:val="-2"/>
        </w:rPr>
        <w:t>du</w:t>
      </w:r>
      <w:r>
        <w:rPr>
          <w:color w:val="231F20"/>
          <w:spacing w:val="-12"/>
        </w:rPr>
        <w:t> </w:t>
      </w:r>
      <w:r>
        <w:rPr>
          <w:color w:val="231F20"/>
          <w:spacing w:val="-2"/>
        </w:rPr>
        <w:t>reste </w:t>
      </w:r>
      <w:r>
        <w:rPr>
          <w:color w:val="231F20"/>
          <w:spacing w:val="-8"/>
        </w:rPr>
        <w:t>du</w:t>
      </w:r>
      <w:r>
        <w:rPr>
          <w:color w:val="231F20"/>
          <w:spacing w:val="-9"/>
        </w:rPr>
        <w:t> </w:t>
      </w:r>
      <w:r>
        <w:rPr>
          <w:color w:val="231F20"/>
          <w:spacing w:val="-8"/>
        </w:rPr>
        <w:t>monde) ont,</w:t>
      </w:r>
      <w:r>
        <w:rPr>
          <w:color w:val="231F20"/>
          <w:spacing w:val="-9"/>
        </w:rPr>
        <w:t> </w:t>
      </w:r>
      <w:r>
        <w:rPr>
          <w:color w:val="231F20"/>
          <w:spacing w:val="-8"/>
        </w:rPr>
        <w:t>pour différents</w:t>
      </w:r>
      <w:r>
        <w:rPr>
          <w:color w:val="231F20"/>
          <w:spacing w:val="-9"/>
        </w:rPr>
        <w:t> </w:t>
      </w:r>
      <w:r>
        <w:rPr>
          <w:color w:val="231F20"/>
          <w:spacing w:val="-8"/>
        </w:rPr>
        <w:t>motifs, refusé </w:t>
      </w:r>
      <w:r>
        <w:rPr>
          <w:color w:val="231F20"/>
        </w:rPr>
        <w:t>de faire des opérations avec des </w:t>
      </w:r>
      <w:r>
        <w:rPr>
          <w:color w:val="231F20"/>
        </w:rPr>
        <w:t>banques </w:t>
      </w:r>
      <w:r>
        <w:rPr>
          <w:color w:val="231F20"/>
          <w:spacing w:val="-4"/>
        </w:rPr>
        <w:t>cubaines,</w:t>
      </w:r>
      <w:r>
        <w:rPr>
          <w:color w:val="231F20"/>
          <w:spacing w:val="-12"/>
        </w:rPr>
        <w:t> </w:t>
      </w:r>
      <w:r>
        <w:rPr>
          <w:color w:val="231F20"/>
          <w:spacing w:val="-4"/>
        </w:rPr>
        <w:t>ce</w:t>
      </w:r>
      <w:r>
        <w:rPr>
          <w:color w:val="231F20"/>
          <w:spacing w:val="-9"/>
        </w:rPr>
        <w:t> </w:t>
      </w:r>
      <w:r>
        <w:rPr>
          <w:color w:val="231F20"/>
          <w:spacing w:val="-4"/>
        </w:rPr>
        <w:t>qui</w:t>
      </w:r>
      <w:r>
        <w:rPr>
          <w:color w:val="231F20"/>
          <w:spacing w:val="-9"/>
        </w:rPr>
        <w:t> </w:t>
      </w:r>
      <w:r>
        <w:rPr>
          <w:color w:val="231F20"/>
          <w:spacing w:val="-4"/>
        </w:rPr>
        <w:t>a</w:t>
      </w:r>
      <w:r>
        <w:rPr>
          <w:color w:val="231F20"/>
          <w:spacing w:val="-10"/>
        </w:rPr>
        <w:t> </w:t>
      </w:r>
      <w:r>
        <w:rPr>
          <w:color w:val="231F20"/>
          <w:spacing w:val="-4"/>
        </w:rPr>
        <w:t>concerné</w:t>
      </w:r>
      <w:r>
        <w:rPr>
          <w:color w:val="231F20"/>
          <w:spacing w:val="-9"/>
        </w:rPr>
        <w:t> </w:t>
      </w:r>
      <w:r>
        <w:rPr>
          <w:color w:val="231F20"/>
          <w:spacing w:val="-4"/>
        </w:rPr>
        <w:t>267</w:t>
      </w:r>
      <w:r>
        <w:rPr>
          <w:color w:val="231F20"/>
          <w:spacing w:val="-9"/>
        </w:rPr>
        <w:t> </w:t>
      </w:r>
      <w:r>
        <w:rPr>
          <w:color w:val="231F20"/>
          <w:spacing w:val="-5"/>
        </w:rPr>
        <w:t>opérations.</w:t>
      </w:r>
    </w:p>
    <w:p>
      <w:pPr>
        <w:pStyle w:val="BodyText"/>
        <w:spacing w:before="163"/>
        <w:ind w:left="1474" w:right="3"/>
      </w:pPr>
      <w:r>
        <w:rPr>
          <w:color w:val="231F20"/>
        </w:rPr>
        <w:t>On trouvera ci-après quelques </w:t>
      </w:r>
      <w:r>
        <w:rPr>
          <w:color w:val="231F20"/>
        </w:rPr>
        <w:t>exemples d’application extraterritoriale du blocus dans</w:t>
      </w:r>
      <w:r>
        <w:rPr>
          <w:color w:val="231F20"/>
          <w:spacing w:val="-5"/>
        </w:rPr>
        <w:t> </w:t>
      </w:r>
      <w:r>
        <w:rPr>
          <w:color w:val="231F20"/>
        </w:rPr>
        <w:t>le</w:t>
      </w:r>
      <w:r>
        <w:rPr>
          <w:color w:val="231F20"/>
          <w:spacing w:val="-5"/>
        </w:rPr>
        <w:t> </w:t>
      </w:r>
      <w:r>
        <w:rPr>
          <w:color w:val="231F20"/>
        </w:rPr>
        <w:t>secteur</w:t>
      </w:r>
      <w:r>
        <w:rPr>
          <w:color w:val="231F20"/>
          <w:spacing w:val="-5"/>
        </w:rPr>
        <w:t> </w:t>
      </w:r>
      <w:r>
        <w:rPr>
          <w:color w:val="231F20"/>
        </w:rPr>
        <w:t>bancaire</w:t>
      </w:r>
      <w:r>
        <w:rPr>
          <w:color w:val="231F20"/>
          <w:spacing w:val="-5"/>
        </w:rPr>
        <w:t> </w:t>
      </w:r>
      <w:r>
        <w:rPr>
          <w:color w:val="231F20"/>
        </w:rPr>
        <w:t>et</w:t>
      </w:r>
      <w:r>
        <w:rPr>
          <w:color w:val="231F20"/>
          <w:spacing w:val="-5"/>
        </w:rPr>
        <w:t> </w:t>
      </w:r>
      <w:r>
        <w:rPr>
          <w:color w:val="231F20"/>
        </w:rPr>
        <w:t>financier</w:t>
      </w:r>
      <w:r>
        <w:rPr>
          <w:color w:val="231F20"/>
          <w:spacing w:val="-5"/>
        </w:rPr>
        <w:t> </w:t>
      </w:r>
      <w:r>
        <w:rPr>
          <w:color w:val="231F20"/>
        </w:rPr>
        <w:t>:</w:t>
      </w:r>
    </w:p>
    <w:p>
      <w:pPr>
        <w:pStyle w:val="Heading4"/>
        <w:spacing w:before="163"/>
        <w:jc w:val="both"/>
      </w:pPr>
      <w:r>
        <w:rPr>
          <w:color w:val="231F20"/>
          <w:spacing w:val="-6"/>
        </w:rPr>
        <w:t>Refus</w:t>
      </w:r>
      <w:r>
        <w:rPr>
          <w:color w:val="231F20"/>
          <w:spacing w:val="-4"/>
        </w:rPr>
        <w:t> </w:t>
      </w:r>
      <w:r>
        <w:rPr>
          <w:color w:val="231F20"/>
          <w:spacing w:val="-6"/>
        </w:rPr>
        <w:t>de</w:t>
      </w:r>
      <w:r>
        <w:rPr>
          <w:color w:val="231F20"/>
          <w:spacing w:val="-1"/>
        </w:rPr>
        <w:t> </w:t>
      </w:r>
      <w:r>
        <w:rPr>
          <w:color w:val="231F20"/>
          <w:spacing w:val="-6"/>
        </w:rPr>
        <w:t>prestations</w:t>
      </w:r>
      <w:r>
        <w:rPr>
          <w:color w:val="231F20"/>
          <w:spacing w:val="-1"/>
        </w:rPr>
        <w:t> </w:t>
      </w:r>
      <w:r>
        <w:rPr>
          <w:color w:val="231F20"/>
          <w:spacing w:val="-6"/>
        </w:rPr>
        <w:t>bancaires</w:t>
      </w:r>
    </w:p>
    <w:p>
      <w:pPr>
        <w:pStyle w:val="BodyText"/>
        <w:spacing w:before="161"/>
        <w:ind w:left="1734" w:hanging="261"/>
      </w:pPr>
      <w:r>
        <w:rPr>
          <w:position w:val="3"/>
        </w:rPr>
        <w:drawing>
          <wp:inline distT="0" distB="0" distL="0" distR="0">
            <wp:extent cx="59207" cy="59207"/>
            <wp:effectExtent l="0" t="0" r="0" b="0"/>
            <wp:docPr id="496" name="Image 496"/>
            <wp:cNvGraphicFramePr>
              <a:graphicFrameLocks/>
            </wp:cNvGraphicFramePr>
            <a:graphic>
              <a:graphicData uri="http://schemas.openxmlformats.org/drawingml/2006/picture">
                <pic:pic>
                  <pic:nvPicPr>
                    <pic:cNvPr id="496" name="Image 496"/>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z w:val="20"/>
        </w:rPr>
        <w:t> </w:t>
      </w:r>
      <w:r>
        <w:rPr>
          <w:color w:val="231F20"/>
        </w:rPr>
        <w:t>Refus d’ouverture et fermeture </w:t>
      </w:r>
      <w:r>
        <w:rPr>
          <w:color w:val="231F20"/>
        </w:rPr>
        <w:t>de comptes : 6 banques européennes.</w:t>
      </w:r>
    </w:p>
    <w:p>
      <w:pPr>
        <w:pStyle w:val="BodyText"/>
        <w:spacing w:before="161"/>
        <w:ind w:left="1734" w:hanging="261"/>
      </w:pPr>
      <w:r>
        <w:rPr>
          <w:position w:val="3"/>
        </w:rPr>
        <w:drawing>
          <wp:inline distT="0" distB="0" distL="0" distR="0">
            <wp:extent cx="59207" cy="59207"/>
            <wp:effectExtent l="0" t="0" r="0" b="0"/>
            <wp:docPr id="497" name="Image 497"/>
            <wp:cNvGraphicFramePr>
              <a:graphicFrameLocks/>
            </wp:cNvGraphicFramePr>
            <a:graphic>
              <a:graphicData uri="http://schemas.openxmlformats.org/drawingml/2006/picture">
                <pic:pic>
                  <pic:nvPicPr>
                    <pic:cNvPr id="497" name="Image 497"/>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40"/>
          <w:sz w:val="20"/>
        </w:rPr>
        <w:t> </w:t>
      </w:r>
      <w:r>
        <w:rPr>
          <w:color w:val="231F20"/>
        </w:rPr>
        <w:t>Refus de transferts de fonds depuis ou vers Cuba, et de prestation d’autres services bancaires : 35 banques (21 d’Europe,</w:t>
      </w:r>
      <w:r>
        <w:rPr>
          <w:color w:val="231F20"/>
          <w:spacing w:val="-15"/>
        </w:rPr>
        <w:t> </w:t>
      </w:r>
      <w:r>
        <w:rPr>
          <w:color w:val="231F20"/>
        </w:rPr>
        <w:t>9</w:t>
      </w:r>
      <w:r>
        <w:rPr>
          <w:color w:val="231F20"/>
          <w:spacing w:val="-15"/>
        </w:rPr>
        <w:t> </w:t>
      </w:r>
      <w:r>
        <w:rPr>
          <w:color w:val="231F20"/>
        </w:rPr>
        <w:t>d’Amérique</w:t>
      </w:r>
      <w:r>
        <w:rPr>
          <w:color w:val="231F20"/>
          <w:spacing w:val="-15"/>
        </w:rPr>
        <w:t> </w:t>
      </w:r>
      <w:r>
        <w:rPr>
          <w:color w:val="231F20"/>
        </w:rPr>
        <w:t>et</w:t>
      </w:r>
      <w:r>
        <w:rPr>
          <w:color w:val="231F20"/>
          <w:spacing w:val="-15"/>
        </w:rPr>
        <w:t> </w:t>
      </w:r>
      <w:r>
        <w:rPr>
          <w:color w:val="231F20"/>
        </w:rPr>
        <w:t>5</w:t>
      </w:r>
      <w:r>
        <w:rPr>
          <w:color w:val="231F20"/>
          <w:spacing w:val="-15"/>
        </w:rPr>
        <w:t> </w:t>
      </w:r>
      <w:r>
        <w:rPr>
          <w:color w:val="231F20"/>
        </w:rPr>
        <w:t>du</w:t>
      </w:r>
      <w:r>
        <w:rPr>
          <w:color w:val="231F20"/>
          <w:spacing w:val="-15"/>
        </w:rPr>
        <w:t> </w:t>
      </w:r>
      <w:r>
        <w:rPr>
          <w:color w:val="231F20"/>
        </w:rPr>
        <w:t>reste</w:t>
      </w:r>
      <w:r>
        <w:rPr>
          <w:color w:val="231F20"/>
          <w:spacing w:val="-15"/>
        </w:rPr>
        <w:t> </w:t>
      </w:r>
      <w:r>
        <w:rPr>
          <w:color w:val="231F20"/>
        </w:rPr>
        <w:t>du </w:t>
      </w:r>
      <w:r>
        <w:rPr>
          <w:color w:val="231F20"/>
          <w:spacing w:val="-2"/>
        </w:rPr>
        <w:t>monde).</w:t>
      </w:r>
    </w:p>
    <w:p>
      <w:pPr>
        <w:pStyle w:val="BodyText"/>
        <w:spacing w:before="77"/>
        <w:ind w:left="674" w:right="1133" w:hanging="261"/>
      </w:pPr>
      <w:r>
        <w:rPr/>
        <w:br w:type="column"/>
      </w:r>
      <w:r>
        <w:rPr>
          <w:position w:val="4"/>
        </w:rPr>
        <w:drawing>
          <wp:inline distT="0" distB="0" distL="0" distR="0">
            <wp:extent cx="59207" cy="59207"/>
            <wp:effectExtent l="0" t="0" r="0" b="0"/>
            <wp:docPr id="498" name="Image 498"/>
            <wp:cNvGraphicFramePr>
              <a:graphicFrameLocks/>
            </wp:cNvGraphicFramePr>
            <a:graphic>
              <a:graphicData uri="http://schemas.openxmlformats.org/drawingml/2006/picture">
                <pic:pic>
                  <pic:nvPicPr>
                    <pic:cNvPr id="498" name="Image 498"/>
                    <pic:cNvPicPr/>
                  </pic:nvPicPr>
                  <pic:blipFill>
                    <a:blip r:embed="rId9"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80"/>
          <w:sz w:val="20"/>
        </w:rPr>
        <w:t> </w:t>
      </w:r>
      <w:r>
        <w:rPr>
          <w:color w:val="231F20"/>
        </w:rPr>
        <w:t>Faute</w:t>
      </w:r>
      <w:r>
        <w:rPr>
          <w:color w:val="231F20"/>
          <w:spacing w:val="-17"/>
        </w:rPr>
        <w:t> </w:t>
      </w:r>
      <w:r>
        <w:rPr>
          <w:color w:val="231F20"/>
        </w:rPr>
        <w:t>d’avoir</w:t>
      </w:r>
      <w:r>
        <w:rPr>
          <w:color w:val="231F20"/>
          <w:spacing w:val="-16"/>
        </w:rPr>
        <w:t> </w:t>
      </w:r>
      <w:r>
        <w:rPr>
          <w:color w:val="231F20"/>
        </w:rPr>
        <w:t>pu</w:t>
      </w:r>
      <w:r>
        <w:rPr>
          <w:color w:val="231F20"/>
          <w:spacing w:val="-17"/>
        </w:rPr>
        <w:t> </w:t>
      </w:r>
      <w:r>
        <w:rPr>
          <w:color w:val="231F20"/>
        </w:rPr>
        <w:t>payer</w:t>
      </w:r>
      <w:r>
        <w:rPr>
          <w:color w:val="231F20"/>
          <w:spacing w:val="-16"/>
        </w:rPr>
        <w:t> </w:t>
      </w:r>
      <w:r>
        <w:rPr>
          <w:color w:val="231F20"/>
        </w:rPr>
        <w:t>en</w:t>
      </w:r>
      <w:r>
        <w:rPr>
          <w:color w:val="231F20"/>
          <w:spacing w:val="-17"/>
        </w:rPr>
        <w:t> </w:t>
      </w:r>
      <w:r>
        <w:rPr>
          <w:color w:val="231F20"/>
        </w:rPr>
        <w:t>partie</w:t>
      </w:r>
      <w:r>
        <w:rPr>
          <w:color w:val="231F20"/>
          <w:spacing w:val="-16"/>
        </w:rPr>
        <w:t> </w:t>
      </w:r>
      <w:r>
        <w:rPr>
          <w:color w:val="231F20"/>
        </w:rPr>
        <w:t>en</w:t>
      </w:r>
      <w:r>
        <w:rPr>
          <w:color w:val="231F20"/>
          <w:spacing w:val="-17"/>
        </w:rPr>
        <w:t> </w:t>
      </w:r>
      <w:r>
        <w:rPr>
          <w:color w:val="231F20"/>
        </w:rPr>
        <w:t>2021 </w:t>
      </w:r>
      <w:r>
        <w:rPr>
          <w:color w:val="231F20"/>
          <w:spacing w:val="-4"/>
        </w:rPr>
        <w:t>et</w:t>
      </w:r>
      <w:r>
        <w:rPr>
          <w:color w:val="231F20"/>
          <w:spacing w:val="-13"/>
        </w:rPr>
        <w:t> </w:t>
      </w:r>
      <w:r>
        <w:rPr>
          <w:color w:val="231F20"/>
          <w:spacing w:val="-4"/>
        </w:rPr>
        <w:t>en</w:t>
      </w:r>
      <w:r>
        <w:rPr>
          <w:color w:val="231F20"/>
          <w:spacing w:val="-12"/>
        </w:rPr>
        <w:t> </w:t>
      </w:r>
      <w:r>
        <w:rPr>
          <w:color w:val="231F20"/>
          <w:spacing w:val="-4"/>
        </w:rPr>
        <w:t>tout</w:t>
      </w:r>
      <w:r>
        <w:rPr>
          <w:color w:val="231F20"/>
          <w:spacing w:val="-13"/>
        </w:rPr>
        <w:t> </w:t>
      </w:r>
      <w:r>
        <w:rPr>
          <w:color w:val="231F20"/>
          <w:spacing w:val="-4"/>
        </w:rPr>
        <w:t>en</w:t>
      </w:r>
      <w:r>
        <w:rPr>
          <w:color w:val="231F20"/>
          <w:spacing w:val="-12"/>
        </w:rPr>
        <w:t> </w:t>
      </w:r>
      <w:r>
        <w:rPr>
          <w:color w:val="231F20"/>
          <w:spacing w:val="-4"/>
        </w:rPr>
        <w:t>2022</w:t>
      </w:r>
      <w:r>
        <w:rPr>
          <w:color w:val="231F20"/>
          <w:spacing w:val="-13"/>
        </w:rPr>
        <w:t> </w:t>
      </w:r>
      <w:r>
        <w:rPr>
          <w:color w:val="231F20"/>
          <w:spacing w:val="-4"/>
        </w:rPr>
        <w:t>ses</w:t>
      </w:r>
      <w:r>
        <w:rPr>
          <w:color w:val="231F20"/>
          <w:spacing w:val="-12"/>
        </w:rPr>
        <w:t> </w:t>
      </w:r>
      <w:r>
        <w:rPr>
          <w:color w:val="231F20"/>
          <w:spacing w:val="-4"/>
        </w:rPr>
        <w:t>droits</w:t>
      </w:r>
      <w:r>
        <w:rPr>
          <w:color w:val="231F20"/>
          <w:spacing w:val="-13"/>
        </w:rPr>
        <w:t> </w:t>
      </w:r>
      <w:r>
        <w:rPr>
          <w:color w:val="231F20"/>
          <w:spacing w:val="-4"/>
        </w:rPr>
        <w:t>d’inscription </w:t>
      </w:r>
      <w:r>
        <w:rPr>
          <w:color w:val="231F20"/>
        </w:rPr>
        <w:t>au Centro de Estudios Monetarios Latinoamericanos (CEMLA), Cuba s’est vue retirer sa condition de membre.</w:t>
      </w:r>
    </w:p>
    <w:p>
      <w:pPr>
        <w:pStyle w:val="BodyText"/>
        <w:spacing w:before="164"/>
        <w:ind w:left="674" w:right="1138" w:hanging="261"/>
      </w:pPr>
      <w:r>
        <w:rPr>
          <w:position w:val="4"/>
        </w:rPr>
        <w:drawing>
          <wp:inline distT="0" distB="0" distL="0" distR="0">
            <wp:extent cx="59207" cy="59207"/>
            <wp:effectExtent l="0" t="0" r="0" b="0"/>
            <wp:docPr id="499" name="Image 499"/>
            <wp:cNvGraphicFramePr>
              <a:graphicFrameLocks/>
            </wp:cNvGraphicFramePr>
            <a:graphic>
              <a:graphicData uri="http://schemas.openxmlformats.org/drawingml/2006/picture">
                <pic:pic>
                  <pic:nvPicPr>
                    <pic:cNvPr id="499" name="Image 499"/>
                    <pic:cNvPicPr/>
                  </pic:nvPicPr>
                  <pic:blipFill>
                    <a:blip r:embed="rId11"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z w:val="20"/>
        </w:rPr>
        <w:t> </w:t>
      </w:r>
      <w:r>
        <w:rPr>
          <w:color w:val="231F20"/>
        </w:rPr>
        <w:t>Plus de 50 missions diplomatiques </w:t>
      </w:r>
      <w:r>
        <w:rPr>
          <w:color w:val="231F20"/>
          <w:spacing w:val="-14"/>
        </w:rPr>
        <w:t>cubaines</w:t>
      </w:r>
      <w:r>
        <w:rPr>
          <w:color w:val="231F20"/>
          <w:spacing w:val="-3"/>
        </w:rPr>
        <w:t> </w:t>
      </w:r>
      <w:r>
        <w:rPr>
          <w:color w:val="231F20"/>
          <w:spacing w:val="-14"/>
        </w:rPr>
        <w:t>dans</w:t>
      </w:r>
      <w:r>
        <w:rPr>
          <w:color w:val="231F20"/>
          <w:spacing w:val="-2"/>
        </w:rPr>
        <w:t> </w:t>
      </w:r>
      <w:r>
        <w:rPr>
          <w:color w:val="231F20"/>
          <w:spacing w:val="-14"/>
        </w:rPr>
        <w:t>le</w:t>
      </w:r>
      <w:r>
        <w:rPr>
          <w:color w:val="231F20"/>
          <w:spacing w:val="-3"/>
        </w:rPr>
        <w:t> </w:t>
      </w:r>
      <w:r>
        <w:rPr>
          <w:color w:val="231F20"/>
          <w:spacing w:val="-14"/>
        </w:rPr>
        <w:t>monde</w:t>
      </w:r>
      <w:r>
        <w:rPr>
          <w:color w:val="231F20"/>
          <w:spacing w:val="-2"/>
        </w:rPr>
        <w:t> </w:t>
      </w:r>
      <w:r>
        <w:rPr>
          <w:color w:val="231F20"/>
          <w:spacing w:val="-14"/>
        </w:rPr>
        <w:t>ne</w:t>
      </w:r>
      <w:r>
        <w:rPr>
          <w:color w:val="231F20"/>
          <w:spacing w:val="-3"/>
        </w:rPr>
        <w:t> </w:t>
      </w:r>
      <w:r>
        <w:rPr>
          <w:color w:val="231F20"/>
          <w:spacing w:val="-14"/>
        </w:rPr>
        <w:t>peuvent</w:t>
      </w:r>
      <w:r>
        <w:rPr>
          <w:color w:val="231F20"/>
          <w:spacing w:val="-2"/>
        </w:rPr>
        <w:t> </w:t>
      </w:r>
      <w:r>
        <w:rPr>
          <w:color w:val="231F20"/>
          <w:spacing w:val="-14"/>
        </w:rPr>
        <w:t>réaliser </w:t>
      </w:r>
      <w:r>
        <w:rPr>
          <w:color w:val="231F20"/>
          <w:spacing w:val="-6"/>
        </w:rPr>
        <w:t>les</w:t>
      </w:r>
      <w:r>
        <w:rPr>
          <w:color w:val="231F20"/>
          <w:spacing w:val="-11"/>
        </w:rPr>
        <w:t> </w:t>
      </w:r>
      <w:r>
        <w:rPr>
          <w:color w:val="231F20"/>
          <w:spacing w:val="-6"/>
        </w:rPr>
        <w:t>opérations</w:t>
      </w:r>
      <w:r>
        <w:rPr>
          <w:color w:val="231F20"/>
          <w:spacing w:val="-10"/>
        </w:rPr>
        <w:t> </w:t>
      </w:r>
      <w:r>
        <w:rPr>
          <w:color w:val="231F20"/>
          <w:spacing w:val="-6"/>
        </w:rPr>
        <w:t>bancaires</w:t>
      </w:r>
      <w:r>
        <w:rPr>
          <w:color w:val="231F20"/>
          <w:spacing w:val="-11"/>
        </w:rPr>
        <w:t> </w:t>
      </w:r>
      <w:r>
        <w:rPr>
          <w:color w:val="231F20"/>
          <w:spacing w:val="-6"/>
        </w:rPr>
        <w:t>et</w:t>
      </w:r>
      <w:r>
        <w:rPr>
          <w:color w:val="231F20"/>
          <w:spacing w:val="-10"/>
        </w:rPr>
        <w:t> </w:t>
      </w:r>
      <w:r>
        <w:rPr>
          <w:color w:val="231F20"/>
          <w:spacing w:val="-6"/>
        </w:rPr>
        <w:t>financières</w:t>
      </w:r>
      <w:r>
        <w:rPr>
          <w:color w:val="231F20"/>
          <w:spacing w:val="-11"/>
        </w:rPr>
        <w:t> </w:t>
      </w:r>
      <w:r>
        <w:rPr>
          <w:color w:val="231F20"/>
          <w:spacing w:val="-6"/>
        </w:rPr>
        <w:t>qui </w:t>
      </w:r>
      <w:r>
        <w:rPr>
          <w:color w:val="231F20"/>
          <w:spacing w:val="-4"/>
        </w:rPr>
        <w:t>garantissent</w:t>
      </w:r>
      <w:r>
        <w:rPr>
          <w:color w:val="231F20"/>
          <w:spacing w:val="-13"/>
        </w:rPr>
        <w:t> </w:t>
      </w:r>
      <w:r>
        <w:rPr>
          <w:color w:val="231F20"/>
          <w:spacing w:val="-4"/>
        </w:rPr>
        <w:t>leur</w:t>
      </w:r>
      <w:r>
        <w:rPr>
          <w:color w:val="231F20"/>
          <w:spacing w:val="-12"/>
        </w:rPr>
        <w:t> </w:t>
      </w:r>
      <w:r>
        <w:rPr>
          <w:color w:val="231F20"/>
          <w:spacing w:val="-4"/>
        </w:rPr>
        <w:t>fonctionnement</w:t>
      </w:r>
      <w:r>
        <w:rPr>
          <w:color w:val="231F20"/>
          <w:spacing w:val="-13"/>
        </w:rPr>
        <w:t> </w:t>
      </w:r>
      <w:r>
        <w:rPr>
          <w:color w:val="231F20"/>
          <w:spacing w:val="-4"/>
        </w:rPr>
        <w:t>normal </w:t>
      </w:r>
      <w:r>
        <w:rPr>
          <w:color w:val="231F20"/>
        </w:rPr>
        <w:t>après</w:t>
      </w:r>
      <w:r>
        <w:rPr>
          <w:color w:val="231F20"/>
          <w:spacing w:val="-17"/>
        </w:rPr>
        <w:t> </w:t>
      </w:r>
      <w:r>
        <w:rPr>
          <w:color w:val="231F20"/>
        </w:rPr>
        <w:t>que</w:t>
      </w:r>
      <w:r>
        <w:rPr>
          <w:color w:val="231F20"/>
          <w:spacing w:val="-16"/>
        </w:rPr>
        <w:t> </w:t>
      </w:r>
      <w:r>
        <w:rPr>
          <w:color w:val="231F20"/>
        </w:rPr>
        <w:t>leurs</w:t>
      </w:r>
      <w:r>
        <w:rPr>
          <w:color w:val="231F20"/>
          <w:spacing w:val="-17"/>
        </w:rPr>
        <w:t> </w:t>
      </w:r>
      <w:r>
        <w:rPr>
          <w:color w:val="231F20"/>
        </w:rPr>
        <w:t>banques</w:t>
      </w:r>
      <w:r>
        <w:rPr>
          <w:color w:val="231F20"/>
          <w:spacing w:val="-16"/>
        </w:rPr>
        <w:t> </w:t>
      </w:r>
      <w:r>
        <w:rPr>
          <w:color w:val="231F20"/>
        </w:rPr>
        <w:t>habituelles</w:t>
      </w:r>
      <w:r>
        <w:rPr>
          <w:color w:val="231F20"/>
          <w:spacing w:val="-17"/>
        </w:rPr>
        <w:t> </w:t>
      </w:r>
      <w:r>
        <w:rPr>
          <w:color w:val="231F20"/>
        </w:rPr>
        <w:t>ont </w:t>
      </w:r>
      <w:r>
        <w:rPr>
          <w:color w:val="231F20"/>
          <w:spacing w:val="-2"/>
        </w:rPr>
        <w:t>cessé</w:t>
      </w:r>
      <w:r>
        <w:rPr>
          <w:color w:val="231F20"/>
          <w:spacing w:val="-11"/>
        </w:rPr>
        <w:t> </w:t>
      </w:r>
      <w:r>
        <w:rPr>
          <w:color w:val="231F20"/>
          <w:spacing w:val="-2"/>
        </w:rPr>
        <w:t>leurs</w:t>
      </w:r>
      <w:r>
        <w:rPr>
          <w:color w:val="231F20"/>
          <w:spacing w:val="-11"/>
        </w:rPr>
        <w:t> </w:t>
      </w:r>
      <w:r>
        <w:rPr>
          <w:color w:val="231F20"/>
          <w:spacing w:val="-2"/>
        </w:rPr>
        <w:t>relations</w:t>
      </w:r>
      <w:r>
        <w:rPr>
          <w:color w:val="231F20"/>
          <w:spacing w:val="-11"/>
        </w:rPr>
        <w:t> </w:t>
      </w:r>
      <w:r>
        <w:rPr>
          <w:color w:val="231F20"/>
          <w:spacing w:val="-2"/>
        </w:rPr>
        <w:t>avec</w:t>
      </w:r>
      <w:r>
        <w:rPr>
          <w:color w:val="231F20"/>
          <w:spacing w:val="-11"/>
        </w:rPr>
        <w:t> </w:t>
      </w:r>
      <w:r>
        <w:rPr>
          <w:color w:val="231F20"/>
          <w:spacing w:val="-2"/>
        </w:rPr>
        <w:t>elles.</w:t>
      </w:r>
    </w:p>
    <w:p>
      <w:pPr>
        <w:pStyle w:val="BodyText"/>
        <w:spacing w:before="164"/>
        <w:ind w:left="674" w:right="1131" w:hanging="261"/>
      </w:pPr>
      <w:r>
        <w:rPr>
          <w:position w:val="3"/>
        </w:rPr>
        <w:drawing>
          <wp:inline distT="0" distB="0" distL="0" distR="0">
            <wp:extent cx="59207" cy="59207"/>
            <wp:effectExtent l="0" t="0" r="0" b="0"/>
            <wp:docPr id="500" name="Image 500"/>
            <wp:cNvGraphicFramePr>
              <a:graphicFrameLocks/>
            </wp:cNvGraphicFramePr>
            <a:graphic>
              <a:graphicData uri="http://schemas.openxmlformats.org/drawingml/2006/picture">
                <pic:pic>
                  <pic:nvPicPr>
                    <pic:cNvPr id="500" name="Image 500"/>
                    <pic:cNvPicPr/>
                  </pic:nvPicPr>
                  <pic:blipFill>
                    <a:blip r:embed="rId11"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13"/>
          <w:sz w:val="20"/>
        </w:rPr>
        <w:t> </w:t>
      </w:r>
      <w:r>
        <w:rPr>
          <w:color w:val="231F20"/>
          <w:spacing w:val="-2"/>
        </w:rPr>
        <w:t>Annulation</w:t>
      </w:r>
      <w:r>
        <w:rPr>
          <w:color w:val="231F20"/>
          <w:spacing w:val="-14"/>
        </w:rPr>
        <w:t> </w:t>
      </w:r>
      <w:r>
        <w:rPr>
          <w:color w:val="231F20"/>
          <w:spacing w:val="-2"/>
        </w:rPr>
        <w:t>ou</w:t>
      </w:r>
      <w:r>
        <w:rPr>
          <w:color w:val="231F20"/>
          <w:spacing w:val="-15"/>
        </w:rPr>
        <w:t> </w:t>
      </w:r>
      <w:r>
        <w:rPr>
          <w:color w:val="231F20"/>
          <w:spacing w:val="-2"/>
        </w:rPr>
        <w:t>refus</w:t>
      </w:r>
      <w:r>
        <w:rPr>
          <w:color w:val="231F20"/>
          <w:spacing w:val="-14"/>
        </w:rPr>
        <w:t> </w:t>
      </w:r>
      <w:r>
        <w:rPr>
          <w:color w:val="231F20"/>
          <w:spacing w:val="-2"/>
        </w:rPr>
        <w:t>de</w:t>
      </w:r>
      <w:r>
        <w:rPr>
          <w:color w:val="231F20"/>
          <w:spacing w:val="-15"/>
        </w:rPr>
        <w:t> </w:t>
      </w:r>
      <w:r>
        <w:rPr>
          <w:color w:val="231F20"/>
          <w:spacing w:val="-2"/>
        </w:rPr>
        <w:t>délivrance</w:t>
      </w:r>
      <w:r>
        <w:rPr>
          <w:color w:val="231F20"/>
          <w:spacing w:val="-14"/>
        </w:rPr>
        <w:t> </w:t>
      </w:r>
      <w:r>
        <w:rPr>
          <w:color w:val="231F20"/>
          <w:spacing w:val="-2"/>
        </w:rPr>
        <w:t>de</w:t>
      </w:r>
      <w:r>
        <w:rPr>
          <w:color w:val="231F20"/>
          <w:spacing w:val="-15"/>
        </w:rPr>
        <w:t> </w:t>
      </w:r>
      <w:r>
        <w:rPr>
          <w:color w:val="231F20"/>
          <w:spacing w:val="-2"/>
        </w:rPr>
        <w:t>clefs </w:t>
      </w:r>
      <w:r>
        <w:rPr>
          <w:color w:val="231F20"/>
        </w:rPr>
        <w:t>de messagerie SWIFT par des banques étrangères : 28, dont 17 d’Europe, 2 d’Amérique et 9 du reste du monde, d’où des difficultés et des retards dans les opérations bancaires.</w:t>
      </w:r>
    </w:p>
    <w:p>
      <w:pPr>
        <w:pStyle w:val="BodyText"/>
        <w:spacing w:before="165"/>
        <w:ind w:left="674" w:right="1140" w:hanging="261"/>
      </w:pPr>
      <w:r>
        <w:rPr>
          <w:position w:val="3"/>
        </w:rPr>
        <w:drawing>
          <wp:inline distT="0" distB="0" distL="0" distR="0">
            <wp:extent cx="59207" cy="59207"/>
            <wp:effectExtent l="0" t="0" r="0" b="0"/>
            <wp:docPr id="501" name="Image 501"/>
            <wp:cNvGraphicFramePr>
              <a:graphicFrameLocks/>
            </wp:cNvGraphicFramePr>
            <a:graphic>
              <a:graphicData uri="http://schemas.openxmlformats.org/drawingml/2006/picture">
                <pic:pic>
                  <pic:nvPicPr>
                    <pic:cNvPr id="501" name="Image 501"/>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7"/>
          <w:sz w:val="20"/>
        </w:rPr>
        <w:t> </w:t>
      </w:r>
      <w:r>
        <w:rPr>
          <w:color w:val="231F20"/>
          <w:spacing w:val="-10"/>
        </w:rPr>
        <w:t>Renvoi</w:t>
      </w:r>
      <w:r>
        <w:rPr>
          <w:color w:val="231F20"/>
          <w:spacing w:val="-7"/>
        </w:rPr>
        <w:t> </w:t>
      </w:r>
      <w:r>
        <w:rPr>
          <w:color w:val="231F20"/>
          <w:spacing w:val="-10"/>
        </w:rPr>
        <w:t>d’opérations</w:t>
      </w:r>
      <w:r>
        <w:rPr>
          <w:color w:val="231F20"/>
          <w:spacing w:val="-6"/>
        </w:rPr>
        <w:t> </w:t>
      </w:r>
      <w:r>
        <w:rPr>
          <w:color w:val="231F20"/>
          <w:spacing w:val="-10"/>
        </w:rPr>
        <w:t>bancaires</w:t>
      </w:r>
      <w:r>
        <w:rPr>
          <w:color w:val="231F20"/>
          <w:spacing w:val="-6"/>
        </w:rPr>
        <w:t> </w:t>
      </w:r>
      <w:r>
        <w:rPr>
          <w:color w:val="231F20"/>
          <w:spacing w:val="-10"/>
        </w:rPr>
        <w:t>:</w:t>
      </w:r>
      <w:r>
        <w:rPr>
          <w:color w:val="231F20"/>
          <w:spacing w:val="-7"/>
        </w:rPr>
        <w:t> </w:t>
      </w:r>
      <w:r>
        <w:rPr>
          <w:color w:val="231F20"/>
          <w:spacing w:val="-10"/>
        </w:rPr>
        <w:t>59</w:t>
      </w:r>
      <w:r>
        <w:rPr>
          <w:color w:val="231F20"/>
          <w:spacing w:val="-6"/>
        </w:rPr>
        <w:t> </w:t>
      </w:r>
      <w:r>
        <w:rPr>
          <w:color w:val="231F20"/>
          <w:spacing w:val="-10"/>
        </w:rPr>
        <w:t>banques, dont</w:t>
      </w:r>
      <w:r>
        <w:rPr>
          <w:color w:val="231F20"/>
          <w:spacing w:val="-7"/>
        </w:rPr>
        <w:t> </w:t>
      </w:r>
      <w:r>
        <w:rPr>
          <w:color w:val="231F20"/>
          <w:spacing w:val="-10"/>
        </w:rPr>
        <w:t>29</w:t>
      </w:r>
      <w:r>
        <w:rPr>
          <w:color w:val="231F20"/>
          <w:spacing w:val="-6"/>
        </w:rPr>
        <w:t> </w:t>
      </w:r>
      <w:r>
        <w:rPr>
          <w:color w:val="231F20"/>
          <w:spacing w:val="-10"/>
        </w:rPr>
        <w:t>d’Europe,</w:t>
      </w:r>
      <w:r>
        <w:rPr>
          <w:color w:val="231F20"/>
          <w:spacing w:val="-7"/>
        </w:rPr>
        <w:t> </w:t>
      </w:r>
      <w:r>
        <w:rPr>
          <w:color w:val="231F20"/>
          <w:spacing w:val="-10"/>
        </w:rPr>
        <w:t>10</w:t>
      </w:r>
      <w:r>
        <w:rPr>
          <w:color w:val="231F20"/>
          <w:spacing w:val="-6"/>
        </w:rPr>
        <w:t> </w:t>
      </w:r>
      <w:r>
        <w:rPr>
          <w:color w:val="231F20"/>
          <w:spacing w:val="-10"/>
        </w:rPr>
        <w:t>d’Amérique</w:t>
      </w:r>
      <w:r>
        <w:rPr>
          <w:color w:val="231F20"/>
          <w:spacing w:val="-7"/>
        </w:rPr>
        <w:t> </w:t>
      </w:r>
      <w:r>
        <w:rPr>
          <w:color w:val="231F20"/>
          <w:spacing w:val="-10"/>
        </w:rPr>
        <w:t>latine,</w:t>
      </w:r>
      <w:r>
        <w:rPr>
          <w:color w:val="231F20"/>
          <w:spacing w:val="-6"/>
        </w:rPr>
        <w:t> </w:t>
      </w:r>
      <w:r>
        <w:rPr>
          <w:color w:val="231F20"/>
          <w:spacing w:val="-10"/>
        </w:rPr>
        <w:t>20 </w:t>
      </w:r>
      <w:r>
        <w:rPr>
          <w:color w:val="231F20"/>
          <w:spacing w:val="-6"/>
        </w:rPr>
        <w:t>du</w:t>
      </w:r>
      <w:r>
        <w:rPr>
          <w:color w:val="231F20"/>
          <w:spacing w:val="-11"/>
        </w:rPr>
        <w:t> </w:t>
      </w:r>
      <w:r>
        <w:rPr>
          <w:color w:val="231F20"/>
          <w:spacing w:val="-6"/>
        </w:rPr>
        <w:t>reste</w:t>
      </w:r>
      <w:r>
        <w:rPr>
          <w:color w:val="231F20"/>
          <w:spacing w:val="-10"/>
        </w:rPr>
        <w:t> </w:t>
      </w:r>
      <w:r>
        <w:rPr>
          <w:color w:val="231F20"/>
          <w:spacing w:val="-6"/>
        </w:rPr>
        <w:t>du</w:t>
      </w:r>
      <w:r>
        <w:rPr>
          <w:color w:val="231F20"/>
          <w:spacing w:val="-11"/>
        </w:rPr>
        <w:t> </w:t>
      </w:r>
      <w:r>
        <w:rPr>
          <w:color w:val="231F20"/>
          <w:spacing w:val="-6"/>
        </w:rPr>
        <w:t>monde,</w:t>
      </w:r>
      <w:r>
        <w:rPr>
          <w:color w:val="231F20"/>
          <w:spacing w:val="-10"/>
        </w:rPr>
        <w:t> </w:t>
      </w:r>
      <w:r>
        <w:rPr>
          <w:color w:val="231F20"/>
          <w:spacing w:val="-6"/>
        </w:rPr>
        <w:t>le</w:t>
      </w:r>
      <w:r>
        <w:rPr>
          <w:color w:val="231F20"/>
          <w:spacing w:val="-11"/>
        </w:rPr>
        <w:t> </w:t>
      </w:r>
      <w:r>
        <w:rPr>
          <w:color w:val="231F20"/>
          <w:spacing w:val="-6"/>
        </w:rPr>
        <w:t>gros</w:t>
      </w:r>
      <w:r>
        <w:rPr>
          <w:color w:val="231F20"/>
          <w:spacing w:val="-10"/>
        </w:rPr>
        <w:t> </w:t>
      </w:r>
      <w:r>
        <w:rPr>
          <w:color w:val="231F20"/>
          <w:spacing w:val="-6"/>
        </w:rPr>
        <w:t>de</w:t>
      </w:r>
      <w:r>
        <w:rPr>
          <w:color w:val="231F20"/>
          <w:spacing w:val="-11"/>
        </w:rPr>
        <w:t> </w:t>
      </w:r>
      <w:r>
        <w:rPr>
          <w:color w:val="231F20"/>
          <w:spacing w:val="-6"/>
        </w:rPr>
        <w:t>ces</w:t>
      </w:r>
      <w:r>
        <w:rPr>
          <w:color w:val="231F20"/>
          <w:spacing w:val="-10"/>
        </w:rPr>
        <w:t> </w:t>
      </w:r>
      <w:r>
        <w:rPr>
          <w:color w:val="231F20"/>
          <w:spacing w:val="-6"/>
        </w:rPr>
        <w:t>renvois </w:t>
      </w:r>
      <w:r>
        <w:rPr>
          <w:color w:val="231F20"/>
          <w:spacing w:val="-10"/>
        </w:rPr>
        <w:t>répondant</w:t>
      </w:r>
      <w:r>
        <w:rPr>
          <w:color w:val="231F20"/>
          <w:spacing w:val="-4"/>
        </w:rPr>
        <w:t> </w:t>
      </w:r>
      <w:r>
        <w:rPr>
          <w:color w:val="231F20"/>
          <w:spacing w:val="-10"/>
        </w:rPr>
        <w:t>à</w:t>
      </w:r>
      <w:r>
        <w:rPr>
          <w:color w:val="231F20"/>
          <w:spacing w:val="-4"/>
        </w:rPr>
        <w:t> </w:t>
      </w:r>
      <w:r>
        <w:rPr>
          <w:color w:val="231F20"/>
          <w:spacing w:val="-10"/>
        </w:rPr>
        <w:t>des</w:t>
      </w:r>
      <w:r>
        <w:rPr>
          <w:color w:val="231F20"/>
          <w:spacing w:val="-4"/>
        </w:rPr>
        <w:t> </w:t>
      </w:r>
      <w:r>
        <w:rPr>
          <w:color w:val="231F20"/>
          <w:spacing w:val="-10"/>
        </w:rPr>
        <w:t>virements</w:t>
      </w:r>
      <w:r>
        <w:rPr>
          <w:color w:val="231F20"/>
          <w:spacing w:val="-4"/>
        </w:rPr>
        <w:t> </w:t>
      </w:r>
      <w:r>
        <w:rPr>
          <w:color w:val="231F20"/>
          <w:spacing w:val="-10"/>
        </w:rPr>
        <w:t>et</w:t>
      </w:r>
      <w:r>
        <w:rPr>
          <w:color w:val="231F20"/>
          <w:spacing w:val="-4"/>
        </w:rPr>
        <w:t> </w:t>
      </w:r>
      <w:r>
        <w:rPr>
          <w:color w:val="231F20"/>
          <w:spacing w:val="-10"/>
        </w:rPr>
        <w:t>à</w:t>
      </w:r>
      <w:r>
        <w:rPr>
          <w:color w:val="231F20"/>
          <w:spacing w:val="-4"/>
        </w:rPr>
        <w:t> </w:t>
      </w:r>
      <w:r>
        <w:rPr>
          <w:color w:val="231F20"/>
          <w:spacing w:val="-10"/>
        </w:rPr>
        <w:t>des</w:t>
      </w:r>
      <w:r>
        <w:rPr>
          <w:color w:val="231F20"/>
          <w:spacing w:val="-4"/>
        </w:rPr>
        <w:t> </w:t>
      </w:r>
      <w:r>
        <w:rPr>
          <w:color w:val="231F20"/>
          <w:spacing w:val="-10"/>
        </w:rPr>
        <w:t>crédits documentaires,</w:t>
      </w:r>
      <w:r>
        <w:rPr>
          <w:color w:val="231F20"/>
          <w:spacing w:val="-7"/>
        </w:rPr>
        <w:t> </w:t>
      </w:r>
      <w:r>
        <w:rPr>
          <w:color w:val="231F20"/>
          <w:spacing w:val="-10"/>
        </w:rPr>
        <w:t>sous</w:t>
      </w:r>
      <w:r>
        <w:rPr>
          <w:color w:val="231F20"/>
          <w:spacing w:val="-6"/>
        </w:rPr>
        <w:t> </w:t>
      </w:r>
      <w:r>
        <w:rPr>
          <w:color w:val="231F20"/>
          <w:spacing w:val="-10"/>
        </w:rPr>
        <w:t>prétexte</w:t>
      </w:r>
      <w:r>
        <w:rPr>
          <w:color w:val="231F20"/>
          <w:spacing w:val="-7"/>
        </w:rPr>
        <w:t> </w:t>
      </w:r>
      <w:r>
        <w:rPr>
          <w:color w:val="231F20"/>
          <w:spacing w:val="-10"/>
        </w:rPr>
        <w:t>de</w:t>
      </w:r>
      <w:r>
        <w:rPr>
          <w:color w:val="231F20"/>
          <w:spacing w:val="-6"/>
        </w:rPr>
        <w:t> </w:t>
      </w:r>
      <w:r>
        <w:rPr>
          <w:color w:val="231F20"/>
          <w:spacing w:val="-10"/>
        </w:rPr>
        <w:t>politiques </w:t>
      </w:r>
      <w:r>
        <w:rPr>
          <w:color w:val="231F20"/>
          <w:spacing w:val="-6"/>
        </w:rPr>
        <w:t>internes</w:t>
      </w:r>
      <w:r>
        <w:rPr>
          <w:color w:val="231F20"/>
          <w:spacing w:val="-11"/>
        </w:rPr>
        <w:t> </w:t>
      </w:r>
      <w:r>
        <w:rPr>
          <w:color w:val="231F20"/>
          <w:spacing w:val="-6"/>
        </w:rPr>
        <w:t>des</w:t>
      </w:r>
      <w:r>
        <w:rPr>
          <w:color w:val="231F20"/>
          <w:spacing w:val="-10"/>
        </w:rPr>
        <w:t> </w:t>
      </w:r>
      <w:r>
        <w:rPr>
          <w:color w:val="231F20"/>
          <w:spacing w:val="-6"/>
        </w:rPr>
        <w:t>banques</w:t>
      </w:r>
      <w:r>
        <w:rPr>
          <w:color w:val="231F20"/>
          <w:spacing w:val="-11"/>
        </w:rPr>
        <w:t> </w:t>
      </w:r>
      <w:r>
        <w:rPr>
          <w:color w:val="231F20"/>
          <w:spacing w:val="-6"/>
        </w:rPr>
        <w:t>des</w:t>
      </w:r>
      <w:r>
        <w:rPr>
          <w:color w:val="231F20"/>
          <w:spacing w:val="-10"/>
        </w:rPr>
        <w:t> </w:t>
      </w:r>
      <w:r>
        <w:rPr>
          <w:color w:val="231F20"/>
          <w:spacing w:val="-6"/>
        </w:rPr>
        <w:t>bénéficiaires</w:t>
      </w:r>
      <w:r>
        <w:rPr>
          <w:color w:val="231F20"/>
          <w:spacing w:val="-11"/>
        </w:rPr>
        <w:t> </w:t>
      </w:r>
      <w:r>
        <w:rPr>
          <w:color w:val="231F20"/>
          <w:spacing w:val="-6"/>
        </w:rPr>
        <w:t>ou </w:t>
      </w:r>
      <w:r>
        <w:rPr>
          <w:color w:val="231F20"/>
          <w:spacing w:val="-8"/>
        </w:rPr>
        <w:t>des</w:t>
      </w:r>
      <w:r>
        <w:rPr>
          <w:color w:val="231F20"/>
          <w:spacing w:val="-9"/>
        </w:rPr>
        <w:t> </w:t>
      </w:r>
      <w:r>
        <w:rPr>
          <w:color w:val="231F20"/>
          <w:spacing w:val="-8"/>
        </w:rPr>
        <w:t>banques correspondantes.</w:t>
      </w:r>
      <w:r>
        <w:rPr>
          <w:color w:val="231F20"/>
          <w:spacing w:val="-9"/>
        </w:rPr>
        <w:t> </w:t>
      </w:r>
      <w:r>
        <w:rPr>
          <w:color w:val="231F20"/>
          <w:spacing w:val="-8"/>
        </w:rPr>
        <w:t>Ce sont</w:t>
      </w:r>
      <w:r>
        <w:rPr>
          <w:color w:val="231F20"/>
          <w:spacing w:val="-9"/>
        </w:rPr>
        <w:t> </w:t>
      </w:r>
      <w:r>
        <w:rPr>
          <w:color w:val="231F20"/>
          <w:spacing w:val="-8"/>
        </w:rPr>
        <w:t>les banques</w:t>
      </w:r>
      <w:r>
        <w:rPr>
          <w:color w:val="231F20"/>
          <w:spacing w:val="-8"/>
        </w:rPr>
        <w:t> européennes,</w:t>
      </w:r>
      <w:r>
        <w:rPr>
          <w:color w:val="231F20"/>
          <w:spacing w:val="-8"/>
        </w:rPr>
        <w:t> latino-américaines </w:t>
      </w:r>
      <w:r>
        <w:rPr>
          <w:color w:val="231F20"/>
        </w:rPr>
        <w:t>et asiatiques qui ont cumulé le plus de renvois</w:t>
      </w:r>
      <w:r>
        <w:rPr>
          <w:color w:val="231F20"/>
          <w:spacing w:val="-17"/>
        </w:rPr>
        <w:t> </w:t>
      </w:r>
      <w:r>
        <w:rPr>
          <w:color w:val="231F20"/>
        </w:rPr>
        <w:t>de</w:t>
      </w:r>
      <w:r>
        <w:rPr>
          <w:color w:val="231F20"/>
          <w:spacing w:val="-16"/>
        </w:rPr>
        <w:t> </w:t>
      </w:r>
      <w:r>
        <w:rPr>
          <w:color w:val="231F20"/>
        </w:rPr>
        <w:t>ce</w:t>
      </w:r>
      <w:r>
        <w:rPr>
          <w:color w:val="231F20"/>
          <w:spacing w:val="-17"/>
        </w:rPr>
        <w:t> </w:t>
      </w:r>
      <w:r>
        <w:rPr>
          <w:color w:val="231F20"/>
        </w:rPr>
        <w:t>genre</w:t>
      </w:r>
      <w:r>
        <w:rPr>
          <w:color w:val="231F20"/>
          <w:spacing w:val="-16"/>
        </w:rPr>
        <w:t> </w:t>
      </w:r>
      <w:r>
        <w:rPr>
          <w:color w:val="231F20"/>
        </w:rPr>
        <w:t>sous</w:t>
      </w:r>
      <w:r>
        <w:rPr>
          <w:color w:val="231F20"/>
          <w:spacing w:val="-17"/>
        </w:rPr>
        <w:t> </w:t>
      </w:r>
      <w:r>
        <w:rPr>
          <w:color w:val="231F20"/>
        </w:rPr>
        <w:t>prétexte,</w:t>
      </w:r>
      <w:r>
        <w:rPr>
          <w:color w:val="231F20"/>
          <w:spacing w:val="-16"/>
        </w:rPr>
        <w:t> </w:t>
      </w:r>
      <w:r>
        <w:rPr>
          <w:color w:val="231F20"/>
        </w:rPr>
        <w:t>entre </w:t>
      </w:r>
      <w:r>
        <w:rPr>
          <w:color w:val="231F20"/>
          <w:spacing w:val="-6"/>
        </w:rPr>
        <w:t>autres,</w:t>
      </w:r>
      <w:r>
        <w:rPr>
          <w:color w:val="231F20"/>
          <w:spacing w:val="-11"/>
        </w:rPr>
        <w:t> </w:t>
      </w:r>
      <w:r>
        <w:rPr>
          <w:color w:val="231F20"/>
          <w:spacing w:val="-6"/>
        </w:rPr>
        <w:t>des</w:t>
      </w:r>
      <w:r>
        <w:rPr>
          <w:color w:val="231F20"/>
          <w:spacing w:val="-10"/>
        </w:rPr>
        <w:t> </w:t>
      </w:r>
      <w:r>
        <w:rPr>
          <w:color w:val="231F20"/>
          <w:spacing w:val="-6"/>
        </w:rPr>
        <w:t>sanctions</w:t>
      </w:r>
      <w:r>
        <w:rPr>
          <w:color w:val="231F20"/>
          <w:spacing w:val="-11"/>
        </w:rPr>
        <w:t> </w:t>
      </w:r>
      <w:r>
        <w:rPr>
          <w:color w:val="231F20"/>
          <w:spacing w:val="-6"/>
        </w:rPr>
        <w:t>étasuniennes</w:t>
      </w:r>
      <w:r>
        <w:rPr>
          <w:color w:val="231F20"/>
          <w:spacing w:val="-10"/>
        </w:rPr>
        <w:t> </w:t>
      </w:r>
      <w:r>
        <w:rPr>
          <w:color w:val="231F20"/>
          <w:spacing w:val="-6"/>
        </w:rPr>
        <w:t>contre </w:t>
      </w:r>
      <w:r>
        <w:rPr>
          <w:color w:val="231F20"/>
          <w:spacing w:val="-4"/>
        </w:rPr>
        <w:t>Cuba</w:t>
      </w:r>
      <w:r>
        <w:rPr>
          <w:color w:val="231F20"/>
          <w:spacing w:val="-19"/>
        </w:rPr>
        <w:t> </w:t>
      </w:r>
      <w:r>
        <w:rPr>
          <w:color w:val="231F20"/>
          <w:spacing w:val="-4"/>
        </w:rPr>
        <w:t>et</w:t>
      </w:r>
      <w:r>
        <w:rPr>
          <w:color w:val="231F20"/>
          <w:spacing w:val="-19"/>
        </w:rPr>
        <w:t> </w:t>
      </w:r>
      <w:r>
        <w:rPr>
          <w:color w:val="231F20"/>
          <w:spacing w:val="-4"/>
        </w:rPr>
        <w:t>de</w:t>
      </w:r>
      <w:r>
        <w:rPr>
          <w:color w:val="231F20"/>
          <w:spacing w:val="-19"/>
        </w:rPr>
        <w:t> </w:t>
      </w:r>
      <w:r>
        <w:rPr>
          <w:color w:val="231F20"/>
          <w:spacing w:val="-4"/>
        </w:rPr>
        <w:t>réglementations</w:t>
      </w:r>
      <w:r>
        <w:rPr>
          <w:color w:val="231F20"/>
          <w:spacing w:val="-19"/>
        </w:rPr>
        <w:t> </w:t>
      </w:r>
      <w:r>
        <w:rPr>
          <w:color w:val="231F20"/>
          <w:spacing w:val="-4"/>
        </w:rPr>
        <w:t>internes.</w:t>
      </w:r>
    </w:p>
    <w:p>
      <w:pPr>
        <w:pStyle w:val="BodyText"/>
        <w:spacing w:before="169"/>
        <w:ind w:left="674" w:right="1137" w:hanging="261"/>
      </w:pPr>
      <w:r>
        <w:rPr>
          <w:position w:val="3"/>
        </w:rPr>
        <w:drawing>
          <wp:inline distT="0" distB="0" distL="0" distR="0">
            <wp:extent cx="59207" cy="59207"/>
            <wp:effectExtent l="0" t="0" r="0" b="0"/>
            <wp:docPr id="502" name="Image 502"/>
            <wp:cNvGraphicFramePr>
              <a:graphicFrameLocks/>
            </wp:cNvGraphicFramePr>
            <a:graphic>
              <a:graphicData uri="http://schemas.openxmlformats.org/drawingml/2006/picture">
                <pic:pic>
                  <pic:nvPicPr>
                    <pic:cNvPr id="502" name="Image 502"/>
                    <pic:cNvPicPr/>
                  </pic:nvPicPr>
                  <pic:blipFill>
                    <a:blip r:embed="rId9"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z w:val="20"/>
        </w:rPr>
        <w:t> </w:t>
      </w:r>
      <w:r>
        <w:rPr>
          <w:color w:val="231F20"/>
        </w:rPr>
        <w:t>Annulation d’opérations bancaires </w:t>
      </w:r>
      <w:r>
        <w:rPr>
          <w:color w:val="231F20"/>
        </w:rPr>
        <w:t>et </w:t>
      </w:r>
      <w:r>
        <w:rPr>
          <w:color w:val="231F20"/>
          <w:spacing w:val="-6"/>
        </w:rPr>
        <w:t>d’accords</w:t>
      </w:r>
      <w:r>
        <w:rPr>
          <w:color w:val="231F20"/>
          <w:spacing w:val="-11"/>
        </w:rPr>
        <w:t> </w:t>
      </w:r>
      <w:r>
        <w:rPr>
          <w:color w:val="231F20"/>
          <w:spacing w:val="-6"/>
        </w:rPr>
        <w:t>de</w:t>
      </w:r>
      <w:r>
        <w:rPr>
          <w:color w:val="231F20"/>
          <w:spacing w:val="-10"/>
        </w:rPr>
        <w:t> </w:t>
      </w:r>
      <w:r>
        <w:rPr>
          <w:color w:val="231F20"/>
          <w:spacing w:val="-6"/>
        </w:rPr>
        <w:t>correspondance</w:t>
      </w:r>
      <w:r>
        <w:rPr>
          <w:color w:val="231F20"/>
          <w:spacing w:val="-11"/>
        </w:rPr>
        <w:t> </w:t>
      </w:r>
      <w:r>
        <w:rPr>
          <w:color w:val="231F20"/>
          <w:spacing w:val="-6"/>
        </w:rPr>
        <w:t>:</w:t>
      </w:r>
      <w:r>
        <w:rPr>
          <w:color w:val="231F20"/>
          <w:spacing w:val="-10"/>
        </w:rPr>
        <w:t> </w:t>
      </w:r>
      <w:r>
        <w:rPr>
          <w:color w:val="231F20"/>
          <w:spacing w:val="-6"/>
        </w:rPr>
        <w:t>2</w:t>
      </w:r>
      <w:r>
        <w:rPr>
          <w:color w:val="231F20"/>
          <w:spacing w:val="-11"/>
        </w:rPr>
        <w:t> </w:t>
      </w:r>
      <w:r>
        <w:rPr>
          <w:color w:val="231F20"/>
          <w:spacing w:val="-6"/>
        </w:rPr>
        <w:t>banques </w:t>
      </w:r>
      <w:r>
        <w:rPr>
          <w:color w:val="231F20"/>
          <w:spacing w:val="-2"/>
        </w:rPr>
        <w:t>européennes.</w:t>
      </w:r>
    </w:p>
    <w:p>
      <w:pPr>
        <w:pStyle w:val="BodyText"/>
        <w:spacing w:before="163"/>
        <w:ind w:left="413" w:right="1132"/>
      </w:pPr>
      <w:r>
        <w:rPr>
          <w:color w:val="231F20"/>
        </w:rPr>
        <w:t>De</w:t>
      </w:r>
      <w:r>
        <w:rPr>
          <w:color w:val="231F20"/>
          <w:spacing w:val="-17"/>
        </w:rPr>
        <w:t> </w:t>
      </w:r>
      <w:r>
        <w:rPr>
          <w:color w:val="231F20"/>
        </w:rPr>
        <w:t>même,</w:t>
      </w:r>
      <w:r>
        <w:rPr>
          <w:color w:val="231F20"/>
          <w:spacing w:val="-16"/>
        </w:rPr>
        <w:t> </w:t>
      </w:r>
      <w:r>
        <w:rPr>
          <w:color w:val="231F20"/>
        </w:rPr>
        <w:t>Cuba</w:t>
      </w:r>
      <w:r>
        <w:rPr>
          <w:color w:val="231F20"/>
          <w:spacing w:val="-17"/>
        </w:rPr>
        <w:t> </w:t>
      </w:r>
      <w:r>
        <w:rPr>
          <w:color w:val="231F20"/>
        </w:rPr>
        <w:t>ne</w:t>
      </w:r>
      <w:r>
        <w:rPr>
          <w:color w:val="231F20"/>
          <w:spacing w:val="-16"/>
        </w:rPr>
        <w:t> </w:t>
      </w:r>
      <w:r>
        <w:rPr>
          <w:color w:val="231F20"/>
        </w:rPr>
        <w:t>peut</w:t>
      </w:r>
      <w:r>
        <w:rPr>
          <w:color w:val="231F20"/>
          <w:spacing w:val="-17"/>
        </w:rPr>
        <w:t> </w:t>
      </w:r>
      <w:r>
        <w:rPr>
          <w:color w:val="231F20"/>
        </w:rPr>
        <w:t>disposer</w:t>
      </w:r>
      <w:r>
        <w:rPr>
          <w:color w:val="231F20"/>
          <w:spacing w:val="-16"/>
        </w:rPr>
        <w:t> </w:t>
      </w:r>
      <w:r>
        <w:rPr>
          <w:color w:val="231F20"/>
        </w:rPr>
        <w:t>que</w:t>
      </w:r>
      <w:r>
        <w:rPr>
          <w:color w:val="231F20"/>
          <w:spacing w:val="-17"/>
        </w:rPr>
        <w:t> </w:t>
      </w:r>
      <w:r>
        <w:rPr>
          <w:color w:val="231F20"/>
        </w:rPr>
        <w:t>d’un financement extérieur très limité et dans des</w:t>
      </w:r>
      <w:r>
        <w:rPr>
          <w:color w:val="231F20"/>
          <w:spacing w:val="-10"/>
        </w:rPr>
        <w:t> </w:t>
      </w:r>
      <w:r>
        <w:rPr>
          <w:color w:val="231F20"/>
        </w:rPr>
        <w:t>conditions</w:t>
      </w:r>
      <w:r>
        <w:rPr>
          <w:color w:val="231F20"/>
          <w:spacing w:val="-10"/>
        </w:rPr>
        <w:t> </w:t>
      </w:r>
      <w:r>
        <w:rPr>
          <w:color w:val="231F20"/>
        </w:rPr>
        <w:t>extrêmement</w:t>
      </w:r>
      <w:r>
        <w:rPr>
          <w:color w:val="231F20"/>
          <w:spacing w:val="-10"/>
        </w:rPr>
        <w:t> </w:t>
      </w:r>
      <w:r>
        <w:rPr>
          <w:color w:val="231F20"/>
        </w:rPr>
        <w:t>onéreuses.</w:t>
      </w:r>
      <w:r>
        <w:rPr>
          <w:color w:val="231F20"/>
          <w:spacing w:val="-10"/>
        </w:rPr>
        <w:t> </w:t>
      </w:r>
      <w:r>
        <w:rPr>
          <w:color w:val="231F20"/>
        </w:rPr>
        <w:t>À </w:t>
      </w:r>
      <w:r>
        <w:rPr>
          <w:color w:val="231F20"/>
          <w:spacing w:val="-10"/>
        </w:rPr>
        <w:t>cause</w:t>
      </w:r>
      <w:r>
        <w:rPr>
          <w:color w:val="231F20"/>
          <w:spacing w:val="-6"/>
        </w:rPr>
        <w:t> </w:t>
      </w:r>
      <w:r>
        <w:rPr>
          <w:color w:val="231F20"/>
          <w:spacing w:val="-10"/>
        </w:rPr>
        <w:t>de</w:t>
      </w:r>
      <w:r>
        <w:rPr>
          <w:color w:val="231F20"/>
          <w:spacing w:val="-6"/>
        </w:rPr>
        <w:t> </w:t>
      </w:r>
      <w:r>
        <w:rPr>
          <w:color w:val="231F20"/>
          <w:spacing w:val="-10"/>
        </w:rPr>
        <w:t>la</w:t>
      </w:r>
      <w:r>
        <w:rPr>
          <w:color w:val="231F20"/>
          <w:spacing w:val="-6"/>
        </w:rPr>
        <w:t> </w:t>
      </w:r>
      <w:r>
        <w:rPr>
          <w:color w:val="231F20"/>
          <w:spacing w:val="-10"/>
        </w:rPr>
        <w:t>notation</w:t>
      </w:r>
      <w:r>
        <w:rPr>
          <w:color w:val="231F20"/>
          <w:spacing w:val="-6"/>
        </w:rPr>
        <w:t> </w:t>
      </w:r>
      <w:r>
        <w:rPr>
          <w:color w:val="231F20"/>
          <w:spacing w:val="-10"/>
        </w:rPr>
        <w:t>de</w:t>
      </w:r>
      <w:r>
        <w:rPr>
          <w:color w:val="231F20"/>
          <w:spacing w:val="-6"/>
        </w:rPr>
        <w:t> </w:t>
      </w:r>
      <w:r>
        <w:rPr>
          <w:color w:val="231F20"/>
          <w:spacing w:val="-10"/>
        </w:rPr>
        <w:t>risque-pays</w:t>
      </w:r>
      <w:r>
        <w:rPr>
          <w:color w:val="231F20"/>
          <w:spacing w:val="-6"/>
        </w:rPr>
        <w:t> </w:t>
      </w:r>
      <w:r>
        <w:rPr>
          <w:color w:val="231F20"/>
          <w:spacing w:val="-10"/>
        </w:rPr>
        <w:t>accolée</w:t>
      </w:r>
      <w:r>
        <w:rPr>
          <w:color w:val="231F20"/>
          <w:spacing w:val="-6"/>
        </w:rPr>
        <w:t> </w:t>
      </w:r>
      <w:r>
        <w:rPr>
          <w:color w:val="231F20"/>
          <w:spacing w:val="-10"/>
        </w:rPr>
        <w:t>à </w:t>
      </w:r>
      <w:r>
        <w:rPr>
          <w:color w:val="231F20"/>
          <w:spacing w:val="-8"/>
        </w:rPr>
        <w:t>Cuba,</w:t>
      </w:r>
      <w:r>
        <w:rPr>
          <w:color w:val="231F20"/>
          <w:spacing w:val="-9"/>
        </w:rPr>
        <w:t> </w:t>
      </w:r>
      <w:r>
        <w:rPr>
          <w:color w:val="231F20"/>
          <w:spacing w:val="-8"/>
        </w:rPr>
        <w:t>les banques</w:t>
      </w:r>
      <w:r>
        <w:rPr>
          <w:color w:val="231F20"/>
          <w:spacing w:val="-9"/>
        </w:rPr>
        <w:t> </w:t>
      </w:r>
      <w:r>
        <w:rPr>
          <w:color w:val="231F20"/>
          <w:spacing w:val="-8"/>
        </w:rPr>
        <w:t>et les</w:t>
      </w:r>
      <w:r>
        <w:rPr>
          <w:color w:val="231F20"/>
          <w:spacing w:val="-9"/>
        </w:rPr>
        <w:t> </w:t>
      </w:r>
      <w:r>
        <w:rPr>
          <w:color w:val="231F20"/>
          <w:spacing w:val="-8"/>
        </w:rPr>
        <w:t>entreprises cubaines </w:t>
      </w:r>
      <w:r>
        <w:rPr>
          <w:color w:val="231F20"/>
        </w:rPr>
        <w:t>continuent de payer des taux d’intérêt </w:t>
      </w:r>
      <w:r>
        <w:rPr>
          <w:color w:val="231F20"/>
          <w:spacing w:val="-10"/>
        </w:rPr>
        <w:t>supérieurs</w:t>
      </w:r>
      <w:r>
        <w:rPr>
          <w:color w:val="231F20"/>
          <w:spacing w:val="-7"/>
        </w:rPr>
        <w:t> </w:t>
      </w:r>
      <w:r>
        <w:rPr>
          <w:color w:val="231F20"/>
          <w:spacing w:val="-10"/>
        </w:rPr>
        <w:t>à</w:t>
      </w:r>
      <w:r>
        <w:rPr>
          <w:color w:val="231F20"/>
          <w:spacing w:val="-6"/>
        </w:rPr>
        <w:t> </w:t>
      </w:r>
      <w:r>
        <w:rPr>
          <w:color w:val="231F20"/>
          <w:spacing w:val="-10"/>
        </w:rPr>
        <w:t>ceux</w:t>
      </w:r>
      <w:r>
        <w:rPr>
          <w:color w:val="231F20"/>
          <w:spacing w:val="-7"/>
        </w:rPr>
        <w:t> </w:t>
      </w:r>
      <w:r>
        <w:rPr>
          <w:color w:val="231F20"/>
          <w:spacing w:val="-10"/>
        </w:rPr>
        <w:t>que</w:t>
      </w:r>
      <w:r>
        <w:rPr>
          <w:color w:val="231F20"/>
          <w:spacing w:val="-6"/>
        </w:rPr>
        <w:t> </w:t>
      </w:r>
      <w:r>
        <w:rPr>
          <w:color w:val="231F20"/>
          <w:spacing w:val="-10"/>
        </w:rPr>
        <w:t>fixe</w:t>
      </w:r>
      <w:r>
        <w:rPr>
          <w:color w:val="231F20"/>
          <w:spacing w:val="-7"/>
        </w:rPr>
        <w:t> </w:t>
      </w:r>
      <w:r>
        <w:rPr>
          <w:color w:val="231F20"/>
          <w:spacing w:val="-10"/>
        </w:rPr>
        <w:t>le</w:t>
      </w:r>
      <w:r>
        <w:rPr>
          <w:color w:val="231F20"/>
          <w:spacing w:val="-6"/>
        </w:rPr>
        <w:t> </w:t>
      </w:r>
      <w:r>
        <w:rPr>
          <w:color w:val="231F20"/>
          <w:spacing w:val="-10"/>
        </w:rPr>
        <w:t>marché</w:t>
      </w:r>
      <w:r>
        <w:rPr>
          <w:color w:val="231F20"/>
          <w:spacing w:val="-7"/>
        </w:rPr>
        <w:t> </w:t>
      </w:r>
      <w:r>
        <w:rPr>
          <w:color w:val="231F20"/>
          <w:spacing w:val="-10"/>
        </w:rPr>
        <w:t>pour</w:t>
      </w:r>
      <w:r>
        <w:rPr>
          <w:color w:val="231F20"/>
          <w:spacing w:val="-6"/>
        </w:rPr>
        <w:t> </w:t>
      </w:r>
      <w:r>
        <w:rPr>
          <w:color w:val="231F20"/>
          <w:spacing w:val="-10"/>
        </w:rPr>
        <w:t>des </w:t>
      </w:r>
      <w:r>
        <w:rPr>
          <w:color w:val="231F20"/>
          <w:spacing w:val="-4"/>
        </w:rPr>
        <w:t>financements</w:t>
      </w:r>
      <w:r>
        <w:rPr>
          <w:color w:val="231F20"/>
          <w:spacing w:val="-20"/>
        </w:rPr>
        <w:t> </w:t>
      </w:r>
      <w:r>
        <w:rPr>
          <w:color w:val="231F20"/>
          <w:spacing w:val="-4"/>
        </w:rPr>
        <w:t>extérieurs</w:t>
      </w:r>
      <w:r>
        <w:rPr>
          <w:color w:val="231F20"/>
          <w:spacing w:val="-20"/>
        </w:rPr>
        <w:t> </w:t>
      </w:r>
      <w:r>
        <w:rPr>
          <w:color w:val="231F20"/>
          <w:spacing w:val="-4"/>
        </w:rPr>
        <w:t>similaires.</w:t>
      </w:r>
    </w:p>
    <w:p>
      <w:pPr>
        <w:spacing w:after="0"/>
        <w:sectPr>
          <w:pgSz w:w="11910" w:h="16840"/>
          <w:pgMar w:header="0" w:footer="695" w:top="1260" w:bottom="880" w:left="0" w:right="0"/>
          <w:cols w:num="2" w:equalWidth="0">
            <w:col w:w="5897" w:space="40"/>
            <w:col w:w="5973"/>
          </w:cols>
        </w:sectPr>
      </w:pPr>
    </w:p>
    <w:p>
      <w:pPr>
        <w:pStyle w:val="BodyText"/>
        <w:spacing w:before="77"/>
        <w:ind w:left="1133" w:right="6345"/>
      </w:pPr>
      <w:r>
        <w:rPr>
          <w:color w:val="231F20"/>
        </w:rPr>
        <w:t>L’envoi et la réception de documents bancaires à travers des agences de </w:t>
      </w:r>
      <w:r>
        <w:rPr>
          <w:color w:val="231F20"/>
          <w:spacing w:val="-2"/>
        </w:rPr>
        <w:t>messagerie,</w:t>
      </w:r>
      <w:r>
        <w:rPr>
          <w:color w:val="231F20"/>
          <w:spacing w:val="-12"/>
        </w:rPr>
        <w:t> </w:t>
      </w:r>
      <w:r>
        <w:rPr>
          <w:color w:val="231F20"/>
          <w:spacing w:val="-2"/>
        </w:rPr>
        <w:t>en</w:t>
      </w:r>
      <w:r>
        <w:rPr>
          <w:color w:val="231F20"/>
          <w:spacing w:val="-12"/>
        </w:rPr>
        <w:t> </w:t>
      </w:r>
      <w:r>
        <w:rPr>
          <w:color w:val="231F20"/>
          <w:spacing w:val="-2"/>
        </w:rPr>
        <w:t>particulier</w:t>
      </w:r>
      <w:r>
        <w:rPr>
          <w:color w:val="231F20"/>
          <w:spacing w:val="-12"/>
        </w:rPr>
        <w:t> </w:t>
      </w:r>
      <w:r>
        <w:rPr>
          <w:color w:val="231F20"/>
          <w:spacing w:val="-2"/>
        </w:rPr>
        <w:t>DHL,</w:t>
      </w:r>
      <w:r>
        <w:rPr>
          <w:color w:val="231F20"/>
          <w:spacing w:val="-12"/>
        </w:rPr>
        <w:t> </w:t>
      </w:r>
      <w:r>
        <w:rPr>
          <w:color w:val="231F20"/>
          <w:spacing w:val="-2"/>
        </w:rPr>
        <w:t>se</w:t>
      </w:r>
      <w:r>
        <w:rPr>
          <w:color w:val="231F20"/>
          <w:spacing w:val="-12"/>
        </w:rPr>
        <w:t> </w:t>
      </w:r>
      <w:r>
        <w:rPr>
          <w:color w:val="231F20"/>
          <w:spacing w:val="-2"/>
        </w:rPr>
        <w:t>heurtent </w:t>
      </w:r>
      <w:r>
        <w:rPr>
          <w:color w:val="231F20"/>
        </w:rPr>
        <w:t>toujours à de grandes difficultés. Les importateurs cubains doivent chercher </w:t>
      </w:r>
      <w:r>
        <w:rPr>
          <w:color w:val="231F20"/>
          <w:spacing w:val="-2"/>
        </w:rPr>
        <w:t>d’autres</w:t>
      </w:r>
      <w:r>
        <w:rPr>
          <w:color w:val="231F20"/>
          <w:spacing w:val="-14"/>
        </w:rPr>
        <w:t> </w:t>
      </w:r>
      <w:r>
        <w:rPr>
          <w:color w:val="231F20"/>
          <w:spacing w:val="-2"/>
        </w:rPr>
        <w:t>voies</w:t>
      </w:r>
      <w:r>
        <w:rPr>
          <w:color w:val="231F20"/>
          <w:spacing w:val="-14"/>
        </w:rPr>
        <w:t> </w:t>
      </w:r>
      <w:r>
        <w:rPr>
          <w:color w:val="231F20"/>
          <w:spacing w:val="-2"/>
        </w:rPr>
        <w:t>de</w:t>
      </w:r>
      <w:r>
        <w:rPr>
          <w:color w:val="231F20"/>
          <w:spacing w:val="-14"/>
        </w:rPr>
        <w:t> </w:t>
      </w:r>
      <w:r>
        <w:rPr>
          <w:color w:val="231F20"/>
          <w:spacing w:val="-2"/>
        </w:rPr>
        <w:t>réception</w:t>
      </w:r>
      <w:r>
        <w:rPr>
          <w:color w:val="231F20"/>
          <w:spacing w:val="-14"/>
        </w:rPr>
        <w:t> </w:t>
      </w:r>
      <w:r>
        <w:rPr>
          <w:color w:val="231F20"/>
          <w:spacing w:val="-2"/>
        </w:rPr>
        <w:t>des</w:t>
      </w:r>
      <w:r>
        <w:rPr>
          <w:color w:val="231F20"/>
          <w:spacing w:val="-14"/>
        </w:rPr>
        <w:t> </w:t>
      </w:r>
      <w:r>
        <w:rPr>
          <w:color w:val="231F20"/>
          <w:spacing w:val="-2"/>
        </w:rPr>
        <w:t>documents </w:t>
      </w:r>
      <w:r>
        <w:rPr>
          <w:color w:val="231F20"/>
        </w:rPr>
        <w:t>pour pouvoir réaliser les démarches douanières et extraire les marchandises du port, d’où des retards d’arrivée et de </w:t>
      </w:r>
      <w:r>
        <w:rPr>
          <w:color w:val="231F20"/>
          <w:spacing w:val="-2"/>
        </w:rPr>
        <w:t>distribution.</w:t>
      </w:r>
    </w:p>
    <w:p>
      <w:pPr>
        <w:spacing w:before="168"/>
        <w:ind w:left="1133" w:right="6347" w:firstLine="0"/>
        <w:jc w:val="both"/>
        <w:rPr>
          <w:i/>
          <w:sz w:val="24"/>
        </w:rPr>
      </w:pPr>
      <w:r>
        <w:rPr>
          <w:i/>
          <w:color w:val="231F20"/>
          <w:sz w:val="24"/>
        </w:rPr>
        <w:t>Depuis que l’administration étasunienne a</w:t>
      </w:r>
      <w:r>
        <w:rPr>
          <w:i/>
          <w:color w:val="231F20"/>
          <w:sz w:val="24"/>
        </w:rPr>
        <w:t> </w:t>
      </w:r>
      <w:r>
        <w:rPr>
          <w:i/>
          <w:color w:val="231F20"/>
          <w:spacing w:val="-12"/>
          <w:sz w:val="24"/>
        </w:rPr>
        <w:t>obligé</w:t>
      </w:r>
      <w:r>
        <w:rPr>
          <w:i/>
          <w:color w:val="231F20"/>
          <w:spacing w:val="-5"/>
          <w:sz w:val="24"/>
        </w:rPr>
        <w:t> </w:t>
      </w:r>
      <w:r>
        <w:rPr>
          <w:i/>
          <w:color w:val="231F20"/>
          <w:spacing w:val="-12"/>
          <w:sz w:val="24"/>
        </w:rPr>
        <w:t>la</w:t>
      </w:r>
      <w:r>
        <w:rPr>
          <w:i/>
          <w:color w:val="231F20"/>
          <w:spacing w:val="-4"/>
          <w:sz w:val="24"/>
        </w:rPr>
        <w:t> </w:t>
      </w:r>
      <w:r>
        <w:rPr>
          <w:i/>
          <w:color w:val="231F20"/>
          <w:spacing w:val="-12"/>
          <w:sz w:val="24"/>
        </w:rPr>
        <w:t>société</w:t>
      </w:r>
      <w:r>
        <w:rPr>
          <w:i/>
          <w:color w:val="231F20"/>
          <w:spacing w:val="-5"/>
          <w:sz w:val="24"/>
        </w:rPr>
        <w:t> </w:t>
      </w:r>
      <w:r>
        <w:rPr>
          <w:i/>
          <w:color w:val="231F20"/>
          <w:spacing w:val="-12"/>
          <w:sz w:val="24"/>
        </w:rPr>
        <w:t>Western</w:t>
      </w:r>
      <w:r>
        <w:rPr>
          <w:i/>
          <w:color w:val="231F20"/>
          <w:spacing w:val="-4"/>
          <w:sz w:val="24"/>
        </w:rPr>
        <w:t> </w:t>
      </w:r>
      <w:r>
        <w:rPr>
          <w:i/>
          <w:color w:val="231F20"/>
          <w:spacing w:val="-12"/>
          <w:sz w:val="24"/>
        </w:rPr>
        <w:t>Union</w:t>
      </w:r>
      <w:r>
        <w:rPr>
          <w:i/>
          <w:color w:val="231F20"/>
          <w:spacing w:val="-5"/>
          <w:sz w:val="24"/>
        </w:rPr>
        <w:t> </w:t>
      </w:r>
      <w:r>
        <w:rPr>
          <w:i/>
          <w:color w:val="231F20"/>
          <w:spacing w:val="-12"/>
          <w:sz w:val="24"/>
        </w:rPr>
        <w:t>à</w:t>
      </w:r>
      <w:r>
        <w:rPr>
          <w:i/>
          <w:color w:val="231F20"/>
          <w:spacing w:val="-4"/>
          <w:sz w:val="24"/>
        </w:rPr>
        <w:t> </w:t>
      </w:r>
      <w:r>
        <w:rPr>
          <w:i/>
          <w:color w:val="231F20"/>
          <w:spacing w:val="-12"/>
          <w:sz w:val="24"/>
        </w:rPr>
        <w:t>fermer</w:t>
      </w:r>
      <w:r>
        <w:rPr>
          <w:i/>
          <w:color w:val="231F20"/>
          <w:spacing w:val="-5"/>
          <w:sz w:val="24"/>
        </w:rPr>
        <w:t> </w:t>
      </w:r>
      <w:r>
        <w:rPr>
          <w:i/>
          <w:color w:val="231F20"/>
          <w:spacing w:val="-12"/>
          <w:sz w:val="24"/>
        </w:rPr>
        <w:t>toutes </w:t>
      </w:r>
      <w:r>
        <w:rPr>
          <w:i/>
          <w:color w:val="231F20"/>
          <w:spacing w:val="-8"/>
          <w:sz w:val="24"/>
        </w:rPr>
        <w:t>ses succursales à Cuba en novembre 2020, les </w:t>
      </w:r>
      <w:r>
        <w:rPr>
          <w:i/>
          <w:color w:val="231F20"/>
          <w:spacing w:val="-10"/>
          <w:sz w:val="24"/>
        </w:rPr>
        <w:t>envois</w:t>
      </w:r>
      <w:r>
        <w:rPr>
          <w:i/>
          <w:color w:val="231F20"/>
          <w:spacing w:val="-3"/>
          <w:sz w:val="24"/>
        </w:rPr>
        <w:t> </w:t>
      </w:r>
      <w:r>
        <w:rPr>
          <w:i/>
          <w:color w:val="231F20"/>
          <w:spacing w:val="-10"/>
          <w:sz w:val="24"/>
        </w:rPr>
        <w:t>de</w:t>
      </w:r>
      <w:r>
        <w:rPr>
          <w:i/>
          <w:color w:val="231F20"/>
          <w:spacing w:val="-3"/>
          <w:sz w:val="24"/>
        </w:rPr>
        <w:t> </w:t>
      </w:r>
      <w:r>
        <w:rPr>
          <w:i/>
          <w:color w:val="231F20"/>
          <w:spacing w:val="-10"/>
          <w:sz w:val="24"/>
        </w:rPr>
        <w:t>fonds</w:t>
      </w:r>
      <w:r>
        <w:rPr>
          <w:i/>
          <w:color w:val="231F20"/>
          <w:spacing w:val="-3"/>
          <w:sz w:val="24"/>
        </w:rPr>
        <w:t> </w:t>
      </w:r>
      <w:r>
        <w:rPr>
          <w:i/>
          <w:color w:val="231F20"/>
          <w:spacing w:val="-10"/>
          <w:sz w:val="24"/>
        </w:rPr>
        <w:t>familiaux</w:t>
      </w:r>
      <w:r>
        <w:rPr>
          <w:i/>
          <w:color w:val="231F20"/>
          <w:spacing w:val="-3"/>
          <w:sz w:val="24"/>
        </w:rPr>
        <w:t> </w:t>
      </w:r>
      <w:r>
        <w:rPr>
          <w:i/>
          <w:color w:val="231F20"/>
          <w:spacing w:val="-10"/>
          <w:sz w:val="24"/>
        </w:rPr>
        <w:t>depuis</w:t>
      </w:r>
      <w:r>
        <w:rPr>
          <w:i/>
          <w:color w:val="231F20"/>
          <w:spacing w:val="-3"/>
          <w:sz w:val="24"/>
        </w:rPr>
        <w:t> </w:t>
      </w:r>
      <w:r>
        <w:rPr>
          <w:i/>
          <w:color w:val="231F20"/>
          <w:spacing w:val="-10"/>
          <w:sz w:val="24"/>
        </w:rPr>
        <w:t>les</w:t>
      </w:r>
      <w:r>
        <w:rPr>
          <w:i/>
          <w:color w:val="231F20"/>
          <w:spacing w:val="-3"/>
          <w:sz w:val="24"/>
        </w:rPr>
        <w:t> </w:t>
      </w:r>
      <w:r>
        <w:rPr>
          <w:i/>
          <w:color w:val="231F20"/>
          <w:spacing w:val="-10"/>
          <w:sz w:val="24"/>
        </w:rPr>
        <w:t>États-Unis </w:t>
      </w:r>
      <w:r>
        <w:rPr>
          <w:i/>
          <w:color w:val="231F20"/>
          <w:sz w:val="24"/>
        </w:rPr>
        <w:t>se</w:t>
      </w:r>
      <w:r>
        <w:rPr>
          <w:i/>
          <w:color w:val="231F20"/>
          <w:spacing w:val="-1"/>
          <w:sz w:val="24"/>
        </w:rPr>
        <w:t> </w:t>
      </w:r>
      <w:r>
        <w:rPr>
          <w:i/>
          <w:color w:val="231F20"/>
          <w:sz w:val="24"/>
        </w:rPr>
        <w:t>heurtent</w:t>
      </w:r>
      <w:r>
        <w:rPr>
          <w:i/>
          <w:color w:val="231F20"/>
          <w:spacing w:val="-1"/>
          <w:sz w:val="24"/>
        </w:rPr>
        <w:t> </w:t>
      </w:r>
      <w:r>
        <w:rPr>
          <w:i/>
          <w:color w:val="231F20"/>
          <w:sz w:val="24"/>
        </w:rPr>
        <w:t>à</w:t>
      </w:r>
      <w:r>
        <w:rPr>
          <w:i/>
          <w:color w:val="231F20"/>
          <w:spacing w:val="-1"/>
          <w:sz w:val="24"/>
        </w:rPr>
        <w:t> </w:t>
      </w:r>
      <w:r>
        <w:rPr>
          <w:i/>
          <w:color w:val="231F20"/>
          <w:sz w:val="24"/>
        </w:rPr>
        <w:t>de</w:t>
      </w:r>
      <w:r>
        <w:rPr>
          <w:i/>
          <w:color w:val="231F20"/>
          <w:spacing w:val="-1"/>
          <w:sz w:val="24"/>
        </w:rPr>
        <w:t> </w:t>
      </w:r>
      <w:r>
        <w:rPr>
          <w:i/>
          <w:color w:val="231F20"/>
          <w:sz w:val="24"/>
        </w:rPr>
        <w:t>grosses</w:t>
      </w:r>
      <w:r>
        <w:rPr>
          <w:i/>
          <w:color w:val="231F20"/>
          <w:spacing w:val="-1"/>
          <w:sz w:val="24"/>
        </w:rPr>
        <w:t> </w:t>
      </w:r>
      <w:r>
        <w:rPr>
          <w:i/>
          <w:color w:val="231F20"/>
          <w:sz w:val="24"/>
        </w:rPr>
        <w:t>difficultés,</w:t>
      </w:r>
      <w:r>
        <w:rPr>
          <w:i/>
          <w:color w:val="231F20"/>
          <w:spacing w:val="-1"/>
          <w:sz w:val="24"/>
        </w:rPr>
        <w:t> </w:t>
      </w:r>
      <w:r>
        <w:rPr>
          <w:i/>
          <w:color w:val="231F20"/>
          <w:sz w:val="24"/>
        </w:rPr>
        <w:t>dans</w:t>
      </w:r>
      <w:r>
        <w:rPr>
          <w:i/>
          <w:color w:val="231F20"/>
          <w:spacing w:val="-1"/>
          <w:sz w:val="24"/>
        </w:rPr>
        <w:t> </w:t>
      </w:r>
      <w:r>
        <w:rPr>
          <w:i/>
          <w:color w:val="231F20"/>
          <w:sz w:val="24"/>
        </w:rPr>
        <w:t>la </w:t>
      </w:r>
      <w:r>
        <w:rPr>
          <w:i/>
          <w:color w:val="231F20"/>
          <w:spacing w:val="-10"/>
          <w:sz w:val="24"/>
        </w:rPr>
        <w:t>mesure</w:t>
      </w:r>
      <w:r>
        <w:rPr>
          <w:i/>
          <w:color w:val="231F20"/>
          <w:spacing w:val="-2"/>
          <w:sz w:val="24"/>
        </w:rPr>
        <w:t> </w:t>
      </w:r>
      <w:r>
        <w:rPr>
          <w:i/>
          <w:color w:val="231F20"/>
          <w:spacing w:val="-10"/>
          <w:sz w:val="24"/>
        </w:rPr>
        <w:t>où</w:t>
      </w:r>
      <w:r>
        <w:rPr>
          <w:i/>
          <w:color w:val="231F20"/>
          <w:spacing w:val="-2"/>
          <w:sz w:val="24"/>
        </w:rPr>
        <w:t> </w:t>
      </w:r>
      <w:r>
        <w:rPr>
          <w:i/>
          <w:color w:val="231F20"/>
          <w:spacing w:val="-10"/>
          <w:sz w:val="24"/>
        </w:rPr>
        <w:t>l’institution</w:t>
      </w:r>
      <w:r>
        <w:rPr>
          <w:i/>
          <w:color w:val="231F20"/>
          <w:spacing w:val="-2"/>
          <w:sz w:val="24"/>
        </w:rPr>
        <w:t> </w:t>
      </w:r>
      <w:r>
        <w:rPr>
          <w:i/>
          <w:color w:val="231F20"/>
          <w:spacing w:val="-10"/>
          <w:sz w:val="24"/>
        </w:rPr>
        <w:t>financière</w:t>
      </w:r>
      <w:r>
        <w:rPr>
          <w:i/>
          <w:color w:val="231F20"/>
          <w:spacing w:val="-2"/>
          <w:sz w:val="24"/>
        </w:rPr>
        <w:t> </w:t>
      </w:r>
      <w:r>
        <w:rPr>
          <w:i/>
          <w:color w:val="231F20"/>
          <w:spacing w:val="-10"/>
          <w:sz w:val="24"/>
        </w:rPr>
        <w:t>non</w:t>
      </w:r>
      <w:r>
        <w:rPr>
          <w:i/>
          <w:color w:val="231F20"/>
          <w:spacing w:val="-2"/>
          <w:sz w:val="24"/>
        </w:rPr>
        <w:t> </w:t>
      </w:r>
      <w:r>
        <w:rPr>
          <w:i/>
          <w:color w:val="231F20"/>
          <w:spacing w:val="-10"/>
          <w:sz w:val="24"/>
        </w:rPr>
        <w:t>bancaire </w:t>
      </w:r>
      <w:r>
        <w:rPr>
          <w:i/>
          <w:color w:val="231F20"/>
          <w:spacing w:val="-8"/>
          <w:sz w:val="24"/>
        </w:rPr>
        <w:t>cubaine Fincimex est en butte à des sanctions, </w:t>
      </w:r>
      <w:r>
        <w:rPr>
          <w:i/>
          <w:color w:val="231F20"/>
          <w:spacing w:val="-10"/>
          <w:sz w:val="24"/>
        </w:rPr>
        <w:t>au</w:t>
      </w:r>
      <w:r>
        <w:rPr>
          <w:i/>
          <w:color w:val="231F20"/>
          <w:spacing w:val="-4"/>
          <w:sz w:val="24"/>
        </w:rPr>
        <w:t> </w:t>
      </w:r>
      <w:r>
        <w:rPr>
          <w:i/>
          <w:color w:val="231F20"/>
          <w:spacing w:val="-10"/>
          <w:sz w:val="24"/>
        </w:rPr>
        <w:t>point</w:t>
      </w:r>
      <w:r>
        <w:rPr>
          <w:i/>
          <w:color w:val="231F20"/>
          <w:spacing w:val="-4"/>
          <w:sz w:val="24"/>
        </w:rPr>
        <w:t> </w:t>
      </w:r>
      <w:r>
        <w:rPr>
          <w:i/>
          <w:color w:val="231F20"/>
          <w:spacing w:val="-10"/>
          <w:sz w:val="24"/>
        </w:rPr>
        <w:t>qu’elle</w:t>
      </w:r>
      <w:r>
        <w:rPr>
          <w:i/>
          <w:color w:val="231F20"/>
          <w:spacing w:val="-4"/>
          <w:sz w:val="24"/>
        </w:rPr>
        <w:t> </w:t>
      </w:r>
      <w:r>
        <w:rPr>
          <w:i/>
          <w:color w:val="231F20"/>
          <w:spacing w:val="-10"/>
          <w:sz w:val="24"/>
        </w:rPr>
        <w:t>n’a</w:t>
      </w:r>
      <w:r>
        <w:rPr>
          <w:i/>
          <w:color w:val="231F20"/>
          <w:spacing w:val="-4"/>
          <w:sz w:val="24"/>
        </w:rPr>
        <w:t> </w:t>
      </w:r>
      <w:r>
        <w:rPr>
          <w:i/>
          <w:color w:val="231F20"/>
          <w:spacing w:val="-10"/>
          <w:sz w:val="24"/>
        </w:rPr>
        <w:t>pu</w:t>
      </w:r>
      <w:r>
        <w:rPr>
          <w:i/>
          <w:color w:val="231F20"/>
          <w:spacing w:val="-4"/>
          <w:sz w:val="24"/>
        </w:rPr>
        <w:t> </w:t>
      </w:r>
      <w:r>
        <w:rPr>
          <w:i/>
          <w:color w:val="231F20"/>
          <w:spacing w:val="-10"/>
          <w:sz w:val="24"/>
        </w:rPr>
        <w:t>gérer,</w:t>
      </w:r>
      <w:r>
        <w:rPr>
          <w:i/>
          <w:color w:val="231F20"/>
          <w:spacing w:val="-4"/>
          <w:sz w:val="24"/>
        </w:rPr>
        <w:t> </w:t>
      </w:r>
      <w:r>
        <w:rPr>
          <w:i/>
          <w:color w:val="231F20"/>
          <w:spacing w:val="-10"/>
          <w:sz w:val="24"/>
        </w:rPr>
        <w:t>durant</w:t>
      </w:r>
      <w:r>
        <w:rPr>
          <w:i/>
          <w:color w:val="231F20"/>
          <w:spacing w:val="-4"/>
          <w:sz w:val="24"/>
        </w:rPr>
        <w:t> </w:t>
      </w:r>
      <w:r>
        <w:rPr>
          <w:i/>
          <w:color w:val="231F20"/>
          <w:spacing w:val="-10"/>
          <w:sz w:val="24"/>
        </w:rPr>
        <w:t>la</w:t>
      </w:r>
      <w:r>
        <w:rPr>
          <w:i/>
          <w:color w:val="231F20"/>
          <w:spacing w:val="-4"/>
          <w:sz w:val="24"/>
        </w:rPr>
        <w:t> </w:t>
      </w:r>
      <w:r>
        <w:rPr>
          <w:i/>
          <w:color w:val="231F20"/>
          <w:spacing w:val="-10"/>
          <w:sz w:val="24"/>
        </w:rPr>
        <w:t>période analysée,</w:t>
      </w:r>
      <w:r>
        <w:rPr>
          <w:i/>
          <w:color w:val="231F20"/>
          <w:spacing w:val="-7"/>
          <w:sz w:val="24"/>
        </w:rPr>
        <w:t> </w:t>
      </w:r>
      <w:r>
        <w:rPr>
          <w:i/>
          <w:color w:val="231F20"/>
          <w:spacing w:val="-10"/>
          <w:sz w:val="24"/>
        </w:rPr>
        <w:t>environ</w:t>
      </w:r>
      <w:r>
        <w:rPr>
          <w:i/>
          <w:color w:val="231F20"/>
          <w:spacing w:val="-6"/>
          <w:sz w:val="24"/>
        </w:rPr>
        <w:t> </w:t>
      </w:r>
      <w:r>
        <w:rPr>
          <w:i/>
          <w:color w:val="231F20"/>
          <w:spacing w:val="-10"/>
          <w:sz w:val="24"/>
        </w:rPr>
        <w:t>651</w:t>
      </w:r>
      <w:r>
        <w:rPr>
          <w:i/>
          <w:color w:val="231F20"/>
          <w:spacing w:val="-7"/>
          <w:sz w:val="24"/>
        </w:rPr>
        <w:t> </w:t>
      </w:r>
      <w:r>
        <w:rPr>
          <w:i/>
          <w:color w:val="231F20"/>
          <w:spacing w:val="-10"/>
          <w:sz w:val="24"/>
        </w:rPr>
        <w:t>329</w:t>
      </w:r>
      <w:r>
        <w:rPr>
          <w:i/>
          <w:color w:val="231F20"/>
          <w:spacing w:val="-6"/>
          <w:sz w:val="24"/>
        </w:rPr>
        <w:t> </w:t>
      </w:r>
      <w:r>
        <w:rPr>
          <w:i/>
          <w:color w:val="231F20"/>
          <w:spacing w:val="-10"/>
          <w:sz w:val="24"/>
        </w:rPr>
        <w:t>080</w:t>
      </w:r>
      <w:r>
        <w:rPr>
          <w:i/>
          <w:color w:val="231F20"/>
          <w:spacing w:val="-7"/>
          <w:sz w:val="24"/>
        </w:rPr>
        <w:t> </w:t>
      </w:r>
      <w:r>
        <w:rPr>
          <w:i/>
          <w:color w:val="231F20"/>
          <w:spacing w:val="-10"/>
          <w:sz w:val="24"/>
        </w:rPr>
        <w:t>dollars</w:t>
      </w:r>
      <w:r>
        <w:rPr>
          <w:i/>
          <w:color w:val="231F20"/>
          <w:spacing w:val="-6"/>
          <w:sz w:val="24"/>
        </w:rPr>
        <w:t> </w:t>
      </w:r>
      <w:r>
        <w:rPr>
          <w:i/>
          <w:color w:val="231F20"/>
          <w:spacing w:val="-10"/>
          <w:sz w:val="24"/>
        </w:rPr>
        <w:t>de</w:t>
      </w:r>
      <w:r>
        <w:rPr>
          <w:i/>
          <w:color w:val="231F20"/>
          <w:spacing w:val="-7"/>
          <w:sz w:val="24"/>
        </w:rPr>
        <w:t> </w:t>
      </w:r>
      <w:r>
        <w:rPr>
          <w:i/>
          <w:color w:val="231F20"/>
          <w:spacing w:val="-10"/>
          <w:sz w:val="24"/>
        </w:rPr>
        <w:t>fonds </w:t>
      </w:r>
      <w:r>
        <w:rPr>
          <w:i/>
          <w:color w:val="231F20"/>
          <w:spacing w:val="-4"/>
          <w:sz w:val="24"/>
        </w:rPr>
        <w:t>familiaux,</w:t>
      </w:r>
      <w:r>
        <w:rPr>
          <w:i/>
          <w:color w:val="231F20"/>
          <w:spacing w:val="-13"/>
          <w:sz w:val="24"/>
        </w:rPr>
        <w:t> </w:t>
      </w:r>
      <w:r>
        <w:rPr>
          <w:i/>
          <w:color w:val="231F20"/>
          <w:spacing w:val="-4"/>
          <w:sz w:val="24"/>
        </w:rPr>
        <w:t>avec</w:t>
      </w:r>
      <w:r>
        <w:rPr>
          <w:i/>
          <w:color w:val="231F20"/>
          <w:spacing w:val="-12"/>
          <w:sz w:val="24"/>
        </w:rPr>
        <w:t> </w:t>
      </w:r>
      <w:r>
        <w:rPr>
          <w:i/>
          <w:color w:val="231F20"/>
          <w:spacing w:val="-4"/>
          <w:sz w:val="24"/>
        </w:rPr>
        <w:t>le</w:t>
      </w:r>
      <w:r>
        <w:rPr>
          <w:i/>
          <w:color w:val="231F20"/>
          <w:spacing w:val="-13"/>
          <w:sz w:val="24"/>
        </w:rPr>
        <w:t> </w:t>
      </w:r>
      <w:r>
        <w:rPr>
          <w:i/>
          <w:color w:val="231F20"/>
          <w:spacing w:val="-4"/>
          <w:sz w:val="24"/>
        </w:rPr>
        <w:t>manque</w:t>
      </w:r>
      <w:r>
        <w:rPr>
          <w:i/>
          <w:color w:val="231F20"/>
          <w:spacing w:val="-12"/>
          <w:sz w:val="24"/>
        </w:rPr>
        <w:t> </w:t>
      </w:r>
      <w:r>
        <w:rPr>
          <w:i/>
          <w:color w:val="231F20"/>
          <w:spacing w:val="-4"/>
          <w:sz w:val="24"/>
        </w:rPr>
        <w:t>à</w:t>
      </w:r>
      <w:r>
        <w:rPr>
          <w:i/>
          <w:color w:val="231F20"/>
          <w:spacing w:val="-13"/>
          <w:sz w:val="24"/>
        </w:rPr>
        <w:t> </w:t>
      </w:r>
      <w:r>
        <w:rPr>
          <w:i/>
          <w:color w:val="231F20"/>
          <w:spacing w:val="-4"/>
          <w:sz w:val="24"/>
        </w:rPr>
        <w:t>gagner</w:t>
      </w:r>
      <w:r>
        <w:rPr>
          <w:i/>
          <w:color w:val="231F20"/>
          <w:spacing w:val="-12"/>
          <w:sz w:val="24"/>
        </w:rPr>
        <w:t> </w:t>
      </w:r>
      <w:r>
        <w:rPr>
          <w:i/>
          <w:color w:val="231F20"/>
          <w:spacing w:val="-4"/>
          <w:sz w:val="24"/>
        </w:rPr>
        <w:t>que</w:t>
      </w:r>
      <w:r>
        <w:rPr>
          <w:i/>
          <w:color w:val="231F20"/>
          <w:spacing w:val="-13"/>
          <w:sz w:val="24"/>
        </w:rPr>
        <w:t> </w:t>
      </w:r>
      <w:r>
        <w:rPr>
          <w:i/>
          <w:color w:val="231F20"/>
          <w:spacing w:val="-4"/>
          <w:sz w:val="24"/>
        </w:rPr>
        <w:t>cela implique</w:t>
      </w:r>
      <w:r>
        <w:rPr>
          <w:i/>
          <w:color w:val="231F20"/>
          <w:spacing w:val="-19"/>
          <w:sz w:val="24"/>
        </w:rPr>
        <w:t> </w:t>
      </w:r>
      <w:r>
        <w:rPr>
          <w:i/>
          <w:color w:val="231F20"/>
          <w:spacing w:val="-4"/>
          <w:sz w:val="24"/>
        </w:rPr>
        <w:t>pour</w:t>
      </w:r>
      <w:r>
        <w:rPr>
          <w:i/>
          <w:color w:val="231F20"/>
          <w:spacing w:val="-19"/>
          <w:sz w:val="24"/>
        </w:rPr>
        <w:t> </w:t>
      </w:r>
      <w:r>
        <w:rPr>
          <w:i/>
          <w:color w:val="231F20"/>
          <w:spacing w:val="-4"/>
          <w:sz w:val="24"/>
        </w:rPr>
        <w:t>les</w:t>
      </w:r>
      <w:r>
        <w:rPr>
          <w:i/>
          <w:color w:val="231F20"/>
          <w:spacing w:val="-19"/>
          <w:sz w:val="24"/>
        </w:rPr>
        <w:t> </w:t>
      </w:r>
      <w:r>
        <w:rPr>
          <w:i/>
          <w:color w:val="231F20"/>
          <w:spacing w:val="-4"/>
          <w:sz w:val="24"/>
        </w:rPr>
        <w:t>familles</w:t>
      </w:r>
      <w:r>
        <w:rPr>
          <w:i/>
          <w:color w:val="231F20"/>
          <w:spacing w:val="-19"/>
          <w:sz w:val="24"/>
        </w:rPr>
        <w:t> </w:t>
      </w:r>
      <w:r>
        <w:rPr>
          <w:i/>
          <w:color w:val="231F20"/>
          <w:spacing w:val="-4"/>
          <w:sz w:val="24"/>
        </w:rPr>
        <w:t>cubaines.</w:t>
      </w:r>
    </w:p>
    <w:p>
      <w:pPr>
        <w:pStyle w:val="BodyText"/>
        <w:spacing w:before="168"/>
        <w:ind w:left="1133" w:right="6351"/>
      </w:pPr>
      <w:r>
        <w:rPr>
          <w:color w:val="231F20"/>
        </w:rPr>
        <w:t>De leur côté, les entités étasuniennes d’envois de fonds familiaux Va Cuba et </w:t>
      </w:r>
      <w:r>
        <w:rPr>
          <w:color w:val="231F20"/>
          <w:spacing w:val="-8"/>
        </w:rPr>
        <w:t>Cubamax ont dû opérer en-dessous de leurs </w:t>
      </w:r>
      <w:r>
        <w:rPr>
          <w:color w:val="231F20"/>
        </w:rPr>
        <w:t>capacités</w:t>
      </w:r>
      <w:r>
        <w:rPr>
          <w:color w:val="231F20"/>
          <w:spacing w:val="-8"/>
        </w:rPr>
        <w:t> </w:t>
      </w:r>
      <w:r>
        <w:rPr>
          <w:color w:val="231F20"/>
        </w:rPr>
        <w:t>:</w:t>
      </w:r>
      <w:r>
        <w:rPr>
          <w:color w:val="231F20"/>
          <w:spacing w:val="-8"/>
        </w:rPr>
        <w:t> </w:t>
      </w:r>
      <w:r>
        <w:rPr>
          <w:color w:val="231F20"/>
        </w:rPr>
        <w:t>Va</w:t>
      </w:r>
      <w:r>
        <w:rPr>
          <w:color w:val="231F20"/>
          <w:spacing w:val="-8"/>
        </w:rPr>
        <w:t> </w:t>
      </w:r>
      <w:r>
        <w:rPr>
          <w:color w:val="231F20"/>
        </w:rPr>
        <w:t>Cuba</w:t>
      </w:r>
      <w:r>
        <w:rPr>
          <w:color w:val="231F20"/>
          <w:spacing w:val="-8"/>
        </w:rPr>
        <w:t> </w:t>
      </w:r>
      <w:r>
        <w:rPr>
          <w:color w:val="231F20"/>
        </w:rPr>
        <w:t>n’a</w:t>
      </w:r>
      <w:r>
        <w:rPr>
          <w:color w:val="231F20"/>
          <w:spacing w:val="-8"/>
        </w:rPr>
        <w:t> </w:t>
      </w:r>
      <w:r>
        <w:rPr>
          <w:color w:val="231F20"/>
        </w:rPr>
        <w:t>pu</w:t>
      </w:r>
      <w:r>
        <w:rPr>
          <w:color w:val="231F20"/>
          <w:spacing w:val="-8"/>
        </w:rPr>
        <w:t> </w:t>
      </w:r>
      <w:r>
        <w:rPr>
          <w:color w:val="231F20"/>
        </w:rPr>
        <w:t>envoyer</w:t>
      </w:r>
      <w:r>
        <w:rPr>
          <w:color w:val="231F20"/>
          <w:spacing w:val="-8"/>
        </w:rPr>
        <w:t> </w:t>
      </w:r>
      <w:r>
        <w:rPr>
          <w:color w:val="231F20"/>
        </w:rPr>
        <w:t>21</w:t>
      </w:r>
      <w:r>
        <w:rPr>
          <w:color w:val="231F20"/>
          <w:spacing w:val="-8"/>
        </w:rPr>
        <w:t> </w:t>
      </w:r>
      <w:r>
        <w:rPr>
          <w:color w:val="231F20"/>
        </w:rPr>
        <w:t>981 060 dollars ; CUBAMAX a dû sous-traiter les virements bancaires et s’appuyer sur </w:t>
      </w:r>
      <w:r>
        <w:rPr>
          <w:color w:val="231F20"/>
          <w:spacing w:val="-2"/>
        </w:rPr>
        <w:t>d’autres</w:t>
      </w:r>
      <w:r>
        <w:rPr>
          <w:color w:val="231F20"/>
          <w:spacing w:val="-2"/>
        </w:rPr>
        <w:t> partenaires</w:t>
      </w:r>
      <w:r>
        <w:rPr>
          <w:color w:val="231F20"/>
          <w:spacing w:val="-2"/>
        </w:rPr>
        <w:t> commerciaux,</w:t>
      </w:r>
      <w:r>
        <w:rPr>
          <w:color w:val="231F20"/>
          <w:spacing w:val="-2"/>
        </w:rPr>
        <w:t> cessant </w:t>
      </w:r>
      <w:r>
        <w:rPr>
          <w:color w:val="231F20"/>
        </w:rPr>
        <w:t>de gérer 8 961 090 dollars.</w:t>
      </w:r>
    </w:p>
    <w:p>
      <w:pPr>
        <w:pStyle w:val="BodyText"/>
        <w:spacing w:before="206"/>
        <w:jc w:val="left"/>
        <w:rPr>
          <w:sz w:val="20"/>
        </w:rPr>
      </w:pPr>
      <w:r>
        <w:rPr/>
        <mc:AlternateContent>
          <mc:Choice Requires="wps">
            <w:drawing>
              <wp:anchor distT="0" distB="0" distL="0" distR="0" allowOverlap="1" layoutInCell="1" locked="0" behindDoc="1" simplePos="0" relativeHeight="487696896">
                <wp:simplePos x="0" y="0"/>
                <wp:positionH relativeFrom="page">
                  <wp:posOffset>2619006</wp:posOffset>
                </wp:positionH>
                <wp:positionV relativeFrom="paragraph">
                  <wp:posOffset>314969</wp:posOffset>
                </wp:positionV>
                <wp:extent cx="909319" cy="26034"/>
                <wp:effectExtent l="0" t="0" r="0" b="0"/>
                <wp:wrapTopAndBottom/>
                <wp:docPr id="503" name="Graphic 503"/>
                <wp:cNvGraphicFramePr>
                  <a:graphicFrameLocks/>
                </wp:cNvGraphicFramePr>
                <a:graphic>
                  <a:graphicData uri="http://schemas.microsoft.com/office/word/2010/wordprocessingShape">
                    <wps:wsp>
                      <wps:cNvPr id="503" name="Graphic 503"/>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206.220993pt;margin-top:24.800781pt;width:71.584pt;height:2.021pt;mso-position-horizontal-relative:page;mso-position-vertical-relative:paragraph;z-index:-15619584;mso-wrap-distance-left:0;mso-wrap-distance-right:0" id="docshape393"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sectPr>
      </w:pPr>
    </w:p>
    <w:p>
      <w:pPr>
        <w:pStyle w:val="BodyText"/>
        <w:spacing w:before="636"/>
        <w:jc w:val="left"/>
        <w:rPr>
          <w:sz w:val="56"/>
        </w:rPr>
      </w:pPr>
    </w:p>
    <w:p>
      <w:pPr>
        <w:pStyle w:val="Heading1"/>
        <w:spacing w:line="220" w:lineRule="auto" w:before="0"/>
        <w:ind w:left="1474" w:right="6550"/>
      </w:pPr>
      <w:r>
        <w:rPr/>
        <mc:AlternateContent>
          <mc:Choice Requires="wps">
            <w:drawing>
              <wp:anchor distT="0" distB="0" distL="0" distR="0" allowOverlap="1" layoutInCell="1" locked="0" behindDoc="1" simplePos="0" relativeHeight="485861888">
                <wp:simplePos x="0" y="0"/>
                <wp:positionH relativeFrom="page">
                  <wp:posOffset>840247</wp:posOffset>
                </wp:positionH>
                <wp:positionV relativeFrom="paragraph">
                  <wp:posOffset>-830592</wp:posOffset>
                </wp:positionV>
                <wp:extent cx="1205230" cy="1544955"/>
                <wp:effectExtent l="0" t="0" r="0" b="0"/>
                <wp:wrapNone/>
                <wp:docPr id="504" name="Textbox 504"/>
                <wp:cNvGraphicFramePr>
                  <a:graphicFrameLocks/>
                </wp:cNvGraphicFramePr>
                <a:graphic>
                  <a:graphicData uri="http://schemas.microsoft.com/office/word/2010/wordprocessingShape">
                    <wps:wsp>
                      <wps:cNvPr id="504" name="Textbox 504"/>
                      <wps:cNvSpPr txBox="1"/>
                      <wps:spPr>
                        <a:xfrm>
                          <a:off x="0" y="0"/>
                          <a:ext cx="1205230" cy="1544955"/>
                        </a:xfrm>
                        <a:prstGeom prst="rect">
                          <a:avLst/>
                        </a:prstGeom>
                      </wps:spPr>
                      <wps:txbx>
                        <w:txbxContent>
                          <w:p>
                            <w:pPr>
                              <w:spacing w:line="2432" w:lineRule="exact" w:before="0"/>
                              <w:ind w:left="0" w:right="0" w:firstLine="0"/>
                              <w:jc w:val="left"/>
                              <w:rPr>
                                <w:rFonts w:ascii="Arial"/>
                                <w:sz w:val="243"/>
                              </w:rPr>
                            </w:pPr>
                            <w:r>
                              <w:rPr>
                                <w:rFonts w:ascii="Arial"/>
                                <w:color w:val="B3B4CF"/>
                                <w:spacing w:val="-6"/>
                                <w:w w:val="124"/>
                                <w:sz w:val="243"/>
                              </w:rPr>
                              <w:t>0</w:t>
                            </w:r>
                            <w:r>
                              <w:rPr>
                                <w:rFonts w:ascii="Arial"/>
                                <w:color w:val="B3B4CF"/>
                                <w:spacing w:val="-1478"/>
                                <w:w w:val="116"/>
                                <w:sz w:val="243"/>
                              </w:rPr>
                              <w:t>4</w:t>
                            </w:r>
                          </w:p>
                        </w:txbxContent>
                      </wps:txbx>
                      <wps:bodyPr wrap="square" lIns="0" tIns="0" rIns="0" bIns="0" rtlCol="0">
                        <a:noAutofit/>
                      </wps:bodyPr>
                    </wps:wsp>
                  </a:graphicData>
                </a:graphic>
              </wp:anchor>
            </w:drawing>
          </mc:Choice>
          <mc:Fallback>
            <w:pict>
              <v:shape style="position:absolute;margin-left:66.161201pt;margin-top:-65.400978pt;width:94.9pt;height:121.65pt;mso-position-horizontal-relative:page;mso-position-vertical-relative:paragraph;z-index:-17454592" type="#_x0000_t202" id="docshape394" filled="false" stroked="false">
                <v:textbox inset="0,0,0,0">
                  <w:txbxContent>
                    <w:p>
                      <w:pPr>
                        <w:spacing w:line="2432" w:lineRule="exact" w:before="0"/>
                        <w:ind w:left="0" w:right="0" w:firstLine="0"/>
                        <w:jc w:val="left"/>
                        <w:rPr>
                          <w:rFonts w:ascii="Arial"/>
                          <w:sz w:val="243"/>
                        </w:rPr>
                      </w:pPr>
                      <w:r>
                        <w:rPr>
                          <w:rFonts w:ascii="Arial"/>
                          <w:color w:val="B3B4CF"/>
                          <w:spacing w:val="-6"/>
                          <w:w w:val="124"/>
                          <w:sz w:val="243"/>
                        </w:rPr>
                        <w:t>0</w:t>
                      </w:r>
                      <w:r>
                        <w:rPr>
                          <w:rFonts w:ascii="Arial"/>
                          <w:color w:val="B3B4CF"/>
                          <w:spacing w:val="-1478"/>
                          <w:w w:val="116"/>
                          <w:sz w:val="243"/>
                        </w:rPr>
                        <w:t>4</w:t>
                      </w:r>
                    </w:p>
                  </w:txbxContent>
                </v:textbox>
                <w10:wrap type="none"/>
              </v:shape>
            </w:pict>
          </mc:Fallback>
        </mc:AlternateContent>
      </w:r>
      <w:r>
        <w:rPr>
          <w:color w:val="B52628"/>
          <w:w w:val="110"/>
        </w:rPr>
        <w:t>Le blocus viole le droit </w:t>
      </w:r>
      <w:r>
        <w:rPr>
          <w:color w:val="B52628"/>
          <w:spacing w:val="-2"/>
          <w:w w:val="110"/>
        </w:rPr>
        <w:t>international.</w:t>
      </w:r>
    </w:p>
    <w:p>
      <w:pPr>
        <w:spacing w:line="220" w:lineRule="auto" w:before="5"/>
        <w:ind w:left="1474" w:right="5894" w:firstLine="0"/>
        <w:jc w:val="left"/>
        <w:rPr>
          <w:rFonts w:ascii="Trebuchet MS"/>
          <w:sz w:val="56"/>
        </w:rPr>
      </w:pPr>
      <w:r>
        <w:rPr>
          <w:rFonts w:ascii="Trebuchet MS"/>
          <w:color w:val="B52628"/>
          <w:spacing w:val="-2"/>
          <w:w w:val="115"/>
          <w:sz w:val="56"/>
        </w:rPr>
        <w:t>Application </w:t>
      </w:r>
      <w:r>
        <w:rPr>
          <w:rFonts w:ascii="Trebuchet MS"/>
          <w:color w:val="B52628"/>
          <w:spacing w:val="-2"/>
          <w:w w:val="110"/>
          <w:sz w:val="56"/>
        </w:rPr>
        <w:t>extraterritoriale</w:t>
      </w:r>
    </w:p>
    <w:p>
      <w:pPr>
        <w:pStyle w:val="BodyText"/>
        <w:spacing w:before="143"/>
        <w:jc w:val="left"/>
        <w:rPr>
          <w:rFonts w:ascii="Trebuchet MS"/>
          <w:sz w:val="20"/>
        </w:rPr>
      </w:pPr>
      <w:r>
        <w:rPr/>
        <mc:AlternateContent>
          <mc:Choice Requires="wps">
            <w:drawing>
              <wp:anchor distT="0" distB="0" distL="0" distR="0" allowOverlap="1" layoutInCell="1" locked="0" behindDoc="1" simplePos="0" relativeHeight="487697408">
                <wp:simplePos x="0" y="0"/>
                <wp:positionH relativeFrom="page">
                  <wp:posOffset>936002</wp:posOffset>
                </wp:positionH>
                <wp:positionV relativeFrom="paragraph">
                  <wp:posOffset>253630</wp:posOffset>
                </wp:positionV>
                <wp:extent cx="909319" cy="26034"/>
                <wp:effectExtent l="0" t="0" r="0" b="0"/>
                <wp:wrapTopAndBottom/>
                <wp:docPr id="505" name="Graphic 505"/>
                <wp:cNvGraphicFramePr>
                  <a:graphicFrameLocks/>
                </wp:cNvGraphicFramePr>
                <a:graphic>
                  <a:graphicData uri="http://schemas.microsoft.com/office/word/2010/wordprocessingShape">
                    <wps:wsp>
                      <wps:cNvPr id="505" name="Graphic 505"/>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73.700996pt;margin-top:19.970905pt;width:71.584pt;height:2.021pt;mso-position-horizontal-relative:page;mso-position-vertical-relative:paragraph;z-index:-15619072;mso-wrap-distance-left:0;mso-wrap-distance-right:0" id="docshape395" filled="true" fillcolor="#1f4282" stroked="false">
                <v:fill type="solid"/>
                <w10:wrap type="topAndBottom"/>
              </v:rect>
            </w:pict>
          </mc:Fallback>
        </mc:AlternateContent>
      </w:r>
    </w:p>
    <w:p>
      <w:pPr>
        <w:pStyle w:val="BodyText"/>
        <w:spacing w:before="48"/>
        <w:jc w:val="left"/>
        <w:rPr>
          <w:rFonts w:ascii="Trebuchet MS"/>
          <w:sz w:val="20"/>
        </w:rPr>
      </w:pPr>
    </w:p>
    <w:p>
      <w:pPr>
        <w:spacing w:after="0"/>
        <w:jc w:val="left"/>
        <w:rPr>
          <w:rFonts w:ascii="Trebuchet MS"/>
          <w:sz w:val="20"/>
        </w:rPr>
        <w:sectPr>
          <w:pgSz w:w="11910" w:h="16840"/>
          <w:pgMar w:header="0" w:footer="695" w:top="780" w:bottom="880" w:left="0" w:right="0"/>
        </w:sectPr>
      </w:pPr>
    </w:p>
    <w:p>
      <w:pPr>
        <w:pStyle w:val="Heading2"/>
        <w:spacing w:line="211" w:lineRule="auto" w:before="134"/>
        <w:ind w:left="1474" w:right="57"/>
        <w:jc w:val="both"/>
      </w:pPr>
      <w:r>
        <w:rPr>
          <w:color w:val="1F4282"/>
          <w:w w:val="110"/>
        </w:rPr>
        <w:t>Préjudices causés à des </w:t>
      </w:r>
      <w:r>
        <w:rPr>
          <w:color w:val="1F4282"/>
          <w:w w:val="110"/>
        </w:rPr>
        <w:t>entités </w:t>
      </w:r>
      <w:r>
        <w:rPr>
          <w:color w:val="1F4282"/>
          <w:w w:val="115"/>
        </w:rPr>
        <w:t>de droit cubaines</w:t>
      </w:r>
    </w:p>
    <w:p>
      <w:pPr>
        <w:pStyle w:val="BodyText"/>
        <w:spacing w:before="208"/>
        <w:ind w:left="1474" w:right="4"/>
      </w:pPr>
      <w:r>
        <w:rPr>
          <w:b/>
          <w:color w:val="B52628"/>
          <w:spacing w:val="-4"/>
        </w:rPr>
        <w:t>Mai</w:t>
      </w:r>
      <w:r>
        <w:rPr>
          <w:b/>
          <w:color w:val="B52628"/>
          <w:spacing w:val="-11"/>
        </w:rPr>
        <w:t> </w:t>
      </w:r>
      <w:r>
        <w:rPr>
          <w:b/>
          <w:color w:val="B52628"/>
          <w:spacing w:val="-4"/>
        </w:rPr>
        <w:t>2022.</w:t>
      </w:r>
      <w:r>
        <w:rPr>
          <w:b/>
          <w:color w:val="B52628"/>
          <w:spacing w:val="-11"/>
        </w:rPr>
        <w:t> </w:t>
      </w:r>
      <w:r>
        <w:rPr>
          <w:color w:val="231F20"/>
          <w:spacing w:val="-4"/>
        </w:rPr>
        <w:t>YPF,</w:t>
      </w:r>
      <w:r>
        <w:rPr>
          <w:color w:val="231F20"/>
          <w:spacing w:val="-11"/>
        </w:rPr>
        <w:t> </w:t>
      </w:r>
      <w:r>
        <w:rPr>
          <w:color w:val="231F20"/>
          <w:spacing w:val="-4"/>
        </w:rPr>
        <w:t>la</w:t>
      </w:r>
      <w:r>
        <w:rPr>
          <w:color w:val="231F20"/>
          <w:spacing w:val="-11"/>
        </w:rPr>
        <w:t> </w:t>
      </w:r>
      <w:r>
        <w:rPr>
          <w:color w:val="231F20"/>
          <w:spacing w:val="-4"/>
        </w:rPr>
        <w:t>compagnie</w:t>
      </w:r>
      <w:r>
        <w:rPr>
          <w:color w:val="231F20"/>
          <w:spacing w:val="-11"/>
        </w:rPr>
        <w:t> </w:t>
      </w:r>
      <w:r>
        <w:rPr>
          <w:color w:val="231F20"/>
          <w:spacing w:val="-4"/>
        </w:rPr>
        <w:t>argentine</w:t>
      </w:r>
      <w:r>
        <w:rPr>
          <w:color w:val="231F20"/>
          <w:spacing w:val="-11"/>
        </w:rPr>
        <w:t> </w:t>
      </w:r>
      <w:r>
        <w:rPr>
          <w:color w:val="231F20"/>
          <w:spacing w:val="-4"/>
        </w:rPr>
        <w:t>qui </w:t>
      </w:r>
      <w:r>
        <w:rPr>
          <w:color w:val="231F20"/>
          <w:spacing w:val="-2"/>
        </w:rPr>
        <w:t>fournit</w:t>
      </w:r>
      <w:r>
        <w:rPr>
          <w:color w:val="231F20"/>
          <w:spacing w:val="-15"/>
        </w:rPr>
        <w:t> </w:t>
      </w:r>
      <w:r>
        <w:rPr>
          <w:color w:val="231F20"/>
          <w:spacing w:val="-2"/>
        </w:rPr>
        <w:t>du</w:t>
      </w:r>
      <w:r>
        <w:rPr>
          <w:color w:val="231F20"/>
          <w:spacing w:val="-14"/>
        </w:rPr>
        <w:t> </w:t>
      </w:r>
      <w:r>
        <w:rPr>
          <w:color w:val="231F20"/>
          <w:spacing w:val="-2"/>
        </w:rPr>
        <w:t>carburant</w:t>
      </w:r>
      <w:r>
        <w:rPr>
          <w:color w:val="231F20"/>
          <w:spacing w:val="-15"/>
        </w:rPr>
        <w:t> </w:t>
      </w:r>
      <w:r>
        <w:rPr>
          <w:color w:val="231F20"/>
          <w:spacing w:val="-2"/>
        </w:rPr>
        <w:t>à</w:t>
      </w:r>
      <w:r>
        <w:rPr>
          <w:color w:val="231F20"/>
          <w:spacing w:val="-14"/>
        </w:rPr>
        <w:t> </w:t>
      </w:r>
      <w:r>
        <w:rPr>
          <w:color w:val="231F20"/>
          <w:spacing w:val="-2"/>
        </w:rPr>
        <w:t>Cubana</w:t>
      </w:r>
      <w:r>
        <w:rPr>
          <w:color w:val="231F20"/>
          <w:spacing w:val="-15"/>
        </w:rPr>
        <w:t> </w:t>
      </w:r>
      <w:r>
        <w:rPr>
          <w:color w:val="231F20"/>
          <w:spacing w:val="-2"/>
        </w:rPr>
        <w:t>de</w:t>
      </w:r>
      <w:r>
        <w:rPr>
          <w:color w:val="231F20"/>
          <w:spacing w:val="-14"/>
        </w:rPr>
        <w:t> </w:t>
      </w:r>
      <w:r>
        <w:rPr>
          <w:color w:val="231F20"/>
          <w:spacing w:val="-2"/>
        </w:rPr>
        <w:t>Aviación, </w:t>
      </w:r>
      <w:r>
        <w:rPr>
          <w:color w:val="231F20"/>
          <w:spacing w:val="-6"/>
        </w:rPr>
        <w:t>informe</w:t>
      </w:r>
      <w:r>
        <w:rPr>
          <w:color w:val="231F20"/>
          <w:spacing w:val="-7"/>
        </w:rPr>
        <w:t> </w:t>
      </w:r>
      <w:r>
        <w:rPr>
          <w:color w:val="231F20"/>
          <w:spacing w:val="-6"/>
        </w:rPr>
        <w:t>qu’elle</w:t>
      </w:r>
      <w:r>
        <w:rPr>
          <w:color w:val="231F20"/>
          <w:spacing w:val="-7"/>
        </w:rPr>
        <w:t> </w:t>
      </w:r>
      <w:r>
        <w:rPr>
          <w:color w:val="231F20"/>
          <w:spacing w:val="-6"/>
        </w:rPr>
        <w:t>cessera</w:t>
      </w:r>
      <w:r>
        <w:rPr>
          <w:color w:val="231F20"/>
          <w:spacing w:val="-7"/>
        </w:rPr>
        <w:t> </w:t>
      </w:r>
      <w:r>
        <w:rPr>
          <w:color w:val="231F20"/>
          <w:spacing w:val="-6"/>
        </w:rPr>
        <w:t>de</w:t>
      </w:r>
      <w:r>
        <w:rPr>
          <w:color w:val="231F20"/>
          <w:spacing w:val="-7"/>
        </w:rPr>
        <w:t> </w:t>
      </w:r>
      <w:r>
        <w:rPr>
          <w:color w:val="231F20"/>
          <w:spacing w:val="-6"/>
        </w:rPr>
        <w:t>le</w:t>
      </w:r>
      <w:r>
        <w:rPr>
          <w:color w:val="231F20"/>
          <w:spacing w:val="-7"/>
        </w:rPr>
        <w:t> </w:t>
      </w:r>
      <w:r>
        <w:rPr>
          <w:color w:val="231F20"/>
          <w:spacing w:val="-6"/>
        </w:rPr>
        <w:t>faire</w:t>
      </w:r>
      <w:r>
        <w:rPr>
          <w:color w:val="231F20"/>
          <w:spacing w:val="-7"/>
        </w:rPr>
        <w:t> </w:t>
      </w:r>
      <w:r>
        <w:rPr>
          <w:color w:val="231F20"/>
          <w:spacing w:val="-6"/>
        </w:rPr>
        <w:t>parce</w:t>
      </w:r>
      <w:r>
        <w:rPr>
          <w:color w:val="231F20"/>
          <w:spacing w:val="-7"/>
        </w:rPr>
        <w:t> </w:t>
      </w:r>
      <w:r>
        <w:rPr>
          <w:color w:val="231F20"/>
          <w:spacing w:val="-6"/>
        </w:rPr>
        <w:t>que la</w:t>
      </w:r>
      <w:r>
        <w:rPr>
          <w:color w:val="231F20"/>
          <w:spacing w:val="-11"/>
        </w:rPr>
        <w:t> </w:t>
      </w:r>
      <w:r>
        <w:rPr>
          <w:color w:val="231F20"/>
          <w:spacing w:val="-6"/>
        </w:rPr>
        <w:t>banque</w:t>
      </w:r>
      <w:r>
        <w:rPr>
          <w:color w:val="231F20"/>
          <w:spacing w:val="-10"/>
        </w:rPr>
        <w:t> </w:t>
      </w:r>
      <w:r>
        <w:rPr>
          <w:color w:val="231F20"/>
          <w:spacing w:val="-6"/>
        </w:rPr>
        <w:t>espagnole</w:t>
      </w:r>
      <w:r>
        <w:rPr>
          <w:color w:val="231F20"/>
          <w:spacing w:val="-11"/>
        </w:rPr>
        <w:t> </w:t>
      </w:r>
      <w:r>
        <w:rPr>
          <w:color w:val="231F20"/>
          <w:spacing w:val="-6"/>
        </w:rPr>
        <w:t>Santander</w:t>
      </w:r>
      <w:r>
        <w:rPr>
          <w:color w:val="231F20"/>
          <w:spacing w:val="-10"/>
        </w:rPr>
        <w:t> </w:t>
      </w:r>
      <w:r>
        <w:rPr>
          <w:color w:val="231F20"/>
          <w:spacing w:val="-6"/>
        </w:rPr>
        <w:t>qui</w:t>
      </w:r>
      <w:r>
        <w:rPr>
          <w:color w:val="231F20"/>
          <w:spacing w:val="-11"/>
        </w:rPr>
        <w:t> </w:t>
      </w:r>
      <w:r>
        <w:rPr>
          <w:color w:val="231F20"/>
          <w:spacing w:val="-6"/>
        </w:rPr>
        <w:t>gère</w:t>
      </w:r>
      <w:r>
        <w:rPr>
          <w:color w:val="231F20"/>
          <w:spacing w:val="-10"/>
        </w:rPr>
        <w:t> </w:t>
      </w:r>
      <w:r>
        <w:rPr>
          <w:color w:val="231F20"/>
          <w:spacing w:val="-6"/>
        </w:rPr>
        <w:t>ses </w:t>
      </w:r>
      <w:r>
        <w:rPr>
          <w:color w:val="231F20"/>
          <w:spacing w:val="-8"/>
        </w:rPr>
        <w:t>comptes refuse d’accepter des paiements en provenance</w:t>
      </w:r>
      <w:r>
        <w:rPr>
          <w:color w:val="231F20"/>
          <w:spacing w:val="-13"/>
        </w:rPr>
        <w:t> </w:t>
      </w:r>
      <w:r>
        <w:rPr>
          <w:color w:val="231F20"/>
          <w:spacing w:val="-8"/>
        </w:rPr>
        <w:t>d’un</w:t>
      </w:r>
      <w:r>
        <w:rPr>
          <w:color w:val="231F20"/>
          <w:spacing w:val="-13"/>
        </w:rPr>
        <w:t> </w:t>
      </w:r>
      <w:r>
        <w:rPr>
          <w:color w:val="231F20"/>
          <w:spacing w:val="-8"/>
        </w:rPr>
        <w:t>pays</w:t>
      </w:r>
      <w:r>
        <w:rPr>
          <w:color w:val="231F20"/>
          <w:spacing w:val="-13"/>
        </w:rPr>
        <w:t> </w:t>
      </w:r>
      <w:r>
        <w:rPr>
          <w:color w:val="231F20"/>
          <w:spacing w:val="-8"/>
        </w:rPr>
        <w:t>sanctionné</w:t>
      </w:r>
      <w:r>
        <w:rPr>
          <w:color w:val="231F20"/>
          <w:spacing w:val="-13"/>
        </w:rPr>
        <w:t> </w:t>
      </w:r>
      <w:r>
        <w:rPr>
          <w:color w:val="231F20"/>
          <w:spacing w:val="-8"/>
        </w:rPr>
        <w:t>par</w:t>
      </w:r>
      <w:r>
        <w:rPr>
          <w:color w:val="231F20"/>
          <w:spacing w:val="-13"/>
        </w:rPr>
        <w:t> </w:t>
      </w:r>
      <w:r>
        <w:rPr>
          <w:color w:val="231F20"/>
          <w:spacing w:val="-9"/>
        </w:rPr>
        <w:t>l’OFAC.</w:t>
      </w:r>
    </w:p>
    <w:p>
      <w:pPr>
        <w:pStyle w:val="BodyText"/>
        <w:spacing w:before="165"/>
        <w:ind w:left="1474"/>
      </w:pPr>
      <w:r>
        <w:rPr>
          <w:b/>
          <w:color w:val="B52628"/>
        </w:rPr>
        <w:t>2022. </w:t>
      </w:r>
      <w:r>
        <w:rPr>
          <w:color w:val="231F20"/>
        </w:rPr>
        <w:t>La Société marocaine du tabac, distributrice exclusive des havanes, n’a</w:t>
      </w:r>
      <w:r>
        <w:rPr>
          <w:color w:val="231F20"/>
          <w:spacing w:val="80"/>
        </w:rPr>
        <w:t> </w:t>
      </w:r>
      <w:r>
        <w:rPr>
          <w:color w:val="231F20"/>
        </w:rPr>
        <w:t>pu</w:t>
      </w:r>
      <w:r>
        <w:rPr>
          <w:color w:val="231F20"/>
          <w:spacing w:val="40"/>
        </w:rPr>
        <w:t> </w:t>
      </w:r>
      <w:r>
        <w:rPr>
          <w:color w:val="231F20"/>
        </w:rPr>
        <w:t>payer</w:t>
      </w:r>
      <w:r>
        <w:rPr>
          <w:color w:val="231F20"/>
          <w:spacing w:val="40"/>
        </w:rPr>
        <w:t> </w:t>
      </w:r>
      <w:r>
        <w:rPr>
          <w:color w:val="231F20"/>
        </w:rPr>
        <w:t>la</w:t>
      </w:r>
      <w:r>
        <w:rPr>
          <w:color w:val="231F20"/>
          <w:spacing w:val="40"/>
        </w:rPr>
        <w:t> </w:t>
      </w:r>
      <w:r>
        <w:rPr>
          <w:color w:val="231F20"/>
        </w:rPr>
        <w:t>partie</w:t>
      </w:r>
      <w:r>
        <w:rPr>
          <w:color w:val="231F20"/>
          <w:spacing w:val="40"/>
        </w:rPr>
        <w:t> </w:t>
      </w:r>
      <w:r>
        <w:rPr>
          <w:color w:val="231F20"/>
        </w:rPr>
        <w:t>cubaine</w:t>
      </w:r>
      <w:r>
        <w:rPr>
          <w:color w:val="231F20"/>
          <w:spacing w:val="40"/>
        </w:rPr>
        <w:t> </w:t>
      </w:r>
      <w:r>
        <w:rPr>
          <w:color w:val="231F20"/>
        </w:rPr>
        <w:t>parce</w:t>
      </w:r>
      <w:r>
        <w:rPr>
          <w:color w:val="231F20"/>
          <w:spacing w:val="40"/>
        </w:rPr>
        <w:t> </w:t>
      </w:r>
      <w:r>
        <w:rPr>
          <w:color w:val="231F20"/>
        </w:rPr>
        <w:t>que</w:t>
      </w:r>
      <w:r>
        <w:rPr>
          <w:color w:val="231F20"/>
          <w:spacing w:val="40"/>
        </w:rPr>
        <w:t> </w:t>
      </w:r>
      <w:r>
        <w:rPr>
          <w:color w:val="231F20"/>
        </w:rPr>
        <w:t>les banques intermédiaires refusent de prendre en charge les virements à Cuba, les principaux acteurs marocains lésés étant les établissements commerciaux « Casa</w:t>
      </w:r>
      <w:r>
        <w:rPr>
          <w:color w:val="231F20"/>
          <w:spacing w:val="-4"/>
        </w:rPr>
        <w:t> </w:t>
      </w:r>
      <w:r>
        <w:rPr>
          <w:color w:val="231F20"/>
        </w:rPr>
        <w:t>del</w:t>
      </w:r>
      <w:r>
        <w:rPr>
          <w:color w:val="231F20"/>
          <w:spacing w:val="-4"/>
        </w:rPr>
        <w:t> </w:t>
      </w:r>
      <w:r>
        <w:rPr>
          <w:color w:val="231F20"/>
        </w:rPr>
        <w:t>Habano</w:t>
      </w:r>
      <w:r>
        <w:rPr>
          <w:color w:val="231F20"/>
          <w:spacing w:val="-4"/>
        </w:rPr>
        <w:t> </w:t>
      </w:r>
      <w:r>
        <w:rPr>
          <w:color w:val="231F20"/>
        </w:rPr>
        <w:t>»</w:t>
      </w:r>
      <w:r>
        <w:rPr>
          <w:color w:val="231F20"/>
          <w:spacing w:val="-4"/>
        </w:rPr>
        <w:t> </w:t>
      </w:r>
      <w:r>
        <w:rPr>
          <w:color w:val="231F20"/>
        </w:rPr>
        <w:t>à</w:t>
      </w:r>
      <w:r>
        <w:rPr>
          <w:color w:val="231F20"/>
          <w:spacing w:val="-4"/>
        </w:rPr>
        <w:t> </w:t>
      </w:r>
      <w:r>
        <w:rPr>
          <w:color w:val="231F20"/>
        </w:rPr>
        <w:t>Rabat,</w:t>
      </w:r>
      <w:r>
        <w:rPr>
          <w:color w:val="231F20"/>
          <w:spacing w:val="-4"/>
        </w:rPr>
        <w:t> </w:t>
      </w:r>
      <w:r>
        <w:rPr>
          <w:color w:val="231F20"/>
        </w:rPr>
        <w:t>Casablanca</w:t>
      </w:r>
      <w:r>
        <w:rPr>
          <w:color w:val="231F20"/>
          <w:spacing w:val="-4"/>
        </w:rPr>
        <w:t> </w:t>
      </w:r>
      <w:r>
        <w:rPr>
          <w:color w:val="231F20"/>
        </w:rPr>
        <w:t>et Marrakech (celui-ci sur le point d’ouvrir). Comme</w:t>
      </w:r>
      <w:r>
        <w:rPr>
          <w:color w:val="231F20"/>
          <w:spacing w:val="-17"/>
        </w:rPr>
        <w:t> </w:t>
      </w:r>
      <w:r>
        <w:rPr>
          <w:color w:val="231F20"/>
        </w:rPr>
        <w:t>ils</w:t>
      </w:r>
      <w:r>
        <w:rPr>
          <w:color w:val="231F20"/>
          <w:spacing w:val="-16"/>
        </w:rPr>
        <w:t> </w:t>
      </w:r>
      <w:r>
        <w:rPr>
          <w:color w:val="231F20"/>
        </w:rPr>
        <w:t>dépendent</w:t>
      </w:r>
      <w:r>
        <w:rPr>
          <w:color w:val="231F20"/>
          <w:spacing w:val="-17"/>
        </w:rPr>
        <w:t> </w:t>
      </w:r>
      <w:r>
        <w:rPr>
          <w:color w:val="231F20"/>
        </w:rPr>
        <w:t>exclusivement</w:t>
      </w:r>
      <w:r>
        <w:rPr>
          <w:color w:val="231F20"/>
          <w:spacing w:val="-16"/>
        </w:rPr>
        <w:t> </w:t>
      </w:r>
      <w:r>
        <w:rPr>
          <w:color w:val="231F20"/>
        </w:rPr>
        <w:t>de</w:t>
      </w:r>
      <w:r>
        <w:rPr>
          <w:color w:val="231F20"/>
          <w:spacing w:val="-17"/>
        </w:rPr>
        <w:t> </w:t>
      </w:r>
      <w:r>
        <w:rPr>
          <w:color w:val="231F20"/>
        </w:rPr>
        <w:t>la </w:t>
      </w:r>
      <w:r>
        <w:rPr>
          <w:color w:val="231F20"/>
          <w:spacing w:val="-4"/>
        </w:rPr>
        <w:t>vente</w:t>
      </w:r>
      <w:r>
        <w:rPr>
          <w:color w:val="231F20"/>
          <w:spacing w:val="-13"/>
        </w:rPr>
        <w:t> </w:t>
      </w:r>
      <w:r>
        <w:rPr>
          <w:color w:val="231F20"/>
          <w:spacing w:val="-4"/>
        </w:rPr>
        <w:t>de</w:t>
      </w:r>
      <w:r>
        <w:rPr>
          <w:color w:val="231F20"/>
          <w:spacing w:val="-12"/>
        </w:rPr>
        <w:t> </w:t>
      </w:r>
      <w:r>
        <w:rPr>
          <w:color w:val="231F20"/>
          <w:spacing w:val="-4"/>
        </w:rPr>
        <w:t>cigares</w:t>
      </w:r>
      <w:r>
        <w:rPr>
          <w:color w:val="231F20"/>
          <w:spacing w:val="-13"/>
        </w:rPr>
        <w:t> </w:t>
      </w:r>
      <w:r>
        <w:rPr>
          <w:color w:val="231F20"/>
          <w:spacing w:val="-4"/>
        </w:rPr>
        <w:t>cubains,</w:t>
      </w:r>
      <w:r>
        <w:rPr>
          <w:color w:val="231F20"/>
          <w:spacing w:val="-12"/>
        </w:rPr>
        <w:t> </w:t>
      </w:r>
      <w:r>
        <w:rPr>
          <w:color w:val="231F20"/>
          <w:spacing w:val="-4"/>
        </w:rPr>
        <w:t>cela</w:t>
      </w:r>
      <w:r>
        <w:rPr>
          <w:color w:val="231F20"/>
          <w:spacing w:val="-13"/>
        </w:rPr>
        <w:t> </w:t>
      </w:r>
      <w:r>
        <w:rPr>
          <w:color w:val="231F20"/>
          <w:spacing w:val="-4"/>
        </w:rPr>
        <w:t>entraîne</w:t>
      </w:r>
      <w:r>
        <w:rPr>
          <w:color w:val="231F20"/>
          <w:spacing w:val="-12"/>
        </w:rPr>
        <w:t> </w:t>
      </w:r>
      <w:r>
        <w:rPr>
          <w:color w:val="231F20"/>
          <w:spacing w:val="-4"/>
        </w:rPr>
        <w:t>pour </w:t>
      </w:r>
      <w:r>
        <w:rPr>
          <w:color w:val="231F20"/>
        </w:rPr>
        <w:t>eux</w:t>
      </w:r>
      <w:r>
        <w:rPr>
          <w:color w:val="231F20"/>
          <w:spacing w:val="-1"/>
        </w:rPr>
        <w:t> </w:t>
      </w:r>
      <w:r>
        <w:rPr>
          <w:color w:val="231F20"/>
        </w:rPr>
        <w:t>des</w:t>
      </w:r>
      <w:r>
        <w:rPr>
          <w:color w:val="231F20"/>
          <w:spacing w:val="-1"/>
        </w:rPr>
        <w:t> </w:t>
      </w:r>
      <w:r>
        <w:rPr>
          <w:color w:val="231F20"/>
        </w:rPr>
        <w:t>pertes</w:t>
      </w:r>
      <w:r>
        <w:rPr>
          <w:color w:val="231F20"/>
          <w:spacing w:val="-1"/>
        </w:rPr>
        <w:t> </w:t>
      </w:r>
      <w:r>
        <w:rPr>
          <w:color w:val="231F20"/>
        </w:rPr>
        <w:t>d’emplois</w:t>
      </w:r>
      <w:r>
        <w:rPr>
          <w:color w:val="231F20"/>
          <w:spacing w:val="-1"/>
        </w:rPr>
        <w:t> </w:t>
      </w:r>
      <w:r>
        <w:rPr>
          <w:color w:val="231F20"/>
        </w:rPr>
        <w:t>et</w:t>
      </w:r>
      <w:r>
        <w:rPr>
          <w:color w:val="231F20"/>
          <w:spacing w:val="-1"/>
        </w:rPr>
        <w:t> </w:t>
      </w:r>
      <w:r>
        <w:rPr>
          <w:color w:val="231F20"/>
        </w:rPr>
        <w:t>de</w:t>
      </w:r>
      <w:r>
        <w:rPr>
          <w:color w:val="231F20"/>
          <w:spacing w:val="-1"/>
        </w:rPr>
        <w:t> </w:t>
      </w:r>
      <w:r>
        <w:rPr>
          <w:color w:val="231F20"/>
        </w:rPr>
        <w:t>revenus</w:t>
      </w:r>
      <w:r>
        <w:rPr>
          <w:color w:val="231F20"/>
          <w:spacing w:val="-1"/>
        </w:rPr>
        <w:t> </w:t>
      </w:r>
      <w:r>
        <w:rPr>
          <w:color w:val="231F20"/>
        </w:rPr>
        <w:t>et la fermeture temporaire de locaux.</w:t>
      </w:r>
    </w:p>
    <w:p>
      <w:pPr>
        <w:pStyle w:val="BodyText"/>
        <w:spacing w:before="170"/>
        <w:ind w:left="1474"/>
      </w:pPr>
      <w:r>
        <w:rPr>
          <w:b/>
          <w:color w:val="B52628"/>
        </w:rPr>
        <w:t>Août</w:t>
      </w:r>
      <w:r>
        <w:rPr>
          <w:b/>
          <w:color w:val="B52628"/>
          <w:spacing w:val="-17"/>
        </w:rPr>
        <w:t> </w:t>
      </w:r>
      <w:r>
        <w:rPr>
          <w:b/>
          <w:color w:val="B52628"/>
        </w:rPr>
        <w:t>2022.</w:t>
      </w:r>
      <w:r>
        <w:rPr>
          <w:b/>
          <w:color w:val="B52628"/>
          <w:spacing w:val="-17"/>
        </w:rPr>
        <w:t> </w:t>
      </w:r>
      <w:r>
        <w:rPr>
          <w:color w:val="231F20"/>
        </w:rPr>
        <w:t>Les</w:t>
      </w:r>
      <w:r>
        <w:rPr>
          <w:color w:val="231F20"/>
          <w:spacing w:val="-16"/>
        </w:rPr>
        <w:t> </w:t>
      </w:r>
      <w:r>
        <w:rPr>
          <w:color w:val="231F20"/>
        </w:rPr>
        <w:t>États-Unis</w:t>
      </w:r>
      <w:r>
        <w:rPr>
          <w:color w:val="231F20"/>
          <w:spacing w:val="-16"/>
        </w:rPr>
        <w:t> </w:t>
      </w:r>
      <w:r>
        <w:rPr>
          <w:color w:val="231F20"/>
        </w:rPr>
        <w:t>annulent</w:t>
      </w:r>
      <w:r>
        <w:rPr>
          <w:color w:val="231F20"/>
          <w:spacing w:val="-17"/>
        </w:rPr>
        <w:t> </w:t>
      </w:r>
      <w:r>
        <w:rPr>
          <w:color w:val="231F20"/>
        </w:rPr>
        <w:t>le</w:t>
      </w:r>
      <w:r>
        <w:rPr>
          <w:color w:val="231F20"/>
          <w:spacing w:val="-16"/>
        </w:rPr>
        <w:t> </w:t>
      </w:r>
      <w:r>
        <w:rPr>
          <w:color w:val="231F20"/>
        </w:rPr>
        <w:t>visa délivré au président-directeur général </w:t>
      </w:r>
      <w:r>
        <w:rPr>
          <w:color w:val="231F20"/>
        </w:rPr>
        <w:t>de Phoenicia, un Chypriote, et à ses enfants mineurs. Phoenicia vend des havanes, un des produits emblématiques de Cuba.</w:t>
      </w:r>
    </w:p>
    <w:p>
      <w:pPr>
        <w:spacing w:before="164"/>
        <w:ind w:left="1474" w:right="0" w:firstLine="0"/>
        <w:jc w:val="both"/>
        <w:rPr>
          <w:sz w:val="24"/>
        </w:rPr>
      </w:pPr>
      <w:r>
        <w:rPr>
          <w:b/>
          <w:color w:val="B52628"/>
          <w:spacing w:val="-2"/>
          <w:sz w:val="24"/>
        </w:rPr>
        <w:t>Août</w:t>
      </w:r>
      <w:r>
        <w:rPr>
          <w:b/>
          <w:color w:val="B52628"/>
          <w:spacing w:val="-32"/>
          <w:sz w:val="24"/>
        </w:rPr>
        <w:t> </w:t>
      </w:r>
      <w:r>
        <w:rPr>
          <w:b/>
          <w:color w:val="B52628"/>
          <w:spacing w:val="-2"/>
          <w:sz w:val="24"/>
        </w:rPr>
        <w:t>2022.</w:t>
      </w:r>
      <w:r>
        <w:rPr>
          <w:b/>
          <w:color w:val="B52628"/>
          <w:spacing w:val="-34"/>
          <w:sz w:val="24"/>
        </w:rPr>
        <w:t> </w:t>
      </w:r>
      <w:r>
        <w:rPr>
          <w:color w:val="231F20"/>
          <w:spacing w:val="-2"/>
          <w:sz w:val="24"/>
        </w:rPr>
        <w:t>La</w:t>
      </w:r>
      <w:r>
        <w:rPr>
          <w:color w:val="231F20"/>
          <w:spacing w:val="-32"/>
          <w:sz w:val="24"/>
        </w:rPr>
        <w:t> </w:t>
      </w:r>
      <w:r>
        <w:rPr>
          <w:color w:val="231F20"/>
          <w:spacing w:val="-2"/>
          <w:sz w:val="24"/>
        </w:rPr>
        <w:t>Banque</w:t>
      </w:r>
      <w:r>
        <w:rPr>
          <w:color w:val="231F20"/>
          <w:spacing w:val="-32"/>
          <w:sz w:val="24"/>
        </w:rPr>
        <w:t> </w:t>
      </w:r>
      <w:r>
        <w:rPr>
          <w:color w:val="231F20"/>
          <w:spacing w:val="-2"/>
          <w:sz w:val="24"/>
        </w:rPr>
        <w:t>nationale</w:t>
      </w:r>
      <w:r>
        <w:rPr>
          <w:color w:val="231F20"/>
          <w:spacing w:val="-32"/>
          <w:sz w:val="24"/>
        </w:rPr>
        <w:t> </w:t>
      </w:r>
      <w:r>
        <w:rPr>
          <w:color w:val="231F20"/>
          <w:spacing w:val="-2"/>
          <w:sz w:val="24"/>
        </w:rPr>
        <w:t>d’Australie</w:t>
      </w:r>
    </w:p>
    <w:p>
      <w:pPr>
        <w:pStyle w:val="BodyText"/>
        <w:spacing w:before="100"/>
        <w:ind w:left="412" w:right="1131"/>
      </w:pPr>
      <w:r>
        <w:rPr/>
        <w:br w:type="column"/>
      </w:r>
      <w:r>
        <w:rPr>
          <w:color w:val="231F20"/>
          <w:spacing w:val="-6"/>
        </w:rPr>
        <w:t>clôture</w:t>
      </w:r>
      <w:r>
        <w:rPr>
          <w:color w:val="231F20"/>
          <w:spacing w:val="-9"/>
        </w:rPr>
        <w:t> </w:t>
      </w:r>
      <w:r>
        <w:rPr>
          <w:color w:val="231F20"/>
          <w:spacing w:val="-6"/>
        </w:rPr>
        <w:t>les</w:t>
      </w:r>
      <w:r>
        <w:rPr>
          <w:color w:val="231F20"/>
          <w:spacing w:val="-9"/>
        </w:rPr>
        <w:t> </w:t>
      </w:r>
      <w:r>
        <w:rPr>
          <w:color w:val="231F20"/>
          <w:spacing w:val="-6"/>
        </w:rPr>
        <w:t>comptes</w:t>
      </w:r>
      <w:r>
        <w:rPr>
          <w:color w:val="231F20"/>
          <w:spacing w:val="-9"/>
        </w:rPr>
        <w:t> </w:t>
      </w:r>
      <w:r>
        <w:rPr>
          <w:color w:val="231F20"/>
          <w:spacing w:val="-6"/>
        </w:rPr>
        <w:t>de</w:t>
      </w:r>
      <w:r>
        <w:rPr>
          <w:color w:val="231F20"/>
          <w:spacing w:val="-9"/>
        </w:rPr>
        <w:t> </w:t>
      </w:r>
      <w:r>
        <w:rPr>
          <w:color w:val="231F20"/>
          <w:spacing w:val="-6"/>
        </w:rPr>
        <w:t>l’ambassade</w:t>
      </w:r>
      <w:r>
        <w:rPr>
          <w:color w:val="231F20"/>
          <w:spacing w:val="-9"/>
        </w:rPr>
        <w:t> </w:t>
      </w:r>
      <w:r>
        <w:rPr>
          <w:color w:val="231F20"/>
          <w:spacing w:val="-6"/>
        </w:rPr>
        <w:t>cubaine </w:t>
      </w:r>
      <w:r>
        <w:rPr>
          <w:color w:val="231F20"/>
        </w:rPr>
        <w:t>après vingt-cinq ans d’opérations, parce </w:t>
      </w:r>
      <w:r>
        <w:rPr>
          <w:color w:val="231F20"/>
          <w:spacing w:val="-4"/>
        </w:rPr>
        <w:t>qu’elle</w:t>
      </w:r>
      <w:r>
        <w:rPr>
          <w:color w:val="231F20"/>
          <w:spacing w:val="-9"/>
        </w:rPr>
        <w:t> </w:t>
      </w:r>
      <w:r>
        <w:rPr>
          <w:color w:val="231F20"/>
          <w:spacing w:val="-4"/>
        </w:rPr>
        <w:t>va</w:t>
      </w:r>
      <w:r>
        <w:rPr>
          <w:color w:val="231F20"/>
          <w:spacing w:val="-9"/>
        </w:rPr>
        <w:t> </w:t>
      </w:r>
      <w:r>
        <w:rPr>
          <w:color w:val="231F20"/>
          <w:spacing w:val="-4"/>
        </w:rPr>
        <w:t>commencer</w:t>
      </w:r>
      <w:r>
        <w:rPr>
          <w:color w:val="231F20"/>
          <w:spacing w:val="-9"/>
        </w:rPr>
        <w:t> </w:t>
      </w:r>
      <w:r>
        <w:rPr>
          <w:color w:val="231F20"/>
          <w:spacing w:val="-4"/>
        </w:rPr>
        <w:t>à</w:t>
      </w:r>
      <w:r>
        <w:rPr>
          <w:color w:val="231F20"/>
          <w:spacing w:val="-9"/>
        </w:rPr>
        <w:t> </w:t>
      </w:r>
      <w:r>
        <w:rPr>
          <w:color w:val="231F20"/>
          <w:spacing w:val="-4"/>
        </w:rPr>
        <w:t>utiliser</w:t>
      </w:r>
      <w:r>
        <w:rPr>
          <w:color w:val="231F20"/>
          <w:spacing w:val="-9"/>
        </w:rPr>
        <w:t> </w:t>
      </w:r>
      <w:r>
        <w:rPr>
          <w:color w:val="231F20"/>
          <w:spacing w:val="-4"/>
        </w:rPr>
        <w:t>un</w:t>
      </w:r>
      <w:r>
        <w:rPr>
          <w:color w:val="231F20"/>
          <w:spacing w:val="-9"/>
        </w:rPr>
        <w:t> </w:t>
      </w:r>
      <w:r>
        <w:rPr>
          <w:color w:val="231F20"/>
          <w:spacing w:val="-4"/>
        </w:rPr>
        <w:t>nouveau </w:t>
      </w:r>
      <w:r>
        <w:rPr>
          <w:color w:val="231F20"/>
        </w:rPr>
        <w:t>système de paiement par le « nuage » installé aux États-Unis. Cherchant une nouvelle banque, l’ambassade se heurte au refus, à cause du risque-pays, de dix </w:t>
      </w:r>
      <w:r>
        <w:rPr>
          <w:color w:val="231F20"/>
          <w:spacing w:val="-2"/>
        </w:rPr>
        <w:t>banques</w:t>
      </w:r>
      <w:r>
        <w:rPr>
          <w:color w:val="231F20"/>
          <w:spacing w:val="-11"/>
        </w:rPr>
        <w:t> </w:t>
      </w:r>
      <w:r>
        <w:rPr>
          <w:color w:val="231F20"/>
          <w:spacing w:val="-2"/>
        </w:rPr>
        <w:t>australiennes</w:t>
      </w:r>
      <w:r>
        <w:rPr>
          <w:color w:val="231F20"/>
          <w:spacing w:val="-11"/>
        </w:rPr>
        <w:t> </w:t>
      </w:r>
      <w:r>
        <w:rPr>
          <w:color w:val="231F20"/>
          <w:spacing w:val="-2"/>
        </w:rPr>
        <w:t>et</w:t>
      </w:r>
      <w:r>
        <w:rPr>
          <w:color w:val="231F20"/>
          <w:spacing w:val="-11"/>
        </w:rPr>
        <w:t> </w:t>
      </w:r>
      <w:r>
        <w:rPr>
          <w:color w:val="231F20"/>
          <w:spacing w:val="-2"/>
        </w:rPr>
        <w:t>de</w:t>
      </w:r>
      <w:r>
        <w:rPr>
          <w:color w:val="231F20"/>
          <w:spacing w:val="-11"/>
        </w:rPr>
        <w:t> </w:t>
      </w:r>
      <w:r>
        <w:rPr>
          <w:color w:val="231F20"/>
          <w:spacing w:val="-2"/>
        </w:rPr>
        <w:t>deux</w:t>
      </w:r>
      <w:r>
        <w:rPr>
          <w:color w:val="231F20"/>
          <w:spacing w:val="-11"/>
        </w:rPr>
        <w:t> </w:t>
      </w:r>
      <w:r>
        <w:rPr>
          <w:color w:val="231F20"/>
          <w:spacing w:val="-2"/>
        </w:rPr>
        <w:t>banques </w:t>
      </w:r>
      <w:r>
        <w:rPr>
          <w:color w:val="231F20"/>
        </w:rPr>
        <w:t>internationales,</w:t>
      </w:r>
      <w:r>
        <w:rPr>
          <w:color w:val="231F20"/>
          <w:spacing w:val="-5"/>
        </w:rPr>
        <w:t> </w:t>
      </w:r>
      <w:r>
        <w:rPr>
          <w:color w:val="231F20"/>
        </w:rPr>
        <w:t>tandis</w:t>
      </w:r>
      <w:r>
        <w:rPr>
          <w:color w:val="231F20"/>
          <w:spacing w:val="-5"/>
        </w:rPr>
        <w:t> </w:t>
      </w:r>
      <w:r>
        <w:rPr>
          <w:color w:val="231F20"/>
        </w:rPr>
        <w:t>que</w:t>
      </w:r>
      <w:r>
        <w:rPr>
          <w:color w:val="231F20"/>
          <w:spacing w:val="-5"/>
        </w:rPr>
        <w:t> </w:t>
      </w:r>
      <w:r>
        <w:rPr>
          <w:color w:val="231F20"/>
        </w:rPr>
        <w:t>deux</w:t>
      </w:r>
      <w:r>
        <w:rPr>
          <w:color w:val="231F20"/>
          <w:spacing w:val="-5"/>
        </w:rPr>
        <w:t> </w:t>
      </w:r>
      <w:r>
        <w:rPr>
          <w:color w:val="231F20"/>
        </w:rPr>
        <w:t>autres</w:t>
      </w:r>
      <w:r>
        <w:rPr>
          <w:color w:val="231F20"/>
          <w:spacing w:val="-5"/>
        </w:rPr>
        <w:t> </w:t>
      </w:r>
      <w:r>
        <w:rPr>
          <w:color w:val="231F20"/>
        </w:rPr>
        <w:t>ne répondent jamais.</w:t>
      </w:r>
    </w:p>
    <w:p>
      <w:pPr>
        <w:pStyle w:val="BodyText"/>
        <w:spacing w:before="168"/>
        <w:ind w:left="412" w:right="1133"/>
      </w:pPr>
      <w:r>
        <w:rPr>
          <w:b/>
          <w:color w:val="B52628"/>
        </w:rPr>
        <w:t>Septembre</w:t>
      </w:r>
      <w:r>
        <w:rPr>
          <w:b/>
          <w:color w:val="B52628"/>
          <w:spacing w:val="-17"/>
        </w:rPr>
        <w:t> </w:t>
      </w:r>
      <w:r>
        <w:rPr>
          <w:b/>
          <w:color w:val="B52628"/>
        </w:rPr>
        <w:t>2022.</w:t>
      </w:r>
      <w:r>
        <w:rPr>
          <w:b/>
          <w:color w:val="B52628"/>
          <w:spacing w:val="-17"/>
        </w:rPr>
        <w:t> </w:t>
      </w:r>
      <w:r>
        <w:rPr>
          <w:color w:val="231F20"/>
        </w:rPr>
        <w:t>La</w:t>
      </w:r>
      <w:r>
        <w:rPr>
          <w:color w:val="231F20"/>
          <w:spacing w:val="-16"/>
        </w:rPr>
        <w:t> </w:t>
      </w:r>
      <w:r>
        <w:rPr>
          <w:color w:val="231F20"/>
        </w:rPr>
        <w:t>compagnie</w:t>
      </w:r>
      <w:r>
        <w:rPr>
          <w:color w:val="231F20"/>
          <w:spacing w:val="-16"/>
        </w:rPr>
        <w:t> </w:t>
      </w:r>
      <w:r>
        <w:rPr>
          <w:color w:val="231F20"/>
        </w:rPr>
        <w:t>GALP,</w:t>
      </w:r>
      <w:r>
        <w:rPr>
          <w:color w:val="231F20"/>
          <w:spacing w:val="-17"/>
        </w:rPr>
        <w:t> </w:t>
      </w:r>
      <w:r>
        <w:rPr>
          <w:color w:val="231F20"/>
        </w:rPr>
        <w:t>du Portugal, ne proroge pas son contrat de </w:t>
      </w:r>
      <w:r>
        <w:rPr>
          <w:color w:val="231F20"/>
          <w:spacing w:val="-6"/>
        </w:rPr>
        <w:t>livraison de carburant à Cubana de Aviación </w:t>
      </w:r>
      <w:r>
        <w:rPr>
          <w:color w:val="231F20"/>
        </w:rPr>
        <w:t>au motif que celle-ci est sanctionnée par </w:t>
      </w:r>
      <w:r>
        <w:rPr>
          <w:color w:val="231F20"/>
          <w:spacing w:val="-2"/>
        </w:rPr>
        <w:t>l’OFAC.</w:t>
      </w:r>
    </w:p>
    <w:p>
      <w:pPr>
        <w:pStyle w:val="BodyText"/>
        <w:spacing w:before="164"/>
        <w:ind w:left="412" w:right="1135"/>
      </w:pPr>
      <w:r>
        <w:rPr>
          <w:b/>
          <w:color w:val="B52628"/>
        </w:rPr>
        <w:t>20 octobre 2022.</w:t>
      </w:r>
      <w:r>
        <w:rPr>
          <w:b/>
          <w:color w:val="B52628"/>
          <w:spacing w:val="40"/>
        </w:rPr>
        <w:t> </w:t>
      </w:r>
      <w:r>
        <w:rPr>
          <w:color w:val="231F20"/>
        </w:rPr>
        <w:t>L’hôtel Courtyard By </w:t>
      </w:r>
      <w:r>
        <w:rPr>
          <w:color w:val="231F20"/>
          <w:spacing w:val="-4"/>
        </w:rPr>
        <w:t>Marriot,</w:t>
      </w:r>
      <w:r>
        <w:rPr>
          <w:color w:val="231F20"/>
          <w:spacing w:val="-9"/>
        </w:rPr>
        <w:t> </w:t>
      </w:r>
      <w:r>
        <w:rPr>
          <w:color w:val="231F20"/>
          <w:spacing w:val="-4"/>
        </w:rPr>
        <w:t>de</w:t>
      </w:r>
      <w:r>
        <w:rPr>
          <w:color w:val="231F20"/>
          <w:spacing w:val="-9"/>
        </w:rPr>
        <w:t> </w:t>
      </w:r>
      <w:r>
        <w:rPr>
          <w:color w:val="231F20"/>
          <w:spacing w:val="-4"/>
        </w:rPr>
        <w:t>Phnom</w:t>
      </w:r>
      <w:r>
        <w:rPr>
          <w:color w:val="231F20"/>
          <w:spacing w:val="-9"/>
        </w:rPr>
        <w:t> </w:t>
      </w:r>
      <w:r>
        <w:rPr>
          <w:color w:val="231F20"/>
          <w:spacing w:val="-4"/>
        </w:rPr>
        <w:t>Penh,</w:t>
      </w:r>
      <w:r>
        <w:rPr>
          <w:color w:val="231F20"/>
          <w:spacing w:val="-9"/>
        </w:rPr>
        <w:t> </w:t>
      </w:r>
      <w:r>
        <w:rPr>
          <w:color w:val="231F20"/>
          <w:spacing w:val="-4"/>
        </w:rPr>
        <w:t>filiale</w:t>
      </w:r>
      <w:r>
        <w:rPr>
          <w:color w:val="231F20"/>
          <w:spacing w:val="-9"/>
        </w:rPr>
        <w:t> </w:t>
      </w:r>
      <w:r>
        <w:rPr>
          <w:color w:val="231F20"/>
          <w:spacing w:val="-4"/>
        </w:rPr>
        <w:t>de</w:t>
      </w:r>
      <w:r>
        <w:rPr>
          <w:color w:val="231F20"/>
          <w:spacing w:val="-9"/>
        </w:rPr>
        <w:t> </w:t>
      </w:r>
      <w:r>
        <w:rPr>
          <w:color w:val="231F20"/>
          <w:spacing w:val="-4"/>
        </w:rPr>
        <w:t>la</w:t>
      </w:r>
      <w:r>
        <w:rPr>
          <w:color w:val="231F20"/>
          <w:spacing w:val="-9"/>
        </w:rPr>
        <w:t> </w:t>
      </w:r>
      <w:r>
        <w:rPr>
          <w:color w:val="231F20"/>
          <w:spacing w:val="-4"/>
        </w:rPr>
        <w:t>chaîne </w:t>
      </w:r>
      <w:r>
        <w:rPr>
          <w:color w:val="231F20"/>
          <w:spacing w:val="-2"/>
        </w:rPr>
        <w:t>étasunienne</w:t>
      </w:r>
      <w:r>
        <w:rPr>
          <w:color w:val="231F20"/>
          <w:spacing w:val="-8"/>
        </w:rPr>
        <w:t> </w:t>
      </w:r>
      <w:r>
        <w:rPr>
          <w:color w:val="231F20"/>
          <w:spacing w:val="-2"/>
        </w:rPr>
        <w:t>Marriot</w:t>
      </w:r>
      <w:r>
        <w:rPr>
          <w:color w:val="231F20"/>
          <w:spacing w:val="-8"/>
        </w:rPr>
        <w:t> </w:t>
      </w:r>
      <w:r>
        <w:rPr>
          <w:color w:val="231F20"/>
          <w:spacing w:val="-2"/>
        </w:rPr>
        <w:t>International,</w:t>
      </w:r>
      <w:r>
        <w:rPr>
          <w:color w:val="231F20"/>
          <w:spacing w:val="-8"/>
        </w:rPr>
        <w:t> </w:t>
      </w:r>
      <w:r>
        <w:rPr>
          <w:color w:val="231F20"/>
          <w:spacing w:val="-2"/>
        </w:rPr>
        <w:t>informe </w:t>
      </w:r>
      <w:r>
        <w:rPr>
          <w:color w:val="231F20"/>
        </w:rPr>
        <w:t>qu’il ne peut accueillir l’équipe de volley- ball</w:t>
      </w:r>
      <w:r>
        <w:rPr>
          <w:color w:val="231F20"/>
          <w:spacing w:val="-8"/>
        </w:rPr>
        <w:t> </w:t>
      </w:r>
      <w:r>
        <w:rPr>
          <w:color w:val="231F20"/>
        </w:rPr>
        <w:t>masculin</w:t>
      </w:r>
      <w:r>
        <w:rPr>
          <w:color w:val="231F20"/>
          <w:spacing w:val="-8"/>
        </w:rPr>
        <w:t> </w:t>
      </w:r>
      <w:r>
        <w:rPr>
          <w:color w:val="231F20"/>
        </w:rPr>
        <w:t>de</w:t>
      </w:r>
      <w:r>
        <w:rPr>
          <w:color w:val="231F20"/>
          <w:spacing w:val="-8"/>
        </w:rPr>
        <w:t> </w:t>
      </w:r>
      <w:r>
        <w:rPr>
          <w:color w:val="231F20"/>
        </w:rPr>
        <w:t>Cuba,</w:t>
      </w:r>
      <w:r>
        <w:rPr>
          <w:color w:val="231F20"/>
          <w:spacing w:val="-8"/>
        </w:rPr>
        <w:t> </w:t>
      </w:r>
      <w:r>
        <w:rPr>
          <w:color w:val="231F20"/>
        </w:rPr>
        <w:t>qui</w:t>
      </w:r>
      <w:r>
        <w:rPr>
          <w:color w:val="231F20"/>
          <w:spacing w:val="-8"/>
        </w:rPr>
        <w:t> </w:t>
      </w:r>
      <w:r>
        <w:rPr>
          <w:color w:val="231F20"/>
        </w:rPr>
        <w:t>doit</w:t>
      </w:r>
      <w:r>
        <w:rPr>
          <w:color w:val="231F20"/>
          <w:spacing w:val="-8"/>
        </w:rPr>
        <w:t> </w:t>
      </w:r>
      <w:r>
        <w:rPr>
          <w:color w:val="231F20"/>
        </w:rPr>
        <w:t>rencontrer son homologue cambodgien, parce </w:t>
      </w:r>
      <w:r>
        <w:rPr>
          <w:color w:val="231F20"/>
        </w:rPr>
        <w:t>que ce serait violer les lois étasuniennes dans la mesure où la délégation représente le gouvernement cubain.</w:t>
      </w:r>
    </w:p>
    <w:p>
      <w:pPr>
        <w:pStyle w:val="BodyText"/>
        <w:spacing w:before="167"/>
        <w:ind w:left="412" w:right="1131"/>
      </w:pPr>
      <w:r>
        <w:rPr>
          <w:b/>
          <w:color w:val="B52628"/>
        </w:rPr>
        <w:t>Novembre 2022. </w:t>
      </w:r>
      <w:r>
        <w:rPr>
          <w:color w:val="231F20"/>
        </w:rPr>
        <w:t>Une filiale </w:t>
      </w:r>
      <w:r>
        <w:rPr>
          <w:color w:val="231F20"/>
        </w:rPr>
        <w:t>de Bancolombia</w:t>
      </w:r>
      <w:r>
        <w:rPr>
          <w:color w:val="231F20"/>
          <w:spacing w:val="-14"/>
        </w:rPr>
        <w:t> </w:t>
      </w:r>
      <w:r>
        <w:rPr>
          <w:color w:val="231F20"/>
        </w:rPr>
        <w:t>bloque</w:t>
      </w:r>
      <w:r>
        <w:rPr>
          <w:color w:val="231F20"/>
          <w:spacing w:val="-14"/>
        </w:rPr>
        <w:t> </w:t>
      </w:r>
      <w:r>
        <w:rPr>
          <w:color w:val="231F20"/>
        </w:rPr>
        <w:t>la</w:t>
      </w:r>
      <w:r>
        <w:rPr>
          <w:color w:val="231F20"/>
          <w:spacing w:val="-14"/>
        </w:rPr>
        <w:t> </w:t>
      </w:r>
      <w:r>
        <w:rPr>
          <w:color w:val="231F20"/>
        </w:rPr>
        <w:t>carte</w:t>
      </w:r>
      <w:r>
        <w:rPr>
          <w:color w:val="231F20"/>
          <w:spacing w:val="-15"/>
        </w:rPr>
        <w:t> </w:t>
      </w:r>
      <w:r>
        <w:rPr>
          <w:color w:val="231F20"/>
        </w:rPr>
        <w:t>de</w:t>
      </w:r>
      <w:r>
        <w:rPr>
          <w:color w:val="231F20"/>
          <w:spacing w:val="-14"/>
        </w:rPr>
        <w:t> </w:t>
      </w:r>
      <w:r>
        <w:rPr>
          <w:color w:val="231F20"/>
        </w:rPr>
        <w:t>débit</w:t>
      </w:r>
      <w:r>
        <w:rPr>
          <w:color w:val="231F20"/>
          <w:spacing w:val="-14"/>
        </w:rPr>
        <w:t> </w:t>
      </w:r>
      <w:r>
        <w:rPr>
          <w:color w:val="231F20"/>
        </w:rPr>
        <w:t>et</w:t>
      </w:r>
      <w:r>
        <w:rPr>
          <w:color w:val="231F20"/>
          <w:spacing w:val="-14"/>
        </w:rPr>
        <w:t> </w:t>
      </w:r>
      <w:r>
        <w:rPr>
          <w:color w:val="231F20"/>
        </w:rPr>
        <w:t>le compte</w:t>
      </w:r>
      <w:r>
        <w:rPr>
          <w:color w:val="231F20"/>
          <w:spacing w:val="-15"/>
        </w:rPr>
        <w:t> </w:t>
      </w:r>
      <w:r>
        <w:rPr>
          <w:color w:val="231F20"/>
        </w:rPr>
        <w:t>de</w:t>
      </w:r>
      <w:r>
        <w:rPr>
          <w:color w:val="231F20"/>
          <w:spacing w:val="-15"/>
        </w:rPr>
        <w:t> </w:t>
      </w:r>
      <w:r>
        <w:rPr>
          <w:color w:val="231F20"/>
        </w:rPr>
        <w:t>l’agence</w:t>
      </w:r>
      <w:r>
        <w:rPr>
          <w:color w:val="231F20"/>
          <w:spacing w:val="-15"/>
        </w:rPr>
        <w:t> </w:t>
      </w:r>
      <w:r>
        <w:rPr>
          <w:color w:val="231F20"/>
        </w:rPr>
        <w:t>Do</w:t>
      </w:r>
      <w:r>
        <w:rPr>
          <w:color w:val="231F20"/>
          <w:spacing w:val="-15"/>
        </w:rPr>
        <w:t> </w:t>
      </w:r>
      <w:r>
        <w:rPr>
          <w:color w:val="231F20"/>
        </w:rPr>
        <w:t>it</w:t>
      </w:r>
      <w:r>
        <w:rPr>
          <w:color w:val="231F20"/>
          <w:spacing w:val="-15"/>
        </w:rPr>
        <w:t> </w:t>
      </w:r>
      <w:r>
        <w:rPr>
          <w:color w:val="231F20"/>
        </w:rPr>
        <w:t>Viajes</w:t>
      </w:r>
      <w:r>
        <w:rPr>
          <w:color w:val="231F20"/>
          <w:spacing w:val="-15"/>
        </w:rPr>
        <w:t> </w:t>
      </w:r>
      <w:r>
        <w:rPr>
          <w:color w:val="231F20"/>
        </w:rPr>
        <w:t>y</w:t>
      </w:r>
      <w:r>
        <w:rPr>
          <w:color w:val="231F20"/>
          <w:spacing w:val="-15"/>
        </w:rPr>
        <w:t> </w:t>
      </w:r>
      <w:r>
        <w:rPr>
          <w:color w:val="231F20"/>
        </w:rPr>
        <w:t>Turismo, qui commercialise la destination Cuba.</w:t>
      </w:r>
    </w:p>
    <w:p>
      <w:pPr>
        <w:spacing w:after="0"/>
        <w:sectPr>
          <w:type w:val="continuous"/>
          <w:pgSz w:w="11910" w:h="16840"/>
          <w:pgMar w:header="0" w:footer="695" w:top="1920" w:bottom="280" w:left="0" w:right="0"/>
          <w:cols w:num="2" w:equalWidth="0">
            <w:col w:w="5898" w:space="40"/>
            <w:col w:w="5972"/>
          </w:cols>
        </w:sectPr>
      </w:pPr>
    </w:p>
    <w:p>
      <w:pPr>
        <w:pStyle w:val="BodyText"/>
        <w:spacing w:before="77"/>
        <w:ind w:left="1133"/>
      </w:pPr>
      <w:r>
        <w:rPr>
          <w:color w:val="231F20"/>
        </w:rPr>
        <w:t>7 décembre 2022. La banque </w:t>
      </w:r>
      <w:r>
        <w:rPr>
          <w:color w:val="231F20"/>
        </w:rPr>
        <w:t>finnoise Nordea refuse un virement de l’agence havanaise Publicitur (12 000 euros) à la société Aurinkomatkat/Suntours Ltd. à travers la Banco Financiero Internacional (BFI),</w:t>
      </w:r>
      <w:r>
        <w:rPr>
          <w:color w:val="231F20"/>
          <w:spacing w:val="-13"/>
        </w:rPr>
        <w:t> </w:t>
      </w:r>
      <w:r>
        <w:rPr>
          <w:color w:val="231F20"/>
        </w:rPr>
        <w:t>au</w:t>
      </w:r>
      <w:r>
        <w:rPr>
          <w:color w:val="231F20"/>
          <w:spacing w:val="-13"/>
        </w:rPr>
        <w:t> </w:t>
      </w:r>
      <w:r>
        <w:rPr>
          <w:color w:val="231F20"/>
        </w:rPr>
        <w:t>motif</w:t>
      </w:r>
      <w:r>
        <w:rPr>
          <w:color w:val="231F20"/>
          <w:spacing w:val="-13"/>
        </w:rPr>
        <w:t> </w:t>
      </w:r>
      <w:r>
        <w:rPr>
          <w:color w:val="231F20"/>
        </w:rPr>
        <w:t>que</w:t>
      </w:r>
      <w:r>
        <w:rPr>
          <w:color w:val="231F20"/>
          <w:spacing w:val="-13"/>
        </w:rPr>
        <w:t> </w:t>
      </w:r>
      <w:r>
        <w:rPr>
          <w:color w:val="231F20"/>
        </w:rPr>
        <w:t>celle-ci</w:t>
      </w:r>
      <w:r>
        <w:rPr>
          <w:color w:val="231F20"/>
          <w:spacing w:val="-13"/>
        </w:rPr>
        <w:t> </w:t>
      </w:r>
      <w:r>
        <w:rPr>
          <w:color w:val="231F20"/>
        </w:rPr>
        <w:t>est</w:t>
      </w:r>
      <w:r>
        <w:rPr>
          <w:color w:val="231F20"/>
          <w:spacing w:val="-13"/>
        </w:rPr>
        <w:t> </w:t>
      </w:r>
      <w:r>
        <w:rPr>
          <w:color w:val="231F20"/>
        </w:rPr>
        <w:t>sanctionnée par l’OFAC.</w:t>
      </w:r>
    </w:p>
    <w:p>
      <w:pPr>
        <w:pStyle w:val="BodyText"/>
        <w:spacing w:before="165"/>
        <w:ind w:left="1133" w:right="2"/>
      </w:pPr>
      <w:r>
        <w:rPr>
          <w:b/>
          <w:color w:val="B52628"/>
          <w:spacing w:val="-8"/>
        </w:rPr>
        <w:t>11-15</w:t>
      </w:r>
      <w:r>
        <w:rPr>
          <w:b/>
          <w:color w:val="B52628"/>
          <w:spacing w:val="-9"/>
        </w:rPr>
        <w:t> </w:t>
      </w:r>
      <w:r>
        <w:rPr>
          <w:b/>
          <w:color w:val="B52628"/>
          <w:spacing w:val="-8"/>
        </w:rPr>
        <w:t>janvier</w:t>
      </w:r>
      <w:r>
        <w:rPr>
          <w:b/>
          <w:color w:val="B52628"/>
          <w:spacing w:val="-9"/>
        </w:rPr>
        <w:t> </w:t>
      </w:r>
      <w:r>
        <w:rPr>
          <w:b/>
          <w:color w:val="B52628"/>
          <w:spacing w:val="-8"/>
        </w:rPr>
        <w:t>2023. </w:t>
      </w:r>
      <w:r>
        <w:rPr>
          <w:color w:val="231F20"/>
          <w:spacing w:val="-8"/>
        </w:rPr>
        <w:t>Les</w:t>
      </w:r>
      <w:r>
        <w:rPr>
          <w:color w:val="231F20"/>
          <w:spacing w:val="-9"/>
        </w:rPr>
        <w:t> </w:t>
      </w:r>
      <w:r>
        <w:rPr>
          <w:color w:val="231F20"/>
          <w:spacing w:val="-8"/>
        </w:rPr>
        <w:t>virements bancaires </w:t>
      </w:r>
      <w:r>
        <w:rPr>
          <w:color w:val="231F20"/>
          <w:spacing w:val="-4"/>
        </w:rPr>
        <w:t>associés</w:t>
      </w:r>
      <w:r>
        <w:rPr>
          <w:color w:val="231F20"/>
          <w:spacing w:val="-13"/>
        </w:rPr>
        <w:t> </w:t>
      </w:r>
      <w:r>
        <w:rPr>
          <w:color w:val="231F20"/>
          <w:spacing w:val="-4"/>
        </w:rPr>
        <w:t>à</w:t>
      </w:r>
      <w:r>
        <w:rPr>
          <w:color w:val="231F20"/>
          <w:spacing w:val="-12"/>
        </w:rPr>
        <w:t> </w:t>
      </w:r>
      <w:r>
        <w:rPr>
          <w:color w:val="231F20"/>
          <w:spacing w:val="-4"/>
        </w:rPr>
        <w:t>l’hébergement</w:t>
      </w:r>
      <w:r>
        <w:rPr>
          <w:color w:val="231F20"/>
          <w:spacing w:val="-13"/>
        </w:rPr>
        <w:t> </w:t>
      </w:r>
      <w:r>
        <w:rPr>
          <w:color w:val="231F20"/>
          <w:spacing w:val="-4"/>
        </w:rPr>
        <w:t>et</w:t>
      </w:r>
      <w:r>
        <w:rPr>
          <w:color w:val="231F20"/>
          <w:spacing w:val="-12"/>
        </w:rPr>
        <w:t> </w:t>
      </w:r>
      <w:r>
        <w:rPr>
          <w:color w:val="231F20"/>
          <w:spacing w:val="-4"/>
        </w:rPr>
        <w:t>aux</w:t>
      </w:r>
      <w:r>
        <w:rPr>
          <w:color w:val="231F20"/>
          <w:spacing w:val="-13"/>
        </w:rPr>
        <w:t> </w:t>
      </w:r>
      <w:r>
        <w:rPr>
          <w:color w:val="231F20"/>
          <w:spacing w:val="-4"/>
        </w:rPr>
        <w:t>activités</w:t>
      </w:r>
      <w:r>
        <w:rPr>
          <w:color w:val="231F20"/>
          <w:spacing w:val="-12"/>
        </w:rPr>
        <w:t> </w:t>
      </w:r>
      <w:r>
        <w:rPr>
          <w:color w:val="231F20"/>
          <w:spacing w:val="-4"/>
        </w:rPr>
        <w:t>de promotion</w:t>
      </w:r>
      <w:r>
        <w:rPr>
          <w:color w:val="231F20"/>
          <w:spacing w:val="-10"/>
        </w:rPr>
        <w:t> </w:t>
      </w:r>
      <w:r>
        <w:rPr>
          <w:color w:val="231F20"/>
          <w:spacing w:val="-4"/>
        </w:rPr>
        <w:t>de</w:t>
      </w:r>
      <w:r>
        <w:rPr>
          <w:color w:val="231F20"/>
          <w:spacing w:val="-10"/>
        </w:rPr>
        <w:t> </w:t>
      </w:r>
      <w:r>
        <w:rPr>
          <w:color w:val="231F20"/>
          <w:spacing w:val="-4"/>
        </w:rPr>
        <w:t>la</w:t>
      </w:r>
      <w:r>
        <w:rPr>
          <w:color w:val="231F20"/>
          <w:spacing w:val="-10"/>
        </w:rPr>
        <w:t> </w:t>
      </w:r>
      <w:r>
        <w:rPr>
          <w:color w:val="231F20"/>
          <w:spacing w:val="-4"/>
        </w:rPr>
        <w:t>destination</w:t>
      </w:r>
      <w:r>
        <w:rPr>
          <w:color w:val="231F20"/>
          <w:spacing w:val="-10"/>
        </w:rPr>
        <w:t> </w:t>
      </w:r>
      <w:r>
        <w:rPr>
          <w:color w:val="231F20"/>
          <w:spacing w:val="-4"/>
        </w:rPr>
        <w:t>Cuba</w:t>
      </w:r>
      <w:r>
        <w:rPr>
          <w:color w:val="231F20"/>
          <w:spacing w:val="-10"/>
        </w:rPr>
        <w:t> </w:t>
      </w:r>
      <w:r>
        <w:rPr>
          <w:color w:val="231F20"/>
          <w:spacing w:val="-4"/>
        </w:rPr>
        <w:t>a</w:t>
      </w:r>
      <w:r>
        <w:rPr>
          <w:color w:val="231F20"/>
          <w:spacing w:val="-10"/>
        </w:rPr>
        <w:t> </w:t>
      </w:r>
      <w:r>
        <w:rPr>
          <w:color w:val="231F20"/>
          <w:spacing w:val="-4"/>
        </w:rPr>
        <w:t>la</w:t>
      </w:r>
      <w:r>
        <w:rPr>
          <w:color w:val="231F20"/>
          <w:spacing w:val="-10"/>
        </w:rPr>
        <w:t> </w:t>
      </w:r>
      <w:r>
        <w:rPr>
          <w:color w:val="231F20"/>
          <w:spacing w:val="-4"/>
        </w:rPr>
        <w:t>Foire </w:t>
      </w:r>
      <w:r>
        <w:rPr>
          <w:color w:val="231F20"/>
          <w:spacing w:val="-8"/>
        </w:rPr>
        <w:t>de tourisme d’Utrecht (Pays-Bas) se heurtent </w:t>
      </w:r>
      <w:r>
        <w:rPr>
          <w:color w:val="231F20"/>
        </w:rPr>
        <w:t>à des difficultés.</w:t>
      </w:r>
    </w:p>
    <w:p>
      <w:pPr>
        <w:pStyle w:val="BodyText"/>
        <w:spacing w:before="164"/>
        <w:ind w:left="1133"/>
      </w:pPr>
      <w:r>
        <w:rPr>
          <w:b/>
          <w:color w:val="B52628"/>
        </w:rPr>
        <w:t>26 janvier 2023. </w:t>
      </w:r>
      <w:r>
        <w:rPr>
          <w:color w:val="231F20"/>
        </w:rPr>
        <w:t>La société de </w:t>
      </w:r>
      <w:r>
        <w:rPr>
          <w:color w:val="231F20"/>
        </w:rPr>
        <w:t>Madrid, Maccorp Exact Change E.P. S.A., refuse</w:t>
      </w:r>
      <w:r>
        <w:rPr>
          <w:color w:val="231F20"/>
          <w:spacing w:val="80"/>
        </w:rPr>
        <w:t> </w:t>
      </w:r>
      <w:r>
        <w:rPr>
          <w:color w:val="231F20"/>
        </w:rPr>
        <w:t>un change de monnaie en dollars à un diplomate cubain, à cause des sanctions du département du Trésor.</w:t>
      </w:r>
    </w:p>
    <w:p>
      <w:pPr>
        <w:pStyle w:val="BodyText"/>
        <w:spacing w:before="164"/>
        <w:ind w:left="1133"/>
      </w:pPr>
      <w:r>
        <w:rPr>
          <w:b/>
          <w:color w:val="B52628"/>
        </w:rPr>
        <w:t>31 janvier 2023. </w:t>
      </w:r>
      <w:r>
        <w:rPr>
          <w:color w:val="231F20"/>
        </w:rPr>
        <w:t>La filiale de Peugeot </w:t>
      </w:r>
      <w:r>
        <w:rPr>
          <w:color w:val="231F20"/>
        </w:rPr>
        <w:t>à </w:t>
      </w:r>
      <w:r>
        <w:rPr>
          <w:color w:val="231F20"/>
          <w:spacing w:val="-4"/>
        </w:rPr>
        <w:t>Berlin</w:t>
      </w:r>
      <w:r>
        <w:rPr>
          <w:color w:val="231F20"/>
          <w:spacing w:val="-8"/>
        </w:rPr>
        <w:t> </w:t>
      </w:r>
      <w:r>
        <w:rPr>
          <w:color w:val="231F20"/>
          <w:spacing w:val="-4"/>
        </w:rPr>
        <w:t>(Allemagne)</w:t>
      </w:r>
      <w:r>
        <w:rPr>
          <w:color w:val="231F20"/>
          <w:spacing w:val="-8"/>
        </w:rPr>
        <w:t> </w:t>
      </w:r>
      <w:r>
        <w:rPr>
          <w:color w:val="231F20"/>
          <w:spacing w:val="-4"/>
        </w:rPr>
        <w:t>fait</w:t>
      </w:r>
      <w:r>
        <w:rPr>
          <w:color w:val="231F20"/>
          <w:spacing w:val="-8"/>
        </w:rPr>
        <w:t> </w:t>
      </w:r>
      <w:r>
        <w:rPr>
          <w:color w:val="231F20"/>
          <w:spacing w:val="-4"/>
        </w:rPr>
        <w:t>savoir</w:t>
      </w:r>
      <w:r>
        <w:rPr>
          <w:color w:val="231F20"/>
          <w:spacing w:val="-8"/>
        </w:rPr>
        <w:t> </w:t>
      </w:r>
      <w:r>
        <w:rPr>
          <w:color w:val="231F20"/>
          <w:spacing w:val="-4"/>
        </w:rPr>
        <w:t>à</w:t>
      </w:r>
      <w:r>
        <w:rPr>
          <w:color w:val="231F20"/>
          <w:spacing w:val="-8"/>
        </w:rPr>
        <w:t> </w:t>
      </w:r>
      <w:r>
        <w:rPr>
          <w:color w:val="231F20"/>
          <w:spacing w:val="-4"/>
        </w:rPr>
        <w:t>l’ambassade </w:t>
      </w:r>
      <w:r>
        <w:rPr>
          <w:color w:val="231F20"/>
        </w:rPr>
        <w:t>cubaine qu’elle ne renouvellera pas son </w:t>
      </w:r>
      <w:r>
        <w:rPr>
          <w:color w:val="231F20"/>
          <w:spacing w:val="-2"/>
        </w:rPr>
        <w:t>contrat</w:t>
      </w:r>
      <w:r>
        <w:rPr>
          <w:color w:val="231F20"/>
          <w:spacing w:val="-15"/>
        </w:rPr>
        <w:t> </w:t>
      </w:r>
      <w:r>
        <w:rPr>
          <w:color w:val="231F20"/>
          <w:spacing w:val="-2"/>
        </w:rPr>
        <w:t>de</w:t>
      </w:r>
      <w:r>
        <w:rPr>
          <w:color w:val="231F20"/>
          <w:spacing w:val="-14"/>
        </w:rPr>
        <w:t> </w:t>
      </w:r>
      <w:r>
        <w:rPr>
          <w:color w:val="231F20"/>
          <w:spacing w:val="-2"/>
        </w:rPr>
        <w:t>location,</w:t>
      </w:r>
      <w:r>
        <w:rPr>
          <w:color w:val="231F20"/>
          <w:spacing w:val="-15"/>
        </w:rPr>
        <w:t> </w:t>
      </w:r>
      <w:r>
        <w:rPr>
          <w:color w:val="231F20"/>
          <w:spacing w:val="-2"/>
        </w:rPr>
        <w:t>parce</w:t>
      </w:r>
      <w:r>
        <w:rPr>
          <w:color w:val="231F20"/>
          <w:spacing w:val="-14"/>
        </w:rPr>
        <w:t> </w:t>
      </w:r>
      <w:r>
        <w:rPr>
          <w:color w:val="231F20"/>
          <w:spacing w:val="-2"/>
        </w:rPr>
        <w:t>qu’elle</w:t>
      </w:r>
      <w:r>
        <w:rPr>
          <w:color w:val="231F20"/>
          <w:spacing w:val="-14"/>
        </w:rPr>
        <w:t> </w:t>
      </w:r>
      <w:r>
        <w:rPr>
          <w:color w:val="231F20"/>
          <w:spacing w:val="-2"/>
        </w:rPr>
        <w:t>passe</w:t>
      </w:r>
      <w:r>
        <w:rPr>
          <w:color w:val="231F20"/>
          <w:spacing w:val="-15"/>
        </w:rPr>
        <w:t> </w:t>
      </w:r>
      <w:r>
        <w:rPr>
          <w:color w:val="231F20"/>
          <w:spacing w:val="-2"/>
        </w:rPr>
        <w:t>à</w:t>
      </w:r>
      <w:r>
        <w:rPr>
          <w:color w:val="231F20"/>
          <w:spacing w:val="-14"/>
        </w:rPr>
        <w:t> </w:t>
      </w:r>
      <w:r>
        <w:rPr>
          <w:color w:val="231F20"/>
          <w:spacing w:val="-2"/>
        </w:rPr>
        <w:t>la </w:t>
      </w:r>
      <w:r>
        <w:rPr>
          <w:color w:val="231F20"/>
          <w:spacing w:val="-4"/>
        </w:rPr>
        <w:t>société</w:t>
      </w:r>
      <w:r>
        <w:rPr>
          <w:color w:val="231F20"/>
          <w:spacing w:val="-7"/>
        </w:rPr>
        <w:t> </w:t>
      </w:r>
      <w:r>
        <w:rPr>
          <w:color w:val="231F20"/>
          <w:spacing w:val="-4"/>
        </w:rPr>
        <w:t>Stellantis</w:t>
      </w:r>
      <w:r>
        <w:rPr>
          <w:color w:val="231F20"/>
          <w:spacing w:val="-7"/>
        </w:rPr>
        <w:t> </w:t>
      </w:r>
      <w:r>
        <w:rPr>
          <w:color w:val="231F20"/>
          <w:spacing w:val="-4"/>
        </w:rPr>
        <w:t>&amp;</w:t>
      </w:r>
      <w:r>
        <w:rPr>
          <w:color w:val="231F20"/>
          <w:spacing w:val="-7"/>
        </w:rPr>
        <w:t> </w:t>
      </w:r>
      <w:r>
        <w:rPr>
          <w:color w:val="231F20"/>
          <w:spacing w:val="-4"/>
        </w:rPr>
        <w:t>You,</w:t>
      </w:r>
      <w:r>
        <w:rPr>
          <w:color w:val="231F20"/>
          <w:spacing w:val="-7"/>
        </w:rPr>
        <w:t> </w:t>
      </w:r>
      <w:r>
        <w:rPr>
          <w:color w:val="231F20"/>
          <w:spacing w:val="-4"/>
        </w:rPr>
        <w:t>où</w:t>
      </w:r>
      <w:r>
        <w:rPr>
          <w:color w:val="231F20"/>
          <w:spacing w:val="-7"/>
        </w:rPr>
        <w:t> </w:t>
      </w:r>
      <w:r>
        <w:rPr>
          <w:color w:val="231F20"/>
          <w:spacing w:val="-4"/>
        </w:rPr>
        <w:t>les</w:t>
      </w:r>
      <w:r>
        <w:rPr>
          <w:color w:val="231F20"/>
          <w:spacing w:val="-7"/>
        </w:rPr>
        <w:t> </w:t>
      </w:r>
      <w:r>
        <w:rPr>
          <w:color w:val="231F20"/>
          <w:spacing w:val="-4"/>
        </w:rPr>
        <w:t>actionnaires </w:t>
      </w:r>
      <w:r>
        <w:rPr>
          <w:color w:val="231F20"/>
        </w:rPr>
        <w:t>étasuniens sont majoritaires.</w:t>
      </w:r>
    </w:p>
    <w:p>
      <w:pPr>
        <w:pStyle w:val="BodyText"/>
        <w:spacing w:before="165"/>
        <w:ind w:left="1133" w:right="1"/>
      </w:pPr>
      <w:r>
        <w:rPr>
          <w:b/>
          <w:color w:val="B52628"/>
        </w:rPr>
        <w:t>Janvier-février 2023. </w:t>
      </w:r>
      <w:r>
        <w:rPr>
          <w:color w:val="231F20"/>
        </w:rPr>
        <w:t>Wise Payments </w:t>
      </w:r>
      <w:r>
        <w:rPr>
          <w:color w:val="231F20"/>
          <w:spacing w:val="-4"/>
        </w:rPr>
        <w:t>Limited,</w:t>
      </w:r>
      <w:r>
        <w:rPr>
          <w:color w:val="231F20"/>
          <w:spacing w:val="-12"/>
        </w:rPr>
        <w:t> </w:t>
      </w:r>
      <w:r>
        <w:rPr>
          <w:color w:val="231F20"/>
          <w:spacing w:val="-4"/>
        </w:rPr>
        <w:t>Bank</w:t>
      </w:r>
      <w:r>
        <w:rPr>
          <w:color w:val="231F20"/>
          <w:spacing w:val="-12"/>
        </w:rPr>
        <w:t> </w:t>
      </w:r>
      <w:r>
        <w:rPr>
          <w:color w:val="231F20"/>
          <w:spacing w:val="-4"/>
        </w:rPr>
        <w:t>of</w:t>
      </w:r>
      <w:r>
        <w:rPr>
          <w:color w:val="231F20"/>
          <w:spacing w:val="-12"/>
        </w:rPr>
        <w:t> </w:t>
      </w:r>
      <w:r>
        <w:rPr>
          <w:color w:val="231F20"/>
          <w:spacing w:val="-4"/>
        </w:rPr>
        <w:t>Scotland</w:t>
      </w:r>
      <w:r>
        <w:rPr>
          <w:color w:val="231F20"/>
          <w:spacing w:val="-12"/>
        </w:rPr>
        <w:t> </w:t>
      </w:r>
      <w:r>
        <w:rPr>
          <w:color w:val="231F20"/>
          <w:spacing w:val="-4"/>
        </w:rPr>
        <w:t>et</w:t>
      </w:r>
      <w:r>
        <w:rPr>
          <w:color w:val="231F20"/>
          <w:spacing w:val="-12"/>
        </w:rPr>
        <w:t> </w:t>
      </w:r>
      <w:r>
        <w:rPr>
          <w:color w:val="231F20"/>
          <w:spacing w:val="-4"/>
        </w:rPr>
        <w:t>UniCredit</w:t>
      </w:r>
      <w:r>
        <w:rPr>
          <w:color w:val="231F20"/>
          <w:spacing w:val="-12"/>
        </w:rPr>
        <w:t> </w:t>
      </w:r>
      <w:r>
        <w:rPr>
          <w:color w:val="231F20"/>
          <w:spacing w:val="-4"/>
        </w:rPr>
        <w:t>Bank </w:t>
      </w:r>
      <w:r>
        <w:rPr>
          <w:color w:val="231F20"/>
          <w:spacing w:val="-2"/>
        </w:rPr>
        <w:t>Austria</w:t>
      </w:r>
      <w:r>
        <w:rPr>
          <w:color w:val="231F20"/>
          <w:spacing w:val="-15"/>
        </w:rPr>
        <w:t> </w:t>
      </w:r>
      <w:r>
        <w:rPr>
          <w:color w:val="231F20"/>
          <w:spacing w:val="-2"/>
        </w:rPr>
        <w:t>AG</w:t>
      </w:r>
      <w:r>
        <w:rPr>
          <w:color w:val="231F20"/>
          <w:spacing w:val="-14"/>
        </w:rPr>
        <w:t> </w:t>
      </w:r>
      <w:r>
        <w:rPr>
          <w:color w:val="231F20"/>
          <w:spacing w:val="-2"/>
        </w:rPr>
        <w:t>refusent</w:t>
      </w:r>
      <w:r>
        <w:rPr>
          <w:color w:val="231F20"/>
          <w:spacing w:val="-15"/>
        </w:rPr>
        <w:t> </w:t>
      </w:r>
      <w:r>
        <w:rPr>
          <w:color w:val="231F20"/>
          <w:spacing w:val="-2"/>
        </w:rPr>
        <w:t>les</w:t>
      </w:r>
      <w:r>
        <w:rPr>
          <w:color w:val="231F20"/>
          <w:spacing w:val="-14"/>
        </w:rPr>
        <w:t> </w:t>
      </w:r>
      <w:r>
        <w:rPr>
          <w:color w:val="231F20"/>
          <w:spacing w:val="-2"/>
        </w:rPr>
        <w:t>virements</w:t>
      </w:r>
      <w:r>
        <w:rPr>
          <w:color w:val="231F20"/>
          <w:spacing w:val="-15"/>
        </w:rPr>
        <w:t> </w:t>
      </w:r>
      <w:r>
        <w:rPr>
          <w:color w:val="231F20"/>
          <w:spacing w:val="-2"/>
        </w:rPr>
        <w:t>cubains</w:t>
      </w:r>
      <w:r>
        <w:rPr>
          <w:color w:val="231F20"/>
          <w:spacing w:val="-14"/>
        </w:rPr>
        <w:t> </w:t>
      </w:r>
      <w:r>
        <w:rPr>
          <w:color w:val="231F20"/>
          <w:spacing w:val="-2"/>
        </w:rPr>
        <w:t>à </w:t>
      </w:r>
      <w:r>
        <w:rPr>
          <w:color w:val="231F20"/>
        </w:rPr>
        <w:t>titre</w:t>
      </w:r>
      <w:r>
        <w:rPr>
          <w:color w:val="231F20"/>
          <w:spacing w:val="-13"/>
        </w:rPr>
        <w:t> </w:t>
      </w:r>
      <w:r>
        <w:rPr>
          <w:color w:val="231F20"/>
        </w:rPr>
        <w:t>de</w:t>
      </w:r>
      <w:r>
        <w:rPr>
          <w:color w:val="231F20"/>
          <w:spacing w:val="-13"/>
        </w:rPr>
        <w:t> </w:t>
      </w:r>
      <w:r>
        <w:rPr>
          <w:color w:val="231F20"/>
        </w:rPr>
        <w:t>paiement</w:t>
      </w:r>
      <w:r>
        <w:rPr>
          <w:color w:val="231F20"/>
          <w:spacing w:val="-13"/>
        </w:rPr>
        <w:t> </w:t>
      </w:r>
      <w:r>
        <w:rPr>
          <w:color w:val="231F20"/>
        </w:rPr>
        <w:t>des</w:t>
      </w:r>
      <w:r>
        <w:rPr>
          <w:color w:val="231F20"/>
          <w:spacing w:val="-13"/>
        </w:rPr>
        <w:t> </w:t>
      </w:r>
      <w:r>
        <w:rPr>
          <w:color w:val="231F20"/>
        </w:rPr>
        <w:t>services</w:t>
      </w:r>
      <w:r>
        <w:rPr>
          <w:color w:val="231F20"/>
          <w:spacing w:val="-13"/>
        </w:rPr>
        <w:t> </w:t>
      </w:r>
      <w:r>
        <w:rPr>
          <w:color w:val="231F20"/>
        </w:rPr>
        <w:t>facturés</w:t>
      </w:r>
      <w:r>
        <w:rPr>
          <w:color w:val="231F20"/>
          <w:spacing w:val="-13"/>
        </w:rPr>
        <w:t> </w:t>
      </w:r>
      <w:r>
        <w:rPr>
          <w:color w:val="231F20"/>
        </w:rPr>
        <w:t>par les foires de tourisme MICE (Francfort) et Messe</w:t>
      </w:r>
      <w:r>
        <w:rPr>
          <w:color w:val="231F20"/>
          <w:spacing w:val="-17"/>
        </w:rPr>
        <w:t> </w:t>
      </w:r>
      <w:r>
        <w:rPr>
          <w:color w:val="231F20"/>
        </w:rPr>
        <w:t>Wien</w:t>
      </w:r>
      <w:r>
        <w:rPr>
          <w:color w:val="231F20"/>
          <w:spacing w:val="-16"/>
        </w:rPr>
        <w:t> </w:t>
      </w:r>
      <w:r>
        <w:rPr>
          <w:color w:val="231F20"/>
        </w:rPr>
        <w:t>(Autriche),</w:t>
      </w:r>
      <w:r>
        <w:rPr>
          <w:color w:val="231F20"/>
          <w:spacing w:val="-17"/>
        </w:rPr>
        <w:t> </w:t>
      </w:r>
      <w:r>
        <w:rPr>
          <w:color w:val="231F20"/>
        </w:rPr>
        <w:t>mettant</w:t>
      </w:r>
      <w:r>
        <w:rPr>
          <w:color w:val="231F20"/>
          <w:spacing w:val="-16"/>
        </w:rPr>
        <w:t> </w:t>
      </w:r>
      <w:r>
        <w:rPr>
          <w:color w:val="231F20"/>
        </w:rPr>
        <w:t>en</w:t>
      </w:r>
      <w:r>
        <w:rPr>
          <w:color w:val="231F20"/>
          <w:spacing w:val="-17"/>
        </w:rPr>
        <w:t> </w:t>
      </w:r>
      <w:r>
        <w:rPr>
          <w:color w:val="231F20"/>
        </w:rPr>
        <w:t>danger </w:t>
      </w:r>
      <w:r>
        <w:rPr>
          <w:color w:val="231F20"/>
          <w:spacing w:val="-6"/>
        </w:rPr>
        <w:t>la</w:t>
      </w:r>
      <w:r>
        <w:rPr>
          <w:color w:val="231F20"/>
          <w:spacing w:val="-9"/>
        </w:rPr>
        <w:t> </w:t>
      </w:r>
      <w:r>
        <w:rPr>
          <w:color w:val="231F20"/>
          <w:spacing w:val="-6"/>
        </w:rPr>
        <w:t>possibilité</w:t>
      </w:r>
      <w:r>
        <w:rPr>
          <w:color w:val="231F20"/>
          <w:spacing w:val="-9"/>
        </w:rPr>
        <w:t> </w:t>
      </w:r>
      <w:r>
        <w:rPr>
          <w:color w:val="231F20"/>
          <w:spacing w:val="-6"/>
        </w:rPr>
        <w:t>d’inscription</w:t>
      </w:r>
      <w:r>
        <w:rPr>
          <w:color w:val="231F20"/>
          <w:spacing w:val="-9"/>
        </w:rPr>
        <w:t> </w:t>
      </w:r>
      <w:r>
        <w:rPr>
          <w:color w:val="231F20"/>
          <w:spacing w:val="-6"/>
        </w:rPr>
        <w:t>et</w:t>
      </w:r>
      <w:r>
        <w:rPr>
          <w:color w:val="231F20"/>
          <w:spacing w:val="-9"/>
        </w:rPr>
        <w:t> </w:t>
      </w:r>
      <w:r>
        <w:rPr>
          <w:color w:val="231F20"/>
          <w:spacing w:val="-6"/>
        </w:rPr>
        <w:t>de</w:t>
      </w:r>
      <w:r>
        <w:rPr>
          <w:color w:val="231F20"/>
          <w:spacing w:val="-9"/>
        </w:rPr>
        <w:t> </w:t>
      </w:r>
      <w:r>
        <w:rPr>
          <w:color w:val="231F20"/>
          <w:spacing w:val="-6"/>
        </w:rPr>
        <w:t>participation </w:t>
      </w:r>
      <w:r>
        <w:rPr>
          <w:color w:val="231F20"/>
        </w:rPr>
        <w:t>de Cuba aux foires suivantes.</w:t>
      </w:r>
    </w:p>
    <w:p>
      <w:pPr>
        <w:pStyle w:val="BodyText"/>
        <w:spacing w:before="88"/>
        <w:jc w:val="left"/>
      </w:pPr>
    </w:p>
    <w:p>
      <w:pPr>
        <w:pStyle w:val="Heading2"/>
        <w:spacing w:line="211" w:lineRule="auto"/>
      </w:pPr>
      <w:r>
        <w:rPr>
          <w:color w:val="1F4282"/>
          <w:spacing w:val="-2"/>
          <w:w w:val="115"/>
        </w:rPr>
        <w:t>Autres</w:t>
      </w:r>
      <w:r>
        <w:rPr>
          <w:color w:val="1F4282"/>
          <w:spacing w:val="-20"/>
          <w:w w:val="115"/>
        </w:rPr>
        <w:t> </w:t>
      </w:r>
      <w:r>
        <w:rPr>
          <w:color w:val="1F4282"/>
          <w:spacing w:val="-2"/>
          <w:w w:val="115"/>
        </w:rPr>
        <w:t>préjudices extraterritoriaux</w:t>
      </w:r>
    </w:p>
    <w:p>
      <w:pPr>
        <w:pStyle w:val="BodyText"/>
        <w:spacing w:before="161"/>
        <w:ind w:left="1133" w:right="5"/>
      </w:pPr>
      <w:r>
        <w:rPr>
          <w:b/>
          <w:color w:val="B52628"/>
          <w:spacing w:val="-2"/>
        </w:rPr>
        <w:t>21</w:t>
      </w:r>
      <w:r>
        <w:rPr>
          <w:b/>
          <w:color w:val="B52628"/>
          <w:spacing w:val="-15"/>
        </w:rPr>
        <w:t> </w:t>
      </w:r>
      <w:r>
        <w:rPr>
          <w:b/>
          <w:color w:val="B52628"/>
          <w:spacing w:val="-2"/>
        </w:rPr>
        <w:t>avril</w:t>
      </w:r>
      <w:r>
        <w:rPr>
          <w:b/>
          <w:color w:val="B52628"/>
          <w:spacing w:val="-15"/>
        </w:rPr>
        <w:t> </w:t>
      </w:r>
      <w:r>
        <w:rPr>
          <w:b/>
          <w:color w:val="B52628"/>
          <w:spacing w:val="-2"/>
        </w:rPr>
        <w:t>2022.</w:t>
      </w:r>
      <w:r>
        <w:rPr>
          <w:b/>
          <w:color w:val="B52628"/>
          <w:spacing w:val="-14"/>
        </w:rPr>
        <w:t> </w:t>
      </w:r>
      <w:r>
        <w:rPr>
          <w:color w:val="231F20"/>
          <w:spacing w:val="-2"/>
        </w:rPr>
        <w:t>Deux</w:t>
      </w:r>
      <w:r>
        <w:rPr>
          <w:color w:val="231F20"/>
          <w:spacing w:val="-15"/>
        </w:rPr>
        <w:t> </w:t>
      </w:r>
      <w:r>
        <w:rPr>
          <w:color w:val="231F20"/>
          <w:spacing w:val="-2"/>
        </w:rPr>
        <w:t>sociétés</w:t>
      </w:r>
      <w:r>
        <w:rPr>
          <w:color w:val="231F20"/>
          <w:spacing w:val="-14"/>
        </w:rPr>
        <w:t> </w:t>
      </w:r>
      <w:r>
        <w:rPr>
          <w:color w:val="231F20"/>
          <w:spacing w:val="-2"/>
        </w:rPr>
        <w:t>étasuniennes, </w:t>
      </w:r>
      <w:r>
        <w:rPr>
          <w:color w:val="231F20"/>
          <w:spacing w:val="-14"/>
        </w:rPr>
        <w:t>pour</w:t>
      </w:r>
      <w:r>
        <w:rPr>
          <w:color w:val="231F20"/>
        </w:rPr>
        <w:t> </w:t>
      </w:r>
      <w:r>
        <w:rPr>
          <w:color w:val="231F20"/>
          <w:spacing w:val="-14"/>
        </w:rPr>
        <w:t>éviter</w:t>
      </w:r>
      <w:r>
        <w:rPr>
          <w:color w:val="231F20"/>
        </w:rPr>
        <w:t> </w:t>
      </w:r>
      <w:r>
        <w:rPr>
          <w:color w:val="231F20"/>
          <w:spacing w:val="-14"/>
        </w:rPr>
        <w:t>des</w:t>
      </w:r>
      <w:r>
        <w:rPr>
          <w:color w:val="231F20"/>
        </w:rPr>
        <w:t> </w:t>
      </w:r>
      <w:r>
        <w:rPr>
          <w:color w:val="231F20"/>
          <w:spacing w:val="-14"/>
        </w:rPr>
        <w:t>demandes</w:t>
      </w:r>
      <w:r>
        <w:rPr>
          <w:color w:val="231F20"/>
        </w:rPr>
        <w:t> </w:t>
      </w:r>
      <w:r>
        <w:rPr>
          <w:color w:val="231F20"/>
          <w:spacing w:val="-14"/>
        </w:rPr>
        <w:t>civiles,</w:t>
      </w:r>
      <w:r>
        <w:rPr>
          <w:color w:val="231F20"/>
        </w:rPr>
        <w:t> </w:t>
      </w:r>
      <w:r>
        <w:rPr>
          <w:color w:val="231F20"/>
          <w:spacing w:val="-14"/>
        </w:rPr>
        <w:t>acceptent</w:t>
      </w:r>
      <w:r>
        <w:rPr>
          <w:color w:val="231F20"/>
        </w:rPr>
        <w:t> </w:t>
      </w:r>
      <w:r>
        <w:rPr>
          <w:color w:val="231F20"/>
          <w:spacing w:val="-14"/>
        </w:rPr>
        <w:t>de </w:t>
      </w:r>
      <w:r>
        <w:rPr>
          <w:color w:val="231F20"/>
          <w:spacing w:val="-10"/>
        </w:rPr>
        <w:t>payer</w:t>
      </w:r>
      <w:r>
        <w:rPr>
          <w:color w:val="231F20"/>
          <w:spacing w:val="-7"/>
        </w:rPr>
        <w:t> </w:t>
      </w:r>
      <w:r>
        <w:rPr>
          <w:color w:val="231F20"/>
          <w:spacing w:val="-10"/>
        </w:rPr>
        <w:t>les</w:t>
      </w:r>
      <w:r>
        <w:rPr>
          <w:color w:val="231F20"/>
          <w:spacing w:val="-6"/>
        </w:rPr>
        <w:t> </w:t>
      </w:r>
      <w:r>
        <w:rPr>
          <w:color w:val="231F20"/>
          <w:spacing w:val="-10"/>
        </w:rPr>
        <w:t>amendes</w:t>
      </w:r>
      <w:r>
        <w:rPr>
          <w:color w:val="231F20"/>
          <w:spacing w:val="-7"/>
        </w:rPr>
        <w:t> </w:t>
      </w:r>
      <w:r>
        <w:rPr>
          <w:color w:val="231F20"/>
          <w:spacing w:val="-10"/>
        </w:rPr>
        <w:t>que</w:t>
      </w:r>
      <w:r>
        <w:rPr>
          <w:color w:val="231F20"/>
          <w:spacing w:val="-6"/>
        </w:rPr>
        <w:t> </w:t>
      </w:r>
      <w:r>
        <w:rPr>
          <w:color w:val="231F20"/>
          <w:spacing w:val="-10"/>
        </w:rPr>
        <w:t>l’OFAC</w:t>
      </w:r>
      <w:r>
        <w:rPr>
          <w:color w:val="231F20"/>
          <w:spacing w:val="-7"/>
        </w:rPr>
        <w:t> </w:t>
      </w:r>
      <w:r>
        <w:rPr>
          <w:color w:val="231F20"/>
          <w:spacing w:val="-10"/>
        </w:rPr>
        <w:t>leur</w:t>
      </w:r>
      <w:r>
        <w:rPr>
          <w:color w:val="231F20"/>
          <w:spacing w:val="-6"/>
        </w:rPr>
        <w:t> </w:t>
      </w:r>
      <w:r>
        <w:rPr>
          <w:color w:val="231F20"/>
          <w:spacing w:val="-10"/>
        </w:rPr>
        <w:t>a</w:t>
      </w:r>
      <w:r>
        <w:rPr>
          <w:color w:val="231F20"/>
          <w:spacing w:val="-7"/>
        </w:rPr>
        <w:t> </w:t>
      </w:r>
      <w:r>
        <w:rPr>
          <w:color w:val="231F20"/>
          <w:spacing w:val="-10"/>
        </w:rPr>
        <w:t>infligées pour</w:t>
      </w:r>
      <w:r>
        <w:rPr>
          <w:color w:val="231F20"/>
        </w:rPr>
        <w:t> </w:t>
      </w:r>
      <w:r>
        <w:rPr>
          <w:color w:val="231F20"/>
          <w:spacing w:val="-10"/>
        </w:rPr>
        <w:t>prétendues</w:t>
      </w:r>
      <w:r>
        <w:rPr>
          <w:color w:val="231F20"/>
          <w:spacing w:val="-1"/>
        </w:rPr>
        <w:t> </w:t>
      </w:r>
      <w:r>
        <w:rPr>
          <w:color w:val="231F20"/>
          <w:spacing w:val="-10"/>
        </w:rPr>
        <w:t>violations</w:t>
      </w:r>
      <w:r>
        <w:rPr>
          <w:color w:val="231F20"/>
          <w:spacing w:val="-1"/>
        </w:rPr>
        <w:t> </w:t>
      </w:r>
      <w:r>
        <w:rPr>
          <w:color w:val="231F20"/>
          <w:spacing w:val="-10"/>
        </w:rPr>
        <w:t>des</w:t>
      </w:r>
      <w:r>
        <w:rPr>
          <w:color w:val="231F20"/>
          <w:spacing w:val="-1"/>
        </w:rPr>
        <w:t> </w:t>
      </w:r>
      <w:r>
        <w:rPr>
          <w:color w:val="231F20"/>
          <w:spacing w:val="-10"/>
        </w:rPr>
        <w:t>Cuban</w:t>
      </w:r>
      <w:r>
        <w:rPr>
          <w:color w:val="231F20"/>
          <w:spacing w:val="-1"/>
        </w:rPr>
        <w:t> </w:t>
      </w:r>
      <w:r>
        <w:rPr>
          <w:color w:val="231F20"/>
          <w:spacing w:val="-10"/>
        </w:rPr>
        <w:t>Assets </w:t>
      </w:r>
      <w:r>
        <w:rPr>
          <w:color w:val="231F20"/>
        </w:rPr>
        <w:t>Control Regulations :</w:t>
      </w:r>
      <w:r>
        <w:rPr>
          <w:color w:val="231F20"/>
          <w:spacing w:val="40"/>
        </w:rPr>
        <w:t> </w:t>
      </w:r>
      <w:r>
        <w:rPr>
          <w:color w:val="231F20"/>
        </w:rPr>
        <w:t>la multinationale minière Newmont Corporation (Denver, Colorado)</w:t>
      </w:r>
      <w:r>
        <w:rPr>
          <w:color w:val="231F20"/>
          <w:spacing w:val="16"/>
        </w:rPr>
        <w:t> </w:t>
      </w:r>
      <w:r>
        <w:rPr>
          <w:color w:val="231F20"/>
        </w:rPr>
        <w:t>verse</w:t>
      </w:r>
      <w:r>
        <w:rPr>
          <w:color w:val="231F20"/>
          <w:spacing w:val="18"/>
        </w:rPr>
        <w:t> </w:t>
      </w:r>
      <w:r>
        <w:rPr>
          <w:color w:val="231F20"/>
        </w:rPr>
        <w:t>141</w:t>
      </w:r>
      <w:r>
        <w:rPr>
          <w:color w:val="231F20"/>
          <w:spacing w:val="18"/>
        </w:rPr>
        <w:t> </w:t>
      </w:r>
      <w:r>
        <w:rPr>
          <w:color w:val="231F20"/>
        </w:rPr>
        <w:t>442</w:t>
      </w:r>
      <w:r>
        <w:rPr>
          <w:color w:val="231F20"/>
          <w:spacing w:val="18"/>
        </w:rPr>
        <w:t> </w:t>
      </w:r>
      <w:r>
        <w:rPr>
          <w:color w:val="231F20"/>
        </w:rPr>
        <w:t>dollars,</w:t>
      </w:r>
      <w:r>
        <w:rPr>
          <w:color w:val="231F20"/>
          <w:spacing w:val="18"/>
        </w:rPr>
        <w:t> </w:t>
      </w:r>
      <w:r>
        <w:rPr>
          <w:color w:val="231F20"/>
        </w:rPr>
        <w:t>et</w:t>
      </w:r>
      <w:r>
        <w:rPr>
          <w:color w:val="231F20"/>
          <w:spacing w:val="18"/>
        </w:rPr>
        <w:t> </w:t>
      </w:r>
      <w:r>
        <w:rPr>
          <w:color w:val="231F20"/>
          <w:spacing w:val="-4"/>
        </w:rPr>
        <w:t>Chisu</w:t>
      </w:r>
    </w:p>
    <w:p>
      <w:pPr>
        <w:pStyle w:val="BodyText"/>
        <w:spacing w:before="77"/>
        <w:ind w:left="412" w:right="1479"/>
      </w:pPr>
      <w:r>
        <w:rPr/>
        <w:br w:type="column"/>
      </w:r>
      <w:r>
        <w:rPr>
          <w:color w:val="231F20"/>
        </w:rPr>
        <w:t>International</w:t>
      </w:r>
      <w:r>
        <w:rPr>
          <w:color w:val="231F20"/>
          <w:spacing w:val="-17"/>
        </w:rPr>
        <w:t> </w:t>
      </w:r>
      <w:r>
        <w:rPr>
          <w:color w:val="231F20"/>
        </w:rPr>
        <w:t>Corporation</w:t>
      </w:r>
      <w:r>
        <w:rPr>
          <w:color w:val="231F20"/>
          <w:spacing w:val="-16"/>
        </w:rPr>
        <w:t> </w:t>
      </w:r>
      <w:r>
        <w:rPr>
          <w:color w:val="231F20"/>
        </w:rPr>
        <w:t>(Floride),</w:t>
      </w:r>
      <w:r>
        <w:rPr>
          <w:color w:val="231F20"/>
          <w:spacing w:val="-17"/>
        </w:rPr>
        <w:t> </w:t>
      </w:r>
      <w:r>
        <w:rPr>
          <w:color w:val="231F20"/>
        </w:rPr>
        <w:t>45</w:t>
      </w:r>
      <w:r>
        <w:rPr>
          <w:color w:val="231F20"/>
          <w:spacing w:val="-16"/>
        </w:rPr>
        <w:t> </w:t>
      </w:r>
      <w:r>
        <w:rPr>
          <w:color w:val="231F20"/>
        </w:rPr>
        <w:t>908 </w:t>
      </w:r>
      <w:r>
        <w:rPr>
          <w:color w:val="231F20"/>
          <w:spacing w:val="-10"/>
        </w:rPr>
        <w:t>dollars,</w:t>
      </w:r>
      <w:r>
        <w:rPr>
          <w:color w:val="231F20"/>
          <w:spacing w:val="-5"/>
        </w:rPr>
        <w:t> </w:t>
      </w:r>
      <w:r>
        <w:rPr>
          <w:color w:val="231F20"/>
          <w:spacing w:val="-10"/>
        </w:rPr>
        <w:t>leurs</w:t>
      </w:r>
      <w:r>
        <w:rPr>
          <w:color w:val="231F20"/>
          <w:spacing w:val="-5"/>
        </w:rPr>
        <w:t> </w:t>
      </w:r>
      <w:r>
        <w:rPr>
          <w:color w:val="231F20"/>
          <w:spacing w:val="-10"/>
        </w:rPr>
        <w:t>filiales</w:t>
      </w:r>
      <w:r>
        <w:rPr>
          <w:color w:val="231F20"/>
          <w:spacing w:val="-5"/>
        </w:rPr>
        <w:t> </w:t>
      </w:r>
      <w:r>
        <w:rPr>
          <w:color w:val="231F20"/>
          <w:spacing w:val="-10"/>
        </w:rPr>
        <w:t>au</w:t>
      </w:r>
      <w:r>
        <w:rPr>
          <w:color w:val="231F20"/>
          <w:spacing w:val="-5"/>
        </w:rPr>
        <w:t> </w:t>
      </w:r>
      <w:r>
        <w:rPr>
          <w:color w:val="231F20"/>
          <w:spacing w:val="-10"/>
        </w:rPr>
        <w:t>Surinam</w:t>
      </w:r>
      <w:r>
        <w:rPr>
          <w:color w:val="231F20"/>
          <w:spacing w:val="-5"/>
        </w:rPr>
        <w:t> </w:t>
      </w:r>
      <w:r>
        <w:rPr>
          <w:color w:val="231F20"/>
          <w:spacing w:val="-10"/>
        </w:rPr>
        <w:t>et</w:t>
      </w:r>
      <w:r>
        <w:rPr>
          <w:color w:val="231F20"/>
          <w:spacing w:val="-5"/>
        </w:rPr>
        <w:t> </w:t>
      </w:r>
      <w:r>
        <w:rPr>
          <w:color w:val="231F20"/>
          <w:spacing w:val="-10"/>
        </w:rPr>
        <w:t>au</w:t>
      </w:r>
      <w:r>
        <w:rPr>
          <w:color w:val="231F20"/>
          <w:spacing w:val="-5"/>
        </w:rPr>
        <w:t> </w:t>
      </w:r>
      <w:r>
        <w:rPr>
          <w:color w:val="231F20"/>
          <w:spacing w:val="-10"/>
        </w:rPr>
        <w:t>Panama </w:t>
      </w:r>
      <w:r>
        <w:rPr>
          <w:color w:val="231F20"/>
        </w:rPr>
        <w:t>ayant,</w:t>
      </w:r>
      <w:r>
        <w:rPr>
          <w:color w:val="231F20"/>
          <w:spacing w:val="-1"/>
        </w:rPr>
        <w:t> </w:t>
      </w:r>
      <w:r>
        <w:rPr>
          <w:color w:val="231F20"/>
        </w:rPr>
        <w:t>en</w:t>
      </w:r>
      <w:r>
        <w:rPr>
          <w:color w:val="231F20"/>
          <w:spacing w:val="-1"/>
        </w:rPr>
        <w:t> </w:t>
      </w:r>
      <w:r>
        <w:rPr>
          <w:color w:val="231F20"/>
        </w:rPr>
        <w:t>2016-2017,</w:t>
      </w:r>
      <w:r>
        <w:rPr>
          <w:color w:val="231F20"/>
          <w:spacing w:val="-1"/>
        </w:rPr>
        <w:t> </w:t>
      </w:r>
      <w:r>
        <w:rPr>
          <w:color w:val="231F20"/>
        </w:rPr>
        <w:t>acheté</w:t>
      </w:r>
      <w:r>
        <w:rPr>
          <w:color w:val="231F20"/>
          <w:spacing w:val="-1"/>
        </w:rPr>
        <w:t> </w:t>
      </w:r>
      <w:r>
        <w:rPr>
          <w:color w:val="231F20"/>
        </w:rPr>
        <w:t>des</w:t>
      </w:r>
      <w:r>
        <w:rPr>
          <w:color w:val="231F20"/>
          <w:spacing w:val="-1"/>
        </w:rPr>
        <w:t> </w:t>
      </w:r>
      <w:r>
        <w:rPr>
          <w:color w:val="231F20"/>
        </w:rPr>
        <w:t>explosifs </w:t>
      </w:r>
      <w:r>
        <w:rPr>
          <w:color w:val="231F20"/>
          <w:spacing w:val="-6"/>
        </w:rPr>
        <w:t>miniers</w:t>
      </w:r>
      <w:r>
        <w:rPr>
          <w:color w:val="231F20"/>
          <w:spacing w:val="-7"/>
        </w:rPr>
        <w:t> </w:t>
      </w:r>
      <w:r>
        <w:rPr>
          <w:color w:val="231F20"/>
          <w:spacing w:val="-6"/>
        </w:rPr>
        <w:t>et</w:t>
      </w:r>
      <w:r>
        <w:rPr>
          <w:color w:val="231F20"/>
          <w:spacing w:val="-7"/>
        </w:rPr>
        <w:t> </w:t>
      </w:r>
      <w:r>
        <w:rPr>
          <w:color w:val="231F20"/>
          <w:spacing w:val="-6"/>
        </w:rPr>
        <w:t>d’autres</w:t>
      </w:r>
      <w:r>
        <w:rPr>
          <w:color w:val="231F20"/>
          <w:spacing w:val="-7"/>
        </w:rPr>
        <w:t> </w:t>
      </w:r>
      <w:r>
        <w:rPr>
          <w:color w:val="231F20"/>
          <w:spacing w:val="-6"/>
        </w:rPr>
        <w:t>articles</w:t>
      </w:r>
      <w:r>
        <w:rPr>
          <w:color w:val="231F20"/>
          <w:spacing w:val="-7"/>
        </w:rPr>
        <w:t> </w:t>
      </w:r>
      <w:r>
        <w:rPr>
          <w:color w:val="231F20"/>
          <w:spacing w:val="-6"/>
        </w:rPr>
        <w:t>d’origine</w:t>
      </w:r>
      <w:r>
        <w:rPr>
          <w:color w:val="231F20"/>
          <w:spacing w:val="-7"/>
        </w:rPr>
        <w:t> </w:t>
      </w:r>
      <w:r>
        <w:rPr>
          <w:color w:val="231F20"/>
          <w:spacing w:val="-6"/>
        </w:rPr>
        <w:t>cubaine </w:t>
      </w:r>
      <w:r>
        <w:rPr>
          <w:color w:val="231F20"/>
        </w:rPr>
        <w:t>exportés par la société cubaine Unión </w:t>
      </w:r>
      <w:r>
        <w:rPr>
          <w:color w:val="231F20"/>
          <w:spacing w:val="-2"/>
        </w:rPr>
        <w:t>Latinoamericana</w:t>
      </w:r>
      <w:r>
        <w:rPr>
          <w:color w:val="231F20"/>
          <w:spacing w:val="-15"/>
        </w:rPr>
        <w:t> </w:t>
      </w:r>
      <w:r>
        <w:rPr>
          <w:color w:val="231F20"/>
          <w:spacing w:val="-2"/>
        </w:rPr>
        <w:t>de</w:t>
      </w:r>
      <w:r>
        <w:rPr>
          <w:color w:val="231F20"/>
          <w:spacing w:val="-15"/>
        </w:rPr>
        <w:t> </w:t>
      </w:r>
      <w:r>
        <w:rPr>
          <w:color w:val="231F20"/>
          <w:spacing w:val="-2"/>
        </w:rPr>
        <w:t>Explosivos</w:t>
      </w:r>
      <w:r>
        <w:rPr>
          <w:color w:val="231F20"/>
          <w:spacing w:val="-15"/>
        </w:rPr>
        <w:t> </w:t>
      </w:r>
      <w:r>
        <w:rPr>
          <w:color w:val="231F20"/>
          <w:spacing w:val="-2"/>
        </w:rPr>
        <w:t>(ULAEX).</w:t>
      </w:r>
    </w:p>
    <w:p>
      <w:pPr>
        <w:pStyle w:val="BodyText"/>
        <w:spacing w:before="164"/>
        <w:ind w:left="412" w:right="1471"/>
      </w:pPr>
      <w:r>
        <w:rPr>
          <w:b/>
          <w:color w:val="B52628"/>
        </w:rPr>
        <w:t>26 septembre 2022. </w:t>
      </w:r>
      <w:r>
        <w:rPr>
          <w:color w:val="231F20"/>
        </w:rPr>
        <w:t>Pour éviter une demande civile, CA Indosuez Switzerland SA (CAIS), une banque d’investissement spécialisée en gestion patrimoniale et corporative, filiale indirecte de Crédit Agricole</w:t>
      </w:r>
      <w:r>
        <w:rPr>
          <w:color w:val="231F20"/>
          <w:spacing w:val="40"/>
        </w:rPr>
        <w:t> </w:t>
      </w:r>
      <w:r>
        <w:rPr>
          <w:color w:val="231F20"/>
        </w:rPr>
        <w:t>Corporate</w:t>
      </w:r>
      <w:r>
        <w:rPr>
          <w:color w:val="231F20"/>
          <w:spacing w:val="40"/>
        </w:rPr>
        <w:t> </w:t>
      </w:r>
      <w:r>
        <w:rPr>
          <w:color w:val="231F20"/>
        </w:rPr>
        <w:t>and</w:t>
      </w:r>
      <w:r>
        <w:rPr>
          <w:color w:val="231F20"/>
          <w:spacing w:val="40"/>
        </w:rPr>
        <w:t> </w:t>
      </w:r>
      <w:r>
        <w:rPr>
          <w:color w:val="231F20"/>
        </w:rPr>
        <w:t>Investment</w:t>
      </w:r>
      <w:r>
        <w:rPr>
          <w:color w:val="231F20"/>
          <w:spacing w:val="80"/>
        </w:rPr>
        <w:t> </w:t>
      </w:r>
      <w:r>
        <w:rPr>
          <w:color w:val="231F20"/>
        </w:rPr>
        <w:t>Bank (Suisse), accepte de verser à l’OFAC une amende de 720 258 dollars, pour prétendues violations des sanctions imposées à Cuba, à l’Iran, au Soudan et à la</w:t>
      </w:r>
      <w:r>
        <w:rPr>
          <w:color w:val="231F20"/>
          <w:spacing w:val="-11"/>
        </w:rPr>
        <w:t> </w:t>
      </w:r>
      <w:r>
        <w:rPr>
          <w:color w:val="231F20"/>
        </w:rPr>
        <w:t>Syrie.</w:t>
      </w:r>
      <w:r>
        <w:rPr>
          <w:color w:val="231F20"/>
          <w:spacing w:val="-11"/>
        </w:rPr>
        <w:t> </w:t>
      </w:r>
      <w:r>
        <w:rPr>
          <w:color w:val="231F20"/>
        </w:rPr>
        <w:t>Par</w:t>
      </w:r>
      <w:r>
        <w:rPr>
          <w:color w:val="231F20"/>
          <w:spacing w:val="-11"/>
        </w:rPr>
        <w:t> </w:t>
      </w:r>
      <w:r>
        <w:rPr>
          <w:color w:val="231F20"/>
        </w:rPr>
        <w:t>ailleurs,</w:t>
      </w:r>
      <w:r>
        <w:rPr>
          <w:color w:val="231F20"/>
          <w:spacing w:val="-11"/>
        </w:rPr>
        <w:t> </w:t>
      </w:r>
      <w:r>
        <w:rPr>
          <w:color w:val="231F20"/>
        </w:rPr>
        <w:t>CFM</w:t>
      </w:r>
      <w:r>
        <w:rPr>
          <w:color w:val="231F20"/>
          <w:spacing w:val="-11"/>
        </w:rPr>
        <w:t> </w:t>
      </w:r>
      <w:r>
        <w:rPr>
          <w:color w:val="231F20"/>
        </w:rPr>
        <w:t>Indosuez</w:t>
      </w:r>
      <w:r>
        <w:rPr>
          <w:color w:val="231F20"/>
          <w:spacing w:val="-11"/>
        </w:rPr>
        <w:t> </w:t>
      </w:r>
      <w:r>
        <w:rPr>
          <w:color w:val="231F20"/>
        </w:rPr>
        <w:t>Wealth </w:t>
      </w:r>
      <w:r>
        <w:rPr>
          <w:color w:val="231F20"/>
          <w:spacing w:val="-4"/>
        </w:rPr>
        <w:t>(CFM),</w:t>
      </w:r>
      <w:r>
        <w:rPr>
          <w:color w:val="231F20"/>
          <w:spacing w:val="-10"/>
        </w:rPr>
        <w:t> </w:t>
      </w:r>
      <w:r>
        <w:rPr>
          <w:color w:val="231F20"/>
          <w:spacing w:val="-4"/>
        </w:rPr>
        <w:t>elle</w:t>
      </w:r>
      <w:r>
        <w:rPr>
          <w:color w:val="231F20"/>
          <w:spacing w:val="-10"/>
        </w:rPr>
        <w:t> </w:t>
      </w:r>
      <w:r>
        <w:rPr>
          <w:color w:val="231F20"/>
          <w:spacing w:val="-4"/>
        </w:rPr>
        <w:t>aussi</w:t>
      </w:r>
      <w:r>
        <w:rPr>
          <w:color w:val="231F20"/>
          <w:spacing w:val="-10"/>
        </w:rPr>
        <w:t> </w:t>
      </w:r>
      <w:r>
        <w:rPr>
          <w:color w:val="231F20"/>
          <w:spacing w:val="-4"/>
        </w:rPr>
        <w:t>filiale</w:t>
      </w:r>
      <w:r>
        <w:rPr>
          <w:color w:val="231F20"/>
          <w:spacing w:val="-10"/>
        </w:rPr>
        <w:t> </w:t>
      </w:r>
      <w:r>
        <w:rPr>
          <w:color w:val="231F20"/>
          <w:spacing w:val="-4"/>
        </w:rPr>
        <w:t>indirecte</w:t>
      </w:r>
      <w:r>
        <w:rPr>
          <w:color w:val="231F20"/>
          <w:spacing w:val="-10"/>
        </w:rPr>
        <w:t> </w:t>
      </w:r>
      <w:r>
        <w:rPr>
          <w:color w:val="231F20"/>
          <w:spacing w:val="-4"/>
        </w:rPr>
        <w:t>de</w:t>
      </w:r>
      <w:r>
        <w:rPr>
          <w:color w:val="231F20"/>
          <w:spacing w:val="-10"/>
        </w:rPr>
        <w:t> </w:t>
      </w:r>
      <w:r>
        <w:rPr>
          <w:color w:val="231F20"/>
          <w:spacing w:val="-4"/>
        </w:rPr>
        <w:t>la</w:t>
      </w:r>
      <w:r>
        <w:rPr>
          <w:color w:val="231F20"/>
          <w:spacing w:val="-10"/>
        </w:rPr>
        <w:t> </w:t>
      </w:r>
      <w:r>
        <w:rPr>
          <w:color w:val="231F20"/>
          <w:spacing w:val="-4"/>
        </w:rPr>
        <w:t>même </w:t>
      </w:r>
      <w:r>
        <w:rPr>
          <w:color w:val="231F20"/>
        </w:rPr>
        <w:t>banque,</w:t>
      </w:r>
      <w:r>
        <w:rPr>
          <w:color w:val="231F20"/>
          <w:spacing w:val="-10"/>
        </w:rPr>
        <w:t> </w:t>
      </w:r>
      <w:r>
        <w:rPr>
          <w:color w:val="231F20"/>
        </w:rPr>
        <w:t>mais</w:t>
      </w:r>
      <w:r>
        <w:rPr>
          <w:color w:val="231F20"/>
          <w:spacing w:val="-10"/>
        </w:rPr>
        <w:t> </w:t>
      </w:r>
      <w:r>
        <w:rPr>
          <w:color w:val="231F20"/>
        </w:rPr>
        <w:t>à</w:t>
      </w:r>
      <w:r>
        <w:rPr>
          <w:color w:val="231F20"/>
          <w:spacing w:val="-10"/>
        </w:rPr>
        <w:t> </w:t>
      </w:r>
      <w:r>
        <w:rPr>
          <w:color w:val="231F20"/>
        </w:rPr>
        <w:t>Monaco,</w:t>
      </w:r>
      <w:r>
        <w:rPr>
          <w:color w:val="231F20"/>
          <w:spacing w:val="-10"/>
        </w:rPr>
        <w:t> </w:t>
      </w:r>
      <w:r>
        <w:rPr>
          <w:color w:val="231F20"/>
        </w:rPr>
        <w:t>accepte</w:t>
      </w:r>
      <w:r>
        <w:rPr>
          <w:color w:val="231F20"/>
          <w:spacing w:val="-10"/>
        </w:rPr>
        <w:t> </w:t>
      </w:r>
      <w:r>
        <w:rPr>
          <w:color w:val="231F20"/>
        </w:rPr>
        <w:t>de</w:t>
      </w:r>
      <w:r>
        <w:rPr>
          <w:color w:val="231F20"/>
          <w:spacing w:val="-10"/>
        </w:rPr>
        <w:t> </w:t>
      </w:r>
      <w:r>
        <w:rPr>
          <w:color w:val="231F20"/>
        </w:rPr>
        <w:t>payer une amende de 401 039 dollars, pour </w:t>
      </w:r>
      <w:r>
        <w:rPr>
          <w:color w:val="231F20"/>
          <w:spacing w:val="-2"/>
        </w:rPr>
        <w:t>prétendues</w:t>
      </w:r>
      <w:r>
        <w:rPr>
          <w:color w:val="231F20"/>
          <w:spacing w:val="-15"/>
        </w:rPr>
        <w:t> </w:t>
      </w:r>
      <w:r>
        <w:rPr>
          <w:color w:val="231F20"/>
          <w:spacing w:val="-2"/>
        </w:rPr>
        <w:t>violations</w:t>
      </w:r>
      <w:r>
        <w:rPr>
          <w:color w:val="231F20"/>
          <w:spacing w:val="-14"/>
        </w:rPr>
        <w:t> </w:t>
      </w:r>
      <w:r>
        <w:rPr>
          <w:color w:val="231F20"/>
          <w:spacing w:val="-2"/>
        </w:rPr>
        <w:t>du</w:t>
      </w:r>
      <w:r>
        <w:rPr>
          <w:color w:val="231F20"/>
          <w:spacing w:val="-15"/>
        </w:rPr>
        <w:t> </w:t>
      </w:r>
      <w:r>
        <w:rPr>
          <w:color w:val="231F20"/>
          <w:spacing w:val="-2"/>
        </w:rPr>
        <w:t>blocus</w:t>
      </w:r>
      <w:r>
        <w:rPr>
          <w:color w:val="231F20"/>
          <w:spacing w:val="-14"/>
        </w:rPr>
        <w:t> </w:t>
      </w:r>
      <w:r>
        <w:rPr>
          <w:color w:val="231F20"/>
          <w:spacing w:val="-2"/>
        </w:rPr>
        <w:t>appliqué</w:t>
      </w:r>
      <w:r>
        <w:rPr>
          <w:color w:val="231F20"/>
          <w:spacing w:val="-15"/>
        </w:rPr>
        <w:t> </w:t>
      </w:r>
      <w:r>
        <w:rPr>
          <w:color w:val="231F20"/>
          <w:spacing w:val="-2"/>
        </w:rPr>
        <w:t>à </w:t>
      </w:r>
      <w:r>
        <w:rPr>
          <w:color w:val="231F20"/>
          <w:spacing w:val="-4"/>
        </w:rPr>
        <w:t>Cuba</w:t>
      </w:r>
      <w:r>
        <w:rPr>
          <w:color w:val="231F20"/>
          <w:spacing w:val="-10"/>
        </w:rPr>
        <w:t> </w:t>
      </w:r>
      <w:r>
        <w:rPr>
          <w:color w:val="231F20"/>
          <w:spacing w:val="-4"/>
        </w:rPr>
        <w:t>et</w:t>
      </w:r>
      <w:r>
        <w:rPr>
          <w:color w:val="231F20"/>
          <w:spacing w:val="-10"/>
        </w:rPr>
        <w:t> </w:t>
      </w:r>
      <w:r>
        <w:rPr>
          <w:color w:val="231F20"/>
          <w:spacing w:val="-4"/>
        </w:rPr>
        <w:t>des</w:t>
      </w:r>
      <w:r>
        <w:rPr>
          <w:color w:val="231F20"/>
          <w:spacing w:val="-10"/>
        </w:rPr>
        <w:t> </w:t>
      </w:r>
      <w:r>
        <w:rPr>
          <w:color w:val="231F20"/>
          <w:spacing w:val="-4"/>
        </w:rPr>
        <w:t>sanctions</w:t>
      </w:r>
      <w:r>
        <w:rPr>
          <w:color w:val="231F20"/>
          <w:spacing w:val="-10"/>
        </w:rPr>
        <w:t> </w:t>
      </w:r>
      <w:r>
        <w:rPr>
          <w:color w:val="231F20"/>
          <w:spacing w:val="-4"/>
        </w:rPr>
        <w:t>imposées</w:t>
      </w:r>
      <w:r>
        <w:rPr>
          <w:color w:val="231F20"/>
          <w:spacing w:val="-10"/>
        </w:rPr>
        <w:t> </w:t>
      </w:r>
      <w:r>
        <w:rPr>
          <w:color w:val="231F20"/>
          <w:spacing w:val="-4"/>
        </w:rPr>
        <w:t>à</w:t>
      </w:r>
      <w:r>
        <w:rPr>
          <w:color w:val="231F20"/>
          <w:spacing w:val="-10"/>
        </w:rPr>
        <w:t> </w:t>
      </w:r>
      <w:r>
        <w:rPr>
          <w:color w:val="231F20"/>
          <w:spacing w:val="-4"/>
        </w:rPr>
        <w:t>l’Iran</w:t>
      </w:r>
      <w:r>
        <w:rPr>
          <w:color w:val="231F20"/>
          <w:spacing w:val="-10"/>
        </w:rPr>
        <w:t> </w:t>
      </w:r>
      <w:r>
        <w:rPr>
          <w:color w:val="231F20"/>
          <w:spacing w:val="-4"/>
        </w:rPr>
        <w:t>et</w:t>
      </w:r>
      <w:r>
        <w:rPr>
          <w:color w:val="231F20"/>
          <w:spacing w:val="-10"/>
        </w:rPr>
        <w:t> </w:t>
      </w:r>
      <w:r>
        <w:rPr>
          <w:color w:val="231F20"/>
          <w:spacing w:val="-4"/>
        </w:rPr>
        <w:t>à la</w:t>
      </w:r>
      <w:r>
        <w:rPr>
          <w:color w:val="231F20"/>
          <w:spacing w:val="-13"/>
        </w:rPr>
        <w:t> </w:t>
      </w:r>
      <w:r>
        <w:rPr>
          <w:color w:val="231F20"/>
          <w:spacing w:val="-4"/>
        </w:rPr>
        <w:t>Syrie,</w:t>
      </w:r>
      <w:r>
        <w:rPr>
          <w:color w:val="231F20"/>
          <w:spacing w:val="-12"/>
        </w:rPr>
        <w:t> </w:t>
      </w:r>
      <w:r>
        <w:rPr>
          <w:color w:val="231F20"/>
          <w:spacing w:val="-4"/>
        </w:rPr>
        <w:t>l’OFAC</w:t>
      </w:r>
      <w:r>
        <w:rPr>
          <w:color w:val="231F20"/>
          <w:spacing w:val="-13"/>
        </w:rPr>
        <w:t> </w:t>
      </w:r>
      <w:r>
        <w:rPr>
          <w:color w:val="231F20"/>
          <w:spacing w:val="-4"/>
        </w:rPr>
        <w:t>alléguant</w:t>
      </w:r>
      <w:r>
        <w:rPr>
          <w:color w:val="231F20"/>
          <w:spacing w:val="-12"/>
        </w:rPr>
        <w:t> </w:t>
      </w:r>
      <w:r>
        <w:rPr>
          <w:color w:val="231F20"/>
          <w:spacing w:val="-4"/>
        </w:rPr>
        <w:t>que,</w:t>
      </w:r>
      <w:r>
        <w:rPr>
          <w:color w:val="231F20"/>
          <w:spacing w:val="-13"/>
        </w:rPr>
        <w:t> </w:t>
      </w:r>
      <w:r>
        <w:rPr>
          <w:color w:val="231F20"/>
          <w:spacing w:val="-4"/>
        </w:rPr>
        <w:t>dans</w:t>
      </w:r>
      <w:r>
        <w:rPr>
          <w:color w:val="231F20"/>
          <w:spacing w:val="-12"/>
        </w:rPr>
        <w:t> </w:t>
      </w:r>
      <w:r>
        <w:rPr>
          <w:color w:val="231F20"/>
          <w:spacing w:val="-4"/>
        </w:rPr>
        <w:t>les</w:t>
      </w:r>
      <w:r>
        <w:rPr>
          <w:color w:val="231F20"/>
          <w:spacing w:val="-13"/>
        </w:rPr>
        <w:t> </w:t>
      </w:r>
      <w:r>
        <w:rPr>
          <w:color w:val="231F20"/>
          <w:spacing w:val="-4"/>
        </w:rPr>
        <w:t>deux </w:t>
      </w:r>
      <w:r>
        <w:rPr>
          <w:color w:val="231F20"/>
        </w:rPr>
        <w:t>cas,</w:t>
      </w:r>
      <w:r>
        <w:rPr>
          <w:color w:val="231F20"/>
          <w:spacing w:val="40"/>
        </w:rPr>
        <w:t> </w:t>
      </w:r>
      <w:r>
        <w:rPr>
          <w:color w:val="231F20"/>
        </w:rPr>
        <w:t>ces filiales ont opéré des comptes et des valeurs en dollars au nom de clients </w:t>
      </w:r>
      <w:r>
        <w:rPr>
          <w:color w:val="231F20"/>
          <w:spacing w:val="-2"/>
        </w:rPr>
        <w:t>des</w:t>
      </w:r>
      <w:r>
        <w:rPr>
          <w:color w:val="231F20"/>
          <w:spacing w:val="-15"/>
        </w:rPr>
        <w:t> </w:t>
      </w:r>
      <w:r>
        <w:rPr>
          <w:color w:val="231F20"/>
          <w:spacing w:val="-2"/>
        </w:rPr>
        <w:t>pays</w:t>
      </w:r>
      <w:r>
        <w:rPr>
          <w:color w:val="231F20"/>
          <w:spacing w:val="-14"/>
        </w:rPr>
        <w:t> </w:t>
      </w:r>
      <w:r>
        <w:rPr>
          <w:color w:val="231F20"/>
          <w:spacing w:val="-2"/>
        </w:rPr>
        <w:t>sanctionnés</w:t>
      </w:r>
      <w:r>
        <w:rPr>
          <w:color w:val="231F20"/>
          <w:spacing w:val="-15"/>
        </w:rPr>
        <w:t> </w:t>
      </w:r>
      <w:r>
        <w:rPr>
          <w:color w:val="231F20"/>
          <w:spacing w:val="-2"/>
        </w:rPr>
        <w:t>et</w:t>
      </w:r>
      <w:r>
        <w:rPr>
          <w:color w:val="231F20"/>
          <w:spacing w:val="-14"/>
        </w:rPr>
        <w:t> </w:t>
      </w:r>
      <w:r>
        <w:rPr>
          <w:color w:val="231F20"/>
          <w:spacing w:val="-2"/>
        </w:rPr>
        <w:t>ont</w:t>
      </w:r>
      <w:r>
        <w:rPr>
          <w:color w:val="231F20"/>
          <w:spacing w:val="-15"/>
        </w:rPr>
        <w:t> </w:t>
      </w:r>
      <w:r>
        <w:rPr>
          <w:color w:val="231F20"/>
          <w:spacing w:val="-2"/>
        </w:rPr>
        <w:t>fait</w:t>
      </w:r>
      <w:r>
        <w:rPr>
          <w:color w:val="231F20"/>
          <w:spacing w:val="-14"/>
        </w:rPr>
        <w:t> </w:t>
      </w:r>
      <w:r>
        <w:rPr>
          <w:color w:val="231F20"/>
          <w:spacing w:val="-2"/>
        </w:rPr>
        <w:t>des</w:t>
      </w:r>
      <w:r>
        <w:rPr>
          <w:color w:val="231F20"/>
          <w:spacing w:val="-15"/>
        </w:rPr>
        <w:t> </w:t>
      </w:r>
      <w:r>
        <w:rPr>
          <w:color w:val="231F20"/>
          <w:spacing w:val="-2"/>
        </w:rPr>
        <w:t>affaires en</w:t>
      </w:r>
      <w:r>
        <w:rPr>
          <w:color w:val="231F20"/>
          <w:spacing w:val="-15"/>
        </w:rPr>
        <w:t> </w:t>
      </w:r>
      <w:r>
        <w:rPr>
          <w:color w:val="231F20"/>
          <w:spacing w:val="-2"/>
        </w:rPr>
        <w:t>dollars</w:t>
      </w:r>
      <w:r>
        <w:rPr>
          <w:color w:val="231F20"/>
          <w:spacing w:val="-14"/>
        </w:rPr>
        <w:t> </w:t>
      </w:r>
      <w:r>
        <w:rPr>
          <w:color w:val="231F20"/>
          <w:spacing w:val="-2"/>
        </w:rPr>
        <w:t>au</w:t>
      </w:r>
      <w:r>
        <w:rPr>
          <w:color w:val="231F20"/>
          <w:spacing w:val="-15"/>
        </w:rPr>
        <w:t> </w:t>
      </w:r>
      <w:r>
        <w:rPr>
          <w:color w:val="231F20"/>
          <w:spacing w:val="-2"/>
        </w:rPr>
        <w:t>nom</w:t>
      </w:r>
      <w:r>
        <w:rPr>
          <w:color w:val="231F20"/>
          <w:spacing w:val="-14"/>
        </w:rPr>
        <w:t> </w:t>
      </w:r>
      <w:r>
        <w:rPr>
          <w:color w:val="231F20"/>
          <w:spacing w:val="-2"/>
        </w:rPr>
        <w:t>de</w:t>
      </w:r>
      <w:r>
        <w:rPr>
          <w:color w:val="231F20"/>
          <w:spacing w:val="-15"/>
        </w:rPr>
        <w:t> </w:t>
      </w:r>
      <w:r>
        <w:rPr>
          <w:color w:val="231F20"/>
          <w:spacing w:val="-2"/>
        </w:rPr>
        <w:t>ces</w:t>
      </w:r>
      <w:r>
        <w:rPr>
          <w:color w:val="231F20"/>
          <w:spacing w:val="-14"/>
        </w:rPr>
        <w:t> </w:t>
      </w:r>
      <w:r>
        <w:rPr>
          <w:color w:val="231F20"/>
          <w:spacing w:val="-2"/>
        </w:rPr>
        <w:t>clients</w:t>
      </w:r>
      <w:r>
        <w:rPr>
          <w:color w:val="231F20"/>
          <w:spacing w:val="-15"/>
        </w:rPr>
        <w:t> </w:t>
      </w:r>
      <w:r>
        <w:rPr>
          <w:color w:val="231F20"/>
          <w:spacing w:val="-2"/>
        </w:rPr>
        <w:t>en</w:t>
      </w:r>
      <w:r>
        <w:rPr>
          <w:color w:val="231F20"/>
          <w:spacing w:val="-14"/>
        </w:rPr>
        <w:t> </w:t>
      </w:r>
      <w:r>
        <w:rPr>
          <w:color w:val="231F20"/>
          <w:spacing w:val="-2"/>
        </w:rPr>
        <w:t>passant </w:t>
      </w:r>
      <w:r>
        <w:rPr>
          <w:color w:val="231F20"/>
        </w:rPr>
        <w:t>par le système financier des États-Unis.</w:t>
      </w:r>
    </w:p>
    <w:p>
      <w:pPr>
        <w:pStyle w:val="BodyText"/>
        <w:spacing w:before="178"/>
        <w:ind w:left="412" w:right="1472"/>
      </w:pPr>
      <w:r>
        <w:rPr>
          <w:b/>
          <w:color w:val="B52628"/>
        </w:rPr>
        <w:t>30 septembre 2022. </w:t>
      </w:r>
      <w:r>
        <w:rPr>
          <w:color w:val="231F20"/>
        </w:rPr>
        <w:t>Pour éviter une demande civile, Tango Card, Inc., une entreprise de Seattle (Washington, USA) qui fournit et distribue des récompenses électroni1ques, accepte de payer une amende de 116 048,60 dollars pour avoir </w:t>
      </w:r>
      <w:r>
        <w:rPr>
          <w:color w:val="231F20"/>
          <w:spacing w:val="-4"/>
        </w:rPr>
        <w:t>transmis</w:t>
      </w:r>
      <w:r>
        <w:rPr>
          <w:color w:val="231F20"/>
          <w:spacing w:val="-13"/>
        </w:rPr>
        <w:t> </w:t>
      </w:r>
      <w:r>
        <w:rPr>
          <w:color w:val="231F20"/>
          <w:spacing w:val="-4"/>
        </w:rPr>
        <w:t>des</w:t>
      </w:r>
      <w:r>
        <w:rPr>
          <w:color w:val="231F20"/>
          <w:spacing w:val="-12"/>
        </w:rPr>
        <w:t> </w:t>
      </w:r>
      <w:r>
        <w:rPr>
          <w:color w:val="231F20"/>
          <w:spacing w:val="-4"/>
        </w:rPr>
        <w:t>produits</w:t>
      </w:r>
      <w:r>
        <w:rPr>
          <w:color w:val="231F20"/>
          <w:spacing w:val="-13"/>
        </w:rPr>
        <w:t> </w:t>
      </w:r>
      <w:r>
        <w:rPr>
          <w:color w:val="231F20"/>
          <w:spacing w:val="-4"/>
        </w:rPr>
        <w:t>à</w:t>
      </w:r>
      <w:r>
        <w:rPr>
          <w:color w:val="231F20"/>
          <w:spacing w:val="-11"/>
        </w:rPr>
        <w:t> </w:t>
      </w:r>
      <w:r>
        <w:rPr>
          <w:color w:val="231F20"/>
          <w:spacing w:val="-4"/>
        </w:rPr>
        <w:t>valeur</w:t>
      </w:r>
      <w:r>
        <w:rPr>
          <w:color w:val="231F20"/>
          <w:spacing w:val="-12"/>
        </w:rPr>
        <w:t> </w:t>
      </w:r>
      <w:r>
        <w:rPr>
          <w:color w:val="231F20"/>
          <w:spacing w:val="-4"/>
        </w:rPr>
        <w:t>entreposée</w:t>
      </w:r>
      <w:r>
        <w:rPr>
          <w:color w:val="231F20"/>
          <w:spacing w:val="-13"/>
        </w:rPr>
        <w:t> </w:t>
      </w:r>
      <w:r>
        <w:rPr>
          <w:color w:val="231F20"/>
          <w:spacing w:val="-4"/>
        </w:rPr>
        <w:t>à </w:t>
      </w:r>
      <w:r>
        <w:rPr>
          <w:color w:val="231F20"/>
          <w:spacing w:val="-2"/>
        </w:rPr>
        <w:t>des</w:t>
      </w:r>
      <w:r>
        <w:rPr>
          <w:color w:val="231F20"/>
          <w:spacing w:val="-11"/>
        </w:rPr>
        <w:t> </w:t>
      </w:r>
      <w:r>
        <w:rPr>
          <w:color w:val="231F20"/>
          <w:spacing w:val="-2"/>
        </w:rPr>
        <w:t>personnes</w:t>
      </w:r>
      <w:r>
        <w:rPr>
          <w:color w:val="231F20"/>
          <w:spacing w:val="-11"/>
        </w:rPr>
        <w:t> </w:t>
      </w:r>
      <w:r>
        <w:rPr>
          <w:color w:val="231F20"/>
          <w:spacing w:val="-2"/>
        </w:rPr>
        <w:t>dont</w:t>
      </w:r>
      <w:r>
        <w:rPr>
          <w:color w:val="231F20"/>
          <w:spacing w:val="-11"/>
        </w:rPr>
        <w:t> </w:t>
      </w:r>
      <w:r>
        <w:rPr>
          <w:color w:val="231F20"/>
          <w:spacing w:val="-2"/>
        </w:rPr>
        <w:t>le</w:t>
      </w:r>
      <w:r>
        <w:rPr>
          <w:color w:val="231F20"/>
          <w:spacing w:val="-11"/>
        </w:rPr>
        <w:t> </w:t>
      </w:r>
      <w:r>
        <w:rPr>
          <w:color w:val="231F20"/>
          <w:spacing w:val="-2"/>
        </w:rPr>
        <w:t>Protocole</w:t>
      </w:r>
      <w:r>
        <w:rPr>
          <w:color w:val="231F20"/>
          <w:spacing w:val="-11"/>
        </w:rPr>
        <w:t> </w:t>
      </w:r>
      <w:r>
        <w:rPr>
          <w:color w:val="231F20"/>
          <w:spacing w:val="-2"/>
        </w:rPr>
        <w:t>d’Internet </w:t>
      </w:r>
      <w:r>
        <w:rPr>
          <w:color w:val="231F20"/>
          <w:spacing w:val="-4"/>
        </w:rPr>
        <w:t>(IP)</w:t>
      </w:r>
      <w:r>
        <w:rPr>
          <w:color w:val="231F20"/>
          <w:spacing w:val="-13"/>
        </w:rPr>
        <w:t> </w:t>
      </w:r>
      <w:r>
        <w:rPr>
          <w:color w:val="231F20"/>
          <w:spacing w:val="-4"/>
        </w:rPr>
        <w:t>et</w:t>
      </w:r>
      <w:r>
        <w:rPr>
          <w:color w:val="231F20"/>
          <w:spacing w:val="-12"/>
        </w:rPr>
        <w:t> </w:t>
      </w:r>
      <w:r>
        <w:rPr>
          <w:color w:val="231F20"/>
          <w:spacing w:val="-4"/>
        </w:rPr>
        <w:t>les</w:t>
      </w:r>
      <w:r>
        <w:rPr>
          <w:color w:val="231F20"/>
          <w:spacing w:val="-12"/>
        </w:rPr>
        <w:t> </w:t>
      </w:r>
      <w:r>
        <w:rPr>
          <w:color w:val="231F20"/>
          <w:spacing w:val="-4"/>
        </w:rPr>
        <w:t>adresses</w:t>
      </w:r>
      <w:r>
        <w:rPr>
          <w:color w:val="231F20"/>
          <w:spacing w:val="-13"/>
        </w:rPr>
        <w:t> </w:t>
      </w:r>
      <w:r>
        <w:rPr>
          <w:color w:val="231F20"/>
          <w:spacing w:val="-4"/>
        </w:rPr>
        <w:t>électroniques</w:t>
      </w:r>
      <w:r>
        <w:rPr>
          <w:color w:val="231F20"/>
          <w:spacing w:val="-12"/>
        </w:rPr>
        <w:t> </w:t>
      </w:r>
      <w:r>
        <w:rPr>
          <w:color w:val="231F20"/>
          <w:spacing w:val="-4"/>
        </w:rPr>
        <w:t>sont</w:t>
      </w:r>
      <w:r>
        <w:rPr>
          <w:color w:val="231F20"/>
          <w:spacing w:val="-12"/>
        </w:rPr>
        <w:t> </w:t>
      </w:r>
      <w:r>
        <w:rPr>
          <w:color w:val="231F20"/>
          <w:spacing w:val="-4"/>
        </w:rPr>
        <w:t>situés </w:t>
      </w:r>
      <w:r>
        <w:rPr>
          <w:color w:val="231F20"/>
        </w:rPr>
        <w:t>à Cuba, en Iran, en Syrie, en République </w:t>
      </w:r>
      <w:r>
        <w:rPr>
          <w:color w:val="231F20"/>
          <w:spacing w:val="-6"/>
        </w:rPr>
        <w:t>populaire</w:t>
      </w:r>
      <w:r>
        <w:rPr>
          <w:color w:val="231F20"/>
          <w:spacing w:val="-8"/>
        </w:rPr>
        <w:t> </w:t>
      </w:r>
      <w:r>
        <w:rPr>
          <w:color w:val="231F20"/>
          <w:spacing w:val="-6"/>
        </w:rPr>
        <w:t>démocratique</w:t>
      </w:r>
      <w:r>
        <w:rPr>
          <w:color w:val="231F20"/>
          <w:spacing w:val="-8"/>
        </w:rPr>
        <w:t> </w:t>
      </w:r>
      <w:r>
        <w:rPr>
          <w:color w:val="231F20"/>
          <w:spacing w:val="-6"/>
        </w:rPr>
        <w:t>de</w:t>
      </w:r>
      <w:r>
        <w:rPr>
          <w:color w:val="231F20"/>
          <w:spacing w:val="-8"/>
        </w:rPr>
        <w:t> </w:t>
      </w:r>
      <w:r>
        <w:rPr>
          <w:color w:val="231F20"/>
          <w:spacing w:val="-6"/>
        </w:rPr>
        <w:t>Corée</w:t>
      </w:r>
      <w:r>
        <w:rPr>
          <w:color w:val="231F20"/>
          <w:spacing w:val="-8"/>
        </w:rPr>
        <w:t> </w:t>
      </w:r>
      <w:r>
        <w:rPr>
          <w:color w:val="231F20"/>
          <w:spacing w:val="-6"/>
        </w:rPr>
        <w:t>et</w:t>
      </w:r>
      <w:r>
        <w:rPr>
          <w:color w:val="231F20"/>
          <w:spacing w:val="-8"/>
        </w:rPr>
        <w:t> </w:t>
      </w:r>
      <w:r>
        <w:rPr>
          <w:color w:val="231F20"/>
          <w:spacing w:val="-6"/>
        </w:rPr>
        <w:t>dans</w:t>
      </w:r>
      <w:r>
        <w:rPr>
          <w:color w:val="231F20"/>
          <w:spacing w:val="-8"/>
        </w:rPr>
        <w:t> </w:t>
      </w:r>
      <w:r>
        <w:rPr>
          <w:color w:val="231F20"/>
          <w:spacing w:val="-6"/>
        </w:rPr>
        <w:t>la </w:t>
      </w:r>
      <w:r>
        <w:rPr>
          <w:color w:val="231F20"/>
          <w:spacing w:val="-2"/>
        </w:rPr>
        <w:t>région</w:t>
      </w:r>
      <w:r>
        <w:rPr>
          <w:color w:val="231F20"/>
          <w:spacing w:val="-14"/>
        </w:rPr>
        <w:t> </w:t>
      </w:r>
      <w:r>
        <w:rPr>
          <w:color w:val="231F20"/>
          <w:spacing w:val="-2"/>
        </w:rPr>
        <w:t>de</w:t>
      </w:r>
      <w:r>
        <w:rPr>
          <w:color w:val="231F20"/>
          <w:spacing w:val="-14"/>
        </w:rPr>
        <w:t> </w:t>
      </w:r>
      <w:r>
        <w:rPr>
          <w:color w:val="231F20"/>
          <w:spacing w:val="-2"/>
        </w:rPr>
        <w:t>Crimée,</w:t>
      </w:r>
      <w:r>
        <w:rPr>
          <w:color w:val="231F20"/>
          <w:spacing w:val="-14"/>
        </w:rPr>
        <w:t> </w:t>
      </w:r>
      <w:r>
        <w:rPr>
          <w:color w:val="231F20"/>
          <w:spacing w:val="-2"/>
        </w:rPr>
        <w:t>en</w:t>
      </w:r>
      <w:r>
        <w:rPr>
          <w:color w:val="231F20"/>
          <w:spacing w:val="-14"/>
        </w:rPr>
        <w:t> </w:t>
      </w:r>
      <w:r>
        <w:rPr>
          <w:color w:val="231F20"/>
          <w:spacing w:val="-2"/>
        </w:rPr>
        <w:t>violation</w:t>
      </w:r>
      <w:r>
        <w:rPr>
          <w:color w:val="231F20"/>
          <w:spacing w:val="-14"/>
        </w:rPr>
        <w:t> </w:t>
      </w:r>
      <w:r>
        <w:rPr>
          <w:color w:val="231F20"/>
          <w:spacing w:val="-2"/>
        </w:rPr>
        <w:t>du</w:t>
      </w:r>
      <w:r>
        <w:rPr>
          <w:color w:val="231F20"/>
          <w:spacing w:val="-14"/>
        </w:rPr>
        <w:t> </w:t>
      </w:r>
      <w:r>
        <w:rPr>
          <w:color w:val="231F20"/>
          <w:spacing w:val="-2"/>
        </w:rPr>
        <w:t>blocus</w:t>
      </w:r>
      <w:r>
        <w:rPr>
          <w:color w:val="231F20"/>
          <w:spacing w:val="-14"/>
        </w:rPr>
        <w:t> </w:t>
      </w:r>
      <w:r>
        <w:rPr>
          <w:color w:val="231F20"/>
          <w:spacing w:val="-2"/>
        </w:rPr>
        <w:t>et </w:t>
      </w:r>
      <w:r>
        <w:rPr>
          <w:color w:val="231F20"/>
        </w:rPr>
        <w:t>d’autres</w:t>
      </w:r>
      <w:r>
        <w:rPr>
          <w:color w:val="231F20"/>
          <w:spacing w:val="-2"/>
        </w:rPr>
        <w:t> </w:t>
      </w:r>
      <w:r>
        <w:rPr>
          <w:color w:val="231F20"/>
        </w:rPr>
        <w:t>programmes</w:t>
      </w:r>
      <w:r>
        <w:rPr>
          <w:color w:val="231F20"/>
          <w:spacing w:val="-2"/>
        </w:rPr>
        <w:t> </w:t>
      </w:r>
      <w:r>
        <w:rPr>
          <w:color w:val="231F20"/>
        </w:rPr>
        <w:t>de</w:t>
      </w:r>
      <w:r>
        <w:rPr>
          <w:color w:val="231F20"/>
          <w:spacing w:val="-2"/>
        </w:rPr>
        <w:t> </w:t>
      </w:r>
      <w:r>
        <w:rPr>
          <w:color w:val="231F20"/>
        </w:rPr>
        <w:t>sanctions.</w:t>
      </w:r>
    </w:p>
    <w:p>
      <w:pPr>
        <w:spacing w:before="170"/>
        <w:ind w:left="412" w:right="0" w:firstLine="0"/>
        <w:jc w:val="both"/>
        <w:rPr>
          <w:sz w:val="24"/>
        </w:rPr>
      </w:pPr>
      <w:r>
        <w:rPr>
          <w:b/>
          <w:color w:val="B52628"/>
          <w:spacing w:val="-2"/>
          <w:sz w:val="24"/>
        </w:rPr>
        <w:t>11</w:t>
      </w:r>
      <w:r>
        <w:rPr>
          <w:b/>
          <w:color w:val="B52628"/>
          <w:spacing w:val="-39"/>
          <w:sz w:val="24"/>
        </w:rPr>
        <w:t> </w:t>
      </w:r>
      <w:r>
        <w:rPr>
          <w:b/>
          <w:color w:val="B52628"/>
          <w:spacing w:val="-2"/>
          <w:sz w:val="24"/>
        </w:rPr>
        <w:t>octobre</w:t>
      </w:r>
      <w:r>
        <w:rPr>
          <w:b/>
          <w:color w:val="B52628"/>
          <w:spacing w:val="-39"/>
          <w:sz w:val="24"/>
        </w:rPr>
        <w:t> </w:t>
      </w:r>
      <w:r>
        <w:rPr>
          <w:b/>
          <w:color w:val="B52628"/>
          <w:spacing w:val="-2"/>
          <w:sz w:val="24"/>
        </w:rPr>
        <w:t>2022.</w:t>
      </w:r>
      <w:r>
        <w:rPr>
          <w:b/>
          <w:color w:val="B52628"/>
          <w:spacing w:val="-9"/>
          <w:sz w:val="24"/>
        </w:rPr>
        <w:t> </w:t>
      </w:r>
      <w:r>
        <w:rPr>
          <w:color w:val="231F20"/>
          <w:spacing w:val="-2"/>
          <w:sz w:val="24"/>
        </w:rPr>
        <w:t>Pour</w:t>
      </w:r>
      <w:r>
        <w:rPr>
          <w:color w:val="231F20"/>
          <w:spacing w:val="-29"/>
          <w:sz w:val="24"/>
        </w:rPr>
        <w:t> </w:t>
      </w:r>
      <w:r>
        <w:rPr>
          <w:color w:val="231F20"/>
          <w:spacing w:val="-2"/>
          <w:sz w:val="24"/>
        </w:rPr>
        <w:t>éviter</w:t>
      </w:r>
      <w:r>
        <w:rPr>
          <w:color w:val="231F20"/>
          <w:spacing w:val="-29"/>
          <w:sz w:val="24"/>
        </w:rPr>
        <w:t> </w:t>
      </w:r>
      <w:r>
        <w:rPr>
          <w:color w:val="231F20"/>
          <w:spacing w:val="-2"/>
          <w:sz w:val="24"/>
        </w:rPr>
        <w:t>une</w:t>
      </w:r>
      <w:r>
        <w:rPr>
          <w:color w:val="231F20"/>
          <w:spacing w:val="-29"/>
          <w:sz w:val="24"/>
        </w:rPr>
        <w:t> </w:t>
      </w:r>
      <w:r>
        <w:rPr>
          <w:color w:val="231F20"/>
          <w:spacing w:val="-2"/>
          <w:sz w:val="24"/>
        </w:rPr>
        <w:t>demande</w:t>
      </w:r>
    </w:p>
    <w:p>
      <w:pPr>
        <w:spacing w:after="0"/>
        <w:jc w:val="both"/>
        <w:rPr>
          <w:sz w:val="24"/>
        </w:rPr>
        <w:sectPr>
          <w:pgSz w:w="11910" w:h="16840"/>
          <w:pgMar w:header="0" w:footer="695" w:top="1260" w:bottom="880" w:left="0" w:right="0"/>
          <w:cols w:num="2" w:equalWidth="0">
            <w:col w:w="5557" w:space="40"/>
            <w:col w:w="6313"/>
          </w:cols>
        </w:sectPr>
      </w:pPr>
    </w:p>
    <w:p>
      <w:pPr>
        <w:pStyle w:val="BodyText"/>
        <w:spacing w:before="77"/>
        <w:ind w:left="1474" w:right="6011"/>
      </w:pPr>
      <w:r>
        <w:rPr/>
        <mc:AlternateContent>
          <mc:Choice Requires="wps">
            <w:drawing>
              <wp:anchor distT="0" distB="0" distL="0" distR="0" allowOverlap="1" layoutInCell="1" locked="0" behindDoc="0" simplePos="0" relativeHeight="15839232">
                <wp:simplePos x="0" y="0"/>
                <wp:positionH relativeFrom="page">
                  <wp:posOffset>5930646</wp:posOffset>
                </wp:positionH>
                <wp:positionV relativeFrom="paragraph">
                  <wp:posOffset>289331</wp:posOffset>
                </wp:positionV>
                <wp:extent cx="909319" cy="26034"/>
                <wp:effectExtent l="0" t="0" r="0" b="0"/>
                <wp:wrapNone/>
                <wp:docPr id="506" name="Graphic 506"/>
                <wp:cNvGraphicFramePr>
                  <a:graphicFrameLocks/>
                </wp:cNvGraphicFramePr>
                <a:graphic>
                  <a:graphicData uri="http://schemas.microsoft.com/office/word/2010/wordprocessingShape">
                    <wps:wsp>
                      <wps:cNvPr id="506" name="Graphic 506"/>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466.980011pt;margin-top:22.782pt;width:71.584pt;height:2.021pt;mso-position-horizontal-relative:page;mso-position-vertical-relative:paragraph;z-index:15839232" id="docshape396" filled="true" fillcolor="#1f4282" stroked="false">
                <v:fill type="solid"/>
                <w10:wrap type="none"/>
              </v:rect>
            </w:pict>
          </mc:Fallback>
        </mc:AlternateContent>
      </w:r>
      <w:r>
        <w:rPr>
          <w:color w:val="231F20"/>
          <w:spacing w:val="-4"/>
        </w:rPr>
        <w:t>civile,</w:t>
      </w:r>
      <w:r>
        <w:rPr>
          <w:color w:val="231F20"/>
          <w:spacing w:val="-13"/>
        </w:rPr>
        <w:t> </w:t>
      </w:r>
      <w:r>
        <w:rPr>
          <w:color w:val="231F20"/>
          <w:spacing w:val="-4"/>
        </w:rPr>
        <w:t>Bittrex,</w:t>
      </w:r>
      <w:r>
        <w:rPr>
          <w:color w:val="231F20"/>
          <w:spacing w:val="-12"/>
        </w:rPr>
        <w:t> </w:t>
      </w:r>
      <w:r>
        <w:rPr>
          <w:color w:val="231F20"/>
          <w:spacing w:val="-4"/>
        </w:rPr>
        <w:t>Inc.,</w:t>
      </w:r>
      <w:r>
        <w:rPr>
          <w:color w:val="231F20"/>
          <w:spacing w:val="-13"/>
        </w:rPr>
        <w:t> </w:t>
      </w:r>
      <w:r>
        <w:rPr>
          <w:color w:val="231F20"/>
          <w:spacing w:val="-4"/>
        </w:rPr>
        <w:t>société</w:t>
      </w:r>
      <w:r>
        <w:rPr>
          <w:color w:val="231F20"/>
          <w:spacing w:val="-12"/>
        </w:rPr>
        <w:t> </w:t>
      </w:r>
      <w:r>
        <w:rPr>
          <w:color w:val="231F20"/>
          <w:spacing w:val="-4"/>
        </w:rPr>
        <w:t>privée</w:t>
      </w:r>
      <w:r>
        <w:rPr>
          <w:color w:val="231F20"/>
          <w:spacing w:val="-13"/>
        </w:rPr>
        <w:t> </w:t>
      </w:r>
      <w:r>
        <w:rPr>
          <w:color w:val="231F20"/>
          <w:spacing w:val="-4"/>
        </w:rPr>
        <w:t>de</w:t>
      </w:r>
      <w:r>
        <w:rPr>
          <w:color w:val="231F20"/>
          <w:spacing w:val="-12"/>
        </w:rPr>
        <w:t> </w:t>
      </w:r>
      <w:r>
        <w:rPr>
          <w:color w:val="231F20"/>
          <w:spacing w:val="-4"/>
        </w:rPr>
        <w:t>Bellevue </w:t>
      </w:r>
      <w:r>
        <w:rPr>
          <w:color w:val="231F20"/>
        </w:rPr>
        <w:t>(Washington, USA) qui prête des services </w:t>
      </w:r>
      <w:r>
        <w:rPr>
          <w:color w:val="231F20"/>
          <w:spacing w:val="-2"/>
        </w:rPr>
        <w:t>virtuels</w:t>
      </w:r>
      <w:r>
        <w:rPr>
          <w:color w:val="231F20"/>
          <w:spacing w:val="-11"/>
        </w:rPr>
        <w:t> </w:t>
      </w:r>
      <w:r>
        <w:rPr>
          <w:color w:val="231F20"/>
          <w:spacing w:val="-2"/>
        </w:rPr>
        <w:t>de</w:t>
      </w:r>
      <w:r>
        <w:rPr>
          <w:color w:val="231F20"/>
          <w:spacing w:val="-11"/>
        </w:rPr>
        <w:t> </w:t>
      </w:r>
      <w:r>
        <w:rPr>
          <w:color w:val="231F20"/>
          <w:spacing w:val="-2"/>
        </w:rPr>
        <w:t>change</w:t>
      </w:r>
      <w:r>
        <w:rPr>
          <w:color w:val="231F20"/>
          <w:spacing w:val="-11"/>
        </w:rPr>
        <w:t> </w:t>
      </w:r>
      <w:r>
        <w:rPr>
          <w:color w:val="231F20"/>
          <w:spacing w:val="-2"/>
        </w:rPr>
        <w:t>de</w:t>
      </w:r>
      <w:r>
        <w:rPr>
          <w:color w:val="231F20"/>
          <w:spacing w:val="-11"/>
        </w:rPr>
        <w:t> </w:t>
      </w:r>
      <w:r>
        <w:rPr>
          <w:color w:val="231F20"/>
          <w:spacing w:val="-2"/>
        </w:rPr>
        <w:t>monnaie,</w:t>
      </w:r>
      <w:r>
        <w:rPr>
          <w:color w:val="231F20"/>
          <w:spacing w:val="-11"/>
        </w:rPr>
        <w:t> </w:t>
      </w:r>
      <w:r>
        <w:rPr>
          <w:color w:val="231F20"/>
          <w:spacing w:val="-2"/>
        </w:rPr>
        <w:t>accepte</w:t>
      </w:r>
      <w:r>
        <w:rPr>
          <w:color w:val="231F20"/>
          <w:spacing w:val="-11"/>
        </w:rPr>
        <w:t> </w:t>
      </w:r>
      <w:r>
        <w:rPr>
          <w:color w:val="231F20"/>
          <w:spacing w:val="-2"/>
        </w:rPr>
        <w:t>de </w:t>
      </w:r>
      <w:r>
        <w:rPr>
          <w:color w:val="231F20"/>
          <w:spacing w:val="-4"/>
        </w:rPr>
        <w:t>payer</w:t>
      </w:r>
      <w:r>
        <w:rPr>
          <w:color w:val="231F20"/>
          <w:spacing w:val="-13"/>
        </w:rPr>
        <w:t> </w:t>
      </w:r>
      <w:r>
        <w:rPr>
          <w:color w:val="231F20"/>
          <w:spacing w:val="-4"/>
        </w:rPr>
        <w:t>une</w:t>
      </w:r>
      <w:r>
        <w:rPr>
          <w:color w:val="231F20"/>
          <w:spacing w:val="-12"/>
        </w:rPr>
        <w:t> </w:t>
      </w:r>
      <w:r>
        <w:rPr>
          <w:color w:val="231F20"/>
          <w:spacing w:val="-4"/>
        </w:rPr>
        <w:t>amende</w:t>
      </w:r>
      <w:r>
        <w:rPr>
          <w:color w:val="231F20"/>
          <w:spacing w:val="-13"/>
        </w:rPr>
        <w:t> </w:t>
      </w:r>
      <w:r>
        <w:rPr>
          <w:color w:val="231F20"/>
          <w:spacing w:val="-4"/>
        </w:rPr>
        <w:t>de</w:t>
      </w:r>
      <w:r>
        <w:rPr>
          <w:color w:val="231F20"/>
          <w:spacing w:val="-12"/>
        </w:rPr>
        <w:t> </w:t>
      </w:r>
      <w:r>
        <w:rPr>
          <w:color w:val="231F20"/>
          <w:spacing w:val="-4"/>
        </w:rPr>
        <w:t>24</w:t>
      </w:r>
      <w:r>
        <w:rPr>
          <w:color w:val="231F20"/>
          <w:spacing w:val="-13"/>
        </w:rPr>
        <w:t> </w:t>
      </w:r>
      <w:r>
        <w:rPr>
          <w:color w:val="231F20"/>
          <w:spacing w:val="-4"/>
        </w:rPr>
        <w:t>280</w:t>
      </w:r>
      <w:r>
        <w:rPr>
          <w:color w:val="231F20"/>
          <w:spacing w:val="-12"/>
        </w:rPr>
        <w:t> </w:t>
      </w:r>
      <w:r>
        <w:rPr>
          <w:color w:val="231F20"/>
          <w:spacing w:val="-4"/>
        </w:rPr>
        <w:t>829,20</w:t>
      </w:r>
      <w:r>
        <w:rPr>
          <w:color w:val="231F20"/>
          <w:spacing w:val="-13"/>
        </w:rPr>
        <w:t> </w:t>
      </w:r>
      <w:r>
        <w:rPr>
          <w:color w:val="231F20"/>
          <w:spacing w:val="-4"/>
        </w:rPr>
        <w:t>dollars </w:t>
      </w:r>
      <w:r>
        <w:rPr>
          <w:color w:val="231F20"/>
        </w:rPr>
        <w:t>pour</w:t>
      </w:r>
      <w:r>
        <w:rPr>
          <w:color w:val="231F20"/>
          <w:spacing w:val="-10"/>
        </w:rPr>
        <w:t> </w:t>
      </w:r>
      <w:r>
        <w:rPr>
          <w:color w:val="231F20"/>
        </w:rPr>
        <w:t>avoir</w:t>
      </w:r>
      <w:r>
        <w:rPr>
          <w:color w:val="231F20"/>
          <w:spacing w:val="-10"/>
        </w:rPr>
        <w:t> </w:t>
      </w:r>
      <w:r>
        <w:rPr>
          <w:color w:val="231F20"/>
        </w:rPr>
        <w:t>permis</w:t>
      </w:r>
      <w:r>
        <w:rPr>
          <w:color w:val="231F20"/>
          <w:spacing w:val="-10"/>
        </w:rPr>
        <w:t> </w:t>
      </w:r>
      <w:r>
        <w:rPr>
          <w:color w:val="231F20"/>
        </w:rPr>
        <w:t>à</w:t>
      </w:r>
      <w:r>
        <w:rPr>
          <w:color w:val="231F20"/>
          <w:spacing w:val="-10"/>
        </w:rPr>
        <w:t> </w:t>
      </w:r>
      <w:r>
        <w:rPr>
          <w:color w:val="231F20"/>
        </w:rPr>
        <w:t>des</w:t>
      </w:r>
      <w:r>
        <w:rPr>
          <w:color w:val="231F20"/>
          <w:spacing w:val="-10"/>
        </w:rPr>
        <w:t> </w:t>
      </w:r>
      <w:r>
        <w:rPr>
          <w:color w:val="231F20"/>
        </w:rPr>
        <w:t>personnes</w:t>
      </w:r>
      <w:r>
        <w:rPr>
          <w:color w:val="231F20"/>
          <w:spacing w:val="-10"/>
        </w:rPr>
        <w:t> </w:t>
      </w:r>
      <w:r>
        <w:rPr>
          <w:color w:val="231F20"/>
        </w:rPr>
        <w:t>situées </w:t>
      </w:r>
      <w:r>
        <w:rPr>
          <w:color w:val="231F20"/>
          <w:spacing w:val="-4"/>
        </w:rPr>
        <w:t>dans</w:t>
      </w:r>
      <w:r>
        <w:rPr>
          <w:color w:val="231F20"/>
          <w:spacing w:val="-6"/>
        </w:rPr>
        <w:t> </w:t>
      </w:r>
      <w:r>
        <w:rPr>
          <w:color w:val="231F20"/>
          <w:spacing w:val="-4"/>
        </w:rPr>
        <w:t>des</w:t>
      </w:r>
      <w:r>
        <w:rPr>
          <w:color w:val="231F20"/>
          <w:spacing w:val="-6"/>
        </w:rPr>
        <w:t> </w:t>
      </w:r>
      <w:r>
        <w:rPr>
          <w:color w:val="231F20"/>
          <w:spacing w:val="-4"/>
        </w:rPr>
        <w:t>juridictions</w:t>
      </w:r>
      <w:r>
        <w:rPr>
          <w:color w:val="231F20"/>
          <w:spacing w:val="-6"/>
        </w:rPr>
        <w:t> </w:t>
      </w:r>
      <w:r>
        <w:rPr>
          <w:color w:val="231F20"/>
          <w:spacing w:val="-4"/>
        </w:rPr>
        <w:t>sanctionnées</w:t>
      </w:r>
      <w:r>
        <w:rPr>
          <w:color w:val="231F20"/>
          <w:spacing w:val="-6"/>
        </w:rPr>
        <w:t> </w:t>
      </w:r>
      <w:r>
        <w:rPr>
          <w:color w:val="231F20"/>
          <w:spacing w:val="-4"/>
        </w:rPr>
        <w:t>d’utiliser </w:t>
      </w:r>
      <w:r>
        <w:rPr>
          <w:color w:val="231F20"/>
        </w:rPr>
        <w:t>ses plateformes afin qu’elles puissent </w:t>
      </w:r>
      <w:r>
        <w:rPr>
          <w:color w:val="231F20"/>
          <w:spacing w:val="-2"/>
        </w:rPr>
        <w:t>participer</w:t>
      </w:r>
      <w:r>
        <w:rPr>
          <w:color w:val="231F20"/>
          <w:spacing w:val="-15"/>
        </w:rPr>
        <w:t> </w:t>
      </w:r>
      <w:r>
        <w:rPr>
          <w:color w:val="231F20"/>
          <w:spacing w:val="-2"/>
        </w:rPr>
        <w:t>à</w:t>
      </w:r>
      <w:r>
        <w:rPr>
          <w:color w:val="231F20"/>
          <w:spacing w:val="-14"/>
        </w:rPr>
        <w:t> </w:t>
      </w:r>
      <w:r>
        <w:rPr>
          <w:color w:val="231F20"/>
          <w:spacing w:val="-2"/>
        </w:rPr>
        <w:t>des</w:t>
      </w:r>
      <w:r>
        <w:rPr>
          <w:color w:val="231F20"/>
          <w:spacing w:val="-15"/>
        </w:rPr>
        <w:t> </w:t>
      </w:r>
      <w:r>
        <w:rPr>
          <w:color w:val="231F20"/>
          <w:spacing w:val="-2"/>
        </w:rPr>
        <w:t>transactions</w:t>
      </w:r>
      <w:r>
        <w:rPr>
          <w:color w:val="231F20"/>
          <w:spacing w:val="-14"/>
        </w:rPr>
        <w:t> </w:t>
      </w:r>
      <w:r>
        <w:rPr>
          <w:color w:val="231F20"/>
          <w:spacing w:val="-2"/>
        </w:rPr>
        <w:t>de</w:t>
      </w:r>
      <w:r>
        <w:rPr>
          <w:color w:val="231F20"/>
          <w:spacing w:val="-15"/>
        </w:rPr>
        <w:t> </w:t>
      </w:r>
      <w:r>
        <w:rPr>
          <w:color w:val="231F20"/>
          <w:spacing w:val="-2"/>
        </w:rPr>
        <w:t>plus</w:t>
      </w:r>
      <w:r>
        <w:rPr>
          <w:color w:val="231F20"/>
          <w:spacing w:val="-14"/>
        </w:rPr>
        <w:t> </w:t>
      </w:r>
      <w:r>
        <w:rPr>
          <w:color w:val="231F20"/>
          <w:spacing w:val="-2"/>
        </w:rPr>
        <w:t>de</w:t>
      </w:r>
      <w:r>
        <w:rPr>
          <w:color w:val="231F20"/>
          <w:spacing w:val="-15"/>
        </w:rPr>
        <w:t> </w:t>
      </w:r>
      <w:r>
        <w:rPr>
          <w:color w:val="231F20"/>
          <w:spacing w:val="-2"/>
        </w:rPr>
        <w:t>263 millions</w:t>
      </w:r>
      <w:r>
        <w:rPr>
          <w:color w:val="231F20"/>
          <w:spacing w:val="-11"/>
        </w:rPr>
        <w:t> </w:t>
      </w:r>
      <w:r>
        <w:rPr>
          <w:color w:val="231F20"/>
          <w:spacing w:val="-2"/>
        </w:rPr>
        <w:t>de</w:t>
      </w:r>
      <w:r>
        <w:rPr>
          <w:color w:val="231F20"/>
          <w:spacing w:val="-11"/>
        </w:rPr>
        <w:t> </w:t>
      </w:r>
      <w:r>
        <w:rPr>
          <w:color w:val="231F20"/>
          <w:spacing w:val="-2"/>
        </w:rPr>
        <w:t>dollars</w:t>
      </w:r>
      <w:r>
        <w:rPr>
          <w:color w:val="231F20"/>
          <w:spacing w:val="-11"/>
        </w:rPr>
        <w:t> </w:t>
      </w:r>
      <w:r>
        <w:rPr>
          <w:color w:val="231F20"/>
          <w:spacing w:val="-2"/>
        </w:rPr>
        <w:t>en</w:t>
      </w:r>
      <w:r>
        <w:rPr>
          <w:color w:val="231F20"/>
          <w:spacing w:val="-11"/>
        </w:rPr>
        <w:t> </w:t>
      </w:r>
      <w:r>
        <w:rPr>
          <w:color w:val="231F20"/>
          <w:spacing w:val="-2"/>
        </w:rPr>
        <w:t>monnaie</w:t>
      </w:r>
      <w:r>
        <w:rPr>
          <w:color w:val="231F20"/>
          <w:spacing w:val="-11"/>
        </w:rPr>
        <w:t> </w:t>
      </w:r>
      <w:r>
        <w:rPr>
          <w:color w:val="231F20"/>
          <w:spacing w:val="-2"/>
        </w:rPr>
        <w:t>virtuelle,</w:t>
      </w:r>
      <w:r>
        <w:rPr>
          <w:color w:val="231F20"/>
          <w:spacing w:val="-11"/>
        </w:rPr>
        <w:t> </w:t>
      </w:r>
      <w:r>
        <w:rPr>
          <w:color w:val="231F20"/>
          <w:spacing w:val="-2"/>
        </w:rPr>
        <w:t>en </w:t>
      </w:r>
      <w:r>
        <w:rPr>
          <w:color w:val="231F20"/>
          <w:spacing w:val="-4"/>
        </w:rPr>
        <w:t>violation</w:t>
      </w:r>
      <w:r>
        <w:rPr>
          <w:color w:val="231F20"/>
          <w:spacing w:val="-13"/>
        </w:rPr>
        <w:t> </w:t>
      </w:r>
      <w:r>
        <w:rPr>
          <w:color w:val="231F20"/>
          <w:spacing w:val="-4"/>
        </w:rPr>
        <w:t>du</w:t>
      </w:r>
      <w:r>
        <w:rPr>
          <w:color w:val="231F20"/>
          <w:spacing w:val="-12"/>
        </w:rPr>
        <w:t> </w:t>
      </w:r>
      <w:r>
        <w:rPr>
          <w:color w:val="231F20"/>
          <w:spacing w:val="-4"/>
        </w:rPr>
        <w:t>blocus</w:t>
      </w:r>
      <w:r>
        <w:rPr>
          <w:color w:val="231F20"/>
          <w:spacing w:val="-13"/>
        </w:rPr>
        <w:t> </w:t>
      </w:r>
      <w:r>
        <w:rPr>
          <w:color w:val="231F20"/>
          <w:spacing w:val="-4"/>
        </w:rPr>
        <w:t>et</w:t>
      </w:r>
      <w:r>
        <w:rPr>
          <w:color w:val="231F20"/>
          <w:spacing w:val="-12"/>
        </w:rPr>
        <w:t> </w:t>
      </w:r>
      <w:r>
        <w:rPr>
          <w:color w:val="231F20"/>
          <w:spacing w:val="-4"/>
        </w:rPr>
        <w:t>d’autres</w:t>
      </w:r>
      <w:r>
        <w:rPr>
          <w:color w:val="231F20"/>
          <w:spacing w:val="-13"/>
        </w:rPr>
        <w:t> </w:t>
      </w:r>
      <w:r>
        <w:rPr>
          <w:color w:val="231F20"/>
          <w:spacing w:val="-4"/>
        </w:rPr>
        <w:t>programmes </w:t>
      </w:r>
      <w:r>
        <w:rPr>
          <w:color w:val="231F20"/>
        </w:rPr>
        <w:t>de sanctions.</w:t>
      </w:r>
    </w:p>
    <w:p>
      <w:pPr>
        <w:pStyle w:val="BodyText"/>
        <w:spacing w:before="168"/>
        <w:ind w:left="1474" w:right="6006"/>
      </w:pPr>
      <w:r>
        <w:rPr>
          <w:b/>
          <w:color w:val="B52628"/>
        </w:rPr>
        <w:t>31 mars 2023. </w:t>
      </w:r>
      <w:r>
        <w:rPr>
          <w:color w:val="231F20"/>
        </w:rPr>
        <w:t>Uphold HQ Inc., </w:t>
      </w:r>
      <w:r>
        <w:rPr>
          <w:color w:val="231F20"/>
        </w:rPr>
        <w:t>une </w:t>
      </w:r>
      <w:r>
        <w:rPr>
          <w:color w:val="231F20"/>
          <w:spacing w:val="-2"/>
        </w:rPr>
        <w:t>société</w:t>
      </w:r>
      <w:r>
        <w:rPr>
          <w:color w:val="231F20"/>
          <w:spacing w:val="-10"/>
        </w:rPr>
        <w:t> </w:t>
      </w:r>
      <w:r>
        <w:rPr>
          <w:color w:val="231F20"/>
          <w:spacing w:val="-2"/>
        </w:rPr>
        <w:t>de</w:t>
      </w:r>
      <w:r>
        <w:rPr>
          <w:color w:val="231F20"/>
          <w:spacing w:val="-10"/>
        </w:rPr>
        <w:t> </w:t>
      </w:r>
      <w:r>
        <w:rPr>
          <w:color w:val="231F20"/>
          <w:spacing w:val="-2"/>
        </w:rPr>
        <w:t>services</w:t>
      </w:r>
      <w:r>
        <w:rPr>
          <w:color w:val="231F20"/>
          <w:spacing w:val="-10"/>
        </w:rPr>
        <w:t> </w:t>
      </w:r>
      <w:r>
        <w:rPr>
          <w:color w:val="231F20"/>
          <w:spacing w:val="-2"/>
        </w:rPr>
        <w:t>monétaires</w:t>
      </w:r>
      <w:r>
        <w:rPr>
          <w:color w:val="231F20"/>
          <w:spacing w:val="-10"/>
        </w:rPr>
        <w:t> </w:t>
      </w:r>
      <w:r>
        <w:rPr>
          <w:color w:val="231F20"/>
          <w:spacing w:val="-2"/>
        </w:rPr>
        <w:t>de</w:t>
      </w:r>
      <w:r>
        <w:rPr>
          <w:color w:val="231F20"/>
          <w:spacing w:val="-10"/>
        </w:rPr>
        <w:t> </w:t>
      </w:r>
      <w:r>
        <w:rPr>
          <w:color w:val="231F20"/>
          <w:spacing w:val="-2"/>
        </w:rPr>
        <w:t>Larkspur </w:t>
      </w:r>
      <w:r>
        <w:rPr>
          <w:color w:val="231F20"/>
        </w:rPr>
        <w:t>(Californie),</w:t>
      </w:r>
      <w:r>
        <w:rPr>
          <w:color w:val="231F20"/>
          <w:spacing w:val="-14"/>
        </w:rPr>
        <w:t> </w:t>
      </w:r>
      <w:r>
        <w:rPr>
          <w:color w:val="231F20"/>
        </w:rPr>
        <w:t>accepte</w:t>
      </w:r>
      <w:r>
        <w:rPr>
          <w:color w:val="231F20"/>
          <w:spacing w:val="-14"/>
        </w:rPr>
        <w:t> </w:t>
      </w:r>
      <w:r>
        <w:rPr>
          <w:color w:val="231F20"/>
        </w:rPr>
        <w:t>de</w:t>
      </w:r>
      <w:r>
        <w:rPr>
          <w:color w:val="231F20"/>
          <w:spacing w:val="-14"/>
        </w:rPr>
        <w:t> </w:t>
      </w:r>
      <w:r>
        <w:rPr>
          <w:color w:val="231F20"/>
        </w:rPr>
        <w:t>payer</w:t>
      </w:r>
      <w:r>
        <w:rPr>
          <w:color w:val="231F20"/>
          <w:spacing w:val="-14"/>
        </w:rPr>
        <w:t> </w:t>
      </w:r>
      <w:r>
        <w:rPr>
          <w:color w:val="231F20"/>
        </w:rPr>
        <w:t>une</w:t>
      </w:r>
      <w:r>
        <w:rPr>
          <w:color w:val="231F20"/>
          <w:spacing w:val="-14"/>
        </w:rPr>
        <w:t> </w:t>
      </w:r>
      <w:r>
        <w:rPr>
          <w:color w:val="231F20"/>
        </w:rPr>
        <w:t>amende de 72 230,32 dollars pour avoir, de mars 2017 à mai 2022, permis 25 transactions cubaines à hauteur de 142 683,74 dollars, en</w:t>
      </w:r>
      <w:r>
        <w:rPr>
          <w:color w:val="231F20"/>
          <w:spacing w:val="-17"/>
        </w:rPr>
        <w:t> </w:t>
      </w:r>
      <w:r>
        <w:rPr>
          <w:color w:val="231F20"/>
        </w:rPr>
        <w:t>violation</w:t>
      </w:r>
      <w:r>
        <w:rPr>
          <w:color w:val="231F20"/>
          <w:spacing w:val="-16"/>
        </w:rPr>
        <w:t> </w:t>
      </w:r>
      <w:r>
        <w:rPr>
          <w:color w:val="231F20"/>
        </w:rPr>
        <w:t>des</w:t>
      </w:r>
      <w:r>
        <w:rPr>
          <w:color w:val="231F20"/>
          <w:spacing w:val="-17"/>
        </w:rPr>
        <w:t> </w:t>
      </w:r>
      <w:r>
        <w:rPr>
          <w:color w:val="231F20"/>
        </w:rPr>
        <w:t>programmes</w:t>
      </w:r>
      <w:r>
        <w:rPr>
          <w:color w:val="231F20"/>
          <w:spacing w:val="-16"/>
        </w:rPr>
        <w:t> </w:t>
      </w:r>
      <w:r>
        <w:rPr>
          <w:color w:val="231F20"/>
        </w:rPr>
        <w:t>de</w:t>
      </w:r>
      <w:r>
        <w:rPr>
          <w:color w:val="231F20"/>
          <w:spacing w:val="-17"/>
        </w:rPr>
        <w:t> </w:t>
      </w:r>
      <w:r>
        <w:rPr>
          <w:color w:val="231F20"/>
        </w:rPr>
        <w:t>sanctions contre Cuba, l’Iran et le Venezuela.</w:t>
      </w:r>
    </w:p>
    <w:p>
      <w:pPr>
        <w:pStyle w:val="BodyText"/>
        <w:spacing w:before="167"/>
        <w:ind w:left="1474" w:right="6013"/>
      </w:pPr>
      <w:r>
        <w:rPr>
          <w:b/>
          <w:color w:val="B52628"/>
          <w:spacing w:val="-14"/>
        </w:rPr>
        <w:t>6</w:t>
      </w:r>
      <w:r>
        <w:rPr>
          <w:b/>
          <w:color w:val="B52628"/>
        </w:rPr>
        <w:t> </w:t>
      </w:r>
      <w:r>
        <w:rPr>
          <w:b/>
          <w:color w:val="B52628"/>
          <w:spacing w:val="-14"/>
        </w:rPr>
        <w:t>avril</w:t>
      </w:r>
      <w:r>
        <w:rPr>
          <w:b/>
          <w:color w:val="B52628"/>
        </w:rPr>
        <w:t> </w:t>
      </w:r>
      <w:r>
        <w:rPr>
          <w:b/>
          <w:color w:val="B52628"/>
          <w:spacing w:val="-14"/>
        </w:rPr>
        <w:t>2023.</w:t>
      </w:r>
      <w:r>
        <w:rPr>
          <w:b/>
          <w:color w:val="B52628"/>
        </w:rPr>
        <w:t> </w:t>
      </w:r>
      <w:r>
        <w:rPr>
          <w:color w:val="231F20"/>
          <w:spacing w:val="-14"/>
        </w:rPr>
        <w:t>La</w:t>
      </w:r>
      <w:r>
        <w:rPr>
          <w:color w:val="231F20"/>
          <w:spacing w:val="-1"/>
        </w:rPr>
        <w:t> </w:t>
      </w:r>
      <w:r>
        <w:rPr>
          <w:color w:val="231F20"/>
          <w:spacing w:val="-14"/>
        </w:rPr>
        <w:t>société</w:t>
      </w:r>
      <w:r>
        <w:rPr>
          <w:color w:val="231F20"/>
          <w:spacing w:val="-1"/>
        </w:rPr>
        <w:t> </w:t>
      </w:r>
      <w:r>
        <w:rPr>
          <w:color w:val="231F20"/>
          <w:spacing w:val="-14"/>
        </w:rPr>
        <w:t>Microsoft</w:t>
      </w:r>
      <w:r>
        <w:rPr>
          <w:color w:val="231F20"/>
          <w:spacing w:val="-1"/>
        </w:rPr>
        <w:t> </w:t>
      </w:r>
      <w:r>
        <w:rPr>
          <w:color w:val="231F20"/>
          <w:spacing w:val="-14"/>
        </w:rPr>
        <w:t>Corporation, </w:t>
      </w:r>
      <w:r>
        <w:rPr>
          <w:color w:val="231F20"/>
          <w:spacing w:val="-8"/>
        </w:rPr>
        <w:t>de Redmond (Washington, USA), accepte de </w:t>
      </w:r>
      <w:r>
        <w:rPr>
          <w:color w:val="231F20"/>
        </w:rPr>
        <w:t>payer</w:t>
      </w:r>
      <w:r>
        <w:rPr>
          <w:color w:val="231F20"/>
          <w:spacing w:val="-11"/>
        </w:rPr>
        <w:t> </w:t>
      </w:r>
      <w:r>
        <w:rPr>
          <w:color w:val="231F20"/>
        </w:rPr>
        <w:t>2</w:t>
      </w:r>
      <w:r>
        <w:rPr>
          <w:color w:val="231F20"/>
          <w:spacing w:val="-11"/>
        </w:rPr>
        <w:t> </w:t>
      </w:r>
      <w:r>
        <w:rPr>
          <w:color w:val="231F20"/>
        </w:rPr>
        <w:t>980</w:t>
      </w:r>
      <w:r>
        <w:rPr>
          <w:color w:val="231F20"/>
          <w:spacing w:val="-11"/>
        </w:rPr>
        <w:t> </w:t>
      </w:r>
      <w:r>
        <w:rPr>
          <w:color w:val="231F20"/>
        </w:rPr>
        <w:t>265,86</w:t>
      </w:r>
      <w:r>
        <w:rPr>
          <w:color w:val="231F20"/>
          <w:spacing w:val="-11"/>
        </w:rPr>
        <w:t> </w:t>
      </w:r>
      <w:r>
        <w:rPr>
          <w:color w:val="231F20"/>
        </w:rPr>
        <w:t>dollars</w:t>
      </w:r>
      <w:r>
        <w:rPr>
          <w:color w:val="231F20"/>
          <w:spacing w:val="-11"/>
        </w:rPr>
        <w:t> </w:t>
      </w:r>
      <w:r>
        <w:rPr>
          <w:color w:val="231F20"/>
        </w:rPr>
        <w:t>à</w:t>
      </w:r>
      <w:r>
        <w:rPr>
          <w:color w:val="231F20"/>
          <w:spacing w:val="-11"/>
        </w:rPr>
        <w:t> </w:t>
      </w:r>
      <w:r>
        <w:rPr>
          <w:color w:val="231F20"/>
        </w:rPr>
        <w:t>l’OFAC</w:t>
      </w:r>
      <w:r>
        <w:rPr>
          <w:color w:val="231F20"/>
          <w:spacing w:val="-11"/>
        </w:rPr>
        <w:t> </w:t>
      </w:r>
      <w:r>
        <w:rPr>
          <w:color w:val="231F20"/>
        </w:rPr>
        <w:t>et</w:t>
      </w:r>
      <w:r>
        <w:rPr>
          <w:color w:val="231F20"/>
          <w:spacing w:val="-11"/>
        </w:rPr>
        <w:t> </w:t>
      </w:r>
      <w:r>
        <w:rPr>
          <w:color w:val="231F20"/>
        </w:rPr>
        <w:t>347 </w:t>
      </w:r>
      <w:r>
        <w:rPr>
          <w:color w:val="231F20"/>
          <w:spacing w:val="-4"/>
        </w:rPr>
        <w:t>631</w:t>
      </w:r>
      <w:r>
        <w:rPr>
          <w:color w:val="231F20"/>
          <w:spacing w:val="-13"/>
        </w:rPr>
        <w:t> </w:t>
      </w:r>
      <w:r>
        <w:rPr>
          <w:color w:val="231F20"/>
          <w:spacing w:val="-4"/>
        </w:rPr>
        <w:t>dollars</w:t>
      </w:r>
      <w:r>
        <w:rPr>
          <w:color w:val="231F20"/>
          <w:spacing w:val="-12"/>
        </w:rPr>
        <w:t> </w:t>
      </w:r>
      <w:r>
        <w:rPr>
          <w:color w:val="231F20"/>
          <w:spacing w:val="-4"/>
        </w:rPr>
        <w:t>au</w:t>
      </w:r>
      <w:r>
        <w:rPr>
          <w:color w:val="231F20"/>
          <w:spacing w:val="-13"/>
        </w:rPr>
        <w:t> </w:t>
      </w:r>
      <w:r>
        <w:rPr>
          <w:color w:val="231F20"/>
          <w:spacing w:val="-4"/>
        </w:rPr>
        <w:t>BIS,</w:t>
      </w:r>
      <w:r>
        <w:rPr>
          <w:color w:val="231F20"/>
          <w:spacing w:val="-12"/>
        </w:rPr>
        <w:t> </w:t>
      </w:r>
      <w:r>
        <w:rPr>
          <w:color w:val="231F20"/>
          <w:spacing w:val="-4"/>
        </w:rPr>
        <w:t>rattaché</w:t>
      </w:r>
      <w:r>
        <w:rPr>
          <w:color w:val="231F20"/>
          <w:spacing w:val="-13"/>
        </w:rPr>
        <w:t> </w:t>
      </w:r>
      <w:r>
        <w:rPr>
          <w:color w:val="231F20"/>
          <w:spacing w:val="-4"/>
        </w:rPr>
        <w:t>au</w:t>
      </w:r>
      <w:r>
        <w:rPr>
          <w:color w:val="231F20"/>
          <w:spacing w:val="-12"/>
        </w:rPr>
        <w:t> </w:t>
      </w:r>
      <w:r>
        <w:rPr>
          <w:color w:val="231F20"/>
          <w:spacing w:val="-4"/>
        </w:rPr>
        <w:t>département </w:t>
      </w:r>
      <w:r>
        <w:rPr>
          <w:color w:val="231F20"/>
        </w:rPr>
        <w:t>du Commerce, soit un total de 3 327 896 d0llars,</w:t>
      </w:r>
      <w:r>
        <w:rPr>
          <w:color w:val="231F20"/>
          <w:spacing w:val="-16"/>
        </w:rPr>
        <w:t> </w:t>
      </w:r>
      <w:r>
        <w:rPr>
          <w:color w:val="231F20"/>
        </w:rPr>
        <w:t>pour</w:t>
      </w:r>
      <w:r>
        <w:rPr>
          <w:color w:val="231F20"/>
          <w:spacing w:val="-17"/>
        </w:rPr>
        <w:t> </w:t>
      </w:r>
      <w:r>
        <w:rPr>
          <w:color w:val="231F20"/>
        </w:rPr>
        <w:t>avoir</w:t>
      </w:r>
      <w:r>
        <w:rPr>
          <w:color w:val="231F20"/>
          <w:spacing w:val="-16"/>
        </w:rPr>
        <w:t> </w:t>
      </w:r>
      <w:r>
        <w:rPr>
          <w:color w:val="231F20"/>
        </w:rPr>
        <w:t>exporté</w:t>
      </w:r>
      <w:r>
        <w:rPr>
          <w:color w:val="231F20"/>
          <w:spacing w:val="-16"/>
        </w:rPr>
        <w:t> </w:t>
      </w:r>
      <w:r>
        <w:rPr>
          <w:color w:val="231F20"/>
        </w:rPr>
        <w:t>à</w:t>
      </w:r>
      <w:r>
        <w:rPr>
          <w:color w:val="231F20"/>
          <w:spacing w:val="-16"/>
        </w:rPr>
        <w:t> </w:t>
      </w:r>
      <w:r>
        <w:rPr>
          <w:color w:val="231F20"/>
        </w:rPr>
        <w:t>1</w:t>
      </w:r>
      <w:r>
        <w:rPr>
          <w:color w:val="231F20"/>
          <w:spacing w:val="-17"/>
        </w:rPr>
        <w:t> </w:t>
      </w:r>
      <w:r>
        <w:rPr>
          <w:color w:val="231F20"/>
        </w:rPr>
        <w:t>339</w:t>
      </w:r>
      <w:r>
        <w:rPr>
          <w:color w:val="231F20"/>
          <w:spacing w:val="-16"/>
        </w:rPr>
        <w:t> </w:t>
      </w:r>
      <w:r>
        <w:rPr>
          <w:color w:val="231F20"/>
        </w:rPr>
        <w:t>reprises </w:t>
      </w:r>
      <w:r>
        <w:rPr>
          <w:color w:val="231F20"/>
          <w:spacing w:val="-10"/>
        </w:rPr>
        <w:t>des</w:t>
      </w:r>
      <w:r>
        <w:rPr>
          <w:color w:val="231F20"/>
          <w:spacing w:val="-2"/>
        </w:rPr>
        <w:t> </w:t>
      </w:r>
      <w:r>
        <w:rPr>
          <w:color w:val="231F20"/>
          <w:spacing w:val="-10"/>
        </w:rPr>
        <w:t>services</w:t>
      </w:r>
      <w:r>
        <w:rPr>
          <w:color w:val="231F20"/>
          <w:spacing w:val="-2"/>
        </w:rPr>
        <w:t> </w:t>
      </w:r>
      <w:r>
        <w:rPr>
          <w:color w:val="231F20"/>
          <w:spacing w:val="-10"/>
        </w:rPr>
        <w:t>ou</w:t>
      </w:r>
      <w:r>
        <w:rPr>
          <w:color w:val="231F20"/>
          <w:spacing w:val="-2"/>
        </w:rPr>
        <w:t> </w:t>
      </w:r>
      <w:r>
        <w:rPr>
          <w:color w:val="231F20"/>
          <w:spacing w:val="-10"/>
        </w:rPr>
        <w:t>des</w:t>
      </w:r>
      <w:r>
        <w:rPr>
          <w:color w:val="231F20"/>
          <w:spacing w:val="-2"/>
        </w:rPr>
        <w:t> </w:t>
      </w:r>
      <w:r>
        <w:rPr>
          <w:color w:val="231F20"/>
          <w:spacing w:val="-10"/>
        </w:rPr>
        <w:t>logiciels</w:t>
      </w:r>
      <w:r>
        <w:rPr>
          <w:color w:val="231F20"/>
          <w:spacing w:val="-2"/>
        </w:rPr>
        <w:t> </w:t>
      </w:r>
      <w:r>
        <w:rPr>
          <w:color w:val="231F20"/>
          <w:spacing w:val="-10"/>
        </w:rPr>
        <w:t>à</w:t>
      </w:r>
      <w:r>
        <w:rPr>
          <w:color w:val="231F20"/>
          <w:spacing w:val="-2"/>
        </w:rPr>
        <w:t> </w:t>
      </w:r>
      <w:r>
        <w:rPr>
          <w:color w:val="231F20"/>
          <w:spacing w:val="-10"/>
        </w:rPr>
        <w:t>des</w:t>
      </w:r>
      <w:r>
        <w:rPr>
          <w:color w:val="231F20"/>
          <w:spacing w:val="-2"/>
        </w:rPr>
        <w:t> </w:t>
      </w:r>
      <w:r>
        <w:rPr>
          <w:color w:val="231F20"/>
          <w:spacing w:val="-10"/>
        </w:rPr>
        <w:t>juridictions </w:t>
      </w:r>
      <w:r>
        <w:rPr>
          <w:color w:val="231F20"/>
        </w:rPr>
        <w:t>sanctionnées comme l’Iran, la Syrie et </w:t>
      </w:r>
      <w:r>
        <w:rPr>
          <w:color w:val="231F20"/>
          <w:spacing w:val="-8"/>
        </w:rPr>
        <w:t>l’Ukraine/Russie et Cuba (54 opérations pour </w:t>
      </w:r>
      <w:r>
        <w:rPr>
          <w:color w:val="231F20"/>
        </w:rPr>
        <w:t>celle-ci), en violation des programmes de </w:t>
      </w:r>
      <w:r>
        <w:rPr>
          <w:color w:val="231F20"/>
          <w:spacing w:val="-2"/>
        </w:rPr>
        <w:t>mesures</w:t>
      </w:r>
      <w:r>
        <w:rPr>
          <w:color w:val="231F20"/>
          <w:spacing w:val="-15"/>
        </w:rPr>
        <w:t> </w:t>
      </w:r>
      <w:r>
        <w:rPr>
          <w:color w:val="231F20"/>
          <w:spacing w:val="-2"/>
        </w:rPr>
        <w:t>coercitives</w:t>
      </w:r>
      <w:r>
        <w:rPr>
          <w:color w:val="231F20"/>
          <w:spacing w:val="-15"/>
        </w:rPr>
        <w:t> </w:t>
      </w:r>
      <w:r>
        <w:rPr>
          <w:color w:val="231F20"/>
          <w:spacing w:val="-2"/>
        </w:rPr>
        <w:t>des</w:t>
      </w:r>
      <w:r>
        <w:rPr>
          <w:color w:val="231F20"/>
          <w:spacing w:val="-15"/>
        </w:rPr>
        <w:t> </w:t>
      </w:r>
      <w:r>
        <w:rPr>
          <w:color w:val="231F20"/>
          <w:spacing w:val="-2"/>
        </w:rPr>
        <w:t>États-Unis.</w:t>
      </w:r>
    </w:p>
    <w:p>
      <w:pPr>
        <w:pStyle w:val="BodyText"/>
        <w:spacing w:before="168"/>
        <w:ind w:left="1474" w:right="6006"/>
      </w:pPr>
      <w:r>
        <w:rPr>
          <w:b/>
          <w:color w:val="B52628"/>
        </w:rPr>
        <w:t>1er mai 2023. </w:t>
      </w:r>
      <w:r>
        <w:rPr>
          <w:color w:val="231F20"/>
        </w:rPr>
        <w:t>La société Poloniex, LLC, de Boston (Massachusetts) accepte </w:t>
      </w:r>
      <w:r>
        <w:rPr>
          <w:color w:val="231F20"/>
        </w:rPr>
        <w:t>de payer une amende de 7 591 630 dollars pour</w:t>
      </w:r>
      <w:r>
        <w:rPr>
          <w:color w:val="231F20"/>
          <w:spacing w:val="-2"/>
        </w:rPr>
        <w:t> </w:t>
      </w:r>
      <w:r>
        <w:rPr>
          <w:color w:val="231F20"/>
        </w:rPr>
        <w:t>avoir</w:t>
      </w:r>
      <w:r>
        <w:rPr>
          <w:color w:val="231F20"/>
          <w:spacing w:val="-2"/>
        </w:rPr>
        <w:t> </w:t>
      </w:r>
      <w:r>
        <w:rPr>
          <w:color w:val="231F20"/>
        </w:rPr>
        <w:t>permis,</w:t>
      </w:r>
      <w:r>
        <w:rPr>
          <w:color w:val="231F20"/>
          <w:spacing w:val="-2"/>
        </w:rPr>
        <w:t> </w:t>
      </w:r>
      <w:r>
        <w:rPr>
          <w:color w:val="231F20"/>
        </w:rPr>
        <w:t>à</w:t>
      </w:r>
      <w:r>
        <w:rPr>
          <w:color w:val="231F20"/>
          <w:spacing w:val="-2"/>
        </w:rPr>
        <w:t> </w:t>
      </w:r>
      <w:r>
        <w:rPr>
          <w:color w:val="231F20"/>
        </w:rPr>
        <w:t>travers</w:t>
      </w:r>
      <w:r>
        <w:rPr>
          <w:color w:val="231F20"/>
          <w:spacing w:val="-2"/>
        </w:rPr>
        <w:t> </w:t>
      </w:r>
      <w:r>
        <w:rPr>
          <w:color w:val="231F20"/>
        </w:rPr>
        <w:t>sa</w:t>
      </w:r>
      <w:r>
        <w:rPr>
          <w:color w:val="231F20"/>
          <w:spacing w:val="-2"/>
        </w:rPr>
        <w:t> </w:t>
      </w:r>
      <w:r>
        <w:rPr>
          <w:color w:val="231F20"/>
        </w:rPr>
        <w:t>plateforme de négociations, que des clients situés apparemment dans des juridictions </w:t>
      </w:r>
      <w:r>
        <w:rPr>
          <w:color w:val="231F20"/>
          <w:spacing w:val="-2"/>
        </w:rPr>
        <w:t>sanctionnées</w:t>
      </w:r>
      <w:r>
        <w:rPr>
          <w:color w:val="231F20"/>
          <w:spacing w:val="-15"/>
        </w:rPr>
        <w:t> </w:t>
      </w:r>
      <w:r>
        <w:rPr>
          <w:color w:val="231F20"/>
          <w:spacing w:val="-2"/>
        </w:rPr>
        <w:t>participent</w:t>
      </w:r>
      <w:r>
        <w:rPr>
          <w:color w:val="231F20"/>
          <w:spacing w:val="-14"/>
        </w:rPr>
        <w:t> </w:t>
      </w:r>
      <w:r>
        <w:rPr>
          <w:color w:val="231F20"/>
          <w:spacing w:val="-2"/>
        </w:rPr>
        <w:t>à</w:t>
      </w:r>
      <w:r>
        <w:rPr>
          <w:color w:val="231F20"/>
          <w:spacing w:val="-15"/>
        </w:rPr>
        <w:t> </w:t>
      </w:r>
      <w:r>
        <w:rPr>
          <w:color w:val="231F20"/>
          <w:spacing w:val="-2"/>
        </w:rPr>
        <w:t>des</w:t>
      </w:r>
      <w:r>
        <w:rPr>
          <w:color w:val="231F20"/>
          <w:spacing w:val="-14"/>
        </w:rPr>
        <w:t> </w:t>
      </w:r>
      <w:r>
        <w:rPr>
          <w:color w:val="231F20"/>
          <w:spacing w:val="-2"/>
        </w:rPr>
        <w:t>transactions </w:t>
      </w:r>
      <w:r>
        <w:rPr>
          <w:color w:val="231F20"/>
        </w:rPr>
        <w:t>en</w:t>
      </w:r>
      <w:r>
        <w:rPr>
          <w:color w:val="231F20"/>
          <w:spacing w:val="-11"/>
        </w:rPr>
        <w:t> </w:t>
      </w:r>
      <w:r>
        <w:rPr>
          <w:color w:val="231F20"/>
        </w:rPr>
        <w:t>ligne</w:t>
      </w:r>
      <w:r>
        <w:rPr>
          <w:color w:val="231F20"/>
          <w:spacing w:val="-11"/>
        </w:rPr>
        <w:t> </w:t>
      </w:r>
      <w:r>
        <w:rPr>
          <w:color w:val="231F20"/>
        </w:rPr>
        <w:t>associées</w:t>
      </w:r>
      <w:r>
        <w:rPr>
          <w:color w:val="231F20"/>
          <w:spacing w:val="-11"/>
        </w:rPr>
        <w:t> </w:t>
      </w:r>
      <w:r>
        <w:rPr>
          <w:color w:val="231F20"/>
        </w:rPr>
        <w:t>à</w:t>
      </w:r>
      <w:r>
        <w:rPr>
          <w:color w:val="231F20"/>
          <w:spacing w:val="-11"/>
        </w:rPr>
        <w:t> </w:t>
      </w:r>
      <w:r>
        <w:rPr>
          <w:color w:val="231F20"/>
        </w:rPr>
        <w:t>des</w:t>
      </w:r>
      <w:r>
        <w:rPr>
          <w:color w:val="231F20"/>
          <w:spacing w:val="-11"/>
        </w:rPr>
        <w:t> </w:t>
      </w:r>
      <w:r>
        <w:rPr>
          <w:color w:val="231F20"/>
        </w:rPr>
        <w:t>actifs</w:t>
      </w:r>
      <w:r>
        <w:rPr>
          <w:color w:val="231F20"/>
          <w:spacing w:val="-11"/>
        </w:rPr>
        <w:t> </w:t>
      </w:r>
      <w:r>
        <w:rPr>
          <w:color w:val="231F20"/>
        </w:rPr>
        <w:t>numériques pour un total combiné de 15 335 349 dollars, en violation des programmes de mesures coercitives des États-Unis.</w:t>
      </w:r>
    </w:p>
    <w:p>
      <w:pPr>
        <w:spacing w:after="0"/>
        <w:sectPr>
          <w:pgSz w:w="11910" w:h="16840"/>
          <w:pgMar w:header="0" w:footer="695" w:top="1260" w:bottom="880" w:left="0" w:right="0"/>
        </w:sectPr>
      </w:pPr>
    </w:p>
    <w:p>
      <w:pPr>
        <w:spacing w:line="1876" w:lineRule="exact" w:before="0"/>
        <w:ind w:left="983" w:right="0" w:firstLine="0"/>
        <w:jc w:val="left"/>
        <w:rPr>
          <w:rFonts w:ascii="Arial"/>
          <w:sz w:val="243"/>
        </w:rPr>
      </w:pPr>
      <w:r>
        <w:rPr>
          <w:rFonts w:ascii="Arial"/>
          <w:color w:val="B3B4CF"/>
          <w:spacing w:val="-1589"/>
          <w:w w:val="126"/>
          <w:position w:val="-26"/>
          <w:sz w:val="243"/>
        </w:rPr>
        <w:t>0</w:t>
      </w:r>
      <w:r>
        <w:rPr>
          <w:rFonts w:ascii="Trebuchet MS"/>
          <w:color w:val="B52628"/>
          <w:spacing w:val="-6"/>
          <w:w w:val="121"/>
          <w:sz w:val="56"/>
        </w:rPr>
        <w:t>R</w:t>
      </w:r>
      <w:r>
        <w:rPr>
          <w:rFonts w:ascii="Trebuchet MS"/>
          <w:color w:val="B52628"/>
          <w:w w:val="102"/>
          <w:sz w:val="56"/>
        </w:rPr>
        <w:t>ejet</w:t>
      </w:r>
      <w:r>
        <w:rPr>
          <w:rFonts w:ascii="Trebuchet MS"/>
          <w:color w:val="B52628"/>
          <w:spacing w:val="-27"/>
          <w:w w:val="109"/>
          <w:sz w:val="56"/>
        </w:rPr>
        <w:t> </w:t>
      </w:r>
      <w:r>
        <w:rPr>
          <w:rFonts w:ascii="Arial"/>
          <w:color w:val="B3B4CF"/>
          <w:spacing w:val="-10"/>
          <w:w w:val="110"/>
          <w:position w:val="-26"/>
          <w:sz w:val="243"/>
        </w:rPr>
        <w:t>5</w:t>
      </w:r>
    </w:p>
    <w:p>
      <w:pPr>
        <w:pStyle w:val="Heading1"/>
        <w:spacing w:line="220" w:lineRule="auto" w:before="38"/>
        <w:ind w:right="7530"/>
      </w:pPr>
      <w:r>
        <w:rPr>
          <w:color w:val="B52628"/>
          <w:spacing w:val="-2"/>
          <w:w w:val="115"/>
        </w:rPr>
        <w:t>universel </w:t>
      </w:r>
      <w:r>
        <w:rPr>
          <w:color w:val="B52628"/>
          <w:w w:val="115"/>
        </w:rPr>
        <w:t>du</w:t>
      </w:r>
      <w:r>
        <w:rPr>
          <w:color w:val="B52628"/>
          <w:spacing w:val="-21"/>
          <w:w w:val="115"/>
        </w:rPr>
        <w:t> </w:t>
      </w:r>
      <w:r>
        <w:rPr>
          <w:color w:val="B52628"/>
          <w:spacing w:val="-2"/>
          <w:w w:val="115"/>
        </w:rPr>
        <w:t>blocus</w:t>
      </w:r>
    </w:p>
    <w:p>
      <w:pPr>
        <w:pStyle w:val="BodyText"/>
        <w:spacing w:before="149"/>
        <w:jc w:val="left"/>
        <w:rPr>
          <w:rFonts w:ascii="Trebuchet MS"/>
          <w:sz w:val="20"/>
        </w:rPr>
      </w:pPr>
      <w:r>
        <w:rPr/>
        <mc:AlternateContent>
          <mc:Choice Requires="wps">
            <w:drawing>
              <wp:anchor distT="0" distB="0" distL="0" distR="0" allowOverlap="1" layoutInCell="1" locked="0" behindDoc="1" simplePos="0" relativeHeight="487698944">
                <wp:simplePos x="0" y="0"/>
                <wp:positionH relativeFrom="page">
                  <wp:posOffset>720001</wp:posOffset>
                </wp:positionH>
                <wp:positionV relativeFrom="paragraph">
                  <wp:posOffset>257846</wp:posOffset>
                </wp:positionV>
                <wp:extent cx="909319" cy="26034"/>
                <wp:effectExtent l="0" t="0" r="0" b="0"/>
                <wp:wrapTopAndBottom/>
                <wp:docPr id="507" name="Graphic 507"/>
                <wp:cNvGraphicFramePr>
                  <a:graphicFrameLocks/>
                </wp:cNvGraphicFramePr>
                <a:graphic>
                  <a:graphicData uri="http://schemas.microsoft.com/office/word/2010/wordprocessingShape">
                    <wps:wsp>
                      <wps:cNvPr id="507" name="Graphic 507"/>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56.693001pt;margin-top:20.302837pt;width:71.584pt;height:2.021pt;mso-position-horizontal-relative:page;mso-position-vertical-relative:paragraph;z-index:-15617536;mso-wrap-distance-left:0;mso-wrap-distance-right:0" id="docshape397" filled="true" fillcolor="#1f4282" stroked="false">
                <v:fill type="solid"/>
                <w10:wrap type="topAndBottom"/>
              </v:rect>
            </w:pict>
          </mc:Fallback>
        </mc:AlternateContent>
      </w:r>
    </w:p>
    <w:p>
      <w:pPr>
        <w:pStyle w:val="BodyText"/>
        <w:spacing w:before="6"/>
        <w:jc w:val="left"/>
        <w:rPr>
          <w:rFonts w:ascii="Trebuchet MS"/>
          <w:sz w:val="20"/>
        </w:rPr>
      </w:pPr>
    </w:p>
    <w:p>
      <w:pPr>
        <w:spacing w:after="0"/>
        <w:jc w:val="left"/>
        <w:rPr>
          <w:rFonts w:ascii="Trebuchet MS"/>
          <w:sz w:val="20"/>
        </w:rPr>
        <w:sectPr>
          <w:pgSz w:w="11910" w:h="16840"/>
          <w:pgMar w:header="0" w:footer="695" w:top="800" w:bottom="880" w:left="0" w:right="0"/>
        </w:sectPr>
      </w:pPr>
    </w:p>
    <w:p>
      <w:pPr>
        <w:pStyle w:val="Heading2"/>
        <w:spacing w:before="100"/>
        <w:ind w:right="2267"/>
      </w:pPr>
      <w:r>
        <w:rPr>
          <w:color w:val="1F4282"/>
          <w:w w:val="115"/>
        </w:rPr>
        <w:t>Opposition</w:t>
      </w:r>
      <w:r>
        <w:rPr>
          <w:color w:val="1F4282"/>
          <w:spacing w:val="-22"/>
          <w:w w:val="115"/>
        </w:rPr>
        <w:t> </w:t>
      </w:r>
      <w:r>
        <w:rPr>
          <w:color w:val="1F4282"/>
          <w:w w:val="115"/>
        </w:rPr>
        <w:t>aux </w:t>
      </w:r>
      <w:r>
        <w:rPr>
          <w:color w:val="1F4282"/>
          <w:spacing w:val="-2"/>
          <w:w w:val="115"/>
        </w:rPr>
        <w:t>États-Unis</w:t>
      </w:r>
    </w:p>
    <w:p>
      <w:pPr>
        <w:pStyle w:val="BodyText"/>
        <w:spacing w:before="168"/>
        <w:ind w:left="1133" w:right="7"/>
      </w:pPr>
      <w:r>
        <w:rPr>
          <w:color w:val="231F20"/>
          <w:spacing w:val="-2"/>
        </w:rPr>
        <w:t>Une</w:t>
      </w:r>
      <w:r>
        <w:rPr>
          <w:color w:val="231F20"/>
          <w:spacing w:val="-13"/>
        </w:rPr>
        <w:t> </w:t>
      </w:r>
      <w:r>
        <w:rPr>
          <w:color w:val="231F20"/>
          <w:spacing w:val="-2"/>
        </w:rPr>
        <w:t>quantité</w:t>
      </w:r>
      <w:r>
        <w:rPr>
          <w:color w:val="231F20"/>
          <w:spacing w:val="-13"/>
        </w:rPr>
        <w:t> </w:t>
      </w:r>
      <w:r>
        <w:rPr>
          <w:color w:val="231F20"/>
          <w:spacing w:val="-2"/>
        </w:rPr>
        <w:t>significative</w:t>
      </w:r>
      <w:r>
        <w:rPr>
          <w:color w:val="231F20"/>
          <w:spacing w:val="-13"/>
        </w:rPr>
        <w:t> </w:t>
      </w:r>
      <w:r>
        <w:rPr>
          <w:color w:val="231F20"/>
          <w:spacing w:val="-2"/>
        </w:rPr>
        <w:t>d’initiatives</w:t>
      </w:r>
      <w:r>
        <w:rPr>
          <w:color w:val="231F20"/>
          <w:spacing w:val="-13"/>
        </w:rPr>
        <w:t> </w:t>
      </w:r>
      <w:r>
        <w:rPr>
          <w:color w:val="231F20"/>
          <w:spacing w:val="-2"/>
        </w:rPr>
        <w:t>a</w:t>
      </w:r>
      <w:r>
        <w:rPr>
          <w:color w:val="231F20"/>
          <w:spacing w:val="-13"/>
        </w:rPr>
        <w:t> </w:t>
      </w:r>
      <w:r>
        <w:rPr>
          <w:color w:val="231F20"/>
          <w:spacing w:val="-2"/>
        </w:rPr>
        <w:t>été </w:t>
      </w:r>
      <w:r>
        <w:rPr>
          <w:color w:val="231F20"/>
          <w:spacing w:val="-4"/>
        </w:rPr>
        <w:t>lancée</w:t>
      </w:r>
      <w:r>
        <w:rPr>
          <w:color w:val="231F20"/>
          <w:spacing w:val="-12"/>
        </w:rPr>
        <w:t> </w:t>
      </w:r>
      <w:r>
        <w:rPr>
          <w:color w:val="231F20"/>
          <w:spacing w:val="-4"/>
        </w:rPr>
        <w:t>aux</w:t>
      </w:r>
      <w:r>
        <w:rPr>
          <w:color w:val="231F20"/>
          <w:spacing w:val="-12"/>
        </w:rPr>
        <w:t> </w:t>
      </w:r>
      <w:r>
        <w:rPr>
          <w:color w:val="231F20"/>
          <w:spacing w:val="-4"/>
        </w:rPr>
        <w:t>USA,</w:t>
      </w:r>
      <w:r>
        <w:rPr>
          <w:color w:val="231F20"/>
          <w:spacing w:val="-12"/>
        </w:rPr>
        <w:t> </w:t>
      </w:r>
      <w:r>
        <w:rPr>
          <w:color w:val="231F20"/>
          <w:spacing w:val="-4"/>
        </w:rPr>
        <w:t>durant</w:t>
      </w:r>
      <w:r>
        <w:rPr>
          <w:color w:val="231F20"/>
          <w:spacing w:val="-12"/>
        </w:rPr>
        <w:t> </w:t>
      </w:r>
      <w:r>
        <w:rPr>
          <w:color w:val="231F20"/>
          <w:spacing w:val="-4"/>
        </w:rPr>
        <w:t>la</w:t>
      </w:r>
      <w:r>
        <w:rPr>
          <w:color w:val="231F20"/>
          <w:spacing w:val="-12"/>
        </w:rPr>
        <w:t> </w:t>
      </w:r>
      <w:r>
        <w:rPr>
          <w:color w:val="231F20"/>
          <w:spacing w:val="-4"/>
        </w:rPr>
        <w:t>période</w:t>
      </w:r>
      <w:r>
        <w:rPr>
          <w:color w:val="231F20"/>
          <w:spacing w:val="-12"/>
        </w:rPr>
        <w:t> </w:t>
      </w:r>
      <w:r>
        <w:rPr>
          <w:color w:val="231F20"/>
          <w:spacing w:val="-4"/>
        </w:rPr>
        <w:t>analysée, </w:t>
      </w:r>
      <w:r>
        <w:rPr>
          <w:color w:val="231F20"/>
          <w:spacing w:val="-2"/>
          <w:w w:val="90"/>
        </w:rPr>
        <w:t>visant</w:t>
      </w:r>
      <w:r>
        <w:rPr>
          <w:color w:val="231F20"/>
          <w:spacing w:val="-8"/>
          <w:w w:val="90"/>
        </w:rPr>
        <w:t> </w:t>
      </w:r>
      <w:r>
        <w:rPr>
          <w:color w:val="231F20"/>
          <w:spacing w:val="-2"/>
          <w:w w:val="90"/>
        </w:rPr>
        <w:t>la</w:t>
      </w:r>
      <w:r>
        <w:rPr>
          <w:color w:val="231F20"/>
          <w:spacing w:val="-8"/>
          <w:w w:val="90"/>
        </w:rPr>
        <w:t> </w:t>
      </w:r>
      <w:r>
        <w:rPr>
          <w:color w:val="231F20"/>
          <w:spacing w:val="-2"/>
          <w:w w:val="90"/>
        </w:rPr>
        <w:t>levée</w:t>
      </w:r>
      <w:r>
        <w:rPr>
          <w:color w:val="231F20"/>
          <w:spacing w:val="-8"/>
          <w:w w:val="90"/>
        </w:rPr>
        <w:t> </w:t>
      </w:r>
      <w:r>
        <w:rPr>
          <w:color w:val="231F20"/>
          <w:spacing w:val="-2"/>
          <w:w w:val="90"/>
        </w:rPr>
        <w:t>du</w:t>
      </w:r>
      <w:r>
        <w:rPr>
          <w:color w:val="231F20"/>
          <w:spacing w:val="-8"/>
          <w:w w:val="90"/>
        </w:rPr>
        <w:t> </w:t>
      </w:r>
      <w:r>
        <w:rPr>
          <w:color w:val="231F20"/>
          <w:spacing w:val="-2"/>
          <w:w w:val="90"/>
        </w:rPr>
        <w:t>blocus</w:t>
      </w:r>
      <w:r>
        <w:rPr>
          <w:color w:val="231F20"/>
          <w:spacing w:val="-8"/>
          <w:w w:val="90"/>
        </w:rPr>
        <w:t> </w:t>
      </w:r>
      <w:r>
        <w:rPr>
          <w:color w:val="231F20"/>
          <w:spacing w:val="-2"/>
          <w:w w:val="90"/>
        </w:rPr>
        <w:t>et</w:t>
      </w:r>
      <w:r>
        <w:rPr>
          <w:color w:val="231F20"/>
          <w:spacing w:val="-8"/>
          <w:w w:val="90"/>
        </w:rPr>
        <w:t> </w:t>
      </w:r>
      <w:r>
        <w:rPr>
          <w:color w:val="231F20"/>
          <w:spacing w:val="-2"/>
          <w:w w:val="90"/>
        </w:rPr>
        <w:t>la</w:t>
      </w:r>
      <w:r>
        <w:rPr>
          <w:color w:val="231F20"/>
          <w:spacing w:val="-8"/>
          <w:w w:val="90"/>
        </w:rPr>
        <w:t> </w:t>
      </w:r>
      <w:r>
        <w:rPr>
          <w:color w:val="231F20"/>
          <w:spacing w:val="-2"/>
          <w:w w:val="90"/>
        </w:rPr>
        <w:t>radiation</w:t>
      </w:r>
      <w:r>
        <w:rPr>
          <w:color w:val="231F20"/>
          <w:spacing w:val="-7"/>
          <w:w w:val="90"/>
        </w:rPr>
        <w:t> </w:t>
      </w:r>
      <w:r>
        <w:rPr>
          <w:color w:val="231F20"/>
          <w:spacing w:val="-2"/>
          <w:w w:val="90"/>
        </w:rPr>
        <w:t>de</w:t>
      </w:r>
      <w:r>
        <w:rPr>
          <w:color w:val="231F20"/>
          <w:spacing w:val="-8"/>
          <w:w w:val="90"/>
        </w:rPr>
        <w:t> </w:t>
      </w:r>
      <w:r>
        <w:rPr>
          <w:color w:val="231F20"/>
          <w:spacing w:val="-2"/>
          <w:w w:val="90"/>
        </w:rPr>
        <w:t>Cuba </w:t>
      </w:r>
      <w:r>
        <w:rPr>
          <w:color w:val="231F20"/>
          <w:spacing w:val="-14"/>
        </w:rPr>
        <w:t>de</w:t>
      </w:r>
      <w:r>
        <w:rPr>
          <w:color w:val="231F20"/>
        </w:rPr>
        <w:t> </w:t>
      </w:r>
      <w:r>
        <w:rPr>
          <w:color w:val="231F20"/>
          <w:spacing w:val="-14"/>
        </w:rPr>
        <w:t>la</w:t>
      </w:r>
      <w:r>
        <w:rPr>
          <w:color w:val="231F20"/>
        </w:rPr>
        <w:t> </w:t>
      </w:r>
      <w:r>
        <w:rPr>
          <w:color w:val="231F20"/>
          <w:spacing w:val="-14"/>
        </w:rPr>
        <w:t>liste</w:t>
      </w:r>
      <w:r>
        <w:rPr>
          <w:color w:val="231F20"/>
        </w:rPr>
        <w:t> </w:t>
      </w:r>
      <w:r>
        <w:rPr>
          <w:color w:val="231F20"/>
          <w:spacing w:val="-14"/>
        </w:rPr>
        <w:t>unilatérale</w:t>
      </w:r>
      <w:r>
        <w:rPr>
          <w:color w:val="231F20"/>
        </w:rPr>
        <w:t> </w:t>
      </w:r>
      <w:r>
        <w:rPr>
          <w:color w:val="231F20"/>
          <w:spacing w:val="-14"/>
        </w:rPr>
        <w:t>des</w:t>
      </w:r>
      <w:r>
        <w:rPr>
          <w:color w:val="231F20"/>
        </w:rPr>
        <w:t> </w:t>
      </w:r>
      <w:r>
        <w:rPr>
          <w:color w:val="231F20"/>
          <w:spacing w:val="-14"/>
        </w:rPr>
        <w:t>États</w:t>
      </w:r>
      <w:r>
        <w:rPr>
          <w:color w:val="231F20"/>
        </w:rPr>
        <w:t> </w:t>
      </w:r>
      <w:r>
        <w:rPr>
          <w:color w:val="231F20"/>
          <w:spacing w:val="-14"/>
        </w:rPr>
        <w:t>commanditaires </w:t>
      </w:r>
      <w:r>
        <w:rPr>
          <w:color w:val="231F20"/>
          <w:spacing w:val="-8"/>
        </w:rPr>
        <w:t>duterrorisme,</w:t>
      </w:r>
      <w:r>
        <w:rPr>
          <w:color w:val="231F20"/>
          <w:spacing w:val="-9"/>
        </w:rPr>
        <w:t> </w:t>
      </w:r>
      <w:r>
        <w:rPr>
          <w:color w:val="231F20"/>
          <w:spacing w:val="-8"/>
        </w:rPr>
        <w:t>unebonnepartieayantconcerné </w:t>
      </w:r>
      <w:r>
        <w:rPr>
          <w:color w:val="231F20"/>
        </w:rPr>
        <w:t>le président Biden afin qu’il recoure à ses </w:t>
      </w:r>
      <w:r>
        <w:rPr>
          <w:color w:val="231F20"/>
          <w:spacing w:val="-6"/>
        </w:rPr>
        <w:t>facultés</w:t>
      </w:r>
      <w:r>
        <w:rPr>
          <w:color w:val="231F20"/>
          <w:spacing w:val="-11"/>
        </w:rPr>
        <w:t> </w:t>
      </w:r>
      <w:r>
        <w:rPr>
          <w:color w:val="231F20"/>
          <w:spacing w:val="-6"/>
        </w:rPr>
        <w:t>exécutives</w:t>
      </w:r>
      <w:r>
        <w:rPr>
          <w:color w:val="231F20"/>
          <w:spacing w:val="-10"/>
        </w:rPr>
        <w:t> </w:t>
      </w:r>
      <w:r>
        <w:rPr>
          <w:color w:val="231F20"/>
          <w:spacing w:val="-6"/>
        </w:rPr>
        <w:t>pour</w:t>
      </w:r>
      <w:r>
        <w:rPr>
          <w:color w:val="231F20"/>
          <w:spacing w:val="-11"/>
        </w:rPr>
        <w:t> </w:t>
      </w:r>
      <w:r>
        <w:rPr>
          <w:color w:val="231F20"/>
          <w:spacing w:val="-6"/>
        </w:rPr>
        <w:t>annuler</w:t>
      </w:r>
      <w:r>
        <w:rPr>
          <w:color w:val="231F20"/>
          <w:spacing w:val="-10"/>
        </w:rPr>
        <w:t> </w:t>
      </w:r>
      <w:r>
        <w:rPr>
          <w:color w:val="231F20"/>
          <w:spacing w:val="-6"/>
        </w:rPr>
        <w:t>les</w:t>
      </w:r>
      <w:r>
        <w:rPr>
          <w:color w:val="231F20"/>
          <w:spacing w:val="-11"/>
        </w:rPr>
        <w:t> </w:t>
      </w:r>
      <w:r>
        <w:rPr>
          <w:color w:val="231F20"/>
          <w:spacing w:val="-6"/>
        </w:rPr>
        <w:t>mesures </w:t>
      </w:r>
      <w:r>
        <w:rPr>
          <w:color w:val="231F20"/>
        </w:rPr>
        <w:t>coercitives</w:t>
      </w:r>
      <w:r>
        <w:rPr>
          <w:color w:val="231F20"/>
          <w:spacing w:val="-8"/>
        </w:rPr>
        <w:t> </w:t>
      </w:r>
      <w:r>
        <w:rPr>
          <w:color w:val="231F20"/>
        </w:rPr>
        <w:t>supplémentaires</w:t>
      </w:r>
      <w:r>
        <w:rPr>
          <w:color w:val="231F20"/>
          <w:spacing w:val="-8"/>
        </w:rPr>
        <w:t> </w:t>
      </w:r>
      <w:r>
        <w:rPr>
          <w:color w:val="231F20"/>
        </w:rPr>
        <w:t>imposées</w:t>
      </w:r>
      <w:r>
        <w:rPr>
          <w:color w:val="231F20"/>
          <w:spacing w:val="-8"/>
        </w:rPr>
        <w:t> </w:t>
      </w:r>
      <w:r>
        <w:rPr>
          <w:color w:val="231F20"/>
        </w:rPr>
        <w:t>par Donald</w:t>
      </w:r>
      <w:r>
        <w:rPr>
          <w:color w:val="231F20"/>
          <w:spacing w:val="-15"/>
        </w:rPr>
        <w:t> </w:t>
      </w:r>
      <w:r>
        <w:rPr>
          <w:color w:val="231F20"/>
        </w:rPr>
        <w:t>Trump.</w:t>
      </w:r>
    </w:p>
    <w:p>
      <w:pPr>
        <w:pStyle w:val="BodyText"/>
        <w:spacing w:before="167"/>
        <w:ind w:left="1133" w:right="7"/>
      </w:pPr>
      <w:r>
        <w:rPr>
          <w:color w:val="231F20"/>
          <w:spacing w:val="-10"/>
        </w:rPr>
        <w:t>Des</w:t>
      </w:r>
      <w:r>
        <w:rPr>
          <w:color w:val="231F20"/>
          <w:spacing w:val="-7"/>
        </w:rPr>
        <w:t> </w:t>
      </w:r>
      <w:r>
        <w:rPr>
          <w:color w:val="231F20"/>
          <w:spacing w:val="-10"/>
        </w:rPr>
        <w:t>représentants</w:t>
      </w:r>
      <w:r>
        <w:rPr>
          <w:color w:val="231F20"/>
          <w:spacing w:val="-6"/>
        </w:rPr>
        <w:t> </w:t>
      </w:r>
      <w:r>
        <w:rPr>
          <w:color w:val="231F20"/>
          <w:spacing w:val="-10"/>
        </w:rPr>
        <w:t>de</w:t>
      </w:r>
      <w:r>
        <w:rPr>
          <w:color w:val="231F20"/>
          <w:spacing w:val="-7"/>
        </w:rPr>
        <w:t> </w:t>
      </w:r>
      <w:r>
        <w:rPr>
          <w:color w:val="231F20"/>
          <w:spacing w:val="-10"/>
        </w:rPr>
        <w:t>différents</w:t>
      </w:r>
      <w:r>
        <w:rPr>
          <w:color w:val="231F20"/>
          <w:spacing w:val="-6"/>
        </w:rPr>
        <w:t> </w:t>
      </w:r>
      <w:r>
        <w:rPr>
          <w:color w:val="231F20"/>
          <w:spacing w:val="-10"/>
        </w:rPr>
        <w:t>secteurs</w:t>
      </w:r>
      <w:r>
        <w:rPr>
          <w:color w:val="231F20"/>
          <w:spacing w:val="-7"/>
        </w:rPr>
        <w:t> </w:t>
      </w:r>
      <w:r>
        <w:rPr>
          <w:color w:val="231F20"/>
          <w:spacing w:val="-10"/>
        </w:rPr>
        <w:t>de</w:t>
      </w:r>
      <w:r>
        <w:rPr>
          <w:color w:val="231F20"/>
          <w:spacing w:val="-6"/>
        </w:rPr>
        <w:t> </w:t>
      </w:r>
      <w:r>
        <w:rPr>
          <w:color w:val="231F20"/>
          <w:spacing w:val="-10"/>
        </w:rPr>
        <w:t>la </w:t>
      </w:r>
      <w:r>
        <w:rPr>
          <w:color w:val="231F20"/>
          <w:spacing w:val="-14"/>
        </w:rPr>
        <w:t>société,</w:t>
      </w:r>
      <w:r>
        <w:rPr>
          <w:color w:val="231F20"/>
          <w:spacing w:val="-3"/>
        </w:rPr>
        <w:t> </w:t>
      </w:r>
      <w:r>
        <w:rPr>
          <w:color w:val="231F20"/>
          <w:spacing w:val="-14"/>
        </w:rPr>
        <w:t>dont</w:t>
      </w:r>
      <w:r>
        <w:rPr>
          <w:color w:val="231F20"/>
          <w:spacing w:val="-2"/>
        </w:rPr>
        <w:t> </w:t>
      </w:r>
      <w:r>
        <w:rPr>
          <w:color w:val="231F20"/>
          <w:spacing w:val="-14"/>
        </w:rPr>
        <w:t>des</w:t>
      </w:r>
      <w:r>
        <w:rPr>
          <w:color w:val="231F20"/>
          <w:spacing w:val="-3"/>
        </w:rPr>
        <w:t> </w:t>
      </w:r>
      <w:r>
        <w:rPr>
          <w:color w:val="231F20"/>
          <w:spacing w:val="-14"/>
        </w:rPr>
        <w:t>artistes,</w:t>
      </w:r>
      <w:r>
        <w:rPr>
          <w:color w:val="231F20"/>
          <w:spacing w:val="-2"/>
        </w:rPr>
        <w:t> </w:t>
      </w:r>
      <w:r>
        <w:rPr>
          <w:color w:val="231F20"/>
          <w:spacing w:val="-14"/>
        </w:rPr>
        <w:t>des</w:t>
      </w:r>
      <w:r>
        <w:rPr>
          <w:color w:val="231F20"/>
          <w:spacing w:val="-3"/>
        </w:rPr>
        <w:t> </w:t>
      </w:r>
      <w:r>
        <w:rPr>
          <w:color w:val="231F20"/>
          <w:spacing w:val="-14"/>
        </w:rPr>
        <w:t>universitaires,</w:t>
      </w:r>
      <w:r>
        <w:rPr>
          <w:color w:val="231F20"/>
          <w:spacing w:val="-2"/>
        </w:rPr>
        <w:t> </w:t>
      </w:r>
      <w:r>
        <w:rPr>
          <w:color w:val="231F20"/>
          <w:spacing w:val="-14"/>
        </w:rPr>
        <w:t>des </w:t>
      </w:r>
      <w:r>
        <w:rPr>
          <w:color w:val="231F20"/>
          <w:spacing w:val="-12"/>
        </w:rPr>
        <w:t>religieux,</w:t>
      </w:r>
      <w:r>
        <w:rPr>
          <w:color w:val="231F20"/>
        </w:rPr>
        <w:t> </w:t>
      </w:r>
      <w:r>
        <w:rPr>
          <w:color w:val="231F20"/>
          <w:spacing w:val="-12"/>
        </w:rPr>
        <w:t>des</w:t>
      </w:r>
      <w:r>
        <w:rPr>
          <w:color w:val="231F20"/>
        </w:rPr>
        <w:t> </w:t>
      </w:r>
      <w:r>
        <w:rPr>
          <w:color w:val="231F20"/>
          <w:spacing w:val="-12"/>
        </w:rPr>
        <w:t>avocats,</w:t>
      </w:r>
      <w:r>
        <w:rPr>
          <w:color w:val="231F20"/>
        </w:rPr>
        <w:t> </w:t>
      </w:r>
      <w:r>
        <w:rPr>
          <w:color w:val="231F20"/>
          <w:spacing w:val="-12"/>
        </w:rPr>
        <w:t>des</w:t>
      </w:r>
      <w:r>
        <w:rPr>
          <w:color w:val="231F20"/>
        </w:rPr>
        <w:t> </w:t>
      </w:r>
      <w:r>
        <w:rPr>
          <w:color w:val="231F20"/>
          <w:spacing w:val="-12"/>
        </w:rPr>
        <w:t>groupes</w:t>
      </w:r>
      <w:r>
        <w:rPr>
          <w:color w:val="231F20"/>
        </w:rPr>
        <w:t> </w:t>
      </w:r>
      <w:r>
        <w:rPr>
          <w:color w:val="231F20"/>
          <w:spacing w:val="-12"/>
        </w:rPr>
        <w:t>d’hommes </w:t>
      </w:r>
      <w:r>
        <w:rPr>
          <w:color w:val="231F20"/>
        </w:rPr>
        <w:t>d’affaires, des groupes de solidarité, des organisations</w:t>
      </w:r>
      <w:r>
        <w:rPr>
          <w:color w:val="231F20"/>
          <w:spacing w:val="-12"/>
        </w:rPr>
        <w:t> </w:t>
      </w:r>
      <w:r>
        <w:rPr>
          <w:color w:val="231F20"/>
        </w:rPr>
        <w:t>non</w:t>
      </w:r>
      <w:r>
        <w:rPr>
          <w:color w:val="231F20"/>
          <w:spacing w:val="-12"/>
        </w:rPr>
        <w:t> </w:t>
      </w:r>
      <w:r>
        <w:rPr>
          <w:color w:val="231F20"/>
        </w:rPr>
        <w:t>gouvernementales,</w:t>
      </w:r>
      <w:r>
        <w:rPr>
          <w:color w:val="231F20"/>
          <w:spacing w:val="-12"/>
        </w:rPr>
        <w:t> </w:t>
      </w:r>
      <w:r>
        <w:rPr>
          <w:color w:val="231F20"/>
        </w:rPr>
        <w:t>des Cubano-Américains</w:t>
      </w:r>
      <w:r>
        <w:rPr>
          <w:color w:val="231F20"/>
          <w:spacing w:val="-3"/>
        </w:rPr>
        <w:t> </w:t>
      </w:r>
      <w:r>
        <w:rPr>
          <w:color w:val="231F20"/>
        </w:rPr>
        <w:t>et</w:t>
      </w:r>
      <w:r>
        <w:rPr>
          <w:color w:val="231F20"/>
          <w:spacing w:val="-3"/>
        </w:rPr>
        <w:t> </w:t>
      </w:r>
      <w:r>
        <w:rPr>
          <w:color w:val="231F20"/>
        </w:rPr>
        <w:t>des</w:t>
      </w:r>
      <w:r>
        <w:rPr>
          <w:color w:val="231F20"/>
          <w:spacing w:val="-3"/>
        </w:rPr>
        <w:t> </w:t>
      </w:r>
      <w:r>
        <w:rPr>
          <w:color w:val="231F20"/>
        </w:rPr>
        <w:t>législateurs,</w:t>
      </w:r>
      <w:r>
        <w:rPr>
          <w:color w:val="231F20"/>
          <w:spacing w:val="-3"/>
        </w:rPr>
        <w:t> </w:t>
      </w:r>
      <w:r>
        <w:rPr>
          <w:color w:val="231F20"/>
        </w:rPr>
        <w:t>se sont</w:t>
      </w:r>
      <w:r>
        <w:rPr>
          <w:color w:val="231F20"/>
          <w:spacing w:val="-14"/>
        </w:rPr>
        <w:t> </w:t>
      </w:r>
      <w:r>
        <w:rPr>
          <w:color w:val="231F20"/>
        </w:rPr>
        <w:t>élevés</w:t>
      </w:r>
      <w:r>
        <w:rPr>
          <w:color w:val="231F20"/>
          <w:spacing w:val="-14"/>
        </w:rPr>
        <w:t> </w:t>
      </w:r>
      <w:r>
        <w:rPr>
          <w:color w:val="231F20"/>
        </w:rPr>
        <w:t>contre</w:t>
      </w:r>
      <w:r>
        <w:rPr>
          <w:color w:val="231F20"/>
          <w:spacing w:val="-14"/>
        </w:rPr>
        <w:t> </w:t>
      </w:r>
      <w:r>
        <w:rPr>
          <w:color w:val="231F20"/>
        </w:rPr>
        <w:t>la</w:t>
      </w:r>
      <w:r>
        <w:rPr>
          <w:color w:val="231F20"/>
          <w:spacing w:val="-14"/>
        </w:rPr>
        <w:t> </w:t>
      </w:r>
      <w:r>
        <w:rPr>
          <w:color w:val="231F20"/>
        </w:rPr>
        <w:t>politique</w:t>
      </w:r>
      <w:r>
        <w:rPr>
          <w:color w:val="231F20"/>
          <w:spacing w:val="-14"/>
        </w:rPr>
        <w:t> </w:t>
      </w:r>
      <w:r>
        <w:rPr>
          <w:color w:val="231F20"/>
        </w:rPr>
        <w:t>de</w:t>
      </w:r>
      <w:r>
        <w:rPr>
          <w:color w:val="231F20"/>
          <w:spacing w:val="-14"/>
        </w:rPr>
        <w:t> </w:t>
      </w:r>
      <w:r>
        <w:rPr>
          <w:color w:val="231F20"/>
        </w:rPr>
        <w:t>pression maximale</w:t>
      </w:r>
      <w:r>
        <w:rPr>
          <w:color w:val="231F20"/>
          <w:spacing w:val="-20"/>
        </w:rPr>
        <w:t> </w:t>
      </w:r>
      <w:r>
        <w:rPr>
          <w:color w:val="231F20"/>
        </w:rPr>
        <w:t>imposée</w:t>
      </w:r>
      <w:r>
        <w:rPr>
          <w:color w:val="231F20"/>
          <w:spacing w:val="-20"/>
        </w:rPr>
        <w:t> </w:t>
      </w:r>
      <w:r>
        <w:rPr>
          <w:color w:val="231F20"/>
        </w:rPr>
        <w:t>à</w:t>
      </w:r>
      <w:r>
        <w:rPr>
          <w:color w:val="231F20"/>
          <w:spacing w:val="-20"/>
        </w:rPr>
        <w:t> </w:t>
      </w:r>
      <w:r>
        <w:rPr>
          <w:color w:val="231F20"/>
        </w:rPr>
        <w:t>Cuba.</w:t>
      </w:r>
    </w:p>
    <w:p>
      <w:pPr>
        <w:pStyle w:val="BodyText"/>
        <w:spacing w:before="167"/>
        <w:ind w:left="1133" w:right="1"/>
      </w:pPr>
      <w:r>
        <w:rPr>
          <w:color w:val="231F20"/>
        </w:rPr>
        <w:t>On</w:t>
      </w:r>
      <w:r>
        <w:rPr>
          <w:color w:val="231F20"/>
          <w:spacing w:val="-12"/>
        </w:rPr>
        <w:t> </w:t>
      </w:r>
      <w:r>
        <w:rPr>
          <w:color w:val="231F20"/>
        </w:rPr>
        <w:t>trouvera</w:t>
      </w:r>
      <w:r>
        <w:rPr>
          <w:color w:val="231F20"/>
          <w:spacing w:val="-12"/>
        </w:rPr>
        <w:t> </w:t>
      </w:r>
      <w:r>
        <w:rPr>
          <w:color w:val="231F20"/>
        </w:rPr>
        <w:t>ci-après</w:t>
      </w:r>
      <w:r>
        <w:rPr>
          <w:color w:val="231F20"/>
          <w:spacing w:val="-12"/>
        </w:rPr>
        <w:t> </w:t>
      </w:r>
      <w:r>
        <w:rPr>
          <w:color w:val="231F20"/>
        </w:rPr>
        <w:t>des</w:t>
      </w:r>
      <w:r>
        <w:rPr>
          <w:color w:val="231F20"/>
          <w:spacing w:val="-12"/>
        </w:rPr>
        <w:t> </w:t>
      </w:r>
      <w:r>
        <w:rPr>
          <w:color w:val="231F20"/>
        </w:rPr>
        <w:t>déclarations,</w:t>
      </w:r>
      <w:r>
        <w:rPr>
          <w:color w:val="231F20"/>
          <w:spacing w:val="-12"/>
        </w:rPr>
        <w:t> </w:t>
      </w:r>
      <w:r>
        <w:rPr>
          <w:color w:val="231F20"/>
        </w:rPr>
        <w:t>des actions médiatiques, des résolutions et d’autres initiatives de différents secteurs étasuniens :</w:t>
      </w:r>
    </w:p>
    <w:p>
      <w:pPr>
        <w:pStyle w:val="BodyText"/>
        <w:spacing w:before="163"/>
        <w:ind w:left="1133"/>
      </w:pPr>
      <w:r>
        <w:rPr>
          <w:b/>
          <w:color w:val="B52628"/>
        </w:rPr>
        <w:t>19-20 mars 2022. </w:t>
      </w:r>
      <w:r>
        <w:rPr>
          <w:color w:val="231F20"/>
        </w:rPr>
        <w:t>La </w:t>
      </w:r>
      <w:r>
        <w:rPr>
          <w:color w:val="231F20"/>
        </w:rPr>
        <w:t>Conférence </w:t>
      </w:r>
      <w:r>
        <w:rPr>
          <w:color w:val="231F20"/>
          <w:spacing w:val="-2"/>
        </w:rPr>
        <w:t>internationale</w:t>
      </w:r>
      <w:r>
        <w:rPr>
          <w:color w:val="231F20"/>
          <w:spacing w:val="-15"/>
        </w:rPr>
        <w:t> </w:t>
      </w:r>
      <w:r>
        <w:rPr>
          <w:color w:val="231F20"/>
          <w:spacing w:val="-2"/>
        </w:rPr>
        <w:t>de</w:t>
      </w:r>
      <w:r>
        <w:rPr>
          <w:color w:val="231F20"/>
          <w:spacing w:val="-14"/>
        </w:rPr>
        <w:t> </w:t>
      </w:r>
      <w:r>
        <w:rPr>
          <w:color w:val="231F20"/>
          <w:spacing w:val="-2"/>
        </w:rPr>
        <w:t>normalisation</w:t>
      </w:r>
      <w:r>
        <w:rPr>
          <w:color w:val="231F20"/>
          <w:spacing w:val="-15"/>
        </w:rPr>
        <w:t> </w:t>
      </w:r>
      <w:r>
        <w:rPr>
          <w:color w:val="231F20"/>
          <w:spacing w:val="-2"/>
        </w:rPr>
        <w:t>États-Unis</w:t>
      </w:r>
      <w:r>
        <w:rPr>
          <w:color w:val="231F20"/>
          <w:spacing w:val="-2"/>
        </w:rPr>
        <w:t>/</w:t>
      </w:r>
      <w:r>
        <w:rPr>
          <w:color w:val="231F20"/>
          <w:spacing w:val="-2"/>
        </w:rPr>
        <w:t> </w:t>
      </w:r>
      <w:r>
        <w:rPr>
          <w:color w:val="231F20"/>
        </w:rPr>
        <w:t>Cuba réunit, au siège de l’Association </w:t>
      </w:r>
      <w:r>
        <w:rPr>
          <w:color w:val="231F20"/>
        </w:rPr>
        <w:t>de </w:t>
      </w:r>
      <w:r>
        <w:rPr>
          <w:color w:val="231F20"/>
          <w:spacing w:val="-4"/>
        </w:rPr>
        <w:t>solidarité</w:t>
      </w:r>
      <w:r>
        <w:rPr>
          <w:color w:val="231F20"/>
          <w:spacing w:val="-10"/>
        </w:rPr>
        <w:t> </w:t>
      </w:r>
      <w:r>
        <w:rPr>
          <w:color w:val="231F20"/>
          <w:spacing w:val="-4"/>
        </w:rPr>
        <w:t>The</w:t>
      </w:r>
      <w:r>
        <w:rPr>
          <w:color w:val="231F20"/>
          <w:spacing w:val="-10"/>
        </w:rPr>
        <w:t> </w:t>
      </w:r>
      <w:r>
        <w:rPr>
          <w:color w:val="231F20"/>
          <w:spacing w:val="-4"/>
        </w:rPr>
        <w:t>People’s</w:t>
      </w:r>
      <w:r>
        <w:rPr>
          <w:color w:val="231F20"/>
          <w:spacing w:val="-10"/>
        </w:rPr>
        <w:t> </w:t>
      </w:r>
      <w:r>
        <w:rPr>
          <w:color w:val="231F20"/>
          <w:spacing w:val="-4"/>
        </w:rPr>
        <w:t>Forum,</w:t>
      </w:r>
      <w:r>
        <w:rPr>
          <w:color w:val="231F20"/>
          <w:spacing w:val="-10"/>
        </w:rPr>
        <w:t> </w:t>
      </w:r>
      <w:r>
        <w:rPr>
          <w:color w:val="231F20"/>
          <w:spacing w:val="-4"/>
        </w:rPr>
        <w:t>à</w:t>
      </w:r>
      <w:r>
        <w:rPr>
          <w:color w:val="231F20"/>
          <w:spacing w:val="-10"/>
        </w:rPr>
        <w:t> </w:t>
      </w:r>
      <w:r>
        <w:rPr>
          <w:color w:val="231F20"/>
          <w:spacing w:val="-4"/>
        </w:rPr>
        <w:t>Manhattan </w:t>
      </w:r>
      <w:r>
        <w:rPr>
          <w:color w:val="231F20"/>
        </w:rPr>
        <w:t>(New York) des groupes solidaires des USA et du Canada qui exigent que </w:t>
      </w:r>
      <w:r>
        <w:rPr>
          <w:color w:val="231F20"/>
        </w:rPr>
        <w:t>Biden renonce</w:t>
      </w:r>
      <w:r>
        <w:rPr>
          <w:color w:val="231F20"/>
          <w:spacing w:val="-10"/>
        </w:rPr>
        <w:t> </w:t>
      </w:r>
      <w:r>
        <w:rPr>
          <w:color w:val="231F20"/>
        </w:rPr>
        <w:t>à</w:t>
      </w:r>
      <w:r>
        <w:rPr>
          <w:color w:val="231F20"/>
          <w:spacing w:val="-10"/>
        </w:rPr>
        <w:t> </w:t>
      </w:r>
      <w:r>
        <w:rPr>
          <w:color w:val="231F20"/>
        </w:rPr>
        <w:t>la</w:t>
      </w:r>
      <w:r>
        <w:rPr>
          <w:color w:val="231F20"/>
          <w:spacing w:val="-10"/>
        </w:rPr>
        <w:t> </w:t>
      </w:r>
      <w:r>
        <w:rPr>
          <w:color w:val="231F20"/>
        </w:rPr>
        <w:t>politique</w:t>
      </w:r>
      <w:r>
        <w:rPr>
          <w:color w:val="231F20"/>
          <w:spacing w:val="-10"/>
        </w:rPr>
        <w:t> </w:t>
      </w:r>
      <w:r>
        <w:rPr>
          <w:color w:val="231F20"/>
        </w:rPr>
        <w:t>de</w:t>
      </w:r>
      <w:r>
        <w:rPr>
          <w:color w:val="231F20"/>
          <w:spacing w:val="-10"/>
        </w:rPr>
        <w:t> </w:t>
      </w:r>
      <w:r>
        <w:rPr>
          <w:color w:val="231F20"/>
        </w:rPr>
        <w:t>blocus</w:t>
      </w:r>
      <w:r>
        <w:rPr>
          <w:color w:val="231F20"/>
          <w:spacing w:val="-10"/>
        </w:rPr>
        <w:t> </w:t>
      </w:r>
      <w:r>
        <w:rPr>
          <w:color w:val="231F20"/>
        </w:rPr>
        <w:t>à</w:t>
      </w:r>
      <w:r>
        <w:rPr>
          <w:color w:val="231F20"/>
          <w:spacing w:val="-10"/>
        </w:rPr>
        <w:t> </w:t>
      </w:r>
      <w:r>
        <w:rPr>
          <w:color w:val="231F20"/>
        </w:rPr>
        <w:t>Cuba</w:t>
      </w:r>
      <w:r>
        <w:rPr>
          <w:color w:val="231F20"/>
          <w:spacing w:val="-10"/>
        </w:rPr>
        <w:t> </w:t>
      </w:r>
      <w:r>
        <w:rPr>
          <w:color w:val="231F20"/>
        </w:rPr>
        <w:t>et annule</w:t>
      </w:r>
      <w:r>
        <w:rPr>
          <w:color w:val="231F20"/>
          <w:spacing w:val="36"/>
        </w:rPr>
        <w:t> </w:t>
      </w:r>
      <w:r>
        <w:rPr>
          <w:color w:val="231F20"/>
        </w:rPr>
        <w:t>les</w:t>
      </w:r>
      <w:r>
        <w:rPr>
          <w:color w:val="231F20"/>
          <w:spacing w:val="37"/>
        </w:rPr>
        <w:t> </w:t>
      </w:r>
      <w:r>
        <w:rPr>
          <w:color w:val="231F20"/>
        </w:rPr>
        <w:t>mesures</w:t>
      </w:r>
      <w:r>
        <w:rPr>
          <w:color w:val="231F20"/>
          <w:spacing w:val="36"/>
        </w:rPr>
        <w:t> </w:t>
      </w:r>
      <w:r>
        <w:rPr>
          <w:color w:val="231F20"/>
        </w:rPr>
        <w:t>coercitives</w:t>
      </w:r>
      <w:r>
        <w:rPr>
          <w:color w:val="231F20"/>
          <w:spacing w:val="37"/>
        </w:rPr>
        <w:t> </w:t>
      </w:r>
      <w:r>
        <w:rPr>
          <w:color w:val="231F20"/>
          <w:spacing w:val="-2"/>
        </w:rPr>
        <w:t>imposées</w:t>
      </w:r>
    </w:p>
    <w:p>
      <w:pPr>
        <w:pStyle w:val="BodyText"/>
        <w:spacing w:before="102"/>
        <w:ind w:left="412" w:right="1471"/>
      </w:pPr>
      <w:r>
        <w:rPr/>
        <w:br w:type="column"/>
      </w:r>
      <w:r>
        <w:rPr>
          <w:color w:val="231F20"/>
        </w:rPr>
        <w:t>par Trump qui portent </w:t>
      </w:r>
      <w:r>
        <w:rPr>
          <w:color w:val="231F20"/>
        </w:rPr>
        <w:t>grandement préjudice aux familles cubaines.</w:t>
      </w:r>
    </w:p>
    <w:p>
      <w:pPr>
        <w:pStyle w:val="BodyText"/>
        <w:spacing w:before="162"/>
        <w:ind w:left="412" w:right="1473"/>
      </w:pPr>
      <w:r>
        <w:rPr>
          <w:b/>
          <w:color w:val="B52628"/>
          <w:spacing w:val="-2"/>
        </w:rPr>
        <w:t>26</w:t>
      </w:r>
      <w:r>
        <w:rPr>
          <w:b/>
          <w:color w:val="B52628"/>
          <w:spacing w:val="-11"/>
        </w:rPr>
        <w:t> </w:t>
      </w:r>
      <w:r>
        <w:rPr>
          <w:b/>
          <w:color w:val="B52628"/>
          <w:spacing w:val="-2"/>
        </w:rPr>
        <w:t>mars</w:t>
      </w:r>
      <w:r>
        <w:rPr>
          <w:b/>
          <w:color w:val="B52628"/>
          <w:spacing w:val="-11"/>
        </w:rPr>
        <w:t> </w:t>
      </w:r>
      <w:r>
        <w:rPr>
          <w:b/>
          <w:color w:val="B52628"/>
          <w:spacing w:val="-2"/>
        </w:rPr>
        <w:t>2022.</w:t>
      </w:r>
      <w:r>
        <w:rPr>
          <w:b/>
          <w:color w:val="B52628"/>
          <w:spacing w:val="-10"/>
        </w:rPr>
        <w:t> </w:t>
      </w:r>
      <w:r>
        <w:rPr>
          <w:color w:val="231F20"/>
          <w:spacing w:val="-2"/>
        </w:rPr>
        <w:t>Les</w:t>
      </w:r>
      <w:r>
        <w:rPr>
          <w:color w:val="231F20"/>
          <w:spacing w:val="-8"/>
        </w:rPr>
        <w:t> </w:t>
      </w:r>
      <w:r>
        <w:rPr>
          <w:color w:val="231F20"/>
          <w:spacing w:val="-2"/>
        </w:rPr>
        <w:t>organisations</w:t>
      </w:r>
      <w:r>
        <w:rPr>
          <w:color w:val="231F20"/>
          <w:spacing w:val="-8"/>
        </w:rPr>
        <w:t> </w:t>
      </w:r>
      <w:r>
        <w:rPr>
          <w:color w:val="231F20"/>
          <w:spacing w:val="-2"/>
        </w:rPr>
        <w:t>MetroDC </w:t>
      </w:r>
      <w:r>
        <w:rPr>
          <w:color w:val="231F20"/>
        </w:rPr>
        <w:t>Coalition et IFCO/Pastors for Peace organisent à Washington une réunion de solidarité</w:t>
      </w:r>
      <w:r>
        <w:rPr>
          <w:color w:val="231F20"/>
          <w:spacing w:val="-4"/>
        </w:rPr>
        <w:t> </w:t>
      </w:r>
      <w:r>
        <w:rPr>
          <w:color w:val="231F20"/>
        </w:rPr>
        <w:t>pour</w:t>
      </w:r>
      <w:r>
        <w:rPr>
          <w:color w:val="231F20"/>
          <w:spacing w:val="-4"/>
        </w:rPr>
        <w:t> </w:t>
      </w:r>
      <w:r>
        <w:rPr>
          <w:color w:val="231F20"/>
        </w:rPr>
        <w:t>dénoncer</w:t>
      </w:r>
      <w:r>
        <w:rPr>
          <w:color w:val="231F20"/>
          <w:spacing w:val="-4"/>
        </w:rPr>
        <w:t> </w:t>
      </w:r>
      <w:r>
        <w:rPr>
          <w:color w:val="231F20"/>
        </w:rPr>
        <w:t>le</w:t>
      </w:r>
      <w:r>
        <w:rPr>
          <w:color w:val="231F20"/>
          <w:spacing w:val="-4"/>
        </w:rPr>
        <w:t> </w:t>
      </w:r>
      <w:r>
        <w:rPr>
          <w:color w:val="231F20"/>
        </w:rPr>
        <w:t>blocus</w:t>
      </w:r>
      <w:r>
        <w:rPr>
          <w:color w:val="231F20"/>
          <w:spacing w:val="-4"/>
        </w:rPr>
        <w:t> </w:t>
      </w:r>
      <w:r>
        <w:rPr>
          <w:color w:val="231F20"/>
        </w:rPr>
        <w:t>à</w:t>
      </w:r>
      <w:r>
        <w:rPr>
          <w:color w:val="231F20"/>
          <w:spacing w:val="-4"/>
        </w:rPr>
        <w:t> </w:t>
      </w:r>
      <w:r>
        <w:rPr>
          <w:color w:val="231F20"/>
        </w:rPr>
        <w:t>Cuba et demander sa levée immédiate.</w:t>
      </w:r>
    </w:p>
    <w:p>
      <w:pPr>
        <w:pStyle w:val="BodyText"/>
        <w:spacing w:before="164"/>
        <w:ind w:left="412" w:right="1472"/>
      </w:pPr>
      <w:r>
        <w:rPr>
          <w:b/>
          <w:color w:val="B52628"/>
        </w:rPr>
        <w:t>27 mars 2022. </w:t>
      </w:r>
      <w:r>
        <w:rPr>
          <w:color w:val="231F20"/>
        </w:rPr>
        <w:t>Des manifestations se déroulent dans plusieurs villes, dont New York, Seattle, Phoenix et Portland, pour la levée du blocus à Cuba.</w:t>
      </w:r>
    </w:p>
    <w:p>
      <w:pPr>
        <w:pStyle w:val="BodyText"/>
        <w:spacing w:before="163"/>
        <w:ind w:left="412" w:right="1472"/>
      </w:pPr>
      <w:r>
        <w:rPr>
          <w:b/>
          <w:color w:val="B52628"/>
          <w:spacing w:val="-4"/>
        </w:rPr>
        <w:t>29</w:t>
      </w:r>
      <w:r>
        <w:rPr>
          <w:b/>
          <w:color w:val="B52628"/>
          <w:spacing w:val="-13"/>
        </w:rPr>
        <w:t> </w:t>
      </w:r>
      <w:r>
        <w:rPr>
          <w:b/>
          <w:color w:val="B52628"/>
          <w:spacing w:val="-4"/>
        </w:rPr>
        <w:t>mars</w:t>
      </w:r>
      <w:r>
        <w:rPr>
          <w:b/>
          <w:color w:val="B52628"/>
          <w:spacing w:val="-13"/>
        </w:rPr>
        <w:t> </w:t>
      </w:r>
      <w:r>
        <w:rPr>
          <w:b/>
          <w:color w:val="B52628"/>
          <w:spacing w:val="-4"/>
        </w:rPr>
        <w:t>2022.</w:t>
      </w:r>
      <w:r>
        <w:rPr>
          <w:b/>
          <w:color w:val="B52628"/>
          <w:spacing w:val="-12"/>
        </w:rPr>
        <w:t> </w:t>
      </w:r>
      <w:r>
        <w:rPr>
          <w:color w:val="231F20"/>
          <w:spacing w:val="-4"/>
        </w:rPr>
        <w:t>L’organisation</w:t>
      </w:r>
      <w:r>
        <w:rPr>
          <w:color w:val="231F20"/>
          <w:spacing w:val="-13"/>
        </w:rPr>
        <w:t> </w:t>
      </w:r>
      <w:r>
        <w:rPr>
          <w:color w:val="231F20"/>
          <w:spacing w:val="-4"/>
        </w:rPr>
        <w:t>NEMO</w:t>
      </w:r>
      <w:r>
        <w:rPr>
          <w:color w:val="231F20"/>
          <w:spacing w:val="-12"/>
        </w:rPr>
        <w:t> </w:t>
      </w:r>
      <w:r>
        <w:rPr>
          <w:color w:val="231F20"/>
          <w:spacing w:val="-4"/>
        </w:rPr>
        <w:t>et</w:t>
      </w:r>
      <w:r>
        <w:rPr>
          <w:color w:val="231F20"/>
          <w:spacing w:val="-12"/>
        </w:rPr>
        <w:t> </w:t>
      </w:r>
      <w:r>
        <w:rPr>
          <w:color w:val="231F20"/>
          <w:spacing w:val="-4"/>
        </w:rPr>
        <w:t>des </w:t>
      </w:r>
      <w:r>
        <w:rPr>
          <w:color w:val="231F20"/>
        </w:rPr>
        <w:t>groupes favorables à Cuba manifestent à Bloomfield,</w:t>
      </w:r>
      <w:r>
        <w:rPr>
          <w:color w:val="231F20"/>
          <w:spacing w:val="-8"/>
        </w:rPr>
        <w:t> </w:t>
      </w:r>
      <w:r>
        <w:rPr>
          <w:color w:val="231F20"/>
        </w:rPr>
        <w:t>West</w:t>
      </w:r>
      <w:r>
        <w:rPr>
          <w:color w:val="231F20"/>
          <w:spacing w:val="-8"/>
        </w:rPr>
        <w:t> </w:t>
      </w:r>
      <w:r>
        <w:rPr>
          <w:color w:val="231F20"/>
        </w:rPr>
        <w:t>Hartford</w:t>
      </w:r>
      <w:r>
        <w:rPr>
          <w:color w:val="231F20"/>
          <w:spacing w:val="-8"/>
        </w:rPr>
        <w:t> </w:t>
      </w:r>
      <w:r>
        <w:rPr>
          <w:color w:val="231F20"/>
        </w:rPr>
        <w:t>et</w:t>
      </w:r>
      <w:r>
        <w:rPr>
          <w:color w:val="231F20"/>
          <w:spacing w:val="-8"/>
        </w:rPr>
        <w:t> </w:t>
      </w:r>
      <w:r>
        <w:rPr>
          <w:color w:val="231F20"/>
        </w:rPr>
        <w:t>Middletown, </w:t>
      </w:r>
      <w:r>
        <w:rPr>
          <w:color w:val="231F20"/>
          <w:spacing w:val="-4"/>
        </w:rPr>
        <w:t>dans</w:t>
      </w:r>
      <w:r>
        <w:rPr>
          <w:color w:val="231F20"/>
          <w:spacing w:val="-13"/>
        </w:rPr>
        <w:t> </w:t>
      </w:r>
      <w:r>
        <w:rPr>
          <w:color w:val="231F20"/>
          <w:spacing w:val="-4"/>
        </w:rPr>
        <w:t>le</w:t>
      </w:r>
      <w:r>
        <w:rPr>
          <w:color w:val="231F20"/>
          <w:spacing w:val="-12"/>
        </w:rPr>
        <w:t> </w:t>
      </w:r>
      <w:r>
        <w:rPr>
          <w:color w:val="231F20"/>
          <w:spacing w:val="-4"/>
        </w:rPr>
        <w:t>Connecticut,</w:t>
      </w:r>
      <w:r>
        <w:rPr>
          <w:color w:val="231F20"/>
          <w:spacing w:val="-13"/>
        </w:rPr>
        <w:t> </w:t>
      </w:r>
      <w:r>
        <w:rPr>
          <w:color w:val="231F20"/>
          <w:spacing w:val="-4"/>
        </w:rPr>
        <w:t>distribuant</w:t>
      </w:r>
      <w:r>
        <w:rPr>
          <w:color w:val="231F20"/>
          <w:spacing w:val="-12"/>
        </w:rPr>
        <w:t> </w:t>
      </w:r>
      <w:r>
        <w:rPr>
          <w:color w:val="231F20"/>
          <w:spacing w:val="-4"/>
        </w:rPr>
        <w:t>1</w:t>
      </w:r>
      <w:r>
        <w:rPr>
          <w:color w:val="231F20"/>
          <w:spacing w:val="-13"/>
        </w:rPr>
        <w:t> </w:t>
      </w:r>
      <w:r>
        <w:rPr>
          <w:color w:val="231F20"/>
          <w:spacing w:val="-4"/>
        </w:rPr>
        <w:t>200</w:t>
      </w:r>
      <w:r>
        <w:rPr>
          <w:color w:val="231F20"/>
          <w:spacing w:val="-12"/>
        </w:rPr>
        <w:t> </w:t>
      </w:r>
      <w:r>
        <w:rPr>
          <w:color w:val="231F20"/>
          <w:spacing w:val="-4"/>
        </w:rPr>
        <w:t>tracts </w:t>
      </w:r>
      <w:r>
        <w:rPr>
          <w:color w:val="231F20"/>
          <w:spacing w:val="-2"/>
        </w:rPr>
        <w:t>qui</w:t>
      </w:r>
      <w:r>
        <w:rPr>
          <w:color w:val="231F20"/>
          <w:spacing w:val="-15"/>
        </w:rPr>
        <w:t> </w:t>
      </w:r>
      <w:r>
        <w:rPr>
          <w:color w:val="231F20"/>
          <w:spacing w:val="-2"/>
        </w:rPr>
        <w:t>demandent</w:t>
      </w:r>
      <w:r>
        <w:rPr>
          <w:color w:val="231F20"/>
          <w:spacing w:val="-14"/>
        </w:rPr>
        <w:t> </w:t>
      </w:r>
      <w:r>
        <w:rPr>
          <w:color w:val="231F20"/>
          <w:spacing w:val="-2"/>
        </w:rPr>
        <w:t>la</w:t>
      </w:r>
      <w:r>
        <w:rPr>
          <w:color w:val="231F20"/>
          <w:spacing w:val="-15"/>
        </w:rPr>
        <w:t> </w:t>
      </w:r>
      <w:r>
        <w:rPr>
          <w:color w:val="231F20"/>
          <w:spacing w:val="-2"/>
        </w:rPr>
        <w:t>fin</w:t>
      </w:r>
      <w:r>
        <w:rPr>
          <w:color w:val="231F20"/>
          <w:spacing w:val="-14"/>
        </w:rPr>
        <w:t> </w:t>
      </w:r>
      <w:r>
        <w:rPr>
          <w:color w:val="231F20"/>
          <w:spacing w:val="-2"/>
        </w:rPr>
        <w:t>des</w:t>
      </w:r>
      <w:r>
        <w:rPr>
          <w:color w:val="231F20"/>
          <w:spacing w:val="-15"/>
        </w:rPr>
        <w:t> </w:t>
      </w:r>
      <w:r>
        <w:rPr>
          <w:color w:val="231F20"/>
          <w:spacing w:val="-2"/>
        </w:rPr>
        <w:t>agressions</w:t>
      </w:r>
      <w:r>
        <w:rPr>
          <w:color w:val="231F20"/>
          <w:spacing w:val="-14"/>
        </w:rPr>
        <w:t> </w:t>
      </w:r>
      <w:r>
        <w:rPr>
          <w:color w:val="231F20"/>
          <w:spacing w:val="-2"/>
        </w:rPr>
        <w:t>contre </w:t>
      </w:r>
      <w:r>
        <w:rPr>
          <w:color w:val="231F20"/>
        </w:rPr>
        <w:t>Cuba et prônent la coopération entre les deux peuples.</w:t>
      </w:r>
    </w:p>
    <w:p>
      <w:pPr>
        <w:pStyle w:val="BodyText"/>
        <w:spacing w:before="165"/>
        <w:ind w:left="412" w:right="1473"/>
      </w:pPr>
      <w:r>
        <w:rPr>
          <w:b/>
          <w:color w:val="B52628"/>
        </w:rPr>
        <w:t>6-8</w:t>
      </w:r>
      <w:r>
        <w:rPr>
          <w:b/>
          <w:color w:val="B52628"/>
          <w:spacing w:val="-10"/>
        </w:rPr>
        <w:t> </w:t>
      </w:r>
      <w:r>
        <w:rPr>
          <w:b/>
          <w:color w:val="B52628"/>
        </w:rPr>
        <w:t>avril</w:t>
      </w:r>
      <w:r>
        <w:rPr>
          <w:b/>
          <w:color w:val="B52628"/>
          <w:spacing w:val="-10"/>
        </w:rPr>
        <w:t> </w:t>
      </w:r>
      <w:r>
        <w:rPr>
          <w:b/>
          <w:color w:val="B52628"/>
        </w:rPr>
        <w:t>2022.</w:t>
      </w:r>
      <w:r>
        <w:rPr>
          <w:b/>
          <w:color w:val="B52628"/>
          <w:spacing w:val="-10"/>
        </w:rPr>
        <w:t> </w:t>
      </w:r>
      <w:r>
        <w:rPr>
          <w:color w:val="231F20"/>
        </w:rPr>
        <w:t>À</w:t>
      </w:r>
      <w:r>
        <w:rPr>
          <w:color w:val="231F20"/>
          <w:spacing w:val="-10"/>
        </w:rPr>
        <w:t> </w:t>
      </w:r>
      <w:r>
        <w:rPr>
          <w:color w:val="231F20"/>
        </w:rPr>
        <w:t>la</w:t>
      </w:r>
      <w:r>
        <w:rPr>
          <w:color w:val="231F20"/>
          <w:spacing w:val="-10"/>
        </w:rPr>
        <w:t> </w:t>
      </w:r>
      <w:r>
        <w:rPr>
          <w:color w:val="231F20"/>
        </w:rPr>
        <w:t>Troisième</w:t>
      </w:r>
      <w:r>
        <w:rPr>
          <w:color w:val="231F20"/>
          <w:spacing w:val="-10"/>
        </w:rPr>
        <w:t> </w:t>
      </w:r>
      <w:r>
        <w:rPr>
          <w:color w:val="231F20"/>
        </w:rPr>
        <w:t>Conférence agricole</w:t>
      </w:r>
      <w:r>
        <w:rPr>
          <w:color w:val="231F20"/>
          <w:spacing w:val="40"/>
        </w:rPr>
        <w:t> </w:t>
      </w:r>
      <w:r>
        <w:rPr>
          <w:color w:val="231F20"/>
        </w:rPr>
        <w:t>entre</w:t>
      </w:r>
      <w:r>
        <w:rPr>
          <w:color w:val="231F20"/>
          <w:spacing w:val="40"/>
        </w:rPr>
        <w:t> </w:t>
      </w:r>
      <w:r>
        <w:rPr>
          <w:color w:val="231F20"/>
        </w:rPr>
        <w:t>Cuba</w:t>
      </w:r>
      <w:r>
        <w:rPr>
          <w:color w:val="231F20"/>
          <w:spacing w:val="40"/>
        </w:rPr>
        <w:t> </w:t>
      </w:r>
      <w:r>
        <w:rPr>
          <w:color w:val="231F20"/>
        </w:rPr>
        <w:t>et</w:t>
      </w:r>
      <w:r>
        <w:rPr>
          <w:color w:val="231F20"/>
          <w:spacing w:val="40"/>
        </w:rPr>
        <w:t> </w:t>
      </w:r>
      <w:r>
        <w:rPr>
          <w:color w:val="231F20"/>
        </w:rPr>
        <w:t>les</w:t>
      </w:r>
      <w:r>
        <w:rPr>
          <w:color w:val="231F20"/>
          <w:spacing w:val="40"/>
        </w:rPr>
        <w:t> </w:t>
      </w:r>
      <w:r>
        <w:rPr>
          <w:color w:val="231F20"/>
        </w:rPr>
        <w:t>États-Unis</w:t>
      </w:r>
      <w:r>
        <w:rPr>
          <w:color w:val="231F20"/>
          <w:spacing w:val="80"/>
        </w:rPr>
        <w:t> </w:t>
      </w:r>
      <w:r>
        <w:rPr>
          <w:color w:val="231F20"/>
        </w:rPr>
        <w:t>(La Havane), les participants étasuniens dénoncent les obstacles du blocus à l’élargissement et à la diversification des </w:t>
      </w:r>
      <w:r>
        <w:rPr>
          <w:color w:val="231F20"/>
          <w:spacing w:val="-2"/>
        </w:rPr>
        <w:t>affaires</w:t>
      </w:r>
      <w:r>
        <w:rPr>
          <w:color w:val="231F20"/>
          <w:spacing w:val="-15"/>
        </w:rPr>
        <w:t> </w:t>
      </w:r>
      <w:r>
        <w:rPr>
          <w:color w:val="231F20"/>
          <w:spacing w:val="-2"/>
        </w:rPr>
        <w:t>agricoles</w:t>
      </w:r>
      <w:r>
        <w:rPr>
          <w:color w:val="231F20"/>
          <w:spacing w:val="-14"/>
        </w:rPr>
        <w:t> </w:t>
      </w:r>
      <w:r>
        <w:rPr>
          <w:color w:val="231F20"/>
          <w:spacing w:val="-2"/>
        </w:rPr>
        <w:t>avec</w:t>
      </w:r>
      <w:r>
        <w:rPr>
          <w:color w:val="231F20"/>
          <w:spacing w:val="-15"/>
        </w:rPr>
        <w:t> </w:t>
      </w:r>
      <w:r>
        <w:rPr>
          <w:color w:val="231F20"/>
          <w:spacing w:val="-2"/>
        </w:rPr>
        <w:t>les</w:t>
      </w:r>
      <w:r>
        <w:rPr>
          <w:color w:val="231F20"/>
          <w:spacing w:val="-14"/>
        </w:rPr>
        <w:t> </w:t>
      </w:r>
      <w:r>
        <w:rPr>
          <w:color w:val="231F20"/>
          <w:spacing w:val="-2"/>
        </w:rPr>
        <w:t>différents</w:t>
      </w:r>
      <w:r>
        <w:rPr>
          <w:color w:val="231F20"/>
          <w:spacing w:val="-15"/>
        </w:rPr>
        <w:t> </w:t>
      </w:r>
      <w:r>
        <w:rPr>
          <w:color w:val="231F20"/>
          <w:spacing w:val="-2"/>
        </w:rPr>
        <w:t>acteurs </w:t>
      </w:r>
      <w:r>
        <w:rPr>
          <w:color w:val="231F20"/>
        </w:rPr>
        <w:t>économiques cubains.</w:t>
      </w:r>
    </w:p>
    <w:p>
      <w:pPr>
        <w:pStyle w:val="BodyText"/>
        <w:spacing w:before="166"/>
        <w:ind w:left="412" w:right="1471"/>
      </w:pPr>
      <w:r>
        <w:rPr>
          <w:b/>
          <w:color w:val="B52628"/>
        </w:rPr>
        <w:t>17 mai 2022. </w:t>
      </w:r>
      <w:r>
        <w:rPr>
          <w:color w:val="231F20"/>
        </w:rPr>
        <w:t>Dans une déclaration, l’organisation</w:t>
      </w:r>
      <w:r>
        <w:rPr>
          <w:color w:val="231F20"/>
          <w:spacing w:val="40"/>
        </w:rPr>
        <w:t> </w:t>
      </w:r>
      <w:r>
        <w:rPr>
          <w:color w:val="231F20"/>
        </w:rPr>
        <w:t>NEMO</w:t>
      </w:r>
      <w:r>
        <w:rPr>
          <w:color w:val="231F20"/>
          <w:spacing w:val="40"/>
        </w:rPr>
        <w:t> </w:t>
      </w:r>
      <w:r>
        <w:rPr>
          <w:color w:val="231F20"/>
        </w:rPr>
        <w:t>se</w:t>
      </w:r>
      <w:r>
        <w:rPr>
          <w:color w:val="231F20"/>
          <w:spacing w:val="40"/>
        </w:rPr>
        <w:t> </w:t>
      </w:r>
      <w:r>
        <w:rPr>
          <w:color w:val="231F20"/>
        </w:rPr>
        <w:t>dit</w:t>
      </w:r>
      <w:r>
        <w:rPr>
          <w:color w:val="231F20"/>
          <w:spacing w:val="40"/>
        </w:rPr>
        <w:t> </w:t>
      </w:r>
      <w:r>
        <w:rPr>
          <w:color w:val="231F20"/>
        </w:rPr>
        <w:t>favorable aux mesures annoncées la veille par l’administration étasunienne concernant les visas, la migration régulière, les transports</w:t>
      </w:r>
      <w:r>
        <w:rPr>
          <w:color w:val="231F20"/>
          <w:spacing w:val="24"/>
        </w:rPr>
        <w:t> </w:t>
      </w:r>
      <w:r>
        <w:rPr>
          <w:color w:val="231F20"/>
        </w:rPr>
        <w:t>aériens</w:t>
      </w:r>
      <w:r>
        <w:rPr>
          <w:color w:val="231F20"/>
          <w:spacing w:val="24"/>
        </w:rPr>
        <w:t> </w:t>
      </w:r>
      <w:r>
        <w:rPr>
          <w:color w:val="231F20"/>
        </w:rPr>
        <w:t>et</w:t>
      </w:r>
      <w:r>
        <w:rPr>
          <w:color w:val="231F20"/>
          <w:spacing w:val="25"/>
        </w:rPr>
        <w:t> </w:t>
      </w:r>
      <w:r>
        <w:rPr>
          <w:color w:val="231F20"/>
        </w:rPr>
        <w:t>les</w:t>
      </w:r>
      <w:r>
        <w:rPr>
          <w:color w:val="231F20"/>
          <w:spacing w:val="24"/>
        </w:rPr>
        <w:t> </w:t>
      </w:r>
      <w:r>
        <w:rPr>
          <w:color w:val="231F20"/>
        </w:rPr>
        <w:t>envois</w:t>
      </w:r>
      <w:r>
        <w:rPr>
          <w:color w:val="231F20"/>
          <w:spacing w:val="24"/>
        </w:rPr>
        <w:t> </w:t>
      </w:r>
      <w:r>
        <w:rPr>
          <w:color w:val="231F20"/>
        </w:rPr>
        <w:t>de</w:t>
      </w:r>
      <w:r>
        <w:rPr>
          <w:color w:val="231F20"/>
          <w:spacing w:val="25"/>
        </w:rPr>
        <w:t> </w:t>
      </w:r>
      <w:r>
        <w:rPr>
          <w:color w:val="231F20"/>
          <w:spacing w:val="-2"/>
        </w:rPr>
        <w:t>fonds</w:t>
      </w:r>
    </w:p>
    <w:p>
      <w:pPr>
        <w:spacing w:after="0"/>
        <w:sectPr>
          <w:type w:val="continuous"/>
          <w:pgSz w:w="11910" w:h="16840"/>
          <w:pgMar w:header="0" w:footer="695" w:top="1920" w:bottom="280" w:left="0" w:right="0"/>
          <w:cols w:num="2" w:equalWidth="0">
            <w:col w:w="5558" w:space="40"/>
            <w:col w:w="6312"/>
          </w:cols>
        </w:sectPr>
      </w:pPr>
    </w:p>
    <w:p>
      <w:pPr>
        <w:pStyle w:val="BodyText"/>
        <w:spacing w:before="77"/>
        <w:ind w:left="1474"/>
      </w:pPr>
      <w:r>
        <w:rPr>
          <w:color w:val="231F20"/>
        </w:rPr>
        <w:t>familiaux,</w:t>
      </w:r>
      <w:r>
        <w:rPr>
          <w:color w:val="231F20"/>
          <w:spacing w:val="-6"/>
        </w:rPr>
        <w:t> </w:t>
      </w:r>
      <w:r>
        <w:rPr>
          <w:color w:val="231F20"/>
        </w:rPr>
        <w:t>et</w:t>
      </w:r>
      <w:r>
        <w:rPr>
          <w:color w:val="231F20"/>
          <w:spacing w:val="-6"/>
        </w:rPr>
        <w:t> </w:t>
      </w:r>
      <w:r>
        <w:rPr>
          <w:color w:val="231F20"/>
        </w:rPr>
        <w:t>souligne</w:t>
      </w:r>
      <w:r>
        <w:rPr>
          <w:color w:val="231F20"/>
          <w:spacing w:val="-6"/>
        </w:rPr>
        <w:t> </w:t>
      </w:r>
      <w:r>
        <w:rPr>
          <w:color w:val="231F20"/>
        </w:rPr>
        <w:t>la</w:t>
      </w:r>
      <w:r>
        <w:rPr>
          <w:color w:val="231F20"/>
          <w:spacing w:val="-6"/>
        </w:rPr>
        <w:t> </w:t>
      </w:r>
      <w:r>
        <w:rPr>
          <w:color w:val="231F20"/>
        </w:rPr>
        <w:t>nécessité</w:t>
      </w:r>
      <w:r>
        <w:rPr>
          <w:color w:val="231F20"/>
          <w:spacing w:val="-6"/>
        </w:rPr>
        <w:t> </w:t>
      </w:r>
      <w:r>
        <w:rPr>
          <w:color w:val="231F20"/>
        </w:rPr>
        <w:t>de</w:t>
      </w:r>
      <w:r>
        <w:rPr>
          <w:color w:val="231F20"/>
          <w:spacing w:val="-6"/>
        </w:rPr>
        <w:t> </w:t>
      </w:r>
      <w:r>
        <w:rPr>
          <w:color w:val="231F20"/>
        </w:rPr>
        <w:t>lever totalement le blocus.</w:t>
      </w:r>
    </w:p>
    <w:p>
      <w:pPr>
        <w:pStyle w:val="BodyText"/>
        <w:spacing w:before="161"/>
        <w:ind w:left="1474" w:right="2"/>
      </w:pPr>
      <w:r>
        <w:rPr>
          <w:b/>
          <w:color w:val="B52628"/>
          <w:spacing w:val="-8"/>
        </w:rPr>
        <w:t>23 mai 2022. </w:t>
      </w:r>
      <w:r>
        <w:rPr>
          <w:color w:val="231F20"/>
          <w:spacing w:val="-8"/>
        </w:rPr>
        <w:t>Des Cubains et</w:t>
      </w:r>
      <w:r>
        <w:rPr>
          <w:color w:val="231F20"/>
          <w:spacing w:val="-6"/>
        </w:rPr>
        <w:t> </w:t>
      </w:r>
      <w:r>
        <w:rPr>
          <w:color w:val="231F20"/>
          <w:spacing w:val="-8"/>
        </w:rPr>
        <w:t>des Étasuniens </w:t>
      </w:r>
      <w:r>
        <w:rPr>
          <w:color w:val="231F20"/>
        </w:rPr>
        <w:t>manifestent à Miami (Floride) pour exiger la</w:t>
      </w:r>
      <w:r>
        <w:rPr>
          <w:color w:val="231F20"/>
          <w:spacing w:val="-13"/>
        </w:rPr>
        <w:t> </w:t>
      </w:r>
      <w:r>
        <w:rPr>
          <w:color w:val="231F20"/>
        </w:rPr>
        <w:t>levée</w:t>
      </w:r>
      <w:r>
        <w:rPr>
          <w:color w:val="231F20"/>
          <w:spacing w:val="-13"/>
        </w:rPr>
        <w:t> </w:t>
      </w:r>
      <w:r>
        <w:rPr>
          <w:color w:val="231F20"/>
        </w:rPr>
        <w:t>du</w:t>
      </w:r>
      <w:r>
        <w:rPr>
          <w:color w:val="231F20"/>
          <w:spacing w:val="-13"/>
        </w:rPr>
        <w:t> </w:t>
      </w:r>
      <w:r>
        <w:rPr>
          <w:color w:val="231F20"/>
        </w:rPr>
        <w:t>blocus</w:t>
      </w:r>
      <w:r>
        <w:rPr>
          <w:color w:val="231F20"/>
          <w:spacing w:val="-13"/>
        </w:rPr>
        <w:t> </w:t>
      </w:r>
      <w:r>
        <w:rPr>
          <w:color w:val="231F20"/>
        </w:rPr>
        <w:t>et</w:t>
      </w:r>
      <w:r>
        <w:rPr>
          <w:color w:val="231F20"/>
          <w:spacing w:val="-13"/>
        </w:rPr>
        <w:t> </w:t>
      </w:r>
      <w:r>
        <w:rPr>
          <w:color w:val="231F20"/>
        </w:rPr>
        <w:t>dénoncer</w:t>
      </w:r>
      <w:r>
        <w:rPr>
          <w:color w:val="231F20"/>
          <w:spacing w:val="-13"/>
        </w:rPr>
        <w:t> </w:t>
      </w:r>
      <w:r>
        <w:rPr>
          <w:color w:val="231F20"/>
        </w:rPr>
        <w:t>le</w:t>
      </w:r>
      <w:r>
        <w:rPr>
          <w:color w:val="231F20"/>
          <w:spacing w:val="-13"/>
        </w:rPr>
        <w:t> </w:t>
      </w:r>
      <w:r>
        <w:rPr>
          <w:color w:val="231F20"/>
        </w:rPr>
        <w:t>maintien de Cuba sur la Liste des États censément </w:t>
      </w:r>
      <w:r>
        <w:rPr>
          <w:color w:val="231F20"/>
          <w:spacing w:val="-6"/>
        </w:rPr>
        <w:t>commanditaires</w:t>
      </w:r>
      <w:r>
        <w:rPr>
          <w:color w:val="231F20"/>
          <w:spacing w:val="-4"/>
        </w:rPr>
        <w:t> </w:t>
      </w:r>
      <w:r>
        <w:rPr>
          <w:color w:val="231F20"/>
          <w:spacing w:val="-6"/>
        </w:rPr>
        <w:t>de</w:t>
      </w:r>
      <w:r>
        <w:rPr>
          <w:color w:val="231F20"/>
          <w:spacing w:val="-1"/>
        </w:rPr>
        <w:t> </w:t>
      </w:r>
      <w:r>
        <w:rPr>
          <w:color w:val="231F20"/>
          <w:spacing w:val="-6"/>
        </w:rPr>
        <w:t>terrorisme</w:t>
      </w:r>
      <w:r>
        <w:rPr>
          <w:color w:val="231F20"/>
          <w:spacing w:val="-1"/>
        </w:rPr>
        <w:t> </w:t>
      </w:r>
      <w:r>
        <w:rPr>
          <w:color w:val="231F20"/>
          <w:spacing w:val="-6"/>
        </w:rPr>
        <w:t>international.</w:t>
      </w:r>
    </w:p>
    <w:p>
      <w:pPr>
        <w:pStyle w:val="BodyText"/>
        <w:spacing w:before="164"/>
        <w:ind w:left="1474"/>
      </w:pPr>
      <w:r>
        <w:rPr>
          <w:b/>
          <w:color w:val="B52628"/>
        </w:rPr>
        <w:t>10 juin 2022. </w:t>
      </w:r>
      <w:r>
        <w:rPr>
          <w:color w:val="231F20"/>
        </w:rPr>
        <w:t>Des militants étasuniens pénètrent dans le Centre des congrès de Los Angeles, où se déroule le </w:t>
      </w:r>
      <w:r>
        <w:rPr>
          <w:color w:val="231F20"/>
        </w:rPr>
        <w:t>Neuvième Sommet des Amériques, et remettent un message dans lequel ils demandent la fin des sanctions contre Cuba, le Venezuela et le Nicaragua, tandis que le Sommet</w:t>
      </w:r>
      <w:r>
        <w:rPr>
          <w:color w:val="231F20"/>
          <w:spacing w:val="40"/>
        </w:rPr>
        <w:t> </w:t>
      </w:r>
      <w:r>
        <w:rPr>
          <w:color w:val="231F20"/>
        </w:rPr>
        <w:t>des</w:t>
      </w:r>
      <w:r>
        <w:rPr>
          <w:color w:val="231F20"/>
          <w:spacing w:val="-4"/>
        </w:rPr>
        <w:t> </w:t>
      </w:r>
      <w:r>
        <w:rPr>
          <w:color w:val="231F20"/>
        </w:rPr>
        <w:t>peuples</w:t>
      </w:r>
      <w:r>
        <w:rPr>
          <w:color w:val="231F20"/>
          <w:spacing w:val="-4"/>
        </w:rPr>
        <w:t> </w:t>
      </w:r>
      <w:r>
        <w:rPr>
          <w:color w:val="231F20"/>
        </w:rPr>
        <w:t>est</w:t>
      </w:r>
      <w:r>
        <w:rPr>
          <w:color w:val="231F20"/>
          <w:spacing w:val="-4"/>
        </w:rPr>
        <w:t> </w:t>
      </w:r>
      <w:r>
        <w:rPr>
          <w:color w:val="231F20"/>
        </w:rPr>
        <w:t>le</w:t>
      </w:r>
      <w:r>
        <w:rPr>
          <w:color w:val="231F20"/>
          <w:spacing w:val="-4"/>
        </w:rPr>
        <w:t> </w:t>
      </w:r>
      <w:r>
        <w:rPr>
          <w:color w:val="231F20"/>
        </w:rPr>
        <w:t>théâtre</w:t>
      </w:r>
      <w:r>
        <w:rPr>
          <w:color w:val="231F20"/>
          <w:spacing w:val="-4"/>
        </w:rPr>
        <w:t> </w:t>
      </w:r>
      <w:r>
        <w:rPr>
          <w:color w:val="231F20"/>
        </w:rPr>
        <w:t>de</w:t>
      </w:r>
      <w:r>
        <w:rPr>
          <w:color w:val="231F20"/>
          <w:spacing w:val="-4"/>
        </w:rPr>
        <w:t> </w:t>
      </w:r>
      <w:r>
        <w:rPr>
          <w:color w:val="231F20"/>
        </w:rPr>
        <w:t>nombreuses interventions et actions d’appui à Cuba.</w:t>
      </w:r>
    </w:p>
    <w:p>
      <w:pPr>
        <w:pStyle w:val="BodyText"/>
        <w:spacing w:before="167"/>
        <w:ind w:left="1474" w:right="7"/>
      </w:pPr>
      <w:r>
        <w:rPr>
          <w:b/>
          <w:color w:val="B52628"/>
        </w:rPr>
        <w:t>16 juin 2022. </w:t>
      </w:r>
      <w:r>
        <w:rPr>
          <w:color w:val="231F20"/>
        </w:rPr>
        <w:t>Vingt-six représentants démocrates,</w:t>
      </w:r>
      <w:r>
        <w:rPr>
          <w:color w:val="231F20"/>
          <w:spacing w:val="-16"/>
        </w:rPr>
        <w:t> </w:t>
      </w:r>
      <w:r>
        <w:rPr>
          <w:color w:val="231F20"/>
        </w:rPr>
        <w:t>conduits</w:t>
      </w:r>
      <w:r>
        <w:rPr>
          <w:color w:val="231F20"/>
          <w:spacing w:val="-16"/>
        </w:rPr>
        <w:t> </w:t>
      </w:r>
      <w:r>
        <w:rPr>
          <w:color w:val="231F20"/>
        </w:rPr>
        <w:t>par</w:t>
      </w:r>
      <w:r>
        <w:rPr>
          <w:color w:val="231F20"/>
          <w:spacing w:val="-16"/>
        </w:rPr>
        <w:t> </w:t>
      </w:r>
      <w:r>
        <w:rPr>
          <w:color w:val="231F20"/>
        </w:rPr>
        <w:t>Ayanna</w:t>
      </w:r>
      <w:r>
        <w:rPr>
          <w:color w:val="231F20"/>
          <w:spacing w:val="-16"/>
        </w:rPr>
        <w:t> </w:t>
      </w:r>
      <w:r>
        <w:rPr>
          <w:color w:val="231F20"/>
        </w:rPr>
        <w:t>Pressley </w:t>
      </w:r>
      <w:r>
        <w:rPr>
          <w:color w:val="231F20"/>
          <w:spacing w:val="-10"/>
        </w:rPr>
        <w:t>(Massachussetts)</w:t>
      </w:r>
      <w:r>
        <w:rPr>
          <w:color w:val="231F20"/>
          <w:spacing w:val="-7"/>
        </w:rPr>
        <w:t> </w:t>
      </w:r>
      <w:r>
        <w:rPr>
          <w:color w:val="231F20"/>
          <w:spacing w:val="-10"/>
        </w:rPr>
        <w:t>et</w:t>
      </w:r>
      <w:r>
        <w:rPr>
          <w:color w:val="231F20"/>
          <w:spacing w:val="-6"/>
        </w:rPr>
        <w:t> </w:t>
      </w:r>
      <w:r>
        <w:rPr>
          <w:color w:val="231F20"/>
          <w:spacing w:val="-10"/>
        </w:rPr>
        <w:t>Steve</w:t>
      </w:r>
      <w:r>
        <w:rPr>
          <w:color w:val="231F20"/>
          <w:spacing w:val="-7"/>
        </w:rPr>
        <w:t> </w:t>
      </w:r>
      <w:r>
        <w:rPr>
          <w:color w:val="231F20"/>
          <w:spacing w:val="-10"/>
        </w:rPr>
        <w:t>Cohen</w:t>
      </w:r>
      <w:r>
        <w:rPr>
          <w:color w:val="231F20"/>
          <w:spacing w:val="-6"/>
        </w:rPr>
        <w:t> </w:t>
      </w:r>
      <w:r>
        <w:rPr>
          <w:color w:val="231F20"/>
          <w:spacing w:val="-10"/>
        </w:rPr>
        <w:t>(Tennessee), </w:t>
      </w:r>
      <w:r>
        <w:rPr>
          <w:color w:val="231F20"/>
          <w:spacing w:val="-16"/>
        </w:rPr>
        <w:t>adressent</w:t>
      </w:r>
      <w:r>
        <w:rPr>
          <w:color w:val="231F20"/>
        </w:rPr>
        <w:t> </w:t>
      </w:r>
      <w:r>
        <w:rPr>
          <w:color w:val="231F20"/>
          <w:spacing w:val="-16"/>
        </w:rPr>
        <w:t>une</w:t>
      </w:r>
      <w:r>
        <w:rPr>
          <w:color w:val="231F20"/>
        </w:rPr>
        <w:t> </w:t>
      </w:r>
      <w:r>
        <w:rPr>
          <w:color w:val="231F20"/>
          <w:spacing w:val="-16"/>
        </w:rPr>
        <w:t>lettre</w:t>
      </w:r>
      <w:r>
        <w:rPr>
          <w:color w:val="231F20"/>
        </w:rPr>
        <w:t> </w:t>
      </w:r>
      <w:r>
        <w:rPr>
          <w:color w:val="231F20"/>
          <w:spacing w:val="-16"/>
        </w:rPr>
        <w:t>à</w:t>
      </w:r>
      <w:r>
        <w:rPr>
          <w:color w:val="231F20"/>
        </w:rPr>
        <w:t> </w:t>
      </w:r>
      <w:r>
        <w:rPr>
          <w:color w:val="231F20"/>
          <w:spacing w:val="-16"/>
        </w:rPr>
        <w:t>Biden</w:t>
      </w:r>
      <w:r>
        <w:rPr>
          <w:color w:val="231F20"/>
        </w:rPr>
        <w:t> </w:t>
      </w:r>
      <w:r>
        <w:rPr>
          <w:color w:val="231F20"/>
          <w:spacing w:val="-16"/>
        </w:rPr>
        <w:t>pour</w:t>
      </w:r>
      <w:r>
        <w:rPr>
          <w:color w:val="231F20"/>
        </w:rPr>
        <w:t> </w:t>
      </w:r>
      <w:r>
        <w:rPr>
          <w:color w:val="231F20"/>
          <w:spacing w:val="-16"/>
        </w:rPr>
        <w:t>lui</w:t>
      </w:r>
      <w:r>
        <w:rPr>
          <w:color w:val="231F20"/>
        </w:rPr>
        <w:t> </w:t>
      </w:r>
      <w:r>
        <w:rPr>
          <w:color w:val="231F20"/>
          <w:spacing w:val="-16"/>
        </w:rPr>
        <w:t>demander </w:t>
      </w:r>
      <w:r>
        <w:rPr>
          <w:color w:val="231F20"/>
          <w:spacing w:val="-12"/>
        </w:rPr>
        <w:t>d’explorer</w:t>
      </w:r>
      <w:r>
        <w:rPr>
          <w:color w:val="231F20"/>
        </w:rPr>
        <w:t> </w:t>
      </w:r>
      <w:r>
        <w:rPr>
          <w:color w:val="231F20"/>
          <w:spacing w:val="-12"/>
        </w:rPr>
        <w:t>les</w:t>
      </w:r>
      <w:r>
        <w:rPr>
          <w:color w:val="231F20"/>
        </w:rPr>
        <w:t> </w:t>
      </w:r>
      <w:r>
        <w:rPr>
          <w:color w:val="231F20"/>
          <w:spacing w:val="-12"/>
        </w:rPr>
        <w:t>possibilités</w:t>
      </w:r>
      <w:r>
        <w:rPr>
          <w:color w:val="231F20"/>
        </w:rPr>
        <w:t> </w:t>
      </w:r>
      <w:r>
        <w:rPr>
          <w:color w:val="231F20"/>
          <w:spacing w:val="-12"/>
        </w:rPr>
        <w:t>de</w:t>
      </w:r>
      <w:r>
        <w:rPr>
          <w:color w:val="231F20"/>
        </w:rPr>
        <w:t> </w:t>
      </w:r>
      <w:r>
        <w:rPr>
          <w:color w:val="231F20"/>
          <w:spacing w:val="-12"/>
        </w:rPr>
        <w:t>coopération</w:t>
      </w:r>
      <w:r>
        <w:rPr>
          <w:color w:val="231F20"/>
        </w:rPr>
        <w:t> </w:t>
      </w:r>
      <w:r>
        <w:rPr>
          <w:color w:val="231F20"/>
          <w:spacing w:val="-12"/>
        </w:rPr>
        <w:t>avec </w:t>
      </w:r>
      <w:r>
        <w:rPr>
          <w:color w:val="231F20"/>
        </w:rPr>
        <w:t>Cuba en matière de santé et de réviser la </w:t>
      </w:r>
      <w:r>
        <w:rPr>
          <w:color w:val="231F20"/>
          <w:spacing w:val="-14"/>
        </w:rPr>
        <w:t>politique</w:t>
      </w:r>
      <w:r>
        <w:rPr>
          <w:color w:val="231F20"/>
          <w:spacing w:val="-3"/>
        </w:rPr>
        <w:t> </w:t>
      </w:r>
      <w:r>
        <w:rPr>
          <w:color w:val="231F20"/>
          <w:spacing w:val="-14"/>
        </w:rPr>
        <w:t>afin</w:t>
      </w:r>
      <w:r>
        <w:rPr>
          <w:color w:val="231F20"/>
          <w:spacing w:val="-2"/>
        </w:rPr>
        <w:t> </w:t>
      </w:r>
      <w:r>
        <w:rPr>
          <w:color w:val="231F20"/>
          <w:spacing w:val="-14"/>
        </w:rPr>
        <w:t>que</w:t>
      </w:r>
      <w:r>
        <w:rPr>
          <w:color w:val="231F20"/>
          <w:spacing w:val="-3"/>
        </w:rPr>
        <w:t> </w:t>
      </w:r>
      <w:r>
        <w:rPr>
          <w:color w:val="231F20"/>
          <w:spacing w:val="-14"/>
        </w:rPr>
        <w:t>les</w:t>
      </w:r>
      <w:r>
        <w:rPr>
          <w:color w:val="231F20"/>
          <w:spacing w:val="-2"/>
        </w:rPr>
        <w:t> </w:t>
      </w:r>
      <w:r>
        <w:rPr>
          <w:color w:val="231F20"/>
          <w:spacing w:val="-14"/>
        </w:rPr>
        <w:t>sanctions</w:t>
      </w:r>
      <w:r>
        <w:rPr>
          <w:color w:val="231F20"/>
          <w:spacing w:val="-3"/>
        </w:rPr>
        <w:t> </w:t>
      </w:r>
      <w:r>
        <w:rPr>
          <w:color w:val="231F20"/>
          <w:spacing w:val="-14"/>
        </w:rPr>
        <w:t>contre</w:t>
      </w:r>
      <w:r>
        <w:rPr>
          <w:color w:val="231F20"/>
          <w:spacing w:val="-2"/>
        </w:rPr>
        <w:t> </w:t>
      </w:r>
      <w:r>
        <w:rPr>
          <w:color w:val="231F20"/>
          <w:spacing w:val="-14"/>
        </w:rPr>
        <w:t>Cuba</w:t>
      </w:r>
      <w:r>
        <w:rPr>
          <w:color w:val="231F20"/>
          <w:spacing w:val="-3"/>
        </w:rPr>
        <w:t> </w:t>
      </w:r>
      <w:r>
        <w:rPr>
          <w:color w:val="231F20"/>
          <w:spacing w:val="-14"/>
        </w:rPr>
        <w:t>ne </w:t>
      </w:r>
      <w:r>
        <w:rPr>
          <w:color w:val="231F20"/>
          <w:spacing w:val="-10"/>
        </w:rPr>
        <w:t>pénalisent</w:t>
      </w:r>
      <w:r>
        <w:rPr>
          <w:color w:val="231F20"/>
          <w:spacing w:val="-1"/>
        </w:rPr>
        <w:t> </w:t>
      </w:r>
      <w:r>
        <w:rPr>
          <w:color w:val="231F20"/>
          <w:spacing w:val="-10"/>
        </w:rPr>
        <w:t>pas</w:t>
      </w:r>
      <w:r>
        <w:rPr>
          <w:color w:val="231F20"/>
          <w:spacing w:val="-1"/>
        </w:rPr>
        <w:t> </w:t>
      </w:r>
      <w:r>
        <w:rPr>
          <w:color w:val="231F20"/>
          <w:spacing w:val="-10"/>
        </w:rPr>
        <w:t>les</w:t>
      </w:r>
      <w:r>
        <w:rPr>
          <w:color w:val="231F20"/>
          <w:spacing w:val="-1"/>
        </w:rPr>
        <w:t> </w:t>
      </w:r>
      <w:r>
        <w:rPr>
          <w:color w:val="231F20"/>
          <w:spacing w:val="-10"/>
        </w:rPr>
        <w:t>efforts</w:t>
      </w:r>
      <w:r>
        <w:rPr>
          <w:color w:val="231F20"/>
          <w:spacing w:val="-1"/>
        </w:rPr>
        <w:t> </w:t>
      </w:r>
      <w:r>
        <w:rPr>
          <w:color w:val="231F20"/>
          <w:spacing w:val="-10"/>
        </w:rPr>
        <w:t>que</w:t>
      </w:r>
      <w:r>
        <w:rPr>
          <w:color w:val="231F20"/>
          <w:spacing w:val="-1"/>
        </w:rPr>
        <w:t> </w:t>
      </w:r>
      <w:r>
        <w:rPr>
          <w:color w:val="231F20"/>
          <w:spacing w:val="-10"/>
        </w:rPr>
        <w:t>celle-ci</w:t>
      </w:r>
      <w:r>
        <w:rPr>
          <w:color w:val="231F20"/>
          <w:spacing w:val="-1"/>
        </w:rPr>
        <w:t> </w:t>
      </w:r>
      <w:r>
        <w:rPr>
          <w:color w:val="231F20"/>
          <w:spacing w:val="-10"/>
        </w:rPr>
        <w:t>consent </w:t>
      </w:r>
      <w:r>
        <w:rPr>
          <w:color w:val="231F20"/>
        </w:rPr>
        <w:t>pour</w:t>
      </w:r>
      <w:r>
        <w:rPr>
          <w:color w:val="231F20"/>
          <w:spacing w:val="-17"/>
        </w:rPr>
        <w:t> </w:t>
      </w:r>
      <w:r>
        <w:rPr>
          <w:color w:val="231F20"/>
        </w:rPr>
        <w:t>partager</w:t>
      </w:r>
      <w:r>
        <w:rPr>
          <w:color w:val="231F20"/>
          <w:spacing w:val="-16"/>
        </w:rPr>
        <w:t> </w:t>
      </w:r>
      <w:r>
        <w:rPr>
          <w:color w:val="231F20"/>
        </w:rPr>
        <w:t>avec</w:t>
      </w:r>
      <w:r>
        <w:rPr>
          <w:color w:val="231F20"/>
          <w:spacing w:val="-17"/>
        </w:rPr>
        <w:t> </w:t>
      </w:r>
      <w:r>
        <w:rPr>
          <w:color w:val="231F20"/>
        </w:rPr>
        <w:t>des</w:t>
      </w:r>
      <w:r>
        <w:rPr>
          <w:color w:val="231F20"/>
          <w:spacing w:val="-16"/>
        </w:rPr>
        <w:t> </w:t>
      </w:r>
      <w:r>
        <w:rPr>
          <w:color w:val="231F20"/>
        </w:rPr>
        <w:t>pays</w:t>
      </w:r>
      <w:r>
        <w:rPr>
          <w:color w:val="231F20"/>
          <w:spacing w:val="-17"/>
        </w:rPr>
        <w:t> </w:t>
      </w:r>
      <w:r>
        <w:rPr>
          <w:color w:val="231F20"/>
        </w:rPr>
        <w:t>à</w:t>
      </w:r>
      <w:r>
        <w:rPr>
          <w:color w:val="231F20"/>
          <w:spacing w:val="-16"/>
        </w:rPr>
        <w:t> </w:t>
      </w:r>
      <w:r>
        <w:rPr>
          <w:color w:val="231F20"/>
        </w:rPr>
        <w:t>bas</w:t>
      </w:r>
      <w:r>
        <w:rPr>
          <w:color w:val="231F20"/>
          <w:spacing w:val="-17"/>
        </w:rPr>
        <w:t> </w:t>
      </w:r>
      <w:r>
        <w:rPr>
          <w:color w:val="231F20"/>
        </w:rPr>
        <w:t>revenus ses</w:t>
      </w:r>
      <w:r>
        <w:rPr>
          <w:color w:val="231F20"/>
          <w:spacing w:val="-17"/>
        </w:rPr>
        <w:t> </w:t>
      </w:r>
      <w:r>
        <w:rPr>
          <w:color w:val="231F20"/>
        </w:rPr>
        <w:t>vaccins</w:t>
      </w:r>
      <w:r>
        <w:rPr>
          <w:color w:val="231F20"/>
          <w:spacing w:val="-16"/>
        </w:rPr>
        <w:t> </w:t>
      </w:r>
      <w:r>
        <w:rPr>
          <w:color w:val="231F20"/>
        </w:rPr>
        <w:t>contre</w:t>
      </w:r>
      <w:r>
        <w:rPr>
          <w:color w:val="231F20"/>
          <w:spacing w:val="-17"/>
        </w:rPr>
        <w:t> </w:t>
      </w:r>
      <w:r>
        <w:rPr>
          <w:color w:val="231F20"/>
        </w:rPr>
        <w:t>le</w:t>
      </w:r>
      <w:r>
        <w:rPr>
          <w:color w:val="231F20"/>
          <w:spacing w:val="-16"/>
        </w:rPr>
        <w:t> </w:t>
      </w:r>
      <w:r>
        <w:rPr>
          <w:color w:val="231F20"/>
        </w:rPr>
        <w:t>Covid-19,</w:t>
      </w:r>
      <w:r>
        <w:rPr>
          <w:color w:val="231F20"/>
          <w:spacing w:val="-17"/>
        </w:rPr>
        <w:t> </w:t>
      </w:r>
      <w:r>
        <w:rPr>
          <w:color w:val="231F20"/>
        </w:rPr>
        <w:t>ses</w:t>
      </w:r>
      <w:r>
        <w:rPr>
          <w:color w:val="231F20"/>
          <w:spacing w:val="-16"/>
        </w:rPr>
        <w:t> </w:t>
      </w:r>
      <w:r>
        <w:rPr>
          <w:color w:val="231F20"/>
        </w:rPr>
        <w:t>services </w:t>
      </w:r>
      <w:r>
        <w:rPr>
          <w:color w:val="231F20"/>
          <w:spacing w:val="-4"/>
        </w:rPr>
        <w:t>médicaux</w:t>
      </w:r>
      <w:r>
        <w:rPr>
          <w:color w:val="231F20"/>
          <w:spacing w:val="-20"/>
        </w:rPr>
        <w:t> </w:t>
      </w:r>
      <w:r>
        <w:rPr>
          <w:color w:val="231F20"/>
          <w:spacing w:val="-4"/>
        </w:rPr>
        <w:t>et</w:t>
      </w:r>
      <w:r>
        <w:rPr>
          <w:color w:val="231F20"/>
          <w:spacing w:val="-20"/>
        </w:rPr>
        <w:t> </w:t>
      </w:r>
      <w:r>
        <w:rPr>
          <w:color w:val="231F20"/>
          <w:spacing w:val="-4"/>
        </w:rPr>
        <w:t>ses</w:t>
      </w:r>
      <w:r>
        <w:rPr>
          <w:color w:val="231F20"/>
          <w:spacing w:val="-20"/>
        </w:rPr>
        <w:t> </w:t>
      </w:r>
      <w:r>
        <w:rPr>
          <w:color w:val="231F20"/>
          <w:spacing w:val="-4"/>
        </w:rPr>
        <w:t>technologies</w:t>
      </w:r>
      <w:r>
        <w:rPr>
          <w:color w:val="231F20"/>
          <w:spacing w:val="-20"/>
        </w:rPr>
        <w:t> </w:t>
      </w:r>
      <w:r>
        <w:rPr>
          <w:color w:val="231F20"/>
          <w:spacing w:val="-4"/>
        </w:rPr>
        <w:t>sanitaires.</w:t>
      </w:r>
    </w:p>
    <w:p>
      <w:pPr>
        <w:pStyle w:val="BodyText"/>
        <w:spacing w:before="169"/>
        <w:ind w:left="1474" w:right="3"/>
      </w:pPr>
      <w:r>
        <w:rPr>
          <w:b/>
          <w:color w:val="B52628"/>
        </w:rPr>
        <w:t>29 juin 2022. </w:t>
      </w:r>
      <w:r>
        <w:rPr>
          <w:color w:val="231F20"/>
        </w:rPr>
        <w:t>Vingt-deux </w:t>
      </w:r>
      <w:r>
        <w:rPr>
          <w:color w:val="231F20"/>
        </w:rPr>
        <w:t>organisations, Églises et groupes religieux associés à la </w:t>
      </w:r>
      <w:r>
        <w:rPr>
          <w:color w:val="231F20"/>
          <w:spacing w:val="-8"/>
        </w:rPr>
        <w:t>Communauté interreligieuse de Washington </w:t>
      </w:r>
      <w:r>
        <w:rPr>
          <w:color w:val="231F20"/>
        </w:rPr>
        <w:t>adressent une lettre à Biden au sujet des effets</w:t>
      </w:r>
      <w:r>
        <w:rPr>
          <w:color w:val="231F20"/>
          <w:spacing w:val="-13"/>
        </w:rPr>
        <w:t> </w:t>
      </w:r>
      <w:r>
        <w:rPr>
          <w:color w:val="231F20"/>
        </w:rPr>
        <w:t>du</w:t>
      </w:r>
      <w:r>
        <w:rPr>
          <w:color w:val="231F20"/>
          <w:spacing w:val="-13"/>
        </w:rPr>
        <w:t> </w:t>
      </w:r>
      <w:r>
        <w:rPr>
          <w:color w:val="231F20"/>
        </w:rPr>
        <w:t>blocus</w:t>
      </w:r>
      <w:r>
        <w:rPr>
          <w:color w:val="231F20"/>
          <w:spacing w:val="-13"/>
        </w:rPr>
        <w:t> </w:t>
      </w:r>
      <w:r>
        <w:rPr>
          <w:color w:val="231F20"/>
        </w:rPr>
        <w:t>et</w:t>
      </w:r>
      <w:r>
        <w:rPr>
          <w:color w:val="231F20"/>
          <w:spacing w:val="-13"/>
        </w:rPr>
        <w:t> </w:t>
      </w:r>
      <w:r>
        <w:rPr>
          <w:color w:val="231F20"/>
        </w:rPr>
        <w:t>l’invitent</w:t>
      </w:r>
      <w:r>
        <w:rPr>
          <w:color w:val="231F20"/>
          <w:spacing w:val="-13"/>
        </w:rPr>
        <w:t> </w:t>
      </w:r>
      <w:r>
        <w:rPr>
          <w:color w:val="231F20"/>
        </w:rPr>
        <w:t>à</w:t>
      </w:r>
      <w:r>
        <w:rPr>
          <w:color w:val="231F20"/>
          <w:spacing w:val="-13"/>
        </w:rPr>
        <w:t> </w:t>
      </w:r>
      <w:r>
        <w:rPr>
          <w:color w:val="231F20"/>
        </w:rPr>
        <w:t>assouplir</w:t>
      </w:r>
      <w:r>
        <w:rPr>
          <w:color w:val="231F20"/>
          <w:spacing w:val="-13"/>
        </w:rPr>
        <w:t> </w:t>
      </w:r>
      <w:r>
        <w:rPr>
          <w:color w:val="231F20"/>
        </w:rPr>
        <w:t>les </w:t>
      </w:r>
      <w:r>
        <w:rPr>
          <w:color w:val="231F20"/>
          <w:spacing w:val="-6"/>
        </w:rPr>
        <w:t>mesures</w:t>
      </w:r>
      <w:r>
        <w:rPr>
          <w:color w:val="231F20"/>
          <w:spacing w:val="-11"/>
        </w:rPr>
        <w:t> </w:t>
      </w:r>
      <w:r>
        <w:rPr>
          <w:color w:val="231F20"/>
          <w:spacing w:val="-6"/>
        </w:rPr>
        <w:t>en</w:t>
      </w:r>
      <w:r>
        <w:rPr>
          <w:color w:val="231F20"/>
          <w:spacing w:val="-10"/>
        </w:rPr>
        <w:t> </w:t>
      </w:r>
      <w:r>
        <w:rPr>
          <w:color w:val="231F20"/>
          <w:spacing w:val="-6"/>
        </w:rPr>
        <w:t>matière</w:t>
      </w:r>
      <w:r>
        <w:rPr>
          <w:color w:val="231F20"/>
          <w:spacing w:val="-11"/>
        </w:rPr>
        <w:t> </w:t>
      </w:r>
      <w:r>
        <w:rPr>
          <w:color w:val="231F20"/>
          <w:spacing w:val="-6"/>
        </w:rPr>
        <w:t>de</w:t>
      </w:r>
      <w:r>
        <w:rPr>
          <w:color w:val="231F20"/>
          <w:spacing w:val="-10"/>
        </w:rPr>
        <w:t> </w:t>
      </w:r>
      <w:r>
        <w:rPr>
          <w:color w:val="231F20"/>
          <w:spacing w:val="-6"/>
        </w:rPr>
        <w:t>voyages,</w:t>
      </w:r>
      <w:r>
        <w:rPr>
          <w:color w:val="231F20"/>
          <w:spacing w:val="-11"/>
        </w:rPr>
        <w:t> </w:t>
      </w:r>
      <w:r>
        <w:rPr>
          <w:color w:val="231F20"/>
          <w:spacing w:val="-6"/>
        </w:rPr>
        <w:t>d’envois</w:t>
      </w:r>
      <w:r>
        <w:rPr>
          <w:color w:val="231F20"/>
          <w:spacing w:val="-10"/>
        </w:rPr>
        <w:t> </w:t>
      </w:r>
      <w:r>
        <w:rPr>
          <w:color w:val="231F20"/>
          <w:spacing w:val="-6"/>
        </w:rPr>
        <w:t>de </w:t>
      </w:r>
      <w:r>
        <w:rPr>
          <w:color w:val="231F20"/>
        </w:rPr>
        <w:t>fonds</w:t>
      </w:r>
      <w:r>
        <w:rPr>
          <w:color w:val="231F20"/>
          <w:spacing w:val="-3"/>
        </w:rPr>
        <w:t> </w:t>
      </w:r>
      <w:r>
        <w:rPr>
          <w:color w:val="231F20"/>
        </w:rPr>
        <w:t>familiaux</w:t>
      </w:r>
      <w:r>
        <w:rPr>
          <w:color w:val="231F20"/>
          <w:spacing w:val="-2"/>
        </w:rPr>
        <w:t> </w:t>
      </w:r>
      <w:r>
        <w:rPr>
          <w:color w:val="231F20"/>
        </w:rPr>
        <w:t>et</w:t>
      </w:r>
      <w:r>
        <w:rPr>
          <w:color w:val="231F20"/>
          <w:spacing w:val="-2"/>
        </w:rPr>
        <w:t> </w:t>
      </w:r>
      <w:r>
        <w:rPr>
          <w:color w:val="231F20"/>
        </w:rPr>
        <w:t>de</w:t>
      </w:r>
      <w:r>
        <w:rPr>
          <w:color w:val="231F20"/>
          <w:spacing w:val="-2"/>
        </w:rPr>
        <w:t> </w:t>
      </w:r>
      <w:r>
        <w:rPr>
          <w:color w:val="231F20"/>
        </w:rPr>
        <w:t>services</w:t>
      </w:r>
      <w:r>
        <w:rPr>
          <w:color w:val="231F20"/>
          <w:spacing w:val="-3"/>
        </w:rPr>
        <w:t> </w:t>
      </w:r>
      <w:r>
        <w:rPr>
          <w:color w:val="231F20"/>
        </w:rPr>
        <w:t>consulaires, et</w:t>
      </w:r>
      <w:r>
        <w:rPr>
          <w:color w:val="231F20"/>
          <w:spacing w:val="-15"/>
        </w:rPr>
        <w:t> </w:t>
      </w:r>
      <w:r>
        <w:rPr>
          <w:color w:val="231F20"/>
        </w:rPr>
        <w:t>lui</w:t>
      </w:r>
      <w:r>
        <w:rPr>
          <w:color w:val="231F20"/>
          <w:spacing w:val="-15"/>
        </w:rPr>
        <w:t> </w:t>
      </w:r>
      <w:r>
        <w:rPr>
          <w:color w:val="231F20"/>
        </w:rPr>
        <w:t>demandent</w:t>
      </w:r>
      <w:r>
        <w:rPr>
          <w:color w:val="231F20"/>
          <w:spacing w:val="-15"/>
        </w:rPr>
        <w:t> </w:t>
      </w:r>
      <w:r>
        <w:rPr>
          <w:color w:val="231F20"/>
        </w:rPr>
        <w:t>de</w:t>
      </w:r>
      <w:r>
        <w:rPr>
          <w:color w:val="231F20"/>
          <w:spacing w:val="-15"/>
        </w:rPr>
        <w:t> </w:t>
      </w:r>
      <w:r>
        <w:rPr>
          <w:color w:val="231F20"/>
        </w:rPr>
        <w:t>radier</w:t>
      </w:r>
      <w:r>
        <w:rPr>
          <w:color w:val="231F20"/>
          <w:spacing w:val="-15"/>
        </w:rPr>
        <w:t> </w:t>
      </w:r>
      <w:r>
        <w:rPr>
          <w:color w:val="231F20"/>
        </w:rPr>
        <w:t>Cuba</w:t>
      </w:r>
      <w:r>
        <w:rPr>
          <w:color w:val="231F20"/>
          <w:spacing w:val="-15"/>
        </w:rPr>
        <w:t> </w:t>
      </w:r>
      <w:r>
        <w:rPr>
          <w:color w:val="231F20"/>
        </w:rPr>
        <w:t>de</w:t>
      </w:r>
      <w:r>
        <w:rPr>
          <w:color w:val="231F20"/>
          <w:spacing w:val="-15"/>
        </w:rPr>
        <w:t> </w:t>
      </w:r>
      <w:r>
        <w:rPr>
          <w:color w:val="231F20"/>
        </w:rPr>
        <w:t>la</w:t>
      </w:r>
      <w:r>
        <w:rPr>
          <w:color w:val="231F20"/>
          <w:spacing w:val="-15"/>
        </w:rPr>
        <w:t> </w:t>
      </w:r>
      <w:r>
        <w:rPr>
          <w:color w:val="231F20"/>
        </w:rPr>
        <w:t>liste des États censément commanditaires de terrorisme international.</w:t>
      </w:r>
    </w:p>
    <w:p>
      <w:pPr>
        <w:pStyle w:val="BodyText"/>
        <w:spacing w:before="168"/>
        <w:ind w:left="1474"/>
      </w:pPr>
      <w:r>
        <w:rPr>
          <w:b/>
          <w:color w:val="B52628"/>
        </w:rPr>
        <w:t>31 juillet 2022. </w:t>
      </w:r>
      <w:r>
        <w:rPr>
          <w:color w:val="231F20"/>
        </w:rPr>
        <w:t>Plusieurs initiatives exigeant la levée du blocus sont lancées dans</w:t>
      </w:r>
      <w:r>
        <w:rPr>
          <w:color w:val="231F20"/>
          <w:spacing w:val="-17"/>
        </w:rPr>
        <w:t> </w:t>
      </w:r>
      <w:r>
        <w:rPr>
          <w:color w:val="231F20"/>
        </w:rPr>
        <w:t>plusieurs</w:t>
      </w:r>
      <w:r>
        <w:rPr>
          <w:color w:val="231F20"/>
          <w:spacing w:val="-16"/>
        </w:rPr>
        <w:t> </w:t>
      </w:r>
      <w:r>
        <w:rPr>
          <w:color w:val="231F20"/>
        </w:rPr>
        <w:t>villes</w:t>
      </w:r>
      <w:r>
        <w:rPr>
          <w:color w:val="231F20"/>
          <w:spacing w:val="-17"/>
        </w:rPr>
        <w:t> </w:t>
      </w:r>
      <w:r>
        <w:rPr>
          <w:color w:val="231F20"/>
        </w:rPr>
        <w:t>des</w:t>
      </w:r>
      <w:r>
        <w:rPr>
          <w:color w:val="231F20"/>
          <w:spacing w:val="-16"/>
        </w:rPr>
        <w:t> </w:t>
      </w:r>
      <w:r>
        <w:rPr>
          <w:color w:val="231F20"/>
        </w:rPr>
        <w:t>USA,</w:t>
      </w:r>
      <w:r>
        <w:rPr>
          <w:color w:val="231F20"/>
          <w:spacing w:val="-17"/>
        </w:rPr>
        <w:t> </w:t>
      </w:r>
      <w:r>
        <w:rPr>
          <w:color w:val="231F20"/>
        </w:rPr>
        <w:t>dont</w:t>
      </w:r>
      <w:r>
        <w:rPr>
          <w:color w:val="231F20"/>
          <w:spacing w:val="-16"/>
        </w:rPr>
        <w:t> </w:t>
      </w:r>
      <w:r>
        <w:rPr>
          <w:color w:val="231F20"/>
        </w:rPr>
        <w:t>Seattle, Baltimore,</w:t>
      </w:r>
      <w:r>
        <w:rPr>
          <w:color w:val="231F20"/>
          <w:spacing w:val="43"/>
        </w:rPr>
        <w:t> </w:t>
      </w:r>
      <w:r>
        <w:rPr>
          <w:color w:val="231F20"/>
        </w:rPr>
        <w:t>Milwaukee,</w:t>
      </w:r>
      <w:r>
        <w:rPr>
          <w:color w:val="231F20"/>
          <w:spacing w:val="43"/>
        </w:rPr>
        <w:t> </w:t>
      </w:r>
      <w:r>
        <w:rPr>
          <w:color w:val="231F20"/>
        </w:rPr>
        <w:t>Los</w:t>
      </w:r>
      <w:r>
        <w:rPr>
          <w:color w:val="231F20"/>
          <w:spacing w:val="42"/>
        </w:rPr>
        <w:t> </w:t>
      </w:r>
      <w:r>
        <w:rPr>
          <w:color w:val="231F20"/>
        </w:rPr>
        <w:t>Angeles,</w:t>
      </w:r>
      <w:r>
        <w:rPr>
          <w:color w:val="231F20"/>
          <w:spacing w:val="44"/>
        </w:rPr>
        <w:t> </w:t>
      </w:r>
      <w:r>
        <w:rPr>
          <w:color w:val="231F20"/>
          <w:spacing w:val="-5"/>
        </w:rPr>
        <w:t>New</w:t>
      </w:r>
    </w:p>
    <w:p>
      <w:pPr>
        <w:pStyle w:val="BodyText"/>
        <w:spacing w:before="77"/>
        <w:ind w:left="412"/>
      </w:pPr>
      <w:r>
        <w:rPr/>
        <w:br w:type="column"/>
      </w:r>
      <w:r>
        <w:rPr>
          <w:color w:val="231F20"/>
        </w:rPr>
        <w:t>York,</w:t>
      </w:r>
      <w:r>
        <w:rPr>
          <w:color w:val="231F20"/>
          <w:spacing w:val="-9"/>
        </w:rPr>
        <w:t> </w:t>
      </w:r>
      <w:r>
        <w:rPr>
          <w:color w:val="231F20"/>
        </w:rPr>
        <w:t>Miami</w:t>
      </w:r>
      <w:r>
        <w:rPr>
          <w:color w:val="231F20"/>
          <w:spacing w:val="-10"/>
        </w:rPr>
        <w:t> </w:t>
      </w:r>
      <w:r>
        <w:rPr>
          <w:color w:val="231F20"/>
        </w:rPr>
        <w:t>et</w:t>
      </w:r>
      <w:r>
        <w:rPr>
          <w:color w:val="231F20"/>
          <w:spacing w:val="-8"/>
        </w:rPr>
        <w:t> </w:t>
      </w:r>
      <w:r>
        <w:rPr>
          <w:color w:val="231F20"/>
          <w:spacing w:val="-2"/>
        </w:rPr>
        <w:t>Oklahoma.</w:t>
      </w:r>
    </w:p>
    <w:p>
      <w:pPr>
        <w:pStyle w:val="BodyText"/>
        <w:spacing w:before="161"/>
        <w:ind w:left="412" w:right="1130"/>
      </w:pPr>
      <w:r>
        <w:rPr>
          <w:b/>
          <w:color w:val="B52628"/>
          <w:spacing w:val="-2"/>
        </w:rPr>
        <w:t>8</w:t>
      </w:r>
      <w:r>
        <w:rPr>
          <w:b/>
          <w:color w:val="B52628"/>
          <w:spacing w:val="-13"/>
        </w:rPr>
        <w:t> </w:t>
      </w:r>
      <w:r>
        <w:rPr>
          <w:b/>
          <w:color w:val="B52628"/>
          <w:spacing w:val="-2"/>
        </w:rPr>
        <w:t>août</w:t>
      </w:r>
      <w:r>
        <w:rPr>
          <w:b/>
          <w:color w:val="B52628"/>
          <w:spacing w:val="-13"/>
        </w:rPr>
        <w:t> </w:t>
      </w:r>
      <w:r>
        <w:rPr>
          <w:b/>
          <w:color w:val="B52628"/>
          <w:spacing w:val="-2"/>
        </w:rPr>
        <w:t>2022.</w:t>
      </w:r>
      <w:r>
        <w:rPr>
          <w:b/>
          <w:color w:val="B52628"/>
          <w:spacing w:val="-13"/>
        </w:rPr>
        <w:t> </w:t>
      </w:r>
      <w:r>
        <w:rPr>
          <w:color w:val="231F20"/>
          <w:spacing w:val="-2"/>
        </w:rPr>
        <w:t>Des</w:t>
      </w:r>
      <w:r>
        <w:rPr>
          <w:color w:val="231F20"/>
          <w:spacing w:val="-13"/>
        </w:rPr>
        <w:t> </w:t>
      </w:r>
      <w:r>
        <w:rPr>
          <w:color w:val="231F20"/>
          <w:spacing w:val="-2"/>
        </w:rPr>
        <w:t>artistes,</w:t>
      </w:r>
      <w:r>
        <w:rPr>
          <w:color w:val="231F20"/>
          <w:spacing w:val="-13"/>
        </w:rPr>
        <w:t> </w:t>
      </w:r>
      <w:r>
        <w:rPr>
          <w:color w:val="231F20"/>
          <w:spacing w:val="-2"/>
        </w:rPr>
        <w:t>des</w:t>
      </w:r>
      <w:r>
        <w:rPr>
          <w:color w:val="231F20"/>
          <w:spacing w:val="-13"/>
        </w:rPr>
        <w:t> </w:t>
      </w:r>
      <w:r>
        <w:rPr>
          <w:color w:val="231F20"/>
          <w:spacing w:val="-2"/>
        </w:rPr>
        <w:t>intellectuels, </w:t>
      </w:r>
      <w:r>
        <w:rPr>
          <w:color w:val="231F20"/>
        </w:rPr>
        <w:t>des hommes politiques, des scientifiques, des militants et des religieux étasuniens adressent une lettre à Biden pour </w:t>
      </w:r>
      <w:r>
        <w:rPr>
          <w:color w:val="231F20"/>
        </w:rPr>
        <w:t>lui </w:t>
      </w:r>
      <w:r>
        <w:rPr>
          <w:color w:val="231F20"/>
          <w:spacing w:val="-2"/>
        </w:rPr>
        <w:t>demanderdeleverd’urgenceles«politiques </w:t>
      </w:r>
      <w:r>
        <w:rPr>
          <w:color w:val="231F20"/>
        </w:rPr>
        <w:t>cruelles » appliquées par l’administration Trump. Compte tenu du grand incendie survenu dans la base de superpétroliers de Matanzas, ils demandent la levée des mesures coercitives qui empêchent Cuba de</w:t>
      </w:r>
      <w:r>
        <w:rPr>
          <w:color w:val="231F20"/>
          <w:spacing w:val="-1"/>
        </w:rPr>
        <w:t> </w:t>
      </w:r>
      <w:r>
        <w:rPr>
          <w:color w:val="231F20"/>
        </w:rPr>
        <w:t>recevoir</w:t>
      </w:r>
      <w:r>
        <w:rPr>
          <w:color w:val="231F20"/>
          <w:spacing w:val="-1"/>
        </w:rPr>
        <w:t> </w:t>
      </w:r>
      <w:r>
        <w:rPr>
          <w:color w:val="231F20"/>
        </w:rPr>
        <w:t>directement</w:t>
      </w:r>
      <w:r>
        <w:rPr>
          <w:color w:val="231F20"/>
          <w:spacing w:val="-1"/>
        </w:rPr>
        <w:t> </w:t>
      </w:r>
      <w:r>
        <w:rPr>
          <w:color w:val="231F20"/>
        </w:rPr>
        <w:t>ou</w:t>
      </w:r>
      <w:r>
        <w:rPr>
          <w:color w:val="231F20"/>
          <w:spacing w:val="-1"/>
        </w:rPr>
        <w:t> </w:t>
      </w:r>
      <w:r>
        <w:rPr>
          <w:color w:val="231F20"/>
        </w:rPr>
        <w:t>indirectement de l’aide médicale, humanitaire et environnementale, ou une aide financière ou autre de la part des USA, et exigent que Cuba soit radiée de la Liste des États censément</w:t>
      </w:r>
      <w:r>
        <w:rPr>
          <w:color w:val="231F20"/>
          <w:spacing w:val="-3"/>
        </w:rPr>
        <w:t> </w:t>
      </w:r>
      <w:r>
        <w:rPr>
          <w:color w:val="231F20"/>
        </w:rPr>
        <w:t>commanditaires</w:t>
      </w:r>
      <w:r>
        <w:rPr>
          <w:color w:val="231F20"/>
          <w:spacing w:val="-3"/>
        </w:rPr>
        <w:t> </w:t>
      </w:r>
      <w:r>
        <w:rPr>
          <w:color w:val="231F20"/>
        </w:rPr>
        <w:t>de</w:t>
      </w:r>
      <w:r>
        <w:rPr>
          <w:color w:val="231F20"/>
          <w:spacing w:val="-3"/>
        </w:rPr>
        <w:t> </w:t>
      </w:r>
      <w:r>
        <w:rPr>
          <w:color w:val="231F20"/>
        </w:rPr>
        <w:t>terrorisme </w:t>
      </w:r>
      <w:r>
        <w:rPr>
          <w:color w:val="231F20"/>
          <w:spacing w:val="-2"/>
        </w:rPr>
        <w:t>international.</w:t>
      </w:r>
    </w:p>
    <w:p>
      <w:pPr>
        <w:pStyle w:val="BodyText"/>
        <w:spacing w:before="173"/>
        <w:ind w:left="412" w:right="1127"/>
      </w:pPr>
      <w:r>
        <w:rPr>
          <w:b/>
          <w:color w:val="B52628"/>
        </w:rPr>
        <w:t>8 août 2022. </w:t>
      </w:r>
      <w:r>
        <w:rPr>
          <w:color w:val="231F20"/>
        </w:rPr>
        <w:t>Des organisations étasuniennes, dont le Centro para la Democracia en las Américas (CDA), Cuba Puentes Inc., Cuba Partners Network, l’Église presbytérienne des États-Unis, Cuba Study Group, CubaOne Foundation, le Washington Office for Latin America (WOLA), l’Alliance de baptistes, adressent un message au président Biden pour lui demander d’apporter une aide technique </w:t>
      </w:r>
      <w:r>
        <w:rPr>
          <w:color w:val="231F20"/>
          <w:spacing w:val="-2"/>
        </w:rPr>
        <w:t>directe</w:t>
      </w:r>
      <w:r>
        <w:rPr>
          <w:color w:val="231F20"/>
          <w:spacing w:val="-15"/>
        </w:rPr>
        <w:t> </w:t>
      </w:r>
      <w:r>
        <w:rPr>
          <w:color w:val="231F20"/>
          <w:spacing w:val="-2"/>
        </w:rPr>
        <w:t>à</w:t>
      </w:r>
      <w:r>
        <w:rPr>
          <w:color w:val="231F20"/>
          <w:spacing w:val="-14"/>
        </w:rPr>
        <w:t> </w:t>
      </w:r>
      <w:r>
        <w:rPr>
          <w:color w:val="231F20"/>
          <w:spacing w:val="-2"/>
        </w:rPr>
        <w:t>Cuba</w:t>
      </w:r>
      <w:r>
        <w:rPr>
          <w:color w:val="231F20"/>
          <w:spacing w:val="-15"/>
        </w:rPr>
        <w:t> </w:t>
      </w:r>
      <w:r>
        <w:rPr>
          <w:color w:val="231F20"/>
          <w:spacing w:val="-2"/>
        </w:rPr>
        <w:t>et</w:t>
      </w:r>
      <w:r>
        <w:rPr>
          <w:color w:val="231F20"/>
          <w:spacing w:val="-14"/>
        </w:rPr>
        <w:t> </w:t>
      </w:r>
      <w:r>
        <w:rPr>
          <w:color w:val="231F20"/>
          <w:spacing w:val="-2"/>
        </w:rPr>
        <w:t>de</w:t>
      </w:r>
      <w:r>
        <w:rPr>
          <w:color w:val="231F20"/>
          <w:spacing w:val="-15"/>
        </w:rPr>
        <w:t> </w:t>
      </w:r>
      <w:r>
        <w:rPr>
          <w:color w:val="231F20"/>
          <w:spacing w:val="-2"/>
        </w:rPr>
        <w:t>suspendre</w:t>
      </w:r>
      <w:r>
        <w:rPr>
          <w:color w:val="231F20"/>
          <w:spacing w:val="-14"/>
        </w:rPr>
        <w:t> </w:t>
      </w:r>
      <w:r>
        <w:rPr>
          <w:color w:val="231F20"/>
          <w:spacing w:val="-2"/>
        </w:rPr>
        <w:t>les</w:t>
      </w:r>
      <w:r>
        <w:rPr>
          <w:color w:val="231F20"/>
          <w:spacing w:val="-15"/>
        </w:rPr>
        <w:t> </w:t>
      </w:r>
      <w:r>
        <w:rPr>
          <w:color w:val="231F20"/>
          <w:spacing w:val="-2"/>
        </w:rPr>
        <w:t>mesures </w:t>
      </w:r>
      <w:r>
        <w:rPr>
          <w:color w:val="231F20"/>
        </w:rPr>
        <w:t>coercitives après le grave incendie survenu dans la base de superpétroliers de Matanzas.</w:t>
      </w:r>
    </w:p>
    <w:p>
      <w:pPr>
        <w:pStyle w:val="BodyText"/>
        <w:spacing w:before="171"/>
        <w:ind w:left="412" w:right="1133"/>
      </w:pPr>
      <w:r>
        <w:rPr>
          <w:b/>
          <w:color w:val="B52628"/>
        </w:rPr>
        <w:t>10 août 2022.</w:t>
      </w:r>
      <w:r>
        <w:rPr>
          <w:b/>
          <w:color w:val="B52628"/>
          <w:spacing w:val="40"/>
        </w:rPr>
        <w:t> </w:t>
      </w:r>
      <w:r>
        <w:rPr>
          <w:color w:val="231F20"/>
        </w:rPr>
        <w:t>Gregory W. Meeks (démocrate de New York), président de</w:t>
      </w:r>
      <w:r>
        <w:rPr>
          <w:color w:val="231F20"/>
          <w:spacing w:val="80"/>
        </w:rPr>
        <w:t> </w:t>
      </w:r>
      <w:r>
        <w:rPr>
          <w:color w:val="231F20"/>
        </w:rPr>
        <w:t>la Commission des affaires étrangères de la Chambre des représentants, Barbara Lee (démocrate de Californie), présidente de la Sous-commission des allocations</w:t>
      </w:r>
      <w:r>
        <w:rPr>
          <w:color w:val="231F20"/>
          <w:spacing w:val="80"/>
        </w:rPr>
        <w:t> </w:t>
      </w:r>
      <w:r>
        <w:rPr>
          <w:color w:val="231F20"/>
        </w:rPr>
        <w:t>de la Chambre aux opérations publiques et étrangères, et James P. McGovern (démocrate</w:t>
      </w:r>
      <w:r>
        <w:rPr>
          <w:color w:val="231F20"/>
          <w:spacing w:val="-17"/>
        </w:rPr>
        <w:t> </w:t>
      </w:r>
      <w:r>
        <w:rPr>
          <w:color w:val="231F20"/>
        </w:rPr>
        <w:t>du</w:t>
      </w:r>
      <w:r>
        <w:rPr>
          <w:color w:val="231F20"/>
          <w:spacing w:val="-16"/>
        </w:rPr>
        <w:t> </w:t>
      </w:r>
      <w:r>
        <w:rPr>
          <w:color w:val="231F20"/>
        </w:rPr>
        <w:t>Massachussetts),</w:t>
      </w:r>
      <w:r>
        <w:rPr>
          <w:color w:val="231F20"/>
          <w:spacing w:val="-17"/>
        </w:rPr>
        <w:t> </w:t>
      </w:r>
      <w:r>
        <w:rPr>
          <w:color w:val="231F20"/>
        </w:rPr>
        <w:t>président </w:t>
      </w:r>
      <w:r>
        <w:rPr>
          <w:color w:val="231F20"/>
          <w:spacing w:val="-4"/>
        </w:rPr>
        <w:t>de</w:t>
      </w:r>
      <w:r>
        <w:rPr>
          <w:color w:val="231F20"/>
          <w:spacing w:val="-34"/>
        </w:rPr>
        <w:t> </w:t>
      </w:r>
      <w:r>
        <w:rPr>
          <w:color w:val="231F20"/>
          <w:spacing w:val="-4"/>
        </w:rPr>
        <w:t>la</w:t>
      </w:r>
      <w:r>
        <w:rPr>
          <w:color w:val="231F20"/>
          <w:spacing w:val="-34"/>
        </w:rPr>
        <w:t> </w:t>
      </w:r>
      <w:r>
        <w:rPr>
          <w:color w:val="231F20"/>
          <w:spacing w:val="-4"/>
        </w:rPr>
        <w:t>Commission</w:t>
      </w:r>
      <w:r>
        <w:rPr>
          <w:color w:val="231F20"/>
          <w:spacing w:val="-34"/>
        </w:rPr>
        <w:t> </w:t>
      </w:r>
      <w:r>
        <w:rPr>
          <w:color w:val="231F20"/>
          <w:spacing w:val="-4"/>
        </w:rPr>
        <w:t>des</w:t>
      </w:r>
      <w:r>
        <w:rPr>
          <w:color w:val="231F20"/>
          <w:spacing w:val="-34"/>
        </w:rPr>
        <w:t> </w:t>
      </w:r>
      <w:r>
        <w:rPr>
          <w:color w:val="231F20"/>
          <w:spacing w:val="-4"/>
        </w:rPr>
        <w:t>Règlements,</w:t>
      </w:r>
      <w:r>
        <w:rPr>
          <w:color w:val="231F20"/>
          <w:spacing w:val="-33"/>
        </w:rPr>
        <w:t> </w:t>
      </w:r>
      <w:r>
        <w:rPr>
          <w:color w:val="231F20"/>
          <w:spacing w:val="-4"/>
        </w:rPr>
        <w:t>émettent</w:t>
      </w:r>
    </w:p>
    <w:p>
      <w:pPr>
        <w:spacing w:after="0"/>
        <w:sectPr>
          <w:pgSz w:w="11910" w:h="16840"/>
          <w:pgMar w:header="0" w:footer="695" w:top="1260" w:bottom="880" w:left="0" w:right="0"/>
          <w:cols w:num="2" w:equalWidth="0">
            <w:col w:w="5898" w:space="40"/>
            <w:col w:w="5972"/>
          </w:cols>
        </w:sectPr>
      </w:pPr>
    </w:p>
    <w:p>
      <w:pPr>
        <w:pStyle w:val="BodyText"/>
        <w:spacing w:before="77"/>
        <w:ind w:left="1133"/>
      </w:pPr>
      <w:r>
        <w:rPr>
          <w:color w:val="231F20"/>
        </w:rPr>
        <w:t>un communiqué conjoint dans lequel ils demandent au président Biden d’envoyer une aide à Cuba après le grave incendie survenu dans la base de superpétroliers de</w:t>
      </w:r>
      <w:r>
        <w:rPr>
          <w:color w:val="231F20"/>
          <w:spacing w:val="-3"/>
        </w:rPr>
        <w:t> </w:t>
      </w:r>
      <w:r>
        <w:rPr>
          <w:color w:val="231F20"/>
        </w:rPr>
        <w:t>Matanzas</w:t>
      </w:r>
      <w:r>
        <w:rPr>
          <w:color w:val="231F20"/>
          <w:spacing w:val="-3"/>
        </w:rPr>
        <w:t> </w:t>
      </w:r>
      <w:r>
        <w:rPr>
          <w:color w:val="231F20"/>
        </w:rPr>
        <w:t>et</w:t>
      </w:r>
      <w:r>
        <w:rPr>
          <w:color w:val="231F20"/>
          <w:spacing w:val="-3"/>
        </w:rPr>
        <w:t> </w:t>
      </w:r>
      <w:r>
        <w:rPr>
          <w:color w:val="231F20"/>
        </w:rPr>
        <w:t>de</w:t>
      </w:r>
      <w:r>
        <w:rPr>
          <w:color w:val="231F20"/>
          <w:spacing w:val="-3"/>
        </w:rPr>
        <w:t> </w:t>
      </w:r>
      <w:r>
        <w:rPr>
          <w:color w:val="231F20"/>
        </w:rPr>
        <w:t>suspendre</w:t>
      </w:r>
      <w:r>
        <w:rPr>
          <w:color w:val="231F20"/>
          <w:spacing w:val="-3"/>
        </w:rPr>
        <w:t> </w:t>
      </w:r>
      <w:r>
        <w:rPr>
          <w:color w:val="231F20"/>
        </w:rPr>
        <w:t>les</w:t>
      </w:r>
      <w:r>
        <w:rPr>
          <w:color w:val="231F20"/>
          <w:spacing w:val="-3"/>
        </w:rPr>
        <w:t> </w:t>
      </w:r>
      <w:r>
        <w:rPr>
          <w:color w:val="231F20"/>
        </w:rPr>
        <w:t>mesures </w:t>
      </w:r>
      <w:r>
        <w:rPr>
          <w:color w:val="231F20"/>
          <w:spacing w:val="-2"/>
        </w:rPr>
        <w:t>coercitives.</w:t>
      </w:r>
    </w:p>
    <w:p>
      <w:pPr>
        <w:pStyle w:val="BodyText"/>
        <w:spacing w:before="164"/>
        <w:ind w:left="1133" w:right="3"/>
      </w:pPr>
      <w:r>
        <w:rPr>
          <w:b/>
          <w:color w:val="B52628"/>
        </w:rPr>
        <w:t>11 août 2022. </w:t>
      </w:r>
      <w:r>
        <w:rPr>
          <w:color w:val="231F20"/>
        </w:rPr>
        <w:t>Charles Barron, conseiller municipal</w:t>
      </w:r>
      <w:r>
        <w:rPr>
          <w:color w:val="231F20"/>
          <w:spacing w:val="-5"/>
        </w:rPr>
        <w:t> </w:t>
      </w:r>
      <w:r>
        <w:rPr>
          <w:color w:val="231F20"/>
        </w:rPr>
        <w:t>du</w:t>
      </w:r>
      <w:r>
        <w:rPr>
          <w:color w:val="231F20"/>
          <w:spacing w:val="-5"/>
        </w:rPr>
        <w:t> </w:t>
      </w:r>
      <w:r>
        <w:rPr>
          <w:color w:val="231F20"/>
        </w:rPr>
        <w:t>42e</w:t>
      </w:r>
      <w:r>
        <w:rPr>
          <w:color w:val="231F20"/>
          <w:spacing w:val="-5"/>
        </w:rPr>
        <w:t> </w:t>
      </w:r>
      <w:r>
        <w:rPr>
          <w:color w:val="231F20"/>
        </w:rPr>
        <w:t>arrondissement</w:t>
      </w:r>
      <w:r>
        <w:rPr>
          <w:color w:val="231F20"/>
          <w:spacing w:val="-5"/>
        </w:rPr>
        <w:t> </w:t>
      </w:r>
      <w:r>
        <w:rPr>
          <w:color w:val="231F20"/>
        </w:rPr>
        <w:t>de</w:t>
      </w:r>
      <w:r>
        <w:rPr>
          <w:color w:val="231F20"/>
          <w:spacing w:val="-5"/>
        </w:rPr>
        <w:t> </w:t>
      </w:r>
      <w:r>
        <w:rPr>
          <w:color w:val="231F20"/>
        </w:rPr>
        <w:t>New </w:t>
      </w:r>
      <w:r>
        <w:rPr>
          <w:color w:val="231F20"/>
          <w:spacing w:val="-8"/>
        </w:rPr>
        <w:t>York,</w:t>
      </w:r>
      <w:r>
        <w:rPr>
          <w:color w:val="231F20"/>
          <w:spacing w:val="-9"/>
        </w:rPr>
        <w:t> </w:t>
      </w:r>
      <w:r>
        <w:rPr>
          <w:color w:val="231F20"/>
          <w:spacing w:val="-8"/>
        </w:rPr>
        <w:t>présente à</w:t>
      </w:r>
      <w:r>
        <w:rPr>
          <w:color w:val="231F20"/>
          <w:spacing w:val="-9"/>
        </w:rPr>
        <w:t> </w:t>
      </w:r>
      <w:r>
        <w:rPr>
          <w:color w:val="231F20"/>
          <w:spacing w:val="-8"/>
        </w:rPr>
        <w:t>ses collègues</w:t>
      </w:r>
      <w:r>
        <w:rPr>
          <w:color w:val="231F20"/>
          <w:spacing w:val="-9"/>
        </w:rPr>
        <w:t> </w:t>
      </w:r>
      <w:r>
        <w:rPr>
          <w:color w:val="231F20"/>
          <w:spacing w:val="-8"/>
        </w:rPr>
        <w:t>une résolution </w:t>
      </w:r>
      <w:r>
        <w:rPr>
          <w:color w:val="231F20"/>
        </w:rPr>
        <w:t>exigeant</w:t>
      </w:r>
      <w:r>
        <w:rPr>
          <w:color w:val="231F20"/>
          <w:spacing w:val="-3"/>
        </w:rPr>
        <w:t> </w:t>
      </w:r>
      <w:r>
        <w:rPr>
          <w:color w:val="231F20"/>
        </w:rPr>
        <w:t>la</w:t>
      </w:r>
      <w:r>
        <w:rPr>
          <w:color w:val="231F20"/>
          <w:spacing w:val="-3"/>
        </w:rPr>
        <w:t> </w:t>
      </w:r>
      <w:r>
        <w:rPr>
          <w:color w:val="231F20"/>
        </w:rPr>
        <w:t>levée</w:t>
      </w:r>
      <w:r>
        <w:rPr>
          <w:color w:val="231F20"/>
          <w:spacing w:val="-3"/>
        </w:rPr>
        <w:t> </w:t>
      </w:r>
      <w:r>
        <w:rPr>
          <w:color w:val="231F20"/>
        </w:rPr>
        <w:t>de</w:t>
      </w:r>
      <w:r>
        <w:rPr>
          <w:color w:val="231F20"/>
          <w:spacing w:val="-3"/>
        </w:rPr>
        <w:t> </w:t>
      </w:r>
      <w:r>
        <w:rPr>
          <w:color w:val="231F20"/>
        </w:rPr>
        <w:t>blocus</w:t>
      </w:r>
      <w:r>
        <w:rPr>
          <w:color w:val="231F20"/>
          <w:spacing w:val="-3"/>
        </w:rPr>
        <w:t> </w:t>
      </w:r>
      <w:r>
        <w:rPr>
          <w:color w:val="231F20"/>
        </w:rPr>
        <w:t>à</w:t>
      </w:r>
      <w:r>
        <w:rPr>
          <w:color w:val="231F20"/>
          <w:spacing w:val="-3"/>
        </w:rPr>
        <w:t> </w:t>
      </w:r>
      <w:r>
        <w:rPr>
          <w:color w:val="231F20"/>
        </w:rPr>
        <w:t>Cuba.</w:t>
      </w:r>
    </w:p>
    <w:p>
      <w:pPr>
        <w:pStyle w:val="BodyText"/>
        <w:spacing w:before="164"/>
        <w:ind w:left="1133"/>
      </w:pPr>
      <w:r>
        <w:rPr>
          <w:b/>
          <w:color w:val="B52628"/>
        </w:rPr>
        <w:t>27 août 2022. </w:t>
      </w:r>
      <w:r>
        <w:rPr>
          <w:color w:val="231F20"/>
        </w:rPr>
        <w:t>Des amis de Cuba se réunissent dans l’église de la </w:t>
      </w:r>
      <w:r>
        <w:rPr>
          <w:color w:val="231F20"/>
        </w:rPr>
        <w:t>révérende </w:t>
      </w:r>
      <w:r>
        <w:rPr>
          <w:color w:val="231F20"/>
          <w:spacing w:val="-2"/>
        </w:rPr>
        <w:t>Dorlimar</w:t>
      </w:r>
      <w:r>
        <w:rPr>
          <w:color w:val="231F20"/>
          <w:spacing w:val="-15"/>
        </w:rPr>
        <w:t> </w:t>
      </w:r>
      <w:r>
        <w:rPr>
          <w:color w:val="231F20"/>
          <w:spacing w:val="-2"/>
        </w:rPr>
        <w:t>Lebron,</w:t>
      </w:r>
      <w:r>
        <w:rPr>
          <w:color w:val="231F20"/>
          <w:spacing w:val="-14"/>
        </w:rPr>
        <w:t> </w:t>
      </w:r>
      <w:r>
        <w:rPr>
          <w:color w:val="231F20"/>
          <w:spacing w:val="-2"/>
        </w:rPr>
        <w:t>à</w:t>
      </w:r>
      <w:r>
        <w:rPr>
          <w:color w:val="231F20"/>
          <w:spacing w:val="-15"/>
        </w:rPr>
        <w:t> </w:t>
      </w:r>
      <w:r>
        <w:rPr>
          <w:color w:val="231F20"/>
          <w:spacing w:val="-2"/>
        </w:rPr>
        <w:t>New</w:t>
      </w:r>
      <w:r>
        <w:rPr>
          <w:color w:val="231F20"/>
          <w:spacing w:val="-14"/>
        </w:rPr>
        <w:t> </w:t>
      </w:r>
      <w:r>
        <w:rPr>
          <w:color w:val="231F20"/>
          <w:spacing w:val="-2"/>
        </w:rPr>
        <w:t>York,</w:t>
      </w:r>
      <w:r>
        <w:rPr>
          <w:color w:val="231F20"/>
          <w:spacing w:val="-15"/>
        </w:rPr>
        <w:t> </w:t>
      </w:r>
      <w:r>
        <w:rPr>
          <w:color w:val="231F20"/>
          <w:spacing w:val="-2"/>
        </w:rPr>
        <w:t>par</w:t>
      </w:r>
      <w:r>
        <w:rPr>
          <w:color w:val="231F20"/>
          <w:spacing w:val="-14"/>
        </w:rPr>
        <w:t> </w:t>
      </w:r>
      <w:r>
        <w:rPr>
          <w:color w:val="231F20"/>
          <w:spacing w:val="-2"/>
        </w:rPr>
        <w:t>solidarité </w:t>
      </w:r>
      <w:r>
        <w:rPr>
          <w:color w:val="231F20"/>
        </w:rPr>
        <w:t>avec les familles cubaines qui réclament dans le monde entier la levée du blocus.</w:t>
      </w:r>
    </w:p>
    <w:p>
      <w:pPr>
        <w:pStyle w:val="BodyText"/>
        <w:spacing w:before="163"/>
        <w:ind w:left="1133"/>
      </w:pPr>
      <w:r>
        <w:rPr>
          <w:b/>
          <w:color w:val="B52628"/>
        </w:rPr>
        <w:t>2 septembre 2022. </w:t>
      </w:r>
      <w:r>
        <w:rPr>
          <w:color w:val="231F20"/>
        </w:rPr>
        <w:t>Le Centro para la Democracia en las Américas (CDA) publie </w:t>
      </w:r>
      <w:r>
        <w:rPr>
          <w:color w:val="231F20"/>
          <w:spacing w:val="-8"/>
        </w:rPr>
        <w:t>des messages sur la plateforme Twitter, dont </w:t>
      </w:r>
      <w:r>
        <w:rPr>
          <w:color w:val="231F20"/>
        </w:rPr>
        <w:t>l’un insiste sur le fait que l’administration Biden</w:t>
      </w:r>
      <w:r>
        <w:rPr>
          <w:color w:val="231F20"/>
          <w:spacing w:val="-1"/>
        </w:rPr>
        <w:t> </w:t>
      </w:r>
      <w:r>
        <w:rPr>
          <w:color w:val="231F20"/>
        </w:rPr>
        <w:t>doit « lever toutes</w:t>
      </w:r>
      <w:r>
        <w:rPr>
          <w:color w:val="231F20"/>
          <w:spacing w:val="-1"/>
        </w:rPr>
        <w:t> </w:t>
      </w:r>
      <w:r>
        <w:rPr>
          <w:color w:val="231F20"/>
        </w:rPr>
        <w:t>les</w:t>
      </w:r>
      <w:r>
        <w:rPr>
          <w:color w:val="231F20"/>
          <w:spacing w:val="-1"/>
        </w:rPr>
        <w:t> </w:t>
      </w:r>
      <w:r>
        <w:rPr>
          <w:color w:val="231F20"/>
        </w:rPr>
        <w:t>sanctions</w:t>
      </w:r>
      <w:r>
        <w:rPr>
          <w:color w:val="231F20"/>
          <w:spacing w:val="-1"/>
        </w:rPr>
        <w:t> </w:t>
      </w:r>
      <w:r>
        <w:rPr>
          <w:color w:val="231F20"/>
        </w:rPr>
        <w:t>qui portent</w:t>
      </w:r>
      <w:r>
        <w:rPr>
          <w:color w:val="231F20"/>
          <w:spacing w:val="-4"/>
        </w:rPr>
        <w:t> </w:t>
      </w:r>
      <w:r>
        <w:rPr>
          <w:color w:val="231F20"/>
        </w:rPr>
        <w:t>préjudice</w:t>
      </w:r>
      <w:r>
        <w:rPr>
          <w:color w:val="231F20"/>
          <w:spacing w:val="-4"/>
        </w:rPr>
        <w:t> </w:t>
      </w:r>
      <w:r>
        <w:rPr>
          <w:color w:val="231F20"/>
        </w:rPr>
        <w:t>aux</w:t>
      </w:r>
      <w:r>
        <w:rPr>
          <w:color w:val="231F20"/>
          <w:spacing w:val="-4"/>
        </w:rPr>
        <w:t> </w:t>
      </w:r>
      <w:r>
        <w:rPr>
          <w:color w:val="231F20"/>
        </w:rPr>
        <w:t>Cubains</w:t>
      </w:r>
      <w:r>
        <w:rPr>
          <w:color w:val="231F20"/>
          <w:spacing w:val="-4"/>
        </w:rPr>
        <w:t> </w:t>
      </w:r>
      <w:r>
        <w:rPr>
          <w:color w:val="231F20"/>
        </w:rPr>
        <w:t>»</w:t>
      </w:r>
      <w:r>
        <w:rPr>
          <w:color w:val="231F20"/>
          <w:spacing w:val="-4"/>
        </w:rPr>
        <w:t> </w:t>
      </w:r>
      <w:r>
        <w:rPr>
          <w:color w:val="231F20"/>
        </w:rPr>
        <w:t>et</w:t>
      </w:r>
      <w:r>
        <w:rPr>
          <w:color w:val="231F20"/>
          <w:spacing w:val="-4"/>
        </w:rPr>
        <w:t> </w:t>
      </w:r>
      <w:r>
        <w:rPr>
          <w:color w:val="231F20"/>
        </w:rPr>
        <w:t>mettre en place des mesures bénéfiques.</w:t>
      </w:r>
    </w:p>
    <w:p>
      <w:pPr>
        <w:pStyle w:val="BodyText"/>
        <w:spacing w:before="166"/>
        <w:ind w:left="1133" w:right="4"/>
      </w:pPr>
      <w:r>
        <w:rPr>
          <w:b/>
          <w:color w:val="B52628"/>
          <w:spacing w:val="-10"/>
        </w:rPr>
        <w:t>20</w:t>
      </w:r>
      <w:r>
        <w:rPr>
          <w:b/>
          <w:color w:val="B52628"/>
          <w:spacing w:val="-2"/>
        </w:rPr>
        <w:t> </w:t>
      </w:r>
      <w:r>
        <w:rPr>
          <w:b/>
          <w:color w:val="B52628"/>
          <w:spacing w:val="-10"/>
        </w:rPr>
        <w:t>septembre</w:t>
      </w:r>
      <w:r>
        <w:rPr>
          <w:b/>
          <w:color w:val="B52628"/>
          <w:spacing w:val="-2"/>
        </w:rPr>
        <w:t> </w:t>
      </w:r>
      <w:r>
        <w:rPr>
          <w:b/>
          <w:color w:val="B52628"/>
          <w:spacing w:val="-10"/>
        </w:rPr>
        <w:t>2022.</w:t>
      </w:r>
      <w:r>
        <w:rPr>
          <w:b/>
          <w:color w:val="B52628"/>
          <w:spacing w:val="-2"/>
        </w:rPr>
        <w:t> </w:t>
      </w:r>
      <w:r>
        <w:rPr>
          <w:color w:val="231F20"/>
          <w:spacing w:val="-10"/>
        </w:rPr>
        <w:t>Le</w:t>
      </w:r>
      <w:r>
        <w:rPr>
          <w:color w:val="231F20"/>
          <w:spacing w:val="-3"/>
        </w:rPr>
        <w:t> </w:t>
      </w:r>
      <w:r>
        <w:rPr>
          <w:color w:val="231F20"/>
          <w:spacing w:val="-10"/>
        </w:rPr>
        <w:t>conseil</w:t>
      </w:r>
      <w:r>
        <w:rPr>
          <w:color w:val="231F20"/>
          <w:spacing w:val="-3"/>
        </w:rPr>
        <w:t> </w:t>
      </w:r>
      <w:r>
        <w:rPr>
          <w:color w:val="231F20"/>
          <w:spacing w:val="-10"/>
        </w:rPr>
        <w:t>municipal</w:t>
      </w:r>
      <w:r>
        <w:rPr>
          <w:color w:val="231F20"/>
          <w:spacing w:val="-3"/>
        </w:rPr>
        <w:t> </w:t>
      </w:r>
      <w:r>
        <w:rPr>
          <w:color w:val="231F20"/>
          <w:spacing w:val="-10"/>
        </w:rPr>
        <w:t>de </w:t>
      </w:r>
      <w:r>
        <w:rPr>
          <w:color w:val="231F20"/>
        </w:rPr>
        <w:t>Willimantic/Windham</w:t>
      </w:r>
      <w:r>
        <w:rPr>
          <w:color w:val="231F20"/>
          <w:spacing w:val="-9"/>
        </w:rPr>
        <w:t> </w:t>
      </w:r>
      <w:r>
        <w:rPr>
          <w:color w:val="231F20"/>
        </w:rPr>
        <w:t>vote</w:t>
      </w:r>
      <w:r>
        <w:rPr>
          <w:color w:val="231F20"/>
          <w:spacing w:val="-9"/>
        </w:rPr>
        <w:t> </w:t>
      </w:r>
      <w:r>
        <w:rPr>
          <w:color w:val="231F20"/>
        </w:rPr>
        <w:t>une</w:t>
      </w:r>
      <w:r>
        <w:rPr>
          <w:color w:val="231F20"/>
          <w:spacing w:val="-9"/>
        </w:rPr>
        <w:t> </w:t>
      </w:r>
      <w:r>
        <w:rPr>
          <w:color w:val="231F20"/>
        </w:rPr>
        <w:t>résolution </w:t>
      </w:r>
      <w:r>
        <w:rPr>
          <w:color w:val="231F20"/>
          <w:spacing w:val="-4"/>
        </w:rPr>
        <w:t>demandant</w:t>
      </w:r>
      <w:r>
        <w:rPr>
          <w:color w:val="231F20"/>
          <w:spacing w:val="-10"/>
        </w:rPr>
        <w:t> </w:t>
      </w:r>
      <w:r>
        <w:rPr>
          <w:color w:val="231F20"/>
          <w:spacing w:val="-4"/>
        </w:rPr>
        <w:t>la</w:t>
      </w:r>
      <w:r>
        <w:rPr>
          <w:color w:val="231F20"/>
          <w:spacing w:val="-10"/>
        </w:rPr>
        <w:t> </w:t>
      </w:r>
      <w:r>
        <w:rPr>
          <w:color w:val="231F20"/>
          <w:spacing w:val="-4"/>
        </w:rPr>
        <w:t>levée</w:t>
      </w:r>
      <w:r>
        <w:rPr>
          <w:color w:val="231F20"/>
          <w:spacing w:val="-10"/>
        </w:rPr>
        <w:t> </w:t>
      </w:r>
      <w:r>
        <w:rPr>
          <w:color w:val="231F20"/>
          <w:spacing w:val="-4"/>
        </w:rPr>
        <w:t>du</w:t>
      </w:r>
      <w:r>
        <w:rPr>
          <w:color w:val="231F20"/>
          <w:spacing w:val="-10"/>
        </w:rPr>
        <w:t> </w:t>
      </w:r>
      <w:r>
        <w:rPr>
          <w:color w:val="231F20"/>
          <w:spacing w:val="-4"/>
        </w:rPr>
        <w:t>blocus</w:t>
      </w:r>
      <w:r>
        <w:rPr>
          <w:color w:val="231F20"/>
          <w:spacing w:val="-10"/>
        </w:rPr>
        <w:t> </w:t>
      </w:r>
      <w:r>
        <w:rPr>
          <w:color w:val="231F20"/>
          <w:spacing w:val="-4"/>
        </w:rPr>
        <w:t>contre</w:t>
      </w:r>
      <w:r>
        <w:rPr>
          <w:color w:val="231F20"/>
          <w:spacing w:val="-10"/>
        </w:rPr>
        <w:t> </w:t>
      </w:r>
      <w:r>
        <w:rPr>
          <w:color w:val="231F20"/>
          <w:spacing w:val="-4"/>
        </w:rPr>
        <w:t>Cuba.</w:t>
      </w:r>
    </w:p>
    <w:p>
      <w:pPr>
        <w:pStyle w:val="BodyText"/>
        <w:spacing w:before="162"/>
        <w:ind w:left="1133" w:right="5"/>
      </w:pPr>
      <w:r>
        <w:rPr>
          <w:b/>
          <w:color w:val="B52628"/>
        </w:rPr>
        <w:t>22</w:t>
      </w:r>
      <w:r>
        <w:rPr>
          <w:b/>
          <w:color w:val="B52628"/>
          <w:spacing w:val="-9"/>
        </w:rPr>
        <w:t> </w:t>
      </w:r>
      <w:r>
        <w:rPr>
          <w:b/>
          <w:color w:val="B52628"/>
        </w:rPr>
        <w:t>septembre</w:t>
      </w:r>
      <w:r>
        <w:rPr>
          <w:b/>
          <w:color w:val="B52628"/>
          <w:spacing w:val="-9"/>
        </w:rPr>
        <w:t> </w:t>
      </w:r>
      <w:r>
        <w:rPr>
          <w:b/>
          <w:color w:val="B52628"/>
        </w:rPr>
        <w:t>2022.</w:t>
      </w:r>
      <w:r>
        <w:rPr>
          <w:b/>
          <w:color w:val="B52628"/>
          <w:spacing w:val="-9"/>
        </w:rPr>
        <w:t> </w:t>
      </w:r>
      <w:r>
        <w:rPr>
          <w:color w:val="231F20"/>
        </w:rPr>
        <w:t>Le</w:t>
      </w:r>
      <w:r>
        <w:rPr>
          <w:color w:val="231F20"/>
          <w:spacing w:val="-9"/>
        </w:rPr>
        <w:t> </w:t>
      </w:r>
      <w:r>
        <w:rPr>
          <w:color w:val="231F20"/>
        </w:rPr>
        <w:t>conseil</w:t>
      </w:r>
      <w:r>
        <w:rPr>
          <w:color w:val="231F20"/>
          <w:spacing w:val="-9"/>
        </w:rPr>
        <w:t> </w:t>
      </w:r>
      <w:r>
        <w:rPr>
          <w:color w:val="231F20"/>
        </w:rPr>
        <w:t>municipal de Somerville (Massachusetts) vote une </w:t>
      </w:r>
      <w:r>
        <w:rPr>
          <w:color w:val="231F20"/>
          <w:spacing w:val="-12"/>
        </w:rPr>
        <w:t>résolution</w:t>
      </w:r>
      <w:r>
        <w:rPr>
          <w:color w:val="231F20"/>
        </w:rPr>
        <w:t> </w:t>
      </w:r>
      <w:r>
        <w:rPr>
          <w:color w:val="231F20"/>
          <w:spacing w:val="-12"/>
        </w:rPr>
        <w:t>exigeant</w:t>
      </w:r>
      <w:r>
        <w:rPr>
          <w:color w:val="231F20"/>
        </w:rPr>
        <w:t> </w:t>
      </w:r>
      <w:r>
        <w:rPr>
          <w:color w:val="231F20"/>
          <w:spacing w:val="-12"/>
        </w:rPr>
        <w:t>que</w:t>
      </w:r>
      <w:r>
        <w:rPr>
          <w:color w:val="231F20"/>
        </w:rPr>
        <w:t> </w:t>
      </w:r>
      <w:r>
        <w:rPr>
          <w:color w:val="231F20"/>
          <w:spacing w:val="-12"/>
        </w:rPr>
        <w:t>l’administration</w:t>
      </w:r>
      <w:r>
        <w:rPr>
          <w:color w:val="231F20"/>
        </w:rPr>
        <w:t> </w:t>
      </w:r>
      <w:r>
        <w:rPr>
          <w:color w:val="231F20"/>
          <w:spacing w:val="-12"/>
        </w:rPr>
        <w:t>Biden </w:t>
      </w:r>
      <w:r>
        <w:rPr>
          <w:color w:val="231F20"/>
        </w:rPr>
        <w:t>radie</w:t>
      </w:r>
      <w:r>
        <w:rPr>
          <w:color w:val="231F20"/>
          <w:spacing w:val="-17"/>
        </w:rPr>
        <w:t> </w:t>
      </w:r>
      <w:r>
        <w:rPr>
          <w:color w:val="231F20"/>
        </w:rPr>
        <w:t>Cuba</w:t>
      </w:r>
      <w:r>
        <w:rPr>
          <w:color w:val="231F20"/>
          <w:spacing w:val="-15"/>
        </w:rPr>
        <w:t> </w:t>
      </w:r>
      <w:r>
        <w:rPr>
          <w:color w:val="231F20"/>
        </w:rPr>
        <w:t>de</w:t>
      </w:r>
      <w:r>
        <w:rPr>
          <w:color w:val="231F20"/>
          <w:spacing w:val="-17"/>
        </w:rPr>
        <w:t> </w:t>
      </w:r>
      <w:r>
        <w:rPr>
          <w:color w:val="231F20"/>
        </w:rPr>
        <w:t>la</w:t>
      </w:r>
      <w:r>
        <w:rPr>
          <w:color w:val="231F20"/>
          <w:spacing w:val="-15"/>
        </w:rPr>
        <w:t> </w:t>
      </w:r>
      <w:r>
        <w:rPr>
          <w:color w:val="231F20"/>
        </w:rPr>
        <w:t>Liste</w:t>
      </w:r>
      <w:r>
        <w:rPr>
          <w:color w:val="231F20"/>
          <w:spacing w:val="-17"/>
        </w:rPr>
        <w:t> </w:t>
      </w:r>
      <w:r>
        <w:rPr>
          <w:color w:val="231F20"/>
        </w:rPr>
        <w:t>des</w:t>
      </w:r>
      <w:r>
        <w:rPr>
          <w:color w:val="231F20"/>
          <w:spacing w:val="-16"/>
        </w:rPr>
        <w:t> </w:t>
      </w:r>
      <w:r>
        <w:rPr>
          <w:color w:val="231F20"/>
        </w:rPr>
        <w:t>États</w:t>
      </w:r>
      <w:r>
        <w:rPr>
          <w:color w:val="231F20"/>
          <w:spacing w:val="-16"/>
        </w:rPr>
        <w:t> </w:t>
      </w:r>
      <w:r>
        <w:rPr>
          <w:color w:val="231F20"/>
        </w:rPr>
        <w:t>censément </w:t>
      </w:r>
      <w:r>
        <w:rPr>
          <w:color w:val="231F20"/>
          <w:spacing w:val="-4"/>
        </w:rPr>
        <w:t>commanditaires</w:t>
      </w:r>
      <w:r>
        <w:rPr>
          <w:color w:val="231F20"/>
          <w:spacing w:val="-13"/>
        </w:rPr>
        <w:t> </w:t>
      </w:r>
      <w:r>
        <w:rPr>
          <w:color w:val="231F20"/>
          <w:spacing w:val="-4"/>
        </w:rPr>
        <w:t>de</w:t>
      </w:r>
      <w:r>
        <w:rPr>
          <w:color w:val="231F20"/>
          <w:spacing w:val="-12"/>
        </w:rPr>
        <w:t> </w:t>
      </w:r>
      <w:r>
        <w:rPr>
          <w:color w:val="231F20"/>
          <w:spacing w:val="-4"/>
        </w:rPr>
        <w:t>terrorisme</w:t>
      </w:r>
      <w:r>
        <w:rPr>
          <w:color w:val="231F20"/>
          <w:spacing w:val="-13"/>
        </w:rPr>
        <w:t> </w:t>
      </w:r>
      <w:r>
        <w:rPr>
          <w:color w:val="231F20"/>
          <w:spacing w:val="-4"/>
        </w:rPr>
        <w:t>international </w:t>
      </w:r>
      <w:r>
        <w:rPr>
          <w:color w:val="231F20"/>
          <w:spacing w:val="-8"/>
        </w:rPr>
        <w:t>et</w:t>
      </w:r>
      <w:r>
        <w:rPr>
          <w:color w:val="231F20"/>
          <w:spacing w:val="-21"/>
        </w:rPr>
        <w:t> </w:t>
      </w:r>
      <w:r>
        <w:rPr>
          <w:color w:val="231F20"/>
          <w:spacing w:val="-8"/>
        </w:rPr>
        <w:t>annule</w:t>
      </w:r>
      <w:r>
        <w:rPr>
          <w:color w:val="231F20"/>
          <w:spacing w:val="-19"/>
        </w:rPr>
        <w:t> </w:t>
      </w:r>
      <w:r>
        <w:rPr>
          <w:color w:val="231F20"/>
          <w:spacing w:val="-8"/>
        </w:rPr>
        <w:t>les</w:t>
      </w:r>
      <w:r>
        <w:rPr>
          <w:color w:val="231F20"/>
          <w:spacing w:val="-19"/>
        </w:rPr>
        <w:t> </w:t>
      </w:r>
      <w:r>
        <w:rPr>
          <w:color w:val="231F20"/>
          <w:spacing w:val="-8"/>
        </w:rPr>
        <w:t>mesures</w:t>
      </w:r>
      <w:r>
        <w:rPr>
          <w:color w:val="231F20"/>
          <w:spacing w:val="-19"/>
        </w:rPr>
        <w:t> </w:t>
      </w:r>
      <w:r>
        <w:rPr>
          <w:color w:val="231F20"/>
          <w:spacing w:val="-8"/>
        </w:rPr>
        <w:t>coercitives</w:t>
      </w:r>
      <w:r>
        <w:rPr>
          <w:color w:val="231F20"/>
          <w:spacing w:val="-19"/>
        </w:rPr>
        <w:t> </w:t>
      </w:r>
      <w:r>
        <w:rPr>
          <w:color w:val="231F20"/>
          <w:spacing w:val="-8"/>
        </w:rPr>
        <w:t>qui</w:t>
      </w:r>
      <w:r>
        <w:rPr>
          <w:color w:val="231F20"/>
          <w:spacing w:val="-19"/>
        </w:rPr>
        <w:t> </w:t>
      </w:r>
      <w:r>
        <w:rPr>
          <w:color w:val="231F20"/>
          <w:spacing w:val="-8"/>
        </w:rPr>
        <w:t>la</w:t>
      </w:r>
      <w:r>
        <w:rPr>
          <w:color w:val="231F20"/>
          <w:spacing w:val="-19"/>
        </w:rPr>
        <w:t> </w:t>
      </w:r>
      <w:r>
        <w:rPr>
          <w:color w:val="231F20"/>
          <w:spacing w:val="-8"/>
        </w:rPr>
        <w:t>visent.</w:t>
      </w:r>
    </w:p>
    <w:p>
      <w:pPr>
        <w:pStyle w:val="BodyText"/>
        <w:spacing w:before="165"/>
        <w:ind w:left="1133"/>
      </w:pPr>
      <w:r>
        <w:rPr>
          <w:b/>
          <w:color w:val="B52628"/>
        </w:rPr>
        <w:t>25 septembre 2022. </w:t>
      </w:r>
      <w:r>
        <w:rPr>
          <w:color w:val="231F20"/>
        </w:rPr>
        <w:t>Des manifestants demandent la fin du blocus à New York, Chicago, Seattle, Boston et Miami, </w:t>
      </w:r>
      <w:r>
        <w:rPr>
          <w:color w:val="231F20"/>
        </w:rPr>
        <w:t>entre autres villes.</w:t>
      </w:r>
    </w:p>
    <w:p>
      <w:pPr>
        <w:pStyle w:val="BodyText"/>
        <w:spacing w:before="163"/>
        <w:ind w:left="1133"/>
      </w:pPr>
      <w:r>
        <w:rPr>
          <w:b/>
          <w:color w:val="B52628"/>
          <w:spacing w:val="-6"/>
        </w:rPr>
        <w:t>2</w:t>
      </w:r>
      <w:r>
        <w:rPr>
          <w:b/>
          <w:color w:val="B52628"/>
          <w:spacing w:val="-11"/>
        </w:rPr>
        <w:t> </w:t>
      </w:r>
      <w:r>
        <w:rPr>
          <w:b/>
          <w:color w:val="B52628"/>
          <w:spacing w:val="-6"/>
        </w:rPr>
        <w:t>octobre</w:t>
      </w:r>
      <w:r>
        <w:rPr>
          <w:b/>
          <w:color w:val="B52628"/>
          <w:spacing w:val="-11"/>
        </w:rPr>
        <w:t> </w:t>
      </w:r>
      <w:r>
        <w:rPr>
          <w:b/>
          <w:color w:val="B52628"/>
          <w:spacing w:val="-6"/>
        </w:rPr>
        <w:t>2022.</w:t>
      </w:r>
      <w:r>
        <w:rPr>
          <w:b/>
          <w:color w:val="B52628"/>
          <w:spacing w:val="-10"/>
        </w:rPr>
        <w:t> </w:t>
      </w:r>
      <w:r>
        <w:rPr>
          <w:color w:val="231F20"/>
          <w:spacing w:val="-6"/>
        </w:rPr>
        <w:t>L’organisation</w:t>
      </w:r>
      <w:r>
        <w:rPr>
          <w:color w:val="231F20"/>
          <w:spacing w:val="-11"/>
        </w:rPr>
        <w:t> </w:t>
      </w:r>
      <w:r>
        <w:rPr>
          <w:color w:val="231F20"/>
          <w:spacing w:val="-6"/>
        </w:rPr>
        <w:t>progressiste </w:t>
      </w:r>
      <w:r>
        <w:rPr>
          <w:color w:val="231F20"/>
        </w:rPr>
        <w:t>The People`s Forum appelle le président Biden</w:t>
      </w:r>
      <w:r>
        <w:rPr>
          <w:color w:val="231F20"/>
          <w:spacing w:val="-12"/>
        </w:rPr>
        <w:t> </w:t>
      </w:r>
      <w:r>
        <w:rPr>
          <w:color w:val="231F20"/>
        </w:rPr>
        <w:t>à</w:t>
      </w:r>
      <w:r>
        <w:rPr>
          <w:color w:val="231F20"/>
          <w:spacing w:val="-12"/>
        </w:rPr>
        <w:t> </w:t>
      </w:r>
      <w:r>
        <w:rPr>
          <w:color w:val="231F20"/>
        </w:rPr>
        <w:t>lever</w:t>
      </w:r>
      <w:r>
        <w:rPr>
          <w:color w:val="231F20"/>
          <w:spacing w:val="-12"/>
        </w:rPr>
        <w:t> </w:t>
      </w:r>
      <w:r>
        <w:rPr>
          <w:color w:val="231F20"/>
        </w:rPr>
        <w:t>temporairement</w:t>
      </w:r>
      <w:r>
        <w:rPr>
          <w:color w:val="231F20"/>
          <w:spacing w:val="-12"/>
        </w:rPr>
        <w:t> </w:t>
      </w:r>
      <w:r>
        <w:rPr>
          <w:color w:val="231F20"/>
        </w:rPr>
        <w:t>les</w:t>
      </w:r>
      <w:r>
        <w:rPr>
          <w:color w:val="231F20"/>
          <w:spacing w:val="-12"/>
        </w:rPr>
        <w:t> </w:t>
      </w:r>
      <w:r>
        <w:rPr>
          <w:color w:val="231F20"/>
        </w:rPr>
        <w:t>mesures coercitives contre Cuba, frappée par le cyclone</w:t>
      </w:r>
      <w:r>
        <w:rPr>
          <w:color w:val="231F20"/>
          <w:spacing w:val="-16"/>
        </w:rPr>
        <w:t> </w:t>
      </w:r>
      <w:r>
        <w:rPr>
          <w:color w:val="231F20"/>
        </w:rPr>
        <w:t>Ian,</w:t>
      </w:r>
      <w:r>
        <w:rPr>
          <w:color w:val="231F20"/>
          <w:spacing w:val="-16"/>
        </w:rPr>
        <w:t> </w:t>
      </w:r>
      <w:r>
        <w:rPr>
          <w:color w:val="231F20"/>
        </w:rPr>
        <w:t>afin</w:t>
      </w:r>
      <w:r>
        <w:rPr>
          <w:color w:val="231F20"/>
          <w:spacing w:val="-16"/>
        </w:rPr>
        <w:t> </w:t>
      </w:r>
      <w:r>
        <w:rPr>
          <w:color w:val="231F20"/>
        </w:rPr>
        <w:t>que</w:t>
      </w:r>
      <w:r>
        <w:rPr>
          <w:color w:val="231F20"/>
          <w:spacing w:val="-16"/>
        </w:rPr>
        <w:t> </w:t>
      </w:r>
      <w:r>
        <w:rPr>
          <w:color w:val="231F20"/>
        </w:rPr>
        <w:t>l’île</w:t>
      </w:r>
      <w:r>
        <w:rPr>
          <w:color w:val="231F20"/>
          <w:spacing w:val="-16"/>
        </w:rPr>
        <w:t> </w:t>
      </w:r>
      <w:r>
        <w:rPr>
          <w:color w:val="231F20"/>
        </w:rPr>
        <w:t>puisse</w:t>
      </w:r>
      <w:r>
        <w:rPr>
          <w:color w:val="231F20"/>
          <w:spacing w:val="-16"/>
        </w:rPr>
        <w:t> </w:t>
      </w:r>
      <w:r>
        <w:rPr>
          <w:color w:val="231F20"/>
        </w:rPr>
        <w:t>acheter</w:t>
      </w:r>
      <w:r>
        <w:rPr>
          <w:color w:val="231F20"/>
          <w:spacing w:val="-16"/>
        </w:rPr>
        <w:t> </w:t>
      </w:r>
      <w:r>
        <w:rPr>
          <w:color w:val="231F20"/>
          <w:spacing w:val="-5"/>
        </w:rPr>
        <w:t>les</w:t>
      </w:r>
    </w:p>
    <w:p>
      <w:pPr>
        <w:pStyle w:val="BodyText"/>
        <w:spacing w:before="77"/>
        <w:ind w:left="412" w:right="1474"/>
      </w:pPr>
      <w:r>
        <w:rPr/>
        <w:br w:type="column"/>
      </w:r>
      <w:r>
        <w:rPr>
          <w:color w:val="231F20"/>
        </w:rPr>
        <w:t>matériaux nécessaires à la reconstruction, The New York Times reflétant cette demande dans sa livraison dominicale.</w:t>
      </w:r>
    </w:p>
    <w:p>
      <w:pPr>
        <w:pStyle w:val="BodyText"/>
        <w:spacing w:before="162"/>
        <w:ind w:left="412" w:right="1475"/>
      </w:pPr>
      <w:r>
        <w:rPr>
          <w:b/>
          <w:color w:val="B52628"/>
        </w:rPr>
        <w:t>3 octobre 2022. </w:t>
      </w:r>
      <w:r>
        <w:rPr>
          <w:color w:val="231F20"/>
        </w:rPr>
        <w:t>Gregory W. </w:t>
      </w:r>
      <w:r>
        <w:rPr>
          <w:color w:val="231F20"/>
        </w:rPr>
        <w:t>Meeks (démocrate de New York), président de</w:t>
      </w:r>
      <w:r>
        <w:rPr>
          <w:color w:val="231F20"/>
          <w:spacing w:val="80"/>
        </w:rPr>
        <w:t> </w:t>
      </w:r>
      <w:r>
        <w:rPr>
          <w:color w:val="231F20"/>
        </w:rPr>
        <w:t>la Commission des affaires étrangères de la Chambre de Représentants, Barbara Lee (démocrate de Californie), président de la Sous-commission des allocations</w:t>
      </w:r>
      <w:r>
        <w:rPr>
          <w:color w:val="231F20"/>
          <w:spacing w:val="80"/>
        </w:rPr>
        <w:t> </w:t>
      </w:r>
      <w:r>
        <w:rPr>
          <w:color w:val="231F20"/>
        </w:rPr>
        <w:t>de la Chambre aux opérations publiques et étrangères, et James P. McGovern (démocrate</w:t>
      </w:r>
      <w:r>
        <w:rPr>
          <w:color w:val="231F20"/>
          <w:spacing w:val="-17"/>
        </w:rPr>
        <w:t> </w:t>
      </w:r>
      <w:r>
        <w:rPr>
          <w:color w:val="231F20"/>
        </w:rPr>
        <w:t>du</w:t>
      </w:r>
      <w:r>
        <w:rPr>
          <w:color w:val="231F20"/>
          <w:spacing w:val="-16"/>
        </w:rPr>
        <w:t> </w:t>
      </w:r>
      <w:r>
        <w:rPr>
          <w:color w:val="231F20"/>
        </w:rPr>
        <w:t>Massachussetts),</w:t>
      </w:r>
      <w:r>
        <w:rPr>
          <w:color w:val="231F20"/>
          <w:spacing w:val="-17"/>
        </w:rPr>
        <w:t> </w:t>
      </w:r>
      <w:r>
        <w:rPr>
          <w:color w:val="231F20"/>
        </w:rPr>
        <w:t>président </w:t>
      </w:r>
      <w:r>
        <w:rPr>
          <w:color w:val="231F20"/>
          <w:spacing w:val="-8"/>
        </w:rPr>
        <w:t>de la Commission des Règlements, émettent </w:t>
      </w:r>
      <w:r>
        <w:rPr>
          <w:color w:val="231F20"/>
        </w:rPr>
        <w:t>un communiqué conjoint pour exhorter</w:t>
      </w:r>
      <w:r>
        <w:rPr>
          <w:color w:val="231F20"/>
          <w:spacing w:val="40"/>
        </w:rPr>
        <w:t> </w:t>
      </w:r>
      <w:r>
        <w:rPr>
          <w:color w:val="231F20"/>
        </w:rPr>
        <w:t>le président Biden à apporter une aide humanitaire à Cuba après le passage du </w:t>
      </w:r>
      <w:r>
        <w:rPr>
          <w:color w:val="231F20"/>
          <w:spacing w:val="-2"/>
        </w:rPr>
        <w:t>cyclone</w:t>
      </w:r>
      <w:r>
        <w:rPr>
          <w:color w:val="231F20"/>
          <w:spacing w:val="-15"/>
        </w:rPr>
        <w:t> </w:t>
      </w:r>
      <w:r>
        <w:rPr>
          <w:color w:val="231F20"/>
          <w:spacing w:val="-2"/>
        </w:rPr>
        <w:t>Ian,</w:t>
      </w:r>
      <w:r>
        <w:rPr>
          <w:color w:val="231F20"/>
          <w:spacing w:val="-14"/>
        </w:rPr>
        <w:t> </w:t>
      </w:r>
      <w:r>
        <w:rPr>
          <w:color w:val="231F20"/>
          <w:spacing w:val="-2"/>
        </w:rPr>
        <w:t>de</w:t>
      </w:r>
      <w:r>
        <w:rPr>
          <w:color w:val="231F20"/>
          <w:spacing w:val="-15"/>
        </w:rPr>
        <w:t> </w:t>
      </w:r>
      <w:r>
        <w:rPr>
          <w:color w:val="231F20"/>
          <w:spacing w:val="-2"/>
        </w:rPr>
        <w:t>suspendre</w:t>
      </w:r>
      <w:r>
        <w:rPr>
          <w:color w:val="231F20"/>
          <w:spacing w:val="-14"/>
        </w:rPr>
        <w:t> </w:t>
      </w:r>
      <w:r>
        <w:rPr>
          <w:color w:val="231F20"/>
          <w:spacing w:val="-2"/>
        </w:rPr>
        <w:t>n’importe</w:t>
      </w:r>
      <w:r>
        <w:rPr>
          <w:color w:val="231F20"/>
          <w:spacing w:val="-15"/>
        </w:rPr>
        <w:t> </w:t>
      </w:r>
      <w:r>
        <w:rPr>
          <w:color w:val="231F20"/>
          <w:spacing w:val="-2"/>
        </w:rPr>
        <w:t>quelle </w:t>
      </w:r>
      <w:r>
        <w:rPr>
          <w:color w:val="231F20"/>
        </w:rPr>
        <w:t>sanction</w:t>
      </w:r>
      <w:r>
        <w:rPr>
          <w:color w:val="231F20"/>
          <w:spacing w:val="40"/>
        </w:rPr>
        <w:t> </w:t>
      </w:r>
      <w:r>
        <w:rPr>
          <w:color w:val="231F20"/>
        </w:rPr>
        <w:t>ou mesure correspondante afin </w:t>
      </w:r>
      <w:r>
        <w:rPr>
          <w:color w:val="231F20"/>
          <w:spacing w:val="-6"/>
        </w:rPr>
        <w:t>d’accélérer</w:t>
      </w:r>
      <w:r>
        <w:rPr>
          <w:color w:val="231F20"/>
          <w:spacing w:val="-10"/>
        </w:rPr>
        <w:t> </w:t>
      </w:r>
      <w:r>
        <w:rPr>
          <w:color w:val="231F20"/>
          <w:spacing w:val="-6"/>
        </w:rPr>
        <w:t>cette</w:t>
      </w:r>
      <w:r>
        <w:rPr>
          <w:color w:val="231F20"/>
          <w:spacing w:val="-10"/>
        </w:rPr>
        <w:t> </w:t>
      </w:r>
      <w:r>
        <w:rPr>
          <w:color w:val="231F20"/>
          <w:spacing w:val="-6"/>
        </w:rPr>
        <w:t>réponse,</w:t>
      </w:r>
      <w:r>
        <w:rPr>
          <w:color w:val="231F20"/>
          <w:spacing w:val="-10"/>
        </w:rPr>
        <w:t> </w:t>
      </w:r>
      <w:r>
        <w:rPr>
          <w:color w:val="231F20"/>
          <w:spacing w:val="-6"/>
        </w:rPr>
        <w:t>dont</w:t>
      </w:r>
      <w:r>
        <w:rPr>
          <w:color w:val="231F20"/>
          <w:spacing w:val="-10"/>
        </w:rPr>
        <w:t> </w:t>
      </w:r>
      <w:r>
        <w:rPr>
          <w:color w:val="231F20"/>
          <w:spacing w:val="-6"/>
        </w:rPr>
        <w:t>l’exportation </w:t>
      </w:r>
      <w:r>
        <w:rPr>
          <w:color w:val="231F20"/>
        </w:rPr>
        <w:t>d’approvisionnements humanitaires ou médicaux à Cuba.</w:t>
      </w:r>
    </w:p>
    <w:p>
      <w:pPr>
        <w:pStyle w:val="BodyText"/>
        <w:spacing w:before="174"/>
        <w:ind w:left="412" w:right="1473"/>
      </w:pPr>
      <w:r>
        <w:rPr>
          <w:b/>
          <w:color w:val="B52628"/>
        </w:rPr>
        <w:t>29 octobre 2022. </w:t>
      </w:r>
      <w:r>
        <w:rPr>
          <w:color w:val="231F20"/>
        </w:rPr>
        <w:t>Plus d’une centaine d’organisations étasuniennes solidaires </w:t>
      </w:r>
      <w:r>
        <w:rPr>
          <w:color w:val="231F20"/>
          <w:spacing w:val="-10"/>
        </w:rPr>
        <w:t>avec</w:t>
      </w:r>
      <w:r>
        <w:rPr>
          <w:color w:val="231F20"/>
          <w:spacing w:val="-7"/>
        </w:rPr>
        <w:t> </w:t>
      </w:r>
      <w:r>
        <w:rPr>
          <w:color w:val="231F20"/>
          <w:spacing w:val="-10"/>
        </w:rPr>
        <w:t>Cuba,</w:t>
      </w:r>
      <w:r>
        <w:rPr>
          <w:color w:val="231F20"/>
          <w:spacing w:val="-6"/>
        </w:rPr>
        <w:t> </w:t>
      </w:r>
      <w:r>
        <w:rPr>
          <w:color w:val="231F20"/>
          <w:spacing w:val="-10"/>
        </w:rPr>
        <w:t>dont</w:t>
      </w:r>
      <w:r>
        <w:rPr>
          <w:color w:val="231F20"/>
          <w:spacing w:val="-7"/>
        </w:rPr>
        <w:t> </w:t>
      </w:r>
      <w:r>
        <w:rPr>
          <w:color w:val="231F20"/>
          <w:spacing w:val="-10"/>
        </w:rPr>
        <w:t>Puentes</w:t>
      </w:r>
      <w:r>
        <w:rPr>
          <w:color w:val="231F20"/>
          <w:spacing w:val="-6"/>
        </w:rPr>
        <w:t> </w:t>
      </w:r>
      <w:r>
        <w:rPr>
          <w:color w:val="231F20"/>
          <w:spacing w:val="-10"/>
        </w:rPr>
        <w:t>de</w:t>
      </w:r>
      <w:r>
        <w:rPr>
          <w:color w:val="231F20"/>
          <w:spacing w:val="-7"/>
        </w:rPr>
        <w:t> </w:t>
      </w:r>
      <w:r>
        <w:rPr>
          <w:color w:val="231F20"/>
          <w:spacing w:val="-10"/>
        </w:rPr>
        <w:t>Amor,</w:t>
      </w:r>
      <w:r>
        <w:rPr>
          <w:color w:val="231F20"/>
          <w:spacing w:val="-6"/>
        </w:rPr>
        <w:t> </w:t>
      </w:r>
      <w:r>
        <w:rPr>
          <w:color w:val="231F20"/>
          <w:spacing w:val="-10"/>
        </w:rPr>
        <w:t>Code</w:t>
      </w:r>
      <w:r>
        <w:rPr>
          <w:color w:val="231F20"/>
          <w:spacing w:val="-6"/>
        </w:rPr>
        <w:t> </w:t>
      </w:r>
      <w:r>
        <w:rPr>
          <w:color w:val="231F20"/>
          <w:spacing w:val="-10"/>
        </w:rPr>
        <w:t>Pink </w:t>
      </w:r>
      <w:r>
        <w:rPr>
          <w:color w:val="231F20"/>
          <w:spacing w:val="-4"/>
        </w:rPr>
        <w:t>et</w:t>
      </w:r>
      <w:r>
        <w:rPr>
          <w:color w:val="231F20"/>
          <w:spacing w:val="-13"/>
        </w:rPr>
        <w:t> </w:t>
      </w:r>
      <w:r>
        <w:rPr>
          <w:color w:val="231F20"/>
          <w:spacing w:val="-4"/>
        </w:rPr>
        <w:t>The</w:t>
      </w:r>
      <w:r>
        <w:rPr>
          <w:color w:val="231F20"/>
          <w:spacing w:val="-12"/>
        </w:rPr>
        <w:t> </w:t>
      </w:r>
      <w:r>
        <w:rPr>
          <w:color w:val="231F20"/>
          <w:spacing w:val="-4"/>
        </w:rPr>
        <w:t>People’s</w:t>
      </w:r>
      <w:r>
        <w:rPr>
          <w:color w:val="231F20"/>
          <w:spacing w:val="-13"/>
        </w:rPr>
        <w:t> </w:t>
      </w:r>
      <w:r>
        <w:rPr>
          <w:color w:val="231F20"/>
          <w:spacing w:val="-4"/>
        </w:rPr>
        <w:t>Forum,</w:t>
      </w:r>
      <w:r>
        <w:rPr>
          <w:color w:val="231F20"/>
          <w:spacing w:val="-12"/>
        </w:rPr>
        <w:t> </w:t>
      </w:r>
      <w:r>
        <w:rPr>
          <w:color w:val="231F20"/>
          <w:spacing w:val="-4"/>
        </w:rPr>
        <w:t>et</w:t>
      </w:r>
      <w:r>
        <w:rPr>
          <w:color w:val="231F20"/>
          <w:spacing w:val="-13"/>
        </w:rPr>
        <w:t> </w:t>
      </w:r>
      <w:r>
        <w:rPr>
          <w:color w:val="231F20"/>
          <w:spacing w:val="-4"/>
        </w:rPr>
        <w:t>des</w:t>
      </w:r>
      <w:r>
        <w:rPr>
          <w:color w:val="231F20"/>
          <w:spacing w:val="-12"/>
        </w:rPr>
        <w:t> </w:t>
      </w:r>
      <w:r>
        <w:rPr>
          <w:color w:val="231F20"/>
          <w:spacing w:val="-4"/>
        </w:rPr>
        <w:t>représentants </w:t>
      </w:r>
      <w:r>
        <w:rPr>
          <w:color w:val="231F20"/>
        </w:rPr>
        <w:t>d’émigrés</w:t>
      </w:r>
      <w:r>
        <w:rPr>
          <w:color w:val="231F20"/>
          <w:spacing w:val="-17"/>
        </w:rPr>
        <w:t> </w:t>
      </w:r>
      <w:r>
        <w:rPr>
          <w:color w:val="231F20"/>
        </w:rPr>
        <w:t>cubains,</w:t>
      </w:r>
      <w:r>
        <w:rPr>
          <w:color w:val="231F20"/>
          <w:spacing w:val="-16"/>
        </w:rPr>
        <w:t> </w:t>
      </w:r>
      <w:r>
        <w:rPr>
          <w:color w:val="231F20"/>
        </w:rPr>
        <w:t>défilent</w:t>
      </w:r>
      <w:r>
        <w:rPr>
          <w:color w:val="231F20"/>
          <w:spacing w:val="-17"/>
        </w:rPr>
        <w:t> </w:t>
      </w:r>
      <w:r>
        <w:rPr>
          <w:color w:val="231F20"/>
        </w:rPr>
        <w:t>à</w:t>
      </w:r>
      <w:r>
        <w:rPr>
          <w:color w:val="231F20"/>
          <w:spacing w:val="-16"/>
        </w:rPr>
        <w:t> </w:t>
      </w:r>
      <w:r>
        <w:rPr>
          <w:color w:val="231F20"/>
        </w:rPr>
        <w:t>New</w:t>
      </w:r>
      <w:r>
        <w:rPr>
          <w:color w:val="231F20"/>
          <w:spacing w:val="-17"/>
        </w:rPr>
        <w:t> </w:t>
      </w:r>
      <w:r>
        <w:rPr>
          <w:color w:val="231F20"/>
        </w:rPr>
        <w:t>York,</w:t>
      </w:r>
      <w:r>
        <w:rPr>
          <w:color w:val="231F20"/>
          <w:spacing w:val="-16"/>
        </w:rPr>
        <w:t> </w:t>
      </w:r>
      <w:r>
        <w:rPr>
          <w:color w:val="231F20"/>
        </w:rPr>
        <w:t>de Times</w:t>
      </w:r>
      <w:r>
        <w:rPr>
          <w:color w:val="231F20"/>
          <w:spacing w:val="-1"/>
        </w:rPr>
        <w:t> </w:t>
      </w:r>
      <w:r>
        <w:rPr>
          <w:color w:val="231F20"/>
        </w:rPr>
        <w:t>Square au siège des</w:t>
      </w:r>
      <w:r>
        <w:rPr>
          <w:color w:val="231F20"/>
          <w:spacing w:val="-1"/>
        </w:rPr>
        <w:t> </w:t>
      </w:r>
      <w:r>
        <w:rPr>
          <w:color w:val="231F20"/>
        </w:rPr>
        <w:t>Nations</w:t>
      </w:r>
      <w:r>
        <w:rPr>
          <w:color w:val="231F20"/>
          <w:spacing w:val="-1"/>
        </w:rPr>
        <w:t> </w:t>
      </w:r>
      <w:r>
        <w:rPr>
          <w:color w:val="231F20"/>
        </w:rPr>
        <w:t>Unies, pour demander la levée du blocus à la veille du débat et du vote de l’Assemblée </w:t>
      </w:r>
      <w:r>
        <w:rPr>
          <w:color w:val="231F20"/>
          <w:spacing w:val="-2"/>
        </w:rPr>
        <w:t>générale</w:t>
      </w:r>
      <w:r>
        <w:rPr>
          <w:color w:val="231F20"/>
          <w:spacing w:val="-11"/>
        </w:rPr>
        <w:t> </w:t>
      </w:r>
      <w:r>
        <w:rPr>
          <w:color w:val="231F20"/>
          <w:spacing w:val="-2"/>
        </w:rPr>
        <w:t>au</w:t>
      </w:r>
      <w:r>
        <w:rPr>
          <w:color w:val="231F20"/>
          <w:spacing w:val="-11"/>
        </w:rPr>
        <w:t> </w:t>
      </w:r>
      <w:r>
        <w:rPr>
          <w:color w:val="231F20"/>
          <w:spacing w:val="-2"/>
        </w:rPr>
        <w:t>sujet</w:t>
      </w:r>
      <w:r>
        <w:rPr>
          <w:color w:val="231F20"/>
          <w:spacing w:val="-11"/>
        </w:rPr>
        <w:t> </w:t>
      </w:r>
      <w:r>
        <w:rPr>
          <w:color w:val="231F20"/>
          <w:spacing w:val="-2"/>
        </w:rPr>
        <w:t>de</w:t>
      </w:r>
      <w:r>
        <w:rPr>
          <w:color w:val="231F20"/>
          <w:spacing w:val="-11"/>
        </w:rPr>
        <w:t> </w:t>
      </w:r>
      <w:r>
        <w:rPr>
          <w:color w:val="231F20"/>
          <w:spacing w:val="-2"/>
        </w:rPr>
        <w:t>la</w:t>
      </w:r>
      <w:r>
        <w:rPr>
          <w:color w:val="231F20"/>
          <w:spacing w:val="-11"/>
        </w:rPr>
        <w:t> </w:t>
      </w:r>
      <w:r>
        <w:rPr>
          <w:color w:val="231F20"/>
          <w:spacing w:val="-2"/>
        </w:rPr>
        <w:t>Résolution</w:t>
      </w:r>
      <w:r>
        <w:rPr>
          <w:color w:val="231F20"/>
          <w:spacing w:val="-11"/>
        </w:rPr>
        <w:t> </w:t>
      </w:r>
      <w:r>
        <w:rPr>
          <w:color w:val="231F20"/>
          <w:spacing w:val="-2"/>
        </w:rPr>
        <w:t>cubaine, </w:t>
      </w:r>
      <w:r>
        <w:rPr>
          <w:color w:val="231F20"/>
        </w:rPr>
        <w:t>prévus les 2 et 3 novembre.</w:t>
      </w:r>
    </w:p>
    <w:p>
      <w:pPr>
        <w:pStyle w:val="BodyText"/>
        <w:spacing w:before="168"/>
        <w:ind w:left="412" w:right="1482"/>
      </w:pPr>
      <w:r>
        <w:rPr>
          <w:b/>
          <w:color w:val="B52628"/>
        </w:rPr>
        <w:t>29 octobre 2022. </w:t>
      </w:r>
      <w:r>
        <w:rPr>
          <w:color w:val="231F20"/>
        </w:rPr>
        <w:t>Des membres de l’organisation Code Pink rencontrent des </w:t>
      </w:r>
      <w:r>
        <w:rPr>
          <w:color w:val="231F20"/>
          <w:spacing w:val="-6"/>
        </w:rPr>
        <w:t>fonctionnaires</w:t>
      </w:r>
      <w:r>
        <w:rPr>
          <w:color w:val="231F20"/>
          <w:spacing w:val="-11"/>
        </w:rPr>
        <w:t> </w:t>
      </w:r>
      <w:r>
        <w:rPr>
          <w:color w:val="231F20"/>
          <w:spacing w:val="-6"/>
        </w:rPr>
        <w:t>du</w:t>
      </w:r>
      <w:r>
        <w:rPr>
          <w:color w:val="231F20"/>
          <w:spacing w:val="-10"/>
        </w:rPr>
        <w:t> </w:t>
      </w:r>
      <w:r>
        <w:rPr>
          <w:color w:val="231F20"/>
          <w:spacing w:val="-6"/>
        </w:rPr>
        <w:t>département</w:t>
      </w:r>
      <w:r>
        <w:rPr>
          <w:color w:val="231F20"/>
          <w:spacing w:val="-11"/>
        </w:rPr>
        <w:t> </w:t>
      </w:r>
      <w:r>
        <w:rPr>
          <w:color w:val="231F20"/>
          <w:spacing w:val="-6"/>
        </w:rPr>
        <w:t>d’État</w:t>
      </w:r>
      <w:r>
        <w:rPr>
          <w:color w:val="231F20"/>
          <w:spacing w:val="-10"/>
        </w:rPr>
        <w:t> </w:t>
      </w:r>
      <w:r>
        <w:rPr>
          <w:color w:val="231F20"/>
          <w:spacing w:val="-6"/>
        </w:rPr>
        <w:t>et</w:t>
      </w:r>
      <w:r>
        <w:rPr>
          <w:color w:val="231F20"/>
          <w:spacing w:val="-11"/>
        </w:rPr>
        <w:t> </w:t>
      </w:r>
      <w:r>
        <w:rPr>
          <w:color w:val="231F20"/>
          <w:spacing w:val="-6"/>
        </w:rPr>
        <w:t>leur </w:t>
      </w:r>
      <w:r>
        <w:rPr>
          <w:color w:val="231F20"/>
          <w:spacing w:val="-18"/>
        </w:rPr>
        <w:t>demandent</w:t>
      </w:r>
      <w:r>
        <w:rPr>
          <w:color w:val="231F20"/>
          <w:spacing w:val="4"/>
        </w:rPr>
        <w:t> </w:t>
      </w:r>
      <w:r>
        <w:rPr>
          <w:color w:val="231F20"/>
          <w:spacing w:val="-18"/>
        </w:rPr>
        <w:t>que</w:t>
      </w:r>
      <w:r>
        <w:rPr>
          <w:color w:val="231F20"/>
          <w:spacing w:val="4"/>
        </w:rPr>
        <w:t> </w:t>
      </w:r>
      <w:r>
        <w:rPr>
          <w:color w:val="231F20"/>
          <w:spacing w:val="-18"/>
        </w:rPr>
        <w:t>Cuba</w:t>
      </w:r>
      <w:r>
        <w:rPr>
          <w:color w:val="231F20"/>
          <w:spacing w:val="4"/>
        </w:rPr>
        <w:t> </w:t>
      </w:r>
      <w:r>
        <w:rPr>
          <w:color w:val="231F20"/>
          <w:spacing w:val="-18"/>
        </w:rPr>
        <w:t>soit</w:t>
      </w:r>
      <w:r>
        <w:rPr>
          <w:color w:val="231F20"/>
          <w:spacing w:val="4"/>
        </w:rPr>
        <w:t> </w:t>
      </w:r>
      <w:r>
        <w:rPr>
          <w:color w:val="231F20"/>
          <w:spacing w:val="-18"/>
        </w:rPr>
        <w:t>radiée</w:t>
      </w:r>
      <w:r>
        <w:rPr>
          <w:color w:val="231F20"/>
          <w:spacing w:val="4"/>
        </w:rPr>
        <w:t> </w:t>
      </w:r>
      <w:r>
        <w:rPr>
          <w:color w:val="231F20"/>
          <w:spacing w:val="-18"/>
        </w:rPr>
        <w:t>de</w:t>
      </w:r>
      <w:r>
        <w:rPr>
          <w:color w:val="231F20"/>
          <w:spacing w:val="4"/>
        </w:rPr>
        <w:t> </w:t>
      </w:r>
      <w:r>
        <w:rPr>
          <w:color w:val="231F20"/>
          <w:spacing w:val="-18"/>
        </w:rPr>
        <w:t>la</w:t>
      </w:r>
      <w:r>
        <w:rPr>
          <w:color w:val="231F20"/>
          <w:spacing w:val="4"/>
        </w:rPr>
        <w:t> </w:t>
      </w:r>
      <w:r>
        <w:rPr>
          <w:color w:val="231F20"/>
          <w:spacing w:val="-18"/>
        </w:rPr>
        <w:t>Liste</w:t>
      </w:r>
      <w:r>
        <w:rPr>
          <w:color w:val="231F20"/>
          <w:spacing w:val="4"/>
        </w:rPr>
        <w:t> </w:t>
      </w:r>
      <w:r>
        <w:rPr>
          <w:color w:val="231F20"/>
          <w:spacing w:val="-18"/>
        </w:rPr>
        <w:t>des </w:t>
      </w:r>
      <w:r>
        <w:rPr>
          <w:color w:val="231F20"/>
          <w:spacing w:val="-14"/>
        </w:rPr>
        <w:t>États</w:t>
      </w:r>
      <w:r>
        <w:rPr>
          <w:color w:val="231F20"/>
          <w:spacing w:val="-3"/>
        </w:rPr>
        <w:t> </w:t>
      </w:r>
      <w:r>
        <w:rPr>
          <w:color w:val="231F20"/>
          <w:spacing w:val="-14"/>
        </w:rPr>
        <w:t>censément</w:t>
      </w:r>
      <w:r>
        <w:rPr>
          <w:color w:val="231F20"/>
          <w:spacing w:val="-2"/>
        </w:rPr>
        <w:t> </w:t>
      </w:r>
      <w:r>
        <w:rPr>
          <w:color w:val="231F20"/>
          <w:spacing w:val="-14"/>
        </w:rPr>
        <w:t>commanditaires</w:t>
      </w:r>
      <w:r>
        <w:rPr>
          <w:color w:val="231F20"/>
          <w:spacing w:val="-3"/>
        </w:rPr>
        <w:t> </w:t>
      </w:r>
      <w:r>
        <w:rPr>
          <w:color w:val="231F20"/>
          <w:spacing w:val="-14"/>
        </w:rPr>
        <w:t>de</w:t>
      </w:r>
      <w:r>
        <w:rPr>
          <w:color w:val="231F20"/>
          <w:spacing w:val="-2"/>
        </w:rPr>
        <w:t> </w:t>
      </w:r>
      <w:r>
        <w:rPr>
          <w:color w:val="231F20"/>
          <w:spacing w:val="-14"/>
        </w:rPr>
        <w:t>terrorisme </w:t>
      </w:r>
      <w:r>
        <w:rPr>
          <w:color w:val="231F20"/>
          <w:spacing w:val="-10"/>
        </w:rPr>
        <w:t>international,</w:t>
      </w:r>
      <w:r>
        <w:rPr>
          <w:color w:val="231F20"/>
          <w:spacing w:val="-7"/>
        </w:rPr>
        <w:t> </w:t>
      </w:r>
      <w:r>
        <w:rPr>
          <w:color w:val="231F20"/>
          <w:spacing w:val="-10"/>
        </w:rPr>
        <w:t>leur</w:t>
      </w:r>
      <w:r>
        <w:rPr>
          <w:color w:val="231F20"/>
          <w:spacing w:val="-6"/>
        </w:rPr>
        <w:t> </w:t>
      </w:r>
      <w:r>
        <w:rPr>
          <w:color w:val="231F20"/>
          <w:spacing w:val="-10"/>
        </w:rPr>
        <w:t>présentant</w:t>
      </w:r>
      <w:r>
        <w:rPr>
          <w:color w:val="231F20"/>
          <w:spacing w:val="-7"/>
        </w:rPr>
        <w:t> </w:t>
      </w:r>
      <w:r>
        <w:rPr>
          <w:color w:val="231F20"/>
          <w:spacing w:val="-10"/>
        </w:rPr>
        <w:t>une</w:t>
      </w:r>
      <w:r>
        <w:rPr>
          <w:color w:val="231F20"/>
          <w:spacing w:val="-6"/>
        </w:rPr>
        <w:t> </w:t>
      </w:r>
      <w:r>
        <w:rPr>
          <w:color w:val="231F20"/>
          <w:spacing w:val="-10"/>
        </w:rPr>
        <w:t>réclamation </w:t>
      </w:r>
      <w:r>
        <w:rPr>
          <w:color w:val="231F20"/>
        </w:rPr>
        <w:t>signée</w:t>
      </w:r>
      <w:r>
        <w:rPr>
          <w:color w:val="231F20"/>
          <w:spacing w:val="-14"/>
        </w:rPr>
        <w:t> </w:t>
      </w:r>
      <w:r>
        <w:rPr>
          <w:color w:val="231F20"/>
        </w:rPr>
        <w:t>par</w:t>
      </w:r>
      <w:r>
        <w:rPr>
          <w:color w:val="231F20"/>
          <w:spacing w:val="-13"/>
        </w:rPr>
        <w:t> </w:t>
      </w:r>
      <w:r>
        <w:rPr>
          <w:color w:val="231F20"/>
        </w:rPr>
        <w:t>10</w:t>
      </w:r>
      <w:r>
        <w:rPr>
          <w:color w:val="231F20"/>
          <w:spacing w:val="-14"/>
        </w:rPr>
        <w:t> </w:t>
      </w:r>
      <w:r>
        <w:rPr>
          <w:color w:val="231F20"/>
        </w:rPr>
        <w:t>000</w:t>
      </w:r>
      <w:r>
        <w:rPr>
          <w:color w:val="231F20"/>
          <w:spacing w:val="-14"/>
        </w:rPr>
        <w:t> </w:t>
      </w:r>
      <w:r>
        <w:rPr>
          <w:color w:val="231F20"/>
        </w:rPr>
        <w:t>personnes</w:t>
      </w:r>
      <w:r>
        <w:rPr>
          <w:color w:val="231F20"/>
          <w:spacing w:val="-14"/>
        </w:rPr>
        <w:t> </w:t>
      </w:r>
      <w:r>
        <w:rPr>
          <w:color w:val="231F20"/>
        </w:rPr>
        <w:t>et</w:t>
      </w:r>
      <w:r>
        <w:rPr>
          <w:color w:val="231F20"/>
          <w:spacing w:val="-14"/>
        </w:rPr>
        <w:t> </w:t>
      </w:r>
      <w:r>
        <w:rPr>
          <w:color w:val="231F20"/>
        </w:rPr>
        <w:t>plus</w:t>
      </w:r>
      <w:r>
        <w:rPr>
          <w:color w:val="231F20"/>
          <w:spacing w:val="-14"/>
        </w:rPr>
        <w:t> </w:t>
      </w:r>
      <w:r>
        <w:rPr>
          <w:color w:val="231F20"/>
        </w:rPr>
        <w:t>d’une centaine d’organisations et adressée au </w:t>
      </w:r>
      <w:r>
        <w:rPr>
          <w:color w:val="231F20"/>
          <w:spacing w:val="-12"/>
        </w:rPr>
        <w:t>président</w:t>
      </w:r>
      <w:r>
        <w:rPr>
          <w:color w:val="231F20"/>
          <w:spacing w:val="-5"/>
        </w:rPr>
        <w:t> </w:t>
      </w:r>
      <w:r>
        <w:rPr>
          <w:color w:val="231F20"/>
          <w:spacing w:val="-12"/>
        </w:rPr>
        <w:t>Biden</w:t>
      </w:r>
      <w:r>
        <w:rPr>
          <w:color w:val="231F20"/>
          <w:spacing w:val="-4"/>
        </w:rPr>
        <w:t> </w:t>
      </w:r>
      <w:r>
        <w:rPr>
          <w:color w:val="231F20"/>
          <w:spacing w:val="-12"/>
        </w:rPr>
        <w:t>et</w:t>
      </w:r>
      <w:r>
        <w:rPr>
          <w:color w:val="231F20"/>
          <w:spacing w:val="-5"/>
        </w:rPr>
        <w:t> </w:t>
      </w:r>
      <w:r>
        <w:rPr>
          <w:color w:val="231F20"/>
          <w:spacing w:val="-12"/>
        </w:rPr>
        <w:t>à</w:t>
      </w:r>
      <w:r>
        <w:rPr>
          <w:color w:val="231F20"/>
          <w:spacing w:val="-4"/>
        </w:rPr>
        <w:t> </w:t>
      </w:r>
      <w:r>
        <w:rPr>
          <w:color w:val="231F20"/>
          <w:spacing w:val="-12"/>
        </w:rPr>
        <w:t>Linda</w:t>
      </w:r>
      <w:r>
        <w:rPr>
          <w:color w:val="231F20"/>
          <w:spacing w:val="-5"/>
        </w:rPr>
        <w:t> </w:t>
      </w:r>
      <w:r>
        <w:rPr>
          <w:color w:val="231F20"/>
          <w:spacing w:val="-12"/>
        </w:rPr>
        <w:t>Thomas-Greenfield, </w:t>
      </w:r>
      <w:r>
        <w:rPr>
          <w:color w:val="231F20"/>
          <w:spacing w:val="-4"/>
        </w:rPr>
        <w:t>représentante</w:t>
      </w:r>
      <w:r>
        <w:rPr>
          <w:color w:val="231F20"/>
          <w:spacing w:val="-13"/>
        </w:rPr>
        <w:t> </w:t>
      </w:r>
      <w:r>
        <w:rPr>
          <w:color w:val="231F20"/>
          <w:spacing w:val="-4"/>
        </w:rPr>
        <w:t>des</w:t>
      </w:r>
      <w:r>
        <w:rPr>
          <w:color w:val="231F20"/>
          <w:spacing w:val="-12"/>
        </w:rPr>
        <w:t> </w:t>
      </w:r>
      <w:r>
        <w:rPr>
          <w:color w:val="231F20"/>
          <w:spacing w:val="-4"/>
        </w:rPr>
        <w:t>USA</w:t>
      </w:r>
      <w:r>
        <w:rPr>
          <w:color w:val="231F20"/>
          <w:spacing w:val="-13"/>
        </w:rPr>
        <w:t> </w:t>
      </w:r>
      <w:r>
        <w:rPr>
          <w:color w:val="231F20"/>
          <w:spacing w:val="-4"/>
        </w:rPr>
        <w:t>auprès</w:t>
      </w:r>
      <w:r>
        <w:rPr>
          <w:color w:val="231F20"/>
          <w:spacing w:val="-12"/>
        </w:rPr>
        <w:t> </w:t>
      </w:r>
      <w:r>
        <w:rPr>
          <w:color w:val="231F20"/>
          <w:spacing w:val="-4"/>
        </w:rPr>
        <w:t>de</w:t>
      </w:r>
      <w:r>
        <w:rPr>
          <w:color w:val="231F20"/>
          <w:spacing w:val="-13"/>
        </w:rPr>
        <w:t> </w:t>
      </w:r>
      <w:r>
        <w:rPr>
          <w:color w:val="231F20"/>
          <w:spacing w:val="-4"/>
        </w:rPr>
        <w:t>l’ONU,</w:t>
      </w:r>
      <w:r>
        <w:rPr>
          <w:color w:val="231F20"/>
          <w:spacing w:val="-12"/>
        </w:rPr>
        <w:t> </w:t>
      </w:r>
      <w:r>
        <w:rPr>
          <w:color w:val="231F20"/>
          <w:spacing w:val="-4"/>
        </w:rPr>
        <w:t>en vue</w:t>
      </w:r>
      <w:r>
        <w:rPr>
          <w:color w:val="231F20"/>
          <w:spacing w:val="-24"/>
        </w:rPr>
        <w:t> </w:t>
      </w:r>
      <w:r>
        <w:rPr>
          <w:color w:val="231F20"/>
          <w:spacing w:val="-4"/>
        </w:rPr>
        <w:t>d’un</w:t>
      </w:r>
      <w:r>
        <w:rPr>
          <w:color w:val="231F20"/>
          <w:spacing w:val="-24"/>
        </w:rPr>
        <w:t> </w:t>
      </w:r>
      <w:r>
        <w:rPr>
          <w:color w:val="231F20"/>
          <w:spacing w:val="-4"/>
        </w:rPr>
        <w:t>rapprochement</w:t>
      </w:r>
      <w:r>
        <w:rPr>
          <w:color w:val="231F20"/>
          <w:spacing w:val="-24"/>
        </w:rPr>
        <w:t> </w:t>
      </w:r>
      <w:r>
        <w:rPr>
          <w:color w:val="231F20"/>
          <w:spacing w:val="-4"/>
        </w:rPr>
        <w:t>avec</w:t>
      </w:r>
      <w:r>
        <w:rPr>
          <w:color w:val="231F20"/>
          <w:spacing w:val="-24"/>
        </w:rPr>
        <w:t> </w:t>
      </w:r>
      <w:r>
        <w:rPr>
          <w:color w:val="231F20"/>
          <w:spacing w:val="-4"/>
        </w:rPr>
        <w:t>Cuba.</w:t>
      </w:r>
    </w:p>
    <w:p>
      <w:pPr>
        <w:spacing w:after="0"/>
        <w:sectPr>
          <w:pgSz w:w="11910" w:h="16840"/>
          <w:pgMar w:header="0" w:footer="695" w:top="1260" w:bottom="880" w:left="0" w:right="0"/>
          <w:cols w:num="2" w:equalWidth="0">
            <w:col w:w="5558" w:space="40"/>
            <w:col w:w="6312"/>
          </w:cols>
        </w:sectPr>
      </w:pPr>
    </w:p>
    <w:p>
      <w:pPr>
        <w:pStyle w:val="BodyText"/>
        <w:spacing w:before="77"/>
        <w:ind w:left="1474"/>
      </w:pPr>
      <w:r>
        <w:rPr>
          <w:b/>
          <w:color w:val="B52628"/>
        </w:rPr>
        <w:t>30</w:t>
      </w:r>
      <w:r>
        <w:rPr>
          <w:b/>
          <w:color w:val="B52628"/>
          <w:spacing w:val="-9"/>
        </w:rPr>
        <w:t> </w:t>
      </w:r>
      <w:r>
        <w:rPr>
          <w:b/>
          <w:color w:val="B52628"/>
        </w:rPr>
        <w:t>octobre</w:t>
      </w:r>
      <w:r>
        <w:rPr>
          <w:b/>
          <w:color w:val="B52628"/>
          <w:spacing w:val="-9"/>
        </w:rPr>
        <w:t> </w:t>
      </w:r>
      <w:r>
        <w:rPr>
          <w:b/>
          <w:color w:val="B52628"/>
        </w:rPr>
        <w:t>2022.</w:t>
      </w:r>
      <w:r>
        <w:rPr>
          <w:b/>
          <w:color w:val="B52628"/>
          <w:spacing w:val="-10"/>
        </w:rPr>
        <w:t> </w:t>
      </w:r>
      <w:r>
        <w:rPr>
          <w:color w:val="231F20"/>
        </w:rPr>
        <w:t>De</w:t>
      </w:r>
      <w:r>
        <w:rPr>
          <w:color w:val="231F20"/>
          <w:spacing w:val="-10"/>
        </w:rPr>
        <w:t> </w:t>
      </w:r>
      <w:r>
        <w:rPr>
          <w:color w:val="231F20"/>
        </w:rPr>
        <w:t>nouvelles</w:t>
      </w:r>
      <w:r>
        <w:rPr>
          <w:color w:val="231F20"/>
          <w:spacing w:val="-10"/>
        </w:rPr>
        <w:t> </w:t>
      </w:r>
      <w:r>
        <w:rPr>
          <w:color w:val="231F20"/>
        </w:rPr>
        <w:t>caravanes </w:t>
      </w:r>
      <w:r>
        <w:rPr>
          <w:color w:val="231F20"/>
          <w:spacing w:val="-8"/>
        </w:rPr>
        <w:t>de</w:t>
      </w:r>
      <w:r>
        <w:rPr>
          <w:color w:val="231F20"/>
          <w:spacing w:val="-9"/>
        </w:rPr>
        <w:t> </w:t>
      </w:r>
      <w:r>
        <w:rPr>
          <w:color w:val="231F20"/>
          <w:spacing w:val="-8"/>
        </w:rPr>
        <w:t>manifestants réclament</w:t>
      </w:r>
      <w:r>
        <w:rPr>
          <w:color w:val="231F20"/>
          <w:spacing w:val="-9"/>
        </w:rPr>
        <w:t> </w:t>
      </w:r>
      <w:r>
        <w:rPr>
          <w:color w:val="231F20"/>
          <w:spacing w:val="-8"/>
        </w:rPr>
        <w:t>la levée</w:t>
      </w:r>
      <w:r>
        <w:rPr>
          <w:color w:val="231F20"/>
          <w:spacing w:val="-9"/>
        </w:rPr>
        <w:t> </w:t>
      </w:r>
      <w:r>
        <w:rPr>
          <w:color w:val="231F20"/>
          <w:spacing w:val="-8"/>
        </w:rPr>
        <w:t>du blocus </w:t>
      </w:r>
      <w:r>
        <w:rPr>
          <w:color w:val="231F20"/>
        </w:rPr>
        <w:t>à Miami (Floride), à Portland (Oregon), à </w:t>
      </w:r>
      <w:r>
        <w:rPr>
          <w:color w:val="231F20"/>
          <w:spacing w:val="-10"/>
        </w:rPr>
        <w:t>Minneapolis</w:t>
      </w:r>
      <w:r>
        <w:rPr>
          <w:color w:val="231F20"/>
          <w:spacing w:val="-7"/>
        </w:rPr>
        <w:t> </w:t>
      </w:r>
      <w:r>
        <w:rPr>
          <w:color w:val="231F20"/>
          <w:spacing w:val="-10"/>
        </w:rPr>
        <w:t>et</w:t>
      </w:r>
      <w:r>
        <w:rPr>
          <w:color w:val="231F20"/>
          <w:spacing w:val="-6"/>
        </w:rPr>
        <w:t> </w:t>
      </w:r>
      <w:r>
        <w:rPr>
          <w:color w:val="231F20"/>
          <w:spacing w:val="-10"/>
        </w:rPr>
        <w:t>Duluth</w:t>
      </w:r>
      <w:r>
        <w:rPr>
          <w:color w:val="231F20"/>
          <w:spacing w:val="-7"/>
        </w:rPr>
        <w:t> </w:t>
      </w:r>
      <w:r>
        <w:rPr>
          <w:color w:val="231F20"/>
          <w:spacing w:val="-10"/>
        </w:rPr>
        <w:t>(Minnesota),</w:t>
      </w:r>
      <w:r>
        <w:rPr>
          <w:color w:val="231F20"/>
          <w:spacing w:val="-6"/>
        </w:rPr>
        <w:t> </w:t>
      </w:r>
      <w:r>
        <w:rPr>
          <w:color w:val="231F20"/>
          <w:spacing w:val="-10"/>
        </w:rPr>
        <w:t>à</w:t>
      </w:r>
      <w:r>
        <w:rPr>
          <w:color w:val="231F20"/>
          <w:spacing w:val="-7"/>
        </w:rPr>
        <w:t> </w:t>
      </w:r>
      <w:r>
        <w:rPr>
          <w:color w:val="231F20"/>
          <w:spacing w:val="-10"/>
        </w:rPr>
        <w:t>Phoenix </w:t>
      </w:r>
      <w:r>
        <w:rPr>
          <w:color w:val="231F20"/>
        </w:rPr>
        <w:t>(Arizona)</w:t>
      </w:r>
      <w:r>
        <w:rPr>
          <w:color w:val="231F20"/>
          <w:spacing w:val="-8"/>
        </w:rPr>
        <w:t> </w:t>
      </w:r>
      <w:r>
        <w:rPr>
          <w:color w:val="231F20"/>
        </w:rPr>
        <w:t>et</w:t>
      </w:r>
      <w:r>
        <w:rPr>
          <w:color w:val="231F20"/>
          <w:spacing w:val="-8"/>
        </w:rPr>
        <w:t> </w:t>
      </w:r>
      <w:r>
        <w:rPr>
          <w:color w:val="231F20"/>
        </w:rPr>
        <w:t>à</w:t>
      </w:r>
      <w:r>
        <w:rPr>
          <w:color w:val="231F20"/>
          <w:spacing w:val="-8"/>
        </w:rPr>
        <w:t> </w:t>
      </w:r>
      <w:r>
        <w:rPr>
          <w:color w:val="231F20"/>
        </w:rPr>
        <w:t>Hartford</w:t>
      </w:r>
      <w:r>
        <w:rPr>
          <w:color w:val="231F20"/>
          <w:spacing w:val="-8"/>
        </w:rPr>
        <w:t> </w:t>
      </w:r>
      <w:r>
        <w:rPr>
          <w:color w:val="231F20"/>
        </w:rPr>
        <w:t>(Connecticut).</w:t>
      </w:r>
    </w:p>
    <w:p>
      <w:pPr>
        <w:pStyle w:val="BodyText"/>
        <w:spacing w:before="164"/>
        <w:ind w:left="1474" w:right="2"/>
      </w:pPr>
      <w:r>
        <w:rPr>
          <w:b/>
          <w:color w:val="B52628"/>
        </w:rPr>
        <w:t>1er</w:t>
      </w:r>
      <w:r>
        <w:rPr>
          <w:b/>
          <w:color w:val="B52628"/>
          <w:spacing w:val="-1"/>
        </w:rPr>
        <w:t> </w:t>
      </w:r>
      <w:r>
        <w:rPr>
          <w:b/>
          <w:color w:val="B52628"/>
        </w:rPr>
        <w:t>novembre</w:t>
      </w:r>
      <w:r>
        <w:rPr>
          <w:b/>
          <w:color w:val="B52628"/>
          <w:spacing w:val="-1"/>
        </w:rPr>
        <w:t> </w:t>
      </w:r>
      <w:r>
        <w:rPr>
          <w:b/>
          <w:color w:val="B52628"/>
        </w:rPr>
        <w:t>2022.</w:t>
      </w:r>
      <w:r>
        <w:rPr>
          <w:b/>
          <w:color w:val="B52628"/>
          <w:spacing w:val="-1"/>
        </w:rPr>
        <w:t> </w:t>
      </w:r>
      <w:r>
        <w:rPr>
          <w:color w:val="231F20"/>
        </w:rPr>
        <w:t>Michael</w:t>
      </w:r>
      <w:r>
        <w:rPr>
          <w:color w:val="231F20"/>
          <w:spacing w:val="-1"/>
        </w:rPr>
        <w:t> </w:t>
      </w:r>
      <w:r>
        <w:rPr>
          <w:color w:val="231F20"/>
        </w:rPr>
        <w:t>Osterholm, directeur</w:t>
      </w:r>
      <w:r>
        <w:rPr>
          <w:color w:val="231F20"/>
          <w:spacing w:val="80"/>
        </w:rPr>
        <w:t> </w:t>
      </w:r>
      <w:r>
        <w:rPr>
          <w:color w:val="231F20"/>
        </w:rPr>
        <w:t>du</w:t>
      </w:r>
      <w:r>
        <w:rPr>
          <w:color w:val="231F20"/>
          <w:spacing w:val="80"/>
        </w:rPr>
        <w:t> </w:t>
      </w:r>
      <w:r>
        <w:rPr>
          <w:color w:val="231F20"/>
        </w:rPr>
        <w:t>Centre</w:t>
      </w:r>
      <w:r>
        <w:rPr>
          <w:color w:val="231F20"/>
          <w:spacing w:val="80"/>
        </w:rPr>
        <w:t> </w:t>
      </w:r>
      <w:r>
        <w:rPr>
          <w:color w:val="231F20"/>
        </w:rPr>
        <w:t>de</w:t>
      </w:r>
      <w:r>
        <w:rPr>
          <w:color w:val="231F20"/>
          <w:spacing w:val="80"/>
        </w:rPr>
        <w:t> </w:t>
      </w:r>
      <w:r>
        <w:rPr>
          <w:color w:val="231F20"/>
        </w:rPr>
        <w:t>recherche</w:t>
      </w:r>
      <w:r>
        <w:rPr>
          <w:color w:val="231F20"/>
          <w:spacing w:val="80"/>
        </w:rPr>
        <w:t> </w:t>
      </w:r>
      <w:r>
        <w:rPr>
          <w:color w:val="231F20"/>
        </w:rPr>
        <w:t>et de politiques relatives aux maladies infectieuses,</w:t>
      </w:r>
      <w:r>
        <w:rPr>
          <w:color w:val="231F20"/>
          <w:spacing w:val="-9"/>
        </w:rPr>
        <w:t> </w:t>
      </w:r>
      <w:r>
        <w:rPr>
          <w:color w:val="231F20"/>
        </w:rPr>
        <w:t>de</w:t>
      </w:r>
      <w:r>
        <w:rPr>
          <w:color w:val="231F20"/>
          <w:spacing w:val="-9"/>
        </w:rPr>
        <w:t> </w:t>
      </w:r>
      <w:r>
        <w:rPr>
          <w:color w:val="231F20"/>
        </w:rPr>
        <w:t>l’Université</w:t>
      </w:r>
      <w:r>
        <w:rPr>
          <w:color w:val="231F20"/>
          <w:spacing w:val="-9"/>
        </w:rPr>
        <w:t> </w:t>
      </w:r>
      <w:r>
        <w:rPr>
          <w:color w:val="231F20"/>
        </w:rPr>
        <w:t>de</w:t>
      </w:r>
      <w:r>
        <w:rPr>
          <w:color w:val="231F20"/>
          <w:spacing w:val="-9"/>
        </w:rPr>
        <w:t> </w:t>
      </w:r>
      <w:r>
        <w:rPr>
          <w:color w:val="231F20"/>
        </w:rPr>
        <w:t>Minnesota, présente</w:t>
      </w:r>
      <w:r>
        <w:rPr>
          <w:color w:val="231F20"/>
          <w:spacing w:val="-15"/>
        </w:rPr>
        <w:t> </w:t>
      </w:r>
      <w:r>
        <w:rPr>
          <w:color w:val="231F20"/>
        </w:rPr>
        <w:t>un</w:t>
      </w:r>
      <w:r>
        <w:rPr>
          <w:color w:val="231F20"/>
          <w:spacing w:val="-15"/>
        </w:rPr>
        <w:t> </w:t>
      </w:r>
      <w:r>
        <w:rPr>
          <w:color w:val="231F20"/>
        </w:rPr>
        <w:t>rapport</w:t>
      </w:r>
      <w:r>
        <w:rPr>
          <w:color w:val="231F20"/>
          <w:spacing w:val="-15"/>
        </w:rPr>
        <w:t> </w:t>
      </w:r>
      <w:r>
        <w:rPr>
          <w:color w:val="231F20"/>
        </w:rPr>
        <w:t>avalisé</w:t>
      </w:r>
      <w:r>
        <w:rPr>
          <w:color w:val="231F20"/>
          <w:spacing w:val="-15"/>
        </w:rPr>
        <w:t> </w:t>
      </w:r>
      <w:r>
        <w:rPr>
          <w:color w:val="231F20"/>
        </w:rPr>
        <w:t>par</w:t>
      </w:r>
      <w:r>
        <w:rPr>
          <w:color w:val="231F20"/>
          <w:spacing w:val="-14"/>
        </w:rPr>
        <w:t> </w:t>
      </w:r>
      <w:r>
        <w:rPr>
          <w:color w:val="231F20"/>
        </w:rPr>
        <w:t>un</w:t>
      </w:r>
      <w:r>
        <w:rPr>
          <w:color w:val="231F20"/>
          <w:spacing w:val="-15"/>
        </w:rPr>
        <w:t> </w:t>
      </w:r>
      <w:r>
        <w:rPr>
          <w:color w:val="231F20"/>
        </w:rPr>
        <w:t>groupe de scientifiques étrangers, dans lequel il </w:t>
      </w:r>
      <w:r>
        <w:rPr>
          <w:color w:val="231F20"/>
          <w:spacing w:val="-8"/>
        </w:rPr>
        <w:t>demande à l’administration Biden de réduire </w:t>
      </w:r>
      <w:r>
        <w:rPr>
          <w:color w:val="231F20"/>
          <w:spacing w:val="-6"/>
        </w:rPr>
        <w:t>les</w:t>
      </w:r>
      <w:r>
        <w:rPr>
          <w:color w:val="231F20"/>
          <w:spacing w:val="-11"/>
        </w:rPr>
        <w:t> </w:t>
      </w:r>
      <w:r>
        <w:rPr>
          <w:color w:val="231F20"/>
          <w:spacing w:val="-6"/>
        </w:rPr>
        <w:t>obstacles</w:t>
      </w:r>
      <w:r>
        <w:rPr>
          <w:color w:val="231F20"/>
          <w:spacing w:val="-10"/>
        </w:rPr>
        <w:t> </w:t>
      </w:r>
      <w:r>
        <w:rPr>
          <w:color w:val="231F20"/>
          <w:spacing w:val="-6"/>
        </w:rPr>
        <w:t>qui</w:t>
      </w:r>
      <w:r>
        <w:rPr>
          <w:color w:val="231F20"/>
          <w:spacing w:val="-11"/>
        </w:rPr>
        <w:t> </w:t>
      </w:r>
      <w:r>
        <w:rPr>
          <w:color w:val="231F20"/>
          <w:spacing w:val="-6"/>
        </w:rPr>
        <w:t>empêchent</w:t>
      </w:r>
      <w:r>
        <w:rPr>
          <w:color w:val="231F20"/>
          <w:spacing w:val="-10"/>
        </w:rPr>
        <w:t> </w:t>
      </w:r>
      <w:r>
        <w:rPr>
          <w:color w:val="231F20"/>
          <w:spacing w:val="-6"/>
        </w:rPr>
        <w:t>la</w:t>
      </w:r>
      <w:r>
        <w:rPr>
          <w:color w:val="231F20"/>
          <w:spacing w:val="-11"/>
        </w:rPr>
        <w:t> </w:t>
      </w:r>
      <w:r>
        <w:rPr>
          <w:color w:val="231F20"/>
          <w:spacing w:val="-6"/>
        </w:rPr>
        <w:t>collaboration </w:t>
      </w:r>
      <w:r>
        <w:rPr>
          <w:color w:val="231F20"/>
          <w:spacing w:val="-4"/>
        </w:rPr>
        <w:t>avec</w:t>
      </w:r>
      <w:r>
        <w:rPr>
          <w:color w:val="231F20"/>
          <w:spacing w:val="-6"/>
        </w:rPr>
        <w:t> </w:t>
      </w:r>
      <w:r>
        <w:rPr>
          <w:color w:val="231F20"/>
          <w:spacing w:val="-4"/>
        </w:rPr>
        <w:t>l’industrie</w:t>
      </w:r>
      <w:r>
        <w:rPr>
          <w:color w:val="231F20"/>
          <w:spacing w:val="-6"/>
        </w:rPr>
        <w:t> </w:t>
      </w:r>
      <w:r>
        <w:rPr>
          <w:color w:val="231F20"/>
          <w:spacing w:val="-4"/>
        </w:rPr>
        <w:t>biotechnologique</w:t>
      </w:r>
      <w:r>
        <w:rPr>
          <w:color w:val="231F20"/>
          <w:spacing w:val="-6"/>
        </w:rPr>
        <w:t> </w:t>
      </w:r>
      <w:r>
        <w:rPr>
          <w:color w:val="231F20"/>
          <w:spacing w:val="-4"/>
        </w:rPr>
        <w:t>cubaine.</w:t>
      </w:r>
    </w:p>
    <w:p>
      <w:pPr>
        <w:pStyle w:val="BodyText"/>
        <w:spacing w:before="167"/>
        <w:ind w:left="1474"/>
      </w:pPr>
      <w:r>
        <w:rPr>
          <w:b/>
          <w:color w:val="B52628"/>
        </w:rPr>
        <w:t>3 novembre 2022. </w:t>
      </w:r>
      <w:r>
        <w:rPr>
          <w:color w:val="231F20"/>
        </w:rPr>
        <w:t>Le Centro para la Democracia en las Américas (CDA) publie des</w:t>
      </w:r>
      <w:r>
        <w:rPr>
          <w:color w:val="231F20"/>
          <w:spacing w:val="-3"/>
        </w:rPr>
        <w:t> </w:t>
      </w:r>
      <w:r>
        <w:rPr>
          <w:color w:val="231F20"/>
        </w:rPr>
        <w:t>messages</w:t>
      </w:r>
      <w:r>
        <w:rPr>
          <w:color w:val="231F20"/>
          <w:spacing w:val="-3"/>
        </w:rPr>
        <w:t> </w:t>
      </w:r>
      <w:r>
        <w:rPr>
          <w:color w:val="231F20"/>
        </w:rPr>
        <w:t>sur</w:t>
      </w:r>
      <w:r>
        <w:rPr>
          <w:color w:val="231F20"/>
          <w:spacing w:val="-3"/>
        </w:rPr>
        <w:t> </w:t>
      </w:r>
      <w:r>
        <w:rPr>
          <w:color w:val="231F20"/>
        </w:rPr>
        <w:t>Twitter</w:t>
      </w:r>
      <w:r>
        <w:rPr>
          <w:color w:val="231F20"/>
          <w:spacing w:val="-3"/>
        </w:rPr>
        <w:t> </w:t>
      </w:r>
      <w:r>
        <w:rPr>
          <w:color w:val="231F20"/>
        </w:rPr>
        <w:t>pour</w:t>
      </w:r>
      <w:r>
        <w:rPr>
          <w:color w:val="231F20"/>
          <w:spacing w:val="-3"/>
        </w:rPr>
        <w:t> </w:t>
      </w:r>
      <w:r>
        <w:rPr>
          <w:color w:val="231F20"/>
        </w:rPr>
        <w:t>critiquer</w:t>
      </w:r>
      <w:r>
        <w:rPr>
          <w:color w:val="231F20"/>
          <w:spacing w:val="-3"/>
        </w:rPr>
        <w:t> </w:t>
      </w:r>
      <w:r>
        <w:rPr>
          <w:color w:val="231F20"/>
        </w:rPr>
        <w:t>la politique que suivent les administrations étasuniennes</w:t>
      </w:r>
      <w:r>
        <w:rPr>
          <w:color w:val="231F20"/>
          <w:spacing w:val="40"/>
        </w:rPr>
        <w:t> </w:t>
      </w:r>
      <w:r>
        <w:rPr>
          <w:color w:val="231F20"/>
        </w:rPr>
        <w:t>contre</w:t>
      </w:r>
      <w:r>
        <w:rPr>
          <w:color w:val="231F20"/>
          <w:spacing w:val="40"/>
        </w:rPr>
        <w:t> </w:t>
      </w:r>
      <w:r>
        <w:rPr>
          <w:color w:val="231F20"/>
        </w:rPr>
        <w:t>Cuba</w:t>
      </w:r>
      <w:r>
        <w:rPr>
          <w:color w:val="231F20"/>
          <w:spacing w:val="40"/>
        </w:rPr>
        <w:t> </w:t>
      </w:r>
      <w:r>
        <w:rPr>
          <w:color w:val="231F20"/>
        </w:rPr>
        <w:t>depuis</w:t>
      </w:r>
      <w:r>
        <w:rPr>
          <w:color w:val="231F20"/>
          <w:spacing w:val="40"/>
        </w:rPr>
        <w:t> </w:t>
      </w:r>
      <w:r>
        <w:rPr>
          <w:color w:val="231F20"/>
        </w:rPr>
        <w:t>plus de soixante ans et souligner les effets du blocus sur le peuple cubain, le jour où l’Assemblée générale des Nations Unies vote pour la trentième fois d’affilée la résolution demandant la levée du blocus.</w:t>
      </w:r>
    </w:p>
    <w:p>
      <w:pPr>
        <w:pStyle w:val="BodyText"/>
        <w:spacing w:before="168"/>
        <w:ind w:left="1474"/>
      </w:pPr>
      <w:r>
        <w:rPr>
          <w:b/>
          <w:color w:val="B52628"/>
        </w:rPr>
        <w:t>3 novembre 2022. </w:t>
      </w:r>
      <w:r>
        <w:rPr>
          <w:color w:val="231F20"/>
        </w:rPr>
        <w:t>Le Conseil mondial des</w:t>
      </w:r>
      <w:r>
        <w:rPr>
          <w:color w:val="231F20"/>
          <w:spacing w:val="-16"/>
        </w:rPr>
        <w:t> </w:t>
      </w:r>
      <w:r>
        <w:rPr>
          <w:color w:val="231F20"/>
        </w:rPr>
        <w:t>Églises</w:t>
      </w:r>
      <w:r>
        <w:rPr>
          <w:color w:val="231F20"/>
          <w:spacing w:val="-16"/>
        </w:rPr>
        <w:t> </w:t>
      </w:r>
      <w:r>
        <w:rPr>
          <w:color w:val="231F20"/>
        </w:rPr>
        <w:t>adresse</w:t>
      </w:r>
      <w:r>
        <w:rPr>
          <w:color w:val="231F20"/>
          <w:spacing w:val="-16"/>
        </w:rPr>
        <w:t> </w:t>
      </w:r>
      <w:r>
        <w:rPr>
          <w:color w:val="231F20"/>
        </w:rPr>
        <w:t>une</w:t>
      </w:r>
      <w:r>
        <w:rPr>
          <w:color w:val="231F20"/>
          <w:spacing w:val="-16"/>
        </w:rPr>
        <w:t> </w:t>
      </w:r>
      <w:r>
        <w:rPr>
          <w:color w:val="231F20"/>
        </w:rPr>
        <w:t>lettre</w:t>
      </w:r>
      <w:r>
        <w:rPr>
          <w:color w:val="231F20"/>
          <w:spacing w:val="-16"/>
        </w:rPr>
        <w:t> </w:t>
      </w:r>
      <w:r>
        <w:rPr>
          <w:color w:val="231F20"/>
        </w:rPr>
        <w:t>au</w:t>
      </w:r>
      <w:r>
        <w:rPr>
          <w:color w:val="231F20"/>
          <w:spacing w:val="-16"/>
        </w:rPr>
        <w:t> </w:t>
      </w:r>
      <w:r>
        <w:rPr>
          <w:color w:val="231F20"/>
        </w:rPr>
        <w:t>président cubain Miguel Díaz-Canel pour faire sienne la résolution contre le blocus </w:t>
      </w:r>
      <w:r>
        <w:rPr>
          <w:color w:val="231F20"/>
        </w:rPr>
        <w:t>à l’Assemblée</w:t>
      </w:r>
      <w:r>
        <w:rPr>
          <w:color w:val="231F20"/>
          <w:spacing w:val="-17"/>
        </w:rPr>
        <w:t> </w:t>
      </w:r>
      <w:r>
        <w:rPr>
          <w:color w:val="231F20"/>
        </w:rPr>
        <w:t>générale</w:t>
      </w:r>
      <w:r>
        <w:rPr>
          <w:color w:val="231F20"/>
          <w:spacing w:val="-16"/>
        </w:rPr>
        <w:t> </w:t>
      </w:r>
      <w:r>
        <w:rPr>
          <w:color w:val="231F20"/>
        </w:rPr>
        <w:t>des</w:t>
      </w:r>
      <w:r>
        <w:rPr>
          <w:color w:val="231F20"/>
          <w:spacing w:val="-17"/>
        </w:rPr>
        <w:t> </w:t>
      </w:r>
      <w:r>
        <w:rPr>
          <w:color w:val="231F20"/>
        </w:rPr>
        <w:t>Nations</w:t>
      </w:r>
      <w:r>
        <w:rPr>
          <w:color w:val="231F20"/>
          <w:spacing w:val="-16"/>
        </w:rPr>
        <w:t> </w:t>
      </w:r>
      <w:r>
        <w:rPr>
          <w:color w:val="231F20"/>
        </w:rPr>
        <w:t>Unies</w:t>
      </w:r>
      <w:r>
        <w:rPr>
          <w:color w:val="231F20"/>
          <w:spacing w:val="-17"/>
        </w:rPr>
        <w:t> </w:t>
      </w:r>
      <w:r>
        <w:rPr>
          <w:color w:val="231F20"/>
        </w:rPr>
        <w:t>et réclamer que Cuba soit radiée de la Liste des États censément commanditaires de terrorisme international.</w:t>
      </w:r>
    </w:p>
    <w:p>
      <w:pPr>
        <w:pStyle w:val="BodyText"/>
        <w:spacing w:before="166"/>
        <w:ind w:left="1474" w:right="1"/>
      </w:pPr>
      <w:r>
        <w:rPr>
          <w:b/>
          <w:color w:val="B52628"/>
          <w:spacing w:val="-2"/>
        </w:rPr>
        <w:t>5</w:t>
      </w:r>
      <w:r>
        <w:rPr>
          <w:b/>
          <w:color w:val="B52628"/>
          <w:spacing w:val="-15"/>
        </w:rPr>
        <w:t> </w:t>
      </w:r>
      <w:r>
        <w:rPr>
          <w:b/>
          <w:color w:val="B52628"/>
          <w:spacing w:val="-2"/>
        </w:rPr>
        <w:t>novembre</w:t>
      </w:r>
      <w:r>
        <w:rPr>
          <w:b/>
          <w:color w:val="B52628"/>
          <w:spacing w:val="-15"/>
        </w:rPr>
        <w:t> </w:t>
      </w:r>
      <w:r>
        <w:rPr>
          <w:b/>
          <w:color w:val="B52628"/>
          <w:spacing w:val="-2"/>
        </w:rPr>
        <w:t>2022.</w:t>
      </w:r>
      <w:r>
        <w:rPr>
          <w:b/>
          <w:color w:val="B52628"/>
          <w:spacing w:val="-14"/>
        </w:rPr>
        <w:t> </w:t>
      </w:r>
      <w:r>
        <w:rPr>
          <w:color w:val="231F20"/>
          <w:spacing w:val="-2"/>
        </w:rPr>
        <w:t>Carlos</w:t>
      </w:r>
      <w:r>
        <w:rPr>
          <w:color w:val="231F20"/>
          <w:spacing w:val="-15"/>
        </w:rPr>
        <w:t> </w:t>
      </w:r>
      <w:r>
        <w:rPr>
          <w:color w:val="231F20"/>
          <w:spacing w:val="-2"/>
        </w:rPr>
        <w:t>Lazo,</w:t>
      </w:r>
      <w:r>
        <w:rPr>
          <w:color w:val="231F20"/>
          <w:spacing w:val="-14"/>
        </w:rPr>
        <w:t> </w:t>
      </w:r>
      <w:r>
        <w:rPr>
          <w:color w:val="231F20"/>
          <w:spacing w:val="-2"/>
        </w:rPr>
        <w:t>professeur </w:t>
      </w:r>
      <w:r>
        <w:rPr>
          <w:color w:val="231F20"/>
        </w:rPr>
        <w:t>cubano-étasunien qui conduit le projet </w:t>
      </w:r>
      <w:r>
        <w:rPr>
          <w:color w:val="231F20"/>
          <w:spacing w:val="-4"/>
        </w:rPr>
        <w:t>Puentes</w:t>
      </w:r>
      <w:r>
        <w:rPr>
          <w:color w:val="231F20"/>
          <w:spacing w:val="-11"/>
        </w:rPr>
        <w:t> </w:t>
      </w:r>
      <w:r>
        <w:rPr>
          <w:color w:val="231F20"/>
          <w:spacing w:val="-4"/>
        </w:rPr>
        <w:t>de</w:t>
      </w:r>
      <w:r>
        <w:rPr>
          <w:color w:val="231F20"/>
          <w:spacing w:val="-10"/>
        </w:rPr>
        <w:t> </w:t>
      </w:r>
      <w:r>
        <w:rPr>
          <w:color w:val="231F20"/>
          <w:spacing w:val="-4"/>
        </w:rPr>
        <w:t>Amor,</w:t>
      </w:r>
      <w:r>
        <w:rPr>
          <w:color w:val="231F20"/>
          <w:spacing w:val="-10"/>
        </w:rPr>
        <w:t> </w:t>
      </w:r>
      <w:r>
        <w:rPr>
          <w:color w:val="231F20"/>
          <w:spacing w:val="-4"/>
        </w:rPr>
        <w:t>et</w:t>
      </w:r>
      <w:r>
        <w:rPr>
          <w:color w:val="231F20"/>
          <w:spacing w:val="-10"/>
        </w:rPr>
        <w:t> </w:t>
      </w:r>
      <w:r>
        <w:rPr>
          <w:color w:val="231F20"/>
          <w:spacing w:val="-4"/>
        </w:rPr>
        <w:t>l’organisation</w:t>
      </w:r>
      <w:r>
        <w:rPr>
          <w:color w:val="231F20"/>
          <w:spacing w:val="-10"/>
        </w:rPr>
        <w:t> </w:t>
      </w:r>
      <w:r>
        <w:rPr>
          <w:color w:val="231F20"/>
          <w:spacing w:val="-4"/>
        </w:rPr>
        <w:t>pacifiste </w:t>
      </w:r>
      <w:r>
        <w:rPr>
          <w:color w:val="231F20"/>
        </w:rPr>
        <w:t>Code Pink, remettent une donation de</w:t>
      </w:r>
      <w:r>
        <w:rPr>
          <w:color w:val="231F20"/>
          <w:spacing w:val="40"/>
        </w:rPr>
        <w:t> </w:t>
      </w:r>
      <w:r>
        <w:rPr>
          <w:color w:val="231F20"/>
        </w:rPr>
        <w:t>lait en poudre, de gants chirurgicaux, d’aliments et de médicaments à l’hôpital pédiatrique</w:t>
      </w:r>
      <w:r>
        <w:rPr>
          <w:color w:val="231F20"/>
          <w:spacing w:val="-2"/>
        </w:rPr>
        <w:t> </w:t>
      </w:r>
      <w:r>
        <w:rPr>
          <w:color w:val="231F20"/>
        </w:rPr>
        <w:t>Pepe</w:t>
      </w:r>
      <w:r>
        <w:rPr>
          <w:color w:val="231F20"/>
          <w:spacing w:val="-2"/>
        </w:rPr>
        <w:t> </w:t>
      </w:r>
      <w:r>
        <w:rPr>
          <w:color w:val="231F20"/>
        </w:rPr>
        <w:t>Portilla,</w:t>
      </w:r>
      <w:r>
        <w:rPr>
          <w:color w:val="231F20"/>
          <w:spacing w:val="-2"/>
        </w:rPr>
        <w:t> </w:t>
      </w:r>
      <w:r>
        <w:rPr>
          <w:color w:val="231F20"/>
        </w:rPr>
        <w:t>de</w:t>
      </w:r>
      <w:r>
        <w:rPr>
          <w:color w:val="231F20"/>
          <w:spacing w:val="-2"/>
        </w:rPr>
        <w:t> </w:t>
      </w:r>
      <w:r>
        <w:rPr>
          <w:color w:val="231F20"/>
        </w:rPr>
        <w:t>Pinar</w:t>
      </w:r>
      <w:r>
        <w:rPr>
          <w:color w:val="231F20"/>
          <w:spacing w:val="-2"/>
        </w:rPr>
        <w:t> </w:t>
      </w:r>
      <w:r>
        <w:rPr>
          <w:color w:val="231F20"/>
        </w:rPr>
        <w:t>del</w:t>
      </w:r>
      <w:r>
        <w:rPr>
          <w:color w:val="231F20"/>
          <w:spacing w:val="-2"/>
        </w:rPr>
        <w:t> </w:t>
      </w:r>
      <w:r>
        <w:rPr>
          <w:color w:val="231F20"/>
        </w:rPr>
        <w:t>Río </w:t>
      </w:r>
      <w:r>
        <w:rPr>
          <w:color w:val="231F20"/>
          <w:spacing w:val="-4"/>
        </w:rPr>
        <w:t>(Cuba),</w:t>
      </w:r>
      <w:r>
        <w:rPr>
          <w:color w:val="231F20"/>
          <w:spacing w:val="-10"/>
        </w:rPr>
        <w:t> </w:t>
      </w:r>
      <w:r>
        <w:rPr>
          <w:color w:val="231F20"/>
          <w:spacing w:val="-4"/>
        </w:rPr>
        <w:t>afin</w:t>
      </w:r>
      <w:r>
        <w:rPr>
          <w:color w:val="231F20"/>
          <w:spacing w:val="-10"/>
        </w:rPr>
        <w:t> </w:t>
      </w:r>
      <w:r>
        <w:rPr>
          <w:color w:val="231F20"/>
          <w:spacing w:val="-4"/>
        </w:rPr>
        <w:t>d’aider</w:t>
      </w:r>
      <w:r>
        <w:rPr>
          <w:color w:val="231F20"/>
          <w:spacing w:val="-9"/>
        </w:rPr>
        <w:t> </w:t>
      </w:r>
      <w:r>
        <w:rPr>
          <w:color w:val="231F20"/>
          <w:spacing w:val="-4"/>
        </w:rPr>
        <w:t>Cuba,</w:t>
      </w:r>
      <w:r>
        <w:rPr>
          <w:color w:val="231F20"/>
          <w:spacing w:val="-10"/>
        </w:rPr>
        <w:t> </w:t>
      </w:r>
      <w:r>
        <w:rPr>
          <w:color w:val="231F20"/>
          <w:spacing w:val="-4"/>
        </w:rPr>
        <w:t>selon</w:t>
      </w:r>
      <w:r>
        <w:rPr>
          <w:color w:val="231F20"/>
          <w:spacing w:val="-10"/>
        </w:rPr>
        <w:t> </w:t>
      </w:r>
      <w:r>
        <w:rPr>
          <w:color w:val="231F20"/>
          <w:spacing w:val="-4"/>
        </w:rPr>
        <w:t>Lazo,</w:t>
      </w:r>
      <w:r>
        <w:rPr>
          <w:color w:val="231F20"/>
          <w:spacing w:val="-10"/>
        </w:rPr>
        <w:t> </w:t>
      </w:r>
      <w:r>
        <w:rPr>
          <w:color w:val="231F20"/>
          <w:spacing w:val="-4"/>
        </w:rPr>
        <w:t>à</w:t>
      </w:r>
      <w:r>
        <w:rPr>
          <w:color w:val="231F20"/>
          <w:spacing w:val="-10"/>
        </w:rPr>
        <w:t> </w:t>
      </w:r>
      <w:r>
        <w:rPr>
          <w:color w:val="231F20"/>
          <w:spacing w:val="-4"/>
        </w:rPr>
        <w:t>faire </w:t>
      </w:r>
      <w:r>
        <w:rPr>
          <w:color w:val="231F20"/>
          <w:spacing w:val="-2"/>
        </w:rPr>
        <w:t>face</w:t>
      </w:r>
      <w:r>
        <w:rPr>
          <w:color w:val="231F20"/>
          <w:spacing w:val="-11"/>
        </w:rPr>
        <w:t> </w:t>
      </w:r>
      <w:r>
        <w:rPr>
          <w:color w:val="231F20"/>
          <w:spacing w:val="-2"/>
        </w:rPr>
        <w:t>au</w:t>
      </w:r>
      <w:r>
        <w:rPr>
          <w:color w:val="231F20"/>
          <w:spacing w:val="-8"/>
        </w:rPr>
        <w:t> </w:t>
      </w:r>
      <w:r>
        <w:rPr>
          <w:color w:val="231F20"/>
          <w:spacing w:val="-2"/>
        </w:rPr>
        <w:t>blocus</w:t>
      </w:r>
      <w:r>
        <w:rPr>
          <w:color w:val="231F20"/>
          <w:spacing w:val="-8"/>
        </w:rPr>
        <w:t> </w:t>
      </w:r>
      <w:r>
        <w:rPr>
          <w:color w:val="231F20"/>
          <w:spacing w:val="-2"/>
        </w:rPr>
        <w:t>économique</w:t>
      </w:r>
      <w:r>
        <w:rPr>
          <w:color w:val="231F20"/>
          <w:spacing w:val="-8"/>
        </w:rPr>
        <w:t> </w:t>
      </w:r>
      <w:r>
        <w:rPr>
          <w:color w:val="231F20"/>
          <w:spacing w:val="-2"/>
        </w:rPr>
        <w:t>des</w:t>
      </w:r>
      <w:r>
        <w:rPr>
          <w:color w:val="231F20"/>
          <w:spacing w:val="-8"/>
        </w:rPr>
        <w:t> </w:t>
      </w:r>
      <w:r>
        <w:rPr>
          <w:color w:val="231F20"/>
          <w:spacing w:val="-2"/>
        </w:rPr>
        <w:t>États-Unis.</w:t>
      </w:r>
    </w:p>
    <w:p>
      <w:pPr>
        <w:pStyle w:val="BodyText"/>
        <w:spacing w:before="77"/>
        <w:ind w:left="412" w:right="1131"/>
      </w:pPr>
      <w:r>
        <w:rPr/>
        <w:br w:type="column"/>
      </w:r>
      <w:r>
        <w:rPr>
          <w:b/>
          <w:color w:val="B52628"/>
          <w:spacing w:val="-4"/>
        </w:rPr>
        <w:t>14</w:t>
      </w:r>
      <w:r>
        <w:rPr>
          <w:b/>
          <w:color w:val="B52628"/>
          <w:spacing w:val="-13"/>
        </w:rPr>
        <w:t> </w:t>
      </w:r>
      <w:r>
        <w:rPr>
          <w:b/>
          <w:color w:val="B52628"/>
          <w:spacing w:val="-4"/>
        </w:rPr>
        <w:t>novembre</w:t>
      </w:r>
      <w:r>
        <w:rPr>
          <w:b/>
          <w:color w:val="B52628"/>
          <w:spacing w:val="-13"/>
        </w:rPr>
        <w:t> </w:t>
      </w:r>
      <w:r>
        <w:rPr>
          <w:b/>
          <w:color w:val="B52628"/>
          <w:spacing w:val="-4"/>
        </w:rPr>
        <w:t>2022.</w:t>
      </w:r>
      <w:r>
        <w:rPr>
          <w:b/>
          <w:color w:val="B52628"/>
          <w:spacing w:val="-12"/>
        </w:rPr>
        <w:t> </w:t>
      </w:r>
      <w:r>
        <w:rPr>
          <w:color w:val="231F20"/>
          <w:spacing w:val="-4"/>
        </w:rPr>
        <w:t>Chris</w:t>
      </w:r>
      <w:r>
        <w:rPr>
          <w:color w:val="231F20"/>
          <w:spacing w:val="-13"/>
        </w:rPr>
        <w:t> </w:t>
      </w:r>
      <w:r>
        <w:rPr>
          <w:color w:val="231F20"/>
          <w:spacing w:val="-4"/>
        </w:rPr>
        <w:t>Moldes,</w:t>
      </w:r>
      <w:r>
        <w:rPr>
          <w:color w:val="231F20"/>
          <w:spacing w:val="-12"/>
        </w:rPr>
        <w:t> </w:t>
      </w:r>
      <w:r>
        <w:rPr>
          <w:color w:val="231F20"/>
          <w:spacing w:val="-4"/>
        </w:rPr>
        <w:t>cubano- </w:t>
      </w:r>
      <w:r>
        <w:rPr>
          <w:color w:val="231F20"/>
        </w:rPr>
        <w:t>étasunien,</w:t>
      </w:r>
      <w:r>
        <w:rPr>
          <w:color w:val="231F20"/>
          <w:spacing w:val="-17"/>
        </w:rPr>
        <w:t> </w:t>
      </w:r>
      <w:r>
        <w:rPr>
          <w:color w:val="231F20"/>
        </w:rPr>
        <w:t>demande</w:t>
      </w:r>
      <w:r>
        <w:rPr>
          <w:color w:val="231F20"/>
          <w:spacing w:val="-16"/>
        </w:rPr>
        <w:t> </w:t>
      </w:r>
      <w:r>
        <w:rPr>
          <w:color w:val="231F20"/>
        </w:rPr>
        <w:t>dans</w:t>
      </w:r>
      <w:r>
        <w:rPr>
          <w:color w:val="231F20"/>
          <w:spacing w:val="-17"/>
        </w:rPr>
        <w:t> </w:t>
      </w:r>
      <w:r>
        <w:rPr>
          <w:color w:val="231F20"/>
        </w:rPr>
        <w:t>un</w:t>
      </w:r>
      <w:r>
        <w:rPr>
          <w:color w:val="231F20"/>
          <w:spacing w:val="-16"/>
        </w:rPr>
        <w:t> </w:t>
      </w:r>
      <w:r>
        <w:rPr>
          <w:color w:val="231F20"/>
        </w:rPr>
        <w:t>article</w:t>
      </w:r>
      <w:r>
        <w:rPr>
          <w:color w:val="231F20"/>
          <w:spacing w:val="-17"/>
        </w:rPr>
        <w:t> </w:t>
      </w:r>
      <w:r>
        <w:rPr>
          <w:color w:val="231F20"/>
        </w:rPr>
        <w:t>publié par The Washington Post la levée du blocus et la radiation de la Liste des États censément</w:t>
      </w:r>
      <w:r>
        <w:rPr>
          <w:color w:val="231F20"/>
          <w:spacing w:val="-3"/>
        </w:rPr>
        <w:t> </w:t>
      </w:r>
      <w:r>
        <w:rPr>
          <w:color w:val="231F20"/>
        </w:rPr>
        <w:t>commanditaires</w:t>
      </w:r>
      <w:r>
        <w:rPr>
          <w:color w:val="231F20"/>
          <w:spacing w:val="-3"/>
        </w:rPr>
        <w:t> </w:t>
      </w:r>
      <w:r>
        <w:rPr>
          <w:color w:val="231F20"/>
        </w:rPr>
        <w:t>de</w:t>
      </w:r>
      <w:r>
        <w:rPr>
          <w:color w:val="231F20"/>
          <w:spacing w:val="-3"/>
        </w:rPr>
        <w:t> </w:t>
      </w:r>
      <w:r>
        <w:rPr>
          <w:color w:val="231F20"/>
        </w:rPr>
        <w:t>terrorisme international, ces décisions répondant à une politique anachronique.</w:t>
      </w:r>
    </w:p>
    <w:p>
      <w:pPr>
        <w:pStyle w:val="BodyText"/>
        <w:spacing w:before="165"/>
        <w:ind w:left="412" w:right="1139"/>
      </w:pPr>
      <w:r>
        <w:rPr>
          <w:b/>
          <w:color w:val="B52628"/>
          <w:spacing w:val="-10"/>
        </w:rPr>
        <w:t>19</w:t>
      </w:r>
      <w:r>
        <w:rPr>
          <w:b/>
          <w:color w:val="B52628"/>
          <w:spacing w:val="-6"/>
        </w:rPr>
        <w:t> </w:t>
      </w:r>
      <w:r>
        <w:rPr>
          <w:b/>
          <w:color w:val="B52628"/>
          <w:spacing w:val="-10"/>
        </w:rPr>
        <w:t>novembre</w:t>
      </w:r>
      <w:r>
        <w:rPr>
          <w:b/>
          <w:color w:val="B52628"/>
          <w:spacing w:val="-6"/>
        </w:rPr>
        <w:t> </w:t>
      </w:r>
      <w:r>
        <w:rPr>
          <w:b/>
          <w:color w:val="B52628"/>
          <w:spacing w:val="-10"/>
        </w:rPr>
        <w:t>2022.</w:t>
      </w:r>
      <w:r>
        <w:rPr>
          <w:b/>
          <w:color w:val="B52628"/>
          <w:spacing w:val="-7"/>
        </w:rPr>
        <w:t> </w:t>
      </w:r>
      <w:r>
        <w:rPr>
          <w:color w:val="231F20"/>
          <w:spacing w:val="-10"/>
        </w:rPr>
        <w:t>José</w:t>
      </w:r>
      <w:r>
        <w:rPr>
          <w:color w:val="231F20"/>
          <w:spacing w:val="-5"/>
        </w:rPr>
        <w:t> </w:t>
      </w:r>
      <w:r>
        <w:rPr>
          <w:color w:val="231F20"/>
          <w:spacing w:val="-10"/>
        </w:rPr>
        <w:t>Oro,</w:t>
      </w:r>
      <w:r>
        <w:rPr>
          <w:color w:val="231F20"/>
          <w:spacing w:val="-6"/>
        </w:rPr>
        <w:t> </w:t>
      </w:r>
      <w:r>
        <w:rPr>
          <w:color w:val="231F20"/>
          <w:spacing w:val="-10"/>
        </w:rPr>
        <w:t>membre</w:t>
      </w:r>
      <w:r>
        <w:rPr>
          <w:color w:val="231F20"/>
          <w:spacing w:val="-6"/>
        </w:rPr>
        <w:t> </w:t>
      </w:r>
      <w:r>
        <w:rPr>
          <w:color w:val="231F20"/>
          <w:spacing w:val="-10"/>
        </w:rPr>
        <w:t>de</w:t>
      </w:r>
      <w:r>
        <w:rPr>
          <w:color w:val="231F20"/>
          <w:spacing w:val="-6"/>
        </w:rPr>
        <w:t> </w:t>
      </w:r>
      <w:r>
        <w:rPr>
          <w:color w:val="231F20"/>
          <w:spacing w:val="-10"/>
        </w:rPr>
        <w:t>la </w:t>
      </w:r>
      <w:r>
        <w:rPr>
          <w:color w:val="231F20"/>
          <w:spacing w:val="-12"/>
        </w:rPr>
        <w:t>direction</w:t>
      </w:r>
      <w:r>
        <w:rPr>
          <w:color w:val="231F20"/>
        </w:rPr>
        <w:t> </w:t>
      </w:r>
      <w:r>
        <w:rPr>
          <w:color w:val="231F20"/>
          <w:spacing w:val="-12"/>
        </w:rPr>
        <w:t>de</w:t>
      </w:r>
      <w:r>
        <w:rPr>
          <w:color w:val="231F20"/>
        </w:rPr>
        <w:t> </w:t>
      </w:r>
      <w:r>
        <w:rPr>
          <w:color w:val="231F20"/>
          <w:spacing w:val="-12"/>
        </w:rPr>
        <w:t>l’organisation</w:t>
      </w:r>
      <w:r>
        <w:rPr>
          <w:color w:val="231F20"/>
        </w:rPr>
        <w:t> </w:t>
      </w:r>
      <w:r>
        <w:rPr>
          <w:color w:val="231F20"/>
          <w:spacing w:val="-12"/>
        </w:rPr>
        <w:t>NEMO,</w:t>
      </w:r>
      <w:r>
        <w:rPr>
          <w:color w:val="231F20"/>
        </w:rPr>
        <w:t> </w:t>
      </w:r>
      <w:r>
        <w:rPr>
          <w:color w:val="231F20"/>
          <w:spacing w:val="-12"/>
        </w:rPr>
        <w:t>dénonce</w:t>
      </w:r>
      <w:r>
        <w:rPr>
          <w:color w:val="231F20"/>
        </w:rPr>
        <w:t> </w:t>
      </w:r>
      <w:r>
        <w:rPr>
          <w:color w:val="231F20"/>
          <w:spacing w:val="-12"/>
        </w:rPr>
        <w:t>et </w:t>
      </w:r>
      <w:r>
        <w:rPr>
          <w:color w:val="231F20"/>
          <w:spacing w:val="-10"/>
        </w:rPr>
        <w:t>condamne</w:t>
      </w:r>
      <w:r>
        <w:rPr>
          <w:color w:val="231F20"/>
          <w:spacing w:val="-7"/>
        </w:rPr>
        <w:t> </w:t>
      </w:r>
      <w:r>
        <w:rPr>
          <w:color w:val="231F20"/>
          <w:spacing w:val="-10"/>
        </w:rPr>
        <w:t>les</w:t>
      </w:r>
      <w:r>
        <w:rPr>
          <w:color w:val="231F20"/>
          <w:spacing w:val="-6"/>
        </w:rPr>
        <w:t> </w:t>
      </w:r>
      <w:r>
        <w:rPr>
          <w:color w:val="231F20"/>
          <w:spacing w:val="-10"/>
        </w:rPr>
        <w:t>mesures</w:t>
      </w:r>
      <w:r>
        <w:rPr>
          <w:color w:val="231F20"/>
          <w:spacing w:val="-7"/>
        </w:rPr>
        <w:t> </w:t>
      </w:r>
      <w:r>
        <w:rPr>
          <w:color w:val="231F20"/>
          <w:spacing w:val="-10"/>
        </w:rPr>
        <w:t>coercitives</w:t>
      </w:r>
      <w:r>
        <w:rPr>
          <w:color w:val="231F20"/>
          <w:spacing w:val="-6"/>
        </w:rPr>
        <w:t> </w:t>
      </w:r>
      <w:r>
        <w:rPr>
          <w:color w:val="231F20"/>
          <w:spacing w:val="-10"/>
        </w:rPr>
        <w:t>appliquées </w:t>
      </w:r>
      <w:r>
        <w:rPr>
          <w:color w:val="231F20"/>
          <w:spacing w:val="-16"/>
        </w:rPr>
        <w:t>depuis</w:t>
      </w:r>
      <w:r>
        <w:rPr>
          <w:color w:val="231F20"/>
        </w:rPr>
        <w:t> </w:t>
      </w:r>
      <w:r>
        <w:rPr>
          <w:color w:val="231F20"/>
          <w:spacing w:val="-16"/>
        </w:rPr>
        <w:t>plus</w:t>
      </w:r>
      <w:r>
        <w:rPr>
          <w:color w:val="231F20"/>
        </w:rPr>
        <w:t> </w:t>
      </w:r>
      <w:r>
        <w:rPr>
          <w:color w:val="231F20"/>
          <w:spacing w:val="-16"/>
        </w:rPr>
        <w:t>de</w:t>
      </w:r>
      <w:r>
        <w:rPr>
          <w:color w:val="231F20"/>
        </w:rPr>
        <w:t> </w:t>
      </w:r>
      <w:r>
        <w:rPr>
          <w:color w:val="231F20"/>
          <w:spacing w:val="-16"/>
        </w:rPr>
        <w:t>soixante</w:t>
      </w:r>
      <w:r>
        <w:rPr>
          <w:color w:val="231F20"/>
        </w:rPr>
        <w:t> </w:t>
      </w:r>
      <w:r>
        <w:rPr>
          <w:color w:val="231F20"/>
          <w:spacing w:val="-16"/>
        </w:rPr>
        <w:t>ans</w:t>
      </w:r>
      <w:r>
        <w:rPr>
          <w:color w:val="231F20"/>
        </w:rPr>
        <w:t> </w:t>
      </w:r>
      <w:r>
        <w:rPr>
          <w:color w:val="231F20"/>
          <w:spacing w:val="-16"/>
        </w:rPr>
        <w:t>à</w:t>
      </w:r>
      <w:r>
        <w:rPr>
          <w:color w:val="231F20"/>
        </w:rPr>
        <w:t> </w:t>
      </w:r>
      <w:r>
        <w:rPr>
          <w:color w:val="231F20"/>
          <w:spacing w:val="-16"/>
        </w:rPr>
        <w:t>Cuba</w:t>
      </w:r>
      <w:r>
        <w:rPr>
          <w:color w:val="231F20"/>
        </w:rPr>
        <w:t> </w:t>
      </w:r>
      <w:r>
        <w:rPr>
          <w:color w:val="231F20"/>
          <w:spacing w:val="-16"/>
        </w:rPr>
        <w:t>pour</w:t>
      </w:r>
      <w:r>
        <w:rPr>
          <w:color w:val="231F20"/>
        </w:rPr>
        <w:t> </w:t>
      </w:r>
      <w:r>
        <w:rPr>
          <w:color w:val="231F20"/>
          <w:spacing w:val="-16"/>
        </w:rPr>
        <w:t>miner </w:t>
      </w:r>
      <w:r>
        <w:rPr>
          <w:color w:val="231F20"/>
        </w:rPr>
        <w:t>la vie économique du pays, provoquer le </w:t>
      </w:r>
      <w:r>
        <w:rPr>
          <w:color w:val="231F20"/>
          <w:spacing w:val="-12"/>
        </w:rPr>
        <w:t>désespoir</w:t>
      </w:r>
      <w:r>
        <w:rPr>
          <w:color w:val="231F20"/>
          <w:spacing w:val="-1"/>
        </w:rPr>
        <w:t> </w:t>
      </w:r>
      <w:r>
        <w:rPr>
          <w:color w:val="231F20"/>
          <w:spacing w:val="-12"/>
        </w:rPr>
        <w:t>de</w:t>
      </w:r>
      <w:r>
        <w:rPr>
          <w:color w:val="231F20"/>
          <w:spacing w:val="-1"/>
        </w:rPr>
        <w:t> </w:t>
      </w:r>
      <w:r>
        <w:rPr>
          <w:color w:val="231F20"/>
          <w:spacing w:val="-12"/>
        </w:rPr>
        <w:t>la</w:t>
      </w:r>
      <w:r>
        <w:rPr>
          <w:color w:val="231F20"/>
          <w:spacing w:val="-1"/>
        </w:rPr>
        <w:t> </w:t>
      </w:r>
      <w:r>
        <w:rPr>
          <w:color w:val="231F20"/>
          <w:spacing w:val="-12"/>
        </w:rPr>
        <w:t>population</w:t>
      </w:r>
      <w:r>
        <w:rPr>
          <w:color w:val="231F20"/>
          <w:spacing w:val="-1"/>
        </w:rPr>
        <w:t> </w:t>
      </w:r>
      <w:r>
        <w:rPr>
          <w:color w:val="231F20"/>
          <w:spacing w:val="-12"/>
        </w:rPr>
        <w:t>et</w:t>
      </w:r>
      <w:r>
        <w:rPr>
          <w:color w:val="231F20"/>
          <w:spacing w:val="-1"/>
        </w:rPr>
        <w:t> </w:t>
      </w:r>
      <w:r>
        <w:rPr>
          <w:color w:val="231F20"/>
          <w:spacing w:val="-12"/>
        </w:rPr>
        <w:t>le</w:t>
      </w:r>
      <w:r>
        <w:rPr>
          <w:color w:val="231F20"/>
          <w:spacing w:val="-1"/>
        </w:rPr>
        <w:t> </w:t>
      </w:r>
      <w:r>
        <w:rPr>
          <w:color w:val="231F20"/>
          <w:spacing w:val="-12"/>
        </w:rPr>
        <w:t>renversement </w:t>
      </w:r>
      <w:r>
        <w:rPr>
          <w:color w:val="231F20"/>
          <w:spacing w:val="-2"/>
        </w:rPr>
        <w:t>du</w:t>
      </w:r>
      <w:r>
        <w:rPr>
          <w:color w:val="231F20"/>
          <w:spacing w:val="-15"/>
        </w:rPr>
        <w:t> </w:t>
      </w:r>
      <w:r>
        <w:rPr>
          <w:color w:val="231F20"/>
          <w:spacing w:val="-2"/>
        </w:rPr>
        <w:t>gouvernement</w:t>
      </w:r>
      <w:r>
        <w:rPr>
          <w:color w:val="231F20"/>
          <w:spacing w:val="-14"/>
        </w:rPr>
        <w:t> </w:t>
      </w:r>
      <w:r>
        <w:rPr>
          <w:color w:val="231F20"/>
          <w:spacing w:val="-2"/>
        </w:rPr>
        <w:t>cubain,</w:t>
      </w:r>
      <w:r>
        <w:rPr>
          <w:color w:val="231F20"/>
          <w:spacing w:val="-15"/>
        </w:rPr>
        <w:t> </w:t>
      </w:r>
      <w:r>
        <w:rPr>
          <w:color w:val="231F20"/>
          <w:spacing w:val="-2"/>
        </w:rPr>
        <w:t>devant</w:t>
      </w:r>
      <w:r>
        <w:rPr>
          <w:color w:val="231F20"/>
          <w:spacing w:val="-14"/>
        </w:rPr>
        <w:t> </w:t>
      </w:r>
      <w:r>
        <w:rPr>
          <w:color w:val="231F20"/>
          <w:spacing w:val="-2"/>
        </w:rPr>
        <w:t>un</w:t>
      </w:r>
      <w:r>
        <w:rPr>
          <w:color w:val="231F20"/>
          <w:spacing w:val="-15"/>
        </w:rPr>
        <w:t> </w:t>
      </w:r>
      <w:r>
        <w:rPr>
          <w:color w:val="231F20"/>
          <w:spacing w:val="-2"/>
        </w:rPr>
        <w:t>forum </w:t>
      </w:r>
      <w:r>
        <w:rPr>
          <w:color w:val="231F20"/>
          <w:spacing w:val="-6"/>
        </w:rPr>
        <w:t>de</w:t>
      </w:r>
      <w:r>
        <w:rPr>
          <w:color w:val="231F20"/>
          <w:spacing w:val="-8"/>
        </w:rPr>
        <w:t> </w:t>
      </w:r>
      <w:r>
        <w:rPr>
          <w:color w:val="231F20"/>
          <w:spacing w:val="-6"/>
        </w:rPr>
        <w:t>législateurs</w:t>
      </w:r>
      <w:r>
        <w:rPr>
          <w:color w:val="231F20"/>
          <w:spacing w:val="-8"/>
        </w:rPr>
        <w:t> </w:t>
      </w:r>
      <w:r>
        <w:rPr>
          <w:color w:val="231F20"/>
          <w:spacing w:val="-6"/>
        </w:rPr>
        <w:t>du</w:t>
      </w:r>
      <w:r>
        <w:rPr>
          <w:color w:val="231F20"/>
          <w:spacing w:val="-8"/>
        </w:rPr>
        <w:t> </w:t>
      </w:r>
      <w:r>
        <w:rPr>
          <w:color w:val="231F20"/>
          <w:spacing w:val="-6"/>
        </w:rPr>
        <w:t>Connecticut</w:t>
      </w:r>
      <w:r>
        <w:rPr>
          <w:color w:val="231F20"/>
          <w:spacing w:val="-8"/>
        </w:rPr>
        <w:t> </w:t>
      </w:r>
      <w:r>
        <w:rPr>
          <w:color w:val="231F20"/>
          <w:spacing w:val="-6"/>
        </w:rPr>
        <w:t>et</w:t>
      </w:r>
      <w:r>
        <w:rPr>
          <w:color w:val="231F20"/>
          <w:spacing w:val="-8"/>
        </w:rPr>
        <w:t> </w:t>
      </w:r>
      <w:r>
        <w:rPr>
          <w:color w:val="231F20"/>
          <w:spacing w:val="-6"/>
        </w:rPr>
        <w:t>de</w:t>
      </w:r>
      <w:r>
        <w:rPr>
          <w:color w:val="231F20"/>
          <w:spacing w:val="-8"/>
        </w:rPr>
        <w:t> </w:t>
      </w:r>
      <w:r>
        <w:rPr>
          <w:color w:val="231F20"/>
          <w:spacing w:val="-6"/>
        </w:rPr>
        <w:t>consuls </w:t>
      </w:r>
      <w:r>
        <w:rPr>
          <w:color w:val="231F20"/>
          <w:spacing w:val="-4"/>
        </w:rPr>
        <w:t>latino-américains</w:t>
      </w:r>
      <w:r>
        <w:rPr>
          <w:color w:val="231F20"/>
          <w:spacing w:val="-18"/>
        </w:rPr>
        <w:t> </w:t>
      </w:r>
      <w:r>
        <w:rPr>
          <w:color w:val="231F20"/>
          <w:spacing w:val="-4"/>
        </w:rPr>
        <w:t>et</w:t>
      </w:r>
      <w:r>
        <w:rPr>
          <w:color w:val="231F20"/>
          <w:spacing w:val="-18"/>
        </w:rPr>
        <w:t> </w:t>
      </w:r>
      <w:r>
        <w:rPr>
          <w:color w:val="231F20"/>
          <w:spacing w:val="-4"/>
        </w:rPr>
        <w:t>caribéens.</w:t>
      </w:r>
    </w:p>
    <w:p>
      <w:pPr>
        <w:pStyle w:val="BodyText"/>
        <w:spacing w:before="167"/>
        <w:ind w:left="412" w:right="1138"/>
      </w:pPr>
      <w:r>
        <w:rPr>
          <w:b/>
          <w:color w:val="B52628"/>
        </w:rPr>
        <w:t>28 novembre 2022.</w:t>
      </w:r>
      <w:r>
        <w:rPr>
          <w:b/>
          <w:color w:val="B52628"/>
          <w:spacing w:val="40"/>
        </w:rPr>
        <w:t> </w:t>
      </w:r>
      <w:r>
        <w:rPr>
          <w:color w:val="231F20"/>
        </w:rPr>
        <w:t>Le Troy Area Labor </w:t>
      </w:r>
      <w:r>
        <w:rPr>
          <w:color w:val="231F20"/>
          <w:spacing w:val="-8"/>
        </w:rPr>
        <w:t>Council émet une résolution pour demander </w:t>
      </w:r>
      <w:r>
        <w:rPr>
          <w:color w:val="231F20"/>
          <w:spacing w:val="-6"/>
        </w:rPr>
        <w:t>la</w:t>
      </w:r>
      <w:r>
        <w:rPr>
          <w:color w:val="231F20"/>
          <w:spacing w:val="-11"/>
        </w:rPr>
        <w:t> </w:t>
      </w:r>
      <w:r>
        <w:rPr>
          <w:color w:val="231F20"/>
          <w:spacing w:val="-6"/>
        </w:rPr>
        <w:t>levée</w:t>
      </w:r>
      <w:r>
        <w:rPr>
          <w:color w:val="231F20"/>
          <w:spacing w:val="-10"/>
        </w:rPr>
        <w:t> </w:t>
      </w:r>
      <w:r>
        <w:rPr>
          <w:color w:val="231F20"/>
          <w:spacing w:val="-6"/>
        </w:rPr>
        <w:t>du</w:t>
      </w:r>
      <w:r>
        <w:rPr>
          <w:color w:val="231F20"/>
          <w:spacing w:val="-11"/>
        </w:rPr>
        <w:t> </w:t>
      </w:r>
      <w:r>
        <w:rPr>
          <w:color w:val="231F20"/>
          <w:spacing w:val="-6"/>
        </w:rPr>
        <w:t>blocus</w:t>
      </w:r>
      <w:r>
        <w:rPr>
          <w:color w:val="231F20"/>
          <w:spacing w:val="-10"/>
        </w:rPr>
        <w:t> </w:t>
      </w:r>
      <w:r>
        <w:rPr>
          <w:color w:val="231F20"/>
          <w:spacing w:val="-6"/>
        </w:rPr>
        <w:t>et</w:t>
      </w:r>
      <w:r>
        <w:rPr>
          <w:color w:val="231F20"/>
          <w:spacing w:val="-11"/>
        </w:rPr>
        <w:t> </w:t>
      </w:r>
      <w:r>
        <w:rPr>
          <w:color w:val="231F20"/>
          <w:spacing w:val="-6"/>
        </w:rPr>
        <w:t>la</w:t>
      </w:r>
      <w:r>
        <w:rPr>
          <w:color w:val="231F20"/>
          <w:spacing w:val="-10"/>
        </w:rPr>
        <w:t> </w:t>
      </w:r>
      <w:r>
        <w:rPr>
          <w:color w:val="231F20"/>
          <w:spacing w:val="-6"/>
        </w:rPr>
        <w:t>radiation</w:t>
      </w:r>
      <w:r>
        <w:rPr>
          <w:color w:val="231F20"/>
          <w:spacing w:val="-11"/>
        </w:rPr>
        <w:t> </w:t>
      </w:r>
      <w:r>
        <w:rPr>
          <w:color w:val="231F20"/>
          <w:spacing w:val="-6"/>
        </w:rPr>
        <w:t>de</w:t>
      </w:r>
      <w:r>
        <w:rPr>
          <w:color w:val="231F20"/>
          <w:spacing w:val="-10"/>
        </w:rPr>
        <w:t> </w:t>
      </w:r>
      <w:r>
        <w:rPr>
          <w:color w:val="231F20"/>
          <w:spacing w:val="-6"/>
        </w:rPr>
        <w:t>Cuba</w:t>
      </w:r>
      <w:r>
        <w:rPr>
          <w:color w:val="231F20"/>
          <w:spacing w:val="-10"/>
        </w:rPr>
        <w:t> </w:t>
      </w:r>
      <w:r>
        <w:rPr>
          <w:color w:val="231F20"/>
          <w:spacing w:val="-6"/>
        </w:rPr>
        <w:t>de </w:t>
      </w:r>
      <w:r>
        <w:rPr>
          <w:color w:val="231F20"/>
          <w:spacing w:val="-8"/>
        </w:rPr>
        <w:t>la Liste des États censément commanditaires </w:t>
      </w:r>
      <w:r>
        <w:rPr>
          <w:color w:val="231F20"/>
        </w:rPr>
        <w:t>de</w:t>
      </w:r>
      <w:r>
        <w:rPr>
          <w:color w:val="231F20"/>
          <w:spacing w:val="-17"/>
        </w:rPr>
        <w:t> </w:t>
      </w:r>
      <w:r>
        <w:rPr>
          <w:color w:val="231F20"/>
        </w:rPr>
        <w:t>terrorisme</w:t>
      </w:r>
      <w:r>
        <w:rPr>
          <w:color w:val="231F20"/>
          <w:spacing w:val="-16"/>
        </w:rPr>
        <w:t> </w:t>
      </w:r>
      <w:r>
        <w:rPr>
          <w:color w:val="231F20"/>
        </w:rPr>
        <w:t>international.</w:t>
      </w:r>
    </w:p>
    <w:p>
      <w:pPr>
        <w:pStyle w:val="BodyText"/>
        <w:spacing w:before="164"/>
        <w:ind w:left="412" w:right="1130"/>
      </w:pPr>
      <w:r>
        <w:rPr>
          <w:b/>
          <w:color w:val="B52628"/>
        </w:rPr>
        <w:t>4 décembre 2022. </w:t>
      </w:r>
      <w:r>
        <w:rPr>
          <w:color w:val="231F20"/>
        </w:rPr>
        <w:t>Nouvelle caravane </w:t>
      </w:r>
      <w:r>
        <w:rPr>
          <w:color w:val="231F20"/>
        </w:rPr>
        <w:t>à Miami (Floride) pour demander la levée du blocus.</w:t>
      </w:r>
    </w:p>
    <w:p>
      <w:pPr>
        <w:pStyle w:val="BodyText"/>
        <w:spacing w:before="163"/>
        <w:ind w:left="412" w:right="1135"/>
      </w:pPr>
      <w:r>
        <w:rPr>
          <w:b/>
          <w:color w:val="B52628"/>
          <w:spacing w:val="-8"/>
        </w:rPr>
        <w:t>7</w:t>
      </w:r>
      <w:r>
        <w:rPr>
          <w:b/>
          <w:color w:val="B52628"/>
          <w:spacing w:val="-9"/>
        </w:rPr>
        <w:t> </w:t>
      </w:r>
      <w:r>
        <w:rPr>
          <w:b/>
          <w:color w:val="B52628"/>
          <w:spacing w:val="-8"/>
        </w:rPr>
        <w:t>décembre</w:t>
      </w:r>
      <w:r>
        <w:rPr>
          <w:b/>
          <w:color w:val="B52628"/>
          <w:spacing w:val="-9"/>
        </w:rPr>
        <w:t> </w:t>
      </w:r>
      <w:r>
        <w:rPr>
          <w:b/>
          <w:color w:val="B52628"/>
          <w:spacing w:val="-8"/>
        </w:rPr>
        <w:t>2022. </w:t>
      </w:r>
      <w:r>
        <w:rPr>
          <w:color w:val="231F20"/>
          <w:spacing w:val="-8"/>
        </w:rPr>
        <w:t>Yousef</w:t>
      </w:r>
      <w:r>
        <w:rPr>
          <w:color w:val="231F20"/>
          <w:spacing w:val="-9"/>
        </w:rPr>
        <w:t> </w:t>
      </w:r>
      <w:r>
        <w:rPr>
          <w:color w:val="231F20"/>
          <w:spacing w:val="-8"/>
        </w:rPr>
        <w:t>Rabhi, speaker de </w:t>
      </w:r>
      <w:r>
        <w:rPr>
          <w:color w:val="231F20"/>
          <w:spacing w:val="-2"/>
        </w:rPr>
        <w:t>la</w:t>
      </w:r>
      <w:r>
        <w:rPr>
          <w:color w:val="231F20"/>
          <w:spacing w:val="-13"/>
        </w:rPr>
        <w:t> </w:t>
      </w:r>
      <w:r>
        <w:rPr>
          <w:color w:val="231F20"/>
          <w:spacing w:val="-2"/>
        </w:rPr>
        <w:t>majorité</w:t>
      </w:r>
      <w:r>
        <w:rPr>
          <w:color w:val="231F20"/>
          <w:spacing w:val="-13"/>
        </w:rPr>
        <w:t> </w:t>
      </w:r>
      <w:r>
        <w:rPr>
          <w:color w:val="231F20"/>
          <w:spacing w:val="-2"/>
        </w:rPr>
        <w:t>à</w:t>
      </w:r>
      <w:r>
        <w:rPr>
          <w:color w:val="231F20"/>
          <w:spacing w:val="-13"/>
        </w:rPr>
        <w:t> </w:t>
      </w:r>
      <w:r>
        <w:rPr>
          <w:color w:val="231F20"/>
          <w:spacing w:val="-2"/>
        </w:rPr>
        <w:t>la</w:t>
      </w:r>
      <w:r>
        <w:rPr>
          <w:color w:val="231F20"/>
          <w:spacing w:val="-13"/>
        </w:rPr>
        <w:t> </w:t>
      </w:r>
      <w:r>
        <w:rPr>
          <w:color w:val="231F20"/>
          <w:spacing w:val="-2"/>
        </w:rPr>
        <w:t>Chambre</w:t>
      </w:r>
      <w:r>
        <w:rPr>
          <w:color w:val="231F20"/>
          <w:spacing w:val="-13"/>
        </w:rPr>
        <w:t> </w:t>
      </w:r>
      <w:r>
        <w:rPr>
          <w:color w:val="231F20"/>
          <w:spacing w:val="-2"/>
        </w:rPr>
        <w:t>des</w:t>
      </w:r>
      <w:r>
        <w:rPr>
          <w:color w:val="231F20"/>
          <w:spacing w:val="-13"/>
        </w:rPr>
        <w:t> </w:t>
      </w:r>
      <w:r>
        <w:rPr>
          <w:color w:val="231F20"/>
          <w:spacing w:val="-2"/>
        </w:rPr>
        <w:t>représentants </w:t>
      </w:r>
      <w:r>
        <w:rPr>
          <w:color w:val="231F20"/>
        </w:rPr>
        <w:t>du</w:t>
      </w:r>
      <w:r>
        <w:rPr>
          <w:color w:val="231F20"/>
          <w:spacing w:val="-17"/>
        </w:rPr>
        <w:t> </w:t>
      </w:r>
      <w:r>
        <w:rPr>
          <w:color w:val="231F20"/>
        </w:rPr>
        <w:t>Michigan,</w:t>
      </w:r>
      <w:r>
        <w:rPr>
          <w:color w:val="231F20"/>
          <w:spacing w:val="-16"/>
        </w:rPr>
        <w:t> </w:t>
      </w:r>
      <w:r>
        <w:rPr>
          <w:color w:val="231F20"/>
        </w:rPr>
        <w:t>appuyé</w:t>
      </w:r>
      <w:r>
        <w:rPr>
          <w:color w:val="231F20"/>
          <w:spacing w:val="-17"/>
        </w:rPr>
        <w:t> </w:t>
      </w:r>
      <w:r>
        <w:rPr>
          <w:color w:val="231F20"/>
        </w:rPr>
        <w:t>par</w:t>
      </w:r>
      <w:r>
        <w:rPr>
          <w:color w:val="231F20"/>
          <w:spacing w:val="-16"/>
        </w:rPr>
        <w:t> </w:t>
      </w:r>
      <w:r>
        <w:rPr>
          <w:color w:val="231F20"/>
        </w:rPr>
        <w:t>Abraham</w:t>
      </w:r>
      <w:r>
        <w:rPr>
          <w:color w:val="231F20"/>
          <w:spacing w:val="-17"/>
        </w:rPr>
        <w:t> </w:t>
      </w:r>
      <w:r>
        <w:rPr>
          <w:color w:val="231F20"/>
        </w:rPr>
        <w:t>Aiyash, David LaGrand, Julie Brixie, Cynthia Johnson, Mary Cavanagh, Joseph Bellino, Laurie</w:t>
      </w:r>
      <w:r>
        <w:rPr>
          <w:color w:val="231F20"/>
          <w:spacing w:val="-15"/>
        </w:rPr>
        <w:t> </w:t>
      </w:r>
      <w:r>
        <w:rPr>
          <w:color w:val="231F20"/>
        </w:rPr>
        <w:t>Pohutsky</w:t>
      </w:r>
      <w:r>
        <w:rPr>
          <w:color w:val="231F20"/>
          <w:spacing w:val="-15"/>
        </w:rPr>
        <w:t> </w:t>
      </w:r>
      <w:r>
        <w:rPr>
          <w:color w:val="231F20"/>
        </w:rPr>
        <w:t>et</w:t>
      </w:r>
      <w:r>
        <w:rPr>
          <w:color w:val="231F20"/>
          <w:spacing w:val="-15"/>
        </w:rPr>
        <w:t> </w:t>
      </w:r>
      <w:r>
        <w:rPr>
          <w:color w:val="231F20"/>
        </w:rPr>
        <w:t>Jim</w:t>
      </w:r>
      <w:r>
        <w:rPr>
          <w:color w:val="231F20"/>
          <w:spacing w:val="-15"/>
        </w:rPr>
        <w:t> </w:t>
      </w:r>
      <w:r>
        <w:rPr>
          <w:color w:val="231F20"/>
        </w:rPr>
        <w:t>Ellison,</w:t>
      </w:r>
      <w:r>
        <w:rPr>
          <w:color w:val="231F20"/>
          <w:spacing w:val="-15"/>
        </w:rPr>
        <w:t> </w:t>
      </w:r>
      <w:r>
        <w:rPr>
          <w:color w:val="231F20"/>
        </w:rPr>
        <w:t>soumet</w:t>
      </w:r>
      <w:r>
        <w:rPr>
          <w:color w:val="231F20"/>
          <w:spacing w:val="-15"/>
        </w:rPr>
        <w:t> </w:t>
      </w:r>
      <w:r>
        <w:rPr>
          <w:color w:val="231F20"/>
        </w:rPr>
        <w:t>une résolution dans laquelle il demande au président Biden de lever le blocus et de </w:t>
      </w:r>
      <w:r>
        <w:rPr>
          <w:color w:val="231F20"/>
          <w:spacing w:val="-2"/>
        </w:rPr>
        <w:t>radier</w:t>
      </w:r>
      <w:r>
        <w:rPr>
          <w:color w:val="231F20"/>
          <w:spacing w:val="-15"/>
        </w:rPr>
        <w:t> </w:t>
      </w:r>
      <w:r>
        <w:rPr>
          <w:color w:val="231F20"/>
          <w:spacing w:val="-2"/>
        </w:rPr>
        <w:t>Cuba</w:t>
      </w:r>
      <w:r>
        <w:rPr>
          <w:color w:val="231F20"/>
          <w:spacing w:val="-14"/>
        </w:rPr>
        <w:t> </w:t>
      </w:r>
      <w:r>
        <w:rPr>
          <w:color w:val="231F20"/>
          <w:spacing w:val="-2"/>
        </w:rPr>
        <w:t>de</w:t>
      </w:r>
      <w:r>
        <w:rPr>
          <w:color w:val="231F20"/>
          <w:spacing w:val="-15"/>
        </w:rPr>
        <w:t> </w:t>
      </w:r>
      <w:r>
        <w:rPr>
          <w:color w:val="231F20"/>
          <w:spacing w:val="-2"/>
        </w:rPr>
        <w:t>la</w:t>
      </w:r>
      <w:r>
        <w:rPr>
          <w:color w:val="231F20"/>
          <w:spacing w:val="-14"/>
        </w:rPr>
        <w:t> </w:t>
      </w:r>
      <w:r>
        <w:rPr>
          <w:color w:val="231F20"/>
          <w:spacing w:val="-2"/>
        </w:rPr>
        <w:t>Liste</w:t>
      </w:r>
      <w:r>
        <w:rPr>
          <w:color w:val="231F20"/>
          <w:spacing w:val="-15"/>
        </w:rPr>
        <w:t> </w:t>
      </w:r>
      <w:r>
        <w:rPr>
          <w:color w:val="231F20"/>
          <w:spacing w:val="-2"/>
        </w:rPr>
        <w:t>des</w:t>
      </w:r>
      <w:r>
        <w:rPr>
          <w:color w:val="231F20"/>
          <w:spacing w:val="-14"/>
        </w:rPr>
        <w:t> </w:t>
      </w:r>
      <w:r>
        <w:rPr>
          <w:color w:val="231F20"/>
          <w:spacing w:val="-2"/>
        </w:rPr>
        <w:t>États</w:t>
      </w:r>
      <w:r>
        <w:rPr>
          <w:color w:val="231F20"/>
          <w:spacing w:val="-15"/>
        </w:rPr>
        <w:t> </w:t>
      </w:r>
      <w:r>
        <w:rPr>
          <w:color w:val="231F20"/>
          <w:spacing w:val="-2"/>
        </w:rPr>
        <w:t>censément </w:t>
      </w:r>
      <w:r>
        <w:rPr>
          <w:color w:val="231F20"/>
          <w:spacing w:val="-6"/>
        </w:rPr>
        <w:t>commanditaires</w:t>
      </w:r>
      <w:r>
        <w:rPr>
          <w:color w:val="231F20"/>
          <w:spacing w:val="-4"/>
        </w:rPr>
        <w:t> </w:t>
      </w:r>
      <w:r>
        <w:rPr>
          <w:color w:val="231F20"/>
          <w:spacing w:val="-6"/>
        </w:rPr>
        <w:t>de</w:t>
      </w:r>
      <w:r>
        <w:rPr>
          <w:color w:val="231F20"/>
          <w:spacing w:val="-1"/>
        </w:rPr>
        <w:t> </w:t>
      </w:r>
      <w:r>
        <w:rPr>
          <w:color w:val="231F20"/>
          <w:spacing w:val="-6"/>
        </w:rPr>
        <w:t>terrorisme</w:t>
      </w:r>
      <w:r>
        <w:rPr>
          <w:color w:val="231F20"/>
          <w:spacing w:val="-1"/>
        </w:rPr>
        <w:t> </w:t>
      </w:r>
      <w:r>
        <w:rPr>
          <w:color w:val="231F20"/>
          <w:spacing w:val="-6"/>
        </w:rPr>
        <w:t>international.</w:t>
      </w:r>
    </w:p>
    <w:p>
      <w:pPr>
        <w:pStyle w:val="BodyText"/>
        <w:spacing w:before="167"/>
        <w:ind w:left="412" w:right="1131"/>
      </w:pPr>
      <w:r>
        <w:rPr>
          <w:b/>
          <w:color w:val="B52628"/>
        </w:rPr>
        <w:t>21 décembre 2022. </w:t>
      </w:r>
      <w:r>
        <w:rPr>
          <w:color w:val="231F20"/>
        </w:rPr>
        <w:t>Des organisations </w:t>
      </w:r>
      <w:r>
        <w:rPr>
          <w:color w:val="231F20"/>
          <w:spacing w:val="-2"/>
        </w:rPr>
        <w:t>solidaires</w:t>
      </w:r>
      <w:r>
        <w:rPr>
          <w:color w:val="231F20"/>
          <w:spacing w:val="-15"/>
        </w:rPr>
        <w:t> </w:t>
      </w:r>
      <w:r>
        <w:rPr>
          <w:color w:val="231F20"/>
          <w:spacing w:val="-2"/>
        </w:rPr>
        <w:t>et</w:t>
      </w:r>
      <w:r>
        <w:rPr>
          <w:color w:val="231F20"/>
          <w:spacing w:val="-14"/>
        </w:rPr>
        <w:t> </w:t>
      </w:r>
      <w:r>
        <w:rPr>
          <w:color w:val="231F20"/>
          <w:spacing w:val="-2"/>
        </w:rPr>
        <w:t>des</w:t>
      </w:r>
      <w:r>
        <w:rPr>
          <w:color w:val="231F20"/>
          <w:spacing w:val="-15"/>
        </w:rPr>
        <w:t> </w:t>
      </w:r>
      <w:r>
        <w:rPr>
          <w:color w:val="231F20"/>
          <w:spacing w:val="-2"/>
        </w:rPr>
        <w:t>amis</w:t>
      </w:r>
      <w:r>
        <w:rPr>
          <w:color w:val="231F20"/>
          <w:spacing w:val="-14"/>
        </w:rPr>
        <w:t> </w:t>
      </w:r>
      <w:r>
        <w:rPr>
          <w:color w:val="231F20"/>
          <w:spacing w:val="-2"/>
        </w:rPr>
        <w:t>de</w:t>
      </w:r>
      <w:r>
        <w:rPr>
          <w:color w:val="231F20"/>
          <w:spacing w:val="-15"/>
        </w:rPr>
        <w:t> </w:t>
      </w:r>
      <w:r>
        <w:rPr>
          <w:color w:val="231F20"/>
          <w:spacing w:val="-2"/>
        </w:rPr>
        <w:t>Cuba</w:t>
      </w:r>
      <w:r>
        <w:rPr>
          <w:color w:val="231F20"/>
          <w:spacing w:val="-14"/>
        </w:rPr>
        <w:t> </w:t>
      </w:r>
      <w:r>
        <w:rPr>
          <w:color w:val="231F20"/>
          <w:spacing w:val="-2"/>
        </w:rPr>
        <w:t>participent</w:t>
      </w:r>
      <w:r>
        <w:rPr>
          <w:color w:val="231F20"/>
          <w:spacing w:val="-15"/>
        </w:rPr>
        <w:t> </w:t>
      </w:r>
      <w:r>
        <w:rPr>
          <w:color w:val="231F20"/>
          <w:spacing w:val="-2"/>
        </w:rPr>
        <w:t>à </w:t>
      </w:r>
      <w:r>
        <w:rPr>
          <w:color w:val="231F20"/>
          <w:spacing w:val="-4"/>
        </w:rPr>
        <w:t>l’aéroport</w:t>
      </w:r>
      <w:r>
        <w:rPr>
          <w:color w:val="231F20"/>
          <w:spacing w:val="-13"/>
        </w:rPr>
        <w:t> </w:t>
      </w:r>
      <w:r>
        <w:rPr>
          <w:color w:val="231F20"/>
          <w:spacing w:val="-4"/>
        </w:rPr>
        <w:t>international</w:t>
      </w:r>
      <w:r>
        <w:rPr>
          <w:color w:val="231F20"/>
          <w:spacing w:val="-12"/>
        </w:rPr>
        <w:t> </w:t>
      </w:r>
      <w:r>
        <w:rPr>
          <w:color w:val="231F20"/>
          <w:spacing w:val="-4"/>
        </w:rPr>
        <w:t>de</w:t>
      </w:r>
      <w:r>
        <w:rPr>
          <w:color w:val="231F20"/>
          <w:spacing w:val="-13"/>
        </w:rPr>
        <w:t> </w:t>
      </w:r>
      <w:r>
        <w:rPr>
          <w:color w:val="231F20"/>
          <w:spacing w:val="-4"/>
        </w:rPr>
        <w:t>Miami</w:t>
      </w:r>
      <w:r>
        <w:rPr>
          <w:color w:val="231F20"/>
          <w:spacing w:val="-12"/>
        </w:rPr>
        <w:t> </w:t>
      </w:r>
      <w:r>
        <w:rPr>
          <w:color w:val="231F20"/>
          <w:spacing w:val="-4"/>
        </w:rPr>
        <w:t>(Floride)</w:t>
      </w:r>
      <w:r>
        <w:rPr>
          <w:color w:val="231F20"/>
          <w:spacing w:val="-13"/>
        </w:rPr>
        <w:t> </w:t>
      </w:r>
      <w:r>
        <w:rPr>
          <w:color w:val="231F20"/>
          <w:spacing w:val="-4"/>
        </w:rPr>
        <w:t>à </w:t>
      </w:r>
      <w:r>
        <w:rPr>
          <w:color w:val="231F20"/>
          <w:spacing w:val="-2"/>
        </w:rPr>
        <w:t>une</w:t>
      </w:r>
      <w:r>
        <w:rPr>
          <w:color w:val="231F20"/>
          <w:spacing w:val="-15"/>
        </w:rPr>
        <w:t> </w:t>
      </w:r>
      <w:r>
        <w:rPr>
          <w:color w:val="231F20"/>
          <w:spacing w:val="-2"/>
        </w:rPr>
        <w:t>rencontre</w:t>
      </w:r>
      <w:r>
        <w:rPr>
          <w:color w:val="231F20"/>
          <w:spacing w:val="-14"/>
        </w:rPr>
        <w:t> </w:t>
      </w:r>
      <w:r>
        <w:rPr>
          <w:color w:val="231F20"/>
          <w:spacing w:val="-2"/>
        </w:rPr>
        <w:t>pour</w:t>
      </w:r>
      <w:r>
        <w:rPr>
          <w:color w:val="231F20"/>
          <w:spacing w:val="-15"/>
        </w:rPr>
        <w:t> </w:t>
      </w:r>
      <w:r>
        <w:rPr>
          <w:color w:val="231F20"/>
          <w:spacing w:val="-2"/>
        </w:rPr>
        <w:t>demander</w:t>
      </w:r>
      <w:r>
        <w:rPr>
          <w:color w:val="231F20"/>
          <w:spacing w:val="-14"/>
        </w:rPr>
        <w:t> </w:t>
      </w:r>
      <w:r>
        <w:rPr>
          <w:color w:val="231F20"/>
          <w:spacing w:val="-2"/>
        </w:rPr>
        <w:t>à</w:t>
      </w:r>
      <w:r>
        <w:rPr>
          <w:color w:val="231F20"/>
          <w:spacing w:val="-15"/>
        </w:rPr>
        <w:t> </w:t>
      </w:r>
      <w:r>
        <w:rPr>
          <w:color w:val="231F20"/>
          <w:spacing w:val="-2"/>
        </w:rPr>
        <w:t>la</w:t>
      </w:r>
      <w:r>
        <w:rPr>
          <w:color w:val="231F20"/>
          <w:spacing w:val="-14"/>
        </w:rPr>
        <w:t> </w:t>
      </w:r>
      <w:r>
        <w:rPr>
          <w:color w:val="231F20"/>
          <w:spacing w:val="-2"/>
        </w:rPr>
        <w:t>Maison- </w:t>
      </w:r>
      <w:r>
        <w:rPr>
          <w:color w:val="231F20"/>
          <w:spacing w:val="-8"/>
        </w:rPr>
        <w:t>Blanche de lever le blocus à Cuba d’accélérer </w:t>
      </w:r>
      <w:r>
        <w:rPr>
          <w:color w:val="231F20"/>
          <w:spacing w:val="-2"/>
        </w:rPr>
        <w:t>la</w:t>
      </w:r>
      <w:r>
        <w:rPr>
          <w:color w:val="231F20"/>
          <w:spacing w:val="-8"/>
        </w:rPr>
        <w:t> </w:t>
      </w:r>
      <w:r>
        <w:rPr>
          <w:color w:val="231F20"/>
          <w:spacing w:val="-2"/>
        </w:rPr>
        <w:t>réunification</w:t>
      </w:r>
      <w:r>
        <w:rPr>
          <w:color w:val="231F20"/>
          <w:spacing w:val="-8"/>
        </w:rPr>
        <w:t> </w:t>
      </w:r>
      <w:r>
        <w:rPr>
          <w:color w:val="231F20"/>
          <w:spacing w:val="-2"/>
        </w:rPr>
        <w:t>familiale</w:t>
      </w:r>
      <w:r>
        <w:rPr>
          <w:color w:val="231F20"/>
          <w:spacing w:val="-8"/>
        </w:rPr>
        <w:t> </w:t>
      </w:r>
      <w:r>
        <w:rPr>
          <w:color w:val="231F20"/>
          <w:spacing w:val="-2"/>
        </w:rPr>
        <w:t>en</w:t>
      </w:r>
      <w:r>
        <w:rPr>
          <w:color w:val="231F20"/>
          <w:spacing w:val="-8"/>
        </w:rPr>
        <w:t> </w:t>
      </w:r>
      <w:r>
        <w:rPr>
          <w:color w:val="231F20"/>
          <w:spacing w:val="-2"/>
        </w:rPr>
        <w:t>recommençant </w:t>
      </w:r>
      <w:r>
        <w:rPr>
          <w:color w:val="231F20"/>
        </w:rPr>
        <w:t>à</w:t>
      </w:r>
      <w:r>
        <w:rPr>
          <w:color w:val="231F20"/>
          <w:spacing w:val="36"/>
        </w:rPr>
        <w:t> </w:t>
      </w:r>
      <w:r>
        <w:rPr>
          <w:color w:val="231F20"/>
        </w:rPr>
        <w:t>délivrer</w:t>
      </w:r>
      <w:r>
        <w:rPr>
          <w:color w:val="231F20"/>
          <w:spacing w:val="37"/>
        </w:rPr>
        <w:t> </w:t>
      </w:r>
      <w:r>
        <w:rPr>
          <w:color w:val="231F20"/>
        </w:rPr>
        <w:t>des</w:t>
      </w:r>
      <w:r>
        <w:rPr>
          <w:color w:val="231F20"/>
          <w:spacing w:val="37"/>
        </w:rPr>
        <w:t> </w:t>
      </w:r>
      <w:r>
        <w:rPr>
          <w:color w:val="231F20"/>
        </w:rPr>
        <w:t>visas</w:t>
      </w:r>
      <w:r>
        <w:rPr>
          <w:color w:val="231F20"/>
          <w:spacing w:val="37"/>
        </w:rPr>
        <w:t> </w:t>
      </w:r>
      <w:r>
        <w:rPr>
          <w:color w:val="231F20"/>
        </w:rPr>
        <w:t>à</w:t>
      </w:r>
      <w:r>
        <w:rPr>
          <w:color w:val="231F20"/>
          <w:spacing w:val="37"/>
        </w:rPr>
        <w:t> </w:t>
      </w:r>
      <w:r>
        <w:rPr>
          <w:color w:val="231F20"/>
        </w:rPr>
        <w:t>La</w:t>
      </w:r>
      <w:r>
        <w:rPr>
          <w:color w:val="231F20"/>
          <w:spacing w:val="37"/>
        </w:rPr>
        <w:t> </w:t>
      </w:r>
      <w:r>
        <w:rPr>
          <w:color w:val="231F20"/>
        </w:rPr>
        <w:t>Havane,</w:t>
      </w:r>
      <w:r>
        <w:rPr>
          <w:color w:val="231F20"/>
          <w:spacing w:val="37"/>
        </w:rPr>
        <w:t> </w:t>
      </w:r>
      <w:r>
        <w:rPr>
          <w:color w:val="231F20"/>
        </w:rPr>
        <w:t>et</w:t>
      </w:r>
      <w:r>
        <w:rPr>
          <w:color w:val="231F20"/>
          <w:spacing w:val="37"/>
        </w:rPr>
        <w:t> </w:t>
      </w:r>
      <w:r>
        <w:rPr>
          <w:color w:val="231F20"/>
          <w:spacing w:val="-5"/>
        </w:rPr>
        <w:t>non</w:t>
      </w:r>
    </w:p>
    <w:p>
      <w:pPr>
        <w:spacing w:after="0"/>
        <w:sectPr>
          <w:pgSz w:w="11910" w:h="16840"/>
          <w:pgMar w:header="0" w:footer="695" w:top="1260" w:bottom="880" w:left="0" w:right="0"/>
          <w:cols w:num="2" w:equalWidth="0">
            <w:col w:w="5898" w:space="40"/>
            <w:col w:w="5972"/>
          </w:cols>
        </w:sectPr>
      </w:pPr>
    </w:p>
    <w:p>
      <w:pPr>
        <w:pStyle w:val="BodyText"/>
        <w:spacing w:before="77"/>
        <w:ind w:left="1133" w:right="6"/>
      </w:pPr>
      <w:r>
        <w:rPr>
          <w:color w:val="231F20"/>
        </w:rPr>
        <w:t>à l’étranger, de fortifier l’envoi de fonds </w:t>
      </w:r>
      <w:r>
        <w:rPr>
          <w:color w:val="231F20"/>
          <w:spacing w:val="-8"/>
        </w:rPr>
        <w:t>familiaux, de favoriser une large coopération </w:t>
      </w:r>
      <w:r>
        <w:rPr>
          <w:color w:val="231F20"/>
          <w:spacing w:val="-12"/>
        </w:rPr>
        <w:t>culturelle</w:t>
      </w:r>
      <w:r>
        <w:rPr>
          <w:color w:val="231F20"/>
          <w:spacing w:val="-1"/>
        </w:rPr>
        <w:t> </w:t>
      </w:r>
      <w:r>
        <w:rPr>
          <w:color w:val="231F20"/>
          <w:spacing w:val="-12"/>
        </w:rPr>
        <w:t>et</w:t>
      </w:r>
      <w:r>
        <w:rPr>
          <w:color w:val="231F20"/>
          <w:spacing w:val="-1"/>
        </w:rPr>
        <w:t> </w:t>
      </w:r>
      <w:r>
        <w:rPr>
          <w:color w:val="231F20"/>
          <w:spacing w:val="-12"/>
        </w:rPr>
        <w:t>scientifique</w:t>
      </w:r>
      <w:r>
        <w:rPr>
          <w:color w:val="231F20"/>
          <w:spacing w:val="-1"/>
        </w:rPr>
        <w:t> </w:t>
      </w:r>
      <w:r>
        <w:rPr>
          <w:color w:val="231F20"/>
          <w:spacing w:val="-12"/>
        </w:rPr>
        <w:t>entre</w:t>
      </w:r>
      <w:r>
        <w:rPr>
          <w:color w:val="231F20"/>
          <w:spacing w:val="-1"/>
        </w:rPr>
        <w:t> </w:t>
      </w:r>
      <w:r>
        <w:rPr>
          <w:color w:val="231F20"/>
          <w:spacing w:val="-12"/>
        </w:rPr>
        <w:t>les</w:t>
      </w:r>
      <w:r>
        <w:rPr>
          <w:color w:val="231F20"/>
          <w:spacing w:val="-1"/>
        </w:rPr>
        <w:t> </w:t>
      </w:r>
      <w:r>
        <w:rPr>
          <w:color w:val="231F20"/>
          <w:spacing w:val="-12"/>
        </w:rPr>
        <w:t>deux</w:t>
      </w:r>
      <w:r>
        <w:rPr>
          <w:color w:val="231F20"/>
          <w:spacing w:val="-1"/>
        </w:rPr>
        <w:t> </w:t>
      </w:r>
      <w:r>
        <w:rPr>
          <w:color w:val="231F20"/>
          <w:spacing w:val="-12"/>
        </w:rPr>
        <w:t>pays</w:t>
      </w:r>
      <w:r>
        <w:rPr>
          <w:color w:val="231F20"/>
          <w:spacing w:val="-1"/>
        </w:rPr>
        <w:t> </w:t>
      </w:r>
      <w:r>
        <w:rPr>
          <w:color w:val="231F20"/>
          <w:spacing w:val="-12"/>
        </w:rPr>
        <w:t>et </w:t>
      </w:r>
      <w:r>
        <w:rPr>
          <w:color w:val="231F20"/>
          <w:spacing w:val="-14"/>
        </w:rPr>
        <w:t>de</w:t>
      </w:r>
      <w:r>
        <w:rPr>
          <w:color w:val="231F20"/>
        </w:rPr>
        <w:t> </w:t>
      </w:r>
      <w:r>
        <w:rPr>
          <w:color w:val="231F20"/>
          <w:spacing w:val="-14"/>
        </w:rPr>
        <w:t>radier</w:t>
      </w:r>
      <w:r>
        <w:rPr>
          <w:color w:val="231F20"/>
        </w:rPr>
        <w:t> </w:t>
      </w:r>
      <w:r>
        <w:rPr>
          <w:color w:val="231F20"/>
          <w:spacing w:val="-14"/>
        </w:rPr>
        <w:t>Cuba</w:t>
      </w:r>
      <w:r>
        <w:rPr>
          <w:color w:val="231F20"/>
        </w:rPr>
        <w:t> </w:t>
      </w:r>
      <w:r>
        <w:rPr>
          <w:color w:val="231F20"/>
          <w:spacing w:val="-14"/>
        </w:rPr>
        <w:t>de</w:t>
      </w:r>
      <w:r>
        <w:rPr>
          <w:color w:val="231F20"/>
        </w:rPr>
        <w:t> </w:t>
      </w:r>
      <w:r>
        <w:rPr>
          <w:color w:val="231F20"/>
          <w:spacing w:val="-14"/>
        </w:rPr>
        <w:t>la</w:t>
      </w:r>
      <w:r>
        <w:rPr>
          <w:color w:val="231F20"/>
        </w:rPr>
        <w:t> </w:t>
      </w:r>
      <w:r>
        <w:rPr>
          <w:color w:val="231F20"/>
          <w:spacing w:val="-14"/>
        </w:rPr>
        <w:t>Liste</w:t>
      </w:r>
      <w:r>
        <w:rPr>
          <w:color w:val="231F20"/>
        </w:rPr>
        <w:t> </w:t>
      </w:r>
      <w:r>
        <w:rPr>
          <w:color w:val="231F20"/>
          <w:spacing w:val="-14"/>
        </w:rPr>
        <w:t>des</w:t>
      </w:r>
      <w:r>
        <w:rPr>
          <w:color w:val="231F20"/>
        </w:rPr>
        <w:t> </w:t>
      </w:r>
      <w:r>
        <w:rPr>
          <w:color w:val="231F20"/>
          <w:spacing w:val="-14"/>
        </w:rPr>
        <w:t>États</w:t>
      </w:r>
      <w:r>
        <w:rPr>
          <w:color w:val="231F20"/>
        </w:rPr>
        <w:t> </w:t>
      </w:r>
      <w:r>
        <w:rPr>
          <w:color w:val="231F20"/>
          <w:spacing w:val="-14"/>
        </w:rPr>
        <w:t>censément </w:t>
      </w:r>
      <w:r>
        <w:rPr>
          <w:color w:val="231F20"/>
          <w:spacing w:val="-6"/>
        </w:rPr>
        <w:t>commanditaires</w:t>
      </w:r>
      <w:r>
        <w:rPr>
          <w:color w:val="231F20"/>
          <w:spacing w:val="-11"/>
        </w:rPr>
        <w:t> </w:t>
      </w:r>
      <w:r>
        <w:rPr>
          <w:color w:val="231F20"/>
          <w:spacing w:val="-6"/>
        </w:rPr>
        <w:t>de</w:t>
      </w:r>
      <w:r>
        <w:rPr>
          <w:color w:val="231F20"/>
          <w:spacing w:val="-11"/>
        </w:rPr>
        <w:t> </w:t>
      </w:r>
      <w:r>
        <w:rPr>
          <w:color w:val="231F20"/>
          <w:spacing w:val="-6"/>
        </w:rPr>
        <w:t>terrorisme</w:t>
      </w:r>
      <w:r>
        <w:rPr>
          <w:color w:val="231F20"/>
          <w:spacing w:val="-11"/>
        </w:rPr>
        <w:t> </w:t>
      </w:r>
      <w:r>
        <w:rPr>
          <w:color w:val="231F20"/>
          <w:spacing w:val="-6"/>
        </w:rPr>
        <w:t>international.</w:t>
      </w:r>
    </w:p>
    <w:p>
      <w:pPr>
        <w:pStyle w:val="BodyText"/>
        <w:spacing w:before="164"/>
        <w:ind w:left="1133" w:right="2"/>
      </w:pPr>
      <w:r>
        <w:rPr>
          <w:b/>
          <w:color w:val="B52628"/>
        </w:rPr>
        <w:t>Janvier 2023. </w:t>
      </w:r>
      <w:r>
        <w:rPr>
          <w:color w:val="231F20"/>
        </w:rPr>
        <w:t>Le conseil municipal de </w:t>
      </w:r>
      <w:r>
        <w:rPr>
          <w:color w:val="231F20"/>
          <w:spacing w:val="-4"/>
        </w:rPr>
        <w:t>Berkeley</w:t>
      </w:r>
      <w:r>
        <w:rPr>
          <w:color w:val="231F20"/>
          <w:spacing w:val="-13"/>
        </w:rPr>
        <w:t> </w:t>
      </w:r>
      <w:r>
        <w:rPr>
          <w:color w:val="231F20"/>
          <w:spacing w:val="-4"/>
        </w:rPr>
        <w:t>(Californie)</w:t>
      </w:r>
      <w:r>
        <w:rPr>
          <w:color w:val="231F20"/>
          <w:spacing w:val="-12"/>
        </w:rPr>
        <w:t> </w:t>
      </w:r>
      <w:r>
        <w:rPr>
          <w:color w:val="231F20"/>
          <w:spacing w:val="-4"/>
        </w:rPr>
        <w:t>vote</w:t>
      </w:r>
      <w:r>
        <w:rPr>
          <w:color w:val="231F20"/>
          <w:spacing w:val="-13"/>
        </w:rPr>
        <w:t> </w:t>
      </w:r>
      <w:r>
        <w:rPr>
          <w:color w:val="231F20"/>
          <w:spacing w:val="-4"/>
        </w:rPr>
        <w:t>une</w:t>
      </w:r>
      <w:r>
        <w:rPr>
          <w:color w:val="231F20"/>
          <w:spacing w:val="-12"/>
        </w:rPr>
        <w:t> </w:t>
      </w:r>
      <w:r>
        <w:rPr>
          <w:color w:val="231F20"/>
          <w:spacing w:val="-4"/>
        </w:rPr>
        <w:t>résolution</w:t>
      </w:r>
      <w:r>
        <w:rPr>
          <w:color w:val="231F20"/>
          <w:spacing w:val="-13"/>
        </w:rPr>
        <w:t> </w:t>
      </w:r>
      <w:r>
        <w:rPr>
          <w:color w:val="231F20"/>
          <w:spacing w:val="-4"/>
        </w:rPr>
        <w:t>qui </w:t>
      </w:r>
      <w:r>
        <w:rPr>
          <w:color w:val="231F20"/>
          <w:spacing w:val="-8"/>
        </w:rPr>
        <w:t>demande</w:t>
      </w:r>
      <w:r>
        <w:rPr>
          <w:color w:val="231F20"/>
          <w:spacing w:val="-9"/>
        </w:rPr>
        <w:t> </w:t>
      </w:r>
      <w:r>
        <w:rPr>
          <w:color w:val="231F20"/>
          <w:spacing w:val="-8"/>
        </w:rPr>
        <w:t>de radier</w:t>
      </w:r>
      <w:r>
        <w:rPr>
          <w:color w:val="231F20"/>
          <w:spacing w:val="-9"/>
        </w:rPr>
        <w:t> </w:t>
      </w:r>
      <w:r>
        <w:rPr>
          <w:color w:val="231F20"/>
          <w:spacing w:val="-8"/>
        </w:rPr>
        <w:t>Cuba de</w:t>
      </w:r>
      <w:r>
        <w:rPr>
          <w:color w:val="231F20"/>
          <w:spacing w:val="-9"/>
        </w:rPr>
        <w:t> </w:t>
      </w:r>
      <w:r>
        <w:rPr>
          <w:color w:val="231F20"/>
          <w:spacing w:val="-8"/>
        </w:rPr>
        <w:t>la Liste</w:t>
      </w:r>
      <w:r>
        <w:rPr>
          <w:color w:val="231F20"/>
          <w:spacing w:val="-9"/>
        </w:rPr>
        <w:t> </w:t>
      </w:r>
      <w:r>
        <w:rPr>
          <w:color w:val="231F20"/>
          <w:spacing w:val="-8"/>
        </w:rPr>
        <w:t>des États </w:t>
      </w:r>
      <w:r>
        <w:rPr>
          <w:color w:val="231F20"/>
        </w:rPr>
        <w:t>censément</w:t>
      </w:r>
      <w:r>
        <w:rPr>
          <w:color w:val="231F20"/>
          <w:spacing w:val="-6"/>
        </w:rPr>
        <w:t> </w:t>
      </w:r>
      <w:r>
        <w:rPr>
          <w:color w:val="231F20"/>
        </w:rPr>
        <w:t>commanditaires</w:t>
      </w:r>
      <w:r>
        <w:rPr>
          <w:color w:val="231F20"/>
          <w:spacing w:val="-6"/>
        </w:rPr>
        <w:t> </w:t>
      </w:r>
      <w:r>
        <w:rPr>
          <w:color w:val="231F20"/>
        </w:rPr>
        <w:t>de</w:t>
      </w:r>
      <w:r>
        <w:rPr>
          <w:color w:val="231F20"/>
          <w:spacing w:val="-6"/>
        </w:rPr>
        <w:t> </w:t>
      </w:r>
      <w:r>
        <w:rPr>
          <w:color w:val="231F20"/>
        </w:rPr>
        <w:t>terrorisme international</w:t>
      </w:r>
      <w:r>
        <w:rPr>
          <w:color w:val="231F20"/>
          <w:spacing w:val="-5"/>
        </w:rPr>
        <w:t> </w:t>
      </w:r>
      <w:r>
        <w:rPr>
          <w:color w:val="231F20"/>
        </w:rPr>
        <w:t>et</w:t>
      </w:r>
      <w:r>
        <w:rPr>
          <w:color w:val="231F20"/>
          <w:spacing w:val="-5"/>
        </w:rPr>
        <w:t> </w:t>
      </w:r>
      <w:r>
        <w:rPr>
          <w:color w:val="231F20"/>
        </w:rPr>
        <w:t>de</w:t>
      </w:r>
      <w:r>
        <w:rPr>
          <w:color w:val="231F20"/>
          <w:spacing w:val="-5"/>
        </w:rPr>
        <w:t> </w:t>
      </w:r>
      <w:r>
        <w:rPr>
          <w:color w:val="231F20"/>
        </w:rPr>
        <w:t>lever</w:t>
      </w:r>
      <w:r>
        <w:rPr>
          <w:color w:val="231F20"/>
          <w:spacing w:val="-5"/>
        </w:rPr>
        <w:t> </w:t>
      </w:r>
      <w:r>
        <w:rPr>
          <w:color w:val="231F20"/>
        </w:rPr>
        <w:t>le</w:t>
      </w:r>
      <w:r>
        <w:rPr>
          <w:color w:val="231F20"/>
          <w:spacing w:val="-5"/>
        </w:rPr>
        <w:t> </w:t>
      </w:r>
      <w:r>
        <w:rPr>
          <w:color w:val="231F20"/>
        </w:rPr>
        <w:t>blocus.</w:t>
      </w:r>
    </w:p>
    <w:p>
      <w:pPr>
        <w:pStyle w:val="BodyText"/>
        <w:spacing w:before="164"/>
        <w:ind w:left="1133"/>
      </w:pPr>
      <w:r>
        <w:rPr>
          <w:b/>
          <w:color w:val="B52628"/>
        </w:rPr>
        <w:t>4 janvier 2023. </w:t>
      </w:r>
      <w:r>
        <w:rPr>
          <w:color w:val="231F20"/>
        </w:rPr>
        <w:t>Le sénateur démocrate de l’Oregon Ron Wyden demande à </w:t>
      </w:r>
      <w:r>
        <w:rPr>
          <w:color w:val="231F20"/>
          <w:spacing w:val="-4"/>
        </w:rPr>
        <w:t>l’administration</w:t>
      </w:r>
      <w:r>
        <w:rPr>
          <w:color w:val="231F20"/>
          <w:spacing w:val="-5"/>
        </w:rPr>
        <w:t> </w:t>
      </w:r>
      <w:r>
        <w:rPr>
          <w:color w:val="231F20"/>
          <w:spacing w:val="-4"/>
        </w:rPr>
        <w:t>Biden</w:t>
      </w:r>
      <w:r>
        <w:rPr>
          <w:color w:val="231F20"/>
          <w:spacing w:val="-5"/>
        </w:rPr>
        <w:t> </w:t>
      </w:r>
      <w:r>
        <w:rPr>
          <w:color w:val="231F20"/>
          <w:spacing w:val="-4"/>
        </w:rPr>
        <w:t>d’appuyer</w:t>
      </w:r>
      <w:r>
        <w:rPr>
          <w:color w:val="231F20"/>
          <w:spacing w:val="-5"/>
        </w:rPr>
        <w:t> </w:t>
      </w:r>
      <w:r>
        <w:rPr>
          <w:color w:val="231F20"/>
          <w:spacing w:val="-4"/>
        </w:rPr>
        <w:t>les</w:t>
      </w:r>
      <w:r>
        <w:rPr>
          <w:color w:val="231F20"/>
          <w:spacing w:val="-5"/>
        </w:rPr>
        <w:t> </w:t>
      </w:r>
      <w:r>
        <w:rPr>
          <w:color w:val="231F20"/>
          <w:spacing w:val="-4"/>
        </w:rPr>
        <w:t>petites </w:t>
      </w:r>
      <w:r>
        <w:rPr>
          <w:color w:val="231F20"/>
        </w:rPr>
        <w:t>et moyennes entreprises cubaines en leur délivrant des permis génériques et de lever</w:t>
      </w:r>
      <w:r>
        <w:rPr>
          <w:color w:val="231F20"/>
          <w:spacing w:val="-15"/>
        </w:rPr>
        <w:t> </w:t>
      </w:r>
      <w:r>
        <w:rPr>
          <w:color w:val="231F20"/>
        </w:rPr>
        <w:t>les</w:t>
      </w:r>
      <w:r>
        <w:rPr>
          <w:color w:val="231F20"/>
          <w:spacing w:val="-16"/>
        </w:rPr>
        <w:t> </w:t>
      </w:r>
      <w:r>
        <w:rPr>
          <w:color w:val="231F20"/>
        </w:rPr>
        <w:t>obstacles</w:t>
      </w:r>
      <w:r>
        <w:rPr>
          <w:color w:val="231F20"/>
          <w:spacing w:val="-16"/>
        </w:rPr>
        <w:t> </w:t>
      </w:r>
      <w:r>
        <w:rPr>
          <w:color w:val="231F20"/>
        </w:rPr>
        <w:t>à</w:t>
      </w:r>
      <w:r>
        <w:rPr>
          <w:color w:val="231F20"/>
          <w:spacing w:val="-15"/>
        </w:rPr>
        <w:t> </w:t>
      </w:r>
      <w:r>
        <w:rPr>
          <w:color w:val="231F20"/>
        </w:rPr>
        <w:t>leur</w:t>
      </w:r>
      <w:r>
        <w:rPr>
          <w:color w:val="231F20"/>
          <w:spacing w:val="-15"/>
        </w:rPr>
        <w:t> </w:t>
      </w:r>
      <w:r>
        <w:rPr>
          <w:color w:val="231F20"/>
        </w:rPr>
        <w:t>accès</w:t>
      </w:r>
      <w:r>
        <w:rPr>
          <w:color w:val="231F20"/>
          <w:spacing w:val="-16"/>
        </w:rPr>
        <w:t> </w:t>
      </w:r>
      <w:r>
        <w:rPr>
          <w:color w:val="231F20"/>
        </w:rPr>
        <w:t>à</w:t>
      </w:r>
      <w:r>
        <w:rPr>
          <w:color w:val="231F20"/>
          <w:spacing w:val="-15"/>
        </w:rPr>
        <w:t> </w:t>
      </w:r>
      <w:r>
        <w:rPr>
          <w:color w:val="231F20"/>
        </w:rPr>
        <w:t>la</w:t>
      </w:r>
      <w:r>
        <w:rPr>
          <w:color w:val="231F20"/>
          <w:spacing w:val="-15"/>
        </w:rPr>
        <w:t> </w:t>
      </w:r>
      <w:r>
        <w:rPr>
          <w:color w:val="231F20"/>
        </w:rPr>
        <w:t>banque </w:t>
      </w:r>
      <w:r>
        <w:rPr>
          <w:color w:val="231F20"/>
          <w:spacing w:val="-2"/>
        </w:rPr>
        <w:t>internationale.</w:t>
      </w:r>
    </w:p>
    <w:p>
      <w:pPr>
        <w:pStyle w:val="BodyText"/>
        <w:spacing w:before="165"/>
        <w:ind w:left="1133"/>
      </w:pPr>
      <w:r>
        <w:rPr>
          <w:b/>
          <w:color w:val="B52628"/>
        </w:rPr>
        <w:t>Janvier 2023 </w:t>
      </w:r>
      <w:r>
        <w:rPr>
          <w:color w:val="231F20"/>
        </w:rPr>
        <w:t>(première semaine).</w:t>
      </w:r>
      <w:r>
        <w:rPr>
          <w:color w:val="231F20"/>
          <w:spacing w:val="40"/>
        </w:rPr>
        <w:t> </w:t>
      </w:r>
      <w:r>
        <w:rPr>
          <w:color w:val="231F20"/>
        </w:rPr>
        <w:t>Une délégation de l’organisation pacifiste </w:t>
      </w:r>
      <w:r>
        <w:rPr>
          <w:color w:val="231F20"/>
          <w:spacing w:val="-2"/>
        </w:rPr>
        <w:t>étasunienne</w:t>
      </w:r>
      <w:r>
        <w:rPr>
          <w:color w:val="231F20"/>
          <w:spacing w:val="-15"/>
        </w:rPr>
        <w:t> </w:t>
      </w:r>
      <w:r>
        <w:rPr>
          <w:color w:val="231F20"/>
          <w:spacing w:val="-2"/>
        </w:rPr>
        <w:t>Vétérans</w:t>
      </w:r>
      <w:r>
        <w:rPr>
          <w:color w:val="231F20"/>
          <w:spacing w:val="-14"/>
        </w:rPr>
        <w:t> </w:t>
      </w:r>
      <w:r>
        <w:rPr>
          <w:color w:val="231F20"/>
          <w:spacing w:val="-2"/>
        </w:rPr>
        <w:t>pour</w:t>
      </w:r>
      <w:r>
        <w:rPr>
          <w:color w:val="231F20"/>
          <w:spacing w:val="-15"/>
        </w:rPr>
        <w:t> </w:t>
      </w:r>
      <w:r>
        <w:rPr>
          <w:color w:val="231F20"/>
          <w:spacing w:val="-2"/>
        </w:rPr>
        <w:t>la</w:t>
      </w:r>
      <w:r>
        <w:rPr>
          <w:color w:val="231F20"/>
          <w:spacing w:val="-14"/>
        </w:rPr>
        <w:t> </w:t>
      </w:r>
      <w:r>
        <w:rPr>
          <w:color w:val="231F20"/>
          <w:spacing w:val="-2"/>
        </w:rPr>
        <w:t>paix,</w:t>
      </w:r>
      <w:r>
        <w:rPr>
          <w:color w:val="231F20"/>
          <w:spacing w:val="-15"/>
        </w:rPr>
        <w:t> </w:t>
      </w:r>
      <w:r>
        <w:rPr>
          <w:color w:val="231F20"/>
          <w:spacing w:val="-2"/>
        </w:rPr>
        <w:t>de</w:t>
      </w:r>
      <w:r>
        <w:rPr>
          <w:color w:val="231F20"/>
          <w:spacing w:val="-14"/>
        </w:rPr>
        <w:t> </w:t>
      </w:r>
      <w:r>
        <w:rPr>
          <w:color w:val="231F20"/>
          <w:spacing w:val="-2"/>
        </w:rPr>
        <w:t>visite </w:t>
      </w:r>
      <w:r>
        <w:rPr>
          <w:color w:val="231F20"/>
        </w:rPr>
        <w:t>à</w:t>
      </w:r>
      <w:r>
        <w:rPr>
          <w:color w:val="231F20"/>
          <w:spacing w:val="-2"/>
        </w:rPr>
        <w:t> </w:t>
      </w:r>
      <w:r>
        <w:rPr>
          <w:color w:val="231F20"/>
        </w:rPr>
        <w:t>Cuba</w:t>
      </w:r>
      <w:r>
        <w:rPr>
          <w:color w:val="231F20"/>
          <w:spacing w:val="-2"/>
        </w:rPr>
        <w:t> </w:t>
      </w:r>
      <w:r>
        <w:rPr>
          <w:color w:val="231F20"/>
        </w:rPr>
        <w:t>à</w:t>
      </w:r>
      <w:r>
        <w:rPr>
          <w:color w:val="231F20"/>
          <w:spacing w:val="-2"/>
        </w:rPr>
        <w:t> </w:t>
      </w:r>
      <w:r>
        <w:rPr>
          <w:color w:val="231F20"/>
        </w:rPr>
        <w:t>bord</w:t>
      </w:r>
      <w:r>
        <w:rPr>
          <w:color w:val="231F20"/>
          <w:spacing w:val="-2"/>
        </w:rPr>
        <w:t> </w:t>
      </w:r>
      <w:r>
        <w:rPr>
          <w:color w:val="231F20"/>
        </w:rPr>
        <w:t>du</w:t>
      </w:r>
      <w:r>
        <w:rPr>
          <w:color w:val="231F20"/>
          <w:spacing w:val="-2"/>
        </w:rPr>
        <w:t> </w:t>
      </w:r>
      <w:r>
        <w:rPr>
          <w:color w:val="231F20"/>
        </w:rPr>
        <w:t>Golden</w:t>
      </w:r>
      <w:r>
        <w:rPr>
          <w:color w:val="231F20"/>
          <w:spacing w:val="-2"/>
        </w:rPr>
        <w:t> </w:t>
      </w:r>
      <w:r>
        <w:rPr>
          <w:color w:val="231F20"/>
        </w:rPr>
        <w:t>Rule,</w:t>
      </w:r>
      <w:r>
        <w:rPr>
          <w:color w:val="231F20"/>
          <w:spacing w:val="-2"/>
        </w:rPr>
        <w:t> </w:t>
      </w:r>
      <w:r>
        <w:rPr>
          <w:color w:val="231F20"/>
        </w:rPr>
        <w:t>réclame</w:t>
      </w:r>
      <w:r>
        <w:rPr>
          <w:color w:val="231F20"/>
          <w:spacing w:val="-2"/>
        </w:rPr>
        <w:t> </w:t>
      </w:r>
      <w:r>
        <w:rPr>
          <w:color w:val="231F20"/>
        </w:rPr>
        <w:t>la levée du blocus.</w:t>
      </w:r>
    </w:p>
    <w:p>
      <w:pPr>
        <w:pStyle w:val="BodyText"/>
        <w:spacing w:before="164"/>
        <w:ind w:left="1133"/>
      </w:pPr>
      <w:r>
        <w:rPr>
          <w:b/>
          <w:color w:val="B52628"/>
        </w:rPr>
        <w:t>16 janvier 2023. </w:t>
      </w:r>
      <w:r>
        <w:rPr>
          <w:color w:val="231F20"/>
        </w:rPr>
        <w:t>L’association Puentes</w:t>
      </w:r>
      <w:r>
        <w:rPr>
          <w:color w:val="231F20"/>
          <w:spacing w:val="40"/>
        </w:rPr>
        <w:t> </w:t>
      </w:r>
      <w:r>
        <w:rPr>
          <w:color w:val="231F20"/>
        </w:rPr>
        <w:t>de</w:t>
      </w:r>
      <w:r>
        <w:rPr>
          <w:color w:val="231F20"/>
          <w:spacing w:val="40"/>
        </w:rPr>
        <w:t> </w:t>
      </w:r>
      <w:r>
        <w:rPr>
          <w:color w:val="231F20"/>
        </w:rPr>
        <w:t>Amor</w:t>
      </w:r>
      <w:r>
        <w:rPr>
          <w:color w:val="231F20"/>
          <w:spacing w:val="40"/>
        </w:rPr>
        <w:t> </w:t>
      </w:r>
      <w:r>
        <w:rPr>
          <w:color w:val="231F20"/>
        </w:rPr>
        <w:t>défile</w:t>
      </w:r>
      <w:r>
        <w:rPr>
          <w:color w:val="231F20"/>
          <w:spacing w:val="40"/>
        </w:rPr>
        <w:t> </w:t>
      </w:r>
      <w:r>
        <w:rPr>
          <w:color w:val="231F20"/>
        </w:rPr>
        <w:t>à</w:t>
      </w:r>
      <w:r>
        <w:rPr>
          <w:color w:val="231F20"/>
          <w:spacing w:val="40"/>
        </w:rPr>
        <w:t> </w:t>
      </w:r>
      <w:r>
        <w:rPr>
          <w:color w:val="231F20"/>
        </w:rPr>
        <w:t>Seattle</w:t>
      </w:r>
      <w:r>
        <w:rPr>
          <w:color w:val="231F20"/>
          <w:spacing w:val="40"/>
        </w:rPr>
        <w:t> </w:t>
      </w:r>
      <w:r>
        <w:rPr>
          <w:color w:val="231F20"/>
        </w:rPr>
        <w:t>avec</w:t>
      </w:r>
      <w:r>
        <w:rPr>
          <w:color w:val="231F20"/>
          <w:spacing w:val="40"/>
        </w:rPr>
        <w:t> </w:t>
      </w:r>
      <w:r>
        <w:rPr>
          <w:color w:val="231F20"/>
        </w:rPr>
        <w:t>des milliers d’Étasuniens et de personnes d’obédiences politiques et croyances religieuses différentes, pour réclamer la levée du blocus.</w:t>
      </w:r>
    </w:p>
    <w:p>
      <w:pPr>
        <w:pStyle w:val="BodyText"/>
        <w:spacing w:before="165"/>
        <w:ind w:left="1133" w:right="4"/>
      </w:pPr>
      <w:r>
        <w:rPr>
          <w:b/>
          <w:color w:val="B52628"/>
        </w:rPr>
        <w:t>18</w:t>
      </w:r>
      <w:r>
        <w:rPr>
          <w:b/>
          <w:color w:val="B52628"/>
          <w:spacing w:val="-7"/>
        </w:rPr>
        <w:t> </w:t>
      </w:r>
      <w:r>
        <w:rPr>
          <w:b/>
          <w:color w:val="B52628"/>
        </w:rPr>
        <w:t>janvier</w:t>
      </w:r>
      <w:r>
        <w:rPr>
          <w:b/>
          <w:color w:val="B52628"/>
          <w:spacing w:val="-7"/>
        </w:rPr>
        <w:t> </w:t>
      </w:r>
      <w:r>
        <w:rPr>
          <w:b/>
          <w:color w:val="B52628"/>
        </w:rPr>
        <w:t>2023.</w:t>
      </w:r>
      <w:r>
        <w:rPr>
          <w:b/>
          <w:color w:val="B52628"/>
          <w:spacing w:val="-8"/>
        </w:rPr>
        <w:t> </w:t>
      </w:r>
      <w:r>
        <w:rPr>
          <w:color w:val="231F20"/>
        </w:rPr>
        <w:t>Différentes</w:t>
      </w:r>
      <w:r>
        <w:rPr>
          <w:color w:val="231F20"/>
          <w:spacing w:val="-7"/>
        </w:rPr>
        <w:t> </w:t>
      </w:r>
      <w:r>
        <w:rPr>
          <w:color w:val="231F20"/>
        </w:rPr>
        <w:t>associations, dont la coalition ANSWER, The People’s </w:t>
      </w:r>
      <w:r>
        <w:rPr>
          <w:color w:val="231F20"/>
          <w:spacing w:val="-10"/>
        </w:rPr>
        <w:t>Forum</w:t>
      </w:r>
      <w:r>
        <w:rPr>
          <w:color w:val="231F20"/>
          <w:spacing w:val="-4"/>
        </w:rPr>
        <w:t> </w:t>
      </w:r>
      <w:r>
        <w:rPr>
          <w:color w:val="231F20"/>
          <w:spacing w:val="-10"/>
        </w:rPr>
        <w:t>et</w:t>
      </w:r>
      <w:r>
        <w:rPr>
          <w:color w:val="231F20"/>
          <w:spacing w:val="-4"/>
        </w:rPr>
        <w:t> </w:t>
      </w:r>
      <w:r>
        <w:rPr>
          <w:color w:val="231F20"/>
          <w:spacing w:val="-10"/>
        </w:rPr>
        <w:t>l’Alianza</w:t>
      </w:r>
      <w:r>
        <w:rPr>
          <w:color w:val="231F20"/>
          <w:spacing w:val="-4"/>
        </w:rPr>
        <w:t> </w:t>
      </w:r>
      <w:r>
        <w:rPr>
          <w:color w:val="231F20"/>
          <w:spacing w:val="-10"/>
        </w:rPr>
        <w:t>Martiana,</w:t>
      </w:r>
      <w:r>
        <w:rPr>
          <w:color w:val="231F20"/>
          <w:spacing w:val="-4"/>
        </w:rPr>
        <w:t> </w:t>
      </w:r>
      <w:r>
        <w:rPr>
          <w:color w:val="231F20"/>
          <w:spacing w:val="-10"/>
        </w:rPr>
        <w:t>envoient</w:t>
      </w:r>
      <w:r>
        <w:rPr>
          <w:color w:val="231F20"/>
          <w:spacing w:val="-4"/>
        </w:rPr>
        <w:t> </w:t>
      </w:r>
      <w:r>
        <w:rPr>
          <w:color w:val="231F20"/>
          <w:spacing w:val="-10"/>
        </w:rPr>
        <w:t>à</w:t>
      </w:r>
      <w:r>
        <w:rPr>
          <w:color w:val="231F20"/>
          <w:spacing w:val="-4"/>
        </w:rPr>
        <w:t> </w:t>
      </w:r>
      <w:r>
        <w:rPr>
          <w:color w:val="231F20"/>
          <w:spacing w:val="-10"/>
        </w:rPr>
        <w:t>Cuba, </w:t>
      </w:r>
      <w:r>
        <w:rPr>
          <w:color w:val="231F20"/>
        </w:rPr>
        <w:t>depuis le port d’Everglades (Floride), 18 tonnes</w:t>
      </w:r>
      <w:r>
        <w:rPr>
          <w:color w:val="231F20"/>
          <w:spacing w:val="-15"/>
        </w:rPr>
        <w:t> </w:t>
      </w:r>
      <w:r>
        <w:rPr>
          <w:color w:val="231F20"/>
        </w:rPr>
        <w:t>d’aide</w:t>
      </w:r>
      <w:r>
        <w:rPr>
          <w:color w:val="231F20"/>
          <w:spacing w:val="-15"/>
        </w:rPr>
        <w:t> </w:t>
      </w:r>
      <w:r>
        <w:rPr>
          <w:color w:val="231F20"/>
        </w:rPr>
        <w:t>humanitaire</w:t>
      </w:r>
      <w:r>
        <w:rPr>
          <w:color w:val="231F20"/>
          <w:spacing w:val="-15"/>
        </w:rPr>
        <w:t> </w:t>
      </w:r>
      <w:r>
        <w:rPr>
          <w:color w:val="231F20"/>
        </w:rPr>
        <w:t>aux</w:t>
      </w:r>
      <w:r>
        <w:rPr>
          <w:color w:val="231F20"/>
          <w:spacing w:val="-15"/>
        </w:rPr>
        <w:t> </w:t>
      </w:r>
      <w:r>
        <w:rPr>
          <w:color w:val="231F20"/>
        </w:rPr>
        <w:t>sinistrés</w:t>
      </w:r>
      <w:r>
        <w:rPr>
          <w:color w:val="231F20"/>
          <w:spacing w:val="-15"/>
        </w:rPr>
        <w:t> </w:t>
      </w:r>
      <w:r>
        <w:rPr>
          <w:color w:val="231F20"/>
        </w:rPr>
        <w:t>du cyclone</w:t>
      </w:r>
      <w:r>
        <w:rPr>
          <w:color w:val="231F20"/>
          <w:spacing w:val="-5"/>
        </w:rPr>
        <w:t> </w:t>
      </w:r>
      <w:r>
        <w:rPr>
          <w:color w:val="231F20"/>
        </w:rPr>
        <w:t>Ian.</w:t>
      </w:r>
    </w:p>
    <w:p>
      <w:pPr>
        <w:pStyle w:val="BodyText"/>
        <w:spacing w:before="164"/>
        <w:ind w:left="1133"/>
      </w:pPr>
      <w:r>
        <w:rPr>
          <w:b/>
          <w:color w:val="B52628"/>
        </w:rPr>
        <w:t>19 janvier 2023. </w:t>
      </w:r>
      <w:r>
        <w:rPr>
          <w:color w:val="231F20"/>
        </w:rPr>
        <w:t>160 avocats étasuniens adressent une lettre au président </w:t>
      </w:r>
      <w:r>
        <w:rPr>
          <w:color w:val="231F20"/>
        </w:rPr>
        <w:t>Biden pour qu’il radie Cuba de la Liste des États censément</w:t>
      </w:r>
      <w:r>
        <w:rPr>
          <w:color w:val="231F20"/>
          <w:spacing w:val="-5"/>
        </w:rPr>
        <w:t> </w:t>
      </w:r>
      <w:r>
        <w:rPr>
          <w:color w:val="231F20"/>
        </w:rPr>
        <w:t>commanditaires</w:t>
      </w:r>
      <w:r>
        <w:rPr>
          <w:color w:val="231F20"/>
          <w:spacing w:val="-5"/>
        </w:rPr>
        <w:t> </w:t>
      </w:r>
      <w:r>
        <w:rPr>
          <w:color w:val="231F20"/>
        </w:rPr>
        <w:t>de</w:t>
      </w:r>
      <w:r>
        <w:rPr>
          <w:color w:val="231F20"/>
          <w:spacing w:val="-5"/>
        </w:rPr>
        <w:t> </w:t>
      </w:r>
      <w:r>
        <w:rPr>
          <w:color w:val="231F20"/>
        </w:rPr>
        <w:t>terrorisme international, cette mesure n’ayant pas la moindre justification morale ni légale.</w:t>
      </w:r>
    </w:p>
    <w:p>
      <w:pPr>
        <w:pStyle w:val="BodyText"/>
        <w:spacing w:before="77"/>
        <w:ind w:left="412" w:right="1478"/>
      </w:pPr>
      <w:r>
        <w:rPr/>
        <w:br w:type="column"/>
      </w:r>
      <w:r>
        <w:rPr>
          <w:b/>
          <w:color w:val="B52628"/>
        </w:rPr>
        <w:t>20 janvier 2023. </w:t>
      </w:r>
      <w:r>
        <w:rPr>
          <w:color w:val="231F20"/>
        </w:rPr>
        <w:t>Le conseil municipal de </w:t>
      </w:r>
      <w:r>
        <w:rPr>
          <w:color w:val="231F20"/>
          <w:spacing w:val="-10"/>
        </w:rPr>
        <w:t>Bloomington</w:t>
      </w:r>
      <w:r>
        <w:rPr>
          <w:color w:val="231F20"/>
          <w:spacing w:val="-3"/>
        </w:rPr>
        <w:t> </w:t>
      </w:r>
      <w:r>
        <w:rPr>
          <w:color w:val="231F20"/>
          <w:spacing w:val="-10"/>
        </w:rPr>
        <w:t>(Indiana)</w:t>
      </w:r>
      <w:r>
        <w:rPr>
          <w:color w:val="231F20"/>
          <w:spacing w:val="-3"/>
        </w:rPr>
        <w:t> </w:t>
      </w:r>
      <w:r>
        <w:rPr>
          <w:color w:val="231F20"/>
          <w:spacing w:val="-10"/>
        </w:rPr>
        <w:t>vote</w:t>
      </w:r>
      <w:r>
        <w:rPr>
          <w:color w:val="231F20"/>
          <w:spacing w:val="-3"/>
        </w:rPr>
        <w:t> </w:t>
      </w:r>
      <w:r>
        <w:rPr>
          <w:color w:val="231F20"/>
          <w:spacing w:val="-10"/>
        </w:rPr>
        <w:t>à</w:t>
      </w:r>
      <w:r>
        <w:rPr>
          <w:color w:val="231F20"/>
          <w:spacing w:val="-3"/>
        </w:rPr>
        <w:t> </w:t>
      </w:r>
      <w:r>
        <w:rPr>
          <w:color w:val="231F20"/>
          <w:spacing w:val="-10"/>
        </w:rPr>
        <w:t>l’unanimité</w:t>
      </w:r>
      <w:r>
        <w:rPr>
          <w:color w:val="231F20"/>
          <w:spacing w:val="-3"/>
        </w:rPr>
        <w:t> </w:t>
      </w:r>
      <w:r>
        <w:rPr>
          <w:color w:val="231F20"/>
          <w:spacing w:val="-10"/>
        </w:rPr>
        <w:t>une </w:t>
      </w:r>
      <w:r>
        <w:rPr>
          <w:color w:val="231F20"/>
          <w:spacing w:val="-2"/>
        </w:rPr>
        <w:t>résolution</w:t>
      </w:r>
      <w:r>
        <w:rPr>
          <w:color w:val="231F20"/>
          <w:spacing w:val="-15"/>
        </w:rPr>
        <w:t> </w:t>
      </w:r>
      <w:r>
        <w:rPr>
          <w:color w:val="231F20"/>
          <w:spacing w:val="-2"/>
        </w:rPr>
        <w:t>demandant</w:t>
      </w:r>
      <w:r>
        <w:rPr>
          <w:color w:val="231F20"/>
          <w:spacing w:val="-15"/>
        </w:rPr>
        <w:t> </w:t>
      </w:r>
      <w:r>
        <w:rPr>
          <w:color w:val="231F20"/>
          <w:spacing w:val="-2"/>
        </w:rPr>
        <w:t>la</w:t>
      </w:r>
      <w:r>
        <w:rPr>
          <w:color w:val="231F20"/>
          <w:spacing w:val="-15"/>
        </w:rPr>
        <w:t> </w:t>
      </w:r>
      <w:r>
        <w:rPr>
          <w:color w:val="231F20"/>
          <w:spacing w:val="-2"/>
        </w:rPr>
        <w:t>levée</w:t>
      </w:r>
      <w:r>
        <w:rPr>
          <w:color w:val="231F20"/>
          <w:spacing w:val="-15"/>
        </w:rPr>
        <w:t> </w:t>
      </w:r>
      <w:r>
        <w:rPr>
          <w:color w:val="231F20"/>
          <w:spacing w:val="-2"/>
        </w:rPr>
        <w:t>du</w:t>
      </w:r>
      <w:r>
        <w:rPr>
          <w:color w:val="231F20"/>
          <w:spacing w:val="-15"/>
        </w:rPr>
        <w:t> </w:t>
      </w:r>
      <w:r>
        <w:rPr>
          <w:color w:val="231F20"/>
          <w:spacing w:val="-2"/>
        </w:rPr>
        <w:t>blocus.</w:t>
      </w:r>
    </w:p>
    <w:p>
      <w:pPr>
        <w:spacing w:before="162"/>
        <w:ind w:left="412" w:right="1471" w:firstLine="0"/>
        <w:jc w:val="both"/>
        <w:rPr>
          <w:sz w:val="24"/>
        </w:rPr>
      </w:pPr>
      <w:r>
        <w:rPr>
          <w:b/>
          <w:color w:val="B52628"/>
          <w:sz w:val="24"/>
        </w:rPr>
        <w:t>26 janvier 2023. </w:t>
      </w:r>
      <w:r>
        <w:rPr>
          <w:color w:val="231F20"/>
          <w:sz w:val="24"/>
        </w:rPr>
        <w:t>Jeffrey W. </w:t>
      </w:r>
      <w:r>
        <w:rPr>
          <w:color w:val="231F20"/>
          <w:sz w:val="24"/>
        </w:rPr>
        <w:t>Bullock, secrétaire</w:t>
      </w:r>
      <w:r>
        <w:rPr>
          <w:color w:val="231F20"/>
          <w:spacing w:val="26"/>
          <w:sz w:val="24"/>
        </w:rPr>
        <w:t> </w:t>
      </w:r>
      <w:r>
        <w:rPr>
          <w:color w:val="231F20"/>
          <w:sz w:val="24"/>
        </w:rPr>
        <w:t>d’État</w:t>
      </w:r>
      <w:r>
        <w:rPr>
          <w:color w:val="231F20"/>
          <w:spacing w:val="26"/>
          <w:sz w:val="24"/>
        </w:rPr>
        <w:t> </w:t>
      </w:r>
      <w:r>
        <w:rPr>
          <w:color w:val="231F20"/>
          <w:sz w:val="24"/>
        </w:rPr>
        <w:t>du</w:t>
      </w:r>
      <w:r>
        <w:rPr>
          <w:color w:val="231F20"/>
          <w:spacing w:val="26"/>
          <w:sz w:val="24"/>
        </w:rPr>
        <w:t> </w:t>
      </w:r>
      <w:r>
        <w:rPr>
          <w:color w:val="231F20"/>
          <w:sz w:val="24"/>
        </w:rPr>
        <w:t>Delaware,</w:t>
      </w:r>
      <w:r>
        <w:rPr>
          <w:color w:val="231F20"/>
          <w:spacing w:val="26"/>
          <w:sz w:val="24"/>
        </w:rPr>
        <w:t> </w:t>
      </w:r>
      <w:r>
        <w:rPr>
          <w:color w:val="231F20"/>
          <w:sz w:val="24"/>
        </w:rPr>
        <w:t>et</w:t>
      </w:r>
      <w:r>
        <w:rPr>
          <w:color w:val="231F20"/>
          <w:spacing w:val="26"/>
          <w:sz w:val="24"/>
        </w:rPr>
        <w:t> </w:t>
      </w:r>
      <w:r>
        <w:rPr>
          <w:color w:val="231F20"/>
          <w:spacing w:val="-2"/>
          <w:sz w:val="24"/>
        </w:rPr>
        <w:t>Michael</w:t>
      </w:r>
    </w:p>
    <w:p>
      <w:pPr>
        <w:pStyle w:val="BodyText"/>
        <w:spacing w:before="2"/>
        <w:ind w:left="412" w:right="1471"/>
      </w:pPr>
      <w:r>
        <w:rPr>
          <w:color w:val="231F20"/>
        </w:rPr>
        <w:t>T.</w:t>
      </w:r>
      <w:r>
        <w:rPr>
          <w:color w:val="231F20"/>
          <w:spacing w:val="-17"/>
        </w:rPr>
        <w:t> </w:t>
      </w:r>
      <w:r>
        <w:rPr>
          <w:color w:val="231F20"/>
        </w:rPr>
        <w:t>Scuse,</w:t>
      </w:r>
      <w:r>
        <w:rPr>
          <w:color w:val="231F20"/>
          <w:spacing w:val="-16"/>
        </w:rPr>
        <w:t> </w:t>
      </w:r>
      <w:r>
        <w:rPr>
          <w:color w:val="231F20"/>
        </w:rPr>
        <w:t>commissaire</w:t>
      </w:r>
      <w:r>
        <w:rPr>
          <w:color w:val="231F20"/>
          <w:spacing w:val="-17"/>
        </w:rPr>
        <w:t> </w:t>
      </w:r>
      <w:r>
        <w:rPr>
          <w:color w:val="231F20"/>
        </w:rPr>
        <w:t>à</w:t>
      </w:r>
      <w:r>
        <w:rPr>
          <w:color w:val="231F20"/>
          <w:spacing w:val="-16"/>
        </w:rPr>
        <w:t> </w:t>
      </w:r>
      <w:r>
        <w:rPr>
          <w:color w:val="231F20"/>
        </w:rPr>
        <w:t>l’agriculture</w:t>
      </w:r>
      <w:r>
        <w:rPr>
          <w:color w:val="231F20"/>
          <w:spacing w:val="-17"/>
        </w:rPr>
        <w:t> </w:t>
      </w:r>
      <w:r>
        <w:rPr>
          <w:color w:val="231F20"/>
        </w:rPr>
        <w:t>de</w:t>
      </w:r>
      <w:r>
        <w:rPr>
          <w:color w:val="231F20"/>
          <w:spacing w:val="-16"/>
        </w:rPr>
        <w:t> </w:t>
      </w:r>
      <w:r>
        <w:rPr>
          <w:color w:val="231F20"/>
        </w:rPr>
        <w:t>cet État, de visite à La Havane, demandent la levée du blocus.</w:t>
      </w:r>
    </w:p>
    <w:p>
      <w:pPr>
        <w:pStyle w:val="BodyText"/>
        <w:spacing w:before="162"/>
        <w:ind w:left="412" w:right="1472"/>
      </w:pPr>
      <w:r>
        <w:rPr>
          <w:b/>
          <w:color w:val="B52628"/>
        </w:rPr>
        <w:t>29 janvier 2023. </w:t>
      </w:r>
      <w:r>
        <w:rPr>
          <w:color w:val="231F20"/>
        </w:rPr>
        <w:t>Des caravanes de manifestants demandent la cessation des mesures</w:t>
      </w:r>
      <w:r>
        <w:rPr>
          <w:color w:val="231F20"/>
          <w:spacing w:val="-17"/>
        </w:rPr>
        <w:t> </w:t>
      </w:r>
      <w:r>
        <w:rPr>
          <w:color w:val="231F20"/>
        </w:rPr>
        <w:t>coercitives</w:t>
      </w:r>
      <w:r>
        <w:rPr>
          <w:color w:val="231F20"/>
          <w:spacing w:val="-16"/>
        </w:rPr>
        <w:t> </w:t>
      </w:r>
      <w:r>
        <w:rPr>
          <w:color w:val="231F20"/>
        </w:rPr>
        <w:t>contre</w:t>
      </w:r>
      <w:r>
        <w:rPr>
          <w:color w:val="231F20"/>
          <w:spacing w:val="-17"/>
        </w:rPr>
        <w:t> </w:t>
      </w:r>
      <w:r>
        <w:rPr>
          <w:color w:val="231F20"/>
        </w:rPr>
        <w:t>Cuba</w:t>
      </w:r>
      <w:r>
        <w:rPr>
          <w:color w:val="231F20"/>
          <w:spacing w:val="-16"/>
        </w:rPr>
        <w:t> </w:t>
      </w:r>
      <w:r>
        <w:rPr>
          <w:color w:val="231F20"/>
        </w:rPr>
        <w:t>dans</w:t>
      </w:r>
      <w:r>
        <w:rPr>
          <w:color w:val="231F20"/>
          <w:spacing w:val="-17"/>
        </w:rPr>
        <w:t> </w:t>
      </w:r>
      <w:r>
        <w:rPr>
          <w:color w:val="231F20"/>
        </w:rPr>
        <w:t>plus de 20 villes des États-Unis, dont Miami.</w:t>
      </w:r>
    </w:p>
    <w:p>
      <w:pPr>
        <w:pStyle w:val="BodyText"/>
        <w:spacing w:before="163"/>
        <w:ind w:left="412" w:right="1473"/>
      </w:pPr>
      <w:r>
        <w:rPr>
          <w:b/>
          <w:color w:val="B52628"/>
        </w:rPr>
        <w:t>Janvier</w:t>
      </w:r>
      <w:r>
        <w:rPr>
          <w:b/>
          <w:color w:val="B52628"/>
          <w:spacing w:val="40"/>
        </w:rPr>
        <w:t> </w:t>
      </w:r>
      <w:r>
        <w:rPr>
          <w:b/>
          <w:color w:val="B52628"/>
        </w:rPr>
        <w:t>2023.</w:t>
      </w:r>
      <w:r>
        <w:rPr>
          <w:b/>
          <w:color w:val="B52628"/>
          <w:spacing w:val="40"/>
        </w:rPr>
        <w:t> </w:t>
      </w:r>
      <w:r>
        <w:rPr>
          <w:color w:val="231F20"/>
        </w:rPr>
        <w:t>Dans</w:t>
      </w:r>
      <w:r>
        <w:rPr>
          <w:color w:val="231F20"/>
          <w:spacing w:val="40"/>
        </w:rPr>
        <w:t> </w:t>
      </w:r>
      <w:r>
        <w:rPr>
          <w:color w:val="231F20"/>
        </w:rPr>
        <w:t>une</w:t>
      </w:r>
      <w:r>
        <w:rPr>
          <w:color w:val="231F20"/>
          <w:spacing w:val="40"/>
        </w:rPr>
        <w:t> </w:t>
      </w:r>
      <w:r>
        <w:rPr>
          <w:color w:val="231F20"/>
        </w:rPr>
        <w:t>lettre</w:t>
      </w:r>
      <w:r>
        <w:rPr>
          <w:color w:val="231F20"/>
          <w:spacing w:val="40"/>
        </w:rPr>
        <w:t> </w:t>
      </w:r>
      <w:r>
        <w:rPr>
          <w:color w:val="231F20"/>
        </w:rPr>
        <w:t>adressée à Julie Chávez Rodríguez, directrice du </w:t>
      </w:r>
      <w:r>
        <w:rPr>
          <w:color w:val="231F20"/>
          <w:spacing w:val="-2"/>
        </w:rPr>
        <w:t>Bureau</w:t>
      </w:r>
      <w:r>
        <w:rPr>
          <w:color w:val="231F20"/>
          <w:spacing w:val="-15"/>
        </w:rPr>
        <w:t> </w:t>
      </w:r>
      <w:r>
        <w:rPr>
          <w:color w:val="231F20"/>
          <w:spacing w:val="-2"/>
        </w:rPr>
        <w:t>des</w:t>
      </w:r>
      <w:r>
        <w:rPr>
          <w:color w:val="231F20"/>
          <w:spacing w:val="-14"/>
        </w:rPr>
        <w:t> </w:t>
      </w:r>
      <w:r>
        <w:rPr>
          <w:color w:val="231F20"/>
          <w:spacing w:val="-2"/>
        </w:rPr>
        <w:t>affaires</w:t>
      </w:r>
      <w:r>
        <w:rPr>
          <w:color w:val="231F20"/>
          <w:spacing w:val="-15"/>
        </w:rPr>
        <w:t> </w:t>
      </w:r>
      <w:r>
        <w:rPr>
          <w:color w:val="231F20"/>
          <w:spacing w:val="-2"/>
        </w:rPr>
        <w:t>intergouvernementales </w:t>
      </w:r>
      <w:r>
        <w:rPr>
          <w:color w:val="231F20"/>
        </w:rPr>
        <w:t>de</w:t>
      </w:r>
      <w:r>
        <w:rPr>
          <w:color w:val="231F20"/>
          <w:spacing w:val="40"/>
        </w:rPr>
        <w:t> </w:t>
      </w:r>
      <w:r>
        <w:rPr>
          <w:color w:val="231F20"/>
        </w:rPr>
        <w:t>la</w:t>
      </w:r>
      <w:r>
        <w:rPr>
          <w:color w:val="231F20"/>
          <w:spacing w:val="40"/>
        </w:rPr>
        <w:t> </w:t>
      </w:r>
      <w:r>
        <w:rPr>
          <w:color w:val="231F20"/>
        </w:rPr>
        <w:t>Maison-Blanche,</w:t>
      </w:r>
      <w:r>
        <w:rPr>
          <w:color w:val="231F20"/>
          <w:spacing w:val="40"/>
        </w:rPr>
        <w:t> </w:t>
      </w:r>
      <w:r>
        <w:rPr>
          <w:color w:val="231F20"/>
        </w:rPr>
        <w:t>la</w:t>
      </w:r>
      <w:r>
        <w:rPr>
          <w:color w:val="231F20"/>
          <w:spacing w:val="40"/>
        </w:rPr>
        <w:t> </w:t>
      </w:r>
      <w:r>
        <w:rPr>
          <w:color w:val="231F20"/>
        </w:rPr>
        <w:t>municipalité</w:t>
      </w:r>
      <w:r>
        <w:rPr>
          <w:color w:val="231F20"/>
          <w:spacing w:val="80"/>
        </w:rPr>
        <w:t> </w:t>
      </w:r>
      <w:r>
        <w:rPr>
          <w:color w:val="231F20"/>
        </w:rPr>
        <w:t>de</w:t>
      </w:r>
      <w:r>
        <w:rPr>
          <w:color w:val="231F20"/>
          <w:spacing w:val="40"/>
        </w:rPr>
        <w:t> </w:t>
      </w:r>
      <w:r>
        <w:rPr>
          <w:color w:val="231F20"/>
        </w:rPr>
        <w:t>Minneapolis</w:t>
      </w:r>
      <w:r>
        <w:rPr>
          <w:color w:val="231F20"/>
          <w:spacing w:val="40"/>
        </w:rPr>
        <w:t> </w:t>
      </w:r>
      <w:r>
        <w:rPr>
          <w:color w:val="231F20"/>
        </w:rPr>
        <w:t>(Minnesota)</w:t>
      </w:r>
      <w:r>
        <w:rPr>
          <w:color w:val="231F20"/>
          <w:spacing w:val="40"/>
        </w:rPr>
        <w:t> </w:t>
      </w:r>
      <w:r>
        <w:rPr>
          <w:color w:val="231F20"/>
        </w:rPr>
        <w:t>exige</w:t>
      </w:r>
      <w:r>
        <w:rPr>
          <w:color w:val="231F20"/>
          <w:spacing w:val="40"/>
        </w:rPr>
        <w:t> </w:t>
      </w:r>
      <w:r>
        <w:rPr>
          <w:color w:val="231F20"/>
        </w:rPr>
        <w:t>que</w:t>
      </w:r>
      <w:r>
        <w:rPr>
          <w:color w:val="231F20"/>
          <w:spacing w:val="40"/>
        </w:rPr>
        <w:t> </w:t>
      </w:r>
      <w:r>
        <w:rPr>
          <w:color w:val="231F20"/>
        </w:rPr>
        <w:t>la Maison-Blanche et le Congrès radient Cuba de la Liste des États censément </w:t>
      </w:r>
      <w:r>
        <w:rPr>
          <w:color w:val="231F20"/>
          <w:spacing w:val="-6"/>
        </w:rPr>
        <w:t>commanditaires de terrorisme international, </w:t>
      </w:r>
      <w:r>
        <w:rPr>
          <w:color w:val="231F20"/>
        </w:rPr>
        <w:t>et</w:t>
      </w:r>
      <w:r>
        <w:rPr>
          <w:color w:val="231F20"/>
          <w:spacing w:val="-17"/>
        </w:rPr>
        <w:t> </w:t>
      </w:r>
      <w:r>
        <w:rPr>
          <w:color w:val="231F20"/>
        </w:rPr>
        <w:t>rappellent</w:t>
      </w:r>
      <w:r>
        <w:rPr>
          <w:color w:val="231F20"/>
          <w:spacing w:val="-16"/>
        </w:rPr>
        <w:t> </w:t>
      </w:r>
      <w:r>
        <w:rPr>
          <w:color w:val="231F20"/>
        </w:rPr>
        <w:t>à</w:t>
      </w:r>
      <w:r>
        <w:rPr>
          <w:color w:val="231F20"/>
          <w:spacing w:val="-17"/>
        </w:rPr>
        <w:t> </w:t>
      </w:r>
      <w:r>
        <w:rPr>
          <w:color w:val="231F20"/>
        </w:rPr>
        <w:t>Biden</w:t>
      </w:r>
      <w:r>
        <w:rPr>
          <w:color w:val="231F20"/>
          <w:spacing w:val="-16"/>
        </w:rPr>
        <w:t> </w:t>
      </w:r>
      <w:r>
        <w:rPr>
          <w:color w:val="231F20"/>
        </w:rPr>
        <w:t>que</w:t>
      </w:r>
      <w:r>
        <w:rPr>
          <w:color w:val="231F20"/>
          <w:spacing w:val="-17"/>
        </w:rPr>
        <w:t> </w:t>
      </w:r>
      <w:r>
        <w:rPr>
          <w:color w:val="231F20"/>
        </w:rPr>
        <w:t>cela</w:t>
      </w:r>
      <w:r>
        <w:rPr>
          <w:color w:val="231F20"/>
          <w:spacing w:val="-16"/>
        </w:rPr>
        <w:t> </w:t>
      </w:r>
      <w:r>
        <w:rPr>
          <w:color w:val="231F20"/>
        </w:rPr>
        <w:t>faisait</w:t>
      </w:r>
      <w:r>
        <w:rPr>
          <w:color w:val="231F20"/>
          <w:spacing w:val="-17"/>
        </w:rPr>
        <w:t> </w:t>
      </w:r>
      <w:r>
        <w:rPr>
          <w:color w:val="231F20"/>
        </w:rPr>
        <w:t>partie de ses promesses électorales.</w:t>
      </w:r>
    </w:p>
    <w:p>
      <w:pPr>
        <w:pStyle w:val="BodyText"/>
        <w:spacing w:before="168"/>
        <w:ind w:left="412" w:right="1473"/>
      </w:pPr>
      <w:r>
        <w:rPr>
          <w:b/>
          <w:color w:val="B52628"/>
        </w:rPr>
        <w:t>5 février 2023. </w:t>
      </w:r>
      <w:r>
        <w:rPr>
          <w:color w:val="231F20"/>
        </w:rPr>
        <w:t>Carlos Lazo, coordinateur </w:t>
      </w:r>
      <w:r>
        <w:rPr>
          <w:color w:val="231F20"/>
          <w:spacing w:val="-4"/>
        </w:rPr>
        <w:t>de</w:t>
      </w:r>
      <w:r>
        <w:rPr>
          <w:color w:val="231F20"/>
          <w:spacing w:val="-13"/>
        </w:rPr>
        <w:t> </w:t>
      </w:r>
      <w:r>
        <w:rPr>
          <w:color w:val="231F20"/>
          <w:spacing w:val="-4"/>
        </w:rPr>
        <w:t>l’association</w:t>
      </w:r>
      <w:r>
        <w:rPr>
          <w:color w:val="231F20"/>
          <w:spacing w:val="-12"/>
        </w:rPr>
        <w:t> </w:t>
      </w:r>
      <w:r>
        <w:rPr>
          <w:color w:val="231F20"/>
          <w:spacing w:val="-4"/>
        </w:rPr>
        <w:t>Puentes</w:t>
      </w:r>
      <w:r>
        <w:rPr>
          <w:color w:val="231F20"/>
          <w:spacing w:val="-13"/>
        </w:rPr>
        <w:t> </w:t>
      </w:r>
      <w:r>
        <w:rPr>
          <w:color w:val="231F20"/>
          <w:spacing w:val="-4"/>
        </w:rPr>
        <w:t>de</w:t>
      </w:r>
      <w:r>
        <w:rPr>
          <w:color w:val="231F20"/>
          <w:spacing w:val="-12"/>
        </w:rPr>
        <w:t> </w:t>
      </w:r>
      <w:r>
        <w:rPr>
          <w:color w:val="231F20"/>
          <w:spacing w:val="-4"/>
        </w:rPr>
        <w:t>Amor,</w:t>
      </w:r>
      <w:r>
        <w:rPr>
          <w:color w:val="231F20"/>
          <w:spacing w:val="-13"/>
        </w:rPr>
        <w:t> </w:t>
      </w:r>
      <w:r>
        <w:rPr>
          <w:color w:val="231F20"/>
          <w:spacing w:val="-4"/>
        </w:rPr>
        <w:t>et</w:t>
      </w:r>
      <w:r>
        <w:rPr>
          <w:color w:val="231F20"/>
          <w:spacing w:val="-12"/>
        </w:rPr>
        <w:t> </w:t>
      </w:r>
      <w:r>
        <w:rPr>
          <w:color w:val="231F20"/>
          <w:spacing w:val="-4"/>
        </w:rPr>
        <w:t>Medea </w:t>
      </w:r>
      <w:r>
        <w:rPr>
          <w:color w:val="231F20"/>
        </w:rPr>
        <w:t>Benjamin, de CodePink, affirment à des membres</w:t>
      </w:r>
      <w:r>
        <w:rPr>
          <w:color w:val="231F20"/>
          <w:spacing w:val="-16"/>
        </w:rPr>
        <w:t> </w:t>
      </w:r>
      <w:r>
        <w:rPr>
          <w:color w:val="231F20"/>
        </w:rPr>
        <w:t>de</w:t>
      </w:r>
      <w:r>
        <w:rPr>
          <w:color w:val="231F20"/>
          <w:spacing w:val="-16"/>
        </w:rPr>
        <w:t> </w:t>
      </w:r>
      <w:r>
        <w:rPr>
          <w:color w:val="231F20"/>
        </w:rPr>
        <w:t>l’Institut</w:t>
      </w:r>
      <w:r>
        <w:rPr>
          <w:color w:val="231F20"/>
          <w:spacing w:val="-16"/>
        </w:rPr>
        <w:t> </w:t>
      </w:r>
      <w:r>
        <w:rPr>
          <w:color w:val="231F20"/>
        </w:rPr>
        <w:t>cubain</w:t>
      </w:r>
      <w:r>
        <w:rPr>
          <w:color w:val="231F20"/>
          <w:spacing w:val="-16"/>
        </w:rPr>
        <w:t> </w:t>
      </w:r>
      <w:r>
        <w:rPr>
          <w:color w:val="231F20"/>
        </w:rPr>
        <w:t>d’amitié</w:t>
      </w:r>
      <w:r>
        <w:rPr>
          <w:color w:val="231F20"/>
          <w:spacing w:val="-16"/>
        </w:rPr>
        <w:t> </w:t>
      </w:r>
      <w:r>
        <w:rPr>
          <w:color w:val="231F20"/>
        </w:rPr>
        <w:t>avec </w:t>
      </w:r>
      <w:r>
        <w:rPr>
          <w:color w:val="231F20"/>
          <w:spacing w:val="-2"/>
        </w:rPr>
        <w:t>les</w:t>
      </w:r>
      <w:r>
        <w:rPr>
          <w:color w:val="231F20"/>
          <w:spacing w:val="-15"/>
        </w:rPr>
        <w:t> </w:t>
      </w:r>
      <w:r>
        <w:rPr>
          <w:color w:val="231F20"/>
          <w:spacing w:val="-2"/>
        </w:rPr>
        <w:t>peuples</w:t>
      </w:r>
      <w:r>
        <w:rPr>
          <w:color w:val="231F20"/>
          <w:spacing w:val="-14"/>
        </w:rPr>
        <w:t> </w:t>
      </w:r>
      <w:r>
        <w:rPr>
          <w:color w:val="231F20"/>
          <w:spacing w:val="-2"/>
        </w:rPr>
        <w:t>qu’ils</w:t>
      </w:r>
      <w:r>
        <w:rPr>
          <w:color w:val="231F20"/>
          <w:spacing w:val="-15"/>
        </w:rPr>
        <w:t> </w:t>
      </w:r>
      <w:r>
        <w:rPr>
          <w:color w:val="231F20"/>
          <w:spacing w:val="-2"/>
        </w:rPr>
        <w:t>continueront</w:t>
      </w:r>
      <w:r>
        <w:rPr>
          <w:color w:val="231F20"/>
          <w:spacing w:val="-14"/>
        </w:rPr>
        <w:t> </w:t>
      </w:r>
      <w:r>
        <w:rPr>
          <w:color w:val="231F20"/>
          <w:spacing w:val="-2"/>
        </w:rPr>
        <w:t>de</w:t>
      </w:r>
      <w:r>
        <w:rPr>
          <w:color w:val="231F20"/>
          <w:spacing w:val="-15"/>
        </w:rPr>
        <w:t> </w:t>
      </w:r>
      <w:r>
        <w:rPr>
          <w:color w:val="231F20"/>
          <w:spacing w:val="-2"/>
        </w:rPr>
        <w:t>réclamer </w:t>
      </w:r>
      <w:r>
        <w:rPr>
          <w:color w:val="231F20"/>
        </w:rPr>
        <w:t>la levée du blocus.</w:t>
      </w:r>
    </w:p>
    <w:p>
      <w:pPr>
        <w:pStyle w:val="BodyText"/>
        <w:spacing w:before="165"/>
        <w:ind w:left="412" w:right="1473"/>
      </w:pPr>
      <w:r>
        <w:rPr>
          <w:b/>
          <w:color w:val="B52628"/>
        </w:rPr>
        <w:t>10 février 2023. </w:t>
      </w:r>
      <w:r>
        <w:rPr>
          <w:color w:val="231F20"/>
        </w:rPr>
        <w:t>Le conseil municipal de </w:t>
      </w:r>
      <w:r>
        <w:rPr>
          <w:color w:val="231F20"/>
          <w:spacing w:val="-8"/>
        </w:rPr>
        <w:t>Washington soumet une résolution exigeant </w:t>
      </w:r>
      <w:r>
        <w:rPr>
          <w:color w:val="231F20"/>
        </w:rPr>
        <w:t>que la Maison-Blanche et le Congrès lèvent</w:t>
      </w:r>
      <w:r>
        <w:rPr>
          <w:color w:val="231F20"/>
          <w:spacing w:val="-11"/>
        </w:rPr>
        <w:t> </w:t>
      </w:r>
      <w:r>
        <w:rPr>
          <w:color w:val="231F20"/>
        </w:rPr>
        <w:t>le</w:t>
      </w:r>
      <w:r>
        <w:rPr>
          <w:color w:val="231F20"/>
          <w:spacing w:val="-11"/>
        </w:rPr>
        <w:t> </w:t>
      </w:r>
      <w:r>
        <w:rPr>
          <w:color w:val="231F20"/>
        </w:rPr>
        <w:t>blocus</w:t>
      </w:r>
      <w:r>
        <w:rPr>
          <w:color w:val="231F20"/>
          <w:spacing w:val="-11"/>
        </w:rPr>
        <w:t> </w:t>
      </w:r>
      <w:r>
        <w:rPr>
          <w:color w:val="231F20"/>
        </w:rPr>
        <w:t>et</w:t>
      </w:r>
      <w:r>
        <w:rPr>
          <w:color w:val="231F20"/>
          <w:spacing w:val="-11"/>
        </w:rPr>
        <w:t> </w:t>
      </w:r>
      <w:r>
        <w:rPr>
          <w:color w:val="231F20"/>
        </w:rPr>
        <w:t>radient</w:t>
      </w:r>
      <w:r>
        <w:rPr>
          <w:color w:val="231F20"/>
          <w:spacing w:val="-11"/>
        </w:rPr>
        <w:t> </w:t>
      </w:r>
      <w:r>
        <w:rPr>
          <w:color w:val="231F20"/>
        </w:rPr>
        <w:t>Cuba</w:t>
      </w:r>
      <w:r>
        <w:rPr>
          <w:color w:val="231F20"/>
          <w:spacing w:val="-11"/>
        </w:rPr>
        <w:t> </w:t>
      </w:r>
      <w:r>
        <w:rPr>
          <w:color w:val="231F20"/>
        </w:rPr>
        <w:t>de</w:t>
      </w:r>
      <w:r>
        <w:rPr>
          <w:color w:val="231F20"/>
          <w:spacing w:val="-11"/>
        </w:rPr>
        <w:t> </w:t>
      </w:r>
      <w:r>
        <w:rPr>
          <w:color w:val="231F20"/>
        </w:rPr>
        <w:t>la</w:t>
      </w:r>
      <w:r>
        <w:rPr>
          <w:color w:val="231F20"/>
          <w:spacing w:val="-11"/>
        </w:rPr>
        <w:t> </w:t>
      </w:r>
      <w:r>
        <w:rPr>
          <w:color w:val="231F20"/>
        </w:rPr>
        <w:t>Liste des États censément commanditaires de terrorisme international.</w:t>
      </w:r>
    </w:p>
    <w:p>
      <w:pPr>
        <w:pStyle w:val="BodyText"/>
        <w:spacing w:before="164"/>
        <w:ind w:left="412" w:right="1473"/>
      </w:pPr>
      <w:r>
        <w:rPr>
          <w:b/>
          <w:color w:val="B52628"/>
        </w:rPr>
        <w:t>12 février 2023. </w:t>
      </w:r>
      <w:r>
        <w:rPr>
          <w:color w:val="231F20"/>
        </w:rPr>
        <w:t>Noam Chomsky et Vijay </w:t>
      </w:r>
      <w:r>
        <w:rPr>
          <w:color w:val="231F20"/>
          <w:spacing w:val="-2"/>
        </w:rPr>
        <w:t>Prashad</w:t>
      </w:r>
      <w:r>
        <w:rPr>
          <w:color w:val="231F20"/>
          <w:spacing w:val="-15"/>
        </w:rPr>
        <w:t> </w:t>
      </w:r>
      <w:r>
        <w:rPr>
          <w:color w:val="231F20"/>
          <w:spacing w:val="-2"/>
        </w:rPr>
        <w:t>publient</w:t>
      </w:r>
      <w:r>
        <w:rPr>
          <w:color w:val="231F20"/>
          <w:spacing w:val="-14"/>
        </w:rPr>
        <w:t> </w:t>
      </w:r>
      <w:r>
        <w:rPr>
          <w:color w:val="231F20"/>
          <w:spacing w:val="-2"/>
        </w:rPr>
        <w:t>dans</w:t>
      </w:r>
      <w:r>
        <w:rPr>
          <w:color w:val="231F20"/>
          <w:spacing w:val="-15"/>
        </w:rPr>
        <w:t> </w:t>
      </w:r>
      <w:r>
        <w:rPr>
          <w:color w:val="231F20"/>
          <w:spacing w:val="-2"/>
        </w:rPr>
        <w:t>le</w:t>
      </w:r>
      <w:r>
        <w:rPr>
          <w:color w:val="231F20"/>
          <w:spacing w:val="-14"/>
        </w:rPr>
        <w:t> </w:t>
      </w:r>
      <w:r>
        <w:rPr>
          <w:color w:val="231F20"/>
          <w:spacing w:val="-2"/>
        </w:rPr>
        <w:t>People’s</w:t>
      </w:r>
      <w:r>
        <w:rPr>
          <w:color w:val="231F20"/>
          <w:spacing w:val="-14"/>
        </w:rPr>
        <w:t> </w:t>
      </w:r>
      <w:r>
        <w:rPr>
          <w:color w:val="231F20"/>
          <w:spacing w:val="-2"/>
        </w:rPr>
        <w:t>Dispatch </w:t>
      </w:r>
      <w:r>
        <w:rPr>
          <w:color w:val="231F20"/>
        </w:rPr>
        <w:t>un article dans lequel ils affirment que la Maison-Blanche doit radier Cuba de la Liste</w:t>
      </w:r>
      <w:r>
        <w:rPr>
          <w:color w:val="231F20"/>
          <w:spacing w:val="-17"/>
        </w:rPr>
        <w:t> </w:t>
      </w:r>
      <w:r>
        <w:rPr>
          <w:color w:val="231F20"/>
        </w:rPr>
        <w:t>des</w:t>
      </w:r>
      <w:r>
        <w:rPr>
          <w:color w:val="231F20"/>
          <w:spacing w:val="-16"/>
        </w:rPr>
        <w:t> </w:t>
      </w:r>
      <w:r>
        <w:rPr>
          <w:color w:val="231F20"/>
        </w:rPr>
        <w:t>États</w:t>
      </w:r>
      <w:r>
        <w:rPr>
          <w:color w:val="231F20"/>
          <w:spacing w:val="-17"/>
        </w:rPr>
        <w:t> </w:t>
      </w:r>
      <w:r>
        <w:rPr>
          <w:color w:val="231F20"/>
        </w:rPr>
        <w:t>censément</w:t>
      </w:r>
      <w:r>
        <w:rPr>
          <w:color w:val="231F20"/>
          <w:spacing w:val="-16"/>
        </w:rPr>
        <w:t> </w:t>
      </w:r>
      <w:r>
        <w:rPr>
          <w:color w:val="231F20"/>
        </w:rPr>
        <w:t>commanditaires de terrorisme international.</w:t>
      </w:r>
    </w:p>
    <w:p>
      <w:pPr>
        <w:spacing w:after="0"/>
        <w:sectPr>
          <w:pgSz w:w="11910" w:h="16840"/>
          <w:pgMar w:header="0" w:footer="695" w:top="1260" w:bottom="880" w:left="0" w:right="0"/>
          <w:cols w:num="2" w:equalWidth="0">
            <w:col w:w="5557" w:space="40"/>
            <w:col w:w="6313"/>
          </w:cols>
        </w:sectPr>
      </w:pPr>
    </w:p>
    <w:p>
      <w:pPr>
        <w:pStyle w:val="BodyText"/>
        <w:spacing w:before="77"/>
        <w:ind w:left="1474" w:right="5"/>
      </w:pPr>
      <w:r>
        <w:rPr>
          <w:b/>
          <w:color w:val="B52628"/>
        </w:rPr>
        <w:t>14 février 2023. </w:t>
      </w:r>
      <w:r>
        <w:rPr>
          <w:color w:val="231F20"/>
        </w:rPr>
        <w:t>Le Comité international de</w:t>
      </w:r>
      <w:r>
        <w:rPr>
          <w:color w:val="231F20"/>
          <w:spacing w:val="-12"/>
        </w:rPr>
        <w:t> </w:t>
      </w:r>
      <w:r>
        <w:rPr>
          <w:color w:val="231F20"/>
        </w:rPr>
        <w:t>Democratic</w:t>
      </w:r>
      <w:r>
        <w:rPr>
          <w:color w:val="231F20"/>
          <w:spacing w:val="-12"/>
        </w:rPr>
        <w:t> </w:t>
      </w:r>
      <w:r>
        <w:rPr>
          <w:color w:val="231F20"/>
        </w:rPr>
        <w:t>Socialists</w:t>
      </w:r>
      <w:r>
        <w:rPr>
          <w:color w:val="231F20"/>
          <w:spacing w:val="-12"/>
        </w:rPr>
        <w:t> </w:t>
      </w:r>
      <w:r>
        <w:rPr>
          <w:color w:val="231F20"/>
        </w:rPr>
        <w:t>of</w:t>
      </w:r>
      <w:r>
        <w:rPr>
          <w:color w:val="231F20"/>
          <w:spacing w:val="-12"/>
        </w:rPr>
        <w:t> </w:t>
      </w:r>
      <w:r>
        <w:rPr>
          <w:color w:val="231F20"/>
        </w:rPr>
        <w:t>America</w:t>
      </w:r>
      <w:r>
        <w:rPr>
          <w:color w:val="231F20"/>
          <w:spacing w:val="-12"/>
        </w:rPr>
        <w:t> </w:t>
      </w:r>
      <w:r>
        <w:rPr>
          <w:color w:val="231F20"/>
        </w:rPr>
        <w:t>(DSA) réitère</w:t>
      </w:r>
      <w:r>
        <w:rPr>
          <w:color w:val="231F20"/>
          <w:spacing w:val="-15"/>
        </w:rPr>
        <w:t> </w:t>
      </w:r>
      <w:r>
        <w:rPr>
          <w:color w:val="231F20"/>
        </w:rPr>
        <w:t>son</w:t>
      </w:r>
      <w:r>
        <w:rPr>
          <w:color w:val="231F20"/>
          <w:spacing w:val="-15"/>
        </w:rPr>
        <w:t> </w:t>
      </w:r>
      <w:r>
        <w:rPr>
          <w:color w:val="231F20"/>
        </w:rPr>
        <w:t>opposition</w:t>
      </w:r>
      <w:r>
        <w:rPr>
          <w:color w:val="231F20"/>
          <w:spacing w:val="-15"/>
        </w:rPr>
        <w:t> </w:t>
      </w:r>
      <w:r>
        <w:rPr>
          <w:color w:val="231F20"/>
        </w:rPr>
        <w:t>au</w:t>
      </w:r>
      <w:r>
        <w:rPr>
          <w:color w:val="231F20"/>
          <w:spacing w:val="-15"/>
        </w:rPr>
        <w:t> </w:t>
      </w:r>
      <w:r>
        <w:rPr>
          <w:color w:val="231F20"/>
        </w:rPr>
        <w:t>blocus</w:t>
      </w:r>
      <w:r>
        <w:rPr>
          <w:color w:val="231F20"/>
          <w:spacing w:val="-15"/>
        </w:rPr>
        <w:t> </w:t>
      </w:r>
      <w:r>
        <w:rPr>
          <w:color w:val="231F20"/>
        </w:rPr>
        <w:t>à</w:t>
      </w:r>
      <w:r>
        <w:rPr>
          <w:color w:val="231F20"/>
          <w:spacing w:val="-15"/>
        </w:rPr>
        <w:t> </w:t>
      </w:r>
      <w:r>
        <w:rPr>
          <w:color w:val="231F20"/>
        </w:rPr>
        <w:t>Cuba</w:t>
      </w:r>
      <w:r>
        <w:rPr>
          <w:color w:val="231F20"/>
          <w:spacing w:val="-15"/>
        </w:rPr>
        <w:t> </w:t>
      </w:r>
      <w:r>
        <w:rPr>
          <w:color w:val="231F20"/>
        </w:rPr>
        <w:t>et </w:t>
      </w:r>
      <w:r>
        <w:rPr>
          <w:color w:val="231F20"/>
          <w:spacing w:val="-10"/>
        </w:rPr>
        <w:t>demande</w:t>
      </w:r>
      <w:r>
        <w:rPr>
          <w:color w:val="231F20"/>
          <w:spacing w:val="-7"/>
        </w:rPr>
        <w:t> </w:t>
      </w:r>
      <w:r>
        <w:rPr>
          <w:color w:val="231F20"/>
          <w:spacing w:val="-10"/>
        </w:rPr>
        <w:t>à</w:t>
      </w:r>
      <w:r>
        <w:rPr>
          <w:color w:val="231F20"/>
          <w:spacing w:val="-6"/>
        </w:rPr>
        <w:t> </w:t>
      </w:r>
      <w:r>
        <w:rPr>
          <w:color w:val="231F20"/>
          <w:spacing w:val="-10"/>
        </w:rPr>
        <w:t>la</w:t>
      </w:r>
      <w:r>
        <w:rPr>
          <w:color w:val="231F20"/>
          <w:spacing w:val="-7"/>
        </w:rPr>
        <w:t> </w:t>
      </w:r>
      <w:r>
        <w:rPr>
          <w:color w:val="231F20"/>
          <w:spacing w:val="-10"/>
        </w:rPr>
        <w:t>Maison-Blanche</w:t>
      </w:r>
      <w:r>
        <w:rPr>
          <w:color w:val="231F20"/>
          <w:spacing w:val="-6"/>
        </w:rPr>
        <w:t> </w:t>
      </w:r>
      <w:r>
        <w:rPr>
          <w:color w:val="231F20"/>
          <w:spacing w:val="-10"/>
        </w:rPr>
        <w:t>de</w:t>
      </w:r>
      <w:r>
        <w:rPr>
          <w:color w:val="231F20"/>
          <w:spacing w:val="-6"/>
        </w:rPr>
        <w:t> </w:t>
      </w:r>
      <w:r>
        <w:rPr>
          <w:color w:val="231F20"/>
          <w:spacing w:val="-10"/>
        </w:rPr>
        <w:t>la</w:t>
      </w:r>
      <w:r>
        <w:rPr>
          <w:color w:val="231F20"/>
          <w:spacing w:val="-7"/>
        </w:rPr>
        <w:t> </w:t>
      </w:r>
      <w:r>
        <w:rPr>
          <w:color w:val="231F20"/>
          <w:spacing w:val="-10"/>
        </w:rPr>
        <w:t>radier</w:t>
      </w:r>
      <w:r>
        <w:rPr>
          <w:color w:val="231F20"/>
          <w:spacing w:val="-6"/>
        </w:rPr>
        <w:t> </w:t>
      </w:r>
      <w:r>
        <w:rPr>
          <w:color w:val="231F20"/>
          <w:spacing w:val="-10"/>
        </w:rPr>
        <w:t>de </w:t>
      </w:r>
      <w:r>
        <w:rPr>
          <w:color w:val="231F20"/>
          <w:spacing w:val="-8"/>
        </w:rPr>
        <w:t>la Liste des États censément commanditaires </w:t>
      </w:r>
      <w:r>
        <w:rPr>
          <w:color w:val="231F20"/>
        </w:rPr>
        <w:t>de terrorisme international.</w:t>
      </w:r>
    </w:p>
    <w:p>
      <w:pPr>
        <w:pStyle w:val="BodyText"/>
        <w:spacing w:before="164"/>
        <w:ind w:left="1474" w:right="7"/>
      </w:pPr>
      <w:r>
        <w:rPr>
          <w:b/>
          <w:color w:val="B52628"/>
          <w:spacing w:val="-2"/>
        </w:rPr>
        <w:t>26</w:t>
      </w:r>
      <w:r>
        <w:rPr>
          <w:b/>
          <w:color w:val="B52628"/>
          <w:spacing w:val="-13"/>
        </w:rPr>
        <w:t> </w:t>
      </w:r>
      <w:r>
        <w:rPr>
          <w:b/>
          <w:color w:val="B52628"/>
          <w:spacing w:val="-2"/>
        </w:rPr>
        <w:t>février</w:t>
      </w:r>
      <w:r>
        <w:rPr>
          <w:b/>
          <w:color w:val="B52628"/>
          <w:spacing w:val="-13"/>
        </w:rPr>
        <w:t> </w:t>
      </w:r>
      <w:r>
        <w:rPr>
          <w:b/>
          <w:color w:val="B52628"/>
          <w:spacing w:val="-2"/>
        </w:rPr>
        <w:t>2023.</w:t>
      </w:r>
      <w:r>
        <w:rPr>
          <w:b/>
          <w:color w:val="B52628"/>
          <w:spacing w:val="-14"/>
        </w:rPr>
        <w:t> </w:t>
      </w:r>
      <w:r>
        <w:rPr>
          <w:color w:val="231F20"/>
          <w:spacing w:val="-2"/>
        </w:rPr>
        <w:t>Des</w:t>
      </w:r>
      <w:r>
        <w:rPr>
          <w:color w:val="231F20"/>
          <w:spacing w:val="-14"/>
        </w:rPr>
        <w:t> </w:t>
      </w:r>
      <w:r>
        <w:rPr>
          <w:color w:val="231F20"/>
          <w:spacing w:val="-2"/>
        </w:rPr>
        <w:t>militants</w:t>
      </w:r>
      <w:r>
        <w:rPr>
          <w:color w:val="231F20"/>
          <w:spacing w:val="-13"/>
        </w:rPr>
        <w:t> </w:t>
      </w:r>
      <w:r>
        <w:rPr>
          <w:color w:val="231F20"/>
          <w:spacing w:val="-2"/>
        </w:rPr>
        <w:t>en</w:t>
      </w:r>
      <w:r>
        <w:rPr>
          <w:color w:val="231F20"/>
          <w:spacing w:val="-13"/>
        </w:rPr>
        <w:t> </w:t>
      </w:r>
      <w:r>
        <w:rPr>
          <w:color w:val="231F20"/>
          <w:spacing w:val="-2"/>
        </w:rPr>
        <w:t>caravane </w:t>
      </w:r>
      <w:r>
        <w:rPr>
          <w:color w:val="231F20"/>
        </w:rPr>
        <w:t>dans plusieurs villes étasuniennes, dont Miami,</w:t>
      </w:r>
      <w:r>
        <w:rPr>
          <w:color w:val="231F20"/>
          <w:spacing w:val="-10"/>
        </w:rPr>
        <w:t> </w:t>
      </w:r>
      <w:r>
        <w:rPr>
          <w:color w:val="231F20"/>
        </w:rPr>
        <w:t>Seattle</w:t>
      </w:r>
      <w:r>
        <w:rPr>
          <w:color w:val="231F20"/>
          <w:spacing w:val="-10"/>
        </w:rPr>
        <w:t> </w:t>
      </w:r>
      <w:r>
        <w:rPr>
          <w:color w:val="231F20"/>
        </w:rPr>
        <w:t>et</w:t>
      </w:r>
      <w:r>
        <w:rPr>
          <w:color w:val="231F20"/>
          <w:spacing w:val="-10"/>
        </w:rPr>
        <w:t> </w:t>
      </w:r>
      <w:r>
        <w:rPr>
          <w:color w:val="231F20"/>
        </w:rPr>
        <w:t>New</w:t>
      </w:r>
      <w:r>
        <w:rPr>
          <w:color w:val="231F20"/>
          <w:spacing w:val="-10"/>
        </w:rPr>
        <w:t> </w:t>
      </w:r>
      <w:r>
        <w:rPr>
          <w:color w:val="231F20"/>
        </w:rPr>
        <w:t>York,</w:t>
      </w:r>
      <w:r>
        <w:rPr>
          <w:color w:val="231F20"/>
          <w:spacing w:val="-10"/>
        </w:rPr>
        <w:t> </w:t>
      </w:r>
      <w:r>
        <w:rPr>
          <w:color w:val="231F20"/>
        </w:rPr>
        <w:t>demandent</w:t>
      </w:r>
      <w:r>
        <w:rPr>
          <w:color w:val="231F20"/>
          <w:spacing w:val="-10"/>
        </w:rPr>
        <w:t> </w:t>
      </w:r>
      <w:r>
        <w:rPr>
          <w:color w:val="231F20"/>
        </w:rPr>
        <w:t>la </w:t>
      </w:r>
      <w:r>
        <w:rPr>
          <w:color w:val="231F20"/>
          <w:spacing w:val="-8"/>
        </w:rPr>
        <w:t>cessation</w:t>
      </w:r>
      <w:r>
        <w:rPr>
          <w:color w:val="231F20"/>
          <w:spacing w:val="-9"/>
        </w:rPr>
        <w:t> </w:t>
      </w:r>
      <w:r>
        <w:rPr>
          <w:color w:val="231F20"/>
          <w:spacing w:val="-8"/>
        </w:rPr>
        <w:t>des mesures</w:t>
      </w:r>
      <w:r>
        <w:rPr>
          <w:color w:val="231F20"/>
          <w:spacing w:val="-9"/>
        </w:rPr>
        <w:t> </w:t>
      </w:r>
      <w:r>
        <w:rPr>
          <w:color w:val="231F20"/>
          <w:spacing w:val="-8"/>
        </w:rPr>
        <w:t>coercitives appliquées </w:t>
      </w:r>
      <w:r>
        <w:rPr>
          <w:color w:val="231F20"/>
        </w:rPr>
        <w:t>à</w:t>
      </w:r>
      <w:r>
        <w:rPr>
          <w:color w:val="231F20"/>
          <w:spacing w:val="-7"/>
        </w:rPr>
        <w:t> </w:t>
      </w:r>
      <w:r>
        <w:rPr>
          <w:color w:val="231F20"/>
        </w:rPr>
        <w:t>Cuba</w:t>
      </w:r>
      <w:r>
        <w:rPr>
          <w:color w:val="231F20"/>
          <w:spacing w:val="-7"/>
        </w:rPr>
        <w:t> </w:t>
      </w:r>
      <w:r>
        <w:rPr>
          <w:color w:val="231F20"/>
        </w:rPr>
        <w:t>et</w:t>
      </w:r>
      <w:r>
        <w:rPr>
          <w:color w:val="231F20"/>
          <w:spacing w:val="-7"/>
        </w:rPr>
        <w:t> </w:t>
      </w:r>
      <w:r>
        <w:rPr>
          <w:color w:val="231F20"/>
        </w:rPr>
        <w:t>sa</w:t>
      </w:r>
      <w:r>
        <w:rPr>
          <w:color w:val="231F20"/>
          <w:spacing w:val="-7"/>
        </w:rPr>
        <w:t> </w:t>
      </w:r>
      <w:r>
        <w:rPr>
          <w:color w:val="231F20"/>
        </w:rPr>
        <w:t>radiation</w:t>
      </w:r>
      <w:r>
        <w:rPr>
          <w:color w:val="231F20"/>
          <w:spacing w:val="-7"/>
        </w:rPr>
        <w:t> </w:t>
      </w:r>
      <w:r>
        <w:rPr>
          <w:color w:val="231F20"/>
        </w:rPr>
        <w:t>de</w:t>
      </w:r>
      <w:r>
        <w:rPr>
          <w:color w:val="231F20"/>
          <w:spacing w:val="-7"/>
        </w:rPr>
        <w:t> </w:t>
      </w:r>
      <w:r>
        <w:rPr>
          <w:color w:val="231F20"/>
        </w:rPr>
        <w:t>la</w:t>
      </w:r>
      <w:r>
        <w:rPr>
          <w:color w:val="231F20"/>
          <w:spacing w:val="-7"/>
        </w:rPr>
        <w:t> </w:t>
      </w:r>
      <w:r>
        <w:rPr>
          <w:color w:val="231F20"/>
        </w:rPr>
        <w:t>Liste</w:t>
      </w:r>
      <w:r>
        <w:rPr>
          <w:color w:val="231F20"/>
          <w:spacing w:val="-7"/>
        </w:rPr>
        <w:t> </w:t>
      </w:r>
      <w:r>
        <w:rPr>
          <w:color w:val="231F20"/>
        </w:rPr>
        <w:t>des</w:t>
      </w:r>
      <w:r>
        <w:rPr>
          <w:color w:val="231F20"/>
          <w:spacing w:val="-7"/>
        </w:rPr>
        <w:t> </w:t>
      </w:r>
      <w:r>
        <w:rPr>
          <w:color w:val="231F20"/>
        </w:rPr>
        <w:t>États censément</w:t>
      </w:r>
      <w:r>
        <w:rPr>
          <w:color w:val="231F20"/>
          <w:spacing w:val="-7"/>
        </w:rPr>
        <w:t> </w:t>
      </w:r>
      <w:r>
        <w:rPr>
          <w:color w:val="231F20"/>
        </w:rPr>
        <w:t>commanditaires</w:t>
      </w:r>
      <w:r>
        <w:rPr>
          <w:color w:val="231F20"/>
          <w:spacing w:val="-7"/>
        </w:rPr>
        <w:t> </w:t>
      </w:r>
      <w:r>
        <w:rPr>
          <w:color w:val="231F20"/>
        </w:rPr>
        <w:t>de</w:t>
      </w:r>
      <w:r>
        <w:rPr>
          <w:color w:val="231F20"/>
          <w:spacing w:val="-7"/>
        </w:rPr>
        <w:t> </w:t>
      </w:r>
      <w:r>
        <w:rPr>
          <w:color w:val="231F20"/>
        </w:rPr>
        <w:t>terrorisme </w:t>
      </w:r>
      <w:r>
        <w:rPr>
          <w:color w:val="231F20"/>
          <w:spacing w:val="-2"/>
        </w:rPr>
        <w:t>international.</w:t>
      </w:r>
    </w:p>
    <w:p>
      <w:pPr>
        <w:pStyle w:val="BodyText"/>
        <w:spacing w:before="166"/>
        <w:ind w:left="1474" w:right="3"/>
      </w:pPr>
      <w:r>
        <w:rPr>
          <w:b/>
          <w:color w:val="B52628"/>
        </w:rPr>
        <w:t>28 février 2023. </w:t>
      </w:r>
      <w:r>
        <w:rPr>
          <w:color w:val="231F20"/>
        </w:rPr>
        <w:t>Le département d’État ayant</w:t>
      </w:r>
      <w:r>
        <w:rPr>
          <w:color w:val="231F20"/>
          <w:spacing w:val="-17"/>
        </w:rPr>
        <w:t> </w:t>
      </w:r>
      <w:r>
        <w:rPr>
          <w:color w:val="231F20"/>
        </w:rPr>
        <w:t>publié</w:t>
      </w:r>
      <w:r>
        <w:rPr>
          <w:color w:val="231F20"/>
          <w:spacing w:val="-16"/>
        </w:rPr>
        <w:t> </w:t>
      </w:r>
      <w:r>
        <w:rPr>
          <w:color w:val="231F20"/>
        </w:rPr>
        <w:t>son</w:t>
      </w:r>
      <w:r>
        <w:rPr>
          <w:color w:val="231F20"/>
          <w:spacing w:val="-17"/>
        </w:rPr>
        <w:t> </w:t>
      </w:r>
      <w:r>
        <w:rPr>
          <w:color w:val="231F20"/>
        </w:rPr>
        <w:t>rapport</w:t>
      </w:r>
      <w:r>
        <w:rPr>
          <w:color w:val="231F20"/>
          <w:spacing w:val="-16"/>
        </w:rPr>
        <w:t> </w:t>
      </w:r>
      <w:r>
        <w:rPr>
          <w:color w:val="231F20"/>
        </w:rPr>
        <w:t>annuel</w:t>
      </w:r>
      <w:r>
        <w:rPr>
          <w:color w:val="231F20"/>
          <w:spacing w:val="-17"/>
        </w:rPr>
        <w:t> </w:t>
      </w:r>
      <w:r>
        <w:rPr>
          <w:color w:val="231F20"/>
        </w:rPr>
        <w:t>(2021)</w:t>
      </w:r>
      <w:r>
        <w:rPr>
          <w:color w:val="231F20"/>
          <w:spacing w:val="-16"/>
        </w:rPr>
        <w:t> </w:t>
      </w:r>
      <w:r>
        <w:rPr>
          <w:color w:val="231F20"/>
        </w:rPr>
        <w:t>sur le</w:t>
      </w:r>
      <w:r>
        <w:rPr>
          <w:color w:val="231F20"/>
          <w:spacing w:val="-5"/>
        </w:rPr>
        <w:t> </w:t>
      </w:r>
      <w:r>
        <w:rPr>
          <w:color w:val="231F20"/>
        </w:rPr>
        <w:t>terrorisme,</w:t>
      </w:r>
      <w:r>
        <w:rPr>
          <w:color w:val="231F20"/>
          <w:spacing w:val="-5"/>
        </w:rPr>
        <w:t> </w:t>
      </w:r>
      <w:r>
        <w:rPr>
          <w:color w:val="231F20"/>
        </w:rPr>
        <w:t>le</w:t>
      </w:r>
      <w:r>
        <w:rPr>
          <w:color w:val="231F20"/>
          <w:spacing w:val="-5"/>
        </w:rPr>
        <w:t> </w:t>
      </w:r>
      <w:r>
        <w:rPr>
          <w:color w:val="231F20"/>
        </w:rPr>
        <w:t>groupe</w:t>
      </w:r>
      <w:r>
        <w:rPr>
          <w:color w:val="231F20"/>
          <w:spacing w:val="-5"/>
        </w:rPr>
        <w:t> </w:t>
      </w:r>
      <w:r>
        <w:rPr>
          <w:color w:val="231F20"/>
        </w:rPr>
        <w:t>National</w:t>
      </w:r>
      <w:r>
        <w:rPr>
          <w:color w:val="231F20"/>
          <w:spacing w:val="-5"/>
        </w:rPr>
        <w:t> </w:t>
      </w:r>
      <w:r>
        <w:rPr>
          <w:color w:val="231F20"/>
        </w:rPr>
        <w:t>Network on Cuba proteste contre le maintien de Cuba sur la Liste des États censément </w:t>
      </w:r>
      <w:r>
        <w:rPr>
          <w:color w:val="231F20"/>
          <w:spacing w:val="-4"/>
        </w:rPr>
        <w:t>commanditaires</w:t>
      </w:r>
      <w:r>
        <w:rPr>
          <w:color w:val="231F20"/>
          <w:spacing w:val="-13"/>
        </w:rPr>
        <w:t> </w:t>
      </w:r>
      <w:r>
        <w:rPr>
          <w:color w:val="231F20"/>
          <w:spacing w:val="-4"/>
        </w:rPr>
        <w:t>de</w:t>
      </w:r>
      <w:r>
        <w:rPr>
          <w:color w:val="231F20"/>
          <w:spacing w:val="-12"/>
        </w:rPr>
        <w:t> </w:t>
      </w:r>
      <w:r>
        <w:rPr>
          <w:color w:val="231F20"/>
          <w:spacing w:val="-4"/>
        </w:rPr>
        <w:t>terrorisme</w:t>
      </w:r>
      <w:r>
        <w:rPr>
          <w:color w:val="231F20"/>
          <w:spacing w:val="-13"/>
        </w:rPr>
        <w:t> </w:t>
      </w:r>
      <w:r>
        <w:rPr>
          <w:color w:val="231F20"/>
          <w:spacing w:val="-4"/>
        </w:rPr>
        <w:t>international </w:t>
      </w:r>
      <w:r>
        <w:rPr>
          <w:color w:val="231F20"/>
        </w:rPr>
        <w:t>et exige la levée du blocus.</w:t>
      </w:r>
    </w:p>
    <w:p>
      <w:pPr>
        <w:pStyle w:val="BodyText"/>
        <w:spacing w:before="165"/>
        <w:ind w:left="1474" w:right="5"/>
      </w:pPr>
      <w:r>
        <w:rPr>
          <w:b/>
          <w:color w:val="B52628"/>
        </w:rPr>
        <w:t>Février 2023. </w:t>
      </w:r>
      <w:r>
        <w:rPr>
          <w:color w:val="231F20"/>
        </w:rPr>
        <w:t>Les conseils du travail </w:t>
      </w:r>
      <w:r>
        <w:rPr>
          <w:color w:val="231F20"/>
        </w:rPr>
        <w:t>de l’AFL-CIO</w:t>
      </w:r>
      <w:r>
        <w:rPr>
          <w:color w:val="231F20"/>
          <w:spacing w:val="-13"/>
        </w:rPr>
        <w:t> </w:t>
      </w:r>
      <w:r>
        <w:rPr>
          <w:color w:val="231F20"/>
        </w:rPr>
        <w:t>dans</w:t>
      </w:r>
      <w:r>
        <w:rPr>
          <w:color w:val="231F20"/>
          <w:spacing w:val="-13"/>
        </w:rPr>
        <w:t> </w:t>
      </w:r>
      <w:r>
        <w:rPr>
          <w:color w:val="231F20"/>
        </w:rPr>
        <w:t>les</w:t>
      </w:r>
      <w:r>
        <w:rPr>
          <w:color w:val="231F20"/>
          <w:spacing w:val="-13"/>
        </w:rPr>
        <w:t> </w:t>
      </w:r>
      <w:r>
        <w:rPr>
          <w:color w:val="231F20"/>
        </w:rPr>
        <w:t>comtés</w:t>
      </w:r>
      <w:r>
        <w:rPr>
          <w:color w:val="231F20"/>
          <w:spacing w:val="-13"/>
        </w:rPr>
        <w:t> </w:t>
      </w:r>
      <w:r>
        <w:rPr>
          <w:color w:val="231F20"/>
        </w:rPr>
        <w:t>de</w:t>
      </w:r>
      <w:r>
        <w:rPr>
          <w:color w:val="231F20"/>
          <w:spacing w:val="-13"/>
        </w:rPr>
        <w:t> </w:t>
      </w:r>
      <w:r>
        <w:rPr>
          <w:color w:val="231F20"/>
        </w:rPr>
        <w:t>Sacramento, de Bahía de Monterrey et de San Diego- </w:t>
      </w:r>
      <w:r>
        <w:rPr>
          <w:color w:val="231F20"/>
          <w:spacing w:val="-6"/>
        </w:rPr>
        <w:t>Imperial</w:t>
      </w:r>
      <w:r>
        <w:rPr>
          <w:color w:val="231F20"/>
          <w:spacing w:val="-11"/>
        </w:rPr>
        <w:t> </w:t>
      </w:r>
      <w:r>
        <w:rPr>
          <w:color w:val="231F20"/>
          <w:spacing w:val="-6"/>
        </w:rPr>
        <w:t>votent</w:t>
      </w:r>
      <w:r>
        <w:rPr>
          <w:color w:val="231F20"/>
          <w:spacing w:val="-10"/>
        </w:rPr>
        <w:t> </w:t>
      </w:r>
      <w:r>
        <w:rPr>
          <w:color w:val="231F20"/>
          <w:spacing w:val="-6"/>
        </w:rPr>
        <w:t>des</w:t>
      </w:r>
      <w:r>
        <w:rPr>
          <w:color w:val="231F20"/>
          <w:spacing w:val="-11"/>
        </w:rPr>
        <w:t> </w:t>
      </w:r>
      <w:r>
        <w:rPr>
          <w:color w:val="231F20"/>
          <w:spacing w:val="-6"/>
        </w:rPr>
        <w:t>résolutions</w:t>
      </w:r>
      <w:r>
        <w:rPr>
          <w:color w:val="231F20"/>
          <w:spacing w:val="-10"/>
        </w:rPr>
        <w:t> </w:t>
      </w:r>
      <w:r>
        <w:rPr>
          <w:color w:val="231F20"/>
          <w:spacing w:val="-6"/>
        </w:rPr>
        <w:t>condamnant </w:t>
      </w:r>
      <w:r>
        <w:rPr>
          <w:color w:val="231F20"/>
        </w:rPr>
        <w:t>le blocus à Cuba et demandant que Cuba soit</w:t>
      </w:r>
      <w:r>
        <w:rPr>
          <w:color w:val="231F20"/>
          <w:spacing w:val="-10"/>
        </w:rPr>
        <w:t> </w:t>
      </w:r>
      <w:r>
        <w:rPr>
          <w:color w:val="231F20"/>
        </w:rPr>
        <w:t>radiée</w:t>
      </w:r>
      <w:r>
        <w:rPr>
          <w:color w:val="231F20"/>
          <w:spacing w:val="-10"/>
        </w:rPr>
        <w:t> </w:t>
      </w:r>
      <w:r>
        <w:rPr>
          <w:color w:val="231F20"/>
        </w:rPr>
        <w:t>de</w:t>
      </w:r>
      <w:r>
        <w:rPr>
          <w:color w:val="231F20"/>
          <w:spacing w:val="-10"/>
        </w:rPr>
        <w:t> </w:t>
      </w:r>
      <w:r>
        <w:rPr>
          <w:color w:val="231F20"/>
        </w:rPr>
        <w:t>la</w:t>
      </w:r>
      <w:r>
        <w:rPr>
          <w:color w:val="231F20"/>
          <w:spacing w:val="-10"/>
        </w:rPr>
        <w:t> </w:t>
      </w:r>
      <w:r>
        <w:rPr>
          <w:color w:val="231F20"/>
        </w:rPr>
        <w:t>Liste</w:t>
      </w:r>
      <w:r>
        <w:rPr>
          <w:color w:val="231F20"/>
          <w:spacing w:val="-10"/>
        </w:rPr>
        <w:t> </w:t>
      </w:r>
      <w:r>
        <w:rPr>
          <w:color w:val="231F20"/>
        </w:rPr>
        <w:t>des</w:t>
      </w:r>
      <w:r>
        <w:rPr>
          <w:color w:val="231F20"/>
          <w:spacing w:val="-10"/>
        </w:rPr>
        <w:t> </w:t>
      </w:r>
      <w:r>
        <w:rPr>
          <w:color w:val="231F20"/>
        </w:rPr>
        <w:t>États</w:t>
      </w:r>
      <w:r>
        <w:rPr>
          <w:color w:val="231F20"/>
          <w:spacing w:val="-10"/>
        </w:rPr>
        <w:t> </w:t>
      </w:r>
      <w:r>
        <w:rPr>
          <w:color w:val="231F20"/>
        </w:rPr>
        <w:t>censément </w:t>
      </w:r>
      <w:r>
        <w:rPr>
          <w:color w:val="231F20"/>
          <w:spacing w:val="-6"/>
        </w:rPr>
        <w:t>commanditaires</w:t>
      </w:r>
      <w:r>
        <w:rPr>
          <w:color w:val="231F20"/>
          <w:spacing w:val="-4"/>
        </w:rPr>
        <w:t> </w:t>
      </w:r>
      <w:r>
        <w:rPr>
          <w:color w:val="231F20"/>
          <w:spacing w:val="-6"/>
        </w:rPr>
        <w:t>de</w:t>
      </w:r>
      <w:r>
        <w:rPr>
          <w:color w:val="231F20"/>
          <w:spacing w:val="-1"/>
        </w:rPr>
        <w:t> </w:t>
      </w:r>
      <w:r>
        <w:rPr>
          <w:color w:val="231F20"/>
          <w:spacing w:val="-6"/>
        </w:rPr>
        <w:t>terrorisme</w:t>
      </w:r>
      <w:r>
        <w:rPr>
          <w:color w:val="231F20"/>
          <w:spacing w:val="-1"/>
        </w:rPr>
        <w:t> </w:t>
      </w:r>
      <w:r>
        <w:rPr>
          <w:color w:val="231F20"/>
          <w:spacing w:val="-6"/>
        </w:rPr>
        <w:t>international.</w:t>
      </w:r>
    </w:p>
    <w:p>
      <w:pPr>
        <w:pStyle w:val="BodyText"/>
        <w:spacing w:before="166"/>
        <w:ind w:left="1474" w:right="2"/>
      </w:pPr>
      <w:r>
        <w:rPr>
          <w:b/>
          <w:color w:val="B52628"/>
          <w:spacing w:val="-2"/>
        </w:rPr>
        <w:t>2</w:t>
      </w:r>
      <w:r>
        <w:rPr>
          <w:b/>
          <w:color w:val="B52628"/>
          <w:spacing w:val="-15"/>
        </w:rPr>
        <w:t> </w:t>
      </w:r>
      <w:r>
        <w:rPr>
          <w:b/>
          <w:color w:val="B52628"/>
          <w:spacing w:val="-2"/>
        </w:rPr>
        <w:t>mars</w:t>
      </w:r>
      <w:r>
        <w:rPr>
          <w:b/>
          <w:color w:val="B52628"/>
          <w:spacing w:val="-15"/>
        </w:rPr>
        <w:t> </w:t>
      </w:r>
      <w:r>
        <w:rPr>
          <w:b/>
          <w:color w:val="B52628"/>
          <w:spacing w:val="-2"/>
        </w:rPr>
        <w:t>2023.</w:t>
      </w:r>
      <w:r>
        <w:rPr>
          <w:b/>
          <w:color w:val="B52628"/>
          <w:spacing w:val="-12"/>
        </w:rPr>
        <w:t> </w:t>
      </w:r>
      <w:r>
        <w:rPr>
          <w:color w:val="231F20"/>
          <w:spacing w:val="-2"/>
        </w:rPr>
        <w:t>Le</w:t>
      </w:r>
      <w:r>
        <w:rPr>
          <w:color w:val="231F20"/>
          <w:spacing w:val="-11"/>
        </w:rPr>
        <w:t> </w:t>
      </w:r>
      <w:r>
        <w:rPr>
          <w:color w:val="231F20"/>
          <w:spacing w:val="-2"/>
        </w:rPr>
        <w:t>commissaire</w:t>
      </w:r>
      <w:r>
        <w:rPr>
          <w:color w:val="231F20"/>
          <w:spacing w:val="-11"/>
        </w:rPr>
        <w:t> </w:t>
      </w:r>
      <w:r>
        <w:rPr>
          <w:color w:val="231F20"/>
          <w:spacing w:val="-2"/>
        </w:rPr>
        <w:t>du</w:t>
      </w:r>
      <w:r>
        <w:rPr>
          <w:color w:val="231F20"/>
          <w:spacing w:val="-11"/>
        </w:rPr>
        <w:t> </w:t>
      </w:r>
      <w:r>
        <w:rPr>
          <w:color w:val="231F20"/>
          <w:spacing w:val="-2"/>
        </w:rPr>
        <w:t>comté</w:t>
      </w:r>
      <w:r>
        <w:rPr>
          <w:color w:val="231F20"/>
          <w:spacing w:val="-11"/>
        </w:rPr>
        <w:t> </w:t>
      </w:r>
      <w:r>
        <w:rPr>
          <w:color w:val="231F20"/>
          <w:spacing w:val="-2"/>
        </w:rPr>
        <w:t>de </w:t>
      </w:r>
      <w:r>
        <w:rPr>
          <w:color w:val="231F20"/>
          <w:spacing w:val="-6"/>
        </w:rPr>
        <w:t>Washtenaw,</w:t>
      </w:r>
      <w:r>
        <w:rPr>
          <w:color w:val="231F20"/>
          <w:spacing w:val="-11"/>
        </w:rPr>
        <w:t> </w:t>
      </w:r>
      <w:r>
        <w:rPr>
          <w:color w:val="231F20"/>
          <w:spacing w:val="-6"/>
        </w:rPr>
        <w:t>à</w:t>
      </w:r>
      <w:r>
        <w:rPr>
          <w:color w:val="231F20"/>
          <w:spacing w:val="-10"/>
        </w:rPr>
        <w:t> </w:t>
      </w:r>
      <w:r>
        <w:rPr>
          <w:color w:val="231F20"/>
          <w:spacing w:val="-6"/>
        </w:rPr>
        <w:t>Ann</w:t>
      </w:r>
      <w:r>
        <w:rPr>
          <w:color w:val="231F20"/>
          <w:spacing w:val="-11"/>
        </w:rPr>
        <w:t> </w:t>
      </w:r>
      <w:r>
        <w:rPr>
          <w:color w:val="231F20"/>
          <w:spacing w:val="-6"/>
        </w:rPr>
        <w:t>Arbor</w:t>
      </w:r>
      <w:r>
        <w:rPr>
          <w:color w:val="231F20"/>
          <w:spacing w:val="-10"/>
        </w:rPr>
        <w:t> </w:t>
      </w:r>
      <w:r>
        <w:rPr>
          <w:color w:val="231F20"/>
          <w:spacing w:val="-6"/>
        </w:rPr>
        <w:t>(Michigan),</w:t>
      </w:r>
      <w:r>
        <w:rPr>
          <w:color w:val="231F20"/>
          <w:spacing w:val="-11"/>
        </w:rPr>
        <w:t> </w:t>
      </w:r>
      <w:r>
        <w:rPr>
          <w:color w:val="231F20"/>
          <w:spacing w:val="-6"/>
        </w:rPr>
        <w:t>adopte </w:t>
      </w:r>
      <w:r>
        <w:rPr>
          <w:color w:val="231F20"/>
          <w:spacing w:val="-4"/>
        </w:rPr>
        <w:t>une</w:t>
      </w:r>
      <w:r>
        <w:rPr>
          <w:color w:val="231F20"/>
          <w:spacing w:val="-13"/>
        </w:rPr>
        <w:t> </w:t>
      </w:r>
      <w:r>
        <w:rPr>
          <w:color w:val="231F20"/>
          <w:spacing w:val="-4"/>
        </w:rPr>
        <w:t>résolution</w:t>
      </w:r>
      <w:r>
        <w:rPr>
          <w:color w:val="231F20"/>
          <w:spacing w:val="-12"/>
        </w:rPr>
        <w:t> </w:t>
      </w:r>
      <w:r>
        <w:rPr>
          <w:color w:val="231F20"/>
          <w:spacing w:val="-4"/>
        </w:rPr>
        <w:t>exhortant</w:t>
      </w:r>
      <w:r>
        <w:rPr>
          <w:color w:val="231F20"/>
          <w:spacing w:val="-13"/>
        </w:rPr>
        <w:t> </w:t>
      </w:r>
      <w:r>
        <w:rPr>
          <w:color w:val="231F20"/>
          <w:spacing w:val="-4"/>
        </w:rPr>
        <w:t>la</w:t>
      </w:r>
      <w:r>
        <w:rPr>
          <w:color w:val="231F20"/>
          <w:spacing w:val="-12"/>
        </w:rPr>
        <w:t> </w:t>
      </w:r>
      <w:r>
        <w:rPr>
          <w:color w:val="231F20"/>
          <w:spacing w:val="-4"/>
        </w:rPr>
        <w:t>Maison-Blanche </w:t>
      </w:r>
      <w:r>
        <w:rPr>
          <w:color w:val="231F20"/>
        </w:rPr>
        <w:t>à</w:t>
      </w:r>
      <w:r>
        <w:rPr>
          <w:color w:val="231F20"/>
          <w:spacing w:val="-17"/>
        </w:rPr>
        <w:t> </w:t>
      </w:r>
      <w:r>
        <w:rPr>
          <w:color w:val="231F20"/>
        </w:rPr>
        <w:t>lever</w:t>
      </w:r>
      <w:r>
        <w:rPr>
          <w:color w:val="231F20"/>
          <w:spacing w:val="-16"/>
        </w:rPr>
        <w:t> </w:t>
      </w:r>
      <w:r>
        <w:rPr>
          <w:color w:val="231F20"/>
        </w:rPr>
        <w:t>le</w:t>
      </w:r>
      <w:r>
        <w:rPr>
          <w:color w:val="231F20"/>
          <w:spacing w:val="-17"/>
        </w:rPr>
        <w:t> </w:t>
      </w:r>
      <w:r>
        <w:rPr>
          <w:color w:val="231F20"/>
        </w:rPr>
        <w:t>blocus</w:t>
      </w:r>
      <w:r>
        <w:rPr>
          <w:color w:val="231F20"/>
          <w:spacing w:val="-16"/>
        </w:rPr>
        <w:t> </w:t>
      </w:r>
      <w:r>
        <w:rPr>
          <w:color w:val="231F20"/>
        </w:rPr>
        <w:t>et</w:t>
      </w:r>
      <w:r>
        <w:rPr>
          <w:color w:val="231F20"/>
          <w:spacing w:val="-17"/>
        </w:rPr>
        <w:t> </w:t>
      </w:r>
      <w:r>
        <w:rPr>
          <w:color w:val="231F20"/>
        </w:rPr>
        <w:t>à</w:t>
      </w:r>
      <w:r>
        <w:rPr>
          <w:color w:val="231F20"/>
          <w:spacing w:val="-16"/>
        </w:rPr>
        <w:t> </w:t>
      </w:r>
      <w:r>
        <w:rPr>
          <w:color w:val="231F20"/>
        </w:rPr>
        <w:t>radier</w:t>
      </w:r>
      <w:r>
        <w:rPr>
          <w:color w:val="231F20"/>
          <w:spacing w:val="-17"/>
        </w:rPr>
        <w:t> </w:t>
      </w:r>
      <w:r>
        <w:rPr>
          <w:color w:val="231F20"/>
        </w:rPr>
        <w:t>Cuba</w:t>
      </w:r>
      <w:r>
        <w:rPr>
          <w:color w:val="231F20"/>
          <w:spacing w:val="-16"/>
        </w:rPr>
        <w:t> </w:t>
      </w:r>
      <w:r>
        <w:rPr>
          <w:color w:val="231F20"/>
        </w:rPr>
        <w:t>de</w:t>
      </w:r>
      <w:r>
        <w:rPr>
          <w:color w:val="231F20"/>
          <w:spacing w:val="-16"/>
        </w:rPr>
        <w:t> </w:t>
      </w:r>
      <w:r>
        <w:rPr>
          <w:color w:val="231F20"/>
        </w:rPr>
        <w:t>la</w:t>
      </w:r>
      <w:r>
        <w:rPr>
          <w:color w:val="231F20"/>
          <w:spacing w:val="-17"/>
        </w:rPr>
        <w:t> </w:t>
      </w:r>
      <w:r>
        <w:rPr>
          <w:color w:val="231F20"/>
        </w:rPr>
        <w:t>Liste des États censément commanditaires de terrorisme international.</w:t>
      </w:r>
    </w:p>
    <w:p>
      <w:pPr>
        <w:pStyle w:val="BodyText"/>
        <w:spacing w:before="165"/>
        <w:ind w:left="1474"/>
      </w:pPr>
      <w:r>
        <w:rPr>
          <w:b/>
          <w:color w:val="B52628"/>
          <w:spacing w:val="-4"/>
        </w:rPr>
        <w:t>6</w:t>
      </w:r>
      <w:r>
        <w:rPr>
          <w:b/>
          <w:color w:val="B52628"/>
          <w:spacing w:val="-13"/>
        </w:rPr>
        <w:t> </w:t>
      </w:r>
      <w:r>
        <w:rPr>
          <w:b/>
          <w:color w:val="B52628"/>
          <w:spacing w:val="-4"/>
        </w:rPr>
        <w:t>mars</w:t>
      </w:r>
      <w:r>
        <w:rPr>
          <w:b/>
          <w:color w:val="B52628"/>
          <w:spacing w:val="-13"/>
        </w:rPr>
        <w:t> </w:t>
      </w:r>
      <w:r>
        <w:rPr>
          <w:b/>
          <w:color w:val="B52628"/>
          <w:spacing w:val="-4"/>
        </w:rPr>
        <w:t>2023.</w:t>
      </w:r>
      <w:r>
        <w:rPr>
          <w:b/>
          <w:color w:val="B52628"/>
          <w:spacing w:val="-12"/>
        </w:rPr>
        <w:t> </w:t>
      </w:r>
      <w:r>
        <w:rPr>
          <w:color w:val="231F20"/>
          <w:spacing w:val="-4"/>
        </w:rPr>
        <w:t>Les</w:t>
      </w:r>
      <w:r>
        <w:rPr>
          <w:color w:val="231F20"/>
          <w:spacing w:val="-13"/>
        </w:rPr>
        <w:t> </w:t>
      </w:r>
      <w:r>
        <w:rPr>
          <w:color w:val="231F20"/>
          <w:spacing w:val="-4"/>
        </w:rPr>
        <w:t>sénateurs</w:t>
      </w:r>
      <w:r>
        <w:rPr>
          <w:color w:val="231F20"/>
          <w:spacing w:val="-12"/>
        </w:rPr>
        <w:t> </w:t>
      </w:r>
      <w:r>
        <w:rPr>
          <w:color w:val="231F20"/>
          <w:spacing w:val="-4"/>
        </w:rPr>
        <w:t>Amy</w:t>
      </w:r>
      <w:r>
        <w:rPr>
          <w:color w:val="231F20"/>
          <w:spacing w:val="-12"/>
        </w:rPr>
        <w:t> </w:t>
      </w:r>
      <w:r>
        <w:rPr>
          <w:color w:val="231F20"/>
          <w:spacing w:val="-4"/>
        </w:rPr>
        <w:t>Klobuchar </w:t>
      </w:r>
      <w:r>
        <w:rPr>
          <w:color w:val="231F20"/>
        </w:rPr>
        <w:t>(démocrate</w:t>
      </w:r>
      <w:r>
        <w:rPr>
          <w:color w:val="231F20"/>
          <w:spacing w:val="-14"/>
        </w:rPr>
        <w:t> </w:t>
      </w:r>
      <w:r>
        <w:rPr>
          <w:color w:val="231F20"/>
        </w:rPr>
        <w:t>du</w:t>
      </w:r>
      <w:r>
        <w:rPr>
          <w:color w:val="231F20"/>
          <w:spacing w:val="-14"/>
        </w:rPr>
        <w:t> </w:t>
      </w:r>
      <w:r>
        <w:rPr>
          <w:color w:val="231F20"/>
        </w:rPr>
        <w:t>Minnesota),</w:t>
      </w:r>
      <w:r>
        <w:rPr>
          <w:color w:val="231F20"/>
          <w:spacing w:val="-14"/>
        </w:rPr>
        <w:t> </w:t>
      </w:r>
      <w:r>
        <w:rPr>
          <w:color w:val="231F20"/>
        </w:rPr>
        <w:t>Jerry</w:t>
      </w:r>
      <w:r>
        <w:rPr>
          <w:color w:val="231F20"/>
          <w:spacing w:val="-14"/>
        </w:rPr>
        <w:t> </w:t>
      </w:r>
      <w:r>
        <w:rPr>
          <w:color w:val="231F20"/>
        </w:rPr>
        <w:t>Moran</w:t>
      </w:r>
      <w:r>
        <w:rPr>
          <w:color w:val="231F20"/>
          <w:spacing w:val="-14"/>
        </w:rPr>
        <w:t> </w:t>
      </w:r>
      <w:r>
        <w:rPr>
          <w:color w:val="231F20"/>
        </w:rPr>
        <w:t>et Roger Marshall (républicains du Kansas), Chris</w:t>
      </w:r>
      <w:r>
        <w:rPr>
          <w:color w:val="231F20"/>
          <w:spacing w:val="-15"/>
        </w:rPr>
        <w:t> </w:t>
      </w:r>
      <w:r>
        <w:rPr>
          <w:color w:val="231F20"/>
        </w:rPr>
        <w:t>Murphy</w:t>
      </w:r>
      <w:r>
        <w:rPr>
          <w:color w:val="231F20"/>
          <w:spacing w:val="-15"/>
        </w:rPr>
        <w:t> </w:t>
      </w:r>
      <w:r>
        <w:rPr>
          <w:color w:val="231F20"/>
        </w:rPr>
        <w:t>(démocrate</w:t>
      </w:r>
      <w:r>
        <w:rPr>
          <w:color w:val="231F20"/>
          <w:spacing w:val="-15"/>
        </w:rPr>
        <w:t> </w:t>
      </w:r>
      <w:r>
        <w:rPr>
          <w:color w:val="231F20"/>
        </w:rPr>
        <w:t>du</w:t>
      </w:r>
      <w:r>
        <w:rPr>
          <w:color w:val="231F20"/>
          <w:spacing w:val="-15"/>
        </w:rPr>
        <w:t> </w:t>
      </w:r>
      <w:r>
        <w:rPr>
          <w:color w:val="231F20"/>
        </w:rPr>
        <w:t>Connecticut) et Elizabeth Warren (démocrate du Massachussetts) soumettent à nouveau</w:t>
      </w:r>
      <w:r>
        <w:rPr>
          <w:color w:val="231F20"/>
          <w:spacing w:val="80"/>
        </w:rPr>
        <w:t> </w:t>
      </w:r>
      <w:r>
        <w:rPr>
          <w:color w:val="231F20"/>
        </w:rPr>
        <w:t>le projet bipartite de Loi relative à la liberté</w:t>
      </w:r>
      <w:r>
        <w:rPr>
          <w:color w:val="231F20"/>
          <w:spacing w:val="72"/>
          <w:w w:val="150"/>
        </w:rPr>
        <w:t> </w:t>
      </w:r>
      <w:r>
        <w:rPr>
          <w:color w:val="231F20"/>
        </w:rPr>
        <w:t>d’exportation</w:t>
      </w:r>
      <w:r>
        <w:rPr>
          <w:color w:val="231F20"/>
          <w:spacing w:val="73"/>
          <w:w w:val="150"/>
        </w:rPr>
        <w:t> </w:t>
      </w:r>
      <w:r>
        <w:rPr>
          <w:color w:val="231F20"/>
        </w:rPr>
        <w:t>à</w:t>
      </w:r>
      <w:r>
        <w:rPr>
          <w:color w:val="231F20"/>
          <w:spacing w:val="73"/>
          <w:w w:val="150"/>
        </w:rPr>
        <w:t> </w:t>
      </w:r>
      <w:r>
        <w:rPr>
          <w:color w:val="231F20"/>
        </w:rPr>
        <w:t>Cuba,</w:t>
      </w:r>
      <w:r>
        <w:rPr>
          <w:color w:val="231F20"/>
          <w:spacing w:val="73"/>
          <w:w w:val="150"/>
        </w:rPr>
        <w:t> </w:t>
      </w:r>
      <w:r>
        <w:rPr>
          <w:color w:val="231F20"/>
        </w:rPr>
        <w:t>visant</w:t>
      </w:r>
      <w:r>
        <w:rPr>
          <w:color w:val="231F20"/>
          <w:spacing w:val="73"/>
          <w:w w:val="150"/>
        </w:rPr>
        <w:t> </w:t>
      </w:r>
      <w:r>
        <w:rPr>
          <w:color w:val="231F20"/>
          <w:spacing w:val="-10"/>
        </w:rPr>
        <w:t>à</w:t>
      </w:r>
    </w:p>
    <w:p>
      <w:pPr>
        <w:pStyle w:val="BodyText"/>
        <w:spacing w:before="77"/>
        <w:ind w:left="409" w:right="1129"/>
      </w:pPr>
      <w:r>
        <w:rPr/>
        <w:br w:type="column"/>
      </w:r>
      <w:r>
        <w:rPr>
          <w:color w:val="231F20"/>
        </w:rPr>
        <w:t>éliminer les réglementations interdisant d’exporter à Cuba.</w:t>
      </w:r>
    </w:p>
    <w:p>
      <w:pPr>
        <w:pStyle w:val="BodyText"/>
        <w:spacing w:before="161"/>
        <w:ind w:left="409" w:right="1137"/>
      </w:pPr>
      <w:r>
        <w:rPr>
          <w:b/>
          <w:color w:val="B52628"/>
          <w:spacing w:val="-8"/>
        </w:rPr>
        <w:t>14</w:t>
      </w:r>
      <w:r>
        <w:rPr>
          <w:b/>
          <w:color w:val="B52628"/>
          <w:spacing w:val="-9"/>
        </w:rPr>
        <w:t> </w:t>
      </w:r>
      <w:r>
        <w:rPr>
          <w:b/>
          <w:color w:val="B52628"/>
          <w:spacing w:val="-8"/>
        </w:rPr>
        <w:t>mars</w:t>
      </w:r>
      <w:r>
        <w:rPr>
          <w:b/>
          <w:color w:val="B52628"/>
          <w:spacing w:val="-9"/>
        </w:rPr>
        <w:t> </w:t>
      </w:r>
      <w:r>
        <w:rPr>
          <w:b/>
          <w:color w:val="B52628"/>
          <w:spacing w:val="-8"/>
        </w:rPr>
        <w:t>2023. </w:t>
      </w:r>
      <w:r>
        <w:rPr>
          <w:color w:val="231F20"/>
          <w:spacing w:val="-8"/>
        </w:rPr>
        <w:t>Vingt</w:t>
      </w:r>
      <w:r>
        <w:rPr>
          <w:color w:val="231F20"/>
          <w:spacing w:val="-9"/>
        </w:rPr>
        <w:t> </w:t>
      </w:r>
      <w:r>
        <w:rPr>
          <w:color w:val="231F20"/>
          <w:spacing w:val="-8"/>
        </w:rPr>
        <w:t>Églises et organisations </w:t>
      </w:r>
      <w:r>
        <w:rPr>
          <w:color w:val="231F20"/>
          <w:spacing w:val="-10"/>
        </w:rPr>
        <w:t>confessionnelles,</w:t>
      </w:r>
      <w:r>
        <w:rPr>
          <w:color w:val="231F20"/>
          <w:spacing w:val="-3"/>
        </w:rPr>
        <w:t> </w:t>
      </w:r>
      <w:r>
        <w:rPr>
          <w:color w:val="231F20"/>
          <w:spacing w:val="-10"/>
        </w:rPr>
        <w:t>dont</w:t>
      </w:r>
      <w:r>
        <w:rPr>
          <w:color w:val="231F20"/>
          <w:spacing w:val="-3"/>
        </w:rPr>
        <w:t> </w:t>
      </w:r>
      <w:r>
        <w:rPr>
          <w:color w:val="231F20"/>
          <w:spacing w:val="-10"/>
        </w:rPr>
        <w:t>l’Église</w:t>
      </w:r>
      <w:r>
        <w:rPr>
          <w:color w:val="231F20"/>
          <w:spacing w:val="-3"/>
        </w:rPr>
        <w:t> </w:t>
      </w:r>
      <w:r>
        <w:rPr>
          <w:color w:val="231F20"/>
          <w:spacing w:val="-10"/>
        </w:rPr>
        <w:t>presbytérienne, </w:t>
      </w:r>
      <w:r>
        <w:rPr>
          <w:color w:val="231F20"/>
          <w:spacing w:val="-4"/>
        </w:rPr>
        <w:t>le</w:t>
      </w:r>
      <w:r>
        <w:rPr>
          <w:color w:val="231F20"/>
          <w:spacing w:val="-13"/>
        </w:rPr>
        <w:t> </w:t>
      </w:r>
      <w:r>
        <w:rPr>
          <w:color w:val="231F20"/>
          <w:spacing w:val="-4"/>
        </w:rPr>
        <w:t>Church</w:t>
      </w:r>
      <w:r>
        <w:rPr>
          <w:color w:val="231F20"/>
          <w:spacing w:val="-12"/>
        </w:rPr>
        <w:t> </w:t>
      </w:r>
      <w:r>
        <w:rPr>
          <w:color w:val="231F20"/>
          <w:spacing w:val="-4"/>
        </w:rPr>
        <w:t>World</w:t>
      </w:r>
      <w:r>
        <w:rPr>
          <w:color w:val="231F20"/>
          <w:spacing w:val="-13"/>
        </w:rPr>
        <w:t> </w:t>
      </w:r>
      <w:r>
        <w:rPr>
          <w:color w:val="231F20"/>
          <w:spacing w:val="-4"/>
        </w:rPr>
        <w:t>Service,</w:t>
      </w:r>
      <w:r>
        <w:rPr>
          <w:color w:val="231F20"/>
          <w:spacing w:val="-12"/>
        </w:rPr>
        <w:t> </w:t>
      </w:r>
      <w:r>
        <w:rPr>
          <w:color w:val="231F20"/>
          <w:spacing w:val="-4"/>
        </w:rPr>
        <w:t>l’Église</w:t>
      </w:r>
      <w:r>
        <w:rPr>
          <w:color w:val="231F20"/>
          <w:spacing w:val="-12"/>
        </w:rPr>
        <w:t> </w:t>
      </w:r>
      <w:r>
        <w:rPr>
          <w:color w:val="231F20"/>
          <w:spacing w:val="-4"/>
        </w:rPr>
        <w:t>épiscopale, </w:t>
      </w:r>
      <w:r>
        <w:rPr>
          <w:color w:val="231F20"/>
        </w:rPr>
        <w:t>l’United</w:t>
      </w:r>
      <w:r>
        <w:rPr>
          <w:color w:val="231F20"/>
          <w:spacing w:val="-1"/>
        </w:rPr>
        <w:t> </w:t>
      </w:r>
      <w:r>
        <w:rPr>
          <w:color w:val="231F20"/>
        </w:rPr>
        <w:t>Methodist</w:t>
      </w:r>
      <w:r>
        <w:rPr>
          <w:color w:val="231F20"/>
          <w:spacing w:val="-1"/>
        </w:rPr>
        <w:t> </w:t>
      </w:r>
      <w:r>
        <w:rPr>
          <w:color w:val="231F20"/>
        </w:rPr>
        <w:t>Church-General</w:t>
      </w:r>
      <w:r>
        <w:rPr>
          <w:color w:val="231F20"/>
          <w:spacing w:val="-1"/>
        </w:rPr>
        <w:t> </w:t>
      </w:r>
      <w:r>
        <w:rPr>
          <w:color w:val="231F20"/>
        </w:rPr>
        <w:t>Board </w:t>
      </w:r>
      <w:r>
        <w:rPr>
          <w:color w:val="231F20"/>
          <w:spacing w:val="-2"/>
        </w:rPr>
        <w:t>of</w:t>
      </w:r>
      <w:r>
        <w:rPr>
          <w:color w:val="231F20"/>
          <w:spacing w:val="-15"/>
        </w:rPr>
        <w:t> </w:t>
      </w:r>
      <w:r>
        <w:rPr>
          <w:color w:val="231F20"/>
          <w:spacing w:val="-2"/>
        </w:rPr>
        <w:t>Church</w:t>
      </w:r>
      <w:r>
        <w:rPr>
          <w:color w:val="231F20"/>
          <w:spacing w:val="-14"/>
        </w:rPr>
        <w:t> </w:t>
      </w:r>
      <w:r>
        <w:rPr>
          <w:color w:val="231F20"/>
          <w:spacing w:val="-2"/>
        </w:rPr>
        <w:t>and</w:t>
      </w:r>
      <w:r>
        <w:rPr>
          <w:color w:val="231F20"/>
          <w:spacing w:val="-15"/>
        </w:rPr>
        <w:t> </w:t>
      </w:r>
      <w:r>
        <w:rPr>
          <w:color w:val="231F20"/>
          <w:spacing w:val="-2"/>
        </w:rPr>
        <w:t>Society,</w:t>
      </w:r>
      <w:r>
        <w:rPr>
          <w:color w:val="231F20"/>
          <w:spacing w:val="-14"/>
        </w:rPr>
        <w:t> </w:t>
      </w:r>
      <w:r>
        <w:rPr>
          <w:color w:val="231F20"/>
          <w:spacing w:val="-2"/>
        </w:rPr>
        <w:t>adressent</w:t>
      </w:r>
      <w:r>
        <w:rPr>
          <w:color w:val="231F20"/>
          <w:spacing w:val="-14"/>
        </w:rPr>
        <w:t> </w:t>
      </w:r>
      <w:r>
        <w:rPr>
          <w:color w:val="231F20"/>
          <w:spacing w:val="-2"/>
        </w:rPr>
        <w:t>une</w:t>
      </w:r>
      <w:r>
        <w:rPr>
          <w:color w:val="231F20"/>
          <w:spacing w:val="-15"/>
        </w:rPr>
        <w:t> </w:t>
      </w:r>
      <w:r>
        <w:rPr>
          <w:color w:val="231F20"/>
          <w:spacing w:val="-2"/>
        </w:rPr>
        <w:t>lettre </w:t>
      </w:r>
      <w:r>
        <w:rPr>
          <w:color w:val="231F20"/>
        </w:rPr>
        <w:t>à Biden pour lui demander de modifier la </w:t>
      </w:r>
      <w:r>
        <w:rPr>
          <w:color w:val="231F20"/>
          <w:spacing w:val="-2"/>
        </w:rPr>
        <w:t>politique</w:t>
      </w:r>
      <w:r>
        <w:rPr>
          <w:color w:val="231F20"/>
          <w:spacing w:val="-12"/>
        </w:rPr>
        <w:t> </w:t>
      </w:r>
      <w:r>
        <w:rPr>
          <w:color w:val="231F20"/>
          <w:spacing w:val="-2"/>
        </w:rPr>
        <w:t>envers</w:t>
      </w:r>
      <w:r>
        <w:rPr>
          <w:color w:val="231F20"/>
          <w:spacing w:val="-12"/>
        </w:rPr>
        <w:t> </w:t>
      </w:r>
      <w:r>
        <w:rPr>
          <w:color w:val="231F20"/>
          <w:spacing w:val="-2"/>
        </w:rPr>
        <w:t>Cuba</w:t>
      </w:r>
      <w:r>
        <w:rPr>
          <w:color w:val="231F20"/>
          <w:spacing w:val="-12"/>
        </w:rPr>
        <w:t> </w:t>
      </w:r>
      <w:r>
        <w:rPr>
          <w:color w:val="231F20"/>
          <w:spacing w:val="-2"/>
        </w:rPr>
        <w:t>et</w:t>
      </w:r>
      <w:r>
        <w:rPr>
          <w:color w:val="231F20"/>
          <w:spacing w:val="-12"/>
        </w:rPr>
        <w:t> </w:t>
      </w:r>
      <w:r>
        <w:rPr>
          <w:color w:val="231F20"/>
          <w:spacing w:val="-2"/>
        </w:rPr>
        <w:t>de</w:t>
      </w:r>
      <w:r>
        <w:rPr>
          <w:color w:val="231F20"/>
          <w:spacing w:val="-12"/>
        </w:rPr>
        <w:t> </w:t>
      </w:r>
      <w:r>
        <w:rPr>
          <w:color w:val="231F20"/>
          <w:spacing w:val="-2"/>
        </w:rPr>
        <w:t>radier</w:t>
      </w:r>
      <w:r>
        <w:rPr>
          <w:color w:val="231F20"/>
          <w:spacing w:val="-12"/>
        </w:rPr>
        <w:t> </w:t>
      </w:r>
      <w:r>
        <w:rPr>
          <w:color w:val="231F20"/>
          <w:spacing w:val="-2"/>
        </w:rPr>
        <w:t>Cuba</w:t>
      </w:r>
      <w:r>
        <w:rPr>
          <w:color w:val="231F20"/>
          <w:spacing w:val="-12"/>
        </w:rPr>
        <w:t> </w:t>
      </w:r>
      <w:r>
        <w:rPr>
          <w:color w:val="231F20"/>
          <w:spacing w:val="-2"/>
        </w:rPr>
        <w:t>de </w:t>
      </w:r>
      <w:r>
        <w:rPr>
          <w:color w:val="231F20"/>
          <w:spacing w:val="-8"/>
        </w:rPr>
        <w:t>la Liste des États censément commanditaires </w:t>
      </w:r>
      <w:r>
        <w:rPr>
          <w:color w:val="231F20"/>
        </w:rPr>
        <w:t>de</w:t>
      </w:r>
      <w:r>
        <w:rPr>
          <w:color w:val="231F20"/>
          <w:spacing w:val="-17"/>
        </w:rPr>
        <w:t> </w:t>
      </w:r>
      <w:r>
        <w:rPr>
          <w:color w:val="231F20"/>
        </w:rPr>
        <w:t>terrorisme</w:t>
      </w:r>
      <w:r>
        <w:rPr>
          <w:color w:val="231F20"/>
          <w:spacing w:val="-16"/>
        </w:rPr>
        <w:t> </w:t>
      </w:r>
      <w:r>
        <w:rPr>
          <w:color w:val="231F20"/>
        </w:rPr>
        <w:t>international.</w:t>
      </w:r>
    </w:p>
    <w:p>
      <w:pPr>
        <w:pStyle w:val="BodyText"/>
        <w:spacing w:before="167"/>
        <w:ind w:left="409" w:right="1135"/>
      </w:pPr>
      <w:r>
        <w:rPr>
          <w:b/>
          <w:color w:val="B52628"/>
        </w:rPr>
        <w:t>15 mars 2023. </w:t>
      </w:r>
      <w:r>
        <w:rPr>
          <w:color w:val="231F20"/>
        </w:rPr>
        <w:t>Les sénateurs Ron Wyden (démocrate</w:t>
      </w:r>
      <w:r>
        <w:rPr>
          <w:color w:val="231F20"/>
          <w:spacing w:val="-5"/>
        </w:rPr>
        <w:t> </w:t>
      </w:r>
      <w:r>
        <w:rPr>
          <w:color w:val="231F20"/>
        </w:rPr>
        <w:t>de</w:t>
      </w:r>
      <w:r>
        <w:rPr>
          <w:color w:val="231F20"/>
          <w:spacing w:val="-5"/>
        </w:rPr>
        <w:t> </w:t>
      </w:r>
      <w:r>
        <w:rPr>
          <w:color w:val="231F20"/>
        </w:rPr>
        <w:t>l’Oregon),</w:t>
      </w:r>
      <w:r>
        <w:rPr>
          <w:color w:val="231F20"/>
          <w:spacing w:val="-5"/>
        </w:rPr>
        <w:t> </w:t>
      </w:r>
      <w:r>
        <w:rPr>
          <w:color w:val="231F20"/>
        </w:rPr>
        <w:t>Cynthia</w:t>
      </w:r>
      <w:r>
        <w:rPr>
          <w:color w:val="231F20"/>
          <w:spacing w:val="-5"/>
        </w:rPr>
        <w:t> </w:t>
      </w:r>
      <w:r>
        <w:rPr>
          <w:color w:val="231F20"/>
        </w:rPr>
        <w:t>Lummis (républicaine du Wyoming) et Chris Van </w:t>
      </w:r>
      <w:r>
        <w:rPr>
          <w:color w:val="231F20"/>
          <w:spacing w:val="-8"/>
        </w:rPr>
        <w:t>Hollen</w:t>
      </w:r>
      <w:r>
        <w:rPr>
          <w:color w:val="231F20"/>
          <w:spacing w:val="-9"/>
        </w:rPr>
        <w:t> </w:t>
      </w:r>
      <w:r>
        <w:rPr>
          <w:color w:val="231F20"/>
          <w:spacing w:val="-8"/>
        </w:rPr>
        <w:t>(démocrate du</w:t>
      </w:r>
      <w:r>
        <w:rPr>
          <w:color w:val="231F20"/>
          <w:spacing w:val="-9"/>
        </w:rPr>
        <w:t> </w:t>
      </w:r>
      <w:r>
        <w:rPr>
          <w:color w:val="231F20"/>
          <w:spacing w:val="-8"/>
        </w:rPr>
        <w:t>Maryland) demandent </w:t>
      </w:r>
      <w:r>
        <w:rPr>
          <w:color w:val="231F20"/>
        </w:rPr>
        <w:t>à Biden dans une lettre d’assouplir les restrictions économiques et monétaires du</w:t>
      </w:r>
      <w:r>
        <w:rPr>
          <w:color w:val="231F20"/>
          <w:spacing w:val="-17"/>
        </w:rPr>
        <w:t> </w:t>
      </w:r>
      <w:r>
        <w:rPr>
          <w:color w:val="231F20"/>
        </w:rPr>
        <w:t>blocus</w:t>
      </w:r>
      <w:r>
        <w:rPr>
          <w:color w:val="231F20"/>
          <w:spacing w:val="-16"/>
        </w:rPr>
        <w:t> </w:t>
      </w:r>
      <w:r>
        <w:rPr>
          <w:color w:val="231F20"/>
        </w:rPr>
        <w:t>qui</w:t>
      </w:r>
      <w:r>
        <w:rPr>
          <w:color w:val="231F20"/>
          <w:spacing w:val="-17"/>
        </w:rPr>
        <w:t> </w:t>
      </w:r>
      <w:r>
        <w:rPr>
          <w:color w:val="231F20"/>
        </w:rPr>
        <w:t>portent</w:t>
      </w:r>
      <w:r>
        <w:rPr>
          <w:color w:val="231F20"/>
          <w:spacing w:val="-16"/>
        </w:rPr>
        <w:t> </w:t>
      </w:r>
      <w:r>
        <w:rPr>
          <w:color w:val="231F20"/>
        </w:rPr>
        <w:t>préjudice</w:t>
      </w:r>
      <w:r>
        <w:rPr>
          <w:color w:val="231F20"/>
          <w:spacing w:val="-17"/>
        </w:rPr>
        <w:t> </w:t>
      </w:r>
      <w:r>
        <w:rPr>
          <w:color w:val="231F20"/>
        </w:rPr>
        <w:t>au</w:t>
      </w:r>
      <w:r>
        <w:rPr>
          <w:color w:val="231F20"/>
          <w:spacing w:val="-16"/>
        </w:rPr>
        <w:t> </w:t>
      </w:r>
      <w:r>
        <w:rPr>
          <w:color w:val="231F20"/>
        </w:rPr>
        <w:t>secteur privé cubain.</w:t>
      </w:r>
    </w:p>
    <w:p>
      <w:pPr>
        <w:pStyle w:val="BodyText"/>
        <w:spacing w:before="167"/>
        <w:ind w:left="409" w:right="1135"/>
      </w:pPr>
      <w:r>
        <w:rPr>
          <w:b/>
          <w:color w:val="B52628"/>
        </w:rPr>
        <w:t>21 mars 2023.</w:t>
      </w:r>
      <w:r>
        <w:rPr>
          <w:b/>
          <w:color w:val="B52628"/>
          <w:spacing w:val="40"/>
        </w:rPr>
        <w:t> </w:t>
      </w:r>
      <w:r>
        <w:rPr>
          <w:color w:val="231F20"/>
        </w:rPr>
        <w:t>Le Washington Office for Latin</w:t>
      </w:r>
      <w:r>
        <w:rPr>
          <w:color w:val="231F20"/>
          <w:spacing w:val="-3"/>
        </w:rPr>
        <w:t> </w:t>
      </w:r>
      <w:r>
        <w:rPr>
          <w:color w:val="231F20"/>
        </w:rPr>
        <w:t>America</w:t>
      </w:r>
      <w:r>
        <w:rPr>
          <w:color w:val="231F20"/>
          <w:spacing w:val="-3"/>
        </w:rPr>
        <w:t> </w:t>
      </w:r>
      <w:r>
        <w:rPr>
          <w:color w:val="231F20"/>
        </w:rPr>
        <w:t>(WOLA)</w:t>
      </w:r>
      <w:r>
        <w:rPr>
          <w:color w:val="231F20"/>
          <w:spacing w:val="-3"/>
        </w:rPr>
        <w:t> </w:t>
      </w:r>
      <w:r>
        <w:rPr>
          <w:color w:val="231F20"/>
        </w:rPr>
        <w:t>et</w:t>
      </w:r>
      <w:r>
        <w:rPr>
          <w:color w:val="231F20"/>
          <w:spacing w:val="-3"/>
        </w:rPr>
        <w:t> </w:t>
      </w:r>
      <w:r>
        <w:rPr>
          <w:color w:val="231F20"/>
        </w:rPr>
        <w:t>le</w:t>
      </w:r>
      <w:r>
        <w:rPr>
          <w:color w:val="231F20"/>
          <w:spacing w:val="-3"/>
        </w:rPr>
        <w:t> </w:t>
      </w:r>
      <w:r>
        <w:rPr>
          <w:color w:val="231F20"/>
        </w:rPr>
        <w:t>Centro</w:t>
      </w:r>
      <w:r>
        <w:rPr>
          <w:color w:val="231F20"/>
          <w:spacing w:val="-3"/>
        </w:rPr>
        <w:t> </w:t>
      </w:r>
      <w:r>
        <w:rPr>
          <w:color w:val="231F20"/>
        </w:rPr>
        <w:t>para</w:t>
      </w:r>
      <w:r>
        <w:rPr>
          <w:color w:val="231F20"/>
          <w:spacing w:val="-3"/>
        </w:rPr>
        <w:t> </w:t>
      </w:r>
      <w:r>
        <w:rPr>
          <w:color w:val="231F20"/>
        </w:rPr>
        <w:t>la </w:t>
      </w:r>
      <w:r>
        <w:rPr>
          <w:color w:val="231F20"/>
          <w:spacing w:val="-6"/>
        </w:rPr>
        <w:t>Democracia</w:t>
      </w:r>
      <w:r>
        <w:rPr>
          <w:color w:val="231F20"/>
          <w:spacing w:val="-11"/>
        </w:rPr>
        <w:t> </w:t>
      </w:r>
      <w:r>
        <w:rPr>
          <w:color w:val="231F20"/>
          <w:spacing w:val="-6"/>
        </w:rPr>
        <w:t>en</w:t>
      </w:r>
      <w:r>
        <w:rPr>
          <w:color w:val="231F20"/>
          <w:spacing w:val="-10"/>
        </w:rPr>
        <w:t> </w:t>
      </w:r>
      <w:r>
        <w:rPr>
          <w:color w:val="231F20"/>
          <w:spacing w:val="-6"/>
        </w:rPr>
        <w:t>las</w:t>
      </w:r>
      <w:r>
        <w:rPr>
          <w:color w:val="231F20"/>
          <w:spacing w:val="-11"/>
        </w:rPr>
        <w:t> </w:t>
      </w:r>
      <w:r>
        <w:rPr>
          <w:color w:val="231F20"/>
          <w:spacing w:val="-6"/>
        </w:rPr>
        <w:t>Américas</w:t>
      </w:r>
      <w:r>
        <w:rPr>
          <w:color w:val="231F20"/>
          <w:spacing w:val="-10"/>
        </w:rPr>
        <w:t> </w:t>
      </w:r>
      <w:r>
        <w:rPr>
          <w:color w:val="231F20"/>
          <w:spacing w:val="-6"/>
        </w:rPr>
        <w:t>(CDA)</w:t>
      </w:r>
      <w:r>
        <w:rPr>
          <w:color w:val="231F20"/>
          <w:spacing w:val="-11"/>
        </w:rPr>
        <w:t> </w:t>
      </w:r>
      <w:r>
        <w:rPr>
          <w:color w:val="231F20"/>
          <w:spacing w:val="-6"/>
        </w:rPr>
        <w:t>émettent </w:t>
      </w:r>
      <w:r>
        <w:rPr>
          <w:color w:val="231F20"/>
        </w:rPr>
        <w:t>une</w:t>
      </w:r>
      <w:r>
        <w:rPr>
          <w:color w:val="231F20"/>
          <w:spacing w:val="-3"/>
        </w:rPr>
        <w:t> </w:t>
      </w:r>
      <w:r>
        <w:rPr>
          <w:color w:val="231F20"/>
        </w:rPr>
        <w:t>déclaration</w:t>
      </w:r>
      <w:r>
        <w:rPr>
          <w:color w:val="231F20"/>
          <w:spacing w:val="-3"/>
        </w:rPr>
        <w:t> </w:t>
      </w:r>
      <w:r>
        <w:rPr>
          <w:color w:val="231F20"/>
        </w:rPr>
        <w:t>conjointe</w:t>
      </w:r>
      <w:r>
        <w:rPr>
          <w:color w:val="231F20"/>
          <w:spacing w:val="-3"/>
        </w:rPr>
        <w:t> </w:t>
      </w:r>
      <w:r>
        <w:rPr>
          <w:color w:val="231F20"/>
        </w:rPr>
        <w:t>pour</w:t>
      </w:r>
      <w:r>
        <w:rPr>
          <w:color w:val="231F20"/>
          <w:spacing w:val="-3"/>
        </w:rPr>
        <w:t> </w:t>
      </w:r>
      <w:r>
        <w:rPr>
          <w:color w:val="231F20"/>
        </w:rPr>
        <w:t>se</w:t>
      </w:r>
      <w:r>
        <w:rPr>
          <w:color w:val="231F20"/>
          <w:spacing w:val="-3"/>
        </w:rPr>
        <w:t> </w:t>
      </w:r>
      <w:r>
        <w:rPr>
          <w:color w:val="231F20"/>
        </w:rPr>
        <w:t>féliciter de la réintroduction au Congrès de la Loi relative à la liberté d’exportation à Cuba, dans la mesure où le blocus constitue le principal obstacle au développement de l’économie cubaine.</w:t>
      </w:r>
    </w:p>
    <w:p>
      <w:pPr>
        <w:pStyle w:val="BodyText"/>
        <w:spacing w:before="167"/>
        <w:ind w:left="409" w:right="1130"/>
      </w:pPr>
      <w:r>
        <w:rPr>
          <w:b/>
          <w:color w:val="B52628"/>
        </w:rPr>
        <w:t>22</w:t>
      </w:r>
      <w:r>
        <w:rPr>
          <w:b/>
          <w:color w:val="B52628"/>
          <w:spacing w:val="-12"/>
        </w:rPr>
        <w:t> </w:t>
      </w:r>
      <w:r>
        <w:rPr>
          <w:b/>
          <w:color w:val="B52628"/>
        </w:rPr>
        <w:t>mars</w:t>
      </w:r>
      <w:r>
        <w:rPr>
          <w:b/>
          <w:color w:val="B52628"/>
          <w:spacing w:val="-12"/>
        </w:rPr>
        <w:t> </w:t>
      </w:r>
      <w:r>
        <w:rPr>
          <w:b/>
          <w:color w:val="B52628"/>
        </w:rPr>
        <w:t>2023.</w:t>
      </w:r>
      <w:r>
        <w:rPr>
          <w:b/>
          <w:color w:val="B52628"/>
          <w:spacing w:val="-13"/>
        </w:rPr>
        <w:t> </w:t>
      </w:r>
      <w:r>
        <w:rPr>
          <w:color w:val="231F20"/>
        </w:rPr>
        <w:t>Des</w:t>
      </w:r>
      <w:r>
        <w:rPr>
          <w:color w:val="231F20"/>
          <w:spacing w:val="-12"/>
        </w:rPr>
        <w:t> </w:t>
      </w:r>
      <w:r>
        <w:rPr>
          <w:color w:val="231F20"/>
        </w:rPr>
        <w:t>militants</w:t>
      </w:r>
      <w:r>
        <w:rPr>
          <w:color w:val="231F20"/>
          <w:spacing w:val="-12"/>
        </w:rPr>
        <w:t> </w:t>
      </w:r>
      <w:r>
        <w:rPr>
          <w:color w:val="231F20"/>
        </w:rPr>
        <w:t>de</w:t>
      </w:r>
      <w:r>
        <w:rPr>
          <w:color w:val="231F20"/>
          <w:spacing w:val="-12"/>
        </w:rPr>
        <w:t> </w:t>
      </w:r>
      <w:r>
        <w:rPr>
          <w:color w:val="231F20"/>
        </w:rPr>
        <w:t>Code</w:t>
      </w:r>
      <w:r>
        <w:rPr>
          <w:color w:val="231F20"/>
          <w:spacing w:val="-12"/>
        </w:rPr>
        <w:t> </w:t>
      </w:r>
      <w:r>
        <w:rPr>
          <w:color w:val="231F20"/>
        </w:rPr>
        <w:t>Pink interrompent l’intervention du </w:t>
      </w:r>
      <w:r>
        <w:rPr>
          <w:color w:val="231F20"/>
        </w:rPr>
        <w:t>secrétaire </w:t>
      </w:r>
      <w:r>
        <w:rPr>
          <w:color w:val="231F20"/>
          <w:spacing w:val="-2"/>
        </w:rPr>
        <w:t>d’État</w:t>
      </w:r>
      <w:r>
        <w:rPr>
          <w:color w:val="231F20"/>
          <w:spacing w:val="-15"/>
        </w:rPr>
        <w:t> </w:t>
      </w:r>
      <w:r>
        <w:rPr>
          <w:color w:val="231F20"/>
          <w:spacing w:val="-2"/>
        </w:rPr>
        <w:t>Antony</w:t>
      </w:r>
      <w:r>
        <w:rPr>
          <w:color w:val="231F20"/>
          <w:spacing w:val="-14"/>
        </w:rPr>
        <w:t> </w:t>
      </w:r>
      <w:r>
        <w:rPr>
          <w:color w:val="231F20"/>
          <w:spacing w:val="-2"/>
        </w:rPr>
        <w:t>Blinkendevantla</w:t>
      </w:r>
      <w:r>
        <w:rPr>
          <w:color w:val="231F20"/>
          <w:spacing w:val="-15"/>
        </w:rPr>
        <w:t> </w:t>
      </w:r>
      <w:r>
        <w:rPr>
          <w:color w:val="231F20"/>
          <w:spacing w:val="-2"/>
        </w:rPr>
        <w:t>Commission </w:t>
      </w:r>
      <w:r>
        <w:rPr>
          <w:color w:val="231F20"/>
        </w:rPr>
        <w:t>sénatoriale des relations extérieures pour réclamer la radiation de Cuba de la Liste des États censément commanditaires de terrorisme international et la levée des mesures coercitives contre elle.</w:t>
      </w:r>
    </w:p>
    <w:p>
      <w:pPr>
        <w:pStyle w:val="BodyText"/>
        <w:spacing w:before="166"/>
        <w:ind w:left="409" w:right="1133"/>
      </w:pPr>
      <w:r>
        <w:rPr>
          <w:b/>
          <w:color w:val="B52628"/>
        </w:rPr>
        <w:t>26 mars 2023. </w:t>
      </w:r>
      <w:r>
        <w:rPr>
          <w:color w:val="231F20"/>
        </w:rPr>
        <w:t>L’Alianza Martiana, </w:t>
      </w:r>
      <w:r>
        <w:rPr>
          <w:color w:val="231F20"/>
          <w:spacing w:val="-4"/>
        </w:rPr>
        <w:t>l’Asociación</w:t>
      </w:r>
      <w:r>
        <w:rPr>
          <w:color w:val="231F20"/>
          <w:spacing w:val="-6"/>
        </w:rPr>
        <w:t> </w:t>
      </w:r>
      <w:r>
        <w:rPr>
          <w:color w:val="231F20"/>
          <w:spacing w:val="-4"/>
        </w:rPr>
        <w:t>Cultural</w:t>
      </w:r>
      <w:r>
        <w:rPr>
          <w:color w:val="231F20"/>
          <w:spacing w:val="-6"/>
        </w:rPr>
        <w:t> </w:t>
      </w:r>
      <w:r>
        <w:rPr>
          <w:color w:val="231F20"/>
          <w:spacing w:val="-4"/>
        </w:rPr>
        <w:t>José</w:t>
      </w:r>
      <w:r>
        <w:rPr>
          <w:color w:val="231F20"/>
          <w:spacing w:val="-6"/>
        </w:rPr>
        <w:t> </w:t>
      </w:r>
      <w:r>
        <w:rPr>
          <w:color w:val="231F20"/>
          <w:spacing w:val="-4"/>
        </w:rPr>
        <w:t>Martí,</w:t>
      </w:r>
      <w:r>
        <w:rPr>
          <w:color w:val="231F20"/>
          <w:spacing w:val="-6"/>
        </w:rPr>
        <w:t> </w:t>
      </w:r>
      <w:r>
        <w:rPr>
          <w:color w:val="231F20"/>
          <w:spacing w:val="-4"/>
        </w:rPr>
        <w:t>Puentes</w:t>
      </w:r>
      <w:r>
        <w:rPr>
          <w:color w:val="231F20"/>
          <w:spacing w:val="-6"/>
        </w:rPr>
        <w:t> </w:t>
      </w:r>
      <w:r>
        <w:rPr>
          <w:color w:val="231F20"/>
          <w:spacing w:val="-4"/>
        </w:rPr>
        <w:t>de </w:t>
      </w:r>
      <w:r>
        <w:rPr>
          <w:color w:val="231F20"/>
          <w:spacing w:val="-6"/>
        </w:rPr>
        <w:t>Amor,</w:t>
      </w:r>
      <w:r>
        <w:rPr>
          <w:color w:val="231F20"/>
          <w:spacing w:val="-7"/>
        </w:rPr>
        <w:t> </w:t>
      </w:r>
      <w:r>
        <w:rPr>
          <w:color w:val="231F20"/>
          <w:spacing w:val="-6"/>
        </w:rPr>
        <w:t>des</w:t>
      </w:r>
      <w:r>
        <w:rPr>
          <w:color w:val="231F20"/>
          <w:spacing w:val="-7"/>
        </w:rPr>
        <w:t> </w:t>
      </w:r>
      <w:r>
        <w:rPr>
          <w:color w:val="231F20"/>
          <w:spacing w:val="-6"/>
        </w:rPr>
        <w:t>représentants</w:t>
      </w:r>
      <w:r>
        <w:rPr>
          <w:color w:val="231F20"/>
          <w:spacing w:val="-7"/>
        </w:rPr>
        <w:t> </w:t>
      </w:r>
      <w:r>
        <w:rPr>
          <w:color w:val="231F20"/>
          <w:spacing w:val="-6"/>
        </w:rPr>
        <w:t>de</w:t>
      </w:r>
      <w:r>
        <w:rPr>
          <w:color w:val="231F20"/>
          <w:spacing w:val="-7"/>
        </w:rPr>
        <w:t> </w:t>
      </w:r>
      <w:r>
        <w:rPr>
          <w:color w:val="231F20"/>
          <w:spacing w:val="-6"/>
        </w:rPr>
        <w:t>la</w:t>
      </w:r>
      <w:r>
        <w:rPr>
          <w:color w:val="231F20"/>
          <w:spacing w:val="-7"/>
        </w:rPr>
        <w:t> </w:t>
      </w:r>
      <w:r>
        <w:rPr>
          <w:color w:val="231F20"/>
          <w:spacing w:val="-6"/>
        </w:rPr>
        <w:t>communauté </w:t>
      </w:r>
      <w:r>
        <w:rPr>
          <w:color w:val="231F20"/>
          <w:spacing w:val="-2"/>
        </w:rPr>
        <w:t>cubaine</w:t>
      </w:r>
      <w:r>
        <w:rPr>
          <w:color w:val="231F20"/>
          <w:spacing w:val="-15"/>
        </w:rPr>
        <w:t> </w:t>
      </w:r>
      <w:r>
        <w:rPr>
          <w:color w:val="231F20"/>
          <w:spacing w:val="-2"/>
        </w:rPr>
        <w:t>et</w:t>
      </w:r>
      <w:r>
        <w:rPr>
          <w:color w:val="231F20"/>
          <w:spacing w:val="-14"/>
        </w:rPr>
        <w:t> </w:t>
      </w:r>
      <w:r>
        <w:rPr>
          <w:color w:val="231F20"/>
          <w:spacing w:val="-2"/>
        </w:rPr>
        <w:t>étasunienne</w:t>
      </w:r>
      <w:r>
        <w:rPr>
          <w:color w:val="231F20"/>
          <w:spacing w:val="-15"/>
        </w:rPr>
        <w:t> </w:t>
      </w:r>
      <w:r>
        <w:rPr>
          <w:color w:val="231F20"/>
          <w:spacing w:val="-2"/>
        </w:rPr>
        <w:t>organisent</w:t>
      </w:r>
      <w:r>
        <w:rPr>
          <w:color w:val="231F20"/>
          <w:spacing w:val="-14"/>
        </w:rPr>
        <w:t> </w:t>
      </w:r>
      <w:r>
        <w:rPr>
          <w:color w:val="231F20"/>
          <w:spacing w:val="-2"/>
        </w:rPr>
        <w:t>à</w:t>
      </w:r>
      <w:r>
        <w:rPr>
          <w:color w:val="231F20"/>
          <w:spacing w:val="-15"/>
        </w:rPr>
        <w:t> </w:t>
      </w:r>
      <w:r>
        <w:rPr>
          <w:color w:val="231F20"/>
          <w:spacing w:val="-2"/>
        </w:rPr>
        <w:t>Miami </w:t>
      </w:r>
      <w:r>
        <w:rPr>
          <w:color w:val="231F20"/>
        </w:rPr>
        <w:t>une</w:t>
      </w:r>
      <w:r>
        <w:rPr>
          <w:color w:val="231F20"/>
          <w:spacing w:val="-17"/>
        </w:rPr>
        <w:t> </w:t>
      </w:r>
      <w:r>
        <w:rPr>
          <w:color w:val="231F20"/>
        </w:rPr>
        <w:t>journée</w:t>
      </w:r>
      <w:r>
        <w:rPr>
          <w:color w:val="231F20"/>
          <w:spacing w:val="-16"/>
        </w:rPr>
        <w:t> </w:t>
      </w:r>
      <w:r>
        <w:rPr>
          <w:color w:val="231F20"/>
        </w:rPr>
        <w:t>de</w:t>
      </w:r>
      <w:r>
        <w:rPr>
          <w:color w:val="231F20"/>
          <w:spacing w:val="-17"/>
        </w:rPr>
        <w:t> </w:t>
      </w:r>
      <w:r>
        <w:rPr>
          <w:color w:val="231F20"/>
        </w:rPr>
        <w:t>caravanes</w:t>
      </w:r>
      <w:r>
        <w:rPr>
          <w:color w:val="231F20"/>
          <w:spacing w:val="-16"/>
        </w:rPr>
        <w:t> </w:t>
      </w:r>
      <w:r>
        <w:rPr>
          <w:color w:val="231F20"/>
        </w:rPr>
        <w:t>contre</w:t>
      </w:r>
      <w:r>
        <w:rPr>
          <w:color w:val="231F20"/>
          <w:spacing w:val="-17"/>
        </w:rPr>
        <w:t> </w:t>
      </w:r>
      <w:r>
        <w:rPr>
          <w:color w:val="231F20"/>
        </w:rPr>
        <w:t>le</w:t>
      </w:r>
      <w:r>
        <w:rPr>
          <w:color w:val="231F20"/>
          <w:spacing w:val="-16"/>
        </w:rPr>
        <w:t> </w:t>
      </w:r>
      <w:r>
        <w:rPr>
          <w:color w:val="231F20"/>
        </w:rPr>
        <w:t>blocus.</w:t>
      </w:r>
    </w:p>
    <w:p>
      <w:pPr>
        <w:spacing w:after="0"/>
        <w:sectPr>
          <w:pgSz w:w="11910" w:h="16840"/>
          <w:pgMar w:header="0" w:footer="695" w:top="1260" w:bottom="880" w:left="0" w:right="0"/>
          <w:cols w:num="2" w:equalWidth="0">
            <w:col w:w="5900" w:space="40"/>
            <w:col w:w="5970"/>
          </w:cols>
        </w:sectPr>
      </w:pPr>
    </w:p>
    <w:p>
      <w:pPr>
        <w:pStyle w:val="BodyText"/>
        <w:spacing w:before="77"/>
        <w:ind w:left="1133"/>
      </w:pPr>
      <w:r>
        <w:rPr>
          <w:b/>
          <w:color w:val="B52628"/>
        </w:rPr>
        <w:t>10 mai 2023. </w:t>
      </w:r>
      <w:r>
        <w:rPr>
          <w:color w:val="231F20"/>
        </w:rPr>
        <w:t>Vingt-et-un législateurs </w:t>
      </w:r>
      <w:r>
        <w:rPr>
          <w:color w:val="231F20"/>
          <w:spacing w:val="-4"/>
        </w:rPr>
        <w:t>démocrates,</w:t>
      </w:r>
      <w:r>
        <w:rPr>
          <w:color w:val="231F20"/>
          <w:spacing w:val="-13"/>
        </w:rPr>
        <w:t> </w:t>
      </w:r>
      <w:r>
        <w:rPr>
          <w:color w:val="231F20"/>
          <w:spacing w:val="-4"/>
        </w:rPr>
        <w:t>la</w:t>
      </w:r>
      <w:r>
        <w:rPr>
          <w:color w:val="231F20"/>
          <w:spacing w:val="-12"/>
        </w:rPr>
        <w:t> </w:t>
      </w:r>
      <w:r>
        <w:rPr>
          <w:color w:val="231F20"/>
          <w:spacing w:val="-4"/>
        </w:rPr>
        <w:t>plupart</w:t>
      </w:r>
      <w:r>
        <w:rPr>
          <w:color w:val="231F20"/>
          <w:spacing w:val="-13"/>
        </w:rPr>
        <w:t> </w:t>
      </w:r>
      <w:r>
        <w:rPr>
          <w:color w:val="231F20"/>
          <w:spacing w:val="-4"/>
        </w:rPr>
        <w:t>provenant</w:t>
      </w:r>
      <w:r>
        <w:rPr>
          <w:color w:val="231F20"/>
          <w:spacing w:val="-12"/>
        </w:rPr>
        <w:t> </w:t>
      </w:r>
      <w:r>
        <w:rPr>
          <w:color w:val="231F20"/>
          <w:spacing w:val="-4"/>
        </w:rPr>
        <w:t>d’États</w:t>
      </w:r>
      <w:r>
        <w:rPr>
          <w:color w:val="231F20"/>
          <w:spacing w:val="-13"/>
        </w:rPr>
        <w:t> </w:t>
      </w:r>
      <w:r>
        <w:rPr>
          <w:color w:val="231F20"/>
          <w:spacing w:val="-4"/>
        </w:rPr>
        <w:t>de </w:t>
      </w:r>
      <w:r>
        <w:rPr>
          <w:color w:val="231F20"/>
          <w:spacing w:val="-6"/>
        </w:rPr>
        <w:t>la</w:t>
      </w:r>
      <w:r>
        <w:rPr>
          <w:color w:val="231F20"/>
          <w:spacing w:val="-11"/>
        </w:rPr>
        <w:t> </w:t>
      </w:r>
      <w:r>
        <w:rPr>
          <w:color w:val="231F20"/>
          <w:spacing w:val="-6"/>
        </w:rPr>
        <w:t>frontière</w:t>
      </w:r>
      <w:r>
        <w:rPr>
          <w:color w:val="231F20"/>
          <w:spacing w:val="-10"/>
        </w:rPr>
        <w:t> </w:t>
      </w:r>
      <w:r>
        <w:rPr>
          <w:color w:val="231F20"/>
          <w:spacing w:val="-6"/>
        </w:rPr>
        <w:t>Sud,</w:t>
      </w:r>
      <w:r>
        <w:rPr>
          <w:color w:val="231F20"/>
          <w:spacing w:val="-11"/>
        </w:rPr>
        <w:t> </w:t>
      </w:r>
      <w:r>
        <w:rPr>
          <w:color w:val="231F20"/>
          <w:spacing w:val="-6"/>
        </w:rPr>
        <w:t>adressent</w:t>
      </w:r>
      <w:r>
        <w:rPr>
          <w:color w:val="231F20"/>
          <w:spacing w:val="-10"/>
        </w:rPr>
        <w:t> </w:t>
      </w:r>
      <w:r>
        <w:rPr>
          <w:color w:val="231F20"/>
          <w:spacing w:val="-6"/>
        </w:rPr>
        <w:t>une</w:t>
      </w:r>
      <w:r>
        <w:rPr>
          <w:color w:val="231F20"/>
          <w:spacing w:val="-11"/>
        </w:rPr>
        <w:t> </w:t>
      </w:r>
      <w:r>
        <w:rPr>
          <w:color w:val="231F20"/>
          <w:spacing w:val="-6"/>
        </w:rPr>
        <w:t>lettre</w:t>
      </w:r>
      <w:r>
        <w:rPr>
          <w:color w:val="231F20"/>
          <w:spacing w:val="-10"/>
        </w:rPr>
        <w:t> </w:t>
      </w:r>
      <w:r>
        <w:rPr>
          <w:color w:val="231F20"/>
          <w:spacing w:val="-6"/>
        </w:rPr>
        <w:t>à</w:t>
      </w:r>
      <w:r>
        <w:rPr>
          <w:color w:val="231F20"/>
          <w:spacing w:val="-11"/>
        </w:rPr>
        <w:t> </w:t>
      </w:r>
      <w:r>
        <w:rPr>
          <w:color w:val="231F20"/>
          <w:spacing w:val="-6"/>
        </w:rPr>
        <w:t>Biden pour</w:t>
      </w:r>
      <w:r>
        <w:rPr>
          <w:color w:val="231F20"/>
          <w:spacing w:val="-11"/>
        </w:rPr>
        <w:t> </w:t>
      </w:r>
      <w:r>
        <w:rPr>
          <w:color w:val="231F20"/>
          <w:spacing w:val="-6"/>
        </w:rPr>
        <w:t>lui</w:t>
      </w:r>
      <w:r>
        <w:rPr>
          <w:color w:val="231F20"/>
          <w:spacing w:val="-10"/>
        </w:rPr>
        <w:t> </w:t>
      </w:r>
      <w:r>
        <w:rPr>
          <w:color w:val="231F20"/>
          <w:spacing w:val="-6"/>
        </w:rPr>
        <w:t>demande</w:t>
      </w:r>
      <w:r>
        <w:rPr>
          <w:color w:val="231F20"/>
          <w:spacing w:val="-11"/>
        </w:rPr>
        <w:t> </w:t>
      </w:r>
      <w:r>
        <w:rPr>
          <w:color w:val="231F20"/>
          <w:spacing w:val="-6"/>
        </w:rPr>
        <w:t>d’assouplir</w:t>
      </w:r>
      <w:r>
        <w:rPr>
          <w:color w:val="231F20"/>
          <w:spacing w:val="-10"/>
        </w:rPr>
        <w:t> </w:t>
      </w:r>
      <w:r>
        <w:rPr>
          <w:color w:val="231F20"/>
          <w:spacing w:val="-6"/>
        </w:rPr>
        <w:t>la</w:t>
      </w:r>
      <w:r>
        <w:rPr>
          <w:color w:val="231F20"/>
          <w:spacing w:val="-11"/>
        </w:rPr>
        <w:t> </w:t>
      </w:r>
      <w:r>
        <w:rPr>
          <w:color w:val="231F20"/>
          <w:spacing w:val="-6"/>
        </w:rPr>
        <w:t>politique</w:t>
      </w:r>
      <w:r>
        <w:rPr>
          <w:color w:val="231F20"/>
          <w:spacing w:val="-10"/>
        </w:rPr>
        <w:t> </w:t>
      </w:r>
      <w:r>
        <w:rPr>
          <w:color w:val="231F20"/>
          <w:spacing w:val="-6"/>
        </w:rPr>
        <w:t>de </w:t>
      </w:r>
      <w:r>
        <w:rPr>
          <w:color w:val="231F20"/>
          <w:spacing w:val="-8"/>
        </w:rPr>
        <w:t>pression maximale mise en place par Trump, car</w:t>
      </w:r>
      <w:r>
        <w:rPr>
          <w:color w:val="231F20"/>
          <w:spacing w:val="-9"/>
        </w:rPr>
        <w:t> </w:t>
      </w:r>
      <w:r>
        <w:rPr>
          <w:color w:val="231F20"/>
          <w:spacing w:val="-8"/>
        </w:rPr>
        <w:t>ces mesures</w:t>
      </w:r>
      <w:r>
        <w:rPr>
          <w:color w:val="231F20"/>
          <w:spacing w:val="-9"/>
        </w:rPr>
        <w:t> </w:t>
      </w:r>
      <w:r>
        <w:rPr>
          <w:color w:val="231F20"/>
          <w:spacing w:val="-8"/>
        </w:rPr>
        <w:t>d’asphyxie économique</w:t>
      </w:r>
      <w:r>
        <w:rPr>
          <w:color w:val="231F20"/>
          <w:spacing w:val="-9"/>
        </w:rPr>
        <w:t> </w:t>
      </w:r>
      <w:r>
        <w:rPr>
          <w:color w:val="231F20"/>
          <w:spacing w:val="-8"/>
        </w:rPr>
        <w:t>font </w:t>
      </w:r>
      <w:r>
        <w:rPr>
          <w:color w:val="231F20"/>
        </w:rPr>
        <w:t>partie</w:t>
      </w:r>
      <w:r>
        <w:rPr>
          <w:color w:val="231F20"/>
          <w:spacing w:val="-17"/>
        </w:rPr>
        <w:t> </w:t>
      </w:r>
      <w:r>
        <w:rPr>
          <w:color w:val="231F20"/>
        </w:rPr>
        <w:t>des</w:t>
      </w:r>
      <w:r>
        <w:rPr>
          <w:color w:val="231F20"/>
          <w:spacing w:val="-16"/>
        </w:rPr>
        <w:t> </w:t>
      </w:r>
      <w:r>
        <w:rPr>
          <w:color w:val="231F20"/>
        </w:rPr>
        <w:t>raisons</w:t>
      </w:r>
      <w:r>
        <w:rPr>
          <w:color w:val="231F20"/>
          <w:spacing w:val="-17"/>
        </w:rPr>
        <w:t> </w:t>
      </w:r>
      <w:r>
        <w:rPr>
          <w:color w:val="231F20"/>
        </w:rPr>
        <w:t>principales</w:t>
      </w:r>
      <w:r>
        <w:rPr>
          <w:color w:val="231F20"/>
          <w:spacing w:val="-16"/>
        </w:rPr>
        <w:t> </w:t>
      </w:r>
      <w:r>
        <w:rPr>
          <w:color w:val="231F20"/>
        </w:rPr>
        <w:t>qui</w:t>
      </w:r>
      <w:r>
        <w:rPr>
          <w:color w:val="231F20"/>
          <w:spacing w:val="-17"/>
        </w:rPr>
        <w:t> </w:t>
      </w:r>
      <w:r>
        <w:rPr>
          <w:color w:val="231F20"/>
        </w:rPr>
        <w:t>poussent </w:t>
      </w:r>
      <w:r>
        <w:rPr>
          <w:color w:val="231F20"/>
          <w:spacing w:val="-6"/>
        </w:rPr>
        <w:t>des</w:t>
      </w:r>
      <w:r>
        <w:rPr>
          <w:color w:val="231F20"/>
          <w:spacing w:val="-10"/>
        </w:rPr>
        <w:t> </w:t>
      </w:r>
      <w:r>
        <w:rPr>
          <w:color w:val="231F20"/>
          <w:spacing w:val="-6"/>
        </w:rPr>
        <w:t>milliers</w:t>
      </w:r>
      <w:r>
        <w:rPr>
          <w:color w:val="231F20"/>
          <w:spacing w:val="-10"/>
        </w:rPr>
        <w:t> </w:t>
      </w:r>
      <w:r>
        <w:rPr>
          <w:color w:val="231F20"/>
          <w:spacing w:val="-6"/>
        </w:rPr>
        <w:t>de</w:t>
      </w:r>
      <w:r>
        <w:rPr>
          <w:color w:val="231F20"/>
          <w:spacing w:val="-10"/>
        </w:rPr>
        <w:t> </w:t>
      </w:r>
      <w:r>
        <w:rPr>
          <w:color w:val="231F20"/>
          <w:spacing w:val="-6"/>
        </w:rPr>
        <w:t>Cubains</w:t>
      </w:r>
      <w:r>
        <w:rPr>
          <w:color w:val="231F20"/>
          <w:spacing w:val="-10"/>
        </w:rPr>
        <w:t> </w:t>
      </w:r>
      <w:r>
        <w:rPr>
          <w:color w:val="231F20"/>
          <w:spacing w:val="-6"/>
        </w:rPr>
        <w:t>et</w:t>
      </w:r>
      <w:r>
        <w:rPr>
          <w:color w:val="231F20"/>
          <w:spacing w:val="-10"/>
        </w:rPr>
        <w:t> </w:t>
      </w:r>
      <w:r>
        <w:rPr>
          <w:color w:val="231F20"/>
          <w:spacing w:val="-6"/>
        </w:rPr>
        <w:t>de</w:t>
      </w:r>
      <w:r>
        <w:rPr>
          <w:color w:val="231F20"/>
          <w:spacing w:val="-10"/>
        </w:rPr>
        <w:t> </w:t>
      </w:r>
      <w:r>
        <w:rPr>
          <w:color w:val="231F20"/>
          <w:spacing w:val="-6"/>
        </w:rPr>
        <w:t>Vénézuéliens</w:t>
      </w:r>
      <w:r>
        <w:rPr>
          <w:color w:val="231F20"/>
          <w:spacing w:val="-10"/>
        </w:rPr>
        <w:t> </w:t>
      </w:r>
      <w:r>
        <w:rPr>
          <w:color w:val="231F20"/>
          <w:spacing w:val="-6"/>
        </w:rPr>
        <w:t>à émigrer</w:t>
      </w:r>
      <w:r>
        <w:rPr>
          <w:color w:val="231F20"/>
          <w:spacing w:val="-11"/>
        </w:rPr>
        <w:t> </w:t>
      </w:r>
      <w:r>
        <w:rPr>
          <w:color w:val="231F20"/>
          <w:spacing w:val="-6"/>
        </w:rPr>
        <w:t>aux</w:t>
      </w:r>
      <w:r>
        <w:rPr>
          <w:color w:val="231F20"/>
          <w:spacing w:val="-10"/>
        </w:rPr>
        <w:t> </w:t>
      </w:r>
      <w:r>
        <w:rPr>
          <w:color w:val="231F20"/>
          <w:spacing w:val="-6"/>
        </w:rPr>
        <w:t>États-Unis,</w:t>
      </w:r>
      <w:r>
        <w:rPr>
          <w:color w:val="231F20"/>
          <w:spacing w:val="-11"/>
        </w:rPr>
        <w:t> </w:t>
      </w:r>
      <w:r>
        <w:rPr>
          <w:color w:val="231F20"/>
          <w:spacing w:val="-6"/>
        </w:rPr>
        <w:t>avec,</w:t>
      </w:r>
      <w:r>
        <w:rPr>
          <w:color w:val="231F20"/>
          <w:spacing w:val="-10"/>
        </w:rPr>
        <w:t> </w:t>
      </w:r>
      <w:r>
        <w:rPr>
          <w:color w:val="231F20"/>
          <w:spacing w:val="-6"/>
        </w:rPr>
        <w:t>en</w:t>
      </w:r>
      <w:r>
        <w:rPr>
          <w:color w:val="231F20"/>
          <w:spacing w:val="-11"/>
        </w:rPr>
        <w:t> </w:t>
      </w:r>
      <w:r>
        <w:rPr>
          <w:color w:val="231F20"/>
          <w:spacing w:val="-6"/>
        </w:rPr>
        <w:t>supplément </w:t>
      </w:r>
      <w:r>
        <w:rPr>
          <w:color w:val="231F20"/>
          <w:spacing w:val="-8"/>
        </w:rPr>
        <w:t>pour Cuba, le durcissement du blocus et son </w:t>
      </w:r>
      <w:r>
        <w:rPr>
          <w:color w:val="231F20"/>
        </w:rPr>
        <w:t>inscription</w:t>
      </w:r>
      <w:r>
        <w:rPr>
          <w:color w:val="231F20"/>
          <w:spacing w:val="-17"/>
        </w:rPr>
        <w:t> </w:t>
      </w:r>
      <w:r>
        <w:rPr>
          <w:color w:val="231F20"/>
        </w:rPr>
        <w:t>sur</w:t>
      </w:r>
      <w:r>
        <w:rPr>
          <w:color w:val="231F20"/>
          <w:spacing w:val="-16"/>
        </w:rPr>
        <w:t> </w:t>
      </w:r>
      <w:r>
        <w:rPr>
          <w:color w:val="231F20"/>
        </w:rPr>
        <w:t>la</w:t>
      </w:r>
      <w:r>
        <w:rPr>
          <w:color w:val="231F20"/>
          <w:spacing w:val="-17"/>
        </w:rPr>
        <w:t> </w:t>
      </w:r>
      <w:r>
        <w:rPr>
          <w:color w:val="231F20"/>
        </w:rPr>
        <w:t>Liste</w:t>
      </w:r>
      <w:r>
        <w:rPr>
          <w:color w:val="231F20"/>
          <w:spacing w:val="-16"/>
        </w:rPr>
        <w:t> </w:t>
      </w:r>
      <w:r>
        <w:rPr>
          <w:color w:val="231F20"/>
        </w:rPr>
        <w:t>des</w:t>
      </w:r>
      <w:r>
        <w:rPr>
          <w:color w:val="231F20"/>
          <w:spacing w:val="-17"/>
        </w:rPr>
        <w:t> </w:t>
      </w:r>
      <w:r>
        <w:rPr>
          <w:color w:val="231F20"/>
        </w:rPr>
        <w:t>États</w:t>
      </w:r>
      <w:r>
        <w:rPr>
          <w:color w:val="231F20"/>
          <w:spacing w:val="-16"/>
        </w:rPr>
        <w:t> </w:t>
      </w:r>
      <w:r>
        <w:rPr>
          <w:color w:val="231F20"/>
        </w:rPr>
        <w:t>censément </w:t>
      </w:r>
      <w:r>
        <w:rPr>
          <w:color w:val="231F20"/>
          <w:spacing w:val="-6"/>
        </w:rPr>
        <w:t>commanditaires</w:t>
      </w:r>
      <w:r>
        <w:rPr>
          <w:color w:val="231F20"/>
          <w:spacing w:val="-4"/>
        </w:rPr>
        <w:t> </w:t>
      </w:r>
      <w:r>
        <w:rPr>
          <w:color w:val="231F20"/>
          <w:spacing w:val="-6"/>
        </w:rPr>
        <w:t>de</w:t>
      </w:r>
      <w:r>
        <w:rPr>
          <w:color w:val="231F20"/>
          <w:spacing w:val="-1"/>
        </w:rPr>
        <w:t> </w:t>
      </w:r>
      <w:r>
        <w:rPr>
          <w:color w:val="231F20"/>
          <w:spacing w:val="-6"/>
        </w:rPr>
        <w:t>terrorisme</w:t>
      </w:r>
      <w:r>
        <w:rPr>
          <w:color w:val="231F20"/>
          <w:spacing w:val="-1"/>
        </w:rPr>
        <w:t> </w:t>
      </w:r>
      <w:r>
        <w:rPr>
          <w:color w:val="231F20"/>
          <w:spacing w:val="-6"/>
        </w:rPr>
        <w:t>international.</w:t>
      </w:r>
    </w:p>
    <w:p>
      <w:pPr>
        <w:pStyle w:val="BodyText"/>
        <w:spacing w:before="169"/>
        <w:ind w:left="1133" w:right="2"/>
      </w:pPr>
      <w:r>
        <w:rPr>
          <w:b/>
          <w:color w:val="B52628"/>
        </w:rPr>
        <w:t>16 mai 2023. </w:t>
      </w:r>
      <w:r>
        <w:rPr>
          <w:color w:val="231F20"/>
        </w:rPr>
        <w:t>Le conseil municipal de </w:t>
      </w:r>
      <w:r>
        <w:rPr>
          <w:color w:val="231F20"/>
          <w:spacing w:val="-10"/>
        </w:rPr>
        <w:t>Washington</w:t>
      </w:r>
      <w:r>
        <w:rPr>
          <w:color w:val="231F20"/>
          <w:spacing w:val="-7"/>
        </w:rPr>
        <w:t> </w:t>
      </w:r>
      <w:r>
        <w:rPr>
          <w:color w:val="231F20"/>
          <w:spacing w:val="-10"/>
        </w:rPr>
        <w:t>vote</w:t>
      </w:r>
      <w:r>
        <w:rPr>
          <w:color w:val="231F20"/>
          <w:spacing w:val="-6"/>
        </w:rPr>
        <w:t> </w:t>
      </w:r>
      <w:r>
        <w:rPr>
          <w:color w:val="231F20"/>
          <w:spacing w:val="-10"/>
        </w:rPr>
        <w:t>à</w:t>
      </w:r>
      <w:r>
        <w:rPr>
          <w:color w:val="231F20"/>
          <w:spacing w:val="-7"/>
        </w:rPr>
        <w:t> </w:t>
      </w:r>
      <w:r>
        <w:rPr>
          <w:color w:val="231F20"/>
          <w:spacing w:val="-10"/>
        </w:rPr>
        <w:t>l’unanimité</w:t>
      </w:r>
      <w:r>
        <w:rPr>
          <w:color w:val="231F20"/>
          <w:spacing w:val="-6"/>
        </w:rPr>
        <w:t> </w:t>
      </w:r>
      <w:r>
        <w:rPr>
          <w:color w:val="231F20"/>
          <w:spacing w:val="-10"/>
        </w:rPr>
        <w:t>une</w:t>
      </w:r>
      <w:r>
        <w:rPr>
          <w:color w:val="231F20"/>
          <w:spacing w:val="-7"/>
        </w:rPr>
        <w:t> </w:t>
      </w:r>
      <w:r>
        <w:rPr>
          <w:color w:val="231F20"/>
          <w:spacing w:val="-10"/>
        </w:rPr>
        <w:t>résolution </w:t>
      </w:r>
      <w:r>
        <w:rPr>
          <w:color w:val="231F20"/>
        </w:rPr>
        <w:t>exigeant que la Maison-Blanche lève les </w:t>
      </w:r>
      <w:r>
        <w:rPr>
          <w:color w:val="231F20"/>
          <w:spacing w:val="-2"/>
        </w:rPr>
        <w:t>sanctions</w:t>
      </w:r>
      <w:r>
        <w:rPr>
          <w:color w:val="231F20"/>
          <w:spacing w:val="-15"/>
        </w:rPr>
        <w:t> </w:t>
      </w:r>
      <w:r>
        <w:rPr>
          <w:color w:val="231F20"/>
          <w:spacing w:val="-2"/>
        </w:rPr>
        <w:t>économiques</w:t>
      </w:r>
      <w:r>
        <w:rPr>
          <w:color w:val="231F20"/>
          <w:spacing w:val="-14"/>
        </w:rPr>
        <w:t> </w:t>
      </w:r>
      <w:r>
        <w:rPr>
          <w:color w:val="231F20"/>
          <w:spacing w:val="-2"/>
        </w:rPr>
        <w:t>et</w:t>
      </w:r>
      <w:r>
        <w:rPr>
          <w:color w:val="231F20"/>
          <w:spacing w:val="-15"/>
        </w:rPr>
        <w:t> </w:t>
      </w:r>
      <w:r>
        <w:rPr>
          <w:color w:val="231F20"/>
          <w:spacing w:val="-2"/>
        </w:rPr>
        <w:t>radie</w:t>
      </w:r>
      <w:r>
        <w:rPr>
          <w:color w:val="231F20"/>
          <w:spacing w:val="-14"/>
        </w:rPr>
        <w:t> </w:t>
      </w:r>
      <w:r>
        <w:rPr>
          <w:color w:val="231F20"/>
          <w:spacing w:val="-2"/>
        </w:rPr>
        <w:t>Cuba</w:t>
      </w:r>
      <w:r>
        <w:rPr>
          <w:color w:val="231F20"/>
          <w:spacing w:val="-15"/>
        </w:rPr>
        <w:t> </w:t>
      </w:r>
      <w:r>
        <w:rPr>
          <w:color w:val="231F20"/>
          <w:spacing w:val="-2"/>
        </w:rPr>
        <w:t>de</w:t>
      </w:r>
      <w:r>
        <w:rPr>
          <w:color w:val="231F20"/>
          <w:spacing w:val="-14"/>
        </w:rPr>
        <w:t> </w:t>
      </w:r>
      <w:r>
        <w:rPr>
          <w:color w:val="231F20"/>
          <w:spacing w:val="-2"/>
        </w:rPr>
        <w:t>la </w:t>
      </w:r>
      <w:r>
        <w:rPr>
          <w:color w:val="231F20"/>
        </w:rPr>
        <w:t>Liste</w:t>
      </w:r>
      <w:r>
        <w:rPr>
          <w:color w:val="231F20"/>
          <w:spacing w:val="-17"/>
        </w:rPr>
        <w:t> </w:t>
      </w:r>
      <w:r>
        <w:rPr>
          <w:color w:val="231F20"/>
        </w:rPr>
        <w:t>des</w:t>
      </w:r>
      <w:r>
        <w:rPr>
          <w:color w:val="231F20"/>
          <w:spacing w:val="-16"/>
        </w:rPr>
        <w:t> </w:t>
      </w:r>
      <w:r>
        <w:rPr>
          <w:color w:val="231F20"/>
        </w:rPr>
        <w:t>États</w:t>
      </w:r>
      <w:r>
        <w:rPr>
          <w:color w:val="231F20"/>
          <w:spacing w:val="-17"/>
        </w:rPr>
        <w:t> </w:t>
      </w:r>
      <w:r>
        <w:rPr>
          <w:color w:val="231F20"/>
        </w:rPr>
        <w:t>censément</w:t>
      </w:r>
      <w:r>
        <w:rPr>
          <w:color w:val="231F20"/>
          <w:spacing w:val="-16"/>
        </w:rPr>
        <w:t> </w:t>
      </w:r>
      <w:r>
        <w:rPr>
          <w:color w:val="231F20"/>
        </w:rPr>
        <w:t>commanditaires </w:t>
      </w:r>
      <w:r>
        <w:rPr>
          <w:color w:val="231F20"/>
          <w:spacing w:val="-8"/>
        </w:rPr>
        <w:t>de terrorisme international, le blocus limitant le</w:t>
      </w:r>
      <w:r>
        <w:rPr>
          <w:color w:val="231F20"/>
          <w:spacing w:val="-9"/>
        </w:rPr>
        <w:t> </w:t>
      </w:r>
      <w:r>
        <w:rPr>
          <w:color w:val="231F20"/>
          <w:spacing w:val="-8"/>
        </w:rPr>
        <w:t>développement de</w:t>
      </w:r>
      <w:r>
        <w:rPr>
          <w:color w:val="231F20"/>
          <w:spacing w:val="-9"/>
        </w:rPr>
        <w:t> </w:t>
      </w:r>
      <w:r>
        <w:rPr>
          <w:color w:val="231F20"/>
          <w:spacing w:val="-8"/>
        </w:rPr>
        <w:t>la santé,</w:t>
      </w:r>
      <w:r>
        <w:rPr>
          <w:color w:val="231F20"/>
          <w:spacing w:val="-9"/>
        </w:rPr>
        <w:t> </w:t>
      </w:r>
      <w:r>
        <w:rPr>
          <w:color w:val="231F20"/>
          <w:spacing w:val="-8"/>
        </w:rPr>
        <w:t>de l’éducation </w:t>
      </w:r>
      <w:r>
        <w:rPr>
          <w:color w:val="231F20"/>
          <w:spacing w:val="-4"/>
        </w:rPr>
        <w:t>et</w:t>
      </w:r>
      <w:r>
        <w:rPr>
          <w:color w:val="231F20"/>
          <w:spacing w:val="-13"/>
        </w:rPr>
        <w:t> </w:t>
      </w:r>
      <w:r>
        <w:rPr>
          <w:color w:val="231F20"/>
          <w:spacing w:val="-4"/>
        </w:rPr>
        <w:t>de</w:t>
      </w:r>
      <w:r>
        <w:rPr>
          <w:color w:val="231F20"/>
          <w:spacing w:val="-12"/>
        </w:rPr>
        <w:t> </w:t>
      </w:r>
      <w:r>
        <w:rPr>
          <w:color w:val="231F20"/>
          <w:spacing w:val="-4"/>
        </w:rPr>
        <w:t>l’économie</w:t>
      </w:r>
      <w:r>
        <w:rPr>
          <w:color w:val="231F20"/>
          <w:spacing w:val="-13"/>
        </w:rPr>
        <w:t> </w:t>
      </w:r>
      <w:r>
        <w:rPr>
          <w:color w:val="231F20"/>
          <w:spacing w:val="-4"/>
        </w:rPr>
        <w:t>cubaines</w:t>
      </w:r>
      <w:r>
        <w:rPr>
          <w:color w:val="231F20"/>
          <w:spacing w:val="-12"/>
        </w:rPr>
        <w:t> </w:t>
      </w:r>
      <w:r>
        <w:rPr>
          <w:color w:val="231F20"/>
          <w:spacing w:val="-4"/>
        </w:rPr>
        <w:t>et</w:t>
      </w:r>
      <w:r>
        <w:rPr>
          <w:color w:val="231F20"/>
          <w:spacing w:val="-13"/>
        </w:rPr>
        <w:t> </w:t>
      </w:r>
      <w:r>
        <w:rPr>
          <w:color w:val="231F20"/>
          <w:spacing w:val="-4"/>
        </w:rPr>
        <w:t>la</w:t>
      </w:r>
      <w:r>
        <w:rPr>
          <w:color w:val="231F20"/>
          <w:spacing w:val="-12"/>
        </w:rPr>
        <w:t> </w:t>
      </w:r>
      <w:r>
        <w:rPr>
          <w:color w:val="231F20"/>
          <w:spacing w:val="-4"/>
        </w:rPr>
        <w:t>coopération </w:t>
      </w:r>
      <w:r>
        <w:rPr>
          <w:color w:val="231F20"/>
        </w:rPr>
        <w:t>entre</w:t>
      </w:r>
      <w:r>
        <w:rPr>
          <w:color w:val="231F20"/>
          <w:spacing w:val="-8"/>
        </w:rPr>
        <w:t> </w:t>
      </w:r>
      <w:r>
        <w:rPr>
          <w:color w:val="231F20"/>
        </w:rPr>
        <w:t>les</w:t>
      </w:r>
      <w:r>
        <w:rPr>
          <w:color w:val="231F20"/>
          <w:spacing w:val="-8"/>
        </w:rPr>
        <w:t> </w:t>
      </w:r>
      <w:r>
        <w:rPr>
          <w:color w:val="231F20"/>
        </w:rPr>
        <w:t>deux</w:t>
      </w:r>
      <w:r>
        <w:rPr>
          <w:color w:val="231F20"/>
          <w:spacing w:val="-8"/>
        </w:rPr>
        <w:t> </w:t>
      </w:r>
      <w:r>
        <w:rPr>
          <w:color w:val="231F20"/>
        </w:rPr>
        <w:t>nations.</w:t>
      </w:r>
    </w:p>
    <w:p>
      <w:pPr>
        <w:pStyle w:val="BodyText"/>
        <w:spacing w:before="138"/>
        <w:jc w:val="left"/>
      </w:pPr>
    </w:p>
    <w:p>
      <w:pPr>
        <w:pStyle w:val="Heading2"/>
        <w:spacing w:line="211" w:lineRule="auto"/>
        <w:ind w:right="154"/>
        <w:jc w:val="both"/>
      </w:pPr>
      <w:r>
        <w:rPr>
          <w:color w:val="1F4282"/>
          <w:w w:val="115"/>
        </w:rPr>
        <w:t>Opposition</w:t>
      </w:r>
      <w:r>
        <w:rPr>
          <w:color w:val="1F4282"/>
          <w:spacing w:val="-16"/>
          <w:w w:val="115"/>
        </w:rPr>
        <w:t> </w:t>
      </w:r>
      <w:r>
        <w:rPr>
          <w:color w:val="1F4282"/>
          <w:w w:val="115"/>
        </w:rPr>
        <w:t>de</w:t>
      </w:r>
      <w:r>
        <w:rPr>
          <w:color w:val="1F4282"/>
          <w:spacing w:val="-16"/>
          <w:w w:val="115"/>
        </w:rPr>
        <w:t> </w:t>
      </w:r>
      <w:r>
        <w:rPr>
          <w:color w:val="1F4282"/>
          <w:w w:val="115"/>
        </w:rPr>
        <w:t>la</w:t>
      </w:r>
      <w:r>
        <w:rPr>
          <w:color w:val="1F4282"/>
          <w:spacing w:val="-16"/>
          <w:w w:val="115"/>
        </w:rPr>
        <w:t> </w:t>
      </w:r>
      <w:r>
        <w:rPr>
          <w:color w:val="1F4282"/>
          <w:w w:val="115"/>
        </w:rPr>
        <w:t>communauté </w:t>
      </w:r>
      <w:r>
        <w:rPr>
          <w:color w:val="1F4282"/>
          <w:spacing w:val="-2"/>
          <w:w w:val="115"/>
        </w:rPr>
        <w:t>internationale</w:t>
      </w:r>
    </w:p>
    <w:p>
      <w:pPr>
        <w:pStyle w:val="BodyText"/>
        <w:spacing w:before="272"/>
        <w:ind w:left="1133" w:right="2"/>
      </w:pPr>
      <w:r>
        <w:rPr>
          <w:color w:val="231F20"/>
          <w:spacing w:val="-14"/>
        </w:rPr>
        <w:t>Les</w:t>
      </w:r>
      <w:r>
        <w:rPr>
          <w:color w:val="231F20"/>
          <w:spacing w:val="-2"/>
        </w:rPr>
        <w:t> </w:t>
      </w:r>
      <w:r>
        <w:rPr>
          <w:color w:val="231F20"/>
          <w:spacing w:val="-14"/>
        </w:rPr>
        <w:t>plus</w:t>
      </w:r>
      <w:r>
        <w:rPr>
          <w:color w:val="231F20"/>
          <w:spacing w:val="-2"/>
        </w:rPr>
        <w:t> </w:t>
      </w:r>
      <w:r>
        <w:rPr>
          <w:color w:val="231F20"/>
          <w:spacing w:val="-14"/>
        </w:rPr>
        <w:t>de</w:t>
      </w:r>
      <w:r>
        <w:rPr>
          <w:color w:val="231F20"/>
          <w:spacing w:val="-2"/>
        </w:rPr>
        <w:t> </w:t>
      </w:r>
      <w:r>
        <w:rPr>
          <w:color w:val="231F20"/>
          <w:spacing w:val="-14"/>
        </w:rPr>
        <w:t>1</w:t>
      </w:r>
      <w:r>
        <w:rPr>
          <w:color w:val="231F20"/>
          <w:spacing w:val="-2"/>
        </w:rPr>
        <w:t> </w:t>
      </w:r>
      <w:r>
        <w:rPr>
          <w:color w:val="231F20"/>
          <w:spacing w:val="-14"/>
        </w:rPr>
        <w:t>649</w:t>
      </w:r>
      <w:r>
        <w:rPr>
          <w:color w:val="231F20"/>
          <w:spacing w:val="-2"/>
        </w:rPr>
        <w:t> </w:t>
      </w:r>
      <w:r>
        <w:rPr>
          <w:color w:val="231F20"/>
          <w:spacing w:val="-14"/>
        </w:rPr>
        <w:t>associations</w:t>
      </w:r>
      <w:r>
        <w:rPr>
          <w:color w:val="231F20"/>
          <w:spacing w:val="-2"/>
        </w:rPr>
        <w:t> </w:t>
      </w:r>
      <w:r>
        <w:rPr>
          <w:color w:val="231F20"/>
          <w:spacing w:val="-14"/>
        </w:rPr>
        <w:t>d’amitié</w:t>
      </w:r>
      <w:r>
        <w:rPr>
          <w:color w:val="231F20"/>
          <w:spacing w:val="-2"/>
        </w:rPr>
        <w:t> </w:t>
      </w:r>
      <w:r>
        <w:rPr>
          <w:color w:val="231F20"/>
          <w:spacing w:val="-14"/>
        </w:rPr>
        <w:t>existant </w:t>
      </w:r>
      <w:r>
        <w:rPr>
          <w:color w:val="231F20"/>
          <w:spacing w:val="-10"/>
        </w:rPr>
        <w:t>dans</w:t>
      </w:r>
      <w:r>
        <w:rPr>
          <w:color w:val="231F20"/>
          <w:spacing w:val="-4"/>
        </w:rPr>
        <w:t> </w:t>
      </w:r>
      <w:r>
        <w:rPr>
          <w:color w:val="231F20"/>
          <w:spacing w:val="-10"/>
        </w:rPr>
        <w:t>150</w:t>
      </w:r>
      <w:r>
        <w:rPr>
          <w:color w:val="231F20"/>
          <w:spacing w:val="-4"/>
        </w:rPr>
        <w:t> </w:t>
      </w:r>
      <w:r>
        <w:rPr>
          <w:color w:val="231F20"/>
          <w:spacing w:val="-10"/>
        </w:rPr>
        <w:t>pays</w:t>
      </w:r>
      <w:r>
        <w:rPr>
          <w:color w:val="231F20"/>
          <w:spacing w:val="-4"/>
        </w:rPr>
        <w:t> </w:t>
      </w:r>
      <w:r>
        <w:rPr>
          <w:color w:val="231F20"/>
          <w:spacing w:val="-10"/>
        </w:rPr>
        <w:t>et</w:t>
      </w:r>
      <w:r>
        <w:rPr>
          <w:color w:val="231F20"/>
          <w:spacing w:val="-4"/>
        </w:rPr>
        <w:t> </w:t>
      </w:r>
      <w:r>
        <w:rPr>
          <w:color w:val="231F20"/>
          <w:spacing w:val="-10"/>
        </w:rPr>
        <w:t>les</w:t>
      </w:r>
      <w:r>
        <w:rPr>
          <w:color w:val="231F20"/>
          <w:spacing w:val="-4"/>
        </w:rPr>
        <w:t> </w:t>
      </w:r>
      <w:r>
        <w:rPr>
          <w:color w:val="231F20"/>
          <w:spacing w:val="-10"/>
        </w:rPr>
        <w:t>73</w:t>
      </w:r>
      <w:r>
        <w:rPr>
          <w:color w:val="231F20"/>
          <w:spacing w:val="-4"/>
        </w:rPr>
        <w:t> </w:t>
      </w:r>
      <w:r>
        <w:rPr>
          <w:color w:val="231F20"/>
          <w:spacing w:val="-10"/>
        </w:rPr>
        <w:t>groupes</w:t>
      </w:r>
      <w:r>
        <w:rPr>
          <w:color w:val="231F20"/>
          <w:spacing w:val="-4"/>
        </w:rPr>
        <w:t> </w:t>
      </w:r>
      <w:r>
        <w:rPr>
          <w:color w:val="231F20"/>
          <w:spacing w:val="-10"/>
        </w:rPr>
        <w:t>de</w:t>
      </w:r>
      <w:r>
        <w:rPr>
          <w:color w:val="231F20"/>
          <w:spacing w:val="-4"/>
        </w:rPr>
        <w:t> </w:t>
      </w:r>
      <w:r>
        <w:rPr>
          <w:color w:val="231F20"/>
          <w:spacing w:val="-10"/>
        </w:rPr>
        <w:t>diplômés </w:t>
      </w:r>
      <w:r>
        <w:rPr>
          <w:color w:val="231F20"/>
          <w:spacing w:val="-6"/>
        </w:rPr>
        <w:t>étrangers</w:t>
      </w:r>
      <w:r>
        <w:rPr>
          <w:color w:val="231F20"/>
          <w:spacing w:val="-11"/>
        </w:rPr>
        <w:t> </w:t>
      </w:r>
      <w:r>
        <w:rPr>
          <w:color w:val="231F20"/>
          <w:spacing w:val="-6"/>
        </w:rPr>
        <w:t>de</w:t>
      </w:r>
      <w:r>
        <w:rPr>
          <w:color w:val="231F20"/>
          <w:spacing w:val="-10"/>
        </w:rPr>
        <w:t> </w:t>
      </w:r>
      <w:r>
        <w:rPr>
          <w:color w:val="231F20"/>
          <w:spacing w:val="-6"/>
        </w:rPr>
        <w:t>l’enseignement</w:t>
      </w:r>
      <w:r>
        <w:rPr>
          <w:color w:val="231F20"/>
          <w:spacing w:val="-11"/>
        </w:rPr>
        <w:t> </w:t>
      </w:r>
      <w:r>
        <w:rPr>
          <w:color w:val="231F20"/>
          <w:spacing w:val="-6"/>
        </w:rPr>
        <w:t>cubain</w:t>
      </w:r>
      <w:r>
        <w:rPr>
          <w:color w:val="231F20"/>
          <w:spacing w:val="-10"/>
        </w:rPr>
        <w:t> </w:t>
      </w:r>
      <w:r>
        <w:rPr>
          <w:color w:val="231F20"/>
          <w:spacing w:val="-6"/>
        </w:rPr>
        <w:t>dans</w:t>
      </w:r>
      <w:r>
        <w:rPr>
          <w:color w:val="231F20"/>
          <w:spacing w:val="-11"/>
        </w:rPr>
        <w:t> </w:t>
      </w:r>
      <w:r>
        <w:rPr>
          <w:color w:val="231F20"/>
          <w:spacing w:val="-6"/>
        </w:rPr>
        <w:t>62 pays</w:t>
      </w:r>
      <w:r>
        <w:rPr>
          <w:color w:val="231F20"/>
          <w:spacing w:val="-10"/>
        </w:rPr>
        <w:t> </w:t>
      </w:r>
      <w:r>
        <w:rPr>
          <w:color w:val="231F20"/>
          <w:spacing w:val="-6"/>
        </w:rPr>
        <w:t>ont</w:t>
      </w:r>
      <w:r>
        <w:rPr>
          <w:color w:val="231F20"/>
          <w:spacing w:val="-9"/>
        </w:rPr>
        <w:t> </w:t>
      </w:r>
      <w:r>
        <w:rPr>
          <w:color w:val="231F20"/>
          <w:spacing w:val="-6"/>
        </w:rPr>
        <w:t>organisé</w:t>
      </w:r>
      <w:r>
        <w:rPr>
          <w:color w:val="231F20"/>
          <w:spacing w:val="-9"/>
        </w:rPr>
        <w:t> </w:t>
      </w:r>
      <w:r>
        <w:rPr>
          <w:color w:val="231F20"/>
          <w:spacing w:val="-6"/>
        </w:rPr>
        <w:t>en</w:t>
      </w:r>
      <w:r>
        <w:rPr>
          <w:color w:val="231F20"/>
          <w:spacing w:val="-9"/>
        </w:rPr>
        <w:t> </w:t>
      </w:r>
      <w:r>
        <w:rPr>
          <w:color w:val="231F20"/>
          <w:spacing w:val="-6"/>
        </w:rPr>
        <w:t>2022</w:t>
      </w:r>
      <w:r>
        <w:rPr>
          <w:color w:val="231F20"/>
          <w:spacing w:val="-9"/>
        </w:rPr>
        <w:t> </w:t>
      </w:r>
      <w:r>
        <w:rPr>
          <w:color w:val="231F20"/>
          <w:spacing w:val="-6"/>
        </w:rPr>
        <w:t>un</w:t>
      </w:r>
      <w:r>
        <w:rPr>
          <w:color w:val="231F20"/>
          <w:spacing w:val="-9"/>
        </w:rPr>
        <w:t> </w:t>
      </w:r>
      <w:r>
        <w:rPr>
          <w:color w:val="231F20"/>
          <w:spacing w:val="-6"/>
        </w:rPr>
        <w:t>total</w:t>
      </w:r>
      <w:r>
        <w:rPr>
          <w:color w:val="231F20"/>
          <w:spacing w:val="-10"/>
        </w:rPr>
        <w:t> </w:t>
      </w:r>
      <w:r>
        <w:rPr>
          <w:color w:val="231F20"/>
          <w:spacing w:val="-6"/>
        </w:rPr>
        <w:t>de</w:t>
      </w:r>
      <w:r>
        <w:rPr>
          <w:color w:val="231F20"/>
          <w:spacing w:val="-9"/>
        </w:rPr>
        <w:t> </w:t>
      </w:r>
      <w:r>
        <w:rPr>
          <w:color w:val="231F20"/>
          <w:spacing w:val="-6"/>
        </w:rPr>
        <w:t>7</w:t>
      </w:r>
      <w:r>
        <w:rPr>
          <w:color w:val="231F20"/>
          <w:spacing w:val="-9"/>
        </w:rPr>
        <w:t> </w:t>
      </w:r>
      <w:r>
        <w:rPr>
          <w:color w:val="231F20"/>
          <w:spacing w:val="-6"/>
        </w:rPr>
        <w:t>237 </w:t>
      </w:r>
      <w:r>
        <w:rPr>
          <w:color w:val="231F20"/>
        </w:rPr>
        <w:t>actions de solidarité et de rejet du blocus </w:t>
      </w:r>
      <w:r>
        <w:rPr>
          <w:color w:val="231F20"/>
          <w:spacing w:val="-8"/>
        </w:rPr>
        <w:t>tant directement que sur les réseaux sociaux, </w:t>
      </w:r>
      <w:r>
        <w:rPr>
          <w:color w:val="231F20"/>
        </w:rPr>
        <w:t>dont</w:t>
      </w:r>
      <w:r>
        <w:rPr>
          <w:color w:val="231F20"/>
          <w:spacing w:val="-17"/>
        </w:rPr>
        <w:t> </w:t>
      </w:r>
      <w:r>
        <w:rPr>
          <w:color w:val="231F20"/>
        </w:rPr>
        <w:t>des</w:t>
      </w:r>
      <w:r>
        <w:rPr>
          <w:color w:val="231F20"/>
          <w:spacing w:val="-16"/>
        </w:rPr>
        <w:t> </w:t>
      </w:r>
      <w:r>
        <w:rPr>
          <w:color w:val="231F20"/>
        </w:rPr>
        <w:t>déclarations</w:t>
      </w:r>
      <w:r>
        <w:rPr>
          <w:color w:val="231F20"/>
          <w:spacing w:val="-17"/>
        </w:rPr>
        <w:t> </w:t>
      </w:r>
      <w:r>
        <w:rPr>
          <w:color w:val="231F20"/>
        </w:rPr>
        <w:t>de</w:t>
      </w:r>
      <w:r>
        <w:rPr>
          <w:color w:val="231F20"/>
          <w:spacing w:val="-16"/>
        </w:rPr>
        <w:t> </w:t>
      </w:r>
      <w:r>
        <w:rPr>
          <w:color w:val="231F20"/>
        </w:rPr>
        <w:t>pers0nnalités,</w:t>
      </w:r>
      <w:r>
        <w:rPr>
          <w:color w:val="231F20"/>
          <w:spacing w:val="-17"/>
        </w:rPr>
        <w:t> </w:t>
      </w:r>
      <w:r>
        <w:rPr>
          <w:color w:val="231F20"/>
        </w:rPr>
        <w:t>de Cubains</w:t>
      </w:r>
      <w:r>
        <w:rPr>
          <w:color w:val="231F20"/>
          <w:spacing w:val="-3"/>
        </w:rPr>
        <w:t> </w:t>
      </w:r>
      <w:r>
        <w:rPr>
          <w:color w:val="231F20"/>
        </w:rPr>
        <w:t>vivant</w:t>
      </w:r>
      <w:r>
        <w:rPr>
          <w:color w:val="231F20"/>
          <w:spacing w:val="-3"/>
        </w:rPr>
        <w:t> </w:t>
      </w:r>
      <w:r>
        <w:rPr>
          <w:color w:val="231F20"/>
        </w:rPr>
        <w:t>à</w:t>
      </w:r>
      <w:r>
        <w:rPr>
          <w:color w:val="231F20"/>
          <w:spacing w:val="-3"/>
        </w:rPr>
        <w:t> </w:t>
      </w:r>
      <w:r>
        <w:rPr>
          <w:color w:val="231F20"/>
        </w:rPr>
        <w:t>l’étranger,</w:t>
      </w:r>
      <w:r>
        <w:rPr>
          <w:color w:val="231F20"/>
          <w:spacing w:val="-3"/>
        </w:rPr>
        <w:t> </w:t>
      </w:r>
      <w:r>
        <w:rPr>
          <w:color w:val="231F20"/>
        </w:rPr>
        <w:t>des</w:t>
      </w:r>
      <w:r>
        <w:rPr>
          <w:color w:val="231F20"/>
          <w:spacing w:val="-3"/>
        </w:rPr>
        <w:t> </w:t>
      </w:r>
      <w:r>
        <w:rPr>
          <w:color w:val="231F20"/>
        </w:rPr>
        <w:t>caravanes contre le blocus dans de nombreux pays, des</w:t>
      </w:r>
      <w:r>
        <w:rPr>
          <w:color w:val="231F20"/>
          <w:spacing w:val="-2"/>
        </w:rPr>
        <w:t> </w:t>
      </w:r>
      <w:r>
        <w:rPr>
          <w:color w:val="231F20"/>
        </w:rPr>
        <w:t>réunions</w:t>
      </w:r>
      <w:r>
        <w:rPr>
          <w:color w:val="231F20"/>
          <w:spacing w:val="-2"/>
        </w:rPr>
        <w:t> </w:t>
      </w:r>
      <w:r>
        <w:rPr>
          <w:color w:val="231F20"/>
        </w:rPr>
        <w:t>publiques,</w:t>
      </w:r>
      <w:r>
        <w:rPr>
          <w:color w:val="231F20"/>
          <w:spacing w:val="-2"/>
        </w:rPr>
        <w:t> </w:t>
      </w:r>
      <w:r>
        <w:rPr>
          <w:color w:val="231F20"/>
        </w:rPr>
        <w:t>des</w:t>
      </w:r>
      <w:r>
        <w:rPr>
          <w:color w:val="231F20"/>
          <w:spacing w:val="-2"/>
        </w:rPr>
        <w:t> </w:t>
      </w:r>
      <w:r>
        <w:rPr>
          <w:color w:val="231F20"/>
        </w:rPr>
        <w:t>interventions </w:t>
      </w:r>
      <w:r>
        <w:rPr>
          <w:color w:val="231F20"/>
          <w:spacing w:val="-8"/>
        </w:rPr>
        <w:t>dans</w:t>
      </w:r>
      <w:r>
        <w:rPr>
          <w:color w:val="231F20"/>
          <w:spacing w:val="-9"/>
        </w:rPr>
        <w:t> </w:t>
      </w:r>
      <w:r>
        <w:rPr>
          <w:color w:val="231F20"/>
          <w:spacing w:val="-8"/>
        </w:rPr>
        <w:t>des réunions</w:t>
      </w:r>
      <w:r>
        <w:rPr>
          <w:color w:val="231F20"/>
          <w:spacing w:val="-9"/>
        </w:rPr>
        <w:t> </w:t>
      </w:r>
      <w:r>
        <w:rPr>
          <w:color w:val="231F20"/>
          <w:spacing w:val="-8"/>
        </w:rPr>
        <w:t>internationales, des</w:t>
      </w:r>
      <w:r>
        <w:rPr>
          <w:color w:val="231F20"/>
          <w:spacing w:val="-9"/>
        </w:rPr>
        <w:t> </w:t>
      </w:r>
      <w:r>
        <w:rPr>
          <w:color w:val="231F20"/>
          <w:spacing w:val="-8"/>
        </w:rPr>
        <w:t>lettres </w:t>
      </w:r>
      <w:r>
        <w:rPr>
          <w:color w:val="231F20"/>
          <w:spacing w:val="-2"/>
        </w:rPr>
        <w:t>ouvertes</w:t>
      </w:r>
      <w:r>
        <w:rPr>
          <w:color w:val="231F20"/>
          <w:spacing w:val="-15"/>
        </w:rPr>
        <w:t> </w:t>
      </w:r>
      <w:r>
        <w:rPr>
          <w:color w:val="231F20"/>
          <w:spacing w:val="-2"/>
        </w:rPr>
        <w:t>et</w:t>
      </w:r>
      <w:r>
        <w:rPr>
          <w:color w:val="231F20"/>
          <w:spacing w:val="-15"/>
        </w:rPr>
        <w:t> </w:t>
      </w:r>
      <w:r>
        <w:rPr>
          <w:color w:val="231F20"/>
          <w:spacing w:val="-2"/>
        </w:rPr>
        <w:t>l’approbation</w:t>
      </w:r>
      <w:r>
        <w:rPr>
          <w:color w:val="231F20"/>
          <w:spacing w:val="-15"/>
        </w:rPr>
        <w:t> </w:t>
      </w:r>
      <w:r>
        <w:rPr>
          <w:color w:val="231F20"/>
          <w:spacing w:val="-2"/>
        </w:rPr>
        <w:t>de</w:t>
      </w:r>
      <w:r>
        <w:rPr>
          <w:color w:val="231F20"/>
          <w:spacing w:val="-15"/>
        </w:rPr>
        <w:t> </w:t>
      </w:r>
      <w:r>
        <w:rPr>
          <w:color w:val="231F20"/>
          <w:spacing w:val="-2"/>
        </w:rPr>
        <w:t>résolutions.</w:t>
      </w:r>
    </w:p>
    <w:p>
      <w:pPr>
        <w:pStyle w:val="BodyText"/>
        <w:spacing w:before="170"/>
        <w:ind w:left="1133" w:right="2"/>
      </w:pPr>
      <w:r>
        <w:rPr>
          <w:color w:val="231F20"/>
        </w:rPr>
        <w:t>Par ailleurs, on a dénombré plus de 400 </w:t>
      </w:r>
      <w:r>
        <w:rPr>
          <w:color w:val="231F20"/>
          <w:spacing w:val="-10"/>
        </w:rPr>
        <w:t>déclarations</w:t>
      </w:r>
      <w:r>
        <w:rPr>
          <w:color w:val="231F20"/>
          <w:spacing w:val="-7"/>
        </w:rPr>
        <w:t> </w:t>
      </w:r>
      <w:r>
        <w:rPr>
          <w:color w:val="231F20"/>
          <w:spacing w:val="-10"/>
        </w:rPr>
        <w:t>contre</w:t>
      </w:r>
      <w:r>
        <w:rPr>
          <w:color w:val="231F20"/>
          <w:spacing w:val="-6"/>
        </w:rPr>
        <w:t> </w:t>
      </w:r>
      <w:r>
        <w:rPr>
          <w:color w:val="231F20"/>
          <w:spacing w:val="-10"/>
        </w:rPr>
        <w:t>le</w:t>
      </w:r>
      <w:r>
        <w:rPr>
          <w:color w:val="231F20"/>
          <w:spacing w:val="-7"/>
        </w:rPr>
        <w:t> </w:t>
      </w:r>
      <w:r>
        <w:rPr>
          <w:color w:val="231F20"/>
          <w:spacing w:val="-10"/>
        </w:rPr>
        <w:t>Titre</w:t>
      </w:r>
      <w:r>
        <w:rPr>
          <w:color w:val="231F20"/>
          <w:spacing w:val="-6"/>
        </w:rPr>
        <w:t> </w:t>
      </w:r>
      <w:r>
        <w:rPr>
          <w:color w:val="231F20"/>
          <w:spacing w:val="-10"/>
        </w:rPr>
        <w:t>III</w:t>
      </w:r>
      <w:r>
        <w:rPr>
          <w:color w:val="231F20"/>
          <w:spacing w:val="-7"/>
        </w:rPr>
        <w:t> </w:t>
      </w:r>
      <w:r>
        <w:rPr>
          <w:color w:val="231F20"/>
          <w:spacing w:val="-10"/>
        </w:rPr>
        <w:t>de</w:t>
      </w:r>
      <w:r>
        <w:rPr>
          <w:color w:val="231F20"/>
          <w:spacing w:val="-6"/>
        </w:rPr>
        <w:t> </w:t>
      </w:r>
      <w:r>
        <w:rPr>
          <w:color w:val="231F20"/>
          <w:spacing w:val="-10"/>
        </w:rPr>
        <w:t>la</w:t>
      </w:r>
      <w:r>
        <w:rPr>
          <w:color w:val="231F20"/>
          <w:spacing w:val="-7"/>
        </w:rPr>
        <w:t> </w:t>
      </w:r>
      <w:r>
        <w:rPr>
          <w:color w:val="231F20"/>
          <w:spacing w:val="-10"/>
        </w:rPr>
        <w:t>Loi</w:t>
      </w:r>
      <w:r>
        <w:rPr>
          <w:color w:val="231F20"/>
          <w:spacing w:val="-6"/>
        </w:rPr>
        <w:t> </w:t>
      </w:r>
      <w:r>
        <w:rPr>
          <w:color w:val="231F20"/>
          <w:spacing w:val="-10"/>
        </w:rPr>
        <w:t>Helms- </w:t>
      </w:r>
      <w:r>
        <w:rPr>
          <w:color w:val="231F20"/>
          <w:spacing w:val="-4"/>
        </w:rPr>
        <w:t>Burton</w:t>
      </w:r>
      <w:r>
        <w:rPr>
          <w:color w:val="231F20"/>
          <w:spacing w:val="-13"/>
        </w:rPr>
        <w:t> </w:t>
      </w:r>
      <w:r>
        <w:rPr>
          <w:color w:val="231F20"/>
          <w:spacing w:val="-4"/>
        </w:rPr>
        <w:t>et</w:t>
      </w:r>
      <w:r>
        <w:rPr>
          <w:color w:val="231F20"/>
          <w:spacing w:val="-12"/>
        </w:rPr>
        <w:t> </w:t>
      </w:r>
      <w:r>
        <w:rPr>
          <w:color w:val="231F20"/>
          <w:spacing w:val="-4"/>
        </w:rPr>
        <w:t>l’inscription</w:t>
      </w:r>
      <w:r>
        <w:rPr>
          <w:color w:val="231F20"/>
          <w:spacing w:val="-13"/>
        </w:rPr>
        <w:t> </w:t>
      </w:r>
      <w:r>
        <w:rPr>
          <w:color w:val="231F20"/>
          <w:spacing w:val="-4"/>
        </w:rPr>
        <w:t>arbitraire</w:t>
      </w:r>
      <w:r>
        <w:rPr>
          <w:color w:val="231F20"/>
          <w:spacing w:val="-12"/>
        </w:rPr>
        <w:t> </w:t>
      </w:r>
      <w:r>
        <w:rPr>
          <w:color w:val="231F20"/>
          <w:spacing w:val="-4"/>
        </w:rPr>
        <w:t>de</w:t>
      </w:r>
      <w:r>
        <w:rPr>
          <w:color w:val="231F20"/>
          <w:spacing w:val="-13"/>
        </w:rPr>
        <w:t> </w:t>
      </w:r>
      <w:r>
        <w:rPr>
          <w:color w:val="231F20"/>
          <w:spacing w:val="-4"/>
        </w:rPr>
        <w:t>Cuba</w:t>
      </w:r>
      <w:r>
        <w:rPr>
          <w:color w:val="231F20"/>
          <w:spacing w:val="-12"/>
        </w:rPr>
        <w:t> </w:t>
      </w:r>
      <w:r>
        <w:rPr>
          <w:color w:val="231F20"/>
          <w:spacing w:val="-4"/>
        </w:rPr>
        <w:t>sur </w:t>
      </w:r>
      <w:r>
        <w:rPr>
          <w:color w:val="231F20"/>
          <w:spacing w:val="-8"/>
        </w:rPr>
        <w:t>la Liste des États censément commanditaires </w:t>
      </w:r>
      <w:r>
        <w:rPr>
          <w:color w:val="231F20"/>
        </w:rPr>
        <w:t>de</w:t>
      </w:r>
      <w:r>
        <w:rPr>
          <w:color w:val="231F20"/>
          <w:spacing w:val="-17"/>
        </w:rPr>
        <w:t> </w:t>
      </w:r>
      <w:r>
        <w:rPr>
          <w:color w:val="231F20"/>
        </w:rPr>
        <w:t>terrorisme</w:t>
      </w:r>
      <w:r>
        <w:rPr>
          <w:color w:val="231F20"/>
          <w:spacing w:val="-16"/>
        </w:rPr>
        <w:t> </w:t>
      </w:r>
      <w:r>
        <w:rPr>
          <w:color w:val="231F20"/>
        </w:rPr>
        <w:t>international.</w:t>
      </w:r>
    </w:p>
    <w:p>
      <w:pPr>
        <w:pStyle w:val="BodyText"/>
        <w:spacing w:before="77"/>
        <w:ind w:left="415" w:right="1471"/>
      </w:pPr>
      <w:r>
        <w:rPr/>
        <w:br w:type="column"/>
      </w:r>
      <w:r>
        <w:rPr>
          <w:color w:val="231F20"/>
          <w:spacing w:val="-4"/>
        </w:rPr>
        <w:t>Signalons</w:t>
      </w:r>
      <w:r>
        <w:rPr>
          <w:color w:val="231F20"/>
          <w:spacing w:val="-13"/>
        </w:rPr>
        <w:t> </w:t>
      </w:r>
      <w:r>
        <w:rPr>
          <w:color w:val="231F20"/>
          <w:spacing w:val="-4"/>
        </w:rPr>
        <w:t>les</w:t>
      </w:r>
      <w:r>
        <w:rPr>
          <w:color w:val="231F20"/>
          <w:spacing w:val="-12"/>
        </w:rPr>
        <w:t> </w:t>
      </w:r>
      <w:r>
        <w:rPr>
          <w:color w:val="231F20"/>
          <w:spacing w:val="-4"/>
        </w:rPr>
        <w:t>convocations</w:t>
      </w:r>
      <w:r>
        <w:rPr>
          <w:color w:val="231F20"/>
          <w:spacing w:val="-13"/>
        </w:rPr>
        <w:t> </w:t>
      </w:r>
      <w:r>
        <w:rPr>
          <w:color w:val="231F20"/>
          <w:spacing w:val="-4"/>
        </w:rPr>
        <w:t>de</w:t>
      </w:r>
      <w:r>
        <w:rPr>
          <w:color w:val="231F20"/>
          <w:spacing w:val="-12"/>
        </w:rPr>
        <w:t> </w:t>
      </w:r>
      <w:r>
        <w:rPr>
          <w:color w:val="231F20"/>
          <w:spacing w:val="-4"/>
        </w:rPr>
        <w:t>la</w:t>
      </w:r>
      <w:r>
        <w:rPr>
          <w:color w:val="231F20"/>
          <w:spacing w:val="-13"/>
        </w:rPr>
        <w:t> </w:t>
      </w:r>
      <w:r>
        <w:rPr>
          <w:color w:val="231F20"/>
          <w:spacing w:val="-4"/>
        </w:rPr>
        <w:t>Plateforme </w:t>
      </w:r>
      <w:r>
        <w:rPr>
          <w:color w:val="231F20"/>
        </w:rPr>
        <w:t>Puentes de Amor, du Réseau continental latino-américain et caribéen, d’Unblock Cuba,</w:t>
      </w:r>
      <w:r>
        <w:rPr>
          <w:color w:val="231F20"/>
          <w:spacing w:val="-4"/>
        </w:rPr>
        <w:t> </w:t>
      </w:r>
      <w:r>
        <w:rPr>
          <w:color w:val="231F20"/>
        </w:rPr>
        <w:t>l’initiative</w:t>
      </w:r>
      <w:r>
        <w:rPr>
          <w:color w:val="231F20"/>
          <w:spacing w:val="-4"/>
        </w:rPr>
        <w:t> </w:t>
      </w:r>
      <w:r>
        <w:rPr>
          <w:color w:val="231F20"/>
        </w:rPr>
        <w:t>«</w:t>
      </w:r>
      <w:r>
        <w:rPr>
          <w:color w:val="231F20"/>
          <w:spacing w:val="-4"/>
        </w:rPr>
        <w:t> </w:t>
      </w:r>
      <w:r>
        <w:rPr>
          <w:color w:val="231F20"/>
        </w:rPr>
        <w:t>D’Australie</w:t>
      </w:r>
      <w:r>
        <w:rPr>
          <w:color w:val="231F20"/>
          <w:spacing w:val="-4"/>
        </w:rPr>
        <w:t> </w:t>
      </w:r>
      <w:r>
        <w:rPr>
          <w:color w:val="231F20"/>
        </w:rPr>
        <w:t>à</w:t>
      </w:r>
      <w:r>
        <w:rPr>
          <w:color w:val="231F20"/>
          <w:spacing w:val="-4"/>
        </w:rPr>
        <w:t> </w:t>
      </w:r>
      <w:r>
        <w:rPr>
          <w:color w:val="231F20"/>
        </w:rPr>
        <w:t>Cuba</w:t>
      </w:r>
      <w:r>
        <w:rPr>
          <w:color w:val="231F20"/>
          <w:spacing w:val="-4"/>
        </w:rPr>
        <w:t> </w:t>
      </w:r>
      <w:r>
        <w:rPr>
          <w:color w:val="231F20"/>
        </w:rPr>
        <w:t>avec </w:t>
      </w:r>
      <w:r>
        <w:rPr>
          <w:color w:val="231F20"/>
          <w:spacing w:val="-2"/>
        </w:rPr>
        <w:t>Amour</w:t>
      </w:r>
      <w:r>
        <w:rPr>
          <w:color w:val="231F20"/>
          <w:spacing w:val="-14"/>
        </w:rPr>
        <w:t> </w:t>
      </w:r>
      <w:r>
        <w:rPr>
          <w:color w:val="231F20"/>
          <w:spacing w:val="-2"/>
        </w:rPr>
        <w:t>»</w:t>
      </w:r>
      <w:r>
        <w:rPr>
          <w:color w:val="231F20"/>
          <w:spacing w:val="-14"/>
        </w:rPr>
        <w:t> </w:t>
      </w:r>
      <w:r>
        <w:rPr>
          <w:color w:val="231F20"/>
          <w:spacing w:val="-2"/>
        </w:rPr>
        <w:t>et</w:t>
      </w:r>
      <w:r>
        <w:rPr>
          <w:color w:val="231F20"/>
          <w:spacing w:val="-14"/>
        </w:rPr>
        <w:t> </w:t>
      </w:r>
      <w:r>
        <w:rPr>
          <w:color w:val="231F20"/>
          <w:spacing w:val="-2"/>
        </w:rPr>
        <w:t>le</w:t>
      </w:r>
      <w:r>
        <w:rPr>
          <w:color w:val="231F20"/>
          <w:spacing w:val="-14"/>
        </w:rPr>
        <w:t> </w:t>
      </w:r>
      <w:r>
        <w:rPr>
          <w:color w:val="231F20"/>
          <w:spacing w:val="-2"/>
        </w:rPr>
        <w:t>Marathon</w:t>
      </w:r>
      <w:r>
        <w:rPr>
          <w:color w:val="231F20"/>
          <w:spacing w:val="-14"/>
        </w:rPr>
        <w:t> </w:t>
      </w:r>
      <w:r>
        <w:rPr>
          <w:color w:val="231F20"/>
          <w:spacing w:val="-2"/>
        </w:rPr>
        <w:t>médiatique</w:t>
      </w:r>
      <w:r>
        <w:rPr>
          <w:color w:val="231F20"/>
          <w:spacing w:val="-14"/>
        </w:rPr>
        <w:t> </w:t>
      </w:r>
      <w:r>
        <w:rPr>
          <w:color w:val="231F20"/>
          <w:spacing w:val="-2"/>
        </w:rPr>
        <w:t>contre </w:t>
      </w:r>
      <w:r>
        <w:rPr>
          <w:color w:val="231F20"/>
        </w:rPr>
        <w:t>le blocus organisé par la plateforme « L’Europe pour Cuba ».</w:t>
      </w:r>
    </w:p>
    <w:p>
      <w:pPr>
        <w:pStyle w:val="BodyText"/>
        <w:spacing w:before="165"/>
        <w:ind w:left="415" w:right="1480"/>
      </w:pPr>
      <w:r>
        <w:rPr>
          <w:color w:val="231F20"/>
        </w:rPr>
        <w:t>On trouvera ci-après quelques-uns des </w:t>
      </w:r>
      <w:r>
        <w:rPr>
          <w:color w:val="231F20"/>
          <w:spacing w:val="-4"/>
        </w:rPr>
        <w:t>actions</w:t>
      </w:r>
      <w:r>
        <w:rPr>
          <w:color w:val="231F20"/>
          <w:spacing w:val="-10"/>
        </w:rPr>
        <w:t> </w:t>
      </w:r>
      <w:r>
        <w:rPr>
          <w:color w:val="231F20"/>
          <w:spacing w:val="-4"/>
        </w:rPr>
        <w:t>internationales</w:t>
      </w:r>
      <w:r>
        <w:rPr>
          <w:color w:val="231F20"/>
          <w:spacing w:val="-10"/>
        </w:rPr>
        <w:t> </w:t>
      </w:r>
      <w:r>
        <w:rPr>
          <w:color w:val="231F20"/>
          <w:spacing w:val="-4"/>
        </w:rPr>
        <w:t>les</w:t>
      </w:r>
      <w:r>
        <w:rPr>
          <w:color w:val="231F20"/>
          <w:spacing w:val="-10"/>
        </w:rPr>
        <w:t> </w:t>
      </w:r>
      <w:r>
        <w:rPr>
          <w:color w:val="231F20"/>
          <w:spacing w:val="-4"/>
        </w:rPr>
        <w:t>plus</w:t>
      </w:r>
      <w:r>
        <w:rPr>
          <w:color w:val="231F20"/>
          <w:spacing w:val="-10"/>
        </w:rPr>
        <w:t> </w:t>
      </w:r>
      <w:r>
        <w:rPr>
          <w:color w:val="231F20"/>
          <w:spacing w:val="-4"/>
        </w:rPr>
        <w:t>importantes </w:t>
      </w:r>
      <w:r>
        <w:rPr>
          <w:color w:val="231F20"/>
        </w:rPr>
        <w:t>de</w:t>
      </w:r>
      <w:r>
        <w:rPr>
          <w:color w:val="231F20"/>
          <w:spacing w:val="-10"/>
        </w:rPr>
        <w:t> </w:t>
      </w:r>
      <w:r>
        <w:rPr>
          <w:color w:val="231F20"/>
        </w:rPr>
        <w:t>mars</w:t>
      </w:r>
      <w:r>
        <w:rPr>
          <w:color w:val="231F20"/>
          <w:spacing w:val="-10"/>
        </w:rPr>
        <w:t> </w:t>
      </w:r>
      <w:r>
        <w:rPr>
          <w:color w:val="231F20"/>
        </w:rPr>
        <w:t>2022</w:t>
      </w:r>
      <w:r>
        <w:rPr>
          <w:color w:val="231F20"/>
          <w:spacing w:val="-10"/>
        </w:rPr>
        <w:t> </w:t>
      </w:r>
      <w:r>
        <w:rPr>
          <w:color w:val="231F20"/>
        </w:rPr>
        <w:t>à</w:t>
      </w:r>
      <w:r>
        <w:rPr>
          <w:color w:val="231F20"/>
          <w:spacing w:val="-10"/>
        </w:rPr>
        <w:t> </w:t>
      </w:r>
      <w:r>
        <w:rPr>
          <w:color w:val="231F20"/>
        </w:rPr>
        <w:t>février</w:t>
      </w:r>
      <w:r>
        <w:rPr>
          <w:color w:val="231F20"/>
          <w:spacing w:val="-10"/>
        </w:rPr>
        <w:t> </w:t>
      </w:r>
      <w:r>
        <w:rPr>
          <w:color w:val="231F20"/>
        </w:rPr>
        <w:t>2023</w:t>
      </w:r>
      <w:r>
        <w:rPr>
          <w:color w:val="231F20"/>
          <w:spacing w:val="-10"/>
        </w:rPr>
        <w:t> </w:t>
      </w:r>
      <w:r>
        <w:rPr>
          <w:color w:val="231F20"/>
        </w:rPr>
        <w:t>:</w:t>
      </w:r>
    </w:p>
    <w:p>
      <w:pPr>
        <w:pStyle w:val="BodyText"/>
        <w:spacing w:before="163"/>
        <w:ind w:left="676" w:right="1475" w:hanging="261"/>
      </w:pPr>
      <w:r>
        <w:rPr>
          <w:position w:val="4"/>
        </w:rPr>
        <w:drawing>
          <wp:inline distT="0" distB="0" distL="0" distR="0">
            <wp:extent cx="59207" cy="59207"/>
            <wp:effectExtent l="0" t="0" r="0" b="0"/>
            <wp:docPr id="508" name="Image 508"/>
            <wp:cNvGraphicFramePr>
              <a:graphicFrameLocks/>
            </wp:cNvGraphicFramePr>
            <a:graphic>
              <a:graphicData uri="http://schemas.openxmlformats.org/drawingml/2006/picture">
                <pic:pic>
                  <pic:nvPicPr>
                    <pic:cNvPr id="508" name="Image 508"/>
                    <pic:cNvPicPr/>
                  </pic:nvPicPr>
                  <pic:blipFill>
                    <a:blip r:embed="rId7"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13"/>
          <w:sz w:val="20"/>
        </w:rPr>
        <w:t> </w:t>
      </w:r>
      <w:r>
        <w:rPr>
          <w:b/>
          <w:color w:val="1A4796"/>
          <w:spacing w:val="-6"/>
        </w:rPr>
        <w:t>6-8</w:t>
      </w:r>
      <w:r>
        <w:rPr>
          <w:b/>
          <w:color w:val="1A4796"/>
          <w:spacing w:val="-11"/>
        </w:rPr>
        <w:t> </w:t>
      </w:r>
      <w:r>
        <w:rPr>
          <w:b/>
          <w:color w:val="1A4796"/>
          <w:spacing w:val="-6"/>
        </w:rPr>
        <w:t>mai</w:t>
      </w:r>
      <w:r>
        <w:rPr>
          <w:b/>
          <w:color w:val="1A4796"/>
          <w:spacing w:val="-10"/>
        </w:rPr>
        <w:t> </w:t>
      </w:r>
      <w:r>
        <w:rPr>
          <w:b/>
          <w:color w:val="1A4796"/>
          <w:spacing w:val="-6"/>
        </w:rPr>
        <w:t>2022.</w:t>
      </w:r>
      <w:r>
        <w:rPr>
          <w:b/>
          <w:color w:val="1A4796"/>
          <w:spacing w:val="-11"/>
        </w:rPr>
        <w:t> </w:t>
      </w:r>
      <w:r>
        <w:rPr>
          <w:color w:val="231F20"/>
          <w:spacing w:val="-6"/>
        </w:rPr>
        <w:t>Le</w:t>
      </w:r>
      <w:r>
        <w:rPr>
          <w:color w:val="231F20"/>
          <w:spacing w:val="-10"/>
        </w:rPr>
        <w:t> </w:t>
      </w:r>
      <w:r>
        <w:rPr>
          <w:color w:val="231F20"/>
          <w:spacing w:val="-6"/>
        </w:rPr>
        <w:t>Dix-huitième</w:t>
      </w:r>
      <w:r>
        <w:rPr>
          <w:color w:val="231F20"/>
          <w:spacing w:val="-11"/>
        </w:rPr>
        <w:t> </w:t>
      </w:r>
      <w:r>
        <w:rPr>
          <w:color w:val="231F20"/>
          <w:spacing w:val="-6"/>
        </w:rPr>
        <w:t>Congrès</w:t>
      </w:r>
      <w:r>
        <w:rPr>
          <w:color w:val="231F20"/>
          <w:spacing w:val="-10"/>
        </w:rPr>
        <w:t> </w:t>
      </w:r>
      <w:r>
        <w:rPr>
          <w:color w:val="231F20"/>
          <w:spacing w:val="-6"/>
        </w:rPr>
        <w:t>de </w:t>
      </w:r>
      <w:r>
        <w:rPr>
          <w:color w:val="231F20"/>
          <w:spacing w:val="-4"/>
        </w:rPr>
        <w:t>la</w:t>
      </w:r>
      <w:r>
        <w:rPr>
          <w:color w:val="231F20"/>
          <w:spacing w:val="-8"/>
        </w:rPr>
        <w:t> </w:t>
      </w:r>
      <w:r>
        <w:rPr>
          <w:color w:val="231F20"/>
          <w:spacing w:val="-4"/>
        </w:rPr>
        <w:t>Fédération</w:t>
      </w:r>
      <w:r>
        <w:rPr>
          <w:color w:val="231F20"/>
          <w:spacing w:val="-8"/>
        </w:rPr>
        <w:t> </w:t>
      </w:r>
      <w:r>
        <w:rPr>
          <w:color w:val="231F20"/>
          <w:spacing w:val="-4"/>
        </w:rPr>
        <w:t>syndicale</w:t>
      </w:r>
      <w:r>
        <w:rPr>
          <w:color w:val="231F20"/>
          <w:spacing w:val="-8"/>
        </w:rPr>
        <w:t> </w:t>
      </w:r>
      <w:r>
        <w:rPr>
          <w:color w:val="231F20"/>
          <w:spacing w:val="-4"/>
        </w:rPr>
        <w:t>mondiale</w:t>
      </w:r>
      <w:r>
        <w:rPr>
          <w:color w:val="231F20"/>
          <w:spacing w:val="-8"/>
        </w:rPr>
        <w:t> </w:t>
      </w:r>
      <w:r>
        <w:rPr>
          <w:color w:val="231F20"/>
          <w:spacing w:val="-4"/>
        </w:rPr>
        <w:t>(Rome) </w:t>
      </w:r>
      <w:r>
        <w:rPr>
          <w:color w:val="231F20"/>
        </w:rPr>
        <w:t>adopte une résolution appuyant Cuba, </w:t>
      </w:r>
      <w:r>
        <w:rPr>
          <w:color w:val="231F20"/>
          <w:spacing w:val="-4"/>
        </w:rPr>
        <w:t>dénonçant</w:t>
      </w:r>
      <w:r>
        <w:rPr>
          <w:color w:val="231F20"/>
          <w:spacing w:val="-9"/>
        </w:rPr>
        <w:t> </w:t>
      </w:r>
      <w:r>
        <w:rPr>
          <w:color w:val="231F20"/>
          <w:spacing w:val="-4"/>
        </w:rPr>
        <w:t>le</w:t>
      </w:r>
      <w:r>
        <w:rPr>
          <w:color w:val="231F20"/>
          <w:spacing w:val="-9"/>
        </w:rPr>
        <w:t> </w:t>
      </w:r>
      <w:r>
        <w:rPr>
          <w:color w:val="231F20"/>
          <w:spacing w:val="-4"/>
        </w:rPr>
        <w:t>blocus</w:t>
      </w:r>
      <w:r>
        <w:rPr>
          <w:color w:val="231F20"/>
          <w:spacing w:val="-9"/>
        </w:rPr>
        <w:t> </w:t>
      </w:r>
      <w:r>
        <w:rPr>
          <w:color w:val="231F20"/>
          <w:spacing w:val="-4"/>
        </w:rPr>
        <w:t>et</w:t>
      </w:r>
      <w:r>
        <w:rPr>
          <w:color w:val="231F20"/>
          <w:spacing w:val="-9"/>
        </w:rPr>
        <w:t> </w:t>
      </w:r>
      <w:r>
        <w:rPr>
          <w:color w:val="231F20"/>
          <w:spacing w:val="-4"/>
        </w:rPr>
        <w:t>l’inscription</w:t>
      </w:r>
      <w:r>
        <w:rPr>
          <w:color w:val="231F20"/>
          <w:spacing w:val="-9"/>
        </w:rPr>
        <w:t> </w:t>
      </w:r>
      <w:r>
        <w:rPr>
          <w:color w:val="231F20"/>
          <w:spacing w:val="-4"/>
        </w:rPr>
        <w:t>sur</w:t>
      </w:r>
      <w:r>
        <w:rPr>
          <w:color w:val="231F20"/>
          <w:spacing w:val="-9"/>
        </w:rPr>
        <w:t> </w:t>
      </w:r>
      <w:r>
        <w:rPr>
          <w:color w:val="231F20"/>
          <w:spacing w:val="-4"/>
        </w:rPr>
        <w:t>la </w:t>
      </w:r>
      <w:r>
        <w:rPr>
          <w:color w:val="231F20"/>
          <w:spacing w:val="-8"/>
        </w:rPr>
        <w:t>Liste</w:t>
      </w:r>
      <w:r>
        <w:rPr>
          <w:color w:val="231F20"/>
          <w:spacing w:val="-9"/>
        </w:rPr>
        <w:t> </w:t>
      </w:r>
      <w:r>
        <w:rPr>
          <w:color w:val="231F20"/>
          <w:spacing w:val="-8"/>
        </w:rPr>
        <w:t>des États</w:t>
      </w:r>
      <w:r>
        <w:rPr>
          <w:color w:val="231F20"/>
          <w:spacing w:val="-9"/>
        </w:rPr>
        <w:t> </w:t>
      </w:r>
      <w:r>
        <w:rPr>
          <w:color w:val="231F20"/>
          <w:spacing w:val="-8"/>
        </w:rPr>
        <w:t>censément commanditaires </w:t>
      </w:r>
      <w:r>
        <w:rPr>
          <w:color w:val="231F20"/>
        </w:rPr>
        <w:t>de terrorisme international.</w:t>
      </w:r>
    </w:p>
    <w:p>
      <w:pPr>
        <w:pStyle w:val="BodyText"/>
        <w:spacing w:before="164"/>
        <w:ind w:left="676" w:right="1474" w:hanging="261"/>
      </w:pPr>
      <w:r>
        <w:rPr>
          <w:position w:val="3"/>
        </w:rPr>
        <w:drawing>
          <wp:inline distT="0" distB="0" distL="0" distR="0">
            <wp:extent cx="59207" cy="59207"/>
            <wp:effectExtent l="0" t="0" r="0" b="0"/>
            <wp:docPr id="509" name="Image 509"/>
            <wp:cNvGraphicFramePr>
              <a:graphicFrameLocks/>
            </wp:cNvGraphicFramePr>
            <a:graphic>
              <a:graphicData uri="http://schemas.openxmlformats.org/drawingml/2006/picture">
                <pic:pic>
                  <pic:nvPicPr>
                    <pic:cNvPr id="509" name="Image 509"/>
                    <pic:cNvPicPr/>
                  </pic:nvPicPr>
                  <pic:blipFill>
                    <a:blip r:embed="rId10" cstate="print"/>
                    <a:stretch>
                      <a:fillRect/>
                    </a:stretch>
                  </pic:blipFill>
                  <pic:spPr>
                    <a:xfrm>
                      <a:off x="0" y="0"/>
                      <a:ext cx="59207" cy="59207"/>
                    </a:xfrm>
                    <a:prstGeom prst="rect">
                      <a:avLst/>
                    </a:prstGeom>
                  </pic:spPr>
                </pic:pic>
              </a:graphicData>
            </a:graphic>
          </wp:inline>
        </w:drawing>
      </w:r>
      <w:r>
        <w:rPr>
          <w:position w:val="3"/>
        </w:rPr>
      </w:r>
      <w:r>
        <w:rPr>
          <w:rFonts w:ascii="Times New Roman" w:hAnsi="Times New Roman"/>
          <w:spacing w:val="-9"/>
          <w:sz w:val="20"/>
        </w:rPr>
        <w:t> </w:t>
      </w:r>
      <w:r>
        <w:rPr>
          <w:b/>
          <w:color w:val="1A4796"/>
          <w:spacing w:val="-4"/>
        </w:rPr>
        <w:t>18</w:t>
      </w:r>
      <w:r>
        <w:rPr>
          <w:b/>
          <w:color w:val="1A4796"/>
          <w:spacing w:val="-12"/>
        </w:rPr>
        <w:t> </w:t>
      </w:r>
      <w:r>
        <w:rPr>
          <w:b/>
          <w:color w:val="1A4796"/>
          <w:spacing w:val="-4"/>
        </w:rPr>
        <w:t>mai</w:t>
      </w:r>
      <w:r>
        <w:rPr>
          <w:b/>
          <w:color w:val="1A4796"/>
          <w:spacing w:val="-13"/>
        </w:rPr>
        <w:t> </w:t>
      </w:r>
      <w:r>
        <w:rPr>
          <w:b/>
          <w:color w:val="1A4796"/>
          <w:spacing w:val="-4"/>
        </w:rPr>
        <w:t>2022.</w:t>
      </w:r>
      <w:r>
        <w:rPr>
          <w:b/>
          <w:color w:val="1A4796"/>
          <w:spacing w:val="-12"/>
        </w:rPr>
        <w:t> </w:t>
      </w:r>
      <w:r>
        <w:rPr>
          <w:color w:val="231F20"/>
          <w:spacing w:val="-4"/>
        </w:rPr>
        <w:t>La</w:t>
      </w:r>
      <w:r>
        <w:rPr>
          <w:color w:val="231F20"/>
          <w:spacing w:val="-13"/>
        </w:rPr>
        <w:t> </w:t>
      </w:r>
      <w:r>
        <w:rPr>
          <w:color w:val="231F20"/>
          <w:spacing w:val="-4"/>
        </w:rPr>
        <w:t>Vingt-cinquième</w:t>
      </w:r>
      <w:r>
        <w:rPr>
          <w:color w:val="231F20"/>
          <w:spacing w:val="-12"/>
        </w:rPr>
        <w:t> </w:t>
      </w:r>
      <w:r>
        <w:rPr>
          <w:color w:val="231F20"/>
          <w:spacing w:val="-4"/>
        </w:rPr>
        <w:t>réunion </w:t>
      </w:r>
      <w:r>
        <w:rPr>
          <w:color w:val="231F20"/>
        </w:rPr>
        <w:t>du Conseil des relations extérieures et communautaires de la Communauté des Caraïbes (CARICOM) condamne de nouveau</w:t>
      </w:r>
      <w:r>
        <w:rPr>
          <w:color w:val="231F20"/>
          <w:spacing w:val="-5"/>
        </w:rPr>
        <w:t> </w:t>
      </w:r>
      <w:r>
        <w:rPr>
          <w:color w:val="231F20"/>
        </w:rPr>
        <w:t>le</w:t>
      </w:r>
      <w:r>
        <w:rPr>
          <w:color w:val="231F20"/>
          <w:spacing w:val="-5"/>
        </w:rPr>
        <w:t> </w:t>
      </w:r>
      <w:r>
        <w:rPr>
          <w:color w:val="231F20"/>
        </w:rPr>
        <w:t>blocus</w:t>
      </w:r>
      <w:r>
        <w:rPr>
          <w:color w:val="231F20"/>
          <w:spacing w:val="-5"/>
        </w:rPr>
        <w:t> </w:t>
      </w:r>
      <w:r>
        <w:rPr>
          <w:color w:val="231F20"/>
        </w:rPr>
        <w:t>imposé</w:t>
      </w:r>
      <w:r>
        <w:rPr>
          <w:color w:val="231F20"/>
          <w:spacing w:val="-5"/>
        </w:rPr>
        <w:t> </w:t>
      </w:r>
      <w:r>
        <w:rPr>
          <w:color w:val="231F20"/>
        </w:rPr>
        <w:t>à</w:t>
      </w:r>
      <w:r>
        <w:rPr>
          <w:color w:val="231F20"/>
          <w:spacing w:val="-5"/>
        </w:rPr>
        <w:t> </w:t>
      </w:r>
      <w:r>
        <w:rPr>
          <w:color w:val="231F20"/>
        </w:rPr>
        <w:t>Cuba</w:t>
      </w:r>
      <w:r>
        <w:rPr>
          <w:color w:val="231F20"/>
          <w:spacing w:val="-5"/>
        </w:rPr>
        <w:t> </w:t>
      </w:r>
      <w:r>
        <w:rPr>
          <w:color w:val="231F20"/>
        </w:rPr>
        <w:t>et</w:t>
      </w:r>
      <w:r>
        <w:rPr>
          <w:color w:val="231F20"/>
          <w:spacing w:val="-5"/>
        </w:rPr>
        <w:t> </w:t>
      </w:r>
      <w:r>
        <w:rPr>
          <w:color w:val="231F20"/>
        </w:rPr>
        <w:t>en demande la levée immédiate.</w:t>
      </w:r>
    </w:p>
    <w:p>
      <w:pPr>
        <w:pStyle w:val="BodyText"/>
        <w:spacing w:before="165"/>
        <w:ind w:left="676" w:right="1480"/>
      </w:pPr>
      <w:r>
        <w:rPr/>
        <mc:AlternateContent>
          <mc:Choice Requires="wps">
            <w:drawing>
              <wp:anchor distT="0" distB="0" distL="0" distR="0" allowOverlap="1" layoutInCell="1" locked="0" behindDoc="0" simplePos="0" relativeHeight="15840256">
                <wp:simplePos x="0" y="0"/>
                <wp:positionH relativeFrom="page">
                  <wp:posOffset>3815998</wp:posOffset>
                </wp:positionH>
                <wp:positionV relativeFrom="paragraph">
                  <wp:posOffset>188997</wp:posOffset>
                </wp:positionV>
                <wp:extent cx="59690" cy="59690"/>
                <wp:effectExtent l="0" t="0" r="0" b="0"/>
                <wp:wrapNone/>
                <wp:docPr id="510" name="Graphic 510"/>
                <wp:cNvGraphicFramePr>
                  <a:graphicFrameLocks/>
                </wp:cNvGraphicFramePr>
                <a:graphic>
                  <a:graphicData uri="http://schemas.microsoft.com/office/word/2010/wordprocessingShape">
                    <wps:wsp>
                      <wps:cNvPr id="510" name="Graphic 51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881675pt;width:4.7pt;height:4.7pt;mso-position-horizontal-relative:page;mso-position-vertical-relative:paragraph;z-index:15840256" id="docshape398" coordorigin="6009,298" coordsize="94,94" path="m6056,298l6038,301,6023,311,6013,326,6009,344,6013,362,6023,377,6038,387,6056,391,6074,387,6089,377,6099,362,6103,344,6099,326,6089,311,6074,301,6056,298xe" filled="true" fillcolor="#1a4796" stroked="false">
                <v:path arrowok="t"/>
                <v:fill type="solid"/>
                <w10:wrap type="none"/>
              </v:shape>
            </w:pict>
          </mc:Fallback>
        </mc:AlternateContent>
      </w:r>
      <w:r>
        <w:rPr>
          <w:b/>
          <w:color w:val="1A4796"/>
        </w:rPr>
        <w:t>27 mai 2022. </w:t>
      </w:r>
      <w:r>
        <w:rPr>
          <w:color w:val="231F20"/>
        </w:rPr>
        <w:t>À leur Vingt-et-unième </w:t>
      </w:r>
      <w:r>
        <w:rPr>
          <w:color w:val="231F20"/>
          <w:spacing w:val="-14"/>
        </w:rPr>
        <w:t>Sommet</w:t>
      </w:r>
      <w:r>
        <w:rPr>
          <w:color w:val="231F20"/>
        </w:rPr>
        <w:t> </w:t>
      </w:r>
      <w:r>
        <w:rPr>
          <w:color w:val="231F20"/>
          <w:spacing w:val="-14"/>
        </w:rPr>
        <w:t>à</w:t>
      </w:r>
      <w:r>
        <w:rPr>
          <w:color w:val="231F20"/>
        </w:rPr>
        <w:t> </w:t>
      </w:r>
      <w:r>
        <w:rPr>
          <w:color w:val="231F20"/>
          <w:spacing w:val="-14"/>
        </w:rPr>
        <w:t>La</w:t>
      </w:r>
      <w:r>
        <w:rPr>
          <w:color w:val="231F20"/>
        </w:rPr>
        <w:t> </w:t>
      </w:r>
      <w:r>
        <w:rPr>
          <w:color w:val="231F20"/>
          <w:spacing w:val="-14"/>
        </w:rPr>
        <w:t>Havane,</w:t>
      </w:r>
      <w:r>
        <w:rPr>
          <w:color w:val="231F20"/>
        </w:rPr>
        <w:t> </w:t>
      </w:r>
      <w:r>
        <w:rPr>
          <w:color w:val="231F20"/>
          <w:spacing w:val="-14"/>
        </w:rPr>
        <w:t>les</w:t>
      </w:r>
      <w:r>
        <w:rPr>
          <w:color w:val="231F20"/>
        </w:rPr>
        <w:t> </w:t>
      </w:r>
      <w:r>
        <w:rPr>
          <w:color w:val="231F20"/>
          <w:spacing w:val="-14"/>
        </w:rPr>
        <w:t>chefs</w:t>
      </w:r>
      <w:r>
        <w:rPr>
          <w:color w:val="231F20"/>
        </w:rPr>
        <w:t> </w:t>
      </w:r>
      <w:r>
        <w:rPr>
          <w:color w:val="231F20"/>
          <w:spacing w:val="-14"/>
        </w:rPr>
        <w:t>d’État</w:t>
      </w:r>
      <w:r>
        <w:rPr>
          <w:color w:val="231F20"/>
        </w:rPr>
        <w:t> </w:t>
      </w:r>
      <w:r>
        <w:rPr>
          <w:color w:val="231F20"/>
          <w:spacing w:val="-14"/>
        </w:rPr>
        <w:t>ou</w:t>
      </w:r>
      <w:r>
        <w:rPr>
          <w:color w:val="231F20"/>
        </w:rPr>
        <w:t> </w:t>
      </w:r>
      <w:r>
        <w:rPr>
          <w:color w:val="231F20"/>
          <w:spacing w:val="-14"/>
        </w:rPr>
        <w:t>de </w:t>
      </w:r>
      <w:r>
        <w:rPr>
          <w:color w:val="231F20"/>
          <w:spacing w:val="-6"/>
        </w:rPr>
        <w:t>gouvernement</w:t>
      </w:r>
      <w:r>
        <w:rPr>
          <w:color w:val="231F20"/>
          <w:spacing w:val="-6"/>
        </w:rPr>
        <w:t> de</w:t>
      </w:r>
      <w:r>
        <w:rPr>
          <w:color w:val="231F20"/>
          <w:spacing w:val="-6"/>
        </w:rPr>
        <w:t> l’Alliance</w:t>
      </w:r>
      <w:r>
        <w:rPr>
          <w:color w:val="231F20"/>
          <w:spacing w:val="-6"/>
        </w:rPr>
        <w:t> bolivariennes </w:t>
      </w:r>
      <w:r>
        <w:rPr>
          <w:color w:val="231F20"/>
        </w:rPr>
        <w:t>des</w:t>
      </w:r>
      <w:r>
        <w:rPr>
          <w:color w:val="231F20"/>
          <w:spacing w:val="-17"/>
        </w:rPr>
        <w:t> </w:t>
      </w:r>
      <w:r>
        <w:rPr>
          <w:color w:val="231F20"/>
        </w:rPr>
        <w:t>peuples</w:t>
      </w:r>
      <w:r>
        <w:rPr>
          <w:color w:val="231F20"/>
          <w:spacing w:val="-16"/>
        </w:rPr>
        <w:t> </w:t>
      </w:r>
      <w:r>
        <w:rPr>
          <w:color w:val="231F20"/>
        </w:rPr>
        <w:t>de</w:t>
      </w:r>
      <w:r>
        <w:rPr>
          <w:color w:val="231F20"/>
          <w:spacing w:val="-17"/>
        </w:rPr>
        <w:t> </w:t>
      </w:r>
      <w:r>
        <w:rPr>
          <w:color w:val="231F20"/>
        </w:rPr>
        <w:t>Notre</w:t>
      </w:r>
      <w:r>
        <w:rPr>
          <w:color w:val="231F20"/>
          <w:spacing w:val="-16"/>
        </w:rPr>
        <w:t> </w:t>
      </w:r>
      <w:r>
        <w:rPr>
          <w:color w:val="231F20"/>
        </w:rPr>
        <w:t>Amérique</w:t>
      </w:r>
      <w:r>
        <w:rPr>
          <w:color w:val="231F20"/>
          <w:spacing w:val="-16"/>
        </w:rPr>
        <w:t> </w:t>
      </w:r>
      <w:r>
        <w:rPr>
          <w:color w:val="231F20"/>
        </w:rPr>
        <w:t>–</w:t>
      </w:r>
      <w:r>
        <w:rPr>
          <w:color w:val="231F20"/>
          <w:spacing w:val="-17"/>
        </w:rPr>
        <w:t> </w:t>
      </w:r>
      <w:r>
        <w:rPr>
          <w:color w:val="231F20"/>
        </w:rPr>
        <w:t>Traité de commerce des peuples (ALBA-TCP) </w:t>
      </w:r>
      <w:r>
        <w:rPr>
          <w:color w:val="231F20"/>
          <w:spacing w:val="-4"/>
        </w:rPr>
        <w:t>adoptent</w:t>
      </w:r>
      <w:r>
        <w:rPr>
          <w:color w:val="231F20"/>
          <w:spacing w:val="-8"/>
        </w:rPr>
        <w:t> </w:t>
      </w:r>
      <w:r>
        <w:rPr>
          <w:color w:val="231F20"/>
          <w:spacing w:val="-4"/>
        </w:rPr>
        <w:t>une</w:t>
      </w:r>
      <w:r>
        <w:rPr>
          <w:color w:val="231F20"/>
          <w:spacing w:val="-8"/>
        </w:rPr>
        <w:t> </w:t>
      </w:r>
      <w:r>
        <w:rPr>
          <w:color w:val="231F20"/>
          <w:spacing w:val="-4"/>
        </w:rPr>
        <w:t>résolution</w:t>
      </w:r>
      <w:r>
        <w:rPr>
          <w:color w:val="231F20"/>
          <w:spacing w:val="-8"/>
        </w:rPr>
        <w:t> </w:t>
      </w:r>
      <w:r>
        <w:rPr>
          <w:color w:val="231F20"/>
          <w:spacing w:val="-4"/>
        </w:rPr>
        <w:t>dans</w:t>
      </w:r>
      <w:r>
        <w:rPr>
          <w:color w:val="231F20"/>
          <w:spacing w:val="-8"/>
        </w:rPr>
        <w:t> </w:t>
      </w:r>
      <w:r>
        <w:rPr>
          <w:color w:val="231F20"/>
          <w:spacing w:val="-4"/>
        </w:rPr>
        <w:t>laquelle</w:t>
      </w:r>
      <w:r>
        <w:rPr>
          <w:color w:val="231F20"/>
          <w:spacing w:val="-8"/>
        </w:rPr>
        <w:t> </w:t>
      </w:r>
      <w:r>
        <w:rPr>
          <w:color w:val="231F20"/>
          <w:spacing w:val="-4"/>
        </w:rPr>
        <w:t>ils </w:t>
      </w:r>
      <w:r>
        <w:rPr>
          <w:color w:val="231F20"/>
          <w:spacing w:val="-12"/>
        </w:rPr>
        <w:t>rejettent</w:t>
      </w:r>
      <w:r>
        <w:rPr>
          <w:color w:val="231F20"/>
          <w:spacing w:val="-5"/>
        </w:rPr>
        <w:t> </w:t>
      </w:r>
      <w:r>
        <w:rPr>
          <w:color w:val="231F20"/>
          <w:spacing w:val="-12"/>
        </w:rPr>
        <w:t>les</w:t>
      </w:r>
      <w:r>
        <w:rPr>
          <w:color w:val="231F20"/>
          <w:spacing w:val="-4"/>
        </w:rPr>
        <w:t> </w:t>
      </w:r>
      <w:r>
        <w:rPr>
          <w:color w:val="231F20"/>
          <w:spacing w:val="-12"/>
        </w:rPr>
        <w:t>mesures</w:t>
      </w:r>
      <w:r>
        <w:rPr>
          <w:color w:val="231F20"/>
          <w:spacing w:val="-5"/>
        </w:rPr>
        <w:t> </w:t>
      </w:r>
      <w:r>
        <w:rPr>
          <w:color w:val="231F20"/>
          <w:spacing w:val="-12"/>
        </w:rPr>
        <w:t>coercitives</w:t>
      </w:r>
      <w:r>
        <w:rPr>
          <w:color w:val="231F20"/>
          <w:spacing w:val="-4"/>
        </w:rPr>
        <w:t> </w:t>
      </w:r>
      <w:r>
        <w:rPr>
          <w:color w:val="231F20"/>
          <w:spacing w:val="-12"/>
        </w:rPr>
        <w:t>unilatérales </w:t>
      </w:r>
      <w:r>
        <w:rPr>
          <w:color w:val="231F20"/>
          <w:spacing w:val="-14"/>
        </w:rPr>
        <w:t>imposées</w:t>
      </w:r>
      <w:r>
        <w:rPr>
          <w:color w:val="231F20"/>
          <w:spacing w:val="-3"/>
        </w:rPr>
        <w:t> </w:t>
      </w:r>
      <w:r>
        <w:rPr>
          <w:color w:val="231F20"/>
          <w:spacing w:val="-14"/>
        </w:rPr>
        <w:t>au</w:t>
      </w:r>
      <w:r>
        <w:rPr>
          <w:color w:val="231F20"/>
          <w:spacing w:val="-2"/>
        </w:rPr>
        <w:t> </w:t>
      </w:r>
      <w:r>
        <w:rPr>
          <w:color w:val="231F20"/>
          <w:spacing w:val="-14"/>
        </w:rPr>
        <w:t>Venezuela</w:t>
      </w:r>
      <w:r>
        <w:rPr>
          <w:color w:val="231F20"/>
          <w:spacing w:val="-3"/>
        </w:rPr>
        <w:t> </w:t>
      </w:r>
      <w:r>
        <w:rPr>
          <w:color w:val="231F20"/>
          <w:spacing w:val="-14"/>
        </w:rPr>
        <w:t>et</w:t>
      </w:r>
      <w:r>
        <w:rPr>
          <w:color w:val="231F20"/>
          <w:spacing w:val="-2"/>
        </w:rPr>
        <w:t> </w:t>
      </w:r>
      <w:r>
        <w:rPr>
          <w:color w:val="231F20"/>
          <w:spacing w:val="-14"/>
        </w:rPr>
        <w:t>au</w:t>
      </w:r>
      <w:r>
        <w:rPr>
          <w:color w:val="231F20"/>
          <w:spacing w:val="-3"/>
        </w:rPr>
        <w:t> </w:t>
      </w:r>
      <w:r>
        <w:rPr>
          <w:color w:val="231F20"/>
          <w:spacing w:val="-14"/>
        </w:rPr>
        <w:t>Nicaragua</w:t>
      </w:r>
      <w:r>
        <w:rPr>
          <w:color w:val="231F20"/>
          <w:spacing w:val="-2"/>
        </w:rPr>
        <w:t> </w:t>
      </w:r>
      <w:r>
        <w:rPr>
          <w:color w:val="231F20"/>
          <w:spacing w:val="-14"/>
        </w:rPr>
        <w:t>par </w:t>
      </w:r>
      <w:r>
        <w:rPr>
          <w:color w:val="231F20"/>
          <w:spacing w:val="-4"/>
        </w:rPr>
        <w:t>l’administration</w:t>
      </w:r>
      <w:r>
        <w:rPr>
          <w:color w:val="231F20"/>
          <w:spacing w:val="-12"/>
        </w:rPr>
        <w:t> </w:t>
      </w:r>
      <w:r>
        <w:rPr>
          <w:color w:val="231F20"/>
          <w:spacing w:val="-4"/>
        </w:rPr>
        <w:t>étasunienne,</w:t>
      </w:r>
      <w:r>
        <w:rPr>
          <w:color w:val="231F20"/>
          <w:spacing w:val="-12"/>
        </w:rPr>
        <w:t> </w:t>
      </w:r>
      <w:r>
        <w:rPr>
          <w:color w:val="231F20"/>
          <w:spacing w:val="-4"/>
        </w:rPr>
        <w:t>et</w:t>
      </w:r>
      <w:r>
        <w:rPr>
          <w:color w:val="231F20"/>
          <w:spacing w:val="-12"/>
        </w:rPr>
        <w:t> </w:t>
      </w:r>
      <w:r>
        <w:rPr>
          <w:color w:val="231F20"/>
          <w:spacing w:val="-4"/>
        </w:rPr>
        <w:t>le</w:t>
      </w:r>
      <w:r>
        <w:rPr>
          <w:color w:val="231F20"/>
          <w:spacing w:val="-12"/>
        </w:rPr>
        <w:t> </w:t>
      </w:r>
      <w:r>
        <w:rPr>
          <w:color w:val="231F20"/>
          <w:spacing w:val="-4"/>
        </w:rPr>
        <w:t>blocus </w:t>
      </w:r>
      <w:r>
        <w:rPr>
          <w:color w:val="231F20"/>
        </w:rPr>
        <w:t>économique, commercial et financier </w:t>
      </w:r>
      <w:r>
        <w:rPr>
          <w:color w:val="231F20"/>
          <w:spacing w:val="-12"/>
        </w:rPr>
        <w:t>appliqué</w:t>
      </w:r>
      <w:r>
        <w:rPr>
          <w:color w:val="231F20"/>
          <w:spacing w:val="-3"/>
        </w:rPr>
        <w:t> </w:t>
      </w:r>
      <w:r>
        <w:rPr>
          <w:color w:val="231F20"/>
          <w:spacing w:val="-12"/>
        </w:rPr>
        <w:t>à</w:t>
      </w:r>
      <w:r>
        <w:rPr>
          <w:color w:val="231F20"/>
          <w:spacing w:val="-3"/>
        </w:rPr>
        <w:t> </w:t>
      </w:r>
      <w:r>
        <w:rPr>
          <w:color w:val="231F20"/>
          <w:spacing w:val="-12"/>
        </w:rPr>
        <w:t>Cuba,</w:t>
      </w:r>
      <w:r>
        <w:rPr>
          <w:color w:val="231F20"/>
          <w:spacing w:val="-3"/>
        </w:rPr>
        <w:t> </w:t>
      </w:r>
      <w:r>
        <w:rPr>
          <w:color w:val="231F20"/>
          <w:spacing w:val="-12"/>
        </w:rPr>
        <w:t>en</w:t>
      </w:r>
      <w:r>
        <w:rPr>
          <w:color w:val="231F20"/>
          <w:spacing w:val="-3"/>
        </w:rPr>
        <w:t> </w:t>
      </w:r>
      <w:r>
        <w:rPr>
          <w:color w:val="231F20"/>
          <w:spacing w:val="-12"/>
        </w:rPr>
        <w:t>tant</w:t>
      </w:r>
      <w:r>
        <w:rPr>
          <w:color w:val="231F20"/>
          <w:spacing w:val="-3"/>
        </w:rPr>
        <w:t> </w:t>
      </w:r>
      <w:r>
        <w:rPr>
          <w:color w:val="231F20"/>
          <w:spacing w:val="-12"/>
        </w:rPr>
        <w:t>que</w:t>
      </w:r>
      <w:r>
        <w:rPr>
          <w:color w:val="231F20"/>
          <w:spacing w:val="-3"/>
        </w:rPr>
        <w:t> </w:t>
      </w:r>
      <w:r>
        <w:rPr>
          <w:color w:val="231F20"/>
          <w:spacing w:val="-12"/>
        </w:rPr>
        <w:t>violations</w:t>
      </w:r>
      <w:r>
        <w:rPr>
          <w:color w:val="231F20"/>
          <w:spacing w:val="-4"/>
        </w:rPr>
        <w:t> </w:t>
      </w:r>
      <w:r>
        <w:rPr>
          <w:color w:val="231F20"/>
          <w:spacing w:val="-12"/>
        </w:rPr>
        <w:t>des </w:t>
      </w:r>
      <w:r>
        <w:rPr>
          <w:color w:val="231F20"/>
          <w:spacing w:val="-10"/>
        </w:rPr>
        <w:t>buts</w:t>
      </w:r>
      <w:r>
        <w:rPr>
          <w:color w:val="231F20"/>
          <w:spacing w:val="-6"/>
        </w:rPr>
        <w:t> </w:t>
      </w:r>
      <w:r>
        <w:rPr>
          <w:color w:val="231F20"/>
          <w:spacing w:val="-10"/>
        </w:rPr>
        <w:t>et</w:t>
      </w:r>
      <w:r>
        <w:rPr>
          <w:color w:val="231F20"/>
          <w:spacing w:val="-6"/>
        </w:rPr>
        <w:t> </w:t>
      </w:r>
      <w:r>
        <w:rPr>
          <w:color w:val="231F20"/>
          <w:spacing w:val="-10"/>
        </w:rPr>
        <w:t>principes</w:t>
      </w:r>
      <w:r>
        <w:rPr>
          <w:color w:val="231F20"/>
          <w:spacing w:val="-6"/>
        </w:rPr>
        <w:t> </w:t>
      </w:r>
      <w:r>
        <w:rPr>
          <w:color w:val="231F20"/>
          <w:spacing w:val="-10"/>
        </w:rPr>
        <w:t>de</w:t>
      </w:r>
      <w:r>
        <w:rPr>
          <w:color w:val="231F20"/>
          <w:spacing w:val="-6"/>
        </w:rPr>
        <w:t> </w:t>
      </w:r>
      <w:r>
        <w:rPr>
          <w:color w:val="231F20"/>
          <w:spacing w:val="-10"/>
        </w:rPr>
        <w:t>la</w:t>
      </w:r>
      <w:r>
        <w:rPr>
          <w:color w:val="231F20"/>
          <w:spacing w:val="-6"/>
        </w:rPr>
        <w:t> </w:t>
      </w:r>
      <w:r>
        <w:rPr>
          <w:color w:val="231F20"/>
          <w:spacing w:val="-10"/>
        </w:rPr>
        <w:t>Chartes</w:t>
      </w:r>
      <w:r>
        <w:rPr>
          <w:color w:val="231F20"/>
          <w:spacing w:val="-6"/>
        </w:rPr>
        <w:t> </w:t>
      </w:r>
      <w:r>
        <w:rPr>
          <w:color w:val="231F20"/>
          <w:spacing w:val="-10"/>
        </w:rPr>
        <w:t>des</w:t>
      </w:r>
      <w:r>
        <w:rPr>
          <w:color w:val="231F20"/>
          <w:spacing w:val="-6"/>
        </w:rPr>
        <w:t> </w:t>
      </w:r>
      <w:r>
        <w:rPr>
          <w:color w:val="231F20"/>
          <w:spacing w:val="-10"/>
        </w:rPr>
        <w:t>Nations </w:t>
      </w:r>
      <w:r>
        <w:rPr>
          <w:color w:val="231F20"/>
          <w:spacing w:val="-2"/>
        </w:rPr>
        <w:t>Unies</w:t>
      </w:r>
      <w:r>
        <w:rPr>
          <w:color w:val="231F20"/>
          <w:spacing w:val="-20"/>
        </w:rPr>
        <w:t> </w:t>
      </w:r>
      <w:r>
        <w:rPr>
          <w:color w:val="231F20"/>
          <w:spacing w:val="-2"/>
        </w:rPr>
        <w:t>et</w:t>
      </w:r>
      <w:r>
        <w:rPr>
          <w:color w:val="231F20"/>
          <w:spacing w:val="-20"/>
        </w:rPr>
        <w:t> </w:t>
      </w:r>
      <w:r>
        <w:rPr>
          <w:color w:val="231F20"/>
          <w:spacing w:val="-2"/>
        </w:rPr>
        <w:t>du</w:t>
      </w:r>
      <w:r>
        <w:rPr>
          <w:color w:val="231F20"/>
          <w:spacing w:val="-20"/>
        </w:rPr>
        <w:t> </w:t>
      </w:r>
      <w:r>
        <w:rPr>
          <w:color w:val="231F20"/>
          <w:spacing w:val="-2"/>
        </w:rPr>
        <w:t>droit</w:t>
      </w:r>
      <w:r>
        <w:rPr>
          <w:color w:val="231F20"/>
          <w:spacing w:val="-20"/>
        </w:rPr>
        <w:t> </w:t>
      </w:r>
      <w:r>
        <w:rPr>
          <w:color w:val="231F20"/>
          <w:spacing w:val="-2"/>
        </w:rPr>
        <w:t>international.</w:t>
      </w:r>
    </w:p>
    <w:p>
      <w:pPr>
        <w:pStyle w:val="BodyText"/>
        <w:spacing w:before="170"/>
        <w:ind w:left="676" w:right="1470" w:hanging="261"/>
      </w:pPr>
      <w:r>
        <w:rPr>
          <w:position w:val="4"/>
        </w:rPr>
        <w:drawing>
          <wp:inline distT="0" distB="0" distL="0" distR="0">
            <wp:extent cx="59207" cy="59207"/>
            <wp:effectExtent l="0" t="0" r="0" b="0"/>
            <wp:docPr id="511" name="Image 511"/>
            <wp:cNvGraphicFramePr>
              <a:graphicFrameLocks/>
            </wp:cNvGraphicFramePr>
            <a:graphic>
              <a:graphicData uri="http://schemas.openxmlformats.org/drawingml/2006/picture">
                <pic:pic>
                  <pic:nvPicPr>
                    <pic:cNvPr id="511" name="Image 511"/>
                    <pic:cNvPicPr/>
                  </pic:nvPicPr>
                  <pic:blipFill>
                    <a:blip r:embed="rId10" cstate="print"/>
                    <a:stretch>
                      <a:fillRect/>
                    </a:stretch>
                  </pic:blipFill>
                  <pic:spPr>
                    <a:xfrm>
                      <a:off x="0" y="0"/>
                      <a:ext cx="59207" cy="59207"/>
                    </a:xfrm>
                    <a:prstGeom prst="rect">
                      <a:avLst/>
                    </a:prstGeom>
                  </pic:spPr>
                </pic:pic>
              </a:graphicData>
            </a:graphic>
          </wp:inline>
        </w:drawing>
      </w:r>
      <w:r>
        <w:rPr>
          <w:position w:val="4"/>
        </w:rPr>
      </w:r>
      <w:r>
        <w:rPr>
          <w:rFonts w:ascii="Times New Roman" w:hAnsi="Times New Roman"/>
          <w:spacing w:val="40"/>
          <w:sz w:val="20"/>
        </w:rPr>
        <w:t> </w:t>
      </w:r>
      <w:r>
        <w:rPr>
          <w:b/>
          <w:color w:val="1A4796"/>
        </w:rPr>
        <w:t>6-10</w:t>
      </w:r>
      <w:r>
        <w:rPr>
          <w:b/>
          <w:color w:val="1A4796"/>
          <w:spacing w:val="-2"/>
        </w:rPr>
        <w:t> </w:t>
      </w:r>
      <w:r>
        <w:rPr>
          <w:b/>
          <w:color w:val="1A4796"/>
        </w:rPr>
        <w:t>juin</w:t>
      </w:r>
      <w:r>
        <w:rPr>
          <w:b/>
          <w:color w:val="1A4796"/>
          <w:spacing w:val="-2"/>
        </w:rPr>
        <w:t> </w:t>
      </w:r>
      <w:r>
        <w:rPr>
          <w:b/>
          <w:color w:val="1A4796"/>
        </w:rPr>
        <w:t>2022. </w:t>
      </w:r>
      <w:r>
        <w:rPr>
          <w:color w:val="231F20"/>
        </w:rPr>
        <w:t>Au Neuvième Sommet des Amériques (Los Angeles), réunion antidémocratique et discriminatoire </w:t>
      </w:r>
      <w:r>
        <w:rPr>
          <w:color w:val="231F20"/>
        </w:rPr>
        <w:t>à laquelle l’administration étasunienne </w:t>
      </w:r>
      <w:r>
        <w:rPr>
          <w:color w:val="231F20"/>
          <w:spacing w:val="-2"/>
        </w:rPr>
        <w:t>n’a</w:t>
      </w:r>
      <w:r>
        <w:rPr>
          <w:color w:val="231F20"/>
          <w:spacing w:val="-15"/>
        </w:rPr>
        <w:t> </w:t>
      </w:r>
      <w:r>
        <w:rPr>
          <w:color w:val="231F20"/>
          <w:spacing w:val="-2"/>
        </w:rPr>
        <w:t>pas</w:t>
      </w:r>
      <w:r>
        <w:rPr>
          <w:color w:val="231F20"/>
          <w:spacing w:val="-14"/>
        </w:rPr>
        <w:t> </w:t>
      </w:r>
      <w:r>
        <w:rPr>
          <w:color w:val="231F20"/>
          <w:spacing w:val="-2"/>
        </w:rPr>
        <w:t>invité</w:t>
      </w:r>
      <w:r>
        <w:rPr>
          <w:color w:val="231F20"/>
          <w:spacing w:val="-15"/>
        </w:rPr>
        <w:t> </w:t>
      </w:r>
      <w:r>
        <w:rPr>
          <w:color w:val="231F20"/>
          <w:spacing w:val="-2"/>
        </w:rPr>
        <w:t>Cuba,</w:t>
      </w:r>
      <w:r>
        <w:rPr>
          <w:color w:val="231F20"/>
          <w:spacing w:val="-14"/>
        </w:rPr>
        <w:t> </w:t>
      </w:r>
      <w:r>
        <w:rPr>
          <w:color w:val="231F20"/>
          <w:spacing w:val="-2"/>
        </w:rPr>
        <w:t>allant</w:t>
      </w:r>
      <w:r>
        <w:rPr>
          <w:color w:val="231F20"/>
          <w:spacing w:val="-15"/>
        </w:rPr>
        <w:t> </w:t>
      </w:r>
      <w:r>
        <w:rPr>
          <w:color w:val="231F20"/>
          <w:spacing w:val="-2"/>
        </w:rPr>
        <w:t>jusqu’à</w:t>
      </w:r>
      <w:r>
        <w:rPr>
          <w:color w:val="231F20"/>
          <w:spacing w:val="-14"/>
        </w:rPr>
        <w:t> </w:t>
      </w:r>
      <w:r>
        <w:rPr>
          <w:color w:val="231F20"/>
          <w:spacing w:val="-2"/>
        </w:rPr>
        <w:t>refuser les</w:t>
      </w:r>
      <w:r>
        <w:rPr>
          <w:color w:val="231F20"/>
          <w:spacing w:val="-14"/>
        </w:rPr>
        <w:t> </w:t>
      </w:r>
      <w:r>
        <w:rPr>
          <w:color w:val="231F20"/>
          <w:spacing w:val="-2"/>
        </w:rPr>
        <w:t>visas</w:t>
      </w:r>
      <w:r>
        <w:rPr>
          <w:color w:val="231F20"/>
          <w:spacing w:val="-11"/>
        </w:rPr>
        <w:t> </w:t>
      </w:r>
      <w:r>
        <w:rPr>
          <w:color w:val="231F20"/>
          <w:spacing w:val="-2"/>
        </w:rPr>
        <w:t>aux</w:t>
      </w:r>
      <w:r>
        <w:rPr>
          <w:color w:val="231F20"/>
          <w:spacing w:val="-11"/>
        </w:rPr>
        <w:t> </w:t>
      </w:r>
      <w:r>
        <w:rPr>
          <w:color w:val="231F20"/>
          <w:spacing w:val="-2"/>
        </w:rPr>
        <w:t>délégués</w:t>
      </w:r>
      <w:r>
        <w:rPr>
          <w:color w:val="231F20"/>
          <w:spacing w:val="-12"/>
        </w:rPr>
        <w:t> </w:t>
      </w:r>
      <w:r>
        <w:rPr>
          <w:color w:val="231F20"/>
          <w:spacing w:val="-2"/>
        </w:rPr>
        <w:t>de</w:t>
      </w:r>
      <w:r>
        <w:rPr>
          <w:color w:val="231F20"/>
          <w:spacing w:val="-11"/>
        </w:rPr>
        <w:t> </w:t>
      </w:r>
      <w:r>
        <w:rPr>
          <w:color w:val="231F20"/>
          <w:spacing w:val="-2"/>
        </w:rPr>
        <w:t>la</w:t>
      </w:r>
      <w:r>
        <w:rPr>
          <w:color w:val="231F20"/>
          <w:spacing w:val="-11"/>
        </w:rPr>
        <w:t> </w:t>
      </w:r>
      <w:r>
        <w:rPr>
          <w:color w:val="231F20"/>
          <w:spacing w:val="-2"/>
        </w:rPr>
        <w:t>société</w:t>
      </w:r>
      <w:r>
        <w:rPr>
          <w:color w:val="231F20"/>
          <w:spacing w:val="-11"/>
        </w:rPr>
        <w:t> </w:t>
      </w:r>
      <w:r>
        <w:rPr>
          <w:color w:val="231F20"/>
          <w:spacing w:val="-2"/>
        </w:rPr>
        <w:t>civile</w:t>
      </w:r>
    </w:p>
    <w:p>
      <w:pPr>
        <w:spacing w:after="0"/>
        <w:sectPr>
          <w:pgSz w:w="11910" w:h="16840"/>
          <w:pgMar w:header="0" w:footer="695" w:top="1260" w:bottom="880" w:left="0" w:right="0"/>
          <w:cols w:num="2" w:equalWidth="0">
            <w:col w:w="5554" w:space="40"/>
            <w:col w:w="6316"/>
          </w:cols>
        </w:sectPr>
      </w:pPr>
    </w:p>
    <w:p>
      <w:pPr>
        <w:pStyle w:val="BodyText"/>
        <w:spacing w:before="77"/>
        <w:ind w:left="1734"/>
      </w:pPr>
      <w:r>
        <w:rPr>
          <w:color w:val="231F20"/>
          <w:spacing w:val="-2"/>
        </w:rPr>
        <w:t>cubaine</w:t>
      </w:r>
      <w:r>
        <w:rPr>
          <w:color w:val="231F20"/>
          <w:spacing w:val="-15"/>
        </w:rPr>
        <w:t> </w:t>
      </w:r>
      <w:r>
        <w:rPr>
          <w:color w:val="231F20"/>
          <w:spacing w:val="-2"/>
        </w:rPr>
        <w:t>pour</w:t>
      </w:r>
      <w:r>
        <w:rPr>
          <w:color w:val="231F20"/>
          <w:spacing w:val="-14"/>
        </w:rPr>
        <w:t> </w:t>
      </w:r>
      <w:r>
        <w:rPr>
          <w:color w:val="231F20"/>
          <w:spacing w:val="-2"/>
        </w:rPr>
        <w:t>les</w:t>
      </w:r>
      <w:r>
        <w:rPr>
          <w:color w:val="231F20"/>
          <w:spacing w:val="-15"/>
        </w:rPr>
        <w:t> </w:t>
      </w:r>
      <w:r>
        <w:rPr>
          <w:color w:val="231F20"/>
          <w:spacing w:val="-2"/>
        </w:rPr>
        <w:t>empêcher</w:t>
      </w:r>
      <w:r>
        <w:rPr>
          <w:color w:val="231F20"/>
          <w:spacing w:val="-14"/>
        </w:rPr>
        <w:t> </w:t>
      </w:r>
      <w:r>
        <w:rPr>
          <w:color w:val="231F20"/>
          <w:spacing w:val="-2"/>
        </w:rPr>
        <w:t>de</w:t>
      </w:r>
      <w:r>
        <w:rPr>
          <w:color w:val="231F20"/>
          <w:spacing w:val="-15"/>
        </w:rPr>
        <w:t> </w:t>
      </w:r>
      <w:r>
        <w:rPr>
          <w:color w:val="231F20"/>
          <w:spacing w:val="-2"/>
        </w:rPr>
        <w:t>participer </w:t>
      </w:r>
      <w:r>
        <w:rPr>
          <w:color w:val="231F20"/>
        </w:rPr>
        <w:t>au</w:t>
      </w:r>
      <w:r>
        <w:rPr>
          <w:color w:val="231F20"/>
          <w:spacing w:val="-6"/>
        </w:rPr>
        <w:t> </w:t>
      </w:r>
      <w:r>
        <w:rPr>
          <w:color w:val="231F20"/>
        </w:rPr>
        <w:t>Sommet</w:t>
      </w:r>
      <w:r>
        <w:rPr>
          <w:color w:val="231F20"/>
          <w:spacing w:val="-6"/>
        </w:rPr>
        <w:t> </w:t>
      </w:r>
      <w:r>
        <w:rPr>
          <w:color w:val="231F20"/>
        </w:rPr>
        <w:t>parallèle</w:t>
      </w:r>
      <w:r>
        <w:rPr>
          <w:color w:val="231F20"/>
          <w:spacing w:val="-6"/>
        </w:rPr>
        <w:t> </w:t>
      </w:r>
      <w:r>
        <w:rPr>
          <w:color w:val="231F20"/>
        </w:rPr>
        <w:t>des</w:t>
      </w:r>
      <w:r>
        <w:rPr>
          <w:color w:val="231F20"/>
          <w:spacing w:val="-6"/>
        </w:rPr>
        <w:t> </w:t>
      </w:r>
      <w:r>
        <w:rPr>
          <w:color w:val="231F20"/>
        </w:rPr>
        <w:t>peuples,</w:t>
      </w:r>
      <w:r>
        <w:rPr>
          <w:color w:val="231F20"/>
          <w:spacing w:val="-6"/>
        </w:rPr>
        <w:t> </w:t>
      </w:r>
      <w:r>
        <w:rPr>
          <w:color w:val="231F20"/>
        </w:rPr>
        <w:t>vingt pays</w:t>
      </w:r>
      <w:r>
        <w:rPr>
          <w:color w:val="231F20"/>
          <w:spacing w:val="-10"/>
        </w:rPr>
        <w:t> </w:t>
      </w:r>
      <w:r>
        <w:rPr>
          <w:color w:val="231F20"/>
        </w:rPr>
        <w:t>s’opposent</w:t>
      </w:r>
      <w:r>
        <w:rPr>
          <w:color w:val="231F20"/>
          <w:spacing w:val="-10"/>
        </w:rPr>
        <w:t> </w:t>
      </w:r>
      <w:r>
        <w:rPr>
          <w:color w:val="231F20"/>
        </w:rPr>
        <w:t>à</w:t>
      </w:r>
      <w:r>
        <w:rPr>
          <w:color w:val="231F20"/>
          <w:spacing w:val="-10"/>
        </w:rPr>
        <w:t> </w:t>
      </w:r>
      <w:r>
        <w:rPr>
          <w:color w:val="231F20"/>
        </w:rPr>
        <w:t>ce</w:t>
      </w:r>
      <w:r>
        <w:rPr>
          <w:color w:val="231F20"/>
          <w:spacing w:val="-10"/>
        </w:rPr>
        <w:t> </w:t>
      </w:r>
      <w:r>
        <w:rPr>
          <w:color w:val="231F20"/>
        </w:rPr>
        <w:t>genre</w:t>
      </w:r>
      <w:r>
        <w:rPr>
          <w:color w:val="231F20"/>
          <w:spacing w:val="-10"/>
        </w:rPr>
        <w:t> </w:t>
      </w:r>
      <w:r>
        <w:rPr>
          <w:color w:val="231F20"/>
        </w:rPr>
        <w:t>d’exclusion, et</w:t>
      </w:r>
      <w:r>
        <w:rPr>
          <w:color w:val="231F20"/>
          <w:spacing w:val="-11"/>
        </w:rPr>
        <w:t> </w:t>
      </w:r>
      <w:r>
        <w:rPr>
          <w:color w:val="231F20"/>
        </w:rPr>
        <w:t>onze</w:t>
      </w:r>
      <w:r>
        <w:rPr>
          <w:color w:val="231F20"/>
          <w:spacing w:val="-11"/>
        </w:rPr>
        <w:t> </w:t>
      </w:r>
      <w:r>
        <w:rPr>
          <w:color w:val="231F20"/>
        </w:rPr>
        <w:t>chefs</w:t>
      </w:r>
      <w:r>
        <w:rPr>
          <w:color w:val="231F20"/>
          <w:spacing w:val="-11"/>
        </w:rPr>
        <w:t> </w:t>
      </w:r>
      <w:r>
        <w:rPr>
          <w:color w:val="231F20"/>
        </w:rPr>
        <w:t>de</w:t>
      </w:r>
      <w:r>
        <w:rPr>
          <w:color w:val="231F20"/>
          <w:spacing w:val="-11"/>
        </w:rPr>
        <w:t> </w:t>
      </w:r>
      <w:r>
        <w:rPr>
          <w:color w:val="231F20"/>
        </w:rPr>
        <w:t>délégation</w:t>
      </w:r>
      <w:r>
        <w:rPr>
          <w:color w:val="231F20"/>
          <w:spacing w:val="40"/>
        </w:rPr>
        <w:t> </w:t>
      </w:r>
      <w:r>
        <w:rPr>
          <w:color w:val="231F20"/>
        </w:rPr>
        <w:t>dénoncent expressément le blocus à Cuba et d’autres rejettent aussi l’inscription arbitraire</w:t>
      </w:r>
      <w:r>
        <w:rPr>
          <w:color w:val="231F20"/>
          <w:spacing w:val="40"/>
        </w:rPr>
        <w:t> </w:t>
      </w:r>
      <w:r>
        <w:rPr>
          <w:color w:val="231F20"/>
        </w:rPr>
        <w:t>de</w:t>
      </w:r>
      <w:r>
        <w:rPr>
          <w:color w:val="231F20"/>
          <w:spacing w:val="40"/>
        </w:rPr>
        <w:t> </w:t>
      </w:r>
      <w:r>
        <w:rPr>
          <w:color w:val="231F20"/>
        </w:rPr>
        <w:t>Cuba</w:t>
      </w:r>
      <w:r>
        <w:rPr>
          <w:color w:val="231F20"/>
          <w:spacing w:val="40"/>
        </w:rPr>
        <w:t> </w:t>
      </w:r>
      <w:r>
        <w:rPr>
          <w:color w:val="231F20"/>
        </w:rPr>
        <w:t>sur</w:t>
      </w:r>
      <w:r>
        <w:rPr>
          <w:color w:val="231F20"/>
          <w:spacing w:val="40"/>
        </w:rPr>
        <w:t> </w:t>
      </w:r>
      <w:r>
        <w:rPr>
          <w:color w:val="231F20"/>
        </w:rPr>
        <w:t>la</w:t>
      </w:r>
      <w:r>
        <w:rPr>
          <w:color w:val="231F20"/>
          <w:spacing w:val="40"/>
        </w:rPr>
        <w:t> </w:t>
      </w:r>
      <w:r>
        <w:rPr>
          <w:color w:val="231F20"/>
        </w:rPr>
        <w:t>Liste</w:t>
      </w:r>
      <w:r>
        <w:rPr>
          <w:color w:val="231F20"/>
          <w:spacing w:val="40"/>
        </w:rPr>
        <w:t> </w:t>
      </w:r>
      <w:r>
        <w:rPr>
          <w:color w:val="231F20"/>
        </w:rPr>
        <w:t>des États censément commanditaires de terrorisme international.</w:t>
      </w:r>
    </w:p>
    <w:p>
      <w:pPr>
        <w:pStyle w:val="BodyText"/>
        <w:spacing w:before="167"/>
        <w:ind w:left="1734"/>
      </w:pPr>
      <w:r>
        <w:rPr>
          <w:color w:val="231F20"/>
        </w:rPr>
        <w:t>Au</w:t>
      </w:r>
      <w:r>
        <w:rPr>
          <w:color w:val="231F20"/>
          <w:spacing w:val="-4"/>
        </w:rPr>
        <w:t> </w:t>
      </w:r>
      <w:r>
        <w:rPr>
          <w:color w:val="231F20"/>
        </w:rPr>
        <w:t>panel</w:t>
      </w:r>
      <w:r>
        <w:rPr>
          <w:color w:val="231F20"/>
          <w:spacing w:val="-4"/>
        </w:rPr>
        <w:t> </w:t>
      </w:r>
      <w:r>
        <w:rPr>
          <w:color w:val="231F20"/>
        </w:rPr>
        <w:t>Let</w:t>
      </w:r>
      <w:r>
        <w:rPr>
          <w:color w:val="231F20"/>
          <w:spacing w:val="-4"/>
        </w:rPr>
        <w:t> </w:t>
      </w:r>
      <w:r>
        <w:rPr>
          <w:color w:val="231F20"/>
        </w:rPr>
        <w:t>Cuba</w:t>
      </w:r>
      <w:r>
        <w:rPr>
          <w:color w:val="231F20"/>
          <w:spacing w:val="-4"/>
        </w:rPr>
        <w:t> </w:t>
      </w:r>
      <w:r>
        <w:rPr>
          <w:color w:val="231F20"/>
        </w:rPr>
        <w:t>Live</w:t>
      </w:r>
      <w:r>
        <w:rPr>
          <w:color w:val="231F20"/>
          <w:spacing w:val="-4"/>
        </w:rPr>
        <w:t> </w:t>
      </w:r>
      <w:r>
        <w:rPr>
          <w:color w:val="231F20"/>
        </w:rPr>
        <w:t>du</w:t>
      </w:r>
      <w:r>
        <w:rPr>
          <w:color w:val="231F20"/>
          <w:spacing w:val="-4"/>
        </w:rPr>
        <w:t> </w:t>
      </w:r>
      <w:r>
        <w:rPr>
          <w:color w:val="231F20"/>
        </w:rPr>
        <w:t>Sommet</w:t>
      </w:r>
      <w:r>
        <w:rPr>
          <w:color w:val="231F20"/>
          <w:spacing w:val="-4"/>
        </w:rPr>
        <w:t> </w:t>
      </w:r>
      <w:r>
        <w:rPr>
          <w:color w:val="231F20"/>
        </w:rPr>
        <w:t>des peuples, des militants se réunissent devant</w:t>
      </w:r>
      <w:r>
        <w:rPr>
          <w:color w:val="231F20"/>
          <w:spacing w:val="-12"/>
        </w:rPr>
        <w:t> </w:t>
      </w:r>
      <w:r>
        <w:rPr>
          <w:color w:val="231F20"/>
        </w:rPr>
        <w:t>le</w:t>
      </w:r>
      <w:r>
        <w:rPr>
          <w:color w:val="231F20"/>
          <w:spacing w:val="-12"/>
        </w:rPr>
        <w:t> </w:t>
      </w:r>
      <w:r>
        <w:rPr>
          <w:color w:val="231F20"/>
        </w:rPr>
        <w:t>siège</w:t>
      </w:r>
      <w:r>
        <w:rPr>
          <w:color w:val="231F20"/>
          <w:spacing w:val="-12"/>
        </w:rPr>
        <w:t> </w:t>
      </w:r>
      <w:r>
        <w:rPr>
          <w:color w:val="231F20"/>
        </w:rPr>
        <w:t>du</w:t>
      </w:r>
      <w:r>
        <w:rPr>
          <w:color w:val="231F20"/>
          <w:spacing w:val="-12"/>
        </w:rPr>
        <w:t> </w:t>
      </w:r>
      <w:r>
        <w:rPr>
          <w:color w:val="231F20"/>
        </w:rPr>
        <w:t>sommet</w:t>
      </w:r>
      <w:r>
        <w:rPr>
          <w:color w:val="231F20"/>
          <w:spacing w:val="-12"/>
        </w:rPr>
        <w:t> </w:t>
      </w:r>
      <w:r>
        <w:rPr>
          <w:color w:val="231F20"/>
        </w:rPr>
        <w:t>officiel</w:t>
      </w:r>
      <w:r>
        <w:rPr>
          <w:color w:val="231F20"/>
          <w:spacing w:val="-12"/>
        </w:rPr>
        <w:t> </w:t>
      </w:r>
      <w:r>
        <w:rPr>
          <w:color w:val="231F20"/>
        </w:rPr>
        <w:t>pour condamner</w:t>
      </w:r>
      <w:r>
        <w:rPr>
          <w:color w:val="231F20"/>
          <w:spacing w:val="40"/>
        </w:rPr>
        <w:t> </w:t>
      </w:r>
      <w:r>
        <w:rPr>
          <w:color w:val="231F20"/>
        </w:rPr>
        <w:t>la</w:t>
      </w:r>
      <w:r>
        <w:rPr>
          <w:color w:val="231F20"/>
          <w:spacing w:val="40"/>
        </w:rPr>
        <w:t> </w:t>
      </w:r>
      <w:r>
        <w:rPr>
          <w:color w:val="231F20"/>
        </w:rPr>
        <w:t>politique</w:t>
      </w:r>
      <w:r>
        <w:rPr>
          <w:color w:val="231F20"/>
          <w:spacing w:val="40"/>
        </w:rPr>
        <w:t> </w:t>
      </w:r>
      <w:r>
        <w:rPr>
          <w:color w:val="231F20"/>
        </w:rPr>
        <w:t>d’exclusion</w:t>
      </w:r>
      <w:r>
        <w:rPr>
          <w:color w:val="231F20"/>
          <w:spacing w:val="80"/>
        </w:rPr>
        <w:t> </w:t>
      </w:r>
      <w:r>
        <w:rPr>
          <w:color w:val="231F20"/>
        </w:rPr>
        <w:t>de la Maison-Blanche, exprimer leur solidarité avec Cuba, le Nicaragua et le Venezuela, et dénoncer les sanctions unilatérales qui les visent, et ils ont remis une lettre contre la politique de sanctions, d’exclusions et de blocus de l’administration Biden.</w:t>
      </w:r>
    </w:p>
    <w:p>
      <w:pPr>
        <w:pStyle w:val="BodyText"/>
        <w:spacing w:before="168"/>
        <w:ind w:left="1734" w:right="1"/>
      </w:pPr>
      <w:r>
        <w:rPr/>
        <mc:AlternateContent>
          <mc:Choice Requires="wps">
            <w:drawing>
              <wp:anchor distT="0" distB="0" distL="0" distR="0" allowOverlap="1" layoutInCell="1" locked="0" behindDoc="0" simplePos="0" relativeHeight="15840768">
                <wp:simplePos x="0" y="0"/>
                <wp:positionH relativeFrom="page">
                  <wp:posOffset>935997</wp:posOffset>
                </wp:positionH>
                <wp:positionV relativeFrom="paragraph">
                  <wp:posOffset>194376</wp:posOffset>
                </wp:positionV>
                <wp:extent cx="59690" cy="59690"/>
                <wp:effectExtent l="0" t="0" r="0" b="0"/>
                <wp:wrapNone/>
                <wp:docPr id="512" name="Graphic 512"/>
                <wp:cNvGraphicFramePr>
                  <a:graphicFrameLocks/>
                </wp:cNvGraphicFramePr>
                <a:graphic>
                  <a:graphicData uri="http://schemas.microsoft.com/office/word/2010/wordprocessingShape">
                    <wps:wsp>
                      <wps:cNvPr id="512" name="Graphic 51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30525pt;width:4.7pt;height:4.7pt;mso-position-horizontal-relative:page;mso-position-vertical-relative:paragraph;z-index:15840768" id="docshape399" coordorigin="1474,306" coordsize="94,94" path="m1521,306l1502,310,1488,320,1478,335,1474,353,1478,371,1488,386,1502,396,1521,399,1539,396,1554,386,1564,371,1567,353,1564,335,1554,320,1539,310,1521,306xe" filled="true" fillcolor="#1a4796" stroked="false">
                <v:path arrowok="t"/>
                <v:fill type="solid"/>
                <w10:wrap type="none"/>
              </v:shape>
            </w:pict>
          </mc:Fallback>
        </mc:AlternateContent>
      </w:r>
      <w:r>
        <w:rPr>
          <w:b/>
          <w:color w:val="1A4796"/>
        </w:rPr>
        <w:t>6 juin 2022. </w:t>
      </w:r>
      <w:r>
        <w:rPr>
          <w:color w:val="231F20"/>
        </w:rPr>
        <w:t>À son </w:t>
      </w:r>
      <w:r>
        <w:rPr>
          <w:color w:val="231F20"/>
        </w:rPr>
        <w:t>Trente-et-unième Congrès, tenu à Bergen, le Parti communiste norvégien adopte une Déclaration de solidarité avec Cuba et dénonce le blocus.</w:t>
      </w:r>
    </w:p>
    <w:p>
      <w:pPr>
        <w:pStyle w:val="BodyText"/>
        <w:spacing w:before="164"/>
        <w:ind w:left="1734" w:right="6"/>
      </w:pPr>
      <w:r>
        <w:rPr/>
        <mc:AlternateContent>
          <mc:Choice Requires="wps">
            <w:drawing>
              <wp:anchor distT="0" distB="0" distL="0" distR="0" allowOverlap="1" layoutInCell="1" locked="0" behindDoc="0" simplePos="0" relativeHeight="15843840">
                <wp:simplePos x="0" y="0"/>
                <wp:positionH relativeFrom="page">
                  <wp:posOffset>935997</wp:posOffset>
                </wp:positionH>
                <wp:positionV relativeFrom="paragraph">
                  <wp:posOffset>186577</wp:posOffset>
                </wp:positionV>
                <wp:extent cx="59690" cy="59690"/>
                <wp:effectExtent l="0" t="0" r="0" b="0"/>
                <wp:wrapNone/>
                <wp:docPr id="513" name="Graphic 513"/>
                <wp:cNvGraphicFramePr>
                  <a:graphicFrameLocks/>
                </wp:cNvGraphicFramePr>
                <a:graphic>
                  <a:graphicData uri="http://schemas.microsoft.com/office/word/2010/wordprocessingShape">
                    <wps:wsp>
                      <wps:cNvPr id="513" name="Graphic 51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691162pt;width:4.7pt;height:4.7pt;mso-position-horizontal-relative:page;mso-position-vertical-relative:paragraph;z-index:15843840" id="docshape400" coordorigin="1474,294" coordsize="94,94" path="m1521,294l1502,297,1488,307,1478,322,1474,340,1478,359,1488,373,1502,383,1521,387,1539,383,1554,373,1564,359,1567,340,1564,322,1554,307,1539,297,1521,294xe" filled="true" fillcolor="#1a4796" stroked="false">
                <v:path arrowok="t"/>
                <v:fill type="solid"/>
                <w10:wrap type="none"/>
              </v:shape>
            </w:pict>
          </mc:Fallback>
        </mc:AlternateContent>
      </w:r>
      <w:r>
        <w:rPr>
          <w:b/>
          <w:color w:val="1A4796"/>
          <w:spacing w:val="-10"/>
        </w:rPr>
        <w:t>3-5</w:t>
      </w:r>
      <w:r>
        <w:rPr>
          <w:b/>
          <w:color w:val="1A4796"/>
          <w:spacing w:val="-7"/>
        </w:rPr>
        <w:t> </w:t>
      </w:r>
      <w:r>
        <w:rPr>
          <w:b/>
          <w:color w:val="1A4796"/>
          <w:spacing w:val="-10"/>
        </w:rPr>
        <w:t>juillet</w:t>
      </w:r>
      <w:r>
        <w:rPr>
          <w:b/>
          <w:color w:val="1A4796"/>
          <w:spacing w:val="-7"/>
        </w:rPr>
        <w:t> </w:t>
      </w:r>
      <w:r>
        <w:rPr>
          <w:b/>
          <w:color w:val="1A4796"/>
          <w:spacing w:val="-10"/>
        </w:rPr>
        <w:t>2022.</w:t>
      </w:r>
      <w:r>
        <w:rPr>
          <w:b/>
          <w:color w:val="1A4796"/>
          <w:spacing w:val="-6"/>
        </w:rPr>
        <w:t> </w:t>
      </w:r>
      <w:r>
        <w:rPr>
          <w:color w:val="231F20"/>
          <w:spacing w:val="-10"/>
        </w:rPr>
        <w:t>À</w:t>
      </w:r>
      <w:r>
        <w:rPr>
          <w:color w:val="231F20"/>
          <w:spacing w:val="-7"/>
        </w:rPr>
        <w:t> </w:t>
      </w:r>
      <w:r>
        <w:rPr>
          <w:color w:val="231F20"/>
          <w:spacing w:val="-10"/>
        </w:rPr>
        <w:t>leur</w:t>
      </w:r>
      <w:r>
        <w:rPr>
          <w:color w:val="231F20"/>
          <w:spacing w:val="-6"/>
        </w:rPr>
        <w:t> </w:t>
      </w:r>
      <w:r>
        <w:rPr>
          <w:color w:val="231F20"/>
          <w:spacing w:val="-10"/>
        </w:rPr>
        <w:t>quarante-troisième </w:t>
      </w:r>
      <w:r>
        <w:rPr>
          <w:color w:val="231F20"/>
          <w:spacing w:val="-6"/>
        </w:rPr>
        <w:t>réunion</w:t>
      </w:r>
      <w:r>
        <w:rPr>
          <w:color w:val="231F20"/>
          <w:spacing w:val="-10"/>
        </w:rPr>
        <w:t> </w:t>
      </w:r>
      <w:r>
        <w:rPr>
          <w:color w:val="231F20"/>
          <w:spacing w:val="-6"/>
        </w:rPr>
        <w:t>à</w:t>
      </w:r>
      <w:r>
        <w:rPr>
          <w:color w:val="231F20"/>
          <w:spacing w:val="-10"/>
        </w:rPr>
        <w:t> </w:t>
      </w:r>
      <w:r>
        <w:rPr>
          <w:color w:val="231F20"/>
          <w:spacing w:val="-6"/>
        </w:rPr>
        <w:t>Paramaribo</w:t>
      </w:r>
      <w:r>
        <w:rPr>
          <w:color w:val="231F20"/>
          <w:spacing w:val="-10"/>
        </w:rPr>
        <w:t> </w:t>
      </w:r>
      <w:r>
        <w:rPr>
          <w:color w:val="231F20"/>
          <w:spacing w:val="-6"/>
        </w:rPr>
        <w:t>(Surinam),</w:t>
      </w:r>
      <w:r>
        <w:rPr>
          <w:color w:val="231F20"/>
          <w:spacing w:val="-10"/>
        </w:rPr>
        <w:t> </w:t>
      </w:r>
      <w:r>
        <w:rPr>
          <w:color w:val="231F20"/>
          <w:spacing w:val="-6"/>
        </w:rPr>
        <w:t>les</w:t>
      </w:r>
      <w:r>
        <w:rPr>
          <w:color w:val="231F20"/>
          <w:spacing w:val="-10"/>
        </w:rPr>
        <w:t> </w:t>
      </w:r>
      <w:r>
        <w:rPr>
          <w:color w:val="231F20"/>
          <w:spacing w:val="-6"/>
        </w:rPr>
        <w:t>chefs </w:t>
      </w:r>
      <w:r>
        <w:rPr>
          <w:color w:val="231F20"/>
        </w:rPr>
        <w:t>de gouvernement de la Communauté des Caraïbes (CARICOM) soulignent la nécessité de lever le blocus à Cuba et </w:t>
      </w:r>
      <w:r>
        <w:rPr>
          <w:color w:val="231F20"/>
          <w:spacing w:val="-12"/>
        </w:rPr>
        <w:t>insistent</w:t>
      </w:r>
      <w:r>
        <w:rPr>
          <w:color w:val="231F20"/>
          <w:spacing w:val="-1"/>
        </w:rPr>
        <w:t> </w:t>
      </w:r>
      <w:r>
        <w:rPr>
          <w:color w:val="231F20"/>
          <w:spacing w:val="-12"/>
        </w:rPr>
        <w:t>pour</w:t>
      </w:r>
      <w:r>
        <w:rPr>
          <w:color w:val="231F20"/>
          <w:spacing w:val="-1"/>
        </w:rPr>
        <w:t> </w:t>
      </w:r>
      <w:r>
        <w:rPr>
          <w:color w:val="231F20"/>
          <w:spacing w:val="-12"/>
        </w:rPr>
        <w:t>que</w:t>
      </w:r>
      <w:r>
        <w:rPr>
          <w:color w:val="231F20"/>
          <w:spacing w:val="-1"/>
        </w:rPr>
        <w:t> </w:t>
      </w:r>
      <w:r>
        <w:rPr>
          <w:color w:val="231F20"/>
          <w:spacing w:val="-12"/>
        </w:rPr>
        <w:t>les</w:t>
      </w:r>
      <w:r>
        <w:rPr>
          <w:color w:val="231F20"/>
          <w:spacing w:val="-1"/>
        </w:rPr>
        <w:t> </w:t>
      </w:r>
      <w:r>
        <w:rPr>
          <w:color w:val="231F20"/>
          <w:spacing w:val="-12"/>
        </w:rPr>
        <w:t>dirigeants</w:t>
      </w:r>
      <w:r>
        <w:rPr>
          <w:color w:val="231F20"/>
          <w:spacing w:val="-1"/>
        </w:rPr>
        <w:t> </w:t>
      </w:r>
      <w:r>
        <w:rPr>
          <w:color w:val="231F20"/>
          <w:spacing w:val="-12"/>
        </w:rPr>
        <w:t>continuent </w:t>
      </w:r>
      <w:r>
        <w:rPr>
          <w:color w:val="231F20"/>
        </w:rPr>
        <w:t>de</w:t>
      </w:r>
      <w:r>
        <w:rPr>
          <w:color w:val="231F20"/>
          <w:spacing w:val="-12"/>
        </w:rPr>
        <w:t> </w:t>
      </w:r>
      <w:r>
        <w:rPr>
          <w:color w:val="231F20"/>
        </w:rPr>
        <w:t>travailler</w:t>
      </w:r>
      <w:r>
        <w:rPr>
          <w:color w:val="231F20"/>
          <w:spacing w:val="-12"/>
        </w:rPr>
        <w:t> </w:t>
      </w:r>
      <w:r>
        <w:rPr>
          <w:color w:val="231F20"/>
        </w:rPr>
        <w:t>dans</w:t>
      </w:r>
      <w:r>
        <w:rPr>
          <w:color w:val="231F20"/>
          <w:spacing w:val="-12"/>
        </w:rPr>
        <w:t> </w:t>
      </w:r>
      <w:r>
        <w:rPr>
          <w:color w:val="231F20"/>
        </w:rPr>
        <w:t>ce</w:t>
      </w:r>
      <w:r>
        <w:rPr>
          <w:color w:val="231F20"/>
          <w:spacing w:val="-12"/>
        </w:rPr>
        <w:t> </w:t>
      </w:r>
      <w:r>
        <w:rPr>
          <w:color w:val="231F20"/>
        </w:rPr>
        <w:t>but.</w:t>
      </w:r>
    </w:p>
    <w:p>
      <w:pPr>
        <w:pStyle w:val="BodyText"/>
        <w:spacing w:before="166"/>
        <w:ind w:left="1734" w:right="1"/>
      </w:pPr>
      <w:r>
        <w:rPr/>
        <mc:AlternateContent>
          <mc:Choice Requires="wps">
            <w:drawing>
              <wp:anchor distT="0" distB="0" distL="0" distR="0" allowOverlap="1" layoutInCell="1" locked="0" behindDoc="0" simplePos="0" relativeHeight="15844352">
                <wp:simplePos x="0" y="0"/>
                <wp:positionH relativeFrom="page">
                  <wp:posOffset>935997</wp:posOffset>
                </wp:positionH>
                <wp:positionV relativeFrom="paragraph">
                  <wp:posOffset>191512</wp:posOffset>
                </wp:positionV>
                <wp:extent cx="59690" cy="59690"/>
                <wp:effectExtent l="0" t="0" r="0" b="0"/>
                <wp:wrapNone/>
                <wp:docPr id="514" name="Graphic 514"/>
                <wp:cNvGraphicFramePr>
                  <a:graphicFrameLocks/>
                </wp:cNvGraphicFramePr>
                <a:graphic>
                  <a:graphicData uri="http://schemas.microsoft.com/office/word/2010/wordprocessingShape">
                    <wps:wsp>
                      <wps:cNvPr id="514" name="Graphic 51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0797pt;width:4.7pt;height:4.7pt;mso-position-horizontal-relative:page;mso-position-vertical-relative:paragraph;z-index:15844352" id="docshape401" coordorigin="1474,302" coordsize="94,94" path="m1521,302l1502,305,1488,315,1478,330,1474,348,1478,366,1488,381,1502,391,1521,395,1539,391,1554,381,1564,366,1567,348,1564,330,1554,315,1539,305,1521,302xe" filled="true" fillcolor="#1a4796" stroked="false">
                <v:path arrowok="t"/>
                <v:fill type="solid"/>
                <w10:wrap type="none"/>
              </v:shape>
            </w:pict>
          </mc:Fallback>
        </mc:AlternateContent>
      </w:r>
      <w:r>
        <w:rPr>
          <w:b/>
          <w:color w:val="1A4796"/>
          <w:spacing w:val="-2"/>
        </w:rPr>
        <w:t>15</w:t>
      </w:r>
      <w:r>
        <w:rPr>
          <w:b/>
          <w:color w:val="1A4796"/>
          <w:spacing w:val="-15"/>
        </w:rPr>
        <w:t> </w:t>
      </w:r>
      <w:r>
        <w:rPr>
          <w:b/>
          <w:color w:val="1A4796"/>
          <w:spacing w:val="-2"/>
        </w:rPr>
        <w:t>juillet</w:t>
      </w:r>
      <w:r>
        <w:rPr>
          <w:b/>
          <w:color w:val="1A4796"/>
          <w:spacing w:val="-15"/>
        </w:rPr>
        <w:t> </w:t>
      </w:r>
      <w:r>
        <w:rPr>
          <w:b/>
          <w:color w:val="1A4796"/>
          <w:spacing w:val="-2"/>
        </w:rPr>
        <w:t>2022.</w:t>
      </w:r>
      <w:r>
        <w:rPr>
          <w:b/>
          <w:color w:val="1A4796"/>
          <w:spacing w:val="-14"/>
        </w:rPr>
        <w:t> </w:t>
      </w:r>
      <w:r>
        <w:rPr>
          <w:color w:val="231F20"/>
          <w:spacing w:val="-2"/>
        </w:rPr>
        <w:t>Solly</w:t>
      </w:r>
      <w:r>
        <w:rPr>
          <w:color w:val="231F20"/>
          <w:spacing w:val="-15"/>
        </w:rPr>
        <w:t> </w:t>
      </w:r>
      <w:r>
        <w:rPr>
          <w:color w:val="231F20"/>
          <w:spacing w:val="-2"/>
        </w:rPr>
        <w:t>Mapaila,</w:t>
      </w:r>
      <w:r>
        <w:rPr>
          <w:color w:val="231F20"/>
          <w:spacing w:val="-14"/>
        </w:rPr>
        <w:t> </w:t>
      </w:r>
      <w:r>
        <w:rPr>
          <w:color w:val="231F20"/>
          <w:spacing w:val="-2"/>
        </w:rPr>
        <w:t>secrétaire </w:t>
      </w:r>
      <w:r>
        <w:rPr>
          <w:color w:val="231F20"/>
          <w:spacing w:val="-8"/>
        </w:rPr>
        <w:t>général du Parti communiste d’Afrique du </w:t>
      </w:r>
      <w:r>
        <w:rPr>
          <w:color w:val="231F20"/>
        </w:rPr>
        <w:t>Sud, condamne au Quinzième Congrès </w:t>
      </w:r>
      <w:r>
        <w:rPr>
          <w:color w:val="231F20"/>
          <w:spacing w:val="-2"/>
        </w:rPr>
        <w:t>national</w:t>
      </w:r>
      <w:r>
        <w:rPr>
          <w:color w:val="231F20"/>
          <w:spacing w:val="-11"/>
        </w:rPr>
        <w:t> </w:t>
      </w:r>
      <w:r>
        <w:rPr>
          <w:color w:val="231F20"/>
          <w:spacing w:val="-2"/>
        </w:rPr>
        <w:t>le</w:t>
      </w:r>
      <w:r>
        <w:rPr>
          <w:color w:val="231F20"/>
          <w:spacing w:val="-11"/>
        </w:rPr>
        <w:t> </w:t>
      </w:r>
      <w:r>
        <w:rPr>
          <w:color w:val="231F20"/>
          <w:spacing w:val="-2"/>
        </w:rPr>
        <w:t>blocus</w:t>
      </w:r>
      <w:r>
        <w:rPr>
          <w:color w:val="231F20"/>
          <w:spacing w:val="-11"/>
        </w:rPr>
        <w:t> </w:t>
      </w:r>
      <w:r>
        <w:rPr>
          <w:color w:val="231F20"/>
          <w:spacing w:val="-2"/>
        </w:rPr>
        <w:t>imposé</w:t>
      </w:r>
      <w:r>
        <w:rPr>
          <w:color w:val="231F20"/>
          <w:spacing w:val="-11"/>
        </w:rPr>
        <w:t> </w:t>
      </w:r>
      <w:r>
        <w:rPr>
          <w:color w:val="231F20"/>
          <w:spacing w:val="-2"/>
        </w:rPr>
        <w:t>à</w:t>
      </w:r>
      <w:r>
        <w:rPr>
          <w:color w:val="231F20"/>
          <w:spacing w:val="-11"/>
        </w:rPr>
        <w:t> </w:t>
      </w:r>
      <w:r>
        <w:rPr>
          <w:color w:val="231F20"/>
          <w:spacing w:val="-2"/>
        </w:rPr>
        <w:t>Cuba,</w:t>
      </w:r>
      <w:r>
        <w:rPr>
          <w:color w:val="231F20"/>
          <w:spacing w:val="-11"/>
        </w:rPr>
        <w:t> </w:t>
      </w:r>
      <w:r>
        <w:rPr>
          <w:color w:val="231F20"/>
          <w:spacing w:val="-2"/>
        </w:rPr>
        <w:t>tandis </w:t>
      </w:r>
      <w:r>
        <w:rPr>
          <w:color w:val="231F20"/>
        </w:rPr>
        <w:t>qu’une résolution du Comité central appelle à lever cette politique injuste.</w:t>
      </w:r>
    </w:p>
    <w:p>
      <w:pPr>
        <w:pStyle w:val="BodyText"/>
        <w:spacing w:before="164"/>
        <w:ind w:left="1734"/>
      </w:pPr>
      <w:r>
        <w:rPr/>
        <mc:AlternateContent>
          <mc:Choice Requires="wps">
            <w:drawing>
              <wp:anchor distT="0" distB="0" distL="0" distR="0" allowOverlap="1" layoutInCell="1" locked="0" behindDoc="0" simplePos="0" relativeHeight="15844864">
                <wp:simplePos x="0" y="0"/>
                <wp:positionH relativeFrom="page">
                  <wp:posOffset>935997</wp:posOffset>
                </wp:positionH>
                <wp:positionV relativeFrom="paragraph">
                  <wp:posOffset>191078</wp:posOffset>
                </wp:positionV>
                <wp:extent cx="59690" cy="59690"/>
                <wp:effectExtent l="0" t="0" r="0" b="0"/>
                <wp:wrapNone/>
                <wp:docPr id="515" name="Graphic 515"/>
                <wp:cNvGraphicFramePr>
                  <a:graphicFrameLocks/>
                </wp:cNvGraphicFramePr>
                <a:graphic>
                  <a:graphicData uri="http://schemas.microsoft.com/office/word/2010/wordprocessingShape">
                    <wps:wsp>
                      <wps:cNvPr id="515" name="Graphic 51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045575pt;width:4.7pt;height:4.7pt;mso-position-horizontal-relative:page;mso-position-vertical-relative:paragraph;z-index:15844864" id="docshape402" coordorigin="1474,301" coordsize="94,94" path="m1521,301l1502,305,1488,315,1478,329,1474,348,1478,366,1488,380,1502,390,1521,394,1539,390,1554,380,1564,366,1567,348,1564,329,1554,315,1539,305,1521,301xe" filled="true" fillcolor="#1a4796" stroked="false">
                <v:path arrowok="t"/>
                <v:fill type="solid"/>
                <w10:wrap type="none"/>
              </v:shape>
            </w:pict>
          </mc:Fallback>
        </mc:AlternateContent>
      </w:r>
      <w:r>
        <w:rPr>
          <w:b/>
          <w:color w:val="1A4796"/>
        </w:rPr>
        <w:t>30 août 2022. </w:t>
      </w:r>
      <w:r>
        <w:rPr>
          <w:color w:val="231F20"/>
        </w:rPr>
        <w:t>L’Assemblée nationale de l’Équateur vote une </w:t>
      </w:r>
      <w:r>
        <w:rPr>
          <w:color w:val="231F20"/>
        </w:rPr>
        <w:t>résolution condamnant le blocus.</w:t>
      </w:r>
    </w:p>
    <w:p>
      <w:pPr>
        <w:pStyle w:val="BodyText"/>
        <w:spacing w:before="77"/>
        <w:ind w:left="672" w:right="1137"/>
      </w:pPr>
      <w:r>
        <w:rPr/>
        <w:br w:type="column"/>
      </w:r>
      <w:r>
        <w:rPr>
          <w:b/>
          <w:color w:val="1A4796"/>
        </w:rPr>
        <w:t>30 août 2022. </w:t>
      </w:r>
      <w:r>
        <w:rPr>
          <w:color w:val="231F20"/>
        </w:rPr>
        <w:t>Le président serbe Aleksandar</w:t>
      </w:r>
      <w:r>
        <w:rPr>
          <w:color w:val="231F20"/>
          <w:spacing w:val="-17"/>
        </w:rPr>
        <w:t> </w:t>
      </w:r>
      <w:r>
        <w:rPr>
          <w:color w:val="231F20"/>
        </w:rPr>
        <w:t>Vučić</w:t>
      </w:r>
      <w:r>
        <w:rPr>
          <w:color w:val="231F20"/>
          <w:spacing w:val="-16"/>
        </w:rPr>
        <w:t> </w:t>
      </w:r>
      <w:r>
        <w:rPr>
          <w:color w:val="231F20"/>
        </w:rPr>
        <w:t>exprime</w:t>
      </w:r>
      <w:r>
        <w:rPr>
          <w:color w:val="231F20"/>
          <w:spacing w:val="-17"/>
        </w:rPr>
        <w:t> </w:t>
      </w:r>
      <w:r>
        <w:rPr>
          <w:color w:val="231F20"/>
        </w:rPr>
        <w:t>devant</w:t>
      </w:r>
      <w:r>
        <w:rPr>
          <w:color w:val="231F20"/>
          <w:spacing w:val="-16"/>
        </w:rPr>
        <w:t> </w:t>
      </w:r>
      <w:r>
        <w:rPr>
          <w:color w:val="231F20"/>
        </w:rPr>
        <w:t>Bruno Rodríguez Parrilla, ministre cubain des </w:t>
      </w:r>
      <w:r>
        <w:rPr>
          <w:color w:val="231F20"/>
          <w:spacing w:val="-10"/>
        </w:rPr>
        <w:t>Relations</w:t>
      </w:r>
      <w:r>
        <w:rPr>
          <w:color w:val="231F20"/>
          <w:spacing w:val="-6"/>
        </w:rPr>
        <w:t> </w:t>
      </w:r>
      <w:r>
        <w:rPr>
          <w:color w:val="231F20"/>
          <w:spacing w:val="-10"/>
        </w:rPr>
        <w:t>extérieures</w:t>
      </w:r>
      <w:r>
        <w:rPr>
          <w:color w:val="231F20"/>
          <w:spacing w:val="-6"/>
        </w:rPr>
        <w:t> </w:t>
      </w:r>
      <w:r>
        <w:rPr>
          <w:color w:val="231F20"/>
          <w:spacing w:val="-10"/>
        </w:rPr>
        <w:t>de</w:t>
      </w:r>
      <w:r>
        <w:rPr>
          <w:color w:val="231F20"/>
          <w:spacing w:val="-5"/>
        </w:rPr>
        <w:t> </w:t>
      </w:r>
      <w:r>
        <w:rPr>
          <w:color w:val="231F20"/>
          <w:spacing w:val="-10"/>
        </w:rPr>
        <w:t>visite</w:t>
      </w:r>
      <w:r>
        <w:rPr>
          <w:color w:val="231F20"/>
          <w:spacing w:val="-5"/>
        </w:rPr>
        <w:t> </w:t>
      </w:r>
      <w:r>
        <w:rPr>
          <w:color w:val="231F20"/>
          <w:spacing w:val="-10"/>
        </w:rPr>
        <w:t>dans</w:t>
      </w:r>
      <w:r>
        <w:rPr>
          <w:color w:val="231F20"/>
          <w:spacing w:val="-6"/>
        </w:rPr>
        <w:t> </w:t>
      </w:r>
      <w:r>
        <w:rPr>
          <w:color w:val="231F20"/>
          <w:spacing w:val="-10"/>
        </w:rPr>
        <w:t>le</w:t>
      </w:r>
      <w:r>
        <w:rPr>
          <w:color w:val="231F20"/>
          <w:spacing w:val="-5"/>
        </w:rPr>
        <w:t> </w:t>
      </w:r>
      <w:r>
        <w:rPr>
          <w:color w:val="231F20"/>
          <w:spacing w:val="-10"/>
        </w:rPr>
        <w:t>pays, </w:t>
      </w:r>
      <w:r>
        <w:rPr>
          <w:color w:val="231F20"/>
        </w:rPr>
        <w:t>son</w:t>
      </w:r>
      <w:r>
        <w:rPr>
          <w:color w:val="231F20"/>
          <w:spacing w:val="-17"/>
        </w:rPr>
        <w:t> </w:t>
      </w:r>
      <w:r>
        <w:rPr>
          <w:color w:val="231F20"/>
        </w:rPr>
        <w:t>appui</w:t>
      </w:r>
      <w:r>
        <w:rPr>
          <w:color w:val="231F20"/>
          <w:spacing w:val="-16"/>
        </w:rPr>
        <w:t> </w:t>
      </w:r>
      <w:r>
        <w:rPr>
          <w:color w:val="231F20"/>
        </w:rPr>
        <w:t>à</w:t>
      </w:r>
      <w:r>
        <w:rPr>
          <w:color w:val="231F20"/>
          <w:spacing w:val="-17"/>
        </w:rPr>
        <w:t> </w:t>
      </w:r>
      <w:r>
        <w:rPr>
          <w:color w:val="231F20"/>
        </w:rPr>
        <w:t>la</w:t>
      </w:r>
      <w:r>
        <w:rPr>
          <w:color w:val="231F20"/>
          <w:spacing w:val="-16"/>
        </w:rPr>
        <w:t> </w:t>
      </w:r>
      <w:r>
        <w:rPr>
          <w:color w:val="231F20"/>
        </w:rPr>
        <w:t>résolution</w:t>
      </w:r>
      <w:r>
        <w:rPr>
          <w:color w:val="231F20"/>
          <w:spacing w:val="-17"/>
        </w:rPr>
        <w:t> </w:t>
      </w:r>
      <w:r>
        <w:rPr>
          <w:color w:val="231F20"/>
        </w:rPr>
        <w:t>cubaine</w:t>
      </w:r>
      <w:r>
        <w:rPr>
          <w:color w:val="231F20"/>
          <w:spacing w:val="-16"/>
        </w:rPr>
        <w:t> </w:t>
      </w:r>
      <w:r>
        <w:rPr>
          <w:color w:val="231F20"/>
        </w:rPr>
        <w:t>contre le</w:t>
      </w:r>
      <w:r>
        <w:rPr>
          <w:color w:val="231F20"/>
          <w:spacing w:val="-5"/>
        </w:rPr>
        <w:t> </w:t>
      </w:r>
      <w:r>
        <w:rPr>
          <w:color w:val="231F20"/>
        </w:rPr>
        <w:t>blocus</w:t>
      </w:r>
      <w:r>
        <w:rPr>
          <w:color w:val="231F20"/>
          <w:spacing w:val="-5"/>
        </w:rPr>
        <w:t> </w:t>
      </w:r>
      <w:r>
        <w:rPr>
          <w:color w:val="231F20"/>
        </w:rPr>
        <w:t>que</w:t>
      </w:r>
      <w:r>
        <w:rPr>
          <w:color w:val="231F20"/>
          <w:spacing w:val="-5"/>
        </w:rPr>
        <w:t> </w:t>
      </w:r>
      <w:r>
        <w:rPr>
          <w:color w:val="231F20"/>
        </w:rPr>
        <w:t>l’Assemblée</w:t>
      </w:r>
      <w:r>
        <w:rPr>
          <w:color w:val="231F20"/>
          <w:spacing w:val="-5"/>
        </w:rPr>
        <w:t> </w:t>
      </w:r>
      <w:r>
        <w:rPr>
          <w:color w:val="231F20"/>
        </w:rPr>
        <w:t>générale</w:t>
      </w:r>
      <w:r>
        <w:rPr>
          <w:color w:val="231F20"/>
          <w:spacing w:val="-5"/>
        </w:rPr>
        <w:t> </w:t>
      </w:r>
      <w:r>
        <w:rPr>
          <w:color w:val="231F20"/>
        </w:rPr>
        <w:t>des </w:t>
      </w:r>
      <w:r>
        <w:rPr>
          <w:color w:val="231F20"/>
          <w:spacing w:val="-2"/>
        </w:rPr>
        <w:t>Nations</w:t>
      </w:r>
      <w:r>
        <w:rPr>
          <w:color w:val="231F20"/>
          <w:spacing w:val="-13"/>
        </w:rPr>
        <w:t> </w:t>
      </w:r>
      <w:r>
        <w:rPr>
          <w:color w:val="231F20"/>
          <w:spacing w:val="-2"/>
        </w:rPr>
        <w:t>Unies</w:t>
      </w:r>
      <w:r>
        <w:rPr>
          <w:color w:val="231F20"/>
          <w:spacing w:val="-13"/>
        </w:rPr>
        <w:t> </w:t>
      </w:r>
      <w:r>
        <w:rPr>
          <w:color w:val="231F20"/>
          <w:spacing w:val="-2"/>
        </w:rPr>
        <w:t>adopte</w:t>
      </w:r>
      <w:r>
        <w:rPr>
          <w:color w:val="231F20"/>
          <w:spacing w:val="-13"/>
        </w:rPr>
        <w:t> </w:t>
      </w:r>
      <w:r>
        <w:rPr>
          <w:color w:val="231F20"/>
          <w:spacing w:val="-2"/>
        </w:rPr>
        <w:t>chaque</w:t>
      </w:r>
      <w:r>
        <w:rPr>
          <w:color w:val="231F20"/>
          <w:spacing w:val="-13"/>
        </w:rPr>
        <w:t> </w:t>
      </w:r>
      <w:r>
        <w:rPr>
          <w:color w:val="231F20"/>
          <w:spacing w:val="-2"/>
        </w:rPr>
        <w:t>année.</w:t>
      </w:r>
    </w:p>
    <w:p>
      <w:pPr>
        <w:pStyle w:val="BodyText"/>
        <w:spacing w:before="165"/>
        <w:ind w:left="672" w:right="1137"/>
      </w:pPr>
      <w:r>
        <w:rPr/>
        <mc:AlternateContent>
          <mc:Choice Requires="wps">
            <w:drawing>
              <wp:anchor distT="0" distB="0" distL="0" distR="0" allowOverlap="1" layoutInCell="1" locked="0" behindDoc="0" simplePos="0" relativeHeight="15842816">
                <wp:simplePos x="0" y="0"/>
                <wp:positionH relativeFrom="page">
                  <wp:posOffset>4031997</wp:posOffset>
                </wp:positionH>
                <wp:positionV relativeFrom="paragraph">
                  <wp:posOffset>190376</wp:posOffset>
                </wp:positionV>
                <wp:extent cx="59690" cy="59690"/>
                <wp:effectExtent l="0" t="0" r="0" b="0"/>
                <wp:wrapNone/>
                <wp:docPr id="516" name="Graphic 516"/>
                <wp:cNvGraphicFramePr>
                  <a:graphicFrameLocks/>
                </wp:cNvGraphicFramePr>
                <a:graphic>
                  <a:graphicData uri="http://schemas.microsoft.com/office/word/2010/wordprocessingShape">
                    <wps:wsp>
                      <wps:cNvPr id="516" name="Graphic 51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90237pt;width:4.7pt;height:4.7pt;mso-position-horizontal-relative:page;mso-position-vertical-relative:paragraph;z-index:15842816" id="docshape403" coordorigin="6350,300" coordsize="94,94" path="m6396,300l6378,303,6363,313,6353,328,6350,346,6353,365,6363,379,6378,389,6396,393,6414,389,6429,379,6439,365,6443,346,6439,328,6429,313,6414,303,6396,300xe" filled="true" fillcolor="#1a4796" stroked="false">
                <v:path arrowok="t"/>
                <v:fill type="solid"/>
                <w10:wrap type="none"/>
              </v:shape>
            </w:pict>
          </mc:Fallback>
        </mc:AlternateContent>
      </w:r>
      <w:r>
        <w:rPr/>
        <mc:AlternateContent>
          <mc:Choice Requires="wps">
            <w:drawing>
              <wp:anchor distT="0" distB="0" distL="0" distR="0" allowOverlap="1" layoutInCell="1" locked="0" behindDoc="0" simplePos="0" relativeHeight="15843328">
                <wp:simplePos x="0" y="0"/>
                <wp:positionH relativeFrom="page">
                  <wp:posOffset>4031997</wp:posOffset>
                </wp:positionH>
                <wp:positionV relativeFrom="paragraph">
                  <wp:posOffset>-1330427</wp:posOffset>
                </wp:positionV>
                <wp:extent cx="59690" cy="59690"/>
                <wp:effectExtent l="0" t="0" r="0" b="0"/>
                <wp:wrapNone/>
                <wp:docPr id="517" name="Graphic 517"/>
                <wp:cNvGraphicFramePr>
                  <a:graphicFrameLocks/>
                </wp:cNvGraphicFramePr>
                <a:graphic>
                  <a:graphicData uri="http://schemas.microsoft.com/office/word/2010/wordprocessingShape">
                    <wps:wsp>
                      <wps:cNvPr id="517" name="Graphic 51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04.758064pt;width:4.7pt;height:4.7pt;mso-position-horizontal-relative:page;mso-position-vertical-relative:paragraph;z-index:15843328" id="docshape404" coordorigin="6350,-2095" coordsize="94,94" path="m6396,-2095l6378,-2091,6363,-2082,6353,-2067,6350,-2049,6353,-2030,6363,-2016,6378,-2006,6396,-2002,6414,-2006,6429,-2016,6439,-2030,6443,-2049,6439,-2067,6429,-2082,6414,-2091,6396,-2095xe" filled="true" fillcolor="#1a4796" stroked="false">
                <v:path arrowok="t"/>
                <v:fill type="solid"/>
                <w10:wrap type="none"/>
              </v:shape>
            </w:pict>
          </mc:Fallback>
        </mc:AlternateContent>
      </w:r>
      <w:r>
        <w:rPr>
          <w:b/>
          <w:color w:val="1A4796"/>
        </w:rPr>
        <w:t>14 septembre 2022. </w:t>
      </w:r>
      <w:r>
        <w:rPr>
          <w:color w:val="231F20"/>
        </w:rPr>
        <w:t>Le Parlement </w:t>
      </w:r>
      <w:r>
        <w:rPr>
          <w:color w:val="231F20"/>
          <w:spacing w:val="-12"/>
        </w:rPr>
        <w:t>jamaïquain</w:t>
      </w:r>
      <w:r>
        <w:rPr>
          <w:color w:val="231F20"/>
          <w:spacing w:val="-2"/>
        </w:rPr>
        <w:t> </w:t>
      </w:r>
      <w:r>
        <w:rPr>
          <w:color w:val="231F20"/>
          <w:spacing w:val="-12"/>
        </w:rPr>
        <w:t>vote</w:t>
      </w:r>
      <w:r>
        <w:rPr>
          <w:color w:val="231F20"/>
          <w:spacing w:val="-2"/>
        </w:rPr>
        <w:t> </w:t>
      </w:r>
      <w:r>
        <w:rPr>
          <w:color w:val="231F20"/>
          <w:spacing w:val="-12"/>
        </w:rPr>
        <w:t>par</w:t>
      </w:r>
      <w:r>
        <w:rPr>
          <w:color w:val="231F20"/>
          <w:spacing w:val="-2"/>
        </w:rPr>
        <w:t> </w:t>
      </w:r>
      <w:r>
        <w:rPr>
          <w:color w:val="231F20"/>
          <w:spacing w:val="-12"/>
        </w:rPr>
        <w:t>consensus</w:t>
      </w:r>
      <w:r>
        <w:rPr>
          <w:color w:val="231F20"/>
          <w:spacing w:val="-2"/>
        </w:rPr>
        <w:t> </w:t>
      </w:r>
      <w:r>
        <w:rPr>
          <w:color w:val="231F20"/>
          <w:spacing w:val="-12"/>
        </w:rPr>
        <w:t>une</w:t>
      </w:r>
      <w:r>
        <w:rPr>
          <w:color w:val="231F20"/>
          <w:spacing w:val="-2"/>
        </w:rPr>
        <w:t> </w:t>
      </w:r>
      <w:r>
        <w:rPr>
          <w:color w:val="231F20"/>
          <w:spacing w:val="-12"/>
        </w:rPr>
        <w:t>motion </w:t>
      </w:r>
      <w:r>
        <w:rPr>
          <w:color w:val="231F20"/>
        </w:rPr>
        <w:t>condamnant le blocus et son caractère </w:t>
      </w:r>
      <w:r>
        <w:rPr>
          <w:color w:val="231F20"/>
          <w:spacing w:val="-12"/>
        </w:rPr>
        <w:t>extraterritorial,</w:t>
      </w:r>
      <w:r>
        <w:rPr>
          <w:color w:val="231F20"/>
          <w:spacing w:val="-5"/>
        </w:rPr>
        <w:t> </w:t>
      </w:r>
      <w:r>
        <w:rPr>
          <w:color w:val="231F20"/>
          <w:spacing w:val="-12"/>
        </w:rPr>
        <w:t>et</w:t>
      </w:r>
      <w:r>
        <w:rPr>
          <w:color w:val="231F20"/>
          <w:spacing w:val="-4"/>
        </w:rPr>
        <w:t> </w:t>
      </w:r>
      <w:r>
        <w:rPr>
          <w:color w:val="231F20"/>
          <w:spacing w:val="-12"/>
        </w:rPr>
        <w:t>l’inscription</w:t>
      </w:r>
      <w:r>
        <w:rPr>
          <w:color w:val="231F20"/>
          <w:spacing w:val="-5"/>
        </w:rPr>
        <w:t> </w:t>
      </w:r>
      <w:r>
        <w:rPr>
          <w:color w:val="231F20"/>
          <w:spacing w:val="-12"/>
        </w:rPr>
        <w:t>de</w:t>
      </w:r>
      <w:r>
        <w:rPr>
          <w:color w:val="231F20"/>
          <w:spacing w:val="-4"/>
        </w:rPr>
        <w:t> </w:t>
      </w:r>
      <w:r>
        <w:rPr>
          <w:color w:val="231F20"/>
          <w:spacing w:val="-12"/>
        </w:rPr>
        <w:t>Cuba</w:t>
      </w:r>
      <w:r>
        <w:rPr>
          <w:color w:val="231F20"/>
          <w:spacing w:val="-5"/>
        </w:rPr>
        <w:t> </w:t>
      </w:r>
      <w:r>
        <w:rPr>
          <w:color w:val="231F20"/>
          <w:spacing w:val="-12"/>
        </w:rPr>
        <w:t>sur</w:t>
      </w:r>
      <w:r>
        <w:rPr>
          <w:color w:val="231F20"/>
          <w:spacing w:val="-4"/>
        </w:rPr>
        <w:t> </w:t>
      </w:r>
      <w:r>
        <w:rPr>
          <w:color w:val="231F20"/>
          <w:spacing w:val="-12"/>
        </w:rPr>
        <w:t>la </w:t>
      </w:r>
      <w:r>
        <w:rPr>
          <w:color w:val="231F20"/>
          <w:spacing w:val="-8"/>
        </w:rPr>
        <w:t>Liste</w:t>
      </w:r>
      <w:r>
        <w:rPr>
          <w:color w:val="231F20"/>
          <w:spacing w:val="-9"/>
        </w:rPr>
        <w:t> </w:t>
      </w:r>
      <w:r>
        <w:rPr>
          <w:color w:val="231F20"/>
          <w:spacing w:val="-8"/>
        </w:rPr>
        <w:t>des États</w:t>
      </w:r>
      <w:r>
        <w:rPr>
          <w:color w:val="231F20"/>
          <w:spacing w:val="-9"/>
        </w:rPr>
        <w:t> </w:t>
      </w:r>
      <w:r>
        <w:rPr>
          <w:color w:val="231F20"/>
          <w:spacing w:val="-8"/>
        </w:rPr>
        <w:t>censément commanditaires </w:t>
      </w:r>
      <w:r>
        <w:rPr>
          <w:color w:val="231F20"/>
        </w:rPr>
        <w:t>de</w:t>
      </w:r>
      <w:r>
        <w:rPr>
          <w:color w:val="231F20"/>
          <w:spacing w:val="-17"/>
        </w:rPr>
        <w:t> </w:t>
      </w:r>
      <w:r>
        <w:rPr>
          <w:color w:val="231F20"/>
        </w:rPr>
        <w:t>terrorisme</w:t>
      </w:r>
      <w:r>
        <w:rPr>
          <w:color w:val="231F20"/>
          <w:spacing w:val="-16"/>
        </w:rPr>
        <w:t> </w:t>
      </w:r>
      <w:r>
        <w:rPr>
          <w:color w:val="231F20"/>
        </w:rPr>
        <w:t>international.</w:t>
      </w:r>
    </w:p>
    <w:p>
      <w:pPr>
        <w:pStyle w:val="BodyText"/>
        <w:spacing w:before="165"/>
        <w:ind w:left="672" w:right="1137"/>
      </w:pPr>
      <w:r>
        <w:rPr/>
        <mc:AlternateContent>
          <mc:Choice Requires="wps">
            <w:drawing>
              <wp:anchor distT="0" distB="0" distL="0" distR="0" allowOverlap="1" layoutInCell="1" locked="0" behindDoc="0" simplePos="0" relativeHeight="15842304">
                <wp:simplePos x="0" y="0"/>
                <wp:positionH relativeFrom="page">
                  <wp:posOffset>4031997</wp:posOffset>
                </wp:positionH>
                <wp:positionV relativeFrom="paragraph">
                  <wp:posOffset>192574</wp:posOffset>
                </wp:positionV>
                <wp:extent cx="59690" cy="59690"/>
                <wp:effectExtent l="0" t="0" r="0" b="0"/>
                <wp:wrapNone/>
                <wp:docPr id="518" name="Graphic 518"/>
                <wp:cNvGraphicFramePr>
                  <a:graphicFrameLocks/>
                </wp:cNvGraphicFramePr>
                <a:graphic>
                  <a:graphicData uri="http://schemas.microsoft.com/office/word/2010/wordprocessingShape">
                    <wps:wsp>
                      <wps:cNvPr id="518" name="Graphic 51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163313pt;width:4.7pt;height:4.7pt;mso-position-horizontal-relative:page;mso-position-vertical-relative:paragraph;z-index:15842304" id="docshape405" coordorigin="6350,303" coordsize="94,94" path="m6396,303l6378,307,6363,317,6353,332,6350,350,6353,368,6363,383,6378,393,6396,397,6414,393,6429,383,6439,368,6443,350,6439,332,6429,317,6414,307,6396,303xe" filled="true" fillcolor="#1a4796" stroked="false">
                <v:path arrowok="t"/>
                <v:fill type="solid"/>
                <w10:wrap type="none"/>
              </v:shape>
            </w:pict>
          </mc:Fallback>
        </mc:AlternateContent>
      </w:r>
      <w:r>
        <w:rPr>
          <w:b/>
          <w:color w:val="1A4796"/>
        </w:rPr>
        <w:t>20-26 septembre 2022. </w:t>
      </w:r>
      <w:r>
        <w:rPr>
          <w:color w:val="231F20"/>
        </w:rPr>
        <w:t>Au cours du </w:t>
      </w:r>
      <w:r>
        <w:rPr>
          <w:color w:val="231F20"/>
          <w:spacing w:val="-8"/>
        </w:rPr>
        <w:t>débat</w:t>
      </w:r>
      <w:r>
        <w:rPr>
          <w:color w:val="231F20"/>
          <w:spacing w:val="-9"/>
        </w:rPr>
        <w:t> </w:t>
      </w:r>
      <w:r>
        <w:rPr>
          <w:color w:val="231F20"/>
          <w:spacing w:val="-8"/>
        </w:rPr>
        <w:t>général de</w:t>
      </w:r>
      <w:r>
        <w:rPr>
          <w:color w:val="231F20"/>
          <w:spacing w:val="-9"/>
        </w:rPr>
        <w:t> </w:t>
      </w:r>
      <w:r>
        <w:rPr>
          <w:color w:val="231F20"/>
          <w:spacing w:val="-8"/>
        </w:rPr>
        <w:t>la Soixante-dix-septième </w:t>
      </w:r>
      <w:r>
        <w:rPr>
          <w:color w:val="231F20"/>
        </w:rPr>
        <w:t>Session de l’Assemblée générale des Nations Unies, les chefs de délégation de quarante pays ont, dans leurs interventions, condamné le blocus, et </w:t>
      </w:r>
      <w:r>
        <w:rPr>
          <w:color w:val="231F20"/>
          <w:spacing w:val="-6"/>
        </w:rPr>
        <w:t>trois</w:t>
      </w:r>
      <w:r>
        <w:rPr>
          <w:color w:val="231F20"/>
          <w:spacing w:val="-11"/>
        </w:rPr>
        <w:t> </w:t>
      </w:r>
      <w:r>
        <w:rPr>
          <w:color w:val="231F20"/>
          <w:spacing w:val="-6"/>
        </w:rPr>
        <w:t>d’entre</w:t>
      </w:r>
      <w:r>
        <w:rPr>
          <w:color w:val="231F20"/>
          <w:spacing w:val="-10"/>
        </w:rPr>
        <w:t> </w:t>
      </w:r>
      <w:r>
        <w:rPr>
          <w:color w:val="231F20"/>
          <w:spacing w:val="-6"/>
        </w:rPr>
        <w:t>eux</w:t>
      </w:r>
      <w:r>
        <w:rPr>
          <w:color w:val="231F20"/>
          <w:spacing w:val="-11"/>
        </w:rPr>
        <w:t> </w:t>
      </w:r>
      <w:r>
        <w:rPr>
          <w:color w:val="231F20"/>
          <w:spacing w:val="-6"/>
        </w:rPr>
        <w:t>ont</w:t>
      </w:r>
      <w:r>
        <w:rPr>
          <w:color w:val="231F20"/>
          <w:spacing w:val="-10"/>
        </w:rPr>
        <w:t> </w:t>
      </w:r>
      <w:r>
        <w:rPr>
          <w:color w:val="231F20"/>
          <w:spacing w:val="-6"/>
        </w:rPr>
        <w:t>dénoncé</w:t>
      </w:r>
      <w:r>
        <w:rPr>
          <w:color w:val="231F20"/>
          <w:spacing w:val="-11"/>
        </w:rPr>
        <w:t> </w:t>
      </w:r>
      <w:r>
        <w:rPr>
          <w:color w:val="231F20"/>
          <w:spacing w:val="-6"/>
        </w:rPr>
        <w:t>l’inscription </w:t>
      </w:r>
      <w:r>
        <w:rPr>
          <w:color w:val="231F20"/>
        </w:rPr>
        <w:t>arbitraire de Cuba sur la Liste des États </w:t>
      </w:r>
      <w:r>
        <w:rPr>
          <w:color w:val="231F20"/>
          <w:spacing w:val="-8"/>
        </w:rPr>
        <w:t>censément commanditaires de terrorisme </w:t>
      </w:r>
      <w:r>
        <w:rPr>
          <w:color w:val="231F20"/>
          <w:spacing w:val="-12"/>
        </w:rPr>
        <w:t>international.</w:t>
      </w:r>
      <w:r>
        <w:rPr>
          <w:color w:val="231F20"/>
        </w:rPr>
        <w:t> </w:t>
      </w:r>
      <w:r>
        <w:rPr>
          <w:color w:val="231F20"/>
          <w:spacing w:val="-12"/>
        </w:rPr>
        <w:t>Le</w:t>
      </w:r>
      <w:r>
        <w:rPr>
          <w:color w:val="231F20"/>
        </w:rPr>
        <w:t> </w:t>
      </w:r>
      <w:r>
        <w:rPr>
          <w:color w:val="231F20"/>
          <w:spacing w:val="-12"/>
        </w:rPr>
        <w:t>rejet</w:t>
      </w:r>
      <w:r>
        <w:rPr>
          <w:color w:val="231F20"/>
        </w:rPr>
        <w:t> </w:t>
      </w:r>
      <w:r>
        <w:rPr>
          <w:color w:val="231F20"/>
          <w:spacing w:val="-12"/>
        </w:rPr>
        <w:t>du</w:t>
      </w:r>
      <w:r>
        <w:rPr>
          <w:color w:val="231F20"/>
        </w:rPr>
        <w:t> </w:t>
      </w:r>
      <w:r>
        <w:rPr>
          <w:color w:val="231F20"/>
          <w:spacing w:val="-12"/>
        </w:rPr>
        <w:t>blocus</w:t>
      </w:r>
      <w:r>
        <w:rPr>
          <w:color w:val="231F20"/>
        </w:rPr>
        <w:t> </w:t>
      </w:r>
      <w:r>
        <w:rPr>
          <w:color w:val="231F20"/>
          <w:spacing w:val="-12"/>
        </w:rPr>
        <w:t>a</w:t>
      </w:r>
      <w:r>
        <w:rPr>
          <w:color w:val="231F20"/>
        </w:rPr>
        <w:t> </w:t>
      </w:r>
      <w:r>
        <w:rPr>
          <w:color w:val="231F20"/>
          <w:spacing w:val="-12"/>
        </w:rPr>
        <w:t>fait</w:t>
      </w:r>
      <w:r>
        <w:rPr>
          <w:color w:val="231F20"/>
        </w:rPr>
        <w:t> </w:t>
      </w:r>
      <w:r>
        <w:rPr>
          <w:color w:val="231F20"/>
          <w:spacing w:val="-12"/>
        </w:rPr>
        <w:t>partie </w:t>
      </w:r>
      <w:r>
        <w:rPr>
          <w:color w:val="231F20"/>
          <w:spacing w:val="-10"/>
        </w:rPr>
        <w:t>des</w:t>
      </w:r>
      <w:r>
        <w:rPr>
          <w:color w:val="231F20"/>
          <w:spacing w:val="-3"/>
        </w:rPr>
        <w:t> </w:t>
      </w:r>
      <w:r>
        <w:rPr>
          <w:color w:val="231F20"/>
          <w:spacing w:val="-10"/>
        </w:rPr>
        <w:t>dix</w:t>
      </w:r>
      <w:r>
        <w:rPr>
          <w:color w:val="231F20"/>
          <w:spacing w:val="-3"/>
        </w:rPr>
        <w:t> </w:t>
      </w:r>
      <w:r>
        <w:rPr>
          <w:color w:val="231F20"/>
          <w:spacing w:val="-10"/>
        </w:rPr>
        <w:t>questions</w:t>
      </w:r>
      <w:r>
        <w:rPr>
          <w:color w:val="231F20"/>
          <w:spacing w:val="-3"/>
        </w:rPr>
        <w:t> </w:t>
      </w:r>
      <w:r>
        <w:rPr>
          <w:color w:val="231F20"/>
          <w:spacing w:val="-10"/>
        </w:rPr>
        <w:t>les</w:t>
      </w:r>
      <w:r>
        <w:rPr>
          <w:color w:val="231F20"/>
          <w:spacing w:val="-3"/>
        </w:rPr>
        <w:t> </w:t>
      </w:r>
      <w:r>
        <w:rPr>
          <w:color w:val="231F20"/>
          <w:spacing w:val="-10"/>
        </w:rPr>
        <w:t>plus</w:t>
      </w:r>
      <w:r>
        <w:rPr>
          <w:color w:val="231F20"/>
          <w:spacing w:val="-3"/>
        </w:rPr>
        <w:t> </w:t>
      </w:r>
      <w:r>
        <w:rPr>
          <w:color w:val="231F20"/>
          <w:spacing w:val="-10"/>
        </w:rPr>
        <w:t>abordées</w:t>
      </w:r>
      <w:r>
        <w:rPr>
          <w:color w:val="231F20"/>
          <w:spacing w:val="-3"/>
        </w:rPr>
        <w:t> </w:t>
      </w:r>
      <w:r>
        <w:rPr>
          <w:color w:val="231F20"/>
          <w:spacing w:val="-10"/>
        </w:rPr>
        <w:t>durant </w:t>
      </w:r>
      <w:r>
        <w:rPr>
          <w:color w:val="231F20"/>
        </w:rPr>
        <w:t>le</w:t>
      </w:r>
      <w:r>
        <w:rPr>
          <w:color w:val="231F20"/>
          <w:spacing w:val="-12"/>
        </w:rPr>
        <w:t> </w:t>
      </w:r>
      <w:r>
        <w:rPr>
          <w:color w:val="231F20"/>
        </w:rPr>
        <w:t>segment</w:t>
      </w:r>
      <w:r>
        <w:rPr>
          <w:color w:val="231F20"/>
          <w:spacing w:val="-12"/>
        </w:rPr>
        <w:t> </w:t>
      </w:r>
      <w:r>
        <w:rPr>
          <w:color w:val="231F20"/>
        </w:rPr>
        <w:t>de</w:t>
      </w:r>
      <w:r>
        <w:rPr>
          <w:color w:val="231F20"/>
          <w:spacing w:val="-12"/>
        </w:rPr>
        <w:t> </w:t>
      </w:r>
      <w:r>
        <w:rPr>
          <w:color w:val="231F20"/>
        </w:rPr>
        <w:t>haut</w:t>
      </w:r>
      <w:r>
        <w:rPr>
          <w:color w:val="231F20"/>
          <w:spacing w:val="-12"/>
        </w:rPr>
        <w:t> </w:t>
      </w:r>
      <w:r>
        <w:rPr>
          <w:color w:val="231F20"/>
        </w:rPr>
        <w:t>niveau.</w:t>
      </w:r>
    </w:p>
    <w:p>
      <w:pPr>
        <w:pStyle w:val="BodyText"/>
        <w:spacing w:before="169"/>
        <w:ind w:left="672" w:right="1130"/>
      </w:pPr>
      <w:r>
        <w:rPr/>
        <mc:AlternateContent>
          <mc:Choice Requires="wps">
            <w:drawing>
              <wp:anchor distT="0" distB="0" distL="0" distR="0" allowOverlap="1" layoutInCell="1" locked="0" behindDoc="0" simplePos="0" relativeHeight="15841280">
                <wp:simplePos x="0" y="0"/>
                <wp:positionH relativeFrom="page">
                  <wp:posOffset>4031997</wp:posOffset>
                </wp:positionH>
                <wp:positionV relativeFrom="paragraph">
                  <wp:posOffset>193351</wp:posOffset>
                </wp:positionV>
                <wp:extent cx="59690" cy="59690"/>
                <wp:effectExtent l="0" t="0" r="0" b="0"/>
                <wp:wrapNone/>
                <wp:docPr id="519" name="Graphic 519"/>
                <wp:cNvGraphicFramePr>
                  <a:graphicFrameLocks/>
                </wp:cNvGraphicFramePr>
                <a:graphic>
                  <a:graphicData uri="http://schemas.microsoft.com/office/word/2010/wordprocessingShape">
                    <wps:wsp>
                      <wps:cNvPr id="519" name="Graphic 51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224563pt;width:4.7pt;height:4.7pt;mso-position-horizontal-relative:page;mso-position-vertical-relative:paragraph;z-index:15841280" id="docshape406" coordorigin="6350,304" coordsize="94,94" path="m6396,304l6378,308,6363,318,6353,333,6350,351,6353,369,6363,384,6378,394,6396,398,6414,394,6429,384,6439,369,6443,351,6439,333,6429,318,6414,308,6396,304xe" filled="true" fillcolor="#1a4796" stroked="false">
                <v:path arrowok="t"/>
                <v:fill type="solid"/>
                <w10:wrap type="none"/>
              </v:shape>
            </w:pict>
          </mc:Fallback>
        </mc:AlternateContent>
      </w:r>
      <w:r>
        <w:rPr>
          <w:b/>
          <w:color w:val="1A4796"/>
        </w:rPr>
        <w:t>21 septembre 2022. </w:t>
      </w:r>
      <w:r>
        <w:rPr>
          <w:color w:val="231F20"/>
        </w:rPr>
        <w:t>82 députés colombiens adressent une lettre à Kamala Harris, vice-présidente </w:t>
      </w:r>
      <w:r>
        <w:rPr>
          <w:color w:val="231F20"/>
        </w:rPr>
        <w:t>des États-Unis, et président du Sénat, à Nancy</w:t>
      </w:r>
      <w:r>
        <w:rPr>
          <w:color w:val="231F20"/>
          <w:spacing w:val="-13"/>
        </w:rPr>
        <w:t> </w:t>
      </w:r>
      <w:r>
        <w:rPr>
          <w:color w:val="231F20"/>
        </w:rPr>
        <w:t>Pelosi,</w:t>
      </w:r>
      <w:r>
        <w:rPr>
          <w:color w:val="231F20"/>
          <w:spacing w:val="-13"/>
        </w:rPr>
        <w:t> </w:t>
      </w:r>
      <w:r>
        <w:rPr>
          <w:color w:val="231F20"/>
        </w:rPr>
        <w:t>présidente</w:t>
      </w:r>
      <w:r>
        <w:rPr>
          <w:color w:val="231F20"/>
          <w:spacing w:val="-13"/>
        </w:rPr>
        <w:t> </w:t>
      </w:r>
      <w:r>
        <w:rPr>
          <w:color w:val="231F20"/>
        </w:rPr>
        <w:t>de</w:t>
      </w:r>
      <w:r>
        <w:rPr>
          <w:color w:val="231F20"/>
          <w:spacing w:val="-13"/>
        </w:rPr>
        <w:t> </w:t>
      </w:r>
      <w:r>
        <w:rPr>
          <w:color w:val="231F20"/>
        </w:rPr>
        <w:t>la</w:t>
      </w:r>
      <w:r>
        <w:rPr>
          <w:color w:val="231F20"/>
          <w:spacing w:val="-13"/>
        </w:rPr>
        <w:t> </w:t>
      </w:r>
      <w:r>
        <w:rPr>
          <w:color w:val="231F20"/>
        </w:rPr>
        <w:t>Chambre des représentants des États-Unis, et à Csaba Kőrösi, président de la Soixante- dix-septième Session de l’Assemblée générale des Nations Unies, pour que Cuba soit radiée de la Liste illégitime des États censément commanditaires de terrorisme international.</w:t>
      </w:r>
    </w:p>
    <w:p>
      <w:pPr>
        <w:pStyle w:val="BodyText"/>
        <w:spacing w:before="170"/>
        <w:ind w:left="672" w:right="1136"/>
      </w:pPr>
      <w:r>
        <w:rPr/>
        <mc:AlternateContent>
          <mc:Choice Requires="wps">
            <w:drawing>
              <wp:anchor distT="0" distB="0" distL="0" distR="0" allowOverlap="1" layoutInCell="1" locked="0" behindDoc="0" simplePos="0" relativeHeight="15841792">
                <wp:simplePos x="0" y="0"/>
                <wp:positionH relativeFrom="page">
                  <wp:posOffset>4031997</wp:posOffset>
                </wp:positionH>
                <wp:positionV relativeFrom="paragraph">
                  <wp:posOffset>191589</wp:posOffset>
                </wp:positionV>
                <wp:extent cx="59690" cy="59690"/>
                <wp:effectExtent l="0" t="0" r="0" b="0"/>
                <wp:wrapNone/>
                <wp:docPr id="520" name="Graphic 520"/>
                <wp:cNvGraphicFramePr>
                  <a:graphicFrameLocks/>
                </wp:cNvGraphicFramePr>
                <a:graphic>
                  <a:graphicData uri="http://schemas.microsoft.com/office/word/2010/wordprocessingShape">
                    <wps:wsp>
                      <wps:cNvPr id="520" name="Graphic 52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085813pt;width:4.7pt;height:4.7pt;mso-position-horizontal-relative:page;mso-position-vertical-relative:paragraph;z-index:15841792" id="docshape407" coordorigin="6350,302" coordsize="94,94" path="m6396,302l6378,305,6363,315,6353,330,6350,348,6353,366,6363,381,6378,391,6396,395,6414,391,6429,381,6439,366,6443,348,6439,330,6429,315,6414,305,6396,302xe" filled="true" fillcolor="#1a4796" stroked="false">
                <v:path arrowok="t"/>
                <v:fill type="solid"/>
                <w10:wrap type="none"/>
              </v:shape>
            </w:pict>
          </mc:Fallback>
        </mc:AlternateContent>
      </w:r>
      <w:r>
        <w:rPr>
          <w:b/>
          <w:color w:val="1A4796"/>
          <w:spacing w:val="-4"/>
        </w:rPr>
        <w:t>23</w:t>
      </w:r>
      <w:r>
        <w:rPr>
          <w:b/>
          <w:color w:val="1A4796"/>
          <w:spacing w:val="-9"/>
        </w:rPr>
        <w:t> </w:t>
      </w:r>
      <w:r>
        <w:rPr>
          <w:b/>
          <w:color w:val="1A4796"/>
          <w:spacing w:val="-4"/>
        </w:rPr>
        <w:t>septembre</w:t>
      </w:r>
      <w:r>
        <w:rPr>
          <w:b/>
          <w:color w:val="1A4796"/>
          <w:spacing w:val="-9"/>
        </w:rPr>
        <w:t> </w:t>
      </w:r>
      <w:r>
        <w:rPr>
          <w:b/>
          <w:color w:val="1A4796"/>
          <w:spacing w:val="-4"/>
        </w:rPr>
        <w:t>2022.</w:t>
      </w:r>
      <w:r>
        <w:rPr>
          <w:b/>
          <w:color w:val="1A4796"/>
          <w:spacing w:val="-10"/>
        </w:rPr>
        <w:t> </w:t>
      </w:r>
      <w:r>
        <w:rPr>
          <w:color w:val="231F20"/>
          <w:spacing w:val="-4"/>
        </w:rPr>
        <w:t>Le</w:t>
      </w:r>
      <w:r>
        <w:rPr>
          <w:color w:val="231F20"/>
          <w:spacing w:val="-9"/>
        </w:rPr>
        <w:t> </w:t>
      </w:r>
      <w:r>
        <w:rPr>
          <w:color w:val="231F20"/>
          <w:spacing w:val="-4"/>
        </w:rPr>
        <w:t>Vingt-deuxième Conseilpolitiquedel’Alliancebolivariennes </w:t>
      </w:r>
      <w:r>
        <w:rPr>
          <w:color w:val="231F20"/>
        </w:rPr>
        <w:t>des</w:t>
      </w:r>
      <w:r>
        <w:rPr>
          <w:color w:val="231F20"/>
          <w:spacing w:val="-16"/>
        </w:rPr>
        <w:t> </w:t>
      </w:r>
      <w:r>
        <w:rPr>
          <w:color w:val="231F20"/>
        </w:rPr>
        <w:t>peuples</w:t>
      </w:r>
      <w:r>
        <w:rPr>
          <w:color w:val="231F20"/>
          <w:spacing w:val="-16"/>
        </w:rPr>
        <w:t> </w:t>
      </w:r>
      <w:r>
        <w:rPr>
          <w:color w:val="231F20"/>
        </w:rPr>
        <w:t>de</w:t>
      </w:r>
      <w:r>
        <w:rPr>
          <w:color w:val="231F20"/>
          <w:spacing w:val="-16"/>
        </w:rPr>
        <w:t> </w:t>
      </w:r>
      <w:r>
        <w:rPr>
          <w:color w:val="231F20"/>
        </w:rPr>
        <w:t>Notre</w:t>
      </w:r>
      <w:r>
        <w:rPr>
          <w:color w:val="231F20"/>
          <w:spacing w:val="-16"/>
        </w:rPr>
        <w:t> </w:t>
      </w:r>
      <w:r>
        <w:rPr>
          <w:color w:val="231F20"/>
        </w:rPr>
        <w:t>Amérique</w:t>
      </w:r>
      <w:r>
        <w:rPr>
          <w:color w:val="231F20"/>
          <w:spacing w:val="-16"/>
        </w:rPr>
        <w:t> </w:t>
      </w:r>
      <w:r>
        <w:rPr>
          <w:color w:val="231F20"/>
        </w:rPr>
        <w:t>–</w:t>
      </w:r>
      <w:r>
        <w:rPr>
          <w:color w:val="231F20"/>
          <w:spacing w:val="-16"/>
        </w:rPr>
        <w:t> </w:t>
      </w:r>
      <w:r>
        <w:rPr>
          <w:color w:val="231F20"/>
        </w:rPr>
        <w:t>Traité de commerce des peuples (ALBA-</w:t>
      </w:r>
      <w:r>
        <w:rPr>
          <w:color w:val="231F20"/>
          <w:spacing w:val="40"/>
        </w:rPr>
        <w:t> </w:t>
      </w:r>
      <w:r>
        <w:rPr>
          <w:color w:val="231F20"/>
        </w:rPr>
        <w:t>TCP),</w:t>
      </w:r>
      <w:r>
        <w:rPr>
          <w:color w:val="231F20"/>
          <w:spacing w:val="1"/>
        </w:rPr>
        <w:t> </w:t>
      </w:r>
      <w:r>
        <w:rPr>
          <w:color w:val="231F20"/>
        </w:rPr>
        <w:t>tenu</w:t>
      </w:r>
      <w:r>
        <w:rPr>
          <w:color w:val="231F20"/>
          <w:spacing w:val="2"/>
        </w:rPr>
        <w:t> </w:t>
      </w:r>
      <w:r>
        <w:rPr>
          <w:color w:val="231F20"/>
        </w:rPr>
        <w:t>à</w:t>
      </w:r>
      <w:r>
        <w:rPr>
          <w:color w:val="231F20"/>
          <w:spacing w:val="1"/>
        </w:rPr>
        <w:t> </w:t>
      </w:r>
      <w:r>
        <w:rPr>
          <w:color w:val="231F20"/>
        </w:rPr>
        <w:t>New</w:t>
      </w:r>
      <w:r>
        <w:rPr>
          <w:color w:val="231F20"/>
          <w:spacing w:val="2"/>
        </w:rPr>
        <w:t> </w:t>
      </w:r>
      <w:r>
        <w:rPr>
          <w:color w:val="231F20"/>
        </w:rPr>
        <w:t>York</w:t>
      </w:r>
      <w:r>
        <w:rPr>
          <w:color w:val="231F20"/>
          <w:spacing w:val="1"/>
        </w:rPr>
        <w:t> </w:t>
      </w:r>
      <w:r>
        <w:rPr>
          <w:color w:val="231F20"/>
        </w:rPr>
        <w:t>dans</w:t>
      </w:r>
      <w:r>
        <w:rPr>
          <w:color w:val="231F20"/>
          <w:spacing w:val="2"/>
        </w:rPr>
        <w:t> </w:t>
      </w:r>
      <w:r>
        <w:rPr>
          <w:color w:val="231F20"/>
        </w:rPr>
        <w:t>le</w:t>
      </w:r>
      <w:r>
        <w:rPr>
          <w:color w:val="231F20"/>
          <w:spacing w:val="1"/>
        </w:rPr>
        <w:t> </w:t>
      </w:r>
      <w:r>
        <w:rPr>
          <w:color w:val="231F20"/>
        </w:rPr>
        <w:t>cadre</w:t>
      </w:r>
      <w:r>
        <w:rPr>
          <w:color w:val="231F20"/>
          <w:spacing w:val="2"/>
        </w:rPr>
        <w:t> </w:t>
      </w:r>
      <w:r>
        <w:rPr>
          <w:color w:val="231F20"/>
          <w:spacing w:val="-5"/>
        </w:rPr>
        <w:t>de</w:t>
      </w:r>
    </w:p>
    <w:p>
      <w:pPr>
        <w:spacing w:after="0"/>
        <w:sectPr>
          <w:pgSz w:w="11910" w:h="16840"/>
          <w:pgMar w:header="0" w:footer="695" w:top="1260" w:bottom="880" w:left="0" w:right="0"/>
          <w:cols w:num="2" w:equalWidth="0">
            <w:col w:w="5898" w:space="40"/>
            <w:col w:w="5972"/>
          </w:cols>
        </w:sectPr>
      </w:pPr>
    </w:p>
    <w:p>
      <w:pPr>
        <w:pStyle w:val="BodyText"/>
        <w:spacing w:before="77"/>
        <w:ind w:left="1394" w:right="2"/>
      </w:pPr>
      <w:r>
        <w:rPr>
          <w:color w:val="231F20"/>
        </w:rPr>
        <w:t>la Soixante-dix-septième Session de </w:t>
      </w:r>
      <w:r>
        <w:rPr>
          <w:color w:val="231F20"/>
          <w:spacing w:val="-2"/>
        </w:rPr>
        <w:t>l’Assemblée</w:t>
      </w:r>
      <w:r>
        <w:rPr>
          <w:color w:val="231F20"/>
          <w:spacing w:val="-15"/>
        </w:rPr>
        <w:t> </w:t>
      </w:r>
      <w:r>
        <w:rPr>
          <w:color w:val="231F20"/>
          <w:spacing w:val="-2"/>
        </w:rPr>
        <w:t>générale</w:t>
      </w:r>
      <w:r>
        <w:rPr>
          <w:color w:val="231F20"/>
          <w:spacing w:val="-14"/>
        </w:rPr>
        <w:t> </w:t>
      </w:r>
      <w:r>
        <w:rPr>
          <w:color w:val="231F20"/>
          <w:spacing w:val="-2"/>
        </w:rPr>
        <w:t>des</w:t>
      </w:r>
      <w:r>
        <w:rPr>
          <w:color w:val="231F20"/>
          <w:spacing w:val="-15"/>
        </w:rPr>
        <w:t> </w:t>
      </w:r>
      <w:r>
        <w:rPr>
          <w:color w:val="231F20"/>
          <w:spacing w:val="-2"/>
        </w:rPr>
        <w:t>Nations</w:t>
      </w:r>
      <w:r>
        <w:rPr>
          <w:color w:val="231F20"/>
          <w:spacing w:val="-14"/>
        </w:rPr>
        <w:t> </w:t>
      </w:r>
      <w:r>
        <w:rPr>
          <w:color w:val="231F20"/>
          <w:spacing w:val="-2"/>
        </w:rPr>
        <w:t>Unies, </w:t>
      </w:r>
      <w:r>
        <w:rPr>
          <w:color w:val="231F20"/>
        </w:rPr>
        <w:t>adopte une déclaration qui demande</w:t>
      </w:r>
      <w:r>
        <w:rPr>
          <w:color w:val="231F20"/>
          <w:spacing w:val="80"/>
          <w:w w:val="150"/>
        </w:rPr>
        <w:t> </w:t>
      </w:r>
      <w:r>
        <w:rPr>
          <w:color w:val="231F20"/>
        </w:rPr>
        <w:t>à l’administration étasunienne la levée </w:t>
      </w:r>
      <w:r>
        <w:rPr>
          <w:color w:val="231F20"/>
          <w:spacing w:val="-2"/>
        </w:rPr>
        <w:t>immédiate</w:t>
      </w:r>
      <w:r>
        <w:rPr>
          <w:color w:val="231F20"/>
          <w:spacing w:val="-15"/>
        </w:rPr>
        <w:t> </w:t>
      </w:r>
      <w:r>
        <w:rPr>
          <w:color w:val="231F20"/>
          <w:spacing w:val="-2"/>
        </w:rPr>
        <w:t>et</w:t>
      </w:r>
      <w:r>
        <w:rPr>
          <w:color w:val="231F20"/>
          <w:spacing w:val="-14"/>
        </w:rPr>
        <w:t> </w:t>
      </w:r>
      <w:r>
        <w:rPr>
          <w:color w:val="231F20"/>
          <w:spacing w:val="-2"/>
        </w:rPr>
        <w:t>inconditionnelle</w:t>
      </w:r>
      <w:r>
        <w:rPr>
          <w:color w:val="231F20"/>
          <w:spacing w:val="-15"/>
        </w:rPr>
        <w:t> </w:t>
      </w:r>
      <w:r>
        <w:rPr>
          <w:color w:val="231F20"/>
          <w:spacing w:val="-2"/>
        </w:rPr>
        <w:t>du</w:t>
      </w:r>
      <w:r>
        <w:rPr>
          <w:color w:val="231F20"/>
          <w:spacing w:val="-14"/>
        </w:rPr>
        <w:t> </w:t>
      </w:r>
      <w:r>
        <w:rPr>
          <w:color w:val="231F20"/>
          <w:spacing w:val="-2"/>
        </w:rPr>
        <w:t>blocus </w:t>
      </w:r>
      <w:r>
        <w:rPr>
          <w:color w:val="231F20"/>
          <w:spacing w:val="-10"/>
        </w:rPr>
        <w:t>et</w:t>
      </w:r>
      <w:r>
        <w:rPr>
          <w:color w:val="231F20"/>
          <w:spacing w:val="-7"/>
        </w:rPr>
        <w:t> </w:t>
      </w:r>
      <w:r>
        <w:rPr>
          <w:color w:val="231F20"/>
          <w:spacing w:val="-10"/>
        </w:rPr>
        <w:t>la</w:t>
      </w:r>
      <w:r>
        <w:rPr>
          <w:color w:val="231F20"/>
          <w:spacing w:val="-6"/>
        </w:rPr>
        <w:t> </w:t>
      </w:r>
      <w:r>
        <w:rPr>
          <w:color w:val="231F20"/>
          <w:spacing w:val="-10"/>
        </w:rPr>
        <w:t>radiation</w:t>
      </w:r>
      <w:r>
        <w:rPr>
          <w:color w:val="231F20"/>
          <w:spacing w:val="-7"/>
        </w:rPr>
        <w:t> </w:t>
      </w:r>
      <w:r>
        <w:rPr>
          <w:color w:val="231F20"/>
          <w:spacing w:val="-10"/>
        </w:rPr>
        <w:t>de</w:t>
      </w:r>
      <w:r>
        <w:rPr>
          <w:color w:val="231F20"/>
          <w:spacing w:val="-6"/>
        </w:rPr>
        <w:t> </w:t>
      </w:r>
      <w:r>
        <w:rPr>
          <w:color w:val="231F20"/>
          <w:spacing w:val="-10"/>
        </w:rPr>
        <w:t>Cuba</w:t>
      </w:r>
      <w:r>
        <w:rPr>
          <w:color w:val="231F20"/>
          <w:spacing w:val="-7"/>
        </w:rPr>
        <w:t> </w:t>
      </w:r>
      <w:r>
        <w:rPr>
          <w:color w:val="231F20"/>
          <w:spacing w:val="-10"/>
        </w:rPr>
        <w:t>de</w:t>
      </w:r>
      <w:r>
        <w:rPr>
          <w:color w:val="231F20"/>
          <w:spacing w:val="-6"/>
        </w:rPr>
        <w:t> </w:t>
      </w:r>
      <w:r>
        <w:rPr>
          <w:color w:val="231F20"/>
          <w:spacing w:val="-10"/>
        </w:rPr>
        <w:t>la</w:t>
      </w:r>
      <w:r>
        <w:rPr>
          <w:color w:val="231F20"/>
          <w:spacing w:val="-7"/>
        </w:rPr>
        <w:t> </w:t>
      </w:r>
      <w:r>
        <w:rPr>
          <w:color w:val="231F20"/>
          <w:spacing w:val="-10"/>
        </w:rPr>
        <w:t>Liste</w:t>
      </w:r>
      <w:r>
        <w:rPr>
          <w:color w:val="231F20"/>
          <w:spacing w:val="-6"/>
        </w:rPr>
        <w:t> </w:t>
      </w:r>
      <w:r>
        <w:rPr>
          <w:color w:val="231F20"/>
          <w:spacing w:val="-10"/>
        </w:rPr>
        <w:t>illégitime </w:t>
      </w:r>
      <w:r>
        <w:rPr>
          <w:color w:val="231F20"/>
          <w:spacing w:val="-2"/>
        </w:rPr>
        <w:t>des</w:t>
      </w:r>
      <w:r>
        <w:rPr>
          <w:color w:val="231F20"/>
          <w:spacing w:val="-15"/>
        </w:rPr>
        <w:t> </w:t>
      </w:r>
      <w:r>
        <w:rPr>
          <w:color w:val="231F20"/>
          <w:spacing w:val="-2"/>
        </w:rPr>
        <w:t>États</w:t>
      </w:r>
      <w:r>
        <w:rPr>
          <w:color w:val="231F20"/>
          <w:spacing w:val="-14"/>
        </w:rPr>
        <w:t> </w:t>
      </w:r>
      <w:r>
        <w:rPr>
          <w:color w:val="231F20"/>
          <w:spacing w:val="-2"/>
        </w:rPr>
        <w:t>censément</w:t>
      </w:r>
      <w:r>
        <w:rPr>
          <w:color w:val="231F20"/>
          <w:spacing w:val="-15"/>
        </w:rPr>
        <w:t> </w:t>
      </w:r>
      <w:r>
        <w:rPr>
          <w:color w:val="231F20"/>
          <w:spacing w:val="-2"/>
        </w:rPr>
        <w:t>commanditaires</w:t>
      </w:r>
      <w:r>
        <w:rPr>
          <w:color w:val="231F20"/>
          <w:spacing w:val="-14"/>
        </w:rPr>
        <w:t> </w:t>
      </w:r>
      <w:r>
        <w:rPr>
          <w:color w:val="231F20"/>
          <w:spacing w:val="-2"/>
        </w:rPr>
        <w:t>de </w:t>
      </w:r>
      <w:r>
        <w:rPr>
          <w:color w:val="231F20"/>
        </w:rPr>
        <w:t>terrorisme international.</w:t>
      </w:r>
    </w:p>
    <w:p>
      <w:pPr>
        <w:pStyle w:val="BodyText"/>
        <w:spacing w:before="166"/>
        <w:ind w:left="1394" w:right="5"/>
      </w:pPr>
      <w:r>
        <w:rPr/>
        <mc:AlternateContent>
          <mc:Choice Requires="wps">
            <w:drawing>
              <wp:anchor distT="0" distB="0" distL="0" distR="0" allowOverlap="1" layoutInCell="1" locked="0" behindDoc="0" simplePos="0" relativeHeight="15846912">
                <wp:simplePos x="0" y="0"/>
                <wp:positionH relativeFrom="page">
                  <wp:posOffset>719997</wp:posOffset>
                </wp:positionH>
                <wp:positionV relativeFrom="paragraph">
                  <wp:posOffset>185671</wp:posOffset>
                </wp:positionV>
                <wp:extent cx="59690" cy="59690"/>
                <wp:effectExtent l="0" t="0" r="0" b="0"/>
                <wp:wrapNone/>
                <wp:docPr id="521" name="Graphic 521"/>
                <wp:cNvGraphicFramePr>
                  <a:graphicFrameLocks/>
                </wp:cNvGraphicFramePr>
                <a:graphic>
                  <a:graphicData uri="http://schemas.microsoft.com/office/word/2010/wordprocessingShape">
                    <wps:wsp>
                      <wps:cNvPr id="521" name="Graphic 52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6198pt;width:4.7pt;height:4.7pt;mso-position-horizontal-relative:page;mso-position-vertical-relative:paragraph;z-index:15846912" id="docshape408" coordorigin="1134,292" coordsize="94,94" path="m1180,292l1162,296,1148,306,1138,321,1134,339,1138,357,1148,372,1162,382,1180,386,1199,382,1213,372,1223,357,1227,339,1223,321,1213,306,1199,296,1180,292xe" filled="true" fillcolor="#1a4796" stroked="false">
                <v:path arrowok="t"/>
                <v:fill type="solid"/>
                <w10:wrap type="none"/>
              </v:shape>
            </w:pict>
          </mc:Fallback>
        </mc:AlternateContent>
      </w:r>
      <w:r>
        <w:rPr>
          <w:b/>
          <w:color w:val="1A4796"/>
        </w:rPr>
        <w:t>12 octobre 2022. </w:t>
      </w:r>
      <w:r>
        <w:rPr>
          <w:color w:val="231F20"/>
        </w:rPr>
        <w:t>L’Association des </w:t>
      </w:r>
      <w:r>
        <w:rPr>
          <w:color w:val="231F20"/>
          <w:spacing w:val="-4"/>
        </w:rPr>
        <w:t>Cubains</w:t>
      </w:r>
      <w:r>
        <w:rPr>
          <w:color w:val="231F20"/>
          <w:spacing w:val="-13"/>
        </w:rPr>
        <w:t> </w:t>
      </w:r>
      <w:r>
        <w:rPr>
          <w:color w:val="231F20"/>
          <w:spacing w:val="-4"/>
        </w:rPr>
        <w:t>résidant</w:t>
      </w:r>
      <w:r>
        <w:rPr>
          <w:color w:val="231F20"/>
          <w:spacing w:val="-12"/>
        </w:rPr>
        <w:t> </w:t>
      </w:r>
      <w:r>
        <w:rPr>
          <w:color w:val="231F20"/>
          <w:spacing w:val="-4"/>
        </w:rPr>
        <w:t>au</w:t>
      </w:r>
      <w:r>
        <w:rPr>
          <w:color w:val="231F20"/>
          <w:spacing w:val="-13"/>
        </w:rPr>
        <w:t> </w:t>
      </w:r>
      <w:r>
        <w:rPr>
          <w:color w:val="231F20"/>
          <w:spacing w:val="-4"/>
        </w:rPr>
        <w:t>Panama</w:t>
      </w:r>
      <w:r>
        <w:rPr>
          <w:color w:val="231F20"/>
          <w:spacing w:val="-12"/>
        </w:rPr>
        <w:t> </w:t>
      </w:r>
      <w:r>
        <w:rPr>
          <w:color w:val="231F20"/>
          <w:spacing w:val="-4"/>
        </w:rPr>
        <w:t>adresse</w:t>
      </w:r>
      <w:r>
        <w:rPr>
          <w:color w:val="231F20"/>
          <w:spacing w:val="-13"/>
        </w:rPr>
        <w:t> </w:t>
      </w:r>
      <w:r>
        <w:rPr>
          <w:color w:val="231F20"/>
          <w:spacing w:val="-4"/>
        </w:rPr>
        <w:t>une </w:t>
      </w:r>
      <w:r>
        <w:rPr>
          <w:color w:val="231F20"/>
          <w:spacing w:val="-12"/>
        </w:rPr>
        <w:t>lettre</w:t>
      </w:r>
      <w:r>
        <w:rPr>
          <w:color w:val="231F20"/>
          <w:spacing w:val="-5"/>
        </w:rPr>
        <w:t> </w:t>
      </w:r>
      <w:r>
        <w:rPr>
          <w:color w:val="231F20"/>
          <w:spacing w:val="-12"/>
        </w:rPr>
        <w:t>à</w:t>
      </w:r>
      <w:r>
        <w:rPr>
          <w:color w:val="231F20"/>
          <w:spacing w:val="-4"/>
        </w:rPr>
        <w:t> </w:t>
      </w:r>
      <w:r>
        <w:rPr>
          <w:color w:val="231F20"/>
          <w:spacing w:val="-12"/>
        </w:rPr>
        <w:t>Mari</w:t>
      </w:r>
      <w:r>
        <w:rPr>
          <w:color w:val="231F20"/>
          <w:spacing w:val="-5"/>
        </w:rPr>
        <w:t> </w:t>
      </w:r>
      <w:r>
        <w:rPr>
          <w:color w:val="231F20"/>
          <w:spacing w:val="-12"/>
        </w:rPr>
        <w:t>Carmen</w:t>
      </w:r>
      <w:r>
        <w:rPr>
          <w:color w:val="231F20"/>
          <w:spacing w:val="-4"/>
        </w:rPr>
        <w:t> </w:t>
      </w:r>
      <w:r>
        <w:rPr>
          <w:color w:val="231F20"/>
          <w:spacing w:val="-12"/>
        </w:rPr>
        <w:t>Aponte,</w:t>
      </w:r>
      <w:r>
        <w:rPr>
          <w:color w:val="231F20"/>
          <w:spacing w:val="-5"/>
        </w:rPr>
        <w:t> </w:t>
      </w:r>
      <w:r>
        <w:rPr>
          <w:color w:val="231F20"/>
          <w:spacing w:val="-12"/>
        </w:rPr>
        <w:t>ambassadrice </w:t>
      </w:r>
      <w:r>
        <w:rPr>
          <w:color w:val="231F20"/>
          <w:spacing w:val="-8"/>
        </w:rPr>
        <w:t>des</w:t>
      </w:r>
      <w:r>
        <w:rPr>
          <w:color w:val="231F20"/>
          <w:spacing w:val="-9"/>
        </w:rPr>
        <w:t> </w:t>
      </w:r>
      <w:r>
        <w:rPr>
          <w:color w:val="231F20"/>
          <w:spacing w:val="-8"/>
        </w:rPr>
        <w:t>États-Unis, pour</w:t>
      </w:r>
      <w:r>
        <w:rPr>
          <w:color w:val="231F20"/>
          <w:spacing w:val="-9"/>
        </w:rPr>
        <w:t> </w:t>
      </w:r>
      <w:r>
        <w:rPr>
          <w:color w:val="231F20"/>
          <w:spacing w:val="-8"/>
        </w:rPr>
        <w:t>dénoncer le</w:t>
      </w:r>
      <w:r>
        <w:rPr>
          <w:color w:val="231F20"/>
          <w:spacing w:val="-9"/>
        </w:rPr>
        <w:t> </w:t>
      </w:r>
      <w:r>
        <w:rPr>
          <w:color w:val="231F20"/>
          <w:spacing w:val="-8"/>
        </w:rPr>
        <w:t>blocus et </w:t>
      </w:r>
      <w:r>
        <w:rPr>
          <w:color w:val="231F20"/>
        </w:rPr>
        <w:t>en</w:t>
      </w:r>
      <w:r>
        <w:rPr>
          <w:color w:val="231F20"/>
          <w:spacing w:val="-2"/>
        </w:rPr>
        <w:t> </w:t>
      </w:r>
      <w:r>
        <w:rPr>
          <w:color w:val="231F20"/>
        </w:rPr>
        <w:t>demander</w:t>
      </w:r>
      <w:r>
        <w:rPr>
          <w:color w:val="231F20"/>
          <w:spacing w:val="-2"/>
        </w:rPr>
        <w:t> </w:t>
      </w:r>
      <w:r>
        <w:rPr>
          <w:color w:val="231F20"/>
        </w:rPr>
        <w:t>la</w:t>
      </w:r>
      <w:r>
        <w:rPr>
          <w:color w:val="231F20"/>
          <w:spacing w:val="-2"/>
        </w:rPr>
        <w:t> </w:t>
      </w:r>
      <w:r>
        <w:rPr>
          <w:color w:val="231F20"/>
        </w:rPr>
        <w:t>levée.</w:t>
      </w:r>
    </w:p>
    <w:p>
      <w:pPr>
        <w:pStyle w:val="BodyText"/>
        <w:spacing w:before="164"/>
        <w:ind w:left="1394"/>
      </w:pPr>
      <w:r>
        <w:rPr/>
        <mc:AlternateContent>
          <mc:Choice Requires="wps">
            <w:drawing>
              <wp:anchor distT="0" distB="0" distL="0" distR="0" allowOverlap="1" layoutInCell="1" locked="0" behindDoc="0" simplePos="0" relativeHeight="15846400">
                <wp:simplePos x="0" y="0"/>
                <wp:positionH relativeFrom="page">
                  <wp:posOffset>719997</wp:posOffset>
                </wp:positionH>
                <wp:positionV relativeFrom="paragraph">
                  <wp:posOffset>189942</wp:posOffset>
                </wp:positionV>
                <wp:extent cx="59690" cy="59690"/>
                <wp:effectExtent l="0" t="0" r="0" b="0"/>
                <wp:wrapNone/>
                <wp:docPr id="522" name="Graphic 522"/>
                <wp:cNvGraphicFramePr>
                  <a:graphicFrameLocks/>
                </wp:cNvGraphicFramePr>
                <a:graphic>
                  <a:graphicData uri="http://schemas.microsoft.com/office/word/2010/wordprocessingShape">
                    <wps:wsp>
                      <wps:cNvPr id="522" name="Graphic 52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956113pt;width:4.7pt;height:4.7pt;mso-position-horizontal-relative:page;mso-position-vertical-relative:paragraph;z-index:15846400" id="docshape409" coordorigin="1134,299" coordsize="94,94" path="m1180,299l1162,303,1148,313,1138,328,1134,346,1138,364,1148,379,1162,389,1180,392,1199,389,1213,379,1223,364,1227,346,1223,328,1213,313,1199,303,1180,299xe" filled="true" fillcolor="#1a4796" stroked="false">
                <v:path arrowok="t"/>
                <v:fill type="solid"/>
                <w10:wrap type="none"/>
              </v:shape>
            </w:pict>
          </mc:Fallback>
        </mc:AlternateContent>
      </w:r>
      <w:r>
        <w:rPr>
          <w:b/>
          <w:color w:val="1A4796"/>
        </w:rPr>
        <w:t>26 octobre 2022. </w:t>
      </w:r>
      <w:r>
        <w:rPr>
          <w:color w:val="231F20"/>
        </w:rPr>
        <w:t>La </w:t>
      </w:r>
      <w:r>
        <w:rPr>
          <w:color w:val="231F20"/>
        </w:rPr>
        <w:t>Vingt-troisième Réunion des ministres des Affaires étrangères</w:t>
      </w:r>
      <w:r>
        <w:rPr>
          <w:color w:val="231F20"/>
          <w:spacing w:val="-17"/>
        </w:rPr>
        <w:t> </w:t>
      </w:r>
      <w:r>
        <w:rPr>
          <w:color w:val="231F20"/>
        </w:rPr>
        <w:t>de</w:t>
      </w:r>
      <w:r>
        <w:rPr>
          <w:color w:val="231F20"/>
          <w:spacing w:val="-16"/>
        </w:rPr>
        <w:t> </w:t>
      </w:r>
      <w:r>
        <w:rPr>
          <w:color w:val="231F20"/>
        </w:rPr>
        <w:t>la</w:t>
      </w:r>
      <w:r>
        <w:rPr>
          <w:color w:val="231F20"/>
          <w:spacing w:val="-17"/>
        </w:rPr>
        <w:t> </w:t>
      </w:r>
      <w:r>
        <w:rPr>
          <w:color w:val="231F20"/>
        </w:rPr>
        <w:t>Communauté</w:t>
      </w:r>
      <w:r>
        <w:rPr>
          <w:color w:val="231F20"/>
          <w:spacing w:val="-16"/>
        </w:rPr>
        <w:t> </w:t>
      </w:r>
      <w:r>
        <w:rPr>
          <w:color w:val="231F20"/>
        </w:rPr>
        <w:t>des</w:t>
      </w:r>
      <w:r>
        <w:rPr>
          <w:color w:val="231F20"/>
          <w:spacing w:val="-17"/>
        </w:rPr>
        <w:t> </w:t>
      </w:r>
      <w:r>
        <w:rPr>
          <w:color w:val="231F20"/>
        </w:rPr>
        <w:t>États latino-américains (CELAC), adopte à </w:t>
      </w:r>
      <w:r>
        <w:rPr>
          <w:color w:val="231F20"/>
          <w:spacing w:val="-2"/>
        </w:rPr>
        <w:t>Buenos</w:t>
      </w:r>
      <w:r>
        <w:rPr>
          <w:color w:val="231F20"/>
          <w:spacing w:val="-11"/>
        </w:rPr>
        <w:t> </w:t>
      </w:r>
      <w:r>
        <w:rPr>
          <w:color w:val="231F20"/>
          <w:spacing w:val="-2"/>
        </w:rPr>
        <w:t>Aires</w:t>
      </w:r>
      <w:r>
        <w:rPr>
          <w:color w:val="231F20"/>
          <w:spacing w:val="-12"/>
        </w:rPr>
        <w:t> </w:t>
      </w:r>
      <w:r>
        <w:rPr>
          <w:color w:val="231F20"/>
          <w:spacing w:val="-2"/>
        </w:rPr>
        <w:t>une</w:t>
      </w:r>
      <w:r>
        <w:rPr>
          <w:color w:val="231F20"/>
          <w:spacing w:val="-12"/>
        </w:rPr>
        <w:t> </w:t>
      </w:r>
      <w:r>
        <w:rPr>
          <w:color w:val="231F20"/>
          <w:spacing w:val="-2"/>
        </w:rPr>
        <w:t>Déclaration</w:t>
      </w:r>
      <w:r>
        <w:rPr>
          <w:color w:val="231F20"/>
          <w:spacing w:val="-12"/>
        </w:rPr>
        <w:t> </w:t>
      </w:r>
      <w:r>
        <w:rPr>
          <w:color w:val="231F20"/>
          <w:spacing w:val="-2"/>
        </w:rPr>
        <w:t>qui</w:t>
      </w:r>
      <w:r>
        <w:rPr>
          <w:color w:val="231F20"/>
          <w:spacing w:val="-12"/>
        </w:rPr>
        <w:t> </w:t>
      </w:r>
      <w:r>
        <w:rPr>
          <w:color w:val="231F20"/>
          <w:spacing w:val="-2"/>
        </w:rPr>
        <w:t>réitère </w:t>
      </w:r>
      <w:r>
        <w:rPr>
          <w:color w:val="231F20"/>
        </w:rPr>
        <w:t>l’appel de l’Assemblée générale des Nations Unies à lever le blocus contre Cuba qui, non seulement est illégal au regard</w:t>
      </w:r>
      <w:r>
        <w:rPr>
          <w:color w:val="231F20"/>
          <w:spacing w:val="-17"/>
        </w:rPr>
        <w:t> </w:t>
      </w:r>
      <w:r>
        <w:rPr>
          <w:color w:val="231F20"/>
        </w:rPr>
        <w:t>du</w:t>
      </w:r>
      <w:r>
        <w:rPr>
          <w:color w:val="231F20"/>
          <w:spacing w:val="-16"/>
        </w:rPr>
        <w:t> </w:t>
      </w:r>
      <w:r>
        <w:rPr>
          <w:color w:val="231F20"/>
        </w:rPr>
        <w:t>droit</w:t>
      </w:r>
      <w:r>
        <w:rPr>
          <w:color w:val="231F20"/>
          <w:spacing w:val="-17"/>
        </w:rPr>
        <w:t> </w:t>
      </w:r>
      <w:r>
        <w:rPr>
          <w:color w:val="231F20"/>
        </w:rPr>
        <w:t>international,</w:t>
      </w:r>
      <w:r>
        <w:rPr>
          <w:color w:val="231F20"/>
          <w:spacing w:val="-16"/>
        </w:rPr>
        <w:t> </w:t>
      </w:r>
      <w:r>
        <w:rPr>
          <w:color w:val="231F20"/>
        </w:rPr>
        <w:t>mais</w:t>
      </w:r>
      <w:r>
        <w:rPr>
          <w:color w:val="231F20"/>
          <w:spacing w:val="-17"/>
        </w:rPr>
        <w:t> </w:t>
      </w:r>
      <w:r>
        <w:rPr>
          <w:color w:val="231F20"/>
        </w:rPr>
        <w:t>aussi cause de gros préjudices au bien-être </w:t>
      </w:r>
      <w:r>
        <w:rPr>
          <w:color w:val="231F20"/>
          <w:spacing w:val="-2"/>
        </w:rPr>
        <w:t>du</w:t>
      </w:r>
      <w:r>
        <w:rPr>
          <w:color w:val="231F20"/>
          <w:spacing w:val="-12"/>
        </w:rPr>
        <w:t> </w:t>
      </w:r>
      <w:r>
        <w:rPr>
          <w:color w:val="231F20"/>
          <w:spacing w:val="-2"/>
        </w:rPr>
        <w:t>peuple</w:t>
      </w:r>
      <w:r>
        <w:rPr>
          <w:color w:val="231F20"/>
          <w:spacing w:val="-12"/>
        </w:rPr>
        <w:t> </w:t>
      </w:r>
      <w:r>
        <w:rPr>
          <w:color w:val="231F20"/>
          <w:spacing w:val="-2"/>
        </w:rPr>
        <w:t>cubain</w:t>
      </w:r>
      <w:r>
        <w:rPr>
          <w:color w:val="231F20"/>
          <w:spacing w:val="-12"/>
        </w:rPr>
        <w:t> </w:t>
      </w:r>
      <w:r>
        <w:rPr>
          <w:color w:val="231F20"/>
          <w:spacing w:val="-2"/>
        </w:rPr>
        <w:t>;</w:t>
      </w:r>
      <w:r>
        <w:rPr>
          <w:color w:val="231F20"/>
          <w:spacing w:val="-12"/>
        </w:rPr>
        <w:t> </w:t>
      </w:r>
      <w:r>
        <w:rPr>
          <w:color w:val="231F20"/>
          <w:spacing w:val="-2"/>
        </w:rPr>
        <w:t>qui</w:t>
      </w:r>
      <w:r>
        <w:rPr>
          <w:color w:val="231F20"/>
          <w:spacing w:val="-12"/>
        </w:rPr>
        <w:t> </w:t>
      </w:r>
      <w:r>
        <w:rPr>
          <w:color w:val="231F20"/>
          <w:spacing w:val="-2"/>
        </w:rPr>
        <w:t>rejette</w:t>
      </w:r>
      <w:r>
        <w:rPr>
          <w:color w:val="231F20"/>
          <w:spacing w:val="-12"/>
        </w:rPr>
        <w:t> </w:t>
      </w:r>
      <w:r>
        <w:rPr>
          <w:color w:val="231F20"/>
          <w:spacing w:val="-2"/>
        </w:rPr>
        <w:t>à</w:t>
      </w:r>
      <w:r>
        <w:rPr>
          <w:color w:val="231F20"/>
          <w:spacing w:val="-12"/>
        </w:rPr>
        <w:t> </w:t>
      </w:r>
      <w:r>
        <w:rPr>
          <w:color w:val="231F20"/>
          <w:spacing w:val="-2"/>
        </w:rPr>
        <w:t>nouveau </w:t>
      </w:r>
      <w:r>
        <w:rPr>
          <w:color w:val="231F20"/>
        </w:rPr>
        <w:t>les listes et certifications unilatérales contre des pays latino-américains et caribéens,</w:t>
      </w:r>
      <w:r>
        <w:rPr>
          <w:color w:val="231F20"/>
          <w:spacing w:val="-13"/>
        </w:rPr>
        <w:t> </w:t>
      </w:r>
      <w:r>
        <w:rPr>
          <w:color w:val="231F20"/>
        </w:rPr>
        <w:t>et</w:t>
      </w:r>
      <w:r>
        <w:rPr>
          <w:color w:val="231F20"/>
          <w:spacing w:val="-12"/>
        </w:rPr>
        <w:t> </w:t>
      </w:r>
      <w:r>
        <w:rPr>
          <w:color w:val="231F20"/>
        </w:rPr>
        <w:t>demande</w:t>
      </w:r>
      <w:r>
        <w:rPr>
          <w:color w:val="231F20"/>
          <w:spacing w:val="-12"/>
        </w:rPr>
        <w:t> </w:t>
      </w:r>
      <w:r>
        <w:rPr>
          <w:color w:val="231F20"/>
        </w:rPr>
        <w:t>expressément</w:t>
      </w:r>
      <w:r>
        <w:rPr>
          <w:color w:val="231F20"/>
          <w:spacing w:val="-12"/>
        </w:rPr>
        <w:t> </w:t>
      </w:r>
      <w:r>
        <w:rPr>
          <w:color w:val="231F20"/>
        </w:rPr>
        <w:t>la radiation de Cuba de la Liste illégitime des États censément commanditaires de terrorisme international.</w:t>
      </w:r>
    </w:p>
    <w:p>
      <w:pPr>
        <w:pStyle w:val="BodyText"/>
        <w:spacing w:before="173"/>
        <w:ind w:left="1394"/>
      </w:pPr>
      <w:r>
        <w:rPr/>
        <mc:AlternateContent>
          <mc:Choice Requires="wps">
            <w:drawing>
              <wp:anchor distT="0" distB="0" distL="0" distR="0" allowOverlap="1" layoutInCell="1" locked="0" behindDoc="0" simplePos="0" relativeHeight="15845376">
                <wp:simplePos x="0" y="0"/>
                <wp:positionH relativeFrom="page">
                  <wp:posOffset>719997</wp:posOffset>
                </wp:positionH>
                <wp:positionV relativeFrom="paragraph">
                  <wp:posOffset>193035</wp:posOffset>
                </wp:positionV>
                <wp:extent cx="59690" cy="59690"/>
                <wp:effectExtent l="0" t="0" r="0" b="0"/>
                <wp:wrapNone/>
                <wp:docPr id="523" name="Graphic 523"/>
                <wp:cNvGraphicFramePr>
                  <a:graphicFrameLocks/>
                </wp:cNvGraphicFramePr>
                <a:graphic>
                  <a:graphicData uri="http://schemas.microsoft.com/office/word/2010/wordprocessingShape">
                    <wps:wsp>
                      <wps:cNvPr id="523" name="Graphic 52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5.199675pt;width:4.7pt;height:4.7pt;mso-position-horizontal-relative:page;mso-position-vertical-relative:paragraph;z-index:15845376" id="docshape410" coordorigin="1134,304" coordsize="94,94" path="m1180,304l1162,308,1148,318,1138,332,1134,351,1138,369,1148,384,1162,394,1180,397,1199,394,1213,384,1223,369,1227,351,1223,332,1213,318,1199,308,1180,304xe" filled="true" fillcolor="#1a4796" stroked="false">
                <v:path arrowok="t"/>
                <v:fill type="solid"/>
                <w10:wrap type="none"/>
              </v:shape>
            </w:pict>
          </mc:Fallback>
        </mc:AlternateContent>
      </w:r>
      <w:r>
        <w:rPr>
          <w:b/>
          <w:color w:val="1A4796"/>
          <w:spacing w:val="-4"/>
        </w:rPr>
        <w:t>27</w:t>
      </w:r>
      <w:r>
        <w:rPr>
          <w:b/>
          <w:color w:val="1A4796"/>
          <w:spacing w:val="-13"/>
        </w:rPr>
        <w:t> </w:t>
      </w:r>
      <w:r>
        <w:rPr>
          <w:b/>
          <w:color w:val="1A4796"/>
          <w:spacing w:val="-4"/>
        </w:rPr>
        <w:t>octobre</w:t>
      </w:r>
      <w:r>
        <w:rPr>
          <w:b/>
          <w:color w:val="1A4796"/>
          <w:spacing w:val="-13"/>
        </w:rPr>
        <w:t> </w:t>
      </w:r>
      <w:r>
        <w:rPr>
          <w:b/>
          <w:color w:val="1A4796"/>
          <w:spacing w:val="-4"/>
        </w:rPr>
        <w:t>2022.</w:t>
      </w:r>
      <w:r>
        <w:rPr>
          <w:b/>
          <w:color w:val="1A4796"/>
          <w:spacing w:val="-12"/>
        </w:rPr>
        <w:t> </w:t>
      </w:r>
      <w:r>
        <w:rPr>
          <w:color w:val="231F20"/>
          <w:spacing w:val="-4"/>
        </w:rPr>
        <w:t>L’Assemblée</w:t>
      </w:r>
      <w:r>
        <w:rPr>
          <w:color w:val="231F20"/>
          <w:spacing w:val="-13"/>
        </w:rPr>
        <w:t> </w:t>
      </w:r>
      <w:r>
        <w:rPr>
          <w:color w:val="231F20"/>
          <w:spacing w:val="-4"/>
        </w:rPr>
        <w:t>nationale </w:t>
      </w:r>
      <w:r>
        <w:rPr>
          <w:color w:val="231F20"/>
        </w:rPr>
        <w:t>du</w:t>
      </w:r>
      <w:r>
        <w:rPr>
          <w:color w:val="231F20"/>
          <w:spacing w:val="-6"/>
        </w:rPr>
        <w:t> </w:t>
      </w:r>
      <w:r>
        <w:rPr>
          <w:color w:val="231F20"/>
        </w:rPr>
        <w:t>pouvoir</w:t>
      </w:r>
      <w:r>
        <w:rPr>
          <w:color w:val="231F20"/>
          <w:spacing w:val="-6"/>
        </w:rPr>
        <w:t> </w:t>
      </w:r>
      <w:r>
        <w:rPr>
          <w:color w:val="231F20"/>
        </w:rPr>
        <w:t>populaire</w:t>
      </w:r>
      <w:r>
        <w:rPr>
          <w:color w:val="231F20"/>
          <w:spacing w:val="-6"/>
        </w:rPr>
        <w:t> </w:t>
      </w:r>
      <w:r>
        <w:rPr>
          <w:color w:val="231F20"/>
        </w:rPr>
        <w:t>de</w:t>
      </w:r>
      <w:r>
        <w:rPr>
          <w:color w:val="231F20"/>
          <w:spacing w:val="-6"/>
        </w:rPr>
        <w:t> </w:t>
      </w:r>
      <w:r>
        <w:rPr>
          <w:color w:val="231F20"/>
        </w:rPr>
        <w:t>Cuba</w:t>
      </w:r>
      <w:r>
        <w:rPr>
          <w:color w:val="231F20"/>
          <w:spacing w:val="-6"/>
        </w:rPr>
        <w:t> </w:t>
      </w:r>
      <w:r>
        <w:rPr>
          <w:color w:val="231F20"/>
        </w:rPr>
        <w:t>organise à La Havane une audience publique parlementaire à laquelle participent</w:t>
      </w:r>
      <w:r>
        <w:rPr>
          <w:color w:val="231F20"/>
          <w:spacing w:val="40"/>
        </w:rPr>
        <w:t> </w:t>
      </w:r>
      <w:r>
        <w:rPr>
          <w:color w:val="231F20"/>
        </w:rPr>
        <w:t>des députés cubains et étrangers, dont </w:t>
      </w:r>
      <w:r>
        <w:rPr>
          <w:color w:val="231F20"/>
          <w:spacing w:val="-4"/>
        </w:rPr>
        <w:t>Gloria</w:t>
      </w:r>
      <w:r>
        <w:rPr>
          <w:color w:val="231F20"/>
          <w:spacing w:val="-13"/>
        </w:rPr>
        <w:t> </w:t>
      </w:r>
      <w:r>
        <w:rPr>
          <w:color w:val="231F20"/>
          <w:spacing w:val="-4"/>
        </w:rPr>
        <w:t>Flórez,</w:t>
      </w:r>
      <w:r>
        <w:rPr>
          <w:color w:val="231F20"/>
          <w:spacing w:val="-12"/>
        </w:rPr>
        <w:t> </w:t>
      </w:r>
      <w:r>
        <w:rPr>
          <w:color w:val="231F20"/>
          <w:spacing w:val="-4"/>
        </w:rPr>
        <w:t>président</w:t>
      </w:r>
      <w:r>
        <w:rPr>
          <w:color w:val="231F20"/>
          <w:spacing w:val="-13"/>
        </w:rPr>
        <w:t> </w:t>
      </w:r>
      <w:r>
        <w:rPr>
          <w:color w:val="231F20"/>
          <w:spacing w:val="-4"/>
        </w:rPr>
        <w:t>de</w:t>
      </w:r>
      <w:r>
        <w:rPr>
          <w:color w:val="231F20"/>
          <w:spacing w:val="-12"/>
        </w:rPr>
        <w:t> </w:t>
      </w:r>
      <w:r>
        <w:rPr>
          <w:color w:val="231F20"/>
          <w:spacing w:val="-4"/>
        </w:rPr>
        <w:t>la</w:t>
      </w:r>
      <w:r>
        <w:rPr>
          <w:color w:val="231F20"/>
          <w:spacing w:val="-13"/>
        </w:rPr>
        <w:t> </w:t>
      </w:r>
      <w:r>
        <w:rPr>
          <w:color w:val="231F20"/>
          <w:spacing w:val="-4"/>
        </w:rPr>
        <w:t>commission </w:t>
      </w:r>
      <w:r>
        <w:rPr>
          <w:color w:val="231F20"/>
        </w:rPr>
        <w:t>des relations internationales du Sénat </w:t>
      </w:r>
      <w:r>
        <w:rPr>
          <w:color w:val="231F20"/>
          <w:spacing w:val="-2"/>
        </w:rPr>
        <w:t>colombien.</w:t>
      </w:r>
    </w:p>
    <w:p>
      <w:pPr>
        <w:pStyle w:val="BodyText"/>
        <w:spacing w:before="166"/>
        <w:ind w:left="1394"/>
      </w:pPr>
      <w:r>
        <w:rPr/>
        <mc:AlternateContent>
          <mc:Choice Requires="wps">
            <w:drawing>
              <wp:anchor distT="0" distB="0" distL="0" distR="0" allowOverlap="1" layoutInCell="1" locked="0" behindDoc="0" simplePos="0" relativeHeight="15845888">
                <wp:simplePos x="0" y="0"/>
                <wp:positionH relativeFrom="page">
                  <wp:posOffset>719997</wp:posOffset>
                </wp:positionH>
                <wp:positionV relativeFrom="paragraph">
                  <wp:posOffset>189549</wp:posOffset>
                </wp:positionV>
                <wp:extent cx="59690" cy="59690"/>
                <wp:effectExtent l="0" t="0" r="0" b="0"/>
                <wp:wrapNone/>
                <wp:docPr id="524" name="Graphic 524"/>
                <wp:cNvGraphicFramePr>
                  <a:graphicFrameLocks/>
                </wp:cNvGraphicFramePr>
                <a:graphic>
                  <a:graphicData uri="http://schemas.microsoft.com/office/word/2010/wordprocessingShape">
                    <wps:wsp>
                      <wps:cNvPr id="524" name="Graphic 52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925175pt;width:4.7pt;height:4.7pt;mso-position-horizontal-relative:page;mso-position-vertical-relative:paragraph;z-index:15845888" id="docshape411" coordorigin="1134,299" coordsize="94,94" path="m1180,299l1162,302,1148,312,1138,327,1134,345,1138,363,1148,378,1162,388,1180,392,1199,388,1213,378,1223,363,1227,345,1223,327,1213,312,1199,302,1180,299xe" filled="true" fillcolor="#1a4796" stroked="false">
                <v:path arrowok="t"/>
                <v:fill type="solid"/>
                <w10:wrap type="none"/>
              </v:shape>
            </w:pict>
          </mc:Fallback>
        </mc:AlternateContent>
      </w:r>
      <w:r>
        <w:rPr>
          <w:b/>
          <w:color w:val="1A4796"/>
          <w:spacing w:val="-4"/>
        </w:rPr>
        <w:t>27</w:t>
      </w:r>
      <w:r>
        <w:rPr>
          <w:b/>
          <w:color w:val="1A4796"/>
          <w:spacing w:val="-13"/>
        </w:rPr>
        <w:t> </w:t>
      </w:r>
      <w:r>
        <w:rPr>
          <w:b/>
          <w:color w:val="1A4796"/>
          <w:spacing w:val="-4"/>
        </w:rPr>
        <w:t>octobre</w:t>
      </w:r>
      <w:r>
        <w:rPr>
          <w:b/>
          <w:color w:val="1A4796"/>
          <w:spacing w:val="-13"/>
        </w:rPr>
        <w:t> </w:t>
      </w:r>
      <w:r>
        <w:rPr>
          <w:b/>
          <w:color w:val="1A4796"/>
          <w:spacing w:val="-4"/>
        </w:rPr>
        <w:t>2022.</w:t>
      </w:r>
      <w:r>
        <w:rPr>
          <w:b/>
          <w:color w:val="1A4796"/>
          <w:spacing w:val="-12"/>
        </w:rPr>
        <w:t> </w:t>
      </w:r>
      <w:r>
        <w:rPr>
          <w:color w:val="231F20"/>
          <w:spacing w:val="-4"/>
        </w:rPr>
        <w:t>L’Assemblée</w:t>
      </w:r>
      <w:r>
        <w:rPr>
          <w:color w:val="231F20"/>
          <w:spacing w:val="-13"/>
        </w:rPr>
        <w:t> </w:t>
      </w:r>
      <w:r>
        <w:rPr>
          <w:color w:val="231F20"/>
          <w:spacing w:val="-4"/>
        </w:rPr>
        <w:t>nationale </w:t>
      </w:r>
      <w:r>
        <w:rPr>
          <w:color w:val="231F20"/>
        </w:rPr>
        <w:t>du Nicaragua adopte une déclaration condamnant le blocus.</w:t>
      </w:r>
    </w:p>
    <w:p>
      <w:pPr>
        <w:pStyle w:val="BodyText"/>
        <w:spacing w:before="77"/>
        <w:ind w:left="673" w:right="1472"/>
      </w:pPr>
      <w:r>
        <w:rPr/>
        <w:br w:type="column"/>
      </w:r>
      <w:r>
        <w:rPr>
          <w:b/>
          <w:color w:val="1A4796"/>
          <w:spacing w:val="-4"/>
        </w:rPr>
        <w:t>30</w:t>
      </w:r>
      <w:r>
        <w:rPr>
          <w:b/>
          <w:color w:val="1A4796"/>
          <w:spacing w:val="-13"/>
        </w:rPr>
        <w:t> </w:t>
      </w:r>
      <w:r>
        <w:rPr>
          <w:b/>
          <w:color w:val="1A4796"/>
          <w:spacing w:val="-4"/>
        </w:rPr>
        <w:t>octobre</w:t>
      </w:r>
      <w:r>
        <w:rPr>
          <w:b/>
          <w:color w:val="1A4796"/>
          <w:spacing w:val="-13"/>
        </w:rPr>
        <w:t> </w:t>
      </w:r>
      <w:r>
        <w:rPr>
          <w:b/>
          <w:color w:val="1A4796"/>
          <w:spacing w:val="-4"/>
        </w:rPr>
        <w:t>2022.</w:t>
      </w:r>
      <w:r>
        <w:rPr>
          <w:b/>
          <w:color w:val="1A4796"/>
          <w:spacing w:val="-12"/>
        </w:rPr>
        <w:t> </w:t>
      </w:r>
      <w:r>
        <w:rPr>
          <w:color w:val="231F20"/>
          <w:spacing w:val="-4"/>
        </w:rPr>
        <w:t>La</w:t>
      </w:r>
      <w:r>
        <w:rPr>
          <w:color w:val="231F20"/>
          <w:spacing w:val="-13"/>
        </w:rPr>
        <w:t> </w:t>
      </w:r>
      <w:r>
        <w:rPr>
          <w:color w:val="231F20"/>
          <w:spacing w:val="-4"/>
        </w:rPr>
        <w:t>Ligue</w:t>
      </w:r>
      <w:r>
        <w:rPr>
          <w:color w:val="231F20"/>
          <w:spacing w:val="-6"/>
        </w:rPr>
        <w:t> </w:t>
      </w:r>
      <w:r>
        <w:rPr>
          <w:color w:val="231F20"/>
          <w:spacing w:val="-4"/>
        </w:rPr>
        <w:t>des diplômés </w:t>
      </w:r>
      <w:r>
        <w:rPr>
          <w:color w:val="231F20"/>
        </w:rPr>
        <w:t>palestiniens d’universités et d’instituts de Cuba, au Liban, exige dans une déclaration la levée du blocus.</w:t>
      </w:r>
    </w:p>
    <w:p>
      <w:pPr>
        <w:pStyle w:val="BodyText"/>
        <w:spacing w:before="163"/>
        <w:ind w:left="673" w:right="1473"/>
      </w:pPr>
      <w:r>
        <w:rPr/>
        <mc:AlternateContent>
          <mc:Choice Requires="wps">
            <w:drawing>
              <wp:anchor distT="0" distB="0" distL="0" distR="0" allowOverlap="1" layoutInCell="1" locked="0" behindDoc="0" simplePos="0" relativeHeight="15847424">
                <wp:simplePos x="0" y="0"/>
                <wp:positionH relativeFrom="page">
                  <wp:posOffset>3815998</wp:posOffset>
                </wp:positionH>
                <wp:positionV relativeFrom="paragraph">
                  <wp:posOffset>-727912</wp:posOffset>
                </wp:positionV>
                <wp:extent cx="59690" cy="59690"/>
                <wp:effectExtent l="0" t="0" r="0" b="0"/>
                <wp:wrapNone/>
                <wp:docPr id="525" name="Graphic 525"/>
                <wp:cNvGraphicFramePr>
                  <a:graphicFrameLocks/>
                </wp:cNvGraphicFramePr>
                <a:graphic>
                  <a:graphicData uri="http://schemas.microsoft.com/office/word/2010/wordprocessingShape">
                    <wps:wsp>
                      <wps:cNvPr id="525" name="Graphic 52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57.315948pt;width:4.7pt;height:4.7pt;mso-position-horizontal-relative:page;mso-position-vertical-relative:paragraph;z-index:15847424" id="docshape412" coordorigin="6009,-1146" coordsize="94,94" path="m6056,-1146l6038,-1143,6023,-1133,6013,-1118,6009,-1100,6013,-1082,6023,-1067,6038,-1057,6056,-1053,6074,-1057,6089,-1067,6099,-1082,6103,-1100,6099,-1118,6089,-1133,6074,-1143,6056,-1146xe" filled="true" fillcolor="#1a4796" stroked="false">
                <v:path arrowok="t"/>
                <v:fill type="solid"/>
                <w10:wrap type="none"/>
              </v:shape>
            </w:pict>
          </mc:Fallback>
        </mc:AlternateContent>
      </w:r>
      <w:r>
        <w:rPr/>
        <mc:AlternateContent>
          <mc:Choice Requires="wps">
            <w:drawing>
              <wp:anchor distT="0" distB="0" distL="0" distR="0" allowOverlap="1" layoutInCell="1" locked="0" behindDoc="0" simplePos="0" relativeHeight="15847936">
                <wp:simplePos x="0" y="0"/>
                <wp:positionH relativeFrom="page">
                  <wp:posOffset>3815998</wp:posOffset>
                </wp:positionH>
                <wp:positionV relativeFrom="paragraph">
                  <wp:posOffset>190086</wp:posOffset>
                </wp:positionV>
                <wp:extent cx="59690" cy="59690"/>
                <wp:effectExtent l="0" t="0" r="0" b="0"/>
                <wp:wrapNone/>
                <wp:docPr id="526" name="Graphic 526"/>
                <wp:cNvGraphicFramePr>
                  <a:graphicFrameLocks/>
                </wp:cNvGraphicFramePr>
                <a:graphic>
                  <a:graphicData uri="http://schemas.microsoft.com/office/word/2010/wordprocessingShape">
                    <wps:wsp>
                      <wps:cNvPr id="526" name="Graphic 52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96745pt;width:4.7pt;height:4.7pt;mso-position-horizontal-relative:page;mso-position-vertical-relative:paragraph;z-index:15847936" id="docshape413" coordorigin="6009,299" coordsize="94,94" path="m6056,299l6038,303,6023,313,6013,328,6009,346,6013,364,6023,379,6038,389,6056,393,6074,389,6089,379,6099,364,6103,346,6099,328,6089,313,6074,303,6056,299xe" filled="true" fillcolor="#1a4796" stroked="false">
                <v:path arrowok="t"/>
                <v:fill type="solid"/>
                <w10:wrap type="none"/>
              </v:shape>
            </w:pict>
          </mc:Fallback>
        </mc:AlternateContent>
      </w:r>
      <w:r>
        <w:rPr>
          <w:b/>
          <w:color w:val="1A4796"/>
        </w:rPr>
        <w:t>1er</w:t>
      </w:r>
      <w:r>
        <w:rPr>
          <w:b/>
          <w:color w:val="1A4796"/>
          <w:spacing w:val="-7"/>
        </w:rPr>
        <w:t> </w:t>
      </w:r>
      <w:r>
        <w:rPr>
          <w:b/>
          <w:color w:val="1A4796"/>
        </w:rPr>
        <w:t>novembre</w:t>
      </w:r>
      <w:r>
        <w:rPr>
          <w:b/>
          <w:color w:val="1A4796"/>
          <w:spacing w:val="-8"/>
        </w:rPr>
        <w:t> </w:t>
      </w:r>
      <w:r>
        <w:rPr>
          <w:b/>
          <w:color w:val="1A4796"/>
        </w:rPr>
        <w:t>2022.</w:t>
      </w:r>
      <w:r>
        <w:rPr>
          <w:b/>
          <w:color w:val="1A4796"/>
          <w:spacing w:val="-8"/>
        </w:rPr>
        <w:t> </w:t>
      </w:r>
      <w:r>
        <w:rPr>
          <w:color w:val="231F20"/>
        </w:rPr>
        <w:t>Les</w:t>
      </w:r>
      <w:r>
        <w:rPr>
          <w:color w:val="231F20"/>
          <w:spacing w:val="-7"/>
        </w:rPr>
        <w:t> </w:t>
      </w:r>
      <w:r>
        <w:rPr>
          <w:color w:val="231F20"/>
        </w:rPr>
        <w:t>organisations de la société civile et les mouvements </w:t>
      </w:r>
      <w:r>
        <w:rPr>
          <w:color w:val="231F20"/>
          <w:spacing w:val="-4"/>
        </w:rPr>
        <w:t>sociaux</w:t>
      </w:r>
      <w:r>
        <w:rPr>
          <w:color w:val="231F20"/>
          <w:spacing w:val="-13"/>
        </w:rPr>
        <w:t> </w:t>
      </w:r>
      <w:r>
        <w:rPr>
          <w:color w:val="231F20"/>
          <w:spacing w:val="-4"/>
        </w:rPr>
        <w:t>de</w:t>
      </w:r>
      <w:r>
        <w:rPr>
          <w:color w:val="231F20"/>
          <w:spacing w:val="-12"/>
        </w:rPr>
        <w:t> </w:t>
      </w:r>
      <w:r>
        <w:rPr>
          <w:color w:val="231F20"/>
          <w:spacing w:val="-4"/>
        </w:rPr>
        <w:t>Trinité-et-Tobago</w:t>
      </w:r>
      <w:r>
        <w:rPr>
          <w:color w:val="231F20"/>
          <w:spacing w:val="-13"/>
        </w:rPr>
        <w:t> </w:t>
      </w:r>
      <w:r>
        <w:rPr>
          <w:color w:val="231F20"/>
          <w:spacing w:val="-4"/>
        </w:rPr>
        <w:t>publient</w:t>
      </w:r>
      <w:r>
        <w:rPr>
          <w:color w:val="231F20"/>
          <w:spacing w:val="-12"/>
        </w:rPr>
        <w:t> </w:t>
      </w:r>
      <w:r>
        <w:rPr>
          <w:color w:val="231F20"/>
          <w:spacing w:val="-4"/>
        </w:rPr>
        <w:t>un communiqué</w:t>
      </w:r>
      <w:r>
        <w:rPr>
          <w:color w:val="231F20"/>
          <w:spacing w:val="-13"/>
        </w:rPr>
        <w:t> </w:t>
      </w:r>
      <w:r>
        <w:rPr>
          <w:color w:val="231F20"/>
          <w:spacing w:val="-4"/>
        </w:rPr>
        <w:t>intitulé</w:t>
      </w:r>
      <w:r>
        <w:rPr>
          <w:color w:val="231F20"/>
          <w:spacing w:val="-12"/>
        </w:rPr>
        <w:t> </w:t>
      </w:r>
      <w:r>
        <w:rPr>
          <w:color w:val="231F20"/>
          <w:spacing w:val="-4"/>
        </w:rPr>
        <w:t>:</w:t>
      </w:r>
      <w:r>
        <w:rPr>
          <w:color w:val="231F20"/>
          <w:spacing w:val="-13"/>
        </w:rPr>
        <w:t> </w:t>
      </w:r>
      <w:r>
        <w:rPr>
          <w:color w:val="231F20"/>
          <w:spacing w:val="-4"/>
        </w:rPr>
        <w:t>End</w:t>
      </w:r>
      <w:r>
        <w:rPr>
          <w:color w:val="231F20"/>
          <w:spacing w:val="-12"/>
        </w:rPr>
        <w:t> </w:t>
      </w:r>
      <w:r>
        <w:rPr>
          <w:color w:val="231F20"/>
          <w:spacing w:val="-4"/>
        </w:rPr>
        <w:t>the</w:t>
      </w:r>
      <w:r>
        <w:rPr>
          <w:color w:val="231F20"/>
          <w:spacing w:val="-13"/>
        </w:rPr>
        <w:t> </w:t>
      </w:r>
      <w:r>
        <w:rPr>
          <w:color w:val="231F20"/>
          <w:spacing w:val="-4"/>
        </w:rPr>
        <w:t>Illegal</w:t>
      </w:r>
      <w:r>
        <w:rPr>
          <w:color w:val="231F20"/>
          <w:spacing w:val="-12"/>
        </w:rPr>
        <w:t> </w:t>
      </w:r>
      <w:r>
        <w:rPr>
          <w:color w:val="231F20"/>
          <w:spacing w:val="-4"/>
        </w:rPr>
        <w:t>and </w:t>
      </w:r>
      <w:r>
        <w:rPr>
          <w:color w:val="231F20"/>
          <w:spacing w:val="-2"/>
        </w:rPr>
        <w:t>Illegitimate</w:t>
      </w:r>
      <w:r>
        <w:rPr>
          <w:color w:val="231F20"/>
          <w:spacing w:val="-15"/>
        </w:rPr>
        <w:t> </w:t>
      </w:r>
      <w:r>
        <w:rPr>
          <w:color w:val="231F20"/>
          <w:spacing w:val="-2"/>
        </w:rPr>
        <w:t>Blockade</w:t>
      </w:r>
      <w:r>
        <w:rPr>
          <w:color w:val="231F20"/>
          <w:spacing w:val="-14"/>
        </w:rPr>
        <w:t> </w:t>
      </w:r>
      <w:r>
        <w:rPr>
          <w:color w:val="231F20"/>
          <w:spacing w:val="-2"/>
        </w:rPr>
        <w:t>of</w:t>
      </w:r>
      <w:r>
        <w:rPr>
          <w:color w:val="231F20"/>
          <w:spacing w:val="-15"/>
        </w:rPr>
        <w:t> </w:t>
      </w:r>
      <w:r>
        <w:rPr>
          <w:color w:val="231F20"/>
          <w:spacing w:val="-2"/>
        </w:rPr>
        <w:t>Cuba</w:t>
      </w:r>
      <w:r>
        <w:rPr>
          <w:color w:val="231F20"/>
          <w:spacing w:val="-14"/>
        </w:rPr>
        <w:t> </w:t>
      </w:r>
      <w:r>
        <w:rPr>
          <w:color w:val="231F20"/>
          <w:spacing w:val="-2"/>
        </w:rPr>
        <w:t>Now!</w:t>
      </w:r>
      <w:r>
        <w:rPr>
          <w:color w:val="231F20"/>
          <w:spacing w:val="-15"/>
        </w:rPr>
        <w:t> </w:t>
      </w:r>
      <w:r>
        <w:rPr>
          <w:color w:val="231F20"/>
          <w:spacing w:val="-2"/>
        </w:rPr>
        <w:t>dans lequel</w:t>
      </w:r>
      <w:r>
        <w:rPr>
          <w:color w:val="231F20"/>
          <w:spacing w:val="-15"/>
        </w:rPr>
        <w:t> </w:t>
      </w:r>
      <w:r>
        <w:rPr>
          <w:color w:val="231F20"/>
          <w:spacing w:val="-2"/>
        </w:rPr>
        <w:t>ils</w:t>
      </w:r>
      <w:r>
        <w:rPr>
          <w:color w:val="231F20"/>
          <w:spacing w:val="-14"/>
        </w:rPr>
        <w:t> </w:t>
      </w:r>
      <w:r>
        <w:rPr>
          <w:color w:val="231F20"/>
          <w:spacing w:val="-2"/>
        </w:rPr>
        <w:t>exigent</w:t>
      </w:r>
      <w:r>
        <w:rPr>
          <w:color w:val="231F20"/>
          <w:spacing w:val="-14"/>
        </w:rPr>
        <w:t> </w:t>
      </w:r>
      <w:r>
        <w:rPr>
          <w:color w:val="231F20"/>
          <w:spacing w:val="-2"/>
        </w:rPr>
        <w:t>l’annulation</w:t>
      </w:r>
      <w:r>
        <w:rPr>
          <w:color w:val="231F20"/>
          <w:spacing w:val="-15"/>
        </w:rPr>
        <w:t> </w:t>
      </w:r>
      <w:r>
        <w:rPr>
          <w:color w:val="231F20"/>
          <w:spacing w:val="-2"/>
        </w:rPr>
        <w:t>de</w:t>
      </w:r>
      <w:r>
        <w:rPr>
          <w:color w:val="231F20"/>
          <w:spacing w:val="-14"/>
        </w:rPr>
        <w:t> </w:t>
      </w:r>
      <w:r>
        <w:rPr>
          <w:color w:val="231F20"/>
          <w:spacing w:val="-2"/>
        </w:rPr>
        <w:t>tous</w:t>
      </w:r>
      <w:r>
        <w:rPr>
          <w:color w:val="231F20"/>
          <w:spacing w:val="-14"/>
        </w:rPr>
        <w:t> </w:t>
      </w:r>
      <w:r>
        <w:rPr>
          <w:color w:val="231F20"/>
          <w:spacing w:val="-2"/>
        </w:rPr>
        <w:t>les mesures</w:t>
      </w:r>
      <w:r>
        <w:rPr>
          <w:color w:val="231F20"/>
          <w:spacing w:val="-15"/>
        </w:rPr>
        <w:t> </w:t>
      </w:r>
      <w:r>
        <w:rPr>
          <w:color w:val="231F20"/>
          <w:spacing w:val="-2"/>
        </w:rPr>
        <w:t>exécutives</w:t>
      </w:r>
      <w:r>
        <w:rPr>
          <w:color w:val="231F20"/>
          <w:spacing w:val="-14"/>
        </w:rPr>
        <w:t> </w:t>
      </w:r>
      <w:r>
        <w:rPr>
          <w:color w:val="231F20"/>
          <w:spacing w:val="-2"/>
        </w:rPr>
        <w:t>adoptées</w:t>
      </w:r>
      <w:r>
        <w:rPr>
          <w:color w:val="231F20"/>
          <w:spacing w:val="-15"/>
        </w:rPr>
        <w:t> </w:t>
      </w:r>
      <w:r>
        <w:rPr>
          <w:color w:val="231F20"/>
          <w:spacing w:val="-2"/>
        </w:rPr>
        <w:t>par</w:t>
      </w:r>
      <w:r>
        <w:rPr>
          <w:color w:val="231F20"/>
          <w:spacing w:val="-14"/>
        </w:rPr>
        <w:t> </w:t>
      </w:r>
      <w:r>
        <w:rPr>
          <w:color w:val="231F20"/>
          <w:spacing w:val="-2"/>
        </w:rPr>
        <w:t>Trump </w:t>
      </w:r>
      <w:r>
        <w:rPr>
          <w:color w:val="231F20"/>
        </w:rPr>
        <w:t>pour renforcer le blocus à Cuba, et la radiation de Cuba de la Liste illégitime des États censément commanditaires de</w:t>
      </w:r>
      <w:r>
        <w:rPr>
          <w:color w:val="231F20"/>
          <w:spacing w:val="-17"/>
        </w:rPr>
        <w:t> </w:t>
      </w:r>
      <w:r>
        <w:rPr>
          <w:color w:val="231F20"/>
        </w:rPr>
        <w:t>terrorisme</w:t>
      </w:r>
      <w:r>
        <w:rPr>
          <w:color w:val="231F20"/>
          <w:spacing w:val="-16"/>
        </w:rPr>
        <w:t> </w:t>
      </w:r>
      <w:r>
        <w:rPr>
          <w:color w:val="231F20"/>
        </w:rPr>
        <w:t>international,</w:t>
      </w:r>
      <w:r>
        <w:rPr>
          <w:color w:val="231F20"/>
          <w:spacing w:val="-17"/>
        </w:rPr>
        <w:t> </w:t>
      </w:r>
      <w:r>
        <w:rPr>
          <w:color w:val="231F20"/>
        </w:rPr>
        <w:t>et</w:t>
      </w:r>
      <w:r>
        <w:rPr>
          <w:color w:val="231F20"/>
          <w:spacing w:val="-16"/>
        </w:rPr>
        <w:t> </w:t>
      </w:r>
      <w:r>
        <w:rPr>
          <w:color w:val="231F20"/>
        </w:rPr>
        <w:t>appellent le Congrès à annuler toutes les lois qui sous-tendent le blocus.</w:t>
      </w:r>
    </w:p>
    <w:p>
      <w:pPr>
        <w:pStyle w:val="BodyText"/>
        <w:spacing w:before="170"/>
        <w:ind w:left="673" w:right="1470"/>
      </w:pPr>
      <w:r>
        <w:rPr/>
        <mc:AlternateContent>
          <mc:Choice Requires="wps">
            <w:drawing>
              <wp:anchor distT="0" distB="0" distL="0" distR="0" allowOverlap="1" layoutInCell="1" locked="0" behindDoc="0" simplePos="0" relativeHeight="15848448">
                <wp:simplePos x="0" y="0"/>
                <wp:positionH relativeFrom="page">
                  <wp:posOffset>3815998</wp:posOffset>
                </wp:positionH>
                <wp:positionV relativeFrom="paragraph">
                  <wp:posOffset>193028</wp:posOffset>
                </wp:positionV>
                <wp:extent cx="59690" cy="59690"/>
                <wp:effectExtent l="0" t="0" r="0" b="0"/>
                <wp:wrapNone/>
                <wp:docPr id="527" name="Graphic 527"/>
                <wp:cNvGraphicFramePr>
                  <a:graphicFrameLocks/>
                </wp:cNvGraphicFramePr>
                <a:graphic>
                  <a:graphicData uri="http://schemas.microsoft.com/office/word/2010/wordprocessingShape">
                    <wps:wsp>
                      <wps:cNvPr id="527" name="Graphic 52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199062pt;width:4.7pt;height:4.7pt;mso-position-horizontal-relative:page;mso-position-vertical-relative:paragraph;z-index:15848448" id="docshape414" coordorigin="6009,304" coordsize="94,94" path="m6056,304l6038,308,6023,318,6013,332,6009,351,6013,369,6023,384,6038,394,6056,397,6074,394,6089,384,6099,369,6103,351,6099,332,6089,318,6074,308,6056,304xe" filled="true" fillcolor="#1a4796" stroked="false">
                <v:path arrowok="t"/>
                <v:fill type="solid"/>
                <w10:wrap type="none"/>
              </v:shape>
            </w:pict>
          </mc:Fallback>
        </mc:AlternateContent>
      </w:r>
      <w:r>
        <w:rPr>
          <w:b/>
          <w:color w:val="1A4796"/>
          <w:spacing w:val="-6"/>
        </w:rPr>
        <w:t>2</w:t>
      </w:r>
      <w:r>
        <w:rPr>
          <w:b/>
          <w:color w:val="1A4796"/>
          <w:spacing w:val="-7"/>
        </w:rPr>
        <w:t> </w:t>
      </w:r>
      <w:r>
        <w:rPr>
          <w:b/>
          <w:color w:val="1A4796"/>
          <w:spacing w:val="-6"/>
        </w:rPr>
        <w:t>novembre</w:t>
      </w:r>
      <w:r>
        <w:rPr>
          <w:b/>
          <w:color w:val="1A4796"/>
          <w:spacing w:val="-7"/>
        </w:rPr>
        <w:t> </w:t>
      </w:r>
      <w:r>
        <w:rPr>
          <w:b/>
          <w:color w:val="1A4796"/>
          <w:spacing w:val="-6"/>
        </w:rPr>
        <w:t>2022</w:t>
      </w:r>
      <w:r>
        <w:rPr>
          <w:color w:val="231F20"/>
          <w:spacing w:val="-6"/>
        </w:rPr>
        <w:t>.</w:t>
      </w:r>
      <w:r>
        <w:rPr>
          <w:color w:val="231F20"/>
          <w:spacing w:val="-8"/>
        </w:rPr>
        <w:t> </w:t>
      </w:r>
      <w:r>
        <w:rPr>
          <w:color w:val="231F20"/>
          <w:spacing w:val="-6"/>
        </w:rPr>
        <w:t>18</w:t>
      </w:r>
      <w:r>
        <w:rPr>
          <w:color w:val="231F20"/>
          <w:spacing w:val="-8"/>
        </w:rPr>
        <w:t> </w:t>
      </w:r>
      <w:r>
        <w:rPr>
          <w:color w:val="231F20"/>
          <w:spacing w:val="-6"/>
        </w:rPr>
        <w:t>anciens</w:t>
      </w:r>
      <w:r>
        <w:rPr>
          <w:color w:val="231F20"/>
          <w:spacing w:val="-8"/>
        </w:rPr>
        <w:t> </w:t>
      </w:r>
      <w:r>
        <w:rPr>
          <w:color w:val="231F20"/>
          <w:spacing w:val="-6"/>
        </w:rPr>
        <w:t>présidents </w:t>
      </w:r>
      <w:r>
        <w:rPr>
          <w:color w:val="231F20"/>
        </w:rPr>
        <w:t>et premiers ministres latino-américains et caribéens adressent une lettre a Biden pour lui demander de </w:t>
      </w:r>
      <w:r>
        <w:rPr>
          <w:color w:val="231F20"/>
        </w:rPr>
        <w:t>radier Cuba de la Liste des États censément commanditaires de terrorisme international, de lever les restrictions qu’impose le blocus et de reprendre la politique</w:t>
      </w:r>
      <w:r>
        <w:rPr>
          <w:color w:val="231F20"/>
          <w:spacing w:val="-16"/>
        </w:rPr>
        <w:t> </w:t>
      </w:r>
      <w:r>
        <w:rPr>
          <w:color w:val="231F20"/>
        </w:rPr>
        <w:t>de</w:t>
      </w:r>
      <w:r>
        <w:rPr>
          <w:color w:val="231F20"/>
          <w:spacing w:val="-16"/>
        </w:rPr>
        <w:t> </w:t>
      </w:r>
      <w:r>
        <w:rPr>
          <w:color w:val="231F20"/>
        </w:rPr>
        <w:t>normalisation</w:t>
      </w:r>
      <w:r>
        <w:rPr>
          <w:color w:val="231F20"/>
          <w:spacing w:val="-16"/>
        </w:rPr>
        <w:t> </w:t>
      </w:r>
      <w:r>
        <w:rPr>
          <w:color w:val="231F20"/>
        </w:rPr>
        <w:t>des</w:t>
      </w:r>
      <w:r>
        <w:rPr>
          <w:color w:val="231F20"/>
          <w:spacing w:val="-16"/>
        </w:rPr>
        <w:t> </w:t>
      </w:r>
      <w:r>
        <w:rPr>
          <w:color w:val="231F20"/>
        </w:rPr>
        <w:t>relations entamée par Barack Obama.</w:t>
      </w:r>
    </w:p>
    <w:p>
      <w:pPr>
        <w:pStyle w:val="BodyText"/>
        <w:spacing w:before="168"/>
        <w:ind w:left="673" w:right="1478"/>
      </w:pPr>
      <w:r>
        <w:rPr/>
        <mc:AlternateContent>
          <mc:Choice Requires="wps">
            <w:drawing>
              <wp:anchor distT="0" distB="0" distL="0" distR="0" allowOverlap="1" layoutInCell="1" locked="0" behindDoc="0" simplePos="0" relativeHeight="15848960">
                <wp:simplePos x="0" y="0"/>
                <wp:positionH relativeFrom="page">
                  <wp:posOffset>3815998</wp:posOffset>
                </wp:positionH>
                <wp:positionV relativeFrom="paragraph">
                  <wp:posOffset>192641</wp:posOffset>
                </wp:positionV>
                <wp:extent cx="59690" cy="59690"/>
                <wp:effectExtent l="0" t="0" r="0" b="0"/>
                <wp:wrapNone/>
                <wp:docPr id="528" name="Graphic 528"/>
                <wp:cNvGraphicFramePr>
                  <a:graphicFrameLocks/>
                </wp:cNvGraphicFramePr>
                <a:graphic>
                  <a:graphicData uri="http://schemas.microsoft.com/office/word/2010/wordprocessingShape">
                    <wps:wsp>
                      <wps:cNvPr id="528" name="Graphic 52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168588pt;width:4.7pt;height:4.7pt;mso-position-horizontal-relative:page;mso-position-vertical-relative:paragraph;z-index:15848960" id="docshape415" coordorigin="6009,303" coordsize="94,94" path="m6056,303l6038,307,6023,317,6013,332,6009,350,6013,368,6023,383,6038,393,6056,397,6074,393,6089,383,6099,368,6103,350,6099,332,6089,317,6074,307,6056,303xe" filled="true" fillcolor="#1a4796" stroked="false">
                <v:path arrowok="t"/>
                <v:fill type="solid"/>
                <w10:wrap type="none"/>
              </v:shape>
            </w:pict>
          </mc:Fallback>
        </mc:AlternateContent>
      </w:r>
      <w:r>
        <w:rPr>
          <w:b/>
          <w:color w:val="1A4796"/>
          <w:spacing w:val="-6"/>
        </w:rPr>
        <w:t>3</w:t>
      </w:r>
      <w:r>
        <w:rPr>
          <w:b/>
          <w:color w:val="1A4796"/>
          <w:spacing w:val="-11"/>
        </w:rPr>
        <w:t> </w:t>
      </w:r>
      <w:r>
        <w:rPr>
          <w:b/>
          <w:color w:val="1A4796"/>
          <w:spacing w:val="-6"/>
        </w:rPr>
        <w:t>novembre</w:t>
      </w:r>
      <w:r>
        <w:rPr>
          <w:b/>
          <w:color w:val="1A4796"/>
          <w:spacing w:val="-11"/>
        </w:rPr>
        <w:t> </w:t>
      </w:r>
      <w:r>
        <w:rPr>
          <w:b/>
          <w:color w:val="1A4796"/>
          <w:spacing w:val="-6"/>
        </w:rPr>
        <w:t>2022.</w:t>
      </w:r>
      <w:r>
        <w:rPr>
          <w:b/>
          <w:color w:val="1A4796"/>
          <w:spacing w:val="-10"/>
        </w:rPr>
        <w:t> </w:t>
      </w:r>
      <w:r>
        <w:rPr>
          <w:color w:val="231F20"/>
          <w:spacing w:val="-6"/>
        </w:rPr>
        <w:t>L’Assemblée</w:t>
      </w:r>
      <w:r>
        <w:rPr>
          <w:color w:val="231F20"/>
          <w:spacing w:val="-11"/>
        </w:rPr>
        <w:t> </w:t>
      </w:r>
      <w:r>
        <w:rPr>
          <w:color w:val="231F20"/>
          <w:spacing w:val="-6"/>
        </w:rPr>
        <w:t>générale </w:t>
      </w:r>
      <w:r>
        <w:rPr>
          <w:color w:val="231F20"/>
        </w:rPr>
        <w:t>des Nations Unies adopte par 185</w:t>
      </w:r>
      <w:r>
        <w:rPr>
          <w:color w:val="231F20"/>
          <w:spacing w:val="80"/>
        </w:rPr>
        <w:t> </w:t>
      </w:r>
      <w:r>
        <w:rPr>
          <w:color w:val="231F20"/>
        </w:rPr>
        <w:t>voix, pour la trentième fois d’affilée, la </w:t>
      </w:r>
      <w:r>
        <w:rPr>
          <w:color w:val="231F20"/>
          <w:spacing w:val="-2"/>
        </w:rPr>
        <w:t>résolution</w:t>
      </w:r>
      <w:r>
        <w:rPr>
          <w:color w:val="231F20"/>
          <w:spacing w:val="-13"/>
        </w:rPr>
        <w:t> </w:t>
      </w:r>
      <w:r>
        <w:rPr>
          <w:color w:val="231F20"/>
          <w:spacing w:val="-2"/>
        </w:rPr>
        <w:t>intitulée</w:t>
      </w:r>
      <w:r>
        <w:rPr>
          <w:color w:val="231F20"/>
          <w:spacing w:val="-13"/>
        </w:rPr>
        <w:t> </w:t>
      </w:r>
      <w:r>
        <w:rPr>
          <w:color w:val="231F20"/>
          <w:spacing w:val="-2"/>
        </w:rPr>
        <w:t>:</w:t>
      </w:r>
      <w:r>
        <w:rPr>
          <w:color w:val="231F20"/>
          <w:spacing w:val="-13"/>
        </w:rPr>
        <w:t> </w:t>
      </w:r>
      <w:r>
        <w:rPr>
          <w:color w:val="231F20"/>
          <w:spacing w:val="-2"/>
        </w:rPr>
        <w:t>«</w:t>
      </w:r>
      <w:r>
        <w:rPr>
          <w:color w:val="231F20"/>
          <w:spacing w:val="-13"/>
        </w:rPr>
        <w:t> </w:t>
      </w:r>
      <w:r>
        <w:rPr>
          <w:color w:val="231F20"/>
          <w:spacing w:val="-2"/>
        </w:rPr>
        <w:t>Nécessité</w:t>
      </w:r>
      <w:r>
        <w:rPr>
          <w:color w:val="231F20"/>
          <w:spacing w:val="-13"/>
        </w:rPr>
        <w:t> </w:t>
      </w:r>
      <w:r>
        <w:rPr>
          <w:color w:val="231F20"/>
          <w:spacing w:val="-2"/>
        </w:rPr>
        <w:t>de</w:t>
      </w:r>
      <w:r>
        <w:rPr>
          <w:color w:val="231F20"/>
          <w:spacing w:val="-13"/>
        </w:rPr>
        <w:t> </w:t>
      </w:r>
      <w:r>
        <w:rPr>
          <w:color w:val="231F20"/>
          <w:spacing w:val="-2"/>
        </w:rPr>
        <w:t>lever </w:t>
      </w:r>
      <w:r>
        <w:rPr>
          <w:color w:val="231F20"/>
        </w:rPr>
        <w:t>le blocus économique, commercial et financier</w:t>
      </w:r>
      <w:r>
        <w:rPr>
          <w:color w:val="231F20"/>
          <w:spacing w:val="-1"/>
        </w:rPr>
        <w:t> </w:t>
      </w:r>
      <w:r>
        <w:rPr>
          <w:color w:val="231F20"/>
        </w:rPr>
        <w:t>appliqué</w:t>
      </w:r>
      <w:r>
        <w:rPr>
          <w:color w:val="231F20"/>
          <w:spacing w:val="-2"/>
        </w:rPr>
        <w:t> </w:t>
      </w:r>
      <w:r>
        <w:rPr>
          <w:color w:val="231F20"/>
        </w:rPr>
        <w:t>à</w:t>
      </w:r>
      <w:r>
        <w:rPr>
          <w:color w:val="231F20"/>
          <w:spacing w:val="-1"/>
        </w:rPr>
        <w:t> </w:t>
      </w:r>
      <w:r>
        <w:rPr>
          <w:color w:val="231F20"/>
        </w:rPr>
        <w:t>Cuba</w:t>
      </w:r>
      <w:r>
        <w:rPr>
          <w:color w:val="231F20"/>
          <w:spacing w:val="-1"/>
        </w:rPr>
        <w:t> </w:t>
      </w:r>
      <w:r>
        <w:rPr>
          <w:color w:val="231F20"/>
        </w:rPr>
        <w:t>par</w:t>
      </w:r>
      <w:r>
        <w:rPr>
          <w:color w:val="231F20"/>
          <w:spacing w:val="-1"/>
        </w:rPr>
        <w:t> </w:t>
      </w:r>
      <w:r>
        <w:rPr>
          <w:color w:val="231F20"/>
        </w:rPr>
        <w:t>les</w:t>
      </w:r>
      <w:r>
        <w:rPr>
          <w:color w:val="231F20"/>
          <w:spacing w:val="-2"/>
        </w:rPr>
        <w:t> </w:t>
      </w:r>
      <w:r>
        <w:rPr>
          <w:color w:val="231F20"/>
        </w:rPr>
        <w:t>États- Unis d’Amérique ».</w:t>
      </w:r>
    </w:p>
    <w:p>
      <w:pPr>
        <w:pStyle w:val="BodyText"/>
        <w:spacing w:before="165"/>
        <w:ind w:left="673" w:right="1480"/>
      </w:pPr>
      <w:r>
        <w:rPr>
          <w:color w:val="231F20"/>
          <w:spacing w:val="-4"/>
        </w:rPr>
        <w:t>Durant</w:t>
      </w:r>
      <w:r>
        <w:rPr>
          <w:color w:val="231F20"/>
          <w:spacing w:val="-13"/>
        </w:rPr>
        <w:t> </w:t>
      </w:r>
      <w:r>
        <w:rPr>
          <w:color w:val="231F20"/>
          <w:spacing w:val="-4"/>
        </w:rPr>
        <w:t>le</w:t>
      </w:r>
      <w:r>
        <w:rPr>
          <w:color w:val="231F20"/>
          <w:spacing w:val="-12"/>
        </w:rPr>
        <w:t> </w:t>
      </w:r>
      <w:r>
        <w:rPr>
          <w:color w:val="231F20"/>
          <w:spacing w:val="-4"/>
        </w:rPr>
        <w:t>débat</w:t>
      </w:r>
      <w:r>
        <w:rPr>
          <w:color w:val="231F20"/>
          <w:spacing w:val="-13"/>
        </w:rPr>
        <w:t> </w:t>
      </w:r>
      <w:r>
        <w:rPr>
          <w:color w:val="231F20"/>
          <w:spacing w:val="-4"/>
        </w:rPr>
        <w:t>ayant</w:t>
      </w:r>
      <w:r>
        <w:rPr>
          <w:color w:val="231F20"/>
          <w:spacing w:val="-12"/>
        </w:rPr>
        <w:t> </w:t>
      </w:r>
      <w:r>
        <w:rPr>
          <w:color w:val="231F20"/>
          <w:spacing w:val="-4"/>
        </w:rPr>
        <w:t>précédé</w:t>
      </w:r>
      <w:r>
        <w:rPr>
          <w:color w:val="231F20"/>
          <w:spacing w:val="-13"/>
        </w:rPr>
        <w:t> </w:t>
      </w:r>
      <w:r>
        <w:rPr>
          <w:color w:val="231F20"/>
          <w:spacing w:val="-4"/>
        </w:rPr>
        <w:t>le</w:t>
      </w:r>
      <w:r>
        <w:rPr>
          <w:color w:val="231F20"/>
          <w:spacing w:val="-12"/>
        </w:rPr>
        <w:t> </w:t>
      </w:r>
      <w:r>
        <w:rPr>
          <w:color w:val="231F20"/>
          <w:spacing w:val="-4"/>
        </w:rPr>
        <w:t>vote,</w:t>
      </w:r>
      <w:r>
        <w:rPr>
          <w:color w:val="231F20"/>
          <w:spacing w:val="-13"/>
        </w:rPr>
        <w:t> </w:t>
      </w:r>
      <w:r>
        <w:rPr>
          <w:color w:val="231F20"/>
          <w:spacing w:val="-4"/>
        </w:rPr>
        <w:t>55 </w:t>
      </w:r>
      <w:r>
        <w:rPr>
          <w:color w:val="231F20"/>
        </w:rPr>
        <w:t>orateurs</w:t>
      </w:r>
      <w:r>
        <w:rPr>
          <w:color w:val="231F20"/>
          <w:spacing w:val="-17"/>
        </w:rPr>
        <w:t> </w:t>
      </w:r>
      <w:r>
        <w:rPr>
          <w:color w:val="231F20"/>
        </w:rPr>
        <w:t>se</w:t>
      </w:r>
      <w:r>
        <w:rPr>
          <w:color w:val="231F20"/>
          <w:spacing w:val="-16"/>
        </w:rPr>
        <w:t> </w:t>
      </w:r>
      <w:r>
        <w:rPr>
          <w:color w:val="231F20"/>
        </w:rPr>
        <w:t>prononcent</w:t>
      </w:r>
      <w:r>
        <w:rPr>
          <w:color w:val="231F20"/>
          <w:spacing w:val="-17"/>
        </w:rPr>
        <w:t> </w:t>
      </w:r>
      <w:r>
        <w:rPr>
          <w:color w:val="231F20"/>
        </w:rPr>
        <w:t>pour</w:t>
      </w:r>
      <w:r>
        <w:rPr>
          <w:color w:val="231F20"/>
          <w:spacing w:val="-16"/>
        </w:rPr>
        <w:t> </w:t>
      </w:r>
      <w:r>
        <w:rPr>
          <w:color w:val="231F20"/>
        </w:rPr>
        <w:t>la</w:t>
      </w:r>
      <w:r>
        <w:rPr>
          <w:color w:val="231F20"/>
          <w:spacing w:val="-17"/>
        </w:rPr>
        <w:t> </w:t>
      </w:r>
      <w:r>
        <w:rPr>
          <w:color w:val="231F20"/>
        </w:rPr>
        <w:t>levée</w:t>
      </w:r>
      <w:r>
        <w:rPr>
          <w:color w:val="231F20"/>
          <w:spacing w:val="-16"/>
        </w:rPr>
        <w:t> </w:t>
      </w:r>
      <w:r>
        <w:rPr>
          <w:color w:val="231F20"/>
        </w:rPr>
        <w:t>du </w:t>
      </w:r>
      <w:r>
        <w:rPr>
          <w:color w:val="231F20"/>
          <w:spacing w:val="-14"/>
        </w:rPr>
        <w:t>blocus,</w:t>
      </w:r>
      <w:r>
        <w:rPr>
          <w:color w:val="231F20"/>
          <w:spacing w:val="-3"/>
        </w:rPr>
        <w:t> </w:t>
      </w:r>
      <w:r>
        <w:rPr>
          <w:color w:val="231F20"/>
          <w:spacing w:val="-14"/>
        </w:rPr>
        <w:t>dont</w:t>
      </w:r>
      <w:r>
        <w:rPr>
          <w:color w:val="231F20"/>
          <w:spacing w:val="-2"/>
        </w:rPr>
        <w:t> </w:t>
      </w:r>
      <w:r>
        <w:rPr>
          <w:color w:val="231F20"/>
          <w:spacing w:val="-14"/>
        </w:rPr>
        <w:t>les</w:t>
      </w:r>
      <w:r>
        <w:rPr>
          <w:color w:val="231F20"/>
          <w:spacing w:val="-3"/>
        </w:rPr>
        <w:t> </w:t>
      </w:r>
      <w:r>
        <w:rPr>
          <w:color w:val="231F20"/>
          <w:spacing w:val="-14"/>
        </w:rPr>
        <w:t>dix</w:t>
      </w:r>
      <w:r>
        <w:rPr>
          <w:color w:val="231F20"/>
          <w:spacing w:val="-2"/>
        </w:rPr>
        <w:t> </w:t>
      </w:r>
      <w:r>
        <w:rPr>
          <w:color w:val="231F20"/>
          <w:spacing w:val="-14"/>
        </w:rPr>
        <w:t>groupes</w:t>
      </w:r>
      <w:r>
        <w:rPr>
          <w:color w:val="231F20"/>
          <w:spacing w:val="-3"/>
        </w:rPr>
        <w:t> </w:t>
      </w:r>
      <w:r>
        <w:rPr>
          <w:color w:val="231F20"/>
          <w:spacing w:val="-14"/>
        </w:rPr>
        <w:t>de</w:t>
      </w:r>
      <w:r>
        <w:rPr>
          <w:color w:val="231F20"/>
          <w:spacing w:val="-2"/>
        </w:rPr>
        <w:t> </w:t>
      </w:r>
      <w:r>
        <w:rPr>
          <w:color w:val="231F20"/>
          <w:spacing w:val="-14"/>
        </w:rPr>
        <w:t>concertation </w:t>
      </w:r>
      <w:r>
        <w:rPr>
          <w:color w:val="231F20"/>
        </w:rPr>
        <w:t>politique</w:t>
      </w:r>
      <w:r>
        <w:rPr>
          <w:color w:val="231F20"/>
          <w:spacing w:val="-4"/>
        </w:rPr>
        <w:t> </w:t>
      </w:r>
      <w:r>
        <w:rPr>
          <w:color w:val="231F20"/>
        </w:rPr>
        <w:t>et</w:t>
      </w:r>
      <w:r>
        <w:rPr>
          <w:color w:val="231F20"/>
          <w:spacing w:val="-4"/>
        </w:rPr>
        <w:t> </w:t>
      </w:r>
      <w:r>
        <w:rPr>
          <w:color w:val="231F20"/>
        </w:rPr>
        <w:t>organisations</w:t>
      </w:r>
      <w:r>
        <w:rPr>
          <w:color w:val="231F20"/>
          <w:spacing w:val="-4"/>
        </w:rPr>
        <w:t> </w:t>
      </w:r>
      <w:r>
        <w:rPr>
          <w:color w:val="231F20"/>
        </w:rPr>
        <w:t>régionales</w:t>
      </w:r>
      <w:r>
        <w:rPr>
          <w:color w:val="231F20"/>
          <w:spacing w:val="-4"/>
        </w:rPr>
        <w:t> </w:t>
      </w:r>
      <w:r>
        <w:rPr>
          <w:color w:val="231F20"/>
        </w:rPr>
        <w:t>et sous-régionales : le Groupe des 77, le Mouvement des pays non alignés, le </w:t>
      </w:r>
      <w:r>
        <w:rPr>
          <w:color w:val="231F20"/>
          <w:spacing w:val="-8"/>
        </w:rPr>
        <w:t>Groupe africain, la Communauté des États </w:t>
      </w:r>
      <w:r>
        <w:rPr>
          <w:color w:val="231F20"/>
          <w:spacing w:val="-6"/>
        </w:rPr>
        <w:t>latino-américains</w:t>
      </w:r>
      <w:r>
        <w:rPr>
          <w:color w:val="231F20"/>
          <w:spacing w:val="4"/>
        </w:rPr>
        <w:t> </w:t>
      </w:r>
      <w:r>
        <w:rPr>
          <w:color w:val="231F20"/>
          <w:spacing w:val="-6"/>
        </w:rPr>
        <w:t>et</w:t>
      </w:r>
      <w:r>
        <w:rPr>
          <w:color w:val="231F20"/>
          <w:spacing w:val="5"/>
        </w:rPr>
        <w:t> </w:t>
      </w:r>
      <w:r>
        <w:rPr>
          <w:color w:val="231F20"/>
          <w:spacing w:val="-6"/>
        </w:rPr>
        <w:t>caribéens</w:t>
      </w:r>
      <w:r>
        <w:rPr>
          <w:color w:val="231F20"/>
          <w:spacing w:val="4"/>
        </w:rPr>
        <w:t> </w:t>
      </w:r>
      <w:r>
        <w:rPr>
          <w:color w:val="231F20"/>
          <w:spacing w:val="-6"/>
        </w:rPr>
        <w:t>(CELAC),</w:t>
      </w:r>
      <w:r>
        <w:rPr>
          <w:color w:val="231F20"/>
          <w:spacing w:val="5"/>
        </w:rPr>
        <w:t> </w:t>
      </w:r>
      <w:r>
        <w:rPr>
          <w:color w:val="231F20"/>
          <w:spacing w:val="-6"/>
        </w:rPr>
        <w:t>la</w:t>
      </w:r>
    </w:p>
    <w:p>
      <w:pPr>
        <w:spacing w:after="0"/>
        <w:sectPr>
          <w:pgSz w:w="11910" w:h="16840"/>
          <w:pgMar w:header="0" w:footer="695" w:top="1260" w:bottom="880" w:left="0" w:right="0"/>
          <w:cols w:num="2" w:equalWidth="0">
            <w:col w:w="5557" w:space="40"/>
            <w:col w:w="6313"/>
          </w:cols>
        </w:sectPr>
      </w:pPr>
    </w:p>
    <w:p>
      <w:pPr>
        <w:pStyle w:val="BodyText"/>
        <w:spacing w:before="77"/>
        <w:ind w:left="1734" w:right="7"/>
      </w:pPr>
      <w:r>
        <w:rPr>
          <w:color w:val="231F20"/>
        </w:rPr>
        <w:t>Communauté</w:t>
      </w:r>
      <w:r>
        <w:rPr>
          <w:color w:val="231F20"/>
          <w:spacing w:val="-15"/>
        </w:rPr>
        <w:t> </w:t>
      </w:r>
      <w:r>
        <w:rPr>
          <w:color w:val="231F20"/>
        </w:rPr>
        <w:t>des</w:t>
      </w:r>
      <w:r>
        <w:rPr>
          <w:color w:val="231F20"/>
          <w:spacing w:val="-16"/>
        </w:rPr>
        <w:t> </w:t>
      </w:r>
      <w:r>
        <w:rPr>
          <w:color w:val="231F20"/>
        </w:rPr>
        <w:t>Caraïbes</w:t>
      </w:r>
      <w:r>
        <w:rPr>
          <w:color w:val="231F20"/>
          <w:spacing w:val="-15"/>
        </w:rPr>
        <w:t> </w:t>
      </w:r>
      <w:r>
        <w:rPr>
          <w:color w:val="231F20"/>
        </w:rPr>
        <w:t>(CARICOM), l’Association des nations du Sud-Est asiatique (ANASE), l’Organisation de la </w:t>
      </w:r>
      <w:r>
        <w:rPr>
          <w:color w:val="231F20"/>
          <w:spacing w:val="-12"/>
        </w:rPr>
        <w:t>coopération</w:t>
      </w:r>
      <w:r>
        <w:rPr>
          <w:color w:val="231F20"/>
        </w:rPr>
        <w:t> </w:t>
      </w:r>
      <w:r>
        <w:rPr>
          <w:color w:val="231F20"/>
          <w:spacing w:val="-12"/>
        </w:rPr>
        <w:t>islamique,</w:t>
      </w:r>
      <w:r>
        <w:rPr>
          <w:color w:val="231F20"/>
        </w:rPr>
        <w:t> </w:t>
      </w:r>
      <w:r>
        <w:rPr>
          <w:color w:val="231F20"/>
          <w:spacing w:val="-12"/>
        </w:rPr>
        <w:t>l’Union</w:t>
      </w:r>
      <w:r>
        <w:rPr>
          <w:color w:val="231F20"/>
        </w:rPr>
        <w:t> </w:t>
      </w:r>
      <w:r>
        <w:rPr>
          <w:color w:val="231F20"/>
          <w:spacing w:val="-12"/>
        </w:rPr>
        <w:t>européenne </w:t>
      </w:r>
      <w:r>
        <w:rPr>
          <w:color w:val="231F20"/>
        </w:rPr>
        <w:t>(UE)</w:t>
      </w:r>
      <w:r>
        <w:rPr>
          <w:color w:val="231F20"/>
          <w:spacing w:val="-3"/>
        </w:rPr>
        <w:t> </w:t>
      </w:r>
      <w:r>
        <w:rPr>
          <w:color w:val="231F20"/>
        </w:rPr>
        <w:t>et</w:t>
      </w:r>
      <w:r>
        <w:rPr>
          <w:color w:val="231F20"/>
          <w:spacing w:val="-3"/>
        </w:rPr>
        <w:t> </w:t>
      </w:r>
      <w:r>
        <w:rPr>
          <w:color w:val="231F20"/>
        </w:rPr>
        <w:t>pour</w:t>
      </w:r>
      <w:r>
        <w:rPr>
          <w:color w:val="231F20"/>
          <w:spacing w:val="-3"/>
        </w:rPr>
        <w:t> </w:t>
      </w:r>
      <w:r>
        <w:rPr>
          <w:color w:val="231F20"/>
        </w:rPr>
        <w:t>la</w:t>
      </w:r>
      <w:r>
        <w:rPr>
          <w:color w:val="231F20"/>
          <w:spacing w:val="-3"/>
        </w:rPr>
        <w:t> </w:t>
      </w:r>
      <w:r>
        <w:rPr>
          <w:color w:val="231F20"/>
        </w:rPr>
        <w:t>première</w:t>
      </w:r>
      <w:r>
        <w:rPr>
          <w:color w:val="231F20"/>
          <w:spacing w:val="-3"/>
        </w:rPr>
        <w:t> </w:t>
      </w:r>
      <w:r>
        <w:rPr>
          <w:color w:val="231F20"/>
        </w:rPr>
        <w:t>fois,</w:t>
      </w:r>
      <w:r>
        <w:rPr>
          <w:color w:val="231F20"/>
          <w:spacing w:val="-3"/>
        </w:rPr>
        <w:t> </w:t>
      </w:r>
      <w:r>
        <w:rPr>
          <w:color w:val="231F20"/>
        </w:rPr>
        <w:t>le</w:t>
      </w:r>
      <w:r>
        <w:rPr>
          <w:color w:val="231F20"/>
          <w:spacing w:val="-3"/>
        </w:rPr>
        <w:t> </w:t>
      </w:r>
      <w:r>
        <w:rPr>
          <w:color w:val="231F20"/>
        </w:rPr>
        <w:t>Groupe </w:t>
      </w:r>
      <w:r>
        <w:rPr>
          <w:color w:val="231F20"/>
          <w:spacing w:val="-6"/>
        </w:rPr>
        <w:t>des</w:t>
      </w:r>
      <w:r>
        <w:rPr>
          <w:color w:val="231F20"/>
          <w:spacing w:val="-11"/>
        </w:rPr>
        <w:t> </w:t>
      </w:r>
      <w:r>
        <w:rPr>
          <w:color w:val="231F20"/>
          <w:spacing w:val="-6"/>
        </w:rPr>
        <w:t>amis</w:t>
      </w:r>
      <w:r>
        <w:rPr>
          <w:color w:val="231F20"/>
          <w:spacing w:val="-10"/>
        </w:rPr>
        <w:t> </w:t>
      </w:r>
      <w:r>
        <w:rPr>
          <w:color w:val="231F20"/>
          <w:spacing w:val="-6"/>
        </w:rPr>
        <w:t>Pour</w:t>
      </w:r>
      <w:r>
        <w:rPr>
          <w:color w:val="231F20"/>
          <w:spacing w:val="-11"/>
        </w:rPr>
        <w:t> </w:t>
      </w:r>
      <w:r>
        <w:rPr>
          <w:color w:val="231F20"/>
          <w:spacing w:val="-6"/>
        </w:rPr>
        <w:t>la</w:t>
      </w:r>
      <w:r>
        <w:rPr>
          <w:color w:val="231F20"/>
          <w:spacing w:val="-10"/>
        </w:rPr>
        <w:t> </w:t>
      </w:r>
      <w:r>
        <w:rPr>
          <w:color w:val="231F20"/>
          <w:spacing w:val="-6"/>
        </w:rPr>
        <w:t>défense</w:t>
      </w:r>
      <w:r>
        <w:rPr>
          <w:color w:val="231F20"/>
          <w:spacing w:val="-11"/>
        </w:rPr>
        <w:t> </w:t>
      </w:r>
      <w:r>
        <w:rPr>
          <w:color w:val="231F20"/>
          <w:spacing w:val="-6"/>
        </w:rPr>
        <w:t>de</w:t>
      </w:r>
      <w:r>
        <w:rPr>
          <w:color w:val="231F20"/>
          <w:spacing w:val="-10"/>
        </w:rPr>
        <w:t> </w:t>
      </w:r>
      <w:r>
        <w:rPr>
          <w:color w:val="231F20"/>
          <w:spacing w:val="-6"/>
        </w:rPr>
        <w:t>la</w:t>
      </w:r>
      <w:r>
        <w:rPr>
          <w:color w:val="231F20"/>
          <w:spacing w:val="-11"/>
        </w:rPr>
        <w:t> </w:t>
      </w:r>
      <w:r>
        <w:rPr>
          <w:color w:val="231F20"/>
          <w:spacing w:val="-6"/>
        </w:rPr>
        <w:t>Charte</w:t>
      </w:r>
      <w:r>
        <w:rPr>
          <w:color w:val="231F20"/>
          <w:spacing w:val="-10"/>
        </w:rPr>
        <w:t> </w:t>
      </w:r>
      <w:r>
        <w:rPr>
          <w:color w:val="231F20"/>
          <w:spacing w:val="-6"/>
        </w:rPr>
        <w:t>des </w:t>
      </w:r>
      <w:r>
        <w:rPr>
          <w:color w:val="231F20"/>
        </w:rPr>
        <w:t>Nations</w:t>
      </w:r>
      <w:r>
        <w:rPr>
          <w:color w:val="231F20"/>
          <w:spacing w:val="-2"/>
        </w:rPr>
        <w:t> </w:t>
      </w:r>
      <w:r>
        <w:rPr>
          <w:color w:val="231F20"/>
        </w:rPr>
        <w:t>Unies</w:t>
      </w:r>
      <w:r>
        <w:rPr>
          <w:color w:val="231F20"/>
          <w:spacing w:val="-2"/>
        </w:rPr>
        <w:t> </w:t>
      </w:r>
      <w:r>
        <w:rPr>
          <w:color w:val="231F20"/>
        </w:rPr>
        <w:t>(GADC)</w:t>
      </w:r>
      <w:r>
        <w:rPr>
          <w:color w:val="231F20"/>
          <w:spacing w:val="-2"/>
        </w:rPr>
        <w:t> </w:t>
      </w:r>
      <w:r>
        <w:rPr>
          <w:color w:val="231F20"/>
        </w:rPr>
        <w:t>et</w:t>
      </w:r>
      <w:r>
        <w:rPr>
          <w:color w:val="231F20"/>
          <w:spacing w:val="-2"/>
        </w:rPr>
        <w:t> </w:t>
      </w:r>
      <w:r>
        <w:rPr>
          <w:color w:val="231F20"/>
        </w:rPr>
        <w:t>le</w:t>
      </w:r>
      <w:r>
        <w:rPr>
          <w:color w:val="231F20"/>
          <w:spacing w:val="-2"/>
        </w:rPr>
        <w:t> </w:t>
      </w:r>
      <w:r>
        <w:rPr>
          <w:color w:val="231F20"/>
        </w:rPr>
        <w:t>Système</w:t>
      </w:r>
      <w:r>
        <w:rPr>
          <w:color w:val="231F20"/>
          <w:spacing w:val="-2"/>
        </w:rPr>
        <w:t> </w:t>
      </w:r>
      <w:r>
        <w:rPr>
          <w:color w:val="231F20"/>
        </w:rPr>
        <w:t>de </w:t>
      </w:r>
      <w:r>
        <w:rPr>
          <w:color w:val="231F20"/>
          <w:spacing w:val="-4"/>
        </w:rPr>
        <w:t>l’intégration</w:t>
      </w:r>
      <w:r>
        <w:rPr>
          <w:color w:val="231F20"/>
          <w:spacing w:val="-20"/>
        </w:rPr>
        <w:t> </w:t>
      </w:r>
      <w:r>
        <w:rPr>
          <w:color w:val="231F20"/>
          <w:spacing w:val="-4"/>
        </w:rPr>
        <w:t>centraméricaine</w:t>
      </w:r>
      <w:r>
        <w:rPr>
          <w:color w:val="231F20"/>
          <w:spacing w:val="-20"/>
        </w:rPr>
        <w:t> </w:t>
      </w:r>
      <w:r>
        <w:rPr>
          <w:color w:val="231F20"/>
          <w:spacing w:val="-4"/>
        </w:rPr>
        <w:t>(SICA).</w:t>
      </w:r>
    </w:p>
    <w:p>
      <w:pPr>
        <w:pStyle w:val="BodyText"/>
        <w:spacing w:before="166"/>
        <w:ind w:left="1734" w:right="2"/>
      </w:pPr>
      <w:r>
        <w:rPr>
          <w:color w:val="231F20"/>
        </w:rPr>
        <w:t>Par</w:t>
      </w:r>
      <w:r>
        <w:rPr>
          <w:color w:val="231F20"/>
          <w:spacing w:val="-10"/>
        </w:rPr>
        <w:t> </w:t>
      </w:r>
      <w:r>
        <w:rPr>
          <w:color w:val="231F20"/>
        </w:rPr>
        <w:t>ailleurs,</w:t>
      </w:r>
      <w:r>
        <w:rPr>
          <w:color w:val="231F20"/>
          <w:spacing w:val="-10"/>
        </w:rPr>
        <w:t> </w:t>
      </w:r>
      <w:r>
        <w:rPr>
          <w:color w:val="231F20"/>
        </w:rPr>
        <w:t>29</w:t>
      </w:r>
      <w:r>
        <w:rPr>
          <w:color w:val="231F20"/>
          <w:spacing w:val="-10"/>
        </w:rPr>
        <w:t> </w:t>
      </w:r>
      <w:r>
        <w:rPr>
          <w:color w:val="231F20"/>
        </w:rPr>
        <w:t>États</w:t>
      </w:r>
      <w:r>
        <w:rPr>
          <w:color w:val="231F20"/>
          <w:spacing w:val="-10"/>
        </w:rPr>
        <w:t> </w:t>
      </w:r>
      <w:r>
        <w:rPr>
          <w:color w:val="231F20"/>
        </w:rPr>
        <w:t>et</w:t>
      </w:r>
      <w:r>
        <w:rPr>
          <w:color w:val="231F20"/>
          <w:spacing w:val="-10"/>
        </w:rPr>
        <w:t> </w:t>
      </w:r>
      <w:r>
        <w:rPr>
          <w:color w:val="231F20"/>
        </w:rPr>
        <w:t>groupes</w:t>
      </w:r>
      <w:r>
        <w:rPr>
          <w:color w:val="231F20"/>
          <w:spacing w:val="-10"/>
        </w:rPr>
        <w:t> </w:t>
      </w:r>
      <w:r>
        <w:rPr>
          <w:color w:val="231F20"/>
        </w:rPr>
        <w:t>de</w:t>
      </w:r>
      <w:r>
        <w:rPr>
          <w:color w:val="231F20"/>
          <w:spacing w:val="-10"/>
        </w:rPr>
        <w:t> </w:t>
      </w:r>
      <w:r>
        <w:rPr>
          <w:color w:val="231F20"/>
        </w:rPr>
        <w:t>pays condamnent</w:t>
      </w:r>
      <w:r>
        <w:rPr>
          <w:color w:val="231F20"/>
          <w:spacing w:val="-16"/>
        </w:rPr>
        <w:t> </w:t>
      </w:r>
      <w:r>
        <w:rPr>
          <w:color w:val="231F20"/>
        </w:rPr>
        <w:t>l’inscription</w:t>
      </w:r>
      <w:r>
        <w:rPr>
          <w:color w:val="231F20"/>
          <w:spacing w:val="-16"/>
        </w:rPr>
        <w:t> </w:t>
      </w:r>
      <w:r>
        <w:rPr>
          <w:color w:val="231F20"/>
        </w:rPr>
        <w:t>de</w:t>
      </w:r>
      <w:r>
        <w:rPr>
          <w:color w:val="231F20"/>
          <w:spacing w:val="-16"/>
        </w:rPr>
        <w:t> </w:t>
      </w:r>
      <w:r>
        <w:rPr>
          <w:color w:val="231F20"/>
        </w:rPr>
        <w:t>Cuba</w:t>
      </w:r>
      <w:r>
        <w:rPr>
          <w:color w:val="231F20"/>
          <w:spacing w:val="-16"/>
        </w:rPr>
        <w:t> </w:t>
      </w:r>
      <w:r>
        <w:rPr>
          <w:color w:val="231F20"/>
        </w:rPr>
        <w:t>sur</w:t>
      </w:r>
      <w:r>
        <w:rPr>
          <w:color w:val="231F20"/>
          <w:spacing w:val="-16"/>
        </w:rPr>
        <w:t> </w:t>
      </w:r>
      <w:r>
        <w:rPr>
          <w:color w:val="231F20"/>
        </w:rPr>
        <w:t>la </w:t>
      </w:r>
      <w:r>
        <w:rPr>
          <w:color w:val="231F20"/>
          <w:spacing w:val="-8"/>
        </w:rPr>
        <w:t>Liste</w:t>
      </w:r>
      <w:r>
        <w:rPr>
          <w:color w:val="231F20"/>
          <w:spacing w:val="-9"/>
        </w:rPr>
        <w:t> </w:t>
      </w:r>
      <w:r>
        <w:rPr>
          <w:color w:val="231F20"/>
          <w:spacing w:val="-8"/>
        </w:rPr>
        <w:t>des États</w:t>
      </w:r>
      <w:r>
        <w:rPr>
          <w:color w:val="231F20"/>
          <w:spacing w:val="-9"/>
        </w:rPr>
        <w:t> </w:t>
      </w:r>
      <w:r>
        <w:rPr>
          <w:color w:val="231F20"/>
          <w:spacing w:val="-8"/>
        </w:rPr>
        <w:t>censément commanditaires </w:t>
      </w:r>
      <w:r>
        <w:rPr>
          <w:color w:val="231F20"/>
        </w:rPr>
        <w:t>de terrorisme international.</w:t>
      </w:r>
    </w:p>
    <w:p>
      <w:pPr>
        <w:pStyle w:val="BodyText"/>
        <w:spacing w:before="163"/>
        <w:ind w:left="1734" w:right="2"/>
      </w:pPr>
      <w:r>
        <w:rPr/>
        <mc:AlternateContent>
          <mc:Choice Requires="wps">
            <w:drawing>
              <wp:anchor distT="0" distB="0" distL="0" distR="0" allowOverlap="1" layoutInCell="1" locked="0" behindDoc="0" simplePos="0" relativeHeight="15849472">
                <wp:simplePos x="0" y="0"/>
                <wp:positionH relativeFrom="page">
                  <wp:posOffset>935997</wp:posOffset>
                </wp:positionH>
                <wp:positionV relativeFrom="paragraph">
                  <wp:posOffset>191045</wp:posOffset>
                </wp:positionV>
                <wp:extent cx="59690" cy="59690"/>
                <wp:effectExtent l="0" t="0" r="0" b="0"/>
                <wp:wrapNone/>
                <wp:docPr id="529" name="Graphic 529"/>
                <wp:cNvGraphicFramePr>
                  <a:graphicFrameLocks/>
                </wp:cNvGraphicFramePr>
                <a:graphic>
                  <a:graphicData uri="http://schemas.microsoft.com/office/word/2010/wordprocessingShape">
                    <wps:wsp>
                      <wps:cNvPr id="529" name="Graphic 52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04295pt;width:4.7pt;height:4.7pt;mso-position-horizontal-relative:page;mso-position-vertical-relative:paragraph;z-index:15849472" id="docshape416" coordorigin="1474,301" coordsize="94,94" path="m1521,301l1502,305,1488,315,1478,329,1474,347,1478,366,1488,380,1502,390,1521,394,1539,390,1554,380,1564,366,1567,347,1564,329,1554,315,1539,305,1521,301xe" filled="true" fillcolor="#1a4796" stroked="false">
                <v:path arrowok="t"/>
                <v:fill type="solid"/>
                <w10:wrap type="none"/>
              </v:shape>
            </w:pict>
          </mc:Fallback>
        </mc:AlternateContent>
      </w:r>
      <w:r>
        <w:rPr>
          <w:b/>
          <w:color w:val="1A4796"/>
          <w:spacing w:val="-6"/>
        </w:rPr>
        <w:t>Novembre</w:t>
      </w:r>
      <w:r>
        <w:rPr>
          <w:b/>
          <w:color w:val="1A4796"/>
          <w:spacing w:val="-11"/>
        </w:rPr>
        <w:t> </w:t>
      </w:r>
      <w:r>
        <w:rPr>
          <w:b/>
          <w:color w:val="1A4796"/>
          <w:spacing w:val="-6"/>
        </w:rPr>
        <w:t>2022.</w:t>
      </w:r>
      <w:r>
        <w:rPr>
          <w:b/>
          <w:color w:val="1A4796"/>
          <w:spacing w:val="-11"/>
        </w:rPr>
        <w:t> </w:t>
      </w:r>
      <w:r>
        <w:rPr>
          <w:color w:val="231F20"/>
          <w:spacing w:val="-6"/>
        </w:rPr>
        <w:t>La</w:t>
      </w:r>
      <w:r>
        <w:rPr>
          <w:color w:val="231F20"/>
          <w:spacing w:val="-10"/>
        </w:rPr>
        <w:t> </w:t>
      </w:r>
      <w:r>
        <w:rPr>
          <w:color w:val="231F20"/>
          <w:spacing w:val="-6"/>
        </w:rPr>
        <w:t>Douma</w:t>
      </w:r>
      <w:r>
        <w:rPr>
          <w:color w:val="231F20"/>
          <w:spacing w:val="-10"/>
        </w:rPr>
        <w:t> </w:t>
      </w:r>
      <w:r>
        <w:rPr>
          <w:color w:val="231F20"/>
          <w:spacing w:val="-6"/>
        </w:rPr>
        <w:t>et</w:t>
      </w:r>
      <w:r>
        <w:rPr>
          <w:color w:val="231F20"/>
          <w:spacing w:val="-11"/>
        </w:rPr>
        <w:t> </w:t>
      </w:r>
      <w:r>
        <w:rPr>
          <w:color w:val="231F20"/>
          <w:spacing w:val="-6"/>
        </w:rPr>
        <w:t>le</w:t>
      </w:r>
      <w:r>
        <w:rPr>
          <w:color w:val="231F20"/>
          <w:spacing w:val="-10"/>
        </w:rPr>
        <w:t> </w:t>
      </w:r>
      <w:r>
        <w:rPr>
          <w:color w:val="231F20"/>
          <w:spacing w:val="-6"/>
        </w:rPr>
        <w:t>Conseil </w:t>
      </w:r>
      <w:r>
        <w:rPr>
          <w:color w:val="231F20"/>
        </w:rPr>
        <w:t>de</w:t>
      </w:r>
      <w:r>
        <w:rPr>
          <w:color w:val="231F20"/>
          <w:spacing w:val="-17"/>
        </w:rPr>
        <w:t> </w:t>
      </w:r>
      <w:r>
        <w:rPr>
          <w:color w:val="231F20"/>
        </w:rPr>
        <w:t>la</w:t>
      </w:r>
      <w:r>
        <w:rPr>
          <w:color w:val="231F20"/>
          <w:spacing w:val="-16"/>
        </w:rPr>
        <w:t> </w:t>
      </w:r>
      <w:r>
        <w:rPr>
          <w:color w:val="231F20"/>
        </w:rPr>
        <w:t>Fédération</w:t>
      </w:r>
      <w:r>
        <w:rPr>
          <w:color w:val="231F20"/>
          <w:spacing w:val="-17"/>
        </w:rPr>
        <w:t> </w:t>
      </w:r>
      <w:r>
        <w:rPr>
          <w:color w:val="231F20"/>
        </w:rPr>
        <w:t>de</w:t>
      </w:r>
      <w:r>
        <w:rPr>
          <w:color w:val="231F20"/>
          <w:spacing w:val="-16"/>
        </w:rPr>
        <w:t> </w:t>
      </w:r>
      <w:r>
        <w:rPr>
          <w:color w:val="231F20"/>
        </w:rPr>
        <w:t>Russie</w:t>
      </w:r>
      <w:r>
        <w:rPr>
          <w:color w:val="231F20"/>
          <w:spacing w:val="-17"/>
        </w:rPr>
        <w:t> </w:t>
      </w:r>
      <w:r>
        <w:rPr>
          <w:color w:val="231F20"/>
        </w:rPr>
        <w:t>adoptent</w:t>
      </w:r>
      <w:r>
        <w:rPr>
          <w:color w:val="231F20"/>
          <w:spacing w:val="-16"/>
        </w:rPr>
        <w:t> </w:t>
      </w:r>
      <w:r>
        <w:rPr>
          <w:color w:val="231F20"/>
        </w:rPr>
        <w:t>des </w:t>
      </w:r>
      <w:r>
        <w:rPr>
          <w:color w:val="231F20"/>
          <w:spacing w:val="-10"/>
        </w:rPr>
        <w:t>résolutions</w:t>
      </w:r>
      <w:r>
        <w:rPr>
          <w:color w:val="231F20"/>
          <w:spacing w:val="-7"/>
        </w:rPr>
        <w:t> </w:t>
      </w:r>
      <w:r>
        <w:rPr>
          <w:color w:val="231F20"/>
          <w:spacing w:val="-10"/>
        </w:rPr>
        <w:t>pour</w:t>
      </w:r>
      <w:r>
        <w:rPr>
          <w:color w:val="231F20"/>
          <w:spacing w:val="-6"/>
        </w:rPr>
        <w:t> </w:t>
      </w:r>
      <w:r>
        <w:rPr>
          <w:color w:val="231F20"/>
          <w:spacing w:val="-10"/>
        </w:rPr>
        <w:t>appuyer</w:t>
      </w:r>
      <w:r>
        <w:rPr>
          <w:color w:val="231F20"/>
          <w:spacing w:val="-7"/>
        </w:rPr>
        <w:t> </w:t>
      </w:r>
      <w:r>
        <w:rPr>
          <w:color w:val="231F20"/>
          <w:spacing w:val="-10"/>
        </w:rPr>
        <w:t>Cuba</w:t>
      </w:r>
      <w:r>
        <w:rPr>
          <w:color w:val="231F20"/>
          <w:spacing w:val="-6"/>
        </w:rPr>
        <w:t> </w:t>
      </w:r>
      <w:r>
        <w:rPr>
          <w:color w:val="231F20"/>
          <w:spacing w:val="-10"/>
        </w:rPr>
        <w:t>et</w:t>
      </w:r>
      <w:r>
        <w:rPr>
          <w:color w:val="231F20"/>
          <w:spacing w:val="-7"/>
        </w:rPr>
        <w:t> </w:t>
      </w:r>
      <w:r>
        <w:rPr>
          <w:color w:val="231F20"/>
          <w:spacing w:val="-10"/>
        </w:rPr>
        <w:t>réclamer </w:t>
      </w:r>
      <w:r>
        <w:rPr>
          <w:color w:val="231F20"/>
        </w:rPr>
        <w:t>la levée du blocus. Le 5 novembre, le ministère russe des Affaires étrangères </w:t>
      </w:r>
      <w:r>
        <w:rPr>
          <w:color w:val="231F20"/>
          <w:spacing w:val="-8"/>
        </w:rPr>
        <w:t>émet un communiqué « Sur l’adoption de </w:t>
      </w:r>
      <w:r>
        <w:rPr>
          <w:color w:val="231F20"/>
          <w:spacing w:val="-6"/>
        </w:rPr>
        <w:t>la</w:t>
      </w:r>
      <w:r>
        <w:rPr>
          <w:color w:val="231F20"/>
          <w:spacing w:val="-9"/>
        </w:rPr>
        <w:t> </w:t>
      </w:r>
      <w:r>
        <w:rPr>
          <w:color w:val="231F20"/>
          <w:spacing w:val="-6"/>
        </w:rPr>
        <w:t>résolution</w:t>
      </w:r>
      <w:r>
        <w:rPr>
          <w:color w:val="231F20"/>
          <w:spacing w:val="-9"/>
        </w:rPr>
        <w:t> </w:t>
      </w:r>
      <w:r>
        <w:rPr>
          <w:color w:val="231F20"/>
          <w:spacing w:val="-6"/>
        </w:rPr>
        <w:t>de</w:t>
      </w:r>
      <w:r>
        <w:rPr>
          <w:color w:val="231F20"/>
          <w:spacing w:val="-9"/>
        </w:rPr>
        <w:t> </w:t>
      </w:r>
      <w:r>
        <w:rPr>
          <w:color w:val="231F20"/>
          <w:spacing w:val="-6"/>
        </w:rPr>
        <w:t>l’Assemblée</w:t>
      </w:r>
      <w:r>
        <w:rPr>
          <w:color w:val="231F20"/>
          <w:spacing w:val="-9"/>
        </w:rPr>
        <w:t> </w:t>
      </w:r>
      <w:r>
        <w:rPr>
          <w:color w:val="231F20"/>
          <w:spacing w:val="-6"/>
        </w:rPr>
        <w:t>générale</w:t>
      </w:r>
      <w:r>
        <w:rPr>
          <w:color w:val="231F20"/>
          <w:spacing w:val="-9"/>
        </w:rPr>
        <w:t> </w:t>
      </w:r>
      <w:r>
        <w:rPr>
          <w:color w:val="231F20"/>
          <w:spacing w:val="-6"/>
        </w:rPr>
        <w:t>des </w:t>
      </w:r>
      <w:r>
        <w:rPr>
          <w:color w:val="231F20"/>
        </w:rPr>
        <w:t>Nations Unies intitulée : “Nécessité de </w:t>
      </w:r>
      <w:r>
        <w:rPr>
          <w:color w:val="231F20"/>
          <w:spacing w:val="-2"/>
        </w:rPr>
        <w:t>lever</w:t>
      </w:r>
      <w:r>
        <w:rPr>
          <w:color w:val="231F20"/>
          <w:spacing w:val="-13"/>
        </w:rPr>
        <w:t> </w:t>
      </w:r>
      <w:r>
        <w:rPr>
          <w:color w:val="231F20"/>
          <w:spacing w:val="-2"/>
        </w:rPr>
        <w:t>le</w:t>
      </w:r>
      <w:r>
        <w:rPr>
          <w:color w:val="231F20"/>
          <w:spacing w:val="-13"/>
        </w:rPr>
        <w:t> </w:t>
      </w:r>
      <w:r>
        <w:rPr>
          <w:color w:val="231F20"/>
          <w:spacing w:val="-2"/>
        </w:rPr>
        <w:t>blocus</w:t>
      </w:r>
      <w:r>
        <w:rPr>
          <w:color w:val="231F20"/>
          <w:spacing w:val="-13"/>
        </w:rPr>
        <w:t> </w:t>
      </w:r>
      <w:r>
        <w:rPr>
          <w:color w:val="231F20"/>
          <w:spacing w:val="-2"/>
        </w:rPr>
        <w:t>économique,</w:t>
      </w:r>
      <w:r>
        <w:rPr>
          <w:color w:val="231F20"/>
          <w:spacing w:val="-13"/>
        </w:rPr>
        <w:t> </w:t>
      </w:r>
      <w:r>
        <w:rPr>
          <w:color w:val="231F20"/>
          <w:spacing w:val="-2"/>
        </w:rPr>
        <w:t>commercial </w:t>
      </w:r>
      <w:r>
        <w:rPr>
          <w:color w:val="231F20"/>
          <w:spacing w:val="-6"/>
        </w:rPr>
        <w:t>et</w:t>
      </w:r>
      <w:r>
        <w:rPr>
          <w:color w:val="231F20"/>
          <w:spacing w:val="-10"/>
        </w:rPr>
        <w:t> </w:t>
      </w:r>
      <w:r>
        <w:rPr>
          <w:color w:val="231F20"/>
          <w:spacing w:val="-6"/>
        </w:rPr>
        <w:t>financier</w:t>
      </w:r>
      <w:r>
        <w:rPr>
          <w:color w:val="231F20"/>
          <w:spacing w:val="-10"/>
        </w:rPr>
        <w:t> </w:t>
      </w:r>
      <w:r>
        <w:rPr>
          <w:color w:val="231F20"/>
          <w:spacing w:val="-6"/>
        </w:rPr>
        <w:t>appliqué</w:t>
      </w:r>
      <w:r>
        <w:rPr>
          <w:color w:val="231F20"/>
          <w:spacing w:val="-10"/>
        </w:rPr>
        <w:t> </w:t>
      </w:r>
      <w:r>
        <w:rPr>
          <w:color w:val="231F20"/>
          <w:spacing w:val="-6"/>
        </w:rPr>
        <w:t>à</w:t>
      </w:r>
      <w:r>
        <w:rPr>
          <w:color w:val="231F20"/>
          <w:spacing w:val="-10"/>
        </w:rPr>
        <w:t> </w:t>
      </w:r>
      <w:r>
        <w:rPr>
          <w:color w:val="231F20"/>
          <w:spacing w:val="-6"/>
        </w:rPr>
        <w:t>Cuba</w:t>
      </w:r>
      <w:r>
        <w:rPr>
          <w:color w:val="231F20"/>
          <w:spacing w:val="-10"/>
        </w:rPr>
        <w:t> </w:t>
      </w:r>
      <w:r>
        <w:rPr>
          <w:color w:val="231F20"/>
          <w:spacing w:val="-6"/>
        </w:rPr>
        <w:t>par</w:t>
      </w:r>
      <w:r>
        <w:rPr>
          <w:color w:val="231F20"/>
          <w:spacing w:val="-10"/>
        </w:rPr>
        <w:t> </w:t>
      </w:r>
      <w:r>
        <w:rPr>
          <w:color w:val="231F20"/>
          <w:spacing w:val="-6"/>
        </w:rPr>
        <w:t>les</w:t>
      </w:r>
      <w:r>
        <w:rPr>
          <w:color w:val="231F20"/>
          <w:spacing w:val="-10"/>
        </w:rPr>
        <w:t> </w:t>
      </w:r>
      <w:r>
        <w:rPr>
          <w:color w:val="231F20"/>
          <w:spacing w:val="-6"/>
        </w:rPr>
        <w:t>États- </w:t>
      </w:r>
      <w:r>
        <w:rPr>
          <w:color w:val="231F20"/>
        </w:rPr>
        <w:t>Unis d’Amérique” ».</w:t>
      </w:r>
    </w:p>
    <w:p>
      <w:pPr>
        <w:pStyle w:val="BodyText"/>
        <w:spacing w:before="169"/>
        <w:ind w:left="1734"/>
      </w:pPr>
      <w:r>
        <w:rPr/>
        <mc:AlternateContent>
          <mc:Choice Requires="wps">
            <w:drawing>
              <wp:anchor distT="0" distB="0" distL="0" distR="0" allowOverlap="1" layoutInCell="1" locked="0" behindDoc="0" simplePos="0" relativeHeight="15849984">
                <wp:simplePos x="0" y="0"/>
                <wp:positionH relativeFrom="page">
                  <wp:posOffset>935997</wp:posOffset>
                </wp:positionH>
                <wp:positionV relativeFrom="paragraph">
                  <wp:posOffset>188796</wp:posOffset>
                </wp:positionV>
                <wp:extent cx="59690" cy="59690"/>
                <wp:effectExtent l="0" t="0" r="0" b="0"/>
                <wp:wrapNone/>
                <wp:docPr id="530" name="Graphic 530"/>
                <wp:cNvGraphicFramePr>
                  <a:graphicFrameLocks/>
                </wp:cNvGraphicFramePr>
                <a:graphic>
                  <a:graphicData uri="http://schemas.microsoft.com/office/word/2010/wordprocessingShape">
                    <wps:wsp>
                      <wps:cNvPr id="530" name="Graphic 53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865837pt;width:4.7pt;height:4.7pt;mso-position-horizontal-relative:page;mso-position-vertical-relative:paragraph;z-index:15849984" id="docshape417" coordorigin="1474,297" coordsize="94,94" path="m1521,297l1502,301,1488,311,1478,326,1474,344,1478,362,1488,377,1502,387,1521,391,1539,387,1554,377,1564,362,1567,344,1564,326,1554,311,1539,301,1521,297xe" filled="true" fillcolor="#1a4796" stroked="false">
                <v:path arrowok="t"/>
                <v:fill type="solid"/>
                <w10:wrap type="none"/>
              </v:shape>
            </w:pict>
          </mc:Fallback>
        </mc:AlternateContent>
      </w:r>
      <w:r>
        <w:rPr>
          <w:b/>
          <w:color w:val="1A4796"/>
          <w:spacing w:val="-4"/>
        </w:rPr>
        <w:t>6</w:t>
      </w:r>
      <w:r>
        <w:rPr>
          <w:b/>
          <w:color w:val="1A4796"/>
          <w:spacing w:val="-10"/>
        </w:rPr>
        <w:t> </w:t>
      </w:r>
      <w:r>
        <w:rPr>
          <w:b/>
          <w:color w:val="1A4796"/>
          <w:spacing w:val="-4"/>
        </w:rPr>
        <w:t>décembre</w:t>
      </w:r>
      <w:r>
        <w:rPr>
          <w:b/>
          <w:color w:val="1A4796"/>
          <w:spacing w:val="-10"/>
        </w:rPr>
        <w:t> </w:t>
      </w:r>
      <w:r>
        <w:rPr>
          <w:b/>
          <w:color w:val="1A4796"/>
          <w:spacing w:val="-4"/>
        </w:rPr>
        <w:t>2022.</w:t>
      </w:r>
      <w:r>
        <w:rPr>
          <w:b/>
          <w:color w:val="1A4796"/>
          <w:spacing w:val="-11"/>
        </w:rPr>
        <w:t> </w:t>
      </w:r>
      <w:r>
        <w:rPr>
          <w:color w:val="231F20"/>
          <w:spacing w:val="-4"/>
        </w:rPr>
        <w:t>Le</w:t>
      </w:r>
      <w:r>
        <w:rPr>
          <w:color w:val="231F20"/>
          <w:spacing w:val="-10"/>
        </w:rPr>
        <w:t> </w:t>
      </w:r>
      <w:r>
        <w:rPr>
          <w:color w:val="231F20"/>
          <w:spacing w:val="-4"/>
        </w:rPr>
        <w:t>Huitième</w:t>
      </w:r>
      <w:r>
        <w:rPr>
          <w:color w:val="231F20"/>
          <w:spacing w:val="-10"/>
        </w:rPr>
        <w:t> </w:t>
      </w:r>
      <w:r>
        <w:rPr>
          <w:color w:val="231F20"/>
          <w:spacing w:val="-4"/>
        </w:rPr>
        <w:t>Sommet </w:t>
      </w:r>
      <w:r>
        <w:rPr>
          <w:color w:val="231F20"/>
        </w:rPr>
        <w:t>CARICOM-Cuba, tenu à Bridgetown, appelle à la levée immédiate et inconditionnelle du blocus, rejette </w:t>
      </w:r>
      <w:r>
        <w:rPr>
          <w:color w:val="231F20"/>
          <w:spacing w:val="-2"/>
        </w:rPr>
        <w:t>fermement</w:t>
      </w:r>
      <w:r>
        <w:rPr>
          <w:color w:val="231F20"/>
          <w:spacing w:val="-13"/>
        </w:rPr>
        <w:t> </w:t>
      </w:r>
      <w:r>
        <w:rPr>
          <w:color w:val="231F20"/>
          <w:spacing w:val="-2"/>
        </w:rPr>
        <w:t>une</w:t>
      </w:r>
      <w:r>
        <w:rPr>
          <w:color w:val="231F20"/>
          <w:spacing w:val="-13"/>
        </w:rPr>
        <w:t> </w:t>
      </w:r>
      <w:r>
        <w:rPr>
          <w:color w:val="231F20"/>
          <w:spacing w:val="-2"/>
        </w:rPr>
        <w:t>fois</w:t>
      </w:r>
      <w:r>
        <w:rPr>
          <w:color w:val="231F20"/>
          <w:spacing w:val="-13"/>
        </w:rPr>
        <w:t> </w:t>
      </w:r>
      <w:r>
        <w:rPr>
          <w:color w:val="231F20"/>
          <w:spacing w:val="-2"/>
        </w:rPr>
        <w:t>de</w:t>
      </w:r>
      <w:r>
        <w:rPr>
          <w:color w:val="231F20"/>
          <w:spacing w:val="-13"/>
        </w:rPr>
        <w:t> </w:t>
      </w:r>
      <w:r>
        <w:rPr>
          <w:color w:val="231F20"/>
          <w:spacing w:val="-2"/>
        </w:rPr>
        <w:t>plus</w:t>
      </w:r>
      <w:r>
        <w:rPr>
          <w:color w:val="231F20"/>
          <w:spacing w:val="-13"/>
        </w:rPr>
        <w:t> </w:t>
      </w:r>
      <w:r>
        <w:rPr>
          <w:color w:val="231F20"/>
          <w:spacing w:val="-2"/>
        </w:rPr>
        <w:t>l’application </w:t>
      </w:r>
      <w:r>
        <w:rPr>
          <w:color w:val="231F20"/>
        </w:rPr>
        <w:t>de lois et mesures extraterritoriales, telle la Loi Helms-Burton, qui violent gravement le droit international et portent</w:t>
      </w:r>
      <w:r>
        <w:rPr>
          <w:color w:val="231F20"/>
          <w:spacing w:val="-17"/>
        </w:rPr>
        <w:t> </w:t>
      </w:r>
      <w:r>
        <w:rPr>
          <w:color w:val="231F20"/>
        </w:rPr>
        <w:t>atteinte</w:t>
      </w:r>
      <w:r>
        <w:rPr>
          <w:color w:val="231F20"/>
          <w:spacing w:val="-16"/>
        </w:rPr>
        <w:t> </w:t>
      </w:r>
      <w:r>
        <w:rPr>
          <w:color w:val="231F20"/>
        </w:rPr>
        <w:t>à</w:t>
      </w:r>
      <w:r>
        <w:rPr>
          <w:color w:val="231F20"/>
          <w:spacing w:val="-17"/>
        </w:rPr>
        <w:t> </w:t>
      </w:r>
      <w:r>
        <w:rPr>
          <w:color w:val="231F20"/>
        </w:rPr>
        <w:t>la</w:t>
      </w:r>
      <w:r>
        <w:rPr>
          <w:color w:val="231F20"/>
          <w:spacing w:val="-16"/>
        </w:rPr>
        <w:t> </w:t>
      </w:r>
      <w:r>
        <w:rPr>
          <w:color w:val="231F20"/>
        </w:rPr>
        <w:t>souveraineté</w:t>
      </w:r>
      <w:r>
        <w:rPr>
          <w:color w:val="231F20"/>
          <w:spacing w:val="-17"/>
        </w:rPr>
        <w:t> </w:t>
      </w:r>
      <w:r>
        <w:rPr>
          <w:color w:val="231F20"/>
        </w:rPr>
        <w:t>et</w:t>
      </w:r>
      <w:r>
        <w:rPr>
          <w:color w:val="231F20"/>
          <w:spacing w:val="-16"/>
        </w:rPr>
        <w:t> </w:t>
      </w:r>
      <w:r>
        <w:rPr>
          <w:color w:val="231F20"/>
        </w:rPr>
        <w:t>aux intérêts de tiers.</w:t>
      </w:r>
    </w:p>
    <w:p>
      <w:pPr>
        <w:pStyle w:val="BodyText"/>
        <w:spacing w:before="168"/>
        <w:ind w:left="1734"/>
      </w:pPr>
      <w:r>
        <w:rPr>
          <w:color w:val="231F20"/>
        </w:rPr>
        <w:t>Par ailleurs, ce Huitième Sommet </w:t>
      </w:r>
      <w:r>
        <w:rPr>
          <w:color w:val="231F20"/>
          <w:spacing w:val="-2"/>
        </w:rPr>
        <w:t>déclare</w:t>
      </w:r>
      <w:r>
        <w:rPr>
          <w:color w:val="231F20"/>
          <w:spacing w:val="-15"/>
        </w:rPr>
        <w:t> </w:t>
      </w:r>
      <w:r>
        <w:rPr>
          <w:color w:val="231F20"/>
          <w:spacing w:val="-2"/>
        </w:rPr>
        <w:t>le</w:t>
      </w:r>
      <w:r>
        <w:rPr>
          <w:color w:val="231F20"/>
          <w:spacing w:val="-14"/>
        </w:rPr>
        <w:t> </w:t>
      </w:r>
      <w:r>
        <w:rPr>
          <w:color w:val="231F20"/>
          <w:spacing w:val="-2"/>
        </w:rPr>
        <w:t>6</w:t>
      </w:r>
      <w:r>
        <w:rPr>
          <w:color w:val="231F20"/>
          <w:spacing w:val="-15"/>
        </w:rPr>
        <w:t> </w:t>
      </w:r>
      <w:r>
        <w:rPr>
          <w:color w:val="231F20"/>
          <w:spacing w:val="-2"/>
        </w:rPr>
        <w:t>octobre</w:t>
      </w:r>
      <w:r>
        <w:rPr>
          <w:color w:val="231F20"/>
          <w:spacing w:val="-14"/>
        </w:rPr>
        <w:t> </w:t>
      </w:r>
      <w:r>
        <w:rPr>
          <w:color w:val="231F20"/>
          <w:spacing w:val="-2"/>
        </w:rPr>
        <w:t>comme</w:t>
      </w:r>
      <w:r>
        <w:rPr>
          <w:color w:val="231F20"/>
          <w:spacing w:val="-15"/>
        </w:rPr>
        <w:t> </w:t>
      </w:r>
      <w:r>
        <w:rPr>
          <w:color w:val="231F20"/>
          <w:spacing w:val="-2"/>
        </w:rPr>
        <w:t>la</w:t>
      </w:r>
      <w:r>
        <w:rPr>
          <w:color w:val="231F20"/>
          <w:spacing w:val="-14"/>
        </w:rPr>
        <w:t> </w:t>
      </w:r>
      <w:r>
        <w:rPr>
          <w:color w:val="231F20"/>
          <w:spacing w:val="-2"/>
        </w:rPr>
        <w:t>«</w:t>
      </w:r>
      <w:r>
        <w:rPr>
          <w:color w:val="231F20"/>
          <w:spacing w:val="-15"/>
        </w:rPr>
        <w:t> </w:t>
      </w:r>
      <w:r>
        <w:rPr>
          <w:color w:val="231F20"/>
          <w:spacing w:val="-2"/>
        </w:rPr>
        <w:t>Journée </w:t>
      </w:r>
      <w:r>
        <w:rPr>
          <w:color w:val="231F20"/>
        </w:rPr>
        <w:t>CARICOM-Cuba</w:t>
      </w:r>
      <w:r>
        <w:rPr>
          <w:color w:val="231F20"/>
          <w:spacing w:val="75"/>
          <w:w w:val="150"/>
        </w:rPr>
        <w:t> </w:t>
      </w:r>
      <w:r>
        <w:rPr>
          <w:color w:val="231F20"/>
        </w:rPr>
        <w:t>contre</w:t>
      </w:r>
      <w:r>
        <w:rPr>
          <w:color w:val="231F20"/>
          <w:spacing w:val="74"/>
          <w:w w:val="150"/>
        </w:rPr>
        <w:t> </w:t>
      </w:r>
      <w:r>
        <w:rPr>
          <w:color w:val="231F20"/>
        </w:rPr>
        <w:t>le</w:t>
      </w:r>
      <w:r>
        <w:rPr>
          <w:color w:val="231F20"/>
          <w:spacing w:val="74"/>
          <w:w w:val="150"/>
        </w:rPr>
        <w:t> </w:t>
      </w:r>
      <w:r>
        <w:rPr>
          <w:color w:val="231F20"/>
          <w:spacing w:val="-2"/>
        </w:rPr>
        <w:t>terrorisme</w:t>
      </w:r>
    </w:p>
    <w:p>
      <w:pPr>
        <w:pStyle w:val="BodyText"/>
        <w:spacing w:before="2"/>
        <w:ind w:left="1734"/>
      </w:pPr>
      <w:r>
        <w:rPr>
          <w:color w:val="231F20"/>
        </w:rPr>
        <w:t>», en hommage aux 73 personnes qui </w:t>
      </w:r>
      <w:r>
        <w:rPr>
          <w:color w:val="231F20"/>
          <w:spacing w:val="-8"/>
        </w:rPr>
        <w:t>perdirent</w:t>
      </w:r>
      <w:r>
        <w:rPr>
          <w:color w:val="231F20"/>
          <w:spacing w:val="-9"/>
        </w:rPr>
        <w:t> </w:t>
      </w:r>
      <w:r>
        <w:rPr>
          <w:color w:val="231F20"/>
          <w:spacing w:val="-8"/>
        </w:rPr>
        <w:t>la vie,</w:t>
      </w:r>
      <w:r>
        <w:rPr>
          <w:color w:val="231F20"/>
          <w:spacing w:val="-9"/>
        </w:rPr>
        <w:t> </w:t>
      </w:r>
      <w:r>
        <w:rPr>
          <w:color w:val="231F20"/>
          <w:spacing w:val="-8"/>
        </w:rPr>
        <w:t>à cette</w:t>
      </w:r>
      <w:r>
        <w:rPr>
          <w:color w:val="231F20"/>
          <w:spacing w:val="-9"/>
        </w:rPr>
        <w:t> </w:t>
      </w:r>
      <w:r>
        <w:rPr>
          <w:color w:val="231F20"/>
          <w:spacing w:val="-8"/>
        </w:rPr>
        <w:t>date de</w:t>
      </w:r>
      <w:r>
        <w:rPr>
          <w:color w:val="231F20"/>
          <w:spacing w:val="-9"/>
        </w:rPr>
        <w:t> </w:t>
      </w:r>
      <w:r>
        <w:rPr>
          <w:color w:val="231F20"/>
          <w:spacing w:val="-8"/>
        </w:rPr>
        <w:t>1976, dans </w:t>
      </w:r>
      <w:r>
        <w:rPr>
          <w:color w:val="231F20"/>
        </w:rPr>
        <w:t>un</w:t>
      </w:r>
      <w:r>
        <w:rPr>
          <w:color w:val="231F20"/>
          <w:spacing w:val="-15"/>
        </w:rPr>
        <w:t> </w:t>
      </w:r>
      <w:r>
        <w:rPr>
          <w:color w:val="231F20"/>
        </w:rPr>
        <w:t>attentat</w:t>
      </w:r>
      <w:r>
        <w:rPr>
          <w:color w:val="231F20"/>
          <w:spacing w:val="-15"/>
        </w:rPr>
        <w:t> </w:t>
      </w:r>
      <w:r>
        <w:rPr>
          <w:color w:val="231F20"/>
        </w:rPr>
        <w:t>terroriste</w:t>
      </w:r>
      <w:r>
        <w:rPr>
          <w:color w:val="231F20"/>
          <w:spacing w:val="-15"/>
        </w:rPr>
        <w:t> </w:t>
      </w:r>
      <w:r>
        <w:rPr>
          <w:color w:val="231F20"/>
        </w:rPr>
        <w:t>contre</w:t>
      </w:r>
      <w:r>
        <w:rPr>
          <w:color w:val="231F20"/>
          <w:spacing w:val="-15"/>
        </w:rPr>
        <w:t> </w:t>
      </w:r>
      <w:r>
        <w:rPr>
          <w:color w:val="231F20"/>
        </w:rPr>
        <w:t>un</w:t>
      </w:r>
      <w:r>
        <w:rPr>
          <w:color w:val="231F20"/>
          <w:spacing w:val="-15"/>
        </w:rPr>
        <w:t> </w:t>
      </w:r>
      <w:r>
        <w:rPr>
          <w:color w:val="231F20"/>
        </w:rPr>
        <w:t>appareil en plein vol de Cubana de Aviación englouti dans les eaux de la Barbade, cette</w:t>
      </w:r>
      <w:r>
        <w:rPr>
          <w:color w:val="231F20"/>
          <w:spacing w:val="54"/>
          <w:w w:val="150"/>
        </w:rPr>
        <w:t> </w:t>
      </w:r>
      <w:r>
        <w:rPr>
          <w:color w:val="231F20"/>
        </w:rPr>
        <w:t>décision</w:t>
      </w:r>
      <w:r>
        <w:rPr>
          <w:color w:val="231F20"/>
          <w:spacing w:val="55"/>
          <w:w w:val="150"/>
        </w:rPr>
        <w:t> </w:t>
      </w:r>
      <w:r>
        <w:rPr>
          <w:color w:val="231F20"/>
        </w:rPr>
        <w:t>représentant</w:t>
      </w:r>
      <w:r>
        <w:rPr>
          <w:color w:val="231F20"/>
          <w:spacing w:val="54"/>
          <w:w w:val="150"/>
        </w:rPr>
        <w:t> </w:t>
      </w:r>
      <w:r>
        <w:rPr>
          <w:color w:val="231F20"/>
        </w:rPr>
        <w:t>aussi</w:t>
      </w:r>
      <w:r>
        <w:rPr>
          <w:color w:val="231F20"/>
          <w:spacing w:val="55"/>
          <w:w w:val="150"/>
        </w:rPr>
        <w:t> </w:t>
      </w:r>
      <w:r>
        <w:rPr>
          <w:color w:val="231F20"/>
          <w:spacing w:val="-5"/>
        </w:rPr>
        <w:t>un</w:t>
      </w:r>
    </w:p>
    <w:p>
      <w:pPr>
        <w:pStyle w:val="BodyText"/>
        <w:spacing w:before="77"/>
        <w:ind w:left="673" w:right="1133"/>
      </w:pPr>
      <w:r>
        <w:rPr/>
        <w:br w:type="column"/>
      </w:r>
      <w:r>
        <w:rPr>
          <w:color w:val="231F20"/>
        </w:rPr>
        <w:t>appui à la bataille contre l’inscription </w:t>
      </w:r>
      <w:r>
        <w:rPr>
          <w:color w:val="231F20"/>
          <w:spacing w:val="-6"/>
        </w:rPr>
        <w:t>arbitraire</w:t>
      </w:r>
      <w:r>
        <w:rPr>
          <w:color w:val="231F20"/>
          <w:spacing w:val="-11"/>
        </w:rPr>
        <w:t> </w:t>
      </w:r>
      <w:r>
        <w:rPr>
          <w:color w:val="231F20"/>
          <w:spacing w:val="-6"/>
        </w:rPr>
        <w:t>et</w:t>
      </w:r>
      <w:r>
        <w:rPr>
          <w:color w:val="231F20"/>
          <w:spacing w:val="-10"/>
        </w:rPr>
        <w:t> </w:t>
      </w:r>
      <w:r>
        <w:rPr>
          <w:color w:val="231F20"/>
          <w:spacing w:val="-6"/>
        </w:rPr>
        <w:t>injustifiée</w:t>
      </w:r>
      <w:r>
        <w:rPr>
          <w:color w:val="231F20"/>
          <w:spacing w:val="-11"/>
        </w:rPr>
        <w:t> </w:t>
      </w:r>
      <w:r>
        <w:rPr>
          <w:color w:val="231F20"/>
          <w:spacing w:val="-6"/>
        </w:rPr>
        <w:t>de</w:t>
      </w:r>
      <w:r>
        <w:rPr>
          <w:color w:val="231F20"/>
          <w:spacing w:val="-10"/>
        </w:rPr>
        <w:t> </w:t>
      </w:r>
      <w:r>
        <w:rPr>
          <w:color w:val="231F20"/>
          <w:spacing w:val="-6"/>
        </w:rPr>
        <w:t>Cuba</w:t>
      </w:r>
      <w:r>
        <w:rPr>
          <w:color w:val="231F20"/>
          <w:spacing w:val="-11"/>
        </w:rPr>
        <w:t> </w:t>
      </w:r>
      <w:r>
        <w:rPr>
          <w:color w:val="231F20"/>
          <w:spacing w:val="-6"/>
        </w:rPr>
        <w:t>sur</w:t>
      </w:r>
      <w:r>
        <w:rPr>
          <w:color w:val="231F20"/>
          <w:spacing w:val="-10"/>
        </w:rPr>
        <w:t> </w:t>
      </w:r>
      <w:r>
        <w:rPr>
          <w:color w:val="231F20"/>
          <w:spacing w:val="-6"/>
        </w:rPr>
        <w:t>la</w:t>
      </w:r>
      <w:r>
        <w:rPr>
          <w:color w:val="231F20"/>
          <w:spacing w:val="-11"/>
        </w:rPr>
        <w:t> </w:t>
      </w:r>
      <w:r>
        <w:rPr>
          <w:color w:val="231F20"/>
          <w:spacing w:val="-6"/>
        </w:rPr>
        <w:t>Liste </w:t>
      </w:r>
      <w:r>
        <w:rPr>
          <w:color w:val="231F20"/>
          <w:spacing w:val="-2"/>
        </w:rPr>
        <w:t>des</w:t>
      </w:r>
      <w:r>
        <w:rPr>
          <w:color w:val="231F20"/>
          <w:spacing w:val="-15"/>
        </w:rPr>
        <w:t> </w:t>
      </w:r>
      <w:r>
        <w:rPr>
          <w:color w:val="231F20"/>
          <w:spacing w:val="-2"/>
        </w:rPr>
        <w:t>États</w:t>
      </w:r>
      <w:r>
        <w:rPr>
          <w:color w:val="231F20"/>
          <w:spacing w:val="-14"/>
        </w:rPr>
        <w:t> </w:t>
      </w:r>
      <w:r>
        <w:rPr>
          <w:color w:val="231F20"/>
          <w:spacing w:val="-2"/>
        </w:rPr>
        <w:t>censément</w:t>
      </w:r>
      <w:r>
        <w:rPr>
          <w:color w:val="231F20"/>
          <w:spacing w:val="-15"/>
        </w:rPr>
        <w:t> </w:t>
      </w:r>
      <w:r>
        <w:rPr>
          <w:color w:val="231F20"/>
          <w:spacing w:val="-2"/>
        </w:rPr>
        <w:t>commanditaires</w:t>
      </w:r>
      <w:r>
        <w:rPr>
          <w:color w:val="231F20"/>
          <w:spacing w:val="-14"/>
        </w:rPr>
        <w:t> </w:t>
      </w:r>
      <w:r>
        <w:rPr>
          <w:color w:val="231F20"/>
          <w:spacing w:val="-2"/>
        </w:rPr>
        <w:t>de </w:t>
      </w:r>
      <w:r>
        <w:rPr>
          <w:color w:val="231F20"/>
        </w:rPr>
        <w:t>terrorisme international.</w:t>
      </w:r>
    </w:p>
    <w:p>
      <w:pPr>
        <w:pStyle w:val="BodyText"/>
        <w:spacing w:before="163"/>
        <w:ind w:left="673" w:right="1138"/>
      </w:pPr>
      <w:r>
        <w:rPr/>
        <mc:AlternateContent>
          <mc:Choice Requires="wps">
            <w:drawing>
              <wp:anchor distT="0" distB="0" distL="0" distR="0" allowOverlap="1" layoutInCell="1" locked="0" behindDoc="0" simplePos="0" relativeHeight="15850496">
                <wp:simplePos x="0" y="0"/>
                <wp:positionH relativeFrom="page">
                  <wp:posOffset>4031997</wp:posOffset>
                </wp:positionH>
                <wp:positionV relativeFrom="paragraph">
                  <wp:posOffset>186487</wp:posOffset>
                </wp:positionV>
                <wp:extent cx="59690" cy="59690"/>
                <wp:effectExtent l="0" t="0" r="0" b="0"/>
                <wp:wrapNone/>
                <wp:docPr id="531" name="Graphic 531"/>
                <wp:cNvGraphicFramePr>
                  <a:graphicFrameLocks/>
                </wp:cNvGraphicFramePr>
                <a:graphic>
                  <a:graphicData uri="http://schemas.microsoft.com/office/word/2010/wordprocessingShape">
                    <wps:wsp>
                      <wps:cNvPr id="531" name="Graphic 53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68405pt;width:4.7pt;height:4.7pt;mso-position-horizontal-relative:page;mso-position-vertical-relative:paragraph;z-index:15850496" id="docshape418" coordorigin="6350,294" coordsize="94,94" path="m6396,294l6378,297,6363,307,6353,322,6350,340,6353,358,6363,373,6378,383,6396,387,6414,383,6429,373,6439,358,6443,340,6439,322,6429,307,6414,297,6396,294xe" filled="true" fillcolor="#1a4796" stroked="false">
                <v:path arrowok="t"/>
                <v:fill type="solid"/>
                <w10:wrap type="none"/>
              </v:shape>
            </w:pict>
          </mc:Fallback>
        </mc:AlternateContent>
      </w:r>
      <w:r>
        <w:rPr>
          <w:b/>
          <w:color w:val="1A4796"/>
        </w:rPr>
        <w:t>9-11 décembre 2022. </w:t>
      </w:r>
      <w:r>
        <w:rPr>
          <w:color w:val="231F20"/>
        </w:rPr>
        <w:t>Le Septième </w:t>
      </w:r>
      <w:r>
        <w:rPr>
          <w:color w:val="231F20"/>
          <w:spacing w:val="-12"/>
        </w:rPr>
        <w:t>Congrès</w:t>
      </w:r>
      <w:r>
        <w:rPr>
          <w:color w:val="231F20"/>
          <w:spacing w:val="-5"/>
        </w:rPr>
        <w:t> </w:t>
      </w:r>
      <w:r>
        <w:rPr>
          <w:color w:val="231F20"/>
          <w:spacing w:val="-12"/>
        </w:rPr>
        <w:t>du</w:t>
      </w:r>
      <w:r>
        <w:rPr>
          <w:color w:val="231F20"/>
          <w:spacing w:val="-4"/>
        </w:rPr>
        <w:t> </w:t>
      </w:r>
      <w:r>
        <w:rPr>
          <w:color w:val="231F20"/>
          <w:spacing w:val="-12"/>
        </w:rPr>
        <w:t>Parti</w:t>
      </w:r>
      <w:r>
        <w:rPr>
          <w:color w:val="231F20"/>
          <w:spacing w:val="-5"/>
        </w:rPr>
        <w:t> </w:t>
      </w:r>
      <w:r>
        <w:rPr>
          <w:color w:val="231F20"/>
          <w:spacing w:val="-12"/>
        </w:rPr>
        <w:t>de</w:t>
      </w:r>
      <w:r>
        <w:rPr>
          <w:color w:val="231F20"/>
          <w:spacing w:val="-4"/>
        </w:rPr>
        <w:t> </w:t>
      </w:r>
      <w:r>
        <w:rPr>
          <w:color w:val="231F20"/>
          <w:spacing w:val="-12"/>
        </w:rPr>
        <w:t>la</w:t>
      </w:r>
      <w:r>
        <w:rPr>
          <w:color w:val="231F20"/>
          <w:spacing w:val="-5"/>
        </w:rPr>
        <w:t> </w:t>
      </w:r>
      <w:r>
        <w:rPr>
          <w:color w:val="231F20"/>
          <w:spacing w:val="-12"/>
        </w:rPr>
        <w:t>gauche</w:t>
      </w:r>
      <w:r>
        <w:rPr>
          <w:color w:val="231F20"/>
          <w:spacing w:val="-4"/>
        </w:rPr>
        <w:t> </w:t>
      </w:r>
      <w:r>
        <w:rPr>
          <w:color w:val="231F20"/>
          <w:spacing w:val="-12"/>
        </w:rPr>
        <w:t>européenne, réuni</w:t>
      </w:r>
      <w:r>
        <w:rPr>
          <w:color w:val="231F20"/>
          <w:spacing w:val="-1"/>
        </w:rPr>
        <w:t> </w:t>
      </w:r>
      <w:r>
        <w:rPr>
          <w:color w:val="231F20"/>
          <w:spacing w:val="-12"/>
        </w:rPr>
        <w:t>à</w:t>
      </w:r>
      <w:r>
        <w:rPr>
          <w:color w:val="231F20"/>
          <w:spacing w:val="-1"/>
        </w:rPr>
        <w:t> </w:t>
      </w:r>
      <w:r>
        <w:rPr>
          <w:color w:val="231F20"/>
          <w:spacing w:val="-12"/>
        </w:rPr>
        <w:t>Vienne,</w:t>
      </w:r>
      <w:r>
        <w:rPr>
          <w:color w:val="231F20"/>
          <w:spacing w:val="-1"/>
        </w:rPr>
        <w:t> </w:t>
      </w:r>
      <w:r>
        <w:rPr>
          <w:color w:val="231F20"/>
          <w:spacing w:val="-12"/>
        </w:rPr>
        <w:t>adopte</w:t>
      </w:r>
      <w:r>
        <w:rPr>
          <w:color w:val="231F20"/>
          <w:spacing w:val="-1"/>
        </w:rPr>
        <w:t> </w:t>
      </w:r>
      <w:r>
        <w:rPr>
          <w:color w:val="231F20"/>
          <w:spacing w:val="-12"/>
        </w:rPr>
        <w:t>une</w:t>
      </w:r>
      <w:r>
        <w:rPr>
          <w:color w:val="231F20"/>
          <w:spacing w:val="-1"/>
        </w:rPr>
        <w:t> </w:t>
      </w:r>
      <w:r>
        <w:rPr>
          <w:color w:val="231F20"/>
          <w:spacing w:val="-12"/>
        </w:rPr>
        <w:t>motion</w:t>
      </w:r>
      <w:r>
        <w:rPr>
          <w:color w:val="231F20"/>
          <w:spacing w:val="-1"/>
        </w:rPr>
        <w:t> </w:t>
      </w:r>
      <w:r>
        <w:rPr>
          <w:color w:val="231F20"/>
          <w:spacing w:val="-12"/>
        </w:rPr>
        <w:t>d’appui </w:t>
      </w:r>
      <w:r>
        <w:rPr>
          <w:color w:val="231F20"/>
          <w:spacing w:val="-6"/>
        </w:rPr>
        <w:t>à</w:t>
      </w:r>
      <w:r>
        <w:rPr>
          <w:color w:val="231F20"/>
          <w:spacing w:val="-11"/>
        </w:rPr>
        <w:t> </w:t>
      </w:r>
      <w:r>
        <w:rPr>
          <w:color w:val="231F20"/>
          <w:spacing w:val="-6"/>
        </w:rPr>
        <w:t>Cuba</w:t>
      </w:r>
      <w:r>
        <w:rPr>
          <w:color w:val="231F20"/>
          <w:spacing w:val="-10"/>
        </w:rPr>
        <w:t> </w:t>
      </w:r>
      <w:r>
        <w:rPr>
          <w:color w:val="231F20"/>
          <w:spacing w:val="-6"/>
        </w:rPr>
        <w:t>contre</w:t>
      </w:r>
      <w:r>
        <w:rPr>
          <w:color w:val="231F20"/>
          <w:spacing w:val="-11"/>
        </w:rPr>
        <w:t> </w:t>
      </w:r>
      <w:r>
        <w:rPr>
          <w:color w:val="231F20"/>
          <w:spacing w:val="-6"/>
        </w:rPr>
        <w:t>le</w:t>
      </w:r>
      <w:r>
        <w:rPr>
          <w:color w:val="231F20"/>
          <w:spacing w:val="-10"/>
        </w:rPr>
        <w:t> </w:t>
      </w:r>
      <w:r>
        <w:rPr>
          <w:color w:val="231F20"/>
          <w:spacing w:val="-6"/>
        </w:rPr>
        <w:t>blocus</w:t>
      </w:r>
      <w:r>
        <w:rPr>
          <w:color w:val="231F20"/>
          <w:spacing w:val="-11"/>
        </w:rPr>
        <w:t> </w:t>
      </w:r>
      <w:r>
        <w:rPr>
          <w:color w:val="231F20"/>
          <w:spacing w:val="-6"/>
        </w:rPr>
        <w:t>et</w:t>
      </w:r>
      <w:r>
        <w:rPr>
          <w:color w:val="231F20"/>
          <w:spacing w:val="-10"/>
        </w:rPr>
        <w:t> </w:t>
      </w:r>
      <w:r>
        <w:rPr>
          <w:color w:val="231F20"/>
          <w:spacing w:val="-6"/>
        </w:rPr>
        <w:t>appelle</w:t>
      </w:r>
      <w:r>
        <w:rPr>
          <w:color w:val="231F20"/>
          <w:spacing w:val="-11"/>
        </w:rPr>
        <w:t> </w:t>
      </w:r>
      <w:r>
        <w:rPr>
          <w:color w:val="231F20"/>
          <w:spacing w:val="-6"/>
        </w:rPr>
        <w:t>l’Union </w:t>
      </w:r>
      <w:r>
        <w:rPr>
          <w:color w:val="231F20"/>
        </w:rPr>
        <w:t>européenne à repousser les mesures </w:t>
      </w:r>
      <w:r>
        <w:rPr>
          <w:color w:val="231F20"/>
          <w:spacing w:val="-8"/>
        </w:rPr>
        <w:t>extraterritoriales qui touchent les banques </w:t>
      </w:r>
      <w:r>
        <w:rPr>
          <w:color w:val="231F20"/>
        </w:rPr>
        <w:t>et</w:t>
      </w:r>
      <w:r>
        <w:rPr>
          <w:color w:val="231F20"/>
          <w:spacing w:val="-17"/>
        </w:rPr>
        <w:t> </w:t>
      </w:r>
      <w:r>
        <w:rPr>
          <w:color w:val="231F20"/>
        </w:rPr>
        <w:t>les</w:t>
      </w:r>
      <w:r>
        <w:rPr>
          <w:color w:val="231F20"/>
          <w:spacing w:val="-16"/>
        </w:rPr>
        <w:t> </w:t>
      </w:r>
      <w:r>
        <w:rPr>
          <w:color w:val="231F20"/>
        </w:rPr>
        <w:t>compagnies</w:t>
      </w:r>
      <w:r>
        <w:rPr>
          <w:color w:val="231F20"/>
          <w:spacing w:val="-17"/>
        </w:rPr>
        <w:t> </w:t>
      </w:r>
      <w:r>
        <w:rPr>
          <w:color w:val="231F20"/>
        </w:rPr>
        <w:t>de</w:t>
      </w:r>
      <w:r>
        <w:rPr>
          <w:color w:val="231F20"/>
          <w:spacing w:val="-16"/>
        </w:rPr>
        <w:t> </w:t>
      </w:r>
      <w:r>
        <w:rPr>
          <w:color w:val="231F20"/>
        </w:rPr>
        <w:t>celle-ci.</w:t>
      </w:r>
    </w:p>
    <w:p>
      <w:pPr>
        <w:pStyle w:val="BodyText"/>
        <w:spacing w:before="165"/>
        <w:ind w:left="673" w:right="1132"/>
      </w:pPr>
      <w:r>
        <w:rPr/>
        <mc:AlternateContent>
          <mc:Choice Requires="wps">
            <w:drawing>
              <wp:anchor distT="0" distB="0" distL="0" distR="0" allowOverlap="1" layoutInCell="1" locked="0" behindDoc="0" simplePos="0" relativeHeight="15851008">
                <wp:simplePos x="0" y="0"/>
                <wp:positionH relativeFrom="page">
                  <wp:posOffset>4031997</wp:posOffset>
                </wp:positionH>
                <wp:positionV relativeFrom="paragraph">
                  <wp:posOffset>186854</wp:posOffset>
                </wp:positionV>
                <wp:extent cx="59690" cy="59690"/>
                <wp:effectExtent l="0" t="0" r="0" b="0"/>
                <wp:wrapNone/>
                <wp:docPr id="532" name="Graphic 532"/>
                <wp:cNvGraphicFramePr>
                  <a:graphicFrameLocks/>
                </wp:cNvGraphicFramePr>
                <a:graphic>
                  <a:graphicData uri="http://schemas.microsoft.com/office/word/2010/wordprocessingShape">
                    <wps:wsp>
                      <wps:cNvPr id="532" name="Graphic 53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712988pt;width:4.7pt;height:4.7pt;mso-position-horizontal-relative:page;mso-position-vertical-relative:paragraph;z-index:15851008" id="docshape419" coordorigin="6350,294" coordsize="94,94" path="m6396,294l6378,298,6363,308,6353,323,6350,341,6353,359,6363,374,6378,384,6396,387,6414,384,6429,374,6439,359,6443,341,6439,323,6429,308,6414,298,6396,294xe" filled="true" fillcolor="#1a4796" stroked="false">
                <v:path arrowok="t"/>
                <v:fill type="solid"/>
                <w10:wrap type="none"/>
              </v:shape>
            </w:pict>
          </mc:Fallback>
        </mc:AlternateContent>
      </w:r>
      <w:r>
        <w:rPr>
          <w:b/>
          <w:color w:val="1A4796"/>
          <w:spacing w:val="-4"/>
        </w:rPr>
        <w:t>10</w:t>
      </w:r>
      <w:r>
        <w:rPr>
          <w:b/>
          <w:color w:val="1A4796"/>
          <w:spacing w:val="-13"/>
        </w:rPr>
        <w:t> </w:t>
      </w:r>
      <w:r>
        <w:rPr>
          <w:b/>
          <w:color w:val="1A4796"/>
          <w:spacing w:val="-4"/>
        </w:rPr>
        <w:t>décembre</w:t>
      </w:r>
      <w:r>
        <w:rPr>
          <w:b/>
          <w:color w:val="1A4796"/>
          <w:spacing w:val="-13"/>
        </w:rPr>
        <w:t> </w:t>
      </w:r>
      <w:r>
        <w:rPr>
          <w:b/>
          <w:color w:val="1A4796"/>
          <w:spacing w:val="-4"/>
        </w:rPr>
        <w:t>2022.</w:t>
      </w:r>
      <w:r>
        <w:rPr>
          <w:b/>
          <w:color w:val="1A4796"/>
          <w:spacing w:val="-12"/>
        </w:rPr>
        <w:t> </w:t>
      </w:r>
      <w:r>
        <w:rPr>
          <w:color w:val="231F20"/>
          <w:spacing w:val="-4"/>
        </w:rPr>
        <w:t>Le</w:t>
      </w:r>
      <w:r>
        <w:rPr>
          <w:color w:val="231F20"/>
          <w:spacing w:val="-13"/>
        </w:rPr>
        <w:t> </w:t>
      </w:r>
      <w:r>
        <w:rPr>
          <w:color w:val="231F20"/>
          <w:spacing w:val="-4"/>
        </w:rPr>
        <w:t>Dixième</w:t>
      </w:r>
      <w:r>
        <w:rPr>
          <w:color w:val="231F20"/>
          <w:spacing w:val="-12"/>
        </w:rPr>
        <w:t> </w:t>
      </w:r>
      <w:r>
        <w:rPr>
          <w:color w:val="231F20"/>
          <w:spacing w:val="-4"/>
        </w:rPr>
        <w:t>Sommet </w:t>
      </w:r>
      <w:r>
        <w:rPr>
          <w:color w:val="231F20"/>
        </w:rPr>
        <w:t>du Groupe des États d’Afrique, des Caraïbes et du Pacifique (ACP), réuni à Luanda (Angola), émet une Déclaration qui</w:t>
      </w:r>
      <w:r>
        <w:rPr>
          <w:color w:val="231F20"/>
          <w:spacing w:val="80"/>
        </w:rPr>
        <w:t> </w:t>
      </w:r>
      <w:r>
        <w:rPr>
          <w:color w:val="231F20"/>
        </w:rPr>
        <w:t>rejette</w:t>
      </w:r>
      <w:r>
        <w:rPr>
          <w:color w:val="231F20"/>
          <w:spacing w:val="80"/>
        </w:rPr>
        <w:t> </w:t>
      </w:r>
      <w:r>
        <w:rPr>
          <w:color w:val="231F20"/>
        </w:rPr>
        <w:t>l’application</w:t>
      </w:r>
      <w:r>
        <w:rPr>
          <w:color w:val="231F20"/>
          <w:spacing w:val="80"/>
        </w:rPr>
        <w:t> </w:t>
      </w:r>
      <w:r>
        <w:rPr>
          <w:color w:val="231F20"/>
        </w:rPr>
        <w:t>croissante</w:t>
      </w:r>
      <w:r>
        <w:rPr>
          <w:color w:val="231F20"/>
          <w:spacing w:val="80"/>
        </w:rPr>
        <w:t> </w:t>
      </w:r>
      <w:r>
        <w:rPr>
          <w:color w:val="231F20"/>
        </w:rPr>
        <w:t>de lois et de mesures unilatérales et extraterritoriales contraires au droit </w:t>
      </w:r>
      <w:r>
        <w:rPr>
          <w:color w:val="231F20"/>
          <w:spacing w:val="-2"/>
        </w:rPr>
        <w:t>international</w:t>
      </w:r>
      <w:r>
        <w:rPr>
          <w:color w:val="231F20"/>
          <w:spacing w:val="-10"/>
        </w:rPr>
        <w:t> </w:t>
      </w:r>
      <w:r>
        <w:rPr>
          <w:color w:val="231F20"/>
          <w:spacing w:val="-2"/>
        </w:rPr>
        <w:t>et</w:t>
      </w:r>
      <w:r>
        <w:rPr>
          <w:color w:val="231F20"/>
          <w:spacing w:val="-10"/>
        </w:rPr>
        <w:t> </w:t>
      </w:r>
      <w:r>
        <w:rPr>
          <w:color w:val="231F20"/>
          <w:spacing w:val="-2"/>
        </w:rPr>
        <w:t>condamne</w:t>
      </w:r>
      <w:r>
        <w:rPr>
          <w:color w:val="231F20"/>
          <w:spacing w:val="-10"/>
        </w:rPr>
        <w:t> </w:t>
      </w:r>
      <w:r>
        <w:rPr>
          <w:color w:val="231F20"/>
          <w:spacing w:val="-2"/>
        </w:rPr>
        <w:t>la</w:t>
      </w:r>
      <w:r>
        <w:rPr>
          <w:color w:val="231F20"/>
          <w:spacing w:val="-10"/>
        </w:rPr>
        <w:t> </w:t>
      </w:r>
      <w:r>
        <w:rPr>
          <w:color w:val="231F20"/>
          <w:spacing w:val="-2"/>
        </w:rPr>
        <w:t>Loi</w:t>
      </w:r>
      <w:r>
        <w:rPr>
          <w:color w:val="231F20"/>
          <w:spacing w:val="-10"/>
        </w:rPr>
        <w:t> </w:t>
      </w:r>
      <w:r>
        <w:rPr>
          <w:color w:val="231F20"/>
          <w:spacing w:val="-2"/>
        </w:rPr>
        <w:t>Helms- </w:t>
      </w:r>
      <w:r>
        <w:rPr>
          <w:color w:val="231F20"/>
          <w:spacing w:val="-4"/>
        </w:rPr>
        <w:t>Burton</w:t>
      </w:r>
      <w:r>
        <w:rPr>
          <w:color w:val="231F20"/>
          <w:spacing w:val="-13"/>
        </w:rPr>
        <w:t> </w:t>
      </w:r>
      <w:r>
        <w:rPr>
          <w:color w:val="231F20"/>
          <w:spacing w:val="-4"/>
        </w:rPr>
        <w:t>qui</w:t>
      </w:r>
      <w:r>
        <w:rPr>
          <w:color w:val="231F20"/>
          <w:spacing w:val="-12"/>
        </w:rPr>
        <w:t> </w:t>
      </w:r>
      <w:r>
        <w:rPr>
          <w:color w:val="231F20"/>
          <w:spacing w:val="-4"/>
        </w:rPr>
        <w:t>codifie</w:t>
      </w:r>
      <w:r>
        <w:rPr>
          <w:color w:val="231F20"/>
          <w:spacing w:val="-13"/>
        </w:rPr>
        <w:t> </w:t>
      </w:r>
      <w:r>
        <w:rPr>
          <w:color w:val="231F20"/>
          <w:spacing w:val="-4"/>
        </w:rPr>
        <w:t>le</w:t>
      </w:r>
      <w:r>
        <w:rPr>
          <w:color w:val="231F20"/>
          <w:spacing w:val="-12"/>
        </w:rPr>
        <w:t> </w:t>
      </w:r>
      <w:r>
        <w:rPr>
          <w:color w:val="231F20"/>
          <w:spacing w:val="-4"/>
        </w:rPr>
        <w:t>blocus</w:t>
      </w:r>
      <w:r>
        <w:rPr>
          <w:color w:val="231F20"/>
          <w:spacing w:val="-13"/>
        </w:rPr>
        <w:t> </w:t>
      </w:r>
      <w:r>
        <w:rPr>
          <w:color w:val="231F20"/>
          <w:spacing w:val="-4"/>
        </w:rPr>
        <w:t>économique, commercial</w:t>
      </w:r>
      <w:r>
        <w:rPr>
          <w:color w:val="231F20"/>
          <w:spacing w:val="-10"/>
        </w:rPr>
        <w:t> </w:t>
      </w:r>
      <w:r>
        <w:rPr>
          <w:color w:val="231F20"/>
          <w:spacing w:val="-4"/>
        </w:rPr>
        <w:t>et</w:t>
      </w:r>
      <w:r>
        <w:rPr>
          <w:color w:val="231F20"/>
          <w:spacing w:val="-9"/>
        </w:rPr>
        <w:t> </w:t>
      </w:r>
      <w:r>
        <w:rPr>
          <w:color w:val="231F20"/>
          <w:spacing w:val="-4"/>
        </w:rPr>
        <w:t>financier</w:t>
      </w:r>
      <w:r>
        <w:rPr>
          <w:color w:val="231F20"/>
          <w:spacing w:val="-9"/>
        </w:rPr>
        <w:t> </w:t>
      </w:r>
      <w:r>
        <w:rPr>
          <w:color w:val="231F20"/>
          <w:spacing w:val="-4"/>
        </w:rPr>
        <w:t>appliqué</w:t>
      </w:r>
      <w:r>
        <w:rPr>
          <w:color w:val="231F20"/>
          <w:spacing w:val="-9"/>
        </w:rPr>
        <w:t> </w:t>
      </w:r>
      <w:r>
        <w:rPr>
          <w:color w:val="231F20"/>
          <w:spacing w:val="-4"/>
        </w:rPr>
        <w:t>à</w:t>
      </w:r>
      <w:r>
        <w:rPr>
          <w:color w:val="231F20"/>
          <w:spacing w:val="-9"/>
        </w:rPr>
        <w:t> </w:t>
      </w:r>
      <w:r>
        <w:rPr>
          <w:color w:val="231F20"/>
          <w:spacing w:val="-4"/>
        </w:rPr>
        <w:t>Cuba.</w:t>
      </w:r>
    </w:p>
    <w:p>
      <w:pPr>
        <w:pStyle w:val="BodyText"/>
        <w:spacing w:before="168"/>
        <w:ind w:left="673" w:right="1130"/>
      </w:pPr>
      <w:r>
        <w:rPr/>
        <mc:AlternateContent>
          <mc:Choice Requires="wps">
            <w:drawing>
              <wp:anchor distT="0" distB="0" distL="0" distR="0" allowOverlap="1" layoutInCell="1" locked="0" behindDoc="0" simplePos="0" relativeHeight="15851520">
                <wp:simplePos x="0" y="0"/>
                <wp:positionH relativeFrom="page">
                  <wp:posOffset>4031997</wp:posOffset>
                </wp:positionH>
                <wp:positionV relativeFrom="paragraph">
                  <wp:posOffset>189841</wp:posOffset>
                </wp:positionV>
                <wp:extent cx="59690" cy="59690"/>
                <wp:effectExtent l="0" t="0" r="0" b="0"/>
                <wp:wrapNone/>
                <wp:docPr id="533" name="Graphic 533"/>
                <wp:cNvGraphicFramePr>
                  <a:graphicFrameLocks/>
                </wp:cNvGraphicFramePr>
                <a:graphic>
                  <a:graphicData uri="http://schemas.microsoft.com/office/word/2010/wordprocessingShape">
                    <wps:wsp>
                      <wps:cNvPr id="533" name="Graphic 53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948112pt;width:4.7pt;height:4.7pt;mso-position-horizontal-relative:page;mso-position-vertical-relative:paragraph;z-index:15851520" id="docshape420" coordorigin="6350,299" coordsize="94,94" path="m6396,299l6378,303,6363,313,6353,327,6350,346,6353,364,6363,379,6378,389,6396,392,6414,389,6429,379,6439,364,6443,346,6439,327,6429,313,6414,303,6396,299xe" filled="true" fillcolor="#1a4796" stroked="false">
                <v:path arrowok="t"/>
                <v:fill type="solid"/>
                <w10:wrap type="none"/>
              </v:shape>
            </w:pict>
          </mc:Fallback>
        </mc:AlternateContent>
      </w:r>
      <w:r>
        <w:rPr>
          <w:b/>
          <w:color w:val="1A4796"/>
        </w:rPr>
        <w:t>14</w:t>
      </w:r>
      <w:r>
        <w:rPr>
          <w:b/>
          <w:color w:val="1A4796"/>
          <w:spacing w:val="-17"/>
        </w:rPr>
        <w:t> </w:t>
      </w:r>
      <w:r>
        <w:rPr>
          <w:b/>
          <w:color w:val="1A4796"/>
        </w:rPr>
        <w:t>décembre</w:t>
      </w:r>
      <w:r>
        <w:rPr>
          <w:b/>
          <w:color w:val="1A4796"/>
          <w:spacing w:val="-17"/>
        </w:rPr>
        <w:t> </w:t>
      </w:r>
      <w:r>
        <w:rPr>
          <w:b/>
          <w:color w:val="1A4796"/>
        </w:rPr>
        <w:t>2022.</w:t>
      </w:r>
      <w:r>
        <w:rPr>
          <w:b/>
          <w:color w:val="1A4796"/>
          <w:spacing w:val="-16"/>
        </w:rPr>
        <w:t> </w:t>
      </w:r>
      <w:r>
        <w:rPr>
          <w:color w:val="231F20"/>
        </w:rPr>
        <w:t>Le</w:t>
      </w:r>
      <w:r>
        <w:rPr>
          <w:color w:val="231F20"/>
          <w:spacing w:val="-17"/>
        </w:rPr>
        <w:t> </w:t>
      </w:r>
      <w:r>
        <w:rPr>
          <w:color w:val="231F20"/>
        </w:rPr>
        <w:t>Vingt-deuxième Sommet de l’Alliance bolivarienne des peuples</w:t>
      </w:r>
      <w:r>
        <w:rPr>
          <w:color w:val="231F20"/>
          <w:spacing w:val="40"/>
        </w:rPr>
        <w:t> </w:t>
      </w:r>
      <w:r>
        <w:rPr>
          <w:color w:val="231F20"/>
        </w:rPr>
        <w:t>de</w:t>
      </w:r>
      <w:r>
        <w:rPr>
          <w:color w:val="231F20"/>
          <w:spacing w:val="40"/>
        </w:rPr>
        <w:t> </w:t>
      </w:r>
      <w:r>
        <w:rPr>
          <w:color w:val="231F20"/>
        </w:rPr>
        <w:t>Notre</w:t>
      </w:r>
      <w:r>
        <w:rPr>
          <w:color w:val="231F20"/>
          <w:spacing w:val="40"/>
        </w:rPr>
        <w:t> </w:t>
      </w:r>
      <w:r>
        <w:rPr>
          <w:color w:val="231F20"/>
        </w:rPr>
        <w:t>Amérique</w:t>
      </w:r>
      <w:r>
        <w:rPr>
          <w:color w:val="231F20"/>
          <w:spacing w:val="40"/>
        </w:rPr>
        <w:t> </w:t>
      </w:r>
      <w:r>
        <w:rPr>
          <w:color w:val="231F20"/>
        </w:rPr>
        <w:t>–</w:t>
      </w:r>
      <w:r>
        <w:rPr>
          <w:color w:val="231F20"/>
          <w:spacing w:val="40"/>
        </w:rPr>
        <w:t> </w:t>
      </w:r>
      <w:r>
        <w:rPr>
          <w:color w:val="231F20"/>
        </w:rPr>
        <w:t>Traité de commerce des peuples (ALBA-TCP), tenu</w:t>
      </w:r>
      <w:r>
        <w:rPr>
          <w:color w:val="231F20"/>
          <w:spacing w:val="-15"/>
        </w:rPr>
        <w:t> </w:t>
      </w:r>
      <w:r>
        <w:rPr>
          <w:color w:val="231F20"/>
        </w:rPr>
        <w:t>à</w:t>
      </w:r>
      <w:r>
        <w:rPr>
          <w:color w:val="231F20"/>
          <w:spacing w:val="-15"/>
        </w:rPr>
        <w:t> </w:t>
      </w:r>
      <w:r>
        <w:rPr>
          <w:color w:val="231F20"/>
        </w:rPr>
        <w:t>La</w:t>
      </w:r>
      <w:r>
        <w:rPr>
          <w:color w:val="231F20"/>
          <w:spacing w:val="-15"/>
        </w:rPr>
        <w:t> </w:t>
      </w:r>
      <w:r>
        <w:rPr>
          <w:color w:val="231F20"/>
        </w:rPr>
        <w:t>Havane,</w:t>
      </w:r>
      <w:r>
        <w:rPr>
          <w:color w:val="231F20"/>
          <w:spacing w:val="-15"/>
        </w:rPr>
        <w:t> </w:t>
      </w:r>
      <w:r>
        <w:rPr>
          <w:color w:val="231F20"/>
        </w:rPr>
        <w:t>émet</w:t>
      </w:r>
      <w:r>
        <w:rPr>
          <w:color w:val="231F20"/>
          <w:spacing w:val="-14"/>
        </w:rPr>
        <w:t> </w:t>
      </w:r>
      <w:r>
        <w:rPr>
          <w:color w:val="231F20"/>
        </w:rPr>
        <w:t>une</w:t>
      </w:r>
      <w:r>
        <w:rPr>
          <w:color w:val="231F20"/>
          <w:spacing w:val="-15"/>
        </w:rPr>
        <w:t> </w:t>
      </w:r>
      <w:r>
        <w:rPr>
          <w:color w:val="231F20"/>
        </w:rPr>
        <w:t>Déclaration dans</w:t>
      </w:r>
      <w:r>
        <w:rPr>
          <w:color w:val="231F20"/>
          <w:spacing w:val="-14"/>
        </w:rPr>
        <w:t> </w:t>
      </w:r>
      <w:r>
        <w:rPr>
          <w:color w:val="231F20"/>
        </w:rPr>
        <w:t>laquelle</w:t>
      </w:r>
      <w:r>
        <w:rPr>
          <w:color w:val="231F20"/>
          <w:spacing w:val="-13"/>
        </w:rPr>
        <w:t> </w:t>
      </w:r>
      <w:r>
        <w:rPr>
          <w:color w:val="231F20"/>
        </w:rPr>
        <w:t>l’Alliance</w:t>
      </w:r>
      <w:r>
        <w:rPr>
          <w:color w:val="231F20"/>
          <w:spacing w:val="-13"/>
        </w:rPr>
        <w:t> </w:t>
      </w:r>
      <w:r>
        <w:rPr>
          <w:color w:val="231F20"/>
        </w:rPr>
        <w:t>réclame</w:t>
      </w:r>
      <w:r>
        <w:rPr>
          <w:color w:val="231F20"/>
          <w:spacing w:val="-14"/>
        </w:rPr>
        <w:t> </w:t>
      </w:r>
      <w:r>
        <w:rPr>
          <w:color w:val="231F20"/>
        </w:rPr>
        <w:t>une</w:t>
      </w:r>
      <w:r>
        <w:rPr>
          <w:color w:val="231F20"/>
          <w:spacing w:val="-14"/>
        </w:rPr>
        <w:t> </w:t>
      </w:r>
      <w:r>
        <w:rPr>
          <w:color w:val="231F20"/>
        </w:rPr>
        <w:t>fois de plus à l’administration étasunienne de</w:t>
      </w:r>
      <w:r>
        <w:rPr>
          <w:color w:val="231F20"/>
          <w:spacing w:val="-2"/>
        </w:rPr>
        <w:t> </w:t>
      </w:r>
      <w:r>
        <w:rPr>
          <w:color w:val="231F20"/>
        </w:rPr>
        <w:t>modifier</w:t>
      </w:r>
      <w:r>
        <w:rPr>
          <w:color w:val="231F20"/>
          <w:spacing w:val="-2"/>
        </w:rPr>
        <w:t> </w:t>
      </w:r>
      <w:r>
        <w:rPr>
          <w:color w:val="231F20"/>
        </w:rPr>
        <w:t>sa</w:t>
      </w:r>
      <w:r>
        <w:rPr>
          <w:color w:val="231F20"/>
          <w:spacing w:val="-1"/>
        </w:rPr>
        <w:t> </w:t>
      </w:r>
      <w:r>
        <w:rPr>
          <w:color w:val="231F20"/>
        </w:rPr>
        <w:t>politique</w:t>
      </w:r>
      <w:r>
        <w:rPr>
          <w:color w:val="231F20"/>
          <w:spacing w:val="-1"/>
        </w:rPr>
        <w:t> </w:t>
      </w:r>
      <w:r>
        <w:rPr>
          <w:color w:val="231F20"/>
        </w:rPr>
        <w:t>hostile</w:t>
      </w:r>
      <w:r>
        <w:rPr>
          <w:color w:val="231F20"/>
          <w:spacing w:val="-1"/>
        </w:rPr>
        <w:t> </w:t>
      </w:r>
      <w:r>
        <w:rPr>
          <w:color w:val="231F20"/>
        </w:rPr>
        <w:t>à</w:t>
      </w:r>
      <w:r>
        <w:rPr>
          <w:color w:val="231F20"/>
          <w:spacing w:val="-2"/>
        </w:rPr>
        <w:t> </w:t>
      </w:r>
      <w:r>
        <w:rPr>
          <w:color w:val="231F20"/>
        </w:rPr>
        <w:t>Cuba, et donc de lever immédiatement et inconditionnellement son blocus, de cesser ses actions subversives, illégales et secrètes, dont celles qui recourent aux technologies de l’information et des</w:t>
      </w:r>
      <w:r>
        <w:rPr>
          <w:color w:val="231F20"/>
          <w:spacing w:val="-1"/>
        </w:rPr>
        <w:t> </w:t>
      </w:r>
      <w:r>
        <w:rPr>
          <w:color w:val="231F20"/>
        </w:rPr>
        <w:t>communications,</w:t>
      </w:r>
      <w:r>
        <w:rPr>
          <w:color w:val="231F20"/>
          <w:spacing w:val="-1"/>
        </w:rPr>
        <w:t> </w:t>
      </w:r>
      <w:r>
        <w:rPr>
          <w:color w:val="231F20"/>
        </w:rPr>
        <w:t>et</w:t>
      </w:r>
      <w:r>
        <w:rPr>
          <w:color w:val="231F20"/>
          <w:spacing w:val="-1"/>
        </w:rPr>
        <w:t> </w:t>
      </w:r>
      <w:r>
        <w:rPr>
          <w:color w:val="231F20"/>
        </w:rPr>
        <w:t>de</w:t>
      </w:r>
      <w:r>
        <w:rPr>
          <w:color w:val="231F20"/>
          <w:spacing w:val="-1"/>
        </w:rPr>
        <w:t> </w:t>
      </w:r>
      <w:r>
        <w:rPr>
          <w:color w:val="231F20"/>
        </w:rPr>
        <w:t>radier</w:t>
      </w:r>
      <w:r>
        <w:rPr>
          <w:color w:val="231F20"/>
          <w:spacing w:val="-1"/>
        </w:rPr>
        <w:t> </w:t>
      </w:r>
      <w:r>
        <w:rPr>
          <w:color w:val="231F20"/>
        </w:rPr>
        <w:t>Cuba de la Liste illégale et arbitraire des</w:t>
      </w:r>
      <w:r>
        <w:rPr>
          <w:color w:val="231F20"/>
          <w:spacing w:val="40"/>
        </w:rPr>
        <w:t> </w:t>
      </w:r>
      <w:r>
        <w:rPr>
          <w:color w:val="231F20"/>
        </w:rPr>
        <w:t>États censément commanditaires de terrorisme international.</w:t>
      </w:r>
    </w:p>
    <w:p>
      <w:pPr>
        <w:pStyle w:val="BodyText"/>
        <w:spacing w:before="173"/>
        <w:ind w:left="673" w:right="1131"/>
      </w:pPr>
      <w:r>
        <w:rPr/>
        <mc:AlternateContent>
          <mc:Choice Requires="wps">
            <w:drawing>
              <wp:anchor distT="0" distB="0" distL="0" distR="0" allowOverlap="1" layoutInCell="1" locked="0" behindDoc="0" simplePos="0" relativeHeight="15852032">
                <wp:simplePos x="0" y="0"/>
                <wp:positionH relativeFrom="page">
                  <wp:posOffset>4031997</wp:posOffset>
                </wp:positionH>
                <wp:positionV relativeFrom="paragraph">
                  <wp:posOffset>193994</wp:posOffset>
                </wp:positionV>
                <wp:extent cx="59690" cy="59690"/>
                <wp:effectExtent l="0" t="0" r="0" b="0"/>
                <wp:wrapNone/>
                <wp:docPr id="534" name="Graphic 534"/>
                <wp:cNvGraphicFramePr>
                  <a:graphicFrameLocks/>
                </wp:cNvGraphicFramePr>
                <a:graphic>
                  <a:graphicData uri="http://schemas.microsoft.com/office/word/2010/wordprocessingShape">
                    <wps:wsp>
                      <wps:cNvPr id="534" name="Graphic 53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5.275175pt;width:4.7pt;height:4.7pt;mso-position-horizontal-relative:page;mso-position-vertical-relative:paragraph;z-index:15852032" id="docshape421" coordorigin="6350,306" coordsize="94,94" path="m6396,306l6378,309,6363,319,6353,334,6350,352,6353,370,6363,385,6378,395,6396,399,6414,395,6429,385,6439,370,6443,352,6439,334,6429,319,6414,309,6396,306xe" filled="true" fillcolor="#1a4796" stroked="false">
                <v:path arrowok="t"/>
                <v:fill type="solid"/>
                <w10:wrap type="none"/>
              </v:shape>
            </w:pict>
          </mc:Fallback>
        </mc:AlternateContent>
      </w:r>
      <w:r>
        <w:rPr>
          <w:b/>
          <w:color w:val="1A4796"/>
        </w:rPr>
        <w:t>16 décembre 2022. </w:t>
      </w:r>
      <w:r>
        <w:rPr>
          <w:color w:val="231F20"/>
        </w:rPr>
        <w:t>Cyril Ramaphosa, </w:t>
      </w:r>
      <w:r>
        <w:rPr>
          <w:color w:val="231F20"/>
          <w:spacing w:val="-2"/>
        </w:rPr>
        <w:t>président</w:t>
      </w:r>
      <w:r>
        <w:rPr>
          <w:color w:val="231F20"/>
          <w:spacing w:val="-15"/>
        </w:rPr>
        <w:t> </w:t>
      </w:r>
      <w:r>
        <w:rPr>
          <w:color w:val="231F20"/>
          <w:spacing w:val="-2"/>
        </w:rPr>
        <w:t>de</w:t>
      </w:r>
      <w:r>
        <w:rPr>
          <w:color w:val="231F20"/>
          <w:spacing w:val="-14"/>
        </w:rPr>
        <w:t> </w:t>
      </w:r>
      <w:r>
        <w:rPr>
          <w:color w:val="231F20"/>
          <w:spacing w:val="-2"/>
        </w:rPr>
        <w:t>la</w:t>
      </w:r>
      <w:r>
        <w:rPr>
          <w:color w:val="231F20"/>
          <w:spacing w:val="-15"/>
        </w:rPr>
        <w:t> </w:t>
      </w:r>
      <w:r>
        <w:rPr>
          <w:color w:val="231F20"/>
          <w:spacing w:val="-2"/>
        </w:rPr>
        <w:t>République</w:t>
      </w:r>
      <w:r>
        <w:rPr>
          <w:color w:val="231F20"/>
          <w:spacing w:val="-14"/>
        </w:rPr>
        <w:t> </w:t>
      </w:r>
      <w:r>
        <w:rPr>
          <w:color w:val="231F20"/>
          <w:spacing w:val="-2"/>
        </w:rPr>
        <w:t>sud-africaine </w:t>
      </w:r>
      <w:r>
        <w:rPr>
          <w:color w:val="231F20"/>
        </w:rPr>
        <w:t>et du Congrès national africain (CNA), demande</w:t>
      </w:r>
      <w:r>
        <w:rPr>
          <w:color w:val="231F20"/>
          <w:spacing w:val="28"/>
        </w:rPr>
        <w:t>  </w:t>
      </w:r>
      <w:r>
        <w:rPr>
          <w:color w:val="231F20"/>
        </w:rPr>
        <w:t>à</w:t>
      </w:r>
      <w:r>
        <w:rPr>
          <w:color w:val="231F20"/>
          <w:spacing w:val="29"/>
        </w:rPr>
        <w:t>  </w:t>
      </w:r>
      <w:r>
        <w:rPr>
          <w:color w:val="231F20"/>
        </w:rPr>
        <w:t>la</w:t>
      </w:r>
      <w:r>
        <w:rPr>
          <w:color w:val="231F20"/>
          <w:spacing w:val="29"/>
        </w:rPr>
        <w:t>  </w:t>
      </w:r>
      <w:r>
        <w:rPr>
          <w:color w:val="231F20"/>
        </w:rPr>
        <w:t>Cinquante-</w:t>
      </w:r>
      <w:r>
        <w:rPr>
          <w:color w:val="231F20"/>
          <w:spacing w:val="-2"/>
        </w:rPr>
        <w:t>cinquième</w:t>
      </w:r>
    </w:p>
    <w:p>
      <w:pPr>
        <w:spacing w:after="0"/>
        <w:sectPr>
          <w:pgSz w:w="11910" w:h="16840"/>
          <w:pgMar w:header="0" w:footer="695" w:top="1260" w:bottom="880" w:left="0" w:right="0"/>
          <w:cols w:num="2" w:equalWidth="0">
            <w:col w:w="5897" w:space="40"/>
            <w:col w:w="5973"/>
          </w:cols>
        </w:sectPr>
      </w:pPr>
    </w:p>
    <w:p>
      <w:pPr>
        <w:pStyle w:val="BodyText"/>
        <w:spacing w:before="77"/>
        <w:ind w:left="1394"/>
      </w:pPr>
      <w:r>
        <w:rPr>
          <w:color w:val="231F20"/>
          <w:spacing w:val="-2"/>
        </w:rPr>
        <w:t>Conférence</w:t>
      </w:r>
      <w:r>
        <w:rPr>
          <w:color w:val="231F20"/>
          <w:spacing w:val="-15"/>
        </w:rPr>
        <w:t> </w:t>
      </w:r>
      <w:r>
        <w:rPr>
          <w:color w:val="231F20"/>
          <w:spacing w:val="-2"/>
        </w:rPr>
        <w:t>nationale</w:t>
      </w:r>
      <w:r>
        <w:rPr>
          <w:color w:val="231F20"/>
          <w:spacing w:val="-14"/>
        </w:rPr>
        <w:t> </w:t>
      </w:r>
      <w:r>
        <w:rPr>
          <w:color w:val="231F20"/>
          <w:spacing w:val="-2"/>
        </w:rPr>
        <w:t>de</w:t>
      </w:r>
      <w:r>
        <w:rPr>
          <w:color w:val="231F20"/>
          <w:spacing w:val="-14"/>
        </w:rPr>
        <w:t> </w:t>
      </w:r>
      <w:r>
        <w:rPr>
          <w:color w:val="231F20"/>
          <w:spacing w:val="-2"/>
        </w:rPr>
        <w:t>celui-ci</w:t>
      </w:r>
      <w:r>
        <w:rPr>
          <w:color w:val="231F20"/>
          <w:spacing w:val="-15"/>
        </w:rPr>
        <w:t> </w:t>
      </w:r>
      <w:r>
        <w:rPr>
          <w:color w:val="231F20"/>
          <w:spacing w:val="-2"/>
        </w:rPr>
        <w:t>la</w:t>
      </w:r>
      <w:r>
        <w:rPr>
          <w:color w:val="231F20"/>
          <w:spacing w:val="-14"/>
        </w:rPr>
        <w:t> </w:t>
      </w:r>
      <w:r>
        <w:rPr>
          <w:color w:val="231F20"/>
          <w:spacing w:val="-2"/>
        </w:rPr>
        <w:t>levée </w:t>
      </w:r>
      <w:r>
        <w:rPr>
          <w:color w:val="231F20"/>
          <w:spacing w:val="-6"/>
        </w:rPr>
        <w:t>du</w:t>
      </w:r>
      <w:r>
        <w:rPr>
          <w:color w:val="231F20"/>
          <w:spacing w:val="-11"/>
        </w:rPr>
        <w:t> </w:t>
      </w:r>
      <w:r>
        <w:rPr>
          <w:color w:val="231F20"/>
          <w:spacing w:val="-6"/>
        </w:rPr>
        <w:t>blocus</w:t>
      </w:r>
      <w:r>
        <w:rPr>
          <w:color w:val="231F20"/>
          <w:spacing w:val="-10"/>
        </w:rPr>
        <w:t> </w:t>
      </w:r>
      <w:r>
        <w:rPr>
          <w:color w:val="231F20"/>
          <w:spacing w:val="-6"/>
        </w:rPr>
        <w:t>appliqué</w:t>
      </w:r>
      <w:r>
        <w:rPr>
          <w:color w:val="231F20"/>
          <w:spacing w:val="-11"/>
        </w:rPr>
        <w:t> </w:t>
      </w:r>
      <w:r>
        <w:rPr>
          <w:color w:val="231F20"/>
          <w:spacing w:val="-6"/>
        </w:rPr>
        <w:t>à</w:t>
      </w:r>
      <w:r>
        <w:rPr>
          <w:color w:val="231F20"/>
          <w:spacing w:val="-10"/>
        </w:rPr>
        <w:t> </w:t>
      </w:r>
      <w:r>
        <w:rPr>
          <w:color w:val="231F20"/>
          <w:spacing w:val="-6"/>
        </w:rPr>
        <w:t>Cuba,</w:t>
      </w:r>
      <w:r>
        <w:rPr>
          <w:color w:val="231F20"/>
          <w:spacing w:val="-11"/>
        </w:rPr>
        <w:t> </w:t>
      </w:r>
      <w:r>
        <w:rPr>
          <w:color w:val="231F20"/>
          <w:spacing w:val="-6"/>
        </w:rPr>
        <w:t>la</w:t>
      </w:r>
      <w:r>
        <w:rPr>
          <w:color w:val="231F20"/>
          <w:spacing w:val="-10"/>
        </w:rPr>
        <w:t> </w:t>
      </w:r>
      <w:r>
        <w:rPr>
          <w:color w:val="231F20"/>
          <w:spacing w:val="-6"/>
        </w:rPr>
        <w:t>Conférence </w:t>
      </w:r>
      <w:r>
        <w:rPr>
          <w:color w:val="231F20"/>
        </w:rPr>
        <w:t>votant une résolution dans ce sens.</w:t>
      </w:r>
    </w:p>
    <w:p>
      <w:pPr>
        <w:pStyle w:val="BodyText"/>
        <w:spacing w:before="162"/>
        <w:ind w:left="1394" w:right="1"/>
      </w:pPr>
      <w:r>
        <w:rPr/>
        <mc:AlternateContent>
          <mc:Choice Requires="wps">
            <w:drawing>
              <wp:anchor distT="0" distB="0" distL="0" distR="0" allowOverlap="1" layoutInCell="1" locked="0" behindDoc="0" simplePos="0" relativeHeight="15853568">
                <wp:simplePos x="0" y="0"/>
                <wp:positionH relativeFrom="page">
                  <wp:posOffset>719997</wp:posOffset>
                </wp:positionH>
                <wp:positionV relativeFrom="paragraph">
                  <wp:posOffset>187591</wp:posOffset>
                </wp:positionV>
                <wp:extent cx="59690" cy="59690"/>
                <wp:effectExtent l="0" t="0" r="0" b="0"/>
                <wp:wrapNone/>
                <wp:docPr id="535" name="Graphic 535"/>
                <wp:cNvGraphicFramePr>
                  <a:graphicFrameLocks/>
                </wp:cNvGraphicFramePr>
                <a:graphic>
                  <a:graphicData uri="http://schemas.microsoft.com/office/word/2010/wordprocessingShape">
                    <wps:wsp>
                      <wps:cNvPr id="535" name="Graphic 53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770988pt;width:4.7pt;height:4.7pt;mso-position-horizontal-relative:page;mso-position-vertical-relative:paragraph;z-index:15853568" id="docshape422" coordorigin="1134,295" coordsize="94,94" path="m1180,295l1162,299,1148,309,1138,324,1134,342,1138,360,1148,375,1162,385,1180,389,1199,385,1213,375,1223,360,1227,342,1223,324,1213,309,1199,299,1180,295xe" filled="true" fillcolor="#1a4796" stroked="false">
                <v:path arrowok="t"/>
                <v:fill type="solid"/>
                <w10:wrap type="none"/>
              </v:shape>
            </w:pict>
          </mc:Fallback>
        </mc:AlternateContent>
      </w:r>
      <w:r>
        <w:rPr>
          <w:b/>
          <w:color w:val="1A4796"/>
          <w:spacing w:val="-10"/>
        </w:rPr>
        <w:t>2022.</w:t>
      </w:r>
      <w:r>
        <w:rPr>
          <w:b/>
          <w:color w:val="1A4796"/>
          <w:spacing w:val="-7"/>
        </w:rPr>
        <w:t> </w:t>
      </w:r>
      <w:r>
        <w:rPr>
          <w:color w:val="231F20"/>
          <w:spacing w:val="-10"/>
        </w:rPr>
        <w:t>Le</w:t>
      </w:r>
      <w:r>
        <w:rPr>
          <w:color w:val="231F20"/>
          <w:spacing w:val="-5"/>
        </w:rPr>
        <w:t> </w:t>
      </w:r>
      <w:r>
        <w:rPr>
          <w:color w:val="231F20"/>
          <w:spacing w:val="-10"/>
        </w:rPr>
        <w:t>porte-parole</w:t>
      </w:r>
      <w:r>
        <w:rPr>
          <w:color w:val="231F20"/>
          <w:spacing w:val="-5"/>
        </w:rPr>
        <w:t> </w:t>
      </w:r>
      <w:r>
        <w:rPr>
          <w:color w:val="231F20"/>
          <w:spacing w:val="-10"/>
        </w:rPr>
        <w:t>du</w:t>
      </w:r>
      <w:r>
        <w:rPr>
          <w:color w:val="231F20"/>
          <w:spacing w:val="-5"/>
        </w:rPr>
        <w:t> </w:t>
      </w:r>
      <w:r>
        <w:rPr>
          <w:color w:val="231F20"/>
          <w:spacing w:val="-10"/>
        </w:rPr>
        <w:t>ministère</w:t>
      </w:r>
      <w:r>
        <w:rPr>
          <w:color w:val="231F20"/>
          <w:spacing w:val="-5"/>
        </w:rPr>
        <w:t> </w:t>
      </w:r>
      <w:r>
        <w:rPr>
          <w:color w:val="231F20"/>
          <w:spacing w:val="-10"/>
        </w:rPr>
        <w:t>chinois </w:t>
      </w:r>
      <w:r>
        <w:rPr>
          <w:color w:val="231F20"/>
        </w:rPr>
        <w:t>des Affaires étrangères se prononce </w:t>
      </w:r>
      <w:r>
        <w:rPr>
          <w:color w:val="231F20"/>
        </w:rPr>
        <w:t>à onze reprises en appui à Cuba, dont</w:t>
      </w:r>
      <w:r>
        <w:rPr>
          <w:color w:val="231F20"/>
          <w:spacing w:val="80"/>
        </w:rPr>
        <w:t> </w:t>
      </w:r>
      <w:r>
        <w:rPr>
          <w:color w:val="231F20"/>
        </w:rPr>
        <w:t>six fois pour dénoncer explicitement le </w:t>
      </w:r>
      <w:r>
        <w:rPr>
          <w:color w:val="231F20"/>
          <w:spacing w:val="-2"/>
        </w:rPr>
        <w:t>blocus.</w:t>
      </w:r>
    </w:p>
    <w:p>
      <w:pPr>
        <w:pStyle w:val="BodyText"/>
        <w:spacing w:before="164"/>
        <w:ind w:left="1394"/>
      </w:pPr>
      <w:r>
        <w:rPr/>
        <mc:AlternateContent>
          <mc:Choice Requires="wps">
            <w:drawing>
              <wp:anchor distT="0" distB="0" distL="0" distR="0" allowOverlap="1" layoutInCell="1" locked="0" behindDoc="0" simplePos="0" relativeHeight="15854080">
                <wp:simplePos x="0" y="0"/>
                <wp:positionH relativeFrom="page">
                  <wp:posOffset>719997</wp:posOffset>
                </wp:positionH>
                <wp:positionV relativeFrom="paragraph">
                  <wp:posOffset>187201</wp:posOffset>
                </wp:positionV>
                <wp:extent cx="59690" cy="59690"/>
                <wp:effectExtent l="0" t="0" r="0" b="0"/>
                <wp:wrapNone/>
                <wp:docPr id="536" name="Graphic 536"/>
                <wp:cNvGraphicFramePr>
                  <a:graphicFrameLocks/>
                </wp:cNvGraphicFramePr>
                <a:graphic>
                  <a:graphicData uri="http://schemas.microsoft.com/office/word/2010/wordprocessingShape">
                    <wps:wsp>
                      <wps:cNvPr id="536" name="Graphic 536"/>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7403pt;width:4.7pt;height:4.7pt;mso-position-horizontal-relative:page;mso-position-vertical-relative:paragraph;z-index:15854080" id="docshape423" coordorigin="1134,295" coordsize="94,94" path="m1180,295l1162,298,1148,308,1138,323,1134,341,1138,360,1148,374,1162,384,1180,388,1199,384,1213,374,1223,360,1227,341,1223,323,1213,308,1199,298,1180,295xe" filled="true" fillcolor="#1a4796" stroked="false">
                <v:path arrowok="t"/>
                <v:fill type="solid"/>
                <w10:wrap type="none"/>
              </v:shape>
            </w:pict>
          </mc:Fallback>
        </mc:AlternateContent>
      </w:r>
      <w:r>
        <w:rPr>
          <w:b/>
          <w:color w:val="1A4796"/>
        </w:rPr>
        <w:t>19</w:t>
      </w:r>
      <w:r>
        <w:rPr>
          <w:b/>
          <w:color w:val="1A4796"/>
          <w:spacing w:val="-5"/>
        </w:rPr>
        <w:t> </w:t>
      </w:r>
      <w:r>
        <w:rPr>
          <w:b/>
          <w:color w:val="1A4796"/>
        </w:rPr>
        <w:t>janvier</w:t>
      </w:r>
      <w:r>
        <w:rPr>
          <w:b/>
          <w:color w:val="1A4796"/>
          <w:spacing w:val="-5"/>
        </w:rPr>
        <w:t> </w:t>
      </w:r>
      <w:r>
        <w:rPr>
          <w:b/>
          <w:color w:val="1A4796"/>
        </w:rPr>
        <w:t>2023.</w:t>
      </w:r>
      <w:r>
        <w:rPr>
          <w:b/>
          <w:color w:val="1A4796"/>
          <w:spacing w:val="-6"/>
        </w:rPr>
        <w:t> </w:t>
      </w:r>
      <w:r>
        <w:rPr>
          <w:color w:val="231F20"/>
        </w:rPr>
        <w:t>En</w:t>
      </w:r>
      <w:r>
        <w:rPr>
          <w:color w:val="231F20"/>
          <w:spacing w:val="-6"/>
        </w:rPr>
        <w:t> </w:t>
      </w:r>
      <w:r>
        <w:rPr>
          <w:color w:val="231F20"/>
        </w:rPr>
        <w:t>visite</w:t>
      </w:r>
      <w:r>
        <w:rPr>
          <w:color w:val="231F20"/>
          <w:spacing w:val="-6"/>
        </w:rPr>
        <w:t> </w:t>
      </w:r>
      <w:r>
        <w:rPr>
          <w:color w:val="231F20"/>
        </w:rPr>
        <w:t>officielle</w:t>
      </w:r>
      <w:r>
        <w:rPr>
          <w:color w:val="231F20"/>
          <w:spacing w:val="-6"/>
        </w:rPr>
        <w:t> </w:t>
      </w:r>
      <w:r>
        <w:rPr>
          <w:color w:val="231F20"/>
        </w:rPr>
        <w:t>à</w:t>
      </w:r>
      <w:r>
        <w:rPr>
          <w:color w:val="231F20"/>
          <w:spacing w:val="-5"/>
        </w:rPr>
        <w:t> </w:t>
      </w:r>
      <w:r>
        <w:rPr>
          <w:color w:val="231F20"/>
        </w:rPr>
        <w:t>La </w:t>
      </w:r>
      <w:r>
        <w:rPr>
          <w:color w:val="231F20"/>
          <w:spacing w:val="-4"/>
        </w:rPr>
        <w:t>Havane,</w:t>
      </w:r>
      <w:r>
        <w:rPr>
          <w:color w:val="231F20"/>
          <w:spacing w:val="-13"/>
        </w:rPr>
        <w:t> </w:t>
      </w:r>
      <w:r>
        <w:rPr>
          <w:color w:val="231F20"/>
          <w:spacing w:val="-4"/>
        </w:rPr>
        <w:t>Péter</w:t>
      </w:r>
      <w:r>
        <w:rPr>
          <w:color w:val="231F20"/>
          <w:spacing w:val="-12"/>
        </w:rPr>
        <w:t> </w:t>
      </w:r>
      <w:r>
        <w:rPr>
          <w:color w:val="231F20"/>
          <w:spacing w:val="-4"/>
        </w:rPr>
        <w:t>Szijjártó,</w:t>
      </w:r>
      <w:r>
        <w:rPr>
          <w:color w:val="231F20"/>
          <w:spacing w:val="-13"/>
        </w:rPr>
        <w:t> </w:t>
      </w:r>
      <w:r>
        <w:rPr>
          <w:color w:val="231F20"/>
          <w:spacing w:val="-4"/>
        </w:rPr>
        <w:t>ministre</w:t>
      </w:r>
      <w:r>
        <w:rPr>
          <w:color w:val="231F20"/>
          <w:spacing w:val="-12"/>
        </w:rPr>
        <w:t> </w:t>
      </w:r>
      <w:r>
        <w:rPr>
          <w:color w:val="231F20"/>
          <w:spacing w:val="-4"/>
        </w:rPr>
        <w:t>hongrois </w:t>
      </w:r>
      <w:r>
        <w:rPr>
          <w:color w:val="231F20"/>
        </w:rPr>
        <w:t>des Affaires étrangères, dénonce en conférence de presse la politique de </w:t>
      </w:r>
      <w:r>
        <w:rPr>
          <w:color w:val="231F20"/>
          <w:spacing w:val="-2"/>
        </w:rPr>
        <w:t>blocus.</w:t>
      </w:r>
    </w:p>
    <w:p>
      <w:pPr>
        <w:pStyle w:val="BodyText"/>
        <w:spacing w:before="164"/>
        <w:ind w:left="1394"/>
      </w:pPr>
      <w:r>
        <w:rPr/>
        <mc:AlternateContent>
          <mc:Choice Requires="wps">
            <w:drawing>
              <wp:anchor distT="0" distB="0" distL="0" distR="0" allowOverlap="1" layoutInCell="1" locked="0" behindDoc="0" simplePos="0" relativeHeight="15853056">
                <wp:simplePos x="0" y="0"/>
                <wp:positionH relativeFrom="page">
                  <wp:posOffset>719997</wp:posOffset>
                </wp:positionH>
                <wp:positionV relativeFrom="paragraph">
                  <wp:posOffset>186980</wp:posOffset>
                </wp:positionV>
                <wp:extent cx="59690" cy="59690"/>
                <wp:effectExtent l="0" t="0" r="0" b="0"/>
                <wp:wrapNone/>
                <wp:docPr id="537" name="Graphic 537"/>
                <wp:cNvGraphicFramePr>
                  <a:graphicFrameLocks/>
                </wp:cNvGraphicFramePr>
                <a:graphic>
                  <a:graphicData uri="http://schemas.microsoft.com/office/word/2010/wordprocessingShape">
                    <wps:wsp>
                      <wps:cNvPr id="537" name="Graphic 537"/>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4.722913pt;width:4.7pt;height:4.7pt;mso-position-horizontal-relative:page;mso-position-vertical-relative:paragraph;z-index:15853056" id="docshape424" coordorigin="1134,294" coordsize="94,94" path="m1180,294l1162,298,1148,308,1138,323,1134,341,1138,359,1148,374,1162,384,1180,388,1199,384,1213,374,1223,359,1227,341,1223,323,1213,308,1199,298,1180,294xe" filled="true" fillcolor="#1a4796" stroked="false">
                <v:path arrowok="t"/>
                <v:fill type="solid"/>
                <w10:wrap type="none"/>
              </v:shape>
            </w:pict>
          </mc:Fallback>
        </mc:AlternateContent>
      </w:r>
      <w:r>
        <w:rPr>
          <w:b/>
          <w:color w:val="1A4796"/>
        </w:rPr>
        <w:t>24</w:t>
      </w:r>
      <w:r>
        <w:rPr>
          <w:b/>
          <w:color w:val="1A4796"/>
          <w:spacing w:val="40"/>
        </w:rPr>
        <w:t> </w:t>
      </w:r>
      <w:r>
        <w:rPr>
          <w:b/>
          <w:color w:val="1A4796"/>
        </w:rPr>
        <w:t>janvier</w:t>
      </w:r>
      <w:r>
        <w:rPr>
          <w:b/>
          <w:color w:val="1A4796"/>
          <w:spacing w:val="-10"/>
        </w:rPr>
        <w:t> </w:t>
      </w:r>
      <w:r>
        <w:rPr>
          <w:b/>
          <w:color w:val="1A4796"/>
        </w:rPr>
        <w:t>2023.</w:t>
      </w:r>
      <w:r>
        <w:rPr>
          <w:b/>
          <w:color w:val="1A4796"/>
          <w:spacing w:val="-10"/>
        </w:rPr>
        <w:t> </w:t>
      </w:r>
      <w:r>
        <w:rPr>
          <w:color w:val="231F20"/>
        </w:rPr>
        <w:t>Le</w:t>
      </w:r>
      <w:r>
        <w:rPr>
          <w:color w:val="231F20"/>
          <w:spacing w:val="-9"/>
        </w:rPr>
        <w:t> </w:t>
      </w:r>
      <w:r>
        <w:rPr>
          <w:color w:val="231F20"/>
        </w:rPr>
        <w:t>Septième</w:t>
      </w:r>
      <w:r>
        <w:rPr>
          <w:color w:val="231F20"/>
          <w:spacing w:val="-9"/>
        </w:rPr>
        <w:t> </w:t>
      </w:r>
      <w:r>
        <w:rPr>
          <w:color w:val="231F20"/>
        </w:rPr>
        <w:t>Sommet de la Communauté des États latino- américains et caribéens (CELAC), tenu</w:t>
      </w:r>
      <w:r>
        <w:rPr>
          <w:color w:val="231F20"/>
          <w:spacing w:val="80"/>
        </w:rPr>
        <w:t> </w:t>
      </w:r>
      <w:r>
        <w:rPr>
          <w:color w:val="231F20"/>
        </w:rPr>
        <w:t>à</w:t>
      </w:r>
      <w:r>
        <w:rPr>
          <w:color w:val="231F20"/>
          <w:spacing w:val="-8"/>
        </w:rPr>
        <w:t> </w:t>
      </w:r>
      <w:r>
        <w:rPr>
          <w:color w:val="231F20"/>
        </w:rPr>
        <w:t>Buenos</w:t>
      </w:r>
      <w:r>
        <w:rPr>
          <w:color w:val="231F20"/>
          <w:spacing w:val="-8"/>
        </w:rPr>
        <w:t> </w:t>
      </w:r>
      <w:r>
        <w:rPr>
          <w:color w:val="231F20"/>
        </w:rPr>
        <w:t>Aires,</w:t>
      </w:r>
      <w:r>
        <w:rPr>
          <w:color w:val="231F20"/>
          <w:spacing w:val="-8"/>
        </w:rPr>
        <w:t> </w:t>
      </w:r>
      <w:r>
        <w:rPr>
          <w:color w:val="231F20"/>
        </w:rPr>
        <w:t>adopte</w:t>
      </w:r>
      <w:r>
        <w:rPr>
          <w:color w:val="231F20"/>
          <w:spacing w:val="-8"/>
        </w:rPr>
        <w:t> </w:t>
      </w:r>
      <w:r>
        <w:rPr>
          <w:color w:val="231F20"/>
        </w:rPr>
        <w:t>une</w:t>
      </w:r>
      <w:r>
        <w:rPr>
          <w:color w:val="231F20"/>
          <w:spacing w:val="-8"/>
        </w:rPr>
        <w:t> </w:t>
      </w:r>
      <w:r>
        <w:rPr>
          <w:color w:val="231F20"/>
        </w:rPr>
        <w:t>Déclaration dans laquelle les chefs d’État ou de gouvernement appuient l’appel de </w:t>
      </w:r>
      <w:r>
        <w:rPr>
          <w:color w:val="231F20"/>
          <w:spacing w:val="-6"/>
        </w:rPr>
        <w:t>l’Assemblée</w:t>
      </w:r>
      <w:r>
        <w:rPr>
          <w:color w:val="231F20"/>
          <w:spacing w:val="-11"/>
        </w:rPr>
        <w:t> </w:t>
      </w:r>
      <w:r>
        <w:rPr>
          <w:color w:val="231F20"/>
          <w:spacing w:val="-6"/>
        </w:rPr>
        <w:t>générale</w:t>
      </w:r>
      <w:r>
        <w:rPr>
          <w:color w:val="231F20"/>
          <w:spacing w:val="-10"/>
        </w:rPr>
        <w:t> </w:t>
      </w:r>
      <w:r>
        <w:rPr>
          <w:color w:val="231F20"/>
          <w:spacing w:val="-6"/>
        </w:rPr>
        <w:t>des</w:t>
      </w:r>
      <w:r>
        <w:rPr>
          <w:color w:val="231F20"/>
          <w:spacing w:val="-11"/>
        </w:rPr>
        <w:t> </w:t>
      </w:r>
      <w:r>
        <w:rPr>
          <w:color w:val="231F20"/>
          <w:spacing w:val="-6"/>
        </w:rPr>
        <w:t>Nations</w:t>
      </w:r>
      <w:r>
        <w:rPr>
          <w:color w:val="231F20"/>
          <w:spacing w:val="-10"/>
        </w:rPr>
        <w:t> </w:t>
      </w:r>
      <w:r>
        <w:rPr>
          <w:color w:val="231F20"/>
          <w:spacing w:val="-6"/>
        </w:rPr>
        <w:t>Unies</w:t>
      </w:r>
      <w:r>
        <w:rPr>
          <w:color w:val="231F20"/>
          <w:spacing w:val="-11"/>
        </w:rPr>
        <w:t> </w:t>
      </w:r>
      <w:r>
        <w:rPr>
          <w:color w:val="231F20"/>
          <w:spacing w:val="-6"/>
        </w:rPr>
        <w:t>à </w:t>
      </w:r>
      <w:r>
        <w:rPr>
          <w:color w:val="231F20"/>
          <w:spacing w:val="-4"/>
        </w:rPr>
        <w:t>lalevéedublocusappliquéàCuba,rejettent </w:t>
      </w:r>
      <w:r>
        <w:rPr>
          <w:color w:val="231F20"/>
        </w:rPr>
        <w:t>les listes et certifications unilatérales </w:t>
      </w:r>
      <w:r>
        <w:rPr>
          <w:color w:val="231F20"/>
          <w:spacing w:val="-2"/>
        </w:rPr>
        <w:t>visant</w:t>
      </w:r>
      <w:r>
        <w:rPr>
          <w:color w:val="231F20"/>
          <w:spacing w:val="-13"/>
        </w:rPr>
        <w:t> </w:t>
      </w:r>
      <w:r>
        <w:rPr>
          <w:color w:val="231F20"/>
          <w:spacing w:val="-2"/>
        </w:rPr>
        <w:t>des</w:t>
      </w:r>
      <w:r>
        <w:rPr>
          <w:color w:val="231F20"/>
          <w:spacing w:val="-13"/>
        </w:rPr>
        <w:t> </w:t>
      </w:r>
      <w:r>
        <w:rPr>
          <w:color w:val="231F20"/>
          <w:spacing w:val="-2"/>
        </w:rPr>
        <w:t>pays</w:t>
      </w:r>
      <w:r>
        <w:rPr>
          <w:color w:val="231F20"/>
          <w:spacing w:val="-13"/>
        </w:rPr>
        <w:t> </w:t>
      </w:r>
      <w:r>
        <w:rPr>
          <w:color w:val="231F20"/>
          <w:spacing w:val="-2"/>
        </w:rPr>
        <w:t>de</w:t>
      </w:r>
      <w:r>
        <w:rPr>
          <w:color w:val="231F20"/>
          <w:spacing w:val="-13"/>
        </w:rPr>
        <w:t> </w:t>
      </w:r>
      <w:r>
        <w:rPr>
          <w:color w:val="231F20"/>
          <w:spacing w:val="-2"/>
        </w:rPr>
        <w:t>la</w:t>
      </w:r>
      <w:r>
        <w:rPr>
          <w:color w:val="231F20"/>
          <w:spacing w:val="-13"/>
        </w:rPr>
        <w:t> </w:t>
      </w:r>
      <w:r>
        <w:rPr>
          <w:color w:val="231F20"/>
          <w:spacing w:val="-2"/>
        </w:rPr>
        <w:t>CELAC,</w:t>
      </w:r>
      <w:r>
        <w:rPr>
          <w:color w:val="231F20"/>
          <w:spacing w:val="-13"/>
        </w:rPr>
        <w:t> </w:t>
      </w:r>
      <w:r>
        <w:rPr>
          <w:color w:val="231F20"/>
          <w:spacing w:val="-2"/>
        </w:rPr>
        <w:t>demandent </w:t>
      </w:r>
      <w:r>
        <w:rPr>
          <w:color w:val="231F20"/>
          <w:spacing w:val="-8"/>
        </w:rPr>
        <w:t>que</w:t>
      </w:r>
      <w:r>
        <w:rPr>
          <w:color w:val="231F20"/>
          <w:spacing w:val="-9"/>
        </w:rPr>
        <w:t> </w:t>
      </w:r>
      <w:r>
        <w:rPr>
          <w:color w:val="231F20"/>
          <w:spacing w:val="-8"/>
        </w:rPr>
        <w:t>Cuba soit</w:t>
      </w:r>
      <w:r>
        <w:rPr>
          <w:color w:val="231F20"/>
          <w:spacing w:val="-9"/>
        </w:rPr>
        <w:t> </w:t>
      </w:r>
      <w:r>
        <w:rPr>
          <w:color w:val="231F20"/>
          <w:spacing w:val="-8"/>
        </w:rPr>
        <w:t>radiée de</w:t>
      </w:r>
      <w:r>
        <w:rPr>
          <w:color w:val="231F20"/>
          <w:spacing w:val="-9"/>
        </w:rPr>
        <w:t> </w:t>
      </w:r>
      <w:r>
        <w:rPr>
          <w:color w:val="231F20"/>
          <w:spacing w:val="-8"/>
        </w:rPr>
        <w:t>la Liste</w:t>
      </w:r>
      <w:r>
        <w:rPr>
          <w:color w:val="231F20"/>
          <w:spacing w:val="-9"/>
        </w:rPr>
        <w:t> </w:t>
      </w:r>
      <w:r>
        <w:rPr>
          <w:color w:val="231F20"/>
          <w:spacing w:val="-8"/>
        </w:rPr>
        <w:t>unilatérale </w:t>
      </w:r>
      <w:r>
        <w:rPr>
          <w:color w:val="231F20"/>
        </w:rPr>
        <w:t>des États censément commanditaires de terrorisme international ; une « Déclaration spéciale sur la nécessité de </w:t>
      </w:r>
      <w:r>
        <w:rPr>
          <w:color w:val="231F20"/>
          <w:spacing w:val="-2"/>
        </w:rPr>
        <w:t>lever</w:t>
      </w:r>
      <w:r>
        <w:rPr>
          <w:color w:val="231F20"/>
          <w:spacing w:val="-12"/>
        </w:rPr>
        <w:t> </w:t>
      </w:r>
      <w:r>
        <w:rPr>
          <w:color w:val="231F20"/>
          <w:spacing w:val="-2"/>
        </w:rPr>
        <w:t>le</w:t>
      </w:r>
      <w:r>
        <w:rPr>
          <w:color w:val="231F20"/>
          <w:spacing w:val="-12"/>
        </w:rPr>
        <w:t> </w:t>
      </w:r>
      <w:r>
        <w:rPr>
          <w:color w:val="231F20"/>
          <w:spacing w:val="-2"/>
        </w:rPr>
        <w:t>blocus</w:t>
      </w:r>
      <w:r>
        <w:rPr>
          <w:color w:val="231F20"/>
          <w:spacing w:val="-12"/>
        </w:rPr>
        <w:t> </w:t>
      </w:r>
      <w:r>
        <w:rPr>
          <w:color w:val="231F20"/>
          <w:spacing w:val="-2"/>
        </w:rPr>
        <w:t>économique,</w:t>
      </w:r>
      <w:r>
        <w:rPr>
          <w:color w:val="231F20"/>
          <w:spacing w:val="-12"/>
        </w:rPr>
        <w:t> </w:t>
      </w:r>
      <w:r>
        <w:rPr>
          <w:color w:val="231F20"/>
          <w:spacing w:val="-2"/>
        </w:rPr>
        <w:t>commercial </w:t>
      </w:r>
      <w:r>
        <w:rPr>
          <w:color w:val="231F20"/>
          <w:spacing w:val="-6"/>
        </w:rPr>
        <w:t>et</w:t>
      </w:r>
      <w:r>
        <w:rPr>
          <w:color w:val="231F20"/>
          <w:spacing w:val="-9"/>
        </w:rPr>
        <w:t> </w:t>
      </w:r>
      <w:r>
        <w:rPr>
          <w:color w:val="231F20"/>
          <w:spacing w:val="-6"/>
        </w:rPr>
        <w:t>financier</w:t>
      </w:r>
      <w:r>
        <w:rPr>
          <w:color w:val="231F20"/>
          <w:spacing w:val="-9"/>
        </w:rPr>
        <w:t> </w:t>
      </w:r>
      <w:r>
        <w:rPr>
          <w:color w:val="231F20"/>
          <w:spacing w:val="-6"/>
        </w:rPr>
        <w:t>appliqué</w:t>
      </w:r>
      <w:r>
        <w:rPr>
          <w:color w:val="231F20"/>
          <w:spacing w:val="-9"/>
        </w:rPr>
        <w:t> </w:t>
      </w:r>
      <w:r>
        <w:rPr>
          <w:color w:val="231F20"/>
          <w:spacing w:val="-6"/>
        </w:rPr>
        <w:t>à</w:t>
      </w:r>
      <w:r>
        <w:rPr>
          <w:color w:val="231F20"/>
          <w:spacing w:val="-9"/>
        </w:rPr>
        <w:t> </w:t>
      </w:r>
      <w:r>
        <w:rPr>
          <w:color w:val="231F20"/>
          <w:spacing w:val="-6"/>
        </w:rPr>
        <w:t>Cuba</w:t>
      </w:r>
      <w:r>
        <w:rPr>
          <w:color w:val="231F20"/>
          <w:spacing w:val="-9"/>
        </w:rPr>
        <w:t> </w:t>
      </w:r>
      <w:r>
        <w:rPr>
          <w:color w:val="231F20"/>
          <w:spacing w:val="-6"/>
        </w:rPr>
        <w:t>par</w:t>
      </w:r>
      <w:r>
        <w:rPr>
          <w:color w:val="231F20"/>
          <w:spacing w:val="-9"/>
        </w:rPr>
        <w:t> </w:t>
      </w:r>
      <w:r>
        <w:rPr>
          <w:color w:val="231F20"/>
          <w:spacing w:val="-6"/>
        </w:rPr>
        <w:t>les</w:t>
      </w:r>
      <w:r>
        <w:rPr>
          <w:color w:val="231F20"/>
          <w:spacing w:val="-9"/>
        </w:rPr>
        <w:t> </w:t>
      </w:r>
      <w:r>
        <w:rPr>
          <w:color w:val="231F20"/>
          <w:spacing w:val="-6"/>
        </w:rPr>
        <w:t>États- </w:t>
      </w:r>
      <w:r>
        <w:rPr>
          <w:color w:val="231F20"/>
        </w:rPr>
        <w:t>Unis</w:t>
      </w:r>
      <w:r>
        <w:rPr>
          <w:color w:val="231F20"/>
          <w:spacing w:val="-3"/>
        </w:rPr>
        <w:t> </w:t>
      </w:r>
      <w:r>
        <w:rPr>
          <w:color w:val="231F20"/>
        </w:rPr>
        <w:t>d’Amérique</w:t>
      </w:r>
      <w:r>
        <w:rPr>
          <w:color w:val="231F20"/>
          <w:spacing w:val="-3"/>
        </w:rPr>
        <w:t> </w:t>
      </w:r>
      <w:r>
        <w:rPr>
          <w:color w:val="231F20"/>
        </w:rPr>
        <w:t>»</w:t>
      </w:r>
      <w:r>
        <w:rPr>
          <w:color w:val="231F20"/>
          <w:spacing w:val="-3"/>
        </w:rPr>
        <w:t> </w:t>
      </w:r>
      <w:r>
        <w:rPr>
          <w:color w:val="231F20"/>
        </w:rPr>
        <w:t>et</w:t>
      </w:r>
      <w:r>
        <w:rPr>
          <w:color w:val="231F20"/>
          <w:spacing w:val="-3"/>
        </w:rPr>
        <w:t> </w:t>
      </w:r>
      <w:r>
        <w:rPr>
          <w:color w:val="231F20"/>
        </w:rPr>
        <w:t>une</w:t>
      </w:r>
      <w:r>
        <w:rPr>
          <w:color w:val="231F20"/>
          <w:spacing w:val="-3"/>
        </w:rPr>
        <w:t> </w:t>
      </w:r>
      <w:r>
        <w:rPr>
          <w:color w:val="231F20"/>
        </w:rPr>
        <w:t>«</w:t>
      </w:r>
      <w:r>
        <w:rPr>
          <w:color w:val="231F20"/>
          <w:spacing w:val="-3"/>
        </w:rPr>
        <w:t> </w:t>
      </w:r>
      <w:r>
        <w:rPr>
          <w:color w:val="231F20"/>
        </w:rPr>
        <w:t>Déclaration spéciale sur l’appui au combat contre</w:t>
      </w:r>
      <w:r>
        <w:rPr>
          <w:color w:val="231F20"/>
          <w:spacing w:val="40"/>
        </w:rPr>
        <w:t> </w:t>
      </w:r>
      <w:r>
        <w:rPr>
          <w:color w:val="231F20"/>
        </w:rPr>
        <w:t>le terrorisme sous toutes ses formes et </w:t>
      </w:r>
      <w:r>
        <w:rPr>
          <w:color w:val="231F20"/>
          <w:spacing w:val="-4"/>
        </w:rPr>
        <w:t>manifestations</w:t>
      </w:r>
      <w:r>
        <w:rPr>
          <w:color w:val="231F20"/>
          <w:spacing w:val="-13"/>
        </w:rPr>
        <w:t> </w:t>
      </w:r>
      <w:r>
        <w:rPr>
          <w:color w:val="231F20"/>
          <w:spacing w:val="-4"/>
        </w:rPr>
        <w:t>»,</w:t>
      </w:r>
      <w:r>
        <w:rPr>
          <w:color w:val="231F20"/>
          <w:spacing w:val="-12"/>
        </w:rPr>
        <w:t> </w:t>
      </w:r>
      <w:r>
        <w:rPr>
          <w:color w:val="231F20"/>
          <w:spacing w:val="-4"/>
        </w:rPr>
        <w:t>qui</w:t>
      </w:r>
      <w:r>
        <w:rPr>
          <w:color w:val="231F20"/>
          <w:spacing w:val="-13"/>
        </w:rPr>
        <w:t> </w:t>
      </w:r>
      <w:r>
        <w:rPr>
          <w:color w:val="231F20"/>
          <w:spacing w:val="-4"/>
        </w:rPr>
        <w:t>demande</w:t>
      </w:r>
      <w:r>
        <w:rPr>
          <w:color w:val="231F20"/>
          <w:spacing w:val="-12"/>
        </w:rPr>
        <w:t> </w:t>
      </w:r>
      <w:r>
        <w:rPr>
          <w:color w:val="231F20"/>
          <w:spacing w:val="-4"/>
        </w:rPr>
        <w:t>aussi,</w:t>
      </w:r>
      <w:r>
        <w:rPr>
          <w:color w:val="231F20"/>
          <w:spacing w:val="-13"/>
        </w:rPr>
        <w:t> </w:t>
      </w:r>
      <w:r>
        <w:rPr>
          <w:color w:val="231F20"/>
          <w:spacing w:val="-4"/>
        </w:rPr>
        <w:t>une </w:t>
      </w:r>
      <w:r>
        <w:rPr>
          <w:color w:val="231F20"/>
        </w:rPr>
        <w:t>fois de plus, que Cuba soit radiée de la </w:t>
      </w:r>
      <w:r>
        <w:rPr>
          <w:color w:val="231F20"/>
          <w:spacing w:val="-8"/>
        </w:rPr>
        <w:t>Liste</w:t>
      </w:r>
      <w:r>
        <w:rPr>
          <w:color w:val="231F20"/>
          <w:spacing w:val="-9"/>
        </w:rPr>
        <w:t> </w:t>
      </w:r>
      <w:r>
        <w:rPr>
          <w:color w:val="231F20"/>
          <w:spacing w:val="-8"/>
        </w:rPr>
        <w:t>des États</w:t>
      </w:r>
      <w:r>
        <w:rPr>
          <w:color w:val="231F20"/>
          <w:spacing w:val="-9"/>
        </w:rPr>
        <w:t> </w:t>
      </w:r>
      <w:r>
        <w:rPr>
          <w:color w:val="231F20"/>
          <w:spacing w:val="-8"/>
        </w:rPr>
        <w:t>censément commanditaires </w:t>
      </w:r>
      <w:r>
        <w:rPr>
          <w:color w:val="231F20"/>
        </w:rPr>
        <w:t>de terrorisme international.</w:t>
      </w:r>
    </w:p>
    <w:p>
      <w:pPr>
        <w:pStyle w:val="BodyText"/>
        <w:spacing w:before="178"/>
        <w:ind w:left="1394"/>
      </w:pPr>
      <w:r>
        <w:rPr/>
        <mc:AlternateContent>
          <mc:Choice Requires="wps">
            <w:drawing>
              <wp:anchor distT="0" distB="0" distL="0" distR="0" allowOverlap="1" layoutInCell="1" locked="0" behindDoc="0" simplePos="0" relativeHeight="15852544">
                <wp:simplePos x="0" y="0"/>
                <wp:positionH relativeFrom="page">
                  <wp:posOffset>719997</wp:posOffset>
                </wp:positionH>
                <wp:positionV relativeFrom="paragraph">
                  <wp:posOffset>196412</wp:posOffset>
                </wp:positionV>
                <wp:extent cx="59690" cy="59690"/>
                <wp:effectExtent l="0" t="0" r="0" b="0"/>
                <wp:wrapNone/>
                <wp:docPr id="538" name="Graphic 538"/>
                <wp:cNvGraphicFramePr>
                  <a:graphicFrameLocks/>
                </wp:cNvGraphicFramePr>
                <a:graphic>
                  <a:graphicData uri="http://schemas.microsoft.com/office/word/2010/wordprocessingShape">
                    <wps:wsp>
                      <wps:cNvPr id="538" name="Graphic 538"/>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56.692699pt;margin-top:15.46555pt;width:4.7pt;height:4.7pt;mso-position-horizontal-relative:page;mso-position-vertical-relative:paragraph;z-index:15852544" id="docshape425" coordorigin="1134,309" coordsize="94,94" path="m1180,309l1162,313,1148,323,1138,338,1134,356,1138,374,1148,389,1162,399,1180,403,1199,399,1213,389,1223,374,1227,356,1223,338,1213,323,1199,313,1180,309xe" filled="true" fillcolor="#1a4796" stroked="false">
                <v:path arrowok="t"/>
                <v:fill type="solid"/>
                <w10:wrap type="none"/>
              </v:shape>
            </w:pict>
          </mc:Fallback>
        </mc:AlternateContent>
      </w:r>
      <w:r>
        <w:rPr>
          <w:b/>
          <w:color w:val="1A4796"/>
        </w:rPr>
        <w:t>19 février 2023. </w:t>
      </w:r>
      <w:r>
        <w:rPr>
          <w:color w:val="231F20"/>
        </w:rPr>
        <w:t>Au Trente-sixième Sommet de l’Union africaine tenu à Addis Abeba (Éthiopie), les chefs d’État ou de gouvernement adopte, pour la </w:t>
      </w:r>
      <w:r>
        <w:rPr>
          <w:color w:val="231F20"/>
          <w:spacing w:val="-4"/>
        </w:rPr>
        <w:t>quatorzième</w:t>
      </w:r>
      <w:r>
        <w:rPr>
          <w:color w:val="231F20"/>
          <w:spacing w:val="-13"/>
        </w:rPr>
        <w:t> </w:t>
      </w:r>
      <w:r>
        <w:rPr>
          <w:color w:val="231F20"/>
          <w:spacing w:val="-4"/>
        </w:rPr>
        <w:t>fois</w:t>
      </w:r>
      <w:r>
        <w:rPr>
          <w:color w:val="231F20"/>
          <w:spacing w:val="-12"/>
        </w:rPr>
        <w:t> </w:t>
      </w:r>
      <w:r>
        <w:rPr>
          <w:color w:val="231F20"/>
          <w:spacing w:val="-4"/>
        </w:rPr>
        <w:t>d’affilée,</w:t>
      </w:r>
      <w:r>
        <w:rPr>
          <w:color w:val="231F20"/>
          <w:spacing w:val="-13"/>
        </w:rPr>
        <w:t> </w:t>
      </w:r>
      <w:r>
        <w:rPr>
          <w:color w:val="231F20"/>
          <w:spacing w:val="-4"/>
        </w:rPr>
        <w:t>la</w:t>
      </w:r>
      <w:r>
        <w:rPr>
          <w:color w:val="231F20"/>
          <w:spacing w:val="-12"/>
        </w:rPr>
        <w:t> </w:t>
      </w:r>
      <w:r>
        <w:rPr>
          <w:color w:val="231F20"/>
          <w:spacing w:val="-4"/>
        </w:rPr>
        <w:t>«</w:t>
      </w:r>
      <w:r>
        <w:rPr>
          <w:color w:val="231F20"/>
          <w:spacing w:val="-13"/>
        </w:rPr>
        <w:t> </w:t>
      </w:r>
      <w:r>
        <w:rPr>
          <w:color w:val="231F20"/>
          <w:spacing w:val="-4"/>
        </w:rPr>
        <w:t>Résolution </w:t>
      </w:r>
      <w:r>
        <w:rPr>
          <w:color w:val="231F20"/>
        </w:rPr>
        <w:t>sur</w:t>
      </w:r>
      <w:r>
        <w:rPr>
          <w:color w:val="231F20"/>
          <w:spacing w:val="58"/>
          <w:w w:val="150"/>
        </w:rPr>
        <w:t> </w:t>
      </w:r>
      <w:r>
        <w:rPr>
          <w:color w:val="231F20"/>
        </w:rPr>
        <w:t>la</w:t>
      </w:r>
      <w:r>
        <w:rPr>
          <w:color w:val="231F20"/>
          <w:spacing w:val="58"/>
          <w:w w:val="150"/>
        </w:rPr>
        <w:t> </w:t>
      </w:r>
      <w:r>
        <w:rPr>
          <w:color w:val="231F20"/>
        </w:rPr>
        <w:t>levée</w:t>
      </w:r>
      <w:r>
        <w:rPr>
          <w:color w:val="231F20"/>
          <w:spacing w:val="58"/>
          <w:w w:val="150"/>
        </w:rPr>
        <w:t> </w:t>
      </w:r>
      <w:r>
        <w:rPr>
          <w:color w:val="231F20"/>
        </w:rPr>
        <w:t>du</w:t>
      </w:r>
      <w:r>
        <w:rPr>
          <w:color w:val="231F20"/>
          <w:spacing w:val="59"/>
          <w:w w:val="150"/>
        </w:rPr>
        <w:t> </w:t>
      </w:r>
      <w:r>
        <w:rPr>
          <w:color w:val="231F20"/>
        </w:rPr>
        <w:t>blocus</w:t>
      </w:r>
      <w:r>
        <w:rPr>
          <w:color w:val="231F20"/>
          <w:spacing w:val="58"/>
          <w:w w:val="150"/>
        </w:rPr>
        <w:t> </w:t>
      </w:r>
      <w:r>
        <w:rPr>
          <w:color w:val="231F20"/>
          <w:spacing w:val="-2"/>
        </w:rPr>
        <w:t>économique,</w:t>
      </w:r>
    </w:p>
    <w:p>
      <w:pPr>
        <w:pStyle w:val="BodyText"/>
        <w:spacing w:before="77"/>
        <w:ind w:left="673" w:right="1473"/>
      </w:pPr>
      <w:r>
        <w:rPr/>
        <w:br w:type="column"/>
      </w:r>
      <w:r>
        <w:rPr>
          <w:color w:val="231F20"/>
        </w:rPr>
        <w:t>commercial et financier imposé à la République de Cuba par les États-Unis </w:t>
      </w:r>
      <w:r>
        <w:rPr>
          <w:color w:val="231F20"/>
          <w:spacing w:val="-2"/>
        </w:rPr>
        <w:t>d’Amérique</w:t>
      </w:r>
      <w:r>
        <w:rPr>
          <w:color w:val="231F20"/>
          <w:spacing w:val="-15"/>
        </w:rPr>
        <w:t> </w:t>
      </w:r>
      <w:r>
        <w:rPr>
          <w:color w:val="231F20"/>
          <w:spacing w:val="-2"/>
        </w:rPr>
        <w:t>»</w:t>
      </w:r>
      <w:r>
        <w:rPr>
          <w:color w:val="231F20"/>
          <w:spacing w:val="-14"/>
        </w:rPr>
        <w:t> </w:t>
      </w:r>
      <w:r>
        <w:rPr>
          <w:color w:val="231F20"/>
          <w:spacing w:val="-2"/>
        </w:rPr>
        <w:t>dans</w:t>
      </w:r>
      <w:r>
        <w:rPr>
          <w:color w:val="231F20"/>
          <w:spacing w:val="-15"/>
        </w:rPr>
        <w:t> </w:t>
      </w:r>
      <w:r>
        <w:rPr>
          <w:color w:val="231F20"/>
          <w:spacing w:val="-2"/>
        </w:rPr>
        <w:t>laquelle</w:t>
      </w:r>
      <w:r>
        <w:rPr>
          <w:color w:val="231F20"/>
          <w:spacing w:val="-14"/>
        </w:rPr>
        <w:t> </w:t>
      </w:r>
      <w:r>
        <w:rPr>
          <w:color w:val="231F20"/>
          <w:spacing w:val="-2"/>
        </w:rPr>
        <w:t>ils</w:t>
      </w:r>
      <w:r>
        <w:rPr>
          <w:color w:val="231F20"/>
          <w:spacing w:val="-15"/>
        </w:rPr>
        <w:t> </w:t>
      </w:r>
      <w:r>
        <w:rPr>
          <w:color w:val="231F20"/>
          <w:spacing w:val="-2"/>
        </w:rPr>
        <w:t>expriment </w:t>
      </w:r>
      <w:r>
        <w:rPr>
          <w:color w:val="231F20"/>
        </w:rPr>
        <w:t>leur vive inquiétude devant le maintien du blocus, renouvellent leur appui à la résolution correspondante que vote chaque année l’Assemblée générale des Nations Unies, regrettent le recul enregistré</w:t>
      </w:r>
      <w:r>
        <w:rPr>
          <w:color w:val="231F20"/>
          <w:spacing w:val="-12"/>
        </w:rPr>
        <w:t> </w:t>
      </w:r>
      <w:r>
        <w:rPr>
          <w:color w:val="231F20"/>
        </w:rPr>
        <w:t>dans</w:t>
      </w:r>
      <w:r>
        <w:rPr>
          <w:color w:val="231F20"/>
          <w:spacing w:val="-12"/>
        </w:rPr>
        <w:t> </w:t>
      </w:r>
      <w:r>
        <w:rPr>
          <w:color w:val="231F20"/>
        </w:rPr>
        <w:t>les</w:t>
      </w:r>
      <w:r>
        <w:rPr>
          <w:color w:val="231F20"/>
          <w:spacing w:val="-12"/>
        </w:rPr>
        <w:t> </w:t>
      </w:r>
      <w:r>
        <w:rPr>
          <w:color w:val="231F20"/>
        </w:rPr>
        <w:t>relations</w:t>
      </w:r>
      <w:r>
        <w:rPr>
          <w:color w:val="231F20"/>
          <w:spacing w:val="-12"/>
        </w:rPr>
        <w:t> </w:t>
      </w:r>
      <w:r>
        <w:rPr>
          <w:color w:val="231F20"/>
        </w:rPr>
        <w:t>entre</w:t>
      </w:r>
      <w:r>
        <w:rPr>
          <w:color w:val="231F20"/>
          <w:spacing w:val="-12"/>
        </w:rPr>
        <w:t> </w:t>
      </w:r>
      <w:r>
        <w:rPr>
          <w:color w:val="231F20"/>
        </w:rPr>
        <w:t>Cuba </w:t>
      </w:r>
      <w:r>
        <w:rPr>
          <w:color w:val="231F20"/>
          <w:spacing w:val="-4"/>
        </w:rPr>
        <w:t>et</w:t>
      </w:r>
      <w:r>
        <w:rPr>
          <w:color w:val="231F20"/>
          <w:spacing w:val="-13"/>
        </w:rPr>
        <w:t> </w:t>
      </w:r>
      <w:r>
        <w:rPr>
          <w:color w:val="231F20"/>
          <w:spacing w:val="-4"/>
        </w:rPr>
        <w:t>les</w:t>
      </w:r>
      <w:r>
        <w:rPr>
          <w:color w:val="231F20"/>
          <w:spacing w:val="-12"/>
        </w:rPr>
        <w:t> </w:t>
      </w:r>
      <w:r>
        <w:rPr>
          <w:color w:val="231F20"/>
          <w:spacing w:val="-4"/>
        </w:rPr>
        <w:t>États-Unis,</w:t>
      </w:r>
      <w:r>
        <w:rPr>
          <w:color w:val="231F20"/>
          <w:spacing w:val="-13"/>
        </w:rPr>
        <w:t> </w:t>
      </w:r>
      <w:r>
        <w:rPr>
          <w:color w:val="231F20"/>
          <w:spacing w:val="-4"/>
        </w:rPr>
        <w:t>appellent</w:t>
      </w:r>
      <w:r>
        <w:rPr>
          <w:color w:val="231F20"/>
          <w:spacing w:val="-12"/>
        </w:rPr>
        <w:t> </w:t>
      </w:r>
      <w:r>
        <w:rPr>
          <w:color w:val="231F20"/>
          <w:spacing w:val="-4"/>
        </w:rPr>
        <w:t>ceux-ci</w:t>
      </w:r>
      <w:r>
        <w:rPr>
          <w:color w:val="231F20"/>
          <w:spacing w:val="-13"/>
        </w:rPr>
        <w:t> </w:t>
      </w:r>
      <w:r>
        <w:rPr>
          <w:color w:val="231F20"/>
          <w:spacing w:val="-4"/>
        </w:rPr>
        <w:t>à</w:t>
      </w:r>
      <w:r>
        <w:rPr>
          <w:color w:val="231F20"/>
          <w:spacing w:val="-12"/>
        </w:rPr>
        <w:t> </w:t>
      </w:r>
      <w:r>
        <w:rPr>
          <w:color w:val="231F20"/>
          <w:spacing w:val="-4"/>
        </w:rPr>
        <w:t>lever leurs</w:t>
      </w:r>
      <w:r>
        <w:rPr>
          <w:color w:val="231F20"/>
          <w:spacing w:val="-11"/>
        </w:rPr>
        <w:t> </w:t>
      </w:r>
      <w:r>
        <w:rPr>
          <w:color w:val="231F20"/>
          <w:spacing w:val="-4"/>
        </w:rPr>
        <w:t>sanctions</w:t>
      </w:r>
      <w:r>
        <w:rPr>
          <w:color w:val="231F20"/>
          <w:spacing w:val="-11"/>
        </w:rPr>
        <w:t> </w:t>
      </w:r>
      <w:r>
        <w:rPr>
          <w:color w:val="231F20"/>
          <w:spacing w:val="-4"/>
        </w:rPr>
        <w:t>injustifiées</w:t>
      </w:r>
      <w:r>
        <w:rPr>
          <w:color w:val="231F20"/>
          <w:spacing w:val="-11"/>
        </w:rPr>
        <w:t> </w:t>
      </w:r>
      <w:r>
        <w:rPr>
          <w:color w:val="231F20"/>
          <w:spacing w:val="-4"/>
        </w:rPr>
        <w:t>et</w:t>
      </w:r>
      <w:r>
        <w:rPr>
          <w:color w:val="231F20"/>
          <w:spacing w:val="-11"/>
        </w:rPr>
        <w:t> </w:t>
      </w:r>
      <w:r>
        <w:rPr>
          <w:color w:val="231F20"/>
          <w:spacing w:val="-4"/>
        </w:rPr>
        <w:t>prolongées, </w:t>
      </w:r>
      <w:r>
        <w:rPr>
          <w:color w:val="231F20"/>
        </w:rPr>
        <w:t>dénoncent les effets nuisibles de l’application extraterritoriale de la Loi </w:t>
      </w:r>
      <w:r>
        <w:rPr>
          <w:color w:val="231F20"/>
          <w:spacing w:val="-2"/>
        </w:rPr>
        <w:t>Helms</w:t>
      </w:r>
      <w:r>
        <w:rPr>
          <w:color w:val="231F20"/>
          <w:spacing w:val="-12"/>
        </w:rPr>
        <w:t> </w:t>
      </w:r>
      <w:r>
        <w:rPr>
          <w:color w:val="231F20"/>
          <w:spacing w:val="-2"/>
        </w:rPr>
        <w:t>Burton,</w:t>
      </w:r>
      <w:r>
        <w:rPr>
          <w:color w:val="231F20"/>
          <w:spacing w:val="-12"/>
        </w:rPr>
        <w:t> </w:t>
      </w:r>
      <w:r>
        <w:rPr>
          <w:color w:val="231F20"/>
          <w:spacing w:val="-2"/>
        </w:rPr>
        <w:t>notamment</w:t>
      </w:r>
      <w:r>
        <w:rPr>
          <w:color w:val="231F20"/>
          <w:spacing w:val="-12"/>
        </w:rPr>
        <w:t> </w:t>
      </w:r>
      <w:r>
        <w:rPr>
          <w:color w:val="231F20"/>
          <w:spacing w:val="-2"/>
        </w:rPr>
        <w:t>de</w:t>
      </w:r>
      <w:r>
        <w:rPr>
          <w:color w:val="231F20"/>
          <w:spacing w:val="-12"/>
        </w:rPr>
        <w:t> </w:t>
      </w:r>
      <w:r>
        <w:rPr>
          <w:color w:val="231F20"/>
          <w:spacing w:val="-2"/>
        </w:rPr>
        <w:t>la</w:t>
      </w:r>
      <w:r>
        <w:rPr>
          <w:color w:val="231F20"/>
          <w:spacing w:val="-12"/>
        </w:rPr>
        <w:t> </w:t>
      </w:r>
      <w:r>
        <w:rPr>
          <w:color w:val="231F20"/>
          <w:spacing w:val="-2"/>
        </w:rPr>
        <w:t>mise</w:t>
      </w:r>
      <w:r>
        <w:rPr>
          <w:color w:val="231F20"/>
          <w:spacing w:val="-12"/>
        </w:rPr>
        <w:t> </w:t>
      </w:r>
      <w:r>
        <w:rPr>
          <w:color w:val="231F20"/>
          <w:spacing w:val="-2"/>
        </w:rPr>
        <w:t>en </w:t>
      </w:r>
      <w:r>
        <w:rPr>
          <w:color w:val="231F20"/>
        </w:rPr>
        <w:t>œuvre</w:t>
      </w:r>
      <w:r>
        <w:rPr>
          <w:color w:val="231F20"/>
          <w:spacing w:val="-1"/>
        </w:rPr>
        <w:t> </w:t>
      </w:r>
      <w:r>
        <w:rPr>
          <w:color w:val="231F20"/>
        </w:rPr>
        <w:t>de</w:t>
      </w:r>
      <w:r>
        <w:rPr>
          <w:color w:val="231F20"/>
          <w:spacing w:val="-1"/>
        </w:rPr>
        <w:t> </w:t>
      </w:r>
      <w:r>
        <w:rPr>
          <w:color w:val="231F20"/>
        </w:rPr>
        <w:t>son</w:t>
      </w:r>
      <w:r>
        <w:rPr>
          <w:color w:val="231F20"/>
          <w:spacing w:val="-1"/>
        </w:rPr>
        <w:t> </w:t>
      </w:r>
      <w:r>
        <w:rPr>
          <w:color w:val="231F20"/>
        </w:rPr>
        <w:t>Titre</w:t>
      </w:r>
      <w:r>
        <w:rPr>
          <w:color w:val="231F20"/>
          <w:spacing w:val="-1"/>
        </w:rPr>
        <w:t> </w:t>
      </w:r>
      <w:r>
        <w:rPr>
          <w:color w:val="231F20"/>
        </w:rPr>
        <w:t>III,</w:t>
      </w:r>
      <w:r>
        <w:rPr>
          <w:color w:val="231F20"/>
          <w:spacing w:val="-1"/>
        </w:rPr>
        <w:t> </w:t>
      </w:r>
      <w:r>
        <w:rPr>
          <w:color w:val="231F20"/>
        </w:rPr>
        <w:t>et</w:t>
      </w:r>
      <w:r>
        <w:rPr>
          <w:color w:val="231F20"/>
          <w:spacing w:val="-1"/>
        </w:rPr>
        <w:t> </w:t>
      </w:r>
      <w:r>
        <w:rPr>
          <w:color w:val="231F20"/>
        </w:rPr>
        <w:t>les</w:t>
      </w:r>
      <w:r>
        <w:rPr>
          <w:color w:val="231F20"/>
          <w:spacing w:val="-1"/>
        </w:rPr>
        <w:t> </w:t>
      </w:r>
      <w:r>
        <w:rPr>
          <w:color w:val="231F20"/>
        </w:rPr>
        <w:t>retombées aggravées du blocus dans un contexte de relèvement d’après-pandémie.</w:t>
      </w:r>
    </w:p>
    <w:p>
      <w:pPr>
        <w:pStyle w:val="BodyText"/>
        <w:spacing w:before="173"/>
        <w:ind w:left="673" w:right="1471"/>
      </w:pPr>
      <w:r>
        <w:rPr/>
        <mc:AlternateContent>
          <mc:Choice Requires="wps">
            <w:drawing>
              <wp:anchor distT="0" distB="0" distL="0" distR="0" allowOverlap="1" layoutInCell="1" locked="0" behindDoc="0" simplePos="0" relativeHeight="15854592">
                <wp:simplePos x="0" y="0"/>
                <wp:positionH relativeFrom="page">
                  <wp:posOffset>3815998</wp:posOffset>
                </wp:positionH>
                <wp:positionV relativeFrom="paragraph">
                  <wp:posOffset>197335</wp:posOffset>
                </wp:positionV>
                <wp:extent cx="59690" cy="59690"/>
                <wp:effectExtent l="0" t="0" r="0" b="0"/>
                <wp:wrapNone/>
                <wp:docPr id="539" name="Graphic 539"/>
                <wp:cNvGraphicFramePr>
                  <a:graphicFrameLocks/>
                </wp:cNvGraphicFramePr>
                <a:graphic>
                  <a:graphicData uri="http://schemas.microsoft.com/office/word/2010/wordprocessingShape">
                    <wps:wsp>
                      <wps:cNvPr id="539" name="Graphic 539"/>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5.538262pt;width:4.7pt;height:4.7pt;mso-position-horizontal-relative:page;mso-position-vertical-relative:paragraph;z-index:15854592" id="docshape426" coordorigin="6009,311" coordsize="94,94" path="m6056,311l6038,314,6023,324,6013,339,6009,357,6013,376,6023,390,6038,400,6056,404,6074,400,6089,390,6099,376,6103,357,6099,339,6089,324,6074,314,6056,311xe" filled="true" fillcolor="#1a4796" stroked="false">
                <v:path arrowok="t"/>
                <v:fill type="solid"/>
                <w10:wrap type="none"/>
              </v:shape>
            </w:pict>
          </mc:Fallback>
        </mc:AlternateContent>
      </w:r>
      <w:r>
        <w:rPr>
          <w:b/>
          <w:color w:val="1A4796"/>
        </w:rPr>
        <w:t>Mars</w:t>
      </w:r>
      <w:r>
        <w:rPr>
          <w:b/>
          <w:color w:val="1A4796"/>
          <w:spacing w:val="-2"/>
        </w:rPr>
        <w:t> </w:t>
      </w:r>
      <w:r>
        <w:rPr>
          <w:b/>
          <w:color w:val="1A4796"/>
        </w:rPr>
        <w:t>2023.</w:t>
      </w:r>
      <w:r>
        <w:rPr>
          <w:b/>
          <w:color w:val="1A4796"/>
          <w:spacing w:val="-2"/>
        </w:rPr>
        <w:t> </w:t>
      </w:r>
      <w:r>
        <w:rPr>
          <w:color w:val="231F20"/>
        </w:rPr>
        <w:t>Dans</w:t>
      </w:r>
      <w:r>
        <w:rPr>
          <w:color w:val="231F20"/>
          <w:spacing w:val="-2"/>
        </w:rPr>
        <w:t> </w:t>
      </w:r>
      <w:r>
        <w:rPr>
          <w:color w:val="231F20"/>
        </w:rPr>
        <w:t>un</w:t>
      </w:r>
      <w:r>
        <w:rPr>
          <w:color w:val="231F20"/>
          <w:spacing w:val="-2"/>
        </w:rPr>
        <w:t> </w:t>
      </w:r>
      <w:r>
        <w:rPr>
          <w:color w:val="231F20"/>
        </w:rPr>
        <w:t>rapport</w:t>
      </w:r>
      <w:r>
        <w:rPr>
          <w:color w:val="231F20"/>
          <w:spacing w:val="-2"/>
        </w:rPr>
        <w:t> </w:t>
      </w:r>
      <w:r>
        <w:rPr>
          <w:color w:val="231F20"/>
        </w:rPr>
        <w:t>intitulé</w:t>
      </w:r>
      <w:r>
        <w:rPr>
          <w:color w:val="231F20"/>
          <w:spacing w:val="-2"/>
        </w:rPr>
        <w:t> </w:t>
      </w:r>
      <w:r>
        <w:rPr>
          <w:color w:val="231F20"/>
        </w:rPr>
        <w:t>:</w:t>
      </w:r>
      <w:r>
        <w:rPr>
          <w:color w:val="231F20"/>
          <w:spacing w:val="-2"/>
        </w:rPr>
        <w:t> </w:t>
      </w:r>
      <w:r>
        <w:rPr>
          <w:color w:val="231F20"/>
        </w:rPr>
        <w:t>« L’état de la démocratie aux États-Unis, </w:t>
      </w:r>
      <w:r>
        <w:rPr>
          <w:color w:val="231F20"/>
          <w:spacing w:val="-8"/>
        </w:rPr>
        <w:t>2022</w:t>
      </w:r>
      <w:r>
        <w:rPr>
          <w:color w:val="231F20"/>
          <w:spacing w:val="-9"/>
        </w:rPr>
        <w:t> </w:t>
      </w:r>
      <w:r>
        <w:rPr>
          <w:color w:val="231F20"/>
          <w:spacing w:val="-8"/>
        </w:rPr>
        <w:t>», publié</w:t>
      </w:r>
      <w:r>
        <w:rPr>
          <w:color w:val="231F20"/>
          <w:spacing w:val="-9"/>
        </w:rPr>
        <w:t> </w:t>
      </w:r>
      <w:r>
        <w:rPr>
          <w:color w:val="231F20"/>
          <w:spacing w:val="-8"/>
        </w:rPr>
        <w:t>avant le</w:t>
      </w:r>
      <w:r>
        <w:rPr>
          <w:color w:val="231F20"/>
          <w:spacing w:val="-9"/>
        </w:rPr>
        <w:t> </w:t>
      </w:r>
      <w:r>
        <w:rPr>
          <w:color w:val="231F20"/>
          <w:spacing w:val="-8"/>
        </w:rPr>
        <w:t>Deuxième Sommet </w:t>
      </w:r>
      <w:r>
        <w:rPr>
          <w:color w:val="231F20"/>
          <w:spacing w:val="-12"/>
        </w:rPr>
        <w:t>pour</w:t>
      </w:r>
      <w:r>
        <w:rPr>
          <w:color w:val="231F20"/>
          <w:spacing w:val="-2"/>
        </w:rPr>
        <w:t> </w:t>
      </w:r>
      <w:r>
        <w:rPr>
          <w:color w:val="231F20"/>
          <w:spacing w:val="-12"/>
        </w:rPr>
        <w:t>la</w:t>
      </w:r>
      <w:r>
        <w:rPr>
          <w:color w:val="231F20"/>
          <w:spacing w:val="-2"/>
        </w:rPr>
        <w:t> </w:t>
      </w:r>
      <w:r>
        <w:rPr>
          <w:color w:val="231F20"/>
          <w:spacing w:val="-12"/>
        </w:rPr>
        <w:t>démocratie,</w:t>
      </w:r>
      <w:r>
        <w:rPr>
          <w:color w:val="231F20"/>
          <w:spacing w:val="-2"/>
        </w:rPr>
        <w:t> </w:t>
      </w:r>
      <w:r>
        <w:rPr>
          <w:color w:val="231F20"/>
          <w:spacing w:val="-12"/>
        </w:rPr>
        <w:t>le</w:t>
      </w:r>
      <w:r>
        <w:rPr>
          <w:color w:val="231F20"/>
          <w:spacing w:val="-2"/>
        </w:rPr>
        <w:t> </w:t>
      </w:r>
      <w:r>
        <w:rPr>
          <w:color w:val="231F20"/>
          <w:spacing w:val="-12"/>
        </w:rPr>
        <w:t>ministère</w:t>
      </w:r>
      <w:r>
        <w:rPr>
          <w:color w:val="231F20"/>
          <w:spacing w:val="-2"/>
        </w:rPr>
        <w:t> </w:t>
      </w:r>
      <w:r>
        <w:rPr>
          <w:color w:val="231F20"/>
          <w:spacing w:val="-12"/>
        </w:rPr>
        <w:t>chinois</w:t>
      </w:r>
      <w:r>
        <w:rPr>
          <w:color w:val="231F20"/>
          <w:spacing w:val="-2"/>
        </w:rPr>
        <w:t> </w:t>
      </w:r>
      <w:r>
        <w:rPr>
          <w:color w:val="231F20"/>
          <w:spacing w:val="-12"/>
        </w:rPr>
        <w:t>des </w:t>
      </w:r>
      <w:r>
        <w:rPr>
          <w:color w:val="231F20"/>
          <w:spacing w:val="-8"/>
        </w:rPr>
        <w:t>Affaires étrangères dénonce explicitement </w:t>
      </w:r>
      <w:r>
        <w:rPr>
          <w:color w:val="231F20"/>
          <w:spacing w:val="-6"/>
        </w:rPr>
        <w:t>que,</w:t>
      </w:r>
      <w:r>
        <w:rPr>
          <w:color w:val="231F20"/>
          <w:spacing w:val="-7"/>
        </w:rPr>
        <w:t> </w:t>
      </w:r>
      <w:r>
        <w:rPr>
          <w:color w:val="231F20"/>
          <w:spacing w:val="-6"/>
        </w:rPr>
        <w:t>sous</w:t>
      </w:r>
      <w:r>
        <w:rPr>
          <w:color w:val="231F20"/>
          <w:spacing w:val="-7"/>
        </w:rPr>
        <w:t> </w:t>
      </w:r>
      <w:r>
        <w:rPr>
          <w:color w:val="231F20"/>
          <w:spacing w:val="-6"/>
        </w:rPr>
        <w:t>prétexte</w:t>
      </w:r>
      <w:r>
        <w:rPr>
          <w:color w:val="231F20"/>
          <w:spacing w:val="-7"/>
        </w:rPr>
        <w:t> </w:t>
      </w:r>
      <w:r>
        <w:rPr>
          <w:color w:val="231F20"/>
          <w:spacing w:val="-6"/>
        </w:rPr>
        <w:t>des</w:t>
      </w:r>
      <w:r>
        <w:rPr>
          <w:color w:val="231F20"/>
          <w:spacing w:val="-7"/>
        </w:rPr>
        <w:t> </w:t>
      </w:r>
      <w:r>
        <w:rPr>
          <w:color w:val="231F20"/>
          <w:spacing w:val="-6"/>
        </w:rPr>
        <w:t>droits</w:t>
      </w:r>
      <w:r>
        <w:rPr>
          <w:color w:val="231F20"/>
          <w:spacing w:val="-7"/>
        </w:rPr>
        <w:t> </w:t>
      </w:r>
      <w:r>
        <w:rPr>
          <w:color w:val="231F20"/>
          <w:spacing w:val="-6"/>
        </w:rPr>
        <w:t>de</w:t>
      </w:r>
      <w:r>
        <w:rPr>
          <w:color w:val="231F20"/>
          <w:spacing w:val="-7"/>
        </w:rPr>
        <w:t> </w:t>
      </w:r>
      <w:r>
        <w:rPr>
          <w:color w:val="231F20"/>
          <w:spacing w:val="-6"/>
        </w:rPr>
        <w:t>l’homme </w:t>
      </w:r>
      <w:r>
        <w:rPr>
          <w:color w:val="231F20"/>
          <w:spacing w:val="-8"/>
        </w:rPr>
        <w:t>et de la démocratie, les États-Unis ont très longtemps</w:t>
      </w:r>
      <w:r>
        <w:rPr>
          <w:color w:val="231F20"/>
          <w:spacing w:val="-9"/>
        </w:rPr>
        <w:t> </w:t>
      </w:r>
      <w:r>
        <w:rPr>
          <w:color w:val="231F20"/>
          <w:spacing w:val="-8"/>
        </w:rPr>
        <w:t>utilisé les</w:t>
      </w:r>
      <w:r>
        <w:rPr>
          <w:color w:val="231F20"/>
          <w:spacing w:val="-9"/>
        </w:rPr>
        <w:t> </w:t>
      </w:r>
      <w:r>
        <w:rPr>
          <w:color w:val="231F20"/>
          <w:spacing w:val="-8"/>
        </w:rPr>
        <w:t>sanctions unilatérales </w:t>
      </w:r>
      <w:r>
        <w:rPr>
          <w:color w:val="231F20"/>
          <w:spacing w:val="-2"/>
        </w:rPr>
        <w:t>et</w:t>
      </w:r>
      <w:r>
        <w:rPr>
          <w:color w:val="231F20"/>
          <w:spacing w:val="-12"/>
        </w:rPr>
        <w:t> </w:t>
      </w:r>
      <w:r>
        <w:rPr>
          <w:color w:val="231F20"/>
          <w:spacing w:val="-2"/>
        </w:rPr>
        <w:t>extraterritoriales</w:t>
      </w:r>
      <w:r>
        <w:rPr>
          <w:color w:val="231F20"/>
          <w:spacing w:val="-12"/>
        </w:rPr>
        <w:t> </w:t>
      </w:r>
      <w:r>
        <w:rPr>
          <w:color w:val="231F20"/>
          <w:spacing w:val="-2"/>
        </w:rPr>
        <w:t>contre</w:t>
      </w:r>
      <w:r>
        <w:rPr>
          <w:color w:val="231F20"/>
          <w:spacing w:val="-12"/>
        </w:rPr>
        <w:t> </w:t>
      </w:r>
      <w:r>
        <w:rPr>
          <w:color w:val="231F20"/>
          <w:spacing w:val="-2"/>
        </w:rPr>
        <w:t>d’autres</w:t>
      </w:r>
      <w:r>
        <w:rPr>
          <w:color w:val="231F20"/>
          <w:spacing w:val="-12"/>
        </w:rPr>
        <w:t> </w:t>
      </w:r>
      <w:r>
        <w:rPr>
          <w:color w:val="231F20"/>
          <w:spacing w:val="-2"/>
        </w:rPr>
        <w:t>pays, </w:t>
      </w:r>
      <w:r>
        <w:rPr>
          <w:color w:val="231F20"/>
        </w:rPr>
        <w:t>dont</w:t>
      </w:r>
      <w:r>
        <w:rPr>
          <w:color w:val="231F20"/>
          <w:spacing w:val="-5"/>
        </w:rPr>
        <w:t> </w:t>
      </w:r>
      <w:r>
        <w:rPr>
          <w:color w:val="231F20"/>
        </w:rPr>
        <w:t>Cuba.</w:t>
      </w:r>
    </w:p>
    <w:p>
      <w:pPr>
        <w:pStyle w:val="BodyText"/>
        <w:spacing w:before="168"/>
        <w:ind w:left="673" w:right="1472"/>
      </w:pPr>
      <w:r>
        <w:rPr>
          <w:color w:val="231F20"/>
        </w:rPr>
        <w:t>Dans son document annuel intitulé : « </w:t>
      </w:r>
      <w:r>
        <w:rPr>
          <w:color w:val="231F20"/>
          <w:spacing w:val="-8"/>
        </w:rPr>
        <w:t>Rapport relatif aux violations des droits de </w:t>
      </w:r>
      <w:r>
        <w:rPr>
          <w:color w:val="231F20"/>
          <w:spacing w:val="-2"/>
        </w:rPr>
        <w:t>l’homme</w:t>
      </w:r>
      <w:r>
        <w:rPr>
          <w:color w:val="231F20"/>
          <w:spacing w:val="-15"/>
        </w:rPr>
        <w:t> </w:t>
      </w:r>
      <w:r>
        <w:rPr>
          <w:color w:val="231F20"/>
          <w:spacing w:val="-2"/>
        </w:rPr>
        <w:t>commises</w:t>
      </w:r>
      <w:r>
        <w:rPr>
          <w:color w:val="231F20"/>
          <w:spacing w:val="-14"/>
        </w:rPr>
        <w:t> </w:t>
      </w:r>
      <w:r>
        <w:rPr>
          <w:color w:val="231F20"/>
          <w:spacing w:val="-2"/>
        </w:rPr>
        <w:t>par</w:t>
      </w:r>
      <w:r>
        <w:rPr>
          <w:color w:val="231F20"/>
          <w:spacing w:val="-15"/>
        </w:rPr>
        <w:t> </w:t>
      </w:r>
      <w:r>
        <w:rPr>
          <w:color w:val="231F20"/>
          <w:spacing w:val="-2"/>
        </w:rPr>
        <w:t>les</w:t>
      </w:r>
      <w:r>
        <w:rPr>
          <w:color w:val="231F20"/>
          <w:spacing w:val="-14"/>
        </w:rPr>
        <w:t> </w:t>
      </w:r>
      <w:r>
        <w:rPr>
          <w:color w:val="231F20"/>
          <w:spacing w:val="-2"/>
        </w:rPr>
        <w:t>États-Unis</w:t>
      </w:r>
      <w:r>
        <w:rPr>
          <w:color w:val="231F20"/>
          <w:spacing w:val="-15"/>
        </w:rPr>
        <w:t> </w:t>
      </w:r>
      <w:r>
        <w:rPr>
          <w:color w:val="231F20"/>
          <w:spacing w:val="-2"/>
        </w:rPr>
        <w:t>en </w:t>
      </w:r>
      <w:r>
        <w:rPr>
          <w:color w:val="231F20"/>
          <w:spacing w:val="-8"/>
        </w:rPr>
        <w:t>2022</w:t>
      </w:r>
      <w:r>
        <w:rPr>
          <w:color w:val="231F20"/>
          <w:spacing w:val="-9"/>
        </w:rPr>
        <w:t> </w:t>
      </w:r>
      <w:r>
        <w:rPr>
          <w:color w:val="231F20"/>
          <w:spacing w:val="-8"/>
        </w:rPr>
        <w:t>», le</w:t>
      </w:r>
      <w:r>
        <w:rPr>
          <w:color w:val="231F20"/>
          <w:spacing w:val="-9"/>
        </w:rPr>
        <w:t> </w:t>
      </w:r>
      <w:r>
        <w:rPr>
          <w:color w:val="231F20"/>
          <w:spacing w:val="-8"/>
        </w:rPr>
        <w:t>Conseil d’État</w:t>
      </w:r>
      <w:r>
        <w:rPr>
          <w:color w:val="231F20"/>
          <w:spacing w:val="-9"/>
        </w:rPr>
        <w:t> </w:t>
      </w:r>
      <w:r>
        <w:rPr>
          <w:color w:val="231F20"/>
          <w:spacing w:val="-8"/>
        </w:rPr>
        <w:t>de Chine</w:t>
      </w:r>
      <w:r>
        <w:rPr>
          <w:color w:val="231F20"/>
          <w:spacing w:val="-9"/>
        </w:rPr>
        <w:t> </w:t>
      </w:r>
      <w:r>
        <w:rPr>
          <w:color w:val="231F20"/>
          <w:spacing w:val="-8"/>
        </w:rPr>
        <w:t>inclut de </w:t>
      </w:r>
      <w:r>
        <w:rPr>
          <w:color w:val="231F20"/>
          <w:spacing w:val="-2"/>
        </w:rPr>
        <w:t>nouveau</w:t>
      </w:r>
      <w:r>
        <w:rPr>
          <w:color w:val="231F20"/>
          <w:spacing w:val="-15"/>
        </w:rPr>
        <w:t> </w:t>
      </w:r>
      <w:r>
        <w:rPr>
          <w:color w:val="231F20"/>
          <w:spacing w:val="-2"/>
        </w:rPr>
        <w:t>le</w:t>
      </w:r>
      <w:r>
        <w:rPr>
          <w:color w:val="231F20"/>
          <w:spacing w:val="-14"/>
        </w:rPr>
        <w:t> </w:t>
      </w:r>
      <w:r>
        <w:rPr>
          <w:color w:val="231F20"/>
          <w:spacing w:val="-2"/>
        </w:rPr>
        <w:t>blocus</w:t>
      </w:r>
      <w:r>
        <w:rPr>
          <w:color w:val="231F20"/>
          <w:spacing w:val="-15"/>
        </w:rPr>
        <w:t> </w:t>
      </w:r>
      <w:r>
        <w:rPr>
          <w:color w:val="231F20"/>
          <w:spacing w:val="-2"/>
        </w:rPr>
        <w:t>des</w:t>
      </w:r>
      <w:r>
        <w:rPr>
          <w:color w:val="231F20"/>
          <w:spacing w:val="-14"/>
        </w:rPr>
        <w:t> </w:t>
      </w:r>
      <w:r>
        <w:rPr>
          <w:color w:val="231F20"/>
          <w:spacing w:val="-2"/>
        </w:rPr>
        <w:t>États-Unis</w:t>
      </w:r>
      <w:r>
        <w:rPr>
          <w:color w:val="231F20"/>
          <w:spacing w:val="-15"/>
        </w:rPr>
        <w:t> </w:t>
      </w:r>
      <w:r>
        <w:rPr>
          <w:color w:val="231F20"/>
          <w:spacing w:val="-2"/>
        </w:rPr>
        <w:t>à</w:t>
      </w:r>
      <w:r>
        <w:rPr>
          <w:color w:val="231F20"/>
          <w:spacing w:val="-14"/>
        </w:rPr>
        <w:t> </w:t>
      </w:r>
      <w:r>
        <w:rPr>
          <w:color w:val="231F20"/>
          <w:spacing w:val="-2"/>
        </w:rPr>
        <w:t>Cuba </w:t>
      </w:r>
      <w:r>
        <w:rPr>
          <w:color w:val="231F20"/>
        </w:rPr>
        <w:t>comme</w:t>
      </w:r>
      <w:r>
        <w:rPr>
          <w:color w:val="231F20"/>
          <w:spacing w:val="-10"/>
        </w:rPr>
        <w:t> </w:t>
      </w:r>
      <w:r>
        <w:rPr>
          <w:color w:val="231F20"/>
        </w:rPr>
        <w:t>une</w:t>
      </w:r>
      <w:r>
        <w:rPr>
          <w:color w:val="231F20"/>
          <w:spacing w:val="-10"/>
        </w:rPr>
        <w:t> </w:t>
      </w:r>
      <w:r>
        <w:rPr>
          <w:color w:val="231F20"/>
        </w:rPr>
        <w:t>politique</w:t>
      </w:r>
      <w:r>
        <w:rPr>
          <w:color w:val="231F20"/>
          <w:spacing w:val="-10"/>
        </w:rPr>
        <w:t> </w:t>
      </w:r>
      <w:r>
        <w:rPr>
          <w:color w:val="231F20"/>
        </w:rPr>
        <w:t>qui</w:t>
      </w:r>
      <w:r>
        <w:rPr>
          <w:color w:val="231F20"/>
          <w:spacing w:val="-10"/>
        </w:rPr>
        <w:t> </w:t>
      </w:r>
      <w:r>
        <w:rPr>
          <w:color w:val="231F20"/>
        </w:rPr>
        <w:t>porte</w:t>
      </w:r>
      <w:r>
        <w:rPr>
          <w:color w:val="231F20"/>
          <w:spacing w:val="-10"/>
        </w:rPr>
        <w:t> </w:t>
      </w:r>
      <w:r>
        <w:rPr>
          <w:color w:val="231F20"/>
        </w:rPr>
        <w:t>atteinte </w:t>
      </w:r>
      <w:r>
        <w:rPr>
          <w:color w:val="231F20"/>
          <w:spacing w:val="-4"/>
        </w:rPr>
        <w:t>aux</w:t>
      </w:r>
      <w:r>
        <w:rPr>
          <w:color w:val="231F20"/>
          <w:spacing w:val="-25"/>
        </w:rPr>
        <w:t> </w:t>
      </w:r>
      <w:r>
        <w:rPr>
          <w:color w:val="231F20"/>
          <w:spacing w:val="-4"/>
        </w:rPr>
        <w:t>droits</w:t>
      </w:r>
      <w:r>
        <w:rPr>
          <w:color w:val="231F20"/>
          <w:spacing w:val="-25"/>
        </w:rPr>
        <w:t> </w:t>
      </w:r>
      <w:r>
        <w:rPr>
          <w:color w:val="231F20"/>
          <w:spacing w:val="-4"/>
        </w:rPr>
        <w:t>de</w:t>
      </w:r>
      <w:r>
        <w:rPr>
          <w:color w:val="231F20"/>
          <w:spacing w:val="-25"/>
        </w:rPr>
        <w:t> </w:t>
      </w:r>
      <w:r>
        <w:rPr>
          <w:color w:val="231F20"/>
          <w:spacing w:val="-4"/>
        </w:rPr>
        <w:t>l’homme</w:t>
      </w:r>
      <w:r>
        <w:rPr>
          <w:color w:val="231F20"/>
          <w:spacing w:val="-25"/>
        </w:rPr>
        <w:t> </w:t>
      </w:r>
      <w:r>
        <w:rPr>
          <w:color w:val="231F20"/>
          <w:spacing w:val="-4"/>
        </w:rPr>
        <w:t>dans</w:t>
      </w:r>
      <w:r>
        <w:rPr>
          <w:color w:val="231F20"/>
          <w:spacing w:val="-25"/>
        </w:rPr>
        <w:t> </w:t>
      </w:r>
      <w:r>
        <w:rPr>
          <w:color w:val="231F20"/>
          <w:spacing w:val="-4"/>
        </w:rPr>
        <w:t>d’autres</w:t>
      </w:r>
      <w:r>
        <w:rPr>
          <w:color w:val="231F20"/>
          <w:spacing w:val="-26"/>
        </w:rPr>
        <w:t> </w:t>
      </w:r>
      <w:r>
        <w:rPr>
          <w:color w:val="231F20"/>
          <w:spacing w:val="-5"/>
        </w:rPr>
        <w:t>pays.</w:t>
      </w:r>
    </w:p>
    <w:p>
      <w:pPr>
        <w:pStyle w:val="BodyText"/>
        <w:spacing w:before="165"/>
        <w:ind w:left="673" w:right="1471"/>
      </w:pPr>
      <w:r>
        <w:rPr/>
        <mc:AlternateContent>
          <mc:Choice Requires="wps">
            <w:drawing>
              <wp:anchor distT="0" distB="0" distL="0" distR="0" allowOverlap="1" layoutInCell="1" locked="0" behindDoc="0" simplePos="0" relativeHeight="15855104">
                <wp:simplePos x="0" y="0"/>
                <wp:positionH relativeFrom="page">
                  <wp:posOffset>3815998</wp:posOffset>
                </wp:positionH>
                <wp:positionV relativeFrom="paragraph">
                  <wp:posOffset>188835</wp:posOffset>
                </wp:positionV>
                <wp:extent cx="59690" cy="59690"/>
                <wp:effectExtent l="0" t="0" r="0" b="0"/>
                <wp:wrapNone/>
                <wp:docPr id="540" name="Graphic 540"/>
                <wp:cNvGraphicFramePr>
                  <a:graphicFrameLocks/>
                </wp:cNvGraphicFramePr>
                <a:graphic>
                  <a:graphicData uri="http://schemas.microsoft.com/office/word/2010/wordprocessingShape">
                    <wps:wsp>
                      <wps:cNvPr id="540" name="Graphic 540"/>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868925pt;width:4.7pt;height:4.7pt;mso-position-horizontal-relative:page;mso-position-vertical-relative:paragraph;z-index:15855104" id="docshape427" coordorigin="6009,297" coordsize="94,94" path="m6056,297l6038,301,6023,311,6013,326,6009,344,6013,362,6023,377,6038,387,6056,391,6074,387,6089,377,6099,362,6103,344,6099,326,6089,311,6074,301,6056,297xe" filled="true" fillcolor="#1a4796" stroked="false">
                <v:path arrowok="t"/>
                <v:fill type="solid"/>
                <w10:wrap type="none"/>
              </v:shape>
            </w:pict>
          </mc:Fallback>
        </mc:AlternateContent>
      </w:r>
      <w:r>
        <w:rPr>
          <w:b/>
          <w:color w:val="1A4796"/>
        </w:rPr>
        <w:t>7 mars 2023. </w:t>
      </w:r>
      <w:r>
        <w:rPr>
          <w:color w:val="231F20"/>
        </w:rPr>
        <w:t>Le Parti </w:t>
      </w:r>
      <w:r>
        <w:rPr>
          <w:color w:val="231F20"/>
        </w:rPr>
        <w:t>communiste </w:t>
      </w:r>
      <w:r>
        <w:rPr>
          <w:color w:val="231F20"/>
          <w:spacing w:val="-2"/>
        </w:rPr>
        <w:t>britannique</w:t>
      </w:r>
      <w:r>
        <w:rPr>
          <w:color w:val="231F20"/>
          <w:spacing w:val="-10"/>
        </w:rPr>
        <w:t> </w:t>
      </w:r>
      <w:r>
        <w:rPr>
          <w:color w:val="231F20"/>
          <w:spacing w:val="-2"/>
        </w:rPr>
        <w:t>rejette</w:t>
      </w:r>
      <w:r>
        <w:rPr>
          <w:color w:val="231F20"/>
          <w:spacing w:val="-10"/>
        </w:rPr>
        <w:t> </w:t>
      </w:r>
      <w:r>
        <w:rPr>
          <w:color w:val="231F20"/>
          <w:spacing w:val="-2"/>
        </w:rPr>
        <w:t>dans</w:t>
      </w:r>
      <w:r>
        <w:rPr>
          <w:color w:val="231F20"/>
          <w:spacing w:val="-10"/>
        </w:rPr>
        <w:t> </w:t>
      </w:r>
      <w:r>
        <w:rPr>
          <w:color w:val="231F20"/>
          <w:spacing w:val="-2"/>
        </w:rPr>
        <w:t>une</w:t>
      </w:r>
      <w:r>
        <w:rPr>
          <w:color w:val="231F20"/>
          <w:spacing w:val="-10"/>
        </w:rPr>
        <w:t> </w:t>
      </w:r>
      <w:r>
        <w:rPr>
          <w:color w:val="231F20"/>
          <w:spacing w:val="-2"/>
        </w:rPr>
        <w:t>déclaration </w:t>
      </w:r>
      <w:r>
        <w:rPr>
          <w:color w:val="231F20"/>
        </w:rPr>
        <w:t>l’inscription de Cuba sur la Liste des États censément commanditaires de terrorisme international.</w:t>
      </w:r>
    </w:p>
    <w:p>
      <w:pPr>
        <w:pStyle w:val="BodyText"/>
        <w:spacing w:before="164"/>
        <w:ind w:left="673" w:right="1474"/>
      </w:pPr>
      <w:r>
        <w:rPr/>
        <mc:AlternateContent>
          <mc:Choice Requires="wps">
            <w:drawing>
              <wp:anchor distT="0" distB="0" distL="0" distR="0" allowOverlap="1" layoutInCell="1" locked="0" behindDoc="0" simplePos="0" relativeHeight="15855616">
                <wp:simplePos x="0" y="0"/>
                <wp:positionH relativeFrom="page">
                  <wp:posOffset>3815998</wp:posOffset>
                </wp:positionH>
                <wp:positionV relativeFrom="paragraph">
                  <wp:posOffset>182937</wp:posOffset>
                </wp:positionV>
                <wp:extent cx="59690" cy="59690"/>
                <wp:effectExtent l="0" t="0" r="0" b="0"/>
                <wp:wrapNone/>
                <wp:docPr id="541" name="Graphic 541"/>
                <wp:cNvGraphicFramePr>
                  <a:graphicFrameLocks/>
                </wp:cNvGraphicFramePr>
                <a:graphic>
                  <a:graphicData uri="http://schemas.microsoft.com/office/word/2010/wordprocessingShape">
                    <wps:wsp>
                      <wps:cNvPr id="541" name="Graphic 541"/>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00.47229pt;margin-top:14.404537pt;width:4.7pt;height:4.7pt;mso-position-horizontal-relative:page;mso-position-vertical-relative:paragraph;z-index:15855616" id="docshape428" coordorigin="6009,288" coordsize="94,94" path="m6056,288l6038,292,6023,302,6013,317,6009,335,6013,353,6023,368,6038,378,6056,381,6074,378,6089,368,6099,353,6103,335,6099,317,6089,302,6074,292,6056,288xe" filled="true" fillcolor="#1a4796" stroked="false">
                <v:path arrowok="t"/>
                <v:fill type="solid"/>
                <w10:wrap type="none"/>
              </v:shape>
            </w:pict>
          </mc:Fallback>
        </mc:AlternateContent>
      </w:r>
      <w:r>
        <w:rPr>
          <w:b/>
          <w:color w:val="1A4796"/>
        </w:rPr>
        <w:t>7 mars 2023. </w:t>
      </w:r>
      <w:r>
        <w:rPr>
          <w:color w:val="231F20"/>
        </w:rPr>
        <w:t>Le Parti communiste portugais exige dans une déclaration que</w:t>
      </w:r>
      <w:r>
        <w:rPr>
          <w:color w:val="231F20"/>
          <w:spacing w:val="57"/>
        </w:rPr>
        <w:t> </w:t>
      </w:r>
      <w:r>
        <w:rPr>
          <w:color w:val="231F20"/>
        </w:rPr>
        <w:t>Cuba</w:t>
      </w:r>
      <w:r>
        <w:rPr>
          <w:color w:val="231F20"/>
          <w:spacing w:val="58"/>
        </w:rPr>
        <w:t> </w:t>
      </w:r>
      <w:r>
        <w:rPr>
          <w:color w:val="231F20"/>
        </w:rPr>
        <w:t>soit</w:t>
      </w:r>
      <w:r>
        <w:rPr>
          <w:color w:val="231F20"/>
          <w:spacing w:val="58"/>
        </w:rPr>
        <w:t> </w:t>
      </w:r>
      <w:r>
        <w:rPr>
          <w:color w:val="231F20"/>
        </w:rPr>
        <w:t>radiée</w:t>
      </w:r>
      <w:r>
        <w:rPr>
          <w:color w:val="231F20"/>
          <w:spacing w:val="58"/>
        </w:rPr>
        <w:t> </w:t>
      </w:r>
      <w:r>
        <w:rPr>
          <w:color w:val="231F20"/>
        </w:rPr>
        <w:t>de</w:t>
      </w:r>
      <w:r>
        <w:rPr>
          <w:color w:val="231F20"/>
          <w:spacing w:val="58"/>
        </w:rPr>
        <w:t> </w:t>
      </w:r>
      <w:r>
        <w:rPr>
          <w:color w:val="231F20"/>
        </w:rPr>
        <w:t>la</w:t>
      </w:r>
      <w:r>
        <w:rPr>
          <w:color w:val="231F20"/>
          <w:spacing w:val="58"/>
        </w:rPr>
        <w:t> </w:t>
      </w:r>
      <w:r>
        <w:rPr>
          <w:color w:val="231F20"/>
        </w:rPr>
        <w:t>Liste</w:t>
      </w:r>
      <w:r>
        <w:rPr>
          <w:color w:val="231F20"/>
          <w:spacing w:val="58"/>
        </w:rPr>
        <w:t> </w:t>
      </w:r>
      <w:r>
        <w:rPr>
          <w:color w:val="231F20"/>
          <w:spacing w:val="-5"/>
        </w:rPr>
        <w:t>des</w:t>
      </w:r>
    </w:p>
    <w:p>
      <w:pPr>
        <w:spacing w:after="0"/>
        <w:sectPr>
          <w:pgSz w:w="11910" w:h="16840"/>
          <w:pgMar w:header="0" w:footer="695" w:top="1260" w:bottom="880" w:left="0" w:right="0"/>
          <w:cols w:num="2" w:equalWidth="0">
            <w:col w:w="5557" w:space="40"/>
            <w:col w:w="6313"/>
          </w:cols>
        </w:sectPr>
      </w:pPr>
    </w:p>
    <w:p>
      <w:pPr>
        <w:pStyle w:val="BodyText"/>
        <w:spacing w:before="77"/>
        <w:ind w:left="1734" w:right="1"/>
      </w:pPr>
      <w:r>
        <w:rPr>
          <w:color w:val="231F20"/>
        </w:rPr>
        <w:t>États censément commanditaires de terrorisme international.</w:t>
      </w:r>
    </w:p>
    <w:p>
      <w:pPr>
        <w:pStyle w:val="BodyText"/>
        <w:spacing w:before="161"/>
        <w:ind w:left="1734"/>
      </w:pPr>
      <w:r>
        <w:rPr/>
        <mc:AlternateContent>
          <mc:Choice Requires="wps">
            <w:drawing>
              <wp:anchor distT="0" distB="0" distL="0" distR="0" allowOverlap="1" layoutInCell="1" locked="0" behindDoc="0" simplePos="0" relativeHeight="15857152">
                <wp:simplePos x="0" y="0"/>
                <wp:positionH relativeFrom="page">
                  <wp:posOffset>935997</wp:posOffset>
                </wp:positionH>
                <wp:positionV relativeFrom="paragraph">
                  <wp:posOffset>181496</wp:posOffset>
                </wp:positionV>
                <wp:extent cx="59690" cy="59690"/>
                <wp:effectExtent l="0" t="0" r="0" b="0"/>
                <wp:wrapNone/>
                <wp:docPr id="542" name="Graphic 542"/>
                <wp:cNvGraphicFramePr>
                  <a:graphicFrameLocks/>
                </wp:cNvGraphicFramePr>
                <a:graphic>
                  <a:graphicData uri="http://schemas.microsoft.com/office/word/2010/wordprocessingShape">
                    <wps:wsp>
                      <wps:cNvPr id="542" name="Graphic 542"/>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4.291025pt;width:4.7pt;height:4.7pt;mso-position-horizontal-relative:page;mso-position-vertical-relative:paragraph;z-index:15857152" id="docshape429" coordorigin="1474,286" coordsize="94,94" path="m1521,286l1502,289,1488,299,1478,314,1474,332,1478,351,1488,365,1502,375,1521,379,1539,375,1554,365,1564,351,1567,332,1564,314,1554,299,1539,289,1521,286xe" filled="true" fillcolor="#1a4796" stroked="false">
                <v:path arrowok="t"/>
                <v:fill type="solid"/>
                <w10:wrap type="none"/>
              </v:shape>
            </w:pict>
          </mc:Fallback>
        </mc:AlternateContent>
      </w:r>
      <w:r>
        <w:rPr>
          <w:b/>
          <w:color w:val="1A4796"/>
          <w:spacing w:val="-10"/>
        </w:rPr>
        <w:t>18</w:t>
      </w:r>
      <w:r>
        <w:rPr>
          <w:b/>
          <w:color w:val="1A4796"/>
          <w:spacing w:val="-4"/>
        </w:rPr>
        <w:t> </w:t>
      </w:r>
      <w:r>
        <w:rPr>
          <w:b/>
          <w:color w:val="1A4796"/>
          <w:spacing w:val="-10"/>
        </w:rPr>
        <w:t>mars</w:t>
      </w:r>
      <w:r>
        <w:rPr>
          <w:b/>
          <w:color w:val="1A4796"/>
          <w:spacing w:val="-3"/>
        </w:rPr>
        <w:t> </w:t>
      </w:r>
      <w:r>
        <w:rPr>
          <w:b/>
          <w:color w:val="1A4796"/>
          <w:spacing w:val="-10"/>
        </w:rPr>
        <w:t>2023.</w:t>
      </w:r>
      <w:r>
        <w:rPr>
          <w:b/>
          <w:color w:val="1A4796"/>
          <w:spacing w:val="-4"/>
        </w:rPr>
        <w:t> </w:t>
      </w:r>
      <w:r>
        <w:rPr>
          <w:color w:val="231F20"/>
          <w:spacing w:val="-10"/>
        </w:rPr>
        <w:t>Les</w:t>
      </w:r>
      <w:r>
        <w:rPr>
          <w:color w:val="231F20"/>
          <w:spacing w:val="-4"/>
        </w:rPr>
        <w:t> </w:t>
      </w:r>
      <w:r>
        <w:rPr>
          <w:color w:val="231F20"/>
          <w:spacing w:val="-10"/>
        </w:rPr>
        <w:t>organisations</w:t>
      </w:r>
      <w:r>
        <w:rPr>
          <w:color w:val="231F20"/>
          <w:spacing w:val="-4"/>
        </w:rPr>
        <w:t> </w:t>
      </w:r>
      <w:r>
        <w:rPr>
          <w:color w:val="231F20"/>
          <w:spacing w:val="-10"/>
        </w:rPr>
        <w:t>réunies</w:t>
      </w:r>
      <w:r>
        <w:rPr>
          <w:color w:val="231F20"/>
          <w:spacing w:val="-4"/>
        </w:rPr>
        <w:t> </w:t>
      </w:r>
      <w:r>
        <w:rPr>
          <w:color w:val="231F20"/>
          <w:spacing w:val="-10"/>
        </w:rPr>
        <w:t>à </w:t>
      </w:r>
      <w:r>
        <w:rPr>
          <w:color w:val="231F20"/>
          <w:spacing w:val="-14"/>
        </w:rPr>
        <w:t>Oslo</w:t>
      </w:r>
      <w:r>
        <w:rPr>
          <w:color w:val="231F20"/>
        </w:rPr>
        <w:t> </w:t>
      </w:r>
      <w:r>
        <w:rPr>
          <w:color w:val="231F20"/>
          <w:spacing w:val="-14"/>
        </w:rPr>
        <w:t>(Norvège)</w:t>
      </w:r>
      <w:r>
        <w:rPr>
          <w:color w:val="231F20"/>
        </w:rPr>
        <w:t> </w:t>
      </w:r>
      <w:r>
        <w:rPr>
          <w:color w:val="231F20"/>
          <w:spacing w:val="-14"/>
        </w:rPr>
        <w:t>aux</w:t>
      </w:r>
      <w:r>
        <w:rPr>
          <w:color w:val="231F20"/>
        </w:rPr>
        <w:t> </w:t>
      </w:r>
      <w:r>
        <w:rPr>
          <w:color w:val="231F20"/>
          <w:spacing w:val="-14"/>
        </w:rPr>
        <w:t>Rencontres</w:t>
      </w:r>
      <w:r>
        <w:rPr>
          <w:color w:val="231F20"/>
        </w:rPr>
        <w:t> </w:t>
      </w:r>
      <w:r>
        <w:rPr>
          <w:color w:val="231F20"/>
          <w:spacing w:val="-14"/>
        </w:rPr>
        <w:t>scandinaves </w:t>
      </w:r>
      <w:r>
        <w:rPr>
          <w:color w:val="231F20"/>
        </w:rPr>
        <w:t>de solidarité avec Cuba émettent une </w:t>
      </w:r>
      <w:r>
        <w:rPr>
          <w:color w:val="231F20"/>
          <w:spacing w:val="-8"/>
        </w:rPr>
        <w:t>Déclaration</w:t>
      </w:r>
      <w:r>
        <w:rPr>
          <w:color w:val="231F20"/>
          <w:spacing w:val="-9"/>
        </w:rPr>
        <w:t> </w:t>
      </w:r>
      <w:r>
        <w:rPr>
          <w:color w:val="231F20"/>
          <w:spacing w:val="-8"/>
        </w:rPr>
        <w:t>dans laquelle</w:t>
      </w:r>
      <w:r>
        <w:rPr>
          <w:color w:val="231F20"/>
          <w:spacing w:val="-9"/>
        </w:rPr>
        <w:t> </w:t>
      </w:r>
      <w:r>
        <w:rPr>
          <w:color w:val="231F20"/>
          <w:spacing w:val="-8"/>
        </w:rPr>
        <w:t>elles demandent </w:t>
      </w:r>
      <w:r>
        <w:rPr>
          <w:color w:val="231F20"/>
          <w:spacing w:val="-2"/>
        </w:rPr>
        <w:t>que</w:t>
      </w:r>
      <w:r>
        <w:rPr>
          <w:color w:val="231F20"/>
          <w:spacing w:val="-15"/>
        </w:rPr>
        <w:t> </w:t>
      </w:r>
      <w:r>
        <w:rPr>
          <w:color w:val="231F20"/>
          <w:spacing w:val="-2"/>
        </w:rPr>
        <w:t>Cuba</w:t>
      </w:r>
      <w:r>
        <w:rPr>
          <w:color w:val="231F20"/>
          <w:spacing w:val="-14"/>
        </w:rPr>
        <w:t> </w:t>
      </w:r>
      <w:r>
        <w:rPr>
          <w:color w:val="231F20"/>
          <w:spacing w:val="-2"/>
        </w:rPr>
        <w:t>soit</w:t>
      </w:r>
      <w:r>
        <w:rPr>
          <w:color w:val="231F20"/>
          <w:spacing w:val="-15"/>
        </w:rPr>
        <w:t> </w:t>
      </w:r>
      <w:r>
        <w:rPr>
          <w:color w:val="231F20"/>
          <w:spacing w:val="-2"/>
        </w:rPr>
        <w:t>radiée</w:t>
      </w:r>
      <w:r>
        <w:rPr>
          <w:color w:val="231F20"/>
          <w:spacing w:val="-14"/>
        </w:rPr>
        <w:t> </w:t>
      </w:r>
      <w:r>
        <w:rPr>
          <w:color w:val="231F20"/>
          <w:spacing w:val="-2"/>
        </w:rPr>
        <w:t>de</w:t>
      </w:r>
      <w:r>
        <w:rPr>
          <w:color w:val="231F20"/>
          <w:spacing w:val="-15"/>
        </w:rPr>
        <w:t> </w:t>
      </w:r>
      <w:r>
        <w:rPr>
          <w:color w:val="231F20"/>
          <w:spacing w:val="-2"/>
        </w:rPr>
        <w:t>la</w:t>
      </w:r>
      <w:r>
        <w:rPr>
          <w:color w:val="231F20"/>
          <w:spacing w:val="-14"/>
        </w:rPr>
        <w:t> </w:t>
      </w:r>
      <w:r>
        <w:rPr>
          <w:color w:val="231F20"/>
          <w:spacing w:val="-2"/>
        </w:rPr>
        <w:t>Liste</w:t>
      </w:r>
      <w:r>
        <w:rPr>
          <w:color w:val="231F20"/>
          <w:spacing w:val="-15"/>
        </w:rPr>
        <w:t> </w:t>
      </w:r>
      <w:r>
        <w:rPr>
          <w:color w:val="231F20"/>
          <w:spacing w:val="-2"/>
        </w:rPr>
        <w:t>des</w:t>
      </w:r>
      <w:r>
        <w:rPr>
          <w:color w:val="231F20"/>
          <w:spacing w:val="-14"/>
        </w:rPr>
        <w:t> </w:t>
      </w:r>
      <w:r>
        <w:rPr>
          <w:color w:val="231F20"/>
          <w:spacing w:val="-2"/>
        </w:rPr>
        <w:t>États </w:t>
      </w:r>
      <w:r>
        <w:rPr>
          <w:color w:val="231F20"/>
          <w:spacing w:val="-8"/>
        </w:rPr>
        <w:t>censément</w:t>
      </w:r>
      <w:r>
        <w:rPr>
          <w:color w:val="231F20"/>
          <w:spacing w:val="-8"/>
        </w:rPr>
        <w:t> commanditaires</w:t>
      </w:r>
      <w:r>
        <w:rPr>
          <w:color w:val="231F20"/>
          <w:spacing w:val="-8"/>
        </w:rPr>
        <w:t> de</w:t>
      </w:r>
      <w:r>
        <w:rPr>
          <w:color w:val="231F20"/>
          <w:spacing w:val="-8"/>
        </w:rPr>
        <w:t> terrorisme </w:t>
      </w:r>
      <w:r>
        <w:rPr>
          <w:color w:val="231F20"/>
          <w:spacing w:val="-10"/>
        </w:rPr>
        <w:t>international,</w:t>
      </w:r>
      <w:r>
        <w:rPr>
          <w:color w:val="231F20"/>
          <w:spacing w:val="-3"/>
        </w:rPr>
        <w:t> </w:t>
      </w:r>
      <w:r>
        <w:rPr>
          <w:color w:val="231F20"/>
          <w:spacing w:val="-10"/>
        </w:rPr>
        <w:t>parce</w:t>
      </w:r>
      <w:r>
        <w:rPr>
          <w:color w:val="231F20"/>
          <w:spacing w:val="-3"/>
        </w:rPr>
        <w:t> </w:t>
      </w:r>
      <w:r>
        <w:rPr>
          <w:color w:val="231F20"/>
          <w:spacing w:val="-10"/>
        </w:rPr>
        <w:t>que</w:t>
      </w:r>
      <w:r>
        <w:rPr>
          <w:color w:val="231F20"/>
          <w:spacing w:val="-3"/>
        </w:rPr>
        <w:t> </w:t>
      </w:r>
      <w:r>
        <w:rPr>
          <w:color w:val="231F20"/>
          <w:spacing w:val="-10"/>
        </w:rPr>
        <w:t>«</w:t>
      </w:r>
      <w:r>
        <w:rPr>
          <w:color w:val="231F20"/>
          <w:spacing w:val="-3"/>
        </w:rPr>
        <w:t> </w:t>
      </w:r>
      <w:r>
        <w:rPr>
          <w:color w:val="231F20"/>
          <w:spacing w:val="-10"/>
        </w:rPr>
        <w:t>Cuba</w:t>
      </w:r>
      <w:r>
        <w:rPr>
          <w:color w:val="231F20"/>
          <w:spacing w:val="-3"/>
        </w:rPr>
        <w:t> </w:t>
      </w:r>
      <w:r>
        <w:rPr>
          <w:color w:val="231F20"/>
          <w:spacing w:val="-10"/>
        </w:rPr>
        <w:t>est</w:t>
      </w:r>
      <w:r>
        <w:rPr>
          <w:color w:val="231F20"/>
          <w:spacing w:val="-3"/>
        </w:rPr>
        <w:t> </w:t>
      </w:r>
      <w:r>
        <w:rPr>
          <w:color w:val="231F20"/>
          <w:spacing w:val="-10"/>
        </w:rPr>
        <w:t>victime </w:t>
      </w:r>
      <w:r>
        <w:rPr>
          <w:color w:val="231F20"/>
          <w:spacing w:val="-4"/>
        </w:rPr>
        <w:t>du</w:t>
      </w:r>
      <w:r>
        <w:rPr>
          <w:color w:val="231F20"/>
          <w:spacing w:val="-10"/>
        </w:rPr>
        <w:t> </w:t>
      </w:r>
      <w:r>
        <w:rPr>
          <w:color w:val="231F20"/>
          <w:spacing w:val="-4"/>
        </w:rPr>
        <w:t>terrorisme,</w:t>
      </w:r>
      <w:r>
        <w:rPr>
          <w:color w:val="231F20"/>
          <w:spacing w:val="-10"/>
        </w:rPr>
        <w:t> </w:t>
      </w:r>
      <w:r>
        <w:rPr>
          <w:color w:val="231F20"/>
          <w:spacing w:val="-4"/>
        </w:rPr>
        <w:t>non</w:t>
      </w:r>
      <w:r>
        <w:rPr>
          <w:color w:val="231F20"/>
          <w:spacing w:val="-10"/>
        </w:rPr>
        <w:t> </w:t>
      </w:r>
      <w:r>
        <w:rPr>
          <w:color w:val="231F20"/>
          <w:spacing w:val="-4"/>
        </w:rPr>
        <w:t>son</w:t>
      </w:r>
      <w:r>
        <w:rPr>
          <w:color w:val="231F20"/>
          <w:spacing w:val="-10"/>
        </w:rPr>
        <w:t> </w:t>
      </w:r>
      <w:r>
        <w:rPr>
          <w:color w:val="231F20"/>
          <w:spacing w:val="-4"/>
        </w:rPr>
        <w:t>commanditaire</w:t>
      </w:r>
      <w:r>
        <w:rPr>
          <w:color w:val="231F20"/>
          <w:spacing w:val="-10"/>
        </w:rPr>
        <w:t> </w:t>
      </w:r>
      <w:r>
        <w:rPr>
          <w:color w:val="231F20"/>
          <w:spacing w:val="-4"/>
        </w:rPr>
        <w:t>», </w:t>
      </w:r>
      <w:r>
        <w:rPr>
          <w:color w:val="231F20"/>
          <w:spacing w:val="-10"/>
        </w:rPr>
        <w:t>une</w:t>
      </w:r>
      <w:r>
        <w:rPr>
          <w:color w:val="231F20"/>
          <w:spacing w:val="-6"/>
        </w:rPr>
        <w:t> </w:t>
      </w:r>
      <w:r>
        <w:rPr>
          <w:color w:val="231F20"/>
          <w:spacing w:val="-10"/>
        </w:rPr>
        <w:t>accusation</w:t>
      </w:r>
      <w:r>
        <w:rPr>
          <w:color w:val="231F20"/>
          <w:spacing w:val="-6"/>
        </w:rPr>
        <w:t> </w:t>
      </w:r>
      <w:r>
        <w:rPr>
          <w:color w:val="231F20"/>
          <w:spacing w:val="-10"/>
        </w:rPr>
        <w:t>absolument</w:t>
      </w:r>
      <w:r>
        <w:rPr>
          <w:color w:val="231F20"/>
          <w:spacing w:val="-6"/>
        </w:rPr>
        <w:t> </w:t>
      </w:r>
      <w:r>
        <w:rPr>
          <w:color w:val="231F20"/>
          <w:spacing w:val="-10"/>
        </w:rPr>
        <w:t>fausse</w:t>
      </w:r>
      <w:r>
        <w:rPr>
          <w:color w:val="231F20"/>
          <w:spacing w:val="-6"/>
        </w:rPr>
        <w:t> </w:t>
      </w:r>
      <w:r>
        <w:rPr>
          <w:color w:val="231F20"/>
          <w:spacing w:val="-10"/>
        </w:rPr>
        <w:t>comme </w:t>
      </w:r>
      <w:r>
        <w:rPr>
          <w:color w:val="231F20"/>
          <w:spacing w:val="-16"/>
        </w:rPr>
        <w:t>le</w:t>
      </w:r>
      <w:r>
        <w:rPr>
          <w:color w:val="231F20"/>
        </w:rPr>
        <w:t> </w:t>
      </w:r>
      <w:r>
        <w:rPr>
          <w:color w:val="231F20"/>
          <w:spacing w:val="-16"/>
        </w:rPr>
        <w:t>reconnaissent</w:t>
      </w:r>
      <w:r>
        <w:rPr>
          <w:color w:val="231F20"/>
        </w:rPr>
        <w:t> </w:t>
      </w:r>
      <w:r>
        <w:rPr>
          <w:color w:val="231F20"/>
          <w:spacing w:val="-16"/>
        </w:rPr>
        <w:t>les</w:t>
      </w:r>
      <w:r>
        <w:rPr>
          <w:color w:val="231F20"/>
        </w:rPr>
        <w:t> </w:t>
      </w:r>
      <w:r>
        <w:rPr>
          <w:color w:val="231F20"/>
          <w:spacing w:val="-16"/>
        </w:rPr>
        <w:t>cercles</w:t>
      </w:r>
      <w:r>
        <w:rPr>
          <w:color w:val="231F20"/>
        </w:rPr>
        <w:t> </w:t>
      </w:r>
      <w:r>
        <w:rPr>
          <w:color w:val="231F20"/>
          <w:spacing w:val="-16"/>
        </w:rPr>
        <w:t>politiques</w:t>
      </w:r>
      <w:r>
        <w:rPr>
          <w:color w:val="231F20"/>
        </w:rPr>
        <w:t> </w:t>
      </w:r>
      <w:r>
        <w:rPr>
          <w:color w:val="231F20"/>
          <w:spacing w:val="-16"/>
        </w:rPr>
        <w:t>sérieux des</w:t>
      </w:r>
      <w:r>
        <w:rPr>
          <w:color w:val="231F20"/>
        </w:rPr>
        <w:t> </w:t>
      </w:r>
      <w:r>
        <w:rPr>
          <w:color w:val="231F20"/>
          <w:spacing w:val="-16"/>
        </w:rPr>
        <w:t>États-Unis,</w:t>
      </w:r>
      <w:r>
        <w:rPr>
          <w:color w:val="231F20"/>
        </w:rPr>
        <w:t> </w:t>
      </w:r>
      <w:r>
        <w:rPr>
          <w:color w:val="231F20"/>
          <w:spacing w:val="-16"/>
        </w:rPr>
        <w:t>et</w:t>
      </w:r>
      <w:r>
        <w:rPr>
          <w:color w:val="231F20"/>
        </w:rPr>
        <w:t> </w:t>
      </w:r>
      <w:r>
        <w:rPr>
          <w:color w:val="231F20"/>
          <w:spacing w:val="-16"/>
        </w:rPr>
        <w:t>dénoncent</w:t>
      </w:r>
      <w:r>
        <w:rPr>
          <w:color w:val="231F20"/>
        </w:rPr>
        <w:t> </w:t>
      </w:r>
      <w:r>
        <w:rPr>
          <w:color w:val="231F20"/>
          <w:spacing w:val="-16"/>
        </w:rPr>
        <w:t>que</w:t>
      </w:r>
      <w:r>
        <w:rPr>
          <w:color w:val="231F20"/>
        </w:rPr>
        <w:t> </w:t>
      </w:r>
      <w:r>
        <w:rPr>
          <w:color w:val="231F20"/>
          <w:spacing w:val="-16"/>
        </w:rPr>
        <w:t>le</w:t>
      </w:r>
      <w:r>
        <w:rPr>
          <w:color w:val="231F20"/>
        </w:rPr>
        <w:t> </w:t>
      </w:r>
      <w:r>
        <w:rPr>
          <w:color w:val="231F20"/>
          <w:spacing w:val="-16"/>
        </w:rPr>
        <w:t>pire</w:t>
      </w:r>
      <w:r>
        <w:rPr>
          <w:color w:val="231F20"/>
        </w:rPr>
        <w:t> </w:t>
      </w:r>
      <w:r>
        <w:rPr>
          <w:color w:val="231F20"/>
          <w:spacing w:val="-16"/>
        </w:rPr>
        <w:t>acte </w:t>
      </w:r>
      <w:r>
        <w:rPr>
          <w:color w:val="231F20"/>
          <w:spacing w:val="-4"/>
        </w:rPr>
        <w:t>de</w:t>
      </w:r>
      <w:r>
        <w:rPr>
          <w:color w:val="231F20"/>
          <w:spacing w:val="-13"/>
        </w:rPr>
        <w:t> </w:t>
      </w:r>
      <w:r>
        <w:rPr>
          <w:color w:val="231F20"/>
          <w:spacing w:val="-4"/>
        </w:rPr>
        <w:t>terrorisme</w:t>
      </w:r>
      <w:r>
        <w:rPr>
          <w:color w:val="231F20"/>
          <w:spacing w:val="-12"/>
        </w:rPr>
        <w:t> </w:t>
      </w:r>
      <w:r>
        <w:rPr>
          <w:color w:val="231F20"/>
          <w:spacing w:val="-4"/>
        </w:rPr>
        <w:t>émane</w:t>
      </w:r>
      <w:r>
        <w:rPr>
          <w:color w:val="231F20"/>
          <w:spacing w:val="-13"/>
        </w:rPr>
        <w:t> </w:t>
      </w:r>
      <w:r>
        <w:rPr>
          <w:color w:val="231F20"/>
          <w:spacing w:val="-4"/>
        </w:rPr>
        <w:t>des</w:t>
      </w:r>
      <w:r>
        <w:rPr>
          <w:color w:val="231F20"/>
          <w:spacing w:val="-12"/>
        </w:rPr>
        <w:t> </w:t>
      </w:r>
      <w:r>
        <w:rPr>
          <w:color w:val="231F20"/>
          <w:spacing w:val="-4"/>
        </w:rPr>
        <w:t>administrations </w:t>
      </w:r>
      <w:r>
        <w:rPr>
          <w:color w:val="231F20"/>
          <w:spacing w:val="-10"/>
        </w:rPr>
        <w:t>étasuniennes</w:t>
      </w:r>
      <w:r>
        <w:rPr>
          <w:color w:val="231F20"/>
          <w:spacing w:val="-7"/>
        </w:rPr>
        <w:t> </w:t>
      </w:r>
      <w:r>
        <w:rPr>
          <w:color w:val="231F20"/>
          <w:spacing w:val="-10"/>
        </w:rPr>
        <w:t>qui</w:t>
      </w:r>
      <w:r>
        <w:rPr>
          <w:color w:val="231F20"/>
          <w:spacing w:val="-6"/>
        </w:rPr>
        <w:t> </w:t>
      </w:r>
      <w:r>
        <w:rPr>
          <w:color w:val="231F20"/>
          <w:spacing w:val="-10"/>
        </w:rPr>
        <w:t>maintiennent</w:t>
      </w:r>
      <w:r>
        <w:rPr>
          <w:color w:val="231F20"/>
          <w:spacing w:val="-7"/>
        </w:rPr>
        <w:t> </w:t>
      </w:r>
      <w:r>
        <w:rPr>
          <w:color w:val="231F20"/>
          <w:spacing w:val="-10"/>
        </w:rPr>
        <w:t>depuis</w:t>
      </w:r>
      <w:r>
        <w:rPr>
          <w:color w:val="231F20"/>
          <w:spacing w:val="-6"/>
        </w:rPr>
        <w:t> </w:t>
      </w:r>
      <w:r>
        <w:rPr>
          <w:color w:val="231F20"/>
          <w:spacing w:val="-10"/>
        </w:rPr>
        <w:t>plus </w:t>
      </w:r>
      <w:r>
        <w:rPr>
          <w:color w:val="231F20"/>
          <w:spacing w:val="-4"/>
        </w:rPr>
        <w:t>de</w:t>
      </w:r>
      <w:r>
        <w:rPr>
          <w:color w:val="231F20"/>
          <w:spacing w:val="-13"/>
        </w:rPr>
        <w:t> </w:t>
      </w:r>
      <w:r>
        <w:rPr>
          <w:color w:val="231F20"/>
          <w:spacing w:val="-4"/>
        </w:rPr>
        <w:t>soixante</w:t>
      </w:r>
      <w:r>
        <w:rPr>
          <w:color w:val="231F20"/>
          <w:spacing w:val="-12"/>
        </w:rPr>
        <w:t> </w:t>
      </w:r>
      <w:r>
        <w:rPr>
          <w:color w:val="231F20"/>
          <w:spacing w:val="-4"/>
        </w:rPr>
        <w:t>ans</w:t>
      </w:r>
      <w:r>
        <w:rPr>
          <w:color w:val="231F20"/>
          <w:spacing w:val="-13"/>
        </w:rPr>
        <w:t> </w:t>
      </w:r>
      <w:r>
        <w:rPr>
          <w:color w:val="231F20"/>
          <w:spacing w:val="-4"/>
        </w:rPr>
        <w:t>leur</w:t>
      </w:r>
      <w:r>
        <w:rPr>
          <w:color w:val="231F20"/>
          <w:spacing w:val="-12"/>
        </w:rPr>
        <w:t> </w:t>
      </w:r>
      <w:r>
        <w:rPr>
          <w:color w:val="231F20"/>
          <w:spacing w:val="-4"/>
        </w:rPr>
        <w:t>blocus</w:t>
      </w:r>
      <w:r>
        <w:rPr>
          <w:color w:val="231F20"/>
          <w:spacing w:val="-13"/>
        </w:rPr>
        <w:t> </w:t>
      </w:r>
      <w:r>
        <w:rPr>
          <w:color w:val="231F20"/>
          <w:spacing w:val="-4"/>
        </w:rPr>
        <w:t>inhumain,</w:t>
      </w:r>
      <w:r>
        <w:rPr>
          <w:color w:val="231F20"/>
          <w:spacing w:val="-12"/>
        </w:rPr>
        <w:t> </w:t>
      </w:r>
      <w:r>
        <w:rPr>
          <w:color w:val="231F20"/>
          <w:spacing w:val="-4"/>
        </w:rPr>
        <w:t>qui </w:t>
      </w:r>
      <w:r>
        <w:rPr>
          <w:color w:val="231F20"/>
          <w:spacing w:val="-12"/>
        </w:rPr>
        <w:t>est</w:t>
      </w:r>
      <w:r>
        <w:rPr>
          <w:color w:val="231F20"/>
          <w:spacing w:val="-4"/>
        </w:rPr>
        <w:t> </w:t>
      </w:r>
      <w:r>
        <w:rPr>
          <w:color w:val="231F20"/>
          <w:spacing w:val="-12"/>
        </w:rPr>
        <w:t>un</w:t>
      </w:r>
      <w:r>
        <w:rPr>
          <w:color w:val="231F20"/>
          <w:spacing w:val="-4"/>
        </w:rPr>
        <w:t> </w:t>
      </w:r>
      <w:r>
        <w:rPr>
          <w:color w:val="231F20"/>
          <w:spacing w:val="-12"/>
        </w:rPr>
        <w:t>crime</w:t>
      </w:r>
      <w:r>
        <w:rPr>
          <w:color w:val="231F20"/>
          <w:spacing w:val="-4"/>
        </w:rPr>
        <w:t> </w:t>
      </w:r>
      <w:r>
        <w:rPr>
          <w:color w:val="231F20"/>
          <w:spacing w:val="-12"/>
        </w:rPr>
        <w:t>contre</w:t>
      </w:r>
      <w:r>
        <w:rPr>
          <w:color w:val="231F20"/>
          <w:spacing w:val="-4"/>
        </w:rPr>
        <w:t> </w:t>
      </w:r>
      <w:r>
        <w:rPr>
          <w:color w:val="231F20"/>
          <w:spacing w:val="-12"/>
        </w:rPr>
        <w:t>l’humanité</w:t>
      </w:r>
      <w:r>
        <w:rPr>
          <w:color w:val="231F20"/>
          <w:spacing w:val="-4"/>
        </w:rPr>
        <w:t> </w:t>
      </w:r>
      <w:r>
        <w:rPr>
          <w:color w:val="231F20"/>
          <w:spacing w:val="-12"/>
        </w:rPr>
        <w:t>et</w:t>
      </w:r>
      <w:r>
        <w:rPr>
          <w:color w:val="231F20"/>
          <w:spacing w:val="-4"/>
        </w:rPr>
        <w:t> </w:t>
      </w:r>
      <w:r>
        <w:rPr>
          <w:color w:val="231F20"/>
          <w:spacing w:val="-12"/>
        </w:rPr>
        <w:t>dont</w:t>
      </w:r>
      <w:r>
        <w:rPr>
          <w:color w:val="231F20"/>
          <w:spacing w:val="-4"/>
        </w:rPr>
        <w:t> </w:t>
      </w:r>
      <w:r>
        <w:rPr>
          <w:color w:val="231F20"/>
          <w:spacing w:val="-12"/>
        </w:rPr>
        <w:t>elles </w:t>
      </w:r>
      <w:r>
        <w:rPr>
          <w:color w:val="231F20"/>
          <w:spacing w:val="-4"/>
        </w:rPr>
        <w:t>exigent</w:t>
      </w:r>
      <w:r>
        <w:rPr>
          <w:color w:val="231F20"/>
          <w:spacing w:val="-23"/>
        </w:rPr>
        <w:t> </w:t>
      </w:r>
      <w:r>
        <w:rPr>
          <w:color w:val="231F20"/>
          <w:spacing w:val="-4"/>
        </w:rPr>
        <w:t>la</w:t>
      </w:r>
      <w:r>
        <w:rPr>
          <w:color w:val="231F20"/>
          <w:spacing w:val="-23"/>
        </w:rPr>
        <w:t> </w:t>
      </w:r>
      <w:r>
        <w:rPr>
          <w:color w:val="231F20"/>
          <w:spacing w:val="-4"/>
        </w:rPr>
        <w:t>levée</w:t>
      </w:r>
      <w:r>
        <w:rPr>
          <w:color w:val="231F20"/>
          <w:spacing w:val="-23"/>
        </w:rPr>
        <w:t> </w:t>
      </w:r>
      <w:r>
        <w:rPr>
          <w:color w:val="231F20"/>
          <w:spacing w:val="-4"/>
        </w:rPr>
        <w:t>immédiate.</w:t>
      </w:r>
    </w:p>
    <w:p>
      <w:pPr>
        <w:pStyle w:val="BodyText"/>
        <w:spacing w:before="173"/>
        <w:ind w:left="1734" w:right="4"/>
      </w:pPr>
      <w:r>
        <w:rPr/>
        <mc:AlternateContent>
          <mc:Choice Requires="wps">
            <w:drawing>
              <wp:anchor distT="0" distB="0" distL="0" distR="0" allowOverlap="1" layoutInCell="1" locked="0" behindDoc="0" simplePos="0" relativeHeight="15857664">
                <wp:simplePos x="0" y="0"/>
                <wp:positionH relativeFrom="page">
                  <wp:posOffset>935997</wp:posOffset>
                </wp:positionH>
                <wp:positionV relativeFrom="paragraph">
                  <wp:posOffset>196596</wp:posOffset>
                </wp:positionV>
                <wp:extent cx="59690" cy="59690"/>
                <wp:effectExtent l="0" t="0" r="0" b="0"/>
                <wp:wrapNone/>
                <wp:docPr id="543" name="Graphic 543"/>
                <wp:cNvGraphicFramePr>
                  <a:graphicFrameLocks/>
                </wp:cNvGraphicFramePr>
                <a:graphic>
                  <a:graphicData uri="http://schemas.microsoft.com/office/word/2010/wordprocessingShape">
                    <wps:wsp>
                      <wps:cNvPr id="543" name="Graphic 543"/>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480025pt;width:4.7pt;height:4.7pt;mso-position-horizontal-relative:page;mso-position-vertical-relative:paragraph;z-index:15857664" id="docshape430" coordorigin="1474,310" coordsize="94,94" path="m1521,310l1502,313,1488,323,1478,338,1474,356,1478,374,1488,389,1502,399,1521,403,1539,399,1554,389,1564,374,1567,356,1564,338,1554,323,1539,313,1521,310xe" filled="true" fillcolor="#1a4796" stroked="false">
                <v:path arrowok="t"/>
                <v:fill type="solid"/>
                <w10:wrap type="none"/>
              </v:shape>
            </w:pict>
          </mc:Fallback>
        </mc:AlternateContent>
      </w:r>
      <w:r>
        <w:rPr>
          <w:b/>
          <w:color w:val="1A4796"/>
          <w:spacing w:val="-4"/>
        </w:rPr>
        <w:t>25</w:t>
      </w:r>
      <w:r>
        <w:rPr>
          <w:b/>
          <w:color w:val="1A4796"/>
          <w:spacing w:val="-13"/>
        </w:rPr>
        <w:t> </w:t>
      </w:r>
      <w:r>
        <w:rPr>
          <w:b/>
          <w:color w:val="1A4796"/>
          <w:spacing w:val="-4"/>
        </w:rPr>
        <w:t>mars</w:t>
      </w:r>
      <w:r>
        <w:rPr>
          <w:b/>
          <w:color w:val="1A4796"/>
          <w:spacing w:val="-13"/>
        </w:rPr>
        <w:t> </w:t>
      </w:r>
      <w:r>
        <w:rPr>
          <w:b/>
          <w:color w:val="1A4796"/>
          <w:spacing w:val="-4"/>
        </w:rPr>
        <w:t>2023.</w:t>
      </w:r>
      <w:r>
        <w:rPr>
          <w:b/>
          <w:color w:val="1A4796"/>
          <w:spacing w:val="-12"/>
        </w:rPr>
        <w:t> </w:t>
      </w:r>
      <w:r>
        <w:rPr>
          <w:color w:val="231F20"/>
          <w:spacing w:val="-4"/>
        </w:rPr>
        <w:t>Réunis</w:t>
      </w:r>
      <w:r>
        <w:rPr>
          <w:color w:val="231F20"/>
          <w:spacing w:val="-13"/>
        </w:rPr>
        <w:t> </w:t>
      </w:r>
      <w:r>
        <w:rPr>
          <w:color w:val="231F20"/>
          <w:spacing w:val="-4"/>
        </w:rPr>
        <w:t>à</w:t>
      </w:r>
      <w:r>
        <w:rPr>
          <w:color w:val="231F20"/>
          <w:spacing w:val="-12"/>
        </w:rPr>
        <w:t> </w:t>
      </w:r>
      <w:r>
        <w:rPr>
          <w:color w:val="231F20"/>
          <w:spacing w:val="-4"/>
        </w:rPr>
        <w:t>Saint-Domingue </w:t>
      </w:r>
      <w:r>
        <w:rPr>
          <w:color w:val="231F20"/>
        </w:rPr>
        <w:t>(République dominicaine) à leur Vingt- huitième Sommet ibéro-américain, les </w:t>
      </w:r>
      <w:r>
        <w:rPr>
          <w:color w:val="231F20"/>
          <w:spacing w:val="-12"/>
        </w:rPr>
        <w:t>chefs</w:t>
      </w:r>
      <w:r>
        <w:rPr>
          <w:color w:val="231F20"/>
          <w:spacing w:val="-1"/>
        </w:rPr>
        <w:t> </w:t>
      </w:r>
      <w:r>
        <w:rPr>
          <w:color w:val="231F20"/>
          <w:spacing w:val="-12"/>
        </w:rPr>
        <w:t>d’État</w:t>
      </w:r>
      <w:r>
        <w:rPr>
          <w:color w:val="231F20"/>
          <w:spacing w:val="-1"/>
        </w:rPr>
        <w:t> </w:t>
      </w:r>
      <w:r>
        <w:rPr>
          <w:color w:val="231F20"/>
          <w:spacing w:val="-12"/>
        </w:rPr>
        <w:t>ou</w:t>
      </w:r>
      <w:r>
        <w:rPr>
          <w:color w:val="231F20"/>
          <w:spacing w:val="-1"/>
        </w:rPr>
        <w:t> </w:t>
      </w:r>
      <w:r>
        <w:rPr>
          <w:color w:val="231F20"/>
          <w:spacing w:val="-12"/>
        </w:rPr>
        <w:t>de</w:t>
      </w:r>
      <w:r>
        <w:rPr>
          <w:color w:val="231F20"/>
          <w:spacing w:val="-1"/>
        </w:rPr>
        <w:t> </w:t>
      </w:r>
      <w:r>
        <w:rPr>
          <w:color w:val="231F20"/>
          <w:spacing w:val="-12"/>
        </w:rPr>
        <w:t>gouvernement</w:t>
      </w:r>
      <w:r>
        <w:rPr>
          <w:color w:val="231F20"/>
          <w:spacing w:val="-1"/>
        </w:rPr>
        <w:t> </w:t>
      </w:r>
      <w:r>
        <w:rPr>
          <w:color w:val="231F20"/>
          <w:spacing w:val="-12"/>
        </w:rPr>
        <w:t>émettent </w:t>
      </w:r>
      <w:r>
        <w:rPr>
          <w:color w:val="231F20"/>
          <w:spacing w:val="-6"/>
        </w:rPr>
        <w:t>un</w:t>
      </w:r>
      <w:r>
        <w:rPr>
          <w:color w:val="231F20"/>
          <w:spacing w:val="-11"/>
        </w:rPr>
        <w:t> </w:t>
      </w:r>
      <w:r>
        <w:rPr>
          <w:color w:val="231F20"/>
          <w:spacing w:val="-6"/>
        </w:rPr>
        <w:t>«</w:t>
      </w:r>
      <w:r>
        <w:rPr>
          <w:color w:val="231F20"/>
          <w:spacing w:val="-10"/>
        </w:rPr>
        <w:t> </w:t>
      </w:r>
      <w:r>
        <w:rPr>
          <w:color w:val="231F20"/>
          <w:spacing w:val="-6"/>
        </w:rPr>
        <w:t>Communiqué</w:t>
      </w:r>
      <w:r>
        <w:rPr>
          <w:color w:val="231F20"/>
          <w:spacing w:val="-11"/>
        </w:rPr>
        <w:t> </w:t>
      </w:r>
      <w:r>
        <w:rPr>
          <w:color w:val="231F20"/>
          <w:spacing w:val="-6"/>
        </w:rPr>
        <w:t>spécial</w:t>
      </w:r>
      <w:r>
        <w:rPr>
          <w:color w:val="231F20"/>
          <w:spacing w:val="-10"/>
        </w:rPr>
        <w:t> </w:t>
      </w:r>
      <w:r>
        <w:rPr>
          <w:color w:val="231F20"/>
          <w:spacing w:val="-6"/>
        </w:rPr>
        <w:t>sur</w:t>
      </w:r>
      <w:r>
        <w:rPr>
          <w:color w:val="231F20"/>
          <w:spacing w:val="-11"/>
        </w:rPr>
        <w:t> </w:t>
      </w:r>
      <w:r>
        <w:rPr>
          <w:color w:val="231F20"/>
          <w:spacing w:val="-6"/>
        </w:rPr>
        <w:t>la</w:t>
      </w:r>
      <w:r>
        <w:rPr>
          <w:color w:val="231F20"/>
          <w:spacing w:val="-10"/>
        </w:rPr>
        <w:t> </w:t>
      </w:r>
      <w:r>
        <w:rPr>
          <w:color w:val="231F20"/>
          <w:spacing w:val="-6"/>
        </w:rPr>
        <w:t>nécessité </w:t>
      </w:r>
      <w:r>
        <w:rPr>
          <w:color w:val="231F20"/>
          <w:spacing w:val="-12"/>
        </w:rPr>
        <w:t>de</w:t>
      </w:r>
      <w:r>
        <w:rPr>
          <w:color w:val="231F20"/>
          <w:spacing w:val="-5"/>
        </w:rPr>
        <w:t> </w:t>
      </w:r>
      <w:r>
        <w:rPr>
          <w:color w:val="231F20"/>
          <w:spacing w:val="-12"/>
        </w:rPr>
        <w:t>lever</w:t>
      </w:r>
      <w:r>
        <w:rPr>
          <w:color w:val="231F20"/>
          <w:spacing w:val="-4"/>
        </w:rPr>
        <w:t> </w:t>
      </w:r>
      <w:r>
        <w:rPr>
          <w:color w:val="231F20"/>
          <w:spacing w:val="-12"/>
        </w:rPr>
        <w:t>le</w:t>
      </w:r>
      <w:r>
        <w:rPr>
          <w:color w:val="231F20"/>
          <w:spacing w:val="-5"/>
        </w:rPr>
        <w:t> </w:t>
      </w:r>
      <w:r>
        <w:rPr>
          <w:color w:val="231F20"/>
          <w:spacing w:val="-12"/>
        </w:rPr>
        <w:t>blocus</w:t>
      </w:r>
      <w:r>
        <w:rPr>
          <w:color w:val="231F20"/>
          <w:spacing w:val="-4"/>
        </w:rPr>
        <w:t> </w:t>
      </w:r>
      <w:r>
        <w:rPr>
          <w:color w:val="231F20"/>
          <w:spacing w:val="-12"/>
        </w:rPr>
        <w:t>économique,</w:t>
      </w:r>
      <w:r>
        <w:rPr>
          <w:color w:val="231F20"/>
          <w:spacing w:val="-5"/>
        </w:rPr>
        <w:t> </w:t>
      </w:r>
      <w:r>
        <w:rPr>
          <w:color w:val="231F20"/>
          <w:spacing w:val="-12"/>
        </w:rPr>
        <w:t>commercial </w:t>
      </w:r>
      <w:r>
        <w:rPr>
          <w:color w:val="231F20"/>
          <w:spacing w:val="-6"/>
        </w:rPr>
        <w:t>et</w:t>
      </w:r>
      <w:r>
        <w:rPr>
          <w:color w:val="231F20"/>
          <w:spacing w:val="-10"/>
        </w:rPr>
        <w:t> </w:t>
      </w:r>
      <w:r>
        <w:rPr>
          <w:color w:val="231F20"/>
          <w:spacing w:val="-6"/>
        </w:rPr>
        <w:t>financier</w:t>
      </w:r>
      <w:r>
        <w:rPr>
          <w:color w:val="231F20"/>
          <w:spacing w:val="-10"/>
        </w:rPr>
        <w:t> </w:t>
      </w:r>
      <w:r>
        <w:rPr>
          <w:color w:val="231F20"/>
          <w:spacing w:val="-6"/>
        </w:rPr>
        <w:t>appliqué</w:t>
      </w:r>
      <w:r>
        <w:rPr>
          <w:color w:val="231F20"/>
          <w:spacing w:val="-10"/>
        </w:rPr>
        <w:t> </w:t>
      </w:r>
      <w:r>
        <w:rPr>
          <w:color w:val="231F20"/>
          <w:spacing w:val="-6"/>
        </w:rPr>
        <w:t>à</w:t>
      </w:r>
      <w:r>
        <w:rPr>
          <w:color w:val="231F20"/>
          <w:spacing w:val="-10"/>
        </w:rPr>
        <w:t> </w:t>
      </w:r>
      <w:r>
        <w:rPr>
          <w:color w:val="231F20"/>
          <w:spacing w:val="-6"/>
        </w:rPr>
        <w:t>Cuba</w:t>
      </w:r>
      <w:r>
        <w:rPr>
          <w:color w:val="231F20"/>
          <w:spacing w:val="-10"/>
        </w:rPr>
        <w:t> </w:t>
      </w:r>
      <w:r>
        <w:rPr>
          <w:color w:val="231F20"/>
          <w:spacing w:val="-6"/>
        </w:rPr>
        <w:t>par</w:t>
      </w:r>
      <w:r>
        <w:rPr>
          <w:color w:val="231F20"/>
          <w:spacing w:val="-10"/>
        </w:rPr>
        <w:t> </w:t>
      </w:r>
      <w:r>
        <w:rPr>
          <w:color w:val="231F20"/>
          <w:spacing w:val="-6"/>
        </w:rPr>
        <w:t>les</w:t>
      </w:r>
      <w:r>
        <w:rPr>
          <w:color w:val="231F20"/>
          <w:spacing w:val="-10"/>
        </w:rPr>
        <w:t> </w:t>
      </w:r>
      <w:r>
        <w:rPr>
          <w:color w:val="231F20"/>
          <w:spacing w:val="-6"/>
        </w:rPr>
        <w:t>États- </w:t>
      </w:r>
      <w:r>
        <w:rPr>
          <w:color w:val="231F20"/>
          <w:spacing w:val="-12"/>
        </w:rPr>
        <w:t>Unis</w:t>
      </w:r>
      <w:r>
        <w:rPr>
          <w:color w:val="231F20"/>
          <w:spacing w:val="-5"/>
        </w:rPr>
        <w:t> </w:t>
      </w:r>
      <w:r>
        <w:rPr>
          <w:color w:val="231F20"/>
          <w:spacing w:val="-12"/>
        </w:rPr>
        <w:t>d’Amérique,</w:t>
      </w:r>
      <w:r>
        <w:rPr>
          <w:color w:val="231F20"/>
          <w:spacing w:val="-4"/>
        </w:rPr>
        <w:t> </w:t>
      </w:r>
      <w:r>
        <w:rPr>
          <w:color w:val="231F20"/>
          <w:spacing w:val="-12"/>
        </w:rPr>
        <w:t>dont</w:t>
      </w:r>
      <w:r>
        <w:rPr>
          <w:color w:val="231F20"/>
          <w:spacing w:val="-5"/>
        </w:rPr>
        <w:t> </w:t>
      </w:r>
      <w:r>
        <w:rPr>
          <w:color w:val="231F20"/>
          <w:spacing w:val="-12"/>
        </w:rPr>
        <w:t>la</w:t>
      </w:r>
      <w:r>
        <w:rPr>
          <w:color w:val="231F20"/>
          <w:spacing w:val="-4"/>
        </w:rPr>
        <w:t> </w:t>
      </w:r>
      <w:r>
        <w:rPr>
          <w:color w:val="231F20"/>
          <w:spacing w:val="-12"/>
        </w:rPr>
        <w:t>mise</w:t>
      </w:r>
      <w:r>
        <w:rPr>
          <w:color w:val="231F20"/>
          <w:spacing w:val="-5"/>
        </w:rPr>
        <w:t> </w:t>
      </w:r>
      <w:r>
        <w:rPr>
          <w:color w:val="231F20"/>
          <w:spacing w:val="-12"/>
        </w:rPr>
        <w:t>en</w:t>
      </w:r>
      <w:r>
        <w:rPr>
          <w:color w:val="231F20"/>
          <w:spacing w:val="-4"/>
        </w:rPr>
        <w:t> </w:t>
      </w:r>
      <w:r>
        <w:rPr>
          <w:color w:val="231F20"/>
          <w:spacing w:val="-12"/>
        </w:rPr>
        <w:t>œuvre</w:t>
      </w:r>
      <w:r>
        <w:rPr>
          <w:color w:val="231F20"/>
          <w:spacing w:val="-5"/>
        </w:rPr>
        <w:t> </w:t>
      </w:r>
      <w:r>
        <w:rPr>
          <w:color w:val="231F20"/>
          <w:spacing w:val="-12"/>
        </w:rPr>
        <w:t>de </w:t>
      </w:r>
      <w:r>
        <w:rPr>
          <w:color w:val="231F20"/>
          <w:spacing w:val="-14"/>
        </w:rPr>
        <w:t>la</w:t>
      </w:r>
      <w:r>
        <w:rPr>
          <w:color w:val="231F20"/>
          <w:spacing w:val="-1"/>
        </w:rPr>
        <w:t> </w:t>
      </w:r>
      <w:r>
        <w:rPr>
          <w:color w:val="231F20"/>
          <w:spacing w:val="-14"/>
        </w:rPr>
        <w:t>Loi</w:t>
      </w:r>
      <w:r>
        <w:rPr>
          <w:color w:val="231F20"/>
          <w:spacing w:val="-1"/>
        </w:rPr>
        <w:t> </w:t>
      </w:r>
      <w:r>
        <w:rPr>
          <w:color w:val="231F20"/>
          <w:spacing w:val="-14"/>
        </w:rPr>
        <w:t>Helms-Burton</w:t>
      </w:r>
      <w:r>
        <w:rPr>
          <w:color w:val="231F20"/>
          <w:spacing w:val="-1"/>
        </w:rPr>
        <w:t> </w:t>
      </w:r>
      <w:r>
        <w:rPr>
          <w:color w:val="231F20"/>
          <w:spacing w:val="-14"/>
        </w:rPr>
        <w:t>»</w:t>
      </w:r>
      <w:r>
        <w:rPr>
          <w:color w:val="231F20"/>
          <w:spacing w:val="-1"/>
        </w:rPr>
        <w:t> </w:t>
      </w:r>
      <w:r>
        <w:rPr>
          <w:color w:val="231F20"/>
          <w:spacing w:val="-14"/>
        </w:rPr>
        <w:t>et</w:t>
      </w:r>
      <w:r>
        <w:rPr>
          <w:color w:val="231F20"/>
          <w:spacing w:val="-1"/>
        </w:rPr>
        <w:t> </w:t>
      </w:r>
      <w:r>
        <w:rPr>
          <w:color w:val="231F20"/>
          <w:spacing w:val="-14"/>
        </w:rPr>
        <w:t>un</w:t>
      </w:r>
      <w:r>
        <w:rPr>
          <w:color w:val="231F20"/>
          <w:spacing w:val="-1"/>
        </w:rPr>
        <w:t> </w:t>
      </w:r>
      <w:r>
        <w:rPr>
          <w:color w:val="231F20"/>
          <w:spacing w:val="-14"/>
        </w:rPr>
        <w:t>«</w:t>
      </w:r>
      <w:r>
        <w:rPr>
          <w:color w:val="231F20"/>
          <w:spacing w:val="-1"/>
        </w:rPr>
        <w:t> </w:t>
      </w:r>
      <w:r>
        <w:rPr>
          <w:color w:val="231F20"/>
          <w:spacing w:val="-14"/>
        </w:rPr>
        <w:t>Communiqué </w:t>
      </w:r>
      <w:r>
        <w:rPr>
          <w:color w:val="231F20"/>
        </w:rPr>
        <w:t>spécial sur l’appui au combat contre le terrorisme sous toutes ses formes et </w:t>
      </w:r>
      <w:r>
        <w:rPr>
          <w:color w:val="231F20"/>
          <w:spacing w:val="-8"/>
        </w:rPr>
        <w:t>manifestations</w:t>
      </w:r>
      <w:r>
        <w:rPr>
          <w:color w:val="231F20"/>
          <w:spacing w:val="-9"/>
        </w:rPr>
        <w:t> </w:t>
      </w:r>
      <w:r>
        <w:rPr>
          <w:color w:val="231F20"/>
          <w:spacing w:val="-8"/>
        </w:rPr>
        <w:t>», dans</w:t>
      </w:r>
      <w:r>
        <w:rPr>
          <w:color w:val="231F20"/>
          <w:spacing w:val="-9"/>
        </w:rPr>
        <w:t> </w:t>
      </w:r>
      <w:r>
        <w:rPr>
          <w:color w:val="231F20"/>
          <w:spacing w:val="-8"/>
        </w:rPr>
        <w:t>laquelle ils</w:t>
      </w:r>
      <w:r>
        <w:rPr>
          <w:color w:val="231F20"/>
          <w:spacing w:val="-9"/>
        </w:rPr>
        <w:t> </w:t>
      </w:r>
      <w:r>
        <w:rPr>
          <w:color w:val="231F20"/>
          <w:spacing w:val="-8"/>
        </w:rPr>
        <w:t>rejettent </w:t>
      </w:r>
      <w:r>
        <w:rPr>
          <w:color w:val="231F20"/>
          <w:spacing w:val="-6"/>
        </w:rPr>
        <w:t>l’inscription</w:t>
      </w:r>
      <w:r>
        <w:rPr>
          <w:color w:val="231F20"/>
          <w:spacing w:val="-11"/>
        </w:rPr>
        <w:t> </w:t>
      </w:r>
      <w:r>
        <w:rPr>
          <w:color w:val="231F20"/>
          <w:spacing w:val="-6"/>
        </w:rPr>
        <w:t>injustifiée</w:t>
      </w:r>
      <w:r>
        <w:rPr>
          <w:color w:val="231F20"/>
          <w:spacing w:val="-10"/>
        </w:rPr>
        <w:t> </w:t>
      </w:r>
      <w:r>
        <w:rPr>
          <w:color w:val="231F20"/>
          <w:spacing w:val="-6"/>
        </w:rPr>
        <w:t>de</w:t>
      </w:r>
      <w:r>
        <w:rPr>
          <w:color w:val="231F20"/>
          <w:spacing w:val="-11"/>
        </w:rPr>
        <w:t> </w:t>
      </w:r>
      <w:r>
        <w:rPr>
          <w:color w:val="231F20"/>
          <w:spacing w:val="-6"/>
        </w:rPr>
        <w:t>Cuba</w:t>
      </w:r>
      <w:r>
        <w:rPr>
          <w:color w:val="231F20"/>
          <w:spacing w:val="-10"/>
        </w:rPr>
        <w:t> </w:t>
      </w:r>
      <w:r>
        <w:rPr>
          <w:color w:val="231F20"/>
          <w:spacing w:val="-6"/>
        </w:rPr>
        <w:t>sur</w:t>
      </w:r>
      <w:r>
        <w:rPr>
          <w:color w:val="231F20"/>
          <w:spacing w:val="-11"/>
        </w:rPr>
        <w:t> </w:t>
      </w:r>
      <w:r>
        <w:rPr>
          <w:color w:val="231F20"/>
          <w:spacing w:val="-6"/>
        </w:rPr>
        <w:t>la</w:t>
      </w:r>
      <w:r>
        <w:rPr>
          <w:color w:val="231F20"/>
          <w:spacing w:val="-10"/>
        </w:rPr>
        <w:t> </w:t>
      </w:r>
      <w:r>
        <w:rPr>
          <w:color w:val="231F20"/>
          <w:spacing w:val="-6"/>
        </w:rPr>
        <w:t>Liste </w:t>
      </w:r>
      <w:r>
        <w:rPr>
          <w:color w:val="231F20"/>
          <w:spacing w:val="-2"/>
        </w:rPr>
        <w:t>des</w:t>
      </w:r>
      <w:r>
        <w:rPr>
          <w:color w:val="231F20"/>
          <w:spacing w:val="-15"/>
        </w:rPr>
        <w:t> </w:t>
      </w:r>
      <w:r>
        <w:rPr>
          <w:color w:val="231F20"/>
          <w:spacing w:val="-2"/>
        </w:rPr>
        <w:t>États</w:t>
      </w:r>
      <w:r>
        <w:rPr>
          <w:color w:val="231F20"/>
          <w:spacing w:val="-14"/>
        </w:rPr>
        <w:t> </w:t>
      </w:r>
      <w:r>
        <w:rPr>
          <w:color w:val="231F20"/>
          <w:spacing w:val="-2"/>
        </w:rPr>
        <w:t>censément</w:t>
      </w:r>
      <w:r>
        <w:rPr>
          <w:color w:val="231F20"/>
          <w:spacing w:val="-15"/>
        </w:rPr>
        <w:t> </w:t>
      </w:r>
      <w:r>
        <w:rPr>
          <w:color w:val="231F20"/>
          <w:spacing w:val="-2"/>
        </w:rPr>
        <w:t>commanditaires</w:t>
      </w:r>
      <w:r>
        <w:rPr>
          <w:color w:val="231F20"/>
          <w:spacing w:val="-14"/>
        </w:rPr>
        <w:t> </w:t>
      </w:r>
      <w:r>
        <w:rPr>
          <w:color w:val="231F20"/>
          <w:spacing w:val="-2"/>
        </w:rPr>
        <w:t>de </w:t>
      </w:r>
      <w:r>
        <w:rPr>
          <w:color w:val="231F20"/>
        </w:rPr>
        <w:t>terrorisme international et demandent qu’elle</w:t>
      </w:r>
      <w:r>
        <w:rPr>
          <w:color w:val="231F20"/>
          <w:spacing w:val="-20"/>
        </w:rPr>
        <w:t> </w:t>
      </w:r>
      <w:r>
        <w:rPr>
          <w:color w:val="231F20"/>
        </w:rPr>
        <w:t>en</w:t>
      </w:r>
      <w:r>
        <w:rPr>
          <w:color w:val="231F20"/>
          <w:spacing w:val="-20"/>
        </w:rPr>
        <w:t> </w:t>
      </w:r>
      <w:r>
        <w:rPr>
          <w:color w:val="231F20"/>
        </w:rPr>
        <w:t>soit</w:t>
      </w:r>
      <w:r>
        <w:rPr>
          <w:color w:val="231F20"/>
          <w:spacing w:val="-20"/>
        </w:rPr>
        <w:t> </w:t>
      </w:r>
      <w:r>
        <w:rPr>
          <w:color w:val="231F20"/>
        </w:rPr>
        <w:t>radiée.</w:t>
      </w:r>
    </w:p>
    <w:p>
      <w:pPr>
        <w:pStyle w:val="BodyText"/>
        <w:spacing w:before="172"/>
        <w:ind w:left="1734"/>
      </w:pPr>
      <w:r>
        <w:rPr/>
        <mc:AlternateContent>
          <mc:Choice Requires="wps">
            <w:drawing>
              <wp:anchor distT="0" distB="0" distL="0" distR="0" allowOverlap="1" layoutInCell="1" locked="0" behindDoc="0" simplePos="0" relativeHeight="15856640">
                <wp:simplePos x="0" y="0"/>
                <wp:positionH relativeFrom="page">
                  <wp:posOffset>935997</wp:posOffset>
                </wp:positionH>
                <wp:positionV relativeFrom="paragraph">
                  <wp:posOffset>193280</wp:posOffset>
                </wp:positionV>
                <wp:extent cx="59690" cy="59690"/>
                <wp:effectExtent l="0" t="0" r="0" b="0"/>
                <wp:wrapNone/>
                <wp:docPr id="544" name="Graphic 544"/>
                <wp:cNvGraphicFramePr>
                  <a:graphicFrameLocks/>
                </wp:cNvGraphicFramePr>
                <a:graphic>
                  <a:graphicData uri="http://schemas.microsoft.com/office/word/2010/wordprocessingShape">
                    <wps:wsp>
                      <wps:cNvPr id="544" name="Graphic 544"/>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73.7006pt;margin-top:15.218925pt;width:4.7pt;height:4.7pt;mso-position-horizontal-relative:page;mso-position-vertical-relative:paragraph;z-index:15856640" id="docshape431" coordorigin="1474,304" coordsize="94,94" path="m1521,304l1502,308,1488,318,1478,333,1474,351,1478,369,1488,384,1502,394,1521,398,1539,394,1554,384,1564,369,1567,351,1564,333,1554,318,1539,308,1521,304xe" filled="true" fillcolor="#1a4796" stroked="false">
                <v:path arrowok="t"/>
                <v:fill type="solid"/>
                <w10:wrap type="none"/>
              </v:shape>
            </w:pict>
          </mc:Fallback>
        </mc:AlternateContent>
      </w:r>
      <w:r>
        <w:rPr>
          <w:b/>
          <w:color w:val="1A4796"/>
        </w:rPr>
        <w:t>2 mai 2023. </w:t>
      </w:r>
      <w:r>
        <w:rPr>
          <w:color w:val="231F20"/>
        </w:rPr>
        <w:t>Plus de 271 organisations politiques, syndicales et sociales de 58 </w:t>
      </w:r>
      <w:r>
        <w:rPr>
          <w:color w:val="231F20"/>
          <w:spacing w:val="-4"/>
        </w:rPr>
        <w:t>pays</w:t>
      </w:r>
      <w:r>
        <w:rPr>
          <w:color w:val="231F20"/>
          <w:spacing w:val="-13"/>
        </w:rPr>
        <w:t> </w:t>
      </w:r>
      <w:r>
        <w:rPr>
          <w:color w:val="231F20"/>
          <w:spacing w:val="-4"/>
        </w:rPr>
        <w:t>réunies</w:t>
      </w:r>
      <w:r>
        <w:rPr>
          <w:color w:val="231F20"/>
          <w:spacing w:val="-12"/>
        </w:rPr>
        <w:t> </w:t>
      </w:r>
      <w:r>
        <w:rPr>
          <w:color w:val="231F20"/>
          <w:spacing w:val="-4"/>
        </w:rPr>
        <w:t>à</w:t>
      </w:r>
      <w:r>
        <w:rPr>
          <w:color w:val="231F20"/>
          <w:spacing w:val="-13"/>
        </w:rPr>
        <w:t> </w:t>
      </w:r>
      <w:r>
        <w:rPr>
          <w:color w:val="231F20"/>
          <w:spacing w:val="-4"/>
        </w:rPr>
        <w:t>La</w:t>
      </w:r>
      <w:r>
        <w:rPr>
          <w:color w:val="231F20"/>
          <w:spacing w:val="-12"/>
        </w:rPr>
        <w:t> </w:t>
      </w:r>
      <w:r>
        <w:rPr>
          <w:color w:val="231F20"/>
          <w:spacing w:val="-4"/>
        </w:rPr>
        <w:t>Havane</w:t>
      </w:r>
      <w:r>
        <w:rPr>
          <w:color w:val="231F20"/>
          <w:spacing w:val="-13"/>
        </w:rPr>
        <w:t> </w:t>
      </w:r>
      <w:r>
        <w:rPr>
          <w:color w:val="231F20"/>
          <w:spacing w:val="-4"/>
        </w:rPr>
        <w:t>aux</w:t>
      </w:r>
      <w:r>
        <w:rPr>
          <w:color w:val="231F20"/>
          <w:spacing w:val="-12"/>
        </w:rPr>
        <w:t> </w:t>
      </w:r>
      <w:r>
        <w:rPr>
          <w:color w:val="231F20"/>
          <w:spacing w:val="-4"/>
        </w:rPr>
        <w:t>Rencontres </w:t>
      </w:r>
      <w:r>
        <w:rPr>
          <w:color w:val="231F20"/>
        </w:rPr>
        <w:t>internationales</w:t>
      </w:r>
      <w:r>
        <w:rPr>
          <w:color w:val="231F20"/>
          <w:spacing w:val="-5"/>
        </w:rPr>
        <w:t> </w:t>
      </w:r>
      <w:r>
        <w:rPr>
          <w:color w:val="231F20"/>
        </w:rPr>
        <w:t>de</w:t>
      </w:r>
      <w:r>
        <w:rPr>
          <w:color w:val="231F20"/>
          <w:spacing w:val="-5"/>
        </w:rPr>
        <w:t> </w:t>
      </w:r>
      <w:r>
        <w:rPr>
          <w:color w:val="231F20"/>
        </w:rPr>
        <w:t>solidarité</w:t>
      </w:r>
      <w:r>
        <w:rPr>
          <w:color w:val="231F20"/>
          <w:spacing w:val="-5"/>
        </w:rPr>
        <w:t> </w:t>
      </w:r>
      <w:r>
        <w:rPr>
          <w:color w:val="231F20"/>
        </w:rPr>
        <w:t>avec</w:t>
      </w:r>
      <w:r>
        <w:rPr>
          <w:color w:val="231F20"/>
          <w:spacing w:val="-5"/>
        </w:rPr>
        <w:t> </w:t>
      </w:r>
      <w:r>
        <w:rPr>
          <w:color w:val="231F20"/>
        </w:rPr>
        <w:t>Cuba, émettent une Déclaration finale dans laquelle elles exigent que Cuba soit </w:t>
      </w:r>
      <w:r>
        <w:rPr>
          <w:color w:val="231F20"/>
          <w:spacing w:val="-10"/>
        </w:rPr>
        <w:t>immédiatement</w:t>
      </w:r>
      <w:r>
        <w:rPr>
          <w:color w:val="231F20"/>
          <w:spacing w:val="-7"/>
        </w:rPr>
        <w:t> </w:t>
      </w:r>
      <w:r>
        <w:rPr>
          <w:color w:val="231F20"/>
          <w:spacing w:val="-10"/>
        </w:rPr>
        <w:t>radiée</w:t>
      </w:r>
      <w:r>
        <w:rPr>
          <w:color w:val="231F20"/>
          <w:spacing w:val="-6"/>
        </w:rPr>
        <w:t> </w:t>
      </w:r>
      <w:r>
        <w:rPr>
          <w:color w:val="231F20"/>
          <w:spacing w:val="-10"/>
        </w:rPr>
        <w:t>de</w:t>
      </w:r>
      <w:r>
        <w:rPr>
          <w:color w:val="231F20"/>
          <w:spacing w:val="-7"/>
        </w:rPr>
        <w:t> </w:t>
      </w:r>
      <w:r>
        <w:rPr>
          <w:color w:val="231F20"/>
          <w:spacing w:val="-10"/>
        </w:rPr>
        <w:t>la</w:t>
      </w:r>
      <w:r>
        <w:rPr>
          <w:color w:val="231F20"/>
          <w:spacing w:val="-6"/>
        </w:rPr>
        <w:t> </w:t>
      </w:r>
      <w:r>
        <w:rPr>
          <w:color w:val="231F20"/>
          <w:spacing w:val="-10"/>
        </w:rPr>
        <w:t>Liste</w:t>
      </w:r>
      <w:r>
        <w:rPr>
          <w:color w:val="231F20"/>
          <w:spacing w:val="-7"/>
        </w:rPr>
        <w:t> </w:t>
      </w:r>
      <w:r>
        <w:rPr>
          <w:color w:val="231F20"/>
          <w:spacing w:val="-10"/>
        </w:rPr>
        <w:t>des</w:t>
      </w:r>
      <w:r>
        <w:rPr>
          <w:color w:val="231F20"/>
          <w:spacing w:val="-6"/>
        </w:rPr>
        <w:t> </w:t>
      </w:r>
      <w:r>
        <w:rPr>
          <w:color w:val="231F20"/>
          <w:spacing w:val="-10"/>
        </w:rPr>
        <w:t>États </w:t>
      </w:r>
      <w:r>
        <w:rPr>
          <w:color w:val="231F20"/>
          <w:spacing w:val="-6"/>
        </w:rPr>
        <w:t>censément</w:t>
      </w:r>
      <w:r>
        <w:rPr>
          <w:color w:val="231F20"/>
          <w:spacing w:val="-19"/>
        </w:rPr>
        <w:t> </w:t>
      </w:r>
      <w:r>
        <w:rPr>
          <w:color w:val="231F20"/>
          <w:spacing w:val="-6"/>
        </w:rPr>
        <w:t>commanditaires</w:t>
      </w:r>
      <w:r>
        <w:rPr>
          <w:color w:val="231F20"/>
          <w:spacing w:val="-17"/>
        </w:rPr>
        <w:t> </w:t>
      </w:r>
      <w:r>
        <w:rPr>
          <w:color w:val="231F20"/>
          <w:spacing w:val="-6"/>
        </w:rPr>
        <w:t>de</w:t>
      </w:r>
      <w:r>
        <w:rPr>
          <w:color w:val="231F20"/>
          <w:spacing w:val="-16"/>
        </w:rPr>
        <w:t> </w:t>
      </w:r>
      <w:r>
        <w:rPr>
          <w:color w:val="231F20"/>
          <w:spacing w:val="-6"/>
        </w:rPr>
        <w:t>terrorisme</w:t>
      </w:r>
    </w:p>
    <w:p>
      <w:pPr>
        <w:pStyle w:val="BodyText"/>
        <w:spacing w:before="77"/>
        <w:ind w:left="676" w:right="1135"/>
      </w:pPr>
      <w:r>
        <w:rPr/>
        <w:br w:type="column"/>
      </w:r>
      <w:r>
        <w:rPr>
          <w:color w:val="231F20"/>
          <w:spacing w:val="-4"/>
        </w:rPr>
        <w:t>international</w:t>
      </w:r>
      <w:r>
        <w:rPr>
          <w:color w:val="231F20"/>
          <w:spacing w:val="-13"/>
        </w:rPr>
        <w:t> </w:t>
      </w:r>
      <w:r>
        <w:rPr>
          <w:color w:val="231F20"/>
          <w:spacing w:val="-4"/>
        </w:rPr>
        <w:t>dressée</w:t>
      </w:r>
      <w:r>
        <w:rPr>
          <w:color w:val="231F20"/>
          <w:spacing w:val="-12"/>
        </w:rPr>
        <w:t> </w:t>
      </w:r>
      <w:r>
        <w:rPr>
          <w:color w:val="231F20"/>
          <w:spacing w:val="-4"/>
        </w:rPr>
        <w:t>par</w:t>
      </w:r>
      <w:r>
        <w:rPr>
          <w:color w:val="231F20"/>
          <w:spacing w:val="-13"/>
        </w:rPr>
        <w:t> </w:t>
      </w:r>
      <w:r>
        <w:rPr>
          <w:color w:val="231F20"/>
          <w:spacing w:val="-4"/>
        </w:rPr>
        <w:t>l’administration </w:t>
      </w:r>
      <w:r>
        <w:rPr>
          <w:color w:val="231F20"/>
        </w:rPr>
        <w:t>étasunienne d’une manière unilatérale, illégale et immorale, et conviennent de se</w:t>
      </w:r>
      <w:r>
        <w:rPr>
          <w:color w:val="231F20"/>
          <w:spacing w:val="-6"/>
        </w:rPr>
        <w:t> </w:t>
      </w:r>
      <w:r>
        <w:rPr>
          <w:color w:val="231F20"/>
        </w:rPr>
        <w:t>mobiliser</w:t>
      </w:r>
      <w:r>
        <w:rPr>
          <w:color w:val="231F20"/>
          <w:spacing w:val="-6"/>
        </w:rPr>
        <w:t> </w:t>
      </w:r>
      <w:r>
        <w:rPr>
          <w:color w:val="231F20"/>
        </w:rPr>
        <w:t>sur</w:t>
      </w:r>
      <w:r>
        <w:rPr>
          <w:color w:val="231F20"/>
          <w:spacing w:val="-6"/>
        </w:rPr>
        <w:t> </w:t>
      </w:r>
      <w:r>
        <w:rPr>
          <w:color w:val="231F20"/>
        </w:rPr>
        <w:t>les</w:t>
      </w:r>
      <w:r>
        <w:rPr>
          <w:color w:val="231F20"/>
          <w:spacing w:val="-6"/>
        </w:rPr>
        <w:t> </w:t>
      </w:r>
      <w:r>
        <w:rPr>
          <w:color w:val="231F20"/>
        </w:rPr>
        <w:t>cinq</w:t>
      </w:r>
      <w:r>
        <w:rPr>
          <w:color w:val="231F20"/>
          <w:spacing w:val="-6"/>
        </w:rPr>
        <w:t> </w:t>
      </w:r>
      <w:r>
        <w:rPr>
          <w:color w:val="231F20"/>
        </w:rPr>
        <w:t>continent</w:t>
      </w:r>
      <w:r>
        <w:rPr>
          <w:color w:val="231F20"/>
          <w:spacing w:val="-6"/>
        </w:rPr>
        <w:t> </w:t>
      </w:r>
      <w:r>
        <w:rPr>
          <w:color w:val="231F20"/>
        </w:rPr>
        <w:t>pour </w:t>
      </w:r>
      <w:r>
        <w:rPr>
          <w:color w:val="231F20"/>
          <w:spacing w:val="-2"/>
        </w:rPr>
        <w:t>la</w:t>
      </w:r>
      <w:r>
        <w:rPr>
          <w:color w:val="231F20"/>
          <w:spacing w:val="-12"/>
        </w:rPr>
        <w:t> </w:t>
      </w:r>
      <w:r>
        <w:rPr>
          <w:color w:val="231F20"/>
          <w:spacing w:val="-2"/>
        </w:rPr>
        <w:t>levée</w:t>
      </w:r>
      <w:r>
        <w:rPr>
          <w:color w:val="231F20"/>
          <w:spacing w:val="-12"/>
        </w:rPr>
        <w:t> </w:t>
      </w:r>
      <w:r>
        <w:rPr>
          <w:color w:val="231F20"/>
          <w:spacing w:val="-2"/>
        </w:rPr>
        <w:t>du</w:t>
      </w:r>
      <w:r>
        <w:rPr>
          <w:color w:val="231F20"/>
          <w:spacing w:val="-12"/>
        </w:rPr>
        <w:t> </w:t>
      </w:r>
      <w:r>
        <w:rPr>
          <w:color w:val="231F20"/>
          <w:spacing w:val="-2"/>
        </w:rPr>
        <w:t>blocus</w:t>
      </w:r>
      <w:r>
        <w:rPr>
          <w:color w:val="231F20"/>
          <w:spacing w:val="-12"/>
        </w:rPr>
        <w:t> </w:t>
      </w:r>
      <w:r>
        <w:rPr>
          <w:color w:val="231F20"/>
          <w:spacing w:val="-2"/>
        </w:rPr>
        <w:t>qui,</w:t>
      </w:r>
      <w:r>
        <w:rPr>
          <w:color w:val="231F20"/>
          <w:spacing w:val="-12"/>
        </w:rPr>
        <w:t> </w:t>
      </w:r>
      <w:r>
        <w:rPr>
          <w:color w:val="231F20"/>
          <w:spacing w:val="-2"/>
        </w:rPr>
        <w:t>récemment</w:t>
      </w:r>
      <w:r>
        <w:rPr>
          <w:color w:val="231F20"/>
          <w:spacing w:val="-12"/>
        </w:rPr>
        <w:t> </w:t>
      </w:r>
      <w:r>
        <w:rPr>
          <w:color w:val="231F20"/>
          <w:spacing w:val="-2"/>
        </w:rPr>
        <w:t>durci, porte</w:t>
      </w:r>
      <w:r>
        <w:rPr>
          <w:color w:val="231F20"/>
          <w:spacing w:val="-15"/>
        </w:rPr>
        <w:t> </w:t>
      </w:r>
      <w:r>
        <w:rPr>
          <w:color w:val="231F20"/>
          <w:spacing w:val="-2"/>
        </w:rPr>
        <w:t>préjudice</w:t>
      </w:r>
      <w:r>
        <w:rPr>
          <w:color w:val="231F20"/>
          <w:spacing w:val="-14"/>
        </w:rPr>
        <w:t> </w:t>
      </w:r>
      <w:r>
        <w:rPr>
          <w:color w:val="231F20"/>
          <w:spacing w:val="-2"/>
        </w:rPr>
        <w:t>au</w:t>
      </w:r>
      <w:r>
        <w:rPr>
          <w:color w:val="231F20"/>
          <w:spacing w:val="-15"/>
        </w:rPr>
        <w:t> </w:t>
      </w:r>
      <w:r>
        <w:rPr>
          <w:color w:val="231F20"/>
          <w:spacing w:val="-2"/>
        </w:rPr>
        <w:t>développement</w:t>
      </w:r>
      <w:r>
        <w:rPr>
          <w:color w:val="231F20"/>
          <w:spacing w:val="-14"/>
        </w:rPr>
        <w:t> </w:t>
      </w:r>
      <w:r>
        <w:rPr>
          <w:color w:val="231F20"/>
          <w:spacing w:val="-2"/>
        </w:rPr>
        <w:t>et</w:t>
      </w:r>
      <w:r>
        <w:rPr>
          <w:color w:val="231F20"/>
          <w:spacing w:val="-15"/>
        </w:rPr>
        <w:t> </w:t>
      </w:r>
      <w:r>
        <w:rPr>
          <w:color w:val="231F20"/>
          <w:spacing w:val="-2"/>
        </w:rPr>
        <w:t>au </w:t>
      </w:r>
      <w:r>
        <w:rPr>
          <w:color w:val="231F20"/>
        </w:rPr>
        <w:t>bien-être du peuple cubain.</w:t>
      </w:r>
    </w:p>
    <w:p>
      <w:pPr>
        <w:pStyle w:val="BodyText"/>
        <w:spacing w:before="165"/>
        <w:ind w:left="676" w:right="1136"/>
      </w:pPr>
      <w:r>
        <w:rPr/>
        <mc:AlternateContent>
          <mc:Choice Requires="wps">
            <w:drawing>
              <wp:anchor distT="0" distB="0" distL="0" distR="0" allowOverlap="1" layoutInCell="1" locked="0" behindDoc="0" simplePos="0" relativeHeight="15858176">
                <wp:simplePos x="0" y="0"/>
                <wp:positionH relativeFrom="page">
                  <wp:posOffset>4031997</wp:posOffset>
                </wp:positionH>
                <wp:positionV relativeFrom="paragraph">
                  <wp:posOffset>188772</wp:posOffset>
                </wp:positionV>
                <wp:extent cx="59690" cy="59690"/>
                <wp:effectExtent l="0" t="0" r="0" b="0"/>
                <wp:wrapNone/>
                <wp:docPr id="545" name="Graphic 545"/>
                <wp:cNvGraphicFramePr>
                  <a:graphicFrameLocks/>
                </wp:cNvGraphicFramePr>
                <a:graphic>
                  <a:graphicData uri="http://schemas.microsoft.com/office/word/2010/wordprocessingShape">
                    <wps:wsp>
                      <wps:cNvPr id="545" name="Graphic 545"/>
                      <wps:cNvSpPr/>
                      <wps:spPr>
                        <a:xfrm>
                          <a:off x="0" y="0"/>
                          <a:ext cx="59690" cy="59690"/>
                        </a:xfrm>
                        <a:custGeom>
                          <a:avLst/>
                          <a:gdLst/>
                          <a:ahLst/>
                          <a:cxnLst/>
                          <a:rect l="l" t="t" r="r" b="b"/>
                          <a:pathLst>
                            <a:path w="59690" h="59690">
                              <a:moveTo>
                                <a:pt x="29603" y="0"/>
                              </a:moveTo>
                              <a:lnTo>
                                <a:pt x="18082" y="2327"/>
                              </a:lnTo>
                              <a:lnTo>
                                <a:pt x="8672" y="8672"/>
                              </a:lnTo>
                              <a:lnTo>
                                <a:pt x="2327" y="18082"/>
                              </a:lnTo>
                              <a:lnTo>
                                <a:pt x="0" y="29603"/>
                              </a:lnTo>
                              <a:lnTo>
                                <a:pt x="2327" y="41124"/>
                              </a:lnTo>
                              <a:lnTo>
                                <a:pt x="8672" y="50534"/>
                              </a:lnTo>
                              <a:lnTo>
                                <a:pt x="18082" y="56880"/>
                              </a:lnTo>
                              <a:lnTo>
                                <a:pt x="29603" y="59207"/>
                              </a:lnTo>
                              <a:lnTo>
                                <a:pt x="41124" y="56880"/>
                              </a:lnTo>
                              <a:lnTo>
                                <a:pt x="50534" y="50534"/>
                              </a:lnTo>
                              <a:lnTo>
                                <a:pt x="56880" y="41124"/>
                              </a:lnTo>
                              <a:lnTo>
                                <a:pt x="59207" y="29603"/>
                              </a:lnTo>
                              <a:lnTo>
                                <a:pt x="56880" y="18082"/>
                              </a:lnTo>
                              <a:lnTo>
                                <a:pt x="50534" y="8672"/>
                              </a:lnTo>
                              <a:lnTo>
                                <a:pt x="41124" y="2327"/>
                              </a:lnTo>
                              <a:lnTo>
                                <a:pt x="29603"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shape style="position:absolute;margin-left:317.480103pt;margin-top:14.863937pt;width:4.7pt;height:4.7pt;mso-position-horizontal-relative:page;mso-position-vertical-relative:paragraph;z-index:15858176" id="docshape432" coordorigin="6350,297" coordsize="94,94" path="m6396,297l6378,301,6363,311,6353,326,6350,344,6353,362,6363,377,6378,387,6396,391,6414,387,6429,377,6439,362,6443,344,6439,326,6429,311,6414,301,6396,297xe" filled="true" fillcolor="#1a4796" stroked="false">
                <v:path arrowok="t"/>
                <v:fill type="solid"/>
                <w10:wrap type="none"/>
              </v:shape>
            </w:pict>
          </mc:Fallback>
        </mc:AlternateContent>
      </w:r>
      <w:r>
        <w:rPr>
          <w:b/>
          <w:color w:val="1A4796"/>
        </w:rPr>
        <w:t>12</w:t>
      </w:r>
      <w:r>
        <w:rPr>
          <w:b/>
          <w:color w:val="1A4796"/>
          <w:spacing w:val="-17"/>
        </w:rPr>
        <w:t> </w:t>
      </w:r>
      <w:r>
        <w:rPr>
          <w:b/>
          <w:color w:val="1A4796"/>
        </w:rPr>
        <w:t>mai</w:t>
      </w:r>
      <w:r>
        <w:rPr>
          <w:b/>
          <w:color w:val="1A4796"/>
          <w:spacing w:val="-17"/>
        </w:rPr>
        <w:t> </w:t>
      </w:r>
      <w:r>
        <w:rPr>
          <w:b/>
          <w:color w:val="1A4796"/>
        </w:rPr>
        <w:t>2023.</w:t>
      </w:r>
      <w:r>
        <w:rPr>
          <w:b/>
          <w:color w:val="1A4796"/>
          <w:spacing w:val="-16"/>
        </w:rPr>
        <w:t> </w:t>
      </w:r>
      <w:r>
        <w:rPr>
          <w:color w:val="231F20"/>
        </w:rPr>
        <w:t>À</w:t>
      </w:r>
      <w:r>
        <w:rPr>
          <w:color w:val="231F20"/>
          <w:spacing w:val="-17"/>
        </w:rPr>
        <w:t> </w:t>
      </w:r>
      <w:r>
        <w:rPr>
          <w:color w:val="231F20"/>
        </w:rPr>
        <w:t>son</w:t>
      </w:r>
      <w:r>
        <w:rPr>
          <w:color w:val="231F20"/>
          <w:spacing w:val="-16"/>
        </w:rPr>
        <w:t> </w:t>
      </w:r>
      <w:r>
        <w:rPr>
          <w:color w:val="231F20"/>
        </w:rPr>
        <w:t>Neuvième</w:t>
      </w:r>
      <w:r>
        <w:rPr>
          <w:color w:val="231F20"/>
          <w:spacing w:val="-16"/>
        </w:rPr>
        <w:t> </w:t>
      </w:r>
      <w:r>
        <w:rPr>
          <w:color w:val="231F20"/>
        </w:rPr>
        <w:t>Sommet, l’Association des États des Caraïbes (AEC)</w:t>
      </w:r>
      <w:r>
        <w:rPr>
          <w:color w:val="231F20"/>
          <w:spacing w:val="-17"/>
        </w:rPr>
        <w:t> </w:t>
      </w:r>
      <w:r>
        <w:rPr>
          <w:color w:val="231F20"/>
        </w:rPr>
        <w:t>demande</w:t>
      </w:r>
      <w:r>
        <w:rPr>
          <w:color w:val="231F20"/>
          <w:spacing w:val="-16"/>
        </w:rPr>
        <w:t> </w:t>
      </w:r>
      <w:r>
        <w:rPr>
          <w:color w:val="231F20"/>
        </w:rPr>
        <w:t>aux</w:t>
      </w:r>
      <w:r>
        <w:rPr>
          <w:color w:val="231F20"/>
          <w:spacing w:val="-17"/>
        </w:rPr>
        <w:t> </w:t>
      </w:r>
      <w:r>
        <w:rPr>
          <w:color w:val="231F20"/>
        </w:rPr>
        <w:t>États-Unis</w:t>
      </w:r>
      <w:r>
        <w:rPr>
          <w:color w:val="231F20"/>
          <w:spacing w:val="-16"/>
        </w:rPr>
        <w:t> </w:t>
      </w:r>
      <w:r>
        <w:rPr>
          <w:color w:val="231F20"/>
        </w:rPr>
        <w:t>de</w:t>
      </w:r>
      <w:r>
        <w:rPr>
          <w:color w:val="231F20"/>
          <w:spacing w:val="-17"/>
        </w:rPr>
        <w:t> </w:t>
      </w:r>
      <w:r>
        <w:rPr>
          <w:color w:val="231F20"/>
        </w:rPr>
        <w:t>radier Cuba de la Liste illégitime des États </w:t>
      </w:r>
      <w:r>
        <w:rPr>
          <w:color w:val="231F20"/>
          <w:spacing w:val="-8"/>
        </w:rPr>
        <w:t>censément commanditaires de terrorisme </w:t>
      </w:r>
      <w:r>
        <w:rPr>
          <w:color w:val="231F20"/>
        </w:rPr>
        <w:t>international</w:t>
      </w:r>
      <w:r>
        <w:rPr>
          <w:color w:val="231F20"/>
          <w:spacing w:val="-5"/>
        </w:rPr>
        <w:t> </w:t>
      </w:r>
      <w:r>
        <w:rPr>
          <w:color w:val="231F20"/>
        </w:rPr>
        <w:t>et</w:t>
      </w:r>
      <w:r>
        <w:rPr>
          <w:color w:val="231F20"/>
          <w:spacing w:val="-5"/>
        </w:rPr>
        <w:t> </w:t>
      </w:r>
      <w:r>
        <w:rPr>
          <w:color w:val="231F20"/>
        </w:rPr>
        <w:t>de</w:t>
      </w:r>
      <w:r>
        <w:rPr>
          <w:color w:val="231F20"/>
          <w:spacing w:val="-5"/>
        </w:rPr>
        <w:t> </w:t>
      </w:r>
      <w:r>
        <w:rPr>
          <w:color w:val="231F20"/>
        </w:rPr>
        <w:t>lever</w:t>
      </w:r>
      <w:r>
        <w:rPr>
          <w:color w:val="231F20"/>
          <w:spacing w:val="-5"/>
        </w:rPr>
        <w:t> </w:t>
      </w:r>
      <w:r>
        <w:rPr>
          <w:color w:val="231F20"/>
        </w:rPr>
        <w:t>le</w:t>
      </w:r>
      <w:r>
        <w:rPr>
          <w:color w:val="231F20"/>
          <w:spacing w:val="-5"/>
        </w:rPr>
        <w:t> </w:t>
      </w:r>
      <w:r>
        <w:rPr>
          <w:color w:val="231F20"/>
        </w:rPr>
        <w:t>blocus.</w:t>
      </w:r>
    </w:p>
    <w:p>
      <w:pPr>
        <w:pStyle w:val="BodyText"/>
        <w:spacing w:before="209"/>
        <w:jc w:val="left"/>
        <w:rPr>
          <w:sz w:val="20"/>
        </w:rPr>
      </w:pPr>
      <w:r>
        <w:rPr/>
        <mc:AlternateContent>
          <mc:Choice Requires="wps">
            <w:drawing>
              <wp:anchor distT="0" distB="0" distL="0" distR="0" allowOverlap="1" layoutInCell="1" locked="0" behindDoc="1" simplePos="0" relativeHeight="487715328">
                <wp:simplePos x="0" y="0"/>
                <wp:positionH relativeFrom="page">
                  <wp:posOffset>5715368</wp:posOffset>
                </wp:positionH>
                <wp:positionV relativeFrom="paragraph">
                  <wp:posOffset>317345</wp:posOffset>
                </wp:positionV>
                <wp:extent cx="909319" cy="26034"/>
                <wp:effectExtent l="0" t="0" r="0" b="0"/>
                <wp:wrapTopAndBottom/>
                <wp:docPr id="546" name="Graphic 546"/>
                <wp:cNvGraphicFramePr>
                  <a:graphicFrameLocks/>
                </wp:cNvGraphicFramePr>
                <a:graphic>
                  <a:graphicData uri="http://schemas.microsoft.com/office/word/2010/wordprocessingShape">
                    <wps:wsp>
                      <wps:cNvPr id="546" name="Graphic 546"/>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1F4282"/>
                        </a:solidFill>
                      </wps:spPr>
                      <wps:bodyPr wrap="square" lIns="0" tIns="0" rIns="0" bIns="0" rtlCol="0">
                        <a:prstTxWarp prst="textNoShape">
                          <a:avLst/>
                        </a:prstTxWarp>
                        <a:noAutofit/>
                      </wps:bodyPr>
                    </wps:wsp>
                  </a:graphicData>
                </a:graphic>
              </wp:anchor>
            </w:drawing>
          </mc:Choice>
          <mc:Fallback>
            <w:pict>
              <v:rect style="position:absolute;margin-left:450.028992pt;margin-top:24.987812pt;width:71.584pt;height:2.021pt;mso-position-horizontal-relative:page;mso-position-vertical-relative:paragraph;z-index:-15601152;mso-wrap-distance-left:0;mso-wrap-distance-right:0" id="docshape433" filled="true" fillcolor="#1f4282" stroked="false">
                <v:fill type="solid"/>
                <w10:wrap type="topAndBottom"/>
              </v:rect>
            </w:pict>
          </mc:Fallback>
        </mc:AlternateContent>
      </w:r>
    </w:p>
    <w:p>
      <w:pPr>
        <w:spacing w:after="0"/>
        <w:jc w:val="left"/>
        <w:rPr>
          <w:sz w:val="20"/>
        </w:rPr>
        <w:sectPr>
          <w:pgSz w:w="11910" w:h="16840"/>
          <w:pgMar w:header="0" w:footer="695" w:top="1260" w:bottom="880" w:left="0" w:right="0"/>
          <w:cols w:num="2" w:equalWidth="0">
            <w:col w:w="5895" w:space="40"/>
            <w:col w:w="5975"/>
          </w:cols>
        </w:sectPr>
      </w:pPr>
    </w:p>
    <w:p>
      <w:pPr>
        <w:pStyle w:val="Heading1"/>
        <w:spacing w:before="154"/>
        <w:ind w:left="1105"/>
      </w:pPr>
      <w:r>
        <w:rPr>
          <w:color w:val="1A4796"/>
          <w:spacing w:val="-2"/>
          <w:w w:val="115"/>
        </w:rPr>
        <w:t>Conclusions</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717888">
                <wp:simplePos x="0" y="0"/>
                <wp:positionH relativeFrom="page">
                  <wp:posOffset>720001</wp:posOffset>
                </wp:positionH>
                <wp:positionV relativeFrom="paragraph">
                  <wp:posOffset>288395</wp:posOffset>
                </wp:positionV>
                <wp:extent cx="909319" cy="26034"/>
                <wp:effectExtent l="0" t="0" r="0" b="0"/>
                <wp:wrapTopAndBottom/>
                <wp:docPr id="547" name="Graphic 547"/>
                <wp:cNvGraphicFramePr>
                  <a:graphicFrameLocks/>
                </wp:cNvGraphicFramePr>
                <a:graphic>
                  <a:graphicData uri="http://schemas.microsoft.com/office/word/2010/wordprocessingShape">
                    <wps:wsp>
                      <wps:cNvPr id="547" name="Graphic 547"/>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56.693001pt;margin-top:22.708281pt;width:71.584pt;height:2.021pt;mso-position-horizontal-relative:page;mso-position-vertical-relative:paragraph;z-index:-15598592;mso-wrap-distance-left:0;mso-wrap-distance-right:0" id="docshape434" filled="true" fillcolor="#b52628" stroked="false">
                <v:fill type="solid"/>
                <w10:wrap type="topAndBottom"/>
              </v:rect>
            </w:pict>
          </mc:Fallback>
        </mc:AlternateContent>
      </w:r>
    </w:p>
    <w:p>
      <w:pPr>
        <w:pStyle w:val="BodyText"/>
        <w:spacing w:before="186"/>
        <w:jc w:val="left"/>
        <w:rPr>
          <w:rFonts w:ascii="Trebuchet MS"/>
          <w:sz w:val="20"/>
        </w:rPr>
      </w:pPr>
    </w:p>
    <w:p>
      <w:pPr>
        <w:spacing w:after="0"/>
        <w:jc w:val="left"/>
        <w:rPr>
          <w:rFonts w:ascii="Trebuchet MS"/>
          <w:sz w:val="20"/>
        </w:rPr>
        <w:sectPr>
          <w:pgSz w:w="11910" w:h="16840"/>
          <w:pgMar w:header="0" w:footer="695" w:top="1920" w:bottom="880" w:left="0" w:right="0"/>
        </w:sectPr>
      </w:pPr>
    </w:p>
    <w:p>
      <w:pPr>
        <w:pStyle w:val="BodyText"/>
        <w:spacing w:before="100"/>
        <w:ind w:left="1133" w:right="2"/>
      </w:pPr>
      <w:r>
        <w:rPr>
          <w:color w:val="231F20"/>
        </w:rPr>
        <w:t>Aucune famille cubaine n’échappe aux </w:t>
      </w:r>
      <w:r>
        <w:rPr>
          <w:color w:val="231F20"/>
          <w:spacing w:val="-6"/>
        </w:rPr>
        <w:t>effets</w:t>
      </w:r>
      <w:r>
        <w:rPr>
          <w:color w:val="231F20"/>
          <w:spacing w:val="-11"/>
        </w:rPr>
        <w:t> </w:t>
      </w:r>
      <w:r>
        <w:rPr>
          <w:color w:val="231F20"/>
          <w:spacing w:val="-6"/>
        </w:rPr>
        <w:t>du</w:t>
      </w:r>
      <w:r>
        <w:rPr>
          <w:color w:val="231F20"/>
          <w:spacing w:val="-10"/>
        </w:rPr>
        <w:t> </w:t>
      </w:r>
      <w:r>
        <w:rPr>
          <w:color w:val="231F20"/>
          <w:spacing w:val="-6"/>
        </w:rPr>
        <w:t>blocus</w:t>
      </w:r>
      <w:r>
        <w:rPr>
          <w:color w:val="231F20"/>
          <w:spacing w:val="-11"/>
        </w:rPr>
        <w:t> </w:t>
      </w:r>
      <w:r>
        <w:rPr>
          <w:color w:val="231F20"/>
          <w:spacing w:val="-6"/>
        </w:rPr>
        <w:t>imposé</w:t>
      </w:r>
      <w:r>
        <w:rPr>
          <w:color w:val="231F20"/>
          <w:spacing w:val="-10"/>
        </w:rPr>
        <w:t> </w:t>
      </w:r>
      <w:r>
        <w:rPr>
          <w:color w:val="231F20"/>
          <w:spacing w:val="-6"/>
        </w:rPr>
        <w:t>par</w:t>
      </w:r>
      <w:r>
        <w:rPr>
          <w:color w:val="231F20"/>
          <w:spacing w:val="-11"/>
        </w:rPr>
        <w:t> </w:t>
      </w:r>
      <w:r>
        <w:rPr>
          <w:color w:val="231F20"/>
          <w:spacing w:val="-6"/>
        </w:rPr>
        <w:t>les</w:t>
      </w:r>
      <w:r>
        <w:rPr>
          <w:color w:val="231F20"/>
          <w:spacing w:val="-10"/>
        </w:rPr>
        <w:t> </w:t>
      </w:r>
      <w:r>
        <w:rPr>
          <w:color w:val="231F20"/>
          <w:spacing w:val="-6"/>
        </w:rPr>
        <w:t>États-Unis,</w:t>
      </w:r>
      <w:r>
        <w:rPr>
          <w:color w:val="231F20"/>
          <w:spacing w:val="-11"/>
        </w:rPr>
        <w:t> </w:t>
      </w:r>
      <w:r>
        <w:rPr>
          <w:color w:val="231F20"/>
          <w:spacing w:val="-6"/>
        </w:rPr>
        <w:t>le </w:t>
      </w:r>
      <w:r>
        <w:rPr>
          <w:color w:val="231F20"/>
          <w:spacing w:val="-4"/>
        </w:rPr>
        <w:t>système</w:t>
      </w:r>
      <w:r>
        <w:rPr>
          <w:color w:val="231F20"/>
          <w:spacing w:val="-13"/>
        </w:rPr>
        <w:t> </w:t>
      </w:r>
      <w:r>
        <w:rPr>
          <w:color w:val="231F20"/>
          <w:spacing w:val="-4"/>
        </w:rPr>
        <w:t>de</w:t>
      </w:r>
      <w:r>
        <w:rPr>
          <w:color w:val="231F20"/>
          <w:spacing w:val="-12"/>
        </w:rPr>
        <w:t> </w:t>
      </w:r>
      <w:r>
        <w:rPr>
          <w:color w:val="231F20"/>
          <w:spacing w:val="-4"/>
        </w:rPr>
        <w:t>mesures</w:t>
      </w:r>
      <w:r>
        <w:rPr>
          <w:color w:val="231F20"/>
          <w:spacing w:val="-13"/>
        </w:rPr>
        <w:t> </w:t>
      </w:r>
      <w:r>
        <w:rPr>
          <w:color w:val="231F20"/>
          <w:spacing w:val="-4"/>
        </w:rPr>
        <w:t>coercitives</w:t>
      </w:r>
      <w:r>
        <w:rPr>
          <w:color w:val="231F20"/>
          <w:spacing w:val="-12"/>
        </w:rPr>
        <w:t> </w:t>
      </w:r>
      <w:r>
        <w:rPr>
          <w:color w:val="231F20"/>
          <w:spacing w:val="-4"/>
        </w:rPr>
        <w:t>unilatérales </w:t>
      </w:r>
      <w:r>
        <w:rPr>
          <w:color w:val="231F20"/>
        </w:rPr>
        <w:t>le plus prolongé, le plus cruel et le plus englobant</w:t>
      </w:r>
      <w:r>
        <w:rPr>
          <w:color w:val="231F20"/>
          <w:spacing w:val="-5"/>
        </w:rPr>
        <w:t> </w:t>
      </w:r>
      <w:r>
        <w:rPr>
          <w:color w:val="231F20"/>
        </w:rPr>
        <w:t>jamais</w:t>
      </w:r>
      <w:r>
        <w:rPr>
          <w:color w:val="231F20"/>
          <w:spacing w:val="-5"/>
        </w:rPr>
        <w:t> </w:t>
      </w:r>
      <w:r>
        <w:rPr>
          <w:color w:val="231F20"/>
        </w:rPr>
        <w:t>appliqué</w:t>
      </w:r>
      <w:r>
        <w:rPr>
          <w:color w:val="231F20"/>
          <w:spacing w:val="-5"/>
        </w:rPr>
        <w:t> </w:t>
      </w:r>
      <w:r>
        <w:rPr>
          <w:color w:val="231F20"/>
        </w:rPr>
        <w:t>à</w:t>
      </w:r>
      <w:r>
        <w:rPr>
          <w:color w:val="231F20"/>
          <w:spacing w:val="-5"/>
        </w:rPr>
        <w:t> </w:t>
      </w:r>
      <w:r>
        <w:rPr>
          <w:color w:val="231F20"/>
        </w:rPr>
        <w:t>un</w:t>
      </w:r>
      <w:r>
        <w:rPr>
          <w:color w:val="231F20"/>
          <w:spacing w:val="-5"/>
        </w:rPr>
        <w:t> </w:t>
      </w:r>
      <w:r>
        <w:rPr>
          <w:color w:val="231F20"/>
        </w:rPr>
        <w:t>pays.</w:t>
      </w:r>
    </w:p>
    <w:p>
      <w:pPr>
        <w:pStyle w:val="BodyText"/>
        <w:spacing w:before="164"/>
        <w:ind w:left="1133"/>
      </w:pPr>
      <w:r>
        <w:rPr>
          <w:color w:val="231F20"/>
          <w:spacing w:val="-2"/>
        </w:rPr>
        <w:t>Raúl</w:t>
      </w:r>
      <w:r>
        <w:rPr>
          <w:color w:val="231F20"/>
          <w:spacing w:val="-13"/>
        </w:rPr>
        <w:t> </w:t>
      </w:r>
      <w:r>
        <w:rPr>
          <w:color w:val="231F20"/>
          <w:spacing w:val="-2"/>
        </w:rPr>
        <w:t>Castro</w:t>
      </w:r>
      <w:r>
        <w:rPr>
          <w:color w:val="231F20"/>
          <w:spacing w:val="-13"/>
        </w:rPr>
        <w:t> </w:t>
      </w:r>
      <w:r>
        <w:rPr>
          <w:color w:val="231F20"/>
          <w:spacing w:val="-2"/>
        </w:rPr>
        <w:t>Ruz</w:t>
      </w:r>
      <w:r>
        <w:rPr>
          <w:color w:val="231F20"/>
          <w:spacing w:val="-13"/>
        </w:rPr>
        <w:t> </w:t>
      </w:r>
      <w:r>
        <w:rPr>
          <w:color w:val="231F20"/>
          <w:spacing w:val="-2"/>
        </w:rPr>
        <w:t>le</w:t>
      </w:r>
      <w:r>
        <w:rPr>
          <w:color w:val="231F20"/>
          <w:spacing w:val="-13"/>
        </w:rPr>
        <w:t> </w:t>
      </w:r>
      <w:r>
        <w:rPr>
          <w:color w:val="231F20"/>
          <w:spacing w:val="-2"/>
        </w:rPr>
        <w:t>signalait</w:t>
      </w:r>
      <w:r>
        <w:rPr>
          <w:color w:val="231F20"/>
          <w:spacing w:val="-13"/>
        </w:rPr>
        <w:t> </w:t>
      </w:r>
      <w:r>
        <w:rPr>
          <w:color w:val="231F20"/>
          <w:spacing w:val="-2"/>
        </w:rPr>
        <w:t>le</w:t>
      </w:r>
      <w:r>
        <w:rPr>
          <w:color w:val="231F20"/>
          <w:spacing w:val="-13"/>
        </w:rPr>
        <w:t> </w:t>
      </w:r>
      <w:r>
        <w:rPr>
          <w:color w:val="231F20"/>
          <w:spacing w:val="-2"/>
        </w:rPr>
        <w:t>16</w:t>
      </w:r>
      <w:r>
        <w:rPr>
          <w:color w:val="231F20"/>
          <w:spacing w:val="-13"/>
        </w:rPr>
        <w:t> </w:t>
      </w:r>
      <w:r>
        <w:rPr>
          <w:color w:val="231F20"/>
          <w:spacing w:val="-2"/>
        </w:rPr>
        <w:t>avril</w:t>
      </w:r>
      <w:r>
        <w:rPr>
          <w:color w:val="231F20"/>
          <w:spacing w:val="-13"/>
        </w:rPr>
        <w:t> </w:t>
      </w:r>
      <w:r>
        <w:rPr>
          <w:color w:val="231F20"/>
          <w:spacing w:val="-2"/>
        </w:rPr>
        <w:t>2021, </w:t>
      </w:r>
      <w:r>
        <w:rPr>
          <w:color w:val="231F20"/>
        </w:rPr>
        <w:t>dans son Rapport central au Huitième Congrès</w:t>
      </w:r>
      <w:r>
        <w:rPr>
          <w:color w:val="231F20"/>
          <w:spacing w:val="-1"/>
        </w:rPr>
        <w:t> </w:t>
      </w:r>
      <w:r>
        <w:rPr>
          <w:color w:val="231F20"/>
        </w:rPr>
        <w:t>du</w:t>
      </w:r>
      <w:r>
        <w:rPr>
          <w:color w:val="231F20"/>
          <w:spacing w:val="-1"/>
        </w:rPr>
        <w:t> </w:t>
      </w:r>
      <w:r>
        <w:rPr>
          <w:color w:val="231F20"/>
        </w:rPr>
        <w:t>Parti</w:t>
      </w:r>
      <w:r>
        <w:rPr>
          <w:color w:val="231F20"/>
          <w:spacing w:val="-1"/>
        </w:rPr>
        <w:t> </w:t>
      </w:r>
      <w:r>
        <w:rPr>
          <w:color w:val="231F20"/>
        </w:rPr>
        <w:t>communiste</w:t>
      </w:r>
      <w:r>
        <w:rPr>
          <w:color w:val="231F20"/>
          <w:spacing w:val="-1"/>
        </w:rPr>
        <w:t> </w:t>
      </w:r>
      <w:r>
        <w:rPr>
          <w:color w:val="231F20"/>
        </w:rPr>
        <w:t>de</w:t>
      </w:r>
      <w:r>
        <w:rPr>
          <w:color w:val="231F20"/>
          <w:spacing w:val="-1"/>
        </w:rPr>
        <w:t> </w:t>
      </w:r>
      <w:r>
        <w:rPr>
          <w:color w:val="231F20"/>
        </w:rPr>
        <w:t>Cuba</w:t>
      </w:r>
      <w:r>
        <w:rPr>
          <w:color w:val="231F20"/>
          <w:spacing w:val="-1"/>
        </w:rPr>
        <w:t> </w:t>
      </w:r>
      <w:r>
        <w:rPr>
          <w:color w:val="231F20"/>
        </w:rPr>
        <w:t>:</w:t>
      </w:r>
      <w:r>
        <w:rPr>
          <w:color w:val="231F20"/>
          <w:spacing w:val="-1"/>
        </w:rPr>
        <w:t> </w:t>
      </w:r>
      <w:r>
        <w:rPr>
          <w:color w:val="231F20"/>
        </w:rPr>
        <w:t>« Les</w:t>
      </w:r>
      <w:r>
        <w:rPr>
          <w:color w:val="231F20"/>
          <w:spacing w:val="-17"/>
        </w:rPr>
        <w:t> </w:t>
      </w:r>
      <w:r>
        <w:rPr>
          <w:color w:val="231F20"/>
        </w:rPr>
        <w:t>préjudices</w:t>
      </w:r>
      <w:r>
        <w:rPr>
          <w:color w:val="231F20"/>
          <w:spacing w:val="-16"/>
        </w:rPr>
        <w:t> </w:t>
      </w:r>
      <w:r>
        <w:rPr>
          <w:color w:val="231F20"/>
        </w:rPr>
        <w:t>que</w:t>
      </w:r>
      <w:r>
        <w:rPr>
          <w:color w:val="231F20"/>
          <w:spacing w:val="-17"/>
        </w:rPr>
        <w:t> </w:t>
      </w:r>
      <w:r>
        <w:rPr>
          <w:color w:val="231F20"/>
        </w:rPr>
        <w:t>ces</w:t>
      </w:r>
      <w:r>
        <w:rPr>
          <w:color w:val="231F20"/>
          <w:spacing w:val="-16"/>
        </w:rPr>
        <w:t> </w:t>
      </w:r>
      <w:r>
        <w:rPr>
          <w:color w:val="231F20"/>
        </w:rPr>
        <w:t>mesures</w:t>
      </w:r>
      <w:r>
        <w:rPr>
          <w:color w:val="231F20"/>
          <w:spacing w:val="-17"/>
        </w:rPr>
        <w:t> </w:t>
      </w:r>
      <w:r>
        <w:rPr>
          <w:color w:val="231F20"/>
        </w:rPr>
        <w:t>causent</w:t>
      </w:r>
      <w:r>
        <w:rPr>
          <w:color w:val="231F20"/>
          <w:spacing w:val="-16"/>
        </w:rPr>
        <w:t> </w:t>
      </w:r>
      <w:r>
        <w:rPr>
          <w:color w:val="231F20"/>
        </w:rPr>
        <w:t>au niveau</w:t>
      </w:r>
      <w:r>
        <w:rPr>
          <w:color w:val="231F20"/>
          <w:spacing w:val="-11"/>
        </w:rPr>
        <w:t> </w:t>
      </w:r>
      <w:r>
        <w:rPr>
          <w:color w:val="231F20"/>
        </w:rPr>
        <w:t>de</w:t>
      </w:r>
      <w:r>
        <w:rPr>
          <w:color w:val="231F20"/>
          <w:spacing w:val="-11"/>
        </w:rPr>
        <w:t> </w:t>
      </w:r>
      <w:r>
        <w:rPr>
          <w:color w:val="231F20"/>
        </w:rPr>
        <w:t>vie</w:t>
      </w:r>
      <w:r>
        <w:rPr>
          <w:color w:val="231F20"/>
          <w:spacing w:val="-11"/>
        </w:rPr>
        <w:t> </w:t>
      </w:r>
      <w:r>
        <w:rPr>
          <w:color w:val="231F20"/>
        </w:rPr>
        <w:t>de</w:t>
      </w:r>
      <w:r>
        <w:rPr>
          <w:color w:val="231F20"/>
          <w:spacing w:val="-11"/>
        </w:rPr>
        <w:t> </w:t>
      </w:r>
      <w:r>
        <w:rPr>
          <w:color w:val="231F20"/>
        </w:rPr>
        <w:t>la</w:t>
      </w:r>
      <w:r>
        <w:rPr>
          <w:color w:val="231F20"/>
          <w:spacing w:val="-11"/>
        </w:rPr>
        <w:t> </w:t>
      </w:r>
      <w:r>
        <w:rPr>
          <w:color w:val="231F20"/>
        </w:rPr>
        <w:t>population</w:t>
      </w:r>
      <w:r>
        <w:rPr>
          <w:color w:val="231F20"/>
          <w:spacing w:val="-11"/>
        </w:rPr>
        <w:t> </w:t>
      </w:r>
      <w:r>
        <w:rPr>
          <w:color w:val="231F20"/>
        </w:rPr>
        <w:t>ne</w:t>
      </w:r>
      <w:r>
        <w:rPr>
          <w:color w:val="231F20"/>
          <w:spacing w:val="-11"/>
        </w:rPr>
        <w:t> </w:t>
      </w:r>
      <w:r>
        <w:rPr>
          <w:color w:val="231F20"/>
        </w:rPr>
        <w:t>sont</w:t>
      </w:r>
      <w:r>
        <w:rPr>
          <w:color w:val="231F20"/>
          <w:spacing w:val="-11"/>
        </w:rPr>
        <w:t> </w:t>
      </w:r>
      <w:r>
        <w:rPr>
          <w:color w:val="231F20"/>
        </w:rPr>
        <w:t>pas le fruit du hasard ni d’effets collatéraux,</w:t>
      </w:r>
      <w:r>
        <w:rPr>
          <w:color w:val="231F20"/>
          <w:spacing w:val="40"/>
        </w:rPr>
        <w:t> </w:t>
      </w:r>
      <w:r>
        <w:rPr>
          <w:color w:val="231F20"/>
        </w:rPr>
        <w:t>ils découlent de l’intention délibérée </w:t>
      </w:r>
      <w:r>
        <w:rPr>
          <w:color w:val="231F20"/>
        </w:rPr>
        <w:t>de punir l’ensemble du peuple cubain ».</w:t>
      </w:r>
    </w:p>
    <w:p>
      <w:pPr>
        <w:pStyle w:val="BodyText"/>
        <w:spacing w:before="166"/>
        <w:ind w:left="1133" w:right="1"/>
      </w:pPr>
      <w:r>
        <w:rPr>
          <w:color w:val="231F20"/>
        </w:rPr>
        <w:t>De mars 2022 à février 2023, </w:t>
      </w:r>
      <w:r>
        <w:rPr>
          <w:color w:val="231F20"/>
          <w:spacing w:val="-2"/>
        </w:rPr>
        <w:t>l’administration</w:t>
      </w:r>
      <w:r>
        <w:rPr>
          <w:color w:val="231F20"/>
          <w:spacing w:val="-11"/>
        </w:rPr>
        <w:t> </w:t>
      </w:r>
      <w:r>
        <w:rPr>
          <w:color w:val="231F20"/>
          <w:spacing w:val="-2"/>
        </w:rPr>
        <w:t>étasunienne</w:t>
      </w:r>
      <w:r>
        <w:rPr>
          <w:color w:val="231F20"/>
          <w:spacing w:val="-11"/>
        </w:rPr>
        <w:t> </w:t>
      </w:r>
      <w:r>
        <w:rPr>
          <w:color w:val="231F20"/>
          <w:spacing w:val="-2"/>
        </w:rPr>
        <w:t>a</w:t>
      </w:r>
      <w:r>
        <w:rPr>
          <w:color w:val="231F20"/>
          <w:spacing w:val="-11"/>
        </w:rPr>
        <w:t> </w:t>
      </w:r>
      <w:r>
        <w:rPr>
          <w:color w:val="231F20"/>
          <w:spacing w:val="-2"/>
        </w:rPr>
        <w:t>continué</w:t>
      </w:r>
      <w:r>
        <w:rPr>
          <w:color w:val="231F20"/>
          <w:spacing w:val="-11"/>
        </w:rPr>
        <w:t> </w:t>
      </w:r>
      <w:r>
        <w:rPr>
          <w:color w:val="231F20"/>
          <w:spacing w:val="-2"/>
        </w:rPr>
        <w:t>de traquer</w:t>
      </w:r>
      <w:r>
        <w:rPr>
          <w:color w:val="231F20"/>
          <w:spacing w:val="-13"/>
        </w:rPr>
        <w:t> </w:t>
      </w:r>
      <w:r>
        <w:rPr>
          <w:color w:val="231F20"/>
          <w:spacing w:val="-2"/>
        </w:rPr>
        <w:t>les</w:t>
      </w:r>
      <w:r>
        <w:rPr>
          <w:color w:val="231F20"/>
          <w:spacing w:val="-13"/>
        </w:rPr>
        <w:t> </w:t>
      </w:r>
      <w:r>
        <w:rPr>
          <w:color w:val="231F20"/>
          <w:spacing w:val="-2"/>
        </w:rPr>
        <w:t>livraisons</w:t>
      </w:r>
      <w:r>
        <w:rPr>
          <w:color w:val="231F20"/>
          <w:spacing w:val="-13"/>
        </w:rPr>
        <w:t> </w:t>
      </w:r>
      <w:r>
        <w:rPr>
          <w:color w:val="231F20"/>
          <w:spacing w:val="-2"/>
        </w:rPr>
        <w:t>de</w:t>
      </w:r>
      <w:r>
        <w:rPr>
          <w:color w:val="231F20"/>
          <w:spacing w:val="-13"/>
        </w:rPr>
        <w:t> </w:t>
      </w:r>
      <w:r>
        <w:rPr>
          <w:color w:val="231F20"/>
          <w:spacing w:val="-2"/>
        </w:rPr>
        <w:t>carburants</w:t>
      </w:r>
      <w:r>
        <w:rPr>
          <w:color w:val="231F20"/>
          <w:spacing w:val="-13"/>
        </w:rPr>
        <w:t> </w:t>
      </w:r>
      <w:r>
        <w:rPr>
          <w:color w:val="231F20"/>
          <w:spacing w:val="-2"/>
        </w:rPr>
        <w:t>à</w:t>
      </w:r>
      <w:r>
        <w:rPr>
          <w:color w:val="231F20"/>
          <w:spacing w:val="-13"/>
        </w:rPr>
        <w:t> </w:t>
      </w:r>
      <w:r>
        <w:rPr>
          <w:color w:val="231F20"/>
          <w:spacing w:val="-2"/>
        </w:rPr>
        <w:t>Cuba, </w:t>
      </w:r>
      <w:r>
        <w:rPr>
          <w:color w:val="231F20"/>
        </w:rPr>
        <w:t>d’orchestrer sa campagne de discrédit contre les programmes de coopération médicale que notre pays prête à de nombreux pays et d’entraver par tous les </w:t>
      </w:r>
      <w:r>
        <w:rPr>
          <w:color w:val="231F20"/>
          <w:spacing w:val="-2"/>
        </w:rPr>
        <w:t>moyens</w:t>
      </w:r>
      <w:r>
        <w:rPr>
          <w:color w:val="231F20"/>
          <w:spacing w:val="-15"/>
        </w:rPr>
        <w:t> </w:t>
      </w:r>
      <w:r>
        <w:rPr>
          <w:color w:val="231F20"/>
          <w:spacing w:val="-2"/>
        </w:rPr>
        <w:t>possibles</w:t>
      </w:r>
      <w:r>
        <w:rPr>
          <w:color w:val="231F20"/>
          <w:spacing w:val="-14"/>
        </w:rPr>
        <w:t> </w:t>
      </w:r>
      <w:r>
        <w:rPr>
          <w:color w:val="231F20"/>
          <w:spacing w:val="-2"/>
        </w:rPr>
        <w:t>le</w:t>
      </w:r>
      <w:r>
        <w:rPr>
          <w:color w:val="231F20"/>
          <w:spacing w:val="-15"/>
        </w:rPr>
        <w:t> </w:t>
      </w:r>
      <w:r>
        <w:rPr>
          <w:color w:val="231F20"/>
          <w:spacing w:val="-2"/>
        </w:rPr>
        <w:t>relèvement</w:t>
      </w:r>
      <w:r>
        <w:rPr>
          <w:color w:val="231F20"/>
          <w:spacing w:val="-14"/>
        </w:rPr>
        <w:t> </w:t>
      </w:r>
      <w:r>
        <w:rPr>
          <w:color w:val="231F20"/>
          <w:spacing w:val="-2"/>
        </w:rPr>
        <w:t>du</w:t>
      </w:r>
      <w:r>
        <w:rPr>
          <w:color w:val="231F20"/>
          <w:spacing w:val="-15"/>
        </w:rPr>
        <w:t> </w:t>
      </w:r>
      <w:r>
        <w:rPr>
          <w:color w:val="231F20"/>
          <w:spacing w:val="-2"/>
        </w:rPr>
        <w:t>secteur </w:t>
      </w:r>
      <w:r>
        <w:rPr>
          <w:color w:val="231F20"/>
        </w:rPr>
        <w:t>touristique</w:t>
      </w:r>
      <w:r>
        <w:rPr>
          <w:color w:val="231F20"/>
          <w:spacing w:val="-5"/>
        </w:rPr>
        <w:t> </w:t>
      </w:r>
      <w:r>
        <w:rPr>
          <w:color w:val="231F20"/>
        </w:rPr>
        <w:t>cubaine,</w:t>
      </w:r>
      <w:r>
        <w:rPr>
          <w:color w:val="231F20"/>
          <w:spacing w:val="-5"/>
        </w:rPr>
        <w:t> </w:t>
      </w:r>
      <w:r>
        <w:rPr>
          <w:color w:val="231F20"/>
        </w:rPr>
        <w:t>durement</w:t>
      </w:r>
      <w:r>
        <w:rPr>
          <w:color w:val="231F20"/>
          <w:spacing w:val="-5"/>
        </w:rPr>
        <w:t> </w:t>
      </w:r>
      <w:r>
        <w:rPr>
          <w:color w:val="231F20"/>
        </w:rPr>
        <w:t>touché</w:t>
      </w:r>
      <w:r>
        <w:rPr>
          <w:color w:val="231F20"/>
          <w:spacing w:val="-5"/>
        </w:rPr>
        <w:t> </w:t>
      </w:r>
      <w:r>
        <w:rPr>
          <w:color w:val="231F20"/>
        </w:rPr>
        <w:t>par la pandémie du Covid-19, tout ceci visant à porter le coup de grâce aux principales sources de revenus de notre pays.</w:t>
      </w:r>
    </w:p>
    <w:p>
      <w:pPr>
        <w:pStyle w:val="BodyText"/>
        <w:spacing w:before="169"/>
        <w:ind w:left="1133" w:right="1"/>
      </w:pPr>
      <w:r>
        <w:rPr>
          <w:color w:val="231F20"/>
          <w:spacing w:val="-8"/>
        </w:rPr>
        <w:t>La</w:t>
      </w:r>
      <w:r>
        <w:rPr>
          <w:color w:val="231F20"/>
          <w:spacing w:val="-9"/>
        </w:rPr>
        <w:t> </w:t>
      </w:r>
      <w:r>
        <w:rPr>
          <w:color w:val="231F20"/>
          <w:spacing w:val="-8"/>
        </w:rPr>
        <w:t>lutte contre</w:t>
      </w:r>
      <w:r>
        <w:rPr>
          <w:color w:val="231F20"/>
          <w:spacing w:val="-9"/>
        </w:rPr>
        <w:t> </w:t>
      </w:r>
      <w:r>
        <w:rPr>
          <w:color w:val="231F20"/>
          <w:spacing w:val="-8"/>
        </w:rPr>
        <w:t>les conséquences</w:t>
      </w:r>
      <w:r>
        <w:rPr>
          <w:color w:val="231F20"/>
          <w:spacing w:val="-9"/>
        </w:rPr>
        <w:t> </w:t>
      </w:r>
      <w:r>
        <w:rPr>
          <w:color w:val="231F20"/>
          <w:spacing w:val="-8"/>
        </w:rPr>
        <w:t>persistantes </w:t>
      </w:r>
      <w:r>
        <w:rPr>
          <w:color w:val="231F20"/>
        </w:rPr>
        <w:t>de la Covid-19 a, dans ces conditions de </w:t>
      </w:r>
      <w:r>
        <w:rPr>
          <w:color w:val="231F20"/>
          <w:spacing w:val="-10"/>
        </w:rPr>
        <w:t>véritable</w:t>
      </w:r>
      <w:r>
        <w:rPr>
          <w:color w:val="231F20"/>
        </w:rPr>
        <w:t> </w:t>
      </w:r>
      <w:r>
        <w:rPr>
          <w:color w:val="231F20"/>
          <w:spacing w:val="-10"/>
        </w:rPr>
        <w:t>guerre</w:t>
      </w:r>
      <w:r>
        <w:rPr>
          <w:color w:val="231F20"/>
        </w:rPr>
        <w:t> </w:t>
      </w:r>
      <w:r>
        <w:rPr>
          <w:color w:val="231F20"/>
          <w:spacing w:val="-10"/>
        </w:rPr>
        <w:t>économique,</w:t>
      </w:r>
      <w:r>
        <w:rPr>
          <w:color w:val="231F20"/>
        </w:rPr>
        <w:t> </w:t>
      </w:r>
      <w:r>
        <w:rPr>
          <w:color w:val="231F20"/>
          <w:spacing w:val="-10"/>
        </w:rPr>
        <w:t>représenté</w:t>
      </w:r>
      <w:r>
        <w:rPr>
          <w:color w:val="231F20"/>
        </w:rPr>
        <w:t> </w:t>
      </w:r>
      <w:r>
        <w:rPr>
          <w:color w:val="231F20"/>
          <w:spacing w:val="-10"/>
        </w:rPr>
        <w:t>une </w:t>
      </w:r>
      <w:r>
        <w:rPr>
          <w:color w:val="231F20"/>
          <w:spacing w:val="-2"/>
        </w:rPr>
        <w:t>pression</w:t>
      </w:r>
      <w:r>
        <w:rPr>
          <w:color w:val="231F20"/>
          <w:spacing w:val="-15"/>
        </w:rPr>
        <w:t> </w:t>
      </w:r>
      <w:r>
        <w:rPr>
          <w:color w:val="231F20"/>
          <w:spacing w:val="-2"/>
        </w:rPr>
        <w:t>supplémentaire</w:t>
      </w:r>
      <w:r>
        <w:rPr>
          <w:color w:val="231F20"/>
          <w:spacing w:val="-14"/>
        </w:rPr>
        <w:t> </w:t>
      </w:r>
      <w:r>
        <w:rPr>
          <w:color w:val="231F20"/>
          <w:spacing w:val="-2"/>
        </w:rPr>
        <w:t>sur</w:t>
      </w:r>
      <w:r>
        <w:rPr>
          <w:color w:val="231F20"/>
          <w:spacing w:val="-15"/>
        </w:rPr>
        <w:t> </w:t>
      </w:r>
      <w:r>
        <w:rPr>
          <w:color w:val="231F20"/>
          <w:spacing w:val="-2"/>
        </w:rPr>
        <w:t>notre</w:t>
      </w:r>
      <w:r>
        <w:rPr>
          <w:color w:val="231F20"/>
          <w:spacing w:val="-14"/>
        </w:rPr>
        <w:t> </w:t>
      </w:r>
      <w:r>
        <w:rPr>
          <w:color w:val="231F20"/>
          <w:spacing w:val="-2"/>
        </w:rPr>
        <w:t>système </w:t>
      </w:r>
      <w:r>
        <w:rPr>
          <w:color w:val="231F20"/>
        </w:rPr>
        <w:t>de santé et sur nos plans économiques à </w:t>
      </w:r>
      <w:r>
        <w:rPr>
          <w:color w:val="231F20"/>
          <w:spacing w:val="-10"/>
        </w:rPr>
        <w:t>court,</w:t>
      </w:r>
      <w:r>
        <w:rPr>
          <w:color w:val="231F20"/>
          <w:spacing w:val="-6"/>
        </w:rPr>
        <w:t> </w:t>
      </w:r>
      <w:r>
        <w:rPr>
          <w:color w:val="231F20"/>
          <w:spacing w:val="-10"/>
        </w:rPr>
        <w:t>moyen</w:t>
      </w:r>
      <w:r>
        <w:rPr>
          <w:color w:val="231F20"/>
          <w:spacing w:val="-6"/>
        </w:rPr>
        <w:t> </w:t>
      </w:r>
      <w:r>
        <w:rPr>
          <w:color w:val="231F20"/>
          <w:spacing w:val="-10"/>
        </w:rPr>
        <w:t>et</w:t>
      </w:r>
      <w:r>
        <w:rPr>
          <w:color w:val="231F20"/>
          <w:spacing w:val="-6"/>
        </w:rPr>
        <w:t> </w:t>
      </w:r>
      <w:r>
        <w:rPr>
          <w:color w:val="231F20"/>
          <w:spacing w:val="-10"/>
        </w:rPr>
        <w:t>long</w:t>
      </w:r>
      <w:r>
        <w:rPr>
          <w:color w:val="231F20"/>
          <w:spacing w:val="-6"/>
        </w:rPr>
        <w:t> </w:t>
      </w:r>
      <w:r>
        <w:rPr>
          <w:color w:val="231F20"/>
          <w:spacing w:val="-10"/>
        </w:rPr>
        <w:t>termes.</w:t>
      </w:r>
      <w:r>
        <w:rPr>
          <w:color w:val="231F20"/>
          <w:spacing w:val="-6"/>
        </w:rPr>
        <w:t> </w:t>
      </w:r>
      <w:r>
        <w:rPr>
          <w:color w:val="231F20"/>
          <w:spacing w:val="-10"/>
        </w:rPr>
        <w:t>L’administration </w:t>
      </w:r>
      <w:r>
        <w:rPr>
          <w:color w:val="231F20"/>
          <w:spacing w:val="-2"/>
        </w:rPr>
        <w:t>étasunienne</w:t>
      </w:r>
      <w:r>
        <w:rPr>
          <w:color w:val="231F20"/>
          <w:spacing w:val="-14"/>
        </w:rPr>
        <w:t> </w:t>
      </w:r>
      <w:r>
        <w:rPr>
          <w:color w:val="231F20"/>
          <w:spacing w:val="-2"/>
        </w:rPr>
        <w:t>a</w:t>
      </w:r>
      <w:r>
        <w:rPr>
          <w:color w:val="231F20"/>
          <w:spacing w:val="-14"/>
        </w:rPr>
        <w:t> </w:t>
      </w:r>
      <w:r>
        <w:rPr>
          <w:color w:val="231F20"/>
          <w:spacing w:val="-2"/>
        </w:rPr>
        <w:t>vu</w:t>
      </w:r>
      <w:r>
        <w:rPr>
          <w:color w:val="231F20"/>
          <w:spacing w:val="-14"/>
        </w:rPr>
        <w:t> </w:t>
      </w:r>
      <w:r>
        <w:rPr>
          <w:color w:val="231F20"/>
          <w:spacing w:val="-2"/>
        </w:rPr>
        <w:t>dans</w:t>
      </w:r>
      <w:r>
        <w:rPr>
          <w:color w:val="231F20"/>
          <w:spacing w:val="-14"/>
        </w:rPr>
        <w:t> </w:t>
      </w:r>
      <w:r>
        <w:rPr>
          <w:color w:val="231F20"/>
          <w:spacing w:val="-2"/>
        </w:rPr>
        <w:t>la</w:t>
      </w:r>
      <w:r>
        <w:rPr>
          <w:color w:val="231F20"/>
          <w:spacing w:val="-14"/>
        </w:rPr>
        <w:t> </w:t>
      </w:r>
      <w:r>
        <w:rPr>
          <w:color w:val="231F20"/>
          <w:spacing w:val="-2"/>
        </w:rPr>
        <w:t>pandémie</w:t>
      </w:r>
      <w:r>
        <w:rPr>
          <w:color w:val="231F20"/>
          <w:spacing w:val="-14"/>
        </w:rPr>
        <w:t> </w:t>
      </w:r>
      <w:r>
        <w:rPr>
          <w:color w:val="231F20"/>
          <w:spacing w:val="-2"/>
        </w:rPr>
        <w:t>un</w:t>
      </w:r>
      <w:r>
        <w:rPr>
          <w:color w:val="231F20"/>
          <w:spacing w:val="-14"/>
        </w:rPr>
        <w:t> </w:t>
      </w:r>
      <w:r>
        <w:rPr>
          <w:color w:val="231F20"/>
          <w:spacing w:val="-2"/>
        </w:rPr>
        <w:t>allié </w:t>
      </w:r>
      <w:r>
        <w:rPr>
          <w:color w:val="231F20"/>
        </w:rPr>
        <w:t>idéal pour renforcer son encerclement et </w:t>
      </w:r>
      <w:r>
        <w:rPr>
          <w:color w:val="231F20"/>
          <w:spacing w:val="-8"/>
        </w:rPr>
        <w:t>provoquer</w:t>
      </w:r>
      <w:r>
        <w:rPr>
          <w:color w:val="231F20"/>
          <w:spacing w:val="-5"/>
        </w:rPr>
        <w:t> </w:t>
      </w:r>
      <w:r>
        <w:rPr>
          <w:color w:val="231F20"/>
          <w:spacing w:val="-8"/>
        </w:rPr>
        <w:t>notre effondrement économique. </w:t>
      </w:r>
      <w:r>
        <w:rPr>
          <w:color w:val="231F20"/>
        </w:rPr>
        <w:t>Cette</w:t>
      </w:r>
      <w:r>
        <w:rPr>
          <w:color w:val="231F20"/>
          <w:spacing w:val="36"/>
        </w:rPr>
        <w:t>  </w:t>
      </w:r>
      <w:r>
        <w:rPr>
          <w:color w:val="231F20"/>
        </w:rPr>
        <w:t>politique</w:t>
      </w:r>
      <w:r>
        <w:rPr>
          <w:color w:val="231F20"/>
          <w:spacing w:val="36"/>
        </w:rPr>
        <w:t>  </w:t>
      </w:r>
      <w:r>
        <w:rPr>
          <w:color w:val="231F20"/>
        </w:rPr>
        <w:t>opportuniste</w:t>
      </w:r>
      <w:r>
        <w:rPr>
          <w:color w:val="231F20"/>
          <w:spacing w:val="37"/>
        </w:rPr>
        <w:t>  </w:t>
      </w:r>
      <w:r>
        <w:rPr>
          <w:color w:val="231F20"/>
          <w:spacing w:val="-7"/>
        </w:rPr>
        <w:t>continue,</w:t>
      </w:r>
    </w:p>
    <w:p>
      <w:pPr>
        <w:pStyle w:val="BodyText"/>
        <w:spacing w:before="100"/>
        <w:ind w:left="413" w:right="1483"/>
      </w:pPr>
      <w:r>
        <w:rPr/>
        <w:br w:type="column"/>
      </w:r>
      <w:r>
        <w:rPr>
          <w:color w:val="231F20"/>
        </w:rPr>
        <w:t>aujourd’hui plus que jamais, d’entraver </w:t>
      </w:r>
      <w:r>
        <w:rPr>
          <w:color w:val="231F20"/>
          <w:spacing w:val="-12"/>
        </w:rPr>
        <w:t>sévèrement</w:t>
      </w:r>
      <w:r>
        <w:rPr>
          <w:color w:val="231F20"/>
          <w:spacing w:val="-5"/>
        </w:rPr>
        <w:t> </w:t>
      </w:r>
      <w:r>
        <w:rPr>
          <w:color w:val="231F20"/>
          <w:spacing w:val="-12"/>
        </w:rPr>
        <w:t>les</w:t>
      </w:r>
      <w:r>
        <w:rPr>
          <w:color w:val="231F20"/>
          <w:spacing w:val="-4"/>
        </w:rPr>
        <w:t> </w:t>
      </w:r>
      <w:r>
        <w:rPr>
          <w:color w:val="231F20"/>
          <w:spacing w:val="-12"/>
        </w:rPr>
        <w:t>efforts</w:t>
      </w:r>
      <w:r>
        <w:rPr>
          <w:color w:val="231F20"/>
          <w:spacing w:val="-5"/>
        </w:rPr>
        <w:t> </w:t>
      </w:r>
      <w:r>
        <w:rPr>
          <w:color w:val="231F20"/>
          <w:spacing w:val="-12"/>
        </w:rPr>
        <w:t>que</w:t>
      </w:r>
      <w:r>
        <w:rPr>
          <w:color w:val="231F20"/>
          <w:spacing w:val="-4"/>
        </w:rPr>
        <w:t> </w:t>
      </w:r>
      <w:r>
        <w:rPr>
          <w:color w:val="231F20"/>
          <w:spacing w:val="-12"/>
        </w:rPr>
        <w:t>consent</w:t>
      </w:r>
      <w:r>
        <w:rPr>
          <w:color w:val="231F20"/>
          <w:spacing w:val="-5"/>
        </w:rPr>
        <w:t> </w:t>
      </w:r>
      <w:r>
        <w:rPr>
          <w:color w:val="231F20"/>
          <w:spacing w:val="-12"/>
        </w:rPr>
        <w:t>notre</w:t>
      </w:r>
      <w:r>
        <w:rPr>
          <w:color w:val="231F20"/>
          <w:spacing w:val="-4"/>
        </w:rPr>
        <w:t> </w:t>
      </w:r>
      <w:r>
        <w:rPr>
          <w:color w:val="231F20"/>
          <w:spacing w:val="-12"/>
        </w:rPr>
        <w:t>pays pour</w:t>
      </w:r>
      <w:r>
        <w:rPr>
          <w:color w:val="231F20"/>
          <w:spacing w:val="-5"/>
        </w:rPr>
        <w:t> </w:t>
      </w:r>
      <w:r>
        <w:rPr>
          <w:color w:val="231F20"/>
          <w:spacing w:val="-12"/>
        </w:rPr>
        <w:t>éliminer</w:t>
      </w:r>
      <w:r>
        <w:rPr>
          <w:color w:val="231F20"/>
          <w:spacing w:val="-4"/>
        </w:rPr>
        <w:t> </w:t>
      </w:r>
      <w:r>
        <w:rPr>
          <w:color w:val="231F20"/>
          <w:spacing w:val="-12"/>
        </w:rPr>
        <w:t>les</w:t>
      </w:r>
      <w:r>
        <w:rPr>
          <w:color w:val="231F20"/>
          <w:spacing w:val="-5"/>
        </w:rPr>
        <w:t> </w:t>
      </w:r>
      <w:r>
        <w:rPr>
          <w:color w:val="231F20"/>
          <w:spacing w:val="-12"/>
        </w:rPr>
        <w:t>conséquences</w:t>
      </w:r>
      <w:r>
        <w:rPr>
          <w:color w:val="231F20"/>
          <w:spacing w:val="-4"/>
        </w:rPr>
        <w:t> </w:t>
      </w:r>
      <w:r>
        <w:rPr>
          <w:color w:val="231F20"/>
          <w:spacing w:val="-12"/>
        </w:rPr>
        <w:t>économiques, </w:t>
      </w:r>
      <w:r>
        <w:rPr>
          <w:color w:val="231F20"/>
          <w:spacing w:val="-6"/>
        </w:rPr>
        <w:t>sociales</w:t>
      </w:r>
      <w:r>
        <w:rPr>
          <w:color w:val="231F20"/>
          <w:spacing w:val="-25"/>
        </w:rPr>
        <w:t> </w:t>
      </w:r>
      <w:r>
        <w:rPr>
          <w:color w:val="231F20"/>
          <w:spacing w:val="-6"/>
        </w:rPr>
        <w:t>et</w:t>
      </w:r>
      <w:r>
        <w:rPr>
          <w:color w:val="231F20"/>
          <w:spacing w:val="-24"/>
        </w:rPr>
        <w:t> </w:t>
      </w:r>
      <w:r>
        <w:rPr>
          <w:color w:val="231F20"/>
          <w:spacing w:val="-6"/>
        </w:rPr>
        <w:t>humanitaires</w:t>
      </w:r>
      <w:r>
        <w:rPr>
          <w:color w:val="231F20"/>
          <w:spacing w:val="-25"/>
        </w:rPr>
        <w:t> </w:t>
      </w:r>
      <w:r>
        <w:rPr>
          <w:color w:val="231F20"/>
          <w:spacing w:val="-6"/>
        </w:rPr>
        <w:t>du</w:t>
      </w:r>
      <w:r>
        <w:rPr>
          <w:color w:val="231F20"/>
          <w:spacing w:val="-24"/>
        </w:rPr>
        <w:t> </w:t>
      </w:r>
      <w:r>
        <w:rPr>
          <w:color w:val="231F20"/>
          <w:spacing w:val="-6"/>
        </w:rPr>
        <w:t>Covid-19.</w:t>
      </w:r>
    </w:p>
    <w:p>
      <w:pPr>
        <w:pStyle w:val="BodyText"/>
        <w:spacing w:before="163"/>
        <w:ind w:left="413" w:right="1473"/>
      </w:pPr>
      <w:r>
        <w:rPr>
          <w:color w:val="231F20"/>
        </w:rPr>
        <w:t>Par ailleurs, l’administration étasunienne cherche à dessein à faire peur aux investisseurs</w:t>
      </w:r>
      <w:r>
        <w:rPr>
          <w:color w:val="231F20"/>
          <w:spacing w:val="-17"/>
        </w:rPr>
        <w:t> </w:t>
      </w:r>
      <w:r>
        <w:rPr>
          <w:color w:val="231F20"/>
        </w:rPr>
        <w:t>et</w:t>
      </w:r>
      <w:r>
        <w:rPr>
          <w:color w:val="231F20"/>
          <w:spacing w:val="-16"/>
        </w:rPr>
        <w:t> </w:t>
      </w:r>
      <w:r>
        <w:rPr>
          <w:color w:val="231F20"/>
        </w:rPr>
        <w:t>aux</w:t>
      </w:r>
      <w:r>
        <w:rPr>
          <w:color w:val="231F20"/>
          <w:spacing w:val="-17"/>
        </w:rPr>
        <w:t> </w:t>
      </w:r>
      <w:r>
        <w:rPr>
          <w:color w:val="231F20"/>
        </w:rPr>
        <w:t>sociétés</w:t>
      </w:r>
      <w:r>
        <w:rPr>
          <w:color w:val="231F20"/>
          <w:spacing w:val="-16"/>
        </w:rPr>
        <w:t> </w:t>
      </w:r>
      <w:r>
        <w:rPr>
          <w:color w:val="231F20"/>
        </w:rPr>
        <w:t>commerciales </w:t>
      </w:r>
      <w:r>
        <w:rPr>
          <w:color w:val="231F20"/>
          <w:spacing w:val="-2"/>
        </w:rPr>
        <w:t>étrangères</w:t>
      </w:r>
      <w:r>
        <w:rPr>
          <w:color w:val="231F20"/>
          <w:spacing w:val="-13"/>
        </w:rPr>
        <w:t> </w:t>
      </w:r>
      <w:r>
        <w:rPr>
          <w:color w:val="231F20"/>
          <w:spacing w:val="-2"/>
        </w:rPr>
        <w:t>par</w:t>
      </w:r>
      <w:r>
        <w:rPr>
          <w:color w:val="231F20"/>
          <w:spacing w:val="-13"/>
        </w:rPr>
        <w:t> </w:t>
      </w:r>
      <w:r>
        <w:rPr>
          <w:color w:val="231F20"/>
          <w:spacing w:val="-2"/>
        </w:rPr>
        <w:t>la</w:t>
      </w:r>
      <w:r>
        <w:rPr>
          <w:color w:val="231F20"/>
          <w:spacing w:val="-13"/>
        </w:rPr>
        <w:t> </w:t>
      </w:r>
      <w:r>
        <w:rPr>
          <w:color w:val="231F20"/>
          <w:spacing w:val="-2"/>
        </w:rPr>
        <w:t>mise</w:t>
      </w:r>
      <w:r>
        <w:rPr>
          <w:color w:val="231F20"/>
          <w:spacing w:val="-13"/>
        </w:rPr>
        <w:t> </w:t>
      </w:r>
      <w:r>
        <w:rPr>
          <w:color w:val="231F20"/>
          <w:spacing w:val="-2"/>
        </w:rPr>
        <w:t>en</w:t>
      </w:r>
      <w:r>
        <w:rPr>
          <w:color w:val="231F20"/>
          <w:spacing w:val="-13"/>
        </w:rPr>
        <w:t> </w:t>
      </w:r>
      <w:r>
        <w:rPr>
          <w:color w:val="231F20"/>
          <w:spacing w:val="-2"/>
        </w:rPr>
        <w:t>œuvre</w:t>
      </w:r>
      <w:r>
        <w:rPr>
          <w:color w:val="231F20"/>
          <w:spacing w:val="-13"/>
        </w:rPr>
        <w:t> </w:t>
      </w:r>
      <w:r>
        <w:rPr>
          <w:color w:val="231F20"/>
          <w:spacing w:val="-2"/>
        </w:rPr>
        <w:t>du</w:t>
      </w:r>
      <w:r>
        <w:rPr>
          <w:color w:val="231F20"/>
          <w:spacing w:val="-13"/>
        </w:rPr>
        <w:t> </w:t>
      </w:r>
      <w:r>
        <w:rPr>
          <w:color w:val="231F20"/>
          <w:spacing w:val="-2"/>
        </w:rPr>
        <w:t>Titre</w:t>
      </w:r>
      <w:r>
        <w:rPr>
          <w:color w:val="231F20"/>
          <w:spacing w:val="-13"/>
        </w:rPr>
        <w:t> </w:t>
      </w:r>
      <w:r>
        <w:rPr>
          <w:color w:val="231F20"/>
          <w:spacing w:val="-2"/>
        </w:rPr>
        <w:t>III </w:t>
      </w:r>
      <w:r>
        <w:rPr>
          <w:color w:val="231F20"/>
        </w:rPr>
        <w:t>de</w:t>
      </w:r>
      <w:r>
        <w:rPr>
          <w:color w:val="231F20"/>
          <w:spacing w:val="-13"/>
        </w:rPr>
        <w:t> </w:t>
      </w:r>
      <w:r>
        <w:rPr>
          <w:color w:val="231F20"/>
        </w:rPr>
        <w:t>la</w:t>
      </w:r>
      <w:r>
        <w:rPr>
          <w:color w:val="231F20"/>
          <w:spacing w:val="-13"/>
        </w:rPr>
        <w:t> </w:t>
      </w:r>
      <w:r>
        <w:rPr>
          <w:color w:val="231F20"/>
        </w:rPr>
        <w:t>Loi</w:t>
      </w:r>
      <w:r>
        <w:rPr>
          <w:color w:val="231F20"/>
          <w:spacing w:val="-13"/>
        </w:rPr>
        <w:t> </w:t>
      </w:r>
      <w:r>
        <w:rPr>
          <w:color w:val="231F20"/>
        </w:rPr>
        <w:t>Helms-Burton,</w:t>
      </w:r>
      <w:r>
        <w:rPr>
          <w:color w:val="231F20"/>
          <w:spacing w:val="-13"/>
        </w:rPr>
        <w:t> </w:t>
      </w:r>
      <w:r>
        <w:rPr>
          <w:color w:val="231F20"/>
        </w:rPr>
        <w:t>ainsi</w:t>
      </w:r>
      <w:r>
        <w:rPr>
          <w:color w:val="231F20"/>
          <w:spacing w:val="-13"/>
        </w:rPr>
        <w:t> </w:t>
      </w:r>
      <w:r>
        <w:rPr>
          <w:color w:val="231F20"/>
        </w:rPr>
        <w:t>qu’à</w:t>
      </w:r>
      <w:r>
        <w:rPr>
          <w:color w:val="231F20"/>
          <w:spacing w:val="-13"/>
        </w:rPr>
        <w:t> </w:t>
      </w:r>
      <w:r>
        <w:rPr>
          <w:color w:val="231F20"/>
        </w:rPr>
        <w:t>nuire</w:t>
      </w:r>
      <w:r>
        <w:rPr>
          <w:color w:val="231F20"/>
          <w:spacing w:val="-13"/>
        </w:rPr>
        <w:t> </w:t>
      </w:r>
      <w:r>
        <w:rPr>
          <w:color w:val="231F20"/>
        </w:rPr>
        <w:t>au </w:t>
      </w:r>
      <w:r>
        <w:rPr>
          <w:color w:val="231F20"/>
          <w:spacing w:val="-4"/>
        </w:rPr>
        <w:t>secteur</w:t>
      </w:r>
      <w:r>
        <w:rPr>
          <w:color w:val="231F20"/>
          <w:spacing w:val="-11"/>
        </w:rPr>
        <w:t> </w:t>
      </w:r>
      <w:r>
        <w:rPr>
          <w:color w:val="231F20"/>
          <w:spacing w:val="-4"/>
        </w:rPr>
        <w:t>privé</w:t>
      </w:r>
      <w:r>
        <w:rPr>
          <w:color w:val="231F20"/>
          <w:spacing w:val="-11"/>
        </w:rPr>
        <w:t> </w:t>
      </w:r>
      <w:r>
        <w:rPr>
          <w:color w:val="231F20"/>
          <w:spacing w:val="-4"/>
        </w:rPr>
        <w:t>et</w:t>
      </w:r>
      <w:r>
        <w:rPr>
          <w:color w:val="231F20"/>
          <w:spacing w:val="-11"/>
        </w:rPr>
        <w:t> </w:t>
      </w:r>
      <w:r>
        <w:rPr>
          <w:color w:val="231F20"/>
          <w:spacing w:val="-4"/>
        </w:rPr>
        <w:t>à</w:t>
      </w:r>
      <w:r>
        <w:rPr>
          <w:color w:val="231F20"/>
          <w:spacing w:val="-11"/>
        </w:rPr>
        <w:t> </w:t>
      </w:r>
      <w:r>
        <w:rPr>
          <w:color w:val="231F20"/>
          <w:spacing w:val="-4"/>
        </w:rPr>
        <w:t>entraver</w:t>
      </w:r>
      <w:r>
        <w:rPr>
          <w:color w:val="231F20"/>
          <w:spacing w:val="-11"/>
        </w:rPr>
        <w:t> </w:t>
      </w:r>
      <w:r>
        <w:rPr>
          <w:color w:val="231F20"/>
          <w:spacing w:val="-4"/>
        </w:rPr>
        <w:t>les</w:t>
      </w:r>
      <w:r>
        <w:rPr>
          <w:color w:val="231F20"/>
          <w:spacing w:val="-11"/>
        </w:rPr>
        <w:t> </w:t>
      </w:r>
      <w:r>
        <w:rPr>
          <w:color w:val="231F20"/>
          <w:spacing w:val="-4"/>
        </w:rPr>
        <w:t>relations</w:t>
      </w:r>
      <w:r>
        <w:rPr>
          <w:color w:val="231F20"/>
          <w:spacing w:val="-11"/>
        </w:rPr>
        <w:t> </w:t>
      </w:r>
      <w:r>
        <w:rPr>
          <w:color w:val="231F20"/>
          <w:spacing w:val="-4"/>
        </w:rPr>
        <w:t>avec </w:t>
      </w:r>
      <w:r>
        <w:rPr>
          <w:color w:val="231F20"/>
        </w:rPr>
        <w:t>les Cubains vivant aux États-Unis.</w:t>
      </w:r>
    </w:p>
    <w:p>
      <w:pPr>
        <w:pStyle w:val="BodyText"/>
        <w:spacing w:before="165"/>
        <w:ind w:left="413" w:right="1471"/>
      </w:pPr>
      <w:r>
        <w:rPr>
          <w:color w:val="231F20"/>
        </w:rPr>
        <w:t>Tout en ayant fait des pas très limités en matière de visas, de migration régulière, de transport aérien et d’envoi de fonds familiaux, elle a maintenu sans rien y changer les dispositions les plus dures du </w:t>
      </w:r>
      <w:r>
        <w:rPr>
          <w:color w:val="231F20"/>
          <w:spacing w:val="-4"/>
        </w:rPr>
        <w:t>blocus</w:t>
      </w:r>
      <w:r>
        <w:rPr>
          <w:color w:val="231F20"/>
          <w:spacing w:val="-13"/>
        </w:rPr>
        <w:t> </w:t>
      </w:r>
      <w:r>
        <w:rPr>
          <w:color w:val="231F20"/>
          <w:spacing w:val="-4"/>
        </w:rPr>
        <w:t>et</w:t>
      </w:r>
      <w:r>
        <w:rPr>
          <w:color w:val="231F20"/>
          <w:spacing w:val="-12"/>
        </w:rPr>
        <w:t> </w:t>
      </w:r>
      <w:r>
        <w:rPr>
          <w:color w:val="231F20"/>
          <w:spacing w:val="-4"/>
        </w:rPr>
        <w:t>les</w:t>
      </w:r>
      <w:r>
        <w:rPr>
          <w:color w:val="231F20"/>
          <w:spacing w:val="-13"/>
        </w:rPr>
        <w:t> </w:t>
      </w:r>
      <w:r>
        <w:rPr>
          <w:color w:val="231F20"/>
          <w:spacing w:val="-4"/>
        </w:rPr>
        <w:t>mesures</w:t>
      </w:r>
      <w:r>
        <w:rPr>
          <w:color w:val="231F20"/>
          <w:spacing w:val="-12"/>
        </w:rPr>
        <w:t> </w:t>
      </w:r>
      <w:r>
        <w:rPr>
          <w:color w:val="231F20"/>
          <w:spacing w:val="-4"/>
        </w:rPr>
        <w:t>de</w:t>
      </w:r>
      <w:r>
        <w:rPr>
          <w:color w:val="231F20"/>
          <w:spacing w:val="-13"/>
        </w:rPr>
        <w:t> </w:t>
      </w:r>
      <w:r>
        <w:rPr>
          <w:color w:val="231F20"/>
          <w:spacing w:val="-4"/>
        </w:rPr>
        <w:t>pression</w:t>
      </w:r>
      <w:r>
        <w:rPr>
          <w:color w:val="231F20"/>
          <w:spacing w:val="-12"/>
        </w:rPr>
        <w:t> </w:t>
      </w:r>
      <w:r>
        <w:rPr>
          <w:color w:val="231F20"/>
          <w:spacing w:val="-4"/>
        </w:rPr>
        <w:t>maximale </w:t>
      </w:r>
      <w:r>
        <w:rPr>
          <w:color w:val="231F20"/>
        </w:rPr>
        <w:t>instaurées depuis 2017.</w:t>
      </w:r>
    </w:p>
    <w:p>
      <w:pPr>
        <w:pStyle w:val="BodyText"/>
        <w:spacing w:before="166"/>
        <w:ind w:left="413" w:right="1472"/>
      </w:pPr>
      <w:r>
        <w:rPr>
          <w:color w:val="231F20"/>
          <w:spacing w:val="-4"/>
        </w:rPr>
        <w:t>L’administration</w:t>
      </w:r>
      <w:r>
        <w:rPr>
          <w:color w:val="231F20"/>
          <w:spacing w:val="-12"/>
        </w:rPr>
        <w:t> </w:t>
      </w:r>
      <w:r>
        <w:rPr>
          <w:color w:val="231F20"/>
          <w:spacing w:val="-4"/>
        </w:rPr>
        <w:t>étasunienne</w:t>
      </w:r>
      <w:r>
        <w:rPr>
          <w:color w:val="231F20"/>
          <w:spacing w:val="-12"/>
        </w:rPr>
        <w:t> </w:t>
      </w:r>
      <w:r>
        <w:rPr>
          <w:color w:val="231F20"/>
          <w:spacing w:val="-4"/>
        </w:rPr>
        <w:t>a</w:t>
      </w:r>
      <w:r>
        <w:rPr>
          <w:color w:val="231F20"/>
          <w:spacing w:val="-12"/>
        </w:rPr>
        <w:t> </w:t>
      </w:r>
      <w:r>
        <w:rPr>
          <w:color w:val="231F20"/>
          <w:spacing w:val="-4"/>
        </w:rPr>
        <w:t>renforcé</w:t>
      </w:r>
      <w:r>
        <w:rPr>
          <w:color w:val="231F20"/>
          <w:spacing w:val="-12"/>
        </w:rPr>
        <w:t> </w:t>
      </w:r>
      <w:r>
        <w:rPr>
          <w:color w:val="231F20"/>
          <w:spacing w:val="-4"/>
        </w:rPr>
        <w:t>par </w:t>
      </w:r>
      <w:r>
        <w:rPr>
          <w:color w:val="231F20"/>
        </w:rPr>
        <w:t>ailleurs la traque financière à laquelle elle se</w:t>
      </w:r>
      <w:r>
        <w:rPr>
          <w:color w:val="231F20"/>
          <w:spacing w:val="-17"/>
        </w:rPr>
        <w:t> </w:t>
      </w:r>
      <w:r>
        <w:rPr>
          <w:color w:val="231F20"/>
        </w:rPr>
        <w:t>livre</w:t>
      </w:r>
      <w:r>
        <w:rPr>
          <w:color w:val="231F20"/>
          <w:spacing w:val="-16"/>
        </w:rPr>
        <w:t> </w:t>
      </w:r>
      <w:r>
        <w:rPr>
          <w:color w:val="231F20"/>
        </w:rPr>
        <w:t>grâce</w:t>
      </w:r>
      <w:r>
        <w:rPr>
          <w:color w:val="231F20"/>
          <w:spacing w:val="-17"/>
        </w:rPr>
        <w:t> </w:t>
      </w:r>
      <w:r>
        <w:rPr>
          <w:color w:val="231F20"/>
        </w:rPr>
        <w:t>à</w:t>
      </w:r>
      <w:r>
        <w:rPr>
          <w:color w:val="231F20"/>
          <w:spacing w:val="-16"/>
        </w:rPr>
        <w:t> </w:t>
      </w:r>
      <w:r>
        <w:rPr>
          <w:color w:val="231F20"/>
        </w:rPr>
        <w:t>la</w:t>
      </w:r>
      <w:r>
        <w:rPr>
          <w:color w:val="231F20"/>
          <w:spacing w:val="-17"/>
        </w:rPr>
        <w:t> </w:t>
      </w:r>
      <w:r>
        <w:rPr>
          <w:color w:val="231F20"/>
        </w:rPr>
        <w:t>réinscription</w:t>
      </w:r>
      <w:r>
        <w:rPr>
          <w:color w:val="231F20"/>
          <w:spacing w:val="-16"/>
        </w:rPr>
        <w:t> </w:t>
      </w:r>
      <w:r>
        <w:rPr>
          <w:color w:val="231F20"/>
        </w:rPr>
        <w:t>de</w:t>
      </w:r>
      <w:r>
        <w:rPr>
          <w:color w:val="231F20"/>
          <w:spacing w:val="-17"/>
        </w:rPr>
        <w:t> </w:t>
      </w:r>
      <w:r>
        <w:rPr>
          <w:color w:val="231F20"/>
        </w:rPr>
        <w:t>Cuba</w:t>
      </w:r>
      <w:r>
        <w:rPr>
          <w:color w:val="231F20"/>
          <w:spacing w:val="-16"/>
        </w:rPr>
        <w:t> </w:t>
      </w:r>
      <w:r>
        <w:rPr>
          <w:color w:val="231F20"/>
        </w:rPr>
        <w:t>sur la liste arbitraire et unilatérale que dresse le département d’État au sujet des États censément</w:t>
      </w:r>
      <w:r>
        <w:rPr>
          <w:color w:val="231F20"/>
          <w:spacing w:val="-4"/>
        </w:rPr>
        <w:t> </w:t>
      </w:r>
      <w:r>
        <w:rPr>
          <w:color w:val="231F20"/>
        </w:rPr>
        <w:t>commanditaires</w:t>
      </w:r>
      <w:r>
        <w:rPr>
          <w:color w:val="231F20"/>
          <w:spacing w:val="-4"/>
        </w:rPr>
        <w:t> </w:t>
      </w:r>
      <w:r>
        <w:rPr>
          <w:color w:val="231F20"/>
        </w:rPr>
        <w:t>de</w:t>
      </w:r>
      <w:r>
        <w:rPr>
          <w:color w:val="231F20"/>
          <w:spacing w:val="-4"/>
        </w:rPr>
        <w:t> </w:t>
      </w:r>
      <w:r>
        <w:rPr>
          <w:color w:val="231F20"/>
        </w:rPr>
        <w:t>terrorisme international, une mesure prise par l’administration Trump à peine neuf jours avant son départ de la Maison-Blanche. Le président Biden pourrait l’annuler d’un trait</w:t>
      </w:r>
      <w:r>
        <w:rPr>
          <w:color w:val="231F20"/>
          <w:spacing w:val="-6"/>
        </w:rPr>
        <w:t> </w:t>
      </w:r>
      <w:r>
        <w:rPr>
          <w:color w:val="231F20"/>
        </w:rPr>
        <w:t>de</w:t>
      </w:r>
      <w:r>
        <w:rPr>
          <w:color w:val="231F20"/>
          <w:spacing w:val="-6"/>
        </w:rPr>
        <w:t> </w:t>
      </w:r>
      <w:r>
        <w:rPr>
          <w:color w:val="231F20"/>
        </w:rPr>
        <w:t>plume,</w:t>
      </w:r>
      <w:r>
        <w:rPr>
          <w:color w:val="231F20"/>
          <w:spacing w:val="-6"/>
        </w:rPr>
        <w:t> </w:t>
      </w:r>
      <w:r>
        <w:rPr>
          <w:color w:val="231F20"/>
        </w:rPr>
        <w:t>mais</w:t>
      </w:r>
      <w:r>
        <w:rPr>
          <w:color w:val="231F20"/>
          <w:spacing w:val="-6"/>
        </w:rPr>
        <w:t> </w:t>
      </w:r>
      <w:r>
        <w:rPr>
          <w:color w:val="231F20"/>
        </w:rPr>
        <w:t>il</w:t>
      </w:r>
      <w:r>
        <w:rPr>
          <w:color w:val="231F20"/>
          <w:spacing w:val="-6"/>
        </w:rPr>
        <w:t> </w:t>
      </w:r>
      <w:r>
        <w:rPr>
          <w:color w:val="231F20"/>
        </w:rPr>
        <w:t>la</w:t>
      </w:r>
      <w:r>
        <w:rPr>
          <w:color w:val="231F20"/>
          <w:spacing w:val="-6"/>
        </w:rPr>
        <w:t> </w:t>
      </w:r>
      <w:r>
        <w:rPr>
          <w:color w:val="231F20"/>
        </w:rPr>
        <w:t>maintient</w:t>
      </w:r>
      <w:r>
        <w:rPr>
          <w:color w:val="231F20"/>
          <w:spacing w:val="-6"/>
        </w:rPr>
        <w:t> </w:t>
      </w:r>
      <w:r>
        <w:rPr>
          <w:color w:val="231F20"/>
        </w:rPr>
        <w:t>tout</w:t>
      </w:r>
      <w:r>
        <w:rPr>
          <w:color w:val="231F20"/>
          <w:spacing w:val="-6"/>
        </w:rPr>
        <w:t> </w:t>
      </w:r>
      <w:r>
        <w:rPr>
          <w:color w:val="231F20"/>
        </w:rPr>
        <w:t>en sachant pertinemment que ses motifs en sont infondés et malhonnêtes, parce qu’il n’a fait preuve à ce jour de la moindre volonté de modifier le blocus en quoi</w:t>
      </w:r>
      <w:r>
        <w:rPr>
          <w:color w:val="231F20"/>
          <w:spacing w:val="80"/>
        </w:rPr>
        <w:t> </w:t>
      </w:r>
      <w:r>
        <w:rPr>
          <w:color w:val="231F20"/>
        </w:rPr>
        <w:t>que ce soit, pas même au sujet d’une des mesures</w:t>
      </w:r>
      <w:r>
        <w:rPr>
          <w:color w:val="231F20"/>
          <w:spacing w:val="-14"/>
        </w:rPr>
        <w:t> </w:t>
      </w:r>
      <w:r>
        <w:rPr>
          <w:color w:val="231F20"/>
        </w:rPr>
        <w:t>qui</w:t>
      </w:r>
      <w:r>
        <w:rPr>
          <w:color w:val="231F20"/>
          <w:spacing w:val="-14"/>
        </w:rPr>
        <w:t> </w:t>
      </w:r>
      <w:r>
        <w:rPr>
          <w:color w:val="231F20"/>
        </w:rPr>
        <w:t>pèsent</w:t>
      </w:r>
      <w:r>
        <w:rPr>
          <w:color w:val="231F20"/>
          <w:spacing w:val="-13"/>
        </w:rPr>
        <w:t> </w:t>
      </w:r>
      <w:r>
        <w:rPr>
          <w:color w:val="231F20"/>
        </w:rPr>
        <w:t>le</w:t>
      </w:r>
      <w:r>
        <w:rPr>
          <w:color w:val="231F20"/>
          <w:spacing w:val="-13"/>
        </w:rPr>
        <w:t> </w:t>
      </w:r>
      <w:r>
        <w:rPr>
          <w:color w:val="231F20"/>
        </w:rPr>
        <w:t>plus</w:t>
      </w:r>
      <w:r>
        <w:rPr>
          <w:color w:val="231F20"/>
          <w:spacing w:val="-14"/>
        </w:rPr>
        <w:t> </w:t>
      </w:r>
      <w:r>
        <w:rPr>
          <w:color w:val="231F20"/>
        </w:rPr>
        <w:t>sévèrement</w:t>
      </w:r>
      <w:r>
        <w:rPr>
          <w:color w:val="231F20"/>
          <w:spacing w:val="-13"/>
        </w:rPr>
        <w:t> </w:t>
      </w:r>
      <w:r>
        <w:rPr>
          <w:color w:val="231F20"/>
          <w:spacing w:val="-5"/>
        </w:rPr>
        <w:t>sur</w:t>
      </w:r>
    </w:p>
    <w:p>
      <w:pPr>
        <w:spacing w:after="0"/>
        <w:sectPr>
          <w:type w:val="continuous"/>
          <w:pgSz w:w="11910" w:h="16840"/>
          <w:pgMar w:header="0" w:footer="695" w:top="1920" w:bottom="280" w:left="0" w:right="0"/>
          <w:cols w:num="2" w:equalWidth="0">
            <w:col w:w="5557" w:space="40"/>
            <w:col w:w="6313"/>
          </w:cols>
        </w:sectPr>
      </w:pPr>
    </w:p>
    <w:p>
      <w:pPr>
        <w:pStyle w:val="BodyText"/>
        <w:spacing w:before="77"/>
        <w:ind w:left="1474"/>
      </w:pPr>
      <w:r>
        <w:rPr/>
        <mc:AlternateContent>
          <mc:Choice Requires="wps">
            <w:drawing>
              <wp:anchor distT="0" distB="0" distL="0" distR="0" allowOverlap="1" layoutInCell="1" locked="0" behindDoc="0" simplePos="0" relativeHeight="15859712">
                <wp:simplePos x="0" y="0"/>
                <wp:positionH relativeFrom="page">
                  <wp:posOffset>7514996</wp:posOffset>
                </wp:positionH>
                <wp:positionV relativeFrom="page">
                  <wp:posOffset>1837525</wp:posOffset>
                </wp:positionV>
                <wp:extent cx="45085" cy="368300"/>
                <wp:effectExtent l="0" t="0" r="0" b="0"/>
                <wp:wrapNone/>
                <wp:docPr id="548" name="Graphic 548"/>
                <wp:cNvGraphicFramePr>
                  <a:graphicFrameLocks/>
                </wp:cNvGraphicFramePr>
                <a:graphic>
                  <a:graphicData uri="http://schemas.microsoft.com/office/word/2010/wordprocessingShape">
                    <wps:wsp>
                      <wps:cNvPr id="548" name="Graphic 548"/>
                      <wps:cNvSpPr/>
                      <wps:spPr>
                        <a:xfrm>
                          <a:off x="0" y="0"/>
                          <a:ext cx="45085" cy="368300"/>
                        </a:xfrm>
                        <a:custGeom>
                          <a:avLst/>
                          <a:gdLst/>
                          <a:ahLst/>
                          <a:cxnLst/>
                          <a:rect l="l" t="t" r="r" b="b"/>
                          <a:pathLst>
                            <a:path w="45085" h="368300">
                              <a:moveTo>
                                <a:pt x="44996" y="0"/>
                              </a:moveTo>
                              <a:lnTo>
                                <a:pt x="0" y="0"/>
                              </a:lnTo>
                              <a:lnTo>
                                <a:pt x="0" y="367804"/>
                              </a:lnTo>
                              <a:lnTo>
                                <a:pt x="44996" y="367804"/>
                              </a:lnTo>
                              <a:lnTo>
                                <a:pt x="44996" y="0"/>
                              </a:lnTo>
                              <a:close/>
                            </a:path>
                          </a:pathLst>
                        </a:custGeom>
                        <a:solidFill>
                          <a:srgbClr val="1A4796"/>
                        </a:solidFill>
                      </wps:spPr>
                      <wps:bodyPr wrap="square" lIns="0" tIns="0" rIns="0" bIns="0" rtlCol="0">
                        <a:prstTxWarp prst="textNoShape">
                          <a:avLst/>
                        </a:prstTxWarp>
                        <a:noAutofit/>
                      </wps:bodyPr>
                    </wps:wsp>
                  </a:graphicData>
                </a:graphic>
              </wp:anchor>
            </w:drawing>
          </mc:Choice>
          <mc:Fallback>
            <w:pict>
              <v:rect style="position:absolute;margin-left:591.731995pt;margin-top:144.687012pt;width:3.543pt;height:28.961pt;mso-position-horizontal-relative:page;mso-position-vertical-relative:page;z-index:15859712" id="docshape435" filled="true" fillcolor="#1a4796" stroked="false">
                <v:fill type="solid"/>
                <w10:wrap type="none"/>
              </v:rect>
            </w:pict>
          </mc:Fallback>
        </mc:AlternateContent>
      </w:r>
      <w:r>
        <w:rPr>
          <w:color w:val="231F20"/>
          <w:spacing w:val="-4"/>
        </w:rPr>
        <w:t>tous</w:t>
      </w:r>
      <w:r>
        <w:rPr>
          <w:color w:val="231F20"/>
          <w:spacing w:val="-8"/>
        </w:rPr>
        <w:t> </w:t>
      </w:r>
      <w:r>
        <w:rPr>
          <w:color w:val="231F20"/>
          <w:spacing w:val="-4"/>
        </w:rPr>
        <w:t>les</w:t>
      </w:r>
      <w:r>
        <w:rPr>
          <w:color w:val="231F20"/>
          <w:spacing w:val="-6"/>
        </w:rPr>
        <w:t> </w:t>
      </w:r>
      <w:r>
        <w:rPr>
          <w:color w:val="231F20"/>
          <w:spacing w:val="-4"/>
        </w:rPr>
        <w:t>domaines</w:t>
      </w:r>
      <w:r>
        <w:rPr>
          <w:color w:val="231F20"/>
          <w:spacing w:val="-5"/>
        </w:rPr>
        <w:t> </w:t>
      </w:r>
      <w:r>
        <w:rPr>
          <w:color w:val="231F20"/>
          <w:spacing w:val="-4"/>
        </w:rPr>
        <w:t>de</w:t>
      </w:r>
      <w:r>
        <w:rPr>
          <w:color w:val="231F20"/>
          <w:spacing w:val="-5"/>
        </w:rPr>
        <w:t> </w:t>
      </w:r>
      <w:r>
        <w:rPr>
          <w:color w:val="231F20"/>
          <w:spacing w:val="-4"/>
        </w:rPr>
        <w:t>l’économie nationale.</w:t>
      </w:r>
    </w:p>
    <w:p>
      <w:pPr>
        <w:pStyle w:val="BodyText"/>
        <w:spacing w:before="161"/>
        <w:ind w:left="1474"/>
      </w:pPr>
      <w:r>
        <w:rPr>
          <w:color w:val="231F20"/>
          <w:spacing w:val="-4"/>
        </w:rPr>
        <w:t>Cette</w:t>
      </w:r>
      <w:r>
        <w:rPr>
          <w:color w:val="231F20"/>
          <w:spacing w:val="-13"/>
        </w:rPr>
        <w:t> </w:t>
      </w:r>
      <w:r>
        <w:rPr>
          <w:color w:val="231F20"/>
          <w:spacing w:val="-4"/>
        </w:rPr>
        <w:t>politique</w:t>
      </w:r>
      <w:r>
        <w:rPr>
          <w:color w:val="231F20"/>
          <w:spacing w:val="-12"/>
        </w:rPr>
        <w:t> </w:t>
      </w:r>
      <w:r>
        <w:rPr>
          <w:color w:val="231F20"/>
          <w:spacing w:val="-4"/>
        </w:rPr>
        <w:t>constitue</w:t>
      </w:r>
      <w:r>
        <w:rPr>
          <w:color w:val="231F20"/>
          <w:spacing w:val="-13"/>
        </w:rPr>
        <w:t> </w:t>
      </w:r>
      <w:r>
        <w:rPr>
          <w:color w:val="231F20"/>
          <w:spacing w:val="-4"/>
        </w:rPr>
        <w:t>aussi</w:t>
      </w:r>
      <w:r>
        <w:rPr>
          <w:color w:val="231F20"/>
          <w:spacing w:val="-12"/>
        </w:rPr>
        <w:t> </w:t>
      </w:r>
      <w:r>
        <w:rPr>
          <w:color w:val="231F20"/>
          <w:spacing w:val="-4"/>
        </w:rPr>
        <w:t>une</w:t>
      </w:r>
      <w:r>
        <w:rPr>
          <w:color w:val="231F20"/>
          <w:spacing w:val="-13"/>
        </w:rPr>
        <w:t> </w:t>
      </w:r>
      <w:r>
        <w:rPr>
          <w:color w:val="231F20"/>
          <w:spacing w:val="-4"/>
        </w:rPr>
        <w:t>violation </w:t>
      </w:r>
      <w:r>
        <w:rPr>
          <w:color w:val="231F20"/>
        </w:rPr>
        <w:t>des</w:t>
      </w:r>
      <w:r>
        <w:rPr>
          <w:color w:val="231F20"/>
          <w:spacing w:val="-6"/>
        </w:rPr>
        <w:t> </w:t>
      </w:r>
      <w:r>
        <w:rPr>
          <w:color w:val="231F20"/>
        </w:rPr>
        <w:t>principes</w:t>
      </w:r>
      <w:r>
        <w:rPr>
          <w:color w:val="231F20"/>
          <w:spacing w:val="-6"/>
        </w:rPr>
        <w:t> </w:t>
      </w:r>
      <w:r>
        <w:rPr>
          <w:color w:val="231F20"/>
        </w:rPr>
        <w:t>du</w:t>
      </w:r>
      <w:r>
        <w:rPr>
          <w:color w:val="231F20"/>
          <w:spacing w:val="-6"/>
        </w:rPr>
        <w:t> </w:t>
      </w:r>
      <w:r>
        <w:rPr>
          <w:color w:val="231F20"/>
        </w:rPr>
        <w:t>droit</w:t>
      </w:r>
      <w:r>
        <w:rPr>
          <w:color w:val="231F20"/>
          <w:spacing w:val="-6"/>
        </w:rPr>
        <w:t> </w:t>
      </w:r>
      <w:r>
        <w:rPr>
          <w:color w:val="231F20"/>
        </w:rPr>
        <w:t>international</w:t>
      </w:r>
      <w:r>
        <w:rPr>
          <w:color w:val="231F20"/>
          <w:spacing w:val="-6"/>
        </w:rPr>
        <w:t> </w:t>
      </w:r>
      <w:r>
        <w:rPr>
          <w:color w:val="231F20"/>
        </w:rPr>
        <w:t>et</w:t>
      </w:r>
      <w:r>
        <w:rPr>
          <w:color w:val="231F20"/>
          <w:spacing w:val="-6"/>
        </w:rPr>
        <w:t> </w:t>
      </w:r>
      <w:r>
        <w:rPr>
          <w:color w:val="231F20"/>
        </w:rPr>
        <w:t>des normes de commerce internationales, </w:t>
      </w:r>
      <w:r>
        <w:rPr>
          <w:color w:val="231F20"/>
          <w:spacing w:val="-8"/>
        </w:rPr>
        <w:t>puisque</w:t>
      </w:r>
      <w:r>
        <w:rPr>
          <w:color w:val="231F20"/>
          <w:spacing w:val="-9"/>
        </w:rPr>
        <w:t> </w:t>
      </w:r>
      <w:r>
        <w:rPr>
          <w:color w:val="231F20"/>
          <w:spacing w:val="-8"/>
        </w:rPr>
        <w:t>ses actions</w:t>
      </w:r>
      <w:r>
        <w:rPr>
          <w:color w:val="231F20"/>
          <w:spacing w:val="-9"/>
        </w:rPr>
        <w:t> </w:t>
      </w:r>
      <w:r>
        <w:rPr>
          <w:color w:val="231F20"/>
          <w:spacing w:val="-8"/>
        </w:rPr>
        <w:t>de pression</w:t>
      </w:r>
      <w:r>
        <w:rPr>
          <w:color w:val="231F20"/>
          <w:spacing w:val="-9"/>
        </w:rPr>
        <w:t> </w:t>
      </w:r>
      <w:r>
        <w:rPr>
          <w:color w:val="231F20"/>
          <w:spacing w:val="-8"/>
        </w:rPr>
        <w:t>économique </w:t>
      </w:r>
      <w:r>
        <w:rPr>
          <w:color w:val="231F20"/>
        </w:rPr>
        <w:t>lèsent</w:t>
      </w:r>
      <w:r>
        <w:rPr>
          <w:color w:val="231F20"/>
          <w:spacing w:val="40"/>
        </w:rPr>
        <w:t> </w:t>
      </w:r>
      <w:r>
        <w:rPr>
          <w:color w:val="231F20"/>
        </w:rPr>
        <w:t>la</w:t>
      </w:r>
      <w:r>
        <w:rPr>
          <w:color w:val="231F20"/>
          <w:spacing w:val="40"/>
        </w:rPr>
        <w:t> </w:t>
      </w:r>
      <w:r>
        <w:rPr>
          <w:color w:val="231F20"/>
        </w:rPr>
        <w:t>souveraineté</w:t>
      </w:r>
      <w:r>
        <w:rPr>
          <w:color w:val="231F20"/>
          <w:spacing w:val="40"/>
        </w:rPr>
        <w:t> </w:t>
      </w:r>
      <w:r>
        <w:rPr>
          <w:color w:val="231F20"/>
        </w:rPr>
        <w:t>de</w:t>
      </w:r>
      <w:r>
        <w:rPr>
          <w:color w:val="231F20"/>
          <w:spacing w:val="40"/>
        </w:rPr>
        <w:t> </w:t>
      </w:r>
      <w:r>
        <w:rPr>
          <w:color w:val="231F20"/>
        </w:rPr>
        <w:t>pays</w:t>
      </w:r>
      <w:r>
        <w:rPr>
          <w:color w:val="231F20"/>
          <w:spacing w:val="40"/>
        </w:rPr>
        <w:t> </w:t>
      </w:r>
      <w:r>
        <w:rPr>
          <w:color w:val="231F20"/>
        </w:rPr>
        <w:t>tiers</w:t>
      </w:r>
      <w:r>
        <w:rPr>
          <w:color w:val="231F20"/>
          <w:spacing w:val="40"/>
        </w:rPr>
        <w:t> </w:t>
      </w:r>
      <w:r>
        <w:rPr>
          <w:color w:val="231F20"/>
        </w:rPr>
        <w:t>:</w:t>
      </w:r>
      <w:r>
        <w:rPr>
          <w:color w:val="231F20"/>
          <w:spacing w:val="40"/>
        </w:rPr>
        <w:t> </w:t>
      </w:r>
      <w:r>
        <w:rPr>
          <w:color w:val="231F20"/>
        </w:rPr>
        <w:t>par ses pratiques antidémocratiques et interventionnistes, Washington cherche à ce</w:t>
      </w:r>
      <w:r>
        <w:rPr>
          <w:color w:val="231F20"/>
          <w:spacing w:val="-11"/>
        </w:rPr>
        <w:t> </w:t>
      </w:r>
      <w:r>
        <w:rPr>
          <w:color w:val="231F20"/>
        </w:rPr>
        <w:t>que</w:t>
      </w:r>
      <w:r>
        <w:rPr>
          <w:color w:val="231F20"/>
          <w:spacing w:val="-11"/>
        </w:rPr>
        <w:t> </w:t>
      </w:r>
      <w:r>
        <w:rPr>
          <w:color w:val="231F20"/>
        </w:rPr>
        <w:t>les</w:t>
      </w:r>
      <w:r>
        <w:rPr>
          <w:color w:val="231F20"/>
          <w:spacing w:val="-11"/>
        </w:rPr>
        <w:t> </w:t>
      </w:r>
      <w:r>
        <w:rPr>
          <w:color w:val="231F20"/>
        </w:rPr>
        <w:t>autres</w:t>
      </w:r>
      <w:r>
        <w:rPr>
          <w:color w:val="231F20"/>
          <w:spacing w:val="-11"/>
        </w:rPr>
        <w:t> </w:t>
      </w:r>
      <w:r>
        <w:rPr>
          <w:color w:val="231F20"/>
        </w:rPr>
        <w:t>États</w:t>
      </w:r>
      <w:r>
        <w:rPr>
          <w:color w:val="231F20"/>
          <w:spacing w:val="-11"/>
        </w:rPr>
        <w:t> </w:t>
      </w:r>
      <w:r>
        <w:rPr>
          <w:color w:val="231F20"/>
        </w:rPr>
        <w:t>et</w:t>
      </w:r>
      <w:r>
        <w:rPr>
          <w:color w:val="231F20"/>
          <w:spacing w:val="-11"/>
        </w:rPr>
        <w:t> </w:t>
      </w:r>
      <w:r>
        <w:rPr>
          <w:color w:val="231F20"/>
        </w:rPr>
        <w:t>les</w:t>
      </w:r>
      <w:r>
        <w:rPr>
          <w:color w:val="231F20"/>
          <w:spacing w:val="-11"/>
        </w:rPr>
        <w:t> </w:t>
      </w:r>
      <w:r>
        <w:rPr>
          <w:color w:val="231F20"/>
        </w:rPr>
        <w:t>organisations internationales se plient à sa politique contre Cuba.</w:t>
      </w:r>
    </w:p>
    <w:p>
      <w:pPr>
        <w:spacing w:before="166"/>
        <w:ind w:left="1474" w:right="4" w:firstLine="0"/>
        <w:jc w:val="both"/>
        <w:rPr>
          <w:rFonts w:ascii="Segoe UI Semibold" w:hAnsi="Segoe UI Semibold"/>
          <w:b/>
          <w:i/>
          <w:sz w:val="24"/>
        </w:rPr>
      </w:pPr>
      <w:r>
        <w:rPr>
          <w:rFonts w:ascii="Segoe UI Semibold" w:hAnsi="Segoe UI Semibold"/>
          <w:b/>
          <w:i/>
          <w:color w:val="231F20"/>
          <w:sz w:val="24"/>
        </w:rPr>
        <w:t>Du 1er mars 2022 au 28 février 2023, </w:t>
      </w:r>
      <w:r>
        <w:rPr>
          <w:rFonts w:ascii="Segoe UI Semibold" w:hAnsi="Segoe UI Semibold"/>
          <w:b/>
          <w:i/>
          <w:color w:val="231F20"/>
          <w:sz w:val="24"/>
        </w:rPr>
        <w:t>le</w:t>
      </w:r>
      <w:r>
        <w:rPr>
          <w:rFonts w:ascii="Segoe UI Semibold" w:hAnsi="Segoe UI Semibold"/>
          <w:b/>
          <w:i/>
          <w:color w:val="231F20"/>
          <w:sz w:val="24"/>
        </w:rPr>
        <w:t> blocus a causé des dommages et des </w:t>
      </w:r>
      <w:r>
        <w:rPr>
          <w:rFonts w:ascii="Segoe UI Semibold" w:hAnsi="Segoe UI Semibold"/>
          <w:b/>
          <w:i/>
          <w:color w:val="231F20"/>
          <w:spacing w:val="-4"/>
          <w:sz w:val="24"/>
        </w:rPr>
        <w:t>préjudices</w:t>
      </w:r>
      <w:r>
        <w:rPr>
          <w:rFonts w:ascii="Segoe UI Semibold" w:hAnsi="Segoe UI Semibold"/>
          <w:b/>
          <w:i/>
          <w:color w:val="231F20"/>
          <w:spacing w:val="-11"/>
          <w:sz w:val="24"/>
        </w:rPr>
        <w:t> </w:t>
      </w:r>
      <w:r>
        <w:rPr>
          <w:rFonts w:ascii="Segoe UI Semibold" w:hAnsi="Segoe UI Semibold"/>
          <w:b/>
          <w:i/>
          <w:color w:val="231F20"/>
          <w:spacing w:val="-4"/>
          <w:sz w:val="24"/>
        </w:rPr>
        <w:t>estimés</w:t>
      </w:r>
      <w:r>
        <w:rPr>
          <w:rFonts w:ascii="Segoe UI Semibold" w:hAnsi="Segoe UI Semibold"/>
          <w:b/>
          <w:i/>
          <w:color w:val="231F20"/>
          <w:spacing w:val="-11"/>
          <w:sz w:val="24"/>
        </w:rPr>
        <w:t> </w:t>
      </w:r>
      <w:r>
        <w:rPr>
          <w:rFonts w:ascii="Segoe UI Semibold" w:hAnsi="Segoe UI Semibold"/>
          <w:b/>
          <w:i/>
          <w:color w:val="231F20"/>
          <w:spacing w:val="-4"/>
          <w:sz w:val="24"/>
        </w:rPr>
        <w:t>au</w:t>
      </w:r>
      <w:r>
        <w:rPr>
          <w:rFonts w:ascii="Segoe UI Semibold" w:hAnsi="Segoe UI Semibold"/>
          <w:b/>
          <w:i/>
          <w:color w:val="231F20"/>
          <w:spacing w:val="-11"/>
          <w:sz w:val="24"/>
        </w:rPr>
        <w:t> </w:t>
      </w:r>
      <w:r>
        <w:rPr>
          <w:rFonts w:ascii="Segoe UI Semibold" w:hAnsi="Segoe UI Semibold"/>
          <w:b/>
          <w:i/>
          <w:color w:val="231F20"/>
          <w:spacing w:val="-4"/>
          <w:sz w:val="24"/>
        </w:rPr>
        <w:t>bas</w:t>
      </w:r>
      <w:r>
        <w:rPr>
          <w:rFonts w:ascii="Segoe UI Semibold" w:hAnsi="Segoe UI Semibold"/>
          <w:b/>
          <w:i/>
          <w:color w:val="231F20"/>
          <w:spacing w:val="-11"/>
          <w:sz w:val="24"/>
        </w:rPr>
        <w:t> </w:t>
      </w:r>
      <w:r>
        <w:rPr>
          <w:rFonts w:ascii="Segoe UI Semibold" w:hAnsi="Segoe UI Semibold"/>
          <w:b/>
          <w:i/>
          <w:color w:val="231F20"/>
          <w:spacing w:val="-4"/>
          <w:sz w:val="24"/>
        </w:rPr>
        <w:t>mot</w:t>
      </w:r>
      <w:r>
        <w:rPr>
          <w:rFonts w:ascii="Segoe UI Semibold" w:hAnsi="Segoe UI Semibold"/>
          <w:b/>
          <w:i/>
          <w:color w:val="231F20"/>
          <w:spacing w:val="-11"/>
          <w:sz w:val="24"/>
        </w:rPr>
        <w:t> </w:t>
      </w:r>
      <w:r>
        <w:rPr>
          <w:rFonts w:ascii="Segoe UI Semibold" w:hAnsi="Segoe UI Semibold"/>
          <w:b/>
          <w:i/>
          <w:color w:val="231F20"/>
          <w:spacing w:val="-4"/>
          <w:sz w:val="24"/>
        </w:rPr>
        <w:t>à</w:t>
      </w:r>
      <w:r>
        <w:rPr>
          <w:rFonts w:ascii="Segoe UI Semibold" w:hAnsi="Segoe UI Semibold"/>
          <w:b/>
          <w:i/>
          <w:color w:val="231F20"/>
          <w:spacing w:val="-11"/>
          <w:sz w:val="24"/>
        </w:rPr>
        <w:t> </w:t>
      </w:r>
      <w:r>
        <w:rPr>
          <w:b/>
          <w:i/>
          <w:color w:val="231F20"/>
          <w:spacing w:val="-4"/>
          <w:sz w:val="24"/>
        </w:rPr>
        <w:t>4</w:t>
      </w:r>
      <w:r>
        <w:rPr>
          <w:b/>
          <w:i/>
          <w:color w:val="231F20"/>
          <w:spacing w:val="-11"/>
          <w:sz w:val="24"/>
        </w:rPr>
        <w:t> </w:t>
      </w:r>
      <w:r>
        <w:rPr>
          <w:b/>
          <w:i/>
          <w:color w:val="231F20"/>
          <w:spacing w:val="-4"/>
          <w:sz w:val="24"/>
        </w:rPr>
        <w:t>867</w:t>
      </w:r>
      <w:r>
        <w:rPr>
          <w:b/>
          <w:i/>
          <w:color w:val="231F20"/>
          <w:spacing w:val="-11"/>
          <w:sz w:val="24"/>
        </w:rPr>
        <w:t> </w:t>
      </w:r>
      <w:r>
        <w:rPr>
          <w:b/>
          <w:i/>
          <w:color w:val="231F20"/>
          <w:spacing w:val="-4"/>
          <w:sz w:val="24"/>
        </w:rPr>
        <w:t>000</w:t>
      </w:r>
      <w:r>
        <w:rPr>
          <w:b/>
          <w:i/>
          <w:color w:val="231F20"/>
          <w:spacing w:val="-4"/>
          <w:sz w:val="24"/>
        </w:rPr>
        <w:t> </w:t>
      </w:r>
      <w:r>
        <w:rPr>
          <w:b/>
          <w:i/>
          <w:color w:val="231F20"/>
          <w:sz w:val="24"/>
        </w:rPr>
        <w:t>000</w:t>
      </w:r>
      <w:r>
        <w:rPr>
          <w:b/>
          <w:i/>
          <w:color w:val="231F20"/>
          <w:spacing w:val="-2"/>
          <w:sz w:val="24"/>
        </w:rPr>
        <w:t> </w:t>
      </w:r>
      <w:r>
        <w:rPr>
          <w:b/>
          <w:i/>
          <w:color w:val="231F20"/>
          <w:sz w:val="24"/>
        </w:rPr>
        <w:t>de</w:t>
      </w:r>
      <w:r>
        <w:rPr>
          <w:b/>
          <w:i/>
          <w:color w:val="231F20"/>
          <w:spacing w:val="-2"/>
          <w:sz w:val="24"/>
        </w:rPr>
        <w:t> </w:t>
      </w:r>
      <w:r>
        <w:rPr>
          <w:b/>
          <w:i/>
          <w:color w:val="231F20"/>
          <w:sz w:val="24"/>
        </w:rPr>
        <w:t>dollars</w:t>
      </w:r>
      <w:r>
        <w:rPr>
          <w:rFonts w:ascii="Segoe UI Semibold" w:hAnsi="Segoe UI Semibold"/>
          <w:b/>
          <w:i/>
          <w:color w:val="231F20"/>
          <w:sz w:val="24"/>
        </w:rPr>
        <w:t>,</w:t>
      </w:r>
      <w:r>
        <w:rPr>
          <w:rFonts w:ascii="Segoe UI Semibold" w:hAnsi="Segoe UI Semibold"/>
          <w:b/>
          <w:i/>
          <w:color w:val="231F20"/>
          <w:spacing w:val="-2"/>
          <w:sz w:val="24"/>
        </w:rPr>
        <w:t> </w:t>
      </w:r>
      <w:r>
        <w:rPr>
          <w:rFonts w:ascii="Segoe UI Semibold" w:hAnsi="Segoe UI Semibold"/>
          <w:b/>
          <w:i/>
          <w:color w:val="231F20"/>
          <w:sz w:val="24"/>
        </w:rPr>
        <w:t>soit</w:t>
      </w:r>
      <w:r>
        <w:rPr>
          <w:rFonts w:ascii="Segoe UI Semibold" w:hAnsi="Segoe UI Semibold"/>
          <w:b/>
          <w:i/>
          <w:color w:val="231F20"/>
          <w:spacing w:val="-2"/>
          <w:sz w:val="24"/>
        </w:rPr>
        <w:t> </w:t>
      </w:r>
      <w:r>
        <w:rPr>
          <w:rFonts w:ascii="Segoe UI Semibold" w:hAnsi="Segoe UI Semibold"/>
          <w:b/>
          <w:i/>
          <w:color w:val="231F20"/>
          <w:sz w:val="24"/>
        </w:rPr>
        <w:t>plus</w:t>
      </w:r>
      <w:r>
        <w:rPr>
          <w:rFonts w:ascii="Segoe UI Semibold" w:hAnsi="Segoe UI Semibold"/>
          <w:b/>
          <w:i/>
          <w:color w:val="231F20"/>
          <w:spacing w:val="-2"/>
          <w:sz w:val="24"/>
        </w:rPr>
        <w:t> </w:t>
      </w:r>
      <w:r>
        <w:rPr>
          <w:rFonts w:ascii="Segoe UI Semibold" w:hAnsi="Segoe UI Semibold"/>
          <w:b/>
          <w:i/>
          <w:color w:val="231F20"/>
          <w:sz w:val="24"/>
        </w:rPr>
        <w:t>de</w:t>
      </w:r>
      <w:r>
        <w:rPr>
          <w:rFonts w:ascii="Segoe UI Semibold" w:hAnsi="Segoe UI Semibold"/>
          <w:b/>
          <w:i/>
          <w:color w:val="231F20"/>
          <w:spacing w:val="-2"/>
          <w:sz w:val="24"/>
        </w:rPr>
        <w:t> </w:t>
      </w:r>
      <w:r>
        <w:rPr>
          <w:b/>
          <w:i/>
          <w:color w:val="231F20"/>
          <w:sz w:val="24"/>
        </w:rPr>
        <w:t>405</w:t>
      </w:r>
      <w:r>
        <w:rPr>
          <w:b/>
          <w:i/>
          <w:color w:val="231F20"/>
          <w:spacing w:val="-2"/>
          <w:sz w:val="24"/>
        </w:rPr>
        <w:t> </w:t>
      </w:r>
      <w:r>
        <w:rPr>
          <w:b/>
          <w:i/>
          <w:color w:val="231F20"/>
          <w:sz w:val="24"/>
        </w:rPr>
        <w:t>millions</w:t>
      </w:r>
      <w:r>
        <w:rPr>
          <w:b/>
          <w:i/>
          <w:color w:val="231F20"/>
          <w:sz w:val="24"/>
        </w:rPr>
        <w:t> par</w:t>
      </w:r>
      <w:r>
        <w:rPr>
          <w:b/>
          <w:i/>
          <w:color w:val="231F20"/>
          <w:spacing w:val="-14"/>
          <w:sz w:val="24"/>
        </w:rPr>
        <w:t> </w:t>
      </w:r>
      <w:r>
        <w:rPr>
          <w:b/>
          <w:i/>
          <w:color w:val="231F20"/>
          <w:sz w:val="24"/>
        </w:rPr>
        <w:t>mois</w:t>
      </w:r>
      <w:r>
        <w:rPr>
          <w:rFonts w:ascii="Segoe UI Semibold" w:hAnsi="Segoe UI Semibold"/>
          <w:b/>
          <w:i/>
          <w:color w:val="231F20"/>
          <w:sz w:val="24"/>
        </w:rPr>
        <w:t>,</w:t>
      </w:r>
      <w:r>
        <w:rPr>
          <w:rFonts w:ascii="Segoe UI Semibold" w:hAnsi="Segoe UI Semibold"/>
          <w:b/>
          <w:i/>
          <w:color w:val="231F20"/>
          <w:spacing w:val="-14"/>
          <w:sz w:val="24"/>
        </w:rPr>
        <w:t> </w:t>
      </w:r>
      <w:r>
        <w:rPr>
          <w:rFonts w:ascii="Segoe UI Semibold" w:hAnsi="Segoe UI Semibold"/>
          <w:b/>
          <w:i/>
          <w:color w:val="231F20"/>
          <w:sz w:val="24"/>
        </w:rPr>
        <w:t>ou</w:t>
      </w:r>
      <w:r>
        <w:rPr>
          <w:rFonts w:ascii="Segoe UI Semibold" w:hAnsi="Segoe UI Semibold"/>
          <w:b/>
          <w:i/>
          <w:color w:val="231F20"/>
          <w:spacing w:val="-14"/>
          <w:sz w:val="24"/>
        </w:rPr>
        <w:t> </w:t>
      </w:r>
      <w:r>
        <w:rPr>
          <w:rFonts w:ascii="Segoe UI Semibold" w:hAnsi="Segoe UI Semibold"/>
          <w:b/>
          <w:i/>
          <w:color w:val="231F20"/>
          <w:sz w:val="24"/>
        </w:rPr>
        <w:t>plus</w:t>
      </w:r>
      <w:r>
        <w:rPr>
          <w:rFonts w:ascii="Segoe UI Semibold" w:hAnsi="Segoe UI Semibold"/>
          <w:b/>
          <w:i/>
          <w:color w:val="231F20"/>
          <w:spacing w:val="-14"/>
          <w:sz w:val="24"/>
        </w:rPr>
        <w:t> </w:t>
      </w:r>
      <w:r>
        <w:rPr>
          <w:rFonts w:ascii="Segoe UI Semibold" w:hAnsi="Segoe UI Semibold"/>
          <w:b/>
          <w:i/>
          <w:color w:val="231F20"/>
          <w:sz w:val="24"/>
        </w:rPr>
        <w:t>de</w:t>
      </w:r>
      <w:r>
        <w:rPr>
          <w:rFonts w:ascii="Segoe UI Semibold" w:hAnsi="Segoe UI Semibold"/>
          <w:b/>
          <w:i/>
          <w:color w:val="231F20"/>
          <w:spacing w:val="-14"/>
          <w:sz w:val="24"/>
        </w:rPr>
        <w:t> </w:t>
      </w:r>
      <w:r>
        <w:rPr>
          <w:b/>
          <w:i/>
          <w:color w:val="231F20"/>
          <w:sz w:val="24"/>
        </w:rPr>
        <w:t>13</w:t>
      </w:r>
      <w:r>
        <w:rPr>
          <w:b/>
          <w:i/>
          <w:color w:val="231F20"/>
          <w:spacing w:val="-14"/>
          <w:sz w:val="24"/>
        </w:rPr>
        <w:t> </w:t>
      </w:r>
      <w:r>
        <w:rPr>
          <w:b/>
          <w:i/>
          <w:color w:val="231F20"/>
          <w:sz w:val="24"/>
        </w:rPr>
        <w:t>millions</w:t>
      </w:r>
      <w:r>
        <w:rPr>
          <w:b/>
          <w:i/>
          <w:color w:val="231F20"/>
          <w:spacing w:val="-14"/>
          <w:sz w:val="24"/>
        </w:rPr>
        <w:t> </w:t>
      </w:r>
      <w:r>
        <w:rPr>
          <w:b/>
          <w:i/>
          <w:color w:val="231F20"/>
          <w:sz w:val="24"/>
        </w:rPr>
        <w:t>par</w:t>
      </w:r>
      <w:r>
        <w:rPr>
          <w:b/>
          <w:i/>
          <w:color w:val="231F20"/>
          <w:spacing w:val="-14"/>
          <w:sz w:val="24"/>
        </w:rPr>
        <w:t> </w:t>
      </w:r>
      <w:r>
        <w:rPr>
          <w:b/>
          <w:i/>
          <w:color w:val="231F20"/>
          <w:sz w:val="24"/>
        </w:rPr>
        <w:t>jour</w:t>
      </w:r>
      <w:r>
        <w:rPr>
          <w:b/>
          <w:i/>
          <w:color w:val="231F20"/>
          <w:sz w:val="24"/>
        </w:rPr>
        <w:t> </w:t>
      </w:r>
      <w:r>
        <w:rPr>
          <w:rFonts w:ascii="Segoe UI Semibold" w:hAnsi="Segoe UI Semibold"/>
          <w:b/>
          <w:i/>
          <w:color w:val="231F20"/>
          <w:spacing w:val="-4"/>
          <w:sz w:val="24"/>
        </w:rPr>
        <w:t>ou</w:t>
      </w:r>
      <w:r>
        <w:rPr>
          <w:rFonts w:ascii="Segoe UI Semibold" w:hAnsi="Segoe UI Semibold"/>
          <w:b/>
          <w:i/>
          <w:color w:val="231F20"/>
          <w:spacing w:val="-13"/>
          <w:sz w:val="24"/>
        </w:rPr>
        <w:t> </w:t>
      </w:r>
      <w:r>
        <w:rPr>
          <w:rFonts w:ascii="Segoe UI Semibold" w:hAnsi="Segoe UI Semibold"/>
          <w:b/>
          <w:i/>
          <w:color w:val="231F20"/>
          <w:spacing w:val="-4"/>
          <w:sz w:val="24"/>
        </w:rPr>
        <w:t>plus</w:t>
      </w:r>
      <w:r>
        <w:rPr>
          <w:rFonts w:ascii="Segoe UI Semibold" w:hAnsi="Segoe UI Semibold"/>
          <w:b/>
          <w:i/>
          <w:color w:val="231F20"/>
          <w:spacing w:val="-12"/>
          <w:sz w:val="24"/>
        </w:rPr>
        <w:t> </w:t>
      </w:r>
      <w:r>
        <w:rPr>
          <w:rFonts w:ascii="Segoe UI Semibold" w:hAnsi="Segoe UI Semibold"/>
          <w:b/>
          <w:i/>
          <w:color w:val="231F20"/>
          <w:spacing w:val="-4"/>
          <w:sz w:val="24"/>
        </w:rPr>
        <w:t>de</w:t>
      </w:r>
      <w:r>
        <w:rPr>
          <w:rFonts w:ascii="Segoe UI Semibold" w:hAnsi="Segoe UI Semibold"/>
          <w:b/>
          <w:i/>
          <w:color w:val="231F20"/>
          <w:spacing w:val="-13"/>
          <w:sz w:val="24"/>
        </w:rPr>
        <w:t> </w:t>
      </w:r>
      <w:r>
        <w:rPr>
          <w:b/>
          <w:i/>
          <w:color w:val="231F20"/>
          <w:spacing w:val="-4"/>
          <w:sz w:val="24"/>
        </w:rPr>
        <w:t>555</w:t>
      </w:r>
      <w:r>
        <w:rPr>
          <w:b/>
          <w:i/>
          <w:color w:val="231F20"/>
          <w:spacing w:val="-12"/>
          <w:sz w:val="24"/>
        </w:rPr>
        <w:t> </w:t>
      </w:r>
      <w:r>
        <w:rPr>
          <w:b/>
          <w:i/>
          <w:color w:val="231F20"/>
          <w:spacing w:val="-4"/>
          <w:sz w:val="24"/>
        </w:rPr>
        <w:t>000</w:t>
      </w:r>
      <w:r>
        <w:rPr>
          <w:b/>
          <w:i/>
          <w:color w:val="231F20"/>
          <w:spacing w:val="-13"/>
          <w:sz w:val="24"/>
        </w:rPr>
        <w:t> </w:t>
      </w:r>
      <w:r>
        <w:rPr>
          <w:b/>
          <w:i/>
          <w:color w:val="231F20"/>
          <w:spacing w:val="-4"/>
          <w:sz w:val="24"/>
        </w:rPr>
        <w:t>par</w:t>
      </w:r>
      <w:r>
        <w:rPr>
          <w:b/>
          <w:i/>
          <w:color w:val="231F20"/>
          <w:spacing w:val="-12"/>
          <w:sz w:val="24"/>
        </w:rPr>
        <w:t> </w:t>
      </w:r>
      <w:r>
        <w:rPr>
          <w:b/>
          <w:i/>
          <w:color w:val="231F20"/>
          <w:spacing w:val="-4"/>
          <w:sz w:val="24"/>
        </w:rPr>
        <w:t>heure</w:t>
      </w:r>
      <w:r>
        <w:rPr>
          <w:rFonts w:ascii="Segoe UI Semibold" w:hAnsi="Segoe UI Semibold"/>
          <w:b/>
          <w:i/>
          <w:color w:val="231F20"/>
          <w:spacing w:val="-4"/>
          <w:sz w:val="24"/>
        </w:rPr>
        <w:t>.</w:t>
      </w:r>
      <w:r>
        <w:rPr>
          <w:rFonts w:ascii="Segoe UI Semibold" w:hAnsi="Segoe UI Semibold"/>
          <w:b/>
          <w:i/>
          <w:color w:val="231F20"/>
          <w:spacing w:val="-13"/>
          <w:sz w:val="24"/>
        </w:rPr>
        <w:t> </w:t>
      </w:r>
      <w:r>
        <w:rPr>
          <w:rFonts w:ascii="Segoe UI Semibold" w:hAnsi="Segoe UI Semibold"/>
          <w:b/>
          <w:i/>
          <w:color w:val="231F20"/>
          <w:spacing w:val="-4"/>
          <w:sz w:val="24"/>
        </w:rPr>
        <w:t>Sans</w:t>
      </w:r>
      <w:r>
        <w:rPr>
          <w:rFonts w:ascii="Segoe UI Semibold" w:hAnsi="Segoe UI Semibold"/>
          <w:b/>
          <w:i/>
          <w:color w:val="231F20"/>
          <w:spacing w:val="-12"/>
          <w:sz w:val="24"/>
        </w:rPr>
        <w:t> </w:t>
      </w:r>
      <w:r>
        <w:rPr>
          <w:rFonts w:ascii="Segoe UI Semibold" w:hAnsi="Segoe UI Semibold"/>
          <w:b/>
          <w:i/>
          <w:color w:val="231F20"/>
          <w:spacing w:val="-4"/>
          <w:sz w:val="24"/>
        </w:rPr>
        <w:t>blocus,</w:t>
      </w:r>
      <w:r>
        <w:rPr>
          <w:rFonts w:ascii="Segoe UI Semibold" w:hAnsi="Segoe UI Semibold"/>
          <w:b/>
          <w:i/>
          <w:color w:val="231F20"/>
          <w:spacing w:val="-4"/>
          <w:sz w:val="24"/>
        </w:rPr>
        <w:t> </w:t>
      </w:r>
      <w:r>
        <w:rPr>
          <w:rFonts w:ascii="Segoe UI Semibold" w:hAnsi="Segoe UI Semibold"/>
          <w:b/>
          <w:i/>
          <w:color w:val="231F20"/>
          <w:sz w:val="24"/>
        </w:rPr>
        <w:t>le</w:t>
      </w:r>
      <w:r>
        <w:rPr>
          <w:rFonts w:ascii="Segoe UI Semibold" w:hAnsi="Segoe UI Semibold"/>
          <w:b/>
          <w:i/>
          <w:color w:val="231F20"/>
          <w:spacing w:val="-17"/>
          <w:sz w:val="24"/>
        </w:rPr>
        <w:t> </w:t>
      </w:r>
      <w:r>
        <w:rPr>
          <w:rFonts w:ascii="Segoe UI Semibold" w:hAnsi="Segoe UI Semibold"/>
          <w:b/>
          <w:i/>
          <w:color w:val="231F20"/>
          <w:sz w:val="24"/>
        </w:rPr>
        <w:t>P.I.B.</w:t>
      </w:r>
      <w:r>
        <w:rPr>
          <w:rFonts w:ascii="Segoe UI Semibold" w:hAnsi="Segoe UI Semibold"/>
          <w:b/>
          <w:i/>
          <w:color w:val="231F20"/>
          <w:spacing w:val="-16"/>
          <w:sz w:val="24"/>
        </w:rPr>
        <w:t> </w:t>
      </w:r>
      <w:r>
        <w:rPr>
          <w:rFonts w:ascii="Segoe UI Semibold" w:hAnsi="Segoe UI Semibold"/>
          <w:b/>
          <w:i/>
          <w:color w:val="231F20"/>
          <w:sz w:val="24"/>
        </w:rPr>
        <w:t>de</w:t>
      </w:r>
      <w:r>
        <w:rPr>
          <w:rFonts w:ascii="Segoe UI Semibold" w:hAnsi="Segoe UI Semibold"/>
          <w:b/>
          <w:i/>
          <w:color w:val="231F20"/>
          <w:spacing w:val="-17"/>
          <w:sz w:val="24"/>
        </w:rPr>
        <w:t> </w:t>
      </w:r>
      <w:r>
        <w:rPr>
          <w:rFonts w:ascii="Segoe UI Semibold" w:hAnsi="Segoe UI Semibold"/>
          <w:b/>
          <w:i/>
          <w:color w:val="231F20"/>
          <w:sz w:val="24"/>
        </w:rPr>
        <w:t>Cuba</w:t>
      </w:r>
      <w:r>
        <w:rPr>
          <w:rFonts w:ascii="Segoe UI Semibold" w:hAnsi="Segoe UI Semibold"/>
          <w:b/>
          <w:i/>
          <w:color w:val="231F20"/>
          <w:spacing w:val="-16"/>
          <w:sz w:val="24"/>
        </w:rPr>
        <w:t> </w:t>
      </w:r>
      <w:r>
        <w:rPr>
          <w:rFonts w:ascii="Segoe UI Semibold" w:hAnsi="Segoe UI Semibold"/>
          <w:b/>
          <w:i/>
          <w:color w:val="231F20"/>
          <w:sz w:val="24"/>
        </w:rPr>
        <w:t>aurait</w:t>
      </w:r>
      <w:r>
        <w:rPr>
          <w:rFonts w:ascii="Segoe UI Semibold" w:hAnsi="Segoe UI Semibold"/>
          <w:b/>
          <w:i/>
          <w:color w:val="231F20"/>
          <w:spacing w:val="-17"/>
          <w:sz w:val="24"/>
        </w:rPr>
        <w:t> </w:t>
      </w:r>
      <w:r>
        <w:rPr>
          <w:rFonts w:ascii="Segoe UI Semibold" w:hAnsi="Segoe UI Semibold"/>
          <w:b/>
          <w:i/>
          <w:color w:val="231F20"/>
          <w:sz w:val="24"/>
        </w:rPr>
        <w:t>pu</w:t>
      </w:r>
      <w:r>
        <w:rPr>
          <w:rFonts w:ascii="Segoe UI Semibold" w:hAnsi="Segoe UI Semibold"/>
          <w:b/>
          <w:i/>
          <w:color w:val="231F20"/>
          <w:spacing w:val="-16"/>
          <w:sz w:val="24"/>
        </w:rPr>
        <w:t> </w:t>
      </w:r>
      <w:r>
        <w:rPr>
          <w:rFonts w:ascii="Segoe UI Semibold" w:hAnsi="Segoe UI Semibold"/>
          <w:b/>
          <w:i/>
          <w:color w:val="231F20"/>
          <w:sz w:val="24"/>
        </w:rPr>
        <w:t>enregistrer</w:t>
      </w:r>
      <w:r>
        <w:rPr>
          <w:rFonts w:ascii="Segoe UI Semibold" w:hAnsi="Segoe UI Semibold"/>
          <w:b/>
          <w:i/>
          <w:color w:val="231F20"/>
          <w:spacing w:val="-17"/>
          <w:sz w:val="24"/>
        </w:rPr>
        <w:t> </w:t>
      </w:r>
      <w:r>
        <w:rPr>
          <w:rFonts w:ascii="Segoe UI Semibold" w:hAnsi="Segoe UI Semibold"/>
          <w:b/>
          <w:i/>
          <w:color w:val="231F20"/>
          <w:sz w:val="24"/>
        </w:rPr>
        <w:t>une croissance</w:t>
      </w:r>
      <w:r>
        <w:rPr>
          <w:rFonts w:ascii="Segoe UI Semibold" w:hAnsi="Segoe UI Semibold"/>
          <w:b/>
          <w:i/>
          <w:color w:val="231F20"/>
          <w:spacing w:val="-1"/>
          <w:sz w:val="24"/>
        </w:rPr>
        <w:t> </w:t>
      </w:r>
      <w:r>
        <w:rPr>
          <w:rFonts w:ascii="Segoe UI Semibold" w:hAnsi="Segoe UI Semibold"/>
          <w:b/>
          <w:i/>
          <w:color w:val="231F20"/>
          <w:sz w:val="24"/>
        </w:rPr>
        <w:t>de</w:t>
      </w:r>
      <w:r>
        <w:rPr>
          <w:rFonts w:ascii="Segoe UI Semibold" w:hAnsi="Segoe UI Semibold"/>
          <w:b/>
          <w:i/>
          <w:color w:val="231F20"/>
          <w:spacing w:val="-1"/>
          <w:sz w:val="24"/>
        </w:rPr>
        <w:t> </w:t>
      </w:r>
      <w:r>
        <w:rPr>
          <w:rFonts w:ascii="Segoe UI Semibold" w:hAnsi="Segoe UI Semibold"/>
          <w:b/>
          <w:i/>
          <w:color w:val="231F20"/>
          <w:sz w:val="24"/>
        </w:rPr>
        <w:t>9</w:t>
      </w:r>
      <w:r>
        <w:rPr>
          <w:rFonts w:ascii="Segoe UI Semibold" w:hAnsi="Segoe UI Semibold"/>
          <w:b/>
          <w:i/>
          <w:color w:val="231F20"/>
          <w:spacing w:val="-1"/>
          <w:sz w:val="24"/>
        </w:rPr>
        <w:t> </w:t>
      </w:r>
      <w:r>
        <w:rPr>
          <w:rFonts w:ascii="Segoe UI Semibold" w:hAnsi="Segoe UI Semibold"/>
          <w:b/>
          <w:i/>
          <w:color w:val="231F20"/>
          <w:sz w:val="24"/>
        </w:rPr>
        <w:t>p.</w:t>
      </w:r>
      <w:r>
        <w:rPr>
          <w:rFonts w:ascii="Segoe UI Semibold" w:hAnsi="Segoe UI Semibold"/>
          <w:b/>
          <w:i/>
          <w:color w:val="231F20"/>
          <w:spacing w:val="-1"/>
          <w:sz w:val="24"/>
        </w:rPr>
        <w:t> </w:t>
      </w:r>
      <w:r>
        <w:rPr>
          <w:rFonts w:ascii="Segoe UI Semibold" w:hAnsi="Segoe UI Semibold"/>
          <w:b/>
          <w:i/>
          <w:color w:val="231F20"/>
          <w:sz w:val="24"/>
        </w:rPr>
        <w:t>100</w:t>
      </w:r>
      <w:r>
        <w:rPr>
          <w:rFonts w:ascii="Segoe UI Semibold" w:hAnsi="Segoe UI Semibold"/>
          <w:b/>
          <w:i/>
          <w:color w:val="231F20"/>
          <w:spacing w:val="-1"/>
          <w:sz w:val="24"/>
        </w:rPr>
        <w:t> </w:t>
      </w:r>
      <w:r>
        <w:rPr>
          <w:rFonts w:ascii="Segoe UI Semibold" w:hAnsi="Segoe UI Semibold"/>
          <w:b/>
          <w:i/>
          <w:color w:val="231F20"/>
          <w:sz w:val="24"/>
        </w:rPr>
        <w:t>en</w:t>
      </w:r>
      <w:r>
        <w:rPr>
          <w:rFonts w:ascii="Segoe UI Semibold" w:hAnsi="Segoe UI Semibold"/>
          <w:b/>
          <w:i/>
          <w:color w:val="231F20"/>
          <w:spacing w:val="-1"/>
          <w:sz w:val="24"/>
        </w:rPr>
        <w:t> </w:t>
      </w:r>
      <w:r>
        <w:rPr>
          <w:rFonts w:ascii="Segoe UI Semibold" w:hAnsi="Segoe UI Semibold"/>
          <w:b/>
          <w:i/>
          <w:color w:val="231F20"/>
          <w:sz w:val="24"/>
        </w:rPr>
        <w:t>2022.</w:t>
      </w:r>
    </w:p>
    <w:p>
      <w:pPr>
        <w:spacing w:before="158"/>
        <w:ind w:left="1474" w:right="4" w:firstLine="0"/>
        <w:jc w:val="both"/>
        <w:rPr>
          <w:rFonts w:ascii="Segoe UI Semibold" w:hAnsi="Segoe UI Semibold"/>
          <w:b/>
          <w:i/>
          <w:sz w:val="24"/>
        </w:rPr>
      </w:pPr>
      <w:r>
        <w:rPr>
          <w:rFonts w:ascii="Segoe UI Semibold" w:hAnsi="Segoe UI Semibold"/>
          <w:b/>
          <w:i/>
          <w:color w:val="231F20"/>
          <w:sz w:val="24"/>
        </w:rPr>
        <w:t>À</w:t>
      </w:r>
      <w:r>
        <w:rPr>
          <w:rFonts w:ascii="Segoe UI Semibold" w:hAnsi="Segoe UI Semibold"/>
          <w:b/>
          <w:i/>
          <w:color w:val="231F20"/>
          <w:spacing w:val="-12"/>
          <w:sz w:val="24"/>
        </w:rPr>
        <w:t> </w:t>
      </w:r>
      <w:r>
        <w:rPr>
          <w:rFonts w:ascii="Segoe UI Semibold" w:hAnsi="Segoe UI Semibold"/>
          <w:b/>
          <w:i/>
          <w:color w:val="231F20"/>
          <w:sz w:val="24"/>
        </w:rPr>
        <w:t>prix</w:t>
      </w:r>
      <w:r>
        <w:rPr>
          <w:rFonts w:ascii="Segoe UI Semibold" w:hAnsi="Segoe UI Semibold"/>
          <w:b/>
          <w:i/>
          <w:color w:val="231F20"/>
          <w:spacing w:val="-12"/>
          <w:sz w:val="24"/>
        </w:rPr>
        <w:t> </w:t>
      </w:r>
      <w:r>
        <w:rPr>
          <w:rFonts w:ascii="Segoe UI Semibold" w:hAnsi="Segoe UI Semibold"/>
          <w:b/>
          <w:i/>
          <w:color w:val="231F20"/>
          <w:sz w:val="24"/>
        </w:rPr>
        <w:t>courant,</w:t>
      </w:r>
      <w:r>
        <w:rPr>
          <w:rFonts w:ascii="Segoe UI Semibold" w:hAnsi="Segoe UI Semibold"/>
          <w:b/>
          <w:i/>
          <w:color w:val="231F20"/>
          <w:spacing w:val="-12"/>
          <w:sz w:val="24"/>
        </w:rPr>
        <w:t> </w:t>
      </w:r>
      <w:r>
        <w:rPr>
          <w:rFonts w:ascii="Segoe UI Semibold" w:hAnsi="Segoe UI Semibold"/>
          <w:b/>
          <w:i/>
          <w:color w:val="231F20"/>
          <w:sz w:val="24"/>
        </w:rPr>
        <w:t>les</w:t>
      </w:r>
      <w:r>
        <w:rPr>
          <w:rFonts w:ascii="Segoe UI Semibold" w:hAnsi="Segoe UI Semibold"/>
          <w:b/>
          <w:i/>
          <w:color w:val="231F20"/>
          <w:spacing w:val="-12"/>
          <w:sz w:val="24"/>
        </w:rPr>
        <w:t> </w:t>
      </w:r>
      <w:r>
        <w:rPr>
          <w:rFonts w:ascii="Segoe UI Semibold" w:hAnsi="Segoe UI Semibold"/>
          <w:b/>
          <w:i/>
          <w:color w:val="231F20"/>
          <w:sz w:val="24"/>
        </w:rPr>
        <w:t>préjudices</w:t>
      </w:r>
      <w:r>
        <w:rPr>
          <w:rFonts w:ascii="Segoe UI Semibold" w:hAnsi="Segoe UI Semibold"/>
          <w:b/>
          <w:i/>
          <w:color w:val="231F20"/>
          <w:spacing w:val="-12"/>
          <w:sz w:val="24"/>
        </w:rPr>
        <w:t> </w:t>
      </w:r>
      <w:r>
        <w:rPr>
          <w:rFonts w:ascii="Segoe UI Semibold" w:hAnsi="Segoe UI Semibold"/>
          <w:b/>
          <w:i/>
          <w:color w:val="231F20"/>
          <w:sz w:val="24"/>
        </w:rPr>
        <w:t>cumulés</w:t>
      </w:r>
      <w:r>
        <w:rPr>
          <w:rFonts w:ascii="Segoe UI Semibold" w:hAnsi="Segoe UI Semibold"/>
          <w:b/>
          <w:i/>
          <w:color w:val="231F20"/>
          <w:spacing w:val="-12"/>
          <w:sz w:val="24"/>
        </w:rPr>
        <w:t> </w:t>
      </w:r>
      <w:r>
        <w:rPr>
          <w:rFonts w:ascii="Segoe UI Semibold" w:hAnsi="Segoe UI Semibold"/>
          <w:b/>
          <w:i/>
          <w:color w:val="231F20"/>
          <w:sz w:val="24"/>
        </w:rPr>
        <w:t>sur</w:t>
      </w:r>
      <w:r>
        <w:rPr>
          <w:rFonts w:ascii="Segoe UI Semibold" w:hAnsi="Segoe UI Semibold"/>
          <w:b/>
          <w:i/>
          <w:color w:val="231F20"/>
          <w:sz w:val="24"/>
        </w:rPr>
        <w:t> plus de soixante ans se montent à </w:t>
      </w:r>
      <w:r>
        <w:rPr>
          <w:b/>
          <w:i/>
          <w:color w:val="231F20"/>
          <w:sz w:val="24"/>
        </w:rPr>
        <w:t>159</w:t>
      </w:r>
      <w:r>
        <w:rPr>
          <w:b/>
          <w:i/>
          <w:color w:val="231F20"/>
          <w:sz w:val="24"/>
        </w:rPr>
        <w:t> 084 300 000 dollars</w:t>
      </w:r>
      <w:r>
        <w:rPr>
          <w:rFonts w:ascii="Segoe UI Semibold" w:hAnsi="Segoe UI Semibold"/>
          <w:b/>
          <w:i/>
          <w:color w:val="231F20"/>
          <w:sz w:val="24"/>
        </w:rPr>
        <w:t>. À prix constants</w:t>
      </w:r>
      <w:r>
        <w:rPr>
          <w:rFonts w:ascii="Segoe UI Semibold" w:hAnsi="Segoe UI Semibold"/>
          <w:b/>
          <w:i/>
          <w:color w:val="231F20"/>
          <w:sz w:val="24"/>
        </w:rPr>
        <w:t> </w:t>
      </w:r>
      <w:r>
        <w:rPr>
          <w:rFonts w:ascii="Segoe UI Semibold" w:hAnsi="Segoe UI Semibold"/>
          <w:b/>
          <w:i/>
          <w:color w:val="231F20"/>
          <w:spacing w:val="-8"/>
          <w:sz w:val="24"/>
        </w:rPr>
        <w:t>(fluctuations du dollar face à l’or), les pertes </w:t>
      </w:r>
      <w:r>
        <w:rPr>
          <w:rFonts w:ascii="Segoe UI Semibold" w:hAnsi="Segoe UI Semibold"/>
          <w:b/>
          <w:i/>
          <w:color w:val="231F20"/>
          <w:spacing w:val="-6"/>
          <w:sz w:val="24"/>
        </w:rPr>
        <w:t>se</w:t>
      </w:r>
      <w:r>
        <w:rPr>
          <w:rFonts w:ascii="Segoe UI Semibold" w:hAnsi="Segoe UI Semibold"/>
          <w:b/>
          <w:i/>
          <w:color w:val="231F20"/>
          <w:spacing w:val="-11"/>
          <w:sz w:val="24"/>
        </w:rPr>
        <w:t> </w:t>
      </w:r>
      <w:r>
        <w:rPr>
          <w:rFonts w:ascii="Segoe UI Semibold" w:hAnsi="Segoe UI Semibold"/>
          <w:b/>
          <w:i/>
          <w:color w:val="231F20"/>
          <w:spacing w:val="-6"/>
          <w:sz w:val="24"/>
        </w:rPr>
        <w:t>chiffrent</w:t>
      </w:r>
      <w:r>
        <w:rPr>
          <w:rFonts w:ascii="Segoe UI Semibold" w:hAnsi="Segoe UI Semibold"/>
          <w:b/>
          <w:i/>
          <w:color w:val="231F20"/>
          <w:spacing w:val="-10"/>
          <w:sz w:val="24"/>
        </w:rPr>
        <w:t> </w:t>
      </w:r>
      <w:r>
        <w:rPr>
          <w:rFonts w:ascii="Segoe UI Semibold" w:hAnsi="Segoe UI Semibold"/>
          <w:b/>
          <w:i/>
          <w:color w:val="231F20"/>
          <w:spacing w:val="-6"/>
          <w:sz w:val="24"/>
        </w:rPr>
        <w:t>à</w:t>
      </w:r>
      <w:r>
        <w:rPr>
          <w:rFonts w:ascii="Segoe UI Semibold" w:hAnsi="Segoe UI Semibold"/>
          <w:b/>
          <w:i/>
          <w:color w:val="231F20"/>
          <w:spacing w:val="-11"/>
          <w:sz w:val="24"/>
        </w:rPr>
        <w:t> </w:t>
      </w:r>
      <w:r>
        <w:rPr>
          <w:rFonts w:ascii="Segoe UI Semibold" w:hAnsi="Segoe UI Semibold"/>
          <w:b/>
          <w:i/>
          <w:color w:val="231F20"/>
          <w:spacing w:val="-6"/>
          <w:sz w:val="24"/>
        </w:rPr>
        <w:t>plus</w:t>
      </w:r>
      <w:r>
        <w:rPr>
          <w:rFonts w:ascii="Segoe UI Semibold" w:hAnsi="Segoe UI Semibold"/>
          <w:b/>
          <w:i/>
          <w:color w:val="231F20"/>
          <w:spacing w:val="-10"/>
          <w:sz w:val="24"/>
        </w:rPr>
        <w:t> </w:t>
      </w:r>
      <w:r>
        <w:rPr>
          <w:rFonts w:ascii="Segoe UI Semibold" w:hAnsi="Segoe UI Semibold"/>
          <w:b/>
          <w:i/>
          <w:color w:val="231F20"/>
          <w:spacing w:val="-6"/>
          <w:sz w:val="24"/>
        </w:rPr>
        <w:t>de</w:t>
      </w:r>
      <w:r>
        <w:rPr>
          <w:rFonts w:ascii="Segoe UI Semibold" w:hAnsi="Segoe UI Semibold"/>
          <w:b/>
          <w:i/>
          <w:color w:val="231F20"/>
          <w:spacing w:val="-11"/>
          <w:sz w:val="24"/>
        </w:rPr>
        <w:t> </w:t>
      </w:r>
      <w:r>
        <w:rPr>
          <w:b/>
          <w:i/>
          <w:color w:val="231F20"/>
          <w:spacing w:val="-6"/>
          <w:sz w:val="24"/>
        </w:rPr>
        <w:t>1</w:t>
      </w:r>
      <w:r>
        <w:rPr>
          <w:b/>
          <w:i/>
          <w:color w:val="231F20"/>
          <w:spacing w:val="-10"/>
          <w:sz w:val="24"/>
        </w:rPr>
        <w:t> </w:t>
      </w:r>
      <w:r>
        <w:rPr>
          <w:b/>
          <w:i/>
          <w:color w:val="231F20"/>
          <w:spacing w:val="-6"/>
          <w:sz w:val="24"/>
        </w:rPr>
        <w:t>337</w:t>
      </w:r>
      <w:r>
        <w:rPr>
          <w:b/>
          <w:i/>
          <w:color w:val="231F20"/>
          <w:spacing w:val="-11"/>
          <w:sz w:val="24"/>
        </w:rPr>
        <w:t> </w:t>
      </w:r>
      <w:r>
        <w:rPr>
          <w:b/>
          <w:i/>
          <w:color w:val="231F20"/>
          <w:spacing w:val="-6"/>
          <w:sz w:val="24"/>
        </w:rPr>
        <w:t>057</w:t>
      </w:r>
      <w:r>
        <w:rPr>
          <w:b/>
          <w:i/>
          <w:color w:val="231F20"/>
          <w:spacing w:val="-10"/>
          <w:sz w:val="24"/>
        </w:rPr>
        <w:t> </w:t>
      </w:r>
      <w:r>
        <w:rPr>
          <w:b/>
          <w:i/>
          <w:color w:val="231F20"/>
          <w:spacing w:val="-6"/>
          <w:sz w:val="24"/>
        </w:rPr>
        <w:t>000</w:t>
      </w:r>
      <w:r>
        <w:rPr>
          <w:b/>
          <w:i/>
          <w:color w:val="231F20"/>
          <w:spacing w:val="-11"/>
          <w:sz w:val="24"/>
        </w:rPr>
        <w:t> </w:t>
      </w:r>
      <w:r>
        <w:rPr>
          <w:b/>
          <w:i/>
          <w:color w:val="231F20"/>
          <w:spacing w:val="-6"/>
          <w:sz w:val="24"/>
        </w:rPr>
        <w:t>000</w:t>
      </w:r>
      <w:r>
        <w:rPr>
          <w:b/>
          <w:i/>
          <w:color w:val="231F20"/>
          <w:spacing w:val="-10"/>
          <w:sz w:val="24"/>
        </w:rPr>
        <w:t> </w:t>
      </w:r>
      <w:r>
        <w:rPr>
          <w:b/>
          <w:i/>
          <w:color w:val="231F20"/>
          <w:spacing w:val="-6"/>
          <w:sz w:val="24"/>
        </w:rPr>
        <w:t>de</w:t>
      </w:r>
      <w:r>
        <w:rPr>
          <w:b/>
          <w:i/>
          <w:color w:val="231F20"/>
          <w:spacing w:val="-6"/>
          <w:sz w:val="24"/>
        </w:rPr>
        <w:t> </w:t>
      </w:r>
      <w:r>
        <w:rPr>
          <w:b/>
          <w:i/>
          <w:color w:val="231F20"/>
          <w:sz w:val="24"/>
        </w:rPr>
        <w:t>dollars</w:t>
      </w:r>
      <w:r>
        <w:rPr>
          <w:rFonts w:ascii="Segoe UI Semibold" w:hAnsi="Segoe UI Semibold"/>
          <w:b/>
          <w:i/>
          <w:color w:val="231F20"/>
          <w:sz w:val="24"/>
        </w:rPr>
        <w:t>,</w:t>
      </w:r>
      <w:r>
        <w:rPr>
          <w:rFonts w:ascii="Segoe UI Semibold" w:hAnsi="Segoe UI Semibold"/>
          <w:b/>
          <w:i/>
          <w:color w:val="231F20"/>
          <w:spacing w:val="-17"/>
          <w:sz w:val="24"/>
        </w:rPr>
        <w:t> </w:t>
      </w:r>
      <w:r>
        <w:rPr>
          <w:rFonts w:ascii="Segoe UI Semibold" w:hAnsi="Segoe UI Semibold"/>
          <w:b/>
          <w:i/>
          <w:color w:val="231F20"/>
          <w:sz w:val="24"/>
        </w:rPr>
        <w:t>un</w:t>
      </w:r>
      <w:r>
        <w:rPr>
          <w:rFonts w:ascii="Segoe UI Semibold" w:hAnsi="Segoe UI Semibold"/>
          <w:b/>
          <w:i/>
          <w:color w:val="231F20"/>
          <w:spacing w:val="-16"/>
          <w:sz w:val="24"/>
        </w:rPr>
        <w:t> </w:t>
      </w:r>
      <w:r>
        <w:rPr>
          <w:rFonts w:ascii="Segoe UI Semibold" w:hAnsi="Segoe UI Semibold"/>
          <w:b/>
          <w:i/>
          <w:color w:val="231F20"/>
          <w:sz w:val="24"/>
        </w:rPr>
        <w:t>montant</w:t>
      </w:r>
      <w:r>
        <w:rPr>
          <w:rFonts w:ascii="Segoe UI Semibold" w:hAnsi="Segoe UI Semibold"/>
          <w:b/>
          <w:i/>
          <w:color w:val="231F20"/>
          <w:spacing w:val="-17"/>
          <w:sz w:val="24"/>
        </w:rPr>
        <w:t> </w:t>
      </w:r>
      <w:r>
        <w:rPr>
          <w:rFonts w:ascii="Segoe UI Semibold" w:hAnsi="Segoe UI Semibold"/>
          <w:b/>
          <w:i/>
          <w:color w:val="231F20"/>
          <w:sz w:val="24"/>
        </w:rPr>
        <w:t>inférieur</w:t>
      </w:r>
      <w:r>
        <w:rPr>
          <w:rFonts w:ascii="Segoe UI Semibold" w:hAnsi="Segoe UI Semibold"/>
          <w:b/>
          <w:i/>
          <w:color w:val="231F20"/>
          <w:spacing w:val="-16"/>
          <w:sz w:val="24"/>
        </w:rPr>
        <w:t> </w:t>
      </w:r>
      <w:r>
        <w:rPr>
          <w:rFonts w:ascii="Segoe UI Semibold" w:hAnsi="Segoe UI Semibold"/>
          <w:b/>
          <w:i/>
          <w:color w:val="231F20"/>
          <w:sz w:val="24"/>
        </w:rPr>
        <w:t>à</w:t>
      </w:r>
      <w:r>
        <w:rPr>
          <w:rFonts w:ascii="Segoe UI Semibold" w:hAnsi="Segoe UI Semibold"/>
          <w:b/>
          <w:i/>
          <w:color w:val="231F20"/>
          <w:spacing w:val="-17"/>
          <w:sz w:val="24"/>
        </w:rPr>
        <w:t> </w:t>
      </w:r>
      <w:r>
        <w:rPr>
          <w:rFonts w:ascii="Segoe UI Semibold" w:hAnsi="Segoe UI Semibold"/>
          <w:b/>
          <w:i/>
          <w:color w:val="231F20"/>
          <w:sz w:val="24"/>
        </w:rPr>
        <w:t>la</w:t>
      </w:r>
      <w:r>
        <w:rPr>
          <w:rFonts w:ascii="Segoe UI Semibold" w:hAnsi="Segoe UI Semibold"/>
          <w:b/>
          <w:i/>
          <w:color w:val="231F20"/>
          <w:spacing w:val="-16"/>
          <w:sz w:val="24"/>
        </w:rPr>
        <w:t> </w:t>
      </w:r>
      <w:r>
        <w:rPr>
          <w:rFonts w:ascii="Segoe UI Semibold" w:hAnsi="Segoe UI Semibold"/>
          <w:b/>
          <w:i/>
          <w:color w:val="231F20"/>
          <w:sz w:val="24"/>
        </w:rPr>
        <w:t>période</w:t>
      </w:r>
      <w:r>
        <w:rPr>
          <w:rFonts w:ascii="Segoe UI Semibold" w:hAnsi="Segoe UI Semibold"/>
          <w:b/>
          <w:i/>
          <w:color w:val="231F20"/>
          <w:sz w:val="24"/>
        </w:rPr>
        <w:t> antérieure (août 2021-février 2023) pour </w:t>
      </w:r>
      <w:r>
        <w:rPr>
          <w:rFonts w:ascii="Segoe UI Semibold" w:hAnsi="Segoe UI Semibold"/>
          <w:b/>
          <w:i/>
          <w:color w:val="231F20"/>
          <w:spacing w:val="-2"/>
          <w:sz w:val="24"/>
        </w:rPr>
        <w:t>dépréciation</w:t>
      </w:r>
      <w:r>
        <w:rPr>
          <w:rFonts w:ascii="Segoe UI Semibold" w:hAnsi="Segoe UI Semibold"/>
          <w:b/>
          <w:i/>
          <w:color w:val="231F20"/>
          <w:spacing w:val="-13"/>
          <w:sz w:val="24"/>
        </w:rPr>
        <w:t> </w:t>
      </w:r>
      <w:r>
        <w:rPr>
          <w:rFonts w:ascii="Segoe UI Semibold" w:hAnsi="Segoe UI Semibold"/>
          <w:b/>
          <w:i/>
          <w:color w:val="231F20"/>
          <w:spacing w:val="-2"/>
          <w:sz w:val="24"/>
        </w:rPr>
        <w:t>des</w:t>
      </w:r>
      <w:r>
        <w:rPr>
          <w:rFonts w:ascii="Segoe UI Semibold" w:hAnsi="Segoe UI Semibold"/>
          <w:b/>
          <w:i/>
          <w:color w:val="231F20"/>
          <w:spacing w:val="-13"/>
          <w:sz w:val="24"/>
        </w:rPr>
        <w:t> </w:t>
      </w:r>
      <w:r>
        <w:rPr>
          <w:rFonts w:ascii="Segoe UI Semibold" w:hAnsi="Segoe UI Semibold"/>
          <w:b/>
          <w:i/>
          <w:color w:val="231F20"/>
          <w:spacing w:val="-2"/>
          <w:sz w:val="24"/>
        </w:rPr>
        <w:t>cours</w:t>
      </w:r>
      <w:r>
        <w:rPr>
          <w:rFonts w:ascii="Segoe UI Semibold" w:hAnsi="Segoe UI Semibold"/>
          <w:b/>
          <w:i/>
          <w:color w:val="231F20"/>
          <w:spacing w:val="-13"/>
          <w:sz w:val="24"/>
        </w:rPr>
        <w:t> </w:t>
      </w:r>
      <w:r>
        <w:rPr>
          <w:rFonts w:ascii="Segoe UI Semibold" w:hAnsi="Segoe UI Semibold"/>
          <w:b/>
          <w:i/>
          <w:color w:val="231F20"/>
          <w:spacing w:val="-2"/>
          <w:sz w:val="24"/>
        </w:rPr>
        <w:t>de</w:t>
      </w:r>
      <w:r>
        <w:rPr>
          <w:rFonts w:ascii="Segoe UI Semibold" w:hAnsi="Segoe UI Semibold"/>
          <w:b/>
          <w:i/>
          <w:color w:val="231F20"/>
          <w:spacing w:val="-13"/>
          <w:sz w:val="24"/>
        </w:rPr>
        <w:t> </w:t>
      </w:r>
      <w:r>
        <w:rPr>
          <w:rFonts w:ascii="Segoe UI Semibold" w:hAnsi="Segoe UI Semibold"/>
          <w:b/>
          <w:i/>
          <w:color w:val="231F20"/>
          <w:spacing w:val="-2"/>
          <w:sz w:val="24"/>
        </w:rPr>
        <w:t>l’or</w:t>
      </w:r>
      <w:r>
        <w:rPr>
          <w:rFonts w:ascii="Segoe UI Semibold" w:hAnsi="Segoe UI Semibold"/>
          <w:b/>
          <w:i/>
          <w:color w:val="231F20"/>
          <w:spacing w:val="-13"/>
          <w:sz w:val="24"/>
        </w:rPr>
        <w:t> </w:t>
      </w:r>
      <w:r>
        <w:rPr>
          <w:rFonts w:ascii="Segoe UI Semibold" w:hAnsi="Segoe UI Semibold"/>
          <w:b/>
          <w:i/>
          <w:color w:val="231F20"/>
          <w:spacing w:val="-2"/>
          <w:sz w:val="24"/>
        </w:rPr>
        <w:t>de</w:t>
      </w:r>
      <w:r>
        <w:rPr>
          <w:rFonts w:ascii="Segoe UI Semibold" w:hAnsi="Segoe UI Semibold"/>
          <w:b/>
          <w:i/>
          <w:color w:val="231F20"/>
          <w:spacing w:val="-13"/>
          <w:sz w:val="24"/>
        </w:rPr>
        <w:t> </w:t>
      </w:r>
      <w:r>
        <w:rPr>
          <w:rFonts w:ascii="Segoe UI Semibold" w:hAnsi="Segoe UI Semibold"/>
          <w:b/>
          <w:i/>
          <w:color w:val="231F20"/>
          <w:spacing w:val="-2"/>
          <w:sz w:val="24"/>
        </w:rPr>
        <w:t>4,2</w:t>
      </w:r>
      <w:r>
        <w:rPr>
          <w:rFonts w:ascii="Segoe UI Semibold" w:hAnsi="Segoe UI Semibold"/>
          <w:b/>
          <w:i/>
          <w:color w:val="231F20"/>
          <w:spacing w:val="-13"/>
          <w:sz w:val="24"/>
        </w:rPr>
        <w:t> </w:t>
      </w:r>
      <w:r>
        <w:rPr>
          <w:rFonts w:ascii="Segoe UI Semibold" w:hAnsi="Segoe UI Semibold"/>
          <w:b/>
          <w:i/>
          <w:color w:val="231F20"/>
          <w:spacing w:val="-2"/>
          <w:sz w:val="24"/>
        </w:rPr>
        <w:t>p.</w:t>
      </w:r>
      <w:r>
        <w:rPr>
          <w:rFonts w:ascii="Segoe UI Semibold" w:hAnsi="Segoe UI Semibold"/>
          <w:b/>
          <w:i/>
          <w:color w:val="231F20"/>
          <w:spacing w:val="-13"/>
          <w:sz w:val="24"/>
        </w:rPr>
        <w:t> </w:t>
      </w:r>
      <w:r>
        <w:rPr>
          <w:rFonts w:ascii="Segoe UI Semibold" w:hAnsi="Segoe UI Semibold"/>
          <w:b/>
          <w:i/>
          <w:color w:val="231F20"/>
          <w:spacing w:val="-2"/>
          <w:sz w:val="24"/>
        </w:rPr>
        <w:t>100 </w:t>
      </w:r>
      <w:r>
        <w:rPr>
          <w:rFonts w:ascii="Segoe UI Semibold" w:hAnsi="Segoe UI Semibold"/>
          <w:b/>
          <w:i/>
          <w:color w:val="231F20"/>
          <w:sz w:val="24"/>
        </w:rPr>
        <w:t>fin</w:t>
      </w:r>
      <w:r>
        <w:rPr>
          <w:rFonts w:ascii="Segoe UI Semibold" w:hAnsi="Segoe UI Semibold"/>
          <w:b/>
          <w:i/>
          <w:color w:val="231F20"/>
          <w:spacing w:val="-17"/>
          <w:sz w:val="24"/>
        </w:rPr>
        <w:t> </w:t>
      </w:r>
      <w:r>
        <w:rPr>
          <w:rFonts w:ascii="Segoe UI Semibold" w:hAnsi="Segoe UI Semibold"/>
          <w:b/>
          <w:i/>
          <w:color w:val="231F20"/>
          <w:sz w:val="24"/>
        </w:rPr>
        <w:t>février</w:t>
      </w:r>
      <w:r>
        <w:rPr>
          <w:rFonts w:ascii="Segoe UI Semibold" w:hAnsi="Segoe UI Semibold"/>
          <w:b/>
          <w:i/>
          <w:color w:val="231F20"/>
          <w:spacing w:val="-16"/>
          <w:sz w:val="24"/>
        </w:rPr>
        <w:t> </w:t>
      </w:r>
      <w:r>
        <w:rPr>
          <w:rFonts w:ascii="Segoe UI Semibold" w:hAnsi="Segoe UI Semibold"/>
          <w:b/>
          <w:i/>
          <w:color w:val="231F20"/>
          <w:sz w:val="24"/>
        </w:rPr>
        <w:t>2023</w:t>
      </w:r>
      <w:r>
        <w:rPr>
          <w:rFonts w:ascii="Segoe UI Semibold" w:hAnsi="Segoe UI Semibold"/>
          <w:b/>
          <w:i/>
          <w:color w:val="231F20"/>
          <w:spacing w:val="-17"/>
          <w:sz w:val="24"/>
        </w:rPr>
        <w:t> </w:t>
      </w:r>
      <w:r>
        <w:rPr>
          <w:rFonts w:ascii="Segoe UI Semibold" w:hAnsi="Segoe UI Semibold"/>
          <w:b/>
          <w:i/>
          <w:color w:val="231F20"/>
          <w:sz w:val="24"/>
        </w:rPr>
        <w:t>par</w:t>
      </w:r>
      <w:r>
        <w:rPr>
          <w:rFonts w:ascii="Segoe UI Semibold" w:hAnsi="Segoe UI Semibold"/>
          <w:b/>
          <w:i/>
          <w:color w:val="231F20"/>
          <w:spacing w:val="-16"/>
          <w:sz w:val="24"/>
        </w:rPr>
        <w:t> </w:t>
      </w:r>
      <w:r>
        <w:rPr>
          <w:rFonts w:ascii="Segoe UI Semibold" w:hAnsi="Segoe UI Semibold"/>
          <w:b/>
          <w:i/>
          <w:color w:val="231F20"/>
          <w:sz w:val="24"/>
        </w:rPr>
        <w:t>rapport</w:t>
      </w:r>
      <w:r>
        <w:rPr>
          <w:rFonts w:ascii="Segoe UI Semibold" w:hAnsi="Segoe UI Semibold"/>
          <w:b/>
          <w:i/>
          <w:color w:val="231F20"/>
          <w:spacing w:val="-17"/>
          <w:sz w:val="24"/>
        </w:rPr>
        <w:t> </w:t>
      </w:r>
      <w:r>
        <w:rPr>
          <w:rFonts w:ascii="Segoe UI Semibold" w:hAnsi="Segoe UI Semibold"/>
          <w:b/>
          <w:i/>
          <w:color w:val="231F20"/>
          <w:sz w:val="24"/>
        </w:rPr>
        <w:t>à</w:t>
      </w:r>
      <w:r>
        <w:rPr>
          <w:rFonts w:ascii="Segoe UI Semibold" w:hAnsi="Segoe UI Semibold"/>
          <w:b/>
          <w:i/>
          <w:color w:val="231F20"/>
          <w:spacing w:val="-16"/>
          <w:sz w:val="24"/>
        </w:rPr>
        <w:t> </w:t>
      </w:r>
      <w:r>
        <w:rPr>
          <w:rFonts w:ascii="Segoe UI Semibold" w:hAnsi="Segoe UI Semibold"/>
          <w:b/>
          <w:i/>
          <w:color w:val="231F20"/>
          <w:sz w:val="24"/>
        </w:rPr>
        <w:t>février</w:t>
      </w:r>
      <w:r>
        <w:rPr>
          <w:rFonts w:ascii="Segoe UI Semibold" w:hAnsi="Segoe UI Semibold"/>
          <w:b/>
          <w:i/>
          <w:color w:val="231F20"/>
          <w:spacing w:val="-17"/>
          <w:sz w:val="24"/>
        </w:rPr>
        <w:t> </w:t>
      </w:r>
      <w:r>
        <w:rPr>
          <w:rFonts w:ascii="Segoe UI Semibold" w:hAnsi="Segoe UI Semibold"/>
          <w:b/>
          <w:i/>
          <w:color w:val="231F20"/>
          <w:sz w:val="24"/>
        </w:rPr>
        <w:t>2002.</w:t>
      </w:r>
    </w:p>
    <w:p>
      <w:pPr>
        <w:pStyle w:val="BodyText"/>
        <w:spacing w:before="159"/>
        <w:ind w:left="1474" w:right="1"/>
      </w:pPr>
      <w:r>
        <w:rPr>
          <w:color w:val="231F20"/>
        </w:rPr>
        <w:t>Les différentes administrations ont fait fi </w:t>
      </w:r>
      <w:r>
        <w:rPr>
          <w:color w:val="231F20"/>
          <w:spacing w:val="-4"/>
        </w:rPr>
        <w:t>pendant</w:t>
      </w:r>
      <w:r>
        <w:rPr>
          <w:color w:val="231F20"/>
          <w:spacing w:val="-7"/>
        </w:rPr>
        <w:t> </w:t>
      </w:r>
      <w:r>
        <w:rPr>
          <w:color w:val="231F20"/>
          <w:spacing w:val="-4"/>
        </w:rPr>
        <w:t>trente</w:t>
      </w:r>
      <w:r>
        <w:rPr>
          <w:color w:val="231F20"/>
          <w:spacing w:val="-7"/>
        </w:rPr>
        <w:t> </w:t>
      </w:r>
      <w:r>
        <w:rPr>
          <w:color w:val="231F20"/>
          <w:spacing w:val="-4"/>
        </w:rPr>
        <w:t>ans</w:t>
      </w:r>
      <w:r>
        <w:rPr>
          <w:color w:val="231F20"/>
          <w:spacing w:val="-7"/>
        </w:rPr>
        <w:t> </w:t>
      </w:r>
      <w:r>
        <w:rPr>
          <w:color w:val="231F20"/>
          <w:spacing w:val="-4"/>
        </w:rPr>
        <w:t>d’affilée</w:t>
      </w:r>
      <w:r>
        <w:rPr>
          <w:color w:val="231F20"/>
          <w:spacing w:val="-7"/>
        </w:rPr>
        <w:t> </w:t>
      </w:r>
      <w:r>
        <w:rPr>
          <w:color w:val="231F20"/>
          <w:spacing w:val="-4"/>
        </w:rPr>
        <w:t>des</w:t>
      </w:r>
      <w:r>
        <w:rPr>
          <w:color w:val="231F20"/>
          <w:spacing w:val="-7"/>
        </w:rPr>
        <w:t> </w:t>
      </w:r>
      <w:r>
        <w:rPr>
          <w:color w:val="231F20"/>
          <w:spacing w:val="-4"/>
        </w:rPr>
        <w:t>résolutions </w:t>
      </w:r>
      <w:r>
        <w:rPr>
          <w:color w:val="231F20"/>
        </w:rPr>
        <w:t>adoptées</w:t>
      </w:r>
      <w:r>
        <w:rPr>
          <w:color w:val="231F20"/>
          <w:spacing w:val="80"/>
        </w:rPr>
        <w:t> </w:t>
      </w:r>
      <w:r>
        <w:rPr>
          <w:color w:val="231F20"/>
        </w:rPr>
        <w:t>par</w:t>
      </w:r>
      <w:r>
        <w:rPr>
          <w:color w:val="231F20"/>
          <w:spacing w:val="80"/>
        </w:rPr>
        <w:t> </w:t>
      </w:r>
      <w:r>
        <w:rPr>
          <w:color w:val="231F20"/>
        </w:rPr>
        <w:t>l’Assemblée</w:t>
      </w:r>
      <w:r>
        <w:rPr>
          <w:color w:val="231F20"/>
          <w:spacing w:val="80"/>
        </w:rPr>
        <w:t> </w:t>
      </w:r>
      <w:r>
        <w:rPr>
          <w:color w:val="231F20"/>
        </w:rPr>
        <w:t>générale</w:t>
      </w:r>
      <w:r>
        <w:rPr>
          <w:color w:val="231F20"/>
          <w:spacing w:val="80"/>
          <w:w w:val="150"/>
        </w:rPr>
        <w:t> </w:t>
      </w:r>
      <w:r>
        <w:rPr>
          <w:color w:val="231F20"/>
        </w:rPr>
        <w:t>des Nations Unies et des appels à la</w:t>
      </w:r>
      <w:r>
        <w:rPr>
          <w:color w:val="231F20"/>
          <w:spacing w:val="80"/>
        </w:rPr>
        <w:t> </w:t>
      </w:r>
      <w:r>
        <w:rPr>
          <w:color w:val="231F20"/>
        </w:rPr>
        <w:t>levée du blocus provenant de la société étasunienne elle-même et des structures </w:t>
      </w:r>
      <w:r>
        <w:rPr>
          <w:color w:val="231F20"/>
          <w:spacing w:val="-4"/>
        </w:rPr>
        <w:t>gouvernementales</w:t>
      </w:r>
      <w:r>
        <w:rPr>
          <w:color w:val="231F20"/>
          <w:spacing w:val="-8"/>
        </w:rPr>
        <w:t> </w:t>
      </w:r>
      <w:r>
        <w:rPr>
          <w:color w:val="231F20"/>
          <w:spacing w:val="-4"/>
        </w:rPr>
        <w:t>de</w:t>
      </w:r>
      <w:r>
        <w:rPr>
          <w:color w:val="231F20"/>
          <w:spacing w:val="-8"/>
        </w:rPr>
        <w:t> </w:t>
      </w:r>
      <w:r>
        <w:rPr>
          <w:color w:val="231F20"/>
          <w:spacing w:val="-4"/>
        </w:rPr>
        <w:t>différents</w:t>
      </w:r>
      <w:r>
        <w:rPr>
          <w:color w:val="231F20"/>
          <w:spacing w:val="-8"/>
        </w:rPr>
        <w:t> </w:t>
      </w:r>
      <w:r>
        <w:rPr>
          <w:color w:val="231F20"/>
          <w:spacing w:val="-4"/>
        </w:rPr>
        <w:t>États</w:t>
      </w:r>
      <w:r>
        <w:rPr>
          <w:color w:val="231F20"/>
          <w:spacing w:val="-8"/>
        </w:rPr>
        <w:t> </w:t>
      </w:r>
      <w:r>
        <w:rPr>
          <w:color w:val="231F20"/>
          <w:spacing w:val="-4"/>
        </w:rPr>
        <w:t>Cette politique</w:t>
      </w:r>
      <w:r>
        <w:rPr>
          <w:color w:val="231F20"/>
          <w:spacing w:val="-13"/>
        </w:rPr>
        <w:t> </w:t>
      </w:r>
      <w:r>
        <w:rPr>
          <w:color w:val="231F20"/>
          <w:spacing w:val="-4"/>
        </w:rPr>
        <w:t>anachronique</w:t>
      </w:r>
      <w:r>
        <w:rPr>
          <w:color w:val="231F20"/>
          <w:spacing w:val="-12"/>
        </w:rPr>
        <w:t> </w:t>
      </w:r>
      <w:r>
        <w:rPr>
          <w:color w:val="231F20"/>
          <w:spacing w:val="-4"/>
        </w:rPr>
        <w:t>a</w:t>
      </w:r>
      <w:r>
        <w:rPr>
          <w:color w:val="231F20"/>
          <w:spacing w:val="-13"/>
        </w:rPr>
        <w:t> </w:t>
      </w:r>
      <w:r>
        <w:rPr>
          <w:color w:val="231F20"/>
          <w:spacing w:val="-4"/>
        </w:rPr>
        <w:t>fini</w:t>
      </w:r>
      <w:r>
        <w:rPr>
          <w:color w:val="231F20"/>
          <w:spacing w:val="-12"/>
        </w:rPr>
        <w:t> </w:t>
      </w:r>
      <w:r>
        <w:rPr>
          <w:color w:val="231F20"/>
          <w:spacing w:val="-4"/>
        </w:rPr>
        <w:t>par</w:t>
      </w:r>
      <w:r>
        <w:rPr>
          <w:color w:val="231F20"/>
          <w:spacing w:val="-13"/>
        </w:rPr>
        <w:t> </w:t>
      </w:r>
      <w:r>
        <w:rPr>
          <w:color w:val="231F20"/>
          <w:spacing w:val="-4"/>
        </w:rPr>
        <w:t>discréditer </w:t>
      </w:r>
      <w:r>
        <w:rPr>
          <w:color w:val="231F20"/>
        </w:rPr>
        <w:t>et isoler cette nation.</w:t>
      </w:r>
    </w:p>
    <w:p>
      <w:pPr>
        <w:pStyle w:val="BodyText"/>
        <w:spacing w:before="167"/>
        <w:ind w:left="1474" w:right="1"/>
      </w:pPr>
      <w:r>
        <w:rPr>
          <w:color w:val="231F20"/>
        </w:rPr>
        <w:t>Cuba et son peuple savent gré des </w:t>
      </w:r>
      <w:r>
        <w:rPr>
          <w:color w:val="231F20"/>
          <w:spacing w:val="-6"/>
        </w:rPr>
        <w:t>manifestations</w:t>
      </w:r>
      <w:r>
        <w:rPr>
          <w:color w:val="231F20"/>
          <w:spacing w:val="-8"/>
        </w:rPr>
        <w:t> </w:t>
      </w:r>
      <w:r>
        <w:rPr>
          <w:color w:val="231F20"/>
          <w:spacing w:val="-6"/>
        </w:rPr>
        <w:t>de</w:t>
      </w:r>
      <w:r>
        <w:rPr>
          <w:color w:val="231F20"/>
          <w:spacing w:val="-8"/>
        </w:rPr>
        <w:t> </w:t>
      </w:r>
      <w:r>
        <w:rPr>
          <w:color w:val="231F20"/>
          <w:spacing w:val="-6"/>
        </w:rPr>
        <w:t>solidarité</w:t>
      </w:r>
      <w:r>
        <w:rPr>
          <w:color w:val="231F20"/>
          <w:spacing w:val="-8"/>
        </w:rPr>
        <w:t> </w:t>
      </w:r>
      <w:r>
        <w:rPr>
          <w:color w:val="231F20"/>
          <w:spacing w:val="-6"/>
        </w:rPr>
        <w:t>et</w:t>
      </w:r>
      <w:r>
        <w:rPr>
          <w:color w:val="231F20"/>
          <w:spacing w:val="-8"/>
        </w:rPr>
        <w:t> </w:t>
      </w:r>
      <w:r>
        <w:rPr>
          <w:color w:val="231F20"/>
          <w:spacing w:val="-6"/>
        </w:rPr>
        <w:t>d’appui</w:t>
      </w:r>
      <w:r>
        <w:rPr>
          <w:color w:val="231F20"/>
          <w:spacing w:val="-8"/>
        </w:rPr>
        <w:t> </w:t>
      </w:r>
      <w:r>
        <w:rPr>
          <w:color w:val="231F20"/>
          <w:spacing w:val="-6"/>
        </w:rPr>
        <w:t>qu’ils </w:t>
      </w:r>
      <w:r>
        <w:rPr>
          <w:color w:val="231F20"/>
          <w:spacing w:val="-4"/>
        </w:rPr>
        <w:t>ont</w:t>
      </w:r>
      <w:r>
        <w:rPr>
          <w:color w:val="231F20"/>
          <w:spacing w:val="-10"/>
        </w:rPr>
        <w:t> </w:t>
      </w:r>
      <w:r>
        <w:rPr>
          <w:color w:val="231F20"/>
          <w:spacing w:val="-4"/>
        </w:rPr>
        <w:t>reçues</w:t>
      </w:r>
      <w:r>
        <w:rPr>
          <w:color w:val="231F20"/>
          <w:spacing w:val="-10"/>
        </w:rPr>
        <w:t> </w:t>
      </w:r>
      <w:r>
        <w:rPr>
          <w:color w:val="231F20"/>
          <w:spacing w:val="-4"/>
        </w:rPr>
        <w:t>et</w:t>
      </w:r>
      <w:r>
        <w:rPr>
          <w:color w:val="231F20"/>
          <w:spacing w:val="-10"/>
        </w:rPr>
        <w:t> </w:t>
      </w:r>
      <w:r>
        <w:rPr>
          <w:color w:val="231F20"/>
          <w:spacing w:val="-4"/>
        </w:rPr>
        <w:t>font</w:t>
      </w:r>
      <w:r>
        <w:rPr>
          <w:color w:val="231F20"/>
          <w:spacing w:val="-10"/>
        </w:rPr>
        <w:t> </w:t>
      </w:r>
      <w:r>
        <w:rPr>
          <w:color w:val="231F20"/>
          <w:spacing w:val="-4"/>
        </w:rPr>
        <w:t>de</w:t>
      </w:r>
      <w:r>
        <w:rPr>
          <w:color w:val="231F20"/>
          <w:spacing w:val="-10"/>
        </w:rPr>
        <w:t> </w:t>
      </w:r>
      <w:r>
        <w:rPr>
          <w:color w:val="231F20"/>
          <w:spacing w:val="-4"/>
        </w:rPr>
        <w:t>nouveau</w:t>
      </w:r>
      <w:r>
        <w:rPr>
          <w:color w:val="231F20"/>
          <w:spacing w:val="-10"/>
        </w:rPr>
        <w:t> </w:t>
      </w:r>
      <w:r>
        <w:rPr>
          <w:color w:val="231F20"/>
          <w:spacing w:val="-4"/>
        </w:rPr>
        <w:t>confiance</w:t>
      </w:r>
      <w:r>
        <w:rPr>
          <w:color w:val="231F20"/>
          <w:spacing w:val="-10"/>
        </w:rPr>
        <w:t> </w:t>
      </w:r>
      <w:r>
        <w:rPr>
          <w:color w:val="231F20"/>
          <w:spacing w:val="-4"/>
        </w:rPr>
        <w:t>au </w:t>
      </w:r>
      <w:r>
        <w:rPr>
          <w:color w:val="231F20"/>
        </w:rPr>
        <w:t>soutien</w:t>
      </w:r>
      <w:r>
        <w:rPr>
          <w:color w:val="231F20"/>
          <w:spacing w:val="21"/>
        </w:rPr>
        <w:t> </w:t>
      </w:r>
      <w:r>
        <w:rPr>
          <w:color w:val="231F20"/>
        </w:rPr>
        <w:t>de</w:t>
      </w:r>
      <w:r>
        <w:rPr>
          <w:color w:val="231F20"/>
          <w:spacing w:val="21"/>
        </w:rPr>
        <w:t> </w:t>
      </w:r>
      <w:r>
        <w:rPr>
          <w:color w:val="231F20"/>
        </w:rPr>
        <w:t>la</w:t>
      </w:r>
      <w:r>
        <w:rPr>
          <w:color w:val="231F20"/>
          <w:spacing w:val="21"/>
        </w:rPr>
        <w:t> </w:t>
      </w:r>
      <w:r>
        <w:rPr>
          <w:color w:val="231F20"/>
        </w:rPr>
        <w:t>communauté</w:t>
      </w:r>
      <w:r>
        <w:rPr>
          <w:color w:val="231F20"/>
          <w:spacing w:val="22"/>
        </w:rPr>
        <w:t> </w:t>
      </w:r>
      <w:r>
        <w:rPr>
          <w:color w:val="231F20"/>
          <w:spacing w:val="-2"/>
        </w:rPr>
        <w:t>internationale</w:t>
      </w:r>
    </w:p>
    <w:p>
      <w:pPr>
        <w:pStyle w:val="BodyText"/>
        <w:spacing w:before="77"/>
        <w:ind w:left="412" w:right="1133"/>
      </w:pPr>
      <w:r>
        <w:rPr/>
        <w:br w:type="column"/>
      </w:r>
      <w:r>
        <w:rPr>
          <w:color w:val="231F20"/>
        </w:rPr>
        <w:t>pour que, comme elle le réclame à juste titre,</w:t>
      </w:r>
      <w:r>
        <w:rPr>
          <w:color w:val="231F20"/>
          <w:spacing w:val="-2"/>
        </w:rPr>
        <w:t> </w:t>
      </w:r>
      <w:r>
        <w:rPr>
          <w:color w:val="231F20"/>
        </w:rPr>
        <w:t>ce</w:t>
      </w:r>
      <w:r>
        <w:rPr>
          <w:color w:val="231F20"/>
          <w:spacing w:val="-2"/>
        </w:rPr>
        <w:t> </w:t>
      </w:r>
      <w:r>
        <w:rPr>
          <w:color w:val="231F20"/>
        </w:rPr>
        <w:t>système</w:t>
      </w:r>
      <w:r>
        <w:rPr>
          <w:color w:val="231F20"/>
          <w:spacing w:val="-2"/>
        </w:rPr>
        <w:t> </w:t>
      </w:r>
      <w:r>
        <w:rPr>
          <w:color w:val="231F20"/>
        </w:rPr>
        <w:t>injuste,</w:t>
      </w:r>
      <w:r>
        <w:rPr>
          <w:color w:val="231F20"/>
          <w:spacing w:val="-2"/>
        </w:rPr>
        <w:t> </w:t>
      </w:r>
      <w:r>
        <w:rPr>
          <w:color w:val="231F20"/>
        </w:rPr>
        <w:t>illégal</w:t>
      </w:r>
      <w:r>
        <w:rPr>
          <w:color w:val="231F20"/>
          <w:spacing w:val="-2"/>
        </w:rPr>
        <w:t> </w:t>
      </w:r>
      <w:r>
        <w:rPr>
          <w:color w:val="231F20"/>
        </w:rPr>
        <w:t>et</w:t>
      </w:r>
      <w:r>
        <w:rPr>
          <w:color w:val="231F20"/>
          <w:spacing w:val="-2"/>
        </w:rPr>
        <w:t> </w:t>
      </w:r>
      <w:r>
        <w:rPr>
          <w:color w:val="231F20"/>
        </w:rPr>
        <w:t>cruel</w:t>
      </w:r>
      <w:r>
        <w:rPr>
          <w:color w:val="231F20"/>
          <w:spacing w:val="-2"/>
        </w:rPr>
        <w:t> </w:t>
      </w:r>
      <w:r>
        <w:rPr>
          <w:color w:val="231F20"/>
        </w:rPr>
        <w:t>de mesures coercitives unilatérales cessent une bonne fois pour toutes de manière </w:t>
      </w:r>
      <w:r>
        <w:rPr>
          <w:color w:val="231F20"/>
          <w:spacing w:val="-2"/>
        </w:rPr>
        <w:t>inconditionnelle.</w:t>
      </w:r>
    </w:p>
    <w:p>
      <w:pPr>
        <w:pStyle w:val="BodyText"/>
        <w:spacing w:before="232"/>
        <w:jc w:val="left"/>
        <w:rPr>
          <w:sz w:val="20"/>
        </w:rPr>
      </w:pPr>
      <w:r>
        <w:rPr/>
        <mc:AlternateContent>
          <mc:Choice Requires="wps">
            <w:drawing>
              <wp:anchor distT="0" distB="0" distL="0" distR="0" allowOverlap="1" layoutInCell="1" locked="0" behindDoc="1" simplePos="0" relativeHeight="487718400">
                <wp:simplePos x="0" y="0"/>
                <wp:positionH relativeFrom="page">
                  <wp:posOffset>5930887</wp:posOffset>
                </wp:positionH>
                <wp:positionV relativeFrom="paragraph">
                  <wp:posOffset>331600</wp:posOffset>
                </wp:positionV>
                <wp:extent cx="909319" cy="26034"/>
                <wp:effectExtent l="0" t="0" r="0" b="0"/>
                <wp:wrapTopAndBottom/>
                <wp:docPr id="549" name="Graphic 549"/>
                <wp:cNvGraphicFramePr>
                  <a:graphicFrameLocks/>
                </wp:cNvGraphicFramePr>
                <a:graphic>
                  <a:graphicData uri="http://schemas.microsoft.com/office/word/2010/wordprocessingShape">
                    <wps:wsp>
                      <wps:cNvPr id="549" name="Graphic 549"/>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466.998993pt;margin-top:26.110313pt;width:71.584pt;height:2.021pt;mso-position-horizontal-relative:page;mso-position-vertical-relative:paragraph;z-index:-15598080;mso-wrap-distance-left:0;mso-wrap-distance-right:0" id="docshape436" filled="true" fillcolor="#b52628" stroked="false">
                <v:fill type="solid"/>
                <w10:wrap type="topAndBottom"/>
              </v:rect>
            </w:pict>
          </mc:Fallback>
        </mc:AlternateContent>
      </w:r>
    </w:p>
    <w:p>
      <w:pPr>
        <w:spacing w:after="0"/>
        <w:jc w:val="left"/>
        <w:rPr>
          <w:sz w:val="20"/>
        </w:rPr>
        <w:sectPr>
          <w:pgSz w:w="11910" w:h="16840"/>
          <w:pgMar w:header="0" w:footer="695" w:top="1260" w:bottom="880" w:left="0" w:right="0"/>
          <w:cols w:num="2" w:equalWidth="0">
            <w:col w:w="5898" w:space="40"/>
            <w:col w:w="5972"/>
          </w:cols>
        </w:sectPr>
      </w:pPr>
    </w:p>
    <w:p>
      <w:pPr>
        <w:pStyle w:val="Heading1"/>
        <w:spacing w:before="154"/>
        <w:ind w:left="1105"/>
      </w:pPr>
      <w:r>
        <w:rPr>
          <w:color w:val="1A4796"/>
          <w:spacing w:val="-2"/>
          <w:w w:val="120"/>
        </w:rPr>
        <w:t>Annexes</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719424">
                <wp:simplePos x="0" y="0"/>
                <wp:positionH relativeFrom="page">
                  <wp:posOffset>720001</wp:posOffset>
                </wp:positionH>
                <wp:positionV relativeFrom="paragraph">
                  <wp:posOffset>288395</wp:posOffset>
                </wp:positionV>
                <wp:extent cx="909319" cy="26034"/>
                <wp:effectExtent l="0" t="0" r="0" b="0"/>
                <wp:wrapTopAndBottom/>
                <wp:docPr id="550" name="Graphic 550"/>
                <wp:cNvGraphicFramePr>
                  <a:graphicFrameLocks/>
                </wp:cNvGraphicFramePr>
                <a:graphic>
                  <a:graphicData uri="http://schemas.microsoft.com/office/word/2010/wordprocessingShape">
                    <wps:wsp>
                      <wps:cNvPr id="550" name="Graphic 550"/>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56.693001pt;margin-top:22.708281pt;width:71.584pt;height:2.021pt;mso-position-horizontal-relative:page;mso-position-vertical-relative:paragraph;z-index:-15597056;mso-wrap-distance-left:0;mso-wrap-distance-right:0" id="docshape437" filled="true" fillcolor="#b52628" stroked="false">
                <v:fill type="solid"/>
                <w10:wrap type="topAndBottom"/>
              </v:rect>
            </w:pict>
          </mc:Fallback>
        </mc:AlternateContent>
      </w:r>
    </w:p>
    <w:p>
      <w:pPr>
        <w:pStyle w:val="BodyText"/>
        <w:spacing w:before="239"/>
        <w:jc w:val="left"/>
        <w:rPr>
          <w:rFonts w:ascii="Trebuchet MS"/>
        </w:rPr>
      </w:pPr>
    </w:p>
    <w:p>
      <w:pPr>
        <w:pStyle w:val="ListParagraph"/>
        <w:numPr>
          <w:ilvl w:val="0"/>
          <w:numId w:val="10"/>
        </w:numPr>
        <w:tabs>
          <w:tab w:pos="1376" w:val="left" w:leader="none"/>
        </w:tabs>
        <w:spacing w:line="240" w:lineRule="auto" w:before="0" w:after="0"/>
        <w:ind w:left="1133" w:right="6348" w:firstLine="0"/>
        <w:jc w:val="left"/>
        <w:rPr>
          <w:sz w:val="24"/>
        </w:rPr>
      </w:pPr>
      <w:r>
        <w:rPr>
          <w:color w:val="231F20"/>
          <w:sz w:val="24"/>
        </w:rPr>
        <w:t>Résumé</w:t>
      </w:r>
      <w:r>
        <w:rPr>
          <w:color w:val="231F20"/>
          <w:spacing w:val="40"/>
          <w:sz w:val="24"/>
        </w:rPr>
        <w:t> </w:t>
      </w:r>
      <w:r>
        <w:rPr>
          <w:color w:val="231F20"/>
          <w:sz w:val="24"/>
        </w:rPr>
        <w:t>des</w:t>
      </w:r>
      <w:r>
        <w:rPr>
          <w:color w:val="231F20"/>
          <w:spacing w:val="40"/>
          <w:sz w:val="24"/>
        </w:rPr>
        <w:t> </w:t>
      </w:r>
      <w:r>
        <w:rPr>
          <w:color w:val="231F20"/>
          <w:sz w:val="24"/>
        </w:rPr>
        <w:t>préjudices</w:t>
      </w:r>
      <w:r>
        <w:rPr>
          <w:color w:val="231F20"/>
          <w:spacing w:val="40"/>
          <w:sz w:val="24"/>
        </w:rPr>
        <w:t> </w:t>
      </w:r>
      <w:r>
        <w:rPr>
          <w:color w:val="231F20"/>
          <w:sz w:val="24"/>
        </w:rPr>
        <w:t>quantifiés</w:t>
      </w:r>
      <w:r>
        <w:rPr>
          <w:color w:val="231F20"/>
          <w:spacing w:val="40"/>
          <w:sz w:val="24"/>
        </w:rPr>
        <w:t> </w:t>
      </w:r>
      <w:r>
        <w:rPr>
          <w:color w:val="231F20"/>
          <w:sz w:val="24"/>
        </w:rPr>
        <w:t>par secteur de mars 2022 à février 2023</w:t>
      </w:r>
    </w:p>
    <w:p>
      <w:pPr>
        <w:pStyle w:val="BodyText"/>
        <w:jc w:val="left"/>
        <w:rPr>
          <w:sz w:val="20"/>
        </w:rPr>
      </w:pPr>
    </w:p>
    <w:p>
      <w:pPr>
        <w:pStyle w:val="BodyText"/>
        <w:spacing w:before="1"/>
        <w:jc w:val="left"/>
        <w:rPr>
          <w:sz w:val="20"/>
        </w:rPr>
      </w:pPr>
      <w:r>
        <w:rPr/>
        <mc:AlternateContent>
          <mc:Choice Requires="wps">
            <w:drawing>
              <wp:anchor distT="0" distB="0" distL="0" distR="0" allowOverlap="1" layoutInCell="1" locked="0" behindDoc="1" simplePos="0" relativeHeight="487719936">
                <wp:simplePos x="0" y="0"/>
                <wp:positionH relativeFrom="page">
                  <wp:posOffset>719988</wp:posOffset>
                </wp:positionH>
                <wp:positionV relativeFrom="paragraph">
                  <wp:posOffset>184794</wp:posOffset>
                </wp:positionV>
                <wp:extent cx="4718685" cy="6636384"/>
                <wp:effectExtent l="0" t="0" r="0" b="0"/>
                <wp:wrapTopAndBottom/>
                <wp:docPr id="551" name="Group 551"/>
                <wp:cNvGraphicFramePr>
                  <a:graphicFrameLocks/>
                </wp:cNvGraphicFramePr>
                <a:graphic>
                  <a:graphicData uri="http://schemas.microsoft.com/office/word/2010/wordprocessingGroup">
                    <wpg:wgp>
                      <wpg:cNvPr id="551" name="Group 551"/>
                      <wpg:cNvGrpSpPr/>
                      <wpg:grpSpPr>
                        <a:xfrm>
                          <a:off x="0" y="0"/>
                          <a:ext cx="4718685" cy="6636384"/>
                          <a:chExt cx="4718685" cy="6636384"/>
                        </a:xfrm>
                      </wpg:grpSpPr>
                      <wps:wsp>
                        <wps:cNvPr id="552" name="Graphic 552"/>
                        <wps:cNvSpPr/>
                        <wps:spPr>
                          <a:xfrm>
                            <a:off x="12" y="0"/>
                            <a:ext cx="4718685" cy="6636384"/>
                          </a:xfrm>
                          <a:custGeom>
                            <a:avLst/>
                            <a:gdLst/>
                            <a:ahLst/>
                            <a:cxnLst/>
                            <a:rect l="l" t="t" r="r" b="b"/>
                            <a:pathLst>
                              <a:path w="4718685" h="6636384">
                                <a:moveTo>
                                  <a:pt x="4718126" y="0"/>
                                </a:moveTo>
                                <a:lnTo>
                                  <a:pt x="0" y="0"/>
                                </a:lnTo>
                                <a:lnTo>
                                  <a:pt x="0" y="6635813"/>
                                </a:lnTo>
                                <a:lnTo>
                                  <a:pt x="4718126" y="6635813"/>
                                </a:lnTo>
                                <a:lnTo>
                                  <a:pt x="4718126" y="0"/>
                                </a:lnTo>
                                <a:close/>
                              </a:path>
                            </a:pathLst>
                          </a:custGeom>
                          <a:solidFill>
                            <a:srgbClr val="E0E2E2"/>
                          </a:solidFill>
                        </wps:spPr>
                        <wps:bodyPr wrap="square" lIns="0" tIns="0" rIns="0" bIns="0" rtlCol="0">
                          <a:prstTxWarp prst="textNoShape">
                            <a:avLst/>
                          </a:prstTxWarp>
                          <a:noAutofit/>
                        </wps:bodyPr>
                      </wps:wsp>
                      <wps:wsp>
                        <wps:cNvPr id="553" name="Graphic 553"/>
                        <wps:cNvSpPr/>
                        <wps:spPr>
                          <a:xfrm>
                            <a:off x="0" y="709675"/>
                            <a:ext cx="4424680" cy="5430520"/>
                          </a:xfrm>
                          <a:custGeom>
                            <a:avLst/>
                            <a:gdLst/>
                            <a:ahLst/>
                            <a:cxnLst/>
                            <a:rect l="l" t="t" r="r" b="b"/>
                            <a:pathLst>
                              <a:path w="4424680" h="5430520">
                                <a:moveTo>
                                  <a:pt x="4424464" y="5022431"/>
                                </a:moveTo>
                                <a:lnTo>
                                  <a:pt x="0" y="5022431"/>
                                </a:lnTo>
                                <a:lnTo>
                                  <a:pt x="0" y="5430240"/>
                                </a:lnTo>
                                <a:lnTo>
                                  <a:pt x="4424464" y="5430240"/>
                                </a:lnTo>
                                <a:lnTo>
                                  <a:pt x="4424464" y="5022431"/>
                                </a:lnTo>
                                <a:close/>
                              </a:path>
                              <a:path w="4424680" h="5430520">
                                <a:moveTo>
                                  <a:pt x="4424464" y="4214647"/>
                                </a:moveTo>
                                <a:lnTo>
                                  <a:pt x="0" y="4214647"/>
                                </a:lnTo>
                                <a:lnTo>
                                  <a:pt x="0" y="4622444"/>
                                </a:lnTo>
                                <a:lnTo>
                                  <a:pt x="4424464" y="4622444"/>
                                </a:lnTo>
                                <a:lnTo>
                                  <a:pt x="4424464" y="4214647"/>
                                </a:lnTo>
                                <a:close/>
                              </a:path>
                              <a:path w="4424680" h="5430520">
                                <a:moveTo>
                                  <a:pt x="4424464" y="3411182"/>
                                </a:moveTo>
                                <a:lnTo>
                                  <a:pt x="0" y="3411182"/>
                                </a:lnTo>
                                <a:lnTo>
                                  <a:pt x="0" y="3818979"/>
                                </a:lnTo>
                                <a:lnTo>
                                  <a:pt x="4424464" y="3818979"/>
                                </a:lnTo>
                                <a:lnTo>
                                  <a:pt x="4424464" y="3411182"/>
                                </a:lnTo>
                                <a:close/>
                              </a:path>
                              <a:path w="4424680" h="5430520">
                                <a:moveTo>
                                  <a:pt x="4424464" y="2419235"/>
                                </a:moveTo>
                                <a:lnTo>
                                  <a:pt x="0" y="2419235"/>
                                </a:lnTo>
                                <a:lnTo>
                                  <a:pt x="0" y="2827032"/>
                                </a:lnTo>
                                <a:lnTo>
                                  <a:pt x="4424464" y="2827032"/>
                                </a:lnTo>
                                <a:lnTo>
                                  <a:pt x="4424464" y="2419235"/>
                                </a:lnTo>
                                <a:close/>
                              </a:path>
                              <a:path w="4424680" h="5430520">
                                <a:moveTo>
                                  <a:pt x="4424464" y="1604467"/>
                                </a:moveTo>
                                <a:lnTo>
                                  <a:pt x="0" y="1604467"/>
                                </a:lnTo>
                                <a:lnTo>
                                  <a:pt x="0" y="2012276"/>
                                </a:lnTo>
                                <a:lnTo>
                                  <a:pt x="4424464" y="2012276"/>
                                </a:lnTo>
                                <a:lnTo>
                                  <a:pt x="4424464" y="1604467"/>
                                </a:lnTo>
                                <a:close/>
                              </a:path>
                              <a:path w="4424680" h="5430520">
                                <a:moveTo>
                                  <a:pt x="4424464" y="814743"/>
                                </a:moveTo>
                                <a:lnTo>
                                  <a:pt x="0" y="814743"/>
                                </a:lnTo>
                                <a:lnTo>
                                  <a:pt x="0" y="1222552"/>
                                </a:lnTo>
                                <a:lnTo>
                                  <a:pt x="4424464" y="1222552"/>
                                </a:lnTo>
                                <a:lnTo>
                                  <a:pt x="4424464" y="814743"/>
                                </a:lnTo>
                                <a:close/>
                              </a:path>
                              <a:path w="4424680" h="5430520">
                                <a:moveTo>
                                  <a:pt x="4424464" y="0"/>
                                </a:moveTo>
                                <a:lnTo>
                                  <a:pt x="0" y="0"/>
                                </a:lnTo>
                                <a:lnTo>
                                  <a:pt x="0" y="407809"/>
                                </a:lnTo>
                                <a:lnTo>
                                  <a:pt x="4424464" y="407809"/>
                                </a:lnTo>
                                <a:lnTo>
                                  <a:pt x="4424464" y="0"/>
                                </a:lnTo>
                                <a:close/>
                              </a:path>
                            </a:pathLst>
                          </a:custGeom>
                          <a:solidFill>
                            <a:srgbClr val="FFFFFF"/>
                          </a:solidFill>
                        </wps:spPr>
                        <wps:bodyPr wrap="square" lIns="0" tIns="0" rIns="0" bIns="0" rtlCol="0">
                          <a:prstTxWarp prst="textNoShape">
                            <a:avLst/>
                          </a:prstTxWarp>
                          <a:noAutofit/>
                        </wps:bodyPr>
                      </wps:wsp>
                      <pic:pic>
                        <pic:nvPicPr>
                          <pic:cNvPr id="554" name="Image 554"/>
                          <pic:cNvPicPr/>
                        </pic:nvPicPr>
                        <pic:blipFill>
                          <a:blip r:embed="rId156" cstate="print"/>
                          <a:stretch>
                            <a:fillRect/>
                          </a:stretch>
                        </pic:blipFill>
                        <pic:spPr>
                          <a:xfrm>
                            <a:off x="2462902" y="235090"/>
                            <a:ext cx="1305168" cy="260311"/>
                          </a:xfrm>
                          <a:prstGeom prst="rect">
                            <a:avLst/>
                          </a:prstGeom>
                        </pic:spPr>
                      </pic:pic>
                      <pic:pic>
                        <pic:nvPicPr>
                          <pic:cNvPr id="555" name="Image 555"/>
                          <pic:cNvPicPr/>
                        </pic:nvPicPr>
                        <pic:blipFill>
                          <a:blip r:embed="rId157" cstate="print"/>
                          <a:stretch>
                            <a:fillRect/>
                          </a:stretch>
                        </pic:blipFill>
                        <pic:spPr>
                          <a:xfrm>
                            <a:off x="2468612" y="886889"/>
                            <a:ext cx="653340" cy="89073"/>
                          </a:xfrm>
                          <a:prstGeom prst="rect">
                            <a:avLst/>
                          </a:prstGeom>
                        </pic:spPr>
                      </pic:pic>
                      <pic:pic>
                        <pic:nvPicPr>
                          <pic:cNvPr id="556" name="Image 556"/>
                          <pic:cNvPicPr/>
                        </pic:nvPicPr>
                        <pic:blipFill>
                          <a:blip r:embed="rId158" cstate="print"/>
                          <a:stretch>
                            <a:fillRect/>
                          </a:stretch>
                        </pic:blipFill>
                        <pic:spPr>
                          <a:xfrm>
                            <a:off x="294415" y="880242"/>
                            <a:ext cx="294747" cy="94279"/>
                          </a:xfrm>
                          <a:prstGeom prst="rect">
                            <a:avLst/>
                          </a:prstGeom>
                        </pic:spPr>
                      </pic:pic>
                      <pic:pic>
                        <pic:nvPicPr>
                          <pic:cNvPr id="557" name="Image 557"/>
                          <pic:cNvPicPr/>
                        </pic:nvPicPr>
                        <pic:blipFill>
                          <a:blip r:embed="rId159" cstate="print"/>
                          <a:stretch>
                            <a:fillRect/>
                          </a:stretch>
                        </pic:blipFill>
                        <pic:spPr>
                          <a:xfrm>
                            <a:off x="2468728" y="1283131"/>
                            <a:ext cx="120769" cy="87617"/>
                          </a:xfrm>
                          <a:prstGeom prst="rect">
                            <a:avLst/>
                          </a:prstGeom>
                        </pic:spPr>
                      </pic:pic>
                      <pic:pic>
                        <pic:nvPicPr>
                          <pic:cNvPr id="558" name="Image 558"/>
                          <pic:cNvPicPr/>
                        </pic:nvPicPr>
                        <pic:blipFill>
                          <a:blip r:embed="rId160" cstate="print"/>
                          <a:stretch>
                            <a:fillRect/>
                          </a:stretch>
                        </pic:blipFill>
                        <pic:spPr>
                          <a:xfrm>
                            <a:off x="2635319" y="1281217"/>
                            <a:ext cx="158487" cy="89531"/>
                          </a:xfrm>
                          <a:prstGeom prst="rect">
                            <a:avLst/>
                          </a:prstGeom>
                        </pic:spPr>
                      </pic:pic>
                      <pic:pic>
                        <pic:nvPicPr>
                          <pic:cNvPr id="559" name="Image 559"/>
                          <pic:cNvPicPr/>
                        </pic:nvPicPr>
                        <pic:blipFill>
                          <a:blip r:embed="rId161" cstate="print"/>
                          <a:stretch>
                            <a:fillRect/>
                          </a:stretch>
                        </pic:blipFill>
                        <pic:spPr>
                          <a:xfrm>
                            <a:off x="2847913" y="1281689"/>
                            <a:ext cx="187552" cy="89065"/>
                          </a:xfrm>
                          <a:prstGeom prst="rect">
                            <a:avLst/>
                          </a:prstGeom>
                        </pic:spPr>
                      </pic:pic>
                      <wps:wsp>
                        <wps:cNvPr id="560" name="Graphic 560"/>
                        <wps:cNvSpPr/>
                        <wps:spPr>
                          <a:xfrm>
                            <a:off x="301853" y="1256994"/>
                            <a:ext cx="516890" cy="115570"/>
                          </a:xfrm>
                          <a:custGeom>
                            <a:avLst/>
                            <a:gdLst/>
                            <a:ahLst/>
                            <a:cxnLst/>
                            <a:rect l="l" t="t" r="r" b="b"/>
                            <a:pathLst>
                              <a:path w="516890" h="115570">
                                <a:moveTo>
                                  <a:pt x="37592" y="0"/>
                                </a:moveTo>
                                <a:lnTo>
                                  <a:pt x="27622" y="0"/>
                                </a:lnTo>
                                <a:lnTo>
                                  <a:pt x="14236" y="19697"/>
                                </a:lnTo>
                                <a:lnTo>
                                  <a:pt x="21856" y="19697"/>
                                </a:lnTo>
                                <a:lnTo>
                                  <a:pt x="37592" y="0"/>
                                </a:lnTo>
                                <a:close/>
                              </a:path>
                              <a:path w="516890" h="115570">
                                <a:moveTo>
                                  <a:pt x="45643" y="104622"/>
                                </a:moveTo>
                                <a:lnTo>
                                  <a:pt x="10096" y="104622"/>
                                </a:lnTo>
                                <a:lnTo>
                                  <a:pt x="10096" y="74472"/>
                                </a:lnTo>
                                <a:lnTo>
                                  <a:pt x="41198" y="74472"/>
                                </a:lnTo>
                                <a:lnTo>
                                  <a:pt x="41198" y="65392"/>
                                </a:lnTo>
                                <a:lnTo>
                                  <a:pt x="10096" y="65392"/>
                                </a:lnTo>
                                <a:lnTo>
                                  <a:pt x="10096" y="36753"/>
                                </a:lnTo>
                                <a:lnTo>
                                  <a:pt x="43726" y="36753"/>
                                </a:lnTo>
                                <a:lnTo>
                                  <a:pt x="43726" y="27622"/>
                                </a:lnTo>
                                <a:lnTo>
                                  <a:pt x="0" y="27622"/>
                                </a:lnTo>
                                <a:lnTo>
                                  <a:pt x="0" y="113741"/>
                                </a:lnTo>
                                <a:lnTo>
                                  <a:pt x="45643" y="113741"/>
                                </a:lnTo>
                                <a:lnTo>
                                  <a:pt x="45643" y="104622"/>
                                </a:lnTo>
                                <a:close/>
                              </a:path>
                              <a:path w="516890" h="115570">
                                <a:moveTo>
                                  <a:pt x="113385" y="22707"/>
                                </a:moveTo>
                                <a:lnTo>
                                  <a:pt x="103530" y="22707"/>
                                </a:lnTo>
                                <a:lnTo>
                                  <a:pt x="103530" y="60782"/>
                                </a:lnTo>
                                <a:lnTo>
                                  <a:pt x="103530" y="71907"/>
                                </a:lnTo>
                                <a:lnTo>
                                  <a:pt x="103530" y="91986"/>
                                </a:lnTo>
                                <a:lnTo>
                                  <a:pt x="101828" y="96989"/>
                                </a:lnTo>
                                <a:lnTo>
                                  <a:pt x="95021" y="104914"/>
                                </a:lnTo>
                                <a:lnTo>
                                  <a:pt x="90563" y="106895"/>
                                </a:lnTo>
                                <a:lnTo>
                                  <a:pt x="79476" y="106895"/>
                                </a:lnTo>
                                <a:lnTo>
                                  <a:pt x="75031" y="104851"/>
                                </a:lnTo>
                                <a:lnTo>
                                  <a:pt x="68427" y="96647"/>
                                </a:lnTo>
                                <a:lnTo>
                                  <a:pt x="66776" y="91046"/>
                                </a:lnTo>
                                <a:lnTo>
                                  <a:pt x="66776" y="76200"/>
                                </a:lnTo>
                                <a:lnTo>
                                  <a:pt x="68503" y="70104"/>
                                </a:lnTo>
                                <a:lnTo>
                                  <a:pt x="75387" y="61302"/>
                                </a:lnTo>
                                <a:lnTo>
                                  <a:pt x="80111" y="59093"/>
                                </a:lnTo>
                                <a:lnTo>
                                  <a:pt x="91122" y="59093"/>
                                </a:lnTo>
                                <a:lnTo>
                                  <a:pt x="95275" y="60820"/>
                                </a:lnTo>
                                <a:lnTo>
                                  <a:pt x="101879" y="67703"/>
                                </a:lnTo>
                                <a:lnTo>
                                  <a:pt x="103530" y="71907"/>
                                </a:lnTo>
                                <a:lnTo>
                                  <a:pt x="103530" y="60782"/>
                                </a:lnTo>
                                <a:lnTo>
                                  <a:pt x="103289" y="60782"/>
                                </a:lnTo>
                                <a:lnTo>
                                  <a:pt x="102323" y="59093"/>
                                </a:lnTo>
                                <a:lnTo>
                                  <a:pt x="101371" y="57454"/>
                                </a:lnTo>
                                <a:lnTo>
                                  <a:pt x="98882" y="54965"/>
                                </a:lnTo>
                                <a:lnTo>
                                  <a:pt x="92748" y="51638"/>
                                </a:lnTo>
                                <a:lnTo>
                                  <a:pt x="89103" y="50812"/>
                                </a:lnTo>
                                <a:lnTo>
                                  <a:pt x="76327" y="50812"/>
                                </a:lnTo>
                                <a:lnTo>
                                  <a:pt x="56730" y="83959"/>
                                </a:lnTo>
                                <a:lnTo>
                                  <a:pt x="56692" y="93929"/>
                                </a:lnTo>
                                <a:lnTo>
                                  <a:pt x="59004" y="101434"/>
                                </a:lnTo>
                                <a:lnTo>
                                  <a:pt x="68249" y="112433"/>
                                </a:lnTo>
                                <a:lnTo>
                                  <a:pt x="74422" y="115189"/>
                                </a:lnTo>
                                <a:lnTo>
                                  <a:pt x="86956" y="115189"/>
                                </a:lnTo>
                                <a:lnTo>
                                  <a:pt x="103289" y="103301"/>
                                </a:lnTo>
                                <a:lnTo>
                                  <a:pt x="103530" y="103301"/>
                                </a:lnTo>
                                <a:lnTo>
                                  <a:pt x="103530" y="113741"/>
                                </a:lnTo>
                                <a:lnTo>
                                  <a:pt x="113385" y="113741"/>
                                </a:lnTo>
                                <a:lnTo>
                                  <a:pt x="113385" y="103301"/>
                                </a:lnTo>
                                <a:lnTo>
                                  <a:pt x="113385" y="60782"/>
                                </a:lnTo>
                                <a:lnTo>
                                  <a:pt x="113385" y="22707"/>
                                </a:lnTo>
                                <a:close/>
                              </a:path>
                              <a:path w="516890" h="115570">
                                <a:moveTo>
                                  <a:pt x="183045" y="52247"/>
                                </a:moveTo>
                                <a:lnTo>
                                  <a:pt x="173202" y="52247"/>
                                </a:lnTo>
                                <a:lnTo>
                                  <a:pt x="173202" y="93395"/>
                                </a:lnTo>
                                <a:lnTo>
                                  <a:pt x="171640" y="98044"/>
                                </a:lnTo>
                                <a:lnTo>
                                  <a:pt x="165442" y="105117"/>
                                </a:lnTo>
                                <a:lnTo>
                                  <a:pt x="161480" y="106895"/>
                                </a:lnTo>
                                <a:lnTo>
                                  <a:pt x="151714" y="106895"/>
                                </a:lnTo>
                                <a:lnTo>
                                  <a:pt x="147993" y="105270"/>
                                </a:lnTo>
                                <a:lnTo>
                                  <a:pt x="143027" y="98793"/>
                                </a:lnTo>
                                <a:lnTo>
                                  <a:pt x="141782" y="93916"/>
                                </a:lnTo>
                                <a:lnTo>
                                  <a:pt x="141782" y="52247"/>
                                </a:lnTo>
                                <a:lnTo>
                                  <a:pt x="131991" y="52247"/>
                                </a:lnTo>
                                <a:lnTo>
                                  <a:pt x="131991" y="97726"/>
                                </a:lnTo>
                                <a:lnTo>
                                  <a:pt x="133832" y="104279"/>
                                </a:lnTo>
                                <a:lnTo>
                                  <a:pt x="141160" y="113004"/>
                                </a:lnTo>
                                <a:lnTo>
                                  <a:pt x="146646" y="115189"/>
                                </a:lnTo>
                                <a:lnTo>
                                  <a:pt x="158267" y="115189"/>
                                </a:lnTo>
                                <a:lnTo>
                                  <a:pt x="161988" y="114261"/>
                                </a:lnTo>
                                <a:lnTo>
                                  <a:pt x="168313" y="110528"/>
                                </a:lnTo>
                                <a:lnTo>
                                  <a:pt x="170916" y="107734"/>
                                </a:lnTo>
                                <a:lnTo>
                                  <a:pt x="172961" y="104013"/>
                                </a:lnTo>
                                <a:lnTo>
                                  <a:pt x="173202" y="104013"/>
                                </a:lnTo>
                                <a:lnTo>
                                  <a:pt x="173202" y="113741"/>
                                </a:lnTo>
                                <a:lnTo>
                                  <a:pt x="183045" y="113741"/>
                                </a:lnTo>
                                <a:lnTo>
                                  <a:pt x="183045" y="52247"/>
                                </a:lnTo>
                                <a:close/>
                              </a:path>
                              <a:path w="516890" h="115570">
                                <a:moveTo>
                                  <a:pt x="247840" y="55664"/>
                                </a:moveTo>
                                <a:lnTo>
                                  <a:pt x="244919" y="53949"/>
                                </a:lnTo>
                                <a:lnTo>
                                  <a:pt x="242023" y="52692"/>
                                </a:lnTo>
                                <a:lnTo>
                                  <a:pt x="236308" y="51181"/>
                                </a:lnTo>
                                <a:lnTo>
                                  <a:pt x="233286" y="50800"/>
                                </a:lnTo>
                                <a:lnTo>
                                  <a:pt x="220357" y="50800"/>
                                </a:lnTo>
                                <a:lnTo>
                                  <a:pt x="198716" y="84315"/>
                                </a:lnTo>
                                <a:lnTo>
                                  <a:pt x="198716" y="94157"/>
                                </a:lnTo>
                                <a:lnTo>
                                  <a:pt x="201485" y="101765"/>
                                </a:lnTo>
                                <a:lnTo>
                                  <a:pt x="212585" y="112496"/>
                                </a:lnTo>
                                <a:lnTo>
                                  <a:pt x="219684" y="115176"/>
                                </a:lnTo>
                                <a:lnTo>
                                  <a:pt x="231686" y="115176"/>
                                </a:lnTo>
                                <a:lnTo>
                                  <a:pt x="239610" y="104305"/>
                                </a:lnTo>
                                <a:lnTo>
                                  <a:pt x="237464" y="105283"/>
                                </a:lnTo>
                                <a:lnTo>
                                  <a:pt x="233184" y="106527"/>
                                </a:lnTo>
                                <a:lnTo>
                                  <a:pt x="231127" y="106832"/>
                                </a:lnTo>
                                <a:lnTo>
                                  <a:pt x="223164" y="106832"/>
                                </a:lnTo>
                                <a:lnTo>
                                  <a:pt x="218262" y="104813"/>
                                </a:lnTo>
                                <a:lnTo>
                                  <a:pt x="210705" y="96723"/>
                                </a:lnTo>
                                <a:lnTo>
                                  <a:pt x="208813" y="90855"/>
                                </a:lnTo>
                                <a:lnTo>
                                  <a:pt x="208813" y="76200"/>
                                </a:lnTo>
                                <a:lnTo>
                                  <a:pt x="210616" y="70459"/>
                                </a:lnTo>
                                <a:lnTo>
                                  <a:pt x="217817" y="61404"/>
                                </a:lnTo>
                                <a:lnTo>
                                  <a:pt x="222999" y="59143"/>
                                </a:lnTo>
                                <a:lnTo>
                                  <a:pt x="232371" y="59143"/>
                                </a:lnTo>
                                <a:lnTo>
                                  <a:pt x="234772" y="59448"/>
                                </a:lnTo>
                                <a:lnTo>
                                  <a:pt x="239179" y="60642"/>
                                </a:lnTo>
                                <a:lnTo>
                                  <a:pt x="241414" y="61595"/>
                                </a:lnTo>
                                <a:lnTo>
                                  <a:pt x="243700" y="62877"/>
                                </a:lnTo>
                                <a:lnTo>
                                  <a:pt x="247840" y="55664"/>
                                </a:lnTo>
                                <a:close/>
                              </a:path>
                              <a:path w="516890" h="115570">
                                <a:moveTo>
                                  <a:pt x="303276" y="66103"/>
                                </a:moveTo>
                                <a:lnTo>
                                  <a:pt x="301396" y="60363"/>
                                </a:lnTo>
                                <a:lnTo>
                                  <a:pt x="300139" y="59093"/>
                                </a:lnTo>
                                <a:lnTo>
                                  <a:pt x="293865" y="52717"/>
                                </a:lnTo>
                                <a:lnTo>
                                  <a:pt x="288264" y="50800"/>
                                </a:lnTo>
                                <a:lnTo>
                                  <a:pt x="276047" y="50800"/>
                                </a:lnTo>
                                <a:lnTo>
                                  <a:pt x="271729" y="51587"/>
                                </a:lnTo>
                                <a:lnTo>
                                  <a:pt x="263969" y="54711"/>
                                </a:lnTo>
                                <a:lnTo>
                                  <a:pt x="260299" y="57150"/>
                                </a:lnTo>
                                <a:lnTo>
                                  <a:pt x="256857" y="60477"/>
                                </a:lnTo>
                                <a:lnTo>
                                  <a:pt x="262623" y="66421"/>
                                </a:lnTo>
                                <a:lnTo>
                                  <a:pt x="265226" y="63944"/>
                                </a:lnTo>
                                <a:lnTo>
                                  <a:pt x="268008" y="62103"/>
                                </a:lnTo>
                                <a:lnTo>
                                  <a:pt x="273926" y="59702"/>
                                </a:lnTo>
                                <a:lnTo>
                                  <a:pt x="277012" y="59093"/>
                                </a:lnTo>
                                <a:lnTo>
                                  <a:pt x="284226" y="59093"/>
                                </a:lnTo>
                                <a:lnTo>
                                  <a:pt x="287426" y="60185"/>
                                </a:lnTo>
                                <a:lnTo>
                                  <a:pt x="292227" y="64541"/>
                                </a:lnTo>
                                <a:lnTo>
                                  <a:pt x="293433" y="68224"/>
                                </a:lnTo>
                                <a:lnTo>
                                  <a:pt x="293433" y="74777"/>
                                </a:lnTo>
                                <a:lnTo>
                                  <a:pt x="293433" y="82638"/>
                                </a:lnTo>
                                <a:lnTo>
                                  <a:pt x="293433" y="94081"/>
                                </a:lnTo>
                                <a:lnTo>
                                  <a:pt x="291858" y="98488"/>
                                </a:lnTo>
                                <a:lnTo>
                                  <a:pt x="285572" y="105460"/>
                                </a:lnTo>
                                <a:lnTo>
                                  <a:pt x="281330" y="107200"/>
                                </a:lnTo>
                                <a:lnTo>
                                  <a:pt x="272935" y="107200"/>
                                </a:lnTo>
                                <a:lnTo>
                                  <a:pt x="270319" y="106222"/>
                                </a:lnTo>
                                <a:lnTo>
                                  <a:pt x="266026" y="102349"/>
                                </a:lnTo>
                                <a:lnTo>
                                  <a:pt x="264960" y="99529"/>
                                </a:lnTo>
                                <a:lnTo>
                                  <a:pt x="264960" y="92316"/>
                                </a:lnTo>
                                <a:lnTo>
                                  <a:pt x="266103" y="89738"/>
                                </a:lnTo>
                                <a:lnTo>
                                  <a:pt x="270675" y="86461"/>
                                </a:lnTo>
                                <a:lnTo>
                                  <a:pt x="274066" y="85318"/>
                                </a:lnTo>
                                <a:lnTo>
                                  <a:pt x="293433" y="82638"/>
                                </a:lnTo>
                                <a:lnTo>
                                  <a:pt x="293433" y="74777"/>
                                </a:lnTo>
                                <a:lnTo>
                                  <a:pt x="256971" y="87160"/>
                                </a:lnTo>
                                <a:lnTo>
                                  <a:pt x="255168" y="91503"/>
                                </a:lnTo>
                                <a:lnTo>
                                  <a:pt x="255181" y="102349"/>
                                </a:lnTo>
                                <a:lnTo>
                                  <a:pt x="256959" y="106781"/>
                                </a:lnTo>
                                <a:lnTo>
                                  <a:pt x="264083" y="113499"/>
                                </a:lnTo>
                                <a:lnTo>
                                  <a:pt x="268744" y="115189"/>
                                </a:lnTo>
                                <a:lnTo>
                                  <a:pt x="278638" y="115189"/>
                                </a:lnTo>
                                <a:lnTo>
                                  <a:pt x="282244" y="114261"/>
                                </a:lnTo>
                                <a:lnTo>
                                  <a:pt x="288455" y="110578"/>
                                </a:lnTo>
                                <a:lnTo>
                                  <a:pt x="291071" y="107823"/>
                                </a:lnTo>
                                <a:lnTo>
                                  <a:pt x="291426" y="107200"/>
                                </a:lnTo>
                                <a:lnTo>
                                  <a:pt x="293192" y="104140"/>
                                </a:lnTo>
                                <a:lnTo>
                                  <a:pt x="293433" y="104140"/>
                                </a:lnTo>
                                <a:lnTo>
                                  <a:pt x="293433" y="113741"/>
                                </a:lnTo>
                                <a:lnTo>
                                  <a:pt x="303276" y="113741"/>
                                </a:lnTo>
                                <a:lnTo>
                                  <a:pt x="303276" y="104140"/>
                                </a:lnTo>
                                <a:lnTo>
                                  <a:pt x="303276" y="82638"/>
                                </a:lnTo>
                                <a:lnTo>
                                  <a:pt x="303276" y="66103"/>
                                </a:lnTo>
                                <a:close/>
                              </a:path>
                              <a:path w="516890" h="115570">
                                <a:moveTo>
                                  <a:pt x="351624" y="113017"/>
                                </a:moveTo>
                                <a:lnTo>
                                  <a:pt x="349224" y="105511"/>
                                </a:lnTo>
                                <a:lnTo>
                                  <a:pt x="347522" y="106184"/>
                                </a:lnTo>
                                <a:lnTo>
                                  <a:pt x="344119" y="106895"/>
                                </a:lnTo>
                                <a:lnTo>
                                  <a:pt x="340398" y="106895"/>
                                </a:lnTo>
                                <a:lnTo>
                                  <a:pt x="338505" y="106108"/>
                                </a:lnTo>
                                <a:lnTo>
                                  <a:pt x="335978" y="102984"/>
                                </a:lnTo>
                                <a:lnTo>
                                  <a:pt x="335356" y="100444"/>
                                </a:lnTo>
                                <a:lnTo>
                                  <a:pt x="335356" y="60642"/>
                                </a:lnTo>
                                <a:lnTo>
                                  <a:pt x="350837" y="60642"/>
                                </a:lnTo>
                                <a:lnTo>
                                  <a:pt x="350837" y="52247"/>
                                </a:lnTo>
                                <a:lnTo>
                                  <a:pt x="335356" y="52247"/>
                                </a:lnTo>
                                <a:lnTo>
                                  <a:pt x="335356" y="34048"/>
                                </a:lnTo>
                                <a:lnTo>
                                  <a:pt x="325501" y="37236"/>
                                </a:lnTo>
                                <a:lnTo>
                                  <a:pt x="325501" y="52247"/>
                                </a:lnTo>
                                <a:lnTo>
                                  <a:pt x="314934" y="52247"/>
                                </a:lnTo>
                                <a:lnTo>
                                  <a:pt x="314934" y="60642"/>
                                </a:lnTo>
                                <a:lnTo>
                                  <a:pt x="325501" y="60642"/>
                                </a:lnTo>
                                <a:lnTo>
                                  <a:pt x="325501" y="103670"/>
                                </a:lnTo>
                                <a:lnTo>
                                  <a:pt x="326885" y="107911"/>
                                </a:lnTo>
                                <a:lnTo>
                                  <a:pt x="332460" y="113626"/>
                                </a:lnTo>
                                <a:lnTo>
                                  <a:pt x="336283" y="115062"/>
                                </a:lnTo>
                                <a:lnTo>
                                  <a:pt x="343217" y="115062"/>
                                </a:lnTo>
                                <a:lnTo>
                                  <a:pt x="345046" y="114884"/>
                                </a:lnTo>
                                <a:lnTo>
                                  <a:pt x="348297" y="114211"/>
                                </a:lnTo>
                                <a:lnTo>
                                  <a:pt x="351624" y="113017"/>
                                </a:lnTo>
                                <a:close/>
                              </a:path>
                              <a:path w="516890" h="115570">
                                <a:moveTo>
                                  <a:pt x="373837" y="52247"/>
                                </a:moveTo>
                                <a:lnTo>
                                  <a:pt x="363994" y="52247"/>
                                </a:lnTo>
                                <a:lnTo>
                                  <a:pt x="363994" y="113741"/>
                                </a:lnTo>
                                <a:lnTo>
                                  <a:pt x="373837" y="113741"/>
                                </a:lnTo>
                                <a:lnTo>
                                  <a:pt x="373837" y="52247"/>
                                </a:lnTo>
                                <a:close/>
                              </a:path>
                              <a:path w="516890" h="115570">
                                <a:moveTo>
                                  <a:pt x="376123" y="28600"/>
                                </a:moveTo>
                                <a:lnTo>
                                  <a:pt x="375450" y="26949"/>
                                </a:lnTo>
                                <a:lnTo>
                                  <a:pt x="372719" y="24269"/>
                                </a:lnTo>
                                <a:lnTo>
                                  <a:pt x="371043" y="23609"/>
                                </a:lnTo>
                                <a:lnTo>
                                  <a:pt x="367042" y="23609"/>
                                </a:lnTo>
                                <a:lnTo>
                                  <a:pt x="365353" y="24269"/>
                                </a:lnTo>
                                <a:lnTo>
                                  <a:pt x="362635" y="26949"/>
                                </a:lnTo>
                                <a:lnTo>
                                  <a:pt x="361950" y="28600"/>
                                </a:lnTo>
                                <a:lnTo>
                                  <a:pt x="361950" y="32524"/>
                                </a:lnTo>
                                <a:lnTo>
                                  <a:pt x="362635" y="34175"/>
                                </a:lnTo>
                                <a:lnTo>
                                  <a:pt x="365353" y="36868"/>
                                </a:lnTo>
                                <a:lnTo>
                                  <a:pt x="367042" y="37528"/>
                                </a:lnTo>
                                <a:lnTo>
                                  <a:pt x="371043" y="37528"/>
                                </a:lnTo>
                                <a:lnTo>
                                  <a:pt x="372719" y="36868"/>
                                </a:lnTo>
                                <a:lnTo>
                                  <a:pt x="375450" y="34175"/>
                                </a:lnTo>
                                <a:lnTo>
                                  <a:pt x="376123" y="32524"/>
                                </a:lnTo>
                                <a:lnTo>
                                  <a:pt x="376123" y="28600"/>
                                </a:lnTo>
                                <a:close/>
                              </a:path>
                              <a:path w="516890" h="115570">
                                <a:moveTo>
                                  <a:pt x="450113" y="72783"/>
                                </a:moveTo>
                                <a:lnTo>
                                  <a:pt x="447535" y="64960"/>
                                </a:lnTo>
                                <a:lnTo>
                                  <a:pt x="442226" y="59093"/>
                                </a:lnTo>
                                <a:lnTo>
                                  <a:pt x="440016" y="56654"/>
                                </a:lnTo>
                                <a:lnTo>
                                  <a:pt x="440016" y="75399"/>
                                </a:lnTo>
                                <a:lnTo>
                                  <a:pt x="440016" y="90690"/>
                                </a:lnTo>
                                <a:lnTo>
                                  <a:pt x="438302" y="96545"/>
                                </a:lnTo>
                                <a:lnTo>
                                  <a:pt x="431457" y="104838"/>
                                </a:lnTo>
                                <a:lnTo>
                                  <a:pt x="426567" y="106895"/>
                                </a:lnTo>
                                <a:lnTo>
                                  <a:pt x="413956" y="106895"/>
                                </a:lnTo>
                                <a:lnTo>
                                  <a:pt x="408978" y="104800"/>
                                </a:lnTo>
                                <a:lnTo>
                                  <a:pt x="401523" y="96393"/>
                                </a:lnTo>
                                <a:lnTo>
                                  <a:pt x="399681" y="90690"/>
                                </a:lnTo>
                                <a:lnTo>
                                  <a:pt x="399669" y="75831"/>
                                </a:lnTo>
                                <a:lnTo>
                                  <a:pt x="401510" y="69900"/>
                                </a:lnTo>
                                <a:lnTo>
                                  <a:pt x="408876" y="61252"/>
                                </a:lnTo>
                                <a:lnTo>
                                  <a:pt x="413880" y="59093"/>
                                </a:lnTo>
                                <a:lnTo>
                                  <a:pt x="426529" y="59093"/>
                                </a:lnTo>
                                <a:lnTo>
                                  <a:pt x="431406" y="61163"/>
                                </a:lnTo>
                                <a:lnTo>
                                  <a:pt x="438302" y="69456"/>
                                </a:lnTo>
                                <a:lnTo>
                                  <a:pt x="440016" y="75399"/>
                                </a:lnTo>
                                <a:lnTo>
                                  <a:pt x="440016" y="56654"/>
                                </a:lnTo>
                                <a:lnTo>
                                  <a:pt x="437248" y="53594"/>
                                </a:lnTo>
                                <a:lnTo>
                                  <a:pt x="430085" y="50761"/>
                                </a:lnTo>
                                <a:lnTo>
                                  <a:pt x="411238" y="50850"/>
                                </a:lnTo>
                                <a:lnTo>
                                  <a:pt x="389572" y="83718"/>
                                </a:lnTo>
                                <a:lnTo>
                                  <a:pt x="389572" y="93205"/>
                                </a:lnTo>
                                <a:lnTo>
                                  <a:pt x="392290" y="100825"/>
                                </a:lnTo>
                                <a:lnTo>
                                  <a:pt x="403136" y="112318"/>
                                </a:lnTo>
                                <a:lnTo>
                                  <a:pt x="410400" y="115189"/>
                                </a:lnTo>
                                <a:lnTo>
                                  <a:pt x="428815" y="115189"/>
                                </a:lnTo>
                                <a:lnTo>
                                  <a:pt x="436245" y="112255"/>
                                </a:lnTo>
                                <a:lnTo>
                                  <a:pt x="441286" y="106895"/>
                                </a:lnTo>
                                <a:lnTo>
                                  <a:pt x="447332" y="100469"/>
                                </a:lnTo>
                                <a:lnTo>
                                  <a:pt x="450113" y="92608"/>
                                </a:lnTo>
                                <a:lnTo>
                                  <a:pt x="450113" y="72783"/>
                                </a:lnTo>
                                <a:close/>
                              </a:path>
                              <a:path w="516890" h="115570">
                                <a:moveTo>
                                  <a:pt x="516890" y="67945"/>
                                </a:moveTo>
                                <a:lnTo>
                                  <a:pt x="515112" y="61671"/>
                                </a:lnTo>
                                <a:lnTo>
                                  <a:pt x="507987" y="52971"/>
                                </a:lnTo>
                                <a:lnTo>
                                  <a:pt x="502843" y="50800"/>
                                </a:lnTo>
                                <a:lnTo>
                                  <a:pt x="491705" y="50800"/>
                                </a:lnTo>
                                <a:lnTo>
                                  <a:pt x="487819" y="51777"/>
                                </a:lnTo>
                                <a:lnTo>
                                  <a:pt x="481101" y="55651"/>
                                </a:lnTo>
                                <a:lnTo>
                                  <a:pt x="478256" y="58572"/>
                                </a:lnTo>
                                <a:lnTo>
                                  <a:pt x="475932" y="62445"/>
                                </a:lnTo>
                                <a:lnTo>
                                  <a:pt x="475691" y="62445"/>
                                </a:lnTo>
                                <a:lnTo>
                                  <a:pt x="475691" y="52247"/>
                                </a:lnTo>
                                <a:lnTo>
                                  <a:pt x="465848" y="52247"/>
                                </a:lnTo>
                                <a:lnTo>
                                  <a:pt x="465848" y="113741"/>
                                </a:lnTo>
                                <a:lnTo>
                                  <a:pt x="475691" y="113741"/>
                                </a:lnTo>
                                <a:lnTo>
                                  <a:pt x="475691" y="73025"/>
                                </a:lnTo>
                                <a:lnTo>
                                  <a:pt x="477304" y="68351"/>
                                </a:lnTo>
                                <a:lnTo>
                                  <a:pt x="483755" y="60947"/>
                                </a:lnTo>
                                <a:lnTo>
                                  <a:pt x="487819" y="59093"/>
                                </a:lnTo>
                                <a:lnTo>
                                  <a:pt x="497509" y="59093"/>
                                </a:lnTo>
                                <a:lnTo>
                                  <a:pt x="501091" y="60731"/>
                                </a:lnTo>
                                <a:lnTo>
                                  <a:pt x="505853" y="67246"/>
                                </a:lnTo>
                                <a:lnTo>
                                  <a:pt x="507047" y="72148"/>
                                </a:lnTo>
                                <a:lnTo>
                                  <a:pt x="507047" y="113741"/>
                                </a:lnTo>
                                <a:lnTo>
                                  <a:pt x="516890" y="113741"/>
                                </a:lnTo>
                                <a:lnTo>
                                  <a:pt x="516890" y="67945"/>
                                </a:lnTo>
                                <a:close/>
                              </a:path>
                            </a:pathLst>
                          </a:custGeom>
                          <a:solidFill>
                            <a:srgbClr val="231F20"/>
                          </a:solidFill>
                        </wps:spPr>
                        <wps:bodyPr wrap="square" lIns="0" tIns="0" rIns="0" bIns="0" rtlCol="0">
                          <a:prstTxWarp prst="textNoShape">
                            <a:avLst/>
                          </a:prstTxWarp>
                          <a:noAutofit/>
                        </wps:bodyPr>
                      </wps:wsp>
                      <pic:pic>
                        <pic:nvPicPr>
                          <pic:cNvPr id="561" name="Image 561"/>
                          <pic:cNvPicPr/>
                        </pic:nvPicPr>
                        <pic:blipFill>
                          <a:blip r:embed="rId162" cstate="print"/>
                          <a:stretch>
                            <a:fillRect/>
                          </a:stretch>
                        </pic:blipFill>
                        <pic:spPr>
                          <a:xfrm>
                            <a:off x="2468189" y="1689497"/>
                            <a:ext cx="579768" cy="103412"/>
                          </a:xfrm>
                          <a:prstGeom prst="rect">
                            <a:avLst/>
                          </a:prstGeom>
                        </pic:spPr>
                      </pic:pic>
                      <pic:pic>
                        <pic:nvPicPr>
                          <pic:cNvPr id="562" name="Image 562"/>
                          <pic:cNvPicPr/>
                        </pic:nvPicPr>
                        <pic:blipFill>
                          <a:blip r:embed="rId163" cstate="print"/>
                          <a:stretch>
                            <a:fillRect/>
                          </a:stretch>
                        </pic:blipFill>
                        <pic:spPr>
                          <a:xfrm>
                            <a:off x="294415" y="1689501"/>
                            <a:ext cx="287901" cy="115846"/>
                          </a:xfrm>
                          <a:prstGeom prst="rect">
                            <a:avLst/>
                          </a:prstGeom>
                        </pic:spPr>
                      </pic:pic>
                      <pic:pic>
                        <pic:nvPicPr>
                          <pic:cNvPr id="563" name="Image 563"/>
                          <pic:cNvPicPr/>
                        </pic:nvPicPr>
                        <pic:blipFill>
                          <a:blip r:embed="rId164" cstate="print"/>
                          <a:stretch>
                            <a:fillRect/>
                          </a:stretch>
                        </pic:blipFill>
                        <pic:spPr>
                          <a:xfrm>
                            <a:off x="2464280" y="2478750"/>
                            <a:ext cx="637964" cy="89542"/>
                          </a:xfrm>
                          <a:prstGeom prst="rect">
                            <a:avLst/>
                          </a:prstGeom>
                        </pic:spPr>
                      </pic:pic>
                      <pic:pic>
                        <pic:nvPicPr>
                          <pic:cNvPr id="564" name="Image 564"/>
                          <pic:cNvPicPr/>
                        </pic:nvPicPr>
                        <pic:blipFill>
                          <a:blip r:embed="rId165" cstate="print"/>
                          <a:stretch>
                            <a:fillRect/>
                          </a:stretch>
                        </pic:blipFill>
                        <pic:spPr>
                          <a:xfrm>
                            <a:off x="296294" y="2401136"/>
                            <a:ext cx="1456787" cy="266918"/>
                          </a:xfrm>
                          <a:prstGeom prst="rect">
                            <a:avLst/>
                          </a:prstGeom>
                        </pic:spPr>
                      </pic:pic>
                      <pic:pic>
                        <pic:nvPicPr>
                          <pic:cNvPr id="565" name="Image 565"/>
                          <pic:cNvPicPr/>
                        </pic:nvPicPr>
                        <pic:blipFill>
                          <a:blip r:embed="rId166" cstate="print"/>
                          <a:stretch>
                            <a:fillRect/>
                          </a:stretch>
                        </pic:blipFill>
                        <pic:spPr>
                          <a:xfrm>
                            <a:off x="2468189" y="2097304"/>
                            <a:ext cx="587462" cy="89071"/>
                          </a:xfrm>
                          <a:prstGeom prst="rect">
                            <a:avLst/>
                          </a:prstGeom>
                        </pic:spPr>
                      </pic:pic>
                      <pic:pic>
                        <pic:nvPicPr>
                          <pic:cNvPr id="566" name="Image 566"/>
                          <pic:cNvPicPr/>
                        </pic:nvPicPr>
                        <pic:blipFill>
                          <a:blip r:embed="rId167" cstate="print"/>
                          <a:stretch>
                            <a:fillRect/>
                          </a:stretch>
                        </pic:blipFill>
                        <pic:spPr>
                          <a:xfrm>
                            <a:off x="296222" y="2097304"/>
                            <a:ext cx="130194" cy="89006"/>
                          </a:xfrm>
                          <a:prstGeom prst="rect">
                            <a:avLst/>
                          </a:prstGeom>
                        </pic:spPr>
                      </pic:pic>
                      <pic:pic>
                        <pic:nvPicPr>
                          <pic:cNvPr id="567" name="Image 567"/>
                          <pic:cNvPicPr/>
                        </pic:nvPicPr>
                        <pic:blipFill>
                          <a:blip r:embed="rId168" cstate="print"/>
                          <a:stretch>
                            <a:fillRect/>
                          </a:stretch>
                        </pic:blipFill>
                        <pic:spPr>
                          <a:xfrm>
                            <a:off x="446277" y="2093823"/>
                            <a:ext cx="121204" cy="92487"/>
                          </a:xfrm>
                          <a:prstGeom prst="rect">
                            <a:avLst/>
                          </a:prstGeom>
                        </pic:spPr>
                      </pic:pic>
                      <pic:pic>
                        <pic:nvPicPr>
                          <pic:cNvPr id="568" name="Image 568"/>
                          <pic:cNvPicPr/>
                        </pic:nvPicPr>
                        <pic:blipFill>
                          <a:blip r:embed="rId169" cstate="print"/>
                          <a:stretch>
                            <a:fillRect/>
                          </a:stretch>
                        </pic:blipFill>
                        <pic:spPr>
                          <a:xfrm>
                            <a:off x="587361" y="2121927"/>
                            <a:ext cx="92184" cy="64376"/>
                          </a:xfrm>
                          <a:prstGeom prst="rect">
                            <a:avLst/>
                          </a:prstGeom>
                        </pic:spPr>
                      </pic:pic>
                      <pic:pic>
                        <pic:nvPicPr>
                          <pic:cNvPr id="569" name="Image 569"/>
                          <pic:cNvPicPr/>
                        </pic:nvPicPr>
                        <pic:blipFill>
                          <a:blip r:embed="rId170" cstate="print"/>
                          <a:stretch>
                            <a:fillRect/>
                          </a:stretch>
                        </pic:blipFill>
                        <pic:spPr>
                          <a:xfrm>
                            <a:off x="2464280" y="2885918"/>
                            <a:ext cx="737360" cy="89556"/>
                          </a:xfrm>
                          <a:prstGeom prst="rect">
                            <a:avLst/>
                          </a:prstGeom>
                        </pic:spPr>
                      </pic:pic>
                      <pic:pic>
                        <pic:nvPicPr>
                          <pic:cNvPr id="570" name="Image 570"/>
                          <pic:cNvPicPr/>
                        </pic:nvPicPr>
                        <pic:blipFill>
                          <a:blip r:embed="rId171" cstate="print"/>
                          <a:stretch>
                            <a:fillRect/>
                          </a:stretch>
                        </pic:blipFill>
                        <pic:spPr>
                          <a:xfrm>
                            <a:off x="292915" y="2889331"/>
                            <a:ext cx="181842" cy="87560"/>
                          </a:xfrm>
                          <a:prstGeom prst="rect">
                            <a:avLst/>
                          </a:prstGeom>
                        </pic:spPr>
                      </pic:pic>
                      <pic:pic>
                        <pic:nvPicPr>
                          <pic:cNvPr id="571" name="Image 571"/>
                          <pic:cNvPicPr/>
                        </pic:nvPicPr>
                        <pic:blipFill>
                          <a:blip r:embed="rId172" cstate="print"/>
                          <a:stretch>
                            <a:fillRect/>
                          </a:stretch>
                        </pic:blipFill>
                        <pic:spPr>
                          <a:xfrm>
                            <a:off x="494637" y="2885300"/>
                            <a:ext cx="280095" cy="91594"/>
                          </a:xfrm>
                          <a:prstGeom prst="rect">
                            <a:avLst/>
                          </a:prstGeom>
                        </pic:spPr>
                      </pic:pic>
                      <pic:pic>
                        <pic:nvPicPr>
                          <pic:cNvPr id="572" name="Image 572"/>
                          <pic:cNvPicPr/>
                        </pic:nvPicPr>
                        <pic:blipFill>
                          <a:blip r:embed="rId173" cstate="print"/>
                          <a:stretch>
                            <a:fillRect/>
                          </a:stretch>
                        </pic:blipFill>
                        <pic:spPr>
                          <a:xfrm>
                            <a:off x="2468612" y="3293354"/>
                            <a:ext cx="653340" cy="89071"/>
                          </a:xfrm>
                          <a:prstGeom prst="rect">
                            <a:avLst/>
                          </a:prstGeom>
                        </pic:spPr>
                      </pic:pic>
                      <pic:pic>
                        <pic:nvPicPr>
                          <pic:cNvPr id="573" name="Image 573"/>
                          <pic:cNvPicPr/>
                        </pic:nvPicPr>
                        <pic:blipFill>
                          <a:blip r:embed="rId174" cstate="print"/>
                          <a:stretch>
                            <a:fillRect/>
                          </a:stretch>
                        </pic:blipFill>
                        <pic:spPr>
                          <a:xfrm>
                            <a:off x="291890" y="3296270"/>
                            <a:ext cx="140469" cy="115070"/>
                          </a:xfrm>
                          <a:prstGeom prst="rect">
                            <a:avLst/>
                          </a:prstGeom>
                        </pic:spPr>
                      </pic:pic>
                      <pic:pic>
                        <pic:nvPicPr>
                          <pic:cNvPr id="574" name="Image 574"/>
                          <pic:cNvPicPr/>
                        </pic:nvPicPr>
                        <pic:blipFill>
                          <a:blip r:embed="rId175" cstate="print"/>
                          <a:stretch>
                            <a:fillRect/>
                          </a:stretch>
                        </pic:blipFill>
                        <pic:spPr>
                          <a:xfrm>
                            <a:off x="452299" y="3292251"/>
                            <a:ext cx="179077" cy="91586"/>
                          </a:xfrm>
                          <a:prstGeom prst="rect">
                            <a:avLst/>
                          </a:prstGeom>
                        </pic:spPr>
                      </pic:pic>
                      <pic:pic>
                        <pic:nvPicPr>
                          <pic:cNvPr id="575" name="Image 575"/>
                          <pic:cNvPicPr/>
                        </pic:nvPicPr>
                        <pic:blipFill>
                          <a:blip r:embed="rId176" cstate="print"/>
                          <a:stretch>
                            <a:fillRect/>
                          </a:stretch>
                        </pic:blipFill>
                        <pic:spPr>
                          <a:xfrm>
                            <a:off x="651255" y="3291357"/>
                            <a:ext cx="121194" cy="92480"/>
                          </a:xfrm>
                          <a:prstGeom prst="rect">
                            <a:avLst/>
                          </a:prstGeom>
                        </pic:spPr>
                      </pic:pic>
                      <pic:pic>
                        <pic:nvPicPr>
                          <pic:cNvPr id="576" name="Image 576"/>
                          <pic:cNvPicPr/>
                        </pic:nvPicPr>
                        <pic:blipFill>
                          <a:blip r:embed="rId177" cstate="print"/>
                          <a:stretch>
                            <a:fillRect/>
                          </a:stretch>
                        </pic:blipFill>
                        <pic:spPr>
                          <a:xfrm>
                            <a:off x="792325" y="3319453"/>
                            <a:ext cx="92184" cy="64376"/>
                          </a:xfrm>
                          <a:prstGeom prst="rect">
                            <a:avLst/>
                          </a:prstGeom>
                        </pic:spPr>
                      </pic:pic>
                      <pic:pic>
                        <pic:nvPicPr>
                          <pic:cNvPr id="577" name="Image 577"/>
                          <pic:cNvPicPr/>
                        </pic:nvPicPr>
                        <pic:blipFill>
                          <a:blip r:embed="rId178" cstate="print"/>
                          <a:stretch>
                            <a:fillRect/>
                          </a:stretch>
                        </pic:blipFill>
                        <pic:spPr>
                          <a:xfrm>
                            <a:off x="2466148" y="3700678"/>
                            <a:ext cx="95064" cy="88888"/>
                          </a:xfrm>
                          <a:prstGeom prst="rect">
                            <a:avLst/>
                          </a:prstGeom>
                        </pic:spPr>
                      </pic:pic>
                      <pic:pic>
                        <pic:nvPicPr>
                          <pic:cNvPr id="578" name="Image 578"/>
                          <pic:cNvPicPr/>
                        </pic:nvPicPr>
                        <pic:blipFill>
                          <a:blip r:embed="rId179" cstate="print"/>
                          <a:stretch>
                            <a:fillRect/>
                          </a:stretch>
                        </pic:blipFill>
                        <pic:spPr>
                          <a:xfrm>
                            <a:off x="2615204" y="3701160"/>
                            <a:ext cx="188159" cy="89061"/>
                          </a:xfrm>
                          <a:prstGeom prst="rect">
                            <a:avLst/>
                          </a:prstGeom>
                        </pic:spPr>
                      </pic:pic>
                      <pic:pic>
                        <pic:nvPicPr>
                          <pic:cNvPr id="579" name="Image 579"/>
                          <pic:cNvPicPr/>
                        </pic:nvPicPr>
                        <pic:blipFill>
                          <a:blip r:embed="rId180" cstate="print"/>
                          <a:stretch>
                            <a:fillRect/>
                          </a:stretch>
                        </pic:blipFill>
                        <pic:spPr>
                          <a:xfrm>
                            <a:off x="2847258" y="3701169"/>
                            <a:ext cx="188692" cy="89052"/>
                          </a:xfrm>
                          <a:prstGeom prst="rect">
                            <a:avLst/>
                          </a:prstGeom>
                        </pic:spPr>
                      </pic:pic>
                      <pic:pic>
                        <pic:nvPicPr>
                          <pic:cNvPr id="580" name="Image 580"/>
                          <pic:cNvPicPr/>
                        </pic:nvPicPr>
                        <pic:blipFill>
                          <a:blip r:embed="rId181" cstate="print"/>
                          <a:stretch>
                            <a:fillRect/>
                          </a:stretch>
                        </pic:blipFill>
                        <pic:spPr>
                          <a:xfrm>
                            <a:off x="296222" y="3623978"/>
                            <a:ext cx="1373440" cy="386770"/>
                          </a:xfrm>
                          <a:prstGeom prst="rect">
                            <a:avLst/>
                          </a:prstGeom>
                        </pic:spPr>
                      </pic:pic>
                      <pic:pic>
                        <pic:nvPicPr>
                          <pic:cNvPr id="581" name="Image 581"/>
                          <pic:cNvPicPr/>
                        </pic:nvPicPr>
                        <pic:blipFill>
                          <a:blip r:embed="rId182" cstate="print"/>
                          <a:stretch>
                            <a:fillRect/>
                          </a:stretch>
                        </pic:blipFill>
                        <pic:spPr>
                          <a:xfrm>
                            <a:off x="2468612" y="4275025"/>
                            <a:ext cx="567339" cy="89541"/>
                          </a:xfrm>
                          <a:prstGeom prst="rect">
                            <a:avLst/>
                          </a:prstGeom>
                        </pic:spPr>
                      </pic:pic>
                      <wps:wsp>
                        <wps:cNvPr id="582" name="Graphic 582"/>
                        <wps:cNvSpPr/>
                        <wps:spPr>
                          <a:xfrm>
                            <a:off x="301853" y="4279100"/>
                            <a:ext cx="10160" cy="86360"/>
                          </a:xfrm>
                          <a:custGeom>
                            <a:avLst/>
                            <a:gdLst/>
                            <a:ahLst/>
                            <a:cxnLst/>
                            <a:rect l="l" t="t" r="r" b="b"/>
                            <a:pathLst>
                              <a:path w="10160" h="86360">
                                <a:moveTo>
                                  <a:pt x="10096" y="0"/>
                                </a:moveTo>
                                <a:lnTo>
                                  <a:pt x="0" y="0"/>
                                </a:lnTo>
                                <a:lnTo>
                                  <a:pt x="0" y="86118"/>
                                </a:lnTo>
                                <a:lnTo>
                                  <a:pt x="10096" y="86118"/>
                                </a:lnTo>
                                <a:lnTo>
                                  <a:pt x="10096" y="0"/>
                                </a:lnTo>
                                <a:close/>
                              </a:path>
                            </a:pathLst>
                          </a:custGeom>
                          <a:solidFill>
                            <a:srgbClr val="231F20"/>
                          </a:solidFill>
                        </wps:spPr>
                        <wps:bodyPr wrap="square" lIns="0" tIns="0" rIns="0" bIns="0" rtlCol="0">
                          <a:prstTxWarp prst="textNoShape">
                            <a:avLst/>
                          </a:prstTxWarp>
                          <a:noAutofit/>
                        </wps:bodyPr>
                      </wps:wsp>
                      <pic:pic>
                        <pic:nvPicPr>
                          <pic:cNvPr id="583" name="Image 583"/>
                          <pic:cNvPicPr/>
                        </pic:nvPicPr>
                        <pic:blipFill>
                          <a:blip r:embed="rId183" cstate="print"/>
                          <a:stretch>
                            <a:fillRect/>
                          </a:stretch>
                        </pic:blipFill>
                        <pic:spPr>
                          <a:xfrm>
                            <a:off x="333259" y="4274182"/>
                            <a:ext cx="427476" cy="92487"/>
                          </a:xfrm>
                          <a:prstGeom prst="rect">
                            <a:avLst/>
                          </a:prstGeom>
                        </pic:spPr>
                      </pic:pic>
                      <pic:pic>
                        <pic:nvPicPr>
                          <pic:cNvPr id="584" name="Image 584"/>
                          <pic:cNvPicPr/>
                        </pic:nvPicPr>
                        <pic:blipFill>
                          <a:blip r:embed="rId184" cstate="print"/>
                          <a:stretch>
                            <a:fillRect/>
                          </a:stretch>
                        </pic:blipFill>
                        <pic:spPr>
                          <a:xfrm>
                            <a:off x="2468189" y="4682445"/>
                            <a:ext cx="121790" cy="89068"/>
                          </a:xfrm>
                          <a:prstGeom prst="rect">
                            <a:avLst/>
                          </a:prstGeom>
                        </pic:spPr>
                      </pic:pic>
                      <wps:wsp>
                        <wps:cNvPr id="585" name="Graphic 585"/>
                        <wps:cNvSpPr/>
                        <wps:spPr>
                          <a:xfrm>
                            <a:off x="2630571" y="4681958"/>
                            <a:ext cx="31115" cy="88265"/>
                          </a:xfrm>
                          <a:custGeom>
                            <a:avLst/>
                            <a:gdLst/>
                            <a:ahLst/>
                            <a:cxnLst/>
                            <a:rect l="l" t="t" r="r" b="b"/>
                            <a:pathLst>
                              <a:path w="31115" h="88265">
                                <a:moveTo>
                                  <a:pt x="30632" y="0"/>
                                </a:moveTo>
                                <a:lnTo>
                                  <a:pt x="26911" y="0"/>
                                </a:lnTo>
                                <a:lnTo>
                                  <a:pt x="23939" y="2819"/>
                                </a:lnTo>
                                <a:lnTo>
                                  <a:pt x="19875" y="5588"/>
                                </a:lnTo>
                                <a:lnTo>
                                  <a:pt x="9499" y="11023"/>
                                </a:lnTo>
                                <a:lnTo>
                                  <a:pt x="4610" y="12979"/>
                                </a:lnTo>
                                <a:lnTo>
                                  <a:pt x="0" y="14185"/>
                                </a:lnTo>
                                <a:lnTo>
                                  <a:pt x="2832" y="22847"/>
                                </a:lnTo>
                                <a:lnTo>
                                  <a:pt x="20789" y="14312"/>
                                </a:lnTo>
                                <a:lnTo>
                                  <a:pt x="20789" y="88049"/>
                                </a:lnTo>
                                <a:lnTo>
                                  <a:pt x="30632" y="88049"/>
                                </a:lnTo>
                                <a:lnTo>
                                  <a:pt x="30632" y="0"/>
                                </a:lnTo>
                                <a:close/>
                              </a:path>
                            </a:pathLst>
                          </a:custGeom>
                          <a:solidFill>
                            <a:srgbClr val="231F20"/>
                          </a:solidFill>
                        </wps:spPr>
                        <wps:bodyPr wrap="square" lIns="0" tIns="0" rIns="0" bIns="0" rtlCol="0">
                          <a:prstTxWarp prst="textNoShape">
                            <a:avLst/>
                          </a:prstTxWarp>
                          <a:noAutofit/>
                        </wps:bodyPr>
                      </wps:wsp>
                      <pic:pic>
                        <pic:nvPicPr>
                          <pic:cNvPr id="586" name="Image 586"/>
                          <pic:cNvPicPr/>
                        </pic:nvPicPr>
                        <pic:blipFill>
                          <a:blip r:embed="rId185" cstate="print"/>
                          <a:stretch>
                            <a:fillRect/>
                          </a:stretch>
                        </pic:blipFill>
                        <pic:spPr>
                          <a:xfrm>
                            <a:off x="2682342" y="4682447"/>
                            <a:ext cx="122944" cy="89065"/>
                          </a:xfrm>
                          <a:prstGeom prst="rect">
                            <a:avLst/>
                          </a:prstGeom>
                        </pic:spPr>
                      </pic:pic>
                      <pic:pic>
                        <pic:nvPicPr>
                          <pic:cNvPr id="587" name="Image 587"/>
                          <pic:cNvPicPr/>
                        </pic:nvPicPr>
                        <pic:blipFill>
                          <a:blip r:embed="rId186" cstate="print"/>
                          <a:stretch>
                            <a:fillRect/>
                          </a:stretch>
                        </pic:blipFill>
                        <pic:spPr>
                          <a:xfrm>
                            <a:off x="2848218" y="4682449"/>
                            <a:ext cx="187732" cy="89065"/>
                          </a:xfrm>
                          <a:prstGeom prst="rect">
                            <a:avLst/>
                          </a:prstGeom>
                        </pic:spPr>
                      </pic:pic>
                      <wps:wsp>
                        <wps:cNvPr id="588" name="Graphic 588"/>
                        <wps:cNvSpPr/>
                        <wps:spPr>
                          <a:xfrm>
                            <a:off x="296214" y="4681346"/>
                            <a:ext cx="680085" cy="92075"/>
                          </a:xfrm>
                          <a:custGeom>
                            <a:avLst/>
                            <a:gdLst/>
                            <a:ahLst/>
                            <a:cxnLst/>
                            <a:rect l="l" t="t" r="r" b="b"/>
                            <a:pathLst>
                              <a:path w="680085" h="92075">
                                <a:moveTo>
                                  <a:pt x="66294" y="85813"/>
                                </a:moveTo>
                                <a:lnTo>
                                  <a:pt x="62268" y="77647"/>
                                </a:lnTo>
                                <a:lnTo>
                                  <a:pt x="58788" y="79375"/>
                                </a:lnTo>
                                <a:lnTo>
                                  <a:pt x="55372" y="80606"/>
                                </a:lnTo>
                                <a:lnTo>
                                  <a:pt x="48691" y="82130"/>
                                </a:lnTo>
                                <a:lnTo>
                                  <a:pt x="45275" y="82511"/>
                                </a:lnTo>
                                <a:lnTo>
                                  <a:pt x="32385" y="82511"/>
                                </a:lnTo>
                                <a:lnTo>
                                  <a:pt x="10566" y="48107"/>
                                </a:lnTo>
                                <a:lnTo>
                                  <a:pt x="11125" y="40119"/>
                                </a:lnTo>
                                <a:lnTo>
                                  <a:pt x="43535" y="11709"/>
                                </a:lnTo>
                                <a:lnTo>
                                  <a:pt x="46977" y="11709"/>
                                </a:lnTo>
                                <a:lnTo>
                                  <a:pt x="50177" y="12014"/>
                                </a:lnTo>
                                <a:lnTo>
                                  <a:pt x="56108" y="13258"/>
                                </a:lnTo>
                                <a:lnTo>
                                  <a:pt x="59169" y="14274"/>
                                </a:lnTo>
                                <a:lnTo>
                                  <a:pt x="62331" y="15684"/>
                                </a:lnTo>
                                <a:lnTo>
                                  <a:pt x="66052" y="7391"/>
                                </a:lnTo>
                                <a:lnTo>
                                  <a:pt x="62255" y="5702"/>
                                </a:lnTo>
                                <a:lnTo>
                                  <a:pt x="58572" y="4483"/>
                                </a:lnTo>
                                <a:lnTo>
                                  <a:pt x="51485" y="2959"/>
                                </a:lnTo>
                                <a:lnTo>
                                  <a:pt x="47701" y="2578"/>
                                </a:lnTo>
                                <a:lnTo>
                                  <a:pt x="43649" y="2578"/>
                                </a:lnTo>
                                <a:lnTo>
                                  <a:pt x="6794" y="21894"/>
                                </a:lnTo>
                                <a:lnTo>
                                  <a:pt x="0" y="48704"/>
                                </a:lnTo>
                                <a:lnTo>
                                  <a:pt x="673" y="57848"/>
                                </a:lnTo>
                                <a:lnTo>
                                  <a:pt x="23837" y="88633"/>
                                </a:lnTo>
                                <a:lnTo>
                                  <a:pt x="41186" y="91592"/>
                                </a:lnTo>
                                <a:lnTo>
                                  <a:pt x="45834" y="91592"/>
                                </a:lnTo>
                                <a:lnTo>
                                  <a:pt x="50139" y="91122"/>
                                </a:lnTo>
                                <a:lnTo>
                                  <a:pt x="58064" y="89281"/>
                                </a:lnTo>
                                <a:lnTo>
                                  <a:pt x="62128" y="87820"/>
                                </a:lnTo>
                                <a:lnTo>
                                  <a:pt x="66294" y="85813"/>
                                </a:lnTo>
                                <a:close/>
                              </a:path>
                              <a:path w="680085" h="92075">
                                <a:moveTo>
                                  <a:pt x="136804" y="49187"/>
                                </a:moveTo>
                                <a:lnTo>
                                  <a:pt x="134226" y="41363"/>
                                </a:lnTo>
                                <a:lnTo>
                                  <a:pt x="128917" y="35496"/>
                                </a:lnTo>
                                <a:lnTo>
                                  <a:pt x="126707" y="33058"/>
                                </a:lnTo>
                                <a:lnTo>
                                  <a:pt x="126707" y="51790"/>
                                </a:lnTo>
                                <a:lnTo>
                                  <a:pt x="126707" y="67094"/>
                                </a:lnTo>
                                <a:lnTo>
                                  <a:pt x="124993" y="72948"/>
                                </a:lnTo>
                                <a:lnTo>
                                  <a:pt x="118148" y="81229"/>
                                </a:lnTo>
                                <a:lnTo>
                                  <a:pt x="113258" y="83299"/>
                                </a:lnTo>
                                <a:lnTo>
                                  <a:pt x="100647" y="83299"/>
                                </a:lnTo>
                                <a:lnTo>
                                  <a:pt x="95669" y="81203"/>
                                </a:lnTo>
                                <a:lnTo>
                                  <a:pt x="88214" y="72796"/>
                                </a:lnTo>
                                <a:lnTo>
                                  <a:pt x="86372" y="67094"/>
                                </a:lnTo>
                                <a:lnTo>
                                  <a:pt x="86360" y="52235"/>
                                </a:lnTo>
                                <a:lnTo>
                                  <a:pt x="88188" y="46304"/>
                                </a:lnTo>
                                <a:lnTo>
                                  <a:pt x="95567" y="37655"/>
                                </a:lnTo>
                                <a:lnTo>
                                  <a:pt x="100571" y="35496"/>
                                </a:lnTo>
                                <a:lnTo>
                                  <a:pt x="113220" y="35496"/>
                                </a:lnTo>
                                <a:lnTo>
                                  <a:pt x="118097" y="37566"/>
                                </a:lnTo>
                                <a:lnTo>
                                  <a:pt x="121539" y="41719"/>
                                </a:lnTo>
                                <a:lnTo>
                                  <a:pt x="124993" y="45847"/>
                                </a:lnTo>
                                <a:lnTo>
                                  <a:pt x="126707" y="51790"/>
                                </a:lnTo>
                                <a:lnTo>
                                  <a:pt x="126707" y="33058"/>
                                </a:lnTo>
                                <a:lnTo>
                                  <a:pt x="123939" y="29997"/>
                                </a:lnTo>
                                <a:lnTo>
                                  <a:pt x="116776" y="27165"/>
                                </a:lnTo>
                                <a:lnTo>
                                  <a:pt x="97929" y="27254"/>
                                </a:lnTo>
                                <a:lnTo>
                                  <a:pt x="76263" y="60121"/>
                                </a:lnTo>
                                <a:lnTo>
                                  <a:pt x="76263" y="69608"/>
                                </a:lnTo>
                                <a:lnTo>
                                  <a:pt x="78981" y="77228"/>
                                </a:lnTo>
                                <a:lnTo>
                                  <a:pt x="89827" y="88722"/>
                                </a:lnTo>
                                <a:lnTo>
                                  <a:pt x="97078" y="91592"/>
                                </a:lnTo>
                                <a:lnTo>
                                  <a:pt x="115493" y="91592"/>
                                </a:lnTo>
                                <a:lnTo>
                                  <a:pt x="122936" y="88646"/>
                                </a:lnTo>
                                <a:lnTo>
                                  <a:pt x="127965" y="83299"/>
                                </a:lnTo>
                                <a:lnTo>
                                  <a:pt x="134023" y="76873"/>
                                </a:lnTo>
                                <a:lnTo>
                                  <a:pt x="136804" y="69011"/>
                                </a:lnTo>
                                <a:lnTo>
                                  <a:pt x="136804" y="49187"/>
                                </a:lnTo>
                                <a:close/>
                              </a:path>
                              <a:path w="680085" h="92075">
                                <a:moveTo>
                                  <a:pt x="203581" y="44348"/>
                                </a:moveTo>
                                <a:lnTo>
                                  <a:pt x="201803" y="38061"/>
                                </a:lnTo>
                                <a:lnTo>
                                  <a:pt x="194678" y="29375"/>
                                </a:lnTo>
                                <a:lnTo>
                                  <a:pt x="189534" y="27203"/>
                                </a:lnTo>
                                <a:lnTo>
                                  <a:pt x="178396" y="27203"/>
                                </a:lnTo>
                                <a:lnTo>
                                  <a:pt x="174510" y="28181"/>
                                </a:lnTo>
                                <a:lnTo>
                                  <a:pt x="167792" y="32054"/>
                                </a:lnTo>
                                <a:lnTo>
                                  <a:pt x="164947" y="34975"/>
                                </a:lnTo>
                                <a:lnTo>
                                  <a:pt x="162623" y="38849"/>
                                </a:lnTo>
                                <a:lnTo>
                                  <a:pt x="162382" y="38849"/>
                                </a:lnTo>
                                <a:lnTo>
                                  <a:pt x="162382" y="28651"/>
                                </a:lnTo>
                                <a:lnTo>
                                  <a:pt x="152539" y="28651"/>
                                </a:lnTo>
                                <a:lnTo>
                                  <a:pt x="152539" y="90144"/>
                                </a:lnTo>
                                <a:lnTo>
                                  <a:pt x="162382" y="90144"/>
                                </a:lnTo>
                                <a:lnTo>
                                  <a:pt x="162382" y="49415"/>
                                </a:lnTo>
                                <a:lnTo>
                                  <a:pt x="163995" y="44754"/>
                                </a:lnTo>
                                <a:lnTo>
                                  <a:pt x="170446" y="37350"/>
                                </a:lnTo>
                                <a:lnTo>
                                  <a:pt x="174510" y="35496"/>
                                </a:lnTo>
                                <a:lnTo>
                                  <a:pt x="184200" y="35496"/>
                                </a:lnTo>
                                <a:lnTo>
                                  <a:pt x="187782" y="37134"/>
                                </a:lnTo>
                                <a:lnTo>
                                  <a:pt x="192544" y="43649"/>
                                </a:lnTo>
                                <a:lnTo>
                                  <a:pt x="193738" y="48552"/>
                                </a:lnTo>
                                <a:lnTo>
                                  <a:pt x="193738" y="90144"/>
                                </a:lnTo>
                                <a:lnTo>
                                  <a:pt x="203581" y="90144"/>
                                </a:lnTo>
                                <a:lnTo>
                                  <a:pt x="203581" y="44348"/>
                                </a:lnTo>
                                <a:close/>
                              </a:path>
                              <a:path w="680085" h="92075">
                                <a:moveTo>
                                  <a:pt x="259422" y="68262"/>
                                </a:moveTo>
                                <a:lnTo>
                                  <a:pt x="257873" y="64312"/>
                                </a:lnTo>
                                <a:lnTo>
                                  <a:pt x="251663" y="58267"/>
                                </a:lnTo>
                                <a:lnTo>
                                  <a:pt x="247002" y="55905"/>
                                </a:lnTo>
                                <a:lnTo>
                                  <a:pt x="235978" y="52984"/>
                                </a:lnTo>
                                <a:lnTo>
                                  <a:pt x="232524" y="51663"/>
                                </a:lnTo>
                                <a:lnTo>
                                  <a:pt x="228244" y="48856"/>
                                </a:lnTo>
                                <a:lnTo>
                                  <a:pt x="227177" y="46786"/>
                                </a:lnTo>
                                <a:lnTo>
                                  <a:pt x="227177" y="41262"/>
                                </a:lnTo>
                                <a:lnTo>
                                  <a:pt x="228219" y="39154"/>
                                </a:lnTo>
                                <a:lnTo>
                                  <a:pt x="232371" y="36233"/>
                                </a:lnTo>
                                <a:lnTo>
                                  <a:pt x="235407" y="35496"/>
                                </a:lnTo>
                                <a:lnTo>
                                  <a:pt x="241642" y="35496"/>
                                </a:lnTo>
                                <a:lnTo>
                                  <a:pt x="243903" y="35839"/>
                                </a:lnTo>
                                <a:lnTo>
                                  <a:pt x="248348" y="37249"/>
                                </a:lnTo>
                                <a:lnTo>
                                  <a:pt x="250863" y="38481"/>
                                </a:lnTo>
                                <a:lnTo>
                                  <a:pt x="253657" y="40233"/>
                                </a:lnTo>
                                <a:lnTo>
                                  <a:pt x="258038" y="32791"/>
                                </a:lnTo>
                                <a:lnTo>
                                  <a:pt x="254965" y="30759"/>
                                </a:lnTo>
                                <a:lnTo>
                                  <a:pt x="251942" y="29311"/>
                                </a:lnTo>
                                <a:lnTo>
                                  <a:pt x="246011" y="27622"/>
                                </a:lnTo>
                                <a:lnTo>
                                  <a:pt x="242887" y="27203"/>
                                </a:lnTo>
                                <a:lnTo>
                                  <a:pt x="232803" y="27203"/>
                                </a:lnTo>
                                <a:lnTo>
                                  <a:pt x="227495" y="28892"/>
                                </a:lnTo>
                                <a:lnTo>
                                  <a:pt x="219887" y="35661"/>
                                </a:lnTo>
                                <a:lnTo>
                                  <a:pt x="217982" y="39878"/>
                                </a:lnTo>
                                <a:lnTo>
                                  <a:pt x="217982" y="49276"/>
                                </a:lnTo>
                                <a:lnTo>
                                  <a:pt x="219405" y="52959"/>
                                </a:lnTo>
                                <a:lnTo>
                                  <a:pt x="225094" y="58915"/>
                                </a:lnTo>
                                <a:lnTo>
                                  <a:pt x="230365" y="61404"/>
                                </a:lnTo>
                                <a:lnTo>
                                  <a:pt x="242163" y="64389"/>
                                </a:lnTo>
                                <a:lnTo>
                                  <a:pt x="245198" y="65786"/>
                                </a:lnTo>
                                <a:lnTo>
                                  <a:pt x="249085" y="69278"/>
                                </a:lnTo>
                                <a:lnTo>
                                  <a:pt x="250050" y="71399"/>
                                </a:lnTo>
                                <a:lnTo>
                                  <a:pt x="250050" y="77050"/>
                                </a:lnTo>
                                <a:lnTo>
                                  <a:pt x="248958" y="79400"/>
                                </a:lnTo>
                                <a:lnTo>
                                  <a:pt x="244602" y="82511"/>
                                </a:lnTo>
                                <a:lnTo>
                                  <a:pt x="241401" y="83286"/>
                                </a:lnTo>
                                <a:lnTo>
                                  <a:pt x="234238" y="83286"/>
                                </a:lnTo>
                                <a:lnTo>
                                  <a:pt x="231482" y="82854"/>
                                </a:lnTo>
                                <a:lnTo>
                                  <a:pt x="226352" y="81038"/>
                                </a:lnTo>
                                <a:lnTo>
                                  <a:pt x="223735" y="79705"/>
                                </a:lnTo>
                                <a:lnTo>
                                  <a:pt x="221056" y="77952"/>
                                </a:lnTo>
                                <a:lnTo>
                                  <a:pt x="216369" y="85521"/>
                                </a:lnTo>
                                <a:lnTo>
                                  <a:pt x="219329" y="87477"/>
                                </a:lnTo>
                                <a:lnTo>
                                  <a:pt x="222542" y="88976"/>
                                </a:lnTo>
                                <a:lnTo>
                                  <a:pt x="229463" y="91071"/>
                                </a:lnTo>
                                <a:lnTo>
                                  <a:pt x="233083" y="91592"/>
                                </a:lnTo>
                                <a:lnTo>
                                  <a:pt x="243852" y="91592"/>
                                </a:lnTo>
                                <a:lnTo>
                                  <a:pt x="249364" y="89928"/>
                                </a:lnTo>
                                <a:lnTo>
                                  <a:pt x="257416" y="83324"/>
                                </a:lnTo>
                                <a:lnTo>
                                  <a:pt x="259422" y="78828"/>
                                </a:lnTo>
                                <a:lnTo>
                                  <a:pt x="259422" y="68262"/>
                                </a:lnTo>
                                <a:close/>
                              </a:path>
                              <a:path w="680085" h="92075">
                                <a:moveTo>
                                  <a:pt x="303631" y="89420"/>
                                </a:moveTo>
                                <a:lnTo>
                                  <a:pt x="301231" y="81915"/>
                                </a:lnTo>
                                <a:lnTo>
                                  <a:pt x="299529" y="82588"/>
                                </a:lnTo>
                                <a:lnTo>
                                  <a:pt x="296125" y="83286"/>
                                </a:lnTo>
                                <a:lnTo>
                                  <a:pt x="292404" y="83286"/>
                                </a:lnTo>
                                <a:lnTo>
                                  <a:pt x="290512" y="82511"/>
                                </a:lnTo>
                                <a:lnTo>
                                  <a:pt x="287985" y="79387"/>
                                </a:lnTo>
                                <a:lnTo>
                                  <a:pt x="287362" y="76847"/>
                                </a:lnTo>
                                <a:lnTo>
                                  <a:pt x="287362" y="37045"/>
                                </a:lnTo>
                                <a:lnTo>
                                  <a:pt x="302844" y="37045"/>
                                </a:lnTo>
                                <a:lnTo>
                                  <a:pt x="302844" y="28638"/>
                                </a:lnTo>
                                <a:lnTo>
                                  <a:pt x="287362" y="28638"/>
                                </a:lnTo>
                                <a:lnTo>
                                  <a:pt x="287362" y="10452"/>
                                </a:lnTo>
                                <a:lnTo>
                                  <a:pt x="277507" y="13627"/>
                                </a:lnTo>
                                <a:lnTo>
                                  <a:pt x="277507" y="28638"/>
                                </a:lnTo>
                                <a:lnTo>
                                  <a:pt x="266941" y="28638"/>
                                </a:lnTo>
                                <a:lnTo>
                                  <a:pt x="266941" y="37045"/>
                                </a:lnTo>
                                <a:lnTo>
                                  <a:pt x="277507" y="37045"/>
                                </a:lnTo>
                                <a:lnTo>
                                  <a:pt x="277507" y="80073"/>
                                </a:lnTo>
                                <a:lnTo>
                                  <a:pt x="278892" y="84302"/>
                                </a:lnTo>
                                <a:lnTo>
                                  <a:pt x="284467" y="90030"/>
                                </a:lnTo>
                                <a:lnTo>
                                  <a:pt x="288290" y="91465"/>
                                </a:lnTo>
                                <a:lnTo>
                                  <a:pt x="295224" y="91465"/>
                                </a:lnTo>
                                <a:lnTo>
                                  <a:pt x="297053" y="91287"/>
                                </a:lnTo>
                                <a:lnTo>
                                  <a:pt x="300304" y="90614"/>
                                </a:lnTo>
                                <a:lnTo>
                                  <a:pt x="303631" y="89420"/>
                                </a:lnTo>
                                <a:close/>
                              </a:path>
                              <a:path w="680085" h="92075">
                                <a:moveTo>
                                  <a:pt x="347954" y="28295"/>
                                </a:moveTo>
                                <a:lnTo>
                                  <a:pt x="347268" y="28054"/>
                                </a:lnTo>
                                <a:lnTo>
                                  <a:pt x="344779" y="27622"/>
                                </a:lnTo>
                                <a:lnTo>
                                  <a:pt x="338721" y="27559"/>
                                </a:lnTo>
                                <a:lnTo>
                                  <a:pt x="335394" y="28689"/>
                                </a:lnTo>
                                <a:lnTo>
                                  <a:pt x="329628" y="33223"/>
                                </a:lnTo>
                                <a:lnTo>
                                  <a:pt x="327494" y="36512"/>
                                </a:lnTo>
                                <a:lnTo>
                                  <a:pt x="326085" y="40843"/>
                                </a:lnTo>
                                <a:lnTo>
                                  <a:pt x="325843" y="40843"/>
                                </a:lnTo>
                                <a:lnTo>
                                  <a:pt x="325843" y="28638"/>
                                </a:lnTo>
                                <a:lnTo>
                                  <a:pt x="316001" y="28638"/>
                                </a:lnTo>
                                <a:lnTo>
                                  <a:pt x="316001" y="90144"/>
                                </a:lnTo>
                                <a:lnTo>
                                  <a:pt x="325843" y="90144"/>
                                </a:lnTo>
                                <a:lnTo>
                                  <a:pt x="325843" y="52387"/>
                                </a:lnTo>
                                <a:lnTo>
                                  <a:pt x="327291" y="47053"/>
                                </a:lnTo>
                                <a:lnTo>
                                  <a:pt x="333057" y="38519"/>
                                </a:lnTo>
                                <a:lnTo>
                                  <a:pt x="336994" y="36385"/>
                                </a:lnTo>
                                <a:lnTo>
                                  <a:pt x="343687" y="36449"/>
                                </a:lnTo>
                                <a:lnTo>
                                  <a:pt x="346329" y="37045"/>
                                </a:lnTo>
                                <a:lnTo>
                                  <a:pt x="347954" y="28295"/>
                                </a:lnTo>
                                <a:close/>
                              </a:path>
                              <a:path w="680085" h="92075">
                                <a:moveTo>
                                  <a:pt x="408482" y="28651"/>
                                </a:moveTo>
                                <a:lnTo>
                                  <a:pt x="398640" y="28651"/>
                                </a:lnTo>
                                <a:lnTo>
                                  <a:pt x="398640" y="69799"/>
                                </a:lnTo>
                                <a:lnTo>
                                  <a:pt x="397078" y="74447"/>
                                </a:lnTo>
                                <a:lnTo>
                                  <a:pt x="390880" y="81521"/>
                                </a:lnTo>
                                <a:lnTo>
                                  <a:pt x="386918" y="83286"/>
                                </a:lnTo>
                                <a:lnTo>
                                  <a:pt x="377151" y="83286"/>
                                </a:lnTo>
                                <a:lnTo>
                                  <a:pt x="373430" y="81673"/>
                                </a:lnTo>
                                <a:lnTo>
                                  <a:pt x="368465" y="75196"/>
                                </a:lnTo>
                                <a:lnTo>
                                  <a:pt x="367220" y="70319"/>
                                </a:lnTo>
                                <a:lnTo>
                                  <a:pt x="367220" y="28651"/>
                                </a:lnTo>
                                <a:lnTo>
                                  <a:pt x="357441" y="28651"/>
                                </a:lnTo>
                                <a:lnTo>
                                  <a:pt x="357441" y="74129"/>
                                </a:lnTo>
                                <a:lnTo>
                                  <a:pt x="359270" y="80670"/>
                                </a:lnTo>
                                <a:lnTo>
                                  <a:pt x="366598" y="89408"/>
                                </a:lnTo>
                                <a:lnTo>
                                  <a:pt x="372084" y="91592"/>
                                </a:lnTo>
                                <a:lnTo>
                                  <a:pt x="383705" y="91592"/>
                                </a:lnTo>
                                <a:lnTo>
                                  <a:pt x="387426" y="90665"/>
                                </a:lnTo>
                                <a:lnTo>
                                  <a:pt x="393750" y="86931"/>
                                </a:lnTo>
                                <a:lnTo>
                                  <a:pt x="396354" y="84137"/>
                                </a:lnTo>
                                <a:lnTo>
                                  <a:pt x="398399" y="80416"/>
                                </a:lnTo>
                                <a:lnTo>
                                  <a:pt x="398640" y="80416"/>
                                </a:lnTo>
                                <a:lnTo>
                                  <a:pt x="398640" y="90144"/>
                                </a:lnTo>
                                <a:lnTo>
                                  <a:pt x="408482" y="90144"/>
                                </a:lnTo>
                                <a:lnTo>
                                  <a:pt x="408482" y="28651"/>
                                </a:lnTo>
                                <a:close/>
                              </a:path>
                              <a:path w="680085" h="92075">
                                <a:moveTo>
                                  <a:pt x="473278" y="32067"/>
                                </a:moveTo>
                                <a:lnTo>
                                  <a:pt x="470357" y="30353"/>
                                </a:lnTo>
                                <a:lnTo>
                                  <a:pt x="467461" y="29095"/>
                                </a:lnTo>
                                <a:lnTo>
                                  <a:pt x="461746" y="27584"/>
                                </a:lnTo>
                                <a:lnTo>
                                  <a:pt x="458724" y="27203"/>
                                </a:lnTo>
                                <a:lnTo>
                                  <a:pt x="445795" y="27203"/>
                                </a:lnTo>
                                <a:lnTo>
                                  <a:pt x="424154" y="60718"/>
                                </a:lnTo>
                                <a:lnTo>
                                  <a:pt x="424154" y="70561"/>
                                </a:lnTo>
                                <a:lnTo>
                                  <a:pt x="426923" y="78168"/>
                                </a:lnTo>
                                <a:lnTo>
                                  <a:pt x="438023" y="88900"/>
                                </a:lnTo>
                                <a:lnTo>
                                  <a:pt x="445122" y="91579"/>
                                </a:lnTo>
                                <a:lnTo>
                                  <a:pt x="457123" y="91579"/>
                                </a:lnTo>
                                <a:lnTo>
                                  <a:pt x="465048" y="80708"/>
                                </a:lnTo>
                                <a:lnTo>
                                  <a:pt x="462902" y="81686"/>
                                </a:lnTo>
                                <a:lnTo>
                                  <a:pt x="458622" y="82918"/>
                                </a:lnTo>
                                <a:lnTo>
                                  <a:pt x="456565" y="83235"/>
                                </a:lnTo>
                                <a:lnTo>
                                  <a:pt x="448602" y="83235"/>
                                </a:lnTo>
                                <a:lnTo>
                                  <a:pt x="443699" y="81216"/>
                                </a:lnTo>
                                <a:lnTo>
                                  <a:pt x="436143" y="73126"/>
                                </a:lnTo>
                                <a:lnTo>
                                  <a:pt x="434251" y="67259"/>
                                </a:lnTo>
                                <a:lnTo>
                                  <a:pt x="434251" y="52603"/>
                                </a:lnTo>
                                <a:lnTo>
                                  <a:pt x="436054" y="46863"/>
                                </a:lnTo>
                                <a:lnTo>
                                  <a:pt x="443255" y="37807"/>
                                </a:lnTo>
                                <a:lnTo>
                                  <a:pt x="448449" y="35547"/>
                                </a:lnTo>
                                <a:lnTo>
                                  <a:pt x="457809" y="35547"/>
                                </a:lnTo>
                                <a:lnTo>
                                  <a:pt x="460209" y="35852"/>
                                </a:lnTo>
                                <a:lnTo>
                                  <a:pt x="464616" y="37045"/>
                                </a:lnTo>
                                <a:lnTo>
                                  <a:pt x="466852" y="37998"/>
                                </a:lnTo>
                                <a:lnTo>
                                  <a:pt x="469138" y="39281"/>
                                </a:lnTo>
                                <a:lnTo>
                                  <a:pt x="473278" y="32067"/>
                                </a:lnTo>
                                <a:close/>
                              </a:path>
                              <a:path w="680085" h="92075">
                                <a:moveTo>
                                  <a:pt x="514477" y="89420"/>
                                </a:moveTo>
                                <a:lnTo>
                                  <a:pt x="512076" y="81915"/>
                                </a:lnTo>
                                <a:lnTo>
                                  <a:pt x="510374" y="82588"/>
                                </a:lnTo>
                                <a:lnTo>
                                  <a:pt x="506971" y="83286"/>
                                </a:lnTo>
                                <a:lnTo>
                                  <a:pt x="503250" y="83286"/>
                                </a:lnTo>
                                <a:lnTo>
                                  <a:pt x="501357" y="82511"/>
                                </a:lnTo>
                                <a:lnTo>
                                  <a:pt x="498830" y="79387"/>
                                </a:lnTo>
                                <a:lnTo>
                                  <a:pt x="498208" y="76847"/>
                                </a:lnTo>
                                <a:lnTo>
                                  <a:pt x="498208" y="37045"/>
                                </a:lnTo>
                                <a:lnTo>
                                  <a:pt x="513702" y="37045"/>
                                </a:lnTo>
                                <a:lnTo>
                                  <a:pt x="513702" y="28638"/>
                                </a:lnTo>
                                <a:lnTo>
                                  <a:pt x="498208" y="28638"/>
                                </a:lnTo>
                                <a:lnTo>
                                  <a:pt x="498208" y="10452"/>
                                </a:lnTo>
                                <a:lnTo>
                                  <a:pt x="488353" y="13627"/>
                                </a:lnTo>
                                <a:lnTo>
                                  <a:pt x="488353" y="28638"/>
                                </a:lnTo>
                                <a:lnTo>
                                  <a:pt x="477786" y="28638"/>
                                </a:lnTo>
                                <a:lnTo>
                                  <a:pt x="477786" y="37045"/>
                                </a:lnTo>
                                <a:lnTo>
                                  <a:pt x="488353" y="37045"/>
                                </a:lnTo>
                                <a:lnTo>
                                  <a:pt x="488353" y="80073"/>
                                </a:lnTo>
                                <a:lnTo>
                                  <a:pt x="489750" y="84302"/>
                                </a:lnTo>
                                <a:lnTo>
                                  <a:pt x="495312" y="90030"/>
                                </a:lnTo>
                                <a:lnTo>
                                  <a:pt x="499148" y="91465"/>
                                </a:lnTo>
                                <a:lnTo>
                                  <a:pt x="506069" y="91465"/>
                                </a:lnTo>
                                <a:lnTo>
                                  <a:pt x="507898" y="91287"/>
                                </a:lnTo>
                                <a:lnTo>
                                  <a:pt x="511149" y="90614"/>
                                </a:lnTo>
                                <a:lnTo>
                                  <a:pt x="514477" y="89420"/>
                                </a:lnTo>
                                <a:close/>
                              </a:path>
                              <a:path w="680085" h="92075">
                                <a:moveTo>
                                  <a:pt x="536689" y="28651"/>
                                </a:moveTo>
                                <a:lnTo>
                                  <a:pt x="526834" y="28651"/>
                                </a:lnTo>
                                <a:lnTo>
                                  <a:pt x="526834" y="90144"/>
                                </a:lnTo>
                                <a:lnTo>
                                  <a:pt x="536689" y="90144"/>
                                </a:lnTo>
                                <a:lnTo>
                                  <a:pt x="536689" y="28651"/>
                                </a:lnTo>
                                <a:close/>
                              </a:path>
                              <a:path w="680085" h="92075">
                                <a:moveTo>
                                  <a:pt x="538975" y="5003"/>
                                </a:moveTo>
                                <a:lnTo>
                                  <a:pt x="538302" y="3352"/>
                                </a:lnTo>
                                <a:lnTo>
                                  <a:pt x="535571" y="673"/>
                                </a:lnTo>
                                <a:lnTo>
                                  <a:pt x="533895" y="0"/>
                                </a:lnTo>
                                <a:lnTo>
                                  <a:pt x="529894" y="0"/>
                                </a:lnTo>
                                <a:lnTo>
                                  <a:pt x="528205" y="673"/>
                                </a:lnTo>
                                <a:lnTo>
                                  <a:pt x="525487" y="3352"/>
                                </a:lnTo>
                                <a:lnTo>
                                  <a:pt x="524802" y="5003"/>
                                </a:lnTo>
                                <a:lnTo>
                                  <a:pt x="524802" y="8928"/>
                                </a:lnTo>
                                <a:lnTo>
                                  <a:pt x="525487" y="10579"/>
                                </a:lnTo>
                                <a:lnTo>
                                  <a:pt x="528205" y="13258"/>
                                </a:lnTo>
                                <a:lnTo>
                                  <a:pt x="529894" y="13931"/>
                                </a:lnTo>
                                <a:lnTo>
                                  <a:pt x="533895" y="13931"/>
                                </a:lnTo>
                                <a:lnTo>
                                  <a:pt x="535571" y="13258"/>
                                </a:lnTo>
                                <a:lnTo>
                                  <a:pt x="538302" y="10579"/>
                                </a:lnTo>
                                <a:lnTo>
                                  <a:pt x="538975" y="8928"/>
                                </a:lnTo>
                                <a:lnTo>
                                  <a:pt x="538975" y="5003"/>
                                </a:lnTo>
                                <a:close/>
                              </a:path>
                              <a:path w="680085" h="92075">
                                <a:moveTo>
                                  <a:pt x="612978" y="49187"/>
                                </a:moveTo>
                                <a:lnTo>
                                  <a:pt x="610400" y="41363"/>
                                </a:lnTo>
                                <a:lnTo>
                                  <a:pt x="605091" y="35496"/>
                                </a:lnTo>
                                <a:lnTo>
                                  <a:pt x="602881" y="33058"/>
                                </a:lnTo>
                                <a:lnTo>
                                  <a:pt x="602881" y="51790"/>
                                </a:lnTo>
                                <a:lnTo>
                                  <a:pt x="602881" y="67094"/>
                                </a:lnTo>
                                <a:lnTo>
                                  <a:pt x="601167" y="72948"/>
                                </a:lnTo>
                                <a:lnTo>
                                  <a:pt x="594321" y="81229"/>
                                </a:lnTo>
                                <a:lnTo>
                                  <a:pt x="589432" y="83299"/>
                                </a:lnTo>
                                <a:lnTo>
                                  <a:pt x="576821" y="83299"/>
                                </a:lnTo>
                                <a:lnTo>
                                  <a:pt x="571842" y="81203"/>
                                </a:lnTo>
                                <a:lnTo>
                                  <a:pt x="564388" y="72796"/>
                                </a:lnTo>
                                <a:lnTo>
                                  <a:pt x="562546" y="67094"/>
                                </a:lnTo>
                                <a:lnTo>
                                  <a:pt x="562533" y="52235"/>
                                </a:lnTo>
                                <a:lnTo>
                                  <a:pt x="564362" y="46304"/>
                                </a:lnTo>
                                <a:lnTo>
                                  <a:pt x="571741" y="37655"/>
                                </a:lnTo>
                                <a:lnTo>
                                  <a:pt x="576745" y="35496"/>
                                </a:lnTo>
                                <a:lnTo>
                                  <a:pt x="589394" y="35496"/>
                                </a:lnTo>
                                <a:lnTo>
                                  <a:pt x="594271" y="37566"/>
                                </a:lnTo>
                                <a:lnTo>
                                  <a:pt x="597712" y="41719"/>
                                </a:lnTo>
                                <a:lnTo>
                                  <a:pt x="601167" y="45847"/>
                                </a:lnTo>
                                <a:lnTo>
                                  <a:pt x="602881" y="51790"/>
                                </a:lnTo>
                                <a:lnTo>
                                  <a:pt x="602881" y="33058"/>
                                </a:lnTo>
                                <a:lnTo>
                                  <a:pt x="600113" y="29997"/>
                                </a:lnTo>
                                <a:lnTo>
                                  <a:pt x="592950" y="27165"/>
                                </a:lnTo>
                                <a:lnTo>
                                  <a:pt x="574103" y="27254"/>
                                </a:lnTo>
                                <a:lnTo>
                                  <a:pt x="552437" y="60121"/>
                                </a:lnTo>
                                <a:lnTo>
                                  <a:pt x="552437" y="69608"/>
                                </a:lnTo>
                                <a:lnTo>
                                  <a:pt x="555155" y="77228"/>
                                </a:lnTo>
                                <a:lnTo>
                                  <a:pt x="566000" y="88722"/>
                                </a:lnTo>
                                <a:lnTo>
                                  <a:pt x="573252" y="91592"/>
                                </a:lnTo>
                                <a:lnTo>
                                  <a:pt x="591667" y="91592"/>
                                </a:lnTo>
                                <a:lnTo>
                                  <a:pt x="599109" y="88646"/>
                                </a:lnTo>
                                <a:lnTo>
                                  <a:pt x="604139" y="83299"/>
                                </a:lnTo>
                                <a:lnTo>
                                  <a:pt x="610196" y="76873"/>
                                </a:lnTo>
                                <a:lnTo>
                                  <a:pt x="612978" y="69011"/>
                                </a:lnTo>
                                <a:lnTo>
                                  <a:pt x="612978" y="49187"/>
                                </a:lnTo>
                                <a:close/>
                              </a:path>
                              <a:path w="680085" h="92075">
                                <a:moveTo>
                                  <a:pt x="679754" y="44348"/>
                                </a:moveTo>
                                <a:lnTo>
                                  <a:pt x="677976" y="38061"/>
                                </a:lnTo>
                                <a:lnTo>
                                  <a:pt x="670852" y="29375"/>
                                </a:lnTo>
                                <a:lnTo>
                                  <a:pt x="665708" y="27203"/>
                                </a:lnTo>
                                <a:lnTo>
                                  <a:pt x="654570" y="27203"/>
                                </a:lnTo>
                                <a:lnTo>
                                  <a:pt x="650684" y="28181"/>
                                </a:lnTo>
                                <a:lnTo>
                                  <a:pt x="643966" y="32054"/>
                                </a:lnTo>
                                <a:lnTo>
                                  <a:pt x="641121" y="34975"/>
                                </a:lnTo>
                                <a:lnTo>
                                  <a:pt x="638797" y="38849"/>
                                </a:lnTo>
                                <a:lnTo>
                                  <a:pt x="638556" y="38849"/>
                                </a:lnTo>
                                <a:lnTo>
                                  <a:pt x="638556" y="28651"/>
                                </a:lnTo>
                                <a:lnTo>
                                  <a:pt x="628713" y="28651"/>
                                </a:lnTo>
                                <a:lnTo>
                                  <a:pt x="628713" y="90144"/>
                                </a:lnTo>
                                <a:lnTo>
                                  <a:pt x="638556" y="90144"/>
                                </a:lnTo>
                                <a:lnTo>
                                  <a:pt x="638556" y="49415"/>
                                </a:lnTo>
                                <a:lnTo>
                                  <a:pt x="640168" y="44754"/>
                                </a:lnTo>
                                <a:lnTo>
                                  <a:pt x="646620" y="37350"/>
                                </a:lnTo>
                                <a:lnTo>
                                  <a:pt x="650684" y="35496"/>
                                </a:lnTo>
                                <a:lnTo>
                                  <a:pt x="660374" y="35496"/>
                                </a:lnTo>
                                <a:lnTo>
                                  <a:pt x="663943" y="37134"/>
                                </a:lnTo>
                                <a:lnTo>
                                  <a:pt x="668718" y="43649"/>
                                </a:lnTo>
                                <a:lnTo>
                                  <a:pt x="669912" y="48552"/>
                                </a:lnTo>
                                <a:lnTo>
                                  <a:pt x="669912" y="90144"/>
                                </a:lnTo>
                                <a:lnTo>
                                  <a:pt x="679754" y="90144"/>
                                </a:lnTo>
                                <a:lnTo>
                                  <a:pt x="679754" y="44348"/>
                                </a:lnTo>
                                <a:close/>
                              </a:path>
                            </a:pathLst>
                          </a:custGeom>
                          <a:solidFill>
                            <a:srgbClr val="231F20"/>
                          </a:solidFill>
                        </wps:spPr>
                        <wps:bodyPr wrap="square" lIns="0" tIns="0" rIns="0" bIns="0" rtlCol="0">
                          <a:prstTxWarp prst="textNoShape">
                            <a:avLst/>
                          </a:prstTxWarp>
                          <a:noAutofit/>
                        </wps:bodyPr>
                      </wps:wsp>
                      <pic:pic>
                        <pic:nvPicPr>
                          <pic:cNvPr id="589" name="Image 589"/>
                          <pic:cNvPicPr/>
                        </pic:nvPicPr>
                        <pic:blipFill>
                          <a:blip r:embed="rId187" cstate="print"/>
                          <a:stretch>
                            <a:fillRect/>
                          </a:stretch>
                        </pic:blipFill>
                        <pic:spPr>
                          <a:xfrm>
                            <a:off x="2468612" y="5089766"/>
                            <a:ext cx="633632" cy="89555"/>
                          </a:xfrm>
                          <a:prstGeom prst="rect">
                            <a:avLst/>
                          </a:prstGeom>
                        </pic:spPr>
                      </pic:pic>
                      <pic:pic>
                        <pic:nvPicPr>
                          <pic:cNvPr id="590" name="Image 590"/>
                          <pic:cNvPicPr/>
                        </pic:nvPicPr>
                        <pic:blipFill>
                          <a:blip r:embed="rId188" cstate="print"/>
                          <a:stretch>
                            <a:fillRect/>
                          </a:stretch>
                        </pic:blipFill>
                        <pic:spPr>
                          <a:xfrm>
                            <a:off x="292915" y="5091703"/>
                            <a:ext cx="504935" cy="114399"/>
                          </a:xfrm>
                          <a:prstGeom prst="rect">
                            <a:avLst/>
                          </a:prstGeom>
                        </pic:spPr>
                      </pic:pic>
                      <pic:pic>
                        <pic:nvPicPr>
                          <pic:cNvPr id="591" name="Image 591"/>
                          <pic:cNvPicPr/>
                        </pic:nvPicPr>
                        <pic:blipFill>
                          <a:blip r:embed="rId189" cstate="print"/>
                          <a:stretch>
                            <a:fillRect/>
                          </a:stretch>
                        </pic:blipFill>
                        <pic:spPr>
                          <a:xfrm>
                            <a:off x="2466148" y="5499049"/>
                            <a:ext cx="616407" cy="89543"/>
                          </a:xfrm>
                          <a:prstGeom prst="rect">
                            <a:avLst/>
                          </a:prstGeom>
                        </pic:spPr>
                      </pic:pic>
                      <pic:pic>
                        <pic:nvPicPr>
                          <pic:cNvPr id="592" name="Image 592"/>
                          <pic:cNvPicPr/>
                        </pic:nvPicPr>
                        <pic:blipFill>
                          <a:blip r:embed="rId190" cstate="print"/>
                          <a:stretch>
                            <a:fillRect/>
                          </a:stretch>
                        </pic:blipFill>
                        <pic:spPr>
                          <a:xfrm>
                            <a:off x="301858" y="5496961"/>
                            <a:ext cx="884422" cy="119077"/>
                          </a:xfrm>
                          <a:prstGeom prst="rect">
                            <a:avLst/>
                          </a:prstGeom>
                        </pic:spPr>
                      </pic:pic>
                      <pic:pic>
                        <pic:nvPicPr>
                          <pic:cNvPr id="593" name="Image 593"/>
                          <pic:cNvPicPr/>
                        </pic:nvPicPr>
                        <pic:blipFill>
                          <a:blip r:embed="rId191" cstate="print"/>
                          <a:stretch>
                            <a:fillRect/>
                          </a:stretch>
                        </pic:blipFill>
                        <pic:spPr>
                          <a:xfrm>
                            <a:off x="2469451" y="5900494"/>
                            <a:ext cx="732793" cy="89541"/>
                          </a:xfrm>
                          <a:prstGeom prst="rect">
                            <a:avLst/>
                          </a:prstGeom>
                        </pic:spPr>
                      </pic:pic>
                      <pic:pic>
                        <pic:nvPicPr>
                          <pic:cNvPr id="594" name="Image 594"/>
                          <pic:cNvPicPr/>
                        </pic:nvPicPr>
                        <pic:blipFill>
                          <a:blip r:embed="rId192" cstate="print"/>
                          <a:stretch>
                            <a:fillRect/>
                          </a:stretch>
                        </pic:blipFill>
                        <pic:spPr>
                          <a:xfrm>
                            <a:off x="296222" y="5894217"/>
                            <a:ext cx="1091493" cy="94286"/>
                          </a:xfrm>
                          <a:prstGeom prst="rect">
                            <a:avLst/>
                          </a:prstGeom>
                        </pic:spPr>
                      </pic:pic>
                      <pic:pic>
                        <pic:nvPicPr>
                          <pic:cNvPr id="595" name="Image 595"/>
                          <pic:cNvPicPr/>
                        </pic:nvPicPr>
                        <pic:blipFill>
                          <a:blip r:embed="rId193" cstate="print"/>
                          <a:stretch>
                            <a:fillRect/>
                          </a:stretch>
                        </pic:blipFill>
                        <pic:spPr>
                          <a:xfrm>
                            <a:off x="2468612" y="6297883"/>
                            <a:ext cx="653340" cy="89067"/>
                          </a:xfrm>
                          <a:prstGeom prst="rect">
                            <a:avLst/>
                          </a:prstGeom>
                        </pic:spPr>
                      </pic:pic>
                      <pic:pic>
                        <pic:nvPicPr>
                          <pic:cNvPr id="596" name="Image 596"/>
                          <pic:cNvPicPr/>
                        </pic:nvPicPr>
                        <pic:blipFill>
                          <a:blip r:embed="rId194" cstate="print"/>
                          <a:stretch>
                            <a:fillRect/>
                          </a:stretch>
                        </pic:blipFill>
                        <pic:spPr>
                          <a:xfrm>
                            <a:off x="301858" y="6293087"/>
                            <a:ext cx="957395" cy="120652"/>
                          </a:xfrm>
                          <a:prstGeom prst="rect">
                            <a:avLst/>
                          </a:prstGeom>
                        </pic:spPr>
                      </pic:pic>
                      <pic:pic>
                        <pic:nvPicPr>
                          <pic:cNvPr id="597" name="Image 597"/>
                          <pic:cNvPicPr/>
                        </pic:nvPicPr>
                        <pic:blipFill>
                          <a:blip r:embed="rId195" cstate="print"/>
                          <a:stretch>
                            <a:fillRect/>
                          </a:stretch>
                        </pic:blipFill>
                        <pic:spPr>
                          <a:xfrm>
                            <a:off x="283782" y="323444"/>
                            <a:ext cx="372038" cy="89058"/>
                          </a:xfrm>
                          <a:prstGeom prst="rect">
                            <a:avLst/>
                          </a:prstGeom>
                        </pic:spPr>
                      </pic:pic>
                      <wps:wsp>
                        <wps:cNvPr id="598" name="Graphic 598"/>
                        <wps:cNvSpPr/>
                        <wps:spPr>
                          <a:xfrm>
                            <a:off x="674914" y="346919"/>
                            <a:ext cx="37465" cy="64135"/>
                          </a:xfrm>
                          <a:custGeom>
                            <a:avLst/>
                            <a:gdLst/>
                            <a:ahLst/>
                            <a:cxnLst/>
                            <a:rect l="l" t="t" r="r" b="b"/>
                            <a:pathLst>
                              <a:path w="37465" h="64135">
                                <a:moveTo>
                                  <a:pt x="33375" y="63"/>
                                </a:moveTo>
                                <a:lnTo>
                                  <a:pt x="14592" y="13220"/>
                                </a:lnTo>
                                <a:lnTo>
                                  <a:pt x="14363" y="13220"/>
                                </a:lnTo>
                                <a:lnTo>
                                  <a:pt x="14363" y="1092"/>
                                </a:lnTo>
                                <a:lnTo>
                                  <a:pt x="0" y="1092"/>
                                </a:lnTo>
                                <a:lnTo>
                                  <a:pt x="0" y="64084"/>
                                </a:lnTo>
                                <a:lnTo>
                                  <a:pt x="14363" y="64084"/>
                                </a:lnTo>
                                <a:lnTo>
                                  <a:pt x="14363" y="26847"/>
                                </a:lnTo>
                                <a:lnTo>
                                  <a:pt x="15735" y="21894"/>
                                </a:lnTo>
                                <a:lnTo>
                                  <a:pt x="21209" y="14325"/>
                                </a:lnTo>
                                <a:lnTo>
                                  <a:pt x="25082" y="12433"/>
                                </a:lnTo>
                                <a:lnTo>
                                  <a:pt x="31978" y="12496"/>
                                </a:lnTo>
                                <a:lnTo>
                                  <a:pt x="35077" y="13093"/>
                                </a:lnTo>
                                <a:lnTo>
                                  <a:pt x="36931" y="723"/>
                                </a:lnTo>
                                <a:lnTo>
                                  <a:pt x="36093" y="482"/>
                                </a:lnTo>
                                <a:lnTo>
                                  <a:pt x="33375" y="63"/>
                                </a:lnTo>
                                <a:close/>
                              </a:path>
                            </a:pathLst>
                          </a:custGeom>
                          <a:solidFill>
                            <a:srgbClr val="231F20"/>
                          </a:solidFill>
                        </wps:spPr>
                        <wps:bodyPr wrap="square" lIns="0" tIns="0" rIns="0" bIns="0" rtlCol="0">
                          <a:prstTxWarp prst="textNoShape">
                            <a:avLst/>
                          </a:prstTxWarp>
                          <a:noAutofit/>
                        </wps:bodyPr>
                      </wps:wsp>
                    </wpg:wgp>
                  </a:graphicData>
                </a:graphic>
              </wp:anchor>
            </w:drawing>
          </mc:Choice>
          <mc:Fallback>
            <w:pict>
              <v:group style="position:absolute;margin-left:56.692001pt;margin-top:14.550781pt;width:371.55pt;height:522.5500pt;mso-position-horizontal-relative:page;mso-position-vertical-relative:paragraph;z-index:-15596544;mso-wrap-distance-left:0;mso-wrap-distance-right:0" id="docshapegroup438" coordorigin="1134,291" coordsize="7431,10451">
                <v:rect style="position:absolute;left:1133;top:291;width:7431;height:10451" id="docshape439" filled="true" fillcolor="#e0e2e2" stroked="false">
                  <v:fill type="solid"/>
                </v:rect>
                <v:shape style="position:absolute;left:1133;top:1408;width:6968;height:8552" id="docshape440" coordorigin="1134,1409" coordsize="6968,8552" path="m8102,9318l1134,9318,1134,9960,8102,9960,8102,9318xm8102,8046l1134,8046,1134,8688,8102,8688,8102,8046xm8102,6781l1134,6781,1134,7423,8102,7423,8102,6781xm8102,5218l1134,5218,1134,5861,8102,5861,8102,5218xm8102,3935l1134,3935,1134,4578,8102,4578,8102,3935xm8102,2692l1134,2692,1134,3334,8102,3334,8102,2692xm8102,1409l1134,1409,1134,2051,8102,2051,8102,1409xe" filled="true" fillcolor="#ffffff" stroked="false">
                  <v:path arrowok="t"/>
                  <v:fill type="solid"/>
                </v:shape>
                <v:shape style="position:absolute;left:5012;top:661;width:2056;height:410" type="#_x0000_t75" id="docshape441" stroked="false">
                  <v:imagedata r:id="rId156" o:title=""/>
                </v:shape>
                <v:shape style="position:absolute;left:5021;top:1687;width:1029;height:141" type="#_x0000_t75" id="docshape442" stroked="false">
                  <v:imagedata r:id="rId157" o:title=""/>
                </v:shape>
                <v:shape style="position:absolute;left:1597;top:1677;width:465;height:149" type="#_x0000_t75" id="docshape443" stroked="false">
                  <v:imagedata r:id="rId158" o:title=""/>
                </v:shape>
                <v:shape style="position:absolute;left:5021;top:2311;width:191;height:138" type="#_x0000_t75" id="docshape444" stroked="false">
                  <v:imagedata r:id="rId159" o:title=""/>
                </v:shape>
                <v:shape style="position:absolute;left:5283;top:2308;width:250;height:141" type="#_x0000_t75" id="docshape445" stroked="false">
                  <v:imagedata r:id="rId160" o:title=""/>
                </v:shape>
                <v:shape style="position:absolute;left:5618;top:2309;width:296;height:141" type="#_x0000_t75" id="docshape446" stroked="false">
                  <v:imagedata r:id="rId161" o:title=""/>
                </v:shape>
                <v:shape style="position:absolute;left:1609;top:2270;width:814;height:182" id="docshape447" coordorigin="1609,2271" coordsize="814,182" path="m1668,2271l1653,2271,1632,2302,1644,2302,1668,2271xm1681,2435l1625,2435,1625,2388,1674,2388,1674,2374,1625,2374,1625,2328,1678,2328,1678,2314,1609,2314,1609,2450,1681,2450,1681,2435xm1788,2306l1772,2306,1772,2366,1772,2384,1772,2415,1770,2423,1759,2436,1752,2439,1734,2439,1727,2436,1717,2423,1714,2414,1714,2391,1717,2381,1728,2367,1735,2364,1753,2364,1759,2366,1770,2377,1772,2384,1772,2366,1772,2366,1770,2364,1769,2361,1765,2357,1755,2352,1750,2351,1729,2351,1719,2355,1711,2365,1705,2373,1702,2382,1699,2392,1699,2403,1698,2418,1702,2430,1717,2448,1726,2452,1746,2452,1753,2450,1764,2444,1768,2439,1769,2439,1772,2433,1772,2433,1772,2450,1788,2450,1788,2433,1788,2366,1788,2306xm1897,2353l1882,2353,1882,2418,1880,2425,1870,2436,1864,2439,1848,2439,1842,2436,1834,2426,1832,2418,1832,2353,1817,2353,1817,2424,1820,2435,1832,2448,1840,2452,1858,2452,1864,2450,1874,2445,1878,2440,1882,2434,1882,2434,1882,2450,1897,2450,1897,2353xm2000,2358l1995,2355,1990,2354,1981,2351,1977,2351,1956,2351,1944,2355,1935,2365,1930,2373,1925,2382,1923,2392,1922,2403,1922,2419,1927,2431,1944,2448,1955,2452,1974,2452,1979,2451,1988,2449,1992,2447,1997,2444,1990,2433,1987,2435,1983,2436,1976,2438,1973,2439,1961,2439,1953,2436,1941,2423,1938,2414,1938,2391,1941,2381,1952,2367,1960,2364,1975,2364,1979,2364,1986,2366,1989,2368,1993,2370,2000,2358xm2087,2375l2084,2366,2082,2364,2072,2354,2063,2351,2044,2351,2037,2352,2025,2357,2019,2361,2014,2366,2023,2375,2027,2371,2031,2368,2041,2365,2045,2364,2057,2364,2062,2365,2069,2372,2071,2378,2071,2388,2071,2401,2071,2419,2069,2426,2059,2437,2052,2439,2039,2439,2035,2438,2028,2432,2026,2427,2026,2416,2028,2412,2035,2407,2041,2405,2071,2401,2071,2388,2044,2392,2033,2393,2025,2397,2014,2408,2011,2415,2011,2432,2014,2439,2025,2449,2032,2452,2048,2452,2054,2450,2063,2445,2068,2440,2068,2439,2071,2435,2071,2435,2071,2450,2087,2450,2087,2435,2087,2401,2087,2375xm2163,2449l2159,2437,2156,2438,2151,2439,2145,2439,2142,2438,2138,2433,2137,2429,2137,2366,2162,2366,2162,2353,2137,2353,2137,2324,2122,2329,2122,2353,2105,2353,2105,2366,2122,2366,2122,2434,2124,2440,2133,2449,2139,2452,2150,2452,2153,2451,2158,2450,2163,2449xm2198,2353l2182,2353,2182,2450,2198,2450,2198,2353xm2202,2316l2200,2313,2196,2309,2194,2308,2187,2308,2185,2309,2180,2313,2179,2316,2179,2322,2180,2324,2185,2329,2187,2330,2194,2330,2196,2329,2200,2324,2202,2322,2202,2316xm2318,2385l2314,2373,2306,2364,2302,2360,2302,2389,2302,2413,2299,2423,2289,2436,2281,2439,2261,2439,2253,2436,2242,2422,2239,2413,2239,2390,2242,2381,2253,2367,2261,2364,2281,2364,2289,2367,2299,2380,2302,2389,2302,2360,2298,2355,2287,2350,2257,2351,2245,2355,2236,2364,2230,2372,2226,2381,2224,2391,2223,2402,2223,2417,2227,2429,2244,2447,2256,2452,2285,2452,2296,2447,2304,2439,2314,2429,2318,2416,2318,2385xm2423,2378l2420,2368,2409,2354,2401,2351,2384,2351,2377,2352,2367,2358,2362,2363,2359,2369,2358,2369,2358,2353,2343,2353,2343,2450,2358,2450,2358,2386,2361,2378,2371,2367,2377,2364,2393,2364,2398,2366,2406,2376,2408,2384,2408,2450,2423,2450,2423,2378xe" filled="true" fillcolor="#231f20" stroked="false">
                  <v:path arrowok="t"/>
                  <v:fill type="solid"/>
                </v:shape>
                <v:shape style="position:absolute;left:5020;top:2951;width:914;height:163" type="#_x0000_t75" id="docshape448" stroked="false">
                  <v:imagedata r:id="rId162" o:title=""/>
                </v:shape>
                <v:shape style="position:absolute;left:1597;top:2951;width:454;height:183" type="#_x0000_t75" id="docshape449" stroked="false">
                  <v:imagedata r:id="rId163" o:title=""/>
                </v:shape>
                <v:shape style="position:absolute;left:5014;top:4194;width:1005;height:142" type="#_x0000_t75" id="docshape450" stroked="false">
                  <v:imagedata r:id="rId164" o:title=""/>
                </v:shape>
                <v:shape style="position:absolute;left:1600;top:4072;width:2295;height:421" type="#_x0000_t75" id="docshape451" stroked="false">
                  <v:imagedata r:id="rId165" o:title=""/>
                </v:shape>
                <v:shape style="position:absolute;left:5020;top:3593;width:926;height:141" type="#_x0000_t75" id="docshape452" stroked="false">
                  <v:imagedata r:id="rId166" o:title=""/>
                </v:shape>
                <v:shape style="position:absolute;left:1600;top:3593;width:206;height:141" type="#_x0000_t75" id="docshape453" stroked="false">
                  <v:imagedata r:id="rId167" o:title=""/>
                </v:shape>
                <v:shape style="position:absolute;left:1836;top:3588;width:191;height:146" type="#_x0000_t75" id="docshape454" stroked="false">
                  <v:imagedata r:id="rId168" o:title=""/>
                </v:shape>
                <v:shape style="position:absolute;left:2058;top:3632;width:146;height:102" type="#_x0000_t75" id="docshape455" stroked="false">
                  <v:imagedata r:id="rId169" o:title=""/>
                </v:shape>
                <v:shape style="position:absolute;left:5014;top:4835;width:1162;height:142" type="#_x0000_t75" id="docshape456" stroked="false">
                  <v:imagedata r:id="rId170" o:title=""/>
                </v:shape>
                <v:shape style="position:absolute;left:1595;top:4841;width:287;height:138" type="#_x0000_t75" id="docshape457" stroked="false">
                  <v:imagedata r:id="rId171" o:title=""/>
                </v:shape>
                <v:shape style="position:absolute;left:1912;top:4834;width:442;height:145" type="#_x0000_t75" id="docshape458" stroked="false">
                  <v:imagedata r:id="rId172" o:title=""/>
                </v:shape>
                <v:shape style="position:absolute;left:5021;top:5477;width:1029;height:141" type="#_x0000_t75" id="docshape459" stroked="false">
                  <v:imagedata r:id="rId173" o:title=""/>
                </v:shape>
                <v:shape style="position:absolute;left:1593;top:5482;width:222;height:182" type="#_x0000_t75" id="docshape460" stroked="false">
                  <v:imagedata r:id="rId174" o:title=""/>
                </v:shape>
                <v:shape style="position:absolute;left:1846;top:5475;width:283;height:145" type="#_x0000_t75" id="docshape461" stroked="false">
                  <v:imagedata r:id="rId175" o:title=""/>
                </v:shape>
                <v:shape style="position:absolute;left:2159;top:5474;width:191;height:146" type="#_x0000_t75" id="docshape462" stroked="false">
                  <v:imagedata r:id="rId176" o:title=""/>
                </v:shape>
                <v:shape style="position:absolute;left:2381;top:5518;width:146;height:102" type="#_x0000_t75" id="docshape463" stroked="false">
                  <v:imagedata r:id="rId177" o:title=""/>
                </v:shape>
                <v:shape style="position:absolute;left:5017;top:6118;width:150;height:140" type="#_x0000_t75" id="docshape464" stroked="false">
                  <v:imagedata r:id="rId178" o:title=""/>
                </v:shape>
                <v:shape style="position:absolute;left:5252;top:6119;width:297;height:141" type="#_x0000_t75" id="docshape465" stroked="false">
                  <v:imagedata r:id="rId179" o:title=""/>
                </v:shape>
                <v:shape style="position:absolute;left:5617;top:6119;width:298;height:141" type="#_x0000_t75" id="docshape466" stroked="false">
                  <v:imagedata r:id="rId180" o:title=""/>
                </v:shape>
                <v:shape style="position:absolute;left:1600;top:5998;width:2163;height:610" type="#_x0000_t75" id="docshape467" stroked="false">
                  <v:imagedata r:id="rId181" o:title=""/>
                </v:shape>
                <v:shape style="position:absolute;left:5021;top:7023;width:894;height:142" type="#_x0000_t75" id="docshape468" stroked="false">
                  <v:imagedata r:id="rId182" o:title=""/>
                </v:shape>
                <v:rect style="position:absolute;left:1609;top:7029;width:16;height:136" id="docshape469" filled="true" fillcolor="#231f20" stroked="false">
                  <v:fill type="solid"/>
                </v:rect>
                <v:shape style="position:absolute;left:1658;top:7022;width:674;height:146" type="#_x0000_t75" id="docshape470" stroked="false">
                  <v:imagedata r:id="rId183" o:title=""/>
                </v:shape>
                <v:shape style="position:absolute;left:5020;top:7664;width:192;height:141" type="#_x0000_t75" id="docshape471" stroked="false">
                  <v:imagedata r:id="rId184" o:title=""/>
                </v:shape>
                <v:shape style="position:absolute;left:5276;top:7664;width:49;height:139" id="docshape472" coordorigin="5276,7664" coordsize="49,139" path="m5325,7664l5319,7664,5314,7669,5308,7673,5291,7682,5284,7685,5276,7687,5281,7700,5309,7687,5309,7803,5325,7803,5325,7664xe" filled="true" fillcolor="#231f20" stroked="false">
                  <v:path arrowok="t"/>
                  <v:fill type="solid"/>
                </v:shape>
                <v:shape style="position:absolute;left:5358;top:7664;width:194;height:141" type="#_x0000_t75" id="docshape473" stroked="false">
                  <v:imagedata r:id="rId185" o:title=""/>
                </v:shape>
                <v:shape style="position:absolute;left:5619;top:7664;width:296;height:141" type="#_x0000_t75" id="docshape474" stroked="false">
                  <v:imagedata r:id="rId186" o:title=""/>
                </v:shape>
                <v:shape style="position:absolute;left:1600;top:7663;width:1071;height:145" id="docshape475" coordorigin="1600,7663" coordsize="1071,145" path="m1705,7798l1698,7785,1693,7788,1688,7790,1677,7793,1672,7793,1651,7793,1639,7788,1630,7778,1625,7771,1620,7761,1618,7751,1617,7739,1618,7726,1620,7715,1625,7705,1631,7697,1639,7690,1647,7685,1658,7683,1669,7682,1674,7682,1679,7682,1689,7684,1694,7686,1698,7688,1704,7675,1698,7672,1693,7670,1681,7668,1675,7667,1669,7667,1654,7669,1641,7672,1630,7678,1619,7687,1611,7698,1605,7710,1602,7724,1600,7740,1601,7754,1605,7767,1610,7779,1617,7789,1627,7797,1638,7803,1651,7806,1665,7807,1673,7807,1679,7807,1692,7804,1698,7802,1705,7798xm1816,7741l1812,7728,1803,7719,1800,7715,1800,7745,1800,7769,1797,7778,1786,7791,1779,7794,1759,7794,1751,7791,1739,7778,1736,7769,1736,7745,1739,7736,1751,7723,1759,7719,1779,7719,1786,7722,1792,7729,1797,7735,1800,7745,1800,7715,1796,7710,1784,7706,1755,7706,1743,7711,1734,7720,1728,7727,1724,7736,1721,7746,1720,7758,1720,7773,1725,7785,1742,7803,1753,7807,1782,7807,1794,7803,1802,7794,1811,7784,1816,7772,1816,7741xm1921,7733l1918,7723,1907,7709,1899,7706,1881,7706,1875,7708,1865,7714,1860,7718,1856,7724,1856,7724,1856,7708,1841,7708,1841,7805,1856,7805,1856,7741,1859,7734,1869,7722,1875,7719,1890,7719,1896,7722,1904,7732,1905,7740,1905,7805,1921,7805,1921,7733xm2009,7771l2006,7764,1997,7755,1989,7751,1972,7747,1967,7745,1960,7740,1958,7737,1958,7728,1960,7725,1966,7720,1971,7719,1981,7719,1984,7720,1991,7722,1995,7724,2000,7727,2007,7715,2002,7712,1997,7709,1988,7707,1983,7706,1967,7706,1959,7709,1947,7719,1944,7726,1944,7741,1946,7747,1955,7756,1963,7760,1982,7765,1986,7767,1993,7772,1994,7776,1994,7785,1992,7788,1986,7793,1980,7794,1969,7794,1965,7794,1957,7791,1953,7789,1948,7786,1941,7798,1946,7801,1951,7803,1962,7807,1967,7807,1984,7807,1993,7805,2006,7794,2009,7787,2009,7771xm2078,7804l2075,7792,2072,7793,2067,7794,2061,7794,2058,7793,2054,7788,2053,7784,2053,7722,2077,7722,2077,7708,2053,7708,2053,7680,2037,7685,2037,7708,2021,7708,2021,7722,2037,7722,2037,7789,2040,7796,2048,7805,2054,7807,2065,7807,2068,7807,2073,7806,2078,7804xm2148,7708l2147,7707,2143,7707,2134,7707,2129,7708,2119,7716,2116,7721,2114,7728,2113,7728,2113,7708,2098,7708,2098,7805,2113,7805,2113,7746,2116,7737,2125,7724,2131,7721,2142,7721,2146,7722,2148,7708xm2244,7708l2228,7708,2228,7773,2226,7780,2216,7792,2210,7794,2194,7794,2188,7792,2181,7782,2179,7774,2179,7708,2163,7708,2163,7780,2166,7790,2178,7804,2186,7807,2205,7807,2210,7806,2220,7800,2225,7796,2228,7790,2228,7790,2228,7805,2244,7805,2244,7708xm2346,7714l2341,7711,2336,7709,2327,7707,2323,7706,2302,7706,2290,7711,2281,7721,2276,7728,2272,7737,2269,7748,2268,7759,2268,7774,2273,7786,2290,7803,2301,7807,2320,7807,2325,7807,2334,7804,2339,7802,2343,7799,2336,7788,2333,7790,2329,7792,2323,7794,2319,7794,2307,7794,2299,7791,2287,7778,2284,7769,2284,7746,2287,7737,2298,7723,2307,7719,2321,7719,2325,7720,2332,7722,2336,7723,2339,7725,2346,7714xm2411,7804l2407,7792,2404,7793,2399,7794,2393,7794,2390,7793,2386,7788,2385,7784,2385,7722,2409,7722,2409,7708,2385,7708,2385,7680,2369,7685,2369,7708,2353,7708,2353,7722,2369,7722,2369,7789,2372,7796,2380,7805,2386,7807,2397,7807,2400,7807,2405,7806,2411,7804xm2446,7708l2430,7708,2430,7805,2446,7805,2446,7708xm2449,7671l2448,7668,2444,7664,2441,7663,2435,7663,2432,7664,2428,7668,2427,7671,2427,7677,2428,7680,2432,7684,2435,7685,2441,7685,2444,7684,2448,7680,2449,7677,2449,7671xm2566,7741l2562,7728,2553,7719,2550,7715,2550,7745,2550,7769,2547,7778,2536,7791,2529,7794,2509,7794,2501,7791,2489,7778,2486,7769,2486,7745,2489,7736,2501,7723,2509,7719,2529,7719,2536,7722,2542,7729,2547,7735,2550,7745,2550,7715,2545,7710,2534,7706,2504,7706,2492,7711,2484,7720,2478,7727,2474,7736,2471,7746,2470,7758,2470,7773,2475,7785,2492,7803,2503,7807,2532,7807,2544,7803,2552,7794,2561,7784,2566,7772,2566,7741xm2671,7733l2668,7723,2657,7709,2649,7706,2631,7706,2625,7708,2614,7714,2610,7718,2606,7724,2606,7724,2606,7708,2590,7708,2590,7805,2606,7805,2606,7741,2608,7734,2619,7722,2625,7719,2640,7719,2646,7722,2653,7732,2655,7740,2655,7805,2671,7805,2671,7733xe" filled="true" fillcolor="#231f20" stroked="false">
                  <v:path arrowok="t"/>
                  <v:fill type="solid"/>
                </v:shape>
                <v:shape style="position:absolute;left:5021;top:8306;width:998;height:142" type="#_x0000_t75" id="docshape476" stroked="false">
                  <v:imagedata r:id="rId187" o:title=""/>
                </v:shape>
                <v:shape style="position:absolute;left:1595;top:8309;width:796;height:181" type="#_x0000_t75" id="docshape477" stroked="false">
                  <v:imagedata r:id="rId188" o:title=""/>
                </v:shape>
                <v:shape style="position:absolute;left:5017;top:8950;width:971;height:142" type="#_x0000_t75" id="docshape478" stroked="false">
                  <v:imagedata r:id="rId189" o:title=""/>
                </v:shape>
                <v:shape style="position:absolute;left:1609;top:8947;width:1393;height:188" type="#_x0000_t75" id="docshape479" stroked="false">
                  <v:imagedata r:id="rId190" o:title=""/>
                </v:shape>
                <v:shape style="position:absolute;left:5022;top:9583;width:1154;height:141" type="#_x0000_t75" id="docshape480" stroked="false">
                  <v:imagedata r:id="rId191" o:title=""/>
                </v:shape>
                <v:shape style="position:absolute;left:1600;top:9573;width:1719;height:149" type="#_x0000_t75" id="docshape481" stroked="false">
                  <v:imagedata r:id="rId192" o:title=""/>
                </v:shape>
                <v:shape style="position:absolute;left:5021;top:10208;width:1029;height:141" type="#_x0000_t75" id="docshape482" stroked="false">
                  <v:imagedata r:id="rId193" o:title=""/>
                </v:shape>
                <v:shape style="position:absolute;left:1609;top:10201;width:1508;height:190" type="#_x0000_t75" id="docshape483" stroked="false">
                  <v:imagedata r:id="rId194" o:title=""/>
                </v:shape>
                <v:shape style="position:absolute;left:1580;top:800;width:586;height:141" type="#_x0000_t75" id="docshape484" stroked="false">
                  <v:imagedata r:id="rId195" o:title=""/>
                </v:shape>
                <v:shape style="position:absolute;left:2196;top:837;width:59;height:101" id="docshape485" coordorigin="2197,837" coordsize="59,101" path="m2249,837l2220,858,2219,858,2219,839,2197,839,2197,938,2219,938,2219,880,2221,872,2230,860,2236,857,2247,857,2252,858,2255,838,2254,838,2249,837xe" filled="true" fillcolor="#231f20" stroked="false">
                  <v:path arrowok="t"/>
                  <v:fill type="solid"/>
                </v:shape>
                <w10:wrap type="topAndBottom"/>
              </v:group>
            </w:pict>
          </mc:Fallback>
        </mc:AlternateContent>
      </w:r>
    </w:p>
    <w:p>
      <w:pPr>
        <w:spacing w:after="0"/>
        <w:jc w:val="left"/>
        <w:rPr>
          <w:sz w:val="20"/>
        </w:rPr>
        <w:sectPr>
          <w:pgSz w:w="11910" w:h="16840"/>
          <w:pgMar w:header="0" w:footer="695" w:top="1920" w:bottom="880" w:left="0" w:right="0"/>
        </w:sectPr>
      </w:pPr>
    </w:p>
    <w:p>
      <w:pPr>
        <w:pStyle w:val="Heading1"/>
        <w:spacing w:before="154"/>
        <w:ind w:left="1445"/>
      </w:pPr>
      <w:r>
        <w:rPr>
          <w:color w:val="1A4796"/>
          <w:spacing w:val="-2"/>
          <w:w w:val="120"/>
        </w:rPr>
        <w:t>Annexes</w:t>
      </w:r>
    </w:p>
    <w:p>
      <w:pPr>
        <w:pStyle w:val="BodyText"/>
        <w:spacing w:before="197"/>
        <w:jc w:val="left"/>
        <w:rPr>
          <w:rFonts w:ascii="Trebuchet MS"/>
          <w:sz w:val="20"/>
        </w:rPr>
      </w:pPr>
      <w:r>
        <w:rPr/>
        <mc:AlternateContent>
          <mc:Choice Requires="wps">
            <w:drawing>
              <wp:anchor distT="0" distB="0" distL="0" distR="0" allowOverlap="1" layoutInCell="1" locked="0" behindDoc="1" simplePos="0" relativeHeight="487720448">
                <wp:simplePos x="0" y="0"/>
                <wp:positionH relativeFrom="page">
                  <wp:posOffset>936002</wp:posOffset>
                </wp:positionH>
                <wp:positionV relativeFrom="paragraph">
                  <wp:posOffset>288395</wp:posOffset>
                </wp:positionV>
                <wp:extent cx="909319" cy="26034"/>
                <wp:effectExtent l="0" t="0" r="0" b="0"/>
                <wp:wrapTopAndBottom/>
                <wp:docPr id="599" name="Graphic 599"/>
                <wp:cNvGraphicFramePr>
                  <a:graphicFrameLocks/>
                </wp:cNvGraphicFramePr>
                <a:graphic>
                  <a:graphicData uri="http://schemas.microsoft.com/office/word/2010/wordprocessingShape">
                    <wps:wsp>
                      <wps:cNvPr id="599" name="Graphic 599"/>
                      <wps:cNvSpPr/>
                      <wps:spPr>
                        <a:xfrm>
                          <a:off x="0" y="0"/>
                          <a:ext cx="909319" cy="26034"/>
                        </a:xfrm>
                        <a:custGeom>
                          <a:avLst/>
                          <a:gdLst/>
                          <a:ahLst/>
                          <a:cxnLst/>
                          <a:rect l="l" t="t" r="r" b="b"/>
                          <a:pathLst>
                            <a:path w="909319" h="26034">
                              <a:moveTo>
                                <a:pt x="909116" y="0"/>
                              </a:moveTo>
                              <a:lnTo>
                                <a:pt x="0" y="0"/>
                              </a:lnTo>
                              <a:lnTo>
                                <a:pt x="0" y="25666"/>
                              </a:lnTo>
                              <a:lnTo>
                                <a:pt x="909116" y="25666"/>
                              </a:lnTo>
                              <a:lnTo>
                                <a:pt x="909116" y="0"/>
                              </a:lnTo>
                              <a:close/>
                            </a:path>
                          </a:pathLst>
                        </a:custGeom>
                        <a:solidFill>
                          <a:srgbClr val="B52628"/>
                        </a:solidFill>
                      </wps:spPr>
                      <wps:bodyPr wrap="square" lIns="0" tIns="0" rIns="0" bIns="0" rtlCol="0">
                        <a:prstTxWarp prst="textNoShape">
                          <a:avLst/>
                        </a:prstTxWarp>
                        <a:noAutofit/>
                      </wps:bodyPr>
                    </wps:wsp>
                  </a:graphicData>
                </a:graphic>
              </wp:anchor>
            </w:drawing>
          </mc:Choice>
          <mc:Fallback>
            <w:pict>
              <v:rect style="position:absolute;margin-left:73.700996pt;margin-top:22.708281pt;width:71.584pt;height:2.021pt;mso-position-horizontal-relative:page;mso-position-vertical-relative:paragraph;z-index:-15596032;mso-wrap-distance-left:0;mso-wrap-distance-right:0" id="docshape486" filled="true" fillcolor="#b52628" stroked="false">
                <v:fill type="solid"/>
                <w10:wrap type="topAndBottom"/>
              </v:rect>
            </w:pict>
          </mc:Fallback>
        </mc:AlternateContent>
      </w:r>
    </w:p>
    <w:p>
      <w:pPr>
        <w:pStyle w:val="BodyText"/>
        <w:spacing w:before="239"/>
        <w:jc w:val="left"/>
        <w:rPr>
          <w:rFonts w:ascii="Trebuchet MS"/>
        </w:rPr>
      </w:pPr>
    </w:p>
    <w:p>
      <w:pPr>
        <w:pStyle w:val="ListParagraph"/>
        <w:numPr>
          <w:ilvl w:val="0"/>
          <w:numId w:val="10"/>
        </w:numPr>
        <w:tabs>
          <w:tab w:pos="1719" w:val="left" w:leader="none"/>
        </w:tabs>
        <w:spacing w:line="240" w:lineRule="auto" w:before="0" w:after="0"/>
        <w:ind w:left="1474" w:right="2522" w:firstLine="0"/>
        <w:jc w:val="left"/>
        <w:rPr>
          <w:sz w:val="24"/>
        </w:rPr>
      </w:pPr>
      <w:r>
        <w:rPr>
          <w:color w:val="231F20"/>
          <w:sz w:val="24"/>
        </w:rPr>
        <w:t>Évolution</w:t>
      </w:r>
      <w:r>
        <w:rPr>
          <w:color w:val="231F20"/>
          <w:spacing w:val="-4"/>
          <w:sz w:val="24"/>
        </w:rPr>
        <w:t> </w:t>
      </w:r>
      <w:r>
        <w:rPr>
          <w:color w:val="231F20"/>
          <w:sz w:val="24"/>
        </w:rPr>
        <w:t>(1992-2022)</w:t>
      </w:r>
      <w:r>
        <w:rPr>
          <w:color w:val="231F20"/>
          <w:spacing w:val="-4"/>
          <w:sz w:val="24"/>
        </w:rPr>
        <w:t> </w:t>
      </w:r>
      <w:r>
        <w:rPr>
          <w:color w:val="231F20"/>
          <w:sz w:val="24"/>
        </w:rPr>
        <w:t>du</w:t>
      </w:r>
      <w:r>
        <w:rPr>
          <w:color w:val="231F20"/>
          <w:spacing w:val="-4"/>
          <w:sz w:val="24"/>
        </w:rPr>
        <w:t> </w:t>
      </w:r>
      <w:r>
        <w:rPr>
          <w:color w:val="231F20"/>
          <w:sz w:val="24"/>
        </w:rPr>
        <w:t>vote</w:t>
      </w:r>
      <w:r>
        <w:rPr>
          <w:color w:val="231F20"/>
          <w:spacing w:val="-4"/>
          <w:sz w:val="24"/>
        </w:rPr>
        <w:t> </w:t>
      </w:r>
      <w:r>
        <w:rPr>
          <w:color w:val="231F20"/>
          <w:sz w:val="24"/>
        </w:rPr>
        <w:t>à</w:t>
      </w:r>
      <w:r>
        <w:rPr>
          <w:color w:val="231F20"/>
          <w:spacing w:val="-4"/>
          <w:sz w:val="24"/>
        </w:rPr>
        <w:t> </w:t>
      </w:r>
      <w:r>
        <w:rPr>
          <w:color w:val="231F20"/>
          <w:sz w:val="24"/>
        </w:rPr>
        <w:t>l’Assemblée</w:t>
      </w:r>
      <w:r>
        <w:rPr>
          <w:color w:val="231F20"/>
          <w:spacing w:val="-4"/>
          <w:sz w:val="24"/>
        </w:rPr>
        <w:t> </w:t>
      </w:r>
      <w:r>
        <w:rPr>
          <w:color w:val="231F20"/>
          <w:sz w:val="24"/>
        </w:rPr>
        <w:t>générale</w:t>
      </w:r>
      <w:r>
        <w:rPr>
          <w:color w:val="231F20"/>
          <w:spacing w:val="-4"/>
          <w:sz w:val="24"/>
        </w:rPr>
        <w:t> </w:t>
      </w:r>
      <w:r>
        <w:rPr>
          <w:color w:val="231F20"/>
          <w:sz w:val="24"/>
        </w:rPr>
        <w:t>des</w:t>
      </w:r>
      <w:r>
        <w:rPr>
          <w:color w:val="231F20"/>
          <w:spacing w:val="-5"/>
          <w:sz w:val="24"/>
        </w:rPr>
        <w:t> </w:t>
      </w:r>
      <w:r>
        <w:rPr>
          <w:color w:val="231F20"/>
          <w:sz w:val="24"/>
        </w:rPr>
        <w:t>Nations</w:t>
      </w:r>
      <w:r>
        <w:rPr>
          <w:color w:val="231F20"/>
          <w:spacing w:val="-5"/>
          <w:sz w:val="24"/>
        </w:rPr>
        <w:t> </w:t>
      </w:r>
      <w:r>
        <w:rPr>
          <w:color w:val="231F20"/>
          <w:sz w:val="24"/>
        </w:rPr>
        <w:t>Unies de la Résolution intitulée : « Nécessité de lever le blocus économique, commercial et financier appliqué à Cuba par les États-Unis d’Amérique ».</w:t>
      </w:r>
    </w:p>
    <w:p>
      <w:pPr>
        <w:pStyle w:val="BodyText"/>
        <w:jc w:val="left"/>
        <w:rPr>
          <w:sz w:val="20"/>
        </w:rPr>
      </w:pPr>
    </w:p>
    <w:p>
      <w:pPr>
        <w:pStyle w:val="BodyText"/>
        <w:spacing w:before="74"/>
        <w:jc w:val="left"/>
        <w:rPr>
          <w:sz w:val="20"/>
        </w:rPr>
      </w:pPr>
      <w:r>
        <w:rPr/>
        <w:drawing>
          <wp:anchor distT="0" distB="0" distL="0" distR="0" allowOverlap="1" layoutInCell="1" locked="0" behindDoc="1" simplePos="0" relativeHeight="487720960">
            <wp:simplePos x="0" y="0"/>
            <wp:positionH relativeFrom="page">
              <wp:posOffset>939789</wp:posOffset>
            </wp:positionH>
            <wp:positionV relativeFrom="paragraph">
              <wp:posOffset>231184</wp:posOffset>
            </wp:positionV>
            <wp:extent cx="5896780" cy="3468909"/>
            <wp:effectExtent l="0" t="0" r="0" b="0"/>
            <wp:wrapTopAndBottom/>
            <wp:docPr id="600" name="Image 600"/>
            <wp:cNvGraphicFramePr>
              <a:graphicFrameLocks/>
            </wp:cNvGraphicFramePr>
            <a:graphic>
              <a:graphicData uri="http://schemas.openxmlformats.org/drawingml/2006/picture">
                <pic:pic>
                  <pic:nvPicPr>
                    <pic:cNvPr id="600" name="Image 600"/>
                    <pic:cNvPicPr/>
                  </pic:nvPicPr>
                  <pic:blipFill>
                    <a:blip r:embed="rId196" cstate="print"/>
                    <a:stretch>
                      <a:fillRect/>
                    </a:stretch>
                  </pic:blipFill>
                  <pic:spPr>
                    <a:xfrm>
                      <a:off x="0" y="0"/>
                      <a:ext cx="5896780" cy="3468909"/>
                    </a:xfrm>
                    <a:prstGeom prst="rect">
                      <a:avLst/>
                    </a:prstGeom>
                  </pic:spPr>
                </pic:pic>
              </a:graphicData>
            </a:graphic>
          </wp:anchor>
        </w:drawing>
      </w:r>
    </w:p>
    <w:p>
      <w:pPr>
        <w:spacing w:after="0"/>
        <w:jc w:val="left"/>
        <w:rPr>
          <w:sz w:val="20"/>
        </w:rPr>
        <w:sectPr>
          <w:pgSz w:w="11910" w:h="16840"/>
          <w:pgMar w:header="0" w:footer="695" w:top="1920" w:bottom="880" w:left="0" w:right="0"/>
        </w:sectPr>
      </w:pPr>
    </w:p>
    <w:p>
      <w:pPr>
        <w:pStyle w:val="BodyText"/>
        <w:jc w:val="left"/>
        <w:rPr>
          <w:sz w:val="15"/>
        </w:rPr>
      </w:pPr>
    </w:p>
    <w:p>
      <w:pPr>
        <w:spacing w:after="0"/>
        <w:jc w:val="left"/>
        <w:rPr>
          <w:sz w:val="15"/>
        </w:rPr>
        <w:sectPr>
          <w:footerReference w:type="even" r:id="rId197"/>
          <w:pgSz w:w="11910" w:h="16840"/>
          <w:pgMar w:header="0" w:footer="0" w:top="1920" w:bottom="280" w:left="0" w:right="0"/>
        </w:sectPr>
      </w:pPr>
    </w:p>
    <w:p>
      <w:pPr>
        <w:pStyle w:val="BodyText"/>
        <w:jc w:val="left"/>
        <w:rPr>
          <w:sz w:val="15"/>
        </w:rPr>
      </w:pPr>
    </w:p>
    <w:p>
      <w:pPr>
        <w:spacing w:after="0"/>
        <w:jc w:val="left"/>
        <w:rPr>
          <w:sz w:val="15"/>
        </w:rPr>
        <w:sectPr>
          <w:footerReference w:type="default" r:id="rId198"/>
          <w:pgSz w:w="11910" w:h="16840"/>
          <w:pgMar w:header="0" w:footer="0" w:top="1920" w:bottom="280" w:left="0" w:right="0"/>
        </w:sect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jc w:val="left"/>
        <w:rPr>
          <w:sz w:val="20"/>
        </w:rPr>
      </w:pPr>
    </w:p>
    <w:p>
      <w:pPr>
        <w:pStyle w:val="BodyText"/>
        <w:spacing w:before="22"/>
        <w:jc w:val="left"/>
        <w:rPr>
          <w:sz w:val="20"/>
        </w:rPr>
      </w:pPr>
    </w:p>
    <w:p>
      <w:pPr>
        <w:pStyle w:val="BodyText"/>
        <w:ind w:left="4832"/>
        <w:jc w:val="left"/>
        <w:rPr>
          <w:sz w:val="20"/>
        </w:rPr>
      </w:pPr>
      <w:r>
        <w:rPr>
          <w:sz w:val="20"/>
        </w:rPr>
        <w:drawing>
          <wp:inline distT="0" distB="0" distL="0" distR="0">
            <wp:extent cx="1671365" cy="533400"/>
            <wp:effectExtent l="0" t="0" r="0" b="0"/>
            <wp:docPr id="601" name="Image 601"/>
            <wp:cNvGraphicFramePr>
              <a:graphicFrameLocks/>
            </wp:cNvGraphicFramePr>
            <a:graphic>
              <a:graphicData uri="http://schemas.openxmlformats.org/drawingml/2006/picture">
                <pic:pic>
                  <pic:nvPicPr>
                    <pic:cNvPr id="601" name="Image 601"/>
                    <pic:cNvPicPr/>
                  </pic:nvPicPr>
                  <pic:blipFill>
                    <a:blip r:embed="rId200" cstate="print"/>
                    <a:stretch>
                      <a:fillRect/>
                    </a:stretch>
                  </pic:blipFill>
                  <pic:spPr>
                    <a:xfrm>
                      <a:off x="0" y="0"/>
                      <a:ext cx="1671365" cy="533400"/>
                    </a:xfrm>
                    <a:prstGeom prst="rect">
                      <a:avLst/>
                    </a:prstGeom>
                  </pic:spPr>
                </pic:pic>
              </a:graphicData>
            </a:graphic>
          </wp:inline>
        </w:drawing>
      </w:r>
      <w:r>
        <w:rPr>
          <w:sz w:val="20"/>
        </w:rPr>
      </w:r>
    </w:p>
    <w:p>
      <w:pPr>
        <w:spacing w:line="295" w:lineRule="auto" w:before="105"/>
        <w:ind w:left="4154" w:right="3809" w:firstLine="0"/>
        <w:jc w:val="center"/>
        <w:rPr>
          <w:rFonts w:ascii="Arial"/>
          <w:sz w:val="16"/>
        </w:rPr>
      </w:pPr>
      <w:r>
        <w:rPr>
          <w:rFonts w:ascii="Arial"/>
          <w:color w:val="111111"/>
          <w:w w:val="90"/>
          <w:sz w:val="16"/>
        </w:rPr>
        <w:t>MINISTERIO</w:t>
      </w:r>
      <w:r>
        <w:rPr>
          <w:rFonts w:ascii="Arial"/>
          <w:color w:val="111111"/>
          <w:spacing w:val="27"/>
          <w:sz w:val="16"/>
        </w:rPr>
        <w:t> </w:t>
      </w:r>
      <w:r>
        <w:rPr>
          <w:rFonts w:ascii="Arial"/>
          <w:color w:val="010101"/>
          <w:w w:val="90"/>
          <w:sz w:val="16"/>
        </w:rPr>
        <w:t>DE </w:t>
      </w:r>
      <w:r>
        <w:rPr>
          <w:rFonts w:ascii="Arial"/>
          <w:color w:val="111111"/>
          <w:w w:val="90"/>
          <w:sz w:val="16"/>
        </w:rPr>
        <w:t>RELACIONES</w:t>
      </w:r>
      <w:r>
        <w:rPr>
          <w:rFonts w:ascii="Arial"/>
          <w:color w:val="111111"/>
          <w:spacing w:val="27"/>
          <w:sz w:val="16"/>
        </w:rPr>
        <w:t> </w:t>
      </w:r>
      <w:r>
        <w:rPr>
          <w:rFonts w:ascii="Arial"/>
          <w:color w:val="010101"/>
          <w:w w:val="90"/>
          <w:sz w:val="16"/>
        </w:rPr>
        <w:t>EXTERIORES</w:t>
      </w:r>
      <w:r>
        <w:rPr>
          <w:rFonts w:ascii="Arial"/>
          <w:color w:val="010101"/>
          <w:sz w:val="16"/>
        </w:rPr>
        <w:t> </w:t>
      </w:r>
      <w:r>
        <w:rPr>
          <w:rFonts w:ascii="Arial"/>
          <w:color w:val="111111"/>
          <w:sz w:val="16"/>
        </w:rPr>
        <w:t>REPUBLICA </w:t>
      </w:r>
      <w:r>
        <w:rPr>
          <w:rFonts w:ascii="Arial"/>
          <w:color w:val="010101"/>
          <w:sz w:val="16"/>
        </w:rPr>
        <w:t>DE </w:t>
      </w:r>
      <w:r>
        <w:rPr>
          <w:rFonts w:ascii="Arial"/>
          <w:color w:val="111111"/>
          <w:sz w:val="16"/>
        </w:rPr>
        <w:t>CUBA</w:t>
      </w:r>
    </w:p>
    <w:sectPr>
      <w:footerReference w:type="even" r:id="rId199"/>
      <w:pgSz w:w="11910" w:h="16840"/>
      <w:pgMar w:header="0" w:footer="0" w:top="192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Segoe UI">
    <w:altName w:val="Segoe UI"/>
    <w:charset w:val="0"/>
    <w:family w:val="swiss"/>
    <w:pitch w:val="variable"/>
  </w:font>
  <w:font w:name="Segoe UI Semibold">
    <w:altName w:val="Segoe UI Semibold"/>
    <w:charset w:val="0"/>
    <w:family w:val="swiss"/>
    <w:pitch w:val="variable"/>
  </w:font>
  <w:font w:name="Microsoft Sans Serif">
    <w:altName w:val="Microsoft Sans Serif"/>
    <w:charset w:val="0"/>
    <w:family w:val="swiss"/>
    <w:pitch w:val="variable"/>
  </w:font>
  <w:font w:name="Segoe UI Black">
    <w:altName w:val="Segoe UI Black"/>
    <w:charset w:val="0"/>
    <w:family w:val="swiss"/>
    <w:pitch w:val="variable"/>
  </w:font>
  <w:font w:name="Trebuchet MS">
    <w:altName w:val="Trebuchet MS"/>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mc:AlternateContent>
        <mc:Choice Requires="wps">
          <w:drawing>
            <wp:anchor distT="0" distB="0" distL="0" distR="0" allowOverlap="1" layoutInCell="1" locked="0" behindDoc="1" simplePos="0" relativeHeight="485751808">
              <wp:simplePos x="0" y="0"/>
              <wp:positionH relativeFrom="page">
                <wp:posOffset>935998</wp:posOffset>
              </wp:positionH>
              <wp:positionV relativeFrom="page">
                <wp:posOffset>10211784</wp:posOffset>
              </wp:positionV>
              <wp:extent cx="2656840" cy="1270"/>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2656840" cy="1270"/>
                      </a:xfrm>
                      <a:custGeom>
                        <a:avLst/>
                        <a:gdLst/>
                        <a:ahLst/>
                        <a:cxnLst/>
                        <a:rect l="l" t="t" r="r" b="b"/>
                        <a:pathLst>
                          <a:path w="2656840" h="0">
                            <a:moveTo>
                              <a:pt x="2656801"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64672" from="282.897699pt,804.077515pt" to="73.700699pt,804.077515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52320">
              <wp:simplePos x="0" y="0"/>
              <wp:positionH relativeFrom="page">
                <wp:posOffset>4183194</wp:posOffset>
              </wp:positionH>
              <wp:positionV relativeFrom="page">
                <wp:posOffset>10211784</wp:posOffset>
              </wp:positionV>
              <wp:extent cx="721360" cy="1270"/>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721360" cy="1270"/>
                      </a:xfrm>
                      <a:custGeom>
                        <a:avLst/>
                        <a:gdLst/>
                        <a:ahLst/>
                        <a:cxnLst/>
                        <a:rect l="l" t="t" r="r" b="b"/>
                        <a:pathLst>
                          <a:path w="721360" h="0">
                            <a:moveTo>
                              <a:pt x="720902"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64160" from="386.149406pt,804.077515pt" to="329.385406pt,804.077515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52832">
              <wp:simplePos x="0" y="0"/>
              <wp:positionH relativeFrom="page">
                <wp:posOffset>3732464</wp:posOffset>
              </wp:positionH>
              <wp:positionV relativeFrom="page">
                <wp:posOffset>10111261</wp:posOffset>
              </wp:positionV>
              <wp:extent cx="318770" cy="20320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318770" cy="203200"/>
                      </a:xfrm>
                      <a:prstGeom prst="rect">
                        <a:avLst/>
                      </a:prstGeom>
                    </wps:spPr>
                    <wps:txbx>
                      <w:txbxContent>
                        <w:p>
                          <w:pPr>
                            <w:spacing w:line="309" w:lineRule="exact" w:before="0"/>
                            <w:ind w:left="60" w:right="0" w:firstLine="0"/>
                            <w:jc w:val="left"/>
                            <w:rPr>
                              <w:rFonts w:ascii="Arial"/>
                              <w:b/>
                              <w:sz w:val="28"/>
                            </w:rPr>
                          </w:pPr>
                          <w:r>
                            <w:rPr>
                              <w:rFonts w:ascii="Arial"/>
                              <w:b/>
                              <w:color w:val="CD2026"/>
                              <w:spacing w:val="-5"/>
                              <w:w w:val="120"/>
                              <w:sz w:val="28"/>
                            </w:rPr>
                            <w:fldChar w:fldCharType="begin"/>
                          </w:r>
                          <w:r>
                            <w:rPr>
                              <w:rFonts w:ascii="Arial"/>
                              <w:b/>
                              <w:color w:val="CD2026"/>
                              <w:spacing w:val="-5"/>
                              <w:w w:val="120"/>
                              <w:sz w:val="28"/>
                            </w:rPr>
                            <w:instrText> PAGE </w:instrText>
                          </w:r>
                          <w:r>
                            <w:rPr>
                              <w:rFonts w:ascii="Arial"/>
                              <w:b/>
                              <w:color w:val="CD2026"/>
                              <w:spacing w:val="-5"/>
                              <w:w w:val="120"/>
                              <w:sz w:val="28"/>
                            </w:rPr>
                            <w:fldChar w:fldCharType="separate"/>
                          </w:r>
                          <w:r>
                            <w:rPr>
                              <w:rFonts w:ascii="Arial"/>
                              <w:b/>
                              <w:color w:val="CD2026"/>
                              <w:spacing w:val="-5"/>
                              <w:w w:val="120"/>
                              <w:sz w:val="28"/>
                            </w:rPr>
                            <w:t>49</w:t>
                          </w:r>
                          <w:r>
                            <w:rPr>
                              <w:rFonts w:ascii="Arial"/>
                              <w:b/>
                              <w:color w:val="CD2026"/>
                              <w:spacing w:val="-5"/>
                              <w:w w:val="120"/>
                              <w:sz w:val="28"/>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93.894806pt;margin-top:796.162292pt;width:25.1pt;height:16pt;mso-position-horizontal-relative:page;mso-position-vertical-relative:page;z-index:-17563648" type="#_x0000_t202" id="docshape6" filled="false" stroked="false">
              <v:textbox inset="0,0,0,0">
                <w:txbxContent>
                  <w:p>
                    <w:pPr>
                      <w:spacing w:line="309" w:lineRule="exact" w:before="0"/>
                      <w:ind w:left="60" w:right="0" w:firstLine="0"/>
                      <w:jc w:val="left"/>
                      <w:rPr>
                        <w:rFonts w:ascii="Arial"/>
                        <w:b/>
                        <w:sz w:val="28"/>
                      </w:rPr>
                    </w:pPr>
                    <w:r>
                      <w:rPr>
                        <w:rFonts w:ascii="Arial"/>
                        <w:b/>
                        <w:color w:val="CD2026"/>
                        <w:spacing w:val="-5"/>
                        <w:w w:val="120"/>
                        <w:sz w:val="28"/>
                      </w:rPr>
                      <w:fldChar w:fldCharType="begin"/>
                    </w:r>
                    <w:r>
                      <w:rPr>
                        <w:rFonts w:ascii="Arial"/>
                        <w:b/>
                        <w:color w:val="CD2026"/>
                        <w:spacing w:val="-5"/>
                        <w:w w:val="120"/>
                        <w:sz w:val="28"/>
                      </w:rPr>
                      <w:instrText> PAGE </w:instrText>
                    </w:r>
                    <w:r>
                      <w:rPr>
                        <w:rFonts w:ascii="Arial"/>
                        <w:b/>
                        <w:color w:val="CD2026"/>
                        <w:spacing w:val="-5"/>
                        <w:w w:val="120"/>
                        <w:sz w:val="28"/>
                      </w:rPr>
                      <w:fldChar w:fldCharType="separate"/>
                    </w:r>
                    <w:r>
                      <w:rPr>
                        <w:rFonts w:ascii="Arial"/>
                        <w:b/>
                        <w:color w:val="CD2026"/>
                        <w:spacing w:val="-5"/>
                        <w:w w:val="120"/>
                        <w:sz w:val="28"/>
                      </w:rPr>
                      <w:t>49</w:t>
                    </w:r>
                    <w:r>
                      <w:rPr>
                        <w:rFonts w:ascii="Arial"/>
                        <w:b/>
                        <w:color w:val="CD2026"/>
                        <w:spacing w:val="-5"/>
                        <w:w w:val="120"/>
                        <w:sz w:val="2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5753344">
              <wp:simplePos x="0" y="0"/>
              <wp:positionH relativeFrom="page">
                <wp:posOffset>4973605</wp:posOffset>
              </wp:positionH>
              <wp:positionV relativeFrom="page">
                <wp:posOffset>10136736</wp:posOffset>
              </wp:positionV>
              <wp:extent cx="1875789" cy="139700"/>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1875789" cy="139700"/>
                      </a:xfrm>
                      <a:prstGeom prst="rect">
                        <a:avLst/>
                      </a:prstGeom>
                    </wps:spPr>
                    <wps:txbx>
                      <w:txbxContent>
                        <w:p>
                          <w:pPr>
                            <w:spacing w:line="206" w:lineRule="exact" w:before="0"/>
                            <w:ind w:left="20" w:right="0" w:firstLine="0"/>
                            <w:jc w:val="left"/>
                            <w:rPr>
                              <w:rFonts w:ascii="Arial"/>
                              <w:b/>
                              <w:sz w:val="18"/>
                            </w:rPr>
                          </w:pPr>
                          <w:r>
                            <w:rPr>
                              <w:rFonts w:ascii="Arial"/>
                              <w:b/>
                              <w:color w:val="231F20"/>
                              <w:spacing w:val="-6"/>
                              <w:w w:val="105"/>
                              <w:sz w:val="18"/>
                            </w:rPr>
                            <w:t>INFORME</w:t>
                          </w:r>
                          <w:r>
                            <w:rPr>
                              <w:rFonts w:ascii="Arial"/>
                              <w:b/>
                              <w:color w:val="231F20"/>
                              <w:spacing w:val="-4"/>
                              <w:w w:val="105"/>
                              <w:sz w:val="18"/>
                            </w:rPr>
                            <w:t> </w:t>
                          </w:r>
                          <w:r>
                            <w:rPr>
                              <w:rFonts w:ascii="Arial"/>
                              <w:b/>
                              <w:color w:val="231F20"/>
                              <w:spacing w:val="-6"/>
                              <w:w w:val="105"/>
                              <w:sz w:val="18"/>
                            </w:rPr>
                            <w:t>CONTRA</w:t>
                          </w:r>
                          <w:r>
                            <w:rPr>
                              <w:rFonts w:ascii="Arial"/>
                              <w:b/>
                              <w:color w:val="231F20"/>
                              <w:spacing w:val="-2"/>
                              <w:w w:val="105"/>
                              <w:sz w:val="18"/>
                            </w:rPr>
                            <w:t> </w:t>
                          </w:r>
                          <w:r>
                            <w:rPr>
                              <w:rFonts w:ascii="Arial"/>
                              <w:b/>
                              <w:color w:val="231F20"/>
                              <w:spacing w:val="-6"/>
                              <w:w w:val="105"/>
                              <w:sz w:val="18"/>
                            </w:rPr>
                            <w:t>EL</w:t>
                          </w:r>
                          <w:r>
                            <w:rPr>
                              <w:rFonts w:ascii="Arial"/>
                              <w:b/>
                              <w:color w:val="231F20"/>
                              <w:spacing w:val="-2"/>
                              <w:w w:val="105"/>
                              <w:sz w:val="18"/>
                            </w:rPr>
                            <w:t> </w:t>
                          </w:r>
                          <w:r>
                            <w:rPr>
                              <w:rFonts w:ascii="Arial"/>
                              <w:b/>
                              <w:color w:val="231F20"/>
                              <w:spacing w:val="-6"/>
                              <w:w w:val="105"/>
                              <w:sz w:val="18"/>
                            </w:rPr>
                            <w:t>BLOQUEO</w:t>
                          </w:r>
                        </w:p>
                      </w:txbxContent>
                    </wps:txbx>
                    <wps:bodyPr wrap="square" lIns="0" tIns="0" rIns="0" bIns="0" rtlCol="0">
                      <a:noAutofit/>
                    </wps:bodyPr>
                  </wps:wsp>
                </a:graphicData>
              </a:graphic>
            </wp:anchor>
          </w:drawing>
        </mc:Choice>
        <mc:Fallback>
          <w:pict>
            <v:shape style="position:absolute;margin-left:391.622498pt;margin-top:798.168213pt;width:147.7pt;height:11pt;mso-position-horizontal-relative:page;mso-position-vertical-relative:page;z-index:-17563136" type="#_x0000_t202" id="docshape7" filled="false" stroked="false">
              <v:textbox inset="0,0,0,0">
                <w:txbxContent>
                  <w:p>
                    <w:pPr>
                      <w:spacing w:line="206" w:lineRule="exact" w:before="0"/>
                      <w:ind w:left="20" w:right="0" w:firstLine="0"/>
                      <w:jc w:val="left"/>
                      <w:rPr>
                        <w:rFonts w:ascii="Arial"/>
                        <w:b/>
                        <w:sz w:val="18"/>
                      </w:rPr>
                    </w:pPr>
                    <w:r>
                      <w:rPr>
                        <w:rFonts w:ascii="Arial"/>
                        <w:b/>
                        <w:color w:val="231F20"/>
                        <w:spacing w:val="-6"/>
                        <w:w w:val="105"/>
                        <w:sz w:val="18"/>
                      </w:rPr>
                      <w:t>INFORME</w:t>
                    </w:r>
                    <w:r>
                      <w:rPr>
                        <w:rFonts w:ascii="Arial"/>
                        <w:b/>
                        <w:color w:val="231F20"/>
                        <w:spacing w:val="-4"/>
                        <w:w w:val="105"/>
                        <w:sz w:val="18"/>
                      </w:rPr>
                      <w:t> </w:t>
                    </w:r>
                    <w:r>
                      <w:rPr>
                        <w:rFonts w:ascii="Arial"/>
                        <w:b/>
                        <w:color w:val="231F20"/>
                        <w:spacing w:val="-6"/>
                        <w:w w:val="105"/>
                        <w:sz w:val="18"/>
                      </w:rPr>
                      <w:t>CONTRA</w:t>
                    </w:r>
                    <w:r>
                      <w:rPr>
                        <w:rFonts w:ascii="Arial"/>
                        <w:b/>
                        <w:color w:val="231F20"/>
                        <w:spacing w:val="-2"/>
                        <w:w w:val="105"/>
                        <w:sz w:val="18"/>
                      </w:rPr>
                      <w:t> </w:t>
                    </w:r>
                    <w:r>
                      <w:rPr>
                        <w:rFonts w:ascii="Arial"/>
                        <w:b/>
                        <w:color w:val="231F20"/>
                        <w:spacing w:val="-6"/>
                        <w:w w:val="105"/>
                        <w:sz w:val="18"/>
                      </w:rPr>
                      <w:t>EL</w:t>
                    </w:r>
                    <w:r>
                      <w:rPr>
                        <w:rFonts w:ascii="Arial"/>
                        <w:b/>
                        <w:color w:val="231F20"/>
                        <w:spacing w:val="-2"/>
                        <w:w w:val="105"/>
                        <w:sz w:val="18"/>
                      </w:rPr>
                      <w:t> </w:t>
                    </w:r>
                    <w:r>
                      <w:rPr>
                        <w:rFonts w:ascii="Arial"/>
                        <w:b/>
                        <w:color w:val="231F20"/>
                        <w:spacing w:val="-6"/>
                        <w:w w:val="105"/>
                        <w:sz w:val="18"/>
                      </w:rPr>
                      <w:t>BLOQUEO</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mc:AlternateContent>
        <mc:Choice Requires="wps">
          <w:drawing>
            <wp:anchor distT="0" distB="0" distL="0" distR="0" allowOverlap="1" layoutInCell="1" locked="0" behindDoc="1" simplePos="0" relativeHeight="485753856">
              <wp:simplePos x="0" y="0"/>
              <wp:positionH relativeFrom="page">
                <wp:posOffset>2655895</wp:posOffset>
              </wp:positionH>
              <wp:positionV relativeFrom="page">
                <wp:posOffset>10211784</wp:posOffset>
              </wp:positionV>
              <wp:extent cx="721360" cy="1270"/>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721360" cy="1270"/>
                      </a:xfrm>
                      <a:custGeom>
                        <a:avLst/>
                        <a:gdLst/>
                        <a:ahLst/>
                        <a:cxnLst/>
                        <a:rect l="l" t="t" r="r" b="b"/>
                        <a:pathLst>
                          <a:path w="721360" h="0">
                            <a:moveTo>
                              <a:pt x="720902"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62624" from="265.889595pt,804.077515pt" to="209.125595pt,804.077515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54368">
              <wp:simplePos x="0" y="0"/>
              <wp:positionH relativeFrom="page">
                <wp:posOffset>3967196</wp:posOffset>
              </wp:positionH>
              <wp:positionV relativeFrom="page">
                <wp:posOffset>10211784</wp:posOffset>
              </wp:positionV>
              <wp:extent cx="2656840" cy="1270"/>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2656840" cy="1270"/>
                      </a:xfrm>
                      <a:custGeom>
                        <a:avLst/>
                        <a:gdLst/>
                        <a:ahLst/>
                        <a:cxnLst/>
                        <a:rect l="l" t="t" r="r" b="b"/>
                        <a:pathLst>
                          <a:path w="2656840" h="0">
                            <a:moveTo>
                              <a:pt x="2656801"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62112" from="521.574686pt,804.077515pt" to="312.377686pt,804.077515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54880">
              <wp:simplePos x="0" y="0"/>
              <wp:positionH relativeFrom="page">
                <wp:posOffset>3510418</wp:posOffset>
              </wp:positionH>
              <wp:positionV relativeFrom="page">
                <wp:posOffset>10111261</wp:posOffset>
              </wp:positionV>
              <wp:extent cx="330835" cy="203200"/>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330835" cy="203200"/>
                      </a:xfrm>
                      <a:prstGeom prst="rect">
                        <a:avLst/>
                      </a:prstGeom>
                    </wps:spPr>
                    <wps:txbx>
                      <w:txbxContent>
                        <w:p>
                          <w:pPr>
                            <w:spacing w:line="309" w:lineRule="exact" w:before="0"/>
                            <w:ind w:left="60" w:right="0" w:firstLine="0"/>
                            <w:jc w:val="left"/>
                            <w:rPr>
                              <w:rFonts w:ascii="Arial"/>
                              <w:b/>
                              <w:sz w:val="28"/>
                            </w:rPr>
                          </w:pPr>
                          <w:r>
                            <w:rPr>
                              <w:rFonts w:ascii="Arial"/>
                              <w:b/>
                              <w:color w:val="CD2026"/>
                              <w:spacing w:val="-5"/>
                              <w:w w:val="125"/>
                              <w:sz w:val="28"/>
                            </w:rPr>
                            <w:fldChar w:fldCharType="begin"/>
                          </w:r>
                          <w:r>
                            <w:rPr>
                              <w:rFonts w:ascii="Arial"/>
                              <w:b/>
                              <w:color w:val="CD2026"/>
                              <w:spacing w:val="-5"/>
                              <w:w w:val="125"/>
                              <w:sz w:val="28"/>
                            </w:rPr>
                            <w:instrText> PAGE </w:instrText>
                          </w:r>
                          <w:r>
                            <w:rPr>
                              <w:rFonts w:ascii="Arial"/>
                              <w:b/>
                              <w:color w:val="CD2026"/>
                              <w:spacing w:val="-5"/>
                              <w:w w:val="125"/>
                              <w:sz w:val="28"/>
                            </w:rPr>
                            <w:fldChar w:fldCharType="separate"/>
                          </w:r>
                          <w:r>
                            <w:rPr>
                              <w:rFonts w:ascii="Arial"/>
                              <w:b/>
                              <w:color w:val="CD2026"/>
                              <w:spacing w:val="-5"/>
                              <w:w w:val="125"/>
                              <w:sz w:val="28"/>
                            </w:rPr>
                            <w:t>40</w:t>
                          </w:r>
                          <w:r>
                            <w:rPr>
                              <w:rFonts w:ascii="Arial"/>
                              <w:b/>
                              <w:color w:val="CD2026"/>
                              <w:spacing w:val="-5"/>
                              <w:w w:val="125"/>
                              <w:sz w:val="28"/>
                            </w:rPr>
                            <w:fldChar w:fldCharType="end"/>
                          </w:r>
                        </w:p>
                      </w:txbxContent>
                    </wps:txbx>
                    <wps:bodyPr wrap="square" lIns="0" tIns="0" rIns="0" bIns="0" rtlCol="0">
                      <a:noAutofit/>
                    </wps:bodyPr>
                  </wps:wsp>
                </a:graphicData>
              </a:graphic>
            </wp:anchor>
          </w:drawing>
        </mc:Choice>
        <mc:Fallback>
          <w:pict>
            <v:shape style="position:absolute;margin-left:276.410889pt;margin-top:796.162292pt;width:26.05pt;height:16pt;mso-position-horizontal-relative:page;mso-position-vertical-relative:page;z-index:-17561600" type="#_x0000_t202" id="docshape8" filled="false" stroked="false">
              <v:textbox inset="0,0,0,0">
                <w:txbxContent>
                  <w:p>
                    <w:pPr>
                      <w:spacing w:line="309" w:lineRule="exact" w:before="0"/>
                      <w:ind w:left="60" w:right="0" w:firstLine="0"/>
                      <w:jc w:val="left"/>
                      <w:rPr>
                        <w:rFonts w:ascii="Arial"/>
                        <w:b/>
                        <w:sz w:val="28"/>
                      </w:rPr>
                    </w:pPr>
                    <w:r>
                      <w:rPr>
                        <w:rFonts w:ascii="Arial"/>
                        <w:b/>
                        <w:color w:val="CD2026"/>
                        <w:spacing w:val="-5"/>
                        <w:w w:val="125"/>
                        <w:sz w:val="28"/>
                      </w:rPr>
                      <w:fldChar w:fldCharType="begin"/>
                    </w:r>
                    <w:r>
                      <w:rPr>
                        <w:rFonts w:ascii="Arial"/>
                        <w:b/>
                        <w:color w:val="CD2026"/>
                        <w:spacing w:val="-5"/>
                        <w:w w:val="125"/>
                        <w:sz w:val="28"/>
                      </w:rPr>
                      <w:instrText> PAGE </w:instrText>
                    </w:r>
                    <w:r>
                      <w:rPr>
                        <w:rFonts w:ascii="Arial"/>
                        <w:b/>
                        <w:color w:val="CD2026"/>
                        <w:spacing w:val="-5"/>
                        <w:w w:val="125"/>
                        <w:sz w:val="28"/>
                      </w:rPr>
                      <w:fldChar w:fldCharType="separate"/>
                    </w:r>
                    <w:r>
                      <w:rPr>
                        <w:rFonts w:ascii="Arial"/>
                        <w:b/>
                        <w:color w:val="CD2026"/>
                        <w:spacing w:val="-5"/>
                        <w:w w:val="125"/>
                        <w:sz w:val="28"/>
                      </w:rPr>
                      <w:t>40</w:t>
                    </w:r>
                    <w:r>
                      <w:rPr>
                        <w:rFonts w:ascii="Arial"/>
                        <w:b/>
                        <w:color w:val="CD2026"/>
                        <w:spacing w:val="-5"/>
                        <w:w w:val="125"/>
                        <w:sz w:val="2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5755392">
              <wp:simplePos x="0" y="0"/>
              <wp:positionH relativeFrom="page">
                <wp:posOffset>707299</wp:posOffset>
              </wp:positionH>
              <wp:positionV relativeFrom="page">
                <wp:posOffset>10136736</wp:posOffset>
              </wp:positionV>
              <wp:extent cx="1875789" cy="139700"/>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1875789" cy="139700"/>
                      </a:xfrm>
                      <a:prstGeom prst="rect">
                        <a:avLst/>
                      </a:prstGeom>
                    </wps:spPr>
                    <wps:txbx>
                      <w:txbxContent>
                        <w:p>
                          <w:pPr>
                            <w:spacing w:line="206" w:lineRule="exact" w:before="0"/>
                            <w:ind w:left="20" w:right="0" w:firstLine="0"/>
                            <w:jc w:val="left"/>
                            <w:rPr>
                              <w:rFonts w:ascii="Arial"/>
                              <w:b/>
                              <w:sz w:val="18"/>
                            </w:rPr>
                          </w:pPr>
                          <w:r>
                            <w:rPr>
                              <w:rFonts w:ascii="Arial"/>
                              <w:b/>
                              <w:color w:val="231F20"/>
                              <w:spacing w:val="-6"/>
                              <w:w w:val="105"/>
                              <w:sz w:val="18"/>
                            </w:rPr>
                            <w:t>INFORME</w:t>
                          </w:r>
                          <w:r>
                            <w:rPr>
                              <w:rFonts w:ascii="Arial"/>
                              <w:b/>
                              <w:color w:val="231F20"/>
                              <w:spacing w:val="-4"/>
                              <w:w w:val="105"/>
                              <w:sz w:val="18"/>
                            </w:rPr>
                            <w:t> </w:t>
                          </w:r>
                          <w:r>
                            <w:rPr>
                              <w:rFonts w:ascii="Arial"/>
                              <w:b/>
                              <w:color w:val="231F20"/>
                              <w:spacing w:val="-6"/>
                              <w:w w:val="105"/>
                              <w:sz w:val="18"/>
                            </w:rPr>
                            <w:t>CONTRA</w:t>
                          </w:r>
                          <w:r>
                            <w:rPr>
                              <w:rFonts w:ascii="Arial"/>
                              <w:b/>
                              <w:color w:val="231F20"/>
                              <w:spacing w:val="-2"/>
                              <w:w w:val="105"/>
                              <w:sz w:val="18"/>
                            </w:rPr>
                            <w:t> </w:t>
                          </w:r>
                          <w:r>
                            <w:rPr>
                              <w:rFonts w:ascii="Arial"/>
                              <w:b/>
                              <w:color w:val="231F20"/>
                              <w:spacing w:val="-6"/>
                              <w:w w:val="105"/>
                              <w:sz w:val="18"/>
                            </w:rPr>
                            <w:t>EL</w:t>
                          </w:r>
                          <w:r>
                            <w:rPr>
                              <w:rFonts w:ascii="Arial"/>
                              <w:b/>
                              <w:color w:val="231F20"/>
                              <w:spacing w:val="-2"/>
                              <w:w w:val="105"/>
                              <w:sz w:val="18"/>
                            </w:rPr>
                            <w:t> </w:t>
                          </w:r>
                          <w:r>
                            <w:rPr>
                              <w:rFonts w:ascii="Arial"/>
                              <w:b/>
                              <w:color w:val="231F20"/>
                              <w:spacing w:val="-6"/>
                              <w:w w:val="105"/>
                              <w:sz w:val="18"/>
                            </w:rPr>
                            <w:t>BLOQUEO</w:t>
                          </w:r>
                        </w:p>
                      </w:txbxContent>
                    </wps:txbx>
                    <wps:bodyPr wrap="square" lIns="0" tIns="0" rIns="0" bIns="0" rtlCol="0">
                      <a:noAutofit/>
                    </wps:bodyPr>
                  </wps:wsp>
                </a:graphicData>
              </a:graphic>
            </wp:anchor>
          </w:drawing>
        </mc:Choice>
        <mc:Fallback>
          <w:pict>
            <v:shape style="position:absolute;margin-left:55.692902pt;margin-top:798.168213pt;width:147.7pt;height:11pt;mso-position-horizontal-relative:page;mso-position-vertical-relative:page;z-index:-17561088" type="#_x0000_t202" id="docshape9" filled="false" stroked="false">
              <v:textbox inset="0,0,0,0">
                <w:txbxContent>
                  <w:p>
                    <w:pPr>
                      <w:spacing w:line="206" w:lineRule="exact" w:before="0"/>
                      <w:ind w:left="20" w:right="0" w:firstLine="0"/>
                      <w:jc w:val="left"/>
                      <w:rPr>
                        <w:rFonts w:ascii="Arial"/>
                        <w:b/>
                        <w:sz w:val="18"/>
                      </w:rPr>
                    </w:pPr>
                    <w:r>
                      <w:rPr>
                        <w:rFonts w:ascii="Arial"/>
                        <w:b/>
                        <w:color w:val="231F20"/>
                        <w:spacing w:val="-6"/>
                        <w:w w:val="105"/>
                        <w:sz w:val="18"/>
                      </w:rPr>
                      <w:t>INFORME</w:t>
                    </w:r>
                    <w:r>
                      <w:rPr>
                        <w:rFonts w:ascii="Arial"/>
                        <w:b/>
                        <w:color w:val="231F20"/>
                        <w:spacing w:val="-4"/>
                        <w:w w:val="105"/>
                        <w:sz w:val="18"/>
                      </w:rPr>
                      <w:t> </w:t>
                    </w:r>
                    <w:r>
                      <w:rPr>
                        <w:rFonts w:ascii="Arial"/>
                        <w:b/>
                        <w:color w:val="231F20"/>
                        <w:spacing w:val="-6"/>
                        <w:w w:val="105"/>
                        <w:sz w:val="18"/>
                      </w:rPr>
                      <w:t>CONTRA</w:t>
                    </w:r>
                    <w:r>
                      <w:rPr>
                        <w:rFonts w:ascii="Arial"/>
                        <w:b/>
                        <w:color w:val="231F20"/>
                        <w:spacing w:val="-2"/>
                        <w:w w:val="105"/>
                        <w:sz w:val="18"/>
                      </w:rPr>
                      <w:t> </w:t>
                    </w:r>
                    <w:r>
                      <w:rPr>
                        <w:rFonts w:ascii="Arial"/>
                        <w:b/>
                        <w:color w:val="231F20"/>
                        <w:spacing w:val="-6"/>
                        <w:w w:val="105"/>
                        <w:sz w:val="18"/>
                      </w:rPr>
                      <w:t>EL</w:t>
                    </w:r>
                    <w:r>
                      <w:rPr>
                        <w:rFonts w:ascii="Arial"/>
                        <w:b/>
                        <w:color w:val="231F20"/>
                        <w:spacing w:val="-2"/>
                        <w:w w:val="105"/>
                        <w:sz w:val="18"/>
                      </w:rPr>
                      <w:t> </w:t>
                    </w:r>
                    <w:r>
                      <w:rPr>
                        <w:rFonts w:ascii="Arial"/>
                        <w:b/>
                        <w:color w:val="231F20"/>
                        <w:spacing w:val="-6"/>
                        <w:w w:val="105"/>
                        <w:sz w:val="18"/>
                      </w:rPr>
                      <w:t>BLOQUEO</w:t>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mc:AlternateContent>
        <mc:Choice Requires="wps">
          <w:drawing>
            <wp:anchor distT="0" distB="0" distL="0" distR="0" allowOverlap="1" layoutInCell="1" locked="0" behindDoc="1" simplePos="0" relativeHeight="485755904">
              <wp:simplePos x="0" y="0"/>
              <wp:positionH relativeFrom="page">
                <wp:posOffset>935998</wp:posOffset>
              </wp:positionH>
              <wp:positionV relativeFrom="page">
                <wp:posOffset>10211784</wp:posOffset>
              </wp:positionV>
              <wp:extent cx="2656840" cy="1270"/>
              <wp:effectExtent l="0" t="0" r="0" b="0"/>
              <wp:wrapNone/>
              <wp:docPr id="207" name="Graphic 207"/>
              <wp:cNvGraphicFramePr>
                <a:graphicFrameLocks/>
              </wp:cNvGraphicFramePr>
              <a:graphic>
                <a:graphicData uri="http://schemas.microsoft.com/office/word/2010/wordprocessingShape">
                  <wps:wsp>
                    <wps:cNvPr id="207" name="Graphic 207"/>
                    <wps:cNvSpPr/>
                    <wps:spPr>
                      <a:xfrm>
                        <a:off x="0" y="0"/>
                        <a:ext cx="2656840" cy="1270"/>
                      </a:xfrm>
                      <a:custGeom>
                        <a:avLst/>
                        <a:gdLst/>
                        <a:ahLst/>
                        <a:cxnLst/>
                        <a:rect l="l" t="t" r="r" b="b"/>
                        <a:pathLst>
                          <a:path w="2656840" h="0">
                            <a:moveTo>
                              <a:pt x="2656801"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60576" from="282.897699pt,804.077515pt" to="73.700699pt,804.077515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56416">
              <wp:simplePos x="0" y="0"/>
              <wp:positionH relativeFrom="page">
                <wp:posOffset>4183198</wp:posOffset>
              </wp:positionH>
              <wp:positionV relativeFrom="page">
                <wp:posOffset>10210203</wp:posOffset>
              </wp:positionV>
              <wp:extent cx="612140" cy="1270"/>
              <wp:effectExtent l="0" t="0" r="0" b="0"/>
              <wp:wrapNone/>
              <wp:docPr id="208" name="Graphic 208"/>
              <wp:cNvGraphicFramePr>
                <a:graphicFrameLocks/>
              </wp:cNvGraphicFramePr>
              <a:graphic>
                <a:graphicData uri="http://schemas.microsoft.com/office/word/2010/wordprocessingShape">
                  <wps:wsp>
                    <wps:cNvPr id="208" name="Graphic 208"/>
                    <wps:cNvSpPr/>
                    <wps:spPr>
                      <a:xfrm>
                        <a:off x="0" y="0"/>
                        <a:ext cx="612140" cy="1270"/>
                      </a:xfrm>
                      <a:custGeom>
                        <a:avLst/>
                        <a:gdLst/>
                        <a:ahLst/>
                        <a:cxnLst/>
                        <a:rect l="l" t="t" r="r" b="b"/>
                        <a:pathLst>
                          <a:path w="612140" h="0">
                            <a:moveTo>
                              <a:pt x="612000"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60064" from="377.574712pt,803.953003pt" to="329.385712pt,803.953003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56928">
              <wp:simplePos x="0" y="0"/>
              <wp:positionH relativeFrom="page">
                <wp:posOffset>3693971</wp:posOffset>
              </wp:positionH>
              <wp:positionV relativeFrom="page">
                <wp:posOffset>10111261</wp:posOffset>
              </wp:positionV>
              <wp:extent cx="395605" cy="203200"/>
              <wp:effectExtent l="0" t="0" r="0" b="0"/>
              <wp:wrapNone/>
              <wp:docPr id="209" name="Textbox 209"/>
              <wp:cNvGraphicFramePr>
                <a:graphicFrameLocks/>
              </wp:cNvGraphicFramePr>
              <a:graphic>
                <a:graphicData uri="http://schemas.microsoft.com/office/word/2010/wordprocessingShape">
                  <wps:wsp>
                    <wps:cNvPr id="209" name="Textbox 209"/>
                    <wps:cNvSpPr txBox="1"/>
                    <wps:spPr>
                      <a:xfrm>
                        <a:off x="0" y="0"/>
                        <a:ext cx="395605" cy="203200"/>
                      </a:xfrm>
                      <a:prstGeom prst="rect">
                        <a:avLst/>
                      </a:prstGeom>
                    </wps:spPr>
                    <wps:txbx>
                      <w:txbxContent>
                        <w:p>
                          <w:pPr>
                            <w:spacing w:line="309" w:lineRule="exact" w:before="0"/>
                            <w:ind w:left="60" w:right="0" w:firstLine="0"/>
                            <w:jc w:val="left"/>
                            <w:rPr>
                              <w:rFonts w:ascii="Arial"/>
                              <w:b/>
                              <w:sz w:val="28"/>
                            </w:rPr>
                          </w:pPr>
                          <w:r>
                            <w:rPr>
                              <w:rFonts w:ascii="Arial"/>
                              <w:b/>
                              <w:color w:val="CD2026"/>
                              <w:spacing w:val="-5"/>
                              <w:w w:val="110"/>
                              <w:sz w:val="28"/>
                            </w:rPr>
                            <w:fldChar w:fldCharType="begin"/>
                          </w:r>
                          <w:r>
                            <w:rPr>
                              <w:rFonts w:ascii="Arial"/>
                              <w:b/>
                              <w:color w:val="CD2026"/>
                              <w:spacing w:val="-5"/>
                              <w:w w:val="110"/>
                              <w:sz w:val="28"/>
                            </w:rPr>
                            <w:instrText> PAGE </w:instrText>
                          </w:r>
                          <w:r>
                            <w:rPr>
                              <w:rFonts w:ascii="Arial"/>
                              <w:b/>
                              <w:color w:val="CD2026"/>
                              <w:spacing w:val="-5"/>
                              <w:w w:val="110"/>
                              <w:sz w:val="28"/>
                            </w:rPr>
                            <w:fldChar w:fldCharType="separate"/>
                          </w:r>
                          <w:r>
                            <w:rPr>
                              <w:rFonts w:ascii="Arial"/>
                              <w:b/>
                              <w:color w:val="CD2026"/>
                              <w:spacing w:val="-5"/>
                              <w:w w:val="110"/>
                              <w:sz w:val="28"/>
                            </w:rPr>
                            <w:t>109</w:t>
                          </w:r>
                          <w:r>
                            <w:rPr>
                              <w:rFonts w:ascii="Arial"/>
                              <w:b/>
                              <w:color w:val="CD2026"/>
                              <w:spacing w:val="-5"/>
                              <w:w w:val="110"/>
                              <w:sz w:val="28"/>
                            </w:rPr>
                            <w:fldChar w:fldCharType="end"/>
                          </w:r>
                        </w:p>
                      </w:txbxContent>
                    </wps:txbx>
                    <wps:bodyPr wrap="square" lIns="0" tIns="0" rIns="0" bIns="0" rtlCol="0">
                      <a:noAutofit/>
                    </wps:bodyPr>
                  </wps:wsp>
                </a:graphicData>
              </a:graphic>
            </wp:anchor>
          </w:drawing>
        </mc:Choice>
        <mc:Fallback>
          <w:pict>
            <v:shape style="position:absolute;margin-left:290.863892pt;margin-top:796.162292pt;width:31.15pt;height:16pt;mso-position-horizontal-relative:page;mso-position-vertical-relative:page;z-index:-17559552" type="#_x0000_t202" id="docshape179" filled="false" stroked="false">
              <v:textbox inset="0,0,0,0">
                <w:txbxContent>
                  <w:p>
                    <w:pPr>
                      <w:spacing w:line="309" w:lineRule="exact" w:before="0"/>
                      <w:ind w:left="60" w:right="0" w:firstLine="0"/>
                      <w:jc w:val="left"/>
                      <w:rPr>
                        <w:rFonts w:ascii="Arial"/>
                        <w:b/>
                        <w:sz w:val="28"/>
                      </w:rPr>
                    </w:pPr>
                    <w:r>
                      <w:rPr>
                        <w:rFonts w:ascii="Arial"/>
                        <w:b/>
                        <w:color w:val="CD2026"/>
                        <w:spacing w:val="-5"/>
                        <w:w w:val="110"/>
                        <w:sz w:val="28"/>
                      </w:rPr>
                      <w:fldChar w:fldCharType="begin"/>
                    </w:r>
                    <w:r>
                      <w:rPr>
                        <w:rFonts w:ascii="Arial"/>
                        <w:b/>
                        <w:color w:val="CD2026"/>
                        <w:spacing w:val="-5"/>
                        <w:w w:val="110"/>
                        <w:sz w:val="28"/>
                      </w:rPr>
                      <w:instrText> PAGE </w:instrText>
                    </w:r>
                    <w:r>
                      <w:rPr>
                        <w:rFonts w:ascii="Arial"/>
                        <w:b/>
                        <w:color w:val="CD2026"/>
                        <w:spacing w:val="-5"/>
                        <w:w w:val="110"/>
                        <w:sz w:val="28"/>
                      </w:rPr>
                      <w:fldChar w:fldCharType="separate"/>
                    </w:r>
                    <w:r>
                      <w:rPr>
                        <w:rFonts w:ascii="Arial"/>
                        <w:b/>
                        <w:color w:val="CD2026"/>
                        <w:spacing w:val="-5"/>
                        <w:w w:val="110"/>
                        <w:sz w:val="28"/>
                      </w:rPr>
                      <w:t>109</w:t>
                    </w:r>
                    <w:r>
                      <w:rPr>
                        <w:rFonts w:ascii="Arial"/>
                        <w:b/>
                        <w:color w:val="CD2026"/>
                        <w:spacing w:val="-5"/>
                        <w:w w:val="110"/>
                        <w:sz w:val="2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5757440">
              <wp:simplePos x="0" y="0"/>
              <wp:positionH relativeFrom="page">
                <wp:posOffset>4866045</wp:posOffset>
              </wp:positionH>
              <wp:positionV relativeFrom="page">
                <wp:posOffset>10136736</wp:posOffset>
              </wp:positionV>
              <wp:extent cx="1983739" cy="139700"/>
              <wp:effectExtent l="0" t="0" r="0" b="0"/>
              <wp:wrapNone/>
              <wp:docPr id="210" name="Textbox 210"/>
              <wp:cNvGraphicFramePr>
                <a:graphicFrameLocks/>
              </wp:cNvGraphicFramePr>
              <a:graphic>
                <a:graphicData uri="http://schemas.microsoft.com/office/word/2010/wordprocessingShape">
                  <wps:wsp>
                    <wps:cNvPr id="210" name="Textbox 210"/>
                    <wps:cNvSpPr txBox="1"/>
                    <wps:spPr>
                      <a:xfrm>
                        <a:off x="0" y="0"/>
                        <a:ext cx="1983739" cy="139700"/>
                      </a:xfrm>
                      <a:prstGeom prst="rect">
                        <a:avLst/>
                      </a:prstGeom>
                    </wps:spPr>
                    <wps:txbx>
                      <w:txbxContent>
                        <w:p>
                          <w:pPr>
                            <w:spacing w:line="206" w:lineRule="exact" w:before="0"/>
                            <w:ind w:left="20" w:right="0" w:firstLine="0"/>
                            <w:jc w:val="left"/>
                            <w:rPr>
                              <w:rFonts w:ascii="Arial"/>
                              <w:b/>
                              <w:sz w:val="18"/>
                            </w:rPr>
                          </w:pPr>
                          <w:r>
                            <w:rPr>
                              <w:rFonts w:ascii="Arial"/>
                              <w:b/>
                              <w:color w:val="231F20"/>
                              <w:sz w:val="18"/>
                            </w:rPr>
                            <w:t>REPORT</w:t>
                          </w:r>
                          <w:r>
                            <w:rPr>
                              <w:rFonts w:ascii="Arial"/>
                              <w:b/>
                              <w:color w:val="231F20"/>
                              <w:spacing w:val="-9"/>
                              <w:sz w:val="18"/>
                            </w:rPr>
                            <w:t> </w:t>
                          </w:r>
                          <w:r>
                            <w:rPr>
                              <w:rFonts w:ascii="Arial"/>
                              <w:b/>
                              <w:color w:val="231F20"/>
                              <w:sz w:val="18"/>
                            </w:rPr>
                            <w:t>AGAINST</w:t>
                          </w:r>
                          <w:r>
                            <w:rPr>
                              <w:rFonts w:ascii="Arial"/>
                              <w:b/>
                              <w:color w:val="231F20"/>
                              <w:spacing w:val="-8"/>
                              <w:sz w:val="18"/>
                            </w:rPr>
                            <w:t> </w:t>
                          </w:r>
                          <w:r>
                            <w:rPr>
                              <w:rFonts w:ascii="Arial"/>
                              <w:b/>
                              <w:color w:val="231F20"/>
                              <w:sz w:val="18"/>
                            </w:rPr>
                            <w:t>THE</w:t>
                          </w:r>
                          <w:r>
                            <w:rPr>
                              <w:rFonts w:ascii="Arial"/>
                              <w:b/>
                              <w:color w:val="231F20"/>
                              <w:spacing w:val="-8"/>
                              <w:sz w:val="18"/>
                            </w:rPr>
                            <w:t> </w:t>
                          </w:r>
                          <w:r>
                            <w:rPr>
                              <w:rFonts w:ascii="Arial"/>
                              <w:b/>
                              <w:color w:val="231F20"/>
                              <w:spacing w:val="-2"/>
                              <w:sz w:val="18"/>
                            </w:rPr>
                            <w:t>BLOCKADE</w:t>
                          </w:r>
                        </w:p>
                      </w:txbxContent>
                    </wps:txbx>
                    <wps:bodyPr wrap="square" lIns="0" tIns="0" rIns="0" bIns="0" rtlCol="0">
                      <a:noAutofit/>
                    </wps:bodyPr>
                  </wps:wsp>
                </a:graphicData>
              </a:graphic>
            </wp:anchor>
          </w:drawing>
        </mc:Choice>
        <mc:Fallback>
          <w:pict>
            <v:shape style="position:absolute;margin-left:383.153198pt;margin-top:798.168213pt;width:156.2pt;height:11pt;mso-position-horizontal-relative:page;mso-position-vertical-relative:page;z-index:-17559040" type="#_x0000_t202" id="docshape180" filled="false" stroked="false">
              <v:textbox inset="0,0,0,0">
                <w:txbxContent>
                  <w:p>
                    <w:pPr>
                      <w:spacing w:line="206" w:lineRule="exact" w:before="0"/>
                      <w:ind w:left="20" w:right="0" w:firstLine="0"/>
                      <w:jc w:val="left"/>
                      <w:rPr>
                        <w:rFonts w:ascii="Arial"/>
                        <w:b/>
                        <w:sz w:val="18"/>
                      </w:rPr>
                    </w:pPr>
                    <w:r>
                      <w:rPr>
                        <w:rFonts w:ascii="Arial"/>
                        <w:b/>
                        <w:color w:val="231F20"/>
                        <w:sz w:val="18"/>
                      </w:rPr>
                      <w:t>REPORT</w:t>
                    </w:r>
                    <w:r>
                      <w:rPr>
                        <w:rFonts w:ascii="Arial"/>
                        <w:b/>
                        <w:color w:val="231F20"/>
                        <w:spacing w:val="-9"/>
                        <w:sz w:val="18"/>
                      </w:rPr>
                      <w:t> </w:t>
                    </w:r>
                    <w:r>
                      <w:rPr>
                        <w:rFonts w:ascii="Arial"/>
                        <w:b/>
                        <w:color w:val="231F20"/>
                        <w:sz w:val="18"/>
                      </w:rPr>
                      <w:t>AGAINST</w:t>
                    </w:r>
                    <w:r>
                      <w:rPr>
                        <w:rFonts w:ascii="Arial"/>
                        <w:b/>
                        <w:color w:val="231F20"/>
                        <w:spacing w:val="-8"/>
                        <w:sz w:val="18"/>
                      </w:rPr>
                      <w:t> </w:t>
                    </w:r>
                    <w:r>
                      <w:rPr>
                        <w:rFonts w:ascii="Arial"/>
                        <w:b/>
                        <w:color w:val="231F20"/>
                        <w:sz w:val="18"/>
                      </w:rPr>
                      <w:t>THE</w:t>
                    </w:r>
                    <w:r>
                      <w:rPr>
                        <w:rFonts w:ascii="Arial"/>
                        <w:b/>
                        <w:color w:val="231F20"/>
                        <w:spacing w:val="-8"/>
                        <w:sz w:val="18"/>
                      </w:rPr>
                      <w:t> </w:t>
                    </w:r>
                    <w:r>
                      <w:rPr>
                        <w:rFonts w:ascii="Arial"/>
                        <w:b/>
                        <w:color w:val="231F20"/>
                        <w:spacing w:val="-2"/>
                        <w:sz w:val="18"/>
                      </w:rPr>
                      <w:t>BLOCKADE</w:t>
                    </w:r>
                  </w:p>
                </w:txbxContent>
              </v:textbox>
              <w10:wrap type="none"/>
            </v:shape>
          </w:pict>
        </mc:Fallback>
      </mc:AlternateContent>
    </w: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mc:AlternateContent>
        <mc:Choice Requires="wps">
          <w:drawing>
            <wp:anchor distT="0" distB="0" distL="0" distR="0" allowOverlap="1" layoutInCell="1" locked="0" behindDoc="1" simplePos="0" relativeHeight="485757952">
              <wp:simplePos x="0" y="0"/>
              <wp:positionH relativeFrom="page">
                <wp:posOffset>0</wp:posOffset>
              </wp:positionH>
              <wp:positionV relativeFrom="page">
                <wp:posOffset>10329259</wp:posOffset>
              </wp:positionV>
              <wp:extent cx="24130" cy="12700"/>
              <wp:effectExtent l="0" t="0" r="0" b="0"/>
              <wp:wrapNone/>
              <wp:docPr id="211" name="Graphic 211"/>
              <wp:cNvGraphicFramePr>
                <a:graphicFrameLocks/>
              </wp:cNvGraphicFramePr>
              <a:graphic>
                <a:graphicData uri="http://schemas.microsoft.com/office/word/2010/wordprocessingShape">
                  <wps:wsp>
                    <wps:cNvPr id="211" name="Graphic 211"/>
                    <wps:cNvSpPr/>
                    <wps:spPr>
                      <a:xfrm>
                        <a:off x="0" y="0"/>
                        <a:ext cx="24130" cy="12700"/>
                      </a:xfrm>
                      <a:custGeom>
                        <a:avLst/>
                        <a:gdLst/>
                        <a:ahLst/>
                        <a:cxnLst/>
                        <a:rect l="l" t="t" r="r" b="b"/>
                        <a:pathLst>
                          <a:path w="24130" h="12700">
                            <a:moveTo>
                              <a:pt x="23610" y="0"/>
                            </a:moveTo>
                            <a:lnTo>
                              <a:pt x="0" y="0"/>
                            </a:lnTo>
                            <a:lnTo>
                              <a:pt x="0" y="12700"/>
                            </a:lnTo>
                            <a:lnTo>
                              <a:pt x="23610" y="12700"/>
                            </a:lnTo>
                            <a:lnTo>
                              <a:pt x="23610" y="0"/>
                            </a:lnTo>
                            <a:close/>
                          </a:path>
                        </a:pathLst>
                      </a:custGeom>
                      <a:solidFill>
                        <a:srgbClr val="CD2026"/>
                      </a:solidFill>
                    </wps:spPr>
                    <wps:bodyPr wrap="square" lIns="0" tIns="0" rIns="0" bIns="0" rtlCol="0">
                      <a:prstTxWarp prst="textNoShape">
                        <a:avLst/>
                      </a:prstTxWarp>
                      <a:noAutofit/>
                    </wps:bodyPr>
                  </wps:wsp>
                </a:graphicData>
              </a:graphic>
            </wp:anchor>
          </w:drawing>
        </mc:Choice>
        <mc:Fallback>
          <w:pict>
            <v:rect style="position:absolute;margin-left:.0pt;margin-top:813.327515pt;width:1.8591pt;height:1pt;mso-position-horizontal-relative:page;mso-position-vertical-relative:page;z-index:-17558528" id="docshape181" filled="true" fillcolor="#cd2026" stroked="false">
              <v:fill type="solid"/>
              <w10:wrap type="none"/>
            </v:rect>
          </w:pict>
        </mc:Fallback>
      </mc:AlternateContent>
    </w:r>
    <w:r>
      <w:rPr/>
      <mc:AlternateContent>
        <mc:Choice Requires="wps">
          <w:drawing>
            <wp:anchor distT="0" distB="0" distL="0" distR="0" allowOverlap="1" layoutInCell="1" locked="0" behindDoc="1" simplePos="0" relativeHeight="485758464">
              <wp:simplePos x="0" y="0"/>
              <wp:positionH relativeFrom="page">
                <wp:posOffset>3967196</wp:posOffset>
              </wp:positionH>
              <wp:positionV relativeFrom="page">
                <wp:posOffset>10211784</wp:posOffset>
              </wp:positionV>
              <wp:extent cx="2656840" cy="1270"/>
              <wp:effectExtent l="0" t="0" r="0" b="0"/>
              <wp:wrapNone/>
              <wp:docPr id="212" name="Graphic 212"/>
              <wp:cNvGraphicFramePr>
                <a:graphicFrameLocks/>
              </wp:cNvGraphicFramePr>
              <a:graphic>
                <a:graphicData uri="http://schemas.microsoft.com/office/word/2010/wordprocessingShape">
                  <wps:wsp>
                    <wps:cNvPr id="212" name="Graphic 212"/>
                    <wps:cNvSpPr/>
                    <wps:spPr>
                      <a:xfrm>
                        <a:off x="0" y="0"/>
                        <a:ext cx="2656840" cy="1270"/>
                      </a:xfrm>
                      <a:custGeom>
                        <a:avLst/>
                        <a:gdLst/>
                        <a:ahLst/>
                        <a:cxnLst/>
                        <a:rect l="l" t="t" r="r" b="b"/>
                        <a:pathLst>
                          <a:path w="2656840" h="0">
                            <a:moveTo>
                              <a:pt x="2656801"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58016" from="521.574686pt,804.077515pt" to="312.377686pt,804.077515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58976">
              <wp:simplePos x="0" y="0"/>
              <wp:positionH relativeFrom="page">
                <wp:posOffset>2763898</wp:posOffset>
              </wp:positionH>
              <wp:positionV relativeFrom="page">
                <wp:posOffset>10210203</wp:posOffset>
              </wp:positionV>
              <wp:extent cx="612140" cy="1270"/>
              <wp:effectExtent l="0" t="0" r="0" b="0"/>
              <wp:wrapNone/>
              <wp:docPr id="213" name="Graphic 213"/>
              <wp:cNvGraphicFramePr>
                <a:graphicFrameLocks/>
              </wp:cNvGraphicFramePr>
              <a:graphic>
                <a:graphicData uri="http://schemas.microsoft.com/office/word/2010/wordprocessingShape">
                  <wps:wsp>
                    <wps:cNvPr id="213" name="Graphic 213"/>
                    <wps:cNvSpPr/>
                    <wps:spPr>
                      <a:xfrm>
                        <a:off x="0" y="0"/>
                        <a:ext cx="612140" cy="1270"/>
                      </a:xfrm>
                      <a:custGeom>
                        <a:avLst/>
                        <a:gdLst/>
                        <a:ahLst/>
                        <a:cxnLst/>
                        <a:rect l="l" t="t" r="r" b="b"/>
                        <a:pathLst>
                          <a:path w="612140" h="0">
                            <a:moveTo>
                              <a:pt x="612000"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57504" from="265.818807pt,803.953003pt" to="217.629807pt,803.953003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59488">
              <wp:simplePos x="0" y="0"/>
              <wp:positionH relativeFrom="page">
                <wp:posOffset>3471924</wp:posOffset>
              </wp:positionH>
              <wp:positionV relativeFrom="page">
                <wp:posOffset>10111261</wp:posOffset>
              </wp:positionV>
              <wp:extent cx="407670" cy="203200"/>
              <wp:effectExtent l="0" t="0" r="0" b="0"/>
              <wp:wrapNone/>
              <wp:docPr id="214" name="Textbox 214"/>
              <wp:cNvGraphicFramePr>
                <a:graphicFrameLocks/>
              </wp:cNvGraphicFramePr>
              <a:graphic>
                <a:graphicData uri="http://schemas.microsoft.com/office/word/2010/wordprocessingShape">
                  <wps:wsp>
                    <wps:cNvPr id="214" name="Textbox 214"/>
                    <wps:cNvSpPr txBox="1"/>
                    <wps:spPr>
                      <a:xfrm>
                        <a:off x="0" y="0"/>
                        <a:ext cx="407670" cy="203200"/>
                      </a:xfrm>
                      <a:prstGeom prst="rect">
                        <a:avLst/>
                      </a:prstGeom>
                    </wps:spPr>
                    <wps:txbx>
                      <w:txbxContent>
                        <w:p>
                          <w:pPr>
                            <w:spacing w:line="309" w:lineRule="exact" w:before="0"/>
                            <w:ind w:left="60" w:right="0" w:firstLine="0"/>
                            <w:jc w:val="left"/>
                            <w:rPr>
                              <w:rFonts w:ascii="Arial"/>
                              <w:b/>
                              <w:sz w:val="28"/>
                            </w:rPr>
                          </w:pPr>
                          <w:r>
                            <w:rPr>
                              <w:rFonts w:ascii="Arial"/>
                              <w:b/>
                              <w:color w:val="CD2026"/>
                              <w:spacing w:val="-5"/>
                              <w:w w:val="110"/>
                              <w:sz w:val="28"/>
                            </w:rPr>
                            <w:fldChar w:fldCharType="begin"/>
                          </w:r>
                          <w:r>
                            <w:rPr>
                              <w:rFonts w:ascii="Arial"/>
                              <w:b/>
                              <w:color w:val="CD2026"/>
                              <w:spacing w:val="-5"/>
                              <w:w w:val="110"/>
                              <w:sz w:val="28"/>
                            </w:rPr>
                            <w:instrText> PAGE </w:instrText>
                          </w:r>
                          <w:r>
                            <w:rPr>
                              <w:rFonts w:ascii="Arial"/>
                              <w:b/>
                              <w:color w:val="CD2026"/>
                              <w:spacing w:val="-5"/>
                              <w:w w:val="110"/>
                              <w:sz w:val="28"/>
                            </w:rPr>
                            <w:fldChar w:fldCharType="separate"/>
                          </w:r>
                          <w:r>
                            <w:rPr>
                              <w:rFonts w:ascii="Arial"/>
                              <w:b/>
                              <w:color w:val="CD2026"/>
                              <w:spacing w:val="-5"/>
                              <w:w w:val="110"/>
                              <w:sz w:val="28"/>
                            </w:rPr>
                            <w:t>100</w:t>
                          </w:r>
                          <w:r>
                            <w:rPr>
                              <w:rFonts w:ascii="Arial"/>
                              <w:b/>
                              <w:color w:val="CD2026"/>
                              <w:spacing w:val="-5"/>
                              <w:w w:val="110"/>
                              <w:sz w:val="28"/>
                            </w:rPr>
                            <w:fldChar w:fldCharType="end"/>
                          </w:r>
                        </w:p>
                      </w:txbxContent>
                    </wps:txbx>
                    <wps:bodyPr wrap="square" lIns="0" tIns="0" rIns="0" bIns="0" rtlCol="0">
                      <a:noAutofit/>
                    </wps:bodyPr>
                  </wps:wsp>
                </a:graphicData>
              </a:graphic>
            </wp:anchor>
          </w:drawing>
        </mc:Choice>
        <mc:Fallback>
          <w:pict>
            <v:shape style="position:absolute;margin-left:273.379913pt;margin-top:796.162292pt;width:32.1pt;height:16pt;mso-position-horizontal-relative:page;mso-position-vertical-relative:page;z-index:-17556992" type="#_x0000_t202" id="docshape182" filled="false" stroked="false">
              <v:textbox inset="0,0,0,0">
                <w:txbxContent>
                  <w:p>
                    <w:pPr>
                      <w:spacing w:line="309" w:lineRule="exact" w:before="0"/>
                      <w:ind w:left="60" w:right="0" w:firstLine="0"/>
                      <w:jc w:val="left"/>
                      <w:rPr>
                        <w:rFonts w:ascii="Arial"/>
                        <w:b/>
                        <w:sz w:val="28"/>
                      </w:rPr>
                    </w:pPr>
                    <w:r>
                      <w:rPr>
                        <w:rFonts w:ascii="Arial"/>
                        <w:b/>
                        <w:color w:val="CD2026"/>
                        <w:spacing w:val="-5"/>
                        <w:w w:val="110"/>
                        <w:sz w:val="28"/>
                      </w:rPr>
                      <w:fldChar w:fldCharType="begin"/>
                    </w:r>
                    <w:r>
                      <w:rPr>
                        <w:rFonts w:ascii="Arial"/>
                        <w:b/>
                        <w:color w:val="CD2026"/>
                        <w:spacing w:val="-5"/>
                        <w:w w:val="110"/>
                        <w:sz w:val="28"/>
                      </w:rPr>
                      <w:instrText> PAGE </w:instrText>
                    </w:r>
                    <w:r>
                      <w:rPr>
                        <w:rFonts w:ascii="Arial"/>
                        <w:b/>
                        <w:color w:val="CD2026"/>
                        <w:spacing w:val="-5"/>
                        <w:w w:val="110"/>
                        <w:sz w:val="28"/>
                      </w:rPr>
                      <w:fldChar w:fldCharType="separate"/>
                    </w:r>
                    <w:r>
                      <w:rPr>
                        <w:rFonts w:ascii="Arial"/>
                        <w:b/>
                        <w:color w:val="CD2026"/>
                        <w:spacing w:val="-5"/>
                        <w:w w:val="110"/>
                        <w:sz w:val="28"/>
                      </w:rPr>
                      <w:t>100</w:t>
                    </w:r>
                    <w:r>
                      <w:rPr>
                        <w:rFonts w:ascii="Arial"/>
                        <w:b/>
                        <w:color w:val="CD2026"/>
                        <w:spacing w:val="-5"/>
                        <w:w w:val="110"/>
                        <w:sz w:val="2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5760000">
              <wp:simplePos x="0" y="0"/>
              <wp:positionH relativeFrom="page">
                <wp:posOffset>707299</wp:posOffset>
              </wp:positionH>
              <wp:positionV relativeFrom="page">
                <wp:posOffset>10136736</wp:posOffset>
              </wp:positionV>
              <wp:extent cx="1983739" cy="139700"/>
              <wp:effectExtent l="0" t="0" r="0" b="0"/>
              <wp:wrapNone/>
              <wp:docPr id="215" name="Textbox 215"/>
              <wp:cNvGraphicFramePr>
                <a:graphicFrameLocks/>
              </wp:cNvGraphicFramePr>
              <a:graphic>
                <a:graphicData uri="http://schemas.microsoft.com/office/word/2010/wordprocessingShape">
                  <wps:wsp>
                    <wps:cNvPr id="215" name="Textbox 215"/>
                    <wps:cNvSpPr txBox="1"/>
                    <wps:spPr>
                      <a:xfrm>
                        <a:off x="0" y="0"/>
                        <a:ext cx="1983739" cy="139700"/>
                      </a:xfrm>
                      <a:prstGeom prst="rect">
                        <a:avLst/>
                      </a:prstGeom>
                    </wps:spPr>
                    <wps:txbx>
                      <w:txbxContent>
                        <w:p>
                          <w:pPr>
                            <w:spacing w:line="206" w:lineRule="exact" w:before="0"/>
                            <w:ind w:left="20" w:right="0" w:firstLine="0"/>
                            <w:jc w:val="left"/>
                            <w:rPr>
                              <w:rFonts w:ascii="Arial"/>
                              <w:b/>
                              <w:sz w:val="18"/>
                            </w:rPr>
                          </w:pPr>
                          <w:r>
                            <w:rPr>
                              <w:rFonts w:ascii="Arial"/>
                              <w:b/>
                              <w:color w:val="231F20"/>
                              <w:sz w:val="18"/>
                            </w:rPr>
                            <w:t>REPORT</w:t>
                          </w:r>
                          <w:r>
                            <w:rPr>
                              <w:rFonts w:ascii="Arial"/>
                              <w:b/>
                              <w:color w:val="231F20"/>
                              <w:spacing w:val="-9"/>
                              <w:sz w:val="18"/>
                            </w:rPr>
                            <w:t> </w:t>
                          </w:r>
                          <w:r>
                            <w:rPr>
                              <w:rFonts w:ascii="Arial"/>
                              <w:b/>
                              <w:color w:val="231F20"/>
                              <w:sz w:val="18"/>
                            </w:rPr>
                            <w:t>AGAINST</w:t>
                          </w:r>
                          <w:r>
                            <w:rPr>
                              <w:rFonts w:ascii="Arial"/>
                              <w:b/>
                              <w:color w:val="231F20"/>
                              <w:spacing w:val="-8"/>
                              <w:sz w:val="18"/>
                            </w:rPr>
                            <w:t> </w:t>
                          </w:r>
                          <w:r>
                            <w:rPr>
                              <w:rFonts w:ascii="Arial"/>
                              <w:b/>
                              <w:color w:val="231F20"/>
                              <w:sz w:val="18"/>
                            </w:rPr>
                            <w:t>THE</w:t>
                          </w:r>
                          <w:r>
                            <w:rPr>
                              <w:rFonts w:ascii="Arial"/>
                              <w:b/>
                              <w:color w:val="231F20"/>
                              <w:spacing w:val="-8"/>
                              <w:sz w:val="18"/>
                            </w:rPr>
                            <w:t> </w:t>
                          </w:r>
                          <w:r>
                            <w:rPr>
                              <w:rFonts w:ascii="Arial"/>
                              <w:b/>
                              <w:color w:val="231F20"/>
                              <w:spacing w:val="-2"/>
                              <w:sz w:val="18"/>
                            </w:rPr>
                            <w:t>BLOCKADE</w:t>
                          </w:r>
                        </w:p>
                      </w:txbxContent>
                    </wps:txbx>
                    <wps:bodyPr wrap="square" lIns="0" tIns="0" rIns="0" bIns="0" rtlCol="0">
                      <a:noAutofit/>
                    </wps:bodyPr>
                  </wps:wsp>
                </a:graphicData>
              </a:graphic>
            </wp:anchor>
          </w:drawing>
        </mc:Choice>
        <mc:Fallback>
          <w:pict>
            <v:shape style="position:absolute;margin-left:55.692902pt;margin-top:798.168213pt;width:156.2pt;height:11pt;mso-position-horizontal-relative:page;mso-position-vertical-relative:page;z-index:-17556480" type="#_x0000_t202" id="docshape183" filled="false" stroked="false">
              <v:textbox inset="0,0,0,0">
                <w:txbxContent>
                  <w:p>
                    <w:pPr>
                      <w:spacing w:line="206" w:lineRule="exact" w:before="0"/>
                      <w:ind w:left="20" w:right="0" w:firstLine="0"/>
                      <w:jc w:val="left"/>
                      <w:rPr>
                        <w:rFonts w:ascii="Arial"/>
                        <w:b/>
                        <w:sz w:val="18"/>
                      </w:rPr>
                    </w:pPr>
                    <w:r>
                      <w:rPr>
                        <w:rFonts w:ascii="Arial"/>
                        <w:b/>
                        <w:color w:val="231F20"/>
                        <w:sz w:val="18"/>
                      </w:rPr>
                      <w:t>REPORT</w:t>
                    </w:r>
                    <w:r>
                      <w:rPr>
                        <w:rFonts w:ascii="Arial"/>
                        <w:b/>
                        <w:color w:val="231F20"/>
                        <w:spacing w:val="-9"/>
                        <w:sz w:val="18"/>
                      </w:rPr>
                      <w:t> </w:t>
                    </w:r>
                    <w:r>
                      <w:rPr>
                        <w:rFonts w:ascii="Arial"/>
                        <w:b/>
                        <w:color w:val="231F20"/>
                        <w:sz w:val="18"/>
                      </w:rPr>
                      <w:t>AGAINST</w:t>
                    </w:r>
                    <w:r>
                      <w:rPr>
                        <w:rFonts w:ascii="Arial"/>
                        <w:b/>
                        <w:color w:val="231F20"/>
                        <w:spacing w:val="-8"/>
                        <w:sz w:val="18"/>
                      </w:rPr>
                      <w:t> </w:t>
                    </w:r>
                    <w:r>
                      <w:rPr>
                        <w:rFonts w:ascii="Arial"/>
                        <w:b/>
                        <w:color w:val="231F20"/>
                        <w:sz w:val="18"/>
                      </w:rPr>
                      <w:t>THE</w:t>
                    </w:r>
                    <w:r>
                      <w:rPr>
                        <w:rFonts w:ascii="Arial"/>
                        <w:b/>
                        <w:color w:val="231F20"/>
                        <w:spacing w:val="-8"/>
                        <w:sz w:val="18"/>
                      </w:rPr>
                      <w:t> </w:t>
                    </w:r>
                    <w:r>
                      <w:rPr>
                        <w:rFonts w:ascii="Arial"/>
                        <w:b/>
                        <w:color w:val="231F20"/>
                        <w:spacing w:val="-2"/>
                        <w:sz w:val="18"/>
                      </w:rPr>
                      <w:t>BLOCKADE</w:t>
                    </w:r>
                  </w:p>
                </w:txbxContent>
              </v:textbox>
              <w10:wrap type="none"/>
            </v:shape>
          </w:pict>
        </mc:Fallback>
      </mc:AlternateContent>
    </w: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footer1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footer1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mc:AlternateContent>
        <mc:Choice Requires="wps">
          <w:drawing>
            <wp:anchor distT="0" distB="0" distL="0" distR="0" allowOverlap="1" layoutInCell="1" locked="0" behindDoc="1" simplePos="0" relativeHeight="485760512">
              <wp:simplePos x="0" y="0"/>
              <wp:positionH relativeFrom="page">
                <wp:posOffset>935998</wp:posOffset>
              </wp:positionH>
              <wp:positionV relativeFrom="page">
                <wp:posOffset>10211784</wp:posOffset>
              </wp:positionV>
              <wp:extent cx="2656840" cy="1270"/>
              <wp:effectExtent l="0" t="0" r="0" b="0"/>
              <wp:wrapNone/>
              <wp:docPr id="394" name="Graphic 394"/>
              <wp:cNvGraphicFramePr>
                <a:graphicFrameLocks/>
              </wp:cNvGraphicFramePr>
              <a:graphic>
                <a:graphicData uri="http://schemas.microsoft.com/office/word/2010/wordprocessingShape">
                  <wps:wsp>
                    <wps:cNvPr id="394" name="Graphic 394"/>
                    <wps:cNvSpPr/>
                    <wps:spPr>
                      <a:xfrm>
                        <a:off x="0" y="0"/>
                        <a:ext cx="2656840" cy="1270"/>
                      </a:xfrm>
                      <a:custGeom>
                        <a:avLst/>
                        <a:gdLst/>
                        <a:ahLst/>
                        <a:cxnLst/>
                        <a:rect l="l" t="t" r="r" b="b"/>
                        <a:pathLst>
                          <a:path w="2656840" h="0">
                            <a:moveTo>
                              <a:pt x="2656801"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55968" from="282.897699pt,804.077515pt" to="73.700699pt,804.077515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61024">
              <wp:simplePos x="0" y="0"/>
              <wp:positionH relativeFrom="page">
                <wp:posOffset>4183204</wp:posOffset>
              </wp:positionH>
              <wp:positionV relativeFrom="page">
                <wp:posOffset>10210203</wp:posOffset>
              </wp:positionV>
              <wp:extent cx="820419" cy="1270"/>
              <wp:effectExtent l="0" t="0" r="0" b="0"/>
              <wp:wrapNone/>
              <wp:docPr id="395" name="Graphic 395"/>
              <wp:cNvGraphicFramePr>
                <a:graphicFrameLocks/>
              </wp:cNvGraphicFramePr>
              <a:graphic>
                <a:graphicData uri="http://schemas.microsoft.com/office/word/2010/wordprocessingShape">
                  <wps:wsp>
                    <wps:cNvPr id="395" name="Graphic 395"/>
                    <wps:cNvSpPr/>
                    <wps:spPr>
                      <a:xfrm>
                        <a:off x="0" y="0"/>
                        <a:ext cx="820419" cy="1270"/>
                      </a:xfrm>
                      <a:custGeom>
                        <a:avLst/>
                        <a:gdLst/>
                        <a:ahLst/>
                        <a:cxnLst/>
                        <a:rect l="l" t="t" r="r" b="b"/>
                        <a:pathLst>
                          <a:path w="820419" h="0">
                            <a:moveTo>
                              <a:pt x="820343"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55456" from="393.98020pt,803.953003pt" to="329.386200pt,803.953003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61536">
              <wp:simplePos x="0" y="0"/>
              <wp:positionH relativeFrom="page">
                <wp:posOffset>3697616</wp:posOffset>
              </wp:positionH>
              <wp:positionV relativeFrom="page">
                <wp:posOffset>10111261</wp:posOffset>
              </wp:positionV>
              <wp:extent cx="388620" cy="203200"/>
              <wp:effectExtent l="0" t="0" r="0" b="0"/>
              <wp:wrapNone/>
              <wp:docPr id="396" name="Textbox 396"/>
              <wp:cNvGraphicFramePr>
                <a:graphicFrameLocks/>
              </wp:cNvGraphicFramePr>
              <a:graphic>
                <a:graphicData uri="http://schemas.microsoft.com/office/word/2010/wordprocessingShape">
                  <wps:wsp>
                    <wps:cNvPr id="396" name="Textbox 396"/>
                    <wps:cNvSpPr txBox="1"/>
                    <wps:spPr>
                      <a:xfrm>
                        <a:off x="0" y="0"/>
                        <a:ext cx="388620" cy="203200"/>
                      </a:xfrm>
                      <a:prstGeom prst="rect">
                        <a:avLst/>
                      </a:prstGeom>
                    </wps:spPr>
                    <wps:txbx>
                      <w:txbxContent>
                        <w:p>
                          <w:pPr>
                            <w:spacing w:line="309" w:lineRule="exact" w:before="0"/>
                            <w:ind w:left="60" w:right="0" w:firstLine="0"/>
                            <w:jc w:val="left"/>
                            <w:rPr>
                              <w:rFonts w:ascii="Arial"/>
                              <w:b/>
                              <w:sz w:val="28"/>
                            </w:rPr>
                          </w:pPr>
                          <w:r>
                            <w:rPr>
                              <w:rFonts w:ascii="Arial"/>
                              <w:b/>
                              <w:color w:val="CD2026"/>
                              <w:spacing w:val="-5"/>
                              <w:w w:val="105"/>
                              <w:sz w:val="28"/>
                            </w:rPr>
                            <w:fldChar w:fldCharType="begin"/>
                          </w:r>
                          <w:r>
                            <w:rPr>
                              <w:rFonts w:ascii="Arial"/>
                              <w:b/>
                              <w:color w:val="CD2026"/>
                              <w:spacing w:val="-5"/>
                              <w:w w:val="105"/>
                              <w:sz w:val="28"/>
                            </w:rPr>
                            <w:instrText> PAGE </w:instrText>
                          </w:r>
                          <w:r>
                            <w:rPr>
                              <w:rFonts w:ascii="Arial"/>
                              <w:b/>
                              <w:color w:val="CD2026"/>
                              <w:spacing w:val="-5"/>
                              <w:w w:val="105"/>
                              <w:sz w:val="28"/>
                            </w:rPr>
                            <w:fldChar w:fldCharType="separate"/>
                          </w:r>
                          <w:r>
                            <w:rPr>
                              <w:rFonts w:ascii="Arial"/>
                              <w:b/>
                              <w:color w:val="CD2026"/>
                              <w:spacing w:val="-5"/>
                              <w:w w:val="105"/>
                              <w:sz w:val="28"/>
                            </w:rPr>
                            <w:t>149</w:t>
                          </w:r>
                          <w:r>
                            <w:rPr>
                              <w:rFonts w:ascii="Arial"/>
                              <w:b/>
                              <w:color w:val="CD2026"/>
                              <w:spacing w:val="-5"/>
                              <w:w w:val="105"/>
                              <w:sz w:val="28"/>
                            </w:rPr>
                            <w:fldChar w:fldCharType="end"/>
                          </w:r>
                        </w:p>
                      </w:txbxContent>
                    </wps:txbx>
                    <wps:bodyPr wrap="square" lIns="0" tIns="0" rIns="0" bIns="0" rtlCol="0">
                      <a:noAutofit/>
                    </wps:bodyPr>
                  </wps:wsp>
                </a:graphicData>
              </a:graphic>
            </wp:anchor>
          </w:drawing>
        </mc:Choice>
        <mc:Fallback>
          <w:pict>
            <v:shape style="position:absolute;margin-left:291.150909pt;margin-top:796.162292pt;width:30.6pt;height:16pt;mso-position-horizontal-relative:page;mso-position-vertical-relative:page;z-index:-17554944" type="#_x0000_t202" id="docshape329" filled="false" stroked="false">
              <v:textbox inset="0,0,0,0">
                <w:txbxContent>
                  <w:p>
                    <w:pPr>
                      <w:spacing w:line="309" w:lineRule="exact" w:before="0"/>
                      <w:ind w:left="60" w:right="0" w:firstLine="0"/>
                      <w:jc w:val="left"/>
                      <w:rPr>
                        <w:rFonts w:ascii="Arial"/>
                        <w:b/>
                        <w:sz w:val="28"/>
                      </w:rPr>
                    </w:pPr>
                    <w:r>
                      <w:rPr>
                        <w:rFonts w:ascii="Arial"/>
                        <w:b/>
                        <w:color w:val="CD2026"/>
                        <w:spacing w:val="-5"/>
                        <w:w w:val="105"/>
                        <w:sz w:val="28"/>
                      </w:rPr>
                      <w:fldChar w:fldCharType="begin"/>
                    </w:r>
                    <w:r>
                      <w:rPr>
                        <w:rFonts w:ascii="Arial"/>
                        <w:b/>
                        <w:color w:val="CD2026"/>
                        <w:spacing w:val="-5"/>
                        <w:w w:val="105"/>
                        <w:sz w:val="28"/>
                      </w:rPr>
                      <w:instrText> PAGE </w:instrText>
                    </w:r>
                    <w:r>
                      <w:rPr>
                        <w:rFonts w:ascii="Arial"/>
                        <w:b/>
                        <w:color w:val="CD2026"/>
                        <w:spacing w:val="-5"/>
                        <w:w w:val="105"/>
                        <w:sz w:val="28"/>
                      </w:rPr>
                      <w:fldChar w:fldCharType="separate"/>
                    </w:r>
                    <w:r>
                      <w:rPr>
                        <w:rFonts w:ascii="Arial"/>
                        <w:b/>
                        <w:color w:val="CD2026"/>
                        <w:spacing w:val="-5"/>
                        <w:w w:val="105"/>
                        <w:sz w:val="28"/>
                      </w:rPr>
                      <w:t>149</w:t>
                    </w:r>
                    <w:r>
                      <w:rPr>
                        <w:rFonts w:ascii="Arial"/>
                        <w:b/>
                        <w:color w:val="CD2026"/>
                        <w:spacing w:val="-5"/>
                        <w:w w:val="105"/>
                        <w:sz w:val="2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5762048">
              <wp:simplePos x="0" y="0"/>
              <wp:positionH relativeFrom="page">
                <wp:posOffset>5077044</wp:posOffset>
              </wp:positionH>
              <wp:positionV relativeFrom="page">
                <wp:posOffset>10136736</wp:posOffset>
              </wp:positionV>
              <wp:extent cx="1772285" cy="139700"/>
              <wp:effectExtent l="0" t="0" r="0" b="0"/>
              <wp:wrapNone/>
              <wp:docPr id="397" name="Textbox 397"/>
              <wp:cNvGraphicFramePr>
                <a:graphicFrameLocks/>
              </wp:cNvGraphicFramePr>
              <a:graphic>
                <a:graphicData uri="http://schemas.microsoft.com/office/word/2010/wordprocessingShape">
                  <wps:wsp>
                    <wps:cNvPr id="397" name="Textbox 397"/>
                    <wps:cNvSpPr txBox="1"/>
                    <wps:spPr>
                      <a:xfrm>
                        <a:off x="0" y="0"/>
                        <a:ext cx="1772285" cy="139700"/>
                      </a:xfrm>
                      <a:prstGeom prst="rect">
                        <a:avLst/>
                      </a:prstGeom>
                    </wps:spPr>
                    <wps:txbx>
                      <w:txbxContent>
                        <w:p>
                          <w:pPr>
                            <w:spacing w:line="206" w:lineRule="exact" w:before="0"/>
                            <w:ind w:left="20" w:right="0" w:firstLine="0"/>
                            <w:jc w:val="left"/>
                            <w:rPr>
                              <w:rFonts w:ascii="Arial"/>
                              <w:b/>
                              <w:sz w:val="18"/>
                            </w:rPr>
                          </w:pPr>
                          <w:r>
                            <w:rPr>
                              <w:rFonts w:ascii="Arial"/>
                              <w:b/>
                              <w:color w:val="231F20"/>
                              <w:sz w:val="18"/>
                            </w:rPr>
                            <w:t>RAPPORT</w:t>
                          </w:r>
                          <w:r>
                            <w:rPr>
                              <w:rFonts w:ascii="Arial"/>
                              <w:b/>
                              <w:color w:val="231F20"/>
                              <w:spacing w:val="-13"/>
                              <w:sz w:val="18"/>
                            </w:rPr>
                            <w:t> </w:t>
                          </w:r>
                          <w:r>
                            <w:rPr>
                              <w:rFonts w:ascii="Arial"/>
                              <w:b/>
                              <w:color w:val="231F20"/>
                              <w:sz w:val="18"/>
                            </w:rPr>
                            <w:t>CONTRE</w:t>
                          </w:r>
                          <w:r>
                            <w:rPr>
                              <w:rFonts w:ascii="Arial"/>
                              <w:b/>
                              <w:color w:val="231F20"/>
                              <w:spacing w:val="-12"/>
                              <w:sz w:val="18"/>
                            </w:rPr>
                            <w:t> </w:t>
                          </w:r>
                          <w:r>
                            <w:rPr>
                              <w:rFonts w:ascii="Arial"/>
                              <w:b/>
                              <w:color w:val="231F20"/>
                              <w:sz w:val="18"/>
                            </w:rPr>
                            <w:t>LE</w:t>
                          </w:r>
                          <w:r>
                            <w:rPr>
                              <w:rFonts w:ascii="Arial"/>
                              <w:b/>
                              <w:color w:val="231F20"/>
                              <w:spacing w:val="-12"/>
                              <w:sz w:val="18"/>
                            </w:rPr>
                            <w:t> </w:t>
                          </w:r>
                          <w:r>
                            <w:rPr>
                              <w:rFonts w:ascii="Arial"/>
                              <w:b/>
                              <w:color w:val="231F20"/>
                              <w:spacing w:val="-2"/>
                              <w:sz w:val="18"/>
                            </w:rPr>
                            <w:t>BLOCUS</w:t>
                          </w:r>
                        </w:p>
                      </w:txbxContent>
                    </wps:txbx>
                    <wps:bodyPr wrap="square" lIns="0" tIns="0" rIns="0" bIns="0" rtlCol="0">
                      <a:noAutofit/>
                    </wps:bodyPr>
                  </wps:wsp>
                </a:graphicData>
              </a:graphic>
            </wp:anchor>
          </w:drawing>
        </mc:Choice>
        <mc:Fallback>
          <w:pict>
            <v:shape style="position:absolute;margin-left:399.767303pt;margin-top:798.168213pt;width:139.550pt;height:11pt;mso-position-horizontal-relative:page;mso-position-vertical-relative:page;z-index:-17554432" type="#_x0000_t202" id="docshape330" filled="false" stroked="false">
              <v:textbox inset="0,0,0,0">
                <w:txbxContent>
                  <w:p>
                    <w:pPr>
                      <w:spacing w:line="206" w:lineRule="exact" w:before="0"/>
                      <w:ind w:left="20" w:right="0" w:firstLine="0"/>
                      <w:jc w:val="left"/>
                      <w:rPr>
                        <w:rFonts w:ascii="Arial"/>
                        <w:b/>
                        <w:sz w:val="18"/>
                      </w:rPr>
                    </w:pPr>
                    <w:r>
                      <w:rPr>
                        <w:rFonts w:ascii="Arial"/>
                        <w:b/>
                        <w:color w:val="231F20"/>
                        <w:sz w:val="18"/>
                      </w:rPr>
                      <w:t>RAPPORT</w:t>
                    </w:r>
                    <w:r>
                      <w:rPr>
                        <w:rFonts w:ascii="Arial"/>
                        <w:b/>
                        <w:color w:val="231F20"/>
                        <w:spacing w:val="-13"/>
                        <w:sz w:val="18"/>
                      </w:rPr>
                      <w:t> </w:t>
                    </w:r>
                    <w:r>
                      <w:rPr>
                        <w:rFonts w:ascii="Arial"/>
                        <w:b/>
                        <w:color w:val="231F20"/>
                        <w:sz w:val="18"/>
                      </w:rPr>
                      <w:t>CONTRE</w:t>
                    </w:r>
                    <w:r>
                      <w:rPr>
                        <w:rFonts w:ascii="Arial"/>
                        <w:b/>
                        <w:color w:val="231F20"/>
                        <w:spacing w:val="-12"/>
                        <w:sz w:val="18"/>
                      </w:rPr>
                      <w:t> </w:t>
                    </w:r>
                    <w:r>
                      <w:rPr>
                        <w:rFonts w:ascii="Arial"/>
                        <w:b/>
                        <w:color w:val="231F20"/>
                        <w:sz w:val="18"/>
                      </w:rPr>
                      <w:t>LE</w:t>
                    </w:r>
                    <w:r>
                      <w:rPr>
                        <w:rFonts w:ascii="Arial"/>
                        <w:b/>
                        <w:color w:val="231F20"/>
                        <w:spacing w:val="-12"/>
                        <w:sz w:val="18"/>
                      </w:rPr>
                      <w:t> </w:t>
                    </w:r>
                    <w:r>
                      <w:rPr>
                        <w:rFonts w:ascii="Arial"/>
                        <w:b/>
                        <w:color w:val="231F20"/>
                        <w:spacing w:val="-2"/>
                        <w:sz w:val="18"/>
                      </w:rPr>
                      <w:t>BLOCUS</w:t>
                    </w:r>
                  </w:p>
                </w:txbxContent>
              </v:textbox>
              <w10:wrap type="none"/>
            </v:shape>
          </w:pict>
        </mc:Fallback>
      </mc:AlternateContent>
    </w:r>
  </w:p>
</w:ftr>
</file>

<file path=word/footer1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mc:AlternateContent>
        <mc:Choice Requires="wps">
          <w:drawing>
            <wp:anchor distT="0" distB="0" distL="0" distR="0" allowOverlap="1" layoutInCell="1" locked="0" behindDoc="1" simplePos="0" relativeHeight="485762560">
              <wp:simplePos x="0" y="0"/>
              <wp:positionH relativeFrom="page">
                <wp:posOffset>3967196</wp:posOffset>
              </wp:positionH>
              <wp:positionV relativeFrom="page">
                <wp:posOffset>10211784</wp:posOffset>
              </wp:positionV>
              <wp:extent cx="2656840" cy="1270"/>
              <wp:effectExtent l="0" t="0" r="0" b="0"/>
              <wp:wrapNone/>
              <wp:docPr id="398" name="Graphic 398"/>
              <wp:cNvGraphicFramePr>
                <a:graphicFrameLocks/>
              </wp:cNvGraphicFramePr>
              <a:graphic>
                <a:graphicData uri="http://schemas.microsoft.com/office/word/2010/wordprocessingShape">
                  <wps:wsp>
                    <wps:cNvPr id="398" name="Graphic 398"/>
                    <wps:cNvSpPr/>
                    <wps:spPr>
                      <a:xfrm>
                        <a:off x="0" y="0"/>
                        <a:ext cx="2656840" cy="1270"/>
                      </a:xfrm>
                      <a:custGeom>
                        <a:avLst/>
                        <a:gdLst/>
                        <a:ahLst/>
                        <a:cxnLst/>
                        <a:rect l="l" t="t" r="r" b="b"/>
                        <a:pathLst>
                          <a:path w="2656840" h="0">
                            <a:moveTo>
                              <a:pt x="2656801"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53920" from="521.574686pt,804.077515pt" to="312.377686pt,804.077515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63072">
              <wp:simplePos x="0" y="0"/>
              <wp:positionH relativeFrom="page">
                <wp:posOffset>2555554</wp:posOffset>
              </wp:positionH>
              <wp:positionV relativeFrom="page">
                <wp:posOffset>10210203</wp:posOffset>
              </wp:positionV>
              <wp:extent cx="820419" cy="1270"/>
              <wp:effectExtent l="0" t="0" r="0" b="0"/>
              <wp:wrapNone/>
              <wp:docPr id="399" name="Graphic 399"/>
              <wp:cNvGraphicFramePr>
                <a:graphicFrameLocks/>
              </wp:cNvGraphicFramePr>
              <a:graphic>
                <a:graphicData uri="http://schemas.microsoft.com/office/word/2010/wordprocessingShape">
                  <wps:wsp>
                    <wps:cNvPr id="399" name="Graphic 399"/>
                    <wps:cNvSpPr/>
                    <wps:spPr>
                      <a:xfrm>
                        <a:off x="0" y="0"/>
                        <a:ext cx="820419" cy="1270"/>
                      </a:xfrm>
                      <a:custGeom>
                        <a:avLst/>
                        <a:gdLst/>
                        <a:ahLst/>
                        <a:cxnLst/>
                        <a:rect l="l" t="t" r="r" b="b"/>
                        <a:pathLst>
                          <a:path w="820419" h="0">
                            <a:moveTo>
                              <a:pt x="820343" y="0"/>
                            </a:moveTo>
                            <a:lnTo>
                              <a:pt x="0" y="0"/>
                            </a:lnTo>
                          </a:path>
                        </a:pathLst>
                      </a:custGeom>
                      <a:ln w="12700">
                        <a:solidFill>
                          <a:srgbClr val="CD2026"/>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7553408" from="265.818792pt,803.953003pt" to="201.224792pt,803.953003pt" stroked="true" strokeweight="1pt" strokecolor="#cd2026">
              <v:stroke dashstyle="solid"/>
              <w10:wrap type="none"/>
            </v:line>
          </w:pict>
        </mc:Fallback>
      </mc:AlternateContent>
    </w:r>
    <w:r>
      <w:rPr/>
      <mc:AlternateContent>
        <mc:Choice Requires="wps">
          <w:drawing>
            <wp:anchor distT="0" distB="0" distL="0" distR="0" allowOverlap="1" layoutInCell="1" locked="0" behindDoc="1" simplePos="0" relativeHeight="485763584">
              <wp:simplePos x="0" y="0"/>
              <wp:positionH relativeFrom="page">
                <wp:posOffset>3475569</wp:posOffset>
              </wp:positionH>
              <wp:positionV relativeFrom="page">
                <wp:posOffset>10111261</wp:posOffset>
              </wp:positionV>
              <wp:extent cx="400685" cy="203200"/>
              <wp:effectExtent l="0" t="0" r="0" b="0"/>
              <wp:wrapNone/>
              <wp:docPr id="400" name="Textbox 400"/>
              <wp:cNvGraphicFramePr>
                <a:graphicFrameLocks/>
              </wp:cNvGraphicFramePr>
              <a:graphic>
                <a:graphicData uri="http://schemas.microsoft.com/office/word/2010/wordprocessingShape">
                  <wps:wsp>
                    <wps:cNvPr id="400" name="Textbox 400"/>
                    <wps:cNvSpPr txBox="1"/>
                    <wps:spPr>
                      <a:xfrm>
                        <a:off x="0" y="0"/>
                        <a:ext cx="400685" cy="203200"/>
                      </a:xfrm>
                      <a:prstGeom prst="rect">
                        <a:avLst/>
                      </a:prstGeom>
                    </wps:spPr>
                    <wps:txbx>
                      <w:txbxContent>
                        <w:p>
                          <w:pPr>
                            <w:spacing w:line="309" w:lineRule="exact" w:before="0"/>
                            <w:ind w:left="60" w:right="0" w:firstLine="0"/>
                            <w:jc w:val="left"/>
                            <w:rPr>
                              <w:rFonts w:ascii="Arial"/>
                              <w:b/>
                              <w:sz w:val="28"/>
                            </w:rPr>
                          </w:pPr>
                          <w:r>
                            <w:rPr>
                              <w:rFonts w:ascii="Arial"/>
                              <w:b/>
                              <w:color w:val="CD2026"/>
                              <w:spacing w:val="-5"/>
                              <w:w w:val="110"/>
                              <w:sz w:val="28"/>
                            </w:rPr>
                            <w:fldChar w:fldCharType="begin"/>
                          </w:r>
                          <w:r>
                            <w:rPr>
                              <w:rFonts w:ascii="Arial"/>
                              <w:b/>
                              <w:color w:val="CD2026"/>
                              <w:spacing w:val="-5"/>
                              <w:w w:val="110"/>
                              <w:sz w:val="28"/>
                            </w:rPr>
                            <w:instrText> PAGE </w:instrText>
                          </w:r>
                          <w:r>
                            <w:rPr>
                              <w:rFonts w:ascii="Arial"/>
                              <w:b/>
                              <w:color w:val="CD2026"/>
                              <w:spacing w:val="-5"/>
                              <w:w w:val="110"/>
                              <w:sz w:val="28"/>
                            </w:rPr>
                            <w:fldChar w:fldCharType="separate"/>
                          </w:r>
                          <w:r>
                            <w:rPr>
                              <w:rFonts w:ascii="Arial"/>
                              <w:b/>
                              <w:color w:val="CD2026"/>
                              <w:spacing w:val="-5"/>
                              <w:w w:val="110"/>
                              <w:sz w:val="28"/>
                            </w:rPr>
                            <w:t>140</w:t>
                          </w:r>
                          <w:r>
                            <w:rPr>
                              <w:rFonts w:ascii="Arial"/>
                              <w:b/>
                              <w:color w:val="CD2026"/>
                              <w:spacing w:val="-5"/>
                              <w:w w:val="110"/>
                              <w:sz w:val="28"/>
                            </w:rPr>
                            <w:fldChar w:fldCharType="end"/>
                          </w:r>
                        </w:p>
                      </w:txbxContent>
                    </wps:txbx>
                    <wps:bodyPr wrap="square" lIns="0" tIns="0" rIns="0" bIns="0" rtlCol="0">
                      <a:noAutofit/>
                    </wps:bodyPr>
                  </wps:wsp>
                </a:graphicData>
              </a:graphic>
            </wp:anchor>
          </w:drawing>
        </mc:Choice>
        <mc:Fallback>
          <w:pict>
            <v:shape style="position:absolute;margin-left:273.666901pt;margin-top:796.162292pt;width:31.55pt;height:16pt;mso-position-horizontal-relative:page;mso-position-vertical-relative:page;z-index:-17552896" type="#_x0000_t202" id="docshape331" filled="false" stroked="false">
              <v:textbox inset="0,0,0,0">
                <w:txbxContent>
                  <w:p>
                    <w:pPr>
                      <w:spacing w:line="309" w:lineRule="exact" w:before="0"/>
                      <w:ind w:left="60" w:right="0" w:firstLine="0"/>
                      <w:jc w:val="left"/>
                      <w:rPr>
                        <w:rFonts w:ascii="Arial"/>
                        <w:b/>
                        <w:sz w:val="28"/>
                      </w:rPr>
                    </w:pPr>
                    <w:r>
                      <w:rPr>
                        <w:rFonts w:ascii="Arial"/>
                        <w:b/>
                        <w:color w:val="CD2026"/>
                        <w:spacing w:val="-5"/>
                        <w:w w:val="110"/>
                        <w:sz w:val="28"/>
                      </w:rPr>
                      <w:fldChar w:fldCharType="begin"/>
                    </w:r>
                    <w:r>
                      <w:rPr>
                        <w:rFonts w:ascii="Arial"/>
                        <w:b/>
                        <w:color w:val="CD2026"/>
                        <w:spacing w:val="-5"/>
                        <w:w w:val="110"/>
                        <w:sz w:val="28"/>
                      </w:rPr>
                      <w:instrText> PAGE </w:instrText>
                    </w:r>
                    <w:r>
                      <w:rPr>
                        <w:rFonts w:ascii="Arial"/>
                        <w:b/>
                        <w:color w:val="CD2026"/>
                        <w:spacing w:val="-5"/>
                        <w:w w:val="110"/>
                        <w:sz w:val="28"/>
                      </w:rPr>
                      <w:fldChar w:fldCharType="separate"/>
                    </w:r>
                    <w:r>
                      <w:rPr>
                        <w:rFonts w:ascii="Arial"/>
                        <w:b/>
                        <w:color w:val="CD2026"/>
                        <w:spacing w:val="-5"/>
                        <w:w w:val="110"/>
                        <w:sz w:val="28"/>
                      </w:rPr>
                      <w:t>140</w:t>
                    </w:r>
                    <w:r>
                      <w:rPr>
                        <w:rFonts w:ascii="Arial"/>
                        <w:b/>
                        <w:color w:val="CD2026"/>
                        <w:spacing w:val="-5"/>
                        <w:w w:val="110"/>
                        <w:sz w:val="2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5764096">
              <wp:simplePos x="0" y="0"/>
              <wp:positionH relativeFrom="page">
                <wp:posOffset>707299</wp:posOffset>
              </wp:positionH>
              <wp:positionV relativeFrom="page">
                <wp:posOffset>10136736</wp:posOffset>
              </wp:positionV>
              <wp:extent cx="1772285" cy="139700"/>
              <wp:effectExtent l="0" t="0" r="0" b="0"/>
              <wp:wrapNone/>
              <wp:docPr id="401" name="Textbox 401"/>
              <wp:cNvGraphicFramePr>
                <a:graphicFrameLocks/>
              </wp:cNvGraphicFramePr>
              <a:graphic>
                <a:graphicData uri="http://schemas.microsoft.com/office/word/2010/wordprocessingShape">
                  <wps:wsp>
                    <wps:cNvPr id="401" name="Textbox 401"/>
                    <wps:cNvSpPr txBox="1"/>
                    <wps:spPr>
                      <a:xfrm>
                        <a:off x="0" y="0"/>
                        <a:ext cx="1772285" cy="139700"/>
                      </a:xfrm>
                      <a:prstGeom prst="rect">
                        <a:avLst/>
                      </a:prstGeom>
                    </wps:spPr>
                    <wps:txbx>
                      <w:txbxContent>
                        <w:p>
                          <w:pPr>
                            <w:spacing w:line="206" w:lineRule="exact" w:before="0"/>
                            <w:ind w:left="20" w:right="0" w:firstLine="0"/>
                            <w:jc w:val="left"/>
                            <w:rPr>
                              <w:rFonts w:ascii="Arial"/>
                              <w:b/>
                              <w:sz w:val="18"/>
                            </w:rPr>
                          </w:pPr>
                          <w:r>
                            <w:rPr>
                              <w:rFonts w:ascii="Arial"/>
                              <w:b/>
                              <w:color w:val="231F20"/>
                              <w:sz w:val="18"/>
                            </w:rPr>
                            <w:t>RAPPORT</w:t>
                          </w:r>
                          <w:r>
                            <w:rPr>
                              <w:rFonts w:ascii="Arial"/>
                              <w:b/>
                              <w:color w:val="231F20"/>
                              <w:spacing w:val="-13"/>
                              <w:sz w:val="18"/>
                            </w:rPr>
                            <w:t> </w:t>
                          </w:r>
                          <w:r>
                            <w:rPr>
                              <w:rFonts w:ascii="Arial"/>
                              <w:b/>
                              <w:color w:val="231F20"/>
                              <w:sz w:val="18"/>
                            </w:rPr>
                            <w:t>CONTRE</w:t>
                          </w:r>
                          <w:r>
                            <w:rPr>
                              <w:rFonts w:ascii="Arial"/>
                              <w:b/>
                              <w:color w:val="231F20"/>
                              <w:spacing w:val="-12"/>
                              <w:sz w:val="18"/>
                            </w:rPr>
                            <w:t> </w:t>
                          </w:r>
                          <w:r>
                            <w:rPr>
                              <w:rFonts w:ascii="Arial"/>
                              <w:b/>
                              <w:color w:val="231F20"/>
                              <w:sz w:val="18"/>
                            </w:rPr>
                            <w:t>LE</w:t>
                          </w:r>
                          <w:r>
                            <w:rPr>
                              <w:rFonts w:ascii="Arial"/>
                              <w:b/>
                              <w:color w:val="231F20"/>
                              <w:spacing w:val="-12"/>
                              <w:sz w:val="18"/>
                            </w:rPr>
                            <w:t> </w:t>
                          </w:r>
                          <w:r>
                            <w:rPr>
                              <w:rFonts w:ascii="Arial"/>
                              <w:b/>
                              <w:color w:val="231F20"/>
                              <w:spacing w:val="-2"/>
                              <w:sz w:val="18"/>
                            </w:rPr>
                            <w:t>BLOCUS</w:t>
                          </w:r>
                        </w:p>
                      </w:txbxContent>
                    </wps:txbx>
                    <wps:bodyPr wrap="square" lIns="0" tIns="0" rIns="0" bIns="0" rtlCol="0">
                      <a:noAutofit/>
                    </wps:bodyPr>
                  </wps:wsp>
                </a:graphicData>
              </a:graphic>
            </wp:anchor>
          </w:drawing>
        </mc:Choice>
        <mc:Fallback>
          <w:pict>
            <v:shape style="position:absolute;margin-left:55.692902pt;margin-top:798.168213pt;width:139.550pt;height:11pt;mso-position-horizontal-relative:page;mso-position-vertical-relative:page;z-index:-17552384" type="#_x0000_t202" id="docshape332" filled="false" stroked="false">
              <v:textbox inset="0,0,0,0">
                <w:txbxContent>
                  <w:p>
                    <w:pPr>
                      <w:spacing w:line="206" w:lineRule="exact" w:before="0"/>
                      <w:ind w:left="20" w:right="0" w:firstLine="0"/>
                      <w:jc w:val="left"/>
                      <w:rPr>
                        <w:rFonts w:ascii="Arial"/>
                        <w:b/>
                        <w:sz w:val="18"/>
                      </w:rPr>
                    </w:pPr>
                    <w:r>
                      <w:rPr>
                        <w:rFonts w:ascii="Arial"/>
                        <w:b/>
                        <w:color w:val="231F20"/>
                        <w:sz w:val="18"/>
                      </w:rPr>
                      <w:t>RAPPORT</w:t>
                    </w:r>
                    <w:r>
                      <w:rPr>
                        <w:rFonts w:ascii="Arial"/>
                        <w:b/>
                        <w:color w:val="231F20"/>
                        <w:spacing w:val="-13"/>
                        <w:sz w:val="18"/>
                      </w:rPr>
                      <w:t> </w:t>
                    </w:r>
                    <w:r>
                      <w:rPr>
                        <w:rFonts w:ascii="Arial"/>
                        <w:b/>
                        <w:color w:val="231F20"/>
                        <w:sz w:val="18"/>
                      </w:rPr>
                      <w:t>CONTRE</w:t>
                    </w:r>
                    <w:r>
                      <w:rPr>
                        <w:rFonts w:ascii="Arial"/>
                        <w:b/>
                        <w:color w:val="231F20"/>
                        <w:spacing w:val="-12"/>
                        <w:sz w:val="18"/>
                      </w:rPr>
                      <w:t> </w:t>
                    </w:r>
                    <w:r>
                      <w:rPr>
                        <w:rFonts w:ascii="Arial"/>
                        <w:b/>
                        <w:color w:val="231F20"/>
                        <w:sz w:val="18"/>
                      </w:rPr>
                      <w:t>LE</w:t>
                    </w:r>
                    <w:r>
                      <w:rPr>
                        <w:rFonts w:ascii="Arial"/>
                        <w:b/>
                        <w:color w:val="231F20"/>
                        <w:spacing w:val="-12"/>
                        <w:sz w:val="18"/>
                      </w:rPr>
                      <w:t> </w:t>
                    </w:r>
                    <w:r>
                      <w:rPr>
                        <w:rFonts w:ascii="Arial"/>
                        <w:b/>
                        <w:color w:val="231F20"/>
                        <w:spacing w:val="-2"/>
                        <w:sz w:val="18"/>
                      </w:rPr>
                      <w:t>BLOCUS</w:t>
                    </w:r>
                  </w:p>
                </w:txbxContent>
              </v:textbox>
              <w10:wrap type="none"/>
            </v:shape>
          </w:pict>
        </mc:Fallback>
      </mc:AlternateContent>
    </w:r>
  </w:p>
</w:ftr>
</file>

<file path=word/footer1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footer1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footer1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upperRoman"/>
      <w:lvlText w:val="%1."/>
      <w:lvlJc w:val="left"/>
      <w:pPr>
        <w:ind w:left="1133" w:hanging="315"/>
        <w:jc w:val="right"/>
      </w:pPr>
      <w:rPr>
        <w:rFonts w:hint="default" w:ascii="Segoe UI" w:hAnsi="Segoe UI" w:eastAsia="Segoe UI" w:cs="Segoe UI"/>
        <w:b w:val="0"/>
        <w:bCs w:val="0"/>
        <w:i w:val="0"/>
        <w:iCs w:val="0"/>
        <w:color w:val="231F20"/>
        <w:spacing w:val="0"/>
        <w:w w:val="100"/>
        <w:sz w:val="24"/>
        <w:szCs w:val="24"/>
        <w:lang w:val="es-ES" w:eastAsia="en-US" w:bidi="ar-SA"/>
      </w:rPr>
    </w:lvl>
    <w:lvl w:ilvl="1">
      <w:start w:val="0"/>
      <w:numFmt w:val="bullet"/>
      <w:lvlText w:val="•"/>
      <w:lvlJc w:val="left"/>
      <w:pPr>
        <w:ind w:left="2216" w:hanging="315"/>
      </w:pPr>
      <w:rPr>
        <w:rFonts w:hint="default"/>
        <w:lang w:val="es-ES" w:eastAsia="en-US" w:bidi="ar-SA"/>
      </w:rPr>
    </w:lvl>
    <w:lvl w:ilvl="2">
      <w:start w:val="0"/>
      <w:numFmt w:val="bullet"/>
      <w:lvlText w:val="•"/>
      <w:lvlJc w:val="left"/>
      <w:pPr>
        <w:ind w:left="3293" w:hanging="315"/>
      </w:pPr>
      <w:rPr>
        <w:rFonts w:hint="default"/>
        <w:lang w:val="es-ES" w:eastAsia="en-US" w:bidi="ar-SA"/>
      </w:rPr>
    </w:lvl>
    <w:lvl w:ilvl="3">
      <w:start w:val="0"/>
      <w:numFmt w:val="bullet"/>
      <w:lvlText w:val="•"/>
      <w:lvlJc w:val="left"/>
      <w:pPr>
        <w:ind w:left="4369" w:hanging="315"/>
      </w:pPr>
      <w:rPr>
        <w:rFonts w:hint="default"/>
        <w:lang w:val="es-ES" w:eastAsia="en-US" w:bidi="ar-SA"/>
      </w:rPr>
    </w:lvl>
    <w:lvl w:ilvl="4">
      <w:start w:val="0"/>
      <w:numFmt w:val="bullet"/>
      <w:lvlText w:val="•"/>
      <w:lvlJc w:val="left"/>
      <w:pPr>
        <w:ind w:left="5446" w:hanging="315"/>
      </w:pPr>
      <w:rPr>
        <w:rFonts w:hint="default"/>
        <w:lang w:val="es-ES" w:eastAsia="en-US" w:bidi="ar-SA"/>
      </w:rPr>
    </w:lvl>
    <w:lvl w:ilvl="5">
      <w:start w:val="0"/>
      <w:numFmt w:val="bullet"/>
      <w:lvlText w:val="•"/>
      <w:lvlJc w:val="left"/>
      <w:pPr>
        <w:ind w:left="6522" w:hanging="315"/>
      </w:pPr>
      <w:rPr>
        <w:rFonts w:hint="default"/>
        <w:lang w:val="es-ES" w:eastAsia="en-US" w:bidi="ar-SA"/>
      </w:rPr>
    </w:lvl>
    <w:lvl w:ilvl="6">
      <w:start w:val="0"/>
      <w:numFmt w:val="bullet"/>
      <w:lvlText w:val="•"/>
      <w:lvlJc w:val="left"/>
      <w:pPr>
        <w:ind w:left="7599" w:hanging="315"/>
      </w:pPr>
      <w:rPr>
        <w:rFonts w:hint="default"/>
        <w:lang w:val="es-ES" w:eastAsia="en-US" w:bidi="ar-SA"/>
      </w:rPr>
    </w:lvl>
    <w:lvl w:ilvl="7">
      <w:start w:val="0"/>
      <w:numFmt w:val="bullet"/>
      <w:lvlText w:val="•"/>
      <w:lvlJc w:val="left"/>
      <w:pPr>
        <w:ind w:left="8675" w:hanging="315"/>
      </w:pPr>
      <w:rPr>
        <w:rFonts w:hint="default"/>
        <w:lang w:val="es-ES" w:eastAsia="en-US" w:bidi="ar-SA"/>
      </w:rPr>
    </w:lvl>
    <w:lvl w:ilvl="8">
      <w:start w:val="0"/>
      <w:numFmt w:val="bullet"/>
      <w:lvlText w:val="•"/>
      <w:lvlJc w:val="left"/>
      <w:pPr>
        <w:ind w:left="9752" w:hanging="315"/>
      </w:pPr>
      <w:rPr>
        <w:rFonts w:hint="default"/>
        <w:lang w:val="es-ES" w:eastAsia="en-US" w:bidi="ar-SA"/>
      </w:rPr>
    </w:lvl>
  </w:abstractNum>
  <w:abstractNum w:abstractNumId="9">
    <w:multiLevelType w:val="hybridMultilevel"/>
    <w:lvl w:ilvl="0">
      <w:start w:val="1"/>
      <w:numFmt w:val="upperRoman"/>
      <w:lvlText w:val="%1."/>
      <w:lvlJc w:val="left"/>
      <w:pPr>
        <w:ind w:left="1133" w:hanging="245"/>
        <w:jc w:val="right"/>
      </w:pPr>
      <w:rPr>
        <w:rFonts w:hint="default" w:ascii="Segoe UI" w:hAnsi="Segoe UI" w:eastAsia="Segoe UI" w:cs="Segoe UI"/>
        <w:b w:val="0"/>
        <w:bCs w:val="0"/>
        <w:i w:val="0"/>
        <w:iCs w:val="0"/>
        <w:color w:val="231F20"/>
        <w:spacing w:val="0"/>
        <w:w w:val="100"/>
        <w:sz w:val="24"/>
        <w:szCs w:val="24"/>
        <w:lang w:val="es-ES" w:eastAsia="en-US" w:bidi="ar-SA"/>
      </w:rPr>
    </w:lvl>
    <w:lvl w:ilvl="1">
      <w:start w:val="0"/>
      <w:numFmt w:val="bullet"/>
      <w:lvlText w:val="•"/>
      <w:lvlJc w:val="left"/>
      <w:pPr>
        <w:ind w:left="2216" w:hanging="245"/>
      </w:pPr>
      <w:rPr>
        <w:rFonts w:hint="default"/>
        <w:lang w:val="es-ES" w:eastAsia="en-US" w:bidi="ar-SA"/>
      </w:rPr>
    </w:lvl>
    <w:lvl w:ilvl="2">
      <w:start w:val="0"/>
      <w:numFmt w:val="bullet"/>
      <w:lvlText w:val="•"/>
      <w:lvlJc w:val="left"/>
      <w:pPr>
        <w:ind w:left="3293" w:hanging="245"/>
      </w:pPr>
      <w:rPr>
        <w:rFonts w:hint="default"/>
        <w:lang w:val="es-ES" w:eastAsia="en-US" w:bidi="ar-SA"/>
      </w:rPr>
    </w:lvl>
    <w:lvl w:ilvl="3">
      <w:start w:val="0"/>
      <w:numFmt w:val="bullet"/>
      <w:lvlText w:val="•"/>
      <w:lvlJc w:val="left"/>
      <w:pPr>
        <w:ind w:left="4369" w:hanging="245"/>
      </w:pPr>
      <w:rPr>
        <w:rFonts w:hint="default"/>
        <w:lang w:val="es-ES" w:eastAsia="en-US" w:bidi="ar-SA"/>
      </w:rPr>
    </w:lvl>
    <w:lvl w:ilvl="4">
      <w:start w:val="0"/>
      <w:numFmt w:val="bullet"/>
      <w:lvlText w:val="•"/>
      <w:lvlJc w:val="left"/>
      <w:pPr>
        <w:ind w:left="5446" w:hanging="245"/>
      </w:pPr>
      <w:rPr>
        <w:rFonts w:hint="default"/>
        <w:lang w:val="es-ES" w:eastAsia="en-US" w:bidi="ar-SA"/>
      </w:rPr>
    </w:lvl>
    <w:lvl w:ilvl="5">
      <w:start w:val="0"/>
      <w:numFmt w:val="bullet"/>
      <w:lvlText w:val="•"/>
      <w:lvlJc w:val="left"/>
      <w:pPr>
        <w:ind w:left="6522" w:hanging="245"/>
      </w:pPr>
      <w:rPr>
        <w:rFonts w:hint="default"/>
        <w:lang w:val="es-ES" w:eastAsia="en-US" w:bidi="ar-SA"/>
      </w:rPr>
    </w:lvl>
    <w:lvl w:ilvl="6">
      <w:start w:val="0"/>
      <w:numFmt w:val="bullet"/>
      <w:lvlText w:val="•"/>
      <w:lvlJc w:val="left"/>
      <w:pPr>
        <w:ind w:left="7599" w:hanging="245"/>
      </w:pPr>
      <w:rPr>
        <w:rFonts w:hint="default"/>
        <w:lang w:val="es-ES" w:eastAsia="en-US" w:bidi="ar-SA"/>
      </w:rPr>
    </w:lvl>
    <w:lvl w:ilvl="7">
      <w:start w:val="0"/>
      <w:numFmt w:val="bullet"/>
      <w:lvlText w:val="•"/>
      <w:lvlJc w:val="left"/>
      <w:pPr>
        <w:ind w:left="8675" w:hanging="245"/>
      </w:pPr>
      <w:rPr>
        <w:rFonts w:hint="default"/>
        <w:lang w:val="es-ES" w:eastAsia="en-US" w:bidi="ar-SA"/>
      </w:rPr>
    </w:lvl>
    <w:lvl w:ilvl="8">
      <w:start w:val="0"/>
      <w:numFmt w:val="bullet"/>
      <w:lvlText w:val="•"/>
      <w:lvlJc w:val="left"/>
      <w:pPr>
        <w:ind w:left="9752" w:hanging="245"/>
      </w:pPr>
      <w:rPr>
        <w:rFonts w:hint="default"/>
        <w:lang w:val="es-ES" w:eastAsia="en-US" w:bidi="ar-SA"/>
      </w:rPr>
    </w:lvl>
  </w:abstractNum>
  <w:abstractNum w:abstractNumId="8">
    <w:multiLevelType w:val="hybridMultilevel"/>
    <w:lvl w:ilvl="0">
      <w:start w:val="4"/>
      <w:numFmt w:val="decimal"/>
      <w:lvlText w:val="%1."/>
      <w:lvlJc w:val="left"/>
      <w:pPr>
        <w:ind w:left="413" w:hanging="256"/>
        <w:jc w:val="left"/>
      </w:pPr>
      <w:rPr>
        <w:rFonts w:hint="default" w:ascii="Segoe UI" w:hAnsi="Segoe UI" w:eastAsia="Segoe UI" w:cs="Segoe UI"/>
        <w:b/>
        <w:bCs/>
        <w:i w:val="0"/>
        <w:iCs w:val="0"/>
        <w:color w:val="231F20"/>
        <w:spacing w:val="-3"/>
        <w:w w:val="100"/>
        <w:sz w:val="24"/>
        <w:szCs w:val="24"/>
        <w:lang w:val="es-ES" w:eastAsia="en-US" w:bidi="ar-SA"/>
      </w:rPr>
    </w:lvl>
    <w:lvl w:ilvl="1">
      <w:start w:val="1"/>
      <w:numFmt w:val="decimal"/>
      <w:lvlText w:val="%2."/>
      <w:lvlJc w:val="left"/>
      <w:pPr>
        <w:ind w:left="1133" w:hanging="368"/>
        <w:jc w:val="left"/>
      </w:pPr>
      <w:rPr>
        <w:rFonts w:hint="default" w:ascii="Segoe UI" w:hAnsi="Segoe UI" w:eastAsia="Segoe UI" w:cs="Segoe UI"/>
        <w:b/>
        <w:bCs/>
        <w:i w:val="0"/>
        <w:iCs w:val="0"/>
        <w:color w:val="231F20"/>
        <w:spacing w:val="-3"/>
        <w:w w:val="100"/>
        <w:sz w:val="24"/>
        <w:szCs w:val="24"/>
        <w:lang w:val="es-ES" w:eastAsia="en-US" w:bidi="ar-SA"/>
      </w:rPr>
    </w:lvl>
    <w:lvl w:ilvl="2">
      <w:start w:val="0"/>
      <w:numFmt w:val="bullet"/>
      <w:lvlText w:val="•"/>
      <w:lvlJc w:val="left"/>
      <w:pPr>
        <w:ind w:left="1714" w:hanging="368"/>
      </w:pPr>
      <w:rPr>
        <w:rFonts w:hint="default"/>
        <w:lang w:val="es-ES" w:eastAsia="en-US" w:bidi="ar-SA"/>
      </w:rPr>
    </w:lvl>
    <w:lvl w:ilvl="3">
      <w:start w:val="0"/>
      <w:numFmt w:val="bullet"/>
      <w:lvlText w:val="•"/>
      <w:lvlJc w:val="left"/>
      <w:pPr>
        <w:ind w:left="2288" w:hanging="368"/>
      </w:pPr>
      <w:rPr>
        <w:rFonts w:hint="default"/>
        <w:lang w:val="es-ES" w:eastAsia="en-US" w:bidi="ar-SA"/>
      </w:rPr>
    </w:lvl>
    <w:lvl w:ilvl="4">
      <w:start w:val="0"/>
      <w:numFmt w:val="bullet"/>
      <w:lvlText w:val="•"/>
      <w:lvlJc w:val="left"/>
      <w:pPr>
        <w:ind w:left="2863" w:hanging="368"/>
      </w:pPr>
      <w:rPr>
        <w:rFonts w:hint="default"/>
        <w:lang w:val="es-ES" w:eastAsia="en-US" w:bidi="ar-SA"/>
      </w:rPr>
    </w:lvl>
    <w:lvl w:ilvl="5">
      <w:start w:val="0"/>
      <w:numFmt w:val="bullet"/>
      <w:lvlText w:val="•"/>
      <w:lvlJc w:val="left"/>
      <w:pPr>
        <w:ind w:left="3437" w:hanging="368"/>
      </w:pPr>
      <w:rPr>
        <w:rFonts w:hint="default"/>
        <w:lang w:val="es-ES" w:eastAsia="en-US" w:bidi="ar-SA"/>
      </w:rPr>
    </w:lvl>
    <w:lvl w:ilvl="6">
      <w:start w:val="0"/>
      <w:numFmt w:val="bullet"/>
      <w:lvlText w:val="•"/>
      <w:lvlJc w:val="left"/>
      <w:pPr>
        <w:ind w:left="4012" w:hanging="368"/>
      </w:pPr>
      <w:rPr>
        <w:rFonts w:hint="default"/>
        <w:lang w:val="es-ES" w:eastAsia="en-US" w:bidi="ar-SA"/>
      </w:rPr>
    </w:lvl>
    <w:lvl w:ilvl="7">
      <w:start w:val="0"/>
      <w:numFmt w:val="bullet"/>
      <w:lvlText w:val="•"/>
      <w:lvlJc w:val="left"/>
      <w:pPr>
        <w:ind w:left="4586" w:hanging="368"/>
      </w:pPr>
      <w:rPr>
        <w:rFonts w:hint="default"/>
        <w:lang w:val="es-ES" w:eastAsia="en-US" w:bidi="ar-SA"/>
      </w:rPr>
    </w:lvl>
    <w:lvl w:ilvl="8">
      <w:start w:val="0"/>
      <w:numFmt w:val="bullet"/>
      <w:lvlText w:val="•"/>
      <w:lvlJc w:val="left"/>
      <w:pPr>
        <w:ind w:left="5161" w:hanging="368"/>
      </w:pPr>
      <w:rPr>
        <w:rFonts w:hint="default"/>
        <w:lang w:val="es-ES" w:eastAsia="en-US" w:bidi="ar-SA"/>
      </w:rPr>
    </w:lvl>
  </w:abstractNum>
  <w:abstractNum w:abstractNumId="7">
    <w:multiLevelType w:val="hybridMultilevel"/>
    <w:lvl w:ilvl="0">
      <w:start w:val="1"/>
      <w:numFmt w:val="upperRoman"/>
      <w:lvlText w:val="%1."/>
      <w:lvlJc w:val="left"/>
      <w:pPr>
        <w:ind w:left="1133" w:hanging="187"/>
        <w:jc w:val="right"/>
      </w:pPr>
      <w:rPr>
        <w:rFonts w:hint="default" w:ascii="Segoe UI" w:hAnsi="Segoe UI" w:eastAsia="Segoe UI" w:cs="Segoe UI"/>
        <w:b w:val="0"/>
        <w:bCs w:val="0"/>
        <w:i w:val="0"/>
        <w:iCs w:val="0"/>
        <w:color w:val="231F20"/>
        <w:spacing w:val="0"/>
        <w:w w:val="100"/>
        <w:sz w:val="24"/>
        <w:szCs w:val="24"/>
        <w:lang w:val="es-ES" w:eastAsia="en-US" w:bidi="ar-SA"/>
      </w:rPr>
    </w:lvl>
    <w:lvl w:ilvl="1">
      <w:start w:val="0"/>
      <w:numFmt w:val="bullet"/>
      <w:lvlText w:val="•"/>
      <w:lvlJc w:val="left"/>
      <w:pPr>
        <w:ind w:left="2216" w:hanging="187"/>
      </w:pPr>
      <w:rPr>
        <w:rFonts w:hint="default"/>
        <w:lang w:val="es-ES" w:eastAsia="en-US" w:bidi="ar-SA"/>
      </w:rPr>
    </w:lvl>
    <w:lvl w:ilvl="2">
      <w:start w:val="0"/>
      <w:numFmt w:val="bullet"/>
      <w:lvlText w:val="•"/>
      <w:lvlJc w:val="left"/>
      <w:pPr>
        <w:ind w:left="3293" w:hanging="187"/>
      </w:pPr>
      <w:rPr>
        <w:rFonts w:hint="default"/>
        <w:lang w:val="es-ES" w:eastAsia="en-US" w:bidi="ar-SA"/>
      </w:rPr>
    </w:lvl>
    <w:lvl w:ilvl="3">
      <w:start w:val="0"/>
      <w:numFmt w:val="bullet"/>
      <w:lvlText w:val="•"/>
      <w:lvlJc w:val="left"/>
      <w:pPr>
        <w:ind w:left="4369" w:hanging="187"/>
      </w:pPr>
      <w:rPr>
        <w:rFonts w:hint="default"/>
        <w:lang w:val="es-ES" w:eastAsia="en-US" w:bidi="ar-SA"/>
      </w:rPr>
    </w:lvl>
    <w:lvl w:ilvl="4">
      <w:start w:val="0"/>
      <w:numFmt w:val="bullet"/>
      <w:lvlText w:val="•"/>
      <w:lvlJc w:val="left"/>
      <w:pPr>
        <w:ind w:left="5446" w:hanging="187"/>
      </w:pPr>
      <w:rPr>
        <w:rFonts w:hint="default"/>
        <w:lang w:val="es-ES" w:eastAsia="en-US" w:bidi="ar-SA"/>
      </w:rPr>
    </w:lvl>
    <w:lvl w:ilvl="5">
      <w:start w:val="0"/>
      <w:numFmt w:val="bullet"/>
      <w:lvlText w:val="•"/>
      <w:lvlJc w:val="left"/>
      <w:pPr>
        <w:ind w:left="6522" w:hanging="187"/>
      </w:pPr>
      <w:rPr>
        <w:rFonts w:hint="default"/>
        <w:lang w:val="es-ES" w:eastAsia="en-US" w:bidi="ar-SA"/>
      </w:rPr>
    </w:lvl>
    <w:lvl w:ilvl="6">
      <w:start w:val="0"/>
      <w:numFmt w:val="bullet"/>
      <w:lvlText w:val="•"/>
      <w:lvlJc w:val="left"/>
      <w:pPr>
        <w:ind w:left="7599" w:hanging="187"/>
      </w:pPr>
      <w:rPr>
        <w:rFonts w:hint="default"/>
        <w:lang w:val="es-ES" w:eastAsia="en-US" w:bidi="ar-SA"/>
      </w:rPr>
    </w:lvl>
    <w:lvl w:ilvl="7">
      <w:start w:val="0"/>
      <w:numFmt w:val="bullet"/>
      <w:lvlText w:val="•"/>
      <w:lvlJc w:val="left"/>
      <w:pPr>
        <w:ind w:left="8675" w:hanging="187"/>
      </w:pPr>
      <w:rPr>
        <w:rFonts w:hint="default"/>
        <w:lang w:val="es-ES" w:eastAsia="en-US" w:bidi="ar-SA"/>
      </w:rPr>
    </w:lvl>
    <w:lvl w:ilvl="8">
      <w:start w:val="0"/>
      <w:numFmt w:val="bullet"/>
      <w:lvlText w:val="•"/>
      <w:lvlJc w:val="left"/>
      <w:pPr>
        <w:ind w:left="9752" w:hanging="187"/>
      </w:pPr>
      <w:rPr>
        <w:rFonts w:hint="default"/>
        <w:lang w:val="es-ES" w:eastAsia="en-US" w:bidi="ar-SA"/>
      </w:rPr>
    </w:lvl>
  </w:abstractNum>
  <w:abstractNum w:abstractNumId="6">
    <w:multiLevelType w:val="hybridMultilevel"/>
    <w:lvl w:ilvl="0">
      <w:start w:val="0"/>
      <w:numFmt w:val="bullet"/>
      <w:lvlText w:val="-"/>
      <w:lvlJc w:val="left"/>
      <w:pPr>
        <w:ind w:left="673" w:hanging="232"/>
      </w:pPr>
      <w:rPr>
        <w:rFonts w:hint="default" w:ascii="Segoe UI Black" w:hAnsi="Segoe UI Black" w:eastAsia="Segoe UI Black" w:cs="Segoe UI Black"/>
        <w:b/>
        <w:bCs/>
        <w:i w:val="0"/>
        <w:iCs w:val="0"/>
        <w:color w:val="231F20"/>
        <w:spacing w:val="0"/>
        <w:w w:val="100"/>
        <w:sz w:val="24"/>
        <w:szCs w:val="24"/>
        <w:lang w:val="es-ES" w:eastAsia="en-US" w:bidi="ar-SA"/>
      </w:rPr>
    </w:lvl>
    <w:lvl w:ilvl="1">
      <w:start w:val="0"/>
      <w:numFmt w:val="bullet"/>
      <w:lvlText w:val="•"/>
      <w:lvlJc w:val="left"/>
      <w:pPr>
        <w:ind w:left="1208" w:hanging="232"/>
      </w:pPr>
      <w:rPr>
        <w:rFonts w:hint="default"/>
        <w:lang w:val="es-ES" w:eastAsia="en-US" w:bidi="ar-SA"/>
      </w:rPr>
    </w:lvl>
    <w:lvl w:ilvl="2">
      <w:start w:val="0"/>
      <w:numFmt w:val="bullet"/>
      <w:lvlText w:val="•"/>
      <w:lvlJc w:val="left"/>
      <w:pPr>
        <w:ind w:left="1737" w:hanging="232"/>
      </w:pPr>
      <w:rPr>
        <w:rFonts w:hint="default"/>
        <w:lang w:val="es-ES" w:eastAsia="en-US" w:bidi="ar-SA"/>
      </w:rPr>
    </w:lvl>
    <w:lvl w:ilvl="3">
      <w:start w:val="0"/>
      <w:numFmt w:val="bullet"/>
      <w:lvlText w:val="•"/>
      <w:lvlJc w:val="left"/>
      <w:pPr>
        <w:ind w:left="2266" w:hanging="232"/>
      </w:pPr>
      <w:rPr>
        <w:rFonts w:hint="default"/>
        <w:lang w:val="es-ES" w:eastAsia="en-US" w:bidi="ar-SA"/>
      </w:rPr>
    </w:lvl>
    <w:lvl w:ilvl="4">
      <w:start w:val="0"/>
      <w:numFmt w:val="bullet"/>
      <w:lvlText w:val="•"/>
      <w:lvlJc w:val="left"/>
      <w:pPr>
        <w:ind w:left="2795" w:hanging="232"/>
      </w:pPr>
      <w:rPr>
        <w:rFonts w:hint="default"/>
        <w:lang w:val="es-ES" w:eastAsia="en-US" w:bidi="ar-SA"/>
      </w:rPr>
    </w:lvl>
    <w:lvl w:ilvl="5">
      <w:start w:val="0"/>
      <w:numFmt w:val="bullet"/>
      <w:lvlText w:val="•"/>
      <w:lvlJc w:val="left"/>
      <w:pPr>
        <w:ind w:left="3324" w:hanging="232"/>
      </w:pPr>
      <w:rPr>
        <w:rFonts w:hint="default"/>
        <w:lang w:val="es-ES" w:eastAsia="en-US" w:bidi="ar-SA"/>
      </w:rPr>
    </w:lvl>
    <w:lvl w:ilvl="6">
      <w:start w:val="0"/>
      <w:numFmt w:val="bullet"/>
      <w:lvlText w:val="•"/>
      <w:lvlJc w:val="left"/>
      <w:pPr>
        <w:ind w:left="3853" w:hanging="232"/>
      </w:pPr>
      <w:rPr>
        <w:rFonts w:hint="default"/>
        <w:lang w:val="es-ES" w:eastAsia="en-US" w:bidi="ar-SA"/>
      </w:rPr>
    </w:lvl>
    <w:lvl w:ilvl="7">
      <w:start w:val="0"/>
      <w:numFmt w:val="bullet"/>
      <w:lvlText w:val="•"/>
      <w:lvlJc w:val="left"/>
      <w:pPr>
        <w:ind w:left="4381" w:hanging="232"/>
      </w:pPr>
      <w:rPr>
        <w:rFonts w:hint="default"/>
        <w:lang w:val="es-ES" w:eastAsia="en-US" w:bidi="ar-SA"/>
      </w:rPr>
    </w:lvl>
    <w:lvl w:ilvl="8">
      <w:start w:val="0"/>
      <w:numFmt w:val="bullet"/>
      <w:lvlText w:val="•"/>
      <w:lvlJc w:val="left"/>
      <w:pPr>
        <w:ind w:left="4910" w:hanging="232"/>
      </w:pPr>
      <w:rPr>
        <w:rFonts w:hint="default"/>
        <w:lang w:val="es-ES" w:eastAsia="en-US" w:bidi="ar-SA"/>
      </w:rPr>
    </w:lvl>
  </w:abstractNum>
  <w:abstractNum w:abstractNumId="5">
    <w:multiLevelType w:val="hybridMultilevel"/>
    <w:lvl w:ilvl="0">
      <w:start w:val="1"/>
      <w:numFmt w:val="decimal"/>
      <w:lvlText w:val="%1."/>
      <w:lvlJc w:val="left"/>
      <w:pPr>
        <w:ind w:left="412" w:hanging="396"/>
        <w:jc w:val="right"/>
      </w:pPr>
      <w:rPr>
        <w:rFonts w:hint="default" w:ascii="Segoe UI" w:hAnsi="Segoe UI" w:eastAsia="Segoe UI" w:cs="Segoe UI"/>
        <w:b/>
        <w:bCs/>
        <w:i w:val="0"/>
        <w:iCs w:val="0"/>
        <w:color w:val="231F20"/>
        <w:spacing w:val="0"/>
        <w:w w:val="100"/>
        <w:sz w:val="24"/>
        <w:szCs w:val="24"/>
        <w:lang w:val="es-ES" w:eastAsia="en-US" w:bidi="ar-SA"/>
      </w:rPr>
    </w:lvl>
    <w:lvl w:ilvl="1">
      <w:start w:val="0"/>
      <w:numFmt w:val="bullet"/>
      <w:lvlText w:val="•"/>
      <w:lvlJc w:val="left"/>
      <w:pPr>
        <w:ind w:left="974" w:hanging="396"/>
      </w:pPr>
      <w:rPr>
        <w:rFonts w:hint="default"/>
        <w:lang w:val="es-ES" w:eastAsia="en-US" w:bidi="ar-SA"/>
      </w:rPr>
    </w:lvl>
    <w:lvl w:ilvl="2">
      <w:start w:val="0"/>
      <w:numFmt w:val="bullet"/>
      <w:lvlText w:val="•"/>
      <w:lvlJc w:val="left"/>
      <w:pPr>
        <w:ind w:left="1529" w:hanging="396"/>
      </w:pPr>
      <w:rPr>
        <w:rFonts w:hint="default"/>
        <w:lang w:val="es-ES" w:eastAsia="en-US" w:bidi="ar-SA"/>
      </w:rPr>
    </w:lvl>
    <w:lvl w:ilvl="3">
      <w:start w:val="0"/>
      <w:numFmt w:val="bullet"/>
      <w:lvlText w:val="•"/>
      <w:lvlJc w:val="left"/>
      <w:pPr>
        <w:ind w:left="2084" w:hanging="396"/>
      </w:pPr>
      <w:rPr>
        <w:rFonts w:hint="default"/>
        <w:lang w:val="es-ES" w:eastAsia="en-US" w:bidi="ar-SA"/>
      </w:rPr>
    </w:lvl>
    <w:lvl w:ilvl="4">
      <w:start w:val="0"/>
      <w:numFmt w:val="bullet"/>
      <w:lvlText w:val="•"/>
      <w:lvlJc w:val="left"/>
      <w:pPr>
        <w:ind w:left="2639" w:hanging="396"/>
      </w:pPr>
      <w:rPr>
        <w:rFonts w:hint="default"/>
        <w:lang w:val="es-ES" w:eastAsia="en-US" w:bidi="ar-SA"/>
      </w:rPr>
    </w:lvl>
    <w:lvl w:ilvl="5">
      <w:start w:val="0"/>
      <w:numFmt w:val="bullet"/>
      <w:lvlText w:val="•"/>
      <w:lvlJc w:val="left"/>
      <w:pPr>
        <w:ind w:left="3194" w:hanging="396"/>
      </w:pPr>
      <w:rPr>
        <w:rFonts w:hint="default"/>
        <w:lang w:val="es-ES" w:eastAsia="en-US" w:bidi="ar-SA"/>
      </w:rPr>
    </w:lvl>
    <w:lvl w:ilvl="6">
      <w:start w:val="0"/>
      <w:numFmt w:val="bullet"/>
      <w:lvlText w:val="•"/>
      <w:lvlJc w:val="left"/>
      <w:pPr>
        <w:ind w:left="3749" w:hanging="396"/>
      </w:pPr>
      <w:rPr>
        <w:rFonts w:hint="default"/>
        <w:lang w:val="es-ES" w:eastAsia="en-US" w:bidi="ar-SA"/>
      </w:rPr>
    </w:lvl>
    <w:lvl w:ilvl="7">
      <w:start w:val="0"/>
      <w:numFmt w:val="bullet"/>
      <w:lvlText w:val="•"/>
      <w:lvlJc w:val="left"/>
      <w:pPr>
        <w:ind w:left="4304" w:hanging="396"/>
      </w:pPr>
      <w:rPr>
        <w:rFonts w:hint="default"/>
        <w:lang w:val="es-ES" w:eastAsia="en-US" w:bidi="ar-SA"/>
      </w:rPr>
    </w:lvl>
    <w:lvl w:ilvl="8">
      <w:start w:val="0"/>
      <w:numFmt w:val="bullet"/>
      <w:lvlText w:val="•"/>
      <w:lvlJc w:val="left"/>
      <w:pPr>
        <w:ind w:left="4858" w:hanging="396"/>
      </w:pPr>
      <w:rPr>
        <w:rFonts w:hint="default"/>
        <w:lang w:val="es-ES" w:eastAsia="en-US" w:bidi="ar-SA"/>
      </w:rPr>
    </w:lvl>
  </w:abstractNum>
  <w:abstractNum w:abstractNumId="3">
    <w:multiLevelType w:val="hybridMultilevel"/>
    <w:lvl w:ilvl="0">
      <w:start w:val="0"/>
      <w:numFmt w:val="bullet"/>
      <w:lvlText w:val="-"/>
      <w:lvlJc w:val="left"/>
      <w:pPr>
        <w:ind w:left="1394" w:hanging="230"/>
      </w:pPr>
      <w:rPr>
        <w:rFonts w:hint="default" w:ascii="Segoe UI Black" w:hAnsi="Segoe UI Black" w:eastAsia="Segoe UI Black" w:cs="Segoe UI Black"/>
        <w:spacing w:val="0"/>
        <w:w w:val="100"/>
        <w:lang w:val="es-ES" w:eastAsia="en-US" w:bidi="ar-SA"/>
      </w:rPr>
    </w:lvl>
    <w:lvl w:ilvl="1">
      <w:start w:val="0"/>
      <w:numFmt w:val="bullet"/>
      <w:lvlText w:val="•"/>
      <w:lvlJc w:val="left"/>
      <w:pPr>
        <w:ind w:left="1815" w:hanging="230"/>
      </w:pPr>
      <w:rPr>
        <w:rFonts w:hint="default"/>
        <w:lang w:val="es-ES" w:eastAsia="en-US" w:bidi="ar-SA"/>
      </w:rPr>
    </w:lvl>
    <w:lvl w:ilvl="2">
      <w:start w:val="0"/>
      <w:numFmt w:val="bullet"/>
      <w:lvlText w:val="•"/>
      <w:lvlJc w:val="left"/>
      <w:pPr>
        <w:ind w:left="2231" w:hanging="230"/>
      </w:pPr>
      <w:rPr>
        <w:rFonts w:hint="default"/>
        <w:lang w:val="es-ES" w:eastAsia="en-US" w:bidi="ar-SA"/>
      </w:rPr>
    </w:lvl>
    <w:lvl w:ilvl="3">
      <w:start w:val="0"/>
      <w:numFmt w:val="bullet"/>
      <w:lvlText w:val="•"/>
      <w:lvlJc w:val="left"/>
      <w:pPr>
        <w:ind w:left="2647" w:hanging="230"/>
      </w:pPr>
      <w:rPr>
        <w:rFonts w:hint="default"/>
        <w:lang w:val="es-ES" w:eastAsia="en-US" w:bidi="ar-SA"/>
      </w:rPr>
    </w:lvl>
    <w:lvl w:ilvl="4">
      <w:start w:val="0"/>
      <w:numFmt w:val="bullet"/>
      <w:lvlText w:val="•"/>
      <w:lvlJc w:val="left"/>
      <w:pPr>
        <w:ind w:left="3063" w:hanging="230"/>
      </w:pPr>
      <w:rPr>
        <w:rFonts w:hint="default"/>
        <w:lang w:val="es-ES" w:eastAsia="en-US" w:bidi="ar-SA"/>
      </w:rPr>
    </w:lvl>
    <w:lvl w:ilvl="5">
      <w:start w:val="0"/>
      <w:numFmt w:val="bullet"/>
      <w:lvlText w:val="•"/>
      <w:lvlJc w:val="left"/>
      <w:pPr>
        <w:ind w:left="3479" w:hanging="230"/>
      </w:pPr>
      <w:rPr>
        <w:rFonts w:hint="default"/>
        <w:lang w:val="es-ES" w:eastAsia="en-US" w:bidi="ar-SA"/>
      </w:rPr>
    </w:lvl>
    <w:lvl w:ilvl="6">
      <w:start w:val="0"/>
      <w:numFmt w:val="bullet"/>
      <w:lvlText w:val="•"/>
      <w:lvlJc w:val="left"/>
      <w:pPr>
        <w:ind w:left="3895" w:hanging="230"/>
      </w:pPr>
      <w:rPr>
        <w:rFonts w:hint="default"/>
        <w:lang w:val="es-ES" w:eastAsia="en-US" w:bidi="ar-SA"/>
      </w:rPr>
    </w:lvl>
    <w:lvl w:ilvl="7">
      <w:start w:val="0"/>
      <w:numFmt w:val="bullet"/>
      <w:lvlText w:val="•"/>
      <w:lvlJc w:val="left"/>
      <w:pPr>
        <w:ind w:left="4311" w:hanging="230"/>
      </w:pPr>
      <w:rPr>
        <w:rFonts w:hint="default"/>
        <w:lang w:val="es-ES" w:eastAsia="en-US" w:bidi="ar-SA"/>
      </w:rPr>
    </w:lvl>
    <w:lvl w:ilvl="8">
      <w:start w:val="0"/>
      <w:numFmt w:val="bullet"/>
      <w:lvlText w:val="•"/>
      <w:lvlJc w:val="left"/>
      <w:pPr>
        <w:ind w:left="4727" w:hanging="230"/>
      </w:pPr>
      <w:rPr>
        <w:rFonts w:hint="default"/>
        <w:lang w:val="es-ES" w:eastAsia="en-US" w:bidi="ar-SA"/>
      </w:rPr>
    </w:lvl>
  </w:abstractNum>
  <w:abstractNum w:abstractNumId="2">
    <w:multiLevelType w:val="hybridMultilevel"/>
    <w:lvl w:ilvl="0">
      <w:start w:val="1"/>
      <w:numFmt w:val="upperRoman"/>
      <w:lvlText w:val="%1."/>
      <w:lvlJc w:val="left"/>
      <w:pPr>
        <w:ind w:left="327" w:hanging="195"/>
        <w:jc w:val="left"/>
      </w:pPr>
      <w:rPr>
        <w:rFonts w:hint="default" w:ascii="Segoe UI Semibold" w:hAnsi="Segoe UI Semibold" w:eastAsia="Segoe UI Semibold" w:cs="Segoe UI Semibold"/>
        <w:b/>
        <w:bCs/>
        <w:i/>
        <w:iCs/>
        <w:color w:val="231F20"/>
        <w:spacing w:val="-1"/>
        <w:w w:val="100"/>
        <w:sz w:val="24"/>
        <w:szCs w:val="24"/>
        <w:lang w:val="es-ES" w:eastAsia="en-US" w:bidi="ar-SA"/>
      </w:rPr>
    </w:lvl>
    <w:lvl w:ilvl="1">
      <w:start w:val="1"/>
      <w:numFmt w:val="decimalZero"/>
      <w:lvlText w:val="%2."/>
      <w:lvlJc w:val="left"/>
      <w:pPr>
        <w:ind w:left="1474" w:hanging="408"/>
        <w:jc w:val="right"/>
      </w:pPr>
      <w:rPr>
        <w:rFonts w:hint="default" w:ascii="Segoe UI" w:hAnsi="Segoe UI" w:eastAsia="Segoe UI" w:cs="Segoe UI"/>
        <w:b/>
        <w:bCs/>
        <w:i w:val="0"/>
        <w:iCs w:val="0"/>
        <w:color w:val="B52628"/>
        <w:spacing w:val="0"/>
        <w:w w:val="100"/>
        <w:sz w:val="24"/>
        <w:szCs w:val="24"/>
        <w:lang w:val="es-ES" w:eastAsia="en-US" w:bidi="ar-SA"/>
      </w:rPr>
    </w:lvl>
    <w:lvl w:ilvl="2">
      <w:start w:val="1"/>
      <w:numFmt w:val="upperRoman"/>
      <w:lvlText w:val="%3."/>
      <w:lvlJc w:val="left"/>
      <w:pPr>
        <w:ind w:left="516" w:hanging="188"/>
        <w:jc w:val="left"/>
      </w:pPr>
      <w:rPr>
        <w:rFonts w:hint="default" w:ascii="Segoe UI Semibold" w:hAnsi="Segoe UI Semibold" w:eastAsia="Segoe UI Semibold" w:cs="Segoe UI Semibold"/>
        <w:b/>
        <w:bCs/>
        <w:i/>
        <w:iCs/>
        <w:color w:val="231F20"/>
        <w:spacing w:val="-3"/>
        <w:w w:val="100"/>
        <w:sz w:val="24"/>
        <w:szCs w:val="24"/>
        <w:lang w:val="es-ES" w:eastAsia="en-US" w:bidi="ar-SA"/>
      </w:rPr>
    </w:lvl>
    <w:lvl w:ilvl="3">
      <w:start w:val="1"/>
      <w:numFmt w:val="decimal"/>
      <w:lvlText w:val="%4."/>
      <w:lvlJc w:val="left"/>
      <w:pPr>
        <w:ind w:left="413" w:hanging="356"/>
        <w:jc w:val="right"/>
      </w:pPr>
      <w:rPr>
        <w:rFonts w:hint="default" w:ascii="Segoe UI" w:hAnsi="Segoe UI" w:eastAsia="Segoe UI" w:cs="Segoe UI"/>
        <w:b/>
        <w:bCs/>
        <w:i w:val="0"/>
        <w:iCs w:val="0"/>
        <w:color w:val="231F20"/>
        <w:spacing w:val="-3"/>
        <w:w w:val="100"/>
        <w:sz w:val="24"/>
        <w:szCs w:val="24"/>
        <w:lang w:val="es-ES" w:eastAsia="en-US" w:bidi="ar-SA"/>
      </w:rPr>
    </w:lvl>
    <w:lvl w:ilvl="4">
      <w:start w:val="0"/>
      <w:numFmt w:val="bullet"/>
      <w:lvlText w:val="•"/>
      <w:lvlJc w:val="left"/>
      <w:pPr>
        <w:ind w:left="1262" w:hanging="356"/>
      </w:pPr>
      <w:rPr>
        <w:rFonts w:hint="default"/>
        <w:lang w:val="es-ES" w:eastAsia="en-US" w:bidi="ar-SA"/>
      </w:rPr>
    </w:lvl>
    <w:lvl w:ilvl="5">
      <w:start w:val="0"/>
      <w:numFmt w:val="bullet"/>
      <w:lvlText w:val="•"/>
      <w:lvlJc w:val="left"/>
      <w:pPr>
        <w:ind w:left="1045" w:hanging="356"/>
      </w:pPr>
      <w:rPr>
        <w:rFonts w:hint="default"/>
        <w:lang w:val="es-ES" w:eastAsia="en-US" w:bidi="ar-SA"/>
      </w:rPr>
    </w:lvl>
    <w:lvl w:ilvl="6">
      <w:start w:val="0"/>
      <w:numFmt w:val="bullet"/>
      <w:lvlText w:val="•"/>
      <w:lvlJc w:val="left"/>
      <w:pPr>
        <w:ind w:left="828" w:hanging="356"/>
      </w:pPr>
      <w:rPr>
        <w:rFonts w:hint="default"/>
        <w:lang w:val="es-ES" w:eastAsia="en-US" w:bidi="ar-SA"/>
      </w:rPr>
    </w:lvl>
    <w:lvl w:ilvl="7">
      <w:start w:val="0"/>
      <w:numFmt w:val="bullet"/>
      <w:lvlText w:val="•"/>
      <w:lvlJc w:val="left"/>
      <w:pPr>
        <w:ind w:left="611" w:hanging="356"/>
      </w:pPr>
      <w:rPr>
        <w:rFonts w:hint="default"/>
        <w:lang w:val="es-ES" w:eastAsia="en-US" w:bidi="ar-SA"/>
      </w:rPr>
    </w:lvl>
    <w:lvl w:ilvl="8">
      <w:start w:val="0"/>
      <w:numFmt w:val="bullet"/>
      <w:lvlText w:val="•"/>
      <w:lvlJc w:val="left"/>
      <w:pPr>
        <w:ind w:left="394" w:hanging="356"/>
      </w:pPr>
      <w:rPr>
        <w:rFonts w:hint="default"/>
        <w:lang w:val="es-ES" w:eastAsia="en-US" w:bidi="ar-SA"/>
      </w:rPr>
    </w:lvl>
  </w:abstractNum>
  <w:abstractNum w:abstractNumId="1">
    <w:multiLevelType w:val="hybridMultilevel"/>
    <w:lvl w:ilvl="0">
      <w:start w:val="1"/>
      <w:numFmt w:val="upperRoman"/>
      <w:lvlText w:val="%1."/>
      <w:lvlJc w:val="left"/>
      <w:pPr>
        <w:ind w:left="328" w:hanging="195"/>
        <w:jc w:val="left"/>
      </w:pPr>
      <w:rPr>
        <w:rFonts w:hint="default" w:ascii="Segoe UI Semibold" w:hAnsi="Segoe UI Semibold" w:eastAsia="Segoe UI Semibold" w:cs="Segoe UI Semibold"/>
        <w:b/>
        <w:bCs/>
        <w:i/>
        <w:iCs/>
        <w:color w:val="231F20"/>
        <w:spacing w:val="-1"/>
        <w:w w:val="100"/>
        <w:sz w:val="24"/>
        <w:szCs w:val="24"/>
        <w:lang w:val="es-ES" w:eastAsia="en-US" w:bidi="ar-SA"/>
      </w:rPr>
    </w:lvl>
    <w:lvl w:ilvl="1">
      <w:start w:val="1"/>
      <w:numFmt w:val="decimalZero"/>
      <w:lvlText w:val="%2."/>
      <w:lvlJc w:val="left"/>
      <w:pPr>
        <w:ind w:left="1541" w:hanging="408"/>
        <w:jc w:val="left"/>
      </w:pPr>
      <w:rPr>
        <w:rFonts w:hint="default" w:ascii="Segoe UI" w:hAnsi="Segoe UI" w:eastAsia="Segoe UI" w:cs="Segoe UI"/>
        <w:b/>
        <w:bCs/>
        <w:i w:val="0"/>
        <w:iCs w:val="0"/>
        <w:color w:val="B52628"/>
        <w:spacing w:val="0"/>
        <w:w w:val="100"/>
        <w:sz w:val="24"/>
        <w:szCs w:val="24"/>
        <w:lang w:val="es-ES" w:eastAsia="en-US" w:bidi="ar-SA"/>
      </w:rPr>
    </w:lvl>
    <w:lvl w:ilvl="2">
      <w:start w:val="0"/>
      <w:numFmt w:val="bullet"/>
      <w:lvlText w:val="•"/>
      <w:lvlJc w:val="left"/>
      <w:pPr>
        <w:ind w:left="1326" w:hanging="408"/>
      </w:pPr>
      <w:rPr>
        <w:rFonts w:hint="default"/>
        <w:lang w:val="es-ES" w:eastAsia="en-US" w:bidi="ar-SA"/>
      </w:rPr>
    </w:lvl>
    <w:lvl w:ilvl="3">
      <w:start w:val="0"/>
      <w:numFmt w:val="bullet"/>
      <w:lvlText w:val="•"/>
      <w:lvlJc w:val="left"/>
      <w:pPr>
        <w:ind w:left="1113" w:hanging="408"/>
      </w:pPr>
      <w:rPr>
        <w:rFonts w:hint="default"/>
        <w:lang w:val="es-ES" w:eastAsia="en-US" w:bidi="ar-SA"/>
      </w:rPr>
    </w:lvl>
    <w:lvl w:ilvl="4">
      <w:start w:val="0"/>
      <w:numFmt w:val="bullet"/>
      <w:lvlText w:val="•"/>
      <w:lvlJc w:val="left"/>
      <w:pPr>
        <w:ind w:left="900" w:hanging="408"/>
      </w:pPr>
      <w:rPr>
        <w:rFonts w:hint="default"/>
        <w:lang w:val="es-ES" w:eastAsia="en-US" w:bidi="ar-SA"/>
      </w:rPr>
    </w:lvl>
    <w:lvl w:ilvl="5">
      <w:start w:val="0"/>
      <w:numFmt w:val="bullet"/>
      <w:lvlText w:val="•"/>
      <w:lvlJc w:val="left"/>
      <w:pPr>
        <w:ind w:left="687" w:hanging="408"/>
      </w:pPr>
      <w:rPr>
        <w:rFonts w:hint="default"/>
        <w:lang w:val="es-ES" w:eastAsia="en-US" w:bidi="ar-SA"/>
      </w:rPr>
    </w:lvl>
    <w:lvl w:ilvl="6">
      <w:start w:val="0"/>
      <w:numFmt w:val="bullet"/>
      <w:lvlText w:val="•"/>
      <w:lvlJc w:val="left"/>
      <w:pPr>
        <w:ind w:left="473" w:hanging="408"/>
      </w:pPr>
      <w:rPr>
        <w:rFonts w:hint="default"/>
        <w:lang w:val="es-ES" w:eastAsia="en-US" w:bidi="ar-SA"/>
      </w:rPr>
    </w:lvl>
    <w:lvl w:ilvl="7">
      <w:start w:val="0"/>
      <w:numFmt w:val="bullet"/>
      <w:lvlText w:val="•"/>
      <w:lvlJc w:val="left"/>
      <w:pPr>
        <w:ind w:left="260" w:hanging="408"/>
      </w:pPr>
      <w:rPr>
        <w:rFonts w:hint="default"/>
        <w:lang w:val="es-ES" w:eastAsia="en-US" w:bidi="ar-SA"/>
      </w:rPr>
    </w:lvl>
    <w:lvl w:ilvl="8">
      <w:start w:val="0"/>
      <w:numFmt w:val="bullet"/>
      <w:lvlText w:val="•"/>
      <w:lvlJc w:val="left"/>
      <w:pPr>
        <w:ind w:left="47" w:hanging="408"/>
      </w:pPr>
      <w:rPr>
        <w:rFonts w:hint="default"/>
        <w:lang w:val="es-ES" w:eastAsia="en-US" w:bidi="ar-SA"/>
      </w:rPr>
    </w:lvl>
  </w:abstractNum>
  <w:abstractNum w:abstractNumId="0">
    <w:multiLevelType w:val="hybridMultilevel"/>
    <w:lvl w:ilvl="0">
      <w:start w:val="1"/>
      <w:numFmt w:val="decimalZero"/>
      <w:lvlText w:val="%1."/>
      <w:lvlJc w:val="left"/>
      <w:pPr>
        <w:ind w:left="1474" w:hanging="408"/>
        <w:jc w:val="left"/>
      </w:pPr>
      <w:rPr>
        <w:rFonts w:hint="default" w:ascii="Segoe UI" w:hAnsi="Segoe UI" w:eastAsia="Segoe UI" w:cs="Segoe UI"/>
        <w:b/>
        <w:bCs/>
        <w:i w:val="0"/>
        <w:iCs w:val="0"/>
        <w:color w:val="B52628"/>
        <w:spacing w:val="0"/>
        <w:w w:val="100"/>
        <w:sz w:val="24"/>
        <w:szCs w:val="24"/>
        <w:lang w:val="es-ES" w:eastAsia="en-US" w:bidi="ar-SA"/>
      </w:rPr>
    </w:lvl>
    <w:lvl w:ilvl="1">
      <w:start w:val="0"/>
      <w:numFmt w:val="bullet"/>
      <w:lvlText w:val="•"/>
      <w:lvlJc w:val="left"/>
      <w:pPr>
        <w:ind w:left="1958" w:hanging="408"/>
      </w:pPr>
      <w:rPr>
        <w:rFonts w:hint="default"/>
        <w:lang w:val="es-ES" w:eastAsia="en-US" w:bidi="ar-SA"/>
      </w:rPr>
    </w:lvl>
    <w:lvl w:ilvl="2">
      <w:start w:val="0"/>
      <w:numFmt w:val="bullet"/>
      <w:lvlText w:val="•"/>
      <w:lvlJc w:val="left"/>
      <w:pPr>
        <w:ind w:left="2436" w:hanging="408"/>
      </w:pPr>
      <w:rPr>
        <w:rFonts w:hint="default"/>
        <w:lang w:val="es-ES" w:eastAsia="en-US" w:bidi="ar-SA"/>
      </w:rPr>
    </w:lvl>
    <w:lvl w:ilvl="3">
      <w:start w:val="0"/>
      <w:numFmt w:val="bullet"/>
      <w:lvlText w:val="•"/>
      <w:lvlJc w:val="left"/>
      <w:pPr>
        <w:ind w:left="2915" w:hanging="408"/>
      </w:pPr>
      <w:rPr>
        <w:rFonts w:hint="default"/>
        <w:lang w:val="es-ES" w:eastAsia="en-US" w:bidi="ar-SA"/>
      </w:rPr>
    </w:lvl>
    <w:lvl w:ilvl="4">
      <w:start w:val="0"/>
      <w:numFmt w:val="bullet"/>
      <w:lvlText w:val="•"/>
      <w:lvlJc w:val="left"/>
      <w:pPr>
        <w:ind w:left="3393" w:hanging="408"/>
      </w:pPr>
      <w:rPr>
        <w:rFonts w:hint="default"/>
        <w:lang w:val="es-ES" w:eastAsia="en-US" w:bidi="ar-SA"/>
      </w:rPr>
    </w:lvl>
    <w:lvl w:ilvl="5">
      <w:start w:val="0"/>
      <w:numFmt w:val="bullet"/>
      <w:lvlText w:val="•"/>
      <w:lvlJc w:val="left"/>
      <w:pPr>
        <w:ind w:left="3872" w:hanging="408"/>
      </w:pPr>
      <w:rPr>
        <w:rFonts w:hint="default"/>
        <w:lang w:val="es-ES" w:eastAsia="en-US" w:bidi="ar-SA"/>
      </w:rPr>
    </w:lvl>
    <w:lvl w:ilvl="6">
      <w:start w:val="0"/>
      <w:numFmt w:val="bullet"/>
      <w:lvlText w:val="•"/>
      <w:lvlJc w:val="left"/>
      <w:pPr>
        <w:ind w:left="4350" w:hanging="408"/>
      </w:pPr>
      <w:rPr>
        <w:rFonts w:hint="default"/>
        <w:lang w:val="es-ES" w:eastAsia="en-US" w:bidi="ar-SA"/>
      </w:rPr>
    </w:lvl>
    <w:lvl w:ilvl="7">
      <w:start w:val="0"/>
      <w:numFmt w:val="bullet"/>
      <w:lvlText w:val="•"/>
      <w:lvlJc w:val="left"/>
      <w:pPr>
        <w:ind w:left="4828" w:hanging="408"/>
      </w:pPr>
      <w:rPr>
        <w:rFonts w:hint="default"/>
        <w:lang w:val="es-ES" w:eastAsia="en-US" w:bidi="ar-SA"/>
      </w:rPr>
    </w:lvl>
    <w:lvl w:ilvl="8">
      <w:start w:val="0"/>
      <w:numFmt w:val="bullet"/>
      <w:lvlText w:val="•"/>
      <w:lvlJc w:val="left"/>
      <w:pPr>
        <w:ind w:left="5307" w:hanging="408"/>
      </w:pPr>
      <w:rPr>
        <w:rFonts w:hint="default"/>
        <w:lang w:val="es-ES" w:eastAsia="en-US" w:bidi="ar-SA"/>
      </w:rPr>
    </w:lvl>
  </w:abstractNum>
  <w:num w:numId="5">
    <w:abstractNumId w:val="4"/>
  </w:num>
  <w:num w:numId="10">
    <w:abstractNumId w:val="9"/>
  </w:num>
  <w:num w:numId="9">
    <w:abstractNumId w:val="8"/>
  </w:num>
  <w:num w:numId="8">
    <w:abstractNumId w:val="7"/>
  </w:num>
  <w:num w:numId="7">
    <w:abstractNumId w:val="6"/>
  </w:num>
  <w:num w:numId="6">
    <w:abstractNumId w:val="5"/>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egoe UI" w:hAnsi="Segoe UI" w:eastAsia="Segoe UI" w:cs="Segoe UI"/>
      <w:lang w:val="es-ES" w:eastAsia="en-US" w:bidi="ar-SA"/>
    </w:rPr>
  </w:style>
  <w:style w:styleId="BodyText" w:type="paragraph">
    <w:name w:val="Body Text"/>
    <w:basedOn w:val="Normal"/>
    <w:uiPriority w:val="1"/>
    <w:qFormat/>
    <w:pPr>
      <w:jc w:val="both"/>
    </w:pPr>
    <w:rPr>
      <w:rFonts w:ascii="Segoe UI" w:hAnsi="Segoe UI" w:eastAsia="Segoe UI" w:cs="Segoe UI"/>
      <w:sz w:val="24"/>
      <w:szCs w:val="24"/>
      <w:lang w:val="es-ES" w:eastAsia="en-US" w:bidi="ar-SA"/>
    </w:rPr>
  </w:style>
  <w:style w:styleId="Heading1" w:type="paragraph">
    <w:name w:val="Heading 1"/>
    <w:basedOn w:val="Normal"/>
    <w:uiPriority w:val="1"/>
    <w:qFormat/>
    <w:pPr>
      <w:spacing w:before="1"/>
      <w:ind w:left="1133"/>
      <w:outlineLvl w:val="1"/>
    </w:pPr>
    <w:rPr>
      <w:rFonts w:ascii="Trebuchet MS" w:hAnsi="Trebuchet MS" w:eastAsia="Trebuchet MS" w:cs="Trebuchet MS"/>
      <w:sz w:val="56"/>
      <w:szCs w:val="56"/>
      <w:lang w:val="es-ES" w:eastAsia="en-US" w:bidi="ar-SA"/>
    </w:rPr>
  </w:style>
  <w:style w:styleId="Heading2" w:type="paragraph">
    <w:name w:val="Heading 2"/>
    <w:basedOn w:val="Normal"/>
    <w:uiPriority w:val="1"/>
    <w:qFormat/>
    <w:pPr>
      <w:ind w:left="1133"/>
      <w:outlineLvl w:val="2"/>
    </w:pPr>
    <w:rPr>
      <w:rFonts w:ascii="Microsoft Sans Serif" w:hAnsi="Microsoft Sans Serif" w:eastAsia="Microsoft Sans Serif" w:cs="Microsoft Sans Serif"/>
      <w:sz w:val="28"/>
      <w:szCs w:val="28"/>
      <w:lang w:val="es-ES" w:eastAsia="en-US" w:bidi="ar-SA"/>
    </w:rPr>
  </w:style>
  <w:style w:styleId="Heading3" w:type="paragraph">
    <w:name w:val="Heading 3"/>
    <w:basedOn w:val="Normal"/>
    <w:uiPriority w:val="1"/>
    <w:qFormat/>
    <w:pPr>
      <w:ind w:left="1474"/>
      <w:outlineLvl w:val="3"/>
    </w:pPr>
    <w:rPr>
      <w:rFonts w:ascii="Segoe UI Semibold" w:hAnsi="Segoe UI Semibold" w:eastAsia="Segoe UI Semibold" w:cs="Segoe UI Semibold"/>
      <w:i/>
      <w:iCs/>
      <w:sz w:val="26"/>
      <w:szCs w:val="26"/>
      <w:lang w:val="es-ES" w:eastAsia="en-US" w:bidi="ar-SA"/>
    </w:rPr>
  </w:style>
  <w:style w:styleId="Heading4" w:type="paragraph">
    <w:name w:val="Heading 4"/>
    <w:basedOn w:val="Normal"/>
    <w:uiPriority w:val="1"/>
    <w:qFormat/>
    <w:pPr>
      <w:spacing w:before="101"/>
      <w:ind w:left="1474"/>
      <w:outlineLvl w:val="4"/>
    </w:pPr>
    <w:rPr>
      <w:rFonts w:ascii="Segoe UI" w:hAnsi="Segoe UI" w:eastAsia="Segoe UI" w:cs="Segoe UI"/>
      <w:b/>
      <w:bCs/>
      <w:sz w:val="24"/>
      <w:szCs w:val="24"/>
      <w:lang w:val="es-ES" w:eastAsia="en-US" w:bidi="ar-SA"/>
    </w:rPr>
  </w:style>
  <w:style w:styleId="Heading5" w:type="paragraph">
    <w:name w:val="Heading 5"/>
    <w:basedOn w:val="Normal"/>
    <w:uiPriority w:val="1"/>
    <w:qFormat/>
    <w:pPr>
      <w:ind w:left="1474"/>
      <w:jc w:val="both"/>
      <w:outlineLvl w:val="5"/>
    </w:pPr>
    <w:rPr>
      <w:rFonts w:ascii="Segoe UI" w:hAnsi="Segoe UI" w:eastAsia="Segoe UI" w:cs="Segoe UI"/>
      <w:b/>
      <w:bCs/>
      <w:i/>
      <w:iCs/>
      <w:sz w:val="24"/>
      <w:szCs w:val="24"/>
      <w:lang w:val="es-ES" w:eastAsia="en-US" w:bidi="ar-SA"/>
    </w:rPr>
  </w:style>
  <w:style w:styleId="ListParagraph" w:type="paragraph">
    <w:name w:val="List Paragraph"/>
    <w:basedOn w:val="Normal"/>
    <w:uiPriority w:val="1"/>
    <w:qFormat/>
    <w:pPr>
      <w:ind w:left="1133"/>
    </w:pPr>
    <w:rPr>
      <w:rFonts w:ascii="Segoe UI" w:hAnsi="Segoe UI" w:eastAsia="Segoe UI" w:cs="Segoe UI"/>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image" Target="media/image20.png"/><Relationship Id="rId27" Type="http://schemas.openxmlformats.org/officeDocument/2006/relationships/image" Target="media/image21.png"/><Relationship Id="rId28" Type="http://schemas.openxmlformats.org/officeDocument/2006/relationships/image" Target="media/image22.png"/><Relationship Id="rId29" Type="http://schemas.openxmlformats.org/officeDocument/2006/relationships/image" Target="media/image23.png"/><Relationship Id="rId30" Type="http://schemas.openxmlformats.org/officeDocument/2006/relationships/image" Target="media/image24.png"/><Relationship Id="rId31" Type="http://schemas.openxmlformats.org/officeDocument/2006/relationships/image" Target="media/image25.png"/><Relationship Id="rId32" Type="http://schemas.openxmlformats.org/officeDocument/2006/relationships/image" Target="media/image26.png"/><Relationship Id="rId33" Type="http://schemas.openxmlformats.org/officeDocument/2006/relationships/image" Target="media/image27.png"/><Relationship Id="rId34" Type="http://schemas.openxmlformats.org/officeDocument/2006/relationships/image" Target="media/image28.png"/><Relationship Id="rId35" Type="http://schemas.openxmlformats.org/officeDocument/2006/relationships/image" Target="media/image29.png"/><Relationship Id="rId36" Type="http://schemas.openxmlformats.org/officeDocument/2006/relationships/image" Target="media/image30.png"/><Relationship Id="rId37" Type="http://schemas.openxmlformats.org/officeDocument/2006/relationships/image" Target="media/image31.png"/><Relationship Id="rId38" Type="http://schemas.openxmlformats.org/officeDocument/2006/relationships/image" Target="media/image32.png"/><Relationship Id="rId39" Type="http://schemas.openxmlformats.org/officeDocument/2006/relationships/image" Target="media/image33.png"/><Relationship Id="rId40" Type="http://schemas.openxmlformats.org/officeDocument/2006/relationships/image" Target="media/image34.png"/><Relationship Id="rId41" Type="http://schemas.openxmlformats.org/officeDocument/2006/relationships/image" Target="media/image35.png"/><Relationship Id="rId42" Type="http://schemas.openxmlformats.org/officeDocument/2006/relationships/image" Target="media/image36.png"/><Relationship Id="rId43" Type="http://schemas.openxmlformats.org/officeDocument/2006/relationships/image" Target="media/image37.png"/><Relationship Id="rId44" Type="http://schemas.openxmlformats.org/officeDocument/2006/relationships/image" Target="media/image38.png"/><Relationship Id="rId45" Type="http://schemas.openxmlformats.org/officeDocument/2006/relationships/image" Target="media/image39.png"/><Relationship Id="rId46" Type="http://schemas.openxmlformats.org/officeDocument/2006/relationships/image" Target="media/image40.png"/><Relationship Id="rId47" Type="http://schemas.openxmlformats.org/officeDocument/2006/relationships/image" Target="media/image41.png"/><Relationship Id="rId48" Type="http://schemas.openxmlformats.org/officeDocument/2006/relationships/image" Target="media/image42.png"/><Relationship Id="rId49" Type="http://schemas.openxmlformats.org/officeDocument/2006/relationships/image" Target="media/image43.png"/><Relationship Id="rId50" Type="http://schemas.openxmlformats.org/officeDocument/2006/relationships/image" Target="media/image44.png"/><Relationship Id="rId51" Type="http://schemas.openxmlformats.org/officeDocument/2006/relationships/image" Target="media/image45.png"/><Relationship Id="rId52" Type="http://schemas.openxmlformats.org/officeDocument/2006/relationships/image" Target="media/image46.png"/><Relationship Id="rId53" Type="http://schemas.openxmlformats.org/officeDocument/2006/relationships/image" Target="media/image47.png"/><Relationship Id="rId54" Type="http://schemas.openxmlformats.org/officeDocument/2006/relationships/image" Target="media/image48.png"/><Relationship Id="rId55" Type="http://schemas.openxmlformats.org/officeDocument/2006/relationships/image" Target="media/image49.png"/><Relationship Id="rId56" Type="http://schemas.openxmlformats.org/officeDocument/2006/relationships/image" Target="media/image50.png"/><Relationship Id="rId57" Type="http://schemas.openxmlformats.org/officeDocument/2006/relationships/image" Target="media/image51.png"/><Relationship Id="rId58" Type="http://schemas.openxmlformats.org/officeDocument/2006/relationships/image" Target="media/image52.png"/><Relationship Id="rId59" Type="http://schemas.openxmlformats.org/officeDocument/2006/relationships/image" Target="media/image53.png"/><Relationship Id="rId60" Type="http://schemas.openxmlformats.org/officeDocument/2006/relationships/image" Target="media/image54.png"/><Relationship Id="rId61" Type="http://schemas.openxmlformats.org/officeDocument/2006/relationships/image" Target="media/image55.png"/><Relationship Id="rId62" Type="http://schemas.openxmlformats.org/officeDocument/2006/relationships/image" Target="media/image56.png"/><Relationship Id="rId63" Type="http://schemas.openxmlformats.org/officeDocument/2006/relationships/image" Target="media/image57.png"/><Relationship Id="rId64" Type="http://schemas.openxmlformats.org/officeDocument/2006/relationships/image" Target="media/image58.png"/><Relationship Id="rId65" Type="http://schemas.openxmlformats.org/officeDocument/2006/relationships/image" Target="media/image59.png"/><Relationship Id="rId66" Type="http://schemas.openxmlformats.org/officeDocument/2006/relationships/image" Target="media/image60.png"/><Relationship Id="rId67" Type="http://schemas.openxmlformats.org/officeDocument/2006/relationships/image" Target="media/image61.jpeg"/><Relationship Id="rId68" Type="http://schemas.openxmlformats.org/officeDocument/2006/relationships/footer" Target="footer3.xml"/><Relationship Id="rId69" Type="http://schemas.openxmlformats.org/officeDocument/2006/relationships/footer" Target="footer4.xml"/><Relationship Id="rId70" Type="http://schemas.openxmlformats.org/officeDocument/2006/relationships/footer" Target="footer5.xml"/><Relationship Id="rId71" Type="http://schemas.openxmlformats.org/officeDocument/2006/relationships/footer" Target="footer6.xml"/><Relationship Id="rId72" Type="http://schemas.openxmlformats.org/officeDocument/2006/relationships/footer" Target="footer7.xml"/><Relationship Id="rId73" Type="http://schemas.openxmlformats.org/officeDocument/2006/relationships/image" Target="media/image62.png"/><Relationship Id="rId74" Type="http://schemas.openxmlformats.org/officeDocument/2006/relationships/image" Target="media/image63.png"/><Relationship Id="rId75" Type="http://schemas.openxmlformats.org/officeDocument/2006/relationships/image" Target="media/image64.png"/><Relationship Id="rId76" Type="http://schemas.openxmlformats.org/officeDocument/2006/relationships/image" Target="media/image65.png"/><Relationship Id="rId77" Type="http://schemas.openxmlformats.org/officeDocument/2006/relationships/image" Target="media/image66.png"/><Relationship Id="rId78" Type="http://schemas.openxmlformats.org/officeDocument/2006/relationships/image" Target="media/image67.png"/><Relationship Id="rId79" Type="http://schemas.openxmlformats.org/officeDocument/2006/relationships/image" Target="media/image68.png"/><Relationship Id="rId80" Type="http://schemas.openxmlformats.org/officeDocument/2006/relationships/image" Target="media/image69.png"/><Relationship Id="rId81" Type="http://schemas.openxmlformats.org/officeDocument/2006/relationships/image" Target="media/image70.png"/><Relationship Id="rId82" Type="http://schemas.openxmlformats.org/officeDocument/2006/relationships/image" Target="media/image71.png"/><Relationship Id="rId83" Type="http://schemas.openxmlformats.org/officeDocument/2006/relationships/image" Target="media/image72.png"/><Relationship Id="rId84" Type="http://schemas.openxmlformats.org/officeDocument/2006/relationships/image" Target="media/image73.png"/><Relationship Id="rId85" Type="http://schemas.openxmlformats.org/officeDocument/2006/relationships/image" Target="media/image74.png"/><Relationship Id="rId86" Type="http://schemas.openxmlformats.org/officeDocument/2006/relationships/image" Target="media/image75.png"/><Relationship Id="rId87" Type="http://schemas.openxmlformats.org/officeDocument/2006/relationships/image" Target="media/image76.png"/><Relationship Id="rId88" Type="http://schemas.openxmlformats.org/officeDocument/2006/relationships/image" Target="media/image77.png"/><Relationship Id="rId89" Type="http://schemas.openxmlformats.org/officeDocument/2006/relationships/image" Target="media/image78.png"/><Relationship Id="rId90" Type="http://schemas.openxmlformats.org/officeDocument/2006/relationships/image" Target="media/image79.png"/><Relationship Id="rId91" Type="http://schemas.openxmlformats.org/officeDocument/2006/relationships/image" Target="media/image80.png"/><Relationship Id="rId92" Type="http://schemas.openxmlformats.org/officeDocument/2006/relationships/image" Target="media/image81.png"/><Relationship Id="rId93" Type="http://schemas.openxmlformats.org/officeDocument/2006/relationships/image" Target="media/image82.png"/><Relationship Id="rId94" Type="http://schemas.openxmlformats.org/officeDocument/2006/relationships/image" Target="media/image83.png"/><Relationship Id="rId95" Type="http://schemas.openxmlformats.org/officeDocument/2006/relationships/image" Target="media/image84.png"/><Relationship Id="rId96" Type="http://schemas.openxmlformats.org/officeDocument/2006/relationships/image" Target="media/image85.png"/><Relationship Id="rId97" Type="http://schemas.openxmlformats.org/officeDocument/2006/relationships/image" Target="media/image86.png"/><Relationship Id="rId98" Type="http://schemas.openxmlformats.org/officeDocument/2006/relationships/image" Target="media/image87.png"/><Relationship Id="rId99" Type="http://schemas.openxmlformats.org/officeDocument/2006/relationships/image" Target="media/image88.png"/><Relationship Id="rId100" Type="http://schemas.openxmlformats.org/officeDocument/2006/relationships/image" Target="media/image89.png"/><Relationship Id="rId101" Type="http://schemas.openxmlformats.org/officeDocument/2006/relationships/image" Target="media/image90.png"/><Relationship Id="rId102" Type="http://schemas.openxmlformats.org/officeDocument/2006/relationships/image" Target="media/image91.png"/><Relationship Id="rId103" Type="http://schemas.openxmlformats.org/officeDocument/2006/relationships/image" Target="media/image92.png"/><Relationship Id="rId104" Type="http://schemas.openxmlformats.org/officeDocument/2006/relationships/image" Target="media/image93.png"/><Relationship Id="rId105" Type="http://schemas.openxmlformats.org/officeDocument/2006/relationships/image" Target="media/image94.png"/><Relationship Id="rId106" Type="http://schemas.openxmlformats.org/officeDocument/2006/relationships/image" Target="media/image95.png"/><Relationship Id="rId107" Type="http://schemas.openxmlformats.org/officeDocument/2006/relationships/image" Target="media/image96.png"/><Relationship Id="rId108" Type="http://schemas.openxmlformats.org/officeDocument/2006/relationships/image" Target="media/image97.png"/><Relationship Id="rId109" Type="http://schemas.openxmlformats.org/officeDocument/2006/relationships/image" Target="media/image98.png"/><Relationship Id="rId110" Type="http://schemas.openxmlformats.org/officeDocument/2006/relationships/image" Target="media/image99.png"/><Relationship Id="rId111" Type="http://schemas.openxmlformats.org/officeDocument/2006/relationships/image" Target="media/image100.png"/><Relationship Id="rId112" Type="http://schemas.openxmlformats.org/officeDocument/2006/relationships/image" Target="media/image101.png"/><Relationship Id="rId113" Type="http://schemas.openxmlformats.org/officeDocument/2006/relationships/image" Target="media/image102.png"/><Relationship Id="rId114" Type="http://schemas.openxmlformats.org/officeDocument/2006/relationships/image" Target="media/image103.png"/><Relationship Id="rId115" Type="http://schemas.openxmlformats.org/officeDocument/2006/relationships/image" Target="media/image104.png"/><Relationship Id="rId116" Type="http://schemas.openxmlformats.org/officeDocument/2006/relationships/image" Target="media/image105.png"/><Relationship Id="rId117" Type="http://schemas.openxmlformats.org/officeDocument/2006/relationships/image" Target="media/image106.png"/><Relationship Id="rId118" Type="http://schemas.openxmlformats.org/officeDocument/2006/relationships/image" Target="media/image107.png"/><Relationship Id="rId119" Type="http://schemas.openxmlformats.org/officeDocument/2006/relationships/image" Target="media/image108.png"/><Relationship Id="rId120" Type="http://schemas.openxmlformats.org/officeDocument/2006/relationships/image" Target="media/image109.png"/><Relationship Id="rId121" Type="http://schemas.openxmlformats.org/officeDocument/2006/relationships/image" Target="media/image110.png"/><Relationship Id="rId122" Type="http://schemas.openxmlformats.org/officeDocument/2006/relationships/image" Target="media/image111.png"/><Relationship Id="rId123" Type="http://schemas.openxmlformats.org/officeDocument/2006/relationships/image" Target="media/image112.png"/><Relationship Id="rId124" Type="http://schemas.openxmlformats.org/officeDocument/2006/relationships/image" Target="media/image113.png"/><Relationship Id="rId125" Type="http://schemas.openxmlformats.org/officeDocument/2006/relationships/image" Target="media/image114.png"/><Relationship Id="rId126" Type="http://schemas.openxmlformats.org/officeDocument/2006/relationships/image" Target="media/image115.png"/><Relationship Id="rId127" Type="http://schemas.openxmlformats.org/officeDocument/2006/relationships/image" Target="media/image116.jpeg"/><Relationship Id="rId128" Type="http://schemas.openxmlformats.org/officeDocument/2006/relationships/footer" Target="footer8.xml"/><Relationship Id="rId129" Type="http://schemas.openxmlformats.org/officeDocument/2006/relationships/footer" Target="footer9.xml"/><Relationship Id="rId130" Type="http://schemas.openxmlformats.org/officeDocument/2006/relationships/footer" Target="footer10.xml"/><Relationship Id="rId131" Type="http://schemas.openxmlformats.org/officeDocument/2006/relationships/footer" Target="footer11.xml"/><Relationship Id="rId132" Type="http://schemas.openxmlformats.org/officeDocument/2006/relationships/footer" Target="footer12.xml"/><Relationship Id="rId133" Type="http://schemas.openxmlformats.org/officeDocument/2006/relationships/image" Target="media/image117.png"/><Relationship Id="rId134" Type="http://schemas.openxmlformats.org/officeDocument/2006/relationships/image" Target="media/image118.png"/><Relationship Id="rId135" Type="http://schemas.openxmlformats.org/officeDocument/2006/relationships/image" Target="media/image119.png"/><Relationship Id="rId136" Type="http://schemas.openxmlformats.org/officeDocument/2006/relationships/image" Target="media/image120.png"/><Relationship Id="rId137" Type="http://schemas.openxmlformats.org/officeDocument/2006/relationships/image" Target="media/image121.png"/><Relationship Id="rId138" Type="http://schemas.openxmlformats.org/officeDocument/2006/relationships/image" Target="media/image122.png"/><Relationship Id="rId139" Type="http://schemas.openxmlformats.org/officeDocument/2006/relationships/image" Target="media/image123.png"/><Relationship Id="rId140" Type="http://schemas.openxmlformats.org/officeDocument/2006/relationships/image" Target="media/image124.png"/><Relationship Id="rId141" Type="http://schemas.openxmlformats.org/officeDocument/2006/relationships/image" Target="media/image125.png"/><Relationship Id="rId142" Type="http://schemas.openxmlformats.org/officeDocument/2006/relationships/image" Target="media/image126.png"/><Relationship Id="rId143" Type="http://schemas.openxmlformats.org/officeDocument/2006/relationships/image" Target="media/image127.png"/><Relationship Id="rId144" Type="http://schemas.openxmlformats.org/officeDocument/2006/relationships/image" Target="media/image128.png"/><Relationship Id="rId145" Type="http://schemas.openxmlformats.org/officeDocument/2006/relationships/image" Target="media/image129.png"/><Relationship Id="rId146" Type="http://schemas.openxmlformats.org/officeDocument/2006/relationships/image" Target="media/image130.png"/><Relationship Id="rId147" Type="http://schemas.openxmlformats.org/officeDocument/2006/relationships/image" Target="media/image131.png"/><Relationship Id="rId148" Type="http://schemas.openxmlformats.org/officeDocument/2006/relationships/image" Target="media/image132.png"/><Relationship Id="rId149" Type="http://schemas.openxmlformats.org/officeDocument/2006/relationships/image" Target="media/image133.png"/><Relationship Id="rId150" Type="http://schemas.openxmlformats.org/officeDocument/2006/relationships/image" Target="media/image134.png"/><Relationship Id="rId151" Type="http://schemas.openxmlformats.org/officeDocument/2006/relationships/image" Target="media/image135.png"/><Relationship Id="rId152" Type="http://schemas.openxmlformats.org/officeDocument/2006/relationships/image" Target="media/image136.png"/><Relationship Id="rId153" Type="http://schemas.openxmlformats.org/officeDocument/2006/relationships/image" Target="media/image137.png"/><Relationship Id="rId154" Type="http://schemas.openxmlformats.org/officeDocument/2006/relationships/image" Target="media/image138.png"/><Relationship Id="rId155" Type="http://schemas.openxmlformats.org/officeDocument/2006/relationships/image" Target="media/image139.png"/><Relationship Id="rId156" Type="http://schemas.openxmlformats.org/officeDocument/2006/relationships/image" Target="media/image140.png"/><Relationship Id="rId157" Type="http://schemas.openxmlformats.org/officeDocument/2006/relationships/image" Target="media/image141.png"/><Relationship Id="rId158" Type="http://schemas.openxmlformats.org/officeDocument/2006/relationships/image" Target="media/image142.png"/><Relationship Id="rId159" Type="http://schemas.openxmlformats.org/officeDocument/2006/relationships/image" Target="media/image143.png"/><Relationship Id="rId160" Type="http://schemas.openxmlformats.org/officeDocument/2006/relationships/image" Target="media/image144.png"/><Relationship Id="rId161" Type="http://schemas.openxmlformats.org/officeDocument/2006/relationships/image" Target="media/image145.png"/><Relationship Id="rId162" Type="http://schemas.openxmlformats.org/officeDocument/2006/relationships/image" Target="media/image146.png"/><Relationship Id="rId163" Type="http://schemas.openxmlformats.org/officeDocument/2006/relationships/image" Target="media/image147.png"/><Relationship Id="rId164" Type="http://schemas.openxmlformats.org/officeDocument/2006/relationships/image" Target="media/image148.png"/><Relationship Id="rId165" Type="http://schemas.openxmlformats.org/officeDocument/2006/relationships/image" Target="media/image149.png"/><Relationship Id="rId166" Type="http://schemas.openxmlformats.org/officeDocument/2006/relationships/image" Target="media/image150.png"/><Relationship Id="rId167" Type="http://schemas.openxmlformats.org/officeDocument/2006/relationships/image" Target="media/image151.png"/><Relationship Id="rId168" Type="http://schemas.openxmlformats.org/officeDocument/2006/relationships/image" Target="media/image152.png"/><Relationship Id="rId169" Type="http://schemas.openxmlformats.org/officeDocument/2006/relationships/image" Target="media/image153.png"/><Relationship Id="rId170" Type="http://schemas.openxmlformats.org/officeDocument/2006/relationships/image" Target="media/image154.png"/><Relationship Id="rId171" Type="http://schemas.openxmlformats.org/officeDocument/2006/relationships/image" Target="media/image155.png"/><Relationship Id="rId172" Type="http://schemas.openxmlformats.org/officeDocument/2006/relationships/image" Target="media/image156.png"/><Relationship Id="rId173" Type="http://schemas.openxmlformats.org/officeDocument/2006/relationships/image" Target="media/image157.png"/><Relationship Id="rId174" Type="http://schemas.openxmlformats.org/officeDocument/2006/relationships/image" Target="media/image158.png"/><Relationship Id="rId175" Type="http://schemas.openxmlformats.org/officeDocument/2006/relationships/image" Target="media/image159.png"/><Relationship Id="rId176" Type="http://schemas.openxmlformats.org/officeDocument/2006/relationships/image" Target="media/image160.png"/><Relationship Id="rId177" Type="http://schemas.openxmlformats.org/officeDocument/2006/relationships/image" Target="media/image161.png"/><Relationship Id="rId178" Type="http://schemas.openxmlformats.org/officeDocument/2006/relationships/image" Target="media/image162.png"/><Relationship Id="rId179" Type="http://schemas.openxmlformats.org/officeDocument/2006/relationships/image" Target="media/image163.png"/><Relationship Id="rId180" Type="http://schemas.openxmlformats.org/officeDocument/2006/relationships/image" Target="media/image164.png"/><Relationship Id="rId181" Type="http://schemas.openxmlformats.org/officeDocument/2006/relationships/image" Target="media/image165.png"/><Relationship Id="rId182" Type="http://schemas.openxmlformats.org/officeDocument/2006/relationships/image" Target="media/image166.png"/><Relationship Id="rId183" Type="http://schemas.openxmlformats.org/officeDocument/2006/relationships/image" Target="media/image167.png"/><Relationship Id="rId184" Type="http://schemas.openxmlformats.org/officeDocument/2006/relationships/image" Target="media/image168.png"/><Relationship Id="rId185" Type="http://schemas.openxmlformats.org/officeDocument/2006/relationships/image" Target="media/image169.png"/><Relationship Id="rId186" Type="http://schemas.openxmlformats.org/officeDocument/2006/relationships/image" Target="media/image170.png"/><Relationship Id="rId187" Type="http://schemas.openxmlformats.org/officeDocument/2006/relationships/image" Target="media/image171.png"/><Relationship Id="rId188" Type="http://schemas.openxmlformats.org/officeDocument/2006/relationships/image" Target="media/image172.png"/><Relationship Id="rId189" Type="http://schemas.openxmlformats.org/officeDocument/2006/relationships/image" Target="media/image173.png"/><Relationship Id="rId190" Type="http://schemas.openxmlformats.org/officeDocument/2006/relationships/image" Target="media/image174.png"/><Relationship Id="rId191" Type="http://schemas.openxmlformats.org/officeDocument/2006/relationships/image" Target="media/image175.png"/><Relationship Id="rId192" Type="http://schemas.openxmlformats.org/officeDocument/2006/relationships/image" Target="media/image176.png"/><Relationship Id="rId193" Type="http://schemas.openxmlformats.org/officeDocument/2006/relationships/image" Target="media/image177.png"/><Relationship Id="rId194" Type="http://schemas.openxmlformats.org/officeDocument/2006/relationships/image" Target="media/image178.png"/><Relationship Id="rId195" Type="http://schemas.openxmlformats.org/officeDocument/2006/relationships/image" Target="media/image179.png"/><Relationship Id="rId196" Type="http://schemas.openxmlformats.org/officeDocument/2006/relationships/image" Target="media/image180.jpeg"/><Relationship Id="rId197" Type="http://schemas.openxmlformats.org/officeDocument/2006/relationships/footer" Target="footer13.xml"/><Relationship Id="rId198" Type="http://schemas.openxmlformats.org/officeDocument/2006/relationships/footer" Target="footer14.xml"/><Relationship Id="rId199" Type="http://schemas.openxmlformats.org/officeDocument/2006/relationships/footer" Target="footer15.xml"/><Relationship Id="rId200" Type="http://schemas.openxmlformats.org/officeDocument/2006/relationships/image" Target="media/image181.png"/><Relationship Id="rId20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2023-11-01T13:45:55Z</dcterms:created>
  <dcterms:modified xsi:type="dcterms:W3CDTF">2023-11-01T13:45:55Z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2023-09-14T00:00:00Z</vt:filetime>
  </property>
  <property fmtid="{D5CDD505-2E9C-101B-9397-08002B2CF9AE}" pid="3" name="Creator">
    <vt:lpwstr>Adobe InDesign 17.0 (Windows)</vt:lpwstr>
  </property>
  <property fmtid="{D5CDD505-2E9C-101B-9397-08002B2CF9AE}" pid="4" name="LastSaved">
    <vt:filetime>2023-11-01T00:00:00Z</vt:filetime>
  </property>
  <property fmtid="{D5CDD505-2E9C-101B-9397-08002B2CF9AE}" pid="5" name="Producer">
    <vt:lpwstr>Adobe PDF Library 16.0.3</vt:lpwstr>
  </property>
</Properties>
</file>